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64" w:rsidRDefault="00A70664" w:rsidP="00A70664">
      <w:pPr>
        <w:jc w:val="center"/>
        <w:rPr>
          <w:sz w:val="24"/>
          <w:u w:val="single"/>
        </w:rPr>
      </w:pPr>
      <w:r w:rsidRPr="00A52A7D">
        <w:rPr>
          <w:sz w:val="24"/>
          <w:u w:val="single"/>
        </w:rPr>
        <w:t>EXPLANATORY STATEMENT</w:t>
      </w:r>
    </w:p>
    <w:p w:rsidR="00A70664" w:rsidRDefault="00A70664" w:rsidP="00A70664">
      <w:pPr>
        <w:jc w:val="center"/>
        <w:rPr>
          <w:sz w:val="24"/>
          <w:u w:val="single"/>
        </w:rPr>
      </w:pPr>
    </w:p>
    <w:p w:rsidR="00A70664" w:rsidRDefault="00A70664" w:rsidP="00A70664">
      <w:pPr>
        <w:jc w:val="center"/>
        <w:rPr>
          <w:sz w:val="24"/>
        </w:rPr>
      </w:pPr>
      <w:bookmarkStart w:id="0" w:name="OLE_LINK5"/>
      <w:bookmarkStart w:id="1" w:name="OLE_LINK6"/>
      <w:r w:rsidRPr="0028768E">
        <w:rPr>
          <w:sz w:val="24"/>
        </w:rPr>
        <w:t>Foundation Program Standards</w:t>
      </w:r>
    </w:p>
    <w:bookmarkEnd w:id="0"/>
    <w:bookmarkEnd w:id="1"/>
    <w:p w:rsidR="00A70664" w:rsidRDefault="00A70664" w:rsidP="00A70664">
      <w:pPr>
        <w:jc w:val="center"/>
        <w:rPr>
          <w:sz w:val="24"/>
        </w:rPr>
      </w:pPr>
    </w:p>
    <w:p w:rsidR="00037BE4" w:rsidRDefault="00037BE4" w:rsidP="00A70664">
      <w:pPr>
        <w:jc w:val="center"/>
        <w:rPr>
          <w:sz w:val="24"/>
        </w:rPr>
      </w:pPr>
    </w:p>
    <w:p w:rsidR="00A70664" w:rsidRPr="00A70664" w:rsidRDefault="00A70664" w:rsidP="00A70664">
      <w:pPr>
        <w:rPr>
          <w:sz w:val="24"/>
          <w:u w:val="single"/>
        </w:rPr>
      </w:pPr>
      <w:r w:rsidRPr="00A70664">
        <w:rPr>
          <w:sz w:val="24"/>
          <w:u w:val="single"/>
        </w:rPr>
        <w:t>Issued by authority of the Minister for Tertiary Education, Skills, Jobs and Workplace Relations</w:t>
      </w:r>
    </w:p>
    <w:p w:rsidR="00A70664" w:rsidRDefault="00A70664" w:rsidP="00A70664">
      <w:pPr>
        <w:jc w:val="center"/>
        <w:rPr>
          <w:sz w:val="24"/>
          <w:u w:val="single"/>
        </w:rPr>
      </w:pPr>
    </w:p>
    <w:p w:rsidR="00A70664" w:rsidRDefault="00A70664" w:rsidP="00A70664">
      <w:pPr>
        <w:rPr>
          <w:sz w:val="24"/>
        </w:rPr>
      </w:pPr>
      <w:r>
        <w:rPr>
          <w:sz w:val="24"/>
        </w:rPr>
        <w:t>Subject:</w:t>
      </w:r>
      <w:r>
        <w:rPr>
          <w:sz w:val="24"/>
        </w:rPr>
        <w:tab/>
      </w:r>
      <w:r>
        <w:rPr>
          <w:sz w:val="24"/>
        </w:rPr>
        <w:tab/>
      </w:r>
      <w:r w:rsidRPr="00A70664">
        <w:rPr>
          <w:i/>
          <w:sz w:val="24"/>
        </w:rPr>
        <w:t>Foundation Program Standards</w:t>
      </w:r>
    </w:p>
    <w:p w:rsidR="00A70664" w:rsidRDefault="00A70664" w:rsidP="00A70664">
      <w:pPr>
        <w:ind w:left="2160"/>
        <w:rPr>
          <w:sz w:val="24"/>
        </w:rPr>
      </w:pPr>
      <w:r w:rsidRPr="00602657">
        <w:rPr>
          <w:i/>
          <w:color w:val="000000"/>
          <w:sz w:val="24"/>
          <w:szCs w:val="24"/>
        </w:rPr>
        <w:t xml:space="preserve">Education Services for </w:t>
      </w:r>
      <w:r>
        <w:rPr>
          <w:i/>
          <w:color w:val="000000"/>
          <w:sz w:val="24"/>
          <w:szCs w:val="24"/>
        </w:rPr>
        <w:t xml:space="preserve">the </w:t>
      </w:r>
      <w:r w:rsidRPr="00602657">
        <w:rPr>
          <w:i/>
          <w:color w:val="000000"/>
          <w:sz w:val="24"/>
          <w:szCs w:val="24"/>
        </w:rPr>
        <w:t>Overseas Students Act 2000</w:t>
      </w:r>
    </w:p>
    <w:p w:rsidR="00A70664" w:rsidRDefault="00A70664" w:rsidP="00A70664">
      <w:pPr>
        <w:ind w:left="1700" w:hanging="1700"/>
        <w:rPr>
          <w:sz w:val="24"/>
        </w:rPr>
      </w:pPr>
    </w:p>
    <w:p w:rsidR="00A70664" w:rsidRDefault="00A70664" w:rsidP="00A70664">
      <w:pPr>
        <w:ind w:left="1700" w:hanging="1700"/>
        <w:rPr>
          <w:sz w:val="24"/>
        </w:rPr>
      </w:pPr>
    </w:p>
    <w:p w:rsidR="00A70664" w:rsidRDefault="00A70664" w:rsidP="00A70664">
      <w:pPr>
        <w:ind w:left="1700" w:hanging="1700"/>
        <w:rPr>
          <w:sz w:val="24"/>
          <w:u w:val="single"/>
        </w:rPr>
      </w:pPr>
      <w:r w:rsidRPr="00976DF0">
        <w:rPr>
          <w:sz w:val="24"/>
          <w:u w:val="single"/>
        </w:rPr>
        <w:t>Authority</w:t>
      </w:r>
    </w:p>
    <w:p w:rsidR="00A70664" w:rsidRDefault="00A70664" w:rsidP="00A70664">
      <w:pPr>
        <w:rPr>
          <w:sz w:val="24"/>
        </w:rPr>
      </w:pPr>
    </w:p>
    <w:p w:rsidR="00A70664" w:rsidRDefault="00A70664" w:rsidP="00A70664">
      <w:pPr>
        <w:rPr>
          <w:sz w:val="24"/>
        </w:rPr>
      </w:pPr>
      <w:r w:rsidRPr="00FE3E12">
        <w:rPr>
          <w:sz w:val="24"/>
        </w:rPr>
        <w:t xml:space="preserve">Subsection </w:t>
      </w:r>
      <w:proofErr w:type="spellStart"/>
      <w:proofErr w:type="gramStart"/>
      <w:r>
        <w:rPr>
          <w:sz w:val="24"/>
        </w:rPr>
        <w:t>176C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of the </w:t>
      </w:r>
      <w:r w:rsidRPr="00602657">
        <w:rPr>
          <w:i/>
          <w:color w:val="000000"/>
          <w:sz w:val="24"/>
          <w:szCs w:val="24"/>
        </w:rPr>
        <w:t xml:space="preserve">Education Services for </w:t>
      </w:r>
      <w:r>
        <w:rPr>
          <w:i/>
          <w:color w:val="000000"/>
          <w:sz w:val="24"/>
          <w:szCs w:val="24"/>
        </w:rPr>
        <w:t xml:space="preserve">the </w:t>
      </w:r>
      <w:r w:rsidRPr="00602657">
        <w:rPr>
          <w:i/>
          <w:color w:val="000000"/>
          <w:sz w:val="24"/>
          <w:szCs w:val="24"/>
        </w:rPr>
        <w:t>Overseas Students Act 2000</w:t>
      </w:r>
      <w:r>
        <w:rPr>
          <w:color w:val="000000"/>
          <w:sz w:val="24"/>
          <w:szCs w:val="24"/>
        </w:rPr>
        <w:t xml:space="preserve"> (the </w:t>
      </w:r>
      <w:r w:rsidRPr="00602657">
        <w:rPr>
          <w:color w:val="000000"/>
          <w:sz w:val="24"/>
          <w:szCs w:val="24"/>
        </w:rPr>
        <w:t>ESOS Act)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</w:rPr>
        <w:t xml:space="preserve">provides that the Minister may make the </w:t>
      </w:r>
      <w:r w:rsidRPr="00037BE4">
        <w:rPr>
          <w:i/>
          <w:sz w:val="24"/>
        </w:rPr>
        <w:t>Foundation Program Standards</w:t>
      </w:r>
      <w:r>
        <w:rPr>
          <w:sz w:val="24"/>
        </w:rPr>
        <w:t xml:space="preserve"> by legislative instrument.  </w:t>
      </w:r>
    </w:p>
    <w:p w:rsidR="007D268D" w:rsidRDefault="007D268D" w:rsidP="00A70664">
      <w:pPr>
        <w:rPr>
          <w:sz w:val="24"/>
        </w:rPr>
      </w:pPr>
    </w:p>
    <w:p w:rsidR="00A70664" w:rsidRDefault="00A70664" w:rsidP="00A70664">
      <w:pPr>
        <w:ind w:left="1700" w:hanging="1700"/>
        <w:rPr>
          <w:sz w:val="24"/>
          <w:u w:val="single"/>
        </w:rPr>
      </w:pPr>
      <w:r>
        <w:rPr>
          <w:sz w:val="24"/>
          <w:u w:val="single"/>
        </w:rPr>
        <w:t>Purpose and operation</w:t>
      </w:r>
    </w:p>
    <w:p w:rsidR="00A70664" w:rsidRDefault="00A70664" w:rsidP="00A70664">
      <w:pPr>
        <w:ind w:left="1700" w:hanging="1700"/>
        <w:rPr>
          <w:sz w:val="24"/>
          <w:u w:val="single"/>
        </w:rPr>
      </w:pPr>
    </w:p>
    <w:p w:rsidR="00037BE4" w:rsidRDefault="00261D71" w:rsidP="00E47268">
      <w:pPr>
        <w:rPr>
          <w:sz w:val="24"/>
          <w:szCs w:val="24"/>
        </w:rPr>
      </w:pPr>
      <w:r w:rsidRPr="00E47268">
        <w:rPr>
          <w:sz w:val="24"/>
          <w:szCs w:val="24"/>
        </w:rPr>
        <w:t xml:space="preserve">The purpose of the </w:t>
      </w:r>
      <w:r w:rsidR="00067B05">
        <w:rPr>
          <w:sz w:val="24"/>
          <w:szCs w:val="24"/>
        </w:rPr>
        <w:t>legislative instrument</w:t>
      </w:r>
      <w:r w:rsidRPr="00E47268">
        <w:rPr>
          <w:sz w:val="24"/>
          <w:szCs w:val="24"/>
        </w:rPr>
        <w:t xml:space="preserve"> is to </w:t>
      </w:r>
      <w:r w:rsidR="00E47268" w:rsidRPr="00E47268">
        <w:rPr>
          <w:sz w:val="24"/>
          <w:szCs w:val="24"/>
        </w:rPr>
        <w:t>specify the Foundation Program Standards</w:t>
      </w:r>
      <w:r w:rsidR="00037BE4">
        <w:rPr>
          <w:sz w:val="24"/>
          <w:szCs w:val="24"/>
        </w:rPr>
        <w:t xml:space="preserve">. </w:t>
      </w:r>
      <w:r w:rsidR="00E47268" w:rsidRPr="00E47268">
        <w:rPr>
          <w:sz w:val="24"/>
          <w:szCs w:val="24"/>
        </w:rPr>
        <w:t xml:space="preserve"> </w:t>
      </w:r>
    </w:p>
    <w:p w:rsidR="00037BE4" w:rsidRDefault="00037BE4" w:rsidP="00E47268">
      <w:pPr>
        <w:rPr>
          <w:sz w:val="24"/>
          <w:szCs w:val="24"/>
        </w:rPr>
      </w:pPr>
    </w:p>
    <w:p w:rsidR="00037BE4" w:rsidRDefault="00037BE4" w:rsidP="00037BE4">
      <w:pPr>
        <w:rPr>
          <w:sz w:val="24"/>
          <w:u w:val="single"/>
        </w:rPr>
      </w:pPr>
      <w:r>
        <w:rPr>
          <w:sz w:val="24"/>
        </w:rPr>
        <w:t xml:space="preserve">Paragraph </w:t>
      </w:r>
      <w:proofErr w:type="spellStart"/>
      <w:r>
        <w:rPr>
          <w:sz w:val="24"/>
        </w:rPr>
        <w:t>176C</w:t>
      </w:r>
      <w:proofErr w:type="spellEnd"/>
      <w:r>
        <w:rPr>
          <w:sz w:val="24"/>
        </w:rPr>
        <w:t xml:space="preserve">(2)(b) of the </w:t>
      </w:r>
      <w:proofErr w:type="spellStart"/>
      <w:r>
        <w:rPr>
          <w:sz w:val="24"/>
        </w:rPr>
        <w:t>ESOS</w:t>
      </w:r>
      <w:proofErr w:type="spellEnd"/>
      <w:r>
        <w:rPr>
          <w:sz w:val="24"/>
        </w:rPr>
        <w:t xml:space="preserve"> Act provides that, despite subsection 14(2) of the </w:t>
      </w:r>
      <w:r>
        <w:rPr>
          <w:i/>
          <w:sz w:val="24"/>
        </w:rPr>
        <w:t>Legislative Instruments Act 2003</w:t>
      </w:r>
      <w:r>
        <w:rPr>
          <w:sz w:val="24"/>
        </w:rPr>
        <w:t xml:space="preserve">, the </w:t>
      </w:r>
      <w:r w:rsidRPr="00037BE4">
        <w:rPr>
          <w:i/>
          <w:sz w:val="24"/>
        </w:rPr>
        <w:t>Foundation Program Standards</w:t>
      </w:r>
      <w:r>
        <w:rPr>
          <w:sz w:val="24"/>
        </w:rPr>
        <w:t xml:space="preserve"> may apply, adopt or incorporate, with or without modification any matter contained in any other instrument or writing, as existing from time to time. </w:t>
      </w:r>
      <w:r>
        <w:rPr>
          <w:sz w:val="24"/>
          <w:szCs w:val="24"/>
        </w:rPr>
        <w:t>T</w:t>
      </w:r>
      <w:r w:rsidRPr="00DC36D9">
        <w:rPr>
          <w:sz w:val="24"/>
          <w:szCs w:val="24"/>
        </w:rPr>
        <w:t xml:space="preserve">he </w:t>
      </w:r>
      <w:r w:rsidRPr="00037BE4">
        <w:rPr>
          <w:i/>
          <w:sz w:val="24"/>
        </w:rPr>
        <w:t>Foundation Program Standards</w:t>
      </w:r>
      <w:r>
        <w:rPr>
          <w:sz w:val="24"/>
          <w:szCs w:val="24"/>
        </w:rPr>
        <w:t xml:space="preserve"> incorporate the </w:t>
      </w:r>
      <w:r w:rsidRPr="00DC36D9">
        <w:rPr>
          <w:sz w:val="24"/>
          <w:szCs w:val="24"/>
        </w:rPr>
        <w:t xml:space="preserve">document known as the </w:t>
      </w:r>
      <w:r w:rsidRPr="00DC36D9">
        <w:rPr>
          <w:i/>
          <w:sz w:val="24"/>
          <w:szCs w:val="24"/>
        </w:rPr>
        <w:t>National Standards for Foundation Programs</w:t>
      </w:r>
      <w:r w:rsidRPr="00DC36D9">
        <w:rPr>
          <w:sz w:val="24"/>
          <w:szCs w:val="24"/>
        </w:rPr>
        <w:t xml:space="preserve"> is </w:t>
      </w:r>
      <w:r>
        <w:rPr>
          <w:sz w:val="24"/>
          <w:szCs w:val="24"/>
        </w:rPr>
        <w:t>as it exists from time to time.</w:t>
      </w:r>
    </w:p>
    <w:p w:rsidR="00037BE4" w:rsidRDefault="00037BE4" w:rsidP="00E47268">
      <w:pPr>
        <w:rPr>
          <w:sz w:val="24"/>
          <w:u w:val="single"/>
        </w:rPr>
      </w:pPr>
    </w:p>
    <w:p w:rsidR="00E47268" w:rsidRPr="00E47268" w:rsidRDefault="00E47268" w:rsidP="00E47268">
      <w:pPr>
        <w:rPr>
          <w:sz w:val="24"/>
          <w:szCs w:val="24"/>
        </w:rPr>
      </w:pPr>
      <w:r w:rsidRPr="00E47268">
        <w:rPr>
          <w:sz w:val="24"/>
          <w:szCs w:val="24"/>
        </w:rPr>
        <w:t xml:space="preserve">The document, </w:t>
      </w:r>
      <w:r w:rsidRPr="00E47268">
        <w:rPr>
          <w:i/>
          <w:iCs/>
          <w:sz w:val="24"/>
          <w:szCs w:val="24"/>
        </w:rPr>
        <w:t>National Standards for Foundation Programs</w:t>
      </w:r>
      <w:r w:rsidRPr="00E47268">
        <w:rPr>
          <w:iCs/>
          <w:sz w:val="24"/>
          <w:szCs w:val="24"/>
        </w:rPr>
        <w:t>, is</w:t>
      </w:r>
      <w:r w:rsidRPr="00E47268">
        <w:rPr>
          <w:sz w:val="24"/>
          <w:szCs w:val="24"/>
        </w:rPr>
        <w:t xml:space="preserve"> available </w:t>
      </w:r>
      <w:r w:rsidR="00EA2E98">
        <w:rPr>
          <w:sz w:val="24"/>
          <w:szCs w:val="24"/>
        </w:rPr>
        <w:t xml:space="preserve">on the internet at </w:t>
      </w:r>
      <w:hyperlink r:id="rId5" w:history="1">
        <w:r w:rsidR="00EA2E98" w:rsidRPr="00364DC1">
          <w:rPr>
            <w:rStyle w:val="Hyperlink"/>
            <w:sz w:val="24"/>
            <w:szCs w:val="24"/>
          </w:rPr>
          <w:t>http://aei.gov.au/AEI/ESOS/NationalFoundationPS.htm</w:t>
        </w:r>
      </w:hyperlink>
      <w:r w:rsidR="00EA2E98">
        <w:rPr>
          <w:sz w:val="24"/>
          <w:szCs w:val="24"/>
        </w:rPr>
        <w:t xml:space="preserve"> </w:t>
      </w:r>
    </w:p>
    <w:p w:rsidR="00E47268" w:rsidRDefault="00E47268" w:rsidP="00261D71">
      <w:pPr>
        <w:rPr>
          <w:sz w:val="24"/>
        </w:rPr>
      </w:pPr>
    </w:p>
    <w:p w:rsidR="003A4C8D" w:rsidRPr="003A4C8D" w:rsidRDefault="00E47268" w:rsidP="003A4C8D">
      <w:pPr>
        <w:rPr>
          <w:sz w:val="24"/>
        </w:rPr>
      </w:pPr>
      <w:r>
        <w:rPr>
          <w:sz w:val="24"/>
        </w:rPr>
        <w:t xml:space="preserve">The </w:t>
      </w:r>
      <w:r w:rsidRPr="00DC36D9">
        <w:rPr>
          <w:i/>
          <w:sz w:val="24"/>
          <w:szCs w:val="24"/>
        </w:rPr>
        <w:t>National Standards for Foundation Programs</w:t>
      </w:r>
      <w:r>
        <w:rPr>
          <w:sz w:val="24"/>
          <w:szCs w:val="24"/>
        </w:rPr>
        <w:t xml:space="preserve">, as incorporated into the </w:t>
      </w:r>
      <w:r w:rsidRPr="00037BE4">
        <w:rPr>
          <w:i/>
          <w:sz w:val="24"/>
        </w:rPr>
        <w:t>Foundation Program Standards</w:t>
      </w:r>
      <w:r>
        <w:rPr>
          <w:sz w:val="24"/>
        </w:rPr>
        <w:t>,</w:t>
      </w:r>
      <w:r w:rsidR="00037BE4">
        <w:rPr>
          <w:sz w:val="24"/>
        </w:rPr>
        <w:t xml:space="preserve"> </w:t>
      </w:r>
      <w:r w:rsidR="003A4C8D" w:rsidRPr="003A4C8D">
        <w:rPr>
          <w:sz w:val="24"/>
        </w:rPr>
        <w:t>are gu</w:t>
      </w:r>
      <w:r w:rsidR="003A4C8D">
        <w:rPr>
          <w:sz w:val="24"/>
        </w:rPr>
        <w:t xml:space="preserve">idelines for </w:t>
      </w:r>
      <w:r w:rsidR="003A4C8D" w:rsidRPr="003A4C8D">
        <w:rPr>
          <w:sz w:val="24"/>
        </w:rPr>
        <w:t xml:space="preserve">regulatory authorities to make recommendations for acceptance of providers to be registered on the Commonwealth Register of Institutions and Courses for Overseas Students </w:t>
      </w:r>
      <w:r w:rsidR="003A4C8D">
        <w:rPr>
          <w:sz w:val="24"/>
        </w:rPr>
        <w:t>(</w:t>
      </w:r>
      <w:r w:rsidR="003A4C8D" w:rsidRPr="003A4C8D">
        <w:rPr>
          <w:sz w:val="24"/>
        </w:rPr>
        <w:t>CRICOS</w:t>
      </w:r>
      <w:r w:rsidR="003A4C8D">
        <w:rPr>
          <w:sz w:val="24"/>
        </w:rPr>
        <w:t>) under the</w:t>
      </w:r>
      <w:r w:rsidR="003A4C8D" w:rsidRPr="003A4C8D">
        <w:rPr>
          <w:sz w:val="24"/>
        </w:rPr>
        <w:t xml:space="preserve"> Education Services for Ove</w:t>
      </w:r>
      <w:r w:rsidR="00C753EF">
        <w:rPr>
          <w:sz w:val="24"/>
        </w:rPr>
        <w:t>rseas Students (ESOS) legislative</w:t>
      </w:r>
      <w:r w:rsidR="003A4C8D" w:rsidRPr="003A4C8D">
        <w:rPr>
          <w:sz w:val="24"/>
        </w:rPr>
        <w:t xml:space="preserve"> framework</w:t>
      </w:r>
      <w:r w:rsidR="003A4C8D">
        <w:rPr>
          <w:sz w:val="24"/>
        </w:rPr>
        <w:t xml:space="preserve">. Foundation Program </w:t>
      </w:r>
      <w:r w:rsidR="003A4C8D" w:rsidRPr="003A4C8D">
        <w:rPr>
          <w:sz w:val="24"/>
        </w:rPr>
        <w:t xml:space="preserve">courses </w:t>
      </w:r>
      <w:r w:rsidR="003A4C8D">
        <w:rPr>
          <w:sz w:val="24"/>
        </w:rPr>
        <w:t xml:space="preserve">are </w:t>
      </w:r>
      <w:r w:rsidR="003A4C8D" w:rsidRPr="003A4C8D">
        <w:rPr>
          <w:sz w:val="24"/>
        </w:rPr>
        <w:t>designed for international students to equip them with the skills and capabilities to seek entry into higher education programs in Australia.  Generally, F</w:t>
      </w:r>
      <w:r w:rsidR="003A4C8D">
        <w:rPr>
          <w:sz w:val="24"/>
        </w:rPr>
        <w:t xml:space="preserve">oundation </w:t>
      </w:r>
      <w:r w:rsidR="003A4C8D" w:rsidRPr="003A4C8D">
        <w:rPr>
          <w:sz w:val="24"/>
        </w:rPr>
        <w:t>P</w:t>
      </w:r>
      <w:r w:rsidR="003A4C8D">
        <w:rPr>
          <w:sz w:val="24"/>
        </w:rPr>
        <w:t>rogram</w:t>
      </w:r>
      <w:r w:rsidR="003A4C8D" w:rsidRPr="003A4C8D">
        <w:rPr>
          <w:sz w:val="24"/>
        </w:rPr>
        <w:t xml:space="preserve">s provide an academic entry pathway to first year undergraduate study or its equivalent. </w:t>
      </w:r>
      <w:r w:rsidR="003A4C8D">
        <w:rPr>
          <w:sz w:val="24"/>
        </w:rPr>
        <w:t>The</w:t>
      </w:r>
      <w:r w:rsidR="003A4C8D" w:rsidRPr="00EA2E98">
        <w:rPr>
          <w:sz w:val="24"/>
        </w:rPr>
        <w:t xml:space="preserve"> </w:t>
      </w:r>
      <w:r w:rsidR="003A4C8D">
        <w:rPr>
          <w:sz w:val="24"/>
        </w:rPr>
        <w:t>Standards</w:t>
      </w:r>
      <w:r w:rsidR="003A4C8D" w:rsidRPr="00EA2E98">
        <w:rPr>
          <w:sz w:val="24"/>
        </w:rPr>
        <w:t xml:space="preserve"> enhance Australia’s reputation as a quality international education provider to international edu</w:t>
      </w:r>
      <w:r w:rsidR="00C753EF">
        <w:rPr>
          <w:sz w:val="24"/>
        </w:rPr>
        <w:t>cation markets and</w:t>
      </w:r>
      <w:r w:rsidR="003A4C8D" w:rsidRPr="00EA2E98">
        <w:rPr>
          <w:sz w:val="24"/>
        </w:rPr>
        <w:t xml:space="preserve"> assist in attracting high quality international students to Australi</w:t>
      </w:r>
      <w:r w:rsidR="003A4C8D">
        <w:rPr>
          <w:sz w:val="24"/>
        </w:rPr>
        <w:t>a.</w:t>
      </w:r>
    </w:p>
    <w:p w:rsidR="003A4C8D" w:rsidRPr="003A4C8D" w:rsidRDefault="003A4C8D" w:rsidP="003A4C8D">
      <w:pPr>
        <w:rPr>
          <w:sz w:val="24"/>
        </w:rPr>
      </w:pPr>
    </w:p>
    <w:p w:rsidR="00E47268" w:rsidRDefault="00E47268" w:rsidP="00261D71">
      <w:pPr>
        <w:rPr>
          <w:sz w:val="24"/>
        </w:rPr>
      </w:pPr>
      <w:r w:rsidRPr="007D268D">
        <w:rPr>
          <w:color w:val="000000"/>
          <w:sz w:val="24"/>
          <w:szCs w:val="24"/>
        </w:rPr>
        <w:t xml:space="preserve">The </w:t>
      </w:r>
      <w:r w:rsidRPr="00DC36D9">
        <w:rPr>
          <w:i/>
          <w:sz w:val="24"/>
          <w:szCs w:val="24"/>
        </w:rPr>
        <w:t>National Standards for Foundation Programs</w:t>
      </w:r>
      <w:r w:rsidRPr="00DC36D9">
        <w:rPr>
          <w:sz w:val="24"/>
          <w:szCs w:val="24"/>
        </w:rPr>
        <w:t xml:space="preserve"> </w:t>
      </w:r>
      <w:r w:rsidRPr="007D268D">
        <w:rPr>
          <w:rFonts w:ascii="AGaramond-Regular" w:hAnsi="AGaramond-Regular" w:cs="AGaramond-Regular"/>
          <w:sz w:val="24"/>
          <w:szCs w:val="24"/>
          <w:lang w:eastAsia="en-AU"/>
        </w:rPr>
        <w:t>have been endorsed by State and Territory Governments</w:t>
      </w:r>
      <w:r w:rsidRPr="007D268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A24115">
        <w:rPr>
          <w:sz w:val="24"/>
          <w:szCs w:val="24"/>
        </w:rPr>
        <w:t>agreed by all Ministers</w:t>
      </w:r>
      <w:r>
        <w:rPr>
          <w:sz w:val="24"/>
          <w:szCs w:val="24"/>
        </w:rPr>
        <w:t xml:space="preserve"> on the </w:t>
      </w:r>
      <w:r w:rsidRPr="00A24115">
        <w:rPr>
          <w:sz w:val="24"/>
          <w:szCs w:val="24"/>
        </w:rPr>
        <w:t xml:space="preserve">Ministerial Council for </w:t>
      </w:r>
      <w:r w:rsidRPr="007D268D">
        <w:rPr>
          <w:sz w:val="24"/>
          <w:szCs w:val="24"/>
        </w:rPr>
        <w:t>Tertiary Education and Employment (MCTEE)</w:t>
      </w:r>
      <w:r>
        <w:rPr>
          <w:sz w:val="24"/>
          <w:szCs w:val="24"/>
        </w:rPr>
        <w:t>.</w:t>
      </w:r>
    </w:p>
    <w:p w:rsidR="00BA1BDA" w:rsidRDefault="00BA1BDA" w:rsidP="00261D71">
      <w:pPr>
        <w:rPr>
          <w:sz w:val="24"/>
          <w:u w:val="single"/>
        </w:rPr>
      </w:pPr>
    </w:p>
    <w:p w:rsidR="00F6672B" w:rsidRDefault="00A70664" w:rsidP="00F6672B">
      <w:pPr>
        <w:rPr>
          <w:sz w:val="24"/>
        </w:rPr>
      </w:pPr>
      <w:r w:rsidRPr="00F6672B">
        <w:rPr>
          <w:sz w:val="24"/>
        </w:rPr>
        <w:t xml:space="preserve">The </w:t>
      </w:r>
      <w:r w:rsidRPr="00F6672B">
        <w:rPr>
          <w:i/>
          <w:sz w:val="24"/>
        </w:rPr>
        <w:t>Foundation Program Standards</w:t>
      </w:r>
      <w:r w:rsidRPr="00F6672B">
        <w:rPr>
          <w:sz w:val="24"/>
        </w:rPr>
        <w:t xml:space="preserve"> </w:t>
      </w:r>
      <w:r w:rsidR="00261D71" w:rsidRPr="00F6672B">
        <w:rPr>
          <w:sz w:val="24"/>
        </w:rPr>
        <w:t>commence</w:t>
      </w:r>
      <w:r w:rsidRPr="00F6672B">
        <w:rPr>
          <w:sz w:val="24"/>
        </w:rPr>
        <w:t xml:space="preserve"> </w:t>
      </w:r>
      <w:r w:rsidR="00067B05">
        <w:rPr>
          <w:bCs/>
          <w:color w:val="000000"/>
          <w:sz w:val="24"/>
          <w:szCs w:val="24"/>
        </w:rPr>
        <w:t xml:space="preserve">on the commencement of item 7 of the table in subsection 2(1) </w:t>
      </w:r>
      <w:r w:rsidR="00067B05" w:rsidRPr="00067B05">
        <w:rPr>
          <w:bCs/>
          <w:color w:val="000000"/>
          <w:sz w:val="24"/>
          <w:szCs w:val="24"/>
        </w:rPr>
        <w:t xml:space="preserve">of the </w:t>
      </w:r>
      <w:r w:rsidR="00067B05" w:rsidRPr="00067B05">
        <w:rPr>
          <w:bCs/>
          <w:i/>
          <w:color w:val="000000"/>
          <w:sz w:val="24"/>
          <w:szCs w:val="24"/>
        </w:rPr>
        <w:t>National Vocational Education and Training Regulator (Consequential Amendments) Act 2011</w:t>
      </w:r>
      <w:r w:rsidR="00067B05">
        <w:rPr>
          <w:color w:val="000000"/>
          <w:sz w:val="24"/>
          <w:szCs w:val="24"/>
        </w:rPr>
        <w:t>, w</w:t>
      </w:r>
      <w:r w:rsidR="00067B05" w:rsidRPr="00067B05">
        <w:rPr>
          <w:color w:val="000000"/>
          <w:sz w:val="24"/>
          <w:szCs w:val="24"/>
        </w:rPr>
        <w:t>hich will be a day to be fixed by Proclamation or six months after the Act receives the Royal Assent, whichever is sooner</w:t>
      </w:r>
      <w:r w:rsidR="00F6672B" w:rsidRPr="00F6672B">
        <w:rPr>
          <w:sz w:val="24"/>
        </w:rPr>
        <w:t>.</w:t>
      </w:r>
    </w:p>
    <w:p w:rsidR="00F6672B" w:rsidRPr="00F6672B" w:rsidRDefault="00F6672B" w:rsidP="00F6672B">
      <w:pPr>
        <w:rPr>
          <w:sz w:val="24"/>
        </w:rPr>
      </w:pPr>
    </w:p>
    <w:p w:rsidR="00A70664" w:rsidRDefault="00A70664" w:rsidP="00A70664">
      <w:pPr>
        <w:rPr>
          <w:color w:val="000000"/>
          <w:sz w:val="24"/>
          <w:szCs w:val="24"/>
        </w:rPr>
      </w:pPr>
    </w:p>
    <w:p w:rsidR="00261D71" w:rsidRDefault="00261D71" w:rsidP="00261D71">
      <w:pPr>
        <w:rPr>
          <w:color w:val="000000"/>
          <w:sz w:val="24"/>
          <w:szCs w:val="24"/>
          <w:u w:val="single"/>
          <w:lang w:val="en-US"/>
        </w:rPr>
      </w:pPr>
      <w:r>
        <w:rPr>
          <w:color w:val="000000"/>
          <w:sz w:val="24"/>
          <w:szCs w:val="24"/>
          <w:u w:val="single"/>
          <w:lang w:val="en-US"/>
        </w:rPr>
        <w:lastRenderedPageBreak/>
        <w:t>C</w:t>
      </w:r>
      <w:r w:rsidRPr="00A52905">
        <w:rPr>
          <w:color w:val="000000"/>
          <w:sz w:val="24"/>
          <w:szCs w:val="24"/>
          <w:u w:val="single"/>
          <w:lang w:val="en-US"/>
        </w:rPr>
        <w:t>onsultation with industry</w:t>
      </w:r>
    </w:p>
    <w:p w:rsidR="00261D71" w:rsidRPr="00A52905" w:rsidRDefault="00261D71" w:rsidP="00261D71">
      <w:pPr>
        <w:rPr>
          <w:color w:val="000000"/>
          <w:sz w:val="24"/>
          <w:szCs w:val="24"/>
          <w:u w:val="single"/>
          <w:lang w:val="en-US"/>
        </w:rPr>
      </w:pPr>
    </w:p>
    <w:p w:rsidR="00EA2E98" w:rsidRPr="00EA2E98" w:rsidRDefault="00EA2E98" w:rsidP="00EA2E98">
      <w:pPr>
        <w:rPr>
          <w:sz w:val="24"/>
        </w:rPr>
      </w:pPr>
      <w:r w:rsidRPr="00EA2E98">
        <w:rPr>
          <w:sz w:val="24"/>
        </w:rPr>
        <w:t>The F</w:t>
      </w:r>
      <w:r>
        <w:rPr>
          <w:sz w:val="24"/>
        </w:rPr>
        <w:t xml:space="preserve">oundation </w:t>
      </w:r>
      <w:r w:rsidRPr="00EA2E98">
        <w:rPr>
          <w:sz w:val="24"/>
        </w:rPr>
        <w:t>P</w:t>
      </w:r>
      <w:r>
        <w:rPr>
          <w:sz w:val="24"/>
        </w:rPr>
        <w:t>rogram S</w:t>
      </w:r>
      <w:r w:rsidR="001807E7">
        <w:rPr>
          <w:sz w:val="24"/>
        </w:rPr>
        <w:t xml:space="preserve">tandards were </w:t>
      </w:r>
      <w:r w:rsidRPr="00EA2E98">
        <w:rPr>
          <w:sz w:val="24"/>
        </w:rPr>
        <w:t>deve</w:t>
      </w:r>
      <w:r w:rsidR="006416D1">
        <w:rPr>
          <w:sz w:val="24"/>
        </w:rPr>
        <w:t>loped in consultation with the s</w:t>
      </w:r>
      <w:r w:rsidR="00C753EF">
        <w:rPr>
          <w:sz w:val="24"/>
        </w:rPr>
        <w:t>tates and t</w:t>
      </w:r>
      <w:r w:rsidRPr="00EA2E98">
        <w:rPr>
          <w:sz w:val="24"/>
        </w:rPr>
        <w:t>erritories, peak industry bodies and relevant Australian Government agencies for the purposes of ensuring national consistency in the registrat</w:t>
      </w:r>
      <w:r>
        <w:rPr>
          <w:sz w:val="24"/>
        </w:rPr>
        <w:t>ion of Foundation Programs.  The S</w:t>
      </w:r>
      <w:r w:rsidRPr="00EA2E98">
        <w:rPr>
          <w:sz w:val="24"/>
        </w:rPr>
        <w:t>tandards</w:t>
      </w:r>
      <w:r>
        <w:rPr>
          <w:sz w:val="24"/>
        </w:rPr>
        <w:t xml:space="preserve"> were implemented in 2010 and a</w:t>
      </w:r>
      <w:r w:rsidRPr="00EA2E98">
        <w:rPr>
          <w:sz w:val="24"/>
        </w:rPr>
        <w:t>ll providers offering F</w:t>
      </w:r>
      <w:r>
        <w:rPr>
          <w:sz w:val="24"/>
        </w:rPr>
        <w:t xml:space="preserve">oundation </w:t>
      </w:r>
      <w:r w:rsidRPr="00EA2E98">
        <w:rPr>
          <w:sz w:val="24"/>
        </w:rPr>
        <w:t>P</w:t>
      </w:r>
      <w:r>
        <w:rPr>
          <w:sz w:val="24"/>
        </w:rPr>
        <w:t>rogram</w:t>
      </w:r>
      <w:r w:rsidRPr="00EA2E98">
        <w:rPr>
          <w:sz w:val="24"/>
        </w:rPr>
        <w:t xml:space="preserve"> courses</w:t>
      </w:r>
      <w:r w:rsidR="00876FCD">
        <w:rPr>
          <w:sz w:val="24"/>
        </w:rPr>
        <w:t xml:space="preserve"> to</w:t>
      </w:r>
      <w:r>
        <w:rPr>
          <w:sz w:val="24"/>
        </w:rPr>
        <w:t xml:space="preserve"> international students were</w:t>
      </w:r>
      <w:r w:rsidRPr="00EA2E98">
        <w:rPr>
          <w:sz w:val="24"/>
        </w:rPr>
        <w:t xml:space="preserve"> required to</w:t>
      </w:r>
      <w:r w:rsidR="001807E7">
        <w:rPr>
          <w:sz w:val="24"/>
        </w:rPr>
        <w:t xml:space="preserve"> be fully compliant</w:t>
      </w:r>
      <w:r>
        <w:rPr>
          <w:sz w:val="24"/>
        </w:rPr>
        <w:t xml:space="preserve"> with the S</w:t>
      </w:r>
      <w:r w:rsidRPr="00EA2E98">
        <w:rPr>
          <w:sz w:val="24"/>
        </w:rPr>
        <w:t>tandards by 1 January 2011</w:t>
      </w:r>
      <w:r w:rsidR="00C753EF">
        <w:rPr>
          <w:sz w:val="24"/>
        </w:rPr>
        <w:t>. At the time the Standards were developed and implemented</w:t>
      </w:r>
      <w:r w:rsidR="001807E7">
        <w:rPr>
          <w:sz w:val="24"/>
        </w:rPr>
        <w:t xml:space="preserve">, States and territories </w:t>
      </w:r>
      <w:r w:rsidRPr="00EA2E98">
        <w:rPr>
          <w:sz w:val="24"/>
        </w:rPr>
        <w:t>recognised their role in the application of the F</w:t>
      </w:r>
      <w:r w:rsidR="001807E7">
        <w:rPr>
          <w:sz w:val="24"/>
        </w:rPr>
        <w:t xml:space="preserve">oundation </w:t>
      </w:r>
      <w:r w:rsidRPr="00EA2E98">
        <w:rPr>
          <w:sz w:val="24"/>
        </w:rPr>
        <w:t>P</w:t>
      </w:r>
      <w:r w:rsidR="001807E7">
        <w:rPr>
          <w:sz w:val="24"/>
        </w:rPr>
        <w:t>rogram S</w:t>
      </w:r>
      <w:r w:rsidRPr="00EA2E98">
        <w:rPr>
          <w:sz w:val="24"/>
        </w:rPr>
        <w:t xml:space="preserve">tandards </w:t>
      </w:r>
      <w:r w:rsidR="001807E7">
        <w:rPr>
          <w:sz w:val="24"/>
        </w:rPr>
        <w:t xml:space="preserve">in their jurisdictions and </w:t>
      </w:r>
      <w:r w:rsidRPr="00EA2E98">
        <w:rPr>
          <w:sz w:val="24"/>
        </w:rPr>
        <w:t xml:space="preserve">acknowledged the need to have national consistency in implementation as far as possible.  </w:t>
      </w:r>
      <w:r w:rsidR="00876FCD">
        <w:rPr>
          <w:sz w:val="24"/>
        </w:rPr>
        <w:t>Consequently</w:t>
      </w:r>
      <w:r w:rsidR="001807E7">
        <w:rPr>
          <w:sz w:val="24"/>
        </w:rPr>
        <w:t xml:space="preserve"> </w:t>
      </w:r>
      <w:r w:rsidR="003A4C8D">
        <w:rPr>
          <w:sz w:val="24"/>
        </w:rPr>
        <w:t xml:space="preserve">with the establishment of the Tertiary Education Quality Standards Agency (TEQSA) and the Australian Skills Quality Authority (ASQA) the national regulators </w:t>
      </w:r>
      <w:r w:rsidRPr="00EA2E98">
        <w:rPr>
          <w:sz w:val="24"/>
        </w:rPr>
        <w:t>will</w:t>
      </w:r>
      <w:r w:rsidR="00876FCD">
        <w:rPr>
          <w:sz w:val="24"/>
        </w:rPr>
        <w:t xml:space="preserve"> now</w:t>
      </w:r>
      <w:r w:rsidRPr="00EA2E98">
        <w:rPr>
          <w:sz w:val="24"/>
        </w:rPr>
        <w:t xml:space="preserve"> be responsible for administering registration and quality assurance mechanisms for F</w:t>
      </w:r>
      <w:r w:rsidR="003A4C8D">
        <w:rPr>
          <w:sz w:val="24"/>
        </w:rPr>
        <w:t xml:space="preserve">oundation </w:t>
      </w:r>
      <w:r w:rsidRPr="00EA2E98">
        <w:rPr>
          <w:sz w:val="24"/>
        </w:rPr>
        <w:t>P</w:t>
      </w:r>
      <w:r w:rsidR="003A4C8D">
        <w:rPr>
          <w:sz w:val="24"/>
        </w:rPr>
        <w:t>rogram</w:t>
      </w:r>
      <w:r w:rsidRPr="00EA2E98">
        <w:rPr>
          <w:sz w:val="24"/>
        </w:rPr>
        <w:t>s</w:t>
      </w:r>
      <w:r w:rsidR="00E85972">
        <w:rPr>
          <w:sz w:val="24"/>
        </w:rPr>
        <w:t xml:space="preserve"> as determined by the Minister under the ESOS Act</w:t>
      </w:r>
      <w:r w:rsidRPr="00EA2E98">
        <w:rPr>
          <w:sz w:val="24"/>
        </w:rPr>
        <w:t>.</w:t>
      </w:r>
    </w:p>
    <w:p w:rsidR="00E47268" w:rsidRDefault="00E47268" w:rsidP="00261D71">
      <w:pPr>
        <w:rPr>
          <w:b/>
          <w:color w:val="000000"/>
          <w:sz w:val="28"/>
          <w:szCs w:val="28"/>
        </w:rPr>
      </w:pPr>
    </w:p>
    <w:p w:rsidR="00A70664" w:rsidRDefault="00A70664" w:rsidP="00A70664">
      <w:pPr>
        <w:rPr>
          <w:color w:val="000000"/>
          <w:sz w:val="24"/>
          <w:szCs w:val="24"/>
          <w:u w:val="single"/>
          <w:lang w:val="en-US"/>
        </w:rPr>
      </w:pPr>
      <w:r w:rsidRPr="00666B21">
        <w:rPr>
          <w:color w:val="000000"/>
          <w:sz w:val="24"/>
          <w:szCs w:val="24"/>
          <w:u w:val="single"/>
          <w:lang w:val="en-US"/>
        </w:rPr>
        <w:t>Consultation with other government agencies</w:t>
      </w:r>
    </w:p>
    <w:p w:rsidR="00A70664" w:rsidRPr="00666B21" w:rsidRDefault="00A70664" w:rsidP="00A70664">
      <w:pPr>
        <w:rPr>
          <w:color w:val="000000"/>
          <w:sz w:val="24"/>
          <w:szCs w:val="24"/>
          <w:u w:val="single"/>
          <w:lang w:val="en-US"/>
        </w:rPr>
      </w:pPr>
    </w:p>
    <w:p w:rsidR="00936A1A" w:rsidRPr="00936A1A" w:rsidRDefault="00936A1A" w:rsidP="00936A1A">
      <w:pPr>
        <w:rPr>
          <w:color w:val="000000"/>
          <w:sz w:val="24"/>
          <w:szCs w:val="24"/>
          <w:lang w:val="en-US"/>
        </w:rPr>
      </w:pPr>
      <w:r w:rsidRPr="00936A1A">
        <w:rPr>
          <w:color w:val="000000"/>
          <w:sz w:val="24"/>
          <w:szCs w:val="24"/>
          <w:lang w:val="en-US"/>
        </w:rPr>
        <w:t>The previous Department of Immigration and Multicultural Affairs and the previous Department of E</w:t>
      </w:r>
      <w:r>
        <w:rPr>
          <w:color w:val="000000"/>
          <w:sz w:val="24"/>
          <w:szCs w:val="24"/>
          <w:lang w:val="en-US"/>
        </w:rPr>
        <w:t>ducation, Science and Training (DEST)</w:t>
      </w:r>
      <w:r w:rsidRPr="00936A1A">
        <w:rPr>
          <w:color w:val="000000"/>
          <w:sz w:val="24"/>
          <w:szCs w:val="24"/>
          <w:lang w:val="en-US"/>
        </w:rPr>
        <w:t xml:space="preserve"> facilitated discussions </w:t>
      </w:r>
      <w:r w:rsidR="00565D5F">
        <w:rPr>
          <w:color w:val="000000"/>
          <w:sz w:val="24"/>
          <w:szCs w:val="24"/>
          <w:lang w:val="en-US"/>
        </w:rPr>
        <w:t xml:space="preserve">throughout 2004-2005 </w:t>
      </w:r>
      <w:r w:rsidRPr="00936A1A">
        <w:rPr>
          <w:color w:val="000000"/>
          <w:sz w:val="24"/>
          <w:szCs w:val="24"/>
          <w:lang w:val="en-US"/>
        </w:rPr>
        <w:t>through a stakeholder workshop</w:t>
      </w:r>
      <w:r w:rsidR="0054708A">
        <w:rPr>
          <w:color w:val="000000"/>
          <w:sz w:val="24"/>
          <w:szCs w:val="24"/>
          <w:lang w:val="en-US"/>
        </w:rPr>
        <w:t xml:space="preserve"> and the establishment of a </w:t>
      </w:r>
      <w:r w:rsidR="0054708A" w:rsidRPr="00936A1A">
        <w:rPr>
          <w:color w:val="000000"/>
          <w:sz w:val="24"/>
          <w:szCs w:val="24"/>
          <w:lang w:val="en-US"/>
        </w:rPr>
        <w:t>Foundation Programs</w:t>
      </w:r>
      <w:r w:rsidR="00565D5F">
        <w:rPr>
          <w:color w:val="000000"/>
          <w:sz w:val="24"/>
          <w:szCs w:val="24"/>
          <w:lang w:val="en-US"/>
        </w:rPr>
        <w:t xml:space="preserve"> Working Group (</w:t>
      </w:r>
      <w:proofErr w:type="spellStart"/>
      <w:r w:rsidR="00565D5F">
        <w:rPr>
          <w:color w:val="000000"/>
          <w:sz w:val="24"/>
          <w:szCs w:val="24"/>
          <w:lang w:val="en-US"/>
        </w:rPr>
        <w:t>FPWG</w:t>
      </w:r>
      <w:proofErr w:type="spellEnd"/>
      <w:r w:rsidR="00565D5F">
        <w:rPr>
          <w:color w:val="000000"/>
          <w:sz w:val="24"/>
          <w:szCs w:val="24"/>
          <w:lang w:val="en-US"/>
        </w:rPr>
        <w:t>)</w:t>
      </w:r>
      <w:r w:rsidR="0054708A">
        <w:rPr>
          <w:color w:val="000000"/>
          <w:sz w:val="24"/>
          <w:szCs w:val="24"/>
          <w:lang w:val="en-US"/>
        </w:rPr>
        <w:t xml:space="preserve"> including </w:t>
      </w:r>
      <w:r w:rsidR="00565D5F">
        <w:rPr>
          <w:color w:val="000000"/>
          <w:sz w:val="24"/>
          <w:szCs w:val="24"/>
          <w:lang w:val="en-US"/>
        </w:rPr>
        <w:t>s</w:t>
      </w:r>
      <w:r w:rsidR="0054708A">
        <w:rPr>
          <w:color w:val="000000"/>
          <w:sz w:val="24"/>
          <w:szCs w:val="24"/>
          <w:lang w:val="en-US"/>
        </w:rPr>
        <w:t xml:space="preserve">tate and territory education department representatives and a Department of Immigration and Citizenship representative among others. The </w:t>
      </w:r>
      <w:proofErr w:type="spellStart"/>
      <w:r w:rsidR="0054708A">
        <w:rPr>
          <w:color w:val="000000"/>
          <w:sz w:val="24"/>
          <w:szCs w:val="24"/>
          <w:lang w:val="en-US"/>
        </w:rPr>
        <w:t>FPWG</w:t>
      </w:r>
      <w:proofErr w:type="spellEnd"/>
      <w:r w:rsidR="0054708A">
        <w:rPr>
          <w:color w:val="000000"/>
          <w:sz w:val="24"/>
          <w:szCs w:val="24"/>
          <w:lang w:val="en-US"/>
        </w:rPr>
        <w:t xml:space="preserve"> </w:t>
      </w:r>
      <w:r w:rsidRPr="00936A1A">
        <w:rPr>
          <w:color w:val="000000"/>
          <w:sz w:val="24"/>
          <w:szCs w:val="24"/>
          <w:lang w:val="en-US"/>
        </w:rPr>
        <w:t>consider</w:t>
      </w:r>
      <w:r w:rsidR="0054708A">
        <w:rPr>
          <w:color w:val="000000"/>
          <w:sz w:val="24"/>
          <w:szCs w:val="24"/>
          <w:lang w:val="en-US"/>
        </w:rPr>
        <w:t>ed</w:t>
      </w:r>
      <w:r w:rsidRPr="00936A1A">
        <w:rPr>
          <w:color w:val="000000"/>
          <w:sz w:val="24"/>
          <w:szCs w:val="24"/>
          <w:lang w:val="en-US"/>
        </w:rPr>
        <w:t xml:space="preserve"> issues relating to the diversity of purpose, content, nomenclature and quality assurance of F</w:t>
      </w:r>
      <w:r>
        <w:rPr>
          <w:color w:val="000000"/>
          <w:sz w:val="24"/>
          <w:szCs w:val="24"/>
          <w:lang w:val="en-US"/>
        </w:rPr>
        <w:t xml:space="preserve">oundation </w:t>
      </w:r>
      <w:r w:rsidRPr="00936A1A"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lang w:val="en-US"/>
        </w:rPr>
        <w:t>rogram</w:t>
      </w:r>
      <w:r w:rsidR="0054708A">
        <w:rPr>
          <w:color w:val="000000"/>
          <w:sz w:val="24"/>
          <w:szCs w:val="24"/>
          <w:lang w:val="en-US"/>
        </w:rPr>
        <w:t xml:space="preserve">s and </w:t>
      </w:r>
      <w:r w:rsidRPr="00936A1A">
        <w:rPr>
          <w:color w:val="000000"/>
          <w:sz w:val="24"/>
          <w:szCs w:val="24"/>
          <w:lang w:val="en-US"/>
        </w:rPr>
        <w:t>recommend</w:t>
      </w:r>
      <w:r w:rsidR="0054708A">
        <w:rPr>
          <w:color w:val="000000"/>
          <w:sz w:val="24"/>
          <w:szCs w:val="24"/>
          <w:lang w:val="en-US"/>
        </w:rPr>
        <w:t xml:space="preserve">ed ways to improve the </w:t>
      </w:r>
      <w:r w:rsidRPr="00936A1A">
        <w:rPr>
          <w:color w:val="000000"/>
          <w:sz w:val="24"/>
          <w:szCs w:val="24"/>
          <w:lang w:val="en-US"/>
        </w:rPr>
        <w:t>quality and consistency</w:t>
      </w:r>
      <w:r w:rsidR="0054708A">
        <w:rPr>
          <w:color w:val="000000"/>
          <w:sz w:val="24"/>
          <w:szCs w:val="24"/>
          <w:lang w:val="en-US"/>
        </w:rPr>
        <w:t xml:space="preserve"> of programs</w:t>
      </w:r>
      <w:r w:rsidRPr="00936A1A">
        <w:rPr>
          <w:color w:val="000000"/>
          <w:sz w:val="24"/>
          <w:szCs w:val="24"/>
          <w:lang w:val="en-US"/>
        </w:rPr>
        <w:t xml:space="preserve"> for international students.  The </w:t>
      </w:r>
      <w:proofErr w:type="spellStart"/>
      <w:r w:rsidR="00565D5F">
        <w:rPr>
          <w:color w:val="000000"/>
          <w:sz w:val="24"/>
          <w:szCs w:val="24"/>
          <w:lang w:val="en-US"/>
        </w:rPr>
        <w:t>FPWG</w:t>
      </w:r>
      <w:proofErr w:type="spellEnd"/>
      <w:r w:rsidR="00565D5F" w:rsidRPr="00936A1A">
        <w:rPr>
          <w:color w:val="000000"/>
          <w:sz w:val="24"/>
          <w:szCs w:val="24"/>
          <w:lang w:val="en-US"/>
        </w:rPr>
        <w:t xml:space="preserve"> </w:t>
      </w:r>
      <w:r w:rsidRPr="00936A1A">
        <w:rPr>
          <w:color w:val="000000"/>
          <w:sz w:val="24"/>
          <w:szCs w:val="24"/>
          <w:lang w:val="en-US"/>
        </w:rPr>
        <w:t xml:space="preserve">also addressed industry concerns about the quality and consistency in the way </w:t>
      </w:r>
      <w:r w:rsidR="00067B05" w:rsidRPr="00EA2E98">
        <w:rPr>
          <w:sz w:val="24"/>
        </w:rPr>
        <w:t>F</w:t>
      </w:r>
      <w:r w:rsidR="00067B05">
        <w:rPr>
          <w:sz w:val="24"/>
        </w:rPr>
        <w:t xml:space="preserve">oundation </w:t>
      </w:r>
      <w:r w:rsidR="00067B05" w:rsidRPr="00EA2E98">
        <w:rPr>
          <w:sz w:val="24"/>
        </w:rPr>
        <w:t>P</w:t>
      </w:r>
      <w:r w:rsidR="00067B05">
        <w:rPr>
          <w:sz w:val="24"/>
        </w:rPr>
        <w:t>rogram</w:t>
      </w:r>
      <w:r w:rsidR="00067B05" w:rsidRPr="00EA2E98">
        <w:rPr>
          <w:sz w:val="24"/>
        </w:rPr>
        <w:t>s</w:t>
      </w:r>
      <w:r w:rsidR="00067B05">
        <w:rPr>
          <w:sz w:val="24"/>
        </w:rPr>
        <w:t xml:space="preserve"> </w:t>
      </w:r>
      <w:r w:rsidRPr="00936A1A">
        <w:rPr>
          <w:color w:val="000000"/>
          <w:sz w:val="24"/>
          <w:szCs w:val="24"/>
          <w:lang w:val="en-US"/>
        </w:rPr>
        <w:t>were treated for the purpose of granting student visas.</w:t>
      </w:r>
    </w:p>
    <w:p w:rsidR="00936A1A" w:rsidRDefault="00936A1A" w:rsidP="00936A1A">
      <w:pPr>
        <w:rPr>
          <w:color w:val="000000"/>
          <w:sz w:val="24"/>
          <w:szCs w:val="24"/>
          <w:lang w:val="en-US"/>
        </w:rPr>
      </w:pPr>
    </w:p>
    <w:p w:rsidR="00261D71" w:rsidRPr="0054708A" w:rsidRDefault="00936A1A" w:rsidP="00936A1A">
      <w:pPr>
        <w:rPr>
          <w:color w:val="000000"/>
          <w:sz w:val="24"/>
          <w:szCs w:val="24"/>
          <w:lang w:val="en-US"/>
        </w:rPr>
      </w:pPr>
      <w:r w:rsidRPr="00936A1A">
        <w:rPr>
          <w:color w:val="000000"/>
          <w:sz w:val="24"/>
          <w:szCs w:val="24"/>
          <w:lang w:val="en-US"/>
        </w:rPr>
        <w:t xml:space="preserve">In 2005, DEST and the then Victorian Department of Education and Training funded a consultancy managed by the </w:t>
      </w:r>
      <w:r w:rsidR="00565D5F">
        <w:rPr>
          <w:color w:val="000000"/>
          <w:sz w:val="24"/>
          <w:szCs w:val="24"/>
          <w:lang w:val="en-US"/>
        </w:rPr>
        <w:t>Victorian Qualifications Authority</w:t>
      </w:r>
      <w:r w:rsidRPr="00936A1A">
        <w:rPr>
          <w:color w:val="000000"/>
          <w:sz w:val="24"/>
          <w:szCs w:val="24"/>
          <w:lang w:val="en-US"/>
        </w:rPr>
        <w:t xml:space="preserve"> (now the Victorian Registration and Qualifications Authority – VRQA) to develop a framework of auditable standards to underpin the existing </w:t>
      </w:r>
      <w:r w:rsidR="00EC034C" w:rsidRPr="00EA2E98">
        <w:rPr>
          <w:sz w:val="24"/>
        </w:rPr>
        <w:t>F</w:t>
      </w:r>
      <w:r w:rsidR="00EC034C">
        <w:rPr>
          <w:sz w:val="24"/>
        </w:rPr>
        <w:t xml:space="preserve">oundation </w:t>
      </w:r>
      <w:r w:rsidR="00EC034C" w:rsidRPr="00EA2E98">
        <w:rPr>
          <w:sz w:val="24"/>
        </w:rPr>
        <w:t>P</w:t>
      </w:r>
      <w:r w:rsidR="00EC034C">
        <w:rPr>
          <w:sz w:val="24"/>
        </w:rPr>
        <w:t>rogram</w:t>
      </w:r>
      <w:r w:rsidR="00EC034C" w:rsidRPr="00EA2E98">
        <w:rPr>
          <w:sz w:val="24"/>
        </w:rPr>
        <w:t>s</w:t>
      </w:r>
      <w:r w:rsidRPr="00936A1A">
        <w:rPr>
          <w:color w:val="000000"/>
          <w:sz w:val="24"/>
          <w:szCs w:val="24"/>
          <w:lang w:val="en-US"/>
        </w:rPr>
        <w:t xml:space="preserve"> definition and criteria.  Development of the standards was guided by a steering committee consisting of Commonwealth, </w:t>
      </w:r>
      <w:r w:rsidR="006416D1">
        <w:rPr>
          <w:color w:val="000000"/>
          <w:sz w:val="24"/>
          <w:szCs w:val="24"/>
          <w:lang w:val="en-US"/>
        </w:rPr>
        <w:t xml:space="preserve">and </w:t>
      </w:r>
      <w:r w:rsidRPr="00936A1A">
        <w:rPr>
          <w:color w:val="000000"/>
          <w:sz w:val="24"/>
          <w:szCs w:val="24"/>
          <w:lang w:val="en-US"/>
        </w:rPr>
        <w:t>stat</w:t>
      </w:r>
      <w:r w:rsidR="006416D1">
        <w:rPr>
          <w:color w:val="000000"/>
          <w:sz w:val="24"/>
          <w:szCs w:val="24"/>
          <w:lang w:val="en-US"/>
        </w:rPr>
        <w:t>e and territory representatives</w:t>
      </w:r>
      <w:r w:rsidRPr="00936A1A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936A1A">
        <w:rPr>
          <w:color w:val="000000"/>
          <w:sz w:val="24"/>
          <w:szCs w:val="24"/>
          <w:lang w:val="en-US"/>
        </w:rPr>
        <w:t>which</w:t>
      </w:r>
      <w:proofErr w:type="gramEnd"/>
      <w:r w:rsidRPr="00936A1A">
        <w:rPr>
          <w:color w:val="000000"/>
          <w:sz w:val="24"/>
          <w:szCs w:val="24"/>
          <w:lang w:val="en-US"/>
        </w:rPr>
        <w:t xml:space="preserve"> repo</w:t>
      </w:r>
      <w:r w:rsidR="0054708A">
        <w:rPr>
          <w:color w:val="000000"/>
          <w:sz w:val="24"/>
          <w:szCs w:val="24"/>
          <w:lang w:val="en-US"/>
        </w:rPr>
        <w:t xml:space="preserve">rted back to the </w:t>
      </w:r>
      <w:proofErr w:type="spellStart"/>
      <w:r w:rsidR="0054708A">
        <w:rPr>
          <w:color w:val="000000"/>
          <w:sz w:val="24"/>
          <w:szCs w:val="24"/>
          <w:lang w:val="en-US"/>
        </w:rPr>
        <w:t>FPWG</w:t>
      </w:r>
      <w:proofErr w:type="spellEnd"/>
      <w:r w:rsidR="0054708A">
        <w:rPr>
          <w:color w:val="000000"/>
          <w:sz w:val="24"/>
          <w:szCs w:val="24"/>
          <w:lang w:val="en-US"/>
        </w:rPr>
        <w:t xml:space="preserve"> in</w:t>
      </w:r>
      <w:r w:rsidRPr="00936A1A">
        <w:rPr>
          <w:color w:val="000000"/>
          <w:sz w:val="24"/>
          <w:szCs w:val="24"/>
          <w:lang w:val="en-US"/>
        </w:rPr>
        <w:t xml:space="preserve"> 2006</w:t>
      </w:r>
      <w:r w:rsidR="0054708A">
        <w:rPr>
          <w:color w:val="000000"/>
          <w:sz w:val="24"/>
          <w:szCs w:val="24"/>
          <w:lang w:val="en-US"/>
        </w:rPr>
        <w:t>. In</w:t>
      </w:r>
      <w:r w:rsidRPr="00936A1A">
        <w:rPr>
          <w:color w:val="000000"/>
          <w:sz w:val="24"/>
          <w:szCs w:val="24"/>
          <w:lang w:val="en-US"/>
        </w:rPr>
        <w:t xml:space="preserve"> 2008 DEEWR convened a meeting of state and territory government officials to resume discussion and </w:t>
      </w:r>
      <w:proofErr w:type="spellStart"/>
      <w:r w:rsidRPr="00936A1A">
        <w:rPr>
          <w:color w:val="000000"/>
          <w:sz w:val="24"/>
          <w:szCs w:val="24"/>
          <w:lang w:val="en-US"/>
        </w:rPr>
        <w:t>finalise</w:t>
      </w:r>
      <w:proofErr w:type="spellEnd"/>
      <w:r w:rsidRPr="00936A1A">
        <w:rPr>
          <w:color w:val="000000"/>
          <w:sz w:val="24"/>
          <w:szCs w:val="24"/>
          <w:lang w:val="en-US"/>
        </w:rPr>
        <w:t xml:space="preserve"> arrangements of the </w:t>
      </w:r>
      <w:r w:rsidR="00EC034C" w:rsidRPr="00EA2E98">
        <w:rPr>
          <w:sz w:val="24"/>
        </w:rPr>
        <w:t>F</w:t>
      </w:r>
      <w:r w:rsidR="00EC034C">
        <w:rPr>
          <w:sz w:val="24"/>
        </w:rPr>
        <w:t xml:space="preserve">oundation </w:t>
      </w:r>
      <w:r w:rsidR="00EC034C" w:rsidRPr="00EA2E98">
        <w:rPr>
          <w:sz w:val="24"/>
        </w:rPr>
        <w:t>P</w:t>
      </w:r>
      <w:r w:rsidR="00EC034C">
        <w:rPr>
          <w:sz w:val="24"/>
        </w:rPr>
        <w:t>rogram</w:t>
      </w:r>
      <w:r w:rsidR="00EC034C" w:rsidRPr="00EA2E98">
        <w:rPr>
          <w:sz w:val="24"/>
        </w:rPr>
        <w:t>s</w:t>
      </w:r>
      <w:r w:rsidR="0054708A">
        <w:rPr>
          <w:color w:val="000000"/>
          <w:sz w:val="24"/>
          <w:szCs w:val="24"/>
          <w:lang w:val="en-US"/>
        </w:rPr>
        <w:t xml:space="preserve"> </w:t>
      </w:r>
      <w:r w:rsidRPr="00936A1A">
        <w:rPr>
          <w:color w:val="000000"/>
          <w:sz w:val="24"/>
          <w:szCs w:val="24"/>
          <w:lang w:val="en-US"/>
        </w:rPr>
        <w:t>and Explanatory Guide.</w:t>
      </w:r>
      <w:r w:rsidR="00A4142D">
        <w:rPr>
          <w:color w:val="000000"/>
          <w:sz w:val="24"/>
          <w:szCs w:val="24"/>
          <w:lang w:val="en-US"/>
        </w:rPr>
        <w:t xml:space="preserve"> In 2009 the Standards and Guide were endorsed by MCTEE.</w:t>
      </w:r>
      <w:r w:rsidR="00A70664">
        <w:rPr>
          <w:color w:val="000000"/>
          <w:sz w:val="24"/>
          <w:szCs w:val="24"/>
          <w:lang w:val="en-US"/>
        </w:rPr>
        <w:br w:type="page"/>
      </w:r>
      <w:r w:rsidR="00261D71">
        <w:rPr>
          <w:b/>
          <w:color w:val="000000"/>
          <w:sz w:val="28"/>
          <w:szCs w:val="28"/>
        </w:rPr>
        <w:t xml:space="preserve"> </w:t>
      </w:r>
    </w:p>
    <w:p w:rsidR="00A70664" w:rsidRPr="00A24115" w:rsidRDefault="00A70664" w:rsidP="00A70664">
      <w:pPr>
        <w:rPr>
          <w:color w:val="000000"/>
          <w:sz w:val="24"/>
          <w:szCs w:val="24"/>
          <w:u w:val="single"/>
          <w:lang w:val="en-US"/>
        </w:rPr>
      </w:pPr>
      <w:r w:rsidRPr="00A24115">
        <w:rPr>
          <w:color w:val="000000"/>
          <w:sz w:val="24"/>
          <w:szCs w:val="24"/>
          <w:u w:val="single"/>
          <w:lang w:val="en-US"/>
        </w:rPr>
        <w:t xml:space="preserve">Details of the </w:t>
      </w:r>
      <w:r w:rsidR="00A24115" w:rsidRPr="00A24115">
        <w:rPr>
          <w:color w:val="000000"/>
          <w:sz w:val="24"/>
          <w:szCs w:val="24"/>
          <w:u w:val="single"/>
          <w:lang w:val="en-US"/>
        </w:rPr>
        <w:t>Foundation Program Standards</w:t>
      </w:r>
    </w:p>
    <w:p w:rsidR="00A70664" w:rsidRDefault="00A70664" w:rsidP="00A70664">
      <w:pPr>
        <w:rPr>
          <w:b/>
          <w:color w:val="000000"/>
          <w:sz w:val="24"/>
          <w:szCs w:val="24"/>
        </w:rPr>
      </w:pPr>
    </w:p>
    <w:p w:rsidR="00037BE4" w:rsidRDefault="00E47268" w:rsidP="00A70664">
      <w:pPr>
        <w:rPr>
          <w:color w:val="000000"/>
          <w:sz w:val="24"/>
          <w:szCs w:val="24"/>
        </w:rPr>
      </w:pPr>
      <w:r>
        <w:rPr>
          <w:rFonts w:ascii="AGaramond-Regular" w:hAnsi="AGaramond-Regular" w:cs="AGaramond-Regular"/>
          <w:sz w:val="24"/>
          <w:szCs w:val="24"/>
          <w:lang w:eastAsia="en-AU"/>
        </w:rPr>
        <w:t>A d</w:t>
      </w:r>
      <w:r w:rsidR="007D268D">
        <w:rPr>
          <w:rFonts w:ascii="AGaramond-Regular" w:hAnsi="AGaramond-Regular" w:cs="AGaramond-Regular"/>
          <w:sz w:val="24"/>
          <w:szCs w:val="24"/>
          <w:lang w:eastAsia="en-AU"/>
        </w:rPr>
        <w:t xml:space="preserve">etailed explanation of the Standards is provided in the Explanatory Guide to the </w:t>
      </w:r>
      <w:r w:rsidRPr="00DC36D9">
        <w:rPr>
          <w:i/>
          <w:sz w:val="24"/>
          <w:szCs w:val="24"/>
        </w:rPr>
        <w:t>National Standards for Foundation Programs</w:t>
      </w:r>
      <w:r w:rsidR="00A70664" w:rsidRPr="00D4446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37BE4" w:rsidRDefault="00037BE4" w:rsidP="00A70664">
      <w:pPr>
        <w:rPr>
          <w:color w:val="000000"/>
          <w:sz w:val="24"/>
          <w:szCs w:val="24"/>
        </w:rPr>
      </w:pPr>
    </w:p>
    <w:p w:rsidR="00A70664" w:rsidRDefault="00E47268" w:rsidP="00A7066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>
        <w:rPr>
          <w:sz w:val="24"/>
          <w:szCs w:val="24"/>
        </w:rPr>
        <w:t>Explanatory Guide</w:t>
      </w:r>
      <w:r w:rsidRPr="00E47268">
        <w:rPr>
          <w:sz w:val="24"/>
          <w:szCs w:val="24"/>
        </w:rPr>
        <w:t xml:space="preserve"> </w:t>
      </w:r>
      <w:r w:rsidR="00037BE4">
        <w:rPr>
          <w:sz w:val="24"/>
          <w:szCs w:val="24"/>
        </w:rPr>
        <w:t xml:space="preserve">is annexed </w:t>
      </w:r>
      <w:r>
        <w:rPr>
          <w:sz w:val="24"/>
          <w:szCs w:val="24"/>
        </w:rPr>
        <w:t xml:space="preserve">to the </w:t>
      </w:r>
      <w:r w:rsidRPr="00E47268">
        <w:rPr>
          <w:sz w:val="24"/>
          <w:szCs w:val="24"/>
        </w:rPr>
        <w:t xml:space="preserve">document, </w:t>
      </w:r>
      <w:r w:rsidRPr="00E47268">
        <w:rPr>
          <w:i/>
          <w:iCs/>
          <w:sz w:val="24"/>
          <w:szCs w:val="24"/>
        </w:rPr>
        <w:t>National Standards for Foundation Programs</w:t>
      </w:r>
      <w:r w:rsidRPr="00E47268">
        <w:rPr>
          <w:iCs/>
          <w:sz w:val="24"/>
          <w:szCs w:val="24"/>
        </w:rPr>
        <w:t>, is</w:t>
      </w:r>
      <w:r w:rsidRPr="00E47268">
        <w:rPr>
          <w:sz w:val="24"/>
          <w:szCs w:val="24"/>
        </w:rPr>
        <w:t xml:space="preserve"> available on the internet at </w:t>
      </w:r>
      <w:hyperlink r:id="rId6" w:history="1">
        <w:r w:rsidR="003E642A" w:rsidRPr="00364DC1">
          <w:rPr>
            <w:rStyle w:val="Hyperlink"/>
            <w:sz w:val="24"/>
            <w:szCs w:val="24"/>
          </w:rPr>
          <w:t>http://aei.gov.au/AEI/ESOS/NationalFoundationPS.htm</w:t>
        </w:r>
      </w:hyperlink>
      <w:r w:rsidR="003E642A">
        <w:rPr>
          <w:sz w:val="24"/>
          <w:szCs w:val="24"/>
        </w:rPr>
        <w:t xml:space="preserve"> </w:t>
      </w:r>
    </w:p>
    <w:sectPr w:rsidR="00A70664" w:rsidSect="00FA049E">
      <w:pgSz w:w="11906" w:h="16838" w:code="9"/>
      <w:pgMar w:top="1418" w:right="1134" w:bottom="1222" w:left="1418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934"/>
    <w:multiLevelType w:val="hybridMultilevel"/>
    <w:tmpl w:val="BB72B372"/>
    <w:lvl w:ilvl="0" w:tplc="012C47DC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3A6740E5"/>
    <w:multiLevelType w:val="hybridMultilevel"/>
    <w:tmpl w:val="BF0CB40A"/>
    <w:lvl w:ilvl="0" w:tplc="012C4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0C0812"/>
    <w:multiLevelType w:val="hybridMultilevel"/>
    <w:tmpl w:val="3ED25588"/>
    <w:lvl w:ilvl="0" w:tplc="012C4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86414"/>
    <w:multiLevelType w:val="hybridMultilevel"/>
    <w:tmpl w:val="D8664270"/>
    <w:lvl w:ilvl="0" w:tplc="012C47DC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  <w:szCs w:val="20"/>
      </w:rPr>
    </w:lvl>
    <w:lvl w:ilvl="1" w:tplc="7DA496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  <w:effect w:val="none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DC5A35"/>
    <w:multiLevelType w:val="hybridMultilevel"/>
    <w:tmpl w:val="B67AE120"/>
    <w:lvl w:ilvl="0" w:tplc="012C47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70B75"/>
    <w:multiLevelType w:val="hybridMultilevel"/>
    <w:tmpl w:val="83CC8764"/>
    <w:lvl w:ilvl="0" w:tplc="012C4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A70664"/>
    <w:rsid w:val="000004DD"/>
    <w:rsid w:val="000069B2"/>
    <w:rsid w:val="000069C4"/>
    <w:rsid w:val="000103CB"/>
    <w:rsid w:val="00010FFA"/>
    <w:rsid w:val="00014524"/>
    <w:rsid w:val="00014704"/>
    <w:rsid w:val="00015D30"/>
    <w:rsid w:val="0002308D"/>
    <w:rsid w:val="00027C86"/>
    <w:rsid w:val="00036404"/>
    <w:rsid w:val="00037BE4"/>
    <w:rsid w:val="00042156"/>
    <w:rsid w:val="00045249"/>
    <w:rsid w:val="00051130"/>
    <w:rsid w:val="0005378B"/>
    <w:rsid w:val="00060D8C"/>
    <w:rsid w:val="0006476D"/>
    <w:rsid w:val="00067B05"/>
    <w:rsid w:val="000712F3"/>
    <w:rsid w:val="00072A59"/>
    <w:rsid w:val="00075DF6"/>
    <w:rsid w:val="00082B5C"/>
    <w:rsid w:val="00083AE5"/>
    <w:rsid w:val="00093D56"/>
    <w:rsid w:val="00093E37"/>
    <w:rsid w:val="000977AB"/>
    <w:rsid w:val="000A19B4"/>
    <w:rsid w:val="000B0FB3"/>
    <w:rsid w:val="000B2857"/>
    <w:rsid w:val="000B2EA7"/>
    <w:rsid w:val="000B398E"/>
    <w:rsid w:val="000D2925"/>
    <w:rsid w:val="000E1263"/>
    <w:rsid w:val="000E5FCA"/>
    <w:rsid w:val="000F032B"/>
    <w:rsid w:val="00103224"/>
    <w:rsid w:val="00103AFD"/>
    <w:rsid w:val="00103F01"/>
    <w:rsid w:val="0011072F"/>
    <w:rsid w:val="0011701D"/>
    <w:rsid w:val="00122D7C"/>
    <w:rsid w:val="00125D84"/>
    <w:rsid w:val="00134829"/>
    <w:rsid w:val="001349FF"/>
    <w:rsid w:val="00141943"/>
    <w:rsid w:val="00143924"/>
    <w:rsid w:val="0015597D"/>
    <w:rsid w:val="00155D78"/>
    <w:rsid w:val="001771F4"/>
    <w:rsid w:val="001775C7"/>
    <w:rsid w:val="001807E7"/>
    <w:rsid w:val="00183D67"/>
    <w:rsid w:val="00190F2F"/>
    <w:rsid w:val="00194A5D"/>
    <w:rsid w:val="00196CFD"/>
    <w:rsid w:val="001A1B7B"/>
    <w:rsid w:val="001A4118"/>
    <w:rsid w:val="001A438A"/>
    <w:rsid w:val="001A4492"/>
    <w:rsid w:val="001A5185"/>
    <w:rsid w:val="001B01C3"/>
    <w:rsid w:val="001B4165"/>
    <w:rsid w:val="001B7C53"/>
    <w:rsid w:val="001C73FD"/>
    <w:rsid w:val="001D66A9"/>
    <w:rsid w:val="001E1038"/>
    <w:rsid w:val="001E6979"/>
    <w:rsid w:val="001E7E14"/>
    <w:rsid w:val="001F0132"/>
    <w:rsid w:val="001F0C99"/>
    <w:rsid w:val="001F22DE"/>
    <w:rsid w:val="0020405C"/>
    <w:rsid w:val="00205BC4"/>
    <w:rsid w:val="00210259"/>
    <w:rsid w:val="00212DD6"/>
    <w:rsid w:val="00213D10"/>
    <w:rsid w:val="00214638"/>
    <w:rsid w:val="002262E3"/>
    <w:rsid w:val="0023396B"/>
    <w:rsid w:val="00241119"/>
    <w:rsid w:val="00245A6A"/>
    <w:rsid w:val="002464F8"/>
    <w:rsid w:val="00246D4C"/>
    <w:rsid w:val="00247657"/>
    <w:rsid w:val="00250827"/>
    <w:rsid w:val="00252C53"/>
    <w:rsid w:val="00261D71"/>
    <w:rsid w:val="00264240"/>
    <w:rsid w:val="0026586F"/>
    <w:rsid w:val="00276F2A"/>
    <w:rsid w:val="002852DA"/>
    <w:rsid w:val="00290480"/>
    <w:rsid w:val="00291FCF"/>
    <w:rsid w:val="00293152"/>
    <w:rsid w:val="00293C2F"/>
    <w:rsid w:val="00295973"/>
    <w:rsid w:val="002A3D7D"/>
    <w:rsid w:val="002A5754"/>
    <w:rsid w:val="002A7601"/>
    <w:rsid w:val="002B0742"/>
    <w:rsid w:val="002B43F7"/>
    <w:rsid w:val="002C4A28"/>
    <w:rsid w:val="002C7724"/>
    <w:rsid w:val="002D4C0B"/>
    <w:rsid w:val="002D5D85"/>
    <w:rsid w:val="002D75BF"/>
    <w:rsid w:val="002F1E91"/>
    <w:rsid w:val="002F2837"/>
    <w:rsid w:val="003008BD"/>
    <w:rsid w:val="003023AF"/>
    <w:rsid w:val="00302522"/>
    <w:rsid w:val="003028E4"/>
    <w:rsid w:val="003051FF"/>
    <w:rsid w:val="0031026D"/>
    <w:rsid w:val="003108D5"/>
    <w:rsid w:val="00312A21"/>
    <w:rsid w:val="00312BF1"/>
    <w:rsid w:val="00316144"/>
    <w:rsid w:val="00316CEF"/>
    <w:rsid w:val="00317D5B"/>
    <w:rsid w:val="00320F1A"/>
    <w:rsid w:val="00321A59"/>
    <w:rsid w:val="00325933"/>
    <w:rsid w:val="00340301"/>
    <w:rsid w:val="00352FCA"/>
    <w:rsid w:val="00361860"/>
    <w:rsid w:val="00366813"/>
    <w:rsid w:val="003755DF"/>
    <w:rsid w:val="003816B6"/>
    <w:rsid w:val="00382B44"/>
    <w:rsid w:val="00385201"/>
    <w:rsid w:val="00387B53"/>
    <w:rsid w:val="003925E6"/>
    <w:rsid w:val="003A1A37"/>
    <w:rsid w:val="003A4C8D"/>
    <w:rsid w:val="003C4857"/>
    <w:rsid w:val="003C7C66"/>
    <w:rsid w:val="003E04DE"/>
    <w:rsid w:val="003E30B9"/>
    <w:rsid w:val="003E642A"/>
    <w:rsid w:val="003F1A05"/>
    <w:rsid w:val="003F5773"/>
    <w:rsid w:val="003F6A43"/>
    <w:rsid w:val="003F6DBB"/>
    <w:rsid w:val="003F7075"/>
    <w:rsid w:val="004033AA"/>
    <w:rsid w:val="004069DC"/>
    <w:rsid w:val="004125CC"/>
    <w:rsid w:val="00415BBA"/>
    <w:rsid w:val="00417FE0"/>
    <w:rsid w:val="0042060F"/>
    <w:rsid w:val="004208BA"/>
    <w:rsid w:val="00422B59"/>
    <w:rsid w:val="00424819"/>
    <w:rsid w:val="00427D77"/>
    <w:rsid w:val="00430C71"/>
    <w:rsid w:val="00441ED1"/>
    <w:rsid w:val="0044347D"/>
    <w:rsid w:val="00443AC4"/>
    <w:rsid w:val="00461066"/>
    <w:rsid w:val="00461793"/>
    <w:rsid w:val="00462F6C"/>
    <w:rsid w:val="004731D3"/>
    <w:rsid w:val="00490018"/>
    <w:rsid w:val="00491482"/>
    <w:rsid w:val="0049440F"/>
    <w:rsid w:val="004A1AAB"/>
    <w:rsid w:val="004A3089"/>
    <w:rsid w:val="004B28E6"/>
    <w:rsid w:val="004B4502"/>
    <w:rsid w:val="004C17B8"/>
    <w:rsid w:val="004C5152"/>
    <w:rsid w:val="004C796A"/>
    <w:rsid w:val="004D039B"/>
    <w:rsid w:val="004E15C9"/>
    <w:rsid w:val="004F3AC5"/>
    <w:rsid w:val="004F4704"/>
    <w:rsid w:val="00503690"/>
    <w:rsid w:val="00517658"/>
    <w:rsid w:val="0052219E"/>
    <w:rsid w:val="00530CB3"/>
    <w:rsid w:val="00534C78"/>
    <w:rsid w:val="005412B6"/>
    <w:rsid w:val="005454B4"/>
    <w:rsid w:val="0054708A"/>
    <w:rsid w:val="00550F4A"/>
    <w:rsid w:val="005603E6"/>
    <w:rsid w:val="00565D5F"/>
    <w:rsid w:val="00566270"/>
    <w:rsid w:val="00571400"/>
    <w:rsid w:val="005764D6"/>
    <w:rsid w:val="0057652A"/>
    <w:rsid w:val="0057745E"/>
    <w:rsid w:val="00577FC9"/>
    <w:rsid w:val="00581FF5"/>
    <w:rsid w:val="0058300A"/>
    <w:rsid w:val="00586CC7"/>
    <w:rsid w:val="005872BC"/>
    <w:rsid w:val="005915EC"/>
    <w:rsid w:val="00592094"/>
    <w:rsid w:val="00595786"/>
    <w:rsid w:val="005A117C"/>
    <w:rsid w:val="005A3429"/>
    <w:rsid w:val="005A48AF"/>
    <w:rsid w:val="005A48ED"/>
    <w:rsid w:val="005C3223"/>
    <w:rsid w:val="005C5DF7"/>
    <w:rsid w:val="005D2C22"/>
    <w:rsid w:val="005D6E74"/>
    <w:rsid w:val="005E4C33"/>
    <w:rsid w:val="005F296A"/>
    <w:rsid w:val="005F385F"/>
    <w:rsid w:val="005F4989"/>
    <w:rsid w:val="005F5617"/>
    <w:rsid w:val="005F65DC"/>
    <w:rsid w:val="005F7872"/>
    <w:rsid w:val="00600D76"/>
    <w:rsid w:val="006066CC"/>
    <w:rsid w:val="00607AC8"/>
    <w:rsid w:val="00612C19"/>
    <w:rsid w:val="006176B9"/>
    <w:rsid w:val="006179BB"/>
    <w:rsid w:val="00623554"/>
    <w:rsid w:val="00627387"/>
    <w:rsid w:val="006304AE"/>
    <w:rsid w:val="00632308"/>
    <w:rsid w:val="0063402C"/>
    <w:rsid w:val="00640A9B"/>
    <w:rsid w:val="006416D1"/>
    <w:rsid w:val="00641784"/>
    <w:rsid w:val="00657E91"/>
    <w:rsid w:val="00663DE9"/>
    <w:rsid w:val="00670E96"/>
    <w:rsid w:val="006767CD"/>
    <w:rsid w:val="00676E45"/>
    <w:rsid w:val="00677698"/>
    <w:rsid w:val="00681498"/>
    <w:rsid w:val="006828AE"/>
    <w:rsid w:val="00691D36"/>
    <w:rsid w:val="006C0F90"/>
    <w:rsid w:val="006C3E9B"/>
    <w:rsid w:val="006D059A"/>
    <w:rsid w:val="006D0923"/>
    <w:rsid w:val="006E69AD"/>
    <w:rsid w:val="006E6C03"/>
    <w:rsid w:val="006F3CC3"/>
    <w:rsid w:val="006F647D"/>
    <w:rsid w:val="0070568D"/>
    <w:rsid w:val="0070743F"/>
    <w:rsid w:val="007075B9"/>
    <w:rsid w:val="00712F87"/>
    <w:rsid w:val="00715CFA"/>
    <w:rsid w:val="00720FFE"/>
    <w:rsid w:val="0072584C"/>
    <w:rsid w:val="00725DDE"/>
    <w:rsid w:val="00731EDA"/>
    <w:rsid w:val="007323F3"/>
    <w:rsid w:val="00734425"/>
    <w:rsid w:val="0073679E"/>
    <w:rsid w:val="007441C3"/>
    <w:rsid w:val="007448CC"/>
    <w:rsid w:val="00745885"/>
    <w:rsid w:val="00751EC6"/>
    <w:rsid w:val="007617B0"/>
    <w:rsid w:val="00761A2E"/>
    <w:rsid w:val="007626B1"/>
    <w:rsid w:val="00771633"/>
    <w:rsid w:val="0077370B"/>
    <w:rsid w:val="00774375"/>
    <w:rsid w:val="007746AC"/>
    <w:rsid w:val="00774996"/>
    <w:rsid w:val="0077742E"/>
    <w:rsid w:val="00786919"/>
    <w:rsid w:val="007915F9"/>
    <w:rsid w:val="007A0682"/>
    <w:rsid w:val="007A1BD9"/>
    <w:rsid w:val="007B37D1"/>
    <w:rsid w:val="007C3F94"/>
    <w:rsid w:val="007C4D7E"/>
    <w:rsid w:val="007C7B3C"/>
    <w:rsid w:val="007D0F32"/>
    <w:rsid w:val="007D230E"/>
    <w:rsid w:val="007D268D"/>
    <w:rsid w:val="007D66B7"/>
    <w:rsid w:val="007E57F9"/>
    <w:rsid w:val="007F2193"/>
    <w:rsid w:val="007F24E3"/>
    <w:rsid w:val="007F2996"/>
    <w:rsid w:val="007F4C12"/>
    <w:rsid w:val="0080122C"/>
    <w:rsid w:val="00806D4A"/>
    <w:rsid w:val="0081051B"/>
    <w:rsid w:val="00811936"/>
    <w:rsid w:val="008119D5"/>
    <w:rsid w:val="00816DD5"/>
    <w:rsid w:val="00820F20"/>
    <w:rsid w:val="008260E3"/>
    <w:rsid w:val="0082728C"/>
    <w:rsid w:val="0083373E"/>
    <w:rsid w:val="0083515E"/>
    <w:rsid w:val="00844A85"/>
    <w:rsid w:val="0085292F"/>
    <w:rsid w:val="00857E12"/>
    <w:rsid w:val="0086058F"/>
    <w:rsid w:val="008619ED"/>
    <w:rsid w:val="00864020"/>
    <w:rsid w:val="00872CB9"/>
    <w:rsid w:val="00875B7D"/>
    <w:rsid w:val="00876554"/>
    <w:rsid w:val="00876FCD"/>
    <w:rsid w:val="00882023"/>
    <w:rsid w:val="008836EE"/>
    <w:rsid w:val="00885CDC"/>
    <w:rsid w:val="008919CF"/>
    <w:rsid w:val="00891C63"/>
    <w:rsid w:val="00895236"/>
    <w:rsid w:val="00895AD0"/>
    <w:rsid w:val="00895FCB"/>
    <w:rsid w:val="008A0FB3"/>
    <w:rsid w:val="008A21E7"/>
    <w:rsid w:val="008A6E90"/>
    <w:rsid w:val="008A7BCF"/>
    <w:rsid w:val="008B4456"/>
    <w:rsid w:val="008B6E17"/>
    <w:rsid w:val="008B7CBC"/>
    <w:rsid w:val="008C193C"/>
    <w:rsid w:val="008C598B"/>
    <w:rsid w:val="008D0107"/>
    <w:rsid w:val="008E44CE"/>
    <w:rsid w:val="008E53C0"/>
    <w:rsid w:val="008F1FFD"/>
    <w:rsid w:val="008F62BC"/>
    <w:rsid w:val="00901F93"/>
    <w:rsid w:val="00904A4B"/>
    <w:rsid w:val="00911229"/>
    <w:rsid w:val="0091603C"/>
    <w:rsid w:val="00916CCA"/>
    <w:rsid w:val="00917800"/>
    <w:rsid w:val="00921253"/>
    <w:rsid w:val="0092364B"/>
    <w:rsid w:val="0092436E"/>
    <w:rsid w:val="00927B38"/>
    <w:rsid w:val="00936A1A"/>
    <w:rsid w:val="00942BE7"/>
    <w:rsid w:val="0094660E"/>
    <w:rsid w:val="00957B3F"/>
    <w:rsid w:val="00964587"/>
    <w:rsid w:val="00964ACC"/>
    <w:rsid w:val="009724E3"/>
    <w:rsid w:val="00983B70"/>
    <w:rsid w:val="009A473D"/>
    <w:rsid w:val="009A7D68"/>
    <w:rsid w:val="009B7933"/>
    <w:rsid w:val="009D7A1F"/>
    <w:rsid w:val="009E4859"/>
    <w:rsid w:val="009E7CD1"/>
    <w:rsid w:val="009F4D7A"/>
    <w:rsid w:val="009F6B8E"/>
    <w:rsid w:val="00A0112B"/>
    <w:rsid w:val="00A0518B"/>
    <w:rsid w:val="00A079AC"/>
    <w:rsid w:val="00A1118A"/>
    <w:rsid w:val="00A1332D"/>
    <w:rsid w:val="00A16D60"/>
    <w:rsid w:val="00A17D58"/>
    <w:rsid w:val="00A20F32"/>
    <w:rsid w:val="00A22272"/>
    <w:rsid w:val="00A24115"/>
    <w:rsid w:val="00A3619B"/>
    <w:rsid w:val="00A4142D"/>
    <w:rsid w:val="00A46E9B"/>
    <w:rsid w:val="00A51C05"/>
    <w:rsid w:val="00A61E2F"/>
    <w:rsid w:val="00A62257"/>
    <w:rsid w:val="00A62380"/>
    <w:rsid w:val="00A630D9"/>
    <w:rsid w:val="00A668B3"/>
    <w:rsid w:val="00A70664"/>
    <w:rsid w:val="00A706F7"/>
    <w:rsid w:val="00A72078"/>
    <w:rsid w:val="00A733BE"/>
    <w:rsid w:val="00A76CFF"/>
    <w:rsid w:val="00A7726D"/>
    <w:rsid w:val="00A96C03"/>
    <w:rsid w:val="00AA5DAC"/>
    <w:rsid w:val="00AC4127"/>
    <w:rsid w:val="00AC5A89"/>
    <w:rsid w:val="00AC6390"/>
    <w:rsid w:val="00AD5DF6"/>
    <w:rsid w:val="00AD74BF"/>
    <w:rsid w:val="00AD7EF2"/>
    <w:rsid w:val="00AE289E"/>
    <w:rsid w:val="00AE4863"/>
    <w:rsid w:val="00AF184B"/>
    <w:rsid w:val="00AF49E1"/>
    <w:rsid w:val="00AF7A69"/>
    <w:rsid w:val="00B03435"/>
    <w:rsid w:val="00B03F57"/>
    <w:rsid w:val="00B04800"/>
    <w:rsid w:val="00B06BC3"/>
    <w:rsid w:val="00B1392D"/>
    <w:rsid w:val="00B141C2"/>
    <w:rsid w:val="00B21A41"/>
    <w:rsid w:val="00B23516"/>
    <w:rsid w:val="00B247CC"/>
    <w:rsid w:val="00B37FEA"/>
    <w:rsid w:val="00B40C6B"/>
    <w:rsid w:val="00B4183D"/>
    <w:rsid w:val="00B50449"/>
    <w:rsid w:val="00B514FB"/>
    <w:rsid w:val="00B545C6"/>
    <w:rsid w:val="00B65CA1"/>
    <w:rsid w:val="00B72461"/>
    <w:rsid w:val="00B76F5C"/>
    <w:rsid w:val="00B77656"/>
    <w:rsid w:val="00B77D30"/>
    <w:rsid w:val="00BA05A8"/>
    <w:rsid w:val="00BA1BDA"/>
    <w:rsid w:val="00BA4136"/>
    <w:rsid w:val="00BA51CE"/>
    <w:rsid w:val="00BB1347"/>
    <w:rsid w:val="00BB678A"/>
    <w:rsid w:val="00BC2B37"/>
    <w:rsid w:val="00BC490C"/>
    <w:rsid w:val="00BD06F0"/>
    <w:rsid w:val="00BD5C3A"/>
    <w:rsid w:val="00BD7A44"/>
    <w:rsid w:val="00BE22C6"/>
    <w:rsid w:val="00BE7191"/>
    <w:rsid w:val="00BF280D"/>
    <w:rsid w:val="00BF4210"/>
    <w:rsid w:val="00BF4E52"/>
    <w:rsid w:val="00C01B85"/>
    <w:rsid w:val="00C111F3"/>
    <w:rsid w:val="00C12ACB"/>
    <w:rsid w:val="00C23410"/>
    <w:rsid w:val="00C355AB"/>
    <w:rsid w:val="00C43386"/>
    <w:rsid w:val="00C44E6E"/>
    <w:rsid w:val="00C464AA"/>
    <w:rsid w:val="00C467D0"/>
    <w:rsid w:val="00C5263A"/>
    <w:rsid w:val="00C546AA"/>
    <w:rsid w:val="00C547E0"/>
    <w:rsid w:val="00C55E1B"/>
    <w:rsid w:val="00C57FFA"/>
    <w:rsid w:val="00C603DE"/>
    <w:rsid w:val="00C62A62"/>
    <w:rsid w:val="00C6581E"/>
    <w:rsid w:val="00C66654"/>
    <w:rsid w:val="00C74E43"/>
    <w:rsid w:val="00C751AB"/>
    <w:rsid w:val="00C753EF"/>
    <w:rsid w:val="00C80AA2"/>
    <w:rsid w:val="00C84089"/>
    <w:rsid w:val="00C870AB"/>
    <w:rsid w:val="00CB1AEC"/>
    <w:rsid w:val="00CB32B4"/>
    <w:rsid w:val="00CB531F"/>
    <w:rsid w:val="00CC0A07"/>
    <w:rsid w:val="00CC15A4"/>
    <w:rsid w:val="00CC2CCA"/>
    <w:rsid w:val="00CD255C"/>
    <w:rsid w:val="00CD3B3A"/>
    <w:rsid w:val="00CD5BBC"/>
    <w:rsid w:val="00CD7793"/>
    <w:rsid w:val="00CE266E"/>
    <w:rsid w:val="00CE51EB"/>
    <w:rsid w:val="00CE5897"/>
    <w:rsid w:val="00CE58A1"/>
    <w:rsid w:val="00CF7250"/>
    <w:rsid w:val="00D0145F"/>
    <w:rsid w:val="00D053BD"/>
    <w:rsid w:val="00D05A31"/>
    <w:rsid w:val="00D07B54"/>
    <w:rsid w:val="00D133C2"/>
    <w:rsid w:val="00D15A4B"/>
    <w:rsid w:val="00D1650F"/>
    <w:rsid w:val="00D2284D"/>
    <w:rsid w:val="00D254F2"/>
    <w:rsid w:val="00D26171"/>
    <w:rsid w:val="00D30A99"/>
    <w:rsid w:val="00D36564"/>
    <w:rsid w:val="00D45DD4"/>
    <w:rsid w:val="00D51539"/>
    <w:rsid w:val="00D60E4F"/>
    <w:rsid w:val="00D613BB"/>
    <w:rsid w:val="00D61C71"/>
    <w:rsid w:val="00D62C7A"/>
    <w:rsid w:val="00D65AE2"/>
    <w:rsid w:val="00D668AF"/>
    <w:rsid w:val="00D74B55"/>
    <w:rsid w:val="00D74F1A"/>
    <w:rsid w:val="00D77A06"/>
    <w:rsid w:val="00D83A3B"/>
    <w:rsid w:val="00D92937"/>
    <w:rsid w:val="00D933B7"/>
    <w:rsid w:val="00DA0A4B"/>
    <w:rsid w:val="00DA11C6"/>
    <w:rsid w:val="00DA1A7C"/>
    <w:rsid w:val="00DA6DFA"/>
    <w:rsid w:val="00DB2919"/>
    <w:rsid w:val="00DB4F5C"/>
    <w:rsid w:val="00DD01C3"/>
    <w:rsid w:val="00DD1173"/>
    <w:rsid w:val="00DD17C4"/>
    <w:rsid w:val="00DE1997"/>
    <w:rsid w:val="00DE422B"/>
    <w:rsid w:val="00DE7448"/>
    <w:rsid w:val="00DF0951"/>
    <w:rsid w:val="00E00411"/>
    <w:rsid w:val="00E02C45"/>
    <w:rsid w:val="00E055C5"/>
    <w:rsid w:val="00E06134"/>
    <w:rsid w:val="00E07128"/>
    <w:rsid w:val="00E0777E"/>
    <w:rsid w:val="00E07885"/>
    <w:rsid w:val="00E127F6"/>
    <w:rsid w:val="00E23ABE"/>
    <w:rsid w:val="00E24C96"/>
    <w:rsid w:val="00E32A95"/>
    <w:rsid w:val="00E348EF"/>
    <w:rsid w:val="00E37722"/>
    <w:rsid w:val="00E41FA1"/>
    <w:rsid w:val="00E420DB"/>
    <w:rsid w:val="00E4315C"/>
    <w:rsid w:val="00E444BB"/>
    <w:rsid w:val="00E44905"/>
    <w:rsid w:val="00E47268"/>
    <w:rsid w:val="00E47539"/>
    <w:rsid w:val="00E53EA3"/>
    <w:rsid w:val="00E60D35"/>
    <w:rsid w:val="00E65DA9"/>
    <w:rsid w:val="00E71838"/>
    <w:rsid w:val="00E808A0"/>
    <w:rsid w:val="00E82975"/>
    <w:rsid w:val="00E837EA"/>
    <w:rsid w:val="00E85972"/>
    <w:rsid w:val="00E96054"/>
    <w:rsid w:val="00EA2E98"/>
    <w:rsid w:val="00EA533B"/>
    <w:rsid w:val="00EB55B6"/>
    <w:rsid w:val="00EC034C"/>
    <w:rsid w:val="00EC2ACC"/>
    <w:rsid w:val="00ED2F94"/>
    <w:rsid w:val="00EE4AB9"/>
    <w:rsid w:val="00EF2E6D"/>
    <w:rsid w:val="00EF660E"/>
    <w:rsid w:val="00F10075"/>
    <w:rsid w:val="00F1415F"/>
    <w:rsid w:val="00F215EF"/>
    <w:rsid w:val="00F272E0"/>
    <w:rsid w:val="00F32747"/>
    <w:rsid w:val="00F34759"/>
    <w:rsid w:val="00F4036E"/>
    <w:rsid w:val="00F445C5"/>
    <w:rsid w:val="00F50B04"/>
    <w:rsid w:val="00F5527B"/>
    <w:rsid w:val="00F626DE"/>
    <w:rsid w:val="00F6672B"/>
    <w:rsid w:val="00F70487"/>
    <w:rsid w:val="00F71963"/>
    <w:rsid w:val="00F71FEE"/>
    <w:rsid w:val="00F7287C"/>
    <w:rsid w:val="00F76B20"/>
    <w:rsid w:val="00F815A8"/>
    <w:rsid w:val="00F821C6"/>
    <w:rsid w:val="00F84A6F"/>
    <w:rsid w:val="00F84EBC"/>
    <w:rsid w:val="00F94FAC"/>
    <w:rsid w:val="00F95BE0"/>
    <w:rsid w:val="00FA049E"/>
    <w:rsid w:val="00FA23F9"/>
    <w:rsid w:val="00FA29D7"/>
    <w:rsid w:val="00FA31E8"/>
    <w:rsid w:val="00FA3858"/>
    <w:rsid w:val="00FA5150"/>
    <w:rsid w:val="00FA7810"/>
    <w:rsid w:val="00FB05E2"/>
    <w:rsid w:val="00FC7545"/>
    <w:rsid w:val="00FE0B8C"/>
    <w:rsid w:val="00FE124B"/>
    <w:rsid w:val="00FE6D7C"/>
    <w:rsid w:val="00FF3A68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6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rsid w:val="00745885"/>
    <w:tblPr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pct30" w:color="008080" w:fill="FFFFFF"/>
      <w:vAlign w:val="center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rsid w:val="007458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arChar">
    <w:name w:val="Char Char"/>
    <w:basedOn w:val="Normal"/>
    <w:rsid w:val="00A70664"/>
    <w:rPr>
      <w:rFonts w:ascii="Arial" w:hAnsi="Arial"/>
      <w:sz w:val="22"/>
    </w:rPr>
  </w:style>
  <w:style w:type="paragraph" w:customStyle="1" w:styleId="tabletext">
    <w:name w:val="tabletext"/>
    <w:basedOn w:val="Normal"/>
    <w:rsid w:val="00BA1BDA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Hyperlink">
    <w:name w:val="Hyperlink"/>
    <w:basedOn w:val="DefaultParagraphFont"/>
    <w:rsid w:val="00EA2E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A2E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067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B0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06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B05"/>
  </w:style>
  <w:style w:type="character" w:customStyle="1" w:styleId="CommentTextChar">
    <w:name w:val="Comment Text Char"/>
    <w:basedOn w:val="DefaultParagraphFont"/>
    <w:link w:val="CommentText"/>
    <w:rsid w:val="0006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7B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3166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354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539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9749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6886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i.gov.au/AEI/ESOS/NationalFoundationPS.htm" TargetMode="External"/><Relationship Id="rId5" Type="http://schemas.openxmlformats.org/officeDocument/2006/relationships/hyperlink" Target="http://aei.gov.au/AEI/ESOS/NationalFoundationP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772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Nadimi</dc:creator>
  <cp:lastModifiedBy>Nicole Pulford</cp:lastModifiedBy>
  <cp:revision>2</cp:revision>
  <dcterms:created xsi:type="dcterms:W3CDTF">2011-06-21T04:45:00Z</dcterms:created>
  <dcterms:modified xsi:type="dcterms:W3CDTF">2011-06-21T04:45:00Z</dcterms:modified>
</cp:coreProperties>
</file>