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64" w:rsidRPr="009E406A" w:rsidRDefault="00A70664" w:rsidP="00A70664">
      <w:pPr>
        <w:jc w:val="center"/>
        <w:rPr>
          <w:sz w:val="24"/>
          <w:u w:val="single"/>
        </w:rPr>
      </w:pPr>
      <w:r w:rsidRPr="009E406A">
        <w:rPr>
          <w:sz w:val="24"/>
          <w:u w:val="single"/>
        </w:rPr>
        <w:t>EXPLANATORY STATEMENT</w:t>
      </w:r>
    </w:p>
    <w:p w:rsidR="00A70664" w:rsidRPr="009E406A" w:rsidRDefault="00A70664" w:rsidP="00A70664">
      <w:pPr>
        <w:jc w:val="center"/>
        <w:rPr>
          <w:sz w:val="24"/>
          <w:u w:val="single"/>
        </w:rPr>
      </w:pPr>
    </w:p>
    <w:p w:rsidR="00956DC0" w:rsidRPr="009E406A" w:rsidRDefault="00956DC0" w:rsidP="00956DC0">
      <w:pPr>
        <w:jc w:val="center"/>
        <w:rPr>
          <w:sz w:val="24"/>
        </w:rPr>
      </w:pPr>
      <w:bookmarkStart w:id="0" w:name="OLE_LINK5"/>
      <w:bookmarkStart w:id="1" w:name="OLE_LINK6"/>
      <w:r w:rsidRPr="009E406A">
        <w:rPr>
          <w:sz w:val="24"/>
        </w:rPr>
        <w:t>ELICOS Standards</w:t>
      </w:r>
    </w:p>
    <w:bookmarkEnd w:id="0"/>
    <w:bookmarkEnd w:id="1"/>
    <w:p w:rsidR="00A70664" w:rsidRPr="009E406A" w:rsidRDefault="00A70664" w:rsidP="00A70664">
      <w:pPr>
        <w:jc w:val="center"/>
        <w:rPr>
          <w:sz w:val="24"/>
        </w:rPr>
      </w:pPr>
    </w:p>
    <w:p w:rsidR="00037BE4" w:rsidRPr="009E406A" w:rsidRDefault="00037BE4" w:rsidP="00A70664">
      <w:pPr>
        <w:jc w:val="center"/>
        <w:rPr>
          <w:sz w:val="24"/>
        </w:rPr>
      </w:pPr>
    </w:p>
    <w:p w:rsidR="00A70664" w:rsidRPr="009E406A" w:rsidRDefault="00A70664" w:rsidP="00A70664">
      <w:pPr>
        <w:rPr>
          <w:sz w:val="24"/>
          <w:u w:val="single"/>
        </w:rPr>
      </w:pPr>
      <w:r w:rsidRPr="009E406A">
        <w:rPr>
          <w:sz w:val="24"/>
          <w:u w:val="single"/>
        </w:rPr>
        <w:t>Issued by authority of the Minister for Tertiary Education, Skills, Jobs and Workplace Relations</w:t>
      </w:r>
    </w:p>
    <w:p w:rsidR="00A70664" w:rsidRPr="009E406A" w:rsidRDefault="00A70664" w:rsidP="00A70664">
      <w:pPr>
        <w:jc w:val="center"/>
        <w:rPr>
          <w:sz w:val="24"/>
          <w:u w:val="single"/>
        </w:rPr>
      </w:pPr>
    </w:p>
    <w:p w:rsidR="00A70664" w:rsidRPr="009E406A" w:rsidRDefault="00A70664" w:rsidP="00A70664">
      <w:pPr>
        <w:rPr>
          <w:sz w:val="24"/>
        </w:rPr>
      </w:pPr>
      <w:r w:rsidRPr="009E406A">
        <w:rPr>
          <w:sz w:val="24"/>
        </w:rPr>
        <w:t>Subject:</w:t>
      </w:r>
      <w:r w:rsidRPr="009E406A">
        <w:rPr>
          <w:sz w:val="24"/>
        </w:rPr>
        <w:tab/>
      </w:r>
      <w:r w:rsidRPr="009E406A">
        <w:rPr>
          <w:sz w:val="24"/>
        </w:rPr>
        <w:tab/>
      </w:r>
      <w:r w:rsidR="00956DC0" w:rsidRPr="009E406A">
        <w:rPr>
          <w:i/>
          <w:sz w:val="24"/>
        </w:rPr>
        <w:t>ELICOS</w:t>
      </w:r>
      <w:r w:rsidR="00956DC0" w:rsidRPr="009E406A">
        <w:rPr>
          <w:sz w:val="24"/>
        </w:rPr>
        <w:t xml:space="preserve"> </w:t>
      </w:r>
      <w:r w:rsidRPr="009E406A">
        <w:rPr>
          <w:i/>
          <w:sz w:val="24"/>
        </w:rPr>
        <w:t>Standards</w:t>
      </w:r>
    </w:p>
    <w:p w:rsidR="00A70664" w:rsidRPr="009E406A" w:rsidRDefault="00A70664" w:rsidP="00A70664">
      <w:pPr>
        <w:ind w:left="2160"/>
        <w:rPr>
          <w:sz w:val="24"/>
        </w:rPr>
      </w:pPr>
      <w:r w:rsidRPr="009E406A">
        <w:rPr>
          <w:i/>
          <w:color w:val="000000"/>
          <w:sz w:val="24"/>
          <w:szCs w:val="24"/>
        </w:rPr>
        <w:t>Education Services for the Overseas Students Act 2000</w:t>
      </w:r>
    </w:p>
    <w:p w:rsidR="00A70664" w:rsidRPr="009E406A" w:rsidRDefault="00A70664" w:rsidP="00A70664">
      <w:pPr>
        <w:ind w:left="1700" w:hanging="1700"/>
        <w:rPr>
          <w:sz w:val="24"/>
        </w:rPr>
      </w:pPr>
    </w:p>
    <w:p w:rsidR="00A70664" w:rsidRPr="009E406A" w:rsidRDefault="00A70664" w:rsidP="00A70664">
      <w:pPr>
        <w:ind w:left="1700" w:hanging="1700"/>
        <w:rPr>
          <w:sz w:val="24"/>
          <w:u w:val="single"/>
        </w:rPr>
      </w:pPr>
      <w:r w:rsidRPr="009E406A">
        <w:rPr>
          <w:sz w:val="24"/>
          <w:u w:val="single"/>
        </w:rPr>
        <w:t>Authority</w:t>
      </w:r>
    </w:p>
    <w:p w:rsidR="00A70664" w:rsidRPr="009E406A" w:rsidRDefault="00A70664" w:rsidP="00A70664">
      <w:pPr>
        <w:rPr>
          <w:sz w:val="24"/>
        </w:rPr>
      </w:pPr>
    </w:p>
    <w:p w:rsidR="00A70664" w:rsidRPr="009E406A" w:rsidRDefault="00A70664" w:rsidP="00A70664">
      <w:pPr>
        <w:rPr>
          <w:sz w:val="24"/>
        </w:rPr>
      </w:pPr>
      <w:r w:rsidRPr="009E406A">
        <w:rPr>
          <w:sz w:val="24"/>
        </w:rPr>
        <w:t xml:space="preserve">Subsection </w:t>
      </w:r>
      <w:r w:rsidR="00FB7A65" w:rsidRPr="009E406A">
        <w:rPr>
          <w:sz w:val="24"/>
        </w:rPr>
        <w:t>176B</w:t>
      </w:r>
      <w:r w:rsidRPr="009E406A">
        <w:rPr>
          <w:sz w:val="24"/>
        </w:rPr>
        <w:t xml:space="preserve">(1) of the </w:t>
      </w:r>
      <w:r w:rsidRPr="009E406A">
        <w:rPr>
          <w:i/>
          <w:color w:val="000000"/>
          <w:sz w:val="24"/>
          <w:szCs w:val="24"/>
        </w:rPr>
        <w:t>Education Services for the Overseas Students Act 2000</w:t>
      </w:r>
      <w:r w:rsidRPr="009E406A">
        <w:rPr>
          <w:color w:val="000000"/>
          <w:sz w:val="24"/>
          <w:szCs w:val="24"/>
        </w:rPr>
        <w:t xml:space="preserve"> (the ESOS Act) </w:t>
      </w:r>
      <w:r w:rsidRPr="009E406A">
        <w:rPr>
          <w:sz w:val="24"/>
        </w:rPr>
        <w:t xml:space="preserve">provides that the Minister may make the </w:t>
      </w:r>
      <w:r w:rsidR="00956DC0" w:rsidRPr="009E406A">
        <w:rPr>
          <w:i/>
          <w:sz w:val="24"/>
        </w:rPr>
        <w:t>ELICOS</w:t>
      </w:r>
      <w:r w:rsidR="00956DC0" w:rsidRPr="009E406A">
        <w:rPr>
          <w:sz w:val="24"/>
        </w:rPr>
        <w:t xml:space="preserve"> </w:t>
      </w:r>
      <w:r w:rsidRPr="009E406A">
        <w:rPr>
          <w:i/>
          <w:sz w:val="24"/>
        </w:rPr>
        <w:t>Standards</w:t>
      </w:r>
      <w:r w:rsidRPr="009E406A">
        <w:rPr>
          <w:sz w:val="24"/>
        </w:rPr>
        <w:t xml:space="preserve"> by legislative instrument.  </w:t>
      </w:r>
    </w:p>
    <w:p w:rsidR="007D268D" w:rsidRPr="009E406A" w:rsidRDefault="007D268D" w:rsidP="00A70664">
      <w:pPr>
        <w:rPr>
          <w:sz w:val="24"/>
        </w:rPr>
      </w:pPr>
    </w:p>
    <w:p w:rsidR="00A70664" w:rsidRPr="009E406A" w:rsidRDefault="00A70664" w:rsidP="00A70664">
      <w:pPr>
        <w:ind w:left="1700" w:hanging="1700"/>
        <w:rPr>
          <w:sz w:val="24"/>
          <w:u w:val="single"/>
        </w:rPr>
      </w:pPr>
      <w:r w:rsidRPr="009E406A">
        <w:rPr>
          <w:sz w:val="24"/>
          <w:u w:val="single"/>
        </w:rPr>
        <w:t>Purpose and operation</w:t>
      </w:r>
    </w:p>
    <w:p w:rsidR="00A70664" w:rsidRPr="009E406A" w:rsidRDefault="00A70664" w:rsidP="00A70664">
      <w:pPr>
        <w:ind w:left="1700" w:hanging="1700"/>
        <w:rPr>
          <w:sz w:val="24"/>
          <w:u w:val="single"/>
        </w:rPr>
      </w:pPr>
    </w:p>
    <w:p w:rsidR="00037BE4" w:rsidRPr="009E406A" w:rsidRDefault="00261D71" w:rsidP="00E47268">
      <w:pPr>
        <w:rPr>
          <w:sz w:val="24"/>
          <w:szCs w:val="24"/>
        </w:rPr>
      </w:pPr>
      <w:r w:rsidRPr="009E406A">
        <w:rPr>
          <w:sz w:val="24"/>
          <w:szCs w:val="24"/>
        </w:rPr>
        <w:t xml:space="preserve">The purpose of the </w:t>
      </w:r>
      <w:r w:rsidR="00067B05" w:rsidRPr="009E406A">
        <w:rPr>
          <w:sz w:val="24"/>
          <w:szCs w:val="24"/>
        </w:rPr>
        <w:t>legislative instrument</w:t>
      </w:r>
      <w:r w:rsidRPr="009E406A">
        <w:rPr>
          <w:sz w:val="24"/>
          <w:szCs w:val="24"/>
        </w:rPr>
        <w:t xml:space="preserve"> is to </w:t>
      </w:r>
      <w:r w:rsidR="00E47268" w:rsidRPr="009E406A">
        <w:rPr>
          <w:sz w:val="24"/>
          <w:szCs w:val="24"/>
        </w:rPr>
        <w:t xml:space="preserve">specify the </w:t>
      </w:r>
      <w:r w:rsidR="00B77DDC" w:rsidRPr="009E406A">
        <w:rPr>
          <w:sz w:val="24"/>
        </w:rPr>
        <w:t xml:space="preserve">ELICOS </w:t>
      </w:r>
      <w:r w:rsidR="00E47268" w:rsidRPr="009E406A">
        <w:rPr>
          <w:sz w:val="24"/>
          <w:szCs w:val="24"/>
        </w:rPr>
        <w:t>Standards</w:t>
      </w:r>
      <w:r w:rsidR="00037BE4" w:rsidRPr="009E406A">
        <w:rPr>
          <w:sz w:val="24"/>
          <w:szCs w:val="24"/>
        </w:rPr>
        <w:t xml:space="preserve">. </w:t>
      </w:r>
      <w:r w:rsidR="00E47268" w:rsidRPr="009E406A">
        <w:rPr>
          <w:sz w:val="24"/>
          <w:szCs w:val="24"/>
        </w:rPr>
        <w:t xml:space="preserve"> </w:t>
      </w:r>
    </w:p>
    <w:p w:rsidR="00037BE4" w:rsidRPr="009E406A" w:rsidRDefault="00037BE4" w:rsidP="00E47268">
      <w:pPr>
        <w:rPr>
          <w:sz w:val="24"/>
          <w:szCs w:val="24"/>
        </w:rPr>
      </w:pPr>
    </w:p>
    <w:p w:rsidR="00037BE4" w:rsidRPr="009E406A" w:rsidRDefault="00037BE4" w:rsidP="00037BE4">
      <w:pPr>
        <w:rPr>
          <w:sz w:val="24"/>
          <w:u w:val="single"/>
        </w:rPr>
      </w:pPr>
      <w:r w:rsidRPr="009E406A">
        <w:rPr>
          <w:sz w:val="24"/>
        </w:rPr>
        <w:t xml:space="preserve">Paragraph </w:t>
      </w:r>
      <w:r w:rsidR="00C71817" w:rsidRPr="009E406A">
        <w:rPr>
          <w:sz w:val="24"/>
        </w:rPr>
        <w:t>176B</w:t>
      </w:r>
      <w:r w:rsidRPr="009E406A">
        <w:rPr>
          <w:sz w:val="24"/>
        </w:rPr>
        <w:t xml:space="preserve">(2)(b) of the ESOS Act provides that, despite subsection 14(2) of the </w:t>
      </w:r>
      <w:r w:rsidRPr="009E406A">
        <w:rPr>
          <w:i/>
          <w:sz w:val="24"/>
        </w:rPr>
        <w:t>Legislative Instruments Act 2003</w:t>
      </w:r>
      <w:r w:rsidRPr="009E406A">
        <w:rPr>
          <w:sz w:val="24"/>
        </w:rPr>
        <w:t xml:space="preserve">, the </w:t>
      </w:r>
      <w:r w:rsidR="00FB7A65" w:rsidRPr="009E406A">
        <w:rPr>
          <w:i/>
          <w:sz w:val="24"/>
        </w:rPr>
        <w:t>ELICOS</w:t>
      </w:r>
      <w:r w:rsidR="00FB7A65" w:rsidRPr="009E406A">
        <w:rPr>
          <w:sz w:val="24"/>
        </w:rPr>
        <w:t xml:space="preserve"> </w:t>
      </w:r>
      <w:r w:rsidRPr="009E406A">
        <w:rPr>
          <w:i/>
          <w:sz w:val="24"/>
        </w:rPr>
        <w:t>Standards</w:t>
      </w:r>
      <w:r w:rsidRPr="009E406A">
        <w:rPr>
          <w:sz w:val="24"/>
        </w:rPr>
        <w:t xml:space="preserve"> may apply, adopt or incorporate, with or without modifications any matter contained in any other instrument or writing, as existing from time to time. </w:t>
      </w:r>
      <w:r w:rsidRPr="009E406A">
        <w:rPr>
          <w:sz w:val="24"/>
          <w:szCs w:val="24"/>
        </w:rPr>
        <w:t xml:space="preserve">The </w:t>
      </w:r>
      <w:r w:rsidR="00C71817" w:rsidRPr="009E406A">
        <w:rPr>
          <w:i/>
          <w:sz w:val="24"/>
        </w:rPr>
        <w:t>ELICOS</w:t>
      </w:r>
      <w:r w:rsidR="00C71817" w:rsidRPr="009E406A">
        <w:rPr>
          <w:sz w:val="24"/>
        </w:rPr>
        <w:t xml:space="preserve"> </w:t>
      </w:r>
      <w:r w:rsidRPr="009E406A">
        <w:rPr>
          <w:i/>
          <w:sz w:val="24"/>
        </w:rPr>
        <w:t>Standards</w:t>
      </w:r>
      <w:r w:rsidRPr="009E406A">
        <w:rPr>
          <w:sz w:val="24"/>
          <w:szCs w:val="24"/>
        </w:rPr>
        <w:t xml:space="preserve"> incorporate the document known as the </w:t>
      </w:r>
      <w:r w:rsidR="00A12DCF" w:rsidRPr="009E406A">
        <w:rPr>
          <w:bCs/>
          <w:i/>
          <w:sz w:val="24"/>
          <w:szCs w:val="24"/>
        </w:rPr>
        <w:t>National Standards for ELICOS Providers and Courses</w:t>
      </w:r>
      <w:r w:rsidR="00A12DCF" w:rsidRPr="009E406A">
        <w:rPr>
          <w:bCs/>
          <w:sz w:val="24"/>
          <w:szCs w:val="24"/>
        </w:rPr>
        <w:t xml:space="preserve"> </w:t>
      </w:r>
      <w:r w:rsidRPr="009E406A">
        <w:rPr>
          <w:sz w:val="24"/>
          <w:szCs w:val="24"/>
        </w:rPr>
        <w:t>as it exists from time to time.</w:t>
      </w:r>
    </w:p>
    <w:p w:rsidR="00037BE4" w:rsidRPr="009E406A" w:rsidRDefault="00037BE4" w:rsidP="00E47268">
      <w:pPr>
        <w:rPr>
          <w:sz w:val="24"/>
          <w:highlight w:val="green"/>
          <w:u w:val="single"/>
        </w:rPr>
      </w:pPr>
    </w:p>
    <w:p w:rsidR="00E47268" w:rsidRPr="009E406A" w:rsidRDefault="00E47268" w:rsidP="00A12DCF">
      <w:pPr>
        <w:rPr>
          <w:sz w:val="24"/>
          <w:szCs w:val="24"/>
        </w:rPr>
      </w:pPr>
      <w:r w:rsidRPr="009E406A">
        <w:rPr>
          <w:sz w:val="24"/>
          <w:szCs w:val="24"/>
        </w:rPr>
        <w:t xml:space="preserve">The document, </w:t>
      </w:r>
      <w:r w:rsidR="00A12DCF" w:rsidRPr="009E406A">
        <w:rPr>
          <w:bCs/>
          <w:i/>
          <w:sz w:val="24"/>
          <w:szCs w:val="24"/>
        </w:rPr>
        <w:t>National Standards for ELICOS Providers and Courses</w:t>
      </w:r>
      <w:r w:rsidR="00A12DCF" w:rsidRPr="009E406A">
        <w:rPr>
          <w:iCs/>
          <w:sz w:val="24"/>
          <w:szCs w:val="24"/>
        </w:rPr>
        <w:t xml:space="preserve"> will be made available on the </w:t>
      </w:r>
      <w:r w:rsidR="00E94394" w:rsidRPr="009E406A">
        <w:rPr>
          <w:iCs/>
          <w:sz w:val="24"/>
          <w:szCs w:val="24"/>
        </w:rPr>
        <w:t xml:space="preserve">Australian Education International website at </w:t>
      </w:r>
      <w:hyperlink r:id="rId6" w:history="1">
        <w:r w:rsidR="00E94394" w:rsidRPr="009E406A">
          <w:rPr>
            <w:rStyle w:val="Hyperlink"/>
            <w:iCs/>
            <w:sz w:val="24"/>
            <w:szCs w:val="24"/>
          </w:rPr>
          <w:t>http://aei.gov.au/AEI/ESOS/default.htm</w:t>
        </w:r>
      </w:hyperlink>
      <w:r w:rsidR="00E94394" w:rsidRPr="009E406A">
        <w:rPr>
          <w:iCs/>
          <w:sz w:val="24"/>
          <w:szCs w:val="24"/>
        </w:rPr>
        <w:t xml:space="preserve">. Refer </w:t>
      </w:r>
      <w:r w:rsidR="00E94394" w:rsidRPr="009E406A">
        <w:rPr>
          <w:iCs/>
          <w:sz w:val="24"/>
          <w:szCs w:val="24"/>
          <w:u w:val="single"/>
        </w:rPr>
        <w:t xml:space="preserve">Attachment </w:t>
      </w:r>
      <w:r w:rsidR="000814ED">
        <w:rPr>
          <w:iCs/>
          <w:sz w:val="24"/>
          <w:szCs w:val="24"/>
          <w:u w:val="single"/>
        </w:rPr>
        <w:t>F</w:t>
      </w:r>
      <w:r w:rsidR="00E94394" w:rsidRPr="009E406A">
        <w:rPr>
          <w:iCs/>
          <w:sz w:val="24"/>
          <w:szCs w:val="24"/>
        </w:rPr>
        <w:t xml:space="preserve"> for the </w:t>
      </w:r>
      <w:r w:rsidR="00E94394" w:rsidRPr="009E406A">
        <w:rPr>
          <w:i/>
          <w:iCs/>
          <w:sz w:val="24"/>
          <w:szCs w:val="24"/>
        </w:rPr>
        <w:t>ELICOS Standards.</w:t>
      </w:r>
    </w:p>
    <w:p w:rsidR="00E47268" w:rsidRPr="009E406A" w:rsidRDefault="00E47268" w:rsidP="00261D71">
      <w:pPr>
        <w:rPr>
          <w:sz w:val="24"/>
        </w:rPr>
      </w:pPr>
    </w:p>
    <w:p w:rsidR="00E94394" w:rsidRPr="009E406A" w:rsidRDefault="00E94394" w:rsidP="00E94394">
      <w:pPr>
        <w:rPr>
          <w:sz w:val="24"/>
        </w:rPr>
      </w:pPr>
      <w:r w:rsidRPr="009E406A">
        <w:rPr>
          <w:sz w:val="24"/>
        </w:rPr>
        <w:t xml:space="preserve">The </w:t>
      </w:r>
      <w:r w:rsidRPr="009E406A">
        <w:rPr>
          <w:i/>
          <w:iCs/>
          <w:sz w:val="24"/>
          <w:szCs w:val="24"/>
        </w:rPr>
        <w:t>National Standards for ELICOS Providers and Courses</w:t>
      </w:r>
      <w:r w:rsidRPr="009E406A">
        <w:rPr>
          <w:sz w:val="24"/>
          <w:szCs w:val="24"/>
        </w:rPr>
        <w:t xml:space="preserve">, as incorporated into the </w:t>
      </w:r>
      <w:r w:rsidRPr="009E406A">
        <w:rPr>
          <w:i/>
          <w:sz w:val="24"/>
          <w:szCs w:val="24"/>
        </w:rPr>
        <w:t xml:space="preserve">ELICOS </w:t>
      </w:r>
      <w:r w:rsidRPr="009E406A">
        <w:rPr>
          <w:i/>
          <w:sz w:val="24"/>
        </w:rPr>
        <w:t>Standards</w:t>
      </w:r>
      <w:r w:rsidRPr="009E406A">
        <w:rPr>
          <w:sz w:val="24"/>
        </w:rPr>
        <w:t>, are guidelines for regulatory authorities to make recommendations for acceptance of providers to be registered on the Commonwealth Register of Institutions and Courses for Overseas Students (CRICOS) under the ESOS legislative framework. ELICOS is defined as ‘English Language Intensive Courses for Overseas Students’ and applies to students studying in Australia on student visas. ‘Intensive’ denotes full-time study comprising a minimum of 20 scheduled course contact hours per week of face-to-face classes of English language instruction.</w:t>
      </w:r>
    </w:p>
    <w:p w:rsidR="00E94394" w:rsidRPr="009E406A" w:rsidRDefault="00E94394" w:rsidP="00E94394">
      <w:pPr>
        <w:rPr>
          <w:sz w:val="24"/>
        </w:rPr>
      </w:pPr>
    </w:p>
    <w:p w:rsidR="00E94394" w:rsidRPr="009E406A" w:rsidRDefault="00E94394" w:rsidP="00E94394">
      <w:pPr>
        <w:rPr>
          <w:sz w:val="24"/>
        </w:rPr>
      </w:pPr>
      <w:r w:rsidRPr="009E406A">
        <w:rPr>
          <w:sz w:val="24"/>
        </w:rPr>
        <w:t>ELICOS</w:t>
      </w:r>
      <w:r w:rsidRPr="009E406A">
        <w:rPr>
          <w:i/>
          <w:sz w:val="24"/>
        </w:rPr>
        <w:t xml:space="preserve"> </w:t>
      </w:r>
      <w:r w:rsidRPr="009E406A">
        <w:rPr>
          <w:sz w:val="24"/>
        </w:rPr>
        <w:t>forms a significant part of Australia’s international education sector. Students come from overseas to study English for a variety of reasons. Some need to improve their English for work or career purposes, some have a personal interest in becoming fluent in English, and some intend to travel. Others may want to continue their education in English, either in Australia or elsewhere, and need to develop the language skills to undertake further study. Consequently, the Standards enhance Australia’s reputation as a quality international education provider to international education markets and assist in attracting high quality international students to Australia.</w:t>
      </w:r>
    </w:p>
    <w:p w:rsidR="00E94394" w:rsidRPr="009E406A" w:rsidRDefault="00E94394" w:rsidP="00E94394">
      <w:pPr>
        <w:rPr>
          <w:sz w:val="24"/>
        </w:rPr>
      </w:pPr>
    </w:p>
    <w:p w:rsidR="00E94394" w:rsidRPr="009E406A" w:rsidRDefault="00E94394" w:rsidP="009E406A">
      <w:pPr>
        <w:pStyle w:val="ListBullet2"/>
      </w:pPr>
      <w:r w:rsidRPr="009E406A">
        <w:t>The</w:t>
      </w:r>
      <w:r w:rsidRPr="009E406A">
        <w:rPr>
          <w:i/>
        </w:rPr>
        <w:t xml:space="preserve"> </w:t>
      </w:r>
      <w:r w:rsidRPr="009E406A">
        <w:rPr>
          <w:i/>
          <w:iCs/>
        </w:rPr>
        <w:t>National Standards for ELICOS Providers and Courses</w:t>
      </w:r>
      <w:r w:rsidRPr="009E406A">
        <w:t xml:space="preserve"> were developed by the Australian Government and state and territory governments in consultation with the ELICOS sector. The Standards were endorsed without opposition by state and territory members of the Joint Committee on International Education (JCIE) in 2009. </w:t>
      </w:r>
    </w:p>
    <w:p w:rsidR="00BA1BDA" w:rsidRPr="009E406A" w:rsidRDefault="00BA1BDA" w:rsidP="00261D71">
      <w:pPr>
        <w:rPr>
          <w:sz w:val="24"/>
          <w:highlight w:val="green"/>
          <w:u w:val="single"/>
        </w:rPr>
      </w:pPr>
    </w:p>
    <w:p w:rsidR="00F6672B" w:rsidRPr="009E406A" w:rsidRDefault="00A70664" w:rsidP="00F6672B">
      <w:pPr>
        <w:rPr>
          <w:sz w:val="24"/>
        </w:rPr>
      </w:pPr>
      <w:r w:rsidRPr="009E406A">
        <w:rPr>
          <w:sz w:val="24"/>
        </w:rPr>
        <w:t xml:space="preserve">The </w:t>
      </w:r>
      <w:r w:rsidR="00FD3F9B" w:rsidRPr="009E406A">
        <w:rPr>
          <w:i/>
          <w:sz w:val="24"/>
        </w:rPr>
        <w:t>ELICOS</w:t>
      </w:r>
      <w:r w:rsidR="00FD3F9B" w:rsidRPr="009E406A">
        <w:rPr>
          <w:sz w:val="24"/>
        </w:rPr>
        <w:t xml:space="preserve"> </w:t>
      </w:r>
      <w:r w:rsidR="00FD3F9B" w:rsidRPr="009E406A">
        <w:rPr>
          <w:i/>
          <w:sz w:val="24"/>
        </w:rPr>
        <w:t>Standards</w:t>
      </w:r>
      <w:r w:rsidR="00FD3F9B" w:rsidRPr="009E406A">
        <w:rPr>
          <w:sz w:val="24"/>
          <w:szCs w:val="24"/>
          <w:lang w:eastAsia="en-AU"/>
        </w:rPr>
        <w:t xml:space="preserve"> </w:t>
      </w:r>
      <w:r w:rsidR="00261D71" w:rsidRPr="009E406A">
        <w:rPr>
          <w:sz w:val="24"/>
        </w:rPr>
        <w:t>commence</w:t>
      </w:r>
      <w:r w:rsidRPr="009E406A">
        <w:rPr>
          <w:sz w:val="24"/>
        </w:rPr>
        <w:t xml:space="preserve"> </w:t>
      </w:r>
      <w:r w:rsidR="00067B05" w:rsidRPr="009E406A">
        <w:rPr>
          <w:bCs/>
          <w:color w:val="000000"/>
          <w:sz w:val="24"/>
          <w:szCs w:val="24"/>
        </w:rPr>
        <w:t xml:space="preserve">on the commencement of item 7 of the table in subsection 2(1) of the </w:t>
      </w:r>
      <w:r w:rsidR="00067B05" w:rsidRPr="009E406A">
        <w:rPr>
          <w:bCs/>
          <w:i/>
          <w:color w:val="000000"/>
          <w:sz w:val="24"/>
          <w:szCs w:val="24"/>
        </w:rPr>
        <w:t>National Vocational Education and Training Regulator (Consequential Amendments) Act 2011</w:t>
      </w:r>
      <w:r w:rsidR="00067B05" w:rsidRPr="009E406A">
        <w:rPr>
          <w:color w:val="000000"/>
          <w:sz w:val="24"/>
          <w:szCs w:val="24"/>
        </w:rPr>
        <w:t>, which will be a day to be fixed by Proclamation or six months after the Act receives the Royal Assent, whichever is sooner</w:t>
      </w:r>
      <w:r w:rsidR="00F6672B" w:rsidRPr="009E406A">
        <w:rPr>
          <w:sz w:val="24"/>
        </w:rPr>
        <w:t>.</w:t>
      </w:r>
    </w:p>
    <w:p w:rsidR="00F6672B" w:rsidRPr="009E406A" w:rsidRDefault="00F6672B" w:rsidP="00F6672B">
      <w:pPr>
        <w:rPr>
          <w:sz w:val="24"/>
          <w:highlight w:val="green"/>
        </w:rPr>
      </w:pPr>
    </w:p>
    <w:p w:rsidR="00261D71" w:rsidRPr="009E406A" w:rsidRDefault="00261D71" w:rsidP="00261D71">
      <w:pPr>
        <w:rPr>
          <w:color w:val="000000"/>
          <w:sz w:val="24"/>
          <w:szCs w:val="24"/>
          <w:u w:val="single"/>
          <w:lang w:val="en-US"/>
        </w:rPr>
      </w:pPr>
      <w:r w:rsidRPr="009E406A">
        <w:rPr>
          <w:color w:val="000000"/>
          <w:sz w:val="24"/>
          <w:szCs w:val="24"/>
          <w:u w:val="single"/>
          <w:lang w:val="en-US"/>
        </w:rPr>
        <w:t>Consultation with industry</w:t>
      </w:r>
    </w:p>
    <w:p w:rsidR="00261D71" w:rsidRPr="009E406A" w:rsidRDefault="00261D71" w:rsidP="00261D71">
      <w:pPr>
        <w:rPr>
          <w:color w:val="000000"/>
          <w:sz w:val="24"/>
          <w:szCs w:val="24"/>
          <w:highlight w:val="green"/>
          <w:u w:val="single"/>
          <w:lang w:val="en-US"/>
        </w:rPr>
      </w:pPr>
    </w:p>
    <w:p w:rsidR="00E94394" w:rsidRPr="009E406A" w:rsidRDefault="00E94394" w:rsidP="00E94394">
      <w:pPr>
        <w:rPr>
          <w:sz w:val="24"/>
        </w:rPr>
      </w:pPr>
      <w:r w:rsidRPr="009E406A">
        <w:rPr>
          <w:sz w:val="24"/>
        </w:rPr>
        <w:t xml:space="preserve">The matter of ELICOS quality assurance was brought to the attention of the then Australian Education Systems Officials Committee (AESOC) by the Australian Council for Private Education and Training (ACPET). ACPET indicated concerns about the governance of the regime for quality assurance of ELICOS. In response, AESOC funded a scoping project on a range of fundamental issues, including the role of government in ELICOS quality assurance. </w:t>
      </w:r>
    </w:p>
    <w:p w:rsidR="00E94394" w:rsidRPr="009E406A" w:rsidRDefault="00E94394" w:rsidP="00E94394">
      <w:pPr>
        <w:rPr>
          <w:sz w:val="24"/>
        </w:rPr>
      </w:pPr>
    </w:p>
    <w:p w:rsidR="00E94394" w:rsidRPr="009E406A" w:rsidRDefault="00E94394" w:rsidP="00E94394">
      <w:pPr>
        <w:rPr>
          <w:sz w:val="24"/>
        </w:rPr>
      </w:pPr>
      <w:r w:rsidRPr="009E406A">
        <w:rPr>
          <w:sz w:val="24"/>
        </w:rPr>
        <w:t xml:space="preserve">The project (ELICOS Project Phase 1) was overseen by a steering committee, led by South Australia, comprising a nominee representing each AESOC member. The outcome of the project was reported to AESOC in April 2006. Subsequently AESOC agreed to fund the ELICOS Project Phase 2 for consideration by the </w:t>
      </w:r>
      <w:r w:rsidRPr="009E406A">
        <w:rPr>
          <w:sz w:val="24"/>
          <w:szCs w:val="24"/>
        </w:rPr>
        <w:t>Ministerial Council for Tertiary Education and Employment (MCTEE)</w:t>
      </w:r>
      <w:r w:rsidRPr="009E406A">
        <w:rPr>
          <w:sz w:val="24"/>
        </w:rPr>
        <w:t>. The aim of this second project was to develop a set of auditable standards for the ELICOS sector, taking into account, but not constrained by, the NEAS requirements. These standards would then form the basis of a nationally consistent, transparent and cost effective quality assurance framework for the sector. AESOC requested that in developing the provisions for a quality assurance framework for ELICOS providers and courses, the following be taken into account:</w:t>
      </w:r>
    </w:p>
    <w:p w:rsidR="00E94394" w:rsidRPr="009E406A" w:rsidRDefault="00E94394" w:rsidP="00E94394">
      <w:pPr>
        <w:pStyle w:val="ListParagraph"/>
        <w:numPr>
          <w:ilvl w:val="0"/>
          <w:numId w:val="10"/>
        </w:numPr>
        <w:rPr>
          <w:sz w:val="24"/>
        </w:rPr>
      </w:pPr>
      <w:r w:rsidRPr="009E406A">
        <w:rPr>
          <w:sz w:val="24"/>
        </w:rPr>
        <w:t>the feasibility of full-cost recovery</w:t>
      </w:r>
    </w:p>
    <w:p w:rsidR="00E94394" w:rsidRPr="009E406A" w:rsidRDefault="00E94394" w:rsidP="00E94394">
      <w:pPr>
        <w:pStyle w:val="ListParagraph"/>
        <w:numPr>
          <w:ilvl w:val="0"/>
          <w:numId w:val="10"/>
        </w:numPr>
        <w:rPr>
          <w:sz w:val="24"/>
        </w:rPr>
      </w:pPr>
      <w:r w:rsidRPr="009E406A">
        <w:rPr>
          <w:sz w:val="24"/>
        </w:rPr>
        <w:t>minimal duplication and regulatory and compliance burden</w:t>
      </w:r>
    </w:p>
    <w:p w:rsidR="00E94394" w:rsidRPr="009E406A" w:rsidRDefault="00E94394" w:rsidP="00E94394">
      <w:pPr>
        <w:pStyle w:val="ListParagraph"/>
        <w:numPr>
          <w:ilvl w:val="0"/>
          <w:numId w:val="10"/>
        </w:numPr>
        <w:rPr>
          <w:sz w:val="24"/>
        </w:rPr>
      </w:pPr>
      <w:r w:rsidRPr="009E406A">
        <w:rPr>
          <w:sz w:val="24"/>
        </w:rPr>
        <w:t>options for state regulatory authority or industry-administered frameworks</w:t>
      </w:r>
    </w:p>
    <w:p w:rsidR="00E94394" w:rsidRPr="009E406A" w:rsidRDefault="00E94394" w:rsidP="00E94394">
      <w:pPr>
        <w:pStyle w:val="ListParagraph"/>
        <w:numPr>
          <w:ilvl w:val="0"/>
          <w:numId w:val="10"/>
        </w:numPr>
        <w:rPr>
          <w:sz w:val="24"/>
        </w:rPr>
      </w:pPr>
      <w:r w:rsidRPr="009E406A">
        <w:rPr>
          <w:sz w:val="24"/>
        </w:rPr>
        <w:t>maximum efficiency in the use of public resources.</w:t>
      </w:r>
    </w:p>
    <w:p w:rsidR="00E94394" w:rsidRPr="009E406A" w:rsidRDefault="00E94394" w:rsidP="00E94394">
      <w:pPr>
        <w:rPr>
          <w:sz w:val="24"/>
        </w:rPr>
      </w:pPr>
    </w:p>
    <w:p w:rsidR="00E94394" w:rsidRPr="009E406A" w:rsidRDefault="00E94394" w:rsidP="00E94394">
      <w:pPr>
        <w:rPr>
          <w:sz w:val="24"/>
        </w:rPr>
      </w:pPr>
      <w:r w:rsidRPr="009E406A">
        <w:rPr>
          <w:sz w:val="24"/>
        </w:rPr>
        <w:t>There were two major considerations in undertaking this work:</w:t>
      </w:r>
    </w:p>
    <w:p w:rsidR="00E94394" w:rsidRPr="009E406A" w:rsidRDefault="00E94394" w:rsidP="00E94394">
      <w:pPr>
        <w:pStyle w:val="ListParagraph"/>
        <w:numPr>
          <w:ilvl w:val="0"/>
          <w:numId w:val="9"/>
        </w:numPr>
        <w:tabs>
          <w:tab w:val="num" w:pos="426"/>
        </w:tabs>
        <w:rPr>
          <w:sz w:val="24"/>
        </w:rPr>
      </w:pPr>
      <w:r w:rsidRPr="009E406A">
        <w:rPr>
          <w:sz w:val="24"/>
        </w:rPr>
        <w:t>the view of governments that they must retain the authority to regulate ELICOS providers and courses, approve ELICOS providers and courses for the purposes of CRICOS registration and undertake enforcement action when required</w:t>
      </w:r>
    </w:p>
    <w:p w:rsidR="00E94394" w:rsidRPr="009E406A" w:rsidRDefault="00E94394" w:rsidP="00E94394">
      <w:pPr>
        <w:pStyle w:val="ListParagraph"/>
        <w:numPr>
          <w:ilvl w:val="0"/>
          <w:numId w:val="9"/>
        </w:numPr>
        <w:tabs>
          <w:tab w:val="num" w:pos="426"/>
        </w:tabs>
        <w:rPr>
          <w:sz w:val="24"/>
        </w:rPr>
      </w:pPr>
      <w:r w:rsidRPr="009E406A">
        <w:rPr>
          <w:sz w:val="24"/>
        </w:rPr>
        <w:t>strong majority support from ELICOS providers for NEAS as a body with 20 years of accumulated knowledge, experience and systems.</w:t>
      </w:r>
    </w:p>
    <w:p w:rsidR="00E94394" w:rsidRPr="009E406A" w:rsidRDefault="00E94394" w:rsidP="00E94394">
      <w:pPr>
        <w:rPr>
          <w:sz w:val="24"/>
        </w:rPr>
      </w:pPr>
    </w:p>
    <w:p w:rsidR="00E94394" w:rsidRPr="009E406A" w:rsidRDefault="00E94394" w:rsidP="00E94394">
      <w:pPr>
        <w:rPr>
          <w:sz w:val="24"/>
        </w:rPr>
      </w:pPr>
      <w:r w:rsidRPr="009E406A">
        <w:rPr>
          <w:sz w:val="24"/>
        </w:rPr>
        <w:t>The ELICOS Project Phase 2 was undertaken by the same committee that managed Phase 1 of the project. The consultant Phillips KPA was engaged by the committee to assist in achieving the project’s goals. The committee was assisted by a reference group comprising representatives of peak bodies, including English Australia (EA) and ACPET and NEAS and committee members.</w:t>
      </w:r>
    </w:p>
    <w:p w:rsidR="00E94394" w:rsidRPr="009E406A" w:rsidRDefault="00E94394" w:rsidP="00E94394">
      <w:pPr>
        <w:rPr>
          <w:sz w:val="24"/>
        </w:rPr>
      </w:pPr>
    </w:p>
    <w:p w:rsidR="00E94394" w:rsidRPr="009E406A" w:rsidRDefault="00E94394" w:rsidP="00E94394">
      <w:pPr>
        <w:rPr>
          <w:sz w:val="24"/>
        </w:rPr>
      </w:pPr>
      <w:r w:rsidRPr="009E406A">
        <w:rPr>
          <w:sz w:val="24"/>
        </w:rPr>
        <w:t xml:space="preserve">In April 2007, Phillips KPA presented a report to governments titled </w:t>
      </w:r>
      <w:r w:rsidRPr="009E406A">
        <w:rPr>
          <w:i/>
          <w:sz w:val="24"/>
        </w:rPr>
        <w:t>A nationally consistent quality assurance framework for the Australian ELICOS industry.</w:t>
      </w:r>
      <w:r w:rsidRPr="009E406A">
        <w:rPr>
          <w:sz w:val="24"/>
        </w:rPr>
        <w:t xml:space="preserve"> The report was considered by AESOC out-of-session in July 2007 and the Australian Government agreed to fund additional work covering all the recommended documents. This work was undertaken by David J Foreman &amp; Associates and completed in stages in late 2008.</w:t>
      </w:r>
    </w:p>
    <w:p w:rsidR="00E94394" w:rsidRPr="009E406A" w:rsidRDefault="00E94394" w:rsidP="00E94394">
      <w:pPr>
        <w:rPr>
          <w:sz w:val="24"/>
        </w:rPr>
      </w:pPr>
    </w:p>
    <w:p w:rsidR="00E94394" w:rsidRPr="009E406A" w:rsidRDefault="00E94394" w:rsidP="00E94394">
      <w:pPr>
        <w:rPr>
          <w:sz w:val="24"/>
        </w:rPr>
      </w:pPr>
      <w:r w:rsidRPr="009E406A">
        <w:rPr>
          <w:sz w:val="24"/>
        </w:rPr>
        <w:t xml:space="preserve">The steering committee and reference group agreed the draft standards in February 2009. </w:t>
      </w:r>
    </w:p>
    <w:p w:rsidR="00E94394" w:rsidRPr="009E406A" w:rsidRDefault="00E94394" w:rsidP="00E94394">
      <w:pPr>
        <w:rPr>
          <w:sz w:val="24"/>
        </w:rPr>
      </w:pPr>
      <w:r w:rsidRPr="009E406A">
        <w:rPr>
          <w:sz w:val="24"/>
        </w:rPr>
        <w:t xml:space="preserve">The international education sector </w:t>
      </w:r>
      <w:r w:rsidRPr="009E406A">
        <w:rPr>
          <w:i/>
          <w:sz w:val="24"/>
        </w:rPr>
        <w:t>w</w:t>
      </w:r>
      <w:r w:rsidRPr="009E406A">
        <w:rPr>
          <w:sz w:val="24"/>
        </w:rPr>
        <w:t>as also briefed on the draft standards and provided with copies of the draft standards during the ‘</w:t>
      </w:r>
      <w:r w:rsidRPr="009E406A">
        <w:rPr>
          <w:i/>
          <w:sz w:val="24"/>
        </w:rPr>
        <w:t>AEI Study in Australia 2010 National Briefings’</w:t>
      </w:r>
      <w:r w:rsidRPr="009E406A">
        <w:rPr>
          <w:sz w:val="24"/>
        </w:rPr>
        <w:t xml:space="preserve"> in May and June 2009.</w:t>
      </w:r>
    </w:p>
    <w:p w:rsidR="00E94394" w:rsidRPr="009E406A" w:rsidRDefault="00E94394" w:rsidP="00E94394">
      <w:pPr>
        <w:rPr>
          <w:sz w:val="24"/>
        </w:rPr>
      </w:pPr>
    </w:p>
    <w:p w:rsidR="00E94394" w:rsidRPr="009E406A" w:rsidRDefault="00E94394" w:rsidP="00E94394">
      <w:pPr>
        <w:rPr>
          <w:sz w:val="24"/>
        </w:rPr>
      </w:pPr>
      <w:r w:rsidRPr="009E406A">
        <w:rPr>
          <w:sz w:val="24"/>
        </w:rPr>
        <w:t>Consideration was also given to the draft standards in the context of the 2009 Baird Review of the ESOS legislative framework.</w:t>
      </w:r>
    </w:p>
    <w:p w:rsidR="00E94394" w:rsidRPr="009E406A" w:rsidRDefault="00E94394" w:rsidP="00E94394">
      <w:pPr>
        <w:rPr>
          <w:sz w:val="24"/>
        </w:rPr>
      </w:pPr>
    </w:p>
    <w:p w:rsidR="00E94394" w:rsidRPr="009E406A" w:rsidRDefault="00E94394" w:rsidP="00E94394">
      <w:pPr>
        <w:rPr>
          <w:sz w:val="24"/>
        </w:rPr>
      </w:pPr>
      <w:r w:rsidRPr="009E406A">
        <w:rPr>
          <w:sz w:val="24"/>
        </w:rPr>
        <w:t>In order to provide a more seamless transition to national regulation for the sector it was recommended that implementation of the ELICOS Standards be undertaken in parallel with the implementation of recommendations flowing from the Baird Review of ESOS and the establishment of the Tertiary Education Quality Standards Agency (TEQSA) and the Australian Skills Quality Authority (ASQA).</w:t>
      </w:r>
    </w:p>
    <w:p w:rsidR="00261D71" w:rsidRPr="009E406A" w:rsidRDefault="00261D71" w:rsidP="00936A1A">
      <w:pPr>
        <w:rPr>
          <w:color w:val="000000"/>
          <w:sz w:val="24"/>
          <w:szCs w:val="24"/>
          <w:highlight w:val="green"/>
          <w:lang w:val="en-US"/>
        </w:rPr>
      </w:pPr>
    </w:p>
    <w:p w:rsidR="00A70664" w:rsidRPr="009E406A" w:rsidRDefault="00A70664" w:rsidP="00A70664">
      <w:pPr>
        <w:rPr>
          <w:color w:val="000000"/>
          <w:sz w:val="24"/>
          <w:szCs w:val="24"/>
          <w:u w:val="single"/>
          <w:lang w:val="en-US"/>
        </w:rPr>
      </w:pPr>
      <w:r w:rsidRPr="009E406A">
        <w:rPr>
          <w:color w:val="000000"/>
          <w:sz w:val="24"/>
          <w:szCs w:val="24"/>
          <w:u w:val="single"/>
          <w:lang w:val="en-US"/>
        </w:rPr>
        <w:t xml:space="preserve">Details of the </w:t>
      </w:r>
      <w:r w:rsidR="00FD3F9B" w:rsidRPr="009E406A">
        <w:rPr>
          <w:color w:val="000000"/>
          <w:sz w:val="24"/>
          <w:szCs w:val="24"/>
          <w:u w:val="single"/>
          <w:lang w:val="en-US"/>
        </w:rPr>
        <w:t xml:space="preserve">ELICOS </w:t>
      </w:r>
      <w:r w:rsidR="00A24115" w:rsidRPr="009E406A">
        <w:rPr>
          <w:color w:val="000000"/>
          <w:sz w:val="24"/>
          <w:szCs w:val="24"/>
          <w:u w:val="single"/>
          <w:lang w:val="en-US"/>
        </w:rPr>
        <w:t>Standards</w:t>
      </w:r>
    </w:p>
    <w:p w:rsidR="00A70664" w:rsidRPr="009E406A" w:rsidRDefault="00A70664" w:rsidP="00A70664">
      <w:pPr>
        <w:rPr>
          <w:b/>
          <w:color w:val="000000"/>
          <w:sz w:val="24"/>
          <w:szCs w:val="24"/>
          <w:highlight w:val="green"/>
        </w:rPr>
      </w:pPr>
    </w:p>
    <w:p w:rsidR="00FE3852" w:rsidRPr="009E406A" w:rsidRDefault="00FE3852" w:rsidP="009E406A">
      <w:pPr>
        <w:pStyle w:val="ListBullet2"/>
      </w:pPr>
      <w:r w:rsidRPr="009E406A">
        <w:t xml:space="preserve">The </w:t>
      </w:r>
      <w:r w:rsidRPr="009E406A">
        <w:rPr>
          <w:i/>
        </w:rPr>
        <w:t>ELICOS Standards</w:t>
      </w:r>
      <w:r w:rsidRPr="009E406A">
        <w:t xml:space="preserve"> set nationally consistent requirements for ELICOS within Australia. The Standards support the Australian Government and state and territory government objectives for the ELICOS sector in the areas of:</w:t>
      </w:r>
    </w:p>
    <w:p w:rsidR="00FE3852" w:rsidRPr="009E406A" w:rsidRDefault="00FE3852" w:rsidP="009E406A">
      <w:pPr>
        <w:pStyle w:val="ListBullet2"/>
        <w:numPr>
          <w:ilvl w:val="0"/>
          <w:numId w:val="12"/>
        </w:numPr>
      </w:pPr>
      <w:r w:rsidRPr="009E406A">
        <w:t xml:space="preserve">consumer protection and student wellbeing </w:t>
      </w:r>
    </w:p>
    <w:p w:rsidR="00FE3852" w:rsidRPr="009E406A" w:rsidRDefault="00FE3852" w:rsidP="009E406A">
      <w:pPr>
        <w:pStyle w:val="ListBullet2"/>
        <w:numPr>
          <w:ilvl w:val="0"/>
          <w:numId w:val="12"/>
        </w:numPr>
      </w:pPr>
      <w:r w:rsidRPr="009E406A">
        <w:t>delivery of quality English language teaching</w:t>
      </w:r>
    </w:p>
    <w:p w:rsidR="00FE3852" w:rsidRPr="009E406A" w:rsidRDefault="00FE3852" w:rsidP="009E406A">
      <w:pPr>
        <w:pStyle w:val="ListBullet2"/>
        <w:numPr>
          <w:ilvl w:val="0"/>
          <w:numId w:val="12"/>
        </w:numPr>
      </w:pPr>
      <w:r w:rsidRPr="009E406A">
        <w:t>protection of Australia’s reputation as a provider of quality English language teaching to international students.</w:t>
      </w:r>
    </w:p>
    <w:p w:rsidR="00FE3852" w:rsidRPr="009E406A" w:rsidRDefault="00FE3852" w:rsidP="009E406A">
      <w:pPr>
        <w:pStyle w:val="ListBullet2"/>
      </w:pPr>
      <w:r w:rsidRPr="009E406A">
        <w:t xml:space="preserve">The </w:t>
      </w:r>
      <w:r w:rsidRPr="009E406A">
        <w:rPr>
          <w:i/>
        </w:rPr>
        <w:t>ELICOS Standards</w:t>
      </w:r>
      <w:r w:rsidRPr="009E406A">
        <w:t xml:space="preserve"> comprise one course standard setting out the mandatory requirements for courses applications and eight provider standards setting out requirements for providers offering ELICOS courses.</w:t>
      </w:r>
    </w:p>
    <w:p w:rsidR="00FE3852" w:rsidRPr="009E406A" w:rsidRDefault="003B0B1C" w:rsidP="009E406A">
      <w:pPr>
        <w:pStyle w:val="ListBullet2"/>
      </w:pPr>
      <w:r w:rsidRPr="009E406A">
        <w:t>Course s</w:t>
      </w:r>
      <w:r w:rsidR="00FE3852" w:rsidRPr="009E406A">
        <w:t xml:space="preserve">tandard </w:t>
      </w:r>
      <w:r w:rsidRPr="009E406A">
        <w:t>1</w:t>
      </w:r>
      <w:r w:rsidR="00FE3852" w:rsidRPr="009E406A">
        <w:t xml:space="preserve"> requires providers to address the information requirements of the designated authority including course structure and components, teaching and learning strategies, assessment and evaluation methodologies, staff qualifications and experience, maximum course fees and other relevant course information.</w:t>
      </w:r>
    </w:p>
    <w:p w:rsidR="00FE3852" w:rsidRPr="009E406A" w:rsidRDefault="003B0B1C" w:rsidP="009E406A">
      <w:pPr>
        <w:pStyle w:val="ListBullet2"/>
      </w:pPr>
      <w:r w:rsidRPr="009E406A">
        <w:t>Provider standards 1 and 2 outline requirements around scheduled course contact hours and the management of younger students. Provider standards 3 and 4 set out requirements for the delivery and assessment of ELICOS. Requirements for staff, educational resources and premises are outlined in standards provider standards 5 – 7 and requirements for busin</w:t>
      </w:r>
      <w:r w:rsidR="0076285B" w:rsidRPr="009E406A">
        <w:t>ess management are detailed in p</w:t>
      </w:r>
      <w:r w:rsidRPr="009E406A">
        <w:t>rovider standard 8.</w:t>
      </w:r>
    </w:p>
    <w:p w:rsidR="003B0B1C" w:rsidRPr="009E406A" w:rsidRDefault="0076285B" w:rsidP="009E406A">
      <w:pPr>
        <w:pStyle w:val="ListBullet2"/>
      </w:pPr>
      <w:r w:rsidRPr="009E406A">
        <w:t>T</w:t>
      </w:r>
      <w:r w:rsidR="003B0B1C" w:rsidRPr="009E406A">
        <w:t xml:space="preserve">he introduction to the standards sets out the regulatory framework </w:t>
      </w:r>
      <w:r w:rsidRPr="009E406A">
        <w:t>for ELICOS providers, explains the relationship between the ELICOS standards and the National Code and sets out the minimum requirements for registration on the Commonwealth Register of Institutions and Courses for Overseas Students.</w:t>
      </w:r>
    </w:p>
    <w:p w:rsidR="00D966DF" w:rsidRPr="009E406A" w:rsidRDefault="00D966DF" w:rsidP="00D966DF">
      <w:pPr>
        <w:ind w:left="1700" w:hanging="1700"/>
        <w:rPr>
          <w:sz w:val="24"/>
          <w:u w:val="single"/>
        </w:rPr>
      </w:pPr>
      <w:r w:rsidRPr="009E406A">
        <w:rPr>
          <w:sz w:val="24"/>
          <w:u w:val="single"/>
        </w:rPr>
        <w:t>Authority</w:t>
      </w:r>
    </w:p>
    <w:p w:rsidR="00D966DF" w:rsidRPr="009E406A" w:rsidRDefault="00D966DF" w:rsidP="00D966DF">
      <w:pPr>
        <w:rPr>
          <w:sz w:val="24"/>
        </w:rPr>
      </w:pPr>
    </w:p>
    <w:p w:rsidR="00D966DF" w:rsidRPr="009E406A" w:rsidRDefault="00905454" w:rsidP="00D966DF">
      <w:pPr>
        <w:rPr>
          <w:sz w:val="24"/>
        </w:rPr>
      </w:pPr>
      <w:r>
        <w:rPr>
          <w:sz w:val="24"/>
        </w:rPr>
        <w:t xml:space="preserve">Subsection </w:t>
      </w:r>
      <w:proofErr w:type="gramStart"/>
      <w:r>
        <w:rPr>
          <w:sz w:val="24"/>
        </w:rPr>
        <w:t>176B</w:t>
      </w:r>
      <w:r w:rsidR="00D966DF" w:rsidRPr="009E406A">
        <w:rPr>
          <w:sz w:val="24"/>
        </w:rPr>
        <w:t>(</w:t>
      </w:r>
      <w:proofErr w:type="gramEnd"/>
      <w:r w:rsidR="00D966DF" w:rsidRPr="009E406A">
        <w:rPr>
          <w:sz w:val="24"/>
        </w:rPr>
        <w:t xml:space="preserve">1) of the </w:t>
      </w:r>
      <w:r w:rsidR="00D966DF" w:rsidRPr="009E406A">
        <w:rPr>
          <w:i/>
          <w:color w:val="000000"/>
          <w:sz w:val="24"/>
          <w:szCs w:val="24"/>
        </w:rPr>
        <w:t>Education Services for Overseas Students Act 2000</w:t>
      </w:r>
      <w:r w:rsidR="00D966DF" w:rsidRPr="009E406A">
        <w:rPr>
          <w:color w:val="000000"/>
          <w:sz w:val="24"/>
          <w:szCs w:val="24"/>
        </w:rPr>
        <w:t xml:space="preserve"> (the ESOS Act) </w:t>
      </w:r>
      <w:r w:rsidR="00D966DF" w:rsidRPr="009E406A">
        <w:rPr>
          <w:sz w:val="24"/>
        </w:rPr>
        <w:t xml:space="preserve">provides that the Minister may make the </w:t>
      </w:r>
      <w:r w:rsidR="00D966DF" w:rsidRPr="009E406A">
        <w:rPr>
          <w:i/>
          <w:sz w:val="24"/>
        </w:rPr>
        <w:t>ELICOS Standards</w:t>
      </w:r>
      <w:r w:rsidR="00D966DF" w:rsidRPr="009E406A">
        <w:rPr>
          <w:sz w:val="24"/>
        </w:rPr>
        <w:t xml:space="preserve"> by legislative instrument.  </w:t>
      </w:r>
    </w:p>
    <w:p w:rsidR="00D966DF" w:rsidRPr="009E406A" w:rsidRDefault="00D966DF" w:rsidP="00D966DF">
      <w:pPr>
        <w:rPr>
          <w:sz w:val="24"/>
        </w:rPr>
      </w:pPr>
    </w:p>
    <w:p w:rsidR="00D966DF" w:rsidRPr="009E406A" w:rsidRDefault="00D966DF" w:rsidP="00D966DF">
      <w:pPr>
        <w:rPr>
          <w:sz w:val="24"/>
        </w:rPr>
      </w:pPr>
      <w:r w:rsidRPr="009E406A">
        <w:rPr>
          <w:sz w:val="24"/>
        </w:rPr>
        <w:t xml:space="preserve">The </w:t>
      </w:r>
      <w:r w:rsidRPr="009E406A">
        <w:rPr>
          <w:i/>
          <w:sz w:val="24"/>
        </w:rPr>
        <w:t>ELICOS Standards</w:t>
      </w:r>
      <w:r w:rsidRPr="009E406A">
        <w:rPr>
          <w:sz w:val="24"/>
        </w:rPr>
        <w:t xml:space="preserve"> commence </w:t>
      </w:r>
      <w:r w:rsidRPr="009E406A">
        <w:rPr>
          <w:bCs/>
          <w:color w:val="000000"/>
          <w:sz w:val="24"/>
          <w:szCs w:val="24"/>
        </w:rPr>
        <w:t xml:space="preserve">on the commencement of item 7 of the table in subsection 2(1) of the </w:t>
      </w:r>
      <w:r w:rsidRPr="009E406A">
        <w:rPr>
          <w:bCs/>
          <w:i/>
          <w:color w:val="000000"/>
          <w:sz w:val="24"/>
          <w:szCs w:val="24"/>
        </w:rPr>
        <w:t>National Vocational Education and Training Regulator (Consequential Amendments) Act 2011</w:t>
      </w:r>
      <w:r w:rsidRPr="009E406A">
        <w:rPr>
          <w:color w:val="000000"/>
          <w:sz w:val="24"/>
          <w:szCs w:val="24"/>
        </w:rPr>
        <w:t>, which will be a day to be fixed by Proclamation or six months after the Act receives the Royal Assent, whichever is sooner</w:t>
      </w:r>
      <w:r w:rsidRPr="009E406A">
        <w:rPr>
          <w:sz w:val="24"/>
        </w:rPr>
        <w:t>.</w:t>
      </w:r>
    </w:p>
    <w:p w:rsidR="00D966DF" w:rsidRPr="009E406A" w:rsidRDefault="00D966DF" w:rsidP="00D966DF">
      <w:pPr>
        <w:rPr>
          <w:sz w:val="24"/>
        </w:rPr>
      </w:pPr>
    </w:p>
    <w:sectPr w:rsidR="00D966DF" w:rsidRPr="009E406A" w:rsidSect="00FA049E">
      <w:pgSz w:w="11906" w:h="16838" w:code="9"/>
      <w:pgMar w:top="1418" w:right="1134" w:bottom="1222" w:left="1418" w:header="567" w:footer="567"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934"/>
    <w:multiLevelType w:val="hybridMultilevel"/>
    <w:tmpl w:val="BB72B372"/>
    <w:lvl w:ilvl="0" w:tplc="012C47DC">
      <w:start w:val="1"/>
      <w:numFmt w:val="bullet"/>
      <w:lvlText w:val=""/>
      <w:lvlJc w:val="left"/>
      <w:pPr>
        <w:tabs>
          <w:tab w:val="num" w:pos="660"/>
        </w:tabs>
        <w:ind w:left="660" w:hanging="360"/>
      </w:pPr>
      <w:rPr>
        <w:rFonts w:ascii="Symbol" w:hAnsi="Symbol" w:hint="default"/>
        <w:sz w:val="20"/>
        <w:szCs w:val="20"/>
      </w:rPr>
    </w:lvl>
    <w:lvl w:ilvl="1" w:tplc="0C090003" w:tentative="1">
      <w:start w:val="1"/>
      <w:numFmt w:val="bullet"/>
      <w:lvlText w:val="o"/>
      <w:lvlJc w:val="left"/>
      <w:pPr>
        <w:tabs>
          <w:tab w:val="num" w:pos="1740"/>
        </w:tabs>
        <w:ind w:left="1740" w:hanging="360"/>
      </w:pPr>
      <w:rPr>
        <w:rFonts w:ascii="Courier New" w:hAnsi="Courier New" w:cs="Courier New" w:hint="default"/>
      </w:rPr>
    </w:lvl>
    <w:lvl w:ilvl="2" w:tplc="0C090005" w:tentative="1">
      <w:start w:val="1"/>
      <w:numFmt w:val="bullet"/>
      <w:lvlText w:val=""/>
      <w:lvlJc w:val="left"/>
      <w:pPr>
        <w:tabs>
          <w:tab w:val="num" w:pos="2460"/>
        </w:tabs>
        <w:ind w:left="2460" w:hanging="360"/>
      </w:pPr>
      <w:rPr>
        <w:rFonts w:ascii="Wingdings" w:hAnsi="Wingdings" w:hint="default"/>
      </w:rPr>
    </w:lvl>
    <w:lvl w:ilvl="3" w:tplc="0C090001" w:tentative="1">
      <w:start w:val="1"/>
      <w:numFmt w:val="bullet"/>
      <w:lvlText w:val=""/>
      <w:lvlJc w:val="left"/>
      <w:pPr>
        <w:tabs>
          <w:tab w:val="num" w:pos="3180"/>
        </w:tabs>
        <w:ind w:left="3180" w:hanging="360"/>
      </w:pPr>
      <w:rPr>
        <w:rFonts w:ascii="Symbol" w:hAnsi="Symbol" w:hint="default"/>
      </w:rPr>
    </w:lvl>
    <w:lvl w:ilvl="4" w:tplc="0C090003" w:tentative="1">
      <w:start w:val="1"/>
      <w:numFmt w:val="bullet"/>
      <w:lvlText w:val="o"/>
      <w:lvlJc w:val="left"/>
      <w:pPr>
        <w:tabs>
          <w:tab w:val="num" w:pos="3900"/>
        </w:tabs>
        <w:ind w:left="3900" w:hanging="360"/>
      </w:pPr>
      <w:rPr>
        <w:rFonts w:ascii="Courier New" w:hAnsi="Courier New" w:cs="Courier New" w:hint="default"/>
      </w:rPr>
    </w:lvl>
    <w:lvl w:ilvl="5" w:tplc="0C090005" w:tentative="1">
      <w:start w:val="1"/>
      <w:numFmt w:val="bullet"/>
      <w:lvlText w:val=""/>
      <w:lvlJc w:val="left"/>
      <w:pPr>
        <w:tabs>
          <w:tab w:val="num" w:pos="4620"/>
        </w:tabs>
        <w:ind w:left="4620" w:hanging="360"/>
      </w:pPr>
      <w:rPr>
        <w:rFonts w:ascii="Wingdings" w:hAnsi="Wingdings" w:hint="default"/>
      </w:rPr>
    </w:lvl>
    <w:lvl w:ilvl="6" w:tplc="0C090001" w:tentative="1">
      <w:start w:val="1"/>
      <w:numFmt w:val="bullet"/>
      <w:lvlText w:val=""/>
      <w:lvlJc w:val="left"/>
      <w:pPr>
        <w:tabs>
          <w:tab w:val="num" w:pos="5340"/>
        </w:tabs>
        <w:ind w:left="5340" w:hanging="360"/>
      </w:pPr>
      <w:rPr>
        <w:rFonts w:ascii="Symbol" w:hAnsi="Symbol" w:hint="default"/>
      </w:rPr>
    </w:lvl>
    <w:lvl w:ilvl="7" w:tplc="0C090003" w:tentative="1">
      <w:start w:val="1"/>
      <w:numFmt w:val="bullet"/>
      <w:lvlText w:val="o"/>
      <w:lvlJc w:val="left"/>
      <w:pPr>
        <w:tabs>
          <w:tab w:val="num" w:pos="6060"/>
        </w:tabs>
        <w:ind w:left="6060" w:hanging="360"/>
      </w:pPr>
      <w:rPr>
        <w:rFonts w:ascii="Courier New" w:hAnsi="Courier New" w:cs="Courier New" w:hint="default"/>
      </w:rPr>
    </w:lvl>
    <w:lvl w:ilvl="8" w:tplc="0C090005" w:tentative="1">
      <w:start w:val="1"/>
      <w:numFmt w:val="bullet"/>
      <w:lvlText w:val=""/>
      <w:lvlJc w:val="left"/>
      <w:pPr>
        <w:tabs>
          <w:tab w:val="num" w:pos="6780"/>
        </w:tabs>
        <w:ind w:left="6780" w:hanging="360"/>
      </w:pPr>
      <w:rPr>
        <w:rFonts w:ascii="Wingdings" w:hAnsi="Wingdings" w:hint="default"/>
      </w:rPr>
    </w:lvl>
  </w:abstractNum>
  <w:abstractNum w:abstractNumId="1">
    <w:nsid w:val="266656FC"/>
    <w:multiLevelType w:val="hybridMultilevel"/>
    <w:tmpl w:val="7E8E7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6740E5"/>
    <w:multiLevelType w:val="hybridMultilevel"/>
    <w:tmpl w:val="BF0CB40A"/>
    <w:lvl w:ilvl="0" w:tplc="012C47DC">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54324368"/>
    <w:multiLevelType w:val="hybridMultilevel"/>
    <w:tmpl w:val="6FEE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5664B2"/>
    <w:multiLevelType w:val="hybridMultilevel"/>
    <w:tmpl w:val="9BACB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6D3061"/>
    <w:multiLevelType w:val="hybridMultilevel"/>
    <w:tmpl w:val="8B548D64"/>
    <w:lvl w:ilvl="0" w:tplc="3336165A">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5C0C0812"/>
    <w:multiLevelType w:val="hybridMultilevel"/>
    <w:tmpl w:val="3ED25588"/>
    <w:lvl w:ilvl="0" w:tplc="012C47DC">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D986414"/>
    <w:multiLevelType w:val="hybridMultilevel"/>
    <w:tmpl w:val="D8664270"/>
    <w:lvl w:ilvl="0" w:tplc="012C47DC">
      <w:start w:val="1"/>
      <w:numFmt w:val="bullet"/>
      <w:lvlText w:val=""/>
      <w:lvlJc w:val="left"/>
      <w:pPr>
        <w:tabs>
          <w:tab w:val="num" w:pos="660"/>
        </w:tabs>
        <w:ind w:left="660" w:hanging="360"/>
      </w:pPr>
      <w:rPr>
        <w:rFonts w:ascii="Symbol" w:hAnsi="Symbol" w:hint="default"/>
        <w:sz w:val="20"/>
        <w:szCs w:val="20"/>
      </w:rPr>
    </w:lvl>
    <w:lvl w:ilvl="1" w:tplc="7DA49690">
      <w:start w:val="1"/>
      <w:numFmt w:val="bullet"/>
      <w:lvlText w:val=""/>
      <w:lvlJc w:val="left"/>
      <w:pPr>
        <w:tabs>
          <w:tab w:val="num" w:pos="1800"/>
        </w:tabs>
        <w:ind w:left="1800" w:hanging="360"/>
      </w:pPr>
      <w:rPr>
        <w:rFonts w:ascii="Symbol" w:hAnsi="Symbol" w:hint="default"/>
        <w:sz w:val="20"/>
        <w:szCs w:val="20"/>
        <w:effect w:val="none"/>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64322693"/>
    <w:multiLevelType w:val="hybridMultilevel"/>
    <w:tmpl w:val="12E062A0"/>
    <w:lvl w:ilvl="0" w:tplc="3336165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6897440A"/>
    <w:multiLevelType w:val="hybridMultilevel"/>
    <w:tmpl w:val="C7F6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ADC5A35"/>
    <w:multiLevelType w:val="hybridMultilevel"/>
    <w:tmpl w:val="B67AE120"/>
    <w:lvl w:ilvl="0" w:tplc="012C47DC">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2370B75"/>
    <w:multiLevelType w:val="hybridMultilevel"/>
    <w:tmpl w:val="83CC8764"/>
    <w:lvl w:ilvl="0" w:tplc="012C47DC">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7"/>
  </w:num>
  <w:num w:numId="3">
    <w:abstractNumId w:val="2"/>
  </w:num>
  <w:num w:numId="4">
    <w:abstractNumId w:val="11"/>
  </w:num>
  <w:num w:numId="5">
    <w:abstractNumId w:val="10"/>
  </w:num>
  <w:num w:numId="6">
    <w:abstractNumId w:val="0"/>
  </w:num>
  <w:num w:numId="7">
    <w:abstractNumId w:val="8"/>
  </w:num>
  <w:num w:numId="8">
    <w:abstractNumId w:val="5"/>
  </w:num>
  <w:num w:numId="9">
    <w:abstractNumId w:val="3"/>
  </w:num>
  <w:num w:numId="10">
    <w:abstractNumId w:val="1"/>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compat/>
  <w:rsids>
    <w:rsidRoot w:val="00A70664"/>
    <w:rsid w:val="000004DD"/>
    <w:rsid w:val="000069B2"/>
    <w:rsid w:val="000069C4"/>
    <w:rsid w:val="000103CB"/>
    <w:rsid w:val="00010FFA"/>
    <w:rsid w:val="00014524"/>
    <w:rsid w:val="00014704"/>
    <w:rsid w:val="00015D30"/>
    <w:rsid w:val="0002308D"/>
    <w:rsid w:val="00027C86"/>
    <w:rsid w:val="00032CC6"/>
    <w:rsid w:val="00036404"/>
    <w:rsid w:val="00037BE4"/>
    <w:rsid w:val="00042156"/>
    <w:rsid w:val="00045249"/>
    <w:rsid w:val="00051130"/>
    <w:rsid w:val="0005378B"/>
    <w:rsid w:val="00060D8C"/>
    <w:rsid w:val="0006476D"/>
    <w:rsid w:val="00067B05"/>
    <w:rsid w:val="000712F3"/>
    <w:rsid w:val="00072A59"/>
    <w:rsid w:val="00075DF6"/>
    <w:rsid w:val="00077148"/>
    <w:rsid w:val="000814ED"/>
    <w:rsid w:val="00082B5C"/>
    <w:rsid w:val="00083AE5"/>
    <w:rsid w:val="00093D56"/>
    <w:rsid w:val="00093E37"/>
    <w:rsid w:val="000977AB"/>
    <w:rsid w:val="000A19B4"/>
    <w:rsid w:val="000B0FB3"/>
    <w:rsid w:val="000B2857"/>
    <w:rsid w:val="000B28A9"/>
    <w:rsid w:val="000B2EA7"/>
    <w:rsid w:val="000B398E"/>
    <w:rsid w:val="000D2925"/>
    <w:rsid w:val="000E1263"/>
    <w:rsid w:val="000E5FCA"/>
    <w:rsid w:val="000F032B"/>
    <w:rsid w:val="00103224"/>
    <w:rsid w:val="00103AFD"/>
    <w:rsid w:val="00103F01"/>
    <w:rsid w:val="0011072F"/>
    <w:rsid w:val="0011701D"/>
    <w:rsid w:val="00122D7C"/>
    <w:rsid w:val="00125D84"/>
    <w:rsid w:val="00134829"/>
    <w:rsid w:val="001349FF"/>
    <w:rsid w:val="00141943"/>
    <w:rsid w:val="00143924"/>
    <w:rsid w:val="0015597D"/>
    <w:rsid w:val="00155D78"/>
    <w:rsid w:val="001771F4"/>
    <w:rsid w:val="001775C7"/>
    <w:rsid w:val="001807E7"/>
    <w:rsid w:val="00183D67"/>
    <w:rsid w:val="00190F2F"/>
    <w:rsid w:val="00194A5D"/>
    <w:rsid w:val="00196CFD"/>
    <w:rsid w:val="001A1B7B"/>
    <w:rsid w:val="001A4118"/>
    <w:rsid w:val="001A438A"/>
    <w:rsid w:val="001A4492"/>
    <w:rsid w:val="001A5185"/>
    <w:rsid w:val="001B01C3"/>
    <w:rsid w:val="001B4165"/>
    <w:rsid w:val="001B7C53"/>
    <w:rsid w:val="001C73FD"/>
    <w:rsid w:val="001C752A"/>
    <w:rsid w:val="001D66A9"/>
    <w:rsid w:val="001E1038"/>
    <w:rsid w:val="001E6979"/>
    <w:rsid w:val="001E7E14"/>
    <w:rsid w:val="001F0132"/>
    <w:rsid w:val="001F0C99"/>
    <w:rsid w:val="001F22DE"/>
    <w:rsid w:val="0020405C"/>
    <w:rsid w:val="00205BC4"/>
    <w:rsid w:val="00210259"/>
    <w:rsid w:val="00212DD6"/>
    <w:rsid w:val="00213D10"/>
    <w:rsid w:val="00214638"/>
    <w:rsid w:val="002262E3"/>
    <w:rsid w:val="0023396B"/>
    <w:rsid w:val="00241119"/>
    <w:rsid w:val="00245A6A"/>
    <w:rsid w:val="00246D4C"/>
    <w:rsid w:val="00247657"/>
    <w:rsid w:val="00250827"/>
    <w:rsid w:val="00252C53"/>
    <w:rsid w:val="00261D71"/>
    <w:rsid w:val="00264240"/>
    <w:rsid w:val="0026586F"/>
    <w:rsid w:val="00276F2A"/>
    <w:rsid w:val="002852DA"/>
    <w:rsid w:val="00290480"/>
    <w:rsid w:val="00291FCF"/>
    <w:rsid w:val="00293152"/>
    <w:rsid w:val="00293C2F"/>
    <w:rsid w:val="00295973"/>
    <w:rsid w:val="002A3D7D"/>
    <w:rsid w:val="002A5754"/>
    <w:rsid w:val="002A7601"/>
    <w:rsid w:val="002B0742"/>
    <w:rsid w:val="002B43F7"/>
    <w:rsid w:val="002C4A28"/>
    <w:rsid w:val="002C7724"/>
    <w:rsid w:val="002D4C0B"/>
    <w:rsid w:val="002D5D85"/>
    <w:rsid w:val="002D75BF"/>
    <w:rsid w:val="002F1E91"/>
    <w:rsid w:val="002F2837"/>
    <w:rsid w:val="003008BD"/>
    <w:rsid w:val="003023AF"/>
    <w:rsid w:val="00302522"/>
    <w:rsid w:val="003028E4"/>
    <w:rsid w:val="00303A5D"/>
    <w:rsid w:val="003051FF"/>
    <w:rsid w:val="0031026D"/>
    <w:rsid w:val="003108D5"/>
    <w:rsid w:val="00312A21"/>
    <w:rsid w:val="00312BF1"/>
    <w:rsid w:val="00316144"/>
    <w:rsid w:val="00316CEF"/>
    <w:rsid w:val="00317D5B"/>
    <w:rsid w:val="00320F1A"/>
    <w:rsid w:val="00321A59"/>
    <w:rsid w:val="00325933"/>
    <w:rsid w:val="00340301"/>
    <w:rsid w:val="00352FCA"/>
    <w:rsid w:val="00354838"/>
    <w:rsid w:val="00361860"/>
    <w:rsid w:val="00366813"/>
    <w:rsid w:val="003755DF"/>
    <w:rsid w:val="003816B6"/>
    <w:rsid w:val="00382B44"/>
    <w:rsid w:val="00385201"/>
    <w:rsid w:val="00387B53"/>
    <w:rsid w:val="003925E6"/>
    <w:rsid w:val="003A1A37"/>
    <w:rsid w:val="003A4C8D"/>
    <w:rsid w:val="003B0B1C"/>
    <w:rsid w:val="003C4857"/>
    <w:rsid w:val="003C7C66"/>
    <w:rsid w:val="003E04DE"/>
    <w:rsid w:val="003E30B9"/>
    <w:rsid w:val="003E642A"/>
    <w:rsid w:val="003F1A05"/>
    <w:rsid w:val="003F5773"/>
    <w:rsid w:val="003F6A43"/>
    <w:rsid w:val="003F6DBB"/>
    <w:rsid w:val="003F7075"/>
    <w:rsid w:val="004033AA"/>
    <w:rsid w:val="004069DC"/>
    <w:rsid w:val="004125CC"/>
    <w:rsid w:val="00415BBA"/>
    <w:rsid w:val="00417FE0"/>
    <w:rsid w:val="0042060F"/>
    <w:rsid w:val="004208BA"/>
    <w:rsid w:val="00422B59"/>
    <w:rsid w:val="00424819"/>
    <w:rsid w:val="00427D77"/>
    <w:rsid w:val="00430C71"/>
    <w:rsid w:val="00441ED1"/>
    <w:rsid w:val="0044347D"/>
    <w:rsid w:val="00443AC4"/>
    <w:rsid w:val="00461066"/>
    <w:rsid w:val="00461793"/>
    <w:rsid w:val="00462F6C"/>
    <w:rsid w:val="004731D3"/>
    <w:rsid w:val="00490018"/>
    <w:rsid w:val="00491482"/>
    <w:rsid w:val="0049440F"/>
    <w:rsid w:val="004A1AAB"/>
    <w:rsid w:val="004A3089"/>
    <w:rsid w:val="004B28E6"/>
    <w:rsid w:val="004B4502"/>
    <w:rsid w:val="004C17B8"/>
    <w:rsid w:val="004C5152"/>
    <w:rsid w:val="004C796A"/>
    <w:rsid w:val="004D039B"/>
    <w:rsid w:val="004E15C9"/>
    <w:rsid w:val="004F3AC5"/>
    <w:rsid w:val="004F4704"/>
    <w:rsid w:val="00503690"/>
    <w:rsid w:val="00517658"/>
    <w:rsid w:val="0052219E"/>
    <w:rsid w:val="00530CB3"/>
    <w:rsid w:val="00534C78"/>
    <w:rsid w:val="005412B6"/>
    <w:rsid w:val="005454B4"/>
    <w:rsid w:val="0054708A"/>
    <w:rsid w:val="00550F4A"/>
    <w:rsid w:val="005603E6"/>
    <w:rsid w:val="00566270"/>
    <w:rsid w:val="00571400"/>
    <w:rsid w:val="005764D6"/>
    <w:rsid w:val="0057652A"/>
    <w:rsid w:val="0057745E"/>
    <w:rsid w:val="00577FC9"/>
    <w:rsid w:val="00581FF5"/>
    <w:rsid w:val="0058300A"/>
    <w:rsid w:val="00586CC7"/>
    <w:rsid w:val="005872BC"/>
    <w:rsid w:val="005915EC"/>
    <w:rsid w:val="00592094"/>
    <w:rsid w:val="00595786"/>
    <w:rsid w:val="005A117C"/>
    <w:rsid w:val="005A3429"/>
    <w:rsid w:val="005A48AF"/>
    <w:rsid w:val="005A48ED"/>
    <w:rsid w:val="005C3223"/>
    <w:rsid w:val="005C5DF7"/>
    <w:rsid w:val="005D2C22"/>
    <w:rsid w:val="005D6E74"/>
    <w:rsid w:val="005E4C33"/>
    <w:rsid w:val="005F296A"/>
    <w:rsid w:val="005F385F"/>
    <w:rsid w:val="005F4989"/>
    <w:rsid w:val="005F5617"/>
    <w:rsid w:val="005F65DC"/>
    <w:rsid w:val="005F7872"/>
    <w:rsid w:val="00600D76"/>
    <w:rsid w:val="006066CC"/>
    <w:rsid w:val="00607AC8"/>
    <w:rsid w:val="00612C19"/>
    <w:rsid w:val="006176B9"/>
    <w:rsid w:val="006179BB"/>
    <w:rsid w:val="00623554"/>
    <w:rsid w:val="00627387"/>
    <w:rsid w:val="006304AE"/>
    <w:rsid w:val="00632308"/>
    <w:rsid w:val="0063402C"/>
    <w:rsid w:val="00640A9B"/>
    <w:rsid w:val="00641784"/>
    <w:rsid w:val="00657E91"/>
    <w:rsid w:val="00663DE9"/>
    <w:rsid w:val="00670E96"/>
    <w:rsid w:val="006767CD"/>
    <w:rsid w:val="00676E45"/>
    <w:rsid w:val="00677698"/>
    <w:rsid w:val="00681498"/>
    <w:rsid w:val="006828AE"/>
    <w:rsid w:val="00691D36"/>
    <w:rsid w:val="006C0F90"/>
    <w:rsid w:val="006C3E9B"/>
    <w:rsid w:val="006D059A"/>
    <w:rsid w:val="006D0923"/>
    <w:rsid w:val="006E69AD"/>
    <w:rsid w:val="006E6C03"/>
    <w:rsid w:val="006F3CC3"/>
    <w:rsid w:val="006F647D"/>
    <w:rsid w:val="0070568D"/>
    <w:rsid w:val="0070743F"/>
    <w:rsid w:val="007075B9"/>
    <w:rsid w:val="00712F87"/>
    <w:rsid w:val="00715CFA"/>
    <w:rsid w:val="00720FFE"/>
    <w:rsid w:val="0072584C"/>
    <w:rsid w:val="00725DDE"/>
    <w:rsid w:val="00731EDA"/>
    <w:rsid w:val="007323F3"/>
    <w:rsid w:val="00734425"/>
    <w:rsid w:val="0073679E"/>
    <w:rsid w:val="007441C3"/>
    <w:rsid w:val="007448CC"/>
    <w:rsid w:val="00745885"/>
    <w:rsid w:val="00751EC6"/>
    <w:rsid w:val="007617B0"/>
    <w:rsid w:val="00761A2E"/>
    <w:rsid w:val="007626B1"/>
    <w:rsid w:val="0076285B"/>
    <w:rsid w:val="00771633"/>
    <w:rsid w:val="0077370B"/>
    <w:rsid w:val="00774375"/>
    <w:rsid w:val="007746AC"/>
    <w:rsid w:val="00774996"/>
    <w:rsid w:val="0077742E"/>
    <w:rsid w:val="00786919"/>
    <w:rsid w:val="00790C72"/>
    <w:rsid w:val="007915F9"/>
    <w:rsid w:val="007A0682"/>
    <w:rsid w:val="007A1BD9"/>
    <w:rsid w:val="007B37D1"/>
    <w:rsid w:val="007C3F94"/>
    <w:rsid w:val="007C4D7E"/>
    <w:rsid w:val="007C7B3C"/>
    <w:rsid w:val="007D0F32"/>
    <w:rsid w:val="007D230E"/>
    <w:rsid w:val="007D268D"/>
    <w:rsid w:val="007D66B7"/>
    <w:rsid w:val="007E57F9"/>
    <w:rsid w:val="007F2193"/>
    <w:rsid w:val="007F24E3"/>
    <w:rsid w:val="007F2996"/>
    <w:rsid w:val="007F4C12"/>
    <w:rsid w:val="0080122C"/>
    <w:rsid w:val="00806D4A"/>
    <w:rsid w:val="0081051B"/>
    <w:rsid w:val="00811936"/>
    <w:rsid w:val="008119D5"/>
    <w:rsid w:val="00816DD5"/>
    <w:rsid w:val="00820F20"/>
    <w:rsid w:val="008260E3"/>
    <w:rsid w:val="0082728C"/>
    <w:rsid w:val="0083373E"/>
    <w:rsid w:val="0083515E"/>
    <w:rsid w:val="00844A85"/>
    <w:rsid w:val="0085292F"/>
    <w:rsid w:val="00857E12"/>
    <w:rsid w:val="0086058F"/>
    <w:rsid w:val="008619ED"/>
    <w:rsid w:val="00872CB9"/>
    <w:rsid w:val="00875B7D"/>
    <w:rsid w:val="00876554"/>
    <w:rsid w:val="00876FCD"/>
    <w:rsid w:val="00882023"/>
    <w:rsid w:val="008836EE"/>
    <w:rsid w:val="00885CDC"/>
    <w:rsid w:val="008919CF"/>
    <w:rsid w:val="00891C63"/>
    <w:rsid w:val="00895236"/>
    <w:rsid w:val="00895AD0"/>
    <w:rsid w:val="00895FCB"/>
    <w:rsid w:val="008A0FB3"/>
    <w:rsid w:val="008A21E7"/>
    <w:rsid w:val="008A6E90"/>
    <w:rsid w:val="008A7BCF"/>
    <w:rsid w:val="008B4456"/>
    <w:rsid w:val="008B6E17"/>
    <w:rsid w:val="008B7CBC"/>
    <w:rsid w:val="008C193C"/>
    <w:rsid w:val="008C598B"/>
    <w:rsid w:val="008D0107"/>
    <w:rsid w:val="008E44CE"/>
    <w:rsid w:val="008E53C0"/>
    <w:rsid w:val="008F1FFD"/>
    <w:rsid w:val="008F62BC"/>
    <w:rsid w:val="00901F93"/>
    <w:rsid w:val="00904A4B"/>
    <w:rsid w:val="00905454"/>
    <w:rsid w:val="00911229"/>
    <w:rsid w:val="0091603C"/>
    <w:rsid w:val="00916CCA"/>
    <w:rsid w:val="00917800"/>
    <w:rsid w:val="00921253"/>
    <w:rsid w:val="0092364B"/>
    <w:rsid w:val="0092436E"/>
    <w:rsid w:val="00927B38"/>
    <w:rsid w:val="00936A1A"/>
    <w:rsid w:val="00942BE7"/>
    <w:rsid w:val="0094660E"/>
    <w:rsid w:val="00956DC0"/>
    <w:rsid w:val="00957B3F"/>
    <w:rsid w:val="00964587"/>
    <w:rsid w:val="009724E3"/>
    <w:rsid w:val="00983B70"/>
    <w:rsid w:val="009A473D"/>
    <w:rsid w:val="009A7D68"/>
    <w:rsid w:val="009B7933"/>
    <w:rsid w:val="009D7A1F"/>
    <w:rsid w:val="009E406A"/>
    <w:rsid w:val="009E4859"/>
    <w:rsid w:val="009E7CD1"/>
    <w:rsid w:val="009F4D7A"/>
    <w:rsid w:val="009F6B8E"/>
    <w:rsid w:val="00A0112B"/>
    <w:rsid w:val="00A0518B"/>
    <w:rsid w:val="00A079AC"/>
    <w:rsid w:val="00A12DCF"/>
    <w:rsid w:val="00A1332D"/>
    <w:rsid w:val="00A16D60"/>
    <w:rsid w:val="00A17D58"/>
    <w:rsid w:val="00A20F32"/>
    <w:rsid w:val="00A22272"/>
    <w:rsid w:val="00A24115"/>
    <w:rsid w:val="00A3619B"/>
    <w:rsid w:val="00A4142D"/>
    <w:rsid w:val="00A46E9B"/>
    <w:rsid w:val="00A51C05"/>
    <w:rsid w:val="00A61E2F"/>
    <w:rsid w:val="00A62380"/>
    <w:rsid w:val="00A630D9"/>
    <w:rsid w:val="00A668B3"/>
    <w:rsid w:val="00A70664"/>
    <w:rsid w:val="00A706F7"/>
    <w:rsid w:val="00A72078"/>
    <w:rsid w:val="00A733BE"/>
    <w:rsid w:val="00A76CFF"/>
    <w:rsid w:val="00A7726D"/>
    <w:rsid w:val="00A96C03"/>
    <w:rsid w:val="00AA5DAC"/>
    <w:rsid w:val="00AB0B43"/>
    <w:rsid w:val="00AC4127"/>
    <w:rsid w:val="00AC5A89"/>
    <w:rsid w:val="00AC6390"/>
    <w:rsid w:val="00AC7F0B"/>
    <w:rsid w:val="00AD5DF6"/>
    <w:rsid w:val="00AD74BF"/>
    <w:rsid w:val="00AD7EF2"/>
    <w:rsid w:val="00AE289E"/>
    <w:rsid w:val="00AE4863"/>
    <w:rsid w:val="00AF184B"/>
    <w:rsid w:val="00AF49E1"/>
    <w:rsid w:val="00AF7A69"/>
    <w:rsid w:val="00B03435"/>
    <w:rsid w:val="00B03F57"/>
    <w:rsid w:val="00B04800"/>
    <w:rsid w:val="00B06BC3"/>
    <w:rsid w:val="00B1392D"/>
    <w:rsid w:val="00B141C2"/>
    <w:rsid w:val="00B21A41"/>
    <w:rsid w:val="00B23516"/>
    <w:rsid w:val="00B247CC"/>
    <w:rsid w:val="00B37FEA"/>
    <w:rsid w:val="00B40C6B"/>
    <w:rsid w:val="00B4183D"/>
    <w:rsid w:val="00B50449"/>
    <w:rsid w:val="00B514FB"/>
    <w:rsid w:val="00B545C6"/>
    <w:rsid w:val="00B65CA1"/>
    <w:rsid w:val="00B72461"/>
    <w:rsid w:val="00B76F5C"/>
    <w:rsid w:val="00B77656"/>
    <w:rsid w:val="00B77D30"/>
    <w:rsid w:val="00B77DDC"/>
    <w:rsid w:val="00BA05A8"/>
    <w:rsid w:val="00BA1BDA"/>
    <w:rsid w:val="00BA4136"/>
    <w:rsid w:val="00BA51CE"/>
    <w:rsid w:val="00BB1347"/>
    <w:rsid w:val="00BB678A"/>
    <w:rsid w:val="00BC2B37"/>
    <w:rsid w:val="00BC490C"/>
    <w:rsid w:val="00BD06F0"/>
    <w:rsid w:val="00BD5C3A"/>
    <w:rsid w:val="00BD7A44"/>
    <w:rsid w:val="00BE22C6"/>
    <w:rsid w:val="00BE7191"/>
    <w:rsid w:val="00BF280D"/>
    <w:rsid w:val="00BF4210"/>
    <w:rsid w:val="00BF4E52"/>
    <w:rsid w:val="00C01B85"/>
    <w:rsid w:val="00C111F3"/>
    <w:rsid w:val="00C12ACB"/>
    <w:rsid w:val="00C23410"/>
    <w:rsid w:val="00C355AB"/>
    <w:rsid w:val="00C43386"/>
    <w:rsid w:val="00C44E6E"/>
    <w:rsid w:val="00C464AA"/>
    <w:rsid w:val="00C467D0"/>
    <w:rsid w:val="00C5263A"/>
    <w:rsid w:val="00C546AA"/>
    <w:rsid w:val="00C547E0"/>
    <w:rsid w:val="00C55E1B"/>
    <w:rsid w:val="00C57FFA"/>
    <w:rsid w:val="00C603DE"/>
    <w:rsid w:val="00C62A62"/>
    <w:rsid w:val="00C6581E"/>
    <w:rsid w:val="00C66654"/>
    <w:rsid w:val="00C71817"/>
    <w:rsid w:val="00C74E43"/>
    <w:rsid w:val="00C751AB"/>
    <w:rsid w:val="00C753EF"/>
    <w:rsid w:val="00C80AA2"/>
    <w:rsid w:val="00C84089"/>
    <w:rsid w:val="00C870AB"/>
    <w:rsid w:val="00CB1AEC"/>
    <w:rsid w:val="00CB32B4"/>
    <w:rsid w:val="00CB531F"/>
    <w:rsid w:val="00CC0A07"/>
    <w:rsid w:val="00CC15A4"/>
    <w:rsid w:val="00CC2CCA"/>
    <w:rsid w:val="00CD255C"/>
    <w:rsid w:val="00CD3B3A"/>
    <w:rsid w:val="00CD5BBC"/>
    <w:rsid w:val="00CD7793"/>
    <w:rsid w:val="00CE266E"/>
    <w:rsid w:val="00CE51EB"/>
    <w:rsid w:val="00CE5897"/>
    <w:rsid w:val="00CE58A1"/>
    <w:rsid w:val="00CF7250"/>
    <w:rsid w:val="00D0145F"/>
    <w:rsid w:val="00D053BD"/>
    <w:rsid w:val="00D05A31"/>
    <w:rsid w:val="00D07B54"/>
    <w:rsid w:val="00D133C2"/>
    <w:rsid w:val="00D15A4B"/>
    <w:rsid w:val="00D2284D"/>
    <w:rsid w:val="00D254F2"/>
    <w:rsid w:val="00D26171"/>
    <w:rsid w:val="00D30A99"/>
    <w:rsid w:val="00D36564"/>
    <w:rsid w:val="00D45DD4"/>
    <w:rsid w:val="00D51539"/>
    <w:rsid w:val="00D60E4F"/>
    <w:rsid w:val="00D613BB"/>
    <w:rsid w:val="00D61C71"/>
    <w:rsid w:val="00D62C7A"/>
    <w:rsid w:val="00D65AE2"/>
    <w:rsid w:val="00D668AF"/>
    <w:rsid w:val="00D74F1A"/>
    <w:rsid w:val="00D77A06"/>
    <w:rsid w:val="00D83A3B"/>
    <w:rsid w:val="00D90BC3"/>
    <w:rsid w:val="00D92937"/>
    <w:rsid w:val="00D933B7"/>
    <w:rsid w:val="00D966DF"/>
    <w:rsid w:val="00DA0A4B"/>
    <w:rsid w:val="00DA11C6"/>
    <w:rsid w:val="00DA1A7C"/>
    <w:rsid w:val="00DA6DFA"/>
    <w:rsid w:val="00DB2919"/>
    <w:rsid w:val="00DB4F5C"/>
    <w:rsid w:val="00DD01C3"/>
    <w:rsid w:val="00DD1173"/>
    <w:rsid w:val="00DD17C4"/>
    <w:rsid w:val="00DE1997"/>
    <w:rsid w:val="00DE422B"/>
    <w:rsid w:val="00DE7448"/>
    <w:rsid w:val="00DF0951"/>
    <w:rsid w:val="00E00411"/>
    <w:rsid w:val="00E02C45"/>
    <w:rsid w:val="00E055C5"/>
    <w:rsid w:val="00E06134"/>
    <w:rsid w:val="00E07128"/>
    <w:rsid w:val="00E0777E"/>
    <w:rsid w:val="00E07885"/>
    <w:rsid w:val="00E127F6"/>
    <w:rsid w:val="00E23ABE"/>
    <w:rsid w:val="00E24C96"/>
    <w:rsid w:val="00E32A95"/>
    <w:rsid w:val="00E348EF"/>
    <w:rsid w:val="00E37722"/>
    <w:rsid w:val="00E41FA1"/>
    <w:rsid w:val="00E420DB"/>
    <w:rsid w:val="00E4315C"/>
    <w:rsid w:val="00E444BB"/>
    <w:rsid w:val="00E44905"/>
    <w:rsid w:val="00E47268"/>
    <w:rsid w:val="00E47539"/>
    <w:rsid w:val="00E53EA3"/>
    <w:rsid w:val="00E60D35"/>
    <w:rsid w:val="00E71838"/>
    <w:rsid w:val="00E808A0"/>
    <w:rsid w:val="00E82975"/>
    <w:rsid w:val="00E837EA"/>
    <w:rsid w:val="00E85972"/>
    <w:rsid w:val="00E85DC5"/>
    <w:rsid w:val="00E94394"/>
    <w:rsid w:val="00E96054"/>
    <w:rsid w:val="00EA2E98"/>
    <w:rsid w:val="00EA533B"/>
    <w:rsid w:val="00EB55B6"/>
    <w:rsid w:val="00EC034C"/>
    <w:rsid w:val="00EC2ACC"/>
    <w:rsid w:val="00ED2F94"/>
    <w:rsid w:val="00EE4AB9"/>
    <w:rsid w:val="00EF2E6D"/>
    <w:rsid w:val="00EF660E"/>
    <w:rsid w:val="00F10075"/>
    <w:rsid w:val="00F1415F"/>
    <w:rsid w:val="00F215EF"/>
    <w:rsid w:val="00F272E0"/>
    <w:rsid w:val="00F32747"/>
    <w:rsid w:val="00F34759"/>
    <w:rsid w:val="00F35612"/>
    <w:rsid w:val="00F4036E"/>
    <w:rsid w:val="00F445C5"/>
    <w:rsid w:val="00F50B04"/>
    <w:rsid w:val="00F5527B"/>
    <w:rsid w:val="00F626DE"/>
    <w:rsid w:val="00F6672B"/>
    <w:rsid w:val="00F70487"/>
    <w:rsid w:val="00F71963"/>
    <w:rsid w:val="00F71FEE"/>
    <w:rsid w:val="00F7287C"/>
    <w:rsid w:val="00F76B20"/>
    <w:rsid w:val="00F815A8"/>
    <w:rsid w:val="00F821C6"/>
    <w:rsid w:val="00F84A6F"/>
    <w:rsid w:val="00F84EBC"/>
    <w:rsid w:val="00F94FAC"/>
    <w:rsid w:val="00F95BE0"/>
    <w:rsid w:val="00FA049E"/>
    <w:rsid w:val="00FA23F9"/>
    <w:rsid w:val="00FA29D7"/>
    <w:rsid w:val="00FA31E8"/>
    <w:rsid w:val="00FA3858"/>
    <w:rsid w:val="00FA5150"/>
    <w:rsid w:val="00FA7810"/>
    <w:rsid w:val="00FB05E2"/>
    <w:rsid w:val="00FB7A65"/>
    <w:rsid w:val="00FC7545"/>
    <w:rsid w:val="00FD3F9B"/>
    <w:rsid w:val="00FE0B8C"/>
    <w:rsid w:val="00FE124B"/>
    <w:rsid w:val="00FE3852"/>
    <w:rsid w:val="00FE6D7C"/>
    <w:rsid w:val="00FF3A68"/>
    <w:rsid w:val="00FF7A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6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vAlign w:val="center"/>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rsid w:val="0074588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CharChar">
    <w:name w:val="Char Char"/>
    <w:basedOn w:val="Normal"/>
    <w:rsid w:val="00A70664"/>
    <w:rPr>
      <w:rFonts w:ascii="Arial" w:hAnsi="Arial"/>
      <w:sz w:val="22"/>
    </w:rPr>
  </w:style>
  <w:style w:type="paragraph" w:customStyle="1" w:styleId="tabletext">
    <w:name w:val="tabletext"/>
    <w:basedOn w:val="Normal"/>
    <w:rsid w:val="00BA1BDA"/>
    <w:pPr>
      <w:spacing w:before="100" w:beforeAutospacing="1" w:after="100" w:afterAutospacing="1"/>
    </w:pPr>
    <w:rPr>
      <w:sz w:val="24"/>
      <w:szCs w:val="24"/>
      <w:lang w:eastAsia="en-AU"/>
    </w:rPr>
  </w:style>
  <w:style w:type="character" w:styleId="Hyperlink">
    <w:name w:val="Hyperlink"/>
    <w:basedOn w:val="DefaultParagraphFont"/>
    <w:rsid w:val="00EA2E98"/>
    <w:rPr>
      <w:color w:val="0000FF" w:themeColor="hyperlink"/>
      <w:u w:val="single"/>
    </w:rPr>
  </w:style>
  <w:style w:type="character" w:styleId="FollowedHyperlink">
    <w:name w:val="FollowedHyperlink"/>
    <w:basedOn w:val="DefaultParagraphFont"/>
    <w:rsid w:val="00EA2E98"/>
    <w:rPr>
      <w:color w:val="800080" w:themeColor="followedHyperlink"/>
      <w:u w:val="single"/>
    </w:rPr>
  </w:style>
  <w:style w:type="paragraph" w:styleId="BalloonText">
    <w:name w:val="Balloon Text"/>
    <w:basedOn w:val="Normal"/>
    <w:link w:val="BalloonTextChar"/>
    <w:rsid w:val="00067B05"/>
    <w:rPr>
      <w:rFonts w:ascii="Tahoma" w:hAnsi="Tahoma" w:cs="Tahoma"/>
      <w:sz w:val="16"/>
      <w:szCs w:val="16"/>
    </w:rPr>
  </w:style>
  <w:style w:type="character" w:customStyle="1" w:styleId="BalloonTextChar">
    <w:name w:val="Balloon Text Char"/>
    <w:basedOn w:val="DefaultParagraphFont"/>
    <w:link w:val="BalloonText"/>
    <w:rsid w:val="00067B05"/>
    <w:rPr>
      <w:rFonts w:ascii="Tahoma" w:hAnsi="Tahoma" w:cs="Tahoma"/>
      <w:sz w:val="16"/>
      <w:szCs w:val="16"/>
      <w:lang w:eastAsia="en-US"/>
    </w:rPr>
  </w:style>
  <w:style w:type="character" w:styleId="CommentReference">
    <w:name w:val="annotation reference"/>
    <w:basedOn w:val="DefaultParagraphFont"/>
    <w:rsid w:val="00067B05"/>
    <w:rPr>
      <w:sz w:val="16"/>
      <w:szCs w:val="16"/>
    </w:rPr>
  </w:style>
  <w:style w:type="paragraph" w:styleId="CommentText">
    <w:name w:val="annotation text"/>
    <w:basedOn w:val="Normal"/>
    <w:link w:val="CommentTextChar"/>
    <w:rsid w:val="00067B05"/>
  </w:style>
  <w:style w:type="character" w:customStyle="1" w:styleId="CommentTextChar">
    <w:name w:val="Comment Text Char"/>
    <w:basedOn w:val="DefaultParagraphFont"/>
    <w:link w:val="CommentText"/>
    <w:rsid w:val="00067B05"/>
    <w:rPr>
      <w:lang w:eastAsia="en-US"/>
    </w:rPr>
  </w:style>
  <w:style w:type="paragraph" w:styleId="CommentSubject">
    <w:name w:val="annotation subject"/>
    <w:basedOn w:val="CommentText"/>
    <w:next w:val="CommentText"/>
    <w:link w:val="CommentSubjectChar"/>
    <w:rsid w:val="00067B05"/>
    <w:rPr>
      <w:b/>
      <w:bCs/>
    </w:rPr>
  </w:style>
  <w:style w:type="character" w:customStyle="1" w:styleId="CommentSubjectChar">
    <w:name w:val="Comment Subject Char"/>
    <w:basedOn w:val="CommentTextChar"/>
    <w:link w:val="CommentSubject"/>
    <w:rsid w:val="00067B05"/>
    <w:rPr>
      <w:b/>
      <w:bCs/>
    </w:rPr>
  </w:style>
  <w:style w:type="paragraph" w:styleId="ListBullet2">
    <w:name w:val="List Bullet 2"/>
    <w:basedOn w:val="ListBullet"/>
    <w:autoRedefine/>
    <w:rsid w:val="009E406A"/>
    <w:pPr>
      <w:numPr>
        <w:numId w:val="0"/>
      </w:numPr>
      <w:spacing w:after="120" w:line="260" w:lineRule="atLeast"/>
      <w:contextualSpacing w:val="0"/>
      <w:jc w:val="both"/>
    </w:pPr>
    <w:rPr>
      <w:sz w:val="24"/>
      <w:szCs w:val="24"/>
      <w:lang w:eastAsia="en-AU"/>
    </w:rPr>
  </w:style>
  <w:style w:type="paragraph" w:styleId="BodyTextIndent3">
    <w:name w:val="Body Text Indent 3"/>
    <w:basedOn w:val="Normal"/>
    <w:link w:val="BodyTextIndent3Char"/>
    <w:rsid w:val="00D966DF"/>
    <w:pPr>
      <w:ind w:left="360"/>
      <w:jc w:val="both"/>
    </w:pPr>
    <w:rPr>
      <w:rFonts w:ascii="Arial" w:eastAsia="Times" w:hAnsi="Arial" w:cs="Arial"/>
      <w:bCs/>
      <w:sz w:val="24"/>
      <w:lang w:eastAsia="en-AU"/>
    </w:rPr>
  </w:style>
  <w:style w:type="character" w:customStyle="1" w:styleId="BodyTextIndent3Char">
    <w:name w:val="Body Text Indent 3 Char"/>
    <w:basedOn w:val="DefaultParagraphFont"/>
    <w:link w:val="BodyTextIndent3"/>
    <w:rsid w:val="00D966DF"/>
    <w:rPr>
      <w:rFonts w:ascii="Arial" w:eastAsia="Times" w:hAnsi="Arial" w:cs="Arial"/>
      <w:bCs/>
      <w:sz w:val="24"/>
    </w:rPr>
  </w:style>
  <w:style w:type="paragraph" w:styleId="ListParagraph">
    <w:name w:val="List Paragraph"/>
    <w:basedOn w:val="Normal"/>
    <w:uiPriority w:val="34"/>
    <w:qFormat/>
    <w:rsid w:val="00D966DF"/>
    <w:pPr>
      <w:ind w:left="720"/>
      <w:contextualSpacing/>
    </w:pPr>
  </w:style>
  <w:style w:type="paragraph" w:styleId="ListBullet">
    <w:name w:val="List Bullet"/>
    <w:basedOn w:val="Normal"/>
    <w:rsid w:val="00D966DF"/>
    <w:pPr>
      <w:numPr>
        <w:numId w:val="8"/>
      </w:numPr>
      <w:contextualSpacing/>
    </w:pPr>
  </w:style>
</w:styles>
</file>

<file path=word/webSettings.xml><?xml version="1.0" encoding="utf-8"?>
<w:webSettings xmlns:r="http://schemas.openxmlformats.org/officeDocument/2006/relationships" xmlns:w="http://schemas.openxmlformats.org/wordprocessingml/2006/main">
  <w:divs>
    <w:div w:id="522400257">
      <w:bodyDiv w:val="1"/>
      <w:marLeft w:val="0"/>
      <w:marRight w:val="0"/>
      <w:marTop w:val="0"/>
      <w:marBottom w:val="0"/>
      <w:divBdr>
        <w:top w:val="none" w:sz="0" w:space="0" w:color="auto"/>
        <w:left w:val="none" w:sz="0" w:space="0" w:color="auto"/>
        <w:bottom w:val="none" w:sz="0" w:space="0" w:color="auto"/>
        <w:right w:val="none" w:sz="0" w:space="0" w:color="auto"/>
      </w:divBdr>
      <w:divsChild>
        <w:div w:id="1429734264">
          <w:marLeft w:val="0"/>
          <w:marRight w:val="0"/>
          <w:marTop w:val="0"/>
          <w:marBottom w:val="0"/>
          <w:divBdr>
            <w:top w:val="none" w:sz="0" w:space="0" w:color="auto"/>
            <w:left w:val="none" w:sz="0" w:space="0" w:color="auto"/>
            <w:bottom w:val="none" w:sz="0" w:space="0" w:color="auto"/>
            <w:right w:val="none" w:sz="0" w:space="0" w:color="auto"/>
          </w:divBdr>
          <w:divsChild>
            <w:div w:id="604339654">
              <w:marLeft w:val="0"/>
              <w:marRight w:val="0"/>
              <w:marTop w:val="0"/>
              <w:marBottom w:val="0"/>
              <w:divBdr>
                <w:top w:val="none" w:sz="0" w:space="0" w:color="auto"/>
                <w:left w:val="none" w:sz="0" w:space="0" w:color="auto"/>
                <w:bottom w:val="none" w:sz="0" w:space="0" w:color="auto"/>
                <w:right w:val="none" w:sz="0" w:space="0" w:color="auto"/>
              </w:divBdr>
              <w:divsChild>
                <w:div w:id="1075013166">
                  <w:marLeft w:val="1230"/>
                  <w:marRight w:val="0"/>
                  <w:marTop w:val="0"/>
                  <w:marBottom w:val="0"/>
                  <w:divBdr>
                    <w:top w:val="none" w:sz="0" w:space="0" w:color="auto"/>
                    <w:left w:val="none" w:sz="0" w:space="0" w:color="auto"/>
                    <w:bottom w:val="none" w:sz="0" w:space="0" w:color="auto"/>
                    <w:right w:val="none" w:sz="0" w:space="0" w:color="auto"/>
                  </w:divBdr>
                  <w:divsChild>
                    <w:div w:id="521164100">
                      <w:marLeft w:val="0"/>
                      <w:marRight w:val="0"/>
                      <w:marTop w:val="0"/>
                      <w:marBottom w:val="0"/>
                      <w:divBdr>
                        <w:top w:val="none" w:sz="0" w:space="0" w:color="auto"/>
                        <w:left w:val="none" w:sz="0" w:space="0" w:color="auto"/>
                        <w:bottom w:val="none" w:sz="0" w:space="0" w:color="auto"/>
                        <w:right w:val="none" w:sz="0" w:space="0" w:color="auto"/>
                      </w:divBdr>
                      <w:divsChild>
                        <w:div w:id="664868322">
                          <w:marLeft w:val="0"/>
                          <w:marRight w:val="0"/>
                          <w:marTop w:val="0"/>
                          <w:marBottom w:val="0"/>
                          <w:divBdr>
                            <w:top w:val="none" w:sz="0" w:space="0" w:color="auto"/>
                            <w:left w:val="none" w:sz="0" w:space="0" w:color="auto"/>
                            <w:bottom w:val="none" w:sz="0" w:space="0" w:color="auto"/>
                            <w:right w:val="none" w:sz="0" w:space="0" w:color="auto"/>
                          </w:divBdr>
                          <w:divsChild>
                            <w:div w:id="156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973953">
      <w:bodyDiv w:val="1"/>
      <w:marLeft w:val="0"/>
      <w:marRight w:val="0"/>
      <w:marTop w:val="0"/>
      <w:marBottom w:val="0"/>
      <w:divBdr>
        <w:top w:val="none" w:sz="0" w:space="0" w:color="auto"/>
        <w:left w:val="none" w:sz="0" w:space="0" w:color="auto"/>
        <w:bottom w:val="none" w:sz="0" w:space="0" w:color="auto"/>
        <w:right w:val="none" w:sz="0" w:space="0" w:color="auto"/>
      </w:divBdr>
      <w:divsChild>
        <w:div w:id="1001664886">
          <w:marLeft w:val="0"/>
          <w:marRight w:val="0"/>
          <w:marTop w:val="0"/>
          <w:marBottom w:val="0"/>
          <w:divBdr>
            <w:top w:val="none" w:sz="0" w:space="0" w:color="auto"/>
            <w:left w:val="none" w:sz="0" w:space="0" w:color="auto"/>
            <w:bottom w:val="none" w:sz="0" w:space="0" w:color="auto"/>
            <w:right w:val="none" w:sz="0" w:space="0" w:color="auto"/>
          </w:divBdr>
          <w:divsChild>
            <w:div w:id="1587769317">
              <w:marLeft w:val="0"/>
              <w:marRight w:val="0"/>
              <w:marTop w:val="0"/>
              <w:marBottom w:val="0"/>
              <w:divBdr>
                <w:top w:val="none" w:sz="0" w:space="0" w:color="auto"/>
                <w:left w:val="none" w:sz="0" w:space="0" w:color="auto"/>
                <w:bottom w:val="none" w:sz="0" w:space="0" w:color="auto"/>
                <w:right w:val="none" w:sz="0" w:space="0" w:color="auto"/>
              </w:divBdr>
              <w:divsChild>
                <w:div w:id="1216622354">
                  <w:marLeft w:val="1230"/>
                  <w:marRight w:val="0"/>
                  <w:marTop w:val="0"/>
                  <w:marBottom w:val="0"/>
                  <w:divBdr>
                    <w:top w:val="none" w:sz="0" w:space="0" w:color="auto"/>
                    <w:left w:val="none" w:sz="0" w:space="0" w:color="auto"/>
                    <w:bottom w:val="none" w:sz="0" w:space="0" w:color="auto"/>
                    <w:right w:val="none" w:sz="0" w:space="0" w:color="auto"/>
                  </w:divBdr>
                  <w:divsChild>
                    <w:div w:id="1751736719">
                      <w:marLeft w:val="0"/>
                      <w:marRight w:val="0"/>
                      <w:marTop w:val="0"/>
                      <w:marBottom w:val="0"/>
                      <w:divBdr>
                        <w:top w:val="none" w:sz="0" w:space="0" w:color="auto"/>
                        <w:left w:val="none" w:sz="0" w:space="0" w:color="auto"/>
                        <w:bottom w:val="none" w:sz="0" w:space="0" w:color="auto"/>
                        <w:right w:val="none" w:sz="0" w:space="0" w:color="auto"/>
                      </w:divBdr>
                      <w:divsChild>
                        <w:div w:id="415327485">
                          <w:marLeft w:val="0"/>
                          <w:marRight w:val="0"/>
                          <w:marTop w:val="0"/>
                          <w:marBottom w:val="0"/>
                          <w:divBdr>
                            <w:top w:val="none" w:sz="0" w:space="0" w:color="auto"/>
                            <w:left w:val="none" w:sz="0" w:space="0" w:color="auto"/>
                            <w:bottom w:val="none" w:sz="0" w:space="0" w:color="auto"/>
                            <w:right w:val="none" w:sz="0" w:space="0" w:color="auto"/>
                          </w:divBdr>
                          <w:divsChild>
                            <w:div w:id="1873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712735">
      <w:bodyDiv w:val="1"/>
      <w:marLeft w:val="0"/>
      <w:marRight w:val="0"/>
      <w:marTop w:val="0"/>
      <w:marBottom w:val="0"/>
      <w:divBdr>
        <w:top w:val="none" w:sz="0" w:space="0" w:color="auto"/>
        <w:left w:val="none" w:sz="0" w:space="0" w:color="auto"/>
        <w:bottom w:val="none" w:sz="0" w:space="0" w:color="auto"/>
        <w:right w:val="none" w:sz="0" w:space="0" w:color="auto"/>
      </w:divBdr>
      <w:divsChild>
        <w:div w:id="1655526224">
          <w:marLeft w:val="0"/>
          <w:marRight w:val="0"/>
          <w:marTop w:val="0"/>
          <w:marBottom w:val="0"/>
          <w:divBdr>
            <w:top w:val="none" w:sz="0" w:space="0" w:color="auto"/>
            <w:left w:val="none" w:sz="0" w:space="0" w:color="auto"/>
            <w:bottom w:val="none" w:sz="0" w:space="0" w:color="auto"/>
            <w:right w:val="none" w:sz="0" w:space="0" w:color="auto"/>
          </w:divBdr>
          <w:divsChild>
            <w:div w:id="1932544037">
              <w:marLeft w:val="0"/>
              <w:marRight w:val="0"/>
              <w:marTop w:val="0"/>
              <w:marBottom w:val="0"/>
              <w:divBdr>
                <w:top w:val="none" w:sz="0" w:space="0" w:color="auto"/>
                <w:left w:val="none" w:sz="0" w:space="0" w:color="auto"/>
                <w:bottom w:val="none" w:sz="0" w:space="0" w:color="auto"/>
                <w:right w:val="none" w:sz="0" w:space="0" w:color="auto"/>
              </w:divBdr>
              <w:divsChild>
                <w:div w:id="554661539">
                  <w:marLeft w:val="1230"/>
                  <w:marRight w:val="0"/>
                  <w:marTop w:val="0"/>
                  <w:marBottom w:val="0"/>
                  <w:divBdr>
                    <w:top w:val="none" w:sz="0" w:space="0" w:color="auto"/>
                    <w:left w:val="none" w:sz="0" w:space="0" w:color="auto"/>
                    <w:bottom w:val="none" w:sz="0" w:space="0" w:color="auto"/>
                    <w:right w:val="none" w:sz="0" w:space="0" w:color="auto"/>
                  </w:divBdr>
                  <w:divsChild>
                    <w:div w:id="1270621808">
                      <w:marLeft w:val="0"/>
                      <w:marRight w:val="0"/>
                      <w:marTop w:val="0"/>
                      <w:marBottom w:val="0"/>
                      <w:divBdr>
                        <w:top w:val="none" w:sz="0" w:space="0" w:color="auto"/>
                        <w:left w:val="none" w:sz="0" w:space="0" w:color="auto"/>
                        <w:bottom w:val="none" w:sz="0" w:space="0" w:color="auto"/>
                        <w:right w:val="none" w:sz="0" w:space="0" w:color="auto"/>
                      </w:divBdr>
                      <w:divsChild>
                        <w:div w:id="1576623152">
                          <w:marLeft w:val="0"/>
                          <w:marRight w:val="0"/>
                          <w:marTop w:val="0"/>
                          <w:marBottom w:val="0"/>
                          <w:divBdr>
                            <w:top w:val="none" w:sz="0" w:space="0" w:color="auto"/>
                            <w:left w:val="none" w:sz="0" w:space="0" w:color="auto"/>
                            <w:bottom w:val="none" w:sz="0" w:space="0" w:color="auto"/>
                            <w:right w:val="none" w:sz="0" w:space="0" w:color="auto"/>
                          </w:divBdr>
                          <w:divsChild>
                            <w:div w:id="8859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826197">
      <w:bodyDiv w:val="1"/>
      <w:marLeft w:val="0"/>
      <w:marRight w:val="0"/>
      <w:marTop w:val="0"/>
      <w:marBottom w:val="0"/>
      <w:divBdr>
        <w:top w:val="none" w:sz="0" w:space="0" w:color="auto"/>
        <w:left w:val="none" w:sz="0" w:space="0" w:color="auto"/>
        <w:bottom w:val="none" w:sz="0" w:space="0" w:color="auto"/>
        <w:right w:val="none" w:sz="0" w:space="0" w:color="auto"/>
      </w:divBdr>
      <w:divsChild>
        <w:div w:id="1661497100">
          <w:marLeft w:val="0"/>
          <w:marRight w:val="0"/>
          <w:marTop w:val="0"/>
          <w:marBottom w:val="0"/>
          <w:divBdr>
            <w:top w:val="none" w:sz="0" w:space="0" w:color="auto"/>
            <w:left w:val="none" w:sz="0" w:space="0" w:color="auto"/>
            <w:bottom w:val="none" w:sz="0" w:space="0" w:color="auto"/>
            <w:right w:val="none" w:sz="0" w:space="0" w:color="auto"/>
          </w:divBdr>
          <w:divsChild>
            <w:div w:id="487601138">
              <w:marLeft w:val="0"/>
              <w:marRight w:val="0"/>
              <w:marTop w:val="0"/>
              <w:marBottom w:val="0"/>
              <w:divBdr>
                <w:top w:val="none" w:sz="0" w:space="0" w:color="auto"/>
                <w:left w:val="none" w:sz="0" w:space="0" w:color="auto"/>
                <w:bottom w:val="none" w:sz="0" w:space="0" w:color="auto"/>
                <w:right w:val="none" w:sz="0" w:space="0" w:color="auto"/>
              </w:divBdr>
              <w:divsChild>
                <w:div w:id="1534879749">
                  <w:marLeft w:val="1230"/>
                  <w:marRight w:val="0"/>
                  <w:marTop w:val="0"/>
                  <w:marBottom w:val="0"/>
                  <w:divBdr>
                    <w:top w:val="none" w:sz="0" w:space="0" w:color="auto"/>
                    <w:left w:val="none" w:sz="0" w:space="0" w:color="auto"/>
                    <w:bottom w:val="none" w:sz="0" w:space="0" w:color="auto"/>
                    <w:right w:val="none" w:sz="0" w:space="0" w:color="auto"/>
                  </w:divBdr>
                  <w:divsChild>
                    <w:div w:id="730346388">
                      <w:marLeft w:val="0"/>
                      <w:marRight w:val="0"/>
                      <w:marTop w:val="0"/>
                      <w:marBottom w:val="0"/>
                      <w:divBdr>
                        <w:top w:val="none" w:sz="0" w:space="0" w:color="auto"/>
                        <w:left w:val="none" w:sz="0" w:space="0" w:color="auto"/>
                        <w:bottom w:val="none" w:sz="0" w:space="0" w:color="auto"/>
                        <w:right w:val="none" w:sz="0" w:space="0" w:color="auto"/>
                      </w:divBdr>
                      <w:divsChild>
                        <w:div w:id="609777316">
                          <w:marLeft w:val="0"/>
                          <w:marRight w:val="0"/>
                          <w:marTop w:val="0"/>
                          <w:marBottom w:val="0"/>
                          <w:divBdr>
                            <w:top w:val="none" w:sz="0" w:space="0" w:color="auto"/>
                            <w:left w:val="none" w:sz="0" w:space="0" w:color="auto"/>
                            <w:bottom w:val="none" w:sz="0" w:space="0" w:color="auto"/>
                            <w:right w:val="none" w:sz="0" w:space="0" w:color="auto"/>
                          </w:divBdr>
                          <w:divsChild>
                            <w:div w:id="147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2766">
      <w:bodyDiv w:val="1"/>
      <w:marLeft w:val="0"/>
      <w:marRight w:val="0"/>
      <w:marTop w:val="0"/>
      <w:marBottom w:val="0"/>
      <w:divBdr>
        <w:top w:val="none" w:sz="0" w:space="0" w:color="auto"/>
        <w:left w:val="none" w:sz="0" w:space="0" w:color="auto"/>
        <w:bottom w:val="none" w:sz="0" w:space="0" w:color="auto"/>
        <w:right w:val="none" w:sz="0" w:space="0" w:color="auto"/>
      </w:divBdr>
      <w:divsChild>
        <w:div w:id="498664994">
          <w:marLeft w:val="0"/>
          <w:marRight w:val="0"/>
          <w:marTop w:val="0"/>
          <w:marBottom w:val="0"/>
          <w:divBdr>
            <w:top w:val="none" w:sz="0" w:space="0" w:color="auto"/>
            <w:left w:val="none" w:sz="0" w:space="0" w:color="auto"/>
            <w:bottom w:val="none" w:sz="0" w:space="0" w:color="auto"/>
            <w:right w:val="none" w:sz="0" w:space="0" w:color="auto"/>
          </w:divBdr>
          <w:divsChild>
            <w:div w:id="1348212978">
              <w:marLeft w:val="0"/>
              <w:marRight w:val="0"/>
              <w:marTop w:val="0"/>
              <w:marBottom w:val="0"/>
              <w:divBdr>
                <w:top w:val="none" w:sz="0" w:space="0" w:color="auto"/>
                <w:left w:val="none" w:sz="0" w:space="0" w:color="auto"/>
                <w:bottom w:val="none" w:sz="0" w:space="0" w:color="auto"/>
                <w:right w:val="none" w:sz="0" w:space="0" w:color="auto"/>
              </w:divBdr>
              <w:divsChild>
                <w:div w:id="1031606886">
                  <w:marLeft w:val="1230"/>
                  <w:marRight w:val="0"/>
                  <w:marTop w:val="0"/>
                  <w:marBottom w:val="0"/>
                  <w:divBdr>
                    <w:top w:val="none" w:sz="0" w:space="0" w:color="auto"/>
                    <w:left w:val="none" w:sz="0" w:space="0" w:color="auto"/>
                    <w:bottom w:val="none" w:sz="0" w:space="0" w:color="auto"/>
                    <w:right w:val="none" w:sz="0" w:space="0" w:color="auto"/>
                  </w:divBdr>
                  <w:divsChild>
                    <w:div w:id="1017079096">
                      <w:marLeft w:val="0"/>
                      <w:marRight w:val="0"/>
                      <w:marTop w:val="0"/>
                      <w:marBottom w:val="0"/>
                      <w:divBdr>
                        <w:top w:val="none" w:sz="0" w:space="0" w:color="auto"/>
                        <w:left w:val="none" w:sz="0" w:space="0" w:color="auto"/>
                        <w:bottom w:val="none" w:sz="0" w:space="0" w:color="auto"/>
                        <w:right w:val="none" w:sz="0" w:space="0" w:color="auto"/>
                      </w:divBdr>
                      <w:divsChild>
                        <w:div w:id="44715952">
                          <w:marLeft w:val="0"/>
                          <w:marRight w:val="0"/>
                          <w:marTop w:val="0"/>
                          <w:marBottom w:val="0"/>
                          <w:divBdr>
                            <w:top w:val="none" w:sz="0" w:space="0" w:color="auto"/>
                            <w:left w:val="none" w:sz="0" w:space="0" w:color="auto"/>
                            <w:bottom w:val="none" w:sz="0" w:space="0" w:color="auto"/>
                            <w:right w:val="none" w:sz="0" w:space="0" w:color="auto"/>
                          </w:divBdr>
                          <w:divsChild>
                            <w:div w:id="3484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ei.gov.au/AEI/ESOS/defaul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42AD-60DE-4F84-A129-0B649C73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Nadimi</dc:creator>
  <cp:lastModifiedBy>Nicole Pulford</cp:lastModifiedBy>
  <cp:revision>3</cp:revision>
  <cp:lastPrinted>2011-05-12T06:25:00Z</cp:lastPrinted>
  <dcterms:created xsi:type="dcterms:W3CDTF">2011-06-21T04:18:00Z</dcterms:created>
  <dcterms:modified xsi:type="dcterms:W3CDTF">2011-06-27T00:08:00Z</dcterms:modified>
</cp:coreProperties>
</file>