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E5" w:rsidRDefault="00A627E5" w:rsidP="00A627E5">
      <w:pPr>
        <w:jc w:val="center"/>
        <w:rPr>
          <w:b/>
          <w:bCs/>
        </w:rPr>
      </w:pPr>
      <w:r w:rsidRPr="00A627E5">
        <w:rPr>
          <w:b/>
          <w:bCs/>
        </w:rPr>
        <w:t>Australian Securities and Investments Commission</w:t>
      </w:r>
    </w:p>
    <w:p w:rsidR="00A627E5" w:rsidRPr="00A627E5" w:rsidRDefault="00A627E5" w:rsidP="00A627E5">
      <w:pPr>
        <w:jc w:val="center"/>
      </w:pPr>
      <w:r w:rsidRPr="00A627E5">
        <w:rPr>
          <w:b/>
          <w:bCs/>
        </w:rPr>
        <w:t xml:space="preserve">Corporations Act 2001 — Paragraphs </w:t>
      </w:r>
      <w:proofErr w:type="gramStart"/>
      <w:r w:rsidRPr="00A627E5">
        <w:rPr>
          <w:b/>
          <w:bCs/>
        </w:rPr>
        <w:t>601QA(</w:t>
      </w:r>
      <w:proofErr w:type="gramEnd"/>
      <w:r w:rsidRPr="00A627E5">
        <w:rPr>
          <w:b/>
          <w:bCs/>
        </w:rPr>
        <w:t xml:space="preserve">1)(b), 926A(2)(a), 992B(1)(a) and 1020F(1)(a) — </w:t>
      </w:r>
      <w:r>
        <w:rPr>
          <w:b/>
          <w:bCs/>
        </w:rPr>
        <w:t>Variation</w:t>
      </w:r>
    </w:p>
    <w:p w:rsidR="0088752E" w:rsidRDefault="0088752E" w:rsidP="00A627E5"/>
    <w:p w:rsidR="00A627E5" w:rsidRDefault="00A627E5" w:rsidP="00A627E5">
      <w:pPr>
        <w:rPr>
          <w:b/>
          <w:bCs/>
        </w:rPr>
      </w:pPr>
      <w:r w:rsidRPr="00A627E5">
        <w:rPr>
          <w:b/>
          <w:bCs/>
        </w:rPr>
        <w:t xml:space="preserve">Enabling </w:t>
      </w:r>
      <w:r w:rsidR="00B84574">
        <w:rPr>
          <w:b/>
          <w:bCs/>
        </w:rPr>
        <w:t>legislation</w:t>
      </w:r>
      <w:r w:rsidRPr="00A627E5">
        <w:rPr>
          <w:b/>
          <w:bCs/>
        </w:rPr>
        <w:t xml:space="preserve"> </w:t>
      </w:r>
    </w:p>
    <w:p w:rsidR="00E227E8" w:rsidRPr="00A627E5" w:rsidRDefault="00E227E8" w:rsidP="00A627E5"/>
    <w:p w:rsidR="00A627E5" w:rsidRPr="00A627E5" w:rsidRDefault="00A627E5" w:rsidP="00AE7047">
      <w:pPr>
        <w:ind w:left="567" w:hanging="567"/>
      </w:pPr>
      <w:r w:rsidRPr="00A627E5">
        <w:t>1.</w:t>
      </w:r>
      <w:r>
        <w:tab/>
      </w:r>
      <w:r w:rsidRPr="00A627E5">
        <w:t xml:space="preserve">The Australian Securities and Investments Commission makes this instrument under paragraphs </w:t>
      </w:r>
      <w:proofErr w:type="gramStart"/>
      <w:r w:rsidRPr="00A627E5">
        <w:t>601QA(</w:t>
      </w:r>
      <w:proofErr w:type="gramEnd"/>
      <w:r w:rsidRPr="00A627E5">
        <w:t xml:space="preserve">1)(b), 926A(2)(a), 992B(1)(a) and 1020F(1)(a) of the </w:t>
      </w:r>
      <w:r w:rsidRPr="003300EB">
        <w:rPr>
          <w:i/>
          <w:iCs/>
        </w:rPr>
        <w:t>Corporations Act 2001</w:t>
      </w:r>
      <w:r w:rsidR="003300EB">
        <w:rPr>
          <w:iCs/>
        </w:rPr>
        <w:t>.</w:t>
      </w:r>
    </w:p>
    <w:p w:rsidR="00A627E5" w:rsidRDefault="00A627E5" w:rsidP="00A627E5">
      <w:pPr>
        <w:rPr>
          <w:b/>
          <w:bCs/>
        </w:rPr>
      </w:pPr>
    </w:p>
    <w:p w:rsidR="00A627E5" w:rsidRDefault="00A627E5" w:rsidP="00A627E5">
      <w:pPr>
        <w:rPr>
          <w:b/>
          <w:bCs/>
        </w:rPr>
      </w:pPr>
      <w:r w:rsidRPr="00A627E5">
        <w:rPr>
          <w:b/>
          <w:bCs/>
        </w:rPr>
        <w:t xml:space="preserve">Title </w:t>
      </w:r>
    </w:p>
    <w:p w:rsidR="00E227E8" w:rsidRPr="00A627E5" w:rsidRDefault="00E227E8" w:rsidP="00A627E5"/>
    <w:p w:rsidR="00A627E5" w:rsidRPr="00A627E5" w:rsidRDefault="00A627E5" w:rsidP="00AE7047">
      <w:pPr>
        <w:ind w:left="567" w:hanging="567"/>
      </w:pPr>
      <w:r w:rsidRPr="00A627E5">
        <w:t>2.</w:t>
      </w:r>
      <w:r>
        <w:tab/>
      </w:r>
      <w:r w:rsidRPr="00A627E5">
        <w:t>This instrument is ASIC Class Order [CO 1</w:t>
      </w:r>
      <w:r w:rsidR="00A2404F">
        <w:t>1</w:t>
      </w:r>
      <w:r w:rsidRPr="00A627E5">
        <w:t>/</w:t>
      </w:r>
      <w:r w:rsidR="003D4A6A">
        <w:t>555</w:t>
      </w:r>
      <w:r w:rsidRPr="00A627E5">
        <w:t>].</w:t>
      </w:r>
    </w:p>
    <w:p w:rsidR="00A627E5" w:rsidRDefault="00A627E5" w:rsidP="00A627E5">
      <w:pPr>
        <w:rPr>
          <w:b/>
          <w:bCs/>
        </w:rPr>
      </w:pPr>
    </w:p>
    <w:p w:rsidR="00A627E5" w:rsidRDefault="00A627E5" w:rsidP="00A627E5">
      <w:pPr>
        <w:rPr>
          <w:b/>
          <w:bCs/>
        </w:rPr>
      </w:pPr>
      <w:r w:rsidRPr="00A627E5">
        <w:rPr>
          <w:b/>
          <w:bCs/>
        </w:rPr>
        <w:t xml:space="preserve">Commencement </w:t>
      </w:r>
    </w:p>
    <w:p w:rsidR="00E227E8" w:rsidRPr="00A627E5" w:rsidRDefault="00E227E8" w:rsidP="00A627E5"/>
    <w:p w:rsidR="00A627E5" w:rsidRPr="00A627E5" w:rsidRDefault="00A627E5" w:rsidP="00AE7047">
      <w:pPr>
        <w:ind w:left="567" w:hanging="567"/>
      </w:pPr>
      <w:r w:rsidRPr="00A627E5">
        <w:t>3.</w:t>
      </w:r>
      <w:r>
        <w:tab/>
      </w:r>
      <w:r w:rsidRPr="00A627E5">
        <w:t xml:space="preserve">This instrument commences on the day it is registered under the </w:t>
      </w:r>
      <w:r w:rsidRPr="00A627E5">
        <w:rPr>
          <w:i/>
          <w:iCs/>
        </w:rPr>
        <w:t>Legislative Instruments Act 2003</w:t>
      </w:r>
      <w:r w:rsidRPr="00A627E5">
        <w:t>.</w:t>
      </w:r>
    </w:p>
    <w:p w:rsidR="00A627E5" w:rsidRDefault="00A627E5" w:rsidP="00A627E5">
      <w:pPr>
        <w:ind w:left="720"/>
        <w:rPr>
          <w:sz w:val="18"/>
        </w:rPr>
      </w:pPr>
    </w:p>
    <w:p w:rsidR="00A627E5" w:rsidRPr="00A627E5" w:rsidRDefault="00A627E5" w:rsidP="00AE7047">
      <w:pPr>
        <w:ind w:left="1134" w:hanging="567"/>
        <w:rPr>
          <w:sz w:val="18"/>
        </w:rPr>
      </w:pPr>
      <w:r w:rsidRPr="00A627E5">
        <w:rPr>
          <w:sz w:val="18"/>
        </w:rPr>
        <w:t xml:space="preserve">Note: </w:t>
      </w:r>
      <w:r w:rsidR="00E227E8">
        <w:rPr>
          <w:sz w:val="18"/>
        </w:rPr>
        <w:tab/>
      </w:r>
      <w:r w:rsidRPr="00A627E5">
        <w:rPr>
          <w:sz w:val="18"/>
        </w:rPr>
        <w:t>An instrument is registered when it is recorded on the Federal Register of Legislative Instruments (</w:t>
      </w:r>
      <w:r w:rsidRPr="00A627E5">
        <w:rPr>
          <w:b/>
          <w:bCs/>
          <w:i/>
          <w:iCs/>
          <w:sz w:val="18"/>
        </w:rPr>
        <w:t>FRLI</w:t>
      </w:r>
      <w:r w:rsidRPr="00A627E5">
        <w:rPr>
          <w:sz w:val="18"/>
        </w:rPr>
        <w:t xml:space="preserve">) in electronic form: see </w:t>
      </w:r>
      <w:r w:rsidRPr="00A627E5">
        <w:rPr>
          <w:i/>
          <w:iCs/>
          <w:sz w:val="18"/>
        </w:rPr>
        <w:t>Legislative Instruments Act 2003</w:t>
      </w:r>
      <w:r w:rsidRPr="00A627E5">
        <w:rPr>
          <w:sz w:val="18"/>
        </w:rPr>
        <w:t xml:space="preserve">, s 4 (definition of </w:t>
      </w:r>
      <w:r w:rsidRPr="00A627E5">
        <w:rPr>
          <w:b/>
          <w:bCs/>
          <w:i/>
          <w:iCs/>
          <w:sz w:val="18"/>
        </w:rPr>
        <w:t>register</w:t>
      </w:r>
      <w:r w:rsidRPr="00A627E5">
        <w:rPr>
          <w:sz w:val="18"/>
        </w:rPr>
        <w:t xml:space="preserve">). The FRLI may be accessed at </w:t>
      </w:r>
      <w:r w:rsidRPr="00A627E5">
        <w:rPr>
          <w:sz w:val="18"/>
          <w:u w:val="single"/>
        </w:rPr>
        <w:t>http://www.frli.gov.au/</w:t>
      </w:r>
      <w:r w:rsidRPr="00A627E5">
        <w:rPr>
          <w:sz w:val="18"/>
        </w:rPr>
        <w:t>.</w:t>
      </w:r>
    </w:p>
    <w:p w:rsidR="00A627E5" w:rsidRDefault="00A627E5" w:rsidP="00A627E5">
      <w:pPr>
        <w:rPr>
          <w:b/>
          <w:bCs/>
        </w:rPr>
      </w:pPr>
    </w:p>
    <w:p w:rsidR="00A627E5" w:rsidRDefault="00A627E5" w:rsidP="00A627E5">
      <w:pPr>
        <w:rPr>
          <w:b/>
          <w:bCs/>
        </w:rPr>
      </w:pPr>
      <w:r>
        <w:rPr>
          <w:b/>
          <w:bCs/>
        </w:rPr>
        <w:t>Variation</w:t>
      </w:r>
    </w:p>
    <w:p w:rsidR="00E227E8" w:rsidRPr="00A627E5" w:rsidRDefault="00E227E8" w:rsidP="00A627E5"/>
    <w:p w:rsidR="00AE7047" w:rsidRDefault="00A627E5" w:rsidP="00AE7047">
      <w:pPr>
        <w:ind w:left="567" w:hanging="567"/>
      </w:pPr>
      <w:r w:rsidRPr="00A627E5">
        <w:t>4.</w:t>
      </w:r>
      <w:r>
        <w:tab/>
      </w:r>
      <w:r w:rsidRPr="00A627E5">
        <w:t xml:space="preserve">ASIC </w:t>
      </w:r>
      <w:r>
        <w:t xml:space="preserve">Class Order </w:t>
      </w:r>
      <w:r w:rsidR="00A84F74">
        <w:t>[</w:t>
      </w:r>
      <w:r w:rsidR="004D22C6">
        <w:t xml:space="preserve">CO </w:t>
      </w:r>
      <w:r>
        <w:t>10/333</w:t>
      </w:r>
      <w:r w:rsidR="00A84F74">
        <w:t>]</w:t>
      </w:r>
      <w:r>
        <w:t xml:space="preserve"> is varied </w:t>
      </w:r>
      <w:r w:rsidR="00AE7047">
        <w:t>as follows:</w:t>
      </w:r>
    </w:p>
    <w:p w:rsidR="00AE7047" w:rsidRDefault="00AE7047" w:rsidP="00A627E5">
      <w:pPr>
        <w:ind w:left="720" w:hanging="720"/>
      </w:pPr>
    </w:p>
    <w:p w:rsidR="004B066D" w:rsidRDefault="00F02D23" w:rsidP="004B066D">
      <w:pPr>
        <w:ind w:left="1134" w:hanging="567"/>
      </w:pPr>
      <w:r>
        <w:t>(a)</w:t>
      </w:r>
      <w:r>
        <w:tab/>
      </w:r>
      <w:proofErr w:type="gramStart"/>
      <w:r>
        <w:t>in</w:t>
      </w:r>
      <w:proofErr w:type="gramEnd"/>
      <w:r>
        <w:t xml:space="preserve"> subparagraph </w:t>
      </w:r>
      <w:r w:rsidR="00156E4E">
        <w:t>5</w:t>
      </w:r>
      <w:r>
        <w:t>(b) omit “circumstances.”, substitute “circumstances; or”;</w:t>
      </w:r>
    </w:p>
    <w:p w:rsidR="00F02D23" w:rsidRDefault="00F02D23" w:rsidP="00AE7047">
      <w:pPr>
        <w:ind w:left="1134" w:hanging="567"/>
      </w:pPr>
    </w:p>
    <w:p w:rsidR="002E167D" w:rsidRDefault="00AE7047" w:rsidP="00AE7047">
      <w:pPr>
        <w:ind w:left="1134" w:hanging="567"/>
      </w:pPr>
      <w:r>
        <w:t>(</w:t>
      </w:r>
      <w:r w:rsidR="00D005C7">
        <w:t>b</w:t>
      </w:r>
      <w:r>
        <w:t>)</w:t>
      </w:r>
      <w:r>
        <w:tab/>
      </w:r>
      <w:proofErr w:type="gramStart"/>
      <w:r w:rsidR="002E167D">
        <w:t>after</w:t>
      </w:r>
      <w:proofErr w:type="gramEnd"/>
      <w:r w:rsidR="002E167D">
        <w:t xml:space="preserve"> subparagraph 5(b) insert:</w:t>
      </w:r>
    </w:p>
    <w:p w:rsidR="002E167D" w:rsidRDefault="002E167D" w:rsidP="00AE7047">
      <w:pPr>
        <w:ind w:left="1134" w:hanging="567"/>
      </w:pPr>
    </w:p>
    <w:p w:rsidR="002E167D" w:rsidRDefault="002E167D" w:rsidP="002E167D">
      <w:pPr>
        <w:ind w:left="1701" w:hanging="567"/>
      </w:pPr>
      <w:r>
        <w:t>“(c)</w:t>
      </w:r>
      <w:r>
        <w:tab/>
      </w:r>
      <w:r w:rsidRPr="002E167D">
        <w:t>a</w:t>
      </w:r>
      <w:r w:rsidR="00F02D23">
        <w:t>n</w:t>
      </w:r>
      <w:r>
        <w:t>:</w:t>
      </w:r>
    </w:p>
    <w:p w:rsidR="002E167D" w:rsidRDefault="002E167D" w:rsidP="002E167D">
      <w:pPr>
        <w:ind w:left="1701" w:hanging="567"/>
      </w:pPr>
    </w:p>
    <w:p w:rsidR="006D139E" w:rsidRDefault="002E167D" w:rsidP="00C0572C">
      <w:pPr>
        <w:ind w:left="2268" w:hanging="567"/>
      </w:pPr>
      <w:r>
        <w:t>(i)</w:t>
      </w:r>
      <w:r>
        <w:tab/>
      </w:r>
      <w:proofErr w:type="gramStart"/>
      <w:r w:rsidR="00F02D23">
        <w:t>arrangement</w:t>
      </w:r>
      <w:proofErr w:type="gramEnd"/>
      <w:r w:rsidR="00F02D23">
        <w:t xml:space="preserve"> (a </w:t>
      </w:r>
      <w:r w:rsidR="00F02D23" w:rsidRPr="00F02D23">
        <w:rPr>
          <w:b/>
          <w:i/>
        </w:rPr>
        <w:t>litigation funding arrangement</w:t>
      </w:r>
      <w:r w:rsidR="00F02D23">
        <w:t xml:space="preserve">) </w:t>
      </w:r>
      <w:r w:rsidRPr="002E167D">
        <w:t>for participating in, conducting and funding legal proceedings</w:t>
      </w:r>
      <w:r w:rsidR="009E6008">
        <w:t xml:space="preserve"> brought</w:t>
      </w:r>
      <w:r w:rsidR="00DB0649">
        <w:t xml:space="preserve"> </w:t>
      </w:r>
      <w:r w:rsidR="009E6008">
        <w:t>by</w:t>
      </w:r>
      <w:r w:rsidR="00C0572C">
        <w:t xml:space="preserve"> or on behalf of </w:t>
      </w:r>
      <w:r w:rsidR="009E6008">
        <w:t>a person</w:t>
      </w:r>
      <w:r w:rsidRPr="002E167D">
        <w:t>;</w:t>
      </w:r>
      <w:r>
        <w:t xml:space="preserve"> or</w:t>
      </w:r>
    </w:p>
    <w:p w:rsidR="002E167D" w:rsidRDefault="002E167D" w:rsidP="002E167D">
      <w:pPr>
        <w:ind w:left="720" w:hanging="720"/>
      </w:pPr>
    </w:p>
    <w:p w:rsidR="002E167D" w:rsidRDefault="002E167D" w:rsidP="002E167D">
      <w:pPr>
        <w:ind w:left="2268" w:hanging="567"/>
      </w:pPr>
      <w:r w:rsidRPr="002E167D">
        <w:t>(</w:t>
      </w:r>
      <w:r>
        <w:t>ii</w:t>
      </w:r>
      <w:r w:rsidRPr="002E167D">
        <w:t>)</w:t>
      </w:r>
      <w:r w:rsidRPr="002E167D">
        <w:tab/>
      </w:r>
      <w:proofErr w:type="gramStart"/>
      <w:r w:rsidR="00F02D23">
        <w:t>arrangement</w:t>
      </w:r>
      <w:proofErr w:type="gramEnd"/>
      <w:r w:rsidR="00F02D23">
        <w:t xml:space="preserve"> (a </w:t>
      </w:r>
      <w:r w:rsidR="00F02D23" w:rsidRPr="00114192">
        <w:rPr>
          <w:b/>
          <w:i/>
        </w:rPr>
        <w:t xml:space="preserve">proof of debt </w:t>
      </w:r>
      <w:r w:rsidR="00114192" w:rsidRPr="00114192">
        <w:rPr>
          <w:b/>
          <w:i/>
        </w:rPr>
        <w:t>funding a</w:t>
      </w:r>
      <w:r w:rsidR="00D005C7">
        <w:rPr>
          <w:b/>
          <w:i/>
        </w:rPr>
        <w:t>rrangement</w:t>
      </w:r>
      <w:r w:rsidR="00114192">
        <w:t xml:space="preserve">) </w:t>
      </w:r>
      <w:r w:rsidRPr="002E167D">
        <w:t xml:space="preserve">for proving claims </w:t>
      </w:r>
      <w:r w:rsidR="009E6008">
        <w:t xml:space="preserve">made by a person </w:t>
      </w:r>
      <w:r w:rsidRPr="002E167D">
        <w:t xml:space="preserve">against a company under Division 6 of Part 5.6 </w:t>
      </w:r>
      <w:r>
        <w:t xml:space="preserve">of the Act </w:t>
      </w:r>
      <w:r w:rsidRPr="002E167D">
        <w:t>(including funding of the preparation and lodgment of the proofs);</w:t>
      </w:r>
    </w:p>
    <w:p w:rsidR="002E167D" w:rsidRDefault="002E167D" w:rsidP="002E167D">
      <w:pPr>
        <w:ind w:left="2268" w:hanging="567"/>
      </w:pPr>
    </w:p>
    <w:p w:rsidR="002E167D" w:rsidRDefault="002E167D" w:rsidP="002E167D">
      <w:pPr>
        <w:ind w:left="1701"/>
      </w:pPr>
      <w:r>
        <w:t xml:space="preserve">to the extent the </w:t>
      </w:r>
      <w:r w:rsidR="00F02D23">
        <w:t>arrangement</w:t>
      </w:r>
      <w:r w:rsidR="009E380F">
        <w:t>, or an interest in the arrangement,</w:t>
      </w:r>
      <w:r w:rsidR="00F02D23">
        <w:t xml:space="preserve"> </w:t>
      </w:r>
      <w:r>
        <w:t xml:space="preserve">is a </w:t>
      </w:r>
      <w:r w:rsidR="007C06A9">
        <w:t>financial product other than an interest in a litigation funding scheme or proof of debt funding scheme.</w:t>
      </w:r>
      <w:r>
        <w:t>”</w:t>
      </w:r>
      <w:r w:rsidR="00CB5EC4">
        <w:t>;</w:t>
      </w:r>
    </w:p>
    <w:p w:rsidR="002E167D" w:rsidRDefault="002E167D" w:rsidP="00D005C7">
      <w:pPr>
        <w:ind w:left="1134" w:hanging="567"/>
      </w:pPr>
    </w:p>
    <w:p w:rsidR="00D005C7" w:rsidRDefault="00D005C7" w:rsidP="00D005C7">
      <w:pPr>
        <w:ind w:left="1134" w:hanging="567"/>
      </w:pPr>
      <w:r w:rsidRPr="00D005C7">
        <w:t>(</w:t>
      </w:r>
      <w:r>
        <w:t>c</w:t>
      </w:r>
      <w:r w:rsidRPr="00D005C7">
        <w:t>)</w:t>
      </w:r>
      <w:r w:rsidRPr="00D005C7">
        <w:tab/>
      </w:r>
      <w:proofErr w:type="gramStart"/>
      <w:r w:rsidR="007C06A9">
        <w:t>omit</w:t>
      </w:r>
      <w:proofErr w:type="gramEnd"/>
      <w:r>
        <w:t xml:space="preserve"> paragraph 6</w:t>
      </w:r>
      <w:r w:rsidR="007C06A9">
        <w:t>,</w:t>
      </w:r>
      <w:r>
        <w:t xml:space="preserve"> </w:t>
      </w:r>
      <w:r w:rsidR="009E380F">
        <w:t>substitute</w:t>
      </w:r>
      <w:r>
        <w:t>:</w:t>
      </w:r>
    </w:p>
    <w:p w:rsidR="00D005C7" w:rsidRDefault="00D005C7" w:rsidP="00D005C7">
      <w:pPr>
        <w:ind w:left="1134" w:hanging="567"/>
      </w:pPr>
    </w:p>
    <w:p w:rsidR="00CB5EC4" w:rsidRDefault="00CB5EC4" w:rsidP="00D005C7">
      <w:pPr>
        <w:ind w:left="1701" w:hanging="567"/>
      </w:pPr>
      <w:r>
        <w:t>“</w:t>
      </w:r>
      <w:r w:rsidR="00D005C7">
        <w:t>6.</w:t>
      </w:r>
      <w:r w:rsidR="00D005C7">
        <w:tab/>
        <w:t xml:space="preserve">A person does not have to comply with subsections </w:t>
      </w:r>
      <w:proofErr w:type="gramStart"/>
      <w:r w:rsidR="00D005C7">
        <w:t>992A(</w:t>
      </w:r>
      <w:proofErr w:type="gramEnd"/>
      <w:r w:rsidR="00D005C7">
        <w:t>1) or (3)</w:t>
      </w:r>
      <w:r w:rsidR="007C06A9">
        <w:t>, or subsection 992AA(1),</w:t>
      </w:r>
      <w:r w:rsidR="00D005C7">
        <w:t xml:space="preserve"> of the Act in relation to</w:t>
      </w:r>
      <w:r>
        <w:t>:</w:t>
      </w:r>
    </w:p>
    <w:p w:rsidR="00CB5EC4" w:rsidRDefault="00CB5EC4" w:rsidP="00D005C7">
      <w:pPr>
        <w:ind w:left="1701" w:hanging="567"/>
      </w:pPr>
    </w:p>
    <w:p w:rsidR="007C06A9" w:rsidRDefault="007C06A9" w:rsidP="00CB5EC4">
      <w:pPr>
        <w:ind w:left="2268" w:hanging="567"/>
      </w:pPr>
      <w:r>
        <w:t>(a)</w:t>
      </w:r>
      <w:r>
        <w:tab/>
      </w:r>
      <w:proofErr w:type="gramStart"/>
      <w:r>
        <w:t>an</w:t>
      </w:r>
      <w:proofErr w:type="gramEnd"/>
      <w:r>
        <w:t xml:space="preserve"> interest in a litigation funding scheme; or</w:t>
      </w:r>
    </w:p>
    <w:p w:rsidR="007C06A9" w:rsidRDefault="007C06A9" w:rsidP="00CB5EC4">
      <w:pPr>
        <w:ind w:left="2268" w:hanging="567"/>
      </w:pPr>
    </w:p>
    <w:p w:rsidR="007C06A9" w:rsidRDefault="007C06A9" w:rsidP="00CB5EC4">
      <w:pPr>
        <w:ind w:left="2268" w:hanging="567"/>
      </w:pPr>
      <w:r>
        <w:t>(b)</w:t>
      </w:r>
      <w:r>
        <w:tab/>
      </w:r>
      <w:proofErr w:type="gramStart"/>
      <w:r>
        <w:t>an</w:t>
      </w:r>
      <w:proofErr w:type="gramEnd"/>
      <w:r>
        <w:t xml:space="preserve"> interest in a proof of debt funding scheme; or</w:t>
      </w:r>
    </w:p>
    <w:p w:rsidR="007C06A9" w:rsidRDefault="007C06A9" w:rsidP="00CB5EC4">
      <w:pPr>
        <w:ind w:left="2268" w:hanging="567"/>
      </w:pPr>
    </w:p>
    <w:p w:rsidR="00CB5EC4" w:rsidRDefault="00CB5EC4" w:rsidP="00CB5EC4">
      <w:pPr>
        <w:ind w:left="2268" w:hanging="567"/>
      </w:pPr>
      <w:r>
        <w:t>(</w:t>
      </w:r>
      <w:r w:rsidR="007C06A9">
        <w:t>c</w:t>
      </w:r>
      <w:r>
        <w:t>)</w:t>
      </w:r>
      <w:r>
        <w:tab/>
      </w:r>
      <w:proofErr w:type="gramStart"/>
      <w:r>
        <w:t>a</w:t>
      </w:r>
      <w:proofErr w:type="gramEnd"/>
      <w:r>
        <w:t xml:space="preserve"> litigation funding arrangement</w:t>
      </w:r>
      <w:r w:rsidR="009E380F">
        <w:t xml:space="preserve"> or an interest in</w:t>
      </w:r>
      <w:r w:rsidR="000B2124">
        <w:t xml:space="preserve"> such an</w:t>
      </w:r>
      <w:r w:rsidR="009E380F">
        <w:t xml:space="preserve"> arrangement</w:t>
      </w:r>
      <w:r>
        <w:t>; or</w:t>
      </w:r>
    </w:p>
    <w:p w:rsidR="00CB5EC4" w:rsidRDefault="00CB5EC4" w:rsidP="00CB5EC4">
      <w:pPr>
        <w:ind w:left="2268" w:hanging="567"/>
      </w:pPr>
    </w:p>
    <w:p w:rsidR="00CB5EC4" w:rsidRDefault="00CB5EC4" w:rsidP="00CB5EC4">
      <w:pPr>
        <w:ind w:left="2268" w:hanging="567"/>
      </w:pPr>
      <w:r>
        <w:t>(</w:t>
      </w:r>
      <w:r w:rsidR="007C06A9">
        <w:t>d</w:t>
      </w:r>
      <w:r>
        <w:t>)</w:t>
      </w:r>
      <w:r>
        <w:tab/>
      </w:r>
      <w:proofErr w:type="gramStart"/>
      <w:r>
        <w:t>a</w:t>
      </w:r>
      <w:proofErr w:type="gramEnd"/>
      <w:r>
        <w:t xml:space="preserve"> proof of debt funding arrangement</w:t>
      </w:r>
      <w:r w:rsidR="009E380F">
        <w:t xml:space="preserve"> or an interest in </w:t>
      </w:r>
      <w:r w:rsidR="000B2124">
        <w:t>such</w:t>
      </w:r>
      <w:r w:rsidR="00432095">
        <w:t xml:space="preserve"> an</w:t>
      </w:r>
      <w:r w:rsidR="009E380F">
        <w:t xml:space="preserve"> arrangement</w:t>
      </w:r>
      <w:r>
        <w:t>.”;</w:t>
      </w:r>
    </w:p>
    <w:p w:rsidR="00CB5EC4" w:rsidRDefault="00CB5EC4" w:rsidP="00CB5EC4">
      <w:pPr>
        <w:ind w:left="2268" w:hanging="567"/>
      </w:pPr>
    </w:p>
    <w:p w:rsidR="00CB5EC4" w:rsidRDefault="00CB5EC4" w:rsidP="00CB5EC4">
      <w:pPr>
        <w:ind w:left="1134" w:hanging="567"/>
      </w:pPr>
      <w:r w:rsidRPr="00D005C7">
        <w:t>(</w:t>
      </w:r>
      <w:r>
        <w:t>d</w:t>
      </w:r>
      <w:r w:rsidRPr="00D005C7">
        <w:t>)</w:t>
      </w:r>
      <w:r w:rsidRPr="00D005C7">
        <w:tab/>
      </w:r>
      <w:proofErr w:type="gramStart"/>
      <w:r w:rsidR="009E380F">
        <w:t>omit</w:t>
      </w:r>
      <w:proofErr w:type="gramEnd"/>
      <w:r>
        <w:t xml:space="preserve"> paragraph 7</w:t>
      </w:r>
      <w:r w:rsidR="009E380F">
        <w:t>,</w:t>
      </w:r>
      <w:r>
        <w:t xml:space="preserve"> </w:t>
      </w:r>
      <w:r w:rsidR="009E380F">
        <w:t>substitute</w:t>
      </w:r>
      <w:r>
        <w:t>:</w:t>
      </w:r>
    </w:p>
    <w:p w:rsidR="00CB5EC4" w:rsidRDefault="00CB5EC4" w:rsidP="00CB5EC4">
      <w:pPr>
        <w:ind w:left="1134" w:hanging="567"/>
      </w:pPr>
    </w:p>
    <w:p w:rsidR="00CB5EC4" w:rsidRDefault="00CB5EC4" w:rsidP="00CB5EC4">
      <w:pPr>
        <w:ind w:left="1701" w:hanging="567"/>
      </w:pPr>
      <w:r>
        <w:t>“7.</w:t>
      </w:r>
      <w:r>
        <w:tab/>
      </w:r>
      <w:proofErr w:type="gramStart"/>
      <w:r>
        <w:t>A</w:t>
      </w:r>
      <w:proofErr w:type="gramEnd"/>
      <w:r>
        <w:t xml:space="preserve"> person does not have to comply with Part 7.9 of the Act in relation to:</w:t>
      </w:r>
    </w:p>
    <w:p w:rsidR="00CB5EC4" w:rsidRDefault="00CB5EC4" w:rsidP="00CB5EC4">
      <w:pPr>
        <w:ind w:left="1701" w:hanging="567"/>
      </w:pPr>
    </w:p>
    <w:p w:rsidR="009E380F" w:rsidRDefault="009E380F" w:rsidP="00CB5EC4">
      <w:pPr>
        <w:ind w:left="2268" w:hanging="567"/>
      </w:pPr>
      <w:r>
        <w:t>(a)</w:t>
      </w:r>
      <w:r>
        <w:tab/>
      </w:r>
      <w:proofErr w:type="gramStart"/>
      <w:r>
        <w:t>an</w:t>
      </w:r>
      <w:proofErr w:type="gramEnd"/>
      <w:r w:rsidRPr="009E380F">
        <w:t xml:space="preserve"> interest in a litigation funding scheme; or</w:t>
      </w:r>
    </w:p>
    <w:p w:rsidR="009E380F" w:rsidRDefault="009E380F" w:rsidP="00CB5EC4">
      <w:pPr>
        <w:ind w:left="2268" w:hanging="567"/>
      </w:pPr>
    </w:p>
    <w:p w:rsidR="009E380F" w:rsidRDefault="009E380F" w:rsidP="00CB5EC4">
      <w:pPr>
        <w:ind w:left="2268" w:hanging="567"/>
      </w:pPr>
      <w:r>
        <w:t>(b)</w:t>
      </w:r>
      <w:r>
        <w:tab/>
      </w:r>
      <w:proofErr w:type="gramStart"/>
      <w:r w:rsidRPr="009E380F">
        <w:t>an</w:t>
      </w:r>
      <w:proofErr w:type="gramEnd"/>
      <w:r w:rsidRPr="009E380F">
        <w:t xml:space="preserve"> interest in a proof of debt funding scheme; or</w:t>
      </w:r>
    </w:p>
    <w:p w:rsidR="009E380F" w:rsidRDefault="009E380F" w:rsidP="00CB5EC4">
      <w:pPr>
        <w:ind w:left="2268" w:hanging="567"/>
      </w:pPr>
    </w:p>
    <w:p w:rsidR="00CB5EC4" w:rsidRDefault="00CB5EC4" w:rsidP="00CB5EC4">
      <w:pPr>
        <w:ind w:left="2268" w:hanging="567"/>
      </w:pPr>
      <w:r>
        <w:t>(</w:t>
      </w:r>
      <w:r w:rsidR="009E380F">
        <w:t>c</w:t>
      </w:r>
      <w:r>
        <w:t>)</w:t>
      </w:r>
      <w:r>
        <w:tab/>
      </w:r>
      <w:proofErr w:type="gramStart"/>
      <w:r>
        <w:t>a</w:t>
      </w:r>
      <w:proofErr w:type="gramEnd"/>
      <w:r>
        <w:t xml:space="preserve"> litigation funding arrangement</w:t>
      </w:r>
      <w:r w:rsidR="009E380F">
        <w:t xml:space="preserve"> or an interest in </w:t>
      </w:r>
      <w:r w:rsidR="000B2124">
        <w:t xml:space="preserve">such an </w:t>
      </w:r>
      <w:r w:rsidR="009E380F">
        <w:t>arrangement</w:t>
      </w:r>
      <w:r>
        <w:t>; or</w:t>
      </w:r>
    </w:p>
    <w:p w:rsidR="00CB5EC4" w:rsidRDefault="00CB5EC4" w:rsidP="00CB5EC4">
      <w:pPr>
        <w:ind w:left="2268" w:hanging="567"/>
      </w:pPr>
    </w:p>
    <w:p w:rsidR="00CB5EC4" w:rsidRDefault="00CB5EC4" w:rsidP="00CB5EC4">
      <w:pPr>
        <w:ind w:left="2268" w:hanging="567"/>
      </w:pPr>
      <w:r>
        <w:t>(</w:t>
      </w:r>
      <w:r w:rsidR="009E380F">
        <w:t>d</w:t>
      </w:r>
      <w:r>
        <w:t>)</w:t>
      </w:r>
      <w:r>
        <w:tab/>
      </w:r>
      <w:proofErr w:type="gramStart"/>
      <w:r>
        <w:t>a</w:t>
      </w:r>
      <w:proofErr w:type="gramEnd"/>
      <w:r>
        <w:t xml:space="preserve"> proof of debt funding arrangement</w:t>
      </w:r>
      <w:r w:rsidR="009E380F">
        <w:t xml:space="preserve"> or an interest in </w:t>
      </w:r>
      <w:r w:rsidR="000B2124">
        <w:t>such an</w:t>
      </w:r>
      <w:r w:rsidR="009E380F">
        <w:t xml:space="preserve"> arrangement</w:t>
      </w:r>
      <w:r>
        <w:t>.”;</w:t>
      </w:r>
    </w:p>
    <w:p w:rsidR="00CB5EC4" w:rsidRDefault="00CB5EC4" w:rsidP="00CB5EC4">
      <w:pPr>
        <w:ind w:left="1134" w:hanging="567"/>
      </w:pPr>
    </w:p>
    <w:p w:rsidR="00CB5EC4" w:rsidRDefault="00CB5EC4" w:rsidP="00CB5EC4">
      <w:pPr>
        <w:ind w:left="1134" w:hanging="567"/>
      </w:pPr>
      <w:r>
        <w:t>(e)</w:t>
      </w:r>
      <w:r>
        <w:tab/>
      </w:r>
      <w:proofErr w:type="gramStart"/>
      <w:r w:rsidR="00FA6620">
        <w:t>omit</w:t>
      </w:r>
      <w:proofErr w:type="gramEnd"/>
      <w:r w:rsidR="00FA6620">
        <w:t xml:space="preserve"> p</w:t>
      </w:r>
      <w:r>
        <w:t>aragraph 9</w:t>
      </w:r>
      <w:r w:rsidR="00FA6620">
        <w:t>, substitute:</w:t>
      </w:r>
    </w:p>
    <w:p w:rsidR="00CB5EC4" w:rsidRDefault="00CB5EC4" w:rsidP="00CB5EC4">
      <w:pPr>
        <w:ind w:left="1134" w:hanging="567"/>
      </w:pPr>
    </w:p>
    <w:p w:rsidR="00FA6620" w:rsidRDefault="00FA6620" w:rsidP="00CB5EC4">
      <w:pPr>
        <w:ind w:left="1701" w:hanging="567"/>
      </w:pPr>
      <w:r>
        <w:t>“9.</w:t>
      </w:r>
      <w:r>
        <w:tab/>
        <w:t xml:space="preserve">Paragraphs </w:t>
      </w:r>
      <w:r w:rsidR="00CB5EC4">
        <w:t>4, 5</w:t>
      </w:r>
      <w:r>
        <w:t xml:space="preserve"> </w:t>
      </w:r>
      <w:r w:rsidR="009E380F">
        <w:t xml:space="preserve">and </w:t>
      </w:r>
      <w:r w:rsidR="00CB5EC4">
        <w:t>7</w:t>
      </w:r>
      <w:r>
        <w:t xml:space="preserve"> do not apply in relation to a litigation funding scheme or litigation funding arrangement that is covered by an instrument made under paragraphs 601QA(1)(b), 926A(2)(a) and (c) and 1020F(1)(b) of the Act for so long as the instrument:</w:t>
      </w:r>
    </w:p>
    <w:p w:rsidR="00FA6620" w:rsidRDefault="00FA6620" w:rsidP="00CB5EC4">
      <w:pPr>
        <w:ind w:left="1701" w:hanging="567"/>
      </w:pPr>
    </w:p>
    <w:p w:rsidR="00FA6620" w:rsidRDefault="00FA6620" w:rsidP="00FA6620">
      <w:pPr>
        <w:ind w:left="2268" w:hanging="567"/>
      </w:pPr>
      <w:r>
        <w:t>(a)</w:t>
      </w:r>
      <w:r>
        <w:tab/>
      </w:r>
      <w:proofErr w:type="gramStart"/>
      <w:r>
        <w:t>affects</w:t>
      </w:r>
      <w:proofErr w:type="gramEnd"/>
      <w:r>
        <w:t xml:space="preserve"> the operation of, or exempts a person from, provisions of the Act in relation to the scheme </w:t>
      </w:r>
      <w:proofErr w:type="spellStart"/>
      <w:r>
        <w:t>or</w:t>
      </w:r>
      <w:proofErr w:type="spellEnd"/>
      <w:r>
        <w:t xml:space="preserve"> arrangement; or</w:t>
      </w:r>
    </w:p>
    <w:p w:rsidR="00FA6620" w:rsidRDefault="00FA6620" w:rsidP="00FA6620">
      <w:pPr>
        <w:ind w:left="2268" w:hanging="567"/>
      </w:pPr>
    </w:p>
    <w:p w:rsidR="00CB5EC4" w:rsidRDefault="00FA6620" w:rsidP="00FA6620">
      <w:pPr>
        <w:ind w:left="2268" w:hanging="567"/>
      </w:pPr>
      <w:r>
        <w:t>(b)</w:t>
      </w:r>
      <w:r>
        <w:tab/>
      </w:r>
      <w:proofErr w:type="gramStart"/>
      <w:r>
        <w:t>exempts</w:t>
      </w:r>
      <w:proofErr w:type="gramEnd"/>
      <w:r>
        <w:t xml:space="preserve"> an interest in the scheme, or the arrangement, from provisions of the Act.”;</w:t>
      </w:r>
    </w:p>
    <w:p w:rsidR="00CB5EC4" w:rsidRDefault="00CB5EC4" w:rsidP="00CB5EC4">
      <w:pPr>
        <w:ind w:left="1134" w:hanging="567"/>
      </w:pPr>
    </w:p>
    <w:p w:rsidR="00007650" w:rsidRDefault="00CB5EC4" w:rsidP="00CB5EC4">
      <w:pPr>
        <w:ind w:left="1134" w:hanging="567"/>
      </w:pPr>
      <w:r>
        <w:t>(f)</w:t>
      </w:r>
      <w:r>
        <w:tab/>
      </w:r>
      <w:proofErr w:type="gramStart"/>
      <w:r w:rsidR="00E227E8">
        <w:t>in</w:t>
      </w:r>
      <w:proofErr w:type="gramEnd"/>
      <w:r w:rsidR="00E227E8">
        <w:t xml:space="preserve"> paragraph 10</w:t>
      </w:r>
      <w:r w:rsidR="00A627E5">
        <w:t xml:space="preserve"> omit</w:t>
      </w:r>
      <w:r w:rsidR="00FA6620">
        <w:t xml:space="preserve"> </w:t>
      </w:r>
      <w:r w:rsidR="00E227E8">
        <w:t>“</w:t>
      </w:r>
      <w:r w:rsidR="00594B83">
        <w:t xml:space="preserve">30 June </w:t>
      </w:r>
      <w:r w:rsidR="00073542">
        <w:t>201</w:t>
      </w:r>
      <w:r w:rsidR="006966BE">
        <w:t>1</w:t>
      </w:r>
      <w:r w:rsidR="00E227E8">
        <w:t>.”</w:t>
      </w:r>
      <w:r>
        <w:t xml:space="preserve">, </w:t>
      </w:r>
      <w:r w:rsidR="00A627E5">
        <w:t>substitut</w:t>
      </w:r>
      <w:r>
        <w:t>e</w:t>
      </w:r>
      <w:r w:rsidR="00A627E5">
        <w:t xml:space="preserve"> </w:t>
      </w:r>
      <w:r w:rsidR="00E227E8">
        <w:t>“</w:t>
      </w:r>
      <w:r w:rsidR="00073542">
        <w:t xml:space="preserve">30 </w:t>
      </w:r>
      <w:r w:rsidR="003D4A6A">
        <w:t xml:space="preserve">September </w:t>
      </w:r>
      <w:r w:rsidR="00A627E5">
        <w:t>201</w:t>
      </w:r>
      <w:r w:rsidR="006966BE">
        <w:t>1</w:t>
      </w:r>
      <w:r w:rsidR="00E227E8">
        <w:t>.”</w:t>
      </w:r>
      <w:r w:rsidR="009E380F">
        <w:t>.</w:t>
      </w:r>
    </w:p>
    <w:p w:rsidR="00FA6620" w:rsidRDefault="00FA6620" w:rsidP="00A627E5">
      <w:pPr>
        <w:ind w:left="720" w:hanging="720"/>
      </w:pPr>
    </w:p>
    <w:p w:rsidR="0086539A" w:rsidRDefault="0086539A" w:rsidP="00A627E5">
      <w:pPr>
        <w:ind w:left="720" w:hanging="720"/>
      </w:pPr>
    </w:p>
    <w:p w:rsidR="00A627E5" w:rsidRDefault="00A627E5" w:rsidP="00A627E5">
      <w:pPr>
        <w:ind w:left="720" w:hanging="720"/>
      </w:pPr>
      <w:r>
        <w:t>Dated this</w:t>
      </w:r>
      <w:r w:rsidR="00E227E8">
        <w:t xml:space="preserve"> </w:t>
      </w:r>
      <w:r w:rsidR="0088752E">
        <w:t xml:space="preserve">23rd </w:t>
      </w:r>
      <w:r w:rsidR="00E227E8">
        <w:t xml:space="preserve">day of </w:t>
      </w:r>
      <w:r w:rsidR="003D4A6A">
        <w:t>June</w:t>
      </w:r>
      <w:r w:rsidR="00E227E8">
        <w:t xml:space="preserve"> 2011</w:t>
      </w:r>
    </w:p>
    <w:p w:rsidR="00A627E5" w:rsidRDefault="00A627E5" w:rsidP="00A627E5">
      <w:pPr>
        <w:ind w:left="720" w:hanging="720"/>
      </w:pPr>
    </w:p>
    <w:p w:rsidR="00E227E8" w:rsidRDefault="00E227E8" w:rsidP="00A627E5">
      <w:pPr>
        <w:ind w:left="720" w:hanging="720"/>
      </w:pPr>
    </w:p>
    <w:p w:rsidR="0086539A" w:rsidRDefault="0086539A" w:rsidP="00A627E5">
      <w:pPr>
        <w:ind w:left="720" w:hanging="720"/>
      </w:pPr>
    </w:p>
    <w:p w:rsidR="00A627E5" w:rsidRDefault="00A627E5" w:rsidP="00A627E5">
      <w:pPr>
        <w:ind w:left="720" w:hanging="720"/>
      </w:pPr>
    </w:p>
    <w:p w:rsidR="00A627E5" w:rsidRDefault="00E227E8" w:rsidP="00A627E5">
      <w:pPr>
        <w:ind w:left="720" w:hanging="720"/>
      </w:pPr>
      <w:r>
        <w:t xml:space="preserve">Signed by Stephen Yen </w:t>
      </w:r>
      <w:r w:rsidRPr="00E227E8">
        <w:rPr>
          <w:sz w:val="20"/>
          <w:szCs w:val="20"/>
        </w:rPr>
        <w:t>PSM</w:t>
      </w:r>
    </w:p>
    <w:p w:rsidR="00A627E5" w:rsidRDefault="00E227E8" w:rsidP="00A627E5">
      <w:pPr>
        <w:ind w:left="720" w:hanging="720"/>
      </w:pPr>
      <w:proofErr w:type="gramStart"/>
      <w:r>
        <w:t>a</w:t>
      </w:r>
      <w:r w:rsidR="00A627E5">
        <w:t>s</w:t>
      </w:r>
      <w:proofErr w:type="gramEnd"/>
      <w:r w:rsidR="00A627E5">
        <w:t xml:space="preserve"> a delegate of the Australian Securities and Investments Commission</w:t>
      </w:r>
    </w:p>
    <w:sectPr w:rsidR="00A627E5" w:rsidSect="009E6008">
      <w:headerReference w:type="default" r:id="rId6"/>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38" w:rsidRDefault="00C61538" w:rsidP="009E6008">
      <w:r>
        <w:separator/>
      </w:r>
    </w:p>
  </w:endnote>
  <w:endnote w:type="continuationSeparator" w:id="0">
    <w:p w:rsidR="00C61538" w:rsidRDefault="00C61538" w:rsidP="009E6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38" w:rsidRDefault="00C61538" w:rsidP="009E6008">
      <w:r>
        <w:separator/>
      </w:r>
    </w:p>
  </w:footnote>
  <w:footnote w:type="continuationSeparator" w:id="0">
    <w:p w:rsidR="00C61538" w:rsidRDefault="00C61538" w:rsidP="009E6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012908"/>
      <w:docPartObj>
        <w:docPartGallery w:val="Page Numbers (Top of Page)"/>
        <w:docPartUnique/>
      </w:docPartObj>
    </w:sdtPr>
    <w:sdtContent>
      <w:p w:rsidR="009E6008" w:rsidRDefault="00316642">
        <w:pPr>
          <w:pStyle w:val="Header"/>
          <w:jc w:val="center"/>
        </w:pPr>
        <w:r>
          <w:fldChar w:fldCharType="begin"/>
        </w:r>
        <w:r w:rsidR="009E6008">
          <w:instrText xml:space="preserve"> PAGE   \* MERGEFORMAT </w:instrText>
        </w:r>
        <w:r>
          <w:fldChar w:fldCharType="separate"/>
        </w:r>
        <w:r w:rsidR="004C41BD">
          <w:rPr>
            <w:noProof/>
          </w:rPr>
          <w:t>2</w:t>
        </w:r>
        <w:r>
          <w:fldChar w:fldCharType="end"/>
        </w:r>
      </w:p>
    </w:sdtContent>
  </w:sdt>
  <w:p w:rsidR="009E6008" w:rsidRDefault="009E60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A627E5"/>
    <w:rsid w:val="00007650"/>
    <w:rsid w:val="00045F40"/>
    <w:rsid w:val="00051EDD"/>
    <w:rsid w:val="00073542"/>
    <w:rsid w:val="000B2124"/>
    <w:rsid w:val="000C31AC"/>
    <w:rsid w:val="000E4C50"/>
    <w:rsid w:val="00114192"/>
    <w:rsid w:val="0011531F"/>
    <w:rsid w:val="00156E4E"/>
    <w:rsid w:val="00234243"/>
    <w:rsid w:val="00265B43"/>
    <w:rsid w:val="002815FE"/>
    <w:rsid w:val="002867BE"/>
    <w:rsid w:val="002D3E82"/>
    <w:rsid w:val="002E167D"/>
    <w:rsid w:val="00311FF8"/>
    <w:rsid w:val="00316642"/>
    <w:rsid w:val="003300EB"/>
    <w:rsid w:val="00331EFB"/>
    <w:rsid w:val="003D4A6A"/>
    <w:rsid w:val="00427631"/>
    <w:rsid w:val="00432095"/>
    <w:rsid w:val="00472447"/>
    <w:rsid w:val="004B066D"/>
    <w:rsid w:val="004C41BD"/>
    <w:rsid w:val="004D22C6"/>
    <w:rsid w:val="00530B3C"/>
    <w:rsid w:val="005532FC"/>
    <w:rsid w:val="0058486F"/>
    <w:rsid w:val="00594B83"/>
    <w:rsid w:val="005F1283"/>
    <w:rsid w:val="00617340"/>
    <w:rsid w:val="006966BE"/>
    <w:rsid w:val="00697644"/>
    <w:rsid w:val="006B1707"/>
    <w:rsid w:val="006D139E"/>
    <w:rsid w:val="006D578D"/>
    <w:rsid w:val="0076784D"/>
    <w:rsid w:val="0077260E"/>
    <w:rsid w:val="00783E75"/>
    <w:rsid w:val="007C06A9"/>
    <w:rsid w:val="007C6F59"/>
    <w:rsid w:val="007F44A7"/>
    <w:rsid w:val="008347B0"/>
    <w:rsid w:val="0086539A"/>
    <w:rsid w:val="0088752E"/>
    <w:rsid w:val="008B0826"/>
    <w:rsid w:val="009E380F"/>
    <w:rsid w:val="009E6008"/>
    <w:rsid w:val="00A2404F"/>
    <w:rsid w:val="00A627E5"/>
    <w:rsid w:val="00A84F74"/>
    <w:rsid w:val="00AE7047"/>
    <w:rsid w:val="00AF4357"/>
    <w:rsid w:val="00B13946"/>
    <w:rsid w:val="00B84574"/>
    <w:rsid w:val="00BC5859"/>
    <w:rsid w:val="00BC7E73"/>
    <w:rsid w:val="00C0572C"/>
    <w:rsid w:val="00C61538"/>
    <w:rsid w:val="00C86731"/>
    <w:rsid w:val="00CB5EC4"/>
    <w:rsid w:val="00CD4536"/>
    <w:rsid w:val="00D005C7"/>
    <w:rsid w:val="00D15BE6"/>
    <w:rsid w:val="00D33CEA"/>
    <w:rsid w:val="00D6448F"/>
    <w:rsid w:val="00D70E52"/>
    <w:rsid w:val="00DB0649"/>
    <w:rsid w:val="00E04A5E"/>
    <w:rsid w:val="00E227E8"/>
    <w:rsid w:val="00F02D23"/>
    <w:rsid w:val="00F25D24"/>
    <w:rsid w:val="00F556DC"/>
    <w:rsid w:val="00FA6620"/>
    <w:rsid w:val="00FB7528"/>
    <w:rsid w:val="00FE0240"/>
    <w:rsid w:val="00FE38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008"/>
    <w:pPr>
      <w:tabs>
        <w:tab w:val="center" w:pos="4513"/>
        <w:tab w:val="right" w:pos="9026"/>
      </w:tabs>
    </w:pPr>
  </w:style>
  <w:style w:type="character" w:customStyle="1" w:styleId="HeaderChar">
    <w:name w:val="Header Char"/>
    <w:basedOn w:val="DefaultParagraphFont"/>
    <w:link w:val="Header"/>
    <w:uiPriority w:val="99"/>
    <w:rsid w:val="009E6008"/>
    <w:rPr>
      <w:sz w:val="24"/>
      <w:szCs w:val="24"/>
      <w:lang w:eastAsia="en-US"/>
    </w:rPr>
  </w:style>
  <w:style w:type="paragraph" w:styleId="Footer">
    <w:name w:val="footer"/>
    <w:basedOn w:val="Normal"/>
    <w:link w:val="FooterChar"/>
    <w:uiPriority w:val="99"/>
    <w:unhideWhenUsed/>
    <w:rsid w:val="009E6008"/>
    <w:pPr>
      <w:tabs>
        <w:tab w:val="center" w:pos="4513"/>
        <w:tab w:val="right" w:pos="9026"/>
      </w:tabs>
    </w:pPr>
  </w:style>
  <w:style w:type="character" w:customStyle="1" w:styleId="FooterChar">
    <w:name w:val="Footer Char"/>
    <w:basedOn w:val="DefaultParagraphFont"/>
    <w:link w:val="Footer"/>
    <w:uiPriority w:val="99"/>
    <w:rsid w:val="009E6008"/>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Reid</dc:creator>
  <cp:keywords/>
  <dc:description/>
  <cp:lastModifiedBy>Ruki Weerasinghe</cp:lastModifiedBy>
  <cp:revision>2</cp:revision>
  <cp:lastPrinted>2011-06-23T00:53:00Z</cp:lastPrinted>
  <dcterms:created xsi:type="dcterms:W3CDTF">2011-06-23T23:34:00Z</dcterms:created>
  <dcterms:modified xsi:type="dcterms:W3CDTF">2011-06-23T23:34:00Z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A717274</vt:lpwstr>
  </property>
  <property fmtid="{D5CDD505-2E9C-101B-9397-08002B2CF9AE}" pid="3" name="Objective-Title">
    <vt:lpwstr>Class Order CO 11-555</vt:lpwstr>
  </property>
  <property fmtid="{D5CDD505-2E9C-101B-9397-08002B2CF9AE}" pid="4" name="Objective-Comment">
    <vt:lpwstr/>
  </property>
  <property fmtid="{D5CDD505-2E9C-101B-9397-08002B2CF9AE}" pid="5" name="Objective-CreationStamp">
    <vt:filetime>2011-06-10T03:16:30Z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2011-06-23T00:54:35Z</vt:filetime>
  </property>
  <property fmtid="{D5CDD505-2E9C-101B-9397-08002B2CF9AE}" pid="9" name="Objective-ModificationStamp">
    <vt:filetime>2011-06-23T00:54:37Z</vt:filetime>
  </property>
  <property fmtid="{D5CDD505-2E9C-101B-9397-08002B2CF9AE}" pid="10" name="Objective-Owner">
    <vt:lpwstr>Grant Moodie</vt:lpwstr>
  </property>
  <property fmtid="{D5CDD505-2E9C-101B-9397-08002B2CF9AE}" pid="11" name="Objective-Path">
    <vt:lpwstr>ASIC BCS:LEGAL SERVICES:Advice:Class Orders 2011:</vt:lpwstr>
  </property>
  <property fmtid="{D5CDD505-2E9C-101B-9397-08002B2CF9AE}" pid="12" name="Objective-Parent">
    <vt:lpwstr>Class Orders 2011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26</vt:i4>
  </property>
  <property fmtid="{D5CDD505-2E9C-101B-9397-08002B2CF9AE}" pid="16" name="Objective-VersionComment">
    <vt:lpwstr/>
  </property>
  <property fmtid="{D5CDD505-2E9C-101B-9397-08002B2CF9AE}" pid="17" name="Objective-FileNumber">
    <vt:lpwstr>2010 - 002692</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