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A6" w:rsidRPr="00790DCE" w:rsidRDefault="00E46EA6" w:rsidP="00FE0A47">
      <w:pPr>
        <w:pStyle w:val="Heading1"/>
        <w:keepNext w:val="0"/>
        <w:pageBreakBefore w:val="0"/>
        <w:spacing w:after="0"/>
        <w:jc w:val="center"/>
        <w:rPr>
          <w:rFonts w:ascii="HelveticaNeueLT Std Med" w:hAnsi="HelveticaNeueLT Std Med"/>
          <w:b/>
          <w:color w:val="404040"/>
          <w:sz w:val="28"/>
          <w:szCs w:val="28"/>
        </w:rPr>
      </w:pPr>
      <w:r w:rsidRPr="00790DCE">
        <w:rPr>
          <w:rFonts w:ascii="HelveticaNeueLT Std Med" w:hAnsi="HelveticaNeueLT Std Med"/>
          <w:b/>
          <w:color w:val="404040"/>
          <w:sz w:val="28"/>
          <w:szCs w:val="28"/>
        </w:rPr>
        <w:t>Explanatory Statement</w:t>
      </w:r>
    </w:p>
    <w:p w:rsidR="00FE0A47" w:rsidRPr="00790DCE" w:rsidRDefault="00FE0A47" w:rsidP="00FE0A47">
      <w:pPr>
        <w:rPr>
          <w:color w:val="404040"/>
        </w:rPr>
      </w:pPr>
    </w:p>
    <w:p w:rsidR="00E46EA6" w:rsidRPr="00790DCE" w:rsidRDefault="00E46EA6" w:rsidP="00FE0A47">
      <w:pPr>
        <w:pStyle w:val="Heading1"/>
        <w:keepNext w:val="0"/>
        <w:pageBreakBefore w:val="0"/>
        <w:spacing w:after="240"/>
        <w:jc w:val="center"/>
        <w:rPr>
          <w:rFonts w:ascii="HelveticaNeueLT Std Med" w:hAnsi="HelveticaNeueLT Std Med"/>
          <w:b/>
          <w:i/>
          <w:color w:val="404040"/>
          <w:sz w:val="28"/>
          <w:szCs w:val="28"/>
        </w:rPr>
      </w:pPr>
      <w:r w:rsidRPr="00790DCE">
        <w:rPr>
          <w:rFonts w:ascii="HelveticaNeueLT Std Med" w:hAnsi="HelveticaNeueLT Std Med"/>
          <w:b/>
          <w:color w:val="404040"/>
          <w:sz w:val="28"/>
          <w:szCs w:val="28"/>
        </w:rPr>
        <w:t xml:space="preserve">Standards for VET Regulators made under the </w:t>
      </w:r>
      <w:r w:rsidRPr="00790DCE">
        <w:rPr>
          <w:rFonts w:ascii="HelveticaNeueLT Std Med" w:hAnsi="HelveticaNeueLT Std Med"/>
          <w:b/>
          <w:i/>
          <w:color w:val="404040"/>
          <w:sz w:val="28"/>
          <w:szCs w:val="28"/>
        </w:rPr>
        <w:t>National Vocational Education and Training Regulator Act 2011</w:t>
      </w:r>
    </w:p>
    <w:p w:rsidR="00FE0A47" w:rsidRPr="00790DCE" w:rsidRDefault="00FE0A47" w:rsidP="00E46EA6">
      <w:pPr>
        <w:rPr>
          <w:color w:val="404040"/>
        </w:rPr>
      </w:pPr>
    </w:p>
    <w:p w:rsidR="00335EF3" w:rsidRPr="00790DCE" w:rsidRDefault="00335EF3" w:rsidP="00335EF3">
      <w:pPr>
        <w:rPr>
          <w:color w:val="404040"/>
        </w:rPr>
      </w:pPr>
      <w:r w:rsidRPr="00790DCE">
        <w:rPr>
          <w:color w:val="404040"/>
        </w:rPr>
        <w:t xml:space="preserve">Issued by the authority of the Minister for </w:t>
      </w:r>
      <w:r w:rsidR="00721255" w:rsidRPr="00790DCE">
        <w:rPr>
          <w:color w:val="404040"/>
        </w:rPr>
        <w:t>T</w:t>
      </w:r>
      <w:r w:rsidRPr="00790DCE">
        <w:rPr>
          <w:color w:val="404040"/>
        </w:rPr>
        <w:t>ertiary Education, Skills,</w:t>
      </w:r>
      <w:r w:rsidR="00721255" w:rsidRPr="00790DCE">
        <w:rPr>
          <w:color w:val="404040"/>
        </w:rPr>
        <w:t xml:space="preserve"> Jobs and Workplace Relations</w:t>
      </w:r>
      <w:r w:rsidRPr="00790DCE">
        <w:rPr>
          <w:color w:val="404040"/>
        </w:rPr>
        <w:t xml:space="preserve"> </w:t>
      </w:r>
    </w:p>
    <w:p w:rsidR="00335EF3" w:rsidRPr="00790DCE" w:rsidRDefault="00335EF3" w:rsidP="00335EF3">
      <w:pPr>
        <w:rPr>
          <w:color w:val="404040"/>
        </w:rPr>
      </w:pPr>
      <w:r w:rsidRPr="00790DCE">
        <w:rPr>
          <w:color w:val="404040"/>
        </w:rPr>
        <w:t>Subject:</w:t>
      </w:r>
      <w:r w:rsidRPr="00790DCE">
        <w:rPr>
          <w:color w:val="404040"/>
        </w:rPr>
        <w:tab/>
      </w:r>
      <w:r w:rsidRPr="00790DCE">
        <w:rPr>
          <w:color w:val="404040"/>
        </w:rPr>
        <w:tab/>
      </w:r>
      <w:r w:rsidRPr="00790DCE">
        <w:rPr>
          <w:i/>
          <w:color w:val="404040"/>
        </w:rPr>
        <w:t>National Vocational Education and Training Regulator Act 2011</w:t>
      </w:r>
    </w:p>
    <w:p w:rsidR="00335EF3" w:rsidRPr="00790DCE" w:rsidRDefault="00335EF3" w:rsidP="00335EF3">
      <w:pPr>
        <w:ind w:left="2160"/>
        <w:rPr>
          <w:i/>
          <w:color w:val="404040"/>
        </w:rPr>
      </w:pPr>
      <w:r w:rsidRPr="00790DCE">
        <w:rPr>
          <w:i/>
          <w:color w:val="404040"/>
        </w:rPr>
        <w:t>Standards for VET Regulators</w:t>
      </w:r>
      <w:r w:rsidR="00D47CDF">
        <w:rPr>
          <w:i/>
          <w:color w:val="404040"/>
        </w:rPr>
        <w:t xml:space="preserve"> </w:t>
      </w:r>
    </w:p>
    <w:p w:rsidR="00335EF3" w:rsidRPr="00790DCE" w:rsidRDefault="00335EF3" w:rsidP="00E46EA6">
      <w:pPr>
        <w:rPr>
          <w:color w:val="404040"/>
        </w:rPr>
      </w:pPr>
    </w:p>
    <w:p w:rsidR="00FE0A47" w:rsidRPr="00790DCE" w:rsidRDefault="00FE0A47" w:rsidP="00FE0A47">
      <w:pPr>
        <w:pStyle w:val="Heading2"/>
        <w:rPr>
          <w:rFonts w:ascii="HelveticaNeueLT Std Lt" w:hAnsi="HelveticaNeueLT Std Lt"/>
          <w:color w:val="404040"/>
          <w:sz w:val="28"/>
          <w:szCs w:val="28"/>
        </w:rPr>
      </w:pPr>
      <w:r w:rsidRPr="00790DCE">
        <w:rPr>
          <w:rFonts w:ascii="HelveticaNeueLT Std Lt" w:hAnsi="HelveticaNeueLT Std Lt"/>
          <w:color w:val="404040"/>
          <w:sz w:val="28"/>
          <w:szCs w:val="28"/>
        </w:rPr>
        <w:t>Authority</w:t>
      </w:r>
    </w:p>
    <w:p w:rsidR="00FE0A47" w:rsidRPr="00790DCE" w:rsidRDefault="00FE0A47" w:rsidP="00E46EA6">
      <w:pPr>
        <w:rPr>
          <w:color w:val="404040"/>
        </w:rPr>
      </w:pPr>
      <w:r w:rsidRPr="00790DCE">
        <w:rPr>
          <w:color w:val="404040"/>
        </w:rPr>
        <w:t>S</w:t>
      </w:r>
      <w:r w:rsidR="00E46EA6" w:rsidRPr="00790DCE">
        <w:rPr>
          <w:color w:val="404040"/>
        </w:rPr>
        <w:t>ubsection 1</w:t>
      </w:r>
      <w:r w:rsidR="00CE50CD" w:rsidRPr="00790DCE">
        <w:rPr>
          <w:color w:val="404040"/>
        </w:rPr>
        <w:t>89</w:t>
      </w:r>
      <w:r w:rsidR="00E46EA6" w:rsidRPr="00790DCE">
        <w:rPr>
          <w:color w:val="404040"/>
        </w:rPr>
        <w:t xml:space="preserve">(1) of the </w:t>
      </w:r>
      <w:r w:rsidR="00E46EA6" w:rsidRPr="00790DCE">
        <w:rPr>
          <w:i/>
          <w:color w:val="404040"/>
        </w:rPr>
        <w:t>National Vocational Education</w:t>
      </w:r>
      <w:r w:rsidR="00C818E7" w:rsidRPr="00790DCE">
        <w:rPr>
          <w:i/>
          <w:color w:val="404040"/>
        </w:rPr>
        <w:t xml:space="preserve"> and</w:t>
      </w:r>
      <w:r w:rsidR="00E46EA6" w:rsidRPr="00790DCE">
        <w:rPr>
          <w:i/>
          <w:color w:val="404040"/>
        </w:rPr>
        <w:t xml:space="preserve"> Training Regulator Act 2011 </w:t>
      </w:r>
      <w:r w:rsidR="00E46EA6" w:rsidRPr="00790DCE">
        <w:rPr>
          <w:color w:val="404040"/>
        </w:rPr>
        <w:t xml:space="preserve">(the </w:t>
      </w:r>
      <w:r w:rsidR="00EB20EA" w:rsidRPr="00790DCE">
        <w:rPr>
          <w:color w:val="404040"/>
        </w:rPr>
        <w:t>Act</w:t>
      </w:r>
      <w:r w:rsidR="001D4C50" w:rsidRPr="00790DCE">
        <w:rPr>
          <w:color w:val="404040"/>
        </w:rPr>
        <w:t>) provides</w:t>
      </w:r>
      <w:r w:rsidRPr="00790DCE">
        <w:rPr>
          <w:color w:val="404040"/>
        </w:rPr>
        <w:t xml:space="preserve"> that the Minister may, by legislative instrument, make standards for VET Regulator</w:t>
      </w:r>
      <w:r w:rsidR="001D4C50" w:rsidRPr="00790DCE">
        <w:rPr>
          <w:color w:val="404040"/>
        </w:rPr>
        <w:t>s</w:t>
      </w:r>
      <w:r w:rsidRPr="00790DCE">
        <w:rPr>
          <w:color w:val="404040"/>
        </w:rPr>
        <w:t xml:space="preserve">, as agreed by the Ministerial Council. Subsection 189(2) of the Act provides that the </w:t>
      </w:r>
      <w:r w:rsidR="009B499D" w:rsidRPr="00790DCE">
        <w:rPr>
          <w:color w:val="404040"/>
        </w:rPr>
        <w:t xml:space="preserve">agreed </w:t>
      </w:r>
      <w:r w:rsidRPr="00790DCE">
        <w:rPr>
          <w:color w:val="404040"/>
        </w:rPr>
        <w:t xml:space="preserve">standards are to be known as the </w:t>
      </w:r>
      <w:r w:rsidRPr="00790DCE">
        <w:rPr>
          <w:i/>
          <w:color w:val="404040"/>
        </w:rPr>
        <w:t>Standards for VET Regulators</w:t>
      </w:r>
      <w:r w:rsidRPr="00790DCE">
        <w:rPr>
          <w:color w:val="404040"/>
        </w:rPr>
        <w:t xml:space="preserve">. </w:t>
      </w:r>
    </w:p>
    <w:p w:rsidR="00FE0A47" w:rsidRPr="00790DCE" w:rsidRDefault="00FE0A47" w:rsidP="00E46EA6">
      <w:pPr>
        <w:rPr>
          <w:color w:val="404040"/>
        </w:rPr>
      </w:pPr>
      <w:r w:rsidRPr="00790DCE">
        <w:rPr>
          <w:color w:val="404040"/>
        </w:rPr>
        <w:t xml:space="preserve">In accordance with sections 44 and 54 of the </w:t>
      </w:r>
      <w:r w:rsidRPr="00790DCE">
        <w:rPr>
          <w:i/>
          <w:color w:val="404040"/>
        </w:rPr>
        <w:t>Legislative In</w:t>
      </w:r>
      <w:r w:rsidR="00C233EF" w:rsidRPr="00790DCE">
        <w:rPr>
          <w:i/>
          <w:color w:val="404040"/>
        </w:rPr>
        <w:t xml:space="preserve">struments Act 2003, </w:t>
      </w:r>
      <w:r w:rsidR="00C233EF" w:rsidRPr="00790DCE">
        <w:rPr>
          <w:color w:val="404040"/>
        </w:rPr>
        <w:t xml:space="preserve">the </w:t>
      </w:r>
      <w:r w:rsidR="00C233EF" w:rsidRPr="00790DCE">
        <w:rPr>
          <w:i/>
          <w:color w:val="404040"/>
        </w:rPr>
        <w:t xml:space="preserve">Standards for VET Regulators </w:t>
      </w:r>
      <w:r w:rsidR="00C233EF" w:rsidRPr="00790DCE">
        <w:rPr>
          <w:color w:val="404040"/>
        </w:rPr>
        <w:t xml:space="preserve">(the </w:t>
      </w:r>
      <w:r w:rsidR="00ED5223" w:rsidRPr="00790DCE">
        <w:rPr>
          <w:color w:val="404040"/>
        </w:rPr>
        <w:t>Standards</w:t>
      </w:r>
      <w:r w:rsidR="00C233EF" w:rsidRPr="00790DCE">
        <w:rPr>
          <w:color w:val="404040"/>
        </w:rPr>
        <w:t>) are not subject to disallowance or sunsetting.</w:t>
      </w:r>
    </w:p>
    <w:p w:rsidR="00E46EA6" w:rsidRPr="00790DCE" w:rsidRDefault="00E46EA6" w:rsidP="00E46EA6">
      <w:pPr>
        <w:pStyle w:val="Heading2"/>
        <w:rPr>
          <w:rFonts w:ascii="HelveticaNeueLT Std Lt" w:hAnsi="HelveticaNeueLT Std Lt"/>
          <w:color w:val="404040"/>
          <w:sz w:val="20"/>
          <w:szCs w:val="20"/>
        </w:rPr>
      </w:pPr>
    </w:p>
    <w:p w:rsidR="00E46EA6" w:rsidRPr="00790DCE" w:rsidRDefault="00C233EF" w:rsidP="00E46EA6">
      <w:pPr>
        <w:pStyle w:val="Heading2"/>
        <w:rPr>
          <w:rFonts w:ascii="HelveticaNeueLT Std Lt" w:hAnsi="HelveticaNeueLT Std Lt"/>
          <w:color w:val="404040"/>
          <w:sz w:val="28"/>
          <w:szCs w:val="28"/>
        </w:rPr>
      </w:pPr>
      <w:r w:rsidRPr="00790DCE">
        <w:rPr>
          <w:rFonts w:ascii="HelveticaNeueLT Std Lt" w:hAnsi="HelveticaNeueLT Std Lt"/>
          <w:color w:val="404040"/>
          <w:sz w:val="28"/>
          <w:szCs w:val="28"/>
        </w:rPr>
        <w:t>Purpose and Operation</w:t>
      </w:r>
    </w:p>
    <w:p w:rsidR="00A32930" w:rsidRPr="00790DCE" w:rsidRDefault="004917F6" w:rsidP="00E46EA6">
      <w:pPr>
        <w:rPr>
          <w:color w:val="404040"/>
        </w:rPr>
      </w:pPr>
      <w:r w:rsidRPr="00790DCE">
        <w:rPr>
          <w:color w:val="404040"/>
        </w:rPr>
        <w:t>The purpose of t</w:t>
      </w:r>
      <w:r w:rsidR="00E46EA6" w:rsidRPr="00790DCE">
        <w:rPr>
          <w:color w:val="404040"/>
        </w:rPr>
        <w:t xml:space="preserve">he </w:t>
      </w:r>
      <w:r w:rsidR="00ED5223" w:rsidRPr="00790DCE">
        <w:rPr>
          <w:color w:val="404040"/>
        </w:rPr>
        <w:t>Standards</w:t>
      </w:r>
      <w:r w:rsidR="00E46EA6" w:rsidRPr="00790DCE">
        <w:rPr>
          <w:color w:val="404040"/>
        </w:rPr>
        <w:t xml:space="preserve"> </w:t>
      </w:r>
      <w:r w:rsidRPr="00790DCE">
        <w:rPr>
          <w:color w:val="404040"/>
        </w:rPr>
        <w:t xml:space="preserve">is to </w:t>
      </w:r>
      <w:r w:rsidR="00E46EA6" w:rsidRPr="00790DCE">
        <w:rPr>
          <w:color w:val="404040"/>
        </w:rPr>
        <w:t>formally identif</w:t>
      </w:r>
      <w:r w:rsidRPr="00790DCE">
        <w:rPr>
          <w:color w:val="404040"/>
        </w:rPr>
        <w:t>y</w:t>
      </w:r>
      <w:r w:rsidR="009B499D" w:rsidRPr="00790DCE">
        <w:rPr>
          <w:color w:val="404040"/>
        </w:rPr>
        <w:t>,</w:t>
      </w:r>
      <w:r w:rsidR="00E46EA6" w:rsidRPr="00790DCE">
        <w:rPr>
          <w:color w:val="404040"/>
        </w:rPr>
        <w:t xml:space="preserve"> in a legislative instrument</w:t>
      </w:r>
      <w:r w:rsidR="009B499D" w:rsidRPr="00790DCE">
        <w:rPr>
          <w:color w:val="404040"/>
        </w:rPr>
        <w:t>,</w:t>
      </w:r>
      <w:r w:rsidR="00E46EA6" w:rsidRPr="00790DCE">
        <w:rPr>
          <w:color w:val="404040"/>
        </w:rPr>
        <w:t xml:space="preserve"> </w:t>
      </w:r>
      <w:r w:rsidR="009B499D" w:rsidRPr="00790DCE">
        <w:rPr>
          <w:color w:val="404040"/>
        </w:rPr>
        <w:t xml:space="preserve">the </w:t>
      </w:r>
      <w:r w:rsidR="00CE50CD" w:rsidRPr="00790DCE">
        <w:rPr>
          <w:color w:val="404040"/>
        </w:rPr>
        <w:t xml:space="preserve">standards </w:t>
      </w:r>
      <w:proofErr w:type="gramStart"/>
      <w:r w:rsidR="00CE50CD" w:rsidRPr="00790DCE">
        <w:rPr>
          <w:color w:val="404040"/>
        </w:rPr>
        <w:t>for</w:t>
      </w:r>
      <w:proofErr w:type="gramEnd"/>
      <w:r w:rsidR="00CE50CD" w:rsidRPr="00790DCE">
        <w:rPr>
          <w:color w:val="404040"/>
        </w:rPr>
        <w:t xml:space="preserve"> VET </w:t>
      </w:r>
      <w:r w:rsidR="00891216" w:rsidRPr="00790DCE">
        <w:rPr>
          <w:color w:val="404040"/>
        </w:rPr>
        <w:t xml:space="preserve">Regulators </w:t>
      </w:r>
      <w:r w:rsidR="00A32930" w:rsidRPr="00790DCE">
        <w:rPr>
          <w:color w:val="404040"/>
        </w:rPr>
        <w:t xml:space="preserve">performing functions under the </w:t>
      </w:r>
      <w:r w:rsidR="00EB20EA" w:rsidRPr="00790DCE">
        <w:rPr>
          <w:color w:val="404040"/>
        </w:rPr>
        <w:t>Act</w:t>
      </w:r>
      <w:r w:rsidR="00A32930" w:rsidRPr="00790DCE">
        <w:rPr>
          <w:color w:val="404040"/>
        </w:rPr>
        <w:t xml:space="preserve">. </w:t>
      </w:r>
    </w:p>
    <w:p w:rsidR="00E46EA6" w:rsidRPr="00790DCE" w:rsidRDefault="00E46EA6" w:rsidP="00E46EA6">
      <w:pPr>
        <w:rPr>
          <w:color w:val="404040"/>
        </w:rPr>
      </w:pPr>
      <w:r w:rsidRPr="00790DCE">
        <w:rPr>
          <w:color w:val="404040"/>
        </w:rPr>
        <w:t xml:space="preserve">The </w:t>
      </w:r>
      <w:r w:rsidR="00ED5223" w:rsidRPr="00790DCE">
        <w:rPr>
          <w:color w:val="404040"/>
        </w:rPr>
        <w:t>Standards are</w:t>
      </w:r>
      <w:r w:rsidR="00CE50CD" w:rsidRPr="00790DCE">
        <w:rPr>
          <w:color w:val="404040"/>
        </w:rPr>
        <w:t xml:space="preserve"> similar to the existing </w:t>
      </w:r>
      <w:r w:rsidR="00CE50CD" w:rsidRPr="00790DCE">
        <w:rPr>
          <w:i/>
          <w:color w:val="404040"/>
        </w:rPr>
        <w:t>S</w:t>
      </w:r>
      <w:r w:rsidRPr="00790DCE">
        <w:rPr>
          <w:i/>
          <w:color w:val="404040"/>
        </w:rPr>
        <w:t xml:space="preserve">tandards for </w:t>
      </w:r>
      <w:r w:rsidR="00CE50CD" w:rsidRPr="00790DCE">
        <w:rPr>
          <w:i/>
          <w:color w:val="404040"/>
        </w:rPr>
        <w:t>State and Territory Registering Bodies</w:t>
      </w:r>
      <w:r w:rsidR="00CE50CD" w:rsidRPr="00790DCE">
        <w:rPr>
          <w:color w:val="404040"/>
        </w:rPr>
        <w:t xml:space="preserve"> </w:t>
      </w:r>
      <w:r w:rsidR="00A32930" w:rsidRPr="00790DCE">
        <w:rPr>
          <w:color w:val="404040"/>
        </w:rPr>
        <w:t xml:space="preserve">and </w:t>
      </w:r>
      <w:r w:rsidR="00A32930" w:rsidRPr="00790DCE">
        <w:rPr>
          <w:i/>
          <w:color w:val="404040"/>
        </w:rPr>
        <w:t>Standards for State and Territory Accrediting Bodies</w:t>
      </w:r>
      <w:r w:rsidR="00A32930" w:rsidRPr="00790DCE">
        <w:rPr>
          <w:color w:val="404040"/>
        </w:rPr>
        <w:t xml:space="preserve"> </w:t>
      </w:r>
      <w:r w:rsidR="009F6751" w:rsidRPr="00790DCE">
        <w:rPr>
          <w:color w:val="404040"/>
        </w:rPr>
        <w:t>found in the Australian Quality Training Framework (AQTF)</w:t>
      </w:r>
      <w:r w:rsidR="006E62A2" w:rsidRPr="00790DCE">
        <w:rPr>
          <w:color w:val="404040"/>
        </w:rPr>
        <w:t xml:space="preserve"> and has adopted parts of the existing AQTF standards for registering bodies and accrediting bodies</w:t>
      </w:r>
      <w:r w:rsidRPr="00790DCE">
        <w:rPr>
          <w:color w:val="404040"/>
        </w:rPr>
        <w:t xml:space="preserve">. </w:t>
      </w:r>
    </w:p>
    <w:p w:rsidR="00E46EA6" w:rsidRPr="00790DCE" w:rsidRDefault="00E46EA6" w:rsidP="00E46EA6">
      <w:pPr>
        <w:pStyle w:val="Heading2"/>
        <w:rPr>
          <w:rFonts w:ascii="HelveticaNeueLT Std Lt" w:hAnsi="HelveticaNeueLT Std Lt"/>
          <w:color w:val="404040"/>
          <w:sz w:val="20"/>
          <w:szCs w:val="20"/>
        </w:rPr>
      </w:pPr>
    </w:p>
    <w:p w:rsidR="00E46EA6" w:rsidRPr="00790DCE" w:rsidRDefault="00E46EA6" w:rsidP="00E46EA6">
      <w:pPr>
        <w:pStyle w:val="Heading2"/>
        <w:rPr>
          <w:color w:val="404040"/>
        </w:rPr>
      </w:pPr>
      <w:r w:rsidRPr="00790DCE">
        <w:rPr>
          <w:rFonts w:ascii="HelveticaNeueLT Std Lt" w:hAnsi="HelveticaNeueLT Std Lt"/>
          <w:color w:val="404040"/>
          <w:sz w:val="28"/>
          <w:szCs w:val="28"/>
        </w:rPr>
        <w:t>Consultation</w:t>
      </w:r>
    </w:p>
    <w:p w:rsidR="00E46EA6" w:rsidRPr="00790DCE" w:rsidRDefault="00E46EA6" w:rsidP="00E46EA6">
      <w:pPr>
        <w:rPr>
          <w:color w:val="404040"/>
        </w:rPr>
      </w:pPr>
      <w:r w:rsidRPr="00790DCE">
        <w:rPr>
          <w:color w:val="404040"/>
        </w:rPr>
        <w:t xml:space="preserve">Before the Minister </w:t>
      </w:r>
      <w:r w:rsidR="004917F6" w:rsidRPr="00790DCE">
        <w:rPr>
          <w:color w:val="404040"/>
        </w:rPr>
        <w:t>made</w:t>
      </w:r>
      <w:r w:rsidRPr="00790DCE">
        <w:rPr>
          <w:color w:val="404040"/>
        </w:rPr>
        <w:t xml:space="preserve"> the </w:t>
      </w:r>
      <w:r w:rsidR="00ED5223" w:rsidRPr="00790DCE">
        <w:rPr>
          <w:color w:val="404040"/>
        </w:rPr>
        <w:t>Standards</w:t>
      </w:r>
      <w:r w:rsidRPr="00790DCE">
        <w:rPr>
          <w:color w:val="404040"/>
        </w:rPr>
        <w:t>, the following consultation</w:t>
      </w:r>
      <w:r w:rsidR="009B499D" w:rsidRPr="00790DCE">
        <w:rPr>
          <w:color w:val="404040"/>
        </w:rPr>
        <w:t xml:space="preserve"> was undertaken</w:t>
      </w:r>
      <w:r w:rsidRPr="00790DCE">
        <w:rPr>
          <w:color w:val="404040"/>
        </w:rPr>
        <w:t>:</w:t>
      </w:r>
    </w:p>
    <w:p w:rsidR="00ED5223" w:rsidRPr="00790DCE" w:rsidRDefault="00ED5223" w:rsidP="00ED5223">
      <w:pPr>
        <w:pStyle w:val="ListBullet"/>
        <w:tabs>
          <w:tab w:val="num" w:pos="1134"/>
        </w:tabs>
        <w:ind w:left="1134" w:hanging="567"/>
        <w:rPr>
          <w:color w:val="404040"/>
        </w:rPr>
      </w:pPr>
      <w:r w:rsidRPr="00790DCE">
        <w:rPr>
          <w:color w:val="404040"/>
        </w:rPr>
        <w:t>The Standards were discussed with representatives from each State and Territory at meetings held on 3 March 2011 and 24 May 2011.</w:t>
      </w:r>
    </w:p>
    <w:p w:rsidR="00ED5223" w:rsidRPr="00790DCE" w:rsidRDefault="00ED5223" w:rsidP="00ED5223">
      <w:pPr>
        <w:pStyle w:val="ListBullet"/>
        <w:tabs>
          <w:tab w:val="num" w:pos="1134"/>
        </w:tabs>
        <w:ind w:left="1134" w:hanging="567"/>
        <w:rPr>
          <w:color w:val="404040"/>
        </w:rPr>
      </w:pPr>
      <w:r w:rsidRPr="00790DCE">
        <w:rPr>
          <w:color w:val="404040"/>
        </w:rPr>
        <w:t xml:space="preserve">The Standards were circulated to the Ministerial Council for </w:t>
      </w:r>
      <w:r w:rsidR="00A6692C">
        <w:rPr>
          <w:color w:val="404040"/>
        </w:rPr>
        <w:t>endorsement</w:t>
      </w:r>
      <w:r w:rsidRPr="00790DCE">
        <w:rPr>
          <w:color w:val="404040"/>
        </w:rPr>
        <w:t xml:space="preserve"> which was received </w:t>
      </w:r>
      <w:r w:rsidR="00790DCE">
        <w:rPr>
          <w:color w:val="404040"/>
        </w:rPr>
        <w:t>on 24 June 2011</w:t>
      </w:r>
      <w:r w:rsidRPr="00790DCE">
        <w:rPr>
          <w:color w:val="404040"/>
        </w:rPr>
        <w:t xml:space="preserve">. </w:t>
      </w:r>
    </w:p>
    <w:p w:rsidR="00A32930" w:rsidRPr="00790DCE" w:rsidRDefault="00A32930" w:rsidP="00E46EA6">
      <w:pPr>
        <w:rPr>
          <w:color w:val="404040"/>
        </w:rPr>
      </w:pPr>
    </w:p>
    <w:p w:rsidR="00E46EA6" w:rsidRPr="00790DCE" w:rsidRDefault="003E045F" w:rsidP="00CE50CD">
      <w:pPr>
        <w:rPr>
          <w:b/>
          <w:color w:val="404040"/>
          <w:sz w:val="28"/>
          <w:szCs w:val="28"/>
        </w:rPr>
      </w:pPr>
      <w:r w:rsidRPr="00790DCE">
        <w:rPr>
          <w:b/>
          <w:color w:val="404040"/>
        </w:rPr>
        <w:br w:type="page"/>
      </w:r>
      <w:r w:rsidR="00E46EA6" w:rsidRPr="00790DCE">
        <w:rPr>
          <w:b/>
          <w:color w:val="404040"/>
        </w:rPr>
        <w:lastRenderedPageBreak/>
        <w:t xml:space="preserve"> </w:t>
      </w:r>
      <w:r w:rsidR="00E46EA6" w:rsidRPr="00790DCE">
        <w:rPr>
          <w:b/>
          <w:color w:val="404040"/>
          <w:sz w:val="28"/>
          <w:szCs w:val="28"/>
        </w:rPr>
        <w:t xml:space="preserve">Description of the provisions of the </w:t>
      </w:r>
      <w:r w:rsidR="00CE50CD" w:rsidRPr="00790DCE">
        <w:rPr>
          <w:b/>
          <w:color w:val="404040"/>
          <w:sz w:val="28"/>
          <w:szCs w:val="28"/>
        </w:rPr>
        <w:t>S</w:t>
      </w:r>
      <w:r w:rsidR="00790DCE">
        <w:rPr>
          <w:b/>
          <w:color w:val="404040"/>
          <w:sz w:val="28"/>
          <w:szCs w:val="28"/>
        </w:rPr>
        <w:t xml:space="preserve">tandards </w:t>
      </w:r>
    </w:p>
    <w:p w:rsidR="007402BD" w:rsidRPr="00790DCE" w:rsidRDefault="007402BD" w:rsidP="00E46EA6">
      <w:pPr>
        <w:pStyle w:val="Heading2"/>
        <w:rPr>
          <w:color w:val="404040"/>
          <w:sz w:val="28"/>
          <w:szCs w:val="28"/>
        </w:rPr>
      </w:pPr>
    </w:p>
    <w:p w:rsidR="00E46EA6" w:rsidRPr="00790DCE" w:rsidRDefault="00E46EA6" w:rsidP="00E46EA6">
      <w:pPr>
        <w:pStyle w:val="Heading2"/>
        <w:rPr>
          <w:color w:val="404040"/>
          <w:sz w:val="28"/>
          <w:szCs w:val="28"/>
        </w:rPr>
      </w:pPr>
      <w:r w:rsidRPr="00790DCE">
        <w:rPr>
          <w:color w:val="404040"/>
          <w:sz w:val="28"/>
          <w:szCs w:val="28"/>
        </w:rPr>
        <w:t xml:space="preserve">Part 1—Preliminary </w:t>
      </w:r>
    </w:p>
    <w:p w:rsidR="00E46EA6" w:rsidRPr="00790DCE" w:rsidRDefault="00E46EA6" w:rsidP="00E46EA6">
      <w:pPr>
        <w:rPr>
          <w:b/>
          <w:color w:val="404040"/>
          <w:u w:val="single"/>
        </w:rPr>
      </w:pPr>
      <w:r w:rsidRPr="00790DCE">
        <w:rPr>
          <w:b/>
          <w:color w:val="404040"/>
          <w:u w:val="single"/>
        </w:rPr>
        <w:t xml:space="preserve">Division 1—Arrangements </w:t>
      </w:r>
      <w:r w:rsidR="00ED5223" w:rsidRPr="00790DCE">
        <w:rPr>
          <w:b/>
          <w:color w:val="404040"/>
          <w:u w:val="single"/>
        </w:rPr>
        <w:t>on commencement</w:t>
      </w:r>
      <w:r w:rsidRPr="00790DCE">
        <w:rPr>
          <w:b/>
          <w:color w:val="404040"/>
          <w:u w:val="single"/>
        </w:rPr>
        <w:t xml:space="preserve"> </w:t>
      </w:r>
    </w:p>
    <w:p w:rsidR="00E46EA6" w:rsidRPr="00790DCE" w:rsidRDefault="00CE50CD" w:rsidP="00E46EA6">
      <w:pPr>
        <w:rPr>
          <w:b/>
          <w:color w:val="404040"/>
        </w:rPr>
      </w:pPr>
      <w:r w:rsidRPr="00790DCE">
        <w:rPr>
          <w:b/>
          <w:color w:val="404040"/>
        </w:rPr>
        <w:t>SVR</w:t>
      </w:r>
      <w:r w:rsidR="00E46EA6" w:rsidRPr="00790DCE">
        <w:rPr>
          <w:b/>
          <w:color w:val="404040"/>
        </w:rPr>
        <w:t xml:space="preserve"> 1: Name of Standards</w:t>
      </w:r>
      <w:r w:rsidR="00E46EA6" w:rsidRPr="00790DCE">
        <w:rPr>
          <w:b/>
          <w:color w:val="404040"/>
        </w:rPr>
        <w:br/>
      </w:r>
      <w:r w:rsidRPr="00790DCE">
        <w:rPr>
          <w:color w:val="404040"/>
        </w:rPr>
        <w:t>SVR</w:t>
      </w:r>
      <w:r w:rsidR="00E46EA6" w:rsidRPr="00790DCE">
        <w:rPr>
          <w:color w:val="404040"/>
        </w:rPr>
        <w:t xml:space="preserve"> 1 names the </w:t>
      </w:r>
      <w:r w:rsidR="00ED5223" w:rsidRPr="00790DCE">
        <w:rPr>
          <w:color w:val="404040"/>
        </w:rPr>
        <w:t>Standards for VET Regulators 2011.</w:t>
      </w:r>
    </w:p>
    <w:p w:rsidR="00E46EA6" w:rsidRPr="00790DCE" w:rsidRDefault="00CE50CD" w:rsidP="00E46EA6">
      <w:pPr>
        <w:rPr>
          <w:b/>
          <w:color w:val="404040"/>
        </w:rPr>
      </w:pPr>
      <w:r w:rsidRPr="00790DCE">
        <w:rPr>
          <w:b/>
          <w:color w:val="404040"/>
        </w:rPr>
        <w:t>SVR</w:t>
      </w:r>
      <w:r w:rsidR="00E46EA6" w:rsidRPr="00790DCE">
        <w:rPr>
          <w:b/>
          <w:color w:val="404040"/>
        </w:rPr>
        <w:t xml:space="preserve"> 2: Commencement</w:t>
      </w:r>
      <w:r w:rsidR="00E46EA6" w:rsidRPr="00790DCE">
        <w:rPr>
          <w:b/>
          <w:color w:val="404040"/>
        </w:rPr>
        <w:br/>
      </w:r>
      <w:r w:rsidRPr="00790DCE">
        <w:rPr>
          <w:color w:val="404040"/>
        </w:rPr>
        <w:t>SVR</w:t>
      </w:r>
      <w:r w:rsidR="00E46EA6" w:rsidRPr="00790DCE">
        <w:rPr>
          <w:color w:val="404040"/>
        </w:rPr>
        <w:t xml:space="preserve"> 2 provides that the </w:t>
      </w:r>
      <w:r w:rsidR="00A6692C">
        <w:rPr>
          <w:color w:val="404040"/>
        </w:rPr>
        <w:t>Standards</w:t>
      </w:r>
      <w:r w:rsidR="00E46EA6" w:rsidRPr="00790DCE">
        <w:rPr>
          <w:color w:val="404040"/>
        </w:rPr>
        <w:t xml:space="preserve"> commence on </w:t>
      </w:r>
      <w:r w:rsidR="00ED5223" w:rsidRPr="00790DCE">
        <w:rPr>
          <w:color w:val="404040"/>
        </w:rPr>
        <w:t xml:space="preserve">the later of </w:t>
      </w:r>
      <w:r w:rsidR="00AD6886" w:rsidRPr="00790DCE">
        <w:rPr>
          <w:color w:val="404040"/>
        </w:rPr>
        <w:t>1 July 2011</w:t>
      </w:r>
      <w:r w:rsidR="00ED5223" w:rsidRPr="00790DCE">
        <w:rPr>
          <w:color w:val="404040"/>
        </w:rPr>
        <w:t xml:space="preserve"> or the day after registration on the Federal Register of Legislative Instruments.</w:t>
      </w:r>
    </w:p>
    <w:p w:rsidR="00E46EA6" w:rsidRPr="00790DCE" w:rsidRDefault="00CE50CD" w:rsidP="00E46EA6">
      <w:pPr>
        <w:rPr>
          <w:b/>
          <w:color w:val="404040"/>
        </w:rPr>
      </w:pPr>
      <w:r w:rsidRPr="00790DCE">
        <w:rPr>
          <w:b/>
          <w:color w:val="404040"/>
        </w:rPr>
        <w:t>SVR</w:t>
      </w:r>
      <w:r w:rsidR="00E46EA6" w:rsidRPr="00790DCE">
        <w:rPr>
          <w:b/>
          <w:color w:val="404040"/>
        </w:rPr>
        <w:t xml:space="preserve"> 3: Definitions</w:t>
      </w:r>
      <w:r w:rsidR="00E46EA6" w:rsidRPr="00790DCE">
        <w:rPr>
          <w:b/>
          <w:color w:val="404040"/>
        </w:rPr>
        <w:br/>
      </w:r>
      <w:r w:rsidRPr="00790DCE">
        <w:rPr>
          <w:color w:val="404040"/>
        </w:rPr>
        <w:t>SVR</w:t>
      </w:r>
      <w:r w:rsidR="00E46EA6" w:rsidRPr="00790DCE">
        <w:rPr>
          <w:color w:val="404040"/>
        </w:rPr>
        <w:t xml:space="preserve"> 3 defines terms used throughout the </w:t>
      </w:r>
      <w:r w:rsidR="00ED5223" w:rsidRPr="00790DCE">
        <w:rPr>
          <w:color w:val="404040"/>
        </w:rPr>
        <w:t>Standards</w:t>
      </w:r>
      <w:r w:rsidR="0028326B" w:rsidRPr="00790DCE">
        <w:rPr>
          <w:color w:val="404040"/>
        </w:rPr>
        <w:t>.</w:t>
      </w:r>
    </w:p>
    <w:p w:rsidR="00E46EA6" w:rsidRPr="00790DCE" w:rsidRDefault="00E46EA6" w:rsidP="00E46EA6">
      <w:pPr>
        <w:pStyle w:val="Heading2"/>
        <w:rPr>
          <w:rFonts w:ascii="HelveticaNeueLT Std Lt" w:hAnsi="HelveticaNeueLT Std Lt"/>
          <w:color w:val="404040"/>
          <w:sz w:val="28"/>
          <w:szCs w:val="28"/>
        </w:rPr>
      </w:pPr>
    </w:p>
    <w:p w:rsidR="00E46EA6" w:rsidRPr="00790DCE" w:rsidRDefault="00E46EA6" w:rsidP="00E46EA6">
      <w:pPr>
        <w:pStyle w:val="Heading2"/>
        <w:rPr>
          <w:rFonts w:ascii="HelveticaNeueLT Std Lt" w:hAnsi="HelveticaNeueLT Std Lt"/>
          <w:color w:val="404040"/>
          <w:sz w:val="28"/>
          <w:szCs w:val="28"/>
        </w:rPr>
      </w:pPr>
      <w:r w:rsidRPr="00790DCE">
        <w:rPr>
          <w:rFonts w:ascii="HelveticaNeueLT Std Lt" w:hAnsi="HelveticaNeueLT Std Lt"/>
          <w:color w:val="404040"/>
          <w:sz w:val="28"/>
          <w:szCs w:val="28"/>
        </w:rPr>
        <w:t>Part 2—Introduction and purpose</w:t>
      </w:r>
    </w:p>
    <w:p w:rsidR="00A32930" w:rsidRPr="00790DCE" w:rsidRDefault="00CE50CD" w:rsidP="00E46EA6">
      <w:pPr>
        <w:rPr>
          <w:color w:val="404040"/>
        </w:rPr>
      </w:pPr>
      <w:r w:rsidRPr="00790DCE">
        <w:rPr>
          <w:b/>
          <w:color w:val="404040"/>
        </w:rPr>
        <w:t>SVR</w:t>
      </w:r>
      <w:r w:rsidR="00E46EA6" w:rsidRPr="00790DCE">
        <w:rPr>
          <w:b/>
          <w:color w:val="404040"/>
        </w:rPr>
        <w:t xml:space="preserve"> 4: </w:t>
      </w:r>
      <w:r w:rsidR="00A32930" w:rsidRPr="00790DCE">
        <w:rPr>
          <w:b/>
          <w:color w:val="404040"/>
        </w:rPr>
        <w:t>Regulatory activities must ensure nationally consistent registration outcomes.</w:t>
      </w:r>
      <w:r w:rsidR="00E46EA6" w:rsidRPr="00790DCE">
        <w:rPr>
          <w:b/>
          <w:color w:val="404040"/>
        </w:rPr>
        <w:br/>
      </w:r>
      <w:r w:rsidRPr="00790DCE">
        <w:rPr>
          <w:color w:val="404040"/>
        </w:rPr>
        <w:t>SVR</w:t>
      </w:r>
      <w:r w:rsidR="00E46EA6" w:rsidRPr="00790DCE">
        <w:rPr>
          <w:color w:val="404040"/>
        </w:rPr>
        <w:t xml:space="preserve"> 4 </w:t>
      </w:r>
      <w:r w:rsidR="00A32930" w:rsidRPr="00790DCE">
        <w:rPr>
          <w:color w:val="404040"/>
        </w:rPr>
        <w:t xml:space="preserve">set out requirements to assist with a nationally consistent approach to registration undertaken under the </w:t>
      </w:r>
      <w:r w:rsidR="00EB20EA" w:rsidRPr="00790DCE">
        <w:rPr>
          <w:color w:val="404040"/>
        </w:rPr>
        <w:t>Act</w:t>
      </w:r>
      <w:r w:rsidR="00A32930" w:rsidRPr="00790DCE">
        <w:rPr>
          <w:color w:val="404040"/>
        </w:rPr>
        <w:t xml:space="preserve">. </w:t>
      </w:r>
    </w:p>
    <w:p w:rsidR="00E46EA6" w:rsidRPr="00790DCE" w:rsidRDefault="00CE50CD" w:rsidP="00E46EA6">
      <w:pPr>
        <w:rPr>
          <w:color w:val="404040"/>
        </w:rPr>
      </w:pPr>
      <w:r w:rsidRPr="00790DCE">
        <w:rPr>
          <w:b/>
          <w:color w:val="404040"/>
        </w:rPr>
        <w:t>SVR</w:t>
      </w:r>
      <w:r w:rsidR="00E46EA6" w:rsidRPr="00790DCE">
        <w:rPr>
          <w:b/>
          <w:color w:val="404040"/>
        </w:rPr>
        <w:t xml:space="preserve"> 5: </w:t>
      </w:r>
      <w:r w:rsidR="00A32930" w:rsidRPr="00790DCE">
        <w:rPr>
          <w:b/>
          <w:color w:val="404040"/>
        </w:rPr>
        <w:t>Regulatory services must meet the needs of industry and clients.</w:t>
      </w:r>
      <w:r w:rsidR="00E46EA6" w:rsidRPr="00790DCE">
        <w:rPr>
          <w:b/>
          <w:color w:val="404040"/>
        </w:rPr>
        <w:t xml:space="preserve"> </w:t>
      </w:r>
      <w:r w:rsidR="00E46EA6" w:rsidRPr="00790DCE">
        <w:rPr>
          <w:b/>
          <w:color w:val="404040"/>
        </w:rPr>
        <w:br/>
      </w:r>
      <w:r w:rsidRPr="00790DCE">
        <w:rPr>
          <w:color w:val="404040"/>
        </w:rPr>
        <w:t>SVR</w:t>
      </w:r>
      <w:r w:rsidR="00E46EA6" w:rsidRPr="00790DCE">
        <w:rPr>
          <w:color w:val="404040"/>
        </w:rPr>
        <w:t xml:space="preserve"> 5 sets out </w:t>
      </w:r>
      <w:r w:rsidR="00A32930" w:rsidRPr="00790DCE">
        <w:rPr>
          <w:color w:val="404040"/>
        </w:rPr>
        <w:t xml:space="preserve">a requirement for a strategy to engage with and act on information provided by industry and clients. </w:t>
      </w:r>
    </w:p>
    <w:p w:rsidR="00A32930" w:rsidRPr="00790DCE" w:rsidRDefault="00A32930" w:rsidP="00A32930">
      <w:pPr>
        <w:rPr>
          <w:color w:val="404040"/>
        </w:rPr>
      </w:pPr>
      <w:r w:rsidRPr="00790DCE">
        <w:rPr>
          <w:b/>
          <w:color w:val="404040"/>
        </w:rPr>
        <w:t xml:space="preserve">SVR 6: Management systems are responsive to the needs of the VET sector. </w:t>
      </w:r>
      <w:r w:rsidRPr="00790DCE">
        <w:rPr>
          <w:b/>
          <w:color w:val="404040"/>
        </w:rPr>
        <w:br/>
      </w:r>
      <w:r w:rsidRPr="00790DCE">
        <w:rPr>
          <w:color w:val="404040"/>
        </w:rPr>
        <w:t>SVR 6</w:t>
      </w:r>
      <w:r w:rsidR="001100AD" w:rsidRPr="00790DCE">
        <w:rPr>
          <w:color w:val="404040"/>
        </w:rPr>
        <w:t xml:space="preserve"> sets out</w:t>
      </w:r>
      <w:r w:rsidRPr="00790DCE">
        <w:rPr>
          <w:color w:val="404040"/>
        </w:rPr>
        <w:t xml:space="preserve"> </w:t>
      </w:r>
      <w:r w:rsidR="001100AD" w:rsidRPr="00790DCE">
        <w:rPr>
          <w:color w:val="404040"/>
        </w:rPr>
        <w:t xml:space="preserve">requirements that VET Regulators must take into consideration to ensure that the management approach taken by the VET Regulator takes into account the needs of the VET sector and is consistently applied nationally. </w:t>
      </w:r>
    </w:p>
    <w:p w:rsidR="00A32930" w:rsidRPr="00790DCE" w:rsidRDefault="00A32930" w:rsidP="00A32930">
      <w:pPr>
        <w:rPr>
          <w:color w:val="404040"/>
        </w:rPr>
      </w:pPr>
      <w:r w:rsidRPr="00790DCE">
        <w:rPr>
          <w:b/>
          <w:color w:val="404040"/>
        </w:rPr>
        <w:t xml:space="preserve">SVR 7: Requirements for undertaking registration functions </w:t>
      </w:r>
      <w:r w:rsidRPr="00790DCE">
        <w:rPr>
          <w:b/>
          <w:color w:val="404040"/>
        </w:rPr>
        <w:br/>
      </w:r>
      <w:r w:rsidRPr="00790DCE">
        <w:rPr>
          <w:color w:val="404040"/>
        </w:rPr>
        <w:t>SVR 7</w:t>
      </w:r>
      <w:r w:rsidR="00457F04" w:rsidRPr="00790DCE">
        <w:rPr>
          <w:color w:val="404040"/>
        </w:rPr>
        <w:t xml:space="preserve"> identifies that auditors, technical advisors and audit teams must meet national competency requirements agreed by the Ministerial Council</w:t>
      </w:r>
      <w:r w:rsidR="0028326B" w:rsidRPr="00790DCE">
        <w:rPr>
          <w:color w:val="404040"/>
        </w:rPr>
        <w:t>, or its delegate</w:t>
      </w:r>
      <w:r w:rsidR="00457F04" w:rsidRPr="00790DCE">
        <w:rPr>
          <w:color w:val="404040"/>
        </w:rPr>
        <w:t>.</w:t>
      </w:r>
      <w:r w:rsidR="0028326B" w:rsidRPr="00790DCE">
        <w:rPr>
          <w:color w:val="404040"/>
        </w:rPr>
        <w:t xml:space="preserve"> </w:t>
      </w:r>
      <w:r w:rsidR="00457F04" w:rsidRPr="00790DCE">
        <w:rPr>
          <w:color w:val="404040"/>
        </w:rPr>
        <w:t>It also clarifies that persons making decisions about registration are separate from persons undertaking audit functions.</w:t>
      </w:r>
    </w:p>
    <w:p w:rsidR="00A32930" w:rsidRPr="00790DCE" w:rsidRDefault="00A32930" w:rsidP="00E46EA6">
      <w:pPr>
        <w:rPr>
          <w:color w:val="404040"/>
        </w:rPr>
      </w:pPr>
    </w:p>
    <w:p w:rsidR="00E46EA6" w:rsidRPr="00790DCE" w:rsidRDefault="00E46EA6" w:rsidP="00E46EA6">
      <w:pPr>
        <w:spacing w:after="240"/>
        <w:rPr>
          <w:b/>
          <w:color w:val="404040"/>
          <w:sz w:val="28"/>
          <w:szCs w:val="28"/>
        </w:rPr>
      </w:pPr>
      <w:r w:rsidRPr="00790DCE">
        <w:rPr>
          <w:b/>
          <w:color w:val="404040"/>
          <w:sz w:val="28"/>
          <w:szCs w:val="28"/>
        </w:rPr>
        <w:t xml:space="preserve">Part 3 – </w:t>
      </w:r>
      <w:r w:rsidR="00A32930" w:rsidRPr="00790DCE">
        <w:rPr>
          <w:b/>
          <w:color w:val="404040"/>
          <w:sz w:val="28"/>
          <w:szCs w:val="28"/>
        </w:rPr>
        <w:t>Standards for accrediting courses</w:t>
      </w:r>
    </w:p>
    <w:p w:rsidR="00E46EA6" w:rsidRPr="00790DCE" w:rsidRDefault="00CE50CD" w:rsidP="00E46EA6">
      <w:pPr>
        <w:rPr>
          <w:color w:val="404040"/>
        </w:rPr>
      </w:pPr>
      <w:r w:rsidRPr="00790DCE">
        <w:rPr>
          <w:b/>
          <w:color w:val="404040"/>
        </w:rPr>
        <w:t>SVR</w:t>
      </w:r>
      <w:r w:rsidR="00A32930" w:rsidRPr="00790DCE">
        <w:rPr>
          <w:b/>
          <w:color w:val="404040"/>
        </w:rPr>
        <w:t xml:space="preserve"> 8</w:t>
      </w:r>
      <w:r w:rsidR="00E46EA6" w:rsidRPr="00790DCE">
        <w:rPr>
          <w:b/>
          <w:color w:val="404040"/>
        </w:rPr>
        <w:t xml:space="preserve">: </w:t>
      </w:r>
      <w:r w:rsidR="00A32930" w:rsidRPr="00790DCE">
        <w:rPr>
          <w:b/>
          <w:color w:val="404040"/>
        </w:rPr>
        <w:t>Course accrediting activities ensure nationally consistent outcomes</w:t>
      </w:r>
      <w:r w:rsidR="00E46EA6" w:rsidRPr="00790DCE">
        <w:rPr>
          <w:b/>
          <w:color w:val="404040"/>
        </w:rPr>
        <w:t xml:space="preserve"> </w:t>
      </w:r>
      <w:r w:rsidR="00E46EA6" w:rsidRPr="00790DCE">
        <w:rPr>
          <w:b/>
          <w:color w:val="404040"/>
        </w:rPr>
        <w:br/>
      </w:r>
      <w:r w:rsidRPr="00790DCE">
        <w:rPr>
          <w:color w:val="404040"/>
        </w:rPr>
        <w:t>SVR</w:t>
      </w:r>
      <w:r w:rsidR="00E46EA6" w:rsidRPr="00790DCE">
        <w:rPr>
          <w:color w:val="404040"/>
        </w:rPr>
        <w:t xml:space="preserve"> </w:t>
      </w:r>
      <w:r w:rsidR="00A32930" w:rsidRPr="00790DCE">
        <w:rPr>
          <w:color w:val="404040"/>
        </w:rPr>
        <w:t>8</w:t>
      </w:r>
      <w:r w:rsidR="00E46EA6" w:rsidRPr="00790DCE">
        <w:rPr>
          <w:color w:val="404040"/>
        </w:rPr>
        <w:t xml:space="preserve"> </w:t>
      </w:r>
      <w:r w:rsidR="00A32930" w:rsidRPr="00790DCE">
        <w:rPr>
          <w:color w:val="404040"/>
        </w:rPr>
        <w:t>sets out</w:t>
      </w:r>
      <w:r w:rsidR="00457F04" w:rsidRPr="00790DCE">
        <w:rPr>
          <w:color w:val="404040"/>
        </w:rPr>
        <w:t xml:space="preserve"> requirements that the VET Regulator must take into consideration to ensure nationally consistent approach to the accreditation of courses under the </w:t>
      </w:r>
      <w:r w:rsidR="00EB20EA" w:rsidRPr="00790DCE">
        <w:rPr>
          <w:color w:val="404040"/>
        </w:rPr>
        <w:t>Act</w:t>
      </w:r>
      <w:r w:rsidR="00457F04" w:rsidRPr="00790DCE">
        <w:rPr>
          <w:color w:val="404040"/>
        </w:rPr>
        <w:t xml:space="preserve">. </w:t>
      </w:r>
    </w:p>
    <w:p w:rsidR="00A32930" w:rsidRPr="00790DCE" w:rsidRDefault="00CE50CD" w:rsidP="00E46EA6">
      <w:pPr>
        <w:rPr>
          <w:color w:val="404040"/>
        </w:rPr>
      </w:pPr>
      <w:r w:rsidRPr="00790DCE">
        <w:rPr>
          <w:b/>
          <w:color w:val="404040"/>
        </w:rPr>
        <w:t>SVR</w:t>
      </w:r>
      <w:r w:rsidR="00E46EA6" w:rsidRPr="00790DCE">
        <w:rPr>
          <w:b/>
          <w:color w:val="404040"/>
        </w:rPr>
        <w:t xml:space="preserve"> </w:t>
      </w:r>
      <w:r w:rsidR="00A32930" w:rsidRPr="00790DCE">
        <w:rPr>
          <w:b/>
          <w:color w:val="404040"/>
        </w:rPr>
        <w:t>9</w:t>
      </w:r>
      <w:r w:rsidR="00E46EA6" w:rsidRPr="00790DCE">
        <w:rPr>
          <w:b/>
          <w:color w:val="404040"/>
        </w:rPr>
        <w:t xml:space="preserve">: </w:t>
      </w:r>
      <w:r w:rsidR="00A32930" w:rsidRPr="00790DCE">
        <w:rPr>
          <w:b/>
          <w:color w:val="404040"/>
        </w:rPr>
        <w:t>Accreditation services meet the needs of industry and clients</w:t>
      </w:r>
      <w:r w:rsidR="00E46EA6" w:rsidRPr="00790DCE">
        <w:rPr>
          <w:b/>
          <w:color w:val="404040"/>
        </w:rPr>
        <w:t xml:space="preserve"> </w:t>
      </w:r>
      <w:r w:rsidR="00E46EA6" w:rsidRPr="00790DCE">
        <w:rPr>
          <w:b/>
          <w:color w:val="404040"/>
        </w:rPr>
        <w:br/>
      </w:r>
      <w:r w:rsidRPr="00790DCE">
        <w:rPr>
          <w:color w:val="404040"/>
        </w:rPr>
        <w:t>SVR</w:t>
      </w:r>
      <w:r w:rsidR="00E46EA6" w:rsidRPr="00790DCE">
        <w:rPr>
          <w:color w:val="404040"/>
        </w:rPr>
        <w:t xml:space="preserve"> 7 sets out</w:t>
      </w:r>
      <w:r w:rsidR="00457F04" w:rsidRPr="00790DCE">
        <w:rPr>
          <w:color w:val="404040"/>
        </w:rPr>
        <w:t xml:space="preserve"> communication requirements to engage with, and act on, information provided by industry, clients and stakeholders. </w:t>
      </w:r>
    </w:p>
    <w:p w:rsidR="00A32930" w:rsidRPr="00790DCE" w:rsidRDefault="00A32930" w:rsidP="00A32930">
      <w:pPr>
        <w:rPr>
          <w:color w:val="404040"/>
        </w:rPr>
      </w:pPr>
      <w:r w:rsidRPr="00790DCE">
        <w:rPr>
          <w:b/>
          <w:color w:val="404040"/>
        </w:rPr>
        <w:t xml:space="preserve">SVR 10: Management systems are responsive to the needs of the VET sector </w:t>
      </w:r>
      <w:r w:rsidRPr="00790DCE">
        <w:rPr>
          <w:b/>
          <w:color w:val="404040"/>
        </w:rPr>
        <w:br/>
      </w:r>
      <w:r w:rsidRPr="00790DCE">
        <w:rPr>
          <w:color w:val="404040"/>
        </w:rPr>
        <w:t>SVR 10 sets out</w:t>
      </w:r>
      <w:r w:rsidR="00457F04" w:rsidRPr="00790DCE">
        <w:rPr>
          <w:color w:val="404040"/>
        </w:rPr>
        <w:t xml:space="preserve"> </w:t>
      </w:r>
      <w:r w:rsidR="001B3DF1" w:rsidRPr="00790DCE">
        <w:rPr>
          <w:color w:val="404040"/>
        </w:rPr>
        <w:t xml:space="preserve">requirements </w:t>
      </w:r>
      <w:r w:rsidR="001100AD" w:rsidRPr="00790DCE">
        <w:rPr>
          <w:color w:val="404040"/>
        </w:rPr>
        <w:t>that VET Regulators</w:t>
      </w:r>
      <w:r w:rsidR="001B3DF1" w:rsidRPr="00790DCE">
        <w:rPr>
          <w:color w:val="404040"/>
        </w:rPr>
        <w:t xml:space="preserve"> </w:t>
      </w:r>
      <w:r w:rsidR="001100AD" w:rsidRPr="00790DCE">
        <w:rPr>
          <w:color w:val="404040"/>
        </w:rPr>
        <w:t xml:space="preserve">must take into consideration </w:t>
      </w:r>
      <w:r w:rsidR="001B3DF1" w:rsidRPr="00790DCE">
        <w:rPr>
          <w:color w:val="404040"/>
        </w:rPr>
        <w:t>to ensure that the management approach take</w:t>
      </w:r>
      <w:r w:rsidR="001100AD" w:rsidRPr="00790DCE">
        <w:rPr>
          <w:color w:val="404040"/>
        </w:rPr>
        <w:t>n by the VET Regulator takes</w:t>
      </w:r>
      <w:r w:rsidR="001B3DF1" w:rsidRPr="00790DCE">
        <w:rPr>
          <w:color w:val="404040"/>
        </w:rPr>
        <w:t xml:space="preserve"> into account the needs of the VET sector and is consistently applied nationally. </w:t>
      </w:r>
    </w:p>
    <w:p w:rsidR="00A32930" w:rsidRPr="00790DCE" w:rsidRDefault="00A32930" w:rsidP="00A32930">
      <w:pPr>
        <w:rPr>
          <w:color w:val="404040"/>
        </w:rPr>
      </w:pPr>
      <w:r w:rsidRPr="00790DCE">
        <w:rPr>
          <w:b/>
          <w:color w:val="404040"/>
        </w:rPr>
        <w:t xml:space="preserve">SVR 11: </w:t>
      </w:r>
      <w:r w:rsidR="009B2F49" w:rsidRPr="00790DCE">
        <w:rPr>
          <w:b/>
          <w:color w:val="404040"/>
        </w:rPr>
        <w:t>Requirements</w:t>
      </w:r>
      <w:r w:rsidRPr="00790DCE">
        <w:rPr>
          <w:b/>
          <w:color w:val="404040"/>
        </w:rPr>
        <w:t xml:space="preserve"> for undertaking accreditation functions </w:t>
      </w:r>
      <w:r w:rsidRPr="00790DCE">
        <w:rPr>
          <w:b/>
          <w:color w:val="404040"/>
        </w:rPr>
        <w:br/>
      </w:r>
      <w:r w:rsidRPr="00790DCE">
        <w:rPr>
          <w:color w:val="404040"/>
        </w:rPr>
        <w:t xml:space="preserve">SVR 11 sets </w:t>
      </w:r>
      <w:r w:rsidR="001B3DF1" w:rsidRPr="00790DCE">
        <w:rPr>
          <w:color w:val="404040"/>
        </w:rPr>
        <w:t xml:space="preserve">out requirements for courses that are to be accredited by the VET Regulator. It also clarifies the minimum knowledge requirements of persons assessing courses seeking accreditation. It clarifies that the person making a decision about the accreditation of a course is separate from the person assessing the course.  It also clarifies the national approach to changes to accredited courses during the VET course accreditation period. </w:t>
      </w:r>
    </w:p>
    <w:p w:rsidR="00E46EA6" w:rsidRPr="00790DCE" w:rsidRDefault="00E46EA6" w:rsidP="00E46EA6">
      <w:pPr>
        <w:rPr>
          <w:color w:val="404040"/>
        </w:rPr>
      </w:pPr>
      <w:r w:rsidRPr="00790DCE">
        <w:rPr>
          <w:color w:val="404040"/>
        </w:rPr>
        <w:t>.</w:t>
      </w:r>
    </w:p>
    <w:p w:rsidR="00E46EA6" w:rsidRPr="00790DCE" w:rsidRDefault="00E46EA6" w:rsidP="00E46EA6">
      <w:pPr>
        <w:pStyle w:val="Heading2"/>
        <w:rPr>
          <w:rFonts w:ascii="HelveticaNeueLT Std Lt" w:hAnsi="HelveticaNeueLT Std Lt"/>
          <w:color w:val="404040"/>
          <w:sz w:val="28"/>
          <w:szCs w:val="28"/>
        </w:rPr>
      </w:pPr>
      <w:r w:rsidRPr="00790DCE">
        <w:rPr>
          <w:rFonts w:ascii="HelveticaNeueLT Std Lt" w:hAnsi="HelveticaNeueLT Std Lt"/>
          <w:color w:val="404040"/>
          <w:sz w:val="28"/>
          <w:szCs w:val="28"/>
        </w:rPr>
        <w:t xml:space="preserve">Part 4 – </w:t>
      </w:r>
      <w:r w:rsidR="0046439A" w:rsidRPr="00790DCE">
        <w:rPr>
          <w:rFonts w:ascii="HelveticaNeueLT Std Lt" w:hAnsi="HelveticaNeueLT Std Lt"/>
          <w:color w:val="404040"/>
          <w:sz w:val="28"/>
          <w:szCs w:val="28"/>
        </w:rPr>
        <w:t>Quality Indicators</w:t>
      </w:r>
    </w:p>
    <w:p w:rsidR="0046439A" w:rsidRPr="00790DCE" w:rsidRDefault="0046439A" w:rsidP="00E46EA6">
      <w:pPr>
        <w:rPr>
          <w:color w:val="404040"/>
        </w:rPr>
      </w:pPr>
      <w:r w:rsidRPr="00790DCE">
        <w:rPr>
          <w:color w:val="404040"/>
        </w:rPr>
        <w:t xml:space="preserve">Part 4 identifies the quality indicators used to assess performance of a VET Regulator against the SVR. </w:t>
      </w:r>
    </w:p>
    <w:p w:rsidR="00E46EA6" w:rsidRPr="00790DCE" w:rsidRDefault="00CE50CD" w:rsidP="00E46EA6">
      <w:pPr>
        <w:rPr>
          <w:color w:val="404040"/>
        </w:rPr>
      </w:pPr>
      <w:r w:rsidRPr="00790DCE">
        <w:rPr>
          <w:b/>
          <w:color w:val="404040"/>
        </w:rPr>
        <w:t>SVR</w:t>
      </w:r>
      <w:r w:rsidR="00E46EA6" w:rsidRPr="00790DCE">
        <w:rPr>
          <w:b/>
          <w:color w:val="404040"/>
        </w:rPr>
        <w:t xml:space="preserve"> </w:t>
      </w:r>
      <w:r w:rsidR="0046439A" w:rsidRPr="00790DCE">
        <w:rPr>
          <w:b/>
          <w:color w:val="404040"/>
        </w:rPr>
        <w:t>12</w:t>
      </w:r>
      <w:r w:rsidR="00E46EA6" w:rsidRPr="00790DCE">
        <w:rPr>
          <w:b/>
          <w:color w:val="404040"/>
        </w:rPr>
        <w:t xml:space="preserve">: </w:t>
      </w:r>
      <w:r w:rsidR="0046439A" w:rsidRPr="00790DCE">
        <w:rPr>
          <w:b/>
          <w:color w:val="404040"/>
        </w:rPr>
        <w:t>Consistency</w:t>
      </w:r>
      <w:r w:rsidR="00E46EA6" w:rsidRPr="00790DCE">
        <w:rPr>
          <w:b/>
          <w:color w:val="404040"/>
        </w:rPr>
        <w:br/>
      </w:r>
      <w:r w:rsidRPr="00790DCE">
        <w:rPr>
          <w:color w:val="404040"/>
        </w:rPr>
        <w:t>SVR</w:t>
      </w:r>
      <w:r w:rsidR="00E46EA6" w:rsidRPr="00790DCE">
        <w:rPr>
          <w:color w:val="404040"/>
        </w:rPr>
        <w:t xml:space="preserve"> </w:t>
      </w:r>
      <w:r w:rsidR="0046439A" w:rsidRPr="00790DCE">
        <w:rPr>
          <w:color w:val="404040"/>
        </w:rPr>
        <w:t>12</w:t>
      </w:r>
      <w:r w:rsidR="00E46EA6" w:rsidRPr="00790DCE">
        <w:rPr>
          <w:color w:val="404040"/>
        </w:rPr>
        <w:t xml:space="preserve"> </w:t>
      </w:r>
      <w:r w:rsidR="00137109" w:rsidRPr="00790DCE">
        <w:rPr>
          <w:color w:val="404040"/>
        </w:rPr>
        <w:t xml:space="preserve">identifies a quality indicator about regulatory and accreditation processes and outcomes that are nationally consistent. </w:t>
      </w:r>
    </w:p>
    <w:p w:rsidR="0046439A" w:rsidRPr="00790DCE" w:rsidRDefault="0046439A" w:rsidP="00137109">
      <w:pPr>
        <w:spacing w:after="0"/>
        <w:rPr>
          <w:b/>
          <w:color w:val="404040"/>
        </w:rPr>
      </w:pPr>
      <w:r w:rsidRPr="00790DCE">
        <w:rPr>
          <w:b/>
          <w:color w:val="404040"/>
        </w:rPr>
        <w:t>SVR 13: Effectiveness</w:t>
      </w:r>
    </w:p>
    <w:p w:rsidR="0046439A" w:rsidRPr="00790DCE" w:rsidRDefault="0046439A" w:rsidP="0046439A">
      <w:pPr>
        <w:rPr>
          <w:color w:val="404040"/>
        </w:rPr>
      </w:pPr>
      <w:r w:rsidRPr="00790DCE">
        <w:rPr>
          <w:color w:val="404040"/>
        </w:rPr>
        <w:t xml:space="preserve">SVR 13 identifies </w:t>
      </w:r>
      <w:r w:rsidR="00137109" w:rsidRPr="00790DCE">
        <w:rPr>
          <w:color w:val="404040"/>
        </w:rPr>
        <w:t xml:space="preserve">a quality indicator about effective regulation and accreditation. </w:t>
      </w:r>
    </w:p>
    <w:p w:rsidR="0046439A" w:rsidRPr="00790DCE" w:rsidRDefault="0046439A" w:rsidP="0046439A">
      <w:pPr>
        <w:rPr>
          <w:color w:val="404040"/>
        </w:rPr>
      </w:pPr>
      <w:r w:rsidRPr="00790DCE">
        <w:rPr>
          <w:b/>
          <w:color w:val="404040"/>
        </w:rPr>
        <w:t>SVR 14: Proportionality</w:t>
      </w:r>
      <w:r w:rsidRPr="00790DCE">
        <w:rPr>
          <w:b/>
          <w:color w:val="404040"/>
        </w:rPr>
        <w:br/>
      </w:r>
      <w:r w:rsidRPr="00790DCE">
        <w:rPr>
          <w:color w:val="404040"/>
        </w:rPr>
        <w:t xml:space="preserve">SVR 14 identifies </w:t>
      </w:r>
      <w:r w:rsidR="00137109" w:rsidRPr="00790DCE">
        <w:rPr>
          <w:color w:val="404040"/>
        </w:rPr>
        <w:t>a quality indicator about proportionate regulatory processes.</w:t>
      </w:r>
    </w:p>
    <w:p w:rsidR="0046439A" w:rsidRPr="00790DCE" w:rsidRDefault="0046439A" w:rsidP="0046439A">
      <w:pPr>
        <w:rPr>
          <w:color w:val="404040"/>
        </w:rPr>
      </w:pPr>
      <w:r w:rsidRPr="00790DCE">
        <w:rPr>
          <w:b/>
          <w:color w:val="404040"/>
        </w:rPr>
        <w:t>SVR 15: Responsiveness</w:t>
      </w:r>
      <w:r w:rsidRPr="00790DCE">
        <w:rPr>
          <w:b/>
          <w:color w:val="404040"/>
        </w:rPr>
        <w:br/>
      </w:r>
      <w:r w:rsidRPr="00790DCE">
        <w:rPr>
          <w:color w:val="404040"/>
        </w:rPr>
        <w:t xml:space="preserve">SVR 15 identifies </w:t>
      </w:r>
      <w:r w:rsidR="00137109" w:rsidRPr="00790DCE">
        <w:rPr>
          <w:color w:val="404040"/>
        </w:rPr>
        <w:t>a quality indicator about responsive regulatory services.</w:t>
      </w:r>
    </w:p>
    <w:p w:rsidR="00A13E54" w:rsidRPr="00790DCE" w:rsidRDefault="0046439A" w:rsidP="00E46EA6">
      <w:pPr>
        <w:rPr>
          <w:color w:val="404040"/>
        </w:rPr>
      </w:pPr>
      <w:r w:rsidRPr="00790DCE">
        <w:rPr>
          <w:b/>
          <w:color w:val="404040"/>
        </w:rPr>
        <w:t>SVR 16: Transparency</w:t>
      </w:r>
      <w:r w:rsidRPr="00790DCE">
        <w:rPr>
          <w:b/>
          <w:color w:val="404040"/>
        </w:rPr>
        <w:br/>
      </w:r>
      <w:r w:rsidRPr="00790DCE">
        <w:rPr>
          <w:color w:val="404040"/>
        </w:rPr>
        <w:t xml:space="preserve">SVR 16 identifies </w:t>
      </w:r>
      <w:r w:rsidR="00137109" w:rsidRPr="00790DCE">
        <w:rPr>
          <w:color w:val="404040"/>
        </w:rPr>
        <w:t xml:space="preserve">a quality indicator about transparent regulatory services and the need for communication </w:t>
      </w:r>
      <w:r w:rsidR="00CB3771" w:rsidRPr="00790DCE">
        <w:rPr>
          <w:color w:val="404040"/>
        </w:rPr>
        <w:t xml:space="preserve">by the VET Regulator </w:t>
      </w:r>
      <w:r w:rsidR="00137109" w:rsidRPr="00790DCE">
        <w:rPr>
          <w:color w:val="404040"/>
        </w:rPr>
        <w:t xml:space="preserve">with affected persons. </w:t>
      </w:r>
    </w:p>
    <w:p w:rsidR="0046439A" w:rsidRPr="000B5734" w:rsidRDefault="0046439A" w:rsidP="00E46EA6">
      <w:pPr>
        <w:rPr>
          <w:b/>
          <w:color w:val="404040"/>
        </w:rPr>
      </w:pPr>
    </w:p>
    <w:p w:rsidR="00E46EA6" w:rsidRPr="000B5734" w:rsidRDefault="00E46EA6" w:rsidP="00E46EA6">
      <w:pPr>
        <w:rPr>
          <w:b/>
          <w:color w:val="404040"/>
        </w:rPr>
      </w:pPr>
    </w:p>
    <w:p w:rsidR="00A11BD9" w:rsidRPr="000B5734" w:rsidRDefault="00A11BD9" w:rsidP="00A11BD9">
      <w:pPr>
        <w:rPr>
          <w:color w:val="404040"/>
        </w:rPr>
      </w:pPr>
    </w:p>
    <w:sectPr w:rsidR="00A11BD9" w:rsidRPr="000B5734" w:rsidSect="004B6B13">
      <w:headerReference w:type="even" r:id="rId8"/>
      <w:footerReference w:type="even" r:id="rId9"/>
      <w:footerReference w:type="default" r:id="rId10"/>
      <w:footerReference w:type="first" r:id="rId11"/>
      <w:pgSz w:w="11906" w:h="16838" w:code="9"/>
      <w:pgMar w:top="1945" w:right="2506" w:bottom="899" w:left="1134" w:header="709" w:footer="11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5E" w:rsidRDefault="00501A5E">
      <w:r>
        <w:separator/>
      </w:r>
    </w:p>
  </w:endnote>
  <w:endnote w:type="continuationSeparator" w:id="0">
    <w:p w:rsidR="00501A5E" w:rsidRDefault="00501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92" w:type="dxa"/>
      <w:tblLayout w:type="fixed"/>
      <w:tblCellMar>
        <w:left w:w="0" w:type="dxa"/>
        <w:right w:w="0" w:type="dxa"/>
      </w:tblCellMar>
      <w:tblLook w:val="01E0"/>
    </w:tblPr>
    <w:tblGrid>
      <w:gridCol w:w="1311"/>
      <w:gridCol w:w="6381"/>
    </w:tblGrid>
    <w:tr w:rsidR="00ED63B3" w:rsidRPr="00915B1C">
      <w:tc>
        <w:tcPr>
          <w:tcW w:w="1311" w:type="dxa"/>
          <w:tcBorders>
            <w:top w:val="single" w:sz="2" w:space="0" w:color="auto"/>
          </w:tcBorders>
          <w:shd w:val="clear" w:color="auto" w:fill="auto"/>
        </w:tcPr>
        <w:p w:rsidR="00ED63B3" w:rsidRPr="00915B1C" w:rsidRDefault="00ED63B3" w:rsidP="00332011">
          <w:pPr>
            <w:pStyle w:val="Footer"/>
            <w:rPr>
              <w:sz w:val="2"/>
              <w:szCs w:val="2"/>
            </w:rPr>
          </w:pPr>
        </w:p>
      </w:tc>
      <w:tc>
        <w:tcPr>
          <w:tcW w:w="6381" w:type="dxa"/>
          <w:shd w:val="clear" w:color="auto" w:fill="auto"/>
        </w:tcPr>
        <w:p w:rsidR="00ED63B3" w:rsidRPr="00915B1C" w:rsidRDefault="00ED63B3" w:rsidP="00332011">
          <w:pPr>
            <w:pStyle w:val="Footer"/>
            <w:rPr>
              <w:sz w:val="2"/>
              <w:szCs w:val="2"/>
            </w:rPr>
          </w:pPr>
        </w:p>
      </w:tc>
    </w:tr>
    <w:tr w:rsidR="00ED63B3">
      <w:tc>
        <w:tcPr>
          <w:tcW w:w="7692" w:type="dxa"/>
          <w:gridSpan w:val="2"/>
          <w:shd w:val="clear" w:color="auto" w:fill="auto"/>
        </w:tcPr>
        <w:p w:rsidR="00ED63B3" w:rsidRPr="00575AC5" w:rsidRDefault="00ED63B3"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26</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rsidR="00ED63B3" w:rsidRDefault="00ED63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ED63B3" w:rsidRPr="00915B1C">
      <w:tc>
        <w:tcPr>
          <w:tcW w:w="6355" w:type="dxa"/>
          <w:shd w:val="clear" w:color="auto" w:fill="auto"/>
        </w:tcPr>
        <w:p w:rsidR="00ED63B3" w:rsidRPr="00915B1C" w:rsidRDefault="00ED63B3" w:rsidP="00915B1C">
          <w:pPr>
            <w:pStyle w:val="Footer"/>
            <w:ind w:right="28"/>
            <w:jc w:val="right"/>
            <w:rPr>
              <w:sz w:val="2"/>
              <w:szCs w:val="2"/>
            </w:rPr>
          </w:pPr>
        </w:p>
      </w:tc>
      <w:tc>
        <w:tcPr>
          <w:tcW w:w="1328" w:type="dxa"/>
          <w:tcBorders>
            <w:top w:val="single" w:sz="2" w:space="0" w:color="auto"/>
          </w:tcBorders>
          <w:shd w:val="clear" w:color="auto" w:fill="auto"/>
        </w:tcPr>
        <w:p w:rsidR="00ED63B3" w:rsidRPr="00915B1C" w:rsidRDefault="00ED63B3" w:rsidP="00915B1C">
          <w:pPr>
            <w:pStyle w:val="Footer"/>
            <w:ind w:right="28"/>
            <w:jc w:val="right"/>
            <w:rPr>
              <w:sz w:val="2"/>
              <w:szCs w:val="2"/>
            </w:rPr>
          </w:pPr>
        </w:p>
      </w:tc>
    </w:tr>
    <w:tr w:rsidR="00ED63B3">
      <w:tc>
        <w:tcPr>
          <w:tcW w:w="7683" w:type="dxa"/>
          <w:gridSpan w:val="2"/>
          <w:shd w:val="clear" w:color="auto" w:fill="auto"/>
        </w:tcPr>
        <w:p w:rsidR="00ED63B3" w:rsidRPr="00575AC5" w:rsidRDefault="00ED63B3"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B05F7C">
            <w:rPr>
              <w:noProof/>
              <w:color w:val="505050"/>
            </w:rPr>
            <w:t>2</w:t>
          </w:r>
          <w:r w:rsidRPr="00575AC5">
            <w:rPr>
              <w:color w:val="505050"/>
            </w:rPr>
            <w:fldChar w:fldCharType="end"/>
          </w:r>
        </w:p>
      </w:tc>
    </w:tr>
  </w:tbl>
  <w:p w:rsidR="00ED63B3" w:rsidRDefault="00ED63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ED63B3" w:rsidRPr="00915B1C">
      <w:tc>
        <w:tcPr>
          <w:tcW w:w="6355" w:type="dxa"/>
          <w:shd w:val="clear" w:color="auto" w:fill="auto"/>
        </w:tcPr>
        <w:p w:rsidR="00ED63B3" w:rsidRPr="00915B1C" w:rsidRDefault="00ED63B3" w:rsidP="00226C0D">
          <w:pPr>
            <w:pStyle w:val="Footer"/>
            <w:ind w:right="28"/>
            <w:jc w:val="right"/>
            <w:rPr>
              <w:sz w:val="2"/>
              <w:szCs w:val="2"/>
            </w:rPr>
          </w:pPr>
        </w:p>
      </w:tc>
      <w:tc>
        <w:tcPr>
          <w:tcW w:w="1328" w:type="dxa"/>
          <w:tcBorders>
            <w:top w:val="single" w:sz="2" w:space="0" w:color="auto"/>
          </w:tcBorders>
          <w:shd w:val="clear" w:color="auto" w:fill="auto"/>
        </w:tcPr>
        <w:p w:rsidR="00ED63B3" w:rsidRPr="00915B1C" w:rsidRDefault="00ED63B3" w:rsidP="00226C0D">
          <w:pPr>
            <w:pStyle w:val="Footer"/>
            <w:ind w:right="28"/>
            <w:jc w:val="right"/>
            <w:rPr>
              <w:sz w:val="2"/>
              <w:szCs w:val="2"/>
            </w:rPr>
          </w:pPr>
        </w:p>
      </w:tc>
    </w:tr>
    <w:tr w:rsidR="00ED63B3">
      <w:tc>
        <w:tcPr>
          <w:tcW w:w="7683" w:type="dxa"/>
          <w:gridSpan w:val="2"/>
          <w:shd w:val="clear" w:color="auto" w:fill="auto"/>
        </w:tcPr>
        <w:p w:rsidR="00ED63B3" w:rsidRPr="00575AC5" w:rsidRDefault="00ED63B3"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B05F7C">
            <w:rPr>
              <w:noProof/>
              <w:color w:val="505050"/>
            </w:rPr>
            <w:t>1</w:t>
          </w:r>
          <w:r w:rsidRPr="00575AC5">
            <w:rPr>
              <w:color w:val="505050"/>
            </w:rPr>
            <w:fldChar w:fldCharType="end"/>
          </w:r>
        </w:p>
      </w:tc>
    </w:tr>
  </w:tbl>
  <w:p w:rsidR="00ED63B3" w:rsidRDefault="00ED6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5E" w:rsidRDefault="00501A5E">
      <w:r>
        <w:separator/>
      </w:r>
    </w:p>
  </w:footnote>
  <w:footnote w:type="continuationSeparator" w:id="0">
    <w:p w:rsidR="00501A5E" w:rsidRDefault="00501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B3" w:rsidRDefault="00ED63B3">
    <w:pPr>
      <w:pStyle w:val="Header"/>
    </w:pPr>
  </w:p>
  <w:p w:rsidR="00ED63B3" w:rsidRDefault="00ED63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6EC60FC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6">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1"/>
  </w:num>
  <w:num w:numId="13">
    <w:abstractNumId w:val="25"/>
  </w:num>
  <w:num w:numId="14">
    <w:abstractNumId w:val="18"/>
  </w:num>
  <w:num w:numId="15">
    <w:abstractNumId w:val="19"/>
  </w:num>
  <w:num w:numId="16">
    <w:abstractNumId w:val="37"/>
  </w:num>
  <w:num w:numId="17">
    <w:abstractNumId w:val="26"/>
  </w:num>
  <w:num w:numId="18">
    <w:abstractNumId w:val="23"/>
  </w:num>
  <w:num w:numId="19">
    <w:abstractNumId w:val="34"/>
  </w:num>
  <w:num w:numId="20">
    <w:abstractNumId w:val="17"/>
  </w:num>
  <w:num w:numId="21">
    <w:abstractNumId w:val="31"/>
  </w:num>
  <w:num w:numId="22">
    <w:abstractNumId w:val="28"/>
  </w:num>
  <w:num w:numId="23">
    <w:abstractNumId w:val="27"/>
  </w:num>
  <w:num w:numId="24">
    <w:abstractNumId w:val="20"/>
  </w:num>
  <w:num w:numId="25">
    <w:abstractNumId w:val="32"/>
  </w:num>
  <w:num w:numId="26">
    <w:abstractNumId w:val="2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3"/>
  </w:num>
  <w:num w:numId="35">
    <w:abstractNumId w:val="24"/>
  </w:num>
  <w:num w:numId="36">
    <w:abstractNumId w:val="22"/>
  </w:num>
  <w:num w:numId="37">
    <w:abstractNumId w:val="3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grammar="clean"/>
  <w:stylePaneFormatFilter w:val="3001"/>
  <w:doNotTrackMoves/>
  <w:defaultTabStop w:val="720"/>
  <w:drawingGridHorizontalSpacing w:val="100"/>
  <w:displayHorizontalDrawingGridEvery w:val="2"/>
  <w:characterSpacingControl w:val="doNotCompress"/>
  <w:hdrShapeDefaults>
    <o:shapedefaults v:ext="edit" spidmax="3074">
      <o:colormru v:ext="edit" colors="red,#4d4d4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7FB"/>
    <w:rsid w:val="00010667"/>
    <w:rsid w:val="00015AE7"/>
    <w:rsid w:val="00026F91"/>
    <w:rsid w:val="000407BE"/>
    <w:rsid w:val="0005045A"/>
    <w:rsid w:val="00051C1E"/>
    <w:rsid w:val="000539F9"/>
    <w:rsid w:val="00054C27"/>
    <w:rsid w:val="000563CE"/>
    <w:rsid w:val="0009209D"/>
    <w:rsid w:val="000969BD"/>
    <w:rsid w:val="000969BF"/>
    <w:rsid w:val="000A0C22"/>
    <w:rsid w:val="000A4032"/>
    <w:rsid w:val="000A4A51"/>
    <w:rsid w:val="000A5D2B"/>
    <w:rsid w:val="000B29D9"/>
    <w:rsid w:val="000B5734"/>
    <w:rsid w:val="000B5DE3"/>
    <w:rsid w:val="000C230C"/>
    <w:rsid w:val="000D5EBA"/>
    <w:rsid w:val="000D71D9"/>
    <w:rsid w:val="000D7E8B"/>
    <w:rsid w:val="000E6097"/>
    <w:rsid w:val="000F6BF8"/>
    <w:rsid w:val="001100AD"/>
    <w:rsid w:val="00111FCE"/>
    <w:rsid w:val="0012489B"/>
    <w:rsid w:val="00130017"/>
    <w:rsid w:val="00137109"/>
    <w:rsid w:val="00141AD9"/>
    <w:rsid w:val="00152903"/>
    <w:rsid w:val="001577C2"/>
    <w:rsid w:val="001633C4"/>
    <w:rsid w:val="00171591"/>
    <w:rsid w:val="001875B7"/>
    <w:rsid w:val="00187CB3"/>
    <w:rsid w:val="001976E3"/>
    <w:rsid w:val="001B3DF1"/>
    <w:rsid w:val="001B58AA"/>
    <w:rsid w:val="001C36CA"/>
    <w:rsid w:val="001C3DAE"/>
    <w:rsid w:val="001C44D1"/>
    <w:rsid w:val="001C5B3B"/>
    <w:rsid w:val="001C7630"/>
    <w:rsid w:val="001D4C50"/>
    <w:rsid w:val="001D61D7"/>
    <w:rsid w:val="001D6D15"/>
    <w:rsid w:val="001F7558"/>
    <w:rsid w:val="002157E0"/>
    <w:rsid w:val="0022334F"/>
    <w:rsid w:val="00226819"/>
    <w:rsid w:val="00226C0D"/>
    <w:rsid w:val="00232C40"/>
    <w:rsid w:val="00233817"/>
    <w:rsid w:val="002367FF"/>
    <w:rsid w:val="00236CC9"/>
    <w:rsid w:val="00246089"/>
    <w:rsid w:val="00246702"/>
    <w:rsid w:val="00247F2E"/>
    <w:rsid w:val="00250ADC"/>
    <w:rsid w:val="00262128"/>
    <w:rsid w:val="00273CEB"/>
    <w:rsid w:val="00274AFA"/>
    <w:rsid w:val="00277B5A"/>
    <w:rsid w:val="00281C89"/>
    <w:rsid w:val="0028282F"/>
    <w:rsid w:val="00282F68"/>
    <w:rsid w:val="0028326B"/>
    <w:rsid w:val="00297FC5"/>
    <w:rsid w:val="002A0417"/>
    <w:rsid w:val="002A0A62"/>
    <w:rsid w:val="002A16A8"/>
    <w:rsid w:val="002A1BC8"/>
    <w:rsid w:val="002A3EF2"/>
    <w:rsid w:val="002B381A"/>
    <w:rsid w:val="002B4FCC"/>
    <w:rsid w:val="002C6459"/>
    <w:rsid w:val="002D3600"/>
    <w:rsid w:val="002E11EC"/>
    <w:rsid w:val="002E4DDC"/>
    <w:rsid w:val="00302480"/>
    <w:rsid w:val="00315480"/>
    <w:rsid w:val="0031622B"/>
    <w:rsid w:val="0033000F"/>
    <w:rsid w:val="00332011"/>
    <w:rsid w:val="00332518"/>
    <w:rsid w:val="00335EF3"/>
    <w:rsid w:val="00345927"/>
    <w:rsid w:val="00350584"/>
    <w:rsid w:val="00351857"/>
    <w:rsid w:val="00351C44"/>
    <w:rsid w:val="003610E1"/>
    <w:rsid w:val="0036507E"/>
    <w:rsid w:val="003671BE"/>
    <w:rsid w:val="0037124F"/>
    <w:rsid w:val="00372485"/>
    <w:rsid w:val="00375EF5"/>
    <w:rsid w:val="003767A5"/>
    <w:rsid w:val="003A5F5B"/>
    <w:rsid w:val="003A789A"/>
    <w:rsid w:val="003C238D"/>
    <w:rsid w:val="003D43BA"/>
    <w:rsid w:val="003D48F3"/>
    <w:rsid w:val="003E045F"/>
    <w:rsid w:val="003F3FEE"/>
    <w:rsid w:val="003F4DC7"/>
    <w:rsid w:val="0041071D"/>
    <w:rsid w:val="00414AFC"/>
    <w:rsid w:val="004151A7"/>
    <w:rsid w:val="00421709"/>
    <w:rsid w:val="00423763"/>
    <w:rsid w:val="00427DC7"/>
    <w:rsid w:val="00431613"/>
    <w:rsid w:val="0043297A"/>
    <w:rsid w:val="00432EB2"/>
    <w:rsid w:val="0043714F"/>
    <w:rsid w:val="004438B5"/>
    <w:rsid w:val="00454596"/>
    <w:rsid w:val="0045605D"/>
    <w:rsid w:val="00457F04"/>
    <w:rsid w:val="0046439A"/>
    <w:rsid w:val="00484A43"/>
    <w:rsid w:val="004850D1"/>
    <w:rsid w:val="004917F6"/>
    <w:rsid w:val="004A56BB"/>
    <w:rsid w:val="004B1751"/>
    <w:rsid w:val="004B6B13"/>
    <w:rsid w:val="004D56FF"/>
    <w:rsid w:val="004E39D3"/>
    <w:rsid w:val="004E508A"/>
    <w:rsid w:val="004F1BDE"/>
    <w:rsid w:val="004F2863"/>
    <w:rsid w:val="004F7F44"/>
    <w:rsid w:val="00501A5E"/>
    <w:rsid w:val="005079BF"/>
    <w:rsid w:val="00510951"/>
    <w:rsid w:val="005207FB"/>
    <w:rsid w:val="005239B6"/>
    <w:rsid w:val="00531B9A"/>
    <w:rsid w:val="00531D15"/>
    <w:rsid w:val="00542377"/>
    <w:rsid w:val="00547745"/>
    <w:rsid w:val="00575AC5"/>
    <w:rsid w:val="0057605D"/>
    <w:rsid w:val="00581347"/>
    <w:rsid w:val="0058305E"/>
    <w:rsid w:val="005849F8"/>
    <w:rsid w:val="005938DF"/>
    <w:rsid w:val="00594CF0"/>
    <w:rsid w:val="0059742F"/>
    <w:rsid w:val="005A099B"/>
    <w:rsid w:val="005A2D9C"/>
    <w:rsid w:val="005D0A20"/>
    <w:rsid w:val="005D2502"/>
    <w:rsid w:val="005D49BF"/>
    <w:rsid w:val="005E0719"/>
    <w:rsid w:val="005E3ACD"/>
    <w:rsid w:val="005E7A57"/>
    <w:rsid w:val="005F04DE"/>
    <w:rsid w:val="005F24B0"/>
    <w:rsid w:val="006052CF"/>
    <w:rsid w:val="00607B8D"/>
    <w:rsid w:val="00611F5C"/>
    <w:rsid w:val="00616E09"/>
    <w:rsid w:val="00634478"/>
    <w:rsid w:val="00645915"/>
    <w:rsid w:val="006519C3"/>
    <w:rsid w:val="00652B30"/>
    <w:rsid w:val="00656345"/>
    <w:rsid w:val="00656DC6"/>
    <w:rsid w:val="00664110"/>
    <w:rsid w:val="00665666"/>
    <w:rsid w:val="00666520"/>
    <w:rsid w:val="00667C5B"/>
    <w:rsid w:val="00687BE8"/>
    <w:rsid w:val="00692CDE"/>
    <w:rsid w:val="006977FF"/>
    <w:rsid w:val="006A01FA"/>
    <w:rsid w:val="006A0E9E"/>
    <w:rsid w:val="006A25C7"/>
    <w:rsid w:val="006A4AAD"/>
    <w:rsid w:val="006A7AB2"/>
    <w:rsid w:val="006B44B5"/>
    <w:rsid w:val="006B5F69"/>
    <w:rsid w:val="006C0CEB"/>
    <w:rsid w:val="006C3B1E"/>
    <w:rsid w:val="006C47FD"/>
    <w:rsid w:val="006D27CB"/>
    <w:rsid w:val="006D2F08"/>
    <w:rsid w:val="006D5A3D"/>
    <w:rsid w:val="006E5445"/>
    <w:rsid w:val="006E62A2"/>
    <w:rsid w:val="006E7D93"/>
    <w:rsid w:val="006F0E63"/>
    <w:rsid w:val="006F704A"/>
    <w:rsid w:val="007007C3"/>
    <w:rsid w:val="007021BF"/>
    <w:rsid w:val="007029A3"/>
    <w:rsid w:val="00706E4E"/>
    <w:rsid w:val="0070791C"/>
    <w:rsid w:val="007141A7"/>
    <w:rsid w:val="00721255"/>
    <w:rsid w:val="00721B55"/>
    <w:rsid w:val="00725A1F"/>
    <w:rsid w:val="0073180D"/>
    <w:rsid w:val="00734143"/>
    <w:rsid w:val="00737AE4"/>
    <w:rsid w:val="007402BD"/>
    <w:rsid w:val="00740EAC"/>
    <w:rsid w:val="00744956"/>
    <w:rsid w:val="00745A5C"/>
    <w:rsid w:val="0074605F"/>
    <w:rsid w:val="007517BA"/>
    <w:rsid w:val="007561B1"/>
    <w:rsid w:val="00767C1B"/>
    <w:rsid w:val="007714A9"/>
    <w:rsid w:val="00774F88"/>
    <w:rsid w:val="00781408"/>
    <w:rsid w:val="00784F7F"/>
    <w:rsid w:val="00790DCE"/>
    <w:rsid w:val="00796F25"/>
    <w:rsid w:val="007A2E98"/>
    <w:rsid w:val="007B1499"/>
    <w:rsid w:val="007B1BBF"/>
    <w:rsid w:val="007B2960"/>
    <w:rsid w:val="007B7980"/>
    <w:rsid w:val="007C5D5A"/>
    <w:rsid w:val="007C607F"/>
    <w:rsid w:val="007C79DD"/>
    <w:rsid w:val="007D1A97"/>
    <w:rsid w:val="007F49FA"/>
    <w:rsid w:val="007F6E9A"/>
    <w:rsid w:val="0080120A"/>
    <w:rsid w:val="00803836"/>
    <w:rsid w:val="008044D4"/>
    <w:rsid w:val="00810AB4"/>
    <w:rsid w:val="0081383A"/>
    <w:rsid w:val="00817B56"/>
    <w:rsid w:val="0082495D"/>
    <w:rsid w:val="00831C4B"/>
    <w:rsid w:val="0084214E"/>
    <w:rsid w:val="00845F7C"/>
    <w:rsid w:val="00846094"/>
    <w:rsid w:val="008463CC"/>
    <w:rsid w:val="00856437"/>
    <w:rsid w:val="00883628"/>
    <w:rsid w:val="00891216"/>
    <w:rsid w:val="00893AB8"/>
    <w:rsid w:val="00896787"/>
    <w:rsid w:val="008A04C8"/>
    <w:rsid w:val="008A4218"/>
    <w:rsid w:val="008A6516"/>
    <w:rsid w:val="008A7BF6"/>
    <w:rsid w:val="008B70F3"/>
    <w:rsid w:val="008B76DF"/>
    <w:rsid w:val="00903285"/>
    <w:rsid w:val="0090731E"/>
    <w:rsid w:val="00915B1C"/>
    <w:rsid w:val="0091797D"/>
    <w:rsid w:val="00923CBA"/>
    <w:rsid w:val="00926703"/>
    <w:rsid w:val="00927A5F"/>
    <w:rsid w:val="00935AD5"/>
    <w:rsid w:val="00941FB0"/>
    <w:rsid w:val="0095490B"/>
    <w:rsid w:val="0095744A"/>
    <w:rsid w:val="00974363"/>
    <w:rsid w:val="009B2F49"/>
    <w:rsid w:val="009B499D"/>
    <w:rsid w:val="009B4E9E"/>
    <w:rsid w:val="009C0761"/>
    <w:rsid w:val="009C1690"/>
    <w:rsid w:val="009C220A"/>
    <w:rsid w:val="009C3014"/>
    <w:rsid w:val="009C6881"/>
    <w:rsid w:val="009C7759"/>
    <w:rsid w:val="009C7994"/>
    <w:rsid w:val="009D4281"/>
    <w:rsid w:val="009E038F"/>
    <w:rsid w:val="009E16D0"/>
    <w:rsid w:val="009E38FD"/>
    <w:rsid w:val="009F13D6"/>
    <w:rsid w:val="009F5B7A"/>
    <w:rsid w:val="009F6751"/>
    <w:rsid w:val="009F78A8"/>
    <w:rsid w:val="00A11BD9"/>
    <w:rsid w:val="00A13E54"/>
    <w:rsid w:val="00A224CE"/>
    <w:rsid w:val="00A32930"/>
    <w:rsid w:val="00A34FA1"/>
    <w:rsid w:val="00A40871"/>
    <w:rsid w:val="00A41634"/>
    <w:rsid w:val="00A440E0"/>
    <w:rsid w:val="00A6692C"/>
    <w:rsid w:val="00A71466"/>
    <w:rsid w:val="00A74B5E"/>
    <w:rsid w:val="00A81BED"/>
    <w:rsid w:val="00A9165B"/>
    <w:rsid w:val="00A92EA5"/>
    <w:rsid w:val="00A95377"/>
    <w:rsid w:val="00AB156C"/>
    <w:rsid w:val="00AC3C48"/>
    <w:rsid w:val="00AC5B7E"/>
    <w:rsid w:val="00AD3082"/>
    <w:rsid w:val="00AD4AD0"/>
    <w:rsid w:val="00AD60CD"/>
    <w:rsid w:val="00AD6886"/>
    <w:rsid w:val="00AE53A1"/>
    <w:rsid w:val="00AF2484"/>
    <w:rsid w:val="00B0165D"/>
    <w:rsid w:val="00B031F3"/>
    <w:rsid w:val="00B052A4"/>
    <w:rsid w:val="00B05F7C"/>
    <w:rsid w:val="00B125DE"/>
    <w:rsid w:val="00B13FDD"/>
    <w:rsid w:val="00B20962"/>
    <w:rsid w:val="00B27B24"/>
    <w:rsid w:val="00B31167"/>
    <w:rsid w:val="00B329D8"/>
    <w:rsid w:val="00B32BB9"/>
    <w:rsid w:val="00B33AE1"/>
    <w:rsid w:val="00B35119"/>
    <w:rsid w:val="00B44100"/>
    <w:rsid w:val="00B44CFF"/>
    <w:rsid w:val="00B46CBA"/>
    <w:rsid w:val="00B46F94"/>
    <w:rsid w:val="00B6026F"/>
    <w:rsid w:val="00B61F03"/>
    <w:rsid w:val="00B72F4A"/>
    <w:rsid w:val="00B76FB7"/>
    <w:rsid w:val="00B774B2"/>
    <w:rsid w:val="00B824EF"/>
    <w:rsid w:val="00B83C27"/>
    <w:rsid w:val="00B92812"/>
    <w:rsid w:val="00B9755F"/>
    <w:rsid w:val="00BA3DF0"/>
    <w:rsid w:val="00BC23F9"/>
    <w:rsid w:val="00BD3FFF"/>
    <w:rsid w:val="00BE266D"/>
    <w:rsid w:val="00BE3A8D"/>
    <w:rsid w:val="00BE4B6B"/>
    <w:rsid w:val="00C05211"/>
    <w:rsid w:val="00C233EF"/>
    <w:rsid w:val="00C342E2"/>
    <w:rsid w:val="00C41F3F"/>
    <w:rsid w:val="00C45155"/>
    <w:rsid w:val="00C5498F"/>
    <w:rsid w:val="00C64CD0"/>
    <w:rsid w:val="00C6684F"/>
    <w:rsid w:val="00C75F8D"/>
    <w:rsid w:val="00C818E7"/>
    <w:rsid w:val="00C86332"/>
    <w:rsid w:val="00C90781"/>
    <w:rsid w:val="00CB1E82"/>
    <w:rsid w:val="00CB3771"/>
    <w:rsid w:val="00CB4BA8"/>
    <w:rsid w:val="00CC1A10"/>
    <w:rsid w:val="00CC481A"/>
    <w:rsid w:val="00CE50CD"/>
    <w:rsid w:val="00CE7B9B"/>
    <w:rsid w:val="00CF075A"/>
    <w:rsid w:val="00CF369B"/>
    <w:rsid w:val="00D01508"/>
    <w:rsid w:val="00D15810"/>
    <w:rsid w:val="00D27F41"/>
    <w:rsid w:val="00D31562"/>
    <w:rsid w:val="00D34B4E"/>
    <w:rsid w:val="00D36441"/>
    <w:rsid w:val="00D3689A"/>
    <w:rsid w:val="00D44E9B"/>
    <w:rsid w:val="00D47CDF"/>
    <w:rsid w:val="00D50DB9"/>
    <w:rsid w:val="00D602E8"/>
    <w:rsid w:val="00D7054B"/>
    <w:rsid w:val="00D86496"/>
    <w:rsid w:val="00D87B94"/>
    <w:rsid w:val="00D92D49"/>
    <w:rsid w:val="00DA4E41"/>
    <w:rsid w:val="00DB117A"/>
    <w:rsid w:val="00DB5173"/>
    <w:rsid w:val="00DB7873"/>
    <w:rsid w:val="00DC187B"/>
    <w:rsid w:val="00DC7CCA"/>
    <w:rsid w:val="00DD73C2"/>
    <w:rsid w:val="00DE319B"/>
    <w:rsid w:val="00E1404C"/>
    <w:rsid w:val="00E15371"/>
    <w:rsid w:val="00E24104"/>
    <w:rsid w:val="00E308EC"/>
    <w:rsid w:val="00E41ECB"/>
    <w:rsid w:val="00E46EA6"/>
    <w:rsid w:val="00E54FDB"/>
    <w:rsid w:val="00E563D7"/>
    <w:rsid w:val="00E61D3C"/>
    <w:rsid w:val="00E65D45"/>
    <w:rsid w:val="00E663F4"/>
    <w:rsid w:val="00E666F2"/>
    <w:rsid w:val="00E748CC"/>
    <w:rsid w:val="00E817C4"/>
    <w:rsid w:val="00E94CEC"/>
    <w:rsid w:val="00E950F2"/>
    <w:rsid w:val="00EA04EF"/>
    <w:rsid w:val="00EA6F19"/>
    <w:rsid w:val="00EB20EA"/>
    <w:rsid w:val="00EC5CD7"/>
    <w:rsid w:val="00ED5223"/>
    <w:rsid w:val="00ED63B3"/>
    <w:rsid w:val="00EE22A4"/>
    <w:rsid w:val="00EE5FB3"/>
    <w:rsid w:val="00F125B2"/>
    <w:rsid w:val="00F17727"/>
    <w:rsid w:val="00F179C0"/>
    <w:rsid w:val="00F179D4"/>
    <w:rsid w:val="00F347C7"/>
    <w:rsid w:val="00F34848"/>
    <w:rsid w:val="00F41D70"/>
    <w:rsid w:val="00F41DFA"/>
    <w:rsid w:val="00F42D46"/>
    <w:rsid w:val="00F614C0"/>
    <w:rsid w:val="00F6573A"/>
    <w:rsid w:val="00F70134"/>
    <w:rsid w:val="00F83848"/>
    <w:rsid w:val="00F83DB9"/>
    <w:rsid w:val="00FC5F6D"/>
    <w:rsid w:val="00FC7E10"/>
    <w:rsid w:val="00FD1997"/>
    <w:rsid w:val="00FE0A47"/>
    <w:rsid w:val="00FE0FA2"/>
    <w:rsid w:val="00FE1823"/>
    <w:rsid w:val="00FF056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red,#4d4d4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eastAsia="Calibri"/>
      <w:b/>
      <w:bCs/>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styleId="Revision">
    <w:name w:val="Revision"/>
    <w:hidden/>
    <w:uiPriority w:val="99"/>
    <w:semiHidden/>
    <w:rsid w:val="009C220A"/>
    <w:rPr>
      <w:rFonts w:ascii="HelveticaNeueLT Std Lt" w:hAnsi="HelveticaNeueLT Std Lt"/>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3CBB-9FB8-4B92-8B76-2926BD1F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vt:lpstr>
    </vt:vector>
  </TitlesOfParts>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
  <cp:lastModifiedBy/>
  <cp:revision>1</cp:revision>
  <cp:lastPrinted>2009-08-20T03:42:00Z</cp:lastPrinted>
  <dcterms:created xsi:type="dcterms:W3CDTF">2011-06-27T00:26:00Z</dcterms:created>
  <dcterms:modified xsi:type="dcterms:W3CDTF">2011-06-27T00:26:00Z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ies>
</file>