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A2B" w:rsidRPr="00280707" w:rsidRDefault="00103A2B">
      <w:pPr>
        <w:pStyle w:val="LeftHeading"/>
        <w:jc w:val="center"/>
        <w:rPr>
          <w:u w:val="single"/>
        </w:rPr>
      </w:pPr>
      <w:r w:rsidRPr="00280707">
        <w:rPr>
          <w:u w:val="single"/>
        </w:rPr>
        <w:t>explanatory statement</w:t>
      </w:r>
    </w:p>
    <w:p w:rsidR="00280707" w:rsidRPr="00D7419F" w:rsidRDefault="00280707" w:rsidP="00280707">
      <w:pPr>
        <w:jc w:val="center"/>
      </w:pPr>
      <w:r w:rsidRPr="00D7419F">
        <w:t>Issued by the Minister for Finance and Deregulation</w:t>
      </w:r>
    </w:p>
    <w:p w:rsidR="00103A2B" w:rsidRPr="00D7419F" w:rsidRDefault="00103A2B">
      <w:pPr>
        <w:pStyle w:val="Heading3"/>
      </w:pPr>
      <w:r w:rsidRPr="00D7419F">
        <w:t>Superannuation Act 1976</w:t>
      </w:r>
    </w:p>
    <w:p w:rsidR="00C25A3D" w:rsidRPr="00D7419F" w:rsidRDefault="00C25A3D" w:rsidP="00C25A3D">
      <w:pPr>
        <w:ind w:right="-341"/>
        <w:jc w:val="center"/>
      </w:pPr>
      <w:r w:rsidRPr="00D7419F">
        <w:t>Declaration under paragraph (j) of the definition of “</w:t>
      </w:r>
      <w:r w:rsidRPr="00D7419F">
        <w:rPr>
          <w:iCs/>
        </w:rPr>
        <w:t>eligible employee</w:t>
      </w:r>
      <w:r w:rsidRPr="00D7419F">
        <w:rPr>
          <w:i/>
          <w:iCs/>
        </w:rPr>
        <w:t>”</w:t>
      </w:r>
      <w:r w:rsidRPr="00D7419F">
        <w:t xml:space="preserve"> included in subsection 3(1)</w:t>
      </w:r>
    </w:p>
    <w:p w:rsidR="00C25A3D" w:rsidRPr="006B0E1A" w:rsidRDefault="00C25A3D" w:rsidP="00C25A3D">
      <w:r w:rsidRPr="006B0E1A">
        <w:t xml:space="preserve">The </w:t>
      </w:r>
      <w:r w:rsidRPr="006B0E1A">
        <w:rPr>
          <w:i/>
        </w:rPr>
        <w:t xml:space="preserve">Superannuation Act 1976 </w:t>
      </w:r>
      <w:r w:rsidRPr="006B0E1A">
        <w:t>(the Act) makes provision for and in relation to the Commonwealth Superannuation Scheme (CSS) for Australian Government employees and for certain other persons.</w:t>
      </w:r>
    </w:p>
    <w:p w:rsidR="00C25A3D" w:rsidRPr="006B0E1A" w:rsidRDefault="00C25A3D" w:rsidP="00C25A3D">
      <w:r w:rsidRPr="006B0E1A">
        <w:t>Subsection 3(1) of the Act defin</w:t>
      </w:r>
      <w:r w:rsidR="00A53DE9" w:rsidRPr="006B0E1A">
        <w:t>es</w:t>
      </w:r>
      <w:r w:rsidRPr="006B0E1A">
        <w:t xml:space="preserve"> the term “eligible employee”</w:t>
      </w:r>
      <w:r w:rsidRPr="006B0E1A">
        <w:rPr>
          <w:rFonts w:ascii="Times" w:hAnsi="Times"/>
        </w:rPr>
        <w:t xml:space="preserve"> </w:t>
      </w:r>
      <w:r w:rsidRPr="006B0E1A">
        <w:t>that describes various classes of persons who may contribute to the CSS (that is, CSS members).  Paragraph</w:t>
      </w:r>
      <w:r w:rsidR="006B0E1A" w:rsidRPr="006B0E1A">
        <w:t> </w:t>
      </w:r>
      <w:r w:rsidRPr="006B0E1A">
        <w:t>(j) of the definition provides that the Minister may declare a class of persons not to be CSS members.</w:t>
      </w:r>
    </w:p>
    <w:p w:rsidR="00C25A3D" w:rsidRPr="006B0E1A" w:rsidRDefault="00C25A3D" w:rsidP="00C25A3D">
      <w:r w:rsidRPr="006B0E1A">
        <w:t xml:space="preserve">The </w:t>
      </w:r>
      <w:r w:rsidRPr="006B0E1A">
        <w:rPr>
          <w:i/>
        </w:rPr>
        <w:t>Superannuation (CSS) (Eligible Employees</w:t>
      </w:r>
      <w:r w:rsidR="003F671D" w:rsidRPr="006B0E1A">
        <w:rPr>
          <w:i/>
        </w:rPr>
        <w:t xml:space="preserve"> —</w:t>
      </w:r>
      <w:r w:rsidRPr="006B0E1A">
        <w:rPr>
          <w:i/>
        </w:rPr>
        <w:t xml:space="preserve"> Exclusion) Declaration 2003</w:t>
      </w:r>
      <w:r w:rsidRPr="006B0E1A">
        <w:t xml:space="preserve"> (the Principal Declaration) identifies the persons who are declared not to be CSS members under paragraph (j) of the definition of eligible employee. </w:t>
      </w:r>
    </w:p>
    <w:p w:rsidR="00E11927" w:rsidRPr="000E30ED" w:rsidRDefault="00C25A3D" w:rsidP="00E11927">
      <w:r w:rsidRPr="000E30ED">
        <w:t xml:space="preserve">The purpose of the </w:t>
      </w:r>
      <w:r w:rsidRPr="000E30ED">
        <w:rPr>
          <w:b/>
          <w:i/>
        </w:rPr>
        <w:t xml:space="preserve">Superannuation (CSS) (Eligible Employees </w:t>
      </w:r>
      <w:r w:rsidR="003F671D" w:rsidRPr="000E30ED">
        <w:rPr>
          <w:b/>
          <w:i/>
        </w:rPr>
        <w:t>—</w:t>
      </w:r>
      <w:r w:rsidRPr="000E30ED">
        <w:rPr>
          <w:b/>
          <w:i/>
        </w:rPr>
        <w:t xml:space="preserve"> Exclusion) Amendment Declaration 20</w:t>
      </w:r>
      <w:r w:rsidR="00C707E4" w:rsidRPr="000E30ED">
        <w:rPr>
          <w:b/>
          <w:i/>
        </w:rPr>
        <w:t>1</w:t>
      </w:r>
      <w:r w:rsidR="00DB18F4">
        <w:rPr>
          <w:b/>
          <w:i/>
        </w:rPr>
        <w:t>1</w:t>
      </w:r>
      <w:r w:rsidRPr="000E30ED">
        <w:rPr>
          <w:b/>
          <w:i/>
        </w:rPr>
        <w:t xml:space="preserve"> (No. 1)</w:t>
      </w:r>
      <w:r w:rsidRPr="000E30ED">
        <w:rPr>
          <w:b/>
        </w:rPr>
        <w:t xml:space="preserve"> </w:t>
      </w:r>
      <w:r w:rsidRPr="000E30ED">
        <w:t>(the Declaration)</w:t>
      </w:r>
      <w:r w:rsidRPr="000E30ED">
        <w:rPr>
          <w:b/>
        </w:rPr>
        <w:t xml:space="preserve"> </w:t>
      </w:r>
      <w:r w:rsidRPr="000E30ED">
        <w:t xml:space="preserve">is to amend the Principal Declaration </w:t>
      </w:r>
      <w:r w:rsidR="000E30ED" w:rsidRPr="000E30ED">
        <w:t>to reflect that the Australian Reward Investment Alliance (ARIA) (formerly the PSS/CSS Board) is now known as the</w:t>
      </w:r>
      <w:r w:rsidRPr="000E30ED">
        <w:t xml:space="preserve"> </w:t>
      </w:r>
      <w:r w:rsidR="00BB1D4D" w:rsidRPr="000E30ED">
        <w:t>Commonwealth Superannuation Corporation (</w:t>
      </w:r>
      <w:r w:rsidR="00D44EB3" w:rsidRPr="000E30ED">
        <w:t>CSC</w:t>
      </w:r>
      <w:r w:rsidR="00BB1D4D" w:rsidRPr="000E30ED">
        <w:t>)</w:t>
      </w:r>
      <w:r w:rsidR="000E30ED" w:rsidRPr="000E30ED">
        <w:t xml:space="preserve"> and that the </w:t>
      </w:r>
      <w:r w:rsidR="00E11927" w:rsidRPr="000E30ED">
        <w:t>Military Superannuation and Benefits Board of Trustees No. 1 (the</w:t>
      </w:r>
      <w:r w:rsidR="00BB1D4D" w:rsidRPr="000E30ED">
        <w:t> </w:t>
      </w:r>
      <w:r w:rsidR="00E11927" w:rsidRPr="000E30ED">
        <w:t>MSB Board)</w:t>
      </w:r>
      <w:r w:rsidR="000E30ED" w:rsidRPr="000E30ED">
        <w:t xml:space="preserve"> has been abolished.  The </w:t>
      </w:r>
      <w:r w:rsidR="00E52298" w:rsidRPr="000E30ED">
        <w:t xml:space="preserve">Declaration </w:t>
      </w:r>
      <w:r w:rsidR="000E30ED" w:rsidRPr="000E30ED">
        <w:t xml:space="preserve">ensures that the circumstances in which CSS membership will cease for employees of CSC are consistent with those previously in place for ARIA employees.  </w:t>
      </w:r>
    </w:p>
    <w:p w:rsidR="00664806" w:rsidRPr="000E30ED" w:rsidRDefault="00E11927" w:rsidP="00664806">
      <w:r w:rsidRPr="000E30ED">
        <w:t xml:space="preserve">The </w:t>
      </w:r>
      <w:r w:rsidRPr="000E30ED">
        <w:rPr>
          <w:i/>
        </w:rPr>
        <w:t>Governance of Australian Government Superannuation Schemes Act 201</w:t>
      </w:r>
      <w:r w:rsidR="00DB18F4">
        <w:rPr>
          <w:i/>
        </w:rPr>
        <w:t>1</w:t>
      </w:r>
      <w:r w:rsidRPr="000E30ED">
        <w:t xml:space="preserve"> </w:t>
      </w:r>
      <w:r w:rsidR="00F94321">
        <w:t xml:space="preserve">(the Governance Act) </w:t>
      </w:r>
      <w:r w:rsidRPr="000E30ED">
        <w:t>established CSC as the single trustee responsible for managing the main Commonwealth civilian and military superannuation schemes.  CSC was created by continuing in existence the body corporate that was formerly called ARIA and merging it with the MSB Board and the Defence Force Retirement and Death Benefits Authority.</w:t>
      </w:r>
      <w:r w:rsidR="00664806" w:rsidRPr="000E30ED">
        <w:t xml:space="preserve">  </w:t>
      </w:r>
    </w:p>
    <w:p w:rsidR="00E11927" w:rsidRPr="000E30ED" w:rsidRDefault="00E11927" w:rsidP="00E11927">
      <w:r w:rsidRPr="000E30ED">
        <w:t xml:space="preserve">ARIA </w:t>
      </w:r>
      <w:r w:rsidR="005575A9" w:rsidRPr="000E30ED">
        <w:t>and the MSB Board were</w:t>
      </w:r>
      <w:r w:rsidR="002D3042" w:rsidRPr="000E30ED">
        <w:t xml:space="preserve"> </w:t>
      </w:r>
      <w:r w:rsidRPr="000E30ED">
        <w:t>consulted on the amendments contained in th</w:t>
      </w:r>
      <w:r w:rsidR="003F671D" w:rsidRPr="000E30ED">
        <w:t>e</w:t>
      </w:r>
      <w:r w:rsidRPr="000E30ED">
        <w:t xml:space="preserve"> Declaration.</w:t>
      </w:r>
    </w:p>
    <w:p w:rsidR="00071FD6" w:rsidRPr="000E30ED" w:rsidRDefault="00071FD6" w:rsidP="003F671D">
      <w:r w:rsidRPr="000E30ED">
        <w:t xml:space="preserve">The Declaration is a legislative instrument for the purposes of the </w:t>
      </w:r>
      <w:r w:rsidR="009934E1">
        <w:rPr>
          <w:i/>
        </w:rPr>
        <w:t xml:space="preserve">Legislative </w:t>
      </w:r>
      <w:r w:rsidRPr="008D241E">
        <w:rPr>
          <w:i/>
        </w:rPr>
        <w:t>Instruments Act 2003</w:t>
      </w:r>
      <w:r w:rsidRPr="000E30ED">
        <w:t>.</w:t>
      </w:r>
    </w:p>
    <w:p w:rsidR="00F21EC7" w:rsidRPr="000E30ED" w:rsidRDefault="00071FD6" w:rsidP="003F671D">
      <w:r w:rsidRPr="000E30ED">
        <w:t>The Declaration commence</w:t>
      </w:r>
      <w:r w:rsidR="00D7575E" w:rsidRPr="000E30ED">
        <w:t>s</w:t>
      </w:r>
      <w:r w:rsidRPr="000E30ED">
        <w:t xml:space="preserve"> </w:t>
      </w:r>
      <w:r w:rsidR="009934E1">
        <w:t>on</w:t>
      </w:r>
      <w:r w:rsidR="00F21EC7" w:rsidRPr="000E30ED">
        <w:t xml:space="preserve"> the commencement of the </w:t>
      </w:r>
      <w:r w:rsidR="00F21EC7" w:rsidRPr="00F94321">
        <w:t>Governance Act</w:t>
      </w:r>
      <w:r w:rsidR="00F21EC7" w:rsidRPr="000E30ED">
        <w:rPr>
          <w:i/>
        </w:rPr>
        <w:t>.</w:t>
      </w:r>
    </w:p>
    <w:p w:rsidR="00071FD6" w:rsidRPr="003B60E4" w:rsidRDefault="00071FD6" w:rsidP="00071FD6">
      <w:pPr>
        <w:spacing w:after="240"/>
      </w:pPr>
      <w:r w:rsidRPr="000E30ED">
        <w:t xml:space="preserve">The details of the Declaration are explained in the </w:t>
      </w:r>
      <w:r w:rsidRPr="00F35F3B">
        <w:rPr>
          <w:u w:val="single"/>
        </w:rPr>
        <w:t>Attachment</w:t>
      </w:r>
      <w:r w:rsidRPr="000E30ED">
        <w:t>.</w:t>
      </w:r>
    </w:p>
    <w:p w:rsidR="00103A2B" w:rsidRPr="00756534" w:rsidRDefault="00103A2B">
      <w:pPr>
        <w:pStyle w:val="Attachment"/>
      </w:pPr>
      <w:r w:rsidRPr="00E95D93">
        <w:rPr>
          <w:highlight w:val="yellow"/>
        </w:rPr>
        <w:br w:type="page"/>
      </w:r>
      <w:r w:rsidRPr="00756534">
        <w:lastRenderedPageBreak/>
        <w:t>Attachment</w:t>
      </w:r>
    </w:p>
    <w:p w:rsidR="00103A2B" w:rsidRPr="00756534" w:rsidRDefault="00103A2B">
      <w:pPr>
        <w:pStyle w:val="Heading1"/>
      </w:pPr>
      <w:r w:rsidRPr="00756534">
        <w:t xml:space="preserve">Superannuation (CSS) (Eligible Employees </w:t>
      </w:r>
      <w:r w:rsidR="00C90263">
        <w:t>—</w:t>
      </w:r>
      <w:r w:rsidRPr="00756534">
        <w:t xml:space="preserve"> </w:t>
      </w:r>
      <w:r w:rsidR="00882FB9" w:rsidRPr="00756534">
        <w:t>Exclusion</w:t>
      </w:r>
      <w:r w:rsidRPr="00756534">
        <w:t xml:space="preserve">) Amendment Declaration </w:t>
      </w:r>
      <w:r w:rsidR="00DB18F4">
        <w:t>2011</w:t>
      </w:r>
      <w:r w:rsidRPr="00756534">
        <w:t xml:space="preserve"> (No. </w:t>
      </w:r>
      <w:r w:rsidR="0015329B" w:rsidRPr="00756534">
        <w:t>1</w:t>
      </w:r>
      <w:r w:rsidRPr="00756534">
        <w:t>)</w:t>
      </w:r>
    </w:p>
    <w:p w:rsidR="0015329B" w:rsidRPr="00F21EC7" w:rsidRDefault="00A94713" w:rsidP="0015329B">
      <w:pPr>
        <w:pStyle w:val="SubHeading"/>
      </w:pPr>
      <w:r>
        <w:t>Section</w:t>
      </w:r>
      <w:r w:rsidR="0015329B" w:rsidRPr="00F21EC7">
        <w:t xml:space="preserve"> 1 </w:t>
      </w:r>
      <w:r w:rsidR="00E85A2D">
        <w:t>-</w:t>
      </w:r>
      <w:r w:rsidR="0015329B" w:rsidRPr="00F21EC7">
        <w:t xml:space="preserve"> Name of Declaration</w:t>
      </w:r>
    </w:p>
    <w:p w:rsidR="0015329B" w:rsidRPr="00F21EC7" w:rsidRDefault="0015329B" w:rsidP="0015329B">
      <w:pPr>
        <w:rPr>
          <w:i/>
        </w:rPr>
      </w:pPr>
      <w:r w:rsidRPr="00F21EC7">
        <w:t xml:space="preserve">This </w:t>
      </w:r>
      <w:r w:rsidR="00A94713">
        <w:t>section</w:t>
      </w:r>
      <w:r w:rsidRPr="00F21EC7">
        <w:t xml:space="preserve"> provides that the name of the Declaration is the </w:t>
      </w:r>
      <w:r w:rsidRPr="00F21EC7">
        <w:rPr>
          <w:i/>
        </w:rPr>
        <w:t>Superannuation (CSS) (Eligible Employees</w:t>
      </w:r>
      <w:r w:rsidR="00C90263">
        <w:rPr>
          <w:i/>
        </w:rPr>
        <w:t xml:space="preserve"> —</w:t>
      </w:r>
      <w:r w:rsidRPr="00F21EC7">
        <w:rPr>
          <w:i/>
        </w:rPr>
        <w:t xml:space="preserve"> </w:t>
      </w:r>
      <w:r w:rsidR="00CA7266" w:rsidRPr="00F21EC7">
        <w:rPr>
          <w:i/>
        </w:rPr>
        <w:t>Exclusion</w:t>
      </w:r>
      <w:r w:rsidRPr="00F21EC7">
        <w:rPr>
          <w:i/>
        </w:rPr>
        <w:t xml:space="preserve">) Amendment Declaration </w:t>
      </w:r>
      <w:r w:rsidR="00DB18F4">
        <w:rPr>
          <w:i/>
        </w:rPr>
        <w:t>2011</w:t>
      </w:r>
      <w:r w:rsidRPr="00F21EC7">
        <w:rPr>
          <w:i/>
        </w:rPr>
        <w:t xml:space="preserve"> (No. 1).</w:t>
      </w:r>
    </w:p>
    <w:p w:rsidR="0015329B" w:rsidRPr="00F21EC7" w:rsidRDefault="00A94713" w:rsidP="0015329B">
      <w:pPr>
        <w:pStyle w:val="SubHeading"/>
      </w:pPr>
      <w:r>
        <w:t>Section</w:t>
      </w:r>
      <w:r w:rsidR="0015329B" w:rsidRPr="00F21EC7">
        <w:t xml:space="preserve"> 2 </w:t>
      </w:r>
      <w:r w:rsidR="00E85A2D">
        <w:t>-</w:t>
      </w:r>
      <w:r w:rsidR="0015329B" w:rsidRPr="00F21EC7">
        <w:t xml:space="preserve"> Commencement</w:t>
      </w:r>
    </w:p>
    <w:p w:rsidR="00F21EC7" w:rsidRPr="00FA5EE2" w:rsidRDefault="00F21EC7" w:rsidP="00F21EC7">
      <w:r w:rsidRPr="00BD1235">
        <w:t xml:space="preserve">This </w:t>
      </w:r>
      <w:r w:rsidR="00A94713">
        <w:t>section</w:t>
      </w:r>
      <w:r w:rsidRPr="00BD1235">
        <w:t xml:space="preserve"> provides for the Declaration to commence </w:t>
      </w:r>
      <w:r w:rsidR="009934E1">
        <w:t>on the commencement of</w:t>
      </w:r>
      <w:r>
        <w:t xml:space="preserve"> the </w:t>
      </w:r>
      <w:r w:rsidRPr="00BD1235">
        <w:rPr>
          <w:i/>
        </w:rPr>
        <w:t xml:space="preserve">Governance of Australian Government </w:t>
      </w:r>
      <w:r w:rsidRPr="00FA5EE2">
        <w:rPr>
          <w:i/>
        </w:rPr>
        <w:t xml:space="preserve">Superannuation Schemes Act </w:t>
      </w:r>
      <w:r w:rsidR="00DB18F4">
        <w:rPr>
          <w:i/>
        </w:rPr>
        <w:t>2011</w:t>
      </w:r>
      <w:r w:rsidRPr="00FA5EE2">
        <w:rPr>
          <w:i/>
        </w:rPr>
        <w:t xml:space="preserve"> </w:t>
      </w:r>
      <w:r w:rsidRPr="00FA5EE2">
        <w:t>(the Governance Act)</w:t>
      </w:r>
      <w:r w:rsidRPr="00FA5EE2">
        <w:rPr>
          <w:i/>
        </w:rPr>
        <w:t>.</w:t>
      </w:r>
    </w:p>
    <w:p w:rsidR="0015329B" w:rsidRPr="00FA5EE2" w:rsidRDefault="00A94713" w:rsidP="0015329B">
      <w:pPr>
        <w:pStyle w:val="SubHeading"/>
        <w:rPr>
          <w:i/>
        </w:rPr>
      </w:pPr>
      <w:r>
        <w:t>Section</w:t>
      </w:r>
      <w:r w:rsidR="0015329B" w:rsidRPr="00FA5EE2">
        <w:t xml:space="preserve"> 3 </w:t>
      </w:r>
      <w:r w:rsidR="00E85A2D">
        <w:t>-</w:t>
      </w:r>
      <w:r w:rsidR="0015329B" w:rsidRPr="00FA5EE2">
        <w:t xml:space="preserve"> Amendment of </w:t>
      </w:r>
      <w:r w:rsidR="0015329B" w:rsidRPr="00FA5EE2">
        <w:rPr>
          <w:i/>
        </w:rPr>
        <w:t xml:space="preserve">Superannuation (CSS) Eligible Employees </w:t>
      </w:r>
      <w:r w:rsidR="00C90263">
        <w:rPr>
          <w:i/>
        </w:rPr>
        <w:t xml:space="preserve">— </w:t>
      </w:r>
      <w:r w:rsidR="00CA7266" w:rsidRPr="00FA5EE2">
        <w:rPr>
          <w:i/>
        </w:rPr>
        <w:t>Exclusion</w:t>
      </w:r>
      <w:r w:rsidR="0015329B" w:rsidRPr="00FA5EE2">
        <w:rPr>
          <w:i/>
        </w:rPr>
        <w:t>) Declaration 2003</w:t>
      </w:r>
    </w:p>
    <w:p w:rsidR="0015329B" w:rsidRPr="00FA5EE2" w:rsidRDefault="0015329B" w:rsidP="0015329B">
      <w:pPr>
        <w:rPr>
          <w:i/>
        </w:rPr>
      </w:pPr>
      <w:r w:rsidRPr="00FA5EE2">
        <w:t xml:space="preserve">This </w:t>
      </w:r>
      <w:r w:rsidR="00A94713">
        <w:t>section</w:t>
      </w:r>
      <w:r w:rsidRPr="00FA5EE2">
        <w:t xml:space="preserve"> provides that Schedule 1 of the Declaration amends the </w:t>
      </w:r>
      <w:r w:rsidRPr="00FA5EE2">
        <w:rPr>
          <w:i/>
        </w:rPr>
        <w:t>Superannuation (CSS) Eligible Employees</w:t>
      </w:r>
      <w:r w:rsidR="00C90263">
        <w:rPr>
          <w:i/>
        </w:rPr>
        <w:t xml:space="preserve"> —</w:t>
      </w:r>
      <w:r w:rsidRPr="00FA5EE2">
        <w:rPr>
          <w:i/>
        </w:rPr>
        <w:t xml:space="preserve"> </w:t>
      </w:r>
      <w:r w:rsidR="00CA7266" w:rsidRPr="00FA5EE2">
        <w:rPr>
          <w:i/>
        </w:rPr>
        <w:t>Exclusion</w:t>
      </w:r>
      <w:r w:rsidRPr="00FA5EE2">
        <w:rPr>
          <w:i/>
        </w:rPr>
        <w:t xml:space="preserve">) Declaration 2003 </w:t>
      </w:r>
      <w:r w:rsidRPr="00FA5EE2">
        <w:t>(the Principal Declaration).</w:t>
      </w:r>
    </w:p>
    <w:p w:rsidR="00532FDC" w:rsidRPr="00FA5EE2" w:rsidRDefault="00532FDC" w:rsidP="00532FDC">
      <w:pPr>
        <w:rPr>
          <w:b/>
          <w:u w:val="single"/>
        </w:rPr>
      </w:pPr>
      <w:r w:rsidRPr="00FA5EE2">
        <w:rPr>
          <w:b/>
          <w:u w:val="single"/>
        </w:rPr>
        <w:t>Schedule 1 - Amendments</w:t>
      </w:r>
    </w:p>
    <w:p w:rsidR="00001D48" w:rsidRDefault="00532FDC" w:rsidP="00532FDC">
      <w:pPr>
        <w:rPr>
          <w:bCs/>
        </w:rPr>
      </w:pPr>
      <w:r w:rsidRPr="00932AA6">
        <w:rPr>
          <w:b/>
          <w:bCs/>
        </w:rPr>
        <w:t xml:space="preserve">Item 1 </w:t>
      </w:r>
      <w:r w:rsidR="00932AA6">
        <w:rPr>
          <w:bCs/>
        </w:rPr>
        <w:t xml:space="preserve">inserts a definition of CSC, short for Commonwealth Superannuation Corporation, for the purposes of the Principal Declaration.  CSC is given the same meaning as in the Governance Act.  </w:t>
      </w:r>
      <w:r w:rsidR="00001D48">
        <w:rPr>
          <w:bCs/>
        </w:rPr>
        <w:t xml:space="preserve">Section </w:t>
      </w:r>
      <w:r w:rsidR="007A47F8">
        <w:rPr>
          <w:bCs/>
        </w:rPr>
        <w:t>4</w:t>
      </w:r>
      <w:r w:rsidR="00001D48">
        <w:rPr>
          <w:bCs/>
        </w:rPr>
        <w:t xml:space="preserve"> of the Governance Act defines CSC as the body corporate continued in existence by section </w:t>
      </w:r>
      <w:r w:rsidR="007A47F8">
        <w:rPr>
          <w:bCs/>
        </w:rPr>
        <w:t>5</w:t>
      </w:r>
      <w:r w:rsidR="00001D48">
        <w:rPr>
          <w:bCs/>
        </w:rPr>
        <w:t xml:space="preserve"> of the Governance Act.  Section </w:t>
      </w:r>
      <w:r w:rsidR="007A47F8">
        <w:rPr>
          <w:bCs/>
        </w:rPr>
        <w:t>5</w:t>
      </w:r>
      <w:r w:rsidR="00001D48">
        <w:rPr>
          <w:bCs/>
        </w:rPr>
        <w:t xml:space="preserve"> of the Governance Act provides that the board formerly known as the Australian Reward Investment Alliance (ARIA), established under section 20 of the </w:t>
      </w:r>
      <w:r w:rsidR="00001D48" w:rsidRPr="00001D48">
        <w:rPr>
          <w:bCs/>
          <w:i/>
        </w:rPr>
        <w:t>Superannuation Act 1990</w:t>
      </w:r>
      <w:r w:rsidR="00001D48">
        <w:rPr>
          <w:bCs/>
        </w:rPr>
        <w:t>, will continue as the same body corporate under the new name of CSC.</w:t>
      </w:r>
    </w:p>
    <w:p w:rsidR="00932AA6" w:rsidRDefault="00932AA6" w:rsidP="00932AA6">
      <w:pPr>
        <w:rPr>
          <w:bCs/>
        </w:rPr>
      </w:pPr>
      <w:r w:rsidRPr="00932AA6">
        <w:rPr>
          <w:b/>
          <w:bCs/>
        </w:rPr>
        <w:t xml:space="preserve">Item 2 </w:t>
      </w:r>
      <w:r>
        <w:rPr>
          <w:bCs/>
        </w:rPr>
        <w:t xml:space="preserve">omits the definition of CSS/PSS Board from the Principal Declaration.  CSS/PSS Board was formerly defined as either or both of the CSS Board established under section 27A of </w:t>
      </w:r>
      <w:r w:rsidRPr="00571D5C">
        <w:rPr>
          <w:bCs/>
          <w:i/>
        </w:rPr>
        <w:t>Superannuation Act 1976</w:t>
      </w:r>
      <w:r>
        <w:rPr>
          <w:bCs/>
        </w:rPr>
        <w:t xml:space="preserve"> (which </w:t>
      </w:r>
      <w:r w:rsidR="00001D48">
        <w:rPr>
          <w:bCs/>
        </w:rPr>
        <w:t xml:space="preserve">has since been </w:t>
      </w:r>
      <w:r>
        <w:rPr>
          <w:bCs/>
        </w:rPr>
        <w:t xml:space="preserve">repealed) and the PSS Board established under section 20 of the </w:t>
      </w:r>
      <w:r w:rsidRPr="00BF2B3A">
        <w:rPr>
          <w:bCs/>
          <w:i/>
        </w:rPr>
        <w:t>Superannuation Act 1990</w:t>
      </w:r>
      <w:r w:rsidR="00F27728">
        <w:rPr>
          <w:bCs/>
        </w:rPr>
        <w:t xml:space="preserve"> (</w:t>
      </w:r>
      <w:r w:rsidR="00001D48">
        <w:rPr>
          <w:bCs/>
        </w:rPr>
        <w:t xml:space="preserve">that is, </w:t>
      </w:r>
      <w:r w:rsidR="00F27728">
        <w:rPr>
          <w:bCs/>
        </w:rPr>
        <w:t>ARIA)</w:t>
      </w:r>
      <w:r w:rsidRPr="00BF2B3A">
        <w:rPr>
          <w:bCs/>
          <w:i/>
        </w:rPr>
        <w:t>.</w:t>
      </w:r>
      <w:r>
        <w:rPr>
          <w:bCs/>
          <w:i/>
        </w:rPr>
        <w:t xml:space="preserve">  </w:t>
      </w:r>
      <w:r>
        <w:rPr>
          <w:bCs/>
        </w:rPr>
        <w:t xml:space="preserve">As the definition of CSC now covers the </w:t>
      </w:r>
      <w:r w:rsidR="00F27728">
        <w:rPr>
          <w:bCs/>
        </w:rPr>
        <w:t xml:space="preserve">Board </w:t>
      </w:r>
      <w:r>
        <w:rPr>
          <w:bCs/>
        </w:rPr>
        <w:t xml:space="preserve">established under section 20 of the </w:t>
      </w:r>
      <w:r w:rsidRPr="00864AF4">
        <w:rPr>
          <w:bCs/>
          <w:i/>
        </w:rPr>
        <w:t>Superannuation Act 1990</w:t>
      </w:r>
      <w:r>
        <w:rPr>
          <w:bCs/>
        </w:rPr>
        <w:t xml:space="preserve">, the definition of CSS/PSS Board </w:t>
      </w:r>
      <w:r w:rsidR="00C90263">
        <w:rPr>
          <w:bCs/>
        </w:rPr>
        <w:t>is</w:t>
      </w:r>
      <w:r>
        <w:rPr>
          <w:bCs/>
        </w:rPr>
        <w:t xml:space="preserve"> no longer required.</w:t>
      </w:r>
    </w:p>
    <w:p w:rsidR="001931E4" w:rsidRDefault="00E52298" w:rsidP="00D31C87">
      <w:r w:rsidRPr="004A544B">
        <w:rPr>
          <w:b/>
          <w:bCs/>
        </w:rPr>
        <w:t xml:space="preserve">Item </w:t>
      </w:r>
      <w:r w:rsidR="00A633BD">
        <w:rPr>
          <w:b/>
          <w:bCs/>
        </w:rPr>
        <w:t>3</w:t>
      </w:r>
      <w:r w:rsidR="00D31C87" w:rsidRPr="004A544B">
        <w:rPr>
          <w:b/>
          <w:bCs/>
        </w:rPr>
        <w:t xml:space="preserve"> </w:t>
      </w:r>
      <w:r w:rsidR="00D31C87" w:rsidRPr="004A544B">
        <w:rPr>
          <w:bCs/>
        </w:rPr>
        <w:t>omits a reference to the Board in item 1 of Sc</w:t>
      </w:r>
      <w:r w:rsidR="00581297" w:rsidRPr="004A544B">
        <w:rPr>
          <w:bCs/>
        </w:rPr>
        <w:t xml:space="preserve">hedule </w:t>
      </w:r>
      <w:r w:rsidR="004A544B" w:rsidRPr="004A544B">
        <w:rPr>
          <w:bCs/>
        </w:rPr>
        <w:t xml:space="preserve">1, and substitutes a reference to CSC.  </w:t>
      </w:r>
      <w:r w:rsidR="00D31C87" w:rsidRPr="004A544B">
        <w:rPr>
          <w:bCs/>
        </w:rPr>
        <w:t>As CSC is the</w:t>
      </w:r>
      <w:r w:rsidR="009934E1">
        <w:rPr>
          <w:bCs/>
        </w:rPr>
        <w:t xml:space="preserve"> trustee of the CSS</w:t>
      </w:r>
      <w:r w:rsidR="00D31C87" w:rsidRPr="004A544B">
        <w:rPr>
          <w:bCs/>
        </w:rPr>
        <w:t xml:space="preserve"> under the</w:t>
      </w:r>
      <w:r w:rsidR="00C53454">
        <w:rPr>
          <w:bCs/>
        </w:rPr>
        <w:t xml:space="preserve"> Governance Act,</w:t>
      </w:r>
      <w:r w:rsidR="00D31C87" w:rsidRPr="004A544B">
        <w:rPr>
          <w:i/>
        </w:rPr>
        <w:t xml:space="preserve"> </w:t>
      </w:r>
      <w:r w:rsidR="00D31C87" w:rsidRPr="004A544B">
        <w:t xml:space="preserve">CSC will have the role of </w:t>
      </w:r>
      <w:r w:rsidR="004A544B" w:rsidRPr="004A544B">
        <w:t xml:space="preserve">taking the notice </w:t>
      </w:r>
      <w:r w:rsidR="00D31C87" w:rsidRPr="004A544B">
        <w:t>referre</w:t>
      </w:r>
      <w:r w:rsidR="004A544B" w:rsidRPr="004A544B">
        <w:t>d to in this item</w:t>
      </w:r>
      <w:r w:rsidR="00001D48">
        <w:t>.</w:t>
      </w:r>
      <w:r w:rsidR="004A544B" w:rsidRPr="004A544B">
        <w:t xml:space="preserve">  </w:t>
      </w:r>
    </w:p>
    <w:p w:rsidR="00400852" w:rsidRDefault="001931E4" w:rsidP="00932AA6">
      <w:pPr>
        <w:rPr>
          <w:bCs/>
        </w:rPr>
      </w:pPr>
      <w:r>
        <w:br w:type="page"/>
      </w:r>
      <w:r w:rsidR="00932AA6" w:rsidRPr="00716093">
        <w:rPr>
          <w:b/>
          <w:bCs/>
        </w:rPr>
        <w:lastRenderedPageBreak/>
        <w:t xml:space="preserve">Item </w:t>
      </w:r>
      <w:r w:rsidR="00A633BD">
        <w:rPr>
          <w:b/>
          <w:bCs/>
        </w:rPr>
        <w:t>4</w:t>
      </w:r>
      <w:r w:rsidR="00932AA6" w:rsidRPr="00716093">
        <w:rPr>
          <w:b/>
          <w:bCs/>
        </w:rPr>
        <w:t xml:space="preserve"> </w:t>
      </w:r>
      <w:r w:rsidR="00716093">
        <w:rPr>
          <w:bCs/>
        </w:rPr>
        <w:t xml:space="preserve">substitutes </w:t>
      </w:r>
      <w:r w:rsidR="00001D48">
        <w:rPr>
          <w:bCs/>
        </w:rPr>
        <w:t xml:space="preserve">a new </w:t>
      </w:r>
      <w:r w:rsidR="00716093">
        <w:rPr>
          <w:bCs/>
        </w:rPr>
        <w:t xml:space="preserve">item 22, which formerly </w:t>
      </w:r>
      <w:r w:rsidR="00990BDD">
        <w:rPr>
          <w:bCs/>
        </w:rPr>
        <w:t>set out when CSS membership ceased for employees of the CSS/PSS Board.  The new item sets out when CSS membership ceases for</w:t>
      </w:r>
      <w:r w:rsidR="00400852">
        <w:rPr>
          <w:bCs/>
        </w:rPr>
        <w:t>:</w:t>
      </w:r>
    </w:p>
    <w:p w:rsidR="002379B1" w:rsidRDefault="00400852" w:rsidP="00400852">
      <w:pPr>
        <w:numPr>
          <w:ilvl w:val="0"/>
          <w:numId w:val="42"/>
        </w:numPr>
      </w:pPr>
      <w:r>
        <w:t xml:space="preserve">persons who, as employees of the CSS/PSS Board were </w:t>
      </w:r>
      <w:r w:rsidR="006740B4">
        <w:t>provided</w:t>
      </w:r>
      <w:r>
        <w:t xml:space="preserve"> </w:t>
      </w:r>
      <w:r w:rsidR="006740B4" w:rsidRPr="001A0949">
        <w:t>CSS membership under paragraph 3A(1)(</w:t>
      </w:r>
      <w:proofErr w:type="spellStart"/>
      <w:r w:rsidR="006740B4" w:rsidRPr="001A0949">
        <w:t>zd</w:t>
      </w:r>
      <w:proofErr w:type="spellEnd"/>
      <w:r w:rsidR="006740B4" w:rsidRPr="001A0949">
        <w:t xml:space="preserve">) of the </w:t>
      </w:r>
      <w:r w:rsidR="006740B4" w:rsidRPr="00400852">
        <w:rPr>
          <w:i/>
        </w:rPr>
        <w:t>Continuing Contribution for Benefits Regulations 1981</w:t>
      </w:r>
      <w:r w:rsidR="006740B4" w:rsidRPr="001A0949">
        <w:t xml:space="preserve"> as </w:t>
      </w:r>
      <w:r w:rsidR="001A348A" w:rsidRPr="001A0949">
        <w:t xml:space="preserve">in force </w:t>
      </w:r>
      <w:r w:rsidR="006740B4" w:rsidRPr="001A0949">
        <w:t xml:space="preserve">immediately before the commencement of the Principal Declaration on </w:t>
      </w:r>
      <w:r w:rsidR="00E55447" w:rsidRPr="001A0949">
        <w:t>1 July 2005</w:t>
      </w:r>
      <w:r w:rsidR="00001D48">
        <w:t>; and</w:t>
      </w:r>
    </w:p>
    <w:p w:rsidR="00C90263" w:rsidRDefault="00C90263" w:rsidP="00C90263">
      <w:pPr>
        <w:numPr>
          <w:ilvl w:val="0"/>
          <w:numId w:val="42"/>
        </w:numPr>
      </w:pPr>
      <w:proofErr w:type="gramStart"/>
      <w:r>
        <w:rPr>
          <w:bCs/>
        </w:rPr>
        <w:t>employees</w:t>
      </w:r>
      <w:proofErr w:type="gramEnd"/>
      <w:r>
        <w:rPr>
          <w:bCs/>
        </w:rPr>
        <w:t xml:space="preserve"> of CSC who have CSS membership through paragraph 4(2)(l) of the </w:t>
      </w:r>
      <w:r w:rsidRPr="00FA5EE2">
        <w:rPr>
          <w:i/>
        </w:rPr>
        <w:t>Superannuation (CSS) Eligible Employees</w:t>
      </w:r>
      <w:r>
        <w:rPr>
          <w:i/>
        </w:rPr>
        <w:t xml:space="preserve"> — Inclusion</w:t>
      </w:r>
      <w:r w:rsidRPr="00FA5EE2">
        <w:rPr>
          <w:i/>
        </w:rPr>
        <w:t>) Declaration 2003</w:t>
      </w:r>
      <w:r w:rsidR="00001D48">
        <w:rPr>
          <w:i/>
        </w:rPr>
        <w:t xml:space="preserve"> </w:t>
      </w:r>
      <w:r w:rsidR="00001D48">
        <w:t>(the Inclusion Declaration)</w:t>
      </w:r>
      <w:r>
        <w:t>.</w:t>
      </w:r>
      <w:r w:rsidR="00001D48">
        <w:t xml:space="preserve">  That paragraph formerly applied to employees of ARIA but now includes employees of CSC, who may have been employees of ARIA or the MSB Board before the commencement of the Governance Act.</w:t>
      </w:r>
    </w:p>
    <w:p w:rsidR="00400852" w:rsidRDefault="00400852" w:rsidP="002379B1">
      <w:r>
        <w:t>Item 22 provides that membership will cease on the earliest of the following events:</w:t>
      </w:r>
    </w:p>
    <w:p w:rsidR="00400852" w:rsidRDefault="00400852" w:rsidP="00400852">
      <w:pPr>
        <w:numPr>
          <w:ilvl w:val="0"/>
          <w:numId w:val="42"/>
        </w:numPr>
        <w:rPr>
          <w:bCs/>
        </w:rPr>
      </w:pPr>
      <w:r>
        <w:rPr>
          <w:bCs/>
        </w:rPr>
        <w:t>the end of the day when a relevant person ceases to be an employee of CSC; or</w:t>
      </w:r>
    </w:p>
    <w:p w:rsidR="00400852" w:rsidRDefault="00400852" w:rsidP="00400852">
      <w:pPr>
        <w:numPr>
          <w:ilvl w:val="0"/>
          <w:numId w:val="42"/>
        </w:numPr>
        <w:rPr>
          <w:bCs/>
        </w:rPr>
      </w:pPr>
      <w:proofErr w:type="gramStart"/>
      <w:r>
        <w:rPr>
          <w:bCs/>
        </w:rPr>
        <w:t>the</w:t>
      </w:r>
      <w:proofErr w:type="gramEnd"/>
      <w:r>
        <w:rPr>
          <w:bCs/>
        </w:rPr>
        <w:t xml:space="preserve"> end of the day immediately before the day on which the person becomes a casual or temporary employee of CSC.</w:t>
      </w:r>
    </w:p>
    <w:p w:rsidR="00001D48" w:rsidRDefault="00001D48" w:rsidP="00001D48">
      <w:pPr>
        <w:rPr>
          <w:bCs/>
        </w:rPr>
      </w:pPr>
      <w:r w:rsidRPr="007C3397">
        <w:rPr>
          <w:bCs/>
        </w:rPr>
        <w:t>These are the same circumstances in which membership would have ceased for an employee of ARIA</w:t>
      </w:r>
      <w:r w:rsidR="007C3397" w:rsidRPr="007C3397">
        <w:rPr>
          <w:bCs/>
        </w:rPr>
        <w:t xml:space="preserve"> or the </w:t>
      </w:r>
      <w:r w:rsidR="001931E4">
        <w:rPr>
          <w:bCs/>
        </w:rPr>
        <w:t>Military Superannuation and Benefits Board of Trustees No. 1 (</w:t>
      </w:r>
      <w:r w:rsidR="007C3397" w:rsidRPr="007C3397">
        <w:rPr>
          <w:bCs/>
        </w:rPr>
        <w:t>MSB Board</w:t>
      </w:r>
      <w:r w:rsidR="001931E4">
        <w:rPr>
          <w:bCs/>
        </w:rPr>
        <w:t>).</w:t>
      </w:r>
    </w:p>
    <w:p w:rsidR="00542D39" w:rsidRDefault="00E24159" w:rsidP="00400852">
      <w:pPr>
        <w:rPr>
          <w:bCs/>
        </w:rPr>
      </w:pPr>
      <w:r>
        <w:rPr>
          <w:b/>
          <w:bCs/>
        </w:rPr>
        <w:t xml:space="preserve">Item </w:t>
      </w:r>
      <w:r w:rsidR="00A30C0F">
        <w:rPr>
          <w:b/>
          <w:bCs/>
        </w:rPr>
        <w:t>5</w:t>
      </w:r>
      <w:r>
        <w:rPr>
          <w:b/>
          <w:bCs/>
        </w:rPr>
        <w:t xml:space="preserve"> </w:t>
      </w:r>
      <w:r w:rsidR="00542D39">
        <w:rPr>
          <w:bCs/>
        </w:rPr>
        <w:t>omits item 23</w:t>
      </w:r>
      <w:r w:rsidR="00C90263">
        <w:rPr>
          <w:bCs/>
        </w:rPr>
        <w:t>,</w:t>
      </w:r>
      <w:r w:rsidR="00542D39">
        <w:rPr>
          <w:bCs/>
        </w:rPr>
        <w:t xml:space="preserve"> which applied to persons who we</w:t>
      </w:r>
      <w:r w:rsidR="00D313EF">
        <w:rPr>
          <w:bCs/>
        </w:rPr>
        <w:t>re covered by paragraph</w:t>
      </w:r>
      <w:r w:rsidR="00381C71">
        <w:rPr>
          <w:bCs/>
        </w:rPr>
        <w:t> </w:t>
      </w:r>
      <w:r w:rsidR="00D313EF">
        <w:rPr>
          <w:bCs/>
        </w:rPr>
        <w:t>4(2</w:t>
      </w:r>
      <w:proofErr w:type="gramStart"/>
      <w:r w:rsidR="00D313EF">
        <w:rPr>
          <w:bCs/>
        </w:rPr>
        <w:t>)(</w:t>
      </w:r>
      <w:proofErr w:type="gramEnd"/>
      <w:r w:rsidR="00D313EF">
        <w:rPr>
          <w:bCs/>
        </w:rPr>
        <w:t>o) of the Inclusion Declaration, being employees of the M</w:t>
      </w:r>
      <w:r w:rsidR="001931E4">
        <w:rPr>
          <w:bCs/>
        </w:rPr>
        <w:t>SB Board</w:t>
      </w:r>
      <w:r w:rsidR="00D313EF">
        <w:rPr>
          <w:bCs/>
        </w:rPr>
        <w:t xml:space="preserve">.  </w:t>
      </w:r>
      <w:r w:rsidR="00353C24">
        <w:rPr>
          <w:bCs/>
        </w:rPr>
        <w:t>Paragraph</w:t>
      </w:r>
      <w:r w:rsidR="00A450C9">
        <w:rPr>
          <w:bCs/>
        </w:rPr>
        <w:t> </w:t>
      </w:r>
      <w:r w:rsidR="00353C24">
        <w:rPr>
          <w:bCs/>
        </w:rPr>
        <w:t>4(2</w:t>
      </w:r>
      <w:proofErr w:type="gramStart"/>
      <w:r w:rsidR="00353C24">
        <w:rPr>
          <w:bCs/>
        </w:rPr>
        <w:t>)(</w:t>
      </w:r>
      <w:proofErr w:type="gramEnd"/>
      <w:r w:rsidR="00353C24">
        <w:rPr>
          <w:bCs/>
        </w:rPr>
        <w:t>o) of the I</w:t>
      </w:r>
      <w:r w:rsidR="00542D39">
        <w:rPr>
          <w:bCs/>
        </w:rPr>
        <w:t xml:space="preserve">nclusion </w:t>
      </w:r>
      <w:r w:rsidR="00353C24">
        <w:rPr>
          <w:bCs/>
        </w:rPr>
        <w:t>D</w:t>
      </w:r>
      <w:r w:rsidR="00542D39">
        <w:rPr>
          <w:bCs/>
        </w:rPr>
        <w:t>eclaration</w:t>
      </w:r>
      <w:r w:rsidR="00D313EF">
        <w:rPr>
          <w:bCs/>
        </w:rPr>
        <w:t xml:space="preserve"> </w:t>
      </w:r>
      <w:r w:rsidR="00353C24">
        <w:rPr>
          <w:bCs/>
        </w:rPr>
        <w:t xml:space="preserve">has been omitted because the </w:t>
      </w:r>
      <w:r w:rsidR="00A633BD">
        <w:rPr>
          <w:bCs/>
        </w:rPr>
        <w:t xml:space="preserve">MSB </w:t>
      </w:r>
      <w:r w:rsidR="00353C24">
        <w:rPr>
          <w:bCs/>
        </w:rPr>
        <w:t xml:space="preserve">Board was abolished under the </w:t>
      </w:r>
      <w:r w:rsidR="00353C24" w:rsidRPr="00513350">
        <w:rPr>
          <w:bCs/>
          <w:i/>
        </w:rPr>
        <w:t xml:space="preserve">Superannuation Legislation (Consequential Amendments and Transitional Provisions) Act </w:t>
      </w:r>
      <w:r w:rsidR="00DB18F4">
        <w:rPr>
          <w:bCs/>
          <w:i/>
        </w:rPr>
        <w:t>2011</w:t>
      </w:r>
      <w:r w:rsidR="00353C24">
        <w:rPr>
          <w:bCs/>
        </w:rPr>
        <w:t xml:space="preserve">.  Therefore, item 23 </w:t>
      </w:r>
      <w:r w:rsidR="00C90263">
        <w:rPr>
          <w:bCs/>
        </w:rPr>
        <w:t xml:space="preserve">is </w:t>
      </w:r>
      <w:r w:rsidR="00353C24">
        <w:rPr>
          <w:bCs/>
        </w:rPr>
        <w:t>no longer required.</w:t>
      </w:r>
      <w:r w:rsidR="007C3397">
        <w:rPr>
          <w:bCs/>
        </w:rPr>
        <w:t xml:space="preserve">  Former employees of the MSB Board who become employees of CSC will have their membership cessation determined by item 22.</w:t>
      </w:r>
    </w:p>
    <w:sectPr w:rsidR="00542D39" w:rsidSect="005D0E9D">
      <w:headerReference w:type="even" r:id="rId8"/>
      <w:headerReference w:type="default" r:id="rId9"/>
      <w:pgSz w:w="11906" w:h="16838"/>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F3B" w:rsidRDefault="00F35F3B">
      <w:r>
        <w:separator/>
      </w:r>
    </w:p>
  </w:endnote>
  <w:endnote w:type="continuationSeparator" w:id="0">
    <w:p w:rsidR="00F35F3B" w:rsidRDefault="00F35F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F3B" w:rsidRDefault="00F35F3B">
      <w:r>
        <w:separator/>
      </w:r>
    </w:p>
  </w:footnote>
  <w:footnote w:type="continuationSeparator" w:id="0">
    <w:p w:rsidR="00F35F3B" w:rsidRDefault="00F35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F3B" w:rsidRDefault="00A503B3">
    <w:pPr>
      <w:pStyle w:val="Header"/>
      <w:framePr w:wrap="around" w:vAnchor="text" w:hAnchor="margin" w:xAlign="center" w:y="1"/>
      <w:rPr>
        <w:rStyle w:val="PageNumber"/>
      </w:rPr>
    </w:pPr>
    <w:r>
      <w:rPr>
        <w:rStyle w:val="PageNumber"/>
      </w:rPr>
      <w:fldChar w:fldCharType="begin"/>
    </w:r>
    <w:r w:rsidR="00F35F3B">
      <w:rPr>
        <w:rStyle w:val="PageNumber"/>
      </w:rPr>
      <w:instrText xml:space="preserve">PAGE  </w:instrText>
    </w:r>
    <w:r>
      <w:rPr>
        <w:rStyle w:val="PageNumber"/>
      </w:rPr>
      <w:fldChar w:fldCharType="separate"/>
    </w:r>
    <w:r w:rsidR="00F35F3B">
      <w:rPr>
        <w:rStyle w:val="PageNumber"/>
        <w:noProof/>
      </w:rPr>
      <w:t>1</w:t>
    </w:r>
    <w:r>
      <w:rPr>
        <w:rStyle w:val="PageNumber"/>
      </w:rPr>
      <w:fldChar w:fldCharType="end"/>
    </w:r>
  </w:p>
  <w:p w:rsidR="00F35F3B" w:rsidRDefault="00F35F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F3B" w:rsidRDefault="00A503B3">
    <w:pPr>
      <w:pStyle w:val="Header"/>
      <w:framePr w:wrap="around" w:vAnchor="text" w:hAnchor="margin" w:xAlign="center" w:y="1"/>
      <w:rPr>
        <w:rStyle w:val="PageNumber"/>
      </w:rPr>
    </w:pPr>
    <w:r>
      <w:rPr>
        <w:rStyle w:val="PageNumber"/>
      </w:rPr>
      <w:fldChar w:fldCharType="begin"/>
    </w:r>
    <w:r w:rsidR="00F35F3B">
      <w:rPr>
        <w:rStyle w:val="PageNumber"/>
      </w:rPr>
      <w:instrText xml:space="preserve">PAGE  </w:instrText>
    </w:r>
    <w:r>
      <w:rPr>
        <w:rStyle w:val="PageNumber"/>
      </w:rPr>
      <w:fldChar w:fldCharType="separate"/>
    </w:r>
    <w:r w:rsidR="002663BF">
      <w:rPr>
        <w:rStyle w:val="PageNumber"/>
        <w:noProof/>
      </w:rPr>
      <w:t>3</w:t>
    </w:r>
    <w:r>
      <w:rPr>
        <w:rStyle w:val="PageNumber"/>
      </w:rPr>
      <w:fldChar w:fldCharType="end"/>
    </w:r>
  </w:p>
  <w:p w:rsidR="00F35F3B" w:rsidRDefault="00F35F3B">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12D6"/>
    <w:multiLevelType w:val="hybridMultilevel"/>
    <w:tmpl w:val="7FCC34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317DA5"/>
    <w:multiLevelType w:val="singleLevel"/>
    <w:tmpl w:val="3D30A7D4"/>
    <w:lvl w:ilvl="0">
      <w:start w:val="1"/>
      <w:numFmt w:val="lowerRoman"/>
      <w:lvlText w:val="(%1)"/>
      <w:lvlJc w:val="left"/>
      <w:pPr>
        <w:tabs>
          <w:tab w:val="num" w:pos="720"/>
        </w:tabs>
        <w:ind w:left="360" w:hanging="360"/>
      </w:pPr>
    </w:lvl>
  </w:abstractNum>
  <w:abstractNum w:abstractNumId="2">
    <w:nsid w:val="1A0160DD"/>
    <w:multiLevelType w:val="singleLevel"/>
    <w:tmpl w:val="8340D518"/>
    <w:lvl w:ilvl="0">
      <w:start w:val="7"/>
      <w:numFmt w:val="decimal"/>
      <w:lvlText w:val="%1."/>
      <w:legacy w:legacy="1" w:legacySpace="0" w:legacyIndent="283"/>
      <w:lvlJc w:val="left"/>
    </w:lvl>
  </w:abstractNum>
  <w:abstractNum w:abstractNumId="3">
    <w:nsid w:val="1F484136"/>
    <w:multiLevelType w:val="hybridMultilevel"/>
    <w:tmpl w:val="02061C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1090083"/>
    <w:multiLevelType w:val="singleLevel"/>
    <w:tmpl w:val="BBE603B8"/>
    <w:lvl w:ilvl="0">
      <w:start w:val="1"/>
      <w:numFmt w:val="lowerLetter"/>
      <w:lvlText w:val="(%1)"/>
      <w:lvlJc w:val="left"/>
      <w:pPr>
        <w:tabs>
          <w:tab w:val="num" w:pos="1440"/>
        </w:tabs>
        <w:ind w:left="1440" w:hanging="900"/>
      </w:pPr>
      <w:rPr>
        <w:rFonts w:hint="default"/>
      </w:rPr>
    </w:lvl>
  </w:abstractNum>
  <w:abstractNum w:abstractNumId="5">
    <w:nsid w:val="226007D0"/>
    <w:multiLevelType w:val="singleLevel"/>
    <w:tmpl w:val="CC44FCA0"/>
    <w:lvl w:ilvl="0">
      <w:start w:val="3"/>
      <w:numFmt w:val="decimal"/>
      <w:pStyle w:val="List1"/>
      <w:lvlText w:val="%1."/>
      <w:lvlJc w:val="left"/>
      <w:pPr>
        <w:tabs>
          <w:tab w:val="num" w:pos="360"/>
        </w:tabs>
        <w:ind w:left="0" w:firstLine="0"/>
      </w:pPr>
    </w:lvl>
  </w:abstractNum>
  <w:abstractNum w:abstractNumId="6">
    <w:nsid w:val="276D4101"/>
    <w:multiLevelType w:val="singleLevel"/>
    <w:tmpl w:val="33D4AF68"/>
    <w:lvl w:ilvl="0">
      <w:start w:val="1"/>
      <w:numFmt w:val="decimal"/>
      <w:lvlText w:val="%1."/>
      <w:legacy w:legacy="1" w:legacySpace="0" w:legacyIndent="283"/>
      <w:lvlJc w:val="left"/>
    </w:lvl>
  </w:abstractNum>
  <w:abstractNum w:abstractNumId="7">
    <w:nsid w:val="3ADA6E64"/>
    <w:multiLevelType w:val="singleLevel"/>
    <w:tmpl w:val="33D4AF68"/>
    <w:lvl w:ilvl="0">
      <w:start w:val="1"/>
      <w:numFmt w:val="decimal"/>
      <w:lvlText w:val="%1."/>
      <w:legacy w:legacy="1" w:legacySpace="0" w:legacyIndent="283"/>
      <w:lvlJc w:val="left"/>
    </w:lvl>
  </w:abstractNum>
  <w:abstractNum w:abstractNumId="8">
    <w:nsid w:val="3EAF6FE4"/>
    <w:multiLevelType w:val="hybridMultilevel"/>
    <w:tmpl w:val="FEC2EF5C"/>
    <w:lvl w:ilvl="0" w:tplc="53DCB5F4">
      <w:start w:val="1"/>
      <w:numFmt w:val="upperLetter"/>
      <w:lvlText w:val="(%1)"/>
      <w:lvlJc w:val="left"/>
      <w:pPr>
        <w:tabs>
          <w:tab w:val="num" w:pos="2340"/>
        </w:tabs>
        <w:ind w:left="2340" w:hanging="360"/>
      </w:pPr>
      <w:rPr>
        <w:rFonts w:hint="default"/>
      </w:rPr>
    </w:lvl>
    <w:lvl w:ilvl="1" w:tplc="0C090019">
      <w:start w:val="1"/>
      <w:numFmt w:val="lowerLetter"/>
      <w:lvlText w:val="%2."/>
      <w:lvlJc w:val="left"/>
      <w:pPr>
        <w:tabs>
          <w:tab w:val="num" w:pos="3060"/>
        </w:tabs>
        <w:ind w:left="3060" w:hanging="360"/>
      </w:pPr>
    </w:lvl>
    <w:lvl w:ilvl="2" w:tplc="0C09001B" w:tentative="1">
      <w:start w:val="1"/>
      <w:numFmt w:val="lowerRoman"/>
      <w:lvlText w:val="%3."/>
      <w:lvlJc w:val="right"/>
      <w:pPr>
        <w:tabs>
          <w:tab w:val="num" w:pos="3780"/>
        </w:tabs>
        <w:ind w:left="3780" w:hanging="180"/>
      </w:pPr>
    </w:lvl>
    <w:lvl w:ilvl="3" w:tplc="0C09000F" w:tentative="1">
      <w:start w:val="1"/>
      <w:numFmt w:val="decimal"/>
      <w:lvlText w:val="%4."/>
      <w:lvlJc w:val="left"/>
      <w:pPr>
        <w:tabs>
          <w:tab w:val="num" w:pos="4500"/>
        </w:tabs>
        <w:ind w:left="4500" w:hanging="360"/>
      </w:pPr>
    </w:lvl>
    <w:lvl w:ilvl="4" w:tplc="0C090019" w:tentative="1">
      <w:start w:val="1"/>
      <w:numFmt w:val="lowerLetter"/>
      <w:lvlText w:val="%5."/>
      <w:lvlJc w:val="left"/>
      <w:pPr>
        <w:tabs>
          <w:tab w:val="num" w:pos="5220"/>
        </w:tabs>
        <w:ind w:left="5220" w:hanging="360"/>
      </w:pPr>
    </w:lvl>
    <w:lvl w:ilvl="5" w:tplc="0C09001B" w:tentative="1">
      <w:start w:val="1"/>
      <w:numFmt w:val="lowerRoman"/>
      <w:lvlText w:val="%6."/>
      <w:lvlJc w:val="right"/>
      <w:pPr>
        <w:tabs>
          <w:tab w:val="num" w:pos="5940"/>
        </w:tabs>
        <w:ind w:left="5940" w:hanging="180"/>
      </w:pPr>
    </w:lvl>
    <w:lvl w:ilvl="6" w:tplc="0C09000F" w:tentative="1">
      <w:start w:val="1"/>
      <w:numFmt w:val="decimal"/>
      <w:lvlText w:val="%7."/>
      <w:lvlJc w:val="left"/>
      <w:pPr>
        <w:tabs>
          <w:tab w:val="num" w:pos="6660"/>
        </w:tabs>
        <w:ind w:left="6660" w:hanging="360"/>
      </w:pPr>
    </w:lvl>
    <w:lvl w:ilvl="7" w:tplc="0C090019" w:tentative="1">
      <w:start w:val="1"/>
      <w:numFmt w:val="lowerLetter"/>
      <w:lvlText w:val="%8."/>
      <w:lvlJc w:val="left"/>
      <w:pPr>
        <w:tabs>
          <w:tab w:val="num" w:pos="7380"/>
        </w:tabs>
        <w:ind w:left="7380" w:hanging="360"/>
      </w:pPr>
    </w:lvl>
    <w:lvl w:ilvl="8" w:tplc="0C09001B" w:tentative="1">
      <w:start w:val="1"/>
      <w:numFmt w:val="lowerRoman"/>
      <w:lvlText w:val="%9."/>
      <w:lvlJc w:val="right"/>
      <w:pPr>
        <w:tabs>
          <w:tab w:val="num" w:pos="8100"/>
        </w:tabs>
        <w:ind w:left="8100" w:hanging="180"/>
      </w:pPr>
    </w:lvl>
  </w:abstractNum>
  <w:abstractNum w:abstractNumId="9">
    <w:nsid w:val="3FD46B28"/>
    <w:multiLevelType w:val="singleLevel"/>
    <w:tmpl w:val="4FD2A21A"/>
    <w:lvl w:ilvl="0">
      <w:start w:val="9"/>
      <w:numFmt w:val="decimal"/>
      <w:lvlText w:val="%1."/>
      <w:legacy w:legacy="1" w:legacySpace="0" w:legacyIndent="283"/>
      <w:lvlJc w:val="left"/>
    </w:lvl>
  </w:abstractNum>
  <w:abstractNum w:abstractNumId="10">
    <w:nsid w:val="452975B4"/>
    <w:multiLevelType w:val="singleLevel"/>
    <w:tmpl w:val="8340D518"/>
    <w:lvl w:ilvl="0">
      <w:start w:val="7"/>
      <w:numFmt w:val="decimal"/>
      <w:lvlText w:val="%1."/>
      <w:legacy w:legacy="1" w:legacySpace="0" w:legacyIndent="283"/>
      <w:lvlJc w:val="left"/>
    </w:lvl>
  </w:abstractNum>
  <w:abstractNum w:abstractNumId="11">
    <w:nsid w:val="4AAD0593"/>
    <w:multiLevelType w:val="singleLevel"/>
    <w:tmpl w:val="CBBEEE2C"/>
    <w:lvl w:ilvl="0">
      <w:start w:val="1"/>
      <w:numFmt w:val="lowerRoman"/>
      <w:pStyle w:val="Listi"/>
      <w:lvlText w:val="(%1)"/>
      <w:lvlJc w:val="left"/>
      <w:pPr>
        <w:tabs>
          <w:tab w:val="num" w:pos="1060"/>
        </w:tabs>
        <w:ind w:left="737" w:hanging="397"/>
      </w:pPr>
    </w:lvl>
  </w:abstractNum>
  <w:abstractNum w:abstractNumId="12">
    <w:nsid w:val="4F8A380D"/>
    <w:multiLevelType w:val="singleLevel"/>
    <w:tmpl w:val="B7606580"/>
    <w:lvl w:ilvl="0">
      <w:start w:val="1"/>
      <w:numFmt w:val="bullet"/>
      <w:pStyle w:val="Colonpoint"/>
      <w:lvlText w:val=":"/>
      <w:lvlJc w:val="left"/>
      <w:pPr>
        <w:tabs>
          <w:tab w:val="num" w:pos="1040"/>
        </w:tabs>
        <w:ind w:left="1021" w:hanging="341"/>
      </w:pPr>
      <w:rPr>
        <w:rFonts w:ascii="Times New Roman" w:hAnsi="Times New Roman" w:hint="default"/>
      </w:rPr>
    </w:lvl>
  </w:abstractNum>
  <w:abstractNum w:abstractNumId="13">
    <w:nsid w:val="504A6CC5"/>
    <w:multiLevelType w:val="singleLevel"/>
    <w:tmpl w:val="33D4AF68"/>
    <w:lvl w:ilvl="0">
      <w:start w:val="1"/>
      <w:numFmt w:val="decimal"/>
      <w:lvlText w:val="%1."/>
      <w:legacy w:legacy="1" w:legacySpace="0" w:legacyIndent="283"/>
      <w:lvlJc w:val="left"/>
    </w:lvl>
  </w:abstractNum>
  <w:abstractNum w:abstractNumId="14">
    <w:nsid w:val="50FF0D16"/>
    <w:multiLevelType w:val="hybridMultilevel"/>
    <w:tmpl w:val="7C5EC7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201305A"/>
    <w:multiLevelType w:val="singleLevel"/>
    <w:tmpl w:val="33D4AF68"/>
    <w:lvl w:ilvl="0">
      <w:start w:val="1"/>
      <w:numFmt w:val="decimal"/>
      <w:lvlText w:val="%1."/>
      <w:legacy w:legacy="1" w:legacySpace="0" w:legacyIndent="283"/>
      <w:lvlJc w:val="left"/>
    </w:lvl>
  </w:abstractNum>
  <w:abstractNum w:abstractNumId="16">
    <w:nsid w:val="52AE114F"/>
    <w:multiLevelType w:val="hybridMultilevel"/>
    <w:tmpl w:val="7F404E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2F82A1E"/>
    <w:multiLevelType w:val="singleLevel"/>
    <w:tmpl w:val="191EEAD8"/>
    <w:lvl w:ilvl="0">
      <w:start w:val="2"/>
      <w:numFmt w:val="lowerRoman"/>
      <w:lvlText w:val="(%1)"/>
      <w:lvlJc w:val="left"/>
      <w:pPr>
        <w:tabs>
          <w:tab w:val="num" w:pos="2160"/>
        </w:tabs>
        <w:ind w:left="2160" w:hanging="720"/>
      </w:pPr>
      <w:rPr>
        <w:rFonts w:hint="default"/>
      </w:rPr>
    </w:lvl>
  </w:abstractNum>
  <w:abstractNum w:abstractNumId="18">
    <w:nsid w:val="54AD28BC"/>
    <w:multiLevelType w:val="singleLevel"/>
    <w:tmpl w:val="D0E6AF1C"/>
    <w:lvl w:ilvl="0">
      <w:start w:val="1"/>
      <w:numFmt w:val="bullet"/>
      <w:lvlText w:val=""/>
      <w:lvlJc w:val="left"/>
      <w:pPr>
        <w:tabs>
          <w:tab w:val="num" w:pos="737"/>
        </w:tabs>
        <w:ind w:left="737" w:hanging="397"/>
      </w:pPr>
      <w:rPr>
        <w:rFonts w:ascii="Symbol" w:hAnsi="Symbol" w:hint="default"/>
      </w:rPr>
    </w:lvl>
  </w:abstractNum>
  <w:abstractNum w:abstractNumId="19">
    <w:nsid w:val="59E72E9F"/>
    <w:multiLevelType w:val="singleLevel"/>
    <w:tmpl w:val="632AD85A"/>
    <w:lvl w:ilvl="0">
      <w:start w:val="1"/>
      <w:numFmt w:val="bullet"/>
      <w:lvlText w:val="–"/>
      <w:lvlJc w:val="left"/>
      <w:pPr>
        <w:tabs>
          <w:tab w:val="num" w:pos="700"/>
        </w:tabs>
        <w:ind w:left="680" w:hanging="340"/>
      </w:pPr>
      <w:rPr>
        <w:rFonts w:ascii="Times New Roman" w:hAnsi="Times New Roman" w:hint="default"/>
        <w:b/>
        <w:i w:val="0"/>
      </w:rPr>
    </w:lvl>
  </w:abstractNum>
  <w:abstractNum w:abstractNumId="20">
    <w:nsid w:val="5EF77814"/>
    <w:multiLevelType w:val="singleLevel"/>
    <w:tmpl w:val="A7F26172"/>
    <w:lvl w:ilvl="0">
      <w:start w:val="1"/>
      <w:numFmt w:val="decimal"/>
      <w:lvlText w:val="%1."/>
      <w:lvlJc w:val="left"/>
      <w:pPr>
        <w:tabs>
          <w:tab w:val="num" w:pos="360"/>
        </w:tabs>
        <w:ind w:left="0" w:firstLine="0"/>
      </w:pPr>
    </w:lvl>
  </w:abstractNum>
  <w:abstractNum w:abstractNumId="21">
    <w:nsid w:val="60561778"/>
    <w:multiLevelType w:val="singleLevel"/>
    <w:tmpl w:val="AC18B6A2"/>
    <w:lvl w:ilvl="0">
      <w:start w:val="1"/>
      <w:numFmt w:val="bullet"/>
      <w:pStyle w:val="Dash"/>
      <w:lvlText w:val=""/>
      <w:lvlJc w:val="left"/>
      <w:pPr>
        <w:tabs>
          <w:tab w:val="num" w:pos="360"/>
        </w:tabs>
        <w:ind w:left="340" w:hanging="340"/>
      </w:pPr>
      <w:rPr>
        <w:rFonts w:ascii="Symbol" w:hAnsi="Symbol" w:hint="default"/>
        <w:sz w:val="28"/>
      </w:rPr>
    </w:lvl>
  </w:abstractNum>
  <w:abstractNum w:abstractNumId="22">
    <w:nsid w:val="668B4136"/>
    <w:multiLevelType w:val="singleLevel"/>
    <w:tmpl w:val="F2CE8894"/>
    <w:lvl w:ilvl="0">
      <w:start w:val="5"/>
      <w:numFmt w:val="decimal"/>
      <w:lvlText w:val="%1."/>
      <w:legacy w:legacy="1" w:legacySpace="0" w:legacyIndent="283"/>
      <w:lvlJc w:val="left"/>
    </w:lvl>
  </w:abstractNum>
  <w:abstractNum w:abstractNumId="23">
    <w:nsid w:val="68C3597E"/>
    <w:multiLevelType w:val="singleLevel"/>
    <w:tmpl w:val="F1362B08"/>
    <w:lvl w:ilvl="0">
      <w:start w:val="1"/>
      <w:numFmt w:val="lowerLetter"/>
      <w:lvlText w:val="(%1)"/>
      <w:lvlJc w:val="left"/>
      <w:pPr>
        <w:tabs>
          <w:tab w:val="num" w:pos="720"/>
        </w:tabs>
        <w:ind w:left="720" w:hanging="720"/>
      </w:pPr>
      <w:rPr>
        <w:rFonts w:hint="default"/>
      </w:rPr>
    </w:lvl>
  </w:abstractNum>
  <w:abstractNum w:abstractNumId="24">
    <w:nsid w:val="6AF87225"/>
    <w:multiLevelType w:val="hybridMultilevel"/>
    <w:tmpl w:val="683086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714E0839"/>
    <w:multiLevelType w:val="singleLevel"/>
    <w:tmpl w:val="300A7396"/>
    <w:lvl w:ilvl="0">
      <w:start w:val="1"/>
      <w:numFmt w:val="lowerLetter"/>
      <w:pStyle w:val="Lista"/>
      <w:lvlText w:val="%1)"/>
      <w:lvlJc w:val="left"/>
      <w:pPr>
        <w:tabs>
          <w:tab w:val="num" w:pos="360"/>
        </w:tabs>
        <w:ind w:left="360" w:hanging="360"/>
      </w:pPr>
    </w:lvl>
  </w:abstractNum>
  <w:abstractNum w:abstractNumId="26">
    <w:nsid w:val="744959A5"/>
    <w:multiLevelType w:val="hybridMultilevel"/>
    <w:tmpl w:val="8D126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67E1BAE"/>
    <w:multiLevelType w:val="singleLevel"/>
    <w:tmpl w:val="8340D518"/>
    <w:lvl w:ilvl="0">
      <w:start w:val="5"/>
      <w:numFmt w:val="decimal"/>
      <w:lvlText w:val="%1."/>
      <w:legacy w:legacy="1" w:legacySpace="0" w:legacyIndent="283"/>
      <w:lvlJc w:val="left"/>
    </w:lvl>
  </w:abstractNum>
  <w:num w:numId="1">
    <w:abstractNumId w:val="20"/>
  </w:num>
  <w:num w:numId="2">
    <w:abstractNumId w:val="18"/>
  </w:num>
  <w:num w:numId="3">
    <w:abstractNumId w:val="18"/>
  </w:num>
  <w:num w:numId="4">
    <w:abstractNumId w:val="18"/>
  </w:num>
  <w:num w:numId="5">
    <w:abstractNumId w:val="12"/>
  </w:num>
  <w:num w:numId="6">
    <w:abstractNumId w:val="5"/>
  </w:num>
  <w:num w:numId="7">
    <w:abstractNumId w:val="12"/>
  </w:num>
  <w:num w:numId="8">
    <w:abstractNumId w:val="12"/>
  </w:num>
  <w:num w:numId="9">
    <w:abstractNumId w:val="1"/>
  </w:num>
  <w:num w:numId="10">
    <w:abstractNumId w:val="25"/>
  </w:num>
  <w:num w:numId="11">
    <w:abstractNumId w:val="21"/>
  </w:num>
  <w:num w:numId="12">
    <w:abstractNumId w:val="11"/>
  </w:num>
  <w:num w:numId="13">
    <w:abstractNumId w:val="19"/>
  </w:num>
  <w:num w:numId="14">
    <w:abstractNumId w:val="13"/>
  </w:num>
  <w:num w:numId="15">
    <w:abstractNumId w:val="15"/>
  </w:num>
  <w:num w:numId="16">
    <w:abstractNumId w:val="22"/>
  </w:num>
  <w:num w:numId="17">
    <w:abstractNumId w:val="2"/>
  </w:num>
  <w:num w:numId="18">
    <w:abstractNumId w:val="2"/>
    <w:lvlOverride w:ilvl="0">
      <w:lvl w:ilvl="0">
        <w:start w:val="5"/>
        <w:numFmt w:val="decimal"/>
        <w:lvlText w:val="%1."/>
        <w:legacy w:legacy="1" w:legacySpace="0" w:legacyIndent="283"/>
        <w:lvlJc w:val="left"/>
      </w:lvl>
    </w:lvlOverride>
  </w:num>
  <w:num w:numId="19">
    <w:abstractNumId w:val="7"/>
  </w:num>
  <w:num w:numId="20">
    <w:abstractNumId w:val="6"/>
  </w:num>
  <w:num w:numId="21">
    <w:abstractNumId w:val="27"/>
  </w:num>
  <w:num w:numId="22">
    <w:abstractNumId w:val="10"/>
  </w:num>
  <w:num w:numId="23">
    <w:abstractNumId w:val="9"/>
  </w:num>
  <w:num w:numId="24">
    <w:abstractNumId w:val="5"/>
  </w:num>
  <w:num w:numId="25">
    <w:abstractNumId w:val="11"/>
    <w:lvlOverride w:ilvl="0">
      <w:startOverride w:val="1"/>
    </w:lvlOverride>
  </w:num>
  <w:num w:numId="26">
    <w:abstractNumId w:val="11"/>
  </w:num>
  <w:num w:numId="27">
    <w:abstractNumId w:val="11"/>
  </w:num>
  <w:num w:numId="28">
    <w:abstractNumId w:val="21"/>
  </w:num>
  <w:num w:numId="29">
    <w:abstractNumId w:val="23"/>
  </w:num>
  <w:num w:numId="30">
    <w:abstractNumId w:val="5"/>
  </w:num>
  <w:num w:numId="31">
    <w:abstractNumId w:val="5"/>
  </w:num>
  <w:num w:numId="32">
    <w:abstractNumId w:val="5"/>
  </w:num>
  <w:num w:numId="33">
    <w:abstractNumId w:val="4"/>
  </w:num>
  <w:num w:numId="34">
    <w:abstractNumId w:val="17"/>
  </w:num>
  <w:num w:numId="35">
    <w:abstractNumId w:val="5"/>
  </w:num>
  <w:num w:numId="36">
    <w:abstractNumId w:val="3"/>
  </w:num>
  <w:num w:numId="37">
    <w:abstractNumId w:val="16"/>
  </w:num>
  <w:num w:numId="38">
    <w:abstractNumId w:val="14"/>
  </w:num>
  <w:num w:numId="39">
    <w:abstractNumId w:val="0"/>
  </w:num>
  <w:num w:numId="40">
    <w:abstractNumId w:val="8"/>
  </w:num>
  <w:num w:numId="41">
    <w:abstractNumId w:val="24"/>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AU" w:vendorID="64" w:dllVersion="131077" w:nlCheck="1" w:checkStyle="1"/>
  <w:activeWritingStyle w:appName="MSWord" w:lang="en-AU" w:vendorID="64" w:dllVersion="131078" w:nlCheck="1" w:checkStyle="1"/>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1BB6"/>
    <w:rsid w:val="00001D48"/>
    <w:rsid w:val="00071446"/>
    <w:rsid w:val="00071FD6"/>
    <w:rsid w:val="000E30ED"/>
    <w:rsid w:val="000E6E5C"/>
    <w:rsid w:val="00103A2B"/>
    <w:rsid w:val="0010423E"/>
    <w:rsid w:val="0010788B"/>
    <w:rsid w:val="00111D9C"/>
    <w:rsid w:val="00120E28"/>
    <w:rsid w:val="00123346"/>
    <w:rsid w:val="00147866"/>
    <w:rsid w:val="0015329B"/>
    <w:rsid w:val="0016391C"/>
    <w:rsid w:val="00190361"/>
    <w:rsid w:val="001931E4"/>
    <w:rsid w:val="001942ED"/>
    <w:rsid w:val="001A0949"/>
    <w:rsid w:val="001A348A"/>
    <w:rsid w:val="001A6FAE"/>
    <w:rsid w:val="001F2077"/>
    <w:rsid w:val="002379B1"/>
    <w:rsid w:val="002663BF"/>
    <w:rsid w:val="002667B4"/>
    <w:rsid w:val="00280707"/>
    <w:rsid w:val="002D3042"/>
    <w:rsid w:val="002E3D3F"/>
    <w:rsid w:val="002F57C9"/>
    <w:rsid w:val="00335E10"/>
    <w:rsid w:val="00353A65"/>
    <w:rsid w:val="00353C24"/>
    <w:rsid w:val="00381C71"/>
    <w:rsid w:val="003B60E4"/>
    <w:rsid w:val="003E393C"/>
    <w:rsid w:val="003F671D"/>
    <w:rsid w:val="00400852"/>
    <w:rsid w:val="00410DD2"/>
    <w:rsid w:val="00437D80"/>
    <w:rsid w:val="00462D45"/>
    <w:rsid w:val="004A04F6"/>
    <w:rsid w:val="004A544B"/>
    <w:rsid w:val="004C6563"/>
    <w:rsid w:val="004E2C58"/>
    <w:rsid w:val="004E61EB"/>
    <w:rsid w:val="004F3DF7"/>
    <w:rsid w:val="005010B6"/>
    <w:rsid w:val="0053271D"/>
    <w:rsid w:val="00532FDC"/>
    <w:rsid w:val="00542D39"/>
    <w:rsid w:val="00542FF0"/>
    <w:rsid w:val="00544902"/>
    <w:rsid w:val="0055027A"/>
    <w:rsid w:val="005575A9"/>
    <w:rsid w:val="00564AFF"/>
    <w:rsid w:val="00581297"/>
    <w:rsid w:val="005931C9"/>
    <w:rsid w:val="005A470A"/>
    <w:rsid w:val="005D0E9D"/>
    <w:rsid w:val="006412A1"/>
    <w:rsid w:val="00664806"/>
    <w:rsid w:val="006740B4"/>
    <w:rsid w:val="006B0E1A"/>
    <w:rsid w:val="006B5A0C"/>
    <w:rsid w:val="006F5C8C"/>
    <w:rsid w:val="00716093"/>
    <w:rsid w:val="0073671C"/>
    <w:rsid w:val="007373FF"/>
    <w:rsid w:val="00756534"/>
    <w:rsid w:val="007A47F8"/>
    <w:rsid w:val="007C3397"/>
    <w:rsid w:val="008631FB"/>
    <w:rsid w:val="00871BB6"/>
    <w:rsid w:val="00882FB9"/>
    <w:rsid w:val="008934D2"/>
    <w:rsid w:val="008A39F5"/>
    <w:rsid w:val="008C3E73"/>
    <w:rsid w:val="008D241E"/>
    <w:rsid w:val="008E1BD9"/>
    <w:rsid w:val="00906DE5"/>
    <w:rsid w:val="00932AA6"/>
    <w:rsid w:val="00990BDD"/>
    <w:rsid w:val="009934E1"/>
    <w:rsid w:val="009A014F"/>
    <w:rsid w:val="00A06550"/>
    <w:rsid w:val="00A30C0F"/>
    <w:rsid w:val="00A450C9"/>
    <w:rsid w:val="00A503B3"/>
    <w:rsid w:val="00A53DE9"/>
    <w:rsid w:val="00A633BD"/>
    <w:rsid w:val="00A65F84"/>
    <w:rsid w:val="00A94713"/>
    <w:rsid w:val="00AF54B9"/>
    <w:rsid w:val="00B10E28"/>
    <w:rsid w:val="00B16EF8"/>
    <w:rsid w:val="00B63BE6"/>
    <w:rsid w:val="00B977D1"/>
    <w:rsid w:val="00B97E07"/>
    <w:rsid w:val="00BB1D4D"/>
    <w:rsid w:val="00BC317D"/>
    <w:rsid w:val="00C25A3D"/>
    <w:rsid w:val="00C30CA6"/>
    <w:rsid w:val="00C36F6A"/>
    <w:rsid w:val="00C53454"/>
    <w:rsid w:val="00C707E4"/>
    <w:rsid w:val="00C90263"/>
    <w:rsid w:val="00CA7266"/>
    <w:rsid w:val="00CD30F2"/>
    <w:rsid w:val="00CF08BF"/>
    <w:rsid w:val="00D313EF"/>
    <w:rsid w:val="00D31C87"/>
    <w:rsid w:val="00D44EB3"/>
    <w:rsid w:val="00D55E96"/>
    <w:rsid w:val="00D65E93"/>
    <w:rsid w:val="00D7419F"/>
    <w:rsid w:val="00D7575E"/>
    <w:rsid w:val="00DB18F4"/>
    <w:rsid w:val="00DD0DA7"/>
    <w:rsid w:val="00E11927"/>
    <w:rsid w:val="00E24159"/>
    <w:rsid w:val="00E52298"/>
    <w:rsid w:val="00E55447"/>
    <w:rsid w:val="00E85A2D"/>
    <w:rsid w:val="00E95D93"/>
    <w:rsid w:val="00EE0EFC"/>
    <w:rsid w:val="00F02133"/>
    <w:rsid w:val="00F02DD0"/>
    <w:rsid w:val="00F11786"/>
    <w:rsid w:val="00F21EC7"/>
    <w:rsid w:val="00F27728"/>
    <w:rsid w:val="00F32765"/>
    <w:rsid w:val="00F3280C"/>
    <w:rsid w:val="00F35F3B"/>
    <w:rsid w:val="00F72982"/>
    <w:rsid w:val="00F8298E"/>
    <w:rsid w:val="00F90FAD"/>
    <w:rsid w:val="00F94321"/>
    <w:rsid w:val="00FA5EE2"/>
    <w:rsid w:val="00FB28B4"/>
    <w:rsid w:val="00FE4832"/>
    <w:rsid w:val="00FE6A6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0E9D"/>
    <w:pPr>
      <w:spacing w:after="120"/>
    </w:pPr>
    <w:rPr>
      <w:sz w:val="24"/>
      <w:lang w:eastAsia="en-US"/>
    </w:rPr>
  </w:style>
  <w:style w:type="paragraph" w:styleId="Heading1">
    <w:name w:val="heading 1"/>
    <w:aliases w:val="Centre Head"/>
    <w:next w:val="LeftHeading"/>
    <w:qFormat/>
    <w:rsid w:val="005D0E9D"/>
    <w:pPr>
      <w:spacing w:before="240" w:after="240"/>
      <w:jc w:val="center"/>
      <w:outlineLvl w:val="0"/>
    </w:pPr>
    <w:rPr>
      <w:rFonts w:ascii="Arial" w:hAnsi="Arial"/>
      <w:b/>
      <w:caps/>
      <w:color w:val="000000"/>
      <w:sz w:val="28"/>
      <w:lang w:eastAsia="en-US"/>
    </w:rPr>
  </w:style>
  <w:style w:type="paragraph" w:styleId="Heading2">
    <w:name w:val="heading 2"/>
    <w:basedOn w:val="Normal"/>
    <w:next w:val="Normal"/>
    <w:qFormat/>
    <w:rsid w:val="005D0E9D"/>
    <w:pPr>
      <w:keepNext/>
      <w:spacing w:before="240" w:after="60"/>
      <w:outlineLvl w:val="1"/>
    </w:pPr>
    <w:rPr>
      <w:rFonts w:ascii="Arial" w:hAnsi="Arial"/>
      <w:b/>
      <w:i/>
    </w:rPr>
  </w:style>
  <w:style w:type="paragraph" w:styleId="Heading3">
    <w:name w:val="heading 3"/>
    <w:basedOn w:val="Normal"/>
    <w:next w:val="Normal"/>
    <w:qFormat/>
    <w:rsid w:val="005D0E9D"/>
    <w:pPr>
      <w:keepNext/>
      <w:jc w:val="center"/>
      <w:outlineLvl w:val="2"/>
    </w:pPr>
    <w:rPr>
      <w:i/>
    </w:rPr>
  </w:style>
  <w:style w:type="paragraph" w:styleId="Heading4">
    <w:name w:val="heading 4"/>
    <w:basedOn w:val="Normal"/>
    <w:next w:val="Normal"/>
    <w:qFormat/>
    <w:rsid w:val="005D0E9D"/>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Heading">
    <w:name w:val="Left Heading"/>
    <w:next w:val="SubHeading"/>
    <w:rsid w:val="005D0E9D"/>
    <w:pPr>
      <w:spacing w:before="120" w:after="240"/>
    </w:pPr>
    <w:rPr>
      <w:rFonts w:ascii="Arial" w:hAnsi="Arial"/>
      <w:b/>
      <w:caps/>
      <w:color w:val="000000"/>
      <w:sz w:val="24"/>
      <w:lang w:eastAsia="en-US"/>
    </w:rPr>
  </w:style>
  <w:style w:type="paragraph" w:customStyle="1" w:styleId="SubHeading">
    <w:name w:val="Sub Heading"/>
    <w:next w:val="Normal"/>
    <w:rsid w:val="005D0E9D"/>
    <w:pPr>
      <w:keepNext/>
      <w:spacing w:before="120" w:after="240"/>
    </w:pPr>
    <w:rPr>
      <w:b/>
      <w:color w:val="000000"/>
      <w:sz w:val="24"/>
      <w:u w:val="single"/>
      <w:lang w:eastAsia="en-US"/>
    </w:rPr>
  </w:style>
  <w:style w:type="paragraph" w:customStyle="1" w:styleId="List1">
    <w:name w:val="List 1."/>
    <w:rsid w:val="005D0E9D"/>
    <w:pPr>
      <w:numPr>
        <w:numId w:val="6"/>
      </w:numPr>
      <w:spacing w:after="120"/>
    </w:pPr>
    <w:rPr>
      <w:color w:val="000000"/>
      <w:sz w:val="24"/>
      <w:lang w:eastAsia="en-US"/>
    </w:rPr>
  </w:style>
  <w:style w:type="paragraph" w:styleId="BodyText">
    <w:name w:val="Body Text"/>
    <w:rsid w:val="005D0E9D"/>
    <w:pPr>
      <w:tabs>
        <w:tab w:val="left" w:pos="912"/>
        <w:tab w:val="left" w:pos="2265"/>
        <w:tab w:val="left" w:pos="3975"/>
        <w:tab w:val="left" w:pos="5100"/>
        <w:tab w:val="decimal" w:pos="6384"/>
      </w:tabs>
      <w:spacing w:after="120"/>
    </w:pPr>
    <w:rPr>
      <w:color w:val="000000"/>
      <w:sz w:val="24"/>
      <w:lang w:eastAsia="en-US"/>
    </w:rPr>
  </w:style>
  <w:style w:type="paragraph" w:customStyle="1" w:styleId="Comment">
    <w:name w:val="Comment"/>
    <w:rsid w:val="005D0E9D"/>
    <w:pPr>
      <w:spacing w:after="120"/>
      <w:ind w:left="680" w:hanging="680"/>
    </w:pPr>
    <w:rPr>
      <w:color w:val="000000"/>
      <w:sz w:val="24"/>
      <w:lang w:eastAsia="en-US"/>
    </w:rPr>
  </w:style>
  <w:style w:type="paragraph" w:customStyle="1" w:styleId="Comment2">
    <w:name w:val="Comment2"/>
    <w:rsid w:val="005D0E9D"/>
    <w:pPr>
      <w:spacing w:after="120"/>
      <w:ind w:left="340"/>
    </w:pPr>
    <w:rPr>
      <w:color w:val="000000"/>
      <w:sz w:val="24"/>
      <w:lang w:eastAsia="en-US"/>
    </w:rPr>
  </w:style>
  <w:style w:type="paragraph" w:customStyle="1" w:styleId="Italicsubheading">
    <w:name w:val="Italic subheading"/>
    <w:basedOn w:val="BodyText"/>
    <w:next w:val="List1"/>
    <w:rsid w:val="005D0E9D"/>
    <w:pPr>
      <w:spacing w:before="120" w:after="240"/>
    </w:pPr>
    <w:rPr>
      <w:i/>
    </w:rPr>
  </w:style>
  <w:style w:type="paragraph" w:customStyle="1" w:styleId="Para1">
    <w:name w:val="Para 1"/>
    <w:next w:val="List1"/>
    <w:autoRedefine/>
    <w:rsid w:val="005D0E9D"/>
    <w:pPr>
      <w:tabs>
        <w:tab w:val="left" w:pos="912"/>
        <w:tab w:val="left" w:pos="2265"/>
        <w:tab w:val="left" w:pos="3975"/>
        <w:tab w:val="left" w:pos="5100"/>
        <w:tab w:val="decimal" w:pos="6384"/>
      </w:tabs>
      <w:spacing w:after="120"/>
    </w:pPr>
    <w:rPr>
      <w:color w:val="000000"/>
      <w:sz w:val="24"/>
      <w:lang w:eastAsia="en-US"/>
    </w:rPr>
  </w:style>
  <w:style w:type="paragraph" w:customStyle="1" w:styleId="Colonpoint">
    <w:name w:val="Colon point"/>
    <w:basedOn w:val="Normal"/>
    <w:rsid w:val="005D0E9D"/>
    <w:pPr>
      <w:widowControl w:val="0"/>
      <w:numPr>
        <w:numId w:val="8"/>
      </w:numPr>
      <w:tabs>
        <w:tab w:val="left" w:pos="835"/>
        <w:tab w:val="left" w:pos="1706"/>
        <w:tab w:val="left" w:pos="2562"/>
        <w:tab w:val="left" w:pos="3433"/>
        <w:tab w:val="left" w:pos="4304"/>
        <w:tab w:val="left" w:pos="5115"/>
        <w:tab w:val="left" w:pos="5985"/>
        <w:tab w:val="left" w:pos="6905"/>
        <w:tab w:val="left" w:pos="7731"/>
        <w:tab w:val="left" w:pos="8602"/>
      </w:tabs>
    </w:pPr>
    <w:rPr>
      <w:snapToGrid w:val="0"/>
      <w:color w:val="000000"/>
    </w:rPr>
  </w:style>
  <w:style w:type="paragraph" w:customStyle="1" w:styleId="Listi">
    <w:name w:val="List (i)"/>
    <w:rsid w:val="005D0E9D"/>
    <w:pPr>
      <w:numPr>
        <w:numId w:val="27"/>
      </w:numPr>
      <w:tabs>
        <w:tab w:val="left" w:pos="680"/>
        <w:tab w:val="left" w:pos="835"/>
        <w:tab w:val="left" w:pos="1706"/>
        <w:tab w:val="left" w:pos="2562"/>
        <w:tab w:val="left" w:pos="3433"/>
        <w:tab w:val="left" w:pos="4304"/>
        <w:tab w:val="left" w:pos="5115"/>
      </w:tabs>
      <w:spacing w:after="120"/>
    </w:pPr>
    <w:rPr>
      <w:color w:val="000000"/>
      <w:sz w:val="24"/>
      <w:lang w:eastAsia="en-US"/>
    </w:rPr>
  </w:style>
  <w:style w:type="paragraph" w:customStyle="1" w:styleId="Dot">
    <w:name w:val="Dot"/>
    <w:rsid w:val="005D0E9D"/>
    <w:pPr>
      <w:tabs>
        <w:tab w:val="left" w:pos="835"/>
        <w:tab w:val="left" w:pos="1706"/>
        <w:tab w:val="left" w:pos="2562"/>
        <w:tab w:val="left" w:pos="3433"/>
        <w:tab w:val="left" w:pos="4304"/>
        <w:tab w:val="left" w:pos="5115"/>
        <w:tab w:val="left" w:pos="5985"/>
        <w:tab w:val="left" w:pos="6905"/>
        <w:tab w:val="left" w:pos="7731"/>
      </w:tabs>
      <w:spacing w:after="120"/>
    </w:pPr>
    <w:rPr>
      <w:color w:val="000000"/>
      <w:sz w:val="24"/>
      <w:lang w:eastAsia="en-US"/>
    </w:rPr>
  </w:style>
  <w:style w:type="paragraph" w:customStyle="1" w:styleId="Lista">
    <w:name w:val="List (a)"/>
    <w:rsid w:val="005D0E9D"/>
    <w:pPr>
      <w:numPr>
        <w:numId w:val="10"/>
      </w:numPr>
      <w:spacing w:after="120"/>
    </w:pPr>
    <w:rPr>
      <w:color w:val="000000"/>
      <w:sz w:val="24"/>
      <w:lang w:eastAsia="en-US"/>
    </w:rPr>
  </w:style>
  <w:style w:type="paragraph" w:customStyle="1" w:styleId="Footer1">
    <w:name w:val="Footer1"/>
    <w:rsid w:val="005D0E9D"/>
    <w:rPr>
      <w:color w:val="000000"/>
      <w:lang w:eastAsia="en-US"/>
    </w:rPr>
  </w:style>
  <w:style w:type="paragraph" w:customStyle="1" w:styleId="Attachment">
    <w:name w:val="Attachment"/>
    <w:next w:val="LeftHeading"/>
    <w:rsid w:val="005D0E9D"/>
    <w:pPr>
      <w:spacing w:after="240"/>
      <w:jc w:val="right"/>
    </w:pPr>
    <w:rPr>
      <w:b/>
      <w:caps/>
      <w:color w:val="000000"/>
      <w:sz w:val="24"/>
      <w:lang w:eastAsia="en-US"/>
    </w:rPr>
  </w:style>
  <w:style w:type="paragraph" w:customStyle="1" w:styleId="BodySingle">
    <w:name w:val="Body Single"/>
    <w:rsid w:val="005D0E9D"/>
    <w:rPr>
      <w:color w:val="000000"/>
      <w:sz w:val="24"/>
      <w:lang w:eastAsia="en-US"/>
    </w:rPr>
  </w:style>
  <w:style w:type="paragraph" w:customStyle="1" w:styleId="ResetParaNo">
    <w:name w:val="Reset Para No"/>
    <w:rsid w:val="005D0E9D"/>
    <w:rPr>
      <w:color w:val="000000"/>
      <w:sz w:val="24"/>
      <w:lang w:eastAsia="en-US"/>
    </w:rPr>
  </w:style>
  <w:style w:type="paragraph" w:styleId="BodyTextIndent">
    <w:name w:val="Body Text Indent"/>
    <w:basedOn w:val="Normal"/>
    <w:rsid w:val="005D0E9D"/>
    <w:pPr>
      <w:spacing w:after="0"/>
      <w:ind w:left="680" w:hanging="680"/>
    </w:pPr>
    <w:rPr>
      <w:rFonts w:ascii="Arial" w:hAnsi="Arial"/>
    </w:rPr>
  </w:style>
  <w:style w:type="paragraph" w:customStyle="1" w:styleId="Dash">
    <w:name w:val="Dash"/>
    <w:basedOn w:val="Normal"/>
    <w:rsid w:val="005D0E9D"/>
    <w:pPr>
      <w:numPr>
        <w:numId w:val="28"/>
      </w:numPr>
    </w:pPr>
  </w:style>
  <w:style w:type="paragraph" w:styleId="Header">
    <w:name w:val="header"/>
    <w:basedOn w:val="Normal"/>
    <w:rsid w:val="005D0E9D"/>
    <w:pPr>
      <w:tabs>
        <w:tab w:val="center" w:pos="4153"/>
        <w:tab w:val="right" w:pos="8306"/>
      </w:tabs>
    </w:pPr>
  </w:style>
  <w:style w:type="character" w:styleId="PageNumber">
    <w:name w:val="page number"/>
    <w:basedOn w:val="DefaultParagraphFont"/>
    <w:rsid w:val="005D0E9D"/>
  </w:style>
  <w:style w:type="paragraph" w:customStyle="1" w:styleId="CentreHead2">
    <w:name w:val="Centre Head 2"/>
    <w:next w:val="LeftHeading"/>
    <w:autoRedefine/>
    <w:rsid w:val="005D0E9D"/>
    <w:pPr>
      <w:spacing w:after="120"/>
      <w:jc w:val="center"/>
    </w:pPr>
    <w:rPr>
      <w:rFonts w:ascii="Arial" w:hAnsi="Arial"/>
      <w:b/>
      <w:caps/>
      <w:color w:val="000000"/>
      <w:sz w:val="26"/>
      <w:lang w:eastAsia="en-US"/>
    </w:rPr>
  </w:style>
  <w:style w:type="paragraph" w:styleId="Footer">
    <w:name w:val="footer"/>
    <w:basedOn w:val="Normal"/>
    <w:rsid w:val="005D0E9D"/>
    <w:pPr>
      <w:tabs>
        <w:tab w:val="center" w:pos="4153"/>
        <w:tab w:val="right" w:pos="8306"/>
      </w:tabs>
    </w:pPr>
  </w:style>
  <w:style w:type="paragraph" w:styleId="BodyText2">
    <w:name w:val="Body Text 2"/>
    <w:basedOn w:val="Normal"/>
    <w:rsid w:val="005D0E9D"/>
    <w:rPr>
      <w:i/>
      <w:iCs/>
    </w:rPr>
  </w:style>
  <w:style w:type="paragraph" w:customStyle="1" w:styleId="ZP2">
    <w:name w:val="ZP2"/>
    <w:basedOn w:val="Normal"/>
    <w:rsid w:val="00D65E93"/>
    <w:pPr>
      <w:keepNext/>
      <w:tabs>
        <w:tab w:val="right" w:pos="1758"/>
        <w:tab w:val="left" w:pos="2155"/>
      </w:tabs>
      <w:spacing w:before="60" w:after="0" w:line="260" w:lineRule="exact"/>
      <w:ind w:left="1985" w:hanging="1985"/>
      <w:jc w:val="both"/>
    </w:pPr>
    <w:rPr>
      <w:szCs w:val="24"/>
    </w:rPr>
  </w:style>
  <w:style w:type="paragraph" w:customStyle="1" w:styleId="TableP1a">
    <w:name w:val="TableP1(a)"/>
    <w:basedOn w:val="Normal"/>
    <w:rsid w:val="00190361"/>
    <w:pPr>
      <w:tabs>
        <w:tab w:val="right" w:pos="408"/>
      </w:tabs>
      <w:spacing w:after="60" w:line="240" w:lineRule="exact"/>
      <w:ind w:left="533" w:hanging="533"/>
    </w:pPr>
    <w:rPr>
      <w:sz w:val="22"/>
      <w:szCs w:val="24"/>
    </w:rPr>
  </w:style>
  <w:style w:type="paragraph" w:customStyle="1" w:styleId="TableText">
    <w:name w:val="TableText"/>
    <w:basedOn w:val="Normal"/>
    <w:rsid w:val="00400852"/>
    <w:pPr>
      <w:spacing w:before="60" w:after="60" w:line="240" w:lineRule="exact"/>
    </w:pPr>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uperstyle%2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FA660-E4EF-49EF-9E96-A9DD92F3B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Superstyle doc.dot</Template>
  <TotalTime>0</TotalTime>
  <Pages>3</Pages>
  <Words>938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1996/97/98</vt:lpstr>
    </vt:vector>
  </TitlesOfParts>
  <Company>Department of Finance</Company>
  <LinksUpToDate>false</LinksUpToDate>
  <CharactersWithSpaces>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1996/97/98</dc:title>
  <dc:creator>Wilson</dc:creator>
  <cp:lastModifiedBy>jonmel</cp:lastModifiedBy>
  <cp:revision>2</cp:revision>
  <cp:lastPrinted>2011-06-21T01:19:00Z</cp:lastPrinted>
  <dcterms:created xsi:type="dcterms:W3CDTF">2011-06-30T05:53:00Z</dcterms:created>
  <dcterms:modified xsi:type="dcterms:W3CDTF">2011-06-30T05:53:00Z</dcterms:modified>
</cp:coreProperties>
</file>