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0" w:rsidRDefault="00DE55A0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PersonName">
        <w:smartTag w:uri="urn:schemas-microsoft-com:office:smarttags" w:element="country-region">
          <w:r>
            <w:t>Australia</w:t>
          </w:r>
        </w:smartTag>
      </w:smartTag>
    </w:p>
    <w:p w:rsidR="00DE55A0" w:rsidRDefault="00DE55A0">
      <w:pPr>
        <w:jc w:val="center"/>
        <w:rPr>
          <w:b/>
          <w:bCs/>
        </w:rPr>
      </w:pPr>
    </w:p>
    <w:p w:rsidR="00DE55A0" w:rsidRDefault="00DE55A0">
      <w:pPr>
        <w:pStyle w:val="Heading6"/>
        <w:jc w:val="center"/>
        <w:rPr>
          <w:b w:val="0"/>
          <w:i/>
        </w:rPr>
      </w:pPr>
      <w:r>
        <w:rPr>
          <w:b w:val="0"/>
          <w:i/>
        </w:rPr>
        <w:t>Telecommunications (Consumer Protection and Service Standards) Act 1999</w:t>
      </w:r>
    </w:p>
    <w:p w:rsidR="00DE55A0" w:rsidRDefault="00DE55A0">
      <w:pPr>
        <w:pStyle w:val="Title"/>
        <w:spacing w:before="0"/>
      </w:pPr>
      <w:bookmarkStart w:id="0" w:name="year"/>
    </w:p>
    <w:bookmarkEnd w:id="0"/>
    <w:p w:rsidR="00DE55A0" w:rsidRDefault="00DE55A0">
      <w:pPr>
        <w:pStyle w:val="Title"/>
        <w:spacing w:before="0"/>
      </w:pPr>
      <w:r>
        <w:t>Telecommunications (Participating Persons) Determination 201</w:t>
      </w:r>
      <w:r w:rsidR="00E5740B">
        <w:t>1</w:t>
      </w:r>
      <w:r>
        <w:t xml:space="preserve"> (No. 1)</w:t>
      </w:r>
    </w:p>
    <w:p w:rsidR="00DE55A0" w:rsidRDefault="00DE55A0"/>
    <w:p w:rsidR="00DE55A0" w:rsidRDefault="00DE55A0">
      <w:pPr>
        <w:spacing w:before="400" w:line="300" w:lineRule="atLeast"/>
      </w:pPr>
      <w:r>
        <w:t>I,</w:t>
      </w:r>
      <w:r>
        <w:rPr>
          <w:caps/>
        </w:rPr>
        <w:t xml:space="preserve"> STEPHEN michael CONROY</w:t>
      </w:r>
      <w:r>
        <w:t xml:space="preserve">, Minister for Broadband, Communications and the Digital Economy, make the following Determination under paragraph 20A(2)(b) of the </w:t>
      </w:r>
      <w:r>
        <w:rPr>
          <w:i/>
          <w:iCs/>
        </w:rPr>
        <w:t>Telecommunications (Consumer Protection and Service Standards) Act 1999</w:t>
      </w:r>
      <w:r>
        <w:t>.</w:t>
      </w:r>
    </w:p>
    <w:p w:rsidR="00DE55A0" w:rsidRDefault="00DE55A0">
      <w:pPr>
        <w:tabs>
          <w:tab w:val="center" w:pos="3119"/>
        </w:tabs>
        <w:spacing w:before="300" w:after="600" w:line="300" w:lineRule="atLeast"/>
      </w:pPr>
      <w:r>
        <w:t xml:space="preserve">Dated                            </w:t>
      </w:r>
      <w:r w:rsidR="006E22E7">
        <w:t xml:space="preserve">4 July </w:t>
      </w:r>
      <w:r w:rsidR="00C9487F" w:rsidRPr="00C9487F">
        <w:t>2011</w:t>
      </w:r>
    </w:p>
    <w:p w:rsidR="00DE55A0" w:rsidRDefault="00DE55A0">
      <w:pPr>
        <w:pStyle w:val="HP"/>
        <w:keepNext w:val="0"/>
        <w:spacing w:before="0"/>
        <w:rPr>
          <w:b w:val="0"/>
          <w:bCs w:val="0"/>
        </w:rPr>
      </w:pPr>
      <w:r>
        <w:rPr>
          <w:b w:val="0"/>
          <w:bCs w:val="0"/>
        </w:rPr>
        <w:t>STEPHEN CONROY</w:t>
      </w:r>
    </w:p>
    <w:p w:rsidR="00DE55A0" w:rsidRDefault="00DE55A0">
      <w:pPr>
        <w:jc w:val="center"/>
      </w:pPr>
      <w:r>
        <w:t>Minister for Broadband, Communications and the Digital Economy _________________________________________________________________</w:t>
      </w:r>
    </w:p>
    <w:p w:rsidR="00DE55A0" w:rsidRDefault="00DE55A0">
      <w:pPr>
        <w:pStyle w:val="HR"/>
        <w:numPr>
          <w:ilvl w:val="0"/>
          <w:numId w:val="1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Name of Determination</w:t>
      </w:r>
    </w:p>
    <w:p w:rsidR="00DE55A0" w:rsidRDefault="00DE55A0">
      <w:pPr>
        <w:spacing w:before="120" w:line="300" w:lineRule="atLeast"/>
        <w:ind w:left="567"/>
        <w:rPr>
          <w:b/>
          <w:bCs/>
        </w:rPr>
      </w:pPr>
      <w:r>
        <w:t xml:space="preserve">This Determination is the </w:t>
      </w:r>
      <w:r>
        <w:rPr>
          <w:i/>
          <w:iCs/>
        </w:rPr>
        <w:t xml:space="preserve">Telecommunications (Participating Persons) Determination </w:t>
      </w:r>
      <w:r w:rsidR="00C9487F" w:rsidRPr="00C9487F">
        <w:rPr>
          <w:i/>
          <w:iCs/>
        </w:rPr>
        <w:t>2011 (No. 1).</w:t>
      </w:r>
    </w:p>
    <w:p w:rsidR="00DE55A0" w:rsidRDefault="00DE55A0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Commencement</w:t>
      </w:r>
    </w:p>
    <w:p w:rsidR="00DE55A0" w:rsidRDefault="00DE55A0">
      <w:pPr>
        <w:spacing w:before="120" w:line="300" w:lineRule="atLeast"/>
        <w:ind w:left="567"/>
      </w:pPr>
      <w:r>
        <w:t>This Determination commences on the day after it is registered on the Federal Register of Legislative Instruments.</w:t>
      </w:r>
    </w:p>
    <w:p w:rsidR="00DE55A0" w:rsidRDefault="00DE55A0">
      <w:pPr>
        <w:pStyle w:val="HR"/>
        <w:rPr>
          <w:rFonts w:ascii="Arial" w:hAnsi="Arial" w:cs="Arial"/>
        </w:rPr>
      </w:pPr>
      <w:bookmarkStart w:id="1" w:name="_Toc178047036"/>
      <w:r>
        <w:rPr>
          <w:rFonts w:ascii="Arial" w:hAnsi="Arial" w:cs="Arial"/>
        </w:rPr>
        <w:t>3    R</w:t>
      </w:r>
      <w:bookmarkEnd w:id="1"/>
      <w:r>
        <w:rPr>
          <w:rFonts w:ascii="Arial" w:hAnsi="Arial" w:cs="Arial"/>
        </w:rPr>
        <w:t xml:space="preserve">epealed </w:t>
      </w:r>
    </w:p>
    <w:p w:rsidR="00DE55A0" w:rsidRDefault="00DE55A0">
      <w:pPr>
        <w:pStyle w:val="r10"/>
        <w:keepNext/>
        <w:ind w:left="540" w:firstLine="0"/>
      </w:pPr>
      <w:r>
        <w:t xml:space="preserve">The </w:t>
      </w:r>
      <w:r>
        <w:rPr>
          <w:i/>
        </w:rPr>
        <w:t>National Relay Service (Participating Persons) Determination 2005 (No. 1)</w:t>
      </w:r>
      <w:r>
        <w:t xml:space="preserve"> </w:t>
      </w:r>
      <w:r w:rsidR="00281A26">
        <w:t xml:space="preserve">  </w:t>
      </w:r>
      <w:r>
        <w:t xml:space="preserve">is repealed. </w:t>
      </w:r>
    </w:p>
    <w:p w:rsidR="00DE55A0" w:rsidRDefault="00DE55A0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bookmarkStart w:id="2" w:name="OLE_LINK11"/>
      <w:bookmarkStart w:id="3" w:name="OLE_LINK12"/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Definitions</w:t>
      </w:r>
    </w:p>
    <w:bookmarkEnd w:id="2"/>
    <w:bookmarkEnd w:id="3"/>
    <w:p w:rsidR="00DE55A0" w:rsidRDefault="00DE55A0">
      <w:pPr>
        <w:pStyle w:val="definition"/>
        <w:numPr>
          <w:ilvl w:val="0"/>
          <w:numId w:val="5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this Determination:</w:t>
      </w:r>
    </w:p>
    <w:p w:rsidR="00DE55A0" w:rsidRDefault="00DE55A0">
      <w:pPr>
        <w:pStyle w:val="definition"/>
        <w:tabs>
          <w:tab w:val="clear" w:pos="1260"/>
          <w:tab w:val="left" w:pos="851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ACMA </w:t>
      </w:r>
      <w:r>
        <w:rPr>
          <w:rFonts w:ascii="Times New Roman" w:hAnsi="Times New Roman" w:cs="Times New Roman"/>
          <w:sz w:val="24"/>
          <w:szCs w:val="24"/>
        </w:rPr>
        <w:t>means the Australian Communications and Media Authority.</w:t>
      </w:r>
    </w:p>
    <w:p w:rsidR="006075AF" w:rsidRPr="006075AF" w:rsidRDefault="00DE55A0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iCs/>
          <w:sz w:val="24"/>
          <w:szCs w:val="24"/>
        </w:rPr>
        <w:t>Telecommunications (Consumer Protection and Service Standards) Act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BE5" w:rsidRDefault="00DE55A0">
      <w:pPr>
        <w:pStyle w:val="definition"/>
        <w:tabs>
          <w:tab w:val="left" w:pos="851"/>
        </w:tabs>
        <w:spacing w:before="120" w:after="120"/>
        <w:ind w:left="851" w:right="-290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Eligible Revenue Determination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sz w:val="24"/>
          <w:szCs w:val="24"/>
        </w:rPr>
        <w:t>Telecommunications Universal Service Obligation (Eligible Revenue) Determination 2003</w:t>
      </w:r>
      <w:r w:rsidR="00F47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69B">
        <w:rPr>
          <w:rFonts w:ascii="Times New Roman" w:hAnsi="Times New Roman" w:cs="Times New Roman"/>
          <w:sz w:val="24"/>
          <w:szCs w:val="24"/>
        </w:rPr>
        <w:t>as in force from time to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59A" w:rsidRDefault="00BF559A" w:rsidP="00BB2D95">
      <w:pPr>
        <w:pStyle w:val="BodyText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AF4452" w:rsidRDefault="00AF4452" w:rsidP="00AF4452">
      <w:pPr>
        <w:pStyle w:val="BodyText"/>
        <w:ind w:left="720"/>
        <w:rPr>
          <w:rFonts w:ascii="Times New Roman" w:hAnsi="Times New Roman"/>
          <w:sz w:val="24"/>
          <w:szCs w:val="24"/>
        </w:rPr>
      </w:pPr>
      <w:r w:rsidRPr="00AF4452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specified timeframe</w:t>
      </w:r>
      <w:r>
        <w:rPr>
          <w:rFonts w:ascii="Times New Roman" w:hAnsi="Times New Roman"/>
          <w:sz w:val="24"/>
          <w:szCs w:val="24"/>
        </w:rPr>
        <w:t>, in relation to an eligible revenue period,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7D30">
        <w:rPr>
          <w:rFonts w:ascii="Times New Roman" w:hAnsi="Times New Roman"/>
          <w:sz w:val="24"/>
          <w:szCs w:val="24"/>
        </w:rPr>
        <w:t>means</w:t>
      </w:r>
      <w:r>
        <w:rPr>
          <w:rFonts w:ascii="Times New Roman" w:hAnsi="Times New Roman"/>
          <w:sz w:val="24"/>
          <w:szCs w:val="24"/>
        </w:rPr>
        <w:t xml:space="preserve"> the period of time within which a participating person is required </w:t>
      </w:r>
      <w:r w:rsidRPr="004A4FCF">
        <w:rPr>
          <w:rFonts w:ascii="Times New Roman" w:hAnsi="Times New Roman"/>
          <w:sz w:val="24"/>
          <w:szCs w:val="24"/>
        </w:rPr>
        <w:t>to submit an eligible revenue return</w:t>
      </w:r>
      <w:r>
        <w:rPr>
          <w:rFonts w:ascii="Times New Roman" w:hAnsi="Times New Roman"/>
          <w:sz w:val="24"/>
          <w:szCs w:val="24"/>
        </w:rPr>
        <w:t xml:space="preserve"> for that period, as specified by the ACMA under paragraph 20(2)(a) of the Act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B2D95" w:rsidRPr="002B43FE" w:rsidRDefault="00431E0D" w:rsidP="00BB2D95">
      <w:pPr>
        <w:pStyle w:val="BodyText"/>
        <w:ind w:left="720"/>
        <w:rPr>
          <w:rFonts w:ascii="Times New Roman" w:hAnsi="Times New Roman"/>
          <w:sz w:val="24"/>
          <w:szCs w:val="24"/>
        </w:rPr>
      </w:pPr>
      <w:r w:rsidRPr="00431E0D">
        <w:rPr>
          <w:rFonts w:ascii="Times New Roman" w:hAnsi="Times New Roman"/>
          <w:b/>
          <w:i/>
          <w:sz w:val="24"/>
          <w:szCs w:val="24"/>
        </w:rPr>
        <w:t>u</w:t>
      </w:r>
      <w:r w:rsidR="00BB2D95" w:rsidRPr="002B43FE">
        <w:rPr>
          <w:rFonts w:ascii="Times New Roman" w:hAnsi="Times New Roman"/>
          <w:b/>
          <w:i/>
          <w:sz w:val="24"/>
          <w:szCs w:val="24"/>
        </w:rPr>
        <w:t>ltimate Australian parent</w:t>
      </w:r>
      <w:r w:rsidR="00BB2D95">
        <w:rPr>
          <w:rFonts w:ascii="Times New Roman" w:hAnsi="Times New Roman"/>
          <w:b/>
          <w:i/>
          <w:sz w:val="24"/>
          <w:szCs w:val="24"/>
        </w:rPr>
        <w:t xml:space="preserve"> entity</w:t>
      </w:r>
      <w:r w:rsidR="00BB2D95" w:rsidRPr="002B43FE">
        <w:rPr>
          <w:rFonts w:ascii="Times New Roman" w:hAnsi="Times New Roman"/>
          <w:sz w:val="24"/>
          <w:szCs w:val="24"/>
        </w:rPr>
        <w:t xml:space="preserve"> has the same meaning as in the Eligible Revenue Determination.</w:t>
      </w:r>
    </w:p>
    <w:p w:rsidR="00724570" w:rsidRDefault="00BB2D95" w:rsidP="007D13E0">
      <w:pPr>
        <w:pStyle w:val="definition"/>
        <w:tabs>
          <w:tab w:val="left" w:pos="851"/>
        </w:tabs>
        <w:spacing w:before="120" w:after="120"/>
        <w:ind w:left="851" w:right="-290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E05107">
        <w:rPr>
          <w:rFonts w:ascii="Times New Roman" w:hAnsi="Times New Roman" w:cs="Times New Roman"/>
          <w:bCs/>
          <w:iCs/>
          <w:sz w:val="20"/>
          <w:szCs w:val="20"/>
        </w:rPr>
        <w:t>Note: The term</w:t>
      </w:r>
      <w:r w:rsidR="005F590E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="00E05107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0510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eligible revenue period </w:t>
      </w:r>
      <w:r w:rsidR="005F590E">
        <w:rPr>
          <w:rFonts w:ascii="Times New Roman" w:hAnsi="Times New Roman" w:cs="Times New Roman"/>
          <w:bCs/>
          <w:iCs/>
          <w:sz w:val="20"/>
          <w:szCs w:val="20"/>
        </w:rPr>
        <w:t xml:space="preserve">and </w:t>
      </w:r>
      <w:r w:rsidR="005F590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participating person </w:t>
      </w:r>
      <w:r w:rsidR="005F590E">
        <w:rPr>
          <w:rFonts w:ascii="Times New Roman" w:hAnsi="Times New Roman" w:cs="Times New Roman"/>
          <w:bCs/>
          <w:iCs/>
          <w:sz w:val="20"/>
          <w:szCs w:val="20"/>
        </w:rPr>
        <w:t>have</w:t>
      </w:r>
      <w:r w:rsidR="00C92C87">
        <w:rPr>
          <w:rFonts w:ascii="Times New Roman" w:hAnsi="Times New Roman" w:cs="Times New Roman"/>
          <w:bCs/>
          <w:iCs/>
          <w:sz w:val="20"/>
          <w:szCs w:val="20"/>
        </w:rPr>
        <w:t xml:space="preserve"> the same meaning given by section 5 of the Act.</w:t>
      </w:r>
    </w:p>
    <w:p w:rsidR="00DE55A0" w:rsidRDefault="00DE55A0">
      <w:pPr>
        <w:pStyle w:val="definition"/>
        <w:numPr>
          <w:ilvl w:val="0"/>
          <w:numId w:val="5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purposes of this Determination:</w:t>
      </w:r>
    </w:p>
    <w:p w:rsidR="00DE55A0" w:rsidRDefault="00DE55A0">
      <w:pPr>
        <w:pStyle w:val="definition"/>
        <w:numPr>
          <w:ilvl w:val="1"/>
          <w:numId w:val="6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person’s </w:t>
      </w:r>
      <w:r w:rsidR="00E63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eligible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revenue </w:t>
      </w:r>
      <w:r>
        <w:rPr>
          <w:rFonts w:ascii="Times New Roman" w:hAnsi="Times New Roman" w:cs="Times New Roman"/>
          <w:sz w:val="24"/>
          <w:szCs w:val="24"/>
        </w:rPr>
        <w:t xml:space="preserve">for an eligible revenue period </w:t>
      </w:r>
      <w:r w:rsidR="00AD250B">
        <w:rPr>
          <w:rFonts w:ascii="Times New Roman" w:hAnsi="Times New Roman" w:cs="Times New Roman"/>
          <w:sz w:val="24"/>
          <w:szCs w:val="24"/>
        </w:rPr>
        <w:t>is the amount that would be th</w:t>
      </w:r>
      <w:r w:rsidR="009D381E">
        <w:rPr>
          <w:rFonts w:ascii="Times New Roman" w:hAnsi="Times New Roman" w:cs="Times New Roman"/>
          <w:sz w:val="24"/>
          <w:szCs w:val="24"/>
        </w:rPr>
        <w:t>at person’s</w:t>
      </w:r>
      <w:r w:rsidR="001D7EB3">
        <w:rPr>
          <w:rFonts w:ascii="Times New Roman" w:hAnsi="Times New Roman" w:cs="Times New Roman"/>
          <w:sz w:val="24"/>
          <w:szCs w:val="24"/>
        </w:rPr>
        <w:t xml:space="preserve"> </w:t>
      </w:r>
      <w:r w:rsidR="00E638C6">
        <w:rPr>
          <w:rFonts w:ascii="Times New Roman" w:hAnsi="Times New Roman" w:cs="Times New Roman"/>
          <w:i/>
          <w:sz w:val="24"/>
          <w:szCs w:val="24"/>
        </w:rPr>
        <w:t>eligible</w:t>
      </w:r>
      <w:r w:rsidR="00167526" w:rsidRPr="00167526">
        <w:rPr>
          <w:rFonts w:ascii="Times New Roman" w:hAnsi="Times New Roman" w:cs="Times New Roman"/>
          <w:i/>
          <w:sz w:val="24"/>
          <w:szCs w:val="24"/>
        </w:rPr>
        <w:t xml:space="preserve"> revenue</w:t>
      </w:r>
      <w:r w:rsidR="009D3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EB3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81711">
        <w:rPr>
          <w:rFonts w:ascii="Times New Roman" w:hAnsi="Times New Roman" w:cs="Times New Roman"/>
          <w:iCs/>
          <w:sz w:val="24"/>
          <w:szCs w:val="24"/>
        </w:rPr>
        <w:t>Act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85046">
        <w:rPr>
          <w:rFonts w:ascii="Times New Roman" w:hAnsi="Times New Roman" w:cs="Times New Roman"/>
          <w:sz w:val="24"/>
          <w:szCs w:val="24"/>
        </w:rPr>
        <w:t>if that person were a participating person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55A0" w:rsidRDefault="00DE55A0">
      <w:pPr>
        <w:pStyle w:val="definition"/>
        <w:numPr>
          <w:ilvl w:val="1"/>
          <w:numId w:val="6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person’s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gross telecommunications sales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revenue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for an eligible revenue period</w:t>
      </w:r>
      <w:r w:rsidR="005850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7475">
        <w:rPr>
          <w:rFonts w:ascii="Times New Roman" w:hAnsi="Times New Roman" w:cs="Times New Roman"/>
          <w:bCs/>
          <w:iCs/>
          <w:sz w:val="24"/>
          <w:szCs w:val="24"/>
        </w:rPr>
        <w:t>is the amount that would be th</w:t>
      </w:r>
      <w:r w:rsidR="00BB48A5">
        <w:rPr>
          <w:rFonts w:ascii="Times New Roman" w:hAnsi="Times New Roman" w:cs="Times New Roman"/>
          <w:bCs/>
          <w:iCs/>
          <w:sz w:val="24"/>
          <w:szCs w:val="24"/>
        </w:rPr>
        <w:t>at person’s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0A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gross telecommunications </w:t>
      </w:r>
      <w:r w:rsidR="00167526" w:rsidRPr="00167526">
        <w:rPr>
          <w:rFonts w:ascii="Times New Roman" w:hAnsi="Times New Roman" w:cs="Times New Roman"/>
          <w:bCs/>
          <w:i/>
          <w:iCs/>
          <w:sz w:val="24"/>
          <w:szCs w:val="24"/>
        </w:rPr>
        <w:t>sales revenue</w:t>
      </w:r>
      <w:r w:rsidR="00357475">
        <w:rPr>
          <w:rFonts w:ascii="Times New Roman" w:hAnsi="Times New Roman" w:cs="Times New Roman"/>
          <w:sz w:val="24"/>
          <w:szCs w:val="24"/>
        </w:rPr>
        <w:t xml:space="preserve"> under</w:t>
      </w:r>
      <w:r w:rsidR="005850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Eligible Revenue Determination, </w:t>
      </w:r>
      <w:r w:rsidR="00F4769B">
        <w:rPr>
          <w:rFonts w:ascii="Times New Roman" w:hAnsi="Times New Roman" w:cs="Times New Roman"/>
          <w:bCs/>
          <w:iCs/>
          <w:sz w:val="24"/>
          <w:szCs w:val="24"/>
        </w:rPr>
        <w:t>if that person were a participating person</w:t>
      </w:r>
      <w:r>
        <w:rPr>
          <w:rFonts w:ascii="Times New Roman" w:hAnsi="Times New Roman" w:cs="Times New Roman"/>
          <w:bCs/>
          <w:iCs/>
          <w:sz w:val="24"/>
          <w:szCs w:val="24"/>
        </w:rPr>
        <w:t>; and</w:t>
      </w:r>
    </w:p>
    <w:p w:rsidR="00DE55A0" w:rsidRDefault="00DE55A0">
      <w:pPr>
        <w:pStyle w:val="definition"/>
        <w:numPr>
          <w:ilvl w:val="1"/>
          <w:numId w:val="6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person’s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initial sales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revenue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for an eligible revenue period</w:t>
      </w:r>
      <w:r w:rsidR="00A5378B">
        <w:rPr>
          <w:rFonts w:ascii="Times New Roman" w:hAnsi="Times New Roman" w:cs="Times New Roman"/>
          <w:bCs/>
          <w:iCs/>
          <w:sz w:val="24"/>
          <w:szCs w:val="24"/>
        </w:rPr>
        <w:t xml:space="preserve"> is the</w:t>
      </w:r>
      <w:r w:rsidR="00357475">
        <w:rPr>
          <w:rFonts w:ascii="Times New Roman" w:hAnsi="Times New Roman" w:cs="Times New Roman"/>
          <w:bCs/>
          <w:iCs/>
          <w:sz w:val="24"/>
          <w:szCs w:val="24"/>
        </w:rPr>
        <w:t xml:space="preserve"> amount that would be</w:t>
      </w:r>
      <w:r w:rsidR="004876A7">
        <w:rPr>
          <w:rFonts w:ascii="Times New Roman" w:hAnsi="Times New Roman" w:cs="Times New Roman"/>
          <w:bCs/>
          <w:iCs/>
          <w:sz w:val="24"/>
          <w:szCs w:val="24"/>
        </w:rPr>
        <w:t xml:space="preserve"> that person’s</w:t>
      </w:r>
      <w:r w:rsidR="00A537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3A5">
        <w:rPr>
          <w:rFonts w:ascii="Times New Roman" w:hAnsi="Times New Roman" w:cs="Times New Roman"/>
          <w:bCs/>
          <w:i/>
          <w:iCs/>
          <w:sz w:val="24"/>
          <w:szCs w:val="24"/>
        </w:rPr>
        <w:t>initial sales</w:t>
      </w:r>
      <w:r w:rsidR="00167526" w:rsidRPr="001675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revenue</w:t>
      </w:r>
      <w:r w:rsidR="00CA44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7475">
        <w:rPr>
          <w:rFonts w:ascii="Times New Roman" w:hAnsi="Times New Roman" w:cs="Times New Roman"/>
          <w:sz w:val="24"/>
          <w:szCs w:val="24"/>
        </w:rPr>
        <w:t>under</w:t>
      </w:r>
      <w:r w:rsidR="00A537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9861A8">
        <w:rPr>
          <w:rFonts w:ascii="Times New Roman" w:hAnsi="Times New Roman" w:cs="Times New Roman"/>
          <w:bCs/>
          <w:iCs/>
          <w:sz w:val="24"/>
          <w:szCs w:val="24"/>
        </w:rPr>
        <w:t>Eligible Revenue Determination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378B">
        <w:rPr>
          <w:rFonts w:ascii="Times New Roman" w:hAnsi="Times New Roman" w:cs="Times New Roman"/>
          <w:bCs/>
          <w:iCs/>
          <w:sz w:val="24"/>
          <w:szCs w:val="24"/>
        </w:rPr>
        <w:t xml:space="preserve"> if that person were a participating person</w:t>
      </w:r>
      <w:r w:rsidR="005000BF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E55A0" w:rsidRDefault="00DE55A0">
      <w:pPr>
        <w:pStyle w:val="definition"/>
        <w:numPr>
          <w:ilvl w:val="0"/>
          <w:numId w:val="5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statutory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declaration given by a person is 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eligible statutory declaration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if it is</w:t>
      </w:r>
      <w:r w:rsidR="00163896">
        <w:rPr>
          <w:rFonts w:ascii="Times New Roman" w:hAnsi="Times New Roman" w:cs="Times New Roman"/>
          <w:bCs/>
          <w:iCs/>
          <w:sz w:val="24"/>
          <w:szCs w:val="24"/>
        </w:rPr>
        <w:t xml:space="preserve"> made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E55A0" w:rsidRDefault="00DE55A0">
      <w:pPr>
        <w:pStyle w:val="definition"/>
        <w:numPr>
          <w:ilvl w:val="0"/>
          <w:numId w:val="7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by:</w:t>
      </w:r>
    </w:p>
    <w:p w:rsidR="00DE55A0" w:rsidRDefault="00DE55A0">
      <w:pPr>
        <w:pStyle w:val="definition"/>
        <w:numPr>
          <w:ilvl w:val="2"/>
          <w:numId w:val="6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if the person is a company—a director or company secretary of the company, or</w:t>
      </w:r>
    </w:p>
    <w:p w:rsidR="00DE55A0" w:rsidRDefault="00DE55A0">
      <w:pPr>
        <w:pStyle w:val="definition"/>
        <w:numPr>
          <w:ilvl w:val="2"/>
          <w:numId w:val="6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if the person is a natural person—the person; and</w:t>
      </w:r>
    </w:p>
    <w:p w:rsidR="00DE55A0" w:rsidRPr="005F4297" w:rsidRDefault="00DE55A0">
      <w:pPr>
        <w:pStyle w:val="definition"/>
        <w:numPr>
          <w:ilvl w:val="0"/>
          <w:numId w:val="7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</w:t>
      </w:r>
      <w:r w:rsidR="001714B1">
        <w:rPr>
          <w:rFonts w:ascii="Times New Roman" w:hAnsi="Times New Roman" w:cs="Times New Roman"/>
          <w:sz w:val="24"/>
          <w:szCs w:val="24"/>
        </w:rPr>
        <w:t>ccordance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i/>
          <w:sz w:val="24"/>
          <w:szCs w:val="24"/>
        </w:rPr>
        <w:t xml:space="preserve">Statutory Declarations </w:t>
      </w:r>
      <w:r w:rsidR="00476748">
        <w:rPr>
          <w:rFonts w:ascii="Times New Roman" w:hAnsi="Times New Roman" w:cs="Times New Roman"/>
          <w:i/>
          <w:sz w:val="24"/>
          <w:szCs w:val="24"/>
        </w:rPr>
        <w:t>Act 1959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BA" w:rsidRDefault="005F4297">
      <w:pPr>
        <w:pStyle w:val="definition"/>
        <w:numPr>
          <w:ilvl w:val="0"/>
          <w:numId w:val="5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is 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USO non-participating person </w:t>
      </w:r>
      <w:r w:rsidR="00D2443F">
        <w:rPr>
          <w:rFonts w:ascii="Times New Roman" w:hAnsi="Times New Roman" w:cs="Times New Roman"/>
          <w:sz w:val="24"/>
          <w:szCs w:val="24"/>
        </w:rPr>
        <w:t>for an eligible revenue period</w:t>
      </w:r>
      <w:r w:rsidR="005B7CB4">
        <w:rPr>
          <w:rFonts w:ascii="Times New Roman" w:hAnsi="Times New Roman" w:cs="Times New Roman"/>
          <w:sz w:val="24"/>
          <w:szCs w:val="24"/>
        </w:rPr>
        <w:t>, subject to subsection 4(5),</w:t>
      </w:r>
      <w:r w:rsidR="00D2443F">
        <w:rPr>
          <w:rFonts w:ascii="Times New Roman" w:hAnsi="Times New Roman" w:cs="Times New Roman"/>
          <w:sz w:val="24"/>
          <w:szCs w:val="24"/>
        </w:rPr>
        <w:t xml:space="preserve"> if: </w:t>
      </w:r>
    </w:p>
    <w:p w:rsidR="005B16F2" w:rsidRDefault="00E03840">
      <w:pPr>
        <w:pStyle w:val="P1"/>
        <w:keepNext/>
        <w:ind w:hanging="127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D2443F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both:</w:t>
      </w:r>
    </w:p>
    <w:p w:rsidR="00E03840" w:rsidRDefault="00E03840" w:rsidP="00E03840">
      <w:pPr>
        <w:pStyle w:val="P1"/>
        <w:keepNext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person’s initial sales revenue for the eligible revenue period is less than $25 million; and</w:t>
      </w:r>
    </w:p>
    <w:p w:rsidR="00E03840" w:rsidRDefault="00DB7D30" w:rsidP="00E03840">
      <w:pPr>
        <w:pStyle w:val="P1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specified timeframe </w:t>
      </w:r>
      <w:r w:rsidR="00BF559A" w:rsidRPr="00BF559A">
        <w:rPr>
          <w:rFonts w:ascii="Times New Roman" w:hAnsi="Times New Roman" w:cs="Times New Roman"/>
          <w:sz w:val="24"/>
          <w:szCs w:val="24"/>
        </w:rPr>
        <w:t xml:space="preserve">for </w:t>
      </w:r>
      <w:r w:rsidR="00BF559A">
        <w:rPr>
          <w:rFonts w:ascii="Times New Roman" w:hAnsi="Times New Roman" w:cs="Times New Roman"/>
          <w:sz w:val="24"/>
          <w:szCs w:val="24"/>
        </w:rPr>
        <w:t xml:space="preserve">the </w:t>
      </w:r>
      <w:r w:rsidR="00BF559A" w:rsidRPr="00BF559A">
        <w:rPr>
          <w:rFonts w:ascii="Times New Roman" w:hAnsi="Times New Roman" w:cs="Times New Roman"/>
          <w:sz w:val="24"/>
          <w:szCs w:val="24"/>
        </w:rPr>
        <w:t>eligible rev</w:t>
      </w:r>
      <w:r w:rsidR="00BF559A">
        <w:rPr>
          <w:rFonts w:ascii="Times New Roman" w:hAnsi="Times New Roman" w:cs="Times New Roman"/>
          <w:sz w:val="24"/>
          <w:szCs w:val="24"/>
        </w:rPr>
        <w:t>e</w:t>
      </w:r>
      <w:r w:rsidR="00BF559A" w:rsidRPr="00BF559A">
        <w:rPr>
          <w:rFonts w:ascii="Times New Roman" w:hAnsi="Times New Roman" w:cs="Times New Roman"/>
          <w:sz w:val="24"/>
          <w:szCs w:val="24"/>
        </w:rPr>
        <w:t>nue period</w:t>
      </w:r>
      <w:r w:rsidR="00BF559A">
        <w:rPr>
          <w:rFonts w:ascii="Times New Roman" w:hAnsi="Times New Roman" w:cs="Times New Roman"/>
          <w:sz w:val="24"/>
          <w:szCs w:val="24"/>
        </w:rPr>
        <w:t>,</w:t>
      </w:r>
      <w:r w:rsidR="00BF559A" w:rsidDel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E03840">
        <w:rPr>
          <w:rFonts w:ascii="Times New Roman" w:hAnsi="Times New Roman" w:cs="Times New Roman"/>
          <w:sz w:val="24"/>
          <w:szCs w:val="24"/>
        </w:rPr>
        <w:t xml:space="preserve">the person provides to the ACMA an eligible statutory declaration stating that the person’s initial </w:t>
      </w:r>
      <w:r w:rsidR="00BB27D4">
        <w:rPr>
          <w:rFonts w:ascii="Times New Roman" w:hAnsi="Times New Roman" w:cs="Times New Roman"/>
          <w:sz w:val="24"/>
          <w:szCs w:val="24"/>
        </w:rPr>
        <w:t xml:space="preserve">sales </w:t>
      </w:r>
      <w:r w:rsidR="00E03840">
        <w:rPr>
          <w:rFonts w:ascii="Times New Roman" w:hAnsi="Times New Roman" w:cs="Times New Roman"/>
          <w:sz w:val="24"/>
          <w:szCs w:val="24"/>
        </w:rPr>
        <w:t>revenue for the eligible revenue period was less than $25 million</w:t>
      </w:r>
      <w:r w:rsidR="00BB27D4">
        <w:rPr>
          <w:rFonts w:ascii="Times New Roman" w:hAnsi="Times New Roman" w:cs="Times New Roman"/>
          <w:sz w:val="24"/>
          <w:szCs w:val="24"/>
        </w:rPr>
        <w:t>; or</w:t>
      </w:r>
    </w:p>
    <w:p w:rsidR="00DC3308" w:rsidRDefault="00F870FC">
      <w:pPr>
        <w:pStyle w:val="P1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both:</w:t>
      </w:r>
    </w:p>
    <w:p w:rsidR="00DC3308" w:rsidRDefault="00F870FC">
      <w:pPr>
        <w:pStyle w:val="P1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person’s gross telecommunications sales revenue for the eligible revenue period</w:t>
      </w:r>
      <w:r w:rsidR="0076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less than $25 million</w:t>
      </w:r>
      <w:r w:rsidR="00DE4252">
        <w:rPr>
          <w:rFonts w:ascii="Times New Roman" w:hAnsi="Times New Roman" w:cs="Times New Roman"/>
          <w:sz w:val="24"/>
          <w:szCs w:val="24"/>
        </w:rPr>
        <w:t>; and</w:t>
      </w:r>
    </w:p>
    <w:p w:rsidR="00DE4252" w:rsidRDefault="00BF559A" w:rsidP="00DE4252">
      <w:pPr>
        <w:pStyle w:val="P1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="00DB7D30">
        <w:rPr>
          <w:rFonts w:ascii="Times New Roman" w:hAnsi="Times New Roman" w:cs="Times New Roman"/>
          <w:sz w:val="24"/>
          <w:szCs w:val="24"/>
        </w:rPr>
        <w:t xml:space="preserve">specified timeframe </w:t>
      </w:r>
      <w:r w:rsidRPr="00BF559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F559A">
        <w:rPr>
          <w:rFonts w:ascii="Times New Roman" w:hAnsi="Times New Roman" w:cs="Times New Roman"/>
          <w:sz w:val="24"/>
          <w:szCs w:val="24"/>
        </w:rPr>
        <w:t>eligible rev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559A">
        <w:rPr>
          <w:rFonts w:ascii="Times New Roman" w:hAnsi="Times New Roman" w:cs="Times New Roman"/>
          <w:sz w:val="24"/>
          <w:szCs w:val="24"/>
        </w:rPr>
        <w:t>nue period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4252">
        <w:rPr>
          <w:rFonts w:ascii="Times New Roman" w:hAnsi="Times New Roman" w:cs="Times New Roman"/>
          <w:sz w:val="24"/>
          <w:szCs w:val="24"/>
        </w:rPr>
        <w:t xml:space="preserve">the person provides to the ACMA an eligible statutory declaration stating that the person’s gross telecommunications </w:t>
      </w:r>
      <w:r w:rsidR="00DE4252">
        <w:rPr>
          <w:rFonts w:ascii="Times New Roman" w:hAnsi="Times New Roman" w:cs="Times New Roman"/>
          <w:sz w:val="24"/>
          <w:szCs w:val="24"/>
        </w:rPr>
        <w:lastRenderedPageBreak/>
        <w:t>sale revenue for the eligible revenue period was less than $25 million; or</w:t>
      </w:r>
    </w:p>
    <w:p w:rsidR="00E03840" w:rsidRDefault="00E03840" w:rsidP="00E03840">
      <w:pPr>
        <w:pStyle w:val="definition"/>
        <w:numPr>
          <w:ilvl w:val="0"/>
          <w:numId w:val="9"/>
        </w:numPr>
        <w:tabs>
          <w:tab w:val="clear" w:pos="1260"/>
          <w:tab w:val="left" w:pos="540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both:</w:t>
      </w:r>
    </w:p>
    <w:p w:rsidR="00E03840" w:rsidRDefault="00E03840" w:rsidP="00E03840">
      <w:pPr>
        <w:pStyle w:val="P1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person’s eligible revenue for the eligible revenue period is less than $25 million; and</w:t>
      </w:r>
    </w:p>
    <w:p w:rsidR="00E03840" w:rsidRDefault="00BF559A" w:rsidP="007D13E0">
      <w:pPr>
        <w:pStyle w:val="P1"/>
        <w:numPr>
          <w:ilvl w:val="0"/>
          <w:numId w:val="2"/>
        </w:numPr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="00DB7D30">
        <w:rPr>
          <w:rFonts w:ascii="Times New Roman" w:hAnsi="Times New Roman" w:cs="Times New Roman"/>
          <w:sz w:val="24"/>
          <w:szCs w:val="24"/>
        </w:rPr>
        <w:t xml:space="preserve">specified timeframe </w:t>
      </w:r>
      <w:r w:rsidRPr="00BF559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F559A">
        <w:rPr>
          <w:rFonts w:ascii="Times New Roman" w:hAnsi="Times New Roman" w:cs="Times New Roman"/>
          <w:sz w:val="24"/>
          <w:szCs w:val="24"/>
        </w:rPr>
        <w:t>eligible rev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559A">
        <w:rPr>
          <w:rFonts w:ascii="Times New Roman" w:hAnsi="Times New Roman" w:cs="Times New Roman"/>
          <w:sz w:val="24"/>
          <w:szCs w:val="24"/>
        </w:rPr>
        <w:t>nue period</w:t>
      </w:r>
      <w:r w:rsidR="00E03840">
        <w:rPr>
          <w:rFonts w:ascii="Times New Roman" w:hAnsi="Times New Roman" w:cs="Times New Roman"/>
          <w:sz w:val="24"/>
          <w:szCs w:val="24"/>
        </w:rPr>
        <w:t>, the person provides to the ACMA an eligible statutory declaration stating that the person’s eligible revenue for the eligible revenue period was less than $25 million</w:t>
      </w:r>
      <w:r w:rsidR="00BB27D4">
        <w:rPr>
          <w:rFonts w:ascii="Times New Roman" w:hAnsi="Times New Roman" w:cs="Times New Roman"/>
          <w:sz w:val="24"/>
          <w:szCs w:val="24"/>
        </w:rPr>
        <w:t>.</w:t>
      </w:r>
    </w:p>
    <w:p w:rsidR="002B43FE" w:rsidRPr="002B43FE" w:rsidRDefault="007D13E0" w:rsidP="007D13E0">
      <w:pPr>
        <w:pStyle w:val="BodyText"/>
        <w:spacing w:before="120" w:after="120"/>
        <w:ind w:left="720" w:hanging="495"/>
        <w:rPr>
          <w:rFonts w:ascii="Times New Roman" w:hAnsi="Times New Roman"/>
          <w:sz w:val="24"/>
          <w:szCs w:val="24"/>
        </w:rPr>
      </w:pPr>
      <w:r w:rsidDel="007D13E0">
        <w:rPr>
          <w:rFonts w:ascii="Times New Roman" w:hAnsi="Times New Roman"/>
          <w:sz w:val="24"/>
          <w:szCs w:val="24"/>
        </w:rPr>
        <w:t xml:space="preserve"> </w:t>
      </w:r>
      <w:r w:rsidR="002B43FE">
        <w:rPr>
          <w:rFonts w:ascii="Times New Roman" w:hAnsi="Times New Roman"/>
          <w:sz w:val="24"/>
          <w:szCs w:val="24"/>
        </w:rPr>
        <w:t xml:space="preserve">(5) </w:t>
      </w:r>
      <w:r w:rsidR="002B43FE">
        <w:rPr>
          <w:rFonts w:ascii="Times New Roman" w:hAnsi="Times New Roman"/>
          <w:sz w:val="24"/>
          <w:szCs w:val="24"/>
        </w:rPr>
        <w:tab/>
      </w:r>
      <w:r w:rsidR="002B43FE" w:rsidRPr="002B43FE">
        <w:rPr>
          <w:rFonts w:ascii="Times New Roman" w:hAnsi="Times New Roman"/>
          <w:sz w:val="24"/>
          <w:szCs w:val="24"/>
        </w:rPr>
        <w:t>If a person has the same ultimate Australian parent entity as 1 or more other carriers (or carriage service providers, if a determination under paragraph 20A(1)(b) of the Act is in force), then, for the purposes of calculating</w:t>
      </w:r>
      <w:r w:rsidR="003B46C6">
        <w:rPr>
          <w:rFonts w:ascii="Times New Roman" w:hAnsi="Times New Roman"/>
          <w:sz w:val="24"/>
          <w:szCs w:val="24"/>
        </w:rPr>
        <w:t xml:space="preserve"> the following</w:t>
      </w:r>
      <w:r w:rsidR="002B43FE" w:rsidRPr="002B43FE">
        <w:rPr>
          <w:rFonts w:ascii="Times New Roman" w:hAnsi="Times New Roman"/>
          <w:sz w:val="24"/>
          <w:szCs w:val="24"/>
        </w:rPr>
        <w:t>:</w:t>
      </w:r>
    </w:p>
    <w:p w:rsidR="00E03840" w:rsidRDefault="002B43FE" w:rsidP="00A603F1">
      <w:pPr>
        <w:pStyle w:val="BodyText"/>
        <w:ind w:left="1440" w:hanging="720"/>
        <w:rPr>
          <w:rFonts w:ascii="Times New Roman" w:hAnsi="Times New Roman"/>
          <w:sz w:val="24"/>
          <w:szCs w:val="24"/>
        </w:rPr>
      </w:pPr>
      <w:r w:rsidRPr="002B43FE">
        <w:rPr>
          <w:rFonts w:ascii="Times New Roman" w:hAnsi="Times New Roman"/>
          <w:sz w:val="24"/>
          <w:szCs w:val="24"/>
        </w:rPr>
        <w:t>(</w:t>
      </w:r>
      <w:r w:rsidR="00A603F1">
        <w:rPr>
          <w:rFonts w:ascii="Times New Roman" w:hAnsi="Times New Roman"/>
          <w:sz w:val="24"/>
          <w:szCs w:val="24"/>
        </w:rPr>
        <w:t xml:space="preserve">a) </w:t>
      </w:r>
      <w:r w:rsidR="00A603F1">
        <w:rPr>
          <w:rFonts w:ascii="Times New Roman" w:hAnsi="Times New Roman"/>
          <w:sz w:val="24"/>
          <w:szCs w:val="24"/>
        </w:rPr>
        <w:tab/>
      </w:r>
      <w:r w:rsidR="00E03840" w:rsidRPr="002B43FE">
        <w:rPr>
          <w:rFonts w:ascii="Times New Roman" w:hAnsi="Times New Roman"/>
          <w:sz w:val="24"/>
          <w:szCs w:val="24"/>
        </w:rPr>
        <w:t xml:space="preserve">initial sales revenue for the purposes of </w:t>
      </w:r>
      <w:r w:rsidR="00E03840">
        <w:rPr>
          <w:rFonts w:ascii="Times New Roman" w:hAnsi="Times New Roman"/>
          <w:sz w:val="24"/>
          <w:szCs w:val="24"/>
        </w:rPr>
        <w:t xml:space="preserve">paragraph </w:t>
      </w:r>
      <w:r w:rsidR="00E03840" w:rsidRPr="002B43FE">
        <w:rPr>
          <w:rFonts w:ascii="Times New Roman" w:hAnsi="Times New Roman"/>
          <w:sz w:val="24"/>
          <w:szCs w:val="24"/>
        </w:rPr>
        <w:t>4(4)(</w:t>
      </w:r>
      <w:r w:rsidR="00E03840">
        <w:rPr>
          <w:rFonts w:ascii="Times New Roman" w:hAnsi="Times New Roman"/>
          <w:sz w:val="24"/>
          <w:szCs w:val="24"/>
        </w:rPr>
        <w:t>a</w:t>
      </w:r>
      <w:r w:rsidR="00E03840" w:rsidRPr="002B43FE">
        <w:rPr>
          <w:rFonts w:ascii="Times New Roman" w:hAnsi="Times New Roman"/>
          <w:sz w:val="24"/>
          <w:szCs w:val="24"/>
        </w:rPr>
        <w:t>)</w:t>
      </w:r>
      <w:r w:rsidR="00E03840">
        <w:rPr>
          <w:rFonts w:ascii="Times New Roman" w:hAnsi="Times New Roman"/>
          <w:sz w:val="24"/>
          <w:szCs w:val="24"/>
        </w:rPr>
        <w:t xml:space="preserve"> above;</w:t>
      </w:r>
      <w:r w:rsidR="00874750">
        <w:rPr>
          <w:rFonts w:ascii="Times New Roman" w:hAnsi="Times New Roman"/>
          <w:sz w:val="24"/>
          <w:szCs w:val="24"/>
        </w:rPr>
        <w:t xml:space="preserve"> </w:t>
      </w:r>
      <w:r w:rsidR="00E03840">
        <w:rPr>
          <w:rFonts w:ascii="Times New Roman" w:hAnsi="Times New Roman"/>
          <w:sz w:val="24"/>
          <w:szCs w:val="24"/>
        </w:rPr>
        <w:tab/>
      </w:r>
    </w:p>
    <w:p w:rsidR="002B43FE" w:rsidRPr="002B43FE" w:rsidRDefault="00E03840" w:rsidP="00A603F1">
      <w:pPr>
        <w:pStyle w:val="BodyText"/>
        <w:ind w:left="1440" w:hanging="720"/>
        <w:rPr>
          <w:rFonts w:ascii="Times New Roman" w:hAnsi="Times New Roman"/>
          <w:sz w:val="24"/>
          <w:szCs w:val="24"/>
        </w:rPr>
      </w:pPr>
      <w:r w:rsidRPr="002B43FE" w:rsidDel="00E03840">
        <w:rPr>
          <w:rFonts w:ascii="Times New Roman" w:hAnsi="Times New Roman"/>
          <w:sz w:val="24"/>
          <w:szCs w:val="24"/>
        </w:rPr>
        <w:t xml:space="preserve"> </w:t>
      </w:r>
      <w:r w:rsidR="002B43FE" w:rsidRPr="002B43FE">
        <w:rPr>
          <w:rFonts w:ascii="Times New Roman" w:hAnsi="Times New Roman"/>
          <w:sz w:val="24"/>
          <w:szCs w:val="24"/>
        </w:rPr>
        <w:t>(</w:t>
      </w:r>
      <w:r w:rsidR="00A603F1">
        <w:rPr>
          <w:rFonts w:ascii="Times New Roman" w:hAnsi="Times New Roman"/>
          <w:sz w:val="24"/>
          <w:szCs w:val="24"/>
        </w:rPr>
        <w:t xml:space="preserve">b) </w:t>
      </w:r>
      <w:r w:rsidR="00A603F1">
        <w:rPr>
          <w:rFonts w:ascii="Times New Roman" w:hAnsi="Times New Roman"/>
          <w:sz w:val="24"/>
          <w:szCs w:val="24"/>
        </w:rPr>
        <w:tab/>
      </w:r>
      <w:r w:rsidR="002B43FE" w:rsidRPr="002B43FE">
        <w:rPr>
          <w:rFonts w:ascii="Times New Roman" w:hAnsi="Times New Roman"/>
          <w:sz w:val="24"/>
          <w:szCs w:val="24"/>
        </w:rPr>
        <w:t xml:space="preserve">gross telecommunications sales revenue for the purposes of </w:t>
      </w:r>
      <w:r w:rsidR="00850DE9">
        <w:rPr>
          <w:rFonts w:ascii="Times New Roman" w:hAnsi="Times New Roman"/>
          <w:sz w:val="24"/>
          <w:szCs w:val="24"/>
        </w:rPr>
        <w:t xml:space="preserve">paragraph </w:t>
      </w:r>
      <w:r w:rsidR="002B43FE" w:rsidRPr="002B43FE">
        <w:rPr>
          <w:rFonts w:ascii="Times New Roman" w:hAnsi="Times New Roman"/>
          <w:sz w:val="24"/>
          <w:szCs w:val="24"/>
        </w:rPr>
        <w:t>4(4)(b)</w:t>
      </w:r>
      <w:r w:rsidR="00850DE9">
        <w:rPr>
          <w:rFonts w:ascii="Times New Roman" w:hAnsi="Times New Roman"/>
          <w:sz w:val="24"/>
          <w:szCs w:val="24"/>
        </w:rPr>
        <w:t xml:space="preserve"> above</w:t>
      </w:r>
      <w:r w:rsidR="002B43FE" w:rsidRPr="002B43FE">
        <w:rPr>
          <w:rFonts w:ascii="Times New Roman" w:hAnsi="Times New Roman"/>
          <w:sz w:val="24"/>
          <w:szCs w:val="24"/>
        </w:rPr>
        <w:t xml:space="preserve">; </w:t>
      </w:r>
    </w:p>
    <w:p w:rsidR="00E03840" w:rsidRPr="002B43FE" w:rsidRDefault="002B43FE" w:rsidP="00E03840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2B43FE">
        <w:rPr>
          <w:rFonts w:ascii="Times New Roman" w:hAnsi="Times New Roman"/>
          <w:sz w:val="24"/>
          <w:szCs w:val="24"/>
        </w:rPr>
        <w:t>(</w:t>
      </w:r>
      <w:r w:rsidR="00A603F1">
        <w:rPr>
          <w:rFonts w:ascii="Times New Roman" w:hAnsi="Times New Roman"/>
          <w:sz w:val="24"/>
          <w:szCs w:val="24"/>
        </w:rPr>
        <w:t>c)</w:t>
      </w:r>
      <w:r w:rsidR="00A603F1">
        <w:rPr>
          <w:rFonts w:ascii="Times New Roman" w:hAnsi="Times New Roman"/>
          <w:sz w:val="24"/>
          <w:szCs w:val="24"/>
        </w:rPr>
        <w:tab/>
      </w:r>
      <w:r w:rsidR="00E03840" w:rsidRPr="002B43FE">
        <w:rPr>
          <w:rFonts w:ascii="Times New Roman" w:hAnsi="Times New Roman"/>
          <w:sz w:val="24"/>
          <w:szCs w:val="24"/>
        </w:rPr>
        <w:t xml:space="preserve">eligible revenue for the purposes of </w:t>
      </w:r>
      <w:r w:rsidR="00E03840">
        <w:rPr>
          <w:rFonts w:ascii="Times New Roman" w:hAnsi="Times New Roman"/>
          <w:sz w:val="24"/>
          <w:szCs w:val="24"/>
        </w:rPr>
        <w:t>paragraph </w:t>
      </w:r>
      <w:r w:rsidR="00E03840" w:rsidRPr="002B43FE">
        <w:rPr>
          <w:rFonts w:ascii="Times New Roman" w:hAnsi="Times New Roman"/>
          <w:sz w:val="24"/>
          <w:szCs w:val="24"/>
        </w:rPr>
        <w:t>4(4)(</w:t>
      </w:r>
      <w:r w:rsidR="00E03840">
        <w:rPr>
          <w:rFonts w:ascii="Times New Roman" w:hAnsi="Times New Roman"/>
          <w:sz w:val="24"/>
          <w:szCs w:val="24"/>
        </w:rPr>
        <w:t>c</w:t>
      </w:r>
      <w:r w:rsidR="00E03840" w:rsidRPr="002B43FE">
        <w:rPr>
          <w:rFonts w:ascii="Times New Roman" w:hAnsi="Times New Roman"/>
          <w:sz w:val="24"/>
          <w:szCs w:val="24"/>
        </w:rPr>
        <w:t>)</w:t>
      </w:r>
      <w:r w:rsidR="00E03840">
        <w:rPr>
          <w:rFonts w:ascii="Times New Roman" w:hAnsi="Times New Roman"/>
          <w:sz w:val="24"/>
          <w:szCs w:val="24"/>
        </w:rPr>
        <w:t xml:space="preserve"> above</w:t>
      </w:r>
      <w:r w:rsidR="00E03840" w:rsidRPr="002B43FE">
        <w:rPr>
          <w:rFonts w:ascii="Times New Roman" w:hAnsi="Times New Roman"/>
          <w:sz w:val="24"/>
          <w:szCs w:val="24"/>
        </w:rPr>
        <w:t>;</w:t>
      </w:r>
    </w:p>
    <w:p w:rsidR="002B43FE" w:rsidRDefault="002B43FE" w:rsidP="00A603F1">
      <w:pPr>
        <w:pStyle w:val="BodyText"/>
        <w:ind w:left="720"/>
        <w:rPr>
          <w:rFonts w:ascii="Times New Roman" w:hAnsi="Times New Roman"/>
          <w:sz w:val="24"/>
          <w:szCs w:val="24"/>
        </w:rPr>
      </w:pPr>
      <w:r w:rsidRPr="002B43FE">
        <w:rPr>
          <w:rFonts w:ascii="Times New Roman" w:hAnsi="Times New Roman"/>
          <w:sz w:val="24"/>
          <w:szCs w:val="24"/>
        </w:rPr>
        <w:t>each carrier (</w:t>
      </w:r>
      <w:r w:rsidR="00A603F1">
        <w:rPr>
          <w:rFonts w:ascii="Times New Roman" w:hAnsi="Times New Roman"/>
          <w:sz w:val="24"/>
          <w:szCs w:val="24"/>
        </w:rPr>
        <w:t xml:space="preserve">or </w:t>
      </w:r>
      <w:r w:rsidRPr="002B43FE">
        <w:rPr>
          <w:rFonts w:ascii="Times New Roman" w:hAnsi="Times New Roman"/>
          <w:sz w:val="24"/>
          <w:szCs w:val="24"/>
        </w:rPr>
        <w:t xml:space="preserve">carriage service provider </w:t>
      </w:r>
      <w:r w:rsidR="00A603F1">
        <w:rPr>
          <w:rFonts w:ascii="Times New Roman" w:hAnsi="Times New Roman"/>
          <w:sz w:val="24"/>
          <w:szCs w:val="24"/>
        </w:rPr>
        <w:t>as applicable</w:t>
      </w:r>
      <w:r w:rsidRPr="002B43FE">
        <w:rPr>
          <w:rFonts w:ascii="Times New Roman" w:hAnsi="Times New Roman"/>
          <w:sz w:val="24"/>
          <w:szCs w:val="24"/>
        </w:rPr>
        <w:t>) must make the relevant calculations on a group basis, accounting for revenue and deductions as a whole.</w:t>
      </w:r>
    </w:p>
    <w:p w:rsidR="00DE55A0" w:rsidRDefault="00DE55A0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Determination</w:t>
      </w:r>
    </w:p>
    <w:p w:rsidR="005975E8" w:rsidRDefault="00DE55A0">
      <w:pPr>
        <w:pStyle w:val="definition"/>
        <w:tabs>
          <w:tab w:val="clear" w:pos="1260"/>
          <w:tab w:val="left" w:pos="540"/>
        </w:tabs>
        <w:spacing w:before="120" w:after="120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person is a USO non-participating person for an eligible revenue period, the person is exempt from section 20A of the Act for that eligible revenue period.  </w:t>
      </w:r>
    </w:p>
    <w:p w:rsidR="005975E8" w:rsidRDefault="005975E8">
      <w:pPr>
        <w:pStyle w:val="P1"/>
        <w:ind w:hanging="1276"/>
        <w:jc w:val="left"/>
        <w:rPr>
          <w:rFonts w:ascii="Times New Roman" w:hAnsi="Times New Roman" w:cs="Times New Roman"/>
          <w:sz w:val="24"/>
          <w:szCs w:val="24"/>
        </w:rPr>
      </w:pPr>
    </w:p>
    <w:p w:rsidR="00DE55A0" w:rsidRDefault="00DE55A0">
      <w:pPr>
        <w:pStyle w:val="P1"/>
        <w:tabs>
          <w:tab w:val="clear" w:pos="1080"/>
          <w:tab w:val="right" w:pos="360"/>
        </w:tabs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E55A0" w:rsidRDefault="00DE55A0">
      <w:pPr>
        <w:pStyle w:val="P1"/>
        <w:ind w:left="19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E55A0" w:rsidRDefault="00DE55A0">
      <w:pPr>
        <w:pStyle w:val="P1"/>
        <w:ind w:left="14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E55A0" w:rsidRDefault="00DE55A0">
      <w:pPr>
        <w:pStyle w:val="P1"/>
        <w:ind w:left="14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E55A0" w:rsidRDefault="00DE55A0">
      <w:pPr>
        <w:pStyle w:val="P1"/>
        <w:ind w:hanging="1276"/>
        <w:rPr>
          <w:rFonts w:ascii="Times New Roman" w:hAnsi="Times New Roman" w:cs="Times New Roman"/>
          <w:sz w:val="24"/>
          <w:szCs w:val="24"/>
        </w:rPr>
      </w:pPr>
    </w:p>
    <w:sectPr w:rsidR="00DE55A0" w:rsidSect="006A653F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FF" w:rsidRDefault="003500FF">
      <w:r>
        <w:separator/>
      </w:r>
    </w:p>
  </w:endnote>
  <w:endnote w:type="continuationSeparator" w:id="0">
    <w:p w:rsidR="003500FF" w:rsidRDefault="0035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3F" w:rsidRDefault="00C66503">
    <w:pPr>
      <w:pStyle w:val="Footer"/>
      <w:jc w:val="center"/>
    </w:pPr>
    <w:r>
      <w:fldChar w:fldCharType="begin"/>
    </w:r>
    <w:r w:rsidR="006A653F">
      <w:instrText xml:space="preserve"> PAGE   \* MERGEFORMAT </w:instrText>
    </w:r>
    <w:r>
      <w:fldChar w:fldCharType="separate"/>
    </w:r>
    <w:r w:rsidR="006E22E7">
      <w:rPr>
        <w:noProof/>
      </w:rPr>
      <w:t>3</w:t>
    </w:r>
    <w:r>
      <w:fldChar w:fldCharType="end"/>
    </w:r>
  </w:p>
  <w:p w:rsidR="005B7F1A" w:rsidRDefault="005B7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FF" w:rsidRDefault="003500FF">
      <w:r>
        <w:separator/>
      </w:r>
    </w:p>
  </w:footnote>
  <w:footnote w:type="continuationSeparator" w:id="0">
    <w:p w:rsidR="003500FF" w:rsidRDefault="0035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3F" w:rsidRDefault="006A653F">
    <w:pPr>
      <w:pStyle w:val="Header"/>
    </w:pPr>
    <w:r>
      <w:rPr>
        <w:i/>
        <w:iCs/>
      </w:rPr>
      <w:tab/>
      <w:t xml:space="preserve">Telecommunications (Participating Persons) Determination </w:t>
    </w:r>
    <w:r w:rsidRPr="00C9487F">
      <w:rPr>
        <w:i/>
        <w:iCs/>
      </w:rPr>
      <w:t>2011 (No. 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4FE"/>
    <w:multiLevelType w:val="hybridMultilevel"/>
    <w:tmpl w:val="09BCF2AE"/>
    <w:lvl w:ilvl="0" w:tplc="4772751A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4407"/>
    <w:multiLevelType w:val="hybridMultilevel"/>
    <w:tmpl w:val="17020EB2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13315"/>
    <w:multiLevelType w:val="hybridMultilevel"/>
    <w:tmpl w:val="B06CB0DC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117F6"/>
    <w:multiLevelType w:val="hybridMultilevel"/>
    <w:tmpl w:val="D8E8B3E8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D67DB7"/>
    <w:multiLevelType w:val="hybridMultilevel"/>
    <w:tmpl w:val="7B76F6BA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1186E4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F8686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4180A"/>
    <w:multiLevelType w:val="hybridMultilevel"/>
    <w:tmpl w:val="BAC46CC8"/>
    <w:lvl w:ilvl="0" w:tplc="BF5823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E30881"/>
    <w:multiLevelType w:val="hybridMultilevel"/>
    <w:tmpl w:val="DE7CE3A2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8649D5"/>
    <w:multiLevelType w:val="hybridMultilevel"/>
    <w:tmpl w:val="7232874A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FD4B1D"/>
    <w:multiLevelType w:val="hybridMultilevel"/>
    <w:tmpl w:val="DB920752"/>
    <w:lvl w:ilvl="0" w:tplc="61186E4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36307E"/>
    <w:multiLevelType w:val="hybridMultilevel"/>
    <w:tmpl w:val="D9122C7A"/>
    <w:lvl w:ilvl="0" w:tplc="476C7A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C03CA9"/>
    <w:multiLevelType w:val="singleLevel"/>
    <w:tmpl w:val="E5D49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D49"/>
    <w:rsid w:val="0001011A"/>
    <w:rsid w:val="000104C1"/>
    <w:rsid w:val="000250C3"/>
    <w:rsid w:val="00050AC2"/>
    <w:rsid w:val="0005470B"/>
    <w:rsid w:val="00091D9E"/>
    <w:rsid w:val="000931CD"/>
    <w:rsid w:val="000951BF"/>
    <w:rsid w:val="000B2B0C"/>
    <w:rsid w:val="000E0F6F"/>
    <w:rsid w:val="000E6F5C"/>
    <w:rsid w:val="000E71EE"/>
    <w:rsid w:val="001234A1"/>
    <w:rsid w:val="00140967"/>
    <w:rsid w:val="0015767F"/>
    <w:rsid w:val="0016114E"/>
    <w:rsid w:val="001619A3"/>
    <w:rsid w:val="001620D3"/>
    <w:rsid w:val="00163896"/>
    <w:rsid w:val="00165290"/>
    <w:rsid w:val="00167526"/>
    <w:rsid w:val="001714B1"/>
    <w:rsid w:val="00171E85"/>
    <w:rsid w:val="00183C24"/>
    <w:rsid w:val="00187D12"/>
    <w:rsid w:val="001A13E8"/>
    <w:rsid w:val="001A5812"/>
    <w:rsid w:val="001B15A2"/>
    <w:rsid w:val="001B4C35"/>
    <w:rsid w:val="001D7EB3"/>
    <w:rsid w:val="001F06D1"/>
    <w:rsid w:val="001F0A58"/>
    <w:rsid w:val="002070C9"/>
    <w:rsid w:val="00226206"/>
    <w:rsid w:val="00275DE1"/>
    <w:rsid w:val="00281A26"/>
    <w:rsid w:val="00284A40"/>
    <w:rsid w:val="00286AAB"/>
    <w:rsid w:val="002B43FE"/>
    <w:rsid w:val="002C506F"/>
    <w:rsid w:val="002E049B"/>
    <w:rsid w:val="003078C0"/>
    <w:rsid w:val="003341FA"/>
    <w:rsid w:val="003500FF"/>
    <w:rsid w:val="00357475"/>
    <w:rsid w:val="003A4D7B"/>
    <w:rsid w:val="003B17C9"/>
    <w:rsid w:val="003B46C6"/>
    <w:rsid w:val="003D38EC"/>
    <w:rsid w:val="003D3A11"/>
    <w:rsid w:val="003D6F66"/>
    <w:rsid w:val="00431148"/>
    <w:rsid w:val="00431E0D"/>
    <w:rsid w:val="0044124D"/>
    <w:rsid w:val="0044346A"/>
    <w:rsid w:val="00476748"/>
    <w:rsid w:val="0048410D"/>
    <w:rsid w:val="004876A7"/>
    <w:rsid w:val="004A2D99"/>
    <w:rsid w:val="004B6A38"/>
    <w:rsid w:val="004C5E82"/>
    <w:rsid w:val="004C742F"/>
    <w:rsid w:val="004E17F4"/>
    <w:rsid w:val="004E3664"/>
    <w:rsid w:val="004E5341"/>
    <w:rsid w:val="005000BF"/>
    <w:rsid w:val="00500997"/>
    <w:rsid w:val="00505A2C"/>
    <w:rsid w:val="00511395"/>
    <w:rsid w:val="005134CF"/>
    <w:rsid w:val="00534B43"/>
    <w:rsid w:val="00536E5D"/>
    <w:rsid w:val="00565BA1"/>
    <w:rsid w:val="00582119"/>
    <w:rsid w:val="00585046"/>
    <w:rsid w:val="005975E8"/>
    <w:rsid w:val="005A725A"/>
    <w:rsid w:val="005B16F2"/>
    <w:rsid w:val="005B594F"/>
    <w:rsid w:val="005B64B4"/>
    <w:rsid w:val="005B7CB4"/>
    <w:rsid w:val="005B7F1A"/>
    <w:rsid w:val="005C022E"/>
    <w:rsid w:val="005F4297"/>
    <w:rsid w:val="005F590E"/>
    <w:rsid w:val="006075AF"/>
    <w:rsid w:val="0062724C"/>
    <w:rsid w:val="00630F7E"/>
    <w:rsid w:val="006758B4"/>
    <w:rsid w:val="006871AA"/>
    <w:rsid w:val="00692F96"/>
    <w:rsid w:val="00695E26"/>
    <w:rsid w:val="0069758F"/>
    <w:rsid w:val="006975D6"/>
    <w:rsid w:val="006A653F"/>
    <w:rsid w:val="006D6654"/>
    <w:rsid w:val="006E0AD3"/>
    <w:rsid w:val="006E22E7"/>
    <w:rsid w:val="006F23BE"/>
    <w:rsid w:val="00701F5D"/>
    <w:rsid w:val="007168B4"/>
    <w:rsid w:val="00724570"/>
    <w:rsid w:val="0074606B"/>
    <w:rsid w:val="00764F84"/>
    <w:rsid w:val="007717FB"/>
    <w:rsid w:val="00775B6B"/>
    <w:rsid w:val="00784622"/>
    <w:rsid w:val="007B46D6"/>
    <w:rsid w:val="007C10D0"/>
    <w:rsid w:val="007D13E0"/>
    <w:rsid w:val="00813FF3"/>
    <w:rsid w:val="00821DBF"/>
    <w:rsid w:val="008330A3"/>
    <w:rsid w:val="008422B0"/>
    <w:rsid w:val="0084335D"/>
    <w:rsid w:val="00850DE9"/>
    <w:rsid w:val="0086288B"/>
    <w:rsid w:val="008650C3"/>
    <w:rsid w:val="00874750"/>
    <w:rsid w:val="00881711"/>
    <w:rsid w:val="008B65D8"/>
    <w:rsid w:val="008C210A"/>
    <w:rsid w:val="008C47E2"/>
    <w:rsid w:val="008D3238"/>
    <w:rsid w:val="008D6BE1"/>
    <w:rsid w:val="009037A5"/>
    <w:rsid w:val="00933817"/>
    <w:rsid w:val="009339A9"/>
    <w:rsid w:val="009861A8"/>
    <w:rsid w:val="009A3B34"/>
    <w:rsid w:val="009B5F2D"/>
    <w:rsid w:val="009D13EA"/>
    <w:rsid w:val="009D381E"/>
    <w:rsid w:val="009E0AD6"/>
    <w:rsid w:val="009F6626"/>
    <w:rsid w:val="00A13825"/>
    <w:rsid w:val="00A5378B"/>
    <w:rsid w:val="00A603F1"/>
    <w:rsid w:val="00A839E2"/>
    <w:rsid w:val="00A85674"/>
    <w:rsid w:val="00AB5CDA"/>
    <w:rsid w:val="00AC11AE"/>
    <w:rsid w:val="00AC153C"/>
    <w:rsid w:val="00AD250B"/>
    <w:rsid w:val="00AF4452"/>
    <w:rsid w:val="00B11FC5"/>
    <w:rsid w:val="00B50C5F"/>
    <w:rsid w:val="00B54973"/>
    <w:rsid w:val="00B75B1F"/>
    <w:rsid w:val="00B93AA7"/>
    <w:rsid w:val="00B9682E"/>
    <w:rsid w:val="00BB27D4"/>
    <w:rsid w:val="00BB2D95"/>
    <w:rsid w:val="00BB48A5"/>
    <w:rsid w:val="00BD0958"/>
    <w:rsid w:val="00BD7B87"/>
    <w:rsid w:val="00BF0FBA"/>
    <w:rsid w:val="00BF559A"/>
    <w:rsid w:val="00C05BE5"/>
    <w:rsid w:val="00C143A5"/>
    <w:rsid w:val="00C44F5A"/>
    <w:rsid w:val="00C5160B"/>
    <w:rsid w:val="00C6206C"/>
    <w:rsid w:val="00C628EE"/>
    <w:rsid w:val="00C64984"/>
    <w:rsid w:val="00C66503"/>
    <w:rsid w:val="00C66A90"/>
    <w:rsid w:val="00C92C87"/>
    <w:rsid w:val="00C9487F"/>
    <w:rsid w:val="00C95D49"/>
    <w:rsid w:val="00C95F3A"/>
    <w:rsid w:val="00CA44E7"/>
    <w:rsid w:val="00CB06BF"/>
    <w:rsid w:val="00CC3451"/>
    <w:rsid w:val="00CC5478"/>
    <w:rsid w:val="00CD065D"/>
    <w:rsid w:val="00CE0B2C"/>
    <w:rsid w:val="00CE7523"/>
    <w:rsid w:val="00CF54AD"/>
    <w:rsid w:val="00D03847"/>
    <w:rsid w:val="00D2443F"/>
    <w:rsid w:val="00D51849"/>
    <w:rsid w:val="00D65F73"/>
    <w:rsid w:val="00D76E50"/>
    <w:rsid w:val="00D837C8"/>
    <w:rsid w:val="00DA1E0A"/>
    <w:rsid w:val="00DA621A"/>
    <w:rsid w:val="00DB7D30"/>
    <w:rsid w:val="00DC2EA4"/>
    <w:rsid w:val="00DC3308"/>
    <w:rsid w:val="00DC6023"/>
    <w:rsid w:val="00DD3DE3"/>
    <w:rsid w:val="00DE4252"/>
    <w:rsid w:val="00DE55A0"/>
    <w:rsid w:val="00E02AE4"/>
    <w:rsid w:val="00E03840"/>
    <w:rsid w:val="00E05107"/>
    <w:rsid w:val="00E16862"/>
    <w:rsid w:val="00E5740B"/>
    <w:rsid w:val="00E623B1"/>
    <w:rsid w:val="00E638C6"/>
    <w:rsid w:val="00ED2FD5"/>
    <w:rsid w:val="00EE2E6C"/>
    <w:rsid w:val="00F152AF"/>
    <w:rsid w:val="00F4769B"/>
    <w:rsid w:val="00F73986"/>
    <w:rsid w:val="00F870FC"/>
    <w:rsid w:val="00F90D0F"/>
    <w:rsid w:val="00F91551"/>
    <w:rsid w:val="00F91B63"/>
    <w:rsid w:val="00FB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1AE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C11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AC11AE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R1">
    <w:name w:val="R1"/>
    <w:aliases w:val="1. or 1.(1)"/>
    <w:basedOn w:val="Normal"/>
    <w:next w:val="P1"/>
    <w:rsid w:val="00AC11AE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AC11AE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2">
    <w:name w:val="P2"/>
    <w:aliases w:val="(i)"/>
    <w:basedOn w:val="Normal"/>
    <w:rsid w:val="00AC11AE"/>
    <w:pPr>
      <w:tabs>
        <w:tab w:val="right" w:pos="1800"/>
      </w:tabs>
      <w:autoSpaceDE w:val="0"/>
      <w:autoSpaceDN w:val="0"/>
      <w:spacing w:before="40" w:line="260" w:lineRule="atLeast"/>
      <w:ind w:left="1985" w:hanging="1980"/>
      <w:jc w:val="both"/>
    </w:pPr>
    <w:rPr>
      <w:rFonts w:ascii="Times" w:hAnsi="Times" w:cs="Times"/>
      <w:sz w:val="26"/>
      <w:szCs w:val="26"/>
      <w:lang w:eastAsia="en-AU"/>
    </w:rPr>
  </w:style>
  <w:style w:type="paragraph" w:styleId="Title">
    <w:name w:val="Title"/>
    <w:basedOn w:val="Normal"/>
    <w:next w:val="Normal"/>
    <w:qFormat/>
    <w:rsid w:val="00AC11AE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AC11AE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definition">
    <w:name w:val="definition"/>
    <w:basedOn w:val="Normal"/>
    <w:rsid w:val="00AC11AE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AC11AE"/>
    <w:rPr>
      <w:sz w:val="16"/>
      <w:szCs w:val="16"/>
    </w:rPr>
  </w:style>
  <w:style w:type="paragraph" w:styleId="CommentText">
    <w:name w:val="annotation text"/>
    <w:basedOn w:val="Normal"/>
    <w:semiHidden/>
    <w:rsid w:val="00AC11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11AE"/>
    <w:rPr>
      <w:b/>
      <w:bCs/>
    </w:rPr>
  </w:style>
  <w:style w:type="paragraph" w:styleId="BalloonText">
    <w:name w:val="Balloon Text"/>
    <w:basedOn w:val="Normal"/>
    <w:semiHidden/>
    <w:rsid w:val="00AC1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1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11AE"/>
    <w:pPr>
      <w:tabs>
        <w:tab w:val="center" w:pos="4153"/>
        <w:tab w:val="right" w:pos="8306"/>
      </w:tabs>
    </w:pPr>
  </w:style>
  <w:style w:type="paragraph" w:customStyle="1" w:styleId="hr0">
    <w:name w:val="hr"/>
    <w:basedOn w:val="Normal"/>
    <w:rsid w:val="00AC11AE"/>
    <w:pPr>
      <w:keepNext/>
      <w:spacing w:before="360"/>
      <w:ind w:left="964" w:hanging="964"/>
    </w:pPr>
    <w:rPr>
      <w:rFonts w:ascii="Arial" w:hAnsi="Arial" w:cs="Arial"/>
      <w:b/>
      <w:bCs/>
      <w:szCs w:val="24"/>
      <w:lang w:eastAsia="en-AU"/>
    </w:rPr>
  </w:style>
  <w:style w:type="paragraph" w:customStyle="1" w:styleId="r10">
    <w:name w:val="r1"/>
    <w:basedOn w:val="Normal"/>
    <w:rsid w:val="00AC11AE"/>
    <w:pPr>
      <w:spacing w:before="120" w:line="260" w:lineRule="atLeast"/>
      <w:ind w:left="964" w:hanging="964"/>
      <w:jc w:val="both"/>
    </w:pPr>
    <w:rPr>
      <w:szCs w:val="24"/>
      <w:lang w:eastAsia="en-AU"/>
    </w:rPr>
  </w:style>
  <w:style w:type="paragraph" w:styleId="DocumentMap">
    <w:name w:val="Document Map"/>
    <w:basedOn w:val="Normal"/>
    <w:semiHidden/>
    <w:rsid w:val="00AC11AE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link w:val="BodyTextChar"/>
    <w:qFormat/>
    <w:rsid w:val="002B43FE"/>
    <w:pPr>
      <w:spacing w:after="240" w:line="240" w:lineRule="atLeast"/>
    </w:pPr>
    <w:rPr>
      <w:rFonts w:ascii="Arial" w:hAnsi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2B43FE"/>
    <w:rPr>
      <w:rFonts w:ascii="Arial" w:hAnsi="Arial"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C66A90"/>
    <w:rPr>
      <w:color w:val="0000FF"/>
      <w:u w:val="single"/>
    </w:rPr>
  </w:style>
  <w:style w:type="paragraph" w:styleId="Revision">
    <w:name w:val="Revision"/>
    <w:hidden/>
    <w:uiPriority w:val="99"/>
    <w:semiHidden/>
    <w:rsid w:val="00C66A90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653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CC47-425B-43EF-B2B1-0DA6D16A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DCITA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ssilva</dc:creator>
  <cp:lastModifiedBy>jreardon1</cp:lastModifiedBy>
  <cp:revision>3</cp:revision>
  <cp:lastPrinted>2011-06-02T04:37:00Z</cp:lastPrinted>
  <dcterms:created xsi:type="dcterms:W3CDTF">2011-07-05T01:13:00Z</dcterms:created>
  <dcterms:modified xsi:type="dcterms:W3CDTF">2011-07-05T02:08:00Z</dcterms:modified>
</cp:coreProperties>
</file>