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C6" w:rsidRPr="00054DC6" w:rsidRDefault="00054DC6" w:rsidP="00054DC6">
      <w:pPr>
        <w:autoSpaceDE w:val="0"/>
        <w:autoSpaceDN w:val="0"/>
        <w:adjustRightInd w:val="0"/>
        <w:jc w:val="center"/>
        <w:outlineLvl w:val="0"/>
        <w:rPr>
          <w:b/>
          <w:bCs/>
          <w:color w:val="000000" w:themeColor="text1"/>
          <w:sz w:val="23"/>
          <w:szCs w:val="23"/>
          <w:u w:val="single"/>
        </w:rPr>
      </w:pPr>
      <w:r w:rsidRPr="00054DC6">
        <w:rPr>
          <w:b/>
          <w:bCs/>
          <w:color w:val="000000" w:themeColor="text1"/>
          <w:sz w:val="23"/>
          <w:szCs w:val="23"/>
          <w:u w:val="single"/>
        </w:rPr>
        <w:t>EXPLANATORY STATEMENT</w:t>
      </w:r>
    </w:p>
    <w:p w:rsidR="00054DC6" w:rsidRPr="00054DC6" w:rsidRDefault="00054DC6" w:rsidP="00054DC6">
      <w:pPr>
        <w:autoSpaceDE w:val="0"/>
        <w:autoSpaceDN w:val="0"/>
        <w:adjustRightInd w:val="0"/>
        <w:jc w:val="center"/>
        <w:rPr>
          <w:b/>
          <w:bCs/>
          <w:color w:val="000000" w:themeColor="text1"/>
          <w:sz w:val="23"/>
          <w:szCs w:val="23"/>
        </w:rPr>
      </w:pPr>
    </w:p>
    <w:p w:rsidR="00054DC6" w:rsidRPr="00054DC6" w:rsidRDefault="00054DC6" w:rsidP="00054DC6">
      <w:pPr>
        <w:autoSpaceDE w:val="0"/>
        <w:autoSpaceDN w:val="0"/>
        <w:adjustRightInd w:val="0"/>
        <w:jc w:val="center"/>
        <w:outlineLvl w:val="0"/>
        <w:rPr>
          <w:b/>
          <w:bCs/>
          <w:i/>
          <w:iCs/>
          <w:color w:val="000000" w:themeColor="text1"/>
          <w:sz w:val="23"/>
          <w:szCs w:val="23"/>
        </w:rPr>
      </w:pPr>
      <w:r w:rsidRPr="00054DC6">
        <w:rPr>
          <w:b/>
          <w:bCs/>
          <w:i/>
          <w:iCs/>
          <w:color w:val="000000" w:themeColor="text1"/>
          <w:sz w:val="23"/>
          <w:szCs w:val="23"/>
        </w:rPr>
        <w:t>Telecommunications Act 1997</w:t>
      </w:r>
    </w:p>
    <w:p w:rsidR="00054DC6" w:rsidRPr="00054DC6" w:rsidRDefault="00054DC6" w:rsidP="00054DC6">
      <w:pPr>
        <w:autoSpaceDE w:val="0"/>
        <w:autoSpaceDN w:val="0"/>
        <w:adjustRightInd w:val="0"/>
        <w:jc w:val="center"/>
        <w:outlineLvl w:val="0"/>
        <w:rPr>
          <w:b/>
          <w:bCs/>
          <w:i/>
          <w:iCs/>
          <w:color w:val="000000" w:themeColor="text1"/>
          <w:sz w:val="23"/>
          <w:szCs w:val="23"/>
        </w:rPr>
      </w:pPr>
    </w:p>
    <w:p w:rsidR="00054DC6" w:rsidRPr="00054DC6" w:rsidRDefault="00054DC6" w:rsidP="00054DC6">
      <w:pPr>
        <w:autoSpaceDE w:val="0"/>
        <w:autoSpaceDN w:val="0"/>
        <w:adjustRightInd w:val="0"/>
        <w:jc w:val="center"/>
        <w:outlineLvl w:val="0"/>
        <w:rPr>
          <w:b/>
          <w:bCs/>
          <w:i/>
          <w:iCs/>
          <w:color w:val="000000" w:themeColor="text1"/>
          <w:sz w:val="23"/>
          <w:szCs w:val="23"/>
        </w:rPr>
      </w:pPr>
      <w:r w:rsidRPr="00054DC6">
        <w:rPr>
          <w:b/>
          <w:bCs/>
          <w:i/>
          <w:iCs/>
          <w:color w:val="000000" w:themeColor="text1"/>
          <w:sz w:val="23"/>
          <w:szCs w:val="23"/>
        </w:rPr>
        <w:t>Carrier Licence Conditions (Telstra Corporation Limited) Declaration 1997</w:t>
      </w:r>
    </w:p>
    <w:p w:rsidR="00054DC6" w:rsidRPr="00054DC6" w:rsidRDefault="00054DC6" w:rsidP="00054DC6">
      <w:pPr>
        <w:autoSpaceDE w:val="0"/>
        <w:autoSpaceDN w:val="0"/>
        <w:adjustRightInd w:val="0"/>
        <w:jc w:val="center"/>
        <w:outlineLvl w:val="0"/>
        <w:rPr>
          <w:b/>
          <w:bCs/>
          <w:i/>
          <w:iCs/>
          <w:color w:val="000000" w:themeColor="text1"/>
          <w:sz w:val="23"/>
          <w:szCs w:val="23"/>
        </w:rPr>
      </w:pPr>
      <w:r w:rsidRPr="00054DC6">
        <w:rPr>
          <w:b/>
          <w:bCs/>
          <w:i/>
          <w:iCs/>
          <w:color w:val="000000" w:themeColor="text1"/>
          <w:sz w:val="23"/>
          <w:szCs w:val="23"/>
        </w:rPr>
        <w:t>(Amendment No. 1 of 2011)</w:t>
      </w:r>
    </w:p>
    <w:p w:rsidR="00054DC6" w:rsidRPr="00054DC6" w:rsidRDefault="00054DC6" w:rsidP="00054DC6">
      <w:pPr>
        <w:autoSpaceDE w:val="0"/>
        <w:autoSpaceDN w:val="0"/>
        <w:adjustRightInd w:val="0"/>
        <w:jc w:val="center"/>
        <w:outlineLvl w:val="0"/>
        <w:rPr>
          <w:b/>
          <w:bCs/>
          <w:i/>
          <w:iCs/>
          <w:color w:val="000000" w:themeColor="text1"/>
          <w:sz w:val="23"/>
          <w:szCs w:val="23"/>
        </w:rPr>
      </w:pPr>
    </w:p>
    <w:p w:rsidR="00054DC6" w:rsidRPr="00054DC6" w:rsidRDefault="00054DC6" w:rsidP="00054DC6">
      <w:pPr>
        <w:autoSpaceDE w:val="0"/>
        <w:autoSpaceDN w:val="0"/>
        <w:adjustRightInd w:val="0"/>
        <w:jc w:val="center"/>
        <w:rPr>
          <w:color w:val="000000" w:themeColor="text1"/>
          <w:sz w:val="23"/>
          <w:szCs w:val="23"/>
        </w:rPr>
      </w:pPr>
      <w:r w:rsidRPr="00054DC6">
        <w:rPr>
          <w:color w:val="000000" w:themeColor="text1"/>
          <w:sz w:val="23"/>
          <w:szCs w:val="23"/>
        </w:rPr>
        <w:t>Issued by the authority of the Minister for Broadband, Communications and the Digital Economy</w:t>
      </w:r>
    </w:p>
    <w:p w:rsidR="00054DC6" w:rsidRPr="00054DC6" w:rsidRDefault="00054DC6" w:rsidP="00054DC6">
      <w:pPr>
        <w:autoSpaceDE w:val="0"/>
        <w:autoSpaceDN w:val="0"/>
        <w:adjustRightInd w:val="0"/>
        <w:rPr>
          <w:color w:val="000000" w:themeColor="text1"/>
          <w:sz w:val="23"/>
          <w:szCs w:val="23"/>
        </w:rPr>
      </w:pPr>
    </w:p>
    <w:p w:rsidR="00054DC6" w:rsidRPr="00054DC6" w:rsidRDefault="00054DC6" w:rsidP="00054DC6">
      <w:pPr>
        <w:autoSpaceDE w:val="0"/>
        <w:autoSpaceDN w:val="0"/>
        <w:adjustRightInd w:val="0"/>
        <w:rPr>
          <w:color w:val="000000" w:themeColor="text1"/>
          <w:sz w:val="23"/>
          <w:szCs w:val="23"/>
        </w:rPr>
      </w:pPr>
    </w:p>
    <w:p w:rsidR="00054DC6" w:rsidRPr="00054DC6" w:rsidRDefault="006F68D2" w:rsidP="00054DC6">
      <w:pPr>
        <w:numPr>
          <w:ilvl w:val="0"/>
          <w:numId w:val="1"/>
        </w:numPr>
        <w:autoSpaceDE w:val="0"/>
        <w:autoSpaceDN w:val="0"/>
        <w:adjustRightInd w:val="0"/>
        <w:rPr>
          <w:b/>
          <w:bCs/>
          <w:color w:val="000000" w:themeColor="text1"/>
          <w:sz w:val="23"/>
          <w:szCs w:val="23"/>
        </w:rPr>
      </w:pPr>
      <w:r>
        <w:rPr>
          <w:b/>
          <w:bCs/>
          <w:color w:val="000000" w:themeColor="text1"/>
          <w:sz w:val="23"/>
          <w:szCs w:val="23"/>
        </w:rPr>
        <w:t xml:space="preserve">          </w:t>
      </w:r>
      <w:r w:rsidR="00054DC6" w:rsidRPr="00054DC6">
        <w:rPr>
          <w:b/>
          <w:bCs/>
          <w:color w:val="000000" w:themeColor="text1"/>
          <w:sz w:val="23"/>
          <w:szCs w:val="23"/>
        </w:rPr>
        <w:t>Legislative Basis</w:t>
      </w:r>
    </w:p>
    <w:p w:rsidR="00054DC6" w:rsidRPr="00054DC6" w:rsidRDefault="00054DC6" w:rsidP="00054DC6">
      <w:pPr>
        <w:autoSpaceDE w:val="0"/>
        <w:autoSpaceDN w:val="0"/>
        <w:adjustRightInd w:val="0"/>
        <w:ind w:left="360"/>
        <w:rPr>
          <w:b/>
          <w:bCs/>
          <w:color w:val="000000" w:themeColor="text1"/>
          <w:sz w:val="23"/>
          <w:szCs w:val="23"/>
        </w:rPr>
      </w:pPr>
    </w:p>
    <w:p w:rsidR="00054DC6" w:rsidRPr="00054DC6" w:rsidRDefault="00054DC6" w:rsidP="00054DC6">
      <w:pPr>
        <w:spacing w:before="100" w:beforeAutospacing="1" w:after="100" w:afterAutospacing="1"/>
        <w:rPr>
          <w:color w:val="000000" w:themeColor="text1"/>
        </w:rPr>
      </w:pPr>
      <w:r w:rsidRPr="00054DC6">
        <w:rPr>
          <w:color w:val="000000" w:themeColor="text1"/>
        </w:rPr>
        <w:t>Subsection 63(</w:t>
      </w:r>
      <w:r w:rsidR="00C36BDC">
        <w:rPr>
          <w:color w:val="000000" w:themeColor="text1"/>
        </w:rPr>
        <w:t>2</w:t>
      </w:r>
      <w:r w:rsidRPr="00054DC6">
        <w:rPr>
          <w:color w:val="000000" w:themeColor="text1"/>
        </w:rPr>
        <w:t xml:space="preserve">) of the </w:t>
      </w:r>
      <w:r w:rsidRPr="00054DC6">
        <w:rPr>
          <w:i/>
          <w:iCs/>
          <w:color w:val="000000" w:themeColor="text1"/>
        </w:rPr>
        <w:t xml:space="preserve">Telecommunications Act 1997 </w:t>
      </w:r>
      <w:r w:rsidRPr="00054DC6">
        <w:rPr>
          <w:color w:val="000000" w:themeColor="text1"/>
        </w:rPr>
        <w:t xml:space="preserve">(the </w:t>
      </w:r>
      <w:r>
        <w:rPr>
          <w:color w:val="000000" w:themeColor="text1"/>
        </w:rPr>
        <w:t>‘</w:t>
      </w:r>
      <w:r w:rsidRPr="00054DC6">
        <w:rPr>
          <w:color w:val="000000" w:themeColor="text1"/>
        </w:rPr>
        <w:t>Act</w:t>
      </w:r>
      <w:r>
        <w:rPr>
          <w:color w:val="000000" w:themeColor="text1"/>
        </w:rPr>
        <w:t>’</w:t>
      </w:r>
      <w:r w:rsidR="00C36BDC">
        <w:rPr>
          <w:color w:val="000000" w:themeColor="text1"/>
        </w:rPr>
        <w:t>) provides that the Minister may declare that a particular carrier is subject to licence conditions.</w:t>
      </w:r>
      <w:r w:rsidRPr="00054DC6">
        <w:rPr>
          <w:color w:val="000000" w:themeColor="text1"/>
        </w:rPr>
        <w:t xml:space="preserve"> The </w:t>
      </w:r>
      <w:r w:rsidRPr="00054DC6">
        <w:rPr>
          <w:i/>
          <w:iCs/>
          <w:color w:val="000000" w:themeColor="text1"/>
        </w:rPr>
        <w:t>Carrier Licence Conditions (Telstra Corporation Limited) Declaration 1997</w:t>
      </w:r>
      <w:r w:rsidRPr="00054DC6">
        <w:rPr>
          <w:color w:val="000000" w:themeColor="text1"/>
        </w:rPr>
        <w:t xml:space="preserve"> (the ‘Original Declaration’) was made on 24 June 1997 and came into force on 1 July 1997. The Original Declaration has since been varied by a number of amending declarations.</w:t>
      </w:r>
    </w:p>
    <w:p w:rsidR="00054DC6" w:rsidRPr="00054DC6" w:rsidRDefault="00054DC6" w:rsidP="00054DC6">
      <w:pPr>
        <w:autoSpaceDE w:val="0"/>
        <w:autoSpaceDN w:val="0"/>
        <w:adjustRightInd w:val="0"/>
        <w:rPr>
          <w:color w:val="000000" w:themeColor="text1"/>
        </w:rPr>
      </w:pPr>
      <w:r w:rsidRPr="00054DC6">
        <w:rPr>
          <w:color w:val="000000" w:themeColor="text1"/>
        </w:rPr>
        <w:t xml:space="preserve">Subsection 63(5) of the Act </w:t>
      </w:r>
      <w:bookmarkStart w:id="0" w:name="OLE_LINK1"/>
      <w:bookmarkStart w:id="1" w:name="OLE_LINK2"/>
      <w:r w:rsidRPr="00054DC6">
        <w:rPr>
          <w:color w:val="000000" w:themeColor="text1"/>
        </w:rPr>
        <w:t>enables the Minister</w:t>
      </w:r>
      <w:bookmarkEnd w:id="0"/>
      <w:bookmarkEnd w:id="1"/>
      <w:r w:rsidRPr="00054DC6">
        <w:rPr>
          <w:color w:val="000000" w:themeColor="text1"/>
        </w:rPr>
        <w:t xml:space="preserve">, by written instrument, to vary an instrument under subsection 63(2) of the Act. </w:t>
      </w:r>
      <w:r>
        <w:rPr>
          <w:color w:val="000000" w:themeColor="text1"/>
        </w:rPr>
        <w:t xml:space="preserve"> </w:t>
      </w:r>
      <w:r w:rsidRPr="00054DC6">
        <w:rPr>
          <w:color w:val="000000" w:themeColor="text1"/>
        </w:rPr>
        <w:t xml:space="preserve">Subsection 63(13) of the Act provides that an instrument under subsection 63(5) is a disallowable instrument for the purposes of section 46A of the </w:t>
      </w:r>
      <w:r w:rsidRPr="00054DC6">
        <w:rPr>
          <w:i/>
          <w:iCs/>
          <w:color w:val="000000" w:themeColor="text1"/>
        </w:rPr>
        <w:t>Acts Interpretation Act 1901</w:t>
      </w:r>
      <w:r w:rsidRPr="00054DC6">
        <w:rPr>
          <w:color w:val="000000" w:themeColor="text1"/>
        </w:rPr>
        <w:t>.</w:t>
      </w:r>
    </w:p>
    <w:p w:rsidR="00054DC6" w:rsidRPr="00054DC6" w:rsidRDefault="00054DC6" w:rsidP="00054DC6">
      <w:pPr>
        <w:autoSpaceDE w:val="0"/>
        <w:autoSpaceDN w:val="0"/>
        <w:adjustRightInd w:val="0"/>
        <w:rPr>
          <w:color w:val="000000" w:themeColor="text1"/>
        </w:rPr>
      </w:pPr>
    </w:p>
    <w:p w:rsidR="00054DC6" w:rsidRPr="00054DC6" w:rsidRDefault="007C47E6" w:rsidP="00054DC6">
      <w:pPr>
        <w:autoSpaceDE w:val="0"/>
        <w:autoSpaceDN w:val="0"/>
        <w:adjustRightInd w:val="0"/>
        <w:rPr>
          <w:color w:val="000000" w:themeColor="text1"/>
          <w:sz w:val="23"/>
          <w:szCs w:val="23"/>
        </w:rPr>
      </w:pPr>
      <w:r>
        <w:rPr>
          <w:color w:val="000000" w:themeColor="text1"/>
        </w:rPr>
        <w:t>This D</w:t>
      </w:r>
      <w:r w:rsidR="00054DC6" w:rsidRPr="00054DC6">
        <w:rPr>
          <w:color w:val="000000" w:themeColor="text1"/>
        </w:rPr>
        <w:t>eclaration varies the Original Declaration by removing clause 31. Clause 31 contains provisions requiring Telstra Corporation Limited (</w:t>
      </w:r>
      <w:r w:rsidR="00054DC6">
        <w:rPr>
          <w:color w:val="000000" w:themeColor="text1"/>
        </w:rPr>
        <w:t>‘</w:t>
      </w:r>
      <w:r w:rsidR="00054DC6" w:rsidRPr="00054DC6">
        <w:rPr>
          <w:color w:val="000000" w:themeColor="text1"/>
        </w:rPr>
        <w:t>Telstra</w:t>
      </w:r>
      <w:r w:rsidR="00054DC6">
        <w:rPr>
          <w:color w:val="000000" w:themeColor="text1"/>
        </w:rPr>
        <w:t>’</w:t>
      </w:r>
      <w:r w:rsidR="00054DC6" w:rsidRPr="00054DC6">
        <w:rPr>
          <w:color w:val="000000" w:themeColor="text1"/>
        </w:rPr>
        <w:t>) to provide the Internet Assistance Program as a condition of its carrier licence.</w:t>
      </w:r>
    </w:p>
    <w:p w:rsidR="00054DC6" w:rsidRPr="00054DC6" w:rsidRDefault="00054DC6" w:rsidP="00054DC6">
      <w:pPr>
        <w:autoSpaceDE w:val="0"/>
        <w:autoSpaceDN w:val="0"/>
        <w:adjustRightInd w:val="0"/>
        <w:rPr>
          <w:color w:val="000000" w:themeColor="text1"/>
          <w:sz w:val="23"/>
          <w:szCs w:val="23"/>
        </w:rPr>
      </w:pPr>
    </w:p>
    <w:p w:rsidR="00054DC6" w:rsidRPr="006F68D2" w:rsidRDefault="006F68D2" w:rsidP="006F68D2">
      <w:pPr>
        <w:pStyle w:val="ListParagraph"/>
        <w:numPr>
          <w:ilvl w:val="0"/>
          <w:numId w:val="1"/>
        </w:numPr>
        <w:autoSpaceDE w:val="0"/>
        <w:autoSpaceDN w:val="0"/>
        <w:adjustRightInd w:val="0"/>
        <w:rPr>
          <w:b/>
          <w:color w:val="000000" w:themeColor="text1"/>
          <w:sz w:val="23"/>
          <w:szCs w:val="23"/>
        </w:rPr>
      </w:pPr>
      <w:bookmarkStart w:id="2" w:name="OLE_LINK9"/>
      <w:bookmarkEnd w:id="2"/>
      <w:r>
        <w:rPr>
          <w:b/>
          <w:color w:val="000000" w:themeColor="text1"/>
          <w:sz w:val="23"/>
          <w:szCs w:val="23"/>
        </w:rPr>
        <w:t xml:space="preserve">        </w:t>
      </w:r>
      <w:r w:rsidR="00054DC6" w:rsidRPr="006F68D2">
        <w:rPr>
          <w:b/>
          <w:color w:val="000000" w:themeColor="text1"/>
          <w:sz w:val="23"/>
          <w:szCs w:val="23"/>
        </w:rPr>
        <w:t xml:space="preserve">Purpose of the Amending Declaration </w:t>
      </w:r>
    </w:p>
    <w:p w:rsidR="00054DC6" w:rsidRPr="00054DC6" w:rsidRDefault="00054DC6" w:rsidP="00054DC6">
      <w:pPr>
        <w:autoSpaceDE w:val="0"/>
        <w:autoSpaceDN w:val="0"/>
        <w:adjustRightInd w:val="0"/>
        <w:rPr>
          <w:b/>
          <w:color w:val="000000" w:themeColor="text1"/>
          <w:sz w:val="23"/>
          <w:szCs w:val="23"/>
        </w:rPr>
      </w:pPr>
    </w:p>
    <w:p w:rsidR="00054DC6" w:rsidRPr="00054DC6" w:rsidRDefault="00054DC6" w:rsidP="00054DC6">
      <w:pPr>
        <w:rPr>
          <w:color w:val="000000" w:themeColor="text1"/>
        </w:rPr>
      </w:pPr>
      <w:r w:rsidRPr="00054DC6">
        <w:rPr>
          <w:color w:val="000000" w:themeColor="text1"/>
        </w:rPr>
        <w:t xml:space="preserve">The purpose of the Amending Declaration is to remove the outdated and unnecessary IAP licence condition </w:t>
      </w:r>
      <w:r>
        <w:rPr>
          <w:color w:val="000000" w:themeColor="text1"/>
        </w:rPr>
        <w:t xml:space="preserve">currently imposed </w:t>
      </w:r>
      <w:r w:rsidRPr="00054DC6">
        <w:rPr>
          <w:color w:val="000000" w:themeColor="text1"/>
        </w:rPr>
        <w:t xml:space="preserve">on Telstra. </w:t>
      </w:r>
    </w:p>
    <w:p w:rsidR="00054DC6" w:rsidRPr="00054DC6" w:rsidRDefault="00054DC6" w:rsidP="00054DC6">
      <w:pPr>
        <w:autoSpaceDE w:val="0"/>
        <w:autoSpaceDN w:val="0"/>
        <w:adjustRightInd w:val="0"/>
        <w:rPr>
          <w:b/>
          <w:color w:val="000000" w:themeColor="text1"/>
          <w:sz w:val="23"/>
          <w:szCs w:val="23"/>
        </w:rPr>
      </w:pPr>
    </w:p>
    <w:p w:rsidR="00054DC6" w:rsidRPr="006F68D2" w:rsidRDefault="006F68D2" w:rsidP="006F68D2">
      <w:pPr>
        <w:pStyle w:val="ListParagraph"/>
        <w:numPr>
          <w:ilvl w:val="0"/>
          <w:numId w:val="1"/>
        </w:numPr>
        <w:autoSpaceDE w:val="0"/>
        <w:autoSpaceDN w:val="0"/>
        <w:adjustRightInd w:val="0"/>
        <w:rPr>
          <w:b/>
          <w:bCs/>
          <w:color w:val="000000" w:themeColor="text1"/>
          <w:sz w:val="23"/>
          <w:szCs w:val="23"/>
        </w:rPr>
      </w:pPr>
      <w:r>
        <w:rPr>
          <w:b/>
          <w:bCs/>
          <w:color w:val="000000" w:themeColor="text1"/>
          <w:sz w:val="23"/>
          <w:szCs w:val="23"/>
        </w:rPr>
        <w:t xml:space="preserve">         </w:t>
      </w:r>
      <w:r w:rsidR="00054DC6" w:rsidRPr="006F68D2">
        <w:rPr>
          <w:b/>
          <w:bCs/>
          <w:color w:val="000000" w:themeColor="text1"/>
          <w:sz w:val="23"/>
          <w:szCs w:val="23"/>
        </w:rPr>
        <w:t>Background</w:t>
      </w:r>
    </w:p>
    <w:p w:rsidR="00054DC6" w:rsidRPr="00054DC6" w:rsidRDefault="00054DC6" w:rsidP="00054DC6">
      <w:pPr>
        <w:autoSpaceDE w:val="0"/>
        <w:autoSpaceDN w:val="0"/>
        <w:adjustRightInd w:val="0"/>
        <w:rPr>
          <w:color w:val="000000" w:themeColor="text1"/>
          <w:sz w:val="23"/>
          <w:szCs w:val="23"/>
        </w:rPr>
      </w:pPr>
    </w:p>
    <w:p w:rsidR="00054DC6" w:rsidRPr="00054DC6" w:rsidRDefault="00054DC6" w:rsidP="00054DC6">
      <w:pPr>
        <w:ind w:left="3"/>
        <w:rPr>
          <w:color w:val="000000" w:themeColor="text1"/>
        </w:rPr>
      </w:pPr>
      <w:r w:rsidRPr="00054DC6">
        <w:rPr>
          <w:color w:val="000000" w:themeColor="text1"/>
        </w:rPr>
        <w:t xml:space="preserve">Clause 31 was introduced in 2003, by the </w:t>
      </w:r>
      <w:r w:rsidRPr="00054DC6">
        <w:rPr>
          <w:i/>
          <w:iCs/>
          <w:color w:val="000000" w:themeColor="text1"/>
        </w:rPr>
        <w:t>Carrier Licence Conditions (Telstra Corporation Limited) Declaration 1997 (Amendment No. 2 of 2003)</w:t>
      </w:r>
      <w:r w:rsidRPr="00054DC6">
        <w:rPr>
          <w:iCs/>
          <w:color w:val="000000" w:themeColor="text1"/>
        </w:rPr>
        <w:t>.</w:t>
      </w:r>
      <w:r w:rsidRPr="00054DC6">
        <w:rPr>
          <w:color w:val="000000" w:themeColor="text1"/>
        </w:rPr>
        <w:t xml:space="preserve">  Clause 31 requires Telstra to provide a service to assist users of dial-up internet to achieve a minimum data speed equivalent to at least 19.2 kilobits per second (kbps), known as the Internet Assistance Program (</w:t>
      </w:r>
      <w:r>
        <w:rPr>
          <w:color w:val="000000" w:themeColor="text1"/>
        </w:rPr>
        <w:t>‘</w:t>
      </w:r>
      <w:r w:rsidRPr="00054DC6">
        <w:rPr>
          <w:color w:val="000000" w:themeColor="text1"/>
        </w:rPr>
        <w:t>IAP</w:t>
      </w:r>
      <w:r>
        <w:rPr>
          <w:color w:val="000000" w:themeColor="text1"/>
        </w:rPr>
        <w:t>’</w:t>
      </w:r>
      <w:r w:rsidRPr="00054DC6">
        <w:rPr>
          <w:color w:val="000000" w:themeColor="text1"/>
        </w:rPr>
        <w:t xml:space="preserve">), as a condition of its carrier licence. The IAP consists of a help desk, a self-help website, technical support and a field program.  </w:t>
      </w:r>
    </w:p>
    <w:p w:rsidR="00054DC6" w:rsidRPr="00054DC6" w:rsidRDefault="00054DC6" w:rsidP="00054DC6">
      <w:pPr>
        <w:ind w:left="3"/>
        <w:rPr>
          <w:color w:val="000000" w:themeColor="text1"/>
        </w:rPr>
      </w:pPr>
    </w:p>
    <w:p w:rsidR="00054DC6" w:rsidRPr="00054DC6" w:rsidRDefault="00054DC6" w:rsidP="00054DC6">
      <w:pPr>
        <w:ind w:left="3"/>
        <w:rPr>
          <w:color w:val="000000" w:themeColor="text1"/>
        </w:rPr>
      </w:pPr>
      <w:r w:rsidRPr="00054DC6">
        <w:rPr>
          <w:color w:val="000000" w:themeColor="text1"/>
        </w:rPr>
        <w:t xml:space="preserve">The IAP was developed in response to the Telecommunications Service Inquiry Report (2000), which recommended 19.2 kbps as the minimum benchmark for dial-up internet. </w:t>
      </w:r>
    </w:p>
    <w:p w:rsidR="00054DC6" w:rsidRPr="00054DC6" w:rsidRDefault="00054DC6" w:rsidP="00054DC6">
      <w:pPr>
        <w:ind w:left="3"/>
        <w:rPr>
          <w:color w:val="000000" w:themeColor="text1"/>
        </w:rPr>
      </w:pPr>
    </w:p>
    <w:p w:rsidR="006F68D2" w:rsidRPr="00054DC6" w:rsidRDefault="00054DC6" w:rsidP="00054DC6">
      <w:pPr>
        <w:ind w:left="3"/>
        <w:rPr>
          <w:color w:val="000000" w:themeColor="text1"/>
        </w:rPr>
      </w:pPr>
      <w:r w:rsidRPr="00054DC6">
        <w:rPr>
          <w:color w:val="000000" w:themeColor="text1"/>
        </w:rPr>
        <w:t xml:space="preserve">The Australian Communications and Media Authority (ACMA) monitors and reports on Telstra’s compliance with the licence condition. </w:t>
      </w:r>
      <w:r w:rsidR="00C36BDC">
        <w:rPr>
          <w:color w:val="000000" w:themeColor="text1"/>
        </w:rPr>
        <w:t>The reports show there are few</w:t>
      </w:r>
      <w:r w:rsidRPr="00054DC6">
        <w:rPr>
          <w:color w:val="000000" w:themeColor="text1"/>
        </w:rPr>
        <w:t xml:space="preserve"> </w:t>
      </w:r>
      <w:r w:rsidRPr="00054DC6">
        <w:rPr>
          <w:color w:val="000000" w:themeColor="text1"/>
        </w:rPr>
        <w:lastRenderedPageBreak/>
        <w:t>problems with dial-up internet, particularly in non-metropolitan areas, due to increased broadband adoption</w:t>
      </w:r>
      <w:r w:rsidR="00C36BDC">
        <w:rPr>
          <w:color w:val="000000" w:themeColor="text1"/>
        </w:rPr>
        <w:t>,</w:t>
      </w:r>
      <w:r w:rsidRPr="00054DC6">
        <w:rPr>
          <w:color w:val="000000" w:themeColor="text1"/>
        </w:rPr>
        <w:t xml:space="preserve"> and that </w:t>
      </w:r>
      <w:r w:rsidR="00167828">
        <w:rPr>
          <w:color w:val="000000" w:themeColor="text1"/>
        </w:rPr>
        <w:t xml:space="preserve">there is very little </w:t>
      </w:r>
      <w:r w:rsidRPr="00054DC6">
        <w:rPr>
          <w:color w:val="000000" w:themeColor="text1"/>
        </w:rPr>
        <w:t xml:space="preserve">usage of the IAP. </w:t>
      </w:r>
    </w:p>
    <w:p w:rsidR="00054DC6" w:rsidRPr="00054DC6" w:rsidRDefault="00054DC6" w:rsidP="00054DC6">
      <w:pPr>
        <w:ind w:left="3"/>
        <w:rPr>
          <w:color w:val="000000" w:themeColor="text1"/>
        </w:rPr>
      </w:pPr>
    </w:p>
    <w:p w:rsidR="00054DC6" w:rsidRPr="00054DC6" w:rsidRDefault="00054DC6" w:rsidP="00054DC6">
      <w:pPr>
        <w:ind w:left="3"/>
        <w:rPr>
          <w:color w:val="000000" w:themeColor="text1"/>
        </w:rPr>
      </w:pPr>
      <w:r w:rsidRPr="00054DC6">
        <w:rPr>
          <w:color w:val="000000" w:themeColor="text1"/>
        </w:rPr>
        <w:t xml:space="preserve">The IAP obligation on Telstra is now outdated and unnecessary due to market competition and </w:t>
      </w:r>
      <w:r>
        <w:rPr>
          <w:color w:val="000000" w:themeColor="text1"/>
        </w:rPr>
        <w:t xml:space="preserve">the </w:t>
      </w:r>
      <w:r w:rsidR="006F68D2">
        <w:rPr>
          <w:color w:val="000000" w:themeColor="text1"/>
        </w:rPr>
        <w:t xml:space="preserve">Government’s </w:t>
      </w:r>
      <w:r>
        <w:rPr>
          <w:color w:val="000000" w:themeColor="text1"/>
        </w:rPr>
        <w:t xml:space="preserve">broadband </w:t>
      </w:r>
      <w:r w:rsidR="006F68D2">
        <w:rPr>
          <w:color w:val="000000" w:themeColor="text1"/>
        </w:rPr>
        <w:t xml:space="preserve">initiatives, </w:t>
      </w:r>
      <w:r w:rsidRPr="00054DC6">
        <w:rPr>
          <w:color w:val="000000" w:themeColor="text1"/>
        </w:rPr>
        <w:t>such as the Australian Broadband Guarantee</w:t>
      </w:r>
      <w:r w:rsidR="006F68D2">
        <w:rPr>
          <w:color w:val="000000" w:themeColor="text1"/>
        </w:rPr>
        <w:t xml:space="preserve"> (</w:t>
      </w:r>
      <w:r w:rsidR="007C47E6">
        <w:rPr>
          <w:color w:val="000000" w:themeColor="text1"/>
        </w:rPr>
        <w:t xml:space="preserve">which </w:t>
      </w:r>
      <w:r w:rsidR="006F68D2">
        <w:rPr>
          <w:color w:val="000000" w:themeColor="text1"/>
        </w:rPr>
        <w:t>h</w:t>
      </w:r>
      <w:r w:rsidR="007C47E6">
        <w:rPr>
          <w:color w:val="000000" w:themeColor="text1"/>
        </w:rPr>
        <w:t xml:space="preserve">as provided </w:t>
      </w:r>
      <w:r w:rsidR="007C47E6" w:rsidRPr="00823D43">
        <w:t xml:space="preserve">Australian residential and small business premises with access to broadband services that </w:t>
      </w:r>
      <w:r w:rsidR="007C47E6">
        <w:t>are reasonably comparable</w:t>
      </w:r>
      <w:r w:rsidR="007C47E6" w:rsidRPr="00823D43">
        <w:t xml:space="preserve"> to broadband services available in metropolitan areas</w:t>
      </w:r>
      <w:r>
        <w:rPr>
          <w:color w:val="000000" w:themeColor="text1"/>
        </w:rPr>
        <w:t xml:space="preserve">) </w:t>
      </w:r>
      <w:r w:rsidRPr="00054DC6">
        <w:rPr>
          <w:color w:val="000000" w:themeColor="text1"/>
        </w:rPr>
        <w:t xml:space="preserve">and </w:t>
      </w:r>
      <w:r>
        <w:rPr>
          <w:color w:val="000000" w:themeColor="text1"/>
        </w:rPr>
        <w:t xml:space="preserve">the </w:t>
      </w:r>
      <w:r w:rsidR="00C36BDC">
        <w:rPr>
          <w:color w:val="000000" w:themeColor="text1"/>
        </w:rPr>
        <w:t>National Broadband Network</w:t>
      </w:r>
      <w:r w:rsidRPr="00054DC6">
        <w:rPr>
          <w:color w:val="000000" w:themeColor="text1"/>
        </w:rPr>
        <w:t>.</w:t>
      </w:r>
    </w:p>
    <w:p w:rsidR="00054DC6" w:rsidRPr="00054DC6" w:rsidRDefault="00054DC6" w:rsidP="00054DC6">
      <w:pPr>
        <w:autoSpaceDE w:val="0"/>
        <w:autoSpaceDN w:val="0"/>
        <w:adjustRightInd w:val="0"/>
        <w:rPr>
          <w:color w:val="000000" w:themeColor="text1"/>
          <w:sz w:val="23"/>
          <w:szCs w:val="23"/>
        </w:rPr>
      </w:pPr>
    </w:p>
    <w:p w:rsidR="00054DC6" w:rsidRPr="00054DC6" w:rsidRDefault="00054DC6" w:rsidP="00054DC6">
      <w:pPr>
        <w:rPr>
          <w:color w:val="000000" w:themeColor="text1"/>
        </w:rPr>
      </w:pPr>
      <w:r w:rsidRPr="00054DC6">
        <w:rPr>
          <w:color w:val="000000" w:themeColor="text1"/>
        </w:rPr>
        <w:t xml:space="preserve">The </w:t>
      </w:r>
      <w:r w:rsidR="007C47E6">
        <w:rPr>
          <w:color w:val="000000" w:themeColor="text1"/>
        </w:rPr>
        <w:t>D</w:t>
      </w:r>
      <w:r w:rsidRPr="00054DC6">
        <w:rPr>
          <w:color w:val="000000" w:themeColor="text1"/>
        </w:rPr>
        <w:t>eclaration is a legislative instrument and will be registered on the Federal Register of Legislative Instruments.</w:t>
      </w:r>
    </w:p>
    <w:p w:rsidR="00054DC6" w:rsidRPr="00054DC6" w:rsidRDefault="00054DC6" w:rsidP="00054DC6">
      <w:pPr>
        <w:autoSpaceDE w:val="0"/>
        <w:autoSpaceDN w:val="0"/>
        <w:adjustRightInd w:val="0"/>
        <w:rPr>
          <w:b/>
          <w:bCs/>
          <w:color w:val="000000" w:themeColor="text1"/>
          <w:sz w:val="23"/>
          <w:szCs w:val="23"/>
        </w:rPr>
      </w:pPr>
    </w:p>
    <w:p w:rsidR="00054DC6" w:rsidRPr="00054DC6" w:rsidRDefault="006F68D2" w:rsidP="00054DC6">
      <w:pPr>
        <w:autoSpaceDE w:val="0"/>
        <w:autoSpaceDN w:val="0"/>
        <w:adjustRightInd w:val="0"/>
        <w:rPr>
          <w:b/>
          <w:bCs/>
          <w:color w:val="000000" w:themeColor="text1"/>
        </w:rPr>
      </w:pPr>
      <w:r>
        <w:rPr>
          <w:b/>
          <w:bCs/>
          <w:color w:val="000000" w:themeColor="text1"/>
        </w:rPr>
        <w:t>4</w:t>
      </w:r>
      <w:r w:rsidR="00054DC6" w:rsidRPr="00054DC6">
        <w:rPr>
          <w:b/>
          <w:bCs/>
          <w:color w:val="000000" w:themeColor="text1"/>
        </w:rPr>
        <w:t xml:space="preserve">. </w:t>
      </w:r>
      <w:r>
        <w:rPr>
          <w:b/>
          <w:bCs/>
          <w:color w:val="000000" w:themeColor="text1"/>
        </w:rPr>
        <w:tab/>
      </w:r>
      <w:r w:rsidR="00054DC6" w:rsidRPr="00054DC6">
        <w:rPr>
          <w:b/>
          <w:bCs/>
          <w:color w:val="000000" w:themeColor="text1"/>
        </w:rPr>
        <w:t>Consultation</w:t>
      </w:r>
    </w:p>
    <w:p w:rsidR="00054DC6" w:rsidRPr="00054DC6" w:rsidRDefault="00054DC6" w:rsidP="00054DC6">
      <w:pPr>
        <w:spacing w:before="100" w:beforeAutospacing="1" w:after="100" w:afterAutospacing="1"/>
        <w:rPr>
          <w:color w:val="000000" w:themeColor="text1"/>
        </w:rPr>
      </w:pPr>
      <w:r w:rsidRPr="00054DC6">
        <w:rPr>
          <w:color w:val="000000" w:themeColor="text1"/>
        </w:rPr>
        <w:t>Section 64 of the Act</w:t>
      </w:r>
      <w:r w:rsidRPr="00054DC6">
        <w:rPr>
          <w:i/>
          <w:iCs/>
          <w:color w:val="000000" w:themeColor="text1"/>
        </w:rPr>
        <w:t xml:space="preserve"> </w:t>
      </w:r>
      <w:r w:rsidRPr="00054DC6">
        <w:rPr>
          <w:color w:val="000000" w:themeColor="text1"/>
        </w:rPr>
        <w:t xml:space="preserve">provides that before making an instrument under subsection 63(5) of the Act, the Minister must arrange for a draft version of the instrument to be provided to the licence holder and invite the holder to make a submission to the Minister on the draft.  Consistent with this requirement, the Minister formally consulted with Telstra on </w:t>
      </w:r>
      <w:r w:rsidR="00167828">
        <w:rPr>
          <w:color w:val="000000" w:themeColor="text1"/>
        </w:rPr>
        <w:t>8 April 2011</w:t>
      </w:r>
      <w:r w:rsidRPr="00054DC6">
        <w:rPr>
          <w:color w:val="000000" w:themeColor="text1"/>
        </w:rPr>
        <w:t xml:space="preserve"> regarding the proposed repeal of clause 31 of the carrier licence conditions.  Telstra wrote to the Minister on </w:t>
      </w:r>
      <w:r w:rsidR="00167828">
        <w:rPr>
          <w:color w:val="000000" w:themeColor="text1"/>
        </w:rPr>
        <w:t>3 May 2011</w:t>
      </w:r>
      <w:r w:rsidRPr="00054DC6">
        <w:rPr>
          <w:color w:val="000000" w:themeColor="text1"/>
        </w:rPr>
        <w:t xml:space="preserve"> agreeing with the proposed repeal of clause 31. The Department has also consulted with the ACMA in respect of this matter. </w:t>
      </w:r>
    </w:p>
    <w:p w:rsidR="00054DC6" w:rsidRPr="00054DC6" w:rsidRDefault="00054DC6" w:rsidP="00054DC6">
      <w:pPr>
        <w:spacing w:before="100" w:beforeAutospacing="1" w:after="100" w:afterAutospacing="1"/>
        <w:rPr>
          <w:color w:val="000000" w:themeColor="text1"/>
        </w:rPr>
      </w:pPr>
      <w:r w:rsidRPr="00054DC6">
        <w:rPr>
          <w:color w:val="000000" w:themeColor="text1"/>
        </w:rPr>
        <w:t xml:space="preserve">The repeal of the IAP obligation will have a very low impact on business and individuals. </w:t>
      </w:r>
      <w:r w:rsidR="00C36BDC">
        <w:rPr>
          <w:color w:val="000000" w:themeColor="text1"/>
        </w:rPr>
        <w:t>The</w:t>
      </w:r>
      <w:r w:rsidR="00167828">
        <w:rPr>
          <w:color w:val="000000" w:themeColor="text1"/>
        </w:rPr>
        <w:t xml:space="preserve"> Office of</w:t>
      </w:r>
      <w:r w:rsidR="00C36BDC">
        <w:rPr>
          <w:color w:val="000000" w:themeColor="text1"/>
        </w:rPr>
        <w:t xml:space="preserve"> Best Practice Regulation has advised that</w:t>
      </w:r>
      <w:r w:rsidR="00167828">
        <w:rPr>
          <w:color w:val="000000" w:themeColor="text1"/>
        </w:rPr>
        <w:t xml:space="preserve"> a regulatory impact statement </w:t>
      </w:r>
      <w:r w:rsidR="00C36BDC">
        <w:rPr>
          <w:color w:val="000000" w:themeColor="text1"/>
        </w:rPr>
        <w:t>is not required for this instrument.</w:t>
      </w:r>
    </w:p>
    <w:p w:rsidR="00054DC6" w:rsidRPr="00054DC6" w:rsidRDefault="006F68D2" w:rsidP="00054DC6">
      <w:pPr>
        <w:autoSpaceDE w:val="0"/>
        <w:autoSpaceDN w:val="0"/>
        <w:adjustRightInd w:val="0"/>
        <w:rPr>
          <w:b/>
          <w:bCs/>
          <w:color w:val="000000" w:themeColor="text1"/>
        </w:rPr>
      </w:pPr>
      <w:r>
        <w:rPr>
          <w:b/>
          <w:bCs/>
          <w:color w:val="000000" w:themeColor="text1"/>
        </w:rPr>
        <w:t>5</w:t>
      </w:r>
      <w:r w:rsidR="00054DC6" w:rsidRPr="00054DC6">
        <w:rPr>
          <w:b/>
          <w:bCs/>
          <w:color w:val="000000" w:themeColor="text1"/>
        </w:rPr>
        <w:t xml:space="preserve">. </w:t>
      </w:r>
      <w:r w:rsidR="00054DC6" w:rsidRPr="00054DC6">
        <w:rPr>
          <w:b/>
          <w:bCs/>
          <w:color w:val="000000" w:themeColor="text1"/>
        </w:rPr>
        <w:tab/>
        <w:t>Details of the accompanying Declaration</w:t>
      </w:r>
    </w:p>
    <w:p w:rsidR="00054DC6" w:rsidRPr="00054DC6" w:rsidRDefault="00054DC6" w:rsidP="00054DC6">
      <w:pPr>
        <w:autoSpaceDE w:val="0"/>
        <w:autoSpaceDN w:val="0"/>
        <w:adjustRightInd w:val="0"/>
        <w:rPr>
          <w:b/>
          <w:bCs/>
          <w:color w:val="000000" w:themeColor="text1"/>
        </w:rPr>
      </w:pPr>
    </w:p>
    <w:p w:rsidR="00054DC6" w:rsidRPr="00054DC6" w:rsidRDefault="00054DC6" w:rsidP="00054DC6">
      <w:pPr>
        <w:autoSpaceDE w:val="0"/>
        <w:autoSpaceDN w:val="0"/>
        <w:adjustRightInd w:val="0"/>
        <w:rPr>
          <w:color w:val="000000" w:themeColor="text1"/>
        </w:rPr>
      </w:pPr>
      <w:r w:rsidRPr="00054DC6">
        <w:rPr>
          <w:color w:val="000000" w:themeColor="text1"/>
        </w:rPr>
        <w:t>Details of the accompanying Declaration are as follows:</w:t>
      </w:r>
    </w:p>
    <w:p w:rsidR="00054DC6" w:rsidRPr="00054DC6" w:rsidRDefault="00054DC6" w:rsidP="00054DC6">
      <w:pPr>
        <w:autoSpaceDE w:val="0"/>
        <w:autoSpaceDN w:val="0"/>
        <w:adjustRightInd w:val="0"/>
        <w:rPr>
          <w:color w:val="000000" w:themeColor="text1"/>
        </w:rPr>
      </w:pPr>
    </w:p>
    <w:p w:rsidR="00054DC6" w:rsidRPr="00054DC6" w:rsidRDefault="00054DC6" w:rsidP="00054DC6">
      <w:pPr>
        <w:autoSpaceDE w:val="0"/>
        <w:autoSpaceDN w:val="0"/>
        <w:adjustRightInd w:val="0"/>
        <w:outlineLvl w:val="0"/>
        <w:rPr>
          <w:b/>
          <w:bCs/>
          <w:color w:val="000000" w:themeColor="text1"/>
        </w:rPr>
      </w:pPr>
      <w:r w:rsidRPr="00054DC6">
        <w:rPr>
          <w:b/>
          <w:bCs/>
          <w:color w:val="000000" w:themeColor="text1"/>
        </w:rPr>
        <w:t>Clause 1 – Name of Declaration</w:t>
      </w:r>
    </w:p>
    <w:p w:rsidR="00054DC6" w:rsidRPr="00054DC6" w:rsidRDefault="00054DC6" w:rsidP="00054DC6">
      <w:pPr>
        <w:autoSpaceDE w:val="0"/>
        <w:autoSpaceDN w:val="0"/>
        <w:adjustRightInd w:val="0"/>
        <w:rPr>
          <w:color w:val="000000" w:themeColor="text1"/>
        </w:rPr>
      </w:pPr>
    </w:p>
    <w:p w:rsidR="00054DC6" w:rsidRPr="00054DC6" w:rsidRDefault="00054DC6" w:rsidP="00054DC6">
      <w:pPr>
        <w:autoSpaceDE w:val="0"/>
        <w:autoSpaceDN w:val="0"/>
        <w:adjustRightInd w:val="0"/>
        <w:rPr>
          <w:color w:val="000000" w:themeColor="text1"/>
        </w:rPr>
      </w:pPr>
      <w:r w:rsidRPr="00054DC6">
        <w:rPr>
          <w:color w:val="000000" w:themeColor="text1"/>
        </w:rPr>
        <w:t xml:space="preserve">Clause 1 of the accompanying Declaration provides that the name of the accompanying Declaration is the </w:t>
      </w:r>
      <w:r w:rsidRPr="00054DC6">
        <w:rPr>
          <w:i/>
          <w:iCs/>
          <w:color w:val="000000" w:themeColor="text1"/>
        </w:rPr>
        <w:t>Carrier Licence Conditions (Telstra Corporation Limited) Declaration</w:t>
      </w:r>
      <w:r w:rsidRPr="00054DC6">
        <w:rPr>
          <w:color w:val="000000" w:themeColor="text1"/>
        </w:rPr>
        <w:t xml:space="preserve"> </w:t>
      </w:r>
      <w:r w:rsidRPr="00054DC6">
        <w:rPr>
          <w:i/>
          <w:iCs/>
          <w:color w:val="000000" w:themeColor="text1"/>
        </w:rPr>
        <w:t>1997(Amendment No. 1 of 2011)</w:t>
      </w:r>
      <w:r w:rsidRPr="00054DC6">
        <w:rPr>
          <w:color w:val="000000" w:themeColor="text1"/>
        </w:rPr>
        <w:t>.</w:t>
      </w:r>
    </w:p>
    <w:p w:rsidR="00054DC6" w:rsidRPr="00054DC6" w:rsidRDefault="00054DC6" w:rsidP="00054DC6">
      <w:pPr>
        <w:autoSpaceDE w:val="0"/>
        <w:autoSpaceDN w:val="0"/>
        <w:adjustRightInd w:val="0"/>
        <w:rPr>
          <w:color w:val="000000" w:themeColor="text1"/>
        </w:rPr>
      </w:pPr>
    </w:p>
    <w:p w:rsidR="00054DC6" w:rsidRPr="00054DC6" w:rsidRDefault="00054DC6" w:rsidP="00054DC6">
      <w:pPr>
        <w:autoSpaceDE w:val="0"/>
        <w:autoSpaceDN w:val="0"/>
        <w:adjustRightInd w:val="0"/>
        <w:outlineLvl w:val="0"/>
        <w:rPr>
          <w:b/>
          <w:bCs/>
          <w:color w:val="000000" w:themeColor="text1"/>
        </w:rPr>
      </w:pPr>
      <w:r w:rsidRPr="00054DC6">
        <w:rPr>
          <w:b/>
          <w:bCs/>
          <w:color w:val="000000" w:themeColor="text1"/>
        </w:rPr>
        <w:t>Clause 2 – Commencement</w:t>
      </w:r>
    </w:p>
    <w:p w:rsidR="00054DC6" w:rsidRPr="00054DC6" w:rsidRDefault="00054DC6" w:rsidP="00054DC6">
      <w:pPr>
        <w:autoSpaceDE w:val="0"/>
        <w:autoSpaceDN w:val="0"/>
        <w:adjustRightInd w:val="0"/>
        <w:rPr>
          <w:color w:val="000000" w:themeColor="text1"/>
        </w:rPr>
      </w:pPr>
    </w:p>
    <w:p w:rsidR="00054DC6" w:rsidRPr="00054DC6" w:rsidRDefault="00054DC6" w:rsidP="00054DC6">
      <w:pPr>
        <w:autoSpaceDE w:val="0"/>
        <w:autoSpaceDN w:val="0"/>
        <w:adjustRightInd w:val="0"/>
        <w:rPr>
          <w:color w:val="000000" w:themeColor="text1"/>
        </w:rPr>
      </w:pPr>
      <w:r w:rsidRPr="00054DC6">
        <w:rPr>
          <w:color w:val="000000" w:themeColor="text1"/>
        </w:rPr>
        <w:t>Clause 2 of the accompanying Declaration provides that the accompanying Declaration commences on the day after it is registered on the Federal Register of Legislative Instruments.</w:t>
      </w:r>
    </w:p>
    <w:p w:rsidR="00054DC6" w:rsidRPr="00054DC6" w:rsidRDefault="00054DC6" w:rsidP="00054DC6">
      <w:pPr>
        <w:autoSpaceDE w:val="0"/>
        <w:autoSpaceDN w:val="0"/>
        <w:adjustRightInd w:val="0"/>
        <w:rPr>
          <w:color w:val="000000" w:themeColor="text1"/>
        </w:rPr>
      </w:pPr>
    </w:p>
    <w:p w:rsidR="00054DC6" w:rsidRPr="00054DC6" w:rsidRDefault="00054DC6" w:rsidP="00054DC6">
      <w:pPr>
        <w:autoSpaceDE w:val="0"/>
        <w:autoSpaceDN w:val="0"/>
        <w:adjustRightInd w:val="0"/>
        <w:outlineLvl w:val="0"/>
        <w:rPr>
          <w:b/>
          <w:bCs/>
          <w:color w:val="000000" w:themeColor="text1"/>
        </w:rPr>
      </w:pPr>
      <w:r w:rsidRPr="00054DC6">
        <w:rPr>
          <w:b/>
          <w:bCs/>
          <w:color w:val="000000" w:themeColor="text1"/>
        </w:rPr>
        <w:t>Clause 3 – Variation</w:t>
      </w:r>
    </w:p>
    <w:p w:rsidR="00054DC6" w:rsidRPr="00054DC6" w:rsidRDefault="00054DC6" w:rsidP="00054DC6">
      <w:pPr>
        <w:autoSpaceDE w:val="0"/>
        <w:autoSpaceDN w:val="0"/>
        <w:adjustRightInd w:val="0"/>
        <w:rPr>
          <w:b/>
          <w:bCs/>
          <w:color w:val="000000" w:themeColor="text1"/>
        </w:rPr>
      </w:pPr>
    </w:p>
    <w:p w:rsidR="00054DC6" w:rsidRPr="00054DC6" w:rsidRDefault="00054DC6" w:rsidP="00054DC6">
      <w:pPr>
        <w:autoSpaceDE w:val="0"/>
        <w:autoSpaceDN w:val="0"/>
        <w:adjustRightInd w:val="0"/>
        <w:rPr>
          <w:color w:val="000000" w:themeColor="text1"/>
        </w:rPr>
      </w:pPr>
      <w:r w:rsidRPr="00054DC6">
        <w:rPr>
          <w:color w:val="000000" w:themeColor="text1"/>
        </w:rPr>
        <w:t>Clause 3 of the accompanying Declaration provides that the accompanying Declaration varies the Original Declaration as set out in the schedule to the accompanying Declaration. Item 1 of the Schedule provides that clause 31 of the Original Declaration is to be omitted.</w:t>
      </w:r>
    </w:p>
    <w:p w:rsidR="00C36BDC" w:rsidRPr="00C36BDC" w:rsidRDefault="00C36BDC" w:rsidP="00054DC6">
      <w:pPr>
        <w:autoSpaceDE w:val="0"/>
        <w:autoSpaceDN w:val="0"/>
        <w:adjustRightInd w:val="0"/>
        <w:rPr>
          <w:color w:val="000000" w:themeColor="text1"/>
        </w:rPr>
      </w:pPr>
    </w:p>
    <w:p w:rsidR="00054DC6" w:rsidRPr="00054DC6" w:rsidRDefault="00054DC6" w:rsidP="00054DC6">
      <w:pPr>
        <w:autoSpaceDE w:val="0"/>
        <w:autoSpaceDN w:val="0"/>
        <w:adjustRightInd w:val="0"/>
        <w:rPr>
          <w:b/>
          <w:color w:val="000000" w:themeColor="text1"/>
        </w:rPr>
      </w:pPr>
      <w:r w:rsidRPr="00054DC6">
        <w:rPr>
          <w:b/>
          <w:color w:val="000000" w:themeColor="text1"/>
        </w:rPr>
        <w:t>Clause 4 – Expiry</w:t>
      </w:r>
    </w:p>
    <w:p w:rsidR="00054DC6" w:rsidRPr="00054DC6" w:rsidRDefault="00054DC6" w:rsidP="00054DC6">
      <w:pPr>
        <w:autoSpaceDE w:val="0"/>
        <w:autoSpaceDN w:val="0"/>
        <w:adjustRightInd w:val="0"/>
        <w:rPr>
          <w:color w:val="000000" w:themeColor="text1"/>
        </w:rPr>
      </w:pPr>
    </w:p>
    <w:p w:rsidR="0073669B" w:rsidRDefault="0073669B" w:rsidP="0073669B">
      <w:pPr>
        <w:autoSpaceDE w:val="0"/>
        <w:autoSpaceDN w:val="0"/>
        <w:rPr>
          <w:color w:val="000000"/>
        </w:rPr>
      </w:pPr>
      <w:r>
        <w:rPr>
          <w:color w:val="000000"/>
        </w:rPr>
        <w:t>Clause 2 provides that the accompanying Declaration, which repeals clause 31 of the Original Declaration, will take effect on the day after it is registered on the Federal Register of</w:t>
      </w:r>
      <w:r w:rsidR="002A701A">
        <w:rPr>
          <w:color w:val="000000"/>
        </w:rPr>
        <w:t xml:space="preserve"> Legislative Instruments</w:t>
      </w:r>
      <w:r>
        <w:rPr>
          <w:color w:val="000000"/>
        </w:rPr>
        <w:t>. After the repeal has taken effect, the repeal instrument itself will essentially have been spent. In other words, once the repeal instrument has come into effect, it will have fulfilled its purpose (</w:t>
      </w:r>
      <w:proofErr w:type="spellStart"/>
      <w:r>
        <w:rPr>
          <w:color w:val="000000"/>
        </w:rPr>
        <w:t>ie</w:t>
      </w:r>
      <w:proofErr w:type="spellEnd"/>
      <w:r w:rsidR="002A701A">
        <w:rPr>
          <w:color w:val="000000"/>
        </w:rPr>
        <w:t>.</w:t>
      </w:r>
      <w:r>
        <w:rPr>
          <w:color w:val="000000"/>
        </w:rPr>
        <w:t xml:space="preserve"> removed clause 31 from the </w:t>
      </w:r>
      <w:r>
        <w:rPr>
          <w:i/>
          <w:iCs/>
          <w:color w:val="000000"/>
        </w:rPr>
        <w:t>Carrier Licence Conditions (Telstra Corporation Limited) Declaration 1997</w:t>
      </w:r>
      <w:r>
        <w:rPr>
          <w:color w:val="000000"/>
        </w:rPr>
        <w:t xml:space="preserve">) so the repeal instrument can be removed from </w:t>
      </w:r>
      <w:r w:rsidR="002A701A">
        <w:rPr>
          <w:color w:val="000000"/>
        </w:rPr>
        <w:t>the Federal Register of Legislative Instruments.</w:t>
      </w:r>
      <w:r>
        <w:rPr>
          <w:color w:val="000000"/>
        </w:rPr>
        <w:t xml:space="preserve"> Accordingly, a self-expiry provision has been included in the accompanying Declaration at clause 4. </w:t>
      </w:r>
    </w:p>
    <w:p w:rsidR="0073669B" w:rsidRDefault="0073669B" w:rsidP="0073669B">
      <w:pPr>
        <w:autoSpaceDE w:val="0"/>
        <w:autoSpaceDN w:val="0"/>
        <w:rPr>
          <w:color w:val="000000"/>
        </w:rPr>
      </w:pPr>
    </w:p>
    <w:p w:rsidR="0073669B" w:rsidRDefault="0073669B" w:rsidP="0073669B">
      <w:pPr>
        <w:autoSpaceDE w:val="0"/>
        <w:autoSpaceDN w:val="0"/>
        <w:rPr>
          <w:color w:val="000000"/>
        </w:rPr>
      </w:pPr>
      <w:r>
        <w:rPr>
          <w:color w:val="000000"/>
        </w:rPr>
        <w:t xml:space="preserve">Specifically, clause 4 provides that the accompanying Declaration will expire on the day after it commences.  Section 8B of the </w:t>
      </w:r>
      <w:r>
        <w:rPr>
          <w:i/>
          <w:iCs/>
          <w:color w:val="000000"/>
        </w:rPr>
        <w:t>Acts Interpretation Act 1901</w:t>
      </w:r>
      <w:r>
        <w:rPr>
          <w:color w:val="000000"/>
        </w:rPr>
        <w:t xml:space="preserve"> provides that an expired instrument is taken to</w:t>
      </w:r>
      <w:r w:rsidR="002A701A">
        <w:rPr>
          <w:color w:val="000000"/>
        </w:rPr>
        <w:t xml:space="preserve"> be repealed. Section 8B applies</w:t>
      </w:r>
      <w:r>
        <w:rPr>
          <w:color w:val="000000"/>
        </w:rPr>
        <w:t xml:space="preserve"> by virtue of paragraph section 13(1</w:t>
      </w:r>
      <w:proofErr w:type="gramStart"/>
      <w:r>
        <w:rPr>
          <w:color w:val="000000"/>
        </w:rPr>
        <w:t>)(</w:t>
      </w:r>
      <w:proofErr w:type="gramEnd"/>
      <w:r>
        <w:rPr>
          <w:color w:val="000000"/>
        </w:rPr>
        <w:t xml:space="preserve">a) of </w:t>
      </w:r>
      <w:r>
        <w:rPr>
          <w:i/>
          <w:iCs/>
          <w:color w:val="000000"/>
        </w:rPr>
        <w:t>Legislative Instruments Act 2003</w:t>
      </w:r>
      <w:r>
        <w:rPr>
          <w:color w:val="000000"/>
        </w:rPr>
        <w:t xml:space="preserve">. </w:t>
      </w:r>
    </w:p>
    <w:p w:rsidR="00054DC6" w:rsidRPr="00054DC6" w:rsidRDefault="00054DC6" w:rsidP="00054DC6">
      <w:pPr>
        <w:autoSpaceDE w:val="0"/>
        <w:autoSpaceDN w:val="0"/>
        <w:adjustRightInd w:val="0"/>
        <w:rPr>
          <w:color w:val="000000" w:themeColor="text1"/>
        </w:rPr>
      </w:pPr>
      <w:r w:rsidRPr="00054DC6">
        <w:rPr>
          <w:color w:val="000000" w:themeColor="text1"/>
        </w:rPr>
        <w:t xml:space="preserve"> </w:t>
      </w:r>
    </w:p>
    <w:p w:rsidR="00D7497C" w:rsidRPr="00054DC6" w:rsidRDefault="00DE43DE">
      <w:pPr>
        <w:rPr>
          <w:color w:val="000000" w:themeColor="text1"/>
        </w:rPr>
      </w:pPr>
    </w:p>
    <w:sectPr w:rsidR="00D7497C" w:rsidRPr="00054DC6" w:rsidSect="0039085D">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438" w:rsidRDefault="00C65438" w:rsidP="00054DC6">
      <w:r>
        <w:separator/>
      </w:r>
    </w:p>
  </w:endnote>
  <w:endnote w:type="continuationSeparator" w:id="0">
    <w:p w:rsidR="00C65438" w:rsidRDefault="00C65438" w:rsidP="00054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5590"/>
      <w:docPartObj>
        <w:docPartGallery w:val="Page Numbers (Bottom of Page)"/>
        <w:docPartUnique/>
      </w:docPartObj>
    </w:sdtPr>
    <w:sdtContent>
      <w:p w:rsidR="00054DC6" w:rsidRDefault="001F27FA">
        <w:pPr>
          <w:pStyle w:val="Footer"/>
          <w:jc w:val="center"/>
        </w:pPr>
        <w:fldSimple w:instr=" PAGE   \* MERGEFORMAT ">
          <w:r w:rsidR="00281551">
            <w:rPr>
              <w:noProof/>
            </w:rPr>
            <w:t>3</w:t>
          </w:r>
        </w:fldSimple>
      </w:p>
    </w:sdtContent>
  </w:sdt>
  <w:p w:rsidR="00BF6FD1" w:rsidRDefault="00DE43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438" w:rsidRDefault="00C65438" w:rsidP="00054DC6">
      <w:r>
        <w:separator/>
      </w:r>
    </w:p>
  </w:footnote>
  <w:footnote w:type="continuationSeparator" w:id="0">
    <w:p w:rsidR="00C65438" w:rsidRDefault="00C65438" w:rsidP="00054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2F2"/>
    <w:multiLevelType w:val="hybridMultilevel"/>
    <w:tmpl w:val="1BB668CA"/>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054DC6"/>
    <w:rsid w:val="00047D14"/>
    <w:rsid w:val="00054DC6"/>
    <w:rsid w:val="00071D39"/>
    <w:rsid w:val="0009775F"/>
    <w:rsid w:val="00100933"/>
    <w:rsid w:val="00167828"/>
    <w:rsid w:val="0018730F"/>
    <w:rsid w:val="001F27FA"/>
    <w:rsid w:val="00281551"/>
    <w:rsid w:val="00284B24"/>
    <w:rsid w:val="002A701A"/>
    <w:rsid w:val="002E0FAD"/>
    <w:rsid w:val="003A298F"/>
    <w:rsid w:val="0043628B"/>
    <w:rsid w:val="004376B5"/>
    <w:rsid w:val="004651D1"/>
    <w:rsid w:val="0047078A"/>
    <w:rsid w:val="0050449B"/>
    <w:rsid w:val="00540C83"/>
    <w:rsid w:val="00576C3E"/>
    <w:rsid w:val="005A4FD6"/>
    <w:rsid w:val="005D7730"/>
    <w:rsid w:val="005F313E"/>
    <w:rsid w:val="00601761"/>
    <w:rsid w:val="00684ADD"/>
    <w:rsid w:val="00685CAC"/>
    <w:rsid w:val="006A6D90"/>
    <w:rsid w:val="006D77D8"/>
    <w:rsid w:val="006F68D2"/>
    <w:rsid w:val="0073669B"/>
    <w:rsid w:val="00771445"/>
    <w:rsid w:val="007C47E6"/>
    <w:rsid w:val="00840206"/>
    <w:rsid w:val="00853802"/>
    <w:rsid w:val="00860B46"/>
    <w:rsid w:val="008D1B3E"/>
    <w:rsid w:val="008D1E0D"/>
    <w:rsid w:val="008E623E"/>
    <w:rsid w:val="00901051"/>
    <w:rsid w:val="00951C60"/>
    <w:rsid w:val="009524BA"/>
    <w:rsid w:val="009F121D"/>
    <w:rsid w:val="00A24A95"/>
    <w:rsid w:val="00A7345E"/>
    <w:rsid w:val="00AC264B"/>
    <w:rsid w:val="00B42860"/>
    <w:rsid w:val="00B573CB"/>
    <w:rsid w:val="00B66C3E"/>
    <w:rsid w:val="00BD79EB"/>
    <w:rsid w:val="00C25432"/>
    <w:rsid w:val="00C2718B"/>
    <w:rsid w:val="00C36BDC"/>
    <w:rsid w:val="00C65438"/>
    <w:rsid w:val="00CE4520"/>
    <w:rsid w:val="00DA087C"/>
    <w:rsid w:val="00E507F7"/>
    <w:rsid w:val="00EA5432"/>
    <w:rsid w:val="00ED70DE"/>
    <w:rsid w:val="00EE351B"/>
    <w:rsid w:val="00FC49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C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054DC6"/>
    <w:rPr>
      <w:sz w:val="16"/>
      <w:szCs w:val="16"/>
    </w:rPr>
  </w:style>
  <w:style w:type="paragraph" w:styleId="CommentText">
    <w:name w:val="annotation text"/>
    <w:basedOn w:val="Normal"/>
    <w:link w:val="CommentTextChar"/>
    <w:semiHidden/>
    <w:rsid w:val="00054DC6"/>
    <w:rPr>
      <w:sz w:val="20"/>
      <w:szCs w:val="20"/>
    </w:rPr>
  </w:style>
  <w:style w:type="character" w:customStyle="1" w:styleId="CommentTextChar">
    <w:name w:val="Comment Text Char"/>
    <w:basedOn w:val="DefaultParagraphFont"/>
    <w:link w:val="CommentText"/>
    <w:semiHidden/>
    <w:rsid w:val="00054DC6"/>
    <w:rPr>
      <w:rFonts w:ascii="Times New Roman" w:eastAsia="Times New Roman" w:hAnsi="Times New Roman" w:cs="Times New Roman"/>
      <w:sz w:val="20"/>
      <w:szCs w:val="20"/>
      <w:lang w:eastAsia="en-AU"/>
    </w:rPr>
  </w:style>
  <w:style w:type="paragraph" w:styleId="Header">
    <w:name w:val="header"/>
    <w:basedOn w:val="Normal"/>
    <w:link w:val="HeaderChar"/>
    <w:rsid w:val="00054DC6"/>
    <w:pPr>
      <w:tabs>
        <w:tab w:val="center" w:pos="4153"/>
        <w:tab w:val="right" w:pos="8306"/>
      </w:tabs>
    </w:pPr>
  </w:style>
  <w:style w:type="character" w:customStyle="1" w:styleId="HeaderChar">
    <w:name w:val="Header Char"/>
    <w:basedOn w:val="DefaultParagraphFont"/>
    <w:link w:val="Header"/>
    <w:rsid w:val="00054DC6"/>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054DC6"/>
    <w:pPr>
      <w:tabs>
        <w:tab w:val="center" w:pos="4153"/>
        <w:tab w:val="right" w:pos="8306"/>
      </w:tabs>
    </w:pPr>
  </w:style>
  <w:style w:type="character" w:customStyle="1" w:styleId="FooterChar">
    <w:name w:val="Footer Char"/>
    <w:basedOn w:val="DefaultParagraphFont"/>
    <w:link w:val="Footer"/>
    <w:uiPriority w:val="99"/>
    <w:rsid w:val="00054DC6"/>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54DC6"/>
    <w:rPr>
      <w:rFonts w:ascii="Tahoma" w:hAnsi="Tahoma" w:cs="Tahoma"/>
      <w:sz w:val="16"/>
      <w:szCs w:val="16"/>
    </w:rPr>
  </w:style>
  <w:style w:type="character" w:customStyle="1" w:styleId="BalloonTextChar">
    <w:name w:val="Balloon Text Char"/>
    <w:basedOn w:val="DefaultParagraphFont"/>
    <w:link w:val="BalloonText"/>
    <w:uiPriority w:val="99"/>
    <w:semiHidden/>
    <w:rsid w:val="00054DC6"/>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054DC6"/>
    <w:rPr>
      <w:b/>
      <w:bCs/>
    </w:rPr>
  </w:style>
  <w:style w:type="character" w:customStyle="1" w:styleId="CommentSubjectChar">
    <w:name w:val="Comment Subject Char"/>
    <w:basedOn w:val="CommentTextChar"/>
    <w:link w:val="CommentSubject"/>
    <w:uiPriority w:val="99"/>
    <w:semiHidden/>
    <w:rsid w:val="00054DC6"/>
    <w:rPr>
      <w:b/>
      <w:bCs/>
    </w:rPr>
  </w:style>
  <w:style w:type="paragraph" w:styleId="ListParagraph">
    <w:name w:val="List Paragraph"/>
    <w:basedOn w:val="Normal"/>
    <w:uiPriority w:val="34"/>
    <w:qFormat/>
    <w:rsid w:val="006F68D2"/>
    <w:pPr>
      <w:ind w:left="720"/>
      <w:contextualSpacing/>
    </w:pPr>
  </w:style>
</w:styles>
</file>

<file path=word/webSettings.xml><?xml version="1.0" encoding="utf-8"?>
<w:webSettings xmlns:r="http://schemas.openxmlformats.org/officeDocument/2006/relationships" xmlns:w="http://schemas.openxmlformats.org/wordprocessingml/2006/main">
  <w:divs>
    <w:div w:id="3948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F9EF-C921-4881-8C65-68D31DE7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4834</Characters>
  <Application>Microsoft Office Word</Application>
  <DocSecurity>0</DocSecurity>
  <Lines>40</Lines>
  <Paragraphs>11</Paragraphs>
  <ScaleCrop>false</ScaleCrop>
  <Company>DBCDE</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claria</dc:creator>
  <cp:lastModifiedBy>ssilva</cp:lastModifiedBy>
  <cp:revision>2</cp:revision>
  <dcterms:created xsi:type="dcterms:W3CDTF">2011-07-05T01:18:00Z</dcterms:created>
  <dcterms:modified xsi:type="dcterms:W3CDTF">2011-07-05T01:18:00Z</dcterms:modified>
</cp:coreProperties>
</file>