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F1" w:rsidRDefault="00B94A1E" w:rsidP="00D056F1">
      <w:r>
        <w:rPr>
          <w:noProof/>
          <w:lang w:val="en-AU" w:eastAsia="en-AU" w:bidi="ar-SA"/>
        </w:rPr>
        <w:drawing>
          <wp:inline distT="0" distB="0" distL="0" distR="0" wp14:anchorId="5E4DE275" wp14:editId="6CF5978A">
            <wp:extent cx="3962400" cy="695325"/>
            <wp:effectExtent l="1905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8"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p>
    <w:p w:rsidR="005E4F87" w:rsidRPr="003F5318" w:rsidRDefault="005E4F87" w:rsidP="005E4F87"/>
    <w:p w:rsidR="005E4F87" w:rsidRDefault="005E4F87" w:rsidP="005E4F87">
      <w:pPr>
        <w:rPr>
          <w:b/>
          <w:sz w:val="28"/>
          <w:szCs w:val="28"/>
        </w:rPr>
      </w:pPr>
    </w:p>
    <w:p w:rsidR="0057743E" w:rsidRDefault="0057743E" w:rsidP="005E4F87">
      <w:pPr>
        <w:rPr>
          <w:b/>
          <w:sz w:val="28"/>
          <w:szCs w:val="28"/>
        </w:rPr>
      </w:pPr>
    </w:p>
    <w:p w:rsidR="0057743E" w:rsidRPr="00121487" w:rsidRDefault="0057743E" w:rsidP="005E4F87"/>
    <w:p w:rsidR="00D056F1" w:rsidRPr="005F400E" w:rsidRDefault="00BE30AC" w:rsidP="00DB2973">
      <w:pPr>
        <w:pStyle w:val="FSTitle"/>
      </w:pPr>
      <w:r>
        <w:t>PROPOSAL P1013</w:t>
      </w:r>
    </w:p>
    <w:p w:rsidR="00D056F1" w:rsidRPr="005F400E" w:rsidRDefault="00BE30AC" w:rsidP="00DB2973">
      <w:pPr>
        <w:pStyle w:val="FSTitle"/>
      </w:pPr>
      <w:r>
        <w:t>CODE MAINTENANCE IX</w:t>
      </w:r>
    </w:p>
    <w:p w:rsidR="002A0194" w:rsidRPr="005F400E" w:rsidRDefault="0057743E" w:rsidP="00DB2973">
      <w:pPr>
        <w:pStyle w:val="FSTitle"/>
      </w:pPr>
      <w:r>
        <w:t>EXPLANATORY STATEMENT</w:t>
      </w:r>
    </w:p>
    <w:p w:rsidR="002A0194" w:rsidRPr="00DC6570" w:rsidRDefault="002A0194" w:rsidP="00D056F1">
      <w:pPr>
        <w:pBdr>
          <w:bottom w:val="single" w:sz="12" w:space="1" w:color="auto"/>
        </w:pBdr>
        <w:rPr>
          <w:rFonts w:ascii="Tahoma" w:hAnsi="Tahoma" w:cs="Tahoma"/>
          <w:b/>
          <w:bCs/>
        </w:rPr>
      </w:pPr>
    </w:p>
    <w:p w:rsidR="00D056F1" w:rsidRDefault="00D056F1" w:rsidP="002A0194"/>
    <w:p w:rsidR="002A0194" w:rsidRPr="00D60568" w:rsidRDefault="002A0194" w:rsidP="002A0194">
      <w:pPr>
        <w:rPr>
          <w:rFonts w:ascii="Tahoma" w:hAnsi="Tahoma" w:cs="Tahoma"/>
          <w:b/>
          <w:bCs/>
          <w:sz w:val="28"/>
          <w:u w:val="single"/>
        </w:rPr>
      </w:pPr>
      <w:bookmarkStart w:id="0" w:name="_Toc11735626"/>
      <w:bookmarkStart w:id="1" w:name="_Toc29883108"/>
      <w:bookmarkStart w:id="2" w:name="_Toc41906795"/>
      <w:bookmarkStart w:id="3" w:name="_Toc41907543"/>
      <w:bookmarkStart w:id="4" w:name="_Toc120090537"/>
      <w:bookmarkStart w:id="5" w:name="_Toc120358570"/>
      <w:bookmarkStart w:id="6" w:name="_Toc120358612"/>
      <w:r w:rsidRPr="00D60568">
        <w:rPr>
          <w:rFonts w:ascii="Tahoma" w:hAnsi="Tahoma" w:cs="Tahoma"/>
          <w:b/>
          <w:bCs/>
          <w:sz w:val="28"/>
          <w:u w:val="single"/>
        </w:rPr>
        <w:t>Executive Summary</w:t>
      </w:r>
      <w:bookmarkEnd w:id="0"/>
      <w:bookmarkEnd w:id="1"/>
      <w:bookmarkEnd w:id="2"/>
      <w:bookmarkEnd w:id="3"/>
      <w:bookmarkEnd w:id="4"/>
      <w:bookmarkEnd w:id="5"/>
      <w:bookmarkEnd w:id="6"/>
    </w:p>
    <w:p w:rsidR="007B1E27" w:rsidRDefault="007B1E27" w:rsidP="005F400E">
      <w:pPr>
        <w:rPr>
          <w:rFonts w:cs="Arial"/>
          <w:b/>
          <w:bCs/>
        </w:rPr>
      </w:pPr>
      <w:bookmarkStart w:id="7" w:name="_Toc120090538"/>
      <w:bookmarkStart w:id="8" w:name="_Toc120358571"/>
      <w:bookmarkStart w:id="9" w:name="_Toc120358613"/>
    </w:p>
    <w:p w:rsidR="005F400E" w:rsidRPr="00DC6570" w:rsidRDefault="005F400E" w:rsidP="005F400E">
      <w:pPr>
        <w:rPr>
          <w:rFonts w:cs="Arial"/>
          <w:b/>
          <w:bCs/>
        </w:rPr>
      </w:pPr>
      <w:r w:rsidRPr="00DC6570">
        <w:rPr>
          <w:rFonts w:cs="Arial"/>
          <w:b/>
          <w:bCs/>
        </w:rPr>
        <w:t>Purpose</w:t>
      </w:r>
      <w:bookmarkEnd w:id="7"/>
      <w:bookmarkEnd w:id="8"/>
      <w:bookmarkEnd w:id="9"/>
    </w:p>
    <w:p w:rsidR="0015382B" w:rsidRPr="00423539" w:rsidRDefault="0015382B" w:rsidP="0015382B">
      <w:pPr>
        <w:rPr>
          <w:rFonts w:cs="Arial"/>
        </w:rPr>
      </w:pPr>
    </w:p>
    <w:p w:rsidR="0015382B" w:rsidRPr="00423539" w:rsidRDefault="0015382B" w:rsidP="0015382B">
      <w:pPr>
        <w:rPr>
          <w:rFonts w:cs="Arial"/>
        </w:rPr>
      </w:pPr>
      <w:r w:rsidRPr="00423539">
        <w:rPr>
          <w:rFonts w:cs="Arial"/>
          <w:szCs w:val="22"/>
        </w:rPr>
        <w:t xml:space="preserve">FSANZ regularly seeks to amend the </w:t>
      </w:r>
      <w:r w:rsidRPr="008D3C2D">
        <w:rPr>
          <w:rFonts w:cs="Arial"/>
          <w:i/>
          <w:szCs w:val="22"/>
        </w:rPr>
        <w:t>Australia New Zealand Food Standards Code</w:t>
      </w:r>
      <w:r w:rsidRPr="00423539">
        <w:rPr>
          <w:rFonts w:cs="Arial"/>
          <w:szCs w:val="22"/>
        </w:rPr>
        <w:t xml:space="preserve"> </w:t>
      </w:r>
      <w:r>
        <w:rPr>
          <w:rFonts w:cs="Arial"/>
          <w:szCs w:val="22"/>
        </w:rPr>
        <w:t xml:space="preserve">(the Code) </w:t>
      </w:r>
      <w:r w:rsidRPr="00423539">
        <w:rPr>
          <w:rFonts w:cs="Arial"/>
          <w:szCs w:val="22"/>
        </w:rPr>
        <w:t xml:space="preserve">to maintain its currency and clarity. The purpose of Proposal P1013 is to assess a range of proposed amendments to the Code. The amendments are intended to </w:t>
      </w:r>
      <w:r w:rsidRPr="00423539">
        <w:rPr>
          <w:rFonts w:cs="Arial"/>
          <w:szCs w:val="22"/>
          <w:lang w:val="en-AU"/>
        </w:rPr>
        <w:t xml:space="preserve">address </w:t>
      </w:r>
      <w:r w:rsidRPr="00423539">
        <w:rPr>
          <w:rFonts w:cs="Arial"/>
          <w:szCs w:val="22"/>
        </w:rPr>
        <w:t>inconsistencies, misspellings, grammatical and typographical errors, omissions and items requi</w:t>
      </w:r>
      <w:r>
        <w:rPr>
          <w:rFonts w:cs="Arial"/>
          <w:szCs w:val="22"/>
        </w:rPr>
        <w:t>ring updating or clarification</w:t>
      </w:r>
      <w:r w:rsidR="00AC597E">
        <w:rPr>
          <w:rFonts w:cs="Arial"/>
          <w:szCs w:val="22"/>
        </w:rPr>
        <w:t xml:space="preserve"> plus</w:t>
      </w:r>
      <w:r w:rsidR="0071211D">
        <w:rPr>
          <w:rFonts w:cs="Arial"/>
          <w:szCs w:val="22"/>
        </w:rPr>
        <w:t xml:space="preserve"> minor changes to the Code that do not warrant full assessment under the FSANZ application or proposal process</w:t>
      </w:r>
      <w:r w:rsidR="00AC597E">
        <w:rPr>
          <w:rFonts w:cs="Arial"/>
          <w:szCs w:val="22"/>
        </w:rPr>
        <w:t>.</w:t>
      </w:r>
      <w:r w:rsidR="0071211D">
        <w:rPr>
          <w:rFonts w:cs="Arial"/>
          <w:szCs w:val="22"/>
        </w:rPr>
        <w:t xml:space="preserve"> </w:t>
      </w:r>
    </w:p>
    <w:p w:rsidR="0015382B" w:rsidRPr="00423539" w:rsidRDefault="0015382B" w:rsidP="0015382B">
      <w:pPr>
        <w:rPr>
          <w:rFonts w:cs="Arial"/>
          <w:szCs w:val="22"/>
        </w:rPr>
      </w:pPr>
    </w:p>
    <w:p w:rsidR="002A0194" w:rsidRPr="00D60568" w:rsidRDefault="00371B29" w:rsidP="002A0194">
      <w:pPr>
        <w:rPr>
          <w:rFonts w:cs="Arial"/>
          <w:b/>
        </w:rPr>
      </w:pPr>
      <w:r w:rsidRPr="00D60568">
        <w:rPr>
          <w:rFonts w:cs="Arial"/>
          <w:b/>
        </w:rPr>
        <w:t>Assessing the Proposal</w:t>
      </w:r>
    </w:p>
    <w:p w:rsidR="002A0194" w:rsidRPr="00DC6570" w:rsidRDefault="002A0194" w:rsidP="002A0194">
      <w:pPr>
        <w:rPr>
          <w:rFonts w:cs="Arial"/>
        </w:rPr>
      </w:pPr>
    </w:p>
    <w:p w:rsidR="00064B2D" w:rsidRPr="00DC6570" w:rsidRDefault="00064B2D" w:rsidP="002A0194">
      <w:pPr>
        <w:rPr>
          <w:rFonts w:cs="Arial"/>
        </w:rPr>
      </w:pPr>
      <w:r w:rsidRPr="00DC6570">
        <w:rPr>
          <w:rFonts w:cs="Arial"/>
        </w:rPr>
        <w:t xml:space="preserve">In assessing the Proposal, FSANZ has had regard to the following matters as prescribed in </w:t>
      </w:r>
      <w:r w:rsidRPr="0015382B">
        <w:rPr>
          <w:rFonts w:cs="Arial"/>
        </w:rPr>
        <w:t>section 59 of the</w:t>
      </w:r>
      <w:r w:rsidRPr="00DC6570">
        <w:rPr>
          <w:rFonts w:cs="Arial"/>
        </w:rPr>
        <w:t xml:space="preserve"> </w:t>
      </w:r>
      <w:r w:rsidRPr="00DC6570">
        <w:rPr>
          <w:rFonts w:cs="Arial"/>
          <w:i/>
        </w:rPr>
        <w:t>Food Standards Australia New Zealand Act 1991</w:t>
      </w:r>
      <w:r w:rsidRPr="00DC6570">
        <w:rPr>
          <w:rFonts w:cs="Arial"/>
        </w:rPr>
        <w:t xml:space="preserve"> (FSANZ Act):</w:t>
      </w:r>
    </w:p>
    <w:p w:rsidR="00064B2D" w:rsidRPr="00DC6570" w:rsidRDefault="00064B2D" w:rsidP="002A0194">
      <w:pPr>
        <w:rPr>
          <w:rFonts w:cs="Arial"/>
        </w:rPr>
      </w:pPr>
    </w:p>
    <w:p w:rsidR="002A0194" w:rsidRPr="00DC6570" w:rsidRDefault="00064B2D" w:rsidP="00DB2973">
      <w:pPr>
        <w:pStyle w:val="FSBullet"/>
      </w:pPr>
      <w:r w:rsidRPr="00DC6570">
        <w:t xml:space="preserve">Whether costs that would </w:t>
      </w:r>
      <w:r w:rsidR="00EC30E1" w:rsidRPr="00DC6570">
        <w:t>arise</w:t>
      </w:r>
      <w:r w:rsidRPr="00DC6570">
        <w:t xml:space="preserve"> from a food regulatory measure developed or varied as a result of the Proposal </w:t>
      </w:r>
      <w:r w:rsidR="00EC30E1" w:rsidRPr="00DC6570">
        <w:t>outweigh</w:t>
      </w:r>
      <w:r w:rsidRPr="00DC6570">
        <w:t xml:space="preserve"> the direct and indirect </w:t>
      </w:r>
      <w:r w:rsidR="00EC30E1" w:rsidRPr="00DC6570">
        <w:t>benefits</w:t>
      </w:r>
      <w:r w:rsidRPr="00DC6570">
        <w:t xml:space="preserve"> to the commun</w:t>
      </w:r>
      <w:r w:rsidRPr="00D60568">
        <w:t>ity, Government or industry that would arise from the development or variation of the food regulatory measure</w:t>
      </w:r>
      <w:r w:rsidR="0015382B">
        <w:t>.</w:t>
      </w:r>
    </w:p>
    <w:p w:rsidR="002A0194" w:rsidRPr="00DC6570" w:rsidRDefault="002A0194" w:rsidP="002A0194">
      <w:pPr>
        <w:rPr>
          <w:rFonts w:cs="Arial"/>
        </w:rPr>
      </w:pPr>
    </w:p>
    <w:p w:rsidR="0015382B" w:rsidRPr="00423539" w:rsidRDefault="0015382B" w:rsidP="0015382B">
      <w:pPr>
        <w:pStyle w:val="FSBullet"/>
      </w:pPr>
      <w:r>
        <w:t>Whether there are</w:t>
      </w:r>
      <w:r w:rsidRPr="00423539">
        <w:t xml:space="preserve"> other measures that would be more cost-effective that could achieve the same end.</w:t>
      </w:r>
    </w:p>
    <w:p w:rsidR="00064B2D" w:rsidRPr="00DC6570" w:rsidRDefault="00064B2D" w:rsidP="00064B2D">
      <w:pPr>
        <w:rPr>
          <w:rFonts w:cs="Arial"/>
        </w:rPr>
      </w:pPr>
    </w:p>
    <w:p w:rsidR="002A0194" w:rsidRPr="00DC6570" w:rsidRDefault="00064B2D" w:rsidP="00DB2973">
      <w:pPr>
        <w:pStyle w:val="FSBullet"/>
      </w:pPr>
      <w:r w:rsidRPr="00DC6570">
        <w:t>Any relevant N</w:t>
      </w:r>
      <w:r w:rsidRPr="00D60568">
        <w:t>ew Zealand</w:t>
      </w:r>
      <w:r w:rsidR="0015382B">
        <w:t xml:space="preserve"> standards.</w:t>
      </w:r>
    </w:p>
    <w:p w:rsidR="00064B2D" w:rsidRPr="00DC6570" w:rsidRDefault="00064B2D" w:rsidP="00064B2D">
      <w:pPr>
        <w:rPr>
          <w:rFonts w:cs="Arial"/>
        </w:rPr>
      </w:pPr>
    </w:p>
    <w:p w:rsidR="002A0194" w:rsidRPr="00DC6570" w:rsidRDefault="0015382B" w:rsidP="00DB2973">
      <w:pPr>
        <w:pStyle w:val="FSBullet"/>
      </w:pPr>
      <w:r>
        <w:t>Any other relevant matters.</w:t>
      </w:r>
    </w:p>
    <w:p w:rsidR="002A0194" w:rsidRPr="00DC6570" w:rsidRDefault="002A0194" w:rsidP="002A0194">
      <w:pPr>
        <w:rPr>
          <w:rFonts w:cs="Arial"/>
        </w:rPr>
      </w:pPr>
    </w:p>
    <w:p w:rsidR="002A0194" w:rsidRPr="00D60568" w:rsidRDefault="002A0194" w:rsidP="003213F9">
      <w:pPr>
        <w:pStyle w:val="FSDecisionHeading"/>
      </w:pPr>
      <w:bookmarkStart w:id="10" w:name="_Toc120090540"/>
      <w:bookmarkStart w:id="11" w:name="_Toc120358572"/>
      <w:bookmarkStart w:id="12" w:name="_Toc120358614"/>
      <w:r w:rsidRPr="00D60568">
        <w:t>Decision</w:t>
      </w:r>
      <w:bookmarkEnd w:id="10"/>
      <w:bookmarkEnd w:id="11"/>
      <w:bookmarkEnd w:id="12"/>
    </w:p>
    <w:p w:rsidR="002A0194" w:rsidRPr="00DC6570" w:rsidRDefault="002A0194" w:rsidP="002A0194">
      <w:pPr>
        <w:pStyle w:val="FSDecisiontext"/>
        <w:rPr>
          <w:rFonts w:cs="Arial"/>
        </w:rPr>
      </w:pPr>
    </w:p>
    <w:p w:rsidR="0015382B" w:rsidRPr="00423539" w:rsidRDefault="0015382B" w:rsidP="0015382B">
      <w:pPr>
        <w:pStyle w:val="FSDecisiontext"/>
        <w:rPr>
          <w:rFonts w:cs="Arial"/>
        </w:rPr>
      </w:pPr>
      <w:r>
        <w:rPr>
          <w:rFonts w:cs="Arial"/>
        </w:rPr>
        <w:t xml:space="preserve">To </w:t>
      </w:r>
      <w:r w:rsidR="001A6955">
        <w:rPr>
          <w:rFonts w:cs="Arial"/>
        </w:rPr>
        <w:t>approve the</w:t>
      </w:r>
      <w:r>
        <w:rPr>
          <w:rFonts w:cs="Arial"/>
        </w:rPr>
        <w:t xml:space="preserve"> draft variations to various Standards to </w:t>
      </w:r>
      <w:r w:rsidRPr="00423539">
        <w:rPr>
          <w:rFonts w:cs="Arial"/>
        </w:rPr>
        <w:t xml:space="preserve">maintain the </w:t>
      </w:r>
      <w:r>
        <w:rPr>
          <w:rFonts w:cs="Arial"/>
        </w:rPr>
        <w:t xml:space="preserve">currency, </w:t>
      </w:r>
      <w:r w:rsidRPr="00423539">
        <w:rPr>
          <w:rFonts w:cs="Arial"/>
        </w:rPr>
        <w:t>accuracy and clarity of the Code</w:t>
      </w:r>
      <w:r w:rsidR="00AC597E">
        <w:rPr>
          <w:rFonts w:cs="Arial"/>
        </w:rPr>
        <w:t>, including minor changes to the Code identified through the recent legislative audit,</w:t>
      </w:r>
      <w:r w:rsidR="0071211D">
        <w:rPr>
          <w:rFonts w:cs="Arial"/>
        </w:rPr>
        <w:t xml:space="preserve"> and to</w:t>
      </w:r>
      <w:r w:rsidR="005D1DB8">
        <w:rPr>
          <w:rFonts w:cs="Arial"/>
        </w:rPr>
        <w:t xml:space="preserve"> approve the use of two new food additives</w:t>
      </w:r>
      <w:r w:rsidR="0071211D">
        <w:rPr>
          <w:rFonts w:cs="Arial"/>
        </w:rPr>
        <w:t>.</w:t>
      </w:r>
    </w:p>
    <w:p w:rsidR="002A0194" w:rsidRPr="00DC6570" w:rsidRDefault="002A0194" w:rsidP="002A0194">
      <w:pPr>
        <w:rPr>
          <w:rFonts w:cs="Arial"/>
        </w:rPr>
      </w:pPr>
    </w:p>
    <w:p w:rsidR="005E4F87" w:rsidRDefault="005E4F87" w:rsidP="002A0194">
      <w:pPr>
        <w:rPr>
          <w:rFonts w:cs="Arial"/>
          <w:b/>
          <w:bCs/>
        </w:rPr>
      </w:pPr>
      <w:bookmarkStart w:id="13" w:name="_Toc120090541"/>
      <w:bookmarkStart w:id="14" w:name="_Toc120358573"/>
      <w:bookmarkStart w:id="15" w:name="_Toc120358615"/>
      <w:r>
        <w:rPr>
          <w:rFonts w:cs="Arial"/>
          <w:b/>
          <w:bCs/>
        </w:rPr>
        <w:br w:type="page"/>
      </w:r>
    </w:p>
    <w:p w:rsidR="002A0194" w:rsidRPr="0015382B" w:rsidRDefault="002A0194" w:rsidP="002A0194">
      <w:pPr>
        <w:rPr>
          <w:rFonts w:cs="Arial"/>
          <w:b/>
          <w:bCs/>
        </w:rPr>
      </w:pPr>
      <w:r w:rsidRPr="0015382B">
        <w:rPr>
          <w:rFonts w:cs="Arial"/>
          <w:b/>
          <w:bCs/>
        </w:rPr>
        <w:lastRenderedPageBreak/>
        <w:t xml:space="preserve">Reasons for Decision </w:t>
      </w:r>
      <w:bookmarkEnd w:id="13"/>
      <w:bookmarkEnd w:id="14"/>
      <w:bookmarkEnd w:id="15"/>
    </w:p>
    <w:p w:rsidR="002A0194" w:rsidRPr="0015382B" w:rsidRDefault="002A0194" w:rsidP="002A0194">
      <w:pPr>
        <w:rPr>
          <w:rFonts w:cs="Arial"/>
        </w:rPr>
      </w:pPr>
    </w:p>
    <w:p w:rsidR="0015382B" w:rsidRPr="0015382B" w:rsidRDefault="0015382B" w:rsidP="0015382B">
      <w:pPr>
        <w:rPr>
          <w:rFonts w:cs="Arial"/>
        </w:rPr>
      </w:pPr>
      <w:r w:rsidRPr="0015382B">
        <w:rPr>
          <w:rFonts w:cs="Arial"/>
        </w:rPr>
        <w:t>The proposed amendments:</w:t>
      </w:r>
    </w:p>
    <w:p w:rsidR="0015382B" w:rsidRPr="0015382B" w:rsidRDefault="0015382B" w:rsidP="0015382B">
      <w:pPr>
        <w:rPr>
          <w:szCs w:val="22"/>
          <w:lang w:bidi="ar-SA"/>
        </w:rPr>
      </w:pPr>
    </w:p>
    <w:p w:rsidR="0015382B" w:rsidRPr="0015382B" w:rsidRDefault="0015382B" w:rsidP="005E4F87">
      <w:pPr>
        <w:pStyle w:val="FSBullet"/>
      </w:pPr>
      <w:r w:rsidRPr="0015382B">
        <w:t xml:space="preserve">do not raise any public health or safety concerns </w:t>
      </w:r>
    </w:p>
    <w:p w:rsidR="005E4F87" w:rsidRDefault="005E4F87">
      <w:pPr>
        <w:widowControl/>
      </w:pPr>
    </w:p>
    <w:p w:rsidR="0015382B" w:rsidRPr="0015382B" w:rsidRDefault="0015382B" w:rsidP="005E4F87">
      <w:pPr>
        <w:pStyle w:val="FSBullet"/>
      </w:pPr>
      <w:r w:rsidRPr="0015382B">
        <w:t>will ensure that the Code remains current and that errors and inconsistencies are addressed</w:t>
      </w:r>
    </w:p>
    <w:p w:rsidR="0015382B" w:rsidRPr="0015382B" w:rsidRDefault="0015382B" w:rsidP="0015382B"/>
    <w:p w:rsidR="0015382B" w:rsidRPr="0015382B" w:rsidRDefault="0015382B" w:rsidP="005E4F87">
      <w:pPr>
        <w:pStyle w:val="FSBullet"/>
      </w:pPr>
      <w:r w:rsidRPr="0015382B">
        <w:t>are expected to result in a net benefit for industry, government and the community in general.</w:t>
      </w:r>
    </w:p>
    <w:p w:rsidR="0015382B" w:rsidRPr="00DC6570" w:rsidRDefault="0015382B" w:rsidP="002A0194">
      <w:pPr>
        <w:rPr>
          <w:rFonts w:cs="Arial"/>
        </w:rPr>
      </w:pPr>
    </w:p>
    <w:p w:rsidR="002A0194" w:rsidRPr="00D60568" w:rsidRDefault="002A0194" w:rsidP="002A0194">
      <w:pPr>
        <w:rPr>
          <w:rFonts w:cs="Arial"/>
          <w:b/>
          <w:bCs/>
        </w:rPr>
      </w:pPr>
      <w:bookmarkStart w:id="16" w:name="_Toc120090542"/>
      <w:bookmarkStart w:id="17" w:name="_Toc120358574"/>
      <w:bookmarkStart w:id="18" w:name="_Toc120358616"/>
      <w:r w:rsidRPr="00D60568">
        <w:rPr>
          <w:rFonts w:cs="Arial"/>
          <w:b/>
          <w:bCs/>
        </w:rPr>
        <w:t>Consultation</w:t>
      </w:r>
      <w:bookmarkEnd w:id="16"/>
      <w:bookmarkEnd w:id="17"/>
      <w:bookmarkEnd w:id="18"/>
    </w:p>
    <w:p w:rsidR="003C4969" w:rsidRDefault="003C4969">
      <w:pPr>
        <w:rPr>
          <w:rFonts w:cs="Arial"/>
        </w:rPr>
      </w:pPr>
    </w:p>
    <w:p w:rsidR="0015382B" w:rsidRPr="00423539" w:rsidRDefault="0015382B" w:rsidP="0015382B">
      <w:pPr>
        <w:rPr>
          <w:rFonts w:cs="Arial"/>
          <w:szCs w:val="22"/>
        </w:rPr>
      </w:pPr>
      <w:r>
        <w:rPr>
          <w:rFonts w:cs="Arial"/>
          <w:szCs w:val="22"/>
        </w:rPr>
        <w:t>In accordance with the FSANZ Act, this</w:t>
      </w:r>
      <w:r w:rsidRPr="00423539">
        <w:rPr>
          <w:rFonts w:cs="Arial"/>
          <w:szCs w:val="22"/>
        </w:rPr>
        <w:t xml:space="preserve"> Proposal </w:t>
      </w:r>
      <w:r>
        <w:rPr>
          <w:rFonts w:cs="Arial"/>
          <w:szCs w:val="22"/>
        </w:rPr>
        <w:t>was</w:t>
      </w:r>
      <w:r w:rsidRPr="00423539">
        <w:rPr>
          <w:rFonts w:cs="Arial"/>
          <w:szCs w:val="22"/>
        </w:rPr>
        <w:t xml:space="preserve"> assessed under the General Procedure</w:t>
      </w:r>
      <w:r>
        <w:rPr>
          <w:rFonts w:cs="Arial"/>
          <w:szCs w:val="22"/>
        </w:rPr>
        <w:t>, meaning that one round of consultation has been undertaken</w:t>
      </w:r>
      <w:r w:rsidRPr="00423539">
        <w:rPr>
          <w:rFonts w:cs="Arial"/>
          <w:szCs w:val="22"/>
        </w:rPr>
        <w:t>.</w:t>
      </w:r>
    </w:p>
    <w:p w:rsidR="0015382B" w:rsidRDefault="0015382B">
      <w:pPr>
        <w:rPr>
          <w:rFonts w:cs="Arial"/>
        </w:rPr>
      </w:pPr>
    </w:p>
    <w:p w:rsidR="005E4F87" w:rsidRDefault="007B1E27" w:rsidP="005E4F87">
      <w:pPr>
        <w:ind w:right="-46"/>
        <w:rPr>
          <w:rFonts w:cs="Arial"/>
          <w:color w:val="000000"/>
        </w:rPr>
      </w:pPr>
      <w:r>
        <w:rPr>
          <w:rFonts w:cs="Arial"/>
          <w:color w:val="000000"/>
        </w:rPr>
        <w:t xml:space="preserve">Public comment on the Assessment Report for this Proposal was sought from </w:t>
      </w:r>
    </w:p>
    <w:p w:rsidR="005E4F87" w:rsidRDefault="007B1E27" w:rsidP="005E4F87">
      <w:pPr>
        <w:ind w:right="-46"/>
        <w:rPr>
          <w:rFonts w:cs="Arial"/>
          <w:color w:val="000000"/>
        </w:rPr>
      </w:pPr>
      <w:r>
        <w:rPr>
          <w:rFonts w:cs="Arial"/>
          <w:color w:val="000000"/>
        </w:rPr>
        <w:t xml:space="preserve">15 December 2010 to 9 February 2011. A total </w:t>
      </w:r>
      <w:r w:rsidRPr="00940D2A">
        <w:rPr>
          <w:rFonts w:cs="Arial"/>
          <w:color w:val="000000"/>
        </w:rPr>
        <w:t>of 1</w:t>
      </w:r>
      <w:r w:rsidR="00940D2A" w:rsidRPr="00940D2A">
        <w:rPr>
          <w:rFonts w:cs="Arial"/>
          <w:color w:val="000000"/>
        </w:rPr>
        <w:t>3</w:t>
      </w:r>
      <w:r w:rsidRPr="00940D2A">
        <w:rPr>
          <w:rFonts w:cs="Arial"/>
          <w:color w:val="000000"/>
        </w:rPr>
        <w:t xml:space="preserve"> submissions were received. </w:t>
      </w:r>
      <w:r w:rsidR="0015382B" w:rsidRPr="00940D2A">
        <w:rPr>
          <w:rFonts w:cs="Arial"/>
          <w:color w:val="000000"/>
        </w:rPr>
        <w:t xml:space="preserve">The </w:t>
      </w:r>
    </w:p>
    <w:p w:rsidR="007B1E27" w:rsidRDefault="0015382B" w:rsidP="005E4F87">
      <w:pPr>
        <w:ind w:right="-46"/>
        <w:rPr>
          <w:rFonts w:cs="Arial"/>
          <w:color w:val="000000"/>
        </w:rPr>
      </w:pPr>
      <w:r w:rsidRPr="00940D2A">
        <w:rPr>
          <w:rFonts w:cs="Arial"/>
          <w:color w:val="000000"/>
        </w:rPr>
        <w:t>issues raised in these submissions were carefully considered by FSANZ. A</w:t>
      </w:r>
      <w:r w:rsidR="007B1E27" w:rsidRPr="00940D2A">
        <w:rPr>
          <w:rFonts w:cs="Arial"/>
          <w:color w:val="000000"/>
        </w:rPr>
        <w:t xml:space="preserve"> summary is provided in Attachment 3 to this Report.</w:t>
      </w:r>
    </w:p>
    <w:p w:rsidR="007B1E27" w:rsidRPr="00DC6570" w:rsidRDefault="007B1E27">
      <w:pPr>
        <w:rPr>
          <w:rFonts w:cs="Arial"/>
        </w:rPr>
      </w:pPr>
    </w:p>
    <w:p w:rsidR="00A56DC7" w:rsidRPr="00DB2973" w:rsidRDefault="00A56DC7" w:rsidP="005F400E">
      <w:pPr>
        <w:tabs>
          <w:tab w:val="left" w:pos="4536"/>
        </w:tabs>
        <w:rPr>
          <w:rFonts w:cs="Arial"/>
          <w:sz w:val="20"/>
          <w:szCs w:val="20"/>
        </w:rPr>
      </w:pPr>
    </w:p>
    <w:p w:rsidR="003C4969" w:rsidRPr="00DC6570" w:rsidRDefault="003C4969">
      <w:pPr>
        <w:rPr>
          <w:rFonts w:cs="Arial"/>
        </w:rPr>
      </w:pPr>
    </w:p>
    <w:p w:rsidR="003C4969" w:rsidRPr="00DC6570" w:rsidRDefault="003C4969">
      <w:pPr>
        <w:pStyle w:val="DivisionHeading"/>
        <w:rPr>
          <w:rFonts w:cs="Arial"/>
        </w:rPr>
        <w:sectPr w:rsidR="003C4969" w:rsidRPr="00DC6570" w:rsidSect="001C27A3">
          <w:footerReference w:type="even" r:id="rId9"/>
          <w:footerReference w:type="default" r:id="rId10"/>
          <w:headerReference w:type="first" r:id="rId11"/>
          <w:pgSz w:w="11906" w:h="16838"/>
          <w:pgMar w:top="1440" w:right="1440" w:bottom="1440" w:left="1440" w:header="709" w:footer="709" w:gutter="0"/>
          <w:pgNumType w:fmt="lowerRoman"/>
          <w:cols w:space="708"/>
          <w:docGrid w:linePitch="360"/>
        </w:sectPr>
      </w:pPr>
      <w:bookmarkStart w:id="19" w:name="_Toc11735627"/>
    </w:p>
    <w:p w:rsidR="003C4969" w:rsidRPr="00DC6570" w:rsidRDefault="003C4969">
      <w:pPr>
        <w:pStyle w:val="DivisionHeading"/>
        <w:rPr>
          <w:rFonts w:cs="Arial"/>
        </w:rPr>
      </w:pPr>
      <w:r w:rsidRPr="00DC6570">
        <w:rPr>
          <w:rFonts w:cs="Arial"/>
        </w:rPr>
        <w:lastRenderedPageBreak/>
        <w:t>CONTENTS</w:t>
      </w:r>
    </w:p>
    <w:p w:rsidR="003C4969" w:rsidRPr="00DC6570" w:rsidRDefault="003C4969">
      <w:pPr>
        <w:rPr>
          <w:rFonts w:cs="Arial"/>
        </w:rPr>
      </w:pPr>
    </w:p>
    <w:p w:rsidR="00145BE8" w:rsidRDefault="00D94070">
      <w:pPr>
        <w:pStyle w:val="TOC1"/>
        <w:tabs>
          <w:tab w:val="right" w:leader="dot" w:pos="9016"/>
        </w:tabs>
        <w:rPr>
          <w:rFonts w:asciiTheme="minorHAnsi" w:eastAsiaTheme="minorEastAsia" w:hAnsiTheme="minorHAnsi" w:cstheme="minorBidi"/>
          <w:b w:val="0"/>
          <w:bCs w:val="0"/>
          <w:caps w:val="0"/>
          <w:noProof/>
          <w:szCs w:val="22"/>
          <w:lang w:val="en-AU" w:eastAsia="en-AU" w:bidi="ar-SA"/>
        </w:rPr>
      </w:pPr>
      <w:r w:rsidRPr="00DC6570">
        <w:rPr>
          <w:rFonts w:cs="Arial"/>
        </w:rPr>
        <w:fldChar w:fldCharType="begin"/>
      </w:r>
      <w:r w:rsidR="003C4969" w:rsidRPr="00DC6570">
        <w:rPr>
          <w:rFonts w:cs="Arial"/>
        </w:rPr>
        <w:instrText xml:space="preserve"> TOC \o "1-3" \h \z </w:instrText>
      </w:r>
      <w:r w:rsidRPr="00DC6570">
        <w:rPr>
          <w:rFonts w:cs="Arial"/>
        </w:rPr>
        <w:fldChar w:fldCharType="separate"/>
      </w:r>
      <w:hyperlink w:anchor="_Toc290973012" w:history="1">
        <w:r w:rsidR="00145BE8" w:rsidRPr="00727B1E">
          <w:rPr>
            <w:rStyle w:val="Hyperlink"/>
            <w:noProof/>
          </w:rPr>
          <w:t>Introduction</w:t>
        </w:r>
        <w:r w:rsidR="00145BE8">
          <w:rPr>
            <w:noProof/>
            <w:webHidden/>
          </w:rPr>
          <w:tab/>
        </w:r>
        <w:r w:rsidR="00145BE8">
          <w:rPr>
            <w:noProof/>
            <w:webHidden/>
          </w:rPr>
          <w:fldChar w:fldCharType="begin"/>
        </w:r>
        <w:r w:rsidR="00145BE8">
          <w:rPr>
            <w:noProof/>
            <w:webHidden/>
          </w:rPr>
          <w:instrText xml:space="preserve"> PAGEREF _Toc290973012 \h </w:instrText>
        </w:r>
        <w:r w:rsidR="00145BE8">
          <w:rPr>
            <w:noProof/>
            <w:webHidden/>
          </w:rPr>
        </w:r>
        <w:r w:rsidR="00145BE8">
          <w:rPr>
            <w:noProof/>
            <w:webHidden/>
          </w:rPr>
          <w:fldChar w:fldCharType="separate"/>
        </w:r>
        <w:r w:rsidR="00094BDB">
          <w:rPr>
            <w:noProof/>
            <w:webHidden/>
          </w:rPr>
          <w:t>3</w:t>
        </w:r>
        <w:r w:rsidR="00145BE8">
          <w:rPr>
            <w:noProof/>
            <w:webHidden/>
          </w:rPr>
          <w:fldChar w:fldCharType="end"/>
        </w:r>
      </w:hyperlink>
    </w:p>
    <w:p w:rsidR="00145BE8" w:rsidRDefault="00A02131">
      <w:pPr>
        <w:pStyle w:val="TOC2"/>
        <w:tabs>
          <w:tab w:val="left" w:pos="1134"/>
          <w:tab w:val="right" w:leader="dot" w:pos="9016"/>
        </w:tabs>
        <w:rPr>
          <w:rFonts w:asciiTheme="minorHAnsi" w:eastAsiaTheme="minorEastAsia" w:hAnsiTheme="minorHAnsi" w:cstheme="minorBidi"/>
          <w:smallCaps w:val="0"/>
          <w:noProof/>
          <w:szCs w:val="22"/>
          <w:lang w:val="en-AU" w:eastAsia="en-AU" w:bidi="ar-SA"/>
        </w:rPr>
      </w:pPr>
      <w:hyperlink w:anchor="_Toc290973013" w:history="1">
        <w:r w:rsidR="00145BE8" w:rsidRPr="00727B1E">
          <w:rPr>
            <w:rStyle w:val="Hyperlink"/>
            <w:rFonts w:cs="Arial"/>
            <w:noProof/>
          </w:rPr>
          <w:t>1.</w:t>
        </w:r>
        <w:r w:rsidR="00145BE8">
          <w:rPr>
            <w:rFonts w:asciiTheme="minorHAnsi" w:eastAsiaTheme="minorEastAsia" w:hAnsiTheme="minorHAnsi" w:cstheme="minorBidi"/>
            <w:smallCaps w:val="0"/>
            <w:noProof/>
            <w:szCs w:val="22"/>
            <w:lang w:val="en-AU" w:eastAsia="en-AU" w:bidi="ar-SA"/>
          </w:rPr>
          <w:tab/>
        </w:r>
        <w:r w:rsidR="00145BE8" w:rsidRPr="00727B1E">
          <w:rPr>
            <w:rStyle w:val="Hyperlink"/>
            <w:rFonts w:cs="Arial"/>
            <w:noProof/>
          </w:rPr>
          <w:t>The Issue / Problem</w:t>
        </w:r>
        <w:r w:rsidR="00145BE8">
          <w:rPr>
            <w:noProof/>
            <w:webHidden/>
          </w:rPr>
          <w:tab/>
        </w:r>
        <w:r w:rsidR="00145BE8">
          <w:rPr>
            <w:noProof/>
            <w:webHidden/>
          </w:rPr>
          <w:fldChar w:fldCharType="begin"/>
        </w:r>
        <w:r w:rsidR="00145BE8">
          <w:rPr>
            <w:noProof/>
            <w:webHidden/>
          </w:rPr>
          <w:instrText xml:space="preserve"> PAGEREF _Toc290973013 \h </w:instrText>
        </w:r>
        <w:r w:rsidR="00145BE8">
          <w:rPr>
            <w:noProof/>
            <w:webHidden/>
          </w:rPr>
        </w:r>
        <w:r w:rsidR="00145BE8">
          <w:rPr>
            <w:noProof/>
            <w:webHidden/>
          </w:rPr>
          <w:fldChar w:fldCharType="separate"/>
        </w:r>
        <w:r w:rsidR="00094BDB">
          <w:rPr>
            <w:noProof/>
            <w:webHidden/>
          </w:rPr>
          <w:t>3</w:t>
        </w:r>
        <w:r w:rsidR="00145BE8">
          <w:rPr>
            <w:noProof/>
            <w:webHidden/>
          </w:rPr>
          <w:fldChar w:fldCharType="end"/>
        </w:r>
      </w:hyperlink>
    </w:p>
    <w:p w:rsidR="00145BE8" w:rsidRDefault="00A02131">
      <w:pPr>
        <w:pStyle w:val="TOC2"/>
        <w:tabs>
          <w:tab w:val="left" w:pos="1134"/>
          <w:tab w:val="right" w:leader="dot" w:pos="9016"/>
        </w:tabs>
        <w:rPr>
          <w:rFonts w:asciiTheme="minorHAnsi" w:eastAsiaTheme="minorEastAsia" w:hAnsiTheme="minorHAnsi" w:cstheme="minorBidi"/>
          <w:smallCaps w:val="0"/>
          <w:noProof/>
          <w:szCs w:val="22"/>
          <w:lang w:val="en-AU" w:eastAsia="en-AU" w:bidi="ar-SA"/>
        </w:rPr>
      </w:pPr>
      <w:hyperlink w:anchor="_Toc290973014" w:history="1">
        <w:r w:rsidR="00145BE8" w:rsidRPr="00727B1E">
          <w:rPr>
            <w:rStyle w:val="Hyperlink"/>
            <w:rFonts w:cs="Arial"/>
            <w:noProof/>
          </w:rPr>
          <w:t>2.</w:t>
        </w:r>
        <w:r w:rsidR="00145BE8">
          <w:rPr>
            <w:rFonts w:asciiTheme="minorHAnsi" w:eastAsiaTheme="minorEastAsia" w:hAnsiTheme="minorHAnsi" w:cstheme="minorBidi"/>
            <w:smallCaps w:val="0"/>
            <w:noProof/>
            <w:szCs w:val="22"/>
            <w:lang w:val="en-AU" w:eastAsia="en-AU" w:bidi="ar-SA"/>
          </w:rPr>
          <w:tab/>
        </w:r>
        <w:r w:rsidR="00145BE8" w:rsidRPr="00727B1E">
          <w:rPr>
            <w:rStyle w:val="Hyperlink"/>
            <w:rFonts w:cs="Arial"/>
            <w:noProof/>
          </w:rPr>
          <w:t>Objectives</w:t>
        </w:r>
        <w:r w:rsidR="00145BE8">
          <w:rPr>
            <w:noProof/>
            <w:webHidden/>
          </w:rPr>
          <w:tab/>
        </w:r>
        <w:r w:rsidR="00145BE8">
          <w:rPr>
            <w:noProof/>
            <w:webHidden/>
          </w:rPr>
          <w:fldChar w:fldCharType="begin"/>
        </w:r>
        <w:r w:rsidR="00145BE8">
          <w:rPr>
            <w:noProof/>
            <w:webHidden/>
          </w:rPr>
          <w:instrText xml:space="preserve"> PAGEREF _Toc290973014 \h </w:instrText>
        </w:r>
        <w:r w:rsidR="00145BE8">
          <w:rPr>
            <w:noProof/>
            <w:webHidden/>
          </w:rPr>
        </w:r>
        <w:r w:rsidR="00145BE8">
          <w:rPr>
            <w:noProof/>
            <w:webHidden/>
          </w:rPr>
          <w:fldChar w:fldCharType="separate"/>
        </w:r>
        <w:r w:rsidR="00094BDB">
          <w:rPr>
            <w:noProof/>
            <w:webHidden/>
          </w:rPr>
          <w:t>3</w:t>
        </w:r>
        <w:r w:rsidR="00145BE8">
          <w:rPr>
            <w:noProof/>
            <w:webHidden/>
          </w:rPr>
          <w:fldChar w:fldCharType="end"/>
        </w:r>
      </w:hyperlink>
    </w:p>
    <w:p w:rsidR="00145BE8" w:rsidRDefault="00A02131">
      <w:pPr>
        <w:pStyle w:val="TOC1"/>
        <w:tabs>
          <w:tab w:val="right" w:leader="dot" w:pos="9016"/>
        </w:tabs>
        <w:rPr>
          <w:rFonts w:asciiTheme="minorHAnsi" w:eastAsiaTheme="minorEastAsia" w:hAnsiTheme="minorHAnsi" w:cstheme="minorBidi"/>
          <w:b w:val="0"/>
          <w:bCs w:val="0"/>
          <w:caps w:val="0"/>
          <w:noProof/>
          <w:szCs w:val="22"/>
          <w:lang w:val="en-AU" w:eastAsia="en-AU" w:bidi="ar-SA"/>
        </w:rPr>
      </w:pPr>
      <w:hyperlink w:anchor="_Toc290973015" w:history="1">
        <w:r w:rsidR="00145BE8" w:rsidRPr="00727B1E">
          <w:rPr>
            <w:rStyle w:val="Hyperlink"/>
            <w:noProof/>
          </w:rPr>
          <w:t>RISK ASSESSMENT</w:t>
        </w:r>
        <w:r w:rsidR="00145BE8">
          <w:rPr>
            <w:noProof/>
            <w:webHidden/>
          </w:rPr>
          <w:tab/>
        </w:r>
        <w:r w:rsidR="00145BE8">
          <w:rPr>
            <w:noProof/>
            <w:webHidden/>
          </w:rPr>
          <w:fldChar w:fldCharType="begin"/>
        </w:r>
        <w:r w:rsidR="00145BE8">
          <w:rPr>
            <w:noProof/>
            <w:webHidden/>
          </w:rPr>
          <w:instrText xml:space="preserve"> PAGEREF _Toc290973015 \h </w:instrText>
        </w:r>
        <w:r w:rsidR="00145BE8">
          <w:rPr>
            <w:noProof/>
            <w:webHidden/>
          </w:rPr>
        </w:r>
        <w:r w:rsidR="00145BE8">
          <w:rPr>
            <w:noProof/>
            <w:webHidden/>
          </w:rPr>
          <w:fldChar w:fldCharType="separate"/>
        </w:r>
        <w:r w:rsidR="00094BDB">
          <w:rPr>
            <w:noProof/>
            <w:webHidden/>
          </w:rPr>
          <w:t>4</w:t>
        </w:r>
        <w:r w:rsidR="00145BE8">
          <w:rPr>
            <w:noProof/>
            <w:webHidden/>
          </w:rPr>
          <w:fldChar w:fldCharType="end"/>
        </w:r>
      </w:hyperlink>
    </w:p>
    <w:p w:rsidR="00145BE8" w:rsidRDefault="00A02131">
      <w:pPr>
        <w:pStyle w:val="TOC2"/>
        <w:tabs>
          <w:tab w:val="left" w:pos="1134"/>
          <w:tab w:val="right" w:leader="dot" w:pos="9016"/>
        </w:tabs>
        <w:rPr>
          <w:rFonts w:asciiTheme="minorHAnsi" w:eastAsiaTheme="minorEastAsia" w:hAnsiTheme="minorHAnsi" w:cstheme="minorBidi"/>
          <w:smallCaps w:val="0"/>
          <w:noProof/>
          <w:szCs w:val="22"/>
          <w:lang w:val="en-AU" w:eastAsia="en-AU" w:bidi="ar-SA"/>
        </w:rPr>
      </w:pPr>
      <w:hyperlink w:anchor="_Toc290973016" w:history="1">
        <w:r w:rsidR="00145BE8" w:rsidRPr="00727B1E">
          <w:rPr>
            <w:rStyle w:val="Hyperlink"/>
            <w:rFonts w:cs="Arial"/>
            <w:noProof/>
          </w:rPr>
          <w:t>3.</w:t>
        </w:r>
        <w:r w:rsidR="00145BE8">
          <w:rPr>
            <w:rFonts w:asciiTheme="minorHAnsi" w:eastAsiaTheme="minorEastAsia" w:hAnsiTheme="minorHAnsi" w:cstheme="minorBidi"/>
            <w:smallCaps w:val="0"/>
            <w:noProof/>
            <w:szCs w:val="22"/>
            <w:lang w:val="en-AU" w:eastAsia="en-AU" w:bidi="ar-SA"/>
          </w:rPr>
          <w:tab/>
        </w:r>
        <w:r w:rsidR="00145BE8" w:rsidRPr="00727B1E">
          <w:rPr>
            <w:rStyle w:val="Hyperlink"/>
            <w:rFonts w:cs="Arial"/>
            <w:noProof/>
          </w:rPr>
          <w:t>Issues raised and solutions</w:t>
        </w:r>
        <w:r w:rsidR="00145BE8">
          <w:rPr>
            <w:noProof/>
            <w:webHidden/>
          </w:rPr>
          <w:tab/>
        </w:r>
        <w:r w:rsidR="00145BE8">
          <w:rPr>
            <w:noProof/>
            <w:webHidden/>
          </w:rPr>
          <w:fldChar w:fldCharType="begin"/>
        </w:r>
        <w:r w:rsidR="00145BE8">
          <w:rPr>
            <w:noProof/>
            <w:webHidden/>
          </w:rPr>
          <w:instrText xml:space="preserve"> PAGEREF _Toc290973016 \h </w:instrText>
        </w:r>
        <w:r w:rsidR="00145BE8">
          <w:rPr>
            <w:noProof/>
            <w:webHidden/>
          </w:rPr>
        </w:r>
        <w:r w:rsidR="00145BE8">
          <w:rPr>
            <w:noProof/>
            <w:webHidden/>
          </w:rPr>
          <w:fldChar w:fldCharType="separate"/>
        </w:r>
        <w:r w:rsidR="00094BDB">
          <w:rPr>
            <w:noProof/>
            <w:webHidden/>
          </w:rPr>
          <w:t>4</w:t>
        </w:r>
        <w:r w:rsidR="00145BE8">
          <w:rPr>
            <w:noProof/>
            <w:webHidden/>
          </w:rPr>
          <w:fldChar w:fldCharType="end"/>
        </w:r>
      </w:hyperlink>
    </w:p>
    <w:p w:rsidR="00145BE8" w:rsidRDefault="00A02131">
      <w:pPr>
        <w:pStyle w:val="TOC1"/>
        <w:tabs>
          <w:tab w:val="right" w:leader="dot" w:pos="9016"/>
        </w:tabs>
        <w:rPr>
          <w:rFonts w:asciiTheme="minorHAnsi" w:eastAsiaTheme="minorEastAsia" w:hAnsiTheme="minorHAnsi" w:cstheme="minorBidi"/>
          <w:b w:val="0"/>
          <w:bCs w:val="0"/>
          <w:caps w:val="0"/>
          <w:noProof/>
          <w:szCs w:val="22"/>
          <w:lang w:val="en-AU" w:eastAsia="en-AU" w:bidi="ar-SA"/>
        </w:rPr>
      </w:pPr>
      <w:hyperlink w:anchor="_Toc290973017" w:history="1">
        <w:r w:rsidR="00145BE8" w:rsidRPr="00727B1E">
          <w:rPr>
            <w:rStyle w:val="Hyperlink"/>
            <w:noProof/>
          </w:rPr>
          <w:t>AMENDMENTS</w:t>
        </w:r>
        <w:r w:rsidR="00145BE8">
          <w:rPr>
            <w:noProof/>
            <w:webHidden/>
          </w:rPr>
          <w:tab/>
        </w:r>
        <w:r w:rsidR="00145BE8">
          <w:rPr>
            <w:noProof/>
            <w:webHidden/>
          </w:rPr>
          <w:fldChar w:fldCharType="begin"/>
        </w:r>
        <w:r w:rsidR="00145BE8">
          <w:rPr>
            <w:noProof/>
            <w:webHidden/>
          </w:rPr>
          <w:instrText xml:space="preserve"> PAGEREF _Toc290973017 \h </w:instrText>
        </w:r>
        <w:r w:rsidR="00145BE8">
          <w:rPr>
            <w:noProof/>
            <w:webHidden/>
          </w:rPr>
        </w:r>
        <w:r w:rsidR="00145BE8">
          <w:rPr>
            <w:noProof/>
            <w:webHidden/>
          </w:rPr>
          <w:fldChar w:fldCharType="separate"/>
        </w:r>
        <w:r w:rsidR="00094BDB">
          <w:rPr>
            <w:noProof/>
            <w:webHidden/>
          </w:rPr>
          <w:t>4</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18" w:history="1">
        <w:r w:rsidR="00145BE8" w:rsidRPr="00727B1E">
          <w:rPr>
            <w:rStyle w:val="Hyperlink"/>
            <w:noProof/>
          </w:rPr>
          <w:t>3.1</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Amendments to various standards</w:t>
        </w:r>
        <w:r w:rsidR="00145BE8">
          <w:rPr>
            <w:noProof/>
            <w:webHidden/>
          </w:rPr>
          <w:tab/>
        </w:r>
        <w:r w:rsidR="00145BE8">
          <w:rPr>
            <w:noProof/>
            <w:webHidden/>
          </w:rPr>
          <w:fldChar w:fldCharType="begin"/>
        </w:r>
        <w:r w:rsidR="00145BE8">
          <w:rPr>
            <w:noProof/>
            <w:webHidden/>
          </w:rPr>
          <w:instrText xml:space="preserve"> PAGEREF _Toc290973018 \h </w:instrText>
        </w:r>
        <w:r w:rsidR="00145BE8">
          <w:rPr>
            <w:noProof/>
            <w:webHidden/>
          </w:rPr>
        </w:r>
        <w:r w:rsidR="00145BE8">
          <w:rPr>
            <w:noProof/>
            <w:webHidden/>
          </w:rPr>
          <w:fldChar w:fldCharType="separate"/>
        </w:r>
        <w:r w:rsidR="00094BDB">
          <w:rPr>
            <w:noProof/>
            <w:webHidden/>
          </w:rPr>
          <w:t>5</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19" w:history="1">
        <w:r w:rsidR="00145BE8" w:rsidRPr="00727B1E">
          <w:rPr>
            <w:rStyle w:val="Hyperlink"/>
            <w:noProof/>
          </w:rPr>
          <w:t>3.2</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1.1.1 – Preliminary Provisions – Application, Interpretation and General Prohibitions</w:t>
        </w:r>
        <w:r w:rsidR="00145BE8">
          <w:rPr>
            <w:noProof/>
            <w:webHidden/>
          </w:rPr>
          <w:tab/>
        </w:r>
        <w:r w:rsidR="00145BE8">
          <w:rPr>
            <w:noProof/>
            <w:webHidden/>
          </w:rPr>
          <w:fldChar w:fldCharType="begin"/>
        </w:r>
        <w:r w:rsidR="00145BE8">
          <w:rPr>
            <w:noProof/>
            <w:webHidden/>
          </w:rPr>
          <w:instrText xml:space="preserve"> PAGEREF _Toc290973019 \h </w:instrText>
        </w:r>
        <w:r w:rsidR="00145BE8">
          <w:rPr>
            <w:noProof/>
            <w:webHidden/>
          </w:rPr>
        </w:r>
        <w:r w:rsidR="00145BE8">
          <w:rPr>
            <w:noProof/>
            <w:webHidden/>
          </w:rPr>
          <w:fldChar w:fldCharType="separate"/>
        </w:r>
        <w:r w:rsidR="00094BDB">
          <w:rPr>
            <w:noProof/>
            <w:webHidden/>
          </w:rPr>
          <w:t>5</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20" w:history="1">
        <w:r w:rsidR="00145BE8" w:rsidRPr="00727B1E">
          <w:rPr>
            <w:rStyle w:val="Hyperlink"/>
            <w:noProof/>
          </w:rPr>
          <w:t>3.3</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1.1.2 – Supplementary Definitions for Foods</w:t>
        </w:r>
        <w:r w:rsidR="00145BE8">
          <w:rPr>
            <w:noProof/>
            <w:webHidden/>
          </w:rPr>
          <w:tab/>
        </w:r>
        <w:r w:rsidR="00145BE8">
          <w:rPr>
            <w:noProof/>
            <w:webHidden/>
          </w:rPr>
          <w:fldChar w:fldCharType="begin"/>
        </w:r>
        <w:r w:rsidR="00145BE8">
          <w:rPr>
            <w:noProof/>
            <w:webHidden/>
          </w:rPr>
          <w:instrText xml:space="preserve"> PAGEREF _Toc290973020 \h </w:instrText>
        </w:r>
        <w:r w:rsidR="00145BE8">
          <w:rPr>
            <w:noProof/>
            <w:webHidden/>
          </w:rPr>
        </w:r>
        <w:r w:rsidR="00145BE8">
          <w:rPr>
            <w:noProof/>
            <w:webHidden/>
          </w:rPr>
          <w:fldChar w:fldCharType="separate"/>
        </w:r>
        <w:r w:rsidR="00094BDB">
          <w:rPr>
            <w:noProof/>
            <w:webHidden/>
          </w:rPr>
          <w:t>5</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21" w:history="1">
        <w:r w:rsidR="00145BE8" w:rsidRPr="00727B1E">
          <w:rPr>
            <w:rStyle w:val="Hyperlink"/>
            <w:noProof/>
          </w:rPr>
          <w:t>3.4</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1.2.1 – Application of Labelling and Other Information Requirements</w:t>
        </w:r>
        <w:r w:rsidR="00145BE8">
          <w:rPr>
            <w:noProof/>
            <w:webHidden/>
          </w:rPr>
          <w:tab/>
        </w:r>
        <w:r w:rsidR="00145BE8">
          <w:rPr>
            <w:noProof/>
            <w:webHidden/>
          </w:rPr>
          <w:fldChar w:fldCharType="begin"/>
        </w:r>
        <w:r w:rsidR="00145BE8">
          <w:rPr>
            <w:noProof/>
            <w:webHidden/>
          </w:rPr>
          <w:instrText xml:space="preserve"> PAGEREF _Toc290973021 \h </w:instrText>
        </w:r>
        <w:r w:rsidR="00145BE8">
          <w:rPr>
            <w:noProof/>
            <w:webHidden/>
          </w:rPr>
        </w:r>
        <w:r w:rsidR="00145BE8">
          <w:rPr>
            <w:noProof/>
            <w:webHidden/>
          </w:rPr>
          <w:fldChar w:fldCharType="separate"/>
        </w:r>
        <w:r w:rsidR="00094BDB">
          <w:rPr>
            <w:noProof/>
            <w:webHidden/>
          </w:rPr>
          <w:t>6</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22" w:history="1">
        <w:r w:rsidR="00145BE8" w:rsidRPr="00727B1E">
          <w:rPr>
            <w:rStyle w:val="Hyperlink"/>
            <w:noProof/>
          </w:rPr>
          <w:t>3.5</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1.2.3 – Mandatory Warning and Advisory Statements and Declarations</w:t>
        </w:r>
        <w:r w:rsidR="00145BE8">
          <w:rPr>
            <w:noProof/>
            <w:webHidden/>
          </w:rPr>
          <w:tab/>
        </w:r>
        <w:r w:rsidR="00145BE8">
          <w:rPr>
            <w:noProof/>
            <w:webHidden/>
          </w:rPr>
          <w:tab/>
        </w:r>
        <w:r w:rsidR="00145BE8">
          <w:rPr>
            <w:noProof/>
            <w:webHidden/>
          </w:rPr>
          <w:tab/>
        </w:r>
        <w:r w:rsidR="00145BE8">
          <w:rPr>
            <w:noProof/>
            <w:webHidden/>
          </w:rPr>
          <w:fldChar w:fldCharType="begin"/>
        </w:r>
        <w:r w:rsidR="00145BE8">
          <w:rPr>
            <w:noProof/>
            <w:webHidden/>
          </w:rPr>
          <w:instrText xml:space="preserve"> PAGEREF _Toc290973022 \h </w:instrText>
        </w:r>
        <w:r w:rsidR="00145BE8">
          <w:rPr>
            <w:noProof/>
            <w:webHidden/>
          </w:rPr>
        </w:r>
        <w:r w:rsidR="00145BE8">
          <w:rPr>
            <w:noProof/>
            <w:webHidden/>
          </w:rPr>
          <w:fldChar w:fldCharType="separate"/>
        </w:r>
        <w:r w:rsidR="00094BDB">
          <w:rPr>
            <w:noProof/>
            <w:webHidden/>
          </w:rPr>
          <w:t>6</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23" w:history="1">
        <w:r w:rsidR="00145BE8" w:rsidRPr="00727B1E">
          <w:rPr>
            <w:rStyle w:val="Hyperlink"/>
            <w:noProof/>
          </w:rPr>
          <w:t>3.6</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1.2.4 – Labelling of Ingredients</w:t>
        </w:r>
        <w:r w:rsidR="00145BE8">
          <w:rPr>
            <w:noProof/>
            <w:webHidden/>
          </w:rPr>
          <w:tab/>
        </w:r>
        <w:r w:rsidR="00145BE8">
          <w:rPr>
            <w:noProof/>
            <w:webHidden/>
          </w:rPr>
          <w:fldChar w:fldCharType="begin"/>
        </w:r>
        <w:r w:rsidR="00145BE8">
          <w:rPr>
            <w:noProof/>
            <w:webHidden/>
          </w:rPr>
          <w:instrText xml:space="preserve"> PAGEREF _Toc290973023 \h </w:instrText>
        </w:r>
        <w:r w:rsidR="00145BE8">
          <w:rPr>
            <w:noProof/>
            <w:webHidden/>
          </w:rPr>
        </w:r>
        <w:r w:rsidR="00145BE8">
          <w:rPr>
            <w:noProof/>
            <w:webHidden/>
          </w:rPr>
          <w:fldChar w:fldCharType="separate"/>
        </w:r>
        <w:r w:rsidR="00094BDB">
          <w:rPr>
            <w:noProof/>
            <w:webHidden/>
          </w:rPr>
          <w:t>7</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24" w:history="1">
        <w:r w:rsidR="00145BE8" w:rsidRPr="00727B1E">
          <w:rPr>
            <w:rStyle w:val="Hyperlink"/>
            <w:noProof/>
          </w:rPr>
          <w:t>3.7</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1.2.5 – Date Marking of Food</w:t>
        </w:r>
        <w:r w:rsidR="00145BE8">
          <w:rPr>
            <w:noProof/>
            <w:webHidden/>
          </w:rPr>
          <w:tab/>
        </w:r>
        <w:r w:rsidR="00145BE8">
          <w:rPr>
            <w:noProof/>
            <w:webHidden/>
          </w:rPr>
          <w:fldChar w:fldCharType="begin"/>
        </w:r>
        <w:r w:rsidR="00145BE8">
          <w:rPr>
            <w:noProof/>
            <w:webHidden/>
          </w:rPr>
          <w:instrText xml:space="preserve"> PAGEREF _Toc290973024 \h </w:instrText>
        </w:r>
        <w:r w:rsidR="00145BE8">
          <w:rPr>
            <w:noProof/>
            <w:webHidden/>
          </w:rPr>
        </w:r>
        <w:r w:rsidR="00145BE8">
          <w:rPr>
            <w:noProof/>
            <w:webHidden/>
          </w:rPr>
          <w:fldChar w:fldCharType="separate"/>
        </w:r>
        <w:r w:rsidR="00094BDB">
          <w:rPr>
            <w:noProof/>
            <w:webHidden/>
          </w:rPr>
          <w:t>8</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25" w:history="1">
        <w:r w:rsidR="00145BE8" w:rsidRPr="00727B1E">
          <w:rPr>
            <w:rStyle w:val="Hyperlink"/>
            <w:noProof/>
          </w:rPr>
          <w:t>3.8</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1.2.6 – Directions for Use and Storage</w:t>
        </w:r>
        <w:r w:rsidR="00145BE8">
          <w:rPr>
            <w:noProof/>
            <w:webHidden/>
          </w:rPr>
          <w:tab/>
        </w:r>
        <w:r w:rsidR="00145BE8">
          <w:rPr>
            <w:noProof/>
            <w:webHidden/>
          </w:rPr>
          <w:fldChar w:fldCharType="begin"/>
        </w:r>
        <w:r w:rsidR="00145BE8">
          <w:rPr>
            <w:noProof/>
            <w:webHidden/>
          </w:rPr>
          <w:instrText xml:space="preserve"> PAGEREF _Toc290973025 \h </w:instrText>
        </w:r>
        <w:r w:rsidR="00145BE8">
          <w:rPr>
            <w:noProof/>
            <w:webHidden/>
          </w:rPr>
        </w:r>
        <w:r w:rsidR="00145BE8">
          <w:rPr>
            <w:noProof/>
            <w:webHidden/>
          </w:rPr>
          <w:fldChar w:fldCharType="separate"/>
        </w:r>
        <w:r w:rsidR="00094BDB">
          <w:rPr>
            <w:noProof/>
            <w:webHidden/>
          </w:rPr>
          <w:t>9</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26" w:history="1">
        <w:r w:rsidR="00145BE8" w:rsidRPr="00727B1E">
          <w:rPr>
            <w:rStyle w:val="Hyperlink"/>
            <w:noProof/>
          </w:rPr>
          <w:t>3.9</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1.2.8 – Nutrition Information Requirements</w:t>
        </w:r>
        <w:r w:rsidR="00145BE8">
          <w:rPr>
            <w:noProof/>
            <w:webHidden/>
          </w:rPr>
          <w:tab/>
        </w:r>
        <w:r w:rsidR="00145BE8">
          <w:rPr>
            <w:noProof/>
            <w:webHidden/>
          </w:rPr>
          <w:fldChar w:fldCharType="begin"/>
        </w:r>
        <w:r w:rsidR="00145BE8">
          <w:rPr>
            <w:noProof/>
            <w:webHidden/>
          </w:rPr>
          <w:instrText xml:space="preserve"> PAGEREF _Toc290973026 \h </w:instrText>
        </w:r>
        <w:r w:rsidR="00145BE8">
          <w:rPr>
            <w:noProof/>
            <w:webHidden/>
          </w:rPr>
        </w:r>
        <w:r w:rsidR="00145BE8">
          <w:rPr>
            <w:noProof/>
            <w:webHidden/>
          </w:rPr>
          <w:fldChar w:fldCharType="separate"/>
        </w:r>
        <w:r w:rsidR="00094BDB">
          <w:rPr>
            <w:noProof/>
            <w:webHidden/>
          </w:rPr>
          <w:t>9</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27" w:history="1">
        <w:r w:rsidR="00145BE8" w:rsidRPr="00727B1E">
          <w:rPr>
            <w:rStyle w:val="Hyperlink"/>
            <w:noProof/>
          </w:rPr>
          <w:t>3.10</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1.2.9 – Legibility</w:t>
        </w:r>
        <w:r w:rsidR="00145BE8">
          <w:rPr>
            <w:noProof/>
            <w:webHidden/>
          </w:rPr>
          <w:tab/>
        </w:r>
        <w:r w:rsidR="00145BE8">
          <w:rPr>
            <w:noProof/>
            <w:webHidden/>
          </w:rPr>
          <w:fldChar w:fldCharType="begin"/>
        </w:r>
        <w:r w:rsidR="00145BE8">
          <w:rPr>
            <w:noProof/>
            <w:webHidden/>
          </w:rPr>
          <w:instrText xml:space="preserve"> PAGEREF _Toc290973027 \h </w:instrText>
        </w:r>
        <w:r w:rsidR="00145BE8">
          <w:rPr>
            <w:noProof/>
            <w:webHidden/>
          </w:rPr>
        </w:r>
        <w:r w:rsidR="00145BE8">
          <w:rPr>
            <w:noProof/>
            <w:webHidden/>
          </w:rPr>
          <w:fldChar w:fldCharType="separate"/>
        </w:r>
        <w:r w:rsidR="00094BDB">
          <w:rPr>
            <w:noProof/>
            <w:webHidden/>
          </w:rPr>
          <w:t>11</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28" w:history="1">
        <w:r w:rsidR="00145BE8" w:rsidRPr="00727B1E">
          <w:rPr>
            <w:rStyle w:val="Hyperlink"/>
            <w:noProof/>
          </w:rPr>
          <w:t>3.11</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1.2.10 – Characterising Ingredients and Components of Food</w:t>
        </w:r>
        <w:r w:rsidR="00145BE8">
          <w:rPr>
            <w:noProof/>
            <w:webHidden/>
          </w:rPr>
          <w:tab/>
        </w:r>
        <w:r w:rsidR="00145BE8">
          <w:rPr>
            <w:noProof/>
            <w:webHidden/>
          </w:rPr>
          <w:fldChar w:fldCharType="begin"/>
        </w:r>
        <w:r w:rsidR="00145BE8">
          <w:rPr>
            <w:noProof/>
            <w:webHidden/>
          </w:rPr>
          <w:instrText xml:space="preserve"> PAGEREF _Toc290973028 \h </w:instrText>
        </w:r>
        <w:r w:rsidR="00145BE8">
          <w:rPr>
            <w:noProof/>
            <w:webHidden/>
          </w:rPr>
        </w:r>
        <w:r w:rsidR="00145BE8">
          <w:rPr>
            <w:noProof/>
            <w:webHidden/>
          </w:rPr>
          <w:fldChar w:fldCharType="separate"/>
        </w:r>
        <w:r w:rsidR="00094BDB">
          <w:rPr>
            <w:noProof/>
            <w:webHidden/>
          </w:rPr>
          <w:t>11</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29" w:history="1">
        <w:r w:rsidR="00145BE8" w:rsidRPr="00727B1E">
          <w:rPr>
            <w:rStyle w:val="Hyperlink"/>
            <w:noProof/>
          </w:rPr>
          <w:t>3.12</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1.2.11 – Country of Origin Requirements</w:t>
        </w:r>
        <w:r w:rsidR="00145BE8">
          <w:rPr>
            <w:noProof/>
            <w:webHidden/>
          </w:rPr>
          <w:tab/>
        </w:r>
        <w:r w:rsidR="00145BE8">
          <w:rPr>
            <w:noProof/>
            <w:webHidden/>
          </w:rPr>
          <w:fldChar w:fldCharType="begin"/>
        </w:r>
        <w:r w:rsidR="00145BE8">
          <w:rPr>
            <w:noProof/>
            <w:webHidden/>
          </w:rPr>
          <w:instrText xml:space="preserve"> PAGEREF _Toc290973029 \h </w:instrText>
        </w:r>
        <w:r w:rsidR="00145BE8">
          <w:rPr>
            <w:noProof/>
            <w:webHidden/>
          </w:rPr>
        </w:r>
        <w:r w:rsidR="00145BE8">
          <w:rPr>
            <w:noProof/>
            <w:webHidden/>
          </w:rPr>
          <w:fldChar w:fldCharType="separate"/>
        </w:r>
        <w:r w:rsidR="00094BDB">
          <w:rPr>
            <w:noProof/>
            <w:webHidden/>
          </w:rPr>
          <w:t>11</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30" w:history="1">
        <w:r w:rsidR="00145BE8" w:rsidRPr="00727B1E">
          <w:rPr>
            <w:rStyle w:val="Hyperlink"/>
            <w:noProof/>
          </w:rPr>
          <w:t>3.13</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1.3.1 – Food Additives</w:t>
        </w:r>
        <w:r w:rsidR="00145BE8">
          <w:rPr>
            <w:noProof/>
            <w:webHidden/>
          </w:rPr>
          <w:tab/>
        </w:r>
        <w:r w:rsidR="00145BE8">
          <w:rPr>
            <w:noProof/>
            <w:webHidden/>
          </w:rPr>
          <w:fldChar w:fldCharType="begin"/>
        </w:r>
        <w:r w:rsidR="00145BE8">
          <w:rPr>
            <w:noProof/>
            <w:webHidden/>
          </w:rPr>
          <w:instrText xml:space="preserve"> PAGEREF _Toc290973030 \h </w:instrText>
        </w:r>
        <w:r w:rsidR="00145BE8">
          <w:rPr>
            <w:noProof/>
            <w:webHidden/>
          </w:rPr>
        </w:r>
        <w:r w:rsidR="00145BE8">
          <w:rPr>
            <w:noProof/>
            <w:webHidden/>
          </w:rPr>
          <w:fldChar w:fldCharType="separate"/>
        </w:r>
        <w:r w:rsidR="00094BDB">
          <w:rPr>
            <w:noProof/>
            <w:webHidden/>
          </w:rPr>
          <w:t>12</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31" w:history="1">
        <w:r w:rsidR="00145BE8" w:rsidRPr="00727B1E">
          <w:rPr>
            <w:rStyle w:val="Hyperlink"/>
            <w:noProof/>
          </w:rPr>
          <w:t>3.14</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1.3.2 – Vitamins and Minerals</w:t>
        </w:r>
        <w:r w:rsidR="00145BE8">
          <w:rPr>
            <w:noProof/>
            <w:webHidden/>
          </w:rPr>
          <w:tab/>
        </w:r>
        <w:r w:rsidR="00145BE8">
          <w:rPr>
            <w:noProof/>
            <w:webHidden/>
          </w:rPr>
          <w:fldChar w:fldCharType="begin"/>
        </w:r>
        <w:r w:rsidR="00145BE8">
          <w:rPr>
            <w:noProof/>
            <w:webHidden/>
          </w:rPr>
          <w:instrText xml:space="preserve"> PAGEREF _Toc290973031 \h </w:instrText>
        </w:r>
        <w:r w:rsidR="00145BE8">
          <w:rPr>
            <w:noProof/>
            <w:webHidden/>
          </w:rPr>
        </w:r>
        <w:r w:rsidR="00145BE8">
          <w:rPr>
            <w:noProof/>
            <w:webHidden/>
          </w:rPr>
          <w:fldChar w:fldCharType="separate"/>
        </w:r>
        <w:r w:rsidR="00094BDB">
          <w:rPr>
            <w:noProof/>
            <w:webHidden/>
          </w:rPr>
          <w:t>15</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32" w:history="1">
        <w:r w:rsidR="00145BE8" w:rsidRPr="00727B1E">
          <w:rPr>
            <w:rStyle w:val="Hyperlink"/>
            <w:noProof/>
          </w:rPr>
          <w:t>3.15</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1.3.3 – Processing Aids</w:t>
        </w:r>
        <w:r w:rsidR="00145BE8">
          <w:rPr>
            <w:noProof/>
            <w:webHidden/>
          </w:rPr>
          <w:tab/>
        </w:r>
        <w:r w:rsidR="00145BE8">
          <w:rPr>
            <w:noProof/>
            <w:webHidden/>
          </w:rPr>
          <w:fldChar w:fldCharType="begin"/>
        </w:r>
        <w:r w:rsidR="00145BE8">
          <w:rPr>
            <w:noProof/>
            <w:webHidden/>
          </w:rPr>
          <w:instrText xml:space="preserve"> PAGEREF _Toc290973032 \h </w:instrText>
        </w:r>
        <w:r w:rsidR="00145BE8">
          <w:rPr>
            <w:noProof/>
            <w:webHidden/>
          </w:rPr>
        </w:r>
        <w:r w:rsidR="00145BE8">
          <w:rPr>
            <w:noProof/>
            <w:webHidden/>
          </w:rPr>
          <w:fldChar w:fldCharType="separate"/>
        </w:r>
        <w:r w:rsidR="00094BDB">
          <w:rPr>
            <w:noProof/>
            <w:webHidden/>
          </w:rPr>
          <w:t>16</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33" w:history="1">
        <w:r w:rsidR="00145BE8" w:rsidRPr="00727B1E">
          <w:rPr>
            <w:rStyle w:val="Hyperlink"/>
            <w:noProof/>
          </w:rPr>
          <w:t>3.16</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1.3.4 – Identity and Purity</w:t>
        </w:r>
        <w:r w:rsidR="00145BE8">
          <w:rPr>
            <w:noProof/>
            <w:webHidden/>
          </w:rPr>
          <w:tab/>
        </w:r>
        <w:r w:rsidR="00145BE8">
          <w:rPr>
            <w:noProof/>
            <w:webHidden/>
          </w:rPr>
          <w:fldChar w:fldCharType="begin"/>
        </w:r>
        <w:r w:rsidR="00145BE8">
          <w:rPr>
            <w:noProof/>
            <w:webHidden/>
          </w:rPr>
          <w:instrText xml:space="preserve"> PAGEREF _Toc290973033 \h </w:instrText>
        </w:r>
        <w:r w:rsidR="00145BE8">
          <w:rPr>
            <w:noProof/>
            <w:webHidden/>
          </w:rPr>
        </w:r>
        <w:r w:rsidR="00145BE8">
          <w:rPr>
            <w:noProof/>
            <w:webHidden/>
          </w:rPr>
          <w:fldChar w:fldCharType="separate"/>
        </w:r>
        <w:r w:rsidR="00094BDB">
          <w:rPr>
            <w:noProof/>
            <w:webHidden/>
          </w:rPr>
          <w:t>17</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34" w:history="1">
        <w:r w:rsidR="00145BE8" w:rsidRPr="00727B1E">
          <w:rPr>
            <w:rStyle w:val="Hyperlink"/>
            <w:noProof/>
          </w:rPr>
          <w:t>3.17</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1.4.1 – Contaminants and Natural Toxicants</w:t>
        </w:r>
        <w:r w:rsidR="00145BE8">
          <w:rPr>
            <w:noProof/>
            <w:webHidden/>
          </w:rPr>
          <w:tab/>
        </w:r>
        <w:r w:rsidR="00145BE8">
          <w:rPr>
            <w:noProof/>
            <w:webHidden/>
          </w:rPr>
          <w:fldChar w:fldCharType="begin"/>
        </w:r>
        <w:r w:rsidR="00145BE8">
          <w:rPr>
            <w:noProof/>
            <w:webHidden/>
          </w:rPr>
          <w:instrText xml:space="preserve"> PAGEREF _Toc290973034 \h </w:instrText>
        </w:r>
        <w:r w:rsidR="00145BE8">
          <w:rPr>
            <w:noProof/>
            <w:webHidden/>
          </w:rPr>
        </w:r>
        <w:r w:rsidR="00145BE8">
          <w:rPr>
            <w:noProof/>
            <w:webHidden/>
          </w:rPr>
          <w:fldChar w:fldCharType="separate"/>
        </w:r>
        <w:r w:rsidR="00094BDB">
          <w:rPr>
            <w:noProof/>
            <w:webHidden/>
          </w:rPr>
          <w:t>18</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35" w:history="1">
        <w:r w:rsidR="00145BE8" w:rsidRPr="00727B1E">
          <w:rPr>
            <w:rStyle w:val="Hyperlink"/>
            <w:noProof/>
          </w:rPr>
          <w:t>3.18</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1.4.2 – Maximum Residue Limits (Australia only)</w:t>
        </w:r>
        <w:r w:rsidR="00145BE8">
          <w:rPr>
            <w:noProof/>
            <w:webHidden/>
          </w:rPr>
          <w:tab/>
        </w:r>
        <w:r w:rsidR="00145BE8">
          <w:rPr>
            <w:noProof/>
            <w:webHidden/>
          </w:rPr>
          <w:fldChar w:fldCharType="begin"/>
        </w:r>
        <w:r w:rsidR="00145BE8">
          <w:rPr>
            <w:noProof/>
            <w:webHidden/>
          </w:rPr>
          <w:instrText xml:space="preserve"> PAGEREF _Toc290973035 \h </w:instrText>
        </w:r>
        <w:r w:rsidR="00145BE8">
          <w:rPr>
            <w:noProof/>
            <w:webHidden/>
          </w:rPr>
        </w:r>
        <w:r w:rsidR="00145BE8">
          <w:rPr>
            <w:noProof/>
            <w:webHidden/>
          </w:rPr>
          <w:fldChar w:fldCharType="separate"/>
        </w:r>
        <w:r w:rsidR="00094BDB">
          <w:rPr>
            <w:noProof/>
            <w:webHidden/>
          </w:rPr>
          <w:t>19</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36" w:history="1">
        <w:r w:rsidR="00145BE8" w:rsidRPr="00727B1E">
          <w:rPr>
            <w:rStyle w:val="Hyperlink"/>
            <w:noProof/>
          </w:rPr>
          <w:t>3.19</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1.4.4 – Prohibited and Restricted Plants and Fungi</w:t>
        </w:r>
        <w:r w:rsidR="00145BE8">
          <w:rPr>
            <w:noProof/>
            <w:webHidden/>
          </w:rPr>
          <w:tab/>
        </w:r>
        <w:r w:rsidR="00145BE8">
          <w:rPr>
            <w:noProof/>
            <w:webHidden/>
          </w:rPr>
          <w:fldChar w:fldCharType="begin"/>
        </w:r>
        <w:r w:rsidR="00145BE8">
          <w:rPr>
            <w:noProof/>
            <w:webHidden/>
          </w:rPr>
          <w:instrText xml:space="preserve"> PAGEREF _Toc290973036 \h </w:instrText>
        </w:r>
        <w:r w:rsidR="00145BE8">
          <w:rPr>
            <w:noProof/>
            <w:webHidden/>
          </w:rPr>
        </w:r>
        <w:r w:rsidR="00145BE8">
          <w:rPr>
            <w:noProof/>
            <w:webHidden/>
          </w:rPr>
          <w:fldChar w:fldCharType="separate"/>
        </w:r>
        <w:r w:rsidR="00094BDB">
          <w:rPr>
            <w:noProof/>
            <w:webHidden/>
          </w:rPr>
          <w:t>19</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37" w:history="1">
        <w:r w:rsidR="00145BE8" w:rsidRPr="00727B1E">
          <w:rPr>
            <w:rStyle w:val="Hyperlink"/>
            <w:noProof/>
          </w:rPr>
          <w:t>3.20</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1.5.1 – Novel Foods</w:t>
        </w:r>
        <w:r w:rsidR="00145BE8">
          <w:rPr>
            <w:noProof/>
            <w:webHidden/>
          </w:rPr>
          <w:tab/>
        </w:r>
        <w:r w:rsidR="00145BE8">
          <w:rPr>
            <w:noProof/>
            <w:webHidden/>
          </w:rPr>
          <w:fldChar w:fldCharType="begin"/>
        </w:r>
        <w:r w:rsidR="00145BE8">
          <w:rPr>
            <w:noProof/>
            <w:webHidden/>
          </w:rPr>
          <w:instrText xml:space="preserve"> PAGEREF _Toc290973037 \h </w:instrText>
        </w:r>
        <w:r w:rsidR="00145BE8">
          <w:rPr>
            <w:noProof/>
            <w:webHidden/>
          </w:rPr>
        </w:r>
        <w:r w:rsidR="00145BE8">
          <w:rPr>
            <w:noProof/>
            <w:webHidden/>
          </w:rPr>
          <w:fldChar w:fldCharType="separate"/>
        </w:r>
        <w:r w:rsidR="00094BDB">
          <w:rPr>
            <w:noProof/>
            <w:webHidden/>
          </w:rPr>
          <w:t>20</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38" w:history="1">
        <w:r w:rsidR="00145BE8" w:rsidRPr="00727B1E">
          <w:rPr>
            <w:rStyle w:val="Hyperlink"/>
            <w:noProof/>
          </w:rPr>
          <w:t>3.21</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1.6.1 – Microbiological Limits for Food</w:t>
        </w:r>
        <w:r w:rsidR="00145BE8">
          <w:rPr>
            <w:noProof/>
            <w:webHidden/>
          </w:rPr>
          <w:tab/>
        </w:r>
        <w:r w:rsidR="00145BE8">
          <w:rPr>
            <w:noProof/>
            <w:webHidden/>
          </w:rPr>
          <w:fldChar w:fldCharType="begin"/>
        </w:r>
        <w:r w:rsidR="00145BE8">
          <w:rPr>
            <w:noProof/>
            <w:webHidden/>
          </w:rPr>
          <w:instrText xml:space="preserve"> PAGEREF _Toc290973038 \h </w:instrText>
        </w:r>
        <w:r w:rsidR="00145BE8">
          <w:rPr>
            <w:noProof/>
            <w:webHidden/>
          </w:rPr>
        </w:r>
        <w:r w:rsidR="00145BE8">
          <w:rPr>
            <w:noProof/>
            <w:webHidden/>
          </w:rPr>
          <w:fldChar w:fldCharType="separate"/>
        </w:r>
        <w:r w:rsidR="00094BDB">
          <w:rPr>
            <w:noProof/>
            <w:webHidden/>
          </w:rPr>
          <w:t>20</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39" w:history="1">
        <w:r w:rsidR="00145BE8" w:rsidRPr="00727B1E">
          <w:rPr>
            <w:rStyle w:val="Hyperlink"/>
            <w:noProof/>
          </w:rPr>
          <w:t>3.22</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1.6.2 – Processing Requirements (Australia only)</w:t>
        </w:r>
        <w:r w:rsidR="00145BE8">
          <w:rPr>
            <w:noProof/>
            <w:webHidden/>
          </w:rPr>
          <w:tab/>
        </w:r>
        <w:r w:rsidR="00145BE8">
          <w:rPr>
            <w:noProof/>
            <w:webHidden/>
          </w:rPr>
          <w:fldChar w:fldCharType="begin"/>
        </w:r>
        <w:r w:rsidR="00145BE8">
          <w:rPr>
            <w:noProof/>
            <w:webHidden/>
          </w:rPr>
          <w:instrText xml:space="preserve"> PAGEREF _Toc290973039 \h </w:instrText>
        </w:r>
        <w:r w:rsidR="00145BE8">
          <w:rPr>
            <w:noProof/>
            <w:webHidden/>
          </w:rPr>
        </w:r>
        <w:r w:rsidR="00145BE8">
          <w:rPr>
            <w:noProof/>
            <w:webHidden/>
          </w:rPr>
          <w:fldChar w:fldCharType="separate"/>
        </w:r>
        <w:r w:rsidR="00094BDB">
          <w:rPr>
            <w:noProof/>
            <w:webHidden/>
          </w:rPr>
          <w:t>20</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40" w:history="1">
        <w:r w:rsidR="00145BE8" w:rsidRPr="00727B1E">
          <w:rPr>
            <w:rStyle w:val="Hyperlink"/>
            <w:noProof/>
          </w:rPr>
          <w:t>3.23</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2.2.1 – Meat and Meat Products</w:t>
        </w:r>
        <w:r w:rsidR="00145BE8">
          <w:rPr>
            <w:noProof/>
            <w:webHidden/>
          </w:rPr>
          <w:tab/>
        </w:r>
        <w:r w:rsidR="00145BE8">
          <w:rPr>
            <w:noProof/>
            <w:webHidden/>
          </w:rPr>
          <w:fldChar w:fldCharType="begin"/>
        </w:r>
        <w:r w:rsidR="00145BE8">
          <w:rPr>
            <w:noProof/>
            <w:webHidden/>
          </w:rPr>
          <w:instrText xml:space="preserve"> PAGEREF _Toc290973040 \h </w:instrText>
        </w:r>
        <w:r w:rsidR="00145BE8">
          <w:rPr>
            <w:noProof/>
            <w:webHidden/>
          </w:rPr>
        </w:r>
        <w:r w:rsidR="00145BE8">
          <w:rPr>
            <w:noProof/>
            <w:webHidden/>
          </w:rPr>
          <w:fldChar w:fldCharType="separate"/>
        </w:r>
        <w:r w:rsidR="00094BDB">
          <w:rPr>
            <w:noProof/>
            <w:webHidden/>
          </w:rPr>
          <w:t>21</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41" w:history="1">
        <w:r w:rsidR="00145BE8" w:rsidRPr="00727B1E">
          <w:rPr>
            <w:rStyle w:val="Hyperlink"/>
            <w:noProof/>
          </w:rPr>
          <w:t>3.24</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2.2.2 – Egg and Egg Products</w:t>
        </w:r>
        <w:r w:rsidR="00145BE8">
          <w:rPr>
            <w:noProof/>
            <w:webHidden/>
          </w:rPr>
          <w:tab/>
        </w:r>
        <w:r w:rsidR="00145BE8">
          <w:rPr>
            <w:noProof/>
            <w:webHidden/>
          </w:rPr>
          <w:fldChar w:fldCharType="begin"/>
        </w:r>
        <w:r w:rsidR="00145BE8">
          <w:rPr>
            <w:noProof/>
            <w:webHidden/>
          </w:rPr>
          <w:instrText xml:space="preserve"> PAGEREF _Toc290973041 \h </w:instrText>
        </w:r>
        <w:r w:rsidR="00145BE8">
          <w:rPr>
            <w:noProof/>
            <w:webHidden/>
          </w:rPr>
        </w:r>
        <w:r w:rsidR="00145BE8">
          <w:rPr>
            <w:noProof/>
            <w:webHidden/>
          </w:rPr>
          <w:fldChar w:fldCharType="separate"/>
        </w:r>
        <w:r w:rsidR="00094BDB">
          <w:rPr>
            <w:noProof/>
            <w:webHidden/>
          </w:rPr>
          <w:t>22</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42" w:history="1">
        <w:r w:rsidR="00145BE8" w:rsidRPr="00727B1E">
          <w:rPr>
            <w:rStyle w:val="Hyperlink"/>
            <w:noProof/>
          </w:rPr>
          <w:t>3.25</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2.2.3 – Fish and Fish Products</w:t>
        </w:r>
        <w:r w:rsidR="00145BE8">
          <w:rPr>
            <w:noProof/>
            <w:webHidden/>
          </w:rPr>
          <w:tab/>
        </w:r>
        <w:r w:rsidR="00145BE8">
          <w:rPr>
            <w:noProof/>
            <w:webHidden/>
          </w:rPr>
          <w:fldChar w:fldCharType="begin"/>
        </w:r>
        <w:r w:rsidR="00145BE8">
          <w:rPr>
            <w:noProof/>
            <w:webHidden/>
          </w:rPr>
          <w:instrText xml:space="preserve"> PAGEREF _Toc290973042 \h </w:instrText>
        </w:r>
        <w:r w:rsidR="00145BE8">
          <w:rPr>
            <w:noProof/>
            <w:webHidden/>
          </w:rPr>
        </w:r>
        <w:r w:rsidR="00145BE8">
          <w:rPr>
            <w:noProof/>
            <w:webHidden/>
          </w:rPr>
          <w:fldChar w:fldCharType="separate"/>
        </w:r>
        <w:r w:rsidR="00094BDB">
          <w:rPr>
            <w:noProof/>
            <w:webHidden/>
          </w:rPr>
          <w:t>22</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43" w:history="1">
        <w:r w:rsidR="00145BE8" w:rsidRPr="00727B1E">
          <w:rPr>
            <w:rStyle w:val="Hyperlink"/>
            <w:noProof/>
          </w:rPr>
          <w:t>3.26</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2.3.1 – Fruit and Vegetables</w:t>
        </w:r>
        <w:r w:rsidR="00145BE8">
          <w:rPr>
            <w:noProof/>
            <w:webHidden/>
          </w:rPr>
          <w:tab/>
        </w:r>
        <w:r w:rsidR="00145BE8">
          <w:rPr>
            <w:noProof/>
            <w:webHidden/>
          </w:rPr>
          <w:fldChar w:fldCharType="begin"/>
        </w:r>
        <w:r w:rsidR="00145BE8">
          <w:rPr>
            <w:noProof/>
            <w:webHidden/>
          </w:rPr>
          <w:instrText xml:space="preserve"> PAGEREF _Toc290973043 \h </w:instrText>
        </w:r>
        <w:r w:rsidR="00145BE8">
          <w:rPr>
            <w:noProof/>
            <w:webHidden/>
          </w:rPr>
        </w:r>
        <w:r w:rsidR="00145BE8">
          <w:rPr>
            <w:noProof/>
            <w:webHidden/>
          </w:rPr>
          <w:fldChar w:fldCharType="separate"/>
        </w:r>
        <w:r w:rsidR="00094BDB">
          <w:rPr>
            <w:noProof/>
            <w:webHidden/>
          </w:rPr>
          <w:t>22</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44" w:history="1">
        <w:r w:rsidR="00145BE8" w:rsidRPr="00727B1E">
          <w:rPr>
            <w:rStyle w:val="Hyperlink"/>
            <w:noProof/>
          </w:rPr>
          <w:t>3.27</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2.4.1 – Edible Oils</w:t>
        </w:r>
        <w:r w:rsidR="00145BE8">
          <w:rPr>
            <w:noProof/>
            <w:webHidden/>
          </w:rPr>
          <w:tab/>
        </w:r>
        <w:r w:rsidR="00145BE8">
          <w:rPr>
            <w:noProof/>
            <w:webHidden/>
          </w:rPr>
          <w:fldChar w:fldCharType="begin"/>
        </w:r>
        <w:r w:rsidR="00145BE8">
          <w:rPr>
            <w:noProof/>
            <w:webHidden/>
          </w:rPr>
          <w:instrText xml:space="preserve"> PAGEREF _Toc290973044 \h </w:instrText>
        </w:r>
        <w:r w:rsidR="00145BE8">
          <w:rPr>
            <w:noProof/>
            <w:webHidden/>
          </w:rPr>
        </w:r>
        <w:r w:rsidR="00145BE8">
          <w:rPr>
            <w:noProof/>
            <w:webHidden/>
          </w:rPr>
          <w:fldChar w:fldCharType="separate"/>
        </w:r>
        <w:r w:rsidR="00094BDB">
          <w:rPr>
            <w:noProof/>
            <w:webHidden/>
          </w:rPr>
          <w:t>22</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45" w:history="1">
        <w:r w:rsidR="00145BE8" w:rsidRPr="00727B1E">
          <w:rPr>
            <w:rStyle w:val="Hyperlink"/>
            <w:noProof/>
          </w:rPr>
          <w:t>3.28</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2.4.2 – Edible Oil Spreads</w:t>
        </w:r>
        <w:r w:rsidR="00145BE8">
          <w:rPr>
            <w:noProof/>
            <w:webHidden/>
          </w:rPr>
          <w:tab/>
        </w:r>
        <w:r w:rsidR="00145BE8">
          <w:rPr>
            <w:noProof/>
            <w:webHidden/>
          </w:rPr>
          <w:fldChar w:fldCharType="begin"/>
        </w:r>
        <w:r w:rsidR="00145BE8">
          <w:rPr>
            <w:noProof/>
            <w:webHidden/>
          </w:rPr>
          <w:instrText xml:space="preserve"> PAGEREF _Toc290973045 \h </w:instrText>
        </w:r>
        <w:r w:rsidR="00145BE8">
          <w:rPr>
            <w:noProof/>
            <w:webHidden/>
          </w:rPr>
        </w:r>
        <w:r w:rsidR="00145BE8">
          <w:rPr>
            <w:noProof/>
            <w:webHidden/>
          </w:rPr>
          <w:fldChar w:fldCharType="separate"/>
        </w:r>
        <w:r w:rsidR="00094BDB">
          <w:rPr>
            <w:noProof/>
            <w:webHidden/>
          </w:rPr>
          <w:t>23</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46" w:history="1">
        <w:r w:rsidR="00145BE8" w:rsidRPr="00727B1E">
          <w:rPr>
            <w:rStyle w:val="Hyperlink"/>
            <w:noProof/>
          </w:rPr>
          <w:t>3.29</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2.5.1 – Milk</w:t>
        </w:r>
        <w:r w:rsidR="00145BE8">
          <w:rPr>
            <w:noProof/>
            <w:webHidden/>
          </w:rPr>
          <w:tab/>
        </w:r>
        <w:r w:rsidR="00145BE8">
          <w:rPr>
            <w:noProof/>
            <w:webHidden/>
          </w:rPr>
          <w:fldChar w:fldCharType="begin"/>
        </w:r>
        <w:r w:rsidR="00145BE8">
          <w:rPr>
            <w:noProof/>
            <w:webHidden/>
          </w:rPr>
          <w:instrText xml:space="preserve"> PAGEREF _Toc290973046 \h </w:instrText>
        </w:r>
        <w:r w:rsidR="00145BE8">
          <w:rPr>
            <w:noProof/>
            <w:webHidden/>
          </w:rPr>
        </w:r>
        <w:r w:rsidR="00145BE8">
          <w:rPr>
            <w:noProof/>
            <w:webHidden/>
          </w:rPr>
          <w:fldChar w:fldCharType="separate"/>
        </w:r>
        <w:r w:rsidR="00094BDB">
          <w:rPr>
            <w:noProof/>
            <w:webHidden/>
          </w:rPr>
          <w:t>23</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47" w:history="1">
        <w:r w:rsidR="00145BE8" w:rsidRPr="00727B1E">
          <w:rPr>
            <w:rStyle w:val="Hyperlink"/>
            <w:rFonts w:cs="Arial"/>
            <w:noProof/>
          </w:rPr>
          <w:t>3.30</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rFonts w:cs="Arial"/>
            <w:noProof/>
          </w:rPr>
          <w:t>Various Part 2.5 Standards</w:t>
        </w:r>
        <w:r w:rsidR="00145BE8">
          <w:rPr>
            <w:noProof/>
            <w:webHidden/>
          </w:rPr>
          <w:tab/>
        </w:r>
        <w:r w:rsidR="00145BE8">
          <w:rPr>
            <w:noProof/>
            <w:webHidden/>
          </w:rPr>
          <w:fldChar w:fldCharType="begin"/>
        </w:r>
        <w:r w:rsidR="00145BE8">
          <w:rPr>
            <w:noProof/>
            <w:webHidden/>
          </w:rPr>
          <w:instrText xml:space="preserve"> PAGEREF _Toc290973047 \h </w:instrText>
        </w:r>
        <w:r w:rsidR="00145BE8">
          <w:rPr>
            <w:noProof/>
            <w:webHidden/>
          </w:rPr>
        </w:r>
        <w:r w:rsidR="00145BE8">
          <w:rPr>
            <w:noProof/>
            <w:webHidden/>
          </w:rPr>
          <w:fldChar w:fldCharType="separate"/>
        </w:r>
        <w:r w:rsidR="00094BDB">
          <w:rPr>
            <w:noProof/>
            <w:webHidden/>
          </w:rPr>
          <w:t>23</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48" w:history="1">
        <w:r w:rsidR="00145BE8" w:rsidRPr="00727B1E">
          <w:rPr>
            <w:rStyle w:val="Hyperlink"/>
            <w:noProof/>
          </w:rPr>
          <w:t>3.31</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2.5.3 – Fermented Milk Products</w:t>
        </w:r>
        <w:r w:rsidR="00145BE8">
          <w:rPr>
            <w:noProof/>
            <w:webHidden/>
          </w:rPr>
          <w:tab/>
        </w:r>
        <w:r w:rsidR="00145BE8">
          <w:rPr>
            <w:noProof/>
            <w:webHidden/>
          </w:rPr>
          <w:fldChar w:fldCharType="begin"/>
        </w:r>
        <w:r w:rsidR="00145BE8">
          <w:rPr>
            <w:noProof/>
            <w:webHidden/>
          </w:rPr>
          <w:instrText xml:space="preserve"> PAGEREF _Toc290973048 \h </w:instrText>
        </w:r>
        <w:r w:rsidR="00145BE8">
          <w:rPr>
            <w:noProof/>
            <w:webHidden/>
          </w:rPr>
        </w:r>
        <w:r w:rsidR="00145BE8">
          <w:rPr>
            <w:noProof/>
            <w:webHidden/>
          </w:rPr>
          <w:fldChar w:fldCharType="separate"/>
        </w:r>
        <w:r w:rsidR="00094BDB">
          <w:rPr>
            <w:noProof/>
            <w:webHidden/>
          </w:rPr>
          <w:t>23</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49" w:history="1">
        <w:r w:rsidR="00145BE8" w:rsidRPr="00727B1E">
          <w:rPr>
            <w:rStyle w:val="Hyperlink"/>
            <w:noProof/>
          </w:rPr>
          <w:t>3.32</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2.5.4 – Cheese</w:t>
        </w:r>
        <w:r w:rsidR="00145BE8">
          <w:rPr>
            <w:noProof/>
            <w:webHidden/>
          </w:rPr>
          <w:tab/>
        </w:r>
        <w:r w:rsidR="00145BE8">
          <w:rPr>
            <w:noProof/>
            <w:webHidden/>
          </w:rPr>
          <w:fldChar w:fldCharType="begin"/>
        </w:r>
        <w:r w:rsidR="00145BE8">
          <w:rPr>
            <w:noProof/>
            <w:webHidden/>
          </w:rPr>
          <w:instrText xml:space="preserve"> PAGEREF _Toc290973049 \h </w:instrText>
        </w:r>
        <w:r w:rsidR="00145BE8">
          <w:rPr>
            <w:noProof/>
            <w:webHidden/>
          </w:rPr>
        </w:r>
        <w:r w:rsidR="00145BE8">
          <w:rPr>
            <w:noProof/>
            <w:webHidden/>
          </w:rPr>
          <w:fldChar w:fldCharType="separate"/>
        </w:r>
        <w:r w:rsidR="00094BDB">
          <w:rPr>
            <w:noProof/>
            <w:webHidden/>
          </w:rPr>
          <w:t>24</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50" w:history="1">
        <w:r w:rsidR="00145BE8" w:rsidRPr="00727B1E">
          <w:rPr>
            <w:rStyle w:val="Hyperlink"/>
            <w:noProof/>
          </w:rPr>
          <w:t>3.33</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2.5.5 – Butter</w:t>
        </w:r>
        <w:r w:rsidR="00145BE8">
          <w:rPr>
            <w:noProof/>
            <w:webHidden/>
          </w:rPr>
          <w:tab/>
        </w:r>
        <w:r w:rsidR="00145BE8">
          <w:rPr>
            <w:noProof/>
            <w:webHidden/>
          </w:rPr>
          <w:fldChar w:fldCharType="begin"/>
        </w:r>
        <w:r w:rsidR="00145BE8">
          <w:rPr>
            <w:noProof/>
            <w:webHidden/>
          </w:rPr>
          <w:instrText xml:space="preserve"> PAGEREF _Toc290973050 \h </w:instrText>
        </w:r>
        <w:r w:rsidR="00145BE8">
          <w:rPr>
            <w:noProof/>
            <w:webHidden/>
          </w:rPr>
        </w:r>
        <w:r w:rsidR="00145BE8">
          <w:rPr>
            <w:noProof/>
            <w:webHidden/>
          </w:rPr>
          <w:fldChar w:fldCharType="separate"/>
        </w:r>
        <w:r w:rsidR="00094BDB">
          <w:rPr>
            <w:noProof/>
            <w:webHidden/>
          </w:rPr>
          <w:t>25</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51" w:history="1">
        <w:r w:rsidR="00145BE8" w:rsidRPr="00727B1E">
          <w:rPr>
            <w:rStyle w:val="Hyperlink"/>
            <w:noProof/>
          </w:rPr>
          <w:t>3.34</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2.5.7 – Dried Milks, Evaporated Milks and Condensed Milks</w:t>
        </w:r>
        <w:r w:rsidR="00145BE8">
          <w:rPr>
            <w:noProof/>
            <w:webHidden/>
          </w:rPr>
          <w:tab/>
        </w:r>
        <w:r w:rsidR="00145BE8">
          <w:rPr>
            <w:noProof/>
            <w:webHidden/>
          </w:rPr>
          <w:fldChar w:fldCharType="begin"/>
        </w:r>
        <w:r w:rsidR="00145BE8">
          <w:rPr>
            <w:noProof/>
            <w:webHidden/>
          </w:rPr>
          <w:instrText xml:space="preserve"> PAGEREF _Toc290973051 \h </w:instrText>
        </w:r>
        <w:r w:rsidR="00145BE8">
          <w:rPr>
            <w:noProof/>
            <w:webHidden/>
          </w:rPr>
        </w:r>
        <w:r w:rsidR="00145BE8">
          <w:rPr>
            <w:noProof/>
            <w:webHidden/>
          </w:rPr>
          <w:fldChar w:fldCharType="separate"/>
        </w:r>
        <w:r w:rsidR="00094BDB">
          <w:rPr>
            <w:noProof/>
            <w:webHidden/>
          </w:rPr>
          <w:t>25</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52" w:history="1">
        <w:r w:rsidR="00145BE8" w:rsidRPr="00727B1E">
          <w:rPr>
            <w:rStyle w:val="Hyperlink"/>
            <w:noProof/>
          </w:rPr>
          <w:t>3.35</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2.6.2 – Non-Alcoholic Beverages and Brewed Soft Drinks</w:t>
        </w:r>
        <w:r w:rsidR="00145BE8">
          <w:rPr>
            <w:noProof/>
            <w:webHidden/>
          </w:rPr>
          <w:tab/>
        </w:r>
        <w:r w:rsidR="00145BE8">
          <w:rPr>
            <w:noProof/>
            <w:webHidden/>
          </w:rPr>
          <w:fldChar w:fldCharType="begin"/>
        </w:r>
        <w:r w:rsidR="00145BE8">
          <w:rPr>
            <w:noProof/>
            <w:webHidden/>
          </w:rPr>
          <w:instrText xml:space="preserve"> PAGEREF _Toc290973052 \h </w:instrText>
        </w:r>
        <w:r w:rsidR="00145BE8">
          <w:rPr>
            <w:noProof/>
            <w:webHidden/>
          </w:rPr>
        </w:r>
        <w:r w:rsidR="00145BE8">
          <w:rPr>
            <w:noProof/>
            <w:webHidden/>
          </w:rPr>
          <w:fldChar w:fldCharType="separate"/>
        </w:r>
        <w:r w:rsidR="00094BDB">
          <w:rPr>
            <w:noProof/>
            <w:webHidden/>
          </w:rPr>
          <w:t>25</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53" w:history="1">
        <w:r w:rsidR="00145BE8" w:rsidRPr="00727B1E">
          <w:rPr>
            <w:rStyle w:val="Hyperlink"/>
            <w:noProof/>
          </w:rPr>
          <w:t>3.36</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2.6.3 – Kava</w:t>
        </w:r>
        <w:r w:rsidR="00145BE8">
          <w:rPr>
            <w:noProof/>
            <w:webHidden/>
          </w:rPr>
          <w:tab/>
        </w:r>
        <w:r w:rsidR="00145BE8">
          <w:rPr>
            <w:noProof/>
            <w:webHidden/>
          </w:rPr>
          <w:fldChar w:fldCharType="begin"/>
        </w:r>
        <w:r w:rsidR="00145BE8">
          <w:rPr>
            <w:noProof/>
            <w:webHidden/>
          </w:rPr>
          <w:instrText xml:space="preserve"> PAGEREF _Toc290973053 \h </w:instrText>
        </w:r>
        <w:r w:rsidR="00145BE8">
          <w:rPr>
            <w:noProof/>
            <w:webHidden/>
          </w:rPr>
        </w:r>
        <w:r w:rsidR="00145BE8">
          <w:rPr>
            <w:noProof/>
            <w:webHidden/>
          </w:rPr>
          <w:fldChar w:fldCharType="separate"/>
        </w:r>
        <w:r w:rsidR="00094BDB">
          <w:rPr>
            <w:noProof/>
            <w:webHidden/>
          </w:rPr>
          <w:t>26</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54" w:history="1">
        <w:r w:rsidR="00145BE8" w:rsidRPr="00727B1E">
          <w:rPr>
            <w:rStyle w:val="Hyperlink"/>
            <w:noProof/>
          </w:rPr>
          <w:t>3.37</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2.7.1 – Labelling of Alcoholic Beverages and Food Containing Alcohol</w:t>
        </w:r>
        <w:r w:rsidR="00145BE8">
          <w:rPr>
            <w:noProof/>
            <w:webHidden/>
          </w:rPr>
          <w:tab/>
        </w:r>
        <w:r w:rsidR="00145BE8">
          <w:rPr>
            <w:noProof/>
            <w:webHidden/>
          </w:rPr>
          <w:tab/>
        </w:r>
        <w:r w:rsidR="00145BE8">
          <w:rPr>
            <w:noProof/>
            <w:webHidden/>
          </w:rPr>
          <w:tab/>
        </w:r>
        <w:r w:rsidR="00145BE8">
          <w:rPr>
            <w:noProof/>
            <w:webHidden/>
          </w:rPr>
          <w:fldChar w:fldCharType="begin"/>
        </w:r>
        <w:r w:rsidR="00145BE8">
          <w:rPr>
            <w:noProof/>
            <w:webHidden/>
          </w:rPr>
          <w:instrText xml:space="preserve"> PAGEREF _Toc290973054 \h </w:instrText>
        </w:r>
        <w:r w:rsidR="00145BE8">
          <w:rPr>
            <w:noProof/>
            <w:webHidden/>
          </w:rPr>
        </w:r>
        <w:r w:rsidR="00145BE8">
          <w:rPr>
            <w:noProof/>
            <w:webHidden/>
          </w:rPr>
          <w:fldChar w:fldCharType="separate"/>
        </w:r>
        <w:r w:rsidR="00094BDB">
          <w:rPr>
            <w:noProof/>
            <w:webHidden/>
          </w:rPr>
          <w:t>26</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55" w:history="1">
        <w:r w:rsidR="00145BE8" w:rsidRPr="00727B1E">
          <w:rPr>
            <w:rStyle w:val="Hyperlink"/>
            <w:noProof/>
          </w:rPr>
          <w:t>3.38</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Various Part 2.7 Standards</w:t>
        </w:r>
        <w:r w:rsidR="00145BE8">
          <w:rPr>
            <w:noProof/>
            <w:webHidden/>
          </w:rPr>
          <w:tab/>
        </w:r>
        <w:r w:rsidR="00145BE8">
          <w:rPr>
            <w:noProof/>
            <w:webHidden/>
          </w:rPr>
          <w:fldChar w:fldCharType="begin"/>
        </w:r>
        <w:r w:rsidR="00145BE8">
          <w:rPr>
            <w:noProof/>
            <w:webHidden/>
          </w:rPr>
          <w:instrText xml:space="preserve"> PAGEREF _Toc290973055 \h </w:instrText>
        </w:r>
        <w:r w:rsidR="00145BE8">
          <w:rPr>
            <w:noProof/>
            <w:webHidden/>
          </w:rPr>
        </w:r>
        <w:r w:rsidR="00145BE8">
          <w:rPr>
            <w:noProof/>
            <w:webHidden/>
          </w:rPr>
          <w:fldChar w:fldCharType="separate"/>
        </w:r>
        <w:r w:rsidR="00094BDB">
          <w:rPr>
            <w:noProof/>
            <w:webHidden/>
          </w:rPr>
          <w:t>27</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56" w:history="1">
        <w:r w:rsidR="00145BE8" w:rsidRPr="00727B1E">
          <w:rPr>
            <w:rStyle w:val="Hyperlink"/>
            <w:noProof/>
          </w:rPr>
          <w:t>3.39</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2.7.3 – Fruit Wine and Vegetable Wine</w:t>
        </w:r>
        <w:r w:rsidR="00145BE8">
          <w:rPr>
            <w:noProof/>
            <w:webHidden/>
          </w:rPr>
          <w:tab/>
        </w:r>
        <w:r w:rsidR="00145BE8">
          <w:rPr>
            <w:noProof/>
            <w:webHidden/>
          </w:rPr>
          <w:fldChar w:fldCharType="begin"/>
        </w:r>
        <w:r w:rsidR="00145BE8">
          <w:rPr>
            <w:noProof/>
            <w:webHidden/>
          </w:rPr>
          <w:instrText xml:space="preserve"> PAGEREF _Toc290973056 \h </w:instrText>
        </w:r>
        <w:r w:rsidR="00145BE8">
          <w:rPr>
            <w:noProof/>
            <w:webHidden/>
          </w:rPr>
        </w:r>
        <w:r w:rsidR="00145BE8">
          <w:rPr>
            <w:noProof/>
            <w:webHidden/>
          </w:rPr>
          <w:fldChar w:fldCharType="separate"/>
        </w:r>
        <w:r w:rsidR="00094BDB">
          <w:rPr>
            <w:noProof/>
            <w:webHidden/>
          </w:rPr>
          <w:t>27</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57" w:history="1">
        <w:r w:rsidR="00145BE8" w:rsidRPr="00727B1E">
          <w:rPr>
            <w:rStyle w:val="Hyperlink"/>
            <w:noProof/>
          </w:rPr>
          <w:t>3.40</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2.7.4 – Wine and Wine Product</w:t>
        </w:r>
        <w:r w:rsidR="00145BE8">
          <w:rPr>
            <w:noProof/>
            <w:webHidden/>
          </w:rPr>
          <w:tab/>
        </w:r>
        <w:r w:rsidR="00145BE8">
          <w:rPr>
            <w:noProof/>
            <w:webHidden/>
          </w:rPr>
          <w:fldChar w:fldCharType="begin"/>
        </w:r>
        <w:r w:rsidR="00145BE8">
          <w:rPr>
            <w:noProof/>
            <w:webHidden/>
          </w:rPr>
          <w:instrText xml:space="preserve"> PAGEREF _Toc290973057 \h </w:instrText>
        </w:r>
        <w:r w:rsidR="00145BE8">
          <w:rPr>
            <w:noProof/>
            <w:webHidden/>
          </w:rPr>
        </w:r>
        <w:r w:rsidR="00145BE8">
          <w:rPr>
            <w:noProof/>
            <w:webHidden/>
          </w:rPr>
          <w:fldChar w:fldCharType="separate"/>
        </w:r>
        <w:r w:rsidR="00094BDB">
          <w:rPr>
            <w:noProof/>
            <w:webHidden/>
          </w:rPr>
          <w:t>27</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58" w:history="1">
        <w:r w:rsidR="00145BE8" w:rsidRPr="00727B1E">
          <w:rPr>
            <w:rStyle w:val="Hyperlink"/>
            <w:noProof/>
          </w:rPr>
          <w:t>3.41</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2.8.1 – Sugars</w:t>
        </w:r>
        <w:r w:rsidR="00145BE8">
          <w:rPr>
            <w:noProof/>
            <w:webHidden/>
          </w:rPr>
          <w:tab/>
        </w:r>
        <w:r w:rsidR="00145BE8">
          <w:rPr>
            <w:noProof/>
            <w:webHidden/>
          </w:rPr>
          <w:fldChar w:fldCharType="begin"/>
        </w:r>
        <w:r w:rsidR="00145BE8">
          <w:rPr>
            <w:noProof/>
            <w:webHidden/>
          </w:rPr>
          <w:instrText xml:space="preserve"> PAGEREF _Toc290973058 \h </w:instrText>
        </w:r>
        <w:r w:rsidR="00145BE8">
          <w:rPr>
            <w:noProof/>
            <w:webHidden/>
          </w:rPr>
        </w:r>
        <w:r w:rsidR="00145BE8">
          <w:rPr>
            <w:noProof/>
            <w:webHidden/>
          </w:rPr>
          <w:fldChar w:fldCharType="separate"/>
        </w:r>
        <w:r w:rsidR="00094BDB">
          <w:rPr>
            <w:noProof/>
            <w:webHidden/>
          </w:rPr>
          <w:t>27</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59" w:history="1">
        <w:r w:rsidR="00145BE8" w:rsidRPr="00727B1E">
          <w:rPr>
            <w:rStyle w:val="Hyperlink"/>
            <w:noProof/>
          </w:rPr>
          <w:t>3.42</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2.9.1 – Infant Formula Products</w:t>
        </w:r>
        <w:r w:rsidR="00145BE8">
          <w:rPr>
            <w:noProof/>
            <w:webHidden/>
          </w:rPr>
          <w:tab/>
        </w:r>
        <w:r w:rsidR="00145BE8">
          <w:rPr>
            <w:noProof/>
            <w:webHidden/>
          </w:rPr>
          <w:fldChar w:fldCharType="begin"/>
        </w:r>
        <w:r w:rsidR="00145BE8">
          <w:rPr>
            <w:noProof/>
            <w:webHidden/>
          </w:rPr>
          <w:instrText xml:space="preserve"> PAGEREF _Toc290973059 \h </w:instrText>
        </w:r>
        <w:r w:rsidR="00145BE8">
          <w:rPr>
            <w:noProof/>
            <w:webHidden/>
          </w:rPr>
        </w:r>
        <w:r w:rsidR="00145BE8">
          <w:rPr>
            <w:noProof/>
            <w:webHidden/>
          </w:rPr>
          <w:fldChar w:fldCharType="separate"/>
        </w:r>
        <w:r w:rsidR="00094BDB">
          <w:rPr>
            <w:noProof/>
            <w:webHidden/>
          </w:rPr>
          <w:t>28</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60" w:history="1">
        <w:r w:rsidR="00145BE8" w:rsidRPr="00727B1E">
          <w:rPr>
            <w:rStyle w:val="Hyperlink"/>
            <w:noProof/>
          </w:rPr>
          <w:t>3.43</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2.9.2 – Foods for Infants</w:t>
        </w:r>
        <w:r w:rsidR="00145BE8">
          <w:rPr>
            <w:noProof/>
            <w:webHidden/>
          </w:rPr>
          <w:tab/>
        </w:r>
        <w:r w:rsidR="00145BE8">
          <w:rPr>
            <w:noProof/>
            <w:webHidden/>
          </w:rPr>
          <w:fldChar w:fldCharType="begin"/>
        </w:r>
        <w:r w:rsidR="00145BE8">
          <w:rPr>
            <w:noProof/>
            <w:webHidden/>
          </w:rPr>
          <w:instrText xml:space="preserve"> PAGEREF _Toc290973060 \h </w:instrText>
        </w:r>
        <w:r w:rsidR="00145BE8">
          <w:rPr>
            <w:noProof/>
            <w:webHidden/>
          </w:rPr>
        </w:r>
        <w:r w:rsidR="00145BE8">
          <w:rPr>
            <w:noProof/>
            <w:webHidden/>
          </w:rPr>
          <w:fldChar w:fldCharType="separate"/>
        </w:r>
        <w:r w:rsidR="00094BDB">
          <w:rPr>
            <w:noProof/>
            <w:webHidden/>
          </w:rPr>
          <w:t>29</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61" w:history="1">
        <w:r w:rsidR="00145BE8" w:rsidRPr="00727B1E">
          <w:rPr>
            <w:rStyle w:val="Hyperlink"/>
            <w:noProof/>
          </w:rPr>
          <w:t>3.44</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2.9.4 – Formulated Supplementary Sports Foods</w:t>
        </w:r>
        <w:r w:rsidR="00145BE8">
          <w:rPr>
            <w:noProof/>
            <w:webHidden/>
          </w:rPr>
          <w:tab/>
        </w:r>
        <w:r w:rsidR="00145BE8">
          <w:rPr>
            <w:noProof/>
            <w:webHidden/>
          </w:rPr>
          <w:fldChar w:fldCharType="begin"/>
        </w:r>
        <w:r w:rsidR="00145BE8">
          <w:rPr>
            <w:noProof/>
            <w:webHidden/>
          </w:rPr>
          <w:instrText xml:space="preserve"> PAGEREF _Toc290973061 \h </w:instrText>
        </w:r>
        <w:r w:rsidR="00145BE8">
          <w:rPr>
            <w:noProof/>
            <w:webHidden/>
          </w:rPr>
        </w:r>
        <w:r w:rsidR="00145BE8">
          <w:rPr>
            <w:noProof/>
            <w:webHidden/>
          </w:rPr>
          <w:fldChar w:fldCharType="separate"/>
        </w:r>
        <w:r w:rsidR="00094BDB">
          <w:rPr>
            <w:noProof/>
            <w:webHidden/>
          </w:rPr>
          <w:t>29</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62" w:history="1">
        <w:r w:rsidR="00145BE8" w:rsidRPr="00727B1E">
          <w:rPr>
            <w:rStyle w:val="Hyperlink"/>
            <w:noProof/>
          </w:rPr>
          <w:t>3.45</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3.3.1 – Food Safety Programs for Food Service to Vulnerable Persons</w:t>
        </w:r>
        <w:r w:rsidR="00145BE8">
          <w:rPr>
            <w:rStyle w:val="Hyperlink"/>
            <w:noProof/>
          </w:rPr>
          <w:tab/>
        </w:r>
        <w:r w:rsidR="00145BE8">
          <w:rPr>
            <w:rStyle w:val="Hyperlink"/>
            <w:noProof/>
          </w:rPr>
          <w:tab/>
        </w:r>
        <w:r w:rsidR="00145BE8">
          <w:rPr>
            <w:noProof/>
            <w:webHidden/>
          </w:rPr>
          <w:tab/>
        </w:r>
        <w:r w:rsidR="00145BE8">
          <w:rPr>
            <w:noProof/>
            <w:webHidden/>
          </w:rPr>
          <w:fldChar w:fldCharType="begin"/>
        </w:r>
        <w:r w:rsidR="00145BE8">
          <w:rPr>
            <w:noProof/>
            <w:webHidden/>
          </w:rPr>
          <w:instrText xml:space="preserve"> PAGEREF _Toc290973062 \h </w:instrText>
        </w:r>
        <w:r w:rsidR="00145BE8">
          <w:rPr>
            <w:noProof/>
            <w:webHidden/>
          </w:rPr>
        </w:r>
        <w:r w:rsidR="00145BE8">
          <w:rPr>
            <w:noProof/>
            <w:webHidden/>
          </w:rPr>
          <w:fldChar w:fldCharType="separate"/>
        </w:r>
        <w:r w:rsidR="00094BDB">
          <w:rPr>
            <w:noProof/>
            <w:webHidden/>
          </w:rPr>
          <w:t>30</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63" w:history="1">
        <w:r w:rsidR="00145BE8" w:rsidRPr="00727B1E">
          <w:rPr>
            <w:rStyle w:val="Hyperlink"/>
            <w:noProof/>
          </w:rPr>
          <w:t>3.46</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4.2.1 – Primary Production and Processing Standard for Seafood</w:t>
        </w:r>
        <w:r w:rsidR="00145BE8">
          <w:rPr>
            <w:noProof/>
            <w:webHidden/>
          </w:rPr>
          <w:tab/>
        </w:r>
        <w:r w:rsidR="00145BE8">
          <w:rPr>
            <w:noProof/>
            <w:webHidden/>
          </w:rPr>
          <w:fldChar w:fldCharType="begin"/>
        </w:r>
        <w:r w:rsidR="00145BE8">
          <w:rPr>
            <w:noProof/>
            <w:webHidden/>
          </w:rPr>
          <w:instrText xml:space="preserve"> PAGEREF _Toc290973063 \h </w:instrText>
        </w:r>
        <w:r w:rsidR="00145BE8">
          <w:rPr>
            <w:noProof/>
            <w:webHidden/>
          </w:rPr>
        </w:r>
        <w:r w:rsidR="00145BE8">
          <w:rPr>
            <w:noProof/>
            <w:webHidden/>
          </w:rPr>
          <w:fldChar w:fldCharType="separate"/>
        </w:r>
        <w:r w:rsidR="00094BDB">
          <w:rPr>
            <w:noProof/>
            <w:webHidden/>
          </w:rPr>
          <w:t>30</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64" w:history="1">
        <w:r w:rsidR="00145BE8" w:rsidRPr="00727B1E">
          <w:rPr>
            <w:rStyle w:val="Hyperlink"/>
            <w:noProof/>
          </w:rPr>
          <w:t>3.47</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4.5.1 – Wine Production Requirements</w:t>
        </w:r>
        <w:r w:rsidR="00145BE8">
          <w:rPr>
            <w:noProof/>
            <w:webHidden/>
          </w:rPr>
          <w:tab/>
        </w:r>
        <w:r w:rsidR="00145BE8">
          <w:rPr>
            <w:noProof/>
            <w:webHidden/>
          </w:rPr>
          <w:fldChar w:fldCharType="begin"/>
        </w:r>
        <w:r w:rsidR="00145BE8">
          <w:rPr>
            <w:noProof/>
            <w:webHidden/>
          </w:rPr>
          <w:instrText xml:space="preserve"> PAGEREF _Toc290973064 \h </w:instrText>
        </w:r>
        <w:r w:rsidR="00145BE8">
          <w:rPr>
            <w:noProof/>
            <w:webHidden/>
          </w:rPr>
        </w:r>
        <w:r w:rsidR="00145BE8">
          <w:rPr>
            <w:noProof/>
            <w:webHidden/>
          </w:rPr>
          <w:fldChar w:fldCharType="separate"/>
        </w:r>
        <w:r w:rsidR="00094BDB">
          <w:rPr>
            <w:noProof/>
            <w:webHidden/>
          </w:rPr>
          <w:t>30</w:t>
        </w:r>
        <w:r w:rsidR="00145BE8">
          <w:rPr>
            <w:noProof/>
            <w:webHidden/>
          </w:rPr>
          <w:fldChar w:fldCharType="end"/>
        </w:r>
      </w:hyperlink>
    </w:p>
    <w:p w:rsidR="00145BE8" w:rsidRDefault="00A02131">
      <w:pPr>
        <w:pStyle w:val="TOC2"/>
        <w:tabs>
          <w:tab w:val="left" w:pos="1134"/>
          <w:tab w:val="right" w:leader="dot" w:pos="9016"/>
        </w:tabs>
        <w:rPr>
          <w:rFonts w:asciiTheme="minorHAnsi" w:eastAsiaTheme="minorEastAsia" w:hAnsiTheme="minorHAnsi" w:cstheme="minorBidi"/>
          <w:smallCaps w:val="0"/>
          <w:noProof/>
          <w:szCs w:val="22"/>
          <w:lang w:val="en-AU" w:eastAsia="en-AU" w:bidi="ar-SA"/>
        </w:rPr>
      </w:pPr>
      <w:hyperlink w:anchor="_Toc290973065" w:history="1">
        <w:r w:rsidR="00145BE8" w:rsidRPr="00727B1E">
          <w:rPr>
            <w:rStyle w:val="Hyperlink"/>
            <w:noProof/>
          </w:rPr>
          <w:t>4.</w:t>
        </w:r>
        <w:r w:rsidR="00145BE8">
          <w:rPr>
            <w:rFonts w:asciiTheme="minorHAnsi" w:eastAsiaTheme="minorEastAsia" w:hAnsiTheme="minorHAnsi" w:cstheme="minorBidi"/>
            <w:smallCaps w:val="0"/>
            <w:noProof/>
            <w:szCs w:val="22"/>
            <w:lang w:val="en-AU" w:eastAsia="en-AU" w:bidi="ar-SA"/>
          </w:rPr>
          <w:tab/>
        </w:r>
        <w:r w:rsidR="00145BE8" w:rsidRPr="00727B1E">
          <w:rPr>
            <w:rStyle w:val="Hyperlink"/>
            <w:noProof/>
          </w:rPr>
          <w:t>Amendments to Editorial notes</w:t>
        </w:r>
        <w:r w:rsidR="00145BE8">
          <w:rPr>
            <w:noProof/>
            <w:webHidden/>
          </w:rPr>
          <w:tab/>
        </w:r>
        <w:r w:rsidR="00145BE8">
          <w:rPr>
            <w:noProof/>
            <w:webHidden/>
          </w:rPr>
          <w:fldChar w:fldCharType="begin"/>
        </w:r>
        <w:r w:rsidR="00145BE8">
          <w:rPr>
            <w:noProof/>
            <w:webHidden/>
          </w:rPr>
          <w:instrText xml:space="preserve"> PAGEREF _Toc290973065 \h </w:instrText>
        </w:r>
        <w:r w:rsidR="00145BE8">
          <w:rPr>
            <w:noProof/>
            <w:webHidden/>
          </w:rPr>
        </w:r>
        <w:r w:rsidR="00145BE8">
          <w:rPr>
            <w:noProof/>
            <w:webHidden/>
          </w:rPr>
          <w:fldChar w:fldCharType="separate"/>
        </w:r>
        <w:r w:rsidR="00094BDB">
          <w:rPr>
            <w:noProof/>
            <w:webHidden/>
          </w:rPr>
          <w:t>31</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66" w:history="1">
        <w:r w:rsidR="00145BE8" w:rsidRPr="00727B1E">
          <w:rPr>
            <w:rStyle w:val="Hyperlink"/>
            <w:noProof/>
          </w:rPr>
          <w:t>4.1</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1.1.1 – Preliminary Provisions - Application, Interpretation and General Prohibitions</w:t>
        </w:r>
        <w:r w:rsidR="00145BE8">
          <w:rPr>
            <w:noProof/>
            <w:webHidden/>
          </w:rPr>
          <w:tab/>
        </w:r>
        <w:r w:rsidR="00145BE8">
          <w:rPr>
            <w:noProof/>
            <w:webHidden/>
          </w:rPr>
          <w:fldChar w:fldCharType="begin"/>
        </w:r>
        <w:r w:rsidR="00145BE8">
          <w:rPr>
            <w:noProof/>
            <w:webHidden/>
          </w:rPr>
          <w:instrText xml:space="preserve"> PAGEREF _Toc290973066 \h </w:instrText>
        </w:r>
        <w:r w:rsidR="00145BE8">
          <w:rPr>
            <w:noProof/>
            <w:webHidden/>
          </w:rPr>
        </w:r>
        <w:r w:rsidR="00145BE8">
          <w:rPr>
            <w:noProof/>
            <w:webHidden/>
          </w:rPr>
          <w:fldChar w:fldCharType="separate"/>
        </w:r>
        <w:r w:rsidR="00094BDB">
          <w:rPr>
            <w:noProof/>
            <w:webHidden/>
          </w:rPr>
          <w:t>31</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67" w:history="1">
        <w:r w:rsidR="00145BE8" w:rsidRPr="00727B1E">
          <w:rPr>
            <w:rStyle w:val="Hyperlink"/>
            <w:noProof/>
          </w:rPr>
          <w:t>4.2</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1.2.3 – Mandatory Warning and Advisory Statements and Declarations</w:t>
        </w:r>
        <w:r w:rsidR="00145BE8">
          <w:rPr>
            <w:rStyle w:val="Hyperlink"/>
            <w:noProof/>
          </w:rPr>
          <w:tab/>
        </w:r>
        <w:r w:rsidR="00145BE8">
          <w:rPr>
            <w:rStyle w:val="Hyperlink"/>
            <w:noProof/>
          </w:rPr>
          <w:tab/>
        </w:r>
        <w:r w:rsidR="00145BE8">
          <w:rPr>
            <w:noProof/>
            <w:webHidden/>
          </w:rPr>
          <w:tab/>
        </w:r>
        <w:r w:rsidR="00145BE8">
          <w:rPr>
            <w:noProof/>
            <w:webHidden/>
          </w:rPr>
          <w:fldChar w:fldCharType="begin"/>
        </w:r>
        <w:r w:rsidR="00145BE8">
          <w:rPr>
            <w:noProof/>
            <w:webHidden/>
          </w:rPr>
          <w:instrText xml:space="preserve"> PAGEREF _Toc290973067 \h </w:instrText>
        </w:r>
        <w:r w:rsidR="00145BE8">
          <w:rPr>
            <w:noProof/>
            <w:webHidden/>
          </w:rPr>
        </w:r>
        <w:r w:rsidR="00145BE8">
          <w:rPr>
            <w:noProof/>
            <w:webHidden/>
          </w:rPr>
          <w:fldChar w:fldCharType="separate"/>
        </w:r>
        <w:r w:rsidR="00094BDB">
          <w:rPr>
            <w:noProof/>
            <w:webHidden/>
          </w:rPr>
          <w:t>31</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68" w:history="1">
        <w:r w:rsidR="00145BE8" w:rsidRPr="00727B1E">
          <w:rPr>
            <w:rStyle w:val="Hyperlink"/>
            <w:noProof/>
          </w:rPr>
          <w:t>4.3</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1.2.5 – Date Marking of Food</w:t>
        </w:r>
        <w:r w:rsidR="00145BE8">
          <w:rPr>
            <w:noProof/>
            <w:webHidden/>
          </w:rPr>
          <w:tab/>
        </w:r>
        <w:r w:rsidR="00145BE8">
          <w:rPr>
            <w:noProof/>
            <w:webHidden/>
          </w:rPr>
          <w:fldChar w:fldCharType="begin"/>
        </w:r>
        <w:r w:rsidR="00145BE8">
          <w:rPr>
            <w:noProof/>
            <w:webHidden/>
          </w:rPr>
          <w:instrText xml:space="preserve"> PAGEREF _Toc290973068 \h </w:instrText>
        </w:r>
        <w:r w:rsidR="00145BE8">
          <w:rPr>
            <w:noProof/>
            <w:webHidden/>
          </w:rPr>
        </w:r>
        <w:r w:rsidR="00145BE8">
          <w:rPr>
            <w:noProof/>
            <w:webHidden/>
          </w:rPr>
          <w:fldChar w:fldCharType="separate"/>
        </w:r>
        <w:r w:rsidR="00094BDB">
          <w:rPr>
            <w:noProof/>
            <w:webHidden/>
          </w:rPr>
          <w:t>31</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69" w:history="1">
        <w:r w:rsidR="00145BE8" w:rsidRPr="00727B1E">
          <w:rPr>
            <w:rStyle w:val="Hyperlink"/>
            <w:noProof/>
          </w:rPr>
          <w:t>4.4</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1.2.9 – Legibility Requirements</w:t>
        </w:r>
        <w:r w:rsidR="00145BE8">
          <w:rPr>
            <w:noProof/>
            <w:webHidden/>
          </w:rPr>
          <w:tab/>
        </w:r>
        <w:r w:rsidR="00145BE8">
          <w:rPr>
            <w:noProof/>
            <w:webHidden/>
          </w:rPr>
          <w:fldChar w:fldCharType="begin"/>
        </w:r>
        <w:r w:rsidR="00145BE8">
          <w:rPr>
            <w:noProof/>
            <w:webHidden/>
          </w:rPr>
          <w:instrText xml:space="preserve"> PAGEREF _Toc290973069 \h </w:instrText>
        </w:r>
        <w:r w:rsidR="00145BE8">
          <w:rPr>
            <w:noProof/>
            <w:webHidden/>
          </w:rPr>
        </w:r>
        <w:r w:rsidR="00145BE8">
          <w:rPr>
            <w:noProof/>
            <w:webHidden/>
          </w:rPr>
          <w:fldChar w:fldCharType="separate"/>
        </w:r>
        <w:r w:rsidR="00094BDB">
          <w:rPr>
            <w:noProof/>
            <w:webHidden/>
          </w:rPr>
          <w:t>31</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70" w:history="1">
        <w:r w:rsidR="00145BE8" w:rsidRPr="00727B1E">
          <w:rPr>
            <w:rStyle w:val="Hyperlink"/>
            <w:noProof/>
          </w:rPr>
          <w:t>4.5</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1.2.10 – Characterising Ingredients and Components of Food</w:t>
        </w:r>
        <w:r w:rsidR="00145BE8">
          <w:rPr>
            <w:noProof/>
            <w:webHidden/>
          </w:rPr>
          <w:tab/>
        </w:r>
        <w:r w:rsidR="00145BE8">
          <w:rPr>
            <w:noProof/>
            <w:webHidden/>
          </w:rPr>
          <w:fldChar w:fldCharType="begin"/>
        </w:r>
        <w:r w:rsidR="00145BE8">
          <w:rPr>
            <w:noProof/>
            <w:webHidden/>
          </w:rPr>
          <w:instrText xml:space="preserve"> PAGEREF _Toc290973070 \h </w:instrText>
        </w:r>
        <w:r w:rsidR="00145BE8">
          <w:rPr>
            <w:noProof/>
            <w:webHidden/>
          </w:rPr>
        </w:r>
        <w:r w:rsidR="00145BE8">
          <w:rPr>
            <w:noProof/>
            <w:webHidden/>
          </w:rPr>
          <w:fldChar w:fldCharType="separate"/>
        </w:r>
        <w:r w:rsidR="00094BDB">
          <w:rPr>
            <w:noProof/>
            <w:webHidden/>
          </w:rPr>
          <w:t>31</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71" w:history="1">
        <w:r w:rsidR="00145BE8" w:rsidRPr="00727B1E">
          <w:rPr>
            <w:rStyle w:val="Hyperlink"/>
            <w:noProof/>
          </w:rPr>
          <w:t>4.6</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1.2.11 – Country of Origin Requirements</w:t>
        </w:r>
        <w:r w:rsidR="00145BE8">
          <w:rPr>
            <w:noProof/>
            <w:webHidden/>
          </w:rPr>
          <w:tab/>
        </w:r>
        <w:r w:rsidR="00145BE8">
          <w:rPr>
            <w:noProof/>
            <w:webHidden/>
          </w:rPr>
          <w:fldChar w:fldCharType="begin"/>
        </w:r>
        <w:r w:rsidR="00145BE8">
          <w:rPr>
            <w:noProof/>
            <w:webHidden/>
          </w:rPr>
          <w:instrText xml:space="preserve"> PAGEREF _Toc290973071 \h </w:instrText>
        </w:r>
        <w:r w:rsidR="00145BE8">
          <w:rPr>
            <w:noProof/>
            <w:webHidden/>
          </w:rPr>
        </w:r>
        <w:r w:rsidR="00145BE8">
          <w:rPr>
            <w:noProof/>
            <w:webHidden/>
          </w:rPr>
          <w:fldChar w:fldCharType="separate"/>
        </w:r>
        <w:r w:rsidR="00094BDB">
          <w:rPr>
            <w:noProof/>
            <w:webHidden/>
          </w:rPr>
          <w:t>32</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72" w:history="1">
        <w:r w:rsidR="00145BE8" w:rsidRPr="00727B1E">
          <w:rPr>
            <w:rStyle w:val="Hyperlink"/>
            <w:noProof/>
          </w:rPr>
          <w:t>4.7</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1.3.1 – Food Additives</w:t>
        </w:r>
        <w:r w:rsidR="00145BE8">
          <w:rPr>
            <w:noProof/>
            <w:webHidden/>
          </w:rPr>
          <w:tab/>
        </w:r>
        <w:r w:rsidR="00145BE8">
          <w:rPr>
            <w:noProof/>
            <w:webHidden/>
          </w:rPr>
          <w:fldChar w:fldCharType="begin"/>
        </w:r>
        <w:r w:rsidR="00145BE8">
          <w:rPr>
            <w:noProof/>
            <w:webHidden/>
          </w:rPr>
          <w:instrText xml:space="preserve"> PAGEREF _Toc290973072 \h </w:instrText>
        </w:r>
        <w:r w:rsidR="00145BE8">
          <w:rPr>
            <w:noProof/>
            <w:webHidden/>
          </w:rPr>
        </w:r>
        <w:r w:rsidR="00145BE8">
          <w:rPr>
            <w:noProof/>
            <w:webHidden/>
          </w:rPr>
          <w:fldChar w:fldCharType="separate"/>
        </w:r>
        <w:r w:rsidR="00094BDB">
          <w:rPr>
            <w:noProof/>
            <w:webHidden/>
          </w:rPr>
          <w:t>32</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73" w:history="1">
        <w:r w:rsidR="00145BE8" w:rsidRPr="00727B1E">
          <w:rPr>
            <w:rStyle w:val="Hyperlink"/>
            <w:noProof/>
          </w:rPr>
          <w:t>4.8</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1.3.2 – Vitamins and Minerals</w:t>
        </w:r>
        <w:r w:rsidR="00145BE8">
          <w:rPr>
            <w:noProof/>
            <w:webHidden/>
          </w:rPr>
          <w:tab/>
        </w:r>
        <w:r w:rsidR="00145BE8">
          <w:rPr>
            <w:noProof/>
            <w:webHidden/>
          </w:rPr>
          <w:fldChar w:fldCharType="begin"/>
        </w:r>
        <w:r w:rsidR="00145BE8">
          <w:rPr>
            <w:noProof/>
            <w:webHidden/>
          </w:rPr>
          <w:instrText xml:space="preserve"> PAGEREF _Toc290973073 \h </w:instrText>
        </w:r>
        <w:r w:rsidR="00145BE8">
          <w:rPr>
            <w:noProof/>
            <w:webHidden/>
          </w:rPr>
        </w:r>
        <w:r w:rsidR="00145BE8">
          <w:rPr>
            <w:noProof/>
            <w:webHidden/>
          </w:rPr>
          <w:fldChar w:fldCharType="separate"/>
        </w:r>
        <w:r w:rsidR="00094BDB">
          <w:rPr>
            <w:noProof/>
            <w:webHidden/>
          </w:rPr>
          <w:t>32</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74" w:history="1">
        <w:r w:rsidR="00145BE8" w:rsidRPr="00727B1E">
          <w:rPr>
            <w:rStyle w:val="Hyperlink"/>
            <w:noProof/>
          </w:rPr>
          <w:t>4.9</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1.5.1 – Novel Foods</w:t>
        </w:r>
        <w:r w:rsidR="00145BE8">
          <w:rPr>
            <w:noProof/>
            <w:webHidden/>
          </w:rPr>
          <w:tab/>
        </w:r>
        <w:r w:rsidR="00145BE8">
          <w:rPr>
            <w:noProof/>
            <w:webHidden/>
          </w:rPr>
          <w:fldChar w:fldCharType="begin"/>
        </w:r>
        <w:r w:rsidR="00145BE8">
          <w:rPr>
            <w:noProof/>
            <w:webHidden/>
          </w:rPr>
          <w:instrText xml:space="preserve"> PAGEREF _Toc290973074 \h </w:instrText>
        </w:r>
        <w:r w:rsidR="00145BE8">
          <w:rPr>
            <w:noProof/>
            <w:webHidden/>
          </w:rPr>
        </w:r>
        <w:r w:rsidR="00145BE8">
          <w:rPr>
            <w:noProof/>
            <w:webHidden/>
          </w:rPr>
          <w:fldChar w:fldCharType="separate"/>
        </w:r>
        <w:r w:rsidR="00094BDB">
          <w:rPr>
            <w:noProof/>
            <w:webHidden/>
          </w:rPr>
          <w:t>32</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75" w:history="1">
        <w:r w:rsidR="00145BE8" w:rsidRPr="00727B1E">
          <w:rPr>
            <w:rStyle w:val="Hyperlink"/>
            <w:noProof/>
          </w:rPr>
          <w:t>4.10</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2.2.1 – Meat and Meat Products</w:t>
        </w:r>
        <w:r w:rsidR="00145BE8">
          <w:rPr>
            <w:noProof/>
            <w:webHidden/>
          </w:rPr>
          <w:tab/>
        </w:r>
        <w:r w:rsidR="00145BE8">
          <w:rPr>
            <w:noProof/>
            <w:webHidden/>
          </w:rPr>
          <w:fldChar w:fldCharType="begin"/>
        </w:r>
        <w:r w:rsidR="00145BE8">
          <w:rPr>
            <w:noProof/>
            <w:webHidden/>
          </w:rPr>
          <w:instrText xml:space="preserve"> PAGEREF _Toc290973075 \h </w:instrText>
        </w:r>
        <w:r w:rsidR="00145BE8">
          <w:rPr>
            <w:noProof/>
            <w:webHidden/>
          </w:rPr>
        </w:r>
        <w:r w:rsidR="00145BE8">
          <w:rPr>
            <w:noProof/>
            <w:webHidden/>
          </w:rPr>
          <w:fldChar w:fldCharType="separate"/>
        </w:r>
        <w:r w:rsidR="00094BDB">
          <w:rPr>
            <w:noProof/>
            <w:webHidden/>
          </w:rPr>
          <w:t>32</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76" w:history="1">
        <w:r w:rsidR="00145BE8" w:rsidRPr="00727B1E">
          <w:rPr>
            <w:rStyle w:val="Hyperlink"/>
            <w:noProof/>
          </w:rPr>
          <w:t>4.11</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2.2.3 – Fish and Fish Products</w:t>
        </w:r>
        <w:r w:rsidR="00145BE8">
          <w:rPr>
            <w:noProof/>
            <w:webHidden/>
          </w:rPr>
          <w:tab/>
        </w:r>
        <w:r w:rsidR="00145BE8">
          <w:rPr>
            <w:noProof/>
            <w:webHidden/>
          </w:rPr>
          <w:fldChar w:fldCharType="begin"/>
        </w:r>
        <w:r w:rsidR="00145BE8">
          <w:rPr>
            <w:noProof/>
            <w:webHidden/>
          </w:rPr>
          <w:instrText xml:space="preserve"> PAGEREF _Toc290973076 \h </w:instrText>
        </w:r>
        <w:r w:rsidR="00145BE8">
          <w:rPr>
            <w:noProof/>
            <w:webHidden/>
          </w:rPr>
        </w:r>
        <w:r w:rsidR="00145BE8">
          <w:rPr>
            <w:noProof/>
            <w:webHidden/>
          </w:rPr>
          <w:fldChar w:fldCharType="separate"/>
        </w:r>
        <w:r w:rsidR="00094BDB">
          <w:rPr>
            <w:noProof/>
            <w:webHidden/>
          </w:rPr>
          <w:t>33</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77" w:history="1">
        <w:r w:rsidR="00145BE8" w:rsidRPr="00727B1E">
          <w:rPr>
            <w:rStyle w:val="Hyperlink"/>
            <w:noProof/>
            <w:lang w:val="en-AU"/>
          </w:rPr>
          <w:t>4.12</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lang w:val="en-AU"/>
          </w:rPr>
          <w:t>Standards in Part 2.5 – Dairy Products</w:t>
        </w:r>
        <w:r w:rsidR="00145BE8">
          <w:rPr>
            <w:noProof/>
            <w:webHidden/>
          </w:rPr>
          <w:tab/>
        </w:r>
        <w:r w:rsidR="00145BE8">
          <w:rPr>
            <w:noProof/>
            <w:webHidden/>
          </w:rPr>
          <w:fldChar w:fldCharType="begin"/>
        </w:r>
        <w:r w:rsidR="00145BE8">
          <w:rPr>
            <w:noProof/>
            <w:webHidden/>
          </w:rPr>
          <w:instrText xml:space="preserve"> PAGEREF _Toc290973077 \h </w:instrText>
        </w:r>
        <w:r w:rsidR="00145BE8">
          <w:rPr>
            <w:noProof/>
            <w:webHidden/>
          </w:rPr>
        </w:r>
        <w:r w:rsidR="00145BE8">
          <w:rPr>
            <w:noProof/>
            <w:webHidden/>
          </w:rPr>
          <w:fldChar w:fldCharType="separate"/>
        </w:r>
        <w:r w:rsidR="00094BDB">
          <w:rPr>
            <w:noProof/>
            <w:webHidden/>
          </w:rPr>
          <w:t>33</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78" w:history="1">
        <w:r w:rsidR="00145BE8" w:rsidRPr="00727B1E">
          <w:rPr>
            <w:rStyle w:val="Hyperlink"/>
            <w:noProof/>
          </w:rPr>
          <w:t>4.13</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2.7.4 – Wine and Wine Products</w:t>
        </w:r>
        <w:r w:rsidR="00145BE8">
          <w:rPr>
            <w:noProof/>
            <w:webHidden/>
          </w:rPr>
          <w:tab/>
        </w:r>
        <w:r w:rsidR="00145BE8">
          <w:rPr>
            <w:noProof/>
            <w:webHidden/>
          </w:rPr>
          <w:fldChar w:fldCharType="begin"/>
        </w:r>
        <w:r w:rsidR="00145BE8">
          <w:rPr>
            <w:noProof/>
            <w:webHidden/>
          </w:rPr>
          <w:instrText xml:space="preserve"> PAGEREF _Toc290973078 \h </w:instrText>
        </w:r>
        <w:r w:rsidR="00145BE8">
          <w:rPr>
            <w:noProof/>
            <w:webHidden/>
          </w:rPr>
        </w:r>
        <w:r w:rsidR="00145BE8">
          <w:rPr>
            <w:noProof/>
            <w:webHidden/>
          </w:rPr>
          <w:fldChar w:fldCharType="separate"/>
        </w:r>
        <w:r w:rsidR="00094BDB">
          <w:rPr>
            <w:noProof/>
            <w:webHidden/>
          </w:rPr>
          <w:t>33</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79" w:history="1">
        <w:r w:rsidR="00145BE8" w:rsidRPr="00727B1E">
          <w:rPr>
            <w:rStyle w:val="Hyperlink"/>
            <w:noProof/>
          </w:rPr>
          <w:t>4.14</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2.7.5 – Spirits</w:t>
        </w:r>
        <w:r w:rsidR="00145BE8">
          <w:rPr>
            <w:noProof/>
            <w:webHidden/>
          </w:rPr>
          <w:tab/>
        </w:r>
        <w:r w:rsidR="00145BE8">
          <w:rPr>
            <w:noProof/>
            <w:webHidden/>
          </w:rPr>
          <w:fldChar w:fldCharType="begin"/>
        </w:r>
        <w:r w:rsidR="00145BE8">
          <w:rPr>
            <w:noProof/>
            <w:webHidden/>
          </w:rPr>
          <w:instrText xml:space="preserve"> PAGEREF _Toc290973079 \h </w:instrText>
        </w:r>
        <w:r w:rsidR="00145BE8">
          <w:rPr>
            <w:noProof/>
            <w:webHidden/>
          </w:rPr>
        </w:r>
        <w:r w:rsidR="00145BE8">
          <w:rPr>
            <w:noProof/>
            <w:webHidden/>
          </w:rPr>
          <w:fldChar w:fldCharType="separate"/>
        </w:r>
        <w:r w:rsidR="00094BDB">
          <w:rPr>
            <w:noProof/>
            <w:webHidden/>
          </w:rPr>
          <w:t>33</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80" w:history="1">
        <w:r w:rsidR="00145BE8" w:rsidRPr="00727B1E">
          <w:rPr>
            <w:rStyle w:val="Hyperlink"/>
            <w:noProof/>
          </w:rPr>
          <w:t>4.15</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2.9.1 – Infant Formula Products</w:t>
        </w:r>
        <w:r w:rsidR="00145BE8">
          <w:rPr>
            <w:noProof/>
            <w:webHidden/>
          </w:rPr>
          <w:tab/>
        </w:r>
        <w:r w:rsidR="00145BE8">
          <w:rPr>
            <w:noProof/>
            <w:webHidden/>
          </w:rPr>
          <w:fldChar w:fldCharType="begin"/>
        </w:r>
        <w:r w:rsidR="00145BE8">
          <w:rPr>
            <w:noProof/>
            <w:webHidden/>
          </w:rPr>
          <w:instrText xml:space="preserve"> PAGEREF _Toc290973080 \h </w:instrText>
        </w:r>
        <w:r w:rsidR="00145BE8">
          <w:rPr>
            <w:noProof/>
            <w:webHidden/>
          </w:rPr>
        </w:r>
        <w:r w:rsidR="00145BE8">
          <w:rPr>
            <w:noProof/>
            <w:webHidden/>
          </w:rPr>
          <w:fldChar w:fldCharType="separate"/>
        </w:r>
        <w:r w:rsidR="00094BDB">
          <w:rPr>
            <w:noProof/>
            <w:webHidden/>
          </w:rPr>
          <w:t>34</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81" w:history="1">
        <w:r w:rsidR="00145BE8" w:rsidRPr="00727B1E">
          <w:rPr>
            <w:rStyle w:val="Hyperlink"/>
            <w:noProof/>
          </w:rPr>
          <w:t>4.16</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4.2.1 – Primary Production and Processing Standard for Seafood</w:t>
        </w:r>
        <w:r w:rsidR="00145BE8">
          <w:rPr>
            <w:noProof/>
            <w:webHidden/>
          </w:rPr>
          <w:tab/>
        </w:r>
        <w:r w:rsidR="00145BE8">
          <w:rPr>
            <w:noProof/>
            <w:webHidden/>
          </w:rPr>
          <w:fldChar w:fldCharType="begin"/>
        </w:r>
        <w:r w:rsidR="00145BE8">
          <w:rPr>
            <w:noProof/>
            <w:webHidden/>
          </w:rPr>
          <w:instrText xml:space="preserve"> PAGEREF _Toc290973081 \h </w:instrText>
        </w:r>
        <w:r w:rsidR="00145BE8">
          <w:rPr>
            <w:noProof/>
            <w:webHidden/>
          </w:rPr>
        </w:r>
        <w:r w:rsidR="00145BE8">
          <w:rPr>
            <w:noProof/>
            <w:webHidden/>
          </w:rPr>
          <w:fldChar w:fldCharType="separate"/>
        </w:r>
        <w:r w:rsidR="00094BDB">
          <w:rPr>
            <w:noProof/>
            <w:webHidden/>
          </w:rPr>
          <w:t>34</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82" w:history="1">
        <w:r w:rsidR="00145BE8" w:rsidRPr="00727B1E">
          <w:rPr>
            <w:rStyle w:val="Hyperlink"/>
            <w:noProof/>
          </w:rPr>
          <w:t>4.17</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Standard 4.2.4 – Primary Production and Processing Standard for Dairy Products</w:t>
        </w:r>
        <w:r w:rsidR="00145BE8">
          <w:rPr>
            <w:noProof/>
            <w:webHidden/>
          </w:rPr>
          <w:tab/>
        </w:r>
        <w:r w:rsidR="00145BE8">
          <w:rPr>
            <w:noProof/>
            <w:webHidden/>
          </w:rPr>
          <w:fldChar w:fldCharType="begin"/>
        </w:r>
        <w:r w:rsidR="00145BE8">
          <w:rPr>
            <w:noProof/>
            <w:webHidden/>
          </w:rPr>
          <w:instrText xml:space="preserve"> PAGEREF _Toc290973082 \h </w:instrText>
        </w:r>
        <w:r w:rsidR="00145BE8">
          <w:rPr>
            <w:noProof/>
            <w:webHidden/>
          </w:rPr>
        </w:r>
        <w:r w:rsidR="00145BE8">
          <w:rPr>
            <w:noProof/>
            <w:webHidden/>
          </w:rPr>
          <w:fldChar w:fldCharType="separate"/>
        </w:r>
        <w:r w:rsidR="00094BDB">
          <w:rPr>
            <w:noProof/>
            <w:webHidden/>
          </w:rPr>
          <w:t>34</w:t>
        </w:r>
        <w:r w:rsidR="00145BE8">
          <w:rPr>
            <w:noProof/>
            <w:webHidden/>
          </w:rPr>
          <w:fldChar w:fldCharType="end"/>
        </w:r>
      </w:hyperlink>
    </w:p>
    <w:p w:rsidR="00145BE8" w:rsidRDefault="00A02131">
      <w:pPr>
        <w:pStyle w:val="TOC2"/>
        <w:tabs>
          <w:tab w:val="left" w:pos="1134"/>
          <w:tab w:val="right" w:leader="dot" w:pos="9016"/>
        </w:tabs>
        <w:rPr>
          <w:rFonts w:asciiTheme="minorHAnsi" w:eastAsiaTheme="minorEastAsia" w:hAnsiTheme="minorHAnsi" w:cstheme="minorBidi"/>
          <w:smallCaps w:val="0"/>
          <w:noProof/>
          <w:szCs w:val="22"/>
          <w:lang w:val="en-AU" w:eastAsia="en-AU" w:bidi="ar-SA"/>
        </w:rPr>
      </w:pPr>
      <w:hyperlink w:anchor="_Toc290973083" w:history="1">
        <w:r w:rsidR="00145BE8" w:rsidRPr="00727B1E">
          <w:rPr>
            <w:rStyle w:val="Hyperlink"/>
            <w:noProof/>
          </w:rPr>
          <w:t>5.</w:t>
        </w:r>
        <w:r w:rsidR="00145BE8">
          <w:rPr>
            <w:rFonts w:asciiTheme="minorHAnsi" w:eastAsiaTheme="minorEastAsia" w:hAnsiTheme="minorHAnsi" w:cstheme="minorBidi"/>
            <w:smallCaps w:val="0"/>
            <w:noProof/>
            <w:szCs w:val="22"/>
            <w:lang w:val="en-AU" w:eastAsia="en-AU" w:bidi="ar-SA"/>
          </w:rPr>
          <w:tab/>
        </w:r>
        <w:r w:rsidR="00145BE8" w:rsidRPr="00727B1E">
          <w:rPr>
            <w:rStyle w:val="Hyperlink"/>
            <w:noProof/>
          </w:rPr>
          <w:t>Options</w:t>
        </w:r>
        <w:r w:rsidR="00145BE8">
          <w:rPr>
            <w:noProof/>
            <w:webHidden/>
          </w:rPr>
          <w:tab/>
        </w:r>
        <w:r w:rsidR="00145BE8">
          <w:rPr>
            <w:noProof/>
            <w:webHidden/>
          </w:rPr>
          <w:fldChar w:fldCharType="begin"/>
        </w:r>
        <w:r w:rsidR="00145BE8">
          <w:rPr>
            <w:noProof/>
            <w:webHidden/>
          </w:rPr>
          <w:instrText xml:space="preserve"> PAGEREF _Toc290973083 \h </w:instrText>
        </w:r>
        <w:r w:rsidR="00145BE8">
          <w:rPr>
            <w:noProof/>
            <w:webHidden/>
          </w:rPr>
        </w:r>
        <w:r w:rsidR="00145BE8">
          <w:rPr>
            <w:noProof/>
            <w:webHidden/>
          </w:rPr>
          <w:fldChar w:fldCharType="separate"/>
        </w:r>
        <w:r w:rsidR="00094BDB">
          <w:rPr>
            <w:noProof/>
            <w:webHidden/>
          </w:rPr>
          <w:t>34</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84" w:history="1">
        <w:r w:rsidR="00145BE8" w:rsidRPr="00727B1E">
          <w:rPr>
            <w:rStyle w:val="Hyperlink"/>
            <w:noProof/>
          </w:rPr>
          <w:t xml:space="preserve">5.1 </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Option 1 – To abandon the Proposal</w:t>
        </w:r>
        <w:r w:rsidR="00145BE8">
          <w:rPr>
            <w:noProof/>
            <w:webHidden/>
          </w:rPr>
          <w:tab/>
        </w:r>
        <w:r w:rsidR="00145BE8">
          <w:rPr>
            <w:noProof/>
            <w:webHidden/>
          </w:rPr>
          <w:fldChar w:fldCharType="begin"/>
        </w:r>
        <w:r w:rsidR="00145BE8">
          <w:rPr>
            <w:noProof/>
            <w:webHidden/>
          </w:rPr>
          <w:instrText xml:space="preserve"> PAGEREF _Toc290973084 \h </w:instrText>
        </w:r>
        <w:r w:rsidR="00145BE8">
          <w:rPr>
            <w:noProof/>
            <w:webHidden/>
          </w:rPr>
        </w:r>
        <w:r w:rsidR="00145BE8">
          <w:rPr>
            <w:noProof/>
            <w:webHidden/>
          </w:rPr>
          <w:fldChar w:fldCharType="separate"/>
        </w:r>
        <w:r w:rsidR="00094BDB">
          <w:rPr>
            <w:noProof/>
            <w:webHidden/>
          </w:rPr>
          <w:t>34</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85" w:history="1">
        <w:r w:rsidR="00145BE8" w:rsidRPr="00727B1E">
          <w:rPr>
            <w:rStyle w:val="Hyperlink"/>
            <w:noProof/>
          </w:rPr>
          <w:t xml:space="preserve">5.2 </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Option 2 – To prepare draft variations to the Code to incorporate the recommended amendments</w:t>
        </w:r>
        <w:r w:rsidR="00145BE8">
          <w:rPr>
            <w:noProof/>
            <w:webHidden/>
          </w:rPr>
          <w:tab/>
        </w:r>
        <w:r w:rsidR="00145BE8">
          <w:rPr>
            <w:noProof/>
            <w:webHidden/>
          </w:rPr>
          <w:fldChar w:fldCharType="begin"/>
        </w:r>
        <w:r w:rsidR="00145BE8">
          <w:rPr>
            <w:noProof/>
            <w:webHidden/>
          </w:rPr>
          <w:instrText xml:space="preserve"> PAGEREF _Toc290973085 \h </w:instrText>
        </w:r>
        <w:r w:rsidR="00145BE8">
          <w:rPr>
            <w:noProof/>
            <w:webHidden/>
          </w:rPr>
        </w:r>
        <w:r w:rsidR="00145BE8">
          <w:rPr>
            <w:noProof/>
            <w:webHidden/>
          </w:rPr>
          <w:fldChar w:fldCharType="separate"/>
        </w:r>
        <w:r w:rsidR="00094BDB">
          <w:rPr>
            <w:noProof/>
            <w:webHidden/>
          </w:rPr>
          <w:t>34</w:t>
        </w:r>
        <w:r w:rsidR="00145BE8">
          <w:rPr>
            <w:noProof/>
            <w:webHidden/>
          </w:rPr>
          <w:fldChar w:fldCharType="end"/>
        </w:r>
      </w:hyperlink>
    </w:p>
    <w:p w:rsidR="00145BE8" w:rsidRDefault="00A02131">
      <w:pPr>
        <w:pStyle w:val="TOC2"/>
        <w:tabs>
          <w:tab w:val="left" w:pos="1134"/>
          <w:tab w:val="right" w:leader="dot" w:pos="9016"/>
        </w:tabs>
        <w:rPr>
          <w:rFonts w:asciiTheme="minorHAnsi" w:eastAsiaTheme="minorEastAsia" w:hAnsiTheme="minorHAnsi" w:cstheme="minorBidi"/>
          <w:smallCaps w:val="0"/>
          <w:noProof/>
          <w:szCs w:val="22"/>
          <w:lang w:val="en-AU" w:eastAsia="en-AU" w:bidi="ar-SA"/>
        </w:rPr>
      </w:pPr>
      <w:hyperlink w:anchor="_Toc290973086" w:history="1">
        <w:r w:rsidR="00145BE8" w:rsidRPr="00727B1E">
          <w:rPr>
            <w:rStyle w:val="Hyperlink"/>
            <w:noProof/>
          </w:rPr>
          <w:t>6.</w:t>
        </w:r>
        <w:r w:rsidR="00145BE8">
          <w:rPr>
            <w:rFonts w:asciiTheme="minorHAnsi" w:eastAsiaTheme="minorEastAsia" w:hAnsiTheme="minorHAnsi" w:cstheme="minorBidi"/>
            <w:smallCaps w:val="0"/>
            <w:noProof/>
            <w:szCs w:val="22"/>
            <w:lang w:val="en-AU" w:eastAsia="en-AU" w:bidi="ar-SA"/>
          </w:rPr>
          <w:tab/>
        </w:r>
        <w:r w:rsidR="00145BE8" w:rsidRPr="00727B1E">
          <w:rPr>
            <w:rStyle w:val="Hyperlink"/>
            <w:noProof/>
          </w:rPr>
          <w:t>Impact Analysis (RIS ID:  11751)</w:t>
        </w:r>
        <w:r w:rsidR="00145BE8">
          <w:rPr>
            <w:noProof/>
            <w:webHidden/>
          </w:rPr>
          <w:tab/>
        </w:r>
        <w:r w:rsidR="00145BE8">
          <w:rPr>
            <w:noProof/>
            <w:webHidden/>
          </w:rPr>
          <w:fldChar w:fldCharType="begin"/>
        </w:r>
        <w:r w:rsidR="00145BE8">
          <w:rPr>
            <w:noProof/>
            <w:webHidden/>
          </w:rPr>
          <w:instrText xml:space="preserve"> PAGEREF _Toc290973086 \h </w:instrText>
        </w:r>
        <w:r w:rsidR="00145BE8">
          <w:rPr>
            <w:noProof/>
            <w:webHidden/>
          </w:rPr>
        </w:r>
        <w:r w:rsidR="00145BE8">
          <w:rPr>
            <w:noProof/>
            <w:webHidden/>
          </w:rPr>
          <w:fldChar w:fldCharType="separate"/>
        </w:r>
        <w:r w:rsidR="00094BDB">
          <w:rPr>
            <w:noProof/>
            <w:webHidden/>
          </w:rPr>
          <w:t>34</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87" w:history="1">
        <w:r w:rsidR="00145BE8" w:rsidRPr="00727B1E">
          <w:rPr>
            <w:rStyle w:val="Hyperlink"/>
            <w:rFonts w:cs="Arial"/>
            <w:noProof/>
          </w:rPr>
          <w:t>6.1</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rFonts w:cs="Arial"/>
            <w:noProof/>
          </w:rPr>
          <w:t>Benefit Cost Analysis and Comparison of Options</w:t>
        </w:r>
        <w:r w:rsidR="00145BE8">
          <w:rPr>
            <w:noProof/>
            <w:webHidden/>
          </w:rPr>
          <w:tab/>
        </w:r>
        <w:r w:rsidR="00145BE8">
          <w:rPr>
            <w:noProof/>
            <w:webHidden/>
          </w:rPr>
          <w:fldChar w:fldCharType="begin"/>
        </w:r>
        <w:r w:rsidR="00145BE8">
          <w:rPr>
            <w:noProof/>
            <w:webHidden/>
          </w:rPr>
          <w:instrText xml:space="preserve"> PAGEREF _Toc290973087 \h </w:instrText>
        </w:r>
        <w:r w:rsidR="00145BE8">
          <w:rPr>
            <w:noProof/>
            <w:webHidden/>
          </w:rPr>
        </w:r>
        <w:r w:rsidR="00145BE8">
          <w:rPr>
            <w:noProof/>
            <w:webHidden/>
          </w:rPr>
          <w:fldChar w:fldCharType="separate"/>
        </w:r>
        <w:r w:rsidR="00094BDB">
          <w:rPr>
            <w:noProof/>
            <w:webHidden/>
          </w:rPr>
          <w:t>34</w:t>
        </w:r>
        <w:r w:rsidR="00145BE8">
          <w:rPr>
            <w:noProof/>
            <w:webHidden/>
          </w:rPr>
          <w:fldChar w:fldCharType="end"/>
        </w:r>
      </w:hyperlink>
    </w:p>
    <w:p w:rsidR="00145BE8" w:rsidRDefault="00A02131">
      <w:pPr>
        <w:pStyle w:val="TOC2"/>
        <w:tabs>
          <w:tab w:val="left" w:pos="1134"/>
          <w:tab w:val="right" w:leader="dot" w:pos="9016"/>
        </w:tabs>
        <w:rPr>
          <w:rFonts w:asciiTheme="minorHAnsi" w:eastAsiaTheme="minorEastAsia" w:hAnsiTheme="minorHAnsi" w:cstheme="minorBidi"/>
          <w:smallCaps w:val="0"/>
          <w:noProof/>
          <w:szCs w:val="22"/>
          <w:lang w:val="en-AU" w:eastAsia="en-AU" w:bidi="ar-SA"/>
        </w:rPr>
      </w:pPr>
      <w:hyperlink w:anchor="_Toc290973088" w:history="1">
        <w:r w:rsidR="00145BE8" w:rsidRPr="00727B1E">
          <w:rPr>
            <w:rStyle w:val="Hyperlink"/>
            <w:noProof/>
          </w:rPr>
          <w:t>7.</w:t>
        </w:r>
        <w:r w:rsidR="00145BE8">
          <w:rPr>
            <w:rFonts w:asciiTheme="minorHAnsi" w:eastAsiaTheme="minorEastAsia" w:hAnsiTheme="minorHAnsi" w:cstheme="minorBidi"/>
            <w:smallCaps w:val="0"/>
            <w:noProof/>
            <w:szCs w:val="22"/>
            <w:lang w:val="en-AU" w:eastAsia="en-AU" w:bidi="ar-SA"/>
          </w:rPr>
          <w:tab/>
        </w:r>
        <w:r w:rsidR="00145BE8" w:rsidRPr="00727B1E">
          <w:rPr>
            <w:rStyle w:val="Hyperlink"/>
            <w:noProof/>
          </w:rPr>
          <w:t>Addressing FSANZ’s Primary Objectives</w:t>
        </w:r>
        <w:r w:rsidR="00145BE8">
          <w:rPr>
            <w:noProof/>
            <w:webHidden/>
          </w:rPr>
          <w:tab/>
        </w:r>
        <w:r w:rsidR="00145BE8">
          <w:rPr>
            <w:noProof/>
            <w:webHidden/>
          </w:rPr>
          <w:fldChar w:fldCharType="begin"/>
        </w:r>
        <w:r w:rsidR="00145BE8">
          <w:rPr>
            <w:noProof/>
            <w:webHidden/>
          </w:rPr>
          <w:instrText xml:space="preserve"> PAGEREF _Toc290973088 \h </w:instrText>
        </w:r>
        <w:r w:rsidR="00145BE8">
          <w:rPr>
            <w:noProof/>
            <w:webHidden/>
          </w:rPr>
        </w:r>
        <w:r w:rsidR="00145BE8">
          <w:rPr>
            <w:noProof/>
            <w:webHidden/>
          </w:rPr>
          <w:fldChar w:fldCharType="separate"/>
        </w:r>
        <w:r w:rsidR="00094BDB">
          <w:rPr>
            <w:noProof/>
            <w:webHidden/>
          </w:rPr>
          <w:t>35</w:t>
        </w:r>
        <w:r w:rsidR="00145BE8">
          <w:rPr>
            <w:noProof/>
            <w:webHidden/>
          </w:rPr>
          <w:fldChar w:fldCharType="end"/>
        </w:r>
      </w:hyperlink>
    </w:p>
    <w:p w:rsidR="00145BE8" w:rsidRDefault="00A02131">
      <w:pPr>
        <w:pStyle w:val="TOC1"/>
        <w:tabs>
          <w:tab w:val="right" w:leader="dot" w:pos="9016"/>
        </w:tabs>
        <w:rPr>
          <w:rFonts w:asciiTheme="minorHAnsi" w:eastAsiaTheme="minorEastAsia" w:hAnsiTheme="minorHAnsi" w:cstheme="minorBidi"/>
          <w:b w:val="0"/>
          <w:bCs w:val="0"/>
          <w:caps w:val="0"/>
          <w:noProof/>
          <w:szCs w:val="22"/>
          <w:lang w:val="en-AU" w:eastAsia="en-AU" w:bidi="ar-SA"/>
        </w:rPr>
      </w:pPr>
      <w:hyperlink w:anchor="_Toc290973089" w:history="1">
        <w:r w:rsidR="00145BE8" w:rsidRPr="00727B1E">
          <w:rPr>
            <w:rStyle w:val="Hyperlink"/>
            <w:noProof/>
          </w:rPr>
          <w:t>Communication and Consultation Strategy</w:t>
        </w:r>
        <w:r w:rsidR="00145BE8">
          <w:rPr>
            <w:noProof/>
            <w:webHidden/>
          </w:rPr>
          <w:tab/>
        </w:r>
        <w:r w:rsidR="00145BE8">
          <w:rPr>
            <w:noProof/>
            <w:webHidden/>
          </w:rPr>
          <w:fldChar w:fldCharType="begin"/>
        </w:r>
        <w:r w:rsidR="00145BE8">
          <w:rPr>
            <w:noProof/>
            <w:webHidden/>
          </w:rPr>
          <w:instrText xml:space="preserve"> PAGEREF _Toc290973089 \h </w:instrText>
        </w:r>
        <w:r w:rsidR="00145BE8">
          <w:rPr>
            <w:noProof/>
            <w:webHidden/>
          </w:rPr>
        </w:r>
        <w:r w:rsidR="00145BE8">
          <w:rPr>
            <w:noProof/>
            <w:webHidden/>
          </w:rPr>
          <w:fldChar w:fldCharType="separate"/>
        </w:r>
        <w:r w:rsidR="00094BDB">
          <w:rPr>
            <w:noProof/>
            <w:webHidden/>
          </w:rPr>
          <w:t>35</w:t>
        </w:r>
        <w:r w:rsidR="00145BE8">
          <w:rPr>
            <w:noProof/>
            <w:webHidden/>
          </w:rPr>
          <w:fldChar w:fldCharType="end"/>
        </w:r>
      </w:hyperlink>
    </w:p>
    <w:p w:rsidR="00145BE8" w:rsidRDefault="00A02131">
      <w:pPr>
        <w:pStyle w:val="TOC2"/>
        <w:tabs>
          <w:tab w:val="left" w:pos="1134"/>
          <w:tab w:val="right" w:leader="dot" w:pos="9016"/>
        </w:tabs>
        <w:rPr>
          <w:rFonts w:asciiTheme="minorHAnsi" w:eastAsiaTheme="minorEastAsia" w:hAnsiTheme="minorHAnsi" w:cstheme="minorBidi"/>
          <w:smallCaps w:val="0"/>
          <w:noProof/>
          <w:szCs w:val="22"/>
          <w:lang w:val="en-AU" w:eastAsia="en-AU" w:bidi="ar-SA"/>
        </w:rPr>
      </w:pPr>
      <w:hyperlink w:anchor="_Toc290973090" w:history="1">
        <w:r w:rsidR="00145BE8" w:rsidRPr="00727B1E">
          <w:rPr>
            <w:rStyle w:val="Hyperlink"/>
            <w:noProof/>
          </w:rPr>
          <w:t>8.</w:t>
        </w:r>
        <w:r w:rsidR="00145BE8">
          <w:rPr>
            <w:rFonts w:asciiTheme="minorHAnsi" w:eastAsiaTheme="minorEastAsia" w:hAnsiTheme="minorHAnsi" w:cstheme="minorBidi"/>
            <w:smallCaps w:val="0"/>
            <w:noProof/>
            <w:szCs w:val="22"/>
            <w:lang w:val="en-AU" w:eastAsia="en-AU" w:bidi="ar-SA"/>
          </w:rPr>
          <w:tab/>
        </w:r>
        <w:r w:rsidR="00145BE8" w:rsidRPr="00727B1E">
          <w:rPr>
            <w:rStyle w:val="Hyperlink"/>
            <w:noProof/>
          </w:rPr>
          <w:t>Communication</w:t>
        </w:r>
        <w:r w:rsidR="00145BE8">
          <w:rPr>
            <w:noProof/>
            <w:webHidden/>
          </w:rPr>
          <w:tab/>
        </w:r>
        <w:r w:rsidR="00145BE8">
          <w:rPr>
            <w:noProof/>
            <w:webHidden/>
          </w:rPr>
          <w:fldChar w:fldCharType="begin"/>
        </w:r>
        <w:r w:rsidR="00145BE8">
          <w:rPr>
            <w:noProof/>
            <w:webHidden/>
          </w:rPr>
          <w:instrText xml:space="preserve"> PAGEREF _Toc290973090 \h </w:instrText>
        </w:r>
        <w:r w:rsidR="00145BE8">
          <w:rPr>
            <w:noProof/>
            <w:webHidden/>
          </w:rPr>
        </w:r>
        <w:r w:rsidR="00145BE8">
          <w:rPr>
            <w:noProof/>
            <w:webHidden/>
          </w:rPr>
          <w:fldChar w:fldCharType="separate"/>
        </w:r>
        <w:r w:rsidR="00094BDB">
          <w:rPr>
            <w:noProof/>
            <w:webHidden/>
          </w:rPr>
          <w:t>35</w:t>
        </w:r>
        <w:r w:rsidR="00145BE8">
          <w:rPr>
            <w:noProof/>
            <w:webHidden/>
          </w:rPr>
          <w:fldChar w:fldCharType="end"/>
        </w:r>
      </w:hyperlink>
    </w:p>
    <w:p w:rsidR="00145BE8" w:rsidRDefault="00A02131">
      <w:pPr>
        <w:pStyle w:val="TOC2"/>
        <w:tabs>
          <w:tab w:val="left" w:pos="1134"/>
          <w:tab w:val="right" w:leader="dot" w:pos="9016"/>
        </w:tabs>
        <w:rPr>
          <w:rFonts w:asciiTheme="minorHAnsi" w:eastAsiaTheme="minorEastAsia" w:hAnsiTheme="minorHAnsi" w:cstheme="minorBidi"/>
          <w:smallCaps w:val="0"/>
          <w:noProof/>
          <w:szCs w:val="22"/>
          <w:lang w:val="en-AU" w:eastAsia="en-AU" w:bidi="ar-SA"/>
        </w:rPr>
      </w:pPr>
      <w:hyperlink w:anchor="_Toc290973091" w:history="1">
        <w:r w:rsidR="00145BE8" w:rsidRPr="00727B1E">
          <w:rPr>
            <w:rStyle w:val="Hyperlink"/>
            <w:noProof/>
          </w:rPr>
          <w:t>9.</w:t>
        </w:r>
        <w:r w:rsidR="00145BE8">
          <w:rPr>
            <w:rFonts w:asciiTheme="minorHAnsi" w:eastAsiaTheme="minorEastAsia" w:hAnsiTheme="minorHAnsi" w:cstheme="minorBidi"/>
            <w:smallCaps w:val="0"/>
            <w:noProof/>
            <w:szCs w:val="22"/>
            <w:lang w:val="en-AU" w:eastAsia="en-AU" w:bidi="ar-SA"/>
          </w:rPr>
          <w:tab/>
        </w:r>
        <w:r w:rsidR="00145BE8" w:rsidRPr="00727B1E">
          <w:rPr>
            <w:rStyle w:val="Hyperlink"/>
            <w:noProof/>
          </w:rPr>
          <w:t>Consultation</w:t>
        </w:r>
        <w:r w:rsidR="00145BE8">
          <w:rPr>
            <w:noProof/>
            <w:webHidden/>
          </w:rPr>
          <w:tab/>
        </w:r>
        <w:r w:rsidR="00145BE8">
          <w:rPr>
            <w:noProof/>
            <w:webHidden/>
          </w:rPr>
          <w:fldChar w:fldCharType="begin"/>
        </w:r>
        <w:r w:rsidR="00145BE8">
          <w:rPr>
            <w:noProof/>
            <w:webHidden/>
          </w:rPr>
          <w:instrText xml:space="preserve"> PAGEREF _Toc290973091 \h </w:instrText>
        </w:r>
        <w:r w:rsidR="00145BE8">
          <w:rPr>
            <w:noProof/>
            <w:webHidden/>
          </w:rPr>
        </w:r>
        <w:r w:rsidR="00145BE8">
          <w:rPr>
            <w:noProof/>
            <w:webHidden/>
          </w:rPr>
          <w:fldChar w:fldCharType="separate"/>
        </w:r>
        <w:r w:rsidR="00094BDB">
          <w:rPr>
            <w:noProof/>
            <w:webHidden/>
          </w:rPr>
          <w:t>35</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92" w:history="1">
        <w:r w:rsidR="00145BE8" w:rsidRPr="00727B1E">
          <w:rPr>
            <w:rStyle w:val="Hyperlink"/>
            <w:noProof/>
          </w:rPr>
          <w:t>9.1</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World Trade Organization (WTO)</w:t>
        </w:r>
        <w:r w:rsidR="00145BE8">
          <w:rPr>
            <w:noProof/>
            <w:webHidden/>
          </w:rPr>
          <w:tab/>
        </w:r>
        <w:r w:rsidR="00145BE8">
          <w:rPr>
            <w:noProof/>
            <w:webHidden/>
          </w:rPr>
          <w:fldChar w:fldCharType="begin"/>
        </w:r>
        <w:r w:rsidR="00145BE8">
          <w:rPr>
            <w:noProof/>
            <w:webHidden/>
          </w:rPr>
          <w:instrText xml:space="preserve"> PAGEREF _Toc290973092 \h </w:instrText>
        </w:r>
        <w:r w:rsidR="00145BE8">
          <w:rPr>
            <w:noProof/>
            <w:webHidden/>
          </w:rPr>
        </w:r>
        <w:r w:rsidR="00145BE8">
          <w:rPr>
            <w:noProof/>
            <w:webHidden/>
          </w:rPr>
          <w:fldChar w:fldCharType="separate"/>
        </w:r>
        <w:r w:rsidR="00094BDB">
          <w:rPr>
            <w:noProof/>
            <w:webHidden/>
          </w:rPr>
          <w:t>36</w:t>
        </w:r>
        <w:r w:rsidR="00145BE8">
          <w:rPr>
            <w:noProof/>
            <w:webHidden/>
          </w:rPr>
          <w:fldChar w:fldCharType="end"/>
        </w:r>
      </w:hyperlink>
    </w:p>
    <w:p w:rsidR="00145BE8" w:rsidRDefault="00A02131">
      <w:pPr>
        <w:pStyle w:val="TOC1"/>
        <w:tabs>
          <w:tab w:val="right" w:leader="dot" w:pos="9016"/>
        </w:tabs>
        <w:rPr>
          <w:rFonts w:asciiTheme="minorHAnsi" w:eastAsiaTheme="minorEastAsia" w:hAnsiTheme="minorHAnsi" w:cstheme="minorBidi"/>
          <w:b w:val="0"/>
          <w:bCs w:val="0"/>
          <w:caps w:val="0"/>
          <w:noProof/>
          <w:szCs w:val="22"/>
          <w:lang w:val="en-AU" w:eastAsia="en-AU" w:bidi="ar-SA"/>
        </w:rPr>
      </w:pPr>
      <w:hyperlink w:anchor="_Toc290973093" w:history="1">
        <w:r w:rsidR="00145BE8" w:rsidRPr="00727B1E">
          <w:rPr>
            <w:rStyle w:val="Hyperlink"/>
            <w:noProof/>
          </w:rPr>
          <w:t>Conclusion</w:t>
        </w:r>
        <w:r w:rsidR="00145BE8">
          <w:rPr>
            <w:noProof/>
            <w:webHidden/>
          </w:rPr>
          <w:tab/>
        </w:r>
        <w:r w:rsidR="00145BE8">
          <w:rPr>
            <w:noProof/>
            <w:webHidden/>
          </w:rPr>
          <w:fldChar w:fldCharType="begin"/>
        </w:r>
        <w:r w:rsidR="00145BE8">
          <w:rPr>
            <w:noProof/>
            <w:webHidden/>
          </w:rPr>
          <w:instrText xml:space="preserve"> PAGEREF _Toc290973093 \h </w:instrText>
        </w:r>
        <w:r w:rsidR="00145BE8">
          <w:rPr>
            <w:noProof/>
            <w:webHidden/>
          </w:rPr>
        </w:r>
        <w:r w:rsidR="00145BE8">
          <w:rPr>
            <w:noProof/>
            <w:webHidden/>
          </w:rPr>
          <w:fldChar w:fldCharType="separate"/>
        </w:r>
        <w:r w:rsidR="00094BDB">
          <w:rPr>
            <w:noProof/>
            <w:webHidden/>
          </w:rPr>
          <w:t>36</w:t>
        </w:r>
        <w:r w:rsidR="00145BE8">
          <w:rPr>
            <w:noProof/>
            <w:webHidden/>
          </w:rPr>
          <w:fldChar w:fldCharType="end"/>
        </w:r>
      </w:hyperlink>
    </w:p>
    <w:p w:rsidR="00145BE8" w:rsidRDefault="00A02131">
      <w:pPr>
        <w:pStyle w:val="TOC2"/>
        <w:tabs>
          <w:tab w:val="left" w:pos="1134"/>
          <w:tab w:val="right" w:leader="dot" w:pos="9016"/>
        </w:tabs>
        <w:rPr>
          <w:rFonts w:asciiTheme="minorHAnsi" w:eastAsiaTheme="minorEastAsia" w:hAnsiTheme="minorHAnsi" w:cstheme="minorBidi"/>
          <w:smallCaps w:val="0"/>
          <w:noProof/>
          <w:szCs w:val="22"/>
          <w:lang w:val="en-AU" w:eastAsia="en-AU" w:bidi="ar-SA"/>
        </w:rPr>
      </w:pPr>
      <w:hyperlink w:anchor="_Toc290973094" w:history="1">
        <w:r w:rsidR="00145BE8" w:rsidRPr="00727B1E">
          <w:rPr>
            <w:rStyle w:val="Hyperlink"/>
            <w:noProof/>
          </w:rPr>
          <w:t>10.</w:t>
        </w:r>
        <w:r w:rsidR="00145BE8">
          <w:rPr>
            <w:rFonts w:asciiTheme="minorHAnsi" w:eastAsiaTheme="minorEastAsia" w:hAnsiTheme="minorHAnsi" w:cstheme="minorBidi"/>
            <w:smallCaps w:val="0"/>
            <w:noProof/>
            <w:szCs w:val="22"/>
            <w:lang w:val="en-AU" w:eastAsia="en-AU" w:bidi="ar-SA"/>
          </w:rPr>
          <w:tab/>
        </w:r>
        <w:r w:rsidR="00145BE8" w:rsidRPr="00727B1E">
          <w:rPr>
            <w:rStyle w:val="Hyperlink"/>
            <w:noProof/>
          </w:rPr>
          <w:t>Conclusion and Decision</w:t>
        </w:r>
        <w:r w:rsidR="00145BE8">
          <w:rPr>
            <w:noProof/>
            <w:webHidden/>
          </w:rPr>
          <w:tab/>
        </w:r>
        <w:r w:rsidR="00145BE8">
          <w:rPr>
            <w:noProof/>
            <w:webHidden/>
          </w:rPr>
          <w:fldChar w:fldCharType="begin"/>
        </w:r>
        <w:r w:rsidR="00145BE8">
          <w:rPr>
            <w:noProof/>
            <w:webHidden/>
          </w:rPr>
          <w:instrText xml:space="preserve"> PAGEREF _Toc290973094 \h </w:instrText>
        </w:r>
        <w:r w:rsidR="00145BE8">
          <w:rPr>
            <w:noProof/>
            <w:webHidden/>
          </w:rPr>
        </w:r>
        <w:r w:rsidR="00145BE8">
          <w:rPr>
            <w:noProof/>
            <w:webHidden/>
          </w:rPr>
          <w:fldChar w:fldCharType="separate"/>
        </w:r>
        <w:r w:rsidR="00094BDB">
          <w:rPr>
            <w:noProof/>
            <w:webHidden/>
          </w:rPr>
          <w:t>36</w:t>
        </w:r>
        <w:r w:rsidR="00145BE8">
          <w:rPr>
            <w:noProof/>
            <w:webHidden/>
          </w:rPr>
          <w:fldChar w:fldCharType="end"/>
        </w:r>
      </w:hyperlink>
    </w:p>
    <w:p w:rsidR="00145BE8" w:rsidRDefault="00A02131">
      <w:pPr>
        <w:pStyle w:val="TOC3"/>
        <w:rPr>
          <w:rFonts w:asciiTheme="minorHAnsi" w:eastAsiaTheme="minorEastAsia" w:hAnsiTheme="minorHAnsi" w:cstheme="minorBidi"/>
          <w:i w:val="0"/>
          <w:iCs w:val="0"/>
          <w:noProof/>
          <w:szCs w:val="22"/>
          <w:lang w:val="en-AU" w:eastAsia="en-AU" w:bidi="ar-SA"/>
        </w:rPr>
      </w:pPr>
      <w:hyperlink w:anchor="_Toc290973095" w:history="1">
        <w:r w:rsidR="00145BE8" w:rsidRPr="00727B1E">
          <w:rPr>
            <w:rStyle w:val="Hyperlink"/>
            <w:noProof/>
          </w:rPr>
          <w:t>10.1</w:t>
        </w:r>
        <w:r w:rsidR="00145BE8">
          <w:rPr>
            <w:rFonts w:asciiTheme="minorHAnsi" w:eastAsiaTheme="minorEastAsia" w:hAnsiTheme="minorHAnsi" w:cstheme="minorBidi"/>
            <w:i w:val="0"/>
            <w:iCs w:val="0"/>
            <w:noProof/>
            <w:szCs w:val="22"/>
            <w:lang w:val="en-AU" w:eastAsia="en-AU" w:bidi="ar-SA"/>
          </w:rPr>
          <w:tab/>
        </w:r>
        <w:r w:rsidR="00145BE8" w:rsidRPr="00727B1E">
          <w:rPr>
            <w:rStyle w:val="Hyperlink"/>
            <w:noProof/>
          </w:rPr>
          <w:t>Reasons for Decision</w:t>
        </w:r>
        <w:r w:rsidR="00145BE8">
          <w:rPr>
            <w:noProof/>
            <w:webHidden/>
          </w:rPr>
          <w:tab/>
        </w:r>
        <w:r w:rsidR="00145BE8">
          <w:rPr>
            <w:noProof/>
            <w:webHidden/>
          </w:rPr>
          <w:fldChar w:fldCharType="begin"/>
        </w:r>
        <w:r w:rsidR="00145BE8">
          <w:rPr>
            <w:noProof/>
            <w:webHidden/>
          </w:rPr>
          <w:instrText xml:space="preserve"> PAGEREF _Toc290973095 \h </w:instrText>
        </w:r>
        <w:r w:rsidR="00145BE8">
          <w:rPr>
            <w:noProof/>
            <w:webHidden/>
          </w:rPr>
        </w:r>
        <w:r w:rsidR="00145BE8">
          <w:rPr>
            <w:noProof/>
            <w:webHidden/>
          </w:rPr>
          <w:fldChar w:fldCharType="separate"/>
        </w:r>
        <w:r w:rsidR="00094BDB">
          <w:rPr>
            <w:noProof/>
            <w:webHidden/>
          </w:rPr>
          <w:t>37</w:t>
        </w:r>
        <w:r w:rsidR="00145BE8">
          <w:rPr>
            <w:noProof/>
            <w:webHidden/>
          </w:rPr>
          <w:fldChar w:fldCharType="end"/>
        </w:r>
      </w:hyperlink>
    </w:p>
    <w:p w:rsidR="00145BE8" w:rsidRDefault="00A02131">
      <w:pPr>
        <w:pStyle w:val="TOC2"/>
        <w:tabs>
          <w:tab w:val="left" w:pos="1134"/>
          <w:tab w:val="right" w:leader="dot" w:pos="9016"/>
        </w:tabs>
        <w:rPr>
          <w:rFonts w:asciiTheme="minorHAnsi" w:eastAsiaTheme="minorEastAsia" w:hAnsiTheme="minorHAnsi" w:cstheme="minorBidi"/>
          <w:smallCaps w:val="0"/>
          <w:noProof/>
          <w:szCs w:val="22"/>
          <w:lang w:val="en-AU" w:eastAsia="en-AU" w:bidi="ar-SA"/>
        </w:rPr>
      </w:pPr>
      <w:hyperlink w:anchor="_Toc290973096" w:history="1">
        <w:r w:rsidR="00145BE8" w:rsidRPr="00727B1E">
          <w:rPr>
            <w:rStyle w:val="Hyperlink"/>
            <w:noProof/>
          </w:rPr>
          <w:t>11.</w:t>
        </w:r>
        <w:r w:rsidR="00145BE8">
          <w:rPr>
            <w:rFonts w:asciiTheme="minorHAnsi" w:eastAsiaTheme="minorEastAsia" w:hAnsiTheme="minorHAnsi" w:cstheme="minorBidi"/>
            <w:smallCaps w:val="0"/>
            <w:noProof/>
            <w:szCs w:val="22"/>
            <w:lang w:val="en-AU" w:eastAsia="en-AU" w:bidi="ar-SA"/>
          </w:rPr>
          <w:tab/>
        </w:r>
        <w:r w:rsidR="00145BE8" w:rsidRPr="00727B1E">
          <w:rPr>
            <w:rStyle w:val="Hyperlink"/>
            <w:noProof/>
          </w:rPr>
          <w:t>Transitional Arrangements</w:t>
        </w:r>
        <w:r w:rsidR="00145BE8">
          <w:rPr>
            <w:noProof/>
            <w:webHidden/>
          </w:rPr>
          <w:tab/>
        </w:r>
        <w:r w:rsidR="00145BE8">
          <w:rPr>
            <w:noProof/>
            <w:webHidden/>
          </w:rPr>
          <w:fldChar w:fldCharType="begin"/>
        </w:r>
        <w:r w:rsidR="00145BE8">
          <w:rPr>
            <w:noProof/>
            <w:webHidden/>
          </w:rPr>
          <w:instrText xml:space="preserve"> PAGEREF _Toc290973096 \h </w:instrText>
        </w:r>
        <w:r w:rsidR="00145BE8">
          <w:rPr>
            <w:noProof/>
            <w:webHidden/>
          </w:rPr>
        </w:r>
        <w:r w:rsidR="00145BE8">
          <w:rPr>
            <w:noProof/>
            <w:webHidden/>
          </w:rPr>
          <w:fldChar w:fldCharType="separate"/>
        </w:r>
        <w:r w:rsidR="00094BDB">
          <w:rPr>
            <w:noProof/>
            <w:webHidden/>
          </w:rPr>
          <w:t>37</w:t>
        </w:r>
        <w:r w:rsidR="00145BE8">
          <w:rPr>
            <w:noProof/>
            <w:webHidden/>
          </w:rPr>
          <w:fldChar w:fldCharType="end"/>
        </w:r>
      </w:hyperlink>
    </w:p>
    <w:p w:rsidR="00145BE8" w:rsidRDefault="00A02131">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290973097" w:history="1">
        <w:r w:rsidR="00145BE8" w:rsidRPr="00727B1E">
          <w:rPr>
            <w:rStyle w:val="Hyperlink"/>
            <w:noProof/>
          </w:rPr>
          <w:t>Attachment 1A</w:t>
        </w:r>
        <w:r w:rsidR="00145BE8">
          <w:rPr>
            <w:rStyle w:val="Hyperlink"/>
            <w:noProof/>
          </w:rPr>
          <w:t xml:space="preserve"> - </w:t>
        </w:r>
      </w:hyperlink>
      <w:hyperlink w:anchor="_Toc290973098" w:history="1">
        <w:r w:rsidR="00145BE8" w:rsidRPr="00727B1E">
          <w:rPr>
            <w:rStyle w:val="Hyperlink"/>
            <w:rFonts w:cs="Arial"/>
            <w:noProof/>
          </w:rPr>
          <w:t xml:space="preserve">Draft variations to the </w:t>
        </w:r>
        <w:r w:rsidR="00145BE8" w:rsidRPr="00727B1E">
          <w:rPr>
            <w:rStyle w:val="Hyperlink"/>
            <w:rFonts w:cs="Arial"/>
            <w:i/>
            <w:noProof/>
          </w:rPr>
          <w:t>Australia New Zealand Food Standards Code</w:t>
        </w:r>
        <w:r w:rsidR="00145BE8">
          <w:rPr>
            <w:noProof/>
            <w:webHidden/>
          </w:rPr>
          <w:tab/>
        </w:r>
        <w:r w:rsidR="00145BE8">
          <w:rPr>
            <w:noProof/>
            <w:webHidden/>
          </w:rPr>
          <w:fldChar w:fldCharType="begin"/>
        </w:r>
        <w:r w:rsidR="00145BE8">
          <w:rPr>
            <w:noProof/>
            <w:webHidden/>
          </w:rPr>
          <w:instrText xml:space="preserve"> PAGEREF _Toc290973098 \h </w:instrText>
        </w:r>
        <w:r w:rsidR="00145BE8">
          <w:rPr>
            <w:noProof/>
            <w:webHidden/>
          </w:rPr>
        </w:r>
        <w:r w:rsidR="00145BE8">
          <w:rPr>
            <w:noProof/>
            <w:webHidden/>
          </w:rPr>
          <w:fldChar w:fldCharType="separate"/>
        </w:r>
        <w:r w:rsidR="00094BDB">
          <w:rPr>
            <w:noProof/>
            <w:webHidden/>
          </w:rPr>
          <w:t>38</w:t>
        </w:r>
        <w:r w:rsidR="00145BE8">
          <w:rPr>
            <w:noProof/>
            <w:webHidden/>
          </w:rPr>
          <w:fldChar w:fldCharType="end"/>
        </w:r>
      </w:hyperlink>
    </w:p>
    <w:p w:rsidR="00145BE8" w:rsidRDefault="00A02131">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290973099" w:history="1">
        <w:r w:rsidR="00145BE8" w:rsidRPr="00727B1E">
          <w:rPr>
            <w:rStyle w:val="Hyperlink"/>
            <w:rFonts w:cs="Arial"/>
            <w:noProof/>
          </w:rPr>
          <w:t>Attachment 1B</w:t>
        </w:r>
        <w:r w:rsidR="00145BE8">
          <w:rPr>
            <w:rStyle w:val="Hyperlink"/>
            <w:rFonts w:cs="Arial"/>
            <w:noProof/>
          </w:rPr>
          <w:t xml:space="preserve"> - </w:t>
        </w:r>
      </w:hyperlink>
      <w:hyperlink w:anchor="_Toc290973100" w:history="1">
        <w:r w:rsidR="00145BE8" w:rsidRPr="00727B1E">
          <w:rPr>
            <w:rStyle w:val="Hyperlink"/>
            <w:rFonts w:cs="Arial"/>
            <w:noProof/>
          </w:rPr>
          <w:t xml:space="preserve">Draft variations to the </w:t>
        </w:r>
        <w:r w:rsidR="00145BE8" w:rsidRPr="00727B1E">
          <w:rPr>
            <w:rStyle w:val="Hyperlink"/>
            <w:rFonts w:cs="Arial"/>
            <w:i/>
            <w:noProof/>
          </w:rPr>
          <w:t xml:space="preserve">Australia New Zealand Food Standards Code </w:t>
        </w:r>
        <w:r w:rsidR="00145BE8" w:rsidRPr="00727B1E">
          <w:rPr>
            <w:rStyle w:val="Hyperlink"/>
            <w:rFonts w:cs="Arial"/>
            <w:noProof/>
          </w:rPr>
          <w:t>proposed in the Assessment Report</w:t>
        </w:r>
        <w:r w:rsidR="00145BE8">
          <w:rPr>
            <w:noProof/>
            <w:webHidden/>
          </w:rPr>
          <w:tab/>
        </w:r>
        <w:r w:rsidR="00145BE8">
          <w:rPr>
            <w:noProof/>
            <w:webHidden/>
          </w:rPr>
          <w:fldChar w:fldCharType="begin"/>
        </w:r>
        <w:r w:rsidR="00145BE8">
          <w:rPr>
            <w:noProof/>
            <w:webHidden/>
          </w:rPr>
          <w:instrText xml:space="preserve"> PAGEREF _Toc290973100 \h </w:instrText>
        </w:r>
        <w:r w:rsidR="00145BE8">
          <w:rPr>
            <w:noProof/>
            <w:webHidden/>
          </w:rPr>
        </w:r>
        <w:r w:rsidR="00145BE8">
          <w:rPr>
            <w:noProof/>
            <w:webHidden/>
          </w:rPr>
          <w:fldChar w:fldCharType="separate"/>
        </w:r>
        <w:r w:rsidR="00094BDB">
          <w:rPr>
            <w:noProof/>
            <w:webHidden/>
          </w:rPr>
          <w:t>70</w:t>
        </w:r>
        <w:r w:rsidR="00145BE8">
          <w:rPr>
            <w:noProof/>
            <w:webHidden/>
          </w:rPr>
          <w:fldChar w:fldCharType="end"/>
        </w:r>
      </w:hyperlink>
    </w:p>
    <w:p w:rsidR="00145BE8" w:rsidRDefault="00A02131">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290973101" w:history="1">
        <w:r w:rsidR="00145BE8" w:rsidRPr="00727B1E">
          <w:rPr>
            <w:rStyle w:val="Hyperlink"/>
            <w:noProof/>
          </w:rPr>
          <w:t>Attachment 2A</w:t>
        </w:r>
        <w:r w:rsidR="00145BE8">
          <w:rPr>
            <w:rStyle w:val="Hyperlink"/>
            <w:noProof/>
          </w:rPr>
          <w:t xml:space="preserve"> - </w:t>
        </w:r>
      </w:hyperlink>
      <w:hyperlink w:anchor="_Toc290973102" w:history="1">
        <w:r w:rsidR="00145BE8" w:rsidRPr="00727B1E">
          <w:rPr>
            <w:rStyle w:val="Hyperlink"/>
            <w:rFonts w:cs="Arial"/>
            <w:noProof/>
          </w:rPr>
          <w:t xml:space="preserve">Draft variations to Editorial Notes in the </w:t>
        </w:r>
        <w:r w:rsidR="00145BE8" w:rsidRPr="00727B1E">
          <w:rPr>
            <w:rStyle w:val="Hyperlink"/>
            <w:rFonts w:cs="Arial"/>
            <w:i/>
            <w:noProof/>
          </w:rPr>
          <w:t xml:space="preserve">Australia New Zealand Food Standards Code </w:t>
        </w:r>
        <w:r w:rsidR="00145BE8" w:rsidRPr="00727B1E">
          <w:rPr>
            <w:rStyle w:val="Hyperlink"/>
            <w:rFonts w:cs="Arial"/>
            <w:noProof/>
          </w:rPr>
          <w:t>(at Approval)</w:t>
        </w:r>
        <w:r w:rsidR="00145BE8">
          <w:rPr>
            <w:noProof/>
            <w:webHidden/>
          </w:rPr>
          <w:tab/>
        </w:r>
        <w:r w:rsidR="00145BE8">
          <w:rPr>
            <w:noProof/>
            <w:webHidden/>
          </w:rPr>
          <w:fldChar w:fldCharType="begin"/>
        </w:r>
        <w:r w:rsidR="00145BE8">
          <w:rPr>
            <w:noProof/>
            <w:webHidden/>
          </w:rPr>
          <w:instrText xml:space="preserve"> PAGEREF _Toc290973102 \h </w:instrText>
        </w:r>
        <w:r w:rsidR="00145BE8">
          <w:rPr>
            <w:noProof/>
            <w:webHidden/>
          </w:rPr>
        </w:r>
        <w:r w:rsidR="00145BE8">
          <w:rPr>
            <w:noProof/>
            <w:webHidden/>
          </w:rPr>
          <w:fldChar w:fldCharType="separate"/>
        </w:r>
        <w:r w:rsidR="00094BDB">
          <w:rPr>
            <w:noProof/>
            <w:webHidden/>
          </w:rPr>
          <w:t>101</w:t>
        </w:r>
        <w:r w:rsidR="00145BE8">
          <w:rPr>
            <w:noProof/>
            <w:webHidden/>
          </w:rPr>
          <w:fldChar w:fldCharType="end"/>
        </w:r>
      </w:hyperlink>
    </w:p>
    <w:p w:rsidR="00145BE8" w:rsidRDefault="00A02131">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290973103" w:history="1">
        <w:r w:rsidR="00145BE8" w:rsidRPr="00727B1E">
          <w:rPr>
            <w:rStyle w:val="Hyperlink"/>
            <w:noProof/>
          </w:rPr>
          <w:t>Attachment 2B</w:t>
        </w:r>
        <w:r w:rsidR="00145BE8">
          <w:rPr>
            <w:rStyle w:val="Hyperlink"/>
            <w:noProof/>
          </w:rPr>
          <w:t xml:space="preserve"> - </w:t>
        </w:r>
      </w:hyperlink>
      <w:hyperlink w:anchor="_Toc290973104" w:history="1">
        <w:r w:rsidR="00145BE8" w:rsidRPr="00727B1E">
          <w:rPr>
            <w:rStyle w:val="Hyperlink"/>
            <w:rFonts w:cs="Arial"/>
            <w:noProof/>
          </w:rPr>
          <w:t xml:space="preserve">Draft variations to Editorial Notes in the </w:t>
        </w:r>
        <w:r w:rsidR="00145BE8" w:rsidRPr="00727B1E">
          <w:rPr>
            <w:rStyle w:val="Hyperlink"/>
            <w:rFonts w:cs="Arial"/>
            <w:i/>
            <w:noProof/>
          </w:rPr>
          <w:t xml:space="preserve">Australia New Zealand Food Standards Code </w:t>
        </w:r>
        <w:r w:rsidR="00145BE8" w:rsidRPr="00727B1E">
          <w:rPr>
            <w:rStyle w:val="Hyperlink"/>
            <w:rFonts w:cs="Arial"/>
            <w:noProof/>
          </w:rPr>
          <w:t>proposed in the Assessment Report</w:t>
        </w:r>
        <w:r w:rsidR="00145BE8">
          <w:rPr>
            <w:noProof/>
            <w:webHidden/>
          </w:rPr>
          <w:tab/>
        </w:r>
        <w:r w:rsidR="00145BE8">
          <w:rPr>
            <w:noProof/>
            <w:webHidden/>
          </w:rPr>
          <w:fldChar w:fldCharType="begin"/>
        </w:r>
        <w:r w:rsidR="00145BE8">
          <w:rPr>
            <w:noProof/>
            <w:webHidden/>
          </w:rPr>
          <w:instrText xml:space="preserve"> PAGEREF _Toc290973104 \h </w:instrText>
        </w:r>
        <w:r w:rsidR="00145BE8">
          <w:rPr>
            <w:noProof/>
            <w:webHidden/>
          </w:rPr>
        </w:r>
        <w:r w:rsidR="00145BE8">
          <w:rPr>
            <w:noProof/>
            <w:webHidden/>
          </w:rPr>
          <w:fldChar w:fldCharType="separate"/>
        </w:r>
        <w:r w:rsidR="00094BDB">
          <w:rPr>
            <w:noProof/>
            <w:webHidden/>
          </w:rPr>
          <w:t>105</w:t>
        </w:r>
        <w:r w:rsidR="00145BE8">
          <w:rPr>
            <w:noProof/>
            <w:webHidden/>
          </w:rPr>
          <w:fldChar w:fldCharType="end"/>
        </w:r>
      </w:hyperlink>
    </w:p>
    <w:p w:rsidR="00145BE8" w:rsidRDefault="00A02131">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290973105" w:history="1">
        <w:r w:rsidR="00145BE8" w:rsidRPr="00727B1E">
          <w:rPr>
            <w:rStyle w:val="Hyperlink"/>
            <w:noProof/>
          </w:rPr>
          <w:t>Attachment 3</w:t>
        </w:r>
        <w:r w:rsidR="00145BE8">
          <w:rPr>
            <w:rStyle w:val="Hyperlink"/>
            <w:noProof/>
          </w:rPr>
          <w:t xml:space="preserve"> - </w:t>
        </w:r>
      </w:hyperlink>
      <w:hyperlink w:anchor="_Toc290973106" w:history="1">
        <w:r w:rsidR="00145BE8" w:rsidRPr="00727B1E">
          <w:rPr>
            <w:rStyle w:val="Hyperlink"/>
            <w:noProof/>
          </w:rPr>
          <w:t>Summary of issues raised in public submissions in response to the assessment report</w:t>
        </w:r>
        <w:r w:rsidR="00145BE8">
          <w:rPr>
            <w:noProof/>
            <w:webHidden/>
          </w:rPr>
          <w:tab/>
        </w:r>
        <w:r w:rsidR="00145BE8">
          <w:rPr>
            <w:noProof/>
            <w:webHidden/>
          </w:rPr>
          <w:fldChar w:fldCharType="begin"/>
        </w:r>
        <w:r w:rsidR="00145BE8">
          <w:rPr>
            <w:noProof/>
            <w:webHidden/>
          </w:rPr>
          <w:instrText xml:space="preserve"> PAGEREF _Toc290973106 \h </w:instrText>
        </w:r>
        <w:r w:rsidR="00145BE8">
          <w:rPr>
            <w:noProof/>
            <w:webHidden/>
          </w:rPr>
        </w:r>
        <w:r w:rsidR="00145BE8">
          <w:rPr>
            <w:noProof/>
            <w:webHidden/>
          </w:rPr>
          <w:fldChar w:fldCharType="separate"/>
        </w:r>
        <w:r w:rsidR="00094BDB">
          <w:rPr>
            <w:noProof/>
            <w:webHidden/>
          </w:rPr>
          <w:t>109</w:t>
        </w:r>
        <w:r w:rsidR="00145BE8">
          <w:rPr>
            <w:noProof/>
            <w:webHidden/>
          </w:rPr>
          <w:fldChar w:fldCharType="end"/>
        </w:r>
      </w:hyperlink>
    </w:p>
    <w:p w:rsidR="003C4969" w:rsidRPr="00DC6570" w:rsidRDefault="00D94070" w:rsidP="00E074B6">
      <w:pPr>
        <w:pStyle w:val="TOC2"/>
        <w:tabs>
          <w:tab w:val="right" w:leader="dot" w:pos="9016"/>
        </w:tabs>
        <w:rPr>
          <w:rFonts w:cs="Arial"/>
        </w:rPr>
      </w:pPr>
      <w:r w:rsidRPr="00DC6570">
        <w:rPr>
          <w:rFonts w:cs="Arial"/>
        </w:rPr>
        <w:fldChar w:fldCharType="end"/>
      </w:r>
    </w:p>
    <w:p w:rsidR="003C4969" w:rsidRPr="003E46BA" w:rsidRDefault="003C4969" w:rsidP="003E46BA">
      <w:pPr>
        <w:pStyle w:val="Heading1"/>
      </w:pPr>
      <w:bookmarkStart w:id="20" w:name="_Toc29883110"/>
      <w:bookmarkStart w:id="21" w:name="_Toc41906797"/>
      <w:bookmarkStart w:id="22" w:name="_Toc41907544"/>
      <w:bookmarkStart w:id="23" w:name="_Toc120358575"/>
      <w:r w:rsidRPr="00DC6570">
        <w:br w:type="page"/>
      </w:r>
      <w:bookmarkStart w:id="24" w:name="_Toc290973012"/>
      <w:r w:rsidRPr="001C27A3">
        <w:lastRenderedPageBreak/>
        <w:t>Introduction</w:t>
      </w:r>
      <w:bookmarkEnd w:id="19"/>
      <w:bookmarkEnd w:id="20"/>
      <w:bookmarkEnd w:id="21"/>
      <w:bookmarkEnd w:id="22"/>
      <w:bookmarkEnd w:id="23"/>
      <w:bookmarkEnd w:id="24"/>
    </w:p>
    <w:p w:rsidR="00D20067" w:rsidRPr="002E7A48" w:rsidRDefault="00D20067">
      <w:pPr>
        <w:rPr>
          <w:rFonts w:cs="Arial"/>
        </w:rPr>
      </w:pPr>
      <w:bookmarkStart w:id="25" w:name="_Toc29883109"/>
      <w:bookmarkStart w:id="26" w:name="_Toc41906796"/>
    </w:p>
    <w:p w:rsidR="00D20067" w:rsidRPr="00423539" w:rsidRDefault="00D20067" w:rsidP="00D20067">
      <w:pPr>
        <w:rPr>
          <w:rFonts w:cs="Arial"/>
          <w:szCs w:val="22"/>
        </w:rPr>
      </w:pPr>
      <w:r w:rsidRPr="00423539">
        <w:rPr>
          <w:rFonts w:cs="Arial"/>
          <w:szCs w:val="22"/>
          <w:lang w:val="en-AU"/>
        </w:rPr>
        <w:t xml:space="preserve">Proposal P1013 – Code Maintenance IX </w:t>
      </w:r>
      <w:r w:rsidR="00742C40">
        <w:rPr>
          <w:rFonts w:cs="Arial"/>
          <w:szCs w:val="22"/>
          <w:lang w:val="en-AU"/>
        </w:rPr>
        <w:t>was</w:t>
      </w:r>
      <w:r w:rsidRPr="00423539">
        <w:rPr>
          <w:rFonts w:cs="Arial"/>
          <w:szCs w:val="22"/>
          <w:lang w:val="en-AU"/>
        </w:rPr>
        <w:t xml:space="preserve"> prepared by FSANZ to amend the Code to address </w:t>
      </w:r>
      <w:r w:rsidRPr="00423539">
        <w:rPr>
          <w:rFonts w:cs="Arial"/>
          <w:szCs w:val="22"/>
        </w:rPr>
        <w:t xml:space="preserve">inconsistencies, </w:t>
      </w:r>
      <w:r w:rsidRPr="002267B3">
        <w:rPr>
          <w:rFonts w:cs="Arial"/>
          <w:szCs w:val="22"/>
        </w:rPr>
        <w:t xml:space="preserve">misspellings, grammatical and typographical errors, omissions and items requiring </w:t>
      </w:r>
      <w:r>
        <w:rPr>
          <w:rFonts w:cs="Arial"/>
          <w:szCs w:val="22"/>
        </w:rPr>
        <w:t xml:space="preserve">clarification or </w:t>
      </w:r>
      <w:r w:rsidRPr="002267B3">
        <w:rPr>
          <w:rFonts w:cs="Arial"/>
          <w:szCs w:val="22"/>
        </w:rPr>
        <w:t>updating, including updating references and amending or deleting outdated provisions.</w:t>
      </w:r>
      <w:r w:rsidRPr="00423539">
        <w:rPr>
          <w:rFonts w:cs="Arial"/>
          <w:szCs w:val="22"/>
        </w:rPr>
        <w:t xml:space="preserve"> </w:t>
      </w:r>
      <w:r w:rsidR="002E7A48">
        <w:rPr>
          <w:rFonts w:cs="Arial"/>
          <w:szCs w:val="22"/>
        </w:rPr>
        <w:t>The</w:t>
      </w:r>
      <w:r w:rsidRPr="00423539">
        <w:rPr>
          <w:rFonts w:cs="Arial"/>
          <w:szCs w:val="22"/>
        </w:rPr>
        <w:t xml:space="preserve">re </w:t>
      </w:r>
      <w:r w:rsidR="002E7A48">
        <w:rPr>
          <w:rFonts w:cs="Arial"/>
          <w:szCs w:val="22"/>
        </w:rPr>
        <w:t xml:space="preserve">are also </w:t>
      </w:r>
      <w:r w:rsidRPr="00423539">
        <w:rPr>
          <w:rFonts w:cs="Arial"/>
          <w:szCs w:val="22"/>
        </w:rPr>
        <w:t>some issues that arise f</w:t>
      </w:r>
      <w:r>
        <w:rPr>
          <w:rFonts w:cs="Arial"/>
          <w:szCs w:val="22"/>
        </w:rPr>
        <w:t>rom time to time (including in a</w:t>
      </w:r>
      <w:r w:rsidRPr="00423539">
        <w:rPr>
          <w:rFonts w:cs="Arial"/>
          <w:szCs w:val="22"/>
        </w:rPr>
        <w:t xml:space="preserve">pplications) that could more efficiently be considered as part of a Proposal. FSANZ has compiled these issues for consideration as part of this Proposal. </w:t>
      </w:r>
    </w:p>
    <w:p w:rsidR="00D20067" w:rsidRDefault="00D20067" w:rsidP="00D20067">
      <w:pPr>
        <w:rPr>
          <w:rFonts w:cs="Arial"/>
          <w:szCs w:val="22"/>
          <w:lang w:val="en-AU"/>
        </w:rPr>
      </w:pPr>
    </w:p>
    <w:p w:rsidR="00D20067" w:rsidRPr="00423539" w:rsidRDefault="00D20067" w:rsidP="00D20067">
      <w:pPr>
        <w:rPr>
          <w:rFonts w:cs="Arial"/>
          <w:szCs w:val="22"/>
        </w:rPr>
      </w:pPr>
      <w:r w:rsidRPr="00423539">
        <w:rPr>
          <w:rFonts w:cs="Arial"/>
          <w:szCs w:val="22"/>
        </w:rPr>
        <w:t xml:space="preserve">In accordance with the FSANZ Act, this Proposal is being assessed in accordance with the General Procedure with one round of public comment. </w:t>
      </w:r>
    </w:p>
    <w:p w:rsidR="00807559" w:rsidRDefault="00807559" w:rsidP="00807559">
      <w:pPr>
        <w:pStyle w:val="Heading3"/>
        <w:rPr>
          <w:rFonts w:cs="Arial"/>
        </w:rPr>
      </w:pPr>
      <w:bookmarkStart w:id="27" w:name="_Toc120358576"/>
      <w:bookmarkEnd w:id="25"/>
      <w:bookmarkEnd w:id="26"/>
    </w:p>
    <w:p w:rsidR="003C4969" w:rsidRDefault="00807559">
      <w:pPr>
        <w:pStyle w:val="Heading2"/>
        <w:rPr>
          <w:rFonts w:cs="Arial"/>
        </w:rPr>
      </w:pPr>
      <w:bookmarkStart w:id="28" w:name="_Toc290973013"/>
      <w:bookmarkEnd w:id="27"/>
      <w:r>
        <w:rPr>
          <w:rFonts w:cs="Arial"/>
        </w:rPr>
        <w:t>1</w:t>
      </w:r>
      <w:r w:rsidR="003C4969" w:rsidRPr="00DC6570">
        <w:rPr>
          <w:rFonts w:cs="Arial"/>
        </w:rPr>
        <w:t>.</w:t>
      </w:r>
      <w:r w:rsidR="003C4969" w:rsidRPr="00DC6570">
        <w:rPr>
          <w:rFonts w:cs="Arial"/>
        </w:rPr>
        <w:tab/>
        <w:t>The Issue / Problem</w:t>
      </w:r>
      <w:bookmarkEnd w:id="28"/>
      <w:r w:rsidR="002E7A48">
        <w:rPr>
          <w:rFonts w:cs="Arial"/>
        </w:rPr>
        <w:t xml:space="preserve"> </w:t>
      </w:r>
    </w:p>
    <w:p w:rsidR="007602AA" w:rsidRDefault="007602AA" w:rsidP="007602AA"/>
    <w:p w:rsidR="00D20067" w:rsidRPr="00423539" w:rsidRDefault="00D20067" w:rsidP="00D20067">
      <w:pPr>
        <w:rPr>
          <w:rFonts w:cs="Arial"/>
          <w:szCs w:val="22"/>
        </w:rPr>
      </w:pPr>
      <w:r w:rsidRPr="00423539">
        <w:rPr>
          <w:rFonts w:cs="Arial"/>
          <w:szCs w:val="22"/>
          <w:lang w:val="en-AU"/>
        </w:rPr>
        <w:t xml:space="preserve">The </w:t>
      </w:r>
      <w:r w:rsidRPr="00423539">
        <w:rPr>
          <w:rFonts w:cs="Arial"/>
          <w:szCs w:val="22"/>
        </w:rPr>
        <w:t xml:space="preserve">Code is regularly amended to reflect the changing nature of the food supply and the associated changes to regulatory requirements. On occasions, minor typographical errors or inconsistencies can occur and FSANZ identifies and corrects these errors and inconsistencies to ensure the Code remains as accurate as possible. This Proposal includes a small number of proposed variations to the Code to address these matters.  </w:t>
      </w:r>
    </w:p>
    <w:p w:rsidR="00D20067" w:rsidRPr="00423539" w:rsidRDefault="00D20067" w:rsidP="00D20067">
      <w:pPr>
        <w:rPr>
          <w:rFonts w:cs="Arial"/>
          <w:szCs w:val="22"/>
        </w:rPr>
      </w:pPr>
    </w:p>
    <w:p w:rsidR="003D3785" w:rsidRDefault="00D20067" w:rsidP="00D20067">
      <w:pPr>
        <w:rPr>
          <w:rFonts w:cs="Arial"/>
          <w:szCs w:val="22"/>
        </w:rPr>
      </w:pPr>
      <w:r w:rsidRPr="00423539">
        <w:rPr>
          <w:rFonts w:cs="Arial"/>
          <w:szCs w:val="22"/>
        </w:rPr>
        <w:t xml:space="preserve">In addition to these minor changes, FSANZ also reviews provisions in the Code to identify outdated or unnecessary provisions, and areas where clarity could be improved. This Proposal includes a number of proposed variations to update references to external documents, and to improve clarity. </w:t>
      </w:r>
    </w:p>
    <w:p w:rsidR="003D3785" w:rsidRDefault="003D3785" w:rsidP="00D20067">
      <w:pPr>
        <w:rPr>
          <w:rFonts w:cs="Arial"/>
          <w:szCs w:val="22"/>
        </w:rPr>
      </w:pPr>
    </w:p>
    <w:p w:rsidR="00D20067" w:rsidRPr="00423539" w:rsidRDefault="003D3785" w:rsidP="00D20067">
      <w:pPr>
        <w:rPr>
          <w:rFonts w:cs="Arial"/>
          <w:szCs w:val="22"/>
        </w:rPr>
      </w:pPr>
      <w:r>
        <w:rPr>
          <w:rFonts w:cs="Arial"/>
          <w:szCs w:val="22"/>
        </w:rPr>
        <w:t xml:space="preserve">This Proposal also </w:t>
      </w:r>
      <w:r w:rsidR="00FF5244">
        <w:rPr>
          <w:rFonts w:cs="Arial"/>
          <w:szCs w:val="22"/>
        </w:rPr>
        <w:t xml:space="preserve">provides an opportunity to address other </w:t>
      </w:r>
      <w:r>
        <w:rPr>
          <w:rFonts w:cs="Arial"/>
          <w:szCs w:val="22"/>
        </w:rPr>
        <w:t>minor changes to the Code that do not warrant full assessment under the FSANZ application or proposal process</w:t>
      </w:r>
      <w:r w:rsidR="000F5A93">
        <w:rPr>
          <w:rFonts w:cs="Arial"/>
          <w:szCs w:val="22"/>
        </w:rPr>
        <w:t>,</w:t>
      </w:r>
      <w:r>
        <w:rPr>
          <w:rFonts w:cs="Arial"/>
          <w:szCs w:val="22"/>
        </w:rPr>
        <w:t xml:space="preserve"> </w:t>
      </w:r>
      <w:r w:rsidR="000F5A93">
        <w:rPr>
          <w:rFonts w:cs="Arial"/>
          <w:szCs w:val="22"/>
        </w:rPr>
        <w:t xml:space="preserve">in the most efficient manner, </w:t>
      </w:r>
      <w:r>
        <w:rPr>
          <w:rFonts w:cs="Arial"/>
          <w:szCs w:val="22"/>
        </w:rPr>
        <w:t>for example, permission of new food additives where there are no safety issues</w:t>
      </w:r>
      <w:r w:rsidR="000F5A93">
        <w:rPr>
          <w:rFonts w:cs="Arial"/>
          <w:szCs w:val="22"/>
        </w:rPr>
        <w:t xml:space="preserve">. </w:t>
      </w:r>
      <w:r w:rsidR="00E07E40">
        <w:rPr>
          <w:rFonts w:cs="Arial"/>
          <w:szCs w:val="22"/>
        </w:rPr>
        <w:t xml:space="preserve">The Proposal also includes removal of the provisions for the exclusive use of tall </w:t>
      </w:r>
      <w:r w:rsidR="00E07E40" w:rsidRPr="00E07E40">
        <w:rPr>
          <w:rFonts w:cs="Arial"/>
          <w:szCs w:val="22"/>
        </w:rPr>
        <w:t xml:space="preserve">oil </w:t>
      </w:r>
      <w:r w:rsidR="00FA0768" w:rsidRPr="00E07E40">
        <w:rPr>
          <w:rFonts w:cs="Arial"/>
          <w:szCs w:val="22"/>
        </w:rPr>
        <w:t xml:space="preserve">phytosterol esters </w:t>
      </w:r>
      <w:r w:rsidR="00E07E40" w:rsidRPr="00E07E40">
        <w:rPr>
          <w:rFonts w:cs="Arial"/>
          <w:szCs w:val="22"/>
        </w:rPr>
        <w:t>when</w:t>
      </w:r>
      <w:r w:rsidR="00E07E40">
        <w:rPr>
          <w:rFonts w:cs="Arial"/>
          <w:szCs w:val="22"/>
        </w:rPr>
        <w:t xml:space="preserve"> the period of exclusivity expires (July 2011). </w:t>
      </w:r>
    </w:p>
    <w:p w:rsidR="00D20067" w:rsidRPr="00423539" w:rsidRDefault="00D20067" w:rsidP="00D20067">
      <w:pPr>
        <w:rPr>
          <w:rFonts w:cs="Arial"/>
          <w:szCs w:val="22"/>
        </w:rPr>
      </w:pPr>
    </w:p>
    <w:p w:rsidR="002E7A48" w:rsidRDefault="002E7A48" w:rsidP="002E7A48">
      <w:pPr>
        <w:rPr>
          <w:rFonts w:cs="Arial"/>
          <w:szCs w:val="22"/>
          <w:lang w:val="en-AU"/>
        </w:rPr>
      </w:pPr>
      <w:r>
        <w:rPr>
          <w:rFonts w:cs="Arial"/>
          <w:szCs w:val="22"/>
          <w:lang w:val="en-AU"/>
        </w:rPr>
        <w:t xml:space="preserve">In addition, an audit of all Standards in the </w:t>
      </w:r>
      <w:r w:rsidRPr="006563F7">
        <w:rPr>
          <w:rFonts w:cs="Arial"/>
          <w:i/>
          <w:szCs w:val="22"/>
          <w:lang w:val="en-AU"/>
        </w:rPr>
        <w:t>Australia New Zealand Food Standards Code</w:t>
      </w:r>
      <w:r>
        <w:rPr>
          <w:rFonts w:cs="Arial"/>
          <w:szCs w:val="22"/>
          <w:lang w:val="en-AU"/>
        </w:rPr>
        <w:t xml:space="preserve"> was completed in 2010 by the Office of Legislative Drafting and Publishing (OLDP). This audit made numerous recommendations relating to the structure, content and meaning of text in the Standards. A number of the recommendations have been included in this Proposal and others will be addressed in future work.</w:t>
      </w:r>
    </w:p>
    <w:p w:rsidR="003C4969" w:rsidRDefault="003C4969">
      <w:pPr>
        <w:rPr>
          <w:rFonts w:cs="Arial"/>
        </w:rPr>
      </w:pPr>
    </w:p>
    <w:p w:rsidR="003C4969" w:rsidRPr="00DC6570" w:rsidRDefault="002E7A48">
      <w:pPr>
        <w:pStyle w:val="Heading2"/>
        <w:rPr>
          <w:rFonts w:cs="Arial"/>
        </w:rPr>
      </w:pPr>
      <w:bookmarkStart w:id="29" w:name="_Toc120358585"/>
      <w:bookmarkStart w:id="30" w:name="_Toc290973014"/>
      <w:r>
        <w:rPr>
          <w:rFonts w:cs="Arial"/>
        </w:rPr>
        <w:t>2</w:t>
      </w:r>
      <w:r w:rsidR="003C4969" w:rsidRPr="00DC6570">
        <w:rPr>
          <w:rFonts w:cs="Arial"/>
        </w:rPr>
        <w:t>.</w:t>
      </w:r>
      <w:r w:rsidR="003C4969" w:rsidRPr="00DC6570">
        <w:rPr>
          <w:rFonts w:cs="Arial"/>
        </w:rPr>
        <w:tab/>
        <w:t>Objectives</w:t>
      </w:r>
      <w:bookmarkEnd w:id="29"/>
      <w:bookmarkEnd w:id="30"/>
    </w:p>
    <w:p w:rsidR="003C4969" w:rsidRPr="002E7A48" w:rsidRDefault="003C4969">
      <w:pPr>
        <w:rPr>
          <w:rFonts w:cs="Arial"/>
        </w:rPr>
      </w:pPr>
    </w:p>
    <w:p w:rsidR="007D40C7" w:rsidRPr="00423539" w:rsidRDefault="007D40C7" w:rsidP="007D40C7">
      <w:pPr>
        <w:rPr>
          <w:rFonts w:cs="Arial"/>
          <w:szCs w:val="22"/>
        </w:rPr>
      </w:pPr>
      <w:r w:rsidRPr="00423539">
        <w:rPr>
          <w:rFonts w:cs="Arial"/>
          <w:szCs w:val="22"/>
        </w:rPr>
        <w:t>The specific objective of this Proposal is to correct and update food regulatory measures in the Code</w:t>
      </w:r>
      <w:r>
        <w:rPr>
          <w:rFonts w:cs="Arial"/>
          <w:szCs w:val="22"/>
        </w:rPr>
        <w:t>.</w:t>
      </w:r>
    </w:p>
    <w:p w:rsidR="007D40C7" w:rsidRPr="00423539" w:rsidRDefault="007D40C7" w:rsidP="007D40C7">
      <w:pPr>
        <w:rPr>
          <w:rFonts w:cs="Arial"/>
        </w:rPr>
      </w:pPr>
    </w:p>
    <w:p w:rsidR="003C4969" w:rsidRPr="00DC6570" w:rsidRDefault="003C4969">
      <w:pPr>
        <w:rPr>
          <w:rFonts w:cs="Arial"/>
        </w:rPr>
      </w:pPr>
      <w:r w:rsidRPr="00DC6570">
        <w:rPr>
          <w:rFonts w:cs="Arial"/>
        </w:rPr>
        <w:t>In developing or varying a food standard, FSANZ is required by its legislation to meet three primary objectives</w:t>
      </w:r>
      <w:r w:rsidR="005D72E1" w:rsidRPr="00DC6570">
        <w:rPr>
          <w:rFonts w:cs="Arial"/>
        </w:rPr>
        <w:t xml:space="preserve"> which are set out in section 18</w:t>
      </w:r>
      <w:r w:rsidR="00E07E40">
        <w:rPr>
          <w:rFonts w:cs="Arial"/>
        </w:rPr>
        <w:t xml:space="preserve"> of the FSANZ Act. </w:t>
      </w:r>
      <w:r w:rsidRPr="00DC6570">
        <w:rPr>
          <w:rFonts w:cs="Arial"/>
        </w:rPr>
        <w:t>These are:</w:t>
      </w:r>
    </w:p>
    <w:p w:rsidR="003C4969" w:rsidRPr="00DC6570" w:rsidRDefault="003C4969">
      <w:pPr>
        <w:rPr>
          <w:rFonts w:cs="Arial"/>
        </w:rPr>
      </w:pPr>
    </w:p>
    <w:p w:rsidR="003C4969" w:rsidRPr="00DC6570" w:rsidRDefault="003C4969" w:rsidP="00DB2973">
      <w:pPr>
        <w:pStyle w:val="FSBullet"/>
      </w:pPr>
      <w:r w:rsidRPr="00DC6570">
        <w:t>the protection of public health and safety;</w:t>
      </w:r>
      <w:r w:rsidR="0000469B">
        <w:t xml:space="preserve"> and</w:t>
      </w:r>
    </w:p>
    <w:p w:rsidR="003C4969" w:rsidRPr="00DC6570" w:rsidRDefault="003C4969" w:rsidP="006A48A7"/>
    <w:p w:rsidR="003C4969" w:rsidRPr="00DC6570" w:rsidRDefault="003C4969" w:rsidP="00DB2973">
      <w:pPr>
        <w:pStyle w:val="FSBullet"/>
      </w:pPr>
      <w:r w:rsidRPr="00DC6570">
        <w:t>the provision of adequate information relating to food to enable consumers to make informed choices; and</w:t>
      </w:r>
    </w:p>
    <w:p w:rsidR="003C4969" w:rsidRPr="00DC6570" w:rsidRDefault="003C4969" w:rsidP="006A48A7"/>
    <w:p w:rsidR="003C4969" w:rsidRPr="00DC6570" w:rsidRDefault="003C4969" w:rsidP="00DB2973">
      <w:pPr>
        <w:pStyle w:val="FSBullet"/>
      </w:pPr>
      <w:r w:rsidRPr="00DC6570">
        <w:t>the prevention of misleading or deceptive conduct.</w:t>
      </w:r>
    </w:p>
    <w:p w:rsidR="003C4969" w:rsidRPr="00DC6570" w:rsidRDefault="003C4969">
      <w:pPr>
        <w:rPr>
          <w:rFonts w:cs="Arial"/>
        </w:rPr>
      </w:pPr>
    </w:p>
    <w:p w:rsidR="003C4969" w:rsidRPr="00DC6570" w:rsidRDefault="003C4969">
      <w:pPr>
        <w:rPr>
          <w:rFonts w:cs="Arial"/>
        </w:rPr>
      </w:pPr>
      <w:r w:rsidRPr="00DC6570">
        <w:rPr>
          <w:rFonts w:cs="Arial"/>
        </w:rPr>
        <w:t>In developing and varying standards, FSANZ must also have regard to:</w:t>
      </w:r>
    </w:p>
    <w:p w:rsidR="00141317" w:rsidRDefault="00141317">
      <w:pPr>
        <w:widowControl/>
        <w:rPr>
          <w:rFonts w:cs="Arial"/>
        </w:rPr>
      </w:pPr>
      <w:r>
        <w:rPr>
          <w:rFonts w:cs="Arial"/>
        </w:rPr>
        <w:br w:type="page"/>
      </w:r>
    </w:p>
    <w:p w:rsidR="003C4969" w:rsidRPr="00DC6570" w:rsidRDefault="003C4969" w:rsidP="00DB2973">
      <w:pPr>
        <w:pStyle w:val="FSBullet"/>
      </w:pPr>
      <w:r w:rsidRPr="00DC6570">
        <w:lastRenderedPageBreak/>
        <w:t>the need for standards to be based on risk analysis using the best available scientific evidence;</w:t>
      </w:r>
    </w:p>
    <w:p w:rsidR="003C4969" w:rsidRPr="00DC6570" w:rsidRDefault="003C4969" w:rsidP="006A48A7"/>
    <w:p w:rsidR="003C4969" w:rsidRPr="00DC6570" w:rsidRDefault="003C4969" w:rsidP="00DB2973">
      <w:pPr>
        <w:pStyle w:val="FSBullet"/>
      </w:pPr>
      <w:r w:rsidRPr="00DC6570">
        <w:t>the promotion of consistency between domestic and international food standards;</w:t>
      </w:r>
    </w:p>
    <w:p w:rsidR="003C4969" w:rsidRPr="00DC6570" w:rsidRDefault="003C4969" w:rsidP="006A48A7"/>
    <w:p w:rsidR="003C4969" w:rsidRPr="00D60568" w:rsidRDefault="003C4969" w:rsidP="00DB2973">
      <w:pPr>
        <w:pStyle w:val="FSBullet"/>
      </w:pPr>
      <w:r w:rsidRPr="00DC6570">
        <w:t>the desirabil</w:t>
      </w:r>
      <w:r w:rsidRPr="00D60568">
        <w:t>ity of an efficient and internationally competitive food industry;</w:t>
      </w:r>
    </w:p>
    <w:p w:rsidR="003C4969" w:rsidRPr="00DC6570" w:rsidRDefault="003C4969" w:rsidP="006A48A7"/>
    <w:p w:rsidR="003C4969" w:rsidRPr="00DC6570" w:rsidRDefault="003C4969" w:rsidP="00DB2973">
      <w:pPr>
        <w:pStyle w:val="FSBullet"/>
      </w:pPr>
      <w:r w:rsidRPr="00DC6570">
        <w:t>the promotion of fair trading in food; and</w:t>
      </w:r>
    </w:p>
    <w:p w:rsidR="003C4969" w:rsidRPr="00DC6570" w:rsidRDefault="003C4969" w:rsidP="006A48A7"/>
    <w:p w:rsidR="003C4969" w:rsidRPr="00DC6570" w:rsidRDefault="003C4969" w:rsidP="00DB2973">
      <w:pPr>
        <w:pStyle w:val="FSBullet"/>
      </w:pPr>
      <w:r w:rsidRPr="00DC6570">
        <w:t>any written policy guidelines formulated by the Ministerial Council.</w:t>
      </w:r>
    </w:p>
    <w:p w:rsidR="00807559" w:rsidRPr="00DC6570" w:rsidRDefault="00807559">
      <w:pPr>
        <w:rPr>
          <w:rFonts w:cs="Arial"/>
        </w:rPr>
      </w:pPr>
    </w:p>
    <w:p w:rsidR="003C4969" w:rsidRPr="00DC6570" w:rsidRDefault="00807559" w:rsidP="001C27A3">
      <w:pPr>
        <w:pStyle w:val="Heading1"/>
      </w:pPr>
      <w:bookmarkStart w:id="31" w:name="_Toc290973015"/>
      <w:r>
        <w:t>RISK ASSESSMENT</w:t>
      </w:r>
      <w:bookmarkEnd w:id="31"/>
    </w:p>
    <w:p w:rsidR="003C4969" w:rsidRDefault="003C4969">
      <w:pPr>
        <w:rPr>
          <w:rFonts w:cs="Arial"/>
        </w:rPr>
      </w:pPr>
    </w:p>
    <w:p w:rsidR="00AD5297" w:rsidRPr="00DC6570" w:rsidRDefault="00AD5297" w:rsidP="00AD5297">
      <w:pPr>
        <w:pStyle w:val="Heading2"/>
        <w:rPr>
          <w:rFonts w:cs="Arial"/>
        </w:rPr>
      </w:pPr>
      <w:bookmarkStart w:id="32" w:name="_Toc290973016"/>
      <w:r>
        <w:rPr>
          <w:rFonts w:cs="Arial"/>
        </w:rPr>
        <w:t>3</w:t>
      </w:r>
      <w:r w:rsidRPr="00DC6570">
        <w:rPr>
          <w:rFonts w:cs="Arial"/>
        </w:rPr>
        <w:t>.</w:t>
      </w:r>
      <w:r w:rsidRPr="00DC6570">
        <w:rPr>
          <w:rFonts w:cs="Arial"/>
        </w:rPr>
        <w:tab/>
      </w:r>
      <w:r>
        <w:rPr>
          <w:rFonts w:cs="Arial"/>
        </w:rPr>
        <w:t>Issues raised and solutions</w:t>
      </w:r>
      <w:bookmarkEnd w:id="32"/>
    </w:p>
    <w:p w:rsidR="00AD5297" w:rsidRPr="002E7A48" w:rsidRDefault="00AD5297">
      <w:pPr>
        <w:rPr>
          <w:rFonts w:cs="Arial"/>
        </w:rPr>
      </w:pPr>
    </w:p>
    <w:p w:rsidR="007D40C7" w:rsidRPr="00423539" w:rsidRDefault="007D40C7" w:rsidP="007D40C7">
      <w:pPr>
        <w:rPr>
          <w:rFonts w:cs="Arial"/>
          <w:szCs w:val="22"/>
        </w:rPr>
      </w:pPr>
      <w:r w:rsidRPr="00423539">
        <w:rPr>
          <w:rFonts w:cs="Arial"/>
        </w:rPr>
        <w:t xml:space="preserve">The amendments </w:t>
      </w:r>
      <w:r>
        <w:rPr>
          <w:rFonts w:cs="Arial"/>
        </w:rPr>
        <w:t xml:space="preserve">to the Code included </w:t>
      </w:r>
      <w:r w:rsidRPr="00423539">
        <w:rPr>
          <w:rFonts w:cs="Arial"/>
        </w:rPr>
        <w:t>in this Proposal have been provided to FSANZ by jurisdictions and other stakeholders</w:t>
      </w:r>
      <w:r>
        <w:rPr>
          <w:rFonts w:cs="Arial"/>
        </w:rPr>
        <w:t>;</w:t>
      </w:r>
      <w:r w:rsidRPr="00423539">
        <w:rPr>
          <w:rFonts w:cs="Arial"/>
        </w:rPr>
        <w:t xml:space="preserve"> or</w:t>
      </w:r>
      <w:r>
        <w:rPr>
          <w:rFonts w:cs="Arial"/>
        </w:rPr>
        <w:t xml:space="preserve"> </w:t>
      </w:r>
      <w:r w:rsidRPr="00423539">
        <w:rPr>
          <w:rFonts w:cs="Arial"/>
        </w:rPr>
        <w:t xml:space="preserve">identified during the legislative audit </w:t>
      </w:r>
      <w:r>
        <w:rPr>
          <w:rFonts w:cs="Arial"/>
        </w:rPr>
        <w:t>by OLDP;</w:t>
      </w:r>
      <w:r w:rsidRPr="00423539">
        <w:rPr>
          <w:rFonts w:cs="Arial"/>
        </w:rPr>
        <w:t xml:space="preserve"> or have been generated internally within FSANZ. The majority of the issues relate to</w:t>
      </w:r>
      <w:r w:rsidRPr="00423539">
        <w:rPr>
          <w:rFonts w:cs="Arial"/>
          <w:szCs w:val="22"/>
        </w:rPr>
        <w:t xml:space="preserve"> inconsistencies, misspellings, grammatical errors, omissions and items requiring updating or clarification. </w:t>
      </w:r>
    </w:p>
    <w:p w:rsidR="007D40C7" w:rsidRPr="00423539" w:rsidRDefault="007D40C7" w:rsidP="007D40C7">
      <w:pPr>
        <w:rPr>
          <w:rFonts w:cs="Arial"/>
          <w:szCs w:val="22"/>
        </w:rPr>
      </w:pPr>
    </w:p>
    <w:p w:rsidR="007D40C7" w:rsidRDefault="007D40C7" w:rsidP="007D40C7">
      <w:pPr>
        <w:rPr>
          <w:rFonts w:cs="Arial"/>
        </w:rPr>
      </w:pPr>
      <w:r>
        <w:rPr>
          <w:rFonts w:cs="Arial"/>
          <w:szCs w:val="22"/>
        </w:rPr>
        <w:t xml:space="preserve">The </w:t>
      </w:r>
      <w:r w:rsidRPr="00423539">
        <w:rPr>
          <w:rFonts w:cs="Arial"/>
          <w:szCs w:val="22"/>
        </w:rPr>
        <w:t xml:space="preserve">amendments to the Code through this Proposal </w:t>
      </w:r>
      <w:r>
        <w:rPr>
          <w:rFonts w:cs="Arial"/>
          <w:szCs w:val="22"/>
        </w:rPr>
        <w:t xml:space="preserve">do not </w:t>
      </w:r>
      <w:r w:rsidRPr="00423539">
        <w:rPr>
          <w:rFonts w:cs="Arial"/>
          <w:szCs w:val="22"/>
        </w:rPr>
        <w:t xml:space="preserve">negatively </w:t>
      </w:r>
      <w:r>
        <w:rPr>
          <w:rFonts w:cs="Arial"/>
          <w:szCs w:val="22"/>
        </w:rPr>
        <w:t>impact on public health or</w:t>
      </w:r>
      <w:r w:rsidRPr="00423539">
        <w:rPr>
          <w:rFonts w:cs="Arial"/>
          <w:szCs w:val="22"/>
        </w:rPr>
        <w:t xml:space="preserve"> safety. </w:t>
      </w:r>
      <w:r w:rsidRPr="00423539">
        <w:rPr>
          <w:rFonts w:cs="Arial"/>
        </w:rPr>
        <w:t xml:space="preserve">On this basis, a general risk assessment is not considered to be necessary, although for some of the issues a risk assessment has been undertaken and is briefly described when addressing the specific issue. </w:t>
      </w:r>
    </w:p>
    <w:p w:rsidR="007D40C7" w:rsidRPr="00246FC0" w:rsidRDefault="007D40C7">
      <w:pPr>
        <w:rPr>
          <w:rFonts w:cs="Arial"/>
        </w:rPr>
      </w:pPr>
    </w:p>
    <w:p w:rsidR="007D40C7" w:rsidRDefault="007D40C7" w:rsidP="007D40C7">
      <w:pPr>
        <w:pStyle w:val="Heading1"/>
      </w:pPr>
      <w:bookmarkStart w:id="33" w:name="_Toc290973017"/>
      <w:r>
        <w:t>AMENDMENTS</w:t>
      </w:r>
      <w:bookmarkEnd w:id="33"/>
    </w:p>
    <w:p w:rsidR="007D40C7" w:rsidRDefault="007D40C7" w:rsidP="007D40C7"/>
    <w:p w:rsidR="00A56F9F" w:rsidRPr="00A56F9F" w:rsidRDefault="00A56F9F" w:rsidP="00A56F9F">
      <w:pPr>
        <w:rPr>
          <w:rFonts w:cs="Arial"/>
          <w:szCs w:val="22"/>
        </w:rPr>
      </w:pPr>
      <w:r w:rsidRPr="00A56F9F">
        <w:rPr>
          <w:rFonts w:cs="Arial"/>
          <w:szCs w:val="22"/>
        </w:rPr>
        <w:t>In this section, the issues are arranged under the relevant standards and the following details are provided with regard to each issue:</w:t>
      </w:r>
    </w:p>
    <w:p w:rsidR="00A56F9F" w:rsidRPr="00A56F9F" w:rsidRDefault="00A56F9F" w:rsidP="00A56F9F">
      <w:pPr>
        <w:rPr>
          <w:rFonts w:cs="Arial"/>
          <w:szCs w:val="22"/>
        </w:rPr>
      </w:pPr>
    </w:p>
    <w:p w:rsidR="00A56F9F" w:rsidRPr="00A56F9F" w:rsidRDefault="00A56F9F" w:rsidP="00A56F9F">
      <w:pPr>
        <w:ind w:left="1134" w:hanging="1134"/>
        <w:rPr>
          <w:rFonts w:cs="Arial"/>
          <w:szCs w:val="22"/>
        </w:rPr>
      </w:pPr>
      <w:r w:rsidRPr="00A56F9F">
        <w:rPr>
          <w:rFonts w:cs="Arial"/>
          <w:b/>
          <w:bCs/>
          <w:szCs w:val="22"/>
        </w:rPr>
        <w:t>Location:</w:t>
      </w:r>
      <w:r w:rsidRPr="00A56F9F">
        <w:rPr>
          <w:rFonts w:cs="Arial"/>
          <w:b/>
          <w:bCs/>
          <w:szCs w:val="22"/>
        </w:rPr>
        <w:tab/>
      </w:r>
      <w:r w:rsidRPr="00A56F9F">
        <w:rPr>
          <w:rFonts w:cs="Arial"/>
          <w:szCs w:val="22"/>
        </w:rPr>
        <w:t xml:space="preserve">The relevant clause, subclause, paragraph or Table where the problem arises. </w:t>
      </w:r>
    </w:p>
    <w:p w:rsidR="00A56F9F" w:rsidRDefault="00A56F9F" w:rsidP="00A56F9F">
      <w:pPr>
        <w:ind w:left="1134" w:hanging="1134"/>
        <w:rPr>
          <w:rFonts w:cs="Arial"/>
          <w:szCs w:val="22"/>
        </w:rPr>
      </w:pPr>
      <w:r w:rsidRPr="00A56F9F">
        <w:rPr>
          <w:rFonts w:cs="Arial"/>
          <w:b/>
          <w:bCs/>
          <w:szCs w:val="22"/>
        </w:rPr>
        <w:t xml:space="preserve">Issue: </w:t>
      </w:r>
      <w:r w:rsidRPr="00A56F9F">
        <w:rPr>
          <w:rFonts w:cs="Arial"/>
          <w:b/>
          <w:bCs/>
          <w:szCs w:val="22"/>
        </w:rPr>
        <w:tab/>
      </w:r>
      <w:r w:rsidRPr="00A56F9F">
        <w:rPr>
          <w:rFonts w:cs="Arial"/>
          <w:szCs w:val="22"/>
        </w:rPr>
        <w:t>The nature of the inconsistency, error or other issue and where necessary the rationale and risk assessment for the suggested amendment.</w:t>
      </w:r>
    </w:p>
    <w:p w:rsidR="00A56F9F" w:rsidRPr="00A56F9F" w:rsidRDefault="00A56F9F" w:rsidP="00A56F9F">
      <w:pPr>
        <w:ind w:left="1134" w:hanging="1134"/>
        <w:rPr>
          <w:rFonts w:cs="Arial"/>
          <w:szCs w:val="22"/>
        </w:rPr>
      </w:pPr>
      <w:r w:rsidRPr="00A56F9F">
        <w:rPr>
          <w:rFonts w:cs="Arial"/>
          <w:b/>
          <w:bCs/>
          <w:szCs w:val="22"/>
        </w:rPr>
        <w:t>Solution:</w:t>
      </w:r>
      <w:r w:rsidRPr="00A56F9F">
        <w:rPr>
          <w:rFonts w:cs="Arial"/>
          <w:b/>
          <w:bCs/>
          <w:szCs w:val="22"/>
        </w:rPr>
        <w:tab/>
      </w:r>
      <w:r w:rsidRPr="00A56F9F">
        <w:rPr>
          <w:rFonts w:cs="Arial"/>
          <w:bCs/>
          <w:szCs w:val="22"/>
        </w:rPr>
        <w:t>The</w:t>
      </w:r>
      <w:r w:rsidRPr="00A56F9F">
        <w:rPr>
          <w:rFonts w:cs="Arial"/>
          <w:szCs w:val="22"/>
        </w:rPr>
        <w:t xml:space="preserve"> amendment.</w:t>
      </w:r>
    </w:p>
    <w:p w:rsidR="00A56F9F" w:rsidRDefault="00A56F9F" w:rsidP="00A56F9F">
      <w:pPr>
        <w:rPr>
          <w:i/>
        </w:rPr>
      </w:pPr>
    </w:p>
    <w:p w:rsidR="004263CB" w:rsidRDefault="004263CB" w:rsidP="00A56F9F">
      <w:r>
        <w:t xml:space="preserve">When significant amendments have been made to </w:t>
      </w:r>
      <w:r w:rsidR="001368FB">
        <w:t xml:space="preserve">the </w:t>
      </w:r>
      <w:r>
        <w:t xml:space="preserve">amendments </w:t>
      </w:r>
      <w:r w:rsidR="001368FB">
        <w:t xml:space="preserve">proposed </w:t>
      </w:r>
      <w:r>
        <w:t xml:space="preserve">in the Assessment Report, the following details are provided: </w:t>
      </w:r>
    </w:p>
    <w:p w:rsidR="004263CB" w:rsidRPr="004263CB" w:rsidRDefault="004263CB" w:rsidP="00A56F9F"/>
    <w:p w:rsidR="004263CB" w:rsidRPr="00A56F9F" w:rsidRDefault="004263CB" w:rsidP="004263CB">
      <w:pPr>
        <w:ind w:left="1134" w:hanging="1134"/>
        <w:rPr>
          <w:rFonts w:cs="Arial"/>
          <w:szCs w:val="22"/>
        </w:rPr>
      </w:pPr>
      <w:r w:rsidRPr="00A56F9F">
        <w:rPr>
          <w:rFonts w:cs="Arial"/>
          <w:b/>
          <w:bCs/>
          <w:szCs w:val="22"/>
        </w:rPr>
        <w:t>Location:</w:t>
      </w:r>
      <w:r w:rsidRPr="00A56F9F">
        <w:rPr>
          <w:rFonts w:cs="Arial"/>
          <w:b/>
          <w:bCs/>
          <w:szCs w:val="22"/>
        </w:rPr>
        <w:tab/>
      </w:r>
      <w:r w:rsidRPr="00A56F9F">
        <w:rPr>
          <w:rFonts w:cs="Arial"/>
          <w:szCs w:val="22"/>
        </w:rPr>
        <w:t xml:space="preserve">The relevant clause, subclause, paragraph or Table where the problem arises. </w:t>
      </w:r>
    </w:p>
    <w:p w:rsidR="004263CB" w:rsidRDefault="004263CB" w:rsidP="004263CB">
      <w:pPr>
        <w:ind w:left="1134" w:hanging="1134"/>
        <w:rPr>
          <w:rFonts w:cs="Arial"/>
          <w:szCs w:val="22"/>
        </w:rPr>
      </w:pPr>
      <w:r w:rsidRPr="00A56F9F">
        <w:rPr>
          <w:rFonts w:cs="Arial"/>
          <w:b/>
          <w:bCs/>
          <w:szCs w:val="22"/>
        </w:rPr>
        <w:t xml:space="preserve">Issue: </w:t>
      </w:r>
      <w:r w:rsidRPr="00A56F9F">
        <w:rPr>
          <w:rFonts w:cs="Arial"/>
          <w:b/>
          <w:bCs/>
          <w:szCs w:val="22"/>
        </w:rPr>
        <w:tab/>
      </w:r>
      <w:r w:rsidRPr="00A56F9F">
        <w:rPr>
          <w:rFonts w:cs="Arial"/>
          <w:szCs w:val="22"/>
        </w:rPr>
        <w:t>The nature of the inconsistency, error or other issue and where necessary the rationale and risk assessment for the suggested amendment.</w:t>
      </w:r>
    </w:p>
    <w:p w:rsidR="004263CB" w:rsidRPr="00A56F9F" w:rsidRDefault="004263CB" w:rsidP="004263CB">
      <w:pPr>
        <w:ind w:left="1134" w:hanging="1134"/>
        <w:rPr>
          <w:rFonts w:cs="Arial"/>
          <w:szCs w:val="22"/>
        </w:rPr>
      </w:pPr>
      <w:r w:rsidRPr="00A56F9F">
        <w:rPr>
          <w:rFonts w:cs="Arial"/>
          <w:b/>
          <w:bCs/>
          <w:szCs w:val="22"/>
        </w:rPr>
        <w:t>Solution</w:t>
      </w:r>
      <w:r>
        <w:rPr>
          <w:rFonts w:cs="Arial"/>
          <w:b/>
          <w:bCs/>
          <w:szCs w:val="22"/>
        </w:rPr>
        <w:t xml:space="preserve"> proposed in Assessment Report</w:t>
      </w:r>
      <w:r w:rsidRPr="00A56F9F">
        <w:rPr>
          <w:rFonts w:cs="Arial"/>
          <w:b/>
          <w:bCs/>
          <w:szCs w:val="22"/>
        </w:rPr>
        <w:t>:</w:t>
      </w:r>
      <w:r w:rsidR="00CF5C12">
        <w:rPr>
          <w:rFonts w:cs="Arial"/>
          <w:b/>
          <w:bCs/>
          <w:szCs w:val="22"/>
        </w:rPr>
        <w:t xml:space="preserve"> </w:t>
      </w:r>
      <w:r w:rsidRPr="00A56F9F">
        <w:rPr>
          <w:rFonts w:cs="Arial"/>
          <w:bCs/>
          <w:szCs w:val="22"/>
        </w:rPr>
        <w:t>The</w:t>
      </w:r>
      <w:r w:rsidRPr="00A56F9F">
        <w:rPr>
          <w:rFonts w:cs="Arial"/>
          <w:b/>
          <w:bCs/>
          <w:szCs w:val="22"/>
        </w:rPr>
        <w:t xml:space="preserve"> </w:t>
      </w:r>
      <w:r w:rsidRPr="00A56F9F">
        <w:rPr>
          <w:rFonts w:cs="Arial"/>
          <w:szCs w:val="22"/>
        </w:rPr>
        <w:t>amendment</w:t>
      </w:r>
      <w:r>
        <w:rPr>
          <w:rFonts w:cs="Arial"/>
          <w:szCs w:val="22"/>
        </w:rPr>
        <w:t xml:space="preserve"> proposed in the Assessment Report</w:t>
      </w:r>
      <w:r w:rsidRPr="00A56F9F">
        <w:rPr>
          <w:rFonts w:cs="Arial"/>
          <w:szCs w:val="22"/>
        </w:rPr>
        <w:t>.</w:t>
      </w:r>
    </w:p>
    <w:p w:rsidR="004263CB" w:rsidRDefault="004263CB" w:rsidP="004263CB">
      <w:pPr>
        <w:ind w:left="1134" w:hanging="1134"/>
        <w:rPr>
          <w:rFonts w:cs="Arial"/>
          <w:szCs w:val="22"/>
        </w:rPr>
      </w:pPr>
      <w:r w:rsidRPr="004263CB">
        <w:rPr>
          <w:rFonts w:cs="Arial"/>
          <w:b/>
          <w:bCs/>
          <w:szCs w:val="22"/>
        </w:rPr>
        <w:t>Submitter comments and FSANZ response:</w:t>
      </w:r>
      <w:r w:rsidRPr="004263CB">
        <w:rPr>
          <w:rFonts w:cs="Arial"/>
          <w:szCs w:val="22"/>
        </w:rPr>
        <w:t xml:space="preserve"> </w:t>
      </w:r>
      <w:r w:rsidR="005A6D89">
        <w:rPr>
          <w:rFonts w:cs="Arial"/>
          <w:szCs w:val="22"/>
        </w:rPr>
        <w:t>A brief summary of the submitter comments and response from FSANZ. (</w:t>
      </w:r>
      <w:r w:rsidRPr="004263CB">
        <w:rPr>
          <w:rFonts w:cs="Arial"/>
          <w:szCs w:val="22"/>
        </w:rPr>
        <w:t>A summary of submitter comments</w:t>
      </w:r>
      <w:r>
        <w:rPr>
          <w:rFonts w:cs="Arial"/>
          <w:szCs w:val="22"/>
        </w:rPr>
        <w:t xml:space="preserve"> and the FSANZ response is also </w:t>
      </w:r>
      <w:r w:rsidRPr="001C6E13">
        <w:rPr>
          <w:rFonts w:cs="Arial"/>
          <w:szCs w:val="22"/>
        </w:rPr>
        <w:t>provided in Attachment 3.</w:t>
      </w:r>
      <w:r w:rsidR="005A6D89" w:rsidRPr="001C6E13">
        <w:rPr>
          <w:rFonts w:cs="Arial"/>
          <w:szCs w:val="22"/>
        </w:rPr>
        <w:t>)</w:t>
      </w:r>
    </w:p>
    <w:p w:rsidR="004263CB" w:rsidRPr="00A56F9F" w:rsidRDefault="004263CB" w:rsidP="00A56F9F">
      <w:pPr>
        <w:rPr>
          <w:i/>
        </w:rPr>
      </w:pPr>
    </w:p>
    <w:p w:rsidR="00C44DB8" w:rsidRDefault="00CF5C12" w:rsidP="00A56F9F">
      <w:r>
        <w:t>In addition, m</w:t>
      </w:r>
      <w:r w:rsidR="00C44DB8">
        <w:t xml:space="preserve">inor amendments to the Code made in response to submitter comments are explained </w:t>
      </w:r>
      <w:r>
        <w:t xml:space="preserve">in </w:t>
      </w:r>
      <w:r w:rsidR="00C44DB8">
        <w:t xml:space="preserve">Attachment 3. </w:t>
      </w:r>
    </w:p>
    <w:p w:rsidR="00C44DB8" w:rsidRDefault="00C44DB8" w:rsidP="00A56F9F"/>
    <w:p w:rsidR="00141317" w:rsidRDefault="00A56F9F">
      <w:pPr>
        <w:widowControl/>
      </w:pPr>
      <w:r w:rsidRPr="00A56F9F">
        <w:t xml:space="preserve">Details about the amendments to Editorial notes are provided </w:t>
      </w:r>
      <w:r w:rsidRPr="001C6E13">
        <w:t xml:space="preserve">in </w:t>
      </w:r>
      <w:r w:rsidRPr="000723A4">
        <w:t xml:space="preserve">section 4. </w:t>
      </w:r>
      <w:r w:rsidR="00141317">
        <w:br w:type="page"/>
      </w:r>
    </w:p>
    <w:p w:rsidR="00A56F9F" w:rsidRPr="00A56F9F" w:rsidRDefault="00A56F9F" w:rsidP="00A56F9F">
      <w:r w:rsidRPr="00A56F9F">
        <w:lastRenderedPageBreak/>
        <w:t>The drafting of each amendment to the Code is provided in Attachment 1</w:t>
      </w:r>
      <w:r w:rsidR="000723A4">
        <w:t>A</w:t>
      </w:r>
      <w:r w:rsidRPr="00A56F9F">
        <w:t xml:space="preserve">. Drafting of amendments to Editorial notes in the </w:t>
      </w:r>
      <w:r w:rsidR="000723A4">
        <w:t xml:space="preserve">Code is provided in Attachment </w:t>
      </w:r>
      <w:r w:rsidR="00CF5C12">
        <w:t>2A</w:t>
      </w:r>
      <w:r w:rsidRPr="00A56F9F">
        <w:t>.</w:t>
      </w:r>
      <w:r w:rsidR="000723A4">
        <w:t xml:space="preserve"> The drafting of the amendments previously proposed in the Assessment Report is provided in Attachments </w:t>
      </w:r>
      <w:r w:rsidR="002932EE">
        <w:t>1B</w:t>
      </w:r>
      <w:r w:rsidR="000723A4">
        <w:t xml:space="preserve"> and 2B. </w:t>
      </w:r>
    </w:p>
    <w:p w:rsidR="00A56F9F" w:rsidRPr="00A56F9F" w:rsidRDefault="00A56F9F" w:rsidP="00A56F9F">
      <w:pPr>
        <w:rPr>
          <w:i/>
        </w:rPr>
      </w:pPr>
    </w:p>
    <w:p w:rsidR="00A56F9F" w:rsidRPr="00A56F9F" w:rsidRDefault="00A56F9F" w:rsidP="00A56F9F">
      <w:pPr>
        <w:pStyle w:val="Heading3"/>
      </w:pPr>
      <w:bookmarkStart w:id="34" w:name="_Toc228246307"/>
      <w:bookmarkStart w:id="35" w:name="_Toc280003195"/>
      <w:bookmarkStart w:id="36" w:name="_Toc290973018"/>
      <w:r w:rsidRPr="00A56F9F">
        <w:t>3.1</w:t>
      </w:r>
      <w:r w:rsidRPr="00A56F9F">
        <w:tab/>
      </w:r>
      <w:bookmarkEnd w:id="34"/>
      <w:bookmarkEnd w:id="35"/>
      <w:r w:rsidR="00940D2A">
        <w:t>Amendments to v</w:t>
      </w:r>
      <w:r w:rsidR="008A54C0">
        <w:t xml:space="preserve">arious </w:t>
      </w:r>
      <w:r w:rsidR="00940D2A">
        <w:t>s</w:t>
      </w:r>
      <w:r w:rsidRPr="00A56F9F">
        <w:t>tandards</w:t>
      </w:r>
      <w:bookmarkEnd w:id="36"/>
      <w:r w:rsidRPr="00A56F9F">
        <w:t xml:space="preserve"> </w:t>
      </w:r>
    </w:p>
    <w:p w:rsidR="00A56F9F" w:rsidRPr="00A56F9F" w:rsidRDefault="00A56F9F" w:rsidP="00A56F9F">
      <w:pPr>
        <w:rPr>
          <w:rFonts w:cs="Arial"/>
          <w:szCs w:val="22"/>
        </w:rPr>
      </w:pPr>
    </w:p>
    <w:p w:rsidR="00A56F9F" w:rsidRPr="00A56F9F" w:rsidRDefault="00A56F9F" w:rsidP="00A56F9F">
      <w:pPr>
        <w:ind w:left="1134" w:hanging="1134"/>
        <w:rPr>
          <w:rFonts w:cs="Arial"/>
          <w:szCs w:val="22"/>
        </w:rPr>
      </w:pPr>
      <w:r w:rsidRPr="00A56F9F">
        <w:rPr>
          <w:rFonts w:cs="Arial"/>
          <w:b/>
          <w:bCs/>
          <w:szCs w:val="22"/>
        </w:rPr>
        <w:t>Location</w:t>
      </w:r>
      <w:r w:rsidRPr="00A56F9F">
        <w:rPr>
          <w:rFonts w:cs="Arial"/>
          <w:szCs w:val="22"/>
        </w:rPr>
        <w:t>:</w:t>
      </w:r>
      <w:r w:rsidRPr="00A56F9F">
        <w:rPr>
          <w:rFonts w:cs="Arial"/>
          <w:szCs w:val="22"/>
        </w:rPr>
        <w:tab/>
      </w:r>
      <w:r w:rsidRPr="00A56F9F">
        <w:rPr>
          <w:szCs w:val="22"/>
        </w:rPr>
        <w:t>Wherever the word ‘micro-organism’ occurs (Standards 1.5.1 (Editorial note), 1.6.1, 2.4.2, 2.5.4, 3.3.1 (Editorial note), 3.2.2, 3.2.3, 3.3.1, 4.2.1, 4.2.3, 4.2.4 and 4.5.1)</w:t>
      </w:r>
      <w:r w:rsidRPr="00A56F9F">
        <w:rPr>
          <w:bCs/>
          <w:szCs w:val="22"/>
        </w:rPr>
        <w:t>.</w:t>
      </w:r>
    </w:p>
    <w:p w:rsidR="00A56F9F" w:rsidRPr="00A56F9F" w:rsidRDefault="00A56F9F" w:rsidP="00A56F9F">
      <w:pPr>
        <w:ind w:left="1134" w:hanging="1134"/>
        <w:rPr>
          <w:rFonts w:cs="Arial"/>
          <w:szCs w:val="22"/>
        </w:rPr>
      </w:pPr>
      <w:r w:rsidRPr="00A56F9F">
        <w:rPr>
          <w:rFonts w:cs="Arial"/>
          <w:b/>
          <w:bCs/>
          <w:szCs w:val="22"/>
        </w:rPr>
        <w:t>Issue 1</w:t>
      </w:r>
      <w:r w:rsidRPr="00A56F9F">
        <w:rPr>
          <w:rFonts w:cs="Arial"/>
          <w:szCs w:val="22"/>
        </w:rPr>
        <w:t>:</w:t>
      </w:r>
      <w:r w:rsidRPr="00A56F9F">
        <w:rPr>
          <w:rFonts w:cs="Arial"/>
          <w:szCs w:val="22"/>
        </w:rPr>
        <w:tab/>
      </w:r>
      <w:r w:rsidRPr="00A56F9F">
        <w:rPr>
          <w:szCs w:val="22"/>
        </w:rPr>
        <w:t>Microorganism should not be hyphenated.</w:t>
      </w:r>
    </w:p>
    <w:p w:rsidR="00A56F9F" w:rsidRPr="00A56F9F" w:rsidRDefault="00A56F9F" w:rsidP="00A56F9F">
      <w:pPr>
        <w:rPr>
          <w:rFonts w:cs="Arial"/>
          <w:szCs w:val="22"/>
        </w:rPr>
      </w:pPr>
      <w:r w:rsidRPr="00A56F9F">
        <w:rPr>
          <w:rFonts w:cs="Arial"/>
          <w:b/>
          <w:bCs/>
          <w:szCs w:val="22"/>
        </w:rPr>
        <w:t>Solution</w:t>
      </w:r>
      <w:r w:rsidRPr="00A56F9F">
        <w:rPr>
          <w:rFonts w:cs="Arial"/>
          <w:szCs w:val="22"/>
        </w:rPr>
        <w:t>:</w:t>
      </w:r>
      <w:r w:rsidRPr="00A56F9F">
        <w:rPr>
          <w:rFonts w:cs="Arial"/>
          <w:szCs w:val="22"/>
        </w:rPr>
        <w:tab/>
      </w:r>
      <w:r w:rsidRPr="00A56F9F">
        <w:rPr>
          <w:szCs w:val="22"/>
        </w:rPr>
        <w:t>Replace ‘micro-organism’ with ‘microorganism’.</w:t>
      </w:r>
    </w:p>
    <w:p w:rsidR="00A56F9F" w:rsidRPr="00940D2A" w:rsidRDefault="00A56F9F" w:rsidP="00A56F9F">
      <w:pPr>
        <w:rPr>
          <w:rFonts w:cs="Arial"/>
        </w:rPr>
      </w:pPr>
    </w:p>
    <w:p w:rsidR="00A56F9F" w:rsidRPr="00940D2A" w:rsidRDefault="00A56F9F" w:rsidP="00A56F9F">
      <w:pPr>
        <w:pStyle w:val="Heading3"/>
      </w:pPr>
      <w:bookmarkStart w:id="37" w:name="_Toc280003196"/>
      <w:bookmarkStart w:id="38" w:name="_Toc290973019"/>
      <w:r w:rsidRPr="00940D2A">
        <w:t>3.2</w:t>
      </w:r>
      <w:r w:rsidRPr="00940D2A">
        <w:tab/>
        <w:t>Standard 1.1.1 – Preliminary Provisions – Application, Interpretation and General Prohibitions</w:t>
      </w:r>
      <w:bookmarkEnd w:id="37"/>
      <w:bookmarkEnd w:id="38"/>
    </w:p>
    <w:p w:rsidR="00A56F9F" w:rsidRPr="00940D2A" w:rsidRDefault="00A56F9F" w:rsidP="00A56F9F">
      <w:pPr>
        <w:rPr>
          <w:rFonts w:cs="Arial"/>
        </w:rPr>
      </w:pPr>
    </w:p>
    <w:p w:rsidR="00A56F9F" w:rsidRPr="0035557B" w:rsidRDefault="00A56F9F" w:rsidP="00A56F9F">
      <w:pPr>
        <w:rPr>
          <w:rFonts w:cs="Arial"/>
          <w:szCs w:val="22"/>
        </w:rPr>
      </w:pPr>
      <w:r w:rsidRPr="0035557B">
        <w:rPr>
          <w:rFonts w:cs="Arial"/>
          <w:b/>
          <w:bCs/>
          <w:szCs w:val="22"/>
        </w:rPr>
        <w:t>Location</w:t>
      </w:r>
      <w:r w:rsidRPr="0035557B">
        <w:rPr>
          <w:rFonts w:cs="Arial"/>
          <w:szCs w:val="22"/>
        </w:rPr>
        <w:t>:</w:t>
      </w:r>
      <w:r w:rsidRPr="0035557B">
        <w:rPr>
          <w:rFonts w:cs="Arial"/>
          <w:szCs w:val="22"/>
        </w:rPr>
        <w:tab/>
        <w:t>Subclause 1(1) (application of the provisions of the Code)</w:t>
      </w:r>
    </w:p>
    <w:p w:rsidR="00A56F9F" w:rsidRPr="0035557B" w:rsidRDefault="00A56F9F" w:rsidP="00A56F9F">
      <w:pPr>
        <w:ind w:left="1134" w:hanging="1134"/>
        <w:rPr>
          <w:rFonts w:cs="Arial"/>
          <w:szCs w:val="22"/>
        </w:rPr>
      </w:pPr>
      <w:r w:rsidRPr="0035557B">
        <w:rPr>
          <w:rFonts w:cs="Arial"/>
          <w:b/>
          <w:bCs/>
          <w:szCs w:val="22"/>
        </w:rPr>
        <w:t>Issue 2</w:t>
      </w:r>
      <w:r w:rsidRPr="0035557B">
        <w:rPr>
          <w:rFonts w:cs="Arial"/>
          <w:szCs w:val="22"/>
        </w:rPr>
        <w:t>:</w:t>
      </w:r>
      <w:r w:rsidRPr="0035557B">
        <w:rPr>
          <w:rFonts w:cs="Arial"/>
          <w:szCs w:val="22"/>
        </w:rPr>
        <w:tab/>
        <w:t xml:space="preserve">OLDP recommendation to </w:t>
      </w:r>
      <w:r w:rsidRPr="0035557B">
        <w:rPr>
          <w:rFonts w:cs="Arial"/>
          <w:szCs w:val="22"/>
          <w:lang w:val="en-AU"/>
        </w:rPr>
        <w:t xml:space="preserve">clarify meaning of </w:t>
      </w:r>
      <w:r w:rsidRPr="0035557B">
        <w:rPr>
          <w:rFonts w:cs="Arial"/>
          <w:szCs w:val="22"/>
        </w:rPr>
        <w:t>‘and/or’</w:t>
      </w:r>
      <w:r w:rsidR="00AD5297">
        <w:rPr>
          <w:rFonts w:cs="Arial"/>
          <w:szCs w:val="22"/>
        </w:rPr>
        <w:t>.</w:t>
      </w:r>
    </w:p>
    <w:p w:rsidR="000723A4" w:rsidRPr="00646B05" w:rsidRDefault="00857A2E" w:rsidP="005E4F87">
      <w:pPr>
        <w:ind w:left="1134" w:hanging="1134"/>
      </w:pPr>
      <w:r w:rsidRPr="00857A2E">
        <w:rPr>
          <w:rFonts w:cs="Arial"/>
          <w:b/>
          <w:bCs/>
        </w:rPr>
        <w:t>Solution</w:t>
      </w:r>
      <w:r w:rsidRPr="00857A2E">
        <w:rPr>
          <w:b/>
          <w:bCs/>
        </w:rPr>
        <w:t>:</w:t>
      </w:r>
      <w:r w:rsidRPr="00857A2E">
        <w:rPr>
          <w:rFonts w:cs="Arial"/>
        </w:rPr>
        <w:tab/>
        <w:t>Redraft to remove the expression (replace with</w:t>
      </w:r>
      <w:r w:rsidRPr="00857A2E">
        <w:t xml:space="preserve"> ‘the provisions of this Code apply to food products (a) sold or prepared for sale in Australia or New Zealand; and (b) imported into Australia or New Zealand.’)</w:t>
      </w:r>
    </w:p>
    <w:p w:rsidR="001C6E13" w:rsidRPr="001C6E13" w:rsidRDefault="001C6E13" w:rsidP="001C6E13">
      <w:pPr>
        <w:ind w:left="1134" w:hanging="1134"/>
        <w:rPr>
          <w:rFonts w:cs="Arial"/>
          <w:b/>
          <w:bCs/>
          <w:szCs w:val="22"/>
        </w:rPr>
      </w:pPr>
    </w:p>
    <w:p w:rsidR="00A56F9F" w:rsidRPr="002B7BF2" w:rsidRDefault="00A56F9F" w:rsidP="00A56F9F">
      <w:pPr>
        <w:ind w:left="1134" w:hanging="1134"/>
        <w:rPr>
          <w:rFonts w:cs="Arial"/>
          <w:szCs w:val="22"/>
        </w:rPr>
      </w:pPr>
      <w:r w:rsidRPr="002B7BF2">
        <w:rPr>
          <w:rFonts w:cs="Arial"/>
          <w:b/>
          <w:bCs/>
          <w:szCs w:val="22"/>
        </w:rPr>
        <w:t>Location</w:t>
      </w:r>
      <w:r w:rsidRPr="002B7BF2">
        <w:rPr>
          <w:rFonts w:cs="Arial"/>
          <w:szCs w:val="22"/>
        </w:rPr>
        <w:t>:</w:t>
      </w:r>
      <w:r w:rsidRPr="002B7BF2">
        <w:rPr>
          <w:rFonts w:cs="Arial"/>
          <w:szCs w:val="22"/>
        </w:rPr>
        <w:tab/>
        <w:t>Clause 16 (new clause), definition of ‘Code of Federal Regulations’ and wherever the Code of Federal Regulations is referenced in the Code (Standards 1.3.1 and 1.3.4).</w:t>
      </w:r>
    </w:p>
    <w:p w:rsidR="00A56F9F" w:rsidRPr="002B7BF2" w:rsidRDefault="00A56F9F" w:rsidP="00A56F9F">
      <w:pPr>
        <w:ind w:left="1134" w:hanging="1134"/>
        <w:rPr>
          <w:rFonts w:cs="Arial"/>
          <w:szCs w:val="22"/>
        </w:rPr>
      </w:pPr>
      <w:r w:rsidRPr="002B7BF2">
        <w:rPr>
          <w:rFonts w:cs="Arial"/>
          <w:b/>
          <w:bCs/>
          <w:szCs w:val="22"/>
        </w:rPr>
        <w:t>Issue 3</w:t>
      </w:r>
      <w:r w:rsidRPr="002B7BF2">
        <w:rPr>
          <w:rFonts w:cs="Arial"/>
          <w:szCs w:val="22"/>
        </w:rPr>
        <w:t>:</w:t>
      </w:r>
      <w:r w:rsidRPr="002B7BF2">
        <w:rPr>
          <w:rFonts w:cs="Arial"/>
          <w:szCs w:val="22"/>
        </w:rPr>
        <w:tab/>
        <w:t xml:space="preserve">The US Code of Federal Regulations is mentioned in various places in the Code. This means each entry requires updating regularly.  </w:t>
      </w:r>
    </w:p>
    <w:p w:rsidR="00A56F9F" w:rsidRPr="002B7BF2" w:rsidRDefault="00A56F9F" w:rsidP="00A56F9F">
      <w:pPr>
        <w:ind w:left="1134" w:hanging="1134"/>
        <w:rPr>
          <w:rFonts w:cs="Arial"/>
          <w:szCs w:val="22"/>
        </w:rPr>
      </w:pPr>
      <w:r w:rsidRPr="002B7BF2">
        <w:rPr>
          <w:rFonts w:cs="Arial"/>
          <w:b/>
          <w:bCs/>
          <w:szCs w:val="22"/>
        </w:rPr>
        <w:t>Solution</w:t>
      </w:r>
      <w:r w:rsidRPr="002B7BF2">
        <w:rPr>
          <w:rFonts w:cs="Arial"/>
          <w:szCs w:val="22"/>
        </w:rPr>
        <w:t>:</w:t>
      </w:r>
      <w:r w:rsidRPr="002B7BF2">
        <w:rPr>
          <w:rFonts w:cs="Arial"/>
          <w:szCs w:val="22"/>
        </w:rPr>
        <w:tab/>
        <w:t>Define the Code of Federal Regulations in Standard 1.1.1 for citation throughout the Code. Remove reference to the date of the Code of Federal Regulations where currently mentioned in the Code.</w:t>
      </w:r>
    </w:p>
    <w:p w:rsidR="00A56F9F" w:rsidRPr="002B7BF2" w:rsidRDefault="00A56F9F" w:rsidP="00A56F9F">
      <w:pPr>
        <w:rPr>
          <w:rFonts w:cs="Arial"/>
          <w:szCs w:val="22"/>
        </w:rPr>
      </w:pPr>
    </w:p>
    <w:p w:rsidR="00A56F9F" w:rsidRPr="002B7BF2" w:rsidRDefault="00A56F9F" w:rsidP="00A56F9F">
      <w:pPr>
        <w:rPr>
          <w:rFonts w:cs="Arial"/>
          <w:szCs w:val="22"/>
        </w:rPr>
      </w:pPr>
      <w:r w:rsidRPr="002B7BF2">
        <w:rPr>
          <w:rFonts w:cs="Arial"/>
          <w:b/>
          <w:bCs/>
          <w:szCs w:val="22"/>
        </w:rPr>
        <w:t>Location</w:t>
      </w:r>
      <w:r w:rsidRPr="002B7BF2">
        <w:rPr>
          <w:rFonts w:cs="Arial"/>
          <w:szCs w:val="22"/>
        </w:rPr>
        <w:t>:</w:t>
      </w:r>
      <w:r w:rsidRPr="002B7BF2">
        <w:rPr>
          <w:rFonts w:cs="Arial"/>
          <w:szCs w:val="22"/>
        </w:rPr>
        <w:tab/>
      </w:r>
      <w:r w:rsidRPr="002B7BF2">
        <w:rPr>
          <w:rFonts w:cs="Arial"/>
          <w:bCs/>
          <w:szCs w:val="22"/>
        </w:rPr>
        <w:t>Clause 2, definition of component</w:t>
      </w:r>
    </w:p>
    <w:p w:rsidR="00A56F9F" w:rsidRPr="002B7BF2" w:rsidRDefault="00A56F9F" w:rsidP="00A56F9F">
      <w:pPr>
        <w:ind w:left="1134" w:hanging="1134"/>
        <w:rPr>
          <w:rFonts w:cs="Arial"/>
          <w:szCs w:val="22"/>
        </w:rPr>
      </w:pPr>
      <w:r w:rsidRPr="002B7BF2">
        <w:rPr>
          <w:rFonts w:cs="Arial"/>
          <w:b/>
          <w:bCs/>
          <w:szCs w:val="22"/>
        </w:rPr>
        <w:t>Issue 4</w:t>
      </w:r>
      <w:r w:rsidRPr="002B7BF2">
        <w:rPr>
          <w:rFonts w:cs="Arial"/>
          <w:szCs w:val="22"/>
        </w:rPr>
        <w:t>:</w:t>
      </w:r>
      <w:r w:rsidRPr="002B7BF2">
        <w:rPr>
          <w:rFonts w:cs="Arial"/>
          <w:szCs w:val="22"/>
        </w:rPr>
        <w:tab/>
      </w:r>
      <w:r w:rsidRPr="002B7BF2">
        <w:rPr>
          <w:rFonts w:cs="Arial"/>
          <w:bCs/>
          <w:szCs w:val="22"/>
          <w:lang w:val="en-AU"/>
        </w:rPr>
        <w:t>The term ‘final product’ is used rather than the more appropriate term ‘final food’.</w:t>
      </w:r>
    </w:p>
    <w:p w:rsidR="00A56F9F" w:rsidRPr="002B7BF2" w:rsidRDefault="00A56F9F" w:rsidP="00A56F9F">
      <w:pPr>
        <w:rPr>
          <w:rFonts w:cs="Arial"/>
          <w:szCs w:val="22"/>
        </w:rPr>
      </w:pPr>
      <w:r w:rsidRPr="002B7BF2">
        <w:rPr>
          <w:rFonts w:cs="Arial"/>
          <w:b/>
          <w:bCs/>
          <w:szCs w:val="22"/>
        </w:rPr>
        <w:t>Solution</w:t>
      </w:r>
      <w:r w:rsidRPr="002B7BF2">
        <w:rPr>
          <w:rFonts w:cs="Arial"/>
          <w:szCs w:val="22"/>
        </w:rPr>
        <w:t>:</w:t>
      </w:r>
      <w:r w:rsidRPr="002B7BF2">
        <w:rPr>
          <w:rFonts w:cs="Arial"/>
          <w:szCs w:val="22"/>
        </w:rPr>
        <w:tab/>
      </w:r>
      <w:r w:rsidRPr="002B7BF2">
        <w:rPr>
          <w:rFonts w:cs="Arial"/>
          <w:bCs/>
          <w:szCs w:val="22"/>
          <w:lang w:val="en-AU"/>
        </w:rPr>
        <w:t>Amend to ‘final food’.</w:t>
      </w:r>
    </w:p>
    <w:p w:rsidR="00A56F9F" w:rsidRPr="00391F3A" w:rsidRDefault="00A56F9F" w:rsidP="00A56F9F">
      <w:pPr>
        <w:rPr>
          <w:rFonts w:cs="Arial"/>
        </w:rPr>
      </w:pPr>
    </w:p>
    <w:p w:rsidR="00A56F9F" w:rsidRPr="00391F3A" w:rsidRDefault="00A56F9F" w:rsidP="00A56F9F">
      <w:pPr>
        <w:ind w:left="1134" w:hanging="1134"/>
        <w:rPr>
          <w:rFonts w:cs="Arial"/>
          <w:szCs w:val="22"/>
        </w:rPr>
      </w:pPr>
      <w:r w:rsidRPr="00391F3A">
        <w:rPr>
          <w:rFonts w:cs="Arial"/>
          <w:b/>
          <w:bCs/>
          <w:szCs w:val="22"/>
        </w:rPr>
        <w:t>Location</w:t>
      </w:r>
      <w:r w:rsidRPr="00391F3A">
        <w:rPr>
          <w:rFonts w:cs="Arial"/>
          <w:szCs w:val="22"/>
        </w:rPr>
        <w:t>:</w:t>
      </w:r>
      <w:r w:rsidRPr="00391F3A">
        <w:rPr>
          <w:rFonts w:cs="Arial"/>
          <w:szCs w:val="22"/>
        </w:rPr>
        <w:tab/>
      </w:r>
      <w:r w:rsidRPr="00391F3A">
        <w:rPr>
          <w:rFonts w:cs="Arial"/>
          <w:bCs/>
          <w:szCs w:val="22"/>
        </w:rPr>
        <w:t>Definition of ‘fund raising events’ in clause 1 and use of this term in paragraph 2(4)(e) of Standard 1.2.10 and clause 6 of Standard 3.2.1.</w:t>
      </w:r>
    </w:p>
    <w:p w:rsidR="00A56F9F" w:rsidRPr="00391F3A" w:rsidRDefault="00A56F9F" w:rsidP="00A56F9F">
      <w:pPr>
        <w:ind w:left="1134" w:hanging="1134"/>
        <w:rPr>
          <w:rFonts w:cs="Arial"/>
          <w:szCs w:val="22"/>
        </w:rPr>
      </w:pPr>
      <w:r w:rsidRPr="00391F3A">
        <w:rPr>
          <w:rFonts w:cs="Arial"/>
          <w:b/>
          <w:bCs/>
          <w:szCs w:val="22"/>
        </w:rPr>
        <w:t>Issue 5</w:t>
      </w:r>
      <w:r w:rsidRPr="00391F3A">
        <w:rPr>
          <w:rFonts w:cs="Arial"/>
          <w:szCs w:val="22"/>
        </w:rPr>
        <w:t>:</w:t>
      </w:r>
      <w:r w:rsidRPr="00391F3A">
        <w:rPr>
          <w:rFonts w:cs="Arial"/>
          <w:szCs w:val="22"/>
        </w:rPr>
        <w:tab/>
      </w:r>
      <w:r w:rsidRPr="00391F3A">
        <w:rPr>
          <w:rFonts w:cs="Arial"/>
          <w:bCs/>
          <w:szCs w:val="22"/>
          <w:lang w:val="en-AU"/>
        </w:rPr>
        <w:t>The term should be singular (fund raising event)</w:t>
      </w:r>
      <w:r w:rsidRPr="00391F3A">
        <w:rPr>
          <w:rFonts w:cs="Arial"/>
          <w:bCs/>
          <w:szCs w:val="22"/>
        </w:rPr>
        <w:t>.</w:t>
      </w:r>
    </w:p>
    <w:p w:rsidR="00A56F9F" w:rsidRPr="00391F3A" w:rsidRDefault="00A56F9F" w:rsidP="00A56F9F">
      <w:pPr>
        <w:rPr>
          <w:rFonts w:cs="Arial"/>
          <w:szCs w:val="22"/>
        </w:rPr>
      </w:pPr>
      <w:r w:rsidRPr="00391F3A">
        <w:rPr>
          <w:rFonts w:cs="Arial"/>
          <w:b/>
          <w:bCs/>
          <w:szCs w:val="22"/>
        </w:rPr>
        <w:t>Solution</w:t>
      </w:r>
      <w:r w:rsidRPr="00391F3A">
        <w:rPr>
          <w:rFonts w:cs="Arial"/>
          <w:szCs w:val="22"/>
        </w:rPr>
        <w:t>:</w:t>
      </w:r>
      <w:r w:rsidRPr="00391F3A">
        <w:rPr>
          <w:rFonts w:cs="Arial"/>
          <w:szCs w:val="22"/>
        </w:rPr>
        <w:tab/>
      </w:r>
      <w:r w:rsidRPr="00391F3A">
        <w:rPr>
          <w:rFonts w:cs="Arial"/>
          <w:bCs/>
          <w:szCs w:val="22"/>
          <w:lang w:val="en-AU"/>
        </w:rPr>
        <w:t>Change definition and reference to ‘fund raising events’ to singular.</w:t>
      </w:r>
    </w:p>
    <w:p w:rsidR="00A56F9F" w:rsidRPr="00CE41AB" w:rsidRDefault="00A56F9F" w:rsidP="00A56F9F">
      <w:pPr>
        <w:pStyle w:val="Heading3"/>
      </w:pPr>
    </w:p>
    <w:p w:rsidR="00A56F9F" w:rsidRPr="00CE41AB" w:rsidRDefault="00A56F9F" w:rsidP="00A56F9F">
      <w:pPr>
        <w:pStyle w:val="Heading3"/>
      </w:pPr>
      <w:bookmarkStart w:id="39" w:name="_Toc280003197"/>
      <w:bookmarkStart w:id="40" w:name="_Toc290973020"/>
      <w:r w:rsidRPr="00CE41AB">
        <w:t>3.3</w:t>
      </w:r>
      <w:r w:rsidRPr="00CE41AB">
        <w:tab/>
        <w:t>Standard 1.1.2 – Supplementary Definitions for Foods</w:t>
      </w:r>
      <w:bookmarkEnd w:id="39"/>
      <w:bookmarkEnd w:id="40"/>
      <w:r w:rsidRPr="00CE41AB">
        <w:t xml:space="preserve"> </w:t>
      </w:r>
    </w:p>
    <w:p w:rsidR="00A56F9F" w:rsidRPr="00CE41AB" w:rsidRDefault="00A56F9F" w:rsidP="00A56F9F">
      <w:pPr>
        <w:rPr>
          <w:rFonts w:cs="Arial"/>
          <w:b/>
          <w:bCs/>
        </w:rPr>
      </w:pPr>
    </w:p>
    <w:p w:rsidR="00A56F9F" w:rsidRPr="00CE41AB" w:rsidRDefault="00A56F9F" w:rsidP="00A56F9F">
      <w:pPr>
        <w:ind w:left="1134" w:hanging="1134"/>
      </w:pPr>
      <w:r w:rsidRPr="00CE41AB">
        <w:rPr>
          <w:b/>
          <w:bCs/>
        </w:rPr>
        <w:t>Location</w:t>
      </w:r>
      <w:r w:rsidRPr="00CE41AB">
        <w:t>:</w:t>
      </w:r>
      <w:r w:rsidRPr="00CE41AB">
        <w:tab/>
        <w:t xml:space="preserve">Definition of cocoa </w:t>
      </w:r>
    </w:p>
    <w:p w:rsidR="00A56F9F" w:rsidRPr="00CE41AB" w:rsidRDefault="00A56F9F" w:rsidP="00A56F9F">
      <w:pPr>
        <w:ind w:left="1134" w:hanging="1134"/>
        <w:rPr>
          <w:rFonts w:cs="Arial"/>
          <w:szCs w:val="22"/>
        </w:rPr>
      </w:pPr>
      <w:r w:rsidRPr="00CE41AB">
        <w:rPr>
          <w:b/>
          <w:bCs/>
        </w:rPr>
        <w:t>Issue 6</w:t>
      </w:r>
      <w:r w:rsidRPr="00CE41AB">
        <w:t>:</w:t>
      </w:r>
      <w:r w:rsidRPr="00CE41AB">
        <w:tab/>
        <w:t>The definition refers to ‘</w:t>
      </w:r>
      <w:r w:rsidR="005B4F22">
        <w:t xml:space="preserve">with or without </w:t>
      </w:r>
      <w:r w:rsidRPr="00CE41AB">
        <w:t xml:space="preserve">the addition of salt and/or spices’. </w:t>
      </w:r>
      <w:r w:rsidRPr="00CE41AB">
        <w:rPr>
          <w:rFonts w:cs="Arial"/>
          <w:szCs w:val="22"/>
        </w:rPr>
        <w:t xml:space="preserve">OLDP recommendation to </w:t>
      </w:r>
      <w:r w:rsidRPr="00CE41AB">
        <w:rPr>
          <w:rFonts w:cs="Arial"/>
          <w:szCs w:val="22"/>
          <w:lang w:val="en-AU"/>
        </w:rPr>
        <w:t xml:space="preserve">clarify meaning of </w:t>
      </w:r>
      <w:r w:rsidRPr="00CE41AB">
        <w:rPr>
          <w:rFonts w:cs="Arial"/>
          <w:szCs w:val="22"/>
        </w:rPr>
        <w:t>‘and/or’</w:t>
      </w:r>
      <w:r w:rsidR="00AD5297">
        <w:rPr>
          <w:rFonts w:cs="Arial"/>
          <w:szCs w:val="22"/>
        </w:rPr>
        <w:t>.</w:t>
      </w:r>
    </w:p>
    <w:p w:rsidR="00A56F9F" w:rsidRPr="00CE41AB" w:rsidRDefault="00A56F9F" w:rsidP="00A56F9F">
      <w:pPr>
        <w:rPr>
          <w:rFonts w:cs="Arial"/>
          <w:szCs w:val="22"/>
        </w:rPr>
      </w:pPr>
      <w:r w:rsidRPr="00CE41AB">
        <w:rPr>
          <w:rFonts w:cs="Arial"/>
          <w:b/>
          <w:bCs/>
          <w:szCs w:val="22"/>
        </w:rPr>
        <w:t>Solution</w:t>
      </w:r>
      <w:r w:rsidRPr="00CE41AB">
        <w:rPr>
          <w:rFonts w:cs="Arial"/>
          <w:szCs w:val="22"/>
        </w:rPr>
        <w:t>:</w:t>
      </w:r>
      <w:r w:rsidRPr="00CE41AB">
        <w:rPr>
          <w:rFonts w:cs="Arial"/>
          <w:szCs w:val="22"/>
        </w:rPr>
        <w:tab/>
        <w:t>Redraft to remove the expression</w:t>
      </w:r>
      <w:r w:rsidR="000723A4">
        <w:rPr>
          <w:rFonts w:cs="Arial"/>
          <w:szCs w:val="22"/>
        </w:rPr>
        <w:t xml:space="preserve"> (replace with ‘</w:t>
      </w:r>
      <w:r w:rsidR="005B4F22">
        <w:rPr>
          <w:rFonts w:cs="Arial"/>
          <w:szCs w:val="22"/>
        </w:rPr>
        <w:t xml:space="preserve">with or without </w:t>
      </w:r>
      <w:r w:rsidR="000723A4">
        <w:rPr>
          <w:rFonts w:cs="Arial"/>
          <w:szCs w:val="22"/>
        </w:rPr>
        <w:t xml:space="preserve">the addition of </w:t>
      </w:r>
      <w:r w:rsidR="00F374F4">
        <w:rPr>
          <w:rFonts w:cs="Arial"/>
          <w:szCs w:val="22"/>
        </w:rPr>
        <w:tab/>
      </w:r>
      <w:r w:rsidR="00F374F4">
        <w:rPr>
          <w:rFonts w:cs="Arial"/>
          <w:szCs w:val="22"/>
        </w:rPr>
        <w:tab/>
      </w:r>
      <w:r w:rsidR="000723A4">
        <w:rPr>
          <w:rFonts w:cs="Arial"/>
          <w:szCs w:val="22"/>
        </w:rPr>
        <w:t>salt or spices’)</w:t>
      </w:r>
      <w:r w:rsidRPr="00CE41AB">
        <w:rPr>
          <w:rFonts w:cs="Arial"/>
          <w:szCs w:val="22"/>
        </w:rPr>
        <w:t>.</w:t>
      </w:r>
    </w:p>
    <w:p w:rsidR="00A56F9F" w:rsidRPr="00CE41AB" w:rsidRDefault="00A56F9F" w:rsidP="00A56F9F">
      <w:pPr>
        <w:ind w:left="1134" w:hanging="1134"/>
        <w:rPr>
          <w:rFonts w:cs="Arial"/>
          <w:b/>
          <w:bCs/>
        </w:rPr>
      </w:pPr>
    </w:p>
    <w:p w:rsidR="00A56F9F" w:rsidRPr="00CE41AB" w:rsidRDefault="00A56F9F" w:rsidP="00A56F9F">
      <w:pPr>
        <w:ind w:left="1134" w:hanging="1134"/>
      </w:pPr>
      <w:r w:rsidRPr="00CE41AB">
        <w:rPr>
          <w:b/>
          <w:bCs/>
        </w:rPr>
        <w:t>Location</w:t>
      </w:r>
      <w:r w:rsidRPr="00CE41AB">
        <w:t>:</w:t>
      </w:r>
      <w:r w:rsidRPr="00CE41AB">
        <w:tab/>
        <w:t xml:space="preserve">Definition of coffee </w:t>
      </w:r>
    </w:p>
    <w:p w:rsidR="00A56F9F" w:rsidRPr="00CE41AB" w:rsidRDefault="00A56F9F" w:rsidP="00A56F9F">
      <w:pPr>
        <w:ind w:left="1134" w:hanging="1134"/>
        <w:rPr>
          <w:rFonts w:cs="Arial"/>
          <w:szCs w:val="22"/>
        </w:rPr>
      </w:pPr>
      <w:r w:rsidRPr="00CE41AB">
        <w:rPr>
          <w:b/>
          <w:bCs/>
        </w:rPr>
        <w:t>Issue 7</w:t>
      </w:r>
      <w:r w:rsidRPr="00CE41AB">
        <w:t>:</w:t>
      </w:r>
      <w:r w:rsidRPr="00CE41AB">
        <w:tab/>
        <w:t xml:space="preserve">The definition refers to ‘roasting and/or grinding’. </w:t>
      </w:r>
      <w:r w:rsidRPr="00CE41AB">
        <w:rPr>
          <w:rFonts w:cs="Arial"/>
          <w:szCs w:val="22"/>
        </w:rPr>
        <w:t xml:space="preserve">OLDP recommendation to </w:t>
      </w:r>
      <w:r w:rsidRPr="00CE41AB">
        <w:rPr>
          <w:rFonts w:cs="Arial"/>
          <w:szCs w:val="22"/>
          <w:lang w:val="en-AU"/>
        </w:rPr>
        <w:t xml:space="preserve">clarify meaning of </w:t>
      </w:r>
      <w:r w:rsidRPr="00CE41AB">
        <w:rPr>
          <w:rFonts w:cs="Arial"/>
          <w:szCs w:val="22"/>
        </w:rPr>
        <w:t>‘and/or’</w:t>
      </w:r>
      <w:r w:rsidR="002932EE">
        <w:rPr>
          <w:rFonts w:cs="Arial"/>
          <w:szCs w:val="22"/>
        </w:rPr>
        <w:t>.</w:t>
      </w:r>
    </w:p>
    <w:p w:rsidR="00A56F9F" w:rsidRPr="00CE41AB" w:rsidRDefault="00A56F9F" w:rsidP="00A56F9F">
      <w:pPr>
        <w:ind w:left="1134" w:hanging="1134"/>
      </w:pPr>
      <w:r w:rsidRPr="00CE41AB">
        <w:rPr>
          <w:b/>
          <w:bCs/>
        </w:rPr>
        <w:t>Solution</w:t>
      </w:r>
      <w:r w:rsidRPr="00CE41AB">
        <w:t>:</w:t>
      </w:r>
      <w:r w:rsidRPr="00CE41AB">
        <w:tab/>
        <w:t xml:space="preserve">Replace with ‘roasting, grinding, or both the roasting and grinding’. </w:t>
      </w:r>
    </w:p>
    <w:p w:rsidR="00A56F9F" w:rsidRPr="00CE41AB" w:rsidRDefault="00A56F9F" w:rsidP="00A56F9F">
      <w:pPr>
        <w:rPr>
          <w:rFonts w:cs="Arial"/>
          <w:b/>
          <w:bCs/>
        </w:rPr>
      </w:pPr>
    </w:p>
    <w:p w:rsidR="00141317" w:rsidRDefault="00141317">
      <w:pPr>
        <w:widowControl/>
        <w:rPr>
          <w:rFonts w:ascii="Arial Bold" w:hAnsi="Arial Bold" w:cs="Arial Unicode MS"/>
          <w:b/>
          <w:bCs/>
          <w:szCs w:val="26"/>
        </w:rPr>
      </w:pPr>
      <w:bookmarkStart w:id="41" w:name="_Toc280003198"/>
      <w:r>
        <w:br w:type="page"/>
      </w:r>
    </w:p>
    <w:p w:rsidR="00A56F9F" w:rsidRPr="00CE41AB" w:rsidRDefault="00A56F9F" w:rsidP="00A56F9F">
      <w:pPr>
        <w:pStyle w:val="Heading3"/>
      </w:pPr>
      <w:bookmarkStart w:id="42" w:name="_Toc290973021"/>
      <w:r w:rsidRPr="00CE41AB">
        <w:lastRenderedPageBreak/>
        <w:t>3.4</w:t>
      </w:r>
      <w:r w:rsidRPr="00CE41AB">
        <w:tab/>
        <w:t>Standard 1.2.1 – Application of Labelling and Other Information Requirements</w:t>
      </w:r>
      <w:bookmarkEnd w:id="41"/>
      <w:bookmarkEnd w:id="42"/>
    </w:p>
    <w:p w:rsidR="00A56F9F" w:rsidRPr="00CE41AB" w:rsidRDefault="00A56F9F" w:rsidP="00A56F9F">
      <w:pPr>
        <w:rPr>
          <w:rFonts w:cs="Arial"/>
          <w:b/>
          <w:bCs/>
        </w:rPr>
      </w:pPr>
    </w:p>
    <w:p w:rsidR="00A56F9F" w:rsidRPr="00CE41AB" w:rsidRDefault="00A56F9F" w:rsidP="00A56F9F">
      <w:pPr>
        <w:rPr>
          <w:rFonts w:cs="Arial"/>
        </w:rPr>
      </w:pPr>
      <w:r w:rsidRPr="00CE41AB">
        <w:rPr>
          <w:rFonts w:cs="Arial"/>
          <w:b/>
          <w:bCs/>
        </w:rPr>
        <w:t>Location</w:t>
      </w:r>
      <w:r w:rsidRPr="00CE41AB">
        <w:rPr>
          <w:rFonts w:cs="Arial"/>
        </w:rPr>
        <w:t>:</w:t>
      </w:r>
      <w:r w:rsidRPr="00CE41AB">
        <w:rPr>
          <w:rFonts w:cs="Arial"/>
        </w:rPr>
        <w:tab/>
        <w:t>Paragraphs 2(1)(a) and 3(1)(d)</w:t>
      </w:r>
    </w:p>
    <w:p w:rsidR="00A56F9F" w:rsidRPr="002B7BF2" w:rsidRDefault="00A56F9F" w:rsidP="00A56F9F">
      <w:pPr>
        <w:ind w:left="1134" w:hanging="1134"/>
        <w:rPr>
          <w:rFonts w:cs="Arial"/>
        </w:rPr>
      </w:pPr>
      <w:r w:rsidRPr="00CE41AB">
        <w:rPr>
          <w:rFonts w:cs="Arial"/>
          <w:b/>
          <w:bCs/>
        </w:rPr>
        <w:t>Issue 8</w:t>
      </w:r>
      <w:r w:rsidRPr="00CE41AB">
        <w:rPr>
          <w:rFonts w:cs="Arial"/>
        </w:rPr>
        <w:t>:</w:t>
      </w:r>
      <w:r w:rsidRPr="00CE41AB">
        <w:rPr>
          <w:rFonts w:cs="Arial"/>
        </w:rPr>
        <w:tab/>
        <w:t>The terminology</w:t>
      </w:r>
      <w:r w:rsidRPr="002B7BF2">
        <w:rPr>
          <w:rFonts w:cs="Arial"/>
        </w:rPr>
        <w:t xml:space="preserve"> ‘food not in a package’ is inconsistent with the terminology in paragraph 5(2)(a) – ‘the food is other than in a package’.</w:t>
      </w:r>
    </w:p>
    <w:p w:rsidR="00A56F9F" w:rsidRPr="002B7BF2" w:rsidRDefault="00A56F9F" w:rsidP="00A56F9F">
      <w:pPr>
        <w:rPr>
          <w:rFonts w:cs="Arial"/>
        </w:rPr>
      </w:pPr>
      <w:r w:rsidRPr="002B7BF2">
        <w:rPr>
          <w:rFonts w:cs="Arial"/>
          <w:b/>
          <w:bCs/>
        </w:rPr>
        <w:t>Solution</w:t>
      </w:r>
      <w:r w:rsidRPr="002B7BF2">
        <w:rPr>
          <w:rFonts w:cs="Arial"/>
        </w:rPr>
        <w:t>:</w:t>
      </w:r>
      <w:r w:rsidRPr="002B7BF2">
        <w:rPr>
          <w:rFonts w:cs="Arial"/>
        </w:rPr>
        <w:tab/>
        <w:t>Amend to use just one precise term (i.e. the food is not in a package).</w:t>
      </w:r>
    </w:p>
    <w:p w:rsidR="00A56F9F" w:rsidRPr="002B7BF2" w:rsidRDefault="00A56F9F" w:rsidP="00A56F9F">
      <w:pPr>
        <w:rPr>
          <w:rFonts w:cs="Arial"/>
          <w:b/>
          <w:bCs/>
        </w:rPr>
      </w:pPr>
    </w:p>
    <w:p w:rsidR="00A56F9F" w:rsidRPr="002B7BF2" w:rsidRDefault="00A56F9F" w:rsidP="00A56F9F">
      <w:pPr>
        <w:rPr>
          <w:rFonts w:cs="Arial"/>
        </w:rPr>
      </w:pPr>
      <w:r w:rsidRPr="002B7BF2">
        <w:rPr>
          <w:rFonts w:cs="Arial"/>
          <w:b/>
          <w:bCs/>
        </w:rPr>
        <w:t>Location</w:t>
      </w:r>
      <w:r w:rsidRPr="002B7BF2">
        <w:rPr>
          <w:rFonts w:cs="Arial"/>
        </w:rPr>
        <w:t>:</w:t>
      </w:r>
      <w:r w:rsidRPr="002B7BF2">
        <w:rPr>
          <w:rFonts w:cs="Arial"/>
        </w:rPr>
        <w:tab/>
        <w:t>Paragraph 2(2)(a)</w:t>
      </w:r>
    </w:p>
    <w:p w:rsidR="00A56F9F" w:rsidRPr="002B7BF2" w:rsidRDefault="00A56F9F" w:rsidP="00A56F9F">
      <w:pPr>
        <w:ind w:left="1134" w:hanging="1134"/>
        <w:rPr>
          <w:rFonts w:cs="Arial"/>
        </w:rPr>
      </w:pPr>
      <w:r w:rsidRPr="002B7BF2">
        <w:rPr>
          <w:rFonts w:cs="Arial"/>
          <w:b/>
          <w:bCs/>
        </w:rPr>
        <w:t>Issue 9</w:t>
      </w:r>
      <w:r w:rsidRPr="002B7BF2">
        <w:rPr>
          <w:rFonts w:cs="Arial"/>
        </w:rPr>
        <w:t>:</w:t>
      </w:r>
      <w:r w:rsidRPr="002B7BF2">
        <w:rPr>
          <w:rFonts w:cs="Arial"/>
        </w:rPr>
        <w:tab/>
        <w:t>Under this paragraph, foods exempt from bearing a label must comply with subclauses 1(1) or 1(2) of Standard 1.2.2, however of these two subclauses, only subclause 1(2) refers to foods exempt from bearing a label.</w:t>
      </w:r>
    </w:p>
    <w:p w:rsidR="00A56F9F" w:rsidRPr="002B7BF2" w:rsidRDefault="00A56F9F" w:rsidP="00A56F9F">
      <w:pPr>
        <w:rPr>
          <w:rFonts w:cs="Arial"/>
          <w:i/>
        </w:rPr>
      </w:pPr>
      <w:r w:rsidRPr="002B7BF2">
        <w:rPr>
          <w:rFonts w:cs="Arial"/>
          <w:b/>
          <w:bCs/>
        </w:rPr>
        <w:t>Solution</w:t>
      </w:r>
      <w:r w:rsidRPr="002B7BF2">
        <w:rPr>
          <w:rFonts w:cs="Arial"/>
        </w:rPr>
        <w:t>:</w:t>
      </w:r>
      <w:r w:rsidRPr="002B7BF2">
        <w:rPr>
          <w:rFonts w:cs="Arial"/>
        </w:rPr>
        <w:tab/>
        <w:t>Remove the reference to subclause 1(1) in paragraph 2(2)(a).</w:t>
      </w:r>
    </w:p>
    <w:p w:rsidR="00A56F9F" w:rsidRPr="002B7BF2" w:rsidRDefault="00A56F9F" w:rsidP="00A56F9F">
      <w:pPr>
        <w:rPr>
          <w:rFonts w:cs="Arial"/>
          <w:b/>
          <w:bCs/>
        </w:rPr>
      </w:pPr>
    </w:p>
    <w:p w:rsidR="00A56F9F" w:rsidRPr="002B7BF2" w:rsidRDefault="00A56F9F" w:rsidP="00A56F9F">
      <w:pPr>
        <w:rPr>
          <w:rFonts w:cs="Arial"/>
        </w:rPr>
      </w:pPr>
      <w:r w:rsidRPr="002B7BF2">
        <w:rPr>
          <w:rFonts w:cs="Arial"/>
          <w:b/>
          <w:bCs/>
        </w:rPr>
        <w:t>Location</w:t>
      </w:r>
      <w:r w:rsidRPr="002B7BF2">
        <w:rPr>
          <w:rFonts w:cs="Arial"/>
        </w:rPr>
        <w:t>:</w:t>
      </w:r>
      <w:r w:rsidRPr="002B7BF2">
        <w:rPr>
          <w:rFonts w:cs="Arial"/>
        </w:rPr>
        <w:tab/>
        <w:t>Subclause 3(1)</w:t>
      </w:r>
    </w:p>
    <w:p w:rsidR="00A56F9F" w:rsidRPr="002B7BF2" w:rsidRDefault="00A56F9F" w:rsidP="00A56F9F">
      <w:pPr>
        <w:ind w:left="1134" w:hanging="1134"/>
        <w:rPr>
          <w:rFonts w:cs="Arial"/>
          <w:i/>
        </w:rPr>
      </w:pPr>
      <w:r w:rsidRPr="002B7BF2">
        <w:rPr>
          <w:rFonts w:cs="Arial"/>
          <w:b/>
          <w:bCs/>
        </w:rPr>
        <w:t>Issue 10</w:t>
      </w:r>
      <w:r w:rsidRPr="002B7BF2">
        <w:rPr>
          <w:rFonts w:cs="Arial"/>
        </w:rPr>
        <w:t>:</w:t>
      </w:r>
      <w:r w:rsidRPr="002B7BF2">
        <w:rPr>
          <w:rFonts w:cs="Arial"/>
        </w:rPr>
        <w:tab/>
        <w:t xml:space="preserve">Inclusion of ‘for’ at the end of subclause 3(1) is not grammatically correct as it applies to (c). Repetition of the word ‘food’ at the start of each paragraph (d) to (f) is not necessary. </w:t>
      </w:r>
    </w:p>
    <w:p w:rsidR="00A56F9F" w:rsidRPr="002B7BF2" w:rsidRDefault="00A56F9F" w:rsidP="00A56F9F">
      <w:pPr>
        <w:ind w:left="1134" w:hanging="1134"/>
        <w:rPr>
          <w:rFonts w:cs="Arial"/>
        </w:rPr>
      </w:pPr>
      <w:r w:rsidRPr="002B7BF2">
        <w:rPr>
          <w:rFonts w:cs="Arial"/>
          <w:b/>
          <w:bCs/>
        </w:rPr>
        <w:t>Solution</w:t>
      </w:r>
      <w:r w:rsidRPr="002B7BF2">
        <w:rPr>
          <w:rFonts w:cs="Arial"/>
        </w:rPr>
        <w:t>:</w:t>
      </w:r>
      <w:r w:rsidRPr="002B7BF2">
        <w:rPr>
          <w:rFonts w:cs="Arial"/>
        </w:rPr>
        <w:tab/>
        <w:t xml:space="preserve">Move the word ‘for’ to the start of both paragraphs 3(1)(a) and (b). Move the word ‘food’ from (d), (e) and (f) to after the wording ‘...except where the –’. </w:t>
      </w:r>
    </w:p>
    <w:p w:rsidR="00A56F9F" w:rsidRPr="002B7BF2" w:rsidRDefault="00A56F9F" w:rsidP="00A56F9F">
      <w:pPr>
        <w:rPr>
          <w:rFonts w:cs="Arial"/>
          <w:b/>
          <w:bCs/>
        </w:rPr>
      </w:pPr>
    </w:p>
    <w:p w:rsidR="00A56F9F" w:rsidRPr="002B7BF2" w:rsidRDefault="00A56F9F" w:rsidP="00A56F9F">
      <w:pPr>
        <w:rPr>
          <w:rFonts w:cs="Arial"/>
        </w:rPr>
      </w:pPr>
      <w:r w:rsidRPr="002B7BF2">
        <w:rPr>
          <w:rFonts w:cs="Arial"/>
          <w:b/>
          <w:bCs/>
        </w:rPr>
        <w:t>Location</w:t>
      </w:r>
      <w:r w:rsidRPr="002B7BF2">
        <w:rPr>
          <w:rFonts w:cs="Arial"/>
        </w:rPr>
        <w:t>:</w:t>
      </w:r>
      <w:r w:rsidRPr="002B7BF2">
        <w:rPr>
          <w:rFonts w:cs="Arial"/>
        </w:rPr>
        <w:tab/>
        <w:t>Subparagraph 5(2)(c)(i)</w:t>
      </w:r>
    </w:p>
    <w:p w:rsidR="00A56F9F" w:rsidRPr="002B7BF2" w:rsidRDefault="00A56F9F" w:rsidP="00A56F9F">
      <w:pPr>
        <w:ind w:left="1134" w:right="-330" w:hanging="1134"/>
        <w:rPr>
          <w:rFonts w:cs="Arial"/>
        </w:rPr>
      </w:pPr>
      <w:r w:rsidRPr="002B7BF2">
        <w:rPr>
          <w:rFonts w:cs="Arial"/>
          <w:b/>
          <w:bCs/>
        </w:rPr>
        <w:t>Issue 11</w:t>
      </w:r>
      <w:r w:rsidRPr="002B7BF2">
        <w:rPr>
          <w:rFonts w:cs="Arial"/>
        </w:rPr>
        <w:t>:</w:t>
      </w:r>
      <w:r w:rsidRPr="002B7BF2">
        <w:rPr>
          <w:rFonts w:cs="Arial"/>
        </w:rPr>
        <w:tab/>
      </w:r>
      <w:r w:rsidR="005B4F22">
        <w:rPr>
          <w:rFonts w:cs="Arial"/>
        </w:rPr>
        <w:t xml:space="preserve">Subclause </w:t>
      </w:r>
      <w:r w:rsidR="000A4ABC">
        <w:rPr>
          <w:rFonts w:cs="Arial"/>
        </w:rPr>
        <w:t>5(2)</w:t>
      </w:r>
      <w:r w:rsidR="005B4F22">
        <w:rPr>
          <w:rFonts w:cs="Arial"/>
        </w:rPr>
        <w:t xml:space="preserve"> provides an exemption </w:t>
      </w:r>
      <w:r w:rsidR="000A4ABC">
        <w:rPr>
          <w:rFonts w:cs="Arial"/>
        </w:rPr>
        <w:t xml:space="preserve">for outer packages </w:t>
      </w:r>
      <w:r w:rsidR="005B4F22">
        <w:rPr>
          <w:rFonts w:cs="Arial"/>
        </w:rPr>
        <w:t xml:space="preserve">from the </w:t>
      </w:r>
      <w:r w:rsidR="005B4F22" w:rsidRPr="002B7BF2">
        <w:rPr>
          <w:rFonts w:cs="Arial"/>
        </w:rPr>
        <w:t xml:space="preserve">labelling requirements prescribed in subclause 5(1), </w:t>
      </w:r>
      <w:r w:rsidR="000A4ABC">
        <w:rPr>
          <w:rFonts w:cs="Arial"/>
        </w:rPr>
        <w:t>when the information prescribed in Standard 1.2.2 is provided on the outer package</w:t>
      </w:r>
      <w:r w:rsidR="005B4F22">
        <w:rPr>
          <w:rFonts w:cs="Arial"/>
        </w:rPr>
        <w:t xml:space="preserve">. </w:t>
      </w:r>
      <w:r w:rsidR="000A4ABC">
        <w:rPr>
          <w:rFonts w:cs="Arial"/>
        </w:rPr>
        <w:t>However s</w:t>
      </w:r>
      <w:r w:rsidRPr="002B7BF2">
        <w:rPr>
          <w:rFonts w:cs="Arial"/>
        </w:rPr>
        <w:t xml:space="preserve">ubclause 6(2) allows supplier details </w:t>
      </w:r>
      <w:r w:rsidR="002A6933">
        <w:rPr>
          <w:rFonts w:cs="Arial"/>
        </w:rPr>
        <w:t xml:space="preserve">(required under Standard 1.2.2) </w:t>
      </w:r>
      <w:r w:rsidRPr="002B7BF2">
        <w:rPr>
          <w:rFonts w:cs="Arial"/>
        </w:rPr>
        <w:t xml:space="preserve">to be provided in accompanying documentation rather than on a label of food for catering purposes. It is unclear under subclause 5(2) whether supplier details are required on the outer package in order for an outer package to be exempt from the labelling requirements prescribed in subclause 5(1), or whether the exemption also applies if supplier details are provided in accompanying documentation as provided for under subclause 6(2). </w:t>
      </w:r>
    </w:p>
    <w:p w:rsidR="00A56F9F" w:rsidRPr="002B7BF2" w:rsidRDefault="00A56F9F" w:rsidP="00A56F9F">
      <w:pPr>
        <w:ind w:left="1134" w:hanging="1134"/>
        <w:rPr>
          <w:rFonts w:cs="Arial"/>
        </w:rPr>
      </w:pPr>
      <w:r w:rsidRPr="002B7BF2">
        <w:rPr>
          <w:rFonts w:cs="Arial"/>
          <w:b/>
          <w:bCs/>
        </w:rPr>
        <w:t>Solution</w:t>
      </w:r>
      <w:r w:rsidRPr="002B7BF2">
        <w:rPr>
          <w:rFonts w:cs="Arial"/>
        </w:rPr>
        <w:t>:</w:t>
      </w:r>
      <w:r w:rsidRPr="002B7BF2">
        <w:rPr>
          <w:rFonts w:cs="Arial"/>
        </w:rPr>
        <w:tab/>
        <w:t xml:space="preserve">Amend subclause 5(2) to reflect that the supplier details could be provided in accompanying documentation </w:t>
      </w:r>
      <w:r w:rsidR="001E3F1E">
        <w:rPr>
          <w:rFonts w:cs="Arial"/>
        </w:rPr>
        <w:t xml:space="preserve">(provided that the product name and lot identification are on the label of the outer package) </w:t>
      </w:r>
      <w:r w:rsidRPr="002B7BF2">
        <w:rPr>
          <w:rFonts w:cs="Arial"/>
        </w:rPr>
        <w:t xml:space="preserve">in order for the exemption </w:t>
      </w:r>
      <w:r w:rsidR="000A4ABC">
        <w:rPr>
          <w:rFonts w:cs="Arial"/>
        </w:rPr>
        <w:t xml:space="preserve">for outer packages </w:t>
      </w:r>
      <w:r w:rsidR="005B4F22" w:rsidRPr="002B7BF2">
        <w:rPr>
          <w:rFonts w:cs="Arial"/>
        </w:rPr>
        <w:t xml:space="preserve">from the </w:t>
      </w:r>
      <w:r w:rsidR="001E3F1E">
        <w:rPr>
          <w:rFonts w:cs="Arial"/>
        </w:rPr>
        <w:t xml:space="preserve">other </w:t>
      </w:r>
      <w:r w:rsidR="005B4F22" w:rsidRPr="002B7BF2">
        <w:rPr>
          <w:rFonts w:cs="Arial"/>
        </w:rPr>
        <w:t>labelling requirements prescribed in subclause 5(1)</w:t>
      </w:r>
      <w:r w:rsidR="005B4F22">
        <w:rPr>
          <w:rFonts w:cs="Arial"/>
        </w:rPr>
        <w:t xml:space="preserve"> </w:t>
      </w:r>
      <w:r w:rsidRPr="002B7BF2">
        <w:rPr>
          <w:rFonts w:cs="Arial"/>
        </w:rPr>
        <w:t xml:space="preserve">to apply. </w:t>
      </w:r>
    </w:p>
    <w:p w:rsidR="00A56F9F" w:rsidRPr="002B7BF2" w:rsidRDefault="00A56F9F" w:rsidP="00A56F9F">
      <w:pPr>
        <w:rPr>
          <w:rFonts w:cs="Arial"/>
        </w:rPr>
      </w:pPr>
    </w:p>
    <w:p w:rsidR="00A56F9F" w:rsidRPr="002B7BF2" w:rsidRDefault="00A56F9F" w:rsidP="00A56F9F">
      <w:pPr>
        <w:ind w:left="1134" w:hanging="1134"/>
      </w:pPr>
      <w:r w:rsidRPr="002B7BF2">
        <w:rPr>
          <w:b/>
          <w:bCs/>
        </w:rPr>
        <w:t>Location</w:t>
      </w:r>
      <w:r w:rsidRPr="002B7BF2">
        <w:t>:</w:t>
      </w:r>
      <w:r w:rsidRPr="002B7BF2">
        <w:tab/>
        <w:t>Subclause 6(4)</w:t>
      </w:r>
    </w:p>
    <w:p w:rsidR="00A56F9F" w:rsidRPr="002B7BF2" w:rsidRDefault="00A56F9F" w:rsidP="00A56F9F">
      <w:pPr>
        <w:ind w:left="1134" w:hanging="1134"/>
      </w:pPr>
      <w:r w:rsidRPr="002B7BF2">
        <w:rPr>
          <w:b/>
          <w:bCs/>
        </w:rPr>
        <w:t>Issue 12</w:t>
      </w:r>
      <w:r w:rsidRPr="002B7BF2">
        <w:t>:</w:t>
      </w:r>
      <w:r w:rsidRPr="002B7BF2">
        <w:tab/>
        <w:t xml:space="preserve">The comma after the word ‘purposes’ is not necessary. </w:t>
      </w:r>
    </w:p>
    <w:p w:rsidR="00A56F9F" w:rsidRPr="002B7BF2" w:rsidRDefault="00A56F9F" w:rsidP="00A56F9F">
      <w:pPr>
        <w:ind w:left="1134" w:hanging="1134"/>
      </w:pPr>
      <w:r w:rsidRPr="002B7BF2">
        <w:rPr>
          <w:b/>
          <w:bCs/>
        </w:rPr>
        <w:t>Solution</w:t>
      </w:r>
      <w:r w:rsidRPr="002B7BF2">
        <w:t>:</w:t>
      </w:r>
      <w:r w:rsidRPr="002B7BF2">
        <w:tab/>
        <w:t xml:space="preserve">Remove comma. </w:t>
      </w:r>
    </w:p>
    <w:p w:rsidR="00A56F9F" w:rsidRPr="001368FB" w:rsidRDefault="00A56F9F" w:rsidP="00A56F9F">
      <w:pPr>
        <w:rPr>
          <w:rFonts w:cs="Arial"/>
        </w:rPr>
      </w:pPr>
    </w:p>
    <w:p w:rsidR="00A56F9F" w:rsidRPr="001368FB" w:rsidRDefault="00A56F9F" w:rsidP="00A56F9F">
      <w:pPr>
        <w:rPr>
          <w:rFonts w:cs="Arial"/>
          <w:szCs w:val="22"/>
        </w:rPr>
      </w:pPr>
      <w:r w:rsidRPr="001368FB">
        <w:rPr>
          <w:rFonts w:cs="Arial"/>
          <w:b/>
          <w:bCs/>
          <w:szCs w:val="22"/>
        </w:rPr>
        <w:t>Location</w:t>
      </w:r>
      <w:r w:rsidRPr="001368FB">
        <w:rPr>
          <w:rFonts w:cs="Arial"/>
          <w:szCs w:val="22"/>
        </w:rPr>
        <w:t>:</w:t>
      </w:r>
      <w:r w:rsidRPr="001368FB">
        <w:rPr>
          <w:rFonts w:cs="Arial"/>
          <w:szCs w:val="22"/>
        </w:rPr>
        <w:tab/>
        <w:t>Table to clause 8, w</w:t>
      </w:r>
      <w:r w:rsidRPr="001368FB">
        <w:rPr>
          <w:rFonts w:cs="Arial"/>
          <w:bCs/>
          <w:szCs w:val="22"/>
        </w:rPr>
        <w:t>herever ‘and/or’ occurs.</w:t>
      </w:r>
    </w:p>
    <w:p w:rsidR="00A56F9F" w:rsidRPr="001368FB" w:rsidRDefault="00A56F9F" w:rsidP="00A56F9F">
      <w:pPr>
        <w:ind w:left="1134" w:hanging="1134"/>
        <w:rPr>
          <w:rFonts w:cs="Arial"/>
          <w:szCs w:val="22"/>
        </w:rPr>
      </w:pPr>
      <w:r w:rsidRPr="001368FB">
        <w:rPr>
          <w:rFonts w:cs="Arial"/>
          <w:b/>
          <w:bCs/>
          <w:szCs w:val="22"/>
        </w:rPr>
        <w:t>Issue 13</w:t>
      </w:r>
      <w:r w:rsidRPr="001368FB">
        <w:rPr>
          <w:rFonts w:cs="Arial"/>
          <w:szCs w:val="22"/>
        </w:rPr>
        <w:t>:</w:t>
      </w:r>
      <w:r w:rsidRPr="001368FB">
        <w:rPr>
          <w:rFonts w:cs="Arial"/>
          <w:szCs w:val="22"/>
        </w:rPr>
        <w:tab/>
        <w:t xml:space="preserve">OLDP recommendation to </w:t>
      </w:r>
      <w:r w:rsidRPr="001368FB">
        <w:rPr>
          <w:rFonts w:cs="Arial"/>
          <w:szCs w:val="22"/>
          <w:lang w:val="en-AU"/>
        </w:rPr>
        <w:t xml:space="preserve">clarify meaning of </w:t>
      </w:r>
      <w:r w:rsidRPr="001368FB">
        <w:rPr>
          <w:rFonts w:cs="Arial"/>
          <w:szCs w:val="22"/>
        </w:rPr>
        <w:t>‘and/or’</w:t>
      </w:r>
      <w:r w:rsidR="000723A4">
        <w:rPr>
          <w:rFonts w:cs="Arial"/>
          <w:szCs w:val="22"/>
        </w:rPr>
        <w:t>.</w:t>
      </w:r>
    </w:p>
    <w:p w:rsidR="00A56F9F" w:rsidRPr="001368FB" w:rsidRDefault="00A56F9F" w:rsidP="00A56F9F">
      <w:pPr>
        <w:ind w:left="1134" w:hanging="1134"/>
        <w:rPr>
          <w:rFonts w:cs="Arial"/>
          <w:szCs w:val="22"/>
        </w:rPr>
      </w:pPr>
      <w:r w:rsidRPr="001368FB">
        <w:rPr>
          <w:rFonts w:cs="Arial"/>
          <w:b/>
          <w:bCs/>
          <w:szCs w:val="22"/>
        </w:rPr>
        <w:t>Solution</w:t>
      </w:r>
      <w:r w:rsidRPr="001368FB">
        <w:rPr>
          <w:rFonts w:cs="Arial"/>
          <w:szCs w:val="22"/>
        </w:rPr>
        <w:t>:</w:t>
      </w:r>
      <w:r w:rsidRPr="001368FB">
        <w:rPr>
          <w:rFonts w:cs="Arial"/>
          <w:szCs w:val="22"/>
        </w:rPr>
        <w:tab/>
        <w:t>Redraft to remove the expression</w:t>
      </w:r>
      <w:r w:rsidR="000723A4">
        <w:rPr>
          <w:rFonts w:cs="Arial"/>
          <w:szCs w:val="22"/>
        </w:rPr>
        <w:t xml:space="preserve"> (replace with ‘or’)</w:t>
      </w:r>
      <w:r w:rsidRPr="001368FB">
        <w:rPr>
          <w:rFonts w:cs="Arial"/>
          <w:szCs w:val="22"/>
        </w:rPr>
        <w:t>.</w:t>
      </w:r>
    </w:p>
    <w:p w:rsidR="00A56F9F" w:rsidRPr="001368FB" w:rsidRDefault="00A56F9F" w:rsidP="00A56F9F">
      <w:pPr>
        <w:ind w:left="1134" w:hanging="1134"/>
        <w:rPr>
          <w:rFonts w:cs="Arial"/>
        </w:rPr>
      </w:pPr>
    </w:p>
    <w:p w:rsidR="00A56F9F" w:rsidRPr="002B7BF2" w:rsidRDefault="00A56F9F" w:rsidP="00A56F9F">
      <w:pPr>
        <w:pStyle w:val="Heading3"/>
      </w:pPr>
      <w:bookmarkStart w:id="43" w:name="_Toc280003199"/>
      <w:bookmarkStart w:id="44" w:name="_Toc290973022"/>
      <w:r w:rsidRPr="002B7BF2">
        <w:t>3.5</w:t>
      </w:r>
      <w:r w:rsidRPr="002B7BF2">
        <w:tab/>
        <w:t>Standard 1.2.3 – Mandatory Warning and Advisory Statements and Declarations</w:t>
      </w:r>
      <w:bookmarkEnd w:id="43"/>
      <w:bookmarkEnd w:id="44"/>
    </w:p>
    <w:p w:rsidR="00A56F9F" w:rsidRPr="002B7BF2" w:rsidRDefault="00A56F9F" w:rsidP="00A56F9F">
      <w:pPr>
        <w:rPr>
          <w:rFonts w:cs="Arial"/>
          <w:b/>
          <w:bCs/>
        </w:rPr>
      </w:pPr>
    </w:p>
    <w:p w:rsidR="00A56F9F" w:rsidRPr="002B7BF2" w:rsidRDefault="00A56F9F" w:rsidP="00A56F9F">
      <w:pPr>
        <w:rPr>
          <w:b/>
          <w:bCs/>
        </w:rPr>
      </w:pPr>
      <w:r w:rsidRPr="002B7BF2">
        <w:rPr>
          <w:b/>
          <w:bCs/>
        </w:rPr>
        <w:t>Location:</w:t>
      </w:r>
      <w:r w:rsidRPr="002B7BF2">
        <w:rPr>
          <w:b/>
          <w:bCs/>
        </w:rPr>
        <w:tab/>
      </w:r>
      <w:r w:rsidRPr="002B7BF2">
        <w:rPr>
          <w:bCs/>
        </w:rPr>
        <w:t>Purpose</w:t>
      </w:r>
    </w:p>
    <w:p w:rsidR="00A56F9F" w:rsidRPr="002B7BF2" w:rsidRDefault="00A56F9F" w:rsidP="00A56F9F">
      <w:pPr>
        <w:ind w:left="1134" w:hanging="1134"/>
        <w:rPr>
          <w:b/>
          <w:bCs/>
        </w:rPr>
      </w:pPr>
      <w:r w:rsidRPr="002B7BF2">
        <w:rPr>
          <w:b/>
          <w:bCs/>
        </w:rPr>
        <w:t>Issue 14:</w:t>
      </w:r>
      <w:r w:rsidRPr="002B7BF2">
        <w:rPr>
          <w:b/>
          <w:bCs/>
        </w:rPr>
        <w:tab/>
      </w:r>
      <w:r w:rsidRPr="002B7BF2">
        <w:rPr>
          <w:bCs/>
        </w:rPr>
        <w:t>The Standard includes a clause regarding a warning statement, however the Purpose does not make reference to this.</w:t>
      </w:r>
    </w:p>
    <w:p w:rsidR="00A56F9F" w:rsidRPr="002B7BF2" w:rsidRDefault="00A56F9F" w:rsidP="00A56F9F">
      <w:pPr>
        <w:rPr>
          <w:b/>
          <w:bCs/>
        </w:rPr>
      </w:pPr>
      <w:r w:rsidRPr="002B7BF2">
        <w:rPr>
          <w:b/>
          <w:bCs/>
        </w:rPr>
        <w:t>Solution:</w:t>
      </w:r>
      <w:r w:rsidRPr="002B7BF2">
        <w:rPr>
          <w:b/>
          <w:bCs/>
        </w:rPr>
        <w:tab/>
      </w:r>
      <w:r w:rsidRPr="002B7BF2">
        <w:rPr>
          <w:bCs/>
        </w:rPr>
        <w:t>Add to the Purpose that the Standard sets out mandatory warning statements.</w:t>
      </w:r>
      <w:r w:rsidRPr="002B7BF2">
        <w:rPr>
          <w:b/>
          <w:bCs/>
        </w:rPr>
        <w:t xml:space="preserve"> </w:t>
      </w:r>
    </w:p>
    <w:p w:rsidR="00A56F9F" w:rsidRPr="002B7BF2" w:rsidRDefault="00A56F9F" w:rsidP="00A56F9F">
      <w:pPr>
        <w:ind w:left="1134" w:hanging="1134"/>
        <w:rPr>
          <w:b/>
          <w:bCs/>
        </w:rPr>
      </w:pPr>
    </w:p>
    <w:p w:rsidR="00B335C7" w:rsidRDefault="00B335C7">
      <w:pPr>
        <w:widowControl/>
        <w:rPr>
          <w:b/>
          <w:bCs/>
        </w:rPr>
      </w:pPr>
      <w:r>
        <w:rPr>
          <w:b/>
          <w:bCs/>
        </w:rPr>
        <w:br w:type="page"/>
      </w:r>
    </w:p>
    <w:p w:rsidR="00A56F9F" w:rsidRPr="002B7BF2" w:rsidRDefault="00A56F9F" w:rsidP="00A56F9F">
      <w:pPr>
        <w:ind w:left="1134" w:hanging="1134"/>
      </w:pPr>
      <w:r w:rsidRPr="002B7BF2">
        <w:rPr>
          <w:b/>
          <w:bCs/>
        </w:rPr>
        <w:lastRenderedPageBreak/>
        <w:t>Location</w:t>
      </w:r>
      <w:r w:rsidRPr="002B7BF2">
        <w:t>:</w:t>
      </w:r>
      <w:r w:rsidRPr="002B7BF2">
        <w:tab/>
        <w:t>Clause 3 heading</w:t>
      </w:r>
    </w:p>
    <w:p w:rsidR="00A56F9F" w:rsidRPr="002B7BF2" w:rsidRDefault="00A56F9F" w:rsidP="00A56F9F">
      <w:pPr>
        <w:ind w:left="1134" w:hanging="1134"/>
      </w:pPr>
      <w:r w:rsidRPr="002B7BF2">
        <w:rPr>
          <w:b/>
          <w:bCs/>
        </w:rPr>
        <w:t>Issue 15</w:t>
      </w:r>
      <w:r w:rsidRPr="002B7BF2">
        <w:t>:</w:t>
      </w:r>
      <w:r w:rsidRPr="002B7BF2">
        <w:tab/>
        <w:t xml:space="preserve">The heading refers to ‘warning statements and declarations’ however the clause only includes requirements for warning statements.  </w:t>
      </w:r>
    </w:p>
    <w:p w:rsidR="00141317" w:rsidRDefault="00A56F9F" w:rsidP="00276806">
      <w:pPr>
        <w:ind w:left="1134" w:hanging="1134"/>
        <w:rPr>
          <w:rFonts w:cs="Arial"/>
          <w:b/>
          <w:bCs/>
        </w:rPr>
      </w:pPr>
      <w:r w:rsidRPr="002B7BF2">
        <w:rPr>
          <w:b/>
          <w:bCs/>
        </w:rPr>
        <w:t>Solution</w:t>
      </w:r>
      <w:r w:rsidRPr="002B7BF2">
        <w:t>:</w:t>
      </w:r>
      <w:r w:rsidRPr="002B7BF2">
        <w:tab/>
        <w:t xml:space="preserve">Remove ‘and declarations’ from the clause heading and update the Table of Provisions to reflect this amendment. </w:t>
      </w:r>
    </w:p>
    <w:p w:rsidR="00B335C7" w:rsidRDefault="00B335C7" w:rsidP="00A56F9F">
      <w:pPr>
        <w:rPr>
          <w:rFonts w:cs="Arial"/>
          <w:b/>
          <w:bCs/>
        </w:rPr>
      </w:pPr>
    </w:p>
    <w:p w:rsidR="00A56F9F" w:rsidRPr="002B7BF2" w:rsidRDefault="00A56F9F" w:rsidP="00A56F9F">
      <w:pPr>
        <w:rPr>
          <w:rFonts w:cs="Arial"/>
        </w:rPr>
      </w:pPr>
      <w:r w:rsidRPr="002B7BF2">
        <w:rPr>
          <w:rFonts w:cs="Arial"/>
          <w:b/>
          <w:bCs/>
        </w:rPr>
        <w:t>Location</w:t>
      </w:r>
      <w:r w:rsidRPr="002B7BF2">
        <w:rPr>
          <w:rFonts w:cs="Arial"/>
        </w:rPr>
        <w:t>:</w:t>
      </w:r>
      <w:r w:rsidRPr="002B7BF2">
        <w:rPr>
          <w:rFonts w:cs="Arial"/>
        </w:rPr>
        <w:tab/>
        <w:t>Subclause 3(2)</w:t>
      </w:r>
    </w:p>
    <w:p w:rsidR="00A56F9F" w:rsidRPr="002B7BF2" w:rsidRDefault="00A56F9F" w:rsidP="00A56F9F">
      <w:pPr>
        <w:ind w:left="1134" w:hanging="1134"/>
        <w:rPr>
          <w:rFonts w:cs="Arial"/>
        </w:rPr>
      </w:pPr>
      <w:r w:rsidRPr="002B7BF2">
        <w:rPr>
          <w:rFonts w:cs="Arial"/>
          <w:b/>
          <w:bCs/>
        </w:rPr>
        <w:t>Issue 16</w:t>
      </w:r>
      <w:r w:rsidRPr="002B7BF2">
        <w:rPr>
          <w:rFonts w:cs="Arial"/>
        </w:rPr>
        <w:t>:</w:t>
      </w:r>
      <w:r w:rsidRPr="002B7BF2">
        <w:rPr>
          <w:rFonts w:cs="Arial"/>
        </w:rPr>
        <w:tab/>
        <w:t xml:space="preserve">The subclause refers to ‘advisory statement’ but should refer to ‘warning statement’. </w:t>
      </w:r>
    </w:p>
    <w:p w:rsidR="00A56F9F" w:rsidRPr="002B7BF2" w:rsidRDefault="00A56F9F" w:rsidP="00A56F9F">
      <w:pPr>
        <w:rPr>
          <w:rFonts w:cs="Arial"/>
        </w:rPr>
      </w:pPr>
      <w:r w:rsidRPr="002B7BF2">
        <w:rPr>
          <w:rFonts w:cs="Arial"/>
          <w:b/>
          <w:bCs/>
        </w:rPr>
        <w:t>Solution</w:t>
      </w:r>
      <w:r w:rsidRPr="002B7BF2">
        <w:rPr>
          <w:rFonts w:cs="Arial"/>
        </w:rPr>
        <w:t>:</w:t>
      </w:r>
      <w:r w:rsidRPr="002B7BF2">
        <w:rPr>
          <w:rFonts w:cs="Arial"/>
        </w:rPr>
        <w:tab/>
        <w:t xml:space="preserve">Replace ‘advisory statement’ with ‘warning statement’. </w:t>
      </w:r>
    </w:p>
    <w:p w:rsidR="00A56F9F" w:rsidRPr="002B7BF2" w:rsidRDefault="00A56F9F" w:rsidP="00A56F9F">
      <w:pPr>
        <w:rPr>
          <w:rFonts w:cs="Arial"/>
          <w:b/>
          <w:bCs/>
        </w:rPr>
      </w:pPr>
    </w:p>
    <w:p w:rsidR="00A56F9F" w:rsidRPr="002B7BF2" w:rsidRDefault="00A56F9F" w:rsidP="00A56F9F">
      <w:pPr>
        <w:rPr>
          <w:rFonts w:cs="Arial"/>
        </w:rPr>
      </w:pPr>
      <w:r w:rsidRPr="002B7BF2">
        <w:rPr>
          <w:rFonts w:cs="Arial"/>
          <w:b/>
          <w:bCs/>
        </w:rPr>
        <w:t>Location</w:t>
      </w:r>
      <w:r w:rsidRPr="002B7BF2">
        <w:rPr>
          <w:rFonts w:cs="Arial"/>
        </w:rPr>
        <w:t>:</w:t>
      </w:r>
      <w:r w:rsidRPr="002B7BF2">
        <w:rPr>
          <w:rFonts w:cs="Arial"/>
        </w:rPr>
        <w:tab/>
        <w:t>Table to clause 4</w:t>
      </w:r>
    </w:p>
    <w:p w:rsidR="00A56F9F" w:rsidRPr="002B7BF2" w:rsidRDefault="00A56F9F" w:rsidP="00A56F9F">
      <w:pPr>
        <w:ind w:left="1134" w:hanging="1134"/>
        <w:rPr>
          <w:rFonts w:cs="Arial"/>
        </w:rPr>
      </w:pPr>
      <w:r w:rsidRPr="002B7BF2">
        <w:rPr>
          <w:rFonts w:cs="Arial"/>
          <w:b/>
          <w:bCs/>
        </w:rPr>
        <w:t>Issue 17</w:t>
      </w:r>
      <w:r w:rsidRPr="002B7BF2">
        <w:rPr>
          <w:rFonts w:cs="Arial"/>
        </w:rPr>
        <w:t>:</w:t>
      </w:r>
      <w:r w:rsidRPr="002B7BF2">
        <w:rPr>
          <w:rFonts w:cs="Arial"/>
        </w:rPr>
        <w:tab/>
        <w:t>The entry for Fish and fish products ends with a full stop (other entries do not have full stops).</w:t>
      </w:r>
    </w:p>
    <w:p w:rsidR="00A56F9F" w:rsidRPr="002B7BF2" w:rsidRDefault="00A56F9F" w:rsidP="00A56F9F">
      <w:pPr>
        <w:rPr>
          <w:rFonts w:cs="Arial"/>
        </w:rPr>
      </w:pPr>
      <w:r w:rsidRPr="002B7BF2">
        <w:rPr>
          <w:rFonts w:cs="Arial"/>
          <w:b/>
          <w:bCs/>
        </w:rPr>
        <w:t>Solution</w:t>
      </w:r>
      <w:r w:rsidRPr="002B7BF2">
        <w:rPr>
          <w:rFonts w:cs="Arial"/>
        </w:rPr>
        <w:t>:</w:t>
      </w:r>
      <w:r w:rsidRPr="002B7BF2">
        <w:rPr>
          <w:rFonts w:cs="Arial"/>
        </w:rPr>
        <w:tab/>
        <w:t>Remove full stop.</w:t>
      </w:r>
    </w:p>
    <w:p w:rsidR="00A56F9F" w:rsidRPr="002B7BF2" w:rsidRDefault="00A56F9F" w:rsidP="00A56F9F">
      <w:pPr>
        <w:rPr>
          <w:rFonts w:cs="Arial"/>
          <w:b/>
          <w:bCs/>
        </w:rPr>
      </w:pPr>
    </w:p>
    <w:p w:rsidR="00A56F9F" w:rsidRPr="0091567F" w:rsidRDefault="00A56F9F" w:rsidP="00A56F9F">
      <w:pPr>
        <w:rPr>
          <w:rFonts w:cs="Arial"/>
        </w:rPr>
      </w:pPr>
      <w:r w:rsidRPr="0091567F">
        <w:rPr>
          <w:rFonts w:cs="Arial"/>
          <w:b/>
          <w:bCs/>
        </w:rPr>
        <w:t>Location</w:t>
      </w:r>
      <w:r w:rsidRPr="0091567F">
        <w:rPr>
          <w:rFonts w:cs="Arial"/>
        </w:rPr>
        <w:t>:</w:t>
      </w:r>
      <w:r w:rsidRPr="0091567F">
        <w:rPr>
          <w:rFonts w:cs="Arial"/>
        </w:rPr>
        <w:tab/>
        <w:t>Table to clause 4</w:t>
      </w:r>
    </w:p>
    <w:p w:rsidR="00A56F9F" w:rsidRPr="0091567F" w:rsidRDefault="00A56F9F" w:rsidP="00A56F9F">
      <w:pPr>
        <w:ind w:left="1134" w:hanging="1134"/>
        <w:rPr>
          <w:rFonts w:cs="Arial"/>
        </w:rPr>
      </w:pPr>
      <w:r w:rsidRPr="0091567F">
        <w:rPr>
          <w:rFonts w:cs="Arial"/>
          <w:b/>
          <w:bCs/>
        </w:rPr>
        <w:t>Issue 18</w:t>
      </w:r>
      <w:r w:rsidRPr="0091567F">
        <w:rPr>
          <w:rFonts w:cs="Arial"/>
        </w:rPr>
        <w:t>:</w:t>
      </w:r>
      <w:r w:rsidRPr="0091567F">
        <w:rPr>
          <w:rFonts w:cs="Arial"/>
        </w:rPr>
        <w:tab/>
        <w:t>The ter</w:t>
      </w:r>
      <w:r w:rsidR="00AD5297">
        <w:rPr>
          <w:rFonts w:cs="Arial"/>
        </w:rPr>
        <w:t>ms ‘tree nuts and sesame seeds’ and</w:t>
      </w:r>
      <w:r w:rsidRPr="0091567F">
        <w:rPr>
          <w:rFonts w:cs="Arial"/>
        </w:rPr>
        <w:t xml:space="preserve"> ‘peanuts and soybeans’ are combined entries which may cause confusion. In addition, these foods are unrelated in terms of allergy e.g. many people with a tree nut allergy can safely consume sesame seeds. </w:t>
      </w:r>
    </w:p>
    <w:p w:rsidR="00A56F9F" w:rsidRPr="0091567F" w:rsidRDefault="00A56F9F" w:rsidP="00A56F9F">
      <w:pPr>
        <w:widowControl/>
        <w:rPr>
          <w:rFonts w:cs="Arial"/>
        </w:rPr>
      </w:pPr>
      <w:r w:rsidRPr="0091567F">
        <w:rPr>
          <w:rFonts w:cs="Arial"/>
          <w:b/>
          <w:bCs/>
        </w:rPr>
        <w:t>Solution</w:t>
      </w:r>
      <w:r w:rsidRPr="0091567F">
        <w:rPr>
          <w:rFonts w:cs="Arial"/>
        </w:rPr>
        <w:t>:</w:t>
      </w:r>
      <w:r w:rsidRPr="0091567F">
        <w:rPr>
          <w:rFonts w:cs="Arial"/>
        </w:rPr>
        <w:tab/>
        <w:t xml:space="preserve">Provide separate entries for each of the above foods. </w:t>
      </w:r>
    </w:p>
    <w:p w:rsidR="0091567F" w:rsidRPr="0091567F" w:rsidRDefault="0091567F" w:rsidP="00A56F9F">
      <w:pPr>
        <w:widowControl/>
        <w:rPr>
          <w:rFonts w:cs="Arial"/>
        </w:rPr>
      </w:pPr>
    </w:p>
    <w:p w:rsidR="00A56F9F" w:rsidRPr="0091567F" w:rsidRDefault="00A56F9F" w:rsidP="00A56F9F">
      <w:pPr>
        <w:pStyle w:val="Heading3"/>
      </w:pPr>
      <w:bookmarkStart w:id="45" w:name="_Toc280003200"/>
      <w:bookmarkStart w:id="46" w:name="_Toc290973023"/>
      <w:r w:rsidRPr="0091567F">
        <w:t>3.6</w:t>
      </w:r>
      <w:r w:rsidRPr="0091567F">
        <w:tab/>
        <w:t>Standard 1.2.4 – Labelling of Ingredients</w:t>
      </w:r>
      <w:bookmarkEnd w:id="45"/>
      <w:bookmarkEnd w:id="46"/>
    </w:p>
    <w:p w:rsidR="00A56F9F" w:rsidRPr="0091567F" w:rsidRDefault="00A56F9F" w:rsidP="00A56F9F"/>
    <w:p w:rsidR="00A56F9F" w:rsidRPr="0091567F" w:rsidRDefault="00A56F9F" w:rsidP="00A56F9F">
      <w:r w:rsidRPr="0091567F">
        <w:rPr>
          <w:b/>
          <w:bCs/>
        </w:rPr>
        <w:t>Location</w:t>
      </w:r>
      <w:r w:rsidRPr="0091567F">
        <w:t>:</w:t>
      </w:r>
      <w:r w:rsidRPr="0091567F">
        <w:tab/>
        <w:t>Paragraph 2 (d)</w:t>
      </w:r>
    </w:p>
    <w:p w:rsidR="009F4714" w:rsidRDefault="00A56F9F" w:rsidP="009F4714">
      <w:pPr>
        <w:ind w:left="1134" w:hanging="1134"/>
      </w:pPr>
      <w:r w:rsidRPr="0091567F">
        <w:rPr>
          <w:b/>
          <w:bCs/>
        </w:rPr>
        <w:t>Issue 19</w:t>
      </w:r>
      <w:r w:rsidRPr="0091567F">
        <w:t>:</w:t>
      </w:r>
      <w:r w:rsidRPr="0091567F">
        <w:tab/>
      </w:r>
      <w:r w:rsidR="009F4714">
        <w:t xml:space="preserve">The exemption from the requirement to label with a statement of ingredients for liquid milk and milk products and cream and cream products sold in glass bottles with no label other than that on the foil cap is now redundant. This is because other labelling requirements currently apply to these products, such as supplier name and address and a nutrition information panel (no exemption for these products was sought when these requirements were introduced). These other labelling requirements mean that there will be no glass bottles with ‘no other label other than that on the foil cap’ so the exemption will never apply. </w:t>
      </w:r>
    </w:p>
    <w:p w:rsidR="00A56F9F" w:rsidRPr="0091567F" w:rsidRDefault="00A56F9F" w:rsidP="009F4714">
      <w:pPr>
        <w:ind w:left="1134" w:hanging="1134"/>
      </w:pPr>
      <w:r w:rsidRPr="0091567F">
        <w:rPr>
          <w:b/>
          <w:bCs/>
        </w:rPr>
        <w:t>Solution</w:t>
      </w:r>
      <w:r w:rsidRPr="0091567F">
        <w:t>:</w:t>
      </w:r>
      <w:r w:rsidRPr="0091567F">
        <w:tab/>
        <w:t xml:space="preserve">Remove exemption. </w:t>
      </w:r>
    </w:p>
    <w:p w:rsidR="00A56F9F" w:rsidRPr="001368FB" w:rsidRDefault="00A56F9F" w:rsidP="00A56F9F"/>
    <w:p w:rsidR="00A56F9F" w:rsidRPr="001368FB" w:rsidRDefault="00A56F9F" w:rsidP="00A56F9F">
      <w:pPr>
        <w:rPr>
          <w:rFonts w:cs="Arial"/>
          <w:szCs w:val="22"/>
        </w:rPr>
      </w:pPr>
      <w:r w:rsidRPr="001368FB">
        <w:rPr>
          <w:rFonts w:cs="Arial"/>
          <w:b/>
          <w:bCs/>
          <w:szCs w:val="22"/>
        </w:rPr>
        <w:t>Location</w:t>
      </w:r>
      <w:r w:rsidRPr="001368FB">
        <w:rPr>
          <w:rFonts w:cs="Arial"/>
          <w:szCs w:val="22"/>
        </w:rPr>
        <w:t>:</w:t>
      </w:r>
      <w:r w:rsidRPr="001368FB">
        <w:rPr>
          <w:rFonts w:cs="Arial"/>
          <w:szCs w:val="22"/>
        </w:rPr>
        <w:tab/>
        <w:t>Entry for milk solids in Table to clause 4</w:t>
      </w:r>
    </w:p>
    <w:p w:rsidR="00A56F9F" w:rsidRPr="001368FB" w:rsidRDefault="00A56F9F" w:rsidP="00A56F9F">
      <w:pPr>
        <w:ind w:left="1134" w:hanging="1134"/>
        <w:rPr>
          <w:rFonts w:cs="Arial"/>
          <w:szCs w:val="22"/>
        </w:rPr>
      </w:pPr>
      <w:r w:rsidRPr="001368FB">
        <w:rPr>
          <w:rFonts w:cs="Arial"/>
          <w:b/>
          <w:bCs/>
          <w:szCs w:val="22"/>
        </w:rPr>
        <w:t>Issue 20</w:t>
      </w:r>
      <w:r w:rsidRPr="001368FB">
        <w:rPr>
          <w:rFonts w:cs="Arial"/>
          <w:szCs w:val="22"/>
        </w:rPr>
        <w:t>:</w:t>
      </w:r>
      <w:r w:rsidRPr="001368FB">
        <w:rPr>
          <w:rFonts w:cs="Arial"/>
          <w:szCs w:val="22"/>
        </w:rPr>
        <w:tab/>
        <w:t xml:space="preserve">OLDP recommendation to </w:t>
      </w:r>
      <w:r w:rsidRPr="001368FB">
        <w:rPr>
          <w:rFonts w:cs="Arial"/>
          <w:szCs w:val="22"/>
          <w:lang w:val="en-AU"/>
        </w:rPr>
        <w:t xml:space="preserve">clarify meaning of </w:t>
      </w:r>
      <w:r w:rsidRPr="001368FB">
        <w:rPr>
          <w:rFonts w:cs="Arial"/>
          <w:szCs w:val="22"/>
        </w:rPr>
        <w:t>‘and/or’</w:t>
      </w:r>
      <w:r w:rsidR="00AD5297">
        <w:rPr>
          <w:rFonts w:cs="Arial"/>
          <w:szCs w:val="22"/>
        </w:rPr>
        <w:t>.</w:t>
      </w:r>
    </w:p>
    <w:p w:rsidR="00A56F9F" w:rsidRPr="001368FB" w:rsidRDefault="00A56F9F" w:rsidP="00A56F9F">
      <w:pPr>
        <w:ind w:left="1134" w:hanging="1134"/>
        <w:rPr>
          <w:rFonts w:cs="Arial"/>
          <w:szCs w:val="22"/>
        </w:rPr>
      </w:pPr>
      <w:r w:rsidRPr="001368FB">
        <w:rPr>
          <w:rFonts w:cs="Arial"/>
          <w:b/>
          <w:bCs/>
          <w:szCs w:val="22"/>
        </w:rPr>
        <w:t>Solution</w:t>
      </w:r>
      <w:r w:rsidRPr="001368FB">
        <w:rPr>
          <w:rFonts w:cs="Arial"/>
          <w:szCs w:val="22"/>
        </w:rPr>
        <w:t>:</w:t>
      </w:r>
      <w:r w:rsidRPr="001368FB">
        <w:rPr>
          <w:rFonts w:cs="Arial"/>
          <w:szCs w:val="22"/>
        </w:rPr>
        <w:tab/>
        <w:t>Redraft to remove the expression</w:t>
      </w:r>
      <w:r w:rsidR="00F374F4">
        <w:rPr>
          <w:rFonts w:cs="Arial"/>
          <w:szCs w:val="22"/>
        </w:rPr>
        <w:t xml:space="preserve"> (replace with ‘or’)</w:t>
      </w:r>
      <w:r w:rsidRPr="001368FB">
        <w:rPr>
          <w:rFonts w:cs="Arial"/>
          <w:szCs w:val="22"/>
        </w:rPr>
        <w:t xml:space="preserve">. </w:t>
      </w:r>
    </w:p>
    <w:p w:rsidR="00A56F9F" w:rsidRPr="001368FB" w:rsidRDefault="00A56F9F" w:rsidP="00A56F9F"/>
    <w:p w:rsidR="00A56F9F" w:rsidRPr="001368FB" w:rsidRDefault="00A56F9F" w:rsidP="00A56F9F">
      <w:pPr>
        <w:rPr>
          <w:rFonts w:cs="Arial"/>
          <w:szCs w:val="22"/>
        </w:rPr>
      </w:pPr>
      <w:r w:rsidRPr="001368FB">
        <w:rPr>
          <w:rFonts w:cs="Arial"/>
          <w:b/>
          <w:bCs/>
          <w:szCs w:val="22"/>
        </w:rPr>
        <w:t>Location</w:t>
      </w:r>
      <w:r w:rsidRPr="001368FB">
        <w:rPr>
          <w:rFonts w:cs="Arial"/>
          <w:szCs w:val="22"/>
        </w:rPr>
        <w:t>:</w:t>
      </w:r>
      <w:r w:rsidRPr="001368FB">
        <w:rPr>
          <w:rFonts w:cs="Arial"/>
          <w:szCs w:val="22"/>
        </w:rPr>
        <w:tab/>
        <w:t>Clause 5, wherever ‘and/or’ appears</w:t>
      </w:r>
    </w:p>
    <w:p w:rsidR="00A56F9F" w:rsidRPr="001368FB" w:rsidRDefault="00A56F9F" w:rsidP="00A56F9F">
      <w:pPr>
        <w:ind w:left="1134" w:hanging="1134"/>
        <w:rPr>
          <w:rFonts w:cs="Arial"/>
          <w:szCs w:val="22"/>
        </w:rPr>
      </w:pPr>
      <w:r w:rsidRPr="001368FB">
        <w:rPr>
          <w:rFonts w:cs="Arial"/>
          <w:b/>
          <w:bCs/>
          <w:szCs w:val="22"/>
        </w:rPr>
        <w:t>Issue 21</w:t>
      </w:r>
      <w:r w:rsidRPr="001368FB">
        <w:rPr>
          <w:rFonts w:cs="Arial"/>
          <w:szCs w:val="22"/>
        </w:rPr>
        <w:t>:</w:t>
      </w:r>
      <w:r w:rsidRPr="001368FB">
        <w:rPr>
          <w:rFonts w:cs="Arial"/>
          <w:szCs w:val="22"/>
        </w:rPr>
        <w:tab/>
        <w:t xml:space="preserve">OLDP recommendation to </w:t>
      </w:r>
      <w:r w:rsidRPr="001368FB">
        <w:rPr>
          <w:rFonts w:cs="Arial"/>
          <w:szCs w:val="22"/>
          <w:lang w:val="en-AU"/>
        </w:rPr>
        <w:t xml:space="preserve">clarify meaning of </w:t>
      </w:r>
      <w:r w:rsidRPr="001368FB">
        <w:rPr>
          <w:rFonts w:cs="Arial"/>
          <w:szCs w:val="22"/>
        </w:rPr>
        <w:t>‘and/or’</w:t>
      </w:r>
      <w:r w:rsidR="000B6035" w:rsidRPr="001368FB">
        <w:rPr>
          <w:rFonts w:cs="Arial"/>
          <w:szCs w:val="22"/>
        </w:rPr>
        <w:t>.</w:t>
      </w:r>
    </w:p>
    <w:p w:rsidR="00A56F9F" w:rsidRPr="001368FB" w:rsidRDefault="00A56F9F" w:rsidP="00A56F9F">
      <w:pPr>
        <w:ind w:left="1134" w:hanging="1134"/>
        <w:rPr>
          <w:rFonts w:cs="Arial"/>
          <w:szCs w:val="22"/>
        </w:rPr>
      </w:pPr>
      <w:r w:rsidRPr="001368FB">
        <w:rPr>
          <w:rFonts w:cs="Arial"/>
          <w:b/>
          <w:bCs/>
          <w:szCs w:val="22"/>
        </w:rPr>
        <w:t>Solution</w:t>
      </w:r>
      <w:r w:rsidRPr="001368FB">
        <w:rPr>
          <w:rFonts w:cs="Arial"/>
          <w:szCs w:val="22"/>
        </w:rPr>
        <w:t>:</w:t>
      </w:r>
      <w:r w:rsidRPr="001368FB">
        <w:rPr>
          <w:rFonts w:cs="Arial"/>
          <w:szCs w:val="22"/>
        </w:rPr>
        <w:tab/>
        <w:t>Redraft to remove the expression</w:t>
      </w:r>
      <w:r w:rsidR="00F374F4">
        <w:rPr>
          <w:rFonts w:cs="Arial"/>
          <w:szCs w:val="22"/>
        </w:rPr>
        <w:t xml:space="preserve"> (replace with ‘or’)</w:t>
      </w:r>
      <w:r w:rsidRPr="001368FB">
        <w:rPr>
          <w:rFonts w:cs="Arial"/>
          <w:szCs w:val="22"/>
        </w:rPr>
        <w:t>.</w:t>
      </w:r>
    </w:p>
    <w:p w:rsidR="00A56F9F" w:rsidRPr="001368FB" w:rsidRDefault="00A56F9F" w:rsidP="00A56F9F">
      <w:pPr>
        <w:ind w:left="1134" w:hanging="1134"/>
      </w:pPr>
    </w:p>
    <w:p w:rsidR="00A56F9F" w:rsidRPr="007816F0" w:rsidRDefault="00A56F9F" w:rsidP="00A56F9F">
      <w:pPr>
        <w:ind w:left="1134" w:hanging="1134"/>
      </w:pPr>
      <w:r w:rsidRPr="007816F0">
        <w:rPr>
          <w:b/>
          <w:bCs/>
        </w:rPr>
        <w:t>Location</w:t>
      </w:r>
      <w:r w:rsidRPr="007816F0">
        <w:t>:</w:t>
      </w:r>
      <w:r w:rsidRPr="007816F0">
        <w:tab/>
        <w:t>Clause 6</w:t>
      </w:r>
    </w:p>
    <w:p w:rsidR="00A56F9F" w:rsidRPr="007816F0" w:rsidRDefault="00A56F9F" w:rsidP="00A56F9F">
      <w:pPr>
        <w:ind w:left="1134" w:hanging="1134"/>
        <w:rPr>
          <w:bCs/>
        </w:rPr>
      </w:pPr>
      <w:r w:rsidRPr="007816F0">
        <w:rPr>
          <w:b/>
          <w:bCs/>
        </w:rPr>
        <w:t>Issue 22</w:t>
      </w:r>
      <w:r w:rsidRPr="007816F0">
        <w:t>:</w:t>
      </w:r>
      <w:r w:rsidRPr="007816F0">
        <w:tab/>
        <w:t>Subc</w:t>
      </w:r>
      <w:r w:rsidRPr="007816F0">
        <w:rPr>
          <w:bCs/>
        </w:rPr>
        <w:t xml:space="preserve">lause 6(2) as written could be interpreted to mean that compound ingredients must be declared as ‘Name (ingredient 1, ingredient 2, etc)’, however subclause 6(1) clearly states there are two options. </w:t>
      </w:r>
    </w:p>
    <w:p w:rsidR="00A56F9F" w:rsidRPr="007816F0" w:rsidRDefault="00A56F9F" w:rsidP="00A56F9F">
      <w:pPr>
        <w:tabs>
          <w:tab w:val="left" w:pos="1418"/>
        </w:tabs>
        <w:ind w:left="1134" w:hanging="1134"/>
      </w:pPr>
      <w:r w:rsidRPr="007816F0">
        <w:rPr>
          <w:b/>
          <w:bCs/>
        </w:rPr>
        <w:t>Solution</w:t>
      </w:r>
      <w:r w:rsidRPr="007816F0">
        <w:t>:</w:t>
      </w:r>
      <w:r w:rsidRPr="007816F0">
        <w:tab/>
        <w:t xml:space="preserve">Redraft clause 6 to clearly indicate the two options for declaring compound ingredients in foods (except for food standardised in Standard 2.9.2 and foods containing alcoholic beverages standardised in Standards 2.7.2 to 2.7.5). </w:t>
      </w:r>
    </w:p>
    <w:p w:rsidR="00A56F9F" w:rsidRPr="007816F0" w:rsidRDefault="00A56F9F" w:rsidP="00A56F9F"/>
    <w:p w:rsidR="00B335C7" w:rsidRDefault="00B335C7">
      <w:pPr>
        <w:widowControl/>
        <w:rPr>
          <w:b/>
          <w:bCs/>
        </w:rPr>
      </w:pPr>
      <w:r>
        <w:rPr>
          <w:b/>
          <w:bCs/>
        </w:rPr>
        <w:br w:type="page"/>
      </w:r>
    </w:p>
    <w:p w:rsidR="00A56F9F" w:rsidRPr="003666E9" w:rsidRDefault="00A56F9F" w:rsidP="00A56F9F">
      <w:pPr>
        <w:tabs>
          <w:tab w:val="left" w:pos="1134"/>
        </w:tabs>
        <w:ind w:left="993" w:hanging="993"/>
      </w:pPr>
      <w:r w:rsidRPr="003666E9">
        <w:rPr>
          <w:b/>
          <w:bCs/>
        </w:rPr>
        <w:lastRenderedPageBreak/>
        <w:t>Location</w:t>
      </w:r>
      <w:r w:rsidRPr="003666E9">
        <w:t>:</w:t>
      </w:r>
      <w:r w:rsidRPr="003666E9">
        <w:tab/>
      </w:r>
      <w:r w:rsidRPr="003666E9">
        <w:tab/>
        <w:t>Subclauses 8(2), 8(4) and 8(5)</w:t>
      </w:r>
    </w:p>
    <w:p w:rsidR="00A56F9F" w:rsidRPr="003666E9" w:rsidRDefault="00A56F9F" w:rsidP="00A56F9F">
      <w:pPr>
        <w:ind w:left="1134" w:hanging="1134"/>
        <w:rPr>
          <w:bCs/>
        </w:rPr>
      </w:pPr>
      <w:r w:rsidRPr="003666E9">
        <w:rPr>
          <w:b/>
          <w:bCs/>
        </w:rPr>
        <w:t>Issue 23</w:t>
      </w:r>
      <w:r w:rsidRPr="003666E9">
        <w:t>:</w:t>
      </w:r>
      <w:r w:rsidRPr="003666E9">
        <w:tab/>
      </w:r>
      <w:r w:rsidRPr="003666E9">
        <w:rPr>
          <w:bCs/>
        </w:rPr>
        <w:t xml:space="preserve">It is not clear that the food additive class name used in the ingredient list should relate to the technological function of the food additive performed in the food, not what technological function the food additive is capable of. </w:t>
      </w:r>
    </w:p>
    <w:p w:rsidR="00A56F9F" w:rsidRPr="003666E9" w:rsidRDefault="00A56F9F" w:rsidP="00A56F9F">
      <w:pPr>
        <w:ind w:left="1134" w:hanging="1134"/>
      </w:pPr>
      <w:r w:rsidRPr="003666E9">
        <w:rPr>
          <w:b/>
          <w:bCs/>
        </w:rPr>
        <w:tab/>
      </w:r>
      <w:r w:rsidRPr="003666E9">
        <w:rPr>
          <w:bCs/>
        </w:rPr>
        <w:t>It is not clear in clause 8 that the names in Schedule 2 are prescribed names</w:t>
      </w:r>
      <w:r w:rsidRPr="003666E9">
        <w:t xml:space="preserve">. </w:t>
      </w:r>
    </w:p>
    <w:p w:rsidR="003666E9" w:rsidRPr="003666E9" w:rsidRDefault="003666E9" w:rsidP="00A56F9F">
      <w:pPr>
        <w:ind w:left="1134" w:hanging="1134"/>
      </w:pPr>
      <w:r w:rsidRPr="003666E9">
        <w:rPr>
          <w:b/>
          <w:bCs/>
        </w:rPr>
        <w:t>Solution proposed in Assessment Report:</w:t>
      </w:r>
      <w:r w:rsidRPr="003666E9">
        <w:rPr>
          <w:bCs/>
        </w:rPr>
        <w:t xml:space="preserve"> Amend clause 8 to clarify that the food additive class name used in the statement of ingredients must describe the primary technological function of that food additive in the food and to clarify that the names in Schedule 2 are prescribed names.</w:t>
      </w:r>
    </w:p>
    <w:p w:rsidR="00681320" w:rsidRPr="003666E9" w:rsidRDefault="00391F3A" w:rsidP="00391F3A">
      <w:pPr>
        <w:ind w:left="1134" w:hanging="1134"/>
        <w:rPr>
          <w:rFonts w:cs="Arial"/>
          <w:bCs/>
          <w:szCs w:val="22"/>
        </w:rPr>
      </w:pPr>
      <w:r w:rsidRPr="003666E9">
        <w:rPr>
          <w:rFonts w:cs="Arial"/>
          <w:b/>
          <w:bCs/>
          <w:szCs w:val="22"/>
        </w:rPr>
        <w:t xml:space="preserve">Submitter comments and FSANZ response: </w:t>
      </w:r>
      <w:r w:rsidRPr="003666E9">
        <w:rPr>
          <w:rFonts w:cs="Arial"/>
          <w:bCs/>
          <w:szCs w:val="22"/>
        </w:rPr>
        <w:t xml:space="preserve">There was concern that </w:t>
      </w:r>
      <w:r w:rsidR="00681320" w:rsidRPr="003666E9">
        <w:rPr>
          <w:rFonts w:cs="Arial"/>
          <w:bCs/>
          <w:szCs w:val="22"/>
        </w:rPr>
        <w:t xml:space="preserve">the amendment relating to the technological function of the food additive would prohibit class names that were not strictly functions, from being used on a food label. </w:t>
      </w:r>
    </w:p>
    <w:p w:rsidR="00391F3A" w:rsidRDefault="00681320" w:rsidP="00391F3A">
      <w:pPr>
        <w:ind w:left="1134" w:hanging="1134"/>
        <w:rPr>
          <w:rFonts w:cs="Arial"/>
          <w:bCs/>
          <w:szCs w:val="22"/>
        </w:rPr>
      </w:pPr>
      <w:r w:rsidRPr="003666E9">
        <w:rPr>
          <w:rFonts w:cs="Arial"/>
          <w:b/>
          <w:bCs/>
          <w:szCs w:val="22"/>
        </w:rPr>
        <w:tab/>
      </w:r>
      <w:r w:rsidR="00391F3A" w:rsidRPr="003666E9">
        <w:rPr>
          <w:rFonts w:cs="Arial"/>
          <w:bCs/>
          <w:szCs w:val="22"/>
        </w:rPr>
        <w:t xml:space="preserve">While technical clarity was intended, </w:t>
      </w:r>
      <w:r w:rsidRPr="003666E9">
        <w:rPr>
          <w:rFonts w:cs="Arial"/>
          <w:bCs/>
          <w:szCs w:val="22"/>
        </w:rPr>
        <w:t xml:space="preserve">FSANZ </w:t>
      </w:r>
      <w:r w:rsidR="00276806">
        <w:rPr>
          <w:rFonts w:cs="Arial"/>
          <w:bCs/>
          <w:szCs w:val="22"/>
        </w:rPr>
        <w:t>has not made</w:t>
      </w:r>
      <w:r w:rsidR="003666E9">
        <w:rPr>
          <w:rFonts w:cs="Arial"/>
          <w:bCs/>
          <w:szCs w:val="22"/>
        </w:rPr>
        <w:t xml:space="preserve"> the proposed amendment</w:t>
      </w:r>
      <w:r w:rsidR="00391F3A" w:rsidRPr="003666E9">
        <w:rPr>
          <w:rFonts w:cs="Arial"/>
          <w:bCs/>
          <w:szCs w:val="22"/>
        </w:rPr>
        <w:t xml:space="preserve"> because not all </w:t>
      </w:r>
      <w:r w:rsidR="001F048C" w:rsidRPr="003666E9">
        <w:rPr>
          <w:rFonts w:cs="Arial"/>
          <w:bCs/>
          <w:szCs w:val="22"/>
        </w:rPr>
        <w:t xml:space="preserve">of </w:t>
      </w:r>
      <w:r w:rsidR="00391F3A" w:rsidRPr="003666E9">
        <w:rPr>
          <w:rFonts w:cs="Arial"/>
          <w:bCs/>
          <w:szCs w:val="22"/>
        </w:rPr>
        <w:t>the class names in Schedule 1 of Standard 1.2.4 are technological functions</w:t>
      </w:r>
      <w:r w:rsidR="00DB5969">
        <w:rPr>
          <w:rFonts w:cs="Arial"/>
          <w:bCs/>
          <w:szCs w:val="22"/>
        </w:rPr>
        <w:t>, e.g. Vegetable Gum</w:t>
      </w:r>
      <w:r w:rsidR="00391F3A" w:rsidRPr="003666E9">
        <w:rPr>
          <w:rFonts w:cs="Arial"/>
          <w:bCs/>
          <w:szCs w:val="22"/>
        </w:rPr>
        <w:t>.</w:t>
      </w:r>
      <w:r w:rsidR="00D1209A">
        <w:rPr>
          <w:rFonts w:cs="Arial"/>
          <w:bCs/>
          <w:szCs w:val="22"/>
        </w:rPr>
        <w:t xml:space="preserve"> </w:t>
      </w:r>
    </w:p>
    <w:p w:rsidR="00A56F9F" w:rsidRPr="003666E9" w:rsidRDefault="00D1209A" w:rsidP="00D1209A">
      <w:pPr>
        <w:ind w:left="1134" w:hanging="1134"/>
        <w:rPr>
          <w:b/>
          <w:bCs/>
        </w:rPr>
      </w:pPr>
      <w:r>
        <w:rPr>
          <w:rFonts w:cs="Arial"/>
          <w:bCs/>
          <w:szCs w:val="22"/>
        </w:rPr>
        <w:tab/>
        <w:t xml:space="preserve">However the proposed amendment to </w:t>
      </w:r>
      <w:r w:rsidR="00681320" w:rsidRPr="003666E9">
        <w:rPr>
          <w:bCs/>
        </w:rPr>
        <w:t>subclause</w:t>
      </w:r>
      <w:r w:rsidR="001F048C" w:rsidRPr="003666E9">
        <w:rPr>
          <w:bCs/>
        </w:rPr>
        <w:t>s</w:t>
      </w:r>
      <w:r w:rsidR="00681320" w:rsidRPr="003666E9">
        <w:rPr>
          <w:bCs/>
        </w:rPr>
        <w:t xml:space="preserve"> 8(2) and 8(5) to</w:t>
      </w:r>
      <w:r w:rsidR="00A56F9F" w:rsidRPr="003666E9">
        <w:rPr>
          <w:bCs/>
        </w:rPr>
        <w:t xml:space="preserve"> clarify that the names in Schedule 2 are prescribed names</w:t>
      </w:r>
      <w:r>
        <w:rPr>
          <w:bCs/>
        </w:rPr>
        <w:t xml:space="preserve"> remain</w:t>
      </w:r>
      <w:r w:rsidR="002932EE">
        <w:rPr>
          <w:bCs/>
        </w:rPr>
        <w:t>s</w:t>
      </w:r>
      <w:r w:rsidR="00A56F9F" w:rsidRPr="003666E9">
        <w:rPr>
          <w:bCs/>
        </w:rPr>
        <w:t xml:space="preserve">. </w:t>
      </w:r>
    </w:p>
    <w:p w:rsidR="00A56F9F" w:rsidRPr="00DF0C1B" w:rsidRDefault="00A56F9F" w:rsidP="00A56F9F"/>
    <w:p w:rsidR="00A56F9F" w:rsidRPr="00621C43" w:rsidRDefault="00A56F9F" w:rsidP="00A56F9F">
      <w:pPr>
        <w:ind w:left="1134" w:hanging="1134"/>
      </w:pPr>
      <w:r w:rsidRPr="00621C43">
        <w:rPr>
          <w:b/>
          <w:bCs/>
        </w:rPr>
        <w:t>Location</w:t>
      </w:r>
      <w:r w:rsidRPr="00621C43">
        <w:t>:</w:t>
      </w:r>
      <w:r w:rsidRPr="00621C43">
        <w:tab/>
        <w:t>New clause (10)</w:t>
      </w:r>
    </w:p>
    <w:p w:rsidR="00A56F9F" w:rsidRPr="00621C43" w:rsidRDefault="00A56F9F" w:rsidP="00A56F9F">
      <w:pPr>
        <w:ind w:left="1134" w:hanging="1134"/>
      </w:pPr>
      <w:r w:rsidRPr="00621C43">
        <w:rPr>
          <w:b/>
          <w:bCs/>
        </w:rPr>
        <w:t>Issue 24</w:t>
      </w:r>
      <w:r w:rsidRPr="00621C43">
        <w:t>:</w:t>
      </w:r>
      <w:r w:rsidRPr="00621C43">
        <w:tab/>
        <w:t>C</w:t>
      </w:r>
      <w:r w:rsidRPr="00621C43">
        <w:rPr>
          <w:bCs/>
        </w:rPr>
        <w:t>lause 3 of Standard 2.4.1 – Edible Oils refers to labelling requirements for oil where it is specifically named. T</w:t>
      </w:r>
      <w:r w:rsidRPr="00621C43">
        <w:t xml:space="preserve">he clause applies when oil has undergone a process which has altered the fatty acid composition of the edible oil. This labelling requirement applies both to the name of the food if the food is an oil described in this clause, and when a food contains as an ingredient, an oil described in this clause. As this requirement is located in the Edible Oils Standard, the labelling requirement may not be obvious to manufacturers using edible oils as ingredients. </w:t>
      </w:r>
    </w:p>
    <w:p w:rsidR="00A56F9F" w:rsidRPr="00621C43" w:rsidRDefault="00A56F9F" w:rsidP="0091567F">
      <w:pPr>
        <w:widowControl/>
        <w:ind w:left="1134" w:hanging="1134"/>
        <w:rPr>
          <w:bCs/>
        </w:rPr>
      </w:pPr>
      <w:r w:rsidRPr="00621C43">
        <w:rPr>
          <w:b/>
          <w:bCs/>
        </w:rPr>
        <w:t>Solution</w:t>
      </w:r>
      <w:r w:rsidRPr="00621C43">
        <w:t>:</w:t>
      </w:r>
      <w:r w:rsidRPr="00621C43">
        <w:tab/>
      </w:r>
      <w:r w:rsidRPr="00621C43">
        <w:rPr>
          <w:bCs/>
        </w:rPr>
        <w:t>Provide a cross reference to clause 3 of Standard 2.4.1 in Standard 1.2.4 – Labelling of Ingredients. Update the Table of Provisions to reflect this new clause.</w:t>
      </w:r>
      <w:r w:rsidR="00C22DF2">
        <w:rPr>
          <w:bCs/>
        </w:rPr>
        <w:t xml:space="preserve"> </w:t>
      </w:r>
      <w:r w:rsidRPr="00621C43">
        <w:rPr>
          <w:bCs/>
        </w:rPr>
        <w:t xml:space="preserve"> </w:t>
      </w:r>
    </w:p>
    <w:p w:rsidR="0091567F" w:rsidRPr="00621C43" w:rsidRDefault="0091567F" w:rsidP="0091567F">
      <w:pPr>
        <w:widowControl/>
        <w:ind w:left="1134" w:hanging="1134"/>
        <w:rPr>
          <w:bCs/>
        </w:rPr>
      </w:pPr>
    </w:p>
    <w:p w:rsidR="000B6035" w:rsidRPr="000B6035" w:rsidRDefault="000B6035" w:rsidP="000B6035">
      <w:pPr>
        <w:rPr>
          <w:rFonts w:cs="Arial"/>
          <w:szCs w:val="22"/>
        </w:rPr>
      </w:pPr>
      <w:r w:rsidRPr="000B6035">
        <w:rPr>
          <w:rFonts w:cs="Arial"/>
          <w:b/>
          <w:bCs/>
          <w:szCs w:val="22"/>
        </w:rPr>
        <w:t>Location</w:t>
      </w:r>
      <w:r w:rsidRPr="000B6035">
        <w:rPr>
          <w:rFonts w:cs="Arial"/>
          <w:szCs w:val="22"/>
        </w:rPr>
        <w:t>:</w:t>
      </w:r>
      <w:r w:rsidRPr="000B6035">
        <w:rPr>
          <w:rFonts w:cs="Arial"/>
          <w:szCs w:val="22"/>
        </w:rPr>
        <w:tab/>
        <w:t>Schedule 2, Part 2</w:t>
      </w:r>
    </w:p>
    <w:p w:rsidR="003375AD" w:rsidRPr="000B6035" w:rsidRDefault="000B6035" w:rsidP="003375AD">
      <w:pPr>
        <w:ind w:left="1134" w:hanging="1134"/>
        <w:rPr>
          <w:rFonts w:cs="Arial"/>
          <w:szCs w:val="22"/>
        </w:rPr>
      </w:pPr>
      <w:r w:rsidRPr="000B6035">
        <w:rPr>
          <w:rFonts w:cs="Arial"/>
          <w:b/>
          <w:bCs/>
          <w:szCs w:val="22"/>
        </w:rPr>
        <w:t>Issue</w:t>
      </w:r>
      <w:r w:rsidR="00AD5297">
        <w:rPr>
          <w:rFonts w:cs="Arial"/>
          <w:b/>
          <w:bCs/>
          <w:szCs w:val="22"/>
        </w:rPr>
        <w:t xml:space="preserve"> (new)</w:t>
      </w:r>
      <w:r w:rsidR="00AD5297">
        <w:rPr>
          <w:rFonts w:cs="Arial"/>
          <w:szCs w:val="22"/>
        </w:rPr>
        <w:t xml:space="preserve">: </w:t>
      </w:r>
      <w:r w:rsidRPr="000B6035">
        <w:rPr>
          <w:rFonts w:cs="Arial"/>
          <w:szCs w:val="22"/>
        </w:rPr>
        <w:t xml:space="preserve">Under the entry for Anthocyanins, ‘Blackcurrant’ is spelt incorrectly. </w:t>
      </w:r>
      <w:r w:rsidR="00F374F4">
        <w:rPr>
          <w:rFonts w:cs="Arial"/>
          <w:szCs w:val="22"/>
        </w:rPr>
        <w:t>T</w:t>
      </w:r>
      <w:r w:rsidR="003375AD" w:rsidRPr="000B6035">
        <w:rPr>
          <w:rFonts w:cs="Arial"/>
          <w:szCs w:val="22"/>
        </w:rPr>
        <w:t>his is a new issue</w:t>
      </w:r>
      <w:r w:rsidR="003375AD">
        <w:rPr>
          <w:rFonts w:cs="Arial"/>
          <w:szCs w:val="22"/>
        </w:rPr>
        <w:t xml:space="preserve"> that was identified </w:t>
      </w:r>
      <w:r w:rsidR="00AD5297">
        <w:rPr>
          <w:rFonts w:cs="Arial"/>
          <w:szCs w:val="22"/>
        </w:rPr>
        <w:t xml:space="preserve">by FSANZ </w:t>
      </w:r>
      <w:r w:rsidR="003375AD" w:rsidRPr="000B6035">
        <w:rPr>
          <w:rFonts w:cs="Arial"/>
          <w:szCs w:val="22"/>
        </w:rPr>
        <w:t xml:space="preserve">following the release of the Assessment Report. </w:t>
      </w:r>
    </w:p>
    <w:p w:rsidR="000B6035" w:rsidRPr="000B6035" w:rsidRDefault="000B6035" w:rsidP="000B6035">
      <w:pPr>
        <w:ind w:left="1134" w:hanging="1134"/>
        <w:rPr>
          <w:rFonts w:cs="Arial"/>
          <w:szCs w:val="22"/>
        </w:rPr>
      </w:pPr>
      <w:r w:rsidRPr="000B6035">
        <w:rPr>
          <w:rFonts w:cs="Arial"/>
          <w:b/>
          <w:bCs/>
          <w:szCs w:val="22"/>
        </w:rPr>
        <w:t>Solution</w:t>
      </w:r>
      <w:r w:rsidRPr="000B6035">
        <w:rPr>
          <w:rFonts w:cs="Arial"/>
          <w:szCs w:val="22"/>
        </w:rPr>
        <w:t>:</w:t>
      </w:r>
      <w:r w:rsidRPr="000B6035">
        <w:rPr>
          <w:rFonts w:cs="Arial"/>
          <w:szCs w:val="22"/>
        </w:rPr>
        <w:tab/>
        <w:t>Correct spelling</w:t>
      </w:r>
      <w:r>
        <w:rPr>
          <w:rFonts w:cs="Arial"/>
          <w:szCs w:val="22"/>
        </w:rPr>
        <w:t>.</w:t>
      </w:r>
    </w:p>
    <w:p w:rsidR="000B6035" w:rsidRPr="000B6035" w:rsidRDefault="000B6035" w:rsidP="000B6035">
      <w:pPr>
        <w:ind w:left="1134" w:hanging="1134"/>
        <w:rPr>
          <w:rFonts w:cs="Arial"/>
          <w:szCs w:val="22"/>
        </w:rPr>
      </w:pPr>
    </w:p>
    <w:p w:rsidR="00A56F9F" w:rsidRPr="0091567F" w:rsidRDefault="00A56F9F" w:rsidP="00A56F9F">
      <w:pPr>
        <w:pStyle w:val="Heading3"/>
      </w:pPr>
      <w:bookmarkStart w:id="47" w:name="_Toc280003201"/>
      <w:bookmarkStart w:id="48" w:name="_Toc290973024"/>
      <w:r w:rsidRPr="0091567F">
        <w:t>3.7</w:t>
      </w:r>
      <w:r w:rsidRPr="0091567F">
        <w:tab/>
        <w:t>Standard 1.2.5 – Date Marking of Food</w:t>
      </w:r>
      <w:bookmarkEnd w:id="47"/>
      <w:bookmarkEnd w:id="48"/>
    </w:p>
    <w:p w:rsidR="00A56F9F" w:rsidRPr="00621C43" w:rsidRDefault="00A56F9F" w:rsidP="00A56F9F"/>
    <w:p w:rsidR="00A56F9F" w:rsidRPr="00621C43" w:rsidRDefault="00A56F9F" w:rsidP="00A56F9F">
      <w:pPr>
        <w:tabs>
          <w:tab w:val="left" w:pos="1134"/>
        </w:tabs>
      </w:pPr>
      <w:r w:rsidRPr="00621C43">
        <w:rPr>
          <w:b/>
          <w:bCs/>
        </w:rPr>
        <w:t>Location</w:t>
      </w:r>
      <w:r w:rsidRPr="00621C43">
        <w:t>:</w:t>
      </w:r>
      <w:r w:rsidRPr="00621C43">
        <w:tab/>
        <w:t>Clause 1, definition of ‘use-by date’</w:t>
      </w:r>
    </w:p>
    <w:p w:rsidR="00A56F9F" w:rsidRPr="00621C43" w:rsidRDefault="00A56F9F" w:rsidP="00A56F9F">
      <w:pPr>
        <w:ind w:left="1134" w:right="-188" w:hanging="1134"/>
      </w:pPr>
      <w:r w:rsidRPr="00621C43">
        <w:rPr>
          <w:b/>
          <w:bCs/>
        </w:rPr>
        <w:t>Issue 25</w:t>
      </w:r>
      <w:r w:rsidRPr="00621C43">
        <w:t>:</w:t>
      </w:r>
      <w:r w:rsidRPr="00621C43">
        <w:tab/>
        <w:t>The definition of ‘use-by date’ refers to ‘health and safety’ whereas under clause 2, a use-by date is required for ‘health or safety’ reasons. The latter phrase is correct.</w:t>
      </w:r>
    </w:p>
    <w:p w:rsidR="00A56F9F" w:rsidRPr="00621C43" w:rsidRDefault="00A56F9F" w:rsidP="00A56F9F">
      <w:r w:rsidRPr="00621C43">
        <w:rPr>
          <w:b/>
          <w:bCs/>
        </w:rPr>
        <w:t>Solution</w:t>
      </w:r>
      <w:r w:rsidRPr="00621C43">
        <w:t>:</w:t>
      </w:r>
      <w:r w:rsidRPr="00621C43">
        <w:tab/>
        <w:t xml:space="preserve">Amend ‘health and safety’ to ‘health or safety’. </w:t>
      </w:r>
    </w:p>
    <w:p w:rsidR="00A56F9F" w:rsidRPr="007816F0" w:rsidRDefault="00A56F9F" w:rsidP="00A56F9F">
      <w:pPr>
        <w:rPr>
          <w:b/>
          <w:bCs/>
        </w:rPr>
      </w:pPr>
    </w:p>
    <w:p w:rsidR="00A56F9F" w:rsidRPr="007816F0" w:rsidRDefault="00A56F9F" w:rsidP="00A56F9F">
      <w:r w:rsidRPr="007816F0">
        <w:rPr>
          <w:b/>
          <w:bCs/>
        </w:rPr>
        <w:t>Location</w:t>
      </w:r>
      <w:r w:rsidRPr="007816F0">
        <w:t>:</w:t>
      </w:r>
      <w:r w:rsidRPr="007816F0">
        <w:tab/>
        <w:t>Clause 5</w:t>
      </w:r>
    </w:p>
    <w:p w:rsidR="00A56F9F" w:rsidRPr="007816F0" w:rsidRDefault="00A56F9F" w:rsidP="00A56F9F">
      <w:pPr>
        <w:ind w:left="1134" w:hanging="1134"/>
      </w:pPr>
      <w:r w:rsidRPr="007816F0">
        <w:rPr>
          <w:b/>
          <w:bCs/>
        </w:rPr>
        <w:t>Issue 26</w:t>
      </w:r>
      <w:r w:rsidRPr="007816F0">
        <w:t>:</w:t>
      </w:r>
      <w:r w:rsidRPr="007816F0">
        <w:tab/>
        <w:t xml:space="preserve">The reference to ‘chronological form’ doesn’t clearly identify the intent as recommended under Proposal P139 – Date Marking of Packed Food (Full Assessment Report). Under Proposal P139 it was recommended that the date mark must be expressed as the day, followed by the month, followed by the year, as appropriate according to subclause 5(1), unless the month is expressed in letters, in which case the month can be expressed before the day. The day and year must be in uncoded numerical form, however the month may be expressed in uncoded numerical form or in letters.  </w:t>
      </w:r>
    </w:p>
    <w:p w:rsidR="00A56F9F" w:rsidRPr="007816F0" w:rsidRDefault="00A56F9F" w:rsidP="00A56F9F">
      <w:pPr>
        <w:rPr>
          <w:b/>
          <w:bCs/>
        </w:rPr>
      </w:pPr>
      <w:r w:rsidRPr="007816F0">
        <w:rPr>
          <w:b/>
          <w:bCs/>
        </w:rPr>
        <w:t>Solution</w:t>
      </w:r>
      <w:r w:rsidRPr="007816F0">
        <w:t>:</w:t>
      </w:r>
      <w:r w:rsidRPr="007816F0">
        <w:tab/>
        <w:t xml:space="preserve">Amend to clarify the intent as outlined above. </w:t>
      </w:r>
    </w:p>
    <w:p w:rsidR="00141317" w:rsidRDefault="00141317">
      <w:pPr>
        <w:widowControl/>
        <w:rPr>
          <w:b/>
          <w:bCs/>
        </w:rPr>
      </w:pPr>
      <w:r>
        <w:rPr>
          <w:b/>
          <w:bCs/>
        </w:rPr>
        <w:br w:type="page"/>
      </w:r>
    </w:p>
    <w:p w:rsidR="00A56F9F" w:rsidRPr="0091567F" w:rsidRDefault="00A56F9F" w:rsidP="00A56F9F">
      <w:r w:rsidRPr="0091567F">
        <w:rPr>
          <w:b/>
          <w:bCs/>
        </w:rPr>
        <w:lastRenderedPageBreak/>
        <w:t>Location</w:t>
      </w:r>
      <w:r w:rsidRPr="0091567F">
        <w:t>:</w:t>
      </w:r>
      <w:r w:rsidRPr="0091567F">
        <w:tab/>
        <w:t>Subclause 6(2)</w:t>
      </w:r>
    </w:p>
    <w:p w:rsidR="00A56F9F" w:rsidRPr="0091567F" w:rsidRDefault="00A56F9F" w:rsidP="00A56F9F">
      <w:pPr>
        <w:ind w:left="1134" w:hanging="1134"/>
      </w:pPr>
      <w:r w:rsidRPr="0091567F">
        <w:rPr>
          <w:b/>
          <w:bCs/>
        </w:rPr>
        <w:t>Issue 27</w:t>
      </w:r>
      <w:r w:rsidRPr="0091567F">
        <w:t>:</w:t>
      </w:r>
      <w:r w:rsidRPr="0091567F">
        <w:tab/>
      </w:r>
      <w:r w:rsidR="009F4714">
        <w:t>The exemption from the requirement to label with a statement of ingredients for liquid milk and milk products and cream and cream products sold in glass bottles with no label other than that on the foil cap is now redundant. This is because other labelling requirements currently apply to these products, such as supplier name and address and a nutrition information panel (no exemption for these products was sought when these requirements were introduced). These other labelling requirements mean that there will be no glass bottles with ‘no other label other than that on the foil cap’ so the exemption will never apply.</w:t>
      </w:r>
    </w:p>
    <w:p w:rsidR="00A56F9F" w:rsidRPr="0091567F" w:rsidRDefault="00A56F9F" w:rsidP="00A56F9F">
      <w:pPr>
        <w:ind w:left="1134" w:hanging="1134"/>
      </w:pPr>
      <w:r w:rsidRPr="0091567F">
        <w:rPr>
          <w:b/>
          <w:bCs/>
        </w:rPr>
        <w:t>Solution</w:t>
      </w:r>
      <w:r w:rsidRPr="0091567F">
        <w:t>:</w:t>
      </w:r>
      <w:r w:rsidRPr="0091567F">
        <w:tab/>
        <w:t>Remove exemption.</w:t>
      </w:r>
      <w:r w:rsidR="00C22DF2">
        <w:t xml:space="preserve">  </w:t>
      </w:r>
    </w:p>
    <w:p w:rsidR="00A56F9F" w:rsidRPr="0091567F" w:rsidRDefault="00A56F9F" w:rsidP="00A56F9F">
      <w:pPr>
        <w:rPr>
          <w:b/>
          <w:bCs/>
        </w:rPr>
      </w:pPr>
    </w:p>
    <w:p w:rsidR="00A56F9F" w:rsidRPr="0091567F" w:rsidRDefault="00A56F9F" w:rsidP="00A56F9F">
      <w:r w:rsidRPr="0091567F">
        <w:rPr>
          <w:b/>
          <w:bCs/>
        </w:rPr>
        <w:t>Location</w:t>
      </w:r>
      <w:r w:rsidRPr="0091567F">
        <w:t>:</w:t>
      </w:r>
      <w:r w:rsidRPr="0091567F">
        <w:tab/>
        <w:t>Clause 7</w:t>
      </w:r>
    </w:p>
    <w:p w:rsidR="00A56F9F" w:rsidRPr="0091567F" w:rsidRDefault="00A56F9F" w:rsidP="00A56F9F">
      <w:pPr>
        <w:ind w:left="1134" w:right="-330" w:hanging="1134"/>
      </w:pPr>
      <w:r w:rsidRPr="0091567F">
        <w:rPr>
          <w:b/>
          <w:bCs/>
        </w:rPr>
        <w:t>Issue 28</w:t>
      </w:r>
      <w:r w:rsidRPr="0091567F">
        <w:t>:</w:t>
      </w:r>
      <w:r w:rsidRPr="0091567F">
        <w:tab/>
        <w:t xml:space="preserve">The intent, as indicated in the Proposal P139 – Date Marking of Packed Food Full Assessment Report, was that ‘packed on’ dates (referred to as ‘packing dates’ in that Report) are permitted in addition to a date mark prescribed by Standard 1.2.5. It is not clear that the permission in clause 7 for the addition of a ‘manufacturer’s or packer’s code’ includes permission for the addition of a packed on date. </w:t>
      </w:r>
    </w:p>
    <w:p w:rsidR="00A56F9F" w:rsidRPr="0091567F" w:rsidRDefault="00A56F9F" w:rsidP="00A56F9F">
      <w:pPr>
        <w:ind w:left="1134" w:hanging="1134"/>
      </w:pPr>
      <w:r w:rsidRPr="0091567F">
        <w:rPr>
          <w:b/>
          <w:bCs/>
        </w:rPr>
        <w:t>Solution</w:t>
      </w:r>
      <w:r w:rsidRPr="0091567F">
        <w:t>:</w:t>
      </w:r>
      <w:r w:rsidRPr="0091567F">
        <w:tab/>
        <w:t>Amend to clarify the intent, i.e. that the date the food was packed on (‘packed on’ date) may not be used instead of a use-by date or best-before date (or baked-for date), but is permitted as additional information.</w:t>
      </w:r>
    </w:p>
    <w:p w:rsidR="00A56F9F" w:rsidRPr="0091567F" w:rsidRDefault="00A56F9F" w:rsidP="00A56F9F"/>
    <w:p w:rsidR="00A56F9F" w:rsidRPr="007816F0" w:rsidRDefault="00A56F9F" w:rsidP="00A56F9F">
      <w:pPr>
        <w:pStyle w:val="Heading3"/>
      </w:pPr>
      <w:bookmarkStart w:id="49" w:name="_Toc280003202"/>
      <w:bookmarkStart w:id="50" w:name="_Toc290973025"/>
      <w:r w:rsidRPr="007816F0">
        <w:t>3.8</w:t>
      </w:r>
      <w:r w:rsidRPr="007816F0">
        <w:tab/>
        <w:t>Standard 1.2.6 – Directions for Use and Storage</w:t>
      </w:r>
      <w:bookmarkEnd w:id="49"/>
      <w:bookmarkEnd w:id="50"/>
    </w:p>
    <w:p w:rsidR="00A56F9F" w:rsidRPr="00A66A26" w:rsidRDefault="00A56F9F" w:rsidP="00A56F9F">
      <w:pPr>
        <w:rPr>
          <w:b/>
          <w:bCs/>
        </w:rPr>
      </w:pPr>
    </w:p>
    <w:p w:rsidR="00A56F9F" w:rsidRPr="00A66A26" w:rsidRDefault="00A56F9F" w:rsidP="00A56F9F">
      <w:pPr>
        <w:rPr>
          <w:rFonts w:cs="Arial"/>
          <w:szCs w:val="22"/>
        </w:rPr>
      </w:pPr>
      <w:r w:rsidRPr="00A66A26">
        <w:rPr>
          <w:rFonts w:cs="Arial"/>
          <w:b/>
          <w:bCs/>
          <w:szCs w:val="22"/>
        </w:rPr>
        <w:t>Location</w:t>
      </w:r>
      <w:r w:rsidRPr="00A66A26">
        <w:rPr>
          <w:rFonts w:cs="Arial"/>
          <w:szCs w:val="22"/>
        </w:rPr>
        <w:t>:</w:t>
      </w:r>
      <w:r w:rsidRPr="00A66A26">
        <w:rPr>
          <w:rFonts w:cs="Arial"/>
          <w:szCs w:val="22"/>
        </w:rPr>
        <w:tab/>
        <w:t>Purpose</w:t>
      </w:r>
    </w:p>
    <w:p w:rsidR="00A56F9F" w:rsidRPr="00A66A26" w:rsidRDefault="00A56F9F" w:rsidP="00A56F9F">
      <w:pPr>
        <w:ind w:left="1134" w:hanging="1134"/>
        <w:rPr>
          <w:rFonts w:cs="Arial"/>
          <w:szCs w:val="22"/>
        </w:rPr>
      </w:pPr>
      <w:r w:rsidRPr="00A66A26">
        <w:rPr>
          <w:rFonts w:cs="Arial"/>
          <w:b/>
          <w:bCs/>
          <w:szCs w:val="22"/>
        </w:rPr>
        <w:t>Issue 29</w:t>
      </w:r>
      <w:r w:rsidRPr="00A66A26">
        <w:rPr>
          <w:rFonts w:cs="Arial"/>
          <w:szCs w:val="22"/>
        </w:rPr>
        <w:t>:</w:t>
      </w:r>
      <w:r w:rsidRPr="00A66A26">
        <w:rPr>
          <w:rFonts w:cs="Arial"/>
          <w:szCs w:val="22"/>
        </w:rPr>
        <w:tab/>
        <w:t xml:space="preserve">The OLDP legislative audit identified that the use of ‘and/or’ requires too much work from the reader and can be interpreted in different ways. </w:t>
      </w:r>
    </w:p>
    <w:p w:rsidR="00A56F9F" w:rsidRPr="00A66A26" w:rsidRDefault="00A56F9F" w:rsidP="00A56F9F">
      <w:pPr>
        <w:ind w:left="1134"/>
        <w:rPr>
          <w:rFonts w:cs="Arial"/>
          <w:szCs w:val="22"/>
        </w:rPr>
      </w:pPr>
      <w:r w:rsidRPr="00A66A26">
        <w:rPr>
          <w:rFonts w:cs="Arial"/>
          <w:szCs w:val="22"/>
        </w:rPr>
        <w:t xml:space="preserve">The Purpose mentions labelling is required for reasons of ‘health and safety’, however this is referred to as ‘health or safety’ later in the Standard. </w:t>
      </w:r>
    </w:p>
    <w:p w:rsidR="00A56F9F" w:rsidRPr="00A66A26" w:rsidRDefault="00A56F9F" w:rsidP="00720361">
      <w:pPr>
        <w:ind w:left="1134" w:hanging="1134"/>
        <w:rPr>
          <w:rFonts w:cs="Arial"/>
          <w:szCs w:val="22"/>
        </w:rPr>
      </w:pPr>
      <w:r w:rsidRPr="00A66A26">
        <w:rPr>
          <w:rFonts w:cs="Arial"/>
          <w:b/>
          <w:bCs/>
          <w:szCs w:val="22"/>
        </w:rPr>
        <w:t>Solution</w:t>
      </w:r>
      <w:r w:rsidR="00720361">
        <w:rPr>
          <w:rFonts w:cs="Arial"/>
          <w:b/>
          <w:bCs/>
          <w:szCs w:val="22"/>
        </w:rPr>
        <w:t xml:space="preserve"> </w:t>
      </w:r>
      <w:r w:rsidR="00720361" w:rsidRPr="003666E9">
        <w:rPr>
          <w:b/>
          <w:bCs/>
        </w:rPr>
        <w:t>proposed in Assessment Report</w:t>
      </w:r>
      <w:r w:rsidR="00720361" w:rsidRPr="00720361">
        <w:rPr>
          <w:b/>
          <w:bCs/>
        </w:rPr>
        <w:t xml:space="preserve">: </w:t>
      </w:r>
      <w:r w:rsidRPr="00720361">
        <w:rPr>
          <w:rFonts w:cs="Arial"/>
          <w:szCs w:val="22"/>
        </w:rPr>
        <w:t>Remove reference to ‘and/or’ and amend ‘health and safety’ to ‘health or safety’.</w:t>
      </w:r>
      <w:r w:rsidR="00C22DF2">
        <w:rPr>
          <w:rFonts w:cs="Arial"/>
          <w:szCs w:val="22"/>
        </w:rPr>
        <w:t xml:space="preserve"> </w:t>
      </w:r>
    </w:p>
    <w:p w:rsidR="00720361" w:rsidRPr="00E26ACD" w:rsidRDefault="00857A2E" w:rsidP="00720361">
      <w:pPr>
        <w:pStyle w:val="Clause"/>
        <w:ind w:left="1134" w:hanging="1134"/>
        <w:rPr>
          <w:sz w:val="22"/>
          <w:szCs w:val="22"/>
        </w:rPr>
      </w:pPr>
      <w:r w:rsidRPr="00E26ACD">
        <w:rPr>
          <w:rFonts w:cs="Arial"/>
          <w:b/>
          <w:bCs/>
          <w:sz w:val="22"/>
          <w:szCs w:val="22"/>
        </w:rPr>
        <w:t xml:space="preserve">Submitter comments and FSANZ response: </w:t>
      </w:r>
      <w:r w:rsidRPr="00E26ACD">
        <w:rPr>
          <w:sz w:val="22"/>
          <w:szCs w:val="22"/>
        </w:rPr>
        <w:t xml:space="preserve">A submitter suggested that the proposed Purpose statement could be amended to reflect that either directions for use, or directions for storage, or both directions for use and storage could apply. </w:t>
      </w:r>
    </w:p>
    <w:p w:rsidR="00720361" w:rsidRPr="00E26ACD" w:rsidRDefault="00857A2E" w:rsidP="00720361">
      <w:pPr>
        <w:pStyle w:val="Clause"/>
        <w:ind w:left="1134" w:hanging="1134"/>
        <w:rPr>
          <w:sz w:val="22"/>
          <w:szCs w:val="22"/>
        </w:rPr>
      </w:pPr>
      <w:r w:rsidRPr="00E26ACD">
        <w:rPr>
          <w:rFonts w:cs="Arial"/>
          <w:b/>
          <w:bCs/>
          <w:sz w:val="22"/>
          <w:szCs w:val="22"/>
        </w:rPr>
        <w:tab/>
      </w:r>
      <w:r w:rsidRPr="00E26ACD">
        <w:rPr>
          <w:rFonts w:cs="Arial"/>
          <w:b/>
          <w:bCs/>
          <w:sz w:val="22"/>
          <w:szCs w:val="22"/>
        </w:rPr>
        <w:tab/>
      </w:r>
      <w:r w:rsidRPr="00E26ACD">
        <w:rPr>
          <w:sz w:val="22"/>
          <w:szCs w:val="22"/>
        </w:rPr>
        <w:t xml:space="preserve">FSANZ has considered this and </w:t>
      </w:r>
      <w:r w:rsidR="00276806" w:rsidRPr="00E26ACD">
        <w:rPr>
          <w:sz w:val="22"/>
          <w:szCs w:val="22"/>
        </w:rPr>
        <w:t>has</w:t>
      </w:r>
      <w:r w:rsidR="0007534D" w:rsidRPr="00E26ACD">
        <w:rPr>
          <w:sz w:val="22"/>
          <w:szCs w:val="22"/>
        </w:rPr>
        <w:t xml:space="preserve"> simplif</w:t>
      </w:r>
      <w:r w:rsidR="00276806" w:rsidRPr="00E26ACD">
        <w:rPr>
          <w:sz w:val="22"/>
          <w:szCs w:val="22"/>
        </w:rPr>
        <w:t>ied</w:t>
      </w:r>
      <w:r w:rsidRPr="00E26ACD">
        <w:rPr>
          <w:sz w:val="22"/>
          <w:szCs w:val="22"/>
        </w:rPr>
        <w:t xml:space="preserve"> the Purpose to: ‘This Standard identifies when directions for use and directions for storage are required to be included on a label.’</w:t>
      </w:r>
    </w:p>
    <w:p w:rsidR="00720361" w:rsidRPr="00A66A26" w:rsidRDefault="00720361" w:rsidP="00A56F9F">
      <w:pPr>
        <w:rPr>
          <w:b/>
          <w:bCs/>
        </w:rPr>
      </w:pPr>
    </w:p>
    <w:p w:rsidR="00A56F9F" w:rsidRPr="001368FB" w:rsidRDefault="00A56F9F" w:rsidP="00A56F9F">
      <w:r w:rsidRPr="001368FB">
        <w:rPr>
          <w:b/>
          <w:bCs/>
        </w:rPr>
        <w:t>Location</w:t>
      </w:r>
      <w:r w:rsidRPr="001368FB">
        <w:t>:</w:t>
      </w:r>
      <w:r w:rsidRPr="001368FB">
        <w:tab/>
        <w:t>Clauses 1, 2 and 3</w:t>
      </w:r>
    </w:p>
    <w:p w:rsidR="00A56F9F" w:rsidRPr="001368FB" w:rsidRDefault="00A56F9F" w:rsidP="00A56F9F">
      <w:pPr>
        <w:ind w:left="1134" w:hanging="1134"/>
      </w:pPr>
      <w:r w:rsidRPr="001368FB">
        <w:rPr>
          <w:b/>
          <w:bCs/>
        </w:rPr>
        <w:t>Issue 30</w:t>
      </w:r>
      <w:r w:rsidRPr="001368FB">
        <w:t>:</w:t>
      </w:r>
      <w:r w:rsidRPr="001368FB">
        <w:tab/>
        <w:t>The OLDP legislative audit identified that the interpretation of ‘use or storage’ (i.e. ‘includes use and storage’) and use of this term in clauses 2 and 3 could be clarified.</w:t>
      </w:r>
    </w:p>
    <w:p w:rsidR="00A56F9F" w:rsidRPr="001368FB" w:rsidRDefault="00A56F9F" w:rsidP="00A56F9F">
      <w:pPr>
        <w:widowControl/>
        <w:ind w:left="1134" w:hanging="1134"/>
      </w:pPr>
      <w:r w:rsidRPr="001368FB">
        <w:rPr>
          <w:b/>
          <w:bCs/>
        </w:rPr>
        <w:t>Solution</w:t>
      </w:r>
      <w:r w:rsidRPr="001368FB">
        <w:t>:</w:t>
      </w:r>
      <w:r w:rsidRPr="001368FB">
        <w:tab/>
        <w:t xml:space="preserve">Remove the interpretation of ‘use or storage’ and clarify clauses 2 and 3 to indicate that directions for the use of the food or the storage of the food, or both, should be provided when required. Update the Table of Provisions to reflect these amendments. </w:t>
      </w:r>
    </w:p>
    <w:p w:rsidR="0091567F" w:rsidRPr="007816F0" w:rsidRDefault="0091567F" w:rsidP="00A56F9F">
      <w:pPr>
        <w:widowControl/>
        <w:ind w:left="1134" w:hanging="1134"/>
      </w:pPr>
    </w:p>
    <w:p w:rsidR="00A56F9F" w:rsidRPr="007816F0" w:rsidRDefault="00A56F9F" w:rsidP="00A56F9F">
      <w:pPr>
        <w:pStyle w:val="Heading3"/>
      </w:pPr>
      <w:bookmarkStart w:id="51" w:name="_Toc280003203"/>
      <w:bookmarkStart w:id="52" w:name="_Toc290973026"/>
      <w:r w:rsidRPr="007816F0">
        <w:t>3.9</w:t>
      </w:r>
      <w:r w:rsidRPr="007816F0">
        <w:tab/>
        <w:t>Standard 1.2.8 – Nutrition Information Requirements</w:t>
      </w:r>
      <w:bookmarkEnd w:id="51"/>
      <w:bookmarkEnd w:id="52"/>
      <w:r w:rsidRPr="007816F0">
        <w:t xml:space="preserve"> </w:t>
      </w:r>
    </w:p>
    <w:p w:rsidR="00A56F9F" w:rsidRPr="007816F0" w:rsidRDefault="00A56F9F" w:rsidP="00A56F9F">
      <w:pPr>
        <w:rPr>
          <w:b/>
          <w:bCs/>
        </w:rPr>
      </w:pPr>
    </w:p>
    <w:p w:rsidR="00A56F9F" w:rsidRPr="0091567F" w:rsidRDefault="00A56F9F" w:rsidP="00A56F9F">
      <w:r w:rsidRPr="0091567F">
        <w:rPr>
          <w:b/>
          <w:bCs/>
        </w:rPr>
        <w:t>Location</w:t>
      </w:r>
      <w:r w:rsidRPr="0091567F">
        <w:t>:</w:t>
      </w:r>
      <w:r w:rsidRPr="0091567F">
        <w:tab/>
        <w:t>Clause 1</w:t>
      </w:r>
    </w:p>
    <w:p w:rsidR="00A56F9F" w:rsidRPr="0091567F" w:rsidRDefault="00A56F9F" w:rsidP="00A56F9F">
      <w:pPr>
        <w:ind w:left="1134" w:hanging="1134"/>
      </w:pPr>
      <w:r w:rsidRPr="0091567F">
        <w:rPr>
          <w:b/>
          <w:bCs/>
        </w:rPr>
        <w:t>Issue 31:</w:t>
      </w:r>
      <w:r w:rsidRPr="0091567F">
        <w:tab/>
        <w:t xml:space="preserve">The definitions of polyunsaturated fatty acids, saturated fatty acids and trans fatty acids include a typographical error, i.e. the word ‘acids’ after ‘double bonds’ </w:t>
      </w:r>
      <w:r w:rsidR="00DB5969">
        <w:t>and after</w:t>
      </w:r>
      <w:r w:rsidRPr="0091567F">
        <w:t xml:space="preserve"> ‘trans configuration’. </w:t>
      </w:r>
    </w:p>
    <w:p w:rsidR="00A56F9F" w:rsidRPr="0091567F" w:rsidRDefault="00A56F9F" w:rsidP="00A56F9F">
      <w:pPr>
        <w:ind w:left="1134" w:hanging="1134"/>
      </w:pPr>
      <w:r w:rsidRPr="0091567F">
        <w:rPr>
          <w:b/>
          <w:bCs/>
        </w:rPr>
        <w:t>Solution</w:t>
      </w:r>
      <w:r w:rsidRPr="0091567F">
        <w:t>:</w:t>
      </w:r>
      <w:r w:rsidRPr="0091567F">
        <w:tab/>
        <w:t>Delete the word ‘acids’ after ‘double bonds’ and</w:t>
      </w:r>
      <w:r w:rsidR="00836479">
        <w:t xml:space="preserve"> after</w:t>
      </w:r>
      <w:r w:rsidRPr="0091567F">
        <w:t xml:space="preserve"> ’trans configuration’ as applicable.</w:t>
      </w:r>
    </w:p>
    <w:p w:rsidR="00742C40" w:rsidRDefault="00742C40" w:rsidP="00A56F9F">
      <w:pPr>
        <w:rPr>
          <w:b/>
          <w:bCs/>
        </w:rPr>
      </w:pPr>
      <w:r>
        <w:rPr>
          <w:b/>
          <w:bCs/>
        </w:rPr>
        <w:br w:type="page"/>
      </w:r>
    </w:p>
    <w:p w:rsidR="00A56F9F" w:rsidRPr="007816F0" w:rsidRDefault="00A56F9F" w:rsidP="00A56F9F">
      <w:r w:rsidRPr="007816F0">
        <w:rPr>
          <w:b/>
          <w:bCs/>
        </w:rPr>
        <w:lastRenderedPageBreak/>
        <w:t>Location</w:t>
      </w:r>
      <w:r w:rsidRPr="007816F0">
        <w:t>:</w:t>
      </w:r>
      <w:r w:rsidRPr="007816F0">
        <w:tab/>
        <w:t>Paragraph 3 (a)</w:t>
      </w:r>
    </w:p>
    <w:p w:rsidR="00A56F9F" w:rsidRPr="007816F0" w:rsidRDefault="00A56F9F" w:rsidP="00A56F9F">
      <w:pPr>
        <w:ind w:left="1134" w:hanging="1134"/>
      </w:pPr>
      <w:r w:rsidRPr="007816F0">
        <w:rPr>
          <w:b/>
          <w:bCs/>
        </w:rPr>
        <w:t>Issue 32</w:t>
      </w:r>
      <w:r w:rsidRPr="007816F0">
        <w:t>:</w:t>
      </w:r>
      <w:r w:rsidRPr="007816F0">
        <w:tab/>
        <w:t xml:space="preserve">This subclause provides an exemption for food sold at fundraising events from the requirement to include a nutrition information panel on the label of the package of food, but food sold at fundraising events is already exempt from this requirement under Standard 1.2.1. </w:t>
      </w:r>
    </w:p>
    <w:p w:rsidR="00A56F9F" w:rsidRPr="007816F0" w:rsidRDefault="00A56F9F" w:rsidP="00A56F9F">
      <w:r w:rsidRPr="007816F0">
        <w:rPr>
          <w:b/>
          <w:bCs/>
        </w:rPr>
        <w:t>Solution</w:t>
      </w:r>
      <w:r w:rsidRPr="007816F0">
        <w:t>:</w:t>
      </w:r>
      <w:r w:rsidRPr="007816F0">
        <w:tab/>
        <w:t>Delete 3</w:t>
      </w:r>
      <w:r w:rsidR="007F4AAA">
        <w:t xml:space="preserve"> </w:t>
      </w:r>
      <w:r w:rsidRPr="007816F0">
        <w:t>(a) ‘sold at fundraising events’.</w:t>
      </w:r>
    </w:p>
    <w:p w:rsidR="00A56F9F" w:rsidRPr="007816F0" w:rsidRDefault="00A56F9F" w:rsidP="00A56F9F"/>
    <w:p w:rsidR="00A56F9F" w:rsidRPr="007816F0" w:rsidRDefault="00A56F9F" w:rsidP="00A56F9F">
      <w:pPr>
        <w:ind w:left="1134" w:hanging="1134"/>
      </w:pPr>
      <w:r w:rsidRPr="007816F0">
        <w:rPr>
          <w:b/>
          <w:bCs/>
        </w:rPr>
        <w:t>Location</w:t>
      </w:r>
      <w:r w:rsidRPr="007816F0">
        <w:t>:</w:t>
      </w:r>
      <w:r w:rsidRPr="007816F0">
        <w:tab/>
        <w:t>Paragraph 3 (l)</w:t>
      </w:r>
    </w:p>
    <w:p w:rsidR="00A56F9F" w:rsidRPr="0091567F" w:rsidRDefault="00A56F9F" w:rsidP="00A56F9F">
      <w:pPr>
        <w:ind w:left="1134" w:hanging="1134"/>
      </w:pPr>
      <w:r w:rsidRPr="0091567F">
        <w:rPr>
          <w:b/>
          <w:bCs/>
        </w:rPr>
        <w:t>Issue 33</w:t>
      </w:r>
      <w:r w:rsidRPr="0091567F">
        <w:t>:</w:t>
      </w:r>
      <w:r w:rsidRPr="0091567F">
        <w:tab/>
        <w:t xml:space="preserve">The term ‘mineral water or spring water’ is defined in Standard 2.6.2, not ‘mineral or spring water’ as stated in this subclause.  </w:t>
      </w:r>
    </w:p>
    <w:p w:rsidR="00A56F9F" w:rsidRPr="0091567F" w:rsidRDefault="00A56F9F" w:rsidP="00A56F9F">
      <w:pPr>
        <w:ind w:left="1134" w:hanging="1134"/>
      </w:pPr>
      <w:r w:rsidRPr="0091567F">
        <w:rPr>
          <w:b/>
          <w:bCs/>
        </w:rPr>
        <w:t>Solution</w:t>
      </w:r>
      <w:r w:rsidRPr="0091567F">
        <w:t>:</w:t>
      </w:r>
      <w:r w:rsidRPr="0091567F">
        <w:tab/>
        <w:t>Amend subclause 3</w:t>
      </w:r>
      <w:r w:rsidR="007F4AAA">
        <w:t xml:space="preserve"> </w:t>
      </w:r>
      <w:r w:rsidRPr="0091567F">
        <w:t xml:space="preserve">(l) to reflect the term defined in Standard 2.6.2. </w:t>
      </w:r>
    </w:p>
    <w:p w:rsidR="00A56F9F" w:rsidRPr="0091567F" w:rsidRDefault="00A56F9F" w:rsidP="00A56F9F"/>
    <w:p w:rsidR="00A56F9F" w:rsidRPr="007816F0" w:rsidRDefault="00A56F9F" w:rsidP="00A56F9F">
      <w:r w:rsidRPr="007816F0">
        <w:rPr>
          <w:b/>
          <w:bCs/>
        </w:rPr>
        <w:t>Location</w:t>
      </w:r>
      <w:r w:rsidRPr="007816F0">
        <w:t>:</w:t>
      </w:r>
      <w:r w:rsidRPr="007816F0">
        <w:tab/>
        <w:t>Subclause 5(7), nutrition information panel format</w:t>
      </w:r>
    </w:p>
    <w:p w:rsidR="00A56F9F" w:rsidRPr="007816F0" w:rsidRDefault="00A56F9F" w:rsidP="00A56F9F">
      <w:r w:rsidRPr="007816F0">
        <w:rPr>
          <w:b/>
          <w:bCs/>
        </w:rPr>
        <w:t>Issue 34</w:t>
      </w:r>
      <w:r w:rsidRPr="007816F0">
        <w:t>:</w:t>
      </w:r>
      <w:r w:rsidRPr="007816F0">
        <w:tab/>
        <w:t xml:space="preserve">The second dash point under ‘sugars’ should have two asterisks, i.e. **. </w:t>
      </w:r>
    </w:p>
    <w:p w:rsidR="00A56F9F" w:rsidRPr="007816F0" w:rsidRDefault="00A56F9F" w:rsidP="00A56F9F">
      <w:r w:rsidRPr="007816F0">
        <w:rPr>
          <w:b/>
          <w:bCs/>
        </w:rPr>
        <w:t>Solution</w:t>
      </w:r>
      <w:r w:rsidRPr="007816F0">
        <w:t>:</w:t>
      </w:r>
      <w:r w:rsidRPr="007816F0">
        <w:tab/>
        <w:t xml:space="preserve">Insert another *. </w:t>
      </w:r>
    </w:p>
    <w:p w:rsidR="00A56F9F" w:rsidRPr="007816F0" w:rsidRDefault="00A56F9F" w:rsidP="00A56F9F"/>
    <w:p w:rsidR="00A56F9F" w:rsidRPr="0091567F" w:rsidRDefault="00A56F9F" w:rsidP="00A56F9F">
      <w:pPr>
        <w:ind w:left="1134" w:hanging="1134"/>
      </w:pPr>
      <w:r w:rsidRPr="0091567F">
        <w:rPr>
          <w:b/>
          <w:bCs/>
        </w:rPr>
        <w:t>Location</w:t>
      </w:r>
      <w:r w:rsidRPr="0091567F">
        <w:t>:</w:t>
      </w:r>
      <w:r w:rsidRPr="0091567F">
        <w:tab/>
        <w:t>Clause 10</w:t>
      </w:r>
    </w:p>
    <w:p w:rsidR="00A56F9F" w:rsidRDefault="00A56F9F" w:rsidP="00A56F9F">
      <w:pPr>
        <w:tabs>
          <w:tab w:val="left" w:pos="5310"/>
        </w:tabs>
        <w:ind w:left="1134" w:hanging="1134"/>
      </w:pPr>
      <w:r w:rsidRPr="0091567F">
        <w:rPr>
          <w:b/>
          <w:bCs/>
        </w:rPr>
        <w:t>Issue 35</w:t>
      </w:r>
      <w:r w:rsidRPr="0091567F">
        <w:t xml:space="preserve">: </w:t>
      </w:r>
      <w:r w:rsidRPr="0091567F">
        <w:tab/>
        <w:t>Under Proposal P167 – Nutrition Labelling the intent was that where directions for draining the food prior to consumption are found on the label, ‘the manufacturer should be required to declare nutritional information according to the drained weight of the product’.  This is not clearly reflected in this clause.</w:t>
      </w:r>
    </w:p>
    <w:p w:rsidR="00A56F9F" w:rsidRPr="0091567F" w:rsidRDefault="00A56F9F" w:rsidP="00A56F9F">
      <w:pPr>
        <w:ind w:left="1134" w:hanging="1134"/>
      </w:pPr>
      <w:r w:rsidRPr="0091567F">
        <w:rPr>
          <w:b/>
          <w:bCs/>
        </w:rPr>
        <w:t>Solution</w:t>
      </w:r>
      <w:r w:rsidRPr="0091567F">
        <w:t>:</w:t>
      </w:r>
      <w:r w:rsidRPr="0091567F">
        <w:tab/>
        <w:t xml:space="preserve">Add that the particulars in the panel must relate to the food after draining. </w:t>
      </w:r>
    </w:p>
    <w:p w:rsidR="00A56F9F" w:rsidRDefault="00A56F9F" w:rsidP="00A56F9F"/>
    <w:p w:rsidR="0039577D" w:rsidRPr="00A56F9F" w:rsidRDefault="0039577D" w:rsidP="0039577D">
      <w:pPr>
        <w:ind w:left="1134" w:hanging="1134"/>
        <w:rPr>
          <w:rFonts w:cs="Arial"/>
          <w:szCs w:val="22"/>
        </w:rPr>
      </w:pPr>
      <w:r w:rsidRPr="00A56F9F">
        <w:rPr>
          <w:rFonts w:cs="Arial"/>
          <w:b/>
          <w:bCs/>
          <w:szCs w:val="22"/>
        </w:rPr>
        <w:t>Location:</w:t>
      </w:r>
      <w:r w:rsidRPr="00A56F9F">
        <w:rPr>
          <w:rFonts w:cs="Arial"/>
          <w:b/>
          <w:bCs/>
          <w:szCs w:val="22"/>
        </w:rPr>
        <w:tab/>
      </w:r>
      <w:r>
        <w:rPr>
          <w:rFonts w:cs="Arial"/>
          <w:szCs w:val="22"/>
        </w:rPr>
        <w:t>Clause 10 heading</w:t>
      </w:r>
      <w:r w:rsidRPr="00A56F9F">
        <w:rPr>
          <w:rFonts w:cs="Arial"/>
          <w:szCs w:val="22"/>
        </w:rPr>
        <w:t xml:space="preserve"> </w:t>
      </w:r>
    </w:p>
    <w:p w:rsidR="0039577D" w:rsidRDefault="0039577D" w:rsidP="0039577D">
      <w:pPr>
        <w:ind w:left="1134" w:hanging="1134"/>
        <w:rPr>
          <w:rFonts w:cs="Arial"/>
          <w:bCs/>
          <w:szCs w:val="22"/>
        </w:rPr>
      </w:pPr>
      <w:r>
        <w:rPr>
          <w:rFonts w:cs="Arial"/>
          <w:b/>
          <w:bCs/>
          <w:szCs w:val="22"/>
        </w:rPr>
        <w:t>Issue</w:t>
      </w:r>
      <w:r w:rsidR="002B6004">
        <w:rPr>
          <w:rFonts w:cs="Arial"/>
          <w:b/>
          <w:bCs/>
          <w:szCs w:val="22"/>
        </w:rPr>
        <w:t xml:space="preserve"> (new)</w:t>
      </w:r>
      <w:r>
        <w:rPr>
          <w:rFonts w:cs="Arial"/>
          <w:b/>
          <w:bCs/>
          <w:szCs w:val="22"/>
        </w:rPr>
        <w:t xml:space="preserve">: </w:t>
      </w:r>
      <w:r w:rsidR="00DB5969">
        <w:rPr>
          <w:rFonts w:cs="Arial"/>
          <w:szCs w:val="22"/>
        </w:rPr>
        <w:t>A submitter suggested that the heading of clause 10 – ‘Food that must be drained before consumption’ could be amended in a similar manner to the amendment to the clause 11 heading (issue 36).</w:t>
      </w:r>
    </w:p>
    <w:p w:rsidR="0039577D" w:rsidRPr="00A56F9F" w:rsidRDefault="0039577D" w:rsidP="0039577D">
      <w:pPr>
        <w:ind w:left="1134" w:hanging="1134"/>
        <w:rPr>
          <w:rFonts w:cs="Arial"/>
          <w:szCs w:val="22"/>
        </w:rPr>
      </w:pPr>
      <w:r w:rsidRPr="00A56F9F">
        <w:rPr>
          <w:rFonts w:cs="Arial"/>
          <w:b/>
          <w:bCs/>
          <w:szCs w:val="22"/>
        </w:rPr>
        <w:t>Solution:</w:t>
      </w:r>
      <w:r w:rsidRPr="00A56F9F">
        <w:rPr>
          <w:rFonts w:cs="Arial"/>
          <w:b/>
          <w:bCs/>
          <w:szCs w:val="22"/>
        </w:rPr>
        <w:tab/>
      </w:r>
      <w:r w:rsidR="00DB5969" w:rsidRPr="00DB5969">
        <w:rPr>
          <w:rFonts w:cs="Arial"/>
          <w:bCs/>
          <w:szCs w:val="22"/>
        </w:rPr>
        <w:t xml:space="preserve">FSANZ agrees and </w:t>
      </w:r>
      <w:r w:rsidR="00836479">
        <w:rPr>
          <w:rFonts w:cs="Arial"/>
          <w:bCs/>
          <w:szCs w:val="22"/>
        </w:rPr>
        <w:t xml:space="preserve">has </w:t>
      </w:r>
      <w:r w:rsidR="00DB5969" w:rsidRPr="00DB5969">
        <w:rPr>
          <w:rFonts w:cs="Arial"/>
          <w:bCs/>
          <w:szCs w:val="22"/>
        </w:rPr>
        <w:t>therefore a</w:t>
      </w:r>
      <w:r w:rsidRPr="00DB5969">
        <w:rPr>
          <w:rFonts w:cs="Arial"/>
          <w:bCs/>
          <w:szCs w:val="22"/>
        </w:rPr>
        <w:t>mend</w:t>
      </w:r>
      <w:r w:rsidR="00836479">
        <w:rPr>
          <w:rFonts w:cs="Arial"/>
          <w:bCs/>
          <w:szCs w:val="22"/>
        </w:rPr>
        <w:t>ed</w:t>
      </w:r>
      <w:r w:rsidRPr="00DB5969">
        <w:rPr>
          <w:rFonts w:cs="Arial"/>
          <w:bCs/>
          <w:szCs w:val="22"/>
        </w:rPr>
        <w:t xml:space="preserve"> </w:t>
      </w:r>
      <w:r w:rsidR="00DB5969" w:rsidRPr="00DB5969">
        <w:rPr>
          <w:rFonts w:cs="Arial"/>
          <w:bCs/>
          <w:szCs w:val="22"/>
        </w:rPr>
        <w:t xml:space="preserve">the </w:t>
      </w:r>
      <w:r w:rsidRPr="00DB5969">
        <w:rPr>
          <w:rFonts w:cs="Arial"/>
          <w:bCs/>
          <w:szCs w:val="22"/>
        </w:rPr>
        <w:t>heading to ‘food intended to be drained before consumption’.</w:t>
      </w:r>
      <w:r>
        <w:rPr>
          <w:rFonts w:cs="Arial"/>
          <w:szCs w:val="22"/>
        </w:rPr>
        <w:t xml:space="preserve"> </w:t>
      </w:r>
    </w:p>
    <w:p w:rsidR="0039577D" w:rsidRPr="0091567F" w:rsidRDefault="0039577D" w:rsidP="00A56F9F"/>
    <w:p w:rsidR="00A56F9F" w:rsidRPr="0091567F" w:rsidRDefault="00A56F9F" w:rsidP="00A56F9F">
      <w:pPr>
        <w:ind w:left="1134" w:hanging="1134"/>
      </w:pPr>
      <w:r w:rsidRPr="0091567F">
        <w:rPr>
          <w:b/>
          <w:bCs/>
        </w:rPr>
        <w:t>Location</w:t>
      </w:r>
      <w:r w:rsidRPr="0091567F">
        <w:t>:</w:t>
      </w:r>
      <w:r w:rsidRPr="0091567F">
        <w:tab/>
        <w:t>Clause 11 heading ‘Food to be prepared or consumed with other food’</w:t>
      </w:r>
    </w:p>
    <w:p w:rsidR="00A56F9F" w:rsidRPr="0091567F" w:rsidRDefault="00A56F9F" w:rsidP="00A56F9F">
      <w:pPr>
        <w:ind w:left="1134" w:hanging="1134"/>
      </w:pPr>
      <w:r w:rsidRPr="0091567F">
        <w:rPr>
          <w:b/>
          <w:bCs/>
        </w:rPr>
        <w:t>Issue 36</w:t>
      </w:r>
      <w:r w:rsidRPr="0091567F">
        <w:t>:</w:t>
      </w:r>
      <w:r w:rsidRPr="0091567F">
        <w:tab/>
      </w:r>
      <w:r w:rsidRPr="0091567F">
        <w:rPr>
          <w:lang w:val="en-AU"/>
        </w:rPr>
        <w:t xml:space="preserve">The heading appears as if the clause is an instruction to prepare or consume food with other food. </w:t>
      </w:r>
    </w:p>
    <w:p w:rsidR="00A56F9F" w:rsidRPr="0091567F" w:rsidRDefault="00A56F9F" w:rsidP="00A56F9F">
      <w:pPr>
        <w:ind w:left="1134" w:hanging="1134"/>
        <w:rPr>
          <w:lang w:val="en-AU"/>
        </w:rPr>
      </w:pPr>
      <w:r w:rsidRPr="0091567F">
        <w:rPr>
          <w:b/>
          <w:bCs/>
        </w:rPr>
        <w:t>Solution</w:t>
      </w:r>
      <w:r w:rsidRPr="0091567F">
        <w:t>:</w:t>
      </w:r>
      <w:r w:rsidRPr="0091567F">
        <w:tab/>
        <w:t xml:space="preserve">Add the word ‘intended’ to this heading. </w:t>
      </w:r>
      <w:r w:rsidRPr="0091567F">
        <w:rPr>
          <w:lang w:val="en-AU"/>
        </w:rPr>
        <w:t xml:space="preserve"> </w:t>
      </w:r>
    </w:p>
    <w:p w:rsidR="00A56F9F" w:rsidRPr="0091567F" w:rsidRDefault="00A56F9F" w:rsidP="00A56F9F">
      <w:pPr>
        <w:widowControl/>
        <w:rPr>
          <w:b/>
          <w:bCs/>
        </w:rPr>
      </w:pPr>
    </w:p>
    <w:p w:rsidR="00A56F9F" w:rsidRPr="00694BC5" w:rsidRDefault="00A56F9F" w:rsidP="00A56F9F">
      <w:pPr>
        <w:ind w:left="1134" w:hanging="1134"/>
      </w:pPr>
      <w:r w:rsidRPr="00694BC5">
        <w:rPr>
          <w:b/>
          <w:bCs/>
        </w:rPr>
        <w:t>Location</w:t>
      </w:r>
      <w:r w:rsidRPr="00694BC5">
        <w:t>:</w:t>
      </w:r>
      <w:r w:rsidRPr="00694BC5">
        <w:tab/>
        <w:t>Clause 11</w:t>
      </w:r>
    </w:p>
    <w:p w:rsidR="00A56F9F" w:rsidRPr="00694BC5" w:rsidRDefault="00A56F9F" w:rsidP="00A56F9F">
      <w:pPr>
        <w:ind w:left="1134" w:hanging="1134"/>
      </w:pPr>
      <w:r w:rsidRPr="00694BC5">
        <w:rPr>
          <w:b/>
          <w:bCs/>
        </w:rPr>
        <w:t>Issue 37</w:t>
      </w:r>
      <w:r w:rsidRPr="00694BC5">
        <w:t>:</w:t>
      </w:r>
      <w:r w:rsidRPr="00694BC5">
        <w:tab/>
      </w:r>
      <w:r w:rsidRPr="00694BC5">
        <w:rPr>
          <w:lang w:val="en-AU"/>
        </w:rPr>
        <w:t xml:space="preserve">It is not clear that the third column of the nutrition information panel should indicate the average energy content and average quantities of the nutrients and biologically active substances of the combined foods, when the food in the package is prepared or consumed with other foods. </w:t>
      </w:r>
    </w:p>
    <w:p w:rsidR="00A56F9F" w:rsidRPr="00694BC5" w:rsidRDefault="00A56F9F" w:rsidP="00A56F9F">
      <w:pPr>
        <w:ind w:left="1134" w:hanging="1134"/>
        <w:rPr>
          <w:lang w:val="en-AU"/>
        </w:rPr>
      </w:pPr>
      <w:r w:rsidRPr="00694BC5">
        <w:rPr>
          <w:b/>
          <w:bCs/>
        </w:rPr>
        <w:t>Solution</w:t>
      </w:r>
      <w:r w:rsidRPr="00694BC5">
        <w:t>:</w:t>
      </w:r>
      <w:r w:rsidRPr="00694BC5">
        <w:tab/>
        <w:t xml:space="preserve">Amend to clarify the intent as outlined above. </w:t>
      </w:r>
    </w:p>
    <w:p w:rsidR="00A56F9F" w:rsidRPr="00FF6281" w:rsidRDefault="00A56F9F" w:rsidP="00A56F9F"/>
    <w:p w:rsidR="00A56F9F" w:rsidRPr="00FF6281" w:rsidRDefault="00A56F9F" w:rsidP="00A56F9F">
      <w:pPr>
        <w:ind w:left="1134" w:hanging="1134"/>
      </w:pPr>
      <w:r w:rsidRPr="00FF6281">
        <w:rPr>
          <w:b/>
          <w:bCs/>
        </w:rPr>
        <w:t>Location</w:t>
      </w:r>
      <w:r w:rsidRPr="00FF6281">
        <w:t>:</w:t>
      </w:r>
      <w:r w:rsidRPr="00FF6281">
        <w:tab/>
        <w:t>Subclause 13(5), reference to the declaration of ‘alpha-linolenic acid, docosahexaenoic acid and/or eicosapentaenoic acid’</w:t>
      </w:r>
    </w:p>
    <w:p w:rsidR="007F4AAA" w:rsidRDefault="00A56F9F" w:rsidP="00A56F9F">
      <w:pPr>
        <w:ind w:left="1134" w:hanging="1134"/>
        <w:rPr>
          <w:rFonts w:cs="Arial"/>
          <w:szCs w:val="22"/>
        </w:rPr>
      </w:pPr>
      <w:r w:rsidRPr="00FF6281">
        <w:rPr>
          <w:b/>
          <w:bCs/>
        </w:rPr>
        <w:t>Issue 38</w:t>
      </w:r>
      <w:r w:rsidRPr="00FF6281">
        <w:t>:</w:t>
      </w:r>
      <w:r w:rsidRPr="00FF6281">
        <w:tab/>
      </w:r>
      <w:r w:rsidRPr="00FF6281">
        <w:rPr>
          <w:rFonts w:cs="Arial"/>
          <w:szCs w:val="22"/>
        </w:rPr>
        <w:t xml:space="preserve">OLDP recommendation to </w:t>
      </w:r>
      <w:r w:rsidRPr="00FF6281">
        <w:rPr>
          <w:rFonts w:cs="Arial"/>
          <w:szCs w:val="22"/>
          <w:lang w:val="en-AU"/>
        </w:rPr>
        <w:t xml:space="preserve">clarify meaning of </w:t>
      </w:r>
      <w:r w:rsidRPr="00FF6281">
        <w:rPr>
          <w:rFonts w:cs="Arial"/>
          <w:szCs w:val="22"/>
        </w:rPr>
        <w:t>‘and/or’</w:t>
      </w:r>
      <w:r w:rsidR="00543E2F" w:rsidRPr="00FF6281">
        <w:rPr>
          <w:rFonts w:cs="Arial"/>
          <w:szCs w:val="22"/>
        </w:rPr>
        <w:t xml:space="preserve">. </w:t>
      </w:r>
    </w:p>
    <w:p w:rsidR="00A56F9F" w:rsidRPr="00FF6281" w:rsidRDefault="00A56F9F" w:rsidP="00A56F9F">
      <w:pPr>
        <w:ind w:left="1134" w:hanging="1134"/>
      </w:pPr>
      <w:r w:rsidRPr="00FF6281">
        <w:rPr>
          <w:rFonts w:cs="Arial"/>
          <w:b/>
          <w:bCs/>
          <w:szCs w:val="22"/>
        </w:rPr>
        <w:t>Solution</w:t>
      </w:r>
      <w:r w:rsidRPr="00FF6281">
        <w:rPr>
          <w:rFonts w:cs="Arial"/>
          <w:szCs w:val="22"/>
        </w:rPr>
        <w:t>:</w:t>
      </w:r>
      <w:r w:rsidRPr="00FF6281">
        <w:rPr>
          <w:rFonts w:cs="Arial"/>
          <w:szCs w:val="22"/>
        </w:rPr>
        <w:tab/>
      </w:r>
      <w:r w:rsidRPr="00FF6281">
        <w:t xml:space="preserve">Redraft to clarify that the clause refers to the declaration of alpha-linolenic acid, docosahexaenoic acid or eicosapentaenoic acid, or a combination.  </w:t>
      </w:r>
    </w:p>
    <w:p w:rsidR="00A56F9F" w:rsidRPr="00FF6281" w:rsidRDefault="00A56F9F" w:rsidP="00A56F9F"/>
    <w:p w:rsidR="00543E2F" w:rsidRPr="00FF6281" w:rsidRDefault="00543E2F" w:rsidP="00543E2F">
      <w:pPr>
        <w:ind w:left="1134" w:hanging="1134"/>
      </w:pPr>
      <w:r w:rsidRPr="00FF6281">
        <w:rPr>
          <w:b/>
          <w:bCs/>
        </w:rPr>
        <w:t>Location</w:t>
      </w:r>
      <w:r w:rsidRPr="00FF6281">
        <w:t>:</w:t>
      </w:r>
      <w:r w:rsidRPr="00FF6281">
        <w:tab/>
        <w:t>Subclause 1</w:t>
      </w:r>
      <w:r w:rsidR="00FF6281" w:rsidRPr="00FF6281">
        <w:t>3(5)</w:t>
      </w:r>
    </w:p>
    <w:p w:rsidR="00543E2F" w:rsidRPr="00FF6281" w:rsidRDefault="00543E2F" w:rsidP="00543E2F">
      <w:pPr>
        <w:ind w:left="1134" w:hanging="1134"/>
        <w:rPr>
          <w:rFonts w:cs="Arial"/>
          <w:szCs w:val="22"/>
        </w:rPr>
      </w:pPr>
      <w:r w:rsidRPr="00FF6281">
        <w:rPr>
          <w:b/>
          <w:bCs/>
        </w:rPr>
        <w:t>Issue</w:t>
      </w:r>
      <w:r w:rsidR="007F4AAA">
        <w:rPr>
          <w:b/>
          <w:bCs/>
        </w:rPr>
        <w:t xml:space="preserve"> (new)</w:t>
      </w:r>
      <w:r w:rsidR="007F4AAA">
        <w:t xml:space="preserve">: </w:t>
      </w:r>
      <w:r w:rsidRPr="00FF6281">
        <w:t>S</w:t>
      </w:r>
      <w:r w:rsidRPr="00FF6281">
        <w:rPr>
          <w:rFonts w:cs="Arial"/>
          <w:szCs w:val="22"/>
        </w:rPr>
        <w:t xml:space="preserve">ince the release of the Assessment Report, FSANZ </w:t>
      </w:r>
      <w:r w:rsidR="00DC60E4" w:rsidRPr="00FF6281">
        <w:rPr>
          <w:rFonts w:cs="Arial"/>
          <w:szCs w:val="22"/>
        </w:rPr>
        <w:t>ha</w:t>
      </w:r>
      <w:r w:rsidR="00DC60E4">
        <w:rPr>
          <w:rFonts w:cs="Arial"/>
          <w:szCs w:val="22"/>
        </w:rPr>
        <w:t>s</w:t>
      </w:r>
      <w:r w:rsidR="00DC60E4" w:rsidRPr="00FF6281">
        <w:rPr>
          <w:rFonts w:cs="Arial"/>
          <w:szCs w:val="22"/>
        </w:rPr>
        <w:t xml:space="preserve"> </w:t>
      </w:r>
      <w:r w:rsidRPr="00FF6281">
        <w:rPr>
          <w:rFonts w:cs="Arial"/>
          <w:szCs w:val="22"/>
        </w:rPr>
        <w:t>identified that this subcla</w:t>
      </w:r>
      <w:r w:rsidR="00FF6281" w:rsidRPr="00FF6281">
        <w:rPr>
          <w:rFonts w:cs="Arial"/>
          <w:szCs w:val="22"/>
        </w:rPr>
        <w:t>u</w:t>
      </w:r>
      <w:r w:rsidRPr="00FF6281">
        <w:rPr>
          <w:rFonts w:cs="Arial"/>
          <w:szCs w:val="22"/>
        </w:rPr>
        <w:t xml:space="preserve">se </w:t>
      </w:r>
      <w:r w:rsidR="00853D54">
        <w:rPr>
          <w:rFonts w:cs="Arial"/>
          <w:szCs w:val="22"/>
        </w:rPr>
        <w:t>refers to</w:t>
      </w:r>
      <w:r w:rsidRPr="00FF6281">
        <w:rPr>
          <w:rFonts w:cs="Arial"/>
          <w:szCs w:val="22"/>
        </w:rPr>
        <w:t xml:space="preserve"> the </w:t>
      </w:r>
      <w:r w:rsidR="00FF6281" w:rsidRPr="00FF6281">
        <w:rPr>
          <w:rFonts w:cs="Arial"/>
          <w:szCs w:val="22"/>
        </w:rPr>
        <w:t>d</w:t>
      </w:r>
      <w:r w:rsidRPr="00FF6281">
        <w:rPr>
          <w:rFonts w:cs="Arial"/>
          <w:szCs w:val="22"/>
        </w:rPr>
        <w:t>eclaration of the ‘source’ of the omeg</w:t>
      </w:r>
      <w:r w:rsidR="00FF6281" w:rsidRPr="00FF6281">
        <w:rPr>
          <w:rFonts w:cs="Arial"/>
          <w:szCs w:val="22"/>
        </w:rPr>
        <w:t>a</w:t>
      </w:r>
      <w:r w:rsidRPr="00FF6281">
        <w:rPr>
          <w:rFonts w:cs="Arial"/>
          <w:szCs w:val="22"/>
        </w:rPr>
        <w:t xml:space="preserve"> 3 fatty acids</w:t>
      </w:r>
      <w:r w:rsidR="00FF6281" w:rsidRPr="00FF6281">
        <w:rPr>
          <w:rFonts w:cs="Arial"/>
          <w:szCs w:val="22"/>
        </w:rPr>
        <w:t xml:space="preserve">, i.e. </w:t>
      </w:r>
      <w:r w:rsidR="00FF6281" w:rsidRPr="00FF6281">
        <w:t xml:space="preserve">alpha-linolenic acid, docosahexaenoic acid or eicosapentaenoic acid, however’ the word ‘source’ is not the most appropriate word to describe these types of </w:t>
      </w:r>
      <w:r w:rsidR="007F4AAA">
        <w:t xml:space="preserve">omega 3 </w:t>
      </w:r>
      <w:r w:rsidR="00FF6281" w:rsidRPr="00FF6281">
        <w:t xml:space="preserve">fatty acids. </w:t>
      </w:r>
    </w:p>
    <w:p w:rsidR="00742C40" w:rsidRDefault="00543E2F" w:rsidP="00543E2F">
      <w:pPr>
        <w:ind w:left="1134" w:hanging="1134"/>
      </w:pPr>
      <w:r w:rsidRPr="00FF6281">
        <w:rPr>
          <w:rFonts w:cs="Arial"/>
          <w:b/>
          <w:bCs/>
          <w:szCs w:val="22"/>
        </w:rPr>
        <w:t>Solution</w:t>
      </w:r>
      <w:r w:rsidRPr="00FF6281">
        <w:rPr>
          <w:rFonts w:cs="Arial"/>
          <w:szCs w:val="22"/>
        </w:rPr>
        <w:t>:</w:t>
      </w:r>
      <w:r w:rsidRPr="00FF6281">
        <w:rPr>
          <w:rFonts w:cs="Arial"/>
          <w:szCs w:val="22"/>
        </w:rPr>
        <w:tab/>
      </w:r>
      <w:r w:rsidR="00FF6281" w:rsidRPr="00FF6281">
        <w:t xml:space="preserve">Replace ‘source’ with ‘type’. </w:t>
      </w:r>
      <w:r w:rsidR="00742C40">
        <w:br w:type="page"/>
      </w:r>
    </w:p>
    <w:p w:rsidR="00A56F9F" w:rsidRPr="0091567F" w:rsidRDefault="00A56F9F" w:rsidP="00A56F9F">
      <w:pPr>
        <w:pStyle w:val="Heading3"/>
      </w:pPr>
      <w:bookmarkStart w:id="53" w:name="_Toc280003204"/>
      <w:bookmarkStart w:id="54" w:name="_Toc290973027"/>
      <w:r w:rsidRPr="0091567F">
        <w:lastRenderedPageBreak/>
        <w:t>3.10</w:t>
      </w:r>
      <w:r w:rsidRPr="0091567F">
        <w:tab/>
        <w:t>Standard 1.2.9 – Legibility</w:t>
      </w:r>
      <w:bookmarkEnd w:id="53"/>
      <w:bookmarkEnd w:id="54"/>
      <w:r w:rsidRPr="0091567F">
        <w:t xml:space="preserve"> </w:t>
      </w:r>
    </w:p>
    <w:p w:rsidR="00A56F9F" w:rsidRPr="0091567F" w:rsidRDefault="00A56F9F" w:rsidP="00A56F9F"/>
    <w:p w:rsidR="00A56F9F" w:rsidRPr="0091567F" w:rsidRDefault="00A56F9F" w:rsidP="00A56F9F">
      <w:pPr>
        <w:ind w:left="1134" w:hanging="1134"/>
      </w:pPr>
      <w:r w:rsidRPr="0091567F">
        <w:rPr>
          <w:b/>
          <w:bCs/>
        </w:rPr>
        <w:t>Location</w:t>
      </w:r>
      <w:r w:rsidRPr="0091567F">
        <w:t>:</w:t>
      </w:r>
      <w:r w:rsidRPr="0091567F">
        <w:tab/>
        <w:t>Clause 3</w:t>
      </w:r>
    </w:p>
    <w:p w:rsidR="00A56F9F" w:rsidRPr="0091567F" w:rsidRDefault="00A56F9F" w:rsidP="00A56F9F">
      <w:pPr>
        <w:ind w:left="1134" w:hanging="1134"/>
      </w:pPr>
      <w:r w:rsidRPr="0091567F">
        <w:rPr>
          <w:b/>
          <w:bCs/>
        </w:rPr>
        <w:t>Issue 39</w:t>
      </w:r>
      <w:r w:rsidRPr="0091567F">
        <w:t>:</w:t>
      </w:r>
      <w:r w:rsidRPr="0091567F">
        <w:tab/>
      </w:r>
      <w:r w:rsidRPr="0091567F">
        <w:rPr>
          <w:lang w:val="en-AU"/>
        </w:rPr>
        <w:t xml:space="preserve">The formatting of ‘3mm’ and ‘1.5mm’ is incorrect (no space before the mm). </w:t>
      </w:r>
    </w:p>
    <w:p w:rsidR="00A56F9F" w:rsidRPr="0091567F" w:rsidRDefault="00A56F9F" w:rsidP="00A56F9F">
      <w:pPr>
        <w:ind w:left="1134" w:hanging="1134"/>
        <w:rPr>
          <w:lang w:val="en-AU"/>
        </w:rPr>
      </w:pPr>
      <w:r w:rsidRPr="0091567F">
        <w:rPr>
          <w:b/>
          <w:bCs/>
        </w:rPr>
        <w:t>Solution</w:t>
      </w:r>
      <w:r w:rsidRPr="0091567F">
        <w:t>:</w:t>
      </w:r>
      <w:r w:rsidRPr="0091567F">
        <w:tab/>
      </w:r>
      <w:r w:rsidRPr="0091567F">
        <w:rPr>
          <w:lang w:val="en-AU"/>
        </w:rPr>
        <w:t xml:space="preserve">Correct formatting. </w:t>
      </w:r>
    </w:p>
    <w:p w:rsidR="0091567F" w:rsidRPr="0091567F" w:rsidRDefault="0091567F" w:rsidP="00A56F9F">
      <w:pPr>
        <w:ind w:left="1134" w:hanging="1134"/>
        <w:rPr>
          <w:rFonts w:ascii="Arial Bold" w:hAnsi="Arial Bold" w:cs="Arial Unicode MS"/>
          <w:b/>
          <w:bCs/>
          <w:szCs w:val="26"/>
        </w:rPr>
      </w:pPr>
    </w:p>
    <w:p w:rsidR="00A56F9F" w:rsidRPr="0091567F" w:rsidRDefault="00A56F9F" w:rsidP="00A56F9F">
      <w:pPr>
        <w:pStyle w:val="Heading3"/>
      </w:pPr>
      <w:bookmarkStart w:id="55" w:name="_Toc280003205"/>
      <w:bookmarkStart w:id="56" w:name="_Toc290973028"/>
      <w:r w:rsidRPr="0091567F">
        <w:t>3.11</w:t>
      </w:r>
      <w:r w:rsidRPr="0091567F">
        <w:tab/>
        <w:t>Standard 1.2.10 – Characterising Ingredients and Components of Food</w:t>
      </w:r>
      <w:bookmarkEnd w:id="55"/>
      <w:bookmarkEnd w:id="56"/>
    </w:p>
    <w:p w:rsidR="00A56F9F" w:rsidRPr="0091567F" w:rsidRDefault="00A56F9F" w:rsidP="00A56F9F">
      <w:pPr>
        <w:rPr>
          <w:b/>
          <w:bCs/>
        </w:rPr>
      </w:pPr>
    </w:p>
    <w:p w:rsidR="00A56F9F" w:rsidRPr="00F46AC1" w:rsidRDefault="00A56F9F" w:rsidP="00A56F9F">
      <w:r w:rsidRPr="00F46AC1">
        <w:rPr>
          <w:b/>
          <w:bCs/>
        </w:rPr>
        <w:t>Location</w:t>
      </w:r>
      <w:r w:rsidRPr="00F46AC1">
        <w:t>:</w:t>
      </w:r>
      <w:r w:rsidRPr="00F46AC1">
        <w:tab/>
        <w:t>Subclauses 5(2) and 7(2)</w:t>
      </w:r>
    </w:p>
    <w:p w:rsidR="00A56F9F" w:rsidRPr="00F46AC1" w:rsidRDefault="00A56F9F" w:rsidP="00A56F9F">
      <w:pPr>
        <w:ind w:left="1134" w:hanging="1134"/>
      </w:pPr>
      <w:r w:rsidRPr="00F46AC1">
        <w:rPr>
          <w:b/>
          <w:bCs/>
        </w:rPr>
        <w:t>Issue 40</w:t>
      </w:r>
      <w:r w:rsidRPr="00F46AC1">
        <w:t>:</w:t>
      </w:r>
      <w:r w:rsidRPr="00F46AC1">
        <w:tab/>
        <w:t xml:space="preserve">Subclause 5(2) was previously amended to indicate that the declared percentage ‘may’ be rounded rather than ‘must’ be rounded, so that low percentages (less than 5%) of characterising ingredients didn’t have to be rounded to 0.0%. However this amendment inadvertently also removed the requirement to round percentages of 5% and greater to the nearest whole number. </w:t>
      </w:r>
    </w:p>
    <w:p w:rsidR="00A56F9F" w:rsidRPr="00F46AC1" w:rsidRDefault="00A56F9F" w:rsidP="00A56F9F">
      <w:pPr>
        <w:ind w:left="1134" w:hanging="1134"/>
      </w:pPr>
      <w:r w:rsidRPr="00F46AC1">
        <w:tab/>
        <w:t xml:space="preserve">Under subclause 7(2), the percentage of the characterising component ‘must’ be rounded to the nearest whole number or 0.5 decimal place. This is inconsistent with subclause 5(2). </w:t>
      </w:r>
    </w:p>
    <w:p w:rsidR="00F46AC1" w:rsidRPr="00F46AC1" w:rsidRDefault="00A56F9F" w:rsidP="00F46AC1">
      <w:pPr>
        <w:ind w:left="1134" w:hanging="1134"/>
      </w:pPr>
      <w:r w:rsidRPr="00F46AC1">
        <w:rPr>
          <w:b/>
          <w:bCs/>
        </w:rPr>
        <w:t>Solution</w:t>
      </w:r>
      <w:r w:rsidR="00F46AC1" w:rsidRPr="00F46AC1">
        <w:rPr>
          <w:b/>
          <w:bCs/>
        </w:rPr>
        <w:t xml:space="preserve"> proposed in Assessment Report</w:t>
      </w:r>
      <w:r w:rsidRPr="00F46AC1">
        <w:t>:</w:t>
      </w:r>
      <w:r w:rsidRPr="00F46AC1">
        <w:tab/>
        <w:t xml:space="preserve">Amend both subclauses to require that for declarations of 5% or greater, the percentage must be rounded to the nearest whole number and for declarations of less than 5%, the percentage may be rounded to the nearest 0.5%. </w:t>
      </w:r>
    </w:p>
    <w:p w:rsidR="002932EE" w:rsidRDefault="00F46AC1" w:rsidP="00F46AC1">
      <w:pPr>
        <w:ind w:left="1134" w:hanging="1134"/>
        <w:rPr>
          <w:rFonts w:cs="Arial"/>
          <w:bCs/>
          <w:szCs w:val="22"/>
        </w:rPr>
      </w:pPr>
      <w:r w:rsidRPr="00F46AC1">
        <w:rPr>
          <w:rFonts w:cs="Arial"/>
          <w:b/>
          <w:bCs/>
          <w:szCs w:val="22"/>
        </w:rPr>
        <w:t xml:space="preserve">Submitter comments and FSANZ response: </w:t>
      </w:r>
      <w:r w:rsidRPr="00F46AC1">
        <w:rPr>
          <w:rFonts w:cs="Arial"/>
          <w:bCs/>
          <w:szCs w:val="22"/>
        </w:rPr>
        <w:t xml:space="preserve">Some submitters expressed concern that the amendment to require the declared percentages to be rounded is prescriptive given the declaration is for information, not health and safety. </w:t>
      </w:r>
    </w:p>
    <w:p w:rsidR="00F46AC1" w:rsidRPr="00F46AC1" w:rsidRDefault="00C860E5" w:rsidP="002932EE">
      <w:pPr>
        <w:ind w:left="1134"/>
      </w:pPr>
      <w:r>
        <w:rPr>
          <w:rFonts w:cs="Arial"/>
          <w:bCs/>
          <w:szCs w:val="22"/>
        </w:rPr>
        <w:t>FSANZ agrees that it would be appropriate for industry to determine whether or not to round the percentage</w:t>
      </w:r>
      <w:r w:rsidR="002B54EA">
        <w:rPr>
          <w:rFonts w:cs="Arial"/>
          <w:bCs/>
          <w:szCs w:val="22"/>
        </w:rPr>
        <w:t>. It is noted that</w:t>
      </w:r>
      <w:r>
        <w:rPr>
          <w:rFonts w:cs="Arial"/>
          <w:bCs/>
          <w:szCs w:val="22"/>
        </w:rPr>
        <w:t xml:space="preserve"> </w:t>
      </w:r>
      <w:r w:rsidR="002B54EA">
        <w:rPr>
          <w:rFonts w:cs="Arial"/>
          <w:bCs/>
          <w:szCs w:val="22"/>
        </w:rPr>
        <w:t>rounding of the</w:t>
      </w:r>
      <w:r>
        <w:rPr>
          <w:rFonts w:cs="Arial"/>
          <w:bCs/>
          <w:szCs w:val="22"/>
        </w:rPr>
        <w:t xml:space="preserve"> percentage will not </w:t>
      </w:r>
      <w:r w:rsidR="002B54EA">
        <w:rPr>
          <w:rFonts w:cs="Arial"/>
          <w:bCs/>
          <w:szCs w:val="22"/>
        </w:rPr>
        <w:t>impact on whether or not the declaration is</w:t>
      </w:r>
      <w:r>
        <w:rPr>
          <w:rFonts w:cs="Arial"/>
          <w:bCs/>
          <w:szCs w:val="22"/>
        </w:rPr>
        <w:t xml:space="preserve"> misleading. </w:t>
      </w:r>
      <w:r w:rsidR="00D1209A">
        <w:rPr>
          <w:rFonts w:cs="Arial"/>
          <w:bCs/>
          <w:szCs w:val="22"/>
        </w:rPr>
        <w:t>Therefore only s</w:t>
      </w:r>
      <w:r w:rsidR="00F46AC1" w:rsidRPr="00F46AC1">
        <w:t xml:space="preserve">ubclause 7(2) </w:t>
      </w:r>
      <w:r w:rsidR="00836479">
        <w:t>has been</w:t>
      </w:r>
      <w:r w:rsidR="00D1209A">
        <w:t xml:space="preserve"> amended</w:t>
      </w:r>
      <w:r w:rsidR="00F46AC1" w:rsidRPr="00F46AC1">
        <w:t xml:space="preserve">, to permit rather than require the declared percentage to be rounded, for consistency with subclause </w:t>
      </w:r>
      <w:r w:rsidR="00EB5882">
        <w:t>5</w:t>
      </w:r>
      <w:r w:rsidR="00F46AC1" w:rsidRPr="00F46AC1">
        <w:t xml:space="preserve">(2). </w:t>
      </w:r>
    </w:p>
    <w:p w:rsidR="00A56F9F" w:rsidRPr="00F46AC1" w:rsidRDefault="00A56F9F" w:rsidP="00A56F9F">
      <w:pPr>
        <w:ind w:left="1134" w:hanging="1134"/>
      </w:pPr>
    </w:p>
    <w:p w:rsidR="00A56F9F" w:rsidRPr="0091567F" w:rsidRDefault="00A56F9F" w:rsidP="00A56F9F">
      <w:pPr>
        <w:pStyle w:val="Heading3"/>
      </w:pPr>
      <w:bookmarkStart w:id="57" w:name="_Toc280003206"/>
      <w:bookmarkStart w:id="58" w:name="_Toc290973029"/>
      <w:r w:rsidRPr="0091567F">
        <w:t>3.12</w:t>
      </w:r>
      <w:r w:rsidRPr="0091567F">
        <w:tab/>
        <w:t>Standard 1.2.11 – Country of Origin Requirements</w:t>
      </w:r>
      <w:bookmarkEnd w:id="57"/>
      <w:bookmarkEnd w:id="58"/>
    </w:p>
    <w:p w:rsidR="00A56F9F" w:rsidRPr="0091567F" w:rsidRDefault="00A56F9F" w:rsidP="00A56F9F"/>
    <w:p w:rsidR="00A56F9F" w:rsidRPr="0091567F" w:rsidRDefault="00A56F9F" w:rsidP="00A56F9F">
      <w:pPr>
        <w:ind w:left="1134" w:hanging="1134"/>
      </w:pPr>
      <w:r w:rsidRPr="0091567F">
        <w:rPr>
          <w:b/>
          <w:bCs/>
        </w:rPr>
        <w:t>Location</w:t>
      </w:r>
      <w:r w:rsidRPr="0091567F">
        <w:t>:</w:t>
      </w:r>
      <w:r w:rsidRPr="0091567F">
        <w:tab/>
        <w:t>Subclauses 1(4) and 1(5)</w:t>
      </w:r>
    </w:p>
    <w:p w:rsidR="00A56F9F" w:rsidRPr="0091567F" w:rsidRDefault="00A56F9F" w:rsidP="00A56F9F">
      <w:pPr>
        <w:ind w:left="1134" w:hanging="1134"/>
      </w:pPr>
      <w:r w:rsidRPr="0091567F">
        <w:rPr>
          <w:b/>
          <w:bCs/>
        </w:rPr>
        <w:t>Issue 41</w:t>
      </w:r>
      <w:r w:rsidRPr="0091567F">
        <w:t>:</w:t>
      </w:r>
      <w:r w:rsidRPr="0091567F">
        <w:tab/>
      </w:r>
      <w:r w:rsidRPr="0091567F">
        <w:rPr>
          <w:lang w:val="en-AU"/>
        </w:rPr>
        <w:t xml:space="preserve">These subclauses provided the dates of commencement (being 2006) of certain requirements in the Standard and are no longer necessary. </w:t>
      </w:r>
    </w:p>
    <w:p w:rsidR="00A56F9F" w:rsidRPr="0091567F" w:rsidRDefault="00A56F9F" w:rsidP="00A56F9F">
      <w:pPr>
        <w:ind w:left="1134" w:hanging="1134"/>
        <w:rPr>
          <w:lang w:val="en-AU"/>
        </w:rPr>
      </w:pPr>
      <w:r w:rsidRPr="0091567F">
        <w:rPr>
          <w:b/>
          <w:bCs/>
        </w:rPr>
        <w:t>Solution</w:t>
      </w:r>
      <w:r w:rsidRPr="0091567F">
        <w:t>:</w:t>
      </w:r>
      <w:r w:rsidRPr="0091567F">
        <w:tab/>
      </w:r>
      <w:r w:rsidRPr="0091567F">
        <w:rPr>
          <w:lang w:val="en-AU"/>
        </w:rPr>
        <w:t xml:space="preserve">Remove subclauses. </w:t>
      </w:r>
    </w:p>
    <w:p w:rsidR="00A56F9F" w:rsidRPr="0091567F" w:rsidRDefault="00A56F9F" w:rsidP="00A56F9F"/>
    <w:p w:rsidR="00A56F9F" w:rsidRPr="00C71F4D" w:rsidRDefault="00A56F9F" w:rsidP="00A56F9F">
      <w:pPr>
        <w:ind w:left="1134" w:hanging="1134"/>
      </w:pPr>
      <w:r w:rsidRPr="00C71F4D">
        <w:rPr>
          <w:b/>
          <w:bCs/>
        </w:rPr>
        <w:t>Location</w:t>
      </w:r>
      <w:r w:rsidRPr="00C71F4D">
        <w:t>:</w:t>
      </w:r>
      <w:r w:rsidRPr="00C71F4D">
        <w:tab/>
        <w:t>Table to subclause 2(2), wherever ‘a mix of local and/or imported foods’ occurs</w:t>
      </w:r>
    </w:p>
    <w:p w:rsidR="00A56F9F" w:rsidRPr="00C71F4D" w:rsidRDefault="00A56F9F" w:rsidP="00A56F9F">
      <w:pPr>
        <w:ind w:left="1134" w:hanging="1134"/>
        <w:rPr>
          <w:rFonts w:cs="Arial"/>
          <w:szCs w:val="22"/>
        </w:rPr>
      </w:pPr>
      <w:r w:rsidRPr="00C71F4D">
        <w:rPr>
          <w:b/>
          <w:bCs/>
        </w:rPr>
        <w:t>Issue 42</w:t>
      </w:r>
      <w:r w:rsidRPr="00C71F4D">
        <w:t>:</w:t>
      </w:r>
      <w:r w:rsidRPr="00C71F4D">
        <w:tab/>
      </w:r>
      <w:r w:rsidRPr="00C71F4D">
        <w:rPr>
          <w:rFonts w:cs="Arial"/>
          <w:szCs w:val="22"/>
        </w:rPr>
        <w:t xml:space="preserve">OLDP recommendation to </w:t>
      </w:r>
      <w:r w:rsidRPr="00C71F4D">
        <w:rPr>
          <w:rFonts w:cs="Arial"/>
          <w:szCs w:val="22"/>
          <w:lang w:val="en-AU"/>
        </w:rPr>
        <w:t xml:space="preserve">clarify meaning of </w:t>
      </w:r>
      <w:r w:rsidRPr="00C71F4D">
        <w:rPr>
          <w:rFonts w:cs="Arial"/>
          <w:szCs w:val="22"/>
        </w:rPr>
        <w:t>‘and/or’</w:t>
      </w:r>
    </w:p>
    <w:p w:rsidR="00A56F9F" w:rsidRPr="00C71F4D" w:rsidRDefault="00A56F9F" w:rsidP="00A56F9F">
      <w:pPr>
        <w:ind w:left="1134" w:hanging="1134"/>
        <w:rPr>
          <w:lang w:val="en-AU"/>
        </w:rPr>
      </w:pPr>
      <w:r w:rsidRPr="00C71F4D">
        <w:rPr>
          <w:rFonts w:cs="Arial"/>
          <w:b/>
          <w:bCs/>
          <w:szCs w:val="22"/>
        </w:rPr>
        <w:t>Solution</w:t>
      </w:r>
      <w:r w:rsidR="001368FB" w:rsidRPr="00C71F4D">
        <w:rPr>
          <w:rFonts w:cs="Arial"/>
          <w:b/>
          <w:bCs/>
          <w:szCs w:val="22"/>
        </w:rPr>
        <w:t xml:space="preserve"> proposed in Assessment Report:</w:t>
      </w:r>
      <w:r w:rsidR="00567874">
        <w:rPr>
          <w:rFonts w:cs="Arial"/>
          <w:b/>
          <w:bCs/>
          <w:szCs w:val="22"/>
        </w:rPr>
        <w:t xml:space="preserve"> </w:t>
      </w:r>
      <w:r w:rsidRPr="00C71F4D">
        <w:rPr>
          <w:lang w:val="en-AU"/>
        </w:rPr>
        <w:t xml:space="preserve">Replace with ‘a mix of local and imported foods’. </w:t>
      </w:r>
    </w:p>
    <w:p w:rsidR="00C71F4D" w:rsidRPr="00BD0844" w:rsidRDefault="001368FB" w:rsidP="001368FB">
      <w:pPr>
        <w:ind w:left="1134" w:hanging="1134"/>
        <w:rPr>
          <w:rFonts w:cs="Arial"/>
          <w:szCs w:val="22"/>
        </w:rPr>
      </w:pPr>
      <w:r w:rsidRPr="00C71F4D">
        <w:rPr>
          <w:rFonts w:cs="Arial"/>
          <w:b/>
          <w:bCs/>
          <w:szCs w:val="22"/>
        </w:rPr>
        <w:t>Submitter comments and FSANZ response:</w:t>
      </w:r>
      <w:r w:rsidRPr="00C71F4D">
        <w:rPr>
          <w:rFonts w:cs="Arial"/>
          <w:szCs w:val="22"/>
        </w:rPr>
        <w:t xml:space="preserve"> A submitter </w:t>
      </w:r>
      <w:r w:rsidR="00C71F4D">
        <w:rPr>
          <w:rFonts w:cs="Arial"/>
          <w:szCs w:val="22"/>
        </w:rPr>
        <w:t>expressed concern</w:t>
      </w:r>
      <w:r w:rsidRPr="00C71F4D">
        <w:rPr>
          <w:rFonts w:cs="Arial"/>
          <w:szCs w:val="22"/>
        </w:rPr>
        <w:t xml:space="preserve"> that the proposed variation removes certain provisions and is a significant change</w:t>
      </w:r>
      <w:r>
        <w:rPr>
          <w:rFonts w:cs="Arial"/>
          <w:szCs w:val="22"/>
        </w:rPr>
        <w:t xml:space="preserve"> warranting </w:t>
      </w:r>
      <w:r w:rsidRPr="00BD0844">
        <w:rPr>
          <w:rFonts w:cs="Arial"/>
          <w:szCs w:val="22"/>
        </w:rPr>
        <w:t xml:space="preserve">further consideration. </w:t>
      </w:r>
    </w:p>
    <w:p w:rsidR="00567874" w:rsidRPr="00567874" w:rsidRDefault="00567874" w:rsidP="00567874">
      <w:pPr>
        <w:pStyle w:val="FSTableText"/>
        <w:ind w:left="1134" w:hanging="1134"/>
        <w:rPr>
          <w:sz w:val="22"/>
          <w:szCs w:val="22"/>
        </w:rPr>
      </w:pPr>
      <w:r>
        <w:tab/>
      </w:r>
      <w:r w:rsidRPr="00567874">
        <w:rPr>
          <w:sz w:val="22"/>
          <w:szCs w:val="22"/>
        </w:rPr>
        <w:t xml:space="preserve">In response to this submitter concern, FSANZ has redrafted the subclause to </w:t>
      </w:r>
      <w:r>
        <w:rPr>
          <w:sz w:val="22"/>
          <w:szCs w:val="22"/>
        </w:rPr>
        <w:t>clearly capture the labelling options currently provided by this subclause</w:t>
      </w:r>
      <w:r w:rsidR="00681F52">
        <w:rPr>
          <w:sz w:val="22"/>
          <w:szCs w:val="22"/>
        </w:rPr>
        <w:t xml:space="preserve">, i.e. ‘a </w:t>
      </w:r>
      <w:r w:rsidR="00681F52" w:rsidRPr="00681F52">
        <w:rPr>
          <w:sz w:val="22"/>
          <w:szCs w:val="22"/>
        </w:rPr>
        <w:t>mix of local or imported foods or both as the case may be</w:t>
      </w:r>
      <w:r w:rsidR="00681F52">
        <w:rPr>
          <w:sz w:val="22"/>
          <w:szCs w:val="22"/>
        </w:rPr>
        <w:t>’</w:t>
      </w:r>
      <w:r>
        <w:rPr>
          <w:sz w:val="22"/>
          <w:szCs w:val="22"/>
        </w:rPr>
        <w:t xml:space="preserve">. </w:t>
      </w:r>
      <w:r w:rsidRPr="00567874">
        <w:rPr>
          <w:sz w:val="22"/>
          <w:szCs w:val="22"/>
        </w:rPr>
        <w:t xml:space="preserve"> </w:t>
      </w:r>
    </w:p>
    <w:p w:rsidR="00A56F9F" w:rsidRPr="00BD0844" w:rsidRDefault="00A56F9F" w:rsidP="00A56F9F"/>
    <w:p w:rsidR="00141317" w:rsidRDefault="00141317">
      <w:pPr>
        <w:widowControl/>
        <w:rPr>
          <w:rFonts w:ascii="Arial Bold" w:hAnsi="Arial Bold" w:cs="Arial Unicode MS"/>
          <w:b/>
          <w:bCs/>
          <w:szCs w:val="26"/>
        </w:rPr>
      </w:pPr>
      <w:bookmarkStart w:id="59" w:name="_Toc280003207"/>
      <w:r>
        <w:br w:type="page"/>
      </w:r>
    </w:p>
    <w:p w:rsidR="00A56F9F" w:rsidRPr="00BD0844" w:rsidRDefault="00A56F9F" w:rsidP="00A56F9F">
      <w:pPr>
        <w:pStyle w:val="Heading3"/>
      </w:pPr>
      <w:bookmarkStart w:id="60" w:name="_Toc290973030"/>
      <w:r w:rsidRPr="00BD0844">
        <w:lastRenderedPageBreak/>
        <w:t>3.13</w:t>
      </w:r>
      <w:r w:rsidRPr="00BD0844">
        <w:tab/>
        <w:t>Standard 1.3.1 – Food Additives</w:t>
      </w:r>
      <w:bookmarkEnd w:id="59"/>
      <w:bookmarkEnd w:id="60"/>
    </w:p>
    <w:p w:rsidR="00A56F9F" w:rsidRPr="00BD0844" w:rsidRDefault="00A56F9F" w:rsidP="00A56F9F"/>
    <w:p w:rsidR="00A56F9F" w:rsidRPr="00BD0844" w:rsidRDefault="00A56F9F" w:rsidP="00A56F9F">
      <w:pPr>
        <w:ind w:left="1134" w:hanging="1134"/>
        <w:rPr>
          <w:b/>
          <w:bCs/>
        </w:rPr>
      </w:pPr>
      <w:r w:rsidRPr="00BD0844">
        <w:rPr>
          <w:b/>
          <w:bCs/>
        </w:rPr>
        <w:t>Location:</w:t>
      </w:r>
      <w:r w:rsidRPr="00BD0844">
        <w:rPr>
          <w:b/>
          <w:bCs/>
        </w:rPr>
        <w:tab/>
      </w:r>
      <w:r w:rsidRPr="00BD0844">
        <w:rPr>
          <w:bCs/>
        </w:rPr>
        <w:t>Editorial note following clause 3</w:t>
      </w:r>
    </w:p>
    <w:p w:rsidR="00A56F9F" w:rsidRPr="00BD0844" w:rsidRDefault="00A56F9F" w:rsidP="00A56F9F">
      <w:pPr>
        <w:ind w:left="1134" w:hanging="1134"/>
        <w:rPr>
          <w:bCs/>
        </w:rPr>
      </w:pPr>
      <w:r w:rsidRPr="00BD0844">
        <w:rPr>
          <w:b/>
          <w:bCs/>
        </w:rPr>
        <w:t>Issue 43:</w:t>
      </w:r>
      <w:r w:rsidRPr="00BD0844">
        <w:rPr>
          <w:b/>
          <w:bCs/>
        </w:rPr>
        <w:tab/>
      </w:r>
      <w:r w:rsidRPr="00BD0844">
        <w:rPr>
          <w:bCs/>
        </w:rPr>
        <w:t xml:space="preserve">Good Manufacturing Practice (GMP) is not used uniformly throughout the Code, and is </w:t>
      </w:r>
      <w:r w:rsidR="001E3F1E">
        <w:rPr>
          <w:bCs/>
        </w:rPr>
        <w:t>sometimes</w:t>
      </w:r>
      <w:r w:rsidR="001E3F1E" w:rsidRPr="00BD0844">
        <w:rPr>
          <w:bCs/>
        </w:rPr>
        <w:t xml:space="preserve"> </w:t>
      </w:r>
      <w:r w:rsidRPr="00BD0844">
        <w:rPr>
          <w:bCs/>
        </w:rPr>
        <w:t>interchangeable with Good Hygienic Practice (GHP).</w:t>
      </w:r>
      <w:r w:rsidRPr="00BD0844">
        <w:rPr>
          <w:bCs/>
        </w:rPr>
        <w:br/>
        <w:t>The extract from the Codex document in the Editorial note is only defined for food additive use, and is not a general definition.</w:t>
      </w:r>
      <w:r w:rsidRPr="00BD0844">
        <w:rPr>
          <w:bCs/>
        </w:rPr>
        <w:br/>
        <w:t>The same criteria are true for processing aids and (b) in the Editorial note is specifically referring to processing aids in the context of the Code.</w:t>
      </w:r>
    </w:p>
    <w:p w:rsidR="00A56F9F" w:rsidRPr="00BD0844" w:rsidRDefault="00A56F9F" w:rsidP="00A56F9F">
      <w:pPr>
        <w:ind w:left="1134" w:hanging="1134"/>
        <w:rPr>
          <w:bCs/>
        </w:rPr>
      </w:pPr>
      <w:r w:rsidRPr="00BD0844">
        <w:rPr>
          <w:b/>
          <w:bCs/>
        </w:rPr>
        <w:t>Solution</w:t>
      </w:r>
      <w:r w:rsidR="00915C9A" w:rsidRPr="00BD0844">
        <w:rPr>
          <w:b/>
          <w:bCs/>
        </w:rPr>
        <w:t xml:space="preserve"> proposed in Assessment Report</w:t>
      </w:r>
      <w:r w:rsidRPr="00BD0844">
        <w:rPr>
          <w:b/>
          <w:bCs/>
        </w:rPr>
        <w:t>:</w:t>
      </w:r>
      <w:r w:rsidRPr="00BD0844">
        <w:rPr>
          <w:b/>
          <w:bCs/>
        </w:rPr>
        <w:tab/>
      </w:r>
      <w:r w:rsidRPr="00BD0844">
        <w:rPr>
          <w:bCs/>
        </w:rPr>
        <w:t xml:space="preserve">Delete the current Editorial note. </w:t>
      </w:r>
    </w:p>
    <w:p w:rsidR="00A56F9F" w:rsidRPr="00BD0844" w:rsidRDefault="00A56F9F" w:rsidP="00A56F9F">
      <w:pPr>
        <w:ind w:left="1134" w:hanging="1134"/>
        <w:rPr>
          <w:bCs/>
        </w:rPr>
      </w:pPr>
      <w:r w:rsidRPr="00BD0844">
        <w:rPr>
          <w:bCs/>
        </w:rPr>
        <w:tab/>
        <w:t xml:space="preserve">Add a definition of GMP with respect to the addition of food additives and processing aids only, to Standard 1.1.1, based on what was in the Editorial note. </w:t>
      </w:r>
    </w:p>
    <w:p w:rsidR="00A56F9F" w:rsidRPr="00BD0844" w:rsidRDefault="00A56F9F" w:rsidP="00A56F9F">
      <w:pPr>
        <w:ind w:left="567" w:firstLine="567"/>
        <w:rPr>
          <w:bCs/>
        </w:rPr>
      </w:pPr>
      <w:r w:rsidRPr="00BD0844">
        <w:rPr>
          <w:bCs/>
        </w:rPr>
        <w:t xml:space="preserve">Delete the definition of GMP in the Interpretation of Standard 1.3.3. </w:t>
      </w:r>
    </w:p>
    <w:p w:rsidR="00A56F9F" w:rsidRPr="00BD0844" w:rsidRDefault="00A56F9F" w:rsidP="00A56F9F">
      <w:pPr>
        <w:ind w:left="1134"/>
        <w:rPr>
          <w:bCs/>
        </w:rPr>
      </w:pPr>
      <w:r w:rsidRPr="00BD0844">
        <w:rPr>
          <w:bCs/>
        </w:rPr>
        <w:t>Modify (b) of the processing aid interpretation in clause 1 of Standard 1.3.3 to include reference to GMP.</w:t>
      </w:r>
    </w:p>
    <w:p w:rsidR="00915C9A" w:rsidRPr="00BD0844" w:rsidRDefault="00915C9A" w:rsidP="00915C9A">
      <w:pPr>
        <w:ind w:left="1134" w:hanging="1134"/>
        <w:rPr>
          <w:rFonts w:cs="Arial"/>
          <w:szCs w:val="22"/>
        </w:rPr>
      </w:pPr>
      <w:r w:rsidRPr="00BD0844">
        <w:rPr>
          <w:rFonts w:cs="Arial"/>
          <w:b/>
          <w:bCs/>
          <w:szCs w:val="22"/>
        </w:rPr>
        <w:t>Submitter comments and FSANZ response:</w:t>
      </w:r>
      <w:r w:rsidRPr="00BD0844">
        <w:rPr>
          <w:rFonts w:cs="Arial"/>
          <w:szCs w:val="22"/>
        </w:rPr>
        <w:t xml:space="preserve"> While there was support for this change, there was some concern that this proposed amendment was creating a new definition. </w:t>
      </w:r>
    </w:p>
    <w:p w:rsidR="00915C9A" w:rsidRPr="000E1033" w:rsidRDefault="00915C9A" w:rsidP="00915C9A">
      <w:pPr>
        <w:ind w:left="1134"/>
        <w:rPr>
          <w:bCs/>
        </w:rPr>
      </w:pPr>
      <w:r w:rsidRPr="00BD0844">
        <w:rPr>
          <w:rFonts w:cs="Arial"/>
          <w:bCs/>
          <w:szCs w:val="22"/>
        </w:rPr>
        <w:t>As this is not a new Code requirement, merely</w:t>
      </w:r>
      <w:r w:rsidRPr="000E1033">
        <w:rPr>
          <w:rFonts w:cs="Arial"/>
          <w:bCs/>
          <w:szCs w:val="22"/>
        </w:rPr>
        <w:t xml:space="preserve"> a relocation in the Code, FSANZ </w:t>
      </w:r>
      <w:r w:rsidR="00276806">
        <w:rPr>
          <w:rFonts w:cs="Arial"/>
          <w:bCs/>
          <w:szCs w:val="22"/>
        </w:rPr>
        <w:t xml:space="preserve">has </w:t>
      </w:r>
      <w:r w:rsidR="001A6955">
        <w:rPr>
          <w:rFonts w:cs="Arial"/>
          <w:bCs/>
          <w:szCs w:val="22"/>
        </w:rPr>
        <w:t>therefore proceed</w:t>
      </w:r>
      <w:r w:rsidR="00276806">
        <w:rPr>
          <w:rFonts w:cs="Arial"/>
          <w:bCs/>
          <w:szCs w:val="22"/>
        </w:rPr>
        <w:t>ed</w:t>
      </w:r>
      <w:r w:rsidR="001A6955">
        <w:rPr>
          <w:rFonts w:cs="Arial"/>
          <w:bCs/>
          <w:szCs w:val="22"/>
        </w:rPr>
        <w:t xml:space="preserve"> with</w:t>
      </w:r>
      <w:r w:rsidRPr="000E1033">
        <w:rPr>
          <w:rFonts w:cs="Arial"/>
          <w:bCs/>
          <w:szCs w:val="22"/>
        </w:rPr>
        <w:t xml:space="preserve"> this amendment.</w:t>
      </w:r>
    </w:p>
    <w:p w:rsidR="00A56F9F" w:rsidRPr="000E1033" w:rsidRDefault="00A56F9F" w:rsidP="00A56F9F">
      <w:pPr>
        <w:ind w:left="1418" w:hanging="1418"/>
        <w:rPr>
          <w:b/>
          <w:bCs/>
        </w:rPr>
      </w:pPr>
    </w:p>
    <w:p w:rsidR="00A56F9F" w:rsidRPr="000E1033" w:rsidRDefault="00A56F9F" w:rsidP="00A56F9F">
      <w:pPr>
        <w:ind w:left="1134" w:hanging="1134"/>
      </w:pPr>
      <w:r w:rsidRPr="000E1033">
        <w:rPr>
          <w:b/>
          <w:bCs/>
        </w:rPr>
        <w:t>Location</w:t>
      </w:r>
      <w:r w:rsidRPr="000E1033">
        <w:t>:</w:t>
      </w:r>
      <w:r w:rsidRPr="000E1033">
        <w:tab/>
        <w:t>Subclause 6(2)</w:t>
      </w:r>
    </w:p>
    <w:p w:rsidR="00A56F9F" w:rsidRPr="000E1033" w:rsidRDefault="00A56F9F" w:rsidP="00A56F9F">
      <w:pPr>
        <w:ind w:left="1134" w:hanging="1134"/>
      </w:pPr>
      <w:r w:rsidRPr="000E1033">
        <w:rPr>
          <w:b/>
          <w:bCs/>
        </w:rPr>
        <w:t>Issue 44</w:t>
      </w:r>
      <w:r w:rsidRPr="000E1033">
        <w:t>:</w:t>
      </w:r>
      <w:r w:rsidRPr="000E1033">
        <w:tab/>
        <w:t>A colon is used, not a dash.</w:t>
      </w:r>
    </w:p>
    <w:p w:rsidR="00A56F9F" w:rsidRPr="000E1033" w:rsidRDefault="00A56F9F" w:rsidP="00A56F9F">
      <w:pPr>
        <w:ind w:left="1134" w:hanging="1134"/>
      </w:pPr>
      <w:r w:rsidRPr="000E1033">
        <w:rPr>
          <w:b/>
          <w:bCs/>
        </w:rPr>
        <w:t>Solution</w:t>
      </w:r>
      <w:r w:rsidRPr="000E1033">
        <w:t>:</w:t>
      </w:r>
      <w:r w:rsidRPr="000E1033">
        <w:tab/>
        <w:t xml:space="preserve">Replace colon with dash. </w:t>
      </w:r>
    </w:p>
    <w:p w:rsidR="00A56F9F" w:rsidRPr="000444A2" w:rsidRDefault="00A56F9F" w:rsidP="00A56F9F"/>
    <w:p w:rsidR="00A56F9F" w:rsidRPr="000444A2" w:rsidRDefault="00A56F9F" w:rsidP="00A56F9F">
      <w:pPr>
        <w:ind w:left="1134" w:hanging="1134"/>
      </w:pPr>
      <w:r w:rsidRPr="000444A2">
        <w:rPr>
          <w:b/>
          <w:bCs/>
        </w:rPr>
        <w:t>Location</w:t>
      </w:r>
      <w:r w:rsidRPr="000444A2">
        <w:t>:</w:t>
      </w:r>
      <w:r w:rsidRPr="000444A2">
        <w:tab/>
        <w:t>Clause 7</w:t>
      </w:r>
    </w:p>
    <w:p w:rsidR="00A56F9F" w:rsidRPr="00BD0844" w:rsidRDefault="00A56F9F" w:rsidP="00A56F9F">
      <w:pPr>
        <w:ind w:left="1134" w:hanging="1134"/>
      </w:pPr>
      <w:r w:rsidRPr="000444A2">
        <w:rPr>
          <w:b/>
          <w:bCs/>
        </w:rPr>
        <w:t>Issue 45</w:t>
      </w:r>
      <w:r w:rsidRPr="000444A2">
        <w:t>:</w:t>
      </w:r>
      <w:r w:rsidRPr="000444A2">
        <w:tab/>
        <w:t xml:space="preserve">The words ‘Other than </w:t>
      </w:r>
      <w:r w:rsidRPr="00BD0844">
        <w:t>by direct addition’ are unnecessary and could be confusing.</w:t>
      </w:r>
    </w:p>
    <w:p w:rsidR="00A56F9F" w:rsidRPr="00BD0844" w:rsidRDefault="00A56F9F" w:rsidP="00A56F9F">
      <w:pPr>
        <w:ind w:left="1134" w:hanging="1134"/>
      </w:pPr>
      <w:r w:rsidRPr="00BD0844">
        <w:rPr>
          <w:b/>
          <w:bCs/>
        </w:rPr>
        <w:t>Solution</w:t>
      </w:r>
      <w:r w:rsidRPr="00BD0844">
        <w:t>:</w:t>
      </w:r>
      <w:r w:rsidRPr="00BD0844">
        <w:tab/>
        <w:t xml:space="preserve">Delete the words ‘Other than by direct addition’ from the start of clause. </w:t>
      </w:r>
    </w:p>
    <w:p w:rsidR="00A56F9F" w:rsidRPr="00BD0844" w:rsidRDefault="00A56F9F" w:rsidP="00A56F9F"/>
    <w:p w:rsidR="00A56F9F" w:rsidRPr="00BD0844" w:rsidRDefault="00A56F9F" w:rsidP="00A56F9F">
      <w:r w:rsidRPr="00BD0844">
        <w:rPr>
          <w:b/>
          <w:bCs/>
        </w:rPr>
        <w:t>Location</w:t>
      </w:r>
      <w:r w:rsidRPr="00BD0844">
        <w:t>:</w:t>
      </w:r>
      <w:r w:rsidRPr="00BD0844">
        <w:tab/>
        <w:t xml:space="preserve">Clause 11 </w:t>
      </w:r>
    </w:p>
    <w:p w:rsidR="00A56F9F" w:rsidRPr="00BD0844" w:rsidRDefault="00A56F9F" w:rsidP="00A56F9F">
      <w:r w:rsidRPr="00BD0844">
        <w:rPr>
          <w:b/>
          <w:bCs/>
        </w:rPr>
        <w:t>Issue 46</w:t>
      </w:r>
      <w:r w:rsidRPr="00BD0844">
        <w:t>:</w:t>
      </w:r>
      <w:r w:rsidRPr="00BD0844">
        <w:tab/>
        <w:t>The publications list needs updating.</w:t>
      </w:r>
    </w:p>
    <w:p w:rsidR="00A56F9F" w:rsidRPr="00BD0844" w:rsidRDefault="00915C9A" w:rsidP="00A56F9F">
      <w:pPr>
        <w:ind w:left="1134" w:hanging="1134"/>
      </w:pPr>
      <w:r w:rsidRPr="00BD0844">
        <w:rPr>
          <w:b/>
          <w:bCs/>
        </w:rPr>
        <w:t>Solution proposed in Assessment Report:</w:t>
      </w:r>
      <w:r w:rsidR="002932EE">
        <w:t xml:space="preserve"> </w:t>
      </w:r>
      <w:r w:rsidR="00A56F9F" w:rsidRPr="00BD0844">
        <w:t>Paragraph (a)(i) Update the reference to June 2009 (from August 2007) for the FEMA GRAS flavouring lists.</w:t>
      </w:r>
    </w:p>
    <w:p w:rsidR="00A56F9F" w:rsidRPr="00BD0844" w:rsidRDefault="00A56F9F" w:rsidP="00A56F9F">
      <w:pPr>
        <w:ind w:left="567" w:firstLine="567"/>
      </w:pPr>
      <w:r w:rsidRPr="00BD0844">
        <w:t xml:space="preserve">Paragraph (a)(iii) Update the CFR reference </w:t>
      </w:r>
    </w:p>
    <w:p w:rsidR="00915C9A" w:rsidRPr="00E163CE" w:rsidRDefault="00915C9A" w:rsidP="00915C9A">
      <w:pPr>
        <w:ind w:left="1134" w:hanging="1134"/>
        <w:rPr>
          <w:rFonts w:cs="Arial"/>
          <w:szCs w:val="22"/>
        </w:rPr>
      </w:pPr>
      <w:r w:rsidRPr="00BD0844">
        <w:rPr>
          <w:rFonts w:cs="Arial"/>
          <w:b/>
          <w:bCs/>
          <w:szCs w:val="22"/>
        </w:rPr>
        <w:t>Submitter comments and FSANZ response:</w:t>
      </w:r>
      <w:r w:rsidRPr="00BD0844">
        <w:rPr>
          <w:rFonts w:cs="Arial"/>
          <w:szCs w:val="22"/>
        </w:rPr>
        <w:t xml:space="preserve"> Several submitters</w:t>
      </w:r>
      <w:r>
        <w:rPr>
          <w:rFonts w:cs="Arial"/>
          <w:szCs w:val="22"/>
        </w:rPr>
        <w:t xml:space="preserve"> noted that the FEMA GRAS flavouring list had been updated in January 2011 and suggested that this reference be used.  It was also pointed out that the IFT publication of the FEMA </w:t>
      </w:r>
      <w:r w:rsidRPr="00E163CE">
        <w:rPr>
          <w:rFonts w:cs="Arial"/>
          <w:szCs w:val="22"/>
        </w:rPr>
        <w:t xml:space="preserve">GRAS list is a secondary publication, and that the Code should refer directly to the FEMA GRAS </w:t>
      </w:r>
      <w:r w:rsidR="00402D14" w:rsidRPr="00E163CE">
        <w:rPr>
          <w:rFonts w:cs="Arial"/>
          <w:szCs w:val="22"/>
        </w:rPr>
        <w:t xml:space="preserve">flavouring </w:t>
      </w:r>
      <w:r w:rsidRPr="00E163CE">
        <w:rPr>
          <w:rFonts w:cs="Arial"/>
          <w:szCs w:val="22"/>
        </w:rPr>
        <w:t xml:space="preserve">list. </w:t>
      </w:r>
    </w:p>
    <w:p w:rsidR="00915C9A" w:rsidRPr="000444A2" w:rsidRDefault="00915C9A" w:rsidP="00915C9A">
      <w:pPr>
        <w:ind w:left="1134"/>
        <w:rPr>
          <w:bCs/>
        </w:rPr>
      </w:pPr>
      <w:r w:rsidRPr="00E163CE">
        <w:rPr>
          <w:rFonts w:cs="Arial"/>
          <w:bCs/>
          <w:szCs w:val="22"/>
        </w:rPr>
        <w:t xml:space="preserve">Accordingly </w:t>
      </w:r>
      <w:r w:rsidR="00646B05">
        <w:rPr>
          <w:rFonts w:cs="Arial"/>
          <w:bCs/>
          <w:szCs w:val="22"/>
        </w:rPr>
        <w:t xml:space="preserve">FSANZ </w:t>
      </w:r>
      <w:r w:rsidR="00276806">
        <w:rPr>
          <w:rFonts w:cs="Arial"/>
          <w:bCs/>
          <w:szCs w:val="22"/>
        </w:rPr>
        <w:t>has</w:t>
      </w:r>
      <w:r w:rsidR="00C81A32">
        <w:rPr>
          <w:rFonts w:cs="Arial"/>
          <w:bCs/>
          <w:szCs w:val="22"/>
        </w:rPr>
        <w:t xml:space="preserve"> </w:t>
      </w:r>
      <w:r w:rsidR="00402D14" w:rsidRPr="00E163CE">
        <w:rPr>
          <w:rFonts w:cs="Arial"/>
          <w:bCs/>
          <w:szCs w:val="22"/>
        </w:rPr>
        <w:t>update</w:t>
      </w:r>
      <w:r w:rsidR="00276806">
        <w:rPr>
          <w:rFonts w:cs="Arial"/>
          <w:bCs/>
          <w:szCs w:val="22"/>
        </w:rPr>
        <w:t>d</w:t>
      </w:r>
      <w:r w:rsidR="00402D14" w:rsidRPr="00E163CE">
        <w:rPr>
          <w:rFonts w:cs="Arial"/>
          <w:bCs/>
          <w:szCs w:val="22"/>
        </w:rPr>
        <w:t xml:space="preserve"> the reference to FEMA GRAS 25 (2011)</w:t>
      </w:r>
      <w:r w:rsidRPr="00E163CE">
        <w:rPr>
          <w:rFonts w:cs="Arial"/>
          <w:bCs/>
          <w:szCs w:val="22"/>
        </w:rPr>
        <w:t>.</w:t>
      </w:r>
    </w:p>
    <w:p w:rsidR="00A56F9F" w:rsidRPr="000444A2" w:rsidRDefault="00A56F9F" w:rsidP="00A56F9F"/>
    <w:p w:rsidR="00A56F9F" w:rsidRPr="000444A2" w:rsidRDefault="00A56F9F" w:rsidP="00A56F9F">
      <w:r w:rsidRPr="000444A2">
        <w:rPr>
          <w:b/>
          <w:bCs/>
        </w:rPr>
        <w:t>Location</w:t>
      </w:r>
      <w:r w:rsidRPr="000444A2">
        <w:t>:</w:t>
      </w:r>
      <w:r w:rsidRPr="000444A2">
        <w:tab/>
        <w:t>Paragraph 11 (b)</w:t>
      </w:r>
    </w:p>
    <w:p w:rsidR="00A56F9F" w:rsidRPr="000444A2" w:rsidRDefault="00A56F9F" w:rsidP="00A56F9F">
      <w:pPr>
        <w:ind w:left="1134" w:hanging="1134"/>
      </w:pPr>
      <w:r w:rsidRPr="000444A2">
        <w:rPr>
          <w:b/>
          <w:bCs/>
        </w:rPr>
        <w:t>Issue 47</w:t>
      </w:r>
      <w:r w:rsidR="00836479">
        <w:t>:</w:t>
      </w:r>
      <w:r w:rsidR="00836479">
        <w:tab/>
        <w:t xml:space="preserve">The clause is not clear. </w:t>
      </w:r>
      <w:r w:rsidRPr="000444A2">
        <w:t>Many of these extracted flavours are actually a mixture of flavours that may not have every single entity characterised. The inclusion of ‘synthetic’ in the main text does not make sense.</w:t>
      </w:r>
    </w:p>
    <w:p w:rsidR="00A56F9F" w:rsidRPr="00BD0844" w:rsidRDefault="00A56F9F" w:rsidP="00A56F9F">
      <w:pPr>
        <w:ind w:left="1134" w:hanging="1134"/>
      </w:pPr>
      <w:r w:rsidRPr="000444A2">
        <w:rPr>
          <w:b/>
          <w:bCs/>
        </w:rPr>
        <w:t>Solution</w:t>
      </w:r>
      <w:r w:rsidRPr="000444A2">
        <w:t>:</w:t>
      </w:r>
      <w:r w:rsidRPr="000444A2">
        <w:tab/>
        <w:t xml:space="preserve">Amend </w:t>
      </w:r>
      <w:r w:rsidRPr="00BD0844">
        <w:t>drafting to include mixtures of substances and to clarify how the clause applies to those substances obtained by synthetic means.</w:t>
      </w:r>
    </w:p>
    <w:p w:rsidR="00A56F9F" w:rsidRPr="00BD0844" w:rsidRDefault="00A56F9F" w:rsidP="009F296B">
      <w:pPr>
        <w:ind w:left="1134" w:hanging="1134"/>
      </w:pPr>
    </w:p>
    <w:p w:rsidR="00141317" w:rsidRDefault="00141317">
      <w:pPr>
        <w:widowControl/>
        <w:rPr>
          <w:b/>
          <w:bCs/>
        </w:rPr>
      </w:pPr>
      <w:r>
        <w:rPr>
          <w:b/>
          <w:bCs/>
        </w:rPr>
        <w:br w:type="page"/>
      </w:r>
    </w:p>
    <w:p w:rsidR="00A56F9F" w:rsidRPr="00BD0844" w:rsidRDefault="00A56F9F" w:rsidP="00A56F9F">
      <w:r w:rsidRPr="00BD0844">
        <w:rPr>
          <w:b/>
          <w:bCs/>
        </w:rPr>
        <w:lastRenderedPageBreak/>
        <w:t>Location</w:t>
      </w:r>
      <w:r w:rsidRPr="00BD0844">
        <w:t>:</w:t>
      </w:r>
      <w:r w:rsidRPr="00BD0844">
        <w:tab/>
        <w:t xml:space="preserve">General Provisions of Schedule 1 </w:t>
      </w:r>
    </w:p>
    <w:p w:rsidR="00A56F9F" w:rsidRPr="00BD0844" w:rsidRDefault="00A56F9F" w:rsidP="00A56F9F">
      <w:pPr>
        <w:ind w:left="1134" w:hanging="1134"/>
      </w:pPr>
      <w:r w:rsidRPr="00BD0844">
        <w:rPr>
          <w:b/>
          <w:bCs/>
        </w:rPr>
        <w:t>Issue 48</w:t>
      </w:r>
      <w:r w:rsidRPr="00BD0844">
        <w:t>:</w:t>
      </w:r>
      <w:r w:rsidRPr="00BD0844">
        <w:tab/>
        <w:t xml:space="preserve">The general permissions for additives in Schedule 2 and the Schedule 3 and Schedule 4 colours should be in the Standard, not in the front section of Schedule 1. </w:t>
      </w:r>
      <w:r w:rsidRPr="00BD0844">
        <w:br/>
        <w:t xml:space="preserve">The user guide referred to no longer exists. </w:t>
      </w:r>
    </w:p>
    <w:p w:rsidR="00A56F9F" w:rsidRPr="00BD0844" w:rsidRDefault="004323F3" w:rsidP="00A56F9F">
      <w:pPr>
        <w:ind w:left="1134" w:hanging="1134"/>
      </w:pPr>
      <w:r w:rsidRPr="00BD0844">
        <w:rPr>
          <w:b/>
          <w:bCs/>
        </w:rPr>
        <w:t>Solution proposed in Assessment Report:</w:t>
      </w:r>
      <w:r w:rsidR="002932EE">
        <w:t xml:space="preserve"> </w:t>
      </w:r>
      <w:r w:rsidR="00A56F9F" w:rsidRPr="00BD0844">
        <w:t xml:space="preserve">Move ‘Additives in Schedule 2...’ and ‘Colours in Schedule 3...’ to a specific provision in clause 3. </w:t>
      </w:r>
    </w:p>
    <w:p w:rsidR="00A56F9F" w:rsidRPr="00BD0844" w:rsidRDefault="00A56F9F" w:rsidP="00A56F9F">
      <w:pPr>
        <w:ind w:left="1134"/>
      </w:pPr>
      <w:r w:rsidRPr="00BD0844">
        <w:t>Move ‘Colours in Schedule 4...’ to a specific provision in clause 3 and clarify that the limits apply to the combination of total colours in the food as stated in the current Schedule 4 header.</w:t>
      </w:r>
    </w:p>
    <w:p w:rsidR="00A56F9F" w:rsidRPr="00BD0844" w:rsidRDefault="00A56F9F" w:rsidP="00A56F9F">
      <w:pPr>
        <w:ind w:left="567" w:firstLine="567"/>
      </w:pPr>
      <w:r w:rsidRPr="00BD0844">
        <w:t xml:space="preserve">Amend the heading of Schedule 4 to reflect this. </w:t>
      </w:r>
    </w:p>
    <w:p w:rsidR="00A56F9F" w:rsidRPr="00BD0844" w:rsidRDefault="00A56F9F" w:rsidP="00A56F9F">
      <w:pPr>
        <w:ind w:left="567" w:firstLine="567"/>
      </w:pPr>
      <w:r w:rsidRPr="00BD0844">
        <w:t xml:space="preserve">Remove reference to the user guide. </w:t>
      </w:r>
    </w:p>
    <w:p w:rsidR="002932EE" w:rsidRDefault="009F296B" w:rsidP="002932EE">
      <w:pPr>
        <w:ind w:left="1134" w:hanging="1134"/>
        <w:rPr>
          <w:rFonts w:cs="Arial"/>
          <w:szCs w:val="22"/>
        </w:rPr>
      </w:pPr>
      <w:r w:rsidRPr="00BD0844">
        <w:rPr>
          <w:rFonts w:cs="Arial"/>
          <w:b/>
          <w:bCs/>
          <w:szCs w:val="22"/>
        </w:rPr>
        <w:t>Submitter comments and FSANZ response:</w:t>
      </w:r>
      <w:r w:rsidRPr="00BD0844">
        <w:rPr>
          <w:rFonts w:cs="Arial"/>
          <w:szCs w:val="22"/>
        </w:rPr>
        <w:t xml:space="preserve"> One submitter suggested that the word ‘processed’ should be removed</w:t>
      </w:r>
      <w:r>
        <w:rPr>
          <w:rFonts w:cs="Arial"/>
          <w:szCs w:val="22"/>
        </w:rPr>
        <w:t>.</w:t>
      </w:r>
      <w:r w:rsidR="002932EE">
        <w:rPr>
          <w:rFonts w:cs="Arial"/>
          <w:szCs w:val="22"/>
        </w:rPr>
        <w:t xml:space="preserve"> </w:t>
      </w:r>
    </w:p>
    <w:p w:rsidR="009F296B" w:rsidRPr="000444A2" w:rsidRDefault="009F296B" w:rsidP="002932EE">
      <w:pPr>
        <w:ind w:left="1134"/>
        <w:rPr>
          <w:bCs/>
        </w:rPr>
      </w:pPr>
      <w:r>
        <w:rPr>
          <w:rFonts w:cs="Arial"/>
          <w:bCs/>
          <w:szCs w:val="22"/>
        </w:rPr>
        <w:t xml:space="preserve">FSANZ believes </w:t>
      </w:r>
      <w:r w:rsidRPr="000444A2">
        <w:rPr>
          <w:rFonts w:cs="Arial"/>
          <w:bCs/>
          <w:szCs w:val="22"/>
        </w:rPr>
        <w:t>that this would be a major change, and should not be considered in this Proposal.</w:t>
      </w:r>
    </w:p>
    <w:p w:rsidR="00A56F9F" w:rsidRPr="000444A2" w:rsidRDefault="00A56F9F" w:rsidP="00A56F9F"/>
    <w:p w:rsidR="00A56F9F" w:rsidRPr="000444A2" w:rsidRDefault="00A56F9F" w:rsidP="00A56F9F">
      <w:pPr>
        <w:ind w:left="1134" w:hanging="1134"/>
      </w:pPr>
      <w:r w:rsidRPr="000444A2">
        <w:rPr>
          <w:b/>
          <w:bCs/>
        </w:rPr>
        <w:t>Location</w:t>
      </w:r>
      <w:r w:rsidRPr="000444A2">
        <w:t>:</w:t>
      </w:r>
      <w:r w:rsidRPr="000444A2">
        <w:tab/>
        <w:t xml:space="preserve">Schedule 1, item 1.1.3 </w:t>
      </w:r>
    </w:p>
    <w:p w:rsidR="00A56F9F" w:rsidRPr="000444A2" w:rsidRDefault="00A56F9F" w:rsidP="00A56F9F">
      <w:pPr>
        <w:ind w:left="1134" w:hanging="1134"/>
      </w:pPr>
      <w:r w:rsidRPr="000444A2">
        <w:rPr>
          <w:b/>
          <w:bCs/>
        </w:rPr>
        <w:t>Issue 49</w:t>
      </w:r>
      <w:r w:rsidRPr="000444A2">
        <w:t>:</w:t>
      </w:r>
      <w:r w:rsidRPr="000444A2">
        <w:tab/>
        <w:t>The limits for these food additives should be expressed as ‘mg/kg’.</w:t>
      </w:r>
    </w:p>
    <w:p w:rsidR="00A56F9F" w:rsidRPr="000444A2" w:rsidRDefault="00A56F9F" w:rsidP="00A56F9F">
      <w:pPr>
        <w:ind w:left="1134" w:hanging="1134"/>
      </w:pPr>
      <w:r w:rsidRPr="000444A2">
        <w:rPr>
          <w:b/>
          <w:bCs/>
        </w:rPr>
        <w:t>Solution</w:t>
      </w:r>
      <w:r w:rsidRPr="000444A2">
        <w:t>:</w:t>
      </w:r>
      <w:r w:rsidRPr="000444A2">
        <w:tab/>
        <w:t>Multiply the levels by 1000 and change the units to mg/kg.</w:t>
      </w:r>
    </w:p>
    <w:p w:rsidR="00A56F9F" w:rsidRPr="000444A2" w:rsidRDefault="00A56F9F" w:rsidP="00A56F9F"/>
    <w:p w:rsidR="00A56F9F" w:rsidRPr="00A66A26" w:rsidRDefault="00A56F9F" w:rsidP="00A56F9F">
      <w:r w:rsidRPr="000444A2">
        <w:rPr>
          <w:b/>
          <w:bCs/>
        </w:rPr>
        <w:t>Location</w:t>
      </w:r>
      <w:r w:rsidRPr="000444A2">
        <w:t>:</w:t>
      </w:r>
      <w:r w:rsidRPr="000444A2">
        <w:tab/>
        <w:t>Schedule 1, item 1.4</w:t>
      </w:r>
      <w:r w:rsidRPr="00A66A26">
        <w:t>.2 heading</w:t>
      </w:r>
    </w:p>
    <w:p w:rsidR="00A56F9F" w:rsidRPr="00A66A26" w:rsidRDefault="00A56F9F" w:rsidP="00A56F9F">
      <w:pPr>
        <w:ind w:left="1134" w:hanging="1134"/>
      </w:pPr>
      <w:r w:rsidRPr="00A66A26">
        <w:rPr>
          <w:b/>
          <w:bCs/>
        </w:rPr>
        <w:t>Issue 50</w:t>
      </w:r>
      <w:r w:rsidRPr="00A66A26">
        <w:t>:</w:t>
      </w:r>
      <w:r w:rsidRPr="00A66A26">
        <w:tab/>
        <w:t>Putting a full stop after ‘etc’ is not consistent with virtually all other occurrences in the Code.</w:t>
      </w:r>
    </w:p>
    <w:p w:rsidR="00A56F9F" w:rsidRPr="00A66A26" w:rsidRDefault="00A56F9F" w:rsidP="00A56F9F">
      <w:r w:rsidRPr="00A66A26">
        <w:rPr>
          <w:b/>
          <w:bCs/>
        </w:rPr>
        <w:t>Solution</w:t>
      </w:r>
      <w:r w:rsidRPr="00A66A26">
        <w:t>:</w:t>
      </w:r>
      <w:r w:rsidRPr="00A66A26">
        <w:tab/>
        <w:t xml:space="preserve">Remove full stop after ‘etc’. </w:t>
      </w:r>
    </w:p>
    <w:p w:rsidR="00A56F9F" w:rsidRPr="00A66A26" w:rsidRDefault="00A56F9F" w:rsidP="00A56F9F"/>
    <w:p w:rsidR="00A56F9F" w:rsidRPr="00EC3FDA" w:rsidRDefault="00A56F9F" w:rsidP="00A56F9F">
      <w:pPr>
        <w:rPr>
          <w:bCs/>
        </w:rPr>
      </w:pPr>
      <w:r w:rsidRPr="00EC3FDA">
        <w:rPr>
          <w:b/>
          <w:bCs/>
        </w:rPr>
        <w:t>Location</w:t>
      </w:r>
      <w:r w:rsidRPr="00EC3FDA">
        <w:t>:</w:t>
      </w:r>
      <w:r w:rsidRPr="00EC3FDA">
        <w:tab/>
        <w:t>Item heading 4.1.3 – Peeled and/or cut fruits and vegetables</w:t>
      </w:r>
    </w:p>
    <w:p w:rsidR="00A56F9F" w:rsidRPr="00EC3FDA" w:rsidRDefault="00A56F9F" w:rsidP="00A56F9F">
      <w:pPr>
        <w:ind w:left="1134" w:hanging="1134"/>
        <w:rPr>
          <w:rFonts w:cs="Arial"/>
          <w:szCs w:val="22"/>
        </w:rPr>
      </w:pPr>
      <w:r w:rsidRPr="00EC3FDA">
        <w:rPr>
          <w:b/>
          <w:bCs/>
          <w:lang w:val="en-AU"/>
        </w:rPr>
        <w:t>Issue 51</w:t>
      </w:r>
      <w:r w:rsidRPr="00EC3FDA">
        <w:rPr>
          <w:lang w:val="en-AU"/>
        </w:rPr>
        <w:t>:</w:t>
      </w:r>
      <w:r w:rsidRPr="00EC3FDA">
        <w:rPr>
          <w:lang w:val="en-AU"/>
        </w:rPr>
        <w:tab/>
      </w:r>
      <w:r w:rsidRPr="00EC3FDA">
        <w:rPr>
          <w:rFonts w:cs="Arial"/>
          <w:szCs w:val="22"/>
        </w:rPr>
        <w:t xml:space="preserve">OLDP recommendation to </w:t>
      </w:r>
      <w:r w:rsidRPr="00EC3FDA">
        <w:rPr>
          <w:rFonts w:cs="Arial"/>
          <w:szCs w:val="22"/>
          <w:lang w:val="en-AU"/>
        </w:rPr>
        <w:t xml:space="preserve">clarify meaning of </w:t>
      </w:r>
      <w:r w:rsidRPr="00EC3FDA">
        <w:rPr>
          <w:rFonts w:cs="Arial"/>
          <w:szCs w:val="22"/>
        </w:rPr>
        <w:t>‘and/or’</w:t>
      </w:r>
      <w:r w:rsidR="009745BD" w:rsidRPr="00EC3FDA">
        <w:rPr>
          <w:rFonts w:cs="Arial"/>
          <w:szCs w:val="22"/>
        </w:rPr>
        <w:t>.</w:t>
      </w:r>
    </w:p>
    <w:p w:rsidR="00567874" w:rsidRPr="00EC3FDA" w:rsidRDefault="00A56F9F" w:rsidP="00A56F9F">
      <w:pPr>
        <w:ind w:left="1134" w:hanging="1134"/>
        <w:rPr>
          <w:lang w:val="en-AU"/>
        </w:rPr>
      </w:pPr>
      <w:r w:rsidRPr="00EC3FDA">
        <w:rPr>
          <w:rFonts w:cs="Arial"/>
          <w:b/>
          <w:bCs/>
          <w:szCs w:val="22"/>
        </w:rPr>
        <w:t>Solution</w:t>
      </w:r>
      <w:r w:rsidR="00567874" w:rsidRPr="00EC3FDA">
        <w:rPr>
          <w:b/>
          <w:bCs/>
        </w:rPr>
        <w:t xml:space="preserve"> proposed in Assessment Report:</w:t>
      </w:r>
      <w:r w:rsidRPr="00EC3FDA">
        <w:rPr>
          <w:rFonts w:cs="Arial"/>
          <w:szCs w:val="22"/>
        </w:rPr>
        <w:tab/>
      </w:r>
      <w:r w:rsidRPr="00EC3FDA">
        <w:rPr>
          <w:lang w:val="en-AU"/>
        </w:rPr>
        <w:t xml:space="preserve">Amend category heading to replace ‘and/or’ with ‘or’. </w:t>
      </w:r>
    </w:p>
    <w:p w:rsidR="002932EE" w:rsidRDefault="00567874" w:rsidP="00A56F9F">
      <w:pPr>
        <w:ind w:left="1134" w:hanging="1134"/>
      </w:pPr>
      <w:r w:rsidRPr="00EC3FDA">
        <w:rPr>
          <w:rFonts w:cs="Arial"/>
          <w:b/>
          <w:bCs/>
          <w:szCs w:val="22"/>
        </w:rPr>
        <w:t xml:space="preserve">Submitter comments and FSANZ response: </w:t>
      </w:r>
      <w:r w:rsidRPr="00EC3FDA">
        <w:rPr>
          <w:rFonts w:cs="Arial"/>
          <w:bCs/>
          <w:szCs w:val="22"/>
        </w:rPr>
        <w:t xml:space="preserve">One submitter was concerned that the proposed drafting did not allow for </w:t>
      </w:r>
      <w:r w:rsidRPr="00EC3FDA">
        <w:t xml:space="preserve">fruit and vegetables that are both peeled and cut. </w:t>
      </w:r>
    </w:p>
    <w:p w:rsidR="00567874" w:rsidRPr="00EC3FDA" w:rsidRDefault="00567874" w:rsidP="002932EE">
      <w:pPr>
        <w:ind w:left="1134"/>
        <w:rPr>
          <w:lang w:val="en-AU"/>
        </w:rPr>
      </w:pPr>
      <w:r w:rsidRPr="00EC3FDA">
        <w:rPr>
          <w:rFonts w:cs="Arial"/>
          <w:bCs/>
          <w:szCs w:val="22"/>
        </w:rPr>
        <w:t xml:space="preserve">FSANZ agrees and has redrafted the heading to include </w:t>
      </w:r>
      <w:r w:rsidR="00EC3FDA" w:rsidRPr="00EC3FDA">
        <w:rPr>
          <w:rFonts w:cs="Arial"/>
          <w:bCs/>
          <w:szCs w:val="22"/>
        </w:rPr>
        <w:t xml:space="preserve">fruit and vegetables that are peeled, cut, or both peeled and cut. </w:t>
      </w:r>
    </w:p>
    <w:p w:rsidR="00A56F9F" w:rsidRPr="000444A2" w:rsidRDefault="00A56F9F" w:rsidP="00A56F9F"/>
    <w:p w:rsidR="00A56F9F" w:rsidRPr="000444A2" w:rsidRDefault="00A56F9F" w:rsidP="00A56F9F">
      <w:r w:rsidRPr="000444A2">
        <w:rPr>
          <w:b/>
          <w:bCs/>
        </w:rPr>
        <w:t>Location</w:t>
      </w:r>
      <w:r w:rsidRPr="000444A2">
        <w:t>:</w:t>
      </w:r>
      <w:r w:rsidRPr="000444A2">
        <w:tab/>
        <w:t>Schedule 1, item 6.4 (qualification for INS 234)</w:t>
      </w:r>
    </w:p>
    <w:p w:rsidR="00A56F9F" w:rsidRPr="00036BE6" w:rsidRDefault="00A56F9F" w:rsidP="00A56F9F">
      <w:pPr>
        <w:ind w:left="1134" w:hanging="1134"/>
      </w:pPr>
      <w:r w:rsidRPr="000444A2">
        <w:rPr>
          <w:b/>
          <w:bCs/>
        </w:rPr>
        <w:t>Issue 52</w:t>
      </w:r>
      <w:r w:rsidRPr="000444A2">
        <w:t>:</w:t>
      </w:r>
      <w:r w:rsidRPr="000444A2">
        <w:tab/>
        <w:t>The word ‘</w:t>
      </w:r>
      <w:r w:rsidRPr="00036BE6">
        <w:t>etc.’ after flapjacks is unnecessary.</w:t>
      </w:r>
    </w:p>
    <w:p w:rsidR="00A56F9F" w:rsidRPr="00036BE6" w:rsidRDefault="00A56F9F" w:rsidP="00A56F9F">
      <w:r w:rsidRPr="00036BE6">
        <w:rPr>
          <w:b/>
          <w:bCs/>
        </w:rPr>
        <w:t>Solution</w:t>
      </w:r>
      <w:r w:rsidRPr="00036BE6">
        <w:t>:</w:t>
      </w:r>
      <w:r w:rsidRPr="00036BE6">
        <w:tab/>
        <w:t>Remove ‘etc.’ from the qualification.</w:t>
      </w:r>
    </w:p>
    <w:p w:rsidR="00A56F9F" w:rsidRPr="00036BE6" w:rsidRDefault="00A56F9F" w:rsidP="00A56F9F"/>
    <w:p w:rsidR="00A56F9F" w:rsidRPr="00036BE6" w:rsidRDefault="00A56F9F" w:rsidP="00A56F9F">
      <w:r w:rsidRPr="00036BE6">
        <w:rPr>
          <w:b/>
          <w:bCs/>
        </w:rPr>
        <w:t>Location</w:t>
      </w:r>
      <w:r w:rsidRPr="00036BE6">
        <w:t>:</w:t>
      </w:r>
      <w:r w:rsidRPr="00036BE6">
        <w:tab/>
        <w:t>Schedule 1, item 6.4 (qualification for INS 243)</w:t>
      </w:r>
    </w:p>
    <w:p w:rsidR="00A56F9F" w:rsidRPr="00F106B1" w:rsidRDefault="00A56F9F" w:rsidP="00A56F9F">
      <w:pPr>
        <w:ind w:left="1134" w:hanging="1134"/>
      </w:pPr>
      <w:r w:rsidRPr="00036BE6">
        <w:rPr>
          <w:b/>
          <w:bCs/>
        </w:rPr>
        <w:t xml:space="preserve">Issue </w:t>
      </w:r>
      <w:r w:rsidRPr="00F106B1">
        <w:rPr>
          <w:b/>
          <w:bCs/>
        </w:rPr>
        <w:t>53</w:t>
      </w:r>
      <w:r w:rsidRPr="00F106B1">
        <w:t>:</w:t>
      </w:r>
      <w:r w:rsidRPr="00F106B1">
        <w:tab/>
        <w:t>It is not clear that ‘cooked pasta and noodles only’ is associated with INS 243 only.</w:t>
      </w:r>
    </w:p>
    <w:p w:rsidR="00A56F9F" w:rsidRPr="00F106B1" w:rsidRDefault="00A56F9F" w:rsidP="00A56F9F">
      <w:r w:rsidRPr="00F106B1">
        <w:rPr>
          <w:b/>
          <w:bCs/>
        </w:rPr>
        <w:t>Solution</w:t>
      </w:r>
      <w:r w:rsidRPr="00F106B1">
        <w:t>:</w:t>
      </w:r>
      <w:r w:rsidRPr="00F106B1">
        <w:tab/>
        <w:t>Change ‘cooked’ to ‘Cooked’</w:t>
      </w:r>
    </w:p>
    <w:p w:rsidR="00A56F9F" w:rsidRPr="00F106B1" w:rsidRDefault="00A56F9F" w:rsidP="00A56F9F"/>
    <w:p w:rsidR="00A56F9F" w:rsidRPr="00F106B1" w:rsidRDefault="00A56F9F" w:rsidP="00A56F9F">
      <w:r w:rsidRPr="00F106B1">
        <w:rPr>
          <w:b/>
          <w:bCs/>
        </w:rPr>
        <w:t>Location</w:t>
      </w:r>
      <w:r w:rsidRPr="00F106B1">
        <w:t>:</w:t>
      </w:r>
      <w:r w:rsidRPr="00F106B1">
        <w:tab/>
        <w:t>Schedule 1, item 10.4 Dried and/or heat coagulated egg products</w:t>
      </w:r>
    </w:p>
    <w:p w:rsidR="00A56F9F" w:rsidRPr="00F106B1" w:rsidRDefault="00A56F9F" w:rsidP="00A56F9F">
      <w:pPr>
        <w:ind w:left="1134" w:hanging="1134"/>
        <w:rPr>
          <w:rFonts w:cs="Arial"/>
          <w:szCs w:val="22"/>
        </w:rPr>
      </w:pPr>
      <w:r w:rsidRPr="00F106B1">
        <w:rPr>
          <w:b/>
          <w:bCs/>
        </w:rPr>
        <w:t>Issue 54</w:t>
      </w:r>
      <w:r w:rsidRPr="00F106B1">
        <w:t>:</w:t>
      </w:r>
      <w:r w:rsidRPr="00F106B1">
        <w:tab/>
      </w:r>
      <w:r w:rsidRPr="00F106B1">
        <w:rPr>
          <w:rFonts w:cs="Arial"/>
          <w:szCs w:val="22"/>
        </w:rPr>
        <w:t xml:space="preserve">OLDP recommendation to </w:t>
      </w:r>
      <w:r w:rsidRPr="00F106B1">
        <w:rPr>
          <w:rFonts w:cs="Arial"/>
          <w:szCs w:val="22"/>
          <w:lang w:val="en-AU"/>
        </w:rPr>
        <w:t xml:space="preserve">clarify meaning of </w:t>
      </w:r>
      <w:r w:rsidRPr="00F106B1">
        <w:rPr>
          <w:rFonts w:cs="Arial"/>
          <w:szCs w:val="22"/>
        </w:rPr>
        <w:t>‘and/or’</w:t>
      </w:r>
    </w:p>
    <w:p w:rsidR="00A56F9F" w:rsidRPr="00F106B1" w:rsidRDefault="00A56F9F" w:rsidP="00A56F9F">
      <w:pPr>
        <w:ind w:left="1134" w:hanging="1134"/>
      </w:pPr>
      <w:r w:rsidRPr="00F106B1">
        <w:rPr>
          <w:rFonts w:cs="Arial"/>
          <w:b/>
          <w:bCs/>
          <w:szCs w:val="22"/>
        </w:rPr>
        <w:t>Solution</w:t>
      </w:r>
      <w:r w:rsidRPr="00F106B1">
        <w:rPr>
          <w:rFonts w:cs="Arial"/>
          <w:szCs w:val="22"/>
        </w:rPr>
        <w:t>:</w:t>
      </w:r>
      <w:r w:rsidRPr="00F106B1">
        <w:rPr>
          <w:rFonts w:cs="Arial"/>
          <w:szCs w:val="22"/>
        </w:rPr>
        <w:tab/>
      </w:r>
      <w:r w:rsidRPr="00F106B1">
        <w:t xml:space="preserve">Change ‘and/or’ to ‘or’. </w:t>
      </w:r>
    </w:p>
    <w:p w:rsidR="00A56F9F" w:rsidRPr="00F106B1" w:rsidRDefault="00A56F9F" w:rsidP="00A56F9F"/>
    <w:p w:rsidR="00A56F9F" w:rsidRPr="00F106B1" w:rsidRDefault="00A56F9F" w:rsidP="00A56F9F">
      <w:pPr>
        <w:ind w:left="1134" w:hanging="1134"/>
      </w:pPr>
      <w:r w:rsidRPr="00F106B1">
        <w:rPr>
          <w:b/>
          <w:bCs/>
        </w:rPr>
        <w:t>Location</w:t>
      </w:r>
      <w:r w:rsidRPr="00F106B1">
        <w:t>:</w:t>
      </w:r>
      <w:r w:rsidRPr="00F106B1">
        <w:tab/>
        <w:t xml:space="preserve">Schedule 1, item 14.2 </w:t>
      </w:r>
    </w:p>
    <w:p w:rsidR="00A56F9F" w:rsidRPr="00BD0844" w:rsidRDefault="00A56F9F" w:rsidP="00A56F9F">
      <w:pPr>
        <w:ind w:left="1134" w:hanging="1134"/>
      </w:pPr>
      <w:r w:rsidRPr="00F106B1">
        <w:rPr>
          <w:b/>
          <w:bCs/>
        </w:rPr>
        <w:t>Issue 55</w:t>
      </w:r>
      <w:r w:rsidRPr="00F106B1">
        <w:t>:</w:t>
      </w:r>
      <w:r w:rsidRPr="00F106B1">
        <w:tab/>
        <w:t xml:space="preserve">The ‘no </w:t>
      </w:r>
      <w:r w:rsidRPr="00BD0844">
        <w:t>alcohol’ is not clear as a class of alcoholic beverage in the heading</w:t>
      </w:r>
    </w:p>
    <w:p w:rsidR="00A56F9F" w:rsidRPr="00BD0844" w:rsidRDefault="00A56F9F" w:rsidP="00A56F9F">
      <w:pPr>
        <w:ind w:left="1134" w:hanging="1134"/>
      </w:pPr>
      <w:r w:rsidRPr="00BD0844">
        <w:rPr>
          <w:b/>
          <w:bCs/>
        </w:rPr>
        <w:t>Solution</w:t>
      </w:r>
      <w:r w:rsidRPr="00BD0844">
        <w:t>:</w:t>
      </w:r>
      <w:r w:rsidRPr="00BD0844">
        <w:tab/>
        <w:t>Change heading to read ‘Alcoholic Beverages (including alcoholic beverages that have had the alcohol reduced or removed)’.</w:t>
      </w:r>
    </w:p>
    <w:p w:rsidR="00A56F9F" w:rsidRPr="00BD0844" w:rsidRDefault="00A56F9F" w:rsidP="00A56F9F">
      <w:pPr>
        <w:ind w:left="1418" w:hanging="1418"/>
      </w:pPr>
    </w:p>
    <w:p w:rsidR="00141317" w:rsidRDefault="00141317">
      <w:pPr>
        <w:widowControl/>
        <w:rPr>
          <w:b/>
          <w:bCs/>
        </w:rPr>
      </w:pPr>
      <w:r>
        <w:rPr>
          <w:b/>
          <w:bCs/>
        </w:rPr>
        <w:br w:type="page"/>
      </w:r>
    </w:p>
    <w:p w:rsidR="00A56F9F" w:rsidRPr="00BD0844" w:rsidRDefault="00A56F9F" w:rsidP="00A56F9F">
      <w:pPr>
        <w:ind w:left="1134" w:hanging="1134"/>
      </w:pPr>
      <w:r w:rsidRPr="00BD0844">
        <w:rPr>
          <w:b/>
          <w:bCs/>
        </w:rPr>
        <w:lastRenderedPageBreak/>
        <w:t>Location</w:t>
      </w:r>
      <w:r w:rsidRPr="00BD0844">
        <w:t>:</w:t>
      </w:r>
      <w:r w:rsidRPr="00BD0844">
        <w:tab/>
        <w:t>Schedule 1, item 20.2 soup bases (made up as directed)</w:t>
      </w:r>
    </w:p>
    <w:p w:rsidR="00A56F9F" w:rsidRPr="00BD0844" w:rsidRDefault="00A56F9F" w:rsidP="00A56F9F">
      <w:pPr>
        <w:ind w:left="1134" w:hanging="1134"/>
      </w:pPr>
      <w:r w:rsidRPr="00BD0844">
        <w:rPr>
          <w:b/>
          <w:bCs/>
        </w:rPr>
        <w:t>Issue 56</w:t>
      </w:r>
      <w:r w:rsidRPr="00BD0844">
        <w:t>:</w:t>
      </w:r>
      <w:r w:rsidRPr="00BD0844">
        <w:tab/>
        <w:t xml:space="preserve">Having the words ‘made up as directed’ in the heading is potentially confusing and inconsistent with other entries in the Schedule. </w:t>
      </w:r>
    </w:p>
    <w:p w:rsidR="00A56F9F" w:rsidRPr="00BD0844" w:rsidRDefault="009F296B" w:rsidP="00A56F9F">
      <w:pPr>
        <w:ind w:left="1134" w:hanging="1134"/>
      </w:pPr>
      <w:r w:rsidRPr="00BD0844">
        <w:rPr>
          <w:b/>
          <w:bCs/>
        </w:rPr>
        <w:t>Solution proposed in Assessment Report:</w:t>
      </w:r>
      <w:r w:rsidR="00A56F9F" w:rsidRPr="00BD0844">
        <w:tab/>
        <w:t>Amend the entry to ‘soup’ and remove the words ‘made up as directed’ as these are unnecessary.</w:t>
      </w:r>
    </w:p>
    <w:p w:rsidR="009F296B" w:rsidRPr="00E42094" w:rsidRDefault="009F296B" w:rsidP="009F296B">
      <w:pPr>
        <w:ind w:left="1134" w:hanging="1134"/>
        <w:rPr>
          <w:rFonts w:cs="Arial"/>
          <w:szCs w:val="22"/>
        </w:rPr>
      </w:pPr>
      <w:r w:rsidRPr="00BD0844">
        <w:rPr>
          <w:rFonts w:cs="Arial"/>
          <w:b/>
          <w:bCs/>
          <w:szCs w:val="22"/>
        </w:rPr>
        <w:t>Submitter comments and FSANZ response:</w:t>
      </w:r>
      <w:r w:rsidRPr="00BD0844">
        <w:rPr>
          <w:rFonts w:cs="Arial"/>
          <w:szCs w:val="22"/>
        </w:rPr>
        <w:t xml:space="preserve"> Submitter</w:t>
      </w:r>
      <w:r w:rsidR="00726F51" w:rsidRPr="00BD0844">
        <w:rPr>
          <w:rFonts w:cs="Arial"/>
          <w:szCs w:val="22"/>
        </w:rPr>
        <w:t>s</w:t>
      </w:r>
      <w:r w:rsidRPr="00BD0844">
        <w:rPr>
          <w:rFonts w:cs="Arial"/>
          <w:szCs w:val="22"/>
        </w:rPr>
        <w:t xml:space="preserve"> pointed out that this change would permit the additives</w:t>
      </w:r>
      <w:r>
        <w:rPr>
          <w:rFonts w:cs="Arial"/>
          <w:szCs w:val="22"/>
        </w:rPr>
        <w:t xml:space="preserve"> in soups as well as </w:t>
      </w:r>
      <w:r w:rsidR="00726F51">
        <w:rPr>
          <w:rFonts w:cs="Arial"/>
          <w:szCs w:val="22"/>
        </w:rPr>
        <w:t xml:space="preserve">in </w:t>
      </w:r>
      <w:r>
        <w:rPr>
          <w:rFonts w:cs="Arial"/>
          <w:szCs w:val="22"/>
        </w:rPr>
        <w:t xml:space="preserve">soup bases, and this change in permission is </w:t>
      </w:r>
      <w:r w:rsidRPr="00E42094">
        <w:rPr>
          <w:rFonts w:cs="Arial"/>
          <w:szCs w:val="22"/>
        </w:rPr>
        <w:t>inappropriate.</w:t>
      </w:r>
    </w:p>
    <w:p w:rsidR="009F296B" w:rsidRPr="00E42094" w:rsidRDefault="009F296B" w:rsidP="009F296B">
      <w:pPr>
        <w:ind w:left="1134"/>
        <w:rPr>
          <w:bCs/>
        </w:rPr>
      </w:pPr>
      <w:r w:rsidRPr="00E42094">
        <w:rPr>
          <w:rFonts w:cs="Arial"/>
          <w:bCs/>
          <w:szCs w:val="22"/>
        </w:rPr>
        <w:t>FSANZ agrees</w:t>
      </w:r>
      <w:r w:rsidR="00E42094" w:rsidRPr="00E42094">
        <w:rPr>
          <w:rFonts w:cs="Arial"/>
          <w:bCs/>
          <w:szCs w:val="22"/>
        </w:rPr>
        <w:t xml:space="preserve"> and is not changing this food type, but has clarified the meaning of the maximum levels.</w:t>
      </w:r>
    </w:p>
    <w:p w:rsidR="00A56F9F" w:rsidRPr="00E42094" w:rsidRDefault="00A56F9F" w:rsidP="00A56F9F"/>
    <w:p w:rsidR="00A56F9F" w:rsidRPr="00E42094" w:rsidRDefault="00A56F9F" w:rsidP="00A56F9F">
      <w:pPr>
        <w:ind w:left="1134" w:hanging="1134"/>
      </w:pPr>
      <w:r w:rsidRPr="00E42094">
        <w:rPr>
          <w:b/>
          <w:bCs/>
        </w:rPr>
        <w:t>Location</w:t>
      </w:r>
      <w:r w:rsidRPr="00E42094">
        <w:t>:</w:t>
      </w:r>
      <w:r w:rsidRPr="00E42094">
        <w:tab/>
        <w:t>Schedule 2 and Standard 1.2.4, Schedule 2</w:t>
      </w:r>
    </w:p>
    <w:p w:rsidR="00A56F9F" w:rsidRPr="00BD0844" w:rsidRDefault="00A56F9F" w:rsidP="00A56F9F">
      <w:pPr>
        <w:ind w:left="1134" w:hanging="1134"/>
      </w:pPr>
      <w:r w:rsidRPr="00E42094">
        <w:rPr>
          <w:b/>
          <w:bCs/>
        </w:rPr>
        <w:t>Issue 57</w:t>
      </w:r>
      <w:r w:rsidRPr="00E42094">
        <w:t>:</w:t>
      </w:r>
      <w:r w:rsidRPr="00E42094">
        <w:tab/>
        <w:t>Modified starches (1400</w:t>
      </w:r>
      <w:r w:rsidRPr="00BD0844">
        <w:t xml:space="preserve"> series) are currently generally permitted food additives but Schedule 2 does not include acetylated oxidized starch (1451), however, it is a generally permitted food additive internationally. </w:t>
      </w:r>
    </w:p>
    <w:p w:rsidR="00A56F9F" w:rsidRPr="00BD0844" w:rsidRDefault="00A56F9F" w:rsidP="00A56F9F">
      <w:pPr>
        <w:ind w:left="1134" w:hanging="1134"/>
      </w:pPr>
      <w:r w:rsidRPr="00BD0844">
        <w:tab/>
        <w:t>This starch was assessed by the Joint Expert FAO/WHO Committee on Food Additives (JECFA) in 2002. JECFA concluded that ‘Because of the nature of acetylated oxidized starch and its similarity to other modified starches with similar non-systemic effects, the Committee established an ADI ‘not specified’, based on the known uses of acetylated oxidized starch as an ingredient in confectionery products.’</w:t>
      </w:r>
      <w:r w:rsidRPr="00BD0844">
        <w:rPr>
          <w:rStyle w:val="FootnoteReference"/>
        </w:rPr>
        <w:footnoteReference w:id="1"/>
      </w:r>
      <w:r w:rsidRPr="00BD0844">
        <w:t xml:space="preserve">  </w:t>
      </w:r>
    </w:p>
    <w:p w:rsidR="00A56F9F" w:rsidRPr="00BD0844" w:rsidRDefault="00A56F9F" w:rsidP="00A56F9F">
      <w:pPr>
        <w:ind w:left="1134"/>
      </w:pPr>
      <w:r w:rsidRPr="00BD0844">
        <w:t xml:space="preserve">FSANZ has considered the information examined by JECFA and its conclusion, and has concluded that an additional risk assessment is not necessary. </w:t>
      </w:r>
    </w:p>
    <w:p w:rsidR="00726F51" w:rsidRPr="00BD0844" w:rsidRDefault="00726F51" w:rsidP="00A56F9F">
      <w:pPr>
        <w:ind w:left="1134"/>
        <w:rPr>
          <w:i/>
        </w:rPr>
      </w:pPr>
      <w:r w:rsidRPr="00BD0844">
        <w:rPr>
          <w:szCs w:val="22"/>
        </w:rPr>
        <w:t xml:space="preserve">This modified starch has a technological use in confectionery, and will only be used by industry if there is a benefit. The permission for this modified starch will not have a negative trade impact. </w:t>
      </w:r>
    </w:p>
    <w:p w:rsidR="00A56F9F" w:rsidRPr="00BD0844" w:rsidRDefault="00726F51" w:rsidP="00A56F9F">
      <w:pPr>
        <w:ind w:left="1134" w:hanging="1134"/>
      </w:pPr>
      <w:r w:rsidRPr="00BD0844">
        <w:rPr>
          <w:b/>
          <w:bCs/>
        </w:rPr>
        <w:t>Solution proposed in Assessment Report:</w:t>
      </w:r>
      <w:r w:rsidR="00A56F9F" w:rsidRPr="00BD0844">
        <w:tab/>
        <w:t>Acetylated oxidized starch and the INS number of 1451 should be added to Schedule 2 of Standard 1.3.1 and Schedule 2 of Standard 1.2.4.</w:t>
      </w:r>
    </w:p>
    <w:p w:rsidR="00726F51" w:rsidRPr="00BD0844" w:rsidRDefault="00726F51" w:rsidP="00726F51">
      <w:pPr>
        <w:ind w:left="1134" w:hanging="1134"/>
        <w:rPr>
          <w:rFonts w:cs="Arial"/>
          <w:szCs w:val="22"/>
        </w:rPr>
      </w:pPr>
      <w:r w:rsidRPr="00BD0844">
        <w:rPr>
          <w:rFonts w:cs="Arial"/>
          <w:b/>
          <w:bCs/>
          <w:szCs w:val="22"/>
        </w:rPr>
        <w:t>Submitter comments and FSANZ response:</w:t>
      </w:r>
      <w:r w:rsidRPr="00BD0844">
        <w:rPr>
          <w:rFonts w:cs="Arial"/>
          <w:szCs w:val="22"/>
        </w:rPr>
        <w:t xml:space="preserve"> One submitter was opposed to permitting a new additive via the Code Maintenance</w:t>
      </w:r>
      <w:r w:rsidRPr="00726F51">
        <w:rPr>
          <w:rFonts w:cs="Arial"/>
          <w:szCs w:val="22"/>
        </w:rPr>
        <w:t xml:space="preserve"> Proposal. They also noted that it was not clear that </w:t>
      </w:r>
      <w:r w:rsidRPr="00BD0844">
        <w:rPr>
          <w:rFonts w:cs="Arial"/>
          <w:szCs w:val="22"/>
        </w:rPr>
        <w:t>aspects other than safety had been considered.</w:t>
      </w:r>
    </w:p>
    <w:p w:rsidR="00726F51" w:rsidRPr="00BD0844" w:rsidRDefault="00726F51" w:rsidP="00726F51">
      <w:pPr>
        <w:ind w:left="1134"/>
        <w:rPr>
          <w:szCs w:val="22"/>
        </w:rPr>
      </w:pPr>
      <w:r w:rsidRPr="00BD0844">
        <w:rPr>
          <w:szCs w:val="22"/>
        </w:rPr>
        <w:t xml:space="preserve">FSANZ acknowledges that this is a new additive, but </w:t>
      </w:r>
      <w:r w:rsidR="008E16EC" w:rsidRPr="00BD0844">
        <w:rPr>
          <w:szCs w:val="22"/>
        </w:rPr>
        <w:t xml:space="preserve">considers </w:t>
      </w:r>
      <w:r w:rsidRPr="00BD0844">
        <w:rPr>
          <w:szCs w:val="22"/>
        </w:rPr>
        <w:t>that an appropriate level of risk asses</w:t>
      </w:r>
      <w:r w:rsidR="00EC3FDA">
        <w:rPr>
          <w:szCs w:val="22"/>
        </w:rPr>
        <w:t>sment has been conducted. This P</w:t>
      </w:r>
      <w:r w:rsidRPr="00BD0844">
        <w:rPr>
          <w:szCs w:val="22"/>
        </w:rPr>
        <w:t>roposal contains a round of consultation. The issue, and FSANZ’s assessment, are now further described above.</w:t>
      </w:r>
    </w:p>
    <w:p w:rsidR="008E16EC" w:rsidRPr="00BD0844" w:rsidRDefault="008E16EC" w:rsidP="00726F51">
      <w:pPr>
        <w:ind w:left="1134"/>
        <w:rPr>
          <w:rFonts w:cs="Arial"/>
          <w:szCs w:val="22"/>
        </w:rPr>
      </w:pPr>
      <w:r w:rsidRPr="00BD0844">
        <w:rPr>
          <w:szCs w:val="22"/>
        </w:rPr>
        <w:t xml:space="preserve">FSANZ </w:t>
      </w:r>
      <w:r w:rsidR="00276806">
        <w:rPr>
          <w:szCs w:val="22"/>
        </w:rPr>
        <w:t xml:space="preserve">has </w:t>
      </w:r>
      <w:r w:rsidR="00646B05">
        <w:rPr>
          <w:szCs w:val="22"/>
        </w:rPr>
        <w:t>therefore proceed</w:t>
      </w:r>
      <w:r w:rsidR="00276806">
        <w:rPr>
          <w:szCs w:val="22"/>
        </w:rPr>
        <w:t>ed</w:t>
      </w:r>
      <w:r w:rsidR="00646B05">
        <w:rPr>
          <w:szCs w:val="22"/>
        </w:rPr>
        <w:t xml:space="preserve"> with</w:t>
      </w:r>
      <w:r w:rsidRPr="00BD0844">
        <w:rPr>
          <w:szCs w:val="22"/>
        </w:rPr>
        <w:t xml:space="preserve"> this amendment.</w:t>
      </w:r>
    </w:p>
    <w:p w:rsidR="00A56F9F" w:rsidRPr="00BD0844" w:rsidRDefault="00A56F9F" w:rsidP="00726F51"/>
    <w:p w:rsidR="00141317" w:rsidRDefault="00141317">
      <w:pPr>
        <w:widowControl/>
        <w:rPr>
          <w:b/>
          <w:bCs/>
        </w:rPr>
      </w:pPr>
      <w:r>
        <w:rPr>
          <w:b/>
          <w:bCs/>
        </w:rPr>
        <w:br w:type="page"/>
      </w:r>
    </w:p>
    <w:p w:rsidR="00A56F9F" w:rsidRPr="00BD0844" w:rsidRDefault="00A56F9F" w:rsidP="00A56F9F">
      <w:pPr>
        <w:ind w:left="1134" w:hanging="1134"/>
      </w:pPr>
      <w:r w:rsidRPr="00BD0844">
        <w:rPr>
          <w:b/>
          <w:bCs/>
        </w:rPr>
        <w:lastRenderedPageBreak/>
        <w:t>Location</w:t>
      </w:r>
      <w:r w:rsidRPr="00BD0844">
        <w:t>:</w:t>
      </w:r>
      <w:r w:rsidRPr="00BD0844">
        <w:tab/>
        <w:t>Schedule 2</w:t>
      </w:r>
    </w:p>
    <w:p w:rsidR="00A56F9F" w:rsidRPr="00BD0844" w:rsidRDefault="00A56F9F" w:rsidP="00A56F9F">
      <w:pPr>
        <w:ind w:left="1134" w:hanging="1134"/>
      </w:pPr>
      <w:r w:rsidRPr="00BD0844">
        <w:rPr>
          <w:b/>
          <w:bCs/>
        </w:rPr>
        <w:t>Issue 58</w:t>
      </w:r>
      <w:r w:rsidRPr="00BD0844">
        <w:t>:</w:t>
      </w:r>
      <w:r w:rsidRPr="00BD0844">
        <w:tab/>
        <w:t xml:space="preserve">Sodium gluconate (INS 576) is not in the list of gluconates in the Code, even though it is in the group list of gluconates given an ADI ‘not specified’ by JECFA and has usage permission in the EC and USA.  </w:t>
      </w:r>
    </w:p>
    <w:p w:rsidR="00A56F9F" w:rsidRPr="00BD0844" w:rsidRDefault="00A56F9F" w:rsidP="00A56F9F">
      <w:pPr>
        <w:ind w:left="1134" w:hanging="1134"/>
        <w:rPr>
          <w:lang w:val="en-AU"/>
        </w:rPr>
      </w:pPr>
      <w:r w:rsidRPr="00BD0844">
        <w:rPr>
          <w:lang w:val="en-AU"/>
        </w:rPr>
        <w:tab/>
        <w:t xml:space="preserve">JECFA considered calcium gluconate, magnesium gluconate, potassium gluconate, and sodium gluconate together, because all four salts are freely ionized and it is appropriate to allocate a group ADI, including glucono-delta-lactone, on the basis of their anion, gluconic acid.  </w:t>
      </w:r>
    </w:p>
    <w:p w:rsidR="00A56F9F" w:rsidRPr="00BD0844" w:rsidRDefault="00A56F9F" w:rsidP="00A56F9F">
      <w:pPr>
        <w:ind w:left="1134" w:right="-330" w:hanging="1134"/>
        <w:rPr>
          <w:lang w:val="en-AU"/>
        </w:rPr>
      </w:pPr>
      <w:r w:rsidRPr="00BD0844">
        <w:rPr>
          <w:lang w:val="en-AU"/>
        </w:rPr>
        <w:tab/>
        <w:t xml:space="preserve">Toxicology studies and case reports considered by JECFA in making this decision included studies conducted with all the compounds, but sodium gluconate and glucono-delta-lactone were the most frequently used test substances.  </w:t>
      </w:r>
    </w:p>
    <w:p w:rsidR="00A56F9F" w:rsidRPr="00BD0844" w:rsidRDefault="00A56F9F" w:rsidP="00A56F9F">
      <w:pPr>
        <w:ind w:left="1134" w:hanging="1134"/>
        <w:rPr>
          <w:lang w:val="en-AU"/>
        </w:rPr>
      </w:pPr>
      <w:r w:rsidRPr="00BD0844">
        <w:rPr>
          <w:lang w:val="en-AU"/>
        </w:rPr>
        <w:tab/>
        <w:t xml:space="preserve">FSANZ has reviewed the JECFA Monograph concerning sodium gluconate and related compounds at </w:t>
      </w:r>
      <w:hyperlink r:id="rId12" w:history="1">
        <w:r w:rsidRPr="00BD0844">
          <w:rPr>
            <w:rStyle w:val="Hyperlink"/>
            <w:lang w:val="en-AU"/>
          </w:rPr>
          <w:t>http://www.inchem.org/documents/jecfa/jecmono/v042je12.htm</w:t>
        </w:r>
      </w:hyperlink>
      <w:r w:rsidRPr="00BD0844">
        <w:rPr>
          <w:lang w:val="en-AU"/>
        </w:rPr>
        <w:t xml:space="preserve"> and concluded that there is no need for a separate risk assessment for sodium gluconate, in that the group risk assessment conducted by JECFA is already to a large extent based on studies of sodium gluconate.</w:t>
      </w:r>
    </w:p>
    <w:p w:rsidR="00AB04EB" w:rsidRPr="00BD0844" w:rsidRDefault="00AB04EB" w:rsidP="00AB04EB">
      <w:pPr>
        <w:ind w:left="1134"/>
        <w:rPr>
          <w:szCs w:val="22"/>
        </w:rPr>
      </w:pPr>
      <w:r w:rsidRPr="00BD0844">
        <w:rPr>
          <w:szCs w:val="22"/>
        </w:rPr>
        <w:t>S</w:t>
      </w:r>
      <w:r w:rsidRPr="00BD0844">
        <w:t>odium gluconate</w:t>
      </w:r>
      <w:r w:rsidRPr="00BD0844">
        <w:rPr>
          <w:szCs w:val="22"/>
        </w:rPr>
        <w:t xml:space="preserve"> is primarily used in salt substitutes, but also has other technological applications. It will only be used by industry if there is a benefit.</w:t>
      </w:r>
    </w:p>
    <w:p w:rsidR="00AB04EB" w:rsidRPr="00BD0844" w:rsidRDefault="00AB04EB" w:rsidP="00AB04EB">
      <w:pPr>
        <w:ind w:left="1134"/>
        <w:rPr>
          <w:szCs w:val="22"/>
        </w:rPr>
      </w:pPr>
      <w:r w:rsidRPr="00BD0844">
        <w:rPr>
          <w:szCs w:val="22"/>
        </w:rPr>
        <w:t>The permission for this additive will not have a negative trade impact.</w:t>
      </w:r>
    </w:p>
    <w:p w:rsidR="00AB04EB" w:rsidRPr="00BD0844" w:rsidRDefault="00AB04EB" w:rsidP="00AB04EB">
      <w:pPr>
        <w:ind w:left="1134"/>
      </w:pPr>
      <w:r w:rsidRPr="00BD0844">
        <w:rPr>
          <w:szCs w:val="22"/>
        </w:rPr>
        <w:t>The permission for this additive may have a public health benefit through reduction in sodium in food.</w:t>
      </w:r>
    </w:p>
    <w:p w:rsidR="00A56F9F" w:rsidRPr="00BD0844" w:rsidRDefault="00AB04EB" w:rsidP="00A56F9F">
      <w:pPr>
        <w:widowControl/>
        <w:ind w:left="1134" w:hanging="1134"/>
      </w:pPr>
      <w:r w:rsidRPr="00BD0844">
        <w:rPr>
          <w:b/>
          <w:bCs/>
        </w:rPr>
        <w:t>Solution proposed in Assessment Report:</w:t>
      </w:r>
      <w:r w:rsidR="001A6955">
        <w:rPr>
          <w:b/>
          <w:bCs/>
        </w:rPr>
        <w:t xml:space="preserve"> </w:t>
      </w:r>
      <w:r w:rsidR="00A56F9F" w:rsidRPr="00BD0844">
        <w:t>Sodium gluconate and the INS number of 576 should be added to Schedule 2 of Standard 1.3.1 and to Schedule 2 of Standard 1.2.4.</w:t>
      </w:r>
    </w:p>
    <w:p w:rsidR="00AB04EB" w:rsidRPr="00726F51" w:rsidRDefault="00AB04EB" w:rsidP="00AB04EB">
      <w:pPr>
        <w:ind w:left="1134" w:hanging="1134"/>
        <w:rPr>
          <w:rFonts w:cs="Arial"/>
          <w:szCs w:val="22"/>
        </w:rPr>
      </w:pPr>
      <w:r w:rsidRPr="00BD0844">
        <w:rPr>
          <w:rFonts w:cs="Arial"/>
          <w:b/>
          <w:bCs/>
          <w:szCs w:val="22"/>
        </w:rPr>
        <w:t>Submitter comments and FSANZ response:</w:t>
      </w:r>
      <w:r w:rsidRPr="00BD0844">
        <w:rPr>
          <w:rFonts w:cs="Arial"/>
          <w:szCs w:val="22"/>
        </w:rPr>
        <w:t xml:space="preserve"> One submitter was opposed to permitting a new additive via the Code Maintenance Proposal. They also noted that it was not clear that aspects other</w:t>
      </w:r>
      <w:r w:rsidRPr="00726F51">
        <w:rPr>
          <w:rFonts w:cs="Arial"/>
          <w:szCs w:val="22"/>
        </w:rPr>
        <w:t xml:space="preserve"> than safety had been considered.</w:t>
      </w:r>
    </w:p>
    <w:p w:rsidR="00AB04EB" w:rsidRPr="001B5C4C" w:rsidRDefault="00AB04EB" w:rsidP="00AB04EB">
      <w:pPr>
        <w:ind w:left="1134"/>
        <w:rPr>
          <w:szCs w:val="22"/>
        </w:rPr>
      </w:pPr>
      <w:r w:rsidRPr="001B5C4C">
        <w:rPr>
          <w:szCs w:val="22"/>
        </w:rPr>
        <w:t>FSANZ acknowledges that this is a new additive, but considers that an appropriate level of risk assessment has been conducted. This proposal contains a round of consultation. The issue, and FSANZ’s assessment, are now further described above.</w:t>
      </w:r>
    </w:p>
    <w:p w:rsidR="00AB04EB" w:rsidRPr="001B5C4C" w:rsidRDefault="00AB04EB" w:rsidP="00AB04EB">
      <w:pPr>
        <w:ind w:left="1134"/>
        <w:rPr>
          <w:rFonts w:cs="Arial"/>
          <w:szCs w:val="22"/>
        </w:rPr>
      </w:pPr>
      <w:r w:rsidRPr="001B5C4C">
        <w:rPr>
          <w:szCs w:val="22"/>
        </w:rPr>
        <w:t xml:space="preserve">FSANZ </w:t>
      </w:r>
      <w:r w:rsidR="00276806">
        <w:rPr>
          <w:szCs w:val="22"/>
        </w:rPr>
        <w:t>has</w:t>
      </w:r>
      <w:r w:rsidR="00646B05">
        <w:rPr>
          <w:szCs w:val="22"/>
        </w:rPr>
        <w:t xml:space="preserve"> therefore proceed</w:t>
      </w:r>
      <w:r w:rsidR="00276806">
        <w:rPr>
          <w:szCs w:val="22"/>
        </w:rPr>
        <w:t>ed</w:t>
      </w:r>
      <w:r w:rsidR="00646B05">
        <w:rPr>
          <w:szCs w:val="22"/>
        </w:rPr>
        <w:t xml:space="preserve"> with</w:t>
      </w:r>
      <w:r w:rsidRPr="001B5C4C">
        <w:rPr>
          <w:szCs w:val="22"/>
        </w:rPr>
        <w:t xml:space="preserve"> this amendment.</w:t>
      </w:r>
    </w:p>
    <w:p w:rsidR="0091567F" w:rsidRPr="001B5C4C" w:rsidRDefault="0091567F" w:rsidP="00A56F9F">
      <w:pPr>
        <w:widowControl/>
        <w:ind w:left="1134" w:hanging="1134"/>
        <w:rPr>
          <w:b/>
          <w:bCs/>
        </w:rPr>
      </w:pPr>
    </w:p>
    <w:p w:rsidR="00A56F9F" w:rsidRPr="001B5C4C" w:rsidRDefault="00A56F9F" w:rsidP="00A56F9F">
      <w:r w:rsidRPr="001B5C4C">
        <w:rPr>
          <w:b/>
          <w:bCs/>
        </w:rPr>
        <w:t>Location</w:t>
      </w:r>
      <w:r w:rsidRPr="001B5C4C">
        <w:t>:</w:t>
      </w:r>
      <w:r w:rsidRPr="001B5C4C">
        <w:tab/>
        <w:t>Schedule 5, definition of flavour enhancer</w:t>
      </w:r>
    </w:p>
    <w:p w:rsidR="00A56F9F" w:rsidRPr="001B5C4C" w:rsidRDefault="00A56F9F" w:rsidP="00A56F9F">
      <w:pPr>
        <w:ind w:left="1134" w:hanging="1134"/>
        <w:rPr>
          <w:rFonts w:cs="Arial"/>
          <w:szCs w:val="22"/>
        </w:rPr>
      </w:pPr>
      <w:r w:rsidRPr="001B7DD5">
        <w:rPr>
          <w:b/>
          <w:bCs/>
        </w:rPr>
        <w:t>Issue 59</w:t>
      </w:r>
      <w:r w:rsidRPr="001B7DD5">
        <w:rPr>
          <w:b/>
        </w:rPr>
        <w:t>:</w:t>
      </w:r>
      <w:r w:rsidRPr="001B5C4C">
        <w:tab/>
        <w:t xml:space="preserve">The definition refers to ‘enhances the existing taste and/or odour’. </w:t>
      </w:r>
      <w:r w:rsidRPr="001B5C4C">
        <w:rPr>
          <w:rFonts w:cs="Arial"/>
          <w:szCs w:val="22"/>
        </w:rPr>
        <w:t xml:space="preserve">OLDP recommendation to </w:t>
      </w:r>
      <w:r w:rsidRPr="001B5C4C">
        <w:rPr>
          <w:rFonts w:cs="Arial"/>
          <w:szCs w:val="22"/>
          <w:lang w:val="en-AU"/>
        </w:rPr>
        <w:t xml:space="preserve">clarify meaning of </w:t>
      </w:r>
      <w:r w:rsidRPr="001B5C4C">
        <w:rPr>
          <w:rFonts w:cs="Arial"/>
          <w:szCs w:val="22"/>
        </w:rPr>
        <w:t>‘and/or’</w:t>
      </w:r>
      <w:r w:rsidR="00A66A26" w:rsidRPr="001B5C4C">
        <w:rPr>
          <w:rFonts w:cs="Arial"/>
          <w:szCs w:val="22"/>
        </w:rPr>
        <w:t>.</w:t>
      </w:r>
    </w:p>
    <w:p w:rsidR="00A56F9F" w:rsidRPr="001B5C4C" w:rsidRDefault="00A56F9F" w:rsidP="00A56F9F">
      <w:pPr>
        <w:ind w:left="1134" w:hanging="1134"/>
      </w:pPr>
      <w:r w:rsidRPr="001B7DD5">
        <w:rPr>
          <w:rFonts w:cs="Arial"/>
          <w:b/>
          <w:bCs/>
          <w:szCs w:val="22"/>
        </w:rPr>
        <w:t>Solution</w:t>
      </w:r>
      <w:r w:rsidRPr="001B7DD5">
        <w:rPr>
          <w:rFonts w:cs="Arial"/>
          <w:b/>
          <w:szCs w:val="22"/>
        </w:rPr>
        <w:t>:</w:t>
      </w:r>
      <w:r w:rsidRPr="001B5C4C">
        <w:rPr>
          <w:rFonts w:cs="Arial"/>
          <w:szCs w:val="22"/>
        </w:rPr>
        <w:tab/>
      </w:r>
      <w:r w:rsidRPr="001B5C4C">
        <w:t xml:space="preserve">Redraft to ‘enhances the existing taste or odour’. </w:t>
      </w:r>
    </w:p>
    <w:p w:rsidR="00A56F9F" w:rsidRPr="001B5C4C" w:rsidRDefault="00A56F9F" w:rsidP="00A56F9F"/>
    <w:p w:rsidR="00A56F9F" w:rsidRPr="001B5C4C" w:rsidRDefault="00A56F9F" w:rsidP="00A56F9F">
      <w:r w:rsidRPr="001B7DD5">
        <w:rPr>
          <w:b/>
          <w:bCs/>
        </w:rPr>
        <w:t>Location</w:t>
      </w:r>
      <w:r w:rsidRPr="001B7DD5">
        <w:rPr>
          <w:b/>
        </w:rPr>
        <w:t>:</w:t>
      </w:r>
      <w:r w:rsidRPr="001B5C4C">
        <w:tab/>
        <w:t>Schedule 5, definition of flavouring</w:t>
      </w:r>
    </w:p>
    <w:p w:rsidR="00A56F9F" w:rsidRPr="001B5C4C" w:rsidRDefault="00A56F9F" w:rsidP="00A56F9F">
      <w:pPr>
        <w:ind w:left="1134" w:hanging="1134"/>
        <w:rPr>
          <w:rFonts w:cs="Arial"/>
          <w:szCs w:val="22"/>
        </w:rPr>
      </w:pPr>
      <w:r w:rsidRPr="001B7DD5">
        <w:rPr>
          <w:b/>
          <w:bCs/>
        </w:rPr>
        <w:t>Issue 60</w:t>
      </w:r>
      <w:r w:rsidRPr="001B7DD5">
        <w:rPr>
          <w:b/>
        </w:rPr>
        <w:t>:</w:t>
      </w:r>
      <w:r w:rsidRPr="001B5C4C">
        <w:tab/>
        <w:t xml:space="preserve">The definition refers to ‘impart taste and/or odour’. </w:t>
      </w:r>
      <w:r w:rsidRPr="001B5C4C">
        <w:rPr>
          <w:rFonts w:cs="Arial"/>
          <w:szCs w:val="22"/>
        </w:rPr>
        <w:t xml:space="preserve">OLDP recommendation to </w:t>
      </w:r>
      <w:r w:rsidRPr="001B5C4C">
        <w:rPr>
          <w:rFonts w:cs="Arial"/>
          <w:szCs w:val="22"/>
          <w:lang w:val="en-AU"/>
        </w:rPr>
        <w:t xml:space="preserve">clarify meaning of </w:t>
      </w:r>
      <w:r w:rsidRPr="001B5C4C">
        <w:rPr>
          <w:rFonts w:cs="Arial"/>
          <w:szCs w:val="22"/>
        </w:rPr>
        <w:t>‘and/or’</w:t>
      </w:r>
      <w:r w:rsidR="00A66A26" w:rsidRPr="001B5C4C">
        <w:rPr>
          <w:rFonts w:cs="Arial"/>
          <w:szCs w:val="22"/>
        </w:rPr>
        <w:t>.</w:t>
      </w:r>
    </w:p>
    <w:p w:rsidR="00A56F9F" w:rsidRPr="001B5C4C" w:rsidRDefault="00A56F9F" w:rsidP="00A56F9F">
      <w:pPr>
        <w:ind w:left="1134" w:hanging="1134"/>
      </w:pPr>
      <w:r w:rsidRPr="001B5C4C">
        <w:rPr>
          <w:rFonts w:cs="Arial"/>
          <w:b/>
          <w:bCs/>
          <w:szCs w:val="22"/>
        </w:rPr>
        <w:t>Solution</w:t>
      </w:r>
      <w:r w:rsidRPr="001B5C4C">
        <w:rPr>
          <w:rFonts w:cs="Arial"/>
          <w:szCs w:val="22"/>
        </w:rPr>
        <w:t>:</w:t>
      </w:r>
      <w:r w:rsidRPr="001B5C4C">
        <w:rPr>
          <w:rFonts w:cs="Arial"/>
          <w:szCs w:val="22"/>
        </w:rPr>
        <w:tab/>
      </w:r>
      <w:r w:rsidRPr="001B5C4C">
        <w:t>Replace ‘and/or’ with ‘or’.</w:t>
      </w:r>
    </w:p>
    <w:p w:rsidR="00A56F9F" w:rsidRPr="001B5C4C" w:rsidRDefault="00A56F9F" w:rsidP="00A56F9F"/>
    <w:p w:rsidR="00A56F9F" w:rsidRPr="0091567F" w:rsidRDefault="00A56F9F" w:rsidP="00A56F9F">
      <w:pPr>
        <w:pStyle w:val="Heading3"/>
      </w:pPr>
      <w:bookmarkStart w:id="61" w:name="_Toc280003208"/>
      <w:bookmarkStart w:id="62" w:name="_Toc290973031"/>
      <w:r w:rsidRPr="001B5C4C">
        <w:t>3.14</w:t>
      </w:r>
      <w:r w:rsidRPr="001B5C4C">
        <w:tab/>
        <w:t>Standard 1.3.2 – Vitamins</w:t>
      </w:r>
      <w:r w:rsidRPr="0091567F">
        <w:t xml:space="preserve"> and Minerals</w:t>
      </w:r>
      <w:bookmarkEnd w:id="61"/>
      <w:bookmarkEnd w:id="62"/>
    </w:p>
    <w:p w:rsidR="00A56F9F" w:rsidRPr="0091567F" w:rsidRDefault="00A56F9F" w:rsidP="00A56F9F">
      <w:pPr>
        <w:rPr>
          <w:b/>
          <w:bCs/>
        </w:rPr>
      </w:pPr>
    </w:p>
    <w:p w:rsidR="00A56F9F" w:rsidRPr="0091567F" w:rsidRDefault="00A56F9F" w:rsidP="00A56F9F">
      <w:r w:rsidRPr="0091567F">
        <w:rPr>
          <w:b/>
          <w:bCs/>
        </w:rPr>
        <w:t>Location</w:t>
      </w:r>
      <w:r w:rsidRPr="0091567F">
        <w:t>:</w:t>
      </w:r>
      <w:r w:rsidRPr="0091567F">
        <w:tab/>
        <w:t>Definition of ‘claimable food’, clause 1</w:t>
      </w:r>
    </w:p>
    <w:p w:rsidR="00A56F9F" w:rsidRPr="0091567F" w:rsidRDefault="00A56F9F" w:rsidP="00A56F9F">
      <w:pPr>
        <w:ind w:left="1134" w:hanging="1134"/>
        <w:rPr>
          <w:rFonts w:cs="Arial"/>
          <w:szCs w:val="22"/>
        </w:rPr>
      </w:pPr>
      <w:r w:rsidRPr="0091567F">
        <w:rPr>
          <w:b/>
          <w:bCs/>
        </w:rPr>
        <w:t>Issue 61</w:t>
      </w:r>
      <w:r w:rsidRPr="0091567F">
        <w:t>:</w:t>
      </w:r>
      <w:r w:rsidRPr="0091567F">
        <w:tab/>
      </w:r>
      <w:r w:rsidRPr="0091567F">
        <w:rPr>
          <w:rFonts w:cs="Arial"/>
          <w:szCs w:val="22"/>
        </w:rPr>
        <w:t xml:space="preserve">OLDP recommendation to </w:t>
      </w:r>
      <w:r w:rsidRPr="0091567F">
        <w:rPr>
          <w:rFonts w:cs="Arial"/>
          <w:szCs w:val="22"/>
          <w:lang w:val="en-AU"/>
        </w:rPr>
        <w:t xml:space="preserve">clarify meaning of </w:t>
      </w:r>
      <w:r w:rsidRPr="0091567F">
        <w:rPr>
          <w:rFonts w:cs="Arial"/>
          <w:szCs w:val="22"/>
        </w:rPr>
        <w:t>‘and/or’</w:t>
      </w:r>
      <w:r w:rsidR="00A66A26">
        <w:rPr>
          <w:rFonts w:cs="Arial"/>
          <w:szCs w:val="22"/>
        </w:rPr>
        <w:t>.</w:t>
      </w:r>
    </w:p>
    <w:p w:rsidR="00A56F9F" w:rsidRPr="0091567F" w:rsidRDefault="00A56F9F" w:rsidP="00A56F9F">
      <w:pPr>
        <w:ind w:left="1134" w:hanging="1134"/>
      </w:pPr>
      <w:r w:rsidRPr="0091567F">
        <w:rPr>
          <w:rFonts w:cs="Arial"/>
          <w:b/>
          <w:bCs/>
          <w:szCs w:val="22"/>
        </w:rPr>
        <w:t>Solution</w:t>
      </w:r>
      <w:r w:rsidRPr="0091567F">
        <w:rPr>
          <w:rFonts w:cs="Arial"/>
          <w:szCs w:val="22"/>
        </w:rPr>
        <w:t>:</w:t>
      </w:r>
      <w:r w:rsidRPr="0091567F">
        <w:rPr>
          <w:rFonts w:cs="Arial"/>
          <w:szCs w:val="22"/>
        </w:rPr>
        <w:tab/>
      </w:r>
      <w:r w:rsidRPr="0091567F">
        <w:t xml:space="preserve">Amend (c) to refer to ‘two or more of the following –‘ and replace ‘and/or’ with ‘or’. </w:t>
      </w:r>
    </w:p>
    <w:p w:rsidR="00A56F9F" w:rsidRPr="0091567F" w:rsidRDefault="00A56F9F" w:rsidP="00A56F9F">
      <w:pPr>
        <w:rPr>
          <w:b/>
          <w:bCs/>
        </w:rPr>
      </w:pPr>
    </w:p>
    <w:p w:rsidR="00141317" w:rsidRDefault="00141317">
      <w:pPr>
        <w:widowControl/>
        <w:rPr>
          <w:b/>
          <w:bCs/>
        </w:rPr>
      </w:pPr>
      <w:r>
        <w:rPr>
          <w:b/>
          <w:bCs/>
        </w:rPr>
        <w:br w:type="page"/>
      </w:r>
    </w:p>
    <w:p w:rsidR="00A56F9F" w:rsidRPr="0091567F" w:rsidRDefault="00A56F9F" w:rsidP="00A56F9F">
      <w:pPr>
        <w:ind w:left="1134" w:hanging="1134"/>
      </w:pPr>
      <w:r w:rsidRPr="0091567F">
        <w:rPr>
          <w:b/>
          <w:bCs/>
        </w:rPr>
        <w:lastRenderedPageBreak/>
        <w:t>Location</w:t>
      </w:r>
      <w:r w:rsidRPr="0091567F">
        <w:t>:</w:t>
      </w:r>
      <w:r w:rsidRPr="0091567F">
        <w:tab/>
        <w:t xml:space="preserve">Table to clause 3 </w:t>
      </w:r>
    </w:p>
    <w:p w:rsidR="00A56F9F" w:rsidRPr="0091567F" w:rsidRDefault="00A56F9F" w:rsidP="00A56F9F">
      <w:pPr>
        <w:ind w:left="1134" w:hanging="1134"/>
      </w:pPr>
      <w:r w:rsidRPr="0091567F">
        <w:rPr>
          <w:b/>
          <w:bCs/>
        </w:rPr>
        <w:t>Issue 62</w:t>
      </w:r>
      <w:r w:rsidRPr="0091567F">
        <w:t>:</w:t>
      </w:r>
      <w:r w:rsidRPr="0091567F">
        <w:tab/>
        <w:t xml:space="preserve">Formatting is inconsistent, i.e. use of colons and dashes. </w:t>
      </w:r>
    </w:p>
    <w:p w:rsidR="00A56F9F" w:rsidRPr="0091567F" w:rsidRDefault="00A56F9F" w:rsidP="00A56F9F">
      <w:pPr>
        <w:ind w:left="1134" w:hanging="1134"/>
      </w:pPr>
      <w:r w:rsidRPr="0091567F">
        <w:rPr>
          <w:b/>
          <w:bCs/>
        </w:rPr>
        <w:tab/>
      </w:r>
      <w:r w:rsidRPr="0091567F">
        <w:t>The ‘other edible oils’ is not meant to be a subset of the sunflower oil and safflower oil</w:t>
      </w:r>
      <w:r w:rsidR="00793296">
        <w:t>.</w:t>
      </w:r>
      <w:r w:rsidRPr="0091567F">
        <w:t xml:space="preserve"> </w:t>
      </w:r>
      <w:r w:rsidR="00793296">
        <w:t>I</w:t>
      </w:r>
      <w:r w:rsidRPr="0091567F">
        <w:t xml:space="preserve">t should it be a category in its own right. </w:t>
      </w:r>
    </w:p>
    <w:p w:rsidR="00A56F9F" w:rsidRPr="0091567F" w:rsidRDefault="00A56F9F" w:rsidP="00A56F9F">
      <w:pPr>
        <w:ind w:left="1134" w:hanging="1134"/>
      </w:pPr>
      <w:r w:rsidRPr="0091567F">
        <w:tab/>
        <w:t xml:space="preserve">The entry for fruit juice is unclear due to the formatting. Inclusion of reconstituted fruit juice is unnecessary, as permission to fortify these are captured by permission to fortify fruit juice. </w:t>
      </w:r>
    </w:p>
    <w:p w:rsidR="00A56F9F" w:rsidRPr="0091567F" w:rsidRDefault="00A56F9F" w:rsidP="00A56F9F">
      <w:pPr>
        <w:ind w:left="1134" w:hanging="1134"/>
      </w:pPr>
      <w:r w:rsidRPr="0091567F">
        <w:rPr>
          <w:b/>
          <w:bCs/>
        </w:rPr>
        <w:t>Solution</w:t>
      </w:r>
      <w:r w:rsidRPr="0091567F">
        <w:t>:</w:t>
      </w:r>
      <w:r w:rsidRPr="0091567F">
        <w:tab/>
        <w:t xml:space="preserve">Correct formatting and separate out the entry for ‘other edible oils’ so it is not a subset of sunflower oils and safflower oils. Remove reconstituted fruit juice. </w:t>
      </w:r>
    </w:p>
    <w:p w:rsidR="00A56F9F" w:rsidRPr="0091567F" w:rsidRDefault="00A56F9F" w:rsidP="00A56F9F"/>
    <w:p w:rsidR="00A56F9F" w:rsidRPr="003B14DD" w:rsidRDefault="00A56F9F" w:rsidP="00A56F9F">
      <w:pPr>
        <w:ind w:left="1134" w:hanging="1134"/>
        <w:rPr>
          <w:bCs/>
        </w:rPr>
      </w:pPr>
      <w:r w:rsidRPr="00EC3FDA">
        <w:rPr>
          <w:b/>
          <w:bCs/>
        </w:rPr>
        <w:t>Location</w:t>
      </w:r>
      <w:r w:rsidRPr="00EC3FDA">
        <w:rPr>
          <w:b/>
        </w:rPr>
        <w:t>:</w:t>
      </w:r>
      <w:r w:rsidRPr="003B14DD">
        <w:tab/>
        <w:t>Table to clause 3, wherever ‘and/or’ occurs</w:t>
      </w:r>
    </w:p>
    <w:p w:rsidR="00A56F9F" w:rsidRPr="003B14DD" w:rsidRDefault="00A56F9F" w:rsidP="00A56F9F">
      <w:pPr>
        <w:ind w:left="1134" w:hanging="1134"/>
        <w:rPr>
          <w:rFonts w:cs="Arial"/>
          <w:szCs w:val="22"/>
        </w:rPr>
      </w:pPr>
      <w:r w:rsidRPr="00EC3FDA">
        <w:rPr>
          <w:b/>
          <w:bCs/>
          <w:lang w:val="en-AU"/>
        </w:rPr>
        <w:t>Issue 63</w:t>
      </w:r>
      <w:r w:rsidRPr="00EC3FDA">
        <w:rPr>
          <w:b/>
          <w:lang w:val="en-AU"/>
        </w:rPr>
        <w:t>:</w:t>
      </w:r>
      <w:r w:rsidRPr="003B14DD">
        <w:rPr>
          <w:lang w:val="en-AU"/>
        </w:rPr>
        <w:tab/>
      </w:r>
      <w:r w:rsidRPr="003B14DD">
        <w:rPr>
          <w:rFonts w:cs="Arial"/>
          <w:szCs w:val="22"/>
        </w:rPr>
        <w:t xml:space="preserve">OLDP recommendation to </w:t>
      </w:r>
      <w:r w:rsidRPr="003B14DD">
        <w:rPr>
          <w:rFonts w:cs="Arial"/>
          <w:szCs w:val="22"/>
          <w:lang w:val="en-AU"/>
        </w:rPr>
        <w:t xml:space="preserve">clarify meaning of </w:t>
      </w:r>
      <w:r w:rsidRPr="003B14DD">
        <w:rPr>
          <w:rFonts w:cs="Arial"/>
          <w:szCs w:val="22"/>
        </w:rPr>
        <w:t>‘and/or’</w:t>
      </w:r>
    </w:p>
    <w:p w:rsidR="003B14DD" w:rsidRPr="003B14DD" w:rsidRDefault="003B14DD" w:rsidP="003B14DD">
      <w:pPr>
        <w:ind w:left="1134" w:hanging="1134"/>
      </w:pPr>
      <w:r w:rsidRPr="003B14DD">
        <w:rPr>
          <w:b/>
          <w:bCs/>
        </w:rPr>
        <w:t>Solution proposed in Assessment Report</w:t>
      </w:r>
      <w:r w:rsidRPr="003B14DD">
        <w:rPr>
          <w:b/>
        </w:rPr>
        <w:t>:</w:t>
      </w:r>
      <w:r w:rsidRPr="003B14DD">
        <w:tab/>
      </w:r>
      <w:r w:rsidRPr="003B14DD">
        <w:rPr>
          <w:lang w:val="en-AU"/>
        </w:rPr>
        <w:t>Replace ‘and/or’ with ‘or’.</w:t>
      </w:r>
    </w:p>
    <w:p w:rsidR="00A56F9F" w:rsidRDefault="003B14DD" w:rsidP="003B14DD">
      <w:pPr>
        <w:ind w:left="1134" w:hanging="1134"/>
        <w:rPr>
          <w:rFonts w:cs="Arial"/>
          <w:szCs w:val="22"/>
        </w:rPr>
      </w:pPr>
      <w:r w:rsidRPr="003B14DD">
        <w:rPr>
          <w:rFonts w:cs="Arial"/>
          <w:b/>
          <w:bCs/>
          <w:szCs w:val="22"/>
        </w:rPr>
        <w:t>Submitter comments and FSANZ response:</w:t>
      </w:r>
      <w:r w:rsidRPr="003B14DD">
        <w:rPr>
          <w:rFonts w:cs="Arial"/>
          <w:szCs w:val="22"/>
        </w:rPr>
        <w:t xml:space="preserve"> Submitters identified that as a result of this</w:t>
      </w:r>
      <w:r>
        <w:rPr>
          <w:rFonts w:cs="Arial"/>
          <w:szCs w:val="22"/>
        </w:rPr>
        <w:t xml:space="preserve"> amendment, there are no provisions for fortification of a mixed fruit and vegetable drink and a mixed fruit and vegetable juice.</w:t>
      </w:r>
    </w:p>
    <w:p w:rsidR="003B14DD" w:rsidRPr="008E247D" w:rsidRDefault="003B14DD" w:rsidP="003B14DD">
      <w:pPr>
        <w:ind w:left="1134" w:hanging="1134"/>
        <w:rPr>
          <w:rFonts w:cs="Arial"/>
          <w:bCs/>
          <w:szCs w:val="22"/>
        </w:rPr>
      </w:pPr>
      <w:r w:rsidRPr="003B14DD">
        <w:rPr>
          <w:rFonts w:cs="Arial"/>
          <w:bCs/>
          <w:szCs w:val="22"/>
        </w:rPr>
        <w:tab/>
        <w:t xml:space="preserve">FSANZ agrees that the proposed amendment </w:t>
      </w:r>
      <w:r>
        <w:rPr>
          <w:rFonts w:cs="Arial"/>
          <w:bCs/>
          <w:szCs w:val="22"/>
        </w:rPr>
        <w:t xml:space="preserve">removed the current provision for a mixed fruit and vegetable drink. Mixed fruit and vegetable drinks will therefore be added back into the Table. However mixed fruit and vegetable juices are not </w:t>
      </w:r>
      <w:r w:rsidRPr="008E247D">
        <w:rPr>
          <w:rFonts w:cs="Arial"/>
          <w:bCs/>
          <w:szCs w:val="22"/>
        </w:rPr>
        <w:t xml:space="preserve">currently specified in the Table and have therefore not been added. </w:t>
      </w:r>
    </w:p>
    <w:p w:rsidR="003B14DD" w:rsidRPr="008E247D" w:rsidRDefault="003B14DD" w:rsidP="003B14DD">
      <w:pPr>
        <w:ind w:left="1134" w:hanging="1134"/>
        <w:rPr>
          <w:lang w:val="en-AU"/>
        </w:rPr>
      </w:pPr>
      <w:r w:rsidRPr="008E247D">
        <w:rPr>
          <w:rFonts w:cs="Arial"/>
          <w:bCs/>
          <w:szCs w:val="22"/>
        </w:rPr>
        <w:tab/>
        <w:t>Since the Assessment Report, FSANZ has also identified that ‘vegetable drink’ is not included in the relevant heading within the Table to clause 3</w:t>
      </w:r>
      <w:r w:rsidR="000F5A93">
        <w:rPr>
          <w:rFonts w:cs="Arial"/>
          <w:bCs/>
          <w:szCs w:val="22"/>
        </w:rPr>
        <w:t xml:space="preserve"> and that the Code currently </w:t>
      </w:r>
      <w:r w:rsidR="00F374F4">
        <w:rPr>
          <w:rFonts w:cs="Arial"/>
          <w:bCs/>
          <w:szCs w:val="22"/>
        </w:rPr>
        <w:t xml:space="preserve">incorrectly </w:t>
      </w:r>
      <w:r w:rsidR="000F5A93">
        <w:rPr>
          <w:rFonts w:cs="Arial"/>
          <w:bCs/>
          <w:szCs w:val="22"/>
        </w:rPr>
        <w:t>refers to ‘puree of comminution’</w:t>
      </w:r>
      <w:r w:rsidRPr="008E247D">
        <w:rPr>
          <w:rFonts w:cs="Arial"/>
          <w:bCs/>
          <w:szCs w:val="22"/>
        </w:rPr>
        <w:t xml:space="preserve">. Vegetable drink will therefore be added to the heading. </w:t>
      </w:r>
      <w:r w:rsidR="00F374F4">
        <w:rPr>
          <w:rFonts w:cs="Arial"/>
          <w:bCs/>
          <w:szCs w:val="22"/>
        </w:rPr>
        <w:t xml:space="preserve">The incorrect reference to ‘puree of comminution’ </w:t>
      </w:r>
      <w:r w:rsidR="00276806">
        <w:rPr>
          <w:rFonts w:cs="Arial"/>
          <w:bCs/>
          <w:szCs w:val="22"/>
        </w:rPr>
        <w:t>has been amended</w:t>
      </w:r>
      <w:r w:rsidR="00F374F4">
        <w:rPr>
          <w:rFonts w:cs="Arial"/>
          <w:bCs/>
          <w:szCs w:val="22"/>
        </w:rPr>
        <w:t xml:space="preserve"> to ‘puree or comminution’. </w:t>
      </w:r>
    </w:p>
    <w:p w:rsidR="00A56F9F" w:rsidRPr="008E247D" w:rsidRDefault="00A56F9F" w:rsidP="00A56F9F"/>
    <w:p w:rsidR="00A56F9F" w:rsidRPr="008E247D" w:rsidRDefault="00A56F9F" w:rsidP="00A56F9F">
      <w:pPr>
        <w:ind w:left="1134" w:hanging="1134"/>
        <w:rPr>
          <w:bCs/>
        </w:rPr>
      </w:pPr>
      <w:r w:rsidRPr="008E247D">
        <w:rPr>
          <w:b/>
          <w:bCs/>
        </w:rPr>
        <w:t>Location</w:t>
      </w:r>
      <w:r w:rsidRPr="008E247D">
        <w:t>:</w:t>
      </w:r>
      <w:r w:rsidRPr="008E247D">
        <w:tab/>
      </w:r>
      <w:r w:rsidRPr="008E247D">
        <w:rPr>
          <w:bCs/>
        </w:rPr>
        <w:t>Table to clause 3, wherever the term ‘thiamine’ is used</w:t>
      </w:r>
    </w:p>
    <w:p w:rsidR="00A56F9F" w:rsidRPr="008E247D" w:rsidRDefault="00A56F9F" w:rsidP="00A56F9F">
      <w:pPr>
        <w:ind w:left="1134" w:hanging="1134"/>
        <w:rPr>
          <w:lang w:val="en-AU"/>
        </w:rPr>
      </w:pPr>
      <w:r w:rsidRPr="008E247D">
        <w:rPr>
          <w:b/>
          <w:bCs/>
          <w:lang w:val="en-AU"/>
        </w:rPr>
        <w:t>Issue 64</w:t>
      </w:r>
      <w:r w:rsidRPr="008E247D">
        <w:rPr>
          <w:lang w:val="en-AU"/>
        </w:rPr>
        <w:t>:</w:t>
      </w:r>
      <w:r w:rsidRPr="008E247D">
        <w:rPr>
          <w:lang w:val="en-AU"/>
        </w:rPr>
        <w:tab/>
        <w:t xml:space="preserve">Spelling of ‘thiamine’ is not consistent. </w:t>
      </w:r>
    </w:p>
    <w:p w:rsidR="00A56F9F" w:rsidRPr="008E247D" w:rsidRDefault="00A56F9F" w:rsidP="00A56F9F">
      <w:pPr>
        <w:ind w:left="1134" w:hanging="1134"/>
        <w:rPr>
          <w:lang w:val="en-AU"/>
        </w:rPr>
      </w:pPr>
      <w:r w:rsidRPr="008E247D">
        <w:rPr>
          <w:b/>
          <w:bCs/>
          <w:lang w:val="en-AU"/>
        </w:rPr>
        <w:t>Solution</w:t>
      </w:r>
      <w:r w:rsidRPr="008E247D">
        <w:rPr>
          <w:lang w:val="en-AU"/>
        </w:rPr>
        <w:t>:</w:t>
      </w:r>
      <w:r w:rsidRPr="008E247D">
        <w:rPr>
          <w:lang w:val="en-AU"/>
        </w:rPr>
        <w:tab/>
        <w:t xml:space="preserve">Amend to ‘thiamin’. </w:t>
      </w:r>
    </w:p>
    <w:p w:rsidR="00A56F9F" w:rsidRPr="001E03F6" w:rsidRDefault="00A56F9F" w:rsidP="00A56F9F"/>
    <w:p w:rsidR="00A56F9F" w:rsidRPr="001E03F6" w:rsidRDefault="00A56F9F" w:rsidP="00A56F9F">
      <w:pPr>
        <w:pStyle w:val="Heading3"/>
      </w:pPr>
      <w:bookmarkStart w:id="63" w:name="_Toc280003209"/>
      <w:bookmarkStart w:id="64" w:name="_Toc290973032"/>
      <w:r w:rsidRPr="001E03F6">
        <w:t>3.15</w:t>
      </w:r>
      <w:r w:rsidRPr="001E03F6">
        <w:tab/>
        <w:t>Standard 1.3.3 – Processing Aids</w:t>
      </w:r>
      <w:bookmarkEnd w:id="63"/>
      <w:bookmarkEnd w:id="64"/>
    </w:p>
    <w:p w:rsidR="00A56F9F" w:rsidRPr="00F106B1" w:rsidRDefault="00A56F9F" w:rsidP="00A56F9F">
      <w:pPr>
        <w:rPr>
          <w:b/>
          <w:bCs/>
        </w:rPr>
      </w:pPr>
    </w:p>
    <w:p w:rsidR="00A56F9F" w:rsidRPr="00F106B1" w:rsidRDefault="00A56F9F" w:rsidP="00A56F9F">
      <w:pPr>
        <w:ind w:left="1134" w:hanging="1134"/>
      </w:pPr>
      <w:r w:rsidRPr="00F106B1">
        <w:rPr>
          <w:b/>
          <w:bCs/>
        </w:rPr>
        <w:t>Location</w:t>
      </w:r>
      <w:r w:rsidRPr="00F106B1">
        <w:t>:</w:t>
      </w:r>
      <w:r w:rsidRPr="00F106B1">
        <w:tab/>
        <w:t>Clause 11</w:t>
      </w:r>
    </w:p>
    <w:p w:rsidR="00A56F9F" w:rsidRPr="00F106B1" w:rsidRDefault="00A56F9F" w:rsidP="00A56F9F">
      <w:pPr>
        <w:ind w:left="1134" w:hanging="1134"/>
        <w:rPr>
          <w:bCs/>
        </w:rPr>
      </w:pPr>
      <w:r w:rsidRPr="00F106B1">
        <w:rPr>
          <w:b/>
          <w:bCs/>
        </w:rPr>
        <w:t>Issue 65</w:t>
      </w:r>
      <w:r w:rsidRPr="00F106B1">
        <w:t>:</w:t>
      </w:r>
      <w:r w:rsidRPr="00F106B1">
        <w:tab/>
        <w:t xml:space="preserve">Because this clause refers to permissions both for packaged water and to water used as an ingredient, where the water is used as an ingredient </w:t>
      </w:r>
      <w:r w:rsidRPr="00F106B1">
        <w:rPr>
          <w:bCs/>
        </w:rPr>
        <w:t>it is not clear if the maximum levels refer to the level in water added to food or to the level in the final food.</w:t>
      </w:r>
    </w:p>
    <w:p w:rsidR="00A56F9F" w:rsidRPr="000E1033" w:rsidRDefault="00A56F9F" w:rsidP="00A56F9F">
      <w:pPr>
        <w:ind w:left="1134" w:hanging="1134"/>
        <w:rPr>
          <w:b/>
          <w:bCs/>
        </w:rPr>
      </w:pPr>
      <w:r w:rsidRPr="00F106B1">
        <w:rPr>
          <w:b/>
          <w:bCs/>
        </w:rPr>
        <w:tab/>
      </w:r>
      <w:r w:rsidRPr="00F106B1">
        <w:rPr>
          <w:bCs/>
        </w:rPr>
        <w:t xml:space="preserve">In the former Australian </w:t>
      </w:r>
      <w:r w:rsidRPr="00F106B1">
        <w:rPr>
          <w:bCs/>
          <w:i/>
        </w:rPr>
        <w:t xml:space="preserve">Food Standards Code </w:t>
      </w:r>
      <w:r w:rsidRPr="00F106B1">
        <w:rPr>
          <w:bCs/>
        </w:rPr>
        <w:t xml:space="preserve">the maximum levels applied to the level in </w:t>
      </w:r>
      <w:r w:rsidRPr="000E1033">
        <w:rPr>
          <w:bCs/>
        </w:rPr>
        <w:t xml:space="preserve">water added to food, and the intent under Proposal P188 – Processing Aids was to maintain this approach. </w:t>
      </w:r>
    </w:p>
    <w:p w:rsidR="00A56F9F" w:rsidRPr="000E1033" w:rsidRDefault="00A56F9F" w:rsidP="00A56F9F">
      <w:pPr>
        <w:ind w:left="1134" w:hanging="1134"/>
      </w:pPr>
      <w:r w:rsidRPr="000E1033">
        <w:rPr>
          <w:b/>
          <w:bCs/>
        </w:rPr>
        <w:t>Solution</w:t>
      </w:r>
      <w:r w:rsidRPr="000E1033">
        <w:t>:</w:t>
      </w:r>
      <w:r w:rsidRPr="000E1033">
        <w:tab/>
        <w:t>Amend to c</w:t>
      </w:r>
      <w:r w:rsidRPr="000E1033">
        <w:rPr>
          <w:bCs/>
        </w:rPr>
        <w:t xml:space="preserve">larify that the maximum levels apply to the water added to food, rather than to the final food.  </w:t>
      </w:r>
    </w:p>
    <w:p w:rsidR="00A56F9F" w:rsidRPr="000E1033" w:rsidRDefault="00A56F9F" w:rsidP="00A56F9F"/>
    <w:p w:rsidR="00A56F9F" w:rsidRPr="000E1033" w:rsidRDefault="00A56F9F" w:rsidP="00A56F9F">
      <w:pPr>
        <w:ind w:left="1134" w:hanging="1134"/>
      </w:pPr>
      <w:r w:rsidRPr="000E1033">
        <w:rPr>
          <w:b/>
          <w:bCs/>
        </w:rPr>
        <w:t>Location</w:t>
      </w:r>
      <w:r w:rsidRPr="000E1033">
        <w:t>:</w:t>
      </w:r>
      <w:r w:rsidRPr="000E1033">
        <w:tab/>
        <w:t>Table to clause 14</w:t>
      </w:r>
    </w:p>
    <w:p w:rsidR="00A56F9F" w:rsidRPr="00836C69" w:rsidRDefault="00A56F9F" w:rsidP="00A56F9F">
      <w:pPr>
        <w:ind w:left="1134" w:hanging="1134"/>
        <w:rPr>
          <w:b/>
          <w:bCs/>
        </w:rPr>
      </w:pPr>
      <w:r w:rsidRPr="000E1033">
        <w:rPr>
          <w:b/>
          <w:bCs/>
        </w:rPr>
        <w:t>Issue 66</w:t>
      </w:r>
      <w:r w:rsidRPr="000E1033">
        <w:t>:</w:t>
      </w:r>
      <w:r w:rsidRPr="000E1033">
        <w:tab/>
        <w:t>The heading of the middle column (‘Food’) is not appropriate, as the items in the middle column refer to functions of the processing aids rather than (or in addition to) foods.</w:t>
      </w:r>
      <w:r w:rsidRPr="000E1033">
        <w:rPr>
          <w:bCs/>
        </w:rPr>
        <w:t xml:space="preserve"> </w:t>
      </w:r>
    </w:p>
    <w:p w:rsidR="00A56F9F" w:rsidRPr="00836C69" w:rsidRDefault="00A56F9F" w:rsidP="00A56F9F">
      <w:pPr>
        <w:ind w:left="1134" w:hanging="1134"/>
      </w:pPr>
      <w:r w:rsidRPr="00836C69">
        <w:rPr>
          <w:b/>
          <w:bCs/>
        </w:rPr>
        <w:t>Solution</w:t>
      </w:r>
      <w:r w:rsidRPr="00836C69">
        <w:t>:</w:t>
      </w:r>
      <w:r w:rsidRPr="00836C69">
        <w:tab/>
      </w:r>
      <w:r w:rsidRPr="00836C69">
        <w:rPr>
          <w:bCs/>
        </w:rPr>
        <w:t xml:space="preserve">Amend the heading from ‘Food’ to ‘Function’. </w:t>
      </w:r>
    </w:p>
    <w:p w:rsidR="00A56F9F" w:rsidRPr="00836C69" w:rsidRDefault="00A56F9F" w:rsidP="00A56F9F"/>
    <w:p w:rsidR="00A56F9F" w:rsidRPr="00836C69" w:rsidRDefault="00A56F9F" w:rsidP="00A56F9F">
      <w:pPr>
        <w:ind w:left="1134" w:hanging="1134"/>
      </w:pPr>
      <w:r w:rsidRPr="00836C69">
        <w:rPr>
          <w:b/>
          <w:bCs/>
        </w:rPr>
        <w:t>Location</w:t>
      </w:r>
      <w:r w:rsidRPr="00836C69">
        <w:t>:</w:t>
      </w:r>
      <w:r w:rsidRPr="00836C69">
        <w:tab/>
        <w:t>Table to clause 14, reference to ‘Reduce and/or inhibit bacterial population’ in the entry for lactoperoxidase from bovine milk</w:t>
      </w:r>
    </w:p>
    <w:p w:rsidR="00A56F9F" w:rsidRPr="00836C69" w:rsidRDefault="00A56F9F" w:rsidP="00A56F9F">
      <w:pPr>
        <w:ind w:left="1134" w:hanging="1134"/>
        <w:rPr>
          <w:rFonts w:cs="Arial"/>
          <w:szCs w:val="22"/>
        </w:rPr>
      </w:pPr>
      <w:r w:rsidRPr="00836C69">
        <w:rPr>
          <w:b/>
          <w:bCs/>
        </w:rPr>
        <w:t>Issue 67</w:t>
      </w:r>
      <w:r w:rsidRPr="00836C69">
        <w:t>:</w:t>
      </w:r>
      <w:r w:rsidRPr="00836C69">
        <w:tab/>
      </w:r>
      <w:r w:rsidRPr="00836C69">
        <w:rPr>
          <w:rFonts w:cs="Arial"/>
          <w:szCs w:val="22"/>
        </w:rPr>
        <w:t xml:space="preserve">OLDP recommendation to </w:t>
      </w:r>
      <w:r w:rsidRPr="00836C69">
        <w:rPr>
          <w:rFonts w:cs="Arial"/>
          <w:szCs w:val="22"/>
          <w:lang w:val="en-AU"/>
        </w:rPr>
        <w:t xml:space="preserve">clarify meaning of </w:t>
      </w:r>
      <w:r w:rsidRPr="00836C69">
        <w:rPr>
          <w:rFonts w:cs="Arial"/>
          <w:szCs w:val="22"/>
        </w:rPr>
        <w:t>‘and/or’</w:t>
      </w:r>
    </w:p>
    <w:p w:rsidR="00A56F9F" w:rsidRPr="00836C69" w:rsidRDefault="00A56F9F" w:rsidP="00A56F9F">
      <w:pPr>
        <w:ind w:left="1134" w:hanging="1134"/>
      </w:pPr>
      <w:r w:rsidRPr="00836C69">
        <w:rPr>
          <w:rFonts w:cs="Arial"/>
          <w:b/>
          <w:bCs/>
          <w:szCs w:val="22"/>
        </w:rPr>
        <w:t>Solution</w:t>
      </w:r>
      <w:r w:rsidRPr="00836C69">
        <w:rPr>
          <w:rFonts w:cs="Arial"/>
          <w:szCs w:val="22"/>
        </w:rPr>
        <w:t>:</w:t>
      </w:r>
      <w:r w:rsidRPr="00836C69">
        <w:rPr>
          <w:rFonts w:cs="Arial"/>
          <w:szCs w:val="22"/>
        </w:rPr>
        <w:tab/>
      </w:r>
      <w:r w:rsidRPr="00836C69">
        <w:rPr>
          <w:bCs/>
        </w:rPr>
        <w:t xml:space="preserve">Replace with ‘Reduce the bacterial population or inhibit bacterial growth’. </w:t>
      </w:r>
    </w:p>
    <w:p w:rsidR="00A56F9F" w:rsidRPr="00836C69" w:rsidRDefault="00A56F9F" w:rsidP="00A56F9F"/>
    <w:p w:rsidR="00141317" w:rsidRDefault="00141317">
      <w:pPr>
        <w:widowControl/>
        <w:rPr>
          <w:rFonts w:ascii="Arial Bold" w:hAnsi="Arial Bold" w:cs="Arial Unicode MS"/>
          <w:b/>
          <w:bCs/>
          <w:szCs w:val="26"/>
        </w:rPr>
      </w:pPr>
      <w:bookmarkStart w:id="65" w:name="_Toc280003210"/>
      <w:r>
        <w:br w:type="page"/>
      </w:r>
    </w:p>
    <w:p w:rsidR="00A56F9F" w:rsidRPr="00BE20CC" w:rsidRDefault="00A56F9F" w:rsidP="00A56F9F">
      <w:pPr>
        <w:pStyle w:val="Heading3"/>
      </w:pPr>
      <w:bookmarkStart w:id="66" w:name="_Toc290973033"/>
      <w:r w:rsidRPr="00836C69">
        <w:lastRenderedPageBreak/>
        <w:t>3.16</w:t>
      </w:r>
      <w:r w:rsidRPr="00836C69">
        <w:tab/>
        <w:t>Standard 1.3.4 –</w:t>
      </w:r>
      <w:r w:rsidRPr="00BE20CC">
        <w:t xml:space="preserve"> Identity and Purity</w:t>
      </w:r>
      <w:bookmarkEnd w:id="65"/>
      <w:bookmarkEnd w:id="66"/>
    </w:p>
    <w:p w:rsidR="00A56F9F" w:rsidRPr="00BE20CC" w:rsidRDefault="00A56F9F" w:rsidP="00A56F9F">
      <w:pPr>
        <w:rPr>
          <w:b/>
          <w:bCs/>
        </w:rPr>
      </w:pPr>
    </w:p>
    <w:p w:rsidR="00A56F9F" w:rsidRPr="00BE20CC" w:rsidRDefault="00A56F9F" w:rsidP="00A56F9F">
      <w:pPr>
        <w:ind w:left="1134" w:hanging="1134"/>
      </w:pPr>
      <w:r w:rsidRPr="00BE20CC">
        <w:rPr>
          <w:b/>
          <w:bCs/>
        </w:rPr>
        <w:t>Location</w:t>
      </w:r>
      <w:r w:rsidRPr="00BE20CC">
        <w:t>:</w:t>
      </w:r>
      <w:r w:rsidRPr="00BE20CC">
        <w:tab/>
        <w:t>Clause 1 and Purpose</w:t>
      </w:r>
    </w:p>
    <w:p w:rsidR="00A56F9F" w:rsidRPr="00034D51" w:rsidRDefault="00A56F9F" w:rsidP="00170E61">
      <w:pPr>
        <w:ind w:left="1134" w:hanging="1134"/>
      </w:pPr>
      <w:r w:rsidRPr="00BE20CC">
        <w:rPr>
          <w:b/>
          <w:bCs/>
        </w:rPr>
        <w:t>Issue 68</w:t>
      </w:r>
      <w:r w:rsidRPr="00BE20CC">
        <w:t>:</w:t>
      </w:r>
      <w:r w:rsidRPr="00BE20CC">
        <w:tab/>
      </w:r>
      <w:r w:rsidR="000A3DE8">
        <w:rPr>
          <w:szCs w:val="22"/>
        </w:rPr>
        <w:t>FSANZ has been advised that ‘</w:t>
      </w:r>
      <w:r w:rsidR="00170E61" w:rsidRPr="00BE20CC">
        <w:rPr>
          <w:szCs w:val="22"/>
        </w:rPr>
        <w:t>ensures that substances added to food ... meet appropriate specifications for identity and purity of food additives...</w:t>
      </w:r>
      <w:r w:rsidR="000A3DE8">
        <w:rPr>
          <w:szCs w:val="22"/>
        </w:rPr>
        <w:t>’</w:t>
      </w:r>
      <w:r w:rsidR="00170E61" w:rsidRPr="00BE20CC">
        <w:rPr>
          <w:szCs w:val="22"/>
        </w:rPr>
        <w:t xml:space="preserve"> is ambiguous </w:t>
      </w:r>
      <w:r w:rsidR="00170E61" w:rsidRPr="00034D51">
        <w:rPr>
          <w:szCs w:val="22"/>
        </w:rPr>
        <w:t>in defining</w:t>
      </w:r>
      <w:r w:rsidRPr="00034D51">
        <w:t xml:space="preserve"> what the Standard applies to.</w:t>
      </w:r>
    </w:p>
    <w:p w:rsidR="00A56F9F" w:rsidRPr="00034D51" w:rsidRDefault="00A56F9F" w:rsidP="00170E61">
      <w:pPr>
        <w:ind w:left="1134" w:hanging="1134"/>
      </w:pPr>
      <w:r w:rsidRPr="00034D51">
        <w:rPr>
          <w:b/>
          <w:bCs/>
        </w:rPr>
        <w:t>Solution</w:t>
      </w:r>
      <w:r w:rsidRPr="00034D51">
        <w:t>:</w:t>
      </w:r>
      <w:r w:rsidRPr="00034D51">
        <w:tab/>
        <w:t xml:space="preserve">Amend to reflect that the Standard applies to food additives, processing aids, </w:t>
      </w:r>
      <w:r w:rsidRPr="00D73AEE">
        <w:t>vitamins, minerals</w:t>
      </w:r>
      <w:r w:rsidR="00A86EC7" w:rsidRPr="00D73AEE">
        <w:t>, novel food substances</w:t>
      </w:r>
      <w:r w:rsidRPr="00D73AEE">
        <w:t xml:space="preserve"> and other added nutrients.</w:t>
      </w:r>
      <w:r w:rsidRPr="00034D51">
        <w:t xml:space="preserve">  </w:t>
      </w:r>
    </w:p>
    <w:p w:rsidR="00A56F9F" w:rsidRPr="00034D51" w:rsidRDefault="00A56F9F" w:rsidP="00A56F9F"/>
    <w:p w:rsidR="00A56F9F" w:rsidRPr="00034D51" w:rsidRDefault="00A56F9F" w:rsidP="00A56F9F">
      <w:pPr>
        <w:ind w:left="1134" w:hanging="1134"/>
      </w:pPr>
      <w:r w:rsidRPr="00034D51">
        <w:rPr>
          <w:b/>
          <w:bCs/>
        </w:rPr>
        <w:t>Location</w:t>
      </w:r>
      <w:r w:rsidRPr="00034D51">
        <w:t>:</w:t>
      </w:r>
      <w:r w:rsidRPr="00034D51">
        <w:tab/>
        <w:t>Clauses 2 and 3</w:t>
      </w:r>
    </w:p>
    <w:p w:rsidR="00A56F9F" w:rsidRPr="00034D51" w:rsidRDefault="00A56F9F" w:rsidP="00A56F9F">
      <w:pPr>
        <w:ind w:left="1134" w:hanging="1134"/>
      </w:pPr>
      <w:r w:rsidRPr="00034D51">
        <w:rPr>
          <w:b/>
          <w:bCs/>
        </w:rPr>
        <w:t>Issue 69</w:t>
      </w:r>
      <w:r w:rsidRPr="00034D51">
        <w:t>:</w:t>
      </w:r>
      <w:r w:rsidRPr="00034D51">
        <w:tab/>
        <w:t xml:space="preserve">The references to some of the documents are outdated. </w:t>
      </w:r>
    </w:p>
    <w:p w:rsidR="00A56F9F" w:rsidRPr="00034D51" w:rsidRDefault="00A56F9F" w:rsidP="00A56F9F">
      <w:pPr>
        <w:ind w:left="1134" w:hanging="1134"/>
      </w:pPr>
      <w:r w:rsidRPr="00034D51">
        <w:rPr>
          <w:b/>
          <w:bCs/>
        </w:rPr>
        <w:t>Solution</w:t>
      </w:r>
      <w:r w:rsidRPr="00034D51">
        <w:t>:</w:t>
      </w:r>
      <w:r w:rsidRPr="00034D51">
        <w:tab/>
        <w:t xml:space="preserve">Update to reflect latest versions. </w:t>
      </w:r>
    </w:p>
    <w:p w:rsidR="00A56F9F" w:rsidRPr="00034D51" w:rsidRDefault="00A56F9F" w:rsidP="00A56F9F">
      <w:pPr>
        <w:rPr>
          <w:b/>
          <w:bCs/>
        </w:rPr>
      </w:pPr>
    </w:p>
    <w:p w:rsidR="00A56F9F" w:rsidRPr="00034D51" w:rsidRDefault="00A56F9F" w:rsidP="00A56F9F">
      <w:r w:rsidRPr="00034D51">
        <w:rPr>
          <w:b/>
          <w:bCs/>
        </w:rPr>
        <w:t>Location</w:t>
      </w:r>
      <w:r w:rsidRPr="00034D51">
        <w:t>:</w:t>
      </w:r>
      <w:r w:rsidRPr="00034D51">
        <w:tab/>
        <w:t>Clause 3</w:t>
      </w:r>
    </w:p>
    <w:p w:rsidR="00A56F9F" w:rsidRPr="00034D51" w:rsidRDefault="00A56F9F" w:rsidP="00A56F9F">
      <w:pPr>
        <w:ind w:left="1134" w:hanging="1134"/>
      </w:pPr>
      <w:r w:rsidRPr="00034D51">
        <w:rPr>
          <w:b/>
          <w:bCs/>
        </w:rPr>
        <w:t>Issue 70</w:t>
      </w:r>
      <w:r w:rsidRPr="00034D51">
        <w:t>:</w:t>
      </w:r>
      <w:r w:rsidRPr="00034D51">
        <w:tab/>
        <w:t xml:space="preserve">The specifications from the Organisation Internationale de la Vigne et du Vin (OIV) were intended to be added to Standard 1.3.4 as part of Application A605 – Yeast Mannoproteins as a Food Additive for Wine but were inadvertently deleted when Proposal P1001 – Omnibus VII was progressed in parallel. </w:t>
      </w:r>
      <w:r w:rsidRPr="00034D51">
        <w:br/>
        <w:t>The OIV specifications are viewed by FSANZ and the industry as good specifications for wine additives and processing aids that are internationally accepted and recognised, including for mannoproteins.</w:t>
      </w:r>
    </w:p>
    <w:p w:rsidR="00A56F9F" w:rsidRDefault="00A56F9F" w:rsidP="00A56F9F">
      <w:pPr>
        <w:ind w:left="1134" w:hanging="1134"/>
      </w:pPr>
      <w:r w:rsidRPr="00034D51">
        <w:rPr>
          <w:b/>
          <w:bCs/>
        </w:rPr>
        <w:t>Solution</w:t>
      </w:r>
      <w:r w:rsidRPr="00034D51">
        <w:t>:</w:t>
      </w:r>
      <w:r w:rsidRPr="00034D51">
        <w:tab/>
        <w:t xml:space="preserve">Amend to include the </w:t>
      </w:r>
      <w:r w:rsidRPr="00034D51">
        <w:rPr>
          <w:bCs/>
          <w:i/>
        </w:rPr>
        <w:t>International Oenological Codex</w:t>
      </w:r>
      <w:r w:rsidRPr="00034D51">
        <w:t xml:space="preserve"> (2010 supplementary edition) as an additional secondary source of specifications.</w:t>
      </w:r>
    </w:p>
    <w:p w:rsidR="007938F0" w:rsidRPr="00034D51" w:rsidRDefault="007938F0" w:rsidP="007938F0">
      <w:pPr>
        <w:ind w:left="1134" w:hanging="1134"/>
      </w:pPr>
      <w:r w:rsidRPr="00BD0844">
        <w:rPr>
          <w:rFonts w:cs="Arial"/>
          <w:b/>
          <w:bCs/>
          <w:szCs w:val="22"/>
        </w:rPr>
        <w:t>Submitter comments:</w:t>
      </w:r>
      <w:r w:rsidRPr="00BD0844">
        <w:rPr>
          <w:rFonts w:cs="Arial"/>
          <w:szCs w:val="22"/>
        </w:rPr>
        <w:t xml:space="preserve"> </w:t>
      </w:r>
      <w:r w:rsidR="009E4146">
        <w:rPr>
          <w:rFonts w:cs="Arial"/>
          <w:szCs w:val="22"/>
        </w:rPr>
        <w:t xml:space="preserve">In the Assessment Report, submitters were asked whether all current references in clauses 2 and 3 of Standard 1.3.4 should be maintained in addition to </w:t>
      </w:r>
      <w:r w:rsidR="001B6617">
        <w:rPr>
          <w:rFonts w:cs="Arial"/>
          <w:szCs w:val="22"/>
        </w:rPr>
        <w:t>the above</w:t>
      </w:r>
      <w:r w:rsidR="009E4146">
        <w:rPr>
          <w:rFonts w:cs="Arial"/>
          <w:szCs w:val="22"/>
        </w:rPr>
        <w:t xml:space="preserve">. </w:t>
      </w:r>
      <w:r w:rsidRPr="00034D51">
        <w:rPr>
          <w:bCs/>
        </w:rPr>
        <w:t xml:space="preserve">Submitters agreed that </w:t>
      </w:r>
      <w:r w:rsidR="009E4146">
        <w:rPr>
          <w:bCs/>
        </w:rPr>
        <w:t>this should be the case</w:t>
      </w:r>
      <w:r w:rsidRPr="00034D51">
        <w:rPr>
          <w:bCs/>
        </w:rPr>
        <w:t>.</w:t>
      </w:r>
      <w:r>
        <w:rPr>
          <w:bCs/>
        </w:rPr>
        <w:br/>
      </w:r>
      <w:r w:rsidR="009E4146">
        <w:rPr>
          <w:bCs/>
        </w:rPr>
        <w:t xml:space="preserve">Submitters were also asked whether any other references should be added to these clauses. No other references were recommended in response. </w:t>
      </w:r>
    </w:p>
    <w:p w:rsidR="00A56F9F" w:rsidRPr="00034D51" w:rsidRDefault="00A56F9F" w:rsidP="00A56F9F"/>
    <w:p w:rsidR="00A56F9F" w:rsidRPr="00264A26" w:rsidRDefault="00A56F9F" w:rsidP="00A56F9F">
      <w:pPr>
        <w:rPr>
          <w:b/>
          <w:bCs/>
        </w:rPr>
      </w:pPr>
      <w:r w:rsidRPr="00264A26">
        <w:rPr>
          <w:b/>
          <w:bCs/>
        </w:rPr>
        <w:t>Location:</w:t>
      </w:r>
      <w:r w:rsidRPr="00264A26">
        <w:rPr>
          <w:b/>
          <w:bCs/>
        </w:rPr>
        <w:tab/>
      </w:r>
      <w:r w:rsidRPr="00264A26">
        <w:rPr>
          <w:bCs/>
        </w:rPr>
        <w:t>Clause 4</w:t>
      </w:r>
    </w:p>
    <w:p w:rsidR="00A56F9F" w:rsidRPr="00264A26" w:rsidRDefault="00A56F9F" w:rsidP="00A56F9F">
      <w:pPr>
        <w:ind w:left="1134" w:hanging="1134"/>
        <w:rPr>
          <w:bCs/>
        </w:rPr>
      </w:pPr>
      <w:r w:rsidRPr="00264A26">
        <w:rPr>
          <w:b/>
          <w:bCs/>
        </w:rPr>
        <w:t>Issue 71:</w:t>
      </w:r>
      <w:r w:rsidRPr="00264A26">
        <w:rPr>
          <w:b/>
          <w:bCs/>
        </w:rPr>
        <w:tab/>
      </w:r>
      <w:r w:rsidRPr="00264A26">
        <w:rPr>
          <w:bCs/>
        </w:rPr>
        <w:t xml:space="preserve">The absence of a definition of a ‘heavy metal’ makes interpretation and compliance more difficult. </w:t>
      </w:r>
    </w:p>
    <w:p w:rsidR="00A56F9F" w:rsidRPr="00264A26" w:rsidRDefault="00A56F9F" w:rsidP="00A56F9F">
      <w:pPr>
        <w:ind w:left="1134" w:hanging="1134"/>
        <w:rPr>
          <w:bCs/>
        </w:rPr>
      </w:pPr>
      <w:r w:rsidRPr="00264A26">
        <w:rPr>
          <w:b/>
          <w:bCs/>
        </w:rPr>
        <w:tab/>
      </w:r>
      <w:r w:rsidRPr="00264A26">
        <w:rPr>
          <w:bCs/>
        </w:rPr>
        <w:t>There is no apparent reason for the high level of total heavy metals.</w:t>
      </w:r>
    </w:p>
    <w:p w:rsidR="00A56F9F" w:rsidRPr="00264A26" w:rsidRDefault="00A56F9F" w:rsidP="00A56F9F">
      <w:pPr>
        <w:ind w:left="1134" w:hanging="1134"/>
        <w:rPr>
          <w:bCs/>
        </w:rPr>
      </w:pPr>
      <w:r w:rsidRPr="00264A26">
        <w:rPr>
          <w:bCs/>
        </w:rPr>
        <w:tab/>
        <w:t xml:space="preserve">In the Inquiry Report for Proposal P189 – Specifications for Identify &amp; Purity of Food Additives, Processing Aids, Vitamins, Minerals &amp; Other Added Nutrients, FSANZ indicated that the actual JECFA limits would be incorporated into the Code when they became available. </w:t>
      </w:r>
    </w:p>
    <w:p w:rsidR="00A56F9F" w:rsidRPr="00BD0844" w:rsidRDefault="00A56F9F" w:rsidP="00A56F9F">
      <w:pPr>
        <w:ind w:left="1134" w:hanging="1134"/>
        <w:rPr>
          <w:b/>
          <w:bCs/>
        </w:rPr>
      </w:pPr>
      <w:r w:rsidRPr="00264A26">
        <w:rPr>
          <w:b/>
          <w:bCs/>
        </w:rPr>
        <w:t>Solution:</w:t>
      </w:r>
      <w:r w:rsidRPr="00264A26">
        <w:rPr>
          <w:b/>
          <w:bCs/>
        </w:rPr>
        <w:tab/>
      </w:r>
      <w:r w:rsidRPr="00264A26">
        <w:rPr>
          <w:bCs/>
        </w:rPr>
        <w:t>Define h</w:t>
      </w:r>
      <w:r w:rsidRPr="00BD0844">
        <w:rPr>
          <w:bCs/>
        </w:rPr>
        <w:t>eavy metal requirements as they are defined by JECFA i.e. remove existing (c), and insert new (c) and (d) for cadmium and mercury, each with limits of 1 mg/kg.</w:t>
      </w:r>
      <w:r w:rsidRPr="00BD0844">
        <w:rPr>
          <w:b/>
          <w:bCs/>
        </w:rPr>
        <w:t xml:space="preserve"> </w:t>
      </w:r>
    </w:p>
    <w:p w:rsidR="00A56F9F" w:rsidRPr="00BD0844" w:rsidRDefault="00A56F9F" w:rsidP="00A56F9F"/>
    <w:p w:rsidR="00A56F9F" w:rsidRPr="00BD0844" w:rsidRDefault="00A56F9F" w:rsidP="00A56F9F">
      <w:r w:rsidRPr="00BD0844">
        <w:rPr>
          <w:b/>
          <w:bCs/>
        </w:rPr>
        <w:t>Location</w:t>
      </w:r>
      <w:r w:rsidRPr="00BD0844">
        <w:t>:</w:t>
      </w:r>
      <w:r w:rsidRPr="00BD0844">
        <w:tab/>
        <w:t xml:space="preserve">Schedule </w:t>
      </w:r>
    </w:p>
    <w:p w:rsidR="00A56F9F" w:rsidRPr="00BD0844" w:rsidRDefault="00A56F9F" w:rsidP="00A56F9F">
      <w:pPr>
        <w:ind w:left="1134" w:hanging="1134"/>
      </w:pPr>
      <w:r w:rsidRPr="00BD0844">
        <w:rPr>
          <w:b/>
          <w:bCs/>
        </w:rPr>
        <w:t>Issue 72</w:t>
      </w:r>
      <w:r w:rsidRPr="00BD0844">
        <w:t>:</w:t>
      </w:r>
      <w:r w:rsidRPr="00BD0844">
        <w:tab/>
        <w:t>The specifications for oils or dried algae rich in DHA or ARA are presented as commercial specifications with many requirements that are not related to safety or characterisation and which may impact on trade.</w:t>
      </w:r>
    </w:p>
    <w:p w:rsidR="00A56F9F" w:rsidRPr="00BD0844" w:rsidRDefault="00A56F9F" w:rsidP="00A56F9F">
      <w:pPr>
        <w:ind w:left="1134" w:hanging="1134"/>
      </w:pPr>
      <w:r w:rsidRPr="00BD0844">
        <w:rPr>
          <w:b/>
          <w:bCs/>
        </w:rPr>
        <w:tab/>
      </w:r>
      <w:r w:rsidRPr="00BD0844">
        <w:rPr>
          <w:bCs/>
        </w:rPr>
        <w:t xml:space="preserve">The specifications for </w:t>
      </w:r>
      <w:r w:rsidRPr="00BD0844">
        <w:rPr>
          <w:szCs w:val="22"/>
        </w:rPr>
        <w:t xml:space="preserve">heavy metals have been updated to reflect the lower levels achievable in the commercial product. The specifications for DHA or ARA, hexane and </w:t>
      </w:r>
      <w:r w:rsidRPr="00BD0844">
        <w:rPr>
          <w:i/>
          <w:szCs w:val="22"/>
        </w:rPr>
        <w:t>trans</w:t>
      </w:r>
      <w:r w:rsidRPr="00BD0844">
        <w:rPr>
          <w:szCs w:val="22"/>
        </w:rPr>
        <w:t xml:space="preserve"> fatty acids have also been updated to match international specifications.</w:t>
      </w:r>
    </w:p>
    <w:p w:rsidR="00A56F9F" w:rsidRPr="00BD0844" w:rsidRDefault="00A56F9F" w:rsidP="00A56F9F">
      <w:pPr>
        <w:ind w:left="1134"/>
      </w:pPr>
      <w:r w:rsidRPr="00BD0844">
        <w:t xml:space="preserve">The heading of each of the specifications for the oils rich in DHA or ARA and for the dried marine microalgae are not correctly hyphenated. </w:t>
      </w:r>
    </w:p>
    <w:p w:rsidR="00A56F9F" w:rsidRPr="00BD0844" w:rsidRDefault="00264A26" w:rsidP="00A56F9F">
      <w:pPr>
        <w:ind w:left="1134" w:hanging="1134"/>
      </w:pPr>
      <w:r w:rsidRPr="00BD0844">
        <w:rPr>
          <w:b/>
          <w:bCs/>
        </w:rPr>
        <w:t>Solution proposed in Assessment Report</w:t>
      </w:r>
      <w:r w:rsidR="002C50DF" w:rsidRPr="00BD0844">
        <w:t>:</w:t>
      </w:r>
      <w:r w:rsidR="002932EE">
        <w:t xml:space="preserve"> </w:t>
      </w:r>
      <w:r w:rsidR="00A56F9F" w:rsidRPr="00BD0844">
        <w:t>The specifications should be rewritten to reflect purity and composition factors related to food safety and characterisation and to reflect international specifications.</w:t>
      </w:r>
    </w:p>
    <w:p w:rsidR="00A56F9F" w:rsidRPr="00BD0844" w:rsidRDefault="00A56F9F" w:rsidP="00A56F9F">
      <w:pPr>
        <w:ind w:left="1134"/>
      </w:pPr>
      <w:r w:rsidRPr="00BD0844">
        <w:t xml:space="preserve">Revise the headings. </w:t>
      </w:r>
    </w:p>
    <w:p w:rsidR="00264A26" w:rsidRPr="002C50DF" w:rsidRDefault="00264A26" w:rsidP="00264A26">
      <w:pPr>
        <w:ind w:left="1134" w:hanging="1134"/>
        <w:rPr>
          <w:rFonts w:cs="Arial"/>
          <w:szCs w:val="22"/>
        </w:rPr>
      </w:pPr>
      <w:r w:rsidRPr="00BD0844">
        <w:rPr>
          <w:rFonts w:cs="Arial"/>
          <w:b/>
          <w:bCs/>
          <w:szCs w:val="22"/>
        </w:rPr>
        <w:lastRenderedPageBreak/>
        <w:t>Submitter comments and FSANZ response:</w:t>
      </w:r>
      <w:r w:rsidRPr="00BD0844">
        <w:rPr>
          <w:rFonts w:cs="Arial"/>
          <w:szCs w:val="22"/>
        </w:rPr>
        <w:t xml:space="preserve"> Submitters supported the proposed changes. One industry submitter requested additional parameters but FSANZ’s view is that the</w:t>
      </w:r>
      <w:r w:rsidR="00102D28">
        <w:rPr>
          <w:rFonts w:cs="Arial"/>
          <w:szCs w:val="22"/>
        </w:rPr>
        <w:t>s</w:t>
      </w:r>
      <w:r w:rsidRPr="00BD0844">
        <w:rPr>
          <w:rFonts w:cs="Arial"/>
          <w:szCs w:val="22"/>
        </w:rPr>
        <w:t>e are quality</w:t>
      </w:r>
      <w:r w:rsidRPr="002C50DF">
        <w:rPr>
          <w:rFonts w:cs="Arial"/>
          <w:szCs w:val="22"/>
        </w:rPr>
        <w:t xml:space="preserve"> rather the purity matters and were not appropriate in the Code.</w:t>
      </w:r>
    </w:p>
    <w:p w:rsidR="00264A26" w:rsidRPr="002C50DF" w:rsidRDefault="00264A26" w:rsidP="00264A26">
      <w:pPr>
        <w:ind w:left="1134"/>
        <w:rPr>
          <w:rFonts w:cs="Arial"/>
          <w:szCs w:val="22"/>
        </w:rPr>
      </w:pPr>
      <w:r w:rsidRPr="002C50DF">
        <w:rPr>
          <w:szCs w:val="22"/>
        </w:rPr>
        <w:t xml:space="preserve">FSANZ </w:t>
      </w:r>
      <w:r w:rsidR="00276806">
        <w:rPr>
          <w:szCs w:val="22"/>
        </w:rPr>
        <w:t xml:space="preserve">has </w:t>
      </w:r>
      <w:r w:rsidR="00396506">
        <w:rPr>
          <w:szCs w:val="22"/>
        </w:rPr>
        <w:t>proceed</w:t>
      </w:r>
      <w:r w:rsidR="00276806">
        <w:rPr>
          <w:szCs w:val="22"/>
        </w:rPr>
        <w:t>ed</w:t>
      </w:r>
      <w:r w:rsidR="00396506">
        <w:rPr>
          <w:szCs w:val="22"/>
        </w:rPr>
        <w:t xml:space="preserve"> with </w:t>
      </w:r>
      <w:r w:rsidRPr="002C50DF">
        <w:rPr>
          <w:szCs w:val="22"/>
        </w:rPr>
        <w:t>the amendments published in the Assessment report.</w:t>
      </w:r>
    </w:p>
    <w:p w:rsidR="00A56F9F" w:rsidRPr="002C50DF" w:rsidRDefault="00A56F9F" w:rsidP="00A56F9F">
      <w:pPr>
        <w:ind w:left="1134"/>
      </w:pPr>
    </w:p>
    <w:p w:rsidR="00A56F9F" w:rsidRPr="002C50DF" w:rsidRDefault="00A56F9F" w:rsidP="00A56F9F">
      <w:pPr>
        <w:pStyle w:val="Heading3"/>
      </w:pPr>
      <w:bookmarkStart w:id="67" w:name="_Toc280003211"/>
      <w:bookmarkStart w:id="68" w:name="_Toc290973034"/>
      <w:r w:rsidRPr="002C50DF">
        <w:t>3.17</w:t>
      </w:r>
      <w:r w:rsidRPr="002C50DF">
        <w:tab/>
        <w:t>Standard 1.4.1 – Contaminants and Natural Toxicants</w:t>
      </w:r>
      <w:bookmarkEnd w:id="67"/>
      <w:bookmarkEnd w:id="68"/>
    </w:p>
    <w:p w:rsidR="00A56F9F" w:rsidRPr="002C50DF" w:rsidRDefault="00A56F9F" w:rsidP="00A56F9F"/>
    <w:p w:rsidR="00A56F9F" w:rsidRPr="002C50DF" w:rsidRDefault="00A56F9F" w:rsidP="00A56F9F">
      <w:r w:rsidRPr="002C50DF">
        <w:rPr>
          <w:b/>
          <w:bCs/>
        </w:rPr>
        <w:t>Location</w:t>
      </w:r>
      <w:r w:rsidRPr="002C50DF">
        <w:t>:</w:t>
      </w:r>
      <w:r w:rsidRPr="002C50DF">
        <w:tab/>
        <w:t xml:space="preserve">Purpose </w:t>
      </w:r>
    </w:p>
    <w:p w:rsidR="00A56F9F" w:rsidRPr="002C50DF" w:rsidRDefault="00A56F9F" w:rsidP="00A56F9F">
      <w:pPr>
        <w:ind w:left="1134" w:hanging="1134"/>
      </w:pPr>
      <w:r w:rsidRPr="002C50DF">
        <w:rPr>
          <w:b/>
          <w:bCs/>
        </w:rPr>
        <w:t>Issue</w:t>
      </w:r>
      <w:r w:rsidRPr="002C50DF">
        <w:rPr>
          <w:b/>
        </w:rPr>
        <w:t xml:space="preserve"> 73:</w:t>
      </w:r>
      <w:r w:rsidRPr="002C50DF">
        <w:tab/>
        <w:t xml:space="preserve">Incorrect names for WTO agreements are used. </w:t>
      </w:r>
    </w:p>
    <w:p w:rsidR="00A56F9F" w:rsidRPr="002C50DF" w:rsidRDefault="00A56F9F" w:rsidP="00A56F9F">
      <w:pPr>
        <w:ind w:left="1134"/>
      </w:pPr>
      <w:r w:rsidRPr="002C50DF">
        <w:t>The last paragraph (regarding Generally Expected Levels (GELs)</w:t>
      </w:r>
      <w:r w:rsidR="00C81A32">
        <w:t>)</w:t>
      </w:r>
      <w:r w:rsidRPr="002C50DF">
        <w:t xml:space="preserve"> is not appropriate in a Purpose. </w:t>
      </w:r>
    </w:p>
    <w:p w:rsidR="00A56F9F" w:rsidRPr="002C50DF" w:rsidRDefault="00A56F9F" w:rsidP="00A56F9F">
      <w:pPr>
        <w:ind w:left="1134" w:hanging="1134"/>
      </w:pPr>
      <w:r w:rsidRPr="002C50DF">
        <w:rPr>
          <w:b/>
          <w:bCs/>
        </w:rPr>
        <w:t>Solution</w:t>
      </w:r>
      <w:r w:rsidRPr="002C50DF">
        <w:t>:</w:t>
      </w:r>
      <w:r w:rsidRPr="002C50DF">
        <w:tab/>
        <w:t>Insert correct WTO Agreement names.</w:t>
      </w:r>
    </w:p>
    <w:p w:rsidR="00A56F9F" w:rsidRPr="002C50DF" w:rsidRDefault="00A56F9F" w:rsidP="00A56F9F">
      <w:pPr>
        <w:ind w:left="1134"/>
      </w:pPr>
      <w:r w:rsidRPr="002C50DF">
        <w:t xml:space="preserve">Remove </w:t>
      </w:r>
      <w:r w:rsidR="006B6F64">
        <w:t>fourth</w:t>
      </w:r>
      <w:r w:rsidR="006B6F64" w:rsidRPr="002C50DF">
        <w:t xml:space="preserve"> </w:t>
      </w:r>
      <w:r w:rsidRPr="002C50DF">
        <w:t xml:space="preserve">paragraph. </w:t>
      </w:r>
    </w:p>
    <w:p w:rsidR="00A56F9F" w:rsidRPr="002C50DF" w:rsidRDefault="00A56F9F" w:rsidP="00A56F9F"/>
    <w:p w:rsidR="00A56F9F" w:rsidRPr="002C50DF" w:rsidRDefault="00A56F9F" w:rsidP="00A56F9F">
      <w:r w:rsidRPr="002C50DF">
        <w:rPr>
          <w:b/>
          <w:bCs/>
        </w:rPr>
        <w:t>Location</w:t>
      </w:r>
      <w:r w:rsidRPr="002C50DF">
        <w:t>:</w:t>
      </w:r>
      <w:r w:rsidRPr="002C50DF">
        <w:tab/>
        <w:t xml:space="preserve">Subclause 1(5) and Table to clause 2 </w:t>
      </w:r>
    </w:p>
    <w:p w:rsidR="00C028CE" w:rsidRPr="00C028CE" w:rsidRDefault="00A56F9F" w:rsidP="00C028CE">
      <w:pPr>
        <w:ind w:left="1134" w:hanging="1134"/>
        <w:rPr>
          <w:lang w:val="en-AU"/>
        </w:rPr>
      </w:pPr>
      <w:r w:rsidRPr="002C50DF">
        <w:rPr>
          <w:b/>
          <w:bCs/>
        </w:rPr>
        <w:t>Issue 74</w:t>
      </w:r>
      <w:r w:rsidRPr="002C50DF">
        <w:rPr>
          <w:bCs/>
        </w:rPr>
        <w:t>:</w:t>
      </w:r>
      <w:r w:rsidRPr="002C50DF">
        <w:tab/>
        <w:t xml:space="preserve">Reference to ‘edible kelp’ in brackets next to seaweed implies other types of seaweed that are commonly consumed (e.g. hijiki) do not have to meet this requirement for arsenic levels. </w:t>
      </w:r>
      <w:r w:rsidR="00C028CE" w:rsidRPr="00C028CE">
        <w:rPr>
          <w:lang w:val="en-AU"/>
        </w:rPr>
        <w:t xml:space="preserve">However international and FSANZ surveys indicate that seaweeds other than edible kelp, in particular hijiki, may have levels of arsenic of public health concern. </w:t>
      </w:r>
    </w:p>
    <w:p w:rsidR="00A56F9F" w:rsidRPr="00BD0844" w:rsidRDefault="00A56F9F" w:rsidP="00C028CE">
      <w:pPr>
        <w:ind w:left="1134" w:hanging="1134"/>
      </w:pPr>
      <w:r w:rsidRPr="00BD0844">
        <w:rPr>
          <w:b/>
          <w:bCs/>
        </w:rPr>
        <w:t>Solution</w:t>
      </w:r>
      <w:r w:rsidRPr="00BD0844">
        <w:t>:</w:t>
      </w:r>
      <w:r w:rsidRPr="00BD0844">
        <w:tab/>
        <w:t xml:space="preserve">Remove ‘(edible kelp)’ where it appears after ‘seaweed’. </w:t>
      </w:r>
    </w:p>
    <w:p w:rsidR="00A56F9F" w:rsidRPr="00BD0844" w:rsidRDefault="00A56F9F" w:rsidP="00A56F9F"/>
    <w:p w:rsidR="00A56F9F" w:rsidRPr="00BD0844" w:rsidRDefault="00A56F9F" w:rsidP="00A56F9F">
      <w:r w:rsidRPr="00BD0844">
        <w:rPr>
          <w:b/>
          <w:bCs/>
        </w:rPr>
        <w:t>Location</w:t>
      </w:r>
      <w:r w:rsidRPr="00BD0844">
        <w:t>:</w:t>
      </w:r>
      <w:r w:rsidRPr="00BD0844">
        <w:tab/>
        <w:t xml:space="preserve">Table to clause 2 </w:t>
      </w:r>
    </w:p>
    <w:p w:rsidR="00A56F9F" w:rsidRPr="00BD0844" w:rsidRDefault="00A56F9F" w:rsidP="00A56F9F">
      <w:pPr>
        <w:ind w:left="1134" w:hanging="1134"/>
      </w:pPr>
      <w:r w:rsidRPr="00BD0844">
        <w:rPr>
          <w:b/>
          <w:bCs/>
        </w:rPr>
        <w:t>Issue 75</w:t>
      </w:r>
      <w:r w:rsidRPr="00BD0844">
        <w:rPr>
          <w:b/>
        </w:rPr>
        <w:t>:</w:t>
      </w:r>
      <w:r w:rsidRPr="00BD0844">
        <w:tab/>
        <w:t xml:space="preserve">There is insufficient clarity of the meaning of ‘cocoa products’. </w:t>
      </w:r>
      <w:r w:rsidRPr="00BD0844">
        <w:rPr>
          <w:bCs/>
        </w:rPr>
        <w:t>A review of FSANZ’s records in this matter indicates that FSANZ did intend to control the level of cadmium in the final products only, as opposed to the primary products.</w:t>
      </w:r>
    </w:p>
    <w:p w:rsidR="002C50DF" w:rsidRPr="00BD0844" w:rsidRDefault="002C50DF" w:rsidP="002C50DF">
      <w:pPr>
        <w:ind w:left="1134" w:hanging="1134"/>
      </w:pPr>
      <w:r w:rsidRPr="00BD0844">
        <w:rPr>
          <w:b/>
          <w:bCs/>
        </w:rPr>
        <w:t>Solution proposed in Assessment Report</w:t>
      </w:r>
      <w:r w:rsidRPr="00BD0844">
        <w:t>:</w:t>
      </w:r>
      <w:r w:rsidR="00A56F9F" w:rsidRPr="00BD0844">
        <w:tab/>
        <w:t>Provide clarity that ‘cocoa products’ does not include primary products that are made entirely of whole or part of the coc</w:t>
      </w:r>
      <w:r w:rsidRPr="00BD0844">
        <w:t>oa bean (such as cocoa paste).</w:t>
      </w:r>
    </w:p>
    <w:p w:rsidR="002C50DF" w:rsidRPr="00BD0844" w:rsidRDefault="002C50DF" w:rsidP="002C50DF">
      <w:pPr>
        <w:ind w:left="1134" w:hanging="1134"/>
        <w:rPr>
          <w:bCs/>
        </w:rPr>
      </w:pPr>
      <w:r w:rsidRPr="00BD0844">
        <w:rPr>
          <w:rFonts w:cs="Arial"/>
          <w:b/>
          <w:bCs/>
          <w:szCs w:val="22"/>
        </w:rPr>
        <w:t>Submitter comments and FSANZ response:</w:t>
      </w:r>
      <w:r w:rsidRPr="00BD0844">
        <w:rPr>
          <w:rFonts w:cs="Arial"/>
          <w:szCs w:val="22"/>
        </w:rPr>
        <w:t xml:space="preserve"> One submitter – an industry peak body </w:t>
      </w:r>
      <w:r w:rsidR="00836479">
        <w:rPr>
          <w:rFonts w:cs="Arial"/>
          <w:szCs w:val="22"/>
        </w:rPr>
        <w:t xml:space="preserve">– was </w:t>
      </w:r>
      <w:r w:rsidRPr="00BD0844">
        <w:rPr>
          <w:rFonts w:cs="Arial"/>
          <w:szCs w:val="22"/>
        </w:rPr>
        <w:t xml:space="preserve">concerned that the proposed solution did not specifically address </w:t>
      </w:r>
      <w:r w:rsidRPr="00BD0844">
        <w:rPr>
          <w:bCs/>
        </w:rPr>
        <w:t>final products only, as opposed to the primary products.</w:t>
      </w:r>
    </w:p>
    <w:p w:rsidR="002C50DF" w:rsidRPr="00FC5553" w:rsidRDefault="007F6569" w:rsidP="002C50DF">
      <w:pPr>
        <w:ind w:left="1134"/>
        <w:rPr>
          <w:rFonts w:cs="Arial"/>
          <w:szCs w:val="22"/>
        </w:rPr>
      </w:pPr>
      <w:r>
        <w:rPr>
          <w:rFonts w:cs="Arial"/>
          <w:bCs/>
          <w:szCs w:val="22"/>
        </w:rPr>
        <w:t xml:space="preserve">Following further consultation, FSANZ has concluded that this issue should not be progressed in this Proposal, but could be progressed in a future proposal.  Accordingly this proposed amendment has been withdrawn. </w:t>
      </w:r>
    </w:p>
    <w:p w:rsidR="00A56F9F" w:rsidRPr="00FC5553" w:rsidRDefault="00A56F9F" w:rsidP="00A56F9F"/>
    <w:p w:rsidR="00A56F9F" w:rsidRPr="00FC5553" w:rsidRDefault="00A56F9F" w:rsidP="00A56F9F">
      <w:r w:rsidRPr="00FC5553">
        <w:rPr>
          <w:b/>
          <w:bCs/>
        </w:rPr>
        <w:t>Location</w:t>
      </w:r>
      <w:r w:rsidRPr="00FC5553">
        <w:t>:</w:t>
      </w:r>
      <w:r w:rsidRPr="00FC5553">
        <w:tab/>
        <w:t xml:space="preserve"> Clauses 2, 3, 4 and 5 and Tables to these clauses</w:t>
      </w:r>
    </w:p>
    <w:p w:rsidR="00A56F9F" w:rsidRPr="00FC5553" w:rsidRDefault="00A56F9F" w:rsidP="00A56F9F">
      <w:pPr>
        <w:ind w:left="1134" w:hanging="1134"/>
        <w:rPr>
          <w:bCs/>
        </w:rPr>
      </w:pPr>
      <w:r w:rsidRPr="00FC5553">
        <w:rPr>
          <w:b/>
          <w:bCs/>
        </w:rPr>
        <w:t>Issue 76</w:t>
      </w:r>
      <w:r w:rsidRPr="00FC5553">
        <w:t>:</w:t>
      </w:r>
      <w:r w:rsidRPr="00FC5553">
        <w:tab/>
        <w:t>T</w:t>
      </w:r>
      <w:r w:rsidRPr="00FC5553">
        <w:rPr>
          <w:bCs/>
        </w:rPr>
        <w:t xml:space="preserve">he clauses refer to ‘unbolded type’ in the Tables. The OLDP identified that this method of referencing certain information in tables could be improved. </w:t>
      </w:r>
    </w:p>
    <w:p w:rsidR="00A56F9F" w:rsidRPr="00FC5553" w:rsidRDefault="00A56F9F" w:rsidP="00A56F9F">
      <w:pPr>
        <w:ind w:left="1134" w:hanging="1134"/>
      </w:pPr>
      <w:r w:rsidRPr="00FC5553">
        <w:rPr>
          <w:b/>
          <w:bCs/>
        </w:rPr>
        <w:t>Solution</w:t>
      </w:r>
      <w:r w:rsidRPr="00FC5553">
        <w:t>:</w:t>
      </w:r>
      <w:r w:rsidRPr="00FC5553">
        <w:tab/>
        <w:t xml:space="preserve">Remove references to unbolded type and restructure tables to provide clarification.  </w:t>
      </w:r>
    </w:p>
    <w:p w:rsidR="00A56F9F" w:rsidRPr="00FC5553" w:rsidRDefault="00A56F9F" w:rsidP="00A56F9F"/>
    <w:p w:rsidR="00141317" w:rsidRDefault="00141317">
      <w:pPr>
        <w:widowControl/>
        <w:rPr>
          <w:rFonts w:ascii="Arial Bold" w:hAnsi="Arial Bold" w:cs="Arial Unicode MS"/>
          <w:b/>
          <w:bCs/>
          <w:szCs w:val="26"/>
        </w:rPr>
      </w:pPr>
      <w:bookmarkStart w:id="69" w:name="_Toc280003212"/>
      <w:r>
        <w:br w:type="page"/>
      </w:r>
    </w:p>
    <w:p w:rsidR="00A56F9F" w:rsidRPr="00FC5553" w:rsidRDefault="00A56F9F" w:rsidP="00A56F9F">
      <w:pPr>
        <w:pStyle w:val="Heading3"/>
      </w:pPr>
      <w:bookmarkStart w:id="70" w:name="_Toc290973035"/>
      <w:r w:rsidRPr="00FC5553">
        <w:lastRenderedPageBreak/>
        <w:t>3.18</w:t>
      </w:r>
      <w:r w:rsidRPr="00FC5553">
        <w:tab/>
        <w:t>Standard 1.4.2 – Maximum Residue Limits (Australia only)</w:t>
      </w:r>
      <w:bookmarkEnd w:id="69"/>
      <w:bookmarkEnd w:id="70"/>
    </w:p>
    <w:p w:rsidR="00A56F9F" w:rsidRPr="00FC5553" w:rsidRDefault="00A56F9F" w:rsidP="00A56F9F">
      <w:pPr>
        <w:ind w:left="851" w:hanging="851"/>
        <w:rPr>
          <w:b/>
          <w:bCs/>
          <w:caps/>
        </w:rPr>
      </w:pPr>
    </w:p>
    <w:p w:rsidR="00A56F9F" w:rsidRPr="00FC5553" w:rsidRDefault="00A56F9F" w:rsidP="00A56F9F">
      <w:pPr>
        <w:ind w:left="851" w:hanging="851"/>
        <w:rPr>
          <w:bCs/>
          <w:caps/>
        </w:rPr>
      </w:pPr>
      <w:r w:rsidRPr="00FC5553">
        <w:rPr>
          <w:b/>
          <w:bCs/>
        </w:rPr>
        <w:t>Location</w:t>
      </w:r>
      <w:r w:rsidRPr="00FC5553">
        <w:rPr>
          <w:bCs/>
        </w:rPr>
        <w:t>:</w:t>
      </w:r>
      <w:r w:rsidRPr="00FC5553">
        <w:rPr>
          <w:bCs/>
        </w:rPr>
        <w:tab/>
        <w:t>Subclause 4(2) and all Schedules</w:t>
      </w:r>
    </w:p>
    <w:p w:rsidR="00A56F9F" w:rsidRPr="00FC5553" w:rsidRDefault="00A56F9F" w:rsidP="00A56F9F">
      <w:pPr>
        <w:ind w:left="1134" w:hanging="1134"/>
        <w:rPr>
          <w:bCs/>
          <w:caps/>
        </w:rPr>
      </w:pPr>
      <w:r w:rsidRPr="00FC5553">
        <w:rPr>
          <w:b/>
          <w:bCs/>
        </w:rPr>
        <w:t>Issue 77</w:t>
      </w:r>
      <w:r w:rsidRPr="00FC5553">
        <w:rPr>
          <w:bCs/>
        </w:rPr>
        <w:t>:</w:t>
      </w:r>
      <w:r w:rsidRPr="00FC5553">
        <w:rPr>
          <w:bCs/>
        </w:rPr>
        <w:tab/>
        <w:t>There is an implication that this Standard was designed for traded commodities only, e.g. whole grain, which is not necessarily correct.</w:t>
      </w:r>
      <w:r w:rsidRPr="00FC5553">
        <w:rPr>
          <w:bCs/>
        </w:rPr>
        <w:br/>
        <w:t>Schedule 4 defines the classes of foods. For example, for cereals the portion of the commodity to which the MRL applies is the ‘whole commodity’, including for rice, ‘rice in husk’. However in processing there is often fractionation of components, for example, grain into endosperm, bran and germ; or concentration through evaporation, e.g. dried apples.</w:t>
      </w:r>
      <w:r w:rsidRPr="00FC5553">
        <w:rPr>
          <w:bCs/>
        </w:rPr>
        <w:br/>
      </w:r>
      <w:r w:rsidRPr="00FC5553">
        <w:rPr>
          <w:bCs/>
          <w:lang w:val="en-AU"/>
        </w:rPr>
        <w:t xml:space="preserve">Subclause 4(2) is intended to make it clear that the limits apply to all processed forms of these products. </w:t>
      </w:r>
    </w:p>
    <w:p w:rsidR="00A56F9F" w:rsidRDefault="00A56F9F" w:rsidP="00A56F9F">
      <w:pPr>
        <w:ind w:left="1134" w:hanging="1134"/>
        <w:rPr>
          <w:bCs/>
          <w:lang w:val="en-AU"/>
        </w:rPr>
      </w:pPr>
      <w:r w:rsidRPr="00FC5553">
        <w:rPr>
          <w:b/>
          <w:bCs/>
          <w:lang w:val="en-AU"/>
        </w:rPr>
        <w:t>Solution</w:t>
      </w:r>
      <w:r w:rsidR="00BB463C">
        <w:rPr>
          <w:b/>
          <w:bCs/>
          <w:lang w:val="en-AU"/>
        </w:rPr>
        <w:t xml:space="preserve"> proposed in Assessment Report</w:t>
      </w:r>
      <w:r w:rsidRPr="00FC5553">
        <w:rPr>
          <w:b/>
          <w:bCs/>
          <w:lang w:val="en-AU"/>
        </w:rPr>
        <w:t>:</w:t>
      </w:r>
      <w:r w:rsidR="00BB463C">
        <w:rPr>
          <w:bCs/>
          <w:lang w:val="en-AU"/>
        </w:rPr>
        <w:t xml:space="preserve"> </w:t>
      </w:r>
      <w:r w:rsidRPr="00FC5553">
        <w:rPr>
          <w:bCs/>
          <w:lang w:val="en-AU"/>
        </w:rPr>
        <w:t>Amend subclause 4(2) to clarify that the limits apply to all processed forms</w:t>
      </w:r>
      <w:r w:rsidRPr="00FC5553">
        <w:rPr>
          <w:bCs/>
          <w:i/>
          <w:lang w:val="en-AU"/>
        </w:rPr>
        <w:t xml:space="preserve"> </w:t>
      </w:r>
      <w:r w:rsidRPr="00FC5553">
        <w:rPr>
          <w:bCs/>
          <w:lang w:val="en-AU"/>
        </w:rPr>
        <w:t xml:space="preserve">including separated fractions. </w:t>
      </w:r>
    </w:p>
    <w:p w:rsidR="00BB463C" w:rsidRPr="00BB463C" w:rsidRDefault="00BB463C" w:rsidP="00A56F9F">
      <w:pPr>
        <w:ind w:left="1134" w:hanging="1134"/>
        <w:rPr>
          <w:bCs/>
          <w:caps/>
          <w:lang w:val="en-AU"/>
        </w:rPr>
      </w:pPr>
      <w:r w:rsidRPr="00C71F4D">
        <w:rPr>
          <w:rFonts w:cs="Arial"/>
          <w:b/>
          <w:bCs/>
          <w:szCs w:val="22"/>
        </w:rPr>
        <w:t xml:space="preserve">Submitter </w:t>
      </w:r>
      <w:r w:rsidRPr="00BD0844">
        <w:rPr>
          <w:rFonts w:cs="Arial"/>
          <w:b/>
          <w:bCs/>
          <w:szCs w:val="22"/>
        </w:rPr>
        <w:t>comments and FSANZ response:</w:t>
      </w:r>
      <w:r>
        <w:rPr>
          <w:rFonts w:cs="Arial"/>
          <w:b/>
          <w:bCs/>
          <w:szCs w:val="22"/>
        </w:rPr>
        <w:t xml:space="preserve"> </w:t>
      </w:r>
      <w:r w:rsidRPr="00BB463C">
        <w:rPr>
          <w:rFonts w:cs="Arial"/>
          <w:bCs/>
          <w:szCs w:val="22"/>
        </w:rPr>
        <w:t xml:space="preserve">Although there were no specific comments received from submitters about this issue, </w:t>
      </w:r>
      <w:r w:rsidR="00EF43F7">
        <w:rPr>
          <w:rFonts w:cs="Arial"/>
          <w:bCs/>
          <w:szCs w:val="22"/>
        </w:rPr>
        <w:t xml:space="preserve">following further internal discussion </w:t>
      </w:r>
      <w:r w:rsidRPr="00BB463C">
        <w:rPr>
          <w:rFonts w:cs="Arial"/>
          <w:bCs/>
          <w:szCs w:val="22"/>
        </w:rPr>
        <w:t xml:space="preserve">FSANZ decided not to make the proposed amendment at this stage. The issues may be considered in a future </w:t>
      </w:r>
      <w:r w:rsidR="00A17B16">
        <w:rPr>
          <w:rFonts w:cs="Arial"/>
          <w:bCs/>
          <w:szCs w:val="22"/>
        </w:rPr>
        <w:t xml:space="preserve">MRL Proposal to allow </w:t>
      </w:r>
      <w:r w:rsidR="00EF43F7">
        <w:rPr>
          <w:rFonts w:cs="Arial"/>
          <w:bCs/>
          <w:szCs w:val="22"/>
        </w:rPr>
        <w:t xml:space="preserve">specific </w:t>
      </w:r>
      <w:r w:rsidR="00A17B16">
        <w:rPr>
          <w:rFonts w:cs="Arial"/>
          <w:bCs/>
          <w:szCs w:val="22"/>
        </w:rPr>
        <w:t xml:space="preserve">consultation with the </w:t>
      </w:r>
      <w:r w:rsidR="00D5150E">
        <w:rPr>
          <w:rFonts w:cs="Arial"/>
          <w:bCs/>
          <w:szCs w:val="22"/>
        </w:rPr>
        <w:t>Australia Pesticides and Veterinary Medicines Authority (</w:t>
      </w:r>
      <w:r w:rsidR="00A17B16">
        <w:rPr>
          <w:rFonts w:cs="Arial"/>
          <w:bCs/>
          <w:szCs w:val="22"/>
        </w:rPr>
        <w:t>APVMA</w:t>
      </w:r>
      <w:r w:rsidR="00D5150E">
        <w:rPr>
          <w:rFonts w:cs="Arial"/>
          <w:bCs/>
          <w:szCs w:val="22"/>
        </w:rPr>
        <w:t>)</w:t>
      </w:r>
      <w:r w:rsidR="00A17B16">
        <w:rPr>
          <w:rFonts w:cs="Arial"/>
          <w:bCs/>
          <w:szCs w:val="22"/>
        </w:rPr>
        <w:t>,</w:t>
      </w:r>
      <w:r w:rsidR="00D5150E">
        <w:rPr>
          <w:rFonts w:cs="Arial"/>
          <w:bCs/>
          <w:szCs w:val="22"/>
        </w:rPr>
        <w:t xml:space="preserve"> the</w:t>
      </w:r>
      <w:r w:rsidR="00A17B16">
        <w:rPr>
          <w:rFonts w:cs="Arial"/>
          <w:bCs/>
          <w:szCs w:val="22"/>
        </w:rPr>
        <w:t xml:space="preserve"> D</w:t>
      </w:r>
      <w:r w:rsidR="00D5150E">
        <w:rPr>
          <w:rFonts w:cs="Arial"/>
          <w:bCs/>
          <w:szCs w:val="22"/>
        </w:rPr>
        <w:t xml:space="preserve">epartment of Agriculture, </w:t>
      </w:r>
      <w:r w:rsidR="00A17B16">
        <w:rPr>
          <w:rFonts w:cs="Arial"/>
          <w:bCs/>
          <w:szCs w:val="22"/>
        </w:rPr>
        <w:t>F</w:t>
      </w:r>
      <w:r w:rsidR="00D5150E">
        <w:rPr>
          <w:rFonts w:cs="Arial"/>
          <w:bCs/>
          <w:szCs w:val="22"/>
        </w:rPr>
        <w:t xml:space="preserve">isheries and </w:t>
      </w:r>
      <w:r w:rsidR="00A17B16">
        <w:rPr>
          <w:rFonts w:cs="Arial"/>
          <w:bCs/>
          <w:szCs w:val="22"/>
        </w:rPr>
        <w:t>F</w:t>
      </w:r>
      <w:r w:rsidR="00D5150E">
        <w:rPr>
          <w:rFonts w:cs="Arial"/>
          <w:bCs/>
          <w:szCs w:val="22"/>
        </w:rPr>
        <w:t>orestry</w:t>
      </w:r>
      <w:r w:rsidR="00A17B16">
        <w:rPr>
          <w:rFonts w:cs="Arial"/>
          <w:bCs/>
          <w:szCs w:val="22"/>
        </w:rPr>
        <w:t xml:space="preserve"> and other interested parties.</w:t>
      </w:r>
    </w:p>
    <w:p w:rsidR="00A56F9F" w:rsidRPr="00FC5553" w:rsidRDefault="00A56F9F" w:rsidP="00A56F9F">
      <w:pPr>
        <w:ind w:left="851" w:hanging="851"/>
        <w:rPr>
          <w:bCs/>
          <w:caps/>
        </w:rPr>
      </w:pPr>
    </w:p>
    <w:p w:rsidR="00A56F9F" w:rsidRPr="00FC5553" w:rsidRDefault="00A56F9F" w:rsidP="00A56F9F">
      <w:pPr>
        <w:ind w:left="1134" w:hanging="1134"/>
      </w:pPr>
      <w:r w:rsidRPr="00FC5553">
        <w:rPr>
          <w:b/>
          <w:bCs/>
        </w:rPr>
        <w:t>Location</w:t>
      </w:r>
      <w:r w:rsidRPr="00FC5553">
        <w:t>:</w:t>
      </w:r>
      <w:r w:rsidRPr="00FC5553">
        <w:tab/>
        <w:t>Schedule 1, wherever ‘and/or’ occurs</w:t>
      </w:r>
    </w:p>
    <w:p w:rsidR="00A56F9F" w:rsidRPr="00FC5553" w:rsidRDefault="00A56F9F" w:rsidP="00A56F9F">
      <w:pPr>
        <w:ind w:left="1134" w:hanging="1134"/>
        <w:rPr>
          <w:rFonts w:cs="Arial"/>
          <w:szCs w:val="22"/>
        </w:rPr>
      </w:pPr>
      <w:r w:rsidRPr="00FC5553">
        <w:rPr>
          <w:b/>
          <w:bCs/>
        </w:rPr>
        <w:t>Issue 78</w:t>
      </w:r>
      <w:r w:rsidRPr="00FC5553">
        <w:t>:</w:t>
      </w:r>
      <w:r w:rsidRPr="00FC5553">
        <w:tab/>
      </w:r>
      <w:r w:rsidRPr="00FC5553">
        <w:rPr>
          <w:rFonts w:cs="Arial"/>
          <w:szCs w:val="22"/>
        </w:rPr>
        <w:t xml:space="preserve">OLDP recommendation to </w:t>
      </w:r>
      <w:r w:rsidRPr="00FC5553">
        <w:rPr>
          <w:rFonts w:cs="Arial"/>
          <w:szCs w:val="22"/>
          <w:lang w:val="en-AU"/>
        </w:rPr>
        <w:t xml:space="preserve">clarify meaning of </w:t>
      </w:r>
      <w:r w:rsidRPr="00FC5553">
        <w:rPr>
          <w:rFonts w:cs="Arial"/>
          <w:szCs w:val="22"/>
        </w:rPr>
        <w:t>‘and/or’</w:t>
      </w:r>
      <w:r w:rsidR="00DD79BA">
        <w:rPr>
          <w:rFonts w:cs="Arial"/>
          <w:szCs w:val="22"/>
        </w:rPr>
        <w:t>.</w:t>
      </w:r>
    </w:p>
    <w:p w:rsidR="00A56F9F" w:rsidRDefault="008E678F" w:rsidP="00A56F9F">
      <w:pPr>
        <w:ind w:left="1134" w:hanging="1134"/>
        <w:rPr>
          <w:bCs/>
        </w:rPr>
      </w:pPr>
      <w:r w:rsidRPr="00FC5553">
        <w:rPr>
          <w:b/>
          <w:bCs/>
          <w:lang w:val="en-AU"/>
        </w:rPr>
        <w:t>Solution</w:t>
      </w:r>
      <w:r>
        <w:rPr>
          <w:b/>
          <w:bCs/>
          <w:lang w:val="en-AU"/>
        </w:rPr>
        <w:t xml:space="preserve"> proposed in Assessment Report</w:t>
      </w:r>
      <w:r w:rsidR="00A56F9F" w:rsidRPr="00FC5553">
        <w:rPr>
          <w:rFonts w:cs="Arial"/>
          <w:szCs w:val="22"/>
        </w:rPr>
        <w:t>:</w:t>
      </w:r>
      <w:r w:rsidR="00A56F9F" w:rsidRPr="00FC5553">
        <w:rPr>
          <w:rFonts w:cs="Arial"/>
          <w:szCs w:val="22"/>
        </w:rPr>
        <w:tab/>
      </w:r>
      <w:r w:rsidR="00A56F9F" w:rsidRPr="00FC5553">
        <w:rPr>
          <w:bCs/>
        </w:rPr>
        <w:t xml:space="preserve">Replace ‘and/or’ with ‘and’. </w:t>
      </w:r>
    </w:p>
    <w:p w:rsidR="008E678F" w:rsidRPr="00BB463C" w:rsidRDefault="008E678F" w:rsidP="008E678F">
      <w:pPr>
        <w:ind w:left="1134" w:hanging="1134"/>
        <w:rPr>
          <w:bCs/>
          <w:caps/>
          <w:lang w:val="en-AU"/>
        </w:rPr>
      </w:pPr>
      <w:r w:rsidRPr="00C71F4D">
        <w:rPr>
          <w:rFonts w:cs="Arial"/>
          <w:b/>
          <w:bCs/>
          <w:szCs w:val="22"/>
        </w:rPr>
        <w:t xml:space="preserve">Submitter </w:t>
      </w:r>
      <w:r w:rsidRPr="00BD0844">
        <w:rPr>
          <w:rFonts w:cs="Arial"/>
          <w:b/>
          <w:bCs/>
          <w:szCs w:val="22"/>
        </w:rPr>
        <w:t>comments and FSANZ response:</w:t>
      </w:r>
      <w:r>
        <w:rPr>
          <w:rFonts w:cs="Arial"/>
          <w:b/>
          <w:bCs/>
          <w:szCs w:val="22"/>
        </w:rPr>
        <w:t xml:space="preserve"> </w:t>
      </w:r>
      <w:r w:rsidRPr="00BB463C">
        <w:rPr>
          <w:rFonts w:cs="Arial"/>
          <w:bCs/>
          <w:szCs w:val="22"/>
        </w:rPr>
        <w:t xml:space="preserve">Although there were no specific comments received from submitters about this issue, </w:t>
      </w:r>
      <w:r>
        <w:rPr>
          <w:rFonts w:cs="Arial"/>
          <w:bCs/>
          <w:szCs w:val="22"/>
        </w:rPr>
        <w:t xml:space="preserve">following further internal discussion </w:t>
      </w:r>
      <w:r w:rsidRPr="00BB463C">
        <w:rPr>
          <w:rFonts w:cs="Arial"/>
          <w:bCs/>
          <w:szCs w:val="22"/>
        </w:rPr>
        <w:t xml:space="preserve">FSANZ decided not to make the proposed amendments at this stage. The issues may be considered in a future </w:t>
      </w:r>
      <w:r>
        <w:rPr>
          <w:rFonts w:cs="Arial"/>
          <w:bCs/>
          <w:szCs w:val="22"/>
        </w:rPr>
        <w:t xml:space="preserve">MRL Proposal to allow specific consultation with the </w:t>
      </w:r>
      <w:r w:rsidR="00D5150E">
        <w:rPr>
          <w:rFonts w:cs="Arial"/>
          <w:bCs/>
          <w:szCs w:val="22"/>
        </w:rPr>
        <w:t xml:space="preserve">Australia Pesticides and Veterinary Medicines Authority (APVMA), the Department of Agriculture, Fisheries and Forestry </w:t>
      </w:r>
      <w:r>
        <w:rPr>
          <w:rFonts w:cs="Arial"/>
          <w:bCs/>
          <w:szCs w:val="22"/>
        </w:rPr>
        <w:t>and other interested parties.</w:t>
      </w:r>
    </w:p>
    <w:p w:rsidR="00A56F9F" w:rsidRPr="00FC5553" w:rsidRDefault="00A56F9F" w:rsidP="00A56F9F">
      <w:pPr>
        <w:ind w:left="851" w:hanging="851"/>
        <w:rPr>
          <w:bCs/>
          <w:caps/>
        </w:rPr>
      </w:pPr>
    </w:p>
    <w:p w:rsidR="00A56F9F" w:rsidRPr="00FC5553" w:rsidRDefault="00A56F9F" w:rsidP="00A56F9F">
      <w:pPr>
        <w:ind w:left="1134" w:hanging="1134"/>
      </w:pPr>
      <w:r w:rsidRPr="00FC5553">
        <w:rPr>
          <w:b/>
          <w:bCs/>
        </w:rPr>
        <w:t>Location</w:t>
      </w:r>
      <w:r w:rsidRPr="00FC5553">
        <w:t>:</w:t>
      </w:r>
      <w:r w:rsidRPr="00FC5553">
        <w:tab/>
        <w:t xml:space="preserve">Schedule </w:t>
      </w:r>
      <w:r w:rsidR="008E678F">
        <w:t>4</w:t>
      </w:r>
      <w:r w:rsidRPr="00FC5553">
        <w:t>, wherever ‘and/or’ occurs</w:t>
      </w:r>
    </w:p>
    <w:p w:rsidR="00A56F9F" w:rsidRPr="00FC5553" w:rsidRDefault="00A56F9F" w:rsidP="00A56F9F">
      <w:pPr>
        <w:ind w:left="1134" w:hanging="1134"/>
        <w:rPr>
          <w:rFonts w:cs="Arial"/>
          <w:szCs w:val="22"/>
        </w:rPr>
      </w:pPr>
      <w:r w:rsidRPr="00FC5553">
        <w:rPr>
          <w:b/>
          <w:bCs/>
        </w:rPr>
        <w:t>Issue 79</w:t>
      </w:r>
      <w:r w:rsidRPr="00FC5553">
        <w:t>:</w:t>
      </w:r>
      <w:r w:rsidRPr="00FC5553">
        <w:tab/>
      </w:r>
      <w:r w:rsidRPr="00FC5553">
        <w:rPr>
          <w:rFonts w:cs="Arial"/>
          <w:szCs w:val="22"/>
        </w:rPr>
        <w:t xml:space="preserve">OLDP recommendation to </w:t>
      </w:r>
      <w:r w:rsidRPr="00FC5553">
        <w:rPr>
          <w:rFonts w:cs="Arial"/>
          <w:szCs w:val="22"/>
          <w:lang w:val="en-AU"/>
        </w:rPr>
        <w:t xml:space="preserve">clarify meaning of </w:t>
      </w:r>
      <w:r w:rsidRPr="00FC5553">
        <w:rPr>
          <w:rFonts w:cs="Arial"/>
          <w:szCs w:val="22"/>
        </w:rPr>
        <w:t>‘and/or’</w:t>
      </w:r>
      <w:r w:rsidR="00DD79BA">
        <w:rPr>
          <w:rFonts w:cs="Arial"/>
          <w:szCs w:val="22"/>
        </w:rPr>
        <w:t>.</w:t>
      </w:r>
    </w:p>
    <w:p w:rsidR="00A56F9F" w:rsidRDefault="00A56F9F" w:rsidP="00A56F9F">
      <w:pPr>
        <w:ind w:left="1134" w:hanging="1134"/>
        <w:rPr>
          <w:bCs/>
        </w:rPr>
      </w:pPr>
      <w:r w:rsidRPr="00FC5553">
        <w:rPr>
          <w:rFonts w:cs="Arial"/>
          <w:b/>
          <w:bCs/>
          <w:szCs w:val="22"/>
        </w:rPr>
        <w:t>Solution</w:t>
      </w:r>
      <w:r w:rsidR="00F374F4">
        <w:rPr>
          <w:rFonts w:cs="Arial"/>
          <w:b/>
          <w:bCs/>
          <w:szCs w:val="22"/>
        </w:rPr>
        <w:t xml:space="preserve"> proposed in Assessment Report</w:t>
      </w:r>
      <w:r w:rsidR="009E15E3">
        <w:rPr>
          <w:rFonts w:cs="Arial"/>
          <w:szCs w:val="22"/>
        </w:rPr>
        <w:t xml:space="preserve">: </w:t>
      </w:r>
      <w:r w:rsidRPr="00FC5553">
        <w:rPr>
          <w:bCs/>
        </w:rPr>
        <w:t>Replace ‘and/or’ with ‘or’</w:t>
      </w:r>
      <w:r w:rsidR="008E678F">
        <w:rPr>
          <w:bCs/>
        </w:rPr>
        <w:t xml:space="preserve">, </w:t>
      </w:r>
      <w:r w:rsidR="008E678F" w:rsidRPr="007938F0">
        <w:rPr>
          <w:bCs/>
        </w:rPr>
        <w:t xml:space="preserve">except for reference to ‘pods and/or immature seeds’ which </w:t>
      </w:r>
      <w:r w:rsidR="008E678F">
        <w:rPr>
          <w:bCs/>
        </w:rPr>
        <w:t>is</w:t>
      </w:r>
      <w:r w:rsidR="008E678F" w:rsidRPr="007938F0">
        <w:rPr>
          <w:bCs/>
        </w:rPr>
        <w:t xml:space="preserve"> replaced</w:t>
      </w:r>
      <w:r w:rsidR="008E678F">
        <w:rPr>
          <w:bCs/>
        </w:rPr>
        <w:t xml:space="preserve"> with ‘pods and immature seeds’</w:t>
      </w:r>
      <w:r w:rsidRPr="00FC5553">
        <w:rPr>
          <w:bCs/>
        </w:rPr>
        <w:t xml:space="preserve">. </w:t>
      </w:r>
    </w:p>
    <w:p w:rsidR="00A56F9F" w:rsidRDefault="00F374F4" w:rsidP="008E678F">
      <w:pPr>
        <w:ind w:left="1134" w:hanging="1134"/>
        <w:rPr>
          <w:rFonts w:cs="Arial"/>
          <w:bCs/>
          <w:szCs w:val="22"/>
        </w:rPr>
      </w:pPr>
      <w:r w:rsidRPr="00BD0844">
        <w:rPr>
          <w:rFonts w:cs="Arial"/>
          <w:b/>
          <w:bCs/>
          <w:szCs w:val="22"/>
        </w:rPr>
        <w:t>Submitter comments and FSANZ response:</w:t>
      </w:r>
      <w:r>
        <w:rPr>
          <w:rFonts w:cs="Arial"/>
          <w:b/>
          <w:bCs/>
          <w:szCs w:val="22"/>
        </w:rPr>
        <w:t xml:space="preserve"> </w:t>
      </w:r>
      <w:r w:rsidR="008E678F" w:rsidRPr="00BB463C">
        <w:rPr>
          <w:rFonts w:cs="Arial"/>
          <w:bCs/>
          <w:szCs w:val="22"/>
        </w:rPr>
        <w:t xml:space="preserve">Although there were no specific comments received from submitters about this issue, </w:t>
      </w:r>
      <w:r w:rsidR="008E678F">
        <w:rPr>
          <w:rFonts w:cs="Arial"/>
          <w:bCs/>
          <w:szCs w:val="22"/>
        </w:rPr>
        <w:t xml:space="preserve">following further internal discussion </w:t>
      </w:r>
      <w:r w:rsidR="008E678F" w:rsidRPr="00BB463C">
        <w:rPr>
          <w:rFonts w:cs="Arial"/>
          <w:bCs/>
          <w:szCs w:val="22"/>
        </w:rPr>
        <w:t xml:space="preserve">FSANZ decided not to make the proposed amendments at this stage. The issues may be considered in a future </w:t>
      </w:r>
      <w:r w:rsidR="008E678F">
        <w:rPr>
          <w:rFonts w:cs="Arial"/>
          <w:bCs/>
          <w:szCs w:val="22"/>
        </w:rPr>
        <w:t xml:space="preserve">MRL Proposal to allow specific consultation with the </w:t>
      </w:r>
      <w:r w:rsidR="00D5150E">
        <w:rPr>
          <w:rFonts w:cs="Arial"/>
          <w:bCs/>
          <w:szCs w:val="22"/>
        </w:rPr>
        <w:t xml:space="preserve">Australia Pesticides and Veterinary Medicines Authority (APVMA), the Department of Agriculture, Fisheries and Forestry </w:t>
      </w:r>
      <w:r w:rsidR="008E678F">
        <w:rPr>
          <w:rFonts w:cs="Arial"/>
          <w:bCs/>
          <w:szCs w:val="22"/>
        </w:rPr>
        <w:t>and other interested parties.</w:t>
      </w:r>
    </w:p>
    <w:p w:rsidR="002932EE" w:rsidRPr="00FC5553" w:rsidRDefault="002932EE" w:rsidP="008E678F">
      <w:pPr>
        <w:ind w:left="1134" w:hanging="1134"/>
        <w:rPr>
          <w:bCs/>
          <w:caps/>
        </w:rPr>
      </w:pPr>
    </w:p>
    <w:p w:rsidR="00A56F9F" w:rsidRPr="00FC5553" w:rsidRDefault="00A56F9F" w:rsidP="00A56F9F">
      <w:pPr>
        <w:ind w:left="851" w:hanging="851"/>
        <w:rPr>
          <w:b/>
          <w:bCs/>
          <w:caps/>
        </w:rPr>
      </w:pPr>
      <w:r w:rsidRPr="00FC5553">
        <w:rPr>
          <w:b/>
          <w:bCs/>
        </w:rPr>
        <w:t>Location:</w:t>
      </w:r>
      <w:r w:rsidRPr="00FC5553">
        <w:rPr>
          <w:b/>
          <w:bCs/>
        </w:rPr>
        <w:tab/>
      </w:r>
      <w:r w:rsidRPr="00FC5553">
        <w:rPr>
          <w:bCs/>
        </w:rPr>
        <w:t>Schedules 1 and 2</w:t>
      </w:r>
    </w:p>
    <w:p w:rsidR="00A56F9F" w:rsidRPr="007938F0" w:rsidRDefault="00A56F9F" w:rsidP="00A56F9F">
      <w:pPr>
        <w:ind w:left="1134" w:hanging="1134"/>
        <w:rPr>
          <w:b/>
          <w:bCs/>
          <w:caps/>
        </w:rPr>
      </w:pPr>
      <w:r w:rsidRPr="00FC5553">
        <w:rPr>
          <w:b/>
          <w:bCs/>
        </w:rPr>
        <w:t>Issue 80:</w:t>
      </w:r>
      <w:r w:rsidRPr="00FC5553">
        <w:rPr>
          <w:b/>
          <w:bCs/>
        </w:rPr>
        <w:tab/>
      </w:r>
      <w:r w:rsidRPr="00FC5553">
        <w:rPr>
          <w:bCs/>
        </w:rPr>
        <w:t xml:space="preserve">The units for each of the maximum and extraneous residue limits are only </w:t>
      </w:r>
      <w:r w:rsidRPr="007938F0">
        <w:rPr>
          <w:bCs/>
        </w:rPr>
        <w:t>expressed in clauses 2 and 3 of the Standard, not in each of the Schedules.</w:t>
      </w:r>
      <w:r w:rsidRPr="007938F0">
        <w:rPr>
          <w:b/>
          <w:bCs/>
        </w:rPr>
        <w:t xml:space="preserve"> </w:t>
      </w:r>
    </w:p>
    <w:p w:rsidR="00A56F9F" w:rsidRPr="007938F0" w:rsidRDefault="00A56F9F" w:rsidP="00A56F9F">
      <w:pPr>
        <w:ind w:left="1134" w:hanging="1134"/>
        <w:rPr>
          <w:b/>
          <w:bCs/>
          <w:caps/>
          <w:lang w:val="en-AU"/>
        </w:rPr>
      </w:pPr>
      <w:r w:rsidRPr="007938F0">
        <w:rPr>
          <w:b/>
          <w:bCs/>
          <w:lang w:val="en-AU"/>
        </w:rPr>
        <w:t>Solution:</w:t>
      </w:r>
      <w:r w:rsidRPr="007938F0">
        <w:rPr>
          <w:b/>
          <w:bCs/>
          <w:lang w:val="en-AU"/>
        </w:rPr>
        <w:tab/>
      </w:r>
      <w:r w:rsidRPr="007938F0">
        <w:rPr>
          <w:bCs/>
          <w:lang w:val="en-AU"/>
        </w:rPr>
        <w:t>Insert ‘mg/kg’ after the heading words maximum residue limits and extraneous residue limits.</w:t>
      </w:r>
    </w:p>
    <w:p w:rsidR="00915202" w:rsidRPr="007938F0" w:rsidRDefault="00915202" w:rsidP="00A56F9F">
      <w:pPr>
        <w:ind w:left="851" w:hanging="851"/>
        <w:rPr>
          <w:bCs/>
          <w:caps/>
        </w:rPr>
      </w:pPr>
    </w:p>
    <w:p w:rsidR="00A56F9F" w:rsidRPr="0099021B" w:rsidRDefault="00A56F9F" w:rsidP="00A56F9F">
      <w:pPr>
        <w:pStyle w:val="Heading3"/>
      </w:pPr>
      <w:bookmarkStart w:id="71" w:name="_Toc280003213"/>
      <w:bookmarkStart w:id="72" w:name="_Toc290973036"/>
      <w:r w:rsidRPr="007938F0">
        <w:t>3.19</w:t>
      </w:r>
      <w:r w:rsidRPr="007938F0">
        <w:tab/>
        <w:t>Standard 1.4.</w:t>
      </w:r>
      <w:r w:rsidRPr="0099021B">
        <w:t>4 – Prohibited and Restricted Plants and Fungi</w:t>
      </w:r>
      <w:bookmarkEnd w:id="71"/>
      <w:bookmarkEnd w:id="72"/>
    </w:p>
    <w:p w:rsidR="00A56F9F" w:rsidRPr="0099021B" w:rsidRDefault="00A56F9F" w:rsidP="00A56F9F"/>
    <w:p w:rsidR="00A56F9F" w:rsidRPr="00FC5553" w:rsidRDefault="00A56F9F" w:rsidP="00A56F9F">
      <w:r w:rsidRPr="00FC5553">
        <w:rPr>
          <w:b/>
          <w:bCs/>
        </w:rPr>
        <w:t>Location</w:t>
      </w:r>
      <w:r w:rsidRPr="00FC5553">
        <w:t>:</w:t>
      </w:r>
      <w:r w:rsidRPr="00FC5553">
        <w:tab/>
        <w:t>Schedule 1</w:t>
      </w:r>
    </w:p>
    <w:p w:rsidR="00A56F9F" w:rsidRPr="00FC5553" w:rsidRDefault="00A56F9F" w:rsidP="00A56F9F">
      <w:r w:rsidRPr="00FC5553">
        <w:rPr>
          <w:b/>
          <w:bCs/>
        </w:rPr>
        <w:t>Issue 81</w:t>
      </w:r>
      <w:r w:rsidRPr="00FC5553">
        <w:t>:</w:t>
      </w:r>
      <w:r w:rsidRPr="00FC5553">
        <w:tab/>
        <w:t>The reference to ‘</w:t>
      </w:r>
      <w:r w:rsidRPr="00FC5553">
        <w:rPr>
          <w:i/>
        </w:rPr>
        <w:t>Plugeus</w:t>
      </w:r>
      <w:r w:rsidRPr="00FC5553">
        <w:t xml:space="preserve"> spp.’ should be ‘</w:t>
      </w:r>
      <w:r w:rsidRPr="00FC5553">
        <w:rPr>
          <w:i/>
        </w:rPr>
        <w:t>Pluteu</w:t>
      </w:r>
      <w:r w:rsidRPr="00FC5553">
        <w:t>s spp.’</w:t>
      </w:r>
    </w:p>
    <w:p w:rsidR="00A56F9F" w:rsidRPr="00FC5553" w:rsidRDefault="00A56F9F" w:rsidP="00A56F9F">
      <w:pPr>
        <w:rPr>
          <w:lang w:val="en-AU"/>
        </w:rPr>
      </w:pPr>
      <w:r w:rsidRPr="00FC5553">
        <w:rPr>
          <w:b/>
          <w:lang w:val="en-AU"/>
        </w:rPr>
        <w:t>Solution</w:t>
      </w:r>
      <w:r w:rsidRPr="00FC5553">
        <w:rPr>
          <w:bCs/>
          <w:lang w:val="en-AU"/>
        </w:rPr>
        <w:t>:</w:t>
      </w:r>
      <w:r w:rsidRPr="00FC5553">
        <w:rPr>
          <w:bCs/>
          <w:lang w:val="en-AU"/>
        </w:rPr>
        <w:tab/>
        <w:t>Amend entry.</w:t>
      </w:r>
    </w:p>
    <w:p w:rsidR="00742C40" w:rsidRDefault="00742C40" w:rsidP="00A56F9F">
      <w:pPr>
        <w:rPr>
          <w:b/>
          <w:bCs/>
        </w:rPr>
      </w:pPr>
      <w:r>
        <w:rPr>
          <w:b/>
          <w:bCs/>
        </w:rPr>
        <w:br w:type="page"/>
      </w:r>
    </w:p>
    <w:p w:rsidR="00A56F9F" w:rsidRPr="00FC5553" w:rsidRDefault="00A56F9F" w:rsidP="00A56F9F">
      <w:r w:rsidRPr="00FC5553">
        <w:rPr>
          <w:b/>
          <w:bCs/>
        </w:rPr>
        <w:lastRenderedPageBreak/>
        <w:t>Location</w:t>
      </w:r>
      <w:r w:rsidRPr="00FC5553">
        <w:t>:</w:t>
      </w:r>
      <w:r w:rsidRPr="00FC5553">
        <w:tab/>
        <w:t>Schedule 1 and 2</w:t>
      </w:r>
    </w:p>
    <w:p w:rsidR="00A56F9F" w:rsidRPr="00FC5553" w:rsidRDefault="00A56F9F" w:rsidP="00A56F9F">
      <w:pPr>
        <w:ind w:left="1134" w:hanging="1134"/>
      </w:pPr>
      <w:r w:rsidRPr="00FC5553">
        <w:rPr>
          <w:b/>
          <w:bCs/>
        </w:rPr>
        <w:t>Issue 82</w:t>
      </w:r>
      <w:r w:rsidRPr="00FC5553">
        <w:t>:</w:t>
      </w:r>
      <w:r w:rsidRPr="00FC5553">
        <w:tab/>
        <w:t>The need for the reference to ‘Australian Approved Name’ is not necessary. It is not referred to elsewhere in the Code and is a Therapeutic Goods Administration document aimed at terminology for medicines.</w:t>
      </w:r>
    </w:p>
    <w:p w:rsidR="00141317" w:rsidRDefault="00A56F9F" w:rsidP="000C14DF">
      <w:pPr>
        <w:ind w:left="1134" w:hanging="1134"/>
        <w:rPr>
          <w:bCs/>
          <w:lang w:val="en-AU"/>
        </w:rPr>
      </w:pPr>
      <w:r w:rsidRPr="00FC5553">
        <w:rPr>
          <w:b/>
          <w:lang w:val="en-AU"/>
        </w:rPr>
        <w:t>Solution</w:t>
      </w:r>
      <w:r w:rsidRPr="00FC5553">
        <w:rPr>
          <w:bCs/>
          <w:lang w:val="en-AU"/>
        </w:rPr>
        <w:t>:</w:t>
      </w:r>
      <w:r w:rsidRPr="00FC5553">
        <w:rPr>
          <w:bCs/>
          <w:lang w:val="en-AU"/>
        </w:rPr>
        <w:tab/>
        <w:t xml:space="preserve">Delete reference to ‘Not an Australian Approved Name’ and the associated asterisks from Schedules 1 and 2, and delete the definition of Australian Approved Name List from Standard 1.1.1. </w:t>
      </w:r>
      <w:bookmarkStart w:id="73" w:name="_Toc280003214"/>
    </w:p>
    <w:p w:rsidR="002932EE" w:rsidRDefault="002932EE" w:rsidP="000C14DF">
      <w:pPr>
        <w:ind w:left="1134" w:hanging="1134"/>
        <w:rPr>
          <w:rFonts w:ascii="Arial Bold" w:hAnsi="Arial Bold" w:cs="Arial Unicode MS"/>
          <w:b/>
          <w:bCs/>
          <w:szCs w:val="26"/>
        </w:rPr>
      </w:pPr>
    </w:p>
    <w:p w:rsidR="00A56F9F" w:rsidRPr="00FC5553" w:rsidRDefault="00A56F9F" w:rsidP="00A56F9F">
      <w:pPr>
        <w:pStyle w:val="Heading3"/>
      </w:pPr>
      <w:bookmarkStart w:id="74" w:name="_Toc290973037"/>
      <w:r w:rsidRPr="00FC5553">
        <w:t>3.20</w:t>
      </w:r>
      <w:r w:rsidRPr="00FC5553">
        <w:tab/>
        <w:t>Standard 1.5.1 – Novel Foods</w:t>
      </w:r>
      <w:bookmarkEnd w:id="73"/>
      <w:bookmarkEnd w:id="74"/>
      <w:r w:rsidRPr="00FC5553">
        <w:t xml:space="preserve"> </w:t>
      </w:r>
    </w:p>
    <w:p w:rsidR="00A56F9F" w:rsidRPr="00FC5553" w:rsidRDefault="00A56F9F" w:rsidP="00A56F9F">
      <w:pPr>
        <w:rPr>
          <w:b/>
          <w:bCs/>
        </w:rPr>
      </w:pPr>
    </w:p>
    <w:p w:rsidR="00A56F9F" w:rsidRPr="00FC5553" w:rsidRDefault="00A56F9F" w:rsidP="00A56F9F">
      <w:r w:rsidRPr="00FC5553">
        <w:rPr>
          <w:b/>
          <w:bCs/>
        </w:rPr>
        <w:t>Location</w:t>
      </w:r>
      <w:r w:rsidRPr="00FC5553">
        <w:t>:</w:t>
      </w:r>
      <w:r w:rsidRPr="00FC5553">
        <w:tab/>
        <w:t>Table to clause 2</w:t>
      </w:r>
    </w:p>
    <w:p w:rsidR="00A56F9F" w:rsidRPr="00BD0844" w:rsidRDefault="00A56F9F" w:rsidP="00A56F9F">
      <w:pPr>
        <w:ind w:left="1134" w:hanging="1134"/>
      </w:pPr>
      <w:r w:rsidRPr="00FC5553">
        <w:rPr>
          <w:b/>
          <w:bCs/>
        </w:rPr>
        <w:t>Issue 83</w:t>
      </w:r>
      <w:r w:rsidRPr="00FC5553">
        <w:t>:</w:t>
      </w:r>
      <w:r w:rsidRPr="00FC5553">
        <w:tab/>
        <w:t xml:space="preserve">The oils derived from marine microalgae and the dried marine microalgae are not </w:t>
      </w:r>
      <w:r w:rsidRPr="00BD0844">
        <w:t xml:space="preserve">correctly hyphenated. </w:t>
      </w:r>
    </w:p>
    <w:p w:rsidR="00A56F9F" w:rsidRPr="00BD0844" w:rsidRDefault="00A56F9F" w:rsidP="00A56F9F">
      <w:pPr>
        <w:ind w:left="1134" w:hanging="1134"/>
        <w:rPr>
          <w:bCs/>
          <w:lang w:val="en-AU"/>
        </w:rPr>
      </w:pPr>
      <w:r w:rsidRPr="00BD0844">
        <w:rPr>
          <w:b/>
          <w:lang w:val="en-AU"/>
        </w:rPr>
        <w:t>Solution</w:t>
      </w:r>
      <w:r w:rsidRPr="00BD0844">
        <w:rPr>
          <w:bCs/>
          <w:lang w:val="en-AU"/>
        </w:rPr>
        <w:t>:</w:t>
      </w:r>
      <w:r w:rsidRPr="00BD0844">
        <w:rPr>
          <w:bCs/>
          <w:lang w:val="en-AU"/>
        </w:rPr>
        <w:tab/>
        <w:t>Amend the formatting to reflect that recommended in Standard 1.3.4 (see issue 72 above).</w:t>
      </w:r>
    </w:p>
    <w:p w:rsidR="00A56F9F" w:rsidRDefault="00A56F9F" w:rsidP="00A56F9F"/>
    <w:p w:rsidR="00E07E40" w:rsidRPr="00FC5553" w:rsidRDefault="00E07E40" w:rsidP="00E07E40">
      <w:r w:rsidRPr="00FC5553">
        <w:rPr>
          <w:b/>
          <w:bCs/>
        </w:rPr>
        <w:t>Location</w:t>
      </w:r>
      <w:r w:rsidRPr="00FC5553">
        <w:t>:</w:t>
      </w:r>
      <w:r w:rsidRPr="00FC5553">
        <w:tab/>
        <w:t>Table</w:t>
      </w:r>
      <w:r>
        <w:t>s</w:t>
      </w:r>
      <w:r w:rsidRPr="00FC5553">
        <w:t xml:space="preserve"> to clause</w:t>
      </w:r>
      <w:r>
        <w:t>s</w:t>
      </w:r>
      <w:r w:rsidRPr="00FC5553">
        <w:t xml:space="preserve"> 2</w:t>
      </w:r>
      <w:r>
        <w:t xml:space="preserve"> and 3</w:t>
      </w:r>
    </w:p>
    <w:p w:rsidR="00E07E40" w:rsidRPr="00E07E40" w:rsidRDefault="00E07E40" w:rsidP="00E07E40">
      <w:pPr>
        <w:ind w:left="1134" w:hanging="1134"/>
      </w:pPr>
      <w:r w:rsidRPr="00FC5553">
        <w:rPr>
          <w:b/>
          <w:bCs/>
        </w:rPr>
        <w:t xml:space="preserve">Issue </w:t>
      </w:r>
      <w:r>
        <w:rPr>
          <w:b/>
          <w:bCs/>
        </w:rPr>
        <w:t xml:space="preserve">(new): </w:t>
      </w:r>
      <w:r>
        <w:rPr>
          <w:bCs/>
        </w:rPr>
        <w:t xml:space="preserve">In July 2011 the period of exclusivity for tall oil phytosterol esters will expire. </w:t>
      </w:r>
      <w:r w:rsidR="003A5229">
        <w:rPr>
          <w:bCs/>
        </w:rPr>
        <w:t>Although i</w:t>
      </w:r>
      <w:r>
        <w:rPr>
          <w:bCs/>
        </w:rPr>
        <w:t xml:space="preserve">n the Assessment Report it was proposed to insert the date of expiry of </w:t>
      </w:r>
      <w:r w:rsidR="00DF1244">
        <w:rPr>
          <w:bCs/>
        </w:rPr>
        <w:t xml:space="preserve">the exclusive period </w:t>
      </w:r>
      <w:r>
        <w:rPr>
          <w:bCs/>
        </w:rPr>
        <w:t>into the Editorial note following the Table to clause 3</w:t>
      </w:r>
      <w:r w:rsidR="00DF1244">
        <w:rPr>
          <w:bCs/>
        </w:rPr>
        <w:t xml:space="preserve"> (see issue 138)</w:t>
      </w:r>
      <w:r w:rsidR="003A5229">
        <w:rPr>
          <w:bCs/>
        </w:rPr>
        <w:t>,</w:t>
      </w:r>
      <w:r w:rsidR="00DF1244">
        <w:rPr>
          <w:bCs/>
        </w:rPr>
        <w:t xml:space="preserve"> </w:t>
      </w:r>
      <w:r>
        <w:rPr>
          <w:bCs/>
        </w:rPr>
        <w:t>FSANZ now conside</w:t>
      </w:r>
      <w:r w:rsidR="00DF1244">
        <w:rPr>
          <w:bCs/>
        </w:rPr>
        <w:t xml:space="preserve">rs it would be clearer if the provisions for tall oil phytosterol esters are not listed in the Table to clause 3 upon expiry of the exclusive period.  </w:t>
      </w:r>
    </w:p>
    <w:p w:rsidR="00E07E40" w:rsidRDefault="00E07E40" w:rsidP="00E07E40">
      <w:pPr>
        <w:ind w:left="1134" w:hanging="1134"/>
      </w:pPr>
      <w:r w:rsidRPr="00BD0844">
        <w:rPr>
          <w:b/>
          <w:lang w:val="en-AU"/>
        </w:rPr>
        <w:t>Solution</w:t>
      </w:r>
      <w:r w:rsidRPr="00BD0844">
        <w:rPr>
          <w:bCs/>
          <w:lang w:val="en-AU"/>
        </w:rPr>
        <w:t>:</w:t>
      </w:r>
      <w:r w:rsidRPr="00BD0844">
        <w:rPr>
          <w:bCs/>
          <w:lang w:val="en-AU"/>
        </w:rPr>
        <w:tab/>
      </w:r>
      <w:r>
        <w:rPr>
          <w:bCs/>
        </w:rPr>
        <w:t xml:space="preserve">The entry for tall oil phytosterol esters in the Table to clause 3 will therefore be moved into the Table to clause 2 </w:t>
      </w:r>
      <w:r w:rsidR="00DF1244">
        <w:rPr>
          <w:bCs/>
        </w:rPr>
        <w:t xml:space="preserve">upon expiry of the exclusive period. </w:t>
      </w:r>
      <w:r w:rsidR="00C456D9">
        <w:rPr>
          <w:bCs/>
        </w:rPr>
        <w:t xml:space="preserve">As a result, the Editorial note following clause 3 of Standard 2.5.4, which refers to the exclusive use of tall oil phytosterol esters, will no longer be relevant and </w:t>
      </w:r>
      <w:r w:rsidR="000C14DF">
        <w:rPr>
          <w:bCs/>
        </w:rPr>
        <w:t>has</w:t>
      </w:r>
      <w:r w:rsidR="00C456D9">
        <w:rPr>
          <w:bCs/>
        </w:rPr>
        <w:t xml:space="preserve"> therefore be</w:t>
      </w:r>
      <w:r w:rsidR="000C14DF">
        <w:rPr>
          <w:bCs/>
        </w:rPr>
        <w:t>en</w:t>
      </w:r>
      <w:r w:rsidR="00C456D9">
        <w:rPr>
          <w:bCs/>
        </w:rPr>
        <w:t xml:space="preserve"> removed. </w:t>
      </w:r>
    </w:p>
    <w:p w:rsidR="003A5229" w:rsidRPr="00BD0844" w:rsidRDefault="003A5229" w:rsidP="00A56F9F"/>
    <w:p w:rsidR="00A56F9F" w:rsidRPr="00BD0844" w:rsidRDefault="00A56F9F" w:rsidP="00A56F9F">
      <w:pPr>
        <w:pStyle w:val="Heading3"/>
      </w:pPr>
      <w:bookmarkStart w:id="75" w:name="_Toc280003215"/>
      <w:bookmarkStart w:id="76" w:name="_Toc290973038"/>
      <w:r w:rsidRPr="00BD0844">
        <w:t>3.21</w:t>
      </w:r>
      <w:r w:rsidRPr="00BD0844">
        <w:tab/>
        <w:t>Standard 1.6.1 – Microbiological Limits for Food</w:t>
      </w:r>
      <w:bookmarkEnd w:id="75"/>
      <w:bookmarkEnd w:id="76"/>
    </w:p>
    <w:p w:rsidR="00A56F9F" w:rsidRPr="00BD0844" w:rsidRDefault="00A56F9F" w:rsidP="00A56F9F"/>
    <w:p w:rsidR="00A56F9F" w:rsidRPr="00BD0844" w:rsidRDefault="00A56F9F" w:rsidP="00A56F9F">
      <w:pPr>
        <w:rPr>
          <w:bCs/>
        </w:rPr>
      </w:pPr>
      <w:r w:rsidRPr="00BD0844">
        <w:rPr>
          <w:b/>
          <w:bCs/>
        </w:rPr>
        <w:t>Location</w:t>
      </w:r>
      <w:r w:rsidRPr="00BD0844">
        <w:t>:</w:t>
      </w:r>
      <w:r w:rsidRPr="00BD0844">
        <w:tab/>
      </w:r>
      <w:r w:rsidR="00D9052E">
        <w:t>Subclause 2</w:t>
      </w:r>
      <w:r w:rsidR="00A36F8D" w:rsidRPr="00BD0844">
        <w:t xml:space="preserve">(3) </w:t>
      </w:r>
      <w:r w:rsidRPr="00BD0844">
        <w:t xml:space="preserve">and the Schedule </w:t>
      </w:r>
    </w:p>
    <w:p w:rsidR="00A56F9F" w:rsidRPr="00BD0844" w:rsidRDefault="00A56F9F" w:rsidP="00A56F9F">
      <w:pPr>
        <w:ind w:left="1134" w:hanging="1134"/>
      </w:pPr>
      <w:r w:rsidRPr="00BD0844">
        <w:rPr>
          <w:b/>
          <w:bCs/>
          <w:lang w:val="en-AU"/>
        </w:rPr>
        <w:t>Issue 84</w:t>
      </w:r>
      <w:r w:rsidRPr="00BD0844">
        <w:rPr>
          <w:lang w:val="en-AU"/>
        </w:rPr>
        <w:t>:</w:t>
      </w:r>
      <w:r w:rsidRPr="00BD0844">
        <w:rPr>
          <w:lang w:val="en-AU"/>
        </w:rPr>
        <w:tab/>
        <w:t xml:space="preserve">Clause 2 of Standard 1.6.1 provides that foods listed in the Schedule are subject to the conditions listed in clause 2, however there is no link in the Schedule back to the conditions in clause 2 </w:t>
      </w:r>
      <w:r w:rsidR="00A36F8D" w:rsidRPr="00BD0844">
        <w:rPr>
          <w:lang w:val="en-AU"/>
        </w:rPr>
        <w:t>– meaning it may be missed.</w:t>
      </w:r>
    </w:p>
    <w:p w:rsidR="00A56F9F" w:rsidRPr="00BD0844" w:rsidRDefault="00A56F9F" w:rsidP="00A56F9F">
      <w:pPr>
        <w:ind w:left="1134" w:hanging="1134"/>
      </w:pPr>
      <w:r w:rsidRPr="00BD0844">
        <w:rPr>
          <w:b/>
          <w:bCs/>
          <w:lang w:val="en-AU"/>
        </w:rPr>
        <w:t>Solution</w:t>
      </w:r>
      <w:r w:rsidRPr="00BD0844">
        <w:rPr>
          <w:lang w:val="en-AU"/>
        </w:rPr>
        <w:t>:</w:t>
      </w:r>
      <w:r w:rsidRPr="00BD0844">
        <w:rPr>
          <w:lang w:val="en-AU"/>
        </w:rPr>
        <w:tab/>
      </w:r>
      <w:r w:rsidR="00A36F8D" w:rsidRPr="00BD0844">
        <w:rPr>
          <w:lang w:val="en-AU"/>
        </w:rPr>
        <w:t xml:space="preserve">Move the current exemption for milk for retail sale from </w:t>
      </w:r>
      <w:r w:rsidR="00D9052E">
        <w:rPr>
          <w:lang w:val="en-AU"/>
        </w:rPr>
        <w:t>sub</w:t>
      </w:r>
      <w:r w:rsidR="00A36F8D" w:rsidRPr="00BD0844">
        <w:rPr>
          <w:lang w:val="en-AU"/>
        </w:rPr>
        <w:t>clause 2</w:t>
      </w:r>
      <w:r w:rsidR="00D9052E">
        <w:rPr>
          <w:lang w:val="en-AU"/>
        </w:rPr>
        <w:t>(3)</w:t>
      </w:r>
      <w:r w:rsidR="00A36F8D" w:rsidRPr="00BD0844">
        <w:rPr>
          <w:lang w:val="en-AU"/>
        </w:rPr>
        <w:t xml:space="preserve"> to the </w:t>
      </w:r>
      <w:r w:rsidR="00D9052E">
        <w:rPr>
          <w:lang w:val="en-AU"/>
        </w:rPr>
        <w:t>Schedule and add a reference to clause 2 to the heading of the Schedule</w:t>
      </w:r>
      <w:r w:rsidR="00A36F8D" w:rsidRPr="00BD0844">
        <w:rPr>
          <w:lang w:val="en-AU"/>
        </w:rPr>
        <w:t>.</w:t>
      </w:r>
      <w:r w:rsidRPr="00BD0844">
        <w:rPr>
          <w:lang w:val="en-AU"/>
        </w:rPr>
        <w:t xml:space="preserve"> </w:t>
      </w:r>
    </w:p>
    <w:p w:rsidR="00A56F9F" w:rsidRPr="00BD0844" w:rsidRDefault="00A56F9F" w:rsidP="00A56F9F"/>
    <w:p w:rsidR="00A56F9F" w:rsidRPr="00BD0844" w:rsidRDefault="00A56F9F" w:rsidP="00A56F9F">
      <w:pPr>
        <w:pStyle w:val="Heading3"/>
      </w:pPr>
      <w:bookmarkStart w:id="77" w:name="_Toc280003216"/>
      <w:bookmarkStart w:id="78" w:name="_Toc290973039"/>
      <w:r w:rsidRPr="00BD0844">
        <w:t>3.22</w:t>
      </w:r>
      <w:r w:rsidRPr="00BD0844">
        <w:tab/>
        <w:t>Standard 1.6.2 – Processing Requirements (Australia only)</w:t>
      </w:r>
      <w:bookmarkEnd w:id="77"/>
      <w:bookmarkEnd w:id="78"/>
    </w:p>
    <w:p w:rsidR="00A56F9F" w:rsidRPr="00BD0844" w:rsidRDefault="00A56F9F" w:rsidP="00A56F9F"/>
    <w:p w:rsidR="00A56F9F" w:rsidRPr="00BD0844" w:rsidRDefault="00A56F9F" w:rsidP="00A56F9F">
      <w:r w:rsidRPr="00BD0844">
        <w:rPr>
          <w:b/>
          <w:bCs/>
        </w:rPr>
        <w:t>Location</w:t>
      </w:r>
      <w:r w:rsidRPr="00BD0844">
        <w:t>:</w:t>
      </w:r>
      <w:r w:rsidRPr="00BD0844">
        <w:tab/>
        <w:t xml:space="preserve">Table of Provisions </w:t>
      </w:r>
    </w:p>
    <w:p w:rsidR="00A56F9F" w:rsidRPr="001E03F6" w:rsidRDefault="00A56F9F" w:rsidP="00A56F9F">
      <w:pPr>
        <w:ind w:left="1134" w:hanging="1134"/>
        <w:rPr>
          <w:bCs/>
        </w:rPr>
      </w:pPr>
      <w:r w:rsidRPr="00BD0844">
        <w:rPr>
          <w:b/>
          <w:bCs/>
        </w:rPr>
        <w:t>Issue 85</w:t>
      </w:r>
      <w:r w:rsidRPr="00BD0844">
        <w:t>:</w:t>
      </w:r>
      <w:r w:rsidRPr="00BD0844">
        <w:tab/>
        <w:t>The Table of Provisions n</w:t>
      </w:r>
      <w:r w:rsidRPr="00BD0844">
        <w:rPr>
          <w:bCs/>
        </w:rPr>
        <w:t>eeds to be amended as a result of deletions in Amendment No. 116</w:t>
      </w:r>
      <w:r w:rsidRPr="001E03F6">
        <w:rPr>
          <w:bCs/>
        </w:rPr>
        <w:t xml:space="preserve"> (to take effect on 20 May 2012).</w:t>
      </w:r>
    </w:p>
    <w:p w:rsidR="00A56F9F" w:rsidRPr="001E03F6" w:rsidRDefault="00A56F9F" w:rsidP="00A56F9F">
      <w:pPr>
        <w:rPr>
          <w:bCs/>
        </w:rPr>
      </w:pPr>
      <w:r w:rsidRPr="008E247D">
        <w:rPr>
          <w:b/>
          <w:bCs/>
        </w:rPr>
        <w:t>Solution</w:t>
      </w:r>
      <w:r w:rsidRPr="008E247D">
        <w:t>:</w:t>
      </w:r>
      <w:r w:rsidRPr="008E247D">
        <w:tab/>
        <w:t>Amend</w:t>
      </w:r>
      <w:r w:rsidRPr="008E247D">
        <w:rPr>
          <w:bCs/>
        </w:rPr>
        <w:t xml:space="preserve"> to reflect correct clause headings</w:t>
      </w:r>
      <w:r w:rsidR="00F86884">
        <w:rPr>
          <w:bCs/>
        </w:rPr>
        <w:t xml:space="preserve"> </w:t>
      </w:r>
    </w:p>
    <w:p w:rsidR="00A56F9F" w:rsidRPr="001E03F6" w:rsidRDefault="00A56F9F" w:rsidP="00A56F9F">
      <w:pPr>
        <w:rPr>
          <w:bCs/>
        </w:rPr>
      </w:pPr>
    </w:p>
    <w:p w:rsidR="00A56F9F" w:rsidRPr="001E03F6" w:rsidRDefault="00A56F9F" w:rsidP="00A56F9F">
      <w:pPr>
        <w:rPr>
          <w:bCs/>
        </w:rPr>
      </w:pPr>
      <w:r w:rsidRPr="001E03F6">
        <w:rPr>
          <w:b/>
          <w:bCs/>
        </w:rPr>
        <w:t>Location</w:t>
      </w:r>
      <w:r w:rsidRPr="001E03F6">
        <w:t>:</w:t>
      </w:r>
      <w:r w:rsidRPr="001E03F6">
        <w:tab/>
        <w:t>Clause 8</w:t>
      </w:r>
    </w:p>
    <w:p w:rsidR="00A56F9F" w:rsidRPr="00A36F8D" w:rsidRDefault="00A56F9F" w:rsidP="00A56F9F">
      <w:pPr>
        <w:ind w:left="1134" w:hanging="1134"/>
        <w:rPr>
          <w:lang w:val="en-AU"/>
        </w:rPr>
      </w:pPr>
      <w:r w:rsidRPr="001E03F6">
        <w:rPr>
          <w:b/>
          <w:bCs/>
          <w:lang w:val="en-AU"/>
        </w:rPr>
        <w:t>Issue 86</w:t>
      </w:r>
      <w:r w:rsidRPr="001E03F6">
        <w:rPr>
          <w:lang w:val="en-AU"/>
        </w:rPr>
        <w:t>:</w:t>
      </w:r>
      <w:r w:rsidRPr="001E03F6">
        <w:rPr>
          <w:lang w:val="en-AU"/>
        </w:rPr>
        <w:tab/>
      </w:r>
      <w:r w:rsidRPr="001E03F6">
        <w:t>It is not grammatically correct to refer to ‘</w:t>
      </w:r>
      <w:r w:rsidRPr="001E03F6">
        <w:rPr>
          <w:u w:val="single"/>
        </w:rPr>
        <w:t>A</w:t>
      </w:r>
      <w:r w:rsidRPr="001E03F6">
        <w:t xml:space="preserve"> fermented comminuted processed </w:t>
      </w:r>
      <w:r w:rsidRPr="00A36F8D">
        <w:t xml:space="preserve">meat’. </w:t>
      </w:r>
      <w:r w:rsidRPr="00A36F8D">
        <w:rPr>
          <w:i/>
        </w:rPr>
        <w:t>Meat</w:t>
      </w:r>
      <w:r w:rsidRPr="00A36F8D">
        <w:t xml:space="preserve"> is plural.</w:t>
      </w:r>
    </w:p>
    <w:p w:rsidR="00A56F9F" w:rsidRPr="00A36F8D" w:rsidRDefault="00A56F9F" w:rsidP="00A56F9F">
      <w:pPr>
        <w:rPr>
          <w:lang w:val="en-AU"/>
        </w:rPr>
      </w:pPr>
      <w:r w:rsidRPr="00A36F8D">
        <w:rPr>
          <w:b/>
          <w:bCs/>
          <w:lang w:val="en-AU"/>
        </w:rPr>
        <w:t>Solution</w:t>
      </w:r>
      <w:r w:rsidRPr="00A36F8D">
        <w:rPr>
          <w:lang w:val="en-AU"/>
        </w:rPr>
        <w:t>:</w:t>
      </w:r>
      <w:r w:rsidRPr="00A36F8D">
        <w:rPr>
          <w:lang w:val="en-AU"/>
        </w:rPr>
        <w:tab/>
        <w:t xml:space="preserve">Change to ‘Fermented comminuted processed meat’. </w:t>
      </w:r>
    </w:p>
    <w:p w:rsidR="00A56F9F" w:rsidRPr="00A36F8D" w:rsidRDefault="00A56F9F" w:rsidP="00A56F9F"/>
    <w:p w:rsidR="002932EE" w:rsidRDefault="002932EE">
      <w:pPr>
        <w:widowControl/>
        <w:rPr>
          <w:rFonts w:ascii="Arial Bold" w:hAnsi="Arial Bold" w:cs="Arial Unicode MS"/>
          <w:b/>
          <w:bCs/>
          <w:szCs w:val="26"/>
        </w:rPr>
      </w:pPr>
      <w:bookmarkStart w:id="79" w:name="_Toc280003217"/>
      <w:r>
        <w:br w:type="page"/>
      </w:r>
    </w:p>
    <w:p w:rsidR="00A56F9F" w:rsidRPr="00A36F8D" w:rsidRDefault="00A56F9F" w:rsidP="00A56F9F">
      <w:pPr>
        <w:pStyle w:val="Heading3"/>
      </w:pPr>
      <w:bookmarkStart w:id="80" w:name="_Toc290973040"/>
      <w:r w:rsidRPr="00A36F8D">
        <w:lastRenderedPageBreak/>
        <w:t>3.23</w:t>
      </w:r>
      <w:r w:rsidRPr="00A36F8D">
        <w:tab/>
        <w:t>Standard 2.2.1 – Meat and Meat Products</w:t>
      </w:r>
      <w:bookmarkEnd w:id="79"/>
      <w:bookmarkEnd w:id="80"/>
    </w:p>
    <w:p w:rsidR="00A56F9F" w:rsidRPr="00A36F8D" w:rsidRDefault="00A56F9F" w:rsidP="00A56F9F"/>
    <w:p w:rsidR="00A56F9F" w:rsidRPr="00A36F8D" w:rsidRDefault="00A56F9F" w:rsidP="00A56F9F">
      <w:r w:rsidRPr="00A36F8D">
        <w:rPr>
          <w:b/>
          <w:bCs/>
        </w:rPr>
        <w:t>Location</w:t>
      </w:r>
      <w:r w:rsidRPr="00A36F8D">
        <w:t>:</w:t>
      </w:r>
      <w:r w:rsidRPr="00A36F8D">
        <w:tab/>
        <w:t>Purpose</w:t>
      </w:r>
    </w:p>
    <w:p w:rsidR="00A56F9F" w:rsidRPr="00A36F8D" w:rsidRDefault="00A56F9F" w:rsidP="00A56F9F">
      <w:pPr>
        <w:ind w:left="1134" w:hanging="1134"/>
      </w:pPr>
      <w:r w:rsidRPr="00A36F8D">
        <w:rPr>
          <w:b/>
          <w:bCs/>
        </w:rPr>
        <w:t>Issue 87</w:t>
      </w:r>
      <w:r w:rsidRPr="00A36F8D">
        <w:t>:</w:t>
      </w:r>
      <w:r w:rsidRPr="00A36F8D">
        <w:tab/>
        <w:t>The Purpose includes information that is unnecessary and not relevant in a Purpose.</w:t>
      </w:r>
    </w:p>
    <w:p w:rsidR="00A56F9F" w:rsidRDefault="00A56F9F" w:rsidP="00F86884">
      <w:pPr>
        <w:ind w:left="1134" w:hanging="1134"/>
        <w:rPr>
          <w:bCs/>
          <w:lang w:val="en-AU"/>
        </w:rPr>
      </w:pPr>
      <w:r w:rsidRPr="00A36F8D">
        <w:rPr>
          <w:b/>
          <w:lang w:val="en-AU"/>
        </w:rPr>
        <w:t>Solution</w:t>
      </w:r>
      <w:r w:rsidR="0052781B">
        <w:rPr>
          <w:b/>
          <w:lang w:val="en-AU"/>
        </w:rPr>
        <w:t xml:space="preserve"> proposed in Assessment Report</w:t>
      </w:r>
      <w:r w:rsidRPr="00A36F8D">
        <w:rPr>
          <w:bCs/>
          <w:lang w:val="en-AU"/>
        </w:rPr>
        <w:t>:</w:t>
      </w:r>
      <w:r w:rsidR="0052781B">
        <w:rPr>
          <w:bCs/>
          <w:lang w:val="en-AU"/>
        </w:rPr>
        <w:t xml:space="preserve"> </w:t>
      </w:r>
      <w:r w:rsidRPr="00A36F8D">
        <w:rPr>
          <w:bCs/>
          <w:lang w:val="en-AU"/>
        </w:rPr>
        <w:t xml:space="preserve">Delete all of the Purpose except for the first sentence. </w:t>
      </w:r>
    </w:p>
    <w:p w:rsidR="0052781B" w:rsidRDefault="0052781B" w:rsidP="00F86884">
      <w:pPr>
        <w:ind w:left="1134" w:hanging="1134"/>
        <w:rPr>
          <w:lang w:val="en-AU"/>
        </w:rPr>
      </w:pPr>
      <w:r w:rsidRPr="007A79F3">
        <w:rPr>
          <w:b/>
          <w:lang w:val="en-AU"/>
        </w:rPr>
        <w:t>Submitter comment and FSANZ Response</w:t>
      </w:r>
      <w:r>
        <w:rPr>
          <w:lang w:val="en-AU"/>
        </w:rPr>
        <w:t xml:space="preserve">: Submitters expressed concern about the removal of cross references from the Code as these are useful from a regulatory perspective. It was suggested that cross references in the Code are considered under future work by the Code audit working group. </w:t>
      </w:r>
    </w:p>
    <w:p w:rsidR="0052781B" w:rsidRPr="0052781B" w:rsidRDefault="0052781B" w:rsidP="00F86884">
      <w:pPr>
        <w:ind w:left="1134" w:hanging="1134"/>
        <w:rPr>
          <w:bCs/>
          <w:lang w:val="en-AU"/>
        </w:rPr>
      </w:pPr>
      <w:r>
        <w:rPr>
          <w:b/>
          <w:lang w:val="en-AU"/>
        </w:rPr>
        <w:tab/>
      </w:r>
      <w:r w:rsidRPr="0052781B">
        <w:rPr>
          <w:lang w:val="en-AU"/>
        </w:rPr>
        <w:t xml:space="preserve">FSANZ agrees that cross references in the Code could be addressed under a future project in a more systematic manner. </w:t>
      </w:r>
      <w:r w:rsidR="00FB0049">
        <w:rPr>
          <w:lang w:val="en-AU"/>
        </w:rPr>
        <w:t xml:space="preserve">The proposed amendment has therefore not been made, however </w:t>
      </w:r>
      <w:r w:rsidR="00FB0049">
        <w:rPr>
          <w:bCs/>
          <w:lang w:val="en-AU"/>
        </w:rPr>
        <w:t xml:space="preserve">following the release of the Assessment Report, FSANZ has identified a grammatical error in the first sentence – this </w:t>
      </w:r>
      <w:r w:rsidR="00D835D5">
        <w:rPr>
          <w:bCs/>
          <w:lang w:val="en-AU"/>
        </w:rPr>
        <w:t xml:space="preserve">has been </w:t>
      </w:r>
      <w:r w:rsidR="00FB0049">
        <w:rPr>
          <w:bCs/>
          <w:lang w:val="en-AU"/>
        </w:rPr>
        <w:t xml:space="preserve">corrected. </w:t>
      </w:r>
      <w:r w:rsidR="00FB0049">
        <w:rPr>
          <w:lang w:val="en-AU"/>
        </w:rPr>
        <w:t xml:space="preserve"> </w:t>
      </w:r>
    </w:p>
    <w:p w:rsidR="00A56F9F" w:rsidRPr="00A36F8D" w:rsidRDefault="00A56F9F" w:rsidP="00A56F9F"/>
    <w:p w:rsidR="00A56F9F" w:rsidRPr="00CE7659" w:rsidRDefault="00A56F9F" w:rsidP="00A56F9F">
      <w:r w:rsidRPr="00A36F8D">
        <w:rPr>
          <w:b/>
          <w:bCs/>
        </w:rPr>
        <w:t>Location</w:t>
      </w:r>
      <w:r w:rsidRPr="00A36F8D">
        <w:t>:</w:t>
      </w:r>
      <w:r w:rsidRPr="00A36F8D">
        <w:tab/>
        <w:t>Clause</w:t>
      </w:r>
      <w:r w:rsidRPr="00CE7659">
        <w:t xml:space="preserve"> 4</w:t>
      </w:r>
    </w:p>
    <w:p w:rsidR="00A56F9F" w:rsidRPr="00CE7659" w:rsidRDefault="00A56F9F" w:rsidP="00A56F9F">
      <w:pPr>
        <w:rPr>
          <w:bCs/>
        </w:rPr>
      </w:pPr>
      <w:r w:rsidRPr="00CE7659">
        <w:rPr>
          <w:b/>
          <w:bCs/>
        </w:rPr>
        <w:t>Issue 88</w:t>
      </w:r>
      <w:r w:rsidRPr="00CE7659">
        <w:t>:</w:t>
      </w:r>
      <w:r w:rsidRPr="00CE7659">
        <w:tab/>
      </w:r>
      <w:r w:rsidRPr="00CE7659">
        <w:rPr>
          <w:bCs/>
        </w:rPr>
        <w:t>The wording of this clause is confusing.</w:t>
      </w:r>
    </w:p>
    <w:p w:rsidR="00C114B2" w:rsidRPr="0047763F" w:rsidRDefault="00C114B2" w:rsidP="00C114B2">
      <w:pPr>
        <w:rPr>
          <w:bCs/>
        </w:rPr>
      </w:pPr>
      <w:r w:rsidRPr="0047763F">
        <w:rPr>
          <w:b/>
        </w:rPr>
        <w:t>Solution:</w:t>
      </w:r>
      <w:r w:rsidRPr="0047763F">
        <w:rPr>
          <w:b/>
        </w:rPr>
        <w:tab/>
      </w:r>
      <w:r w:rsidRPr="0047763F">
        <w:rPr>
          <w:bCs/>
        </w:rPr>
        <w:t xml:space="preserve">Redraft to clarify the intent: </w:t>
      </w:r>
    </w:p>
    <w:p w:rsidR="00C114B2" w:rsidRPr="0047763F" w:rsidRDefault="00C114B2" w:rsidP="00C114B2">
      <w:pPr>
        <w:ind w:left="1134" w:hanging="1134"/>
        <w:rPr>
          <w:bCs/>
        </w:rPr>
      </w:pPr>
      <w:r w:rsidRPr="0047763F">
        <w:rPr>
          <w:b/>
          <w:bCs/>
        </w:rPr>
        <w:tab/>
      </w:r>
      <w:r w:rsidRPr="0047763F">
        <w:rPr>
          <w:bCs/>
        </w:rPr>
        <w:t xml:space="preserve">Presence of brain, heart, kidney, liver, tongue or tripe in a food must be declared either as offal or as the specific type of offal. </w:t>
      </w:r>
    </w:p>
    <w:p w:rsidR="00C114B2" w:rsidRPr="0047763F" w:rsidRDefault="00C114B2" w:rsidP="00C114B2">
      <w:pPr>
        <w:ind w:left="1134" w:hanging="1134"/>
      </w:pPr>
      <w:r w:rsidRPr="0047763F">
        <w:rPr>
          <w:bCs/>
        </w:rPr>
        <w:tab/>
        <w:t>This must be declared on the label on a package of food, or where the food is not required to bear a label, be declared to the purchaser</w:t>
      </w:r>
      <w:r w:rsidRPr="0047763F">
        <w:t xml:space="preserve">. </w:t>
      </w:r>
    </w:p>
    <w:p w:rsidR="00C114B2" w:rsidRPr="0047763F" w:rsidRDefault="00C114B2" w:rsidP="00C114B2">
      <w:pPr>
        <w:ind w:left="1134" w:hanging="1134"/>
      </w:pPr>
      <w:r w:rsidRPr="0047763F">
        <w:tab/>
        <w:t xml:space="preserve">For all other types of offal, the specific name of the offal must be declared on the label of a package of food, or, if the food is not required to bear a label, declared to the purchaser. </w:t>
      </w:r>
    </w:p>
    <w:p w:rsidR="00C114B2" w:rsidRPr="00A36F8D" w:rsidRDefault="00C114B2" w:rsidP="00A56F9F"/>
    <w:p w:rsidR="00A56F9F" w:rsidRPr="00A36F8D" w:rsidRDefault="00A56F9F" w:rsidP="00A56F9F">
      <w:pPr>
        <w:ind w:left="1134" w:hanging="1134"/>
      </w:pPr>
      <w:r w:rsidRPr="00A36F8D">
        <w:rPr>
          <w:b/>
          <w:bCs/>
        </w:rPr>
        <w:t>Location</w:t>
      </w:r>
      <w:r w:rsidRPr="00A36F8D">
        <w:t>:</w:t>
      </w:r>
      <w:r w:rsidRPr="00A36F8D">
        <w:tab/>
        <w:t xml:space="preserve">Clause 7 </w:t>
      </w:r>
    </w:p>
    <w:p w:rsidR="00A56F9F" w:rsidRPr="00A36F8D" w:rsidRDefault="00A56F9F" w:rsidP="00A56F9F">
      <w:pPr>
        <w:ind w:left="1134" w:hanging="1134"/>
      </w:pPr>
      <w:r w:rsidRPr="00A36F8D">
        <w:rPr>
          <w:b/>
          <w:bCs/>
        </w:rPr>
        <w:t>Issue 89</w:t>
      </w:r>
      <w:r w:rsidRPr="00A36F8D">
        <w:t>:</w:t>
      </w:r>
      <w:r w:rsidRPr="00A36F8D">
        <w:tab/>
        <w:t xml:space="preserve">Regulation of the use of colourings for branding meat is not appropriate in this Standard. </w:t>
      </w:r>
    </w:p>
    <w:p w:rsidR="00A56F9F" w:rsidRPr="00A36F8D" w:rsidRDefault="00BD0844" w:rsidP="00A56F9F">
      <w:pPr>
        <w:ind w:left="1134" w:hanging="1134"/>
      </w:pPr>
      <w:r w:rsidRPr="00CE7659">
        <w:rPr>
          <w:b/>
          <w:bCs/>
        </w:rPr>
        <w:t>Solution proposed in Assessment Report</w:t>
      </w:r>
      <w:r w:rsidR="00D322C3">
        <w:t xml:space="preserve">: </w:t>
      </w:r>
      <w:r w:rsidR="00A56F9F" w:rsidRPr="00A36F8D">
        <w:t xml:space="preserve">Relocate the permissions for colourings for branding the surface of meat to Standard 1.3.3 – Processing Aids, as the purpose of the colourings is to stamp carcasses for quality or inspection purposes – not to add colour to the final meat. As a consequence, remove the exemption from the requirement to declare the presence of the colour on the label (subclause 7(2)), as processing aids are already exempt from the requirement to be listed in the statement of ingredients under Standard 1.2.4. </w:t>
      </w:r>
    </w:p>
    <w:p w:rsidR="00BD0844" w:rsidRPr="00BD0844" w:rsidRDefault="00BD0844" w:rsidP="00BD0844">
      <w:pPr>
        <w:ind w:left="1134" w:hanging="1134"/>
        <w:rPr>
          <w:bCs/>
        </w:rPr>
      </w:pPr>
      <w:r w:rsidRPr="00C71F4D">
        <w:rPr>
          <w:rFonts w:cs="Arial"/>
          <w:b/>
          <w:bCs/>
          <w:szCs w:val="22"/>
        </w:rPr>
        <w:t xml:space="preserve">Submitter </w:t>
      </w:r>
      <w:r w:rsidRPr="00BD0844">
        <w:rPr>
          <w:rFonts w:cs="Arial"/>
          <w:b/>
          <w:bCs/>
          <w:szCs w:val="22"/>
        </w:rPr>
        <w:t>comments and FSANZ response:</w:t>
      </w:r>
      <w:r w:rsidRPr="00BD0844">
        <w:rPr>
          <w:rFonts w:cs="Arial"/>
          <w:szCs w:val="22"/>
        </w:rPr>
        <w:t xml:space="preserve"> One submitter argued that the function did not meet the definition of a processing aid as it may be performing a function in the final food.</w:t>
      </w:r>
    </w:p>
    <w:p w:rsidR="00BD0844" w:rsidRPr="00BD0844" w:rsidRDefault="00BD0844" w:rsidP="00BD0844">
      <w:pPr>
        <w:ind w:left="1134"/>
        <w:rPr>
          <w:rFonts w:cs="Arial"/>
          <w:szCs w:val="22"/>
        </w:rPr>
      </w:pPr>
      <w:r w:rsidRPr="00BD0844">
        <w:rPr>
          <w:rFonts w:cs="Arial"/>
          <w:bCs/>
          <w:szCs w:val="22"/>
        </w:rPr>
        <w:t xml:space="preserve">FSANZ is </w:t>
      </w:r>
      <w:r w:rsidR="0088493F">
        <w:rPr>
          <w:rFonts w:cs="Arial"/>
          <w:bCs/>
          <w:szCs w:val="22"/>
        </w:rPr>
        <w:t xml:space="preserve">still </w:t>
      </w:r>
      <w:r w:rsidRPr="00BD0844">
        <w:rPr>
          <w:rFonts w:cs="Arial"/>
          <w:bCs/>
          <w:szCs w:val="22"/>
        </w:rPr>
        <w:t xml:space="preserve">of the view that this use meets the definition of a processing aid </w:t>
      </w:r>
      <w:r w:rsidR="000A7096">
        <w:rPr>
          <w:rFonts w:cs="Arial"/>
          <w:bCs/>
          <w:szCs w:val="22"/>
        </w:rPr>
        <w:t xml:space="preserve">as its technological purpose is to assist processing, </w:t>
      </w:r>
      <w:r w:rsidRPr="00BD0844">
        <w:rPr>
          <w:rFonts w:cs="Arial"/>
          <w:bCs/>
          <w:szCs w:val="22"/>
        </w:rPr>
        <w:t xml:space="preserve">and </w:t>
      </w:r>
      <w:r w:rsidR="000C14DF">
        <w:rPr>
          <w:rFonts w:cs="Arial"/>
          <w:bCs/>
          <w:szCs w:val="22"/>
        </w:rPr>
        <w:t xml:space="preserve">has </w:t>
      </w:r>
      <w:r w:rsidRPr="00BD0844">
        <w:rPr>
          <w:rFonts w:cs="Arial"/>
          <w:bCs/>
          <w:szCs w:val="22"/>
        </w:rPr>
        <w:t xml:space="preserve">therefore </w:t>
      </w:r>
      <w:r w:rsidR="00396506">
        <w:rPr>
          <w:rFonts w:cs="Arial"/>
          <w:bCs/>
          <w:szCs w:val="22"/>
        </w:rPr>
        <w:t>proceed</w:t>
      </w:r>
      <w:r w:rsidR="000C14DF">
        <w:rPr>
          <w:rFonts w:cs="Arial"/>
          <w:bCs/>
          <w:szCs w:val="22"/>
        </w:rPr>
        <w:t>ed</w:t>
      </w:r>
      <w:r w:rsidR="00396506">
        <w:rPr>
          <w:rFonts w:cs="Arial"/>
          <w:bCs/>
          <w:szCs w:val="22"/>
        </w:rPr>
        <w:t xml:space="preserve"> with</w:t>
      </w:r>
      <w:r w:rsidRPr="00BD0844">
        <w:rPr>
          <w:rFonts w:cs="Arial"/>
          <w:bCs/>
          <w:szCs w:val="22"/>
        </w:rPr>
        <w:t xml:space="preserve"> the solution proposed in the Assessment Report.</w:t>
      </w:r>
    </w:p>
    <w:p w:rsidR="00A56F9F" w:rsidRPr="00A36F8D" w:rsidRDefault="00A56F9F" w:rsidP="00A56F9F">
      <w:pPr>
        <w:rPr>
          <w:b/>
          <w:bCs/>
        </w:rPr>
      </w:pPr>
    </w:p>
    <w:p w:rsidR="00A56F9F" w:rsidRPr="001E03F6" w:rsidRDefault="00A56F9F" w:rsidP="00A56F9F">
      <w:r w:rsidRPr="00A36F8D">
        <w:rPr>
          <w:b/>
          <w:bCs/>
        </w:rPr>
        <w:t>Location</w:t>
      </w:r>
      <w:r w:rsidRPr="00A36F8D">
        <w:t>:</w:t>
      </w:r>
      <w:r w:rsidRPr="00A36F8D">
        <w:tab/>
        <w:t>Subclause 9(</w:t>
      </w:r>
      <w:r w:rsidRPr="001E03F6">
        <w:t>3)</w:t>
      </w:r>
    </w:p>
    <w:p w:rsidR="00A56F9F" w:rsidRPr="001E03F6" w:rsidRDefault="00A56F9F" w:rsidP="00A56F9F">
      <w:pPr>
        <w:ind w:left="1134" w:hanging="1134"/>
        <w:rPr>
          <w:bCs/>
        </w:rPr>
      </w:pPr>
      <w:r w:rsidRPr="001E03F6">
        <w:rPr>
          <w:b/>
          <w:bCs/>
        </w:rPr>
        <w:t>Issue 90</w:t>
      </w:r>
      <w:r w:rsidRPr="001E03F6">
        <w:t>:</w:t>
      </w:r>
      <w:r w:rsidRPr="001E03F6">
        <w:tab/>
      </w:r>
      <w:r w:rsidRPr="001E03F6">
        <w:rPr>
          <w:bCs/>
        </w:rPr>
        <w:t xml:space="preserve">The clause refers to ‘fermented comminuted processed meat’ when it should refer to ‘fermented comminuted manufactured meat’. </w:t>
      </w:r>
    </w:p>
    <w:p w:rsidR="00A56F9F" w:rsidRPr="001E03F6" w:rsidRDefault="00A56F9F" w:rsidP="00A56F9F">
      <w:pPr>
        <w:widowControl/>
      </w:pPr>
      <w:r w:rsidRPr="001E03F6">
        <w:rPr>
          <w:b/>
          <w:bCs/>
        </w:rPr>
        <w:t>Solution</w:t>
      </w:r>
      <w:r w:rsidRPr="001E03F6">
        <w:t>:</w:t>
      </w:r>
      <w:r w:rsidRPr="001E03F6">
        <w:tab/>
        <w:t xml:space="preserve">Replace the word ‘processed’ with ‘manufactured’. </w:t>
      </w:r>
    </w:p>
    <w:p w:rsidR="001E03F6" w:rsidRPr="001E03F6" w:rsidRDefault="001E03F6" w:rsidP="00A56F9F">
      <w:pPr>
        <w:widowControl/>
      </w:pPr>
    </w:p>
    <w:p w:rsidR="00A56F9F" w:rsidRPr="001E03F6" w:rsidRDefault="00A56F9F" w:rsidP="00A56F9F">
      <w:pPr>
        <w:rPr>
          <w:bCs/>
        </w:rPr>
      </w:pPr>
      <w:r w:rsidRPr="001E03F6">
        <w:rPr>
          <w:b/>
          <w:bCs/>
        </w:rPr>
        <w:t>Location</w:t>
      </w:r>
      <w:r w:rsidRPr="001E03F6">
        <w:t>:</w:t>
      </w:r>
      <w:r w:rsidRPr="001E03F6">
        <w:tab/>
        <w:t>Clause 10</w:t>
      </w:r>
    </w:p>
    <w:p w:rsidR="00A56F9F" w:rsidRPr="001E03F6" w:rsidRDefault="00A56F9F" w:rsidP="00A56F9F">
      <w:pPr>
        <w:ind w:left="1134" w:hanging="1134"/>
        <w:rPr>
          <w:lang w:val="en-AU"/>
        </w:rPr>
      </w:pPr>
      <w:r w:rsidRPr="001E03F6">
        <w:rPr>
          <w:b/>
          <w:bCs/>
          <w:lang w:val="en-AU"/>
        </w:rPr>
        <w:t>Issue 91</w:t>
      </w:r>
      <w:r w:rsidRPr="001E03F6">
        <w:rPr>
          <w:lang w:val="en-AU"/>
        </w:rPr>
        <w:t>:</w:t>
      </w:r>
      <w:r w:rsidRPr="001E03F6">
        <w:rPr>
          <w:lang w:val="en-AU"/>
        </w:rPr>
        <w:tab/>
      </w:r>
      <w:r w:rsidRPr="001E03F6">
        <w:t>It is not grammatically correct to refer to ‘</w:t>
      </w:r>
      <w:r w:rsidRPr="001E03F6">
        <w:rPr>
          <w:u w:val="single"/>
        </w:rPr>
        <w:t>A</w:t>
      </w:r>
      <w:r w:rsidRPr="001E03F6">
        <w:t xml:space="preserve"> fermented comminuted processed meat’. </w:t>
      </w:r>
      <w:r w:rsidRPr="001E03F6">
        <w:rPr>
          <w:i/>
        </w:rPr>
        <w:t>Meat</w:t>
      </w:r>
      <w:r w:rsidRPr="001E03F6">
        <w:t xml:space="preserve"> is plural.</w:t>
      </w:r>
    </w:p>
    <w:p w:rsidR="00A56F9F" w:rsidRPr="005050FF" w:rsidRDefault="00A56F9F" w:rsidP="00A56F9F">
      <w:pPr>
        <w:rPr>
          <w:lang w:val="en-AU"/>
        </w:rPr>
      </w:pPr>
      <w:r w:rsidRPr="001E03F6">
        <w:rPr>
          <w:b/>
          <w:bCs/>
          <w:lang w:val="en-AU"/>
        </w:rPr>
        <w:t>Solution</w:t>
      </w:r>
      <w:r w:rsidRPr="001E03F6">
        <w:rPr>
          <w:lang w:val="en-AU"/>
        </w:rPr>
        <w:t>:</w:t>
      </w:r>
      <w:r w:rsidRPr="001E03F6">
        <w:rPr>
          <w:lang w:val="en-AU"/>
        </w:rPr>
        <w:tab/>
      </w:r>
      <w:r w:rsidRPr="005050FF">
        <w:rPr>
          <w:lang w:val="en-AU"/>
        </w:rPr>
        <w:t xml:space="preserve">Change to ‘Fermented comminuted processed meat’. </w:t>
      </w:r>
    </w:p>
    <w:p w:rsidR="00742C40" w:rsidRDefault="00742C40" w:rsidP="00A56F9F">
      <w:r>
        <w:br w:type="page"/>
      </w:r>
    </w:p>
    <w:p w:rsidR="00A56F9F" w:rsidRPr="005050FF" w:rsidRDefault="00A56F9F" w:rsidP="00A56F9F">
      <w:pPr>
        <w:ind w:left="1134" w:hanging="1134"/>
      </w:pPr>
      <w:r w:rsidRPr="005050FF">
        <w:rPr>
          <w:b/>
          <w:bCs/>
        </w:rPr>
        <w:lastRenderedPageBreak/>
        <w:t>Location</w:t>
      </w:r>
      <w:r w:rsidRPr="005050FF">
        <w:t>:</w:t>
      </w:r>
      <w:r w:rsidRPr="005050FF">
        <w:tab/>
        <w:t xml:space="preserve">Paragraph 11(3)(b) </w:t>
      </w:r>
    </w:p>
    <w:p w:rsidR="00A56F9F" w:rsidRPr="005050FF" w:rsidRDefault="00A56F9F" w:rsidP="00A56F9F">
      <w:pPr>
        <w:ind w:left="1134" w:hanging="1134"/>
        <w:rPr>
          <w:rFonts w:cs="Arial"/>
          <w:szCs w:val="22"/>
        </w:rPr>
      </w:pPr>
      <w:r w:rsidRPr="005050FF">
        <w:rPr>
          <w:b/>
          <w:bCs/>
        </w:rPr>
        <w:t>Issue 92</w:t>
      </w:r>
      <w:r w:rsidRPr="005050FF">
        <w:t>:</w:t>
      </w:r>
      <w:r w:rsidRPr="005050FF">
        <w:tab/>
        <w:t xml:space="preserve">The paragraph refers to bovine fat ‘and/or’ bovine tallow. </w:t>
      </w:r>
      <w:r w:rsidRPr="005050FF">
        <w:rPr>
          <w:rFonts w:cs="Arial"/>
          <w:szCs w:val="22"/>
        </w:rPr>
        <w:t xml:space="preserve">OLDP recommendation to </w:t>
      </w:r>
      <w:r w:rsidRPr="005050FF">
        <w:rPr>
          <w:rFonts w:cs="Arial"/>
          <w:szCs w:val="22"/>
          <w:lang w:val="en-AU"/>
        </w:rPr>
        <w:t xml:space="preserve">clarify meaning of </w:t>
      </w:r>
      <w:r w:rsidRPr="005050FF">
        <w:rPr>
          <w:rFonts w:cs="Arial"/>
          <w:szCs w:val="22"/>
        </w:rPr>
        <w:t>‘and/or’</w:t>
      </w:r>
    </w:p>
    <w:p w:rsidR="00A56F9F" w:rsidRPr="005050FF" w:rsidRDefault="00A56F9F" w:rsidP="00A56F9F">
      <w:pPr>
        <w:ind w:left="1134" w:hanging="1134"/>
      </w:pPr>
      <w:r w:rsidRPr="00F86884">
        <w:rPr>
          <w:rFonts w:cs="Arial"/>
          <w:b/>
          <w:bCs/>
          <w:szCs w:val="22"/>
        </w:rPr>
        <w:t>Solution</w:t>
      </w:r>
      <w:r w:rsidRPr="00F86884">
        <w:rPr>
          <w:rFonts w:cs="Arial"/>
          <w:b/>
          <w:szCs w:val="22"/>
        </w:rPr>
        <w:t>:</w:t>
      </w:r>
      <w:r w:rsidRPr="005050FF">
        <w:rPr>
          <w:rFonts w:cs="Arial"/>
          <w:szCs w:val="22"/>
        </w:rPr>
        <w:tab/>
      </w:r>
      <w:r w:rsidRPr="005050FF">
        <w:t xml:space="preserve">Replace ‘and/or’ with ‘or’. </w:t>
      </w:r>
    </w:p>
    <w:p w:rsidR="002932EE" w:rsidRDefault="002932EE">
      <w:pPr>
        <w:widowControl/>
        <w:rPr>
          <w:rFonts w:ascii="Arial Bold" w:hAnsi="Arial Bold" w:cs="Arial Unicode MS"/>
          <w:b/>
          <w:bCs/>
          <w:szCs w:val="26"/>
        </w:rPr>
      </w:pPr>
      <w:bookmarkStart w:id="81" w:name="_Toc280003218"/>
    </w:p>
    <w:p w:rsidR="00A56F9F" w:rsidRPr="00A36F8D" w:rsidRDefault="00A56F9F" w:rsidP="00A56F9F">
      <w:pPr>
        <w:pStyle w:val="Heading3"/>
      </w:pPr>
      <w:bookmarkStart w:id="82" w:name="_Toc290973041"/>
      <w:r w:rsidRPr="005050FF">
        <w:t>3.24</w:t>
      </w:r>
      <w:r w:rsidRPr="005050FF">
        <w:tab/>
        <w:t>Standard 2.</w:t>
      </w:r>
      <w:r w:rsidRPr="00A36F8D">
        <w:t>2.2 – Egg and Egg Products</w:t>
      </w:r>
      <w:bookmarkEnd w:id="81"/>
      <w:bookmarkEnd w:id="82"/>
    </w:p>
    <w:p w:rsidR="00A56F9F" w:rsidRPr="00A36F8D" w:rsidRDefault="00A56F9F" w:rsidP="00A56F9F">
      <w:pPr>
        <w:rPr>
          <w:b/>
          <w:bCs/>
        </w:rPr>
      </w:pPr>
    </w:p>
    <w:p w:rsidR="00A56F9F" w:rsidRPr="00A36F8D" w:rsidRDefault="00A56F9F" w:rsidP="00A56F9F">
      <w:r w:rsidRPr="00A36F8D">
        <w:rPr>
          <w:b/>
          <w:bCs/>
        </w:rPr>
        <w:t>Location</w:t>
      </w:r>
      <w:r w:rsidRPr="00A36F8D">
        <w:t>:</w:t>
      </w:r>
      <w:r w:rsidRPr="00A36F8D">
        <w:tab/>
        <w:t>Purpose</w:t>
      </w:r>
    </w:p>
    <w:p w:rsidR="00A56F9F" w:rsidRPr="00BD0844" w:rsidRDefault="00A56F9F" w:rsidP="00A56F9F">
      <w:pPr>
        <w:ind w:left="1134" w:hanging="1134"/>
      </w:pPr>
      <w:r w:rsidRPr="00A36F8D">
        <w:rPr>
          <w:b/>
        </w:rPr>
        <w:t>Issue 93:</w:t>
      </w:r>
      <w:r w:rsidRPr="00A36F8D">
        <w:tab/>
        <w:t xml:space="preserve">The Purpose includes information that is unnecessary and not relevant in a </w:t>
      </w:r>
      <w:r w:rsidRPr="00BD0844">
        <w:t>Purpose.</w:t>
      </w:r>
    </w:p>
    <w:p w:rsidR="00A56F9F" w:rsidRDefault="00A56F9F" w:rsidP="00A56F9F">
      <w:pPr>
        <w:rPr>
          <w:bCs/>
          <w:lang w:val="en-AU"/>
        </w:rPr>
      </w:pPr>
      <w:r w:rsidRPr="00BD0844">
        <w:rPr>
          <w:b/>
          <w:lang w:val="en-AU"/>
        </w:rPr>
        <w:t>Solution</w:t>
      </w:r>
      <w:r w:rsidR="00FB0049">
        <w:rPr>
          <w:b/>
          <w:lang w:val="en-AU"/>
        </w:rPr>
        <w:t xml:space="preserve"> proposed in Assessment Report</w:t>
      </w:r>
      <w:r w:rsidRPr="00BD0844">
        <w:rPr>
          <w:bCs/>
          <w:lang w:val="en-AU"/>
        </w:rPr>
        <w:t>:</w:t>
      </w:r>
      <w:r w:rsidR="00FB0049">
        <w:rPr>
          <w:bCs/>
          <w:lang w:val="en-AU"/>
        </w:rPr>
        <w:t xml:space="preserve"> </w:t>
      </w:r>
      <w:r w:rsidRPr="00BD0844">
        <w:rPr>
          <w:bCs/>
          <w:lang w:val="en-AU"/>
        </w:rPr>
        <w:t xml:space="preserve">Delete the second sentence of the Purpose. </w:t>
      </w:r>
    </w:p>
    <w:p w:rsidR="00FB0049" w:rsidRDefault="00FB0049" w:rsidP="00FB0049">
      <w:pPr>
        <w:ind w:left="1134" w:hanging="1134"/>
        <w:rPr>
          <w:lang w:val="en-AU"/>
        </w:rPr>
      </w:pPr>
      <w:r w:rsidRPr="007A79F3">
        <w:rPr>
          <w:b/>
          <w:lang w:val="en-AU"/>
        </w:rPr>
        <w:t>Submitter comment and FSANZ Response</w:t>
      </w:r>
      <w:r>
        <w:rPr>
          <w:lang w:val="en-AU"/>
        </w:rPr>
        <w:t xml:space="preserve">: Submitters expressed concern about the removal of cross references from the Code as these are useful from a regulatory perspective. It was suggested that cross references in the Code are considered under future work by the Code audit working group. </w:t>
      </w:r>
    </w:p>
    <w:p w:rsidR="00FB0049" w:rsidRPr="00BD0844" w:rsidRDefault="00FB0049" w:rsidP="00FB0049">
      <w:pPr>
        <w:ind w:left="1134"/>
        <w:rPr>
          <w:bCs/>
          <w:lang w:val="en-AU"/>
        </w:rPr>
      </w:pPr>
      <w:r w:rsidRPr="0052781B">
        <w:rPr>
          <w:lang w:val="en-AU"/>
        </w:rPr>
        <w:t xml:space="preserve">FSANZ agrees that cross references in the Code could be addressed under a future project in a more systematic manner. </w:t>
      </w:r>
      <w:r>
        <w:rPr>
          <w:lang w:val="en-AU"/>
        </w:rPr>
        <w:t xml:space="preserve">The proposed amendment has therefore not been made. </w:t>
      </w:r>
    </w:p>
    <w:p w:rsidR="00A56F9F" w:rsidRPr="00BD0844" w:rsidRDefault="00A56F9F" w:rsidP="00A56F9F">
      <w:pPr>
        <w:pStyle w:val="Heading3"/>
      </w:pPr>
    </w:p>
    <w:p w:rsidR="00A56F9F" w:rsidRPr="00BD0844" w:rsidRDefault="00A56F9F" w:rsidP="00A56F9F">
      <w:pPr>
        <w:pStyle w:val="Heading3"/>
      </w:pPr>
      <w:bookmarkStart w:id="83" w:name="_Toc280003219"/>
      <w:bookmarkStart w:id="84" w:name="_Toc290973042"/>
      <w:r w:rsidRPr="00BD0844">
        <w:t>3.25</w:t>
      </w:r>
      <w:r w:rsidRPr="00BD0844">
        <w:tab/>
        <w:t>Standard 2.2.3 – Fish and Fish Products</w:t>
      </w:r>
      <w:bookmarkEnd w:id="83"/>
      <w:bookmarkEnd w:id="84"/>
    </w:p>
    <w:p w:rsidR="00A56F9F" w:rsidRPr="00BD0844" w:rsidRDefault="00A56F9F" w:rsidP="00A56F9F">
      <w:pPr>
        <w:rPr>
          <w:b/>
          <w:bCs/>
        </w:rPr>
      </w:pPr>
    </w:p>
    <w:p w:rsidR="00A56F9F" w:rsidRPr="00BD0844" w:rsidRDefault="00A56F9F" w:rsidP="00A56F9F">
      <w:r w:rsidRPr="00BD0844">
        <w:rPr>
          <w:b/>
          <w:bCs/>
        </w:rPr>
        <w:t>Location</w:t>
      </w:r>
      <w:r w:rsidRPr="00BD0844">
        <w:t>:</w:t>
      </w:r>
      <w:r w:rsidRPr="00BD0844">
        <w:tab/>
        <w:t>Purpose and clause 2</w:t>
      </w:r>
    </w:p>
    <w:p w:rsidR="00A56F9F" w:rsidRPr="00BD0844" w:rsidRDefault="00A56F9F" w:rsidP="00A56F9F">
      <w:pPr>
        <w:ind w:left="1134" w:hanging="1134"/>
      </w:pPr>
      <w:r w:rsidRPr="00BD0844">
        <w:rPr>
          <w:b/>
          <w:bCs/>
        </w:rPr>
        <w:t>Issue 94</w:t>
      </w:r>
      <w:r w:rsidRPr="00BD0844">
        <w:t>:</w:t>
      </w:r>
      <w:r w:rsidRPr="00BD0844">
        <w:tab/>
      </w:r>
      <w:r w:rsidRPr="00BD0844">
        <w:rPr>
          <w:bCs/>
        </w:rPr>
        <w:t>This Standard includes a limit for histamine in fish and fish products. This is not a compositional issue, but is a natural toxin in some fish.</w:t>
      </w:r>
    </w:p>
    <w:p w:rsidR="00A56F9F" w:rsidRPr="00BD0844" w:rsidRDefault="00BD0844" w:rsidP="00A56F9F">
      <w:pPr>
        <w:ind w:left="1134" w:hanging="1134"/>
      </w:pPr>
      <w:r w:rsidRPr="00BD0844">
        <w:rPr>
          <w:b/>
          <w:bCs/>
        </w:rPr>
        <w:t>Solution proposed in Assessment Report</w:t>
      </w:r>
      <w:r w:rsidR="00A56F9F" w:rsidRPr="00BD0844">
        <w:t>:</w:t>
      </w:r>
      <w:r w:rsidR="00A56F9F" w:rsidRPr="00BD0844">
        <w:tab/>
        <w:t>Delete clause 2 and include the limit in the Table to clause 5 of Standard 1.4.1 – Contaminants and Natural Toxicants.</w:t>
      </w:r>
      <w:r w:rsidR="00A56F9F" w:rsidRPr="00BD0844">
        <w:br/>
        <w:t>Amend the Purpose to remove the reference to histamine.</w:t>
      </w:r>
    </w:p>
    <w:p w:rsidR="00BD0844" w:rsidRPr="00BD0844" w:rsidRDefault="00BD0844" w:rsidP="00BD0844">
      <w:pPr>
        <w:ind w:left="1134" w:hanging="1134"/>
        <w:rPr>
          <w:bCs/>
        </w:rPr>
      </w:pPr>
      <w:r w:rsidRPr="00BD0844">
        <w:rPr>
          <w:rFonts w:cs="Arial"/>
          <w:b/>
          <w:bCs/>
          <w:szCs w:val="22"/>
        </w:rPr>
        <w:t>Submitter comments and FSANZ response:</w:t>
      </w:r>
      <w:r w:rsidRPr="00BD0844">
        <w:rPr>
          <w:rFonts w:cs="Arial"/>
          <w:szCs w:val="22"/>
        </w:rPr>
        <w:t xml:space="preserve"> One submitter argued that histamine did not meet the definition of a natural toxin, and the requirement would be better left in Standard</w:t>
      </w:r>
      <w:r>
        <w:rPr>
          <w:rFonts w:cs="Arial"/>
          <w:szCs w:val="22"/>
        </w:rPr>
        <w:t xml:space="preserve"> 2.2.3</w:t>
      </w:r>
      <w:r w:rsidRPr="00BD0844">
        <w:rPr>
          <w:rFonts w:cs="Arial"/>
          <w:szCs w:val="22"/>
        </w:rPr>
        <w:t>.</w:t>
      </w:r>
    </w:p>
    <w:p w:rsidR="00BD0844" w:rsidRPr="006C6618" w:rsidRDefault="00BD0844" w:rsidP="00BD0844">
      <w:pPr>
        <w:ind w:left="1134"/>
        <w:rPr>
          <w:rFonts w:cs="Arial"/>
          <w:bCs/>
          <w:szCs w:val="22"/>
        </w:rPr>
      </w:pPr>
      <w:r w:rsidRPr="00BD0844">
        <w:rPr>
          <w:rFonts w:cs="Arial"/>
          <w:bCs/>
          <w:szCs w:val="22"/>
        </w:rPr>
        <w:t xml:space="preserve">FSANZ still is of the view that </w:t>
      </w:r>
      <w:r>
        <w:rPr>
          <w:rFonts w:cs="Arial"/>
          <w:bCs/>
          <w:szCs w:val="22"/>
        </w:rPr>
        <w:t xml:space="preserve">histamine in fish is a natural toxin, and should be listed in the same </w:t>
      </w:r>
      <w:r w:rsidRPr="006C6618">
        <w:rPr>
          <w:rFonts w:cs="Arial"/>
          <w:bCs/>
          <w:szCs w:val="22"/>
        </w:rPr>
        <w:t>way as some other toxins in Standard 1.4.1.</w:t>
      </w:r>
    </w:p>
    <w:p w:rsidR="00BD0844" w:rsidRPr="00203162" w:rsidRDefault="00BD0844" w:rsidP="00BD0844">
      <w:pPr>
        <w:ind w:left="1134"/>
        <w:rPr>
          <w:rFonts w:cs="Arial"/>
          <w:szCs w:val="22"/>
        </w:rPr>
      </w:pPr>
      <w:r w:rsidRPr="006C6618">
        <w:rPr>
          <w:rFonts w:cs="Arial"/>
          <w:bCs/>
          <w:szCs w:val="22"/>
        </w:rPr>
        <w:t xml:space="preserve">However, for information, a reference will be placed in </w:t>
      </w:r>
      <w:r w:rsidR="0088493F">
        <w:rPr>
          <w:rFonts w:cs="Arial"/>
          <w:bCs/>
          <w:szCs w:val="22"/>
        </w:rPr>
        <w:t xml:space="preserve">an Editorial note in </w:t>
      </w:r>
      <w:r w:rsidRPr="006C6618">
        <w:rPr>
          <w:rFonts w:cs="Arial"/>
          <w:bCs/>
          <w:szCs w:val="22"/>
        </w:rPr>
        <w:t>Standard 2.2.3 so that it is clear that the requirement remains.</w:t>
      </w:r>
    </w:p>
    <w:p w:rsidR="00A56F9F" w:rsidRPr="00203162" w:rsidRDefault="00A56F9F" w:rsidP="00A56F9F"/>
    <w:p w:rsidR="00A56F9F" w:rsidRPr="00203162" w:rsidRDefault="00A56F9F" w:rsidP="00A56F9F">
      <w:pPr>
        <w:pStyle w:val="Heading3"/>
      </w:pPr>
      <w:bookmarkStart w:id="85" w:name="_Toc280003220"/>
      <w:bookmarkStart w:id="86" w:name="_Toc290973043"/>
      <w:r w:rsidRPr="00203162">
        <w:t>3.26</w:t>
      </w:r>
      <w:r w:rsidRPr="00203162">
        <w:tab/>
        <w:t>Standard 2.3.1 – Fruit and Vegetables</w:t>
      </w:r>
      <w:bookmarkEnd w:id="85"/>
      <w:bookmarkEnd w:id="86"/>
    </w:p>
    <w:p w:rsidR="00A56F9F" w:rsidRPr="00203162" w:rsidRDefault="00A56F9F" w:rsidP="00A56F9F"/>
    <w:p w:rsidR="00A56F9F" w:rsidRPr="00203162" w:rsidRDefault="00A56F9F" w:rsidP="00A56F9F">
      <w:pPr>
        <w:rPr>
          <w:bCs/>
        </w:rPr>
      </w:pPr>
      <w:r w:rsidRPr="00203162">
        <w:rPr>
          <w:b/>
          <w:bCs/>
        </w:rPr>
        <w:t>Location</w:t>
      </w:r>
      <w:r w:rsidRPr="00203162">
        <w:t>:</w:t>
      </w:r>
      <w:r w:rsidRPr="00203162">
        <w:tab/>
        <w:t>Defined term ‘peeled and/or cut fruit and vegetables’, clause 1</w:t>
      </w:r>
    </w:p>
    <w:p w:rsidR="00A56F9F" w:rsidRPr="00203162" w:rsidRDefault="00A56F9F" w:rsidP="00A56F9F">
      <w:pPr>
        <w:ind w:left="1134" w:hanging="1134"/>
        <w:rPr>
          <w:rFonts w:cs="Arial"/>
          <w:szCs w:val="22"/>
        </w:rPr>
      </w:pPr>
      <w:r w:rsidRPr="00203162">
        <w:rPr>
          <w:b/>
          <w:bCs/>
          <w:lang w:val="en-AU"/>
        </w:rPr>
        <w:t>Issue 95</w:t>
      </w:r>
      <w:r w:rsidRPr="00203162">
        <w:rPr>
          <w:lang w:val="en-AU"/>
        </w:rPr>
        <w:t>:</w:t>
      </w:r>
      <w:r w:rsidRPr="00203162">
        <w:rPr>
          <w:lang w:val="en-AU"/>
        </w:rPr>
        <w:tab/>
      </w:r>
      <w:r w:rsidRPr="00203162">
        <w:rPr>
          <w:rFonts w:cs="Arial"/>
          <w:szCs w:val="22"/>
        </w:rPr>
        <w:t xml:space="preserve">OLDP recommendation to </w:t>
      </w:r>
      <w:r w:rsidRPr="00203162">
        <w:rPr>
          <w:rFonts w:cs="Arial"/>
          <w:szCs w:val="22"/>
          <w:lang w:val="en-AU"/>
        </w:rPr>
        <w:t xml:space="preserve">clarify meaning of </w:t>
      </w:r>
      <w:r w:rsidRPr="00203162">
        <w:rPr>
          <w:rFonts w:cs="Arial"/>
          <w:szCs w:val="22"/>
        </w:rPr>
        <w:t>‘and/or’</w:t>
      </w:r>
    </w:p>
    <w:p w:rsidR="00A56F9F" w:rsidRPr="00203162" w:rsidRDefault="00A56F9F" w:rsidP="00A56F9F">
      <w:pPr>
        <w:ind w:left="1134" w:hanging="1134"/>
        <w:rPr>
          <w:lang w:val="en-AU"/>
        </w:rPr>
      </w:pPr>
      <w:r w:rsidRPr="00203162">
        <w:rPr>
          <w:b/>
          <w:bCs/>
          <w:lang w:val="en-AU"/>
        </w:rPr>
        <w:t>Solution</w:t>
      </w:r>
      <w:r w:rsidRPr="00203162">
        <w:rPr>
          <w:lang w:val="en-AU"/>
        </w:rPr>
        <w:t>:</w:t>
      </w:r>
      <w:r w:rsidRPr="00203162">
        <w:rPr>
          <w:lang w:val="en-AU"/>
        </w:rPr>
        <w:tab/>
        <w:t>As the terms ‘peeled’ and ‘cut’ have the common meaning, there is no need for this definition in the Code.</w:t>
      </w:r>
    </w:p>
    <w:p w:rsidR="00A56F9F" w:rsidRPr="00203162" w:rsidRDefault="00A56F9F" w:rsidP="00A56F9F"/>
    <w:p w:rsidR="00A56F9F" w:rsidRPr="00203162" w:rsidRDefault="00A56F9F" w:rsidP="00A56F9F">
      <w:pPr>
        <w:pStyle w:val="Heading3"/>
      </w:pPr>
      <w:bookmarkStart w:id="87" w:name="_Toc280003221"/>
      <w:bookmarkStart w:id="88" w:name="_Toc290973044"/>
      <w:r w:rsidRPr="00203162">
        <w:t>3.27</w:t>
      </w:r>
      <w:r w:rsidRPr="00203162">
        <w:tab/>
        <w:t>Standard 2.4.1 – Edible Oils</w:t>
      </w:r>
      <w:bookmarkEnd w:id="87"/>
      <w:bookmarkEnd w:id="88"/>
    </w:p>
    <w:p w:rsidR="00A56F9F" w:rsidRPr="00203162" w:rsidRDefault="00A56F9F" w:rsidP="00A56F9F"/>
    <w:p w:rsidR="00A56F9F" w:rsidRPr="00203162" w:rsidRDefault="00A56F9F" w:rsidP="00A56F9F">
      <w:pPr>
        <w:rPr>
          <w:bCs/>
        </w:rPr>
      </w:pPr>
      <w:r w:rsidRPr="00203162">
        <w:rPr>
          <w:b/>
          <w:bCs/>
        </w:rPr>
        <w:t>Location</w:t>
      </w:r>
      <w:r w:rsidRPr="00203162">
        <w:t>:</w:t>
      </w:r>
      <w:r w:rsidRPr="00203162">
        <w:tab/>
        <w:t>Definition of ‘edible oils’, clause 1</w:t>
      </w:r>
    </w:p>
    <w:p w:rsidR="00A56F9F" w:rsidRPr="00203162" w:rsidRDefault="00A56F9F" w:rsidP="00A56F9F">
      <w:pPr>
        <w:ind w:left="1134" w:hanging="1134"/>
        <w:rPr>
          <w:rFonts w:cs="Arial"/>
          <w:szCs w:val="22"/>
        </w:rPr>
      </w:pPr>
      <w:r w:rsidRPr="00203162">
        <w:rPr>
          <w:b/>
          <w:bCs/>
          <w:lang w:val="en-AU"/>
        </w:rPr>
        <w:t>Issue 96</w:t>
      </w:r>
      <w:r w:rsidRPr="00203162">
        <w:rPr>
          <w:lang w:val="en-AU"/>
        </w:rPr>
        <w:t>:</w:t>
      </w:r>
      <w:r w:rsidRPr="00203162">
        <w:rPr>
          <w:lang w:val="en-AU"/>
        </w:rPr>
        <w:tab/>
        <w:t xml:space="preserve">The definition refers to ‘the triglycerides and/or diglycerides of fatty acids’. </w:t>
      </w:r>
      <w:r w:rsidRPr="00203162">
        <w:rPr>
          <w:rFonts w:cs="Arial"/>
          <w:szCs w:val="22"/>
        </w:rPr>
        <w:t xml:space="preserve">OLDP recommendation to </w:t>
      </w:r>
      <w:r w:rsidRPr="00203162">
        <w:rPr>
          <w:rFonts w:cs="Arial"/>
          <w:szCs w:val="22"/>
          <w:lang w:val="en-AU"/>
        </w:rPr>
        <w:t xml:space="preserve">clarify meaning of </w:t>
      </w:r>
      <w:r w:rsidRPr="00203162">
        <w:rPr>
          <w:rFonts w:cs="Arial"/>
          <w:szCs w:val="22"/>
        </w:rPr>
        <w:t>‘and/or’</w:t>
      </w:r>
      <w:r w:rsidR="00F86884">
        <w:rPr>
          <w:rFonts w:cs="Arial"/>
          <w:szCs w:val="22"/>
        </w:rPr>
        <w:t>.</w:t>
      </w:r>
    </w:p>
    <w:p w:rsidR="007A79F3" w:rsidRDefault="00A56F9F" w:rsidP="00A56F9F">
      <w:pPr>
        <w:ind w:left="1134" w:hanging="1134"/>
        <w:rPr>
          <w:lang w:val="en-AU"/>
        </w:rPr>
      </w:pPr>
      <w:r w:rsidRPr="00203162">
        <w:rPr>
          <w:rFonts w:cs="Arial"/>
          <w:b/>
          <w:bCs/>
          <w:szCs w:val="22"/>
        </w:rPr>
        <w:t>Solution</w:t>
      </w:r>
      <w:r w:rsidR="007A79F3">
        <w:rPr>
          <w:rFonts w:cs="Arial"/>
          <w:b/>
          <w:bCs/>
          <w:szCs w:val="22"/>
        </w:rPr>
        <w:t xml:space="preserve"> proposed in Assessment report</w:t>
      </w:r>
      <w:r w:rsidR="007A79F3">
        <w:rPr>
          <w:rFonts w:cs="Arial"/>
          <w:szCs w:val="22"/>
        </w:rPr>
        <w:t>:</w:t>
      </w:r>
      <w:r w:rsidR="00D322C3">
        <w:rPr>
          <w:rFonts w:cs="Arial"/>
          <w:szCs w:val="22"/>
        </w:rPr>
        <w:t xml:space="preserve"> </w:t>
      </w:r>
      <w:r w:rsidRPr="00203162">
        <w:rPr>
          <w:lang w:val="en-AU"/>
        </w:rPr>
        <w:t>Amend definition to include the ‘</w:t>
      </w:r>
      <w:r w:rsidRPr="00785F64">
        <w:rPr>
          <w:lang w:val="en-AU"/>
        </w:rPr>
        <w:t>triglycerides</w:t>
      </w:r>
      <w:r w:rsidR="007A79F3">
        <w:rPr>
          <w:lang w:val="en-AU"/>
        </w:rPr>
        <w:t xml:space="preserve"> and</w:t>
      </w:r>
      <w:r w:rsidRPr="00785F64">
        <w:rPr>
          <w:lang w:val="en-AU"/>
        </w:rPr>
        <w:t xml:space="preserve"> diglycerides</w:t>
      </w:r>
      <w:r w:rsidR="007A79F3">
        <w:rPr>
          <w:lang w:val="en-AU"/>
        </w:rPr>
        <w:t>’.</w:t>
      </w:r>
    </w:p>
    <w:p w:rsidR="00742C40" w:rsidRDefault="007A79F3" w:rsidP="007A79F3">
      <w:pPr>
        <w:ind w:left="1134" w:hanging="1134"/>
        <w:rPr>
          <w:lang w:val="en-AU"/>
        </w:rPr>
      </w:pPr>
      <w:r w:rsidRPr="007A79F3">
        <w:rPr>
          <w:b/>
          <w:lang w:val="en-AU"/>
        </w:rPr>
        <w:t>Submitter comment and FSANZ Response</w:t>
      </w:r>
      <w:r>
        <w:rPr>
          <w:lang w:val="en-AU"/>
        </w:rPr>
        <w:t xml:space="preserve">: A </w:t>
      </w:r>
      <w:r>
        <w:t>submitter q</w:t>
      </w:r>
      <w:r w:rsidRPr="007A79F3">
        <w:t>uestion</w:t>
      </w:r>
      <w:r>
        <w:t>ed</w:t>
      </w:r>
      <w:r w:rsidRPr="007A79F3">
        <w:t xml:space="preserve"> whether the effect of changing ‘and/or’ to include ‘triglycerides and diglycerides’ would mean edible oils must be composed of both. </w:t>
      </w:r>
      <w:r>
        <w:t xml:space="preserve">FSANZ agrees that the definition could be interpreted to mean that </w:t>
      </w:r>
      <w:r w:rsidR="002E6075">
        <w:t>an</w:t>
      </w:r>
      <w:r>
        <w:t xml:space="preserve"> edible oil must be composed of both triglycerides and diglycerides, and has therefore amended the definition to refer to</w:t>
      </w:r>
      <w:r>
        <w:rPr>
          <w:lang w:val="en-AU"/>
        </w:rPr>
        <w:t xml:space="preserve"> triglycerides, </w:t>
      </w:r>
      <w:r w:rsidRPr="00203162">
        <w:rPr>
          <w:lang w:val="en-AU"/>
        </w:rPr>
        <w:t xml:space="preserve">diglycerides </w:t>
      </w:r>
      <w:r>
        <w:rPr>
          <w:lang w:val="en-AU"/>
        </w:rPr>
        <w:t xml:space="preserve">or both. </w:t>
      </w:r>
      <w:r w:rsidR="00742C40">
        <w:rPr>
          <w:lang w:val="en-AU"/>
        </w:rPr>
        <w:br w:type="page"/>
      </w:r>
    </w:p>
    <w:p w:rsidR="001F048C" w:rsidRPr="00987B08" w:rsidRDefault="001F048C" w:rsidP="001F048C">
      <w:pPr>
        <w:rPr>
          <w:bCs/>
        </w:rPr>
      </w:pPr>
      <w:r w:rsidRPr="00987B08">
        <w:rPr>
          <w:b/>
          <w:bCs/>
        </w:rPr>
        <w:lastRenderedPageBreak/>
        <w:t>Location</w:t>
      </w:r>
      <w:r w:rsidRPr="00987B08">
        <w:t>:</w:t>
      </w:r>
      <w:r w:rsidRPr="00987B08">
        <w:tab/>
        <w:t>Clause 3</w:t>
      </w:r>
    </w:p>
    <w:p w:rsidR="00987B08" w:rsidRPr="00987B08" w:rsidRDefault="001F048C" w:rsidP="00987B08">
      <w:pPr>
        <w:ind w:left="1134" w:hanging="1134"/>
      </w:pPr>
      <w:r w:rsidRPr="00987B08">
        <w:rPr>
          <w:b/>
          <w:bCs/>
          <w:lang w:val="en-AU"/>
        </w:rPr>
        <w:t>Issue</w:t>
      </w:r>
      <w:r w:rsidR="00987B08" w:rsidRPr="00987B08">
        <w:rPr>
          <w:b/>
          <w:bCs/>
          <w:lang w:val="en-AU"/>
        </w:rPr>
        <w:t xml:space="preserve"> (new)</w:t>
      </w:r>
      <w:r w:rsidRPr="00987B08">
        <w:rPr>
          <w:b/>
          <w:bCs/>
          <w:lang w:val="en-AU"/>
        </w:rPr>
        <w:t xml:space="preserve">: </w:t>
      </w:r>
      <w:r w:rsidR="00987B08" w:rsidRPr="00987B08">
        <w:rPr>
          <w:lang w:val="en-AU"/>
        </w:rPr>
        <w:t xml:space="preserve">A submitter queried what was meant by ‘the specific name of an oil’, e.g. would this include ‘vegetable oil’? </w:t>
      </w:r>
      <w:r w:rsidR="00987B08" w:rsidRPr="00987B08">
        <w:rPr>
          <w:rFonts w:cs="Arial"/>
          <w:szCs w:val="22"/>
        </w:rPr>
        <w:t>FSANZ notes it was not intended to include use of ‘vegetable oil’ but only where the specific source of the oil is named, e.g</w:t>
      </w:r>
      <w:r w:rsidR="009E6B57">
        <w:rPr>
          <w:rFonts w:cs="Arial"/>
          <w:szCs w:val="22"/>
        </w:rPr>
        <w:t>.</w:t>
      </w:r>
      <w:r w:rsidR="00987B08" w:rsidRPr="00987B08">
        <w:rPr>
          <w:rFonts w:cs="Arial"/>
          <w:szCs w:val="22"/>
        </w:rPr>
        <w:t xml:space="preserve"> ‘Sunflower oil’.</w:t>
      </w:r>
    </w:p>
    <w:p w:rsidR="001F048C" w:rsidRPr="00203162" w:rsidRDefault="001F048C" w:rsidP="001F048C">
      <w:pPr>
        <w:ind w:left="1134" w:hanging="1134"/>
        <w:rPr>
          <w:lang w:val="en-AU"/>
        </w:rPr>
      </w:pPr>
      <w:r w:rsidRPr="00987B08">
        <w:rPr>
          <w:rFonts w:cs="Arial"/>
          <w:b/>
          <w:bCs/>
          <w:szCs w:val="22"/>
        </w:rPr>
        <w:t>Solution</w:t>
      </w:r>
      <w:r w:rsidRPr="00987B08">
        <w:rPr>
          <w:rFonts w:cs="Arial"/>
          <w:szCs w:val="22"/>
        </w:rPr>
        <w:t>:</w:t>
      </w:r>
      <w:r w:rsidRPr="00987B08">
        <w:rPr>
          <w:rFonts w:cs="Arial"/>
          <w:szCs w:val="22"/>
        </w:rPr>
        <w:tab/>
      </w:r>
      <w:r w:rsidR="00987B08" w:rsidRPr="00987B08">
        <w:rPr>
          <w:lang w:val="en-AU"/>
        </w:rPr>
        <w:t xml:space="preserve">Clarify by </w:t>
      </w:r>
      <w:r w:rsidR="00987B08" w:rsidRPr="00203162">
        <w:rPr>
          <w:lang w:val="en-AU"/>
        </w:rPr>
        <w:t>amending to ‘the sp</w:t>
      </w:r>
      <w:r w:rsidR="00C54293">
        <w:rPr>
          <w:lang w:val="en-AU"/>
        </w:rPr>
        <w:t>ecific source name of an oil’.</w:t>
      </w:r>
    </w:p>
    <w:p w:rsidR="002932EE" w:rsidRDefault="002932EE">
      <w:pPr>
        <w:widowControl/>
        <w:rPr>
          <w:rFonts w:ascii="Arial Bold" w:hAnsi="Arial Bold" w:cs="Arial Unicode MS"/>
          <w:b/>
          <w:bCs/>
          <w:szCs w:val="26"/>
        </w:rPr>
      </w:pPr>
      <w:bookmarkStart w:id="89" w:name="_Toc280003222"/>
    </w:p>
    <w:p w:rsidR="00A56F9F" w:rsidRPr="00203162" w:rsidRDefault="00A56F9F" w:rsidP="00A56F9F">
      <w:pPr>
        <w:pStyle w:val="Heading3"/>
      </w:pPr>
      <w:bookmarkStart w:id="90" w:name="_Toc290973045"/>
      <w:r w:rsidRPr="00203162">
        <w:t>3.28</w:t>
      </w:r>
      <w:r w:rsidRPr="00203162">
        <w:tab/>
        <w:t>Standard 2.4.2 – Edible Oil Spreads</w:t>
      </w:r>
      <w:bookmarkEnd w:id="89"/>
      <w:bookmarkEnd w:id="90"/>
    </w:p>
    <w:p w:rsidR="00A56F9F" w:rsidRPr="00203162" w:rsidRDefault="00A56F9F" w:rsidP="00A56F9F"/>
    <w:p w:rsidR="00A56F9F" w:rsidRPr="00203162" w:rsidRDefault="00A56F9F" w:rsidP="00A56F9F">
      <w:r w:rsidRPr="00203162">
        <w:rPr>
          <w:b/>
        </w:rPr>
        <w:t>Location:</w:t>
      </w:r>
      <w:r w:rsidRPr="00203162">
        <w:rPr>
          <w:b/>
        </w:rPr>
        <w:tab/>
      </w:r>
      <w:r w:rsidRPr="00203162">
        <w:t xml:space="preserve"> Purpose </w:t>
      </w:r>
    </w:p>
    <w:p w:rsidR="00A56F9F" w:rsidRPr="00203162" w:rsidRDefault="00A56F9F" w:rsidP="00A56F9F">
      <w:pPr>
        <w:ind w:left="1134" w:hanging="1134"/>
      </w:pPr>
      <w:r w:rsidRPr="00203162">
        <w:rPr>
          <w:b/>
        </w:rPr>
        <w:t>Issue 97:</w:t>
      </w:r>
      <w:r w:rsidRPr="00203162">
        <w:tab/>
        <w:t xml:space="preserve">The Purpose refers to butter but does not make it clear that butter is not regulated by Standard 2.4.2.  </w:t>
      </w:r>
    </w:p>
    <w:p w:rsidR="00A56F9F" w:rsidRPr="00AD4875" w:rsidRDefault="00A56F9F" w:rsidP="00A56F9F">
      <w:r w:rsidRPr="00AD4875">
        <w:rPr>
          <w:b/>
        </w:rPr>
        <w:t>Solution:</w:t>
      </w:r>
      <w:r w:rsidRPr="00AD4875">
        <w:t xml:space="preserve"> </w:t>
      </w:r>
      <w:r w:rsidRPr="00AD4875">
        <w:tab/>
        <w:t xml:space="preserve">Amend the Purpose to clarify that Standard 2.4.2 does not regulate butter. </w:t>
      </w:r>
    </w:p>
    <w:p w:rsidR="00A56F9F" w:rsidRPr="00AD4875" w:rsidRDefault="00A56F9F" w:rsidP="00A56F9F"/>
    <w:p w:rsidR="00A56F9F" w:rsidRPr="00AD4875" w:rsidRDefault="00A56F9F" w:rsidP="00A56F9F">
      <w:pPr>
        <w:pStyle w:val="Heading3"/>
      </w:pPr>
      <w:bookmarkStart w:id="91" w:name="_Toc280003223"/>
      <w:bookmarkStart w:id="92" w:name="_Toc290973046"/>
      <w:r w:rsidRPr="00AD4875">
        <w:t>3.29</w:t>
      </w:r>
      <w:r w:rsidRPr="00AD4875">
        <w:tab/>
        <w:t>Standard 2.5.1 – Milk</w:t>
      </w:r>
      <w:bookmarkEnd w:id="91"/>
      <w:bookmarkEnd w:id="92"/>
      <w:r w:rsidRPr="00AD4875">
        <w:t xml:space="preserve"> </w:t>
      </w:r>
    </w:p>
    <w:p w:rsidR="00A56F9F" w:rsidRDefault="00A56F9F" w:rsidP="00A56F9F"/>
    <w:p w:rsidR="005D3D6C" w:rsidRPr="007938F0" w:rsidRDefault="005D3D6C" w:rsidP="005D3D6C">
      <w:pPr>
        <w:ind w:left="1134" w:hanging="1134"/>
      </w:pPr>
      <w:r w:rsidRPr="007938F0">
        <w:rPr>
          <w:b/>
          <w:bCs/>
        </w:rPr>
        <w:t>Location</w:t>
      </w:r>
      <w:r w:rsidRPr="007938F0">
        <w:t>:</w:t>
      </w:r>
      <w:r w:rsidRPr="007938F0">
        <w:tab/>
      </w:r>
      <w:r>
        <w:t>Subclause 2(2)</w:t>
      </w:r>
      <w:r w:rsidRPr="007938F0">
        <w:t xml:space="preserve">, </w:t>
      </w:r>
      <w:r>
        <w:t xml:space="preserve">reference to </w:t>
      </w:r>
      <w:r w:rsidRPr="007938F0">
        <w:t>‘</w:t>
      </w:r>
      <w:r>
        <w:t xml:space="preserve">by the addition </w:t>
      </w:r>
      <w:r w:rsidRPr="007938F0">
        <w:t>and/or</w:t>
      </w:r>
      <w:r>
        <w:t xml:space="preserve"> withdrawal of milk components</w:t>
      </w:r>
      <w:r w:rsidRPr="007938F0">
        <w:t>’.</w:t>
      </w:r>
    </w:p>
    <w:p w:rsidR="005D3D6C" w:rsidRPr="007938F0" w:rsidRDefault="005D3D6C" w:rsidP="005D3D6C">
      <w:pPr>
        <w:ind w:left="1134" w:hanging="1134"/>
        <w:rPr>
          <w:rFonts w:cs="Arial"/>
          <w:szCs w:val="22"/>
        </w:rPr>
      </w:pPr>
      <w:r w:rsidRPr="007938F0">
        <w:rPr>
          <w:b/>
          <w:bCs/>
        </w:rPr>
        <w:t>Issue</w:t>
      </w:r>
      <w:r>
        <w:rPr>
          <w:b/>
          <w:bCs/>
        </w:rPr>
        <w:t xml:space="preserve"> (new)</w:t>
      </w:r>
      <w:r w:rsidRPr="007938F0">
        <w:t>:</w:t>
      </w:r>
      <w:r>
        <w:t xml:space="preserve"> </w:t>
      </w:r>
      <w:r w:rsidRPr="007938F0">
        <w:rPr>
          <w:rFonts w:cs="Arial"/>
          <w:szCs w:val="22"/>
        </w:rPr>
        <w:t xml:space="preserve">OLDP recommendation to </w:t>
      </w:r>
      <w:r w:rsidRPr="007938F0">
        <w:rPr>
          <w:rFonts w:cs="Arial"/>
          <w:szCs w:val="22"/>
          <w:lang w:val="en-AU"/>
        </w:rPr>
        <w:t xml:space="preserve">clarify meaning of </w:t>
      </w:r>
      <w:r w:rsidRPr="007938F0">
        <w:rPr>
          <w:rFonts w:cs="Arial"/>
          <w:szCs w:val="22"/>
        </w:rPr>
        <w:t xml:space="preserve">‘and/or’. (New drafting was provided for this issue in Attachment 1 of the Assessment Report; however the issue wasn’t included in </w:t>
      </w:r>
      <w:r>
        <w:rPr>
          <w:rFonts w:cs="Arial"/>
          <w:szCs w:val="22"/>
        </w:rPr>
        <w:t xml:space="preserve">the </w:t>
      </w:r>
      <w:r w:rsidRPr="007938F0">
        <w:rPr>
          <w:rFonts w:cs="Arial"/>
          <w:szCs w:val="22"/>
        </w:rPr>
        <w:t xml:space="preserve">Assessment Report issue list.) </w:t>
      </w:r>
    </w:p>
    <w:p w:rsidR="005D3D6C" w:rsidRPr="007938F0" w:rsidRDefault="005D3D6C" w:rsidP="005D3D6C">
      <w:pPr>
        <w:ind w:left="1134" w:hanging="1134"/>
      </w:pPr>
      <w:r w:rsidRPr="007938F0">
        <w:rPr>
          <w:rFonts w:cs="Arial"/>
          <w:b/>
          <w:bCs/>
          <w:szCs w:val="22"/>
        </w:rPr>
        <w:t>Solution</w:t>
      </w:r>
      <w:r w:rsidRPr="007938F0">
        <w:rPr>
          <w:rFonts w:cs="Arial"/>
          <w:szCs w:val="22"/>
        </w:rPr>
        <w:t>:</w:t>
      </w:r>
      <w:r w:rsidRPr="007938F0">
        <w:rPr>
          <w:rFonts w:cs="Arial"/>
          <w:szCs w:val="22"/>
        </w:rPr>
        <w:tab/>
      </w:r>
      <w:r w:rsidRPr="007938F0">
        <w:rPr>
          <w:bCs/>
        </w:rPr>
        <w:t>Replace ‘and/or’ with ‘or’</w:t>
      </w:r>
      <w:r w:rsidR="00944045">
        <w:rPr>
          <w:bCs/>
        </w:rPr>
        <w:t>.</w:t>
      </w:r>
    </w:p>
    <w:p w:rsidR="005D3D6C" w:rsidRPr="00AD4875" w:rsidRDefault="005D3D6C" w:rsidP="00A56F9F"/>
    <w:p w:rsidR="00A56F9F" w:rsidRPr="00AD4875" w:rsidRDefault="00A56F9F" w:rsidP="00A56F9F">
      <w:r w:rsidRPr="00AD4875">
        <w:rPr>
          <w:b/>
        </w:rPr>
        <w:t>Location:</w:t>
      </w:r>
      <w:r w:rsidRPr="00AD4875">
        <w:tab/>
        <w:t>Purpose and clause 4</w:t>
      </w:r>
    </w:p>
    <w:p w:rsidR="00A56F9F" w:rsidRPr="00AD4875" w:rsidRDefault="00A56F9F" w:rsidP="00A56F9F">
      <w:pPr>
        <w:ind w:left="1134" w:hanging="1134"/>
      </w:pPr>
      <w:r w:rsidRPr="00AD4875">
        <w:rPr>
          <w:b/>
          <w:bCs/>
        </w:rPr>
        <w:t>Issue 98</w:t>
      </w:r>
      <w:r w:rsidRPr="00AD4875">
        <w:t>:</w:t>
      </w:r>
      <w:r w:rsidRPr="00AD4875">
        <w:tab/>
        <w:t xml:space="preserve">Reference to the milk processing requirements in Standard 4.2.4 is not necessary. </w:t>
      </w:r>
    </w:p>
    <w:p w:rsidR="00A56F9F" w:rsidRPr="00AD4875" w:rsidRDefault="00AD4875" w:rsidP="007A79F3">
      <w:pPr>
        <w:ind w:left="1134" w:hanging="1134"/>
        <w:rPr>
          <w:rFonts w:cs="Arial"/>
          <w:szCs w:val="22"/>
        </w:rPr>
      </w:pPr>
      <w:r w:rsidRPr="00AD4875">
        <w:rPr>
          <w:b/>
          <w:bCs/>
        </w:rPr>
        <w:t>Solution proposed in Assessment Report</w:t>
      </w:r>
      <w:r w:rsidR="007A79F3">
        <w:t xml:space="preserve">: </w:t>
      </w:r>
      <w:r w:rsidR="00A56F9F" w:rsidRPr="00AD4875">
        <w:t xml:space="preserve">Delete clause 4 and references to Standard 4.2.4 in the Purpose. </w:t>
      </w:r>
    </w:p>
    <w:p w:rsidR="000A1C16" w:rsidRDefault="00AD4875" w:rsidP="007A79F3">
      <w:pPr>
        <w:pStyle w:val="FSTableText"/>
        <w:ind w:left="1134" w:hanging="1134"/>
        <w:rPr>
          <w:szCs w:val="22"/>
        </w:rPr>
      </w:pPr>
      <w:r w:rsidRPr="00AD4875">
        <w:rPr>
          <w:b/>
          <w:bCs/>
          <w:sz w:val="22"/>
          <w:szCs w:val="22"/>
        </w:rPr>
        <w:t>Submitter comments and FSANZ response:</w:t>
      </w:r>
      <w:r w:rsidRPr="00AD4875">
        <w:rPr>
          <w:sz w:val="22"/>
          <w:szCs w:val="22"/>
        </w:rPr>
        <w:t xml:space="preserve"> </w:t>
      </w:r>
      <w:r w:rsidR="007A79F3">
        <w:rPr>
          <w:sz w:val="22"/>
          <w:szCs w:val="22"/>
        </w:rPr>
        <w:t xml:space="preserve">A submitter </w:t>
      </w:r>
      <w:r w:rsidR="007A79F3" w:rsidRPr="007A79F3">
        <w:rPr>
          <w:sz w:val="22"/>
          <w:szCs w:val="22"/>
        </w:rPr>
        <w:t>commen</w:t>
      </w:r>
      <w:r w:rsidR="00DD79BA">
        <w:rPr>
          <w:sz w:val="22"/>
          <w:szCs w:val="22"/>
        </w:rPr>
        <w:t>t</w:t>
      </w:r>
      <w:r w:rsidR="007A79F3" w:rsidRPr="007A79F3">
        <w:rPr>
          <w:sz w:val="22"/>
          <w:szCs w:val="22"/>
        </w:rPr>
        <w:t>ed that as Standard</w:t>
      </w:r>
      <w:r w:rsidR="007A79F3" w:rsidRPr="007A79F3">
        <w:rPr>
          <w:szCs w:val="22"/>
        </w:rPr>
        <w:t xml:space="preserve"> </w:t>
      </w:r>
      <w:r w:rsidR="007A79F3" w:rsidRPr="007A79F3">
        <w:rPr>
          <w:sz w:val="22"/>
          <w:szCs w:val="22"/>
        </w:rPr>
        <w:t>4.2.4 does not apply to retail sale activities, it is not clear whether removal of this provision in Standard 2.5.1 will impact on the requirements for milk sold at retail to be processed in accordance with Standard 4.2.4.</w:t>
      </w:r>
      <w:r w:rsidR="007A79F3" w:rsidRPr="007A79F3">
        <w:rPr>
          <w:szCs w:val="22"/>
        </w:rPr>
        <w:t xml:space="preserve"> </w:t>
      </w:r>
    </w:p>
    <w:p w:rsidR="00AD4875" w:rsidRPr="00AD4875" w:rsidRDefault="007A79F3" w:rsidP="007A79F3">
      <w:pPr>
        <w:pStyle w:val="FSTableText"/>
        <w:ind w:left="1134" w:hanging="1134"/>
        <w:rPr>
          <w:sz w:val="22"/>
          <w:szCs w:val="22"/>
        </w:rPr>
      </w:pPr>
      <w:r>
        <w:rPr>
          <w:sz w:val="22"/>
          <w:szCs w:val="22"/>
        </w:rPr>
        <w:tab/>
      </w:r>
      <w:r w:rsidR="00AD4875" w:rsidRPr="00AD4875">
        <w:rPr>
          <w:sz w:val="22"/>
          <w:szCs w:val="22"/>
        </w:rPr>
        <w:t>FSANZ agrees that it is not certain that other sections of the Code cover this provision in Standard 4.2.4 and agree</w:t>
      </w:r>
      <w:r w:rsidR="00396506">
        <w:rPr>
          <w:sz w:val="22"/>
          <w:szCs w:val="22"/>
        </w:rPr>
        <w:t>s</w:t>
      </w:r>
      <w:r w:rsidR="00AD4875" w:rsidRPr="00AD4875">
        <w:rPr>
          <w:sz w:val="22"/>
          <w:szCs w:val="22"/>
        </w:rPr>
        <w:t xml:space="preserve"> to retain clause 4</w:t>
      </w:r>
      <w:r w:rsidR="001E4FA3">
        <w:rPr>
          <w:sz w:val="22"/>
          <w:szCs w:val="22"/>
        </w:rPr>
        <w:t xml:space="preserve"> </w:t>
      </w:r>
      <w:r w:rsidR="00AD4875" w:rsidRPr="00AD4875">
        <w:rPr>
          <w:sz w:val="22"/>
          <w:szCs w:val="22"/>
        </w:rPr>
        <w:t>and the reference to Standard 4.2.4.</w:t>
      </w:r>
    </w:p>
    <w:p w:rsidR="00A56F9F" w:rsidRPr="00AD4875" w:rsidRDefault="00A56F9F" w:rsidP="00A56F9F">
      <w:pPr>
        <w:widowControl/>
        <w:rPr>
          <w:rFonts w:cs="Arial"/>
          <w:szCs w:val="22"/>
        </w:rPr>
      </w:pPr>
    </w:p>
    <w:p w:rsidR="00A56F9F" w:rsidRPr="00AD4875" w:rsidRDefault="00A56F9F" w:rsidP="00A56F9F">
      <w:pPr>
        <w:pStyle w:val="Heading3"/>
        <w:rPr>
          <w:rFonts w:ascii="Arial" w:hAnsi="Arial" w:cs="Arial"/>
          <w:szCs w:val="22"/>
        </w:rPr>
      </w:pPr>
      <w:bookmarkStart w:id="93" w:name="_Toc280003224"/>
      <w:bookmarkStart w:id="94" w:name="_Toc290973047"/>
      <w:r w:rsidRPr="00AD4875">
        <w:rPr>
          <w:rFonts w:ascii="Arial" w:hAnsi="Arial" w:cs="Arial"/>
          <w:szCs w:val="22"/>
        </w:rPr>
        <w:t>3.30</w:t>
      </w:r>
      <w:r w:rsidRPr="00AD4875">
        <w:rPr>
          <w:rFonts w:ascii="Arial" w:hAnsi="Arial" w:cs="Arial"/>
          <w:szCs w:val="22"/>
        </w:rPr>
        <w:tab/>
        <w:t>Various Part 2.5 Standards</w:t>
      </w:r>
      <w:bookmarkEnd w:id="93"/>
      <w:bookmarkEnd w:id="94"/>
      <w:r w:rsidRPr="00AD4875">
        <w:rPr>
          <w:rFonts w:ascii="Arial" w:hAnsi="Arial" w:cs="Arial"/>
          <w:szCs w:val="22"/>
        </w:rPr>
        <w:t xml:space="preserve"> </w:t>
      </w:r>
    </w:p>
    <w:p w:rsidR="00A56F9F" w:rsidRPr="00203162" w:rsidRDefault="00A56F9F" w:rsidP="00A56F9F"/>
    <w:p w:rsidR="00A56F9F" w:rsidRPr="00203162" w:rsidRDefault="00A56F9F" w:rsidP="00A56F9F">
      <w:pPr>
        <w:ind w:left="1134" w:hanging="1134"/>
      </w:pPr>
      <w:r w:rsidRPr="00203162">
        <w:rPr>
          <w:b/>
          <w:bCs/>
        </w:rPr>
        <w:t>Location</w:t>
      </w:r>
      <w:r w:rsidRPr="00203162">
        <w:t>:</w:t>
      </w:r>
      <w:r w:rsidRPr="00203162">
        <w:tab/>
        <w:t>Purpose of Standards 2.5.2 – Cream, 2.5.3 – Fermented Milk Products, 2.5.4 – Cheese, 2.5.5 – Butter, 2.5.6 – Ice Cream, 2.5.7 – Dried Milks, Evaporated Milks and Condensed Milks</w:t>
      </w:r>
    </w:p>
    <w:p w:rsidR="00A56F9F" w:rsidRPr="00C54293" w:rsidRDefault="00A56F9F" w:rsidP="00A56F9F">
      <w:pPr>
        <w:ind w:left="1134" w:hanging="1134"/>
        <w:rPr>
          <w:b/>
          <w:bCs/>
        </w:rPr>
      </w:pPr>
      <w:r w:rsidRPr="00C54293">
        <w:rPr>
          <w:b/>
          <w:bCs/>
        </w:rPr>
        <w:t>Issue 99</w:t>
      </w:r>
      <w:r w:rsidRPr="00C54293">
        <w:t>:</w:t>
      </w:r>
      <w:r w:rsidRPr="00C54293">
        <w:tab/>
      </w:r>
      <w:r w:rsidRPr="00C54293">
        <w:rPr>
          <w:rFonts w:cs="Arial"/>
          <w:szCs w:val="22"/>
        </w:rPr>
        <w:t xml:space="preserve">Reference to processing requirements is not necessary. </w:t>
      </w:r>
    </w:p>
    <w:p w:rsidR="00A56F9F" w:rsidRPr="00C54293" w:rsidRDefault="00A56F9F" w:rsidP="00A56F9F">
      <w:pPr>
        <w:ind w:left="1134" w:hanging="1134"/>
      </w:pPr>
      <w:r w:rsidRPr="00C54293">
        <w:rPr>
          <w:b/>
          <w:bCs/>
        </w:rPr>
        <w:t>Solution</w:t>
      </w:r>
      <w:r w:rsidRPr="00C54293">
        <w:t>:</w:t>
      </w:r>
      <w:r w:rsidRPr="00C54293">
        <w:tab/>
      </w:r>
      <w:r w:rsidRPr="00C54293">
        <w:rPr>
          <w:bCs/>
        </w:rPr>
        <w:t>Delete reference to processing requirements from the Purpose</w:t>
      </w:r>
      <w:r w:rsidR="003F02F6">
        <w:rPr>
          <w:bCs/>
        </w:rPr>
        <w:t xml:space="preserve"> and move into an Editorial note</w:t>
      </w:r>
      <w:r w:rsidRPr="00C54293">
        <w:rPr>
          <w:bCs/>
        </w:rPr>
        <w:t xml:space="preserve">.  </w:t>
      </w:r>
    </w:p>
    <w:p w:rsidR="00A56F9F" w:rsidRPr="00C54293" w:rsidRDefault="00A56F9F" w:rsidP="00A56F9F"/>
    <w:p w:rsidR="00A56F9F" w:rsidRPr="00C54293" w:rsidRDefault="00A56F9F" w:rsidP="00A56F9F">
      <w:pPr>
        <w:pStyle w:val="Heading3"/>
      </w:pPr>
      <w:bookmarkStart w:id="95" w:name="_Toc280003225"/>
      <w:bookmarkStart w:id="96" w:name="_Toc290973048"/>
      <w:r w:rsidRPr="00C54293">
        <w:t>3.31</w:t>
      </w:r>
      <w:r w:rsidRPr="00C54293">
        <w:tab/>
        <w:t>Standard 2.5.3 – Fermented Milk Products</w:t>
      </w:r>
      <w:bookmarkEnd w:id="95"/>
      <w:bookmarkEnd w:id="96"/>
    </w:p>
    <w:p w:rsidR="00A56F9F" w:rsidRPr="00C54293" w:rsidRDefault="00A56F9F" w:rsidP="00A56F9F">
      <w:pPr>
        <w:rPr>
          <w:b/>
          <w:bCs/>
        </w:rPr>
      </w:pPr>
    </w:p>
    <w:p w:rsidR="00A56F9F" w:rsidRPr="00C54293" w:rsidRDefault="00A56F9F" w:rsidP="00A56F9F">
      <w:pPr>
        <w:ind w:left="1134" w:hanging="1134"/>
      </w:pPr>
      <w:r w:rsidRPr="00C54293">
        <w:rPr>
          <w:b/>
          <w:bCs/>
        </w:rPr>
        <w:t>Location</w:t>
      </w:r>
      <w:r w:rsidRPr="00C54293">
        <w:t>:</w:t>
      </w:r>
      <w:r w:rsidRPr="00C54293">
        <w:tab/>
        <w:t xml:space="preserve">Clause 1, definition of fermented milk </w:t>
      </w:r>
    </w:p>
    <w:p w:rsidR="00A56F9F" w:rsidRPr="00856B04" w:rsidRDefault="00A56F9F" w:rsidP="00A56F9F">
      <w:pPr>
        <w:ind w:left="1134" w:hanging="1134"/>
        <w:rPr>
          <w:rFonts w:cs="Arial"/>
          <w:szCs w:val="22"/>
        </w:rPr>
      </w:pPr>
      <w:r w:rsidRPr="00C54293">
        <w:rPr>
          <w:b/>
          <w:bCs/>
        </w:rPr>
        <w:t>Issue 100</w:t>
      </w:r>
      <w:r w:rsidRPr="00C54293">
        <w:t>:</w:t>
      </w:r>
      <w:r w:rsidRPr="00C54293">
        <w:tab/>
        <w:t xml:space="preserve">The </w:t>
      </w:r>
      <w:r w:rsidRPr="00856B04">
        <w:t xml:space="preserve">definition refers to ‘fermentation of milk and/or products derived from milk’. </w:t>
      </w:r>
      <w:r w:rsidRPr="00856B04">
        <w:rPr>
          <w:rFonts w:cs="Arial"/>
          <w:szCs w:val="22"/>
        </w:rPr>
        <w:t xml:space="preserve">OLDP recommendation to </w:t>
      </w:r>
      <w:r w:rsidRPr="00856B04">
        <w:rPr>
          <w:rFonts w:cs="Arial"/>
          <w:szCs w:val="22"/>
          <w:lang w:val="en-AU"/>
        </w:rPr>
        <w:t xml:space="preserve">clarify meaning of </w:t>
      </w:r>
      <w:r w:rsidRPr="00856B04">
        <w:rPr>
          <w:rFonts w:cs="Arial"/>
          <w:szCs w:val="22"/>
        </w:rPr>
        <w:t>‘and/or’</w:t>
      </w:r>
      <w:r w:rsidR="00836479">
        <w:rPr>
          <w:rFonts w:cs="Arial"/>
          <w:szCs w:val="22"/>
        </w:rPr>
        <w:t>.</w:t>
      </w:r>
    </w:p>
    <w:p w:rsidR="00A56F9F" w:rsidRPr="00856B04" w:rsidRDefault="00A56F9F" w:rsidP="00A56F9F">
      <w:pPr>
        <w:ind w:left="1134" w:hanging="1134"/>
      </w:pPr>
      <w:r w:rsidRPr="00836479">
        <w:rPr>
          <w:rFonts w:cs="Arial"/>
          <w:b/>
          <w:bCs/>
          <w:szCs w:val="22"/>
        </w:rPr>
        <w:t>Solution</w:t>
      </w:r>
      <w:r w:rsidRPr="00836479">
        <w:rPr>
          <w:rFonts w:cs="Arial"/>
          <w:b/>
          <w:szCs w:val="22"/>
        </w:rPr>
        <w:t>:</w:t>
      </w:r>
      <w:r w:rsidRPr="00856B04">
        <w:rPr>
          <w:rFonts w:cs="Arial"/>
          <w:szCs w:val="22"/>
        </w:rPr>
        <w:tab/>
      </w:r>
      <w:r w:rsidRPr="00856B04">
        <w:rPr>
          <w:bCs/>
        </w:rPr>
        <w:t xml:space="preserve">Replace ‘and/or’ with ‘or’. </w:t>
      </w:r>
    </w:p>
    <w:p w:rsidR="00A56F9F" w:rsidRPr="00856B04" w:rsidRDefault="00A56F9F" w:rsidP="00A56F9F">
      <w:pPr>
        <w:rPr>
          <w:b/>
          <w:bCs/>
        </w:rPr>
      </w:pPr>
    </w:p>
    <w:p w:rsidR="00B335C7" w:rsidRDefault="00B335C7">
      <w:pPr>
        <w:widowControl/>
        <w:rPr>
          <w:b/>
          <w:bCs/>
        </w:rPr>
      </w:pPr>
      <w:r>
        <w:rPr>
          <w:b/>
          <w:bCs/>
        </w:rPr>
        <w:br w:type="page"/>
      </w:r>
    </w:p>
    <w:p w:rsidR="00A56F9F" w:rsidRPr="00856B04" w:rsidRDefault="00A56F9F" w:rsidP="00A56F9F">
      <w:r w:rsidRPr="00856B04">
        <w:rPr>
          <w:b/>
          <w:bCs/>
        </w:rPr>
        <w:lastRenderedPageBreak/>
        <w:t>Location</w:t>
      </w:r>
      <w:r w:rsidRPr="00856B04">
        <w:t>:</w:t>
      </w:r>
      <w:r w:rsidRPr="00856B04">
        <w:tab/>
        <w:t>Clause 2 and Table to subclause 2(3)</w:t>
      </w:r>
    </w:p>
    <w:p w:rsidR="00A56F9F" w:rsidRPr="00856B04" w:rsidRDefault="00A56F9F" w:rsidP="00A56F9F">
      <w:pPr>
        <w:ind w:left="1134" w:hanging="1134"/>
      </w:pPr>
      <w:r w:rsidRPr="00856B04">
        <w:rPr>
          <w:b/>
          <w:bCs/>
        </w:rPr>
        <w:t>Issue 101</w:t>
      </w:r>
      <w:r w:rsidRPr="00856B04">
        <w:t>:</w:t>
      </w:r>
      <w:r w:rsidRPr="00856B04">
        <w:tab/>
        <w:t xml:space="preserve">The Table refers to ‘culture’. Culture is not defined or used elsewhere in the Standard. </w:t>
      </w:r>
    </w:p>
    <w:p w:rsidR="00A56F9F" w:rsidRPr="00856B04" w:rsidRDefault="00A56F9F" w:rsidP="00A56F9F">
      <w:pPr>
        <w:ind w:left="1134" w:hanging="1134"/>
      </w:pPr>
      <w:r w:rsidRPr="00856B04">
        <w:rPr>
          <w:b/>
          <w:bCs/>
        </w:rPr>
        <w:tab/>
      </w:r>
      <w:r w:rsidRPr="00856B04">
        <w:t xml:space="preserve">The Table does not mention viable organisms, so it is not clear how it relates to subclause 2(2). It is also not clear whether the requirement in the Table relates to each culture (singular) or the total of all cultures. The Table and clause uses ‘proportion’, however pH is not expressed as a proportion. </w:t>
      </w:r>
    </w:p>
    <w:p w:rsidR="00A56F9F" w:rsidRPr="00CB7CC9" w:rsidRDefault="00856B04" w:rsidP="00A56F9F">
      <w:pPr>
        <w:ind w:left="1134" w:hanging="1134"/>
        <w:rPr>
          <w:szCs w:val="22"/>
        </w:rPr>
      </w:pPr>
      <w:r w:rsidRPr="00856B04">
        <w:rPr>
          <w:b/>
          <w:bCs/>
        </w:rPr>
        <w:t>Solution proposed in Assessment Report</w:t>
      </w:r>
      <w:r w:rsidR="00A56F9F" w:rsidRPr="00856B04">
        <w:t>:</w:t>
      </w:r>
      <w:r w:rsidR="00B335C7">
        <w:t xml:space="preserve"> </w:t>
      </w:r>
      <w:r w:rsidR="00A56F9F" w:rsidRPr="00856B04">
        <w:t xml:space="preserve">In the Table to subclause 2(3), replace ‘microorganisms from the added culture’ </w:t>
      </w:r>
      <w:r w:rsidR="00A56F9F" w:rsidRPr="00CB7CC9">
        <w:rPr>
          <w:szCs w:val="22"/>
        </w:rPr>
        <w:t xml:space="preserve">with ‘viable microorganisms used in the fermentation’. </w:t>
      </w:r>
    </w:p>
    <w:p w:rsidR="00A56F9F" w:rsidRPr="00CB7CC9" w:rsidRDefault="00A56F9F" w:rsidP="00A56F9F">
      <w:pPr>
        <w:ind w:left="1134"/>
        <w:rPr>
          <w:szCs w:val="22"/>
        </w:rPr>
      </w:pPr>
      <w:r w:rsidRPr="00CB7CC9">
        <w:rPr>
          <w:szCs w:val="22"/>
        </w:rPr>
        <w:t xml:space="preserve">Amend ‘Proportion’ to ‘Value’. </w:t>
      </w:r>
    </w:p>
    <w:p w:rsidR="00856B04" w:rsidRPr="00CB7CC9" w:rsidRDefault="00856B04" w:rsidP="00856B04">
      <w:pPr>
        <w:pStyle w:val="FSTableText"/>
        <w:ind w:left="1134" w:hanging="1134"/>
        <w:rPr>
          <w:sz w:val="22"/>
          <w:szCs w:val="22"/>
        </w:rPr>
      </w:pPr>
      <w:r w:rsidRPr="00CB7CC9">
        <w:rPr>
          <w:b/>
          <w:bCs/>
          <w:sz w:val="22"/>
          <w:szCs w:val="22"/>
        </w:rPr>
        <w:t>Submitter comments and FSANZ response:</w:t>
      </w:r>
      <w:r w:rsidRPr="00CB7CC9">
        <w:rPr>
          <w:sz w:val="22"/>
          <w:szCs w:val="22"/>
        </w:rPr>
        <w:t xml:space="preserve"> One submitter stated that the term ‘culture’ is well understood by industry and enforcement agencies. They also noted that the Table does not need to mention viable organisms as the requirement is written in terms of colony forming units, which can only be formed by viable microorganisms. </w:t>
      </w:r>
    </w:p>
    <w:p w:rsidR="0007534D" w:rsidRDefault="004007C2" w:rsidP="00856B04">
      <w:pPr>
        <w:ind w:left="1134"/>
        <w:rPr>
          <w:szCs w:val="22"/>
        </w:rPr>
      </w:pPr>
      <w:r w:rsidRPr="00CB7CC9">
        <w:rPr>
          <w:szCs w:val="22"/>
        </w:rPr>
        <w:t xml:space="preserve">FSANZ </w:t>
      </w:r>
      <w:r>
        <w:rPr>
          <w:szCs w:val="22"/>
        </w:rPr>
        <w:t xml:space="preserve">remains concerned that two different wordings are currently used for the same requirement, and prefers to not use the term ‘culture’. As published in the Assessment Report, FSANZ </w:t>
      </w:r>
      <w:r w:rsidR="000C14DF">
        <w:rPr>
          <w:szCs w:val="22"/>
        </w:rPr>
        <w:t>has</w:t>
      </w:r>
      <w:r>
        <w:rPr>
          <w:szCs w:val="22"/>
        </w:rPr>
        <w:t xml:space="preserve"> remove</w:t>
      </w:r>
      <w:r w:rsidR="000C14DF">
        <w:rPr>
          <w:szCs w:val="22"/>
        </w:rPr>
        <w:t>d</w:t>
      </w:r>
      <w:r>
        <w:rPr>
          <w:szCs w:val="22"/>
        </w:rPr>
        <w:t xml:space="preserve"> the existing subclause 2(2) and put the requirement into t</w:t>
      </w:r>
      <w:r w:rsidR="00856B04" w:rsidRPr="00CB7CC9">
        <w:rPr>
          <w:szCs w:val="22"/>
        </w:rPr>
        <w:t>he table to subclause 2(3)</w:t>
      </w:r>
      <w:r>
        <w:rPr>
          <w:szCs w:val="22"/>
        </w:rPr>
        <w:t>.</w:t>
      </w:r>
    </w:p>
    <w:p w:rsidR="00856B04" w:rsidRPr="00CB7CC9" w:rsidRDefault="00856B04" w:rsidP="00856B04">
      <w:pPr>
        <w:ind w:left="1134"/>
        <w:rPr>
          <w:szCs w:val="22"/>
        </w:rPr>
      </w:pPr>
      <w:r w:rsidRPr="00CB7CC9">
        <w:rPr>
          <w:szCs w:val="22"/>
        </w:rPr>
        <w:t>The argument regarding measurement is correct – i.e. only live organisms develop into colony forming units.</w:t>
      </w:r>
      <w:r w:rsidR="0007534D">
        <w:rPr>
          <w:szCs w:val="22"/>
        </w:rPr>
        <w:t xml:space="preserve"> Reference to ‘viable’ </w:t>
      </w:r>
      <w:r w:rsidR="000C14DF">
        <w:rPr>
          <w:szCs w:val="22"/>
        </w:rPr>
        <w:t xml:space="preserve">has </w:t>
      </w:r>
      <w:r w:rsidR="0007534D">
        <w:rPr>
          <w:szCs w:val="22"/>
        </w:rPr>
        <w:t>therefore not be</w:t>
      </w:r>
      <w:r w:rsidR="000C14DF">
        <w:rPr>
          <w:szCs w:val="22"/>
        </w:rPr>
        <w:t>en</w:t>
      </w:r>
      <w:r w:rsidR="0007534D">
        <w:rPr>
          <w:szCs w:val="22"/>
        </w:rPr>
        <w:t xml:space="preserve"> included in the Table. </w:t>
      </w:r>
    </w:p>
    <w:p w:rsidR="00A56F9F" w:rsidRPr="00CB7CC9" w:rsidRDefault="00A56F9F" w:rsidP="00A56F9F">
      <w:pPr>
        <w:rPr>
          <w:szCs w:val="22"/>
        </w:rPr>
      </w:pPr>
    </w:p>
    <w:p w:rsidR="00A56F9F" w:rsidRPr="00CB7CC9" w:rsidRDefault="00A56F9F" w:rsidP="00A56F9F">
      <w:pPr>
        <w:pStyle w:val="Heading3"/>
      </w:pPr>
      <w:bookmarkStart w:id="97" w:name="_Toc280003226"/>
      <w:bookmarkStart w:id="98" w:name="_Toc290973049"/>
      <w:r w:rsidRPr="00CB7CC9">
        <w:t>3.32</w:t>
      </w:r>
      <w:r w:rsidRPr="00CB7CC9">
        <w:tab/>
        <w:t>Standard 2.5.4 – Cheese</w:t>
      </w:r>
      <w:bookmarkEnd w:id="97"/>
      <w:bookmarkEnd w:id="98"/>
      <w:r w:rsidRPr="00CB7CC9">
        <w:t xml:space="preserve"> </w:t>
      </w:r>
    </w:p>
    <w:p w:rsidR="00A56F9F" w:rsidRPr="00CB7CC9" w:rsidRDefault="00A56F9F" w:rsidP="00A56F9F"/>
    <w:p w:rsidR="00A56F9F" w:rsidRPr="00CB7CC9" w:rsidRDefault="00A56F9F" w:rsidP="00A56F9F">
      <w:pPr>
        <w:ind w:left="1134" w:hanging="1134"/>
      </w:pPr>
      <w:r w:rsidRPr="00CB7CC9">
        <w:rPr>
          <w:b/>
          <w:bCs/>
        </w:rPr>
        <w:t>Location</w:t>
      </w:r>
      <w:r w:rsidRPr="00CB7CC9">
        <w:t>:</w:t>
      </w:r>
      <w:r w:rsidRPr="00CB7CC9">
        <w:tab/>
        <w:t>Clause 1, definition of cheese.</w:t>
      </w:r>
    </w:p>
    <w:p w:rsidR="00A56F9F" w:rsidRPr="00CB7CC9" w:rsidRDefault="00A56F9F" w:rsidP="00A56F9F">
      <w:pPr>
        <w:ind w:left="1134" w:hanging="1134"/>
        <w:rPr>
          <w:rFonts w:cs="Arial"/>
          <w:szCs w:val="22"/>
        </w:rPr>
      </w:pPr>
      <w:r w:rsidRPr="00CB7CC9">
        <w:rPr>
          <w:b/>
          <w:bCs/>
        </w:rPr>
        <w:t>Issue 102</w:t>
      </w:r>
      <w:r w:rsidRPr="00CB7CC9">
        <w:t>:</w:t>
      </w:r>
      <w:r w:rsidRPr="00CB7CC9">
        <w:tab/>
        <w:t xml:space="preserve">The definition refers to ‘milk and/or materials obtained from milk’. </w:t>
      </w:r>
      <w:r w:rsidRPr="00CB7CC9">
        <w:rPr>
          <w:rFonts w:cs="Arial"/>
          <w:szCs w:val="22"/>
        </w:rPr>
        <w:t xml:space="preserve">OLDP recommendation to </w:t>
      </w:r>
      <w:r w:rsidRPr="00CB7CC9">
        <w:rPr>
          <w:rFonts w:cs="Arial"/>
          <w:szCs w:val="22"/>
          <w:lang w:val="en-AU"/>
        </w:rPr>
        <w:t xml:space="preserve">clarify meaning of </w:t>
      </w:r>
      <w:r w:rsidRPr="00CB7CC9">
        <w:rPr>
          <w:rFonts w:cs="Arial"/>
          <w:szCs w:val="22"/>
        </w:rPr>
        <w:t>‘and/or’</w:t>
      </w:r>
      <w:r w:rsidR="00637D9A">
        <w:rPr>
          <w:rFonts w:cs="Arial"/>
          <w:szCs w:val="22"/>
        </w:rPr>
        <w:t xml:space="preserve">. </w:t>
      </w:r>
    </w:p>
    <w:p w:rsidR="00637D9A" w:rsidRDefault="00A56F9F" w:rsidP="00A56F9F">
      <w:pPr>
        <w:ind w:left="1134" w:hanging="1134"/>
      </w:pPr>
      <w:r w:rsidRPr="00CB7CC9">
        <w:rPr>
          <w:rFonts w:cs="Arial"/>
          <w:b/>
          <w:bCs/>
          <w:szCs w:val="22"/>
        </w:rPr>
        <w:t>Solution</w:t>
      </w:r>
      <w:r w:rsidR="00637D9A" w:rsidRPr="00637D9A">
        <w:rPr>
          <w:b/>
          <w:bCs/>
        </w:rPr>
        <w:t xml:space="preserve"> </w:t>
      </w:r>
      <w:r w:rsidR="00637D9A" w:rsidRPr="00CB7CC9">
        <w:rPr>
          <w:b/>
          <w:bCs/>
        </w:rPr>
        <w:t>proposed in Assessment Report</w:t>
      </w:r>
      <w:r w:rsidR="00637D9A" w:rsidRPr="00CB7CC9">
        <w:t>:</w:t>
      </w:r>
      <w:r w:rsidRPr="00CB7CC9">
        <w:rPr>
          <w:rFonts w:cs="Arial"/>
          <w:szCs w:val="22"/>
        </w:rPr>
        <w:tab/>
      </w:r>
      <w:r w:rsidRPr="008E247D">
        <w:rPr>
          <w:bCs/>
        </w:rPr>
        <w:t>Replace ‘and/or’ with ‘or’.</w:t>
      </w:r>
    </w:p>
    <w:p w:rsidR="00141317" w:rsidRDefault="00637D9A" w:rsidP="000C14DF">
      <w:pPr>
        <w:ind w:left="1134" w:hanging="1134"/>
      </w:pPr>
      <w:r w:rsidRPr="00CB7CC9">
        <w:rPr>
          <w:b/>
          <w:bCs/>
          <w:szCs w:val="22"/>
        </w:rPr>
        <w:t>Submitter comments and FSANZ response:</w:t>
      </w:r>
      <w:r w:rsidRPr="00CB7CC9">
        <w:rPr>
          <w:szCs w:val="22"/>
        </w:rPr>
        <w:t xml:space="preserve"> </w:t>
      </w:r>
      <w:r>
        <w:rPr>
          <w:szCs w:val="22"/>
        </w:rPr>
        <w:t>A submitter stated that r</w:t>
      </w:r>
      <w:r w:rsidRPr="005E45B1">
        <w:t>eplacing ‘and/or’ with ‘or’ may not accurately reflect current or future practices of making cheese with milk and additional materials derived from milk such as casein.</w:t>
      </w:r>
      <w:r>
        <w:t xml:space="preserve"> FSANZ a</w:t>
      </w:r>
      <w:r w:rsidRPr="005E45B1">
        <w:t>gree</w:t>
      </w:r>
      <w:r>
        <w:t xml:space="preserve">s and </w:t>
      </w:r>
      <w:r w:rsidR="000C14DF">
        <w:t>has</w:t>
      </w:r>
      <w:r w:rsidR="00396506">
        <w:t xml:space="preserve"> </w:t>
      </w:r>
      <w:r w:rsidR="00C81A32">
        <w:t>amended</w:t>
      </w:r>
      <w:r w:rsidRPr="005E45B1">
        <w:t xml:space="preserve"> </w:t>
      </w:r>
      <w:r>
        <w:t xml:space="preserve">the definition </w:t>
      </w:r>
      <w:r w:rsidR="000C14DF">
        <w:t xml:space="preserve">to </w:t>
      </w:r>
      <w:r>
        <w:t>refer to ‘milk or materials o</w:t>
      </w:r>
      <w:r w:rsidRPr="005E45B1">
        <w:t>btained from milk</w:t>
      </w:r>
      <w:r w:rsidR="0088493F">
        <w:t>,</w:t>
      </w:r>
      <w:r>
        <w:t xml:space="preserve"> or both’. </w:t>
      </w:r>
    </w:p>
    <w:p w:rsidR="00B335C7" w:rsidRDefault="00B335C7" w:rsidP="000C14DF">
      <w:pPr>
        <w:ind w:left="1134" w:hanging="1134"/>
        <w:rPr>
          <w:b/>
          <w:bCs/>
        </w:rPr>
      </w:pPr>
    </w:p>
    <w:p w:rsidR="00DB5969" w:rsidRDefault="00A56F9F">
      <w:pPr>
        <w:keepNext/>
        <w:keepLines/>
        <w:widowControl/>
      </w:pPr>
      <w:r w:rsidRPr="00CB7CC9">
        <w:rPr>
          <w:b/>
          <w:bCs/>
        </w:rPr>
        <w:t>Location</w:t>
      </w:r>
      <w:r w:rsidRPr="00CB7CC9">
        <w:t>:</w:t>
      </w:r>
      <w:r w:rsidRPr="00CB7CC9">
        <w:tab/>
        <w:t xml:space="preserve">Clause 2 </w:t>
      </w:r>
    </w:p>
    <w:p w:rsidR="00DB5969" w:rsidRDefault="00A56F9F">
      <w:pPr>
        <w:keepNext/>
        <w:keepLines/>
        <w:widowControl/>
        <w:ind w:left="1134" w:hanging="1134"/>
      </w:pPr>
      <w:r w:rsidRPr="00CB7CC9">
        <w:rPr>
          <w:b/>
          <w:bCs/>
        </w:rPr>
        <w:t>Issue 103</w:t>
      </w:r>
      <w:r w:rsidRPr="00CB7CC9">
        <w:t>:</w:t>
      </w:r>
      <w:r w:rsidRPr="00CB7CC9">
        <w:tab/>
        <w:t xml:space="preserve">The clause heading refers to </w:t>
      </w:r>
      <w:r w:rsidR="00203162" w:rsidRPr="00CB7CC9">
        <w:t>composition;</w:t>
      </w:r>
      <w:r w:rsidRPr="00CB7CC9">
        <w:t xml:space="preserve"> however the clause is about permitted ingredients. </w:t>
      </w:r>
    </w:p>
    <w:p w:rsidR="00A56F9F" w:rsidRPr="00CB7CC9" w:rsidRDefault="00CB7CC9" w:rsidP="00A56F9F">
      <w:pPr>
        <w:ind w:left="1134" w:hanging="1134"/>
      </w:pPr>
      <w:r w:rsidRPr="00CB7CC9">
        <w:rPr>
          <w:b/>
          <w:bCs/>
        </w:rPr>
        <w:t>Solution proposed in Assessment Report</w:t>
      </w:r>
      <w:r w:rsidR="00A56F9F" w:rsidRPr="00CB7CC9">
        <w:t>:</w:t>
      </w:r>
      <w:r w:rsidR="00A56F9F" w:rsidRPr="00CB7CC9">
        <w:tab/>
      </w:r>
      <w:r w:rsidR="00A56F9F" w:rsidRPr="00CB7CC9">
        <w:rPr>
          <w:bCs/>
        </w:rPr>
        <w:t xml:space="preserve">Redraft to clarify that the clause is about permission to add ingredients. </w:t>
      </w:r>
    </w:p>
    <w:p w:rsidR="00CB7CC9" w:rsidRPr="00CB7CC9" w:rsidRDefault="00CB7CC9" w:rsidP="00CB7CC9">
      <w:pPr>
        <w:pStyle w:val="FSTableText"/>
        <w:ind w:left="1134" w:hanging="1134"/>
        <w:rPr>
          <w:sz w:val="22"/>
          <w:szCs w:val="22"/>
        </w:rPr>
      </w:pPr>
      <w:r w:rsidRPr="00CB7CC9">
        <w:rPr>
          <w:b/>
          <w:bCs/>
          <w:sz w:val="22"/>
          <w:szCs w:val="22"/>
        </w:rPr>
        <w:t>Submitter comments and FSANZ response:</w:t>
      </w:r>
      <w:r w:rsidRPr="00CB7CC9">
        <w:rPr>
          <w:sz w:val="22"/>
          <w:szCs w:val="22"/>
        </w:rPr>
        <w:t xml:space="preserve"> One submitter stated that the proposed amendment could create more uncertainty as the emphasis on ‘permitted ingredients’ implies that the list is comprehensive and therefore fully inclusive of additive permissions. </w:t>
      </w:r>
      <w:r w:rsidRPr="00CB7CC9">
        <w:rPr>
          <w:sz w:val="22"/>
          <w:szCs w:val="22"/>
        </w:rPr>
        <w:br/>
        <w:t>FSANZ agrees as there was no intention to</w:t>
      </w:r>
      <w:r w:rsidR="00CB74D3">
        <w:rPr>
          <w:sz w:val="22"/>
          <w:szCs w:val="22"/>
        </w:rPr>
        <w:t xml:space="preserve"> imply a change in permission. ‘</w:t>
      </w:r>
      <w:r w:rsidRPr="00CB7CC9">
        <w:rPr>
          <w:sz w:val="22"/>
          <w:szCs w:val="22"/>
        </w:rPr>
        <w:t>Permitted</w:t>
      </w:r>
      <w:r w:rsidR="00CB74D3">
        <w:rPr>
          <w:sz w:val="22"/>
          <w:szCs w:val="22"/>
        </w:rPr>
        <w:t>’ and ‘</w:t>
      </w:r>
      <w:r w:rsidR="00836479">
        <w:rPr>
          <w:sz w:val="22"/>
          <w:szCs w:val="22"/>
        </w:rPr>
        <w:t xml:space="preserve">ingredients’ </w:t>
      </w:r>
      <w:r w:rsidR="000C14DF">
        <w:rPr>
          <w:sz w:val="22"/>
          <w:szCs w:val="22"/>
        </w:rPr>
        <w:t>ha</w:t>
      </w:r>
      <w:r w:rsidR="00C81A32">
        <w:rPr>
          <w:sz w:val="22"/>
          <w:szCs w:val="22"/>
        </w:rPr>
        <w:t>ve</w:t>
      </w:r>
      <w:r w:rsidR="00836479">
        <w:rPr>
          <w:sz w:val="22"/>
          <w:szCs w:val="22"/>
        </w:rPr>
        <w:t xml:space="preserve"> be</w:t>
      </w:r>
      <w:r w:rsidR="000C14DF">
        <w:rPr>
          <w:sz w:val="22"/>
          <w:szCs w:val="22"/>
        </w:rPr>
        <w:t>en</w:t>
      </w:r>
      <w:r w:rsidR="00836479">
        <w:rPr>
          <w:sz w:val="22"/>
          <w:szCs w:val="22"/>
        </w:rPr>
        <w:t xml:space="preserve"> removed</w:t>
      </w:r>
      <w:r w:rsidR="00BE24A0" w:rsidRPr="00BE24A0">
        <w:rPr>
          <w:sz w:val="22"/>
          <w:szCs w:val="22"/>
        </w:rPr>
        <w:t xml:space="preserve"> </w:t>
      </w:r>
      <w:r w:rsidR="00BE24A0">
        <w:rPr>
          <w:sz w:val="22"/>
          <w:szCs w:val="22"/>
        </w:rPr>
        <w:t>and the clause heading amended to refer to the addition of other foods</w:t>
      </w:r>
      <w:r w:rsidR="00836479">
        <w:rPr>
          <w:sz w:val="22"/>
          <w:szCs w:val="22"/>
        </w:rPr>
        <w:t>.</w:t>
      </w:r>
    </w:p>
    <w:p w:rsidR="00A56F9F" w:rsidRPr="00CB7CC9" w:rsidRDefault="00A56F9F" w:rsidP="00A56F9F"/>
    <w:p w:rsidR="00B335C7" w:rsidRDefault="00B335C7">
      <w:pPr>
        <w:widowControl/>
        <w:rPr>
          <w:rFonts w:ascii="Arial Bold" w:hAnsi="Arial Bold" w:cs="Arial Unicode MS"/>
          <w:b/>
          <w:bCs/>
          <w:szCs w:val="26"/>
        </w:rPr>
      </w:pPr>
      <w:bookmarkStart w:id="99" w:name="_Toc280003227"/>
      <w:r>
        <w:br w:type="page"/>
      </w:r>
    </w:p>
    <w:p w:rsidR="00A56F9F" w:rsidRPr="00CB7CC9" w:rsidRDefault="00A56F9F" w:rsidP="00A56F9F">
      <w:pPr>
        <w:pStyle w:val="Heading3"/>
      </w:pPr>
      <w:bookmarkStart w:id="100" w:name="_Toc290973050"/>
      <w:r w:rsidRPr="00CB7CC9">
        <w:lastRenderedPageBreak/>
        <w:t>3.33</w:t>
      </w:r>
      <w:r w:rsidRPr="00CB7CC9">
        <w:tab/>
        <w:t>Standard 2.5.5 – Butter</w:t>
      </w:r>
      <w:bookmarkEnd w:id="99"/>
      <w:bookmarkEnd w:id="100"/>
      <w:r w:rsidRPr="00CB7CC9">
        <w:t xml:space="preserve"> </w:t>
      </w:r>
    </w:p>
    <w:p w:rsidR="00A56F9F" w:rsidRPr="00CB7CC9" w:rsidRDefault="00A56F9F" w:rsidP="00A56F9F"/>
    <w:p w:rsidR="00A56F9F" w:rsidRPr="00CB7CC9" w:rsidRDefault="00A56F9F" w:rsidP="00A56F9F">
      <w:r w:rsidRPr="00CB7CC9">
        <w:rPr>
          <w:b/>
          <w:bCs/>
        </w:rPr>
        <w:t>Location</w:t>
      </w:r>
      <w:r w:rsidRPr="00CB7CC9">
        <w:t>:</w:t>
      </w:r>
      <w:r w:rsidRPr="00CB7CC9">
        <w:tab/>
        <w:t>Subclause 2(2)</w:t>
      </w:r>
    </w:p>
    <w:p w:rsidR="00A56F9F" w:rsidRPr="00CB7CC9" w:rsidRDefault="00A56F9F" w:rsidP="00A56F9F">
      <w:pPr>
        <w:ind w:left="1134" w:hanging="1134"/>
      </w:pPr>
      <w:r w:rsidRPr="00CB7CC9">
        <w:rPr>
          <w:b/>
          <w:bCs/>
        </w:rPr>
        <w:t>Issue 104</w:t>
      </w:r>
      <w:r w:rsidRPr="00CB7CC9">
        <w:t>:</w:t>
      </w:r>
      <w:r w:rsidRPr="00CB7CC9">
        <w:tab/>
        <w:t xml:space="preserve">The clause heading refers to composition, however the subclause 2(2) is about permitted ingredients. </w:t>
      </w:r>
    </w:p>
    <w:p w:rsidR="00A56F9F" w:rsidRPr="00CB7CC9" w:rsidRDefault="00CB7CC9" w:rsidP="00A56F9F">
      <w:pPr>
        <w:ind w:left="1134" w:hanging="1134"/>
      </w:pPr>
      <w:r w:rsidRPr="00CB7CC9">
        <w:rPr>
          <w:b/>
          <w:bCs/>
        </w:rPr>
        <w:t>Solution proposed in Assessment Report</w:t>
      </w:r>
      <w:r w:rsidR="00A56F9F" w:rsidRPr="00CB7CC9">
        <w:t>:</w:t>
      </w:r>
      <w:r w:rsidR="00A56F9F" w:rsidRPr="00CB7CC9">
        <w:tab/>
      </w:r>
      <w:r w:rsidR="00A56F9F" w:rsidRPr="00CB7CC9">
        <w:rPr>
          <w:bCs/>
        </w:rPr>
        <w:t xml:space="preserve">Redraft to clarify that the subclause 2(2) is about permission to add ingredients. </w:t>
      </w:r>
    </w:p>
    <w:p w:rsidR="00CB7CC9" w:rsidRPr="00CB7CC9" w:rsidRDefault="00CB7CC9" w:rsidP="00CB7CC9">
      <w:pPr>
        <w:pStyle w:val="FSTableText"/>
        <w:ind w:left="1134" w:hanging="1134"/>
        <w:rPr>
          <w:sz w:val="22"/>
          <w:szCs w:val="22"/>
        </w:rPr>
      </w:pPr>
      <w:r w:rsidRPr="00CB7CC9">
        <w:rPr>
          <w:b/>
          <w:bCs/>
          <w:sz w:val="22"/>
          <w:szCs w:val="22"/>
        </w:rPr>
        <w:t>Submitter comments and FSANZ response:</w:t>
      </w:r>
      <w:r w:rsidRPr="00CB7CC9">
        <w:rPr>
          <w:sz w:val="22"/>
          <w:szCs w:val="22"/>
        </w:rPr>
        <w:t xml:space="preserve"> One submitter stated that the proposed amendment could create more uncertainty as the emphasis on ‘permitted ingredients’ implies that the list is comprehensive and therefore fully inclusive of additive permissions. </w:t>
      </w:r>
      <w:r w:rsidRPr="00CB7CC9">
        <w:rPr>
          <w:sz w:val="22"/>
          <w:szCs w:val="22"/>
        </w:rPr>
        <w:br/>
        <w:t xml:space="preserve">FSANZ agrees as there was no intention to </w:t>
      </w:r>
      <w:r w:rsidR="00CF5DDD">
        <w:rPr>
          <w:sz w:val="22"/>
          <w:szCs w:val="22"/>
        </w:rPr>
        <w:t>imply a change in permission. ‘</w:t>
      </w:r>
      <w:r w:rsidRPr="00CB7CC9">
        <w:rPr>
          <w:sz w:val="22"/>
          <w:szCs w:val="22"/>
        </w:rPr>
        <w:t>Permitted</w:t>
      </w:r>
      <w:r w:rsidR="00CF5DDD">
        <w:rPr>
          <w:sz w:val="22"/>
          <w:szCs w:val="22"/>
        </w:rPr>
        <w:t>’ and ‘</w:t>
      </w:r>
      <w:r w:rsidR="00836479">
        <w:rPr>
          <w:sz w:val="22"/>
          <w:szCs w:val="22"/>
        </w:rPr>
        <w:t xml:space="preserve">ingredients’ </w:t>
      </w:r>
      <w:r w:rsidR="000C14DF">
        <w:rPr>
          <w:sz w:val="22"/>
          <w:szCs w:val="22"/>
        </w:rPr>
        <w:t>ha</w:t>
      </w:r>
      <w:r w:rsidR="00C81A32">
        <w:rPr>
          <w:sz w:val="22"/>
          <w:szCs w:val="22"/>
        </w:rPr>
        <w:t>ve</w:t>
      </w:r>
      <w:r w:rsidR="000C14DF">
        <w:rPr>
          <w:sz w:val="22"/>
          <w:szCs w:val="22"/>
        </w:rPr>
        <w:t xml:space="preserve"> </w:t>
      </w:r>
      <w:r w:rsidR="00836479">
        <w:rPr>
          <w:sz w:val="22"/>
          <w:szCs w:val="22"/>
        </w:rPr>
        <w:t>be</w:t>
      </w:r>
      <w:r w:rsidR="000C14DF">
        <w:rPr>
          <w:sz w:val="22"/>
          <w:szCs w:val="22"/>
        </w:rPr>
        <w:t>en</w:t>
      </w:r>
      <w:r w:rsidR="00836479">
        <w:rPr>
          <w:sz w:val="22"/>
          <w:szCs w:val="22"/>
        </w:rPr>
        <w:t xml:space="preserve"> removed</w:t>
      </w:r>
      <w:r w:rsidR="00BE24A0">
        <w:rPr>
          <w:sz w:val="22"/>
          <w:szCs w:val="22"/>
        </w:rPr>
        <w:t xml:space="preserve"> and the clause heading amended to refer to the addition of other foods</w:t>
      </w:r>
      <w:r w:rsidR="00836479">
        <w:rPr>
          <w:sz w:val="22"/>
          <w:szCs w:val="22"/>
        </w:rPr>
        <w:t>.</w:t>
      </w:r>
    </w:p>
    <w:p w:rsidR="00A56F9F" w:rsidRPr="00CB7CC9" w:rsidRDefault="00A56F9F" w:rsidP="00A56F9F"/>
    <w:p w:rsidR="00A56F9F" w:rsidRPr="00203162" w:rsidRDefault="00A56F9F" w:rsidP="00A56F9F">
      <w:pPr>
        <w:pStyle w:val="Heading3"/>
      </w:pPr>
      <w:bookmarkStart w:id="101" w:name="_Toc280003228"/>
      <w:bookmarkStart w:id="102" w:name="_Toc290973051"/>
      <w:r w:rsidRPr="00CB7CC9">
        <w:t>3.34</w:t>
      </w:r>
      <w:r w:rsidRPr="00CB7CC9">
        <w:tab/>
        <w:t>Standard 2</w:t>
      </w:r>
      <w:r w:rsidRPr="00203162">
        <w:t>.5.7 – Dried Milks, Evaporated Milks and Condensed Milks</w:t>
      </w:r>
      <w:bookmarkEnd w:id="101"/>
      <w:bookmarkEnd w:id="102"/>
    </w:p>
    <w:p w:rsidR="00A56F9F" w:rsidRPr="00203162" w:rsidRDefault="00A56F9F" w:rsidP="00A56F9F">
      <w:pPr>
        <w:rPr>
          <w:b/>
          <w:bCs/>
        </w:rPr>
      </w:pPr>
    </w:p>
    <w:p w:rsidR="00A56F9F" w:rsidRPr="00203162" w:rsidRDefault="00A56F9F" w:rsidP="00A56F9F">
      <w:r w:rsidRPr="00203162">
        <w:rPr>
          <w:b/>
          <w:bCs/>
        </w:rPr>
        <w:t>Location</w:t>
      </w:r>
      <w:r w:rsidRPr="00203162">
        <w:t>:</w:t>
      </w:r>
      <w:r w:rsidRPr="00203162">
        <w:tab/>
        <w:t xml:space="preserve">Clauses 1 and 2 and the Schedule </w:t>
      </w:r>
    </w:p>
    <w:p w:rsidR="00A56F9F" w:rsidRPr="00203162" w:rsidRDefault="00A56F9F" w:rsidP="00A56F9F">
      <w:pPr>
        <w:ind w:left="1134" w:hanging="1134"/>
        <w:rPr>
          <w:bCs/>
        </w:rPr>
      </w:pPr>
      <w:r w:rsidRPr="00203162">
        <w:rPr>
          <w:b/>
          <w:bCs/>
        </w:rPr>
        <w:t>Issue 105</w:t>
      </w:r>
      <w:r w:rsidRPr="00203162">
        <w:t>:</w:t>
      </w:r>
      <w:r w:rsidRPr="00203162">
        <w:tab/>
        <w:t>T</w:t>
      </w:r>
      <w:r w:rsidRPr="00203162">
        <w:rPr>
          <w:bCs/>
        </w:rPr>
        <w:t xml:space="preserve">he clauses refer to ‘unbolded type’ and ‘bolded type’ in the Schedule. The OLDP identified that this method of referencing certain information could be improved. </w:t>
      </w:r>
    </w:p>
    <w:p w:rsidR="00A56F9F" w:rsidRPr="00203162" w:rsidRDefault="00A56F9F" w:rsidP="00A56F9F">
      <w:pPr>
        <w:ind w:left="1134" w:hanging="1134"/>
      </w:pPr>
      <w:r w:rsidRPr="00203162">
        <w:rPr>
          <w:b/>
          <w:bCs/>
        </w:rPr>
        <w:t>Solution</w:t>
      </w:r>
      <w:r w:rsidRPr="00203162">
        <w:t>:</w:t>
      </w:r>
      <w:r w:rsidRPr="00203162">
        <w:tab/>
        <w:t xml:space="preserve">Remove references to unbolded/bolded type and restructure Schedule to provide clarification.  </w:t>
      </w:r>
    </w:p>
    <w:p w:rsidR="0088493F" w:rsidRPr="007938F0" w:rsidRDefault="0088493F" w:rsidP="0088493F">
      <w:pPr>
        <w:ind w:left="851" w:hanging="851"/>
        <w:rPr>
          <w:bCs/>
          <w:caps/>
        </w:rPr>
      </w:pPr>
    </w:p>
    <w:p w:rsidR="0088493F" w:rsidRPr="007938F0" w:rsidRDefault="0088493F" w:rsidP="0088493F">
      <w:pPr>
        <w:ind w:left="1134" w:hanging="1134"/>
      </w:pPr>
      <w:r w:rsidRPr="007938F0">
        <w:rPr>
          <w:b/>
          <w:bCs/>
        </w:rPr>
        <w:t>Location</w:t>
      </w:r>
      <w:r w:rsidRPr="007938F0">
        <w:t>:</w:t>
      </w:r>
      <w:r w:rsidRPr="007938F0">
        <w:tab/>
      </w:r>
      <w:r>
        <w:t>Subclause 2(1),</w:t>
      </w:r>
      <w:r w:rsidRPr="007938F0">
        <w:t xml:space="preserve"> wherever ‘and/or’ occurs.</w:t>
      </w:r>
    </w:p>
    <w:p w:rsidR="0088493F" w:rsidRPr="007938F0" w:rsidRDefault="0088493F" w:rsidP="0088493F">
      <w:pPr>
        <w:ind w:left="1134" w:hanging="1134"/>
        <w:rPr>
          <w:rFonts w:cs="Arial"/>
          <w:szCs w:val="22"/>
        </w:rPr>
      </w:pPr>
      <w:r w:rsidRPr="007938F0">
        <w:rPr>
          <w:b/>
          <w:bCs/>
        </w:rPr>
        <w:t>Issue</w:t>
      </w:r>
      <w:r>
        <w:rPr>
          <w:b/>
          <w:bCs/>
        </w:rPr>
        <w:t xml:space="preserve"> (new)</w:t>
      </w:r>
      <w:r w:rsidRPr="007938F0">
        <w:t>:</w:t>
      </w:r>
      <w:r>
        <w:t xml:space="preserve"> </w:t>
      </w:r>
      <w:r w:rsidRPr="007938F0">
        <w:rPr>
          <w:rFonts w:cs="Arial"/>
          <w:szCs w:val="22"/>
        </w:rPr>
        <w:t xml:space="preserve">OLDP recommendation to </w:t>
      </w:r>
      <w:r w:rsidRPr="007938F0">
        <w:rPr>
          <w:rFonts w:cs="Arial"/>
          <w:szCs w:val="22"/>
          <w:lang w:val="en-AU"/>
        </w:rPr>
        <w:t xml:space="preserve">clarify meaning of </w:t>
      </w:r>
      <w:r w:rsidRPr="007938F0">
        <w:rPr>
          <w:rFonts w:cs="Arial"/>
          <w:szCs w:val="22"/>
        </w:rPr>
        <w:t xml:space="preserve">‘and/or’. (Note new drafting was provided for this issue in Attachment 1 of the Assessment Report; however the issue wasn’t included in </w:t>
      </w:r>
      <w:r>
        <w:rPr>
          <w:rFonts w:cs="Arial"/>
          <w:szCs w:val="22"/>
        </w:rPr>
        <w:t xml:space="preserve">the </w:t>
      </w:r>
      <w:r w:rsidRPr="007938F0">
        <w:rPr>
          <w:rFonts w:cs="Arial"/>
          <w:szCs w:val="22"/>
        </w:rPr>
        <w:t xml:space="preserve">Assessment Report issue list.) </w:t>
      </w:r>
    </w:p>
    <w:p w:rsidR="0088493F" w:rsidRDefault="0088493F" w:rsidP="0088493F">
      <w:pPr>
        <w:ind w:left="1134" w:hanging="1134"/>
      </w:pPr>
      <w:r w:rsidRPr="007938F0">
        <w:rPr>
          <w:rFonts w:cs="Arial"/>
          <w:b/>
          <w:bCs/>
          <w:szCs w:val="22"/>
        </w:rPr>
        <w:t>Solution</w:t>
      </w:r>
      <w:r w:rsidRPr="007938F0">
        <w:rPr>
          <w:rFonts w:cs="Arial"/>
          <w:szCs w:val="22"/>
        </w:rPr>
        <w:t>:</w:t>
      </w:r>
      <w:r w:rsidRPr="007938F0">
        <w:rPr>
          <w:rFonts w:cs="Arial"/>
          <w:szCs w:val="22"/>
        </w:rPr>
        <w:tab/>
      </w:r>
      <w:r>
        <w:rPr>
          <w:bCs/>
        </w:rPr>
        <w:t xml:space="preserve">Replace ‘and/or’ with ‘or’ (amend to ‘The fat, or protein, or both fat and protein, content of the milk... by the addition or withdrawal of milk constituents...’).  </w:t>
      </w:r>
    </w:p>
    <w:p w:rsidR="0088493F" w:rsidRPr="00203162" w:rsidRDefault="0088493F" w:rsidP="00A56F9F">
      <w:pPr>
        <w:widowControl/>
      </w:pPr>
    </w:p>
    <w:p w:rsidR="00A56F9F" w:rsidRPr="00203162" w:rsidRDefault="00A56F9F" w:rsidP="00A56F9F">
      <w:pPr>
        <w:pStyle w:val="Heading3"/>
      </w:pPr>
      <w:bookmarkStart w:id="103" w:name="_Toc280003229"/>
      <w:bookmarkStart w:id="104" w:name="_Toc290973052"/>
      <w:r w:rsidRPr="00203162">
        <w:t>3.35</w:t>
      </w:r>
      <w:r w:rsidRPr="00203162">
        <w:tab/>
        <w:t>Standard 2.6.2 – Non-Alcoholic Beverages and Brewed Soft Drinks</w:t>
      </w:r>
      <w:bookmarkEnd w:id="103"/>
      <w:bookmarkEnd w:id="104"/>
    </w:p>
    <w:p w:rsidR="00A56F9F" w:rsidRPr="00203162" w:rsidRDefault="00A56F9F" w:rsidP="00A56F9F">
      <w:pPr>
        <w:rPr>
          <w:b/>
          <w:bCs/>
        </w:rPr>
      </w:pPr>
    </w:p>
    <w:p w:rsidR="00A56F9F" w:rsidRPr="00203162" w:rsidRDefault="00A56F9F" w:rsidP="00A56F9F">
      <w:pPr>
        <w:ind w:left="1134" w:hanging="1134"/>
      </w:pPr>
      <w:r w:rsidRPr="00203162">
        <w:rPr>
          <w:b/>
          <w:bCs/>
        </w:rPr>
        <w:t>Location</w:t>
      </w:r>
      <w:r w:rsidRPr="00203162">
        <w:t>:</w:t>
      </w:r>
      <w:r w:rsidRPr="00203162">
        <w:tab/>
        <w:t>Clause 1, definition of brewed soft drink and definition of formulated beverage, wherever ‘and/or’ is referred to</w:t>
      </w:r>
    </w:p>
    <w:p w:rsidR="00A56F9F" w:rsidRPr="00C91CBB" w:rsidRDefault="00A56F9F" w:rsidP="00A56F9F">
      <w:pPr>
        <w:ind w:left="1134" w:hanging="1134"/>
        <w:rPr>
          <w:rFonts w:cs="Arial"/>
          <w:szCs w:val="22"/>
        </w:rPr>
      </w:pPr>
      <w:r w:rsidRPr="00203162">
        <w:rPr>
          <w:b/>
          <w:bCs/>
        </w:rPr>
        <w:t>Issue 106</w:t>
      </w:r>
      <w:r w:rsidRPr="00203162">
        <w:t>:</w:t>
      </w:r>
      <w:r w:rsidRPr="00203162">
        <w:tab/>
      </w:r>
      <w:r w:rsidRPr="00C91CBB">
        <w:rPr>
          <w:rFonts w:cs="Arial"/>
          <w:szCs w:val="22"/>
        </w:rPr>
        <w:t xml:space="preserve">OLDP recommendation to </w:t>
      </w:r>
      <w:r w:rsidRPr="00C91CBB">
        <w:rPr>
          <w:rFonts w:cs="Arial"/>
          <w:szCs w:val="22"/>
          <w:lang w:val="en-AU"/>
        </w:rPr>
        <w:t xml:space="preserve">clarify meaning of </w:t>
      </w:r>
      <w:r w:rsidRPr="00C91CBB">
        <w:rPr>
          <w:rFonts w:cs="Arial"/>
          <w:szCs w:val="22"/>
        </w:rPr>
        <w:t>‘and/or’</w:t>
      </w:r>
      <w:r w:rsidR="00081152" w:rsidRPr="00C91CBB">
        <w:rPr>
          <w:rFonts w:cs="Arial"/>
          <w:szCs w:val="22"/>
        </w:rPr>
        <w:t>.</w:t>
      </w:r>
    </w:p>
    <w:p w:rsidR="00A56F9F" w:rsidRPr="00C91CBB" w:rsidRDefault="00A56F9F" w:rsidP="00A56F9F">
      <w:pPr>
        <w:ind w:left="1134" w:hanging="1134"/>
        <w:rPr>
          <w:rFonts w:cs="Arial"/>
          <w:szCs w:val="22"/>
        </w:rPr>
      </w:pPr>
      <w:r w:rsidRPr="00C91CBB">
        <w:rPr>
          <w:rFonts w:cs="Arial"/>
          <w:b/>
          <w:bCs/>
          <w:szCs w:val="22"/>
        </w:rPr>
        <w:t>Solution</w:t>
      </w:r>
      <w:r w:rsidRPr="00C91CBB">
        <w:rPr>
          <w:rFonts w:cs="Arial"/>
          <w:szCs w:val="22"/>
        </w:rPr>
        <w:t>:</w:t>
      </w:r>
      <w:r w:rsidRPr="00C91CBB">
        <w:rPr>
          <w:rFonts w:cs="Arial"/>
          <w:szCs w:val="22"/>
        </w:rPr>
        <w:tab/>
        <w:t>Redraft to remove the expression.</w:t>
      </w:r>
    </w:p>
    <w:p w:rsidR="00A56F9F" w:rsidRPr="00C91CBB" w:rsidRDefault="00A56F9F" w:rsidP="00A56F9F">
      <w:pPr>
        <w:ind w:left="1134" w:hanging="1134"/>
        <w:rPr>
          <w:b/>
          <w:bCs/>
        </w:rPr>
      </w:pPr>
    </w:p>
    <w:p w:rsidR="00A56F9F" w:rsidRPr="00C91CBB" w:rsidRDefault="00A56F9F" w:rsidP="00A56F9F">
      <w:r w:rsidRPr="00C91CBB">
        <w:rPr>
          <w:b/>
          <w:bCs/>
        </w:rPr>
        <w:t>Location</w:t>
      </w:r>
      <w:r w:rsidRPr="00C91CBB">
        <w:t>:</w:t>
      </w:r>
      <w:r w:rsidRPr="00C91CBB">
        <w:tab/>
        <w:t xml:space="preserve">Subclause 2(2) and Table to subclause 2(2) (composition of packaged water) </w:t>
      </w:r>
    </w:p>
    <w:p w:rsidR="00A56F9F" w:rsidRPr="00C91CBB" w:rsidRDefault="00A56F9F" w:rsidP="00A56F9F">
      <w:pPr>
        <w:ind w:left="1134" w:hanging="1134"/>
        <w:rPr>
          <w:lang w:val="en-AU"/>
        </w:rPr>
      </w:pPr>
      <w:r w:rsidRPr="00C91CBB">
        <w:rPr>
          <w:b/>
          <w:bCs/>
        </w:rPr>
        <w:t>Issue 107</w:t>
      </w:r>
      <w:r w:rsidRPr="00C91CBB">
        <w:t>:</w:t>
      </w:r>
      <w:r w:rsidRPr="00C91CBB">
        <w:tab/>
        <w:t>S</w:t>
      </w:r>
      <w:r w:rsidRPr="00C91CBB">
        <w:rPr>
          <w:lang w:val="en-AU"/>
        </w:rPr>
        <w:t>ubclause 2(2) and the Table to subclause 2(2) stipulate compositional requirements for packaged waters. The Table to subclause 2(2) lists limits for various substances that may be present in Australian and New Zealand packaged waters as naturally occurring constituents or contaminants. These limits have not been amended since the Standard was published in 2000.</w:t>
      </w:r>
    </w:p>
    <w:p w:rsidR="00A56F9F" w:rsidRPr="00C91CBB" w:rsidRDefault="00A56F9F" w:rsidP="00A56F9F">
      <w:pPr>
        <w:ind w:left="1134" w:hanging="1134"/>
        <w:rPr>
          <w:lang w:val="en-AU"/>
        </w:rPr>
      </w:pPr>
      <w:r w:rsidRPr="00C91CBB">
        <w:rPr>
          <w:b/>
          <w:bCs/>
        </w:rPr>
        <w:tab/>
      </w:r>
      <w:r w:rsidRPr="00C91CBB">
        <w:rPr>
          <w:lang w:val="en-AU"/>
        </w:rPr>
        <w:t xml:space="preserve">The Australasian Bottled Water Institute Inc. (ABWI) has made an application (A1043 – World Health Organization Limits for Packaged Water) to FSANZ seeking adoption by reference of the World Health Organization (WHO) guideline values for chemicals that are of health significance in drinking-water. </w:t>
      </w:r>
    </w:p>
    <w:p w:rsidR="00742C40" w:rsidRDefault="00A56F9F" w:rsidP="00A56F9F">
      <w:pPr>
        <w:ind w:left="1134" w:hanging="1134"/>
        <w:rPr>
          <w:lang w:val="en-AU"/>
        </w:rPr>
      </w:pPr>
      <w:r w:rsidRPr="00C91CBB">
        <w:rPr>
          <w:lang w:val="en-AU"/>
        </w:rPr>
        <w:tab/>
        <w:t>This has the advantage of aligning the permitted levels in Australian and New Zealand with internationally accepted standards.  While there are some changes with respect to inorganic substances, the major changes are the inclusion of limits for organic substances and the reduction in the maximum permitted level of naturally occurring fluoride from 2.0 mg/L to 1.5 mg/L.  FSANZ has been informed that industry in Australia and New Zealand is confident that it can meet the WHO limits.</w:t>
      </w:r>
      <w:r w:rsidR="00742C40">
        <w:rPr>
          <w:lang w:val="en-AU"/>
        </w:rPr>
        <w:br w:type="page"/>
      </w:r>
    </w:p>
    <w:p w:rsidR="00A56F9F" w:rsidRPr="00C91CBB" w:rsidRDefault="00A56F9F" w:rsidP="00A56F9F">
      <w:pPr>
        <w:ind w:left="1134" w:hanging="1134"/>
      </w:pPr>
      <w:r w:rsidRPr="00C91CBB">
        <w:rPr>
          <w:lang w:val="en-AU"/>
        </w:rPr>
        <w:lastRenderedPageBreak/>
        <w:tab/>
        <w:t>As the WHO limits are subject to rigorous analysis, FSANZ does not believe that further risk analysis is required.</w:t>
      </w:r>
    </w:p>
    <w:p w:rsidR="00A56F9F" w:rsidRPr="00C91CBB" w:rsidRDefault="008E5D00" w:rsidP="00A56F9F">
      <w:pPr>
        <w:ind w:left="1134" w:hanging="1134"/>
        <w:rPr>
          <w:i/>
          <w:iCs/>
        </w:rPr>
      </w:pPr>
      <w:r w:rsidRPr="00C91CBB">
        <w:rPr>
          <w:b/>
          <w:bCs/>
        </w:rPr>
        <w:t>Solution proposed in Assessment Report</w:t>
      </w:r>
      <w:r w:rsidR="00A56F9F" w:rsidRPr="00C91CBB">
        <w:t>:</w:t>
      </w:r>
      <w:r w:rsidR="00A56F9F" w:rsidRPr="00C91CBB">
        <w:tab/>
      </w:r>
      <w:r w:rsidR="00A56F9F" w:rsidRPr="00C91CBB">
        <w:rPr>
          <w:lang w:val="en-AU"/>
        </w:rPr>
        <w:t>Update the provisions in Standard 2.6.2 for the composition of packaged waters in relation to the presence of certain substances. Replace subclause 2(2) and the Table to sub-clause 2(2) in Standard 2.6.2 with the following sentence:</w:t>
      </w:r>
    </w:p>
    <w:p w:rsidR="00A56F9F" w:rsidRPr="00C91CBB" w:rsidRDefault="00A56F9F" w:rsidP="00A56F9F">
      <w:pPr>
        <w:ind w:left="1134"/>
        <w:rPr>
          <w:lang w:val="en-AU"/>
        </w:rPr>
      </w:pPr>
      <w:r w:rsidRPr="00C91CBB">
        <w:rPr>
          <w:lang w:val="en-AU"/>
        </w:rPr>
        <w:t xml:space="preserve">‘Water presented in packaged form must not contain substances at greater levels than the guideline values specified in </w:t>
      </w:r>
      <w:r w:rsidRPr="00C91CBB">
        <w:rPr>
          <w:i/>
          <w:iCs/>
          <w:lang w:val="en-AU"/>
        </w:rPr>
        <w:t>Annex 4 Chemical summary tables, Table A4.3 Guideline values for chemicals that are of health significance in drinking-water</w:t>
      </w:r>
      <w:r w:rsidRPr="00C91CBB">
        <w:rPr>
          <w:lang w:val="en-AU"/>
        </w:rPr>
        <w:t xml:space="preserve"> in the</w:t>
      </w:r>
      <w:r w:rsidRPr="00C91CBB">
        <w:rPr>
          <w:i/>
          <w:iCs/>
          <w:lang w:val="en-AU"/>
        </w:rPr>
        <w:t xml:space="preserve"> Guidelines for drinking-water quality, 3</w:t>
      </w:r>
      <w:r w:rsidRPr="00C91CBB">
        <w:rPr>
          <w:i/>
          <w:iCs/>
          <w:vertAlign w:val="superscript"/>
          <w:lang w:val="en-AU"/>
        </w:rPr>
        <w:t>rd</w:t>
      </w:r>
      <w:r w:rsidRPr="00C91CBB">
        <w:rPr>
          <w:i/>
          <w:iCs/>
          <w:lang w:val="en-AU"/>
        </w:rPr>
        <w:t xml:space="preserve"> edition incorporating the 1</w:t>
      </w:r>
      <w:r w:rsidRPr="00C91CBB">
        <w:rPr>
          <w:i/>
          <w:iCs/>
          <w:vertAlign w:val="superscript"/>
          <w:lang w:val="en-AU"/>
        </w:rPr>
        <w:t>st</w:t>
      </w:r>
      <w:r w:rsidRPr="00C91CBB">
        <w:rPr>
          <w:i/>
          <w:iCs/>
          <w:lang w:val="en-AU"/>
        </w:rPr>
        <w:t xml:space="preserve"> and 2</w:t>
      </w:r>
      <w:r w:rsidRPr="00C91CBB">
        <w:rPr>
          <w:i/>
          <w:iCs/>
          <w:vertAlign w:val="superscript"/>
          <w:lang w:val="en-AU"/>
        </w:rPr>
        <w:t>nd</w:t>
      </w:r>
      <w:r w:rsidRPr="00C91CBB">
        <w:rPr>
          <w:i/>
          <w:iCs/>
          <w:lang w:val="en-AU"/>
        </w:rPr>
        <w:t xml:space="preserve"> addenda, Volume 1 Recommendations, World Health Organization, Geneva 2008</w:t>
      </w:r>
      <w:r w:rsidRPr="00C91CBB">
        <w:rPr>
          <w:lang w:val="en-AU"/>
        </w:rPr>
        <w:t>.’</w:t>
      </w:r>
    </w:p>
    <w:p w:rsidR="00A56F9F" w:rsidRPr="00C91CBB" w:rsidRDefault="00A56F9F" w:rsidP="00A56F9F">
      <w:pPr>
        <w:ind w:left="1134"/>
      </w:pPr>
      <w:r w:rsidRPr="00C91CBB">
        <w:rPr>
          <w:lang w:val="en-AU"/>
        </w:rPr>
        <w:t>Amend Standard 1.4.2 to clarify that the Standard does not apply to packaged water.</w:t>
      </w:r>
    </w:p>
    <w:p w:rsidR="008E5D00" w:rsidRPr="00C91CBB" w:rsidRDefault="008E5D00" w:rsidP="008E5D00">
      <w:pPr>
        <w:ind w:left="1134" w:hanging="1134"/>
        <w:rPr>
          <w:rFonts w:cs="Arial"/>
          <w:szCs w:val="22"/>
        </w:rPr>
      </w:pPr>
      <w:r w:rsidRPr="00C91CBB">
        <w:rPr>
          <w:rFonts w:cs="Arial"/>
          <w:b/>
          <w:bCs/>
          <w:szCs w:val="22"/>
        </w:rPr>
        <w:t>Submitter comments and FSANZ response:</w:t>
      </w:r>
      <w:r w:rsidRPr="00C91CBB">
        <w:rPr>
          <w:rFonts w:cs="Arial"/>
          <w:szCs w:val="22"/>
        </w:rPr>
        <w:t xml:space="preserve"> No information was received to the explicit question regarding whether or not this change would have commercial, trade or health impacts.</w:t>
      </w:r>
    </w:p>
    <w:p w:rsidR="008E5D00" w:rsidRPr="00C91CBB" w:rsidRDefault="008E5D00" w:rsidP="00C91CBB">
      <w:pPr>
        <w:ind w:left="1134"/>
        <w:rPr>
          <w:bCs/>
        </w:rPr>
      </w:pPr>
      <w:r w:rsidRPr="00C91CBB">
        <w:rPr>
          <w:rFonts w:cs="Arial"/>
          <w:bCs/>
          <w:szCs w:val="22"/>
        </w:rPr>
        <w:t xml:space="preserve">However three jurisdictions requested this proposed amendment not proceed as they did not feel there was sufficient consideration of </w:t>
      </w:r>
      <w:r w:rsidR="00C91CBB">
        <w:rPr>
          <w:rFonts w:cs="Arial"/>
          <w:bCs/>
          <w:szCs w:val="22"/>
        </w:rPr>
        <w:t>all t</w:t>
      </w:r>
      <w:r w:rsidRPr="00C91CBB">
        <w:rPr>
          <w:rFonts w:cs="Arial"/>
          <w:bCs/>
          <w:szCs w:val="22"/>
        </w:rPr>
        <w:t>he issues.</w:t>
      </w:r>
      <w:r w:rsidR="00C91CBB">
        <w:rPr>
          <w:rFonts w:cs="Arial"/>
          <w:bCs/>
          <w:szCs w:val="22"/>
        </w:rPr>
        <w:t xml:space="preserve"> </w:t>
      </w:r>
      <w:r w:rsidRPr="00C91CBB">
        <w:rPr>
          <w:rFonts w:cs="Arial"/>
          <w:bCs/>
          <w:szCs w:val="22"/>
        </w:rPr>
        <w:t xml:space="preserve">They also noted that FSANZ has received an Application (A1043) covering this </w:t>
      </w:r>
      <w:r w:rsidR="00C91CBB" w:rsidRPr="00C91CBB">
        <w:rPr>
          <w:rFonts w:cs="Arial"/>
          <w:bCs/>
          <w:szCs w:val="22"/>
        </w:rPr>
        <w:t>matter</w:t>
      </w:r>
      <w:r w:rsidRPr="00C91CBB">
        <w:rPr>
          <w:rFonts w:cs="Arial"/>
          <w:bCs/>
          <w:szCs w:val="22"/>
        </w:rPr>
        <w:t>.</w:t>
      </w:r>
    </w:p>
    <w:p w:rsidR="008E5D00" w:rsidRDefault="00C91CBB" w:rsidP="008E5D00">
      <w:pPr>
        <w:ind w:left="1134"/>
        <w:rPr>
          <w:rFonts w:cs="Arial"/>
          <w:bCs/>
          <w:szCs w:val="22"/>
        </w:rPr>
      </w:pPr>
      <w:r w:rsidRPr="00C91CBB">
        <w:rPr>
          <w:rFonts w:cs="Arial"/>
          <w:bCs/>
          <w:szCs w:val="22"/>
        </w:rPr>
        <w:t>Accordingly</w:t>
      </w:r>
      <w:r>
        <w:rPr>
          <w:rFonts w:cs="Arial"/>
          <w:bCs/>
          <w:szCs w:val="22"/>
        </w:rPr>
        <w:t xml:space="preserve"> </w:t>
      </w:r>
      <w:r w:rsidR="008E5D00" w:rsidRPr="00BD0844">
        <w:rPr>
          <w:rFonts w:cs="Arial"/>
          <w:bCs/>
          <w:szCs w:val="22"/>
        </w:rPr>
        <w:t xml:space="preserve">FSANZ </w:t>
      </w:r>
      <w:r w:rsidR="000C14DF">
        <w:rPr>
          <w:rFonts w:cs="Arial"/>
          <w:bCs/>
          <w:szCs w:val="22"/>
        </w:rPr>
        <w:t>has</w:t>
      </w:r>
      <w:r>
        <w:rPr>
          <w:rFonts w:cs="Arial"/>
          <w:bCs/>
          <w:szCs w:val="22"/>
        </w:rPr>
        <w:t xml:space="preserve"> not proceed</w:t>
      </w:r>
      <w:r w:rsidR="000C14DF">
        <w:rPr>
          <w:rFonts w:cs="Arial"/>
          <w:bCs/>
          <w:szCs w:val="22"/>
        </w:rPr>
        <w:t>ed</w:t>
      </w:r>
      <w:r>
        <w:rPr>
          <w:rFonts w:cs="Arial"/>
          <w:bCs/>
          <w:szCs w:val="22"/>
        </w:rPr>
        <w:t xml:space="preserve"> with the actions proposed in the Assessment Report</w:t>
      </w:r>
      <w:r w:rsidR="001E4FA3">
        <w:rPr>
          <w:rFonts w:cs="Arial"/>
          <w:bCs/>
          <w:szCs w:val="22"/>
        </w:rPr>
        <w:t xml:space="preserve"> but will progress the issue through the Application</w:t>
      </w:r>
      <w:r>
        <w:rPr>
          <w:rFonts w:cs="Arial"/>
          <w:bCs/>
          <w:szCs w:val="22"/>
        </w:rPr>
        <w:t>.</w:t>
      </w:r>
    </w:p>
    <w:p w:rsidR="00A56F9F" w:rsidRPr="00081152" w:rsidRDefault="00A56F9F" w:rsidP="00A56F9F"/>
    <w:p w:rsidR="00A56F9F" w:rsidRPr="00081152" w:rsidRDefault="00A56F9F" w:rsidP="00A56F9F">
      <w:pPr>
        <w:pStyle w:val="Heading3"/>
      </w:pPr>
      <w:bookmarkStart w:id="105" w:name="_Toc280003230"/>
      <w:bookmarkStart w:id="106" w:name="_Toc290973053"/>
      <w:r w:rsidRPr="00081152">
        <w:t>3.36</w:t>
      </w:r>
      <w:r w:rsidRPr="00081152">
        <w:tab/>
        <w:t>Standard 2.6.3 – Kava</w:t>
      </w:r>
      <w:bookmarkEnd w:id="105"/>
      <w:bookmarkEnd w:id="106"/>
    </w:p>
    <w:p w:rsidR="00A56F9F" w:rsidRPr="00081152" w:rsidRDefault="00A56F9F" w:rsidP="00A56F9F"/>
    <w:p w:rsidR="00A56F9F" w:rsidRPr="00081152" w:rsidRDefault="00A56F9F" w:rsidP="00A56F9F">
      <w:r w:rsidRPr="00081152">
        <w:rPr>
          <w:b/>
          <w:bCs/>
        </w:rPr>
        <w:t>Location</w:t>
      </w:r>
      <w:r w:rsidRPr="00081152">
        <w:t>:</w:t>
      </w:r>
      <w:r w:rsidRPr="00081152">
        <w:tab/>
        <w:t xml:space="preserve">Purpose </w:t>
      </w:r>
    </w:p>
    <w:p w:rsidR="00A56F9F" w:rsidRPr="00081152" w:rsidRDefault="00A56F9F" w:rsidP="00A56F9F">
      <w:pPr>
        <w:ind w:left="1134" w:hanging="1134"/>
      </w:pPr>
      <w:r w:rsidRPr="00081152">
        <w:rPr>
          <w:b/>
          <w:bCs/>
        </w:rPr>
        <w:t>Issue 108</w:t>
      </w:r>
      <w:r w:rsidRPr="00081152">
        <w:t>:</w:t>
      </w:r>
      <w:r w:rsidRPr="00081152">
        <w:tab/>
        <w:t>The Purpose indicates that this Standard regulates the ‘sale and distribution’ of kava</w:t>
      </w:r>
      <w:r w:rsidR="001E4FA3">
        <w:t>.</w:t>
      </w:r>
      <w:r w:rsidRPr="00081152">
        <w:t xml:space="preserve"> </w:t>
      </w:r>
      <w:r w:rsidR="001E4FA3">
        <w:t>H</w:t>
      </w:r>
      <w:r w:rsidRPr="00081152">
        <w:t xml:space="preserve">owever it regulates the form and labelling of kava. </w:t>
      </w:r>
    </w:p>
    <w:p w:rsidR="00081152" w:rsidRPr="00081152" w:rsidRDefault="00081152" w:rsidP="00081152">
      <w:r w:rsidRPr="00081152">
        <w:rPr>
          <w:b/>
          <w:bCs/>
        </w:rPr>
        <w:t>Solution proposed in Assessment Report:</w:t>
      </w:r>
      <w:r w:rsidRPr="00081152">
        <w:rPr>
          <w:bCs/>
        </w:rPr>
        <w:t xml:space="preserve"> </w:t>
      </w:r>
      <w:r w:rsidRPr="00081152">
        <w:t xml:space="preserve">Replace ‘sale and distribution’ with ‘form and </w:t>
      </w:r>
      <w:r w:rsidR="004E53E0">
        <w:tab/>
      </w:r>
      <w:r w:rsidR="004E53E0">
        <w:tab/>
      </w:r>
      <w:r w:rsidRPr="00081152">
        <w:t xml:space="preserve">labelling’. </w:t>
      </w:r>
    </w:p>
    <w:p w:rsidR="00A56F9F" w:rsidRPr="00527B29" w:rsidRDefault="00081152" w:rsidP="004E53E0">
      <w:pPr>
        <w:ind w:left="1134" w:hanging="1134"/>
      </w:pPr>
      <w:r w:rsidRPr="00081152">
        <w:rPr>
          <w:rFonts w:cs="Arial"/>
          <w:b/>
          <w:bCs/>
          <w:szCs w:val="22"/>
        </w:rPr>
        <w:t xml:space="preserve">Submitter comments and FSANZ response: </w:t>
      </w:r>
      <w:r w:rsidRPr="00081152">
        <w:rPr>
          <w:rFonts w:cs="Arial"/>
          <w:bCs/>
          <w:szCs w:val="22"/>
        </w:rPr>
        <w:t>A submitter noted that the labelling requirements outlined in the first sentence of the Purpose do not need to be repeated in the second sentence. FSANZ agrees there is repetition.</w:t>
      </w:r>
      <w:r w:rsidRPr="00081152">
        <w:rPr>
          <w:rFonts w:cs="Arial"/>
          <w:b/>
          <w:bCs/>
          <w:szCs w:val="22"/>
        </w:rPr>
        <w:t xml:space="preserve"> </w:t>
      </w:r>
      <w:r w:rsidR="00D1209A" w:rsidRPr="00D1209A">
        <w:rPr>
          <w:rFonts w:cs="Arial"/>
          <w:bCs/>
          <w:szCs w:val="22"/>
        </w:rPr>
        <w:t xml:space="preserve">Therefore </w:t>
      </w:r>
      <w:r w:rsidR="00CF5DDD">
        <w:t xml:space="preserve">the Purpose has been rewritten to better reflect the purpose of the Standard </w:t>
      </w:r>
      <w:r w:rsidR="00D1209A">
        <w:t xml:space="preserve">and </w:t>
      </w:r>
      <w:r w:rsidRPr="00081152">
        <w:t xml:space="preserve">the second sentence of the </w:t>
      </w:r>
      <w:r w:rsidRPr="00527B29">
        <w:t>Purpose</w:t>
      </w:r>
      <w:r w:rsidR="00D1209A">
        <w:t xml:space="preserve"> omitted to remove the repetition.</w:t>
      </w:r>
      <w:r w:rsidRPr="00527B29">
        <w:t xml:space="preserve"> </w:t>
      </w:r>
    </w:p>
    <w:p w:rsidR="00A56F9F" w:rsidRPr="00527B29" w:rsidRDefault="00A56F9F" w:rsidP="00A56F9F"/>
    <w:p w:rsidR="00A56F9F" w:rsidRPr="00527B29" w:rsidRDefault="00A56F9F" w:rsidP="00A56F9F">
      <w:pPr>
        <w:ind w:left="1134" w:hanging="1134"/>
      </w:pPr>
      <w:r w:rsidRPr="00527B29">
        <w:rPr>
          <w:b/>
          <w:bCs/>
        </w:rPr>
        <w:t>Location</w:t>
      </w:r>
      <w:r w:rsidRPr="00527B29">
        <w:t>:</w:t>
      </w:r>
      <w:r w:rsidRPr="00527B29">
        <w:tab/>
        <w:t>Clause 2, reference to ‘peeled root and/or peeled rootstock’</w:t>
      </w:r>
    </w:p>
    <w:p w:rsidR="00A56F9F" w:rsidRPr="00527B29" w:rsidRDefault="00A56F9F" w:rsidP="00A56F9F">
      <w:pPr>
        <w:ind w:left="1134" w:hanging="1134"/>
        <w:rPr>
          <w:rFonts w:cs="Arial"/>
          <w:szCs w:val="22"/>
        </w:rPr>
      </w:pPr>
      <w:r w:rsidRPr="004E53E0">
        <w:rPr>
          <w:b/>
          <w:bCs/>
        </w:rPr>
        <w:t>Issue 109</w:t>
      </w:r>
      <w:r w:rsidRPr="004E53E0">
        <w:rPr>
          <w:b/>
        </w:rPr>
        <w:t>:</w:t>
      </w:r>
      <w:r w:rsidRPr="00527B29">
        <w:tab/>
      </w:r>
      <w:r w:rsidRPr="00527B29">
        <w:rPr>
          <w:rFonts w:cs="Arial"/>
          <w:szCs w:val="22"/>
        </w:rPr>
        <w:t xml:space="preserve">OLDP recommendation to </w:t>
      </w:r>
      <w:r w:rsidRPr="00527B29">
        <w:rPr>
          <w:rFonts w:cs="Arial"/>
          <w:szCs w:val="22"/>
          <w:lang w:val="en-AU"/>
        </w:rPr>
        <w:t xml:space="preserve">clarify meaning of </w:t>
      </w:r>
      <w:r w:rsidRPr="00527B29">
        <w:rPr>
          <w:rFonts w:cs="Arial"/>
          <w:szCs w:val="22"/>
        </w:rPr>
        <w:t>‘and/or’</w:t>
      </w:r>
    </w:p>
    <w:p w:rsidR="00A56F9F" w:rsidRPr="00527B29" w:rsidRDefault="00A56F9F" w:rsidP="00A56F9F">
      <w:pPr>
        <w:widowControl/>
        <w:rPr>
          <w:bCs/>
        </w:rPr>
      </w:pPr>
      <w:r w:rsidRPr="004E53E0">
        <w:rPr>
          <w:rFonts w:cs="Arial"/>
          <w:b/>
          <w:bCs/>
          <w:szCs w:val="22"/>
        </w:rPr>
        <w:t>Solution</w:t>
      </w:r>
      <w:r w:rsidRPr="004E53E0">
        <w:rPr>
          <w:rFonts w:cs="Arial"/>
          <w:b/>
          <w:szCs w:val="22"/>
        </w:rPr>
        <w:t>:</w:t>
      </w:r>
      <w:r w:rsidRPr="00527B29">
        <w:rPr>
          <w:rFonts w:cs="Arial"/>
          <w:szCs w:val="22"/>
        </w:rPr>
        <w:tab/>
      </w:r>
      <w:r w:rsidRPr="00527B29">
        <w:rPr>
          <w:bCs/>
        </w:rPr>
        <w:t xml:space="preserve">Replace ‘and/or’ with ‘or’. </w:t>
      </w:r>
    </w:p>
    <w:p w:rsidR="001E03F6" w:rsidRPr="00527B29" w:rsidRDefault="001E03F6" w:rsidP="00A56F9F">
      <w:pPr>
        <w:widowControl/>
        <w:rPr>
          <w:bCs/>
        </w:rPr>
      </w:pPr>
    </w:p>
    <w:p w:rsidR="00A56F9F" w:rsidRPr="00527B29" w:rsidRDefault="00A56F9F" w:rsidP="00A56F9F">
      <w:pPr>
        <w:pStyle w:val="Heading3"/>
      </w:pPr>
      <w:bookmarkStart w:id="107" w:name="_Toc280003231"/>
      <w:bookmarkStart w:id="108" w:name="_Toc290973054"/>
      <w:r w:rsidRPr="00527B29">
        <w:t>3.37</w:t>
      </w:r>
      <w:r w:rsidRPr="00527B29">
        <w:tab/>
        <w:t>Standard 2.7.1 – Labelling of Alcoholic Beverages and Food Containing Alcohol</w:t>
      </w:r>
      <w:bookmarkEnd w:id="107"/>
      <w:bookmarkEnd w:id="108"/>
      <w:r w:rsidRPr="00527B29">
        <w:t xml:space="preserve"> </w:t>
      </w:r>
    </w:p>
    <w:p w:rsidR="00A56F9F" w:rsidRPr="00527B29" w:rsidRDefault="00A56F9F" w:rsidP="00A56F9F"/>
    <w:p w:rsidR="00A56F9F" w:rsidRPr="00343D13" w:rsidRDefault="00A56F9F" w:rsidP="00A56F9F">
      <w:pPr>
        <w:rPr>
          <w:bCs/>
        </w:rPr>
      </w:pPr>
      <w:r w:rsidRPr="00527B29">
        <w:rPr>
          <w:b/>
          <w:bCs/>
        </w:rPr>
        <w:t>Location</w:t>
      </w:r>
      <w:r w:rsidRPr="00527B29">
        <w:t>:</w:t>
      </w:r>
      <w:r w:rsidRPr="00527B29">
        <w:tab/>
      </w:r>
      <w:r w:rsidRPr="00527B29">
        <w:rPr>
          <w:bCs/>
        </w:rPr>
        <w:t>Table to</w:t>
      </w:r>
      <w:r w:rsidRPr="00343D13">
        <w:rPr>
          <w:bCs/>
        </w:rPr>
        <w:t xml:space="preserve"> clause 2, column 1</w:t>
      </w:r>
    </w:p>
    <w:p w:rsidR="00A56F9F" w:rsidRPr="00343D13" w:rsidRDefault="00A56F9F" w:rsidP="00A56F9F">
      <w:pPr>
        <w:ind w:left="1134" w:hanging="1134"/>
        <w:rPr>
          <w:lang w:val="en-AU"/>
        </w:rPr>
      </w:pPr>
      <w:r w:rsidRPr="00343D13">
        <w:rPr>
          <w:b/>
          <w:bCs/>
          <w:lang w:val="en-AU"/>
        </w:rPr>
        <w:t>Issue 110</w:t>
      </w:r>
      <w:r w:rsidRPr="00343D13">
        <w:rPr>
          <w:lang w:val="en-AU"/>
        </w:rPr>
        <w:t>:</w:t>
      </w:r>
      <w:r w:rsidRPr="00343D13">
        <w:rPr>
          <w:lang w:val="en-AU"/>
        </w:rPr>
        <w:tab/>
        <w:t>The expressions ‘containing not more than’ and ‘no less than’ are difficult to follow.</w:t>
      </w:r>
    </w:p>
    <w:p w:rsidR="00343D13" w:rsidRPr="00343D13" w:rsidRDefault="00343D13" w:rsidP="00343D13">
      <w:pPr>
        <w:ind w:left="1134" w:hanging="1134"/>
      </w:pPr>
      <w:r w:rsidRPr="00343D13">
        <w:rPr>
          <w:b/>
          <w:bCs/>
        </w:rPr>
        <w:t>Solution proposed in Assessment Report:</w:t>
      </w:r>
      <w:r w:rsidRPr="00343D13">
        <w:rPr>
          <w:bCs/>
        </w:rPr>
        <w:t xml:space="preserve"> </w:t>
      </w:r>
      <w:r w:rsidRPr="00343D13">
        <w:t>Amend to ‘</w:t>
      </w:r>
      <w:r w:rsidRPr="00343D13">
        <w:rPr>
          <w:bCs/>
        </w:rPr>
        <w:t>Alcoholic beverages containing 1.15% or less alcohol by volume’ and ‘Beverages containing 0.5% or more alcohol by volume’.</w:t>
      </w:r>
    </w:p>
    <w:p w:rsidR="00343D13" w:rsidRPr="00CB7CC9" w:rsidRDefault="00343D13" w:rsidP="00343D13">
      <w:pPr>
        <w:ind w:left="1134" w:hanging="1134"/>
        <w:rPr>
          <w:szCs w:val="22"/>
        </w:rPr>
      </w:pPr>
      <w:r w:rsidRPr="00CB7CC9">
        <w:rPr>
          <w:rFonts w:cs="Arial"/>
          <w:b/>
          <w:bCs/>
          <w:szCs w:val="22"/>
        </w:rPr>
        <w:t xml:space="preserve">Submitter comments and FSANZ response: </w:t>
      </w:r>
      <w:r w:rsidRPr="00CB7CC9">
        <w:rPr>
          <w:rFonts w:cs="Arial"/>
          <w:bCs/>
          <w:szCs w:val="22"/>
        </w:rPr>
        <w:t>The wording would be</w:t>
      </w:r>
      <w:r w:rsidRPr="00CB7CC9">
        <w:rPr>
          <w:rFonts w:cs="Arial"/>
          <w:b/>
          <w:bCs/>
          <w:szCs w:val="22"/>
        </w:rPr>
        <w:t xml:space="preserve"> </w:t>
      </w:r>
      <w:r w:rsidRPr="00CB7CC9">
        <w:rPr>
          <w:szCs w:val="22"/>
        </w:rPr>
        <w:t>even clearer if the words ‘but less than 1.15% alcohol by volume’ were added after ‘Beverages containing 0.5% or more’. FSANZ a</w:t>
      </w:r>
      <w:r w:rsidR="00CF5DDD">
        <w:rPr>
          <w:szCs w:val="22"/>
        </w:rPr>
        <w:t xml:space="preserve">grees with this recommendation and has amended the drafting to reflect the submitter’s recommendation. </w:t>
      </w:r>
    </w:p>
    <w:p w:rsidR="00A56F9F" w:rsidRPr="00CB7CC9" w:rsidRDefault="00A56F9F" w:rsidP="00A56F9F"/>
    <w:p w:rsidR="00742C40" w:rsidRDefault="00742C40" w:rsidP="00A56F9F">
      <w:pPr>
        <w:pStyle w:val="Heading3"/>
      </w:pPr>
      <w:bookmarkStart w:id="109" w:name="_Toc280003232"/>
      <w:bookmarkStart w:id="110" w:name="_Toc290973055"/>
      <w:r>
        <w:br w:type="page"/>
      </w:r>
    </w:p>
    <w:p w:rsidR="00A56F9F" w:rsidRPr="00CB7CC9" w:rsidRDefault="00A56F9F" w:rsidP="00A56F9F">
      <w:pPr>
        <w:pStyle w:val="Heading3"/>
      </w:pPr>
      <w:r w:rsidRPr="00CB7CC9">
        <w:lastRenderedPageBreak/>
        <w:t>3.38</w:t>
      </w:r>
      <w:r w:rsidRPr="00CB7CC9">
        <w:tab/>
        <w:t>Various Part 2.7 Standards</w:t>
      </w:r>
      <w:bookmarkEnd w:id="109"/>
      <w:bookmarkEnd w:id="110"/>
    </w:p>
    <w:p w:rsidR="00A56F9F" w:rsidRPr="00CB7CC9" w:rsidRDefault="00A56F9F" w:rsidP="00A56F9F"/>
    <w:p w:rsidR="00A56F9F" w:rsidRPr="00CB7CC9" w:rsidRDefault="00A56F9F" w:rsidP="00A56F9F">
      <w:pPr>
        <w:ind w:left="1134" w:hanging="1134"/>
      </w:pPr>
      <w:r w:rsidRPr="00CB7CC9">
        <w:rPr>
          <w:b/>
          <w:bCs/>
        </w:rPr>
        <w:t>Location</w:t>
      </w:r>
      <w:r w:rsidRPr="00CB7CC9">
        <w:t>:</w:t>
      </w:r>
      <w:r w:rsidRPr="00CB7CC9">
        <w:tab/>
        <w:t>Clause 2 of Standards 2.7.2 – Beer, 2.7.3 – Fruit Wine and Vegetable Wine, and 2.7.4 – Wine and Wine Product, and clauses 2 and 3 of Standard 2.7.5 - Spirits</w:t>
      </w:r>
    </w:p>
    <w:p w:rsidR="00A56F9F" w:rsidRPr="00CB7CC9" w:rsidRDefault="00A56F9F" w:rsidP="00A56F9F">
      <w:pPr>
        <w:ind w:left="1134" w:hanging="1134"/>
      </w:pPr>
      <w:r w:rsidRPr="00CB7CC9">
        <w:rPr>
          <w:b/>
          <w:bCs/>
        </w:rPr>
        <w:t>Issue 111</w:t>
      </w:r>
      <w:r w:rsidRPr="00CB7CC9">
        <w:t>:</w:t>
      </w:r>
      <w:r w:rsidRPr="00CB7CC9">
        <w:tab/>
        <w:t xml:space="preserve">The clause headings refer to composition, so it is not clear these clauses are about permitted ingredients. </w:t>
      </w:r>
    </w:p>
    <w:p w:rsidR="00A56F9F" w:rsidRPr="00CB7CC9" w:rsidRDefault="00CB7CC9" w:rsidP="00A56F9F">
      <w:pPr>
        <w:ind w:left="1134" w:hanging="1134"/>
      </w:pPr>
      <w:r w:rsidRPr="00CB7CC9">
        <w:rPr>
          <w:rFonts w:cs="Arial"/>
          <w:b/>
          <w:bCs/>
          <w:szCs w:val="22"/>
        </w:rPr>
        <w:t>Submitter comments and FSANZ response</w:t>
      </w:r>
      <w:r w:rsidR="00A56F9F" w:rsidRPr="00CB7CC9">
        <w:t>:</w:t>
      </w:r>
      <w:r w:rsidR="00A56F9F" w:rsidRPr="00CB7CC9">
        <w:tab/>
      </w:r>
      <w:r w:rsidR="00A56F9F" w:rsidRPr="00CB7CC9">
        <w:rPr>
          <w:bCs/>
        </w:rPr>
        <w:t xml:space="preserve">Redraft to clarify that the clauses are about permission to add ingredients. </w:t>
      </w:r>
    </w:p>
    <w:p w:rsidR="00CB7CC9" w:rsidRPr="00CB7CC9" w:rsidRDefault="00CB7CC9" w:rsidP="00CB7CC9">
      <w:pPr>
        <w:pStyle w:val="FSTableText"/>
        <w:ind w:left="1134" w:hanging="1134"/>
        <w:rPr>
          <w:sz w:val="22"/>
          <w:szCs w:val="22"/>
        </w:rPr>
      </w:pPr>
      <w:r w:rsidRPr="00CB7CC9">
        <w:rPr>
          <w:b/>
          <w:bCs/>
          <w:sz w:val="22"/>
          <w:szCs w:val="22"/>
        </w:rPr>
        <w:t>Submitter comments and FSANZ response:</w:t>
      </w:r>
      <w:r w:rsidRPr="00CB7CC9">
        <w:rPr>
          <w:sz w:val="22"/>
          <w:szCs w:val="22"/>
        </w:rPr>
        <w:t xml:space="preserve"> One submitter stated that the proposed amendment could create more uncertainty as the emphasis on ‘permitted ingredients’ implies that the list is comprehensive and therefore fully inclusive of additive permissions. </w:t>
      </w:r>
      <w:r w:rsidRPr="00CB7CC9">
        <w:rPr>
          <w:sz w:val="22"/>
          <w:szCs w:val="22"/>
        </w:rPr>
        <w:br/>
        <w:t>FSANZ agrees as there was no intention to imply a c</w:t>
      </w:r>
      <w:r w:rsidR="00CF5DDD">
        <w:rPr>
          <w:sz w:val="22"/>
          <w:szCs w:val="22"/>
        </w:rPr>
        <w:t>hange in permission. ‘Permitted’ and ‘</w:t>
      </w:r>
      <w:r w:rsidRPr="00CB7CC9">
        <w:rPr>
          <w:sz w:val="22"/>
          <w:szCs w:val="22"/>
        </w:rPr>
        <w:t xml:space="preserve">ingredients’ </w:t>
      </w:r>
      <w:r w:rsidR="000C14DF">
        <w:rPr>
          <w:sz w:val="22"/>
          <w:szCs w:val="22"/>
        </w:rPr>
        <w:t>ha</w:t>
      </w:r>
      <w:r w:rsidR="006B6F64">
        <w:rPr>
          <w:sz w:val="22"/>
          <w:szCs w:val="22"/>
        </w:rPr>
        <w:t>ve</w:t>
      </w:r>
      <w:r w:rsidRPr="00CB7CC9">
        <w:rPr>
          <w:sz w:val="22"/>
          <w:szCs w:val="22"/>
        </w:rPr>
        <w:t xml:space="preserve"> be</w:t>
      </w:r>
      <w:r w:rsidR="000C14DF">
        <w:rPr>
          <w:sz w:val="22"/>
          <w:szCs w:val="22"/>
        </w:rPr>
        <w:t>en</w:t>
      </w:r>
      <w:r w:rsidRPr="00CB7CC9">
        <w:rPr>
          <w:sz w:val="22"/>
          <w:szCs w:val="22"/>
        </w:rPr>
        <w:t xml:space="preserve"> removed </w:t>
      </w:r>
      <w:r w:rsidR="00BE24A0">
        <w:rPr>
          <w:sz w:val="22"/>
          <w:szCs w:val="22"/>
        </w:rPr>
        <w:t>and the clause headings amended to refer to the addition of other foods.</w:t>
      </w:r>
      <w:r w:rsidRPr="00CB7CC9">
        <w:rPr>
          <w:sz w:val="22"/>
          <w:szCs w:val="22"/>
        </w:rPr>
        <w:t xml:space="preserve"> </w:t>
      </w:r>
      <w:r w:rsidR="006B6F64">
        <w:rPr>
          <w:sz w:val="22"/>
          <w:szCs w:val="22"/>
        </w:rPr>
        <w:t xml:space="preserve">No amendment has been made to clause 2 of Standard 2.7.2 – Beer as this heading already referred to the addition of other foods. </w:t>
      </w:r>
    </w:p>
    <w:p w:rsidR="00A56F9F" w:rsidRPr="00FB365D" w:rsidRDefault="00A56F9F" w:rsidP="00A56F9F"/>
    <w:p w:rsidR="00A56F9F" w:rsidRPr="00FB365D" w:rsidRDefault="00A56F9F" w:rsidP="00A56F9F">
      <w:pPr>
        <w:pStyle w:val="Heading3"/>
      </w:pPr>
      <w:bookmarkStart w:id="111" w:name="_Toc280003233"/>
      <w:bookmarkStart w:id="112" w:name="_Toc290973056"/>
      <w:r w:rsidRPr="00FB365D">
        <w:t>3.39</w:t>
      </w:r>
      <w:r w:rsidRPr="00FB365D">
        <w:tab/>
        <w:t>Standard 2.7.3 – Fruit Wine and Vegetable Wine</w:t>
      </w:r>
      <w:bookmarkEnd w:id="111"/>
      <w:bookmarkEnd w:id="112"/>
      <w:r w:rsidRPr="00FB365D">
        <w:t xml:space="preserve"> </w:t>
      </w:r>
    </w:p>
    <w:p w:rsidR="00A56F9F" w:rsidRPr="00FB365D" w:rsidRDefault="00A56F9F" w:rsidP="00A56F9F"/>
    <w:p w:rsidR="00A56F9F" w:rsidRPr="00FB365D" w:rsidRDefault="00A56F9F" w:rsidP="00A56F9F">
      <w:pPr>
        <w:ind w:left="1134" w:hanging="1134"/>
      </w:pPr>
      <w:r w:rsidRPr="00FB365D">
        <w:rPr>
          <w:b/>
          <w:bCs/>
        </w:rPr>
        <w:t>Location</w:t>
      </w:r>
      <w:r w:rsidRPr="00FB365D">
        <w:t>:</w:t>
      </w:r>
      <w:r w:rsidRPr="00FB365D">
        <w:tab/>
        <w:t xml:space="preserve">Clause 1 </w:t>
      </w:r>
    </w:p>
    <w:p w:rsidR="00A56F9F" w:rsidRPr="00FB365D" w:rsidRDefault="00A56F9F" w:rsidP="00A56F9F">
      <w:pPr>
        <w:ind w:left="1134" w:hanging="1134"/>
      </w:pPr>
      <w:r w:rsidRPr="00FB365D">
        <w:rPr>
          <w:b/>
          <w:bCs/>
        </w:rPr>
        <w:t>Issue 112</w:t>
      </w:r>
      <w:r w:rsidRPr="00FB365D">
        <w:t>:</w:t>
      </w:r>
      <w:r w:rsidRPr="00FB365D">
        <w:tab/>
        <w:t>The terms ‘fruit wine and/or vegetable wine’ and ‘fruit wine and/or vegeta</w:t>
      </w:r>
      <w:r w:rsidR="00FB365D" w:rsidRPr="00FB365D">
        <w:t xml:space="preserve">ble wine product’ are defined. </w:t>
      </w:r>
      <w:r w:rsidRPr="00FB365D">
        <w:rPr>
          <w:rFonts w:cs="Arial"/>
          <w:szCs w:val="22"/>
        </w:rPr>
        <w:t xml:space="preserve">OLDP recommendation to </w:t>
      </w:r>
      <w:r w:rsidRPr="00FB365D">
        <w:rPr>
          <w:rFonts w:cs="Arial"/>
          <w:szCs w:val="22"/>
          <w:lang w:val="en-AU"/>
        </w:rPr>
        <w:t xml:space="preserve">clarify meaning of </w:t>
      </w:r>
      <w:r w:rsidRPr="00FB365D">
        <w:rPr>
          <w:rFonts w:cs="Arial"/>
          <w:szCs w:val="22"/>
        </w:rPr>
        <w:t xml:space="preserve">‘and/or’. These terms currently only apply in Standard 2.7.3 but are used in Standard 1.3.1. </w:t>
      </w:r>
    </w:p>
    <w:p w:rsidR="00A56F9F" w:rsidRPr="00FB365D" w:rsidRDefault="00A56F9F" w:rsidP="00A56F9F">
      <w:pPr>
        <w:ind w:left="1134" w:hanging="1134"/>
      </w:pPr>
      <w:r w:rsidRPr="00FB365D">
        <w:rPr>
          <w:b/>
          <w:bCs/>
        </w:rPr>
        <w:t>Solution</w:t>
      </w:r>
      <w:r w:rsidRPr="00FB365D">
        <w:t>:</w:t>
      </w:r>
      <w:r w:rsidRPr="00FB365D">
        <w:tab/>
        <w:t>Redraft to remove reference to ‘and/or’ and amend to apply these definitions wherever th</w:t>
      </w:r>
      <w:r w:rsidR="00FB365D" w:rsidRPr="00FB365D">
        <w:t>ese terms are used in the Code.</w:t>
      </w:r>
      <w:r w:rsidRPr="00FB365D">
        <w:t xml:space="preserve"> Modify the Purpose to reflect these amendments. </w:t>
      </w:r>
    </w:p>
    <w:p w:rsidR="00A56F9F" w:rsidRPr="00FB365D" w:rsidRDefault="00A56F9F" w:rsidP="00A56F9F"/>
    <w:p w:rsidR="00A56F9F" w:rsidRPr="00FB365D" w:rsidRDefault="00A56F9F" w:rsidP="00A56F9F">
      <w:pPr>
        <w:pStyle w:val="Heading3"/>
      </w:pPr>
      <w:bookmarkStart w:id="113" w:name="_Toc280003234"/>
      <w:bookmarkStart w:id="114" w:name="_Toc290973057"/>
      <w:r w:rsidRPr="00FB365D">
        <w:t>3.40</w:t>
      </w:r>
      <w:r w:rsidRPr="00FB365D">
        <w:tab/>
        <w:t>Standard 2.7.4 – Wine and Wine Product</w:t>
      </w:r>
      <w:bookmarkEnd w:id="113"/>
      <w:bookmarkEnd w:id="114"/>
    </w:p>
    <w:p w:rsidR="00A56F9F" w:rsidRPr="00FB365D" w:rsidRDefault="00A56F9F" w:rsidP="00A56F9F"/>
    <w:p w:rsidR="00A56F9F" w:rsidRPr="00FB365D" w:rsidRDefault="00A56F9F" w:rsidP="00A56F9F">
      <w:r w:rsidRPr="00FB365D">
        <w:rPr>
          <w:b/>
          <w:bCs/>
        </w:rPr>
        <w:t>Location</w:t>
      </w:r>
      <w:r w:rsidRPr="00FB365D">
        <w:t>:</w:t>
      </w:r>
      <w:r w:rsidRPr="00FB365D">
        <w:tab/>
        <w:t xml:space="preserve">Purpose </w:t>
      </w:r>
    </w:p>
    <w:p w:rsidR="00A56F9F" w:rsidRPr="00B7206F" w:rsidRDefault="00A56F9F" w:rsidP="00A56F9F">
      <w:pPr>
        <w:ind w:left="1134" w:hanging="1134"/>
      </w:pPr>
      <w:r w:rsidRPr="00FB365D">
        <w:rPr>
          <w:b/>
          <w:bCs/>
        </w:rPr>
        <w:t>Issue 113</w:t>
      </w:r>
      <w:r w:rsidRPr="00FB365D">
        <w:t>:</w:t>
      </w:r>
      <w:r w:rsidRPr="00FB365D">
        <w:tab/>
        <w:t>The information</w:t>
      </w:r>
      <w:r w:rsidRPr="00B7206F">
        <w:t xml:space="preserve"> in the Purpose relating to Acts and Regulations etc in Australia and New Zealand is not appropriate in a Purpose. </w:t>
      </w:r>
    </w:p>
    <w:p w:rsidR="00A56F9F" w:rsidRPr="00B7206F" w:rsidRDefault="00A56F9F" w:rsidP="00A56F9F">
      <w:r w:rsidRPr="00B7206F">
        <w:rPr>
          <w:b/>
          <w:bCs/>
        </w:rPr>
        <w:t>Solution</w:t>
      </w:r>
      <w:r w:rsidRPr="00B7206F">
        <w:t>:</w:t>
      </w:r>
      <w:r w:rsidRPr="00B7206F">
        <w:tab/>
        <w:t xml:space="preserve">Move the last two paragraphs of the Purpose into an Editorial note. </w:t>
      </w:r>
    </w:p>
    <w:p w:rsidR="00A56F9F" w:rsidRPr="00B7206F" w:rsidRDefault="00A56F9F" w:rsidP="00A56F9F"/>
    <w:p w:rsidR="00A56F9F" w:rsidRPr="00B7206F" w:rsidRDefault="00A56F9F" w:rsidP="00A56F9F">
      <w:pPr>
        <w:pStyle w:val="Heading3"/>
      </w:pPr>
      <w:bookmarkStart w:id="115" w:name="_Toc280003235"/>
      <w:bookmarkStart w:id="116" w:name="_Toc290973058"/>
      <w:r w:rsidRPr="00B7206F">
        <w:t>3.41</w:t>
      </w:r>
      <w:r w:rsidRPr="00B7206F">
        <w:tab/>
        <w:t>Standard 2.8.1 – Sugars</w:t>
      </w:r>
      <w:bookmarkEnd w:id="115"/>
      <w:bookmarkEnd w:id="116"/>
      <w:r w:rsidRPr="00B7206F">
        <w:t xml:space="preserve"> </w:t>
      </w:r>
    </w:p>
    <w:p w:rsidR="00A56F9F" w:rsidRPr="00B7206F" w:rsidRDefault="00A56F9F" w:rsidP="00A56F9F"/>
    <w:p w:rsidR="00A56F9F" w:rsidRPr="00B7206F" w:rsidRDefault="00A56F9F" w:rsidP="00A56F9F">
      <w:r w:rsidRPr="00B7206F">
        <w:rPr>
          <w:b/>
        </w:rPr>
        <w:t>Location:</w:t>
      </w:r>
      <w:r w:rsidRPr="00B7206F">
        <w:t xml:space="preserve"> </w:t>
      </w:r>
      <w:r w:rsidRPr="00B7206F">
        <w:tab/>
        <w:t xml:space="preserve">Purpose </w:t>
      </w:r>
    </w:p>
    <w:p w:rsidR="00A56F9F" w:rsidRPr="00B7206F" w:rsidRDefault="00A56F9F" w:rsidP="00A56F9F">
      <w:pPr>
        <w:ind w:left="1134" w:hanging="1134"/>
      </w:pPr>
      <w:r w:rsidRPr="00B7206F">
        <w:rPr>
          <w:b/>
        </w:rPr>
        <w:t>Issue 114:</w:t>
      </w:r>
      <w:r w:rsidRPr="00B7206F">
        <w:rPr>
          <w:b/>
        </w:rPr>
        <w:tab/>
      </w:r>
      <w:r w:rsidRPr="00B7206F">
        <w:t xml:space="preserve">The Purpose refers to honey but does not make it clear that honey is not regulated by Standard 2.8.1. The reference to the location in the Code of the regulation of intense sweeteners is not necessary. </w:t>
      </w:r>
    </w:p>
    <w:p w:rsidR="00A56F9F" w:rsidRDefault="00A56F9F" w:rsidP="00A56F9F">
      <w:pPr>
        <w:ind w:left="1134" w:hanging="1134"/>
      </w:pPr>
      <w:r w:rsidRPr="00B7206F">
        <w:rPr>
          <w:b/>
        </w:rPr>
        <w:t>Solution</w:t>
      </w:r>
      <w:r w:rsidR="00592DEA">
        <w:rPr>
          <w:b/>
        </w:rPr>
        <w:t xml:space="preserve"> proposed in Assessment Report</w:t>
      </w:r>
      <w:r w:rsidRPr="00B7206F">
        <w:rPr>
          <w:b/>
        </w:rPr>
        <w:t>:</w:t>
      </w:r>
      <w:r w:rsidR="00592DEA">
        <w:rPr>
          <w:b/>
        </w:rPr>
        <w:t xml:space="preserve"> </w:t>
      </w:r>
      <w:r w:rsidRPr="00B7206F">
        <w:t xml:space="preserve">Amend the Purpose to clarify that Standard 2.8.1 does not regulate honey.  Delete the reference to intense sweeteners. </w:t>
      </w:r>
    </w:p>
    <w:p w:rsidR="00592DEA" w:rsidRDefault="00592DEA" w:rsidP="00592DEA">
      <w:pPr>
        <w:ind w:left="1134" w:hanging="1134"/>
        <w:rPr>
          <w:lang w:val="en-AU"/>
        </w:rPr>
      </w:pPr>
      <w:r w:rsidRPr="007A79F3">
        <w:rPr>
          <w:b/>
          <w:lang w:val="en-AU"/>
        </w:rPr>
        <w:t>Submitter comment and FSANZ Response</w:t>
      </w:r>
      <w:r>
        <w:rPr>
          <w:lang w:val="en-AU"/>
        </w:rPr>
        <w:t xml:space="preserve">: Submitters expressed concern about the removal of cross references from the Code as these are useful from a regulatory perspective. It was suggested that cross references in the Code are considered under future work by the Code audit working group. </w:t>
      </w:r>
    </w:p>
    <w:p w:rsidR="00592DEA" w:rsidRPr="00B7206F" w:rsidRDefault="00592DEA" w:rsidP="00592DEA">
      <w:pPr>
        <w:ind w:left="1134" w:hanging="1134"/>
      </w:pPr>
      <w:r>
        <w:rPr>
          <w:b/>
          <w:lang w:val="en-AU"/>
        </w:rPr>
        <w:tab/>
      </w:r>
      <w:r w:rsidRPr="0052781B">
        <w:rPr>
          <w:lang w:val="en-AU"/>
        </w:rPr>
        <w:t>FSANZ agrees that cross references in the Code could be addressed under a future projec</w:t>
      </w:r>
      <w:r w:rsidR="00462A71">
        <w:rPr>
          <w:lang w:val="en-AU"/>
        </w:rPr>
        <w:t xml:space="preserve">t in a more systematic manner. </w:t>
      </w:r>
      <w:r>
        <w:rPr>
          <w:lang w:val="en-AU"/>
        </w:rPr>
        <w:t xml:space="preserve">Removal of the reference to intense sweeteners has therefore not been made. </w:t>
      </w:r>
    </w:p>
    <w:p w:rsidR="00A56F9F" w:rsidRPr="00B7206F" w:rsidRDefault="00A56F9F" w:rsidP="00A56F9F"/>
    <w:p w:rsidR="00742C40" w:rsidRDefault="00742C40" w:rsidP="00A56F9F">
      <w:pPr>
        <w:pStyle w:val="Heading3"/>
      </w:pPr>
      <w:bookmarkStart w:id="117" w:name="_Toc280003236"/>
      <w:bookmarkStart w:id="118" w:name="_Toc290973059"/>
      <w:r>
        <w:br w:type="page"/>
      </w:r>
    </w:p>
    <w:p w:rsidR="00A56F9F" w:rsidRPr="00C71F4D" w:rsidRDefault="00A56F9F" w:rsidP="00A56F9F">
      <w:pPr>
        <w:pStyle w:val="Heading3"/>
      </w:pPr>
      <w:r w:rsidRPr="00B7206F">
        <w:lastRenderedPageBreak/>
        <w:t>3.42</w:t>
      </w:r>
      <w:r w:rsidRPr="00B7206F">
        <w:tab/>
        <w:t>Standard 2.9.1 – Infant</w:t>
      </w:r>
      <w:r w:rsidRPr="00C71F4D">
        <w:t xml:space="preserve"> Formula Products</w:t>
      </w:r>
      <w:bookmarkEnd w:id="117"/>
      <w:bookmarkEnd w:id="118"/>
    </w:p>
    <w:p w:rsidR="00A56F9F" w:rsidRPr="00C71F4D" w:rsidRDefault="00A56F9F" w:rsidP="00A56F9F">
      <w:pPr>
        <w:ind w:left="1418" w:hanging="1418"/>
        <w:rPr>
          <w:b/>
          <w:bCs/>
        </w:rPr>
      </w:pPr>
    </w:p>
    <w:p w:rsidR="00A56F9F" w:rsidRPr="00C71F4D" w:rsidRDefault="00A56F9F" w:rsidP="00A56F9F">
      <w:pPr>
        <w:ind w:left="1134" w:hanging="1134"/>
      </w:pPr>
      <w:r w:rsidRPr="00C71F4D">
        <w:rPr>
          <w:b/>
          <w:bCs/>
        </w:rPr>
        <w:t>Location</w:t>
      </w:r>
      <w:r w:rsidRPr="00C71F4D">
        <w:t>:</w:t>
      </w:r>
      <w:r w:rsidRPr="00C71F4D">
        <w:tab/>
        <w:t>Purpose</w:t>
      </w:r>
    </w:p>
    <w:p w:rsidR="00A56F9F" w:rsidRPr="00C71F4D" w:rsidRDefault="00A56F9F" w:rsidP="00A56F9F">
      <w:pPr>
        <w:ind w:left="1134" w:hanging="1134"/>
      </w:pPr>
      <w:r w:rsidRPr="00C71F4D">
        <w:rPr>
          <w:b/>
          <w:bCs/>
        </w:rPr>
        <w:t>Issue 115</w:t>
      </w:r>
      <w:r w:rsidRPr="00C71F4D">
        <w:t>:</w:t>
      </w:r>
      <w:r w:rsidRPr="00C71F4D">
        <w:tab/>
        <w:t xml:space="preserve">The reference to other provisions in the Code in relation to infant formula products is unnecessary.  </w:t>
      </w:r>
    </w:p>
    <w:p w:rsidR="00A56F9F" w:rsidRDefault="00A56F9F" w:rsidP="00A56F9F">
      <w:pPr>
        <w:ind w:left="1134" w:hanging="1134"/>
        <w:rPr>
          <w:bCs/>
        </w:rPr>
      </w:pPr>
      <w:r w:rsidRPr="00C71F4D">
        <w:rPr>
          <w:b/>
          <w:bCs/>
        </w:rPr>
        <w:t>Solution</w:t>
      </w:r>
      <w:r w:rsidR="00942F35">
        <w:rPr>
          <w:b/>
          <w:bCs/>
        </w:rPr>
        <w:t xml:space="preserve"> proposed in Assessment Report</w:t>
      </w:r>
      <w:r w:rsidRPr="00C71F4D">
        <w:t>:</w:t>
      </w:r>
      <w:r w:rsidR="00942F35">
        <w:t xml:space="preserve"> </w:t>
      </w:r>
      <w:r w:rsidRPr="00C71F4D">
        <w:rPr>
          <w:bCs/>
        </w:rPr>
        <w:t xml:space="preserve">Delete the fourth and fifth paragraphs of the Purpose. </w:t>
      </w:r>
    </w:p>
    <w:p w:rsidR="00942F35" w:rsidRDefault="00942F35" w:rsidP="00942F35">
      <w:pPr>
        <w:ind w:left="1134" w:hanging="1134"/>
        <w:rPr>
          <w:lang w:val="en-AU"/>
        </w:rPr>
      </w:pPr>
      <w:r w:rsidRPr="007A79F3">
        <w:rPr>
          <w:b/>
          <w:lang w:val="en-AU"/>
        </w:rPr>
        <w:t>Submitter comment and FSANZ Response</w:t>
      </w:r>
      <w:r>
        <w:rPr>
          <w:lang w:val="en-AU"/>
        </w:rPr>
        <w:t xml:space="preserve">: Submitters expressed concern about the removal of cross references from the Code as these are useful from a regulatory perspective. It was suggested that cross references in the Code are considered under future work by the Code audit working group. </w:t>
      </w:r>
    </w:p>
    <w:p w:rsidR="00942F35" w:rsidRPr="00C71F4D" w:rsidRDefault="00942F35" w:rsidP="00942F35">
      <w:pPr>
        <w:ind w:left="1134" w:hanging="1134"/>
      </w:pPr>
      <w:r>
        <w:rPr>
          <w:b/>
          <w:lang w:val="en-AU"/>
        </w:rPr>
        <w:tab/>
      </w:r>
      <w:r w:rsidRPr="0052781B">
        <w:rPr>
          <w:lang w:val="en-AU"/>
        </w:rPr>
        <w:t xml:space="preserve">FSANZ agrees that cross references in the Code could be addressed under a future project in a more systematic manner. </w:t>
      </w:r>
      <w:r>
        <w:rPr>
          <w:lang w:val="en-AU"/>
        </w:rPr>
        <w:t>The proposed amendment has therefore not been made.</w:t>
      </w:r>
    </w:p>
    <w:p w:rsidR="00A56F9F" w:rsidRPr="00C71F4D" w:rsidRDefault="00A56F9F" w:rsidP="00A56F9F">
      <w:pPr>
        <w:ind w:left="1134" w:hanging="1134"/>
        <w:rPr>
          <w:b/>
          <w:bCs/>
        </w:rPr>
      </w:pPr>
    </w:p>
    <w:p w:rsidR="00A56F9F" w:rsidRPr="00C71F4D" w:rsidRDefault="00A56F9F" w:rsidP="00A56F9F">
      <w:pPr>
        <w:ind w:left="1134" w:hanging="1134"/>
      </w:pPr>
      <w:r w:rsidRPr="00C71F4D">
        <w:rPr>
          <w:b/>
          <w:bCs/>
        </w:rPr>
        <w:t>Location</w:t>
      </w:r>
      <w:r w:rsidRPr="00C71F4D">
        <w:t>:</w:t>
      </w:r>
      <w:r w:rsidRPr="00C71F4D">
        <w:tab/>
        <w:t xml:space="preserve">Definition of protein substitute, clause 1 </w:t>
      </w:r>
    </w:p>
    <w:p w:rsidR="00A56F9F" w:rsidRPr="00C71F4D" w:rsidRDefault="00A56F9F" w:rsidP="00A56F9F">
      <w:pPr>
        <w:ind w:left="1134" w:hanging="1134"/>
        <w:rPr>
          <w:rFonts w:cs="Arial"/>
          <w:szCs w:val="22"/>
        </w:rPr>
      </w:pPr>
      <w:r w:rsidRPr="00C71F4D">
        <w:rPr>
          <w:b/>
          <w:bCs/>
        </w:rPr>
        <w:t>Issue 116</w:t>
      </w:r>
      <w:r w:rsidRPr="00C71F4D">
        <w:t>:</w:t>
      </w:r>
      <w:r w:rsidRPr="00C71F4D">
        <w:tab/>
        <w:t xml:space="preserve">The definition refers to ‘L-amino acids and/or the hydrolysate...’. </w:t>
      </w:r>
      <w:r w:rsidRPr="00C71F4D">
        <w:rPr>
          <w:rFonts w:cs="Arial"/>
          <w:szCs w:val="22"/>
        </w:rPr>
        <w:t xml:space="preserve">OLDP recommendation to </w:t>
      </w:r>
      <w:r w:rsidRPr="00C71F4D">
        <w:rPr>
          <w:rFonts w:cs="Arial"/>
          <w:szCs w:val="22"/>
          <w:lang w:val="en-AU"/>
        </w:rPr>
        <w:t xml:space="preserve">clarify meaning of </w:t>
      </w:r>
      <w:r w:rsidRPr="00C71F4D">
        <w:rPr>
          <w:rFonts w:cs="Arial"/>
          <w:szCs w:val="22"/>
        </w:rPr>
        <w:t>‘and/or’</w:t>
      </w:r>
    </w:p>
    <w:p w:rsidR="00A56F9F" w:rsidRPr="00894BCA" w:rsidRDefault="00A56F9F" w:rsidP="00A56F9F">
      <w:pPr>
        <w:ind w:left="1134" w:hanging="1134"/>
      </w:pPr>
      <w:r w:rsidRPr="00C71F4D">
        <w:rPr>
          <w:rFonts w:cs="Arial"/>
          <w:b/>
          <w:bCs/>
          <w:szCs w:val="22"/>
        </w:rPr>
        <w:t>Solution</w:t>
      </w:r>
      <w:r w:rsidRPr="00C71F4D">
        <w:rPr>
          <w:rFonts w:cs="Arial"/>
          <w:szCs w:val="22"/>
        </w:rPr>
        <w:t>:</w:t>
      </w:r>
      <w:r w:rsidRPr="00C71F4D">
        <w:rPr>
          <w:rFonts w:cs="Arial"/>
          <w:szCs w:val="22"/>
        </w:rPr>
        <w:tab/>
      </w:r>
      <w:r w:rsidRPr="00C71F4D">
        <w:t xml:space="preserve">Redraft to remove reference to ‘and/or’ and reword the definition to clarify that protein substitutes are able to contain both amino acids and hydrolysates, either singly or </w:t>
      </w:r>
      <w:r w:rsidRPr="00894BCA">
        <w:t>in combination.</w:t>
      </w:r>
    </w:p>
    <w:p w:rsidR="00A56F9F" w:rsidRPr="00894BCA" w:rsidRDefault="00A56F9F" w:rsidP="00A56F9F">
      <w:pPr>
        <w:rPr>
          <w:b/>
          <w:bCs/>
        </w:rPr>
      </w:pPr>
    </w:p>
    <w:p w:rsidR="00A56F9F" w:rsidRPr="00894BCA" w:rsidRDefault="00A56F9F" w:rsidP="00A56F9F">
      <w:pPr>
        <w:rPr>
          <w:b/>
          <w:bCs/>
        </w:rPr>
      </w:pPr>
      <w:r w:rsidRPr="00894BCA">
        <w:rPr>
          <w:b/>
          <w:bCs/>
        </w:rPr>
        <w:t>Location:</w:t>
      </w:r>
      <w:r w:rsidRPr="00894BCA">
        <w:rPr>
          <w:bCs/>
        </w:rPr>
        <w:tab/>
        <w:t>Table to clause 7</w:t>
      </w:r>
    </w:p>
    <w:p w:rsidR="00A56F9F" w:rsidRPr="00894BCA" w:rsidRDefault="00A56F9F" w:rsidP="00A56F9F">
      <w:pPr>
        <w:ind w:left="1134" w:hanging="1134"/>
        <w:rPr>
          <w:bCs/>
        </w:rPr>
      </w:pPr>
      <w:r w:rsidRPr="00894BCA">
        <w:rPr>
          <w:b/>
          <w:bCs/>
        </w:rPr>
        <w:t xml:space="preserve">Issue 117: </w:t>
      </w:r>
      <w:r w:rsidRPr="00894BCA">
        <w:rPr>
          <w:bCs/>
        </w:rPr>
        <w:t xml:space="preserve">The list of permitted forms of nucleotides in the Table has forms that are not covered by the specifications in the Code or specified sources in Standard 1.3.4, and do not match Codex permissions.  This appears to be an error. </w:t>
      </w:r>
    </w:p>
    <w:p w:rsidR="00A56F9F" w:rsidRPr="00894BCA" w:rsidRDefault="00894BCA" w:rsidP="00A56F9F">
      <w:pPr>
        <w:ind w:left="1134" w:hanging="1134"/>
        <w:rPr>
          <w:bCs/>
        </w:rPr>
      </w:pPr>
      <w:r w:rsidRPr="00894BCA">
        <w:rPr>
          <w:rFonts w:cs="Arial"/>
          <w:b/>
          <w:bCs/>
          <w:szCs w:val="22"/>
        </w:rPr>
        <w:t>Solution proposed in Assessment Report</w:t>
      </w:r>
      <w:r w:rsidR="00A56F9F" w:rsidRPr="00894BCA">
        <w:rPr>
          <w:b/>
          <w:bCs/>
        </w:rPr>
        <w:t>:</w:t>
      </w:r>
      <w:r w:rsidR="00A56F9F" w:rsidRPr="00894BCA">
        <w:rPr>
          <w:b/>
          <w:bCs/>
        </w:rPr>
        <w:tab/>
      </w:r>
      <w:r w:rsidR="00A56F9F" w:rsidRPr="00894BCA">
        <w:rPr>
          <w:bCs/>
        </w:rPr>
        <w:t>Remove Adenosine 5’-monophosphate sodium salt, Cytidine 5’-monophosphate sodium salt and Uridine 5’-monophosphate from the list of permitted forms in the Table.</w:t>
      </w:r>
    </w:p>
    <w:p w:rsidR="00894BCA" w:rsidRPr="00894BCA" w:rsidRDefault="00894BCA" w:rsidP="00894BCA">
      <w:pPr>
        <w:ind w:left="1134" w:hanging="1134"/>
        <w:rPr>
          <w:b/>
          <w:bCs/>
        </w:rPr>
      </w:pPr>
      <w:r w:rsidRPr="00894BCA">
        <w:rPr>
          <w:rFonts w:cs="Arial"/>
          <w:b/>
          <w:bCs/>
          <w:szCs w:val="22"/>
        </w:rPr>
        <w:t>Submitter comments and FSANZ response</w:t>
      </w:r>
      <w:r w:rsidRPr="00894BCA">
        <w:rPr>
          <w:rFonts w:cs="Arial"/>
          <w:bCs/>
          <w:szCs w:val="22"/>
        </w:rPr>
        <w:t>:</w:t>
      </w:r>
      <w:r w:rsidRPr="00894BCA">
        <w:t xml:space="preserve"> One submitter observed that manufacturers have possibly incorporated these nucleotides in their products.</w:t>
      </w:r>
      <w:r>
        <w:br/>
      </w:r>
      <w:r w:rsidRPr="00894BCA">
        <w:t>However infant formula companies have advised that they do not use these forms of the nucleotides.</w:t>
      </w:r>
      <w:r>
        <w:br/>
      </w:r>
      <w:r w:rsidRPr="00894BCA">
        <w:t xml:space="preserve">FSANZ </w:t>
      </w:r>
      <w:r w:rsidR="000C14DF">
        <w:t xml:space="preserve">has </w:t>
      </w:r>
      <w:r w:rsidR="00396506">
        <w:t>proceed</w:t>
      </w:r>
      <w:r w:rsidR="000C14DF">
        <w:t>ed</w:t>
      </w:r>
      <w:r w:rsidR="00396506">
        <w:t xml:space="preserve"> with</w:t>
      </w:r>
      <w:r w:rsidRPr="00894BCA">
        <w:t xml:space="preserve"> the amendment proposed in the Assessment Report.</w:t>
      </w:r>
    </w:p>
    <w:p w:rsidR="00A56F9F" w:rsidRPr="00894BCA" w:rsidRDefault="00A56F9F" w:rsidP="00A56F9F">
      <w:pPr>
        <w:rPr>
          <w:b/>
          <w:bCs/>
        </w:rPr>
      </w:pPr>
    </w:p>
    <w:p w:rsidR="00A56F9F" w:rsidRPr="00894BCA" w:rsidRDefault="00A56F9F" w:rsidP="00A56F9F">
      <w:r w:rsidRPr="00894BCA">
        <w:rPr>
          <w:b/>
          <w:bCs/>
        </w:rPr>
        <w:t>Location</w:t>
      </w:r>
      <w:r w:rsidRPr="00894BCA">
        <w:t>:</w:t>
      </w:r>
      <w:r w:rsidRPr="00894BCA">
        <w:tab/>
        <w:t>Paragraph 16(2)(e)</w:t>
      </w:r>
    </w:p>
    <w:p w:rsidR="00A56F9F" w:rsidRPr="005A3F6F" w:rsidRDefault="00A56F9F" w:rsidP="00A56F9F">
      <w:pPr>
        <w:ind w:left="1134" w:hanging="1134"/>
        <w:rPr>
          <w:u w:val="single"/>
        </w:rPr>
      </w:pPr>
      <w:r w:rsidRPr="00894BCA">
        <w:rPr>
          <w:b/>
          <w:bCs/>
        </w:rPr>
        <w:t>Issue 118</w:t>
      </w:r>
      <w:r w:rsidRPr="00894BCA">
        <w:t>:</w:t>
      </w:r>
      <w:r w:rsidRPr="00894BCA">
        <w:tab/>
        <w:t>The requirement</w:t>
      </w:r>
      <w:r w:rsidRPr="005A3F6F">
        <w:t xml:space="preserve"> for inulin-derived substances and galacto-oligosaccharides to be declared in weight per 100 ml was intended to apply to the powdered or concentrated form of infant formula product when reconstituted.</w:t>
      </w:r>
      <w:r w:rsidRPr="005A3F6F">
        <w:rPr>
          <w:u w:val="single"/>
        </w:rPr>
        <w:t xml:space="preserve"> </w:t>
      </w:r>
    </w:p>
    <w:p w:rsidR="005A3F6F" w:rsidRPr="005A3F6F" w:rsidRDefault="005A3F6F" w:rsidP="005A3F6F">
      <w:pPr>
        <w:ind w:left="1134" w:hanging="1134"/>
        <w:rPr>
          <w:lang w:val="en-AU"/>
        </w:rPr>
      </w:pPr>
      <w:r w:rsidRPr="005A3F6F">
        <w:rPr>
          <w:rFonts w:cs="Arial"/>
          <w:b/>
          <w:bCs/>
          <w:szCs w:val="22"/>
        </w:rPr>
        <w:t>Solution proposed in Assessment Report</w:t>
      </w:r>
      <w:r w:rsidRPr="005A3F6F">
        <w:rPr>
          <w:rFonts w:cs="Arial"/>
          <w:szCs w:val="22"/>
        </w:rPr>
        <w:t>:</w:t>
      </w:r>
      <w:r w:rsidRPr="005A3F6F">
        <w:rPr>
          <w:rFonts w:cs="Arial"/>
          <w:szCs w:val="22"/>
        </w:rPr>
        <w:tab/>
      </w:r>
      <w:r w:rsidRPr="005A3F6F">
        <w:rPr>
          <w:lang w:val="en-AU"/>
        </w:rPr>
        <w:t xml:space="preserve"> </w:t>
      </w:r>
      <w:r w:rsidRPr="005A3F6F">
        <w:t>Reword to clarify that the declaration must be expressed in w</w:t>
      </w:r>
      <w:r w:rsidRPr="005A3F6F">
        <w:rPr>
          <w:iCs/>
        </w:rPr>
        <w:t>eight per 100 mL when reconstituted.</w:t>
      </w:r>
    </w:p>
    <w:p w:rsidR="00A56F9F" w:rsidRPr="005A3F6F" w:rsidRDefault="005A3F6F" w:rsidP="00A56F9F">
      <w:pPr>
        <w:ind w:left="1134" w:hanging="1134"/>
      </w:pPr>
      <w:r w:rsidRPr="005A3F6F">
        <w:rPr>
          <w:rFonts w:cs="Arial"/>
          <w:b/>
          <w:bCs/>
          <w:szCs w:val="22"/>
        </w:rPr>
        <w:t>Submitter comments and FSANZ response</w:t>
      </w:r>
      <w:r w:rsidR="00894BCA" w:rsidRPr="00894BCA">
        <w:rPr>
          <w:rFonts w:cs="Arial"/>
          <w:bCs/>
          <w:szCs w:val="22"/>
        </w:rPr>
        <w:t>:</w:t>
      </w:r>
      <w:r w:rsidRPr="00894BCA">
        <w:rPr>
          <w:rFonts w:cs="Arial"/>
          <w:szCs w:val="22"/>
        </w:rPr>
        <w:t xml:space="preserve"> A</w:t>
      </w:r>
      <w:r w:rsidR="00681F52">
        <w:rPr>
          <w:rFonts w:cs="Arial"/>
          <w:szCs w:val="22"/>
        </w:rPr>
        <w:t xml:space="preserve"> submitter noted that ‘</w:t>
      </w:r>
      <w:r w:rsidRPr="005A3F6F">
        <w:rPr>
          <w:rFonts w:cs="Arial"/>
          <w:szCs w:val="22"/>
        </w:rPr>
        <w:t xml:space="preserve">according to directions’ could be added, for consistency with other clauses in the Standard. FSANZ agrees with this recommendation. </w:t>
      </w:r>
      <w:r w:rsidR="00D1209A">
        <w:rPr>
          <w:rFonts w:cs="Arial"/>
          <w:szCs w:val="22"/>
        </w:rPr>
        <w:t>The paragraph will be r</w:t>
      </w:r>
      <w:r w:rsidRPr="005A3F6F">
        <w:t>eword</w:t>
      </w:r>
      <w:r w:rsidR="00D1209A">
        <w:t>ed</w:t>
      </w:r>
      <w:r w:rsidRPr="005A3F6F">
        <w:t xml:space="preserve"> to clarify that the declaration must be expressed in w</w:t>
      </w:r>
      <w:r w:rsidRPr="005A3F6F">
        <w:rPr>
          <w:iCs/>
        </w:rPr>
        <w:t xml:space="preserve">eight per 100 mL when </w:t>
      </w:r>
      <w:r w:rsidR="0088493F">
        <w:rPr>
          <w:iCs/>
        </w:rPr>
        <w:t xml:space="preserve">the product is </w:t>
      </w:r>
      <w:r w:rsidRPr="005A3F6F">
        <w:rPr>
          <w:iCs/>
        </w:rPr>
        <w:t>reconstituted according to directions.</w:t>
      </w:r>
    </w:p>
    <w:p w:rsidR="00A56F9F" w:rsidRPr="005A3F6F" w:rsidRDefault="00A56F9F" w:rsidP="00A56F9F"/>
    <w:p w:rsidR="00742C40" w:rsidRDefault="00742C40">
      <w:pPr>
        <w:widowControl/>
        <w:rPr>
          <w:b/>
          <w:bCs/>
        </w:rPr>
      </w:pPr>
      <w:r>
        <w:rPr>
          <w:b/>
          <w:bCs/>
        </w:rPr>
        <w:br w:type="page"/>
      </w:r>
    </w:p>
    <w:p w:rsidR="00512066" w:rsidRDefault="00A56F9F">
      <w:pPr>
        <w:widowControl/>
      </w:pPr>
      <w:r w:rsidRPr="005A3F6F">
        <w:rPr>
          <w:b/>
          <w:bCs/>
        </w:rPr>
        <w:lastRenderedPageBreak/>
        <w:t>Location:</w:t>
      </w:r>
      <w:r w:rsidRPr="005A3F6F">
        <w:rPr>
          <w:b/>
          <w:bCs/>
        </w:rPr>
        <w:tab/>
      </w:r>
      <w:r w:rsidRPr="005A3F6F">
        <w:rPr>
          <w:bCs/>
        </w:rPr>
        <w:t xml:space="preserve">Paragraph </w:t>
      </w:r>
      <w:r w:rsidRPr="005A3F6F">
        <w:t>20(1)(f) and paragraphs 20(2)(a) and (b)</w:t>
      </w:r>
    </w:p>
    <w:p w:rsidR="00A56F9F" w:rsidRPr="005A3F6F" w:rsidRDefault="00A56F9F" w:rsidP="00A56F9F">
      <w:pPr>
        <w:ind w:left="1134" w:hanging="1134"/>
      </w:pPr>
      <w:r w:rsidRPr="005A3F6F">
        <w:rPr>
          <w:b/>
          <w:bCs/>
        </w:rPr>
        <w:t>Issue 119:</w:t>
      </w:r>
      <w:r w:rsidRPr="005A3F6F">
        <w:t> </w:t>
      </w:r>
      <w:r w:rsidRPr="005A3F6F">
        <w:tab/>
        <w:t>The broad reference to Standard 1.2.4 and to clause 16 in clause 20 means it is not totally clear where reference to nutrients or nutritive substances on labels of infant formula products is prohibited.</w:t>
      </w:r>
    </w:p>
    <w:p w:rsidR="00A56F9F" w:rsidRPr="005A3F6F" w:rsidRDefault="00A56F9F" w:rsidP="00A56F9F">
      <w:pPr>
        <w:ind w:left="1134" w:hanging="1134"/>
      </w:pPr>
      <w:r w:rsidRPr="005A3F6F">
        <w:rPr>
          <w:b/>
          <w:bCs/>
        </w:rPr>
        <w:t>Solution</w:t>
      </w:r>
      <w:r w:rsidRPr="005A3F6F">
        <w:t>:</w:t>
      </w:r>
      <w:r w:rsidRPr="005A3F6F">
        <w:tab/>
        <w:t>Amend p</w:t>
      </w:r>
      <w:r w:rsidRPr="005A3F6F">
        <w:rPr>
          <w:bCs/>
        </w:rPr>
        <w:t xml:space="preserve">aragraph </w:t>
      </w:r>
      <w:r w:rsidRPr="005A3F6F">
        <w:t xml:space="preserve">20(1)(f) to clarify that the nutrient or nutritive substance can only be declared in accordance with clause 30, in a statement of ingredients (in accordance with Standard 1.2.4) or in a nutrition information statement (in accordance with clause 16 of Standard 2.9.1). </w:t>
      </w:r>
    </w:p>
    <w:p w:rsidR="00A56F9F" w:rsidRPr="005A3F6F" w:rsidRDefault="00A56F9F" w:rsidP="00A56F9F">
      <w:pPr>
        <w:ind w:left="1134" w:hanging="1134"/>
      </w:pPr>
      <w:r w:rsidRPr="005A3F6F">
        <w:rPr>
          <w:b/>
          <w:bCs/>
        </w:rPr>
        <w:tab/>
      </w:r>
      <w:r w:rsidRPr="005A3F6F">
        <w:t>Amend paragraphs 20(2)(a) and (b) to be consistent with this amended wording.</w:t>
      </w:r>
    </w:p>
    <w:p w:rsidR="00A56F9F" w:rsidRPr="005A3F6F" w:rsidRDefault="00A56F9F" w:rsidP="00A56F9F"/>
    <w:p w:rsidR="00A56F9F" w:rsidRPr="005A3F6F" w:rsidRDefault="00A56F9F" w:rsidP="00A56F9F">
      <w:pPr>
        <w:pStyle w:val="Heading3"/>
      </w:pPr>
      <w:bookmarkStart w:id="119" w:name="_Toc280003237"/>
      <w:bookmarkStart w:id="120" w:name="_Toc290973060"/>
      <w:r w:rsidRPr="005A3F6F">
        <w:t>3.43</w:t>
      </w:r>
      <w:r w:rsidRPr="005A3F6F">
        <w:tab/>
        <w:t>Standard 2.9.2 – Foods for Infants</w:t>
      </w:r>
      <w:bookmarkEnd w:id="119"/>
      <w:bookmarkEnd w:id="120"/>
    </w:p>
    <w:p w:rsidR="00A56F9F" w:rsidRPr="005A3F6F" w:rsidRDefault="00A56F9F" w:rsidP="00A56F9F"/>
    <w:p w:rsidR="00A56F9F" w:rsidRPr="005A3F6F" w:rsidRDefault="00A56F9F" w:rsidP="00A56F9F">
      <w:pPr>
        <w:ind w:left="1134" w:hanging="1134"/>
      </w:pPr>
      <w:r w:rsidRPr="005A3F6F">
        <w:rPr>
          <w:b/>
          <w:bCs/>
        </w:rPr>
        <w:t>Location</w:t>
      </w:r>
      <w:r w:rsidRPr="005A3F6F">
        <w:t>:</w:t>
      </w:r>
      <w:r w:rsidRPr="005A3F6F">
        <w:tab/>
        <w:t>Purpose</w:t>
      </w:r>
    </w:p>
    <w:p w:rsidR="00A56F9F" w:rsidRPr="005A3F6F" w:rsidRDefault="00A56F9F" w:rsidP="00A56F9F">
      <w:pPr>
        <w:ind w:left="1134" w:hanging="1134"/>
      </w:pPr>
      <w:r w:rsidRPr="005A3F6F">
        <w:rPr>
          <w:b/>
          <w:bCs/>
        </w:rPr>
        <w:t>Issue 120</w:t>
      </w:r>
      <w:r w:rsidRPr="005A3F6F">
        <w:t>:</w:t>
      </w:r>
      <w:r w:rsidRPr="005A3F6F">
        <w:tab/>
        <w:t xml:space="preserve">The reference to other provisions in the Code in relation to foods for infants is unnecessary.  </w:t>
      </w:r>
    </w:p>
    <w:p w:rsidR="00A56F9F" w:rsidRDefault="00A56F9F" w:rsidP="00A56F9F">
      <w:pPr>
        <w:ind w:left="1134" w:hanging="1134"/>
        <w:rPr>
          <w:bCs/>
        </w:rPr>
      </w:pPr>
      <w:r w:rsidRPr="005A3F6F">
        <w:rPr>
          <w:b/>
          <w:bCs/>
        </w:rPr>
        <w:t>Solution</w:t>
      </w:r>
      <w:r w:rsidR="00942F35">
        <w:rPr>
          <w:b/>
          <w:bCs/>
        </w:rPr>
        <w:t xml:space="preserve"> proposed in Assessment Report</w:t>
      </w:r>
      <w:r w:rsidRPr="005A3F6F">
        <w:t>:</w:t>
      </w:r>
      <w:r w:rsidR="00942F35">
        <w:t xml:space="preserve"> </w:t>
      </w:r>
      <w:r w:rsidRPr="005A3F6F">
        <w:rPr>
          <w:bCs/>
        </w:rPr>
        <w:t xml:space="preserve">Delete the third paragraph of the Purpose. </w:t>
      </w:r>
    </w:p>
    <w:p w:rsidR="00942F35" w:rsidRDefault="00942F35" w:rsidP="00942F35">
      <w:pPr>
        <w:ind w:left="1134" w:hanging="1134"/>
        <w:rPr>
          <w:lang w:val="en-AU"/>
        </w:rPr>
      </w:pPr>
      <w:r w:rsidRPr="007A79F3">
        <w:rPr>
          <w:b/>
          <w:lang w:val="en-AU"/>
        </w:rPr>
        <w:t>Submitter comment and FSANZ Response</w:t>
      </w:r>
      <w:r>
        <w:rPr>
          <w:lang w:val="en-AU"/>
        </w:rPr>
        <w:t xml:space="preserve">: Submitters expressed concern about the removal of cross references from the Code as these are useful from a regulatory perspective. It was suggested that cross references in the Code are considered under future work by the Code audit working group. </w:t>
      </w:r>
    </w:p>
    <w:p w:rsidR="00942F35" w:rsidRPr="005A3F6F" w:rsidRDefault="00942F35" w:rsidP="00942F35">
      <w:pPr>
        <w:ind w:left="1134" w:hanging="1134"/>
      </w:pPr>
      <w:r>
        <w:rPr>
          <w:b/>
          <w:lang w:val="en-AU"/>
        </w:rPr>
        <w:tab/>
      </w:r>
      <w:r w:rsidRPr="0052781B">
        <w:rPr>
          <w:lang w:val="en-AU"/>
        </w:rPr>
        <w:t xml:space="preserve">FSANZ agrees that cross references in the Code could be addressed under a future project in a more systematic manner. </w:t>
      </w:r>
      <w:r>
        <w:rPr>
          <w:lang w:val="en-AU"/>
        </w:rPr>
        <w:t xml:space="preserve">The proposed amendment has therefore not been made. </w:t>
      </w:r>
    </w:p>
    <w:p w:rsidR="00A56F9F" w:rsidRPr="005A3F6F" w:rsidRDefault="00A56F9F" w:rsidP="00A56F9F"/>
    <w:p w:rsidR="00A56F9F" w:rsidRPr="005A3F6F" w:rsidRDefault="00A56F9F" w:rsidP="00A56F9F">
      <w:pPr>
        <w:ind w:left="1134" w:hanging="1134"/>
      </w:pPr>
      <w:r w:rsidRPr="005A3F6F">
        <w:rPr>
          <w:b/>
          <w:bCs/>
        </w:rPr>
        <w:t>Location</w:t>
      </w:r>
      <w:r w:rsidRPr="005A3F6F">
        <w:t>:</w:t>
      </w:r>
      <w:r w:rsidRPr="005A3F6F">
        <w:tab/>
        <w:t xml:space="preserve">Purpose </w:t>
      </w:r>
    </w:p>
    <w:p w:rsidR="00A56F9F" w:rsidRPr="005A3F6F" w:rsidRDefault="00A56F9F" w:rsidP="00A56F9F">
      <w:pPr>
        <w:ind w:left="1134" w:hanging="1134"/>
        <w:rPr>
          <w:rFonts w:cs="Arial"/>
          <w:szCs w:val="22"/>
        </w:rPr>
      </w:pPr>
      <w:r w:rsidRPr="005A3F6F">
        <w:rPr>
          <w:b/>
          <w:bCs/>
        </w:rPr>
        <w:t>Issue 121</w:t>
      </w:r>
      <w:r w:rsidRPr="005A3F6F">
        <w:t>:</w:t>
      </w:r>
      <w:r w:rsidRPr="005A3F6F">
        <w:tab/>
        <w:t xml:space="preserve">The purpose refers to ‘and/or’. </w:t>
      </w:r>
      <w:r w:rsidRPr="005A3F6F">
        <w:rPr>
          <w:rFonts w:cs="Arial"/>
          <w:szCs w:val="22"/>
        </w:rPr>
        <w:t xml:space="preserve">OLDP recommendation to </w:t>
      </w:r>
      <w:r w:rsidRPr="005A3F6F">
        <w:rPr>
          <w:rFonts w:cs="Arial"/>
          <w:szCs w:val="22"/>
          <w:lang w:val="en-AU"/>
        </w:rPr>
        <w:t xml:space="preserve">clarify meaning of </w:t>
      </w:r>
      <w:r w:rsidRPr="005A3F6F">
        <w:rPr>
          <w:rFonts w:cs="Arial"/>
          <w:szCs w:val="22"/>
        </w:rPr>
        <w:t>‘and/or’</w:t>
      </w:r>
    </w:p>
    <w:p w:rsidR="00A56F9F" w:rsidRPr="005A3F6F" w:rsidRDefault="00A56F9F" w:rsidP="00A56F9F">
      <w:pPr>
        <w:ind w:left="1134" w:hanging="1134"/>
      </w:pPr>
      <w:r w:rsidRPr="005A3F6F">
        <w:rPr>
          <w:rFonts w:cs="Arial"/>
          <w:b/>
          <w:bCs/>
          <w:szCs w:val="22"/>
        </w:rPr>
        <w:t>Solution</w:t>
      </w:r>
      <w:r w:rsidRPr="005A3F6F">
        <w:rPr>
          <w:rFonts w:cs="Arial"/>
          <w:szCs w:val="22"/>
        </w:rPr>
        <w:t>:</w:t>
      </w:r>
      <w:r w:rsidRPr="005A3F6F">
        <w:rPr>
          <w:rFonts w:cs="Arial"/>
          <w:szCs w:val="22"/>
        </w:rPr>
        <w:tab/>
        <w:t>Redraft to remove the expression.</w:t>
      </w:r>
      <w:r w:rsidRPr="005A3F6F">
        <w:t xml:space="preserve">  </w:t>
      </w:r>
    </w:p>
    <w:p w:rsidR="00A56F9F" w:rsidRPr="005A3F6F" w:rsidRDefault="00A56F9F" w:rsidP="00A56F9F">
      <w:pPr>
        <w:ind w:left="1134" w:hanging="1134"/>
        <w:rPr>
          <w:b/>
          <w:bCs/>
        </w:rPr>
      </w:pPr>
    </w:p>
    <w:p w:rsidR="00A56F9F" w:rsidRPr="005A3F6F" w:rsidRDefault="00A56F9F" w:rsidP="00A56F9F">
      <w:pPr>
        <w:ind w:left="1134" w:hanging="1134"/>
      </w:pPr>
      <w:r w:rsidRPr="005A3F6F">
        <w:rPr>
          <w:b/>
          <w:bCs/>
        </w:rPr>
        <w:t>Location</w:t>
      </w:r>
      <w:r w:rsidRPr="005A3F6F">
        <w:t>:</w:t>
      </w:r>
      <w:r w:rsidRPr="005A3F6F">
        <w:tab/>
        <w:t xml:space="preserve">Definition of food for infants, clause 1 </w:t>
      </w:r>
    </w:p>
    <w:p w:rsidR="00A56F9F" w:rsidRPr="005A3F6F" w:rsidRDefault="00A56F9F" w:rsidP="00A56F9F">
      <w:pPr>
        <w:ind w:left="1134" w:hanging="1134"/>
        <w:rPr>
          <w:rFonts w:cs="Arial"/>
          <w:szCs w:val="22"/>
        </w:rPr>
      </w:pPr>
      <w:r w:rsidRPr="005A3F6F">
        <w:rPr>
          <w:b/>
          <w:bCs/>
        </w:rPr>
        <w:t>Issue 122</w:t>
      </w:r>
      <w:r w:rsidRPr="005A3F6F">
        <w:t>:</w:t>
      </w:r>
      <w:r w:rsidRPr="005A3F6F">
        <w:tab/>
        <w:t xml:space="preserve">The definition refers to ‘food that is intended and/or represented’. </w:t>
      </w:r>
      <w:r w:rsidRPr="005A3F6F">
        <w:rPr>
          <w:rFonts w:cs="Arial"/>
          <w:szCs w:val="22"/>
        </w:rPr>
        <w:t xml:space="preserve">OLDP recommendation to </w:t>
      </w:r>
      <w:r w:rsidRPr="005A3F6F">
        <w:rPr>
          <w:rFonts w:cs="Arial"/>
          <w:szCs w:val="22"/>
          <w:lang w:val="en-AU"/>
        </w:rPr>
        <w:t xml:space="preserve">clarify meaning of </w:t>
      </w:r>
      <w:r w:rsidRPr="005A3F6F">
        <w:rPr>
          <w:rFonts w:cs="Arial"/>
          <w:szCs w:val="22"/>
        </w:rPr>
        <w:t>‘and/or’</w:t>
      </w:r>
      <w:r w:rsidR="005A3F6F">
        <w:rPr>
          <w:rFonts w:cs="Arial"/>
          <w:szCs w:val="22"/>
        </w:rPr>
        <w:t>.</w:t>
      </w:r>
    </w:p>
    <w:p w:rsidR="00A56F9F" w:rsidRPr="005A3F6F" w:rsidRDefault="00A56F9F" w:rsidP="00A56F9F">
      <w:pPr>
        <w:ind w:left="1134" w:hanging="1134"/>
      </w:pPr>
      <w:r w:rsidRPr="005A3F6F">
        <w:rPr>
          <w:rFonts w:cs="Arial"/>
          <w:b/>
          <w:bCs/>
          <w:szCs w:val="22"/>
        </w:rPr>
        <w:t>Solution</w:t>
      </w:r>
      <w:r w:rsidRPr="005A3F6F">
        <w:rPr>
          <w:rFonts w:cs="Arial"/>
          <w:szCs w:val="22"/>
        </w:rPr>
        <w:t>:</w:t>
      </w:r>
      <w:r w:rsidRPr="005A3F6F">
        <w:rPr>
          <w:rFonts w:cs="Arial"/>
          <w:szCs w:val="22"/>
        </w:rPr>
        <w:tab/>
      </w:r>
      <w:r w:rsidRPr="005A3F6F">
        <w:t xml:space="preserve">Replace ‘and/or’ with ‘or’. </w:t>
      </w:r>
    </w:p>
    <w:p w:rsidR="00A56F9F" w:rsidRPr="005A3F6F" w:rsidRDefault="00A56F9F" w:rsidP="00A56F9F">
      <w:pPr>
        <w:widowControl/>
        <w:rPr>
          <w:b/>
          <w:bCs/>
        </w:rPr>
      </w:pPr>
    </w:p>
    <w:p w:rsidR="00A56F9F" w:rsidRPr="005A3F6F" w:rsidRDefault="00A56F9F" w:rsidP="00A56F9F">
      <w:pPr>
        <w:ind w:left="1134" w:hanging="1134"/>
      </w:pPr>
      <w:r w:rsidRPr="005A3F6F">
        <w:rPr>
          <w:b/>
          <w:bCs/>
        </w:rPr>
        <w:t>Location</w:t>
      </w:r>
      <w:r w:rsidRPr="005A3F6F">
        <w:t>:</w:t>
      </w:r>
      <w:r w:rsidRPr="005A3F6F">
        <w:tab/>
        <w:t xml:space="preserve">Paragraph 4 (b) </w:t>
      </w:r>
    </w:p>
    <w:p w:rsidR="00A56F9F" w:rsidRPr="005A3F6F" w:rsidRDefault="00A56F9F" w:rsidP="00A56F9F">
      <w:pPr>
        <w:ind w:left="1134" w:hanging="1134"/>
        <w:rPr>
          <w:rFonts w:cs="Arial"/>
          <w:szCs w:val="22"/>
        </w:rPr>
      </w:pPr>
      <w:r w:rsidRPr="005A3F6F">
        <w:rPr>
          <w:b/>
          <w:bCs/>
        </w:rPr>
        <w:t>Issue 123</w:t>
      </w:r>
      <w:r w:rsidRPr="005A3F6F">
        <w:t>:</w:t>
      </w:r>
      <w:r w:rsidRPr="005A3F6F">
        <w:tab/>
        <w:t xml:space="preserve">The clause refers to ‘may contain vitamin C and/or folate’. </w:t>
      </w:r>
      <w:r w:rsidRPr="005A3F6F">
        <w:rPr>
          <w:rFonts w:cs="Arial"/>
          <w:szCs w:val="22"/>
        </w:rPr>
        <w:t xml:space="preserve">OLDP recommendation to </w:t>
      </w:r>
      <w:r w:rsidRPr="005A3F6F">
        <w:rPr>
          <w:rFonts w:cs="Arial"/>
          <w:szCs w:val="22"/>
          <w:lang w:val="en-AU"/>
        </w:rPr>
        <w:t xml:space="preserve">clarify meaning of </w:t>
      </w:r>
      <w:r w:rsidRPr="005A3F6F">
        <w:rPr>
          <w:rFonts w:cs="Arial"/>
          <w:szCs w:val="22"/>
        </w:rPr>
        <w:t>‘and/or’</w:t>
      </w:r>
      <w:r w:rsidR="005A3F6F">
        <w:rPr>
          <w:rFonts w:cs="Arial"/>
          <w:szCs w:val="22"/>
        </w:rPr>
        <w:t>.</w:t>
      </w:r>
    </w:p>
    <w:p w:rsidR="00A56F9F" w:rsidRPr="005A3F6F" w:rsidRDefault="00A56F9F" w:rsidP="00A56F9F">
      <w:pPr>
        <w:ind w:left="1134" w:hanging="1134"/>
      </w:pPr>
      <w:r w:rsidRPr="005A3F6F">
        <w:rPr>
          <w:rFonts w:cs="Arial"/>
          <w:b/>
          <w:bCs/>
          <w:szCs w:val="22"/>
        </w:rPr>
        <w:t>Solution</w:t>
      </w:r>
      <w:r w:rsidRPr="005A3F6F">
        <w:rPr>
          <w:rFonts w:cs="Arial"/>
          <w:szCs w:val="22"/>
        </w:rPr>
        <w:t>:</w:t>
      </w:r>
      <w:r w:rsidRPr="005A3F6F">
        <w:rPr>
          <w:rFonts w:cs="Arial"/>
          <w:szCs w:val="22"/>
        </w:rPr>
        <w:tab/>
      </w:r>
      <w:r w:rsidRPr="005A3F6F">
        <w:t>Replace with ‘may contain vitamin C or folate or both’.</w:t>
      </w:r>
    </w:p>
    <w:p w:rsidR="00A56F9F" w:rsidRPr="005A3F6F" w:rsidRDefault="00A56F9F" w:rsidP="00A56F9F"/>
    <w:p w:rsidR="00A56F9F" w:rsidRPr="005A3F6F" w:rsidRDefault="00A56F9F" w:rsidP="00A56F9F">
      <w:pPr>
        <w:pStyle w:val="Heading3"/>
      </w:pPr>
      <w:bookmarkStart w:id="121" w:name="_Toc280003238"/>
      <w:bookmarkStart w:id="122" w:name="_Toc290973061"/>
      <w:r w:rsidRPr="005A3F6F">
        <w:t>3.44</w:t>
      </w:r>
      <w:r w:rsidRPr="005A3F6F">
        <w:tab/>
        <w:t>Standard 2.9.4 – Formulated Supplementary Sports Foods</w:t>
      </w:r>
      <w:bookmarkEnd w:id="121"/>
      <w:bookmarkEnd w:id="122"/>
    </w:p>
    <w:p w:rsidR="00A56F9F" w:rsidRPr="005A3F6F" w:rsidRDefault="00A56F9F" w:rsidP="00A56F9F"/>
    <w:p w:rsidR="00A56F9F" w:rsidRPr="003D21EE" w:rsidRDefault="00A56F9F" w:rsidP="00A56F9F">
      <w:pPr>
        <w:ind w:left="1134" w:hanging="1134"/>
      </w:pPr>
      <w:r w:rsidRPr="003D21EE">
        <w:rPr>
          <w:b/>
          <w:bCs/>
        </w:rPr>
        <w:t>Location</w:t>
      </w:r>
      <w:r w:rsidRPr="003D21EE">
        <w:t>:</w:t>
      </w:r>
      <w:r w:rsidRPr="003D21EE">
        <w:tab/>
        <w:t xml:space="preserve">Paragraph 7(3)(a) </w:t>
      </w:r>
    </w:p>
    <w:p w:rsidR="00A56F9F" w:rsidRPr="003D21EE" w:rsidRDefault="00A56F9F" w:rsidP="00A56F9F">
      <w:pPr>
        <w:ind w:left="1134" w:hanging="1134"/>
        <w:rPr>
          <w:rFonts w:cs="Arial"/>
          <w:szCs w:val="22"/>
        </w:rPr>
      </w:pPr>
      <w:r w:rsidRPr="003D21EE">
        <w:rPr>
          <w:b/>
          <w:bCs/>
        </w:rPr>
        <w:t>Issue 124</w:t>
      </w:r>
      <w:r w:rsidRPr="003D21EE">
        <w:t>:</w:t>
      </w:r>
      <w:r w:rsidRPr="003D21EE">
        <w:tab/>
        <w:t xml:space="preserve">The paragraph refers to ‘the product is useful either before, during and/or after sustained strenuous exercise’. </w:t>
      </w:r>
      <w:r w:rsidRPr="003D21EE">
        <w:rPr>
          <w:rFonts w:cs="Arial"/>
          <w:szCs w:val="22"/>
        </w:rPr>
        <w:t xml:space="preserve">OLDP recommendation to </w:t>
      </w:r>
      <w:r w:rsidRPr="003D21EE">
        <w:rPr>
          <w:rFonts w:cs="Arial"/>
          <w:szCs w:val="22"/>
          <w:lang w:val="en-AU"/>
        </w:rPr>
        <w:t xml:space="preserve">clarify meaning of </w:t>
      </w:r>
      <w:r w:rsidRPr="003D21EE">
        <w:rPr>
          <w:rFonts w:cs="Arial"/>
          <w:szCs w:val="22"/>
        </w:rPr>
        <w:t>‘and/or’</w:t>
      </w:r>
      <w:r w:rsidR="00AA4ED8">
        <w:rPr>
          <w:rFonts w:cs="Arial"/>
          <w:szCs w:val="22"/>
        </w:rPr>
        <w:t xml:space="preserve">. </w:t>
      </w:r>
    </w:p>
    <w:p w:rsidR="00A56F9F" w:rsidRPr="003D21EE" w:rsidRDefault="00A56F9F" w:rsidP="00A56F9F">
      <w:pPr>
        <w:ind w:left="1134" w:hanging="1134"/>
      </w:pPr>
      <w:r w:rsidRPr="003D21EE">
        <w:rPr>
          <w:rFonts w:cs="Arial"/>
          <w:b/>
          <w:bCs/>
          <w:szCs w:val="22"/>
        </w:rPr>
        <w:t>Solution</w:t>
      </w:r>
      <w:r w:rsidR="00E5508E" w:rsidRPr="003D21EE">
        <w:rPr>
          <w:rFonts w:cs="Arial"/>
          <w:b/>
          <w:bCs/>
          <w:szCs w:val="22"/>
        </w:rPr>
        <w:t xml:space="preserve"> proposed in Assessment Report</w:t>
      </w:r>
      <w:r w:rsidR="00E5508E" w:rsidRPr="003D21EE">
        <w:rPr>
          <w:rFonts w:cs="Arial"/>
          <w:szCs w:val="22"/>
        </w:rPr>
        <w:t xml:space="preserve">: </w:t>
      </w:r>
      <w:r w:rsidRPr="003D21EE">
        <w:t xml:space="preserve">Replace with ‘the product is useful for one or more of before, during, or after sustained strenuous exercise’. </w:t>
      </w:r>
    </w:p>
    <w:p w:rsidR="00E5508E" w:rsidRDefault="00E5508E" w:rsidP="00A56F9F">
      <w:pPr>
        <w:ind w:left="1134" w:hanging="1134"/>
      </w:pPr>
      <w:r w:rsidRPr="003D21EE">
        <w:rPr>
          <w:rFonts w:cs="Arial"/>
          <w:b/>
          <w:bCs/>
          <w:szCs w:val="22"/>
        </w:rPr>
        <w:t>Submitter comment and FSANZ response:</w:t>
      </w:r>
      <w:r w:rsidRPr="003D21EE">
        <w:t xml:space="preserve"> </w:t>
      </w:r>
      <w:r w:rsidR="00C258A6">
        <w:t>Two</w:t>
      </w:r>
      <w:r w:rsidRPr="003D21EE">
        <w:t xml:space="preserve"> submitter</w:t>
      </w:r>
      <w:r w:rsidR="00C258A6">
        <w:t>s</w:t>
      </w:r>
      <w:r w:rsidRPr="003D21EE">
        <w:t xml:space="preserve"> considered that the replacement sentence is unclear. FSANZ has therefore simplified the sentence </w:t>
      </w:r>
      <w:r w:rsidR="00396506">
        <w:t>to</w:t>
      </w:r>
      <w:r w:rsidRPr="003D21EE">
        <w:t xml:space="preserve"> the following: ‘the product is useful before, during or after sustained strenuous exercise’. </w:t>
      </w:r>
    </w:p>
    <w:p w:rsidR="00AA4ED8" w:rsidRPr="00AA4ED8" w:rsidRDefault="00AA4ED8" w:rsidP="00A56F9F">
      <w:pPr>
        <w:ind w:left="1134" w:hanging="1134"/>
      </w:pPr>
      <w:r w:rsidRPr="00AA4ED8">
        <w:rPr>
          <w:rFonts w:cs="Arial"/>
          <w:bCs/>
          <w:szCs w:val="22"/>
        </w:rPr>
        <w:tab/>
        <w:t xml:space="preserve">During further consideration of </w:t>
      </w:r>
      <w:r>
        <w:rPr>
          <w:rFonts w:cs="Arial"/>
          <w:bCs/>
          <w:szCs w:val="22"/>
        </w:rPr>
        <w:t xml:space="preserve">this issue, FSANZ has realised that this phrase in paragraph 7(3)(a) is also in paragraphs 8(3)(d) and 9(4(b). The amendment as outlined above has therefore been made to these paragraphs.  </w:t>
      </w:r>
    </w:p>
    <w:p w:rsidR="00742C40" w:rsidRDefault="00742C40" w:rsidP="00742C40">
      <w:bookmarkStart w:id="123" w:name="_Toc280003239"/>
      <w:bookmarkStart w:id="124" w:name="_Toc290973062"/>
      <w:r>
        <w:br w:type="page"/>
      </w:r>
    </w:p>
    <w:p w:rsidR="00A56F9F" w:rsidRPr="005A3F6F" w:rsidRDefault="00A56F9F" w:rsidP="00A56F9F">
      <w:pPr>
        <w:pStyle w:val="Heading3"/>
      </w:pPr>
      <w:r w:rsidRPr="005A3F6F">
        <w:lastRenderedPageBreak/>
        <w:t>3.45</w:t>
      </w:r>
      <w:r w:rsidRPr="005A3F6F">
        <w:tab/>
        <w:t>Standard 3.3.1 – Food Safety Programs for Food Service to Vulnerable Persons</w:t>
      </w:r>
      <w:bookmarkEnd w:id="123"/>
      <w:bookmarkEnd w:id="124"/>
    </w:p>
    <w:p w:rsidR="00A56F9F" w:rsidRPr="005A3F6F" w:rsidRDefault="00A56F9F" w:rsidP="00A56F9F"/>
    <w:p w:rsidR="00A56F9F" w:rsidRPr="005A3F6F" w:rsidRDefault="00A56F9F" w:rsidP="00A56F9F">
      <w:pPr>
        <w:ind w:left="1134" w:hanging="1134"/>
      </w:pPr>
      <w:r w:rsidRPr="005A3F6F">
        <w:rPr>
          <w:b/>
          <w:bCs/>
        </w:rPr>
        <w:t>Location</w:t>
      </w:r>
      <w:r w:rsidRPr="005A3F6F">
        <w:t>:</w:t>
      </w:r>
      <w:r w:rsidRPr="005A3F6F">
        <w:tab/>
        <w:t xml:space="preserve">Schedule </w:t>
      </w:r>
    </w:p>
    <w:p w:rsidR="00A56F9F" w:rsidRPr="005A3F6F" w:rsidRDefault="00A56F9F" w:rsidP="00A56F9F">
      <w:pPr>
        <w:ind w:left="1134" w:hanging="1134"/>
        <w:rPr>
          <w:rFonts w:cs="Arial"/>
          <w:szCs w:val="22"/>
        </w:rPr>
      </w:pPr>
      <w:r w:rsidRPr="005A3F6F">
        <w:rPr>
          <w:b/>
          <w:bCs/>
        </w:rPr>
        <w:t>Issue 125</w:t>
      </w:r>
      <w:r w:rsidRPr="005A3F6F">
        <w:t>:</w:t>
      </w:r>
      <w:r w:rsidRPr="005A3F6F">
        <w:tab/>
        <w:t xml:space="preserve">The Schedule refers to ‘provide chemotherapy and/or renal dialysis services’. </w:t>
      </w:r>
      <w:r w:rsidRPr="005A3F6F">
        <w:rPr>
          <w:rFonts w:cs="Arial"/>
          <w:szCs w:val="22"/>
        </w:rPr>
        <w:t xml:space="preserve">OLDP recommendation to </w:t>
      </w:r>
      <w:r w:rsidRPr="005A3F6F">
        <w:rPr>
          <w:rFonts w:cs="Arial"/>
          <w:szCs w:val="22"/>
          <w:lang w:val="en-AU"/>
        </w:rPr>
        <w:t xml:space="preserve">clarify meaning of </w:t>
      </w:r>
      <w:r w:rsidRPr="005A3F6F">
        <w:rPr>
          <w:rFonts w:cs="Arial"/>
          <w:szCs w:val="22"/>
        </w:rPr>
        <w:t>‘and/or’</w:t>
      </w:r>
    </w:p>
    <w:p w:rsidR="00A56F9F" w:rsidRPr="005A3F6F" w:rsidRDefault="00A56F9F" w:rsidP="00A56F9F">
      <w:pPr>
        <w:ind w:left="1134" w:hanging="1134"/>
      </w:pPr>
      <w:r w:rsidRPr="005A3F6F">
        <w:rPr>
          <w:rFonts w:cs="Arial"/>
          <w:b/>
          <w:bCs/>
          <w:szCs w:val="22"/>
        </w:rPr>
        <w:t>Solution</w:t>
      </w:r>
      <w:r w:rsidRPr="005A3F6F">
        <w:rPr>
          <w:rFonts w:cs="Arial"/>
          <w:szCs w:val="22"/>
        </w:rPr>
        <w:t>:</w:t>
      </w:r>
      <w:r w:rsidRPr="005A3F6F">
        <w:rPr>
          <w:rFonts w:cs="Arial"/>
          <w:szCs w:val="22"/>
        </w:rPr>
        <w:tab/>
      </w:r>
      <w:r w:rsidRPr="005A3F6F">
        <w:t xml:space="preserve">Replace ‘and/or’ with ‘or’. </w:t>
      </w:r>
    </w:p>
    <w:p w:rsidR="00A56F9F" w:rsidRPr="005A3F6F" w:rsidRDefault="00A56F9F" w:rsidP="00A56F9F"/>
    <w:p w:rsidR="00A56F9F" w:rsidRPr="001E03F6" w:rsidRDefault="00A56F9F" w:rsidP="00A56F9F">
      <w:pPr>
        <w:pStyle w:val="Heading3"/>
      </w:pPr>
      <w:bookmarkStart w:id="125" w:name="_Toc280003240"/>
      <w:bookmarkStart w:id="126" w:name="_Toc290973063"/>
      <w:r w:rsidRPr="001E03F6">
        <w:t>3.46</w:t>
      </w:r>
      <w:r w:rsidRPr="001E03F6">
        <w:tab/>
        <w:t>Standard 4.2.1 – Primary Production and Processing Standard for Seafood</w:t>
      </w:r>
      <w:bookmarkEnd w:id="125"/>
      <w:bookmarkEnd w:id="126"/>
      <w:r w:rsidRPr="001E03F6">
        <w:t xml:space="preserve"> </w:t>
      </w:r>
    </w:p>
    <w:p w:rsidR="00A56F9F" w:rsidRPr="001E03F6" w:rsidRDefault="00A56F9F" w:rsidP="00A56F9F">
      <w:pPr>
        <w:rPr>
          <w:b/>
          <w:bCs/>
        </w:rPr>
      </w:pPr>
    </w:p>
    <w:p w:rsidR="00A56F9F" w:rsidRPr="001E03F6" w:rsidRDefault="00A56F9F" w:rsidP="00A56F9F">
      <w:r w:rsidRPr="001E03F6">
        <w:rPr>
          <w:b/>
          <w:bCs/>
        </w:rPr>
        <w:t>Location</w:t>
      </w:r>
      <w:r w:rsidRPr="001E03F6">
        <w:t>:</w:t>
      </w:r>
      <w:r w:rsidRPr="001E03F6">
        <w:tab/>
        <w:t>Clause 15, definition of ASQAP Manual</w:t>
      </w:r>
    </w:p>
    <w:p w:rsidR="00A56F9F" w:rsidRPr="001E03F6" w:rsidRDefault="00A56F9F" w:rsidP="00A56F9F">
      <w:pPr>
        <w:ind w:left="1134" w:hanging="1134"/>
      </w:pPr>
      <w:r w:rsidRPr="001E03F6">
        <w:rPr>
          <w:b/>
          <w:bCs/>
        </w:rPr>
        <w:t>Issue 126</w:t>
      </w:r>
      <w:r w:rsidRPr="001E03F6">
        <w:t>:</w:t>
      </w:r>
      <w:r w:rsidRPr="001E03F6">
        <w:tab/>
        <w:t xml:space="preserve">The Standard refers to version 3 (2002) of the ASQAP Manual, however various updates have been made to the ASQAP Manual since then. The Schedule to the Standard specifies the ASQAP Manual conditions so the specific version number and year in the definition is not necessary. </w:t>
      </w:r>
    </w:p>
    <w:p w:rsidR="00A56F9F" w:rsidRPr="001E03F6" w:rsidRDefault="00A56F9F" w:rsidP="00A56F9F">
      <w:pPr>
        <w:ind w:left="1134" w:hanging="1134"/>
      </w:pPr>
      <w:r w:rsidRPr="001E03F6">
        <w:rPr>
          <w:b/>
          <w:bCs/>
        </w:rPr>
        <w:t>Solution</w:t>
      </w:r>
      <w:r w:rsidRPr="001E03F6">
        <w:t>:</w:t>
      </w:r>
      <w:r w:rsidRPr="001E03F6">
        <w:tab/>
        <w:t xml:space="preserve">Remove the version number and year from the definition. </w:t>
      </w:r>
    </w:p>
    <w:p w:rsidR="00A56F9F" w:rsidRPr="001E03F6" w:rsidRDefault="00A56F9F" w:rsidP="00A56F9F"/>
    <w:p w:rsidR="00DB5969" w:rsidRDefault="00A56F9F">
      <w:pPr>
        <w:keepNext/>
        <w:keepLines/>
      </w:pPr>
      <w:r w:rsidRPr="001E03F6">
        <w:rPr>
          <w:b/>
          <w:bCs/>
        </w:rPr>
        <w:t>Location</w:t>
      </w:r>
      <w:r w:rsidRPr="001E03F6">
        <w:t>:</w:t>
      </w:r>
      <w:r w:rsidRPr="001E03F6">
        <w:tab/>
        <w:t>Clause 15, definition of ‘batch’</w:t>
      </w:r>
    </w:p>
    <w:p w:rsidR="00DB5969" w:rsidRDefault="00A56F9F">
      <w:pPr>
        <w:keepNext/>
        <w:keepLines/>
        <w:ind w:left="1134" w:hanging="1134"/>
        <w:rPr>
          <w:bCs/>
          <w:lang w:val="en-US"/>
        </w:rPr>
      </w:pPr>
      <w:r w:rsidRPr="001E03F6">
        <w:rPr>
          <w:b/>
          <w:bCs/>
          <w:lang w:val="en-AU"/>
        </w:rPr>
        <w:t>Issue 127:</w:t>
      </w:r>
      <w:r w:rsidRPr="001E03F6">
        <w:rPr>
          <w:b/>
          <w:bCs/>
          <w:lang w:val="en-AU"/>
        </w:rPr>
        <w:tab/>
      </w:r>
      <w:r w:rsidRPr="001E03F6">
        <w:rPr>
          <w:bCs/>
          <w:lang w:val="en-AU"/>
        </w:rPr>
        <w:t xml:space="preserve">The current definition of </w:t>
      </w:r>
      <w:r w:rsidRPr="001E03F6">
        <w:rPr>
          <w:bCs/>
          <w:lang w:val="en-US"/>
        </w:rPr>
        <w:t>batch restricts the meaning to shellfish harvested from a lease and does not capture wild harvest shellfish industries. This effectively exempts wild shellfish harvesting activities from the requirements for co-mingling and is not commensurate with the intended outcome of Standard 4.2.1. It is also not commensurate with the definition in the Australian Shellfish Quality Assurance Program (ASQAP) Operations Manual, which captures all shellfish industries including wild shellfish harvesting activities.</w:t>
      </w:r>
    </w:p>
    <w:p w:rsidR="00A56F9F" w:rsidRPr="00B7206F" w:rsidRDefault="00A56F9F" w:rsidP="00A56F9F">
      <w:pPr>
        <w:ind w:left="1134" w:hanging="1134"/>
        <w:rPr>
          <w:i/>
        </w:rPr>
      </w:pPr>
      <w:r w:rsidRPr="001E03F6">
        <w:rPr>
          <w:b/>
          <w:bCs/>
          <w:lang w:val="en-AU"/>
        </w:rPr>
        <w:t>Solution:</w:t>
      </w:r>
      <w:r w:rsidRPr="001E03F6">
        <w:rPr>
          <w:b/>
          <w:bCs/>
          <w:lang w:val="en-AU"/>
        </w:rPr>
        <w:tab/>
      </w:r>
      <w:r w:rsidRPr="001E03F6">
        <w:rPr>
          <w:bCs/>
          <w:lang w:val="en-AU"/>
        </w:rPr>
        <w:t xml:space="preserve">Amend the definition of ‘batch’ to align with the ASQAP Operations Manual and capture wild harvest shellfish industries, as follows: </w:t>
      </w:r>
      <w:r w:rsidRPr="001E03F6">
        <w:rPr>
          <w:b/>
          <w:i/>
        </w:rPr>
        <w:t xml:space="preserve">Batch </w:t>
      </w:r>
      <w:r w:rsidRPr="001E03F6">
        <w:rPr>
          <w:i/>
        </w:rPr>
        <w:t xml:space="preserve">means a quantity of bivalve molluscs harvested from a particular harvesting area (e.g. marine farm, </w:t>
      </w:r>
      <w:r w:rsidRPr="00B7206F">
        <w:rPr>
          <w:i/>
        </w:rPr>
        <w:t>lease or designated wild shellstock harvest area) and with the same harvest date.</w:t>
      </w:r>
    </w:p>
    <w:p w:rsidR="00A56F9F" w:rsidRPr="00B7206F" w:rsidRDefault="00A56F9F" w:rsidP="00A56F9F"/>
    <w:p w:rsidR="00A56F9F" w:rsidRPr="00B7206F" w:rsidRDefault="00A56F9F" w:rsidP="00A56F9F">
      <w:pPr>
        <w:pStyle w:val="Heading3"/>
      </w:pPr>
      <w:bookmarkStart w:id="127" w:name="_Toc280003241"/>
      <w:bookmarkStart w:id="128" w:name="_Toc290973064"/>
      <w:r w:rsidRPr="00B7206F">
        <w:t>3.47</w:t>
      </w:r>
      <w:r w:rsidRPr="00B7206F">
        <w:tab/>
        <w:t>Standard 4.5.1 – Wine Production Requirements</w:t>
      </w:r>
      <w:bookmarkEnd w:id="127"/>
      <w:bookmarkEnd w:id="128"/>
      <w:r w:rsidRPr="00B7206F">
        <w:t xml:space="preserve"> </w:t>
      </w:r>
    </w:p>
    <w:p w:rsidR="00A56F9F" w:rsidRPr="00B7206F" w:rsidRDefault="00A56F9F" w:rsidP="00A56F9F">
      <w:pPr>
        <w:rPr>
          <w:b/>
          <w:bCs/>
        </w:rPr>
      </w:pPr>
    </w:p>
    <w:p w:rsidR="00A56F9F" w:rsidRPr="00B7206F" w:rsidRDefault="00A56F9F" w:rsidP="00A56F9F">
      <w:r w:rsidRPr="00B7206F">
        <w:rPr>
          <w:b/>
          <w:bCs/>
        </w:rPr>
        <w:t>Location</w:t>
      </w:r>
      <w:r w:rsidRPr="00B7206F">
        <w:t>:</w:t>
      </w:r>
      <w:r w:rsidRPr="00B7206F">
        <w:tab/>
        <w:t>Subclause 5(4)</w:t>
      </w:r>
    </w:p>
    <w:p w:rsidR="00A56F9F" w:rsidRPr="00B7206F" w:rsidRDefault="00A56F9F" w:rsidP="00A56F9F">
      <w:pPr>
        <w:ind w:left="1134" w:hanging="1134"/>
      </w:pPr>
      <w:r w:rsidRPr="00B7206F">
        <w:rPr>
          <w:b/>
          <w:bCs/>
        </w:rPr>
        <w:t>Issue 128</w:t>
      </w:r>
      <w:r w:rsidRPr="00B7206F">
        <w:t>:</w:t>
      </w:r>
      <w:r w:rsidRPr="00B7206F">
        <w:tab/>
        <w:t>Methanol is a natural toxicant produced during alcoholic fermentation. As such, it is already listed in Standard 1.4.1 in the Table to clause 3. It is not appropriate to have it in a production standard. Additionally, the limits are different for white wine in Standards 4.5.1 and 1.4.1, with the level in Standard 1.4.1 being more consistent with the maximum limits in other countries and the Organisation Internationale de la Vigne et du Vin (OIV).</w:t>
      </w:r>
    </w:p>
    <w:p w:rsidR="00A56F9F" w:rsidRPr="00B7206F" w:rsidRDefault="00B7206F" w:rsidP="00A56F9F">
      <w:pPr>
        <w:widowControl/>
      </w:pPr>
      <w:r w:rsidRPr="00B7206F">
        <w:rPr>
          <w:rFonts w:cs="Arial"/>
          <w:b/>
          <w:bCs/>
          <w:szCs w:val="22"/>
        </w:rPr>
        <w:t>Solution proposed in Assessment Report</w:t>
      </w:r>
      <w:r w:rsidR="00A56F9F" w:rsidRPr="00B7206F">
        <w:t>:</w:t>
      </w:r>
      <w:r w:rsidR="00A56F9F" w:rsidRPr="00B7206F">
        <w:tab/>
        <w:t>Remove subclause 5(4) from Standard 4.5.1.</w:t>
      </w:r>
    </w:p>
    <w:p w:rsidR="00B7206F" w:rsidRPr="00B7206F" w:rsidRDefault="00B7206F" w:rsidP="00B7206F">
      <w:pPr>
        <w:ind w:left="1134" w:hanging="1134"/>
      </w:pPr>
      <w:r w:rsidRPr="00B7206F">
        <w:rPr>
          <w:rFonts w:cs="Arial"/>
          <w:b/>
          <w:bCs/>
          <w:szCs w:val="22"/>
        </w:rPr>
        <w:t>Submitter comments and FSANZ response:</w:t>
      </w:r>
      <w:r w:rsidRPr="00B7206F">
        <w:rPr>
          <w:rFonts w:cs="Arial"/>
          <w:szCs w:val="22"/>
        </w:rPr>
        <w:t xml:space="preserve"> No </w:t>
      </w:r>
      <w:r w:rsidR="00D578CA" w:rsidRPr="00B7206F">
        <w:rPr>
          <w:rFonts w:cs="Arial"/>
          <w:szCs w:val="22"/>
        </w:rPr>
        <w:t>responses</w:t>
      </w:r>
      <w:r w:rsidRPr="00B7206F">
        <w:rPr>
          <w:rFonts w:cs="Arial"/>
          <w:szCs w:val="22"/>
        </w:rPr>
        <w:t xml:space="preserve"> were </w:t>
      </w:r>
      <w:r w:rsidR="00D578CA" w:rsidRPr="00B7206F">
        <w:rPr>
          <w:rFonts w:cs="Arial"/>
          <w:szCs w:val="22"/>
        </w:rPr>
        <w:t>received</w:t>
      </w:r>
      <w:r w:rsidRPr="00B7206F">
        <w:rPr>
          <w:rFonts w:cs="Arial"/>
          <w:szCs w:val="22"/>
        </w:rPr>
        <w:t xml:space="preserve"> to the explicit question on whether the change would </w:t>
      </w:r>
      <w:r w:rsidRPr="00B7206F">
        <w:t>have negative trade repercussions</w:t>
      </w:r>
      <w:r w:rsidR="00D578CA">
        <w:t>.</w:t>
      </w:r>
    </w:p>
    <w:p w:rsidR="00B7206F" w:rsidRPr="00BD0844" w:rsidRDefault="00B7206F" w:rsidP="00B7206F">
      <w:pPr>
        <w:ind w:left="1134"/>
        <w:rPr>
          <w:bCs/>
        </w:rPr>
      </w:pPr>
      <w:r w:rsidRPr="00B7206F">
        <w:rPr>
          <w:rFonts w:cs="Arial"/>
          <w:szCs w:val="22"/>
        </w:rPr>
        <w:t>Two submitters requested that the requirements be retained in Standard 4.5.1 as well as in Standard</w:t>
      </w:r>
      <w:r>
        <w:rPr>
          <w:rFonts w:cs="Arial"/>
          <w:szCs w:val="22"/>
        </w:rPr>
        <w:t xml:space="preserve"> 1.4.1.</w:t>
      </w:r>
    </w:p>
    <w:p w:rsidR="00B7206F" w:rsidRDefault="00B7206F" w:rsidP="00B7206F">
      <w:pPr>
        <w:ind w:left="1134"/>
        <w:rPr>
          <w:rFonts w:cs="Arial"/>
          <w:bCs/>
          <w:szCs w:val="22"/>
        </w:rPr>
      </w:pPr>
      <w:r w:rsidRPr="00BD0844">
        <w:rPr>
          <w:rFonts w:cs="Arial"/>
          <w:bCs/>
          <w:szCs w:val="22"/>
        </w:rPr>
        <w:t xml:space="preserve">FSANZ </w:t>
      </w:r>
      <w:r>
        <w:rPr>
          <w:rFonts w:cs="Arial"/>
          <w:bCs/>
          <w:szCs w:val="22"/>
        </w:rPr>
        <w:t>believes</w:t>
      </w:r>
      <w:r w:rsidRPr="00BD0844">
        <w:rPr>
          <w:rFonts w:cs="Arial"/>
          <w:bCs/>
          <w:szCs w:val="22"/>
        </w:rPr>
        <w:t xml:space="preserve"> that </w:t>
      </w:r>
      <w:r>
        <w:rPr>
          <w:rFonts w:cs="Arial"/>
          <w:bCs/>
          <w:szCs w:val="22"/>
        </w:rPr>
        <w:t>this is not required as its presence in Standard 1.4.1 covers both imported and local product.</w:t>
      </w:r>
    </w:p>
    <w:p w:rsidR="00E9791A" w:rsidRDefault="00E9791A" w:rsidP="007D40C7"/>
    <w:p w:rsidR="00742C40" w:rsidRDefault="00742C40" w:rsidP="002B7BF2">
      <w:pPr>
        <w:pStyle w:val="Heading2"/>
      </w:pPr>
      <w:bookmarkStart w:id="129" w:name="_Toc280003242"/>
      <w:bookmarkStart w:id="130" w:name="_Toc290973065"/>
      <w:r>
        <w:br w:type="page"/>
      </w:r>
    </w:p>
    <w:p w:rsidR="002B7BF2" w:rsidRPr="001E03F6" w:rsidRDefault="002B7BF2" w:rsidP="002B7BF2">
      <w:pPr>
        <w:pStyle w:val="Heading2"/>
      </w:pPr>
      <w:r w:rsidRPr="001E03F6">
        <w:lastRenderedPageBreak/>
        <w:t>4.</w:t>
      </w:r>
      <w:r w:rsidRPr="001E03F6">
        <w:tab/>
        <w:t>Amendments to Editorial notes</w:t>
      </w:r>
      <w:bookmarkEnd w:id="129"/>
      <w:bookmarkEnd w:id="130"/>
      <w:r w:rsidRPr="001E03F6">
        <w:t xml:space="preserve"> </w:t>
      </w:r>
    </w:p>
    <w:p w:rsidR="002B7BF2" w:rsidRPr="001E03F6" w:rsidRDefault="002B7BF2" w:rsidP="002B7BF2"/>
    <w:p w:rsidR="002B7BF2" w:rsidRPr="001E03F6" w:rsidRDefault="002B7BF2" w:rsidP="002B7BF2">
      <w:pPr>
        <w:pStyle w:val="Heading3"/>
      </w:pPr>
      <w:bookmarkStart w:id="131" w:name="_Toc280003243"/>
      <w:bookmarkStart w:id="132" w:name="_Toc290973066"/>
      <w:r w:rsidRPr="001E03F6">
        <w:t>4.1</w:t>
      </w:r>
      <w:r w:rsidRPr="001E03F6">
        <w:tab/>
        <w:t>Standard 1.1.1 – Preliminary Provisions - Application, Interpretation and General Prohibitions</w:t>
      </w:r>
      <w:bookmarkEnd w:id="131"/>
      <w:bookmarkEnd w:id="132"/>
    </w:p>
    <w:p w:rsidR="002B7BF2" w:rsidRPr="001E03F6" w:rsidRDefault="002B7BF2" w:rsidP="002B7BF2">
      <w:pPr>
        <w:rPr>
          <w:b/>
          <w:bCs/>
        </w:rPr>
      </w:pPr>
    </w:p>
    <w:p w:rsidR="002B7BF2" w:rsidRPr="001E03F6" w:rsidRDefault="002B7BF2" w:rsidP="002B7BF2">
      <w:r w:rsidRPr="001E03F6">
        <w:rPr>
          <w:b/>
          <w:bCs/>
        </w:rPr>
        <w:t>Location</w:t>
      </w:r>
      <w:r w:rsidRPr="001E03F6">
        <w:t>:</w:t>
      </w:r>
      <w:r w:rsidRPr="001E03F6">
        <w:tab/>
        <w:t>Editorial note following the Purpose</w:t>
      </w:r>
    </w:p>
    <w:p w:rsidR="002B7BF2" w:rsidRPr="001E03F6" w:rsidRDefault="002B7BF2" w:rsidP="002B7BF2">
      <w:pPr>
        <w:ind w:left="1134" w:hanging="1134"/>
      </w:pPr>
      <w:r w:rsidRPr="001E03F6">
        <w:rPr>
          <w:b/>
          <w:bCs/>
        </w:rPr>
        <w:t>Issue 129</w:t>
      </w:r>
      <w:r w:rsidRPr="001E03F6">
        <w:t>:</w:t>
      </w:r>
      <w:r w:rsidRPr="001E03F6">
        <w:tab/>
        <w:t xml:space="preserve">The </w:t>
      </w:r>
      <w:r w:rsidRPr="001E03F6">
        <w:rPr>
          <w:i/>
        </w:rPr>
        <w:t>Food Act 2008</w:t>
      </w:r>
      <w:r w:rsidRPr="001E03F6">
        <w:t xml:space="preserve"> (Western Australia) came into effect on 23 October 2009. However, the Purpose refers to the </w:t>
      </w:r>
      <w:r w:rsidRPr="001E03F6">
        <w:rPr>
          <w:i/>
        </w:rPr>
        <w:t>Health Act 1991</w:t>
      </w:r>
      <w:r w:rsidRPr="001E03F6">
        <w:t>.</w:t>
      </w:r>
    </w:p>
    <w:p w:rsidR="002B7BF2" w:rsidRPr="001E03F6" w:rsidRDefault="002B7BF2" w:rsidP="002B7BF2">
      <w:r w:rsidRPr="001E03F6">
        <w:rPr>
          <w:b/>
          <w:bCs/>
        </w:rPr>
        <w:t>Solution</w:t>
      </w:r>
      <w:r w:rsidRPr="001E03F6">
        <w:t>:</w:t>
      </w:r>
      <w:r w:rsidRPr="001E03F6">
        <w:tab/>
        <w:t xml:space="preserve">Update entry to </w:t>
      </w:r>
      <w:r w:rsidRPr="001E03F6">
        <w:rPr>
          <w:i/>
        </w:rPr>
        <w:t xml:space="preserve">Food Act 2008 </w:t>
      </w:r>
      <w:r w:rsidRPr="001E03F6">
        <w:t>(Western Australia).</w:t>
      </w:r>
    </w:p>
    <w:p w:rsidR="002B7BF2" w:rsidRDefault="002B7BF2" w:rsidP="002B7BF2">
      <w:pPr>
        <w:rPr>
          <w:b/>
          <w:bCs/>
        </w:rPr>
      </w:pPr>
    </w:p>
    <w:p w:rsidR="00512066" w:rsidRDefault="00EC3542">
      <w:pPr>
        <w:widowControl/>
      </w:pPr>
      <w:r w:rsidRPr="001E03F6">
        <w:rPr>
          <w:b/>
          <w:bCs/>
        </w:rPr>
        <w:t>Location</w:t>
      </w:r>
      <w:r w:rsidRPr="001E03F6">
        <w:t>:</w:t>
      </w:r>
      <w:r w:rsidRPr="001E03F6">
        <w:tab/>
        <w:t>Editorial note following the Purpose</w:t>
      </w:r>
    </w:p>
    <w:p w:rsidR="00EC3542" w:rsidRPr="001E03F6" w:rsidRDefault="00EC3542" w:rsidP="00EC3542">
      <w:pPr>
        <w:ind w:left="1134" w:hanging="1134"/>
      </w:pPr>
      <w:r w:rsidRPr="001E03F6">
        <w:rPr>
          <w:b/>
          <w:bCs/>
        </w:rPr>
        <w:t>Issue</w:t>
      </w:r>
      <w:r w:rsidRPr="001E03F6">
        <w:t>:</w:t>
      </w:r>
      <w:r w:rsidRPr="001E03F6">
        <w:tab/>
        <w:t>The</w:t>
      </w:r>
      <w:r>
        <w:t xml:space="preserve"> year of the</w:t>
      </w:r>
      <w:r w:rsidRPr="001E03F6">
        <w:t xml:space="preserve"> </w:t>
      </w:r>
      <w:r w:rsidRPr="001E03F6">
        <w:rPr>
          <w:i/>
        </w:rPr>
        <w:t xml:space="preserve">Food Act </w:t>
      </w:r>
      <w:r w:rsidRPr="001E03F6">
        <w:t>(</w:t>
      </w:r>
      <w:r>
        <w:t>Northern Territories</w:t>
      </w:r>
      <w:r w:rsidRPr="001E03F6">
        <w:t xml:space="preserve">) </w:t>
      </w:r>
      <w:r>
        <w:t>is not stated.</w:t>
      </w:r>
      <w:r w:rsidR="003375AD" w:rsidRPr="003375AD">
        <w:rPr>
          <w:rFonts w:cs="Arial"/>
          <w:szCs w:val="22"/>
        </w:rPr>
        <w:t xml:space="preserve"> </w:t>
      </w:r>
      <w:r w:rsidR="003375AD" w:rsidRPr="000B6035">
        <w:rPr>
          <w:rFonts w:cs="Arial"/>
          <w:szCs w:val="22"/>
        </w:rPr>
        <w:t>Note this is a new issue</w:t>
      </w:r>
      <w:r w:rsidR="003375AD">
        <w:rPr>
          <w:rFonts w:cs="Arial"/>
          <w:szCs w:val="22"/>
        </w:rPr>
        <w:t xml:space="preserve"> that was identified </w:t>
      </w:r>
      <w:r w:rsidR="003375AD" w:rsidRPr="000B6035">
        <w:rPr>
          <w:rFonts w:cs="Arial"/>
          <w:szCs w:val="22"/>
        </w:rPr>
        <w:t>following the release of the Assessment Report.</w:t>
      </w:r>
    </w:p>
    <w:p w:rsidR="003375AD" w:rsidRPr="000B6035" w:rsidRDefault="00EC3542" w:rsidP="003375AD">
      <w:pPr>
        <w:ind w:left="1134" w:hanging="1134"/>
        <w:rPr>
          <w:rFonts w:cs="Arial"/>
          <w:szCs w:val="22"/>
        </w:rPr>
      </w:pPr>
      <w:r w:rsidRPr="001E03F6">
        <w:rPr>
          <w:b/>
          <w:bCs/>
        </w:rPr>
        <w:t>Solution</w:t>
      </w:r>
      <w:r w:rsidRPr="001E03F6">
        <w:t>:</w:t>
      </w:r>
      <w:r w:rsidRPr="001E03F6">
        <w:tab/>
        <w:t xml:space="preserve">Update entry to </w:t>
      </w:r>
      <w:r w:rsidRPr="00EC3542">
        <w:t>include the year of this Act</w:t>
      </w:r>
      <w:r>
        <w:t>.</w:t>
      </w:r>
      <w:r w:rsidR="003375AD" w:rsidRPr="003375AD">
        <w:rPr>
          <w:rFonts w:cs="Arial"/>
          <w:szCs w:val="22"/>
        </w:rPr>
        <w:t xml:space="preserve"> </w:t>
      </w:r>
    </w:p>
    <w:p w:rsidR="00EC3542" w:rsidRPr="001E03F6" w:rsidRDefault="00EC3542" w:rsidP="00EC3542"/>
    <w:p w:rsidR="002B7BF2" w:rsidRPr="001E03F6" w:rsidRDefault="002B7BF2" w:rsidP="002B7BF2">
      <w:pPr>
        <w:rPr>
          <w:bCs/>
        </w:rPr>
      </w:pPr>
      <w:r w:rsidRPr="001E03F6">
        <w:rPr>
          <w:b/>
          <w:bCs/>
        </w:rPr>
        <w:t>Location</w:t>
      </w:r>
      <w:r w:rsidRPr="001E03F6">
        <w:t>:</w:t>
      </w:r>
      <w:r w:rsidRPr="001E03F6">
        <w:tab/>
      </w:r>
      <w:r w:rsidRPr="001E03F6">
        <w:rPr>
          <w:bCs/>
        </w:rPr>
        <w:t xml:space="preserve">Editorial note following definition of ‘fund raising events’ </w:t>
      </w:r>
    </w:p>
    <w:p w:rsidR="002B7BF2" w:rsidRPr="001E03F6" w:rsidRDefault="002B7BF2" w:rsidP="002B7BF2">
      <w:pPr>
        <w:ind w:left="1134" w:hanging="1134"/>
      </w:pPr>
      <w:r w:rsidRPr="001E03F6">
        <w:rPr>
          <w:b/>
          <w:bCs/>
          <w:lang w:val="en-AU"/>
        </w:rPr>
        <w:t>Issue 130</w:t>
      </w:r>
      <w:r w:rsidRPr="001E03F6">
        <w:rPr>
          <w:lang w:val="en-AU"/>
        </w:rPr>
        <w:t>:</w:t>
      </w:r>
      <w:r w:rsidRPr="001E03F6">
        <w:rPr>
          <w:lang w:val="en-AU"/>
        </w:rPr>
        <w:tab/>
      </w:r>
      <w:r w:rsidRPr="001E03F6">
        <w:t xml:space="preserve">The Editorial note does not relate to the definition and belongs in explanatory material. </w:t>
      </w:r>
    </w:p>
    <w:p w:rsidR="002B7BF2" w:rsidRPr="001E03F6" w:rsidRDefault="002B7BF2" w:rsidP="002B7BF2">
      <w:pPr>
        <w:ind w:left="1134" w:hanging="1134"/>
        <w:rPr>
          <w:lang w:val="en-AU"/>
        </w:rPr>
      </w:pPr>
      <w:r w:rsidRPr="001E03F6">
        <w:rPr>
          <w:b/>
          <w:bCs/>
          <w:lang w:val="en-AU"/>
        </w:rPr>
        <w:t>Solution</w:t>
      </w:r>
      <w:r w:rsidRPr="001E03F6">
        <w:rPr>
          <w:lang w:val="en-AU"/>
        </w:rPr>
        <w:t>:</w:t>
      </w:r>
      <w:r w:rsidRPr="001E03F6">
        <w:rPr>
          <w:lang w:val="en-AU"/>
        </w:rPr>
        <w:tab/>
        <w:t xml:space="preserve">Remove Editorial note (the information in this Editorial note has been provided in a new fact sheet on the FSANZ Website). </w:t>
      </w:r>
    </w:p>
    <w:p w:rsidR="002B7BF2" w:rsidRPr="001E03F6" w:rsidRDefault="002B7BF2" w:rsidP="002B7BF2"/>
    <w:p w:rsidR="002B7BF2" w:rsidRPr="001E03F6" w:rsidRDefault="002B7BF2" w:rsidP="002B7BF2">
      <w:pPr>
        <w:pStyle w:val="Heading3"/>
      </w:pPr>
      <w:bookmarkStart w:id="133" w:name="_Toc280003244"/>
      <w:bookmarkStart w:id="134" w:name="_Toc290973067"/>
      <w:r w:rsidRPr="001E03F6">
        <w:t>4.2</w:t>
      </w:r>
      <w:r w:rsidRPr="001E03F6">
        <w:tab/>
        <w:t>Standard 1.2.3 – Mandatory Warning and Advisory Statements and Declarations</w:t>
      </w:r>
      <w:bookmarkEnd w:id="133"/>
      <w:bookmarkEnd w:id="134"/>
    </w:p>
    <w:p w:rsidR="002B7BF2" w:rsidRPr="001E03F6" w:rsidRDefault="002B7BF2" w:rsidP="002B7BF2">
      <w:pPr>
        <w:rPr>
          <w:b/>
          <w:bCs/>
        </w:rPr>
      </w:pPr>
    </w:p>
    <w:p w:rsidR="002B7BF2" w:rsidRPr="001E03F6" w:rsidRDefault="002B7BF2" w:rsidP="002B7BF2">
      <w:r w:rsidRPr="001E03F6">
        <w:rPr>
          <w:b/>
          <w:bCs/>
        </w:rPr>
        <w:t>Location</w:t>
      </w:r>
      <w:r w:rsidRPr="001E03F6">
        <w:t>:</w:t>
      </w:r>
      <w:r w:rsidRPr="001E03F6">
        <w:tab/>
        <w:t>Editorial note following Table to clause 2</w:t>
      </w:r>
    </w:p>
    <w:p w:rsidR="002B7BF2" w:rsidRPr="001E03F6" w:rsidRDefault="002B7BF2" w:rsidP="002B7BF2">
      <w:r w:rsidRPr="001E03F6">
        <w:rPr>
          <w:b/>
          <w:bCs/>
        </w:rPr>
        <w:t>Issue 131</w:t>
      </w:r>
      <w:r w:rsidRPr="001E03F6">
        <w:t>:</w:t>
      </w:r>
      <w:r w:rsidRPr="001E03F6">
        <w:tab/>
        <w:t>Incorrectly has a hyphen after 2.5.1. ‘Dried’ does not start with a capital.</w:t>
      </w:r>
    </w:p>
    <w:p w:rsidR="002B7BF2" w:rsidRPr="001E03F6" w:rsidRDefault="002B7BF2" w:rsidP="002B7BF2">
      <w:r w:rsidRPr="001E03F6">
        <w:rPr>
          <w:b/>
          <w:bCs/>
        </w:rPr>
        <w:t>Solution</w:t>
      </w:r>
      <w:r w:rsidRPr="001E03F6">
        <w:t>:</w:t>
      </w:r>
      <w:r w:rsidRPr="001E03F6">
        <w:tab/>
        <w:t xml:space="preserve">Amend to correct formatting. </w:t>
      </w:r>
    </w:p>
    <w:p w:rsidR="002B7BF2" w:rsidRPr="001E03F6" w:rsidRDefault="002B7BF2" w:rsidP="002B7BF2"/>
    <w:p w:rsidR="002B7BF2" w:rsidRPr="001E03F6" w:rsidRDefault="002B7BF2" w:rsidP="002B7BF2">
      <w:pPr>
        <w:pStyle w:val="Heading3"/>
      </w:pPr>
      <w:bookmarkStart w:id="135" w:name="_Toc280003245"/>
      <w:bookmarkStart w:id="136" w:name="_Toc290973068"/>
      <w:r w:rsidRPr="001E03F6">
        <w:t>4.3</w:t>
      </w:r>
      <w:r w:rsidRPr="001E03F6">
        <w:tab/>
        <w:t>Standard 1.2.5 – Date Marking of Food</w:t>
      </w:r>
      <w:bookmarkEnd w:id="135"/>
      <w:bookmarkEnd w:id="136"/>
      <w:r w:rsidRPr="001E03F6">
        <w:t xml:space="preserve"> </w:t>
      </w:r>
    </w:p>
    <w:p w:rsidR="002B7BF2" w:rsidRPr="001E03F6" w:rsidRDefault="002B7BF2" w:rsidP="002B7BF2"/>
    <w:p w:rsidR="002B7BF2" w:rsidRPr="001E03F6" w:rsidRDefault="002B7BF2" w:rsidP="002B7BF2">
      <w:r w:rsidRPr="001E03F6">
        <w:rPr>
          <w:b/>
          <w:bCs/>
        </w:rPr>
        <w:t>Location</w:t>
      </w:r>
      <w:r w:rsidRPr="001E03F6">
        <w:t>:</w:t>
      </w:r>
      <w:r w:rsidRPr="001E03F6">
        <w:tab/>
        <w:t>Editorial note following subclause 2(2)</w:t>
      </w:r>
    </w:p>
    <w:p w:rsidR="002B7BF2" w:rsidRPr="001E03F6" w:rsidRDefault="002B7BF2" w:rsidP="002B7BF2">
      <w:pPr>
        <w:ind w:left="1134" w:hanging="1134"/>
      </w:pPr>
      <w:r w:rsidRPr="001E03F6">
        <w:rPr>
          <w:b/>
          <w:bCs/>
        </w:rPr>
        <w:t>Issue 132</w:t>
      </w:r>
      <w:r w:rsidRPr="001E03F6">
        <w:t>:</w:t>
      </w:r>
      <w:r w:rsidRPr="001E03F6">
        <w:tab/>
        <w:t xml:space="preserve">The Editorial note refers to the incorrect title of a user guide and it is not standard practice to refer to user guides in the Code.  </w:t>
      </w:r>
    </w:p>
    <w:p w:rsidR="002B7BF2" w:rsidRPr="001E03F6" w:rsidRDefault="002B7BF2" w:rsidP="002B7BF2">
      <w:r w:rsidRPr="001E03F6">
        <w:rPr>
          <w:b/>
          <w:bCs/>
        </w:rPr>
        <w:t>Solution</w:t>
      </w:r>
      <w:r w:rsidRPr="001E03F6">
        <w:t>:</w:t>
      </w:r>
      <w:r w:rsidRPr="001E03F6">
        <w:tab/>
        <w:t xml:space="preserve">Remove reference to this guide from the Editorial note. </w:t>
      </w:r>
    </w:p>
    <w:p w:rsidR="002B7BF2" w:rsidRPr="001E03F6" w:rsidRDefault="002B7BF2" w:rsidP="002B7BF2">
      <w:pPr>
        <w:rPr>
          <w:b/>
          <w:bCs/>
        </w:rPr>
      </w:pPr>
    </w:p>
    <w:p w:rsidR="002B7BF2" w:rsidRPr="001E03F6" w:rsidRDefault="002B7BF2" w:rsidP="002B7BF2">
      <w:pPr>
        <w:pStyle w:val="Heading3"/>
      </w:pPr>
      <w:bookmarkStart w:id="137" w:name="_Toc280003246"/>
      <w:bookmarkStart w:id="138" w:name="_Toc290973069"/>
      <w:r w:rsidRPr="001E03F6">
        <w:t>4.4</w:t>
      </w:r>
      <w:r w:rsidRPr="001E03F6">
        <w:tab/>
        <w:t>Standard 1.2.9 – Legibility Requirements</w:t>
      </w:r>
      <w:bookmarkEnd w:id="137"/>
      <w:bookmarkEnd w:id="138"/>
    </w:p>
    <w:p w:rsidR="002B7BF2" w:rsidRPr="001E03F6" w:rsidRDefault="002B7BF2" w:rsidP="002B7BF2">
      <w:pPr>
        <w:rPr>
          <w:b/>
          <w:bCs/>
        </w:rPr>
      </w:pPr>
    </w:p>
    <w:p w:rsidR="002B7BF2" w:rsidRPr="001E03F6" w:rsidRDefault="002B7BF2" w:rsidP="002B7BF2">
      <w:r w:rsidRPr="001E03F6">
        <w:rPr>
          <w:b/>
          <w:bCs/>
        </w:rPr>
        <w:t>Location</w:t>
      </w:r>
      <w:r w:rsidRPr="001E03F6">
        <w:t>:</w:t>
      </w:r>
      <w:r w:rsidRPr="001E03F6">
        <w:tab/>
        <w:t>Editorial note following clause 3</w:t>
      </w:r>
    </w:p>
    <w:p w:rsidR="002B7BF2" w:rsidRPr="001E03F6" w:rsidRDefault="002B7BF2" w:rsidP="002B7BF2">
      <w:pPr>
        <w:ind w:left="1134" w:hanging="1134"/>
      </w:pPr>
      <w:r w:rsidRPr="001E03F6">
        <w:rPr>
          <w:b/>
          <w:bCs/>
        </w:rPr>
        <w:t>Issue 133</w:t>
      </w:r>
      <w:r w:rsidRPr="001E03F6">
        <w:t>:</w:t>
      </w:r>
      <w:r w:rsidRPr="001E03F6">
        <w:tab/>
        <w:t>Grammatical errors and the name of Standard 1.1.1 is missing.</w:t>
      </w:r>
    </w:p>
    <w:p w:rsidR="002B7BF2" w:rsidRPr="001E03F6" w:rsidRDefault="002B7BF2" w:rsidP="002B7BF2">
      <w:r w:rsidRPr="001E03F6">
        <w:rPr>
          <w:b/>
          <w:bCs/>
        </w:rPr>
        <w:t>Solution</w:t>
      </w:r>
      <w:r w:rsidRPr="001E03F6">
        <w:t>:</w:t>
      </w:r>
      <w:r w:rsidRPr="001E03F6">
        <w:tab/>
        <w:t xml:space="preserve">Correct grammatical errors and add in name of Standard 1.1.1. </w:t>
      </w:r>
    </w:p>
    <w:p w:rsidR="002B7BF2" w:rsidRPr="001E03F6" w:rsidRDefault="002B7BF2" w:rsidP="002B7BF2">
      <w:pPr>
        <w:rPr>
          <w:b/>
          <w:bCs/>
        </w:rPr>
      </w:pPr>
    </w:p>
    <w:p w:rsidR="002B7BF2" w:rsidRPr="001E03F6" w:rsidRDefault="002B7BF2" w:rsidP="002B7BF2">
      <w:pPr>
        <w:pStyle w:val="Heading3"/>
      </w:pPr>
      <w:bookmarkStart w:id="139" w:name="_Toc280003247"/>
      <w:bookmarkStart w:id="140" w:name="_Toc290973070"/>
      <w:r w:rsidRPr="001E03F6">
        <w:t>4.5</w:t>
      </w:r>
      <w:r w:rsidRPr="001E03F6">
        <w:tab/>
        <w:t xml:space="preserve">Standard 1.2.10 </w:t>
      </w:r>
      <w:r w:rsidRPr="001E03F6">
        <w:rPr>
          <w:rFonts w:hint="eastAsia"/>
        </w:rPr>
        <w:t>–</w:t>
      </w:r>
      <w:r w:rsidRPr="001E03F6">
        <w:t xml:space="preserve"> Characterising Ingredients and Components of Food</w:t>
      </w:r>
      <w:bookmarkEnd w:id="139"/>
      <w:bookmarkEnd w:id="140"/>
    </w:p>
    <w:p w:rsidR="002B7BF2" w:rsidRPr="001E03F6" w:rsidRDefault="002B7BF2" w:rsidP="002B7BF2">
      <w:pPr>
        <w:rPr>
          <w:b/>
          <w:bCs/>
        </w:rPr>
      </w:pPr>
    </w:p>
    <w:p w:rsidR="002B7BF2" w:rsidRPr="001E03F6" w:rsidRDefault="002B7BF2" w:rsidP="002B7BF2">
      <w:pPr>
        <w:ind w:left="1134" w:hanging="1134"/>
        <w:rPr>
          <w:bCs/>
        </w:rPr>
      </w:pPr>
      <w:r w:rsidRPr="001E03F6">
        <w:rPr>
          <w:b/>
          <w:bCs/>
        </w:rPr>
        <w:t>Location</w:t>
      </w:r>
      <w:r w:rsidRPr="001E03F6">
        <w:t>:</w:t>
      </w:r>
      <w:r w:rsidRPr="001E03F6">
        <w:tab/>
      </w:r>
      <w:r w:rsidRPr="001E03F6">
        <w:rPr>
          <w:bCs/>
        </w:rPr>
        <w:t xml:space="preserve">The statement ‘An example of a characterising component is milk fat in ice cream’ in the Editorial note following subclause 2(4). </w:t>
      </w:r>
    </w:p>
    <w:p w:rsidR="002B7BF2" w:rsidRPr="001E03F6" w:rsidRDefault="002B7BF2" w:rsidP="002B7BF2">
      <w:pPr>
        <w:ind w:left="1134" w:hanging="1134"/>
        <w:rPr>
          <w:b/>
          <w:bCs/>
          <w:lang w:val="en-AU"/>
        </w:rPr>
      </w:pPr>
      <w:r w:rsidRPr="001E03F6">
        <w:rPr>
          <w:b/>
          <w:bCs/>
          <w:lang w:val="en-AU"/>
        </w:rPr>
        <w:t>Issue 134</w:t>
      </w:r>
      <w:r w:rsidRPr="001E03F6">
        <w:rPr>
          <w:lang w:val="en-AU"/>
        </w:rPr>
        <w:t>:</w:t>
      </w:r>
      <w:r w:rsidRPr="001E03F6">
        <w:rPr>
          <w:lang w:val="en-AU"/>
        </w:rPr>
        <w:tab/>
        <w:t>The Editorial note repeats the information provided in the first Editorial note following subclause 1(1) and the information is not relevant to subclause 2(4).</w:t>
      </w:r>
    </w:p>
    <w:p w:rsidR="002B7BF2" w:rsidRPr="001E03F6" w:rsidRDefault="002B7BF2" w:rsidP="002B7BF2">
      <w:pPr>
        <w:ind w:left="1134" w:hanging="1134"/>
      </w:pPr>
      <w:r w:rsidRPr="001E03F6">
        <w:rPr>
          <w:b/>
          <w:bCs/>
        </w:rPr>
        <w:t>Solution</w:t>
      </w:r>
      <w:r w:rsidRPr="001E03F6">
        <w:t>:</w:t>
      </w:r>
      <w:r w:rsidRPr="001E03F6">
        <w:tab/>
        <w:t>Delete the statement mentioned above in the Editorial note following subclause 2(4).</w:t>
      </w:r>
    </w:p>
    <w:p w:rsidR="002B7BF2" w:rsidRPr="00F90CA6" w:rsidRDefault="002B7BF2" w:rsidP="002B7BF2"/>
    <w:p w:rsidR="00742C40" w:rsidRDefault="00742C40" w:rsidP="002B7BF2">
      <w:pPr>
        <w:pStyle w:val="Heading3"/>
      </w:pPr>
      <w:bookmarkStart w:id="141" w:name="_Toc280003248"/>
      <w:bookmarkStart w:id="142" w:name="_Toc290973071"/>
      <w:r>
        <w:br w:type="page"/>
      </w:r>
    </w:p>
    <w:p w:rsidR="002B7BF2" w:rsidRPr="00F90CA6" w:rsidRDefault="002B7BF2" w:rsidP="002B7BF2">
      <w:pPr>
        <w:pStyle w:val="Heading3"/>
      </w:pPr>
      <w:r w:rsidRPr="00F90CA6">
        <w:lastRenderedPageBreak/>
        <w:t>4.6</w:t>
      </w:r>
      <w:r w:rsidRPr="00F90CA6">
        <w:tab/>
        <w:t>Standard 1.2.11 – Country of Origin Requirements</w:t>
      </w:r>
      <w:bookmarkEnd w:id="141"/>
      <w:bookmarkEnd w:id="142"/>
    </w:p>
    <w:p w:rsidR="002B7BF2" w:rsidRPr="00F90CA6" w:rsidRDefault="002B7BF2" w:rsidP="002B7BF2"/>
    <w:p w:rsidR="002B7BF2" w:rsidRPr="00F90CA6" w:rsidRDefault="002B7BF2" w:rsidP="002B7BF2">
      <w:r w:rsidRPr="00F90CA6">
        <w:rPr>
          <w:b/>
          <w:bCs/>
        </w:rPr>
        <w:t>Location</w:t>
      </w:r>
      <w:r w:rsidRPr="00F90CA6">
        <w:t>:</w:t>
      </w:r>
      <w:r w:rsidRPr="00F90CA6">
        <w:tab/>
        <w:t>Editorial note following subclause 2(3)</w:t>
      </w:r>
    </w:p>
    <w:p w:rsidR="002B7BF2" w:rsidRPr="00F90CA6" w:rsidRDefault="002B7BF2" w:rsidP="002B7BF2">
      <w:pPr>
        <w:ind w:left="1134" w:hanging="1134"/>
      </w:pPr>
      <w:r w:rsidRPr="00F90CA6">
        <w:rPr>
          <w:b/>
          <w:bCs/>
        </w:rPr>
        <w:t>Issue 135</w:t>
      </w:r>
      <w:r w:rsidRPr="00F90CA6">
        <w:t>:</w:t>
      </w:r>
      <w:r w:rsidRPr="00F90CA6">
        <w:tab/>
        <w:t xml:space="preserve">The Editorial note contains mistakes and is unnecessary. </w:t>
      </w:r>
    </w:p>
    <w:p w:rsidR="002B7BF2" w:rsidRPr="00B7206F" w:rsidRDefault="002B7BF2" w:rsidP="004D006A">
      <w:pPr>
        <w:ind w:left="1134" w:hanging="1134"/>
      </w:pPr>
      <w:r w:rsidRPr="00F90CA6">
        <w:rPr>
          <w:b/>
          <w:bCs/>
        </w:rPr>
        <w:t>Solution</w:t>
      </w:r>
      <w:r w:rsidRPr="00F90CA6">
        <w:t>:</w:t>
      </w:r>
      <w:r w:rsidRPr="00F90CA6">
        <w:tab/>
      </w:r>
      <w:r w:rsidR="003D21EE">
        <w:t>Delete the Editorial note.</w:t>
      </w:r>
    </w:p>
    <w:p w:rsidR="002B7BF2" w:rsidRPr="00B7206F" w:rsidRDefault="002B7BF2" w:rsidP="002B7BF2">
      <w:pPr>
        <w:widowControl/>
      </w:pPr>
    </w:p>
    <w:p w:rsidR="002B7BF2" w:rsidRPr="00B7206F" w:rsidRDefault="002B7BF2" w:rsidP="002B7BF2">
      <w:pPr>
        <w:pStyle w:val="Heading3"/>
      </w:pPr>
      <w:bookmarkStart w:id="143" w:name="_Toc280003249"/>
      <w:bookmarkStart w:id="144" w:name="_Toc290973072"/>
      <w:r w:rsidRPr="00B7206F">
        <w:t>4.7</w:t>
      </w:r>
      <w:r w:rsidRPr="00B7206F">
        <w:tab/>
        <w:t>Standard 1.3.1 – Food Additives</w:t>
      </w:r>
      <w:bookmarkEnd w:id="143"/>
      <w:bookmarkEnd w:id="144"/>
      <w:r w:rsidRPr="00B7206F">
        <w:t xml:space="preserve"> </w:t>
      </w:r>
    </w:p>
    <w:p w:rsidR="002B7BF2" w:rsidRPr="00B7206F" w:rsidRDefault="002B7BF2" w:rsidP="002B7BF2"/>
    <w:p w:rsidR="002B7BF2" w:rsidRPr="00B7206F" w:rsidRDefault="002B7BF2" w:rsidP="002B7BF2">
      <w:r w:rsidRPr="00B7206F">
        <w:rPr>
          <w:b/>
          <w:bCs/>
        </w:rPr>
        <w:t>Location</w:t>
      </w:r>
      <w:r w:rsidRPr="00B7206F">
        <w:t>:</w:t>
      </w:r>
      <w:r w:rsidRPr="00B7206F">
        <w:tab/>
        <w:t>Editorial note following clause 11</w:t>
      </w:r>
    </w:p>
    <w:p w:rsidR="002B7BF2" w:rsidRPr="00B7206F" w:rsidRDefault="002B7BF2" w:rsidP="002B7BF2">
      <w:pPr>
        <w:ind w:left="1134" w:hanging="1134"/>
      </w:pPr>
      <w:r w:rsidRPr="00B7206F">
        <w:rPr>
          <w:b/>
          <w:bCs/>
        </w:rPr>
        <w:t>Issue 136</w:t>
      </w:r>
      <w:r w:rsidRPr="00B7206F">
        <w:t>:</w:t>
      </w:r>
      <w:r w:rsidRPr="00B7206F">
        <w:tab/>
        <w:t xml:space="preserve">Communication with the Flavour and Fragrance Association of Australia and New Zealand (FFAANZ) has indicated that the consolidated list of artificial flavouring substances referred to in this Editorial note is now obsolete. </w:t>
      </w:r>
    </w:p>
    <w:p w:rsidR="002B7BF2" w:rsidRPr="00B7206F" w:rsidRDefault="002B7BF2" w:rsidP="002B7BF2">
      <w:r w:rsidRPr="00B7206F">
        <w:rPr>
          <w:b/>
          <w:bCs/>
        </w:rPr>
        <w:t>Solution</w:t>
      </w:r>
      <w:r w:rsidRPr="00B7206F">
        <w:t>:</w:t>
      </w:r>
      <w:r w:rsidRPr="00B7206F">
        <w:tab/>
        <w:t>Remove the Editorial note following clause 11.</w:t>
      </w:r>
    </w:p>
    <w:p w:rsidR="002B7BF2" w:rsidRPr="00B7206F" w:rsidRDefault="002B7BF2" w:rsidP="002B7BF2"/>
    <w:p w:rsidR="002B7BF2" w:rsidRPr="00B7206F" w:rsidRDefault="002B7BF2" w:rsidP="002B7BF2">
      <w:pPr>
        <w:pStyle w:val="Heading3"/>
      </w:pPr>
      <w:bookmarkStart w:id="145" w:name="_Toc280003250"/>
      <w:bookmarkStart w:id="146" w:name="_Toc290973073"/>
      <w:r w:rsidRPr="00B7206F">
        <w:t>4.8</w:t>
      </w:r>
      <w:r w:rsidRPr="00B7206F">
        <w:tab/>
        <w:t>Standard 1.3.2 – Vitamins and Minerals</w:t>
      </w:r>
      <w:bookmarkEnd w:id="145"/>
      <w:bookmarkEnd w:id="146"/>
      <w:r w:rsidRPr="00B7206F">
        <w:t xml:space="preserve"> </w:t>
      </w:r>
    </w:p>
    <w:p w:rsidR="002B7BF2" w:rsidRPr="00B7206F" w:rsidRDefault="002B7BF2" w:rsidP="002B7BF2"/>
    <w:p w:rsidR="002B7BF2" w:rsidRPr="00B7206F" w:rsidRDefault="002B7BF2" w:rsidP="002B7BF2">
      <w:r w:rsidRPr="00B7206F">
        <w:rPr>
          <w:b/>
          <w:bCs/>
        </w:rPr>
        <w:t>Location</w:t>
      </w:r>
      <w:r w:rsidRPr="00B7206F">
        <w:t>:</w:t>
      </w:r>
      <w:r w:rsidRPr="00B7206F">
        <w:tab/>
        <w:t>Table to clause 3 - Bread</w:t>
      </w:r>
    </w:p>
    <w:p w:rsidR="002B7BF2" w:rsidRPr="00B7206F" w:rsidRDefault="002B7BF2" w:rsidP="002B7BF2">
      <w:r w:rsidRPr="00B7206F">
        <w:rPr>
          <w:b/>
          <w:bCs/>
        </w:rPr>
        <w:t>Issue 137</w:t>
      </w:r>
      <w:r w:rsidRPr="00B7206F">
        <w:t>:</w:t>
      </w:r>
      <w:r w:rsidRPr="00B7206F">
        <w:tab/>
        <w:t>It is not clear that bread sold in New Zealand may have folic acid added to it.</w:t>
      </w:r>
    </w:p>
    <w:p w:rsidR="002B7BF2" w:rsidRPr="00B7206F" w:rsidRDefault="002B7BF2" w:rsidP="002B7BF2">
      <w:pPr>
        <w:ind w:left="1134" w:hanging="1134"/>
      </w:pPr>
      <w:r w:rsidRPr="00B7206F">
        <w:rPr>
          <w:b/>
          <w:bCs/>
        </w:rPr>
        <w:t>Solution</w:t>
      </w:r>
      <w:r w:rsidRPr="00B7206F">
        <w:t>:</w:t>
      </w:r>
      <w:r w:rsidRPr="00B7206F">
        <w:tab/>
        <w:t xml:space="preserve">Add an Editorial note referencing the New Zealand folic acid fortification standard. </w:t>
      </w:r>
    </w:p>
    <w:p w:rsidR="002B7BF2" w:rsidRPr="00B7206F" w:rsidRDefault="002B7BF2" w:rsidP="002B7BF2"/>
    <w:p w:rsidR="002B7BF2" w:rsidRPr="001E03F6" w:rsidRDefault="002B7BF2" w:rsidP="002B7BF2">
      <w:pPr>
        <w:pStyle w:val="Heading3"/>
      </w:pPr>
      <w:bookmarkStart w:id="147" w:name="_Toc280003251"/>
      <w:bookmarkStart w:id="148" w:name="_Toc290973074"/>
      <w:r w:rsidRPr="00B7206F">
        <w:t>4.9</w:t>
      </w:r>
      <w:r w:rsidRPr="00B7206F">
        <w:tab/>
        <w:t>Standard 1</w:t>
      </w:r>
      <w:r w:rsidRPr="001E03F6">
        <w:t>.5.1 – Novel Foods</w:t>
      </w:r>
      <w:bookmarkEnd w:id="147"/>
      <w:bookmarkEnd w:id="148"/>
      <w:r w:rsidRPr="001E03F6">
        <w:t xml:space="preserve"> </w:t>
      </w:r>
    </w:p>
    <w:p w:rsidR="002B7BF2" w:rsidRPr="001E03F6" w:rsidRDefault="002B7BF2" w:rsidP="002B7BF2"/>
    <w:p w:rsidR="002B7BF2" w:rsidRPr="001E03F6" w:rsidRDefault="002B7BF2" w:rsidP="002B7BF2">
      <w:r w:rsidRPr="001E03F6">
        <w:rPr>
          <w:b/>
          <w:bCs/>
        </w:rPr>
        <w:t>Location</w:t>
      </w:r>
      <w:r w:rsidRPr="001E03F6">
        <w:t>:</w:t>
      </w:r>
      <w:r w:rsidRPr="001E03F6">
        <w:tab/>
        <w:t>Editorial note following clause 3</w:t>
      </w:r>
    </w:p>
    <w:p w:rsidR="002B7BF2" w:rsidRPr="001E03F6" w:rsidRDefault="002B7BF2" w:rsidP="002B7BF2">
      <w:r w:rsidRPr="001E03F6">
        <w:rPr>
          <w:b/>
          <w:bCs/>
        </w:rPr>
        <w:t>Issue 138</w:t>
      </w:r>
      <w:r w:rsidRPr="001E03F6">
        <w:t>:</w:t>
      </w:r>
      <w:r w:rsidRPr="001E03F6">
        <w:tab/>
        <w:t xml:space="preserve">The entry for the dates at the end of the Editorial note has not been completed. </w:t>
      </w:r>
    </w:p>
    <w:p w:rsidR="002B7BF2" w:rsidRPr="00B7206F" w:rsidRDefault="002B7BF2" w:rsidP="002B7BF2">
      <w:r w:rsidRPr="001E03F6">
        <w:tab/>
      </w:r>
      <w:r w:rsidRPr="001E03F6">
        <w:tab/>
      </w:r>
      <w:r w:rsidRPr="00B7206F">
        <w:t xml:space="preserve">The second paragraph contains incorrect information. </w:t>
      </w:r>
    </w:p>
    <w:p w:rsidR="002B7BF2" w:rsidRPr="00B7206F" w:rsidRDefault="002B7BF2" w:rsidP="002B7BF2">
      <w:pPr>
        <w:ind w:left="1134" w:hanging="1134"/>
      </w:pPr>
      <w:r w:rsidRPr="00B7206F">
        <w:rPr>
          <w:b/>
          <w:bCs/>
        </w:rPr>
        <w:t>Solution</w:t>
      </w:r>
      <w:r w:rsidR="00600F3F" w:rsidRPr="00600F3F">
        <w:rPr>
          <w:b/>
          <w:bCs/>
        </w:rPr>
        <w:t xml:space="preserve"> </w:t>
      </w:r>
      <w:r w:rsidR="00600F3F">
        <w:rPr>
          <w:b/>
          <w:bCs/>
        </w:rPr>
        <w:t>proposed in Assessment Report:</w:t>
      </w:r>
      <w:r w:rsidRPr="00B7206F">
        <w:tab/>
        <w:t xml:space="preserve">Amend the Editorial note to complete the gazettal commencement date (8 April 2010) and 15 months/end date. </w:t>
      </w:r>
    </w:p>
    <w:p w:rsidR="002B7BF2" w:rsidRPr="00B7206F" w:rsidRDefault="002B7BF2" w:rsidP="002B7BF2">
      <w:pPr>
        <w:ind w:left="567" w:firstLine="567"/>
      </w:pPr>
      <w:r w:rsidRPr="00B7206F">
        <w:t xml:space="preserve">Remove the incorrect information. </w:t>
      </w:r>
    </w:p>
    <w:p w:rsidR="007D4E17" w:rsidRPr="007D4E17" w:rsidRDefault="00600F3F" w:rsidP="007D4E17">
      <w:pPr>
        <w:ind w:left="1134" w:hanging="1134"/>
        <w:rPr>
          <w:lang w:val="en-AU"/>
        </w:rPr>
      </w:pPr>
      <w:r>
        <w:rPr>
          <w:b/>
          <w:bCs/>
        </w:rPr>
        <w:t xml:space="preserve">Submitter comments and FSANZ response: </w:t>
      </w:r>
      <w:r>
        <w:t xml:space="preserve">While no </w:t>
      </w:r>
      <w:r w:rsidR="007D2798">
        <w:t xml:space="preserve">submitter </w:t>
      </w:r>
      <w:r>
        <w:t xml:space="preserve">responses were received, FSANZ internal feedback is that </w:t>
      </w:r>
      <w:r w:rsidR="009E5982">
        <w:t xml:space="preserve">it </w:t>
      </w:r>
      <w:r>
        <w:t xml:space="preserve">would be better to define the form of the permission after the end date, and to </w:t>
      </w:r>
      <w:r w:rsidR="007D2798">
        <w:t xml:space="preserve">include </w:t>
      </w:r>
      <w:r>
        <w:t xml:space="preserve">that </w:t>
      </w:r>
      <w:r w:rsidR="007D2798">
        <w:t xml:space="preserve">amendment </w:t>
      </w:r>
      <w:r>
        <w:t>in this Proposal.</w:t>
      </w:r>
      <w:r w:rsidR="00DF1244">
        <w:t xml:space="preserve"> The</w:t>
      </w:r>
      <w:r w:rsidR="006C1E1F">
        <w:t>refore the</w:t>
      </w:r>
      <w:r w:rsidR="00DF1244">
        <w:t xml:space="preserve"> </w:t>
      </w:r>
      <w:r w:rsidR="007D2798">
        <w:t xml:space="preserve">provisions for tall oil phytosterol esters </w:t>
      </w:r>
      <w:r w:rsidR="000C14DF">
        <w:t>ha</w:t>
      </w:r>
      <w:r w:rsidR="00785898">
        <w:t>ve</w:t>
      </w:r>
      <w:r w:rsidR="007D2798">
        <w:t xml:space="preserve"> be</w:t>
      </w:r>
      <w:r w:rsidR="000C14DF">
        <w:t>en</w:t>
      </w:r>
      <w:r w:rsidR="007D2798">
        <w:t xml:space="preserve"> moved from the Table to clause 3 into the Table to clause 2 and the </w:t>
      </w:r>
      <w:r w:rsidR="00DF1244" w:rsidRPr="00B7206F">
        <w:t>gazettal commencement date and 15 months/end date</w:t>
      </w:r>
      <w:r w:rsidR="00DF1244">
        <w:t xml:space="preserve"> </w:t>
      </w:r>
      <w:r w:rsidR="000C14DF">
        <w:t xml:space="preserve">have </w:t>
      </w:r>
      <w:r w:rsidR="00DF1244">
        <w:t>not be</w:t>
      </w:r>
      <w:r w:rsidR="000C14DF">
        <w:t>en</w:t>
      </w:r>
      <w:r w:rsidR="00DF1244">
        <w:t xml:space="preserve"> inserted into the Editorial note. </w:t>
      </w:r>
      <w:r w:rsidR="007D2798">
        <w:t>Because of this, t</w:t>
      </w:r>
      <w:r w:rsidR="007D4E17" w:rsidRPr="007D4E17">
        <w:rPr>
          <w:lang w:val="en-AU"/>
        </w:rPr>
        <w:t xml:space="preserve">he second paragraph of the Editorial note </w:t>
      </w:r>
      <w:r w:rsidR="000C14DF">
        <w:rPr>
          <w:lang w:val="en-AU"/>
        </w:rPr>
        <w:t>has</w:t>
      </w:r>
      <w:r w:rsidR="007D4E17" w:rsidRPr="007D4E17">
        <w:rPr>
          <w:lang w:val="en-AU"/>
        </w:rPr>
        <w:t xml:space="preserve"> not be</w:t>
      </w:r>
      <w:r w:rsidR="000C14DF">
        <w:rPr>
          <w:lang w:val="en-AU"/>
        </w:rPr>
        <w:t>en</w:t>
      </w:r>
      <w:r w:rsidR="007D4E17" w:rsidRPr="007D4E17">
        <w:rPr>
          <w:lang w:val="en-AU"/>
        </w:rPr>
        <w:t xml:space="preserve"> removed</w:t>
      </w:r>
      <w:r w:rsidR="007D2798">
        <w:rPr>
          <w:lang w:val="en-AU"/>
        </w:rPr>
        <w:t xml:space="preserve"> as it reflects the process for moving the provisions from the Table to clause 3 into the table to clause 2. H</w:t>
      </w:r>
      <w:r w:rsidR="007D4E17" w:rsidRPr="007D4E17">
        <w:rPr>
          <w:lang w:val="en-AU"/>
        </w:rPr>
        <w:t xml:space="preserve">owever the third paragraph and bold text </w:t>
      </w:r>
      <w:r w:rsidR="000C14DF">
        <w:rPr>
          <w:lang w:val="en-AU"/>
        </w:rPr>
        <w:t>has</w:t>
      </w:r>
      <w:r w:rsidR="000C14DF" w:rsidRPr="007D4E17">
        <w:rPr>
          <w:lang w:val="en-AU"/>
        </w:rPr>
        <w:t xml:space="preserve"> </w:t>
      </w:r>
      <w:r w:rsidR="007D4E17" w:rsidRPr="007D4E17">
        <w:rPr>
          <w:lang w:val="en-AU"/>
        </w:rPr>
        <w:t>be</w:t>
      </w:r>
      <w:r w:rsidR="000C14DF">
        <w:rPr>
          <w:lang w:val="en-AU"/>
        </w:rPr>
        <w:t>en</w:t>
      </w:r>
      <w:r w:rsidR="007D4E17" w:rsidRPr="007D4E17">
        <w:rPr>
          <w:lang w:val="en-AU"/>
        </w:rPr>
        <w:t xml:space="preserve"> removed as it will no</w:t>
      </w:r>
      <w:r w:rsidR="007D4E17">
        <w:rPr>
          <w:lang w:val="en-AU"/>
        </w:rPr>
        <w:t xml:space="preserve"> longer</w:t>
      </w:r>
      <w:r w:rsidR="007D4E17" w:rsidRPr="007D4E17">
        <w:rPr>
          <w:lang w:val="en-AU"/>
        </w:rPr>
        <w:t xml:space="preserve"> be applicable. </w:t>
      </w:r>
    </w:p>
    <w:p w:rsidR="007D2798" w:rsidRPr="00B7206F" w:rsidRDefault="007D2798" w:rsidP="00DF1244">
      <w:pPr>
        <w:ind w:left="1134" w:hanging="1134"/>
      </w:pPr>
    </w:p>
    <w:p w:rsidR="002B7BF2" w:rsidRPr="00B7206F" w:rsidRDefault="002B7BF2" w:rsidP="002B7BF2">
      <w:pPr>
        <w:pStyle w:val="Heading3"/>
      </w:pPr>
      <w:bookmarkStart w:id="149" w:name="_Toc280003252"/>
      <w:bookmarkStart w:id="150" w:name="_Toc290973075"/>
      <w:r w:rsidRPr="00B7206F">
        <w:t>4.10</w:t>
      </w:r>
      <w:r w:rsidRPr="00B7206F">
        <w:tab/>
        <w:t>Standard 2.2.1 – Meat and Meat Products</w:t>
      </w:r>
      <w:bookmarkEnd w:id="149"/>
      <w:bookmarkEnd w:id="150"/>
    </w:p>
    <w:p w:rsidR="002B7BF2" w:rsidRPr="00B7206F" w:rsidRDefault="002B7BF2" w:rsidP="002B7BF2"/>
    <w:p w:rsidR="002B7BF2" w:rsidRPr="00B7206F" w:rsidRDefault="002B7BF2" w:rsidP="002B7BF2">
      <w:r w:rsidRPr="00B7206F">
        <w:rPr>
          <w:b/>
          <w:bCs/>
        </w:rPr>
        <w:t>Location</w:t>
      </w:r>
      <w:r w:rsidRPr="00B7206F">
        <w:t>:</w:t>
      </w:r>
      <w:r w:rsidRPr="00B7206F">
        <w:tab/>
        <w:t>Editorial note following definition of meat in clause 1</w:t>
      </w:r>
    </w:p>
    <w:p w:rsidR="002B7BF2" w:rsidRPr="00B7206F" w:rsidRDefault="002B7BF2" w:rsidP="002B7BF2">
      <w:r w:rsidRPr="00B7206F">
        <w:rPr>
          <w:b/>
          <w:bCs/>
        </w:rPr>
        <w:t>Issue 139</w:t>
      </w:r>
      <w:r w:rsidRPr="00B7206F">
        <w:t>:</w:t>
      </w:r>
      <w:r w:rsidRPr="00B7206F">
        <w:tab/>
        <w:t xml:space="preserve">The cross references to other Standards in the Code are not necessary. </w:t>
      </w:r>
    </w:p>
    <w:p w:rsidR="002B7BF2" w:rsidRPr="00B7206F" w:rsidRDefault="002B7BF2" w:rsidP="002B7BF2">
      <w:pPr>
        <w:ind w:left="1134" w:hanging="1134"/>
      </w:pPr>
      <w:r w:rsidRPr="00B7206F">
        <w:rPr>
          <w:b/>
          <w:bCs/>
        </w:rPr>
        <w:t>Solution</w:t>
      </w:r>
      <w:r w:rsidRPr="00B7206F">
        <w:t>:</w:t>
      </w:r>
      <w:r w:rsidRPr="00B7206F">
        <w:tab/>
        <w:t xml:space="preserve">Delete Editorial note. </w:t>
      </w:r>
    </w:p>
    <w:p w:rsidR="002B7BF2" w:rsidRPr="00B7206F" w:rsidRDefault="002B7BF2" w:rsidP="002B7BF2"/>
    <w:p w:rsidR="00742C40" w:rsidRDefault="00742C40" w:rsidP="002B7BF2">
      <w:pPr>
        <w:pStyle w:val="Heading3"/>
      </w:pPr>
      <w:bookmarkStart w:id="151" w:name="_Toc280003253"/>
      <w:bookmarkStart w:id="152" w:name="_Toc290973076"/>
      <w:r>
        <w:br w:type="page"/>
      </w:r>
    </w:p>
    <w:p w:rsidR="002B7BF2" w:rsidRPr="00B7206F" w:rsidRDefault="002B7BF2" w:rsidP="002B7BF2">
      <w:pPr>
        <w:pStyle w:val="Heading3"/>
      </w:pPr>
      <w:r w:rsidRPr="00B7206F">
        <w:lastRenderedPageBreak/>
        <w:t>4.11</w:t>
      </w:r>
      <w:r w:rsidRPr="00B7206F">
        <w:tab/>
        <w:t>Standard 2.2.3 – Fish and Fish Products</w:t>
      </w:r>
      <w:bookmarkEnd w:id="151"/>
      <w:bookmarkEnd w:id="152"/>
      <w:r w:rsidRPr="00B7206F">
        <w:t xml:space="preserve"> </w:t>
      </w:r>
    </w:p>
    <w:p w:rsidR="002B7BF2" w:rsidRPr="00B7206F" w:rsidRDefault="002B7BF2" w:rsidP="002B7BF2"/>
    <w:p w:rsidR="002B7BF2" w:rsidRPr="00B7206F" w:rsidRDefault="002B7BF2" w:rsidP="002B7BF2">
      <w:r w:rsidRPr="00B7206F">
        <w:rPr>
          <w:b/>
          <w:bCs/>
        </w:rPr>
        <w:t>Location</w:t>
      </w:r>
      <w:r w:rsidRPr="00B7206F">
        <w:t>:</w:t>
      </w:r>
      <w:r w:rsidRPr="00B7206F">
        <w:tab/>
        <w:t xml:space="preserve">Editorial note following the definition of fish in clause 1. </w:t>
      </w:r>
    </w:p>
    <w:p w:rsidR="002B7BF2" w:rsidRPr="00B7206F" w:rsidRDefault="002B7BF2" w:rsidP="002B7BF2">
      <w:pPr>
        <w:ind w:left="1134" w:hanging="1134"/>
        <w:rPr>
          <w:lang w:val="en-AU"/>
        </w:rPr>
      </w:pPr>
      <w:r w:rsidRPr="00B7206F">
        <w:rPr>
          <w:b/>
          <w:bCs/>
        </w:rPr>
        <w:t>Issue 140</w:t>
      </w:r>
      <w:r w:rsidRPr="00B7206F">
        <w:t>:</w:t>
      </w:r>
      <w:r w:rsidRPr="00B7206F">
        <w:tab/>
      </w:r>
      <w:r w:rsidRPr="00B7206F">
        <w:rPr>
          <w:bCs/>
        </w:rPr>
        <w:t xml:space="preserve">The first publication referenced in the Editorial note for New Zealand guidance no longer exists. </w:t>
      </w:r>
      <w:r w:rsidRPr="00B7206F">
        <w:t>Seafood Services Australia, under which the Australian Fish Names Committee is established, has advised FSANZ that t</w:t>
      </w:r>
      <w:r w:rsidRPr="00B7206F">
        <w:rPr>
          <w:lang w:val="en-AU"/>
        </w:rPr>
        <w:t xml:space="preserve">he guidance note for readers in Australia is very loose and does not provide appropriate guidance. </w:t>
      </w:r>
    </w:p>
    <w:p w:rsidR="002B7BF2" w:rsidRPr="00B7206F" w:rsidRDefault="002B7BF2" w:rsidP="002B7BF2">
      <w:r w:rsidRPr="00B7206F">
        <w:rPr>
          <w:b/>
          <w:bCs/>
        </w:rPr>
        <w:t>Solution</w:t>
      </w:r>
      <w:r w:rsidRPr="00B7206F">
        <w:t>:</w:t>
      </w:r>
      <w:r w:rsidRPr="00B7206F">
        <w:tab/>
        <w:t xml:space="preserve">Delete the first publication for New Zealand from the Editorial note (all of 1). </w:t>
      </w:r>
    </w:p>
    <w:p w:rsidR="002B7BF2" w:rsidRPr="00B7206F" w:rsidRDefault="002B7BF2" w:rsidP="002B7BF2">
      <w:pPr>
        <w:ind w:left="1134"/>
      </w:pPr>
      <w:r w:rsidRPr="00B7206F">
        <w:t>Add the following to the Editorial note, as advised by Seafood Services Australia, to improve clarity and provide further direction for Australia:</w:t>
      </w:r>
    </w:p>
    <w:p w:rsidR="002B7BF2" w:rsidRPr="00B7206F" w:rsidRDefault="002B7BF2" w:rsidP="002B7BF2">
      <w:pPr>
        <w:ind w:left="1134"/>
        <w:rPr>
          <w:i/>
          <w:lang w:val="en-AU"/>
        </w:rPr>
      </w:pPr>
      <w:r w:rsidRPr="00B7206F">
        <w:rPr>
          <w:i/>
          <w:lang w:val="en-AU"/>
        </w:rPr>
        <w:t xml:space="preserve">This Standard does not define specific names for fish. An Australian Fish Names Standard (AS SSA 5300) has been published which provides guidance on standard fish names to be used in Australia. </w:t>
      </w:r>
    </w:p>
    <w:p w:rsidR="002B7BF2" w:rsidRPr="00B7206F" w:rsidRDefault="002B7BF2" w:rsidP="002B7BF2">
      <w:pPr>
        <w:ind w:left="1134"/>
        <w:rPr>
          <w:i/>
          <w:lang w:val="en-AU"/>
        </w:rPr>
      </w:pPr>
      <w:r w:rsidRPr="00B7206F">
        <w:rPr>
          <w:i/>
          <w:lang w:val="en-AU"/>
        </w:rPr>
        <w:t xml:space="preserve">1. Hard copies of the Australian Fish Names Standard (AS-SSA 5300) are available from Seafood Services Australia at </w:t>
      </w:r>
      <w:hyperlink r:id="rId13" w:history="1">
        <w:r w:rsidRPr="00B7206F">
          <w:rPr>
            <w:rStyle w:val="Hyperlink"/>
            <w:i/>
            <w:lang w:val="en-AU"/>
          </w:rPr>
          <w:t>http://www.seafood.net.au/shop</w:t>
        </w:r>
      </w:hyperlink>
      <w:r w:rsidRPr="00B7206F">
        <w:rPr>
          <w:i/>
          <w:lang w:val="en-AU"/>
        </w:rPr>
        <w:t xml:space="preserve">  </w:t>
      </w:r>
    </w:p>
    <w:p w:rsidR="002B7BF2" w:rsidRPr="00236EAD" w:rsidRDefault="002B7BF2" w:rsidP="002B7BF2">
      <w:pPr>
        <w:ind w:left="1134"/>
        <w:rPr>
          <w:rFonts w:cs="Arial"/>
          <w:i/>
          <w:szCs w:val="22"/>
          <w:lang w:val="en-AU"/>
        </w:rPr>
      </w:pPr>
      <w:r w:rsidRPr="00B7206F">
        <w:rPr>
          <w:i/>
          <w:lang w:val="en-AU"/>
        </w:rPr>
        <w:t xml:space="preserve">2. A </w:t>
      </w:r>
      <w:r w:rsidRPr="00236EAD">
        <w:rPr>
          <w:rFonts w:cs="Arial"/>
          <w:i/>
          <w:szCs w:val="22"/>
          <w:lang w:val="en-AU"/>
        </w:rPr>
        <w:t xml:space="preserve">searchable database of Australian Standard Fish Names is available at </w:t>
      </w:r>
      <w:hyperlink r:id="rId14" w:history="1">
        <w:r w:rsidRPr="00236EAD">
          <w:rPr>
            <w:rStyle w:val="Hyperlink"/>
            <w:rFonts w:cs="Arial"/>
            <w:i/>
            <w:szCs w:val="22"/>
            <w:lang w:val="en-AU"/>
          </w:rPr>
          <w:t>http://www.fishnames.com.au/</w:t>
        </w:r>
      </w:hyperlink>
      <w:r w:rsidRPr="00236EAD">
        <w:rPr>
          <w:rFonts w:cs="Arial"/>
          <w:i/>
          <w:szCs w:val="22"/>
          <w:lang w:val="en-AU"/>
        </w:rPr>
        <w:t xml:space="preserve"> </w:t>
      </w:r>
    </w:p>
    <w:p w:rsidR="00141317" w:rsidRDefault="00141317">
      <w:pPr>
        <w:widowControl/>
        <w:rPr>
          <w:rFonts w:ascii="Arial Bold" w:hAnsi="Arial Bold" w:cs="Arial Unicode MS"/>
          <w:b/>
          <w:bCs/>
          <w:szCs w:val="26"/>
          <w:lang w:val="en-AU"/>
        </w:rPr>
      </w:pPr>
      <w:bookmarkStart w:id="153" w:name="_Toc280003254"/>
    </w:p>
    <w:p w:rsidR="002B7BF2" w:rsidRPr="00B7206F" w:rsidRDefault="002B7BF2" w:rsidP="002B7BF2">
      <w:pPr>
        <w:pStyle w:val="Heading3"/>
        <w:rPr>
          <w:lang w:val="en-AU"/>
        </w:rPr>
      </w:pPr>
      <w:bookmarkStart w:id="154" w:name="_Toc290973077"/>
      <w:r w:rsidRPr="00B7206F">
        <w:rPr>
          <w:lang w:val="en-AU"/>
        </w:rPr>
        <w:t>4.12</w:t>
      </w:r>
      <w:r w:rsidRPr="00B7206F">
        <w:rPr>
          <w:lang w:val="en-AU"/>
        </w:rPr>
        <w:tab/>
        <w:t>Standards in Part 2.5 – Dairy Products</w:t>
      </w:r>
      <w:bookmarkEnd w:id="153"/>
      <w:bookmarkEnd w:id="154"/>
      <w:r w:rsidRPr="00B7206F">
        <w:rPr>
          <w:lang w:val="en-AU"/>
        </w:rPr>
        <w:t xml:space="preserve"> </w:t>
      </w:r>
    </w:p>
    <w:p w:rsidR="002B7BF2" w:rsidRPr="00B7206F" w:rsidRDefault="002B7BF2" w:rsidP="002B7BF2"/>
    <w:p w:rsidR="002B7BF2" w:rsidRPr="00B7206F" w:rsidRDefault="002B7BF2" w:rsidP="002B7BF2">
      <w:r w:rsidRPr="00B7206F">
        <w:rPr>
          <w:b/>
          <w:bCs/>
        </w:rPr>
        <w:t>Location</w:t>
      </w:r>
      <w:r w:rsidRPr="00B7206F">
        <w:t>:</w:t>
      </w:r>
      <w:r w:rsidRPr="00B7206F">
        <w:tab/>
        <w:t xml:space="preserve">Editorial note preceding the Table of Provisions </w:t>
      </w:r>
    </w:p>
    <w:p w:rsidR="002B7BF2" w:rsidRPr="00B7206F" w:rsidRDefault="002B7BF2" w:rsidP="002B7BF2">
      <w:pPr>
        <w:ind w:left="1134" w:hanging="1134"/>
        <w:rPr>
          <w:lang w:val="en-AU"/>
        </w:rPr>
      </w:pPr>
      <w:r w:rsidRPr="00B7206F">
        <w:rPr>
          <w:b/>
          <w:bCs/>
        </w:rPr>
        <w:t>Issue 141</w:t>
      </w:r>
      <w:r w:rsidRPr="00B7206F">
        <w:t>:</w:t>
      </w:r>
      <w:r w:rsidRPr="00B7206F">
        <w:tab/>
        <w:t xml:space="preserve">The list of regulatory instruments for processing dairy products in New Zealand is incomplete and unnecessary. The reference to the location in the Code for processing requirements is in the Purpose but is more appropriate in an Editorial note. In addition it does not specify that the processing requirements apply only in Australia. </w:t>
      </w:r>
    </w:p>
    <w:p w:rsidR="002B7BF2" w:rsidRPr="00B7206F" w:rsidRDefault="002B7BF2" w:rsidP="00141317">
      <w:pPr>
        <w:ind w:left="1134" w:hanging="1134"/>
      </w:pPr>
      <w:r w:rsidRPr="00B7206F">
        <w:rPr>
          <w:b/>
          <w:bCs/>
        </w:rPr>
        <w:t>Solution</w:t>
      </w:r>
      <w:r w:rsidRPr="00B7206F">
        <w:t>:</w:t>
      </w:r>
      <w:r w:rsidRPr="00B7206F">
        <w:tab/>
        <w:t xml:space="preserve">Revise the Editorial note to refer to the requirements for processing dairy products in New Zealand generically rather than specifically. Move the reference to the processing requirements in Australia (Standard 4.2.4) from the Purpose to the Editorial note. </w:t>
      </w:r>
    </w:p>
    <w:p w:rsidR="002B7BF2" w:rsidRPr="00B7206F" w:rsidRDefault="002B7BF2" w:rsidP="002B7BF2"/>
    <w:p w:rsidR="002B7BF2" w:rsidRPr="00B7206F" w:rsidRDefault="002B7BF2" w:rsidP="002B7BF2">
      <w:pPr>
        <w:pStyle w:val="Heading3"/>
      </w:pPr>
      <w:bookmarkStart w:id="155" w:name="_Toc280003255"/>
      <w:bookmarkStart w:id="156" w:name="_Toc290973078"/>
      <w:r w:rsidRPr="00B7206F">
        <w:t>4.13</w:t>
      </w:r>
      <w:r w:rsidRPr="00B7206F">
        <w:tab/>
        <w:t>Standard 2.7.4 – Wine and Wine Products</w:t>
      </w:r>
      <w:bookmarkEnd w:id="155"/>
      <w:bookmarkEnd w:id="156"/>
    </w:p>
    <w:p w:rsidR="002B7BF2" w:rsidRPr="00B7206F" w:rsidRDefault="002B7BF2" w:rsidP="002B7BF2"/>
    <w:p w:rsidR="002B7BF2" w:rsidRPr="00B7206F" w:rsidRDefault="002B7BF2" w:rsidP="002B7BF2">
      <w:r w:rsidRPr="00B7206F">
        <w:rPr>
          <w:b/>
          <w:bCs/>
        </w:rPr>
        <w:t>Location</w:t>
      </w:r>
      <w:r w:rsidRPr="00B7206F">
        <w:t>:</w:t>
      </w:r>
      <w:r w:rsidRPr="00B7206F">
        <w:tab/>
        <w:t>Editorial note following clause 2</w:t>
      </w:r>
    </w:p>
    <w:p w:rsidR="002B7BF2" w:rsidRPr="00B7206F" w:rsidRDefault="002B7BF2" w:rsidP="002B7BF2">
      <w:r w:rsidRPr="00B7206F">
        <w:rPr>
          <w:b/>
          <w:bCs/>
        </w:rPr>
        <w:t>Issue 142</w:t>
      </w:r>
      <w:r w:rsidRPr="00B7206F">
        <w:t>:</w:t>
      </w:r>
      <w:r w:rsidRPr="00B7206F">
        <w:tab/>
        <w:t xml:space="preserve">The information in the Editorial note is not considered to be necessary.  </w:t>
      </w:r>
    </w:p>
    <w:p w:rsidR="002B7BF2" w:rsidRPr="00B7206F" w:rsidRDefault="002B7BF2" w:rsidP="002B7BF2">
      <w:r w:rsidRPr="00B7206F">
        <w:rPr>
          <w:b/>
          <w:bCs/>
        </w:rPr>
        <w:t>Solution</w:t>
      </w:r>
      <w:r w:rsidRPr="00B7206F">
        <w:t>:</w:t>
      </w:r>
      <w:r w:rsidRPr="00B7206F">
        <w:tab/>
        <w:t>Delete the Editorial note.</w:t>
      </w:r>
    </w:p>
    <w:p w:rsidR="002B7BF2" w:rsidRPr="00B7206F" w:rsidRDefault="002B7BF2" w:rsidP="002B7BF2"/>
    <w:p w:rsidR="002B7BF2" w:rsidRPr="00B7206F" w:rsidRDefault="002B7BF2" w:rsidP="002B7BF2">
      <w:pPr>
        <w:pStyle w:val="Heading3"/>
      </w:pPr>
      <w:bookmarkStart w:id="157" w:name="_Toc280003256"/>
      <w:bookmarkStart w:id="158" w:name="_Toc290973079"/>
      <w:r w:rsidRPr="00B7206F">
        <w:t>4.14</w:t>
      </w:r>
      <w:r w:rsidRPr="00B7206F">
        <w:tab/>
        <w:t>Standard 2.7.5 – Spirits</w:t>
      </w:r>
      <w:bookmarkEnd w:id="157"/>
      <w:bookmarkEnd w:id="158"/>
    </w:p>
    <w:p w:rsidR="002B7BF2" w:rsidRPr="00B7206F" w:rsidRDefault="002B7BF2" w:rsidP="002B7BF2"/>
    <w:p w:rsidR="002B7BF2" w:rsidRPr="00B7206F" w:rsidRDefault="002B7BF2" w:rsidP="002B7BF2">
      <w:r w:rsidRPr="00B7206F">
        <w:rPr>
          <w:b/>
          <w:bCs/>
        </w:rPr>
        <w:t>Location</w:t>
      </w:r>
      <w:r w:rsidRPr="00B7206F">
        <w:t>:</w:t>
      </w:r>
      <w:r w:rsidRPr="00B7206F">
        <w:tab/>
        <w:t>Editorial note following clause 4</w:t>
      </w:r>
    </w:p>
    <w:p w:rsidR="002B7BF2" w:rsidRPr="00B7206F" w:rsidRDefault="002B7BF2" w:rsidP="002B7BF2">
      <w:r w:rsidRPr="00B7206F">
        <w:rPr>
          <w:b/>
          <w:bCs/>
        </w:rPr>
        <w:t>Issue 143</w:t>
      </w:r>
      <w:r w:rsidRPr="00B7206F">
        <w:t>:</w:t>
      </w:r>
      <w:r w:rsidRPr="00B7206F">
        <w:tab/>
        <w:t xml:space="preserve">The information in the Editorial note is not considered to be necessary.  </w:t>
      </w:r>
    </w:p>
    <w:p w:rsidR="002B7BF2" w:rsidRDefault="002B7BF2" w:rsidP="002B7BF2">
      <w:r w:rsidRPr="00B7206F">
        <w:rPr>
          <w:b/>
          <w:bCs/>
        </w:rPr>
        <w:t>Solution</w:t>
      </w:r>
      <w:r w:rsidR="00942F35">
        <w:rPr>
          <w:b/>
          <w:bCs/>
        </w:rPr>
        <w:t xml:space="preserve"> proposed in Assessment Report</w:t>
      </w:r>
      <w:r w:rsidRPr="00B7206F">
        <w:t>:</w:t>
      </w:r>
      <w:r w:rsidR="00942F35">
        <w:t xml:space="preserve"> </w:t>
      </w:r>
      <w:r w:rsidRPr="00B7206F">
        <w:t>Delete the Editorial note.</w:t>
      </w:r>
    </w:p>
    <w:p w:rsidR="00942F35" w:rsidRDefault="00942F35" w:rsidP="00942F35">
      <w:pPr>
        <w:ind w:left="1134" w:hanging="1134"/>
        <w:rPr>
          <w:lang w:val="en-AU"/>
        </w:rPr>
      </w:pPr>
      <w:r w:rsidRPr="007A79F3">
        <w:rPr>
          <w:b/>
          <w:lang w:val="en-AU"/>
        </w:rPr>
        <w:t>Submitter comment and FSANZ Response</w:t>
      </w:r>
      <w:r>
        <w:rPr>
          <w:lang w:val="en-AU"/>
        </w:rPr>
        <w:t xml:space="preserve">: Submitters expressed concern about the removal of cross references from the Code as these are useful from a regulatory perspective. It was suggested that cross references in the Code are considered under future work by the Code audit working group. </w:t>
      </w:r>
    </w:p>
    <w:p w:rsidR="00942F35" w:rsidRPr="00B7206F" w:rsidRDefault="00942F35" w:rsidP="00942F35">
      <w:pPr>
        <w:ind w:left="1134" w:hanging="1134"/>
      </w:pPr>
      <w:r>
        <w:rPr>
          <w:b/>
          <w:lang w:val="en-AU"/>
        </w:rPr>
        <w:tab/>
      </w:r>
      <w:r w:rsidRPr="0052781B">
        <w:rPr>
          <w:lang w:val="en-AU"/>
        </w:rPr>
        <w:t xml:space="preserve">FSANZ agrees that cross references in the Code could be addressed under a future project in a more systematic manner. </w:t>
      </w:r>
      <w:r>
        <w:rPr>
          <w:lang w:val="en-AU"/>
        </w:rPr>
        <w:t xml:space="preserve">The proposed amendment has therefore not been made. </w:t>
      </w:r>
    </w:p>
    <w:p w:rsidR="002B7BF2" w:rsidRPr="00B7206F" w:rsidRDefault="002B7BF2" w:rsidP="002B7BF2"/>
    <w:p w:rsidR="00742C40" w:rsidRDefault="00742C40" w:rsidP="002B7BF2">
      <w:pPr>
        <w:pStyle w:val="Heading3"/>
      </w:pPr>
      <w:bookmarkStart w:id="159" w:name="_Toc280003257"/>
      <w:bookmarkStart w:id="160" w:name="_Toc290973080"/>
      <w:r>
        <w:br w:type="page"/>
      </w:r>
    </w:p>
    <w:p w:rsidR="002B7BF2" w:rsidRPr="00B7206F" w:rsidRDefault="002B7BF2" w:rsidP="002B7BF2">
      <w:pPr>
        <w:pStyle w:val="Heading3"/>
      </w:pPr>
      <w:r w:rsidRPr="00B7206F">
        <w:lastRenderedPageBreak/>
        <w:t>4.15</w:t>
      </w:r>
      <w:r w:rsidRPr="00B7206F">
        <w:tab/>
        <w:t>Standard 2.9.1 – Infant Formula Products</w:t>
      </w:r>
      <w:bookmarkEnd w:id="159"/>
      <w:bookmarkEnd w:id="160"/>
    </w:p>
    <w:p w:rsidR="002B7BF2" w:rsidRPr="00B7206F" w:rsidRDefault="002B7BF2" w:rsidP="002B7BF2"/>
    <w:p w:rsidR="002B7BF2" w:rsidRPr="00B7206F" w:rsidRDefault="002B7BF2" w:rsidP="002B7BF2">
      <w:pPr>
        <w:ind w:left="1134" w:hanging="1134"/>
      </w:pPr>
      <w:r w:rsidRPr="00B7206F">
        <w:rPr>
          <w:b/>
          <w:bCs/>
        </w:rPr>
        <w:t>Location</w:t>
      </w:r>
      <w:r w:rsidRPr="00B7206F">
        <w:t>:</w:t>
      </w:r>
      <w:r w:rsidRPr="00B7206F">
        <w:tab/>
        <w:t>Editorial note following clause 23</w:t>
      </w:r>
    </w:p>
    <w:p w:rsidR="002B7BF2" w:rsidRPr="00B7206F" w:rsidRDefault="002B7BF2" w:rsidP="002B7BF2">
      <w:pPr>
        <w:ind w:left="1134" w:hanging="1134"/>
      </w:pPr>
      <w:r w:rsidRPr="00B7206F">
        <w:rPr>
          <w:b/>
          <w:bCs/>
        </w:rPr>
        <w:t>Issue 144</w:t>
      </w:r>
      <w:r w:rsidRPr="00B7206F">
        <w:t>:</w:t>
      </w:r>
      <w:r w:rsidRPr="00B7206F">
        <w:tab/>
        <w:t xml:space="preserve">The Editorial note doesn’t refer to the specifications in Standard 1.3.4 for the novel sources of DHA (those approved under Standard 1.5.1). </w:t>
      </w:r>
    </w:p>
    <w:p w:rsidR="002B7BF2" w:rsidRPr="00B7206F" w:rsidRDefault="002B7BF2" w:rsidP="002B7BF2">
      <w:pPr>
        <w:ind w:left="1134" w:hanging="1134"/>
      </w:pPr>
      <w:r w:rsidRPr="00B7206F">
        <w:rPr>
          <w:b/>
          <w:bCs/>
        </w:rPr>
        <w:t>Solution</w:t>
      </w:r>
      <w:r w:rsidRPr="00B7206F">
        <w:t>:</w:t>
      </w:r>
      <w:r w:rsidRPr="00B7206F">
        <w:tab/>
        <w:t>Add reference to the specifications in Standard 1.3.4 for the novel sources of DHA. Amend the current Editorial note to reflect the renaming of these products as per amendments to Standard 1.3.4 above.</w:t>
      </w:r>
      <w:r w:rsidRPr="00B7206F">
        <w:rPr>
          <w:bCs/>
        </w:rPr>
        <w:t xml:space="preserve"> </w:t>
      </w:r>
    </w:p>
    <w:p w:rsidR="002B7BF2" w:rsidRPr="00B7206F" w:rsidRDefault="002B7BF2" w:rsidP="002B7BF2"/>
    <w:p w:rsidR="002B7BF2" w:rsidRPr="003F08FA" w:rsidRDefault="002B7BF2" w:rsidP="002B7BF2">
      <w:pPr>
        <w:pStyle w:val="Heading3"/>
      </w:pPr>
      <w:bookmarkStart w:id="161" w:name="_Toc280003258"/>
      <w:bookmarkStart w:id="162" w:name="_Toc290973081"/>
      <w:r w:rsidRPr="00B7206F">
        <w:t>4.16</w:t>
      </w:r>
      <w:r w:rsidRPr="00B7206F">
        <w:tab/>
        <w:t>Standard 4.2.1 – Primary Production and</w:t>
      </w:r>
      <w:r w:rsidRPr="003F08FA">
        <w:t xml:space="preserve"> Processing Standard for Seafood</w:t>
      </w:r>
      <w:bookmarkEnd w:id="161"/>
      <w:bookmarkEnd w:id="162"/>
    </w:p>
    <w:p w:rsidR="002B7BF2" w:rsidRPr="003F08FA" w:rsidRDefault="002B7BF2" w:rsidP="002B7BF2"/>
    <w:p w:rsidR="002B7BF2" w:rsidRPr="003F08FA" w:rsidRDefault="002B7BF2" w:rsidP="002B7BF2">
      <w:pPr>
        <w:rPr>
          <w:rFonts w:cs="Arial"/>
          <w:szCs w:val="22"/>
        </w:rPr>
      </w:pPr>
      <w:r w:rsidRPr="003F08FA">
        <w:rPr>
          <w:rFonts w:cs="Arial"/>
          <w:b/>
          <w:bCs/>
          <w:szCs w:val="22"/>
        </w:rPr>
        <w:t>Location</w:t>
      </w:r>
      <w:r w:rsidRPr="003F08FA">
        <w:rPr>
          <w:rFonts w:cs="Arial"/>
          <w:szCs w:val="22"/>
        </w:rPr>
        <w:t>:</w:t>
      </w:r>
      <w:r w:rsidRPr="003F08FA">
        <w:rPr>
          <w:rFonts w:cs="Arial"/>
          <w:szCs w:val="22"/>
        </w:rPr>
        <w:tab/>
      </w:r>
      <w:r w:rsidRPr="003F08FA">
        <w:rPr>
          <w:szCs w:val="22"/>
        </w:rPr>
        <w:t xml:space="preserve">Wherever the word ‘food-borne’ occurs </w:t>
      </w:r>
      <w:r w:rsidR="002941E9">
        <w:rPr>
          <w:szCs w:val="22"/>
        </w:rPr>
        <w:t xml:space="preserve">(now identified to be in clause 13 rather </w:t>
      </w:r>
      <w:r w:rsidR="002941E9">
        <w:rPr>
          <w:szCs w:val="22"/>
        </w:rPr>
        <w:tab/>
      </w:r>
      <w:r w:rsidR="002941E9">
        <w:rPr>
          <w:szCs w:val="22"/>
        </w:rPr>
        <w:tab/>
        <w:t>than in an Editorial note</w:t>
      </w:r>
      <w:r w:rsidR="00785898">
        <w:rPr>
          <w:szCs w:val="22"/>
        </w:rPr>
        <w:t>)</w:t>
      </w:r>
      <w:r w:rsidR="002941E9">
        <w:rPr>
          <w:szCs w:val="22"/>
        </w:rPr>
        <w:t xml:space="preserve">.  </w:t>
      </w:r>
    </w:p>
    <w:p w:rsidR="002B7BF2" w:rsidRPr="003F08FA" w:rsidRDefault="002B7BF2" w:rsidP="002B7BF2">
      <w:pPr>
        <w:ind w:left="1134" w:hanging="1134"/>
        <w:rPr>
          <w:rFonts w:cs="Arial"/>
          <w:szCs w:val="22"/>
        </w:rPr>
      </w:pPr>
      <w:r w:rsidRPr="003F08FA">
        <w:rPr>
          <w:rFonts w:cs="Arial"/>
          <w:b/>
          <w:bCs/>
          <w:szCs w:val="22"/>
        </w:rPr>
        <w:t>Issue 145</w:t>
      </w:r>
      <w:r w:rsidRPr="003F08FA">
        <w:rPr>
          <w:rFonts w:cs="Arial"/>
          <w:szCs w:val="22"/>
        </w:rPr>
        <w:t>:</w:t>
      </w:r>
      <w:r w:rsidRPr="003F08FA">
        <w:rPr>
          <w:rFonts w:cs="Arial"/>
          <w:szCs w:val="22"/>
        </w:rPr>
        <w:tab/>
      </w:r>
      <w:r w:rsidRPr="003F08FA">
        <w:rPr>
          <w:szCs w:val="22"/>
        </w:rPr>
        <w:t xml:space="preserve">Food-borne should not be hyphenated.  </w:t>
      </w:r>
    </w:p>
    <w:p w:rsidR="002B7BF2" w:rsidRPr="003F08FA" w:rsidRDefault="002B7BF2" w:rsidP="002B7BF2">
      <w:pPr>
        <w:rPr>
          <w:rFonts w:cs="Arial"/>
          <w:szCs w:val="22"/>
        </w:rPr>
      </w:pPr>
      <w:r w:rsidRPr="003F08FA">
        <w:rPr>
          <w:rFonts w:cs="Arial"/>
          <w:b/>
          <w:bCs/>
          <w:szCs w:val="22"/>
        </w:rPr>
        <w:t>Solution</w:t>
      </w:r>
      <w:r w:rsidRPr="003F08FA">
        <w:rPr>
          <w:rFonts w:cs="Arial"/>
          <w:szCs w:val="22"/>
        </w:rPr>
        <w:t>:</w:t>
      </w:r>
      <w:r w:rsidRPr="003F08FA">
        <w:rPr>
          <w:rFonts w:cs="Arial"/>
          <w:szCs w:val="22"/>
        </w:rPr>
        <w:tab/>
      </w:r>
      <w:r w:rsidRPr="003F08FA">
        <w:rPr>
          <w:szCs w:val="22"/>
        </w:rPr>
        <w:t>Replace ‘food-borne’ with ‘foodborne’.</w:t>
      </w:r>
    </w:p>
    <w:p w:rsidR="002B7BF2" w:rsidRPr="003F08FA" w:rsidRDefault="002B7BF2" w:rsidP="002B7BF2"/>
    <w:p w:rsidR="002B7BF2" w:rsidRPr="005A6D89" w:rsidRDefault="002B7BF2" w:rsidP="002B7BF2">
      <w:pPr>
        <w:pStyle w:val="Heading3"/>
      </w:pPr>
      <w:bookmarkStart w:id="163" w:name="_Toc280003259"/>
      <w:bookmarkStart w:id="164" w:name="_Toc290973082"/>
      <w:r w:rsidRPr="003F08FA">
        <w:t>4.17</w:t>
      </w:r>
      <w:r w:rsidRPr="003F08FA">
        <w:tab/>
        <w:t xml:space="preserve">Standard 4.2.4 – Primary Production and Processing Standard for Dairy </w:t>
      </w:r>
      <w:r w:rsidRPr="005A6D89">
        <w:t>Products</w:t>
      </w:r>
      <w:bookmarkEnd w:id="163"/>
      <w:bookmarkEnd w:id="164"/>
    </w:p>
    <w:p w:rsidR="002B7BF2" w:rsidRPr="005A6D89" w:rsidRDefault="002B7BF2" w:rsidP="002B7BF2"/>
    <w:p w:rsidR="002B7BF2" w:rsidRPr="005A6D89" w:rsidRDefault="002B7BF2" w:rsidP="002B7BF2">
      <w:pPr>
        <w:ind w:left="1134" w:hanging="1134"/>
      </w:pPr>
      <w:r w:rsidRPr="005A6D89">
        <w:rPr>
          <w:b/>
          <w:bCs/>
        </w:rPr>
        <w:t>Location</w:t>
      </w:r>
      <w:r w:rsidRPr="005A6D89">
        <w:t>:</w:t>
      </w:r>
      <w:r w:rsidRPr="005A6D89">
        <w:tab/>
        <w:t>Editorial note following subclause 15(5), ‘Dairy products may have a greater fat and/or solids content compared to milk...’</w:t>
      </w:r>
    </w:p>
    <w:p w:rsidR="002B7BF2" w:rsidRPr="005A6D89" w:rsidRDefault="002B7BF2" w:rsidP="002B7BF2">
      <w:pPr>
        <w:ind w:left="1134" w:hanging="1134"/>
      </w:pPr>
      <w:r w:rsidRPr="005A6D89">
        <w:rPr>
          <w:b/>
          <w:bCs/>
        </w:rPr>
        <w:t>Issue 146</w:t>
      </w:r>
      <w:r w:rsidRPr="005A6D89">
        <w:t>:</w:t>
      </w:r>
      <w:r w:rsidRPr="005A6D89">
        <w:tab/>
      </w:r>
      <w:r w:rsidRPr="005A6D89">
        <w:rPr>
          <w:rFonts w:cs="Arial"/>
          <w:szCs w:val="22"/>
        </w:rPr>
        <w:t>The OLDP legislative audit identified that the use of ‘and/or’ requires too much work from the reader and can be interpreted in different ways.</w:t>
      </w:r>
    </w:p>
    <w:p w:rsidR="002B7BF2" w:rsidRPr="005A6D89" w:rsidRDefault="002B7BF2" w:rsidP="002B7BF2">
      <w:r w:rsidRPr="005A6D89">
        <w:rPr>
          <w:b/>
          <w:bCs/>
        </w:rPr>
        <w:t>Solution</w:t>
      </w:r>
      <w:r w:rsidRPr="005A6D89">
        <w:t>:</w:t>
      </w:r>
      <w:r w:rsidRPr="005A6D89">
        <w:tab/>
        <w:t xml:space="preserve">Replace ‘and/or’ with ‘or’. </w:t>
      </w:r>
    </w:p>
    <w:p w:rsidR="00141317" w:rsidRDefault="00141317">
      <w:pPr>
        <w:widowControl/>
        <w:rPr>
          <w:rFonts w:ascii="Arial Bold" w:hAnsi="Arial Bold" w:cs="Arial Unicode MS"/>
          <w:b/>
          <w:bCs/>
          <w:iCs/>
          <w:sz w:val="28"/>
          <w:szCs w:val="28"/>
        </w:rPr>
      </w:pPr>
      <w:bookmarkStart w:id="165" w:name="_Toc11735636"/>
      <w:bookmarkStart w:id="166" w:name="_Toc29883121"/>
      <w:bookmarkStart w:id="167" w:name="_Toc41906808"/>
      <w:bookmarkStart w:id="168" w:name="_Toc41907555"/>
      <w:bookmarkStart w:id="169" w:name="_Toc120358586"/>
    </w:p>
    <w:p w:rsidR="003C4969" w:rsidRPr="00DC6570" w:rsidRDefault="00247F66" w:rsidP="001C27A3">
      <w:pPr>
        <w:pStyle w:val="Heading2"/>
      </w:pPr>
      <w:bookmarkStart w:id="170" w:name="_Toc290973083"/>
      <w:r>
        <w:t>5</w:t>
      </w:r>
      <w:r w:rsidR="001C27A3">
        <w:t>.</w:t>
      </w:r>
      <w:r w:rsidR="003C4969" w:rsidRPr="00DC6570">
        <w:tab/>
        <w:t>Options</w:t>
      </w:r>
      <w:bookmarkEnd w:id="165"/>
      <w:bookmarkEnd w:id="166"/>
      <w:bookmarkEnd w:id="167"/>
      <w:bookmarkEnd w:id="168"/>
      <w:bookmarkEnd w:id="169"/>
      <w:bookmarkEnd w:id="170"/>
      <w:r w:rsidR="003C4969" w:rsidRPr="00DC6570">
        <w:t xml:space="preserve"> </w:t>
      </w:r>
    </w:p>
    <w:p w:rsidR="00D502D3" w:rsidRPr="007152DE" w:rsidRDefault="00D502D3">
      <w:pPr>
        <w:rPr>
          <w:rFonts w:cs="Arial"/>
        </w:rPr>
      </w:pPr>
    </w:p>
    <w:p w:rsidR="00D502D3" w:rsidRPr="00423539" w:rsidRDefault="00D502D3" w:rsidP="00D502D3">
      <w:pPr>
        <w:rPr>
          <w:rFonts w:cs="Arial"/>
          <w:szCs w:val="22"/>
        </w:rPr>
      </w:pPr>
      <w:r w:rsidRPr="00423539">
        <w:rPr>
          <w:rFonts w:cs="Arial"/>
          <w:szCs w:val="22"/>
        </w:rPr>
        <w:t>The regulatory options available for this Proposal are:</w:t>
      </w:r>
    </w:p>
    <w:p w:rsidR="00D502D3" w:rsidRPr="00423539" w:rsidRDefault="00D502D3" w:rsidP="00D502D3">
      <w:pPr>
        <w:rPr>
          <w:rFonts w:cs="Arial"/>
        </w:rPr>
      </w:pPr>
    </w:p>
    <w:p w:rsidR="00D502D3" w:rsidRPr="00423539" w:rsidRDefault="00D502D3" w:rsidP="00D502D3">
      <w:pPr>
        <w:pStyle w:val="Heading3"/>
      </w:pPr>
      <w:bookmarkStart w:id="171" w:name="_Toc228246330"/>
      <w:bookmarkStart w:id="172" w:name="_Toc280003261"/>
      <w:bookmarkStart w:id="173" w:name="_Toc290973084"/>
      <w:r>
        <w:t>5</w:t>
      </w:r>
      <w:r w:rsidRPr="00423539">
        <w:t xml:space="preserve">.1 </w:t>
      </w:r>
      <w:r w:rsidRPr="00423539">
        <w:tab/>
        <w:t xml:space="preserve">Option 1 – To </w:t>
      </w:r>
      <w:r w:rsidR="007B76DA">
        <w:t>reject</w:t>
      </w:r>
      <w:r w:rsidRPr="00423539">
        <w:t xml:space="preserve"> the Proposal</w:t>
      </w:r>
      <w:bookmarkEnd w:id="171"/>
      <w:bookmarkEnd w:id="172"/>
      <w:bookmarkEnd w:id="173"/>
      <w:r w:rsidRPr="00423539">
        <w:t xml:space="preserve"> </w:t>
      </w:r>
    </w:p>
    <w:p w:rsidR="00D502D3" w:rsidRPr="00423539" w:rsidRDefault="00D502D3" w:rsidP="00D502D3">
      <w:pPr>
        <w:rPr>
          <w:rFonts w:cs="Arial"/>
        </w:rPr>
      </w:pPr>
    </w:p>
    <w:p w:rsidR="00D502D3" w:rsidRPr="00423539" w:rsidRDefault="00D502D3" w:rsidP="00D502D3">
      <w:pPr>
        <w:rPr>
          <w:rFonts w:cs="Arial"/>
          <w:szCs w:val="22"/>
        </w:rPr>
      </w:pPr>
      <w:r w:rsidRPr="00423539">
        <w:rPr>
          <w:rFonts w:cs="Arial"/>
          <w:szCs w:val="22"/>
        </w:rPr>
        <w:t xml:space="preserve">This option maintains the </w:t>
      </w:r>
      <w:r w:rsidRPr="00423539">
        <w:rPr>
          <w:rFonts w:cs="Arial"/>
          <w:i/>
          <w:szCs w:val="22"/>
        </w:rPr>
        <w:t>status quo</w:t>
      </w:r>
      <w:r w:rsidRPr="00423539">
        <w:rPr>
          <w:rFonts w:cs="Arial"/>
          <w:szCs w:val="22"/>
        </w:rPr>
        <w:t xml:space="preserve"> by retaining the existing drafting in the Code.</w:t>
      </w:r>
    </w:p>
    <w:p w:rsidR="00D502D3" w:rsidRPr="00423539" w:rsidRDefault="00D502D3" w:rsidP="00D502D3">
      <w:pPr>
        <w:ind w:left="360" w:hanging="360"/>
        <w:rPr>
          <w:rFonts w:cs="Arial"/>
          <w:b/>
        </w:rPr>
      </w:pPr>
    </w:p>
    <w:p w:rsidR="00D502D3" w:rsidRPr="00423539" w:rsidRDefault="00D502D3" w:rsidP="00D502D3">
      <w:pPr>
        <w:pStyle w:val="Heading3"/>
      </w:pPr>
      <w:bookmarkStart w:id="174" w:name="_Toc228246331"/>
      <w:bookmarkStart w:id="175" w:name="_Toc280003262"/>
      <w:bookmarkStart w:id="176" w:name="_Toc290973085"/>
      <w:r>
        <w:t>5</w:t>
      </w:r>
      <w:r w:rsidRPr="00423539">
        <w:t xml:space="preserve">.2 </w:t>
      </w:r>
      <w:r w:rsidRPr="00423539">
        <w:tab/>
        <w:t xml:space="preserve">Option 2 – To </w:t>
      </w:r>
      <w:r w:rsidR="004457B3">
        <w:t>approve</w:t>
      </w:r>
      <w:r w:rsidRPr="00423539">
        <w:t xml:space="preserve"> draft variations to the Code to incorporate the </w:t>
      </w:r>
      <w:r w:rsidR="00D53890">
        <w:t>recommended</w:t>
      </w:r>
      <w:r w:rsidRPr="00423539">
        <w:t xml:space="preserve"> amendments</w:t>
      </w:r>
      <w:bookmarkEnd w:id="174"/>
      <w:bookmarkEnd w:id="175"/>
      <w:bookmarkEnd w:id="176"/>
      <w:r w:rsidRPr="00423539">
        <w:t xml:space="preserve">  </w:t>
      </w:r>
    </w:p>
    <w:p w:rsidR="00D502D3" w:rsidRPr="00423539" w:rsidRDefault="00D502D3" w:rsidP="00D502D3"/>
    <w:p w:rsidR="0081175D" w:rsidRDefault="0081175D" w:rsidP="0081175D">
      <w:pPr>
        <w:rPr>
          <w:b/>
          <w:bCs/>
        </w:rPr>
      </w:pPr>
      <w:r>
        <w:t xml:space="preserve">This option would require the </w:t>
      </w:r>
      <w:r w:rsidR="004457B3">
        <w:t>approval</w:t>
      </w:r>
      <w:r>
        <w:t xml:space="preserve"> of </w:t>
      </w:r>
      <w:r w:rsidR="004457B3">
        <w:t xml:space="preserve">draft </w:t>
      </w:r>
      <w:r w:rsidRPr="0081175D">
        <w:t xml:space="preserve">amendments to the Code </w:t>
      </w:r>
      <w:r w:rsidR="004457B3">
        <w:t>incorporating</w:t>
      </w:r>
      <w:r w:rsidRPr="0081175D">
        <w:t xml:space="preserve"> the recommended amendments as outlined in this Report, </w:t>
      </w:r>
      <w:r w:rsidRPr="0081175D">
        <w:rPr>
          <w:bCs/>
        </w:rPr>
        <w:t>after having considered each of the proposed amendments individually and on their own merits.</w:t>
      </w:r>
    </w:p>
    <w:p w:rsidR="003C4969" w:rsidRPr="00DC6570" w:rsidRDefault="003C4969">
      <w:pPr>
        <w:pStyle w:val="Header"/>
        <w:rPr>
          <w:rFonts w:cs="Arial"/>
          <w:lang w:val="en-AU"/>
        </w:rPr>
      </w:pPr>
    </w:p>
    <w:p w:rsidR="003C4969" w:rsidRPr="00DC6570" w:rsidRDefault="00247F66" w:rsidP="001C27A3">
      <w:pPr>
        <w:pStyle w:val="Heading2"/>
      </w:pPr>
      <w:bookmarkStart w:id="177" w:name="_Toc11735637"/>
      <w:bookmarkStart w:id="178" w:name="_Toc29883122"/>
      <w:bookmarkStart w:id="179" w:name="_Toc41906809"/>
      <w:bookmarkStart w:id="180" w:name="_Toc41907556"/>
      <w:bookmarkStart w:id="181" w:name="_Toc120358587"/>
      <w:bookmarkStart w:id="182" w:name="_Toc290973086"/>
      <w:r>
        <w:t>6</w:t>
      </w:r>
      <w:r w:rsidR="001C27A3">
        <w:t>.</w:t>
      </w:r>
      <w:r w:rsidR="003C4969" w:rsidRPr="00DC6570">
        <w:tab/>
        <w:t>Impact Analysis</w:t>
      </w:r>
      <w:bookmarkEnd w:id="177"/>
      <w:bookmarkEnd w:id="178"/>
      <w:bookmarkEnd w:id="179"/>
      <w:bookmarkEnd w:id="180"/>
      <w:bookmarkEnd w:id="181"/>
      <w:r w:rsidR="00486793" w:rsidRPr="00DC6570">
        <w:t xml:space="preserve"> (RIS ID:  </w:t>
      </w:r>
      <w:r w:rsidR="007152DE">
        <w:t>11751</w:t>
      </w:r>
      <w:r w:rsidR="00486793" w:rsidRPr="00DC6570">
        <w:t>)</w:t>
      </w:r>
      <w:bookmarkEnd w:id="182"/>
    </w:p>
    <w:p w:rsidR="00D502D3" w:rsidRPr="007152DE" w:rsidRDefault="00D502D3">
      <w:pPr>
        <w:rPr>
          <w:rFonts w:cs="Arial"/>
        </w:rPr>
      </w:pPr>
    </w:p>
    <w:p w:rsidR="00D502D3" w:rsidRDefault="00D502D3" w:rsidP="00D502D3">
      <w:r>
        <w:t>The Office of Best Practice Regulation in its letter of 6 September 2010 has advised FSANZ that it believes the proposed amendments will have no to low impacts on business and individuals and therefore does not require a Regulation Impact Statement (RIS).</w:t>
      </w:r>
    </w:p>
    <w:p w:rsidR="003C4969" w:rsidRPr="0081175D" w:rsidRDefault="003C4969">
      <w:pPr>
        <w:rPr>
          <w:rFonts w:cs="Arial"/>
        </w:rPr>
      </w:pPr>
    </w:p>
    <w:p w:rsidR="003C4969" w:rsidRPr="0081175D" w:rsidRDefault="00247F66">
      <w:pPr>
        <w:pStyle w:val="Heading3"/>
        <w:rPr>
          <w:rFonts w:cs="Arial"/>
        </w:rPr>
      </w:pPr>
      <w:bookmarkStart w:id="183" w:name="_Toc120358590"/>
      <w:bookmarkStart w:id="184" w:name="_Toc290973087"/>
      <w:r>
        <w:rPr>
          <w:rFonts w:cs="Arial"/>
        </w:rPr>
        <w:t>6</w:t>
      </w:r>
      <w:r w:rsidR="007A44B4" w:rsidRPr="0081175D">
        <w:rPr>
          <w:rFonts w:cs="Arial"/>
        </w:rPr>
        <w:t>.</w:t>
      </w:r>
      <w:r w:rsidR="003F08FA" w:rsidRPr="0081175D">
        <w:rPr>
          <w:rFonts w:cs="Arial"/>
        </w:rPr>
        <w:t>1</w:t>
      </w:r>
      <w:r w:rsidR="003C4969" w:rsidRPr="0081175D">
        <w:rPr>
          <w:rFonts w:cs="Arial"/>
        </w:rPr>
        <w:tab/>
      </w:r>
      <w:r w:rsidR="003F08FA" w:rsidRPr="0081175D">
        <w:rPr>
          <w:rFonts w:cs="Arial"/>
        </w:rPr>
        <w:t xml:space="preserve">Benefit Cost Analysis and </w:t>
      </w:r>
      <w:r w:rsidR="003C4969" w:rsidRPr="0081175D">
        <w:rPr>
          <w:rFonts w:cs="Arial"/>
        </w:rPr>
        <w:t>Comparison of Options</w:t>
      </w:r>
      <w:bookmarkEnd w:id="183"/>
      <w:bookmarkEnd w:id="184"/>
    </w:p>
    <w:p w:rsidR="00D502D3" w:rsidRPr="0081175D" w:rsidRDefault="00D502D3">
      <w:pPr>
        <w:rPr>
          <w:rFonts w:cs="Arial"/>
        </w:rPr>
      </w:pPr>
    </w:p>
    <w:p w:rsidR="00D502D3" w:rsidRPr="00423539" w:rsidRDefault="00D502D3" w:rsidP="00D502D3">
      <w:pPr>
        <w:rPr>
          <w:rFonts w:cs="Arial"/>
          <w:szCs w:val="22"/>
        </w:rPr>
      </w:pPr>
      <w:r w:rsidRPr="0081175D">
        <w:rPr>
          <w:rFonts w:cs="Arial"/>
          <w:szCs w:val="22"/>
        </w:rPr>
        <w:t>In assessing Proposals, FSANZ considers the impact of various regulatory (and non-regulatory) options on all sectors of the community, including the food industry, governments</w:t>
      </w:r>
      <w:r w:rsidRPr="00423539">
        <w:rPr>
          <w:rFonts w:cs="Arial"/>
          <w:szCs w:val="22"/>
        </w:rPr>
        <w:t xml:space="preserve"> and consumers in Australia and New Zealand. </w:t>
      </w:r>
    </w:p>
    <w:p w:rsidR="00D502D3" w:rsidRPr="00423539" w:rsidRDefault="00D502D3" w:rsidP="00D502D3">
      <w:pPr>
        <w:rPr>
          <w:rFonts w:cs="Arial"/>
          <w:szCs w:val="22"/>
        </w:rPr>
      </w:pPr>
    </w:p>
    <w:p w:rsidR="00742C40" w:rsidRDefault="00D502D3" w:rsidP="00D502D3">
      <w:pPr>
        <w:rPr>
          <w:rFonts w:cs="Arial"/>
          <w:szCs w:val="22"/>
        </w:rPr>
      </w:pPr>
      <w:r w:rsidRPr="00423539">
        <w:rPr>
          <w:rFonts w:cs="Arial"/>
          <w:szCs w:val="22"/>
        </w:rPr>
        <w:t xml:space="preserve">For this Proposal, Option 1 is not regarded as viable or desirable because it would perpetuate errors, inconsistencies and outdated provisions in the Code. </w:t>
      </w:r>
      <w:r w:rsidR="00742C40">
        <w:rPr>
          <w:rFonts w:cs="Arial"/>
          <w:szCs w:val="22"/>
        </w:rPr>
        <w:br w:type="page"/>
      </w:r>
    </w:p>
    <w:p w:rsidR="00D502D3" w:rsidRPr="00423539" w:rsidRDefault="00D502D3" w:rsidP="00D502D3">
      <w:pPr>
        <w:rPr>
          <w:rFonts w:cs="Arial"/>
          <w:szCs w:val="22"/>
        </w:rPr>
      </w:pPr>
      <w:r w:rsidRPr="00423539">
        <w:rPr>
          <w:rFonts w:cs="Arial"/>
          <w:szCs w:val="22"/>
        </w:rPr>
        <w:lastRenderedPageBreak/>
        <w:t xml:space="preserve">While the costs to the community of adopting this option are low, the lack of credibility associated with retaining provisions that are known to be inadequate means that this option is not considered appropriate. </w:t>
      </w:r>
    </w:p>
    <w:p w:rsidR="00D502D3" w:rsidRPr="00423539" w:rsidRDefault="00D502D3" w:rsidP="00D502D3">
      <w:pPr>
        <w:rPr>
          <w:rFonts w:cs="Arial"/>
          <w:szCs w:val="22"/>
        </w:rPr>
      </w:pPr>
    </w:p>
    <w:p w:rsidR="00D502D3" w:rsidRPr="00423539" w:rsidRDefault="00D502D3" w:rsidP="00D502D3">
      <w:pPr>
        <w:rPr>
          <w:rFonts w:cs="Arial"/>
          <w:szCs w:val="22"/>
        </w:rPr>
      </w:pPr>
      <w:r>
        <w:rPr>
          <w:rFonts w:cs="Arial"/>
          <w:szCs w:val="22"/>
        </w:rPr>
        <w:t xml:space="preserve">Under Option 2, the proposed amendments will have the benefit of clarifying regulatory measures thus improving capacity for compliance and enforcement. There will also be improved ability for industry innovation and consistency internationally by amending the Code as proposed. Apart from the need for agencies to acquaint themselves with the changes to the Code, there are unlikely to be any costs associated with this option. </w:t>
      </w:r>
      <w:r w:rsidRPr="00423539">
        <w:rPr>
          <w:rFonts w:cs="Arial"/>
          <w:szCs w:val="22"/>
        </w:rPr>
        <w:t xml:space="preserve">Option 2 is </w:t>
      </w:r>
      <w:r>
        <w:rPr>
          <w:rFonts w:cs="Arial"/>
          <w:szCs w:val="22"/>
        </w:rPr>
        <w:t xml:space="preserve">therefore </w:t>
      </w:r>
      <w:r w:rsidRPr="00423539">
        <w:rPr>
          <w:rFonts w:cs="Arial"/>
          <w:szCs w:val="22"/>
        </w:rPr>
        <w:t>a viable and desirable option</w:t>
      </w:r>
      <w:r>
        <w:rPr>
          <w:rFonts w:cs="Arial"/>
          <w:szCs w:val="22"/>
        </w:rPr>
        <w:t>.</w:t>
      </w:r>
    </w:p>
    <w:p w:rsidR="002C4666" w:rsidRDefault="002C4666">
      <w:pPr>
        <w:rPr>
          <w:rFonts w:cs="Arial"/>
        </w:rPr>
      </w:pPr>
    </w:p>
    <w:p w:rsidR="002C4666" w:rsidRDefault="002C4666" w:rsidP="002C4666">
      <w:pPr>
        <w:pStyle w:val="Heading2"/>
      </w:pPr>
      <w:bookmarkStart w:id="185" w:name="_Toc290973088"/>
      <w:r>
        <w:t>7.</w:t>
      </w:r>
      <w:r>
        <w:tab/>
        <w:t>Addressing FSANZ’s Primary Objectives</w:t>
      </w:r>
      <w:bookmarkEnd w:id="185"/>
    </w:p>
    <w:p w:rsidR="00D322C3" w:rsidRPr="00DC6570" w:rsidRDefault="00D322C3" w:rsidP="002C4666"/>
    <w:p w:rsidR="002B54EA" w:rsidRDefault="00D322C3" w:rsidP="002B54EA">
      <w:pPr>
        <w:rPr>
          <w:rFonts w:cs="Arial"/>
        </w:rPr>
      </w:pPr>
      <w:r>
        <w:t xml:space="preserve">The legislative objectives that FSANZ is required to meet when </w:t>
      </w:r>
      <w:r w:rsidRPr="00DC6570">
        <w:t>developing or varying a food standard</w:t>
      </w:r>
      <w:r>
        <w:t xml:space="preserve"> are noted in section 2.</w:t>
      </w:r>
      <w:r w:rsidR="004D617C">
        <w:t xml:space="preserve"> </w:t>
      </w:r>
      <w:r w:rsidR="002B54EA">
        <w:t xml:space="preserve">The </w:t>
      </w:r>
      <w:r w:rsidR="00452244">
        <w:t>majority</w:t>
      </w:r>
      <w:r w:rsidR="002B54EA">
        <w:t xml:space="preserve"> of the amendments under this Proposal were editorial in nature and therefore </w:t>
      </w:r>
      <w:r w:rsidR="002B54EA">
        <w:rPr>
          <w:rFonts w:cs="Arial"/>
        </w:rPr>
        <w:t xml:space="preserve">the three primary objectives were not </w:t>
      </w:r>
      <w:r w:rsidR="00391B0F">
        <w:rPr>
          <w:rFonts w:cs="Arial"/>
        </w:rPr>
        <w:t xml:space="preserve">directly </w:t>
      </w:r>
      <w:r w:rsidR="002B54EA">
        <w:rPr>
          <w:rFonts w:cs="Arial"/>
        </w:rPr>
        <w:t>relevant to the considerations</w:t>
      </w:r>
      <w:r w:rsidR="00E5509A">
        <w:rPr>
          <w:rFonts w:cs="Arial"/>
        </w:rPr>
        <w:t xml:space="preserve"> of most issues</w:t>
      </w:r>
      <w:r w:rsidR="002B54EA">
        <w:rPr>
          <w:rFonts w:cs="Arial"/>
        </w:rPr>
        <w:t xml:space="preserve">. </w:t>
      </w:r>
    </w:p>
    <w:p w:rsidR="002B54EA" w:rsidRDefault="002B54EA" w:rsidP="002B54EA">
      <w:pPr>
        <w:rPr>
          <w:rFonts w:cs="Arial"/>
        </w:rPr>
      </w:pPr>
    </w:p>
    <w:p w:rsidR="00530DA4" w:rsidRDefault="002B54EA" w:rsidP="00E02CC6">
      <w:r>
        <w:t>However</w:t>
      </w:r>
      <w:r w:rsidR="00E02CC6">
        <w:t>,</w:t>
      </w:r>
      <w:r>
        <w:t xml:space="preserve"> for some specific issues, certain objectives were </w:t>
      </w:r>
      <w:r w:rsidR="004D617C">
        <w:rPr>
          <w:rFonts w:cs="Arial"/>
        </w:rPr>
        <w:t xml:space="preserve">relevant </w:t>
      </w:r>
      <w:r>
        <w:rPr>
          <w:rFonts w:cs="Arial"/>
        </w:rPr>
        <w:t>and</w:t>
      </w:r>
      <w:r w:rsidR="00297332">
        <w:rPr>
          <w:rFonts w:cs="Arial"/>
        </w:rPr>
        <w:t xml:space="preserve"> were</w:t>
      </w:r>
      <w:r w:rsidR="004D617C">
        <w:rPr>
          <w:rFonts w:cs="Arial"/>
        </w:rPr>
        <w:t xml:space="preserve"> taken into consideration</w:t>
      </w:r>
      <w:r w:rsidR="00452244">
        <w:rPr>
          <w:rFonts w:cs="Arial"/>
        </w:rPr>
        <w:t xml:space="preserve">. </w:t>
      </w:r>
      <w:r w:rsidR="009E4A11">
        <w:rPr>
          <w:rFonts w:cs="Arial"/>
        </w:rPr>
        <w:t>For example</w:t>
      </w:r>
      <w:r w:rsidR="00452244">
        <w:rPr>
          <w:rFonts w:cs="Arial"/>
        </w:rPr>
        <w:t xml:space="preserve">, </w:t>
      </w:r>
      <w:r w:rsidR="00E02CC6">
        <w:rPr>
          <w:rFonts w:cs="Arial"/>
        </w:rPr>
        <w:t xml:space="preserve">with regards to the objective of protection of public health and safety, the need for a safety assessment was considered when considering </w:t>
      </w:r>
      <w:r w:rsidR="00452244">
        <w:rPr>
          <w:rFonts w:cs="Arial"/>
        </w:rPr>
        <w:t>the addition of two new fo</w:t>
      </w:r>
      <w:r w:rsidR="00E02CC6">
        <w:rPr>
          <w:rFonts w:cs="Arial"/>
        </w:rPr>
        <w:t>od additives (issues 57 and 58)</w:t>
      </w:r>
      <w:r w:rsidR="00452244">
        <w:rPr>
          <w:rFonts w:cs="Arial"/>
        </w:rPr>
        <w:t xml:space="preserve"> </w:t>
      </w:r>
      <w:r w:rsidR="00E02CC6">
        <w:rPr>
          <w:rFonts w:cs="Arial"/>
        </w:rPr>
        <w:t xml:space="preserve">and maximum levels of arsenic were extended to apply to all seaweed for reasons of public health and safety (issue 74). The objective </w:t>
      </w:r>
      <w:r w:rsidR="009E4A11">
        <w:rPr>
          <w:rFonts w:cs="Arial"/>
        </w:rPr>
        <w:t>of</w:t>
      </w:r>
      <w:r w:rsidR="00E02CC6">
        <w:rPr>
          <w:rFonts w:cs="Arial"/>
        </w:rPr>
        <w:t xml:space="preserve"> prevention of misleading or deceptive conduct was relevant to the conditions regarding rounding of percentages of characterising ingredients and components (issue 40). </w:t>
      </w:r>
    </w:p>
    <w:p w:rsidR="00A122F7" w:rsidRPr="00742C40" w:rsidRDefault="00A122F7" w:rsidP="00742C40"/>
    <w:p w:rsidR="003C4969" w:rsidRPr="00DC6570" w:rsidRDefault="00807559" w:rsidP="007A44B4">
      <w:pPr>
        <w:pStyle w:val="Heading1"/>
      </w:pPr>
      <w:bookmarkStart w:id="186" w:name="_Toc290973089"/>
      <w:r>
        <w:t>C</w:t>
      </w:r>
      <w:r w:rsidR="003C4969" w:rsidRPr="00DC6570">
        <w:t>ommunication</w:t>
      </w:r>
      <w:r w:rsidR="00A74FD1" w:rsidRPr="00DC6570">
        <w:t xml:space="preserve"> and Consultation Strategy</w:t>
      </w:r>
      <w:bookmarkEnd w:id="186"/>
    </w:p>
    <w:p w:rsidR="003C4969" w:rsidRPr="00DC6570" w:rsidRDefault="003C4969">
      <w:pPr>
        <w:rPr>
          <w:rFonts w:cs="Arial"/>
        </w:rPr>
      </w:pPr>
    </w:p>
    <w:p w:rsidR="003C4969" w:rsidRPr="00DC6570" w:rsidRDefault="004D617C" w:rsidP="006D3CB4">
      <w:pPr>
        <w:pStyle w:val="Heading2"/>
      </w:pPr>
      <w:bookmarkStart w:id="187" w:name="_Toc120358592"/>
      <w:bookmarkStart w:id="188" w:name="_Toc290973090"/>
      <w:r>
        <w:t>8</w:t>
      </w:r>
      <w:r w:rsidR="007A44B4">
        <w:t>.</w:t>
      </w:r>
      <w:r w:rsidR="003C4969" w:rsidRPr="00DC6570">
        <w:tab/>
        <w:t>Communication</w:t>
      </w:r>
      <w:bookmarkEnd w:id="187"/>
      <w:bookmarkEnd w:id="188"/>
    </w:p>
    <w:p w:rsidR="003F08FA" w:rsidRPr="0081175D" w:rsidRDefault="003F08FA">
      <w:pPr>
        <w:rPr>
          <w:rFonts w:cs="Arial"/>
        </w:rPr>
      </w:pPr>
    </w:p>
    <w:p w:rsidR="003F08FA" w:rsidRPr="004A6138" w:rsidRDefault="003F08FA" w:rsidP="003F08FA">
      <w:r w:rsidRPr="00423539">
        <w:rPr>
          <w:rFonts w:cs="Arial"/>
          <w:szCs w:val="22"/>
        </w:rPr>
        <w:t>This Proposal includes amendments to a number of food regulatory measures in the Code. FSANZ d</w:t>
      </w:r>
      <w:r>
        <w:rPr>
          <w:rFonts w:cs="Arial"/>
          <w:szCs w:val="22"/>
        </w:rPr>
        <w:t>id</w:t>
      </w:r>
      <w:r w:rsidRPr="00423539">
        <w:rPr>
          <w:rFonts w:cs="Arial"/>
          <w:szCs w:val="22"/>
        </w:rPr>
        <w:t xml:space="preserve"> not anticipate that these amendments w</w:t>
      </w:r>
      <w:r>
        <w:rPr>
          <w:rFonts w:cs="Arial"/>
          <w:szCs w:val="22"/>
        </w:rPr>
        <w:t xml:space="preserve">ould </w:t>
      </w:r>
      <w:r w:rsidRPr="00423539">
        <w:rPr>
          <w:rFonts w:cs="Arial"/>
          <w:szCs w:val="22"/>
        </w:rPr>
        <w:t xml:space="preserve">be of major significance and </w:t>
      </w:r>
      <w:r w:rsidRPr="004A6138">
        <w:rPr>
          <w:rFonts w:cs="Arial"/>
          <w:szCs w:val="22"/>
        </w:rPr>
        <w:t xml:space="preserve">applied a basic communication strategy to this Proposal. </w:t>
      </w:r>
      <w:r w:rsidRPr="004A6138">
        <w:t>This involve</w:t>
      </w:r>
      <w:r>
        <w:t>d</w:t>
      </w:r>
      <w:r w:rsidRPr="004A6138">
        <w:t xml:space="preserve"> alerting the community to the opportunity to comment on the proposed changes to the Code via </w:t>
      </w:r>
      <w:r>
        <w:t xml:space="preserve">a </w:t>
      </w:r>
      <w:r w:rsidRPr="004A6138">
        <w:t>media release, webs</w:t>
      </w:r>
      <w:r>
        <w:t xml:space="preserve">ite and FSANZ’s Facebook page. Email alerts were sent to more than 5000 subscribers to the FSANZ Notification Circular and to interested parties. </w:t>
      </w:r>
    </w:p>
    <w:p w:rsidR="003F08FA" w:rsidRDefault="003F08FA" w:rsidP="003F08FA">
      <w:pPr>
        <w:rPr>
          <w:rFonts w:cs="Arial"/>
        </w:rPr>
      </w:pPr>
    </w:p>
    <w:p w:rsidR="003F08FA" w:rsidRPr="003F08FA" w:rsidRDefault="003F08FA" w:rsidP="003F08FA">
      <w:pPr>
        <w:rPr>
          <w:rFonts w:cs="Arial"/>
        </w:rPr>
      </w:pPr>
      <w:r w:rsidRPr="00423539">
        <w:rPr>
          <w:rFonts w:cs="Arial"/>
          <w:szCs w:val="22"/>
        </w:rPr>
        <w:t xml:space="preserve">FSANZ </w:t>
      </w:r>
      <w:r w:rsidR="00742C40">
        <w:rPr>
          <w:rFonts w:cs="Arial"/>
          <w:szCs w:val="22"/>
        </w:rPr>
        <w:t xml:space="preserve">has notified the </w:t>
      </w:r>
      <w:r w:rsidRPr="00423539">
        <w:rPr>
          <w:rFonts w:cs="Arial"/>
          <w:szCs w:val="22"/>
        </w:rPr>
        <w:t>Ministerial Council of its decision</w:t>
      </w:r>
      <w:r>
        <w:rPr>
          <w:rFonts w:cs="Arial"/>
          <w:szCs w:val="22"/>
        </w:rPr>
        <w:t xml:space="preserve"> on the draft variations to the Code</w:t>
      </w:r>
      <w:r w:rsidRPr="00423539">
        <w:rPr>
          <w:rFonts w:cs="Arial"/>
          <w:szCs w:val="22"/>
        </w:rPr>
        <w:t xml:space="preserve">. Stakeholders, including the public, will be notified on the gazettal of changes to the Code on </w:t>
      </w:r>
      <w:r w:rsidRPr="003F08FA">
        <w:rPr>
          <w:rFonts w:cs="Arial"/>
          <w:szCs w:val="22"/>
        </w:rPr>
        <w:t>the FSANZ website.</w:t>
      </w:r>
    </w:p>
    <w:p w:rsidR="003F08FA" w:rsidRPr="003F08FA" w:rsidRDefault="003F08FA">
      <w:pPr>
        <w:rPr>
          <w:rFonts w:cs="Arial"/>
        </w:rPr>
      </w:pPr>
    </w:p>
    <w:p w:rsidR="003C4969" w:rsidRPr="00DC6570" w:rsidRDefault="004D617C" w:rsidP="006D3CB4">
      <w:pPr>
        <w:pStyle w:val="Heading2"/>
      </w:pPr>
      <w:bookmarkStart w:id="189" w:name="_Toc11735640"/>
      <w:bookmarkStart w:id="190" w:name="_Toc29883125"/>
      <w:bookmarkStart w:id="191" w:name="_Toc41906812"/>
      <w:bookmarkStart w:id="192" w:name="_Toc41907559"/>
      <w:bookmarkStart w:id="193" w:name="_Toc120358593"/>
      <w:bookmarkStart w:id="194" w:name="_Toc290973091"/>
      <w:r>
        <w:t>9</w:t>
      </w:r>
      <w:r w:rsidR="007A44B4">
        <w:t>.</w:t>
      </w:r>
      <w:r w:rsidR="003C4969" w:rsidRPr="00DC6570">
        <w:tab/>
        <w:t>Consultation</w:t>
      </w:r>
      <w:bookmarkEnd w:id="189"/>
      <w:bookmarkEnd w:id="190"/>
      <w:bookmarkEnd w:id="191"/>
      <w:bookmarkEnd w:id="192"/>
      <w:bookmarkEnd w:id="193"/>
      <w:bookmarkEnd w:id="194"/>
    </w:p>
    <w:p w:rsidR="00D502D3" w:rsidRDefault="00D502D3" w:rsidP="00D502D3">
      <w:pPr>
        <w:rPr>
          <w:rFonts w:cs="Arial"/>
          <w:szCs w:val="22"/>
        </w:rPr>
      </w:pPr>
    </w:p>
    <w:p w:rsidR="00D502D3" w:rsidRDefault="00D502D3" w:rsidP="00D502D3">
      <w:pPr>
        <w:rPr>
          <w:rFonts w:cs="Arial"/>
          <w:color w:val="000000"/>
        </w:rPr>
      </w:pPr>
      <w:r>
        <w:rPr>
          <w:rFonts w:cs="Arial"/>
          <w:color w:val="000000"/>
        </w:rPr>
        <w:t xml:space="preserve">Public comment on the Assessment Report for this Proposal was sought from </w:t>
      </w:r>
      <w:r w:rsidR="007152DE">
        <w:rPr>
          <w:rFonts w:cs="Arial"/>
          <w:color w:val="000000"/>
        </w:rPr>
        <w:t>15</w:t>
      </w:r>
      <w:r>
        <w:rPr>
          <w:rFonts w:cs="Arial"/>
          <w:color w:val="000000"/>
        </w:rPr>
        <w:t xml:space="preserve"> December 2010 to 9 February 2011. </w:t>
      </w:r>
      <w:r w:rsidRPr="005A6D89">
        <w:rPr>
          <w:rFonts w:cs="Arial"/>
          <w:color w:val="000000"/>
        </w:rPr>
        <w:t>A total of 1</w:t>
      </w:r>
      <w:r w:rsidR="005A6D89" w:rsidRPr="005A6D89">
        <w:rPr>
          <w:rFonts w:cs="Arial"/>
          <w:color w:val="000000"/>
        </w:rPr>
        <w:t>3</w:t>
      </w:r>
      <w:r w:rsidRPr="005A6D89">
        <w:rPr>
          <w:rFonts w:cs="Arial"/>
          <w:color w:val="000000"/>
        </w:rPr>
        <w:t xml:space="preserve"> submissions</w:t>
      </w:r>
      <w:r>
        <w:rPr>
          <w:rFonts w:cs="Arial"/>
          <w:color w:val="000000"/>
        </w:rPr>
        <w:t xml:space="preserve"> were received. A summary of these is provided in </w:t>
      </w:r>
      <w:r w:rsidRPr="008E247D">
        <w:rPr>
          <w:rFonts w:cs="Arial"/>
          <w:color w:val="000000"/>
        </w:rPr>
        <w:t xml:space="preserve">Attachment </w:t>
      </w:r>
      <w:r w:rsidR="003F08FA" w:rsidRPr="008E247D">
        <w:rPr>
          <w:rFonts w:cs="Arial"/>
          <w:color w:val="000000"/>
        </w:rPr>
        <w:t>3</w:t>
      </w:r>
      <w:r w:rsidRPr="008E247D">
        <w:rPr>
          <w:rFonts w:cs="Arial"/>
          <w:color w:val="000000"/>
        </w:rPr>
        <w:t xml:space="preserve"> to this Report</w:t>
      </w:r>
      <w:r>
        <w:rPr>
          <w:rFonts w:cs="Arial"/>
          <w:color w:val="000000"/>
        </w:rPr>
        <w:t>.</w:t>
      </w:r>
    </w:p>
    <w:p w:rsidR="00D502D3" w:rsidRDefault="00D502D3" w:rsidP="00D502D3">
      <w:pPr>
        <w:rPr>
          <w:rFonts w:cs="Arial"/>
          <w:color w:val="000000"/>
        </w:rPr>
      </w:pPr>
    </w:p>
    <w:p w:rsidR="00D502D3" w:rsidRDefault="00D502D3" w:rsidP="00D502D3">
      <w:pPr>
        <w:autoSpaceDE w:val="0"/>
        <w:autoSpaceDN w:val="0"/>
        <w:adjustRightInd w:val="0"/>
      </w:pPr>
      <w:r w:rsidRPr="008D349E">
        <w:t xml:space="preserve">Overall, many of the </w:t>
      </w:r>
      <w:r>
        <w:t>amendments</w:t>
      </w:r>
      <w:r w:rsidRPr="008D349E">
        <w:t xml:space="preserve"> that FSANZ put forward </w:t>
      </w:r>
      <w:r>
        <w:t>were</w:t>
      </w:r>
      <w:r w:rsidRPr="008D349E">
        <w:t xml:space="preserve"> </w:t>
      </w:r>
      <w:r>
        <w:t xml:space="preserve">supported. </w:t>
      </w:r>
      <w:r w:rsidR="007152DE">
        <w:t xml:space="preserve">Some </w:t>
      </w:r>
      <w:r>
        <w:t xml:space="preserve">submitters did </w:t>
      </w:r>
      <w:r w:rsidRPr="008D349E">
        <w:t>not comment on the merits of all the</w:t>
      </w:r>
      <w:r>
        <w:t xml:space="preserve"> </w:t>
      </w:r>
      <w:r w:rsidRPr="008D349E">
        <w:t>proposed changes</w:t>
      </w:r>
      <w:r>
        <w:t xml:space="preserve"> and restricted their</w:t>
      </w:r>
      <w:r w:rsidRPr="008D349E">
        <w:t xml:space="preserve"> comments only to those issues in which </w:t>
      </w:r>
      <w:r>
        <w:t>they had issues of concern.</w:t>
      </w:r>
      <w:r w:rsidR="00FD2EFD" w:rsidRPr="00FD2EFD">
        <w:rPr>
          <w:rFonts w:cs="Arial"/>
          <w:color w:val="000000"/>
        </w:rPr>
        <w:t xml:space="preserve"> </w:t>
      </w:r>
      <w:r w:rsidR="00FD2EFD">
        <w:rPr>
          <w:rFonts w:cs="Arial"/>
          <w:color w:val="000000"/>
        </w:rPr>
        <w:t>Others noted their support for the proposed amendments except for comments provided on specific issues.</w:t>
      </w:r>
    </w:p>
    <w:p w:rsidR="00650E4D" w:rsidRDefault="00650E4D" w:rsidP="00650E4D">
      <w:pPr>
        <w:rPr>
          <w:rFonts w:cs="Arial"/>
          <w:color w:val="000000"/>
        </w:rPr>
      </w:pPr>
    </w:p>
    <w:p w:rsidR="00742C40" w:rsidRDefault="00742C40" w:rsidP="00650E4D">
      <w:pPr>
        <w:rPr>
          <w:rFonts w:cs="Arial"/>
          <w:color w:val="000000"/>
        </w:rPr>
      </w:pPr>
      <w:r>
        <w:rPr>
          <w:rFonts w:cs="Arial"/>
          <w:color w:val="000000"/>
        </w:rPr>
        <w:br w:type="page"/>
      </w:r>
    </w:p>
    <w:p w:rsidR="00650E4D" w:rsidRDefault="00650E4D" w:rsidP="00650E4D">
      <w:r>
        <w:rPr>
          <w:rFonts w:cs="Arial"/>
          <w:color w:val="000000"/>
        </w:rPr>
        <w:lastRenderedPageBreak/>
        <w:t xml:space="preserve">Two jurisdictional submitters expressed concern that certain amendments proposed in the Assessment Report should have been left for consideration by the legislative Code audit working group. In some instances, a view was expressed that certain issues should be dealt with via an Application or specific proposal. It was also considered that the removal of ‘and/or’ from the Code did not necessarily result in greater clarity. </w:t>
      </w:r>
    </w:p>
    <w:p w:rsidR="003F08FA" w:rsidRDefault="003F08FA" w:rsidP="00D502D3">
      <w:pPr>
        <w:autoSpaceDE w:val="0"/>
        <w:autoSpaceDN w:val="0"/>
        <w:adjustRightInd w:val="0"/>
      </w:pPr>
    </w:p>
    <w:p w:rsidR="003F08FA" w:rsidRDefault="003F08FA" w:rsidP="00D502D3">
      <w:pPr>
        <w:autoSpaceDE w:val="0"/>
        <w:autoSpaceDN w:val="0"/>
        <w:adjustRightInd w:val="0"/>
      </w:pPr>
      <w:r w:rsidRPr="005A6D89">
        <w:t>Specific comments from submitters and FSANZ responses</w:t>
      </w:r>
      <w:r w:rsidR="0010117E">
        <w:t>, including further amendments to the Code,</w:t>
      </w:r>
      <w:r w:rsidRPr="005A6D89">
        <w:t xml:space="preserve"> have been incorporated under the relevant </w:t>
      </w:r>
      <w:r w:rsidRPr="008E247D">
        <w:t xml:space="preserve">issues in section </w:t>
      </w:r>
      <w:r w:rsidR="005A6D89" w:rsidRPr="008E247D">
        <w:t>3 and 4</w:t>
      </w:r>
      <w:r w:rsidRPr="008E247D">
        <w:t xml:space="preserve"> of this</w:t>
      </w:r>
      <w:r w:rsidRPr="005A6D89">
        <w:t xml:space="preserve"> Report</w:t>
      </w:r>
      <w:r w:rsidR="00230FF0" w:rsidRPr="005A6D89">
        <w:t xml:space="preserve"> where </w:t>
      </w:r>
      <w:r w:rsidR="00FE5A5E">
        <w:t>significant</w:t>
      </w:r>
      <w:r w:rsidRPr="005A6D89">
        <w:t>.</w:t>
      </w:r>
      <w:r w:rsidR="00BE24A0">
        <w:t xml:space="preserve"> Minor amendments to the Code made in response to submitter comments are explained Attachment 3.</w:t>
      </w:r>
    </w:p>
    <w:p w:rsidR="00420171" w:rsidRDefault="00420171" w:rsidP="00D502D3">
      <w:pPr>
        <w:autoSpaceDE w:val="0"/>
        <w:autoSpaceDN w:val="0"/>
        <w:adjustRightInd w:val="0"/>
      </w:pPr>
    </w:p>
    <w:p w:rsidR="004E53E0" w:rsidRDefault="004E53E0" w:rsidP="004E53E0">
      <w:pPr>
        <w:rPr>
          <w:rFonts w:cs="Arial"/>
          <w:color w:val="000000"/>
        </w:rPr>
      </w:pPr>
      <w:r>
        <w:rPr>
          <w:rFonts w:cs="Arial"/>
          <w:color w:val="000000"/>
        </w:rPr>
        <w:t>In addition to the comments provided in Attachment 3, some submitters provided useful background information and suggestions for inclusions in other proposals, which will be considered by FSANZ in the future.</w:t>
      </w:r>
      <w:r w:rsidRPr="004E53E0">
        <w:rPr>
          <w:rFonts w:cs="Arial"/>
          <w:color w:val="000000"/>
        </w:rPr>
        <w:t xml:space="preserve"> </w:t>
      </w:r>
    </w:p>
    <w:p w:rsidR="004E53E0" w:rsidRDefault="004E53E0" w:rsidP="004E53E0">
      <w:pPr>
        <w:rPr>
          <w:rFonts w:cs="Arial"/>
          <w:color w:val="000000"/>
        </w:rPr>
      </w:pPr>
    </w:p>
    <w:p w:rsidR="003C4969" w:rsidRPr="00230FF0" w:rsidRDefault="004D617C" w:rsidP="007A44B4">
      <w:pPr>
        <w:pStyle w:val="Heading3"/>
      </w:pPr>
      <w:bookmarkStart w:id="195" w:name="_Toc15456903"/>
      <w:bookmarkStart w:id="196" w:name="_Toc20727764"/>
      <w:bookmarkStart w:id="197" w:name="_Toc29727729"/>
      <w:bookmarkStart w:id="198" w:name="_Toc29883126"/>
      <w:bookmarkStart w:id="199" w:name="_Toc41906813"/>
      <w:bookmarkStart w:id="200" w:name="_Toc41907560"/>
      <w:bookmarkStart w:id="201" w:name="_Toc120358594"/>
      <w:bookmarkStart w:id="202" w:name="_Toc290973092"/>
      <w:r>
        <w:t>9</w:t>
      </w:r>
      <w:r w:rsidR="007A44B4" w:rsidRPr="00230FF0">
        <w:t>.1</w:t>
      </w:r>
      <w:r w:rsidR="003C4969" w:rsidRPr="00230FF0">
        <w:tab/>
        <w:t>World Trade Organization (WTO)</w:t>
      </w:r>
      <w:bookmarkEnd w:id="195"/>
      <w:bookmarkEnd w:id="196"/>
      <w:bookmarkEnd w:id="197"/>
      <w:bookmarkEnd w:id="198"/>
      <w:bookmarkEnd w:id="199"/>
      <w:bookmarkEnd w:id="200"/>
      <w:bookmarkEnd w:id="201"/>
      <w:bookmarkEnd w:id="202"/>
    </w:p>
    <w:p w:rsidR="00230FF0" w:rsidRPr="00230FF0" w:rsidRDefault="00230FF0">
      <w:pPr>
        <w:rPr>
          <w:rFonts w:cs="Arial"/>
          <w:bCs/>
        </w:rPr>
      </w:pPr>
    </w:p>
    <w:p w:rsidR="003C4969" w:rsidRPr="00DC6570" w:rsidRDefault="003C4969">
      <w:pPr>
        <w:rPr>
          <w:rFonts w:cs="Arial"/>
          <w:color w:val="000000"/>
        </w:rPr>
      </w:pPr>
      <w:r w:rsidRPr="00230FF0">
        <w:rPr>
          <w:rFonts w:cs="Arial"/>
        </w:rPr>
        <w:t>As members of the World Trade Organization (WTO), Australia and New Zealand are</w:t>
      </w:r>
      <w:r w:rsidRPr="00DC6570">
        <w:rPr>
          <w:rFonts w:cs="Arial"/>
          <w:color w:val="000000"/>
        </w:rPr>
        <w:t xml:space="preserve"> obligated to notify WTO member nations where proposed mandatory regulatory measures are inconsistent with any existing or imminent international standards and the proposed measure may have a significant effect on trade.</w:t>
      </w:r>
    </w:p>
    <w:p w:rsidR="003C4969" w:rsidRDefault="003C4969">
      <w:pPr>
        <w:rPr>
          <w:rFonts w:cs="Arial"/>
          <w:color w:val="000000"/>
        </w:rPr>
      </w:pPr>
    </w:p>
    <w:p w:rsidR="007152DE" w:rsidRPr="00423539" w:rsidRDefault="007152DE" w:rsidP="007152DE">
      <w:pPr>
        <w:rPr>
          <w:rFonts w:cs="Arial"/>
          <w:szCs w:val="22"/>
        </w:rPr>
      </w:pPr>
      <w:r w:rsidRPr="00423539">
        <w:rPr>
          <w:rFonts w:cs="Arial"/>
        </w:rPr>
        <w:t>The p</w:t>
      </w:r>
      <w:r w:rsidR="001A6955">
        <w:rPr>
          <w:rFonts w:cs="Arial"/>
        </w:rPr>
        <w:t>roposed amendments to the Code are</w:t>
      </w:r>
      <w:r w:rsidRPr="00423539">
        <w:rPr>
          <w:rFonts w:cs="Arial"/>
        </w:rPr>
        <w:t xml:space="preserve"> unlikely to have a significant effect on international trade as </w:t>
      </w:r>
      <w:r w:rsidRPr="00423539">
        <w:rPr>
          <w:rFonts w:cs="Arial"/>
          <w:szCs w:val="22"/>
        </w:rPr>
        <w:t xml:space="preserve">they relate to the correction of errors, clarification of the intent of certain provisions and in some cases amendments to the Code to align with international standards. </w:t>
      </w:r>
    </w:p>
    <w:p w:rsidR="007152DE" w:rsidRPr="00423539" w:rsidRDefault="007152DE" w:rsidP="007152DE">
      <w:pPr>
        <w:rPr>
          <w:rFonts w:cs="Arial"/>
          <w:szCs w:val="22"/>
        </w:rPr>
      </w:pPr>
    </w:p>
    <w:p w:rsidR="00512066" w:rsidRDefault="007152DE">
      <w:pPr>
        <w:widowControl/>
        <w:rPr>
          <w:rFonts w:cs="Arial"/>
          <w:szCs w:val="22"/>
        </w:rPr>
      </w:pPr>
      <w:r w:rsidRPr="00423539">
        <w:rPr>
          <w:rFonts w:cs="Arial"/>
          <w:szCs w:val="22"/>
        </w:rPr>
        <w:t xml:space="preserve">On this basis, a notification </w:t>
      </w:r>
      <w:r w:rsidR="001A6955">
        <w:rPr>
          <w:rFonts w:cs="Arial"/>
          <w:szCs w:val="22"/>
        </w:rPr>
        <w:t xml:space="preserve">was </w:t>
      </w:r>
      <w:r>
        <w:rPr>
          <w:rFonts w:cs="Arial"/>
          <w:szCs w:val="22"/>
        </w:rPr>
        <w:t>not made</w:t>
      </w:r>
      <w:r w:rsidRPr="00423539">
        <w:rPr>
          <w:rFonts w:cs="Arial"/>
          <w:szCs w:val="22"/>
        </w:rPr>
        <w:t xml:space="preserve"> under either the WTO Technical Barriers to Trade (TBT) or Sanitary and Phytosanitary Measures (SPS) Agreement</w:t>
      </w:r>
      <w:r>
        <w:rPr>
          <w:rFonts w:cs="Arial"/>
          <w:szCs w:val="22"/>
        </w:rPr>
        <w:t>s</w:t>
      </w:r>
      <w:r w:rsidRPr="00423539">
        <w:rPr>
          <w:rFonts w:cs="Arial"/>
          <w:szCs w:val="22"/>
        </w:rPr>
        <w:t>.</w:t>
      </w:r>
    </w:p>
    <w:p w:rsidR="007152DE" w:rsidRPr="00DC6570" w:rsidRDefault="007152DE">
      <w:pPr>
        <w:rPr>
          <w:rFonts w:cs="Arial"/>
          <w:color w:val="000000"/>
        </w:rPr>
      </w:pPr>
    </w:p>
    <w:p w:rsidR="005F7342" w:rsidRPr="00DC6570" w:rsidRDefault="005F7342" w:rsidP="007A44B4">
      <w:pPr>
        <w:pStyle w:val="Heading1"/>
      </w:pPr>
      <w:bookmarkStart w:id="203" w:name="_Toc290973093"/>
      <w:r w:rsidRPr="00DC6570">
        <w:t>Conclusion</w:t>
      </w:r>
      <w:bookmarkEnd w:id="203"/>
    </w:p>
    <w:p w:rsidR="005F7342" w:rsidRPr="008C3FF3" w:rsidRDefault="005F7342" w:rsidP="005F7342">
      <w:pPr>
        <w:rPr>
          <w:rFonts w:cs="Arial"/>
        </w:rPr>
      </w:pPr>
    </w:p>
    <w:p w:rsidR="005F7342" w:rsidRPr="008C3FF3" w:rsidRDefault="004D617C" w:rsidP="006A48A7">
      <w:pPr>
        <w:pStyle w:val="Heading2"/>
      </w:pPr>
      <w:bookmarkStart w:id="204" w:name="_Toc290973094"/>
      <w:r>
        <w:t>10</w:t>
      </w:r>
      <w:r w:rsidR="005F7342" w:rsidRPr="008C3FF3">
        <w:t>.</w:t>
      </w:r>
      <w:r w:rsidR="005F7342" w:rsidRPr="008C3FF3">
        <w:tab/>
        <w:t xml:space="preserve">Conclusion and </w:t>
      </w:r>
      <w:r w:rsidR="00EC30E1" w:rsidRPr="008C3FF3">
        <w:rPr>
          <w:bCs w:val="0"/>
        </w:rPr>
        <w:t>Decision</w:t>
      </w:r>
      <w:bookmarkEnd w:id="204"/>
      <w:r w:rsidR="00EC30E1" w:rsidRPr="008C3FF3">
        <w:rPr>
          <w:bCs w:val="0"/>
        </w:rPr>
        <w:t xml:space="preserve"> </w:t>
      </w:r>
    </w:p>
    <w:p w:rsidR="008C3FF3" w:rsidRDefault="008C3FF3" w:rsidP="008C3FF3">
      <w:pPr>
        <w:rPr>
          <w:rFonts w:cs="Arial"/>
          <w:szCs w:val="22"/>
        </w:rPr>
      </w:pPr>
    </w:p>
    <w:p w:rsidR="008C3FF3" w:rsidRDefault="008C3FF3" w:rsidP="008C3FF3">
      <w:pPr>
        <w:rPr>
          <w:rFonts w:cs="Arial"/>
          <w:szCs w:val="22"/>
        </w:rPr>
      </w:pPr>
      <w:r w:rsidRPr="00423539">
        <w:rPr>
          <w:rFonts w:cs="Arial"/>
          <w:szCs w:val="22"/>
        </w:rPr>
        <w:t xml:space="preserve">The </w:t>
      </w:r>
      <w:r>
        <w:rPr>
          <w:rFonts w:cs="Arial"/>
          <w:szCs w:val="22"/>
        </w:rPr>
        <w:t>recommended</w:t>
      </w:r>
      <w:r w:rsidRPr="00423539">
        <w:rPr>
          <w:rFonts w:cs="Arial"/>
          <w:szCs w:val="22"/>
        </w:rPr>
        <w:t xml:space="preserve"> draft variations in this Proposal have been prepared to</w:t>
      </w:r>
      <w:r w:rsidRPr="00287668">
        <w:rPr>
          <w:rFonts w:cs="Arial"/>
          <w:szCs w:val="22"/>
          <w:lang w:val="en-AU"/>
        </w:rPr>
        <w:t xml:space="preserve"> </w:t>
      </w:r>
      <w:r w:rsidRPr="00423539">
        <w:rPr>
          <w:rFonts w:cs="Arial"/>
          <w:szCs w:val="22"/>
          <w:lang w:val="en-AU"/>
        </w:rPr>
        <w:t xml:space="preserve">address </w:t>
      </w:r>
      <w:r w:rsidRPr="00423539">
        <w:rPr>
          <w:rFonts w:cs="Arial"/>
          <w:szCs w:val="22"/>
        </w:rPr>
        <w:t>inconsistencies, misspellings, grammatical and typographical errors, omissions and items requi</w:t>
      </w:r>
      <w:r>
        <w:rPr>
          <w:rFonts w:cs="Arial"/>
          <w:szCs w:val="22"/>
        </w:rPr>
        <w:t>ring updating or clarification.</w:t>
      </w:r>
      <w:r w:rsidR="00DB5969" w:rsidRPr="00DB5969">
        <w:rPr>
          <w:rFonts w:cs="Arial"/>
          <w:szCs w:val="22"/>
        </w:rPr>
        <w:t xml:space="preserve"> </w:t>
      </w:r>
      <w:r w:rsidR="00DB5969">
        <w:rPr>
          <w:rFonts w:cs="Arial"/>
          <w:szCs w:val="22"/>
        </w:rPr>
        <w:t>This Proposal also includes minor changes to the Code that do not warrant full assessment under the FSANZ application or proposal process, for example, permission of new food additives where there are no safety issues.</w:t>
      </w:r>
    </w:p>
    <w:p w:rsidR="008C3FF3" w:rsidRDefault="008C3FF3" w:rsidP="008C3FF3">
      <w:pPr>
        <w:rPr>
          <w:rFonts w:cs="Arial"/>
          <w:szCs w:val="22"/>
        </w:rPr>
      </w:pPr>
    </w:p>
    <w:p w:rsidR="008C3FF3" w:rsidRPr="000D576E" w:rsidRDefault="008C3FF3" w:rsidP="008C3FF3">
      <w:pPr>
        <w:rPr>
          <w:rFonts w:cs="Arial"/>
          <w:szCs w:val="22"/>
        </w:rPr>
      </w:pPr>
      <w:r>
        <w:rPr>
          <w:rFonts w:cs="Arial"/>
          <w:szCs w:val="22"/>
        </w:rPr>
        <w:t>In assessing this Proposal</w:t>
      </w:r>
      <w:r w:rsidRPr="000D576E">
        <w:rPr>
          <w:rFonts w:cs="Arial"/>
          <w:szCs w:val="22"/>
        </w:rPr>
        <w:t xml:space="preserve">, FSANZ has had regard to the following matters as prescribed in section 59 of the </w:t>
      </w:r>
      <w:r w:rsidRPr="000D576E">
        <w:rPr>
          <w:rFonts w:cs="Arial"/>
          <w:i/>
          <w:szCs w:val="22"/>
        </w:rPr>
        <w:t>Food Standards Australia New Zealand Act 1991</w:t>
      </w:r>
      <w:r w:rsidRPr="000D576E">
        <w:rPr>
          <w:rFonts w:cs="Arial"/>
          <w:szCs w:val="22"/>
        </w:rPr>
        <w:t xml:space="preserve"> (FSANZ Act):</w:t>
      </w:r>
    </w:p>
    <w:p w:rsidR="008C3FF3" w:rsidRPr="000D576E" w:rsidRDefault="008C3FF3" w:rsidP="008C3FF3">
      <w:pPr>
        <w:rPr>
          <w:rFonts w:cs="Arial"/>
          <w:szCs w:val="22"/>
        </w:rPr>
      </w:pPr>
    </w:p>
    <w:p w:rsidR="008C3FF3" w:rsidRDefault="008C3FF3" w:rsidP="00E64CEF">
      <w:pPr>
        <w:pStyle w:val="Bullet"/>
        <w:numPr>
          <w:ilvl w:val="0"/>
          <w:numId w:val="4"/>
        </w:numPr>
        <w:tabs>
          <w:tab w:val="clear" w:pos="577"/>
        </w:tabs>
        <w:ind w:left="567" w:hanging="567"/>
      </w:pPr>
      <w:r w:rsidRPr="000D576E">
        <w:t xml:space="preserve">whether costs that would arise from a food regulatory measure developed or varied as a result of the Proposal outweigh the direct and indirect benefits to the community, Government or industry </w:t>
      </w:r>
    </w:p>
    <w:p w:rsidR="008C3FF3" w:rsidRPr="00CC48AD" w:rsidRDefault="008C3FF3" w:rsidP="008C3FF3"/>
    <w:p w:rsidR="008C3FF3" w:rsidRPr="00CC48AD" w:rsidRDefault="008C3FF3" w:rsidP="00E64CEF">
      <w:pPr>
        <w:pStyle w:val="Bullet"/>
        <w:numPr>
          <w:ilvl w:val="0"/>
          <w:numId w:val="4"/>
        </w:numPr>
        <w:tabs>
          <w:tab w:val="clear" w:pos="577"/>
        </w:tabs>
        <w:ind w:left="567" w:hanging="567"/>
        <w:rPr>
          <w:rFonts w:cs="Arial"/>
          <w:szCs w:val="22"/>
        </w:rPr>
      </w:pPr>
      <w:r w:rsidRPr="000D576E">
        <w:t xml:space="preserve">there are no other measures that would be more cost-effective </w:t>
      </w:r>
      <w:r>
        <w:t>that could achieve the same end</w:t>
      </w:r>
    </w:p>
    <w:p w:rsidR="008C3FF3" w:rsidRPr="00494939" w:rsidRDefault="008C3FF3" w:rsidP="008C3FF3"/>
    <w:p w:rsidR="008C3FF3" w:rsidRDefault="008C3FF3" w:rsidP="00E64CEF">
      <w:pPr>
        <w:pStyle w:val="Bullet"/>
        <w:numPr>
          <w:ilvl w:val="0"/>
          <w:numId w:val="4"/>
        </w:numPr>
        <w:tabs>
          <w:tab w:val="clear" w:pos="577"/>
        </w:tabs>
        <w:ind w:left="567" w:hanging="567"/>
      </w:pPr>
      <w:r w:rsidRPr="000D576E">
        <w:t>any relevant New Zealand standards</w:t>
      </w:r>
    </w:p>
    <w:p w:rsidR="008C3FF3" w:rsidRDefault="008C3FF3" w:rsidP="008C3FF3"/>
    <w:p w:rsidR="008C3FF3" w:rsidRPr="002C4666" w:rsidRDefault="008C3FF3" w:rsidP="00FB34CC">
      <w:pPr>
        <w:pStyle w:val="ListParagraph"/>
        <w:numPr>
          <w:ilvl w:val="0"/>
          <w:numId w:val="13"/>
        </w:numPr>
        <w:ind w:left="567" w:hanging="567"/>
        <w:rPr>
          <w:rFonts w:cs="Arial"/>
        </w:rPr>
      </w:pPr>
      <w:r>
        <w:t xml:space="preserve">any other relevant </w:t>
      </w:r>
      <w:r w:rsidRPr="008C3FF3">
        <w:t>matters.</w:t>
      </w:r>
    </w:p>
    <w:p w:rsidR="00742C40" w:rsidRDefault="00742C40" w:rsidP="00780792">
      <w:pPr>
        <w:pStyle w:val="FSDecisionHeading"/>
      </w:pPr>
      <w:r>
        <w:br w:type="page"/>
      </w:r>
    </w:p>
    <w:p w:rsidR="00780792" w:rsidRDefault="00780792" w:rsidP="00780792">
      <w:pPr>
        <w:pStyle w:val="FSDecisionHeading"/>
      </w:pPr>
      <w:r>
        <w:lastRenderedPageBreak/>
        <w:t xml:space="preserve">Preferred Decision </w:t>
      </w:r>
    </w:p>
    <w:p w:rsidR="00780792" w:rsidRDefault="00780792" w:rsidP="00780792">
      <w:pPr>
        <w:pStyle w:val="FSDecisiontext"/>
      </w:pPr>
    </w:p>
    <w:p w:rsidR="008C3FF3" w:rsidRPr="00423539" w:rsidRDefault="008C3FF3" w:rsidP="008C3FF3">
      <w:pPr>
        <w:pStyle w:val="FSDecisiontext"/>
        <w:rPr>
          <w:rFonts w:cs="Arial"/>
        </w:rPr>
      </w:pPr>
      <w:r>
        <w:rPr>
          <w:rFonts w:cs="Arial"/>
        </w:rPr>
        <w:t xml:space="preserve">To approve the draft variations to various Standards to </w:t>
      </w:r>
      <w:r w:rsidRPr="00423539">
        <w:rPr>
          <w:rFonts w:cs="Arial"/>
        </w:rPr>
        <w:t xml:space="preserve">maintain the </w:t>
      </w:r>
      <w:r>
        <w:rPr>
          <w:rFonts w:cs="Arial"/>
        </w:rPr>
        <w:t xml:space="preserve">currency, </w:t>
      </w:r>
      <w:r w:rsidRPr="00423539">
        <w:rPr>
          <w:rFonts w:cs="Arial"/>
        </w:rPr>
        <w:t>a</w:t>
      </w:r>
      <w:r w:rsidR="0025457F">
        <w:rPr>
          <w:rFonts w:cs="Arial"/>
        </w:rPr>
        <w:t>ccuracy and clarity of the Code, including minor changes to the Code identified through the recent legislative audit, and to approve the use of two new food additives.</w:t>
      </w:r>
    </w:p>
    <w:p w:rsidR="00780792" w:rsidRDefault="00780792" w:rsidP="00780792"/>
    <w:p w:rsidR="00780792" w:rsidRPr="00D51A95" w:rsidRDefault="004D617C" w:rsidP="00780792">
      <w:pPr>
        <w:pStyle w:val="Heading3"/>
      </w:pPr>
      <w:bookmarkStart w:id="205" w:name="_Toc290973095"/>
      <w:r>
        <w:t>10</w:t>
      </w:r>
      <w:r w:rsidR="00780792">
        <w:t>.1</w:t>
      </w:r>
      <w:r w:rsidR="00780792">
        <w:tab/>
        <w:t>Reasons for</w:t>
      </w:r>
      <w:r w:rsidR="00780792" w:rsidRPr="00D51A95">
        <w:t xml:space="preserve"> D</w:t>
      </w:r>
      <w:r w:rsidR="00780792">
        <w:t>ecision</w:t>
      </w:r>
      <w:bookmarkEnd w:id="205"/>
    </w:p>
    <w:p w:rsidR="00780792" w:rsidRDefault="00780792" w:rsidP="00780792"/>
    <w:p w:rsidR="008C3FF3" w:rsidRPr="0015382B" w:rsidRDefault="008C3FF3" w:rsidP="008C3FF3">
      <w:pPr>
        <w:rPr>
          <w:rFonts w:cs="Arial"/>
        </w:rPr>
      </w:pPr>
      <w:r w:rsidRPr="0015382B">
        <w:rPr>
          <w:rFonts w:cs="Arial"/>
        </w:rPr>
        <w:t xml:space="preserve">The </w:t>
      </w:r>
      <w:r>
        <w:rPr>
          <w:rFonts w:cs="Arial"/>
        </w:rPr>
        <w:t>recommended</w:t>
      </w:r>
      <w:r w:rsidRPr="0015382B">
        <w:rPr>
          <w:rFonts w:cs="Arial"/>
        </w:rPr>
        <w:t xml:space="preserve"> amendments:</w:t>
      </w:r>
    </w:p>
    <w:p w:rsidR="008C3FF3" w:rsidRPr="0015382B" w:rsidRDefault="008C3FF3" w:rsidP="008C3FF3">
      <w:pPr>
        <w:rPr>
          <w:szCs w:val="22"/>
          <w:lang w:bidi="ar-SA"/>
        </w:rPr>
      </w:pPr>
    </w:p>
    <w:p w:rsidR="008C3FF3" w:rsidRPr="0015382B" w:rsidRDefault="008C3FF3" w:rsidP="00E64CEF">
      <w:pPr>
        <w:pStyle w:val="Bullet"/>
        <w:numPr>
          <w:ilvl w:val="0"/>
          <w:numId w:val="4"/>
        </w:numPr>
        <w:ind w:left="567" w:hanging="567"/>
        <w:rPr>
          <w:szCs w:val="22"/>
        </w:rPr>
      </w:pPr>
      <w:r w:rsidRPr="0015382B">
        <w:rPr>
          <w:szCs w:val="22"/>
        </w:rPr>
        <w:t xml:space="preserve">do not raise any public health or safety concerns </w:t>
      </w:r>
    </w:p>
    <w:p w:rsidR="008C3FF3" w:rsidRPr="0015382B" w:rsidRDefault="008C3FF3" w:rsidP="008C3FF3">
      <w:pPr>
        <w:widowControl/>
      </w:pPr>
    </w:p>
    <w:p w:rsidR="008C3FF3" w:rsidRPr="0015382B" w:rsidRDefault="008C3FF3" w:rsidP="00E64CEF">
      <w:pPr>
        <w:pStyle w:val="Bullet"/>
        <w:numPr>
          <w:ilvl w:val="0"/>
          <w:numId w:val="4"/>
        </w:numPr>
        <w:ind w:left="567" w:hanging="567"/>
        <w:rPr>
          <w:szCs w:val="22"/>
        </w:rPr>
      </w:pPr>
      <w:r w:rsidRPr="0015382B">
        <w:rPr>
          <w:szCs w:val="22"/>
        </w:rPr>
        <w:t>will ensure that the Code remains current and that errors and inconsistencies are addressed</w:t>
      </w:r>
    </w:p>
    <w:p w:rsidR="008C3FF3" w:rsidRPr="0015382B" w:rsidRDefault="008C3FF3" w:rsidP="008C3FF3"/>
    <w:p w:rsidR="008C3FF3" w:rsidRPr="0015382B" w:rsidRDefault="008C3FF3" w:rsidP="00E64CEF">
      <w:pPr>
        <w:pStyle w:val="Bullet"/>
        <w:numPr>
          <w:ilvl w:val="0"/>
          <w:numId w:val="4"/>
        </w:numPr>
        <w:ind w:left="567" w:hanging="567"/>
        <w:rPr>
          <w:szCs w:val="22"/>
        </w:rPr>
      </w:pPr>
      <w:r w:rsidRPr="0015382B">
        <w:rPr>
          <w:szCs w:val="22"/>
        </w:rPr>
        <w:t>are expected to result in a net benefit for industry, government and the community in general.</w:t>
      </w:r>
    </w:p>
    <w:p w:rsidR="00780792" w:rsidRDefault="00780792" w:rsidP="00780792"/>
    <w:p w:rsidR="00C92E07" w:rsidRDefault="00687BA1" w:rsidP="00687BA1">
      <w:pPr>
        <w:pStyle w:val="Heading2"/>
      </w:pPr>
      <w:bookmarkStart w:id="206" w:name="_Toc290973096"/>
      <w:r>
        <w:t>1</w:t>
      </w:r>
      <w:r w:rsidR="004D617C">
        <w:t>1</w:t>
      </w:r>
      <w:r>
        <w:t>.</w:t>
      </w:r>
      <w:r w:rsidR="00C92E07">
        <w:tab/>
        <w:t>Transitional Arrangements</w:t>
      </w:r>
      <w:bookmarkEnd w:id="206"/>
    </w:p>
    <w:p w:rsidR="006D3CB4" w:rsidRDefault="006D3CB4" w:rsidP="006D3CB4">
      <w:pPr>
        <w:pStyle w:val="Header"/>
        <w:rPr>
          <w:rFonts w:cs="Arial"/>
        </w:rPr>
      </w:pPr>
    </w:p>
    <w:p w:rsidR="006D3CB4" w:rsidRDefault="00512066" w:rsidP="006D3CB4">
      <w:pPr>
        <w:rPr>
          <w:rFonts w:cs="Arial"/>
          <w:szCs w:val="22"/>
        </w:rPr>
      </w:pPr>
      <w:r>
        <w:rPr>
          <w:rFonts w:cs="Arial"/>
          <w:szCs w:val="22"/>
        </w:rPr>
        <w:t>T</w:t>
      </w:r>
      <w:r w:rsidR="006D3CB4" w:rsidRPr="00423539">
        <w:rPr>
          <w:rFonts w:cs="Arial"/>
          <w:szCs w:val="22"/>
        </w:rPr>
        <w:t xml:space="preserve">he variations in this Proposal </w:t>
      </w:r>
      <w:r>
        <w:rPr>
          <w:rFonts w:cs="Arial"/>
          <w:szCs w:val="22"/>
        </w:rPr>
        <w:t xml:space="preserve">will </w:t>
      </w:r>
      <w:r w:rsidR="006D3CB4" w:rsidRPr="00423539">
        <w:rPr>
          <w:rFonts w:cs="Arial"/>
          <w:szCs w:val="22"/>
        </w:rPr>
        <w:t>take effect on gazettal.</w:t>
      </w:r>
      <w:r w:rsidR="006D3CB4">
        <w:rPr>
          <w:rFonts w:cs="Arial"/>
          <w:szCs w:val="22"/>
        </w:rPr>
        <w:t xml:space="preserve"> However a food product would be taken to comply with the variations for a period of 12 months following gazettal, if the food product complied with the Code before the variations commenced (under subclause 1(2) of Standard 1.1.1). </w:t>
      </w:r>
    </w:p>
    <w:p w:rsidR="007602AA" w:rsidRDefault="007602AA">
      <w:pPr>
        <w:pStyle w:val="Header"/>
        <w:rPr>
          <w:rFonts w:cs="Arial"/>
        </w:rPr>
      </w:pPr>
    </w:p>
    <w:p w:rsidR="00512066" w:rsidRDefault="003C4969">
      <w:pPr>
        <w:widowControl/>
        <w:rPr>
          <w:rFonts w:ascii="Tahoma" w:hAnsi="Tahoma" w:cs="Tahoma"/>
          <w:b/>
          <w:bCs/>
          <w:sz w:val="28"/>
          <w:u w:val="single"/>
        </w:rPr>
      </w:pPr>
      <w:bookmarkStart w:id="207" w:name="_Toc11735643"/>
      <w:bookmarkStart w:id="208" w:name="_Toc29883130"/>
      <w:bookmarkStart w:id="209" w:name="_Toc41906817"/>
      <w:bookmarkStart w:id="210" w:name="_Toc41907564"/>
      <w:bookmarkStart w:id="211" w:name="_Toc43112360"/>
      <w:r w:rsidRPr="007602AA">
        <w:rPr>
          <w:rFonts w:ascii="Tahoma" w:hAnsi="Tahoma" w:cs="Tahoma"/>
          <w:b/>
          <w:bCs/>
          <w:sz w:val="28"/>
          <w:u w:val="single"/>
        </w:rPr>
        <w:t>ATTACHMENTS</w:t>
      </w:r>
      <w:bookmarkEnd w:id="207"/>
      <w:bookmarkEnd w:id="208"/>
      <w:bookmarkEnd w:id="209"/>
      <w:bookmarkEnd w:id="210"/>
      <w:bookmarkEnd w:id="211"/>
    </w:p>
    <w:p w:rsidR="003C4969" w:rsidRPr="00DC6570" w:rsidRDefault="003C4969">
      <w:pPr>
        <w:rPr>
          <w:rFonts w:cs="Arial"/>
        </w:rPr>
      </w:pPr>
    </w:p>
    <w:p w:rsidR="003C4969" w:rsidRPr="008E247D" w:rsidRDefault="003C4969" w:rsidP="006A48A7">
      <w:pPr>
        <w:ind w:left="567" w:hanging="567"/>
      </w:pPr>
      <w:r w:rsidRPr="008E247D">
        <w:t>1</w:t>
      </w:r>
      <w:r w:rsidR="0025457F">
        <w:t>A</w:t>
      </w:r>
      <w:r w:rsidRPr="008E247D">
        <w:t>.</w:t>
      </w:r>
      <w:r w:rsidRPr="008E247D">
        <w:tab/>
        <w:t>Draft variation</w:t>
      </w:r>
      <w:r w:rsidR="007E79F7" w:rsidRPr="008E247D">
        <w:t>s</w:t>
      </w:r>
      <w:r w:rsidRPr="008E247D">
        <w:t xml:space="preserve"> to the </w:t>
      </w:r>
      <w:r w:rsidRPr="008E247D">
        <w:rPr>
          <w:i/>
        </w:rPr>
        <w:t>Australia New Zealand Food Standards Code</w:t>
      </w:r>
      <w:r w:rsidRPr="008E247D">
        <w:t xml:space="preserve"> </w:t>
      </w:r>
    </w:p>
    <w:p w:rsidR="008E247D" w:rsidRPr="008E247D" w:rsidRDefault="0025457F" w:rsidP="006A48A7">
      <w:pPr>
        <w:ind w:left="567" w:hanging="567"/>
      </w:pPr>
      <w:r>
        <w:t>1B</w:t>
      </w:r>
      <w:r w:rsidR="008E247D" w:rsidRPr="008E247D">
        <w:t xml:space="preserve">. </w:t>
      </w:r>
      <w:r w:rsidR="008E247D" w:rsidRPr="008E247D">
        <w:tab/>
      </w:r>
      <w:r w:rsidR="00EB3E45" w:rsidRPr="008E247D">
        <w:rPr>
          <w:rFonts w:cs="Arial"/>
        </w:rPr>
        <w:t xml:space="preserve">Draft </w:t>
      </w:r>
      <w:r w:rsidR="00EB3E45" w:rsidRPr="008E247D">
        <w:t xml:space="preserve">variations to the </w:t>
      </w:r>
      <w:r w:rsidR="00EB3E45" w:rsidRPr="008E247D">
        <w:rPr>
          <w:i/>
        </w:rPr>
        <w:t xml:space="preserve">Australia New Zealand Food Standards Code </w:t>
      </w:r>
      <w:r w:rsidR="00EB3E45" w:rsidRPr="008E247D">
        <w:t xml:space="preserve">proposed in the Assessment Report </w:t>
      </w:r>
    </w:p>
    <w:p w:rsidR="008E247D" w:rsidRPr="008E247D" w:rsidRDefault="003C4969" w:rsidP="00BF7FF0">
      <w:pPr>
        <w:ind w:left="567" w:hanging="567"/>
      </w:pPr>
      <w:r w:rsidRPr="008E247D">
        <w:rPr>
          <w:rFonts w:cs="Arial"/>
        </w:rPr>
        <w:t>2</w:t>
      </w:r>
      <w:r w:rsidR="0025457F">
        <w:rPr>
          <w:rFonts w:cs="Arial"/>
        </w:rPr>
        <w:t>A</w:t>
      </w:r>
      <w:r w:rsidRPr="008E247D">
        <w:rPr>
          <w:rFonts w:cs="Arial"/>
        </w:rPr>
        <w:t>.</w:t>
      </w:r>
      <w:r w:rsidRPr="008E247D">
        <w:rPr>
          <w:rFonts w:cs="Arial"/>
        </w:rPr>
        <w:tab/>
      </w:r>
      <w:r w:rsidR="00EB3E45" w:rsidRPr="008E247D">
        <w:t xml:space="preserve">Draft variations to the Editorial Notes in the </w:t>
      </w:r>
      <w:r w:rsidR="00EB3E45" w:rsidRPr="008E247D">
        <w:rPr>
          <w:i/>
        </w:rPr>
        <w:t>Australia New Zealand Food Standards Code</w:t>
      </w:r>
      <w:r w:rsidR="00EB3E45" w:rsidRPr="008E247D" w:rsidDel="00EB3E45">
        <w:rPr>
          <w:rFonts w:cs="Arial"/>
        </w:rPr>
        <w:t xml:space="preserve"> </w:t>
      </w:r>
      <w:r w:rsidR="008E247D" w:rsidRPr="008E247D">
        <w:t xml:space="preserve"> </w:t>
      </w:r>
    </w:p>
    <w:p w:rsidR="008E247D" w:rsidRPr="008E247D" w:rsidRDefault="0025457F" w:rsidP="00BF7FF0">
      <w:pPr>
        <w:ind w:left="567" w:hanging="567"/>
        <w:rPr>
          <w:rFonts w:cs="Arial"/>
        </w:rPr>
      </w:pPr>
      <w:r>
        <w:t>2B</w:t>
      </w:r>
      <w:r w:rsidR="008E247D" w:rsidRPr="008E247D">
        <w:t xml:space="preserve">. </w:t>
      </w:r>
      <w:r w:rsidR="008E247D" w:rsidRPr="008E247D">
        <w:tab/>
        <w:t xml:space="preserve">Draft variations to the Editorial Notes in the </w:t>
      </w:r>
      <w:r w:rsidR="008E247D" w:rsidRPr="008E247D">
        <w:rPr>
          <w:i/>
        </w:rPr>
        <w:t xml:space="preserve">Australia New Zealand Food Standards Code </w:t>
      </w:r>
      <w:r w:rsidR="008E247D" w:rsidRPr="008E247D">
        <w:t xml:space="preserve">proposed in the Assessment Report </w:t>
      </w:r>
    </w:p>
    <w:p w:rsidR="00BF7FF0" w:rsidRPr="008E247D" w:rsidRDefault="008E247D" w:rsidP="00BF7FF0">
      <w:pPr>
        <w:ind w:left="567" w:hanging="567"/>
        <w:rPr>
          <w:rFonts w:cs="Arial"/>
        </w:rPr>
      </w:pPr>
      <w:r w:rsidRPr="008E247D">
        <w:rPr>
          <w:rFonts w:cs="Arial"/>
        </w:rPr>
        <w:t>3.</w:t>
      </w:r>
      <w:r w:rsidRPr="008E247D">
        <w:rPr>
          <w:rFonts w:cs="Arial"/>
        </w:rPr>
        <w:tab/>
      </w:r>
      <w:r w:rsidR="00BF7FF0" w:rsidRPr="008E247D">
        <w:rPr>
          <w:rFonts w:cs="Arial"/>
        </w:rPr>
        <w:t xml:space="preserve">Summary of issues raised in public submissions </w:t>
      </w:r>
    </w:p>
    <w:p w:rsidR="003C4969" w:rsidRPr="00DC6570" w:rsidRDefault="003C4969" w:rsidP="00347E88">
      <w:pPr>
        <w:pStyle w:val="Heading2"/>
        <w:jc w:val="right"/>
      </w:pPr>
      <w:r w:rsidRPr="00DC2129">
        <w:br w:type="page"/>
      </w:r>
      <w:bookmarkStart w:id="212" w:name="_Toc29883131"/>
      <w:bookmarkStart w:id="213" w:name="_Toc41906818"/>
      <w:bookmarkStart w:id="214" w:name="_Toc41907565"/>
      <w:bookmarkStart w:id="215" w:name="_Toc120358596"/>
      <w:bookmarkStart w:id="216" w:name="_Toc290973097"/>
      <w:bookmarkStart w:id="217" w:name="_Toc11735644"/>
      <w:r w:rsidRPr="00DC6570">
        <w:lastRenderedPageBreak/>
        <w:t xml:space="preserve">Attachment </w:t>
      </w:r>
      <w:bookmarkEnd w:id="212"/>
      <w:bookmarkEnd w:id="213"/>
      <w:bookmarkEnd w:id="214"/>
      <w:r w:rsidRPr="00DC6570">
        <w:t>1</w:t>
      </w:r>
      <w:bookmarkEnd w:id="215"/>
      <w:r w:rsidR="0025457F">
        <w:t>A</w:t>
      </w:r>
      <w:bookmarkEnd w:id="216"/>
    </w:p>
    <w:p w:rsidR="003C4969" w:rsidRPr="00417EE3" w:rsidRDefault="003C4969">
      <w:pPr>
        <w:pStyle w:val="Heading2"/>
        <w:rPr>
          <w:rFonts w:cs="Arial"/>
          <w:sz w:val="22"/>
          <w:szCs w:val="22"/>
        </w:rPr>
      </w:pPr>
    </w:p>
    <w:p w:rsidR="003C4969" w:rsidRPr="00DC6570" w:rsidRDefault="003C4969" w:rsidP="00DC2129">
      <w:pPr>
        <w:pStyle w:val="Heading2"/>
        <w:rPr>
          <w:rFonts w:cs="Arial"/>
        </w:rPr>
      </w:pPr>
      <w:bookmarkStart w:id="218" w:name="_Toc120358597"/>
      <w:bookmarkStart w:id="219" w:name="_Toc290973098"/>
      <w:bookmarkEnd w:id="217"/>
      <w:r w:rsidRPr="00DC6570">
        <w:rPr>
          <w:rFonts w:cs="Arial"/>
        </w:rPr>
        <w:t>Draft variatio</w:t>
      </w:r>
      <w:r w:rsidRPr="006D3CB4">
        <w:rPr>
          <w:rFonts w:cs="Arial"/>
        </w:rPr>
        <w:t xml:space="preserve">ns </w:t>
      </w:r>
      <w:r w:rsidRPr="00DC6570">
        <w:rPr>
          <w:rFonts w:cs="Arial"/>
        </w:rPr>
        <w:t xml:space="preserve">to the </w:t>
      </w:r>
      <w:r w:rsidRPr="00DC6570">
        <w:rPr>
          <w:rFonts w:cs="Arial"/>
          <w:i/>
          <w:iCs w:val="0"/>
        </w:rPr>
        <w:t>Australia New Zealand Food Standards Code</w:t>
      </w:r>
      <w:bookmarkEnd w:id="218"/>
      <w:bookmarkEnd w:id="219"/>
    </w:p>
    <w:p w:rsidR="00FB34CC" w:rsidRDefault="00FB34CC" w:rsidP="00FB34CC">
      <w:pPr>
        <w:rPr>
          <w:b/>
        </w:rPr>
      </w:pPr>
    </w:p>
    <w:p w:rsidR="003E72FE" w:rsidRDefault="003E72FE" w:rsidP="003E72FE">
      <w:pPr>
        <w:rPr>
          <w:noProof/>
          <w:lang w:val="en-AU" w:eastAsia="en-AU"/>
        </w:rPr>
      </w:pPr>
      <w:r>
        <w:rPr>
          <w:noProof/>
          <w:sz w:val="26"/>
          <w:lang w:val="en-AU" w:eastAsia="en-AU" w:bidi="ar-SA"/>
        </w:rPr>
        <w:drawing>
          <wp:inline distT="0" distB="0" distL="0" distR="0">
            <wp:extent cx="2657475" cy="438150"/>
            <wp:effectExtent l="0" t="0" r="9525" b="0"/>
            <wp:docPr id="3" name="Picture 3" descr="Description: 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3E72FE" w:rsidRDefault="003E72FE" w:rsidP="003E72FE">
      <w:pPr>
        <w:rPr>
          <w:noProof/>
          <w:lang w:val="en-AU" w:eastAsia="en-AU"/>
        </w:rPr>
      </w:pPr>
    </w:p>
    <w:p w:rsidR="003E72FE" w:rsidRDefault="003E72FE" w:rsidP="003E72FE">
      <w:pPr>
        <w:rPr>
          <w:b/>
        </w:rPr>
      </w:pPr>
      <w:r>
        <w:rPr>
          <w:b/>
        </w:rPr>
        <w:t>Food Standards (Proposal P1013 – Code Maintenance IX) Variation</w:t>
      </w:r>
    </w:p>
    <w:p w:rsidR="003E72FE" w:rsidRDefault="003E72FE" w:rsidP="003E72FE">
      <w:pPr>
        <w:pBdr>
          <w:bottom w:val="single" w:sz="4" w:space="1" w:color="auto"/>
        </w:pBdr>
      </w:pPr>
    </w:p>
    <w:p w:rsidR="003E72FE" w:rsidRDefault="003E72FE" w:rsidP="003E72FE"/>
    <w:p w:rsidR="003E72FE" w:rsidRDefault="003E72FE" w:rsidP="003E72FE">
      <w:r>
        <w:t xml:space="preserve">The Board of Food Standards Australia New Zealand gives notice of the making of this variation under section 92 of the </w:t>
      </w:r>
      <w:r>
        <w:rPr>
          <w:i/>
        </w:rPr>
        <w:t>Food Standards Australia New Zealand Act 1991</w:t>
      </w:r>
      <w:r>
        <w:t>.  The Standard commences on the dates specified in clause 3 of this variation.</w:t>
      </w:r>
    </w:p>
    <w:p w:rsidR="003E72FE" w:rsidRDefault="003E72FE" w:rsidP="003E72FE"/>
    <w:p w:rsidR="003E72FE" w:rsidRDefault="003E72FE" w:rsidP="003E72FE">
      <w:r>
        <w:t xml:space="preserve">Dated </w:t>
      </w:r>
      <w:r>
        <w:rPr>
          <w:b/>
        </w:rPr>
        <w:t>27 June 2011</w:t>
      </w:r>
    </w:p>
    <w:p w:rsidR="003E72FE" w:rsidRDefault="003E72FE" w:rsidP="003E72FE"/>
    <w:p w:rsidR="003E72FE" w:rsidRDefault="003E72FE" w:rsidP="003E72FE">
      <w:pPr>
        <w:rPr>
          <w:noProof/>
          <w:lang w:val="en-AU" w:eastAsia="en-AU"/>
        </w:rPr>
      </w:pPr>
      <w:r>
        <w:rPr>
          <w:noProof/>
          <w:lang w:val="en-AU" w:eastAsia="en-AU" w:bidi="ar-SA"/>
        </w:rPr>
        <w:drawing>
          <wp:inline distT="0" distB="0" distL="0" distR="0">
            <wp:extent cx="1343025" cy="790575"/>
            <wp:effectExtent l="0" t="0" r="9525" b="9525"/>
            <wp:docPr id="2" name="Picture 2" descr="Description: H:\cathieh\Cathi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cathieh\Cathiesignatu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3E72FE" w:rsidRDefault="003E72FE" w:rsidP="003E72FE">
      <w:r>
        <w:t>Standards Management Officer</w:t>
      </w:r>
    </w:p>
    <w:p w:rsidR="003E72FE" w:rsidRDefault="003E72FE" w:rsidP="003E72FE">
      <w:r>
        <w:t>Delegate of the Board of Food Standards Australia New Zealand</w:t>
      </w:r>
    </w:p>
    <w:p w:rsidR="003E72FE" w:rsidRDefault="003E72FE" w:rsidP="003E72FE"/>
    <w:p w:rsidR="003E72FE" w:rsidRDefault="003E72FE" w:rsidP="003E72FE"/>
    <w:p w:rsidR="003E72FE" w:rsidRPr="003E72FE" w:rsidRDefault="003E72FE" w:rsidP="003E72FE">
      <w:pPr>
        <w:rPr>
          <w:b/>
          <w:sz w:val="20"/>
          <w:szCs w:val="20"/>
        </w:rPr>
      </w:pPr>
      <w:r>
        <w:rPr>
          <w:color w:val="7030A0"/>
          <w:sz w:val="28"/>
          <w:szCs w:val="28"/>
        </w:rPr>
        <w:br w:type="page"/>
      </w:r>
      <w:r w:rsidRPr="003E72FE">
        <w:rPr>
          <w:b/>
          <w:sz w:val="20"/>
          <w:szCs w:val="20"/>
        </w:rPr>
        <w:lastRenderedPageBreak/>
        <w:t>1</w:t>
      </w:r>
      <w:r w:rsidRPr="003E72FE">
        <w:rPr>
          <w:b/>
          <w:sz w:val="20"/>
          <w:szCs w:val="20"/>
        </w:rPr>
        <w:tab/>
        <w:t>Name</w:t>
      </w:r>
    </w:p>
    <w:p w:rsidR="003E72FE" w:rsidRPr="003E72FE" w:rsidRDefault="003E72FE" w:rsidP="003E72FE">
      <w:pPr>
        <w:pStyle w:val="Clause"/>
      </w:pPr>
    </w:p>
    <w:p w:rsidR="003E72FE" w:rsidRPr="003E72FE" w:rsidRDefault="003E72FE" w:rsidP="003E72FE">
      <w:pPr>
        <w:rPr>
          <w:sz w:val="20"/>
          <w:szCs w:val="20"/>
        </w:rPr>
      </w:pPr>
      <w:r w:rsidRPr="003E72FE">
        <w:rPr>
          <w:sz w:val="20"/>
          <w:szCs w:val="20"/>
        </w:rPr>
        <w:t xml:space="preserve">This instrument is the </w:t>
      </w:r>
      <w:r w:rsidRPr="003E72FE">
        <w:rPr>
          <w:i/>
          <w:sz w:val="20"/>
          <w:szCs w:val="20"/>
        </w:rPr>
        <w:t>Food Standards (Proposal P1013 – Code Maintenance IX) Variation</w:t>
      </w:r>
      <w:r w:rsidRPr="003E72FE">
        <w:rPr>
          <w:sz w:val="20"/>
          <w:szCs w:val="20"/>
        </w:rPr>
        <w:t>.</w:t>
      </w:r>
    </w:p>
    <w:p w:rsidR="003E72FE" w:rsidRPr="003E72FE" w:rsidRDefault="003E72FE" w:rsidP="003E72FE">
      <w:pPr>
        <w:pStyle w:val="Clause"/>
      </w:pPr>
    </w:p>
    <w:p w:rsidR="003E72FE" w:rsidRPr="003E72FE" w:rsidRDefault="003E72FE" w:rsidP="003E72FE">
      <w:pPr>
        <w:pStyle w:val="Clauseheading"/>
      </w:pPr>
      <w:r w:rsidRPr="003E72FE">
        <w:t>2</w:t>
      </w:r>
      <w:r w:rsidRPr="003E72FE">
        <w:tab/>
        <w:t xml:space="preserve">Variation to Standards in the </w:t>
      </w:r>
      <w:r w:rsidRPr="003E72FE">
        <w:rPr>
          <w:i/>
        </w:rPr>
        <w:t>Australia New Zealand Food Standards Code</w:t>
      </w:r>
    </w:p>
    <w:p w:rsidR="003E72FE" w:rsidRPr="003E72FE" w:rsidRDefault="003E72FE" w:rsidP="003E72FE">
      <w:pPr>
        <w:pStyle w:val="Clause"/>
      </w:pPr>
    </w:p>
    <w:p w:rsidR="003E72FE" w:rsidRPr="003E72FE" w:rsidRDefault="003E72FE" w:rsidP="003E72FE">
      <w:pPr>
        <w:pStyle w:val="Clause"/>
      </w:pPr>
      <w:r w:rsidRPr="003E72FE">
        <w:t xml:space="preserve">The Schedule varies the Standards in the </w:t>
      </w:r>
      <w:r w:rsidRPr="003E72FE">
        <w:rPr>
          <w:i/>
        </w:rPr>
        <w:t>Australia New Zealand Food Standards Code</w:t>
      </w:r>
      <w:r w:rsidRPr="003E72FE">
        <w:t>.</w:t>
      </w:r>
    </w:p>
    <w:p w:rsidR="003E72FE" w:rsidRPr="003E72FE" w:rsidRDefault="003E72FE" w:rsidP="003E72FE">
      <w:pPr>
        <w:rPr>
          <w:sz w:val="20"/>
          <w:szCs w:val="20"/>
        </w:rPr>
      </w:pPr>
    </w:p>
    <w:p w:rsidR="003E72FE" w:rsidRPr="003E72FE" w:rsidRDefault="003E72FE" w:rsidP="003E72FE">
      <w:pPr>
        <w:pStyle w:val="Clauseheading"/>
      </w:pPr>
      <w:r w:rsidRPr="003E72FE">
        <w:t>3</w:t>
      </w:r>
      <w:r w:rsidRPr="003E72FE">
        <w:tab/>
        <w:t>Commencement</w:t>
      </w:r>
    </w:p>
    <w:p w:rsidR="003E72FE" w:rsidRPr="003E72FE" w:rsidRDefault="003E72FE" w:rsidP="003E72FE">
      <w:pPr>
        <w:pStyle w:val="Clause"/>
      </w:pPr>
    </w:p>
    <w:p w:rsidR="003E72FE" w:rsidRPr="003E72FE" w:rsidRDefault="003E72FE" w:rsidP="003E72FE">
      <w:pPr>
        <w:pStyle w:val="Clause"/>
      </w:pPr>
      <w:r w:rsidRPr="003E72FE">
        <w:t xml:space="preserve">These variations commence on </w:t>
      </w:r>
      <w:r w:rsidRPr="003E72FE">
        <w:rPr>
          <w:b/>
        </w:rPr>
        <w:t xml:space="preserve">11 July 2011, </w:t>
      </w:r>
      <w:r w:rsidRPr="003E72FE">
        <w:t xml:space="preserve">with the exception of Item [53] which commences on </w:t>
      </w:r>
      <w:r w:rsidRPr="003E72FE">
        <w:rPr>
          <w:b/>
        </w:rPr>
        <w:t>20 May 2012</w:t>
      </w:r>
      <w:r w:rsidRPr="003E72FE">
        <w:t xml:space="preserve"> and Item [54] which commences on </w:t>
      </w:r>
      <w:r w:rsidRPr="003E72FE">
        <w:rPr>
          <w:b/>
        </w:rPr>
        <w:t>26 November 2012</w:t>
      </w:r>
      <w:r w:rsidRPr="003E72FE">
        <w:t>.</w:t>
      </w:r>
    </w:p>
    <w:p w:rsidR="003E72FE" w:rsidRPr="003E72FE" w:rsidRDefault="003E72FE" w:rsidP="003E72FE">
      <w:pPr>
        <w:rPr>
          <w:sz w:val="20"/>
          <w:szCs w:val="20"/>
        </w:rPr>
      </w:pPr>
    </w:p>
    <w:p w:rsidR="003E72FE" w:rsidRPr="003E72FE" w:rsidRDefault="003E72FE" w:rsidP="003E72FE">
      <w:pPr>
        <w:pStyle w:val="ScheduleHeading"/>
      </w:pPr>
      <w:r w:rsidRPr="003E72FE">
        <w:t>SCHEDULE</w:t>
      </w:r>
    </w:p>
    <w:p w:rsidR="003E72FE" w:rsidRPr="003E72FE" w:rsidRDefault="003E72FE" w:rsidP="003E72FE">
      <w:pPr>
        <w:rPr>
          <w:sz w:val="20"/>
          <w:szCs w:val="20"/>
        </w:rPr>
      </w:pPr>
    </w:p>
    <w:p w:rsidR="003E72FE" w:rsidRPr="003E72FE" w:rsidRDefault="003E72FE" w:rsidP="003E72FE">
      <w:pPr>
        <w:pStyle w:val="Clause"/>
        <w:rPr>
          <w:bCs/>
        </w:rPr>
      </w:pPr>
      <w:r w:rsidRPr="003E72FE">
        <w:rPr>
          <w:b/>
          <w:bCs/>
        </w:rPr>
        <w:t>[1]</w:t>
      </w:r>
      <w:r w:rsidRPr="003E72FE">
        <w:rPr>
          <w:b/>
          <w:bCs/>
        </w:rPr>
        <w:tab/>
      </w:r>
      <w:r w:rsidRPr="003E72FE">
        <w:rPr>
          <w:b/>
          <w:bCs/>
          <w:i/>
        </w:rPr>
        <w:t xml:space="preserve">The Australia New Zealand Food Standards Code </w:t>
      </w:r>
      <w:r w:rsidRPr="003E72FE">
        <w:rPr>
          <w:bCs/>
          <w:i/>
        </w:rPr>
        <w:t xml:space="preserve">is varied by omitting </w:t>
      </w:r>
      <w:r w:rsidRPr="003E72FE">
        <w:rPr>
          <w:bCs/>
        </w:rPr>
        <w:t xml:space="preserve">micro-organism </w:t>
      </w:r>
      <w:r w:rsidRPr="003E72FE">
        <w:rPr>
          <w:bCs/>
          <w:i/>
        </w:rPr>
        <w:t xml:space="preserve">wherever appearing in the Standards listed in the </w:t>
      </w:r>
      <w:r w:rsidRPr="003E72FE">
        <w:rPr>
          <w:bCs/>
        </w:rPr>
        <w:t>Table</w:t>
      </w:r>
      <w:r w:rsidRPr="003E72FE">
        <w:rPr>
          <w:bCs/>
          <w:i/>
        </w:rPr>
        <w:t xml:space="preserve"> to this item, substituting </w:t>
      </w:r>
      <w:r w:rsidRPr="003E72FE">
        <w:rPr>
          <w:bCs/>
        </w:rPr>
        <w:t>microorganism –</w:t>
      </w:r>
    </w:p>
    <w:p w:rsidR="003E72FE" w:rsidRPr="003E72FE" w:rsidRDefault="003E72FE" w:rsidP="003E72FE">
      <w:pPr>
        <w:rPr>
          <w:rFonts w:cs="Arial"/>
          <w:i/>
          <w:iCs/>
          <w:sz w:val="20"/>
          <w:szCs w:val="20"/>
        </w:rPr>
      </w:pPr>
    </w:p>
    <w:p w:rsidR="003E72FE" w:rsidRDefault="003E72FE" w:rsidP="003E72FE">
      <w:pPr>
        <w:pStyle w:val="TableHeading"/>
      </w:pPr>
      <w:r>
        <w:t>Table to Item [1]</w:t>
      </w:r>
    </w:p>
    <w:p w:rsidR="003E72FE" w:rsidRPr="003E72FE" w:rsidRDefault="003E72FE" w:rsidP="003E72FE">
      <w:pPr>
        <w:rPr>
          <w:sz w:val="20"/>
          <w:szCs w:val="20"/>
        </w:rPr>
      </w:pPr>
    </w:p>
    <w:tbl>
      <w:tblPr>
        <w:tblW w:w="0" w:type="auto"/>
        <w:tblLook w:val="01E0" w:firstRow="1" w:lastRow="1" w:firstColumn="1" w:lastColumn="1" w:noHBand="0" w:noVBand="0"/>
      </w:tblPr>
      <w:tblGrid>
        <w:gridCol w:w="2376"/>
      </w:tblGrid>
      <w:tr w:rsidR="003E72FE" w:rsidTr="003E72FE">
        <w:tc>
          <w:tcPr>
            <w:tcW w:w="2376" w:type="dxa"/>
            <w:hideMark/>
          </w:tcPr>
          <w:p w:rsidR="003E72FE" w:rsidRDefault="003E72FE">
            <w:pPr>
              <w:pStyle w:val="Table2"/>
              <w:spacing w:line="276" w:lineRule="auto"/>
            </w:pPr>
            <w:r>
              <w:t>Standard 1.6.1</w:t>
            </w:r>
          </w:p>
        </w:tc>
      </w:tr>
      <w:tr w:rsidR="003E72FE" w:rsidTr="003E72FE">
        <w:tc>
          <w:tcPr>
            <w:tcW w:w="2376" w:type="dxa"/>
            <w:hideMark/>
          </w:tcPr>
          <w:p w:rsidR="003E72FE" w:rsidRDefault="003E72FE">
            <w:pPr>
              <w:pStyle w:val="Table2"/>
              <w:spacing w:line="276" w:lineRule="auto"/>
            </w:pPr>
            <w:r>
              <w:t>Standard 2.4.2</w:t>
            </w:r>
          </w:p>
        </w:tc>
      </w:tr>
      <w:tr w:rsidR="003E72FE" w:rsidTr="003E72FE">
        <w:tc>
          <w:tcPr>
            <w:tcW w:w="2376" w:type="dxa"/>
            <w:hideMark/>
          </w:tcPr>
          <w:p w:rsidR="003E72FE" w:rsidRDefault="003E72FE">
            <w:pPr>
              <w:pStyle w:val="Table2"/>
              <w:spacing w:line="276" w:lineRule="auto"/>
            </w:pPr>
            <w:r>
              <w:t>Standard 3.2.2</w:t>
            </w:r>
          </w:p>
        </w:tc>
      </w:tr>
      <w:tr w:rsidR="003E72FE" w:rsidTr="003E72FE">
        <w:tc>
          <w:tcPr>
            <w:tcW w:w="2376" w:type="dxa"/>
            <w:hideMark/>
          </w:tcPr>
          <w:p w:rsidR="003E72FE" w:rsidRDefault="003E72FE">
            <w:pPr>
              <w:pStyle w:val="Table2"/>
              <w:spacing w:line="276" w:lineRule="auto"/>
            </w:pPr>
            <w:r>
              <w:t>Standard 3.2.3</w:t>
            </w:r>
          </w:p>
        </w:tc>
      </w:tr>
      <w:tr w:rsidR="003E72FE" w:rsidTr="003E72FE">
        <w:tc>
          <w:tcPr>
            <w:tcW w:w="2376" w:type="dxa"/>
            <w:hideMark/>
          </w:tcPr>
          <w:p w:rsidR="003E72FE" w:rsidRDefault="003E72FE">
            <w:pPr>
              <w:pStyle w:val="Table2"/>
              <w:spacing w:line="276" w:lineRule="auto"/>
            </w:pPr>
            <w:r>
              <w:t>Standard 4.2.1</w:t>
            </w:r>
          </w:p>
        </w:tc>
      </w:tr>
      <w:tr w:rsidR="003E72FE" w:rsidTr="003E72FE">
        <w:tc>
          <w:tcPr>
            <w:tcW w:w="2376" w:type="dxa"/>
            <w:hideMark/>
          </w:tcPr>
          <w:p w:rsidR="003E72FE" w:rsidRDefault="003E72FE">
            <w:pPr>
              <w:pStyle w:val="Table2"/>
              <w:spacing w:line="276" w:lineRule="auto"/>
            </w:pPr>
            <w:r>
              <w:t>Standard 4.2.3</w:t>
            </w:r>
          </w:p>
        </w:tc>
      </w:tr>
      <w:tr w:rsidR="003E72FE" w:rsidTr="003E72FE">
        <w:tc>
          <w:tcPr>
            <w:tcW w:w="2376" w:type="dxa"/>
            <w:hideMark/>
          </w:tcPr>
          <w:p w:rsidR="003E72FE" w:rsidRDefault="003E72FE">
            <w:pPr>
              <w:pStyle w:val="Table2"/>
              <w:spacing w:line="276" w:lineRule="auto"/>
            </w:pPr>
            <w:r>
              <w:t>Standard 4.2.4</w:t>
            </w:r>
          </w:p>
        </w:tc>
      </w:tr>
      <w:tr w:rsidR="003E72FE" w:rsidTr="003E72FE">
        <w:tc>
          <w:tcPr>
            <w:tcW w:w="2376" w:type="dxa"/>
            <w:hideMark/>
          </w:tcPr>
          <w:p w:rsidR="003E72FE" w:rsidRDefault="003E72FE">
            <w:pPr>
              <w:pStyle w:val="Table2"/>
              <w:spacing w:line="276" w:lineRule="auto"/>
            </w:pPr>
            <w:r>
              <w:t>Standard 4.5.1</w:t>
            </w:r>
          </w:p>
        </w:tc>
      </w:tr>
    </w:tbl>
    <w:p w:rsidR="003E72FE" w:rsidRPr="003E72FE" w:rsidRDefault="003E72FE" w:rsidP="003E72FE">
      <w:pPr>
        <w:rPr>
          <w:sz w:val="20"/>
          <w:szCs w:val="20"/>
        </w:rPr>
      </w:pPr>
    </w:p>
    <w:p w:rsidR="003E72FE" w:rsidRPr="003E72FE" w:rsidRDefault="003E72FE" w:rsidP="003E72FE">
      <w:pPr>
        <w:pStyle w:val="Clause"/>
        <w:ind w:right="-188"/>
        <w:rPr>
          <w:lang w:bidi="ar-SA"/>
        </w:rPr>
      </w:pPr>
      <w:r w:rsidRPr="003E72FE">
        <w:rPr>
          <w:b/>
        </w:rPr>
        <w:t>[2]</w:t>
      </w:r>
      <w:r w:rsidRPr="003E72FE">
        <w:rPr>
          <w:b/>
        </w:rPr>
        <w:tab/>
      </w:r>
      <w:r w:rsidRPr="003E72FE">
        <w:rPr>
          <w:i/>
        </w:rPr>
        <w:t xml:space="preserve">The Editorial notes in the Standards of the Australia New Zealand Food Standards Code listed in </w:t>
      </w:r>
      <w:r w:rsidRPr="003E72FE">
        <w:t xml:space="preserve">Column 1 </w:t>
      </w:r>
      <w:r w:rsidRPr="003E72FE">
        <w:rPr>
          <w:i/>
        </w:rPr>
        <w:t xml:space="preserve">of the </w:t>
      </w:r>
      <w:r w:rsidRPr="003E72FE">
        <w:t xml:space="preserve">Table </w:t>
      </w:r>
      <w:r w:rsidRPr="003E72FE">
        <w:rPr>
          <w:i/>
        </w:rPr>
        <w:t xml:space="preserve">to this item are varied by omitting the Editorial notes listed in Column 2 </w:t>
      </w:r>
      <w:r w:rsidRPr="003E72FE">
        <w:t>–</w:t>
      </w:r>
    </w:p>
    <w:p w:rsidR="003E72FE" w:rsidRPr="003E72FE" w:rsidRDefault="003E72FE" w:rsidP="003E72FE">
      <w:pPr>
        <w:rPr>
          <w:sz w:val="20"/>
          <w:szCs w:val="20"/>
        </w:rPr>
      </w:pPr>
    </w:p>
    <w:p w:rsidR="003E72FE" w:rsidRPr="003E72FE" w:rsidRDefault="003E72FE" w:rsidP="003E72FE">
      <w:pPr>
        <w:pStyle w:val="TableHeading"/>
      </w:pPr>
      <w:r w:rsidRPr="003E72FE">
        <w:t>Table to Item 1</w:t>
      </w:r>
    </w:p>
    <w:p w:rsidR="003E72FE" w:rsidRPr="003E72FE" w:rsidRDefault="003E72FE" w:rsidP="003E72FE">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618"/>
      </w:tblGrid>
      <w:tr w:rsidR="003E72FE" w:rsidTr="003E72FE">
        <w:tc>
          <w:tcPr>
            <w:tcW w:w="4618" w:type="dxa"/>
            <w:tcBorders>
              <w:top w:val="single" w:sz="4" w:space="0" w:color="auto"/>
              <w:left w:val="single" w:sz="4" w:space="0" w:color="auto"/>
              <w:bottom w:val="single" w:sz="4" w:space="0" w:color="auto"/>
              <w:right w:val="single" w:sz="4" w:space="0" w:color="auto"/>
            </w:tcBorders>
            <w:hideMark/>
          </w:tcPr>
          <w:p w:rsidR="003E72FE" w:rsidRDefault="003E72FE">
            <w:pPr>
              <w:pStyle w:val="Table1"/>
              <w:spacing w:line="276" w:lineRule="auto"/>
            </w:pPr>
            <w:r>
              <w:t>Column 1</w:t>
            </w:r>
          </w:p>
          <w:p w:rsidR="003E72FE" w:rsidRDefault="003E72FE">
            <w:pPr>
              <w:pStyle w:val="Table1"/>
              <w:spacing w:line="276" w:lineRule="auto"/>
            </w:pPr>
            <w:r>
              <w:t>Standard</w:t>
            </w:r>
          </w:p>
        </w:tc>
        <w:tc>
          <w:tcPr>
            <w:tcW w:w="4618" w:type="dxa"/>
            <w:tcBorders>
              <w:top w:val="single" w:sz="4" w:space="0" w:color="auto"/>
              <w:left w:val="single" w:sz="4" w:space="0" w:color="auto"/>
              <w:bottom w:val="single" w:sz="4" w:space="0" w:color="auto"/>
              <w:right w:val="single" w:sz="4" w:space="0" w:color="auto"/>
            </w:tcBorders>
            <w:hideMark/>
          </w:tcPr>
          <w:p w:rsidR="003E72FE" w:rsidRDefault="003E72FE">
            <w:pPr>
              <w:pStyle w:val="Table1"/>
              <w:spacing w:line="276" w:lineRule="auto"/>
            </w:pPr>
            <w:r>
              <w:t>Column 2</w:t>
            </w:r>
          </w:p>
          <w:p w:rsidR="003E72FE" w:rsidRDefault="003E72FE">
            <w:pPr>
              <w:pStyle w:val="Table1"/>
              <w:spacing w:line="276" w:lineRule="auto"/>
            </w:pPr>
            <w:r>
              <w:t>Editorial note</w:t>
            </w:r>
          </w:p>
        </w:tc>
      </w:tr>
      <w:tr w:rsidR="003E72FE" w:rsidTr="003E72FE">
        <w:tc>
          <w:tcPr>
            <w:tcW w:w="4618"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Standard 1.1.1</w:t>
            </w:r>
          </w:p>
        </w:tc>
        <w:tc>
          <w:tcPr>
            <w:tcW w:w="4618"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rPr>
                <w:b/>
              </w:rPr>
            </w:pPr>
            <w:r>
              <w:t xml:space="preserve">The Editorial note following the definition of </w:t>
            </w:r>
            <w:r>
              <w:rPr>
                <w:b/>
              </w:rPr>
              <w:t>fund raising events</w:t>
            </w:r>
          </w:p>
        </w:tc>
      </w:tr>
      <w:tr w:rsidR="003E72FE" w:rsidTr="003E72FE">
        <w:tc>
          <w:tcPr>
            <w:tcW w:w="4618"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Standard 1.2.11</w:t>
            </w:r>
          </w:p>
        </w:tc>
        <w:tc>
          <w:tcPr>
            <w:tcW w:w="4618"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The Editorial note following subclause 2(3)</w:t>
            </w:r>
          </w:p>
        </w:tc>
      </w:tr>
      <w:tr w:rsidR="003E72FE" w:rsidTr="003E72FE">
        <w:tc>
          <w:tcPr>
            <w:tcW w:w="4618"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Standard 1.3.1</w:t>
            </w:r>
          </w:p>
        </w:tc>
        <w:tc>
          <w:tcPr>
            <w:tcW w:w="4618"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The Editorial note following clause 3</w:t>
            </w:r>
          </w:p>
        </w:tc>
      </w:tr>
      <w:tr w:rsidR="003E72FE" w:rsidTr="003E72FE">
        <w:tc>
          <w:tcPr>
            <w:tcW w:w="4618"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Standard 1.3.1</w:t>
            </w:r>
          </w:p>
        </w:tc>
        <w:tc>
          <w:tcPr>
            <w:tcW w:w="4618"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The Editorial note following clause 11</w:t>
            </w:r>
          </w:p>
        </w:tc>
      </w:tr>
      <w:tr w:rsidR="003E72FE" w:rsidTr="003E72FE">
        <w:tc>
          <w:tcPr>
            <w:tcW w:w="4618"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Standard 2.2.1</w:t>
            </w:r>
          </w:p>
        </w:tc>
        <w:tc>
          <w:tcPr>
            <w:tcW w:w="4618"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The Editorial note within clause 1</w:t>
            </w:r>
          </w:p>
        </w:tc>
      </w:tr>
      <w:tr w:rsidR="003E72FE" w:rsidTr="003E72FE">
        <w:tc>
          <w:tcPr>
            <w:tcW w:w="4618"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Standard 2.5.4</w:t>
            </w:r>
          </w:p>
        </w:tc>
        <w:tc>
          <w:tcPr>
            <w:tcW w:w="4618"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The Editorial note following clause 3</w:t>
            </w:r>
          </w:p>
        </w:tc>
      </w:tr>
      <w:tr w:rsidR="003E72FE" w:rsidTr="003E72FE">
        <w:tc>
          <w:tcPr>
            <w:tcW w:w="4618"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Standard 2.7.4</w:t>
            </w:r>
          </w:p>
        </w:tc>
        <w:tc>
          <w:tcPr>
            <w:tcW w:w="4618"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The Editorial note following clause 2</w:t>
            </w:r>
          </w:p>
        </w:tc>
      </w:tr>
    </w:tbl>
    <w:p w:rsidR="003E72FE" w:rsidRPr="003E72FE" w:rsidRDefault="003E72FE" w:rsidP="003E72FE">
      <w:pPr>
        <w:rPr>
          <w:sz w:val="20"/>
          <w:szCs w:val="20"/>
        </w:rPr>
      </w:pPr>
    </w:p>
    <w:p w:rsidR="003E72FE" w:rsidRPr="003E72FE" w:rsidRDefault="003E72FE" w:rsidP="003E72FE">
      <w:pPr>
        <w:pStyle w:val="Clause"/>
        <w:rPr>
          <w:i/>
          <w:iCs/>
          <w:lang w:bidi="ar-SA"/>
        </w:rPr>
      </w:pPr>
      <w:r w:rsidRPr="003E72FE">
        <w:rPr>
          <w:b/>
          <w:bCs/>
        </w:rPr>
        <w:t>[3]</w:t>
      </w:r>
      <w:r w:rsidRPr="003E72FE">
        <w:tab/>
      </w:r>
      <w:r w:rsidRPr="003E72FE">
        <w:rPr>
          <w:b/>
          <w:bCs/>
          <w:i/>
          <w:iCs/>
        </w:rPr>
        <w:t>Standard 1.1.1</w:t>
      </w:r>
      <w:r w:rsidRPr="003E72FE">
        <w:rPr>
          <w:i/>
          <w:iCs/>
        </w:rPr>
        <w:t xml:space="preserve"> of the Australia New Zealand Food Standards Code is varied by – </w:t>
      </w:r>
    </w:p>
    <w:p w:rsidR="003E72FE" w:rsidRPr="003E72FE" w:rsidRDefault="003E72FE" w:rsidP="003E72FE">
      <w:pPr>
        <w:rPr>
          <w:sz w:val="20"/>
          <w:szCs w:val="20"/>
        </w:rPr>
      </w:pPr>
    </w:p>
    <w:p w:rsidR="003E72FE" w:rsidRPr="003E72FE" w:rsidRDefault="003E72FE" w:rsidP="003E72FE">
      <w:pPr>
        <w:pStyle w:val="Clause"/>
      </w:pPr>
      <w:r w:rsidRPr="003E72FE">
        <w:t>[3.1]</w:t>
      </w:r>
      <w:r w:rsidRPr="003E72FE">
        <w:tab/>
      </w:r>
      <w:r w:rsidRPr="003E72FE">
        <w:rPr>
          <w:i/>
        </w:rPr>
        <w:t xml:space="preserve">omitting from the </w:t>
      </w:r>
      <w:r w:rsidRPr="003E72FE">
        <w:t>Editorial note</w:t>
      </w:r>
      <w:r w:rsidRPr="003E72FE">
        <w:rPr>
          <w:i/>
        </w:rPr>
        <w:t xml:space="preserve"> preceding the </w:t>
      </w:r>
      <w:r w:rsidRPr="003E72FE">
        <w:t>Table of Provisions –</w:t>
      </w:r>
    </w:p>
    <w:p w:rsidR="003E72FE" w:rsidRPr="003E72FE" w:rsidRDefault="003E72FE" w:rsidP="003E72FE">
      <w:pPr>
        <w:pStyle w:val="Clause"/>
      </w:pPr>
    </w:p>
    <w:p w:rsidR="003E72FE" w:rsidRPr="003E72FE" w:rsidRDefault="003E72FE" w:rsidP="003E72FE">
      <w:pPr>
        <w:pStyle w:val="Clause"/>
      </w:pPr>
      <w:r w:rsidRPr="003E72FE">
        <w:rPr>
          <w:i/>
        </w:rPr>
        <w:t>Health Act 1911</w:t>
      </w:r>
      <w:r w:rsidRPr="003E72FE">
        <w:t xml:space="preserve"> (Western Australia)</w:t>
      </w:r>
    </w:p>
    <w:p w:rsidR="003E72FE" w:rsidRPr="003E72FE" w:rsidRDefault="003E72FE" w:rsidP="003E72FE">
      <w:pPr>
        <w:pStyle w:val="Clause"/>
        <w:rPr>
          <w:iCs/>
        </w:rPr>
      </w:pPr>
      <w:r w:rsidRPr="003E72FE">
        <w:rPr>
          <w:i/>
          <w:iCs/>
        </w:rPr>
        <w:t xml:space="preserve">Food Act </w:t>
      </w:r>
      <w:r w:rsidRPr="003E72FE">
        <w:rPr>
          <w:iCs/>
        </w:rPr>
        <w:t>(Northern Territory)</w:t>
      </w:r>
    </w:p>
    <w:p w:rsidR="003E72FE" w:rsidRPr="003E72FE" w:rsidRDefault="003E72FE" w:rsidP="003E72FE">
      <w:pPr>
        <w:rPr>
          <w:sz w:val="20"/>
          <w:szCs w:val="20"/>
        </w:rPr>
      </w:pPr>
    </w:p>
    <w:p w:rsidR="003E72FE" w:rsidRPr="003E72FE" w:rsidRDefault="003E72FE" w:rsidP="003E72FE">
      <w:pPr>
        <w:pStyle w:val="Clause"/>
        <w:rPr>
          <w:i/>
          <w:iCs/>
        </w:rPr>
      </w:pPr>
      <w:r w:rsidRPr="003E72FE">
        <w:rPr>
          <w:i/>
          <w:iCs/>
        </w:rPr>
        <w:t xml:space="preserve">substituting – </w:t>
      </w:r>
    </w:p>
    <w:p w:rsidR="003E72FE" w:rsidRPr="003E72FE" w:rsidRDefault="003E72FE" w:rsidP="003E72FE">
      <w:pPr>
        <w:rPr>
          <w:sz w:val="20"/>
          <w:szCs w:val="20"/>
        </w:rPr>
      </w:pPr>
    </w:p>
    <w:p w:rsidR="003E72FE" w:rsidRDefault="003E72FE" w:rsidP="003E72FE">
      <w:pPr>
        <w:pStyle w:val="Clause"/>
        <w:rPr>
          <w:iCs/>
        </w:rPr>
      </w:pPr>
      <w:r>
        <w:rPr>
          <w:i/>
          <w:iCs/>
        </w:rPr>
        <w:t xml:space="preserve">Food Act 2004 </w:t>
      </w:r>
      <w:r>
        <w:rPr>
          <w:iCs/>
        </w:rPr>
        <w:t>(Northern Territory)</w:t>
      </w:r>
    </w:p>
    <w:p w:rsidR="003E72FE" w:rsidRDefault="003E72FE" w:rsidP="003E72FE">
      <w:pPr>
        <w:pStyle w:val="Clause"/>
      </w:pPr>
      <w:r>
        <w:rPr>
          <w:i/>
        </w:rPr>
        <w:t xml:space="preserve">Food Act 2008 </w:t>
      </w:r>
      <w:r>
        <w:t>(Western Australia)</w:t>
      </w:r>
    </w:p>
    <w:p w:rsidR="003E72FE" w:rsidRDefault="003E72FE" w:rsidP="003E72FE">
      <w:r>
        <w:br w:type="page"/>
      </w:r>
    </w:p>
    <w:p w:rsidR="003E72FE" w:rsidRPr="003E72FE" w:rsidRDefault="003E72FE" w:rsidP="003E72FE">
      <w:pPr>
        <w:pStyle w:val="Clause"/>
        <w:rPr>
          <w:i/>
        </w:rPr>
      </w:pPr>
      <w:r w:rsidRPr="003E72FE">
        <w:lastRenderedPageBreak/>
        <w:t>[3.2]</w:t>
      </w:r>
      <w:r w:rsidRPr="003E72FE">
        <w:tab/>
      </w:r>
      <w:r w:rsidRPr="003E72FE">
        <w:rPr>
          <w:i/>
        </w:rPr>
        <w:t xml:space="preserve">omitting subclause 1(1), substituting – </w:t>
      </w:r>
    </w:p>
    <w:p w:rsidR="003E72FE" w:rsidRPr="003E72FE" w:rsidRDefault="003E72FE" w:rsidP="003E72FE">
      <w:pPr>
        <w:rPr>
          <w:sz w:val="20"/>
          <w:szCs w:val="20"/>
        </w:rPr>
      </w:pPr>
    </w:p>
    <w:p w:rsidR="003E72FE" w:rsidRPr="003E72FE" w:rsidRDefault="003E72FE" w:rsidP="003E72FE">
      <w:pPr>
        <w:pStyle w:val="Subclause"/>
      </w:pPr>
      <w:r w:rsidRPr="003E72FE">
        <w:t>(1)</w:t>
      </w:r>
      <w:r w:rsidRPr="003E72FE">
        <w:tab/>
        <w:t xml:space="preserve">Unless expressly provided elsewhere in this Code, the provisions of this Code apply to food products – </w:t>
      </w:r>
    </w:p>
    <w:p w:rsidR="003E72FE" w:rsidRPr="003E72FE" w:rsidRDefault="003E72FE" w:rsidP="003E72FE">
      <w:pPr>
        <w:pStyle w:val="Subclause"/>
      </w:pPr>
    </w:p>
    <w:p w:rsidR="003E72FE" w:rsidRPr="003E72FE" w:rsidRDefault="003E72FE" w:rsidP="003E72FE">
      <w:pPr>
        <w:pStyle w:val="Paragraph"/>
      </w:pPr>
      <w:r w:rsidRPr="003E72FE">
        <w:t>(a)</w:t>
      </w:r>
      <w:r w:rsidRPr="003E72FE">
        <w:tab/>
        <w:t>sold or prepared for sale in Australia or New Zealand; and</w:t>
      </w:r>
    </w:p>
    <w:p w:rsidR="003E72FE" w:rsidRPr="003E72FE" w:rsidRDefault="003E72FE" w:rsidP="003E72FE">
      <w:pPr>
        <w:pStyle w:val="Paragraph"/>
      </w:pPr>
      <w:r w:rsidRPr="003E72FE">
        <w:t>(b)</w:t>
      </w:r>
      <w:r w:rsidRPr="003E72FE">
        <w:tab/>
        <w:t>imported into Australia or New Zealand.</w:t>
      </w:r>
    </w:p>
    <w:p w:rsidR="003E72FE" w:rsidRPr="003E72FE" w:rsidRDefault="003E72FE" w:rsidP="003E72FE">
      <w:pPr>
        <w:pStyle w:val="Paragraph"/>
      </w:pPr>
    </w:p>
    <w:p w:rsidR="003E72FE" w:rsidRPr="003E72FE" w:rsidRDefault="003E72FE" w:rsidP="003E72FE">
      <w:pPr>
        <w:pStyle w:val="Clause"/>
        <w:rPr>
          <w:i/>
        </w:rPr>
      </w:pPr>
      <w:r w:rsidRPr="003E72FE">
        <w:t>[3.3]</w:t>
      </w:r>
      <w:r w:rsidRPr="003E72FE">
        <w:tab/>
      </w:r>
      <w:r w:rsidRPr="003E72FE">
        <w:rPr>
          <w:i/>
        </w:rPr>
        <w:t xml:space="preserve">omitting the definition of </w:t>
      </w:r>
      <w:r w:rsidRPr="003E72FE">
        <w:rPr>
          <w:b/>
        </w:rPr>
        <w:t xml:space="preserve">Australian Approved Names List </w:t>
      </w:r>
      <w:r w:rsidRPr="003E72FE">
        <w:rPr>
          <w:i/>
        </w:rPr>
        <w:t>in clause 2</w:t>
      </w:r>
    </w:p>
    <w:p w:rsidR="003E72FE" w:rsidRPr="003E72FE" w:rsidRDefault="003E72FE" w:rsidP="003E72FE">
      <w:pPr>
        <w:rPr>
          <w:sz w:val="20"/>
          <w:szCs w:val="20"/>
        </w:rPr>
      </w:pPr>
    </w:p>
    <w:p w:rsidR="003E72FE" w:rsidRPr="003E72FE" w:rsidRDefault="003E72FE" w:rsidP="003E72FE">
      <w:pPr>
        <w:pStyle w:val="Clause"/>
      </w:pPr>
      <w:r w:rsidRPr="003E72FE">
        <w:t>[3.4]</w:t>
      </w:r>
      <w:r w:rsidRPr="003E72FE">
        <w:tab/>
      </w:r>
      <w:r w:rsidRPr="003E72FE">
        <w:rPr>
          <w:i/>
        </w:rPr>
        <w:t xml:space="preserve">omitting </w:t>
      </w:r>
      <w:r w:rsidRPr="003E72FE">
        <w:t>final product</w:t>
      </w:r>
      <w:r w:rsidRPr="003E72FE">
        <w:rPr>
          <w:i/>
        </w:rPr>
        <w:t xml:space="preserve"> from the definition of </w:t>
      </w:r>
      <w:r w:rsidRPr="003E72FE">
        <w:rPr>
          <w:b/>
        </w:rPr>
        <w:t xml:space="preserve">component </w:t>
      </w:r>
      <w:r w:rsidRPr="003E72FE">
        <w:rPr>
          <w:i/>
        </w:rPr>
        <w:t>in clause 2</w:t>
      </w:r>
      <w:r w:rsidRPr="003E72FE">
        <w:t xml:space="preserve">, </w:t>
      </w:r>
      <w:r w:rsidRPr="003E72FE">
        <w:rPr>
          <w:i/>
        </w:rPr>
        <w:t xml:space="preserve">substituting </w:t>
      </w:r>
      <w:r w:rsidRPr="003E72FE">
        <w:t>final food</w:t>
      </w:r>
    </w:p>
    <w:p w:rsidR="003E72FE" w:rsidRPr="003E72FE" w:rsidRDefault="003E72FE" w:rsidP="003E72FE">
      <w:pPr>
        <w:rPr>
          <w:sz w:val="20"/>
          <w:szCs w:val="20"/>
        </w:rPr>
      </w:pPr>
    </w:p>
    <w:p w:rsidR="003E72FE" w:rsidRPr="003E72FE" w:rsidRDefault="003E72FE" w:rsidP="003E72FE">
      <w:pPr>
        <w:pStyle w:val="Clause"/>
      </w:pPr>
      <w:r w:rsidRPr="003E72FE">
        <w:t>[3.5]</w:t>
      </w:r>
      <w:r w:rsidRPr="003E72FE">
        <w:tab/>
      </w:r>
      <w:r w:rsidRPr="003E72FE">
        <w:rPr>
          <w:i/>
        </w:rPr>
        <w:t xml:space="preserve">omitting the definition of </w:t>
      </w:r>
      <w:r w:rsidRPr="003E72FE">
        <w:rPr>
          <w:b/>
        </w:rPr>
        <w:t>fund raising events</w:t>
      </w:r>
      <w:r w:rsidRPr="003E72FE">
        <w:rPr>
          <w:i/>
        </w:rPr>
        <w:t xml:space="preserve"> in clause 2, substituting</w:t>
      </w:r>
      <w:r w:rsidRPr="003E72FE">
        <w:t xml:space="preserve"> – </w:t>
      </w:r>
    </w:p>
    <w:p w:rsidR="003E72FE" w:rsidRPr="003E72FE" w:rsidRDefault="003E72FE" w:rsidP="003E72FE">
      <w:pPr>
        <w:rPr>
          <w:sz w:val="20"/>
          <w:szCs w:val="20"/>
        </w:rPr>
      </w:pPr>
    </w:p>
    <w:p w:rsidR="003E72FE" w:rsidRPr="003E72FE" w:rsidRDefault="003E72FE" w:rsidP="003E72FE">
      <w:pPr>
        <w:pStyle w:val="Definition"/>
      </w:pPr>
      <w:r w:rsidRPr="003E72FE">
        <w:rPr>
          <w:b/>
        </w:rPr>
        <w:t xml:space="preserve">fund raising event </w:t>
      </w:r>
      <w:r w:rsidRPr="003E72FE">
        <w:t>means an event that raises funds solely for a community or charitable cause and not for personal financial gain.</w:t>
      </w:r>
    </w:p>
    <w:p w:rsidR="003E72FE" w:rsidRPr="003E72FE" w:rsidRDefault="003E72FE" w:rsidP="003E72FE">
      <w:pPr>
        <w:rPr>
          <w:sz w:val="20"/>
          <w:szCs w:val="20"/>
        </w:rPr>
      </w:pPr>
    </w:p>
    <w:p w:rsidR="003E72FE" w:rsidRPr="003E72FE" w:rsidRDefault="003E72FE" w:rsidP="003E72FE">
      <w:pPr>
        <w:pStyle w:val="Clause"/>
        <w:rPr>
          <w:i/>
        </w:rPr>
      </w:pPr>
      <w:r w:rsidRPr="003E72FE">
        <w:t>[3.6]</w:t>
      </w:r>
      <w:r w:rsidRPr="003E72FE">
        <w:tab/>
      </w:r>
      <w:r w:rsidRPr="003E72FE">
        <w:rPr>
          <w:i/>
        </w:rPr>
        <w:t>inserting in alphabetical order</w:t>
      </w:r>
      <w:r w:rsidRPr="003E72FE">
        <w:t xml:space="preserve"> </w:t>
      </w:r>
      <w:r w:rsidRPr="003E72FE">
        <w:rPr>
          <w:i/>
        </w:rPr>
        <w:t xml:space="preserve">in clause 2 – </w:t>
      </w:r>
    </w:p>
    <w:p w:rsidR="003E72FE" w:rsidRPr="003E72FE" w:rsidRDefault="003E72FE" w:rsidP="003E72FE">
      <w:pPr>
        <w:rPr>
          <w:sz w:val="20"/>
          <w:szCs w:val="20"/>
        </w:rPr>
      </w:pPr>
    </w:p>
    <w:p w:rsidR="003E72FE" w:rsidRPr="003E72FE" w:rsidRDefault="003E72FE" w:rsidP="003E72FE">
      <w:pPr>
        <w:pStyle w:val="Definition"/>
      </w:pPr>
      <w:r w:rsidRPr="003E72FE">
        <w:rPr>
          <w:b/>
        </w:rPr>
        <w:t>Good Manufacturing Practice (GMP)</w:t>
      </w:r>
      <w:r w:rsidRPr="003E72FE">
        <w:t xml:space="preserve">, with respect to the addition of additives and processing aids to food, means – </w:t>
      </w:r>
    </w:p>
    <w:p w:rsidR="003E72FE" w:rsidRPr="003E72FE" w:rsidRDefault="003E72FE" w:rsidP="003E72FE">
      <w:pPr>
        <w:rPr>
          <w:sz w:val="20"/>
          <w:szCs w:val="20"/>
        </w:rPr>
      </w:pPr>
    </w:p>
    <w:p w:rsidR="003E72FE" w:rsidRPr="003E72FE" w:rsidRDefault="003E72FE" w:rsidP="003E72FE">
      <w:pPr>
        <w:pStyle w:val="Subparagraph"/>
      </w:pPr>
      <w:r w:rsidRPr="003E72FE">
        <w:t>(a)</w:t>
      </w:r>
      <w:r w:rsidRPr="003E72FE">
        <w:tab/>
        <w:t>the quantity of additive or processing aid added to food shall be limited to the lowest possible level necessary to accomplish its desired effect; and</w:t>
      </w:r>
    </w:p>
    <w:p w:rsidR="003E72FE" w:rsidRPr="003E72FE" w:rsidRDefault="003E72FE" w:rsidP="003E72FE">
      <w:pPr>
        <w:pStyle w:val="Subparagraph"/>
      </w:pPr>
      <w:r w:rsidRPr="003E72FE">
        <w:t>(b)</w:t>
      </w:r>
      <w:r w:rsidRPr="003E72FE">
        <w:tab/>
        <w:t>the quantity of the additive or processing aid that becomes a component of food as a result of its use in the manufacture, processing or packaging of a food, and which is not intended to accomplish any physical or other technical effect in the finished food itself, is reduced to the extent reasonably possible; and</w:t>
      </w:r>
    </w:p>
    <w:p w:rsidR="003E72FE" w:rsidRPr="003E72FE" w:rsidRDefault="003E72FE" w:rsidP="003E72FE">
      <w:pPr>
        <w:pStyle w:val="Subparagraph"/>
      </w:pPr>
      <w:r w:rsidRPr="003E72FE">
        <w:t>(c)</w:t>
      </w:r>
      <w:r w:rsidRPr="003E72FE">
        <w:tab/>
        <w:t>the additive or processing aid is prepared and handled in the same way as a food ingredient.</w:t>
      </w:r>
    </w:p>
    <w:p w:rsidR="003E72FE" w:rsidRPr="003E72FE" w:rsidRDefault="003E72FE" w:rsidP="003E72FE">
      <w:pPr>
        <w:pStyle w:val="Subparagraph"/>
      </w:pPr>
    </w:p>
    <w:p w:rsidR="003E72FE" w:rsidRPr="003E72FE" w:rsidRDefault="003E72FE" w:rsidP="003E72FE">
      <w:pPr>
        <w:pStyle w:val="Clause"/>
        <w:rPr>
          <w:i/>
        </w:rPr>
      </w:pPr>
      <w:r w:rsidRPr="003E72FE">
        <w:t>[3.7]</w:t>
      </w:r>
      <w:r w:rsidRPr="003E72FE">
        <w:tab/>
      </w:r>
      <w:r w:rsidRPr="003E72FE">
        <w:rPr>
          <w:i/>
        </w:rPr>
        <w:t xml:space="preserve">inserting following clause 15 – </w:t>
      </w:r>
    </w:p>
    <w:p w:rsidR="003E72FE" w:rsidRPr="003E72FE" w:rsidRDefault="003E72FE" w:rsidP="003E72FE">
      <w:pPr>
        <w:rPr>
          <w:sz w:val="20"/>
          <w:szCs w:val="20"/>
        </w:rPr>
      </w:pPr>
    </w:p>
    <w:p w:rsidR="003E72FE" w:rsidRPr="003E72FE" w:rsidRDefault="003E72FE" w:rsidP="003E72FE">
      <w:pPr>
        <w:pStyle w:val="ClauseHeading0"/>
      </w:pPr>
      <w:r w:rsidRPr="003E72FE">
        <w:t>16</w:t>
      </w:r>
      <w:r w:rsidRPr="003E72FE">
        <w:tab/>
        <w:t>Citation of the United States Code of Federal Regulations (CFR)</w:t>
      </w:r>
    </w:p>
    <w:p w:rsidR="003E72FE" w:rsidRPr="003E72FE" w:rsidRDefault="003E72FE" w:rsidP="003E72FE">
      <w:pPr>
        <w:pStyle w:val="Clause"/>
      </w:pPr>
    </w:p>
    <w:p w:rsidR="003E72FE" w:rsidRPr="003E72FE" w:rsidRDefault="003E72FE" w:rsidP="003E72FE">
      <w:pPr>
        <w:pStyle w:val="Subclause"/>
      </w:pPr>
      <w:r w:rsidRPr="003E72FE">
        <w:t>(1)</w:t>
      </w:r>
      <w:r w:rsidRPr="003E72FE">
        <w:tab/>
        <w:t>In this Code, a reference to the Code of Federal Regulations, or CFR, is a reference to the 2010 compilation of the United States Code of Federal Regulations.</w:t>
      </w:r>
    </w:p>
    <w:p w:rsidR="003E72FE" w:rsidRPr="003E72FE" w:rsidRDefault="003E72FE" w:rsidP="003E72FE">
      <w:pPr>
        <w:pStyle w:val="Subclause"/>
      </w:pPr>
    </w:p>
    <w:p w:rsidR="003E72FE" w:rsidRPr="003E72FE" w:rsidRDefault="003E72FE" w:rsidP="003E72FE">
      <w:pPr>
        <w:pStyle w:val="Subclause"/>
      </w:pPr>
      <w:r w:rsidRPr="003E72FE">
        <w:t>(2)</w:t>
      </w:r>
      <w:r w:rsidRPr="003E72FE">
        <w:tab/>
        <w:t xml:space="preserve">In this Code, the Code of Federal Regulations is cited in the following format – </w:t>
      </w:r>
    </w:p>
    <w:p w:rsidR="003E72FE" w:rsidRPr="003E72FE" w:rsidRDefault="003E72FE" w:rsidP="003E72FE">
      <w:pPr>
        <w:pStyle w:val="Subclause"/>
      </w:pPr>
    </w:p>
    <w:p w:rsidR="003E72FE" w:rsidRPr="003E72FE" w:rsidRDefault="003E72FE" w:rsidP="003E72FE">
      <w:pPr>
        <w:pStyle w:val="Paragraph"/>
      </w:pPr>
      <w:r w:rsidRPr="003E72FE">
        <w:t>[title number] CFR § [section number]</w:t>
      </w:r>
    </w:p>
    <w:p w:rsidR="003E72FE" w:rsidRPr="003E72FE" w:rsidRDefault="003E72FE" w:rsidP="003E72FE">
      <w:pPr>
        <w:pStyle w:val="Clause"/>
      </w:pPr>
    </w:p>
    <w:p w:rsidR="003E72FE" w:rsidRPr="003E72FE" w:rsidRDefault="003E72FE" w:rsidP="003E72FE">
      <w:pPr>
        <w:pStyle w:val="Clause"/>
      </w:pPr>
      <w:r w:rsidRPr="003E72FE">
        <w:t>[3.8]</w:t>
      </w:r>
      <w:r w:rsidRPr="003E72FE">
        <w:tab/>
      </w:r>
      <w:r w:rsidRPr="003E72FE">
        <w:rPr>
          <w:i/>
        </w:rPr>
        <w:t xml:space="preserve">updating the </w:t>
      </w:r>
      <w:r w:rsidRPr="003E72FE">
        <w:t xml:space="preserve">Table of Provisions </w:t>
      </w:r>
      <w:r w:rsidRPr="003E72FE">
        <w:rPr>
          <w:i/>
        </w:rPr>
        <w:t>to reflect these amendments</w:t>
      </w:r>
    </w:p>
    <w:p w:rsidR="003E72FE" w:rsidRPr="003E72FE" w:rsidRDefault="003E72FE" w:rsidP="003E72FE">
      <w:pPr>
        <w:rPr>
          <w:sz w:val="20"/>
          <w:szCs w:val="20"/>
        </w:rPr>
      </w:pPr>
    </w:p>
    <w:p w:rsidR="003E72FE" w:rsidRPr="003E72FE" w:rsidRDefault="003E72FE" w:rsidP="003E72FE">
      <w:pPr>
        <w:pStyle w:val="Clause"/>
        <w:rPr>
          <w:i/>
        </w:rPr>
      </w:pPr>
      <w:r w:rsidRPr="003E72FE">
        <w:rPr>
          <w:b/>
          <w:bCs/>
        </w:rPr>
        <w:t>[4]</w:t>
      </w:r>
      <w:r w:rsidRPr="003E72FE">
        <w:tab/>
      </w:r>
      <w:r w:rsidRPr="003E72FE">
        <w:rPr>
          <w:b/>
          <w:i/>
        </w:rPr>
        <w:t xml:space="preserve">Standard 1.1.2 </w:t>
      </w:r>
      <w:r w:rsidRPr="003E72FE">
        <w:rPr>
          <w:i/>
        </w:rPr>
        <w:t xml:space="preserve">of the Australia New Zealand Food Standards Code is varied by – </w:t>
      </w:r>
    </w:p>
    <w:p w:rsidR="003E72FE" w:rsidRPr="003E72FE" w:rsidRDefault="003E72FE" w:rsidP="003E72FE">
      <w:pPr>
        <w:pStyle w:val="Clause"/>
        <w:rPr>
          <w:i/>
        </w:rPr>
      </w:pPr>
    </w:p>
    <w:p w:rsidR="003E72FE" w:rsidRPr="003E72FE" w:rsidRDefault="003E72FE" w:rsidP="003E72FE">
      <w:pPr>
        <w:pStyle w:val="Clause"/>
      </w:pPr>
      <w:r w:rsidRPr="003E72FE">
        <w:t>[4.1]</w:t>
      </w:r>
      <w:r w:rsidRPr="003E72FE">
        <w:tab/>
      </w:r>
      <w:r w:rsidRPr="003E72FE">
        <w:rPr>
          <w:i/>
        </w:rPr>
        <w:t xml:space="preserve">omitting </w:t>
      </w:r>
      <w:r w:rsidRPr="003E72FE">
        <w:t xml:space="preserve">salt and/or spices </w:t>
      </w:r>
      <w:r w:rsidRPr="003E72FE">
        <w:rPr>
          <w:i/>
        </w:rPr>
        <w:t xml:space="preserve">from the definition of </w:t>
      </w:r>
      <w:r w:rsidRPr="003E72FE">
        <w:rPr>
          <w:b/>
        </w:rPr>
        <w:t xml:space="preserve">cocoa </w:t>
      </w:r>
      <w:r w:rsidRPr="003E72FE">
        <w:rPr>
          <w:i/>
        </w:rPr>
        <w:t xml:space="preserve">in clause 1, substituting </w:t>
      </w:r>
      <w:r w:rsidRPr="003E72FE">
        <w:t>salt or spices</w:t>
      </w:r>
    </w:p>
    <w:p w:rsidR="003E72FE" w:rsidRPr="003E72FE" w:rsidRDefault="003E72FE" w:rsidP="003E72FE">
      <w:pPr>
        <w:rPr>
          <w:sz w:val="20"/>
          <w:szCs w:val="20"/>
        </w:rPr>
      </w:pPr>
    </w:p>
    <w:p w:rsidR="003E72FE" w:rsidRPr="003E72FE" w:rsidRDefault="003E72FE" w:rsidP="003E72FE">
      <w:pPr>
        <w:pStyle w:val="Clause"/>
        <w:rPr>
          <w:i/>
        </w:rPr>
      </w:pPr>
      <w:r w:rsidRPr="003E72FE">
        <w:t>[4.2]</w:t>
      </w:r>
      <w:r w:rsidRPr="003E72FE">
        <w:tab/>
      </w:r>
      <w:r w:rsidRPr="003E72FE">
        <w:rPr>
          <w:i/>
        </w:rPr>
        <w:t xml:space="preserve">omitting the definition of </w:t>
      </w:r>
      <w:r w:rsidRPr="003E72FE">
        <w:rPr>
          <w:b/>
        </w:rPr>
        <w:t xml:space="preserve">coffee </w:t>
      </w:r>
      <w:r w:rsidRPr="003E72FE">
        <w:rPr>
          <w:i/>
        </w:rPr>
        <w:t xml:space="preserve">in clause 1, substituting – </w:t>
      </w:r>
    </w:p>
    <w:p w:rsidR="003E72FE" w:rsidRPr="003E72FE" w:rsidRDefault="003E72FE" w:rsidP="003E72FE">
      <w:pPr>
        <w:rPr>
          <w:sz w:val="20"/>
          <w:szCs w:val="20"/>
        </w:rPr>
      </w:pPr>
    </w:p>
    <w:p w:rsidR="003E72FE" w:rsidRPr="003E72FE" w:rsidRDefault="003E72FE" w:rsidP="003E72FE">
      <w:pPr>
        <w:pStyle w:val="Definition"/>
        <w:rPr>
          <w:bCs/>
        </w:rPr>
      </w:pPr>
      <w:r w:rsidRPr="003E72FE">
        <w:rPr>
          <w:b/>
          <w:bCs/>
        </w:rPr>
        <w:t xml:space="preserve">coffee </w:t>
      </w:r>
      <w:r w:rsidRPr="003E72FE">
        <w:rPr>
          <w:bCs/>
        </w:rPr>
        <w:t>means the product prepared by roasting or grinding, or both the roasting and grinding, of coffee beans.</w:t>
      </w:r>
    </w:p>
    <w:p w:rsidR="003E72FE" w:rsidRPr="003E72FE" w:rsidRDefault="003E72FE" w:rsidP="003E72FE">
      <w:pPr>
        <w:pStyle w:val="Clause"/>
      </w:pPr>
    </w:p>
    <w:p w:rsidR="003E72FE" w:rsidRPr="003E72FE" w:rsidRDefault="003E72FE" w:rsidP="003E72FE">
      <w:pPr>
        <w:pStyle w:val="Clause"/>
        <w:rPr>
          <w:i/>
          <w:iCs/>
        </w:rPr>
      </w:pPr>
      <w:r w:rsidRPr="003E72FE">
        <w:rPr>
          <w:b/>
        </w:rPr>
        <w:t>[5]</w:t>
      </w:r>
      <w:r w:rsidRPr="003E72FE">
        <w:rPr>
          <w:b/>
        </w:rPr>
        <w:tab/>
      </w:r>
      <w:r w:rsidRPr="003E72FE">
        <w:rPr>
          <w:b/>
          <w:bCs/>
          <w:i/>
          <w:iCs/>
        </w:rPr>
        <w:t>Standard 1.2.1</w:t>
      </w:r>
      <w:r w:rsidRPr="003E72FE">
        <w:rPr>
          <w:i/>
          <w:iCs/>
        </w:rPr>
        <w:t xml:space="preserve"> of the Australia New Zealand Food Standards Code is varied by – </w:t>
      </w:r>
    </w:p>
    <w:p w:rsidR="003E72FE" w:rsidRPr="003E72FE" w:rsidRDefault="003E72FE" w:rsidP="003E72FE">
      <w:pPr>
        <w:rPr>
          <w:sz w:val="20"/>
          <w:szCs w:val="20"/>
        </w:rPr>
      </w:pPr>
    </w:p>
    <w:p w:rsidR="003E72FE" w:rsidRPr="003E72FE" w:rsidRDefault="003E72FE" w:rsidP="003E72FE">
      <w:pPr>
        <w:pStyle w:val="Clause"/>
        <w:ind w:left="851" w:hanging="851"/>
        <w:rPr>
          <w:iCs/>
        </w:rPr>
      </w:pPr>
      <w:r w:rsidRPr="003E72FE">
        <w:rPr>
          <w:iCs/>
        </w:rPr>
        <w:t>[5.1]</w:t>
      </w:r>
      <w:r w:rsidRPr="003E72FE">
        <w:rPr>
          <w:iCs/>
        </w:rPr>
        <w:tab/>
      </w:r>
      <w:r w:rsidRPr="003E72FE">
        <w:rPr>
          <w:i/>
          <w:iCs/>
        </w:rPr>
        <w:t xml:space="preserve">omitting paragraph 2(1)(a), substituting </w:t>
      </w:r>
      <w:r w:rsidRPr="003E72FE">
        <w:rPr>
          <w:iCs/>
        </w:rPr>
        <w:t xml:space="preserve">– </w:t>
      </w:r>
    </w:p>
    <w:p w:rsidR="003E72FE" w:rsidRPr="003E72FE" w:rsidRDefault="003E72FE" w:rsidP="003E72FE">
      <w:pPr>
        <w:rPr>
          <w:sz w:val="20"/>
          <w:szCs w:val="20"/>
        </w:rPr>
      </w:pPr>
    </w:p>
    <w:p w:rsidR="003E72FE" w:rsidRPr="003E72FE" w:rsidRDefault="003E72FE" w:rsidP="003E72FE">
      <w:pPr>
        <w:pStyle w:val="Paragraph"/>
      </w:pPr>
      <w:r w:rsidRPr="003E72FE">
        <w:t>(a)</w:t>
      </w:r>
      <w:r w:rsidRPr="003E72FE">
        <w:tab/>
        <w:t>the food is not in a package; or</w:t>
      </w:r>
    </w:p>
    <w:p w:rsidR="003E72FE" w:rsidRDefault="003E72FE" w:rsidP="003E72FE">
      <w:pPr>
        <w:pStyle w:val="Clause"/>
        <w:ind w:left="851" w:hanging="851"/>
        <w:rPr>
          <w:iCs/>
        </w:rPr>
      </w:pPr>
      <w:r>
        <w:rPr>
          <w:iCs/>
        </w:rPr>
        <w:br w:type="page"/>
      </w:r>
    </w:p>
    <w:p w:rsidR="003E72FE" w:rsidRPr="003E72FE" w:rsidRDefault="003E72FE" w:rsidP="003E72FE">
      <w:pPr>
        <w:pStyle w:val="Clause"/>
        <w:ind w:left="851" w:hanging="851"/>
        <w:rPr>
          <w:rFonts w:cs="Arial"/>
          <w:iCs/>
        </w:rPr>
      </w:pPr>
      <w:r w:rsidRPr="003E72FE">
        <w:rPr>
          <w:rFonts w:cs="Arial"/>
          <w:iCs/>
        </w:rPr>
        <w:lastRenderedPageBreak/>
        <w:t>[5.2]</w:t>
      </w:r>
      <w:r w:rsidRPr="003E72FE">
        <w:rPr>
          <w:rFonts w:cs="Arial"/>
          <w:iCs/>
        </w:rPr>
        <w:tab/>
      </w:r>
      <w:r w:rsidRPr="003E72FE">
        <w:rPr>
          <w:rFonts w:cs="Arial"/>
          <w:i/>
          <w:iCs/>
        </w:rPr>
        <w:t xml:space="preserve">omitting from paragraph 2(2)(a) </w:t>
      </w:r>
      <w:r w:rsidRPr="003E72FE">
        <w:rPr>
          <w:rFonts w:cs="Arial"/>
          <w:iCs/>
        </w:rPr>
        <w:t xml:space="preserve">– </w:t>
      </w:r>
    </w:p>
    <w:p w:rsidR="003E72FE" w:rsidRPr="003E72FE" w:rsidRDefault="003E72FE" w:rsidP="003E72FE">
      <w:pPr>
        <w:pStyle w:val="Clause"/>
        <w:ind w:left="851" w:hanging="851"/>
        <w:rPr>
          <w:rFonts w:cs="Arial"/>
          <w:iCs/>
        </w:rPr>
      </w:pPr>
    </w:p>
    <w:p w:rsidR="003E72FE" w:rsidRPr="003E72FE" w:rsidRDefault="003E72FE" w:rsidP="003E72FE">
      <w:pPr>
        <w:pStyle w:val="Clause"/>
        <w:rPr>
          <w:rFonts w:cs="Arial"/>
        </w:rPr>
      </w:pPr>
      <w:r w:rsidRPr="003E72FE">
        <w:rPr>
          <w:rFonts w:cs="Arial"/>
        </w:rPr>
        <w:t>subclauses 1(1) or (2)</w:t>
      </w:r>
    </w:p>
    <w:p w:rsidR="003E72FE" w:rsidRPr="003E72FE" w:rsidRDefault="003E72FE" w:rsidP="003E72FE">
      <w:pPr>
        <w:rPr>
          <w:rFonts w:cs="Arial"/>
          <w:sz w:val="20"/>
          <w:szCs w:val="20"/>
        </w:rPr>
      </w:pPr>
    </w:p>
    <w:p w:rsidR="003E72FE" w:rsidRPr="003E72FE" w:rsidRDefault="003E72FE" w:rsidP="003E72FE">
      <w:pPr>
        <w:pStyle w:val="Clause"/>
        <w:ind w:left="851" w:hanging="851"/>
        <w:rPr>
          <w:rFonts w:cs="Arial"/>
        </w:rPr>
      </w:pPr>
      <w:r w:rsidRPr="003E72FE">
        <w:rPr>
          <w:rFonts w:cs="Arial"/>
          <w:i/>
          <w:iCs/>
        </w:rPr>
        <w:t>substituting</w:t>
      </w:r>
      <w:r w:rsidRPr="003E72FE">
        <w:rPr>
          <w:rFonts w:cs="Arial"/>
        </w:rPr>
        <w:t xml:space="preserve"> – </w:t>
      </w:r>
    </w:p>
    <w:p w:rsidR="003E72FE" w:rsidRPr="003E72FE" w:rsidRDefault="003E72FE" w:rsidP="003E72FE">
      <w:pPr>
        <w:rPr>
          <w:rFonts w:cs="Arial"/>
          <w:sz w:val="20"/>
          <w:szCs w:val="20"/>
        </w:rPr>
      </w:pPr>
    </w:p>
    <w:p w:rsidR="003E72FE" w:rsidRPr="003E72FE" w:rsidRDefault="003E72FE" w:rsidP="003E72FE">
      <w:pPr>
        <w:pStyle w:val="Clause"/>
        <w:rPr>
          <w:rFonts w:cs="Arial"/>
        </w:rPr>
      </w:pPr>
      <w:r w:rsidRPr="003E72FE">
        <w:rPr>
          <w:rFonts w:cs="Arial"/>
        </w:rPr>
        <w:t>subclause 1(2)</w:t>
      </w:r>
    </w:p>
    <w:p w:rsidR="003E72FE" w:rsidRPr="003E72FE" w:rsidRDefault="003E72FE" w:rsidP="003E72FE">
      <w:pPr>
        <w:pStyle w:val="Paragraph"/>
        <w:ind w:left="0" w:firstLine="0"/>
        <w:rPr>
          <w:rFonts w:cs="Arial"/>
        </w:rPr>
      </w:pPr>
    </w:p>
    <w:p w:rsidR="003E72FE" w:rsidRPr="003E72FE" w:rsidRDefault="003E72FE" w:rsidP="003E72FE">
      <w:pPr>
        <w:pStyle w:val="Clause"/>
        <w:ind w:left="851" w:hanging="851"/>
        <w:rPr>
          <w:rFonts w:cs="Arial"/>
          <w:iCs/>
        </w:rPr>
      </w:pPr>
      <w:r w:rsidRPr="003E72FE">
        <w:rPr>
          <w:rFonts w:cs="Arial"/>
          <w:iCs/>
        </w:rPr>
        <w:t>[5.3]</w:t>
      </w:r>
      <w:r w:rsidRPr="003E72FE">
        <w:rPr>
          <w:rFonts w:cs="Arial"/>
          <w:iCs/>
        </w:rPr>
        <w:tab/>
      </w:r>
      <w:r w:rsidRPr="003E72FE">
        <w:rPr>
          <w:rFonts w:cs="Arial"/>
          <w:i/>
          <w:iCs/>
        </w:rPr>
        <w:t>omitting subclause 3(1</w:t>
      </w:r>
      <w:r w:rsidRPr="003E72FE">
        <w:rPr>
          <w:rFonts w:cs="Arial"/>
          <w:iCs/>
        </w:rPr>
        <w:t xml:space="preserve">), substituting -  </w:t>
      </w:r>
    </w:p>
    <w:p w:rsidR="003E72FE" w:rsidRPr="003E72FE" w:rsidRDefault="003E72FE" w:rsidP="003E72FE">
      <w:pPr>
        <w:rPr>
          <w:rFonts w:cs="Arial"/>
          <w:sz w:val="20"/>
          <w:szCs w:val="20"/>
        </w:rPr>
      </w:pPr>
    </w:p>
    <w:p w:rsidR="003E72FE" w:rsidRPr="003E72FE" w:rsidRDefault="003E72FE" w:rsidP="003E72FE">
      <w:pPr>
        <w:pStyle w:val="Subclause"/>
        <w:rPr>
          <w:rFonts w:cs="Arial"/>
        </w:rPr>
      </w:pPr>
      <w:r w:rsidRPr="003E72FE">
        <w:rPr>
          <w:rFonts w:cs="Arial"/>
        </w:rPr>
        <w:t>(1)</w:t>
      </w:r>
      <w:r w:rsidRPr="003E72FE">
        <w:rPr>
          <w:rFonts w:cs="Arial"/>
        </w:rPr>
        <w:tab/>
        <w:t xml:space="preserve">Subject to subclause (2), food other than food – </w:t>
      </w:r>
    </w:p>
    <w:p w:rsidR="003E72FE" w:rsidRPr="003E72FE" w:rsidRDefault="003E72FE" w:rsidP="003E72FE">
      <w:pPr>
        <w:pStyle w:val="Subclause"/>
        <w:rPr>
          <w:rFonts w:cs="Arial"/>
        </w:rPr>
      </w:pPr>
    </w:p>
    <w:p w:rsidR="003E72FE" w:rsidRPr="003E72FE" w:rsidRDefault="003E72FE" w:rsidP="003E72FE">
      <w:pPr>
        <w:pStyle w:val="Paragraph"/>
        <w:rPr>
          <w:rFonts w:cs="Arial"/>
        </w:rPr>
      </w:pPr>
      <w:r w:rsidRPr="003E72FE">
        <w:rPr>
          <w:rFonts w:cs="Arial"/>
        </w:rPr>
        <w:t>(a)</w:t>
      </w:r>
      <w:r w:rsidRPr="003E72FE">
        <w:rPr>
          <w:rFonts w:cs="Arial"/>
        </w:rPr>
        <w:tab/>
        <w:t>for retail sale; or</w:t>
      </w:r>
    </w:p>
    <w:p w:rsidR="003E72FE" w:rsidRPr="003E72FE" w:rsidRDefault="003E72FE" w:rsidP="003E72FE">
      <w:pPr>
        <w:pStyle w:val="Paragraph"/>
        <w:rPr>
          <w:rFonts w:cs="Arial"/>
        </w:rPr>
      </w:pPr>
      <w:r w:rsidRPr="003E72FE">
        <w:rPr>
          <w:rFonts w:cs="Arial"/>
        </w:rPr>
        <w:t>(b)</w:t>
      </w:r>
      <w:r w:rsidRPr="003E72FE">
        <w:rPr>
          <w:rFonts w:cs="Arial"/>
        </w:rPr>
        <w:tab/>
        <w:t>for catering purposes; or</w:t>
      </w:r>
    </w:p>
    <w:p w:rsidR="003E72FE" w:rsidRPr="003E72FE" w:rsidRDefault="003E72FE" w:rsidP="003E72FE">
      <w:pPr>
        <w:pStyle w:val="Paragraph"/>
        <w:rPr>
          <w:rFonts w:cs="Arial"/>
        </w:rPr>
      </w:pPr>
      <w:r w:rsidRPr="003E72FE">
        <w:rPr>
          <w:rFonts w:cs="Arial"/>
        </w:rPr>
        <w:t>(c)</w:t>
      </w:r>
      <w:r w:rsidRPr="003E72FE">
        <w:rPr>
          <w:rFonts w:cs="Arial"/>
        </w:rPr>
        <w:tab/>
        <w:t>supplied as an intra company transfer;</w:t>
      </w:r>
    </w:p>
    <w:p w:rsidR="003E72FE" w:rsidRPr="003E72FE" w:rsidRDefault="003E72FE" w:rsidP="003E72FE">
      <w:pPr>
        <w:pStyle w:val="Paragraph"/>
        <w:rPr>
          <w:rFonts w:cs="Arial"/>
        </w:rPr>
      </w:pPr>
    </w:p>
    <w:p w:rsidR="003E72FE" w:rsidRPr="003E72FE" w:rsidRDefault="003E72FE" w:rsidP="003E72FE">
      <w:pPr>
        <w:pStyle w:val="Subclause"/>
        <w:rPr>
          <w:rFonts w:cs="Arial"/>
        </w:rPr>
      </w:pPr>
      <w:r w:rsidRPr="003E72FE">
        <w:rPr>
          <w:rFonts w:cs="Arial"/>
        </w:rPr>
        <w:t xml:space="preserve">must bear a label containing the information prescribed in Standard 1.2.2, except where the food – </w:t>
      </w:r>
    </w:p>
    <w:p w:rsidR="003E72FE" w:rsidRPr="003E72FE" w:rsidRDefault="003E72FE" w:rsidP="003E72FE">
      <w:pPr>
        <w:pStyle w:val="Subclause"/>
        <w:rPr>
          <w:rFonts w:cs="Arial"/>
        </w:rPr>
      </w:pPr>
    </w:p>
    <w:p w:rsidR="003E72FE" w:rsidRPr="003E72FE" w:rsidRDefault="003E72FE" w:rsidP="003E72FE">
      <w:pPr>
        <w:pStyle w:val="Paragraph"/>
        <w:rPr>
          <w:rFonts w:cs="Arial"/>
        </w:rPr>
      </w:pPr>
      <w:r w:rsidRPr="003E72FE">
        <w:rPr>
          <w:rFonts w:cs="Arial"/>
        </w:rPr>
        <w:t>(d)</w:t>
      </w:r>
      <w:r w:rsidRPr="003E72FE">
        <w:rPr>
          <w:rFonts w:cs="Arial"/>
        </w:rPr>
        <w:tab/>
        <w:t>is not in a package; or</w:t>
      </w:r>
    </w:p>
    <w:p w:rsidR="003E72FE" w:rsidRPr="003E72FE" w:rsidRDefault="003E72FE" w:rsidP="003E72FE">
      <w:pPr>
        <w:pStyle w:val="Paragraph"/>
        <w:rPr>
          <w:rFonts w:cs="Arial"/>
        </w:rPr>
      </w:pPr>
      <w:r w:rsidRPr="003E72FE">
        <w:rPr>
          <w:rFonts w:cs="Arial"/>
        </w:rPr>
        <w:t>(e)</w:t>
      </w:r>
      <w:r w:rsidRPr="003E72FE">
        <w:rPr>
          <w:rFonts w:cs="Arial"/>
        </w:rPr>
        <w:tab/>
        <w:t>is in an inner package or packages contained in an outer package where the label on the outer package includes the information prescribed in Standard 1.2.2; or</w:t>
      </w:r>
    </w:p>
    <w:p w:rsidR="003E72FE" w:rsidRPr="003E72FE" w:rsidRDefault="003E72FE" w:rsidP="003E72FE">
      <w:pPr>
        <w:pStyle w:val="Paragraph"/>
        <w:rPr>
          <w:rFonts w:cs="Arial"/>
        </w:rPr>
      </w:pPr>
      <w:r w:rsidRPr="003E72FE">
        <w:rPr>
          <w:rFonts w:cs="Arial"/>
        </w:rPr>
        <w:t>(f)</w:t>
      </w:r>
      <w:r w:rsidRPr="003E72FE">
        <w:rPr>
          <w:rFonts w:cs="Arial"/>
        </w:rPr>
        <w:tab/>
        <w:t>is in a transportation outer and the information prescribed in Standard 1.2.2 is clearly discernable through the transportation outer on the labels on the packages within.</w:t>
      </w:r>
    </w:p>
    <w:p w:rsidR="003E72FE" w:rsidRPr="003E72FE" w:rsidRDefault="003E72FE" w:rsidP="003E72FE">
      <w:pPr>
        <w:pStyle w:val="Clause"/>
        <w:rPr>
          <w:rFonts w:cs="Arial"/>
          <w:i/>
          <w:iCs/>
        </w:rPr>
      </w:pPr>
    </w:p>
    <w:p w:rsidR="003E72FE" w:rsidRPr="003E72FE" w:rsidRDefault="003E72FE" w:rsidP="003E72FE">
      <w:pPr>
        <w:pStyle w:val="Clause"/>
        <w:ind w:left="851" w:hanging="851"/>
        <w:rPr>
          <w:rFonts w:cs="Arial"/>
          <w:i/>
          <w:iCs/>
        </w:rPr>
      </w:pPr>
      <w:r w:rsidRPr="003E72FE">
        <w:rPr>
          <w:rFonts w:cs="Arial"/>
          <w:iCs/>
        </w:rPr>
        <w:t>[5.4]</w:t>
      </w:r>
      <w:r w:rsidRPr="003E72FE">
        <w:rPr>
          <w:rFonts w:cs="Arial"/>
          <w:iCs/>
        </w:rPr>
        <w:tab/>
      </w:r>
      <w:r w:rsidRPr="003E72FE">
        <w:rPr>
          <w:rFonts w:cs="Arial"/>
          <w:i/>
          <w:iCs/>
        </w:rPr>
        <w:t xml:space="preserve">omitting paragraph 5(2)(c), substituting – </w:t>
      </w:r>
    </w:p>
    <w:p w:rsidR="003E72FE" w:rsidRPr="003E72FE" w:rsidRDefault="003E72FE" w:rsidP="003E72FE">
      <w:pPr>
        <w:pStyle w:val="Clause"/>
        <w:ind w:left="851" w:hanging="851"/>
        <w:rPr>
          <w:rFonts w:cs="Arial"/>
        </w:rPr>
      </w:pPr>
    </w:p>
    <w:p w:rsidR="003E72FE" w:rsidRPr="003E72FE" w:rsidRDefault="003E72FE" w:rsidP="003E72FE">
      <w:pPr>
        <w:pStyle w:val="Paragraph"/>
        <w:rPr>
          <w:rFonts w:cs="Arial"/>
        </w:rPr>
      </w:pPr>
      <w:r w:rsidRPr="003E72FE">
        <w:rPr>
          <w:rFonts w:cs="Arial"/>
        </w:rPr>
        <w:t>(c)</w:t>
      </w:r>
      <w:r w:rsidRPr="003E72FE">
        <w:rPr>
          <w:rFonts w:cs="Arial"/>
        </w:rPr>
        <w:tab/>
        <w:t xml:space="preserve">an outer package where the – </w:t>
      </w:r>
    </w:p>
    <w:p w:rsidR="003E72FE" w:rsidRPr="003E72FE" w:rsidRDefault="003E72FE" w:rsidP="003E72FE">
      <w:pPr>
        <w:rPr>
          <w:rFonts w:cs="Arial"/>
          <w:sz w:val="20"/>
          <w:szCs w:val="20"/>
        </w:rPr>
      </w:pPr>
    </w:p>
    <w:p w:rsidR="003E72FE" w:rsidRPr="003E72FE" w:rsidRDefault="003E72FE" w:rsidP="003E72FE">
      <w:pPr>
        <w:pStyle w:val="Subparagraph"/>
        <w:rPr>
          <w:rFonts w:cs="Arial"/>
        </w:rPr>
      </w:pPr>
      <w:r w:rsidRPr="003E72FE">
        <w:rPr>
          <w:rFonts w:cs="Arial"/>
        </w:rPr>
        <w:t>(i)</w:t>
      </w:r>
      <w:r w:rsidRPr="003E72FE">
        <w:rPr>
          <w:rFonts w:cs="Arial"/>
        </w:rPr>
        <w:tab/>
        <w:t>label on the outer package includes the information prescribed in Standard 1.2.2; and</w:t>
      </w:r>
    </w:p>
    <w:p w:rsidR="003E72FE" w:rsidRPr="003E72FE" w:rsidRDefault="003E72FE" w:rsidP="003E72FE">
      <w:pPr>
        <w:pStyle w:val="Subparagraph"/>
        <w:rPr>
          <w:rFonts w:cs="Arial"/>
        </w:rPr>
      </w:pPr>
      <w:r w:rsidRPr="003E72FE">
        <w:rPr>
          <w:rFonts w:cs="Arial"/>
        </w:rPr>
        <w:t>(ii)</w:t>
      </w:r>
      <w:r w:rsidRPr="003E72FE">
        <w:rPr>
          <w:rFonts w:cs="Arial"/>
        </w:rPr>
        <w:tab/>
        <w:t>food in the inner package is labelled in accordance with subclause (1); or</w:t>
      </w:r>
    </w:p>
    <w:p w:rsidR="003E72FE" w:rsidRPr="003E72FE" w:rsidRDefault="003E72FE" w:rsidP="003E72FE">
      <w:pPr>
        <w:rPr>
          <w:rFonts w:cs="Arial"/>
          <w:b/>
          <w:bCs/>
          <w:sz w:val="20"/>
          <w:szCs w:val="20"/>
        </w:rPr>
      </w:pPr>
    </w:p>
    <w:p w:rsidR="003E72FE" w:rsidRPr="003E72FE" w:rsidRDefault="003E72FE" w:rsidP="003E72FE">
      <w:pPr>
        <w:pStyle w:val="Paragraph"/>
        <w:rPr>
          <w:rFonts w:cs="Arial"/>
        </w:rPr>
      </w:pPr>
      <w:r w:rsidRPr="003E72FE">
        <w:rPr>
          <w:rFonts w:cs="Arial"/>
          <w:bCs/>
        </w:rPr>
        <w:t>(d)</w:t>
      </w:r>
      <w:r w:rsidRPr="003E72FE">
        <w:rPr>
          <w:rFonts w:cs="Arial"/>
          <w:bCs/>
        </w:rPr>
        <w:tab/>
      </w:r>
      <w:r w:rsidRPr="003E72FE">
        <w:rPr>
          <w:rFonts w:cs="Arial"/>
        </w:rPr>
        <w:t xml:space="preserve">an outer package where the – </w:t>
      </w:r>
    </w:p>
    <w:p w:rsidR="003E72FE" w:rsidRPr="003E72FE" w:rsidRDefault="003E72FE" w:rsidP="003E72FE">
      <w:pPr>
        <w:pStyle w:val="Subparagraph"/>
        <w:rPr>
          <w:rFonts w:cs="Arial"/>
        </w:rPr>
      </w:pPr>
    </w:p>
    <w:p w:rsidR="003E72FE" w:rsidRPr="003E72FE" w:rsidRDefault="003E72FE" w:rsidP="003E72FE">
      <w:pPr>
        <w:pStyle w:val="Subparagraph"/>
        <w:rPr>
          <w:rFonts w:cs="Arial"/>
        </w:rPr>
      </w:pPr>
      <w:r w:rsidRPr="003E72FE">
        <w:rPr>
          <w:rFonts w:cs="Arial"/>
        </w:rPr>
        <w:t>(i)</w:t>
      </w:r>
      <w:r w:rsidRPr="003E72FE">
        <w:rPr>
          <w:rFonts w:cs="Arial"/>
        </w:rPr>
        <w:tab/>
        <w:t>information prescribed in clause 3 of Standard 1.2.2 is provided in documentation accompanying that food; and</w:t>
      </w:r>
    </w:p>
    <w:p w:rsidR="003E72FE" w:rsidRPr="003E72FE" w:rsidRDefault="003E72FE" w:rsidP="003E72FE">
      <w:pPr>
        <w:pStyle w:val="Subparagraph"/>
        <w:rPr>
          <w:rFonts w:cs="Arial"/>
        </w:rPr>
      </w:pPr>
      <w:r w:rsidRPr="003E72FE">
        <w:rPr>
          <w:rFonts w:cs="Arial"/>
        </w:rPr>
        <w:t>(ii)</w:t>
      </w:r>
      <w:r w:rsidRPr="003E72FE">
        <w:rPr>
          <w:rFonts w:cs="Arial"/>
        </w:rPr>
        <w:tab/>
        <w:t>label on the outer package includes the information prescribed in clauses 1 and 2 of Standard 1.2.2; and</w:t>
      </w:r>
    </w:p>
    <w:p w:rsidR="003E72FE" w:rsidRPr="003E72FE" w:rsidRDefault="003E72FE" w:rsidP="003E72FE">
      <w:pPr>
        <w:pStyle w:val="Subparagraph"/>
        <w:rPr>
          <w:rFonts w:cs="Arial"/>
        </w:rPr>
      </w:pPr>
      <w:r w:rsidRPr="003E72FE">
        <w:rPr>
          <w:rFonts w:cs="Arial"/>
        </w:rPr>
        <w:t>(iii)</w:t>
      </w:r>
      <w:r w:rsidRPr="003E72FE">
        <w:rPr>
          <w:rFonts w:cs="Arial"/>
        </w:rPr>
        <w:tab/>
        <w:t>food in the inner package is labelled in accordance with subclause (1).</w:t>
      </w:r>
    </w:p>
    <w:p w:rsidR="003E72FE" w:rsidRPr="003E72FE" w:rsidRDefault="003E72FE" w:rsidP="003E72FE">
      <w:pPr>
        <w:rPr>
          <w:rFonts w:cs="Arial"/>
          <w:sz w:val="20"/>
          <w:szCs w:val="20"/>
        </w:rPr>
      </w:pPr>
    </w:p>
    <w:p w:rsidR="003E72FE" w:rsidRPr="003E72FE" w:rsidRDefault="003E72FE" w:rsidP="003E72FE">
      <w:pPr>
        <w:pStyle w:val="Clause"/>
        <w:rPr>
          <w:rFonts w:cs="Arial"/>
          <w:i/>
        </w:rPr>
      </w:pPr>
      <w:r w:rsidRPr="003E72FE">
        <w:rPr>
          <w:rFonts w:cs="Arial"/>
        </w:rPr>
        <w:t>[5.5]</w:t>
      </w:r>
      <w:r w:rsidRPr="003E72FE">
        <w:rPr>
          <w:rFonts w:cs="Arial"/>
        </w:rPr>
        <w:tab/>
      </w:r>
      <w:r w:rsidRPr="003E72FE">
        <w:rPr>
          <w:rFonts w:cs="Arial"/>
          <w:i/>
        </w:rPr>
        <w:t xml:space="preserve">omitting from subclause 6(4) – </w:t>
      </w:r>
    </w:p>
    <w:p w:rsidR="003E72FE" w:rsidRPr="003E72FE" w:rsidRDefault="003E72FE" w:rsidP="003E72FE">
      <w:pPr>
        <w:rPr>
          <w:rFonts w:cs="Arial"/>
          <w:sz w:val="20"/>
          <w:szCs w:val="20"/>
        </w:rPr>
      </w:pPr>
    </w:p>
    <w:p w:rsidR="003E72FE" w:rsidRPr="003E72FE" w:rsidRDefault="003E72FE" w:rsidP="003E72FE">
      <w:pPr>
        <w:pStyle w:val="Subclause"/>
        <w:rPr>
          <w:rFonts w:cs="Arial"/>
        </w:rPr>
      </w:pPr>
      <w:r w:rsidRPr="003E72FE">
        <w:rPr>
          <w:rFonts w:cs="Arial"/>
        </w:rPr>
        <w:t>catering purposes,</w:t>
      </w:r>
    </w:p>
    <w:p w:rsidR="003E72FE" w:rsidRPr="003E72FE" w:rsidRDefault="003E72FE" w:rsidP="003E72FE">
      <w:pPr>
        <w:rPr>
          <w:rFonts w:cs="Arial"/>
          <w:sz w:val="20"/>
          <w:szCs w:val="20"/>
        </w:rPr>
      </w:pPr>
    </w:p>
    <w:p w:rsidR="003E72FE" w:rsidRPr="003E72FE" w:rsidRDefault="003E72FE" w:rsidP="003E72FE">
      <w:pPr>
        <w:pStyle w:val="Subclause"/>
        <w:rPr>
          <w:rFonts w:cs="Arial"/>
          <w:i/>
          <w:iCs/>
        </w:rPr>
      </w:pPr>
      <w:r w:rsidRPr="003E72FE">
        <w:rPr>
          <w:rFonts w:cs="Arial"/>
          <w:i/>
          <w:iCs/>
        </w:rPr>
        <w:t xml:space="preserve">substituting – </w:t>
      </w:r>
    </w:p>
    <w:p w:rsidR="003E72FE" w:rsidRPr="003E72FE" w:rsidRDefault="003E72FE" w:rsidP="003E72FE">
      <w:pPr>
        <w:rPr>
          <w:rFonts w:cs="Arial"/>
          <w:i/>
          <w:sz w:val="20"/>
          <w:szCs w:val="20"/>
        </w:rPr>
      </w:pPr>
    </w:p>
    <w:p w:rsidR="003E72FE" w:rsidRPr="003E72FE" w:rsidRDefault="003E72FE" w:rsidP="003E72FE">
      <w:pPr>
        <w:pStyle w:val="Subclause"/>
        <w:rPr>
          <w:rFonts w:cs="Arial"/>
        </w:rPr>
      </w:pPr>
      <w:r w:rsidRPr="003E72FE">
        <w:rPr>
          <w:rFonts w:cs="Arial"/>
        </w:rPr>
        <w:t>catering purposes</w:t>
      </w:r>
    </w:p>
    <w:p w:rsidR="003E72FE" w:rsidRPr="003E72FE" w:rsidRDefault="003E72FE" w:rsidP="003E72FE">
      <w:pPr>
        <w:rPr>
          <w:rFonts w:cs="Arial"/>
          <w:sz w:val="20"/>
          <w:szCs w:val="20"/>
        </w:rPr>
      </w:pPr>
    </w:p>
    <w:p w:rsidR="003E72FE" w:rsidRPr="003E72FE" w:rsidRDefault="003E72FE" w:rsidP="003E72FE">
      <w:pPr>
        <w:pStyle w:val="Clause"/>
        <w:rPr>
          <w:rFonts w:cs="Arial"/>
        </w:rPr>
      </w:pPr>
      <w:r w:rsidRPr="003E72FE">
        <w:rPr>
          <w:rFonts w:cs="Arial"/>
        </w:rPr>
        <w:t>[5.6]</w:t>
      </w:r>
      <w:r w:rsidRPr="003E72FE">
        <w:rPr>
          <w:rFonts w:cs="Arial"/>
        </w:rPr>
        <w:tab/>
      </w:r>
      <w:r w:rsidRPr="003E72FE">
        <w:rPr>
          <w:rFonts w:cs="Arial"/>
          <w:i/>
        </w:rPr>
        <w:t xml:space="preserve">omitting </w:t>
      </w:r>
      <w:r w:rsidRPr="003E72FE">
        <w:rPr>
          <w:rFonts w:cs="Arial"/>
        </w:rPr>
        <w:t xml:space="preserve">and/or </w:t>
      </w:r>
      <w:r w:rsidRPr="003E72FE">
        <w:rPr>
          <w:rFonts w:cs="Arial"/>
          <w:i/>
        </w:rPr>
        <w:t>wherever appearing in</w:t>
      </w:r>
      <w:r w:rsidRPr="003E72FE">
        <w:rPr>
          <w:rFonts w:cs="Arial"/>
        </w:rPr>
        <w:t xml:space="preserve"> Column 2</w:t>
      </w:r>
      <w:r w:rsidRPr="003E72FE">
        <w:rPr>
          <w:rFonts w:cs="Arial"/>
          <w:i/>
        </w:rPr>
        <w:t xml:space="preserve"> of the </w:t>
      </w:r>
      <w:r w:rsidRPr="003E72FE">
        <w:rPr>
          <w:rFonts w:cs="Arial"/>
        </w:rPr>
        <w:t xml:space="preserve">Table to clause 8, </w:t>
      </w:r>
      <w:r w:rsidRPr="003E72FE">
        <w:rPr>
          <w:rFonts w:cs="Arial"/>
          <w:i/>
        </w:rPr>
        <w:t xml:space="preserve">substituting </w:t>
      </w:r>
      <w:r w:rsidRPr="003E72FE">
        <w:rPr>
          <w:rFonts w:cs="Arial"/>
        </w:rPr>
        <w:t>or</w:t>
      </w:r>
    </w:p>
    <w:p w:rsidR="003E72FE" w:rsidRPr="003E72FE" w:rsidRDefault="003E72FE" w:rsidP="003E72FE">
      <w:pPr>
        <w:rPr>
          <w:rFonts w:cs="Arial"/>
          <w:sz w:val="20"/>
          <w:szCs w:val="20"/>
        </w:rPr>
      </w:pPr>
    </w:p>
    <w:p w:rsidR="003E72FE" w:rsidRPr="003E72FE" w:rsidRDefault="003E72FE" w:rsidP="003E72FE">
      <w:pPr>
        <w:pStyle w:val="Clause"/>
        <w:rPr>
          <w:rFonts w:cs="Arial"/>
          <w:i/>
          <w:iCs/>
        </w:rPr>
      </w:pPr>
      <w:r w:rsidRPr="003E72FE">
        <w:rPr>
          <w:rFonts w:cs="Arial"/>
          <w:b/>
          <w:bCs/>
        </w:rPr>
        <w:t>[6]</w:t>
      </w:r>
      <w:r w:rsidRPr="003E72FE">
        <w:rPr>
          <w:rFonts w:cs="Arial"/>
        </w:rPr>
        <w:tab/>
      </w:r>
      <w:r w:rsidRPr="003E72FE">
        <w:rPr>
          <w:rFonts w:cs="Arial"/>
          <w:b/>
          <w:bCs/>
          <w:i/>
          <w:iCs/>
        </w:rPr>
        <w:t>Standard 1.2.3</w:t>
      </w:r>
      <w:r w:rsidRPr="003E72FE">
        <w:rPr>
          <w:rFonts w:cs="Arial"/>
          <w:i/>
          <w:iCs/>
        </w:rPr>
        <w:t xml:space="preserve"> of the Australia New Zealand Food Standards Code is varied by – </w:t>
      </w:r>
    </w:p>
    <w:p w:rsidR="003E72FE" w:rsidRPr="003E72FE" w:rsidRDefault="003E72FE" w:rsidP="003E72FE">
      <w:pPr>
        <w:rPr>
          <w:rFonts w:cs="Arial"/>
          <w:iCs/>
          <w:sz w:val="20"/>
          <w:szCs w:val="20"/>
        </w:rPr>
      </w:pPr>
    </w:p>
    <w:p w:rsidR="003E72FE" w:rsidRPr="003E72FE" w:rsidRDefault="003E72FE" w:rsidP="003E72FE">
      <w:pPr>
        <w:pStyle w:val="Clause"/>
        <w:rPr>
          <w:rFonts w:cs="Arial"/>
        </w:rPr>
      </w:pPr>
      <w:r w:rsidRPr="003E72FE">
        <w:rPr>
          <w:rFonts w:cs="Arial"/>
        </w:rPr>
        <w:t>[6.1]</w:t>
      </w:r>
      <w:r w:rsidRPr="003E72FE">
        <w:rPr>
          <w:rFonts w:cs="Arial"/>
          <w:b/>
        </w:rPr>
        <w:tab/>
      </w:r>
      <w:r w:rsidRPr="003E72FE">
        <w:rPr>
          <w:rFonts w:cs="Arial"/>
          <w:i/>
        </w:rPr>
        <w:t xml:space="preserve">omitting from the </w:t>
      </w:r>
      <w:r w:rsidRPr="003E72FE">
        <w:rPr>
          <w:rFonts w:cs="Arial"/>
        </w:rPr>
        <w:t xml:space="preserve">Editorial note </w:t>
      </w:r>
      <w:r w:rsidRPr="003E72FE">
        <w:rPr>
          <w:rFonts w:cs="Arial"/>
          <w:i/>
        </w:rPr>
        <w:t>following clause 2</w:t>
      </w:r>
      <w:r w:rsidRPr="003E72FE">
        <w:rPr>
          <w:rFonts w:cs="Arial"/>
        </w:rPr>
        <w:t xml:space="preserve"> –</w:t>
      </w:r>
    </w:p>
    <w:p w:rsidR="003E72FE" w:rsidRPr="003E72FE" w:rsidRDefault="003E72FE" w:rsidP="003E72FE">
      <w:pPr>
        <w:pStyle w:val="Clause"/>
        <w:rPr>
          <w:rFonts w:cs="Arial"/>
        </w:rPr>
      </w:pPr>
    </w:p>
    <w:p w:rsidR="003E72FE" w:rsidRPr="003E72FE" w:rsidRDefault="003E72FE" w:rsidP="003E72FE">
      <w:pPr>
        <w:pStyle w:val="Clause"/>
        <w:rPr>
          <w:rFonts w:cs="Arial"/>
        </w:rPr>
      </w:pPr>
      <w:r w:rsidRPr="003E72FE">
        <w:rPr>
          <w:rFonts w:cs="Arial"/>
        </w:rPr>
        <w:t>Standard 2.5.1. – ‘dried milks’</w:t>
      </w:r>
    </w:p>
    <w:p w:rsidR="003E72FE" w:rsidRPr="003E72FE" w:rsidRDefault="003E72FE" w:rsidP="003E72FE">
      <w:pPr>
        <w:rPr>
          <w:rFonts w:cs="Arial"/>
          <w:i/>
          <w:sz w:val="20"/>
          <w:szCs w:val="20"/>
        </w:rPr>
      </w:pPr>
    </w:p>
    <w:p w:rsidR="003E72FE" w:rsidRPr="003E72FE" w:rsidRDefault="003E72FE" w:rsidP="003E72FE">
      <w:pPr>
        <w:pStyle w:val="Clause"/>
        <w:rPr>
          <w:rFonts w:cs="Arial"/>
          <w:i/>
          <w:iCs/>
        </w:rPr>
      </w:pPr>
      <w:r w:rsidRPr="003E72FE">
        <w:rPr>
          <w:rFonts w:cs="Arial"/>
          <w:i/>
          <w:iCs/>
        </w:rPr>
        <w:t>substituting –</w:t>
      </w:r>
    </w:p>
    <w:p w:rsidR="003E72FE" w:rsidRPr="003E72FE" w:rsidRDefault="003E72FE" w:rsidP="003E72FE">
      <w:pPr>
        <w:rPr>
          <w:rFonts w:cs="Arial"/>
          <w:i/>
          <w:sz w:val="20"/>
          <w:szCs w:val="20"/>
        </w:rPr>
      </w:pPr>
    </w:p>
    <w:p w:rsidR="003E72FE" w:rsidRDefault="003E72FE" w:rsidP="003E72FE">
      <w:pPr>
        <w:pStyle w:val="Clause"/>
        <w:rPr>
          <w:rFonts w:cs="Arial"/>
        </w:rPr>
      </w:pPr>
      <w:r w:rsidRPr="003E72FE">
        <w:rPr>
          <w:rFonts w:cs="Arial"/>
        </w:rPr>
        <w:t>Standard 2.5.1.  ‘Dried milks’</w:t>
      </w:r>
      <w:r>
        <w:rPr>
          <w:rFonts w:cs="Arial"/>
        </w:rPr>
        <w:br w:type="page"/>
      </w:r>
    </w:p>
    <w:p w:rsidR="003E72FE" w:rsidRPr="003E72FE" w:rsidRDefault="003E72FE" w:rsidP="003E72FE">
      <w:pPr>
        <w:pStyle w:val="Clause"/>
        <w:rPr>
          <w:rFonts w:cs="Arial"/>
        </w:rPr>
      </w:pPr>
      <w:r w:rsidRPr="003E72FE">
        <w:rPr>
          <w:rFonts w:cs="Arial"/>
        </w:rPr>
        <w:lastRenderedPageBreak/>
        <w:t>[6.2]</w:t>
      </w:r>
      <w:r w:rsidRPr="003E72FE">
        <w:rPr>
          <w:rFonts w:cs="Arial"/>
        </w:rPr>
        <w:tab/>
      </w:r>
      <w:r w:rsidRPr="003E72FE">
        <w:rPr>
          <w:rFonts w:cs="Arial"/>
          <w:i/>
        </w:rPr>
        <w:t xml:space="preserve">inserting </w:t>
      </w:r>
      <w:r w:rsidRPr="003E72FE">
        <w:rPr>
          <w:rFonts w:cs="Arial"/>
        </w:rPr>
        <w:t xml:space="preserve">and warning </w:t>
      </w:r>
      <w:r w:rsidRPr="003E72FE">
        <w:rPr>
          <w:rFonts w:cs="Arial"/>
          <w:i/>
        </w:rPr>
        <w:t xml:space="preserve">after </w:t>
      </w:r>
      <w:r w:rsidRPr="003E72FE">
        <w:rPr>
          <w:rFonts w:cs="Arial"/>
        </w:rPr>
        <w:t xml:space="preserve">mandatory advisory </w:t>
      </w:r>
      <w:r w:rsidRPr="003E72FE">
        <w:rPr>
          <w:rFonts w:cs="Arial"/>
          <w:i/>
        </w:rPr>
        <w:t xml:space="preserve">in the </w:t>
      </w:r>
      <w:r w:rsidRPr="003E72FE">
        <w:rPr>
          <w:rFonts w:cs="Arial"/>
        </w:rPr>
        <w:t>Purpose.</w:t>
      </w:r>
    </w:p>
    <w:p w:rsidR="003E72FE" w:rsidRPr="003E72FE" w:rsidRDefault="003E72FE" w:rsidP="003E72FE">
      <w:pPr>
        <w:pStyle w:val="Clause"/>
        <w:rPr>
          <w:rFonts w:cs="Arial"/>
          <w:iCs/>
        </w:rPr>
      </w:pPr>
    </w:p>
    <w:p w:rsidR="003E72FE" w:rsidRPr="003E72FE" w:rsidRDefault="003E72FE" w:rsidP="003E72FE">
      <w:pPr>
        <w:pStyle w:val="Clause"/>
        <w:rPr>
          <w:rFonts w:cs="Arial"/>
        </w:rPr>
      </w:pPr>
      <w:r w:rsidRPr="003E72FE">
        <w:rPr>
          <w:rFonts w:cs="Arial"/>
        </w:rPr>
        <w:t>[6.3]</w:t>
      </w:r>
      <w:r w:rsidRPr="003E72FE">
        <w:rPr>
          <w:rFonts w:cs="Arial"/>
        </w:rPr>
        <w:tab/>
      </w:r>
      <w:r w:rsidRPr="003E72FE">
        <w:rPr>
          <w:rFonts w:cs="Arial"/>
          <w:i/>
        </w:rPr>
        <w:t>omitting from the heading to clause 3</w:t>
      </w:r>
      <w:r w:rsidRPr="003E72FE">
        <w:rPr>
          <w:rFonts w:cs="Arial"/>
        </w:rPr>
        <w:t xml:space="preserve"> – </w:t>
      </w:r>
    </w:p>
    <w:p w:rsidR="003E72FE" w:rsidRPr="003E72FE" w:rsidRDefault="003E72FE" w:rsidP="003E72FE">
      <w:pPr>
        <w:rPr>
          <w:rFonts w:cs="Arial"/>
          <w:i/>
          <w:iCs/>
          <w:sz w:val="20"/>
          <w:szCs w:val="20"/>
        </w:rPr>
      </w:pPr>
    </w:p>
    <w:p w:rsidR="003E72FE" w:rsidRPr="003E72FE" w:rsidRDefault="003E72FE" w:rsidP="003E72FE">
      <w:pPr>
        <w:pStyle w:val="ClauseHeading0"/>
        <w:rPr>
          <w:rFonts w:cs="Arial"/>
        </w:rPr>
      </w:pPr>
      <w:r w:rsidRPr="003E72FE">
        <w:rPr>
          <w:rFonts w:cs="Arial"/>
        </w:rPr>
        <w:t>and declarations</w:t>
      </w:r>
    </w:p>
    <w:p w:rsidR="003E72FE" w:rsidRPr="003E72FE" w:rsidRDefault="003E72FE" w:rsidP="003E72FE">
      <w:pPr>
        <w:rPr>
          <w:rFonts w:cs="Arial"/>
          <w:sz w:val="20"/>
          <w:szCs w:val="20"/>
        </w:rPr>
      </w:pPr>
    </w:p>
    <w:p w:rsidR="003E72FE" w:rsidRPr="003E72FE" w:rsidRDefault="003E72FE" w:rsidP="003E72FE">
      <w:pPr>
        <w:pStyle w:val="Clause"/>
        <w:rPr>
          <w:rFonts w:cs="Arial"/>
          <w:iCs/>
        </w:rPr>
      </w:pPr>
      <w:r w:rsidRPr="003E72FE">
        <w:rPr>
          <w:rFonts w:cs="Arial"/>
          <w:iCs/>
        </w:rPr>
        <w:t>[6.4]</w:t>
      </w:r>
      <w:r w:rsidRPr="003E72FE">
        <w:rPr>
          <w:rFonts w:cs="Arial"/>
          <w:iCs/>
        </w:rPr>
        <w:tab/>
      </w:r>
      <w:r w:rsidRPr="003E72FE">
        <w:rPr>
          <w:rFonts w:cs="Arial"/>
          <w:i/>
          <w:iCs/>
        </w:rPr>
        <w:t xml:space="preserve">omitting </w:t>
      </w:r>
      <w:r w:rsidRPr="003E72FE">
        <w:rPr>
          <w:rFonts w:cs="Arial"/>
          <w:iCs/>
        </w:rPr>
        <w:t xml:space="preserve">advisory statement </w:t>
      </w:r>
      <w:r w:rsidRPr="003E72FE">
        <w:rPr>
          <w:rFonts w:cs="Arial"/>
          <w:i/>
          <w:iCs/>
        </w:rPr>
        <w:t xml:space="preserve">from subclause 3(2), substituting </w:t>
      </w:r>
      <w:r w:rsidRPr="003E72FE">
        <w:rPr>
          <w:rFonts w:cs="Arial"/>
          <w:iCs/>
        </w:rPr>
        <w:t>warning statement</w:t>
      </w:r>
    </w:p>
    <w:p w:rsidR="003E72FE" w:rsidRPr="003E72FE" w:rsidRDefault="003E72FE" w:rsidP="003E72FE">
      <w:pPr>
        <w:pStyle w:val="Clause"/>
        <w:rPr>
          <w:rFonts w:cs="Arial"/>
          <w:iCs/>
        </w:rPr>
      </w:pPr>
    </w:p>
    <w:p w:rsidR="003E72FE" w:rsidRPr="003E72FE" w:rsidRDefault="003E72FE" w:rsidP="003E72FE">
      <w:pPr>
        <w:pStyle w:val="Clause"/>
        <w:rPr>
          <w:rFonts w:cs="Arial"/>
        </w:rPr>
      </w:pPr>
      <w:r w:rsidRPr="003E72FE">
        <w:rPr>
          <w:rFonts w:cs="Arial"/>
        </w:rPr>
        <w:t>[6.5]</w:t>
      </w:r>
      <w:r w:rsidRPr="003E72FE">
        <w:rPr>
          <w:rFonts w:cs="Arial"/>
        </w:rPr>
        <w:tab/>
      </w:r>
      <w:r w:rsidRPr="003E72FE">
        <w:rPr>
          <w:rFonts w:cs="Arial"/>
          <w:i/>
        </w:rPr>
        <w:t xml:space="preserve">omitting from the </w:t>
      </w:r>
      <w:r w:rsidRPr="003E72FE">
        <w:rPr>
          <w:rFonts w:cs="Arial"/>
        </w:rPr>
        <w:t xml:space="preserve">Table to clause 4 – </w:t>
      </w:r>
    </w:p>
    <w:p w:rsidR="003E72FE" w:rsidRPr="003E72FE" w:rsidRDefault="003E72FE" w:rsidP="003E72FE">
      <w:pPr>
        <w:pStyle w:val="Clause"/>
        <w:rPr>
          <w:rFonts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E72FE" w:rsidTr="003E72FE">
        <w:tc>
          <w:tcPr>
            <w:tcW w:w="9072"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rPr>
                <w:iCs/>
              </w:rPr>
            </w:pPr>
            <w:r>
              <w:t>Fish and fish products, except for isinglass derived from swim bladders and used as a clarifying agent in beer and wine.</w:t>
            </w:r>
          </w:p>
        </w:tc>
      </w:tr>
      <w:tr w:rsidR="003E72FE" w:rsidTr="003E72FE">
        <w:tc>
          <w:tcPr>
            <w:tcW w:w="9072"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rPr>
                <w:iCs/>
              </w:rPr>
            </w:pPr>
            <w:r>
              <w:t>Peanuts and soybeans, and their products</w:t>
            </w:r>
          </w:p>
        </w:tc>
      </w:tr>
      <w:tr w:rsidR="003E72FE" w:rsidTr="003E72FE">
        <w:tc>
          <w:tcPr>
            <w:tcW w:w="9072"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rPr>
                <w:iCs/>
              </w:rPr>
            </w:pPr>
            <w:r>
              <w:t xml:space="preserve">Tree nuts and sesame seeds and their products other than coconut from the fruit of the palm </w:t>
            </w:r>
            <w:r>
              <w:rPr>
                <w:i/>
              </w:rPr>
              <w:t>Cocos nucifera</w:t>
            </w:r>
          </w:p>
        </w:tc>
      </w:tr>
    </w:tbl>
    <w:p w:rsidR="003E72FE" w:rsidRDefault="003E72FE" w:rsidP="003E72FE">
      <w:pPr>
        <w:rPr>
          <w:iCs/>
          <w:sz w:val="20"/>
          <w:szCs w:val="20"/>
        </w:rPr>
      </w:pPr>
    </w:p>
    <w:p w:rsidR="003E72FE" w:rsidRDefault="003E72FE" w:rsidP="003E72FE">
      <w:pPr>
        <w:pStyle w:val="Clause"/>
        <w:rPr>
          <w:i/>
          <w:iCs/>
          <w:lang w:bidi="ar-SA"/>
        </w:rPr>
      </w:pPr>
      <w:r>
        <w:rPr>
          <w:i/>
          <w:iCs/>
        </w:rPr>
        <w:t xml:space="preserve">substituting – </w:t>
      </w:r>
    </w:p>
    <w:p w:rsidR="003E72FE" w:rsidRDefault="003E72FE" w:rsidP="003E72FE">
      <w:pPr>
        <w:rPr>
          <w:i/>
          <w:i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E72FE" w:rsidTr="003E72FE">
        <w:tc>
          <w:tcPr>
            <w:tcW w:w="9072"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rPr>
                <w:iCs/>
              </w:rPr>
            </w:pPr>
            <w:r>
              <w:t>Fish and fish products, except for isinglass derived from swim bladders and used as a clarifying agent in beer and wine</w:t>
            </w:r>
          </w:p>
        </w:tc>
      </w:tr>
      <w:tr w:rsidR="003E72FE" w:rsidTr="003E72FE">
        <w:tc>
          <w:tcPr>
            <w:tcW w:w="9072"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Peanuts and peanut products</w:t>
            </w:r>
          </w:p>
        </w:tc>
      </w:tr>
      <w:tr w:rsidR="003E72FE" w:rsidTr="003E72FE">
        <w:tc>
          <w:tcPr>
            <w:tcW w:w="9072"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Soybeans and soybean products</w:t>
            </w:r>
          </w:p>
        </w:tc>
      </w:tr>
      <w:tr w:rsidR="003E72FE" w:rsidTr="003E72FE">
        <w:tc>
          <w:tcPr>
            <w:tcW w:w="9072"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 xml:space="preserve">Tree nuts and tree nut products other than coconut from the fruit of the palm </w:t>
            </w:r>
            <w:r>
              <w:rPr>
                <w:i/>
              </w:rPr>
              <w:t>Cocos nucifera</w:t>
            </w:r>
          </w:p>
        </w:tc>
      </w:tr>
      <w:tr w:rsidR="003E72FE" w:rsidTr="003E72FE">
        <w:tc>
          <w:tcPr>
            <w:tcW w:w="9072"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Sesame seeds and sesame seed products</w:t>
            </w:r>
          </w:p>
        </w:tc>
      </w:tr>
    </w:tbl>
    <w:p w:rsidR="003E72FE" w:rsidRPr="003E72FE" w:rsidRDefault="003E72FE" w:rsidP="003E72FE">
      <w:pPr>
        <w:rPr>
          <w:sz w:val="20"/>
          <w:szCs w:val="20"/>
        </w:rPr>
      </w:pPr>
    </w:p>
    <w:p w:rsidR="003E72FE" w:rsidRPr="003E72FE" w:rsidRDefault="003E72FE" w:rsidP="003E72FE">
      <w:pPr>
        <w:pStyle w:val="Clause"/>
        <w:rPr>
          <w:lang w:bidi="ar-SA"/>
        </w:rPr>
      </w:pPr>
      <w:r w:rsidRPr="003E72FE">
        <w:t>[6.6]</w:t>
      </w:r>
      <w:r w:rsidRPr="003E72FE">
        <w:tab/>
      </w:r>
      <w:r w:rsidRPr="003E72FE">
        <w:rPr>
          <w:i/>
        </w:rPr>
        <w:t xml:space="preserve">updating the </w:t>
      </w:r>
      <w:r w:rsidRPr="003E72FE">
        <w:t xml:space="preserve">Table of Provisions </w:t>
      </w:r>
      <w:r w:rsidRPr="003E72FE">
        <w:rPr>
          <w:i/>
        </w:rPr>
        <w:t>to reflect these amendments</w:t>
      </w:r>
    </w:p>
    <w:p w:rsidR="003E72FE" w:rsidRPr="003E72FE" w:rsidRDefault="003E72FE" w:rsidP="003E72FE">
      <w:pPr>
        <w:rPr>
          <w:sz w:val="20"/>
          <w:szCs w:val="20"/>
        </w:rPr>
      </w:pPr>
    </w:p>
    <w:p w:rsidR="003E72FE" w:rsidRPr="003E72FE" w:rsidRDefault="003E72FE" w:rsidP="003E72FE">
      <w:pPr>
        <w:pStyle w:val="Clause"/>
        <w:rPr>
          <w:i/>
          <w:iCs/>
        </w:rPr>
      </w:pPr>
      <w:r w:rsidRPr="003E72FE">
        <w:rPr>
          <w:b/>
          <w:bCs/>
        </w:rPr>
        <w:t>[7]</w:t>
      </w:r>
      <w:r w:rsidRPr="003E72FE">
        <w:tab/>
      </w:r>
      <w:r w:rsidRPr="003E72FE">
        <w:rPr>
          <w:b/>
          <w:bCs/>
          <w:i/>
          <w:iCs/>
        </w:rPr>
        <w:t>Standard 1.2.4</w:t>
      </w:r>
      <w:r w:rsidRPr="003E72FE">
        <w:rPr>
          <w:i/>
          <w:iCs/>
        </w:rPr>
        <w:t xml:space="preserve"> of the Australia New Zealand Food Standards Code is varied by – </w:t>
      </w:r>
    </w:p>
    <w:p w:rsidR="003E72FE" w:rsidRPr="003E72FE" w:rsidRDefault="003E72FE" w:rsidP="003E72FE">
      <w:pPr>
        <w:rPr>
          <w:sz w:val="20"/>
          <w:szCs w:val="20"/>
        </w:rPr>
      </w:pPr>
    </w:p>
    <w:p w:rsidR="003E72FE" w:rsidRPr="003E72FE" w:rsidRDefault="003E72FE" w:rsidP="003E72FE">
      <w:pPr>
        <w:pStyle w:val="Clause"/>
      </w:pPr>
      <w:r w:rsidRPr="003E72FE">
        <w:t>[7.1]</w:t>
      </w:r>
      <w:r w:rsidRPr="003E72FE">
        <w:tab/>
      </w:r>
      <w:r w:rsidRPr="003E72FE">
        <w:rPr>
          <w:i/>
        </w:rPr>
        <w:t>omitting clause 2, substituting</w:t>
      </w:r>
      <w:r w:rsidRPr="003E72FE">
        <w:t xml:space="preserve"> – </w:t>
      </w:r>
    </w:p>
    <w:p w:rsidR="003E72FE" w:rsidRPr="003E72FE" w:rsidRDefault="003E72FE" w:rsidP="003E72FE">
      <w:pPr>
        <w:rPr>
          <w:i/>
          <w:sz w:val="20"/>
          <w:szCs w:val="20"/>
        </w:rPr>
      </w:pPr>
    </w:p>
    <w:p w:rsidR="003E72FE" w:rsidRPr="003E72FE" w:rsidRDefault="003E72FE" w:rsidP="003E72FE">
      <w:pPr>
        <w:pStyle w:val="ClauseHeading0"/>
      </w:pPr>
      <w:r w:rsidRPr="003E72FE">
        <w:t>2</w:t>
      </w:r>
      <w:r w:rsidRPr="003E72FE">
        <w:tab/>
        <w:t>Requirement for statement of ingredients</w:t>
      </w:r>
    </w:p>
    <w:p w:rsidR="003E72FE" w:rsidRPr="003E72FE" w:rsidRDefault="003E72FE" w:rsidP="003E72FE">
      <w:pPr>
        <w:rPr>
          <w:b/>
          <w:sz w:val="20"/>
          <w:szCs w:val="20"/>
        </w:rPr>
      </w:pPr>
    </w:p>
    <w:p w:rsidR="003E72FE" w:rsidRPr="003E72FE" w:rsidRDefault="003E72FE" w:rsidP="003E72FE">
      <w:pPr>
        <w:pStyle w:val="Clause"/>
      </w:pPr>
      <w:r w:rsidRPr="003E72FE">
        <w:t xml:space="preserve">The label on a package of food must include a statement of ingredients unless – </w:t>
      </w:r>
    </w:p>
    <w:p w:rsidR="003E72FE" w:rsidRPr="003E72FE" w:rsidRDefault="003E72FE" w:rsidP="003E72FE">
      <w:pPr>
        <w:rPr>
          <w:sz w:val="20"/>
          <w:szCs w:val="20"/>
        </w:rPr>
      </w:pPr>
    </w:p>
    <w:p w:rsidR="003E72FE" w:rsidRPr="003E72FE" w:rsidRDefault="003E72FE" w:rsidP="003E72FE">
      <w:pPr>
        <w:pStyle w:val="Paragraph"/>
      </w:pPr>
      <w:r w:rsidRPr="003E72FE">
        <w:t>(a)</w:t>
      </w:r>
      <w:r w:rsidRPr="003E72FE">
        <w:tab/>
        <w:t>the food is labelled with the name of the food which would otherwise be those ingredients listed in the ingredient list; or</w:t>
      </w:r>
    </w:p>
    <w:p w:rsidR="003E72FE" w:rsidRPr="003E72FE" w:rsidRDefault="003E72FE" w:rsidP="003E72FE">
      <w:pPr>
        <w:pStyle w:val="Paragraph"/>
      </w:pPr>
      <w:r w:rsidRPr="003E72FE">
        <w:t>(b)</w:t>
      </w:r>
      <w:r w:rsidRPr="003E72FE">
        <w:tab/>
        <w:t>the food is water presented in packaged form as standardised in Standard 2.6.2; or</w:t>
      </w:r>
    </w:p>
    <w:p w:rsidR="003E72FE" w:rsidRPr="003E72FE" w:rsidRDefault="003E72FE" w:rsidP="003E72FE">
      <w:pPr>
        <w:pStyle w:val="Paragraph"/>
      </w:pPr>
      <w:r w:rsidRPr="003E72FE">
        <w:t>(c)</w:t>
      </w:r>
      <w:r w:rsidRPr="003E72FE">
        <w:tab/>
        <w:t>the food is an alcoholic beverage standardised in Standard 2.7.2 to Standard 2.7.5 of this Code; or</w:t>
      </w:r>
    </w:p>
    <w:p w:rsidR="003E72FE" w:rsidRPr="003E72FE" w:rsidRDefault="003E72FE" w:rsidP="003E72FE">
      <w:pPr>
        <w:pStyle w:val="Paragraph"/>
      </w:pPr>
      <w:r w:rsidRPr="003E72FE">
        <w:t>(d)</w:t>
      </w:r>
      <w:r w:rsidRPr="003E72FE">
        <w:tab/>
        <w:t>the food is contained in a small package.</w:t>
      </w:r>
    </w:p>
    <w:p w:rsidR="003E72FE" w:rsidRPr="003E72FE" w:rsidRDefault="003E72FE" w:rsidP="003E72FE">
      <w:pPr>
        <w:pStyle w:val="Clause"/>
        <w:rPr>
          <w:i/>
          <w:iCs/>
        </w:rPr>
      </w:pPr>
    </w:p>
    <w:p w:rsidR="003E72FE" w:rsidRPr="003E72FE" w:rsidRDefault="003E72FE" w:rsidP="003E72FE">
      <w:pPr>
        <w:pStyle w:val="Clause"/>
      </w:pPr>
      <w:r w:rsidRPr="003E72FE">
        <w:t>[7.2]</w:t>
      </w:r>
      <w:r w:rsidRPr="003E72FE">
        <w:tab/>
      </w:r>
      <w:r w:rsidRPr="003E72FE">
        <w:rPr>
          <w:i/>
        </w:rPr>
        <w:t xml:space="preserve">omitting </w:t>
      </w:r>
      <w:r w:rsidRPr="003E72FE">
        <w:t xml:space="preserve">and/or </w:t>
      </w:r>
      <w:r w:rsidRPr="003E72FE">
        <w:rPr>
          <w:i/>
        </w:rPr>
        <w:t xml:space="preserve">from the entry for </w:t>
      </w:r>
      <w:r w:rsidRPr="003E72FE">
        <w:t xml:space="preserve">milk solids </w:t>
      </w:r>
      <w:r w:rsidRPr="003E72FE">
        <w:rPr>
          <w:i/>
        </w:rPr>
        <w:t xml:space="preserve">in the </w:t>
      </w:r>
      <w:r w:rsidRPr="003E72FE">
        <w:t xml:space="preserve">Table to clause 4, </w:t>
      </w:r>
      <w:r w:rsidRPr="003E72FE">
        <w:rPr>
          <w:i/>
        </w:rPr>
        <w:t xml:space="preserve">substituting </w:t>
      </w:r>
      <w:r w:rsidRPr="003E72FE">
        <w:t>or</w:t>
      </w:r>
    </w:p>
    <w:p w:rsidR="003E72FE" w:rsidRPr="003E72FE" w:rsidRDefault="003E72FE" w:rsidP="003E72FE">
      <w:pPr>
        <w:rPr>
          <w:sz w:val="20"/>
          <w:szCs w:val="20"/>
        </w:rPr>
      </w:pPr>
    </w:p>
    <w:p w:rsidR="003E72FE" w:rsidRPr="003E72FE" w:rsidRDefault="003E72FE" w:rsidP="003E72FE">
      <w:pPr>
        <w:pStyle w:val="Clause"/>
      </w:pPr>
      <w:r w:rsidRPr="003E72FE">
        <w:t>[7.3]</w:t>
      </w:r>
      <w:r w:rsidRPr="003E72FE">
        <w:tab/>
      </w:r>
      <w:r w:rsidRPr="003E72FE">
        <w:rPr>
          <w:i/>
        </w:rPr>
        <w:t xml:space="preserve">omitting </w:t>
      </w:r>
      <w:r w:rsidRPr="003E72FE">
        <w:t xml:space="preserve">and/or </w:t>
      </w:r>
      <w:r w:rsidRPr="003E72FE">
        <w:rPr>
          <w:i/>
        </w:rPr>
        <w:t xml:space="preserve">wherever appearing in clause 5, substituting </w:t>
      </w:r>
      <w:r w:rsidRPr="003E72FE">
        <w:t>or</w:t>
      </w:r>
    </w:p>
    <w:p w:rsidR="003E72FE" w:rsidRPr="003E72FE" w:rsidRDefault="003E72FE" w:rsidP="003E72FE">
      <w:pPr>
        <w:rPr>
          <w:sz w:val="20"/>
          <w:szCs w:val="20"/>
        </w:rPr>
      </w:pPr>
    </w:p>
    <w:p w:rsidR="003E72FE" w:rsidRPr="003E72FE" w:rsidRDefault="003E72FE" w:rsidP="003E72FE">
      <w:pPr>
        <w:pStyle w:val="Clause"/>
        <w:rPr>
          <w:i/>
          <w:iCs/>
        </w:rPr>
      </w:pPr>
      <w:r w:rsidRPr="003E72FE">
        <w:rPr>
          <w:iCs/>
        </w:rPr>
        <w:t>[7.4]</w:t>
      </w:r>
      <w:r w:rsidRPr="003E72FE">
        <w:rPr>
          <w:iCs/>
        </w:rPr>
        <w:tab/>
      </w:r>
      <w:r w:rsidRPr="003E72FE">
        <w:rPr>
          <w:i/>
          <w:iCs/>
        </w:rPr>
        <w:t xml:space="preserve">omitting clause 6, substituting – </w:t>
      </w:r>
    </w:p>
    <w:p w:rsidR="003E72FE" w:rsidRPr="003E72FE" w:rsidRDefault="003E72FE" w:rsidP="003E72FE">
      <w:pPr>
        <w:rPr>
          <w:sz w:val="20"/>
          <w:szCs w:val="20"/>
        </w:rPr>
      </w:pPr>
    </w:p>
    <w:p w:rsidR="003E72FE" w:rsidRPr="003E72FE" w:rsidRDefault="003E72FE" w:rsidP="003E72FE">
      <w:pPr>
        <w:pStyle w:val="ClauseHeading0"/>
      </w:pPr>
      <w:r w:rsidRPr="003E72FE">
        <w:t>6</w:t>
      </w:r>
      <w:r w:rsidRPr="003E72FE">
        <w:tab/>
        <w:t>Declaration of compound ingredients</w:t>
      </w:r>
    </w:p>
    <w:p w:rsidR="003E72FE" w:rsidRPr="003E72FE" w:rsidRDefault="003E72FE" w:rsidP="003E72FE">
      <w:pPr>
        <w:rPr>
          <w:sz w:val="20"/>
          <w:szCs w:val="20"/>
        </w:rPr>
      </w:pPr>
    </w:p>
    <w:p w:rsidR="003E72FE" w:rsidRPr="003E72FE" w:rsidRDefault="003E72FE" w:rsidP="003E72FE">
      <w:pPr>
        <w:pStyle w:val="Subclause"/>
      </w:pPr>
      <w:r w:rsidRPr="003E72FE">
        <w:t>(1)</w:t>
      </w:r>
      <w:r w:rsidRPr="003E72FE">
        <w:tab/>
        <w:t xml:space="preserve">A compound ingredient must be declared in the statement of ingredients either – </w:t>
      </w:r>
    </w:p>
    <w:p w:rsidR="003E72FE" w:rsidRPr="003E72FE" w:rsidRDefault="003E72FE" w:rsidP="003E72FE">
      <w:pPr>
        <w:pStyle w:val="Paragraph"/>
      </w:pPr>
    </w:p>
    <w:p w:rsidR="003E72FE" w:rsidRPr="003E72FE" w:rsidRDefault="003E72FE" w:rsidP="003E72FE">
      <w:pPr>
        <w:pStyle w:val="Paragraph"/>
      </w:pPr>
      <w:r w:rsidRPr="003E72FE">
        <w:rPr>
          <w:bCs/>
        </w:rPr>
        <w:t>(a)</w:t>
      </w:r>
      <w:r w:rsidRPr="003E72FE">
        <w:rPr>
          <w:bCs/>
        </w:rPr>
        <w:tab/>
      </w:r>
      <w:r w:rsidRPr="003E72FE">
        <w:t>by declaring the compound ingredient by name in its appropriate place in the statement of ingredients, and listing its ingredients in brackets after the name of the compound ingredient, in descending order of ingoing weight in the compound ingredient, as specified in the Table to this clause; or</w:t>
      </w:r>
    </w:p>
    <w:p w:rsidR="003E72FE" w:rsidRPr="003E72FE" w:rsidRDefault="003E72FE" w:rsidP="003E72FE">
      <w:pPr>
        <w:pStyle w:val="Paragraph"/>
      </w:pPr>
      <w:r w:rsidRPr="003E72FE">
        <w:t>(b)</w:t>
      </w:r>
      <w:r w:rsidRPr="003E72FE">
        <w:tab/>
        <w:t>by declaring all of the ingredients of the compound ingredient separately as if they were individual ingredients of the final food.</w:t>
      </w:r>
    </w:p>
    <w:p w:rsidR="003E72FE" w:rsidRPr="003E72FE" w:rsidRDefault="003E72FE" w:rsidP="003E72FE">
      <w:pPr>
        <w:rPr>
          <w:sz w:val="20"/>
          <w:szCs w:val="20"/>
        </w:rPr>
      </w:pPr>
    </w:p>
    <w:p w:rsidR="003E72FE" w:rsidRDefault="003E72FE" w:rsidP="003E72FE">
      <w:pPr>
        <w:pStyle w:val="Subclause"/>
      </w:pPr>
      <w:r w:rsidRPr="003E72FE">
        <w:t>(2)</w:t>
      </w:r>
      <w:r w:rsidRPr="003E72FE">
        <w:tab/>
        <w:t>However, paragraph 6(1)(a) does not apply to food standardised in Standard 2.9.2.</w:t>
      </w:r>
      <w:r>
        <w:br w:type="page"/>
      </w:r>
    </w:p>
    <w:p w:rsidR="003E72FE" w:rsidRPr="003E72FE" w:rsidRDefault="003E72FE" w:rsidP="003E72FE">
      <w:pPr>
        <w:pStyle w:val="Subclause"/>
      </w:pPr>
      <w:r w:rsidRPr="003E72FE">
        <w:lastRenderedPageBreak/>
        <w:t>(3)</w:t>
      </w:r>
      <w:r w:rsidRPr="003E72FE">
        <w:tab/>
        <w:t>The ingredients in an alcoholic beverage, standardised in Standards 2.7.2 to 2.7.5 of this Code, do not need to be declared in a statement of ingredients if the alcoholic beverage has been declared as an ingredient in the food.</w:t>
      </w:r>
    </w:p>
    <w:p w:rsidR="003E72FE" w:rsidRPr="003E72FE" w:rsidRDefault="003E72FE" w:rsidP="003E72FE">
      <w:pPr>
        <w:pStyle w:val="Subclause"/>
      </w:pPr>
    </w:p>
    <w:p w:rsidR="003E72FE" w:rsidRPr="003E72FE" w:rsidRDefault="003E72FE" w:rsidP="003E72FE">
      <w:pPr>
        <w:pStyle w:val="TableHeading"/>
      </w:pPr>
      <w:r w:rsidRPr="003E72FE">
        <w:t>Table to clause 6</w:t>
      </w:r>
    </w:p>
    <w:p w:rsidR="003E72FE" w:rsidRPr="003E72FE" w:rsidRDefault="003E72FE" w:rsidP="003E72FE">
      <w:pPr>
        <w:rPr>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575"/>
      </w:tblGrid>
      <w:tr w:rsidR="003E72FE" w:rsidTr="003E72FE">
        <w:tc>
          <w:tcPr>
            <w:tcW w:w="3092" w:type="dxa"/>
            <w:tcBorders>
              <w:top w:val="single" w:sz="4" w:space="0" w:color="auto"/>
              <w:left w:val="single" w:sz="4" w:space="0" w:color="auto"/>
              <w:bottom w:val="single" w:sz="4" w:space="0" w:color="auto"/>
              <w:right w:val="single" w:sz="4" w:space="0" w:color="auto"/>
            </w:tcBorders>
            <w:hideMark/>
          </w:tcPr>
          <w:p w:rsidR="003E72FE" w:rsidRDefault="003E72FE">
            <w:pPr>
              <w:pStyle w:val="Table1"/>
              <w:spacing w:line="276" w:lineRule="auto"/>
            </w:pPr>
            <w:r>
              <w:t>Amount of compound ingredient in the food</w:t>
            </w:r>
          </w:p>
        </w:tc>
        <w:tc>
          <w:tcPr>
            <w:tcW w:w="3145" w:type="dxa"/>
            <w:tcBorders>
              <w:top w:val="single" w:sz="4" w:space="0" w:color="auto"/>
              <w:left w:val="single" w:sz="4" w:space="0" w:color="auto"/>
              <w:bottom w:val="single" w:sz="4" w:space="0" w:color="auto"/>
              <w:right w:val="single" w:sz="4" w:space="0" w:color="auto"/>
            </w:tcBorders>
            <w:hideMark/>
          </w:tcPr>
          <w:p w:rsidR="003E72FE" w:rsidRDefault="003E72FE">
            <w:pPr>
              <w:pStyle w:val="Table1"/>
              <w:spacing w:line="276" w:lineRule="auto"/>
            </w:pPr>
            <w:r>
              <w:t>Ingredients of the compound ingredient to be included in the statement of ingredients</w:t>
            </w:r>
          </w:p>
        </w:tc>
      </w:tr>
      <w:tr w:rsidR="003E72FE" w:rsidTr="003E72FE">
        <w:tc>
          <w:tcPr>
            <w:tcW w:w="3092"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5% or more</w:t>
            </w:r>
          </w:p>
        </w:tc>
        <w:tc>
          <w:tcPr>
            <w:tcW w:w="3145"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All ingredients</w:t>
            </w:r>
          </w:p>
        </w:tc>
      </w:tr>
      <w:tr w:rsidR="003E72FE" w:rsidTr="003E72FE">
        <w:tc>
          <w:tcPr>
            <w:tcW w:w="3092"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less than 5%</w:t>
            </w:r>
          </w:p>
        </w:tc>
        <w:tc>
          <w:tcPr>
            <w:tcW w:w="3145"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ind w:left="227" w:hanging="227"/>
            </w:pPr>
            <w:r>
              <w:t>1.</w:t>
            </w:r>
            <w:r>
              <w:tab/>
              <w:t>If applicable, any substance listed in the Table to clause 4 of Standard 1.2.3; and</w:t>
            </w:r>
          </w:p>
          <w:p w:rsidR="003E72FE" w:rsidRDefault="003E72FE">
            <w:pPr>
              <w:pStyle w:val="Table2"/>
              <w:spacing w:line="276" w:lineRule="auto"/>
              <w:ind w:left="227" w:hanging="227"/>
            </w:pPr>
            <w:r>
              <w:t>2.</w:t>
            </w:r>
            <w:r>
              <w:tab/>
              <w:t>all food additives in the compound ingredient that perform a technological function in the final food</w:t>
            </w:r>
          </w:p>
        </w:tc>
      </w:tr>
    </w:tbl>
    <w:p w:rsidR="003E72FE" w:rsidRPr="003E72FE" w:rsidRDefault="003E72FE" w:rsidP="003E72FE">
      <w:pPr>
        <w:rPr>
          <w:sz w:val="20"/>
          <w:szCs w:val="20"/>
        </w:rPr>
      </w:pPr>
    </w:p>
    <w:p w:rsidR="003E72FE" w:rsidRPr="003E72FE" w:rsidRDefault="003E72FE" w:rsidP="003E72FE">
      <w:pPr>
        <w:pStyle w:val="EditorialNoteLine1"/>
        <w:rPr>
          <w:lang w:bidi="ar-SA"/>
        </w:rPr>
      </w:pPr>
      <w:r w:rsidRPr="003E72FE">
        <w:t>Editorial note:</w:t>
      </w:r>
    </w:p>
    <w:p w:rsidR="003E72FE" w:rsidRPr="003E72FE" w:rsidRDefault="003E72FE" w:rsidP="003E72FE">
      <w:pPr>
        <w:pStyle w:val="EditorialNotetext"/>
      </w:pPr>
    </w:p>
    <w:p w:rsidR="003E72FE" w:rsidRPr="003E72FE" w:rsidRDefault="003E72FE" w:rsidP="003E72FE">
      <w:pPr>
        <w:pStyle w:val="EditorialNotetext"/>
      </w:pPr>
      <w:r w:rsidRPr="003E72FE">
        <w:t>An example for clause 6 is the statement of ingredients for canned spaghetti, which could read –</w:t>
      </w:r>
    </w:p>
    <w:p w:rsidR="003E72FE" w:rsidRPr="003E72FE" w:rsidRDefault="003E72FE" w:rsidP="003E72FE">
      <w:pPr>
        <w:pStyle w:val="EditorialNotetext"/>
      </w:pPr>
    </w:p>
    <w:p w:rsidR="003E72FE" w:rsidRPr="003E72FE" w:rsidRDefault="003E72FE" w:rsidP="003E72FE">
      <w:pPr>
        <w:pStyle w:val="EditorialNotetext"/>
        <w:tabs>
          <w:tab w:val="left" w:pos="720"/>
        </w:tabs>
      </w:pPr>
      <w:r w:rsidRPr="003E72FE">
        <w:tab/>
        <w:t>‘tomatoes, water, spaghetti (wheat flour, egg, water), sugar, salt, flavours’</w:t>
      </w:r>
    </w:p>
    <w:p w:rsidR="003E72FE" w:rsidRPr="003E72FE" w:rsidRDefault="003E72FE" w:rsidP="003E72FE">
      <w:pPr>
        <w:pStyle w:val="EditorialNotetext"/>
      </w:pPr>
    </w:p>
    <w:p w:rsidR="003E72FE" w:rsidRPr="003E72FE" w:rsidRDefault="003E72FE" w:rsidP="003E72FE">
      <w:pPr>
        <w:pStyle w:val="EditorialNotetext"/>
      </w:pPr>
      <w:r w:rsidRPr="003E72FE">
        <w:t>under option (a) or –</w:t>
      </w:r>
    </w:p>
    <w:p w:rsidR="003E72FE" w:rsidRPr="003E72FE" w:rsidRDefault="003E72FE" w:rsidP="003E72FE">
      <w:pPr>
        <w:pStyle w:val="EditorialNotetext"/>
      </w:pPr>
    </w:p>
    <w:p w:rsidR="003E72FE" w:rsidRPr="003E72FE" w:rsidRDefault="003E72FE" w:rsidP="003E72FE">
      <w:pPr>
        <w:pStyle w:val="EditorialNotetext"/>
        <w:tabs>
          <w:tab w:val="left" w:pos="720"/>
        </w:tabs>
      </w:pPr>
      <w:r w:rsidRPr="003E72FE">
        <w:tab/>
        <w:t>‘tomatoes, water, wheat flour, egg, sugar, salt, flavours’</w:t>
      </w:r>
    </w:p>
    <w:p w:rsidR="003E72FE" w:rsidRPr="003E72FE" w:rsidRDefault="003E72FE" w:rsidP="003E72FE">
      <w:pPr>
        <w:pStyle w:val="EditorialNotetext"/>
      </w:pPr>
    </w:p>
    <w:p w:rsidR="003E72FE" w:rsidRPr="003E72FE" w:rsidRDefault="003E72FE" w:rsidP="003E72FE">
      <w:pPr>
        <w:pStyle w:val="EditorialNotetext"/>
      </w:pPr>
      <w:r w:rsidRPr="003E72FE">
        <w:t>under option (b).</w:t>
      </w:r>
    </w:p>
    <w:p w:rsidR="003E72FE" w:rsidRPr="003E72FE" w:rsidRDefault="003E72FE" w:rsidP="003E72FE">
      <w:pPr>
        <w:outlineLvl w:val="0"/>
        <w:rPr>
          <w:sz w:val="20"/>
          <w:szCs w:val="20"/>
        </w:rPr>
      </w:pPr>
    </w:p>
    <w:p w:rsidR="003E72FE" w:rsidRPr="003E72FE" w:rsidRDefault="003E72FE" w:rsidP="003E72FE">
      <w:pPr>
        <w:pStyle w:val="Subclause"/>
        <w:rPr>
          <w:i/>
        </w:rPr>
      </w:pPr>
      <w:r w:rsidRPr="003E72FE">
        <w:t>[7.5]</w:t>
      </w:r>
      <w:r w:rsidRPr="003E72FE">
        <w:tab/>
      </w:r>
      <w:r w:rsidRPr="003E72FE">
        <w:rPr>
          <w:i/>
        </w:rPr>
        <w:t>omitting</w:t>
      </w:r>
      <w:r w:rsidRPr="003E72FE">
        <w:t xml:space="preserve"> specific name </w:t>
      </w:r>
      <w:r w:rsidRPr="003E72FE">
        <w:rPr>
          <w:i/>
        </w:rPr>
        <w:t xml:space="preserve">from subclause 8(2), substituting </w:t>
      </w:r>
      <w:r w:rsidRPr="003E72FE">
        <w:t>prescribed name</w:t>
      </w:r>
      <w:r w:rsidRPr="003E72FE">
        <w:rPr>
          <w:i/>
        </w:rPr>
        <w:t xml:space="preserve"> </w:t>
      </w:r>
    </w:p>
    <w:p w:rsidR="003E72FE" w:rsidRPr="003E72FE" w:rsidRDefault="003E72FE" w:rsidP="003E72FE">
      <w:pPr>
        <w:rPr>
          <w:iCs/>
          <w:sz w:val="20"/>
          <w:szCs w:val="20"/>
        </w:rPr>
      </w:pPr>
    </w:p>
    <w:p w:rsidR="003E72FE" w:rsidRPr="003E72FE" w:rsidRDefault="003E72FE" w:rsidP="003E72FE">
      <w:pPr>
        <w:pStyle w:val="Clause"/>
        <w:rPr>
          <w:i/>
          <w:iCs/>
        </w:rPr>
      </w:pPr>
      <w:r w:rsidRPr="003E72FE">
        <w:rPr>
          <w:iCs/>
        </w:rPr>
        <w:t>[7.6]</w:t>
      </w:r>
      <w:r w:rsidRPr="003E72FE">
        <w:rPr>
          <w:i/>
          <w:iCs/>
        </w:rPr>
        <w:tab/>
        <w:t xml:space="preserve">inserting the words </w:t>
      </w:r>
      <w:r w:rsidRPr="003E72FE">
        <w:rPr>
          <w:iCs/>
        </w:rPr>
        <w:t xml:space="preserve">as indicated in Schedule 2 of this Standard </w:t>
      </w:r>
      <w:r w:rsidRPr="003E72FE">
        <w:rPr>
          <w:i/>
          <w:iCs/>
        </w:rPr>
        <w:t xml:space="preserve">at the end of subclause 8(5) </w:t>
      </w:r>
    </w:p>
    <w:p w:rsidR="003E72FE" w:rsidRPr="003E72FE" w:rsidRDefault="003E72FE" w:rsidP="003E72FE">
      <w:pPr>
        <w:rPr>
          <w:sz w:val="20"/>
          <w:szCs w:val="20"/>
        </w:rPr>
      </w:pPr>
    </w:p>
    <w:p w:rsidR="003E72FE" w:rsidRPr="003E72FE" w:rsidRDefault="003E72FE" w:rsidP="003E72FE">
      <w:pPr>
        <w:pStyle w:val="Clause"/>
      </w:pPr>
      <w:r w:rsidRPr="003E72FE">
        <w:t>[7.7]</w:t>
      </w:r>
      <w:r w:rsidRPr="003E72FE">
        <w:tab/>
      </w:r>
      <w:r w:rsidRPr="003E72FE">
        <w:rPr>
          <w:i/>
        </w:rPr>
        <w:t>inserting following clause 9</w:t>
      </w:r>
      <w:r w:rsidRPr="003E72FE">
        <w:t xml:space="preserve"> – </w:t>
      </w:r>
    </w:p>
    <w:p w:rsidR="003E72FE" w:rsidRPr="003E72FE" w:rsidRDefault="003E72FE" w:rsidP="003E72FE">
      <w:pPr>
        <w:rPr>
          <w:i/>
          <w:sz w:val="20"/>
          <w:szCs w:val="20"/>
        </w:rPr>
      </w:pPr>
    </w:p>
    <w:p w:rsidR="003E72FE" w:rsidRPr="003E72FE" w:rsidRDefault="003E72FE" w:rsidP="003E72FE">
      <w:pPr>
        <w:pStyle w:val="ClauseHeading0"/>
      </w:pPr>
      <w:r w:rsidRPr="003E72FE">
        <w:t>10</w:t>
      </w:r>
      <w:r w:rsidRPr="003E72FE">
        <w:tab/>
        <w:t>Process declaration for oil</w:t>
      </w:r>
    </w:p>
    <w:p w:rsidR="003E72FE" w:rsidRPr="003E72FE" w:rsidRDefault="003E72FE" w:rsidP="003E72FE">
      <w:pPr>
        <w:rPr>
          <w:sz w:val="20"/>
          <w:szCs w:val="20"/>
        </w:rPr>
      </w:pPr>
    </w:p>
    <w:p w:rsidR="003E72FE" w:rsidRPr="003E72FE" w:rsidRDefault="003E72FE" w:rsidP="003E72FE">
      <w:pPr>
        <w:pStyle w:val="Clause"/>
      </w:pPr>
      <w:r w:rsidRPr="003E72FE">
        <w:t>If a food contains oil as an ingredient, and the specific source name of the oil is used on the label of the food, the label must include the statement prescribed in clause 3 of Standard 2.4.1.</w:t>
      </w:r>
    </w:p>
    <w:p w:rsidR="003E72FE" w:rsidRPr="003E72FE" w:rsidRDefault="003E72FE" w:rsidP="003E72FE">
      <w:pPr>
        <w:pStyle w:val="Clause"/>
      </w:pPr>
    </w:p>
    <w:p w:rsidR="003E72FE" w:rsidRPr="003E72FE" w:rsidRDefault="003E72FE" w:rsidP="003E72FE">
      <w:pPr>
        <w:pStyle w:val="Clause"/>
        <w:rPr>
          <w:i/>
        </w:rPr>
      </w:pPr>
      <w:r w:rsidRPr="003E72FE">
        <w:t>[7.8]</w:t>
      </w:r>
      <w:r w:rsidRPr="003E72FE">
        <w:tab/>
      </w:r>
      <w:r w:rsidRPr="003E72FE">
        <w:rPr>
          <w:i/>
        </w:rPr>
        <w:t xml:space="preserve">inserting the following entries in </w:t>
      </w:r>
      <w:r w:rsidRPr="003E72FE">
        <w:t xml:space="preserve">Part 1 </w:t>
      </w:r>
      <w:r w:rsidRPr="003E72FE">
        <w:rPr>
          <w:i/>
        </w:rPr>
        <w:t>and</w:t>
      </w:r>
      <w:r w:rsidRPr="003E72FE">
        <w:t xml:space="preserve"> Part 2 </w:t>
      </w:r>
      <w:r w:rsidRPr="003E72FE">
        <w:rPr>
          <w:i/>
        </w:rPr>
        <w:t>of</w:t>
      </w:r>
      <w:r w:rsidRPr="003E72FE">
        <w:t xml:space="preserve"> Schedule 2 </w:t>
      </w:r>
      <w:r w:rsidRPr="003E72FE">
        <w:rPr>
          <w:i/>
        </w:rPr>
        <w:t xml:space="preserve"> – </w:t>
      </w:r>
    </w:p>
    <w:p w:rsidR="003E72FE" w:rsidRPr="003E72FE" w:rsidRDefault="003E72FE" w:rsidP="003E72FE">
      <w:pPr>
        <w:rPr>
          <w:sz w:val="20"/>
          <w:szCs w:val="20"/>
        </w:rPr>
      </w:pPr>
    </w:p>
    <w:tbl>
      <w:tblPr>
        <w:tblW w:w="411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119"/>
        <w:gridCol w:w="992"/>
      </w:tblGrid>
      <w:tr w:rsidR="003E72FE" w:rsidRPr="003E72FE" w:rsidTr="003E72FE">
        <w:tc>
          <w:tcPr>
            <w:tcW w:w="3119" w:type="dxa"/>
            <w:tcBorders>
              <w:top w:val="single" w:sz="4" w:space="0" w:color="auto"/>
              <w:left w:val="single" w:sz="4" w:space="0" w:color="auto"/>
              <w:bottom w:val="nil"/>
              <w:right w:val="single" w:sz="4" w:space="0" w:color="auto"/>
            </w:tcBorders>
            <w:hideMark/>
          </w:tcPr>
          <w:p w:rsidR="003E72FE" w:rsidRPr="003E72FE" w:rsidRDefault="003E72FE">
            <w:pPr>
              <w:pStyle w:val="Table2"/>
              <w:spacing w:line="276" w:lineRule="auto"/>
              <w:rPr>
                <w:sz w:val="20"/>
              </w:rPr>
            </w:pPr>
            <w:r w:rsidRPr="003E72FE">
              <w:rPr>
                <w:sz w:val="20"/>
              </w:rPr>
              <w:t>Acetylated oxidised starch</w:t>
            </w:r>
          </w:p>
        </w:tc>
        <w:tc>
          <w:tcPr>
            <w:tcW w:w="992" w:type="dxa"/>
            <w:tcBorders>
              <w:top w:val="single" w:sz="4" w:space="0" w:color="auto"/>
              <w:left w:val="single" w:sz="4" w:space="0" w:color="auto"/>
              <w:bottom w:val="nil"/>
              <w:right w:val="single" w:sz="4" w:space="0" w:color="auto"/>
            </w:tcBorders>
            <w:hideMark/>
          </w:tcPr>
          <w:p w:rsidR="003E72FE" w:rsidRPr="003E72FE" w:rsidRDefault="003E72FE">
            <w:pPr>
              <w:pStyle w:val="Table2"/>
              <w:spacing w:line="276" w:lineRule="auto"/>
              <w:rPr>
                <w:sz w:val="20"/>
              </w:rPr>
            </w:pPr>
            <w:r w:rsidRPr="003E72FE">
              <w:rPr>
                <w:sz w:val="20"/>
              </w:rPr>
              <w:t>1451</w:t>
            </w:r>
          </w:p>
        </w:tc>
      </w:tr>
      <w:tr w:rsidR="003E72FE" w:rsidRPr="003E72FE" w:rsidTr="003E72FE">
        <w:tc>
          <w:tcPr>
            <w:tcW w:w="3119" w:type="dxa"/>
            <w:tcBorders>
              <w:top w:val="nil"/>
              <w:left w:val="single" w:sz="4" w:space="0" w:color="auto"/>
              <w:bottom w:val="single" w:sz="4" w:space="0" w:color="auto"/>
              <w:right w:val="single" w:sz="4" w:space="0" w:color="auto"/>
            </w:tcBorders>
            <w:hideMark/>
          </w:tcPr>
          <w:p w:rsidR="003E72FE" w:rsidRPr="003E72FE" w:rsidRDefault="003E72FE">
            <w:pPr>
              <w:pStyle w:val="Table2"/>
              <w:spacing w:line="276" w:lineRule="auto"/>
              <w:rPr>
                <w:sz w:val="20"/>
              </w:rPr>
            </w:pPr>
            <w:r w:rsidRPr="003E72FE">
              <w:rPr>
                <w:sz w:val="20"/>
              </w:rPr>
              <w:t>Sodium gluconate</w:t>
            </w:r>
          </w:p>
        </w:tc>
        <w:tc>
          <w:tcPr>
            <w:tcW w:w="992" w:type="dxa"/>
            <w:tcBorders>
              <w:top w:val="nil"/>
              <w:left w:val="single" w:sz="4" w:space="0" w:color="auto"/>
              <w:bottom w:val="single" w:sz="4" w:space="0" w:color="auto"/>
              <w:right w:val="single" w:sz="4" w:space="0" w:color="auto"/>
            </w:tcBorders>
            <w:hideMark/>
          </w:tcPr>
          <w:p w:rsidR="003E72FE" w:rsidRPr="003E72FE" w:rsidRDefault="003E72FE">
            <w:pPr>
              <w:pStyle w:val="Table2"/>
              <w:spacing w:line="276" w:lineRule="auto"/>
              <w:rPr>
                <w:sz w:val="20"/>
              </w:rPr>
            </w:pPr>
            <w:r w:rsidRPr="003E72FE">
              <w:rPr>
                <w:sz w:val="20"/>
              </w:rPr>
              <w:t>576</w:t>
            </w:r>
          </w:p>
        </w:tc>
      </w:tr>
    </w:tbl>
    <w:p w:rsidR="003E72FE" w:rsidRPr="003E72FE" w:rsidRDefault="003E72FE" w:rsidP="003E72FE">
      <w:pPr>
        <w:rPr>
          <w:sz w:val="20"/>
          <w:szCs w:val="20"/>
        </w:rPr>
      </w:pPr>
    </w:p>
    <w:p w:rsidR="003E72FE" w:rsidRPr="003E72FE" w:rsidRDefault="003E72FE" w:rsidP="003E72FE">
      <w:pPr>
        <w:pStyle w:val="Clause"/>
        <w:rPr>
          <w:lang w:bidi="ar-SA"/>
        </w:rPr>
      </w:pPr>
      <w:r w:rsidRPr="003E72FE">
        <w:t>[7.9]</w:t>
      </w:r>
      <w:r w:rsidRPr="003E72FE">
        <w:tab/>
      </w:r>
      <w:r w:rsidRPr="003E72FE">
        <w:rPr>
          <w:i/>
        </w:rPr>
        <w:t xml:space="preserve">omitting </w:t>
      </w:r>
      <w:r w:rsidRPr="003E72FE">
        <w:t>blackcurrent</w:t>
      </w:r>
      <w:r w:rsidRPr="003E72FE">
        <w:rPr>
          <w:i/>
        </w:rPr>
        <w:t xml:space="preserve"> from Part 2 of </w:t>
      </w:r>
      <w:r w:rsidRPr="003E72FE">
        <w:t xml:space="preserve">Schedule 2, </w:t>
      </w:r>
      <w:r w:rsidRPr="003E72FE">
        <w:rPr>
          <w:i/>
        </w:rPr>
        <w:t xml:space="preserve">substituting </w:t>
      </w:r>
      <w:r w:rsidRPr="003E72FE">
        <w:t xml:space="preserve">blackcurrant </w:t>
      </w:r>
    </w:p>
    <w:p w:rsidR="003E72FE" w:rsidRPr="003E72FE" w:rsidRDefault="003E72FE" w:rsidP="003E72FE">
      <w:pPr>
        <w:rPr>
          <w:sz w:val="20"/>
          <w:szCs w:val="20"/>
        </w:rPr>
      </w:pPr>
    </w:p>
    <w:p w:rsidR="003E72FE" w:rsidRPr="003E72FE" w:rsidRDefault="003E72FE" w:rsidP="003E72FE">
      <w:pPr>
        <w:pStyle w:val="Clause"/>
      </w:pPr>
      <w:r w:rsidRPr="003E72FE">
        <w:t>[7.10]</w:t>
      </w:r>
      <w:r w:rsidRPr="003E72FE">
        <w:tab/>
      </w:r>
      <w:r w:rsidRPr="003E72FE">
        <w:rPr>
          <w:i/>
        </w:rPr>
        <w:t xml:space="preserve">updating the </w:t>
      </w:r>
      <w:r w:rsidRPr="003E72FE">
        <w:t xml:space="preserve">Table of Provisions </w:t>
      </w:r>
      <w:r w:rsidRPr="003E72FE">
        <w:rPr>
          <w:i/>
        </w:rPr>
        <w:t>to reflect these amendments</w:t>
      </w:r>
    </w:p>
    <w:p w:rsidR="003E72FE" w:rsidRPr="003E72FE" w:rsidRDefault="003E72FE" w:rsidP="003E72FE">
      <w:pPr>
        <w:rPr>
          <w:sz w:val="20"/>
          <w:szCs w:val="20"/>
        </w:rPr>
      </w:pPr>
    </w:p>
    <w:p w:rsidR="003E72FE" w:rsidRPr="003E72FE" w:rsidRDefault="003E72FE" w:rsidP="003E72FE">
      <w:pPr>
        <w:pStyle w:val="Clause"/>
        <w:rPr>
          <w:i/>
          <w:iCs/>
        </w:rPr>
      </w:pPr>
      <w:r w:rsidRPr="003E72FE">
        <w:rPr>
          <w:b/>
          <w:bCs/>
        </w:rPr>
        <w:t>[8]</w:t>
      </w:r>
      <w:r w:rsidRPr="003E72FE">
        <w:tab/>
      </w:r>
      <w:r w:rsidRPr="003E72FE">
        <w:rPr>
          <w:b/>
          <w:bCs/>
          <w:i/>
          <w:iCs/>
        </w:rPr>
        <w:t>Standard 1.2.5</w:t>
      </w:r>
      <w:r w:rsidRPr="003E72FE">
        <w:rPr>
          <w:i/>
          <w:iCs/>
        </w:rPr>
        <w:t xml:space="preserve"> of the Australia New Zealand Food Standards Code is varied by – </w:t>
      </w:r>
    </w:p>
    <w:p w:rsidR="003E72FE" w:rsidRPr="003E72FE" w:rsidRDefault="003E72FE" w:rsidP="003E72FE">
      <w:pPr>
        <w:rPr>
          <w:sz w:val="20"/>
          <w:szCs w:val="20"/>
        </w:rPr>
      </w:pPr>
    </w:p>
    <w:p w:rsidR="003E72FE" w:rsidRPr="003E72FE" w:rsidRDefault="003E72FE" w:rsidP="003E72FE">
      <w:pPr>
        <w:pStyle w:val="Clause"/>
      </w:pPr>
      <w:r w:rsidRPr="003E72FE">
        <w:t>[8.1]</w:t>
      </w:r>
      <w:r w:rsidRPr="003E72FE">
        <w:tab/>
      </w:r>
      <w:r w:rsidRPr="003E72FE">
        <w:rPr>
          <w:i/>
        </w:rPr>
        <w:t xml:space="preserve">omitting from the definition of </w:t>
      </w:r>
      <w:r w:rsidRPr="003E72FE">
        <w:rPr>
          <w:b/>
        </w:rPr>
        <w:t>use-by date</w:t>
      </w:r>
      <w:r w:rsidRPr="003E72FE">
        <w:t xml:space="preserve"> i</w:t>
      </w:r>
      <w:r w:rsidRPr="003E72FE">
        <w:rPr>
          <w:i/>
        </w:rPr>
        <w:t xml:space="preserve">n clause 1 </w:t>
      </w:r>
      <w:r w:rsidRPr="003E72FE">
        <w:t>health and safety</w:t>
      </w:r>
      <w:r w:rsidRPr="003E72FE">
        <w:rPr>
          <w:i/>
        </w:rPr>
        <w:t xml:space="preserve">, substituting </w:t>
      </w:r>
      <w:r w:rsidRPr="003E72FE">
        <w:t xml:space="preserve">health or safety </w:t>
      </w:r>
    </w:p>
    <w:p w:rsidR="003E72FE" w:rsidRPr="003E72FE" w:rsidRDefault="003E72FE" w:rsidP="003E72FE">
      <w:pPr>
        <w:rPr>
          <w:i/>
          <w:iCs/>
          <w:sz w:val="20"/>
          <w:szCs w:val="20"/>
        </w:rPr>
      </w:pPr>
    </w:p>
    <w:p w:rsidR="003E72FE" w:rsidRPr="003E72FE" w:rsidRDefault="003E72FE" w:rsidP="003E72FE">
      <w:pPr>
        <w:pStyle w:val="Clause"/>
        <w:rPr>
          <w:i/>
        </w:rPr>
      </w:pPr>
      <w:r w:rsidRPr="003E72FE">
        <w:t>[8.2]</w:t>
      </w:r>
      <w:r w:rsidRPr="003E72FE">
        <w:tab/>
      </w:r>
      <w:r w:rsidRPr="003E72FE">
        <w:rPr>
          <w:i/>
        </w:rPr>
        <w:t xml:space="preserve">omitting the first paragraph from the </w:t>
      </w:r>
      <w:r w:rsidRPr="003E72FE">
        <w:t>Editorial note</w:t>
      </w:r>
      <w:r w:rsidRPr="003E72FE">
        <w:rPr>
          <w:i/>
        </w:rPr>
        <w:t xml:space="preserve"> following subclause 2(2)</w:t>
      </w:r>
    </w:p>
    <w:p w:rsidR="003E72FE" w:rsidRPr="003E72FE" w:rsidRDefault="003E72FE" w:rsidP="003E72FE">
      <w:pPr>
        <w:rPr>
          <w:i/>
          <w:iCs/>
          <w:sz w:val="20"/>
          <w:szCs w:val="20"/>
        </w:rPr>
      </w:pPr>
    </w:p>
    <w:p w:rsidR="003E72FE" w:rsidRPr="003E72FE" w:rsidRDefault="003E72FE" w:rsidP="003E72FE">
      <w:pPr>
        <w:pStyle w:val="Clause"/>
      </w:pPr>
      <w:r w:rsidRPr="003E72FE">
        <w:t>[8.3]</w:t>
      </w:r>
      <w:r w:rsidRPr="003E72FE">
        <w:tab/>
      </w:r>
      <w:r w:rsidRPr="003E72FE">
        <w:rPr>
          <w:i/>
        </w:rPr>
        <w:t>omitting clause 5 and the Examples under clause 5, substituting</w:t>
      </w:r>
      <w:r w:rsidRPr="003E72FE">
        <w:t xml:space="preserve"> – </w:t>
      </w:r>
    </w:p>
    <w:p w:rsidR="003E72FE" w:rsidRPr="003E72FE" w:rsidRDefault="003E72FE" w:rsidP="003E72FE">
      <w:pPr>
        <w:rPr>
          <w:i/>
          <w:sz w:val="20"/>
          <w:szCs w:val="20"/>
        </w:rPr>
      </w:pPr>
    </w:p>
    <w:p w:rsidR="003E72FE" w:rsidRPr="003E72FE" w:rsidRDefault="003E72FE" w:rsidP="003E72FE">
      <w:pPr>
        <w:pStyle w:val="ClauseHeading0"/>
      </w:pPr>
      <w:r w:rsidRPr="003E72FE">
        <w:t>5</w:t>
      </w:r>
      <w:r w:rsidRPr="003E72FE">
        <w:tab/>
        <w:t>Prescribed form of date</w:t>
      </w:r>
    </w:p>
    <w:p w:rsidR="003E72FE" w:rsidRPr="003E72FE" w:rsidRDefault="003E72FE" w:rsidP="003E72FE">
      <w:pPr>
        <w:rPr>
          <w:b/>
          <w:sz w:val="20"/>
          <w:szCs w:val="20"/>
        </w:rPr>
      </w:pPr>
    </w:p>
    <w:p w:rsidR="003E72FE" w:rsidRPr="003E72FE" w:rsidRDefault="003E72FE" w:rsidP="003E72FE">
      <w:pPr>
        <w:pStyle w:val="Subclause"/>
      </w:pPr>
      <w:r w:rsidRPr="003E72FE">
        <w:t>(1)</w:t>
      </w:r>
      <w:r w:rsidRPr="003E72FE">
        <w:tab/>
        <w:t>If the best-before date or use-by date of a food is not more than 3 months from the date it is applied, the date mark must consist at least of the day and month, expressed in that order.</w:t>
      </w:r>
      <w:r w:rsidRPr="003E72FE">
        <w:br w:type="page"/>
      </w:r>
    </w:p>
    <w:p w:rsidR="003E72FE" w:rsidRPr="003E72FE" w:rsidRDefault="003E72FE" w:rsidP="003E72FE">
      <w:pPr>
        <w:pStyle w:val="Subclause"/>
      </w:pPr>
      <w:r w:rsidRPr="003E72FE">
        <w:lastRenderedPageBreak/>
        <w:t>(2)</w:t>
      </w:r>
      <w:r w:rsidRPr="003E72FE">
        <w:tab/>
        <w:t>If the best-before date or use-by date of a food is more than 3 months from the date it is applied, the date mark must consist at least of the month and year, expressed in that order.</w:t>
      </w:r>
    </w:p>
    <w:p w:rsidR="003E72FE" w:rsidRPr="003E72FE" w:rsidRDefault="003E72FE" w:rsidP="003E72FE">
      <w:pPr>
        <w:pStyle w:val="Subclause"/>
      </w:pPr>
    </w:p>
    <w:p w:rsidR="003E72FE" w:rsidRPr="003E72FE" w:rsidRDefault="003E72FE" w:rsidP="003E72FE">
      <w:pPr>
        <w:pStyle w:val="Subclause"/>
      </w:pPr>
      <w:r w:rsidRPr="003E72FE">
        <w:t>(3)</w:t>
      </w:r>
      <w:r w:rsidRPr="003E72FE">
        <w:tab/>
        <w:t>The best-before date and use-by date must be expressed in numerical form, except for the month which may be expressed in letters. Where the month is expressed in letters, the month may precede the day.</w:t>
      </w:r>
    </w:p>
    <w:p w:rsidR="003E72FE" w:rsidRPr="003E72FE" w:rsidRDefault="003E72FE" w:rsidP="003E72FE">
      <w:pPr>
        <w:pStyle w:val="Subclause"/>
      </w:pPr>
    </w:p>
    <w:p w:rsidR="003E72FE" w:rsidRPr="003E72FE" w:rsidRDefault="003E72FE" w:rsidP="003E72FE">
      <w:pPr>
        <w:pStyle w:val="Subclause"/>
      </w:pPr>
      <w:r w:rsidRPr="003E72FE">
        <w:t>(4)</w:t>
      </w:r>
      <w:r w:rsidRPr="003E72FE">
        <w:tab/>
        <w:t>The day, month and year so expressed within the best-before or use-by date must be distinguishable.</w:t>
      </w:r>
    </w:p>
    <w:p w:rsidR="003E72FE" w:rsidRPr="003E72FE" w:rsidRDefault="003E72FE" w:rsidP="003E72FE">
      <w:pPr>
        <w:rPr>
          <w:sz w:val="20"/>
          <w:szCs w:val="20"/>
        </w:rPr>
      </w:pPr>
    </w:p>
    <w:p w:rsidR="003E72FE" w:rsidRPr="003E72FE" w:rsidRDefault="003E72FE" w:rsidP="003E72FE">
      <w:pPr>
        <w:pStyle w:val="EditorialNoteLine1"/>
      </w:pPr>
      <w:r w:rsidRPr="003E72FE">
        <w:t>Examples:</w:t>
      </w:r>
    </w:p>
    <w:p w:rsidR="003E72FE" w:rsidRPr="003E72FE" w:rsidRDefault="003E72FE" w:rsidP="003E72FE">
      <w:pPr>
        <w:pStyle w:val="EditorialNoteLine1"/>
      </w:pPr>
    </w:p>
    <w:p w:rsidR="003E72FE" w:rsidRPr="003E72FE" w:rsidRDefault="003E72FE" w:rsidP="003E72FE">
      <w:pPr>
        <w:pStyle w:val="EditorialNoteLine1"/>
      </w:pPr>
      <w:r w:rsidRPr="003E72FE">
        <w:t>For paragraph 5(1) –</w:t>
      </w:r>
    </w:p>
    <w:p w:rsidR="003E72FE" w:rsidRPr="003E72FE" w:rsidRDefault="003E72FE" w:rsidP="003E72FE">
      <w:pPr>
        <w:pStyle w:val="EditorialNotetext"/>
      </w:pPr>
    </w:p>
    <w:p w:rsidR="003E72FE" w:rsidRPr="003E72FE" w:rsidRDefault="003E72FE" w:rsidP="003E72FE">
      <w:pPr>
        <w:pStyle w:val="EditorialNotetext"/>
      </w:pPr>
      <w:r w:rsidRPr="003E72FE">
        <w:t xml:space="preserve">23 Dec or 23 12 </w:t>
      </w:r>
    </w:p>
    <w:p w:rsidR="003E72FE" w:rsidRPr="003E72FE" w:rsidRDefault="003E72FE" w:rsidP="003E72FE">
      <w:pPr>
        <w:pStyle w:val="EditorialNotetext"/>
      </w:pPr>
      <w:r w:rsidRPr="003E72FE">
        <w:t>23 12 2012 or 23 Dec 2012</w:t>
      </w:r>
    </w:p>
    <w:p w:rsidR="003E72FE" w:rsidRPr="003E72FE" w:rsidRDefault="003E72FE" w:rsidP="003E72FE">
      <w:pPr>
        <w:pStyle w:val="EditorialNotetext"/>
      </w:pPr>
    </w:p>
    <w:p w:rsidR="003E72FE" w:rsidRPr="003E72FE" w:rsidRDefault="003E72FE" w:rsidP="003E72FE">
      <w:pPr>
        <w:pStyle w:val="EditorialNoteLine1"/>
      </w:pPr>
      <w:r w:rsidRPr="003E72FE">
        <w:t>For paragraph 5(2) –</w:t>
      </w:r>
    </w:p>
    <w:p w:rsidR="003E72FE" w:rsidRPr="003E72FE" w:rsidRDefault="003E72FE" w:rsidP="003E72FE">
      <w:pPr>
        <w:pStyle w:val="EditorialNotetext"/>
      </w:pPr>
    </w:p>
    <w:p w:rsidR="003E72FE" w:rsidRPr="003E72FE" w:rsidRDefault="003E72FE" w:rsidP="003E72FE">
      <w:pPr>
        <w:pStyle w:val="EditorialNotetext"/>
      </w:pPr>
      <w:r w:rsidRPr="003E72FE">
        <w:t>Dec 2012 or 12 2012</w:t>
      </w:r>
    </w:p>
    <w:p w:rsidR="003E72FE" w:rsidRPr="003E72FE" w:rsidRDefault="003E72FE" w:rsidP="003E72FE">
      <w:pPr>
        <w:pStyle w:val="EditorialNotetext"/>
      </w:pPr>
      <w:r w:rsidRPr="003E72FE">
        <w:t>23 12 2012 or 23 Dec 2012</w:t>
      </w:r>
    </w:p>
    <w:p w:rsidR="003E72FE" w:rsidRPr="003E72FE" w:rsidRDefault="003E72FE" w:rsidP="003E72FE">
      <w:pPr>
        <w:pStyle w:val="EditorialNotetext"/>
      </w:pPr>
    </w:p>
    <w:p w:rsidR="003E72FE" w:rsidRPr="003E72FE" w:rsidRDefault="003E72FE" w:rsidP="003E72FE">
      <w:pPr>
        <w:pStyle w:val="EditorialNoteLine1"/>
      </w:pPr>
      <w:r w:rsidRPr="003E72FE">
        <w:t xml:space="preserve">For paragraph 5(3) – </w:t>
      </w:r>
    </w:p>
    <w:p w:rsidR="003E72FE" w:rsidRPr="003E72FE" w:rsidRDefault="003E72FE" w:rsidP="003E72FE">
      <w:pPr>
        <w:pStyle w:val="EditorialNotetext"/>
      </w:pPr>
    </w:p>
    <w:p w:rsidR="003E72FE" w:rsidRPr="003E72FE" w:rsidRDefault="003E72FE" w:rsidP="003E72FE">
      <w:pPr>
        <w:pStyle w:val="EditorialNotetext"/>
      </w:pPr>
      <w:r w:rsidRPr="003E72FE">
        <w:t>23 Dec 2012 or Dec 23 2012</w:t>
      </w:r>
    </w:p>
    <w:p w:rsidR="003E72FE" w:rsidRPr="003E72FE" w:rsidRDefault="003E72FE" w:rsidP="003E72FE">
      <w:pPr>
        <w:rPr>
          <w:sz w:val="20"/>
          <w:szCs w:val="20"/>
        </w:rPr>
      </w:pPr>
    </w:p>
    <w:p w:rsidR="003E72FE" w:rsidRPr="003E72FE" w:rsidRDefault="003E72FE" w:rsidP="003E72FE">
      <w:pPr>
        <w:pStyle w:val="Clause"/>
      </w:pPr>
      <w:r w:rsidRPr="003E72FE">
        <w:t>[8.4]</w:t>
      </w:r>
      <w:r w:rsidRPr="003E72FE">
        <w:tab/>
      </w:r>
      <w:r w:rsidRPr="003E72FE">
        <w:rPr>
          <w:i/>
        </w:rPr>
        <w:t>omitting clause 6, substituting</w:t>
      </w:r>
      <w:r w:rsidRPr="003E72FE">
        <w:t xml:space="preserve"> – </w:t>
      </w:r>
    </w:p>
    <w:p w:rsidR="003E72FE" w:rsidRPr="003E72FE" w:rsidRDefault="003E72FE" w:rsidP="003E72FE">
      <w:pPr>
        <w:rPr>
          <w:i/>
          <w:sz w:val="20"/>
          <w:szCs w:val="20"/>
        </w:rPr>
      </w:pPr>
    </w:p>
    <w:p w:rsidR="003E72FE" w:rsidRPr="003E72FE" w:rsidRDefault="003E72FE" w:rsidP="003E72FE">
      <w:pPr>
        <w:pStyle w:val="ClauseHeading0"/>
      </w:pPr>
      <w:r w:rsidRPr="003E72FE">
        <w:t>6</w:t>
      </w:r>
      <w:r w:rsidRPr="003E72FE">
        <w:tab/>
        <w:t>Statement of storage conditions</w:t>
      </w:r>
    </w:p>
    <w:p w:rsidR="003E72FE" w:rsidRPr="003E72FE" w:rsidRDefault="003E72FE" w:rsidP="003E72FE">
      <w:pPr>
        <w:rPr>
          <w:sz w:val="20"/>
          <w:szCs w:val="20"/>
        </w:rPr>
      </w:pPr>
    </w:p>
    <w:p w:rsidR="003E72FE" w:rsidRPr="003E72FE" w:rsidRDefault="003E72FE" w:rsidP="003E72FE">
      <w:pPr>
        <w:pStyle w:val="Clause"/>
      </w:pPr>
      <w:r w:rsidRPr="003E72FE">
        <w:t>The label on a package of food must include a statement of any specific storage conditions required to ensure that the food will keep for the period indicated by the use-by date, or the best-before date.</w:t>
      </w:r>
    </w:p>
    <w:p w:rsidR="003E72FE" w:rsidRPr="003E72FE" w:rsidRDefault="003E72FE" w:rsidP="003E72FE">
      <w:pPr>
        <w:pStyle w:val="Clause"/>
      </w:pPr>
    </w:p>
    <w:p w:rsidR="003E72FE" w:rsidRPr="003E72FE" w:rsidRDefault="003E72FE" w:rsidP="003E72FE">
      <w:pPr>
        <w:pStyle w:val="Clause"/>
        <w:rPr>
          <w:i/>
        </w:rPr>
      </w:pPr>
      <w:r w:rsidRPr="003E72FE">
        <w:t>[8.5]</w:t>
      </w:r>
      <w:r w:rsidRPr="003E72FE">
        <w:tab/>
      </w:r>
      <w:r w:rsidRPr="003E72FE">
        <w:rPr>
          <w:i/>
        </w:rPr>
        <w:t xml:space="preserve">omitting subclause 7(2), substituting – </w:t>
      </w:r>
    </w:p>
    <w:p w:rsidR="003E72FE" w:rsidRPr="003E72FE" w:rsidRDefault="003E72FE" w:rsidP="003E72FE">
      <w:pPr>
        <w:rPr>
          <w:sz w:val="20"/>
          <w:szCs w:val="20"/>
        </w:rPr>
      </w:pPr>
    </w:p>
    <w:p w:rsidR="003E72FE" w:rsidRPr="003E72FE" w:rsidRDefault="003E72FE" w:rsidP="003E72FE">
      <w:pPr>
        <w:pStyle w:val="Subclause"/>
      </w:pPr>
      <w:r w:rsidRPr="003E72FE">
        <w:t>(2)</w:t>
      </w:r>
      <w:r w:rsidRPr="003E72FE">
        <w:tab/>
        <w:t>Subclause (1) does not preclude the label on a package of food from including a packed-on date or a manufacturer’s or packer’s code in addition to the required use-by date or best-before date.</w:t>
      </w:r>
    </w:p>
    <w:p w:rsidR="003E72FE" w:rsidRPr="003E72FE" w:rsidRDefault="003E72FE" w:rsidP="003E72FE">
      <w:pPr>
        <w:rPr>
          <w:sz w:val="20"/>
          <w:szCs w:val="20"/>
        </w:rPr>
      </w:pPr>
    </w:p>
    <w:p w:rsidR="003E72FE" w:rsidRPr="003E72FE" w:rsidRDefault="003E72FE" w:rsidP="003E72FE">
      <w:pPr>
        <w:pStyle w:val="Clause"/>
      </w:pPr>
      <w:r w:rsidRPr="003E72FE">
        <w:rPr>
          <w:b/>
        </w:rPr>
        <w:t>[9]</w:t>
      </w:r>
      <w:r w:rsidRPr="003E72FE">
        <w:tab/>
      </w:r>
      <w:r w:rsidRPr="003E72FE">
        <w:rPr>
          <w:b/>
          <w:bCs/>
          <w:i/>
        </w:rPr>
        <w:t xml:space="preserve">Standard 1.2.6 </w:t>
      </w:r>
      <w:r w:rsidRPr="003E72FE">
        <w:rPr>
          <w:i/>
        </w:rPr>
        <w:t>of the Australia New Zealand Food Standards Code is varied by</w:t>
      </w:r>
      <w:r w:rsidRPr="003E72FE">
        <w:t xml:space="preserve"> – </w:t>
      </w:r>
    </w:p>
    <w:p w:rsidR="003E72FE" w:rsidRPr="003E72FE" w:rsidRDefault="003E72FE" w:rsidP="003E72FE">
      <w:pPr>
        <w:rPr>
          <w:i/>
          <w:iCs/>
          <w:sz w:val="20"/>
          <w:szCs w:val="20"/>
        </w:rPr>
      </w:pPr>
    </w:p>
    <w:p w:rsidR="003E72FE" w:rsidRPr="003E72FE" w:rsidRDefault="003E72FE" w:rsidP="003E72FE">
      <w:pPr>
        <w:pStyle w:val="Clause"/>
        <w:rPr>
          <w:i/>
        </w:rPr>
      </w:pPr>
      <w:r w:rsidRPr="003E72FE">
        <w:t>[9.1]</w:t>
      </w:r>
      <w:r w:rsidRPr="003E72FE">
        <w:tab/>
      </w:r>
      <w:r w:rsidRPr="003E72FE">
        <w:rPr>
          <w:i/>
        </w:rPr>
        <w:t xml:space="preserve">omitting the </w:t>
      </w:r>
      <w:r w:rsidRPr="003E72FE">
        <w:t xml:space="preserve">Purpose, </w:t>
      </w:r>
      <w:r w:rsidRPr="003E72FE">
        <w:rPr>
          <w:i/>
        </w:rPr>
        <w:t xml:space="preserve">substituting – </w:t>
      </w:r>
    </w:p>
    <w:p w:rsidR="003E72FE" w:rsidRPr="003E72FE" w:rsidRDefault="003E72FE" w:rsidP="003E72FE">
      <w:pPr>
        <w:rPr>
          <w:sz w:val="20"/>
          <w:szCs w:val="20"/>
        </w:rPr>
      </w:pPr>
    </w:p>
    <w:p w:rsidR="003E72FE" w:rsidRPr="003E72FE" w:rsidRDefault="003E72FE" w:rsidP="003E72FE">
      <w:pPr>
        <w:pStyle w:val="ClauseHeading0"/>
      </w:pPr>
      <w:r w:rsidRPr="003E72FE">
        <w:t>Purpose</w:t>
      </w:r>
    </w:p>
    <w:p w:rsidR="003E72FE" w:rsidRPr="003E72FE" w:rsidRDefault="003E72FE" w:rsidP="003E72FE">
      <w:pPr>
        <w:rPr>
          <w:sz w:val="20"/>
          <w:szCs w:val="20"/>
        </w:rPr>
      </w:pPr>
    </w:p>
    <w:p w:rsidR="003E72FE" w:rsidRPr="003E72FE" w:rsidRDefault="003E72FE" w:rsidP="003E72FE">
      <w:pPr>
        <w:pStyle w:val="Clause"/>
      </w:pPr>
      <w:r w:rsidRPr="003E72FE">
        <w:t>This Standard identifies when directions for use and directions for storage are required to be included on a label.</w:t>
      </w:r>
    </w:p>
    <w:p w:rsidR="003E72FE" w:rsidRPr="003E72FE" w:rsidRDefault="003E72FE" w:rsidP="003E72FE">
      <w:pPr>
        <w:rPr>
          <w:sz w:val="20"/>
          <w:szCs w:val="20"/>
        </w:rPr>
      </w:pPr>
    </w:p>
    <w:p w:rsidR="003E72FE" w:rsidRPr="003E72FE" w:rsidRDefault="003E72FE" w:rsidP="003E72FE">
      <w:pPr>
        <w:pStyle w:val="Clause"/>
      </w:pPr>
      <w:r w:rsidRPr="003E72FE">
        <w:t>[9.2]</w:t>
      </w:r>
      <w:r w:rsidRPr="003E72FE">
        <w:tab/>
      </w:r>
      <w:r w:rsidRPr="003E72FE">
        <w:rPr>
          <w:i/>
        </w:rPr>
        <w:t xml:space="preserve">omitting clauses 1, 2 and 3,  the </w:t>
      </w:r>
      <w:r w:rsidRPr="003E72FE">
        <w:t>Table to clause 3</w:t>
      </w:r>
      <w:r w:rsidRPr="003E72FE">
        <w:rPr>
          <w:i/>
        </w:rPr>
        <w:t xml:space="preserve"> and the </w:t>
      </w:r>
      <w:r w:rsidRPr="003E72FE">
        <w:t>Editorial note</w:t>
      </w:r>
      <w:r w:rsidRPr="003E72FE">
        <w:rPr>
          <w:i/>
        </w:rPr>
        <w:t xml:space="preserve"> following the </w:t>
      </w:r>
      <w:r w:rsidRPr="003E72FE">
        <w:t>Table to clause 3</w:t>
      </w:r>
      <w:r w:rsidRPr="003E72FE">
        <w:rPr>
          <w:i/>
        </w:rPr>
        <w:t xml:space="preserve">, substituting </w:t>
      </w:r>
      <w:r w:rsidRPr="003E72FE">
        <w:t xml:space="preserve">– </w:t>
      </w:r>
    </w:p>
    <w:p w:rsidR="003E72FE" w:rsidRPr="003E72FE" w:rsidRDefault="003E72FE" w:rsidP="003E72FE">
      <w:pPr>
        <w:rPr>
          <w:sz w:val="20"/>
          <w:szCs w:val="20"/>
        </w:rPr>
      </w:pPr>
    </w:p>
    <w:p w:rsidR="003E72FE" w:rsidRPr="003E72FE" w:rsidRDefault="003E72FE" w:rsidP="003E72FE">
      <w:pPr>
        <w:pStyle w:val="Clauseheading"/>
      </w:pPr>
      <w:r w:rsidRPr="003E72FE">
        <w:t>1</w:t>
      </w:r>
      <w:r w:rsidRPr="003E72FE">
        <w:tab/>
        <w:t>Directions for use and storage of food</w:t>
      </w:r>
    </w:p>
    <w:p w:rsidR="003E72FE" w:rsidRPr="003E72FE" w:rsidRDefault="003E72FE" w:rsidP="003E72FE">
      <w:pPr>
        <w:rPr>
          <w:sz w:val="20"/>
          <w:szCs w:val="20"/>
        </w:rPr>
      </w:pPr>
    </w:p>
    <w:p w:rsidR="003E72FE" w:rsidRPr="003E72FE" w:rsidRDefault="003E72FE" w:rsidP="003E72FE">
      <w:pPr>
        <w:pStyle w:val="Clause"/>
      </w:pPr>
      <w:r w:rsidRPr="003E72FE">
        <w:t>(1)</w:t>
      </w:r>
      <w:r w:rsidRPr="003E72FE">
        <w:tab/>
        <w:t>The label on a package of food must include directions for the use of the food or the storage of the food, or both, if the food is of such a nature as to require the directions for health or safety reasons.</w:t>
      </w:r>
    </w:p>
    <w:p w:rsidR="003E72FE" w:rsidRPr="003E72FE" w:rsidRDefault="003E72FE" w:rsidP="003E72FE">
      <w:pPr>
        <w:pStyle w:val="Subclause"/>
      </w:pPr>
    </w:p>
    <w:p w:rsidR="003E72FE" w:rsidRPr="003E72FE" w:rsidRDefault="003E72FE" w:rsidP="003E72FE">
      <w:pPr>
        <w:pStyle w:val="Clause"/>
      </w:pPr>
      <w:r w:rsidRPr="003E72FE">
        <w:t>(2)</w:t>
      </w:r>
      <w:r w:rsidRPr="003E72FE">
        <w:tab/>
        <w:t>If food is unpackaged, the food must either be labelled with, or accompanied by, directions for the use of the food or the storage of the food, or both, if the food is of such a nature as to require the directions for health or safety reasons.</w:t>
      </w:r>
    </w:p>
    <w:p w:rsidR="003E72FE" w:rsidRDefault="003E72FE" w:rsidP="003E72FE">
      <w:pPr>
        <w:pStyle w:val="Clause"/>
      </w:pPr>
      <w:r>
        <w:br w:type="page"/>
      </w:r>
    </w:p>
    <w:p w:rsidR="003E72FE" w:rsidRPr="003E72FE" w:rsidRDefault="003E72FE" w:rsidP="003E72FE">
      <w:pPr>
        <w:pStyle w:val="Clause"/>
      </w:pPr>
      <w:r w:rsidRPr="003E72FE">
        <w:lastRenderedPageBreak/>
        <w:t>(3)</w:t>
      </w:r>
      <w:r w:rsidRPr="003E72FE">
        <w:tab/>
        <w:t>If the food is of a kind listed in column 1 of the Table to this clause, the food must be labelled with, or accompanied by, the directions for use set out in column 2.</w:t>
      </w:r>
    </w:p>
    <w:p w:rsidR="003E72FE" w:rsidRPr="003E72FE" w:rsidRDefault="003E72FE" w:rsidP="003E72FE">
      <w:pPr>
        <w:pStyle w:val="Subclause"/>
      </w:pPr>
    </w:p>
    <w:p w:rsidR="003E72FE" w:rsidRPr="003E72FE" w:rsidRDefault="003E72FE" w:rsidP="003E72FE">
      <w:pPr>
        <w:pStyle w:val="TableHeading"/>
      </w:pPr>
      <w:r w:rsidRPr="003E72FE">
        <w:t>Table to clause 1</w:t>
      </w:r>
    </w:p>
    <w:p w:rsidR="003E72FE" w:rsidRPr="003E72FE" w:rsidRDefault="003E72FE" w:rsidP="003E72FE">
      <w:pPr>
        <w:pStyle w:val="Subclaus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442"/>
      </w:tblGrid>
      <w:tr w:rsidR="003E72FE" w:rsidTr="003E72FE">
        <w:tc>
          <w:tcPr>
            <w:tcW w:w="2835" w:type="dxa"/>
            <w:tcBorders>
              <w:top w:val="single" w:sz="4" w:space="0" w:color="auto"/>
              <w:left w:val="single" w:sz="4" w:space="0" w:color="auto"/>
              <w:bottom w:val="single" w:sz="4" w:space="0" w:color="auto"/>
              <w:right w:val="single" w:sz="4" w:space="0" w:color="auto"/>
            </w:tcBorders>
            <w:hideMark/>
          </w:tcPr>
          <w:p w:rsidR="003E72FE" w:rsidRDefault="003E72FE">
            <w:pPr>
              <w:pStyle w:val="Table1"/>
              <w:spacing w:line="276" w:lineRule="auto"/>
            </w:pPr>
            <w:r>
              <w:t>Column 1</w:t>
            </w:r>
          </w:p>
        </w:tc>
        <w:tc>
          <w:tcPr>
            <w:tcW w:w="5442" w:type="dxa"/>
            <w:tcBorders>
              <w:top w:val="single" w:sz="4" w:space="0" w:color="auto"/>
              <w:left w:val="single" w:sz="4" w:space="0" w:color="auto"/>
              <w:bottom w:val="single" w:sz="4" w:space="0" w:color="auto"/>
              <w:right w:val="single" w:sz="4" w:space="0" w:color="auto"/>
            </w:tcBorders>
            <w:hideMark/>
          </w:tcPr>
          <w:p w:rsidR="003E72FE" w:rsidRDefault="003E72FE">
            <w:pPr>
              <w:pStyle w:val="Table1"/>
              <w:spacing w:line="276" w:lineRule="auto"/>
            </w:pPr>
            <w:r>
              <w:t>Column 2</w:t>
            </w:r>
          </w:p>
        </w:tc>
      </w:tr>
      <w:tr w:rsidR="003E72FE" w:rsidTr="003E72FE">
        <w:tc>
          <w:tcPr>
            <w:tcW w:w="2835" w:type="dxa"/>
            <w:tcBorders>
              <w:top w:val="single" w:sz="4" w:space="0" w:color="auto"/>
              <w:left w:val="single" w:sz="4" w:space="0" w:color="auto"/>
              <w:bottom w:val="single" w:sz="4" w:space="0" w:color="auto"/>
              <w:right w:val="single" w:sz="4" w:space="0" w:color="auto"/>
            </w:tcBorders>
            <w:hideMark/>
          </w:tcPr>
          <w:p w:rsidR="003E72FE" w:rsidRDefault="003E72FE">
            <w:pPr>
              <w:pStyle w:val="Table1"/>
              <w:spacing w:line="276" w:lineRule="auto"/>
            </w:pPr>
            <w:r>
              <w:t>Food</w:t>
            </w:r>
          </w:p>
        </w:tc>
        <w:tc>
          <w:tcPr>
            <w:tcW w:w="5442" w:type="dxa"/>
            <w:tcBorders>
              <w:top w:val="single" w:sz="4" w:space="0" w:color="auto"/>
              <w:left w:val="single" w:sz="4" w:space="0" w:color="auto"/>
              <w:bottom w:val="single" w:sz="4" w:space="0" w:color="auto"/>
              <w:right w:val="single" w:sz="4" w:space="0" w:color="auto"/>
            </w:tcBorders>
            <w:hideMark/>
          </w:tcPr>
          <w:p w:rsidR="003E72FE" w:rsidRDefault="003E72FE">
            <w:pPr>
              <w:pStyle w:val="Table1"/>
              <w:spacing w:line="276" w:lineRule="auto"/>
            </w:pPr>
            <w:r>
              <w:t>Directions for use</w:t>
            </w:r>
          </w:p>
        </w:tc>
      </w:tr>
      <w:tr w:rsidR="003E72FE" w:rsidTr="003E72FE">
        <w:tc>
          <w:tcPr>
            <w:tcW w:w="2835"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Raw bamboo shoots</w:t>
            </w:r>
          </w:p>
        </w:tc>
        <w:tc>
          <w:tcPr>
            <w:tcW w:w="5442"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A statement that indicates that bamboo shoots should be fully cooked before being consumed.</w:t>
            </w:r>
          </w:p>
        </w:tc>
      </w:tr>
      <w:tr w:rsidR="003E72FE" w:rsidTr="003E72FE">
        <w:tc>
          <w:tcPr>
            <w:tcW w:w="2835"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Raw sweet cassava</w:t>
            </w:r>
          </w:p>
        </w:tc>
        <w:tc>
          <w:tcPr>
            <w:tcW w:w="5442"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A statement that indicates that sweet cassava should be peeled and fully cooked before being consumed.</w:t>
            </w:r>
          </w:p>
        </w:tc>
      </w:tr>
    </w:tbl>
    <w:p w:rsidR="003E72FE" w:rsidRPr="003E72FE" w:rsidRDefault="003E72FE" w:rsidP="003E72FE">
      <w:pPr>
        <w:pStyle w:val="Subclause"/>
      </w:pPr>
    </w:p>
    <w:p w:rsidR="003E72FE" w:rsidRPr="003E72FE" w:rsidRDefault="003E72FE" w:rsidP="003E72FE">
      <w:pPr>
        <w:pStyle w:val="Clause"/>
        <w:rPr>
          <w:i/>
          <w:lang w:bidi="ar-SA"/>
        </w:rPr>
      </w:pPr>
      <w:r w:rsidRPr="003E72FE">
        <w:t>[9.3]</w:t>
      </w:r>
      <w:r w:rsidRPr="003E72FE">
        <w:tab/>
      </w:r>
      <w:r w:rsidRPr="003E72FE">
        <w:rPr>
          <w:i/>
        </w:rPr>
        <w:t xml:space="preserve">updating the </w:t>
      </w:r>
      <w:r w:rsidRPr="003E72FE">
        <w:t xml:space="preserve">Table of Provisions </w:t>
      </w:r>
      <w:r w:rsidRPr="003E72FE">
        <w:rPr>
          <w:i/>
        </w:rPr>
        <w:t>to reflect these amendments</w:t>
      </w:r>
    </w:p>
    <w:p w:rsidR="003E72FE" w:rsidRPr="003E72FE" w:rsidRDefault="003E72FE" w:rsidP="003E72FE">
      <w:pPr>
        <w:rPr>
          <w:i/>
          <w:iCs/>
          <w:sz w:val="20"/>
          <w:szCs w:val="20"/>
        </w:rPr>
      </w:pPr>
    </w:p>
    <w:p w:rsidR="003E72FE" w:rsidRPr="003E72FE" w:rsidRDefault="003E72FE" w:rsidP="003E72FE">
      <w:pPr>
        <w:pStyle w:val="Clause"/>
        <w:ind w:left="851" w:hanging="851"/>
        <w:rPr>
          <w:i/>
          <w:iCs/>
        </w:rPr>
      </w:pPr>
      <w:r w:rsidRPr="003E72FE">
        <w:rPr>
          <w:b/>
          <w:bCs/>
        </w:rPr>
        <w:t>[10]</w:t>
      </w:r>
      <w:r w:rsidRPr="003E72FE">
        <w:tab/>
      </w:r>
      <w:r w:rsidRPr="003E72FE">
        <w:rPr>
          <w:b/>
          <w:bCs/>
          <w:i/>
          <w:iCs/>
        </w:rPr>
        <w:t>Standard 1.2.8</w:t>
      </w:r>
      <w:r w:rsidRPr="003E72FE">
        <w:rPr>
          <w:i/>
          <w:iCs/>
        </w:rPr>
        <w:t xml:space="preserve"> of the Australia New Zealand Food Standards Code is varied by –</w:t>
      </w:r>
    </w:p>
    <w:p w:rsidR="003E72FE" w:rsidRPr="003E72FE" w:rsidRDefault="003E72FE" w:rsidP="003E72FE">
      <w:pPr>
        <w:rPr>
          <w:sz w:val="20"/>
          <w:szCs w:val="20"/>
        </w:rPr>
      </w:pPr>
    </w:p>
    <w:p w:rsidR="003E72FE" w:rsidRPr="003E72FE" w:rsidRDefault="003E72FE" w:rsidP="003E72FE">
      <w:pPr>
        <w:pStyle w:val="Clause"/>
        <w:rPr>
          <w:i/>
        </w:rPr>
      </w:pPr>
      <w:r w:rsidRPr="003E72FE">
        <w:t>[10.1]</w:t>
      </w:r>
      <w:r w:rsidRPr="003E72FE">
        <w:tab/>
      </w:r>
      <w:r w:rsidRPr="003E72FE">
        <w:rPr>
          <w:i/>
        </w:rPr>
        <w:t xml:space="preserve">omitting </w:t>
      </w:r>
      <w:r w:rsidRPr="003E72FE">
        <w:t xml:space="preserve">acids </w:t>
      </w:r>
      <w:r w:rsidRPr="003E72FE">
        <w:rPr>
          <w:i/>
        </w:rPr>
        <w:t xml:space="preserve">after </w:t>
      </w:r>
      <w:r w:rsidRPr="003E72FE">
        <w:t>bonds</w:t>
      </w:r>
      <w:r w:rsidRPr="003E72FE">
        <w:rPr>
          <w:i/>
        </w:rPr>
        <w:t xml:space="preserve"> from the definition of </w:t>
      </w:r>
      <w:r w:rsidRPr="003E72FE">
        <w:rPr>
          <w:b/>
        </w:rPr>
        <w:t xml:space="preserve">polyunsaturated fatty acids </w:t>
      </w:r>
      <w:r w:rsidRPr="003E72FE">
        <w:rPr>
          <w:i/>
        </w:rPr>
        <w:t>in clause 1</w:t>
      </w:r>
    </w:p>
    <w:p w:rsidR="003E72FE" w:rsidRPr="003E72FE" w:rsidRDefault="003E72FE" w:rsidP="003E72FE">
      <w:pPr>
        <w:rPr>
          <w:sz w:val="20"/>
          <w:szCs w:val="20"/>
        </w:rPr>
      </w:pPr>
    </w:p>
    <w:p w:rsidR="003E72FE" w:rsidRPr="003E72FE" w:rsidRDefault="003E72FE" w:rsidP="003E72FE">
      <w:pPr>
        <w:pStyle w:val="Clause"/>
      </w:pPr>
      <w:r w:rsidRPr="003E72FE">
        <w:t>[10.2]</w:t>
      </w:r>
      <w:r w:rsidRPr="003E72FE">
        <w:tab/>
      </w:r>
      <w:r w:rsidRPr="003E72FE">
        <w:rPr>
          <w:i/>
        </w:rPr>
        <w:t xml:space="preserve">omitting </w:t>
      </w:r>
      <w:r w:rsidRPr="003E72FE">
        <w:t xml:space="preserve">acids </w:t>
      </w:r>
      <w:r w:rsidRPr="003E72FE">
        <w:rPr>
          <w:i/>
        </w:rPr>
        <w:t xml:space="preserve">after </w:t>
      </w:r>
      <w:r w:rsidRPr="003E72FE">
        <w:t xml:space="preserve">bonds </w:t>
      </w:r>
      <w:r w:rsidRPr="003E72FE">
        <w:rPr>
          <w:i/>
        </w:rPr>
        <w:t>from the definition of</w:t>
      </w:r>
      <w:r w:rsidRPr="003E72FE">
        <w:t xml:space="preserve"> </w:t>
      </w:r>
      <w:r w:rsidRPr="003E72FE">
        <w:rPr>
          <w:b/>
        </w:rPr>
        <w:t xml:space="preserve">saturated fatty acids </w:t>
      </w:r>
      <w:r w:rsidRPr="003E72FE">
        <w:rPr>
          <w:i/>
        </w:rPr>
        <w:t>in clause 1</w:t>
      </w:r>
    </w:p>
    <w:p w:rsidR="003E72FE" w:rsidRPr="003E72FE" w:rsidRDefault="003E72FE" w:rsidP="003E72FE">
      <w:pPr>
        <w:rPr>
          <w:i/>
          <w:sz w:val="20"/>
          <w:szCs w:val="20"/>
        </w:rPr>
      </w:pPr>
    </w:p>
    <w:p w:rsidR="003E72FE" w:rsidRPr="003E72FE" w:rsidRDefault="003E72FE" w:rsidP="003E72FE">
      <w:pPr>
        <w:pStyle w:val="Clause"/>
        <w:rPr>
          <w:i/>
        </w:rPr>
      </w:pPr>
      <w:r w:rsidRPr="003E72FE">
        <w:t>[10.3]</w:t>
      </w:r>
      <w:r w:rsidRPr="003E72FE">
        <w:tab/>
      </w:r>
      <w:r w:rsidRPr="003E72FE">
        <w:rPr>
          <w:i/>
        </w:rPr>
        <w:t xml:space="preserve">omitting </w:t>
      </w:r>
      <w:r w:rsidRPr="003E72FE">
        <w:t xml:space="preserve">acids </w:t>
      </w:r>
      <w:r w:rsidRPr="003E72FE">
        <w:rPr>
          <w:i/>
        </w:rPr>
        <w:t xml:space="preserve">after </w:t>
      </w:r>
      <w:r w:rsidRPr="003E72FE">
        <w:t xml:space="preserve">configuration </w:t>
      </w:r>
      <w:r w:rsidRPr="003E72FE">
        <w:rPr>
          <w:i/>
        </w:rPr>
        <w:t xml:space="preserve">from the definition of </w:t>
      </w:r>
      <w:r w:rsidRPr="003E72FE">
        <w:rPr>
          <w:b/>
        </w:rPr>
        <w:t xml:space="preserve">trans fatty acids </w:t>
      </w:r>
      <w:r w:rsidRPr="003E72FE">
        <w:rPr>
          <w:i/>
        </w:rPr>
        <w:t>in clause 1</w:t>
      </w:r>
    </w:p>
    <w:p w:rsidR="003E72FE" w:rsidRPr="003E72FE" w:rsidRDefault="003E72FE" w:rsidP="003E72FE">
      <w:pPr>
        <w:rPr>
          <w:sz w:val="20"/>
          <w:szCs w:val="20"/>
        </w:rPr>
      </w:pPr>
    </w:p>
    <w:p w:rsidR="003E72FE" w:rsidRPr="003E72FE" w:rsidRDefault="003E72FE" w:rsidP="003E72FE">
      <w:pPr>
        <w:pStyle w:val="Clause"/>
        <w:rPr>
          <w:i/>
        </w:rPr>
      </w:pPr>
      <w:r w:rsidRPr="003E72FE">
        <w:t>[10.4]</w:t>
      </w:r>
      <w:r w:rsidRPr="003E72FE">
        <w:tab/>
      </w:r>
      <w:r w:rsidRPr="003E72FE">
        <w:rPr>
          <w:i/>
        </w:rPr>
        <w:t xml:space="preserve">omitting clause 3, substituting – </w:t>
      </w:r>
    </w:p>
    <w:p w:rsidR="003E72FE" w:rsidRPr="003E72FE" w:rsidRDefault="003E72FE" w:rsidP="003E72FE">
      <w:pPr>
        <w:rPr>
          <w:sz w:val="20"/>
          <w:szCs w:val="20"/>
        </w:rPr>
      </w:pPr>
    </w:p>
    <w:p w:rsidR="003E72FE" w:rsidRPr="003E72FE" w:rsidRDefault="003E72FE" w:rsidP="003E72FE">
      <w:pPr>
        <w:pStyle w:val="ClauseHeading0"/>
      </w:pPr>
      <w:r w:rsidRPr="003E72FE">
        <w:t>3</w:t>
      </w:r>
      <w:r w:rsidRPr="003E72FE">
        <w:tab/>
        <w:t>Nutrition information requirements and exemptions</w:t>
      </w:r>
    </w:p>
    <w:p w:rsidR="003E72FE" w:rsidRPr="003E72FE" w:rsidRDefault="003E72FE" w:rsidP="003E72FE">
      <w:pPr>
        <w:pStyle w:val="Clause"/>
      </w:pPr>
    </w:p>
    <w:p w:rsidR="003E72FE" w:rsidRPr="003E72FE" w:rsidRDefault="003E72FE" w:rsidP="003E72FE">
      <w:pPr>
        <w:pStyle w:val="Clause"/>
      </w:pPr>
      <w:r w:rsidRPr="003E72FE">
        <w:t>Subject to clause 4, the label on a package of food must include a nutrition information panel except where the food is –</w:t>
      </w:r>
    </w:p>
    <w:p w:rsidR="003E72FE" w:rsidRPr="003E72FE" w:rsidRDefault="003E72FE" w:rsidP="003E72FE">
      <w:pPr>
        <w:pStyle w:val="Paragraph"/>
      </w:pPr>
    </w:p>
    <w:p w:rsidR="003E72FE" w:rsidRPr="003E72FE" w:rsidRDefault="003E72FE" w:rsidP="003E72FE">
      <w:pPr>
        <w:pStyle w:val="Paragraph"/>
      </w:pPr>
      <w:r w:rsidRPr="003E72FE">
        <w:t>(a)</w:t>
      </w:r>
      <w:r w:rsidRPr="003E72FE">
        <w:tab/>
        <w:t>deleted</w:t>
      </w:r>
    </w:p>
    <w:p w:rsidR="003E72FE" w:rsidRPr="003E72FE" w:rsidRDefault="003E72FE" w:rsidP="003E72FE">
      <w:pPr>
        <w:pStyle w:val="Paragraph"/>
      </w:pPr>
      <w:r w:rsidRPr="003E72FE">
        <w:t>(b)</w:t>
      </w:r>
      <w:r w:rsidRPr="003E72FE">
        <w:tab/>
        <w:t>an alcoholic beverage standardised in Standard 2.7.2 to Standard 2.7.5 of this Code; or</w:t>
      </w:r>
    </w:p>
    <w:p w:rsidR="003E72FE" w:rsidRPr="003E72FE" w:rsidRDefault="003E72FE" w:rsidP="003E72FE">
      <w:pPr>
        <w:pStyle w:val="Paragraph"/>
      </w:pPr>
      <w:r w:rsidRPr="003E72FE">
        <w:t>(c)</w:t>
      </w:r>
      <w:r w:rsidRPr="003E72FE">
        <w:tab/>
        <w:t>a herb, a spice, a herbal infusion; or</w:t>
      </w:r>
    </w:p>
    <w:p w:rsidR="003E72FE" w:rsidRPr="003E72FE" w:rsidRDefault="003E72FE" w:rsidP="003E72FE">
      <w:pPr>
        <w:pStyle w:val="Paragraph"/>
      </w:pPr>
      <w:r w:rsidRPr="003E72FE">
        <w:t>(d)</w:t>
      </w:r>
      <w:r w:rsidRPr="003E72FE">
        <w:tab/>
        <w:t>vinegar and related products as standardised in Standard 2.10.1; or</w:t>
      </w:r>
    </w:p>
    <w:p w:rsidR="003E72FE" w:rsidRPr="003E72FE" w:rsidRDefault="003E72FE" w:rsidP="003E72FE">
      <w:pPr>
        <w:pStyle w:val="Paragraph"/>
      </w:pPr>
      <w:r w:rsidRPr="003E72FE">
        <w:t>(e)</w:t>
      </w:r>
      <w:r w:rsidRPr="003E72FE">
        <w:tab/>
        <w:t>salt and salt products as standardised in Standard 2.10.2; or</w:t>
      </w:r>
    </w:p>
    <w:p w:rsidR="003E72FE" w:rsidRPr="003E72FE" w:rsidRDefault="003E72FE" w:rsidP="003E72FE">
      <w:pPr>
        <w:pStyle w:val="Paragraph"/>
      </w:pPr>
      <w:r w:rsidRPr="003E72FE">
        <w:t>(f)</w:t>
      </w:r>
      <w:r w:rsidRPr="003E72FE">
        <w:tab/>
        <w:t>tea, decaffeinated tea, decaffeinated instant or soluble tea, instant or soluble tea, coffee, decaffeinated coffee, decaffeinated instant or soluble coffee, instant or soluble coffee, as defined in Standard 1.1.2; or</w:t>
      </w:r>
    </w:p>
    <w:p w:rsidR="003E72FE" w:rsidRPr="003E72FE" w:rsidRDefault="003E72FE" w:rsidP="003E72FE">
      <w:pPr>
        <w:pStyle w:val="Paragraph"/>
      </w:pPr>
      <w:r w:rsidRPr="003E72FE">
        <w:t>(g)</w:t>
      </w:r>
      <w:r w:rsidRPr="003E72FE">
        <w:tab/>
        <w:t>an additive for the purposes of Standard 1.3.1; or</w:t>
      </w:r>
    </w:p>
    <w:p w:rsidR="003E72FE" w:rsidRPr="003E72FE" w:rsidRDefault="003E72FE" w:rsidP="003E72FE">
      <w:pPr>
        <w:pStyle w:val="Paragraph"/>
      </w:pPr>
      <w:r w:rsidRPr="003E72FE">
        <w:t>(h)</w:t>
      </w:r>
      <w:r w:rsidRPr="003E72FE">
        <w:tab/>
        <w:t>a processing aid as defined in Standard 1.3.3; or</w:t>
      </w:r>
    </w:p>
    <w:p w:rsidR="003E72FE" w:rsidRPr="003E72FE" w:rsidRDefault="003E72FE" w:rsidP="003E72FE">
      <w:pPr>
        <w:pStyle w:val="Paragraph"/>
      </w:pPr>
      <w:r w:rsidRPr="003E72FE">
        <w:t>(i)</w:t>
      </w:r>
      <w:r w:rsidRPr="003E72FE">
        <w:tab/>
        <w:t>fruit, vegetables, meat, poultry, and fish that comprise a single ingredient or category of ingredients; or</w:t>
      </w:r>
    </w:p>
    <w:p w:rsidR="003E72FE" w:rsidRPr="003E72FE" w:rsidRDefault="003E72FE" w:rsidP="003E72FE">
      <w:pPr>
        <w:pStyle w:val="Paragraph"/>
      </w:pPr>
      <w:r w:rsidRPr="003E72FE">
        <w:t>(j)</w:t>
      </w:r>
      <w:r w:rsidRPr="003E72FE">
        <w:tab/>
        <w:t>in a small package; or</w:t>
      </w:r>
    </w:p>
    <w:p w:rsidR="003E72FE" w:rsidRPr="003E72FE" w:rsidRDefault="003E72FE" w:rsidP="003E72FE">
      <w:pPr>
        <w:pStyle w:val="Paragraph"/>
      </w:pPr>
      <w:r w:rsidRPr="003E72FE">
        <w:t>(k)</w:t>
      </w:r>
      <w:r w:rsidRPr="003E72FE">
        <w:tab/>
        <w:t>gelatine as defined in Standard 1.1.2; or</w:t>
      </w:r>
    </w:p>
    <w:p w:rsidR="003E72FE" w:rsidRPr="003E72FE" w:rsidRDefault="003E72FE" w:rsidP="003E72FE">
      <w:pPr>
        <w:pStyle w:val="Paragraph"/>
      </w:pPr>
      <w:r w:rsidRPr="003E72FE">
        <w:t>(l)</w:t>
      </w:r>
      <w:r w:rsidRPr="003E72FE">
        <w:tab/>
        <w:t>water, or mineral water or spring water as defined in Standard 2.6.2; or</w:t>
      </w:r>
    </w:p>
    <w:p w:rsidR="003E72FE" w:rsidRPr="003E72FE" w:rsidRDefault="003E72FE" w:rsidP="003E72FE">
      <w:pPr>
        <w:pStyle w:val="Paragraph"/>
      </w:pPr>
      <w:r w:rsidRPr="003E72FE">
        <w:t>(m)</w:t>
      </w:r>
      <w:r w:rsidRPr="003E72FE">
        <w:tab/>
        <w:t>prepared filled rolls, sandwiches, bagels and similar products; or</w:t>
      </w:r>
    </w:p>
    <w:p w:rsidR="003E72FE" w:rsidRPr="003E72FE" w:rsidRDefault="003E72FE" w:rsidP="003E72FE">
      <w:pPr>
        <w:pStyle w:val="Paragraph"/>
      </w:pPr>
      <w:r w:rsidRPr="003E72FE">
        <w:t>(n)</w:t>
      </w:r>
      <w:r w:rsidRPr="003E72FE">
        <w:tab/>
        <w:t>jam setting compound; or</w:t>
      </w:r>
    </w:p>
    <w:p w:rsidR="003E72FE" w:rsidRPr="003E72FE" w:rsidRDefault="003E72FE" w:rsidP="003E72FE">
      <w:pPr>
        <w:pStyle w:val="Paragraph"/>
      </w:pPr>
      <w:r w:rsidRPr="003E72FE">
        <w:t>(o)</w:t>
      </w:r>
      <w:r w:rsidRPr="003E72FE">
        <w:tab/>
        <w:t>a kit which is intended to be used to produce an alcoholic beverage standardised in Standard 2.7.2 to Standard 2.7.5 of this Code; or</w:t>
      </w:r>
    </w:p>
    <w:p w:rsidR="003E72FE" w:rsidRPr="003E72FE" w:rsidRDefault="003E72FE" w:rsidP="003E72FE">
      <w:pPr>
        <w:pStyle w:val="Paragraph"/>
      </w:pPr>
      <w:r w:rsidRPr="003E72FE">
        <w:t>(p)</w:t>
      </w:r>
      <w:r w:rsidRPr="003E72FE">
        <w:tab/>
        <w:t>a beverage containing no less than 0.5% alcohol by volume that is not standardised in Standard 2.7.2 to Standard 2.7.5 of this Code; or</w:t>
      </w:r>
    </w:p>
    <w:p w:rsidR="003E72FE" w:rsidRPr="003E72FE" w:rsidRDefault="003E72FE" w:rsidP="003E72FE">
      <w:pPr>
        <w:pStyle w:val="Paragraph"/>
      </w:pPr>
      <w:r w:rsidRPr="003E72FE">
        <w:t>(q)</w:t>
      </w:r>
      <w:r w:rsidRPr="003E72FE">
        <w:tab/>
        <w:t>kava as standardised in Standard 2.6.3.</w:t>
      </w:r>
    </w:p>
    <w:p w:rsidR="003E72FE" w:rsidRPr="003E72FE" w:rsidRDefault="003E72FE" w:rsidP="003E72FE">
      <w:pPr>
        <w:rPr>
          <w:sz w:val="20"/>
          <w:szCs w:val="20"/>
        </w:rPr>
      </w:pPr>
    </w:p>
    <w:p w:rsidR="003E72FE" w:rsidRPr="003E72FE" w:rsidRDefault="003E72FE" w:rsidP="003E72FE">
      <w:pPr>
        <w:pStyle w:val="Clause"/>
        <w:rPr>
          <w:i/>
        </w:rPr>
      </w:pPr>
      <w:r w:rsidRPr="003E72FE">
        <w:t>[10.5]</w:t>
      </w:r>
      <w:r w:rsidRPr="003E72FE">
        <w:tab/>
      </w:r>
      <w:r w:rsidRPr="003E72FE">
        <w:rPr>
          <w:i/>
        </w:rPr>
        <w:t xml:space="preserve">omitting subclause 5(7), substituting – </w:t>
      </w:r>
    </w:p>
    <w:p w:rsidR="003E72FE" w:rsidRPr="003E72FE" w:rsidRDefault="003E72FE" w:rsidP="003E72FE">
      <w:pPr>
        <w:rPr>
          <w:sz w:val="20"/>
          <w:szCs w:val="20"/>
        </w:rPr>
      </w:pPr>
    </w:p>
    <w:p w:rsidR="003E72FE" w:rsidRDefault="003E72FE" w:rsidP="003E72FE">
      <w:pPr>
        <w:pStyle w:val="Subclause"/>
      </w:pPr>
      <w:r w:rsidRPr="003E72FE">
        <w:t>(7)</w:t>
      </w:r>
      <w:r w:rsidRPr="003E72FE">
        <w:tab/>
        <w:t>The information prescribed in subclause (4) and subclause (5), where required to be included in a nutritional information panel, mus</w:t>
      </w:r>
      <w:r>
        <w:t xml:space="preserve">t be set out in the following format – </w:t>
      </w:r>
    </w:p>
    <w:p w:rsidR="003E72FE" w:rsidRDefault="003E72FE" w:rsidP="003E72FE">
      <w:r>
        <w:br w:type="page"/>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795"/>
        <w:gridCol w:w="2314"/>
      </w:tblGrid>
      <w:tr w:rsidR="003E72FE" w:rsidTr="003E72FE">
        <w:tc>
          <w:tcPr>
            <w:tcW w:w="7904" w:type="dxa"/>
            <w:gridSpan w:val="3"/>
            <w:tcBorders>
              <w:top w:val="single" w:sz="4" w:space="0" w:color="auto"/>
              <w:left w:val="single" w:sz="4" w:space="0" w:color="auto"/>
              <w:bottom w:val="single" w:sz="4" w:space="0" w:color="auto"/>
              <w:right w:val="single" w:sz="4" w:space="0" w:color="auto"/>
            </w:tcBorders>
            <w:hideMark/>
          </w:tcPr>
          <w:p w:rsidR="003E72FE" w:rsidRDefault="003E72FE">
            <w:pPr>
              <w:pStyle w:val="Table1"/>
              <w:spacing w:line="276" w:lineRule="auto"/>
            </w:pPr>
            <w:r>
              <w:lastRenderedPageBreak/>
              <w:t>NUTRITION INFORMATION</w:t>
            </w:r>
          </w:p>
          <w:p w:rsidR="003E72FE" w:rsidRDefault="003E72FE">
            <w:pPr>
              <w:pStyle w:val="Table2"/>
              <w:spacing w:line="276" w:lineRule="auto"/>
              <w:rPr>
                <w:lang w:bidi="ar-SA"/>
              </w:rPr>
            </w:pPr>
            <w:r>
              <w:t>Servings per package: (insert number of servings)</w:t>
            </w:r>
          </w:p>
          <w:p w:rsidR="003E72FE" w:rsidRDefault="003E72FE">
            <w:pPr>
              <w:pStyle w:val="Table2"/>
              <w:spacing w:line="276" w:lineRule="auto"/>
            </w:pPr>
            <w:r>
              <w:t>Serving size: g (or mL or other units as appropriate)</w:t>
            </w:r>
          </w:p>
        </w:tc>
      </w:tr>
      <w:tr w:rsidR="003E72FE" w:rsidTr="003E72FE">
        <w:tc>
          <w:tcPr>
            <w:tcW w:w="2795" w:type="dxa"/>
            <w:tcBorders>
              <w:top w:val="single" w:sz="4" w:space="0" w:color="auto"/>
              <w:left w:val="single" w:sz="4" w:space="0" w:color="auto"/>
              <w:bottom w:val="single" w:sz="4" w:space="0" w:color="auto"/>
              <w:right w:val="nil"/>
            </w:tcBorders>
          </w:tcPr>
          <w:p w:rsidR="003E72FE" w:rsidRDefault="003E72FE">
            <w:pPr>
              <w:pStyle w:val="Table2"/>
              <w:spacing w:line="276" w:lineRule="auto"/>
            </w:pPr>
          </w:p>
        </w:tc>
        <w:tc>
          <w:tcPr>
            <w:tcW w:w="2795" w:type="dxa"/>
            <w:tcBorders>
              <w:top w:val="single" w:sz="4" w:space="0" w:color="auto"/>
              <w:left w:val="nil"/>
              <w:bottom w:val="single" w:sz="4" w:space="0" w:color="auto"/>
              <w:right w:val="nil"/>
            </w:tcBorders>
            <w:hideMark/>
          </w:tcPr>
          <w:p w:rsidR="003E72FE" w:rsidRDefault="003E72FE">
            <w:pPr>
              <w:pStyle w:val="Table2"/>
              <w:spacing w:line="276" w:lineRule="auto"/>
            </w:pPr>
            <w:r>
              <w:t>Quantity per Serving</w:t>
            </w:r>
          </w:p>
        </w:tc>
        <w:tc>
          <w:tcPr>
            <w:tcW w:w="2314" w:type="dxa"/>
            <w:tcBorders>
              <w:top w:val="single" w:sz="4" w:space="0" w:color="auto"/>
              <w:left w:val="nil"/>
              <w:bottom w:val="single" w:sz="4" w:space="0" w:color="auto"/>
              <w:right w:val="single" w:sz="4" w:space="0" w:color="auto"/>
            </w:tcBorders>
          </w:tcPr>
          <w:p w:rsidR="003E72FE" w:rsidRDefault="003E72FE">
            <w:pPr>
              <w:pStyle w:val="Table2"/>
              <w:spacing w:line="276" w:lineRule="auto"/>
            </w:pPr>
            <w:r>
              <w:t>Quantity per 100 g (or 100 mL)</w:t>
            </w:r>
          </w:p>
          <w:p w:rsidR="003E72FE" w:rsidRDefault="003E72FE">
            <w:pPr>
              <w:pStyle w:val="Table2"/>
              <w:spacing w:line="276" w:lineRule="auto"/>
            </w:pPr>
          </w:p>
        </w:tc>
      </w:tr>
      <w:tr w:rsidR="003E72FE" w:rsidTr="003E72FE">
        <w:trPr>
          <w:cantSplit/>
        </w:trPr>
        <w:tc>
          <w:tcPr>
            <w:tcW w:w="2795" w:type="dxa"/>
            <w:tcBorders>
              <w:top w:val="single" w:sz="4" w:space="0" w:color="auto"/>
              <w:left w:val="single" w:sz="4" w:space="0" w:color="auto"/>
              <w:bottom w:val="nil"/>
              <w:right w:val="nil"/>
            </w:tcBorders>
            <w:hideMark/>
          </w:tcPr>
          <w:p w:rsidR="003E72FE" w:rsidRDefault="003E72FE">
            <w:pPr>
              <w:pStyle w:val="Table2"/>
              <w:spacing w:line="276" w:lineRule="auto"/>
            </w:pPr>
            <w:r>
              <w:t>Energy</w:t>
            </w:r>
          </w:p>
        </w:tc>
        <w:tc>
          <w:tcPr>
            <w:tcW w:w="2795" w:type="dxa"/>
            <w:tcBorders>
              <w:top w:val="single" w:sz="4" w:space="0" w:color="auto"/>
              <w:left w:val="nil"/>
              <w:bottom w:val="nil"/>
              <w:right w:val="nil"/>
            </w:tcBorders>
            <w:hideMark/>
          </w:tcPr>
          <w:p w:rsidR="003E72FE" w:rsidRDefault="003E72FE">
            <w:pPr>
              <w:pStyle w:val="Table2"/>
              <w:spacing w:line="276" w:lineRule="auto"/>
            </w:pPr>
            <w:r>
              <w:t>kJ (Cal)</w:t>
            </w:r>
          </w:p>
        </w:tc>
        <w:tc>
          <w:tcPr>
            <w:tcW w:w="2314" w:type="dxa"/>
            <w:tcBorders>
              <w:top w:val="single" w:sz="4" w:space="0" w:color="auto"/>
              <w:left w:val="nil"/>
              <w:bottom w:val="nil"/>
              <w:right w:val="single" w:sz="4" w:space="0" w:color="auto"/>
            </w:tcBorders>
          </w:tcPr>
          <w:p w:rsidR="003E72FE" w:rsidRDefault="003E72FE">
            <w:pPr>
              <w:pStyle w:val="Table2"/>
              <w:spacing w:line="276" w:lineRule="auto"/>
            </w:pPr>
            <w:r>
              <w:t>kJ (Cal)</w:t>
            </w:r>
          </w:p>
          <w:p w:rsidR="003E72FE" w:rsidRDefault="003E72FE">
            <w:pPr>
              <w:pStyle w:val="Table2"/>
              <w:spacing w:line="276" w:lineRule="auto"/>
            </w:pPr>
          </w:p>
        </w:tc>
      </w:tr>
      <w:tr w:rsidR="003E72FE" w:rsidTr="003E72FE">
        <w:trPr>
          <w:cantSplit/>
        </w:trPr>
        <w:tc>
          <w:tcPr>
            <w:tcW w:w="2795" w:type="dxa"/>
            <w:tcBorders>
              <w:top w:val="nil"/>
              <w:left w:val="single" w:sz="4" w:space="0" w:color="auto"/>
              <w:bottom w:val="nil"/>
              <w:right w:val="nil"/>
            </w:tcBorders>
            <w:hideMark/>
          </w:tcPr>
          <w:p w:rsidR="003E72FE" w:rsidRDefault="003E72FE">
            <w:pPr>
              <w:pStyle w:val="Table2"/>
              <w:spacing w:line="276" w:lineRule="auto"/>
            </w:pPr>
            <w:r>
              <w:t>Protein, total</w:t>
            </w:r>
          </w:p>
          <w:p w:rsidR="003E72FE" w:rsidRDefault="003E72FE">
            <w:pPr>
              <w:pStyle w:val="Table2"/>
              <w:spacing w:line="276" w:lineRule="auto"/>
            </w:pPr>
            <w:r>
              <w:tab/>
              <w:t>– *</w:t>
            </w:r>
          </w:p>
        </w:tc>
        <w:tc>
          <w:tcPr>
            <w:tcW w:w="2795" w:type="dxa"/>
            <w:tcBorders>
              <w:top w:val="nil"/>
              <w:left w:val="nil"/>
              <w:bottom w:val="nil"/>
              <w:right w:val="nil"/>
            </w:tcBorders>
            <w:hideMark/>
          </w:tcPr>
          <w:p w:rsidR="003E72FE" w:rsidRDefault="003E72FE">
            <w:pPr>
              <w:pStyle w:val="Table2"/>
              <w:spacing w:line="276" w:lineRule="auto"/>
            </w:pPr>
            <w:r>
              <w:t>g</w:t>
            </w:r>
          </w:p>
          <w:p w:rsidR="003E72FE" w:rsidRDefault="003E72FE">
            <w:pPr>
              <w:pStyle w:val="Table2"/>
              <w:spacing w:line="276" w:lineRule="auto"/>
            </w:pPr>
            <w:r>
              <w:t>g</w:t>
            </w:r>
          </w:p>
        </w:tc>
        <w:tc>
          <w:tcPr>
            <w:tcW w:w="2314" w:type="dxa"/>
            <w:tcBorders>
              <w:top w:val="nil"/>
              <w:left w:val="nil"/>
              <w:bottom w:val="nil"/>
              <w:right w:val="single" w:sz="4" w:space="0" w:color="auto"/>
            </w:tcBorders>
          </w:tcPr>
          <w:p w:rsidR="003E72FE" w:rsidRDefault="003E72FE">
            <w:pPr>
              <w:pStyle w:val="Table2"/>
              <w:spacing w:line="276" w:lineRule="auto"/>
            </w:pPr>
            <w:r>
              <w:t>g</w:t>
            </w:r>
          </w:p>
          <w:p w:rsidR="003E72FE" w:rsidRDefault="003E72FE">
            <w:pPr>
              <w:pStyle w:val="Table2"/>
              <w:spacing w:line="276" w:lineRule="auto"/>
              <w:rPr>
                <w:lang w:bidi="ar-SA"/>
              </w:rPr>
            </w:pPr>
            <w:r>
              <w:t>g</w:t>
            </w:r>
          </w:p>
          <w:p w:rsidR="003E72FE" w:rsidRDefault="003E72FE">
            <w:pPr>
              <w:pStyle w:val="Table2"/>
              <w:spacing w:line="276" w:lineRule="auto"/>
            </w:pPr>
          </w:p>
        </w:tc>
      </w:tr>
      <w:tr w:rsidR="003E72FE" w:rsidTr="003E72FE">
        <w:trPr>
          <w:cantSplit/>
        </w:trPr>
        <w:tc>
          <w:tcPr>
            <w:tcW w:w="2795" w:type="dxa"/>
            <w:tcBorders>
              <w:top w:val="nil"/>
              <w:left w:val="single" w:sz="4" w:space="0" w:color="auto"/>
              <w:bottom w:val="nil"/>
              <w:right w:val="nil"/>
            </w:tcBorders>
          </w:tcPr>
          <w:p w:rsidR="003E72FE" w:rsidRDefault="003E72FE">
            <w:pPr>
              <w:pStyle w:val="Table2"/>
              <w:spacing w:line="276" w:lineRule="auto"/>
            </w:pPr>
            <w:r>
              <w:t>Fat, total</w:t>
            </w:r>
          </w:p>
          <w:p w:rsidR="003E72FE" w:rsidRDefault="003E72FE">
            <w:pPr>
              <w:pStyle w:val="Table2"/>
              <w:spacing w:line="276" w:lineRule="auto"/>
              <w:rPr>
                <w:lang w:bidi="ar-SA"/>
              </w:rPr>
            </w:pPr>
            <w:r>
              <w:t xml:space="preserve"> </w:t>
            </w:r>
            <w:r>
              <w:tab/>
              <w:t>– saturated</w:t>
            </w:r>
          </w:p>
          <w:p w:rsidR="003E72FE" w:rsidRDefault="003E72FE">
            <w:pPr>
              <w:pStyle w:val="Table2"/>
              <w:tabs>
                <w:tab w:val="left" w:pos="567"/>
              </w:tabs>
              <w:spacing w:line="276" w:lineRule="auto"/>
            </w:pPr>
            <w:r>
              <w:tab/>
            </w:r>
            <w:r>
              <w:tab/>
              <w:t>– **</w:t>
            </w:r>
          </w:p>
          <w:p w:rsidR="003E72FE" w:rsidRDefault="003E72FE">
            <w:pPr>
              <w:pStyle w:val="Table2"/>
              <w:tabs>
                <w:tab w:val="left" w:pos="567"/>
              </w:tabs>
              <w:spacing w:line="276" w:lineRule="auto"/>
            </w:pPr>
            <w:r>
              <w:tab/>
              <w:t>– trans</w:t>
            </w:r>
          </w:p>
          <w:p w:rsidR="003E72FE" w:rsidRDefault="003E72FE">
            <w:pPr>
              <w:pStyle w:val="Table2"/>
              <w:tabs>
                <w:tab w:val="left" w:pos="567"/>
              </w:tabs>
              <w:spacing w:line="276" w:lineRule="auto"/>
            </w:pPr>
            <w:r>
              <w:tab/>
            </w:r>
            <w:r>
              <w:tab/>
              <w:t>– **</w:t>
            </w:r>
          </w:p>
          <w:p w:rsidR="003E72FE" w:rsidRDefault="003E72FE">
            <w:pPr>
              <w:pStyle w:val="Table2"/>
              <w:tabs>
                <w:tab w:val="left" w:pos="567"/>
              </w:tabs>
              <w:spacing w:line="276" w:lineRule="auto"/>
            </w:pPr>
            <w:r>
              <w:tab/>
              <w:t>– polyunsaturated</w:t>
            </w:r>
          </w:p>
          <w:p w:rsidR="003E72FE" w:rsidRDefault="003E72FE">
            <w:pPr>
              <w:pStyle w:val="Table2"/>
              <w:tabs>
                <w:tab w:val="left" w:pos="567"/>
              </w:tabs>
              <w:spacing w:line="276" w:lineRule="auto"/>
            </w:pPr>
            <w:r>
              <w:tab/>
            </w:r>
            <w:r>
              <w:tab/>
              <w:t>– **</w:t>
            </w:r>
          </w:p>
          <w:p w:rsidR="003E72FE" w:rsidRDefault="003E72FE">
            <w:pPr>
              <w:pStyle w:val="Table2"/>
              <w:tabs>
                <w:tab w:val="left" w:pos="567"/>
              </w:tabs>
              <w:spacing w:line="276" w:lineRule="auto"/>
            </w:pPr>
            <w:r>
              <w:tab/>
              <w:t>– monounsaturated</w:t>
            </w:r>
          </w:p>
          <w:p w:rsidR="003E72FE" w:rsidRDefault="003E72FE">
            <w:pPr>
              <w:pStyle w:val="Table2"/>
              <w:tabs>
                <w:tab w:val="left" w:pos="567"/>
              </w:tabs>
              <w:spacing w:line="276" w:lineRule="auto"/>
            </w:pPr>
            <w:r>
              <w:tab/>
            </w:r>
            <w:r>
              <w:tab/>
              <w:t>– **</w:t>
            </w:r>
          </w:p>
          <w:p w:rsidR="003E72FE" w:rsidRDefault="003E72FE">
            <w:pPr>
              <w:pStyle w:val="Table2"/>
              <w:spacing w:line="276" w:lineRule="auto"/>
            </w:pPr>
          </w:p>
        </w:tc>
        <w:tc>
          <w:tcPr>
            <w:tcW w:w="2795" w:type="dxa"/>
            <w:tcBorders>
              <w:top w:val="nil"/>
              <w:left w:val="nil"/>
              <w:bottom w:val="nil"/>
              <w:right w:val="nil"/>
            </w:tcBorders>
            <w:hideMark/>
          </w:tcPr>
          <w:p w:rsidR="003E72FE" w:rsidRDefault="003E72FE">
            <w:pPr>
              <w:pStyle w:val="Table2"/>
              <w:spacing w:line="276" w:lineRule="auto"/>
            </w:pPr>
            <w:r>
              <w:t>g</w:t>
            </w:r>
          </w:p>
          <w:p w:rsidR="003E72FE" w:rsidRDefault="003E72FE">
            <w:pPr>
              <w:pStyle w:val="Table2"/>
              <w:spacing w:line="276" w:lineRule="auto"/>
              <w:rPr>
                <w:lang w:bidi="ar-SA"/>
              </w:rPr>
            </w:pPr>
            <w:r>
              <w:t>g</w:t>
            </w:r>
          </w:p>
          <w:p w:rsidR="003E72FE" w:rsidRDefault="003E72FE">
            <w:pPr>
              <w:pStyle w:val="Table2"/>
              <w:spacing w:line="276" w:lineRule="auto"/>
            </w:pPr>
            <w:r>
              <w:t>g</w:t>
            </w:r>
          </w:p>
          <w:p w:rsidR="003E72FE" w:rsidRDefault="003E72FE">
            <w:pPr>
              <w:pStyle w:val="Table2"/>
              <w:spacing w:line="276" w:lineRule="auto"/>
            </w:pPr>
            <w:r>
              <w:t>g</w:t>
            </w:r>
          </w:p>
          <w:p w:rsidR="003E72FE" w:rsidRDefault="003E72FE">
            <w:pPr>
              <w:pStyle w:val="Table2"/>
              <w:spacing w:line="276" w:lineRule="auto"/>
            </w:pPr>
            <w:r>
              <w:t>g</w:t>
            </w:r>
          </w:p>
          <w:p w:rsidR="003E72FE" w:rsidRDefault="003E72FE">
            <w:pPr>
              <w:pStyle w:val="Table2"/>
              <w:spacing w:line="276" w:lineRule="auto"/>
            </w:pPr>
            <w:r>
              <w:t>g</w:t>
            </w:r>
          </w:p>
          <w:p w:rsidR="003E72FE" w:rsidRDefault="003E72FE">
            <w:pPr>
              <w:pStyle w:val="Table2"/>
              <w:spacing w:line="276" w:lineRule="auto"/>
            </w:pPr>
            <w:r>
              <w:t>g</w:t>
            </w:r>
          </w:p>
          <w:p w:rsidR="003E72FE" w:rsidRDefault="003E72FE">
            <w:pPr>
              <w:pStyle w:val="Table2"/>
              <w:spacing w:line="276" w:lineRule="auto"/>
            </w:pPr>
            <w:r>
              <w:t>g</w:t>
            </w:r>
          </w:p>
          <w:p w:rsidR="003E72FE" w:rsidRDefault="003E72FE">
            <w:pPr>
              <w:pStyle w:val="Table2"/>
              <w:spacing w:line="276" w:lineRule="auto"/>
            </w:pPr>
            <w:r>
              <w:t>g</w:t>
            </w:r>
          </w:p>
        </w:tc>
        <w:tc>
          <w:tcPr>
            <w:tcW w:w="2314" w:type="dxa"/>
            <w:tcBorders>
              <w:top w:val="nil"/>
              <w:left w:val="nil"/>
              <w:bottom w:val="nil"/>
              <w:right w:val="single" w:sz="4" w:space="0" w:color="auto"/>
            </w:tcBorders>
          </w:tcPr>
          <w:p w:rsidR="003E72FE" w:rsidRDefault="003E72FE">
            <w:pPr>
              <w:pStyle w:val="Table2"/>
              <w:spacing w:line="276" w:lineRule="auto"/>
            </w:pPr>
            <w:r>
              <w:t>g</w:t>
            </w:r>
          </w:p>
          <w:p w:rsidR="003E72FE" w:rsidRDefault="003E72FE">
            <w:pPr>
              <w:pStyle w:val="Table2"/>
              <w:spacing w:line="276" w:lineRule="auto"/>
              <w:rPr>
                <w:lang w:bidi="ar-SA"/>
              </w:rPr>
            </w:pPr>
            <w:r>
              <w:t>g</w:t>
            </w:r>
          </w:p>
          <w:p w:rsidR="003E72FE" w:rsidRDefault="003E72FE">
            <w:pPr>
              <w:pStyle w:val="Table2"/>
              <w:spacing w:line="276" w:lineRule="auto"/>
            </w:pPr>
            <w:r>
              <w:t>g</w:t>
            </w:r>
          </w:p>
          <w:p w:rsidR="003E72FE" w:rsidRDefault="003E72FE">
            <w:pPr>
              <w:pStyle w:val="Table2"/>
              <w:spacing w:line="276" w:lineRule="auto"/>
            </w:pPr>
            <w:r>
              <w:t>g</w:t>
            </w:r>
          </w:p>
          <w:p w:rsidR="003E72FE" w:rsidRDefault="003E72FE">
            <w:pPr>
              <w:pStyle w:val="Table2"/>
              <w:spacing w:line="276" w:lineRule="auto"/>
            </w:pPr>
            <w:r>
              <w:t>g</w:t>
            </w:r>
          </w:p>
          <w:p w:rsidR="003E72FE" w:rsidRDefault="003E72FE">
            <w:pPr>
              <w:pStyle w:val="Table2"/>
              <w:spacing w:line="276" w:lineRule="auto"/>
            </w:pPr>
            <w:r>
              <w:t>g</w:t>
            </w:r>
          </w:p>
          <w:p w:rsidR="003E72FE" w:rsidRDefault="003E72FE">
            <w:pPr>
              <w:pStyle w:val="Table2"/>
              <w:spacing w:line="276" w:lineRule="auto"/>
            </w:pPr>
            <w:r>
              <w:t>g</w:t>
            </w:r>
          </w:p>
          <w:p w:rsidR="003E72FE" w:rsidRDefault="003E72FE">
            <w:pPr>
              <w:pStyle w:val="Table2"/>
              <w:spacing w:line="276" w:lineRule="auto"/>
            </w:pPr>
            <w:r>
              <w:t>g</w:t>
            </w:r>
          </w:p>
          <w:p w:rsidR="003E72FE" w:rsidRDefault="003E72FE">
            <w:pPr>
              <w:pStyle w:val="Table2"/>
              <w:spacing w:line="276" w:lineRule="auto"/>
            </w:pPr>
            <w:r>
              <w:t>g</w:t>
            </w:r>
          </w:p>
          <w:p w:rsidR="003E72FE" w:rsidRDefault="003E72FE">
            <w:pPr>
              <w:pStyle w:val="Table2"/>
              <w:spacing w:line="276" w:lineRule="auto"/>
            </w:pPr>
          </w:p>
        </w:tc>
      </w:tr>
      <w:tr w:rsidR="003E72FE" w:rsidTr="003E72FE">
        <w:trPr>
          <w:cantSplit/>
        </w:trPr>
        <w:tc>
          <w:tcPr>
            <w:tcW w:w="2795" w:type="dxa"/>
            <w:tcBorders>
              <w:top w:val="nil"/>
              <w:left w:val="single" w:sz="4" w:space="0" w:color="auto"/>
              <w:bottom w:val="nil"/>
              <w:right w:val="nil"/>
            </w:tcBorders>
            <w:hideMark/>
          </w:tcPr>
          <w:p w:rsidR="003E72FE" w:rsidRDefault="003E72FE">
            <w:pPr>
              <w:pStyle w:val="Table2"/>
              <w:spacing w:line="276" w:lineRule="auto"/>
            </w:pPr>
            <w:r>
              <w:t>Cholesterol</w:t>
            </w:r>
          </w:p>
        </w:tc>
        <w:tc>
          <w:tcPr>
            <w:tcW w:w="2795" w:type="dxa"/>
            <w:tcBorders>
              <w:top w:val="nil"/>
              <w:left w:val="nil"/>
              <w:bottom w:val="nil"/>
              <w:right w:val="nil"/>
            </w:tcBorders>
            <w:hideMark/>
          </w:tcPr>
          <w:p w:rsidR="003E72FE" w:rsidRDefault="003E72FE">
            <w:pPr>
              <w:pStyle w:val="Table2"/>
              <w:spacing w:line="276" w:lineRule="auto"/>
            </w:pPr>
            <w:r>
              <w:t>mg</w:t>
            </w:r>
          </w:p>
        </w:tc>
        <w:tc>
          <w:tcPr>
            <w:tcW w:w="2314" w:type="dxa"/>
            <w:tcBorders>
              <w:top w:val="nil"/>
              <w:left w:val="nil"/>
              <w:bottom w:val="nil"/>
              <w:right w:val="single" w:sz="4" w:space="0" w:color="auto"/>
            </w:tcBorders>
          </w:tcPr>
          <w:p w:rsidR="003E72FE" w:rsidRDefault="003E72FE">
            <w:pPr>
              <w:pStyle w:val="Table2"/>
              <w:spacing w:line="276" w:lineRule="auto"/>
            </w:pPr>
            <w:r>
              <w:t>mg</w:t>
            </w:r>
          </w:p>
          <w:p w:rsidR="003E72FE" w:rsidRDefault="003E72FE">
            <w:pPr>
              <w:pStyle w:val="Table2"/>
              <w:spacing w:line="276" w:lineRule="auto"/>
            </w:pPr>
          </w:p>
        </w:tc>
      </w:tr>
      <w:tr w:rsidR="003E72FE" w:rsidTr="003E72FE">
        <w:trPr>
          <w:cantSplit/>
        </w:trPr>
        <w:tc>
          <w:tcPr>
            <w:tcW w:w="2795" w:type="dxa"/>
            <w:tcBorders>
              <w:top w:val="nil"/>
              <w:left w:val="single" w:sz="4" w:space="0" w:color="auto"/>
              <w:bottom w:val="nil"/>
              <w:right w:val="nil"/>
            </w:tcBorders>
          </w:tcPr>
          <w:p w:rsidR="003E72FE" w:rsidRDefault="003E72FE">
            <w:pPr>
              <w:pStyle w:val="Table2"/>
              <w:spacing w:line="276" w:lineRule="auto"/>
            </w:pPr>
            <w:r>
              <w:t>Carbohydrate</w:t>
            </w:r>
          </w:p>
          <w:p w:rsidR="003E72FE" w:rsidRDefault="003E72FE">
            <w:pPr>
              <w:pStyle w:val="Table2"/>
              <w:spacing w:line="276" w:lineRule="auto"/>
              <w:rPr>
                <w:lang w:bidi="ar-SA"/>
              </w:rPr>
            </w:pPr>
            <w:r>
              <w:tab/>
              <w:t>– sugars</w:t>
            </w:r>
          </w:p>
          <w:p w:rsidR="003E72FE" w:rsidRDefault="003E72FE">
            <w:pPr>
              <w:pStyle w:val="Table2"/>
              <w:tabs>
                <w:tab w:val="left" w:pos="567"/>
              </w:tabs>
              <w:spacing w:line="276" w:lineRule="auto"/>
            </w:pPr>
            <w:r>
              <w:tab/>
            </w:r>
            <w:r>
              <w:tab/>
              <w:t>– **</w:t>
            </w:r>
          </w:p>
          <w:p w:rsidR="003E72FE" w:rsidRDefault="003E72FE">
            <w:pPr>
              <w:pStyle w:val="Table2"/>
              <w:tabs>
                <w:tab w:val="left" w:pos="567"/>
              </w:tabs>
              <w:spacing w:line="276" w:lineRule="auto"/>
            </w:pPr>
            <w:r>
              <w:tab/>
            </w:r>
            <w:r>
              <w:tab/>
              <w:t>– **</w:t>
            </w:r>
          </w:p>
          <w:p w:rsidR="003E72FE" w:rsidRDefault="003E72FE">
            <w:pPr>
              <w:pStyle w:val="Table2"/>
              <w:tabs>
                <w:tab w:val="left" w:pos="567"/>
              </w:tabs>
              <w:spacing w:line="276" w:lineRule="auto"/>
            </w:pPr>
            <w:r>
              <w:tab/>
            </w:r>
            <w:r>
              <w:tab/>
              <w:t>– **</w:t>
            </w:r>
          </w:p>
          <w:p w:rsidR="003E72FE" w:rsidRDefault="003E72FE">
            <w:pPr>
              <w:pStyle w:val="Table2"/>
              <w:spacing w:line="276" w:lineRule="auto"/>
            </w:pPr>
          </w:p>
        </w:tc>
        <w:tc>
          <w:tcPr>
            <w:tcW w:w="2795" w:type="dxa"/>
            <w:tcBorders>
              <w:top w:val="nil"/>
              <w:left w:val="nil"/>
              <w:bottom w:val="nil"/>
              <w:right w:val="nil"/>
            </w:tcBorders>
            <w:hideMark/>
          </w:tcPr>
          <w:p w:rsidR="003E72FE" w:rsidRDefault="003E72FE">
            <w:pPr>
              <w:pStyle w:val="Table2"/>
              <w:spacing w:line="276" w:lineRule="auto"/>
            </w:pPr>
            <w:r>
              <w:t>g</w:t>
            </w:r>
          </w:p>
          <w:p w:rsidR="003E72FE" w:rsidRDefault="003E72FE">
            <w:pPr>
              <w:pStyle w:val="Table2"/>
              <w:spacing w:line="276" w:lineRule="auto"/>
              <w:rPr>
                <w:lang w:bidi="ar-SA"/>
              </w:rPr>
            </w:pPr>
            <w:r>
              <w:t>g</w:t>
            </w:r>
          </w:p>
          <w:p w:rsidR="003E72FE" w:rsidRDefault="003E72FE">
            <w:pPr>
              <w:pStyle w:val="Table2"/>
              <w:spacing w:line="276" w:lineRule="auto"/>
            </w:pPr>
            <w:r>
              <w:t>g</w:t>
            </w:r>
          </w:p>
          <w:p w:rsidR="003E72FE" w:rsidRDefault="003E72FE">
            <w:pPr>
              <w:pStyle w:val="Table2"/>
              <w:spacing w:line="276" w:lineRule="auto"/>
            </w:pPr>
            <w:r>
              <w:t>g</w:t>
            </w:r>
          </w:p>
          <w:p w:rsidR="003E72FE" w:rsidRDefault="003E72FE">
            <w:pPr>
              <w:pStyle w:val="Table2"/>
              <w:spacing w:line="276" w:lineRule="auto"/>
            </w:pPr>
            <w:r>
              <w:t>g</w:t>
            </w:r>
          </w:p>
        </w:tc>
        <w:tc>
          <w:tcPr>
            <w:tcW w:w="2314" w:type="dxa"/>
            <w:tcBorders>
              <w:top w:val="nil"/>
              <w:left w:val="nil"/>
              <w:bottom w:val="nil"/>
              <w:right w:val="single" w:sz="4" w:space="0" w:color="auto"/>
            </w:tcBorders>
            <w:hideMark/>
          </w:tcPr>
          <w:p w:rsidR="003E72FE" w:rsidRDefault="003E72FE">
            <w:pPr>
              <w:pStyle w:val="Table2"/>
              <w:spacing w:line="276" w:lineRule="auto"/>
            </w:pPr>
            <w:r>
              <w:t>g</w:t>
            </w:r>
          </w:p>
          <w:p w:rsidR="003E72FE" w:rsidRDefault="003E72FE">
            <w:pPr>
              <w:pStyle w:val="Table2"/>
              <w:spacing w:line="276" w:lineRule="auto"/>
              <w:rPr>
                <w:lang w:bidi="ar-SA"/>
              </w:rPr>
            </w:pPr>
            <w:r>
              <w:t>g</w:t>
            </w:r>
          </w:p>
          <w:p w:rsidR="003E72FE" w:rsidRDefault="003E72FE">
            <w:pPr>
              <w:pStyle w:val="Table2"/>
              <w:spacing w:line="276" w:lineRule="auto"/>
            </w:pPr>
            <w:r>
              <w:t>g</w:t>
            </w:r>
          </w:p>
          <w:p w:rsidR="003E72FE" w:rsidRDefault="003E72FE">
            <w:pPr>
              <w:pStyle w:val="Table2"/>
              <w:spacing w:line="276" w:lineRule="auto"/>
            </w:pPr>
            <w:r>
              <w:t>g</w:t>
            </w:r>
          </w:p>
          <w:p w:rsidR="003E72FE" w:rsidRDefault="003E72FE">
            <w:pPr>
              <w:pStyle w:val="Table2"/>
              <w:spacing w:line="276" w:lineRule="auto"/>
            </w:pPr>
            <w:r>
              <w:t>g</w:t>
            </w:r>
          </w:p>
        </w:tc>
      </w:tr>
      <w:tr w:rsidR="003E72FE" w:rsidTr="003E72FE">
        <w:trPr>
          <w:cantSplit/>
        </w:trPr>
        <w:tc>
          <w:tcPr>
            <w:tcW w:w="2795" w:type="dxa"/>
            <w:tcBorders>
              <w:top w:val="nil"/>
              <w:left w:val="single" w:sz="4" w:space="0" w:color="auto"/>
              <w:bottom w:val="nil"/>
              <w:right w:val="nil"/>
            </w:tcBorders>
          </w:tcPr>
          <w:p w:rsidR="003E72FE" w:rsidRDefault="003E72FE">
            <w:pPr>
              <w:pStyle w:val="Table2"/>
              <w:spacing w:line="276" w:lineRule="auto"/>
            </w:pPr>
            <w:r>
              <w:t>Dietary fibre, total</w:t>
            </w:r>
          </w:p>
          <w:p w:rsidR="003E72FE" w:rsidRDefault="003E72FE">
            <w:pPr>
              <w:pStyle w:val="Table2"/>
              <w:tabs>
                <w:tab w:val="left" w:pos="567"/>
              </w:tabs>
              <w:spacing w:line="276" w:lineRule="auto"/>
              <w:rPr>
                <w:lang w:bidi="ar-SA"/>
              </w:rPr>
            </w:pPr>
            <w:r>
              <w:tab/>
            </w:r>
            <w:r>
              <w:tab/>
              <w:t>– **</w:t>
            </w:r>
          </w:p>
          <w:p w:rsidR="003E72FE" w:rsidRDefault="003E72FE">
            <w:pPr>
              <w:pStyle w:val="Table2"/>
              <w:spacing w:line="276" w:lineRule="auto"/>
            </w:pPr>
          </w:p>
        </w:tc>
        <w:tc>
          <w:tcPr>
            <w:tcW w:w="2795" w:type="dxa"/>
            <w:tcBorders>
              <w:top w:val="nil"/>
              <w:left w:val="nil"/>
              <w:bottom w:val="nil"/>
              <w:right w:val="nil"/>
            </w:tcBorders>
          </w:tcPr>
          <w:p w:rsidR="003E72FE" w:rsidRDefault="003E72FE">
            <w:pPr>
              <w:pStyle w:val="Table2"/>
              <w:spacing w:line="276" w:lineRule="auto"/>
            </w:pPr>
            <w:r>
              <w:t>g</w:t>
            </w:r>
          </w:p>
          <w:p w:rsidR="003E72FE" w:rsidRDefault="003E72FE">
            <w:pPr>
              <w:pStyle w:val="Table2"/>
              <w:spacing w:line="276" w:lineRule="auto"/>
              <w:rPr>
                <w:lang w:bidi="ar-SA"/>
              </w:rPr>
            </w:pPr>
            <w:r>
              <w:t>g</w:t>
            </w:r>
          </w:p>
          <w:p w:rsidR="003E72FE" w:rsidRDefault="003E72FE">
            <w:pPr>
              <w:pStyle w:val="Table2"/>
              <w:spacing w:line="276" w:lineRule="auto"/>
            </w:pPr>
          </w:p>
        </w:tc>
        <w:tc>
          <w:tcPr>
            <w:tcW w:w="2314" w:type="dxa"/>
            <w:tcBorders>
              <w:top w:val="nil"/>
              <w:left w:val="nil"/>
              <w:bottom w:val="nil"/>
              <w:right w:val="single" w:sz="4" w:space="0" w:color="auto"/>
            </w:tcBorders>
          </w:tcPr>
          <w:p w:rsidR="003E72FE" w:rsidRDefault="003E72FE">
            <w:pPr>
              <w:pStyle w:val="Table2"/>
              <w:spacing w:line="276" w:lineRule="auto"/>
            </w:pPr>
            <w:r>
              <w:t>g</w:t>
            </w:r>
          </w:p>
          <w:p w:rsidR="003E72FE" w:rsidRDefault="003E72FE">
            <w:pPr>
              <w:pStyle w:val="Table2"/>
              <w:spacing w:line="276" w:lineRule="auto"/>
              <w:rPr>
                <w:lang w:bidi="ar-SA"/>
              </w:rPr>
            </w:pPr>
            <w:r>
              <w:t>g</w:t>
            </w:r>
          </w:p>
          <w:p w:rsidR="003E72FE" w:rsidRDefault="003E72FE">
            <w:pPr>
              <w:pStyle w:val="Table2"/>
              <w:spacing w:line="276" w:lineRule="auto"/>
            </w:pPr>
          </w:p>
        </w:tc>
      </w:tr>
      <w:tr w:rsidR="003E72FE" w:rsidTr="003E72FE">
        <w:trPr>
          <w:cantSplit/>
        </w:trPr>
        <w:tc>
          <w:tcPr>
            <w:tcW w:w="2795" w:type="dxa"/>
            <w:tcBorders>
              <w:top w:val="nil"/>
              <w:left w:val="single" w:sz="4" w:space="0" w:color="auto"/>
              <w:bottom w:val="nil"/>
              <w:right w:val="nil"/>
            </w:tcBorders>
            <w:hideMark/>
          </w:tcPr>
          <w:p w:rsidR="003E72FE" w:rsidRDefault="003E72FE">
            <w:pPr>
              <w:pStyle w:val="Table2"/>
              <w:spacing w:line="276" w:lineRule="auto"/>
            </w:pPr>
            <w:r>
              <w:t>Sodium</w:t>
            </w:r>
          </w:p>
        </w:tc>
        <w:tc>
          <w:tcPr>
            <w:tcW w:w="2795" w:type="dxa"/>
            <w:tcBorders>
              <w:top w:val="nil"/>
              <w:left w:val="nil"/>
              <w:bottom w:val="nil"/>
              <w:right w:val="nil"/>
            </w:tcBorders>
            <w:hideMark/>
          </w:tcPr>
          <w:p w:rsidR="003E72FE" w:rsidRDefault="003E72FE">
            <w:pPr>
              <w:pStyle w:val="Table2"/>
              <w:spacing w:line="276" w:lineRule="auto"/>
            </w:pPr>
            <w:r>
              <w:t>mg (mmol)</w:t>
            </w:r>
          </w:p>
        </w:tc>
        <w:tc>
          <w:tcPr>
            <w:tcW w:w="2314" w:type="dxa"/>
            <w:tcBorders>
              <w:top w:val="nil"/>
              <w:left w:val="nil"/>
              <w:bottom w:val="nil"/>
              <w:right w:val="single" w:sz="4" w:space="0" w:color="auto"/>
            </w:tcBorders>
          </w:tcPr>
          <w:p w:rsidR="003E72FE" w:rsidRDefault="003E72FE">
            <w:pPr>
              <w:pStyle w:val="Table2"/>
              <w:spacing w:line="276" w:lineRule="auto"/>
            </w:pPr>
            <w:r>
              <w:t>mg (mmol)</w:t>
            </w:r>
          </w:p>
          <w:p w:rsidR="003E72FE" w:rsidRDefault="003E72FE">
            <w:pPr>
              <w:pStyle w:val="Table2"/>
              <w:spacing w:line="276" w:lineRule="auto"/>
            </w:pPr>
          </w:p>
        </w:tc>
      </w:tr>
      <w:tr w:rsidR="003E72FE" w:rsidTr="003E72FE">
        <w:trPr>
          <w:cantSplit/>
        </w:trPr>
        <w:tc>
          <w:tcPr>
            <w:tcW w:w="2795" w:type="dxa"/>
            <w:tcBorders>
              <w:top w:val="nil"/>
              <w:left w:val="single" w:sz="4" w:space="0" w:color="auto"/>
              <w:bottom w:val="single" w:sz="4" w:space="0" w:color="auto"/>
              <w:right w:val="nil"/>
            </w:tcBorders>
            <w:hideMark/>
          </w:tcPr>
          <w:p w:rsidR="003E72FE" w:rsidRDefault="003E72FE">
            <w:pPr>
              <w:pStyle w:val="Table2"/>
              <w:spacing w:line="276" w:lineRule="auto"/>
            </w:pPr>
            <w:r>
              <w:t>(insert any other nutrient or biologically active substance to be declared)</w:t>
            </w:r>
          </w:p>
        </w:tc>
        <w:tc>
          <w:tcPr>
            <w:tcW w:w="2795" w:type="dxa"/>
            <w:tcBorders>
              <w:top w:val="nil"/>
              <w:left w:val="nil"/>
              <w:bottom w:val="single" w:sz="4" w:space="0" w:color="auto"/>
              <w:right w:val="nil"/>
            </w:tcBorders>
            <w:hideMark/>
          </w:tcPr>
          <w:p w:rsidR="003E72FE" w:rsidRDefault="003E72FE">
            <w:pPr>
              <w:pStyle w:val="Table2"/>
              <w:spacing w:line="276" w:lineRule="auto"/>
            </w:pPr>
            <w:r>
              <w:t xml:space="preserve">g, mg, </w:t>
            </w:r>
            <w:r>
              <w:sym w:font="Symbol" w:char="F06D"/>
            </w:r>
            <w:r>
              <w:t>g (or other units as appropriate)</w:t>
            </w:r>
          </w:p>
        </w:tc>
        <w:tc>
          <w:tcPr>
            <w:tcW w:w="2314" w:type="dxa"/>
            <w:tcBorders>
              <w:top w:val="nil"/>
              <w:left w:val="nil"/>
              <w:bottom w:val="single" w:sz="4" w:space="0" w:color="auto"/>
              <w:right w:val="single" w:sz="4" w:space="0" w:color="auto"/>
            </w:tcBorders>
            <w:hideMark/>
          </w:tcPr>
          <w:p w:rsidR="003E72FE" w:rsidRDefault="003E72FE">
            <w:pPr>
              <w:pStyle w:val="Table2"/>
              <w:spacing w:line="276" w:lineRule="auto"/>
            </w:pPr>
            <w:r>
              <w:t xml:space="preserve">g, mg, </w:t>
            </w:r>
            <w:r>
              <w:sym w:font="Symbol" w:char="F06D"/>
            </w:r>
            <w:r>
              <w:t>g (or other units as appropriate)</w:t>
            </w:r>
          </w:p>
        </w:tc>
      </w:tr>
    </w:tbl>
    <w:p w:rsidR="003E72FE" w:rsidRDefault="003E72FE" w:rsidP="003E72FE">
      <w:pPr>
        <w:pStyle w:val="FootnoteText2"/>
      </w:pPr>
      <w:r>
        <w:tab/>
        <w:t>*a sub-group nutrient</w:t>
      </w:r>
      <w:r>
        <w:tab/>
        <w:t>**a sub-sub-group nutrient</w:t>
      </w:r>
    </w:p>
    <w:p w:rsidR="003E72FE" w:rsidRPr="003E72FE" w:rsidRDefault="003E72FE" w:rsidP="003E72FE">
      <w:pPr>
        <w:rPr>
          <w:sz w:val="20"/>
          <w:szCs w:val="20"/>
        </w:rPr>
      </w:pPr>
    </w:p>
    <w:p w:rsidR="003E72FE" w:rsidRPr="003E72FE" w:rsidRDefault="003E72FE" w:rsidP="003E72FE">
      <w:pPr>
        <w:pStyle w:val="Clause"/>
      </w:pPr>
      <w:r w:rsidRPr="003E72FE">
        <w:t>[10.6]</w:t>
      </w:r>
      <w:r w:rsidRPr="003E72FE">
        <w:tab/>
      </w:r>
      <w:r w:rsidRPr="003E72FE">
        <w:rPr>
          <w:i/>
        </w:rPr>
        <w:t xml:space="preserve">omitting clause 10, substituting </w:t>
      </w:r>
      <w:r w:rsidRPr="003E72FE">
        <w:t xml:space="preserve">– </w:t>
      </w:r>
    </w:p>
    <w:p w:rsidR="003E72FE" w:rsidRPr="003E72FE" w:rsidRDefault="003E72FE" w:rsidP="003E72FE">
      <w:pPr>
        <w:rPr>
          <w:sz w:val="20"/>
          <w:szCs w:val="20"/>
        </w:rPr>
      </w:pPr>
    </w:p>
    <w:p w:rsidR="003E72FE" w:rsidRPr="003E72FE" w:rsidRDefault="003E72FE" w:rsidP="003E72FE">
      <w:pPr>
        <w:pStyle w:val="ClauseHeading0"/>
      </w:pPr>
      <w:r w:rsidRPr="003E72FE">
        <w:t>10</w:t>
      </w:r>
      <w:r w:rsidRPr="003E72FE">
        <w:tab/>
        <w:t>Food intended to be drained before consumption</w:t>
      </w:r>
    </w:p>
    <w:p w:rsidR="003E72FE" w:rsidRPr="003E72FE" w:rsidRDefault="003E72FE" w:rsidP="003E72FE">
      <w:pPr>
        <w:rPr>
          <w:sz w:val="20"/>
          <w:szCs w:val="20"/>
        </w:rPr>
      </w:pPr>
    </w:p>
    <w:p w:rsidR="003E72FE" w:rsidRPr="003E72FE" w:rsidRDefault="003E72FE" w:rsidP="003E72FE">
      <w:pPr>
        <w:pStyle w:val="Clause"/>
      </w:pPr>
      <w:r w:rsidRPr="003E72FE">
        <w:t>The label on a package of food with directions indicating that the food should be drained before consumption, must include the particulars set out in each column of the panel expressed as a proportion of the drained food, and must clearly indicate that the particulars set out in each column of the panel relate to the drained food.</w:t>
      </w:r>
    </w:p>
    <w:p w:rsidR="003E72FE" w:rsidRPr="003E72FE" w:rsidRDefault="003E72FE" w:rsidP="003E72FE">
      <w:pPr>
        <w:rPr>
          <w:sz w:val="20"/>
          <w:szCs w:val="20"/>
        </w:rPr>
      </w:pPr>
    </w:p>
    <w:p w:rsidR="003E72FE" w:rsidRPr="003E72FE" w:rsidRDefault="003E72FE" w:rsidP="003E72FE">
      <w:pPr>
        <w:pStyle w:val="Clause"/>
        <w:rPr>
          <w:i/>
        </w:rPr>
      </w:pPr>
      <w:r w:rsidRPr="003E72FE">
        <w:t>[10.7]</w:t>
      </w:r>
      <w:r w:rsidRPr="003E72FE">
        <w:tab/>
      </w:r>
      <w:r w:rsidRPr="003E72FE">
        <w:rPr>
          <w:i/>
        </w:rPr>
        <w:t xml:space="preserve">omitting clause 11, substituting – </w:t>
      </w:r>
    </w:p>
    <w:p w:rsidR="003E72FE" w:rsidRPr="003E72FE" w:rsidRDefault="003E72FE" w:rsidP="003E72FE">
      <w:pPr>
        <w:rPr>
          <w:sz w:val="20"/>
          <w:szCs w:val="20"/>
        </w:rPr>
      </w:pPr>
    </w:p>
    <w:p w:rsidR="003E72FE" w:rsidRPr="003E72FE" w:rsidRDefault="003E72FE" w:rsidP="003E72FE">
      <w:pPr>
        <w:pStyle w:val="ClauseHeading0"/>
      </w:pPr>
      <w:r w:rsidRPr="003E72FE">
        <w:t>11</w:t>
      </w:r>
      <w:r w:rsidRPr="003E72FE">
        <w:tab/>
        <w:t>Food intended to be prepared or consumed with other food</w:t>
      </w:r>
    </w:p>
    <w:p w:rsidR="003E72FE" w:rsidRPr="003E72FE" w:rsidRDefault="003E72FE" w:rsidP="003E72FE">
      <w:pPr>
        <w:rPr>
          <w:b/>
          <w:sz w:val="20"/>
          <w:szCs w:val="20"/>
        </w:rPr>
      </w:pPr>
    </w:p>
    <w:p w:rsidR="003E72FE" w:rsidRPr="003E72FE" w:rsidRDefault="003E72FE" w:rsidP="003E72FE">
      <w:pPr>
        <w:pStyle w:val="Clause"/>
      </w:pPr>
      <w:r w:rsidRPr="003E72FE">
        <w:t xml:space="preserve">The label on a package of food intended to be prepared or consumed with at least one other food, may include an additional column at the right hand side of the panel, specifying, in the same manner as set out the panel – </w:t>
      </w:r>
    </w:p>
    <w:p w:rsidR="003E72FE" w:rsidRPr="003E72FE" w:rsidRDefault="003E72FE" w:rsidP="003E72FE">
      <w:pPr>
        <w:rPr>
          <w:sz w:val="20"/>
          <w:szCs w:val="20"/>
        </w:rPr>
      </w:pPr>
    </w:p>
    <w:p w:rsidR="003E72FE" w:rsidRPr="003E72FE" w:rsidRDefault="003E72FE" w:rsidP="003E72FE">
      <w:pPr>
        <w:pStyle w:val="Paragraph"/>
      </w:pPr>
      <w:r w:rsidRPr="003E72FE">
        <w:t>(a)</w:t>
      </w:r>
      <w:r w:rsidRPr="003E72FE">
        <w:tab/>
        <w:t>a description of the additional food or foods; and</w:t>
      </w:r>
    </w:p>
    <w:p w:rsidR="003E72FE" w:rsidRDefault="003E72FE" w:rsidP="003E72FE">
      <w:pPr>
        <w:pStyle w:val="Paragraph"/>
      </w:pPr>
      <w:r w:rsidRPr="003E72FE">
        <w:t>(b)</w:t>
      </w:r>
      <w:r w:rsidRPr="003E72FE">
        <w:tab/>
        <w:t>the quantity of the additional food or foods; and</w:t>
      </w:r>
      <w:r>
        <w:br w:type="page"/>
      </w:r>
    </w:p>
    <w:p w:rsidR="003E72FE" w:rsidRPr="003E72FE" w:rsidRDefault="003E72FE" w:rsidP="003E72FE">
      <w:pPr>
        <w:pStyle w:val="Paragraph"/>
      </w:pPr>
      <w:r w:rsidRPr="003E72FE">
        <w:lastRenderedPageBreak/>
        <w:t>(c)</w:t>
      </w:r>
      <w:r w:rsidRPr="003E72FE">
        <w:tab/>
        <w:t xml:space="preserve">the average energy content of the combined foods; and </w:t>
      </w:r>
    </w:p>
    <w:p w:rsidR="003E72FE" w:rsidRDefault="003E72FE" w:rsidP="003E72FE">
      <w:pPr>
        <w:pStyle w:val="Paragraph"/>
      </w:pPr>
      <w:r w:rsidRPr="003E72FE">
        <w:t>(d)</w:t>
      </w:r>
      <w:r w:rsidRPr="003E72FE">
        <w:tab/>
        <w:t>the average quantities of nutrients contained in the combined foods; and</w:t>
      </w:r>
    </w:p>
    <w:p w:rsidR="003E72FE" w:rsidRDefault="003E72FE" w:rsidP="003E72FE">
      <w:pPr>
        <w:pStyle w:val="Paragraph"/>
      </w:pPr>
      <w:r>
        <w:t>(e)</w:t>
      </w:r>
      <w:r>
        <w:tab/>
        <w:t>the average quantities of biologically active substances contained in the combined foods.</w:t>
      </w:r>
    </w:p>
    <w:p w:rsidR="003E72FE" w:rsidRPr="003E72FE" w:rsidRDefault="003E72FE" w:rsidP="003E72FE">
      <w:pPr>
        <w:rPr>
          <w:rFonts w:cs="Arial"/>
          <w:sz w:val="20"/>
          <w:szCs w:val="20"/>
        </w:rPr>
      </w:pPr>
    </w:p>
    <w:p w:rsidR="003E72FE" w:rsidRPr="003E72FE" w:rsidRDefault="003E72FE" w:rsidP="003E72FE">
      <w:pPr>
        <w:pStyle w:val="Clause"/>
        <w:rPr>
          <w:rFonts w:cs="Arial"/>
          <w:i/>
        </w:rPr>
      </w:pPr>
      <w:r w:rsidRPr="003E72FE">
        <w:rPr>
          <w:rFonts w:cs="Arial"/>
        </w:rPr>
        <w:t>[10.8]</w:t>
      </w:r>
      <w:r w:rsidRPr="003E72FE">
        <w:rPr>
          <w:rFonts w:cs="Arial"/>
        </w:rPr>
        <w:tab/>
      </w:r>
      <w:r w:rsidRPr="003E72FE">
        <w:rPr>
          <w:rFonts w:cs="Arial"/>
          <w:i/>
        </w:rPr>
        <w:t xml:space="preserve">omitting subclause 13(5), substituting – </w:t>
      </w:r>
    </w:p>
    <w:p w:rsidR="003E72FE" w:rsidRPr="003E72FE" w:rsidRDefault="003E72FE" w:rsidP="003E72FE">
      <w:pPr>
        <w:rPr>
          <w:rFonts w:cs="Arial"/>
          <w:sz w:val="20"/>
          <w:szCs w:val="20"/>
        </w:rPr>
      </w:pPr>
    </w:p>
    <w:p w:rsidR="003E72FE" w:rsidRPr="003E72FE" w:rsidRDefault="003E72FE" w:rsidP="003E72FE">
      <w:pPr>
        <w:pStyle w:val="Subclause"/>
        <w:rPr>
          <w:rFonts w:cs="Arial"/>
        </w:rPr>
      </w:pPr>
      <w:r w:rsidRPr="003E72FE">
        <w:rPr>
          <w:rFonts w:cs="Arial"/>
        </w:rPr>
        <w:t>(5)</w:t>
      </w:r>
      <w:r w:rsidRPr="003E72FE">
        <w:rPr>
          <w:rFonts w:cs="Arial"/>
        </w:rPr>
        <w:tab/>
        <w:t xml:space="preserve">Where a nutrition claim is made in accordance with subclause (3) or subclause (4), the declarations in the nutrition information panel must indicate the type of omega 3 fatty acids, namely – </w:t>
      </w:r>
    </w:p>
    <w:p w:rsidR="003E72FE" w:rsidRPr="003E72FE" w:rsidRDefault="003E72FE" w:rsidP="003E72FE">
      <w:pPr>
        <w:pStyle w:val="Paragraph"/>
        <w:rPr>
          <w:rFonts w:cs="Arial"/>
        </w:rPr>
      </w:pPr>
    </w:p>
    <w:p w:rsidR="003E72FE" w:rsidRPr="003E72FE" w:rsidRDefault="003E72FE" w:rsidP="003E72FE">
      <w:pPr>
        <w:pStyle w:val="Paragraph"/>
        <w:rPr>
          <w:rFonts w:cs="Arial"/>
        </w:rPr>
      </w:pPr>
      <w:r w:rsidRPr="003E72FE">
        <w:rPr>
          <w:rFonts w:cs="Arial"/>
        </w:rPr>
        <w:t>(a)</w:t>
      </w:r>
      <w:r w:rsidRPr="003E72FE">
        <w:rPr>
          <w:rFonts w:cs="Arial"/>
        </w:rPr>
        <w:tab/>
        <w:t>alpha-linolenic acid; or</w:t>
      </w:r>
    </w:p>
    <w:p w:rsidR="003E72FE" w:rsidRPr="003E72FE" w:rsidRDefault="003E72FE" w:rsidP="003E72FE">
      <w:pPr>
        <w:pStyle w:val="Paragraph"/>
        <w:rPr>
          <w:rFonts w:cs="Arial"/>
        </w:rPr>
      </w:pPr>
      <w:r w:rsidRPr="003E72FE">
        <w:rPr>
          <w:rFonts w:cs="Arial"/>
        </w:rPr>
        <w:t>(b)</w:t>
      </w:r>
      <w:r w:rsidRPr="003E72FE">
        <w:rPr>
          <w:rFonts w:cs="Arial"/>
        </w:rPr>
        <w:tab/>
        <w:t>docosahexaenoic acid; or</w:t>
      </w:r>
    </w:p>
    <w:p w:rsidR="003E72FE" w:rsidRPr="003E72FE" w:rsidRDefault="003E72FE" w:rsidP="003E72FE">
      <w:pPr>
        <w:pStyle w:val="Paragraph"/>
        <w:rPr>
          <w:rFonts w:cs="Arial"/>
        </w:rPr>
      </w:pPr>
      <w:r w:rsidRPr="003E72FE">
        <w:rPr>
          <w:rFonts w:cs="Arial"/>
        </w:rPr>
        <w:t>(c)</w:t>
      </w:r>
      <w:r w:rsidRPr="003E72FE">
        <w:rPr>
          <w:rFonts w:cs="Arial"/>
        </w:rPr>
        <w:tab/>
        <w:t>eicosapentaenoic acid; or</w:t>
      </w:r>
    </w:p>
    <w:p w:rsidR="003E72FE" w:rsidRPr="003E72FE" w:rsidRDefault="003E72FE" w:rsidP="003E72FE">
      <w:pPr>
        <w:pStyle w:val="Paragraph"/>
        <w:rPr>
          <w:rFonts w:cs="Arial"/>
        </w:rPr>
      </w:pPr>
      <w:r w:rsidRPr="003E72FE">
        <w:rPr>
          <w:rFonts w:cs="Arial"/>
        </w:rPr>
        <w:t>(d)</w:t>
      </w:r>
      <w:r w:rsidRPr="003E72FE">
        <w:rPr>
          <w:rFonts w:cs="Arial"/>
        </w:rPr>
        <w:tab/>
        <w:t>a combination of the above.</w:t>
      </w:r>
    </w:p>
    <w:p w:rsidR="003E72FE" w:rsidRPr="003E72FE" w:rsidRDefault="003E72FE" w:rsidP="003E72FE">
      <w:pPr>
        <w:rPr>
          <w:rFonts w:cs="Arial"/>
          <w:sz w:val="20"/>
          <w:szCs w:val="20"/>
        </w:rPr>
      </w:pPr>
    </w:p>
    <w:p w:rsidR="003E72FE" w:rsidRPr="003E72FE" w:rsidRDefault="003E72FE" w:rsidP="003E72FE">
      <w:pPr>
        <w:pStyle w:val="Clause"/>
        <w:rPr>
          <w:rFonts w:cs="Arial"/>
          <w:i/>
        </w:rPr>
      </w:pPr>
      <w:r w:rsidRPr="003E72FE">
        <w:rPr>
          <w:rFonts w:cs="Arial"/>
        </w:rPr>
        <w:t>[10.9]</w:t>
      </w:r>
      <w:r w:rsidRPr="003E72FE">
        <w:rPr>
          <w:rFonts w:cs="Arial"/>
        </w:rPr>
        <w:tab/>
      </w:r>
      <w:r w:rsidRPr="003E72FE">
        <w:rPr>
          <w:rFonts w:cs="Arial"/>
          <w:i/>
        </w:rPr>
        <w:t xml:space="preserve">updating the </w:t>
      </w:r>
      <w:r w:rsidRPr="003E72FE">
        <w:rPr>
          <w:rFonts w:cs="Arial"/>
        </w:rPr>
        <w:t xml:space="preserve">Table of Provisions </w:t>
      </w:r>
      <w:r w:rsidRPr="003E72FE">
        <w:rPr>
          <w:rFonts w:cs="Arial"/>
          <w:i/>
        </w:rPr>
        <w:t>to reflect these amendments</w:t>
      </w:r>
    </w:p>
    <w:p w:rsidR="003E72FE" w:rsidRPr="003E72FE" w:rsidRDefault="003E72FE" w:rsidP="003E72FE">
      <w:pPr>
        <w:rPr>
          <w:rFonts w:cs="Arial"/>
          <w:i/>
          <w:iCs/>
          <w:sz w:val="20"/>
          <w:szCs w:val="20"/>
        </w:rPr>
      </w:pPr>
    </w:p>
    <w:p w:rsidR="003E72FE" w:rsidRPr="003E72FE" w:rsidRDefault="003E72FE" w:rsidP="003E72FE">
      <w:pPr>
        <w:pStyle w:val="Clause"/>
        <w:rPr>
          <w:rFonts w:cs="Arial"/>
          <w:bCs/>
          <w:i/>
        </w:rPr>
      </w:pPr>
      <w:r w:rsidRPr="003E72FE">
        <w:rPr>
          <w:rFonts w:cs="Arial"/>
          <w:b/>
          <w:bCs/>
        </w:rPr>
        <w:t>[11]</w:t>
      </w:r>
      <w:r w:rsidRPr="003E72FE">
        <w:rPr>
          <w:rFonts w:cs="Arial"/>
          <w:b/>
          <w:bCs/>
        </w:rPr>
        <w:tab/>
      </w:r>
      <w:r w:rsidRPr="003E72FE">
        <w:rPr>
          <w:rFonts w:cs="Arial"/>
          <w:b/>
          <w:bCs/>
          <w:i/>
        </w:rPr>
        <w:t xml:space="preserve">Standard 1.2.9 </w:t>
      </w:r>
      <w:r w:rsidRPr="003E72FE">
        <w:rPr>
          <w:rFonts w:cs="Arial"/>
          <w:bCs/>
          <w:i/>
        </w:rPr>
        <w:t xml:space="preserve">of the Australia New Zealand Food Standards Code is varied by – </w:t>
      </w:r>
    </w:p>
    <w:p w:rsidR="003E72FE" w:rsidRPr="003E72FE" w:rsidRDefault="003E72FE" w:rsidP="003E72FE">
      <w:pPr>
        <w:pStyle w:val="Clause"/>
        <w:rPr>
          <w:rFonts w:cs="Arial"/>
          <w:bCs/>
          <w:i/>
        </w:rPr>
      </w:pPr>
    </w:p>
    <w:p w:rsidR="003E72FE" w:rsidRPr="003E72FE" w:rsidRDefault="003E72FE" w:rsidP="003E72FE">
      <w:pPr>
        <w:pStyle w:val="Clause"/>
        <w:rPr>
          <w:rFonts w:cs="Arial"/>
          <w:bCs/>
        </w:rPr>
      </w:pPr>
      <w:r w:rsidRPr="003E72FE">
        <w:rPr>
          <w:rFonts w:cs="Arial"/>
          <w:bCs/>
        </w:rPr>
        <w:t>[11.1]</w:t>
      </w:r>
      <w:r w:rsidRPr="003E72FE">
        <w:rPr>
          <w:rFonts w:cs="Arial"/>
          <w:bCs/>
        </w:rPr>
        <w:tab/>
      </w:r>
      <w:r w:rsidRPr="003E72FE">
        <w:rPr>
          <w:rFonts w:cs="Arial"/>
          <w:bCs/>
          <w:i/>
        </w:rPr>
        <w:t xml:space="preserve">omitting </w:t>
      </w:r>
      <w:r w:rsidRPr="003E72FE">
        <w:rPr>
          <w:rFonts w:cs="Arial"/>
          <w:bCs/>
        </w:rPr>
        <w:t xml:space="preserve">3mm </w:t>
      </w:r>
      <w:r w:rsidRPr="003E72FE">
        <w:rPr>
          <w:rFonts w:cs="Arial"/>
          <w:bCs/>
          <w:i/>
        </w:rPr>
        <w:t xml:space="preserve">from subclause 3(a), substituting </w:t>
      </w:r>
      <w:r w:rsidRPr="003E72FE">
        <w:rPr>
          <w:rFonts w:cs="Arial"/>
          <w:bCs/>
        </w:rPr>
        <w:t>3 mm</w:t>
      </w:r>
    </w:p>
    <w:p w:rsidR="003E72FE" w:rsidRPr="003E72FE" w:rsidRDefault="003E72FE" w:rsidP="003E72FE">
      <w:pPr>
        <w:rPr>
          <w:rFonts w:cs="Arial"/>
          <w:sz w:val="20"/>
          <w:szCs w:val="20"/>
        </w:rPr>
      </w:pPr>
    </w:p>
    <w:p w:rsidR="003E72FE" w:rsidRPr="003E72FE" w:rsidRDefault="003E72FE" w:rsidP="003E72FE">
      <w:pPr>
        <w:pStyle w:val="Subclause"/>
        <w:rPr>
          <w:rFonts w:cs="Arial"/>
        </w:rPr>
      </w:pPr>
      <w:r w:rsidRPr="003E72FE">
        <w:rPr>
          <w:rFonts w:cs="Arial"/>
        </w:rPr>
        <w:t>[11.2]</w:t>
      </w:r>
      <w:r w:rsidRPr="003E72FE">
        <w:rPr>
          <w:rFonts w:cs="Arial"/>
        </w:rPr>
        <w:tab/>
      </w:r>
      <w:r w:rsidRPr="003E72FE">
        <w:rPr>
          <w:rFonts w:cs="Arial"/>
          <w:i/>
        </w:rPr>
        <w:t>omitting</w:t>
      </w:r>
      <w:r w:rsidRPr="003E72FE">
        <w:rPr>
          <w:rFonts w:cs="Arial"/>
        </w:rPr>
        <w:t xml:space="preserve"> 1.5mm </w:t>
      </w:r>
      <w:r w:rsidRPr="003E72FE">
        <w:rPr>
          <w:rFonts w:cs="Arial"/>
          <w:i/>
        </w:rPr>
        <w:t xml:space="preserve">from subclause 3(b), substituting </w:t>
      </w:r>
      <w:r w:rsidRPr="003E72FE">
        <w:rPr>
          <w:rFonts w:cs="Arial"/>
        </w:rPr>
        <w:t>1.5 mm</w:t>
      </w:r>
    </w:p>
    <w:p w:rsidR="003E72FE" w:rsidRPr="003E72FE" w:rsidRDefault="003E72FE" w:rsidP="003E72FE">
      <w:pPr>
        <w:pStyle w:val="Clause"/>
        <w:rPr>
          <w:rFonts w:cs="Arial"/>
          <w:b/>
          <w:bCs/>
        </w:rPr>
      </w:pPr>
    </w:p>
    <w:p w:rsidR="003E72FE" w:rsidRPr="003E72FE" w:rsidRDefault="003E72FE" w:rsidP="003E72FE">
      <w:pPr>
        <w:pStyle w:val="Clause"/>
        <w:rPr>
          <w:rFonts w:cs="Arial"/>
          <w:i/>
        </w:rPr>
      </w:pPr>
      <w:r w:rsidRPr="003E72FE">
        <w:rPr>
          <w:rFonts w:cs="Arial"/>
        </w:rPr>
        <w:t>[11.3]</w:t>
      </w:r>
      <w:r w:rsidRPr="003E72FE">
        <w:rPr>
          <w:rFonts w:cs="Arial"/>
        </w:rPr>
        <w:tab/>
      </w:r>
      <w:r w:rsidRPr="003E72FE">
        <w:rPr>
          <w:rFonts w:cs="Arial"/>
          <w:i/>
        </w:rPr>
        <w:t xml:space="preserve">omitting the </w:t>
      </w:r>
      <w:r w:rsidRPr="003E72FE">
        <w:rPr>
          <w:rFonts w:cs="Arial"/>
        </w:rPr>
        <w:t xml:space="preserve">Editorial note </w:t>
      </w:r>
      <w:r w:rsidRPr="003E72FE">
        <w:rPr>
          <w:rFonts w:cs="Arial"/>
          <w:i/>
        </w:rPr>
        <w:t xml:space="preserve">following clause 3, substituting – </w:t>
      </w:r>
    </w:p>
    <w:p w:rsidR="003E72FE" w:rsidRPr="003E72FE" w:rsidRDefault="003E72FE" w:rsidP="003E72FE">
      <w:pPr>
        <w:rPr>
          <w:rFonts w:cs="Arial"/>
          <w:sz w:val="20"/>
          <w:szCs w:val="20"/>
        </w:rPr>
      </w:pPr>
    </w:p>
    <w:p w:rsidR="003E72FE" w:rsidRPr="003E72FE" w:rsidRDefault="003E72FE" w:rsidP="003E72FE">
      <w:pPr>
        <w:pStyle w:val="EditorialNoteLine1"/>
        <w:rPr>
          <w:rFonts w:cs="Arial"/>
        </w:rPr>
      </w:pPr>
      <w:r w:rsidRPr="003E72FE">
        <w:rPr>
          <w:rFonts w:cs="Arial"/>
        </w:rPr>
        <w:t xml:space="preserve">Editorial note: </w:t>
      </w:r>
    </w:p>
    <w:p w:rsidR="003E72FE" w:rsidRPr="003E72FE" w:rsidRDefault="003E72FE" w:rsidP="003E72FE">
      <w:pPr>
        <w:pStyle w:val="EditorialNotetext"/>
        <w:rPr>
          <w:rFonts w:cs="Arial"/>
        </w:rPr>
      </w:pPr>
    </w:p>
    <w:p w:rsidR="003E72FE" w:rsidRPr="003E72FE" w:rsidRDefault="003E72FE" w:rsidP="003E72FE">
      <w:pPr>
        <w:pStyle w:val="EditorialNotetext"/>
        <w:ind w:left="567" w:hanging="567"/>
        <w:rPr>
          <w:rFonts w:cs="Arial"/>
        </w:rPr>
      </w:pPr>
      <w:r w:rsidRPr="003E72FE">
        <w:rPr>
          <w:rFonts w:cs="Arial"/>
        </w:rPr>
        <w:t>1.</w:t>
      </w:r>
      <w:r w:rsidRPr="003E72FE">
        <w:rPr>
          <w:rFonts w:cs="Arial"/>
        </w:rPr>
        <w:tab/>
        <w:t>‘Warning statement is defined in Standard 1.1.1 – Preliminary Provisions – Application, Interpretation and General Prohibitions.</w:t>
      </w:r>
    </w:p>
    <w:p w:rsidR="003E72FE" w:rsidRPr="003E72FE" w:rsidRDefault="003E72FE" w:rsidP="003E72FE">
      <w:pPr>
        <w:pStyle w:val="EditorialNotetext"/>
        <w:ind w:left="567" w:hanging="567"/>
        <w:rPr>
          <w:rFonts w:cs="Arial"/>
        </w:rPr>
      </w:pPr>
      <w:r w:rsidRPr="003E72FE">
        <w:rPr>
          <w:rFonts w:cs="Arial"/>
        </w:rPr>
        <w:t>2.</w:t>
      </w:r>
      <w:r w:rsidRPr="003E72FE">
        <w:rPr>
          <w:rFonts w:cs="Arial"/>
        </w:rPr>
        <w:tab/>
        <w:t>‘Small package’ is defined in Standard 1.2.1 – Application of Labelling and Other Information Requirements.</w:t>
      </w:r>
    </w:p>
    <w:p w:rsidR="003E72FE" w:rsidRPr="003E72FE" w:rsidRDefault="003E72FE" w:rsidP="003E72FE">
      <w:pPr>
        <w:rPr>
          <w:rFonts w:cs="Arial"/>
          <w:sz w:val="20"/>
          <w:szCs w:val="20"/>
        </w:rPr>
      </w:pPr>
    </w:p>
    <w:p w:rsidR="003E72FE" w:rsidRPr="003E72FE" w:rsidRDefault="003E72FE" w:rsidP="003E72FE">
      <w:pPr>
        <w:pStyle w:val="Clause"/>
        <w:rPr>
          <w:rFonts w:cs="Arial"/>
          <w:bCs/>
          <w:i/>
        </w:rPr>
      </w:pPr>
      <w:r w:rsidRPr="003E72FE">
        <w:rPr>
          <w:rFonts w:cs="Arial"/>
          <w:b/>
          <w:bCs/>
        </w:rPr>
        <w:t>[12]</w:t>
      </w:r>
      <w:r w:rsidRPr="003E72FE">
        <w:rPr>
          <w:rFonts w:cs="Arial"/>
          <w:b/>
          <w:bCs/>
        </w:rPr>
        <w:tab/>
      </w:r>
      <w:r w:rsidRPr="003E72FE">
        <w:rPr>
          <w:rFonts w:cs="Arial"/>
          <w:b/>
          <w:bCs/>
          <w:i/>
        </w:rPr>
        <w:t xml:space="preserve">Standard 1.2.10 </w:t>
      </w:r>
      <w:r w:rsidRPr="003E72FE">
        <w:rPr>
          <w:rFonts w:cs="Arial"/>
          <w:bCs/>
          <w:i/>
        </w:rPr>
        <w:t xml:space="preserve">of the Australia New Zealand Food Standards Code is varied by – </w:t>
      </w:r>
    </w:p>
    <w:p w:rsidR="003E72FE" w:rsidRPr="003E72FE" w:rsidRDefault="003E72FE" w:rsidP="003E72FE">
      <w:pPr>
        <w:pStyle w:val="Clause"/>
        <w:rPr>
          <w:rFonts w:cs="Arial"/>
          <w:bCs/>
          <w:i/>
        </w:rPr>
      </w:pPr>
    </w:p>
    <w:p w:rsidR="003E72FE" w:rsidRPr="003E72FE" w:rsidRDefault="003E72FE" w:rsidP="003E72FE">
      <w:pPr>
        <w:pStyle w:val="Subclause"/>
        <w:rPr>
          <w:rFonts w:cs="Arial"/>
        </w:rPr>
      </w:pPr>
      <w:r w:rsidRPr="003E72FE">
        <w:rPr>
          <w:rFonts w:cs="Arial"/>
        </w:rPr>
        <w:t>[12.1]</w:t>
      </w:r>
      <w:r w:rsidRPr="003E72FE">
        <w:rPr>
          <w:rFonts w:cs="Arial"/>
        </w:rPr>
        <w:tab/>
      </w:r>
      <w:r w:rsidRPr="003E72FE">
        <w:rPr>
          <w:rFonts w:cs="Arial"/>
          <w:i/>
        </w:rPr>
        <w:t xml:space="preserve">omitting </w:t>
      </w:r>
      <w:r w:rsidRPr="003E72FE">
        <w:rPr>
          <w:rFonts w:cs="Arial"/>
        </w:rPr>
        <w:t xml:space="preserve">fund raising events </w:t>
      </w:r>
      <w:r w:rsidRPr="003E72FE">
        <w:rPr>
          <w:rFonts w:cs="Arial"/>
          <w:i/>
        </w:rPr>
        <w:t>from paragraph 2(4)(e), substituting</w:t>
      </w:r>
      <w:r w:rsidRPr="003E72FE">
        <w:rPr>
          <w:rFonts w:cs="Arial"/>
        </w:rPr>
        <w:t xml:space="preserve"> a fund raising event</w:t>
      </w:r>
    </w:p>
    <w:p w:rsidR="003E72FE" w:rsidRPr="003E72FE" w:rsidRDefault="003E72FE" w:rsidP="003E72FE">
      <w:pPr>
        <w:rPr>
          <w:rFonts w:cs="Arial"/>
          <w:sz w:val="20"/>
          <w:szCs w:val="20"/>
        </w:rPr>
      </w:pPr>
    </w:p>
    <w:p w:rsidR="003E72FE" w:rsidRPr="003E72FE" w:rsidRDefault="003E72FE" w:rsidP="003E72FE">
      <w:pPr>
        <w:pStyle w:val="Clause"/>
        <w:rPr>
          <w:rFonts w:cs="Arial"/>
          <w:i/>
        </w:rPr>
      </w:pPr>
      <w:r w:rsidRPr="003E72FE">
        <w:rPr>
          <w:rFonts w:cs="Arial"/>
        </w:rPr>
        <w:t>[12.2]</w:t>
      </w:r>
      <w:r w:rsidRPr="003E72FE">
        <w:rPr>
          <w:rFonts w:cs="Arial"/>
          <w:b/>
        </w:rPr>
        <w:tab/>
      </w:r>
      <w:r w:rsidRPr="003E72FE">
        <w:rPr>
          <w:rFonts w:cs="Arial"/>
          <w:i/>
        </w:rPr>
        <w:t xml:space="preserve">omitting the second paragraph from the </w:t>
      </w:r>
      <w:r w:rsidRPr="003E72FE">
        <w:rPr>
          <w:rFonts w:cs="Arial"/>
        </w:rPr>
        <w:t>Editorial note</w:t>
      </w:r>
      <w:r w:rsidRPr="003E72FE">
        <w:rPr>
          <w:rFonts w:cs="Arial"/>
          <w:i/>
        </w:rPr>
        <w:t xml:space="preserve"> following subclause 2(4)</w:t>
      </w:r>
    </w:p>
    <w:p w:rsidR="003E72FE" w:rsidRPr="003E72FE" w:rsidRDefault="003E72FE" w:rsidP="003E72FE">
      <w:pPr>
        <w:rPr>
          <w:rFonts w:cs="Arial"/>
          <w:sz w:val="20"/>
          <w:szCs w:val="20"/>
        </w:rPr>
      </w:pPr>
    </w:p>
    <w:p w:rsidR="003E72FE" w:rsidRPr="003E72FE" w:rsidRDefault="003E72FE" w:rsidP="003E72FE">
      <w:pPr>
        <w:pStyle w:val="Subclause"/>
        <w:rPr>
          <w:rFonts w:cs="Arial"/>
          <w:i/>
        </w:rPr>
      </w:pPr>
      <w:r w:rsidRPr="003E72FE">
        <w:rPr>
          <w:rFonts w:cs="Arial"/>
        </w:rPr>
        <w:t>[12.3]</w:t>
      </w:r>
      <w:r w:rsidRPr="003E72FE">
        <w:rPr>
          <w:rFonts w:cs="Arial"/>
        </w:rPr>
        <w:tab/>
      </w:r>
      <w:r w:rsidRPr="003E72FE">
        <w:rPr>
          <w:rFonts w:cs="Arial"/>
          <w:i/>
        </w:rPr>
        <w:t xml:space="preserve">omitting subclause 7(2), substituting – </w:t>
      </w:r>
    </w:p>
    <w:p w:rsidR="003E72FE" w:rsidRPr="003E72FE" w:rsidRDefault="003E72FE" w:rsidP="003E72FE">
      <w:pPr>
        <w:pStyle w:val="Subclause"/>
        <w:rPr>
          <w:rFonts w:cs="Arial"/>
          <w:i/>
        </w:rPr>
      </w:pPr>
    </w:p>
    <w:p w:rsidR="003E72FE" w:rsidRPr="003E72FE" w:rsidRDefault="003E72FE" w:rsidP="003E72FE">
      <w:pPr>
        <w:pStyle w:val="Subclause"/>
        <w:rPr>
          <w:rFonts w:cs="Arial"/>
        </w:rPr>
      </w:pPr>
      <w:r w:rsidRPr="003E72FE">
        <w:rPr>
          <w:rFonts w:cs="Arial"/>
        </w:rPr>
        <w:t>(2)</w:t>
      </w:r>
      <w:r w:rsidRPr="003E72FE">
        <w:rPr>
          <w:rFonts w:cs="Arial"/>
        </w:rPr>
        <w:tab/>
        <w:t>If the percentage declared is 5% or greater, it may be rounded to the nearest whole per cent.  If the percentage declared is below 5%, it may be rounded to the nearest 0.5 per cent.</w:t>
      </w:r>
    </w:p>
    <w:p w:rsidR="003E72FE" w:rsidRPr="003E72FE" w:rsidRDefault="003E72FE" w:rsidP="003E72FE">
      <w:pPr>
        <w:rPr>
          <w:rFonts w:cs="Arial"/>
          <w:sz w:val="20"/>
          <w:szCs w:val="20"/>
        </w:rPr>
      </w:pPr>
    </w:p>
    <w:p w:rsidR="003E72FE" w:rsidRPr="003E72FE" w:rsidRDefault="003E72FE" w:rsidP="003E72FE">
      <w:pPr>
        <w:pStyle w:val="Clause"/>
        <w:rPr>
          <w:rFonts w:cs="Arial"/>
          <w:i/>
        </w:rPr>
      </w:pPr>
      <w:r w:rsidRPr="003E72FE">
        <w:rPr>
          <w:rFonts w:cs="Arial"/>
          <w:b/>
        </w:rPr>
        <w:t>[13]</w:t>
      </w:r>
      <w:r w:rsidRPr="003E72FE">
        <w:rPr>
          <w:rFonts w:cs="Arial"/>
          <w:b/>
        </w:rPr>
        <w:tab/>
      </w:r>
      <w:r w:rsidRPr="003E72FE">
        <w:rPr>
          <w:rFonts w:cs="Arial"/>
          <w:b/>
          <w:i/>
        </w:rPr>
        <w:t xml:space="preserve">Standard 1.2.11 </w:t>
      </w:r>
      <w:r w:rsidRPr="003E72FE">
        <w:rPr>
          <w:rFonts w:cs="Arial"/>
          <w:i/>
        </w:rPr>
        <w:t xml:space="preserve">of the Australia New Zealand Food Standards Code is varied by – </w:t>
      </w:r>
    </w:p>
    <w:p w:rsidR="003E72FE" w:rsidRPr="003E72FE" w:rsidRDefault="003E72FE" w:rsidP="003E72FE">
      <w:pPr>
        <w:pStyle w:val="Clause"/>
        <w:rPr>
          <w:rFonts w:cs="Arial"/>
          <w:i/>
        </w:rPr>
      </w:pPr>
    </w:p>
    <w:p w:rsidR="003E72FE" w:rsidRPr="003E72FE" w:rsidRDefault="003E72FE" w:rsidP="003E72FE">
      <w:pPr>
        <w:pStyle w:val="Clause"/>
        <w:rPr>
          <w:rFonts w:cs="Arial"/>
          <w:i/>
          <w:iCs/>
        </w:rPr>
      </w:pPr>
      <w:r w:rsidRPr="003E72FE">
        <w:rPr>
          <w:rFonts w:cs="Arial"/>
        </w:rPr>
        <w:t>[13.1]</w:t>
      </w:r>
      <w:r w:rsidRPr="003E72FE">
        <w:rPr>
          <w:rFonts w:cs="Arial"/>
        </w:rPr>
        <w:tab/>
      </w:r>
      <w:r w:rsidRPr="003E72FE">
        <w:rPr>
          <w:rFonts w:cs="Arial"/>
          <w:i/>
          <w:iCs/>
        </w:rPr>
        <w:t>omitting subclauses 1(4) and 1(5)</w:t>
      </w:r>
    </w:p>
    <w:p w:rsidR="003E72FE" w:rsidRPr="003E72FE" w:rsidRDefault="003E72FE" w:rsidP="003E72FE">
      <w:pPr>
        <w:rPr>
          <w:rFonts w:cs="Arial"/>
          <w:sz w:val="20"/>
          <w:szCs w:val="20"/>
        </w:rPr>
      </w:pPr>
    </w:p>
    <w:p w:rsidR="003E72FE" w:rsidRPr="003E72FE" w:rsidRDefault="003E72FE" w:rsidP="003E72FE">
      <w:pPr>
        <w:pStyle w:val="Clause"/>
        <w:rPr>
          <w:rFonts w:cs="Arial"/>
        </w:rPr>
      </w:pPr>
      <w:r w:rsidRPr="003E72FE">
        <w:rPr>
          <w:rFonts w:cs="Arial"/>
        </w:rPr>
        <w:t>[13.2]</w:t>
      </w:r>
      <w:r w:rsidRPr="003E72FE">
        <w:rPr>
          <w:rFonts w:cs="Arial"/>
        </w:rPr>
        <w:tab/>
      </w:r>
      <w:r w:rsidRPr="003E72FE">
        <w:rPr>
          <w:rFonts w:cs="Arial"/>
          <w:i/>
        </w:rPr>
        <w:t xml:space="preserve">omitting </w:t>
      </w:r>
      <w:r w:rsidRPr="003E72FE">
        <w:rPr>
          <w:rFonts w:cs="Arial"/>
        </w:rPr>
        <w:t xml:space="preserve">local and/or imported foods as the case may be </w:t>
      </w:r>
      <w:r w:rsidRPr="003E72FE">
        <w:rPr>
          <w:rFonts w:cs="Arial"/>
          <w:i/>
        </w:rPr>
        <w:t xml:space="preserve">wherever appearing in </w:t>
      </w:r>
      <w:r w:rsidRPr="003E72FE">
        <w:rPr>
          <w:rFonts w:cs="Arial"/>
        </w:rPr>
        <w:t>Column 2</w:t>
      </w:r>
      <w:r w:rsidRPr="003E72FE">
        <w:rPr>
          <w:rFonts w:cs="Arial"/>
          <w:i/>
        </w:rPr>
        <w:t xml:space="preserve"> of the </w:t>
      </w:r>
      <w:r w:rsidRPr="003E72FE">
        <w:rPr>
          <w:rFonts w:cs="Arial"/>
        </w:rPr>
        <w:t xml:space="preserve">Table to subclause 2(2), </w:t>
      </w:r>
      <w:r w:rsidRPr="003E72FE">
        <w:rPr>
          <w:rFonts w:cs="Arial"/>
          <w:i/>
        </w:rPr>
        <w:t xml:space="preserve">substituting </w:t>
      </w:r>
      <w:r w:rsidRPr="003E72FE">
        <w:rPr>
          <w:rFonts w:cs="Arial"/>
        </w:rPr>
        <w:t>local foods or imported foods or both</w:t>
      </w:r>
    </w:p>
    <w:p w:rsidR="003E72FE" w:rsidRPr="003E72FE" w:rsidRDefault="003E72FE" w:rsidP="003E72FE">
      <w:pPr>
        <w:rPr>
          <w:rFonts w:cs="Arial"/>
          <w:sz w:val="20"/>
          <w:szCs w:val="20"/>
        </w:rPr>
      </w:pPr>
    </w:p>
    <w:p w:rsidR="003E72FE" w:rsidRPr="003E72FE" w:rsidRDefault="003E72FE" w:rsidP="003E72FE">
      <w:pPr>
        <w:pStyle w:val="Clause"/>
        <w:ind w:left="851" w:hanging="851"/>
        <w:rPr>
          <w:rFonts w:cs="Arial"/>
          <w:i/>
          <w:iCs/>
        </w:rPr>
      </w:pPr>
      <w:r w:rsidRPr="003E72FE">
        <w:rPr>
          <w:rFonts w:cs="Arial"/>
          <w:b/>
          <w:bCs/>
        </w:rPr>
        <w:t>[14]</w:t>
      </w:r>
      <w:r w:rsidRPr="003E72FE">
        <w:rPr>
          <w:rFonts w:cs="Arial"/>
        </w:rPr>
        <w:tab/>
      </w:r>
      <w:r w:rsidRPr="003E72FE">
        <w:rPr>
          <w:rFonts w:cs="Arial"/>
          <w:b/>
          <w:bCs/>
          <w:i/>
          <w:iCs/>
        </w:rPr>
        <w:t>Standard 1.3.1</w:t>
      </w:r>
      <w:r w:rsidRPr="003E72FE">
        <w:rPr>
          <w:rFonts w:cs="Arial"/>
          <w:i/>
          <w:iCs/>
        </w:rPr>
        <w:t xml:space="preserve"> of the Australia New Zealand Food Standards Code is varied by – </w:t>
      </w:r>
    </w:p>
    <w:p w:rsidR="003E72FE" w:rsidRPr="003E72FE" w:rsidRDefault="003E72FE" w:rsidP="003E72FE">
      <w:pPr>
        <w:pStyle w:val="Clause"/>
        <w:rPr>
          <w:rFonts w:cs="Arial"/>
        </w:rPr>
      </w:pPr>
    </w:p>
    <w:p w:rsidR="003E72FE" w:rsidRPr="003E72FE" w:rsidRDefault="003E72FE" w:rsidP="003E72FE">
      <w:pPr>
        <w:pStyle w:val="Clause"/>
        <w:rPr>
          <w:rFonts w:cs="Arial"/>
          <w:i/>
        </w:rPr>
      </w:pPr>
      <w:r w:rsidRPr="003E72FE">
        <w:rPr>
          <w:rFonts w:cs="Arial"/>
        </w:rPr>
        <w:t>[14.1]</w:t>
      </w:r>
      <w:r w:rsidRPr="003E72FE">
        <w:rPr>
          <w:rFonts w:cs="Arial"/>
        </w:rPr>
        <w:tab/>
      </w:r>
      <w:r w:rsidRPr="003E72FE">
        <w:rPr>
          <w:rFonts w:cs="Arial"/>
          <w:i/>
        </w:rPr>
        <w:t xml:space="preserve">omitting clause 3, substituting – </w:t>
      </w:r>
    </w:p>
    <w:p w:rsidR="003E72FE" w:rsidRPr="003E72FE" w:rsidRDefault="003E72FE" w:rsidP="003E72FE">
      <w:pPr>
        <w:pStyle w:val="Clause"/>
        <w:rPr>
          <w:rFonts w:cs="Arial"/>
          <w:i/>
        </w:rPr>
      </w:pPr>
    </w:p>
    <w:p w:rsidR="003E72FE" w:rsidRPr="003E72FE" w:rsidRDefault="003E72FE" w:rsidP="003E72FE">
      <w:pPr>
        <w:pStyle w:val="ClauseHeading0"/>
        <w:rPr>
          <w:rFonts w:cs="Arial"/>
        </w:rPr>
      </w:pPr>
      <w:r w:rsidRPr="003E72FE">
        <w:rPr>
          <w:rFonts w:cs="Arial"/>
        </w:rPr>
        <w:t>3</w:t>
      </w:r>
      <w:r w:rsidRPr="003E72FE">
        <w:rPr>
          <w:rFonts w:cs="Arial"/>
        </w:rPr>
        <w:tab/>
        <w:t>Permitted use of additives</w:t>
      </w:r>
    </w:p>
    <w:p w:rsidR="003E72FE" w:rsidRPr="003E72FE" w:rsidRDefault="003E72FE" w:rsidP="003E72FE">
      <w:pPr>
        <w:pStyle w:val="Subclause"/>
        <w:rPr>
          <w:rFonts w:cs="Arial"/>
          <w:b/>
        </w:rPr>
      </w:pPr>
    </w:p>
    <w:p w:rsidR="003E72FE" w:rsidRPr="003E72FE" w:rsidRDefault="003E72FE" w:rsidP="003E72FE">
      <w:pPr>
        <w:pStyle w:val="Subclause"/>
        <w:rPr>
          <w:rFonts w:cs="Arial"/>
        </w:rPr>
      </w:pPr>
      <w:r w:rsidRPr="003E72FE">
        <w:rPr>
          <w:rFonts w:cs="Arial"/>
        </w:rPr>
        <w:t>(1)</w:t>
      </w:r>
      <w:r w:rsidRPr="003E72FE">
        <w:rPr>
          <w:rFonts w:cs="Arial"/>
        </w:rPr>
        <w:tab/>
        <w:t xml:space="preserve">The additives listed by name or number in Schedules 1, 2, 3 and 4 may be added to a food or class of food to perform technological functions provided that – </w:t>
      </w:r>
    </w:p>
    <w:p w:rsidR="003E72FE" w:rsidRPr="003E72FE" w:rsidRDefault="003E72FE" w:rsidP="003E72FE">
      <w:pPr>
        <w:pStyle w:val="Subparagraph"/>
        <w:rPr>
          <w:rFonts w:cs="Arial"/>
        </w:rPr>
      </w:pPr>
    </w:p>
    <w:p w:rsidR="003E72FE" w:rsidRDefault="003E72FE" w:rsidP="003E72FE">
      <w:pPr>
        <w:pStyle w:val="Paragraph"/>
        <w:rPr>
          <w:rFonts w:cs="Arial"/>
        </w:rPr>
      </w:pPr>
      <w:r w:rsidRPr="003E72FE">
        <w:rPr>
          <w:rFonts w:cs="Arial"/>
        </w:rPr>
        <w:t>(a)</w:t>
      </w:r>
      <w:r w:rsidRPr="003E72FE">
        <w:rPr>
          <w:rFonts w:cs="Arial"/>
        </w:rPr>
        <w:tab/>
        <w:t>the use complies with any restrictions on use listed in Schedule 1; and</w:t>
      </w:r>
      <w:r>
        <w:rPr>
          <w:rFonts w:cs="Arial"/>
        </w:rPr>
        <w:br w:type="page"/>
      </w:r>
    </w:p>
    <w:p w:rsidR="003E72FE" w:rsidRDefault="003E72FE" w:rsidP="003E72FE">
      <w:pPr>
        <w:pStyle w:val="Paragraph"/>
        <w:rPr>
          <w:rFonts w:cs="Arial"/>
        </w:rPr>
      </w:pPr>
      <w:r w:rsidRPr="003E72FE">
        <w:rPr>
          <w:rFonts w:cs="Arial"/>
        </w:rPr>
        <w:lastRenderedPageBreak/>
        <w:t>(b)</w:t>
      </w:r>
      <w:r w:rsidRPr="003E72FE">
        <w:rPr>
          <w:rFonts w:cs="Arial"/>
        </w:rPr>
        <w:tab/>
        <w:t>the proportion of the additive is no more than the maximum level necessary to achieve one or more technological functions under the conditions of Good Manufacturing Practice (GMP).</w:t>
      </w:r>
    </w:p>
    <w:p w:rsidR="003E72FE" w:rsidRPr="003E72FE" w:rsidRDefault="003E72FE" w:rsidP="003E72FE">
      <w:pPr>
        <w:pStyle w:val="Paragraph"/>
        <w:rPr>
          <w:rFonts w:cs="Arial"/>
        </w:rPr>
      </w:pPr>
    </w:p>
    <w:p w:rsidR="003E72FE" w:rsidRPr="003E72FE" w:rsidRDefault="003E72FE" w:rsidP="003E72FE">
      <w:pPr>
        <w:pStyle w:val="Subclause"/>
      </w:pPr>
      <w:r w:rsidRPr="003E72FE">
        <w:t>(2)</w:t>
      </w:r>
      <w:r w:rsidRPr="003E72FE">
        <w:tab/>
        <w:t>The additives in Schedule 2 may be present in processed foods as a result of use in accordance with GMP, except where expressly prohibited in Schedule 1.</w:t>
      </w:r>
    </w:p>
    <w:p w:rsidR="003E72FE" w:rsidRPr="003E72FE" w:rsidRDefault="003E72FE" w:rsidP="003E72FE">
      <w:pPr>
        <w:pStyle w:val="Subclause"/>
      </w:pPr>
    </w:p>
    <w:p w:rsidR="003E72FE" w:rsidRPr="003E72FE" w:rsidRDefault="003E72FE" w:rsidP="003E72FE">
      <w:pPr>
        <w:pStyle w:val="Subclause"/>
      </w:pPr>
      <w:r w:rsidRPr="003E72FE">
        <w:t>(3)</w:t>
      </w:r>
      <w:r w:rsidRPr="003E72FE">
        <w:tab/>
        <w:t>The colours in Schedule 3 may be present in processed foods as a result of use in accordance with GMP except where expressly prohibited in Schedule 1.</w:t>
      </w:r>
    </w:p>
    <w:p w:rsidR="003E72FE" w:rsidRPr="003E72FE" w:rsidRDefault="003E72FE" w:rsidP="003E72FE">
      <w:pPr>
        <w:rPr>
          <w:sz w:val="20"/>
          <w:szCs w:val="20"/>
        </w:rPr>
      </w:pPr>
    </w:p>
    <w:p w:rsidR="003E72FE" w:rsidRPr="003E72FE" w:rsidRDefault="003E72FE" w:rsidP="003E72FE">
      <w:pPr>
        <w:pStyle w:val="Subclause"/>
      </w:pPr>
      <w:r w:rsidRPr="003E72FE">
        <w:t>(4)</w:t>
      </w:r>
      <w:r w:rsidRPr="003E72FE">
        <w:tab/>
        <w:t>The colours in Schedule 4 may be present in processed foods to a combined maximum level of 290 mg/kg in foods, and 70 mg/L in beverages, except where expressly prohibited in Schedule 1.</w:t>
      </w:r>
    </w:p>
    <w:p w:rsidR="003E72FE" w:rsidRPr="003E72FE" w:rsidRDefault="003E72FE" w:rsidP="003E72FE">
      <w:pPr>
        <w:rPr>
          <w:sz w:val="20"/>
          <w:szCs w:val="20"/>
        </w:rPr>
      </w:pPr>
    </w:p>
    <w:p w:rsidR="003E72FE" w:rsidRPr="003E72FE" w:rsidRDefault="003E72FE" w:rsidP="003E72FE">
      <w:pPr>
        <w:pStyle w:val="Clause"/>
        <w:ind w:left="851" w:hanging="851"/>
        <w:rPr>
          <w:i/>
          <w:iCs/>
        </w:rPr>
      </w:pPr>
      <w:r w:rsidRPr="003E72FE">
        <w:rPr>
          <w:iCs/>
        </w:rPr>
        <w:t>[14.2]</w:t>
      </w:r>
      <w:r w:rsidRPr="003E72FE">
        <w:rPr>
          <w:iCs/>
        </w:rPr>
        <w:tab/>
      </w:r>
      <w:r w:rsidRPr="003E72FE">
        <w:rPr>
          <w:i/>
          <w:iCs/>
        </w:rPr>
        <w:t xml:space="preserve">omitting from subclause 6(2) – </w:t>
      </w:r>
    </w:p>
    <w:p w:rsidR="003E72FE" w:rsidRPr="003E72FE" w:rsidRDefault="003E72FE" w:rsidP="003E72FE">
      <w:pPr>
        <w:rPr>
          <w:sz w:val="20"/>
          <w:szCs w:val="20"/>
        </w:rPr>
      </w:pPr>
    </w:p>
    <w:p w:rsidR="003E72FE" w:rsidRPr="003E72FE" w:rsidRDefault="003E72FE" w:rsidP="003E72FE">
      <w:pPr>
        <w:pStyle w:val="Subclause"/>
      </w:pPr>
      <w:r w:rsidRPr="003E72FE">
        <w:t>calculated by:</w:t>
      </w:r>
    </w:p>
    <w:p w:rsidR="003E72FE" w:rsidRPr="003E72FE" w:rsidRDefault="003E72FE" w:rsidP="003E72FE">
      <w:pPr>
        <w:rPr>
          <w:sz w:val="20"/>
          <w:szCs w:val="20"/>
        </w:rPr>
      </w:pPr>
    </w:p>
    <w:p w:rsidR="003E72FE" w:rsidRPr="003E72FE" w:rsidRDefault="003E72FE" w:rsidP="003E72FE">
      <w:pPr>
        <w:pStyle w:val="Clause"/>
        <w:rPr>
          <w:i/>
          <w:iCs/>
        </w:rPr>
      </w:pPr>
      <w:r w:rsidRPr="003E72FE">
        <w:rPr>
          <w:i/>
          <w:iCs/>
        </w:rPr>
        <w:t xml:space="preserve">substituting – </w:t>
      </w:r>
    </w:p>
    <w:p w:rsidR="003E72FE" w:rsidRPr="003E72FE" w:rsidRDefault="003E72FE" w:rsidP="003E72FE">
      <w:pPr>
        <w:rPr>
          <w:i/>
          <w:sz w:val="20"/>
          <w:szCs w:val="20"/>
        </w:rPr>
      </w:pPr>
    </w:p>
    <w:p w:rsidR="003E72FE" w:rsidRPr="003E72FE" w:rsidRDefault="003E72FE" w:rsidP="003E72FE">
      <w:pPr>
        <w:pStyle w:val="Subclause"/>
      </w:pPr>
      <w:r w:rsidRPr="003E72FE">
        <w:t xml:space="preserve">calculated by – </w:t>
      </w:r>
    </w:p>
    <w:p w:rsidR="003E72FE" w:rsidRPr="003E72FE" w:rsidRDefault="003E72FE" w:rsidP="003E72FE">
      <w:pPr>
        <w:pStyle w:val="Clause"/>
        <w:ind w:left="851" w:hanging="851"/>
        <w:rPr>
          <w:iCs/>
        </w:rPr>
      </w:pPr>
    </w:p>
    <w:p w:rsidR="003E72FE" w:rsidRPr="003E72FE" w:rsidRDefault="003E72FE" w:rsidP="003E72FE">
      <w:pPr>
        <w:pStyle w:val="Clause"/>
        <w:ind w:left="851" w:hanging="851"/>
        <w:rPr>
          <w:i/>
          <w:iCs/>
        </w:rPr>
      </w:pPr>
      <w:r w:rsidRPr="003E72FE">
        <w:rPr>
          <w:iCs/>
        </w:rPr>
        <w:t>[14.3]</w:t>
      </w:r>
      <w:r w:rsidRPr="003E72FE">
        <w:rPr>
          <w:iCs/>
        </w:rPr>
        <w:tab/>
      </w:r>
      <w:r w:rsidRPr="003E72FE">
        <w:rPr>
          <w:i/>
          <w:iCs/>
        </w:rPr>
        <w:t xml:space="preserve">omitting from clause 7 – </w:t>
      </w:r>
    </w:p>
    <w:p w:rsidR="003E72FE" w:rsidRPr="003E72FE" w:rsidRDefault="003E72FE" w:rsidP="003E72FE">
      <w:pPr>
        <w:rPr>
          <w:sz w:val="20"/>
          <w:szCs w:val="20"/>
        </w:rPr>
      </w:pPr>
    </w:p>
    <w:p w:rsidR="003E72FE" w:rsidRPr="003E72FE" w:rsidRDefault="003E72FE" w:rsidP="003E72FE">
      <w:pPr>
        <w:pStyle w:val="Clause"/>
      </w:pPr>
      <w:r w:rsidRPr="003E72FE">
        <w:t>Other than by direct addition, a food</w:t>
      </w:r>
    </w:p>
    <w:p w:rsidR="003E72FE" w:rsidRPr="003E72FE" w:rsidRDefault="003E72FE" w:rsidP="003E72FE">
      <w:pPr>
        <w:rPr>
          <w:sz w:val="20"/>
          <w:szCs w:val="20"/>
        </w:rPr>
      </w:pPr>
    </w:p>
    <w:p w:rsidR="003E72FE" w:rsidRPr="003E72FE" w:rsidRDefault="003E72FE" w:rsidP="003E72FE">
      <w:pPr>
        <w:pStyle w:val="Clause"/>
      </w:pPr>
      <w:r w:rsidRPr="003E72FE">
        <w:rPr>
          <w:i/>
        </w:rPr>
        <w:t xml:space="preserve">substituting </w:t>
      </w:r>
      <w:r w:rsidRPr="003E72FE">
        <w:t xml:space="preserve">– </w:t>
      </w:r>
    </w:p>
    <w:p w:rsidR="003E72FE" w:rsidRPr="003E72FE" w:rsidRDefault="003E72FE" w:rsidP="003E72FE">
      <w:pPr>
        <w:rPr>
          <w:i/>
          <w:sz w:val="20"/>
          <w:szCs w:val="20"/>
        </w:rPr>
      </w:pPr>
    </w:p>
    <w:p w:rsidR="003E72FE" w:rsidRPr="003E72FE" w:rsidRDefault="003E72FE" w:rsidP="003E72FE">
      <w:pPr>
        <w:pStyle w:val="Clause"/>
      </w:pPr>
      <w:r w:rsidRPr="003E72FE">
        <w:t>A food</w:t>
      </w:r>
    </w:p>
    <w:p w:rsidR="003E72FE" w:rsidRPr="003E72FE" w:rsidRDefault="003E72FE" w:rsidP="003E72FE">
      <w:pPr>
        <w:rPr>
          <w:sz w:val="20"/>
          <w:szCs w:val="20"/>
        </w:rPr>
      </w:pPr>
    </w:p>
    <w:p w:rsidR="003E72FE" w:rsidRPr="003E72FE" w:rsidRDefault="003E72FE" w:rsidP="003E72FE">
      <w:pPr>
        <w:pStyle w:val="Clause"/>
        <w:ind w:left="851" w:hanging="851"/>
        <w:rPr>
          <w:i/>
          <w:iCs/>
        </w:rPr>
      </w:pPr>
      <w:r w:rsidRPr="003E72FE">
        <w:rPr>
          <w:iCs/>
        </w:rPr>
        <w:t>[14.4]</w:t>
      </w:r>
      <w:r w:rsidRPr="003E72FE">
        <w:rPr>
          <w:iCs/>
        </w:rPr>
        <w:tab/>
      </w:r>
      <w:r w:rsidRPr="003E72FE">
        <w:rPr>
          <w:i/>
          <w:iCs/>
        </w:rPr>
        <w:t xml:space="preserve">omitting clause 11, substituting – </w:t>
      </w:r>
    </w:p>
    <w:p w:rsidR="003E72FE" w:rsidRPr="003E72FE" w:rsidRDefault="003E72FE" w:rsidP="003E72FE">
      <w:pPr>
        <w:rPr>
          <w:sz w:val="20"/>
          <w:szCs w:val="20"/>
        </w:rPr>
      </w:pPr>
    </w:p>
    <w:p w:rsidR="003E72FE" w:rsidRPr="003E72FE" w:rsidRDefault="003E72FE" w:rsidP="003E72FE">
      <w:pPr>
        <w:pStyle w:val="ClauseHeading0"/>
      </w:pPr>
      <w:r w:rsidRPr="003E72FE">
        <w:t>11</w:t>
      </w:r>
      <w:r w:rsidRPr="003E72FE">
        <w:tab/>
        <w:t>Permitted flavouring substances</w:t>
      </w:r>
    </w:p>
    <w:p w:rsidR="003E72FE" w:rsidRPr="003E72FE" w:rsidRDefault="003E72FE" w:rsidP="003E72FE">
      <w:pPr>
        <w:rPr>
          <w:sz w:val="20"/>
          <w:szCs w:val="20"/>
        </w:rPr>
      </w:pPr>
    </w:p>
    <w:p w:rsidR="003E72FE" w:rsidRPr="003E72FE" w:rsidRDefault="003E72FE" w:rsidP="003E72FE">
      <w:pPr>
        <w:pStyle w:val="Clause"/>
      </w:pPr>
      <w:r w:rsidRPr="003E72FE">
        <w:t xml:space="preserve">Permitted flavouring substances, for the purposes of this Standard, are – </w:t>
      </w:r>
    </w:p>
    <w:p w:rsidR="003E72FE" w:rsidRPr="003E72FE" w:rsidRDefault="003E72FE" w:rsidP="003E72FE">
      <w:pPr>
        <w:rPr>
          <w:sz w:val="20"/>
          <w:szCs w:val="20"/>
        </w:rPr>
      </w:pPr>
    </w:p>
    <w:p w:rsidR="003E72FE" w:rsidRPr="003E72FE" w:rsidRDefault="003E72FE" w:rsidP="003E72FE">
      <w:pPr>
        <w:pStyle w:val="Paragraph"/>
        <w:ind w:right="-194"/>
      </w:pPr>
      <w:r w:rsidRPr="003E72FE">
        <w:t>(a)</w:t>
      </w:r>
      <w:r w:rsidRPr="003E72FE">
        <w:tab/>
        <w:t xml:space="preserve">Flavouring substances which are listed in at least one of the following publications – </w:t>
      </w:r>
    </w:p>
    <w:p w:rsidR="003E72FE" w:rsidRPr="003E72FE" w:rsidRDefault="003E72FE" w:rsidP="003E72FE">
      <w:pPr>
        <w:pStyle w:val="Clause"/>
        <w:rPr>
          <w:iCs/>
        </w:rPr>
      </w:pPr>
    </w:p>
    <w:p w:rsidR="003E72FE" w:rsidRPr="003E72FE" w:rsidRDefault="003E72FE" w:rsidP="003E72FE">
      <w:pPr>
        <w:pStyle w:val="Subparagraph"/>
      </w:pPr>
      <w:r w:rsidRPr="003E72FE">
        <w:t>(i)</w:t>
      </w:r>
      <w:r w:rsidRPr="003E72FE">
        <w:tab/>
        <w:t>Generally Recognised as Safe (GRAS) lists of flavouring substances published by the Flavour and Extract Manufacturers’ Association of the United States from 1960 to 2011 (edition 25); or</w:t>
      </w:r>
    </w:p>
    <w:p w:rsidR="003E72FE" w:rsidRPr="003E72FE" w:rsidRDefault="003E72FE" w:rsidP="003E72FE">
      <w:pPr>
        <w:pStyle w:val="Subparagraph"/>
      </w:pPr>
      <w:r w:rsidRPr="003E72FE">
        <w:t>(ii)</w:t>
      </w:r>
      <w:r w:rsidRPr="003E72FE">
        <w:tab/>
        <w:t>Chemically-defined flavouring substances, Council of Europe, November 2000; or</w:t>
      </w:r>
    </w:p>
    <w:p w:rsidR="003E72FE" w:rsidRPr="003E72FE" w:rsidRDefault="003E72FE" w:rsidP="003E72FE">
      <w:pPr>
        <w:pStyle w:val="Subparagraph"/>
      </w:pPr>
      <w:r w:rsidRPr="003E72FE">
        <w:t>(iii)</w:t>
      </w:r>
      <w:r w:rsidRPr="003E72FE">
        <w:tab/>
        <w:t xml:space="preserve">21 CFR § 172.515; or </w:t>
      </w:r>
    </w:p>
    <w:p w:rsidR="003E72FE" w:rsidRPr="003E72FE" w:rsidRDefault="003E72FE" w:rsidP="003E72FE">
      <w:pPr>
        <w:rPr>
          <w:i/>
          <w:sz w:val="20"/>
          <w:szCs w:val="20"/>
        </w:rPr>
      </w:pPr>
    </w:p>
    <w:p w:rsidR="003E72FE" w:rsidRPr="003E72FE" w:rsidRDefault="003E72FE" w:rsidP="003E72FE">
      <w:pPr>
        <w:pStyle w:val="Paragraph"/>
      </w:pPr>
      <w:r w:rsidRPr="003E72FE">
        <w:t>(b)</w:t>
      </w:r>
      <w:r w:rsidRPr="003E72FE">
        <w:tab/>
        <w:t xml:space="preserve">Flavouring substances obtained by physical, microbiological, enzymatic, or chemical processes from material of vegetable or animal origin either in its raw state or after processing by traditional preparation process including drying, roasting and fermentation; or </w:t>
      </w:r>
    </w:p>
    <w:p w:rsidR="003E72FE" w:rsidRPr="003E72FE" w:rsidRDefault="003E72FE" w:rsidP="003E72FE">
      <w:pPr>
        <w:pStyle w:val="Paragraph"/>
      </w:pPr>
      <w:r w:rsidRPr="003E72FE">
        <w:t>(c)</w:t>
      </w:r>
      <w:r w:rsidRPr="003E72FE">
        <w:tab/>
        <w:t>Flavouring substances obtained by synthetic means which are identical to any of the flavouring substances described in subparagraph (b).</w:t>
      </w:r>
    </w:p>
    <w:p w:rsidR="003E72FE" w:rsidRPr="003E72FE" w:rsidRDefault="003E72FE" w:rsidP="003E72FE">
      <w:pPr>
        <w:rPr>
          <w:sz w:val="20"/>
          <w:szCs w:val="20"/>
        </w:rPr>
      </w:pPr>
    </w:p>
    <w:p w:rsidR="003E72FE" w:rsidRPr="003E72FE" w:rsidRDefault="003E72FE" w:rsidP="003E72FE">
      <w:pPr>
        <w:pStyle w:val="Clause"/>
        <w:rPr>
          <w:i/>
        </w:rPr>
      </w:pPr>
      <w:r w:rsidRPr="003E72FE">
        <w:t>[14.5]</w:t>
      </w:r>
      <w:r w:rsidRPr="003E72FE">
        <w:tab/>
      </w:r>
      <w:r w:rsidRPr="003E72FE">
        <w:rPr>
          <w:i/>
        </w:rPr>
        <w:t xml:space="preserve">omitting from </w:t>
      </w:r>
      <w:r w:rsidRPr="003E72FE">
        <w:t xml:space="preserve">Schedule 1 </w:t>
      </w:r>
      <w:r w:rsidRPr="003E72FE">
        <w:rPr>
          <w:i/>
        </w:rPr>
        <w:t xml:space="preserve">under item </w:t>
      </w:r>
      <w:r w:rsidRPr="003E72FE">
        <w:t>0 GENERAL PROVISIONS</w:t>
      </w:r>
      <w:r w:rsidRPr="003E72FE">
        <w:rPr>
          <w:i/>
        </w:rPr>
        <w:t xml:space="preserve"> – </w:t>
      </w:r>
    </w:p>
    <w:p w:rsidR="003E72FE" w:rsidRPr="003E72FE" w:rsidRDefault="003E72FE" w:rsidP="003E72FE">
      <w:pPr>
        <w:rPr>
          <w:sz w:val="20"/>
          <w:szCs w:val="20"/>
        </w:rPr>
      </w:pPr>
    </w:p>
    <w:tbl>
      <w:tblPr>
        <w:tblW w:w="9240" w:type="dxa"/>
        <w:tblLayout w:type="fixed"/>
        <w:tblLook w:val="04A0" w:firstRow="1" w:lastRow="0" w:firstColumn="1" w:lastColumn="0" w:noHBand="0" w:noVBand="1"/>
      </w:tblPr>
      <w:tblGrid>
        <w:gridCol w:w="649"/>
        <w:gridCol w:w="1801"/>
        <w:gridCol w:w="2906"/>
        <w:gridCol w:w="709"/>
        <w:gridCol w:w="709"/>
        <w:gridCol w:w="537"/>
        <w:gridCol w:w="1929"/>
      </w:tblGrid>
      <w:tr w:rsidR="003E72FE" w:rsidTr="003E72FE">
        <w:trPr>
          <w:cantSplit/>
        </w:trPr>
        <w:tc>
          <w:tcPr>
            <w:tcW w:w="648" w:type="dxa"/>
          </w:tcPr>
          <w:p w:rsidR="003E72FE" w:rsidRDefault="003E72FE">
            <w:pPr>
              <w:pStyle w:val="Table2"/>
              <w:spacing w:line="276" w:lineRule="auto"/>
            </w:pPr>
          </w:p>
        </w:tc>
        <w:tc>
          <w:tcPr>
            <w:tcW w:w="1800" w:type="dxa"/>
          </w:tcPr>
          <w:p w:rsidR="003E72FE" w:rsidRDefault="003E72FE">
            <w:pPr>
              <w:pStyle w:val="Table2"/>
              <w:spacing w:line="276" w:lineRule="auto"/>
            </w:pPr>
          </w:p>
        </w:tc>
        <w:tc>
          <w:tcPr>
            <w:tcW w:w="2905" w:type="dxa"/>
            <w:hideMark/>
          </w:tcPr>
          <w:p w:rsidR="003E72FE" w:rsidRDefault="003E72FE">
            <w:pPr>
              <w:pStyle w:val="Table1"/>
              <w:spacing w:line="276" w:lineRule="auto"/>
              <w:rPr>
                <w:i/>
                <w:iCs/>
              </w:rPr>
            </w:pPr>
            <w:r>
              <w:rPr>
                <w:i/>
                <w:iCs/>
              </w:rPr>
              <w:t>Additives in Schedule 2 may be present in processed foods as a result of use in accordance with GMP except where expressly prohibited in this schedule.</w:t>
            </w:r>
          </w:p>
        </w:tc>
        <w:tc>
          <w:tcPr>
            <w:tcW w:w="709" w:type="dxa"/>
          </w:tcPr>
          <w:p w:rsidR="003E72FE" w:rsidRDefault="003E72FE">
            <w:pPr>
              <w:pStyle w:val="Table2"/>
              <w:spacing w:line="276" w:lineRule="auto"/>
            </w:pPr>
          </w:p>
        </w:tc>
        <w:tc>
          <w:tcPr>
            <w:tcW w:w="709" w:type="dxa"/>
          </w:tcPr>
          <w:p w:rsidR="003E72FE" w:rsidRDefault="003E72FE">
            <w:pPr>
              <w:pStyle w:val="Table2"/>
              <w:spacing w:line="276" w:lineRule="auto"/>
            </w:pPr>
          </w:p>
        </w:tc>
        <w:tc>
          <w:tcPr>
            <w:tcW w:w="537" w:type="dxa"/>
          </w:tcPr>
          <w:p w:rsidR="003E72FE" w:rsidRDefault="003E72FE">
            <w:pPr>
              <w:pStyle w:val="Table2"/>
              <w:spacing w:line="276" w:lineRule="auto"/>
            </w:pPr>
          </w:p>
        </w:tc>
        <w:tc>
          <w:tcPr>
            <w:tcW w:w="1928" w:type="dxa"/>
          </w:tcPr>
          <w:p w:rsidR="003E72FE" w:rsidRDefault="003E72FE">
            <w:pPr>
              <w:pStyle w:val="Table2"/>
              <w:spacing w:line="276" w:lineRule="auto"/>
            </w:pPr>
          </w:p>
        </w:tc>
      </w:tr>
      <w:tr w:rsidR="003E72FE" w:rsidTr="003E72FE">
        <w:trPr>
          <w:cantSplit/>
        </w:trPr>
        <w:tc>
          <w:tcPr>
            <w:tcW w:w="648" w:type="dxa"/>
          </w:tcPr>
          <w:p w:rsidR="003E72FE" w:rsidRDefault="003E72FE">
            <w:pPr>
              <w:pStyle w:val="Table2"/>
              <w:spacing w:line="276" w:lineRule="auto"/>
            </w:pPr>
          </w:p>
        </w:tc>
        <w:tc>
          <w:tcPr>
            <w:tcW w:w="1800" w:type="dxa"/>
          </w:tcPr>
          <w:p w:rsidR="003E72FE" w:rsidRDefault="003E72FE">
            <w:pPr>
              <w:pStyle w:val="Table2"/>
              <w:spacing w:line="276" w:lineRule="auto"/>
            </w:pPr>
          </w:p>
        </w:tc>
        <w:tc>
          <w:tcPr>
            <w:tcW w:w="2905" w:type="dxa"/>
            <w:hideMark/>
          </w:tcPr>
          <w:p w:rsidR="003E72FE" w:rsidRDefault="003E72FE">
            <w:pPr>
              <w:pStyle w:val="Table1"/>
              <w:spacing w:line="276" w:lineRule="auto"/>
              <w:rPr>
                <w:i/>
                <w:iCs/>
              </w:rPr>
            </w:pPr>
            <w:r>
              <w:rPr>
                <w:i/>
                <w:iCs/>
              </w:rPr>
              <w:t>Colours in Schedule 3 may be present in processed foods as a result of use in accordance with GMP except where expressly prohibited in this schedule.</w:t>
            </w:r>
          </w:p>
        </w:tc>
        <w:tc>
          <w:tcPr>
            <w:tcW w:w="709" w:type="dxa"/>
          </w:tcPr>
          <w:p w:rsidR="003E72FE" w:rsidRDefault="003E72FE">
            <w:pPr>
              <w:pStyle w:val="Table2"/>
              <w:spacing w:line="276" w:lineRule="auto"/>
            </w:pPr>
          </w:p>
        </w:tc>
        <w:tc>
          <w:tcPr>
            <w:tcW w:w="709" w:type="dxa"/>
          </w:tcPr>
          <w:p w:rsidR="003E72FE" w:rsidRDefault="003E72FE">
            <w:pPr>
              <w:pStyle w:val="Table2"/>
              <w:spacing w:line="276" w:lineRule="auto"/>
            </w:pPr>
          </w:p>
        </w:tc>
        <w:tc>
          <w:tcPr>
            <w:tcW w:w="537" w:type="dxa"/>
          </w:tcPr>
          <w:p w:rsidR="003E72FE" w:rsidRDefault="003E72FE">
            <w:pPr>
              <w:pStyle w:val="Table2"/>
              <w:spacing w:line="276" w:lineRule="auto"/>
            </w:pPr>
          </w:p>
        </w:tc>
        <w:tc>
          <w:tcPr>
            <w:tcW w:w="1928" w:type="dxa"/>
          </w:tcPr>
          <w:p w:rsidR="003E72FE" w:rsidRDefault="003E72FE">
            <w:pPr>
              <w:pStyle w:val="Table2"/>
              <w:spacing w:line="276" w:lineRule="auto"/>
            </w:pPr>
          </w:p>
        </w:tc>
      </w:tr>
      <w:tr w:rsidR="003E72FE" w:rsidTr="003E72FE">
        <w:trPr>
          <w:cantSplit/>
        </w:trPr>
        <w:tc>
          <w:tcPr>
            <w:tcW w:w="648" w:type="dxa"/>
          </w:tcPr>
          <w:p w:rsidR="003E72FE" w:rsidRDefault="003E72FE">
            <w:pPr>
              <w:pStyle w:val="Table2"/>
              <w:spacing w:line="276" w:lineRule="auto"/>
            </w:pPr>
          </w:p>
        </w:tc>
        <w:tc>
          <w:tcPr>
            <w:tcW w:w="1800" w:type="dxa"/>
          </w:tcPr>
          <w:p w:rsidR="003E72FE" w:rsidRDefault="003E72FE">
            <w:pPr>
              <w:pStyle w:val="Table2"/>
              <w:spacing w:line="276" w:lineRule="auto"/>
              <w:rPr>
                <w:b/>
              </w:rPr>
            </w:pPr>
          </w:p>
        </w:tc>
        <w:tc>
          <w:tcPr>
            <w:tcW w:w="2905" w:type="dxa"/>
            <w:hideMark/>
          </w:tcPr>
          <w:p w:rsidR="003E72FE" w:rsidRDefault="003E72FE">
            <w:pPr>
              <w:pStyle w:val="Table1"/>
              <w:spacing w:line="276" w:lineRule="auto"/>
              <w:rPr>
                <w:i/>
                <w:iCs/>
              </w:rPr>
            </w:pPr>
            <w:r>
              <w:rPr>
                <w:i/>
                <w:iCs/>
              </w:rPr>
              <w:t>Colours in Schedule 4 may be present in processed foods to a maximum level of 290 mg/kg in foods other than beverages and 70 mg/L in beverages except where expressly prohibited in this schedule</w:t>
            </w:r>
          </w:p>
        </w:tc>
        <w:tc>
          <w:tcPr>
            <w:tcW w:w="709" w:type="dxa"/>
          </w:tcPr>
          <w:p w:rsidR="003E72FE" w:rsidRDefault="003E72FE">
            <w:pPr>
              <w:pStyle w:val="Table2"/>
              <w:spacing w:line="276" w:lineRule="auto"/>
            </w:pPr>
          </w:p>
        </w:tc>
        <w:tc>
          <w:tcPr>
            <w:tcW w:w="709" w:type="dxa"/>
          </w:tcPr>
          <w:p w:rsidR="003E72FE" w:rsidRDefault="003E72FE">
            <w:pPr>
              <w:pStyle w:val="Table2"/>
              <w:spacing w:line="276" w:lineRule="auto"/>
            </w:pPr>
          </w:p>
        </w:tc>
        <w:tc>
          <w:tcPr>
            <w:tcW w:w="537" w:type="dxa"/>
          </w:tcPr>
          <w:p w:rsidR="003E72FE" w:rsidRDefault="003E72FE">
            <w:pPr>
              <w:pStyle w:val="Table2"/>
              <w:spacing w:line="276" w:lineRule="auto"/>
            </w:pPr>
          </w:p>
        </w:tc>
        <w:tc>
          <w:tcPr>
            <w:tcW w:w="1928" w:type="dxa"/>
          </w:tcPr>
          <w:p w:rsidR="003E72FE" w:rsidRDefault="003E72FE">
            <w:pPr>
              <w:pStyle w:val="Table2"/>
              <w:spacing w:line="276" w:lineRule="auto"/>
            </w:pPr>
          </w:p>
        </w:tc>
      </w:tr>
      <w:tr w:rsidR="003E72FE" w:rsidTr="003E72FE">
        <w:trPr>
          <w:cantSplit/>
        </w:trPr>
        <w:tc>
          <w:tcPr>
            <w:tcW w:w="648" w:type="dxa"/>
          </w:tcPr>
          <w:p w:rsidR="003E72FE" w:rsidRDefault="003E72FE">
            <w:pPr>
              <w:pStyle w:val="Table2"/>
              <w:spacing w:line="276" w:lineRule="auto"/>
            </w:pPr>
          </w:p>
        </w:tc>
        <w:tc>
          <w:tcPr>
            <w:tcW w:w="1800" w:type="dxa"/>
          </w:tcPr>
          <w:p w:rsidR="003E72FE" w:rsidRDefault="003E72FE">
            <w:pPr>
              <w:pStyle w:val="Table2"/>
              <w:spacing w:line="276" w:lineRule="auto"/>
            </w:pPr>
          </w:p>
        </w:tc>
        <w:tc>
          <w:tcPr>
            <w:tcW w:w="2905" w:type="dxa"/>
            <w:hideMark/>
          </w:tcPr>
          <w:p w:rsidR="003E72FE" w:rsidRDefault="003E72FE">
            <w:pPr>
              <w:pStyle w:val="Table1"/>
              <w:spacing w:line="276" w:lineRule="auto"/>
              <w:rPr>
                <w:i/>
              </w:rPr>
            </w:pPr>
            <w:r>
              <w:rPr>
                <w:i/>
              </w:rPr>
              <w:t>For an explanation and examples of the different food additive classifications in Schedule 1, please refer to the user guide to Standard 1.3.1 - Food Additives.</w:t>
            </w:r>
          </w:p>
          <w:p w:rsidR="003E72FE" w:rsidRDefault="003E72FE">
            <w:pPr>
              <w:pStyle w:val="Table1"/>
              <w:spacing w:line="276" w:lineRule="auto"/>
            </w:pPr>
            <w:r>
              <w:rPr>
                <w:i/>
              </w:rPr>
              <w:t>The asterisk (*) in Schedule 1 indicates that additives in Schedules 2, 3 and 4 are permitted.</w:t>
            </w:r>
          </w:p>
        </w:tc>
        <w:tc>
          <w:tcPr>
            <w:tcW w:w="709" w:type="dxa"/>
          </w:tcPr>
          <w:p w:rsidR="003E72FE" w:rsidRDefault="003E72FE">
            <w:pPr>
              <w:pStyle w:val="Table2"/>
              <w:spacing w:line="276" w:lineRule="auto"/>
            </w:pPr>
          </w:p>
        </w:tc>
        <w:tc>
          <w:tcPr>
            <w:tcW w:w="709" w:type="dxa"/>
          </w:tcPr>
          <w:p w:rsidR="003E72FE" w:rsidRDefault="003E72FE">
            <w:pPr>
              <w:pStyle w:val="Table2"/>
              <w:spacing w:line="276" w:lineRule="auto"/>
            </w:pPr>
          </w:p>
        </w:tc>
        <w:tc>
          <w:tcPr>
            <w:tcW w:w="537" w:type="dxa"/>
          </w:tcPr>
          <w:p w:rsidR="003E72FE" w:rsidRDefault="003E72FE">
            <w:pPr>
              <w:pStyle w:val="Table2"/>
              <w:spacing w:line="276" w:lineRule="auto"/>
            </w:pPr>
          </w:p>
        </w:tc>
        <w:tc>
          <w:tcPr>
            <w:tcW w:w="1928" w:type="dxa"/>
          </w:tcPr>
          <w:p w:rsidR="003E72FE" w:rsidRDefault="003E72FE">
            <w:pPr>
              <w:pStyle w:val="Table2"/>
              <w:spacing w:line="276" w:lineRule="auto"/>
            </w:pPr>
          </w:p>
        </w:tc>
      </w:tr>
    </w:tbl>
    <w:p w:rsidR="003E72FE" w:rsidRPr="003E72FE" w:rsidRDefault="003E72FE" w:rsidP="003E72FE">
      <w:pPr>
        <w:rPr>
          <w:sz w:val="20"/>
          <w:szCs w:val="20"/>
        </w:rPr>
      </w:pPr>
    </w:p>
    <w:p w:rsidR="003E72FE" w:rsidRPr="003E72FE" w:rsidRDefault="003E72FE" w:rsidP="003E72FE">
      <w:pPr>
        <w:pStyle w:val="Clause"/>
        <w:rPr>
          <w:i/>
          <w:lang w:bidi="ar-SA"/>
        </w:rPr>
      </w:pPr>
      <w:r w:rsidRPr="003E72FE">
        <w:t>[14.6]</w:t>
      </w:r>
      <w:r w:rsidRPr="003E72FE">
        <w:tab/>
      </w:r>
      <w:r w:rsidRPr="003E72FE">
        <w:rPr>
          <w:i/>
        </w:rPr>
        <w:t xml:space="preserve">omitting from </w:t>
      </w:r>
      <w:r w:rsidRPr="003E72FE">
        <w:t>Schedule 1</w:t>
      </w:r>
      <w:r w:rsidRPr="003E72FE">
        <w:rPr>
          <w:i/>
        </w:rPr>
        <w:t xml:space="preserve"> item </w:t>
      </w:r>
      <w:r w:rsidRPr="003E72FE">
        <w:t xml:space="preserve">1.1.3 Liquid milk to which phytosterols, phytostanols or their esters have been added, </w:t>
      </w:r>
      <w:r w:rsidRPr="003E72FE">
        <w:rPr>
          <w:i/>
        </w:rPr>
        <w:t xml:space="preserve">substituting – </w:t>
      </w:r>
    </w:p>
    <w:p w:rsidR="003E72FE" w:rsidRPr="003E72FE" w:rsidRDefault="003E72FE" w:rsidP="003E72FE">
      <w:pPr>
        <w:rPr>
          <w:i/>
          <w:sz w:val="20"/>
          <w:szCs w:val="20"/>
        </w:rPr>
      </w:pPr>
    </w:p>
    <w:tbl>
      <w:tblPr>
        <w:tblW w:w="9236" w:type="dxa"/>
        <w:tblLook w:val="04A0" w:firstRow="1" w:lastRow="0" w:firstColumn="1" w:lastColumn="0" w:noHBand="0" w:noVBand="1"/>
      </w:tblPr>
      <w:tblGrid>
        <w:gridCol w:w="646"/>
        <w:gridCol w:w="1794"/>
        <w:gridCol w:w="2874"/>
        <w:gridCol w:w="720"/>
        <w:gridCol w:w="720"/>
        <w:gridCol w:w="550"/>
        <w:gridCol w:w="1932"/>
      </w:tblGrid>
      <w:tr w:rsidR="003E72FE" w:rsidTr="003E72FE">
        <w:tc>
          <w:tcPr>
            <w:tcW w:w="9236" w:type="dxa"/>
            <w:gridSpan w:val="7"/>
            <w:hideMark/>
          </w:tcPr>
          <w:p w:rsidR="003E72FE" w:rsidRDefault="003E72FE">
            <w:pPr>
              <w:pStyle w:val="Style131SubitemheadingLinespacingMultiple115li"/>
              <w:rPr>
                <w:lang w:bidi="en-US"/>
              </w:rPr>
            </w:pPr>
            <w:r>
              <w:t>1.1.3</w:t>
            </w:r>
            <w:r>
              <w:tab/>
              <w:t>Liquid milk to which phytosterols, phytostanols or their esters have been added</w:t>
            </w:r>
          </w:p>
        </w:tc>
      </w:tr>
      <w:tr w:rsidR="003E72FE" w:rsidTr="003E72FE">
        <w:tc>
          <w:tcPr>
            <w:tcW w:w="646" w:type="dxa"/>
          </w:tcPr>
          <w:p w:rsidR="003E72FE" w:rsidRDefault="003E72FE">
            <w:pPr>
              <w:pStyle w:val="Table2"/>
              <w:spacing w:line="276" w:lineRule="auto"/>
            </w:pPr>
          </w:p>
        </w:tc>
        <w:tc>
          <w:tcPr>
            <w:tcW w:w="1794" w:type="dxa"/>
            <w:hideMark/>
          </w:tcPr>
          <w:p w:rsidR="003E72FE" w:rsidRDefault="003E72FE">
            <w:pPr>
              <w:pStyle w:val="Table2"/>
              <w:tabs>
                <w:tab w:val="left" w:pos="2506"/>
              </w:tabs>
              <w:spacing w:line="276" w:lineRule="auto"/>
            </w:pPr>
            <w:r>
              <w:t>401</w:t>
            </w:r>
          </w:p>
        </w:tc>
        <w:tc>
          <w:tcPr>
            <w:tcW w:w="2874" w:type="dxa"/>
            <w:hideMark/>
          </w:tcPr>
          <w:p w:rsidR="003E72FE" w:rsidRDefault="003E72FE">
            <w:pPr>
              <w:pStyle w:val="Table2"/>
              <w:tabs>
                <w:tab w:val="left" w:pos="2506"/>
              </w:tabs>
              <w:spacing w:line="276" w:lineRule="auto"/>
            </w:pPr>
            <w:r>
              <w:t xml:space="preserve">Sodium alginate </w:t>
            </w:r>
          </w:p>
        </w:tc>
        <w:tc>
          <w:tcPr>
            <w:tcW w:w="720" w:type="dxa"/>
            <w:hideMark/>
          </w:tcPr>
          <w:p w:rsidR="003E72FE" w:rsidRDefault="003E72FE">
            <w:pPr>
              <w:pStyle w:val="Table2"/>
              <w:tabs>
                <w:tab w:val="left" w:pos="2506"/>
              </w:tabs>
              <w:spacing w:line="276" w:lineRule="auto"/>
            </w:pPr>
            <w:r>
              <w:t>2000</w:t>
            </w:r>
          </w:p>
        </w:tc>
        <w:tc>
          <w:tcPr>
            <w:tcW w:w="720" w:type="dxa"/>
            <w:hideMark/>
          </w:tcPr>
          <w:p w:rsidR="003E72FE" w:rsidRDefault="003E72FE">
            <w:pPr>
              <w:pStyle w:val="Table2"/>
              <w:tabs>
                <w:tab w:val="left" w:pos="2506"/>
              </w:tabs>
              <w:spacing w:line="276" w:lineRule="auto"/>
            </w:pPr>
            <w:r>
              <w:t>mg/kg</w:t>
            </w:r>
          </w:p>
        </w:tc>
        <w:tc>
          <w:tcPr>
            <w:tcW w:w="550" w:type="dxa"/>
          </w:tcPr>
          <w:p w:rsidR="003E72FE" w:rsidRDefault="003E72FE">
            <w:pPr>
              <w:pStyle w:val="Table2"/>
              <w:tabs>
                <w:tab w:val="left" w:pos="2506"/>
              </w:tabs>
              <w:spacing w:line="276" w:lineRule="auto"/>
            </w:pPr>
          </w:p>
        </w:tc>
        <w:tc>
          <w:tcPr>
            <w:tcW w:w="1932" w:type="dxa"/>
          </w:tcPr>
          <w:p w:rsidR="003E72FE" w:rsidRDefault="003E72FE">
            <w:pPr>
              <w:pStyle w:val="ClauseHeading0"/>
              <w:tabs>
                <w:tab w:val="left" w:pos="2506"/>
              </w:tabs>
              <w:spacing w:line="276" w:lineRule="auto"/>
              <w:rPr>
                <w:sz w:val="18"/>
              </w:rPr>
            </w:pPr>
          </w:p>
        </w:tc>
      </w:tr>
      <w:tr w:rsidR="003E72FE" w:rsidTr="003E72FE">
        <w:tc>
          <w:tcPr>
            <w:tcW w:w="646" w:type="dxa"/>
          </w:tcPr>
          <w:p w:rsidR="003E72FE" w:rsidRDefault="003E72FE">
            <w:pPr>
              <w:pStyle w:val="Table2"/>
              <w:spacing w:line="276" w:lineRule="auto"/>
            </w:pPr>
          </w:p>
        </w:tc>
        <w:tc>
          <w:tcPr>
            <w:tcW w:w="1794" w:type="dxa"/>
            <w:hideMark/>
          </w:tcPr>
          <w:p w:rsidR="003E72FE" w:rsidRDefault="003E72FE">
            <w:pPr>
              <w:pStyle w:val="Table2"/>
              <w:tabs>
                <w:tab w:val="left" w:pos="2506"/>
              </w:tabs>
              <w:spacing w:line="276" w:lineRule="auto"/>
            </w:pPr>
            <w:r>
              <w:t>407</w:t>
            </w:r>
          </w:p>
        </w:tc>
        <w:tc>
          <w:tcPr>
            <w:tcW w:w="2874" w:type="dxa"/>
            <w:hideMark/>
          </w:tcPr>
          <w:p w:rsidR="003E72FE" w:rsidRDefault="003E72FE">
            <w:pPr>
              <w:pStyle w:val="Table2"/>
              <w:tabs>
                <w:tab w:val="left" w:pos="2506"/>
              </w:tabs>
              <w:spacing w:line="276" w:lineRule="auto"/>
            </w:pPr>
            <w:r>
              <w:t>Carrageenan</w:t>
            </w:r>
          </w:p>
        </w:tc>
        <w:tc>
          <w:tcPr>
            <w:tcW w:w="720" w:type="dxa"/>
            <w:hideMark/>
          </w:tcPr>
          <w:p w:rsidR="003E72FE" w:rsidRDefault="003E72FE">
            <w:pPr>
              <w:pStyle w:val="Table2"/>
              <w:tabs>
                <w:tab w:val="left" w:pos="2506"/>
              </w:tabs>
              <w:spacing w:line="276" w:lineRule="auto"/>
            </w:pPr>
            <w:r>
              <w:t>2000</w:t>
            </w:r>
          </w:p>
        </w:tc>
        <w:tc>
          <w:tcPr>
            <w:tcW w:w="720" w:type="dxa"/>
            <w:hideMark/>
          </w:tcPr>
          <w:p w:rsidR="003E72FE" w:rsidRDefault="003E72FE">
            <w:pPr>
              <w:pStyle w:val="Table2"/>
              <w:tabs>
                <w:tab w:val="left" w:pos="2506"/>
              </w:tabs>
              <w:spacing w:line="276" w:lineRule="auto"/>
            </w:pPr>
            <w:r>
              <w:t>mg/kg</w:t>
            </w:r>
          </w:p>
        </w:tc>
        <w:tc>
          <w:tcPr>
            <w:tcW w:w="550" w:type="dxa"/>
          </w:tcPr>
          <w:p w:rsidR="003E72FE" w:rsidRDefault="003E72FE">
            <w:pPr>
              <w:pStyle w:val="Table2"/>
              <w:tabs>
                <w:tab w:val="left" w:pos="2506"/>
              </w:tabs>
              <w:spacing w:line="276" w:lineRule="auto"/>
            </w:pPr>
          </w:p>
        </w:tc>
        <w:tc>
          <w:tcPr>
            <w:tcW w:w="1932" w:type="dxa"/>
          </w:tcPr>
          <w:p w:rsidR="003E72FE" w:rsidRDefault="003E72FE">
            <w:pPr>
              <w:pStyle w:val="ClauseHeading0"/>
              <w:tabs>
                <w:tab w:val="left" w:pos="2506"/>
              </w:tabs>
              <w:spacing w:line="276" w:lineRule="auto"/>
              <w:rPr>
                <w:sz w:val="18"/>
              </w:rPr>
            </w:pPr>
          </w:p>
        </w:tc>
      </w:tr>
      <w:tr w:rsidR="003E72FE" w:rsidTr="003E72FE">
        <w:tc>
          <w:tcPr>
            <w:tcW w:w="646" w:type="dxa"/>
          </w:tcPr>
          <w:p w:rsidR="003E72FE" w:rsidRDefault="003E72FE">
            <w:pPr>
              <w:pStyle w:val="Table2"/>
              <w:spacing w:line="276" w:lineRule="auto"/>
            </w:pPr>
          </w:p>
        </w:tc>
        <w:tc>
          <w:tcPr>
            <w:tcW w:w="1794" w:type="dxa"/>
            <w:hideMark/>
          </w:tcPr>
          <w:p w:rsidR="003E72FE" w:rsidRDefault="003E72FE">
            <w:pPr>
              <w:pStyle w:val="Table2"/>
              <w:tabs>
                <w:tab w:val="left" w:pos="2506"/>
              </w:tabs>
              <w:spacing w:line="276" w:lineRule="auto"/>
            </w:pPr>
            <w:r>
              <w:t xml:space="preserve">412  </w:t>
            </w:r>
          </w:p>
        </w:tc>
        <w:tc>
          <w:tcPr>
            <w:tcW w:w="2874" w:type="dxa"/>
            <w:hideMark/>
          </w:tcPr>
          <w:p w:rsidR="003E72FE" w:rsidRDefault="003E72FE">
            <w:pPr>
              <w:pStyle w:val="Table2"/>
              <w:tabs>
                <w:tab w:val="left" w:pos="2506"/>
              </w:tabs>
              <w:spacing w:line="276" w:lineRule="auto"/>
            </w:pPr>
            <w:r>
              <w:t>Guar gum</w:t>
            </w:r>
          </w:p>
        </w:tc>
        <w:tc>
          <w:tcPr>
            <w:tcW w:w="720" w:type="dxa"/>
            <w:hideMark/>
          </w:tcPr>
          <w:p w:rsidR="003E72FE" w:rsidRDefault="003E72FE">
            <w:pPr>
              <w:pStyle w:val="Table2"/>
              <w:tabs>
                <w:tab w:val="left" w:pos="2506"/>
              </w:tabs>
              <w:spacing w:line="276" w:lineRule="auto"/>
            </w:pPr>
            <w:r>
              <w:t>2000</w:t>
            </w:r>
          </w:p>
        </w:tc>
        <w:tc>
          <w:tcPr>
            <w:tcW w:w="720" w:type="dxa"/>
            <w:hideMark/>
          </w:tcPr>
          <w:p w:rsidR="003E72FE" w:rsidRDefault="003E72FE">
            <w:pPr>
              <w:pStyle w:val="Table2"/>
              <w:tabs>
                <w:tab w:val="left" w:pos="2506"/>
              </w:tabs>
              <w:spacing w:line="276" w:lineRule="auto"/>
            </w:pPr>
            <w:r>
              <w:t>mg/kg</w:t>
            </w:r>
          </w:p>
        </w:tc>
        <w:tc>
          <w:tcPr>
            <w:tcW w:w="550" w:type="dxa"/>
          </w:tcPr>
          <w:p w:rsidR="003E72FE" w:rsidRDefault="003E72FE">
            <w:pPr>
              <w:pStyle w:val="Table2"/>
              <w:tabs>
                <w:tab w:val="left" w:pos="2506"/>
              </w:tabs>
              <w:spacing w:line="276" w:lineRule="auto"/>
            </w:pPr>
          </w:p>
        </w:tc>
        <w:tc>
          <w:tcPr>
            <w:tcW w:w="1932" w:type="dxa"/>
          </w:tcPr>
          <w:p w:rsidR="003E72FE" w:rsidRDefault="003E72FE">
            <w:pPr>
              <w:pStyle w:val="ClauseHeading0"/>
              <w:tabs>
                <w:tab w:val="left" w:pos="2506"/>
              </w:tabs>
              <w:spacing w:line="276" w:lineRule="auto"/>
              <w:rPr>
                <w:sz w:val="18"/>
              </w:rPr>
            </w:pPr>
          </w:p>
        </w:tc>
      </w:tr>
      <w:tr w:rsidR="003E72FE" w:rsidTr="003E72FE">
        <w:tc>
          <w:tcPr>
            <w:tcW w:w="646" w:type="dxa"/>
          </w:tcPr>
          <w:p w:rsidR="003E72FE" w:rsidRDefault="003E72FE">
            <w:pPr>
              <w:pStyle w:val="Table2"/>
              <w:spacing w:line="276" w:lineRule="auto"/>
            </w:pPr>
          </w:p>
        </w:tc>
        <w:tc>
          <w:tcPr>
            <w:tcW w:w="1794" w:type="dxa"/>
            <w:hideMark/>
          </w:tcPr>
          <w:p w:rsidR="003E72FE" w:rsidRDefault="003E72FE">
            <w:pPr>
              <w:pStyle w:val="Table2"/>
              <w:tabs>
                <w:tab w:val="left" w:pos="2506"/>
              </w:tabs>
              <w:spacing w:line="276" w:lineRule="auto"/>
            </w:pPr>
            <w:r>
              <w:t>471</w:t>
            </w:r>
          </w:p>
        </w:tc>
        <w:tc>
          <w:tcPr>
            <w:tcW w:w="2874" w:type="dxa"/>
            <w:hideMark/>
          </w:tcPr>
          <w:p w:rsidR="003E72FE" w:rsidRDefault="003E72FE">
            <w:pPr>
              <w:pStyle w:val="Table2"/>
              <w:tabs>
                <w:tab w:val="left" w:pos="2506"/>
              </w:tabs>
              <w:spacing w:line="276" w:lineRule="auto"/>
            </w:pPr>
            <w:r>
              <w:t>Mono- and diglycerides of fatty acids</w:t>
            </w:r>
          </w:p>
        </w:tc>
        <w:tc>
          <w:tcPr>
            <w:tcW w:w="720" w:type="dxa"/>
            <w:hideMark/>
          </w:tcPr>
          <w:p w:rsidR="003E72FE" w:rsidRDefault="003E72FE">
            <w:pPr>
              <w:pStyle w:val="Table2"/>
              <w:tabs>
                <w:tab w:val="left" w:pos="2506"/>
              </w:tabs>
              <w:spacing w:line="276" w:lineRule="auto"/>
            </w:pPr>
            <w:r>
              <w:t>2000</w:t>
            </w:r>
          </w:p>
        </w:tc>
        <w:tc>
          <w:tcPr>
            <w:tcW w:w="720" w:type="dxa"/>
            <w:hideMark/>
          </w:tcPr>
          <w:p w:rsidR="003E72FE" w:rsidRDefault="003E72FE">
            <w:pPr>
              <w:pStyle w:val="Table2"/>
              <w:tabs>
                <w:tab w:val="left" w:pos="2506"/>
              </w:tabs>
              <w:spacing w:line="276" w:lineRule="auto"/>
            </w:pPr>
            <w:r>
              <w:t>mg/kg</w:t>
            </w:r>
          </w:p>
        </w:tc>
        <w:tc>
          <w:tcPr>
            <w:tcW w:w="550" w:type="dxa"/>
          </w:tcPr>
          <w:p w:rsidR="003E72FE" w:rsidRDefault="003E72FE">
            <w:pPr>
              <w:pStyle w:val="Table2"/>
              <w:tabs>
                <w:tab w:val="left" w:pos="2506"/>
              </w:tabs>
              <w:spacing w:line="276" w:lineRule="auto"/>
            </w:pPr>
          </w:p>
        </w:tc>
        <w:tc>
          <w:tcPr>
            <w:tcW w:w="1932" w:type="dxa"/>
          </w:tcPr>
          <w:p w:rsidR="003E72FE" w:rsidRDefault="003E72FE">
            <w:pPr>
              <w:pStyle w:val="ClauseHeading0"/>
              <w:tabs>
                <w:tab w:val="left" w:pos="2506"/>
              </w:tabs>
              <w:spacing w:line="276" w:lineRule="auto"/>
              <w:rPr>
                <w:sz w:val="18"/>
              </w:rPr>
            </w:pPr>
          </w:p>
        </w:tc>
      </w:tr>
      <w:tr w:rsidR="003E72FE" w:rsidTr="003E72FE">
        <w:tc>
          <w:tcPr>
            <w:tcW w:w="646" w:type="dxa"/>
          </w:tcPr>
          <w:p w:rsidR="003E72FE" w:rsidRDefault="003E72FE">
            <w:pPr>
              <w:pStyle w:val="Table2"/>
              <w:spacing w:line="276" w:lineRule="auto"/>
            </w:pPr>
          </w:p>
        </w:tc>
        <w:tc>
          <w:tcPr>
            <w:tcW w:w="1794" w:type="dxa"/>
            <w:hideMark/>
          </w:tcPr>
          <w:p w:rsidR="003E72FE" w:rsidRDefault="003E72FE">
            <w:pPr>
              <w:pStyle w:val="Table2"/>
              <w:tabs>
                <w:tab w:val="left" w:pos="2506"/>
              </w:tabs>
              <w:spacing w:line="276" w:lineRule="auto"/>
            </w:pPr>
            <w:r>
              <w:t>460</w:t>
            </w:r>
          </w:p>
        </w:tc>
        <w:tc>
          <w:tcPr>
            <w:tcW w:w="2874" w:type="dxa"/>
            <w:hideMark/>
          </w:tcPr>
          <w:p w:rsidR="003E72FE" w:rsidRDefault="003E72FE">
            <w:pPr>
              <w:pStyle w:val="Table2"/>
              <w:tabs>
                <w:tab w:val="left" w:pos="2506"/>
              </w:tabs>
              <w:spacing w:line="276" w:lineRule="auto"/>
            </w:pPr>
            <w:r>
              <w:t>Microcrystalline cellulose</w:t>
            </w:r>
          </w:p>
        </w:tc>
        <w:tc>
          <w:tcPr>
            <w:tcW w:w="720" w:type="dxa"/>
            <w:hideMark/>
          </w:tcPr>
          <w:p w:rsidR="003E72FE" w:rsidRDefault="003E72FE">
            <w:pPr>
              <w:pStyle w:val="Table2"/>
              <w:tabs>
                <w:tab w:val="left" w:pos="2506"/>
              </w:tabs>
              <w:spacing w:line="276" w:lineRule="auto"/>
              <w:rPr>
                <w:bCs w:val="0"/>
              </w:rPr>
            </w:pPr>
            <w:r>
              <w:rPr>
                <w:bCs w:val="0"/>
              </w:rPr>
              <w:t>5000</w:t>
            </w:r>
          </w:p>
        </w:tc>
        <w:tc>
          <w:tcPr>
            <w:tcW w:w="720" w:type="dxa"/>
            <w:hideMark/>
          </w:tcPr>
          <w:p w:rsidR="003E72FE" w:rsidRDefault="003E72FE">
            <w:pPr>
              <w:pStyle w:val="Table2"/>
              <w:tabs>
                <w:tab w:val="left" w:pos="2506"/>
              </w:tabs>
              <w:spacing w:line="276" w:lineRule="auto"/>
              <w:rPr>
                <w:bCs w:val="0"/>
              </w:rPr>
            </w:pPr>
            <w:r>
              <w:rPr>
                <w:bCs w:val="0"/>
              </w:rPr>
              <w:t>mg/kg</w:t>
            </w:r>
          </w:p>
        </w:tc>
        <w:tc>
          <w:tcPr>
            <w:tcW w:w="550" w:type="dxa"/>
          </w:tcPr>
          <w:p w:rsidR="003E72FE" w:rsidRDefault="003E72FE">
            <w:pPr>
              <w:pStyle w:val="Table2"/>
              <w:tabs>
                <w:tab w:val="left" w:pos="2506"/>
              </w:tabs>
              <w:spacing w:line="276" w:lineRule="auto"/>
            </w:pPr>
          </w:p>
        </w:tc>
        <w:tc>
          <w:tcPr>
            <w:tcW w:w="1932" w:type="dxa"/>
          </w:tcPr>
          <w:p w:rsidR="003E72FE" w:rsidRDefault="003E72FE">
            <w:pPr>
              <w:pStyle w:val="ClauseHeading0"/>
              <w:tabs>
                <w:tab w:val="left" w:pos="2506"/>
              </w:tabs>
              <w:spacing w:line="276" w:lineRule="auto"/>
              <w:rPr>
                <w:sz w:val="18"/>
              </w:rPr>
            </w:pPr>
          </w:p>
        </w:tc>
      </w:tr>
    </w:tbl>
    <w:p w:rsidR="003E72FE" w:rsidRPr="003E72FE" w:rsidRDefault="003E72FE" w:rsidP="003E72FE">
      <w:pPr>
        <w:pStyle w:val="Clause"/>
      </w:pPr>
    </w:p>
    <w:p w:rsidR="003E72FE" w:rsidRPr="003E72FE" w:rsidRDefault="003E72FE" w:rsidP="003E72FE">
      <w:pPr>
        <w:pStyle w:val="Clause"/>
        <w:rPr>
          <w:i/>
          <w:lang w:bidi="ar-SA"/>
        </w:rPr>
      </w:pPr>
      <w:r w:rsidRPr="003E72FE">
        <w:t>[14.7]</w:t>
      </w:r>
      <w:r w:rsidRPr="003E72FE">
        <w:tab/>
      </w:r>
      <w:r w:rsidRPr="003E72FE">
        <w:rPr>
          <w:i/>
        </w:rPr>
        <w:t xml:space="preserve">omitting from </w:t>
      </w:r>
      <w:r w:rsidRPr="003E72FE">
        <w:t>Schedule 1</w:t>
      </w:r>
      <w:r w:rsidRPr="003E72FE">
        <w:rPr>
          <w:i/>
        </w:rPr>
        <w:t xml:space="preserve"> from the heading for item </w:t>
      </w:r>
      <w:r w:rsidRPr="003E72FE">
        <w:t>1.4.1</w:t>
      </w:r>
      <w:r w:rsidRPr="003E72FE">
        <w:rPr>
          <w:i/>
        </w:rPr>
        <w:t xml:space="preserve"> </w:t>
      </w:r>
      <w:r w:rsidRPr="003E72FE">
        <w:t xml:space="preserve">Cream, reduced cream and light cream) </w:t>
      </w:r>
      <w:r w:rsidRPr="003E72FE">
        <w:rPr>
          <w:i/>
        </w:rPr>
        <w:t xml:space="preserve">– </w:t>
      </w:r>
    </w:p>
    <w:p w:rsidR="003E72FE" w:rsidRPr="003E72FE" w:rsidRDefault="003E72FE" w:rsidP="003E72FE">
      <w:pPr>
        <w:rPr>
          <w:i/>
          <w:sz w:val="20"/>
          <w:szCs w:val="20"/>
        </w:rPr>
      </w:pPr>
    </w:p>
    <w:p w:rsidR="003E72FE" w:rsidRDefault="003E72FE" w:rsidP="003E72FE">
      <w:pPr>
        <w:pStyle w:val="131Subitemheading"/>
      </w:pPr>
      <w:r>
        <w:t>light cream)</w:t>
      </w:r>
    </w:p>
    <w:p w:rsidR="003E72FE" w:rsidRDefault="003E72FE" w:rsidP="003E72FE">
      <w:pPr>
        <w:pStyle w:val="Clause"/>
        <w:rPr>
          <w:i/>
          <w:iCs/>
        </w:rPr>
      </w:pPr>
      <w:r>
        <w:rPr>
          <w:i/>
          <w:iCs/>
        </w:rPr>
        <w:t xml:space="preserve">substituting – </w:t>
      </w:r>
    </w:p>
    <w:p w:rsidR="003E72FE" w:rsidRDefault="003E72FE" w:rsidP="003E72FE">
      <w:pPr>
        <w:rPr>
          <w:i/>
        </w:rPr>
      </w:pPr>
    </w:p>
    <w:p w:rsidR="003E72FE" w:rsidRDefault="003E72FE" w:rsidP="003E72FE">
      <w:pPr>
        <w:pStyle w:val="131Subitemheading"/>
      </w:pPr>
      <w:r>
        <w:t>light cream</w:t>
      </w:r>
    </w:p>
    <w:p w:rsidR="003E72FE" w:rsidRDefault="003E72FE" w:rsidP="003E72FE">
      <w:pPr>
        <w:pStyle w:val="Clause"/>
      </w:pPr>
    </w:p>
    <w:p w:rsidR="003E72FE" w:rsidRDefault="003E72FE" w:rsidP="003E72FE">
      <w:pPr>
        <w:pStyle w:val="Clause"/>
        <w:rPr>
          <w:i/>
        </w:rPr>
      </w:pPr>
      <w:r>
        <w:t>[14.8]</w:t>
      </w:r>
      <w:r>
        <w:tab/>
      </w:r>
      <w:r>
        <w:rPr>
          <w:i/>
        </w:rPr>
        <w:t xml:space="preserve">omitting from </w:t>
      </w:r>
      <w:r>
        <w:t>Schedule 1</w:t>
      </w:r>
      <w:r>
        <w:rPr>
          <w:i/>
        </w:rPr>
        <w:t xml:space="preserve"> from the heading for item </w:t>
      </w:r>
      <w:r>
        <w:t>1.4.2</w:t>
      </w:r>
      <w:r>
        <w:rPr>
          <w:i/>
        </w:rPr>
        <w:t xml:space="preserve"> </w:t>
      </w:r>
      <w:r>
        <w:t>Cream products (flavoured, whipped, thickened, sour cream etc.)</w:t>
      </w:r>
      <w:r>
        <w:rPr>
          <w:i/>
        </w:rPr>
        <w:t xml:space="preserve"> – </w:t>
      </w:r>
    </w:p>
    <w:p w:rsidR="003E72FE" w:rsidRPr="003E72FE" w:rsidRDefault="003E72FE" w:rsidP="003E72FE">
      <w:pPr>
        <w:rPr>
          <w:i/>
          <w:sz w:val="20"/>
          <w:szCs w:val="20"/>
        </w:rPr>
      </w:pPr>
    </w:p>
    <w:p w:rsidR="003E72FE" w:rsidRDefault="003E72FE" w:rsidP="003E72FE">
      <w:pPr>
        <w:pStyle w:val="131Subitemheading"/>
      </w:pPr>
      <w:r>
        <w:t>sour cream etc.</w:t>
      </w:r>
    </w:p>
    <w:p w:rsidR="003E72FE" w:rsidRDefault="003E72FE" w:rsidP="003E72FE">
      <w:pPr>
        <w:pStyle w:val="Clause"/>
        <w:rPr>
          <w:i/>
          <w:iCs/>
        </w:rPr>
      </w:pPr>
      <w:r>
        <w:rPr>
          <w:i/>
          <w:iCs/>
        </w:rPr>
        <w:t xml:space="preserve">substituting – </w:t>
      </w:r>
    </w:p>
    <w:p w:rsidR="003E72FE" w:rsidRPr="003E72FE" w:rsidRDefault="003E72FE" w:rsidP="003E72FE">
      <w:pPr>
        <w:rPr>
          <w:i/>
          <w:sz w:val="20"/>
          <w:szCs w:val="20"/>
        </w:rPr>
      </w:pPr>
    </w:p>
    <w:p w:rsidR="003E72FE" w:rsidRDefault="003E72FE" w:rsidP="003E72FE">
      <w:pPr>
        <w:pStyle w:val="131Subitemheading"/>
      </w:pPr>
      <w:r>
        <w:t>sour cream etc</w:t>
      </w:r>
    </w:p>
    <w:p w:rsidR="003E72FE" w:rsidRDefault="003E72FE" w:rsidP="003E72FE">
      <w:pPr>
        <w:pStyle w:val="Clause"/>
      </w:pPr>
      <w:r>
        <w:t>[14.9]</w:t>
      </w:r>
      <w:r>
        <w:tab/>
      </w:r>
      <w:r>
        <w:rPr>
          <w:i/>
        </w:rPr>
        <w:t xml:space="preserve">omitting from </w:t>
      </w:r>
      <w:r>
        <w:t xml:space="preserve">Schedule 1 </w:t>
      </w:r>
      <w:r>
        <w:rPr>
          <w:i/>
        </w:rPr>
        <w:t xml:space="preserve">from the heading for item </w:t>
      </w:r>
      <w:r>
        <w:t xml:space="preserve">4.1.3 Peeled and/or cut fruits and vegetables – </w:t>
      </w:r>
    </w:p>
    <w:p w:rsidR="003E72FE" w:rsidRPr="003E72FE" w:rsidRDefault="003E72FE" w:rsidP="003E72FE">
      <w:pPr>
        <w:rPr>
          <w:sz w:val="20"/>
          <w:szCs w:val="20"/>
        </w:rPr>
      </w:pPr>
    </w:p>
    <w:p w:rsidR="003E72FE" w:rsidRDefault="003E72FE" w:rsidP="003E72FE">
      <w:pPr>
        <w:pStyle w:val="131Subitemheading"/>
      </w:pPr>
      <w:r>
        <w:t>Peeled and/or cut fruits and vegetables</w:t>
      </w:r>
    </w:p>
    <w:p w:rsidR="003E72FE" w:rsidRDefault="003E72FE" w:rsidP="003E72FE">
      <w:pPr>
        <w:pStyle w:val="Clause"/>
        <w:rPr>
          <w:i/>
        </w:rPr>
      </w:pPr>
      <w:r>
        <w:rPr>
          <w:i/>
        </w:rPr>
        <w:t xml:space="preserve">substituting – </w:t>
      </w:r>
      <w:r>
        <w:rPr>
          <w:i/>
        </w:rPr>
        <w:br w:type="page"/>
      </w:r>
    </w:p>
    <w:p w:rsidR="003E72FE" w:rsidRDefault="003E72FE" w:rsidP="003E72FE">
      <w:pPr>
        <w:pStyle w:val="131Subitemheading"/>
      </w:pPr>
      <w:r>
        <w:lastRenderedPageBreak/>
        <w:t>Fruits and vegetables that are peeled, cut, or both peeled and cut</w:t>
      </w:r>
    </w:p>
    <w:p w:rsidR="003E72FE" w:rsidRDefault="003E72FE" w:rsidP="003E72FE">
      <w:pPr>
        <w:pStyle w:val="Clause"/>
      </w:pPr>
      <w:r>
        <w:t>[14.10]</w:t>
      </w:r>
      <w:r>
        <w:tab/>
      </w:r>
      <w:r>
        <w:rPr>
          <w:i/>
        </w:rPr>
        <w:t xml:space="preserve">omitting from </w:t>
      </w:r>
      <w:r>
        <w:t>Schedule 1</w:t>
      </w:r>
      <w:r>
        <w:rPr>
          <w:i/>
        </w:rPr>
        <w:t xml:space="preserve"> under item </w:t>
      </w:r>
      <w:r>
        <w:t>6.4</w:t>
      </w:r>
      <w:r>
        <w:rPr>
          <w:i/>
        </w:rPr>
        <w:t xml:space="preserve"> </w:t>
      </w:r>
      <w:r>
        <w:t xml:space="preserve">Flour products (including noodles and pasta)*, </w:t>
      </w:r>
      <w:r>
        <w:rPr>
          <w:i/>
        </w:rPr>
        <w:t>the entries –</w:t>
      </w:r>
      <w:r>
        <w:t xml:space="preserve"> </w:t>
      </w:r>
    </w:p>
    <w:p w:rsidR="003E72FE" w:rsidRPr="003E72FE" w:rsidRDefault="003E72FE" w:rsidP="003E72FE">
      <w:pPr>
        <w:rPr>
          <w:sz w:val="20"/>
          <w:szCs w:val="20"/>
        </w:rPr>
      </w:pPr>
    </w:p>
    <w:tbl>
      <w:tblPr>
        <w:tblW w:w="9236" w:type="dxa"/>
        <w:tblLook w:val="04A0" w:firstRow="1" w:lastRow="0" w:firstColumn="1" w:lastColumn="0" w:noHBand="0" w:noVBand="1"/>
      </w:tblPr>
      <w:tblGrid>
        <w:gridCol w:w="648"/>
        <w:gridCol w:w="1800"/>
        <w:gridCol w:w="2897"/>
        <w:gridCol w:w="711"/>
        <w:gridCol w:w="712"/>
        <w:gridCol w:w="540"/>
        <w:gridCol w:w="1928"/>
      </w:tblGrid>
      <w:tr w:rsidR="003E72FE" w:rsidTr="003E72FE">
        <w:trPr>
          <w:cantSplit/>
        </w:trPr>
        <w:tc>
          <w:tcPr>
            <w:tcW w:w="648" w:type="dxa"/>
          </w:tcPr>
          <w:p w:rsidR="003E72FE" w:rsidRDefault="003E72FE">
            <w:pPr>
              <w:pStyle w:val="Table2"/>
              <w:spacing w:line="276" w:lineRule="auto"/>
              <w:ind w:left="0" w:firstLine="0"/>
            </w:pPr>
            <w:r>
              <w:br w:type="page"/>
            </w:r>
            <w:r>
              <w:br w:type="page"/>
            </w:r>
          </w:p>
        </w:tc>
        <w:tc>
          <w:tcPr>
            <w:tcW w:w="1800" w:type="dxa"/>
            <w:hideMark/>
          </w:tcPr>
          <w:p w:rsidR="003E72FE" w:rsidRDefault="003E72FE">
            <w:pPr>
              <w:pStyle w:val="Table2"/>
              <w:tabs>
                <w:tab w:val="left" w:pos="2506"/>
              </w:tabs>
              <w:spacing w:line="276" w:lineRule="auto"/>
            </w:pPr>
            <w:r>
              <w:t>234</w:t>
            </w:r>
          </w:p>
        </w:tc>
        <w:tc>
          <w:tcPr>
            <w:tcW w:w="2897" w:type="dxa"/>
            <w:hideMark/>
          </w:tcPr>
          <w:p w:rsidR="003E72FE" w:rsidRDefault="003E72FE">
            <w:pPr>
              <w:pStyle w:val="Table2"/>
              <w:tabs>
                <w:tab w:val="center" w:pos="1340"/>
              </w:tabs>
              <w:spacing w:line="276" w:lineRule="auto"/>
            </w:pPr>
            <w:r>
              <w:t>Nisin</w:t>
            </w:r>
          </w:p>
        </w:tc>
        <w:tc>
          <w:tcPr>
            <w:tcW w:w="711" w:type="dxa"/>
            <w:hideMark/>
          </w:tcPr>
          <w:p w:rsidR="003E72FE" w:rsidRDefault="003E72FE">
            <w:pPr>
              <w:pStyle w:val="Table2"/>
              <w:tabs>
                <w:tab w:val="left" w:pos="2506"/>
              </w:tabs>
              <w:spacing w:line="276" w:lineRule="auto"/>
            </w:pPr>
            <w:r>
              <w:t>250</w:t>
            </w:r>
          </w:p>
        </w:tc>
        <w:tc>
          <w:tcPr>
            <w:tcW w:w="712" w:type="dxa"/>
            <w:hideMark/>
          </w:tcPr>
          <w:p w:rsidR="003E72FE" w:rsidRDefault="003E72FE">
            <w:pPr>
              <w:pStyle w:val="Table2"/>
              <w:tabs>
                <w:tab w:val="left" w:pos="2506"/>
              </w:tabs>
              <w:spacing w:line="276" w:lineRule="auto"/>
            </w:pPr>
            <w:r>
              <w:t>mg/kg</w:t>
            </w:r>
          </w:p>
        </w:tc>
        <w:tc>
          <w:tcPr>
            <w:tcW w:w="540" w:type="dxa"/>
          </w:tcPr>
          <w:p w:rsidR="003E72FE" w:rsidRDefault="003E72FE">
            <w:pPr>
              <w:pStyle w:val="Table2"/>
              <w:tabs>
                <w:tab w:val="left" w:pos="2506"/>
              </w:tabs>
              <w:spacing w:line="276" w:lineRule="auto"/>
            </w:pPr>
          </w:p>
        </w:tc>
        <w:tc>
          <w:tcPr>
            <w:tcW w:w="1928" w:type="dxa"/>
            <w:hideMark/>
          </w:tcPr>
          <w:p w:rsidR="003E72FE" w:rsidRDefault="003E72FE">
            <w:pPr>
              <w:pStyle w:val="Table2"/>
              <w:tabs>
                <w:tab w:val="left" w:pos="2506"/>
              </w:tabs>
              <w:spacing w:line="276" w:lineRule="auto"/>
            </w:pPr>
            <w:r>
              <w:t>Flour products that are cooked on hot plates only e.g. crumpets, pikelets, flapjacks, etc.</w:t>
            </w:r>
          </w:p>
        </w:tc>
      </w:tr>
      <w:tr w:rsidR="003E72FE" w:rsidTr="003E72FE">
        <w:trPr>
          <w:cantSplit/>
        </w:trPr>
        <w:tc>
          <w:tcPr>
            <w:tcW w:w="648" w:type="dxa"/>
          </w:tcPr>
          <w:p w:rsidR="003E72FE" w:rsidRDefault="003E72FE">
            <w:pPr>
              <w:pStyle w:val="Table2"/>
              <w:spacing w:line="276" w:lineRule="auto"/>
              <w:ind w:left="0" w:firstLine="0"/>
              <w:rPr>
                <w:bCs w:val="0"/>
                <w:sz w:val="24"/>
                <w:szCs w:val="24"/>
                <w:lang w:val="en-AU"/>
              </w:rPr>
            </w:pPr>
          </w:p>
        </w:tc>
        <w:tc>
          <w:tcPr>
            <w:tcW w:w="1800" w:type="dxa"/>
            <w:hideMark/>
          </w:tcPr>
          <w:p w:rsidR="003E72FE" w:rsidRDefault="003E72FE">
            <w:pPr>
              <w:pStyle w:val="Table2"/>
              <w:tabs>
                <w:tab w:val="left" w:pos="2506"/>
              </w:tabs>
              <w:spacing w:line="276" w:lineRule="auto"/>
            </w:pPr>
            <w:r>
              <w:t>243</w:t>
            </w:r>
          </w:p>
        </w:tc>
        <w:tc>
          <w:tcPr>
            <w:tcW w:w="2897" w:type="dxa"/>
            <w:hideMark/>
          </w:tcPr>
          <w:p w:rsidR="003E72FE" w:rsidRDefault="003E72FE">
            <w:pPr>
              <w:pStyle w:val="Table2"/>
              <w:tabs>
                <w:tab w:val="center" w:pos="1340"/>
              </w:tabs>
              <w:spacing w:line="276" w:lineRule="auto"/>
            </w:pPr>
            <w:r>
              <w:t>Ethyl lauroyl arginate</w:t>
            </w:r>
          </w:p>
        </w:tc>
        <w:tc>
          <w:tcPr>
            <w:tcW w:w="711" w:type="dxa"/>
            <w:hideMark/>
          </w:tcPr>
          <w:p w:rsidR="003E72FE" w:rsidRDefault="003E72FE">
            <w:pPr>
              <w:pStyle w:val="Table2"/>
              <w:tabs>
                <w:tab w:val="left" w:pos="2506"/>
              </w:tabs>
              <w:spacing w:line="276" w:lineRule="auto"/>
            </w:pPr>
            <w:r>
              <w:t>200</w:t>
            </w:r>
          </w:p>
        </w:tc>
        <w:tc>
          <w:tcPr>
            <w:tcW w:w="712" w:type="dxa"/>
            <w:hideMark/>
          </w:tcPr>
          <w:p w:rsidR="003E72FE" w:rsidRDefault="003E72FE">
            <w:pPr>
              <w:pStyle w:val="Table2"/>
              <w:tabs>
                <w:tab w:val="left" w:pos="2506"/>
              </w:tabs>
              <w:spacing w:line="276" w:lineRule="auto"/>
            </w:pPr>
            <w:r>
              <w:t>mg/kg</w:t>
            </w:r>
          </w:p>
        </w:tc>
        <w:tc>
          <w:tcPr>
            <w:tcW w:w="540" w:type="dxa"/>
          </w:tcPr>
          <w:p w:rsidR="003E72FE" w:rsidRDefault="003E72FE">
            <w:pPr>
              <w:pStyle w:val="Table2"/>
              <w:tabs>
                <w:tab w:val="left" w:pos="2506"/>
              </w:tabs>
              <w:spacing w:line="276" w:lineRule="auto"/>
            </w:pPr>
          </w:p>
        </w:tc>
        <w:tc>
          <w:tcPr>
            <w:tcW w:w="1928" w:type="dxa"/>
            <w:hideMark/>
          </w:tcPr>
          <w:p w:rsidR="003E72FE" w:rsidRDefault="003E72FE">
            <w:pPr>
              <w:pStyle w:val="Table2"/>
              <w:tabs>
                <w:tab w:val="left" w:pos="2506"/>
              </w:tabs>
              <w:spacing w:line="276" w:lineRule="auto"/>
            </w:pPr>
            <w:r>
              <w:t>cooked pasta and noodles only</w:t>
            </w:r>
          </w:p>
        </w:tc>
      </w:tr>
    </w:tbl>
    <w:p w:rsidR="003E72FE" w:rsidRPr="003E72FE" w:rsidRDefault="003E72FE" w:rsidP="003E72FE">
      <w:pPr>
        <w:rPr>
          <w:sz w:val="20"/>
          <w:szCs w:val="20"/>
        </w:rPr>
      </w:pPr>
    </w:p>
    <w:p w:rsidR="003E72FE" w:rsidRPr="003E72FE" w:rsidRDefault="003E72FE" w:rsidP="003E72FE">
      <w:pPr>
        <w:pStyle w:val="Clause"/>
        <w:rPr>
          <w:i/>
          <w:iCs/>
          <w:lang w:bidi="ar-SA"/>
        </w:rPr>
      </w:pPr>
      <w:r w:rsidRPr="003E72FE">
        <w:rPr>
          <w:i/>
          <w:iCs/>
        </w:rPr>
        <w:t xml:space="preserve">substituting – </w:t>
      </w:r>
    </w:p>
    <w:p w:rsidR="003E72FE" w:rsidRPr="003E72FE" w:rsidRDefault="003E72FE" w:rsidP="003E72FE">
      <w:pPr>
        <w:rPr>
          <w:i/>
          <w:sz w:val="20"/>
          <w:szCs w:val="20"/>
        </w:rPr>
      </w:pPr>
    </w:p>
    <w:tbl>
      <w:tblPr>
        <w:tblW w:w="9236" w:type="dxa"/>
        <w:tblLook w:val="04A0" w:firstRow="1" w:lastRow="0" w:firstColumn="1" w:lastColumn="0" w:noHBand="0" w:noVBand="1"/>
      </w:tblPr>
      <w:tblGrid>
        <w:gridCol w:w="648"/>
        <w:gridCol w:w="1800"/>
        <w:gridCol w:w="2897"/>
        <w:gridCol w:w="711"/>
        <w:gridCol w:w="712"/>
        <w:gridCol w:w="540"/>
        <w:gridCol w:w="1928"/>
      </w:tblGrid>
      <w:tr w:rsidR="003E72FE" w:rsidTr="003E72FE">
        <w:trPr>
          <w:cantSplit/>
        </w:trPr>
        <w:tc>
          <w:tcPr>
            <w:tcW w:w="648" w:type="dxa"/>
          </w:tcPr>
          <w:p w:rsidR="003E72FE" w:rsidRDefault="003E72FE">
            <w:pPr>
              <w:pStyle w:val="Table2"/>
              <w:spacing w:line="276" w:lineRule="auto"/>
              <w:ind w:left="0" w:firstLine="0"/>
            </w:pPr>
            <w:r>
              <w:br w:type="page"/>
            </w:r>
            <w:r>
              <w:br w:type="page"/>
            </w:r>
          </w:p>
        </w:tc>
        <w:tc>
          <w:tcPr>
            <w:tcW w:w="1800" w:type="dxa"/>
            <w:hideMark/>
          </w:tcPr>
          <w:p w:rsidR="003E72FE" w:rsidRDefault="003E72FE">
            <w:pPr>
              <w:pStyle w:val="Table2"/>
              <w:tabs>
                <w:tab w:val="left" w:pos="2506"/>
              </w:tabs>
              <w:spacing w:line="276" w:lineRule="auto"/>
            </w:pPr>
            <w:r>
              <w:t>234</w:t>
            </w:r>
          </w:p>
        </w:tc>
        <w:tc>
          <w:tcPr>
            <w:tcW w:w="2897" w:type="dxa"/>
            <w:hideMark/>
          </w:tcPr>
          <w:p w:rsidR="003E72FE" w:rsidRDefault="003E72FE">
            <w:pPr>
              <w:pStyle w:val="Table2"/>
              <w:tabs>
                <w:tab w:val="center" w:pos="1340"/>
              </w:tabs>
              <w:spacing w:line="276" w:lineRule="auto"/>
            </w:pPr>
            <w:r>
              <w:t>Nisin</w:t>
            </w:r>
          </w:p>
        </w:tc>
        <w:tc>
          <w:tcPr>
            <w:tcW w:w="711" w:type="dxa"/>
            <w:hideMark/>
          </w:tcPr>
          <w:p w:rsidR="003E72FE" w:rsidRDefault="003E72FE">
            <w:pPr>
              <w:pStyle w:val="Table2"/>
              <w:tabs>
                <w:tab w:val="left" w:pos="2506"/>
              </w:tabs>
              <w:spacing w:line="276" w:lineRule="auto"/>
            </w:pPr>
            <w:r>
              <w:t>250</w:t>
            </w:r>
          </w:p>
        </w:tc>
        <w:tc>
          <w:tcPr>
            <w:tcW w:w="712" w:type="dxa"/>
            <w:hideMark/>
          </w:tcPr>
          <w:p w:rsidR="003E72FE" w:rsidRDefault="003E72FE">
            <w:pPr>
              <w:pStyle w:val="Table2"/>
              <w:tabs>
                <w:tab w:val="left" w:pos="2506"/>
              </w:tabs>
              <w:spacing w:line="276" w:lineRule="auto"/>
            </w:pPr>
            <w:r>
              <w:t>mg/kg</w:t>
            </w:r>
          </w:p>
        </w:tc>
        <w:tc>
          <w:tcPr>
            <w:tcW w:w="540" w:type="dxa"/>
          </w:tcPr>
          <w:p w:rsidR="003E72FE" w:rsidRDefault="003E72FE">
            <w:pPr>
              <w:pStyle w:val="Table2"/>
              <w:tabs>
                <w:tab w:val="left" w:pos="2506"/>
              </w:tabs>
              <w:spacing w:line="276" w:lineRule="auto"/>
            </w:pPr>
          </w:p>
        </w:tc>
        <w:tc>
          <w:tcPr>
            <w:tcW w:w="1928" w:type="dxa"/>
            <w:hideMark/>
          </w:tcPr>
          <w:p w:rsidR="003E72FE" w:rsidRDefault="003E72FE">
            <w:pPr>
              <w:pStyle w:val="Table2"/>
              <w:tabs>
                <w:tab w:val="left" w:pos="2506"/>
              </w:tabs>
              <w:spacing w:line="276" w:lineRule="auto"/>
            </w:pPr>
            <w:r>
              <w:t>Flour products that are cooked on hot plates only e.g. crumpets, pikelets, and flapjacks.</w:t>
            </w:r>
          </w:p>
        </w:tc>
      </w:tr>
      <w:tr w:rsidR="003E72FE" w:rsidTr="003E72FE">
        <w:trPr>
          <w:cantSplit/>
        </w:trPr>
        <w:tc>
          <w:tcPr>
            <w:tcW w:w="648" w:type="dxa"/>
          </w:tcPr>
          <w:p w:rsidR="003E72FE" w:rsidRDefault="003E72FE">
            <w:pPr>
              <w:pStyle w:val="Table2"/>
              <w:spacing w:line="276" w:lineRule="auto"/>
              <w:ind w:left="0" w:firstLine="0"/>
              <w:rPr>
                <w:bCs w:val="0"/>
                <w:sz w:val="24"/>
                <w:szCs w:val="24"/>
                <w:lang w:val="en-AU"/>
              </w:rPr>
            </w:pPr>
          </w:p>
        </w:tc>
        <w:tc>
          <w:tcPr>
            <w:tcW w:w="1800" w:type="dxa"/>
            <w:hideMark/>
          </w:tcPr>
          <w:p w:rsidR="003E72FE" w:rsidRDefault="003E72FE">
            <w:pPr>
              <w:pStyle w:val="Table2"/>
              <w:tabs>
                <w:tab w:val="left" w:pos="2506"/>
              </w:tabs>
              <w:spacing w:line="276" w:lineRule="auto"/>
            </w:pPr>
            <w:r>
              <w:t>243</w:t>
            </w:r>
          </w:p>
        </w:tc>
        <w:tc>
          <w:tcPr>
            <w:tcW w:w="2897" w:type="dxa"/>
            <w:hideMark/>
          </w:tcPr>
          <w:p w:rsidR="003E72FE" w:rsidRDefault="003E72FE">
            <w:pPr>
              <w:pStyle w:val="Table2"/>
              <w:tabs>
                <w:tab w:val="center" w:pos="1340"/>
              </w:tabs>
              <w:spacing w:line="276" w:lineRule="auto"/>
            </w:pPr>
            <w:r>
              <w:t>Ethyl lauroyl arginate</w:t>
            </w:r>
          </w:p>
        </w:tc>
        <w:tc>
          <w:tcPr>
            <w:tcW w:w="711" w:type="dxa"/>
            <w:hideMark/>
          </w:tcPr>
          <w:p w:rsidR="003E72FE" w:rsidRDefault="003E72FE">
            <w:pPr>
              <w:pStyle w:val="Table2"/>
              <w:tabs>
                <w:tab w:val="left" w:pos="2506"/>
              </w:tabs>
              <w:spacing w:line="276" w:lineRule="auto"/>
            </w:pPr>
            <w:r>
              <w:t>200</w:t>
            </w:r>
          </w:p>
        </w:tc>
        <w:tc>
          <w:tcPr>
            <w:tcW w:w="712" w:type="dxa"/>
            <w:hideMark/>
          </w:tcPr>
          <w:p w:rsidR="003E72FE" w:rsidRDefault="003E72FE">
            <w:pPr>
              <w:pStyle w:val="Table2"/>
              <w:tabs>
                <w:tab w:val="left" w:pos="2506"/>
              </w:tabs>
              <w:spacing w:line="276" w:lineRule="auto"/>
            </w:pPr>
            <w:r>
              <w:t>mg/kg</w:t>
            </w:r>
          </w:p>
        </w:tc>
        <w:tc>
          <w:tcPr>
            <w:tcW w:w="540" w:type="dxa"/>
          </w:tcPr>
          <w:p w:rsidR="003E72FE" w:rsidRDefault="003E72FE">
            <w:pPr>
              <w:pStyle w:val="Table2"/>
              <w:tabs>
                <w:tab w:val="left" w:pos="2506"/>
              </w:tabs>
              <w:spacing w:line="276" w:lineRule="auto"/>
            </w:pPr>
          </w:p>
        </w:tc>
        <w:tc>
          <w:tcPr>
            <w:tcW w:w="1928" w:type="dxa"/>
            <w:hideMark/>
          </w:tcPr>
          <w:p w:rsidR="003E72FE" w:rsidRDefault="003E72FE">
            <w:pPr>
              <w:pStyle w:val="Table2"/>
              <w:tabs>
                <w:tab w:val="left" w:pos="2506"/>
              </w:tabs>
              <w:spacing w:line="276" w:lineRule="auto"/>
            </w:pPr>
            <w:r>
              <w:t>Cooked pasta and noodles only</w:t>
            </w:r>
          </w:p>
        </w:tc>
      </w:tr>
    </w:tbl>
    <w:p w:rsidR="003E72FE" w:rsidRPr="003E72FE" w:rsidRDefault="003E72FE" w:rsidP="003E72FE">
      <w:pPr>
        <w:rPr>
          <w:sz w:val="20"/>
          <w:szCs w:val="20"/>
        </w:rPr>
      </w:pPr>
    </w:p>
    <w:p w:rsidR="003E72FE" w:rsidRPr="003E72FE" w:rsidRDefault="003E72FE" w:rsidP="003E72FE">
      <w:pPr>
        <w:pStyle w:val="Clause"/>
        <w:rPr>
          <w:lang w:bidi="ar-SA"/>
        </w:rPr>
      </w:pPr>
      <w:r w:rsidRPr="003E72FE">
        <w:t>[14.11]</w:t>
      </w:r>
      <w:r w:rsidRPr="003E72FE">
        <w:tab/>
      </w:r>
      <w:r w:rsidRPr="003E72FE">
        <w:rPr>
          <w:i/>
        </w:rPr>
        <w:t xml:space="preserve">omitting from </w:t>
      </w:r>
      <w:r w:rsidRPr="003E72FE">
        <w:t xml:space="preserve">Schedule 1 </w:t>
      </w:r>
      <w:r w:rsidRPr="003E72FE">
        <w:rPr>
          <w:i/>
        </w:rPr>
        <w:t xml:space="preserve">wherever appearing in item </w:t>
      </w:r>
      <w:r w:rsidRPr="003E72FE">
        <w:t xml:space="preserve">10.4 Dried and/or heat coagulated egg products, </w:t>
      </w:r>
      <w:r w:rsidRPr="003E72FE">
        <w:rPr>
          <w:i/>
        </w:rPr>
        <w:t xml:space="preserve">the words </w:t>
      </w:r>
      <w:r w:rsidRPr="003E72FE">
        <w:t xml:space="preserve">and/or, </w:t>
      </w:r>
      <w:r w:rsidRPr="003E72FE">
        <w:rPr>
          <w:i/>
        </w:rPr>
        <w:t xml:space="preserve">substituting </w:t>
      </w:r>
      <w:r w:rsidRPr="003E72FE">
        <w:t>or</w:t>
      </w:r>
    </w:p>
    <w:p w:rsidR="003E72FE" w:rsidRPr="003E72FE" w:rsidRDefault="003E72FE" w:rsidP="003E72FE">
      <w:pPr>
        <w:rPr>
          <w:b/>
          <w:sz w:val="20"/>
          <w:szCs w:val="20"/>
        </w:rPr>
      </w:pPr>
    </w:p>
    <w:p w:rsidR="003E72FE" w:rsidRPr="003E72FE" w:rsidRDefault="003E72FE" w:rsidP="003E72FE">
      <w:pPr>
        <w:pStyle w:val="Clause"/>
      </w:pPr>
      <w:r w:rsidRPr="003E72FE">
        <w:t>[14.12]</w:t>
      </w:r>
      <w:r w:rsidRPr="003E72FE">
        <w:tab/>
      </w:r>
      <w:r w:rsidRPr="003E72FE">
        <w:rPr>
          <w:i/>
        </w:rPr>
        <w:t xml:space="preserve">omitting from </w:t>
      </w:r>
      <w:r w:rsidRPr="003E72FE">
        <w:t xml:space="preserve">Schedule 1 </w:t>
      </w:r>
      <w:r w:rsidRPr="003E72FE">
        <w:rPr>
          <w:i/>
        </w:rPr>
        <w:t xml:space="preserve">from the heading for item </w:t>
      </w:r>
      <w:r w:rsidRPr="003E72FE">
        <w:t xml:space="preserve">14.2 Alcoholic beverages (including no and low alcohol) – </w:t>
      </w:r>
    </w:p>
    <w:p w:rsidR="003E72FE" w:rsidRPr="003E72FE" w:rsidRDefault="003E72FE" w:rsidP="003E72FE">
      <w:pPr>
        <w:rPr>
          <w:sz w:val="20"/>
          <w:szCs w:val="20"/>
        </w:rPr>
      </w:pPr>
    </w:p>
    <w:p w:rsidR="003E72FE" w:rsidRDefault="003E72FE" w:rsidP="003E72FE">
      <w:pPr>
        <w:pStyle w:val="131Subitemheading"/>
      </w:pPr>
      <w:r>
        <w:t>(including no and low alcohol)</w:t>
      </w:r>
    </w:p>
    <w:p w:rsidR="003E72FE" w:rsidRDefault="003E72FE" w:rsidP="003E72FE">
      <w:pPr>
        <w:pStyle w:val="Clause"/>
        <w:rPr>
          <w:i/>
          <w:iCs/>
        </w:rPr>
      </w:pPr>
      <w:r>
        <w:rPr>
          <w:i/>
          <w:iCs/>
        </w:rPr>
        <w:t xml:space="preserve">substituting – </w:t>
      </w:r>
    </w:p>
    <w:p w:rsidR="003E72FE" w:rsidRDefault="003E72FE" w:rsidP="003E72FE">
      <w:pPr>
        <w:rPr>
          <w:i/>
        </w:rPr>
      </w:pPr>
    </w:p>
    <w:p w:rsidR="003E72FE" w:rsidRDefault="003E72FE" w:rsidP="003E72FE">
      <w:pPr>
        <w:pStyle w:val="131Subitemheading"/>
      </w:pPr>
      <w:r>
        <w:t>(including alcoholic beverages that have had the alcohol reduced or removed)</w:t>
      </w:r>
    </w:p>
    <w:p w:rsidR="003E72FE" w:rsidRDefault="003E72FE" w:rsidP="003E72FE">
      <w:pPr>
        <w:pStyle w:val="Clause"/>
      </w:pPr>
      <w:r>
        <w:t>[14.13]</w:t>
      </w:r>
      <w:r>
        <w:tab/>
      </w:r>
      <w:r>
        <w:rPr>
          <w:i/>
        </w:rPr>
        <w:t xml:space="preserve">omitting from </w:t>
      </w:r>
      <w:r>
        <w:t xml:space="preserve">Schedule 1 </w:t>
      </w:r>
      <w:r>
        <w:rPr>
          <w:i/>
        </w:rPr>
        <w:t>the heading</w:t>
      </w:r>
      <w:r>
        <w:t xml:space="preserve"> </w:t>
      </w:r>
      <w:r>
        <w:rPr>
          <w:i/>
        </w:rPr>
        <w:t xml:space="preserve">under item 20.2 </w:t>
      </w:r>
      <w:r>
        <w:t xml:space="preserve">Food other than beverages* </w:t>
      </w:r>
      <w:r>
        <w:rPr>
          <w:i/>
        </w:rPr>
        <w:t xml:space="preserve">- </w:t>
      </w:r>
    </w:p>
    <w:p w:rsidR="003E72FE" w:rsidRPr="003E72FE" w:rsidRDefault="003E72FE" w:rsidP="003E72FE">
      <w:pPr>
        <w:rPr>
          <w:sz w:val="20"/>
          <w:szCs w:val="20"/>
        </w:rPr>
      </w:pPr>
    </w:p>
    <w:p w:rsidR="003E72FE" w:rsidRDefault="003E72FE" w:rsidP="003E72FE">
      <w:pPr>
        <w:pStyle w:val="131Subitemheading"/>
      </w:pPr>
      <w:r>
        <w:t>soup bases (made up as directed)</w:t>
      </w:r>
    </w:p>
    <w:p w:rsidR="003E72FE" w:rsidRDefault="003E72FE" w:rsidP="003E72FE">
      <w:pPr>
        <w:pStyle w:val="Clause"/>
      </w:pPr>
      <w:r>
        <w:rPr>
          <w:i/>
        </w:rPr>
        <w:t>substituting</w:t>
      </w:r>
      <w:r>
        <w:t xml:space="preserve"> – </w:t>
      </w:r>
    </w:p>
    <w:p w:rsidR="003E72FE" w:rsidRDefault="003E72FE" w:rsidP="003E72FE">
      <w:pPr>
        <w:pStyle w:val="Clause"/>
      </w:pPr>
    </w:p>
    <w:p w:rsidR="003E72FE" w:rsidRDefault="003E72FE" w:rsidP="003E72FE">
      <w:pPr>
        <w:pStyle w:val="131Subitemheading"/>
      </w:pPr>
      <w:r>
        <w:t>soup bases (the max permitted levels apply to soup made up as directed)</w:t>
      </w:r>
    </w:p>
    <w:p w:rsidR="003E72FE" w:rsidRDefault="003E72FE" w:rsidP="003E72FE">
      <w:pPr>
        <w:pStyle w:val="Clause"/>
      </w:pPr>
      <w:r>
        <w:t>[14.14]</w:t>
      </w:r>
      <w:r>
        <w:tab/>
      </w:r>
      <w:r>
        <w:rPr>
          <w:i/>
        </w:rPr>
        <w:t>inserting the following entries in each of the listings in</w:t>
      </w:r>
      <w:r>
        <w:t xml:space="preserve"> Schedule 2 –</w:t>
      </w:r>
    </w:p>
    <w:p w:rsidR="003E72FE" w:rsidRPr="003E72FE" w:rsidRDefault="003E72FE" w:rsidP="003E72FE">
      <w:pPr>
        <w:rPr>
          <w:sz w:val="20"/>
          <w:szCs w:val="20"/>
        </w:rPr>
      </w:pPr>
    </w:p>
    <w:tbl>
      <w:tblPr>
        <w:tblW w:w="9075" w:type="dxa"/>
        <w:tblLayout w:type="fixed"/>
        <w:tblCellMar>
          <w:left w:w="80" w:type="dxa"/>
          <w:right w:w="80" w:type="dxa"/>
        </w:tblCellMar>
        <w:tblLook w:val="04A0" w:firstRow="1" w:lastRow="0" w:firstColumn="1" w:lastColumn="0" w:noHBand="0" w:noVBand="1"/>
      </w:tblPr>
      <w:tblGrid>
        <w:gridCol w:w="2432"/>
        <w:gridCol w:w="6643"/>
      </w:tblGrid>
      <w:tr w:rsidR="003E72FE" w:rsidTr="003E72FE">
        <w:tc>
          <w:tcPr>
            <w:tcW w:w="2431" w:type="dxa"/>
            <w:hideMark/>
          </w:tcPr>
          <w:p w:rsidR="003E72FE" w:rsidRDefault="003E72FE">
            <w:pPr>
              <w:pStyle w:val="Table2"/>
              <w:spacing w:line="276" w:lineRule="auto"/>
            </w:pPr>
            <w:r>
              <w:t>1451</w:t>
            </w:r>
          </w:p>
        </w:tc>
        <w:tc>
          <w:tcPr>
            <w:tcW w:w="6641" w:type="dxa"/>
            <w:hideMark/>
          </w:tcPr>
          <w:p w:rsidR="003E72FE" w:rsidRDefault="003E72FE">
            <w:pPr>
              <w:pStyle w:val="Table2"/>
              <w:spacing w:line="276" w:lineRule="auto"/>
            </w:pPr>
            <w:r>
              <w:t>Acetylated oxidised starch</w:t>
            </w:r>
          </w:p>
        </w:tc>
      </w:tr>
      <w:tr w:rsidR="003E72FE" w:rsidTr="003E72FE">
        <w:tc>
          <w:tcPr>
            <w:tcW w:w="2431" w:type="dxa"/>
            <w:hideMark/>
          </w:tcPr>
          <w:p w:rsidR="003E72FE" w:rsidRDefault="003E72FE">
            <w:pPr>
              <w:pStyle w:val="Table2"/>
              <w:spacing w:line="276" w:lineRule="auto"/>
            </w:pPr>
            <w:r>
              <w:t>576</w:t>
            </w:r>
          </w:p>
        </w:tc>
        <w:tc>
          <w:tcPr>
            <w:tcW w:w="6641" w:type="dxa"/>
            <w:hideMark/>
          </w:tcPr>
          <w:p w:rsidR="003E72FE" w:rsidRDefault="003E72FE">
            <w:pPr>
              <w:pStyle w:val="Table2"/>
              <w:spacing w:line="276" w:lineRule="auto"/>
            </w:pPr>
            <w:r>
              <w:t>Sodium gluconate</w:t>
            </w:r>
          </w:p>
        </w:tc>
      </w:tr>
    </w:tbl>
    <w:p w:rsidR="003E72FE" w:rsidRPr="003E72FE" w:rsidRDefault="003E72FE" w:rsidP="003E72FE">
      <w:pPr>
        <w:rPr>
          <w:sz w:val="20"/>
          <w:szCs w:val="20"/>
        </w:rPr>
      </w:pPr>
    </w:p>
    <w:p w:rsidR="003E72FE" w:rsidRPr="003E72FE" w:rsidRDefault="003E72FE" w:rsidP="003E72FE">
      <w:pPr>
        <w:pStyle w:val="Clause"/>
        <w:rPr>
          <w:i/>
          <w:lang w:bidi="ar-SA"/>
        </w:rPr>
      </w:pPr>
      <w:r w:rsidRPr="003E72FE">
        <w:t>[14.15]</w:t>
      </w:r>
      <w:r w:rsidRPr="003E72FE">
        <w:tab/>
      </w:r>
      <w:r w:rsidRPr="003E72FE">
        <w:rPr>
          <w:i/>
        </w:rPr>
        <w:t xml:space="preserve">omitting wherever appearing in </w:t>
      </w:r>
      <w:r w:rsidRPr="003E72FE">
        <w:t>Schedule 4</w:t>
      </w:r>
      <w:r w:rsidRPr="003E72FE">
        <w:rPr>
          <w:i/>
        </w:rPr>
        <w:t xml:space="preserve"> – </w:t>
      </w:r>
    </w:p>
    <w:p w:rsidR="003E72FE" w:rsidRPr="003E72FE" w:rsidRDefault="003E72FE" w:rsidP="003E72FE">
      <w:pPr>
        <w:rPr>
          <w:sz w:val="20"/>
          <w:szCs w:val="20"/>
        </w:rPr>
      </w:pPr>
    </w:p>
    <w:p w:rsidR="003E72FE" w:rsidRPr="003E72FE" w:rsidRDefault="003E72FE" w:rsidP="003E72FE">
      <w:pPr>
        <w:pStyle w:val="TableHeading"/>
      </w:pPr>
      <w:r w:rsidRPr="003E72FE">
        <w:t>Colours permitted singly or in combination to a total maximum level of 290 mg/kg in processed foods and to a total maximum level of 70 mg/L in beverages other than beverages specified in Schedule 1</w:t>
      </w:r>
    </w:p>
    <w:p w:rsidR="003E72FE" w:rsidRPr="003E72FE" w:rsidRDefault="003E72FE" w:rsidP="003E72FE">
      <w:pPr>
        <w:rPr>
          <w:b/>
          <w:sz w:val="20"/>
          <w:szCs w:val="20"/>
        </w:rPr>
      </w:pPr>
    </w:p>
    <w:p w:rsidR="003E72FE" w:rsidRPr="003E72FE" w:rsidRDefault="003E72FE" w:rsidP="003E72FE">
      <w:pPr>
        <w:pStyle w:val="Clause"/>
        <w:rPr>
          <w:i/>
          <w:iCs/>
        </w:rPr>
      </w:pPr>
      <w:r w:rsidRPr="003E72FE">
        <w:rPr>
          <w:i/>
          <w:iCs/>
        </w:rPr>
        <w:t xml:space="preserve">substituting – </w:t>
      </w:r>
    </w:p>
    <w:p w:rsidR="003E72FE" w:rsidRPr="003E72FE" w:rsidRDefault="003E72FE" w:rsidP="003E72FE">
      <w:pPr>
        <w:rPr>
          <w:i/>
          <w:sz w:val="20"/>
          <w:szCs w:val="20"/>
        </w:rPr>
      </w:pPr>
    </w:p>
    <w:p w:rsidR="003E72FE" w:rsidRDefault="003E72FE" w:rsidP="003E72FE">
      <w:pPr>
        <w:pStyle w:val="TableHeading"/>
      </w:pPr>
      <w:r w:rsidRPr="003E72FE">
        <w:t xml:space="preserve">Colours permitted to a combined maximum level of 290 mg/kg in processed foods, and a combined maximum level of 70 mg/L in beverages, except where expressly prohibited in </w:t>
      </w:r>
      <w:r>
        <w:t>Schedule 1</w:t>
      </w:r>
    </w:p>
    <w:p w:rsidR="003E72FE" w:rsidRPr="003E72FE" w:rsidRDefault="003E72FE" w:rsidP="003E72FE">
      <w:pPr>
        <w:rPr>
          <w:sz w:val="20"/>
          <w:szCs w:val="20"/>
        </w:rPr>
      </w:pPr>
    </w:p>
    <w:p w:rsidR="003E72FE" w:rsidRPr="003E72FE" w:rsidRDefault="003E72FE" w:rsidP="003E72FE">
      <w:pPr>
        <w:pStyle w:val="Clause"/>
        <w:rPr>
          <w:i/>
        </w:rPr>
      </w:pPr>
      <w:r w:rsidRPr="003E72FE">
        <w:t>[14.16]</w:t>
      </w:r>
      <w:r w:rsidRPr="003E72FE">
        <w:tab/>
      </w:r>
      <w:r w:rsidRPr="003E72FE">
        <w:rPr>
          <w:i/>
        </w:rPr>
        <w:t xml:space="preserve">omitting wherever appearing in </w:t>
      </w:r>
      <w:r w:rsidRPr="003E72FE">
        <w:t xml:space="preserve">Schedule 5 </w:t>
      </w:r>
      <w:r w:rsidRPr="003E72FE">
        <w:rPr>
          <w:i/>
        </w:rPr>
        <w:t xml:space="preserve">under the Definition column – </w:t>
      </w:r>
    </w:p>
    <w:p w:rsidR="003E72FE" w:rsidRPr="003E72FE" w:rsidRDefault="003E72FE" w:rsidP="003E72FE">
      <w:pPr>
        <w:rPr>
          <w:sz w:val="20"/>
          <w:szCs w:val="20"/>
        </w:rPr>
      </w:pPr>
    </w:p>
    <w:p w:rsidR="003E72FE" w:rsidRDefault="003E72FE" w:rsidP="003E72FE">
      <w:pPr>
        <w:pStyle w:val="Clause"/>
      </w:pPr>
      <w:r>
        <w:t xml:space="preserve">taste and/or odour </w:t>
      </w:r>
      <w:r>
        <w:br w:type="page"/>
      </w:r>
    </w:p>
    <w:p w:rsidR="003E72FE" w:rsidRDefault="003E72FE" w:rsidP="003E72FE">
      <w:pPr>
        <w:pStyle w:val="Clause"/>
        <w:rPr>
          <w:i/>
          <w:iCs/>
        </w:rPr>
      </w:pPr>
      <w:r>
        <w:rPr>
          <w:i/>
          <w:iCs/>
        </w:rPr>
        <w:lastRenderedPageBreak/>
        <w:t xml:space="preserve">substituting – </w:t>
      </w:r>
    </w:p>
    <w:p w:rsidR="003E72FE" w:rsidRPr="003E72FE" w:rsidRDefault="003E72FE" w:rsidP="003E72FE">
      <w:pPr>
        <w:rPr>
          <w:sz w:val="20"/>
          <w:szCs w:val="20"/>
        </w:rPr>
      </w:pPr>
    </w:p>
    <w:p w:rsidR="003E72FE" w:rsidRPr="003E72FE" w:rsidRDefault="003E72FE" w:rsidP="003E72FE">
      <w:pPr>
        <w:pStyle w:val="Clause"/>
      </w:pPr>
      <w:r w:rsidRPr="003E72FE">
        <w:t>taste or odour</w:t>
      </w:r>
    </w:p>
    <w:p w:rsidR="003E72FE" w:rsidRPr="003E72FE" w:rsidRDefault="003E72FE" w:rsidP="003E72FE">
      <w:pPr>
        <w:rPr>
          <w:sz w:val="20"/>
          <w:szCs w:val="20"/>
        </w:rPr>
      </w:pPr>
    </w:p>
    <w:p w:rsidR="003E72FE" w:rsidRPr="003E72FE" w:rsidRDefault="003E72FE" w:rsidP="003E72FE">
      <w:pPr>
        <w:pStyle w:val="Clause"/>
        <w:rPr>
          <w:i/>
          <w:iCs/>
        </w:rPr>
      </w:pPr>
      <w:r w:rsidRPr="003E72FE">
        <w:rPr>
          <w:b/>
          <w:bCs/>
        </w:rPr>
        <w:t>[15]</w:t>
      </w:r>
      <w:r w:rsidRPr="003E72FE">
        <w:tab/>
      </w:r>
      <w:r w:rsidRPr="003E72FE">
        <w:rPr>
          <w:b/>
          <w:bCs/>
          <w:i/>
          <w:iCs/>
        </w:rPr>
        <w:t>Standard 1.3.2</w:t>
      </w:r>
      <w:r w:rsidRPr="003E72FE">
        <w:rPr>
          <w:i/>
          <w:iCs/>
        </w:rPr>
        <w:t xml:space="preserve"> of the Australia New Zealand Food Standards Code is varied by – </w:t>
      </w:r>
    </w:p>
    <w:p w:rsidR="003E72FE" w:rsidRPr="003E72FE" w:rsidRDefault="003E72FE" w:rsidP="003E72FE">
      <w:pPr>
        <w:pStyle w:val="Clause"/>
        <w:ind w:left="851" w:hanging="851"/>
        <w:rPr>
          <w:iCs/>
        </w:rPr>
      </w:pPr>
    </w:p>
    <w:p w:rsidR="003E72FE" w:rsidRPr="003E72FE" w:rsidRDefault="003E72FE" w:rsidP="003E72FE">
      <w:pPr>
        <w:pStyle w:val="Clause"/>
      </w:pPr>
      <w:r w:rsidRPr="003E72FE">
        <w:t>[15.1]</w:t>
      </w:r>
      <w:r w:rsidRPr="003E72FE">
        <w:tab/>
      </w:r>
      <w:r w:rsidRPr="003E72FE">
        <w:rPr>
          <w:i/>
        </w:rPr>
        <w:t xml:space="preserve">omitting </w:t>
      </w:r>
      <w:r w:rsidRPr="003E72FE">
        <w:t xml:space="preserve">and/or </w:t>
      </w:r>
      <w:r w:rsidRPr="003E72FE">
        <w:rPr>
          <w:i/>
        </w:rPr>
        <w:t xml:space="preserve">wherever appearing in the definition of </w:t>
      </w:r>
      <w:r w:rsidRPr="003E72FE">
        <w:rPr>
          <w:b/>
        </w:rPr>
        <w:t>claimable food</w:t>
      </w:r>
      <w:r w:rsidRPr="003E72FE">
        <w:t xml:space="preserve"> </w:t>
      </w:r>
      <w:r w:rsidRPr="003E72FE">
        <w:rPr>
          <w:i/>
        </w:rPr>
        <w:t>in clause 1,</w:t>
      </w:r>
      <w:r w:rsidRPr="003E72FE">
        <w:t xml:space="preserve"> </w:t>
      </w:r>
      <w:r w:rsidRPr="003E72FE">
        <w:rPr>
          <w:i/>
        </w:rPr>
        <w:t xml:space="preserve">substituting </w:t>
      </w:r>
      <w:r w:rsidRPr="003E72FE">
        <w:t>or</w:t>
      </w:r>
    </w:p>
    <w:p w:rsidR="003E72FE" w:rsidRPr="003E72FE" w:rsidRDefault="003E72FE" w:rsidP="003E72FE">
      <w:pPr>
        <w:rPr>
          <w:sz w:val="20"/>
          <w:szCs w:val="20"/>
        </w:rPr>
      </w:pPr>
    </w:p>
    <w:p w:rsidR="003E72FE" w:rsidRPr="003E72FE" w:rsidRDefault="003E72FE" w:rsidP="003E72FE">
      <w:pPr>
        <w:pStyle w:val="Clause"/>
      </w:pPr>
      <w:r w:rsidRPr="003E72FE">
        <w:t>[15.2]</w:t>
      </w:r>
      <w:r w:rsidRPr="003E72FE">
        <w:tab/>
      </w:r>
      <w:r w:rsidRPr="003E72FE">
        <w:rPr>
          <w:i/>
        </w:rPr>
        <w:t xml:space="preserve">omitting </w:t>
      </w:r>
      <w:r w:rsidRPr="003E72FE">
        <w:t>a mixture of</w:t>
      </w:r>
      <w:r w:rsidRPr="003E72FE">
        <w:rPr>
          <w:i/>
        </w:rPr>
        <w:t xml:space="preserve"> from the definition of </w:t>
      </w:r>
      <w:r w:rsidRPr="003E72FE">
        <w:rPr>
          <w:b/>
        </w:rPr>
        <w:t xml:space="preserve">claimable food </w:t>
      </w:r>
      <w:r w:rsidRPr="003E72FE">
        <w:rPr>
          <w:i/>
        </w:rPr>
        <w:t xml:space="preserve">in clause 1, substituting </w:t>
      </w:r>
      <w:r w:rsidRPr="003E72FE">
        <w:t xml:space="preserve">two or more of the following </w:t>
      </w:r>
    </w:p>
    <w:p w:rsidR="003E72FE" w:rsidRPr="003E72FE" w:rsidRDefault="003E72FE" w:rsidP="003E72FE">
      <w:pPr>
        <w:rPr>
          <w:sz w:val="20"/>
          <w:szCs w:val="20"/>
        </w:rPr>
      </w:pPr>
    </w:p>
    <w:p w:rsidR="003E72FE" w:rsidRPr="003E72FE" w:rsidRDefault="003E72FE" w:rsidP="003E72FE">
      <w:pPr>
        <w:pStyle w:val="Clause"/>
      </w:pPr>
      <w:r w:rsidRPr="003E72FE">
        <w:t>[15.3]</w:t>
      </w:r>
      <w:r w:rsidRPr="003E72FE">
        <w:tab/>
      </w:r>
      <w:r w:rsidRPr="003E72FE">
        <w:rPr>
          <w:i/>
        </w:rPr>
        <w:t>omitting</w:t>
      </w:r>
      <w:r w:rsidRPr="003E72FE">
        <w:t xml:space="preserve"> Thiamine </w:t>
      </w:r>
      <w:r w:rsidRPr="003E72FE">
        <w:rPr>
          <w:i/>
        </w:rPr>
        <w:t>wherever appearing in the</w:t>
      </w:r>
      <w:r w:rsidRPr="003E72FE">
        <w:t xml:space="preserve"> Table to clause 3, </w:t>
      </w:r>
      <w:r w:rsidRPr="003E72FE">
        <w:rPr>
          <w:i/>
        </w:rPr>
        <w:t>substituting</w:t>
      </w:r>
      <w:r w:rsidRPr="003E72FE">
        <w:t xml:space="preserve"> Thiamin</w:t>
      </w:r>
    </w:p>
    <w:p w:rsidR="003E72FE" w:rsidRPr="003E72FE" w:rsidRDefault="003E72FE" w:rsidP="003E72FE">
      <w:pPr>
        <w:pStyle w:val="Clause"/>
      </w:pPr>
    </w:p>
    <w:p w:rsidR="003E72FE" w:rsidRPr="003E72FE" w:rsidRDefault="003E72FE" w:rsidP="003E72FE">
      <w:pPr>
        <w:pStyle w:val="Clause"/>
      </w:pPr>
      <w:r w:rsidRPr="003E72FE">
        <w:t>[15.4]</w:t>
      </w:r>
      <w:r w:rsidRPr="003E72FE">
        <w:tab/>
      </w:r>
      <w:r w:rsidRPr="003E72FE">
        <w:rPr>
          <w:i/>
        </w:rPr>
        <w:t xml:space="preserve">omitting from the </w:t>
      </w:r>
      <w:r w:rsidRPr="003E72FE">
        <w:t xml:space="preserve">Table to clause 3 – </w:t>
      </w:r>
    </w:p>
    <w:p w:rsidR="003E72FE" w:rsidRPr="003E72FE" w:rsidRDefault="003E72FE" w:rsidP="003E72FE">
      <w:pPr>
        <w:rPr>
          <w:sz w:val="20"/>
          <w:szCs w:val="20"/>
        </w:rPr>
      </w:pPr>
    </w:p>
    <w:tbl>
      <w:tblPr>
        <w:tblW w:w="9255" w:type="dxa"/>
        <w:jc w:val="center"/>
        <w:tblBorders>
          <w:top w:val="single" w:sz="4" w:space="0" w:color="auto"/>
          <w:left w:val="single" w:sz="4" w:space="0" w:color="auto"/>
          <w:bottom w:val="single" w:sz="4" w:space="0" w:color="auto"/>
          <w:right w:val="single" w:sz="4" w:space="0" w:color="auto"/>
        </w:tblBorders>
        <w:tblLayout w:type="fixed"/>
        <w:tblCellMar>
          <w:left w:w="79" w:type="dxa"/>
          <w:right w:w="79" w:type="dxa"/>
        </w:tblCellMar>
        <w:tblLook w:val="04A0" w:firstRow="1" w:lastRow="0" w:firstColumn="1" w:lastColumn="0" w:noHBand="0" w:noVBand="1"/>
      </w:tblPr>
      <w:tblGrid>
        <w:gridCol w:w="2260"/>
        <w:gridCol w:w="1412"/>
        <w:gridCol w:w="1652"/>
        <w:gridCol w:w="1919"/>
        <w:gridCol w:w="2012"/>
      </w:tblGrid>
      <w:tr w:rsidR="003E72FE" w:rsidTr="003E72FE">
        <w:trPr>
          <w:cantSplit/>
          <w:jc w:val="center"/>
        </w:trPr>
        <w:tc>
          <w:tcPr>
            <w:tcW w:w="2260" w:type="dxa"/>
            <w:tcBorders>
              <w:top w:val="single" w:sz="4" w:space="0" w:color="auto"/>
              <w:left w:val="single" w:sz="4" w:space="0" w:color="auto"/>
              <w:bottom w:val="nil"/>
              <w:right w:val="single" w:sz="4" w:space="0" w:color="auto"/>
            </w:tcBorders>
            <w:hideMark/>
          </w:tcPr>
          <w:p w:rsidR="003E72FE" w:rsidRDefault="003E72FE">
            <w:pPr>
              <w:pStyle w:val="Table1"/>
              <w:spacing w:line="276" w:lineRule="auto"/>
              <w:jc w:val="left"/>
            </w:pPr>
            <w:r>
              <w:t>Edible oils and spreads</w:t>
            </w:r>
          </w:p>
        </w:tc>
        <w:tc>
          <w:tcPr>
            <w:tcW w:w="1413"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c>
          <w:tcPr>
            <w:tcW w:w="1653"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c>
          <w:tcPr>
            <w:tcW w:w="1920"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c>
          <w:tcPr>
            <w:tcW w:w="2013"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r>
      <w:tr w:rsidR="003E72FE" w:rsidTr="003E72FE">
        <w:trPr>
          <w:cantSplit/>
          <w:jc w:val="center"/>
        </w:trPr>
        <w:tc>
          <w:tcPr>
            <w:tcW w:w="2260" w:type="dxa"/>
            <w:tcBorders>
              <w:top w:val="nil"/>
              <w:left w:val="single" w:sz="4" w:space="0" w:color="auto"/>
              <w:bottom w:val="nil"/>
              <w:right w:val="single" w:sz="4" w:space="0" w:color="auto"/>
            </w:tcBorders>
          </w:tcPr>
          <w:p w:rsidR="003E72FE" w:rsidRDefault="003E72FE">
            <w:pPr>
              <w:pStyle w:val="Table2"/>
              <w:spacing w:line="276" w:lineRule="auto"/>
            </w:pPr>
            <w:r>
              <w:t>Edible oil spreads and margarine:</w:t>
            </w:r>
          </w:p>
          <w:p w:rsidR="003E72FE" w:rsidRDefault="003E72FE">
            <w:pPr>
              <w:pStyle w:val="Table2"/>
              <w:spacing w:line="276" w:lineRule="auto"/>
              <w:rPr>
                <w:lang w:bidi="ar-SA"/>
              </w:rPr>
            </w:pPr>
          </w:p>
          <w:p w:rsidR="003E72FE" w:rsidRDefault="003E72FE">
            <w:pPr>
              <w:pStyle w:val="Table2"/>
              <w:spacing w:line="276" w:lineRule="auto"/>
              <w:ind w:left="227" w:hanging="227"/>
            </w:pPr>
            <w:r>
              <w:rPr>
                <w:iCs/>
              </w:rPr>
              <w:t xml:space="preserve">– </w:t>
            </w:r>
            <w:r>
              <w:tab/>
              <w:t>containing no more than 28% total saturated fatty acids and trans fatty acids</w:t>
            </w:r>
          </w:p>
          <w:p w:rsidR="003E72FE" w:rsidRDefault="003E72FE">
            <w:pPr>
              <w:pStyle w:val="Table2"/>
              <w:spacing w:line="276" w:lineRule="auto"/>
            </w:pPr>
          </w:p>
        </w:tc>
        <w:tc>
          <w:tcPr>
            <w:tcW w:w="1413" w:type="dxa"/>
            <w:tcBorders>
              <w:top w:val="nil"/>
              <w:left w:val="single" w:sz="4" w:space="0" w:color="auto"/>
              <w:bottom w:val="nil"/>
              <w:right w:val="single" w:sz="4" w:space="0" w:color="auto"/>
            </w:tcBorders>
            <w:hideMark/>
          </w:tcPr>
          <w:p w:rsidR="003E72FE" w:rsidRDefault="003E72FE">
            <w:pPr>
              <w:pStyle w:val="Table2"/>
              <w:spacing w:line="276" w:lineRule="auto"/>
            </w:pPr>
            <w:r>
              <w:t>10 g</w:t>
            </w:r>
          </w:p>
        </w:tc>
        <w:tc>
          <w:tcPr>
            <w:tcW w:w="1653" w:type="dxa"/>
            <w:tcBorders>
              <w:top w:val="nil"/>
              <w:left w:val="single" w:sz="4" w:space="0" w:color="auto"/>
              <w:bottom w:val="nil"/>
              <w:right w:val="single" w:sz="4" w:space="0" w:color="auto"/>
            </w:tcBorders>
          </w:tcPr>
          <w:p w:rsidR="003E72FE" w:rsidRDefault="003E72FE">
            <w:pPr>
              <w:pStyle w:val="Table2"/>
              <w:spacing w:line="276" w:lineRule="auto"/>
            </w:pPr>
            <w:r>
              <w:t>Vitamin A</w:t>
            </w:r>
          </w:p>
          <w:p w:rsidR="003E72FE" w:rsidRDefault="003E72FE">
            <w:pPr>
              <w:pStyle w:val="Table2"/>
              <w:spacing w:line="276" w:lineRule="auto"/>
              <w:rPr>
                <w:lang w:bidi="ar-SA"/>
              </w:rPr>
            </w:pPr>
            <w:r>
              <w:t>Vitamin D</w:t>
            </w:r>
          </w:p>
          <w:p w:rsidR="003E72FE" w:rsidRDefault="003E72FE">
            <w:pPr>
              <w:pStyle w:val="Table2"/>
              <w:spacing w:line="276" w:lineRule="auto"/>
            </w:pPr>
          </w:p>
          <w:p w:rsidR="003E72FE" w:rsidRDefault="003E72FE">
            <w:pPr>
              <w:pStyle w:val="Table2"/>
              <w:spacing w:line="276" w:lineRule="auto"/>
            </w:pPr>
            <w:r>
              <w:t>Vitamin E</w:t>
            </w:r>
          </w:p>
        </w:tc>
        <w:tc>
          <w:tcPr>
            <w:tcW w:w="1920" w:type="dxa"/>
            <w:tcBorders>
              <w:top w:val="nil"/>
              <w:left w:val="single" w:sz="4" w:space="0" w:color="auto"/>
              <w:bottom w:val="nil"/>
              <w:right w:val="single" w:sz="4" w:space="0" w:color="auto"/>
            </w:tcBorders>
          </w:tcPr>
          <w:p w:rsidR="003E72FE" w:rsidRDefault="003E72FE">
            <w:pPr>
              <w:pStyle w:val="Table2"/>
              <w:spacing w:line="276" w:lineRule="auto"/>
            </w:pPr>
            <w:r>
              <w:t xml:space="preserve">110 </w:t>
            </w:r>
            <w:r>
              <w:sym w:font="Symbol" w:char="F06D"/>
            </w:r>
            <w:r>
              <w:t>g (15%)</w:t>
            </w:r>
          </w:p>
          <w:p w:rsidR="003E72FE" w:rsidRDefault="003E72FE">
            <w:pPr>
              <w:pStyle w:val="Table2"/>
              <w:spacing w:line="276" w:lineRule="auto"/>
              <w:rPr>
                <w:lang w:bidi="ar-SA"/>
              </w:rPr>
            </w:pPr>
            <w:r>
              <w:t xml:space="preserve">1.0 </w:t>
            </w:r>
            <w:r>
              <w:sym w:font="Symbol" w:char="F06D"/>
            </w:r>
            <w:r>
              <w:t>g (10%)</w:t>
            </w:r>
          </w:p>
          <w:p w:rsidR="003E72FE" w:rsidRDefault="003E72FE">
            <w:pPr>
              <w:pStyle w:val="Table2"/>
              <w:spacing w:line="276" w:lineRule="auto"/>
            </w:pPr>
          </w:p>
          <w:p w:rsidR="003E72FE" w:rsidRDefault="003E72FE">
            <w:pPr>
              <w:pStyle w:val="Table2"/>
              <w:spacing w:line="276" w:lineRule="auto"/>
            </w:pPr>
            <w:r>
              <w:t>3.5 mg (35%)</w:t>
            </w:r>
          </w:p>
        </w:tc>
        <w:tc>
          <w:tcPr>
            <w:tcW w:w="2013" w:type="dxa"/>
            <w:tcBorders>
              <w:top w:val="nil"/>
              <w:left w:val="single" w:sz="4" w:space="0" w:color="auto"/>
              <w:bottom w:val="nil"/>
              <w:right w:val="single" w:sz="4" w:space="0" w:color="auto"/>
            </w:tcBorders>
            <w:hideMark/>
          </w:tcPr>
          <w:p w:rsidR="003E72FE" w:rsidRDefault="003E72FE">
            <w:pPr>
              <w:pStyle w:val="Table2"/>
              <w:spacing w:line="276" w:lineRule="auto"/>
            </w:pPr>
            <w:r>
              <w:t xml:space="preserve">125 </w:t>
            </w:r>
            <w:r>
              <w:sym w:font="Symbol" w:char="F06D"/>
            </w:r>
            <w:r>
              <w:t>g</w:t>
            </w:r>
          </w:p>
          <w:p w:rsidR="003E72FE" w:rsidRDefault="003E72FE">
            <w:pPr>
              <w:pStyle w:val="Table2"/>
              <w:spacing w:line="276" w:lineRule="auto"/>
            </w:pPr>
            <w:r>
              <w:t xml:space="preserve">1.6 </w:t>
            </w:r>
            <w:r>
              <w:sym w:font="Symbol" w:char="F06D"/>
            </w:r>
            <w:r>
              <w:t>g</w:t>
            </w:r>
          </w:p>
        </w:tc>
      </w:tr>
      <w:tr w:rsidR="003E72FE" w:rsidTr="003E72FE">
        <w:trPr>
          <w:cantSplit/>
          <w:jc w:val="center"/>
        </w:trPr>
        <w:tc>
          <w:tcPr>
            <w:tcW w:w="226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r>
              <w:t>Sunflower oil and safflower oil</w:t>
            </w:r>
          </w:p>
          <w:p w:rsidR="003E72FE" w:rsidRDefault="003E72FE">
            <w:pPr>
              <w:pStyle w:val="Table2"/>
              <w:spacing w:line="276" w:lineRule="auto"/>
              <w:ind w:left="227" w:hanging="227"/>
              <w:rPr>
                <w:lang w:bidi="ar-SA"/>
              </w:rPr>
            </w:pPr>
            <w:r>
              <w:rPr>
                <w:iCs/>
              </w:rPr>
              <w:t xml:space="preserve">– </w:t>
            </w:r>
            <w:r>
              <w:tab/>
              <w:t>other edible oils – containing no more than 28% total saturated fatty acids and trans fatty acids</w:t>
            </w:r>
          </w:p>
          <w:p w:rsidR="003E72FE" w:rsidRDefault="003E72FE">
            <w:pPr>
              <w:pStyle w:val="Table2"/>
              <w:spacing w:line="276" w:lineRule="auto"/>
            </w:pPr>
          </w:p>
        </w:tc>
        <w:tc>
          <w:tcPr>
            <w:tcW w:w="1413" w:type="dxa"/>
            <w:tcBorders>
              <w:top w:val="nil"/>
              <w:left w:val="single" w:sz="4" w:space="0" w:color="auto"/>
              <w:bottom w:val="single" w:sz="4" w:space="0" w:color="auto"/>
              <w:right w:val="single" w:sz="4" w:space="0" w:color="auto"/>
            </w:tcBorders>
            <w:hideMark/>
          </w:tcPr>
          <w:p w:rsidR="003E72FE" w:rsidRDefault="003E72FE">
            <w:pPr>
              <w:pStyle w:val="Table2"/>
              <w:spacing w:line="276" w:lineRule="auto"/>
            </w:pPr>
            <w:r>
              <w:t>10 g</w:t>
            </w:r>
          </w:p>
        </w:tc>
        <w:tc>
          <w:tcPr>
            <w:tcW w:w="1653" w:type="dxa"/>
            <w:tcBorders>
              <w:top w:val="nil"/>
              <w:left w:val="single" w:sz="4" w:space="0" w:color="auto"/>
              <w:bottom w:val="single" w:sz="4" w:space="0" w:color="auto"/>
              <w:right w:val="single" w:sz="4" w:space="0" w:color="auto"/>
            </w:tcBorders>
            <w:hideMark/>
          </w:tcPr>
          <w:p w:rsidR="003E72FE" w:rsidRDefault="003E72FE">
            <w:pPr>
              <w:pStyle w:val="Table2"/>
              <w:spacing w:line="276" w:lineRule="auto"/>
            </w:pPr>
            <w:r>
              <w:t>Vitamin E</w:t>
            </w:r>
          </w:p>
        </w:tc>
        <w:tc>
          <w:tcPr>
            <w:tcW w:w="192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r>
              <w:t>7.0 mg (70%)</w:t>
            </w:r>
          </w:p>
          <w:p w:rsidR="003E72FE" w:rsidRDefault="003E72FE">
            <w:pPr>
              <w:pStyle w:val="Table2"/>
              <w:spacing w:line="276" w:lineRule="auto"/>
              <w:rPr>
                <w:lang w:bidi="ar-SA"/>
              </w:rPr>
            </w:pPr>
          </w:p>
          <w:p w:rsidR="003E72FE" w:rsidRDefault="003E72FE">
            <w:pPr>
              <w:pStyle w:val="Table2"/>
              <w:spacing w:line="276" w:lineRule="auto"/>
            </w:pPr>
            <w:r>
              <w:t>3.0 mg (30%)</w:t>
            </w:r>
          </w:p>
        </w:tc>
        <w:tc>
          <w:tcPr>
            <w:tcW w:w="2013"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r>
      <w:tr w:rsidR="003E72FE" w:rsidTr="003E72FE">
        <w:trPr>
          <w:cantSplit/>
          <w:jc w:val="center"/>
        </w:trPr>
        <w:tc>
          <w:tcPr>
            <w:tcW w:w="2260" w:type="dxa"/>
            <w:tcBorders>
              <w:top w:val="nil"/>
              <w:left w:val="single" w:sz="4" w:space="0" w:color="auto"/>
              <w:bottom w:val="nil"/>
              <w:right w:val="single" w:sz="4" w:space="0" w:color="auto"/>
            </w:tcBorders>
          </w:tcPr>
          <w:p w:rsidR="003E72FE" w:rsidRDefault="003E72FE">
            <w:pPr>
              <w:pStyle w:val="Table2"/>
              <w:spacing w:line="276" w:lineRule="auto"/>
            </w:pPr>
          </w:p>
        </w:tc>
        <w:tc>
          <w:tcPr>
            <w:tcW w:w="1413" w:type="dxa"/>
            <w:tcBorders>
              <w:top w:val="nil"/>
              <w:left w:val="single" w:sz="4" w:space="0" w:color="auto"/>
              <w:bottom w:val="nil"/>
              <w:right w:val="single" w:sz="4" w:space="0" w:color="auto"/>
            </w:tcBorders>
          </w:tcPr>
          <w:p w:rsidR="003E72FE" w:rsidRDefault="003E72FE">
            <w:pPr>
              <w:pStyle w:val="Table2"/>
              <w:spacing w:line="276" w:lineRule="auto"/>
            </w:pPr>
          </w:p>
        </w:tc>
        <w:tc>
          <w:tcPr>
            <w:tcW w:w="1653" w:type="dxa"/>
            <w:tcBorders>
              <w:top w:val="nil"/>
              <w:left w:val="single" w:sz="4" w:space="0" w:color="auto"/>
              <w:bottom w:val="nil"/>
              <w:right w:val="single" w:sz="4" w:space="0" w:color="auto"/>
            </w:tcBorders>
          </w:tcPr>
          <w:p w:rsidR="003E72FE" w:rsidRDefault="003E72FE">
            <w:pPr>
              <w:pStyle w:val="Table2"/>
              <w:spacing w:line="276" w:lineRule="auto"/>
            </w:pPr>
          </w:p>
        </w:tc>
        <w:tc>
          <w:tcPr>
            <w:tcW w:w="1920" w:type="dxa"/>
            <w:tcBorders>
              <w:top w:val="nil"/>
              <w:left w:val="single" w:sz="4" w:space="0" w:color="auto"/>
              <w:bottom w:val="nil"/>
              <w:right w:val="single" w:sz="4" w:space="0" w:color="auto"/>
            </w:tcBorders>
          </w:tcPr>
          <w:p w:rsidR="003E72FE" w:rsidRDefault="003E72FE">
            <w:pPr>
              <w:pStyle w:val="Table2"/>
              <w:spacing w:line="276" w:lineRule="auto"/>
            </w:pPr>
          </w:p>
        </w:tc>
        <w:tc>
          <w:tcPr>
            <w:tcW w:w="2013" w:type="dxa"/>
            <w:tcBorders>
              <w:top w:val="nil"/>
              <w:left w:val="single" w:sz="4" w:space="0" w:color="auto"/>
              <w:bottom w:val="nil"/>
              <w:right w:val="single" w:sz="4" w:space="0" w:color="auto"/>
            </w:tcBorders>
          </w:tcPr>
          <w:p w:rsidR="003E72FE" w:rsidRDefault="003E72FE">
            <w:pPr>
              <w:pStyle w:val="Table2"/>
              <w:spacing w:line="276" w:lineRule="auto"/>
            </w:pPr>
          </w:p>
        </w:tc>
      </w:tr>
      <w:tr w:rsidR="003E72FE" w:rsidTr="003E72FE">
        <w:trPr>
          <w:cantSplit/>
          <w:jc w:val="center"/>
        </w:trPr>
        <w:tc>
          <w:tcPr>
            <w:tcW w:w="2260" w:type="dxa"/>
            <w:tcBorders>
              <w:top w:val="single" w:sz="4" w:space="0" w:color="auto"/>
              <w:left w:val="single" w:sz="4" w:space="0" w:color="auto"/>
              <w:bottom w:val="nil"/>
              <w:right w:val="single" w:sz="4" w:space="0" w:color="auto"/>
            </w:tcBorders>
            <w:hideMark/>
          </w:tcPr>
          <w:p w:rsidR="003E72FE" w:rsidRDefault="003E72FE">
            <w:pPr>
              <w:pStyle w:val="Table1"/>
              <w:spacing w:line="276" w:lineRule="auto"/>
              <w:ind w:left="142" w:hanging="142"/>
              <w:jc w:val="left"/>
            </w:pPr>
            <w:r>
              <w:t>Fruit juice, vegetable juice, fruit drink and fruit cordial</w:t>
            </w:r>
          </w:p>
        </w:tc>
        <w:tc>
          <w:tcPr>
            <w:tcW w:w="1413"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c>
          <w:tcPr>
            <w:tcW w:w="1653"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c>
          <w:tcPr>
            <w:tcW w:w="1920"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c>
          <w:tcPr>
            <w:tcW w:w="2013"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r>
      <w:tr w:rsidR="003E72FE" w:rsidTr="003E72FE">
        <w:trPr>
          <w:cantSplit/>
          <w:jc w:val="center"/>
        </w:trPr>
        <w:tc>
          <w:tcPr>
            <w:tcW w:w="2260" w:type="dxa"/>
            <w:tcBorders>
              <w:top w:val="nil"/>
              <w:left w:val="single" w:sz="4" w:space="0" w:color="auto"/>
              <w:bottom w:val="nil"/>
              <w:right w:val="single" w:sz="4" w:space="0" w:color="auto"/>
            </w:tcBorders>
          </w:tcPr>
          <w:p w:rsidR="003E72FE" w:rsidRDefault="003E72FE">
            <w:pPr>
              <w:pStyle w:val="Table2"/>
              <w:spacing w:line="276" w:lineRule="auto"/>
            </w:pPr>
            <w:r>
              <w:t xml:space="preserve">Fruit juice, reconstituted fruit juice, concentrated fruit juice: </w:t>
            </w:r>
          </w:p>
          <w:p w:rsidR="003E72FE" w:rsidRDefault="003E72FE">
            <w:pPr>
              <w:pStyle w:val="Table2"/>
              <w:spacing w:line="276" w:lineRule="auto"/>
              <w:ind w:left="170" w:hanging="170"/>
              <w:rPr>
                <w:lang w:bidi="ar-SA"/>
              </w:rPr>
            </w:pPr>
            <w:r>
              <w:rPr>
                <w:iCs/>
              </w:rPr>
              <w:t xml:space="preserve">– </w:t>
            </w:r>
            <w:r>
              <w:tab/>
              <w:t>Blackcurrant</w:t>
            </w:r>
          </w:p>
          <w:p w:rsidR="003E72FE" w:rsidRDefault="003E72FE">
            <w:pPr>
              <w:pStyle w:val="Table2"/>
              <w:spacing w:line="276" w:lineRule="auto"/>
              <w:ind w:left="170" w:hanging="170"/>
            </w:pPr>
            <w:r>
              <w:rPr>
                <w:iCs/>
              </w:rPr>
              <w:t xml:space="preserve">– </w:t>
            </w:r>
            <w:r>
              <w:tab/>
              <w:t>Guava</w:t>
            </w:r>
          </w:p>
          <w:p w:rsidR="003E72FE" w:rsidRDefault="003E72FE">
            <w:pPr>
              <w:pStyle w:val="Table2"/>
              <w:spacing w:line="276" w:lineRule="auto"/>
              <w:ind w:left="170" w:hanging="170"/>
            </w:pPr>
            <w:r>
              <w:rPr>
                <w:iCs/>
              </w:rPr>
              <w:t xml:space="preserve">– </w:t>
            </w:r>
            <w:r>
              <w:tab/>
              <w:t>Other fruit juice</w:t>
            </w:r>
          </w:p>
          <w:p w:rsidR="003E72FE" w:rsidRDefault="003E72FE">
            <w:pPr>
              <w:pStyle w:val="Table2"/>
              <w:spacing w:line="276" w:lineRule="auto"/>
              <w:ind w:left="170" w:hanging="170"/>
            </w:pPr>
            <w:r>
              <w:rPr>
                <w:iCs/>
              </w:rPr>
              <w:t xml:space="preserve">– </w:t>
            </w:r>
            <w:r>
              <w:tab/>
              <w:t>Mango</w:t>
            </w:r>
          </w:p>
          <w:p w:rsidR="003E72FE" w:rsidRDefault="003E72FE">
            <w:pPr>
              <w:pStyle w:val="Table2"/>
              <w:spacing w:line="276" w:lineRule="auto"/>
              <w:ind w:left="170" w:hanging="170"/>
              <w:rPr>
                <w:iCs/>
              </w:rPr>
            </w:pPr>
          </w:p>
          <w:p w:rsidR="003E72FE" w:rsidRDefault="003E72FE">
            <w:pPr>
              <w:pStyle w:val="Table2"/>
              <w:spacing w:line="276" w:lineRule="auto"/>
              <w:ind w:left="170" w:hanging="170"/>
            </w:pPr>
            <w:r>
              <w:rPr>
                <w:iCs/>
              </w:rPr>
              <w:t xml:space="preserve">– </w:t>
            </w:r>
            <w:r>
              <w:tab/>
              <w:t>Pawpaw</w:t>
            </w:r>
          </w:p>
          <w:p w:rsidR="003E72FE" w:rsidRDefault="003E72FE">
            <w:pPr>
              <w:pStyle w:val="Table2"/>
              <w:spacing w:line="276" w:lineRule="auto"/>
              <w:ind w:left="170" w:hanging="170"/>
            </w:pPr>
            <w:r>
              <w:rPr>
                <w:iCs/>
              </w:rPr>
              <w:t xml:space="preserve">– </w:t>
            </w:r>
            <w:r>
              <w:tab/>
              <w:t>Other fruit juice</w:t>
            </w:r>
          </w:p>
          <w:p w:rsidR="003E72FE" w:rsidRDefault="003E72FE">
            <w:pPr>
              <w:pStyle w:val="Table2"/>
              <w:spacing w:line="276" w:lineRule="auto"/>
            </w:pPr>
          </w:p>
        </w:tc>
        <w:tc>
          <w:tcPr>
            <w:tcW w:w="1413" w:type="dxa"/>
            <w:tcBorders>
              <w:top w:val="nil"/>
              <w:left w:val="single" w:sz="4" w:space="0" w:color="auto"/>
              <w:bottom w:val="nil"/>
              <w:right w:val="single" w:sz="4" w:space="0" w:color="auto"/>
            </w:tcBorders>
            <w:hideMark/>
          </w:tcPr>
          <w:p w:rsidR="003E72FE" w:rsidRDefault="003E72FE">
            <w:pPr>
              <w:pStyle w:val="Table2"/>
              <w:spacing w:line="276" w:lineRule="auto"/>
            </w:pPr>
            <w:r>
              <w:t>200 mL</w:t>
            </w:r>
          </w:p>
        </w:tc>
        <w:tc>
          <w:tcPr>
            <w:tcW w:w="1653" w:type="dxa"/>
            <w:tcBorders>
              <w:top w:val="nil"/>
              <w:left w:val="single" w:sz="4" w:space="0" w:color="auto"/>
              <w:bottom w:val="nil"/>
              <w:right w:val="single" w:sz="4" w:space="0" w:color="auto"/>
            </w:tcBorders>
          </w:tcPr>
          <w:p w:rsidR="003E72FE" w:rsidRDefault="003E72FE">
            <w:pPr>
              <w:pStyle w:val="Table2"/>
              <w:spacing w:line="276" w:lineRule="auto"/>
            </w:pPr>
            <w:r>
              <w:t>Calcium</w:t>
            </w:r>
          </w:p>
          <w:p w:rsidR="003E72FE" w:rsidRDefault="003E72FE">
            <w:pPr>
              <w:pStyle w:val="Table2"/>
              <w:spacing w:line="276" w:lineRule="auto"/>
              <w:rPr>
                <w:lang w:bidi="ar-SA"/>
              </w:rPr>
            </w:pPr>
            <w:r>
              <w:t>Folate</w:t>
            </w:r>
          </w:p>
          <w:p w:rsidR="003E72FE" w:rsidRDefault="003E72FE">
            <w:pPr>
              <w:pStyle w:val="Table2"/>
              <w:spacing w:line="276" w:lineRule="auto"/>
            </w:pPr>
          </w:p>
          <w:p w:rsidR="003E72FE" w:rsidRDefault="003E72FE">
            <w:pPr>
              <w:pStyle w:val="Table2"/>
              <w:spacing w:line="276" w:lineRule="auto"/>
            </w:pPr>
            <w:r>
              <w:t>Vitamin C</w:t>
            </w:r>
          </w:p>
          <w:p w:rsidR="003E72FE" w:rsidRDefault="003E72FE">
            <w:pPr>
              <w:pStyle w:val="Table2"/>
              <w:spacing w:line="276" w:lineRule="auto"/>
            </w:pPr>
          </w:p>
          <w:p w:rsidR="003E72FE" w:rsidRDefault="003E72FE">
            <w:pPr>
              <w:pStyle w:val="Table2"/>
              <w:spacing w:line="276" w:lineRule="auto"/>
            </w:pPr>
          </w:p>
          <w:p w:rsidR="003E72FE" w:rsidRDefault="003E72FE">
            <w:pPr>
              <w:pStyle w:val="Table2"/>
              <w:spacing w:line="276" w:lineRule="auto"/>
            </w:pPr>
            <w:r>
              <w:t>Carotene forms of Vitamin A</w:t>
            </w:r>
          </w:p>
        </w:tc>
        <w:tc>
          <w:tcPr>
            <w:tcW w:w="1920" w:type="dxa"/>
            <w:tcBorders>
              <w:top w:val="nil"/>
              <w:left w:val="single" w:sz="4" w:space="0" w:color="auto"/>
              <w:bottom w:val="nil"/>
              <w:right w:val="single" w:sz="4" w:space="0" w:color="auto"/>
            </w:tcBorders>
          </w:tcPr>
          <w:p w:rsidR="003E72FE" w:rsidRDefault="003E72FE">
            <w:pPr>
              <w:pStyle w:val="Table2"/>
              <w:spacing w:line="276" w:lineRule="auto"/>
            </w:pPr>
            <w:r>
              <w:t>200 mg (25%)</w:t>
            </w:r>
          </w:p>
          <w:p w:rsidR="003E72FE" w:rsidRDefault="003E72FE">
            <w:pPr>
              <w:pStyle w:val="Table2"/>
              <w:spacing w:line="276" w:lineRule="auto"/>
              <w:rPr>
                <w:lang w:bidi="ar-SA"/>
              </w:rPr>
            </w:pPr>
            <w:r>
              <w:t xml:space="preserve">100 </w:t>
            </w:r>
            <w:r>
              <w:sym w:font="Symbol" w:char="F06D"/>
            </w:r>
            <w:r>
              <w:t>g (50%)</w:t>
            </w:r>
          </w:p>
          <w:p w:rsidR="003E72FE" w:rsidRDefault="003E72FE">
            <w:pPr>
              <w:pStyle w:val="Table2"/>
              <w:spacing w:line="276" w:lineRule="auto"/>
            </w:pPr>
          </w:p>
          <w:p w:rsidR="003E72FE" w:rsidRDefault="003E72FE">
            <w:pPr>
              <w:pStyle w:val="Table2"/>
              <w:spacing w:line="276" w:lineRule="auto"/>
            </w:pPr>
            <w:r>
              <w:t>500 mg (12.5 times)</w:t>
            </w:r>
          </w:p>
          <w:p w:rsidR="003E72FE" w:rsidRDefault="003E72FE">
            <w:pPr>
              <w:pStyle w:val="Table2"/>
              <w:spacing w:line="276" w:lineRule="auto"/>
            </w:pPr>
            <w:r>
              <w:t>400 mg (10 times)</w:t>
            </w:r>
          </w:p>
          <w:p w:rsidR="003E72FE" w:rsidRDefault="003E72FE">
            <w:pPr>
              <w:pStyle w:val="Table2"/>
              <w:spacing w:line="276" w:lineRule="auto"/>
            </w:pPr>
            <w:r>
              <w:t>120 mg (3 times)</w:t>
            </w:r>
          </w:p>
          <w:p w:rsidR="003E72FE" w:rsidRDefault="003E72FE">
            <w:pPr>
              <w:pStyle w:val="Table2"/>
              <w:spacing w:line="276" w:lineRule="auto"/>
            </w:pPr>
            <w:r>
              <w:t xml:space="preserve">800 </w:t>
            </w:r>
            <w:r>
              <w:sym w:font="Symbol" w:char="F06D"/>
            </w:r>
            <w:r>
              <w:t>g (1.1 times)</w:t>
            </w:r>
          </w:p>
          <w:p w:rsidR="003E72FE" w:rsidRDefault="003E72FE">
            <w:pPr>
              <w:pStyle w:val="Table2"/>
              <w:spacing w:line="276" w:lineRule="auto"/>
            </w:pPr>
          </w:p>
          <w:p w:rsidR="003E72FE" w:rsidRDefault="003E72FE">
            <w:pPr>
              <w:pStyle w:val="Table2"/>
              <w:spacing w:line="276" w:lineRule="auto"/>
            </w:pPr>
            <w:r>
              <w:t xml:space="preserve">300 </w:t>
            </w:r>
            <w:r>
              <w:sym w:font="Symbol" w:char="F06D"/>
            </w:r>
            <w:r>
              <w:t>g (40%)</w:t>
            </w:r>
          </w:p>
          <w:p w:rsidR="003E72FE" w:rsidRDefault="003E72FE">
            <w:pPr>
              <w:pStyle w:val="Table2"/>
              <w:spacing w:line="276" w:lineRule="auto"/>
            </w:pPr>
            <w:r>
              <w:t xml:space="preserve">200 </w:t>
            </w:r>
            <w:r>
              <w:sym w:font="Symbol" w:char="F06D"/>
            </w:r>
            <w:r>
              <w:t>g (25%)</w:t>
            </w:r>
          </w:p>
        </w:tc>
        <w:tc>
          <w:tcPr>
            <w:tcW w:w="2013" w:type="dxa"/>
            <w:tcBorders>
              <w:top w:val="nil"/>
              <w:left w:val="single" w:sz="4" w:space="0" w:color="auto"/>
              <w:bottom w:val="nil"/>
              <w:right w:val="single" w:sz="4" w:space="0" w:color="auto"/>
            </w:tcBorders>
          </w:tcPr>
          <w:p w:rsidR="003E72FE" w:rsidRDefault="003E72FE">
            <w:pPr>
              <w:pStyle w:val="Table2"/>
              <w:spacing w:line="276" w:lineRule="auto"/>
            </w:pPr>
          </w:p>
        </w:tc>
      </w:tr>
      <w:tr w:rsidR="003E72FE" w:rsidTr="003E72FE">
        <w:trPr>
          <w:cantSplit/>
          <w:jc w:val="center"/>
        </w:trPr>
        <w:tc>
          <w:tcPr>
            <w:tcW w:w="2260" w:type="dxa"/>
            <w:tcBorders>
              <w:top w:val="nil"/>
              <w:left w:val="single" w:sz="4" w:space="0" w:color="auto"/>
              <w:bottom w:val="nil"/>
              <w:right w:val="single" w:sz="4" w:space="0" w:color="auto"/>
            </w:tcBorders>
            <w:hideMark/>
          </w:tcPr>
          <w:p w:rsidR="003E72FE" w:rsidRDefault="003E72FE">
            <w:pPr>
              <w:pStyle w:val="Table2"/>
              <w:spacing w:line="276" w:lineRule="auto"/>
            </w:pPr>
            <w:r>
              <w:t>Tomato juice, concentrated tomato juice</w:t>
            </w:r>
          </w:p>
        </w:tc>
        <w:tc>
          <w:tcPr>
            <w:tcW w:w="1413" w:type="dxa"/>
            <w:tcBorders>
              <w:top w:val="nil"/>
              <w:left w:val="single" w:sz="4" w:space="0" w:color="auto"/>
              <w:bottom w:val="nil"/>
              <w:right w:val="single" w:sz="4" w:space="0" w:color="auto"/>
            </w:tcBorders>
            <w:hideMark/>
          </w:tcPr>
          <w:p w:rsidR="003E72FE" w:rsidRDefault="003E72FE">
            <w:pPr>
              <w:pStyle w:val="Table2"/>
              <w:spacing w:line="276" w:lineRule="auto"/>
            </w:pPr>
            <w:r>
              <w:t>200 mL</w:t>
            </w:r>
          </w:p>
        </w:tc>
        <w:tc>
          <w:tcPr>
            <w:tcW w:w="1653" w:type="dxa"/>
            <w:tcBorders>
              <w:top w:val="nil"/>
              <w:left w:val="single" w:sz="4" w:space="0" w:color="auto"/>
              <w:bottom w:val="nil"/>
              <w:right w:val="single" w:sz="4" w:space="0" w:color="auto"/>
            </w:tcBorders>
          </w:tcPr>
          <w:p w:rsidR="003E72FE" w:rsidRDefault="003E72FE">
            <w:pPr>
              <w:pStyle w:val="Table2"/>
              <w:spacing w:line="276" w:lineRule="auto"/>
            </w:pPr>
            <w:r>
              <w:t>Vitamin C</w:t>
            </w:r>
          </w:p>
          <w:p w:rsidR="003E72FE" w:rsidRDefault="003E72FE">
            <w:pPr>
              <w:pStyle w:val="Table2"/>
              <w:spacing w:line="276" w:lineRule="auto"/>
              <w:rPr>
                <w:lang w:bidi="ar-SA"/>
              </w:rPr>
            </w:pPr>
            <w:r>
              <w:t>Carotene forms of Vitamin A</w:t>
            </w:r>
          </w:p>
          <w:p w:rsidR="003E72FE" w:rsidRDefault="003E72FE">
            <w:pPr>
              <w:pStyle w:val="Table2"/>
              <w:spacing w:line="276" w:lineRule="auto"/>
            </w:pPr>
            <w:r>
              <w:t>Folate</w:t>
            </w:r>
          </w:p>
          <w:p w:rsidR="003E72FE" w:rsidRDefault="003E72FE">
            <w:pPr>
              <w:pStyle w:val="Table2"/>
              <w:spacing w:line="276" w:lineRule="auto"/>
            </w:pPr>
            <w:r>
              <w:t>Calcium</w:t>
            </w:r>
          </w:p>
          <w:p w:rsidR="003E72FE" w:rsidRDefault="003E72FE">
            <w:pPr>
              <w:pStyle w:val="Table2"/>
              <w:spacing w:line="276" w:lineRule="auto"/>
            </w:pPr>
          </w:p>
        </w:tc>
        <w:tc>
          <w:tcPr>
            <w:tcW w:w="1920" w:type="dxa"/>
            <w:tcBorders>
              <w:top w:val="nil"/>
              <w:left w:val="single" w:sz="4" w:space="0" w:color="auto"/>
              <w:bottom w:val="nil"/>
              <w:right w:val="single" w:sz="4" w:space="0" w:color="auto"/>
            </w:tcBorders>
          </w:tcPr>
          <w:p w:rsidR="003E72FE" w:rsidRDefault="003E72FE">
            <w:pPr>
              <w:pStyle w:val="Table2"/>
              <w:spacing w:line="276" w:lineRule="auto"/>
            </w:pPr>
            <w:r>
              <w:t>60 mg (1.5 times)</w:t>
            </w:r>
          </w:p>
          <w:p w:rsidR="003E72FE" w:rsidRDefault="003E72FE">
            <w:pPr>
              <w:pStyle w:val="Table2"/>
              <w:spacing w:line="276" w:lineRule="auto"/>
              <w:rPr>
                <w:lang w:bidi="ar-SA"/>
              </w:rPr>
            </w:pPr>
            <w:r>
              <w:t xml:space="preserve">200 </w:t>
            </w:r>
            <w:r>
              <w:sym w:font="Symbol" w:char="F06D"/>
            </w:r>
            <w:r>
              <w:t>g (25%)</w:t>
            </w:r>
          </w:p>
          <w:p w:rsidR="003E72FE" w:rsidRDefault="003E72FE">
            <w:pPr>
              <w:pStyle w:val="Table2"/>
              <w:spacing w:line="276" w:lineRule="auto"/>
            </w:pPr>
          </w:p>
          <w:p w:rsidR="003E72FE" w:rsidRDefault="003E72FE">
            <w:pPr>
              <w:pStyle w:val="Table2"/>
              <w:spacing w:line="276" w:lineRule="auto"/>
            </w:pPr>
            <w:r>
              <w:t xml:space="preserve">100 </w:t>
            </w:r>
            <w:r>
              <w:sym w:font="Symbol" w:char="F06D"/>
            </w:r>
            <w:r>
              <w:t>g (50%)</w:t>
            </w:r>
          </w:p>
          <w:p w:rsidR="003E72FE" w:rsidRDefault="003E72FE">
            <w:pPr>
              <w:pStyle w:val="Table2"/>
              <w:spacing w:line="276" w:lineRule="auto"/>
            </w:pPr>
            <w:r>
              <w:t>200 mg (25%)</w:t>
            </w:r>
          </w:p>
        </w:tc>
        <w:tc>
          <w:tcPr>
            <w:tcW w:w="2013" w:type="dxa"/>
            <w:tcBorders>
              <w:top w:val="nil"/>
              <w:left w:val="single" w:sz="4" w:space="0" w:color="auto"/>
              <w:bottom w:val="nil"/>
              <w:right w:val="single" w:sz="4" w:space="0" w:color="auto"/>
            </w:tcBorders>
          </w:tcPr>
          <w:p w:rsidR="003E72FE" w:rsidRDefault="003E72FE">
            <w:pPr>
              <w:tabs>
                <w:tab w:val="left" w:pos="851"/>
              </w:tabs>
              <w:spacing w:line="276" w:lineRule="auto"/>
            </w:pPr>
          </w:p>
        </w:tc>
      </w:tr>
      <w:tr w:rsidR="003E72FE" w:rsidTr="003E72FE">
        <w:trPr>
          <w:cantSplit/>
          <w:jc w:val="center"/>
        </w:trPr>
        <w:tc>
          <w:tcPr>
            <w:tcW w:w="2260" w:type="dxa"/>
            <w:tcBorders>
              <w:top w:val="nil"/>
              <w:left w:val="single" w:sz="4" w:space="0" w:color="auto"/>
              <w:bottom w:val="nil"/>
              <w:right w:val="single" w:sz="4" w:space="0" w:color="auto"/>
            </w:tcBorders>
            <w:hideMark/>
          </w:tcPr>
          <w:p w:rsidR="003E72FE" w:rsidRDefault="003E72FE">
            <w:pPr>
              <w:pStyle w:val="Table2"/>
              <w:spacing w:line="276" w:lineRule="auto"/>
            </w:pPr>
            <w:r>
              <w:lastRenderedPageBreak/>
              <w:t>Vegetable juice</w:t>
            </w:r>
          </w:p>
        </w:tc>
        <w:tc>
          <w:tcPr>
            <w:tcW w:w="1413" w:type="dxa"/>
            <w:tcBorders>
              <w:top w:val="nil"/>
              <w:left w:val="single" w:sz="4" w:space="0" w:color="auto"/>
              <w:bottom w:val="nil"/>
              <w:right w:val="single" w:sz="4" w:space="0" w:color="auto"/>
            </w:tcBorders>
            <w:hideMark/>
          </w:tcPr>
          <w:p w:rsidR="003E72FE" w:rsidRDefault="003E72FE">
            <w:pPr>
              <w:pStyle w:val="Table2"/>
              <w:spacing w:line="276" w:lineRule="auto"/>
            </w:pPr>
            <w:r>
              <w:t>200 mL</w:t>
            </w:r>
          </w:p>
        </w:tc>
        <w:tc>
          <w:tcPr>
            <w:tcW w:w="1653" w:type="dxa"/>
            <w:tcBorders>
              <w:top w:val="nil"/>
              <w:left w:val="single" w:sz="4" w:space="0" w:color="auto"/>
              <w:bottom w:val="nil"/>
              <w:right w:val="single" w:sz="4" w:space="0" w:color="auto"/>
            </w:tcBorders>
          </w:tcPr>
          <w:p w:rsidR="003E72FE" w:rsidRDefault="003E72FE">
            <w:pPr>
              <w:pStyle w:val="Table2"/>
              <w:spacing w:line="276" w:lineRule="auto"/>
            </w:pPr>
            <w:r>
              <w:t>Vitamin C</w:t>
            </w:r>
          </w:p>
          <w:p w:rsidR="003E72FE" w:rsidRDefault="003E72FE">
            <w:pPr>
              <w:pStyle w:val="Table2"/>
              <w:spacing w:line="276" w:lineRule="auto"/>
              <w:rPr>
                <w:lang w:bidi="ar-SA"/>
              </w:rPr>
            </w:pPr>
            <w:r>
              <w:t>Carotene forms of Vitamin A</w:t>
            </w:r>
          </w:p>
          <w:p w:rsidR="003E72FE" w:rsidRDefault="003E72FE">
            <w:pPr>
              <w:pStyle w:val="Table2"/>
              <w:spacing w:line="276" w:lineRule="auto"/>
            </w:pPr>
            <w:r>
              <w:t>Folate</w:t>
            </w:r>
          </w:p>
          <w:p w:rsidR="003E72FE" w:rsidRDefault="003E72FE">
            <w:pPr>
              <w:pStyle w:val="Table2"/>
              <w:spacing w:line="276" w:lineRule="auto"/>
            </w:pPr>
            <w:r>
              <w:t>Calcium</w:t>
            </w:r>
          </w:p>
          <w:p w:rsidR="003E72FE" w:rsidRDefault="003E72FE">
            <w:pPr>
              <w:pStyle w:val="Table2"/>
              <w:spacing w:line="276" w:lineRule="auto"/>
            </w:pPr>
          </w:p>
        </w:tc>
        <w:tc>
          <w:tcPr>
            <w:tcW w:w="1920" w:type="dxa"/>
            <w:tcBorders>
              <w:top w:val="nil"/>
              <w:left w:val="single" w:sz="4" w:space="0" w:color="auto"/>
              <w:bottom w:val="nil"/>
              <w:right w:val="single" w:sz="4" w:space="0" w:color="auto"/>
            </w:tcBorders>
          </w:tcPr>
          <w:p w:rsidR="003E72FE" w:rsidRDefault="003E72FE">
            <w:pPr>
              <w:pStyle w:val="Table2"/>
              <w:spacing w:line="276" w:lineRule="auto"/>
            </w:pPr>
            <w:r>
              <w:t>60 mg (1.5 times)</w:t>
            </w:r>
          </w:p>
          <w:p w:rsidR="003E72FE" w:rsidRDefault="003E72FE">
            <w:pPr>
              <w:pStyle w:val="Table2"/>
              <w:spacing w:line="276" w:lineRule="auto"/>
              <w:rPr>
                <w:lang w:bidi="ar-SA"/>
              </w:rPr>
            </w:pPr>
            <w:r>
              <w:t xml:space="preserve">200 </w:t>
            </w:r>
            <w:r>
              <w:sym w:font="Symbol" w:char="F06D"/>
            </w:r>
            <w:r>
              <w:t>g (25%)</w:t>
            </w:r>
          </w:p>
          <w:p w:rsidR="003E72FE" w:rsidRDefault="003E72FE">
            <w:pPr>
              <w:pStyle w:val="Table2"/>
              <w:spacing w:line="276" w:lineRule="auto"/>
            </w:pPr>
          </w:p>
          <w:p w:rsidR="003E72FE" w:rsidRDefault="003E72FE">
            <w:pPr>
              <w:pStyle w:val="Table2"/>
              <w:spacing w:line="276" w:lineRule="auto"/>
            </w:pPr>
            <w:r>
              <w:t xml:space="preserve">100 </w:t>
            </w:r>
            <w:r>
              <w:sym w:font="Symbol" w:char="F06D"/>
            </w:r>
            <w:r>
              <w:t>g (50%)</w:t>
            </w:r>
          </w:p>
          <w:p w:rsidR="003E72FE" w:rsidRDefault="003E72FE">
            <w:pPr>
              <w:pStyle w:val="Table2"/>
              <w:spacing w:line="276" w:lineRule="auto"/>
            </w:pPr>
            <w:r>
              <w:t>200 mg (25%)</w:t>
            </w:r>
          </w:p>
        </w:tc>
        <w:tc>
          <w:tcPr>
            <w:tcW w:w="2013" w:type="dxa"/>
            <w:tcBorders>
              <w:top w:val="nil"/>
              <w:left w:val="single" w:sz="4" w:space="0" w:color="auto"/>
              <w:bottom w:val="nil"/>
              <w:right w:val="single" w:sz="4" w:space="0" w:color="auto"/>
            </w:tcBorders>
          </w:tcPr>
          <w:p w:rsidR="003E72FE" w:rsidRDefault="003E72FE">
            <w:pPr>
              <w:pStyle w:val="Table2"/>
              <w:spacing w:line="276" w:lineRule="auto"/>
            </w:pPr>
          </w:p>
        </w:tc>
      </w:tr>
      <w:tr w:rsidR="003E72FE" w:rsidTr="003E72FE">
        <w:trPr>
          <w:cantSplit/>
          <w:jc w:val="center"/>
        </w:trPr>
        <w:tc>
          <w:tcPr>
            <w:tcW w:w="226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r>
              <w:t>Fruit and/or vegetable drinks containing at least 250 mL/L of the juice, puree of comminution of the fruit and/or vegetable; fruit and/or vegetable drink concentrate which contains in a reference quantity at least        250 mL/L of the juice, puree or comminution of the fruit and/or vegetable</w:t>
            </w:r>
          </w:p>
          <w:p w:rsidR="003E72FE" w:rsidRDefault="003E72FE">
            <w:pPr>
              <w:pStyle w:val="Table2"/>
              <w:spacing w:line="276" w:lineRule="auto"/>
            </w:pPr>
          </w:p>
        </w:tc>
        <w:tc>
          <w:tcPr>
            <w:tcW w:w="1413" w:type="dxa"/>
            <w:tcBorders>
              <w:top w:val="nil"/>
              <w:left w:val="single" w:sz="4" w:space="0" w:color="auto"/>
              <w:bottom w:val="single" w:sz="4" w:space="0" w:color="auto"/>
              <w:right w:val="single" w:sz="4" w:space="0" w:color="auto"/>
            </w:tcBorders>
            <w:hideMark/>
          </w:tcPr>
          <w:p w:rsidR="003E72FE" w:rsidRDefault="003E72FE">
            <w:pPr>
              <w:pStyle w:val="Table2"/>
              <w:spacing w:line="276" w:lineRule="auto"/>
            </w:pPr>
            <w:r>
              <w:t>200 mL</w:t>
            </w:r>
          </w:p>
        </w:tc>
        <w:tc>
          <w:tcPr>
            <w:tcW w:w="1653" w:type="dxa"/>
            <w:tcBorders>
              <w:top w:val="nil"/>
              <w:left w:val="single" w:sz="4" w:space="0" w:color="auto"/>
              <w:bottom w:val="single" w:sz="4" w:space="0" w:color="auto"/>
              <w:right w:val="single" w:sz="4" w:space="0" w:color="auto"/>
            </w:tcBorders>
            <w:hideMark/>
          </w:tcPr>
          <w:p w:rsidR="003E72FE" w:rsidRDefault="003E72FE">
            <w:pPr>
              <w:pStyle w:val="Table2"/>
              <w:spacing w:line="276" w:lineRule="auto"/>
            </w:pPr>
            <w:r>
              <w:t>Folate</w:t>
            </w:r>
          </w:p>
          <w:p w:rsidR="003E72FE" w:rsidRDefault="003E72FE">
            <w:pPr>
              <w:pStyle w:val="Table2"/>
              <w:spacing w:line="276" w:lineRule="auto"/>
              <w:rPr>
                <w:lang w:bidi="ar-SA"/>
              </w:rPr>
            </w:pPr>
            <w:r>
              <w:t>Vitamin C</w:t>
            </w:r>
          </w:p>
          <w:p w:rsidR="003E72FE" w:rsidRDefault="003E72FE">
            <w:pPr>
              <w:pStyle w:val="Table2"/>
              <w:spacing w:line="276" w:lineRule="auto"/>
            </w:pPr>
            <w:r>
              <w:t>Carotene forms of vitamin A</w:t>
            </w:r>
          </w:p>
          <w:p w:rsidR="003E72FE" w:rsidRDefault="003E72FE">
            <w:pPr>
              <w:pStyle w:val="Table2"/>
              <w:spacing w:line="276" w:lineRule="auto"/>
            </w:pPr>
            <w:r>
              <w:t>Calcium</w:t>
            </w:r>
          </w:p>
        </w:tc>
        <w:tc>
          <w:tcPr>
            <w:tcW w:w="192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r>
              <w:t>refer to clause 8</w:t>
            </w:r>
          </w:p>
          <w:p w:rsidR="003E72FE" w:rsidRDefault="003E72FE">
            <w:pPr>
              <w:pStyle w:val="Table2"/>
              <w:spacing w:line="276" w:lineRule="auto"/>
              <w:rPr>
                <w:lang w:bidi="ar-SA"/>
              </w:rPr>
            </w:pPr>
            <w:r>
              <w:t>refer to clause 8</w:t>
            </w:r>
          </w:p>
          <w:p w:rsidR="003E72FE" w:rsidRDefault="003E72FE">
            <w:pPr>
              <w:pStyle w:val="Table2"/>
              <w:spacing w:line="276" w:lineRule="auto"/>
            </w:pPr>
            <w:r>
              <w:t>refer to clause 8</w:t>
            </w:r>
          </w:p>
          <w:p w:rsidR="003E72FE" w:rsidRDefault="003E72FE">
            <w:pPr>
              <w:pStyle w:val="Table2"/>
              <w:spacing w:line="276" w:lineRule="auto"/>
            </w:pPr>
          </w:p>
          <w:p w:rsidR="003E72FE" w:rsidRDefault="003E72FE">
            <w:pPr>
              <w:pStyle w:val="Table2"/>
              <w:spacing w:line="276" w:lineRule="auto"/>
            </w:pPr>
            <w:r>
              <w:t>200 mg (25%)</w:t>
            </w:r>
          </w:p>
        </w:tc>
        <w:tc>
          <w:tcPr>
            <w:tcW w:w="2013"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r>
    </w:tbl>
    <w:p w:rsidR="003E72FE" w:rsidRDefault="003E72FE" w:rsidP="003E72FE">
      <w:pPr>
        <w:rPr>
          <w:i/>
          <w:sz w:val="20"/>
          <w:szCs w:val="20"/>
        </w:rPr>
      </w:pPr>
    </w:p>
    <w:p w:rsidR="003E72FE" w:rsidRDefault="003E72FE" w:rsidP="003E72FE">
      <w:pPr>
        <w:pStyle w:val="Clause"/>
        <w:rPr>
          <w:i/>
          <w:iCs/>
          <w:lang w:bidi="ar-SA"/>
        </w:rPr>
      </w:pPr>
      <w:r>
        <w:rPr>
          <w:i/>
          <w:iCs/>
        </w:rPr>
        <w:t xml:space="preserve">substituting – </w:t>
      </w:r>
    </w:p>
    <w:p w:rsidR="003E72FE" w:rsidRPr="003E72FE" w:rsidRDefault="003E72FE" w:rsidP="003E72FE">
      <w:pPr>
        <w:rPr>
          <w:i/>
          <w:sz w:val="20"/>
          <w:szCs w:val="20"/>
        </w:rPr>
      </w:pPr>
    </w:p>
    <w:tbl>
      <w:tblPr>
        <w:tblW w:w="9255" w:type="dxa"/>
        <w:jc w:val="center"/>
        <w:tblBorders>
          <w:top w:val="single" w:sz="4" w:space="0" w:color="auto"/>
          <w:left w:val="single" w:sz="4" w:space="0" w:color="auto"/>
          <w:bottom w:val="single" w:sz="4" w:space="0" w:color="auto"/>
          <w:right w:val="single" w:sz="4" w:space="0" w:color="auto"/>
        </w:tblBorders>
        <w:tblLayout w:type="fixed"/>
        <w:tblCellMar>
          <w:left w:w="79" w:type="dxa"/>
          <w:right w:w="79" w:type="dxa"/>
        </w:tblCellMar>
        <w:tblLook w:val="04A0" w:firstRow="1" w:lastRow="0" w:firstColumn="1" w:lastColumn="0" w:noHBand="0" w:noVBand="1"/>
      </w:tblPr>
      <w:tblGrid>
        <w:gridCol w:w="2260"/>
        <w:gridCol w:w="1412"/>
        <w:gridCol w:w="1652"/>
        <w:gridCol w:w="1919"/>
        <w:gridCol w:w="2012"/>
      </w:tblGrid>
      <w:tr w:rsidR="003E72FE" w:rsidTr="003E72FE">
        <w:trPr>
          <w:cantSplit/>
          <w:jc w:val="center"/>
        </w:trPr>
        <w:tc>
          <w:tcPr>
            <w:tcW w:w="2260" w:type="dxa"/>
            <w:tcBorders>
              <w:top w:val="single" w:sz="4" w:space="0" w:color="auto"/>
              <w:left w:val="single" w:sz="4" w:space="0" w:color="auto"/>
              <w:bottom w:val="nil"/>
              <w:right w:val="single" w:sz="4" w:space="0" w:color="auto"/>
            </w:tcBorders>
            <w:hideMark/>
          </w:tcPr>
          <w:p w:rsidR="003E72FE" w:rsidRDefault="003E72FE">
            <w:pPr>
              <w:pStyle w:val="Table1"/>
              <w:spacing w:line="276" w:lineRule="auto"/>
              <w:jc w:val="left"/>
            </w:pPr>
            <w:r>
              <w:t>Edible oils and spreads</w:t>
            </w:r>
          </w:p>
        </w:tc>
        <w:tc>
          <w:tcPr>
            <w:tcW w:w="1413"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c>
          <w:tcPr>
            <w:tcW w:w="1653"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c>
          <w:tcPr>
            <w:tcW w:w="1920"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c>
          <w:tcPr>
            <w:tcW w:w="2013"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r>
      <w:tr w:rsidR="003E72FE" w:rsidTr="003E72FE">
        <w:trPr>
          <w:cantSplit/>
          <w:jc w:val="center"/>
        </w:trPr>
        <w:tc>
          <w:tcPr>
            <w:tcW w:w="2260" w:type="dxa"/>
            <w:tcBorders>
              <w:top w:val="nil"/>
              <w:left w:val="single" w:sz="4" w:space="0" w:color="auto"/>
              <w:bottom w:val="nil"/>
              <w:right w:val="single" w:sz="4" w:space="0" w:color="auto"/>
            </w:tcBorders>
          </w:tcPr>
          <w:p w:rsidR="003E72FE" w:rsidRDefault="003E72FE">
            <w:pPr>
              <w:pStyle w:val="Table2"/>
              <w:spacing w:line="276" w:lineRule="auto"/>
            </w:pPr>
            <w:r>
              <w:t xml:space="preserve">Edible oil spreads and margarine </w:t>
            </w:r>
          </w:p>
          <w:p w:rsidR="003E72FE" w:rsidRDefault="003E72FE">
            <w:pPr>
              <w:pStyle w:val="Table2"/>
              <w:spacing w:line="276" w:lineRule="auto"/>
              <w:rPr>
                <w:lang w:bidi="ar-SA"/>
              </w:rPr>
            </w:pPr>
          </w:p>
          <w:p w:rsidR="003E72FE" w:rsidRDefault="003E72FE">
            <w:pPr>
              <w:pStyle w:val="Table2"/>
              <w:spacing w:line="276" w:lineRule="auto"/>
            </w:pPr>
            <w:r>
              <w:t>Edible oil spreads and margarine containing no more than 28% total saturated fatty acids and trans fatty acids</w:t>
            </w:r>
          </w:p>
          <w:p w:rsidR="003E72FE" w:rsidRDefault="003E72FE">
            <w:pPr>
              <w:pStyle w:val="Table2"/>
              <w:spacing w:line="276" w:lineRule="auto"/>
            </w:pPr>
          </w:p>
        </w:tc>
        <w:tc>
          <w:tcPr>
            <w:tcW w:w="1413" w:type="dxa"/>
            <w:tcBorders>
              <w:top w:val="nil"/>
              <w:left w:val="single" w:sz="4" w:space="0" w:color="auto"/>
              <w:bottom w:val="nil"/>
              <w:right w:val="single" w:sz="4" w:space="0" w:color="auto"/>
            </w:tcBorders>
          </w:tcPr>
          <w:p w:rsidR="003E72FE" w:rsidRDefault="003E72FE">
            <w:pPr>
              <w:pStyle w:val="Table2"/>
              <w:spacing w:line="276" w:lineRule="auto"/>
            </w:pPr>
            <w:r>
              <w:t>10 g</w:t>
            </w:r>
          </w:p>
          <w:p w:rsidR="003E72FE" w:rsidRDefault="003E72FE">
            <w:pPr>
              <w:pStyle w:val="Table2"/>
              <w:spacing w:line="276" w:lineRule="auto"/>
              <w:rPr>
                <w:lang w:bidi="ar-SA"/>
              </w:rPr>
            </w:pPr>
          </w:p>
          <w:p w:rsidR="003E72FE" w:rsidRDefault="003E72FE">
            <w:pPr>
              <w:pStyle w:val="Table2"/>
              <w:spacing w:line="276" w:lineRule="auto"/>
            </w:pPr>
          </w:p>
          <w:p w:rsidR="003E72FE" w:rsidRDefault="003E72FE">
            <w:pPr>
              <w:pStyle w:val="Table2"/>
              <w:spacing w:line="276" w:lineRule="auto"/>
            </w:pPr>
            <w:r>
              <w:t>10 g</w:t>
            </w:r>
          </w:p>
        </w:tc>
        <w:tc>
          <w:tcPr>
            <w:tcW w:w="1653" w:type="dxa"/>
            <w:tcBorders>
              <w:top w:val="nil"/>
              <w:left w:val="single" w:sz="4" w:space="0" w:color="auto"/>
              <w:bottom w:val="nil"/>
              <w:right w:val="single" w:sz="4" w:space="0" w:color="auto"/>
            </w:tcBorders>
          </w:tcPr>
          <w:p w:rsidR="003E72FE" w:rsidRDefault="003E72FE">
            <w:pPr>
              <w:pStyle w:val="Table2"/>
              <w:spacing w:line="276" w:lineRule="auto"/>
            </w:pPr>
            <w:r>
              <w:t>Vitamin A</w:t>
            </w:r>
          </w:p>
          <w:p w:rsidR="003E72FE" w:rsidRDefault="003E72FE">
            <w:pPr>
              <w:pStyle w:val="Table2"/>
              <w:spacing w:line="276" w:lineRule="auto"/>
              <w:rPr>
                <w:lang w:bidi="ar-SA"/>
              </w:rPr>
            </w:pPr>
            <w:r>
              <w:t>Vitamin D</w:t>
            </w:r>
          </w:p>
          <w:p w:rsidR="003E72FE" w:rsidRDefault="003E72FE">
            <w:pPr>
              <w:pStyle w:val="Table2"/>
              <w:spacing w:line="276" w:lineRule="auto"/>
            </w:pPr>
          </w:p>
          <w:p w:rsidR="003E72FE" w:rsidRDefault="003E72FE">
            <w:pPr>
              <w:pStyle w:val="Table2"/>
              <w:spacing w:line="276" w:lineRule="auto"/>
            </w:pPr>
            <w:r>
              <w:t>Vitamin E</w:t>
            </w:r>
          </w:p>
        </w:tc>
        <w:tc>
          <w:tcPr>
            <w:tcW w:w="1920" w:type="dxa"/>
            <w:tcBorders>
              <w:top w:val="nil"/>
              <w:left w:val="single" w:sz="4" w:space="0" w:color="auto"/>
              <w:bottom w:val="nil"/>
              <w:right w:val="single" w:sz="4" w:space="0" w:color="auto"/>
            </w:tcBorders>
          </w:tcPr>
          <w:p w:rsidR="003E72FE" w:rsidRDefault="003E72FE">
            <w:pPr>
              <w:pStyle w:val="Table2"/>
              <w:spacing w:line="276" w:lineRule="auto"/>
            </w:pPr>
            <w:r>
              <w:t xml:space="preserve">110 </w:t>
            </w:r>
            <w:r>
              <w:sym w:font="Symbol" w:char="F06D"/>
            </w:r>
            <w:r>
              <w:t>g (15%)</w:t>
            </w:r>
          </w:p>
          <w:p w:rsidR="003E72FE" w:rsidRDefault="003E72FE">
            <w:pPr>
              <w:pStyle w:val="Table2"/>
              <w:spacing w:line="276" w:lineRule="auto"/>
              <w:rPr>
                <w:lang w:bidi="ar-SA"/>
              </w:rPr>
            </w:pPr>
            <w:r>
              <w:t xml:space="preserve">1.0 </w:t>
            </w:r>
            <w:r>
              <w:sym w:font="Symbol" w:char="F06D"/>
            </w:r>
            <w:r>
              <w:t>g (10%)</w:t>
            </w:r>
          </w:p>
          <w:p w:rsidR="003E72FE" w:rsidRDefault="003E72FE">
            <w:pPr>
              <w:pStyle w:val="Table2"/>
              <w:spacing w:line="276" w:lineRule="auto"/>
            </w:pPr>
          </w:p>
          <w:p w:rsidR="003E72FE" w:rsidRDefault="003E72FE">
            <w:pPr>
              <w:pStyle w:val="Table2"/>
              <w:spacing w:line="276" w:lineRule="auto"/>
            </w:pPr>
            <w:r>
              <w:t>3.5 mg (35%)</w:t>
            </w:r>
          </w:p>
        </w:tc>
        <w:tc>
          <w:tcPr>
            <w:tcW w:w="2013" w:type="dxa"/>
            <w:tcBorders>
              <w:top w:val="nil"/>
              <w:left w:val="single" w:sz="4" w:space="0" w:color="auto"/>
              <w:bottom w:val="nil"/>
              <w:right w:val="single" w:sz="4" w:space="0" w:color="auto"/>
            </w:tcBorders>
            <w:hideMark/>
          </w:tcPr>
          <w:p w:rsidR="003E72FE" w:rsidRDefault="003E72FE">
            <w:pPr>
              <w:pStyle w:val="Table2"/>
              <w:spacing w:line="276" w:lineRule="auto"/>
            </w:pPr>
            <w:r>
              <w:t xml:space="preserve">125 </w:t>
            </w:r>
            <w:r>
              <w:sym w:font="Symbol" w:char="F06D"/>
            </w:r>
            <w:r>
              <w:t>g</w:t>
            </w:r>
          </w:p>
          <w:p w:rsidR="003E72FE" w:rsidRDefault="003E72FE">
            <w:pPr>
              <w:pStyle w:val="Table2"/>
              <w:spacing w:line="276" w:lineRule="auto"/>
            </w:pPr>
            <w:r>
              <w:t xml:space="preserve">1.6 </w:t>
            </w:r>
            <w:r>
              <w:sym w:font="Symbol" w:char="F06D"/>
            </w:r>
            <w:r>
              <w:t>g</w:t>
            </w:r>
          </w:p>
        </w:tc>
      </w:tr>
      <w:tr w:rsidR="003E72FE" w:rsidTr="003E72FE">
        <w:trPr>
          <w:cantSplit/>
          <w:jc w:val="center"/>
        </w:trPr>
        <w:tc>
          <w:tcPr>
            <w:tcW w:w="226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r>
              <w:t xml:space="preserve">Sunflower oil and safflower oil </w:t>
            </w:r>
          </w:p>
          <w:p w:rsidR="003E72FE" w:rsidRDefault="003E72FE">
            <w:pPr>
              <w:pStyle w:val="Table2"/>
              <w:spacing w:line="276" w:lineRule="auto"/>
              <w:rPr>
                <w:lang w:bidi="ar-SA"/>
              </w:rPr>
            </w:pPr>
          </w:p>
          <w:p w:rsidR="003E72FE" w:rsidRDefault="003E72FE">
            <w:pPr>
              <w:pStyle w:val="Table2"/>
              <w:spacing w:line="276" w:lineRule="auto"/>
            </w:pPr>
            <w:r>
              <w:t>Edible oils (except sunflower and safflower oil) containing no more than 28% total saturated fatty acids and trans fatty acids</w:t>
            </w:r>
          </w:p>
          <w:p w:rsidR="003E72FE" w:rsidRDefault="003E72FE">
            <w:pPr>
              <w:pStyle w:val="Table2"/>
              <w:spacing w:line="276" w:lineRule="auto"/>
            </w:pPr>
          </w:p>
        </w:tc>
        <w:tc>
          <w:tcPr>
            <w:tcW w:w="1413" w:type="dxa"/>
            <w:tcBorders>
              <w:top w:val="nil"/>
              <w:left w:val="single" w:sz="4" w:space="0" w:color="auto"/>
              <w:bottom w:val="single" w:sz="4" w:space="0" w:color="auto"/>
              <w:right w:val="single" w:sz="4" w:space="0" w:color="auto"/>
            </w:tcBorders>
          </w:tcPr>
          <w:p w:rsidR="003E72FE" w:rsidRDefault="003E72FE">
            <w:pPr>
              <w:pStyle w:val="Table2"/>
              <w:spacing w:line="276" w:lineRule="auto"/>
            </w:pPr>
            <w:r>
              <w:t>10 g</w:t>
            </w:r>
          </w:p>
          <w:p w:rsidR="003E72FE" w:rsidRDefault="003E72FE">
            <w:pPr>
              <w:pStyle w:val="Table2"/>
              <w:spacing w:line="276" w:lineRule="auto"/>
              <w:rPr>
                <w:lang w:bidi="ar-SA"/>
              </w:rPr>
            </w:pPr>
          </w:p>
          <w:p w:rsidR="003E72FE" w:rsidRDefault="003E72FE">
            <w:pPr>
              <w:pStyle w:val="Table2"/>
              <w:spacing w:line="276" w:lineRule="auto"/>
            </w:pPr>
          </w:p>
          <w:p w:rsidR="003E72FE" w:rsidRDefault="003E72FE">
            <w:pPr>
              <w:pStyle w:val="Table2"/>
              <w:spacing w:line="276" w:lineRule="auto"/>
            </w:pPr>
            <w:r>
              <w:t>10 g</w:t>
            </w:r>
          </w:p>
          <w:p w:rsidR="003E72FE" w:rsidRDefault="003E72FE">
            <w:pPr>
              <w:pStyle w:val="Table2"/>
              <w:spacing w:line="276" w:lineRule="auto"/>
            </w:pPr>
          </w:p>
        </w:tc>
        <w:tc>
          <w:tcPr>
            <w:tcW w:w="1653" w:type="dxa"/>
            <w:tcBorders>
              <w:top w:val="nil"/>
              <w:left w:val="single" w:sz="4" w:space="0" w:color="auto"/>
              <w:bottom w:val="single" w:sz="4" w:space="0" w:color="auto"/>
              <w:right w:val="single" w:sz="4" w:space="0" w:color="auto"/>
            </w:tcBorders>
          </w:tcPr>
          <w:p w:rsidR="003E72FE" w:rsidRDefault="003E72FE">
            <w:pPr>
              <w:pStyle w:val="Table2"/>
              <w:spacing w:line="276" w:lineRule="auto"/>
            </w:pPr>
            <w:r>
              <w:t>Vitamin E</w:t>
            </w:r>
          </w:p>
          <w:p w:rsidR="003E72FE" w:rsidRDefault="003E72FE">
            <w:pPr>
              <w:pStyle w:val="Table2"/>
              <w:spacing w:line="276" w:lineRule="auto"/>
              <w:rPr>
                <w:lang w:bidi="ar-SA"/>
              </w:rPr>
            </w:pPr>
          </w:p>
          <w:p w:rsidR="003E72FE" w:rsidRDefault="003E72FE">
            <w:pPr>
              <w:pStyle w:val="Table2"/>
              <w:spacing w:line="276" w:lineRule="auto"/>
            </w:pPr>
          </w:p>
          <w:p w:rsidR="003E72FE" w:rsidRDefault="003E72FE">
            <w:pPr>
              <w:pStyle w:val="Table2"/>
              <w:spacing w:line="276" w:lineRule="auto"/>
            </w:pPr>
            <w:r>
              <w:t>Vitamin E</w:t>
            </w:r>
          </w:p>
          <w:p w:rsidR="003E72FE" w:rsidRDefault="003E72FE">
            <w:pPr>
              <w:tabs>
                <w:tab w:val="left" w:pos="851"/>
              </w:tabs>
              <w:spacing w:line="276" w:lineRule="auto"/>
            </w:pPr>
          </w:p>
        </w:tc>
        <w:tc>
          <w:tcPr>
            <w:tcW w:w="192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r>
              <w:t>7.0 mg (70%)</w:t>
            </w:r>
          </w:p>
          <w:p w:rsidR="003E72FE" w:rsidRDefault="003E72FE">
            <w:pPr>
              <w:pStyle w:val="Table2"/>
              <w:spacing w:line="276" w:lineRule="auto"/>
              <w:rPr>
                <w:lang w:bidi="ar-SA"/>
              </w:rPr>
            </w:pPr>
          </w:p>
          <w:p w:rsidR="003E72FE" w:rsidRDefault="003E72FE">
            <w:pPr>
              <w:pStyle w:val="Table2"/>
              <w:spacing w:line="276" w:lineRule="auto"/>
            </w:pPr>
          </w:p>
          <w:p w:rsidR="003E72FE" w:rsidRDefault="003E72FE">
            <w:pPr>
              <w:pStyle w:val="Table2"/>
              <w:spacing w:line="276" w:lineRule="auto"/>
            </w:pPr>
            <w:r>
              <w:t>3.0 mg (30%)</w:t>
            </w:r>
          </w:p>
        </w:tc>
        <w:tc>
          <w:tcPr>
            <w:tcW w:w="2013"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r>
      <w:tr w:rsidR="003E72FE" w:rsidTr="003E72FE">
        <w:trPr>
          <w:cantSplit/>
          <w:jc w:val="center"/>
        </w:trPr>
        <w:tc>
          <w:tcPr>
            <w:tcW w:w="2260" w:type="dxa"/>
            <w:tcBorders>
              <w:top w:val="single" w:sz="4" w:space="0" w:color="auto"/>
              <w:left w:val="single" w:sz="4" w:space="0" w:color="auto"/>
              <w:bottom w:val="nil"/>
              <w:right w:val="single" w:sz="4" w:space="0" w:color="auto"/>
            </w:tcBorders>
            <w:hideMark/>
          </w:tcPr>
          <w:p w:rsidR="003E72FE" w:rsidRDefault="003E72FE">
            <w:pPr>
              <w:pStyle w:val="Table1"/>
              <w:spacing w:line="276" w:lineRule="auto"/>
              <w:jc w:val="left"/>
            </w:pPr>
            <w:r>
              <w:t>Fruit juice, vegetable juice, fruit drink, vegetable drink and fruit cordial</w:t>
            </w:r>
          </w:p>
        </w:tc>
        <w:tc>
          <w:tcPr>
            <w:tcW w:w="1413"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c>
          <w:tcPr>
            <w:tcW w:w="1653"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c>
          <w:tcPr>
            <w:tcW w:w="1920"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c>
          <w:tcPr>
            <w:tcW w:w="2013"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r>
      <w:tr w:rsidR="003E72FE" w:rsidTr="003E72FE">
        <w:trPr>
          <w:cantSplit/>
          <w:jc w:val="center"/>
        </w:trPr>
        <w:tc>
          <w:tcPr>
            <w:tcW w:w="2260" w:type="dxa"/>
            <w:tcBorders>
              <w:top w:val="nil"/>
              <w:left w:val="single" w:sz="4" w:space="0" w:color="auto"/>
              <w:bottom w:val="nil"/>
              <w:right w:val="single" w:sz="4" w:space="0" w:color="auto"/>
            </w:tcBorders>
          </w:tcPr>
          <w:p w:rsidR="003E72FE" w:rsidRDefault="003E72FE">
            <w:pPr>
              <w:pStyle w:val="Table2"/>
              <w:spacing w:line="276" w:lineRule="auto"/>
            </w:pPr>
            <w:r>
              <w:lastRenderedPageBreak/>
              <w:t>All fruit juice and concentrated fruit juice</w:t>
            </w:r>
          </w:p>
          <w:p w:rsidR="003E72FE" w:rsidRDefault="003E72FE">
            <w:pPr>
              <w:pStyle w:val="Table2"/>
              <w:spacing w:line="276" w:lineRule="auto"/>
              <w:rPr>
                <w:lang w:bidi="ar-SA"/>
              </w:rPr>
            </w:pPr>
          </w:p>
          <w:p w:rsidR="003E72FE" w:rsidRDefault="003E72FE">
            <w:pPr>
              <w:pStyle w:val="Table2"/>
              <w:spacing w:line="276" w:lineRule="auto"/>
            </w:pPr>
          </w:p>
          <w:p w:rsidR="003E72FE" w:rsidRDefault="003E72FE">
            <w:pPr>
              <w:pStyle w:val="Table2"/>
              <w:spacing w:line="276" w:lineRule="auto"/>
            </w:pPr>
          </w:p>
          <w:p w:rsidR="003E72FE" w:rsidRDefault="003E72FE">
            <w:pPr>
              <w:pStyle w:val="Table2"/>
              <w:spacing w:line="276" w:lineRule="auto"/>
            </w:pPr>
          </w:p>
          <w:p w:rsidR="003E72FE" w:rsidRDefault="003E72FE">
            <w:pPr>
              <w:pStyle w:val="Table2"/>
              <w:spacing w:line="276" w:lineRule="auto"/>
            </w:pPr>
            <w:r>
              <w:t>Blackcurrant juice, concentrated blackcurrant juice</w:t>
            </w:r>
          </w:p>
          <w:p w:rsidR="003E72FE" w:rsidRDefault="003E72FE">
            <w:pPr>
              <w:pStyle w:val="Table2"/>
              <w:spacing w:line="276" w:lineRule="auto"/>
            </w:pPr>
          </w:p>
          <w:p w:rsidR="003E72FE" w:rsidRDefault="003E72FE">
            <w:pPr>
              <w:pStyle w:val="Table2"/>
              <w:spacing w:line="276" w:lineRule="auto"/>
              <w:ind w:left="170" w:hanging="170"/>
            </w:pPr>
            <w:r>
              <w:t>Guava juice, concentrated guava juice</w:t>
            </w:r>
          </w:p>
          <w:p w:rsidR="003E72FE" w:rsidRDefault="003E72FE">
            <w:pPr>
              <w:pStyle w:val="Table2"/>
              <w:spacing w:line="276" w:lineRule="auto"/>
              <w:ind w:left="170" w:hanging="170"/>
              <w:rPr>
                <w:iCs/>
              </w:rPr>
            </w:pPr>
          </w:p>
          <w:p w:rsidR="003E72FE" w:rsidRDefault="003E72FE">
            <w:pPr>
              <w:pStyle w:val="Table2"/>
              <w:spacing w:line="276" w:lineRule="auto"/>
              <w:ind w:left="170" w:hanging="170"/>
            </w:pPr>
            <w:r>
              <w:t>Mango juice</w:t>
            </w:r>
          </w:p>
          <w:p w:rsidR="003E72FE" w:rsidRDefault="003E72FE">
            <w:pPr>
              <w:pStyle w:val="Table2"/>
              <w:spacing w:line="276" w:lineRule="auto"/>
              <w:ind w:left="170" w:hanging="170"/>
              <w:rPr>
                <w:iCs/>
              </w:rPr>
            </w:pPr>
          </w:p>
          <w:p w:rsidR="003E72FE" w:rsidRDefault="003E72FE">
            <w:pPr>
              <w:pStyle w:val="Table2"/>
              <w:spacing w:line="276" w:lineRule="auto"/>
              <w:ind w:left="170" w:hanging="170"/>
            </w:pPr>
          </w:p>
          <w:p w:rsidR="003E72FE" w:rsidRDefault="003E72FE">
            <w:pPr>
              <w:pStyle w:val="Table2"/>
              <w:spacing w:line="276" w:lineRule="auto"/>
              <w:ind w:left="170" w:hanging="170"/>
            </w:pPr>
            <w:r>
              <w:t>Pawpaw juice, concentrated pawpaw juice</w:t>
            </w:r>
          </w:p>
          <w:p w:rsidR="003E72FE" w:rsidRDefault="003E72FE">
            <w:pPr>
              <w:pStyle w:val="Table2"/>
              <w:spacing w:line="276" w:lineRule="auto"/>
              <w:ind w:left="0" w:firstLine="0"/>
            </w:pPr>
          </w:p>
        </w:tc>
        <w:tc>
          <w:tcPr>
            <w:tcW w:w="1413" w:type="dxa"/>
            <w:tcBorders>
              <w:top w:val="nil"/>
              <w:left w:val="single" w:sz="4" w:space="0" w:color="auto"/>
              <w:bottom w:val="nil"/>
              <w:right w:val="single" w:sz="4" w:space="0" w:color="auto"/>
            </w:tcBorders>
          </w:tcPr>
          <w:p w:rsidR="003E72FE" w:rsidRDefault="003E72FE">
            <w:pPr>
              <w:pStyle w:val="Table2"/>
              <w:spacing w:line="276" w:lineRule="auto"/>
            </w:pPr>
            <w:r>
              <w:t>200 mL</w:t>
            </w:r>
          </w:p>
          <w:p w:rsidR="003E72FE" w:rsidRDefault="003E72FE">
            <w:pPr>
              <w:pStyle w:val="Table2"/>
              <w:spacing w:line="276" w:lineRule="auto"/>
              <w:rPr>
                <w:lang w:bidi="ar-SA"/>
              </w:rPr>
            </w:pPr>
          </w:p>
          <w:p w:rsidR="003E72FE" w:rsidRDefault="003E72FE">
            <w:pPr>
              <w:pStyle w:val="Table2"/>
              <w:spacing w:line="276" w:lineRule="auto"/>
            </w:pPr>
          </w:p>
          <w:p w:rsidR="003E72FE" w:rsidRDefault="003E72FE">
            <w:pPr>
              <w:pStyle w:val="Table2"/>
              <w:spacing w:line="276" w:lineRule="auto"/>
            </w:pPr>
          </w:p>
          <w:p w:rsidR="003E72FE" w:rsidRDefault="003E72FE">
            <w:pPr>
              <w:pStyle w:val="Table2"/>
              <w:spacing w:line="276" w:lineRule="auto"/>
            </w:pPr>
          </w:p>
          <w:p w:rsidR="003E72FE" w:rsidRDefault="003E72FE">
            <w:pPr>
              <w:pStyle w:val="Table2"/>
              <w:spacing w:line="276" w:lineRule="auto"/>
            </w:pPr>
          </w:p>
          <w:p w:rsidR="003E72FE" w:rsidRDefault="003E72FE">
            <w:pPr>
              <w:pStyle w:val="Table2"/>
              <w:spacing w:line="276" w:lineRule="auto"/>
              <w:ind w:left="0" w:firstLine="0"/>
            </w:pPr>
            <w:r>
              <w:t>200 mL</w:t>
            </w:r>
          </w:p>
          <w:p w:rsidR="003E72FE" w:rsidRDefault="003E72FE">
            <w:pPr>
              <w:pStyle w:val="Table2"/>
              <w:spacing w:line="276" w:lineRule="auto"/>
              <w:ind w:left="0" w:firstLine="0"/>
            </w:pPr>
          </w:p>
          <w:p w:rsidR="003E72FE" w:rsidRDefault="003E72FE">
            <w:pPr>
              <w:pStyle w:val="Table2"/>
              <w:spacing w:line="276" w:lineRule="auto"/>
              <w:ind w:left="0" w:firstLine="0"/>
            </w:pPr>
          </w:p>
          <w:p w:rsidR="003E72FE" w:rsidRDefault="003E72FE">
            <w:pPr>
              <w:pStyle w:val="Table2"/>
              <w:spacing w:line="276" w:lineRule="auto"/>
              <w:ind w:left="0" w:firstLine="0"/>
            </w:pPr>
          </w:p>
          <w:p w:rsidR="003E72FE" w:rsidRDefault="003E72FE">
            <w:pPr>
              <w:pStyle w:val="Table2"/>
              <w:spacing w:line="276" w:lineRule="auto"/>
              <w:ind w:left="0" w:firstLine="0"/>
            </w:pPr>
            <w:r>
              <w:t>200 mL</w:t>
            </w:r>
          </w:p>
          <w:p w:rsidR="003E72FE" w:rsidRDefault="003E72FE">
            <w:pPr>
              <w:pStyle w:val="Table2"/>
              <w:spacing w:line="276" w:lineRule="auto"/>
              <w:ind w:left="0" w:firstLine="0"/>
            </w:pPr>
          </w:p>
          <w:p w:rsidR="003E72FE" w:rsidRDefault="003E72FE">
            <w:pPr>
              <w:pStyle w:val="Table2"/>
              <w:spacing w:line="276" w:lineRule="auto"/>
              <w:ind w:left="0" w:firstLine="0"/>
            </w:pPr>
          </w:p>
          <w:p w:rsidR="003E72FE" w:rsidRDefault="003E72FE">
            <w:pPr>
              <w:pStyle w:val="Table2"/>
              <w:spacing w:line="276" w:lineRule="auto"/>
              <w:ind w:left="0" w:firstLine="0"/>
            </w:pPr>
            <w:r>
              <w:t>200 mL</w:t>
            </w:r>
          </w:p>
          <w:p w:rsidR="003E72FE" w:rsidRDefault="003E72FE">
            <w:pPr>
              <w:pStyle w:val="Table2"/>
              <w:spacing w:line="276" w:lineRule="auto"/>
              <w:ind w:left="0" w:firstLine="0"/>
            </w:pPr>
          </w:p>
          <w:p w:rsidR="003E72FE" w:rsidRDefault="003E72FE">
            <w:pPr>
              <w:pStyle w:val="Table2"/>
              <w:spacing w:line="276" w:lineRule="auto"/>
              <w:ind w:left="0" w:firstLine="0"/>
            </w:pPr>
          </w:p>
          <w:p w:rsidR="003E72FE" w:rsidRDefault="003E72FE">
            <w:pPr>
              <w:pStyle w:val="Table2"/>
              <w:spacing w:line="276" w:lineRule="auto"/>
              <w:ind w:left="0" w:firstLine="0"/>
            </w:pPr>
            <w:r>
              <w:t>200 mL</w:t>
            </w:r>
          </w:p>
        </w:tc>
        <w:tc>
          <w:tcPr>
            <w:tcW w:w="1653" w:type="dxa"/>
            <w:tcBorders>
              <w:top w:val="nil"/>
              <w:left w:val="single" w:sz="4" w:space="0" w:color="auto"/>
              <w:bottom w:val="nil"/>
              <w:right w:val="single" w:sz="4" w:space="0" w:color="auto"/>
            </w:tcBorders>
          </w:tcPr>
          <w:p w:rsidR="003E72FE" w:rsidRDefault="003E72FE">
            <w:pPr>
              <w:pStyle w:val="Table2"/>
              <w:spacing w:line="276" w:lineRule="auto"/>
            </w:pPr>
            <w:r>
              <w:t>Calcium</w:t>
            </w:r>
          </w:p>
          <w:p w:rsidR="003E72FE" w:rsidRDefault="003E72FE">
            <w:pPr>
              <w:pStyle w:val="Table2"/>
              <w:spacing w:line="276" w:lineRule="auto"/>
              <w:rPr>
                <w:lang w:bidi="ar-SA"/>
              </w:rPr>
            </w:pPr>
            <w:r>
              <w:t>Folate</w:t>
            </w:r>
          </w:p>
          <w:p w:rsidR="003E72FE" w:rsidRDefault="003E72FE">
            <w:pPr>
              <w:pStyle w:val="Table2"/>
              <w:spacing w:line="276" w:lineRule="auto"/>
            </w:pPr>
            <w:r>
              <w:t>Vitamin C</w:t>
            </w:r>
          </w:p>
          <w:p w:rsidR="003E72FE" w:rsidRDefault="003E72FE">
            <w:pPr>
              <w:pStyle w:val="Table2"/>
              <w:spacing w:line="276" w:lineRule="auto"/>
            </w:pPr>
            <w:r>
              <w:t>Carotene forms of Vitamin A</w:t>
            </w:r>
          </w:p>
          <w:p w:rsidR="003E72FE" w:rsidRDefault="003E72FE">
            <w:pPr>
              <w:pStyle w:val="Table2"/>
              <w:spacing w:line="276" w:lineRule="auto"/>
            </w:pPr>
          </w:p>
          <w:p w:rsidR="003E72FE" w:rsidRDefault="003E72FE">
            <w:pPr>
              <w:pStyle w:val="Table2"/>
              <w:spacing w:line="276" w:lineRule="auto"/>
            </w:pPr>
            <w:r>
              <w:t>Vitamin C</w:t>
            </w:r>
          </w:p>
          <w:p w:rsidR="003E72FE" w:rsidRDefault="003E72FE">
            <w:pPr>
              <w:pStyle w:val="Table2"/>
              <w:spacing w:line="276" w:lineRule="auto"/>
            </w:pPr>
          </w:p>
          <w:p w:rsidR="003E72FE" w:rsidRDefault="003E72FE">
            <w:pPr>
              <w:pStyle w:val="Table2"/>
              <w:spacing w:line="276" w:lineRule="auto"/>
            </w:pPr>
          </w:p>
          <w:p w:rsidR="003E72FE" w:rsidRDefault="003E72FE">
            <w:pPr>
              <w:pStyle w:val="Table2"/>
              <w:spacing w:line="276" w:lineRule="auto"/>
            </w:pPr>
          </w:p>
          <w:p w:rsidR="003E72FE" w:rsidRDefault="003E72FE">
            <w:pPr>
              <w:pStyle w:val="Table2"/>
              <w:spacing w:line="276" w:lineRule="auto"/>
            </w:pPr>
            <w:r>
              <w:t>Vitamin C</w:t>
            </w:r>
          </w:p>
          <w:p w:rsidR="003E72FE" w:rsidRDefault="003E72FE">
            <w:pPr>
              <w:pStyle w:val="Table2"/>
              <w:spacing w:line="276" w:lineRule="auto"/>
            </w:pPr>
          </w:p>
          <w:p w:rsidR="003E72FE" w:rsidRDefault="003E72FE">
            <w:pPr>
              <w:pStyle w:val="Table2"/>
              <w:spacing w:line="276" w:lineRule="auto"/>
            </w:pPr>
          </w:p>
          <w:p w:rsidR="003E72FE" w:rsidRDefault="003E72FE">
            <w:pPr>
              <w:pStyle w:val="Table2"/>
              <w:spacing w:line="276" w:lineRule="auto"/>
            </w:pPr>
            <w:r>
              <w:t>Carotene forms of Vitamin A</w:t>
            </w:r>
          </w:p>
          <w:p w:rsidR="003E72FE" w:rsidRDefault="003E72FE">
            <w:pPr>
              <w:pStyle w:val="Table2"/>
              <w:spacing w:line="276" w:lineRule="auto"/>
            </w:pPr>
          </w:p>
          <w:p w:rsidR="003E72FE" w:rsidRDefault="003E72FE">
            <w:pPr>
              <w:pStyle w:val="Table2"/>
              <w:spacing w:line="276" w:lineRule="auto"/>
            </w:pPr>
            <w:r>
              <w:t>Carotene forms of Vitamin A</w:t>
            </w:r>
          </w:p>
          <w:p w:rsidR="003E72FE" w:rsidRDefault="003E72FE">
            <w:pPr>
              <w:pStyle w:val="Table2"/>
              <w:spacing w:line="276" w:lineRule="auto"/>
            </w:pPr>
          </w:p>
        </w:tc>
        <w:tc>
          <w:tcPr>
            <w:tcW w:w="1920" w:type="dxa"/>
            <w:tcBorders>
              <w:top w:val="nil"/>
              <w:left w:val="single" w:sz="4" w:space="0" w:color="auto"/>
              <w:bottom w:val="nil"/>
              <w:right w:val="single" w:sz="4" w:space="0" w:color="auto"/>
            </w:tcBorders>
          </w:tcPr>
          <w:p w:rsidR="003E72FE" w:rsidRDefault="003E72FE">
            <w:pPr>
              <w:pStyle w:val="Table2"/>
              <w:spacing w:line="276" w:lineRule="auto"/>
            </w:pPr>
            <w:r>
              <w:t>200 mg (25%)</w:t>
            </w:r>
          </w:p>
          <w:p w:rsidR="003E72FE" w:rsidRDefault="003E72FE">
            <w:pPr>
              <w:pStyle w:val="Table2"/>
              <w:spacing w:line="276" w:lineRule="auto"/>
              <w:rPr>
                <w:lang w:bidi="ar-SA"/>
              </w:rPr>
            </w:pPr>
            <w:r>
              <w:t xml:space="preserve">100 </w:t>
            </w:r>
            <w:r>
              <w:sym w:font="Symbol" w:char="F06D"/>
            </w:r>
            <w:r>
              <w:t>g (50%)</w:t>
            </w:r>
          </w:p>
          <w:p w:rsidR="003E72FE" w:rsidRDefault="003E72FE">
            <w:pPr>
              <w:pStyle w:val="Table2"/>
              <w:spacing w:line="276" w:lineRule="auto"/>
            </w:pPr>
            <w:r>
              <w:t>120 mg (3 times</w:t>
            </w:r>
          </w:p>
          <w:p w:rsidR="003E72FE" w:rsidRDefault="003E72FE">
            <w:pPr>
              <w:pStyle w:val="Table2"/>
              <w:spacing w:line="276" w:lineRule="auto"/>
            </w:pPr>
            <w:r>
              <w:t xml:space="preserve">200 </w:t>
            </w:r>
            <w:r>
              <w:sym w:font="Symbol" w:char="F06D"/>
            </w:r>
            <w:r>
              <w:t>g (25%)</w:t>
            </w:r>
          </w:p>
          <w:p w:rsidR="003E72FE" w:rsidRDefault="003E72FE">
            <w:pPr>
              <w:pStyle w:val="Table2"/>
              <w:spacing w:line="276" w:lineRule="auto"/>
            </w:pPr>
          </w:p>
          <w:p w:rsidR="003E72FE" w:rsidRDefault="003E72FE">
            <w:pPr>
              <w:pStyle w:val="Table2"/>
              <w:spacing w:line="276" w:lineRule="auto"/>
            </w:pPr>
          </w:p>
          <w:p w:rsidR="003E72FE" w:rsidRDefault="003E72FE">
            <w:pPr>
              <w:pStyle w:val="Table2"/>
              <w:spacing w:line="276" w:lineRule="auto"/>
            </w:pPr>
            <w:r>
              <w:t>500 mg (12.5 times)</w:t>
            </w:r>
          </w:p>
          <w:p w:rsidR="003E72FE" w:rsidRDefault="003E72FE">
            <w:pPr>
              <w:pStyle w:val="Table2"/>
              <w:spacing w:line="276" w:lineRule="auto"/>
            </w:pPr>
          </w:p>
          <w:p w:rsidR="003E72FE" w:rsidRDefault="003E72FE">
            <w:pPr>
              <w:pStyle w:val="Table2"/>
              <w:spacing w:line="276" w:lineRule="auto"/>
            </w:pPr>
          </w:p>
          <w:p w:rsidR="003E72FE" w:rsidRDefault="003E72FE">
            <w:pPr>
              <w:pStyle w:val="Table2"/>
              <w:spacing w:line="276" w:lineRule="auto"/>
            </w:pPr>
          </w:p>
          <w:p w:rsidR="003E72FE" w:rsidRDefault="003E72FE">
            <w:pPr>
              <w:pStyle w:val="Table2"/>
              <w:spacing w:line="276" w:lineRule="auto"/>
            </w:pPr>
            <w:r>
              <w:t>400 mg (10 times)</w:t>
            </w:r>
          </w:p>
          <w:p w:rsidR="003E72FE" w:rsidRDefault="003E72FE">
            <w:pPr>
              <w:pStyle w:val="Table2"/>
              <w:spacing w:line="276" w:lineRule="auto"/>
            </w:pPr>
          </w:p>
          <w:p w:rsidR="003E72FE" w:rsidRDefault="003E72FE">
            <w:pPr>
              <w:pStyle w:val="Table2"/>
              <w:spacing w:line="276" w:lineRule="auto"/>
            </w:pPr>
          </w:p>
          <w:p w:rsidR="003E72FE" w:rsidRDefault="003E72FE">
            <w:pPr>
              <w:pStyle w:val="Table2"/>
              <w:spacing w:line="276" w:lineRule="auto"/>
            </w:pPr>
            <w:r>
              <w:t xml:space="preserve">800 </w:t>
            </w:r>
            <w:r>
              <w:sym w:font="Symbol" w:char="F06D"/>
            </w:r>
            <w:r>
              <w:t>g (1.1 times)</w:t>
            </w:r>
          </w:p>
          <w:p w:rsidR="003E72FE" w:rsidRDefault="003E72FE">
            <w:pPr>
              <w:pStyle w:val="Table2"/>
              <w:spacing w:line="276" w:lineRule="auto"/>
            </w:pPr>
          </w:p>
          <w:p w:rsidR="003E72FE" w:rsidRDefault="003E72FE">
            <w:pPr>
              <w:pStyle w:val="Table2"/>
              <w:spacing w:line="276" w:lineRule="auto"/>
            </w:pPr>
          </w:p>
          <w:p w:rsidR="003E72FE" w:rsidRDefault="003E72FE">
            <w:pPr>
              <w:pStyle w:val="Table2"/>
              <w:spacing w:line="276" w:lineRule="auto"/>
            </w:pPr>
            <w:r>
              <w:t xml:space="preserve">300 </w:t>
            </w:r>
            <w:r>
              <w:sym w:font="Symbol" w:char="F06D"/>
            </w:r>
            <w:r>
              <w:t>g (40%)</w:t>
            </w:r>
          </w:p>
          <w:p w:rsidR="003E72FE" w:rsidRDefault="003E72FE">
            <w:pPr>
              <w:pStyle w:val="Table2"/>
              <w:spacing w:line="276" w:lineRule="auto"/>
            </w:pPr>
          </w:p>
          <w:p w:rsidR="003E72FE" w:rsidRDefault="003E72FE">
            <w:pPr>
              <w:pStyle w:val="Table2"/>
              <w:spacing w:line="276" w:lineRule="auto"/>
              <w:rPr>
                <w:highlight w:val="yellow"/>
              </w:rPr>
            </w:pPr>
          </w:p>
        </w:tc>
        <w:tc>
          <w:tcPr>
            <w:tcW w:w="2013" w:type="dxa"/>
            <w:tcBorders>
              <w:top w:val="nil"/>
              <w:left w:val="single" w:sz="4" w:space="0" w:color="auto"/>
              <w:bottom w:val="nil"/>
              <w:right w:val="single" w:sz="4" w:space="0" w:color="auto"/>
            </w:tcBorders>
          </w:tcPr>
          <w:p w:rsidR="003E72FE" w:rsidRDefault="003E72FE">
            <w:pPr>
              <w:pStyle w:val="Table2"/>
              <w:spacing w:line="276" w:lineRule="auto"/>
            </w:pPr>
          </w:p>
        </w:tc>
      </w:tr>
      <w:tr w:rsidR="003E72FE" w:rsidTr="003E72FE">
        <w:trPr>
          <w:cantSplit/>
          <w:jc w:val="center"/>
        </w:trPr>
        <w:tc>
          <w:tcPr>
            <w:tcW w:w="2260" w:type="dxa"/>
            <w:tcBorders>
              <w:top w:val="nil"/>
              <w:left w:val="single" w:sz="4" w:space="0" w:color="auto"/>
              <w:bottom w:val="nil"/>
              <w:right w:val="single" w:sz="4" w:space="0" w:color="auto"/>
            </w:tcBorders>
            <w:hideMark/>
          </w:tcPr>
          <w:p w:rsidR="003E72FE" w:rsidRDefault="003E72FE">
            <w:pPr>
              <w:pStyle w:val="Table2"/>
              <w:spacing w:line="276" w:lineRule="auto"/>
            </w:pPr>
            <w:r>
              <w:t>Tomato juice, concentrated tomato juice</w:t>
            </w:r>
          </w:p>
        </w:tc>
        <w:tc>
          <w:tcPr>
            <w:tcW w:w="1413" w:type="dxa"/>
            <w:tcBorders>
              <w:top w:val="nil"/>
              <w:left w:val="single" w:sz="4" w:space="0" w:color="auto"/>
              <w:bottom w:val="nil"/>
              <w:right w:val="single" w:sz="4" w:space="0" w:color="auto"/>
            </w:tcBorders>
            <w:hideMark/>
          </w:tcPr>
          <w:p w:rsidR="003E72FE" w:rsidRDefault="003E72FE">
            <w:pPr>
              <w:pStyle w:val="Table2"/>
              <w:spacing w:line="276" w:lineRule="auto"/>
            </w:pPr>
            <w:r>
              <w:t>200 mL</w:t>
            </w:r>
          </w:p>
        </w:tc>
        <w:tc>
          <w:tcPr>
            <w:tcW w:w="1653" w:type="dxa"/>
            <w:tcBorders>
              <w:top w:val="nil"/>
              <w:left w:val="single" w:sz="4" w:space="0" w:color="auto"/>
              <w:bottom w:val="nil"/>
              <w:right w:val="single" w:sz="4" w:space="0" w:color="auto"/>
            </w:tcBorders>
          </w:tcPr>
          <w:p w:rsidR="003E72FE" w:rsidRDefault="003E72FE">
            <w:pPr>
              <w:pStyle w:val="Table2"/>
              <w:spacing w:line="276" w:lineRule="auto"/>
            </w:pPr>
            <w:r>
              <w:t>Vitamin C</w:t>
            </w:r>
          </w:p>
          <w:p w:rsidR="003E72FE" w:rsidRDefault="003E72FE">
            <w:pPr>
              <w:pStyle w:val="Table2"/>
              <w:spacing w:line="276" w:lineRule="auto"/>
              <w:rPr>
                <w:lang w:bidi="ar-SA"/>
              </w:rPr>
            </w:pPr>
            <w:r>
              <w:t>Carotene forms of Vitamin A</w:t>
            </w:r>
          </w:p>
          <w:p w:rsidR="003E72FE" w:rsidRDefault="003E72FE">
            <w:pPr>
              <w:pStyle w:val="Table2"/>
              <w:spacing w:line="276" w:lineRule="auto"/>
            </w:pPr>
            <w:r>
              <w:t>Folate</w:t>
            </w:r>
          </w:p>
          <w:p w:rsidR="003E72FE" w:rsidRDefault="003E72FE">
            <w:pPr>
              <w:pStyle w:val="Table2"/>
              <w:spacing w:line="276" w:lineRule="auto"/>
            </w:pPr>
            <w:r>
              <w:t>Calcium</w:t>
            </w:r>
          </w:p>
          <w:p w:rsidR="003E72FE" w:rsidRDefault="003E72FE">
            <w:pPr>
              <w:pStyle w:val="Table2"/>
              <w:spacing w:line="276" w:lineRule="auto"/>
            </w:pPr>
          </w:p>
        </w:tc>
        <w:tc>
          <w:tcPr>
            <w:tcW w:w="1920" w:type="dxa"/>
            <w:tcBorders>
              <w:top w:val="nil"/>
              <w:left w:val="single" w:sz="4" w:space="0" w:color="auto"/>
              <w:bottom w:val="nil"/>
              <w:right w:val="single" w:sz="4" w:space="0" w:color="auto"/>
            </w:tcBorders>
          </w:tcPr>
          <w:p w:rsidR="003E72FE" w:rsidRDefault="003E72FE">
            <w:pPr>
              <w:pStyle w:val="Table2"/>
              <w:spacing w:line="276" w:lineRule="auto"/>
            </w:pPr>
            <w:r>
              <w:t>60 mg (1.5 times)</w:t>
            </w:r>
          </w:p>
          <w:p w:rsidR="003E72FE" w:rsidRDefault="003E72FE">
            <w:pPr>
              <w:pStyle w:val="Table2"/>
              <w:spacing w:line="276" w:lineRule="auto"/>
              <w:rPr>
                <w:lang w:bidi="ar-SA"/>
              </w:rPr>
            </w:pPr>
            <w:r>
              <w:t xml:space="preserve">200 </w:t>
            </w:r>
            <w:r>
              <w:sym w:font="Symbol" w:char="F06D"/>
            </w:r>
            <w:r>
              <w:t>g (25%)</w:t>
            </w:r>
          </w:p>
          <w:p w:rsidR="003E72FE" w:rsidRDefault="003E72FE">
            <w:pPr>
              <w:pStyle w:val="Table2"/>
              <w:spacing w:line="276" w:lineRule="auto"/>
            </w:pPr>
          </w:p>
          <w:p w:rsidR="003E72FE" w:rsidRDefault="003E72FE">
            <w:pPr>
              <w:pStyle w:val="Table2"/>
              <w:spacing w:line="276" w:lineRule="auto"/>
            </w:pPr>
            <w:r>
              <w:t xml:space="preserve">100 </w:t>
            </w:r>
            <w:r>
              <w:sym w:font="Symbol" w:char="F06D"/>
            </w:r>
            <w:r>
              <w:t>g (50%)</w:t>
            </w:r>
          </w:p>
          <w:p w:rsidR="003E72FE" w:rsidRDefault="003E72FE">
            <w:pPr>
              <w:pStyle w:val="Table2"/>
              <w:spacing w:line="276" w:lineRule="auto"/>
              <w:rPr>
                <w:highlight w:val="yellow"/>
              </w:rPr>
            </w:pPr>
            <w:r>
              <w:t>200 mg (25%)</w:t>
            </w:r>
          </w:p>
        </w:tc>
        <w:tc>
          <w:tcPr>
            <w:tcW w:w="2013" w:type="dxa"/>
            <w:tcBorders>
              <w:top w:val="nil"/>
              <w:left w:val="single" w:sz="4" w:space="0" w:color="auto"/>
              <w:bottom w:val="nil"/>
              <w:right w:val="single" w:sz="4" w:space="0" w:color="auto"/>
            </w:tcBorders>
          </w:tcPr>
          <w:p w:rsidR="003E72FE" w:rsidRDefault="003E72FE">
            <w:pPr>
              <w:pStyle w:val="Table2"/>
              <w:spacing w:line="276" w:lineRule="auto"/>
            </w:pPr>
          </w:p>
        </w:tc>
      </w:tr>
      <w:tr w:rsidR="003E72FE" w:rsidTr="003E72FE">
        <w:trPr>
          <w:cantSplit/>
          <w:jc w:val="center"/>
        </w:trPr>
        <w:tc>
          <w:tcPr>
            <w:tcW w:w="2260" w:type="dxa"/>
            <w:tcBorders>
              <w:top w:val="nil"/>
              <w:left w:val="single" w:sz="4" w:space="0" w:color="auto"/>
              <w:bottom w:val="nil"/>
              <w:right w:val="single" w:sz="4" w:space="0" w:color="auto"/>
            </w:tcBorders>
            <w:hideMark/>
          </w:tcPr>
          <w:p w:rsidR="003E72FE" w:rsidRDefault="003E72FE">
            <w:pPr>
              <w:pStyle w:val="Table2"/>
              <w:spacing w:line="276" w:lineRule="auto"/>
            </w:pPr>
            <w:r>
              <w:t>Vegetable juice</w:t>
            </w:r>
          </w:p>
        </w:tc>
        <w:tc>
          <w:tcPr>
            <w:tcW w:w="1413" w:type="dxa"/>
            <w:tcBorders>
              <w:top w:val="nil"/>
              <w:left w:val="single" w:sz="4" w:space="0" w:color="auto"/>
              <w:bottom w:val="nil"/>
              <w:right w:val="single" w:sz="4" w:space="0" w:color="auto"/>
            </w:tcBorders>
            <w:hideMark/>
          </w:tcPr>
          <w:p w:rsidR="003E72FE" w:rsidRDefault="003E72FE">
            <w:pPr>
              <w:pStyle w:val="Table2"/>
              <w:spacing w:line="276" w:lineRule="auto"/>
            </w:pPr>
            <w:r>
              <w:t>200 mL</w:t>
            </w:r>
          </w:p>
        </w:tc>
        <w:tc>
          <w:tcPr>
            <w:tcW w:w="1653" w:type="dxa"/>
            <w:tcBorders>
              <w:top w:val="nil"/>
              <w:left w:val="single" w:sz="4" w:space="0" w:color="auto"/>
              <w:bottom w:val="nil"/>
              <w:right w:val="single" w:sz="4" w:space="0" w:color="auto"/>
            </w:tcBorders>
          </w:tcPr>
          <w:p w:rsidR="003E72FE" w:rsidRDefault="003E72FE">
            <w:pPr>
              <w:pStyle w:val="Table2"/>
              <w:spacing w:line="276" w:lineRule="auto"/>
            </w:pPr>
            <w:r>
              <w:t>Vitamin C</w:t>
            </w:r>
          </w:p>
          <w:p w:rsidR="003E72FE" w:rsidRDefault="003E72FE">
            <w:pPr>
              <w:pStyle w:val="Table2"/>
              <w:spacing w:line="276" w:lineRule="auto"/>
              <w:rPr>
                <w:lang w:bidi="ar-SA"/>
              </w:rPr>
            </w:pPr>
            <w:r>
              <w:t>Carotene forms of Vitamin A</w:t>
            </w:r>
          </w:p>
          <w:p w:rsidR="003E72FE" w:rsidRDefault="003E72FE">
            <w:pPr>
              <w:pStyle w:val="Table2"/>
              <w:spacing w:line="276" w:lineRule="auto"/>
            </w:pPr>
            <w:r>
              <w:t>Folate</w:t>
            </w:r>
          </w:p>
          <w:p w:rsidR="003E72FE" w:rsidRDefault="003E72FE">
            <w:pPr>
              <w:pStyle w:val="Table2"/>
              <w:spacing w:line="276" w:lineRule="auto"/>
            </w:pPr>
            <w:r>
              <w:t>Calcium</w:t>
            </w:r>
          </w:p>
          <w:p w:rsidR="003E72FE" w:rsidRDefault="003E72FE">
            <w:pPr>
              <w:pStyle w:val="Table2"/>
              <w:spacing w:line="276" w:lineRule="auto"/>
            </w:pPr>
          </w:p>
        </w:tc>
        <w:tc>
          <w:tcPr>
            <w:tcW w:w="1920" w:type="dxa"/>
            <w:tcBorders>
              <w:top w:val="nil"/>
              <w:left w:val="single" w:sz="4" w:space="0" w:color="auto"/>
              <w:bottom w:val="nil"/>
              <w:right w:val="single" w:sz="4" w:space="0" w:color="auto"/>
            </w:tcBorders>
          </w:tcPr>
          <w:p w:rsidR="003E72FE" w:rsidRDefault="003E72FE">
            <w:pPr>
              <w:pStyle w:val="Table2"/>
              <w:spacing w:line="276" w:lineRule="auto"/>
            </w:pPr>
            <w:r>
              <w:t>60 mg (1.5 times)</w:t>
            </w:r>
          </w:p>
          <w:p w:rsidR="003E72FE" w:rsidRDefault="003E72FE">
            <w:pPr>
              <w:pStyle w:val="Table2"/>
              <w:spacing w:line="276" w:lineRule="auto"/>
              <w:rPr>
                <w:lang w:bidi="ar-SA"/>
              </w:rPr>
            </w:pPr>
            <w:r>
              <w:t xml:space="preserve">200 </w:t>
            </w:r>
            <w:r>
              <w:sym w:font="Symbol" w:char="F06D"/>
            </w:r>
            <w:r>
              <w:t>g (25%)</w:t>
            </w:r>
          </w:p>
          <w:p w:rsidR="003E72FE" w:rsidRDefault="003E72FE">
            <w:pPr>
              <w:pStyle w:val="Table2"/>
              <w:spacing w:line="276" w:lineRule="auto"/>
            </w:pPr>
          </w:p>
          <w:p w:rsidR="003E72FE" w:rsidRDefault="003E72FE">
            <w:pPr>
              <w:pStyle w:val="Table2"/>
              <w:spacing w:line="276" w:lineRule="auto"/>
            </w:pPr>
            <w:r>
              <w:t xml:space="preserve">100 </w:t>
            </w:r>
            <w:r>
              <w:sym w:font="Symbol" w:char="F06D"/>
            </w:r>
            <w:r>
              <w:t>g (50%)</w:t>
            </w:r>
          </w:p>
          <w:p w:rsidR="003E72FE" w:rsidRDefault="003E72FE">
            <w:pPr>
              <w:pStyle w:val="Table2"/>
              <w:spacing w:line="276" w:lineRule="auto"/>
            </w:pPr>
            <w:r>
              <w:t>200 mg (25%)</w:t>
            </w:r>
          </w:p>
        </w:tc>
        <w:tc>
          <w:tcPr>
            <w:tcW w:w="2013" w:type="dxa"/>
            <w:tcBorders>
              <w:top w:val="nil"/>
              <w:left w:val="single" w:sz="4" w:space="0" w:color="auto"/>
              <w:bottom w:val="nil"/>
              <w:right w:val="single" w:sz="4" w:space="0" w:color="auto"/>
            </w:tcBorders>
          </w:tcPr>
          <w:p w:rsidR="003E72FE" w:rsidRDefault="003E72FE">
            <w:pPr>
              <w:pStyle w:val="Table2"/>
              <w:spacing w:line="276" w:lineRule="auto"/>
            </w:pPr>
          </w:p>
        </w:tc>
      </w:tr>
      <w:tr w:rsidR="003E72FE" w:rsidTr="003E72FE">
        <w:trPr>
          <w:cantSplit/>
          <w:jc w:val="center"/>
        </w:trPr>
        <w:tc>
          <w:tcPr>
            <w:tcW w:w="226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r>
              <w:t>Fruit drinks, vegetable drinks and fruit and vegetable drinks containing at least     250 mL/L of the juice, puree or comminution of the fruit or vegetable or both; fruit drink, vegetable drink or fruit and vegetable drink concentrate which contains in a reference quantity at least        250 mL/L of the juice, puree or comminution of the fruit or vegetable, or both</w:t>
            </w:r>
          </w:p>
          <w:p w:rsidR="003E72FE" w:rsidRDefault="003E72FE">
            <w:pPr>
              <w:pStyle w:val="Table2"/>
              <w:spacing w:line="276" w:lineRule="auto"/>
            </w:pPr>
          </w:p>
        </w:tc>
        <w:tc>
          <w:tcPr>
            <w:tcW w:w="1413" w:type="dxa"/>
            <w:tcBorders>
              <w:top w:val="nil"/>
              <w:left w:val="single" w:sz="4" w:space="0" w:color="auto"/>
              <w:bottom w:val="single" w:sz="4" w:space="0" w:color="auto"/>
              <w:right w:val="single" w:sz="4" w:space="0" w:color="auto"/>
            </w:tcBorders>
            <w:hideMark/>
          </w:tcPr>
          <w:p w:rsidR="003E72FE" w:rsidRDefault="003E72FE">
            <w:pPr>
              <w:pStyle w:val="Table2"/>
              <w:spacing w:line="276" w:lineRule="auto"/>
            </w:pPr>
            <w:r>
              <w:t>200 mL</w:t>
            </w:r>
          </w:p>
        </w:tc>
        <w:tc>
          <w:tcPr>
            <w:tcW w:w="1653" w:type="dxa"/>
            <w:tcBorders>
              <w:top w:val="nil"/>
              <w:left w:val="single" w:sz="4" w:space="0" w:color="auto"/>
              <w:bottom w:val="single" w:sz="4" w:space="0" w:color="auto"/>
              <w:right w:val="single" w:sz="4" w:space="0" w:color="auto"/>
            </w:tcBorders>
            <w:hideMark/>
          </w:tcPr>
          <w:p w:rsidR="003E72FE" w:rsidRDefault="003E72FE">
            <w:pPr>
              <w:pStyle w:val="Table2"/>
              <w:spacing w:line="276" w:lineRule="auto"/>
            </w:pPr>
            <w:r>
              <w:t>Folate</w:t>
            </w:r>
          </w:p>
          <w:p w:rsidR="003E72FE" w:rsidRDefault="003E72FE">
            <w:pPr>
              <w:pStyle w:val="Table2"/>
              <w:spacing w:line="276" w:lineRule="auto"/>
              <w:rPr>
                <w:lang w:bidi="ar-SA"/>
              </w:rPr>
            </w:pPr>
            <w:r>
              <w:t>Vitamin C</w:t>
            </w:r>
          </w:p>
          <w:p w:rsidR="003E72FE" w:rsidRDefault="003E72FE">
            <w:pPr>
              <w:pStyle w:val="Table2"/>
              <w:spacing w:line="276" w:lineRule="auto"/>
            </w:pPr>
            <w:r>
              <w:t>Carotene forms of vitamin A</w:t>
            </w:r>
          </w:p>
          <w:p w:rsidR="003E72FE" w:rsidRDefault="003E72FE">
            <w:pPr>
              <w:pStyle w:val="Table2"/>
              <w:spacing w:line="276" w:lineRule="auto"/>
            </w:pPr>
            <w:r>
              <w:t>Calcium</w:t>
            </w:r>
          </w:p>
        </w:tc>
        <w:tc>
          <w:tcPr>
            <w:tcW w:w="192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r>
              <w:t>refer to clause 8</w:t>
            </w:r>
          </w:p>
          <w:p w:rsidR="003E72FE" w:rsidRDefault="003E72FE">
            <w:pPr>
              <w:pStyle w:val="Table2"/>
              <w:spacing w:line="276" w:lineRule="auto"/>
              <w:rPr>
                <w:lang w:bidi="ar-SA"/>
              </w:rPr>
            </w:pPr>
            <w:r>
              <w:t>refer to clause 8</w:t>
            </w:r>
          </w:p>
          <w:p w:rsidR="003E72FE" w:rsidRDefault="003E72FE">
            <w:pPr>
              <w:pStyle w:val="Table2"/>
              <w:spacing w:line="276" w:lineRule="auto"/>
            </w:pPr>
            <w:r>
              <w:t>refer to clause 8</w:t>
            </w:r>
          </w:p>
          <w:p w:rsidR="003E72FE" w:rsidRDefault="003E72FE">
            <w:pPr>
              <w:pStyle w:val="Table2"/>
              <w:spacing w:line="276" w:lineRule="auto"/>
            </w:pPr>
          </w:p>
          <w:p w:rsidR="003E72FE" w:rsidRDefault="003E72FE">
            <w:pPr>
              <w:pStyle w:val="Table2"/>
              <w:spacing w:line="276" w:lineRule="auto"/>
            </w:pPr>
            <w:r>
              <w:t>200 mg (25%)</w:t>
            </w:r>
          </w:p>
        </w:tc>
        <w:tc>
          <w:tcPr>
            <w:tcW w:w="2013"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r>
    </w:tbl>
    <w:p w:rsidR="003E72FE" w:rsidRPr="003E72FE" w:rsidRDefault="003E72FE" w:rsidP="003E72FE">
      <w:pPr>
        <w:rPr>
          <w:i/>
          <w:sz w:val="20"/>
          <w:szCs w:val="20"/>
        </w:rPr>
      </w:pPr>
    </w:p>
    <w:p w:rsidR="003E72FE" w:rsidRPr="003E72FE" w:rsidRDefault="003E72FE" w:rsidP="003E72FE">
      <w:pPr>
        <w:pStyle w:val="Clause"/>
        <w:rPr>
          <w:rFonts w:cs="Arial"/>
          <w:lang w:bidi="ar-SA"/>
        </w:rPr>
      </w:pPr>
      <w:r w:rsidRPr="003E72FE">
        <w:rPr>
          <w:rFonts w:cs="Arial"/>
        </w:rPr>
        <w:t>[15.5]</w:t>
      </w:r>
      <w:r w:rsidRPr="003E72FE">
        <w:rPr>
          <w:rFonts w:cs="Arial"/>
        </w:rPr>
        <w:tab/>
      </w:r>
      <w:r w:rsidRPr="003E72FE">
        <w:rPr>
          <w:rFonts w:cs="Arial"/>
          <w:i/>
        </w:rPr>
        <w:t>inserting the following</w:t>
      </w:r>
      <w:r w:rsidRPr="003E72FE">
        <w:rPr>
          <w:rFonts w:cs="Arial"/>
        </w:rPr>
        <w:t xml:space="preserve"> Editorial note </w:t>
      </w:r>
      <w:r w:rsidRPr="003E72FE">
        <w:rPr>
          <w:rFonts w:cs="Arial"/>
          <w:i/>
        </w:rPr>
        <w:t xml:space="preserve">following the </w:t>
      </w:r>
      <w:r w:rsidRPr="003E72FE">
        <w:rPr>
          <w:rFonts w:cs="Arial"/>
        </w:rPr>
        <w:t xml:space="preserve">Table to clause 3 – </w:t>
      </w:r>
    </w:p>
    <w:p w:rsidR="003E72FE" w:rsidRPr="003E72FE" w:rsidRDefault="003E72FE" w:rsidP="003E72FE">
      <w:pPr>
        <w:rPr>
          <w:rFonts w:cs="Arial"/>
          <w:i/>
          <w:sz w:val="20"/>
          <w:szCs w:val="20"/>
        </w:rPr>
      </w:pPr>
    </w:p>
    <w:p w:rsidR="003E72FE" w:rsidRPr="003E72FE" w:rsidRDefault="003E72FE" w:rsidP="003E72FE">
      <w:pPr>
        <w:pStyle w:val="EditorialNoteLine1"/>
        <w:rPr>
          <w:rFonts w:cs="Arial"/>
        </w:rPr>
      </w:pPr>
      <w:r w:rsidRPr="003E72FE">
        <w:rPr>
          <w:rFonts w:cs="Arial"/>
        </w:rPr>
        <w:t xml:space="preserve">Editorial note: </w:t>
      </w:r>
    </w:p>
    <w:p w:rsidR="003E72FE" w:rsidRPr="003E72FE" w:rsidRDefault="003E72FE" w:rsidP="003E72FE">
      <w:pPr>
        <w:pStyle w:val="EditorialNotetext"/>
        <w:rPr>
          <w:rFonts w:cs="Arial"/>
        </w:rPr>
      </w:pPr>
    </w:p>
    <w:p w:rsidR="003E72FE" w:rsidRDefault="003E72FE" w:rsidP="003E72FE">
      <w:pPr>
        <w:pStyle w:val="EditorialNotetext"/>
        <w:rPr>
          <w:rFonts w:cs="Arial"/>
        </w:rPr>
      </w:pPr>
      <w:r w:rsidRPr="003E72FE">
        <w:rPr>
          <w:rFonts w:cs="Arial"/>
        </w:rPr>
        <w:t xml:space="preserve">The </w:t>
      </w:r>
      <w:r w:rsidRPr="003E72FE">
        <w:rPr>
          <w:rFonts w:cs="Arial"/>
          <w:i/>
        </w:rPr>
        <w:t xml:space="preserve">New Zealand (Mandatory Fortification of Bread with Folic Acid) Food Standard 2007 </w:t>
      </w:r>
      <w:r w:rsidRPr="003E72FE">
        <w:rPr>
          <w:rFonts w:cs="Arial"/>
        </w:rPr>
        <w:t xml:space="preserve">applies to bread sold in New Zealand. </w:t>
      </w:r>
      <w:r w:rsidRPr="003E72FE">
        <w:rPr>
          <w:rFonts w:cs="Arial"/>
          <w:i/>
        </w:rPr>
        <w:t xml:space="preserve"> </w:t>
      </w:r>
      <w:r w:rsidRPr="003E72FE">
        <w:rPr>
          <w:rFonts w:cs="Arial"/>
        </w:rPr>
        <w:t>This Standard does not apply to bread sold or prepared for sale in, or imported into Australia.</w:t>
      </w:r>
      <w:r>
        <w:rPr>
          <w:rFonts w:cs="Arial"/>
        </w:rPr>
        <w:br w:type="page"/>
      </w:r>
    </w:p>
    <w:p w:rsidR="003E72FE" w:rsidRPr="003E72FE" w:rsidRDefault="003E72FE" w:rsidP="003E72FE">
      <w:pPr>
        <w:pStyle w:val="Clause"/>
        <w:rPr>
          <w:i/>
          <w:iCs/>
        </w:rPr>
      </w:pPr>
      <w:r w:rsidRPr="003E72FE">
        <w:rPr>
          <w:b/>
          <w:bCs/>
        </w:rPr>
        <w:lastRenderedPageBreak/>
        <w:t>[16]</w:t>
      </w:r>
      <w:r w:rsidRPr="003E72FE">
        <w:tab/>
      </w:r>
      <w:r w:rsidRPr="003E72FE">
        <w:rPr>
          <w:b/>
          <w:bCs/>
          <w:i/>
          <w:iCs/>
        </w:rPr>
        <w:t>Standard 1.3.3</w:t>
      </w:r>
      <w:r w:rsidRPr="003E72FE">
        <w:rPr>
          <w:i/>
          <w:iCs/>
        </w:rPr>
        <w:t xml:space="preserve"> of the Australia New Zealand Food Standards Code is varied by – </w:t>
      </w:r>
    </w:p>
    <w:p w:rsidR="003E72FE" w:rsidRPr="003E72FE" w:rsidRDefault="003E72FE" w:rsidP="003E72FE">
      <w:pPr>
        <w:pStyle w:val="Clause"/>
        <w:rPr>
          <w:i/>
          <w:iCs/>
        </w:rPr>
      </w:pPr>
    </w:p>
    <w:p w:rsidR="003E72FE" w:rsidRPr="003E72FE" w:rsidRDefault="003E72FE" w:rsidP="003E72FE">
      <w:pPr>
        <w:pStyle w:val="Clause"/>
        <w:rPr>
          <w:i/>
        </w:rPr>
      </w:pPr>
      <w:r w:rsidRPr="003E72FE">
        <w:t>[16.1]</w:t>
      </w:r>
      <w:r w:rsidRPr="003E72FE">
        <w:tab/>
      </w:r>
      <w:r w:rsidRPr="003E72FE">
        <w:rPr>
          <w:i/>
        </w:rPr>
        <w:t xml:space="preserve">omitting the definition of </w:t>
      </w:r>
      <w:r w:rsidRPr="003E72FE">
        <w:rPr>
          <w:b/>
        </w:rPr>
        <w:t>GMP</w:t>
      </w:r>
      <w:r w:rsidRPr="003E72FE">
        <w:rPr>
          <w:i/>
        </w:rPr>
        <w:t xml:space="preserve"> in clause 1</w:t>
      </w:r>
    </w:p>
    <w:p w:rsidR="003E72FE" w:rsidRPr="003E72FE" w:rsidRDefault="003E72FE" w:rsidP="003E72FE">
      <w:pPr>
        <w:pStyle w:val="Clause"/>
      </w:pPr>
    </w:p>
    <w:p w:rsidR="003E72FE" w:rsidRPr="003E72FE" w:rsidRDefault="003E72FE" w:rsidP="003E72FE">
      <w:pPr>
        <w:pStyle w:val="Clause"/>
        <w:rPr>
          <w:i/>
          <w:iCs/>
        </w:rPr>
      </w:pPr>
      <w:r w:rsidRPr="003E72FE">
        <w:t>[16.2]</w:t>
      </w:r>
      <w:r w:rsidRPr="003E72FE">
        <w:tab/>
      </w:r>
      <w:r w:rsidRPr="003E72FE">
        <w:rPr>
          <w:i/>
        </w:rPr>
        <w:t xml:space="preserve">omitting paragraph (b) from the </w:t>
      </w:r>
      <w:r w:rsidRPr="003E72FE">
        <w:rPr>
          <w:i/>
          <w:iCs/>
        </w:rPr>
        <w:t xml:space="preserve">definition of </w:t>
      </w:r>
      <w:r w:rsidRPr="003E72FE">
        <w:rPr>
          <w:b/>
          <w:iCs/>
        </w:rPr>
        <w:t>processing aid</w:t>
      </w:r>
      <w:r w:rsidRPr="003E72FE">
        <w:rPr>
          <w:iCs/>
        </w:rPr>
        <w:t xml:space="preserve"> </w:t>
      </w:r>
      <w:r w:rsidRPr="003E72FE">
        <w:rPr>
          <w:i/>
          <w:iCs/>
        </w:rPr>
        <w:t xml:space="preserve">in clause 1, substituting – </w:t>
      </w:r>
    </w:p>
    <w:p w:rsidR="003E72FE" w:rsidRPr="003E72FE" w:rsidRDefault="003E72FE" w:rsidP="003E72FE">
      <w:pPr>
        <w:rPr>
          <w:sz w:val="20"/>
          <w:szCs w:val="20"/>
        </w:rPr>
      </w:pPr>
    </w:p>
    <w:p w:rsidR="003E72FE" w:rsidRPr="003E72FE" w:rsidRDefault="003E72FE" w:rsidP="003E72FE">
      <w:pPr>
        <w:pStyle w:val="Paragraph"/>
      </w:pPr>
      <w:r w:rsidRPr="003E72FE">
        <w:t>(b)</w:t>
      </w:r>
      <w:r w:rsidRPr="003E72FE">
        <w:tab/>
        <w:t>the proportion of the processing aid is no more than the maximum level necessary to achieve one or more technological functions under conditions of Good Manufacturing Practice (GMP).</w:t>
      </w:r>
    </w:p>
    <w:p w:rsidR="003E72FE" w:rsidRPr="003E72FE" w:rsidRDefault="003E72FE" w:rsidP="003E72FE">
      <w:pPr>
        <w:pStyle w:val="Clause"/>
      </w:pPr>
    </w:p>
    <w:p w:rsidR="003E72FE" w:rsidRPr="003E72FE" w:rsidRDefault="003E72FE" w:rsidP="003E72FE">
      <w:pPr>
        <w:pStyle w:val="Clause"/>
      </w:pPr>
      <w:r w:rsidRPr="003E72FE">
        <w:t>[16.3]</w:t>
      </w:r>
      <w:r w:rsidRPr="003E72FE">
        <w:tab/>
      </w:r>
      <w:r w:rsidRPr="003E72FE">
        <w:rPr>
          <w:i/>
        </w:rPr>
        <w:t>omitting</w:t>
      </w:r>
      <w:r w:rsidRPr="003E72FE">
        <w:t xml:space="preserve"> final food </w:t>
      </w:r>
      <w:r w:rsidRPr="003E72FE">
        <w:rPr>
          <w:i/>
        </w:rPr>
        <w:t>from clause 11,</w:t>
      </w:r>
      <w:r w:rsidRPr="003E72FE">
        <w:t xml:space="preserve"> </w:t>
      </w:r>
      <w:r w:rsidRPr="003E72FE">
        <w:rPr>
          <w:i/>
        </w:rPr>
        <w:t xml:space="preserve">substituting </w:t>
      </w:r>
      <w:r w:rsidRPr="003E72FE">
        <w:t>water</w:t>
      </w:r>
    </w:p>
    <w:p w:rsidR="003E72FE" w:rsidRPr="003E72FE" w:rsidRDefault="003E72FE" w:rsidP="003E72FE">
      <w:pPr>
        <w:rPr>
          <w:sz w:val="20"/>
          <w:szCs w:val="20"/>
        </w:rPr>
      </w:pPr>
    </w:p>
    <w:p w:rsidR="003E72FE" w:rsidRPr="003E72FE" w:rsidRDefault="003E72FE" w:rsidP="003E72FE">
      <w:pPr>
        <w:pStyle w:val="Clause"/>
      </w:pPr>
      <w:r w:rsidRPr="003E72FE">
        <w:t>[16.4]</w:t>
      </w:r>
      <w:r w:rsidRPr="003E72FE">
        <w:tab/>
      </w:r>
      <w:r w:rsidRPr="003E72FE">
        <w:rPr>
          <w:i/>
        </w:rPr>
        <w:t xml:space="preserve">omitting </w:t>
      </w:r>
      <w:r w:rsidRPr="003E72FE">
        <w:t xml:space="preserve">Food </w:t>
      </w:r>
      <w:r w:rsidRPr="003E72FE">
        <w:rPr>
          <w:i/>
        </w:rPr>
        <w:t xml:space="preserve">from the heading to the </w:t>
      </w:r>
      <w:r w:rsidRPr="003E72FE">
        <w:t xml:space="preserve">Table to clause 14, </w:t>
      </w:r>
      <w:r w:rsidRPr="003E72FE">
        <w:rPr>
          <w:i/>
        </w:rPr>
        <w:t xml:space="preserve">substituting </w:t>
      </w:r>
      <w:r w:rsidRPr="003E72FE">
        <w:t xml:space="preserve">Function </w:t>
      </w:r>
    </w:p>
    <w:p w:rsidR="003E72FE" w:rsidRPr="003E72FE" w:rsidRDefault="003E72FE" w:rsidP="003E72FE">
      <w:pPr>
        <w:pStyle w:val="Clause"/>
      </w:pPr>
    </w:p>
    <w:p w:rsidR="003E72FE" w:rsidRPr="003E72FE" w:rsidRDefault="003E72FE" w:rsidP="003E72FE">
      <w:pPr>
        <w:pStyle w:val="Clause"/>
      </w:pPr>
      <w:r w:rsidRPr="003E72FE">
        <w:t>[16.5]</w:t>
      </w:r>
      <w:r w:rsidRPr="003E72FE">
        <w:tab/>
      </w:r>
      <w:r w:rsidRPr="003E72FE">
        <w:rPr>
          <w:i/>
        </w:rPr>
        <w:t xml:space="preserve">omitting from the </w:t>
      </w:r>
      <w:r w:rsidRPr="003E72FE">
        <w:t xml:space="preserve">Table to clause 14 – </w:t>
      </w:r>
    </w:p>
    <w:p w:rsidR="003E72FE" w:rsidRPr="003E72FE" w:rsidRDefault="003E72FE" w:rsidP="003E72FE">
      <w:pPr>
        <w:rPr>
          <w:sz w:val="20"/>
          <w:szCs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057"/>
        <w:gridCol w:w="2410"/>
      </w:tblGrid>
      <w:tr w:rsidR="003E72FE" w:rsidTr="003E72FE">
        <w:tc>
          <w:tcPr>
            <w:tcW w:w="3607"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Lactoperoxidase from bovine milk</w:t>
            </w:r>
          </w:p>
          <w:p w:rsidR="003E72FE" w:rsidRDefault="003E72FE">
            <w:pPr>
              <w:pStyle w:val="Table2"/>
              <w:spacing w:line="276" w:lineRule="auto"/>
            </w:pPr>
            <w:r>
              <w:t>EC 1.11.1.7</w:t>
            </w:r>
          </w:p>
        </w:tc>
        <w:tc>
          <w:tcPr>
            <w:tcW w:w="3056"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Reduce and/or inhibit bacterial population on meat surfaces</w:t>
            </w:r>
          </w:p>
        </w:tc>
        <w:tc>
          <w:tcPr>
            <w:tcW w:w="2409"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jc w:val="center"/>
            </w:pPr>
            <w:r>
              <w:t>GMP</w:t>
            </w:r>
          </w:p>
        </w:tc>
      </w:tr>
    </w:tbl>
    <w:p w:rsidR="003E72FE" w:rsidRPr="003E72FE" w:rsidRDefault="003E72FE" w:rsidP="003E72FE">
      <w:pPr>
        <w:rPr>
          <w:sz w:val="20"/>
          <w:szCs w:val="20"/>
        </w:rPr>
      </w:pPr>
    </w:p>
    <w:p w:rsidR="003E72FE" w:rsidRPr="003E72FE" w:rsidRDefault="003E72FE" w:rsidP="003E72FE">
      <w:pPr>
        <w:pStyle w:val="Clause"/>
        <w:rPr>
          <w:i/>
          <w:iCs/>
          <w:lang w:bidi="ar-SA"/>
        </w:rPr>
      </w:pPr>
      <w:r w:rsidRPr="003E72FE">
        <w:rPr>
          <w:i/>
          <w:iCs/>
        </w:rPr>
        <w:t xml:space="preserve">substituting – </w:t>
      </w:r>
    </w:p>
    <w:p w:rsidR="003E72FE" w:rsidRPr="003E72FE" w:rsidRDefault="003E72FE" w:rsidP="003E72FE">
      <w:pPr>
        <w:rPr>
          <w:sz w:val="20"/>
          <w:szCs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057"/>
        <w:gridCol w:w="2410"/>
      </w:tblGrid>
      <w:tr w:rsidR="003E72FE" w:rsidTr="003E72FE">
        <w:tc>
          <w:tcPr>
            <w:tcW w:w="3607"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Lactoperoxidase from bovine milk</w:t>
            </w:r>
          </w:p>
          <w:p w:rsidR="003E72FE" w:rsidRDefault="003E72FE">
            <w:pPr>
              <w:pStyle w:val="Table2"/>
              <w:spacing w:line="276" w:lineRule="auto"/>
            </w:pPr>
            <w:r>
              <w:t>EC 1.11.1.7</w:t>
            </w:r>
          </w:p>
        </w:tc>
        <w:tc>
          <w:tcPr>
            <w:tcW w:w="3056"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Reduce the bacterial population or inhibit bacterial growth on meat surfaces</w:t>
            </w:r>
          </w:p>
        </w:tc>
        <w:tc>
          <w:tcPr>
            <w:tcW w:w="2409"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jc w:val="center"/>
            </w:pPr>
            <w:r>
              <w:t>GMP</w:t>
            </w:r>
          </w:p>
        </w:tc>
      </w:tr>
    </w:tbl>
    <w:p w:rsidR="003E72FE" w:rsidRDefault="003E72FE" w:rsidP="003E72FE">
      <w:pPr>
        <w:pStyle w:val="Clause"/>
      </w:pPr>
      <w:r>
        <w:t>[16.6]</w:t>
      </w:r>
      <w:r>
        <w:tab/>
      </w:r>
      <w:r>
        <w:rPr>
          <w:i/>
        </w:rPr>
        <w:t xml:space="preserve">inserting in the </w:t>
      </w:r>
      <w:r>
        <w:t>Table to clause 14 –</w:t>
      </w:r>
    </w:p>
    <w:p w:rsidR="003E72FE" w:rsidRPr="003E72FE" w:rsidRDefault="003E72FE" w:rsidP="003E72FE">
      <w:pPr>
        <w:rPr>
          <w:sz w:val="20"/>
          <w:szCs w:val="20"/>
          <w:lang w:bidi="ar-SA"/>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057"/>
        <w:gridCol w:w="2410"/>
      </w:tblGrid>
      <w:tr w:rsidR="003E72FE" w:rsidTr="003E72FE">
        <w:tc>
          <w:tcPr>
            <w:tcW w:w="3607"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Colours permitted in Schedules 2, 3 and 4 of Standard 1.3.1</w:t>
            </w:r>
          </w:p>
        </w:tc>
        <w:tc>
          <w:tcPr>
            <w:tcW w:w="3056"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Applied to the outer surface of meat as a brand for the purposes of inspection or identification</w:t>
            </w:r>
          </w:p>
        </w:tc>
        <w:tc>
          <w:tcPr>
            <w:tcW w:w="2409"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jc w:val="center"/>
            </w:pPr>
            <w:r>
              <w:t>GMP</w:t>
            </w:r>
          </w:p>
        </w:tc>
      </w:tr>
    </w:tbl>
    <w:p w:rsidR="003E72FE" w:rsidRDefault="003E72FE" w:rsidP="003E72FE">
      <w:pPr>
        <w:rPr>
          <w:sz w:val="20"/>
          <w:szCs w:val="20"/>
        </w:rPr>
      </w:pPr>
    </w:p>
    <w:p w:rsidR="003E72FE" w:rsidRPr="003E72FE" w:rsidRDefault="003E72FE" w:rsidP="003E72FE">
      <w:pPr>
        <w:pStyle w:val="Clause"/>
        <w:rPr>
          <w:lang w:bidi="ar-SA"/>
        </w:rPr>
      </w:pPr>
      <w:r>
        <w:rPr>
          <w:b/>
          <w:bCs/>
        </w:rPr>
        <w:t>[</w:t>
      </w:r>
      <w:r w:rsidRPr="003E72FE">
        <w:rPr>
          <w:b/>
          <w:bCs/>
        </w:rPr>
        <w:t>17]</w:t>
      </w:r>
      <w:r w:rsidRPr="003E72FE">
        <w:tab/>
      </w:r>
      <w:r w:rsidRPr="003E72FE">
        <w:rPr>
          <w:b/>
          <w:bCs/>
          <w:i/>
        </w:rPr>
        <w:t>Standard 1.3.4</w:t>
      </w:r>
      <w:r w:rsidRPr="003E72FE">
        <w:rPr>
          <w:i/>
        </w:rPr>
        <w:t xml:space="preserve"> of the Australia New Zealand Food Standards Code is varied by</w:t>
      </w:r>
      <w:r w:rsidRPr="003E72FE">
        <w:t xml:space="preserve"> –</w:t>
      </w:r>
    </w:p>
    <w:p w:rsidR="003E72FE" w:rsidRPr="003E72FE" w:rsidRDefault="003E72FE" w:rsidP="003E72FE">
      <w:pPr>
        <w:rPr>
          <w:sz w:val="20"/>
          <w:szCs w:val="20"/>
        </w:rPr>
      </w:pPr>
    </w:p>
    <w:p w:rsidR="003E72FE" w:rsidRPr="003E72FE" w:rsidRDefault="003E72FE" w:rsidP="003E72FE">
      <w:pPr>
        <w:pStyle w:val="Clause"/>
      </w:pPr>
      <w:r w:rsidRPr="003E72FE">
        <w:t>[17.1]</w:t>
      </w:r>
      <w:r w:rsidRPr="003E72FE">
        <w:tab/>
      </w:r>
      <w:r w:rsidRPr="003E72FE">
        <w:rPr>
          <w:i/>
        </w:rPr>
        <w:t xml:space="preserve">omitting the </w:t>
      </w:r>
      <w:r w:rsidRPr="003E72FE">
        <w:t>Purpose</w:t>
      </w:r>
      <w:r w:rsidRPr="003E72FE">
        <w:rPr>
          <w:i/>
        </w:rPr>
        <w:t>, substituting</w:t>
      </w:r>
      <w:r w:rsidRPr="003E72FE">
        <w:t xml:space="preserve"> – </w:t>
      </w:r>
    </w:p>
    <w:p w:rsidR="003E72FE" w:rsidRPr="003E72FE" w:rsidRDefault="003E72FE" w:rsidP="003E72FE">
      <w:pPr>
        <w:rPr>
          <w:sz w:val="20"/>
          <w:szCs w:val="20"/>
        </w:rPr>
      </w:pPr>
    </w:p>
    <w:p w:rsidR="003E72FE" w:rsidRPr="003E72FE" w:rsidRDefault="003E72FE" w:rsidP="003E72FE">
      <w:pPr>
        <w:pStyle w:val="Clause"/>
        <w:rPr>
          <w:b/>
        </w:rPr>
      </w:pPr>
      <w:r w:rsidRPr="003E72FE">
        <w:rPr>
          <w:b/>
        </w:rPr>
        <w:t>Purpose</w:t>
      </w:r>
    </w:p>
    <w:p w:rsidR="003E72FE" w:rsidRPr="003E72FE" w:rsidRDefault="003E72FE" w:rsidP="003E72FE">
      <w:pPr>
        <w:rPr>
          <w:sz w:val="20"/>
          <w:szCs w:val="20"/>
        </w:rPr>
      </w:pPr>
    </w:p>
    <w:p w:rsidR="003E72FE" w:rsidRPr="003E72FE" w:rsidRDefault="003E72FE" w:rsidP="003E72FE">
      <w:pPr>
        <w:pStyle w:val="Clause"/>
      </w:pPr>
      <w:r w:rsidRPr="003E72FE">
        <w:t>This Standard ensures that food additives, processing aids, novel food substances, vitamins and minerals and nutritive substances added to food in accordance with this Code meet appropriate specifications for identity and purity.  In general, these specifications are those used by the international community.</w:t>
      </w:r>
    </w:p>
    <w:p w:rsidR="003E72FE" w:rsidRPr="003E72FE" w:rsidRDefault="003E72FE" w:rsidP="003E72FE">
      <w:pPr>
        <w:rPr>
          <w:sz w:val="20"/>
          <w:szCs w:val="20"/>
        </w:rPr>
      </w:pPr>
    </w:p>
    <w:p w:rsidR="003E72FE" w:rsidRPr="003E72FE" w:rsidRDefault="003E72FE" w:rsidP="003E72FE">
      <w:pPr>
        <w:pStyle w:val="Clause"/>
      </w:pPr>
      <w:r w:rsidRPr="003E72FE">
        <w:t>[17.2]</w:t>
      </w:r>
      <w:r w:rsidRPr="003E72FE">
        <w:tab/>
      </w:r>
      <w:r w:rsidRPr="003E72FE">
        <w:rPr>
          <w:i/>
        </w:rPr>
        <w:t>omitting clauses 1, 2 and 3, substituting</w:t>
      </w:r>
      <w:r w:rsidRPr="003E72FE">
        <w:t xml:space="preserve"> – </w:t>
      </w:r>
    </w:p>
    <w:p w:rsidR="003E72FE" w:rsidRPr="003E72FE" w:rsidRDefault="003E72FE" w:rsidP="003E72FE">
      <w:pPr>
        <w:rPr>
          <w:sz w:val="20"/>
          <w:szCs w:val="20"/>
        </w:rPr>
      </w:pPr>
    </w:p>
    <w:p w:rsidR="003E72FE" w:rsidRPr="003E72FE" w:rsidRDefault="003E72FE" w:rsidP="003E72FE">
      <w:pPr>
        <w:pStyle w:val="ClauseHeading0"/>
      </w:pPr>
      <w:r w:rsidRPr="003E72FE">
        <w:t>1</w:t>
      </w:r>
      <w:r w:rsidRPr="003E72FE">
        <w:tab/>
        <w:t>Application</w:t>
      </w:r>
    </w:p>
    <w:p w:rsidR="003E72FE" w:rsidRPr="003E72FE" w:rsidRDefault="003E72FE" w:rsidP="003E72FE">
      <w:pPr>
        <w:rPr>
          <w:sz w:val="20"/>
          <w:szCs w:val="20"/>
        </w:rPr>
      </w:pPr>
    </w:p>
    <w:p w:rsidR="003E72FE" w:rsidRPr="003E72FE" w:rsidRDefault="003E72FE" w:rsidP="003E72FE">
      <w:pPr>
        <w:pStyle w:val="Clause"/>
      </w:pPr>
      <w:r w:rsidRPr="003E72FE">
        <w:t xml:space="preserve">This Standard applies only to the following substances which are added to food in accordance with this Code, or sold for use in food – </w:t>
      </w:r>
    </w:p>
    <w:p w:rsidR="003E72FE" w:rsidRPr="003E72FE" w:rsidRDefault="003E72FE" w:rsidP="003E72FE">
      <w:pPr>
        <w:rPr>
          <w:sz w:val="20"/>
          <w:szCs w:val="20"/>
        </w:rPr>
      </w:pPr>
    </w:p>
    <w:p w:rsidR="003E72FE" w:rsidRPr="003E72FE" w:rsidRDefault="003E72FE" w:rsidP="003E72FE">
      <w:pPr>
        <w:pStyle w:val="Paragraph"/>
      </w:pPr>
      <w:r w:rsidRPr="003E72FE">
        <w:t>(a)</w:t>
      </w:r>
      <w:r w:rsidRPr="003E72FE">
        <w:tab/>
        <w:t>food additives;</w:t>
      </w:r>
    </w:p>
    <w:p w:rsidR="003E72FE" w:rsidRPr="003E72FE" w:rsidRDefault="003E72FE" w:rsidP="003E72FE">
      <w:pPr>
        <w:pStyle w:val="Paragraph"/>
      </w:pPr>
      <w:r w:rsidRPr="003E72FE">
        <w:t>(b)</w:t>
      </w:r>
      <w:r w:rsidRPr="003E72FE">
        <w:tab/>
        <w:t>processing aids;</w:t>
      </w:r>
    </w:p>
    <w:p w:rsidR="003E72FE" w:rsidRPr="003E72FE" w:rsidRDefault="003E72FE" w:rsidP="003E72FE">
      <w:pPr>
        <w:pStyle w:val="Paragraph"/>
      </w:pPr>
      <w:r w:rsidRPr="003E72FE">
        <w:t>(c)</w:t>
      </w:r>
      <w:r w:rsidRPr="003E72FE">
        <w:tab/>
        <w:t>vitamins and minerals;</w:t>
      </w:r>
    </w:p>
    <w:p w:rsidR="003E72FE" w:rsidRPr="003E72FE" w:rsidRDefault="003E72FE" w:rsidP="003E72FE">
      <w:pPr>
        <w:pStyle w:val="Paragraph"/>
      </w:pPr>
      <w:r w:rsidRPr="003E72FE">
        <w:t>(d)</w:t>
      </w:r>
      <w:r w:rsidRPr="003E72FE">
        <w:tab/>
        <w:t xml:space="preserve">novel food substances; and </w:t>
      </w:r>
    </w:p>
    <w:p w:rsidR="003E72FE" w:rsidRPr="003E72FE" w:rsidRDefault="003E72FE" w:rsidP="003E72FE">
      <w:pPr>
        <w:pStyle w:val="Paragraph"/>
      </w:pPr>
      <w:r w:rsidRPr="003E72FE">
        <w:t>(e)</w:t>
      </w:r>
      <w:r w:rsidRPr="003E72FE">
        <w:tab/>
        <w:t>nutritive substances.</w:t>
      </w:r>
    </w:p>
    <w:p w:rsidR="003E72FE" w:rsidRPr="003E72FE" w:rsidRDefault="003E72FE" w:rsidP="003E72FE">
      <w:pPr>
        <w:rPr>
          <w:i/>
          <w:iCs/>
          <w:sz w:val="20"/>
          <w:szCs w:val="20"/>
        </w:rPr>
      </w:pPr>
    </w:p>
    <w:p w:rsidR="003E72FE" w:rsidRPr="003E72FE" w:rsidRDefault="003E72FE" w:rsidP="003E72FE">
      <w:pPr>
        <w:pStyle w:val="ClauseHeading0"/>
      </w:pPr>
      <w:r w:rsidRPr="003E72FE">
        <w:t>2</w:t>
      </w:r>
      <w:r w:rsidRPr="003E72FE">
        <w:tab/>
        <w:t>Substances with specifications in primary sources</w:t>
      </w:r>
    </w:p>
    <w:p w:rsidR="003E72FE" w:rsidRPr="003E72FE" w:rsidRDefault="003E72FE" w:rsidP="003E72FE">
      <w:pPr>
        <w:rPr>
          <w:sz w:val="20"/>
          <w:szCs w:val="20"/>
        </w:rPr>
      </w:pPr>
    </w:p>
    <w:p w:rsidR="003E72FE" w:rsidRPr="003E72FE" w:rsidRDefault="003E72FE" w:rsidP="003E72FE">
      <w:pPr>
        <w:pStyle w:val="Clause"/>
      </w:pPr>
      <w:r w:rsidRPr="003E72FE">
        <w:t xml:space="preserve">A substance must comply with a relevant monograph published in one of the following – </w:t>
      </w:r>
    </w:p>
    <w:p w:rsidR="003E72FE" w:rsidRPr="003E72FE" w:rsidRDefault="003E72FE" w:rsidP="003E72FE">
      <w:pPr>
        <w:rPr>
          <w:sz w:val="20"/>
          <w:szCs w:val="20"/>
        </w:rPr>
      </w:pPr>
    </w:p>
    <w:p w:rsidR="003E72FE" w:rsidRPr="003E72FE" w:rsidRDefault="003E72FE" w:rsidP="003E72FE">
      <w:pPr>
        <w:pStyle w:val="Paragraph"/>
      </w:pPr>
      <w:r w:rsidRPr="003E72FE">
        <w:t>(a)</w:t>
      </w:r>
      <w:r w:rsidRPr="003E72FE">
        <w:tab/>
        <w:t>the Schedule to this Standard; or</w:t>
      </w:r>
    </w:p>
    <w:p w:rsidR="003E72FE" w:rsidRDefault="003E72FE" w:rsidP="003E72FE">
      <w:pPr>
        <w:pStyle w:val="Paragraph"/>
      </w:pPr>
      <w:r>
        <w:br w:type="page"/>
      </w:r>
    </w:p>
    <w:p w:rsidR="003E72FE" w:rsidRDefault="003E72FE" w:rsidP="003E72FE">
      <w:pPr>
        <w:pStyle w:val="Paragraph"/>
      </w:pPr>
      <w:r>
        <w:lastRenderedPageBreak/>
        <w:t>(b)</w:t>
      </w:r>
      <w:r>
        <w:tab/>
        <w:t>Combined Compendium of Food Additive Specifications, FAO JECFA Monograph 1 (2005) as superseded by specifications published in FAO JECFA Monographs 3 (2006) and FAO JECFA Monographs 4 (2007) and FAO JECFA Monographs 5 (2008) and FAO JECFA Monographs 7 (2009) and FAO JECFA Monographs 10 (2010), Food and Agriculture Organisation of the United Nations. Rome; or</w:t>
      </w:r>
    </w:p>
    <w:p w:rsidR="003E72FE" w:rsidRDefault="003E72FE" w:rsidP="003E72FE">
      <w:pPr>
        <w:pStyle w:val="Paragraph"/>
      </w:pPr>
      <w:r>
        <w:t>(c)</w:t>
      </w:r>
      <w:r>
        <w:rPr>
          <w:i/>
        </w:rPr>
        <w:tab/>
        <w:t xml:space="preserve">Food Chemicals Codex </w:t>
      </w:r>
      <w:r>
        <w:t>(7</w:t>
      </w:r>
      <w:r>
        <w:rPr>
          <w:vertAlign w:val="superscript"/>
        </w:rPr>
        <w:t>th</w:t>
      </w:r>
      <w:r>
        <w:t xml:space="preserve"> Edition) published by United States Pharmacopoeia (2010).</w:t>
      </w:r>
    </w:p>
    <w:p w:rsidR="003E72FE" w:rsidRPr="003E72FE" w:rsidRDefault="003E72FE" w:rsidP="003E72FE">
      <w:pPr>
        <w:rPr>
          <w:bCs/>
          <w:i/>
          <w:sz w:val="20"/>
          <w:szCs w:val="20"/>
        </w:rPr>
      </w:pPr>
    </w:p>
    <w:p w:rsidR="003E72FE" w:rsidRPr="003E72FE" w:rsidRDefault="003E72FE" w:rsidP="003E72FE">
      <w:pPr>
        <w:pStyle w:val="ClauseHeading0"/>
      </w:pPr>
      <w:r w:rsidRPr="003E72FE">
        <w:t>3</w:t>
      </w:r>
      <w:r w:rsidRPr="003E72FE">
        <w:tab/>
        <w:t>Substances with specifications in secondary sources</w:t>
      </w:r>
    </w:p>
    <w:p w:rsidR="003E72FE" w:rsidRPr="003E72FE" w:rsidRDefault="003E72FE" w:rsidP="003E72FE">
      <w:pPr>
        <w:tabs>
          <w:tab w:val="left" w:pos="2506"/>
        </w:tabs>
        <w:rPr>
          <w:sz w:val="20"/>
          <w:szCs w:val="20"/>
        </w:rPr>
      </w:pPr>
    </w:p>
    <w:p w:rsidR="003E72FE" w:rsidRPr="003E72FE" w:rsidRDefault="003E72FE" w:rsidP="003E72FE">
      <w:pPr>
        <w:pStyle w:val="Clause"/>
      </w:pPr>
      <w:r w:rsidRPr="003E72FE">
        <w:t>If there is no monograph applying to a substance under clause 2, the substance must comply with a relevant monograph published in one of the following –</w:t>
      </w:r>
    </w:p>
    <w:p w:rsidR="003E72FE" w:rsidRPr="003E72FE" w:rsidRDefault="003E72FE" w:rsidP="003E72FE">
      <w:pPr>
        <w:rPr>
          <w:sz w:val="20"/>
          <w:szCs w:val="20"/>
        </w:rPr>
      </w:pPr>
    </w:p>
    <w:p w:rsidR="003E72FE" w:rsidRPr="003E72FE" w:rsidRDefault="003E72FE" w:rsidP="003E72FE">
      <w:pPr>
        <w:pStyle w:val="Paragraph"/>
      </w:pPr>
      <w:r w:rsidRPr="003E72FE">
        <w:t>(a)</w:t>
      </w:r>
      <w:r w:rsidRPr="003E72FE">
        <w:tab/>
        <w:t xml:space="preserve">the </w:t>
      </w:r>
      <w:r w:rsidRPr="003E72FE">
        <w:rPr>
          <w:i/>
        </w:rPr>
        <w:t>British Pharmacopoeia 2010</w:t>
      </w:r>
      <w:r w:rsidRPr="003E72FE">
        <w:t>, TSO, Norwich (2010); or</w:t>
      </w:r>
    </w:p>
    <w:p w:rsidR="003E72FE" w:rsidRPr="003E72FE" w:rsidRDefault="003E72FE" w:rsidP="003E72FE">
      <w:pPr>
        <w:pStyle w:val="Paragraph"/>
      </w:pPr>
      <w:r w:rsidRPr="003E72FE">
        <w:t>(b)</w:t>
      </w:r>
      <w:r w:rsidRPr="003E72FE">
        <w:tab/>
        <w:t>the United States Pharmacopeia, 34</w:t>
      </w:r>
      <w:r w:rsidRPr="003E72FE">
        <w:rPr>
          <w:vertAlign w:val="superscript"/>
        </w:rPr>
        <w:t>th</w:t>
      </w:r>
      <w:r w:rsidRPr="003E72FE">
        <w:t xml:space="preserve"> Revision and The National Formulary, 29</w:t>
      </w:r>
      <w:r w:rsidRPr="003E72FE">
        <w:rPr>
          <w:vertAlign w:val="superscript"/>
        </w:rPr>
        <w:t>th</w:t>
      </w:r>
      <w:r w:rsidRPr="003E72FE">
        <w:t xml:space="preserve"> Edition (2010); or</w:t>
      </w:r>
    </w:p>
    <w:p w:rsidR="003E72FE" w:rsidRPr="003E72FE" w:rsidRDefault="003E72FE" w:rsidP="003E72FE">
      <w:pPr>
        <w:pStyle w:val="Paragraph"/>
      </w:pPr>
      <w:r w:rsidRPr="003E72FE">
        <w:t>(c)</w:t>
      </w:r>
      <w:r w:rsidRPr="003E72FE">
        <w:tab/>
        <w:t>the Pharmaceutical Codex, 12th Edition, Council of the Pharmaceutical Society of Great Britain.  The Pharmaceutical Press, London (1994); or</w:t>
      </w:r>
    </w:p>
    <w:p w:rsidR="003E72FE" w:rsidRPr="003E72FE" w:rsidRDefault="003E72FE" w:rsidP="003E72FE">
      <w:pPr>
        <w:pStyle w:val="Paragraph"/>
      </w:pPr>
      <w:r w:rsidRPr="003E72FE">
        <w:t>(d)</w:t>
      </w:r>
      <w:r w:rsidRPr="003E72FE">
        <w:tab/>
        <w:t>Martindale; The Complete Drug Reference. The Pharmaceutical Press London (2009); or</w:t>
      </w:r>
    </w:p>
    <w:p w:rsidR="003E72FE" w:rsidRPr="003E72FE" w:rsidRDefault="003E72FE" w:rsidP="003E72FE">
      <w:pPr>
        <w:pStyle w:val="Paragraph"/>
      </w:pPr>
      <w:r w:rsidRPr="003E72FE">
        <w:t>(e)</w:t>
      </w:r>
      <w:r w:rsidRPr="003E72FE">
        <w:tab/>
        <w:t>the European Pharmacopoeia 6th Edition, Council of Europe, Strasbourg (2007); or</w:t>
      </w:r>
    </w:p>
    <w:p w:rsidR="003E72FE" w:rsidRPr="003E72FE" w:rsidRDefault="003E72FE" w:rsidP="003E72FE">
      <w:pPr>
        <w:pStyle w:val="Paragraph"/>
      </w:pPr>
      <w:r w:rsidRPr="003E72FE">
        <w:t>(f)</w:t>
      </w:r>
      <w:r w:rsidRPr="003E72FE">
        <w:tab/>
        <w:t>the International Pharmacopoeia 4th Edition, World Health Organization, Geneva (2006 and 2008 supplement); or</w:t>
      </w:r>
    </w:p>
    <w:p w:rsidR="003E72FE" w:rsidRPr="003E72FE" w:rsidRDefault="003E72FE" w:rsidP="003E72FE">
      <w:pPr>
        <w:pStyle w:val="Paragraph"/>
      </w:pPr>
      <w:r w:rsidRPr="003E72FE">
        <w:t>(g)</w:t>
      </w:r>
      <w:r w:rsidRPr="003E72FE">
        <w:tab/>
        <w:t>the Merck Index, 14th Edition, (2006); or</w:t>
      </w:r>
    </w:p>
    <w:p w:rsidR="003E72FE" w:rsidRPr="003E72FE" w:rsidRDefault="003E72FE" w:rsidP="003E72FE">
      <w:pPr>
        <w:pStyle w:val="Paragraph"/>
      </w:pPr>
      <w:r w:rsidRPr="003E72FE">
        <w:t>(h)</w:t>
      </w:r>
      <w:r w:rsidRPr="003E72FE">
        <w:tab/>
        <w:t>the Code of Federal Regulations; or</w:t>
      </w:r>
    </w:p>
    <w:p w:rsidR="003E72FE" w:rsidRPr="003E72FE" w:rsidRDefault="003E72FE" w:rsidP="003E72FE">
      <w:pPr>
        <w:pStyle w:val="Paragraph"/>
        <w:rPr>
          <w:bCs/>
        </w:rPr>
      </w:pPr>
      <w:r w:rsidRPr="003E72FE">
        <w:t>(i)</w:t>
      </w:r>
      <w:r w:rsidRPr="003E72FE">
        <w:tab/>
      </w:r>
      <w:r w:rsidRPr="003E72FE">
        <w:rPr>
          <w:bCs/>
        </w:rPr>
        <w:t xml:space="preserve">the </w:t>
      </w:r>
      <w:r w:rsidRPr="003E72FE">
        <w:rPr>
          <w:bCs/>
          <w:i/>
        </w:rPr>
        <w:t xml:space="preserve">Specifications and Standards for Food Additives, </w:t>
      </w:r>
      <w:r w:rsidRPr="003E72FE">
        <w:rPr>
          <w:bCs/>
        </w:rPr>
        <w:t>7</w:t>
      </w:r>
      <w:r w:rsidRPr="003E72FE">
        <w:rPr>
          <w:bCs/>
          <w:vertAlign w:val="superscript"/>
        </w:rPr>
        <w:t>th</w:t>
      </w:r>
      <w:r w:rsidRPr="003E72FE">
        <w:rPr>
          <w:bCs/>
        </w:rPr>
        <w:t xml:space="preserve"> Edition (2000), Ministry of Health and Welfare (Japan); or</w:t>
      </w:r>
    </w:p>
    <w:p w:rsidR="003E72FE" w:rsidRPr="003E72FE" w:rsidRDefault="003E72FE" w:rsidP="003E72FE">
      <w:pPr>
        <w:pStyle w:val="Paragraph"/>
      </w:pPr>
      <w:r w:rsidRPr="003E72FE">
        <w:t>(j)</w:t>
      </w:r>
      <w:r w:rsidRPr="003E72FE">
        <w:tab/>
        <w:t xml:space="preserve">the </w:t>
      </w:r>
      <w:r w:rsidRPr="003E72FE">
        <w:rPr>
          <w:i/>
        </w:rPr>
        <w:t xml:space="preserve">International Oenological Codex </w:t>
      </w:r>
      <w:r w:rsidRPr="003E72FE">
        <w:t>(2010 supplementary edition), Organisation Internationale de la Vigne et du Vin (OIV).</w:t>
      </w:r>
    </w:p>
    <w:p w:rsidR="003E72FE" w:rsidRPr="003E72FE" w:rsidRDefault="003E72FE" w:rsidP="003E72FE">
      <w:pPr>
        <w:rPr>
          <w:bCs/>
          <w:sz w:val="20"/>
          <w:szCs w:val="20"/>
        </w:rPr>
      </w:pPr>
    </w:p>
    <w:p w:rsidR="003E72FE" w:rsidRPr="003E72FE" w:rsidRDefault="003E72FE" w:rsidP="003E72FE">
      <w:pPr>
        <w:pStyle w:val="Clause"/>
      </w:pPr>
      <w:r w:rsidRPr="003E72FE">
        <w:t>[17.3]</w:t>
      </w:r>
      <w:r w:rsidRPr="003E72FE">
        <w:tab/>
      </w:r>
      <w:r w:rsidRPr="003E72FE">
        <w:rPr>
          <w:i/>
        </w:rPr>
        <w:t>omitting paragraph 4(c), substitutin</w:t>
      </w:r>
      <w:r w:rsidRPr="003E72FE">
        <w:t xml:space="preserve">g – </w:t>
      </w:r>
    </w:p>
    <w:p w:rsidR="003E72FE" w:rsidRPr="003E72FE" w:rsidRDefault="003E72FE" w:rsidP="003E72FE">
      <w:pPr>
        <w:rPr>
          <w:bCs/>
          <w:i/>
          <w:sz w:val="20"/>
          <w:szCs w:val="20"/>
        </w:rPr>
      </w:pPr>
    </w:p>
    <w:p w:rsidR="003E72FE" w:rsidRPr="003E72FE" w:rsidRDefault="003E72FE" w:rsidP="003E72FE">
      <w:pPr>
        <w:pStyle w:val="Paragraph"/>
      </w:pPr>
      <w:r w:rsidRPr="003E72FE">
        <w:t>(c)</w:t>
      </w:r>
      <w:r w:rsidRPr="003E72FE">
        <w:tab/>
        <w:t xml:space="preserve">1 mg/kg of cadmium; </w:t>
      </w:r>
    </w:p>
    <w:p w:rsidR="003E72FE" w:rsidRPr="003E72FE" w:rsidRDefault="003E72FE" w:rsidP="003E72FE">
      <w:pPr>
        <w:pStyle w:val="Paragraph"/>
      </w:pPr>
      <w:r w:rsidRPr="003E72FE">
        <w:t>(d)</w:t>
      </w:r>
      <w:r w:rsidRPr="003E72FE">
        <w:tab/>
        <w:t>1 mg/kg of mercury.</w:t>
      </w:r>
    </w:p>
    <w:p w:rsidR="003E72FE" w:rsidRPr="003E72FE" w:rsidRDefault="003E72FE" w:rsidP="003E72FE">
      <w:pPr>
        <w:rPr>
          <w:bCs/>
          <w:sz w:val="20"/>
          <w:szCs w:val="20"/>
        </w:rPr>
      </w:pPr>
    </w:p>
    <w:p w:rsidR="003E72FE" w:rsidRPr="003E72FE" w:rsidRDefault="003E72FE" w:rsidP="003E72FE">
      <w:pPr>
        <w:pStyle w:val="Clause"/>
      </w:pPr>
      <w:r w:rsidRPr="003E72FE">
        <w:rPr>
          <w:bCs/>
        </w:rPr>
        <w:t>[17.4]</w:t>
      </w:r>
      <w:r w:rsidRPr="003E72FE">
        <w:rPr>
          <w:bCs/>
        </w:rPr>
        <w:tab/>
      </w:r>
      <w:r w:rsidRPr="003E72FE">
        <w:rPr>
          <w:i/>
        </w:rPr>
        <w:t xml:space="preserve">omitting from paragraph (c) under the </w:t>
      </w:r>
      <w:r w:rsidRPr="003E72FE">
        <w:t>Specification for carboxymethyl cellulose ion exchange resin</w:t>
      </w:r>
      <w:r w:rsidRPr="003E72FE">
        <w:rPr>
          <w:i/>
        </w:rPr>
        <w:t xml:space="preserve"> in the</w:t>
      </w:r>
      <w:r w:rsidRPr="003E72FE">
        <w:t xml:space="preserve"> Schedule – </w:t>
      </w:r>
    </w:p>
    <w:p w:rsidR="003E72FE" w:rsidRPr="003E72FE" w:rsidRDefault="003E72FE" w:rsidP="003E72FE">
      <w:pPr>
        <w:rPr>
          <w:sz w:val="20"/>
          <w:szCs w:val="20"/>
        </w:rPr>
      </w:pPr>
    </w:p>
    <w:p w:rsidR="003E72FE" w:rsidRPr="003E72FE" w:rsidRDefault="003E72FE" w:rsidP="003E72FE">
      <w:pPr>
        <w:pStyle w:val="Paragraph"/>
        <w:ind w:left="0" w:firstLine="0"/>
        <w:rPr>
          <w:i/>
        </w:rPr>
      </w:pPr>
      <w:r w:rsidRPr="003E72FE">
        <w:t>CFR Title 21 part 173.25(c)(4)</w:t>
      </w:r>
    </w:p>
    <w:p w:rsidR="003E72FE" w:rsidRPr="003E72FE" w:rsidRDefault="003E72FE" w:rsidP="003E72FE">
      <w:pPr>
        <w:rPr>
          <w:sz w:val="20"/>
          <w:szCs w:val="20"/>
        </w:rPr>
      </w:pPr>
    </w:p>
    <w:p w:rsidR="003E72FE" w:rsidRPr="003E72FE" w:rsidRDefault="003E72FE" w:rsidP="003E72FE">
      <w:pPr>
        <w:pStyle w:val="Clause"/>
        <w:rPr>
          <w:i/>
          <w:iCs/>
        </w:rPr>
      </w:pPr>
      <w:r w:rsidRPr="003E72FE">
        <w:rPr>
          <w:i/>
          <w:iCs/>
        </w:rPr>
        <w:t xml:space="preserve">substituting – </w:t>
      </w:r>
    </w:p>
    <w:p w:rsidR="003E72FE" w:rsidRPr="003E72FE" w:rsidRDefault="003E72FE" w:rsidP="003E72FE">
      <w:pPr>
        <w:rPr>
          <w:sz w:val="20"/>
          <w:szCs w:val="20"/>
        </w:rPr>
      </w:pPr>
    </w:p>
    <w:p w:rsidR="003E72FE" w:rsidRPr="003E72FE" w:rsidRDefault="003E72FE" w:rsidP="003E72FE">
      <w:pPr>
        <w:pStyle w:val="Paragraph"/>
        <w:ind w:left="0" w:firstLine="0"/>
        <w:rPr>
          <w:i/>
        </w:rPr>
      </w:pPr>
      <w:r w:rsidRPr="003E72FE">
        <w:t>21 CFR § 173.25(c)(4)</w:t>
      </w:r>
    </w:p>
    <w:p w:rsidR="003E72FE" w:rsidRPr="003E72FE" w:rsidRDefault="003E72FE" w:rsidP="003E72FE">
      <w:pPr>
        <w:rPr>
          <w:bCs/>
          <w:sz w:val="20"/>
          <w:szCs w:val="20"/>
        </w:rPr>
      </w:pPr>
    </w:p>
    <w:p w:rsidR="003E72FE" w:rsidRPr="003E72FE" w:rsidRDefault="003E72FE" w:rsidP="003E72FE">
      <w:pPr>
        <w:pStyle w:val="Clause"/>
      </w:pPr>
      <w:r w:rsidRPr="003E72FE">
        <w:rPr>
          <w:bCs/>
        </w:rPr>
        <w:t>[17.5]</w:t>
      </w:r>
      <w:r w:rsidRPr="003E72FE">
        <w:rPr>
          <w:bCs/>
        </w:rPr>
        <w:tab/>
      </w:r>
      <w:r w:rsidRPr="003E72FE">
        <w:rPr>
          <w:i/>
        </w:rPr>
        <w:t xml:space="preserve">omitting from paragraph (c) under the </w:t>
      </w:r>
      <w:r w:rsidRPr="003E72FE">
        <w:t>Specification for quaternary amine cellulose ion exchange resin</w:t>
      </w:r>
      <w:r w:rsidRPr="003E72FE">
        <w:rPr>
          <w:i/>
        </w:rPr>
        <w:t xml:space="preserve"> in the</w:t>
      </w:r>
      <w:r w:rsidRPr="003E72FE">
        <w:t xml:space="preserve"> Schedule – </w:t>
      </w:r>
    </w:p>
    <w:p w:rsidR="003E72FE" w:rsidRPr="003E72FE" w:rsidRDefault="003E72FE" w:rsidP="003E72FE">
      <w:pPr>
        <w:rPr>
          <w:sz w:val="20"/>
          <w:szCs w:val="20"/>
        </w:rPr>
      </w:pPr>
    </w:p>
    <w:p w:rsidR="003E72FE" w:rsidRPr="003E72FE" w:rsidRDefault="003E72FE" w:rsidP="003E72FE">
      <w:pPr>
        <w:pStyle w:val="Paragraph"/>
        <w:ind w:left="0" w:firstLine="0"/>
        <w:rPr>
          <w:i/>
        </w:rPr>
      </w:pPr>
      <w:r w:rsidRPr="003E72FE">
        <w:t>CFR Title 21 part 173.25(c)(4)</w:t>
      </w:r>
    </w:p>
    <w:p w:rsidR="003E72FE" w:rsidRPr="003E72FE" w:rsidRDefault="003E72FE" w:rsidP="003E72FE">
      <w:pPr>
        <w:rPr>
          <w:sz w:val="20"/>
          <w:szCs w:val="20"/>
        </w:rPr>
      </w:pPr>
    </w:p>
    <w:p w:rsidR="003E72FE" w:rsidRPr="003E72FE" w:rsidRDefault="003E72FE" w:rsidP="003E72FE">
      <w:pPr>
        <w:pStyle w:val="Clause"/>
        <w:rPr>
          <w:i/>
          <w:iCs/>
        </w:rPr>
      </w:pPr>
      <w:r w:rsidRPr="003E72FE">
        <w:rPr>
          <w:i/>
          <w:iCs/>
        </w:rPr>
        <w:t xml:space="preserve">substituting – </w:t>
      </w:r>
    </w:p>
    <w:p w:rsidR="003E72FE" w:rsidRPr="003E72FE" w:rsidRDefault="003E72FE" w:rsidP="003E72FE">
      <w:pPr>
        <w:rPr>
          <w:sz w:val="20"/>
          <w:szCs w:val="20"/>
        </w:rPr>
      </w:pPr>
    </w:p>
    <w:p w:rsidR="003E72FE" w:rsidRPr="003E72FE" w:rsidRDefault="003E72FE" w:rsidP="003E72FE">
      <w:pPr>
        <w:pStyle w:val="Paragraph"/>
        <w:ind w:left="0" w:firstLine="0"/>
        <w:rPr>
          <w:i/>
        </w:rPr>
      </w:pPr>
      <w:r w:rsidRPr="003E72FE">
        <w:t>21 CFR § 173.25(c)(4)</w:t>
      </w:r>
    </w:p>
    <w:p w:rsidR="003E72FE" w:rsidRPr="003E72FE" w:rsidRDefault="003E72FE" w:rsidP="003E72FE">
      <w:pPr>
        <w:rPr>
          <w:bCs/>
          <w:sz w:val="20"/>
          <w:szCs w:val="20"/>
        </w:rPr>
      </w:pPr>
    </w:p>
    <w:p w:rsidR="003E72FE" w:rsidRPr="003E72FE" w:rsidRDefault="003E72FE" w:rsidP="003E72FE">
      <w:pPr>
        <w:pStyle w:val="Clause"/>
      </w:pPr>
      <w:r w:rsidRPr="003E72FE">
        <w:rPr>
          <w:bCs/>
        </w:rPr>
        <w:t>[17.6]</w:t>
      </w:r>
      <w:r w:rsidRPr="003E72FE">
        <w:rPr>
          <w:bCs/>
        </w:rPr>
        <w:tab/>
      </w:r>
      <w:r w:rsidRPr="003E72FE">
        <w:rPr>
          <w:i/>
        </w:rPr>
        <w:t xml:space="preserve">omitting from paragraph (c) under the </w:t>
      </w:r>
      <w:r w:rsidRPr="003E72FE">
        <w:t>Specification for diethyl aminoethyl cellulose ion exchange resin</w:t>
      </w:r>
      <w:r w:rsidRPr="003E72FE">
        <w:rPr>
          <w:i/>
        </w:rPr>
        <w:t xml:space="preserve"> in the</w:t>
      </w:r>
      <w:r w:rsidRPr="003E72FE">
        <w:t xml:space="preserve"> Schedule – </w:t>
      </w:r>
    </w:p>
    <w:p w:rsidR="003E72FE" w:rsidRPr="003E72FE" w:rsidRDefault="003E72FE" w:rsidP="003E72FE">
      <w:pPr>
        <w:rPr>
          <w:sz w:val="20"/>
          <w:szCs w:val="20"/>
        </w:rPr>
      </w:pPr>
    </w:p>
    <w:p w:rsidR="003E72FE" w:rsidRPr="003E72FE" w:rsidRDefault="003E72FE" w:rsidP="003E72FE">
      <w:pPr>
        <w:pStyle w:val="Paragraph"/>
        <w:ind w:left="0" w:firstLine="0"/>
        <w:rPr>
          <w:i/>
        </w:rPr>
      </w:pPr>
      <w:r w:rsidRPr="003E72FE">
        <w:t>CFR Title 21 part 173.25(c)(4)</w:t>
      </w:r>
    </w:p>
    <w:p w:rsidR="003E72FE" w:rsidRPr="003E72FE" w:rsidRDefault="003E72FE" w:rsidP="003E72FE">
      <w:pPr>
        <w:rPr>
          <w:sz w:val="20"/>
          <w:szCs w:val="20"/>
        </w:rPr>
      </w:pPr>
    </w:p>
    <w:p w:rsidR="003E72FE" w:rsidRDefault="003E72FE" w:rsidP="003E72FE">
      <w:pPr>
        <w:pStyle w:val="Clause"/>
        <w:rPr>
          <w:i/>
          <w:iCs/>
        </w:rPr>
      </w:pPr>
      <w:r w:rsidRPr="003E72FE">
        <w:rPr>
          <w:i/>
          <w:iCs/>
        </w:rPr>
        <w:t xml:space="preserve">substituting – </w:t>
      </w:r>
      <w:r>
        <w:rPr>
          <w:i/>
          <w:iCs/>
        </w:rPr>
        <w:br w:type="page"/>
      </w:r>
    </w:p>
    <w:p w:rsidR="003E72FE" w:rsidRDefault="003E72FE" w:rsidP="003E72FE">
      <w:pPr>
        <w:pStyle w:val="Paragraph"/>
        <w:ind w:left="0" w:firstLine="0"/>
      </w:pPr>
      <w:r w:rsidRPr="003E72FE">
        <w:lastRenderedPageBreak/>
        <w:t>21 CFR § 173.25(c)(4)</w:t>
      </w:r>
    </w:p>
    <w:p w:rsidR="003E72FE" w:rsidRPr="003E72FE" w:rsidRDefault="003E72FE" w:rsidP="003E72FE">
      <w:pPr>
        <w:pStyle w:val="Paragraph"/>
        <w:ind w:left="0" w:firstLine="0"/>
      </w:pPr>
    </w:p>
    <w:p w:rsidR="003E72FE" w:rsidRPr="003E72FE" w:rsidRDefault="003E72FE" w:rsidP="003E72FE">
      <w:pPr>
        <w:pStyle w:val="Clause"/>
      </w:pPr>
      <w:r w:rsidRPr="003E72FE">
        <w:rPr>
          <w:bCs/>
        </w:rPr>
        <w:t>[17.7]</w:t>
      </w:r>
      <w:r w:rsidRPr="003E72FE">
        <w:rPr>
          <w:bCs/>
        </w:rPr>
        <w:tab/>
      </w:r>
      <w:r w:rsidRPr="003E72FE">
        <w:rPr>
          <w:i/>
        </w:rPr>
        <w:t xml:space="preserve">omitting from paragraph (c) under the </w:t>
      </w:r>
      <w:r w:rsidRPr="003E72FE">
        <w:t>Specification for agarose ion exchange resin</w:t>
      </w:r>
      <w:r w:rsidRPr="003E72FE">
        <w:rPr>
          <w:i/>
        </w:rPr>
        <w:t xml:space="preserve"> in the</w:t>
      </w:r>
      <w:r w:rsidRPr="003E72FE">
        <w:t xml:space="preserve"> Schedule – </w:t>
      </w:r>
    </w:p>
    <w:p w:rsidR="003E72FE" w:rsidRPr="003E72FE" w:rsidRDefault="003E72FE" w:rsidP="003E72FE">
      <w:pPr>
        <w:rPr>
          <w:sz w:val="20"/>
          <w:szCs w:val="20"/>
        </w:rPr>
      </w:pPr>
    </w:p>
    <w:p w:rsidR="003E72FE" w:rsidRPr="003E72FE" w:rsidRDefault="003E72FE" w:rsidP="003E72FE">
      <w:pPr>
        <w:pStyle w:val="Paragraph"/>
        <w:ind w:left="0" w:firstLine="0"/>
        <w:rPr>
          <w:i/>
        </w:rPr>
      </w:pPr>
      <w:r w:rsidRPr="003E72FE">
        <w:t>CFR Title 21 part 173.25(c)(4)</w:t>
      </w:r>
    </w:p>
    <w:p w:rsidR="003E72FE" w:rsidRPr="003E72FE" w:rsidRDefault="003E72FE" w:rsidP="003E72FE">
      <w:pPr>
        <w:pStyle w:val="Clause"/>
        <w:rPr>
          <w:i/>
          <w:iCs/>
        </w:rPr>
      </w:pPr>
    </w:p>
    <w:p w:rsidR="003E72FE" w:rsidRPr="003E72FE" w:rsidRDefault="003E72FE" w:rsidP="003E72FE">
      <w:pPr>
        <w:pStyle w:val="Clause"/>
        <w:rPr>
          <w:i/>
          <w:iCs/>
        </w:rPr>
      </w:pPr>
      <w:r w:rsidRPr="003E72FE">
        <w:rPr>
          <w:i/>
          <w:iCs/>
        </w:rPr>
        <w:t xml:space="preserve">substituting – </w:t>
      </w:r>
    </w:p>
    <w:p w:rsidR="003E72FE" w:rsidRPr="003E72FE" w:rsidRDefault="003E72FE" w:rsidP="003E72FE">
      <w:pPr>
        <w:rPr>
          <w:sz w:val="20"/>
          <w:szCs w:val="20"/>
        </w:rPr>
      </w:pPr>
    </w:p>
    <w:p w:rsidR="003E72FE" w:rsidRPr="003E72FE" w:rsidRDefault="003E72FE" w:rsidP="003E72FE">
      <w:pPr>
        <w:pStyle w:val="Paragraph"/>
        <w:ind w:left="0" w:firstLine="0"/>
        <w:rPr>
          <w:i/>
        </w:rPr>
      </w:pPr>
      <w:r w:rsidRPr="003E72FE">
        <w:t>21 CFR § 173.25(c)(4)</w:t>
      </w:r>
    </w:p>
    <w:p w:rsidR="003E72FE" w:rsidRPr="003E72FE" w:rsidRDefault="003E72FE" w:rsidP="003E72FE">
      <w:pPr>
        <w:rPr>
          <w:sz w:val="20"/>
          <w:szCs w:val="20"/>
        </w:rPr>
      </w:pPr>
    </w:p>
    <w:p w:rsidR="003E72FE" w:rsidRPr="003E72FE" w:rsidRDefault="003E72FE" w:rsidP="003E72FE">
      <w:pPr>
        <w:pStyle w:val="Clause"/>
      </w:pPr>
      <w:r w:rsidRPr="003E72FE">
        <w:t>[17.8]</w:t>
      </w:r>
      <w:r w:rsidRPr="003E72FE">
        <w:tab/>
      </w:r>
      <w:r w:rsidRPr="003E72FE">
        <w:rPr>
          <w:i/>
        </w:rPr>
        <w:t xml:space="preserve">omitting from the </w:t>
      </w:r>
      <w:r w:rsidRPr="003E72FE">
        <w:t xml:space="preserve">Schedule </w:t>
      </w:r>
      <w:r w:rsidRPr="003E72FE">
        <w:rPr>
          <w:i/>
        </w:rPr>
        <w:t>the entries for</w:t>
      </w:r>
      <w:r w:rsidRPr="003E72FE">
        <w:t xml:space="preserve">– </w:t>
      </w:r>
    </w:p>
    <w:p w:rsidR="003E72FE" w:rsidRPr="003E72FE" w:rsidRDefault="003E72FE" w:rsidP="003E72FE">
      <w:pPr>
        <w:rPr>
          <w:sz w:val="20"/>
          <w:szCs w:val="20"/>
        </w:rPr>
      </w:pPr>
    </w:p>
    <w:p w:rsidR="003E72FE" w:rsidRPr="003E72FE" w:rsidRDefault="003E72FE" w:rsidP="003E72FE">
      <w:pPr>
        <w:pStyle w:val="ClauseHeading0"/>
        <w:ind w:right="-472"/>
      </w:pPr>
      <w:r w:rsidRPr="003E72FE">
        <w:t>Specification for docosahexaenoic acid (DHA) – rich dried marine micro-algae (</w:t>
      </w:r>
      <w:r w:rsidRPr="003E72FE">
        <w:rPr>
          <w:i/>
          <w:iCs/>
        </w:rPr>
        <w:t xml:space="preserve">Schizochytrium </w:t>
      </w:r>
      <w:r w:rsidRPr="003E72FE">
        <w:t xml:space="preserve">sp.) </w:t>
      </w:r>
    </w:p>
    <w:p w:rsidR="003E72FE" w:rsidRPr="003E72FE" w:rsidRDefault="003E72FE" w:rsidP="003E72FE">
      <w:pPr>
        <w:pStyle w:val="ClauseHeading0"/>
      </w:pPr>
    </w:p>
    <w:p w:rsidR="003E72FE" w:rsidRPr="003E72FE" w:rsidRDefault="003E72FE" w:rsidP="003E72FE">
      <w:pPr>
        <w:pStyle w:val="ClauseHeading0"/>
      </w:pPr>
      <w:r w:rsidRPr="003E72FE">
        <w:t>Specification for docosahexaenoic acid (DHA) – rich oil derived from marine micro-algae (</w:t>
      </w:r>
      <w:r w:rsidRPr="003E72FE">
        <w:rPr>
          <w:i/>
          <w:iCs/>
        </w:rPr>
        <w:t xml:space="preserve">Schizochytrium </w:t>
      </w:r>
      <w:r w:rsidRPr="003E72FE">
        <w:t>sp.)</w:t>
      </w:r>
    </w:p>
    <w:p w:rsidR="003E72FE" w:rsidRPr="003E72FE" w:rsidRDefault="003E72FE" w:rsidP="003E72FE">
      <w:pPr>
        <w:pStyle w:val="ClauseHeading0"/>
      </w:pPr>
    </w:p>
    <w:p w:rsidR="003E72FE" w:rsidRPr="003E72FE" w:rsidRDefault="003E72FE" w:rsidP="003E72FE">
      <w:pPr>
        <w:pStyle w:val="ClauseHeading0"/>
      </w:pPr>
      <w:r w:rsidRPr="003E72FE">
        <w:t xml:space="preserve">Specification for docosahexaenoic acid (DHA) – rich oil derived from the algae </w:t>
      </w:r>
      <w:r w:rsidRPr="003E72FE">
        <w:rPr>
          <w:i/>
          <w:iCs/>
        </w:rPr>
        <w:t>Crypthecodinium cohnii</w:t>
      </w:r>
      <w:r w:rsidRPr="003E72FE">
        <w:t xml:space="preserve">  </w:t>
      </w:r>
    </w:p>
    <w:p w:rsidR="003E72FE" w:rsidRPr="003E72FE" w:rsidRDefault="003E72FE" w:rsidP="003E72FE">
      <w:pPr>
        <w:pStyle w:val="ClauseHeading0"/>
      </w:pPr>
    </w:p>
    <w:p w:rsidR="003E72FE" w:rsidRPr="003E72FE" w:rsidRDefault="003E72FE" w:rsidP="003E72FE">
      <w:pPr>
        <w:pStyle w:val="ClauseHeading0"/>
      </w:pPr>
      <w:r w:rsidRPr="003E72FE">
        <w:t xml:space="preserve">Specification for oil derived from the fungus </w:t>
      </w:r>
      <w:r w:rsidRPr="003E72FE">
        <w:rPr>
          <w:i/>
          <w:iCs/>
        </w:rPr>
        <w:t xml:space="preserve">Mortierella alpina </w:t>
      </w:r>
      <w:r w:rsidRPr="003E72FE">
        <w:rPr>
          <w:iCs/>
        </w:rPr>
        <w:t xml:space="preserve">rich in </w:t>
      </w:r>
      <w:r w:rsidRPr="003E72FE">
        <w:t>arachidonic acid (ARA)</w:t>
      </w:r>
    </w:p>
    <w:p w:rsidR="003E72FE" w:rsidRPr="003E72FE" w:rsidRDefault="003E72FE" w:rsidP="003E72FE">
      <w:pPr>
        <w:pStyle w:val="ClauseHeading0"/>
      </w:pPr>
    </w:p>
    <w:p w:rsidR="003E72FE" w:rsidRPr="003E72FE" w:rsidRDefault="003E72FE" w:rsidP="003E72FE">
      <w:pPr>
        <w:pStyle w:val="ClauseHeading0"/>
      </w:pPr>
      <w:r w:rsidRPr="003E72FE">
        <w:t>Specification for docosahexaenoic acid (DHA) - rich oil derived from marine micro-algae (</w:t>
      </w:r>
      <w:r w:rsidRPr="003E72FE">
        <w:rPr>
          <w:i/>
          <w:iCs/>
        </w:rPr>
        <w:t>Ulkenia</w:t>
      </w:r>
      <w:r w:rsidRPr="003E72FE">
        <w:t xml:space="preserve"> sp.)</w:t>
      </w:r>
    </w:p>
    <w:p w:rsidR="003E72FE" w:rsidRPr="003E72FE" w:rsidRDefault="003E72FE" w:rsidP="003E72FE">
      <w:pPr>
        <w:pStyle w:val="ClauseHeading0"/>
      </w:pPr>
    </w:p>
    <w:p w:rsidR="003E72FE" w:rsidRPr="003E72FE" w:rsidRDefault="003E72FE" w:rsidP="003E72FE">
      <w:pPr>
        <w:pStyle w:val="Clause"/>
        <w:rPr>
          <w:i/>
          <w:iCs/>
        </w:rPr>
      </w:pPr>
      <w:r w:rsidRPr="003E72FE">
        <w:rPr>
          <w:i/>
          <w:iCs/>
        </w:rPr>
        <w:t xml:space="preserve">substituting – </w:t>
      </w:r>
    </w:p>
    <w:p w:rsidR="003E72FE" w:rsidRPr="003E72FE" w:rsidRDefault="003E72FE" w:rsidP="003E72FE">
      <w:pPr>
        <w:rPr>
          <w:sz w:val="20"/>
          <w:szCs w:val="20"/>
        </w:rPr>
      </w:pPr>
    </w:p>
    <w:p w:rsidR="003E72FE" w:rsidRPr="003E72FE" w:rsidRDefault="003E72FE" w:rsidP="003E72FE">
      <w:pPr>
        <w:pStyle w:val="ClauseHeading0"/>
      </w:pPr>
      <w:r w:rsidRPr="003E72FE">
        <w:t>Specification for dried marine micro-algae (</w:t>
      </w:r>
      <w:r w:rsidRPr="003E72FE">
        <w:rPr>
          <w:i/>
        </w:rPr>
        <w:t xml:space="preserve">Schizochytrium </w:t>
      </w:r>
      <w:r w:rsidRPr="003E72FE">
        <w:t>sp.) rich in docosahexaenoic acid (DHA)</w:t>
      </w:r>
    </w:p>
    <w:p w:rsidR="003E72FE" w:rsidRPr="003E72FE" w:rsidRDefault="003E72FE" w:rsidP="003E72FE">
      <w:pPr>
        <w:rPr>
          <w:sz w:val="20"/>
          <w:szCs w:val="20"/>
        </w:rPr>
      </w:pPr>
    </w:p>
    <w:tbl>
      <w:tblPr>
        <w:tblW w:w="9072" w:type="dxa"/>
        <w:tblLook w:val="04A0" w:firstRow="1" w:lastRow="0" w:firstColumn="1" w:lastColumn="0" w:noHBand="0" w:noVBand="1"/>
      </w:tblPr>
      <w:tblGrid>
        <w:gridCol w:w="3914"/>
        <w:gridCol w:w="5158"/>
      </w:tblGrid>
      <w:tr w:rsidR="003E72FE" w:rsidTr="003E72FE">
        <w:tc>
          <w:tcPr>
            <w:tcW w:w="3914" w:type="dxa"/>
            <w:hideMark/>
          </w:tcPr>
          <w:p w:rsidR="003E72FE" w:rsidRDefault="003E72FE">
            <w:pPr>
              <w:pStyle w:val="Table2"/>
              <w:spacing w:line="276" w:lineRule="auto"/>
            </w:pPr>
            <w:r>
              <w:t>Full chemical name for DHA</w:t>
            </w:r>
          </w:p>
        </w:tc>
        <w:tc>
          <w:tcPr>
            <w:tcW w:w="5158" w:type="dxa"/>
            <w:hideMark/>
          </w:tcPr>
          <w:p w:rsidR="003E72FE" w:rsidRDefault="003E72FE">
            <w:pPr>
              <w:pStyle w:val="Table2"/>
              <w:spacing w:line="276" w:lineRule="auto"/>
            </w:pPr>
            <w:r>
              <w:t>4,7,10,13,16,19-docosahexaenoic acid (22:6n-3 DHA)</w:t>
            </w:r>
          </w:p>
        </w:tc>
      </w:tr>
      <w:tr w:rsidR="003E72FE" w:rsidTr="003E72FE">
        <w:tc>
          <w:tcPr>
            <w:tcW w:w="3914" w:type="dxa"/>
            <w:hideMark/>
          </w:tcPr>
          <w:p w:rsidR="003E72FE" w:rsidRDefault="003E72FE">
            <w:pPr>
              <w:pStyle w:val="Table2"/>
              <w:spacing w:line="276" w:lineRule="auto"/>
            </w:pPr>
            <w:r>
              <w:t>Solids (%)</w:t>
            </w:r>
          </w:p>
        </w:tc>
        <w:tc>
          <w:tcPr>
            <w:tcW w:w="5158" w:type="dxa"/>
            <w:hideMark/>
          </w:tcPr>
          <w:p w:rsidR="003E72FE" w:rsidRDefault="003E72FE">
            <w:pPr>
              <w:pStyle w:val="Table2"/>
              <w:spacing w:line="276" w:lineRule="auto"/>
            </w:pPr>
            <w:r>
              <w:t xml:space="preserve">min. 95.0 </w:t>
            </w:r>
          </w:p>
        </w:tc>
      </w:tr>
      <w:tr w:rsidR="003E72FE" w:rsidTr="003E72FE">
        <w:tc>
          <w:tcPr>
            <w:tcW w:w="3914" w:type="dxa"/>
            <w:hideMark/>
          </w:tcPr>
          <w:p w:rsidR="003E72FE" w:rsidRDefault="003E72FE">
            <w:pPr>
              <w:pStyle w:val="Table2"/>
              <w:spacing w:line="276" w:lineRule="auto"/>
            </w:pPr>
            <w:r>
              <w:t>DHA (%)</w:t>
            </w:r>
          </w:p>
        </w:tc>
        <w:tc>
          <w:tcPr>
            <w:tcW w:w="5158" w:type="dxa"/>
            <w:hideMark/>
          </w:tcPr>
          <w:p w:rsidR="003E72FE" w:rsidRDefault="003E72FE">
            <w:pPr>
              <w:pStyle w:val="Table2"/>
              <w:spacing w:line="276" w:lineRule="auto"/>
            </w:pPr>
            <w:r>
              <w:t>min. 15.0</w:t>
            </w:r>
          </w:p>
        </w:tc>
      </w:tr>
      <w:tr w:rsidR="003E72FE" w:rsidTr="003E72FE">
        <w:tc>
          <w:tcPr>
            <w:tcW w:w="3914" w:type="dxa"/>
            <w:hideMark/>
          </w:tcPr>
          <w:p w:rsidR="003E72FE" w:rsidRDefault="003E72FE">
            <w:pPr>
              <w:pStyle w:val="Table2"/>
              <w:spacing w:line="276" w:lineRule="auto"/>
            </w:pPr>
            <w:r>
              <w:t>Lead (mg/kg)</w:t>
            </w:r>
          </w:p>
        </w:tc>
        <w:tc>
          <w:tcPr>
            <w:tcW w:w="5158" w:type="dxa"/>
            <w:hideMark/>
          </w:tcPr>
          <w:p w:rsidR="003E72FE" w:rsidRDefault="003E72FE">
            <w:pPr>
              <w:pStyle w:val="Table2"/>
              <w:spacing w:line="276" w:lineRule="auto"/>
            </w:pPr>
            <w:r>
              <w:t>max. 0.5</w:t>
            </w:r>
          </w:p>
        </w:tc>
      </w:tr>
      <w:tr w:rsidR="003E72FE" w:rsidTr="003E72FE">
        <w:tc>
          <w:tcPr>
            <w:tcW w:w="3914" w:type="dxa"/>
            <w:hideMark/>
          </w:tcPr>
          <w:p w:rsidR="003E72FE" w:rsidRDefault="003E72FE">
            <w:pPr>
              <w:pStyle w:val="Table2"/>
              <w:spacing w:line="276" w:lineRule="auto"/>
              <w:ind w:left="0" w:firstLine="0"/>
            </w:pPr>
            <w:r>
              <w:t>Arsenic (mg/kg)</w:t>
            </w:r>
          </w:p>
        </w:tc>
        <w:tc>
          <w:tcPr>
            <w:tcW w:w="5158" w:type="dxa"/>
            <w:hideMark/>
          </w:tcPr>
          <w:p w:rsidR="003E72FE" w:rsidRDefault="003E72FE">
            <w:pPr>
              <w:pStyle w:val="Table2"/>
              <w:spacing w:line="276" w:lineRule="auto"/>
            </w:pPr>
            <w:r>
              <w:t>max. 0.5</w:t>
            </w:r>
          </w:p>
        </w:tc>
      </w:tr>
    </w:tbl>
    <w:p w:rsidR="003E72FE" w:rsidRPr="003E72FE" w:rsidRDefault="003E72FE" w:rsidP="003E72FE">
      <w:pPr>
        <w:rPr>
          <w:sz w:val="20"/>
          <w:szCs w:val="20"/>
        </w:rPr>
      </w:pPr>
    </w:p>
    <w:p w:rsidR="003E72FE" w:rsidRPr="003E72FE" w:rsidRDefault="003E72FE" w:rsidP="003E72FE">
      <w:pPr>
        <w:pStyle w:val="ClauseHeading0"/>
      </w:pPr>
      <w:r w:rsidRPr="003E72FE">
        <w:t>Specification for oil derived from marine micro-algae (</w:t>
      </w:r>
      <w:r w:rsidRPr="003E72FE">
        <w:rPr>
          <w:i/>
          <w:iCs/>
        </w:rPr>
        <w:t xml:space="preserve">Schizochytrium </w:t>
      </w:r>
      <w:r w:rsidRPr="003E72FE">
        <w:t>sp.) rich in docosahexaenoic acid (DHA)</w:t>
      </w:r>
    </w:p>
    <w:p w:rsidR="003E72FE" w:rsidRPr="003E72FE" w:rsidRDefault="003E72FE" w:rsidP="003E72FE">
      <w:pPr>
        <w:rPr>
          <w:sz w:val="20"/>
          <w:szCs w:val="20"/>
        </w:rPr>
      </w:pPr>
    </w:p>
    <w:tbl>
      <w:tblPr>
        <w:tblW w:w="9072" w:type="dxa"/>
        <w:tblLook w:val="04A0" w:firstRow="1" w:lastRow="0" w:firstColumn="1" w:lastColumn="0" w:noHBand="0" w:noVBand="1"/>
      </w:tblPr>
      <w:tblGrid>
        <w:gridCol w:w="3936"/>
        <w:gridCol w:w="5136"/>
      </w:tblGrid>
      <w:tr w:rsidR="003E72FE" w:rsidTr="003E72FE">
        <w:tc>
          <w:tcPr>
            <w:tcW w:w="3936" w:type="dxa"/>
            <w:hideMark/>
          </w:tcPr>
          <w:p w:rsidR="003E72FE" w:rsidRDefault="003E72FE">
            <w:pPr>
              <w:pStyle w:val="Table2"/>
              <w:spacing w:line="276" w:lineRule="auto"/>
            </w:pPr>
            <w:r>
              <w:t>Full chemical name for DHA</w:t>
            </w:r>
          </w:p>
        </w:tc>
        <w:tc>
          <w:tcPr>
            <w:tcW w:w="5136" w:type="dxa"/>
            <w:hideMark/>
          </w:tcPr>
          <w:p w:rsidR="003E72FE" w:rsidRDefault="003E72FE">
            <w:pPr>
              <w:pStyle w:val="Table2"/>
              <w:spacing w:line="276" w:lineRule="auto"/>
            </w:pPr>
            <w:r>
              <w:t>4,7,10,13,16,19-docosahexaenoic acid (22:6n-3 DHA)</w:t>
            </w:r>
          </w:p>
        </w:tc>
      </w:tr>
      <w:tr w:rsidR="003E72FE" w:rsidTr="003E72FE">
        <w:tc>
          <w:tcPr>
            <w:tcW w:w="3936" w:type="dxa"/>
            <w:hideMark/>
          </w:tcPr>
          <w:p w:rsidR="003E72FE" w:rsidRDefault="003E72FE">
            <w:pPr>
              <w:pStyle w:val="Table2"/>
              <w:spacing w:line="276" w:lineRule="auto"/>
            </w:pPr>
            <w:r>
              <w:t>DHA (%)</w:t>
            </w:r>
          </w:p>
        </w:tc>
        <w:tc>
          <w:tcPr>
            <w:tcW w:w="5136" w:type="dxa"/>
            <w:hideMark/>
          </w:tcPr>
          <w:p w:rsidR="003E72FE" w:rsidRDefault="003E72FE">
            <w:pPr>
              <w:pStyle w:val="Table2"/>
              <w:spacing w:line="276" w:lineRule="auto"/>
            </w:pPr>
            <w:r>
              <w:t xml:space="preserve">min. 32 </w:t>
            </w:r>
          </w:p>
        </w:tc>
      </w:tr>
      <w:tr w:rsidR="003E72FE" w:rsidTr="003E72FE">
        <w:tc>
          <w:tcPr>
            <w:tcW w:w="3936" w:type="dxa"/>
            <w:hideMark/>
          </w:tcPr>
          <w:p w:rsidR="003E72FE" w:rsidRDefault="003E72FE">
            <w:pPr>
              <w:pStyle w:val="Table2"/>
              <w:spacing w:line="276" w:lineRule="auto"/>
            </w:pPr>
            <w:r>
              <w:t>Trans fatty acids (%)</w:t>
            </w:r>
          </w:p>
        </w:tc>
        <w:tc>
          <w:tcPr>
            <w:tcW w:w="5136" w:type="dxa"/>
            <w:hideMark/>
          </w:tcPr>
          <w:p w:rsidR="003E72FE" w:rsidRDefault="003E72FE">
            <w:pPr>
              <w:pStyle w:val="Table2"/>
              <w:spacing w:line="276" w:lineRule="auto"/>
            </w:pPr>
            <w:r>
              <w:t>max. 2.0</w:t>
            </w:r>
          </w:p>
        </w:tc>
      </w:tr>
      <w:tr w:rsidR="003E72FE" w:rsidTr="003E72FE">
        <w:tc>
          <w:tcPr>
            <w:tcW w:w="3936" w:type="dxa"/>
            <w:hideMark/>
          </w:tcPr>
          <w:p w:rsidR="003E72FE" w:rsidRDefault="003E72FE">
            <w:pPr>
              <w:pStyle w:val="Table2"/>
              <w:spacing w:line="276" w:lineRule="auto"/>
            </w:pPr>
            <w:r>
              <w:t>Lead (mg/kg)</w:t>
            </w:r>
          </w:p>
        </w:tc>
        <w:tc>
          <w:tcPr>
            <w:tcW w:w="5136" w:type="dxa"/>
            <w:hideMark/>
          </w:tcPr>
          <w:p w:rsidR="003E72FE" w:rsidRDefault="003E72FE">
            <w:pPr>
              <w:pStyle w:val="Table2"/>
              <w:spacing w:line="276" w:lineRule="auto"/>
            </w:pPr>
            <w:r>
              <w:t xml:space="preserve">max. 0.1 </w:t>
            </w:r>
          </w:p>
        </w:tc>
      </w:tr>
      <w:tr w:rsidR="003E72FE" w:rsidTr="003E72FE">
        <w:tc>
          <w:tcPr>
            <w:tcW w:w="3936" w:type="dxa"/>
            <w:hideMark/>
          </w:tcPr>
          <w:p w:rsidR="003E72FE" w:rsidRDefault="003E72FE">
            <w:pPr>
              <w:pStyle w:val="Table2"/>
              <w:spacing w:line="276" w:lineRule="auto"/>
            </w:pPr>
            <w:r>
              <w:t>Arsenic (mg/kg)</w:t>
            </w:r>
          </w:p>
        </w:tc>
        <w:tc>
          <w:tcPr>
            <w:tcW w:w="5136" w:type="dxa"/>
            <w:hideMark/>
          </w:tcPr>
          <w:p w:rsidR="003E72FE" w:rsidRDefault="003E72FE">
            <w:pPr>
              <w:pStyle w:val="Table2"/>
              <w:spacing w:line="276" w:lineRule="auto"/>
            </w:pPr>
            <w:r>
              <w:t xml:space="preserve">max. 0.1 </w:t>
            </w:r>
          </w:p>
        </w:tc>
      </w:tr>
      <w:tr w:rsidR="003E72FE" w:rsidTr="003E72FE">
        <w:tc>
          <w:tcPr>
            <w:tcW w:w="3936" w:type="dxa"/>
            <w:hideMark/>
          </w:tcPr>
          <w:p w:rsidR="003E72FE" w:rsidRDefault="003E72FE">
            <w:pPr>
              <w:pStyle w:val="Table2"/>
              <w:spacing w:line="276" w:lineRule="auto"/>
            </w:pPr>
            <w:r>
              <w:t>Mercury (mg/kg)</w:t>
            </w:r>
          </w:p>
        </w:tc>
        <w:tc>
          <w:tcPr>
            <w:tcW w:w="5136" w:type="dxa"/>
            <w:hideMark/>
          </w:tcPr>
          <w:p w:rsidR="003E72FE" w:rsidRDefault="003E72FE">
            <w:pPr>
              <w:pStyle w:val="Table2"/>
              <w:spacing w:line="276" w:lineRule="auto"/>
            </w:pPr>
            <w:r>
              <w:t>max. 0.1</w:t>
            </w:r>
          </w:p>
        </w:tc>
      </w:tr>
      <w:tr w:rsidR="003E72FE" w:rsidTr="003E72FE">
        <w:tc>
          <w:tcPr>
            <w:tcW w:w="3936" w:type="dxa"/>
            <w:hideMark/>
          </w:tcPr>
          <w:p w:rsidR="003E72FE" w:rsidRDefault="003E72FE">
            <w:pPr>
              <w:pStyle w:val="Table2"/>
              <w:spacing w:line="276" w:lineRule="auto"/>
            </w:pPr>
            <w:r>
              <w:t>Hexane (mg/kg)</w:t>
            </w:r>
          </w:p>
        </w:tc>
        <w:tc>
          <w:tcPr>
            <w:tcW w:w="5136" w:type="dxa"/>
            <w:hideMark/>
          </w:tcPr>
          <w:p w:rsidR="003E72FE" w:rsidRDefault="003E72FE">
            <w:pPr>
              <w:pStyle w:val="Table2"/>
              <w:spacing w:line="276" w:lineRule="auto"/>
            </w:pPr>
            <w:r>
              <w:t>max. 0.3</w:t>
            </w:r>
          </w:p>
        </w:tc>
      </w:tr>
    </w:tbl>
    <w:p w:rsidR="003E72FE" w:rsidRPr="003E72FE" w:rsidRDefault="003E72FE" w:rsidP="003E72FE">
      <w:pPr>
        <w:rPr>
          <w:sz w:val="20"/>
          <w:szCs w:val="20"/>
        </w:rPr>
      </w:pPr>
    </w:p>
    <w:p w:rsidR="003E72FE" w:rsidRPr="003E72FE" w:rsidRDefault="003E72FE" w:rsidP="003E72FE">
      <w:pPr>
        <w:pStyle w:val="ClauseHeading0"/>
      </w:pPr>
      <w:r w:rsidRPr="003E72FE">
        <w:t xml:space="preserve">Specification for oil derived from the algae </w:t>
      </w:r>
      <w:r w:rsidRPr="003E72FE">
        <w:rPr>
          <w:i/>
          <w:iCs/>
        </w:rPr>
        <w:t>Crypthecodinium cohnii</w:t>
      </w:r>
      <w:r w:rsidRPr="003E72FE">
        <w:t xml:space="preserve"> rich in docosahexaenoic acid (DHA) </w:t>
      </w:r>
    </w:p>
    <w:p w:rsidR="003E72FE" w:rsidRPr="003E72FE" w:rsidRDefault="003E72FE" w:rsidP="003E72FE">
      <w:pPr>
        <w:rPr>
          <w:rFonts w:cs="Times"/>
          <w:sz w:val="20"/>
          <w:szCs w:val="20"/>
        </w:rPr>
      </w:pPr>
    </w:p>
    <w:tbl>
      <w:tblPr>
        <w:tblW w:w="9072" w:type="dxa"/>
        <w:tblLook w:val="04A0" w:firstRow="1" w:lastRow="0" w:firstColumn="1" w:lastColumn="0" w:noHBand="0" w:noVBand="1"/>
      </w:tblPr>
      <w:tblGrid>
        <w:gridCol w:w="3950"/>
        <w:gridCol w:w="5122"/>
      </w:tblGrid>
      <w:tr w:rsidR="003E72FE" w:rsidTr="003E72FE">
        <w:tc>
          <w:tcPr>
            <w:tcW w:w="3950" w:type="dxa"/>
            <w:hideMark/>
          </w:tcPr>
          <w:p w:rsidR="003E72FE" w:rsidRDefault="003E72FE">
            <w:pPr>
              <w:pStyle w:val="Table2"/>
              <w:spacing w:line="276" w:lineRule="auto"/>
              <w:rPr>
                <w:rFonts w:cs="Times"/>
              </w:rPr>
            </w:pPr>
            <w:r>
              <w:t>Full chemical name for DHA</w:t>
            </w:r>
          </w:p>
        </w:tc>
        <w:tc>
          <w:tcPr>
            <w:tcW w:w="5122" w:type="dxa"/>
            <w:hideMark/>
          </w:tcPr>
          <w:p w:rsidR="003E72FE" w:rsidRDefault="003E72FE">
            <w:pPr>
              <w:pStyle w:val="Table2"/>
              <w:spacing w:line="276" w:lineRule="auto"/>
              <w:rPr>
                <w:rFonts w:cs="Times"/>
              </w:rPr>
            </w:pPr>
            <w:r>
              <w:t>4,7,10,13,16,19-docosahexaenoic acid (22:6n-3)</w:t>
            </w:r>
          </w:p>
        </w:tc>
      </w:tr>
      <w:tr w:rsidR="003E72FE" w:rsidTr="003E72FE">
        <w:tc>
          <w:tcPr>
            <w:tcW w:w="3950" w:type="dxa"/>
            <w:hideMark/>
          </w:tcPr>
          <w:p w:rsidR="003E72FE" w:rsidRDefault="003E72FE">
            <w:pPr>
              <w:pStyle w:val="Table2"/>
              <w:spacing w:line="276" w:lineRule="auto"/>
              <w:rPr>
                <w:rFonts w:cs="Times"/>
              </w:rPr>
            </w:pPr>
            <w:r>
              <w:t>DHA (%)</w:t>
            </w:r>
          </w:p>
        </w:tc>
        <w:tc>
          <w:tcPr>
            <w:tcW w:w="5122" w:type="dxa"/>
            <w:hideMark/>
          </w:tcPr>
          <w:p w:rsidR="003E72FE" w:rsidRDefault="003E72FE">
            <w:pPr>
              <w:pStyle w:val="Table2"/>
              <w:spacing w:line="276" w:lineRule="auto"/>
              <w:rPr>
                <w:rFonts w:cs="Times"/>
              </w:rPr>
            </w:pPr>
            <w:r>
              <w:t xml:space="preserve">min. 35 </w:t>
            </w:r>
          </w:p>
        </w:tc>
      </w:tr>
      <w:tr w:rsidR="003E72FE" w:rsidTr="003E72FE">
        <w:tc>
          <w:tcPr>
            <w:tcW w:w="3950" w:type="dxa"/>
            <w:hideMark/>
          </w:tcPr>
          <w:p w:rsidR="003E72FE" w:rsidRDefault="003E72FE">
            <w:pPr>
              <w:pStyle w:val="Table2"/>
              <w:spacing w:line="276" w:lineRule="auto"/>
            </w:pPr>
            <w:r>
              <w:t>Trans fatty acids (%)</w:t>
            </w:r>
          </w:p>
        </w:tc>
        <w:tc>
          <w:tcPr>
            <w:tcW w:w="5122" w:type="dxa"/>
            <w:hideMark/>
          </w:tcPr>
          <w:p w:rsidR="003E72FE" w:rsidRDefault="003E72FE">
            <w:pPr>
              <w:pStyle w:val="Table2"/>
              <w:spacing w:line="276" w:lineRule="auto"/>
            </w:pPr>
            <w:r>
              <w:t>max. 2.0</w:t>
            </w:r>
          </w:p>
        </w:tc>
      </w:tr>
      <w:tr w:rsidR="003E72FE" w:rsidTr="003E72FE">
        <w:tc>
          <w:tcPr>
            <w:tcW w:w="3950" w:type="dxa"/>
            <w:hideMark/>
          </w:tcPr>
          <w:p w:rsidR="003E72FE" w:rsidRDefault="003E72FE">
            <w:pPr>
              <w:pStyle w:val="Table2"/>
              <w:spacing w:line="276" w:lineRule="auto"/>
            </w:pPr>
            <w:r>
              <w:t>Lead (mg/kg)</w:t>
            </w:r>
          </w:p>
        </w:tc>
        <w:tc>
          <w:tcPr>
            <w:tcW w:w="5122" w:type="dxa"/>
            <w:hideMark/>
          </w:tcPr>
          <w:p w:rsidR="003E72FE" w:rsidRDefault="003E72FE">
            <w:pPr>
              <w:pStyle w:val="Table2"/>
              <w:spacing w:line="276" w:lineRule="auto"/>
            </w:pPr>
            <w:r>
              <w:t>max. 0.1</w:t>
            </w:r>
          </w:p>
        </w:tc>
      </w:tr>
      <w:tr w:rsidR="003E72FE" w:rsidTr="003E72FE">
        <w:tc>
          <w:tcPr>
            <w:tcW w:w="3950" w:type="dxa"/>
            <w:hideMark/>
          </w:tcPr>
          <w:p w:rsidR="003E72FE" w:rsidRDefault="003E72FE">
            <w:pPr>
              <w:pStyle w:val="Table2"/>
              <w:spacing w:line="276" w:lineRule="auto"/>
            </w:pPr>
            <w:r>
              <w:t>Arsenic (mg/kg)</w:t>
            </w:r>
          </w:p>
        </w:tc>
        <w:tc>
          <w:tcPr>
            <w:tcW w:w="5122" w:type="dxa"/>
            <w:hideMark/>
          </w:tcPr>
          <w:p w:rsidR="003E72FE" w:rsidRDefault="003E72FE">
            <w:pPr>
              <w:pStyle w:val="Table2"/>
              <w:spacing w:line="276" w:lineRule="auto"/>
            </w:pPr>
            <w:r>
              <w:t>max. 0.1</w:t>
            </w:r>
          </w:p>
        </w:tc>
      </w:tr>
      <w:tr w:rsidR="003E72FE" w:rsidTr="003E72FE">
        <w:tc>
          <w:tcPr>
            <w:tcW w:w="3950" w:type="dxa"/>
            <w:hideMark/>
          </w:tcPr>
          <w:p w:rsidR="003E72FE" w:rsidRDefault="003E72FE">
            <w:pPr>
              <w:pStyle w:val="Table2"/>
              <w:spacing w:line="276" w:lineRule="auto"/>
            </w:pPr>
            <w:r>
              <w:t>Mercury (mg/kg)</w:t>
            </w:r>
          </w:p>
        </w:tc>
        <w:tc>
          <w:tcPr>
            <w:tcW w:w="5122" w:type="dxa"/>
            <w:hideMark/>
          </w:tcPr>
          <w:p w:rsidR="003E72FE" w:rsidRDefault="003E72FE">
            <w:pPr>
              <w:pStyle w:val="Table2"/>
              <w:spacing w:line="276" w:lineRule="auto"/>
            </w:pPr>
            <w:r>
              <w:t>max. 0.1</w:t>
            </w:r>
          </w:p>
        </w:tc>
      </w:tr>
      <w:tr w:rsidR="003E72FE" w:rsidTr="003E72FE">
        <w:tc>
          <w:tcPr>
            <w:tcW w:w="3950" w:type="dxa"/>
            <w:hideMark/>
          </w:tcPr>
          <w:p w:rsidR="003E72FE" w:rsidRDefault="003E72FE">
            <w:pPr>
              <w:pStyle w:val="Table2"/>
              <w:spacing w:line="276" w:lineRule="auto"/>
            </w:pPr>
            <w:r>
              <w:t>Hexane (mg/kg)</w:t>
            </w:r>
          </w:p>
        </w:tc>
        <w:tc>
          <w:tcPr>
            <w:tcW w:w="5122" w:type="dxa"/>
            <w:hideMark/>
          </w:tcPr>
          <w:p w:rsidR="003E72FE" w:rsidRDefault="003E72FE">
            <w:pPr>
              <w:pStyle w:val="Table2"/>
              <w:spacing w:line="276" w:lineRule="auto"/>
            </w:pPr>
            <w:r>
              <w:t>max. 0.3</w:t>
            </w:r>
          </w:p>
        </w:tc>
      </w:tr>
    </w:tbl>
    <w:p w:rsidR="003E72FE" w:rsidRDefault="003E72FE" w:rsidP="003E72FE">
      <w:pPr>
        <w:rPr>
          <w:sz w:val="20"/>
          <w:szCs w:val="20"/>
        </w:rPr>
      </w:pPr>
    </w:p>
    <w:p w:rsidR="003E72FE" w:rsidRDefault="003E72FE" w:rsidP="003E72FE">
      <w:pPr>
        <w:pStyle w:val="ClauseHeading0"/>
      </w:pPr>
      <w:r>
        <w:rPr>
          <w:b w:val="0"/>
        </w:rPr>
        <w:br w:type="page"/>
      </w:r>
    </w:p>
    <w:p w:rsidR="003E72FE" w:rsidRDefault="003E72FE" w:rsidP="003E72FE">
      <w:pPr>
        <w:pStyle w:val="ClauseHeading0"/>
      </w:pPr>
      <w:r>
        <w:lastRenderedPageBreak/>
        <w:t xml:space="preserve">Specification for oil derived from the fungus </w:t>
      </w:r>
      <w:r>
        <w:rPr>
          <w:i/>
          <w:iCs/>
        </w:rPr>
        <w:t xml:space="preserve">Mortierella alpina </w:t>
      </w:r>
      <w:r>
        <w:rPr>
          <w:iCs/>
        </w:rPr>
        <w:t xml:space="preserve">rich in </w:t>
      </w:r>
      <w:r>
        <w:t>arachidonic acid (ARA)</w:t>
      </w:r>
    </w:p>
    <w:p w:rsidR="003E72FE" w:rsidRPr="003E72FE" w:rsidRDefault="003E72FE" w:rsidP="003E72FE">
      <w:pPr>
        <w:rPr>
          <w:sz w:val="20"/>
          <w:szCs w:val="20"/>
        </w:rPr>
      </w:pPr>
    </w:p>
    <w:tbl>
      <w:tblPr>
        <w:tblW w:w="9072" w:type="dxa"/>
        <w:tblLook w:val="04A0" w:firstRow="1" w:lastRow="0" w:firstColumn="1" w:lastColumn="0" w:noHBand="0" w:noVBand="1"/>
      </w:tblPr>
      <w:tblGrid>
        <w:gridCol w:w="3936"/>
        <w:gridCol w:w="5136"/>
      </w:tblGrid>
      <w:tr w:rsidR="003E72FE" w:rsidTr="003E72FE">
        <w:tc>
          <w:tcPr>
            <w:tcW w:w="3936" w:type="dxa"/>
            <w:hideMark/>
          </w:tcPr>
          <w:p w:rsidR="003E72FE" w:rsidRDefault="003E72FE">
            <w:pPr>
              <w:pStyle w:val="Table2"/>
              <w:spacing w:line="276" w:lineRule="auto"/>
            </w:pPr>
            <w:r>
              <w:t>Full chemical name for ARA</w:t>
            </w:r>
          </w:p>
        </w:tc>
        <w:tc>
          <w:tcPr>
            <w:tcW w:w="5136" w:type="dxa"/>
            <w:hideMark/>
          </w:tcPr>
          <w:p w:rsidR="003E72FE" w:rsidRDefault="003E72FE">
            <w:pPr>
              <w:pStyle w:val="Table2"/>
              <w:spacing w:line="276" w:lineRule="auto"/>
            </w:pPr>
            <w:r>
              <w:t>5,8,11,14-eicosatetraenoic acid (20:4n-6 ARA)</w:t>
            </w:r>
          </w:p>
        </w:tc>
      </w:tr>
      <w:tr w:rsidR="003E72FE" w:rsidTr="003E72FE">
        <w:tc>
          <w:tcPr>
            <w:tcW w:w="3936" w:type="dxa"/>
            <w:hideMark/>
          </w:tcPr>
          <w:p w:rsidR="003E72FE" w:rsidRDefault="003E72FE">
            <w:pPr>
              <w:pStyle w:val="Table2"/>
              <w:spacing w:line="276" w:lineRule="auto"/>
            </w:pPr>
            <w:r>
              <w:t>ARA (%)</w:t>
            </w:r>
          </w:p>
        </w:tc>
        <w:tc>
          <w:tcPr>
            <w:tcW w:w="5136" w:type="dxa"/>
            <w:hideMark/>
          </w:tcPr>
          <w:p w:rsidR="003E72FE" w:rsidRDefault="003E72FE">
            <w:pPr>
              <w:pStyle w:val="Table2"/>
              <w:spacing w:line="276" w:lineRule="auto"/>
            </w:pPr>
            <w:r>
              <w:t>min. 35</w:t>
            </w:r>
          </w:p>
        </w:tc>
      </w:tr>
      <w:tr w:rsidR="003E72FE" w:rsidTr="003E72FE">
        <w:tc>
          <w:tcPr>
            <w:tcW w:w="3936" w:type="dxa"/>
            <w:hideMark/>
          </w:tcPr>
          <w:p w:rsidR="003E72FE" w:rsidRDefault="003E72FE">
            <w:pPr>
              <w:pStyle w:val="Table2"/>
              <w:spacing w:line="276" w:lineRule="auto"/>
            </w:pPr>
            <w:r>
              <w:t>Trans fatty acids (%)</w:t>
            </w:r>
          </w:p>
        </w:tc>
        <w:tc>
          <w:tcPr>
            <w:tcW w:w="5136" w:type="dxa"/>
            <w:hideMark/>
          </w:tcPr>
          <w:p w:rsidR="003E72FE" w:rsidRDefault="003E72FE">
            <w:pPr>
              <w:pStyle w:val="Table2"/>
              <w:spacing w:line="276" w:lineRule="auto"/>
            </w:pPr>
            <w:r>
              <w:t>max. 2.0</w:t>
            </w:r>
          </w:p>
        </w:tc>
      </w:tr>
      <w:tr w:rsidR="003E72FE" w:rsidTr="003E72FE">
        <w:tc>
          <w:tcPr>
            <w:tcW w:w="3936" w:type="dxa"/>
            <w:hideMark/>
          </w:tcPr>
          <w:p w:rsidR="003E72FE" w:rsidRDefault="003E72FE">
            <w:pPr>
              <w:pStyle w:val="Table2"/>
              <w:spacing w:line="276" w:lineRule="auto"/>
            </w:pPr>
            <w:r>
              <w:t>Lead (mg/kg)</w:t>
            </w:r>
          </w:p>
        </w:tc>
        <w:tc>
          <w:tcPr>
            <w:tcW w:w="5136" w:type="dxa"/>
            <w:hideMark/>
          </w:tcPr>
          <w:p w:rsidR="003E72FE" w:rsidRDefault="003E72FE">
            <w:pPr>
              <w:pStyle w:val="Table2"/>
              <w:spacing w:line="276" w:lineRule="auto"/>
            </w:pPr>
            <w:r>
              <w:t>max. 0.1</w:t>
            </w:r>
          </w:p>
        </w:tc>
      </w:tr>
      <w:tr w:rsidR="003E72FE" w:rsidTr="003E72FE">
        <w:tc>
          <w:tcPr>
            <w:tcW w:w="3936" w:type="dxa"/>
            <w:hideMark/>
          </w:tcPr>
          <w:p w:rsidR="003E72FE" w:rsidRDefault="003E72FE">
            <w:pPr>
              <w:pStyle w:val="Table2"/>
              <w:spacing w:line="276" w:lineRule="auto"/>
            </w:pPr>
            <w:r>
              <w:t>Arsenic (mg/kg)</w:t>
            </w:r>
          </w:p>
        </w:tc>
        <w:tc>
          <w:tcPr>
            <w:tcW w:w="5136" w:type="dxa"/>
            <w:hideMark/>
          </w:tcPr>
          <w:p w:rsidR="003E72FE" w:rsidRDefault="003E72FE">
            <w:pPr>
              <w:pStyle w:val="Table2"/>
              <w:spacing w:line="276" w:lineRule="auto"/>
            </w:pPr>
            <w:r>
              <w:t>max. 0.1</w:t>
            </w:r>
          </w:p>
        </w:tc>
      </w:tr>
      <w:tr w:rsidR="003E72FE" w:rsidTr="003E72FE">
        <w:tc>
          <w:tcPr>
            <w:tcW w:w="3936" w:type="dxa"/>
            <w:hideMark/>
          </w:tcPr>
          <w:p w:rsidR="003E72FE" w:rsidRDefault="003E72FE">
            <w:pPr>
              <w:pStyle w:val="Table2"/>
              <w:spacing w:line="276" w:lineRule="auto"/>
            </w:pPr>
            <w:r>
              <w:t>Mercury (mg/kg)</w:t>
            </w:r>
          </w:p>
        </w:tc>
        <w:tc>
          <w:tcPr>
            <w:tcW w:w="5136" w:type="dxa"/>
            <w:hideMark/>
          </w:tcPr>
          <w:p w:rsidR="003E72FE" w:rsidRDefault="003E72FE">
            <w:pPr>
              <w:pStyle w:val="Table2"/>
              <w:spacing w:line="276" w:lineRule="auto"/>
            </w:pPr>
            <w:r>
              <w:t>max. 0.1</w:t>
            </w:r>
          </w:p>
        </w:tc>
      </w:tr>
      <w:tr w:rsidR="003E72FE" w:rsidTr="003E72FE">
        <w:tc>
          <w:tcPr>
            <w:tcW w:w="3936" w:type="dxa"/>
            <w:hideMark/>
          </w:tcPr>
          <w:p w:rsidR="003E72FE" w:rsidRDefault="003E72FE">
            <w:pPr>
              <w:pStyle w:val="Table2"/>
              <w:spacing w:line="276" w:lineRule="auto"/>
            </w:pPr>
            <w:r>
              <w:t>Hexane (mg/kg)</w:t>
            </w:r>
          </w:p>
        </w:tc>
        <w:tc>
          <w:tcPr>
            <w:tcW w:w="5136" w:type="dxa"/>
            <w:hideMark/>
          </w:tcPr>
          <w:p w:rsidR="003E72FE" w:rsidRDefault="003E72FE">
            <w:pPr>
              <w:pStyle w:val="Table2"/>
              <w:spacing w:line="276" w:lineRule="auto"/>
            </w:pPr>
            <w:r>
              <w:t>max. 0.3</w:t>
            </w:r>
          </w:p>
        </w:tc>
      </w:tr>
    </w:tbl>
    <w:p w:rsidR="003E72FE" w:rsidRPr="003E72FE" w:rsidRDefault="003E72FE" w:rsidP="003E72FE">
      <w:pPr>
        <w:rPr>
          <w:sz w:val="20"/>
          <w:szCs w:val="20"/>
        </w:rPr>
      </w:pPr>
    </w:p>
    <w:p w:rsidR="003E72FE" w:rsidRPr="003E72FE" w:rsidRDefault="003E72FE" w:rsidP="003E72FE">
      <w:pPr>
        <w:pStyle w:val="ClauseHeading0"/>
      </w:pPr>
      <w:r w:rsidRPr="003E72FE">
        <w:t>Specification for oil derived from marine micro-algae (</w:t>
      </w:r>
      <w:r w:rsidRPr="003E72FE">
        <w:rPr>
          <w:i/>
          <w:iCs/>
        </w:rPr>
        <w:t>Ulkenia</w:t>
      </w:r>
      <w:r w:rsidRPr="003E72FE">
        <w:t xml:space="preserve"> sp.) rich in docosahexaenoic acid (DHA)</w:t>
      </w:r>
    </w:p>
    <w:p w:rsidR="003E72FE" w:rsidRPr="003E72FE" w:rsidRDefault="003E72FE" w:rsidP="003E72FE">
      <w:pPr>
        <w:autoSpaceDE w:val="0"/>
        <w:autoSpaceDN w:val="0"/>
        <w:adjustRightInd w:val="0"/>
        <w:rPr>
          <w:color w:val="000000"/>
          <w:sz w:val="20"/>
          <w:szCs w:val="20"/>
        </w:rPr>
      </w:pPr>
    </w:p>
    <w:tbl>
      <w:tblPr>
        <w:tblW w:w="9075" w:type="dxa"/>
        <w:tblLayout w:type="fixed"/>
        <w:tblLook w:val="04A0" w:firstRow="1" w:lastRow="0" w:firstColumn="1" w:lastColumn="0" w:noHBand="0" w:noVBand="1"/>
      </w:tblPr>
      <w:tblGrid>
        <w:gridCol w:w="3937"/>
        <w:gridCol w:w="5138"/>
      </w:tblGrid>
      <w:tr w:rsidR="003E72FE" w:rsidTr="003E72FE">
        <w:tc>
          <w:tcPr>
            <w:tcW w:w="3936" w:type="dxa"/>
            <w:hideMark/>
          </w:tcPr>
          <w:p w:rsidR="003E72FE" w:rsidRDefault="003E72FE">
            <w:pPr>
              <w:pStyle w:val="Table2"/>
              <w:spacing w:line="276" w:lineRule="auto"/>
            </w:pPr>
            <w:r>
              <w:t>Full chemical name for DHA</w:t>
            </w:r>
          </w:p>
        </w:tc>
        <w:tc>
          <w:tcPr>
            <w:tcW w:w="5136" w:type="dxa"/>
            <w:hideMark/>
          </w:tcPr>
          <w:p w:rsidR="003E72FE" w:rsidRDefault="003E72FE">
            <w:pPr>
              <w:pStyle w:val="Table2"/>
              <w:spacing w:line="276" w:lineRule="auto"/>
            </w:pPr>
            <w:r>
              <w:t>4,7,10,13,16,19-docosahexaenoic acid (22:6n-3 DHA)</w:t>
            </w:r>
          </w:p>
        </w:tc>
      </w:tr>
      <w:tr w:rsidR="003E72FE" w:rsidTr="003E72FE">
        <w:tc>
          <w:tcPr>
            <w:tcW w:w="3936" w:type="dxa"/>
            <w:hideMark/>
          </w:tcPr>
          <w:p w:rsidR="003E72FE" w:rsidRDefault="003E72FE">
            <w:pPr>
              <w:pStyle w:val="Table2"/>
              <w:spacing w:line="276" w:lineRule="auto"/>
            </w:pPr>
            <w:r>
              <w:t>DHA (%)</w:t>
            </w:r>
          </w:p>
        </w:tc>
        <w:tc>
          <w:tcPr>
            <w:tcW w:w="5136" w:type="dxa"/>
            <w:hideMark/>
          </w:tcPr>
          <w:p w:rsidR="003E72FE" w:rsidRDefault="003E72FE">
            <w:pPr>
              <w:pStyle w:val="Table2"/>
              <w:spacing w:line="276" w:lineRule="auto"/>
            </w:pPr>
            <w:r>
              <w:t>min. 32</w:t>
            </w:r>
          </w:p>
        </w:tc>
      </w:tr>
      <w:tr w:rsidR="003E72FE" w:rsidTr="003E72FE">
        <w:tc>
          <w:tcPr>
            <w:tcW w:w="3936" w:type="dxa"/>
            <w:hideMark/>
          </w:tcPr>
          <w:p w:rsidR="003E72FE" w:rsidRDefault="003E72FE">
            <w:pPr>
              <w:pStyle w:val="Table2"/>
              <w:spacing w:line="276" w:lineRule="auto"/>
            </w:pPr>
            <w:r>
              <w:t>Trans fatty acids (%)</w:t>
            </w:r>
          </w:p>
        </w:tc>
        <w:tc>
          <w:tcPr>
            <w:tcW w:w="5136" w:type="dxa"/>
            <w:hideMark/>
          </w:tcPr>
          <w:p w:rsidR="003E72FE" w:rsidRDefault="003E72FE">
            <w:pPr>
              <w:pStyle w:val="Table2"/>
              <w:spacing w:line="276" w:lineRule="auto"/>
            </w:pPr>
            <w:r>
              <w:t>max. 2.0</w:t>
            </w:r>
          </w:p>
        </w:tc>
      </w:tr>
      <w:tr w:rsidR="003E72FE" w:rsidTr="003E72FE">
        <w:tc>
          <w:tcPr>
            <w:tcW w:w="3936" w:type="dxa"/>
            <w:hideMark/>
          </w:tcPr>
          <w:p w:rsidR="003E72FE" w:rsidRDefault="003E72FE">
            <w:pPr>
              <w:pStyle w:val="Table2"/>
              <w:spacing w:line="276" w:lineRule="auto"/>
            </w:pPr>
            <w:r>
              <w:t>Lead (mg/kg)</w:t>
            </w:r>
          </w:p>
        </w:tc>
        <w:tc>
          <w:tcPr>
            <w:tcW w:w="5136" w:type="dxa"/>
            <w:hideMark/>
          </w:tcPr>
          <w:p w:rsidR="003E72FE" w:rsidRDefault="003E72FE">
            <w:pPr>
              <w:pStyle w:val="Table2"/>
              <w:spacing w:line="276" w:lineRule="auto"/>
            </w:pPr>
            <w:r>
              <w:t>max. 0.2</w:t>
            </w:r>
          </w:p>
        </w:tc>
      </w:tr>
      <w:tr w:rsidR="003E72FE" w:rsidTr="003E72FE">
        <w:tc>
          <w:tcPr>
            <w:tcW w:w="3936" w:type="dxa"/>
            <w:hideMark/>
          </w:tcPr>
          <w:p w:rsidR="003E72FE" w:rsidRDefault="003E72FE">
            <w:pPr>
              <w:pStyle w:val="Table2"/>
              <w:spacing w:line="276" w:lineRule="auto"/>
            </w:pPr>
            <w:r>
              <w:t>Arsenic (mg/kg)</w:t>
            </w:r>
          </w:p>
        </w:tc>
        <w:tc>
          <w:tcPr>
            <w:tcW w:w="5136" w:type="dxa"/>
            <w:hideMark/>
          </w:tcPr>
          <w:p w:rsidR="003E72FE" w:rsidRDefault="003E72FE">
            <w:pPr>
              <w:pStyle w:val="Table2"/>
              <w:spacing w:line="276" w:lineRule="auto"/>
            </w:pPr>
            <w:r>
              <w:t>max. 0.2</w:t>
            </w:r>
          </w:p>
        </w:tc>
      </w:tr>
      <w:tr w:rsidR="003E72FE" w:rsidTr="003E72FE">
        <w:tc>
          <w:tcPr>
            <w:tcW w:w="3936" w:type="dxa"/>
            <w:hideMark/>
          </w:tcPr>
          <w:p w:rsidR="003E72FE" w:rsidRDefault="003E72FE">
            <w:pPr>
              <w:pStyle w:val="Table2"/>
              <w:spacing w:line="276" w:lineRule="auto"/>
            </w:pPr>
            <w:r>
              <w:t>Mercury (mg/kg)</w:t>
            </w:r>
          </w:p>
        </w:tc>
        <w:tc>
          <w:tcPr>
            <w:tcW w:w="5136" w:type="dxa"/>
            <w:hideMark/>
          </w:tcPr>
          <w:p w:rsidR="003E72FE" w:rsidRDefault="003E72FE">
            <w:pPr>
              <w:pStyle w:val="Table2"/>
              <w:spacing w:line="276" w:lineRule="auto"/>
            </w:pPr>
            <w:r>
              <w:t>max. 0.2</w:t>
            </w:r>
          </w:p>
        </w:tc>
      </w:tr>
      <w:tr w:rsidR="003E72FE" w:rsidTr="003E72FE">
        <w:tc>
          <w:tcPr>
            <w:tcW w:w="3936" w:type="dxa"/>
            <w:hideMark/>
          </w:tcPr>
          <w:p w:rsidR="003E72FE" w:rsidRDefault="003E72FE">
            <w:pPr>
              <w:pStyle w:val="Table2"/>
              <w:spacing w:line="276" w:lineRule="auto"/>
            </w:pPr>
            <w:r>
              <w:t>Hexane (mg/kg)</w:t>
            </w:r>
          </w:p>
        </w:tc>
        <w:tc>
          <w:tcPr>
            <w:tcW w:w="5136" w:type="dxa"/>
            <w:hideMark/>
          </w:tcPr>
          <w:p w:rsidR="003E72FE" w:rsidRDefault="003E72FE">
            <w:pPr>
              <w:pStyle w:val="Table2"/>
              <w:spacing w:line="276" w:lineRule="auto"/>
            </w:pPr>
            <w:r>
              <w:t>max. 10</w:t>
            </w:r>
          </w:p>
        </w:tc>
      </w:tr>
    </w:tbl>
    <w:p w:rsidR="003E72FE" w:rsidRPr="003E72FE" w:rsidRDefault="003E72FE" w:rsidP="003E72FE">
      <w:pPr>
        <w:rPr>
          <w:sz w:val="20"/>
          <w:szCs w:val="20"/>
        </w:rPr>
      </w:pPr>
    </w:p>
    <w:p w:rsidR="003E72FE" w:rsidRPr="003E72FE" w:rsidRDefault="003E72FE" w:rsidP="003E72FE">
      <w:pPr>
        <w:pStyle w:val="Clause"/>
        <w:rPr>
          <w:lang w:bidi="ar-SA"/>
        </w:rPr>
      </w:pPr>
      <w:r w:rsidRPr="003E72FE">
        <w:rPr>
          <w:b/>
          <w:bCs/>
        </w:rPr>
        <w:t>[18]</w:t>
      </w:r>
      <w:r w:rsidRPr="003E72FE">
        <w:tab/>
      </w:r>
      <w:r w:rsidRPr="003E72FE">
        <w:rPr>
          <w:b/>
          <w:bCs/>
          <w:i/>
        </w:rPr>
        <w:t>Standard 1.4.1</w:t>
      </w:r>
      <w:r w:rsidRPr="003E72FE">
        <w:rPr>
          <w:i/>
        </w:rPr>
        <w:t xml:space="preserve"> of the Australia New Zealand Food Standards Code is varied by </w:t>
      </w:r>
      <w:r w:rsidRPr="003E72FE">
        <w:t xml:space="preserve">– </w:t>
      </w:r>
    </w:p>
    <w:p w:rsidR="003E72FE" w:rsidRPr="003E72FE" w:rsidRDefault="003E72FE" w:rsidP="003E72FE">
      <w:pPr>
        <w:rPr>
          <w:i/>
          <w:iCs/>
          <w:sz w:val="20"/>
          <w:szCs w:val="20"/>
        </w:rPr>
      </w:pPr>
    </w:p>
    <w:p w:rsidR="003E72FE" w:rsidRPr="003E72FE" w:rsidRDefault="003E72FE" w:rsidP="003E72FE">
      <w:pPr>
        <w:pStyle w:val="Clause"/>
      </w:pPr>
      <w:r w:rsidRPr="003E72FE">
        <w:t>[18.1]</w:t>
      </w:r>
      <w:r w:rsidRPr="003E72FE">
        <w:tab/>
      </w:r>
      <w:r w:rsidRPr="003E72FE">
        <w:rPr>
          <w:i/>
        </w:rPr>
        <w:t xml:space="preserve">omitting from the </w:t>
      </w:r>
      <w:r w:rsidRPr="003E72FE">
        <w:t xml:space="preserve">Purpose – </w:t>
      </w:r>
    </w:p>
    <w:p w:rsidR="003E72FE" w:rsidRPr="003E72FE" w:rsidRDefault="003E72FE" w:rsidP="003E72FE">
      <w:pPr>
        <w:rPr>
          <w:iCs/>
          <w:sz w:val="20"/>
          <w:szCs w:val="20"/>
        </w:rPr>
      </w:pPr>
    </w:p>
    <w:p w:rsidR="003E72FE" w:rsidRPr="003E72FE" w:rsidRDefault="003E72FE" w:rsidP="003E72FE">
      <w:pPr>
        <w:pStyle w:val="Clause"/>
      </w:pPr>
      <w:r w:rsidRPr="003E72FE">
        <w:t>Consideration has also been given to Australia’s and New Zealand’s international trade obligations under the World Trade Organization’s Sanitary and Phytosanitary Agreement and Technical Barrier to Trade Agreement.</w:t>
      </w:r>
    </w:p>
    <w:p w:rsidR="003E72FE" w:rsidRPr="003E72FE" w:rsidRDefault="003E72FE" w:rsidP="003E72FE">
      <w:pPr>
        <w:pStyle w:val="Clause"/>
      </w:pPr>
    </w:p>
    <w:p w:rsidR="003E72FE" w:rsidRPr="003E72FE" w:rsidRDefault="003E72FE" w:rsidP="003E72FE">
      <w:pPr>
        <w:pStyle w:val="Clause"/>
      </w:pPr>
      <w:r w:rsidRPr="003E72FE">
        <w:t>In order to assist both enforcement agencies and industry to maintain contaminant levels at the lowest achievable levels, Generally Expected Levels (GELs), have been established to complement the use of MLs.  GELs, while not legally enforceable, provide a benchmark against which to measure contaminant levels in foods.  The list of GELS is provided in the User Guide – Generally Expected Levels (GELs) for Metal Contaminants.</w:t>
      </w:r>
    </w:p>
    <w:p w:rsidR="003E72FE" w:rsidRPr="003E72FE" w:rsidRDefault="003E72FE" w:rsidP="003E72FE">
      <w:pPr>
        <w:rPr>
          <w:iCs/>
          <w:sz w:val="20"/>
          <w:szCs w:val="20"/>
        </w:rPr>
      </w:pPr>
    </w:p>
    <w:p w:rsidR="003E72FE" w:rsidRPr="003E72FE" w:rsidRDefault="003E72FE" w:rsidP="003E72FE">
      <w:pPr>
        <w:pStyle w:val="Clause"/>
        <w:rPr>
          <w:i/>
          <w:iCs/>
        </w:rPr>
      </w:pPr>
      <w:r w:rsidRPr="003E72FE">
        <w:rPr>
          <w:i/>
          <w:iCs/>
        </w:rPr>
        <w:t xml:space="preserve">substituting – </w:t>
      </w:r>
    </w:p>
    <w:p w:rsidR="003E72FE" w:rsidRPr="003E72FE" w:rsidRDefault="003E72FE" w:rsidP="003E72FE">
      <w:pPr>
        <w:rPr>
          <w:i/>
          <w:iCs/>
          <w:sz w:val="20"/>
          <w:szCs w:val="20"/>
        </w:rPr>
      </w:pPr>
    </w:p>
    <w:p w:rsidR="003E72FE" w:rsidRPr="003E72FE" w:rsidRDefault="003E72FE" w:rsidP="003E72FE">
      <w:pPr>
        <w:pStyle w:val="Clause"/>
      </w:pPr>
      <w:r w:rsidRPr="003E72FE">
        <w:t>Consideration has also been given to Australia’s and New Zealand’s international trade obligations under the World Trade Organization’s Agreement on the Application of Sanitary and Phytosanitary Measures and the Agreement on Technical Barriers to Trade.</w:t>
      </w:r>
    </w:p>
    <w:p w:rsidR="003E72FE" w:rsidRPr="003E72FE" w:rsidRDefault="003E72FE" w:rsidP="003E72FE">
      <w:pPr>
        <w:rPr>
          <w:i/>
          <w:iCs/>
          <w:sz w:val="20"/>
          <w:szCs w:val="20"/>
        </w:rPr>
      </w:pPr>
    </w:p>
    <w:p w:rsidR="003E72FE" w:rsidRPr="003E72FE" w:rsidRDefault="003E72FE" w:rsidP="003E72FE">
      <w:pPr>
        <w:pStyle w:val="Clause"/>
      </w:pPr>
      <w:r w:rsidRPr="003E72FE">
        <w:t>[18.2]</w:t>
      </w:r>
      <w:r w:rsidRPr="003E72FE">
        <w:tab/>
      </w:r>
      <w:r w:rsidRPr="003E72FE">
        <w:rPr>
          <w:i/>
        </w:rPr>
        <w:t>omitting from subclause 1(5)</w:t>
      </w:r>
      <w:r w:rsidRPr="003E72FE">
        <w:t xml:space="preserve"> – </w:t>
      </w:r>
    </w:p>
    <w:p w:rsidR="003E72FE" w:rsidRPr="003E72FE" w:rsidRDefault="003E72FE" w:rsidP="003E72FE">
      <w:pPr>
        <w:rPr>
          <w:sz w:val="20"/>
          <w:szCs w:val="20"/>
        </w:rPr>
      </w:pPr>
    </w:p>
    <w:p w:rsidR="003E72FE" w:rsidRPr="003E72FE" w:rsidRDefault="003E72FE" w:rsidP="003E72FE">
      <w:pPr>
        <w:pStyle w:val="Subclause"/>
      </w:pPr>
      <w:r w:rsidRPr="003E72FE">
        <w:t>(edible kelp)</w:t>
      </w:r>
    </w:p>
    <w:p w:rsidR="003E72FE" w:rsidRPr="003E72FE" w:rsidRDefault="003E72FE" w:rsidP="003E72FE">
      <w:pPr>
        <w:rPr>
          <w:iCs/>
          <w:sz w:val="20"/>
          <w:szCs w:val="20"/>
        </w:rPr>
      </w:pPr>
    </w:p>
    <w:p w:rsidR="003E72FE" w:rsidRPr="003E72FE" w:rsidRDefault="003E72FE" w:rsidP="003E72FE">
      <w:pPr>
        <w:pStyle w:val="Clause"/>
        <w:rPr>
          <w:i/>
        </w:rPr>
      </w:pPr>
      <w:r w:rsidRPr="003E72FE">
        <w:t>[18.3]</w:t>
      </w:r>
      <w:r w:rsidRPr="003E72FE">
        <w:tab/>
      </w:r>
      <w:r w:rsidRPr="003E72FE">
        <w:rPr>
          <w:i/>
        </w:rPr>
        <w:t xml:space="preserve">omitting the definitions for </w:t>
      </w:r>
      <w:r w:rsidRPr="003E72FE">
        <w:rPr>
          <w:b/>
        </w:rPr>
        <w:t xml:space="preserve">food </w:t>
      </w:r>
      <w:r w:rsidRPr="003E72FE">
        <w:rPr>
          <w:i/>
        </w:rPr>
        <w:t xml:space="preserve">and </w:t>
      </w:r>
      <w:r w:rsidRPr="003E72FE">
        <w:rPr>
          <w:b/>
        </w:rPr>
        <w:t xml:space="preserve">metal contaminant </w:t>
      </w:r>
      <w:r w:rsidRPr="003E72FE">
        <w:rPr>
          <w:i/>
        </w:rPr>
        <w:t xml:space="preserve">in subclause 2(1), substituting – </w:t>
      </w:r>
    </w:p>
    <w:p w:rsidR="003E72FE" w:rsidRPr="003E72FE" w:rsidRDefault="003E72FE" w:rsidP="003E72FE">
      <w:pPr>
        <w:rPr>
          <w:sz w:val="20"/>
          <w:szCs w:val="20"/>
        </w:rPr>
      </w:pPr>
    </w:p>
    <w:p w:rsidR="003E72FE" w:rsidRPr="003E72FE" w:rsidRDefault="003E72FE" w:rsidP="003E72FE">
      <w:pPr>
        <w:pStyle w:val="Definition"/>
        <w:rPr>
          <w:bCs/>
        </w:rPr>
      </w:pPr>
      <w:r w:rsidRPr="003E72FE">
        <w:rPr>
          <w:b/>
          <w:bCs/>
        </w:rPr>
        <w:t xml:space="preserve">food </w:t>
      </w:r>
      <w:r w:rsidRPr="003E72FE">
        <w:rPr>
          <w:bCs/>
        </w:rPr>
        <w:t>means the food or class of foods listed in Column 2 of the Table to this clause.</w:t>
      </w:r>
    </w:p>
    <w:p w:rsidR="003E72FE" w:rsidRPr="003E72FE" w:rsidRDefault="003E72FE" w:rsidP="003E72FE">
      <w:pPr>
        <w:rPr>
          <w:sz w:val="20"/>
          <w:szCs w:val="20"/>
        </w:rPr>
      </w:pPr>
    </w:p>
    <w:p w:rsidR="003E72FE" w:rsidRPr="003E72FE" w:rsidRDefault="003E72FE" w:rsidP="003E72FE">
      <w:pPr>
        <w:pStyle w:val="Definition"/>
        <w:rPr>
          <w:bCs/>
        </w:rPr>
      </w:pPr>
      <w:r w:rsidRPr="003E72FE">
        <w:rPr>
          <w:b/>
          <w:bCs/>
        </w:rPr>
        <w:t xml:space="preserve">metal contaminant </w:t>
      </w:r>
      <w:r w:rsidRPr="003E72FE">
        <w:rPr>
          <w:bCs/>
        </w:rPr>
        <w:t>means a substance listed in Column 1 of the Table to this clause and includes compounds of a metal.</w:t>
      </w:r>
    </w:p>
    <w:p w:rsidR="003E72FE" w:rsidRPr="003E72FE" w:rsidRDefault="003E72FE" w:rsidP="003E72FE">
      <w:pPr>
        <w:rPr>
          <w:sz w:val="20"/>
          <w:szCs w:val="20"/>
        </w:rPr>
      </w:pPr>
    </w:p>
    <w:p w:rsidR="003E72FE" w:rsidRPr="003E72FE" w:rsidRDefault="003E72FE" w:rsidP="003E72FE">
      <w:pPr>
        <w:pStyle w:val="Clause"/>
      </w:pPr>
      <w:r w:rsidRPr="003E72FE">
        <w:t>[18.4]</w:t>
      </w:r>
      <w:r w:rsidRPr="003E72FE">
        <w:tab/>
      </w:r>
      <w:r w:rsidRPr="003E72FE">
        <w:rPr>
          <w:i/>
        </w:rPr>
        <w:t xml:space="preserve">omitting subclauses 2(2) and 2(3), substituting - </w:t>
      </w:r>
    </w:p>
    <w:p w:rsidR="003E72FE" w:rsidRPr="003E72FE" w:rsidRDefault="003E72FE" w:rsidP="003E72FE">
      <w:pPr>
        <w:rPr>
          <w:sz w:val="20"/>
          <w:szCs w:val="20"/>
        </w:rPr>
      </w:pPr>
    </w:p>
    <w:p w:rsidR="003E72FE" w:rsidRPr="003E72FE" w:rsidRDefault="003E72FE" w:rsidP="003E72FE">
      <w:pPr>
        <w:pStyle w:val="Subclause"/>
      </w:pPr>
      <w:r w:rsidRPr="003E72FE">
        <w:t>(2)</w:t>
      </w:r>
      <w:r w:rsidRPr="003E72FE">
        <w:tab/>
        <w:t>The maximum levels for metal contaminants in food are listed in Column 3 of the Table to this clause.</w:t>
      </w:r>
    </w:p>
    <w:p w:rsidR="003E72FE" w:rsidRPr="003E72FE" w:rsidRDefault="003E72FE" w:rsidP="003E72FE">
      <w:pPr>
        <w:pStyle w:val="Subclause"/>
      </w:pPr>
    </w:p>
    <w:p w:rsidR="003E72FE" w:rsidRDefault="003E72FE" w:rsidP="003E72FE">
      <w:pPr>
        <w:pStyle w:val="Subclause"/>
      </w:pPr>
      <w:r w:rsidRPr="003E72FE">
        <w:t>(3)</w:t>
      </w:r>
      <w:r w:rsidRPr="003E72FE">
        <w:tab/>
        <w:t>Where a mixed food contains food or a class of foods listed in Column 2 of the Table to this clause, the</w:t>
      </w:r>
      <w:r>
        <w:t xml:space="preserve"> proportion of the metal contaminant permitted to be present in the mixed food (ML1) is calculated in accordance with the formula prescribed in subclause 1(6).</w:t>
      </w:r>
      <w:r>
        <w:br w:type="page"/>
      </w:r>
    </w:p>
    <w:p w:rsidR="003E72FE" w:rsidRDefault="003E72FE" w:rsidP="003E72FE">
      <w:pPr>
        <w:pStyle w:val="Clause"/>
        <w:rPr>
          <w:i/>
        </w:rPr>
      </w:pPr>
      <w:r>
        <w:lastRenderedPageBreak/>
        <w:t>[1</w:t>
      </w:r>
      <w:r w:rsidR="00A02131">
        <w:t>8</w:t>
      </w:r>
      <w:bookmarkStart w:id="220" w:name="_GoBack"/>
      <w:bookmarkEnd w:id="220"/>
      <w:r>
        <w:t>.5]</w:t>
      </w:r>
      <w:r>
        <w:tab/>
      </w:r>
      <w:r>
        <w:rPr>
          <w:i/>
        </w:rPr>
        <w:t xml:space="preserve">omitting the </w:t>
      </w:r>
      <w:r>
        <w:t>Table to clause 2</w:t>
      </w:r>
      <w:r>
        <w:rPr>
          <w:i/>
        </w:rPr>
        <w:t xml:space="preserve">, substituting – </w:t>
      </w:r>
    </w:p>
    <w:p w:rsidR="003E72FE" w:rsidRPr="003E72FE" w:rsidRDefault="003E72FE" w:rsidP="003E72FE">
      <w:pPr>
        <w:rPr>
          <w:sz w:val="20"/>
          <w:szCs w:val="20"/>
        </w:rPr>
      </w:pPr>
    </w:p>
    <w:p w:rsidR="003E72FE" w:rsidRPr="003E72FE" w:rsidRDefault="003E72FE" w:rsidP="003E72FE">
      <w:pPr>
        <w:pStyle w:val="TableHeading"/>
      </w:pPr>
      <w:r w:rsidRPr="003E72FE">
        <w:t>Table to clause 2</w:t>
      </w:r>
    </w:p>
    <w:p w:rsidR="003E72FE" w:rsidRPr="003E72FE" w:rsidRDefault="003E72FE" w:rsidP="003E72FE">
      <w:pPr>
        <w:rPr>
          <w:sz w:val="20"/>
          <w:szCs w:val="20"/>
        </w:rPr>
      </w:pPr>
    </w:p>
    <w:tbl>
      <w:tblPr>
        <w:tblW w:w="8985" w:type="dxa"/>
        <w:jc w:val="center"/>
        <w:tblLayout w:type="fixed"/>
        <w:tblCellMar>
          <w:left w:w="79" w:type="dxa"/>
          <w:right w:w="79" w:type="dxa"/>
        </w:tblCellMar>
        <w:tblLook w:val="04A0" w:firstRow="1" w:lastRow="0" w:firstColumn="1" w:lastColumn="0" w:noHBand="0" w:noVBand="1"/>
      </w:tblPr>
      <w:tblGrid>
        <w:gridCol w:w="1702"/>
        <w:gridCol w:w="5672"/>
        <w:gridCol w:w="1611"/>
      </w:tblGrid>
      <w:tr w:rsidR="003E72FE" w:rsidTr="003E72FE">
        <w:trPr>
          <w:cantSplit/>
          <w:trHeight w:val="345"/>
          <w:jc w:val="center"/>
        </w:trPr>
        <w:tc>
          <w:tcPr>
            <w:tcW w:w="1701" w:type="dxa"/>
            <w:tcBorders>
              <w:top w:val="single" w:sz="4" w:space="0" w:color="auto"/>
              <w:left w:val="single" w:sz="4" w:space="0" w:color="auto"/>
              <w:bottom w:val="nil"/>
              <w:right w:val="single" w:sz="4" w:space="0" w:color="auto"/>
            </w:tcBorders>
            <w:hideMark/>
          </w:tcPr>
          <w:p w:rsidR="003E72FE" w:rsidRDefault="003E72FE">
            <w:pPr>
              <w:pStyle w:val="Table1"/>
              <w:spacing w:line="276" w:lineRule="auto"/>
            </w:pPr>
            <w:r>
              <w:t>Column 1</w:t>
            </w:r>
          </w:p>
        </w:tc>
        <w:tc>
          <w:tcPr>
            <w:tcW w:w="5669" w:type="dxa"/>
            <w:tcBorders>
              <w:top w:val="single" w:sz="4" w:space="0" w:color="auto"/>
              <w:left w:val="single" w:sz="4" w:space="0" w:color="auto"/>
              <w:bottom w:val="nil"/>
              <w:right w:val="single" w:sz="4" w:space="0" w:color="auto"/>
            </w:tcBorders>
            <w:hideMark/>
          </w:tcPr>
          <w:p w:rsidR="003E72FE" w:rsidRDefault="003E72FE">
            <w:pPr>
              <w:pStyle w:val="Table1"/>
              <w:spacing w:line="276" w:lineRule="auto"/>
            </w:pPr>
            <w:r>
              <w:br w:type="column"/>
              <w:t>Column 2</w:t>
            </w:r>
          </w:p>
        </w:tc>
        <w:tc>
          <w:tcPr>
            <w:tcW w:w="1610" w:type="dxa"/>
            <w:tcBorders>
              <w:top w:val="single" w:sz="4" w:space="0" w:color="auto"/>
              <w:left w:val="single" w:sz="4" w:space="0" w:color="auto"/>
              <w:bottom w:val="nil"/>
              <w:right w:val="single" w:sz="4" w:space="0" w:color="auto"/>
            </w:tcBorders>
            <w:hideMark/>
          </w:tcPr>
          <w:p w:rsidR="003E72FE" w:rsidRDefault="003E72FE">
            <w:pPr>
              <w:pStyle w:val="Table1"/>
              <w:spacing w:line="276" w:lineRule="auto"/>
            </w:pPr>
            <w:r>
              <w:t>Column 3</w:t>
            </w:r>
          </w:p>
        </w:tc>
      </w:tr>
      <w:tr w:rsidR="003E72FE" w:rsidTr="003E72FE">
        <w:trPr>
          <w:cantSplit/>
          <w:trHeight w:val="345"/>
          <w:jc w:val="center"/>
        </w:trPr>
        <w:tc>
          <w:tcPr>
            <w:tcW w:w="1701" w:type="dxa"/>
            <w:tcBorders>
              <w:top w:val="nil"/>
              <w:left w:val="single" w:sz="4" w:space="0" w:color="auto"/>
              <w:bottom w:val="single" w:sz="4" w:space="0" w:color="auto"/>
              <w:right w:val="single" w:sz="4" w:space="0" w:color="auto"/>
            </w:tcBorders>
            <w:hideMark/>
          </w:tcPr>
          <w:p w:rsidR="003E72FE" w:rsidRDefault="003E72FE">
            <w:pPr>
              <w:pStyle w:val="Table1"/>
              <w:spacing w:line="276" w:lineRule="auto"/>
            </w:pPr>
            <w:r>
              <w:t>Contaminant</w:t>
            </w:r>
          </w:p>
        </w:tc>
        <w:tc>
          <w:tcPr>
            <w:tcW w:w="5669" w:type="dxa"/>
            <w:tcBorders>
              <w:top w:val="nil"/>
              <w:left w:val="single" w:sz="4" w:space="0" w:color="auto"/>
              <w:bottom w:val="single" w:sz="4" w:space="0" w:color="auto"/>
              <w:right w:val="single" w:sz="4" w:space="0" w:color="auto"/>
            </w:tcBorders>
            <w:hideMark/>
          </w:tcPr>
          <w:p w:rsidR="003E72FE" w:rsidRDefault="003E72FE">
            <w:pPr>
              <w:pStyle w:val="Table1"/>
              <w:spacing w:line="276" w:lineRule="auto"/>
            </w:pPr>
            <w:r>
              <w:t>Food</w:t>
            </w:r>
          </w:p>
        </w:tc>
        <w:tc>
          <w:tcPr>
            <w:tcW w:w="1610" w:type="dxa"/>
            <w:tcBorders>
              <w:top w:val="nil"/>
              <w:left w:val="single" w:sz="4" w:space="0" w:color="auto"/>
              <w:bottom w:val="single" w:sz="4" w:space="0" w:color="auto"/>
              <w:right w:val="single" w:sz="4" w:space="0" w:color="auto"/>
            </w:tcBorders>
            <w:hideMark/>
          </w:tcPr>
          <w:p w:rsidR="003E72FE" w:rsidRDefault="003E72FE">
            <w:pPr>
              <w:pStyle w:val="Table1"/>
              <w:spacing w:line="276" w:lineRule="auto"/>
            </w:pPr>
            <w:r>
              <w:t>Maximum level (mg/kg)</w:t>
            </w:r>
          </w:p>
        </w:tc>
      </w:tr>
      <w:tr w:rsidR="003E72FE" w:rsidTr="003E72FE">
        <w:trPr>
          <w:cantSplit/>
          <w:jc w:val="center"/>
        </w:trPr>
        <w:tc>
          <w:tcPr>
            <w:tcW w:w="1701" w:type="dxa"/>
            <w:tcBorders>
              <w:top w:val="nil"/>
              <w:left w:val="single" w:sz="4" w:space="0" w:color="auto"/>
              <w:bottom w:val="nil"/>
              <w:right w:val="single" w:sz="4" w:space="0" w:color="auto"/>
            </w:tcBorders>
            <w:hideMark/>
          </w:tcPr>
          <w:p w:rsidR="003E72FE" w:rsidRDefault="003E72FE">
            <w:pPr>
              <w:pStyle w:val="Table2"/>
              <w:spacing w:line="276" w:lineRule="auto"/>
            </w:pPr>
            <w:r>
              <w:t>Arsenic (total)</w:t>
            </w: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Cereals</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1 </w:t>
            </w:r>
          </w:p>
        </w:tc>
      </w:tr>
      <w:tr w:rsidR="003E72FE" w:rsidTr="003E72FE">
        <w:trPr>
          <w:cantSplit/>
          <w:jc w:val="center"/>
        </w:trPr>
        <w:tc>
          <w:tcPr>
            <w:tcW w:w="1701" w:type="dxa"/>
            <w:tcBorders>
              <w:top w:val="nil"/>
              <w:left w:val="single" w:sz="4" w:space="0" w:color="auto"/>
              <w:bottom w:val="single" w:sz="8" w:space="0" w:color="auto"/>
              <w:right w:val="single" w:sz="4" w:space="0" w:color="auto"/>
            </w:tcBorders>
          </w:tcPr>
          <w:p w:rsidR="003E72FE" w:rsidRDefault="003E72FE">
            <w:pPr>
              <w:pStyle w:val="Table2"/>
              <w:spacing w:line="276" w:lineRule="auto"/>
            </w:pPr>
          </w:p>
        </w:tc>
        <w:tc>
          <w:tcPr>
            <w:tcW w:w="5669" w:type="dxa"/>
            <w:tcBorders>
              <w:top w:val="nil"/>
              <w:left w:val="single" w:sz="4" w:space="0" w:color="auto"/>
              <w:bottom w:val="single" w:sz="8" w:space="0" w:color="auto"/>
              <w:right w:val="single" w:sz="4" w:space="0" w:color="auto"/>
            </w:tcBorders>
          </w:tcPr>
          <w:p w:rsidR="003E72FE" w:rsidRDefault="003E72FE">
            <w:pPr>
              <w:pStyle w:val="Table2"/>
              <w:spacing w:line="276" w:lineRule="auto"/>
            </w:pPr>
          </w:p>
        </w:tc>
        <w:tc>
          <w:tcPr>
            <w:tcW w:w="1610" w:type="dxa"/>
            <w:tcBorders>
              <w:top w:val="nil"/>
              <w:left w:val="single" w:sz="4" w:space="0" w:color="auto"/>
              <w:bottom w:val="single" w:sz="8"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1701" w:type="dxa"/>
            <w:tcBorders>
              <w:top w:val="nil"/>
              <w:left w:val="single" w:sz="4" w:space="0" w:color="auto"/>
              <w:bottom w:val="nil"/>
              <w:right w:val="single" w:sz="4" w:space="0" w:color="auto"/>
            </w:tcBorders>
            <w:hideMark/>
          </w:tcPr>
          <w:p w:rsidR="003E72FE" w:rsidRDefault="003E72FE">
            <w:pPr>
              <w:pStyle w:val="Table2"/>
              <w:spacing w:line="276" w:lineRule="auto"/>
            </w:pPr>
            <w:r>
              <w:t>Arsenic (inorganic)</w:t>
            </w: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Crustacea</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2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Fish</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2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Molluscs</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1 </w:t>
            </w:r>
          </w:p>
        </w:tc>
      </w:tr>
      <w:tr w:rsidR="003E72FE" w:rsidTr="003E72FE">
        <w:trPr>
          <w:cantSplit/>
          <w:jc w:val="center"/>
        </w:trPr>
        <w:tc>
          <w:tcPr>
            <w:tcW w:w="1701"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5669" w:type="dxa"/>
            <w:tcBorders>
              <w:top w:val="nil"/>
              <w:left w:val="single" w:sz="4" w:space="0" w:color="auto"/>
              <w:bottom w:val="single" w:sz="4" w:space="0" w:color="auto"/>
              <w:right w:val="single" w:sz="4" w:space="0" w:color="auto"/>
            </w:tcBorders>
            <w:hideMark/>
          </w:tcPr>
          <w:p w:rsidR="003E72FE" w:rsidRDefault="003E72FE">
            <w:pPr>
              <w:pStyle w:val="Table2"/>
              <w:spacing w:line="276" w:lineRule="auto"/>
            </w:pPr>
            <w:r>
              <w:t xml:space="preserve">Seaweed </w:t>
            </w:r>
          </w:p>
        </w:tc>
        <w:tc>
          <w:tcPr>
            <w:tcW w:w="1610" w:type="dxa"/>
            <w:tcBorders>
              <w:top w:val="nil"/>
              <w:left w:val="single" w:sz="4" w:space="0" w:color="auto"/>
              <w:bottom w:val="single" w:sz="4" w:space="0" w:color="auto"/>
              <w:right w:val="single" w:sz="4" w:space="0" w:color="auto"/>
            </w:tcBorders>
            <w:hideMark/>
          </w:tcPr>
          <w:p w:rsidR="003E72FE" w:rsidRDefault="003E72FE">
            <w:pPr>
              <w:pStyle w:val="Table2"/>
              <w:spacing w:line="276" w:lineRule="auto"/>
              <w:jc w:val="center"/>
            </w:pPr>
            <w:r>
              <w:t xml:space="preserve">1 </w:t>
            </w:r>
          </w:p>
        </w:tc>
      </w:tr>
      <w:tr w:rsidR="003E72FE" w:rsidTr="003E72FE">
        <w:trPr>
          <w:cantSplit/>
          <w:jc w:val="center"/>
        </w:trPr>
        <w:tc>
          <w:tcPr>
            <w:tcW w:w="1701" w:type="dxa"/>
            <w:tcBorders>
              <w:top w:val="nil"/>
              <w:left w:val="single" w:sz="4" w:space="0" w:color="auto"/>
              <w:bottom w:val="nil"/>
              <w:right w:val="single" w:sz="4" w:space="0" w:color="auto"/>
            </w:tcBorders>
            <w:hideMark/>
          </w:tcPr>
          <w:p w:rsidR="003E72FE" w:rsidRDefault="003E72FE">
            <w:pPr>
              <w:pStyle w:val="Table2"/>
              <w:spacing w:line="276" w:lineRule="auto"/>
            </w:pPr>
            <w:r>
              <w:t>Cadmium</w:t>
            </w: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Chocolate and cocoa products</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0.5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Kidney of cattle, sheep and pig</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2.5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Leafy vegetables (as specified in Schedule 4 to Standard 1.4.2)</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0.1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Liver of cattle, sheep and pig</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1.25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Meat of cattle, sheep and pig (excluding offal)</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0.05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Molluscs (excluding dredge/bluff oysters and queen scallops)</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2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Peanuts</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0.5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Rice</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0.1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Root and tuber vegetables (as specified in Schedule 4 to Standard 1.4.2)</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0.1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Wheat</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0.1 </w:t>
            </w:r>
          </w:p>
        </w:tc>
      </w:tr>
      <w:tr w:rsidR="003E72FE" w:rsidTr="003E72FE">
        <w:trPr>
          <w:cantSplit/>
          <w:jc w:val="center"/>
        </w:trPr>
        <w:tc>
          <w:tcPr>
            <w:tcW w:w="1701" w:type="dxa"/>
            <w:tcBorders>
              <w:top w:val="nil"/>
              <w:left w:val="single" w:sz="4" w:space="0" w:color="auto"/>
              <w:bottom w:val="single" w:sz="8" w:space="0" w:color="auto"/>
              <w:right w:val="single" w:sz="4" w:space="0" w:color="auto"/>
            </w:tcBorders>
          </w:tcPr>
          <w:p w:rsidR="003E72FE" w:rsidRDefault="003E72FE">
            <w:pPr>
              <w:pStyle w:val="Table2"/>
              <w:spacing w:line="276" w:lineRule="auto"/>
            </w:pPr>
          </w:p>
        </w:tc>
        <w:tc>
          <w:tcPr>
            <w:tcW w:w="5669" w:type="dxa"/>
            <w:tcBorders>
              <w:top w:val="nil"/>
              <w:left w:val="single" w:sz="4" w:space="0" w:color="auto"/>
              <w:bottom w:val="single" w:sz="8" w:space="0" w:color="auto"/>
              <w:right w:val="single" w:sz="4" w:space="0" w:color="auto"/>
            </w:tcBorders>
          </w:tcPr>
          <w:p w:rsidR="003E72FE" w:rsidRDefault="003E72FE">
            <w:pPr>
              <w:pStyle w:val="Table2"/>
              <w:spacing w:line="276" w:lineRule="auto"/>
              <w:rPr>
                <w:b/>
              </w:rPr>
            </w:pPr>
          </w:p>
        </w:tc>
        <w:tc>
          <w:tcPr>
            <w:tcW w:w="1610" w:type="dxa"/>
            <w:tcBorders>
              <w:top w:val="nil"/>
              <w:left w:val="single" w:sz="4" w:space="0" w:color="auto"/>
              <w:bottom w:val="single" w:sz="8"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1701" w:type="dxa"/>
            <w:tcBorders>
              <w:top w:val="nil"/>
              <w:left w:val="single" w:sz="4" w:space="0" w:color="auto"/>
              <w:bottom w:val="nil"/>
              <w:right w:val="single" w:sz="4" w:space="0" w:color="auto"/>
            </w:tcBorders>
            <w:hideMark/>
          </w:tcPr>
          <w:p w:rsidR="003E72FE" w:rsidRDefault="003E72FE">
            <w:pPr>
              <w:pStyle w:val="Table2"/>
              <w:spacing w:line="276" w:lineRule="auto"/>
            </w:pPr>
            <w:r>
              <w:t>Lead</w:t>
            </w: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 xml:space="preserve">Brassicas </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0.3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 xml:space="preserve">Cereals, Pulses and Legumes </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0.2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Edible offal of cattle, sheep, pig and poultry</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0.5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 xml:space="preserve">Fish </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0.5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 xml:space="preserve">Fruit </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0.1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Infant formulae</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0.02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Meat of cattle, sheep, pig and poultry (excluding offal)</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0.1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Molluscs</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2 </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Vegetables (except brassicas)</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0.1 </w:t>
            </w:r>
          </w:p>
        </w:tc>
      </w:tr>
      <w:tr w:rsidR="003E72FE" w:rsidTr="003E72FE">
        <w:trPr>
          <w:cantSplit/>
          <w:jc w:val="center"/>
        </w:trPr>
        <w:tc>
          <w:tcPr>
            <w:tcW w:w="1701" w:type="dxa"/>
            <w:tcBorders>
              <w:top w:val="nil"/>
              <w:left w:val="single" w:sz="4" w:space="0" w:color="auto"/>
              <w:bottom w:val="single" w:sz="8" w:space="0" w:color="auto"/>
              <w:right w:val="single" w:sz="4" w:space="0" w:color="auto"/>
            </w:tcBorders>
          </w:tcPr>
          <w:p w:rsidR="003E72FE" w:rsidRDefault="003E72FE">
            <w:pPr>
              <w:pStyle w:val="Table2"/>
              <w:spacing w:line="276" w:lineRule="auto"/>
            </w:pPr>
          </w:p>
        </w:tc>
        <w:tc>
          <w:tcPr>
            <w:tcW w:w="5669" w:type="dxa"/>
            <w:tcBorders>
              <w:top w:val="nil"/>
              <w:left w:val="single" w:sz="4" w:space="0" w:color="auto"/>
              <w:bottom w:val="single" w:sz="8" w:space="0" w:color="auto"/>
              <w:right w:val="single" w:sz="4" w:space="0" w:color="auto"/>
            </w:tcBorders>
          </w:tcPr>
          <w:p w:rsidR="003E72FE" w:rsidRDefault="003E72FE">
            <w:pPr>
              <w:pStyle w:val="Table2"/>
              <w:spacing w:line="276" w:lineRule="auto"/>
              <w:rPr>
                <w:b/>
              </w:rPr>
            </w:pPr>
          </w:p>
        </w:tc>
        <w:tc>
          <w:tcPr>
            <w:tcW w:w="1610" w:type="dxa"/>
            <w:tcBorders>
              <w:top w:val="nil"/>
              <w:left w:val="single" w:sz="4" w:space="0" w:color="auto"/>
              <w:bottom w:val="single" w:sz="8"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1701" w:type="dxa"/>
            <w:tcBorders>
              <w:top w:val="nil"/>
              <w:left w:val="single" w:sz="4" w:space="0" w:color="auto"/>
              <w:bottom w:val="nil"/>
              <w:right w:val="single" w:sz="4" w:space="0" w:color="auto"/>
            </w:tcBorders>
            <w:hideMark/>
          </w:tcPr>
          <w:p w:rsidR="003E72FE" w:rsidRDefault="003E72FE">
            <w:pPr>
              <w:pStyle w:val="Table2"/>
              <w:spacing w:line="276" w:lineRule="auto"/>
            </w:pPr>
            <w:r>
              <w:t>Mercury</w:t>
            </w: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Crustacea</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mean level of 0.5*</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Fish (as specified in Schedule 4 to Standard 1.4.2) and fish products, excluding gemfish, billfish (including marlin), southern bluefin tuna, barramundi, ling, orange roughy, rays and all species of shark</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mean level of 0.5*</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Gemfish, billfish (including marlin), southern bluefin tuna, barramundi, ling, orange roughy, rays and all species of shark</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mean level of 1*</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Fish for which insufficient samples are available to analyse in accordance with clause 6</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1</w:t>
            </w:r>
          </w:p>
        </w:tc>
      </w:tr>
      <w:tr w:rsidR="003E72FE" w:rsidTr="003E72FE">
        <w:trPr>
          <w:cantSplit/>
          <w:jc w:val="center"/>
        </w:trPr>
        <w:tc>
          <w:tcPr>
            <w:tcW w:w="1701" w:type="dxa"/>
            <w:tcBorders>
              <w:top w:val="nil"/>
              <w:left w:val="single" w:sz="4" w:space="0" w:color="auto"/>
              <w:bottom w:val="nil"/>
              <w:right w:val="single" w:sz="4" w:space="0" w:color="auto"/>
            </w:tcBorders>
          </w:tcPr>
          <w:p w:rsidR="003E72FE" w:rsidRDefault="003E72FE">
            <w:pPr>
              <w:pStyle w:val="Table2"/>
              <w:spacing w:line="276" w:lineRule="auto"/>
            </w:pP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Molluscs</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mean level of 0.5*</w:t>
            </w:r>
          </w:p>
        </w:tc>
      </w:tr>
      <w:tr w:rsidR="003E72FE" w:rsidTr="003E72FE">
        <w:trPr>
          <w:cantSplit/>
          <w:jc w:val="center"/>
        </w:trPr>
        <w:tc>
          <w:tcPr>
            <w:tcW w:w="1701" w:type="dxa"/>
            <w:tcBorders>
              <w:top w:val="nil"/>
              <w:left w:val="single" w:sz="4" w:space="0" w:color="auto"/>
              <w:bottom w:val="single" w:sz="8" w:space="0" w:color="auto"/>
              <w:right w:val="single" w:sz="4" w:space="0" w:color="auto"/>
            </w:tcBorders>
          </w:tcPr>
          <w:p w:rsidR="003E72FE" w:rsidRDefault="003E72FE">
            <w:pPr>
              <w:pStyle w:val="Table2"/>
              <w:spacing w:line="276" w:lineRule="auto"/>
            </w:pPr>
          </w:p>
        </w:tc>
        <w:tc>
          <w:tcPr>
            <w:tcW w:w="5669" w:type="dxa"/>
            <w:tcBorders>
              <w:top w:val="nil"/>
              <w:left w:val="single" w:sz="4" w:space="0" w:color="auto"/>
              <w:bottom w:val="single" w:sz="8" w:space="0" w:color="auto"/>
              <w:right w:val="single" w:sz="4" w:space="0" w:color="auto"/>
            </w:tcBorders>
          </w:tcPr>
          <w:p w:rsidR="003E72FE" w:rsidRDefault="003E72FE">
            <w:pPr>
              <w:pStyle w:val="Table2"/>
              <w:spacing w:line="276" w:lineRule="auto"/>
            </w:pPr>
          </w:p>
        </w:tc>
        <w:tc>
          <w:tcPr>
            <w:tcW w:w="1610" w:type="dxa"/>
            <w:tcBorders>
              <w:top w:val="nil"/>
              <w:left w:val="single" w:sz="4" w:space="0" w:color="auto"/>
              <w:bottom w:val="single" w:sz="8"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1701" w:type="dxa"/>
            <w:tcBorders>
              <w:top w:val="nil"/>
              <w:left w:val="single" w:sz="4" w:space="0" w:color="auto"/>
              <w:bottom w:val="nil"/>
              <w:right w:val="single" w:sz="4" w:space="0" w:color="auto"/>
            </w:tcBorders>
            <w:hideMark/>
          </w:tcPr>
          <w:p w:rsidR="003E72FE" w:rsidRDefault="003E72FE">
            <w:pPr>
              <w:pStyle w:val="Table2"/>
              <w:spacing w:line="276" w:lineRule="auto"/>
            </w:pPr>
            <w:r>
              <w:t>Tin</w:t>
            </w:r>
          </w:p>
        </w:tc>
        <w:tc>
          <w:tcPr>
            <w:tcW w:w="5669" w:type="dxa"/>
            <w:tcBorders>
              <w:top w:val="nil"/>
              <w:left w:val="single" w:sz="4" w:space="0" w:color="auto"/>
              <w:bottom w:val="nil"/>
              <w:right w:val="single" w:sz="4" w:space="0" w:color="auto"/>
            </w:tcBorders>
            <w:hideMark/>
          </w:tcPr>
          <w:p w:rsidR="003E72FE" w:rsidRDefault="003E72FE">
            <w:pPr>
              <w:pStyle w:val="Table2"/>
              <w:spacing w:line="276" w:lineRule="auto"/>
            </w:pPr>
            <w:r>
              <w:t>All canned foods</w:t>
            </w:r>
          </w:p>
        </w:tc>
        <w:tc>
          <w:tcPr>
            <w:tcW w:w="16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250</w:t>
            </w:r>
          </w:p>
        </w:tc>
      </w:tr>
      <w:tr w:rsidR="003E72FE" w:rsidTr="003E72FE">
        <w:trPr>
          <w:cantSplit/>
          <w:jc w:val="center"/>
        </w:trPr>
        <w:tc>
          <w:tcPr>
            <w:tcW w:w="1701"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566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1610"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bl>
    <w:p w:rsidR="003E72FE" w:rsidRDefault="003E72FE" w:rsidP="003E72FE">
      <w:pPr>
        <w:pStyle w:val="FootnoteText2"/>
      </w:pPr>
      <w:r>
        <w:t>* A reference to a mean level in the Table to clause 2 in this Standard is to the mean level of mercury in the prescribed number of sample units as described in clause 6 of this Standard.</w:t>
      </w:r>
    </w:p>
    <w:p w:rsidR="003E72FE" w:rsidRPr="003E72FE" w:rsidRDefault="003E72FE" w:rsidP="003E72FE">
      <w:pPr>
        <w:rPr>
          <w:sz w:val="20"/>
          <w:szCs w:val="20"/>
        </w:rPr>
      </w:pPr>
    </w:p>
    <w:p w:rsidR="003E72FE" w:rsidRPr="003E72FE" w:rsidRDefault="003E72FE" w:rsidP="003E72FE">
      <w:pPr>
        <w:pStyle w:val="Clause"/>
        <w:rPr>
          <w:i/>
        </w:rPr>
      </w:pPr>
      <w:r w:rsidRPr="003E72FE">
        <w:t>[18.6]</w:t>
      </w:r>
      <w:r w:rsidRPr="003E72FE">
        <w:tab/>
      </w:r>
      <w:r w:rsidRPr="003E72FE">
        <w:rPr>
          <w:i/>
        </w:rPr>
        <w:t xml:space="preserve">omitting the definition of </w:t>
      </w:r>
      <w:r w:rsidRPr="003E72FE">
        <w:rPr>
          <w:b/>
        </w:rPr>
        <w:t xml:space="preserve">food </w:t>
      </w:r>
      <w:r w:rsidRPr="003E72FE">
        <w:rPr>
          <w:i/>
        </w:rPr>
        <w:t xml:space="preserve">in subclause 3(1), substituting – </w:t>
      </w:r>
    </w:p>
    <w:p w:rsidR="003E72FE" w:rsidRPr="003E72FE" w:rsidRDefault="003E72FE" w:rsidP="003E72FE">
      <w:pPr>
        <w:rPr>
          <w:sz w:val="20"/>
          <w:szCs w:val="20"/>
        </w:rPr>
      </w:pPr>
    </w:p>
    <w:p w:rsidR="003E72FE" w:rsidRPr="003E72FE" w:rsidRDefault="003E72FE" w:rsidP="003E72FE">
      <w:pPr>
        <w:pStyle w:val="Definition"/>
        <w:rPr>
          <w:bCs/>
        </w:rPr>
      </w:pPr>
      <w:r w:rsidRPr="003E72FE">
        <w:rPr>
          <w:b/>
          <w:bCs/>
        </w:rPr>
        <w:t xml:space="preserve">food </w:t>
      </w:r>
      <w:r w:rsidRPr="003E72FE">
        <w:rPr>
          <w:bCs/>
        </w:rPr>
        <w:t>means the food or class of foods listed in Column 2 of the Table to this clause.</w:t>
      </w:r>
    </w:p>
    <w:p w:rsidR="003E72FE" w:rsidRPr="003E72FE" w:rsidRDefault="003E72FE" w:rsidP="003E72FE">
      <w:pPr>
        <w:rPr>
          <w:sz w:val="20"/>
          <w:szCs w:val="20"/>
        </w:rPr>
      </w:pPr>
    </w:p>
    <w:p w:rsidR="003E72FE" w:rsidRPr="003E72FE" w:rsidRDefault="003E72FE" w:rsidP="003E72FE">
      <w:pPr>
        <w:pStyle w:val="Clause"/>
        <w:rPr>
          <w:i/>
        </w:rPr>
      </w:pPr>
      <w:r w:rsidRPr="003E72FE">
        <w:t>[18.7]</w:t>
      </w:r>
      <w:r w:rsidRPr="003E72FE">
        <w:tab/>
      </w:r>
      <w:r w:rsidRPr="003E72FE">
        <w:rPr>
          <w:i/>
        </w:rPr>
        <w:t xml:space="preserve">omitting the definition of </w:t>
      </w:r>
      <w:r w:rsidRPr="003E72FE">
        <w:rPr>
          <w:b/>
        </w:rPr>
        <w:t xml:space="preserve">non-metal contaminant </w:t>
      </w:r>
      <w:r w:rsidRPr="003E72FE">
        <w:rPr>
          <w:i/>
        </w:rPr>
        <w:t xml:space="preserve">in subclause 3(1), substituting – </w:t>
      </w:r>
    </w:p>
    <w:p w:rsidR="003E72FE" w:rsidRPr="003E72FE" w:rsidRDefault="003E72FE" w:rsidP="003E72FE">
      <w:pPr>
        <w:rPr>
          <w:sz w:val="20"/>
          <w:szCs w:val="20"/>
        </w:rPr>
      </w:pPr>
    </w:p>
    <w:p w:rsidR="003E72FE" w:rsidRPr="003E72FE" w:rsidRDefault="003E72FE" w:rsidP="003E72FE">
      <w:pPr>
        <w:pStyle w:val="Definition"/>
      </w:pPr>
      <w:r w:rsidRPr="003E72FE">
        <w:rPr>
          <w:b/>
        </w:rPr>
        <w:t xml:space="preserve">non-metal contaminant </w:t>
      </w:r>
      <w:r w:rsidRPr="003E72FE">
        <w:t>means a substance listed in Column 1 of the Table to this clause.</w:t>
      </w:r>
    </w:p>
    <w:p w:rsidR="003E72FE" w:rsidRDefault="003E72FE" w:rsidP="003E72FE">
      <w:pPr>
        <w:rPr>
          <w:sz w:val="20"/>
          <w:szCs w:val="20"/>
        </w:rPr>
      </w:pPr>
      <w:r>
        <w:rPr>
          <w:sz w:val="20"/>
          <w:szCs w:val="20"/>
        </w:rPr>
        <w:br w:type="page"/>
      </w:r>
    </w:p>
    <w:p w:rsidR="003E72FE" w:rsidRDefault="003E72FE" w:rsidP="003E72FE">
      <w:pPr>
        <w:pStyle w:val="Clause"/>
      </w:pPr>
      <w:r w:rsidRPr="003E72FE">
        <w:lastRenderedPageBreak/>
        <w:t>[18.8]</w:t>
      </w:r>
      <w:r w:rsidRPr="003E72FE">
        <w:tab/>
      </w:r>
      <w:r w:rsidRPr="003E72FE">
        <w:rPr>
          <w:i/>
        </w:rPr>
        <w:t>omitting sub</w:t>
      </w:r>
      <w:r>
        <w:rPr>
          <w:i/>
        </w:rPr>
        <w:t xml:space="preserve">clauses 3(2) and 3(3), substituting </w:t>
      </w:r>
      <w:r>
        <w:t xml:space="preserve">– </w:t>
      </w:r>
    </w:p>
    <w:p w:rsidR="003E72FE" w:rsidRPr="003E72FE" w:rsidRDefault="003E72FE" w:rsidP="003E72FE">
      <w:pPr>
        <w:pStyle w:val="Clause"/>
      </w:pPr>
    </w:p>
    <w:p w:rsidR="003E72FE" w:rsidRPr="003E72FE" w:rsidRDefault="003E72FE" w:rsidP="003E72FE">
      <w:pPr>
        <w:pStyle w:val="Subclause"/>
      </w:pPr>
      <w:r w:rsidRPr="003E72FE">
        <w:t>(2)</w:t>
      </w:r>
      <w:r w:rsidRPr="003E72FE">
        <w:tab/>
        <w:t>The maximum levels for non-metal contaminants in food are listed in Column 3 of the Table to this clause.</w:t>
      </w:r>
    </w:p>
    <w:p w:rsidR="003E72FE" w:rsidRPr="003E72FE" w:rsidRDefault="003E72FE" w:rsidP="003E72FE">
      <w:pPr>
        <w:pStyle w:val="Subclause"/>
      </w:pPr>
    </w:p>
    <w:p w:rsidR="003E72FE" w:rsidRPr="003E72FE" w:rsidRDefault="003E72FE" w:rsidP="003E72FE">
      <w:pPr>
        <w:pStyle w:val="Subclause"/>
      </w:pPr>
      <w:r w:rsidRPr="003E72FE">
        <w:t>(3)</w:t>
      </w:r>
      <w:r w:rsidRPr="003E72FE">
        <w:tab/>
        <w:t>Where a mixed food contains a food or class of foods listed in Column 2 of the Table to this clause, the proportion of the non-metal contaminant permitted to be present in the mixed food (ML1) is calculated in accordance with the formula prescribed in subclause 1(6).</w:t>
      </w:r>
    </w:p>
    <w:p w:rsidR="003E72FE" w:rsidRPr="003E72FE" w:rsidRDefault="003E72FE" w:rsidP="003E72FE">
      <w:pPr>
        <w:rPr>
          <w:sz w:val="20"/>
          <w:szCs w:val="20"/>
        </w:rPr>
      </w:pPr>
    </w:p>
    <w:p w:rsidR="003E72FE" w:rsidRPr="003E72FE" w:rsidRDefault="003E72FE" w:rsidP="003E72FE">
      <w:pPr>
        <w:pStyle w:val="Clause"/>
        <w:rPr>
          <w:i/>
        </w:rPr>
      </w:pPr>
      <w:r w:rsidRPr="003E72FE">
        <w:t>[18.9]</w:t>
      </w:r>
      <w:r w:rsidRPr="003E72FE">
        <w:tab/>
      </w:r>
      <w:r w:rsidRPr="003E72FE">
        <w:rPr>
          <w:i/>
        </w:rPr>
        <w:t xml:space="preserve">omitting the </w:t>
      </w:r>
      <w:r w:rsidRPr="003E72FE">
        <w:t xml:space="preserve">Table to clause 3, </w:t>
      </w:r>
      <w:r w:rsidRPr="003E72FE">
        <w:rPr>
          <w:i/>
        </w:rPr>
        <w:t xml:space="preserve">substituting – </w:t>
      </w:r>
    </w:p>
    <w:p w:rsidR="003E72FE" w:rsidRPr="003E72FE" w:rsidRDefault="003E72FE" w:rsidP="003E72FE">
      <w:pPr>
        <w:rPr>
          <w:sz w:val="20"/>
          <w:szCs w:val="20"/>
        </w:rPr>
      </w:pPr>
    </w:p>
    <w:p w:rsidR="003E72FE" w:rsidRPr="003E72FE" w:rsidRDefault="003E72FE" w:rsidP="003E72FE">
      <w:pPr>
        <w:pStyle w:val="TableHeading"/>
      </w:pPr>
      <w:r w:rsidRPr="003E72FE">
        <w:t>Table to clause 3</w:t>
      </w:r>
    </w:p>
    <w:p w:rsidR="003E72FE" w:rsidRPr="003E72FE" w:rsidRDefault="003E72FE" w:rsidP="003E72FE">
      <w:pPr>
        <w:pStyle w:val="TableHeading"/>
      </w:pPr>
    </w:p>
    <w:tbl>
      <w:tblPr>
        <w:tblW w:w="9075" w:type="dxa"/>
        <w:jc w:val="center"/>
        <w:tblLayout w:type="fixed"/>
        <w:tblCellMar>
          <w:left w:w="79" w:type="dxa"/>
          <w:right w:w="79" w:type="dxa"/>
        </w:tblCellMar>
        <w:tblLook w:val="04A0" w:firstRow="1" w:lastRow="0" w:firstColumn="1" w:lastColumn="0" w:noHBand="0" w:noVBand="1"/>
      </w:tblPr>
      <w:tblGrid>
        <w:gridCol w:w="3120"/>
        <w:gridCol w:w="3119"/>
        <w:gridCol w:w="2836"/>
      </w:tblGrid>
      <w:tr w:rsidR="003E72FE" w:rsidTr="003E72FE">
        <w:trPr>
          <w:cantSplit/>
          <w:trHeight w:val="345"/>
          <w:jc w:val="center"/>
        </w:trPr>
        <w:tc>
          <w:tcPr>
            <w:tcW w:w="3120" w:type="dxa"/>
            <w:tcBorders>
              <w:top w:val="single" w:sz="4" w:space="0" w:color="auto"/>
              <w:left w:val="single" w:sz="4" w:space="0" w:color="auto"/>
              <w:bottom w:val="nil"/>
              <w:right w:val="single" w:sz="4" w:space="0" w:color="auto"/>
            </w:tcBorders>
            <w:hideMark/>
          </w:tcPr>
          <w:p w:rsidR="003E72FE" w:rsidRDefault="003E72FE">
            <w:pPr>
              <w:pStyle w:val="Table1"/>
              <w:spacing w:line="276" w:lineRule="auto"/>
            </w:pPr>
            <w:r>
              <w:t>Column 1</w:t>
            </w:r>
          </w:p>
        </w:tc>
        <w:tc>
          <w:tcPr>
            <w:tcW w:w="3119" w:type="dxa"/>
            <w:tcBorders>
              <w:top w:val="single" w:sz="4" w:space="0" w:color="auto"/>
              <w:left w:val="single" w:sz="4" w:space="0" w:color="auto"/>
              <w:bottom w:val="nil"/>
              <w:right w:val="single" w:sz="4" w:space="0" w:color="auto"/>
            </w:tcBorders>
            <w:hideMark/>
          </w:tcPr>
          <w:p w:rsidR="003E72FE" w:rsidRDefault="003E72FE">
            <w:pPr>
              <w:pStyle w:val="Table1"/>
              <w:spacing w:line="276" w:lineRule="auto"/>
            </w:pPr>
            <w:r>
              <w:t>Column 2</w:t>
            </w:r>
          </w:p>
        </w:tc>
        <w:tc>
          <w:tcPr>
            <w:tcW w:w="2836" w:type="dxa"/>
            <w:tcBorders>
              <w:top w:val="single" w:sz="4" w:space="0" w:color="auto"/>
              <w:left w:val="single" w:sz="4" w:space="0" w:color="auto"/>
              <w:bottom w:val="nil"/>
              <w:right w:val="single" w:sz="4" w:space="0" w:color="auto"/>
            </w:tcBorders>
            <w:hideMark/>
          </w:tcPr>
          <w:p w:rsidR="003E72FE" w:rsidRDefault="003E72FE">
            <w:pPr>
              <w:pStyle w:val="Table1"/>
              <w:spacing w:line="276" w:lineRule="auto"/>
            </w:pPr>
            <w:r>
              <w:t>Column 3</w:t>
            </w:r>
          </w:p>
        </w:tc>
      </w:tr>
      <w:tr w:rsidR="003E72FE" w:rsidTr="003E72FE">
        <w:trPr>
          <w:cantSplit/>
          <w:trHeight w:val="345"/>
          <w:jc w:val="center"/>
        </w:trPr>
        <w:tc>
          <w:tcPr>
            <w:tcW w:w="3120" w:type="dxa"/>
            <w:tcBorders>
              <w:top w:val="nil"/>
              <w:left w:val="single" w:sz="4" w:space="0" w:color="auto"/>
              <w:bottom w:val="single" w:sz="4" w:space="0" w:color="auto"/>
              <w:right w:val="single" w:sz="4" w:space="0" w:color="auto"/>
            </w:tcBorders>
            <w:hideMark/>
          </w:tcPr>
          <w:p w:rsidR="003E72FE" w:rsidRDefault="003E72FE">
            <w:pPr>
              <w:pStyle w:val="Table1"/>
              <w:spacing w:line="276" w:lineRule="auto"/>
            </w:pPr>
            <w:r>
              <w:t>Contaminant</w:t>
            </w:r>
          </w:p>
        </w:tc>
        <w:tc>
          <w:tcPr>
            <w:tcW w:w="3119" w:type="dxa"/>
            <w:tcBorders>
              <w:top w:val="nil"/>
              <w:left w:val="single" w:sz="4" w:space="0" w:color="auto"/>
              <w:bottom w:val="single" w:sz="4" w:space="0" w:color="auto"/>
              <w:right w:val="single" w:sz="4" w:space="0" w:color="auto"/>
            </w:tcBorders>
            <w:hideMark/>
          </w:tcPr>
          <w:p w:rsidR="003E72FE" w:rsidRDefault="003E72FE">
            <w:pPr>
              <w:pStyle w:val="Table1"/>
              <w:spacing w:line="276" w:lineRule="auto"/>
            </w:pPr>
            <w:r>
              <w:t>Food</w:t>
            </w:r>
          </w:p>
        </w:tc>
        <w:tc>
          <w:tcPr>
            <w:tcW w:w="2836" w:type="dxa"/>
            <w:tcBorders>
              <w:top w:val="nil"/>
              <w:left w:val="single" w:sz="4" w:space="0" w:color="auto"/>
              <w:bottom w:val="single" w:sz="4" w:space="0" w:color="auto"/>
              <w:right w:val="single" w:sz="4" w:space="0" w:color="auto"/>
            </w:tcBorders>
            <w:hideMark/>
          </w:tcPr>
          <w:p w:rsidR="003E72FE" w:rsidRDefault="003E72FE">
            <w:pPr>
              <w:pStyle w:val="Table1"/>
              <w:spacing w:line="276" w:lineRule="auto"/>
            </w:pPr>
            <w:r>
              <w:t xml:space="preserve">Maximum level </w:t>
            </w:r>
            <w:r>
              <w:br/>
              <w:t>(mg/kg unless specified otherwise)</w:t>
            </w:r>
          </w:p>
        </w:tc>
      </w:tr>
      <w:tr w:rsidR="003E72FE" w:rsidTr="003E72FE">
        <w:trPr>
          <w:cantSplit/>
          <w:jc w:val="center"/>
        </w:trPr>
        <w:tc>
          <w:tcPr>
            <w:tcW w:w="3120" w:type="dxa"/>
            <w:tcBorders>
              <w:top w:val="nil"/>
              <w:left w:val="single" w:sz="4" w:space="0" w:color="auto"/>
              <w:bottom w:val="nil"/>
              <w:right w:val="single" w:sz="4" w:space="0" w:color="auto"/>
            </w:tcBorders>
            <w:hideMark/>
          </w:tcPr>
          <w:p w:rsidR="003E72FE" w:rsidRDefault="003E72FE">
            <w:pPr>
              <w:pStyle w:val="Table2"/>
              <w:spacing w:line="276" w:lineRule="auto"/>
            </w:pPr>
            <w:r>
              <w:t>Acrylonitrile</w:t>
            </w: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pPr>
            <w:r>
              <w:t>All food</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0.02 </w:t>
            </w:r>
          </w:p>
        </w:tc>
      </w:tr>
      <w:tr w:rsidR="003E72FE" w:rsidTr="003E72FE">
        <w:trPr>
          <w:cantSplit/>
          <w:jc w:val="center"/>
        </w:trPr>
        <w:tc>
          <w:tcPr>
            <w:tcW w:w="312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311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836"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3120" w:type="dxa"/>
            <w:tcBorders>
              <w:top w:val="nil"/>
              <w:left w:val="single" w:sz="4" w:space="0" w:color="auto"/>
              <w:bottom w:val="nil"/>
              <w:right w:val="single" w:sz="4" w:space="0" w:color="auto"/>
            </w:tcBorders>
            <w:hideMark/>
          </w:tcPr>
          <w:p w:rsidR="003E72FE" w:rsidRDefault="003E72FE">
            <w:pPr>
              <w:pStyle w:val="Table2"/>
              <w:spacing w:line="276" w:lineRule="auto"/>
            </w:pPr>
            <w:r>
              <w:t>Aflatoxin</w:t>
            </w: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pPr>
            <w:r>
              <w:t xml:space="preserve">Peanuts </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0.015</w:t>
            </w:r>
          </w:p>
        </w:tc>
      </w:tr>
      <w:tr w:rsidR="003E72FE" w:rsidTr="003E72FE">
        <w:trPr>
          <w:cantSplit/>
          <w:jc w:val="center"/>
        </w:trPr>
        <w:tc>
          <w:tcPr>
            <w:tcW w:w="3120" w:type="dxa"/>
            <w:tcBorders>
              <w:top w:val="nil"/>
              <w:left w:val="single" w:sz="4" w:space="0" w:color="auto"/>
              <w:bottom w:val="nil"/>
              <w:right w:val="single" w:sz="4" w:space="0" w:color="auto"/>
            </w:tcBorders>
          </w:tcPr>
          <w:p w:rsidR="003E72FE" w:rsidRDefault="003E72FE">
            <w:pPr>
              <w:pStyle w:val="Table2"/>
              <w:spacing w:line="276" w:lineRule="auto"/>
            </w:pP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pPr>
            <w:r>
              <w:t>Tree nuts (as specified in Schedule 4 to Standard 1.4.2</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0.015</w:t>
            </w:r>
          </w:p>
        </w:tc>
      </w:tr>
      <w:tr w:rsidR="003E72FE" w:rsidTr="003E72FE">
        <w:trPr>
          <w:cantSplit/>
          <w:jc w:val="center"/>
        </w:trPr>
        <w:tc>
          <w:tcPr>
            <w:tcW w:w="3120" w:type="dxa"/>
            <w:tcBorders>
              <w:top w:val="nil"/>
              <w:left w:val="single" w:sz="4" w:space="0" w:color="auto"/>
              <w:bottom w:val="single" w:sz="4" w:space="0" w:color="auto"/>
              <w:right w:val="single" w:sz="4" w:space="0" w:color="auto"/>
            </w:tcBorders>
          </w:tcPr>
          <w:p w:rsidR="003E72FE" w:rsidRDefault="003E72FE">
            <w:pPr>
              <w:tabs>
                <w:tab w:val="left" w:pos="851"/>
              </w:tabs>
              <w:spacing w:line="276" w:lineRule="auto"/>
              <w:rPr>
                <w:bCs/>
              </w:rPr>
            </w:pPr>
          </w:p>
        </w:tc>
        <w:tc>
          <w:tcPr>
            <w:tcW w:w="3119" w:type="dxa"/>
            <w:tcBorders>
              <w:top w:val="nil"/>
              <w:left w:val="single" w:sz="4" w:space="0" w:color="auto"/>
              <w:bottom w:val="single" w:sz="4" w:space="0" w:color="auto"/>
              <w:right w:val="single" w:sz="4" w:space="0" w:color="auto"/>
            </w:tcBorders>
          </w:tcPr>
          <w:p w:rsidR="003E72FE" w:rsidRDefault="003E72FE">
            <w:pPr>
              <w:pStyle w:val="Table2"/>
              <w:spacing w:line="276" w:lineRule="auto"/>
              <w:rPr>
                <w:b/>
              </w:rPr>
            </w:pPr>
          </w:p>
        </w:tc>
        <w:tc>
          <w:tcPr>
            <w:tcW w:w="2836" w:type="dxa"/>
            <w:tcBorders>
              <w:top w:val="nil"/>
              <w:left w:val="single" w:sz="4" w:space="0" w:color="auto"/>
              <w:bottom w:val="single" w:sz="4" w:space="0" w:color="auto"/>
              <w:right w:val="single" w:sz="4" w:space="0" w:color="auto"/>
            </w:tcBorders>
          </w:tcPr>
          <w:p w:rsidR="003E72FE" w:rsidRDefault="003E72FE">
            <w:pPr>
              <w:tabs>
                <w:tab w:val="left" w:pos="851"/>
              </w:tabs>
              <w:spacing w:line="276" w:lineRule="auto"/>
              <w:jc w:val="center"/>
              <w:rPr>
                <w:b/>
                <w:bCs/>
              </w:rPr>
            </w:pPr>
          </w:p>
        </w:tc>
      </w:tr>
      <w:tr w:rsidR="003E72FE" w:rsidTr="003E72FE">
        <w:trPr>
          <w:cantSplit/>
          <w:jc w:val="center"/>
        </w:trPr>
        <w:tc>
          <w:tcPr>
            <w:tcW w:w="3120" w:type="dxa"/>
            <w:tcBorders>
              <w:top w:val="nil"/>
              <w:left w:val="single" w:sz="4" w:space="0" w:color="auto"/>
              <w:bottom w:val="nil"/>
              <w:right w:val="single" w:sz="4" w:space="0" w:color="auto"/>
            </w:tcBorders>
            <w:hideMark/>
          </w:tcPr>
          <w:p w:rsidR="003E72FE" w:rsidRDefault="003E72FE">
            <w:pPr>
              <w:pStyle w:val="Table2"/>
              <w:spacing w:line="276" w:lineRule="auto"/>
            </w:pPr>
            <w:r>
              <w:t>Amnesic shellfish poisons (Domoic acid equivalent)</w:t>
            </w: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pPr>
            <w:r>
              <w:t>Bivalve molluscs</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20 </w:t>
            </w:r>
          </w:p>
        </w:tc>
      </w:tr>
      <w:tr w:rsidR="003E72FE" w:rsidTr="003E72FE">
        <w:trPr>
          <w:cantSplit/>
          <w:jc w:val="center"/>
        </w:trPr>
        <w:tc>
          <w:tcPr>
            <w:tcW w:w="312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3119" w:type="dxa"/>
            <w:tcBorders>
              <w:top w:val="nil"/>
              <w:left w:val="single" w:sz="4" w:space="0" w:color="auto"/>
              <w:bottom w:val="single" w:sz="4" w:space="0" w:color="auto"/>
              <w:right w:val="single" w:sz="4" w:space="0" w:color="auto"/>
            </w:tcBorders>
          </w:tcPr>
          <w:p w:rsidR="003E72FE" w:rsidRDefault="003E72FE">
            <w:pPr>
              <w:pStyle w:val="Table2"/>
              <w:spacing w:line="276" w:lineRule="auto"/>
              <w:rPr>
                <w:b/>
              </w:rPr>
            </w:pPr>
          </w:p>
        </w:tc>
        <w:tc>
          <w:tcPr>
            <w:tcW w:w="2836"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rPr>
                <w:b/>
              </w:rPr>
            </w:pPr>
          </w:p>
        </w:tc>
      </w:tr>
      <w:tr w:rsidR="003E72FE" w:rsidTr="003E72FE">
        <w:trPr>
          <w:cantSplit/>
          <w:jc w:val="center"/>
        </w:trPr>
        <w:tc>
          <w:tcPr>
            <w:tcW w:w="3120" w:type="dxa"/>
            <w:tcBorders>
              <w:top w:val="nil"/>
              <w:left w:val="single" w:sz="4" w:space="0" w:color="auto"/>
              <w:bottom w:val="nil"/>
              <w:right w:val="single" w:sz="4" w:space="0" w:color="auto"/>
            </w:tcBorders>
            <w:hideMark/>
          </w:tcPr>
          <w:p w:rsidR="003E72FE" w:rsidRDefault="003E72FE">
            <w:pPr>
              <w:pStyle w:val="Table2"/>
              <w:spacing w:line="276" w:lineRule="auto"/>
            </w:pPr>
            <w:r>
              <w:t>3-chloro-1,2-propanediol</w:t>
            </w: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rPr>
                <w:b/>
              </w:rPr>
            </w:pPr>
            <w:r>
              <w:t>Soy sauce and oyster sauce</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0.2 </w:t>
            </w:r>
          </w:p>
          <w:p w:rsidR="003E72FE" w:rsidRDefault="003E72FE">
            <w:pPr>
              <w:pStyle w:val="Table2"/>
              <w:spacing w:line="276" w:lineRule="auto"/>
              <w:jc w:val="center"/>
            </w:pPr>
            <w:r>
              <w:t>calculated on a 40% dry matter content</w:t>
            </w:r>
          </w:p>
        </w:tc>
      </w:tr>
      <w:tr w:rsidR="003E72FE" w:rsidTr="003E72FE">
        <w:trPr>
          <w:cantSplit/>
          <w:jc w:val="center"/>
        </w:trPr>
        <w:tc>
          <w:tcPr>
            <w:tcW w:w="312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311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836"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3120" w:type="dxa"/>
            <w:tcBorders>
              <w:top w:val="nil"/>
              <w:left w:val="single" w:sz="4" w:space="0" w:color="auto"/>
              <w:bottom w:val="nil"/>
              <w:right w:val="single" w:sz="4" w:space="0" w:color="auto"/>
            </w:tcBorders>
            <w:hideMark/>
          </w:tcPr>
          <w:p w:rsidR="003E72FE" w:rsidRDefault="003E72FE">
            <w:pPr>
              <w:pStyle w:val="Table2"/>
              <w:spacing w:line="276" w:lineRule="auto"/>
            </w:pPr>
            <w:r>
              <w:t>Diarrhetic shellfish poisons (Okadaic acid equivalent)</w:t>
            </w: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pPr>
            <w:r>
              <w:t>Bivalve molluscs</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0.2 </w:t>
            </w:r>
          </w:p>
        </w:tc>
      </w:tr>
      <w:tr w:rsidR="003E72FE" w:rsidTr="003E72FE">
        <w:trPr>
          <w:cantSplit/>
          <w:jc w:val="center"/>
        </w:trPr>
        <w:tc>
          <w:tcPr>
            <w:tcW w:w="312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3119" w:type="dxa"/>
            <w:tcBorders>
              <w:top w:val="nil"/>
              <w:left w:val="single" w:sz="4" w:space="0" w:color="auto"/>
              <w:bottom w:val="single" w:sz="4" w:space="0" w:color="auto"/>
              <w:right w:val="single" w:sz="4" w:space="0" w:color="auto"/>
            </w:tcBorders>
          </w:tcPr>
          <w:p w:rsidR="003E72FE" w:rsidRDefault="003E72FE">
            <w:pPr>
              <w:pStyle w:val="Table2"/>
              <w:spacing w:line="276" w:lineRule="auto"/>
              <w:rPr>
                <w:b/>
              </w:rPr>
            </w:pPr>
          </w:p>
        </w:tc>
        <w:tc>
          <w:tcPr>
            <w:tcW w:w="2836"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3120" w:type="dxa"/>
            <w:tcBorders>
              <w:top w:val="nil"/>
              <w:left w:val="single" w:sz="4" w:space="0" w:color="auto"/>
              <w:bottom w:val="nil"/>
              <w:right w:val="single" w:sz="4" w:space="0" w:color="auto"/>
            </w:tcBorders>
            <w:hideMark/>
          </w:tcPr>
          <w:p w:rsidR="003E72FE" w:rsidRDefault="003E72FE">
            <w:pPr>
              <w:pStyle w:val="Table2"/>
              <w:spacing w:line="276" w:lineRule="auto"/>
            </w:pPr>
            <w:r>
              <w:t>1,3-dichloro-2-propanol</w:t>
            </w: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rPr>
                <w:b/>
              </w:rPr>
            </w:pPr>
            <w:r>
              <w:t>Soy sauce and oyster sauce</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0.005 </w:t>
            </w:r>
          </w:p>
          <w:p w:rsidR="003E72FE" w:rsidRDefault="003E72FE">
            <w:pPr>
              <w:pStyle w:val="Table2"/>
              <w:spacing w:line="276" w:lineRule="auto"/>
              <w:jc w:val="center"/>
            </w:pPr>
            <w:r>
              <w:t>calculated on a 40% dry matter content</w:t>
            </w:r>
          </w:p>
        </w:tc>
      </w:tr>
      <w:tr w:rsidR="003E72FE" w:rsidTr="003E72FE">
        <w:trPr>
          <w:cantSplit/>
          <w:jc w:val="center"/>
        </w:trPr>
        <w:tc>
          <w:tcPr>
            <w:tcW w:w="312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3119" w:type="dxa"/>
            <w:tcBorders>
              <w:top w:val="nil"/>
              <w:left w:val="single" w:sz="4" w:space="0" w:color="auto"/>
              <w:bottom w:val="single" w:sz="4" w:space="0" w:color="auto"/>
              <w:right w:val="single" w:sz="4" w:space="0" w:color="auto"/>
            </w:tcBorders>
          </w:tcPr>
          <w:p w:rsidR="003E72FE" w:rsidRDefault="003E72FE">
            <w:pPr>
              <w:pStyle w:val="Table2"/>
              <w:spacing w:line="276" w:lineRule="auto"/>
              <w:rPr>
                <w:b/>
              </w:rPr>
            </w:pPr>
          </w:p>
        </w:tc>
        <w:tc>
          <w:tcPr>
            <w:tcW w:w="2836"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3120" w:type="dxa"/>
            <w:tcBorders>
              <w:top w:val="nil"/>
              <w:left w:val="single" w:sz="4" w:space="0" w:color="auto"/>
              <w:bottom w:val="nil"/>
              <w:right w:val="single" w:sz="4" w:space="0" w:color="auto"/>
            </w:tcBorders>
            <w:hideMark/>
          </w:tcPr>
          <w:p w:rsidR="003E72FE" w:rsidRDefault="003E72FE">
            <w:pPr>
              <w:pStyle w:val="Table2"/>
              <w:spacing w:line="276" w:lineRule="auto"/>
            </w:pPr>
            <w:r>
              <w:t>Ergot</w:t>
            </w: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pPr>
            <w:r>
              <w:t>Cereal grains</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500 </w:t>
            </w:r>
          </w:p>
        </w:tc>
      </w:tr>
      <w:tr w:rsidR="003E72FE" w:rsidTr="003E72FE">
        <w:trPr>
          <w:cantSplit/>
          <w:jc w:val="center"/>
        </w:trPr>
        <w:tc>
          <w:tcPr>
            <w:tcW w:w="312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311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836"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3120" w:type="dxa"/>
            <w:tcBorders>
              <w:top w:val="nil"/>
              <w:left w:val="single" w:sz="4" w:space="0" w:color="auto"/>
              <w:bottom w:val="nil"/>
              <w:right w:val="single" w:sz="4" w:space="0" w:color="auto"/>
            </w:tcBorders>
            <w:hideMark/>
          </w:tcPr>
          <w:p w:rsidR="003E72FE" w:rsidRDefault="003E72FE">
            <w:pPr>
              <w:pStyle w:val="Table2"/>
              <w:spacing w:line="276" w:lineRule="auto"/>
            </w:pPr>
            <w:r>
              <w:t>Methanol</w:t>
            </w: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pPr>
            <w:r>
              <w:t>Red wine, white wine and fortified wine</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3 g of methanol per litre of ethanol</w:t>
            </w:r>
          </w:p>
        </w:tc>
      </w:tr>
      <w:tr w:rsidR="003E72FE" w:rsidTr="003E72FE">
        <w:trPr>
          <w:cantSplit/>
          <w:jc w:val="center"/>
        </w:trPr>
        <w:tc>
          <w:tcPr>
            <w:tcW w:w="3120" w:type="dxa"/>
            <w:tcBorders>
              <w:top w:val="nil"/>
              <w:left w:val="single" w:sz="4" w:space="0" w:color="auto"/>
              <w:bottom w:val="nil"/>
              <w:right w:val="single" w:sz="4" w:space="0" w:color="auto"/>
            </w:tcBorders>
          </w:tcPr>
          <w:p w:rsidR="003E72FE" w:rsidRDefault="003E72FE">
            <w:pPr>
              <w:pStyle w:val="Table2"/>
              <w:spacing w:line="276" w:lineRule="auto"/>
            </w:pP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pPr>
            <w:r>
              <w:t>Whisky, Rum, Gin and Vodka</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0.4 g of methanol per litre of ethanol</w:t>
            </w:r>
          </w:p>
        </w:tc>
      </w:tr>
      <w:tr w:rsidR="003E72FE" w:rsidTr="003E72FE">
        <w:trPr>
          <w:cantSplit/>
          <w:jc w:val="center"/>
        </w:trPr>
        <w:tc>
          <w:tcPr>
            <w:tcW w:w="3120" w:type="dxa"/>
            <w:tcBorders>
              <w:top w:val="nil"/>
              <w:left w:val="single" w:sz="4" w:space="0" w:color="auto"/>
              <w:bottom w:val="nil"/>
              <w:right w:val="single" w:sz="4" w:space="0" w:color="auto"/>
            </w:tcBorders>
          </w:tcPr>
          <w:p w:rsidR="003E72FE" w:rsidRDefault="003E72FE">
            <w:pPr>
              <w:pStyle w:val="Table2"/>
              <w:spacing w:line="276" w:lineRule="auto"/>
            </w:pP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pPr>
            <w:r>
              <w:t>Other spirits, fruit wine, vegetable wine and mead</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8 g of methanol per litre of ethanol</w:t>
            </w:r>
          </w:p>
        </w:tc>
      </w:tr>
      <w:tr w:rsidR="003E72FE" w:rsidTr="003E72FE">
        <w:trPr>
          <w:cantSplit/>
          <w:jc w:val="center"/>
        </w:trPr>
        <w:tc>
          <w:tcPr>
            <w:tcW w:w="312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311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836"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3120" w:type="dxa"/>
            <w:tcBorders>
              <w:top w:val="nil"/>
              <w:left w:val="single" w:sz="4" w:space="0" w:color="auto"/>
              <w:bottom w:val="nil"/>
              <w:right w:val="single" w:sz="4" w:space="0" w:color="auto"/>
            </w:tcBorders>
            <w:hideMark/>
          </w:tcPr>
          <w:p w:rsidR="003E72FE" w:rsidRDefault="003E72FE">
            <w:pPr>
              <w:pStyle w:val="Table2"/>
              <w:spacing w:line="276" w:lineRule="auto"/>
            </w:pPr>
            <w:r>
              <w:t>Neurotoxic shellfish poisons</w:t>
            </w: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rPr>
                <w:b/>
              </w:rPr>
            </w:pPr>
            <w:r>
              <w:t>Bivalve molluscs</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rPr>
                <w:b/>
              </w:rPr>
            </w:pPr>
            <w:r>
              <w:t>200 MU/kg</w:t>
            </w:r>
          </w:p>
        </w:tc>
      </w:tr>
      <w:tr w:rsidR="003E72FE" w:rsidTr="003E72FE">
        <w:trPr>
          <w:cantSplit/>
          <w:jc w:val="center"/>
        </w:trPr>
        <w:tc>
          <w:tcPr>
            <w:tcW w:w="312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3119" w:type="dxa"/>
            <w:tcBorders>
              <w:top w:val="nil"/>
              <w:left w:val="single" w:sz="4" w:space="0" w:color="auto"/>
              <w:bottom w:val="single" w:sz="4" w:space="0" w:color="auto"/>
              <w:right w:val="single" w:sz="4" w:space="0" w:color="auto"/>
            </w:tcBorders>
          </w:tcPr>
          <w:p w:rsidR="003E72FE" w:rsidRDefault="003E72FE">
            <w:pPr>
              <w:pStyle w:val="Table2"/>
              <w:spacing w:line="276" w:lineRule="auto"/>
              <w:rPr>
                <w:b/>
              </w:rPr>
            </w:pPr>
          </w:p>
        </w:tc>
        <w:tc>
          <w:tcPr>
            <w:tcW w:w="2836"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rPr>
                <w:b/>
              </w:rPr>
            </w:pPr>
          </w:p>
        </w:tc>
      </w:tr>
      <w:tr w:rsidR="003E72FE" w:rsidTr="003E72FE">
        <w:trPr>
          <w:cantSplit/>
          <w:jc w:val="center"/>
        </w:trPr>
        <w:tc>
          <w:tcPr>
            <w:tcW w:w="3120" w:type="dxa"/>
            <w:tcBorders>
              <w:top w:val="nil"/>
              <w:left w:val="single" w:sz="4" w:space="0" w:color="auto"/>
              <w:bottom w:val="nil"/>
              <w:right w:val="single" w:sz="4" w:space="0" w:color="auto"/>
            </w:tcBorders>
            <w:hideMark/>
          </w:tcPr>
          <w:p w:rsidR="003E72FE" w:rsidRDefault="003E72FE">
            <w:pPr>
              <w:pStyle w:val="Table2"/>
              <w:spacing w:line="276" w:lineRule="auto"/>
            </w:pPr>
            <w:r>
              <w:t>Paralytic shellfish poisons (Saxitoxin equivalent)</w:t>
            </w: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pPr>
            <w:r>
              <w:t>Bivalve molluscs</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0.8</w:t>
            </w:r>
          </w:p>
        </w:tc>
      </w:tr>
      <w:tr w:rsidR="003E72FE" w:rsidTr="003E72FE">
        <w:trPr>
          <w:cantSplit/>
          <w:jc w:val="center"/>
        </w:trPr>
        <w:tc>
          <w:tcPr>
            <w:tcW w:w="312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311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836"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3120" w:type="dxa"/>
            <w:tcBorders>
              <w:top w:val="nil"/>
              <w:left w:val="single" w:sz="4" w:space="0" w:color="auto"/>
              <w:bottom w:val="nil"/>
              <w:right w:val="single" w:sz="4" w:space="0" w:color="auto"/>
            </w:tcBorders>
            <w:hideMark/>
          </w:tcPr>
          <w:p w:rsidR="003E72FE" w:rsidRDefault="003E72FE">
            <w:pPr>
              <w:pStyle w:val="Table2"/>
              <w:spacing w:line="276" w:lineRule="auto"/>
            </w:pPr>
            <w:r>
              <w:t>Phomopsins</w:t>
            </w: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pPr>
            <w:r>
              <w:t>Lupin seeds and the products of lupin seeds</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0.005</w:t>
            </w:r>
          </w:p>
        </w:tc>
      </w:tr>
      <w:tr w:rsidR="003E72FE" w:rsidTr="003E72FE">
        <w:trPr>
          <w:cantSplit/>
          <w:jc w:val="center"/>
        </w:trPr>
        <w:tc>
          <w:tcPr>
            <w:tcW w:w="312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311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836"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3120" w:type="dxa"/>
            <w:tcBorders>
              <w:top w:val="nil"/>
              <w:left w:val="single" w:sz="4" w:space="0" w:color="auto"/>
              <w:bottom w:val="nil"/>
              <w:right w:val="single" w:sz="4" w:space="0" w:color="auto"/>
            </w:tcBorders>
            <w:hideMark/>
          </w:tcPr>
          <w:p w:rsidR="003E72FE" w:rsidRDefault="003E72FE">
            <w:pPr>
              <w:pStyle w:val="Table2"/>
              <w:spacing w:line="276" w:lineRule="auto"/>
            </w:pPr>
            <w:r>
              <w:t>Polychlorinated biphenyls, total</w:t>
            </w: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rPr>
                <w:b/>
              </w:rPr>
            </w:pPr>
            <w:r>
              <w:t>Mammalian fat</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rPr>
                <w:b/>
              </w:rPr>
            </w:pPr>
            <w:r>
              <w:t>0.2</w:t>
            </w:r>
          </w:p>
        </w:tc>
      </w:tr>
      <w:tr w:rsidR="003E72FE" w:rsidTr="003E72FE">
        <w:trPr>
          <w:cantSplit/>
          <w:jc w:val="center"/>
        </w:trPr>
        <w:tc>
          <w:tcPr>
            <w:tcW w:w="3120" w:type="dxa"/>
            <w:tcBorders>
              <w:top w:val="nil"/>
              <w:left w:val="single" w:sz="4" w:space="0" w:color="auto"/>
              <w:bottom w:val="nil"/>
              <w:right w:val="single" w:sz="4" w:space="0" w:color="auto"/>
            </w:tcBorders>
          </w:tcPr>
          <w:p w:rsidR="003E72FE" w:rsidRDefault="003E72FE">
            <w:pPr>
              <w:pStyle w:val="Table2"/>
              <w:spacing w:line="276" w:lineRule="auto"/>
            </w:pP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pPr>
            <w:r>
              <w:t>Poultry fat</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0.2</w:t>
            </w:r>
          </w:p>
        </w:tc>
      </w:tr>
      <w:tr w:rsidR="003E72FE" w:rsidTr="003E72FE">
        <w:trPr>
          <w:cantSplit/>
          <w:jc w:val="center"/>
        </w:trPr>
        <w:tc>
          <w:tcPr>
            <w:tcW w:w="3120" w:type="dxa"/>
            <w:tcBorders>
              <w:top w:val="nil"/>
              <w:left w:val="single" w:sz="4" w:space="0" w:color="auto"/>
              <w:bottom w:val="nil"/>
              <w:right w:val="single" w:sz="4" w:space="0" w:color="auto"/>
            </w:tcBorders>
          </w:tcPr>
          <w:p w:rsidR="003E72FE" w:rsidRDefault="003E72FE">
            <w:pPr>
              <w:pStyle w:val="Table2"/>
              <w:spacing w:line="276" w:lineRule="auto"/>
            </w:pP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pPr>
            <w:r>
              <w:t>Milk and milk products</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0.2</w:t>
            </w:r>
          </w:p>
        </w:tc>
      </w:tr>
      <w:tr w:rsidR="003E72FE" w:rsidTr="003E72FE">
        <w:trPr>
          <w:cantSplit/>
          <w:jc w:val="center"/>
        </w:trPr>
        <w:tc>
          <w:tcPr>
            <w:tcW w:w="3120" w:type="dxa"/>
            <w:tcBorders>
              <w:top w:val="nil"/>
              <w:left w:val="single" w:sz="4" w:space="0" w:color="auto"/>
              <w:bottom w:val="nil"/>
              <w:right w:val="single" w:sz="4" w:space="0" w:color="auto"/>
            </w:tcBorders>
          </w:tcPr>
          <w:p w:rsidR="003E72FE" w:rsidRDefault="003E72FE">
            <w:pPr>
              <w:pStyle w:val="Table2"/>
              <w:spacing w:line="276" w:lineRule="auto"/>
            </w:pP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pPr>
            <w:r>
              <w:t>Eggs</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0.2</w:t>
            </w:r>
          </w:p>
        </w:tc>
      </w:tr>
      <w:tr w:rsidR="003E72FE" w:rsidTr="003E72FE">
        <w:trPr>
          <w:cantSplit/>
          <w:jc w:val="center"/>
        </w:trPr>
        <w:tc>
          <w:tcPr>
            <w:tcW w:w="3120" w:type="dxa"/>
            <w:tcBorders>
              <w:top w:val="nil"/>
              <w:left w:val="single" w:sz="4" w:space="0" w:color="auto"/>
              <w:bottom w:val="nil"/>
              <w:right w:val="single" w:sz="4" w:space="0" w:color="auto"/>
            </w:tcBorders>
          </w:tcPr>
          <w:p w:rsidR="003E72FE" w:rsidRDefault="003E72FE">
            <w:pPr>
              <w:pStyle w:val="Table2"/>
              <w:spacing w:line="276" w:lineRule="auto"/>
            </w:pPr>
          </w:p>
        </w:tc>
        <w:tc>
          <w:tcPr>
            <w:tcW w:w="3119" w:type="dxa"/>
            <w:tcBorders>
              <w:top w:val="nil"/>
              <w:left w:val="single" w:sz="4" w:space="0" w:color="auto"/>
              <w:bottom w:val="nil"/>
              <w:right w:val="single" w:sz="4" w:space="0" w:color="auto"/>
            </w:tcBorders>
            <w:hideMark/>
          </w:tcPr>
          <w:p w:rsidR="003E72FE" w:rsidRDefault="003E72FE">
            <w:pPr>
              <w:pStyle w:val="Table2"/>
              <w:spacing w:line="276" w:lineRule="auto"/>
            </w:pPr>
            <w:r>
              <w:t>Fish</w:t>
            </w:r>
          </w:p>
        </w:tc>
        <w:tc>
          <w:tcPr>
            <w:tcW w:w="2836"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0.5</w:t>
            </w:r>
          </w:p>
        </w:tc>
      </w:tr>
      <w:tr w:rsidR="003E72FE" w:rsidTr="003E72FE">
        <w:trPr>
          <w:cantSplit/>
          <w:jc w:val="center"/>
        </w:trPr>
        <w:tc>
          <w:tcPr>
            <w:tcW w:w="312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311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836"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3120" w:type="dxa"/>
            <w:tcBorders>
              <w:top w:val="single" w:sz="4" w:space="0" w:color="auto"/>
              <w:left w:val="single" w:sz="4" w:space="0" w:color="auto"/>
              <w:bottom w:val="nil"/>
              <w:right w:val="single" w:sz="4" w:space="0" w:color="auto"/>
            </w:tcBorders>
            <w:hideMark/>
          </w:tcPr>
          <w:p w:rsidR="003E72FE" w:rsidRDefault="003E72FE">
            <w:pPr>
              <w:pStyle w:val="Table2"/>
              <w:spacing w:line="276" w:lineRule="auto"/>
            </w:pPr>
            <w:r>
              <w:t>Vinyl chloride</w:t>
            </w:r>
          </w:p>
        </w:tc>
        <w:tc>
          <w:tcPr>
            <w:tcW w:w="3119" w:type="dxa"/>
            <w:tcBorders>
              <w:top w:val="single" w:sz="4" w:space="0" w:color="auto"/>
              <w:left w:val="single" w:sz="4" w:space="0" w:color="auto"/>
              <w:bottom w:val="nil"/>
              <w:right w:val="single" w:sz="4" w:space="0" w:color="auto"/>
            </w:tcBorders>
            <w:hideMark/>
          </w:tcPr>
          <w:p w:rsidR="003E72FE" w:rsidRDefault="003E72FE">
            <w:pPr>
              <w:pStyle w:val="Table2"/>
              <w:spacing w:line="276" w:lineRule="auto"/>
            </w:pPr>
            <w:r>
              <w:t>All food</w:t>
            </w:r>
          </w:p>
        </w:tc>
        <w:tc>
          <w:tcPr>
            <w:tcW w:w="2836" w:type="dxa"/>
            <w:tcBorders>
              <w:top w:val="single" w:sz="4" w:space="0" w:color="auto"/>
              <w:left w:val="single" w:sz="4" w:space="0" w:color="auto"/>
              <w:bottom w:val="nil"/>
              <w:right w:val="single" w:sz="4" w:space="0" w:color="auto"/>
            </w:tcBorders>
            <w:hideMark/>
          </w:tcPr>
          <w:p w:rsidR="003E72FE" w:rsidRDefault="003E72FE">
            <w:pPr>
              <w:pStyle w:val="Table2"/>
              <w:spacing w:line="276" w:lineRule="auto"/>
              <w:jc w:val="center"/>
            </w:pPr>
            <w:r>
              <w:t>0.01</w:t>
            </w:r>
          </w:p>
        </w:tc>
      </w:tr>
      <w:tr w:rsidR="003E72FE" w:rsidTr="003E72FE">
        <w:trPr>
          <w:cantSplit/>
          <w:jc w:val="center"/>
        </w:trPr>
        <w:tc>
          <w:tcPr>
            <w:tcW w:w="3120"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311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836"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bl>
    <w:p w:rsidR="003E72FE" w:rsidRDefault="003E72FE" w:rsidP="003E72FE">
      <w:pPr>
        <w:rPr>
          <w:sz w:val="20"/>
          <w:szCs w:val="20"/>
        </w:rPr>
      </w:pPr>
    </w:p>
    <w:p w:rsidR="003E72FE" w:rsidRPr="003E72FE" w:rsidRDefault="003E72FE" w:rsidP="003E72FE">
      <w:pPr>
        <w:pStyle w:val="Clause"/>
        <w:rPr>
          <w:i/>
          <w:lang w:bidi="ar-SA"/>
        </w:rPr>
      </w:pPr>
      <w:r>
        <w:t>[</w:t>
      </w:r>
      <w:r w:rsidRPr="003E72FE">
        <w:t>18.10]</w:t>
      </w:r>
      <w:r w:rsidRPr="003E72FE">
        <w:tab/>
      </w:r>
      <w:r w:rsidRPr="003E72FE">
        <w:rPr>
          <w:i/>
        </w:rPr>
        <w:t xml:space="preserve">omitting the definition of </w:t>
      </w:r>
      <w:r w:rsidRPr="003E72FE">
        <w:rPr>
          <w:b/>
        </w:rPr>
        <w:t xml:space="preserve">food </w:t>
      </w:r>
      <w:r w:rsidRPr="003E72FE">
        <w:rPr>
          <w:i/>
        </w:rPr>
        <w:t xml:space="preserve">in subclause 4(1), substituting – </w:t>
      </w:r>
    </w:p>
    <w:p w:rsidR="003E72FE" w:rsidRPr="003E72FE" w:rsidRDefault="003E72FE" w:rsidP="003E72FE">
      <w:pPr>
        <w:rPr>
          <w:sz w:val="20"/>
          <w:szCs w:val="20"/>
        </w:rPr>
      </w:pPr>
    </w:p>
    <w:p w:rsidR="003E72FE" w:rsidRPr="003E72FE" w:rsidRDefault="003E72FE" w:rsidP="003E72FE">
      <w:pPr>
        <w:pStyle w:val="Definition"/>
        <w:rPr>
          <w:bCs/>
        </w:rPr>
      </w:pPr>
      <w:r w:rsidRPr="003E72FE">
        <w:rPr>
          <w:b/>
          <w:bCs/>
        </w:rPr>
        <w:t xml:space="preserve">food </w:t>
      </w:r>
      <w:r w:rsidRPr="003E72FE">
        <w:rPr>
          <w:bCs/>
        </w:rPr>
        <w:t>means the food or class of foods listed in Column 2 of the Table to this clause.</w:t>
      </w:r>
    </w:p>
    <w:p w:rsidR="003E72FE" w:rsidRPr="003E72FE" w:rsidRDefault="003E72FE" w:rsidP="003E72FE">
      <w:pPr>
        <w:pStyle w:val="Clause"/>
      </w:pPr>
    </w:p>
    <w:p w:rsidR="003E72FE" w:rsidRPr="003E72FE" w:rsidRDefault="003E72FE" w:rsidP="003E72FE">
      <w:pPr>
        <w:pStyle w:val="Clause"/>
        <w:rPr>
          <w:i/>
        </w:rPr>
      </w:pPr>
      <w:r w:rsidRPr="003E72FE">
        <w:t>[18.11]</w:t>
      </w:r>
      <w:r w:rsidRPr="003E72FE">
        <w:tab/>
      </w:r>
      <w:r w:rsidRPr="003E72FE">
        <w:rPr>
          <w:i/>
        </w:rPr>
        <w:t xml:space="preserve">omitting </w:t>
      </w:r>
      <w:r w:rsidRPr="003E72FE">
        <w:t xml:space="preserve">in bold type </w:t>
      </w:r>
      <w:r w:rsidRPr="003E72FE">
        <w:rPr>
          <w:i/>
        </w:rPr>
        <w:t xml:space="preserve">from the definition of </w:t>
      </w:r>
      <w:r w:rsidRPr="003E72FE">
        <w:rPr>
          <w:b/>
        </w:rPr>
        <w:t xml:space="preserve">natural toxicant from the addition of a flavouring substance </w:t>
      </w:r>
      <w:r w:rsidRPr="003E72FE">
        <w:rPr>
          <w:i/>
        </w:rPr>
        <w:t>in subclause 4(1)</w:t>
      </w:r>
    </w:p>
    <w:p w:rsidR="003E72FE" w:rsidRPr="003E72FE" w:rsidRDefault="003E72FE" w:rsidP="003E72FE">
      <w:pPr>
        <w:rPr>
          <w:sz w:val="20"/>
          <w:szCs w:val="20"/>
        </w:rPr>
      </w:pPr>
    </w:p>
    <w:p w:rsidR="003E72FE" w:rsidRPr="003E72FE" w:rsidRDefault="003E72FE" w:rsidP="003E72FE">
      <w:pPr>
        <w:pStyle w:val="Clause"/>
        <w:rPr>
          <w:i/>
        </w:rPr>
      </w:pPr>
      <w:r w:rsidRPr="003E72FE">
        <w:t>[18.12]</w:t>
      </w:r>
      <w:r w:rsidRPr="003E72FE">
        <w:tab/>
      </w:r>
      <w:r w:rsidRPr="003E72FE">
        <w:rPr>
          <w:i/>
        </w:rPr>
        <w:t xml:space="preserve">omitting subclauses 4(2) and 4(3), substituting – </w:t>
      </w:r>
    </w:p>
    <w:p w:rsidR="003E72FE" w:rsidRPr="003E72FE" w:rsidRDefault="003E72FE" w:rsidP="003E72FE">
      <w:pPr>
        <w:rPr>
          <w:sz w:val="20"/>
          <w:szCs w:val="20"/>
        </w:rPr>
      </w:pPr>
    </w:p>
    <w:p w:rsidR="003E72FE" w:rsidRPr="003E72FE" w:rsidRDefault="003E72FE" w:rsidP="003E72FE">
      <w:pPr>
        <w:pStyle w:val="Subclause"/>
      </w:pPr>
      <w:r w:rsidRPr="003E72FE">
        <w:t>(2)</w:t>
      </w:r>
      <w:r w:rsidRPr="003E72FE">
        <w:tab/>
        <w:t>The maximum levels for natural toxicants from the addition of a flavouring substance in food are listed in Column 3 of the Table to this clause.</w:t>
      </w:r>
    </w:p>
    <w:p w:rsidR="003E72FE" w:rsidRPr="003E72FE" w:rsidRDefault="003E72FE" w:rsidP="003E72FE">
      <w:pPr>
        <w:pStyle w:val="Subclause"/>
      </w:pPr>
    </w:p>
    <w:p w:rsidR="003E72FE" w:rsidRPr="003E72FE" w:rsidRDefault="003E72FE" w:rsidP="003E72FE">
      <w:pPr>
        <w:pStyle w:val="Subclause"/>
      </w:pPr>
      <w:r w:rsidRPr="003E72FE">
        <w:t>(3)</w:t>
      </w:r>
      <w:r w:rsidRPr="003E72FE">
        <w:tab/>
        <w:t>Where a mixed food contains a food or class of foods listed in Column 2 of the Table to this clause, the proportion of the natural toxicant from the addition of a flavouring substance permitted to be present in the mixed food (ML1) is calculated in accordance with the formula prescribed in subclause 1(6).</w:t>
      </w:r>
    </w:p>
    <w:p w:rsidR="003E72FE" w:rsidRPr="003E72FE" w:rsidRDefault="003E72FE" w:rsidP="003E72FE">
      <w:pPr>
        <w:rPr>
          <w:sz w:val="20"/>
          <w:szCs w:val="20"/>
        </w:rPr>
      </w:pPr>
    </w:p>
    <w:p w:rsidR="003E72FE" w:rsidRPr="003E72FE" w:rsidRDefault="003E72FE" w:rsidP="003E72FE">
      <w:pPr>
        <w:pStyle w:val="Clause"/>
      </w:pPr>
      <w:r w:rsidRPr="003E72FE">
        <w:t>[18.13]</w:t>
      </w:r>
      <w:r w:rsidRPr="003E72FE">
        <w:tab/>
      </w:r>
      <w:r w:rsidRPr="003E72FE">
        <w:rPr>
          <w:i/>
        </w:rPr>
        <w:t xml:space="preserve">omitting the </w:t>
      </w:r>
      <w:r w:rsidRPr="003E72FE">
        <w:t xml:space="preserve">Table to clause 4, </w:t>
      </w:r>
      <w:r w:rsidRPr="003E72FE">
        <w:rPr>
          <w:i/>
        </w:rPr>
        <w:t xml:space="preserve">substituting </w:t>
      </w:r>
      <w:r w:rsidRPr="003E72FE">
        <w:t xml:space="preserve">– </w:t>
      </w:r>
    </w:p>
    <w:p w:rsidR="003E72FE" w:rsidRPr="003E72FE" w:rsidRDefault="003E72FE" w:rsidP="003E72FE">
      <w:pPr>
        <w:rPr>
          <w:sz w:val="20"/>
          <w:szCs w:val="20"/>
        </w:rPr>
      </w:pPr>
    </w:p>
    <w:p w:rsidR="003E72FE" w:rsidRPr="003E72FE" w:rsidRDefault="003E72FE" w:rsidP="003E72FE">
      <w:pPr>
        <w:pStyle w:val="TableHeading"/>
      </w:pPr>
      <w:r w:rsidRPr="003E72FE">
        <w:t>Table to clause 4</w:t>
      </w:r>
    </w:p>
    <w:p w:rsidR="003E72FE" w:rsidRPr="003E72FE" w:rsidRDefault="003E72FE" w:rsidP="003E72FE">
      <w:pPr>
        <w:rPr>
          <w:sz w:val="20"/>
          <w:szCs w:val="20"/>
        </w:rPr>
      </w:pPr>
    </w:p>
    <w:tbl>
      <w:tblPr>
        <w:tblW w:w="90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9" w:type="dxa"/>
          <w:right w:w="79" w:type="dxa"/>
        </w:tblCellMar>
        <w:tblLook w:val="04A0" w:firstRow="1" w:lastRow="0" w:firstColumn="1" w:lastColumn="0" w:noHBand="0" w:noVBand="1"/>
      </w:tblPr>
      <w:tblGrid>
        <w:gridCol w:w="2269"/>
        <w:gridCol w:w="4537"/>
        <w:gridCol w:w="2269"/>
      </w:tblGrid>
      <w:tr w:rsidR="003E72FE" w:rsidTr="003E72FE">
        <w:trPr>
          <w:cantSplit/>
          <w:trHeight w:val="345"/>
          <w:jc w:val="center"/>
        </w:trPr>
        <w:tc>
          <w:tcPr>
            <w:tcW w:w="2269" w:type="dxa"/>
            <w:tcBorders>
              <w:top w:val="single" w:sz="4" w:space="0" w:color="auto"/>
              <w:left w:val="single" w:sz="4" w:space="0" w:color="auto"/>
              <w:bottom w:val="nil"/>
              <w:right w:val="single" w:sz="4" w:space="0" w:color="auto"/>
            </w:tcBorders>
            <w:hideMark/>
          </w:tcPr>
          <w:p w:rsidR="003E72FE" w:rsidRDefault="003E72FE">
            <w:pPr>
              <w:pStyle w:val="Table1"/>
              <w:spacing w:line="276" w:lineRule="auto"/>
            </w:pPr>
            <w:r>
              <w:t>Column 1</w:t>
            </w:r>
          </w:p>
        </w:tc>
        <w:tc>
          <w:tcPr>
            <w:tcW w:w="4537" w:type="dxa"/>
            <w:tcBorders>
              <w:top w:val="single" w:sz="4" w:space="0" w:color="auto"/>
              <w:left w:val="single" w:sz="4" w:space="0" w:color="auto"/>
              <w:bottom w:val="nil"/>
              <w:right w:val="single" w:sz="4" w:space="0" w:color="auto"/>
            </w:tcBorders>
            <w:hideMark/>
          </w:tcPr>
          <w:p w:rsidR="003E72FE" w:rsidRDefault="003E72FE">
            <w:pPr>
              <w:pStyle w:val="Table1"/>
              <w:spacing w:line="276" w:lineRule="auto"/>
            </w:pPr>
            <w:r>
              <w:t>Column 2</w:t>
            </w:r>
          </w:p>
        </w:tc>
        <w:tc>
          <w:tcPr>
            <w:tcW w:w="2269" w:type="dxa"/>
            <w:tcBorders>
              <w:top w:val="single" w:sz="4" w:space="0" w:color="auto"/>
              <w:left w:val="single" w:sz="4" w:space="0" w:color="auto"/>
              <w:bottom w:val="nil"/>
              <w:right w:val="single" w:sz="4" w:space="0" w:color="auto"/>
            </w:tcBorders>
            <w:hideMark/>
          </w:tcPr>
          <w:p w:rsidR="003E72FE" w:rsidRDefault="003E72FE">
            <w:pPr>
              <w:pStyle w:val="Table1"/>
              <w:spacing w:line="276" w:lineRule="auto"/>
            </w:pPr>
            <w:r>
              <w:t>Column 3</w:t>
            </w:r>
          </w:p>
        </w:tc>
      </w:tr>
      <w:tr w:rsidR="003E72FE" w:rsidTr="003E72FE">
        <w:trPr>
          <w:cantSplit/>
          <w:trHeight w:val="345"/>
          <w:jc w:val="center"/>
        </w:trPr>
        <w:tc>
          <w:tcPr>
            <w:tcW w:w="2269" w:type="dxa"/>
            <w:tcBorders>
              <w:top w:val="nil"/>
              <w:left w:val="single" w:sz="4" w:space="0" w:color="auto"/>
              <w:bottom w:val="single" w:sz="4" w:space="0" w:color="auto"/>
              <w:right w:val="single" w:sz="4" w:space="0" w:color="auto"/>
            </w:tcBorders>
            <w:hideMark/>
          </w:tcPr>
          <w:p w:rsidR="003E72FE" w:rsidRDefault="003E72FE">
            <w:pPr>
              <w:pStyle w:val="Table1"/>
              <w:spacing w:line="276" w:lineRule="auto"/>
            </w:pPr>
            <w:r>
              <w:t>Toxicant</w:t>
            </w:r>
          </w:p>
        </w:tc>
        <w:tc>
          <w:tcPr>
            <w:tcW w:w="4537" w:type="dxa"/>
            <w:tcBorders>
              <w:top w:val="nil"/>
              <w:left w:val="single" w:sz="4" w:space="0" w:color="auto"/>
              <w:bottom w:val="single" w:sz="4" w:space="0" w:color="auto"/>
              <w:right w:val="single" w:sz="4" w:space="0" w:color="auto"/>
            </w:tcBorders>
            <w:hideMark/>
          </w:tcPr>
          <w:p w:rsidR="003E72FE" w:rsidRDefault="003E72FE">
            <w:pPr>
              <w:pStyle w:val="Table1"/>
              <w:spacing w:line="276" w:lineRule="auto"/>
            </w:pPr>
            <w:r>
              <w:t>Food</w:t>
            </w:r>
          </w:p>
        </w:tc>
        <w:tc>
          <w:tcPr>
            <w:tcW w:w="2269" w:type="dxa"/>
            <w:tcBorders>
              <w:top w:val="nil"/>
              <w:left w:val="single" w:sz="4" w:space="0" w:color="auto"/>
              <w:bottom w:val="single" w:sz="4" w:space="0" w:color="auto"/>
              <w:right w:val="single" w:sz="4" w:space="0" w:color="auto"/>
            </w:tcBorders>
            <w:hideMark/>
          </w:tcPr>
          <w:p w:rsidR="003E72FE" w:rsidRDefault="003E72FE">
            <w:pPr>
              <w:pStyle w:val="Table1"/>
              <w:spacing w:line="276" w:lineRule="auto"/>
            </w:pPr>
            <w:r>
              <w:t>Maximum level</w:t>
            </w:r>
            <w:r>
              <w:br/>
              <w:t>(mg/kg unless specified otherwise)</w:t>
            </w:r>
          </w:p>
        </w:tc>
      </w:tr>
      <w:tr w:rsidR="003E72FE" w:rsidTr="003E72FE">
        <w:trPr>
          <w:cantSplit/>
          <w:jc w:val="center"/>
        </w:trPr>
        <w:tc>
          <w:tcPr>
            <w:tcW w:w="2269" w:type="dxa"/>
            <w:tcBorders>
              <w:top w:val="nil"/>
              <w:left w:val="single" w:sz="4" w:space="0" w:color="auto"/>
              <w:bottom w:val="nil"/>
              <w:right w:val="single" w:sz="4" w:space="0" w:color="auto"/>
            </w:tcBorders>
            <w:hideMark/>
          </w:tcPr>
          <w:p w:rsidR="003E72FE" w:rsidRDefault="003E72FE">
            <w:pPr>
              <w:pStyle w:val="Table2"/>
              <w:spacing w:line="276" w:lineRule="auto"/>
            </w:pPr>
            <w:r>
              <w:t>Agaric acid</w:t>
            </w: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Food containing mushrooms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100 </w:t>
            </w:r>
          </w:p>
        </w:tc>
      </w:tr>
      <w:tr w:rsidR="003E72FE" w:rsidTr="003E72FE">
        <w:trPr>
          <w:cantSplit/>
          <w:jc w:val="center"/>
        </w:trPr>
        <w:tc>
          <w:tcPr>
            <w:tcW w:w="2269" w:type="dxa"/>
            <w:tcBorders>
              <w:top w:val="nil"/>
              <w:left w:val="single" w:sz="4" w:space="0" w:color="auto"/>
              <w:bottom w:val="nil"/>
              <w:right w:val="single" w:sz="4" w:space="0" w:color="auto"/>
            </w:tcBorders>
          </w:tcPr>
          <w:p w:rsidR="003E72FE" w:rsidRDefault="003E72FE">
            <w:pPr>
              <w:pStyle w:val="Table2"/>
              <w:spacing w:line="276" w:lineRule="auto"/>
            </w:pP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Alcoholic beverages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100 </w:t>
            </w:r>
          </w:p>
        </w:tc>
      </w:tr>
      <w:tr w:rsidR="003E72FE" w:rsidTr="003E72FE">
        <w:trPr>
          <w:cantSplit/>
          <w:jc w:val="center"/>
        </w:trPr>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7"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2269" w:type="dxa"/>
            <w:tcBorders>
              <w:top w:val="nil"/>
              <w:left w:val="single" w:sz="4" w:space="0" w:color="auto"/>
              <w:bottom w:val="nil"/>
              <w:right w:val="single" w:sz="4" w:space="0" w:color="auto"/>
            </w:tcBorders>
            <w:hideMark/>
          </w:tcPr>
          <w:p w:rsidR="003E72FE" w:rsidRDefault="003E72FE">
            <w:pPr>
              <w:pStyle w:val="Table2"/>
              <w:spacing w:line="276" w:lineRule="auto"/>
            </w:pPr>
            <w:r>
              <w:t>Aloin</w:t>
            </w: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Alcoholic beverages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50 </w:t>
            </w:r>
          </w:p>
        </w:tc>
      </w:tr>
      <w:tr w:rsidR="003E72FE" w:rsidTr="003E72FE">
        <w:trPr>
          <w:cantSplit/>
          <w:jc w:val="center"/>
        </w:trPr>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7"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2269" w:type="dxa"/>
            <w:tcBorders>
              <w:top w:val="nil"/>
              <w:left w:val="single" w:sz="4" w:space="0" w:color="auto"/>
              <w:bottom w:val="nil"/>
              <w:right w:val="single" w:sz="4" w:space="0" w:color="auto"/>
            </w:tcBorders>
            <w:hideMark/>
          </w:tcPr>
          <w:p w:rsidR="003E72FE" w:rsidRDefault="003E72FE">
            <w:pPr>
              <w:pStyle w:val="Table2"/>
              <w:spacing w:line="276" w:lineRule="auto"/>
            </w:pPr>
            <w:r>
              <w:t>Berberine</w:t>
            </w: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Alcoholic beverages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10 </w:t>
            </w:r>
          </w:p>
        </w:tc>
      </w:tr>
      <w:tr w:rsidR="003E72FE" w:rsidTr="003E72FE">
        <w:trPr>
          <w:cantSplit/>
          <w:jc w:val="center"/>
        </w:trPr>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7"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2269" w:type="dxa"/>
            <w:tcBorders>
              <w:top w:val="nil"/>
              <w:left w:val="single" w:sz="4" w:space="0" w:color="auto"/>
              <w:bottom w:val="nil"/>
              <w:right w:val="single" w:sz="4" w:space="0" w:color="auto"/>
            </w:tcBorders>
            <w:hideMark/>
          </w:tcPr>
          <w:p w:rsidR="003E72FE" w:rsidRDefault="003E72FE">
            <w:pPr>
              <w:pStyle w:val="Table2"/>
              <w:spacing w:line="276" w:lineRule="auto"/>
            </w:pPr>
            <w:r>
              <w:t>Coumarin</w:t>
            </w: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Alcoholic beverages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10 </w:t>
            </w:r>
          </w:p>
        </w:tc>
      </w:tr>
      <w:tr w:rsidR="003E72FE" w:rsidTr="003E72FE">
        <w:trPr>
          <w:cantSplit/>
          <w:jc w:val="center"/>
        </w:trPr>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7"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2269" w:type="dxa"/>
            <w:tcBorders>
              <w:top w:val="nil"/>
              <w:left w:val="single" w:sz="4" w:space="0" w:color="auto"/>
              <w:bottom w:val="nil"/>
              <w:right w:val="single" w:sz="4" w:space="0" w:color="auto"/>
            </w:tcBorders>
            <w:hideMark/>
          </w:tcPr>
          <w:p w:rsidR="003E72FE" w:rsidRDefault="003E72FE">
            <w:pPr>
              <w:pStyle w:val="Table2"/>
              <w:spacing w:line="276" w:lineRule="auto"/>
            </w:pPr>
            <w:r>
              <w:t>Hydrocyanic acid, total</w:t>
            </w: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Confectionery</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25 </w:t>
            </w:r>
          </w:p>
        </w:tc>
      </w:tr>
      <w:tr w:rsidR="003E72FE" w:rsidTr="003E72FE">
        <w:trPr>
          <w:cantSplit/>
          <w:jc w:val="center"/>
        </w:trPr>
        <w:tc>
          <w:tcPr>
            <w:tcW w:w="2269" w:type="dxa"/>
            <w:tcBorders>
              <w:top w:val="nil"/>
              <w:left w:val="single" w:sz="4" w:space="0" w:color="auto"/>
              <w:bottom w:val="nil"/>
              <w:right w:val="single" w:sz="4" w:space="0" w:color="auto"/>
            </w:tcBorders>
          </w:tcPr>
          <w:p w:rsidR="003E72FE" w:rsidRDefault="003E72FE">
            <w:pPr>
              <w:pStyle w:val="Table2"/>
              <w:spacing w:line="276" w:lineRule="auto"/>
            </w:pP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Stone fruit juices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5 </w:t>
            </w:r>
          </w:p>
        </w:tc>
      </w:tr>
      <w:tr w:rsidR="003E72FE" w:rsidTr="003E72FE">
        <w:trPr>
          <w:cantSplit/>
          <w:jc w:val="center"/>
        </w:trPr>
        <w:tc>
          <w:tcPr>
            <w:tcW w:w="2269" w:type="dxa"/>
            <w:tcBorders>
              <w:top w:val="nil"/>
              <w:left w:val="single" w:sz="4" w:space="0" w:color="auto"/>
              <w:bottom w:val="nil"/>
              <w:right w:val="single" w:sz="4" w:space="0" w:color="auto"/>
            </w:tcBorders>
          </w:tcPr>
          <w:p w:rsidR="003E72FE" w:rsidRDefault="003E72FE">
            <w:pPr>
              <w:pStyle w:val="Table2"/>
              <w:spacing w:line="276" w:lineRule="auto"/>
            </w:pP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Marzipan</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50</w:t>
            </w:r>
          </w:p>
        </w:tc>
      </w:tr>
      <w:tr w:rsidR="003E72FE" w:rsidTr="003E72FE">
        <w:trPr>
          <w:cantSplit/>
          <w:jc w:val="center"/>
        </w:trPr>
        <w:tc>
          <w:tcPr>
            <w:tcW w:w="2269" w:type="dxa"/>
            <w:tcBorders>
              <w:top w:val="nil"/>
              <w:left w:val="single" w:sz="4" w:space="0" w:color="auto"/>
              <w:bottom w:val="nil"/>
              <w:right w:val="single" w:sz="4" w:space="0" w:color="auto"/>
            </w:tcBorders>
          </w:tcPr>
          <w:p w:rsidR="003E72FE" w:rsidRDefault="003E72FE">
            <w:pPr>
              <w:pStyle w:val="Table2"/>
              <w:spacing w:line="276" w:lineRule="auto"/>
            </w:pP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Alcoholic beverages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1 mg per 1% alcohol content</w:t>
            </w:r>
          </w:p>
        </w:tc>
      </w:tr>
      <w:tr w:rsidR="003E72FE" w:rsidTr="003E72FE">
        <w:trPr>
          <w:cantSplit/>
          <w:jc w:val="center"/>
        </w:trPr>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7"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2269" w:type="dxa"/>
            <w:tcBorders>
              <w:top w:val="nil"/>
              <w:left w:val="single" w:sz="4" w:space="0" w:color="auto"/>
              <w:bottom w:val="nil"/>
              <w:right w:val="single" w:sz="4" w:space="0" w:color="auto"/>
            </w:tcBorders>
            <w:hideMark/>
          </w:tcPr>
          <w:p w:rsidR="003E72FE" w:rsidRDefault="003E72FE">
            <w:pPr>
              <w:pStyle w:val="Table2"/>
              <w:spacing w:line="276" w:lineRule="auto"/>
            </w:pPr>
            <w:r>
              <w:t>Hypericine</w:t>
            </w: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Alcoholic beverages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2 </w:t>
            </w:r>
          </w:p>
        </w:tc>
      </w:tr>
      <w:tr w:rsidR="003E72FE" w:rsidTr="003E72FE">
        <w:trPr>
          <w:cantSplit/>
          <w:jc w:val="center"/>
        </w:trPr>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7" w:type="dxa"/>
            <w:tcBorders>
              <w:top w:val="nil"/>
              <w:left w:val="single" w:sz="4" w:space="0" w:color="auto"/>
              <w:bottom w:val="single" w:sz="4" w:space="0" w:color="auto"/>
              <w:right w:val="single" w:sz="4" w:space="0" w:color="auto"/>
            </w:tcBorders>
          </w:tcPr>
          <w:p w:rsidR="003E72FE" w:rsidRDefault="003E72FE">
            <w:pPr>
              <w:pStyle w:val="Table2"/>
              <w:spacing w:line="276" w:lineRule="auto"/>
              <w:rPr>
                <w:b/>
              </w:rPr>
            </w:pPr>
          </w:p>
        </w:tc>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2269" w:type="dxa"/>
            <w:tcBorders>
              <w:top w:val="nil"/>
              <w:left w:val="single" w:sz="4" w:space="0" w:color="auto"/>
              <w:bottom w:val="nil"/>
              <w:right w:val="single" w:sz="4" w:space="0" w:color="auto"/>
            </w:tcBorders>
            <w:hideMark/>
          </w:tcPr>
          <w:p w:rsidR="003E72FE" w:rsidRDefault="003E72FE">
            <w:pPr>
              <w:pStyle w:val="Table2"/>
              <w:spacing w:line="276" w:lineRule="auto"/>
            </w:pPr>
            <w:r>
              <w:t>Pulegone</w:t>
            </w: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Confectionery</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350 </w:t>
            </w:r>
          </w:p>
        </w:tc>
      </w:tr>
      <w:tr w:rsidR="003E72FE" w:rsidTr="003E72FE">
        <w:trPr>
          <w:cantSplit/>
          <w:jc w:val="center"/>
        </w:trPr>
        <w:tc>
          <w:tcPr>
            <w:tcW w:w="2269" w:type="dxa"/>
            <w:tcBorders>
              <w:top w:val="nil"/>
              <w:left w:val="single" w:sz="4" w:space="0" w:color="auto"/>
              <w:bottom w:val="nil"/>
              <w:right w:val="single" w:sz="4" w:space="0" w:color="auto"/>
            </w:tcBorders>
          </w:tcPr>
          <w:p w:rsidR="003E72FE" w:rsidRDefault="003E72FE">
            <w:pPr>
              <w:pStyle w:val="Table2"/>
              <w:spacing w:line="276" w:lineRule="auto"/>
            </w:pP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Beverages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250 </w:t>
            </w:r>
          </w:p>
        </w:tc>
      </w:tr>
      <w:tr w:rsidR="003E72FE" w:rsidTr="003E72FE">
        <w:trPr>
          <w:cantSplit/>
          <w:jc w:val="center"/>
        </w:trPr>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7"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2269" w:type="dxa"/>
            <w:tcBorders>
              <w:top w:val="nil"/>
              <w:left w:val="single" w:sz="4" w:space="0" w:color="auto"/>
              <w:bottom w:val="nil"/>
              <w:right w:val="single" w:sz="4" w:space="0" w:color="auto"/>
            </w:tcBorders>
            <w:hideMark/>
          </w:tcPr>
          <w:p w:rsidR="003E72FE" w:rsidRDefault="003E72FE">
            <w:pPr>
              <w:pStyle w:val="Table2"/>
              <w:spacing w:line="276" w:lineRule="auto"/>
            </w:pPr>
            <w:r>
              <w:t>Quassine</w:t>
            </w: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Alcoholic beverages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50 </w:t>
            </w:r>
          </w:p>
        </w:tc>
      </w:tr>
      <w:tr w:rsidR="003E72FE" w:rsidTr="003E72FE">
        <w:trPr>
          <w:cantSplit/>
          <w:jc w:val="center"/>
        </w:trPr>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7" w:type="dxa"/>
            <w:tcBorders>
              <w:top w:val="nil"/>
              <w:left w:val="single" w:sz="4" w:space="0" w:color="auto"/>
              <w:bottom w:val="single" w:sz="4" w:space="0" w:color="auto"/>
              <w:right w:val="single" w:sz="4" w:space="0" w:color="auto"/>
            </w:tcBorders>
          </w:tcPr>
          <w:p w:rsidR="003E72FE" w:rsidRDefault="003E72FE">
            <w:pPr>
              <w:pStyle w:val="Table2"/>
              <w:spacing w:line="276" w:lineRule="auto"/>
              <w:rPr>
                <w:b/>
              </w:rPr>
            </w:pPr>
          </w:p>
        </w:tc>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2269" w:type="dxa"/>
            <w:tcBorders>
              <w:top w:val="nil"/>
              <w:left w:val="single" w:sz="4" w:space="0" w:color="auto"/>
              <w:bottom w:val="nil"/>
              <w:right w:val="single" w:sz="4" w:space="0" w:color="auto"/>
            </w:tcBorders>
            <w:hideMark/>
          </w:tcPr>
          <w:p w:rsidR="003E72FE" w:rsidRDefault="003E72FE">
            <w:pPr>
              <w:pStyle w:val="Table2"/>
              <w:spacing w:line="276" w:lineRule="auto"/>
            </w:pPr>
            <w:r>
              <w:t>Quinine</w:t>
            </w: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 xml:space="preserve">Mixed alcoholic drinks not elsewhere classified </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300 </w:t>
            </w:r>
          </w:p>
        </w:tc>
      </w:tr>
      <w:tr w:rsidR="003E72FE" w:rsidTr="003E72FE">
        <w:trPr>
          <w:cantSplit/>
          <w:jc w:val="center"/>
        </w:trPr>
        <w:tc>
          <w:tcPr>
            <w:tcW w:w="2269" w:type="dxa"/>
            <w:tcBorders>
              <w:top w:val="nil"/>
              <w:left w:val="single" w:sz="4" w:space="0" w:color="auto"/>
              <w:bottom w:val="nil"/>
              <w:right w:val="single" w:sz="4" w:space="0" w:color="auto"/>
            </w:tcBorders>
          </w:tcPr>
          <w:p w:rsidR="003E72FE" w:rsidRDefault="003E72FE">
            <w:pPr>
              <w:pStyle w:val="Table2"/>
              <w:spacing w:line="276" w:lineRule="auto"/>
            </w:pP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Tonic drinks, bitter drinks and quinine drinks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100 </w:t>
            </w:r>
          </w:p>
        </w:tc>
      </w:tr>
      <w:tr w:rsidR="003E72FE" w:rsidTr="003E72FE">
        <w:trPr>
          <w:cantSplit/>
          <w:jc w:val="center"/>
        </w:trPr>
        <w:tc>
          <w:tcPr>
            <w:tcW w:w="2269" w:type="dxa"/>
            <w:tcBorders>
              <w:top w:val="nil"/>
              <w:left w:val="single" w:sz="4" w:space="0" w:color="auto"/>
              <w:bottom w:val="nil"/>
              <w:right w:val="single" w:sz="4" w:space="0" w:color="auto"/>
            </w:tcBorders>
          </w:tcPr>
          <w:p w:rsidR="003E72FE" w:rsidRDefault="003E72FE">
            <w:pPr>
              <w:pStyle w:val="Table2"/>
              <w:spacing w:line="276" w:lineRule="auto"/>
            </w:pP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Wine based drinks and reduced alcohol wines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300 </w:t>
            </w:r>
          </w:p>
        </w:tc>
      </w:tr>
      <w:tr w:rsidR="003E72FE" w:rsidTr="003E72FE">
        <w:trPr>
          <w:cantSplit/>
          <w:jc w:val="center"/>
        </w:trPr>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7"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2269" w:type="dxa"/>
            <w:tcBorders>
              <w:top w:val="single" w:sz="4" w:space="0" w:color="auto"/>
              <w:left w:val="single" w:sz="4" w:space="0" w:color="auto"/>
              <w:bottom w:val="nil"/>
              <w:right w:val="single" w:sz="4" w:space="0" w:color="auto"/>
            </w:tcBorders>
            <w:hideMark/>
          </w:tcPr>
          <w:p w:rsidR="003E72FE" w:rsidRDefault="003E72FE" w:rsidP="003E72FE">
            <w:pPr>
              <w:pStyle w:val="Table2"/>
              <w:keepNext/>
              <w:spacing w:line="276" w:lineRule="auto"/>
            </w:pPr>
            <w:r>
              <w:lastRenderedPageBreak/>
              <w:t>Safrole</w:t>
            </w:r>
          </w:p>
        </w:tc>
        <w:tc>
          <w:tcPr>
            <w:tcW w:w="4537" w:type="dxa"/>
            <w:tcBorders>
              <w:top w:val="single" w:sz="4" w:space="0" w:color="auto"/>
              <w:left w:val="single" w:sz="4" w:space="0" w:color="auto"/>
              <w:bottom w:val="nil"/>
              <w:right w:val="single" w:sz="4" w:space="0" w:color="auto"/>
            </w:tcBorders>
            <w:hideMark/>
          </w:tcPr>
          <w:p w:rsidR="003E72FE" w:rsidRDefault="003E72FE">
            <w:pPr>
              <w:pStyle w:val="Table2"/>
              <w:spacing w:line="276" w:lineRule="auto"/>
            </w:pPr>
            <w:r>
              <w:t>Food containing mace and nutmeg</w:t>
            </w:r>
          </w:p>
        </w:tc>
        <w:tc>
          <w:tcPr>
            <w:tcW w:w="2269" w:type="dxa"/>
            <w:tcBorders>
              <w:top w:val="single" w:sz="4" w:space="0" w:color="auto"/>
              <w:left w:val="single" w:sz="4" w:space="0" w:color="auto"/>
              <w:bottom w:val="nil"/>
              <w:right w:val="single" w:sz="4" w:space="0" w:color="auto"/>
            </w:tcBorders>
            <w:hideMark/>
          </w:tcPr>
          <w:p w:rsidR="003E72FE" w:rsidRDefault="003E72FE">
            <w:pPr>
              <w:pStyle w:val="Table2"/>
              <w:spacing w:line="276" w:lineRule="auto"/>
              <w:jc w:val="center"/>
            </w:pPr>
            <w:r>
              <w:t xml:space="preserve">15 </w:t>
            </w:r>
          </w:p>
        </w:tc>
      </w:tr>
      <w:tr w:rsidR="003E72FE" w:rsidTr="003E72FE">
        <w:trPr>
          <w:cantSplit/>
          <w:jc w:val="center"/>
        </w:trPr>
        <w:tc>
          <w:tcPr>
            <w:tcW w:w="2269" w:type="dxa"/>
            <w:tcBorders>
              <w:top w:val="nil"/>
              <w:left w:val="single" w:sz="4" w:space="0" w:color="auto"/>
              <w:bottom w:val="nil"/>
              <w:right w:val="single" w:sz="4" w:space="0" w:color="auto"/>
            </w:tcBorders>
          </w:tcPr>
          <w:p w:rsidR="003E72FE" w:rsidRDefault="003E72FE">
            <w:pPr>
              <w:pStyle w:val="Table2"/>
              <w:spacing w:line="276" w:lineRule="auto"/>
            </w:pP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Meat products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10 </w:t>
            </w:r>
          </w:p>
        </w:tc>
      </w:tr>
      <w:tr w:rsidR="003E72FE" w:rsidTr="003E72FE">
        <w:trPr>
          <w:cantSplit/>
          <w:jc w:val="center"/>
        </w:trPr>
        <w:tc>
          <w:tcPr>
            <w:tcW w:w="2269" w:type="dxa"/>
            <w:tcBorders>
              <w:top w:val="nil"/>
              <w:left w:val="single" w:sz="4" w:space="0" w:color="auto"/>
              <w:bottom w:val="nil"/>
              <w:right w:val="single" w:sz="4" w:space="0" w:color="auto"/>
            </w:tcBorders>
          </w:tcPr>
          <w:p w:rsidR="003E72FE" w:rsidRDefault="003E72FE">
            <w:pPr>
              <w:pStyle w:val="Table2"/>
              <w:spacing w:line="276" w:lineRule="auto"/>
            </w:pP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Alcoholic beverages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5 </w:t>
            </w:r>
          </w:p>
        </w:tc>
      </w:tr>
      <w:tr w:rsidR="003E72FE" w:rsidTr="003E72FE">
        <w:trPr>
          <w:cantSplit/>
          <w:jc w:val="center"/>
        </w:trPr>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7"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2269" w:type="dxa"/>
            <w:tcBorders>
              <w:top w:val="single" w:sz="4" w:space="0" w:color="auto"/>
              <w:left w:val="single" w:sz="4" w:space="0" w:color="auto"/>
              <w:bottom w:val="nil"/>
              <w:right w:val="single" w:sz="4" w:space="0" w:color="auto"/>
            </w:tcBorders>
            <w:hideMark/>
          </w:tcPr>
          <w:p w:rsidR="003E72FE" w:rsidRDefault="003E72FE">
            <w:pPr>
              <w:pStyle w:val="Table2"/>
              <w:spacing w:line="276" w:lineRule="auto"/>
            </w:pPr>
            <w:r>
              <w:t>Santonin</w:t>
            </w:r>
          </w:p>
        </w:tc>
        <w:tc>
          <w:tcPr>
            <w:tcW w:w="4537" w:type="dxa"/>
            <w:tcBorders>
              <w:top w:val="single" w:sz="4" w:space="0" w:color="auto"/>
              <w:left w:val="single" w:sz="4" w:space="0" w:color="auto"/>
              <w:bottom w:val="nil"/>
              <w:right w:val="single" w:sz="4" w:space="0" w:color="auto"/>
            </w:tcBorders>
            <w:hideMark/>
          </w:tcPr>
          <w:p w:rsidR="003E72FE" w:rsidRDefault="003E72FE">
            <w:pPr>
              <w:pStyle w:val="Table2"/>
              <w:spacing w:line="276" w:lineRule="auto"/>
            </w:pPr>
            <w:r>
              <w:t>Alcoholic beverages</w:t>
            </w:r>
          </w:p>
        </w:tc>
        <w:tc>
          <w:tcPr>
            <w:tcW w:w="2269" w:type="dxa"/>
            <w:tcBorders>
              <w:top w:val="single" w:sz="4" w:space="0" w:color="auto"/>
              <w:left w:val="single" w:sz="4" w:space="0" w:color="auto"/>
              <w:bottom w:val="nil"/>
              <w:right w:val="single" w:sz="4" w:space="0" w:color="auto"/>
            </w:tcBorders>
            <w:hideMark/>
          </w:tcPr>
          <w:p w:rsidR="003E72FE" w:rsidRDefault="003E72FE">
            <w:pPr>
              <w:pStyle w:val="Table2"/>
              <w:spacing w:line="276" w:lineRule="auto"/>
              <w:jc w:val="center"/>
            </w:pPr>
            <w:r>
              <w:t xml:space="preserve">1 </w:t>
            </w:r>
          </w:p>
        </w:tc>
      </w:tr>
      <w:tr w:rsidR="003E72FE" w:rsidTr="003E72FE">
        <w:trPr>
          <w:cantSplit/>
          <w:jc w:val="center"/>
        </w:trPr>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7"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2269" w:type="dxa"/>
            <w:tcBorders>
              <w:top w:val="nil"/>
              <w:left w:val="single" w:sz="4" w:space="0" w:color="auto"/>
              <w:bottom w:val="nil"/>
              <w:right w:val="single" w:sz="4" w:space="0" w:color="auto"/>
            </w:tcBorders>
            <w:hideMark/>
          </w:tcPr>
          <w:p w:rsidR="003E72FE" w:rsidRDefault="003E72FE">
            <w:pPr>
              <w:pStyle w:val="Table2"/>
              <w:spacing w:line="276" w:lineRule="auto"/>
            </w:pPr>
            <w:r>
              <w:t>Sparteine</w:t>
            </w: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Alcoholic beverages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5 </w:t>
            </w:r>
          </w:p>
        </w:tc>
      </w:tr>
      <w:tr w:rsidR="003E72FE" w:rsidTr="003E72FE">
        <w:trPr>
          <w:cantSplit/>
          <w:jc w:val="center"/>
        </w:trPr>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7"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cantSplit/>
          <w:jc w:val="center"/>
        </w:trPr>
        <w:tc>
          <w:tcPr>
            <w:tcW w:w="2269" w:type="dxa"/>
            <w:tcBorders>
              <w:top w:val="nil"/>
              <w:left w:val="single" w:sz="4" w:space="0" w:color="auto"/>
              <w:bottom w:val="nil"/>
              <w:right w:val="single" w:sz="4" w:space="0" w:color="auto"/>
            </w:tcBorders>
            <w:hideMark/>
          </w:tcPr>
          <w:p w:rsidR="003E72FE" w:rsidRDefault="003E72FE">
            <w:pPr>
              <w:pStyle w:val="Table2"/>
              <w:spacing w:line="276" w:lineRule="auto"/>
            </w:pPr>
            <w:r>
              <w:t>Thujones (alpha and beta)</w:t>
            </w: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Sage stuffing</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250 </w:t>
            </w:r>
          </w:p>
        </w:tc>
      </w:tr>
      <w:tr w:rsidR="003E72FE" w:rsidTr="003E72FE">
        <w:trPr>
          <w:cantSplit/>
          <w:jc w:val="center"/>
        </w:trPr>
        <w:tc>
          <w:tcPr>
            <w:tcW w:w="2269" w:type="dxa"/>
            <w:tcBorders>
              <w:top w:val="nil"/>
              <w:left w:val="single" w:sz="4" w:space="0" w:color="auto"/>
              <w:bottom w:val="nil"/>
              <w:right w:val="single" w:sz="4" w:space="0" w:color="auto"/>
            </w:tcBorders>
          </w:tcPr>
          <w:p w:rsidR="003E72FE" w:rsidRDefault="003E72FE">
            <w:pPr>
              <w:pStyle w:val="Table2"/>
              <w:spacing w:line="276" w:lineRule="auto"/>
            </w:pP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Bitters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35 </w:t>
            </w:r>
          </w:p>
        </w:tc>
      </w:tr>
      <w:tr w:rsidR="003E72FE" w:rsidTr="003E72FE">
        <w:trPr>
          <w:cantSplit/>
          <w:jc w:val="center"/>
        </w:trPr>
        <w:tc>
          <w:tcPr>
            <w:tcW w:w="2269" w:type="dxa"/>
            <w:tcBorders>
              <w:top w:val="nil"/>
              <w:left w:val="single" w:sz="4" w:space="0" w:color="auto"/>
              <w:bottom w:val="nil"/>
              <w:right w:val="single" w:sz="4" w:space="0" w:color="auto"/>
            </w:tcBorders>
          </w:tcPr>
          <w:p w:rsidR="003E72FE" w:rsidRDefault="003E72FE">
            <w:pPr>
              <w:pStyle w:val="Table2"/>
              <w:spacing w:line="276" w:lineRule="auto"/>
            </w:pP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Sage flavoured foods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25 </w:t>
            </w:r>
          </w:p>
        </w:tc>
      </w:tr>
      <w:tr w:rsidR="003E72FE" w:rsidTr="003E72FE">
        <w:trPr>
          <w:cantSplit/>
          <w:jc w:val="center"/>
        </w:trPr>
        <w:tc>
          <w:tcPr>
            <w:tcW w:w="2269" w:type="dxa"/>
            <w:tcBorders>
              <w:top w:val="nil"/>
              <w:left w:val="single" w:sz="4" w:space="0" w:color="auto"/>
              <w:bottom w:val="nil"/>
              <w:right w:val="single" w:sz="4" w:space="0" w:color="auto"/>
            </w:tcBorders>
          </w:tcPr>
          <w:p w:rsidR="003E72FE" w:rsidRDefault="003E72FE">
            <w:pPr>
              <w:pStyle w:val="Table2"/>
              <w:spacing w:line="276" w:lineRule="auto"/>
            </w:pPr>
          </w:p>
        </w:tc>
        <w:tc>
          <w:tcPr>
            <w:tcW w:w="4537" w:type="dxa"/>
            <w:tcBorders>
              <w:top w:val="nil"/>
              <w:left w:val="single" w:sz="4" w:space="0" w:color="auto"/>
              <w:bottom w:val="nil"/>
              <w:right w:val="single" w:sz="4" w:space="0" w:color="auto"/>
            </w:tcBorders>
            <w:hideMark/>
          </w:tcPr>
          <w:p w:rsidR="003E72FE" w:rsidRDefault="003E72FE">
            <w:pPr>
              <w:pStyle w:val="Table2"/>
              <w:spacing w:line="276" w:lineRule="auto"/>
            </w:pPr>
            <w:r>
              <w:t>Alcoholic beverages</w:t>
            </w:r>
          </w:p>
        </w:tc>
        <w:tc>
          <w:tcPr>
            <w:tcW w:w="2269"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10 </w:t>
            </w:r>
          </w:p>
        </w:tc>
      </w:tr>
      <w:tr w:rsidR="003E72FE" w:rsidTr="003E72FE">
        <w:trPr>
          <w:cantSplit/>
          <w:jc w:val="center"/>
        </w:trPr>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7"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269"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bl>
    <w:p w:rsidR="003E72FE" w:rsidRDefault="003E72FE" w:rsidP="003E72FE">
      <w:pPr>
        <w:pStyle w:val="Clause"/>
      </w:pPr>
    </w:p>
    <w:p w:rsidR="003E72FE" w:rsidRPr="003E72FE" w:rsidRDefault="003E72FE" w:rsidP="003E72FE">
      <w:pPr>
        <w:pStyle w:val="Clause"/>
        <w:rPr>
          <w:i/>
          <w:lang w:bidi="ar-SA"/>
        </w:rPr>
      </w:pPr>
      <w:r>
        <w:t>[1</w:t>
      </w:r>
      <w:r w:rsidRPr="003E72FE">
        <w:t>8.14]</w:t>
      </w:r>
      <w:r w:rsidRPr="003E72FE">
        <w:tab/>
      </w:r>
      <w:r w:rsidRPr="003E72FE">
        <w:rPr>
          <w:i/>
        </w:rPr>
        <w:t xml:space="preserve">omitting the definition of </w:t>
      </w:r>
      <w:r w:rsidRPr="003E72FE">
        <w:rPr>
          <w:b/>
        </w:rPr>
        <w:t xml:space="preserve">food </w:t>
      </w:r>
      <w:r w:rsidRPr="003E72FE">
        <w:rPr>
          <w:i/>
        </w:rPr>
        <w:t xml:space="preserve">in subclause 5(1), substituting – </w:t>
      </w:r>
    </w:p>
    <w:p w:rsidR="003E72FE" w:rsidRPr="003E72FE" w:rsidRDefault="003E72FE" w:rsidP="003E72FE">
      <w:pPr>
        <w:rPr>
          <w:sz w:val="20"/>
          <w:szCs w:val="20"/>
        </w:rPr>
      </w:pPr>
    </w:p>
    <w:p w:rsidR="003E72FE" w:rsidRPr="003E72FE" w:rsidRDefault="003E72FE" w:rsidP="003E72FE">
      <w:pPr>
        <w:pStyle w:val="Definition"/>
        <w:rPr>
          <w:bCs/>
        </w:rPr>
      </w:pPr>
      <w:r w:rsidRPr="003E72FE">
        <w:rPr>
          <w:b/>
          <w:bCs/>
        </w:rPr>
        <w:t xml:space="preserve">food </w:t>
      </w:r>
      <w:r w:rsidRPr="003E72FE">
        <w:rPr>
          <w:bCs/>
        </w:rPr>
        <w:t>means the food or class of foods listed in Column 2 of the Table to this clause.</w:t>
      </w:r>
    </w:p>
    <w:p w:rsidR="003E72FE" w:rsidRPr="003E72FE" w:rsidRDefault="003E72FE" w:rsidP="003E72FE">
      <w:pPr>
        <w:pStyle w:val="Clause"/>
        <w:rPr>
          <w:i/>
        </w:rPr>
      </w:pPr>
    </w:p>
    <w:p w:rsidR="003E72FE" w:rsidRPr="003E72FE" w:rsidRDefault="003E72FE" w:rsidP="003E72FE">
      <w:pPr>
        <w:pStyle w:val="Clause"/>
        <w:rPr>
          <w:i/>
        </w:rPr>
      </w:pPr>
      <w:r w:rsidRPr="003E72FE">
        <w:t>[18.15]</w:t>
      </w:r>
      <w:r w:rsidRPr="003E72FE">
        <w:tab/>
      </w:r>
      <w:r w:rsidRPr="003E72FE">
        <w:rPr>
          <w:i/>
        </w:rPr>
        <w:t xml:space="preserve">omitting </w:t>
      </w:r>
      <w:r w:rsidRPr="003E72FE">
        <w:t xml:space="preserve">in bolded type </w:t>
      </w:r>
      <w:r w:rsidRPr="003E72FE">
        <w:rPr>
          <w:i/>
        </w:rPr>
        <w:t xml:space="preserve">from the definition of </w:t>
      </w:r>
      <w:r w:rsidRPr="003E72FE">
        <w:rPr>
          <w:b/>
        </w:rPr>
        <w:t xml:space="preserve">natural toxicant </w:t>
      </w:r>
      <w:r w:rsidRPr="003E72FE">
        <w:rPr>
          <w:i/>
        </w:rPr>
        <w:t>in subclause 5(1)</w:t>
      </w:r>
    </w:p>
    <w:p w:rsidR="003E72FE" w:rsidRPr="003E72FE" w:rsidRDefault="003E72FE" w:rsidP="003E72FE">
      <w:pPr>
        <w:rPr>
          <w:sz w:val="20"/>
          <w:szCs w:val="20"/>
        </w:rPr>
      </w:pPr>
    </w:p>
    <w:p w:rsidR="003E72FE" w:rsidRPr="003E72FE" w:rsidRDefault="003E72FE" w:rsidP="003E72FE">
      <w:pPr>
        <w:pStyle w:val="Subclause"/>
        <w:rPr>
          <w:i/>
        </w:rPr>
      </w:pPr>
      <w:r w:rsidRPr="003E72FE">
        <w:t>[18.16]</w:t>
      </w:r>
      <w:r w:rsidRPr="003E72FE">
        <w:tab/>
      </w:r>
      <w:r w:rsidRPr="003E72FE">
        <w:rPr>
          <w:i/>
        </w:rPr>
        <w:t xml:space="preserve">omitting subclauses 5(2), 5(3) and 5(4), substituting – </w:t>
      </w:r>
    </w:p>
    <w:p w:rsidR="003E72FE" w:rsidRPr="003E72FE" w:rsidRDefault="003E72FE" w:rsidP="003E72FE">
      <w:pPr>
        <w:pStyle w:val="Subclause"/>
        <w:rPr>
          <w:i/>
        </w:rPr>
      </w:pPr>
    </w:p>
    <w:p w:rsidR="003E72FE" w:rsidRPr="003E72FE" w:rsidRDefault="003E72FE" w:rsidP="003E72FE">
      <w:pPr>
        <w:pStyle w:val="Subclause"/>
      </w:pPr>
      <w:r w:rsidRPr="003E72FE">
        <w:t>(2)</w:t>
      </w:r>
      <w:r w:rsidRPr="003E72FE">
        <w:tab/>
        <w:t>The maximum levels for natural toxicants in food are listed in Column 3 of the Table to this clause.</w:t>
      </w:r>
    </w:p>
    <w:p w:rsidR="003E72FE" w:rsidRPr="003E72FE" w:rsidRDefault="003E72FE" w:rsidP="003E72FE">
      <w:pPr>
        <w:pStyle w:val="Subclause"/>
      </w:pPr>
    </w:p>
    <w:p w:rsidR="003E72FE" w:rsidRPr="003E72FE" w:rsidRDefault="003E72FE" w:rsidP="003E72FE">
      <w:pPr>
        <w:pStyle w:val="Subclause"/>
      </w:pPr>
      <w:r w:rsidRPr="003E72FE">
        <w:t>(3)</w:t>
      </w:r>
      <w:r w:rsidRPr="003E72FE">
        <w:tab/>
        <w:t>Where a mixed food contains a food or class of foods listed in Column 2 of the Table to this clause, the proportion of the natural toxicants permitted to be present in the mixed food (ML1) is calculated in accordance with the formula prescribed in subclause 1(6).</w:t>
      </w:r>
    </w:p>
    <w:p w:rsidR="003E72FE" w:rsidRPr="003E72FE" w:rsidRDefault="003E72FE" w:rsidP="003E72FE">
      <w:pPr>
        <w:pStyle w:val="Subclause"/>
      </w:pPr>
    </w:p>
    <w:p w:rsidR="003E72FE" w:rsidRPr="003E72FE" w:rsidRDefault="003E72FE" w:rsidP="003E72FE">
      <w:pPr>
        <w:pStyle w:val="Subclause"/>
      </w:pPr>
      <w:r w:rsidRPr="003E72FE">
        <w:t>(4)</w:t>
      </w:r>
      <w:r w:rsidRPr="003E72FE">
        <w:tab/>
        <w:t>Subclause 1(2) of Standard 1.1.1 does not apply to ready-to-eat cassava chips for the purposes of the Table to clause 5.</w:t>
      </w:r>
    </w:p>
    <w:p w:rsidR="003E72FE" w:rsidRPr="003E72FE" w:rsidRDefault="003E72FE" w:rsidP="003E72FE">
      <w:pPr>
        <w:pStyle w:val="Subclause"/>
      </w:pPr>
    </w:p>
    <w:p w:rsidR="003E72FE" w:rsidRPr="003E72FE" w:rsidRDefault="003E72FE" w:rsidP="003E72FE">
      <w:pPr>
        <w:pStyle w:val="Clause"/>
      </w:pPr>
      <w:r w:rsidRPr="003E72FE">
        <w:t>[18.17]</w:t>
      </w:r>
      <w:r w:rsidRPr="003E72FE">
        <w:tab/>
      </w:r>
      <w:r w:rsidRPr="003E72FE">
        <w:rPr>
          <w:i/>
        </w:rPr>
        <w:t xml:space="preserve">omitting the </w:t>
      </w:r>
      <w:r w:rsidRPr="003E72FE">
        <w:t xml:space="preserve">Table to clause 5, </w:t>
      </w:r>
      <w:r w:rsidRPr="003E72FE">
        <w:rPr>
          <w:i/>
        </w:rPr>
        <w:t xml:space="preserve">substituting </w:t>
      </w:r>
      <w:r w:rsidRPr="003E72FE">
        <w:t xml:space="preserve">– </w:t>
      </w:r>
    </w:p>
    <w:p w:rsidR="003E72FE" w:rsidRPr="003E72FE" w:rsidRDefault="003E72FE" w:rsidP="003E72FE">
      <w:pPr>
        <w:rPr>
          <w:sz w:val="20"/>
          <w:szCs w:val="20"/>
        </w:rPr>
      </w:pPr>
    </w:p>
    <w:p w:rsidR="003E72FE" w:rsidRPr="003E72FE" w:rsidRDefault="003E72FE" w:rsidP="003E72FE">
      <w:pPr>
        <w:pStyle w:val="TableHeading"/>
      </w:pPr>
      <w:r w:rsidRPr="003E72FE">
        <w:t>Table to clause 5</w:t>
      </w:r>
    </w:p>
    <w:p w:rsidR="003E72FE" w:rsidRPr="003E72FE" w:rsidRDefault="003E72FE" w:rsidP="003E72FE">
      <w:pPr>
        <w:rPr>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gridCol w:w="2268"/>
      </w:tblGrid>
      <w:tr w:rsidR="003E72FE" w:rsidTr="003E72FE">
        <w:trPr>
          <w:trHeight w:val="345"/>
          <w:jc w:val="center"/>
        </w:trPr>
        <w:tc>
          <w:tcPr>
            <w:tcW w:w="2268" w:type="dxa"/>
            <w:tcBorders>
              <w:top w:val="single" w:sz="4" w:space="0" w:color="auto"/>
              <w:left w:val="single" w:sz="4" w:space="0" w:color="auto"/>
              <w:bottom w:val="nil"/>
              <w:right w:val="single" w:sz="4" w:space="0" w:color="auto"/>
            </w:tcBorders>
            <w:hideMark/>
          </w:tcPr>
          <w:p w:rsidR="003E72FE" w:rsidRDefault="003E72FE">
            <w:pPr>
              <w:pStyle w:val="Table1"/>
              <w:spacing w:line="276" w:lineRule="auto"/>
            </w:pPr>
            <w:r>
              <w:t>Column 1</w:t>
            </w:r>
          </w:p>
        </w:tc>
        <w:tc>
          <w:tcPr>
            <w:tcW w:w="4536" w:type="dxa"/>
            <w:tcBorders>
              <w:top w:val="single" w:sz="4" w:space="0" w:color="auto"/>
              <w:left w:val="single" w:sz="4" w:space="0" w:color="auto"/>
              <w:bottom w:val="nil"/>
              <w:right w:val="single" w:sz="4" w:space="0" w:color="auto"/>
            </w:tcBorders>
            <w:hideMark/>
          </w:tcPr>
          <w:p w:rsidR="003E72FE" w:rsidRDefault="003E72FE">
            <w:pPr>
              <w:pStyle w:val="Table1"/>
              <w:spacing w:line="276" w:lineRule="auto"/>
            </w:pPr>
            <w:r>
              <w:t>Column 2</w:t>
            </w:r>
          </w:p>
        </w:tc>
        <w:tc>
          <w:tcPr>
            <w:tcW w:w="2268" w:type="dxa"/>
            <w:tcBorders>
              <w:top w:val="single" w:sz="4" w:space="0" w:color="auto"/>
              <w:left w:val="single" w:sz="4" w:space="0" w:color="auto"/>
              <w:bottom w:val="nil"/>
              <w:right w:val="single" w:sz="4" w:space="0" w:color="auto"/>
            </w:tcBorders>
            <w:hideMark/>
          </w:tcPr>
          <w:p w:rsidR="003E72FE" w:rsidRDefault="003E72FE">
            <w:pPr>
              <w:pStyle w:val="Table1"/>
              <w:spacing w:line="276" w:lineRule="auto"/>
            </w:pPr>
            <w:r>
              <w:t>Column 3</w:t>
            </w:r>
          </w:p>
        </w:tc>
      </w:tr>
      <w:tr w:rsidR="003E72FE" w:rsidTr="003E72FE">
        <w:trPr>
          <w:trHeight w:val="345"/>
          <w:jc w:val="center"/>
        </w:trPr>
        <w:tc>
          <w:tcPr>
            <w:tcW w:w="2268" w:type="dxa"/>
            <w:tcBorders>
              <w:top w:val="nil"/>
              <w:left w:val="single" w:sz="4" w:space="0" w:color="auto"/>
              <w:bottom w:val="single" w:sz="4" w:space="0" w:color="auto"/>
              <w:right w:val="single" w:sz="4" w:space="0" w:color="auto"/>
            </w:tcBorders>
            <w:hideMark/>
          </w:tcPr>
          <w:p w:rsidR="003E72FE" w:rsidRDefault="003E72FE">
            <w:pPr>
              <w:pStyle w:val="Table1"/>
              <w:spacing w:line="276" w:lineRule="auto"/>
            </w:pPr>
            <w:r>
              <w:t>Toxicant</w:t>
            </w:r>
          </w:p>
        </w:tc>
        <w:tc>
          <w:tcPr>
            <w:tcW w:w="4536" w:type="dxa"/>
            <w:tcBorders>
              <w:top w:val="nil"/>
              <w:left w:val="single" w:sz="4" w:space="0" w:color="auto"/>
              <w:bottom w:val="single" w:sz="4" w:space="0" w:color="auto"/>
              <w:right w:val="single" w:sz="4" w:space="0" w:color="auto"/>
            </w:tcBorders>
            <w:hideMark/>
          </w:tcPr>
          <w:p w:rsidR="003E72FE" w:rsidRDefault="003E72FE">
            <w:pPr>
              <w:pStyle w:val="Table1"/>
              <w:spacing w:line="276" w:lineRule="auto"/>
            </w:pPr>
            <w:r>
              <w:t>Food</w:t>
            </w:r>
          </w:p>
        </w:tc>
        <w:tc>
          <w:tcPr>
            <w:tcW w:w="2268" w:type="dxa"/>
            <w:tcBorders>
              <w:top w:val="nil"/>
              <w:left w:val="single" w:sz="4" w:space="0" w:color="auto"/>
              <w:bottom w:val="single" w:sz="4" w:space="0" w:color="auto"/>
              <w:right w:val="single" w:sz="4" w:space="0" w:color="auto"/>
            </w:tcBorders>
            <w:hideMark/>
          </w:tcPr>
          <w:p w:rsidR="003E72FE" w:rsidRDefault="003E72FE">
            <w:pPr>
              <w:pStyle w:val="Table1"/>
              <w:spacing w:line="276" w:lineRule="auto"/>
            </w:pPr>
            <w:r>
              <w:t>Maximum level (mg/kg)</w:t>
            </w:r>
          </w:p>
        </w:tc>
      </w:tr>
      <w:tr w:rsidR="003E72FE" w:rsidTr="003E72FE">
        <w:trPr>
          <w:jc w:val="center"/>
        </w:trPr>
        <w:tc>
          <w:tcPr>
            <w:tcW w:w="2268" w:type="dxa"/>
            <w:tcBorders>
              <w:top w:val="nil"/>
              <w:left w:val="single" w:sz="4" w:space="0" w:color="auto"/>
              <w:bottom w:val="nil"/>
              <w:right w:val="single" w:sz="4" w:space="0" w:color="auto"/>
            </w:tcBorders>
            <w:hideMark/>
          </w:tcPr>
          <w:p w:rsidR="003E72FE" w:rsidRDefault="003E72FE">
            <w:pPr>
              <w:pStyle w:val="Table2"/>
              <w:spacing w:line="276" w:lineRule="auto"/>
            </w:pPr>
            <w:r>
              <w:t>Erucic acid</w:t>
            </w:r>
          </w:p>
        </w:tc>
        <w:tc>
          <w:tcPr>
            <w:tcW w:w="4536" w:type="dxa"/>
            <w:tcBorders>
              <w:top w:val="nil"/>
              <w:left w:val="single" w:sz="4" w:space="0" w:color="auto"/>
              <w:bottom w:val="nil"/>
              <w:right w:val="single" w:sz="4" w:space="0" w:color="auto"/>
            </w:tcBorders>
            <w:hideMark/>
          </w:tcPr>
          <w:p w:rsidR="003E72FE" w:rsidRDefault="003E72FE">
            <w:pPr>
              <w:pStyle w:val="Table2"/>
              <w:spacing w:line="276" w:lineRule="auto"/>
            </w:pPr>
            <w:r>
              <w:t>Edible oils</w:t>
            </w:r>
          </w:p>
        </w:tc>
        <w:tc>
          <w:tcPr>
            <w:tcW w:w="2268"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 xml:space="preserve">20,000 </w:t>
            </w:r>
          </w:p>
        </w:tc>
      </w:tr>
      <w:tr w:rsidR="003E72FE" w:rsidTr="003E72FE">
        <w:trPr>
          <w:jc w:val="center"/>
        </w:trPr>
        <w:tc>
          <w:tcPr>
            <w:tcW w:w="2268"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6"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268"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jc w:val="center"/>
        </w:trPr>
        <w:tc>
          <w:tcPr>
            <w:tcW w:w="2268" w:type="dxa"/>
            <w:tcBorders>
              <w:top w:val="nil"/>
              <w:left w:val="single" w:sz="4" w:space="0" w:color="auto"/>
              <w:bottom w:val="nil"/>
              <w:right w:val="single" w:sz="4" w:space="0" w:color="auto"/>
            </w:tcBorders>
            <w:hideMark/>
          </w:tcPr>
          <w:p w:rsidR="003E72FE" w:rsidRDefault="003E72FE">
            <w:pPr>
              <w:pStyle w:val="Table2"/>
              <w:spacing w:line="276" w:lineRule="auto"/>
            </w:pPr>
            <w:r>
              <w:t>Histamine</w:t>
            </w:r>
          </w:p>
        </w:tc>
        <w:tc>
          <w:tcPr>
            <w:tcW w:w="4536" w:type="dxa"/>
            <w:tcBorders>
              <w:top w:val="nil"/>
              <w:left w:val="single" w:sz="4" w:space="0" w:color="auto"/>
              <w:bottom w:val="nil"/>
              <w:right w:val="single" w:sz="4" w:space="0" w:color="auto"/>
            </w:tcBorders>
            <w:hideMark/>
          </w:tcPr>
          <w:p w:rsidR="003E72FE" w:rsidRDefault="003E72FE">
            <w:pPr>
              <w:pStyle w:val="Table2"/>
              <w:spacing w:line="276" w:lineRule="auto"/>
            </w:pPr>
            <w:r>
              <w:t>Fish and fish products</w:t>
            </w:r>
          </w:p>
        </w:tc>
        <w:tc>
          <w:tcPr>
            <w:tcW w:w="2268"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200</w:t>
            </w:r>
          </w:p>
        </w:tc>
      </w:tr>
      <w:tr w:rsidR="003E72FE" w:rsidTr="003E72FE">
        <w:trPr>
          <w:jc w:val="center"/>
        </w:trPr>
        <w:tc>
          <w:tcPr>
            <w:tcW w:w="2268"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6"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268"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r>
      <w:tr w:rsidR="003E72FE" w:rsidTr="003E72FE">
        <w:trPr>
          <w:jc w:val="center"/>
        </w:trPr>
        <w:tc>
          <w:tcPr>
            <w:tcW w:w="2268" w:type="dxa"/>
            <w:tcBorders>
              <w:top w:val="nil"/>
              <w:left w:val="single" w:sz="4" w:space="0" w:color="auto"/>
              <w:bottom w:val="nil"/>
              <w:right w:val="single" w:sz="4" w:space="0" w:color="auto"/>
            </w:tcBorders>
            <w:hideMark/>
          </w:tcPr>
          <w:p w:rsidR="003E72FE" w:rsidRDefault="003E72FE">
            <w:pPr>
              <w:pStyle w:val="Table2"/>
              <w:spacing w:line="276" w:lineRule="auto"/>
            </w:pPr>
            <w:r>
              <w:t>Hydrocyanic acid, total</w:t>
            </w:r>
          </w:p>
        </w:tc>
        <w:tc>
          <w:tcPr>
            <w:tcW w:w="4536" w:type="dxa"/>
            <w:tcBorders>
              <w:top w:val="nil"/>
              <w:left w:val="single" w:sz="4" w:space="0" w:color="auto"/>
              <w:bottom w:val="nil"/>
              <w:right w:val="single" w:sz="4" w:space="0" w:color="auto"/>
            </w:tcBorders>
            <w:hideMark/>
          </w:tcPr>
          <w:p w:rsidR="003E72FE" w:rsidRDefault="003E72FE">
            <w:pPr>
              <w:pStyle w:val="Table2"/>
              <w:spacing w:line="276" w:lineRule="auto"/>
            </w:pPr>
            <w:r>
              <w:t>Ready-to-eat cassava chips</w:t>
            </w:r>
          </w:p>
        </w:tc>
        <w:tc>
          <w:tcPr>
            <w:tcW w:w="2268"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10</w:t>
            </w:r>
          </w:p>
        </w:tc>
      </w:tr>
      <w:tr w:rsidR="003E72FE" w:rsidTr="003E72FE">
        <w:trPr>
          <w:jc w:val="center"/>
        </w:trPr>
        <w:tc>
          <w:tcPr>
            <w:tcW w:w="2268"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6"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268"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r w:rsidR="003E72FE" w:rsidTr="003E72FE">
        <w:trPr>
          <w:jc w:val="center"/>
        </w:trPr>
        <w:tc>
          <w:tcPr>
            <w:tcW w:w="2268" w:type="dxa"/>
            <w:tcBorders>
              <w:top w:val="nil"/>
              <w:left w:val="single" w:sz="4" w:space="0" w:color="auto"/>
              <w:bottom w:val="nil"/>
              <w:right w:val="single" w:sz="4" w:space="0" w:color="auto"/>
            </w:tcBorders>
            <w:hideMark/>
          </w:tcPr>
          <w:p w:rsidR="003E72FE" w:rsidRDefault="003E72FE">
            <w:pPr>
              <w:pStyle w:val="Table2"/>
              <w:spacing w:line="276" w:lineRule="auto"/>
            </w:pPr>
            <w:r>
              <w:t>Lupin alkaloids</w:t>
            </w:r>
          </w:p>
        </w:tc>
        <w:tc>
          <w:tcPr>
            <w:tcW w:w="4536" w:type="dxa"/>
            <w:tcBorders>
              <w:top w:val="nil"/>
              <w:left w:val="single" w:sz="4" w:space="0" w:color="auto"/>
              <w:bottom w:val="nil"/>
              <w:right w:val="single" w:sz="4" w:space="0" w:color="auto"/>
            </w:tcBorders>
            <w:hideMark/>
          </w:tcPr>
          <w:p w:rsidR="003E72FE" w:rsidRDefault="003E72FE">
            <w:pPr>
              <w:pStyle w:val="Table2"/>
              <w:spacing w:line="276" w:lineRule="auto"/>
            </w:pPr>
            <w:r>
              <w:t>Lupin flour, lupin kernel flour, lupin kernel meal and lupin hulls</w:t>
            </w:r>
          </w:p>
        </w:tc>
        <w:tc>
          <w:tcPr>
            <w:tcW w:w="2268"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200</w:t>
            </w:r>
          </w:p>
        </w:tc>
      </w:tr>
      <w:tr w:rsidR="003E72FE" w:rsidTr="003E72FE">
        <w:trPr>
          <w:jc w:val="center"/>
        </w:trPr>
        <w:tc>
          <w:tcPr>
            <w:tcW w:w="2268" w:type="dxa"/>
            <w:tcBorders>
              <w:top w:val="nil"/>
              <w:left w:val="single" w:sz="4" w:space="0" w:color="auto"/>
              <w:bottom w:val="nil"/>
              <w:right w:val="single" w:sz="4" w:space="0" w:color="auto"/>
            </w:tcBorders>
          </w:tcPr>
          <w:p w:rsidR="003E72FE" w:rsidRDefault="003E72FE">
            <w:pPr>
              <w:pStyle w:val="Table2"/>
              <w:tabs>
                <w:tab w:val="left" w:pos="2506"/>
              </w:tabs>
              <w:spacing w:line="276" w:lineRule="auto"/>
            </w:pPr>
          </w:p>
        </w:tc>
        <w:tc>
          <w:tcPr>
            <w:tcW w:w="4536" w:type="dxa"/>
            <w:tcBorders>
              <w:top w:val="nil"/>
              <w:left w:val="single" w:sz="4" w:space="0" w:color="auto"/>
              <w:bottom w:val="nil"/>
              <w:right w:val="single" w:sz="4" w:space="0" w:color="auto"/>
            </w:tcBorders>
          </w:tcPr>
          <w:p w:rsidR="003E72FE" w:rsidRDefault="003E72FE">
            <w:pPr>
              <w:pStyle w:val="Table2"/>
              <w:tabs>
                <w:tab w:val="left" w:pos="2506"/>
              </w:tabs>
              <w:spacing w:line="276" w:lineRule="auto"/>
            </w:pPr>
          </w:p>
        </w:tc>
        <w:tc>
          <w:tcPr>
            <w:tcW w:w="2268" w:type="dxa"/>
            <w:tcBorders>
              <w:top w:val="nil"/>
              <w:left w:val="single" w:sz="4" w:space="0" w:color="auto"/>
              <w:bottom w:val="nil"/>
              <w:right w:val="single" w:sz="4" w:space="0" w:color="auto"/>
            </w:tcBorders>
          </w:tcPr>
          <w:p w:rsidR="003E72FE" w:rsidRDefault="003E72FE">
            <w:pPr>
              <w:pStyle w:val="Table2"/>
              <w:tabs>
                <w:tab w:val="left" w:pos="2506"/>
              </w:tabs>
              <w:spacing w:line="276" w:lineRule="auto"/>
              <w:jc w:val="center"/>
            </w:pPr>
          </w:p>
        </w:tc>
      </w:tr>
      <w:tr w:rsidR="003E72FE" w:rsidTr="003E72FE">
        <w:trPr>
          <w:cantSplit/>
          <w:jc w:val="center"/>
        </w:trPr>
        <w:tc>
          <w:tcPr>
            <w:tcW w:w="2268" w:type="dxa"/>
            <w:tcBorders>
              <w:top w:val="single" w:sz="4" w:space="0" w:color="auto"/>
              <w:left w:val="single" w:sz="4" w:space="0" w:color="auto"/>
              <w:bottom w:val="nil"/>
              <w:right w:val="single" w:sz="4" w:space="0" w:color="auto"/>
            </w:tcBorders>
            <w:hideMark/>
          </w:tcPr>
          <w:p w:rsidR="003E72FE" w:rsidRDefault="003E72FE">
            <w:pPr>
              <w:pStyle w:val="Table2"/>
              <w:spacing w:line="276" w:lineRule="auto"/>
            </w:pPr>
            <w:r>
              <w:t>The ML for Tutin to cease on 31 March 2011</w:t>
            </w:r>
          </w:p>
        </w:tc>
        <w:tc>
          <w:tcPr>
            <w:tcW w:w="4536" w:type="dxa"/>
            <w:tcBorders>
              <w:top w:val="single" w:sz="4" w:space="0" w:color="auto"/>
              <w:left w:val="single" w:sz="4" w:space="0" w:color="auto"/>
              <w:bottom w:val="nil"/>
              <w:right w:val="single" w:sz="4" w:space="0" w:color="auto"/>
            </w:tcBorders>
          </w:tcPr>
          <w:p w:rsidR="003E72FE" w:rsidRDefault="003E72FE">
            <w:pPr>
              <w:pStyle w:val="Table2"/>
              <w:spacing w:line="276" w:lineRule="auto"/>
            </w:pPr>
          </w:p>
        </w:tc>
        <w:tc>
          <w:tcPr>
            <w:tcW w:w="2268" w:type="dxa"/>
            <w:tcBorders>
              <w:top w:val="single" w:sz="4" w:space="0" w:color="auto"/>
              <w:left w:val="single" w:sz="4" w:space="0" w:color="auto"/>
              <w:bottom w:val="nil"/>
              <w:right w:val="single" w:sz="4" w:space="0" w:color="auto"/>
            </w:tcBorders>
          </w:tcPr>
          <w:p w:rsidR="003E72FE" w:rsidRDefault="003E72FE">
            <w:pPr>
              <w:pStyle w:val="Table2"/>
              <w:spacing w:line="276" w:lineRule="auto"/>
              <w:jc w:val="center"/>
            </w:pPr>
          </w:p>
        </w:tc>
      </w:tr>
      <w:tr w:rsidR="003E72FE" w:rsidTr="003E72FE">
        <w:trPr>
          <w:cantSplit/>
          <w:jc w:val="center"/>
        </w:trPr>
        <w:tc>
          <w:tcPr>
            <w:tcW w:w="2268" w:type="dxa"/>
            <w:tcBorders>
              <w:top w:val="nil"/>
              <w:left w:val="single" w:sz="4" w:space="0" w:color="auto"/>
              <w:bottom w:val="nil"/>
              <w:right w:val="single" w:sz="4" w:space="0" w:color="auto"/>
            </w:tcBorders>
            <w:hideMark/>
          </w:tcPr>
          <w:p w:rsidR="003E72FE" w:rsidRDefault="003E72FE">
            <w:pPr>
              <w:pStyle w:val="Table2"/>
              <w:spacing w:line="276" w:lineRule="auto"/>
            </w:pPr>
            <w:r>
              <w:t>Tutin</w:t>
            </w:r>
          </w:p>
        </w:tc>
        <w:tc>
          <w:tcPr>
            <w:tcW w:w="4536" w:type="dxa"/>
            <w:tcBorders>
              <w:top w:val="nil"/>
              <w:left w:val="single" w:sz="4" w:space="0" w:color="auto"/>
              <w:bottom w:val="nil"/>
              <w:right w:val="single" w:sz="4" w:space="0" w:color="auto"/>
            </w:tcBorders>
            <w:hideMark/>
          </w:tcPr>
          <w:p w:rsidR="003E72FE" w:rsidRDefault="003E72FE">
            <w:pPr>
              <w:pStyle w:val="Table2"/>
              <w:spacing w:line="276" w:lineRule="auto"/>
            </w:pPr>
            <w:r>
              <w:t>Tutin in honey</w:t>
            </w:r>
          </w:p>
        </w:tc>
        <w:tc>
          <w:tcPr>
            <w:tcW w:w="2268"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2</w:t>
            </w:r>
          </w:p>
        </w:tc>
      </w:tr>
      <w:tr w:rsidR="003E72FE" w:rsidTr="003E72FE">
        <w:trPr>
          <w:cantSplit/>
          <w:jc w:val="center"/>
        </w:trPr>
        <w:tc>
          <w:tcPr>
            <w:tcW w:w="2268" w:type="dxa"/>
            <w:tcBorders>
              <w:top w:val="nil"/>
              <w:left w:val="single" w:sz="4" w:space="0" w:color="auto"/>
              <w:bottom w:val="nil"/>
              <w:right w:val="single" w:sz="4" w:space="0" w:color="auto"/>
            </w:tcBorders>
          </w:tcPr>
          <w:p w:rsidR="003E72FE" w:rsidRDefault="003E72FE">
            <w:pPr>
              <w:pStyle w:val="Table2"/>
              <w:spacing w:line="276" w:lineRule="auto"/>
            </w:pPr>
          </w:p>
        </w:tc>
        <w:tc>
          <w:tcPr>
            <w:tcW w:w="4536" w:type="dxa"/>
            <w:tcBorders>
              <w:top w:val="nil"/>
              <w:left w:val="single" w:sz="4" w:space="0" w:color="auto"/>
              <w:bottom w:val="nil"/>
              <w:right w:val="single" w:sz="4" w:space="0" w:color="auto"/>
            </w:tcBorders>
            <w:hideMark/>
          </w:tcPr>
          <w:p w:rsidR="003E72FE" w:rsidRDefault="003E72FE">
            <w:pPr>
              <w:pStyle w:val="Table2"/>
              <w:spacing w:line="276" w:lineRule="auto"/>
            </w:pPr>
            <w:r>
              <w:t>Tutin in comb honey</w:t>
            </w:r>
          </w:p>
        </w:tc>
        <w:tc>
          <w:tcPr>
            <w:tcW w:w="2268"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0.1</w:t>
            </w:r>
          </w:p>
        </w:tc>
      </w:tr>
      <w:tr w:rsidR="003E72FE" w:rsidTr="003E72FE">
        <w:trPr>
          <w:cantSplit/>
          <w:jc w:val="center"/>
        </w:trPr>
        <w:tc>
          <w:tcPr>
            <w:tcW w:w="2268"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4536"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2268" w:type="dxa"/>
            <w:tcBorders>
              <w:top w:val="nil"/>
              <w:left w:val="single" w:sz="4" w:space="0" w:color="auto"/>
              <w:bottom w:val="single" w:sz="4" w:space="0" w:color="auto"/>
              <w:right w:val="single" w:sz="4" w:space="0" w:color="auto"/>
            </w:tcBorders>
          </w:tcPr>
          <w:p w:rsidR="003E72FE" w:rsidRDefault="003E72FE">
            <w:pPr>
              <w:pStyle w:val="Table2"/>
              <w:spacing w:line="276" w:lineRule="auto"/>
              <w:jc w:val="center"/>
            </w:pPr>
          </w:p>
        </w:tc>
      </w:tr>
    </w:tbl>
    <w:p w:rsidR="003E72FE" w:rsidRDefault="003E72FE" w:rsidP="003E72FE">
      <w:pPr>
        <w:rPr>
          <w:sz w:val="20"/>
          <w:szCs w:val="20"/>
        </w:rPr>
      </w:pPr>
    </w:p>
    <w:p w:rsidR="003E72FE" w:rsidRPr="003E72FE" w:rsidRDefault="003E72FE" w:rsidP="003E72FE">
      <w:pPr>
        <w:pStyle w:val="Clause"/>
        <w:rPr>
          <w:lang w:bidi="ar-SA"/>
        </w:rPr>
      </w:pPr>
      <w:r w:rsidRPr="003E72FE">
        <w:rPr>
          <w:b/>
          <w:bCs/>
        </w:rPr>
        <w:t>[19]</w:t>
      </w:r>
      <w:r w:rsidRPr="003E72FE">
        <w:tab/>
      </w:r>
      <w:r w:rsidRPr="003E72FE">
        <w:rPr>
          <w:b/>
          <w:bCs/>
          <w:i/>
        </w:rPr>
        <w:t>Standard 1.4.2</w:t>
      </w:r>
      <w:r w:rsidRPr="003E72FE">
        <w:rPr>
          <w:i/>
        </w:rPr>
        <w:t xml:space="preserve"> of the Australia New Zealand Food Standards Code is varied by</w:t>
      </w:r>
      <w:r w:rsidRPr="003E72FE">
        <w:t xml:space="preserve"> – </w:t>
      </w:r>
    </w:p>
    <w:p w:rsidR="003E72FE" w:rsidRPr="003E72FE" w:rsidRDefault="003E72FE" w:rsidP="003E72FE">
      <w:pPr>
        <w:rPr>
          <w:iCs/>
          <w:sz w:val="20"/>
          <w:szCs w:val="20"/>
        </w:rPr>
      </w:pPr>
    </w:p>
    <w:p w:rsidR="003E72FE" w:rsidRPr="003E72FE" w:rsidRDefault="003E72FE" w:rsidP="003E72FE">
      <w:pPr>
        <w:pStyle w:val="Clause"/>
      </w:pPr>
      <w:r w:rsidRPr="003E72FE">
        <w:t>[19.1]</w:t>
      </w:r>
      <w:r w:rsidRPr="003E72FE">
        <w:tab/>
      </w:r>
      <w:r w:rsidRPr="003E72FE">
        <w:rPr>
          <w:i/>
        </w:rPr>
        <w:t xml:space="preserve">omitting the heading to </w:t>
      </w:r>
      <w:r w:rsidRPr="003E72FE">
        <w:t xml:space="preserve">Schedule 1, </w:t>
      </w:r>
      <w:r w:rsidRPr="003E72FE">
        <w:rPr>
          <w:i/>
        </w:rPr>
        <w:t>substituting</w:t>
      </w:r>
      <w:r w:rsidRPr="003E72FE">
        <w:t xml:space="preserve"> – </w:t>
      </w:r>
    </w:p>
    <w:p w:rsidR="003E72FE" w:rsidRPr="003E72FE" w:rsidRDefault="003E72FE" w:rsidP="003E72FE">
      <w:pPr>
        <w:rPr>
          <w:i/>
          <w:iCs/>
          <w:sz w:val="20"/>
          <w:szCs w:val="20"/>
        </w:rPr>
      </w:pPr>
    </w:p>
    <w:p w:rsidR="003E72FE" w:rsidRDefault="003E72FE" w:rsidP="003E72FE">
      <w:pPr>
        <w:pStyle w:val="TableHeading"/>
      </w:pPr>
      <w:r w:rsidRPr="003E72FE">
        <w:t>Maximum Residue Limits (mg/kg)</w:t>
      </w:r>
      <w:r>
        <w:br w:type="page"/>
      </w:r>
    </w:p>
    <w:p w:rsidR="003E72FE" w:rsidRPr="003E72FE" w:rsidRDefault="003E72FE" w:rsidP="003E72FE">
      <w:pPr>
        <w:pStyle w:val="Clause"/>
      </w:pPr>
      <w:r w:rsidRPr="003E72FE">
        <w:lastRenderedPageBreak/>
        <w:t>[19.2]</w:t>
      </w:r>
      <w:r w:rsidRPr="003E72FE">
        <w:tab/>
      </w:r>
      <w:r w:rsidRPr="003E72FE">
        <w:rPr>
          <w:i/>
        </w:rPr>
        <w:t>omitting the heading to</w:t>
      </w:r>
      <w:r w:rsidRPr="003E72FE">
        <w:t xml:space="preserve"> Schedule 2</w:t>
      </w:r>
      <w:r w:rsidRPr="003E72FE">
        <w:rPr>
          <w:i/>
        </w:rPr>
        <w:t>, substituting</w:t>
      </w:r>
      <w:r w:rsidRPr="003E72FE">
        <w:t xml:space="preserve"> – </w:t>
      </w:r>
    </w:p>
    <w:p w:rsidR="003E72FE" w:rsidRPr="003E72FE" w:rsidRDefault="003E72FE" w:rsidP="003E72FE">
      <w:pPr>
        <w:rPr>
          <w:i/>
          <w:iCs/>
          <w:sz w:val="20"/>
          <w:szCs w:val="20"/>
        </w:rPr>
      </w:pPr>
    </w:p>
    <w:p w:rsidR="003E72FE" w:rsidRDefault="003E72FE" w:rsidP="003E72FE">
      <w:pPr>
        <w:pStyle w:val="TableHeading"/>
      </w:pPr>
      <w:r>
        <w:t>Extraneous Residue Limits (mg/kg)</w:t>
      </w:r>
    </w:p>
    <w:p w:rsidR="003E72FE" w:rsidRPr="003E72FE" w:rsidRDefault="003E72FE" w:rsidP="003E72FE">
      <w:pPr>
        <w:rPr>
          <w:sz w:val="20"/>
          <w:szCs w:val="20"/>
        </w:rPr>
      </w:pPr>
    </w:p>
    <w:p w:rsidR="003E72FE" w:rsidRPr="003E72FE" w:rsidRDefault="003E72FE" w:rsidP="003E72FE">
      <w:pPr>
        <w:pStyle w:val="Clause"/>
      </w:pPr>
      <w:r w:rsidRPr="003E72FE">
        <w:rPr>
          <w:b/>
          <w:bCs/>
        </w:rPr>
        <w:t>[20]</w:t>
      </w:r>
      <w:r w:rsidRPr="003E72FE">
        <w:tab/>
      </w:r>
      <w:r w:rsidRPr="003E72FE">
        <w:rPr>
          <w:b/>
          <w:bCs/>
          <w:i/>
        </w:rPr>
        <w:t>Standard 1.4.4</w:t>
      </w:r>
      <w:r w:rsidRPr="003E72FE">
        <w:rPr>
          <w:i/>
        </w:rPr>
        <w:t xml:space="preserve"> of the Australia New Zealand Food Standards Code is varied by</w:t>
      </w:r>
      <w:r w:rsidRPr="003E72FE">
        <w:t xml:space="preserve"> – </w:t>
      </w:r>
    </w:p>
    <w:p w:rsidR="003E72FE" w:rsidRPr="003E72FE" w:rsidRDefault="003E72FE" w:rsidP="003E72FE">
      <w:pPr>
        <w:rPr>
          <w:sz w:val="20"/>
          <w:szCs w:val="20"/>
        </w:rPr>
      </w:pPr>
    </w:p>
    <w:p w:rsidR="003E72FE" w:rsidRPr="003E72FE" w:rsidRDefault="003E72FE" w:rsidP="003E72FE">
      <w:pPr>
        <w:pStyle w:val="Clause"/>
      </w:pPr>
      <w:r w:rsidRPr="003E72FE">
        <w:t>[20.1]</w:t>
      </w:r>
      <w:r w:rsidRPr="003E72FE">
        <w:tab/>
      </w:r>
      <w:r w:rsidRPr="003E72FE">
        <w:rPr>
          <w:i/>
        </w:rPr>
        <w:t xml:space="preserve">omitting from </w:t>
      </w:r>
      <w:r w:rsidRPr="003E72FE">
        <w:t xml:space="preserve">Schedule 1 – </w:t>
      </w:r>
    </w:p>
    <w:p w:rsidR="003E72FE" w:rsidRPr="003E72FE" w:rsidRDefault="003E72FE" w:rsidP="003E72FE">
      <w:pPr>
        <w:rPr>
          <w:sz w:val="20"/>
          <w:szCs w:val="20"/>
        </w:rPr>
      </w:pPr>
    </w:p>
    <w:p w:rsidR="003E72FE" w:rsidRPr="003E72FE" w:rsidRDefault="003E72FE" w:rsidP="003E72FE">
      <w:pPr>
        <w:pStyle w:val="Table2"/>
        <w:rPr>
          <w:sz w:val="20"/>
        </w:rPr>
      </w:pPr>
      <w:r w:rsidRPr="003E72FE">
        <w:rPr>
          <w:i/>
          <w:sz w:val="20"/>
        </w:rPr>
        <w:t>Plugeus</w:t>
      </w:r>
      <w:r w:rsidRPr="003E72FE">
        <w:rPr>
          <w:sz w:val="20"/>
        </w:rPr>
        <w:t xml:space="preserve"> spp.</w:t>
      </w:r>
    </w:p>
    <w:p w:rsidR="003E72FE" w:rsidRPr="003E72FE" w:rsidRDefault="003E72FE" w:rsidP="003E72FE">
      <w:pPr>
        <w:pStyle w:val="Table2"/>
        <w:rPr>
          <w:sz w:val="20"/>
        </w:rPr>
      </w:pPr>
    </w:p>
    <w:p w:rsidR="003E72FE" w:rsidRPr="003E72FE" w:rsidRDefault="003E72FE" w:rsidP="003E72FE">
      <w:pPr>
        <w:pStyle w:val="Clause"/>
        <w:rPr>
          <w:i/>
          <w:iCs/>
        </w:rPr>
      </w:pPr>
      <w:r w:rsidRPr="003E72FE">
        <w:rPr>
          <w:i/>
          <w:iCs/>
        </w:rPr>
        <w:t xml:space="preserve">substituting – </w:t>
      </w:r>
    </w:p>
    <w:p w:rsidR="003E72FE" w:rsidRPr="003E72FE" w:rsidRDefault="003E72FE" w:rsidP="003E72FE">
      <w:pPr>
        <w:rPr>
          <w:i/>
          <w:sz w:val="20"/>
          <w:szCs w:val="20"/>
        </w:rPr>
      </w:pPr>
    </w:p>
    <w:p w:rsidR="003E72FE" w:rsidRPr="003E72FE" w:rsidRDefault="003E72FE" w:rsidP="003E72FE">
      <w:pPr>
        <w:pStyle w:val="Table2"/>
        <w:rPr>
          <w:sz w:val="20"/>
        </w:rPr>
      </w:pPr>
      <w:r w:rsidRPr="003E72FE">
        <w:rPr>
          <w:i/>
          <w:sz w:val="20"/>
        </w:rPr>
        <w:t xml:space="preserve">Pluteus </w:t>
      </w:r>
      <w:r w:rsidRPr="003E72FE">
        <w:rPr>
          <w:sz w:val="20"/>
        </w:rPr>
        <w:t>spp.</w:t>
      </w:r>
    </w:p>
    <w:p w:rsidR="003E72FE" w:rsidRPr="003E72FE" w:rsidRDefault="003E72FE" w:rsidP="003E72FE">
      <w:pPr>
        <w:rPr>
          <w:i/>
          <w:sz w:val="20"/>
          <w:szCs w:val="20"/>
        </w:rPr>
      </w:pPr>
    </w:p>
    <w:p w:rsidR="003E72FE" w:rsidRPr="003E72FE" w:rsidRDefault="003E72FE" w:rsidP="003E72FE">
      <w:pPr>
        <w:pStyle w:val="Clause"/>
        <w:rPr>
          <w:i/>
          <w:iCs/>
        </w:rPr>
      </w:pPr>
      <w:r w:rsidRPr="003E72FE">
        <w:rPr>
          <w:iCs/>
        </w:rPr>
        <w:t>[20.2]</w:t>
      </w:r>
      <w:r w:rsidRPr="003E72FE">
        <w:rPr>
          <w:i/>
          <w:iCs/>
        </w:rPr>
        <w:tab/>
        <w:t xml:space="preserve">omitting from </w:t>
      </w:r>
      <w:r w:rsidRPr="003E72FE">
        <w:rPr>
          <w:iCs/>
        </w:rPr>
        <w:t>Schedule 1</w:t>
      </w:r>
      <w:r w:rsidRPr="003E72FE">
        <w:rPr>
          <w:i/>
          <w:iCs/>
        </w:rPr>
        <w:t xml:space="preserve"> and </w:t>
      </w:r>
      <w:r w:rsidRPr="003E72FE">
        <w:rPr>
          <w:iCs/>
        </w:rPr>
        <w:t>Schedule 2</w:t>
      </w:r>
      <w:r w:rsidRPr="003E72FE">
        <w:rPr>
          <w:i/>
          <w:iCs/>
        </w:rPr>
        <w:t xml:space="preserve">, wherever occurring, the symbol </w:t>
      </w:r>
      <w:r w:rsidRPr="003E72FE">
        <w:rPr>
          <w:iCs/>
        </w:rPr>
        <w:t>*</w:t>
      </w:r>
    </w:p>
    <w:p w:rsidR="003E72FE" w:rsidRPr="003E72FE" w:rsidRDefault="003E72FE" w:rsidP="003E72FE">
      <w:pPr>
        <w:rPr>
          <w:sz w:val="20"/>
          <w:szCs w:val="20"/>
        </w:rPr>
      </w:pPr>
    </w:p>
    <w:p w:rsidR="003E72FE" w:rsidRPr="003E72FE" w:rsidRDefault="003E72FE" w:rsidP="003E72FE">
      <w:pPr>
        <w:pStyle w:val="Clause"/>
        <w:rPr>
          <w:i/>
          <w:iCs/>
        </w:rPr>
      </w:pPr>
      <w:r w:rsidRPr="003E72FE">
        <w:rPr>
          <w:iCs/>
        </w:rPr>
        <w:t>[20.3]</w:t>
      </w:r>
      <w:r w:rsidRPr="003E72FE">
        <w:rPr>
          <w:i/>
          <w:iCs/>
        </w:rPr>
        <w:tab/>
        <w:t xml:space="preserve">omitting from </w:t>
      </w:r>
      <w:r w:rsidRPr="003E72FE">
        <w:rPr>
          <w:iCs/>
        </w:rPr>
        <w:t>Schedule 1</w:t>
      </w:r>
      <w:r w:rsidRPr="003E72FE">
        <w:rPr>
          <w:i/>
          <w:iCs/>
        </w:rPr>
        <w:t xml:space="preserve"> and </w:t>
      </w:r>
      <w:r w:rsidRPr="003E72FE">
        <w:rPr>
          <w:iCs/>
        </w:rPr>
        <w:t>Schedule 2</w:t>
      </w:r>
      <w:r w:rsidRPr="003E72FE">
        <w:rPr>
          <w:i/>
          <w:iCs/>
        </w:rPr>
        <w:t xml:space="preserve">, wherever occurring – </w:t>
      </w:r>
    </w:p>
    <w:p w:rsidR="003E72FE" w:rsidRPr="003E72FE" w:rsidRDefault="003E72FE" w:rsidP="003E72FE">
      <w:pPr>
        <w:pStyle w:val="Clause"/>
      </w:pPr>
    </w:p>
    <w:p w:rsidR="003E72FE" w:rsidRPr="003E72FE" w:rsidRDefault="003E72FE" w:rsidP="003E72FE">
      <w:pPr>
        <w:pStyle w:val="FootnoteText2"/>
        <w:rPr>
          <w:sz w:val="20"/>
        </w:rPr>
      </w:pPr>
      <w:r w:rsidRPr="003E72FE">
        <w:rPr>
          <w:sz w:val="20"/>
        </w:rPr>
        <w:t>* Not an Australian Approved Name.</w:t>
      </w:r>
    </w:p>
    <w:p w:rsidR="003E72FE" w:rsidRPr="003E72FE" w:rsidRDefault="003E72FE" w:rsidP="003E72FE">
      <w:pPr>
        <w:rPr>
          <w:i/>
          <w:sz w:val="20"/>
          <w:szCs w:val="20"/>
        </w:rPr>
      </w:pPr>
    </w:p>
    <w:p w:rsidR="003E72FE" w:rsidRPr="003E72FE" w:rsidRDefault="003E72FE" w:rsidP="003E72FE">
      <w:pPr>
        <w:pStyle w:val="Clause"/>
        <w:rPr>
          <w:bCs/>
          <w:i/>
        </w:rPr>
      </w:pPr>
      <w:r w:rsidRPr="003E72FE">
        <w:rPr>
          <w:b/>
          <w:bCs/>
        </w:rPr>
        <w:t>[21]</w:t>
      </w:r>
      <w:r w:rsidRPr="003E72FE">
        <w:rPr>
          <w:b/>
          <w:bCs/>
        </w:rPr>
        <w:tab/>
      </w:r>
      <w:r w:rsidRPr="003E72FE">
        <w:rPr>
          <w:b/>
          <w:bCs/>
          <w:i/>
        </w:rPr>
        <w:t xml:space="preserve">Standard 1.5.1 </w:t>
      </w:r>
      <w:r w:rsidRPr="003E72FE">
        <w:rPr>
          <w:bCs/>
          <w:i/>
        </w:rPr>
        <w:t>of the Australia New Zealand Food Standards Code is varied by –</w:t>
      </w:r>
    </w:p>
    <w:p w:rsidR="003E72FE" w:rsidRPr="003E72FE" w:rsidRDefault="003E72FE" w:rsidP="003E72FE">
      <w:pPr>
        <w:pStyle w:val="Clause"/>
        <w:rPr>
          <w:bCs/>
          <w:i/>
        </w:rPr>
      </w:pPr>
    </w:p>
    <w:p w:rsidR="003E72FE" w:rsidRPr="003E72FE" w:rsidRDefault="003E72FE" w:rsidP="003E72FE">
      <w:pPr>
        <w:pStyle w:val="Clause"/>
        <w:rPr>
          <w:rFonts w:cs="Arial"/>
        </w:rPr>
      </w:pPr>
      <w:r w:rsidRPr="003E72FE">
        <w:t>[21.1]</w:t>
      </w:r>
      <w:r w:rsidRPr="003E72FE">
        <w:tab/>
      </w:r>
      <w:r w:rsidRPr="003E72FE">
        <w:rPr>
          <w:rFonts w:cs="Arial"/>
          <w:i/>
        </w:rPr>
        <w:t xml:space="preserve">omitting from the </w:t>
      </w:r>
      <w:r w:rsidRPr="003E72FE">
        <w:rPr>
          <w:rFonts w:cs="Arial"/>
        </w:rPr>
        <w:t xml:space="preserve">Editorial note </w:t>
      </w:r>
      <w:r w:rsidRPr="003E72FE">
        <w:rPr>
          <w:rFonts w:cs="Arial"/>
          <w:i/>
        </w:rPr>
        <w:t>following clause 1</w:t>
      </w:r>
      <w:r w:rsidRPr="003E72FE">
        <w:rPr>
          <w:rFonts w:cs="Arial"/>
        </w:rPr>
        <w:t xml:space="preserve"> –</w:t>
      </w:r>
    </w:p>
    <w:p w:rsidR="003E72FE" w:rsidRPr="003E72FE" w:rsidRDefault="003E72FE" w:rsidP="003E72FE">
      <w:pPr>
        <w:rPr>
          <w:rFonts w:cs="Arial"/>
          <w:sz w:val="20"/>
          <w:szCs w:val="20"/>
        </w:rPr>
      </w:pPr>
    </w:p>
    <w:p w:rsidR="003E72FE" w:rsidRPr="003E72FE" w:rsidRDefault="003E72FE" w:rsidP="003E72FE">
      <w:pPr>
        <w:pStyle w:val="Clause"/>
        <w:rPr>
          <w:rFonts w:cs="Arial"/>
        </w:rPr>
      </w:pPr>
      <w:r w:rsidRPr="003E72FE">
        <w:rPr>
          <w:rFonts w:cs="Arial"/>
        </w:rPr>
        <w:t>micro-organisms</w:t>
      </w:r>
    </w:p>
    <w:p w:rsidR="003E72FE" w:rsidRPr="003E72FE" w:rsidRDefault="003E72FE" w:rsidP="003E72FE">
      <w:pPr>
        <w:rPr>
          <w:rFonts w:cs="Arial"/>
          <w:sz w:val="20"/>
          <w:szCs w:val="20"/>
        </w:rPr>
      </w:pPr>
    </w:p>
    <w:p w:rsidR="003E72FE" w:rsidRPr="003E72FE" w:rsidRDefault="003E72FE" w:rsidP="003E72FE">
      <w:pPr>
        <w:pStyle w:val="Clause"/>
        <w:rPr>
          <w:rFonts w:cs="Arial"/>
          <w:i/>
          <w:iCs/>
        </w:rPr>
      </w:pPr>
      <w:r w:rsidRPr="003E72FE">
        <w:rPr>
          <w:rFonts w:cs="Arial"/>
          <w:i/>
          <w:iCs/>
        </w:rPr>
        <w:t>substituting –</w:t>
      </w:r>
    </w:p>
    <w:p w:rsidR="003E72FE" w:rsidRPr="003E72FE" w:rsidRDefault="003E72FE" w:rsidP="003E72FE">
      <w:pPr>
        <w:rPr>
          <w:rFonts w:cs="Arial"/>
          <w:i/>
          <w:sz w:val="20"/>
          <w:szCs w:val="20"/>
        </w:rPr>
      </w:pPr>
    </w:p>
    <w:p w:rsidR="003E72FE" w:rsidRPr="003E72FE" w:rsidRDefault="003E72FE" w:rsidP="003E72FE">
      <w:pPr>
        <w:pStyle w:val="Clause"/>
        <w:rPr>
          <w:rFonts w:cs="Arial"/>
        </w:rPr>
      </w:pPr>
      <w:r w:rsidRPr="003E72FE">
        <w:rPr>
          <w:rFonts w:cs="Arial"/>
        </w:rPr>
        <w:t>microorganisms</w:t>
      </w:r>
    </w:p>
    <w:p w:rsidR="003E72FE" w:rsidRPr="003E72FE" w:rsidRDefault="003E72FE" w:rsidP="003E72FE">
      <w:pPr>
        <w:rPr>
          <w:rFonts w:cs="Arial"/>
          <w:sz w:val="20"/>
          <w:szCs w:val="20"/>
        </w:rPr>
      </w:pPr>
    </w:p>
    <w:p w:rsidR="003E72FE" w:rsidRPr="003E72FE" w:rsidRDefault="003E72FE" w:rsidP="003E72FE">
      <w:pPr>
        <w:pStyle w:val="Clause"/>
        <w:rPr>
          <w:rFonts w:cs="Arial"/>
        </w:rPr>
      </w:pPr>
      <w:r w:rsidRPr="003E72FE">
        <w:rPr>
          <w:rFonts w:cs="Arial"/>
        </w:rPr>
        <w:t>[21.2]</w:t>
      </w:r>
      <w:r w:rsidRPr="003E72FE">
        <w:rPr>
          <w:rFonts w:cs="Arial"/>
        </w:rPr>
        <w:tab/>
      </w:r>
      <w:r w:rsidRPr="003E72FE">
        <w:rPr>
          <w:rFonts w:cs="Arial"/>
          <w:i/>
        </w:rPr>
        <w:t xml:space="preserve">omitting paragraph 3 and the bolded text from the </w:t>
      </w:r>
      <w:r w:rsidRPr="003E72FE">
        <w:rPr>
          <w:rFonts w:cs="Arial"/>
        </w:rPr>
        <w:t>Editorial note</w:t>
      </w:r>
      <w:r w:rsidRPr="003E72FE">
        <w:rPr>
          <w:rFonts w:cs="Arial"/>
          <w:i/>
        </w:rPr>
        <w:t xml:space="preserve"> following clause 3</w:t>
      </w:r>
      <w:r w:rsidRPr="003E72FE">
        <w:rPr>
          <w:rFonts w:cs="Arial"/>
        </w:rPr>
        <w:t xml:space="preserve"> </w:t>
      </w:r>
    </w:p>
    <w:p w:rsidR="003E72FE" w:rsidRPr="003E72FE" w:rsidRDefault="003E72FE" w:rsidP="003E72FE">
      <w:pPr>
        <w:pStyle w:val="EditorialNotetext"/>
        <w:pBdr>
          <w:top w:val="none" w:sz="0" w:space="0" w:color="auto"/>
          <w:left w:val="none" w:sz="0" w:space="0" w:color="auto"/>
          <w:bottom w:val="none" w:sz="0" w:space="0" w:color="auto"/>
          <w:right w:val="none" w:sz="0" w:space="0" w:color="auto"/>
        </w:pBdr>
        <w:rPr>
          <w:rFonts w:cs="Arial"/>
        </w:rPr>
      </w:pPr>
    </w:p>
    <w:p w:rsidR="003E72FE" w:rsidRPr="003E72FE" w:rsidRDefault="003E72FE" w:rsidP="003E72FE">
      <w:pPr>
        <w:pStyle w:val="Clause"/>
        <w:rPr>
          <w:bCs/>
        </w:rPr>
      </w:pPr>
      <w:r w:rsidRPr="003E72FE">
        <w:rPr>
          <w:rFonts w:cs="Arial"/>
        </w:rPr>
        <w:t>[21.3]</w:t>
      </w:r>
      <w:r w:rsidRPr="003E72FE">
        <w:rPr>
          <w:rFonts w:cs="Arial"/>
        </w:rPr>
        <w:tab/>
      </w:r>
      <w:r w:rsidRPr="003E72FE">
        <w:rPr>
          <w:bCs/>
          <w:i/>
        </w:rPr>
        <w:t xml:space="preserve">omitting from the </w:t>
      </w:r>
      <w:r w:rsidRPr="003E72FE">
        <w:rPr>
          <w:bCs/>
        </w:rPr>
        <w:t xml:space="preserve">Table to clause 2 – </w:t>
      </w:r>
    </w:p>
    <w:p w:rsidR="003E72FE" w:rsidRPr="003E72FE" w:rsidRDefault="003E72FE" w:rsidP="003E72FE">
      <w:pPr>
        <w:pStyle w:val="Clause"/>
        <w:rPr>
          <w:bCs/>
        </w:rPr>
      </w:pPr>
    </w:p>
    <w:tbl>
      <w:tblPr>
        <w:tblW w:w="9075" w:type="dxa"/>
        <w:tblLayout w:type="fixed"/>
        <w:tblCellMar>
          <w:left w:w="80" w:type="dxa"/>
          <w:right w:w="80" w:type="dxa"/>
        </w:tblCellMar>
        <w:tblLook w:val="04A0" w:firstRow="1" w:lastRow="0" w:firstColumn="1" w:lastColumn="0" w:noHBand="0" w:noVBand="1"/>
      </w:tblPr>
      <w:tblGrid>
        <w:gridCol w:w="4537"/>
        <w:gridCol w:w="4538"/>
      </w:tblGrid>
      <w:tr w:rsidR="003E72FE" w:rsidTr="003E72FE">
        <w:trPr>
          <w:cantSplit/>
        </w:trPr>
        <w:tc>
          <w:tcPr>
            <w:tcW w:w="453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Docosahexaenoic acid (DHA) – rich dried marine micro-algae (</w:t>
            </w:r>
            <w:r>
              <w:rPr>
                <w:i/>
                <w:iCs/>
              </w:rPr>
              <w:t xml:space="preserve">Schizochytrium </w:t>
            </w:r>
            <w:r>
              <w:t>sp.)</w:t>
            </w:r>
          </w:p>
        </w:tc>
        <w:tc>
          <w:tcPr>
            <w:tcW w:w="4536" w:type="dxa"/>
            <w:tcBorders>
              <w:top w:val="single" w:sz="6" w:space="0" w:color="auto"/>
              <w:left w:val="single" w:sz="6" w:space="0" w:color="auto"/>
              <w:bottom w:val="single" w:sz="6" w:space="0" w:color="auto"/>
              <w:right w:val="single" w:sz="6" w:space="0" w:color="auto"/>
            </w:tcBorders>
          </w:tcPr>
          <w:p w:rsidR="003E72FE" w:rsidRDefault="003E72FE">
            <w:pPr>
              <w:pStyle w:val="Table2"/>
              <w:spacing w:line="276" w:lineRule="auto"/>
            </w:pPr>
          </w:p>
        </w:tc>
      </w:tr>
      <w:tr w:rsidR="003E72FE" w:rsidTr="003E72FE">
        <w:trPr>
          <w:cantSplit/>
        </w:trPr>
        <w:tc>
          <w:tcPr>
            <w:tcW w:w="453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Docosahexaenoic acid (DHA) – rich oil derived from marine micro-algae (</w:t>
            </w:r>
            <w:r>
              <w:rPr>
                <w:i/>
                <w:iCs/>
              </w:rPr>
              <w:t xml:space="preserve">Schizochytrium </w:t>
            </w:r>
            <w:r>
              <w:t>sp.)</w:t>
            </w:r>
          </w:p>
        </w:tc>
        <w:tc>
          <w:tcPr>
            <w:tcW w:w="4536" w:type="dxa"/>
            <w:tcBorders>
              <w:top w:val="single" w:sz="6" w:space="0" w:color="auto"/>
              <w:left w:val="single" w:sz="6" w:space="0" w:color="auto"/>
              <w:bottom w:val="single" w:sz="6" w:space="0" w:color="auto"/>
              <w:right w:val="single" w:sz="6" w:space="0" w:color="auto"/>
            </w:tcBorders>
          </w:tcPr>
          <w:p w:rsidR="003E72FE" w:rsidRDefault="003E72FE">
            <w:pPr>
              <w:pStyle w:val="Table2"/>
              <w:spacing w:line="276" w:lineRule="auto"/>
            </w:pPr>
          </w:p>
        </w:tc>
      </w:tr>
      <w:tr w:rsidR="003E72FE" w:rsidTr="003E72FE">
        <w:trPr>
          <w:cantSplit/>
        </w:trPr>
        <w:tc>
          <w:tcPr>
            <w:tcW w:w="453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rPr>
                <w:color w:val="000000"/>
                <w:lang w:val="en-AU"/>
              </w:rPr>
              <w:t>Docosahexaenoic acid (DHA) – rich oil derived from marine micro-algae (</w:t>
            </w:r>
            <w:r>
              <w:rPr>
                <w:i/>
                <w:iCs/>
                <w:color w:val="000000"/>
                <w:lang w:val="en-AU"/>
              </w:rPr>
              <w:t>Ulkenia</w:t>
            </w:r>
            <w:r>
              <w:rPr>
                <w:color w:val="000000"/>
                <w:lang w:val="en-AU"/>
              </w:rPr>
              <w:t xml:space="preserve"> sp.)</w:t>
            </w:r>
          </w:p>
        </w:tc>
        <w:tc>
          <w:tcPr>
            <w:tcW w:w="4536" w:type="dxa"/>
            <w:tcBorders>
              <w:top w:val="single" w:sz="6" w:space="0" w:color="auto"/>
              <w:left w:val="single" w:sz="6" w:space="0" w:color="auto"/>
              <w:bottom w:val="single" w:sz="6" w:space="0" w:color="auto"/>
              <w:right w:val="single" w:sz="6" w:space="0" w:color="auto"/>
            </w:tcBorders>
          </w:tcPr>
          <w:p w:rsidR="003E72FE" w:rsidRDefault="003E72FE">
            <w:pPr>
              <w:pStyle w:val="Table2"/>
              <w:spacing w:line="276" w:lineRule="auto"/>
            </w:pPr>
          </w:p>
        </w:tc>
      </w:tr>
    </w:tbl>
    <w:p w:rsidR="003E72FE" w:rsidRPr="003E72FE" w:rsidRDefault="003E72FE" w:rsidP="003E72FE">
      <w:pPr>
        <w:rPr>
          <w:sz w:val="20"/>
          <w:szCs w:val="20"/>
        </w:rPr>
      </w:pPr>
    </w:p>
    <w:p w:rsidR="003E72FE" w:rsidRPr="003E72FE" w:rsidRDefault="003E72FE" w:rsidP="003E72FE">
      <w:pPr>
        <w:pStyle w:val="Clause"/>
        <w:rPr>
          <w:i/>
          <w:iCs/>
          <w:lang w:bidi="ar-SA"/>
        </w:rPr>
      </w:pPr>
      <w:r w:rsidRPr="003E72FE">
        <w:rPr>
          <w:i/>
          <w:iCs/>
        </w:rPr>
        <w:t xml:space="preserve">substituting – </w:t>
      </w:r>
    </w:p>
    <w:p w:rsidR="003E72FE" w:rsidRPr="003E72FE" w:rsidRDefault="003E72FE" w:rsidP="003E72FE">
      <w:pPr>
        <w:rPr>
          <w:i/>
          <w:sz w:val="20"/>
          <w:szCs w:val="20"/>
        </w:rPr>
      </w:pPr>
    </w:p>
    <w:tbl>
      <w:tblPr>
        <w:tblW w:w="9075" w:type="dxa"/>
        <w:tblLayout w:type="fixed"/>
        <w:tblCellMar>
          <w:left w:w="80" w:type="dxa"/>
          <w:right w:w="80" w:type="dxa"/>
        </w:tblCellMar>
        <w:tblLook w:val="04A0" w:firstRow="1" w:lastRow="0" w:firstColumn="1" w:lastColumn="0" w:noHBand="0" w:noVBand="1"/>
      </w:tblPr>
      <w:tblGrid>
        <w:gridCol w:w="4537"/>
        <w:gridCol w:w="4538"/>
      </w:tblGrid>
      <w:tr w:rsidR="003E72FE" w:rsidTr="003E72FE">
        <w:trPr>
          <w:cantSplit/>
        </w:trPr>
        <w:tc>
          <w:tcPr>
            <w:tcW w:w="453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Dried marine micro-algae (</w:t>
            </w:r>
            <w:r>
              <w:rPr>
                <w:i/>
                <w:iCs/>
              </w:rPr>
              <w:t xml:space="preserve">Schizochytrium </w:t>
            </w:r>
            <w:r>
              <w:t>sp.) rich in docosahexaenoic acid (DHA)</w:t>
            </w:r>
          </w:p>
        </w:tc>
        <w:tc>
          <w:tcPr>
            <w:tcW w:w="4536" w:type="dxa"/>
            <w:tcBorders>
              <w:top w:val="single" w:sz="6" w:space="0" w:color="auto"/>
              <w:left w:val="single" w:sz="6" w:space="0" w:color="auto"/>
              <w:bottom w:val="single" w:sz="6" w:space="0" w:color="auto"/>
              <w:right w:val="single" w:sz="6" w:space="0" w:color="auto"/>
            </w:tcBorders>
          </w:tcPr>
          <w:p w:rsidR="003E72FE" w:rsidRDefault="003E72FE">
            <w:pPr>
              <w:pStyle w:val="Table2"/>
              <w:spacing w:line="276" w:lineRule="auto"/>
            </w:pPr>
          </w:p>
        </w:tc>
      </w:tr>
      <w:tr w:rsidR="003E72FE" w:rsidTr="003E72FE">
        <w:trPr>
          <w:cantSplit/>
        </w:trPr>
        <w:tc>
          <w:tcPr>
            <w:tcW w:w="453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Oil derived from marine micro-algae (</w:t>
            </w:r>
            <w:r>
              <w:rPr>
                <w:i/>
                <w:iCs/>
              </w:rPr>
              <w:t xml:space="preserve">Schizochytrium </w:t>
            </w:r>
            <w:r>
              <w:t>sp.) rich in docosahexaenoic acid (DHA)</w:t>
            </w:r>
          </w:p>
        </w:tc>
        <w:tc>
          <w:tcPr>
            <w:tcW w:w="4536" w:type="dxa"/>
            <w:tcBorders>
              <w:top w:val="single" w:sz="6" w:space="0" w:color="auto"/>
              <w:left w:val="single" w:sz="6" w:space="0" w:color="auto"/>
              <w:bottom w:val="single" w:sz="6" w:space="0" w:color="auto"/>
              <w:right w:val="single" w:sz="6" w:space="0" w:color="auto"/>
            </w:tcBorders>
          </w:tcPr>
          <w:p w:rsidR="003E72FE" w:rsidRDefault="003E72FE">
            <w:pPr>
              <w:pStyle w:val="Table2"/>
              <w:spacing w:line="276" w:lineRule="auto"/>
            </w:pPr>
          </w:p>
        </w:tc>
      </w:tr>
      <w:tr w:rsidR="003E72FE" w:rsidTr="003E72FE">
        <w:trPr>
          <w:cantSplit/>
        </w:trPr>
        <w:tc>
          <w:tcPr>
            <w:tcW w:w="453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rPr>
                <w:color w:val="000000"/>
                <w:lang w:val="en-AU"/>
              </w:rPr>
              <w:t>Oil derived from marine micro-algae (</w:t>
            </w:r>
            <w:r>
              <w:rPr>
                <w:i/>
                <w:iCs/>
                <w:color w:val="000000"/>
                <w:lang w:val="en-AU"/>
              </w:rPr>
              <w:t>Ulkenia</w:t>
            </w:r>
            <w:r>
              <w:rPr>
                <w:color w:val="000000"/>
                <w:lang w:val="en-AU"/>
              </w:rPr>
              <w:t xml:space="preserve"> sp.) </w:t>
            </w:r>
            <w:r>
              <w:t>rich in docosahexaenoic acid (DHA)</w:t>
            </w:r>
          </w:p>
        </w:tc>
        <w:tc>
          <w:tcPr>
            <w:tcW w:w="4536" w:type="dxa"/>
            <w:tcBorders>
              <w:top w:val="single" w:sz="6" w:space="0" w:color="auto"/>
              <w:left w:val="single" w:sz="6" w:space="0" w:color="auto"/>
              <w:bottom w:val="single" w:sz="6" w:space="0" w:color="auto"/>
              <w:right w:val="single" w:sz="6" w:space="0" w:color="auto"/>
            </w:tcBorders>
          </w:tcPr>
          <w:p w:rsidR="003E72FE" w:rsidRDefault="003E72FE">
            <w:pPr>
              <w:pStyle w:val="Table2"/>
              <w:spacing w:line="276" w:lineRule="auto"/>
            </w:pPr>
          </w:p>
        </w:tc>
      </w:tr>
    </w:tbl>
    <w:p w:rsidR="003E72FE" w:rsidRPr="003E72FE" w:rsidRDefault="003E72FE" w:rsidP="003E72FE">
      <w:pPr>
        <w:rPr>
          <w:sz w:val="20"/>
          <w:szCs w:val="20"/>
        </w:rPr>
      </w:pPr>
    </w:p>
    <w:p w:rsidR="003E72FE" w:rsidRPr="003E72FE" w:rsidRDefault="003E72FE" w:rsidP="003E72FE">
      <w:pPr>
        <w:pStyle w:val="Clause"/>
        <w:rPr>
          <w:i/>
          <w:iCs/>
          <w:lang w:bidi="ar-SA"/>
        </w:rPr>
      </w:pPr>
      <w:r w:rsidRPr="003E72FE">
        <w:rPr>
          <w:b/>
          <w:bCs/>
        </w:rPr>
        <w:t>[22]</w:t>
      </w:r>
      <w:r w:rsidRPr="003E72FE">
        <w:tab/>
      </w:r>
      <w:r w:rsidRPr="003E72FE">
        <w:rPr>
          <w:b/>
          <w:bCs/>
          <w:i/>
          <w:iCs/>
        </w:rPr>
        <w:t>Standard 1.6.1</w:t>
      </w:r>
      <w:r w:rsidRPr="003E72FE">
        <w:rPr>
          <w:i/>
          <w:iCs/>
        </w:rPr>
        <w:t xml:space="preserve"> of the Australia New Zealand Food Standards Code is varied by – </w:t>
      </w:r>
    </w:p>
    <w:p w:rsidR="003E72FE" w:rsidRPr="003E72FE" w:rsidRDefault="003E72FE" w:rsidP="003E72FE">
      <w:pPr>
        <w:pStyle w:val="Clause"/>
        <w:rPr>
          <w:i/>
          <w:iCs/>
        </w:rPr>
      </w:pPr>
    </w:p>
    <w:p w:rsidR="003E72FE" w:rsidRPr="003E72FE" w:rsidRDefault="003E72FE" w:rsidP="003E72FE">
      <w:pPr>
        <w:pStyle w:val="Clause"/>
        <w:rPr>
          <w:i/>
          <w:iCs/>
        </w:rPr>
      </w:pPr>
      <w:r w:rsidRPr="003E72FE">
        <w:rPr>
          <w:iCs/>
        </w:rPr>
        <w:t>[22.1]</w:t>
      </w:r>
      <w:r w:rsidRPr="003E72FE">
        <w:rPr>
          <w:iCs/>
        </w:rPr>
        <w:tab/>
      </w:r>
      <w:r w:rsidRPr="003E72FE">
        <w:rPr>
          <w:i/>
          <w:iCs/>
        </w:rPr>
        <w:t xml:space="preserve">omitting clause 2, substituting – </w:t>
      </w:r>
    </w:p>
    <w:p w:rsidR="003E72FE" w:rsidRPr="003E72FE" w:rsidRDefault="003E72FE" w:rsidP="003E72FE">
      <w:pPr>
        <w:rPr>
          <w:sz w:val="20"/>
          <w:szCs w:val="20"/>
        </w:rPr>
      </w:pPr>
    </w:p>
    <w:p w:rsidR="003E72FE" w:rsidRPr="003E72FE" w:rsidRDefault="003E72FE" w:rsidP="003E72FE">
      <w:pPr>
        <w:pStyle w:val="ClauseHeading0"/>
      </w:pPr>
      <w:r w:rsidRPr="003E72FE">
        <w:t>2</w:t>
      </w:r>
      <w:r w:rsidRPr="003E72FE">
        <w:tab/>
        <w:t>Application</w:t>
      </w:r>
    </w:p>
    <w:p w:rsidR="003E72FE" w:rsidRPr="003E72FE" w:rsidRDefault="003E72FE" w:rsidP="003E72FE">
      <w:pPr>
        <w:rPr>
          <w:sz w:val="20"/>
          <w:szCs w:val="20"/>
        </w:rPr>
      </w:pPr>
    </w:p>
    <w:p w:rsidR="003E72FE" w:rsidRPr="003E72FE" w:rsidRDefault="003E72FE" w:rsidP="003E72FE">
      <w:pPr>
        <w:pStyle w:val="Subclause"/>
      </w:pPr>
      <w:r w:rsidRPr="003E72FE">
        <w:t>(1)</w:t>
      </w:r>
      <w:r w:rsidRPr="003E72FE">
        <w:tab/>
        <w:t>The foods listed in column 1 of the Schedule in this Standard must, subject to subclause (2), comply with the microbiological limits set in relation to that food in the Schedule.</w:t>
      </w:r>
    </w:p>
    <w:p w:rsidR="003E72FE" w:rsidRDefault="003E72FE" w:rsidP="003E72FE">
      <w:pPr>
        <w:pStyle w:val="Subclause"/>
      </w:pPr>
      <w:r>
        <w:br w:type="page"/>
      </w:r>
    </w:p>
    <w:p w:rsidR="003E72FE" w:rsidRPr="003E72FE" w:rsidRDefault="003E72FE" w:rsidP="003E72FE">
      <w:pPr>
        <w:pStyle w:val="Subclause"/>
      </w:pPr>
      <w:r w:rsidRPr="003E72FE">
        <w:lastRenderedPageBreak/>
        <w:t>(2)</w:t>
      </w:r>
      <w:r w:rsidRPr="003E72FE">
        <w:tab/>
        <w:t>In the case of powdered infant formula with added lactic acid producing cultures, the Standard Plate Count (SPC) microbiological limit applies prior to the addition of the lactic acid cultures to the food.</w:t>
      </w:r>
    </w:p>
    <w:p w:rsidR="003E72FE" w:rsidRPr="003E72FE" w:rsidRDefault="003E72FE" w:rsidP="003E72FE">
      <w:pPr>
        <w:rPr>
          <w:sz w:val="20"/>
          <w:szCs w:val="20"/>
        </w:rPr>
      </w:pPr>
    </w:p>
    <w:p w:rsidR="003E72FE" w:rsidRDefault="003E72FE" w:rsidP="003E72FE">
      <w:pPr>
        <w:pStyle w:val="Clause"/>
        <w:rPr>
          <w:i/>
          <w:iCs/>
        </w:rPr>
      </w:pPr>
      <w:r w:rsidRPr="003E72FE">
        <w:rPr>
          <w:iCs/>
        </w:rPr>
        <w:t>[22.2]</w:t>
      </w:r>
      <w:r w:rsidRPr="003E72FE">
        <w:rPr>
          <w:iCs/>
        </w:rPr>
        <w:tab/>
      </w:r>
      <w:r w:rsidRPr="003E72FE">
        <w:rPr>
          <w:i/>
        </w:rPr>
        <w:t>omitting the heading from</w:t>
      </w:r>
      <w:r>
        <w:rPr>
          <w:i/>
        </w:rPr>
        <w:t xml:space="preserve"> the </w:t>
      </w:r>
      <w:r>
        <w:t>Schedule</w:t>
      </w:r>
      <w:r>
        <w:rPr>
          <w:i/>
        </w:rPr>
        <w:t>,</w:t>
      </w:r>
      <w:r>
        <w:t xml:space="preserve"> </w:t>
      </w:r>
      <w:r>
        <w:rPr>
          <w:i/>
        </w:rPr>
        <w:t>substituting</w:t>
      </w:r>
      <w:r>
        <w:t xml:space="preserve"> – </w:t>
      </w:r>
    </w:p>
    <w:p w:rsidR="003E72FE" w:rsidRPr="003E72FE" w:rsidRDefault="003E72FE" w:rsidP="003E72FE">
      <w:pPr>
        <w:rPr>
          <w:i/>
          <w:sz w:val="20"/>
          <w:szCs w:val="20"/>
        </w:rPr>
      </w:pPr>
    </w:p>
    <w:p w:rsidR="003E72FE" w:rsidRPr="003E72FE" w:rsidRDefault="003E72FE" w:rsidP="003E72FE">
      <w:pPr>
        <w:pStyle w:val="ScheduleHeading"/>
      </w:pPr>
      <w:r w:rsidRPr="003E72FE">
        <w:t>SCHEDULE</w:t>
      </w:r>
    </w:p>
    <w:p w:rsidR="003E72FE" w:rsidRPr="003E72FE" w:rsidRDefault="003E72FE" w:rsidP="003E72FE">
      <w:pPr>
        <w:rPr>
          <w:sz w:val="20"/>
          <w:szCs w:val="20"/>
        </w:rPr>
      </w:pPr>
    </w:p>
    <w:p w:rsidR="003E72FE" w:rsidRPr="003E72FE" w:rsidRDefault="003E72FE" w:rsidP="003E72FE">
      <w:pPr>
        <w:pStyle w:val="TableHeading"/>
      </w:pPr>
      <w:r w:rsidRPr="003E72FE">
        <w:t>Microbiological criteria (clause 2)</w:t>
      </w:r>
    </w:p>
    <w:p w:rsidR="003E72FE" w:rsidRPr="003E72FE" w:rsidRDefault="003E72FE" w:rsidP="003E72FE">
      <w:pPr>
        <w:rPr>
          <w:sz w:val="20"/>
          <w:szCs w:val="20"/>
        </w:rPr>
      </w:pPr>
    </w:p>
    <w:p w:rsidR="003E72FE" w:rsidRPr="003E72FE" w:rsidRDefault="003E72FE" w:rsidP="003E72FE">
      <w:pPr>
        <w:pStyle w:val="Clause"/>
        <w:rPr>
          <w:i/>
        </w:rPr>
      </w:pPr>
      <w:r w:rsidRPr="003E72FE">
        <w:t>[22.3]</w:t>
      </w:r>
      <w:r w:rsidRPr="003E72FE">
        <w:tab/>
      </w:r>
      <w:r w:rsidRPr="003E72FE">
        <w:rPr>
          <w:i/>
        </w:rPr>
        <w:t xml:space="preserve">omitting from column 1 of the </w:t>
      </w:r>
      <w:r w:rsidRPr="003E72FE">
        <w:t>Schedule</w:t>
      </w:r>
      <w:r w:rsidRPr="003E72FE">
        <w:rPr>
          <w:i/>
        </w:rPr>
        <w:t xml:space="preserve"> – </w:t>
      </w:r>
    </w:p>
    <w:p w:rsidR="003E72FE" w:rsidRPr="003E72FE" w:rsidRDefault="003E72FE" w:rsidP="003E72FE">
      <w:pPr>
        <w:rPr>
          <w:sz w:val="20"/>
          <w:szCs w:val="20"/>
        </w:rPr>
      </w:pPr>
    </w:p>
    <w:p w:rsidR="003E72FE" w:rsidRPr="003E72FE" w:rsidRDefault="003E72FE" w:rsidP="003E72FE">
      <w:pPr>
        <w:pStyle w:val="Table2"/>
        <w:rPr>
          <w:sz w:val="20"/>
        </w:rPr>
      </w:pPr>
      <w:r w:rsidRPr="003E72FE">
        <w:rPr>
          <w:sz w:val="20"/>
        </w:rPr>
        <w:t>Unpasteurised milk</w:t>
      </w:r>
    </w:p>
    <w:p w:rsidR="003E72FE" w:rsidRPr="003E72FE" w:rsidRDefault="003E72FE" w:rsidP="003E72FE">
      <w:pPr>
        <w:rPr>
          <w:sz w:val="20"/>
          <w:szCs w:val="20"/>
        </w:rPr>
      </w:pPr>
    </w:p>
    <w:p w:rsidR="003E72FE" w:rsidRPr="003E72FE" w:rsidRDefault="003E72FE" w:rsidP="003E72FE">
      <w:pPr>
        <w:pStyle w:val="Clause"/>
        <w:rPr>
          <w:i/>
        </w:rPr>
      </w:pPr>
      <w:r w:rsidRPr="003E72FE">
        <w:rPr>
          <w:i/>
        </w:rPr>
        <w:t xml:space="preserve">substituting – </w:t>
      </w:r>
    </w:p>
    <w:p w:rsidR="003E72FE" w:rsidRPr="003E72FE" w:rsidRDefault="003E72FE" w:rsidP="003E72FE">
      <w:pPr>
        <w:rPr>
          <w:i/>
          <w:sz w:val="20"/>
          <w:szCs w:val="20"/>
        </w:rPr>
      </w:pPr>
    </w:p>
    <w:p w:rsidR="003E72FE" w:rsidRPr="003E72FE" w:rsidRDefault="003E72FE" w:rsidP="003E72FE">
      <w:pPr>
        <w:pStyle w:val="Clause"/>
      </w:pPr>
      <w:r w:rsidRPr="003E72FE">
        <w:t>Unpasteurised milk for retail sale</w:t>
      </w:r>
    </w:p>
    <w:p w:rsidR="003E72FE" w:rsidRPr="003E72FE" w:rsidRDefault="003E72FE" w:rsidP="003E72FE">
      <w:pPr>
        <w:rPr>
          <w:i/>
          <w:sz w:val="20"/>
          <w:szCs w:val="20"/>
        </w:rPr>
      </w:pPr>
    </w:p>
    <w:p w:rsidR="003E72FE" w:rsidRPr="003E72FE" w:rsidRDefault="003E72FE" w:rsidP="003E72FE">
      <w:pPr>
        <w:pStyle w:val="Clause"/>
        <w:rPr>
          <w:i/>
        </w:rPr>
      </w:pPr>
      <w:r w:rsidRPr="003E72FE">
        <w:rPr>
          <w:b/>
          <w:bCs/>
        </w:rPr>
        <w:t>[23]</w:t>
      </w:r>
      <w:r w:rsidRPr="003E72FE">
        <w:tab/>
      </w:r>
      <w:r w:rsidRPr="003E72FE">
        <w:rPr>
          <w:b/>
          <w:bCs/>
          <w:i/>
        </w:rPr>
        <w:t>Standard 1.6.2</w:t>
      </w:r>
      <w:r w:rsidRPr="003E72FE">
        <w:rPr>
          <w:i/>
        </w:rPr>
        <w:t xml:space="preserve"> of the Australia New Zealand Food Standards Code is varied by omitting from subclauses 8(2) and 8(3)</w:t>
      </w:r>
      <w:r w:rsidRPr="003E72FE">
        <w:t xml:space="preserve"> – </w:t>
      </w:r>
    </w:p>
    <w:p w:rsidR="003E72FE" w:rsidRPr="003E72FE" w:rsidRDefault="003E72FE" w:rsidP="003E72FE">
      <w:pPr>
        <w:rPr>
          <w:i/>
          <w:iCs/>
          <w:sz w:val="20"/>
          <w:szCs w:val="20"/>
        </w:rPr>
      </w:pPr>
    </w:p>
    <w:p w:rsidR="003E72FE" w:rsidRPr="003E72FE" w:rsidRDefault="003E72FE" w:rsidP="003E72FE">
      <w:pPr>
        <w:pStyle w:val="Subclause"/>
      </w:pPr>
      <w:r w:rsidRPr="003E72FE">
        <w:t>A fermented comminuted processed meat</w:t>
      </w:r>
    </w:p>
    <w:p w:rsidR="003E72FE" w:rsidRPr="003E72FE" w:rsidRDefault="003E72FE" w:rsidP="003E72FE">
      <w:pPr>
        <w:rPr>
          <w:iCs/>
          <w:sz w:val="20"/>
          <w:szCs w:val="20"/>
        </w:rPr>
      </w:pPr>
    </w:p>
    <w:p w:rsidR="003E72FE" w:rsidRPr="003E72FE" w:rsidRDefault="003E72FE" w:rsidP="003E72FE">
      <w:pPr>
        <w:pStyle w:val="Clause"/>
      </w:pPr>
      <w:r w:rsidRPr="003E72FE">
        <w:rPr>
          <w:i/>
        </w:rPr>
        <w:t>substituting</w:t>
      </w:r>
      <w:r w:rsidRPr="003E72FE">
        <w:t xml:space="preserve"> – </w:t>
      </w:r>
    </w:p>
    <w:p w:rsidR="003E72FE" w:rsidRPr="003E72FE" w:rsidRDefault="003E72FE" w:rsidP="003E72FE">
      <w:pPr>
        <w:rPr>
          <w:i/>
          <w:iCs/>
          <w:sz w:val="20"/>
          <w:szCs w:val="20"/>
        </w:rPr>
      </w:pPr>
    </w:p>
    <w:p w:rsidR="003E72FE" w:rsidRPr="003E72FE" w:rsidRDefault="003E72FE" w:rsidP="003E72FE">
      <w:pPr>
        <w:pStyle w:val="Subclause"/>
      </w:pPr>
      <w:r w:rsidRPr="003E72FE">
        <w:t>Fermented comminuted processed meat</w:t>
      </w:r>
    </w:p>
    <w:p w:rsidR="003E72FE" w:rsidRPr="003E72FE" w:rsidRDefault="003E72FE" w:rsidP="003E72FE">
      <w:pPr>
        <w:rPr>
          <w:iCs/>
          <w:sz w:val="20"/>
          <w:szCs w:val="20"/>
        </w:rPr>
      </w:pPr>
    </w:p>
    <w:p w:rsidR="003E72FE" w:rsidRPr="003E72FE" w:rsidRDefault="003E72FE" w:rsidP="003E72FE">
      <w:pPr>
        <w:pStyle w:val="Clause"/>
      </w:pPr>
      <w:r w:rsidRPr="003E72FE">
        <w:rPr>
          <w:b/>
          <w:bCs/>
        </w:rPr>
        <w:t>[24]</w:t>
      </w:r>
      <w:r w:rsidRPr="003E72FE">
        <w:tab/>
      </w:r>
      <w:r w:rsidRPr="003E72FE">
        <w:rPr>
          <w:b/>
          <w:bCs/>
          <w:i/>
        </w:rPr>
        <w:t xml:space="preserve">Standard 2.2.1 </w:t>
      </w:r>
      <w:r w:rsidRPr="003E72FE">
        <w:rPr>
          <w:i/>
        </w:rPr>
        <w:t>of the Australia New Zealand Food Standards Code is varied by</w:t>
      </w:r>
      <w:r w:rsidRPr="003E72FE">
        <w:t xml:space="preserve"> – </w:t>
      </w:r>
    </w:p>
    <w:p w:rsidR="003E72FE" w:rsidRPr="003E72FE" w:rsidRDefault="003E72FE" w:rsidP="003E72FE">
      <w:pPr>
        <w:rPr>
          <w:sz w:val="20"/>
          <w:szCs w:val="20"/>
        </w:rPr>
      </w:pPr>
    </w:p>
    <w:p w:rsidR="003E72FE" w:rsidRPr="003E72FE" w:rsidRDefault="003E72FE" w:rsidP="003E72FE">
      <w:pPr>
        <w:pStyle w:val="Clause"/>
        <w:rPr>
          <w:i/>
        </w:rPr>
      </w:pPr>
      <w:r w:rsidRPr="003E72FE">
        <w:t>[24.1]</w:t>
      </w:r>
      <w:r w:rsidRPr="003E72FE">
        <w:tab/>
      </w:r>
      <w:r w:rsidRPr="003E72FE">
        <w:rPr>
          <w:i/>
        </w:rPr>
        <w:t xml:space="preserve">omitting the first paragraph of the </w:t>
      </w:r>
      <w:r w:rsidRPr="003E72FE">
        <w:t xml:space="preserve">Purpose, </w:t>
      </w:r>
      <w:r w:rsidRPr="003E72FE">
        <w:rPr>
          <w:i/>
        </w:rPr>
        <w:t xml:space="preserve">substituting – </w:t>
      </w:r>
    </w:p>
    <w:p w:rsidR="003E72FE" w:rsidRPr="003E72FE" w:rsidRDefault="003E72FE" w:rsidP="003E72FE">
      <w:pPr>
        <w:pStyle w:val="Clause"/>
      </w:pPr>
    </w:p>
    <w:p w:rsidR="003E72FE" w:rsidRPr="003E72FE" w:rsidRDefault="003E72FE" w:rsidP="003E72FE">
      <w:pPr>
        <w:pStyle w:val="Clause"/>
      </w:pPr>
      <w:r w:rsidRPr="003E72FE">
        <w:t>This Standard includes definitions, compositional requirements and labelling requirements for meat and meat products.  Processing requirements for processed meat products, including fermented comminuted meat products are contained in Standard 1.6.2.</w:t>
      </w:r>
    </w:p>
    <w:p w:rsidR="003E72FE" w:rsidRPr="003E72FE" w:rsidRDefault="003E72FE" w:rsidP="003E72FE">
      <w:pPr>
        <w:pStyle w:val="Clause"/>
      </w:pPr>
    </w:p>
    <w:p w:rsidR="003E72FE" w:rsidRPr="003E72FE" w:rsidRDefault="003E72FE" w:rsidP="003E72FE">
      <w:pPr>
        <w:pStyle w:val="Clause"/>
      </w:pPr>
      <w:r w:rsidRPr="003E72FE">
        <w:t>[24.2]</w:t>
      </w:r>
      <w:r w:rsidRPr="003E72FE">
        <w:tab/>
      </w:r>
      <w:r w:rsidRPr="003E72FE">
        <w:rPr>
          <w:i/>
        </w:rPr>
        <w:t>omitting clause 4, substituting</w:t>
      </w:r>
      <w:r w:rsidRPr="003E72FE">
        <w:t xml:space="preserve"> – </w:t>
      </w:r>
    </w:p>
    <w:p w:rsidR="003E72FE" w:rsidRPr="003E72FE" w:rsidRDefault="003E72FE" w:rsidP="003E72FE">
      <w:pPr>
        <w:rPr>
          <w:sz w:val="20"/>
          <w:szCs w:val="20"/>
        </w:rPr>
      </w:pPr>
    </w:p>
    <w:p w:rsidR="003E72FE" w:rsidRPr="003E72FE" w:rsidRDefault="003E72FE" w:rsidP="003E72FE">
      <w:pPr>
        <w:pStyle w:val="ClauseHeading0"/>
      </w:pPr>
      <w:r w:rsidRPr="003E72FE">
        <w:t>4</w:t>
      </w:r>
      <w:r w:rsidRPr="003E72FE">
        <w:tab/>
        <w:t>Declaration of the presence of offal in food</w:t>
      </w:r>
    </w:p>
    <w:p w:rsidR="003E72FE" w:rsidRPr="003E72FE" w:rsidRDefault="003E72FE" w:rsidP="003E72FE">
      <w:pPr>
        <w:rPr>
          <w:sz w:val="20"/>
          <w:szCs w:val="20"/>
        </w:rPr>
      </w:pPr>
    </w:p>
    <w:p w:rsidR="003E72FE" w:rsidRPr="003E72FE" w:rsidRDefault="003E72FE" w:rsidP="003E72FE">
      <w:pPr>
        <w:pStyle w:val="Subclause"/>
      </w:pPr>
      <w:r w:rsidRPr="003E72FE">
        <w:t>(1)</w:t>
      </w:r>
      <w:r w:rsidRPr="003E72FE">
        <w:tab/>
        <w:t xml:space="preserve">The presence of offal in a food must be – </w:t>
      </w:r>
    </w:p>
    <w:p w:rsidR="003E72FE" w:rsidRPr="003E72FE" w:rsidRDefault="003E72FE" w:rsidP="003E72FE">
      <w:pPr>
        <w:rPr>
          <w:sz w:val="20"/>
          <w:szCs w:val="20"/>
        </w:rPr>
      </w:pPr>
    </w:p>
    <w:p w:rsidR="003E72FE" w:rsidRPr="003E72FE" w:rsidRDefault="003E72FE" w:rsidP="003E72FE">
      <w:pPr>
        <w:pStyle w:val="Paragraph"/>
      </w:pPr>
      <w:r w:rsidRPr="003E72FE">
        <w:t>(a)</w:t>
      </w:r>
      <w:r w:rsidRPr="003E72FE">
        <w:tab/>
        <w:t>declared in the statement of ingredients; or</w:t>
      </w:r>
    </w:p>
    <w:p w:rsidR="003E72FE" w:rsidRPr="003E72FE" w:rsidRDefault="003E72FE" w:rsidP="003E72FE">
      <w:pPr>
        <w:pStyle w:val="Paragraph"/>
      </w:pPr>
      <w:r w:rsidRPr="003E72FE">
        <w:t>(b)</w:t>
      </w:r>
      <w:r w:rsidRPr="003E72FE">
        <w:tab/>
        <w:t>where the food is not required to bear a label, otherwise declared to the purchaser.</w:t>
      </w:r>
    </w:p>
    <w:p w:rsidR="003E72FE" w:rsidRPr="003E72FE" w:rsidRDefault="003E72FE" w:rsidP="003E72FE">
      <w:pPr>
        <w:rPr>
          <w:bCs/>
          <w:sz w:val="20"/>
          <w:szCs w:val="20"/>
        </w:rPr>
      </w:pPr>
    </w:p>
    <w:p w:rsidR="003E72FE" w:rsidRPr="003E72FE" w:rsidRDefault="003E72FE" w:rsidP="003E72FE">
      <w:pPr>
        <w:pStyle w:val="Subclause"/>
      </w:pPr>
      <w:r w:rsidRPr="003E72FE">
        <w:t>(2)</w:t>
      </w:r>
      <w:r w:rsidRPr="003E72FE">
        <w:tab/>
        <w:t>The presence of brain, heart, kidney, liver, tongue or tripe in a food must be declared as ‘offal’ or by the specific name of the type of offal.</w:t>
      </w:r>
    </w:p>
    <w:p w:rsidR="003E72FE" w:rsidRPr="003E72FE" w:rsidRDefault="003E72FE" w:rsidP="003E72FE">
      <w:pPr>
        <w:rPr>
          <w:bCs/>
          <w:sz w:val="20"/>
          <w:szCs w:val="20"/>
        </w:rPr>
      </w:pPr>
    </w:p>
    <w:p w:rsidR="003E72FE" w:rsidRPr="003E72FE" w:rsidRDefault="003E72FE" w:rsidP="003E72FE">
      <w:pPr>
        <w:pStyle w:val="Subclause"/>
      </w:pPr>
      <w:r w:rsidRPr="003E72FE">
        <w:t>(3)</w:t>
      </w:r>
      <w:r w:rsidRPr="003E72FE">
        <w:tab/>
        <w:t>The presence of any other type of offal in a food must be declared by the specific name of the type of offal.</w:t>
      </w:r>
    </w:p>
    <w:p w:rsidR="003E72FE" w:rsidRPr="003E72FE" w:rsidRDefault="003E72FE" w:rsidP="003E72FE">
      <w:pPr>
        <w:rPr>
          <w:bCs/>
          <w:sz w:val="20"/>
          <w:szCs w:val="20"/>
        </w:rPr>
      </w:pPr>
    </w:p>
    <w:p w:rsidR="003E72FE" w:rsidRPr="003E72FE" w:rsidRDefault="003E72FE" w:rsidP="003E72FE">
      <w:pPr>
        <w:pStyle w:val="Clause"/>
      </w:pPr>
      <w:r w:rsidRPr="003E72FE">
        <w:t>[24.3]</w:t>
      </w:r>
      <w:r w:rsidRPr="003E72FE">
        <w:tab/>
      </w:r>
      <w:r w:rsidRPr="003E72FE">
        <w:rPr>
          <w:i/>
        </w:rPr>
        <w:t>omitting clause 7, substitutin</w:t>
      </w:r>
      <w:r w:rsidRPr="003E72FE">
        <w:t xml:space="preserve">g – </w:t>
      </w:r>
    </w:p>
    <w:p w:rsidR="003E72FE" w:rsidRPr="003E72FE" w:rsidRDefault="003E72FE" w:rsidP="003E72FE">
      <w:pPr>
        <w:rPr>
          <w:sz w:val="20"/>
          <w:szCs w:val="20"/>
        </w:rPr>
      </w:pPr>
    </w:p>
    <w:p w:rsidR="003E72FE" w:rsidRPr="003E72FE" w:rsidRDefault="003E72FE" w:rsidP="003E72FE">
      <w:pPr>
        <w:pStyle w:val="ClauseHeading0"/>
      </w:pPr>
      <w:r w:rsidRPr="003E72FE">
        <w:t>7</w:t>
      </w:r>
      <w:r w:rsidRPr="003E72FE">
        <w:tab/>
        <w:t>Deleted</w:t>
      </w:r>
    </w:p>
    <w:p w:rsidR="003E72FE" w:rsidRPr="003E72FE" w:rsidRDefault="003E72FE" w:rsidP="003E72FE">
      <w:pPr>
        <w:rPr>
          <w:iCs/>
          <w:sz w:val="20"/>
          <w:szCs w:val="20"/>
        </w:rPr>
      </w:pPr>
    </w:p>
    <w:p w:rsidR="003E72FE" w:rsidRPr="003E72FE" w:rsidRDefault="003E72FE" w:rsidP="003E72FE">
      <w:pPr>
        <w:pStyle w:val="Clause"/>
      </w:pPr>
      <w:r w:rsidRPr="003E72FE">
        <w:t>[24.4]</w:t>
      </w:r>
      <w:r w:rsidRPr="003E72FE">
        <w:tab/>
      </w:r>
      <w:r w:rsidRPr="003E72FE">
        <w:rPr>
          <w:i/>
        </w:rPr>
        <w:t xml:space="preserve">omitting </w:t>
      </w:r>
      <w:r w:rsidRPr="003E72FE">
        <w:t xml:space="preserve">processed </w:t>
      </w:r>
      <w:r w:rsidRPr="003E72FE">
        <w:rPr>
          <w:i/>
        </w:rPr>
        <w:t>from subclause 9(3), substituting</w:t>
      </w:r>
      <w:r w:rsidRPr="003E72FE">
        <w:t xml:space="preserve"> manufactured</w:t>
      </w:r>
    </w:p>
    <w:p w:rsidR="003E72FE" w:rsidRPr="003E72FE" w:rsidRDefault="003E72FE" w:rsidP="003E72FE">
      <w:pPr>
        <w:rPr>
          <w:sz w:val="20"/>
          <w:szCs w:val="20"/>
        </w:rPr>
      </w:pPr>
    </w:p>
    <w:p w:rsidR="003E72FE" w:rsidRPr="003E72FE" w:rsidRDefault="003E72FE" w:rsidP="003E72FE">
      <w:pPr>
        <w:pStyle w:val="Clause"/>
      </w:pPr>
      <w:r w:rsidRPr="003E72FE">
        <w:t>[24.5]</w:t>
      </w:r>
      <w:r w:rsidRPr="003E72FE">
        <w:tab/>
      </w:r>
      <w:r w:rsidRPr="003E72FE">
        <w:rPr>
          <w:i/>
        </w:rPr>
        <w:t>omitting from clause 10</w:t>
      </w:r>
      <w:r w:rsidRPr="003E72FE">
        <w:t xml:space="preserve"> – </w:t>
      </w:r>
    </w:p>
    <w:p w:rsidR="003E72FE" w:rsidRPr="003E72FE" w:rsidRDefault="003E72FE" w:rsidP="003E72FE">
      <w:pPr>
        <w:rPr>
          <w:sz w:val="20"/>
          <w:szCs w:val="20"/>
        </w:rPr>
      </w:pPr>
    </w:p>
    <w:p w:rsidR="003E72FE" w:rsidRDefault="003E72FE" w:rsidP="003E72FE">
      <w:pPr>
        <w:pStyle w:val="Subclause"/>
      </w:pPr>
      <w:r>
        <w:t>Where a fermented comminuted manufactured meat or a fermented</w:t>
      </w:r>
    </w:p>
    <w:p w:rsidR="003E72FE" w:rsidRDefault="003E72FE" w:rsidP="003E72FE">
      <w:pPr>
        <w:pStyle w:val="Clause"/>
      </w:pPr>
      <w:r>
        <w:br w:type="page"/>
      </w:r>
    </w:p>
    <w:p w:rsidR="003E72FE" w:rsidRDefault="003E72FE" w:rsidP="003E72FE">
      <w:pPr>
        <w:pStyle w:val="Clause"/>
        <w:rPr>
          <w:i/>
          <w:iCs/>
        </w:rPr>
      </w:pPr>
      <w:r>
        <w:rPr>
          <w:i/>
          <w:iCs/>
        </w:rPr>
        <w:lastRenderedPageBreak/>
        <w:t xml:space="preserve">substituting – </w:t>
      </w:r>
    </w:p>
    <w:p w:rsidR="003E72FE" w:rsidRPr="003E72FE" w:rsidRDefault="003E72FE" w:rsidP="003E72FE">
      <w:pPr>
        <w:pStyle w:val="Clause"/>
        <w:rPr>
          <w:rFonts w:cs="Arial"/>
        </w:rPr>
      </w:pPr>
    </w:p>
    <w:p w:rsidR="003E72FE" w:rsidRPr="003E72FE" w:rsidRDefault="003E72FE" w:rsidP="003E72FE">
      <w:pPr>
        <w:pStyle w:val="Clause"/>
        <w:rPr>
          <w:rFonts w:cs="Arial"/>
        </w:rPr>
      </w:pPr>
      <w:r w:rsidRPr="003E72FE">
        <w:rPr>
          <w:rFonts w:cs="Arial"/>
        </w:rPr>
        <w:t>Where fermented comminuted manufactured meat or fermented</w:t>
      </w:r>
    </w:p>
    <w:p w:rsidR="003E72FE" w:rsidRPr="003E72FE" w:rsidRDefault="003E72FE" w:rsidP="003E72FE">
      <w:pPr>
        <w:rPr>
          <w:rFonts w:cs="Arial"/>
          <w:sz w:val="20"/>
          <w:szCs w:val="20"/>
        </w:rPr>
      </w:pPr>
    </w:p>
    <w:p w:rsidR="003E72FE" w:rsidRPr="003E72FE" w:rsidRDefault="003E72FE" w:rsidP="003E72FE">
      <w:pPr>
        <w:pStyle w:val="Clause"/>
        <w:rPr>
          <w:rFonts w:cs="Arial"/>
          <w:i/>
        </w:rPr>
      </w:pPr>
      <w:r w:rsidRPr="003E72FE">
        <w:rPr>
          <w:rFonts w:cs="Arial"/>
        </w:rPr>
        <w:t>[24.6]</w:t>
      </w:r>
      <w:r w:rsidRPr="003E72FE">
        <w:rPr>
          <w:rFonts w:cs="Arial"/>
        </w:rPr>
        <w:tab/>
      </w:r>
      <w:r w:rsidRPr="003E72FE">
        <w:rPr>
          <w:rFonts w:cs="Arial"/>
          <w:i/>
        </w:rPr>
        <w:t xml:space="preserve">omitting paragraph 11(3)(b), substituting – </w:t>
      </w:r>
    </w:p>
    <w:p w:rsidR="003E72FE" w:rsidRPr="003E72FE" w:rsidRDefault="003E72FE" w:rsidP="003E72FE">
      <w:pPr>
        <w:rPr>
          <w:rFonts w:cs="Arial"/>
          <w:sz w:val="20"/>
          <w:szCs w:val="20"/>
        </w:rPr>
      </w:pPr>
    </w:p>
    <w:p w:rsidR="003E72FE" w:rsidRPr="003E72FE" w:rsidRDefault="003E72FE" w:rsidP="003E72FE">
      <w:pPr>
        <w:pStyle w:val="Paragraph"/>
        <w:rPr>
          <w:rFonts w:cs="Arial"/>
        </w:rPr>
      </w:pPr>
      <w:r w:rsidRPr="003E72FE">
        <w:rPr>
          <w:rFonts w:cs="Arial"/>
        </w:rPr>
        <w:t>(b)</w:t>
      </w:r>
      <w:r w:rsidRPr="003E72FE">
        <w:rPr>
          <w:rFonts w:cs="Arial"/>
        </w:rPr>
        <w:tab/>
        <w:t>a minor ingredient of a processed product, where that ingredient comprises bovine fat or bovine tallow; and</w:t>
      </w:r>
    </w:p>
    <w:p w:rsidR="003E72FE" w:rsidRPr="003E72FE" w:rsidRDefault="003E72FE" w:rsidP="003E72FE">
      <w:pPr>
        <w:pStyle w:val="Paragraph"/>
        <w:rPr>
          <w:rFonts w:cs="Arial"/>
        </w:rPr>
      </w:pPr>
    </w:p>
    <w:p w:rsidR="003E72FE" w:rsidRPr="003E72FE" w:rsidRDefault="003E72FE" w:rsidP="003E72FE">
      <w:pPr>
        <w:pStyle w:val="Clause"/>
        <w:rPr>
          <w:rFonts w:cs="Arial"/>
        </w:rPr>
      </w:pPr>
      <w:r w:rsidRPr="003E72FE">
        <w:rPr>
          <w:rFonts w:cs="Arial"/>
        </w:rPr>
        <w:t>[24.7]</w:t>
      </w:r>
      <w:r w:rsidRPr="003E72FE">
        <w:rPr>
          <w:rFonts w:cs="Arial"/>
        </w:rPr>
        <w:tab/>
      </w:r>
      <w:r w:rsidRPr="003E72FE">
        <w:rPr>
          <w:rFonts w:cs="Arial"/>
          <w:i/>
        </w:rPr>
        <w:t xml:space="preserve">updating the </w:t>
      </w:r>
      <w:r w:rsidRPr="003E72FE">
        <w:rPr>
          <w:rFonts w:cs="Arial"/>
        </w:rPr>
        <w:t xml:space="preserve">Table of Provisions </w:t>
      </w:r>
      <w:r w:rsidRPr="003E72FE">
        <w:rPr>
          <w:rFonts w:cs="Arial"/>
          <w:i/>
        </w:rPr>
        <w:t>to reflect these amendments</w:t>
      </w:r>
    </w:p>
    <w:p w:rsidR="003E72FE" w:rsidRPr="003E72FE" w:rsidRDefault="003E72FE" w:rsidP="003E72FE">
      <w:pPr>
        <w:rPr>
          <w:rFonts w:cs="Arial"/>
          <w:sz w:val="20"/>
          <w:szCs w:val="20"/>
        </w:rPr>
      </w:pPr>
    </w:p>
    <w:p w:rsidR="003E72FE" w:rsidRPr="003E72FE" w:rsidRDefault="003E72FE" w:rsidP="003E72FE">
      <w:pPr>
        <w:pStyle w:val="Clause"/>
        <w:rPr>
          <w:rFonts w:cs="Arial"/>
          <w:i/>
        </w:rPr>
      </w:pPr>
      <w:r w:rsidRPr="003E72FE">
        <w:rPr>
          <w:rFonts w:cs="Arial"/>
          <w:b/>
        </w:rPr>
        <w:t>[25]</w:t>
      </w:r>
      <w:r w:rsidRPr="003E72FE">
        <w:rPr>
          <w:rFonts w:cs="Arial"/>
          <w:b/>
        </w:rPr>
        <w:tab/>
      </w:r>
      <w:r w:rsidRPr="003E72FE">
        <w:rPr>
          <w:rFonts w:cs="Arial"/>
          <w:b/>
          <w:i/>
        </w:rPr>
        <w:t xml:space="preserve">Standard 2.2.2 </w:t>
      </w:r>
      <w:r w:rsidRPr="003E72FE">
        <w:rPr>
          <w:rFonts w:cs="Arial"/>
          <w:i/>
        </w:rPr>
        <w:t xml:space="preserve">of the Australia New Zealand Food Standards Code is varied by omitting the first sentence of the </w:t>
      </w:r>
      <w:r w:rsidRPr="003E72FE">
        <w:rPr>
          <w:rFonts w:cs="Arial"/>
        </w:rPr>
        <w:t xml:space="preserve">Purpose, </w:t>
      </w:r>
      <w:r w:rsidRPr="003E72FE">
        <w:rPr>
          <w:rFonts w:cs="Arial"/>
          <w:i/>
        </w:rPr>
        <w:t xml:space="preserve">substituting – </w:t>
      </w:r>
    </w:p>
    <w:p w:rsidR="003E72FE" w:rsidRPr="003E72FE" w:rsidRDefault="003E72FE" w:rsidP="003E72FE">
      <w:pPr>
        <w:pStyle w:val="Clause"/>
        <w:rPr>
          <w:rFonts w:cs="Arial"/>
        </w:rPr>
      </w:pPr>
    </w:p>
    <w:p w:rsidR="003E72FE" w:rsidRPr="003E72FE" w:rsidRDefault="003E72FE" w:rsidP="003E72FE">
      <w:pPr>
        <w:pStyle w:val="Clause"/>
        <w:rPr>
          <w:rFonts w:cs="Arial"/>
        </w:rPr>
      </w:pPr>
      <w:r w:rsidRPr="003E72FE">
        <w:rPr>
          <w:rFonts w:cs="Arial"/>
        </w:rPr>
        <w:t>This Standard provides definitions and requirements for egg and egg products.</w:t>
      </w:r>
    </w:p>
    <w:p w:rsidR="003E72FE" w:rsidRPr="003E72FE" w:rsidRDefault="003E72FE" w:rsidP="003E72FE">
      <w:pPr>
        <w:rPr>
          <w:rFonts w:cs="Arial"/>
          <w:sz w:val="20"/>
          <w:szCs w:val="20"/>
        </w:rPr>
      </w:pPr>
    </w:p>
    <w:p w:rsidR="003E72FE" w:rsidRPr="003E72FE" w:rsidRDefault="003E72FE" w:rsidP="003E72FE">
      <w:pPr>
        <w:pStyle w:val="Clause"/>
        <w:rPr>
          <w:rFonts w:cs="Arial"/>
        </w:rPr>
      </w:pPr>
      <w:r w:rsidRPr="003E72FE">
        <w:rPr>
          <w:rFonts w:cs="Arial"/>
          <w:b/>
        </w:rPr>
        <w:t>[26]</w:t>
      </w:r>
      <w:r w:rsidRPr="003E72FE">
        <w:rPr>
          <w:rFonts w:cs="Arial"/>
          <w:b/>
        </w:rPr>
        <w:tab/>
      </w:r>
      <w:r w:rsidRPr="003E72FE">
        <w:rPr>
          <w:rFonts w:cs="Arial"/>
          <w:b/>
          <w:i/>
        </w:rPr>
        <w:t xml:space="preserve">Standard 2.2.3 </w:t>
      </w:r>
      <w:r w:rsidRPr="003E72FE">
        <w:rPr>
          <w:rFonts w:cs="Arial"/>
          <w:i/>
        </w:rPr>
        <w:t>of the Australia New Zealand Food Standards Code is varied by</w:t>
      </w:r>
      <w:r w:rsidRPr="003E72FE">
        <w:rPr>
          <w:rFonts w:cs="Arial"/>
        </w:rPr>
        <w:t xml:space="preserve"> – </w:t>
      </w:r>
    </w:p>
    <w:p w:rsidR="003E72FE" w:rsidRPr="003E72FE" w:rsidRDefault="003E72FE" w:rsidP="003E72FE">
      <w:pPr>
        <w:rPr>
          <w:rFonts w:cs="Arial"/>
          <w:sz w:val="20"/>
          <w:szCs w:val="20"/>
        </w:rPr>
      </w:pPr>
    </w:p>
    <w:p w:rsidR="003E72FE" w:rsidRPr="003E72FE" w:rsidRDefault="003E72FE" w:rsidP="003E72FE">
      <w:pPr>
        <w:pStyle w:val="Clause"/>
        <w:rPr>
          <w:rFonts w:cs="Arial"/>
        </w:rPr>
      </w:pPr>
      <w:r w:rsidRPr="003E72FE">
        <w:rPr>
          <w:rFonts w:cs="Arial"/>
        </w:rPr>
        <w:t>[26.1]</w:t>
      </w:r>
      <w:r w:rsidRPr="003E72FE">
        <w:rPr>
          <w:rFonts w:cs="Arial"/>
        </w:rPr>
        <w:tab/>
      </w:r>
      <w:r w:rsidRPr="003E72FE">
        <w:rPr>
          <w:rFonts w:cs="Arial"/>
          <w:i/>
        </w:rPr>
        <w:t xml:space="preserve">omitting the </w:t>
      </w:r>
      <w:r w:rsidRPr="003E72FE">
        <w:rPr>
          <w:rFonts w:cs="Arial"/>
        </w:rPr>
        <w:t>Purpose</w:t>
      </w:r>
      <w:r w:rsidRPr="003E72FE">
        <w:rPr>
          <w:rFonts w:cs="Arial"/>
          <w:i/>
        </w:rPr>
        <w:t>, substituting</w:t>
      </w:r>
      <w:r w:rsidRPr="003E72FE">
        <w:rPr>
          <w:rFonts w:cs="Arial"/>
        </w:rPr>
        <w:t xml:space="preserve"> – </w:t>
      </w:r>
    </w:p>
    <w:p w:rsidR="003E72FE" w:rsidRPr="003E72FE" w:rsidRDefault="003E72FE" w:rsidP="003E72FE">
      <w:pPr>
        <w:rPr>
          <w:rFonts w:cs="Arial"/>
          <w:sz w:val="20"/>
          <w:szCs w:val="20"/>
        </w:rPr>
      </w:pPr>
    </w:p>
    <w:p w:rsidR="003E72FE" w:rsidRPr="003E72FE" w:rsidRDefault="003E72FE" w:rsidP="003E72FE">
      <w:pPr>
        <w:pStyle w:val="ClauseHeading0"/>
        <w:rPr>
          <w:rFonts w:cs="Arial"/>
        </w:rPr>
      </w:pPr>
      <w:r w:rsidRPr="003E72FE">
        <w:rPr>
          <w:rFonts w:cs="Arial"/>
        </w:rPr>
        <w:t>Purpose</w:t>
      </w:r>
    </w:p>
    <w:p w:rsidR="003E72FE" w:rsidRPr="003E72FE" w:rsidRDefault="003E72FE" w:rsidP="003E72FE">
      <w:pPr>
        <w:pStyle w:val="Clause"/>
        <w:rPr>
          <w:rFonts w:cs="Arial"/>
        </w:rPr>
      </w:pPr>
    </w:p>
    <w:p w:rsidR="003E72FE" w:rsidRPr="003E72FE" w:rsidRDefault="003E72FE" w:rsidP="003E72FE">
      <w:pPr>
        <w:pStyle w:val="Clause"/>
        <w:rPr>
          <w:rFonts w:cs="Arial"/>
        </w:rPr>
      </w:pPr>
      <w:r w:rsidRPr="003E72FE">
        <w:rPr>
          <w:rFonts w:cs="Arial"/>
        </w:rPr>
        <w:t>This Standard defines the term ‘fish’ and requires the provision of certain cooking instructions for raw fish which has been joined using a binding system without the application of heat.</w:t>
      </w:r>
    </w:p>
    <w:p w:rsidR="003E72FE" w:rsidRPr="003E72FE" w:rsidRDefault="003E72FE" w:rsidP="003E72FE">
      <w:pPr>
        <w:rPr>
          <w:rFonts w:cs="Arial"/>
          <w:sz w:val="20"/>
          <w:szCs w:val="20"/>
        </w:rPr>
      </w:pPr>
    </w:p>
    <w:p w:rsidR="003E72FE" w:rsidRPr="003E72FE" w:rsidRDefault="003E72FE" w:rsidP="003E72FE">
      <w:pPr>
        <w:pStyle w:val="EditorialNotetext"/>
        <w:pBdr>
          <w:top w:val="none" w:sz="0" w:space="0" w:color="auto"/>
          <w:left w:val="none" w:sz="0" w:space="0" w:color="auto"/>
          <w:bottom w:val="none" w:sz="0" w:space="0" w:color="auto"/>
          <w:right w:val="none" w:sz="0" w:space="0" w:color="auto"/>
        </w:pBdr>
        <w:rPr>
          <w:rFonts w:cs="Arial"/>
          <w:i/>
        </w:rPr>
      </w:pPr>
      <w:r w:rsidRPr="003E72FE">
        <w:rPr>
          <w:rFonts w:cs="Arial"/>
        </w:rPr>
        <w:t>[26.2]</w:t>
      </w:r>
      <w:r w:rsidRPr="003E72FE">
        <w:rPr>
          <w:rFonts w:cs="Arial"/>
        </w:rPr>
        <w:tab/>
      </w:r>
      <w:r w:rsidRPr="003E72FE">
        <w:rPr>
          <w:rFonts w:cs="Arial"/>
          <w:i/>
        </w:rPr>
        <w:t xml:space="preserve">omitting the </w:t>
      </w:r>
      <w:r w:rsidRPr="003E72FE">
        <w:rPr>
          <w:rFonts w:cs="Arial"/>
        </w:rPr>
        <w:t xml:space="preserve">Editorial note </w:t>
      </w:r>
      <w:r w:rsidRPr="003E72FE">
        <w:rPr>
          <w:rFonts w:cs="Arial"/>
          <w:i/>
        </w:rPr>
        <w:t xml:space="preserve">following </w:t>
      </w:r>
      <w:r w:rsidRPr="003E72FE">
        <w:rPr>
          <w:rFonts w:cs="Arial"/>
        </w:rPr>
        <w:t xml:space="preserve">clause 1, </w:t>
      </w:r>
      <w:r w:rsidRPr="003E72FE">
        <w:rPr>
          <w:rFonts w:cs="Arial"/>
          <w:i/>
        </w:rPr>
        <w:t xml:space="preserve">substituting – </w:t>
      </w:r>
    </w:p>
    <w:p w:rsidR="003E72FE" w:rsidRPr="003E72FE" w:rsidRDefault="003E72FE" w:rsidP="003E72FE">
      <w:pPr>
        <w:pStyle w:val="EditorialNotetext"/>
        <w:pBdr>
          <w:top w:val="none" w:sz="0" w:space="0" w:color="auto"/>
          <w:left w:val="none" w:sz="0" w:space="0" w:color="auto"/>
          <w:bottom w:val="none" w:sz="0" w:space="0" w:color="auto"/>
          <w:right w:val="none" w:sz="0" w:space="0" w:color="auto"/>
        </w:pBdr>
        <w:rPr>
          <w:rFonts w:cs="Arial"/>
          <w:i/>
        </w:rPr>
      </w:pPr>
    </w:p>
    <w:p w:rsidR="003E72FE" w:rsidRPr="003E72FE" w:rsidRDefault="003E72FE" w:rsidP="003E72FE">
      <w:pPr>
        <w:pStyle w:val="EditorialNoteLine1"/>
        <w:rPr>
          <w:rFonts w:cs="Arial"/>
        </w:rPr>
      </w:pPr>
      <w:r w:rsidRPr="003E72FE">
        <w:rPr>
          <w:rFonts w:cs="Arial"/>
        </w:rPr>
        <w:t>Editorial note:</w:t>
      </w:r>
    </w:p>
    <w:p w:rsidR="003E72FE" w:rsidRPr="003E72FE" w:rsidRDefault="003E72FE" w:rsidP="003E72FE">
      <w:pPr>
        <w:pStyle w:val="EditorialNotetext"/>
        <w:tabs>
          <w:tab w:val="left" w:pos="2506"/>
        </w:tabs>
        <w:rPr>
          <w:rFonts w:cs="Arial"/>
        </w:rPr>
      </w:pPr>
    </w:p>
    <w:p w:rsidR="003E72FE" w:rsidRPr="003E72FE" w:rsidRDefault="003E72FE" w:rsidP="003E72FE">
      <w:pPr>
        <w:pStyle w:val="EditorialNotetext"/>
        <w:tabs>
          <w:tab w:val="left" w:pos="2506"/>
        </w:tabs>
        <w:rPr>
          <w:rFonts w:cs="Arial"/>
        </w:rPr>
      </w:pPr>
      <w:r w:rsidRPr="003E72FE">
        <w:rPr>
          <w:rFonts w:cs="Arial"/>
        </w:rPr>
        <w:t>This Standard does not define specific names for fish.  An Australian Fish Names Standard (AS SSA 5300) has been published which provides guidance on standard fish names to be used in Australia.</w:t>
      </w:r>
    </w:p>
    <w:p w:rsidR="003E72FE" w:rsidRPr="003E72FE" w:rsidRDefault="003E72FE" w:rsidP="003E72FE">
      <w:pPr>
        <w:pStyle w:val="EditorialNotetext"/>
        <w:rPr>
          <w:rFonts w:cs="Arial"/>
        </w:rPr>
      </w:pPr>
    </w:p>
    <w:p w:rsidR="003E72FE" w:rsidRPr="003E72FE" w:rsidRDefault="003E72FE" w:rsidP="003E72FE">
      <w:pPr>
        <w:pStyle w:val="EditorialNotetext"/>
        <w:ind w:left="567" w:hanging="567"/>
        <w:rPr>
          <w:rFonts w:cs="Arial"/>
        </w:rPr>
      </w:pPr>
      <w:r w:rsidRPr="003E72FE">
        <w:rPr>
          <w:rFonts w:cs="Arial"/>
        </w:rPr>
        <w:t>1.</w:t>
      </w:r>
      <w:r w:rsidRPr="003E72FE">
        <w:rPr>
          <w:rFonts w:cs="Arial"/>
        </w:rPr>
        <w:tab/>
        <w:t xml:space="preserve">Hard copies of the Australian Fish Names Standard (AS-SSA 5300) are available from Seafood Services Australia at </w:t>
      </w:r>
      <w:hyperlink r:id="rId17" w:history="1">
        <w:r w:rsidRPr="003E72FE">
          <w:rPr>
            <w:rStyle w:val="Hyperlink"/>
            <w:rFonts w:eastAsiaTheme="majorEastAsia" w:cs="Arial"/>
            <w:color w:val="3333FF"/>
          </w:rPr>
          <w:t>http://www.seafood.net.au/shop</w:t>
        </w:r>
      </w:hyperlink>
      <w:r w:rsidRPr="003E72FE">
        <w:rPr>
          <w:rFonts w:cs="Arial"/>
        </w:rPr>
        <w:t>.</w:t>
      </w:r>
    </w:p>
    <w:p w:rsidR="003E72FE" w:rsidRPr="003E72FE" w:rsidRDefault="003E72FE" w:rsidP="003E72FE">
      <w:pPr>
        <w:pStyle w:val="EditorialNotetext"/>
        <w:ind w:left="567" w:hanging="567"/>
        <w:rPr>
          <w:rFonts w:cs="Arial"/>
        </w:rPr>
      </w:pPr>
    </w:p>
    <w:p w:rsidR="003E72FE" w:rsidRPr="003E72FE" w:rsidRDefault="003E72FE" w:rsidP="003E72FE">
      <w:pPr>
        <w:pStyle w:val="EditorialNotetext"/>
        <w:ind w:left="567" w:hanging="567"/>
        <w:rPr>
          <w:rFonts w:cs="Arial"/>
        </w:rPr>
      </w:pPr>
      <w:r w:rsidRPr="003E72FE">
        <w:rPr>
          <w:rFonts w:cs="Arial"/>
        </w:rPr>
        <w:t>2.</w:t>
      </w:r>
      <w:r w:rsidRPr="003E72FE">
        <w:rPr>
          <w:rFonts w:cs="Arial"/>
        </w:rPr>
        <w:tab/>
        <w:t xml:space="preserve">A searchable database of Australian Standard Fish Names is available at </w:t>
      </w:r>
      <w:hyperlink r:id="rId18" w:history="1">
        <w:r w:rsidRPr="003E72FE">
          <w:rPr>
            <w:rStyle w:val="Hyperlink"/>
            <w:rFonts w:eastAsiaTheme="majorEastAsia" w:cs="Arial"/>
            <w:color w:val="3333FF"/>
          </w:rPr>
          <w:t>http://www.fishnames.com.au</w:t>
        </w:r>
      </w:hyperlink>
      <w:r w:rsidRPr="003E72FE">
        <w:rPr>
          <w:rFonts w:cs="Arial"/>
        </w:rPr>
        <w:t xml:space="preserve">. </w:t>
      </w:r>
    </w:p>
    <w:p w:rsidR="003E72FE" w:rsidRPr="003E72FE" w:rsidRDefault="003E72FE" w:rsidP="003E72FE">
      <w:pPr>
        <w:pStyle w:val="EditorialNotetext"/>
        <w:ind w:left="567" w:hanging="567"/>
        <w:rPr>
          <w:rFonts w:cs="Arial"/>
        </w:rPr>
      </w:pPr>
    </w:p>
    <w:p w:rsidR="003E72FE" w:rsidRPr="003E72FE" w:rsidRDefault="003E72FE" w:rsidP="003E72FE">
      <w:pPr>
        <w:pStyle w:val="EditorialNotetext"/>
        <w:ind w:left="567" w:hanging="567"/>
        <w:rPr>
          <w:rFonts w:cs="Arial"/>
        </w:rPr>
      </w:pPr>
      <w:r w:rsidRPr="003E72FE">
        <w:rPr>
          <w:rFonts w:cs="Arial"/>
        </w:rPr>
        <w:t>3.</w:t>
      </w:r>
      <w:r w:rsidRPr="003E72FE">
        <w:rPr>
          <w:rFonts w:cs="Arial"/>
        </w:rPr>
        <w:tab/>
        <w:t xml:space="preserve">New Zealand common, Maori, and scientific names for fish species are available from the website of the Ministry of Agriculture and Forestry at </w:t>
      </w:r>
      <w:hyperlink r:id="rId19" w:history="1">
        <w:r w:rsidRPr="003E72FE">
          <w:rPr>
            <w:rStyle w:val="Hyperlink"/>
            <w:rFonts w:eastAsiaTheme="majorEastAsia" w:cs="Arial"/>
            <w:color w:val="3333FF"/>
          </w:rPr>
          <w:t>http://www.foodsafety.govt.nz/industry/sectors/seafood/fish-names/index.htm</w:t>
        </w:r>
      </w:hyperlink>
      <w:r w:rsidRPr="003E72FE">
        <w:rPr>
          <w:rFonts w:cs="Arial"/>
        </w:rPr>
        <w:t>.</w:t>
      </w:r>
    </w:p>
    <w:p w:rsidR="003E72FE" w:rsidRPr="003E72FE" w:rsidRDefault="003E72FE" w:rsidP="003E72FE">
      <w:pPr>
        <w:pStyle w:val="EditorialNotetext"/>
        <w:ind w:left="567" w:hanging="567"/>
        <w:rPr>
          <w:rFonts w:cs="Arial"/>
        </w:rPr>
      </w:pPr>
    </w:p>
    <w:p w:rsidR="003E72FE" w:rsidRPr="003E72FE" w:rsidRDefault="003E72FE" w:rsidP="003E72FE">
      <w:pPr>
        <w:pStyle w:val="EditorialNotetext"/>
        <w:rPr>
          <w:rFonts w:cs="Arial"/>
        </w:rPr>
      </w:pPr>
      <w:r w:rsidRPr="003E72FE">
        <w:rPr>
          <w:rFonts w:cs="Arial"/>
        </w:rPr>
        <w:t>The Table to clause 5 of Standard 1.4.1 prescribes the maximum level of histamine permitted in fish and fish products.</w:t>
      </w:r>
    </w:p>
    <w:p w:rsidR="003E72FE" w:rsidRPr="003E72FE" w:rsidRDefault="003E72FE" w:rsidP="003E72FE">
      <w:pPr>
        <w:pStyle w:val="EditorialNotetext"/>
        <w:pBdr>
          <w:top w:val="none" w:sz="0" w:space="0" w:color="auto"/>
          <w:left w:val="none" w:sz="0" w:space="0" w:color="auto"/>
          <w:bottom w:val="none" w:sz="0" w:space="0" w:color="auto"/>
          <w:right w:val="none" w:sz="0" w:space="0" w:color="auto"/>
        </w:pBdr>
        <w:rPr>
          <w:rFonts w:cs="Arial"/>
        </w:rPr>
      </w:pPr>
    </w:p>
    <w:p w:rsidR="003E72FE" w:rsidRPr="003E72FE" w:rsidRDefault="003E72FE" w:rsidP="003E72FE">
      <w:pPr>
        <w:pStyle w:val="Clause"/>
        <w:rPr>
          <w:rFonts w:cs="Arial"/>
        </w:rPr>
      </w:pPr>
      <w:r w:rsidRPr="003E72FE">
        <w:rPr>
          <w:rFonts w:cs="Arial"/>
        </w:rPr>
        <w:t>[26.3]</w:t>
      </w:r>
      <w:r w:rsidRPr="003E72FE">
        <w:rPr>
          <w:rFonts w:cs="Arial"/>
        </w:rPr>
        <w:tab/>
      </w:r>
      <w:r w:rsidRPr="003E72FE">
        <w:rPr>
          <w:rFonts w:cs="Arial"/>
          <w:i/>
        </w:rPr>
        <w:t xml:space="preserve">omitting clauses 2 and 3, substituting </w:t>
      </w:r>
      <w:r w:rsidRPr="003E72FE">
        <w:rPr>
          <w:rFonts w:cs="Arial"/>
        </w:rPr>
        <w:t xml:space="preserve">– </w:t>
      </w:r>
    </w:p>
    <w:p w:rsidR="003E72FE" w:rsidRPr="003E72FE" w:rsidRDefault="003E72FE" w:rsidP="003E72FE">
      <w:pPr>
        <w:rPr>
          <w:rFonts w:cs="Arial"/>
          <w:i/>
          <w:sz w:val="20"/>
          <w:szCs w:val="20"/>
        </w:rPr>
      </w:pPr>
    </w:p>
    <w:p w:rsidR="003E72FE" w:rsidRPr="003E72FE" w:rsidRDefault="003E72FE" w:rsidP="003E72FE">
      <w:pPr>
        <w:pStyle w:val="ClauseHeading0"/>
        <w:rPr>
          <w:rFonts w:cs="Arial"/>
        </w:rPr>
      </w:pPr>
      <w:r w:rsidRPr="003E72FE">
        <w:rPr>
          <w:rFonts w:cs="Arial"/>
        </w:rPr>
        <w:t>2</w:t>
      </w:r>
      <w:r w:rsidRPr="003E72FE">
        <w:rPr>
          <w:rFonts w:cs="Arial"/>
        </w:rPr>
        <w:tab/>
        <w:t>Labelling etc of formed or joined fish</w:t>
      </w:r>
    </w:p>
    <w:p w:rsidR="003E72FE" w:rsidRPr="003E72FE" w:rsidRDefault="003E72FE" w:rsidP="003E72FE">
      <w:pPr>
        <w:rPr>
          <w:rFonts w:cs="Arial"/>
          <w:sz w:val="20"/>
          <w:szCs w:val="20"/>
        </w:rPr>
      </w:pPr>
    </w:p>
    <w:p w:rsidR="003E72FE" w:rsidRPr="003E72FE" w:rsidRDefault="003E72FE" w:rsidP="003E72FE">
      <w:pPr>
        <w:pStyle w:val="Clause"/>
        <w:rPr>
          <w:rFonts w:cs="Arial"/>
        </w:rPr>
      </w:pPr>
      <w:r w:rsidRPr="003E72FE">
        <w:rPr>
          <w:rFonts w:cs="Arial"/>
        </w:rPr>
        <w:t>Where raw fish has been formed or joined in the semblance of a cut or fillet of fish using a binding system without the application of heat, whether coated or not, a declaration that the fish is either formed or joined, in conjunction with cooking instructions indicating how the microbiological safety of the product can be achieved –</w:t>
      </w:r>
    </w:p>
    <w:p w:rsidR="003E72FE" w:rsidRPr="003E72FE" w:rsidRDefault="003E72FE" w:rsidP="003E72FE">
      <w:pPr>
        <w:pStyle w:val="Clause"/>
        <w:rPr>
          <w:rFonts w:cs="Arial"/>
        </w:rPr>
      </w:pPr>
    </w:p>
    <w:p w:rsidR="003E72FE" w:rsidRPr="003E72FE" w:rsidRDefault="003E72FE" w:rsidP="003E72FE">
      <w:pPr>
        <w:pStyle w:val="Paragraph"/>
        <w:rPr>
          <w:rFonts w:cs="Arial"/>
        </w:rPr>
      </w:pPr>
      <w:r w:rsidRPr="003E72FE">
        <w:rPr>
          <w:rFonts w:cs="Arial"/>
        </w:rPr>
        <w:t>(a)</w:t>
      </w:r>
      <w:r w:rsidRPr="003E72FE">
        <w:rPr>
          <w:rFonts w:cs="Arial"/>
        </w:rPr>
        <w:tab/>
        <w:t>must be included on the label on the package of the fish; or</w:t>
      </w:r>
    </w:p>
    <w:p w:rsidR="003E72FE" w:rsidRPr="003E72FE" w:rsidRDefault="003E72FE" w:rsidP="003E72FE">
      <w:pPr>
        <w:pStyle w:val="Paragraph"/>
        <w:rPr>
          <w:rFonts w:cs="Arial"/>
        </w:rPr>
      </w:pPr>
      <w:r w:rsidRPr="003E72FE">
        <w:rPr>
          <w:rFonts w:cs="Arial"/>
        </w:rPr>
        <w:t>(b)</w:t>
      </w:r>
      <w:r w:rsidRPr="003E72FE">
        <w:rPr>
          <w:rFonts w:cs="Arial"/>
        </w:rPr>
        <w:tab/>
        <w:t>if the food is not required to be labelled, must be provided to the purchaser.</w:t>
      </w:r>
    </w:p>
    <w:p w:rsidR="003E72FE" w:rsidRPr="003E72FE" w:rsidRDefault="003E72FE" w:rsidP="003E72FE">
      <w:pPr>
        <w:rPr>
          <w:rFonts w:cs="Arial"/>
          <w:i/>
          <w:sz w:val="20"/>
          <w:szCs w:val="20"/>
        </w:rPr>
      </w:pPr>
    </w:p>
    <w:p w:rsidR="003E72FE" w:rsidRPr="003E72FE" w:rsidRDefault="003E72FE" w:rsidP="003E72FE">
      <w:pPr>
        <w:pStyle w:val="Clause"/>
        <w:rPr>
          <w:rFonts w:cs="Arial"/>
        </w:rPr>
      </w:pPr>
      <w:r w:rsidRPr="003E72FE">
        <w:rPr>
          <w:rFonts w:cs="Arial"/>
        </w:rPr>
        <w:t>[26.4]</w:t>
      </w:r>
      <w:r w:rsidRPr="003E72FE">
        <w:rPr>
          <w:rFonts w:cs="Arial"/>
        </w:rPr>
        <w:tab/>
      </w:r>
      <w:r w:rsidRPr="003E72FE">
        <w:rPr>
          <w:rFonts w:cs="Arial"/>
          <w:i/>
        </w:rPr>
        <w:t xml:space="preserve">updating the </w:t>
      </w:r>
      <w:r w:rsidRPr="003E72FE">
        <w:rPr>
          <w:rFonts w:cs="Arial"/>
        </w:rPr>
        <w:t xml:space="preserve">Table of Provisions </w:t>
      </w:r>
      <w:r w:rsidRPr="003E72FE">
        <w:rPr>
          <w:rFonts w:cs="Arial"/>
          <w:i/>
        </w:rPr>
        <w:t>to reflect these amendments</w:t>
      </w:r>
    </w:p>
    <w:p w:rsidR="003E72FE" w:rsidRPr="003E72FE" w:rsidRDefault="003E72FE" w:rsidP="003E72FE">
      <w:pPr>
        <w:rPr>
          <w:rFonts w:cs="Arial"/>
          <w:i/>
          <w:iCs/>
          <w:sz w:val="20"/>
          <w:szCs w:val="20"/>
        </w:rPr>
      </w:pPr>
    </w:p>
    <w:p w:rsidR="003E72FE" w:rsidRDefault="003E72FE" w:rsidP="003E72FE">
      <w:pPr>
        <w:pStyle w:val="Clause"/>
        <w:rPr>
          <w:rFonts w:cs="Arial"/>
          <w:b/>
          <w:bCs/>
        </w:rPr>
      </w:pPr>
      <w:r>
        <w:rPr>
          <w:rFonts w:cs="Arial"/>
          <w:b/>
          <w:bCs/>
        </w:rPr>
        <w:br w:type="page"/>
      </w:r>
    </w:p>
    <w:p w:rsidR="003E72FE" w:rsidRPr="003E72FE" w:rsidRDefault="003E72FE" w:rsidP="003E72FE">
      <w:pPr>
        <w:pStyle w:val="Clause"/>
        <w:rPr>
          <w:rFonts w:cs="Arial"/>
          <w:bCs/>
          <w:i/>
        </w:rPr>
      </w:pPr>
      <w:r w:rsidRPr="003E72FE">
        <w:rPr>
          <w:rFonts w:cs="Arial"/>
          <w:b/>
          <w:bCs/>
        </w:rPr>
        <w:lastRenderedPageBreak/>
        <w:t>[27]</w:t>
      </w:r>
      <w:r w:rsidRPr="003E72FE">
        <w:rPr>
          <w:rFonts w:cs="Arial"/>
          <w:b/>
          <w:bCs/>
        </w:rPr>
        <w:tab/>
      </w:r>
      <w:r w:rsidRPr="003E72FE">
        <w:rPr>
          <w:rFonts w:cs="Arial"/>
          <w:b/>
          <w:bCs/>
          <w:i/>
        </w:rPr>
        <w:t xml:space="preserve">Standard 2.3.1 </w:t>
      </w:r>
      <w:r w:rsidRPr="003E72FE">
        <w:rPr>
          <w:rFonts w:cs="Arial"/>
          <w:bCs/>
          <w:i/>
        </w:rPr>
        <w:t xml:space="preserve">of the Australia New Zealand Food Standards Code is varied by </w:t>
      </w:r>
      <w:r w:rsidRPr="003E72FE">
        <w:rPr>
          <w:rFonts w:cs="Arial"/>
          <w:i/>
        </w:rPr>
        <w:t xml:space="preserve">omitting the definition of </w:t>
      </w:r>
      <w:r w:rsidRPr="003E72FE">
        <w:rPr>
          <w:rFonts w:cs="Arial"/>
          <w:b/>
        </w:rPr>
        <w:t>peeled and/or cut fruit and vegetables</w:t>
      </w:r>
      <w:r w:rsidRPr="003E72FE">
        <w:rPr>
          <w:rFonts w:cs="Arial"/>
          <w:i/>
        </w:rPr>
        <w:t xml:space="preserve"> in clause 1</w:t>
      </w:r>
    </w:p>
    <w:p w:rsidR="003E72FE" w:rsidRPr="003E72FE" w:rsidRDefault="003E72FE" w:rsidP="003E72FE">
      <w:pPr>
        <w:rPr>
          <w:rFonts w:cs="Arial"/>
          <w:sz w:val="20"/>
          <w:szCs w:val="20"/>
        </w:rPr>
      </w:pPr>
    </w:p>
    <w:p w:rsidR="003E72FE" w:rsidRPr="003E72FE" w:rsidRDefault="003E72FE" w:rsidP="003E72FE">
      <w:pPr>
        <w:pStyle w:val="Clause"/>
        <w:rPr>
          <w:rFonts w:cs="Arial"/>
          <w:bCs/>
          <w:i/>
        </w:rPr>
      </w:pPr>
      <w:r w:rsidRPr="003E72FE">
        <w:rPr>
          <w:rFonts w:cs="Arial"/>
          <w:b/>
          <w:bCs/>
        </w:rPr>
        <w:t>[28]</w:t>
      </w:r>
      <w:r w:rsidRPr="003E72FE">
        <w:rPr>
          <w:rFonts w:cs="Arial"/>
          <w:b/>
          <w:bCs/>
        </w:rPr>
        <w:tab/>
      </w:r>
      <w:r w:rsidRPr="003E72FE">
        <w:rPr>
          <w:rFonts w:cs="Arial"/>
          <w:b/>
          <w:bCs/>
          <w:i/>
        </w:rPr>
        <w:t xml:space="preserve">Standard 2.4.1 </w:t>
      </w:r>
      <w:r w:rsidRPr="003E72FE">
        <w:rPr>
          <w:rFonts w:cs="Arial"/>
          <w:bCs/>
          <w:i/>
        </w:rPr>
        <w:t xml:space="preserve">of the Australia New Zealand Food Standards Code is varied by – </w:t>
      </w:r>
    </w:p>
    <w:p w:rsidR="003E72FE" w:rsidRPr="003E72FE" w:rsidRDefault="003E72FE" w:rsidP="003E72FE">
      <w:pPr>
        <w:pStyle w:val="Clause"/>
        <w:rPr>
          <w:rFonts w:cs="Arial"/>
          <w:bCs/>
          <w:i/>
        </w:rPr>
      </w:pPr>
    </w:p>
    <w:p w:rsidR="003E72FE" w:rsidRPr="003E72FE" w:rsidRDefault="003E72FE" w:rsidP="003E72FE">
      <w:pPr>
        <w:pStyle w:val="Clause"/>
        <w:rPr>
          <w:rFonts w:cs="Arial"/>
          <w:bCs/>
          <w:i/>
        </w:rPr>
      </w:pPr>
      <w:r w:rsidRPr="003E72FE">
        <w:rPr>
          <w:rFonts w:cs="Arial"/>
          <w:bCs/>
        </w:rPr>
        <w:t>[28.1]</w:t>
      </w:r>
      <w:r w:rsidRPr="003E72FE">
        <w:rPr>
          <w:rFonts w:cs="Arial"/>
          <w:bCs/>
        </w:rPr>
        <w:tab/>
      </w:r>
      <w:r w:rsidRPr="003E72FE">
        <w:rPr>
          <w:rFonts w:cs="Arial"/>
          <w:bCs/>
          <w:i/>
        </w:rPr>
        <w:t xml:space="preserve">omitting the definition of </w:t>
      </w:r>
      <w:r w:rsidRPr="003E72FE">
        <w:rPr>
          <w:rFonts w:cs="Arial"/>
          <w:b/>
          <w:bCs/>
        </w:rPr>
        <w:t>edible oils</w:t>
      </w:r>
      <w:r w:rsidRPr="003E72FE">
        <w:rPr>
          <w:rFonts w:cs="Arial"/>
          <w:i/>
        </w:rPr>
        <w:t xml:space="preserve"> in clause 1</w:t>
      </w:r>
      <w:r w:rsidRPr="003E72FE">
        <w:rPr>
          <w:rFonts w:cs="Arial"/>
          <w:bCs/>
        </w:rPr>
        <w:t xml:space="preserve">, </w:t>
      </w:r>
      <w:r w:rsidRPr="003E72FE">
        <w:rPr>
          <w:rFonts w:cs="Arial"/>
          <w:bCs/>
          <w:i/>
        </w:rPr>
        <w:t xml:space="preserve">substituting – </w:t>
      </w:r>
    </w:p>
    <w:p w:rsidR="003E72FE" w:rsidRPr="003E72FE" w:rsidRDefault="003E72FE" w:rsidP="003E72FE">
      <w:pPr>
        <w:rPr>
          <w:rFonts w:cs="Arial"/>
          <w:sz w:val="20"/>
          <w:szCs w:val="20"/>
        </w:rPr>
      </w:pPr>
    </w:p>
    <w:p w:rsidR="003E72FE" w:rsidRPr="003E72FE" w:rsidRDefault="003E72FE" w:rsidP="003E72FE">
      <w:pPr>
        <w:pStyle w:val="Definition"/>
        <w:rPr>
          <w:rFonts w:cs="Arial"/>
        </w:rPr>
      </w:pPr>
      <w:r w:rsidRPr="003E72FE">
        <w:rPr>
          <w:rFonts w:cs="Arial"/>
          <w:b/>
          <w:bCs/>
        </w:rPr>
        <w:t xml:space="preserve">edible oils </w:t>
      </w:r>
      <w:r w:rsidRPr="003E72FE">
        <w:rPr>
          <w:rFonts w:cs="Arial"/>
          <w:bCs/>
        </w:rPr>
        <w:t xml:space="preserve">means the triglycerides, diglycerides, or both the triglycerides and diglycerides </w:t>
      </w:r>
      <w:r w:rsidRPr="003E72FE">
        <w:rPr>
          <w:rFonts w:cs="Arial"/>
        </w:rPr>
        <w:t>of fatty acids of plant or animal origin, including aquatic plants and aquatic animals.</w:t>
      </w:r>
    </w:p>
    <w:p w:rsidR="003E72FE" w:rsidRPr="003E72FE" w:rsidRDefault="003E72FE" w:rsidP="003E72FE">
      <w:pPr>
        <w:rPr>
          <w:sz w:val="20"/>
          <w:szCs w:val="20"/>
        </w:rPr>
      </w:pPr>
    </w:p>
    <w:p w:rsidR="003E72FE" w:rsidRPr="003E72FE" w:rsidRDefault="003E72FE" w:rsidP="003E72FE">
      <w:pPr>
        <w:pStyle w:val="Clause"/>
        <w:rPr>
          <w:i/>
        </w:rPr>
      </w:pPr>
      <w:r w:rsidRPr="003E72FE">
        <w:t>[28.2]</w:t>
      </w:r>
      <w:r w:rsidRPr="003E72FE">
        <w:tab/>
      </w:r>
      <w:r w:rsidRPr="003E72FE">
        <w:rPr>
          <w:i/>
        </w:rPr>
        <w:t xml:space="preserve">inserting the word </w:t>
      </w:r>
      <w:r w:rsidRPr="003E72FE">
        <w:t xml:space="preserve">source </w:t>
      </w:r>
      <w:r w:rsidRPr="003E72FE">
        <w:rPr>
          <w:i/>
        </w:rPr>
        <w:t xml:space="preserve">after the word </w:t>
      </w:r>
      <w:r w:rsidRPr="003E72FE">
        <w:t xml:space="preserve">specific </w:t>
      </w:r>
      <w:r w:rsidRPr="003E72FE">
        <w:rPr>
          <w:i/>
        </w:rPr>
        <w:t>in clause 3</w:t>
      </w:r>
    </w:p>
    <w:p w:rsidR="003E72FE" w:rsidRPr="003E72FE" w:rsidRDefault="003E72FE" w:rsidP="003E72FE">
      <w:pPr>
        <w:pStyle w:val="Definition"/>
        <w:rPr>
          <w:b/>
          <w:bCs/>
        </w:rPr>
      </w:pPr>
    </w:p>
    <w:p w:rsidR="003E72FE" w:rsidRPr="003E72FE" w:rsidRDefault="003E72FE" w:rsidP="003E72FE">
      <w:pPr>
        <w:pStyle w:val="Clause"/>
        <w:rPr>
          <w:bCs/>
        </w:rPr>
      </w:pPr>
      <w:r w:rsidRPr="003E72FE">
        <w:rPr>
          <w:b/>
          <w:bCs/>
        </w:rPr>
        <w:t>[29]</w:t>
      </w:r>
      <w:r w:rsidRPr="003E72FE">
        <w:rPr>
          <w:b/>
          <w:bCs/>
        </w:rPr>
        <w:tab/>
      </w:r>
      <w:r w:rsidRPr="003E72FE">
        <w:rPr>
          <w:b/>
          <w:bCs/>
          <w:i/>
        </w:rPr>
        <w:t xml:space="preserve">Standard 2.4.2 </w:t>
      </w:r>
      <w:r w:rsidRPr="003E72FE">
        <w:rPr>
          <w:bCs/>
          <w:i/>
        </w:rPr>
        <w:t xml:space="preserve">of the Australia New Zealand Food Standards Code is varied by inserting </w:t>
      </w:r>
      <w:r w:rsidRPr="003E72FE">
        <w:rPr>
          <w:bCs/>
        </w:rPr>
        <w:t xml:space="preserve">and is not covered by this Standard </w:t>
      </w:r>
      <w:r w:rsidRPr="003E72FE">
        <w:rPr>
          <w:bCs/>
          <w:i/>
        </w:rPr>
        <w:t xml:space="preserve">after </w:t>
      </w:r>
      <w:r w:rsidRPr="003E72FE">
        <w:rPr>
          <w:bCs/>
        </w:rPr>
        <w:t xml:space="preserve">Standard 2.5.5 </w:t>
      </w:r>
      <w:r w:rsidRPr="003E72FE">
        <w:rPr>
          <w:bCs/>
          <w:i/>
        </w:rPr>
        <w:t xml:space="preserve">in the </w:t>
      </w:r>
      <w:r w:rsidRPr="003E72FE">
        <w:rPr>
          <w:bCs/>
        </w:rPr>
        <w:t>Purpose.</w:t>
      </w:r>
    </w:p>
    <w:p w:rsidR="003E72FE" w:rsidRPr="003E72FE" w:rsidRDefault="003E72FE" w:rsidP="003E72FE">
      <w:pPr>
        <w:rPr>
          <w:sz w:val="20"/>
          <w:szCs w:val="20"/>
        </w:rPr>
      </w:pPr>
    </w:p>
    <w:p w:rsidR="003E72FE" w:rsidRPr="003E72FE" w:rsidRDefault="003E72FE" w:rsidP="003E72FE">
      <w:pPr>
        <w:pStyle w:val="Clause"/>
        <w:rPr>
          <w:bCs/>
          <w:i/>
        </w:rPr>
      </w:pPr>
      <w:r w:rsidRPr="003E72FE">
        <w:rPr>
          <w:b/>
          <w:bCs/>
        </w:rPr>
        <w:t>[30]</w:t>
      </w:r>
      <w:r w:rsidRPr="003E72FE">
        <w:rPr>
          <w:b/>
          <w:bCs/>
        </w:rPr>
        <w:tab/>
      </w:r>
      <w:r w:rsidRPr="003E72FE">
        <w:rPr>
          <w:b/>
          <w:bCs/>
          <w:i/>
        </w:rPr>
        <w:t xml:space="preserve">Standard 2.5.1 </w:t>
      </w:r>
      <w:r w:rsidRPr="003E72FE">
        <w:rPr>
          <w:bCs/>
          <w:i/>
        </w:rPr>
        <w:t>of the Australia New Zealand Food Standards Code is varied by –</w:t>
      </w:r>
    </w:p>
    <w:p w:rsidR="003E72FE" w:rsidRPr="003E72FE" w:rsidRDefault="003E72FE" w:rsidP="003E72FE">
      <w:pPr>
        <w:pStyle w:val="Clause"/>
        <w:rPr>
          <w:bCs/>
          <w:i/>
        </w:rPr>
      </w:pPr>
    </w:p>
    <w:p w:rsidR="003E72FE" w:rsidRPr="003E72FE" w:rsidRDefault="003E72FE" w:rsidP="003E72FE">
      <w:pPr>
        <w:pStyle w:val="Clause"/>
      </w:pPr>
      <w:r w:rsidRPr="003E72FE">
        <w:t>[30.1]</w:t>
      </w:r>
      <w:r w:rsidRPr="003E72FE">
        <w:tab/>
      </w:r>
      <w:r w:rsidRPr="003E72FE">
        <w:rPr>
          <w:i/>
        </w:rPr>
        <w:t xml:space="preserve">omitting the </w:t>
      </w:r>
      <w:r w:rsidRPr="003E72FE">
        <w:t xml:space="preserve">Editorial note </w:t>
      </w:r>
      <w:r w:rsidRPr="003E72FE">
        <w:rPr>
          <w:i/>
        </w:rPr>
        <w:t xml:space="preserve">preceding the </w:t>
      </w:r>
      <w:r w:rsidRPr="003E72FE">
        <w:t>Table of Provisions</w:t>
      </w:r>
      <w:r w:rsidRPr="003E72FE">
        <w:rPr>
          <w:i/>
        </w:rPr>
        <w:t xml:space="preserve">, substituting </w:t>
      </w:r>
      <w:r w:rsidRPr="003E72FE">
        <w:t xml:space="preserve">– </w:t>
      </w:r>
    </w:p>
    <w:p w:rsidR="003E72FE" w:rsidRPr="003E72FE" w:rsidRDefault="003E72FE" w:rsidP="003E72FE">
      <w:pPr>
        <w:rPr>
          <w:rFonts w:cs="Arial"/>
          <w:sz w:val="20"/>
          <w:szCs w:val="20"/>
        </w:rPr>
      </w:pPr>
    </w:p>
    <w:p w:rsidR="003E72FE" w:rsidRPr="003E72FE" w:rsidRDefault="003E72FE" w:rsidP="003E72FE">
      <w:pPr>
        <w:pStyle w:val="EditorialNoteLine1"/>
        <w:rPr>
          <w:rFonts w:cs="Arial"/>
        </w:rPr>
      </w:pPr>
      <w:r w:rsidRPr="003E72FE">
        <w:rPr>
          <w:rFonts w:cs="Arial"/>
        </w:rPr>
        <w:t xml:space="preserve">Editorial note: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 xml:space="preserve">The Australian processing requirements for milk are contained in Standard 4.2.4.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New Zealand has its own processing requirements for milk and milk products.</w:t>
      </w:r>
    </w:p>
    <w:p w:rsidR="003E72FE" w:rsidRPr="003E72FE" w:rsidRDefault="003E72FE" w:rsidP="003E72FE">
      <w:pPr>
        <w:pStyle w:val="Clause"/>
        <w:rPr>
          <w:b/>
        </w:rPr>
      </w:pPr>
    </w:p>
    <w:p w:rsidR="003E72FE" w:rsidRPr="003E72FE" w:rsidRDefault="003E72FE" w:rsidP="003E72FE">
      <w:pPr>
        <w:pStyle w:val="Clause"/>
      </w:pPr>
      <w:r w:rsidRPr="003E72FE">
        <w:t>[30.2]</w:t>
      </w:r>
      <w:r w:rsidRPr="003E72FE">
        <w:tab/>
      </w:r>
      <w:r w:rsidRPr="003E72FE">
        <w:rPr>
          <w:i/>
        </w:rPr>
        <w:t xml:space="preserve">omitting </w:t>
      </w:r>
      <w:r w:rsidRPr="003E72FE">
        <w:t>and/or</w:t>
      </w:r>
      <w:r w:rsidRPr="003E72FE">
        <w:rPr>
          <w:i/>
        </w:rPr>
        <w:t xml:space="preserve"> from subclause 2(2), substituting </w:t>
      </w:r>
      <w:r w:rsidRPr="003E72FE">
        <w:t>or</w:t>
      </w:r>
    </w:p>
    <w:p w:rsidR="003E72FE" w:rsidRPr="003E72FE" w:rsidRDefault="003E72FE" w:rsidP="003E72FE">
      <w:pPr>
        <w:rPr>
          <w:sz w:val="20"/>
          <w:szCs w:val="20"/>
        </w:rPr>
      </w:pPr>
    </w:p>
    <w:p w:rsidR="003E72FE" w:rsidRPr="003E72FE" w:rsidRDefault="003E72FE" w:rsidP="003E72FE">
      <w:pPr>
        <w:pStyle w:val="Clause"/>
        <w:rPr>
          <w:bCs/>
          <w:i/>
        </w:rPr>
      </w:pPr>
      <w:r w:rsidRPr="003E72FE">
        <w:rPr>
          <w:b/>
          <w:bCs/>
        </w:rPr>
        <w:t>[31]</w:t>
      </w:r>
      <w:r w:rsidRPr="003E72FE">
        <w:rPr>
          <w:b/>
          <w:bCs/>
        </w:rPr>
        <w:tab/>
      </w:r>
      <w:r w:rsidRPr="003E72FE">
        <w:rPr>
          <w:b/>
          <w:bCs/>
          <w:i/>
        </w:rPr>
        <w:t xml:space="preserve">Standard 2.5.2 </w:t>
      </w:r>
      <w:r w:rsidRPr="003E72FE">
        <w:rPr>
          <w:bCs/>
          <w:i/>
        </w:rPr>
        <w:t>of the Australia New Zealand Food Standards Code is varied by –</w:t>
      </w:r>
    </w:p>
    <w:p w:rsidR="003E72FE" w:rsidRPr="003E72FE" w:rsidRDefault="003E72FE" w:rsidP="003E72FE">
      <w:pPr>
        <w:pStyle w:val="Clause"/>
        <w:rPr>
          <w:bCs/>
          <w:i/>
        </w:rPr>
      </w:pPr>
    </w:p>
    <w:p w:rsidR="003E72FE" w:rsidRPr="003E72FE" w:rsidRDefault="003E72FE" w:rsidP="003E72FE">
      <w:pPr>
        <w:pStyle w:val="Clause"/>
        <w:rPr>
          <w:bCs/>
          <w:i/>
        </w:rPr>
      </w:pPr>
      <w:r w:rsidRPr="003E72FE">
        <w:rPr>
          <w:bCs/>
        </w:rPr>
        <w:t>[31.1]</w:t>
      </w:r>
      <w:r w:rsidRPr="003E72FE">
        <w:rPr>
          <w:bCs/>
        </w:rPr>
        <w:tab/>
      </w:r>
      <w:r w:rsidRPr="003E72FE">
        <w:rPr>
          <w:bCs/>
          <w:i/>
        </w:rPr>
        <w:t xml:space="preserve">omitting from the </w:t>
      </w:r>
      <w:r w:rsidRPr="003E72FE">
        <w:rPr>
          <w:bCs/>
        </w:rPr>
        <w:t xml:space="preserve">Purpose – </w:t>
      </w:r>
    </w:p>
    <w:p w:rsidR="003E72FE" w:rsidRPr="003E72FE" w:rsidRDefault="003E72FE" w:rsidP="003E72FE">
      <w:pPr>
        <w:rPr>
          <w:sz w:val="20"/>
          <w:szCs w:val="20"/>
        </w:rPr>
      </w:pPr>
    </w:p>
    <w:p w:rsidR="003E72FE" w:rsidRPr="003E72FE" w:rsidRDefault="003E72FE" w:rsidP="003E72FE">
      <w:pPr>
        <w:pStyle w:val="Clause"/>
      </w:pPr>
      <w:r w:rsidRPr="003E72FE">
        <w:t>Processing requirements for cream are contained in Standard 4.2.4.</w:t>
      </w:r>
    </w:p>
    <w:p w:rsidR="003E72FE" w:rsidRPr="003E72FE" w:rsidRDefault="003E72FE" w:rsidP="003E72FE">
      <w:pPr>
        <w:rPr>
          <w:sz w:val="20"/>
          <w:szCs w:val="20"/>
        </w:rPr>
      </w:pPr>
    </w:p>
    <w:p w:rsidR="003E72FE" w:rsidRPr="003E72FE" w:rsidRDefault="003E72FE" w:rsidP="003E72FE">
      <w:pPr>
        <w:pStyle w:val="Clause"/>
      </w:pPr>
      <w:r w:rsidRPr="003E72FE">
        <w:t>[31.2]</w:t>
      </w:r>
      <w:r w:rsidRPr="003E72FE">
        <w:tab/>
      </w:r>
      <w:r w:rsidRPr="003E72FE">
        <w:rPr>
          <w:i/>
        </w:rPr>
        <w:t xml:space="preserve">omitting the </w:t>
      </w:r>
      <w:r w:rsidRPr="003E72FE">
        <w:t xml:space="preserve">Editorial note </w:t>
      </w:r>
      <w:r w:rsidRPr="003E72FE">
        <w:rPr>
          <w:i/>
        </w:rPr>
        <w:t xml:space="preserve">preceding the </w:t>
      </w:r>
      <w:r w:rsidRPr="003E72FE">
        <w:t>Table of Provisions</w:t>
      </w:r>
      <w:r w:rsidRPr="003E72FE">
        <w:rPr>
          <w:i/>
        </w:rPr>
        <w:t>, substituting</w:t>
      </w:r>
      <w:r w:rsidRPr="003E72FE">
        <w:t xml:space="preserve"> – </w:t>
      </w:r>
    </w:p>
    <w:p w:rsidR="003E72FE" w:rsidRPr="003E72FE" w:rsidRDefault="003E72FE" w:rsidP="003E72FE">
      <w:pPr>
        <w:rPr>
          <w:rFonts w:cs="Arial"/>
          <w:sz w:val="20"/>
          <w:szCs w:val="20"/>
        </w:rPr>
      </w:pPr>
    </w:p>
    <w:p w:rsidR="003E72FE" w:rsidRPr="003E72FE" w:rsidRDefault="003E72FE" w:rsidP="003E72FE">
      <w:pPr>
        <w:pStyle w:val="EditorialNoteLine1"/>
        <w:rPr>
          <w:rFonts w:cs="Arial"/>
        </w:rPr>
      </w:pPr>
      <w:r w:rsidRPr="003E72FE">
        <w:rPr>
          <w:rFonts w:cs="Arial"/>
        </w:rPr>
        <w:t xml:space="preserve">Editorial note: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 xml:space="preserve">The Australian processing requirements for cream are contained in Standard 4.2.4.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New Zealand has its own processing requirements for cream.</w:t>
      </w:r>
    </w:p>
    <w:p w:rsidR="003E72FE" w:rsidRPr="003E72FE" w:rsidRDefault="003E72FE" w:rsidP="003E72FE">
      <w:pPr>
        <w:rPr>
          <w:sz w:val="20"/>
          <w:szCs w:val="20"/>
        </w:rPr>
      </w:pPr>
    </w:p>
    <w:p w:rsidR="003E72FE" w:rsidRPr="003E72FE" w:rsidRDefault="003E72FE" w:rsidP="003E72FE">
      <w:pPr>
        <w:pStyle w:val="Clause"/>
        <w:rPr>
          <w:i/>
          <w:iCs/>
        </w:rPr>
      </w:pPr>
      <w:r w:rsidRPr="003E72FE">
        <w:rPr>
          <w:b/>
          <w:bCs/>
        </w:rPr>
        <w:t>[32]</w:t>
      </w:r>
      <w:r w:rsidRPr="003E72FE">
        <w:tab/>
      </w:r>
      <w:r w:rsidRPr="003E72FE">
        <w:rPr>
          <w:b/>
          <w:bCs/>
          <w:i/>
          <w:iCs/>
        </w:rPr>
        <w:t>Standard 2.5.3</w:t>
      </w:r>
      <w:r w:rsidRPr="003E72FE">
        <w:rPr>
          <w:i/>
          <w:iCs/>
        </w:rPr>
        <w:t xml:space="preserve"> of the Australia New Zealand Food Standards Code is varied by – </w:t>
      </w:r>
    </w:p>
    <w:p w:rsidR="003E72FE" w:rsidRPr="003E72FE" w:rsidRDefault="003E72FE" w:rsidP="003E72FE">
      <w:pPr>
        <w:rPr>
          <w:sz w:val="20"/>
          <w:szCs w:val="20"/>
        </w:rPr>
      </w:pPr>
    </w:p>
    <w:p w:rsidR="003E72FE" w:rsidRPr="003E72FE" w:rsidRDefault="003E72FE" w:rsidP="003E72FE">
      <w:pPr>
        <w:pStyle w:val="Clause"/>
        <w:rPr>
          <w:bCs/>
        </w:rPr>
      </w:pPr>
      <w:r w:rsidRPr="003E72FE">
        <w:rPr>
          <w:bCs/>
        </w:rPr>
        <w:t>[32.1]</w:t>
      </w:r>
      <w:r w:rsidRPr="003E72FE">
        <w:rPr>
          <w:bCs/>
        </w:rPr>
        <w:tab/>
      </w:r>
      <w:r w:rsidRPr="003E72FE">
        <w:rPr>
          <w:bCs/>
          <w:i/>
        </w:rPr>
        <w:t xml:space="preserve">omitting from the </w:t>
      </w:r>
      <w:r w:rsidRPr="003E72FE">
        <w:rPr>
          <w:bCs/>
        </w:rPr>
        <w:t xml:space="preserve">Purpose – </w:t>
      </w:r>
    </w:p>
    <w:p w:rsidR="003E72FE" w:rsidRPr="003E72FE" w:rsidRDefault="003E72FE" w:rsidP="003E72FE">
      <w:pPr>
        <w:rPr>
          <w:sz w:val="20"/>
          <w:szCs w:val="20"/>
        </w:rPr>
      </w:pPr>
    </w:p>
    <w:p w:rsidR="003E72FE" w:rsidRPr="003E72FE" w:rsidRDefault="003E72FE" w:rsidP="003E72FE">
      <w:pPr>
        <w:pStyle w:val="Clause"/>
      </w:pPr>
      <w:r w:rsidRPr="003E72FE">
        <w:t>Processing requirements for fermented milk are contained in Standard 4.2.4</w:t>
      </w:r>
    </w:p>
    <w:p w:rsidR="003E72FE" w:rsidRPr="003E72FE" w:rsidRDefault="003E72FE" w:rsidP="003E72FE">
      <w:pPr>
        <w:rPr>
          <w:sz w:val="20"/>
          <w:szCs w:val="20"/>
        </w:rPr>
      </w:pPr>
    </w:p>
    <w:p w:rsidR="003E72FE" w:rsidRPr="003E72FE" w:rsidRDefault="003E72FE" w:rsidP="003E72FE">
      <w:pPr>
        <w:pStyle w:val="Clause"/>
      </w:pPr>
      <w:r w:rsidRPr="003E72FE">
        <w:t>[32.2]</w:t>
      </w:r>
      <w:r w:rsidRPr="003E72FE">
        <w:tab/>
      </w:r>
      <w:r w:rsidRPr="003E72FE">
        <w:rPr>
          <w:i/>
        </w:rPr>
        <w:t xml:space="preserve">omitting the </w:t>
      </w:r>
      <w:r w:rsidRPr="003E72FE">
        <w:t>Editorial note</w:t>
      </w:r>
      <w:r w:rsidRPr="003E72FE">
        <w:rPr>
          <w:i/>
        </w:rPr>
        <w:t xml:space="preserve"> preceding the Table of Provisions, substituting</w:t>
      </w:r>
      <w:r w:rsidRPr="003E72FE">
        <w:t xml:space="preserve"> – </w:t>
      </w:r>
    </w:p>
    <w:p w:rsidR="003E72FE" w:rsidRPr="003E72FE" w:rsidRDefault="003E72FE" w:rsidP="003E72FE">
      <w:pPr>
        <w:rPr>
          <w:rFonts w:cs="Arial"/>
          <w:sz w:val="20"/>
          <w:szCs w:val="20"/>
        </w:rPr>
      </w:pPr>
    </w:p>
    <w:p w:rsidR="003E72FE" w:rsidRPr="003E72FE" w:rsidRDefault="003E72FE" w:rsidP="003E72FE">
      <w:pPr>
        <w:pStyle w:val="EditorialNoteLine1"/>
        <w:rPr>
          <w:rFonts w:cs="Arial"/>
        </w:rPr>
      </w:pPr>
      <w:r w:rsidRPr="003E72FE">
        <w:rPr>
          <w:rFonts w:cs="Arial"/>
        </w:rPr>
        <w:t xml:space="preserve">Editorial note: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 xml:space="preserve">The Australian processing requirements for fermented milk products are contained in Standard 4.2.4.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New Zealand has its own processing requirements for milk and milk products.</w:t>
      </w:r>
    </w:p>
    <w:p w:rsidR="003E72FE" w:rsidRPr="003E72FE" w:rsidRDefault="003E72FE" w:rsidP="003E72FE">
      <w:pPr>
        <w:rPr>
          <w:sz w:val="20"/>
          <w:szCs w:val="20"/>
        </w:rPr>
      </w:pPr>
    </w:p>
    <w:p w:rsidR="003E72FE" w:rsidRPr="003E72FE" w:rsidRDefault="003E72FE" w:rsidP="003E72FE">
      <w:pPr>
        <w:pStyle w:val="Clause"/>
      </w:pPr>
      <w:r w:rsidRPr="003E72FE">
        <w:t>[32.3]</w:t>
      </w:r>
      <w:r w:rsidRPr="003E72FE">
        <w:tab/>
      </w:r>
      <w:r w:rsidRPr="003E72FE">
        <w:rPr>
          <w:i/>
        </w:rPr>
        <w:t xml:space="preserve">omitting </w:t>
      </w:r>
      <w:r w:rsidRPr="003E72FE">
        <w:t>and/or</w:t>
      </w:r>
      <w:r w:rsidRPr="003E72FE">
        <w:rPr>
          <w:i/>
        </w:rPr>
        <w:t xml:space="preserve"> from the definition of </w:t>
      </w:r>
      <w:r w:rsidRPr="003E72FE">
        <w:rPr>
          <w:b/>
        </w:rPr>
        <w:t>fermented milk</w:t>
      </w:r>
      <w:r w:rsidRPr="003E72FE">
        <w:t xml:space="preserve"> </w:t>
      </w:r>
      <w:r w:rsidRPr="003E72FE">
        <w:rPr>
          <w:i/>
        </w:rPr>
        <w:t>in clause 1,</w:t>
      </w:r>
      <w:r w:rsidRPr="003E72FE">
        <w:t xml:space="preserve"> </w:t>
      </w:r>
      <w:r w:rsidRPr="003E72FE">
        <w:rPr>
          <w:i/>
        </w:rPr>
        <w:t xml:space="preserve">substituting </w:t>
      </w:r>
      <w:r w:rsidRPr="003E72FE">
        <w:t>or</w:t>
      </w:r>
    </w:p>
    <w:p w:rsidR="003E72FE" w:rsidRPr="003E72FE" w:rsidRDefault="003E72FE" w:rsidP="003E72FE">
      <w:pPr>
        <w:rPr>
          <w:sz w:val="20"/>
          <w:szCs w:val="20"/>
        </w:rPr>
      </w:pPr>
    </w:p>
    <w:p w:rsidR="003E72FE" w:rsidRPr="003E72FE" w:rsidRDefault="003E72FE" w:rsidP="003E72FE">
      <w:pPr>
        <w:pStyle w:val="Clause"/>
      </w:pPr>
      <w:r w:rsidRPr="003E72FE">
        <w:t>[32.4]</w:t>
      </w:r>
      <w:r w:rsidRPr="003E72FE">
        <w:tab/>
      </w:r>
      <w:r w:rsidRPr="003E72FE">
        <w:rPr>
          <w:i/>
        </w:rPr>
        <w:t>omitting clause 2, substituting</w:t>
      </w:r>
      <w:r w:rsidRPr="003E72FE">
        <w:t xml:space="preserve"> – </w:t>
      </w:r>
    </w:p>
    <w:p w:rsidR="003E72FE" w:rsidRPr="003E72FE" w:rsidRDefault="003E72FE" w:rsidP="003E72FE">
      <w:pPr>
        <w:rPr>
          <w:i/>
          <w:sz w:val="20"/>
          <w:szCs w:val="20"/>
        </w:rPr>
      </w:pPr>
    </w:p>
    <w:p w:rsidR="003E72FE" w:rsidRDefault="003E72FE" w:rsidP="003E72FE">
      <w:pPr>
        <w:pStyle w:val="ClauseHeading0"/>
      </w:pPr>
      <w:r>
        <w:br w:type="page"/>
      </w:r>
    </w:p>
    <w:p w:rsidR="003E72FE" w:rsidRPr="003E72FE" w:rsidRDefault="003E72FE" w:rsidP="003E72FE">
      <w:pPr>
        <w:pStyle w:val="ClauseHeading0"/>
      </w:pPr>
      <w:r w:rsidRPr="003E72FE">
        <w:lastRenderedPageBreak/>
        <w:t>2</w:t>
      </w:r>
      <w:r w:rsidRPr="003E72FE">
        <w:tab/>
        <w:t>Composition of fermented milk, including yoghurt</w:t>
      </w:r>
    </w:p>
    <w:p w:rsidR="003E72FE" w:rsidRPr="003E72FE" w:rsidRDefault="003E72FE" w:rsidP="003E72FE">
      <w:pPr>
        <w:rPr>
          <w:b/>
          <w:sz w:val="20"/>
          <w:szCs w:val="20"/>
        </w:rPr>
      </w:pPr>
    </w:p>
    <w:p w:rsidR="003E72FE" w:rsidRPr="003E72FE" w:rsidRDefault="003E72FE" w:rsidP="003E72FE">
      <w:pPr>
        <w:pStyle w:val="Subclause"/>
      </w:pPr>
      <w:r w:rsidRPr="003E72FE">
        <w:t>(1)</w:t>
      </w:r>
      <w:r w:rsidRPr="003E72FE">
        <w:tab/>
        <w:t>Fermented milk may contain other foods.</w:t>
      </w:r>
    </w:p>
    <w:p w:rsidR="003E72FE" w:rsidRPr="003E72FE" w:rsidRDefault="003E72FE" w:rsidP="003E72FE">
      <w:pPr>
        <w:rPr>
          <w:sz w:val="20"/>
          <w:szCs w:val="20"/>
        </w:rPr>
      </w:pPr>
    </w:p>
    <w:p w:rsidR="003E72FE" w:rsidRPr="003E72FE" w:rsidRDefault="003E72FE" w:rsidP="003E72FE">
      <w:pPr>
        <w:pStyle w:val="Subclause"/>
      </w:pPr>
      <w:r w:rsidRPr="003E72FE">
        <w:t>(2)</w:t>
      </w:r>
      <w:r w:rsidRPr="003E72FE">
        <w:tab/>
        <w:t>In fermented milk and the fermented milk portion of a food containing fermented milk, each component or parameter listed in Column 1 must comply with the value specified in Column 2 of the Table to this subclause.</w:t>
      </w:r>
    </w:p>
    <w:p w:rsidR="003E72FE" w:rsidRPr="003E72FE" w:rsidRDefault="003E72FE" w:rsidP="003E72FE">
      <w:pPr>
        <w:rPr>
          <w:sz w:val="20"/>
          <w:szCs w:val="20"/>
        </w:rPr>
      </w:pPr>
    </w:p>
    <w:p w:rsidR="003E72FE" w:rsidRDefault="003E72FE" w:rsidP="003E72FE">
      <w:pPr>
        <w:pStyle w:val="TableHeading"/>
      </w:pPr>
      <w:r>
        <w:t>Table to subclause 2(2)</w:t>
      </w:r>
    </w:p>
    <w:p w:rsidR="003E72FE" w:rsidRPr="003E72FE" w:rsidRDefault="003E72FE" w:rsidP="003E72FE">
      <w:pPr>
        <w:rPr>
          <w:sz w:val="20"/>
          <w:szCs w:val="20"/>
        </w:rPr>
      </w:pPr>
    </w:p>
    <w:tbl>
      <w:tblPr>
        <w:tblW w:w="6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6"/>
        <w:gridCol w:w="3484"/>
      </w:tblGrid>
      <w:tr w:rsidR="003E72FE" w:rsidTr="003E72FE">
        <w:trPr>
          <w:cantSplit/>
          <w:trHeight w:val="240"/>
          <w:jc w:val="center"/>
        </w:trPr>
        <w:tc>
          <w:tcPr>
            <w:tcW w:w="3323" w:type="dxa"/>
            <w:tcBorders>
              <w:top w:val="single" w:sz="4" w:space="0" w:color="auto"/>
              <w:left w:val="single" w:sz="4" w:space="0" w:color="auto"/>
              <w:bottom w:val="single" w:sz="4" w:space="0" w:color="auto"/>
              <w:right w:val="single" w:sz="4" w:space="0" w:color="auto"/>
            </w:tcBorders>
            <w:hideMark/>
          </w:tcPr>
          <w:p w:rsidR="003E72FE" w:rsidRDefault="003E72FE">
            <w:pPr>
              <w:pStyle w:val="Table1"/>
              <w:spacing w:line="276" w:lineRule="auto"/>
            </w:pPr>
            <w:r>
              <w:t>Column 1</w:t>
            </w:r>
          </w:p>
        </w:tc>
        <w:tc>
          <w:tcPr>
            <w:tcW w:w="3481" w:type="dxa"/>
            <w:tcBorders>
              <w:top w:val="single" w:sz="4" w:space="0" w:color="auto"/>
              <w:left w:val="single" w:sz="4" w:space="0" w:color="auto"/>
              <w:bottom w:val="single" w:sz="4" w:space="0" w:color="auto"/>
              <w:right w:val="single" w:sz="4" w:space="0" w:color="auto"/>
            </w:tcBorders>
            <w:hideMark/>
          </w:tcPr>
          <w:p w:rsidR="003E72FE" w:rsidRDefault="003E72FE">
            <w:pPr>
              <w:pStyle w:val="Table1"/>
              <w:spacing w:line="276" w:lineRule="auto"/>
            </w:pPr>
            <w:r>
              <w:t>Column 2</w:t>
            </w:r>
          </w:p>
        </w:tc>
      </w:tr>
      <w:tr w:rsidR="003E72FE" w:rsidTr="003E72FE">
        <w:trPr>
          <w:cantSplit/>
          <w:trHeight w:val="240"/>
          <w:jc w:val="center"/>
        </w:trPr>
        <w:tc>
          <w:tcPr>
            <w:tcW w:w="3323" w:type="dxa"/>
            <w:tcBorders>
              <w:top w:val="single" w:sz="4" w:space="0" w:color="auto"/>
              <w:left w:val="single" w:sz="4" w:space="0" w:color="auto"/>
              <w:bottom w:val="single" w:sz="4" w:space="0" w:color="auto"/>
              <w:right w:val="single" w:sz="4" w:space="0" w:color="auto"/>
            </w:tcBorders>
            <w:hideMark/>
          </w:tcPr>
          <w:p w:rsidR="003E72FE" w:rsidRDefault="003E72FE">
            <w:pPr>
              <w:pStyle w:val="Table1"/>
              <w:spacing w:line="276" w:lineRule="auto"/>
            </w:pPr>
            <w:r>
              <w:t>Component or parameter</w:t>
            </w:r>
          </w:p>
        </w:tc>
        <w:tc>
          <w:tcPr>
            <w:tcW w:w="3481" w:type="dxa"/>
            <w:tcBorders>
              <w:top w:val="single" w:sz="4" w:space="0" w:color="auto"/>
              <w:left w:val="single" w:sz="4" w:space="0" w:color="auto"/>
              <w:bottom w:val="single" w:sz="4" w:space="0" w:color="auto"/>
              <w:right w:val="single" w:sz="4" w:space="0" w:color="auto"/>
            </w:tcBorders>
            <w:hideMark/>
          </w:tcPr>
          <w:p w:rsidR="003E72FE" w:rsidRDefault="003E72FE">
            <w:pPr>
              <w:pStyle w:val="Table1"/>
              <w:spacing w:line="276" w:lineRule="auto"/>
            </w:pPr>
            <w:r>
              <w:t>Value</w:t>
            </w:r>
          </w:p>
        </w:tc>
      </w:tr>
      <w:tr w:rsidR="003E72FE" w:rsidTr="003E72FE">
        <w:trPr>
          <w:jc w:val="center"/>
        </w:trPr>
        <w:tc>
          <w:tcPr>
            <w:tcW w:w="3323"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protein (measured as crude protein)</w:t>
            </w:r>
          </w:p>
        </w:tc>
        <w:tc>
          <w:tcPr>
            <w:tcW w:w="3481"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minimum 30 g/kg</w:t>
            </w:r>
          </w:p>
        </w:tc>
      </w:tr>
      <w:tr w:rsidR="003E72FE" w:rsidTr="003E72FE">
        <w:trPr>
          <w:jc w:val="center"/>
        </w:trPr>
        <w:tc>
          <w:tcPr>
            <w:tcW w:w="3323"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pH</w:t>
            </w:r>
          </w:p>
        </w:tc>
        <w:tc>
          <w:tcPr>
            <w:tcW w:w="3481"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maximum 4.5</w:t>
            </w:r>
          </w:p>
        </w:tc>
      </w:tr>
      <w:tr w:rsidR="003E72FE" w:rsidTr="003E72FE">
        <w:trPr>
          <w:jc w:val="center"/>
        </w:trPr>
        <w:tc>
          <w:tcPr>
            <w:tcW w:w="3323"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line="276" w:lineRule="auto"/>
            </w:pPr>
            <w:r>
              <w:t>microorganisms used in the fermentation</w:t>
            </w:r>
          </w:p>
        </w:tc>
        <w:tc>
          <w:tcPr>
            <w:tcW w:w="3481" w:type="dxa"/>
            <w:tcBorders>
              <w:top w:val="single" w:sz="4" w:space="0" w:color="auto"/>
              <w:left w:val="single" w:sz="4" w:space="0" w:color="auto"/>
              <w:bottom w:val="single" w:sz="4" w:space="0" w:color="auto"/>
              <w:right w:val="single" w:sz="4" w:space="0" w:color="auto"/>
            </w:tcBorders>
            <w:hideMark/>
          </w:tcPr>
          <w:p w:rsidR="003E72FE" w:rsidRDefault="003E72FE">
            <w:pPr>
              <w:pStyle w:val="Table2"/>
              <w:spacing w:before="20" w:line="276" w:lineRule="auto"/>
            </w:pPr>
            <w:r>
              <w:t>minimum 10</w:t>
            </w:r>
            <w:r>
              <w:rPr>
                <w:vertAlign w:val="superscript"/>
              </w:rPr>
              <w:t xml:space="preserve">6 </w:t>
            </w:r>
            <w:r>
              <w:t>cfu/g</w:t>
            </w:r>
          </w:p>
        </w:tc>
      </w:tr>
    </w:tbl>
    <w:p w:rsidR="003E72FE" w:rsidRDefault="003E72FE" w:rsidP="003E72FE">
      <w:pPr>
        <w:rPr>
          <w:sz w:val="20"/>
          <w:szCs w:val="20"/>
        </w:rPr>
      </w:pPr>
    </w:p>
    <w:p w:rsidR="003E72FE" w:rsidRDefault="003E72FE" w:rsidP="003E72FE">
      <w:pPr>
        <w:pStyle w:val="Clause"/>
        <w:rPr>
          <w:i/>
          <w:iCs/>
          <w:lang w:bidi="ar-SA"/>
        </w:rPr>
      </w:pPr>
      <w:r>
        <w:rPr>
          <w:b/>
          <w:bCs/>
        </w:rPr>
        <w:t>[33]</w:t>
      </w:r>
      <w:r>
        <w:tab/>
      </w:r>
      <w:r>
        <w:rPr>
          <w:b/>
          <w:bCs/>
          <w:i/>
          <w:iCs/>
        </w:rPr>
        <w:t>Standard 2.5.4</w:t>
      </w:r>
      <w:r>
        <w:rPr>
          <w:i/>
          <w:iCs/>
        </w:rPr>
        <w:t xml:space="preserve"> of the Australia New Zealand Food Standards Code is varied by – </w:t>
      </w:r>
    </w:p>
    <w:p w:rsidR="003E72FE" w:rsidRPr="003E72FE" w:rsidRDefault="003E72FE" w:rsidP="003E72FE">
      <w:pPr>
        <w:rPr>
          <w:sz w:val="20"/>
          <w:szCs w:val="20"/>
        </w:rPr>
      </w:pPr>
    </w:p>
    <w:p w:rsidR="003E72FE" w:rsidRPr="003E72FE" w:rsidRDefault="003E72FE" w:rsidP="003E72FE">
      <w:pPr>
        <w:pStyle w:val="Clause"/>
        <w:rPr>
          <w:bCs/>
        </w:rPr>
      </w:pPr>
      <w:r w:rsidRPr="003E72FE">
        <w:rPr>
          <w:bCs/>
        </w:rPr>
        <w:t>[33.1]</w:t>
      </w:r>
      <w:r w:rsidRPr="003E72FE">
        <w:rPr>
          <w:bCs/>
        </w:rPr>
        <w:tab/>
      </w:r>
      <w:r w:rsidRPr="003E72FE">
        <w:rPr>
          <w:bCs/>
          <w:i/>
        </w:rPr>
        <w:t xml:space="preserve">omitting from the </w:t>
      </w:r>
      <w:r w:rsidRPr="003E72FE">
        <w:rPr>
          <w:bCs/>
        </w:rPr>
        <w:t xml:space="preserve">Purpose – </w:t>
      </w:r>
    </w:p>
    <w:p w:rsidR="003E72FE" w:rsidRPr="003E72FE" w:rsidRDefault="003E72FE" w:rsidP="003E72FE">
      <w:pPr>
        <w:rPr>
          <w:sz w:val="20"/>
          <w:szCs w:val="20"/>
        </w:rPr>
      </w:pPr>
    </w:p>
    <w:p w:rsidR="003E72FE" w:rsidRPr="003E72FE" w:rsidRDefault="003E72FE" w:rsidP="003E72FE">
      <w:pPr>
        <w:pStyle w:val="Clause"/>
      </w:pPr>
      <w:r w:rsidRPr="003E72FE">
        <w:t>Processing requirements for cheese are contained in Standard 4.2.4</w:t>
      </w:r>
    </w:p>
    <w:p w:rsidR="003E72FE" w:rsidRPr="003E72FE" w:rsidRDefault="003E72FE" w:rsidP="003E72FE">
      <w:pPr>
        <w:rPr>
          <w:sz w:val="20"/>
          <w:szCs w:val="20"/>
        </w:rPr>
      </w:pPr>
    </w:p>
    <w:p w:rsidR="003E72FE" w:rsidRPr="003E72FE" w:rsidRDefault="003E72FE" w:rsidP="003E72FE">
      <w:pPr>
        <w:pStyle w:val="Clause"/>
      </w:pPr>
      <w:r w:rsidRPr="003E72FE">
        <w:t>[33.2]</w:t>
      </w:r>
      <w:r w:rsidRPr="003E72FE">
        <w:tab/>
      </w:r>
      <w:r w:rsidRPr="003E72FE">
        <w:rPr>
          <w:i/>
        </w:rPr>
        <w:t xml:space="preserve">omitting the </w:t>
      </w:r>
      <w:r w:rsidRPr="003E72FE">
        <w:t xml:space="preserve">Editorial note </w:t>
      </w:r>
      <w:r w:rsidRPr="003E72FE">
        <w:rPr>
          <w:i/>
        </w:rPr>
        <w:t xml:space="preserve">preceding the </w:t>
      </w:r>
      <w:r w:rsidRPr="003E72FE">
        <w:t>Table of Provisions</w:t>
      </w:r>
      <w:r w:rsidRPr="003E72FE">
        <w:rPr>
          <w:i/>
        </w:rPr>
        <w:t>, substituting</w:t>
      </w:r>
      <w:r w:rsidRPr="003E72FE">
        <w:t xml:space="preserve"> – </w:t>
      </w:r>
    </w:p>
    <w:p w:rsidR="003E72FE" w:rsidRPr="003E72FE" w:rsidRDefault="003E72FE" w:rsidP="003E72FE">
      <w:pPr>
        <w:rPr>
          <w:rFonts w:cs="Arial"/>
          <w:sz w:val="20"/>
          <w:szCs w:val="20"/>
        </w:rPr>
      </w:pPr>
    </w:p>
    <w:p w:rsidR="003E72FE" w:rsidRPr="003E72FE" w:rsidRDefault="003E72FE" w:rsidP="003E72FE">
      <w:pPr>
        <w:pStyle w:val="EditorialNoteLine1"/>
        <w:rPr>
          <w:rFonts w:cs="Arial"/>
        </w:rPr>
      </w:pPr>
      <w:r w:rsidRPr="003E72FE">
        <w:rPr>
          <w:rFonts w:cs="Arial"/>
        </w:rPr>
        <w:t xml:space="preserve">Editorial note: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 xml:space="preserve">The Australian processing requirements for cheese are contained in Standard 4.2.4.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New Zealand has its own processing requirements for milk and milk products.</w:t>
      </w:r>
    </w:p>
    <w:p w:rsidR="003E72FE" w:rsidRPr="003E72FE" w:rsidRDefault="003E72FE" w:rsidP="003E72FE">
      <w:pPr>
        <w:rPr>
          <w:sz w:val="20"/>
          <w:szCs w:val="20"/>
        </w:rPr>
      </w:pPr>
    </w:p>
    <w:p w:rsidR="003E72FE" w:rsidRPr="003E72FE" w:rsidRDefault="003E72FE" w:rsidP="003E72FE">
      <w:pPr>
        <w:pStyle w:val="Clause"/>
      </w:pPr>
      <w:r w:rsidRPr="003E72FE">
        <w:t>[32.3]</w:t>
      </w:r>
      <w:r w:rsidRPr="003E72FE">
        <w:tab/>
      </w:r>
      <w:r w:rsidRPr="003E72FE">
        <w:rPr>
          <w:i/>
        </w:rPr>
        <w:t xml:space="preserve">omitting the definition of </w:t>
      </w:r>
      <w:r w:rsidRPr="003E72FE">
        <w:t>cheese</w:t>
      </w:r>
      <w:r w:rsidRPr="003E72FE">
        <w:rPr>
          <w:i/>
        </w:rPr>
        <w:t xml:space="preserve"> in clause 1, substituting</w:t>
      </w:r>
      <w:r w:rsidRPr="003E72FE">
        <w:t xml:space="preserve"> –</w:t>
      </w:r>
    </w:p>
    <w:p w:rsidR="003E72FE" w:rsidRPr="003E72FE" w:rsidRDefault="003E72FE" w:rsidP="003E72FE">
      <w:pPr>
        <w:pStyle w:val="Clause"/>
      </w:pPr>
    </w:p>
    <w:p w:rsidR="003E72FE" w:rsidRPr="003E72FE" w:rsidRDefault="003E72FE" w:rsidP="003E72FE">
      <w:pPr>
        <w:ind w:left="1701" w:hanging="851"/>
        <w:rPr>
          <w:sz w:val="20"/>
          <w:szCs w:val="20"/>
        </w:rPr>
      </w:pPr>
      <w:r w:rsidRPr="003E72FE">
        <w:rPr>
          <w:b/>
          <w:sz w:val="20"/>
          <w:szCs w:val="20"/>
        </w:rPr>
        <w:t xml:space="preserve">cheese </w:t>
      </w:r>
      <w:r w:rsidRPr="003E72FE">
        <w:rPr>
          <w:sz w:val="20"/>
          <w:szCs w:val="20"/>
        </w:rPr>
        <w:t>means the ripened or unripened solid or semi-solid milk product which may be coated and is obtained by one or both of the following processes –</w:t>
      </w:r>
    </w:p>
    <w:p w:rsidR="003E72FE" w:rsidRPr="003E72FE" w:rsidRDefault="003E72FE" w:rsidP="003E72FE">
      <w:pPr>
        <w:widowControl/>
        <w:rPr>
          <w:sz w:val="20"/>
          <w:szCs w:val="20"/>
          <w:lang w:val="en-AU"/>
        </w:rPr>
      </w:pPr>
    </w:p>
    <w:p w:rsidR="003E72FE" w:rsidRPr="003E72FE" w:rsidRDefault="003E72FE" w:rsidP="003E72FE">
      <w:pPr>
        <w:widowControl/>
        <w:ind w:left="2553" w:hanging="851"/>
        <w:rPr>
          <w:sz w:val="20"/>
          <w:szCs w:val="20"/>
        </w:rPr>
      </w:pPr>
      <w:r w:rsidRPr="003E72FE">
        <w:rPr>
          <w:sz w:val="20"/>
          <w:szCs w:val="20"/>
        </w:rPr>
        <w:t>(a)</w:t>
      </w:r>
      <w:r w:rsidRPr="003E72FE">
        <w:rPr>
          <w:sz w:val="20"/>
          <w:szCs w:val="20"/>
        </w:rPr>
        <w:tab/>
        <w:t>coagulating wholly or partly milk, or materials obtained from milk, or both, through the action of rennet or other suitable coagulating agents,</w:t>
      </w:r>
      <w:r w:rsidRPr="003E72FE">
        <w:rPr>
          <w:b/>
          <w:bCs/>
          <w:sz w:val="20"/>
          <w:szCs w:val="20"/>
        </w:rPr>
        <w:t xml:space="preserve"> </w:t>
      </w:r>
      <w:r w:rsidRPr="003E72FE">
        <w:rPr>
          <w:sz w:val="20"/>
          <w:szCs w:val="20"/>
        </w:rPr>
        <w:t>partially draining the whey which results from such coagulation; or</w:t>
      </w:r>
    </w:p>
    <w:p w:rsidR="003E72FE" w:rsidRPr="003E72FE" w:rsidRDefault="003E72FE" w:rsidP="003E72FE">
      <w:pPr>
        <w:widowControl/>
        <w:ind w:left="2553" w:hanging="851"/>
        <w:rPr>
          <w:sz w:val="20"/>
          <w:szCs w:val="20"/>
        </w:rPr>
      </w:pPr>
      <w:r w:rsidRPr="003E72FE">
        <w:rPr>
          <w:sz w:val="20"/>
          <w:szCs w:val="20"/>
        </w:rPr>
        <w:t>(b)</w:t>
      </w:r>
      <w:r w:rsidRPr="003E72FE">
        <w:rPr>
          <w:sz w:val="20"/>
          <w:szCs w:val="20"/>
        </w:rPr>
        <w:tab/>
        <w:t>processing techniques involving concentration or coagulation of milk, or materials obtained from milk, or both, which give an end-product with similar physical, chemical and organoleptic characteristics as the product described in paragraph (a).</w:t>
      </w:r>
    </w:p>
    <w:p w:rsidR="003E72FE" w:rsidRPr="003E72FE" w:rsidRDefault="003E72FE" w:rsidP="003E72FE">
      <w:pPr>
        <w:rPr>
          <w:sz w:val="20"/>
          <w:szCs w:val="20"/>
        </w:rPr>
      </w:pPr>
    </w:p>
    <w:p w:rsidR="003E72FE" w:rsidRPr="003E72FE" w:rsidRDefault="003E72FE" w:rsidP="003E72FE">
      <w:pPr>
        <w:pStyle w:val="Clause"/>
        <w:rPr>
          <w:i/>
          <w:lang w:bidi="ar-SA"/>
        </w:rPr>
      </w:pPr>
      <w:r w:rsidRPr="003E72FE">
        <w:t>[33.4]</w:t>
      </w:r>
      <w:r w:rsidRPr="003E72FE">
        <w:tab/>
      </w:r>
      <w:r w:rsidRPr="003E72FE">
        <w:rPr>
          <w:i/>
        </w:rPr>
        <w:t xml:space="preserve">omitting clause 2 substituting – </w:t>
      </w:r>
    </w:p>
    <w:p w:rsidR="003E72FE" w:rsidRPr="003E72FE" w:rsidRDefault="003E72FE" w:rsidP="003E72FE">
      <w:pPr>
        <w:rPr>
          <w:sz w:val="20"/>
          <w:szCs w:val="20"/>
        </w:rPr>
      </w:pPr>
    </w:p>
    <w:p w:rsidR="003E72FE" w:rsidRPr="003E72FE" w:rsidRDefault="003E72FE" w:rsidP="003E72FE">
      <w:pPr>
        <w:pStyle w:val="ClauseHeading0"/>
      </w:pPr>
      <w:r w:rsidRPr="003E72FE">
        <w:t>2</w:t>
      </w:r>
      <w:r w:rsidRPr="003E72FE">
        <w:tab/>
        <w:t>Addition of other foods during production</w:t>
      </w:r>
    </w:p>
    <w:p w:rsidR="003E72FE" w:rsidRPr="003E72FE" w:rsidRDefault="003E72FE" w:rsidP="003E72FE">
      <w:pPr>
        <w:rPr>
          <w:sz w:val="20"/>
          <w:szCs w:val="20"/>
        </w:rPr>
      </w:pPr>
    </w:p>
    <w:p w:rsidR="003E72FE" w:rsidRPr="003E72FE" w:rsidRDefault="003E72FE" w:rsidP="003E72FE">
      <w:pPr>
        <w:pStyle w:val="Clause"/>
      </w:pPr>
      <w:r w:rsidRPr="003E72FE">
        <w:t xml:space="preserve">Cheese may contain – </w:t>
      </w:r>
    </w:p>
    <w:p w:rsidR="003E72FE" w:rsidRPr="003E72FE" w:rsidRDefault="003E72FE" w:rsidP="003E72FE">
      <w:pPr>
        <w:rPr>
          <w:sz w:val="20"/>
          <w:szCs w:val="20"/>
        </w:rPr>
      </w:pPr>
    </w:p>
    <w:p w:rsidR="003E72FE" w:rsidRPr="003E72FE" w:rsidRDefault="003E72FE" w:rsidP="003E72FE">
      <w:pPr>
        <w:pStyle w:val="Paragraph"/>
      </w:pPr>
      <w:r w:rsidRPr="003E72FE">
        <w:t>(a)</w:t>
      </w:r>
      <w:r w:rsidRPr="003E72FE">
        <w:tab/>
        <w:t>water; and</w:t>
      </w:r>
    </w:p>
    <w:p w:rsidR="003E72FE" w:rsidRPr="003E72FE" w:rsidRDefault="003E72FE" w:rsidP="003E72FE">
      <w:pPr>
        <w:pStyle w:val="Paragraph"/>
      </w:pPr>
      <w:r w:rsidRPr="003E72FE">
        <w:t>(b)</w:t>
      </w:r>
      <w:r w:rsidRPr="003E72FE">
        <w:tab/>
        <w:t>lactic acid producing microorganisms; and</w:t>
      </w:r>
    </w:p>
    <w:p w:rsidR="003E72FE" w:rsidRPr="003E72FE" w:rsidRDefault="003E72FE" w:rsidP="003E72FE">
      <w:pPr>
        <w:pStyle w:val="Paragraph"/>
      </w:pPr>
      <w:r w:rsidRPr="003E72FE">
        <w:t>(c)</w:t>
      </w:r>
      <w:r w:rsidRPr="003E72FE">
        <w:tab/>
        <w:t>flavour producing microorganisms; and</w:t>
      </w:r>
    </w:p>
    <w:p w:rsidR="003E72FE" w:rsidRPr="003E72FE" w:rsidRDefault="003E72FE" w:rsidP="003E72FE">
      <w:pPr>
        <w:pStyle w:val="Paragraph"/>
      </w:pPr>
      <w:r w:rsidRPr="003E72FE">
        <w:t>(d)</w:t>
      </w:r>
      <w:r w:rsidRPr="003E72FE">
        <w:tab/>
        <w:t xml:space="preserve">gelatine; and </w:t>
      </w:r>
    </w:p>
    <w:p w:rsidR="003E72FE" w:rsidRPr="003E72FE" w:rsidRDefault="003E72FE" w:rsidP="003E72FE">
      <w:pPr>
        <w:pStyle w:val="Paragraph"/>
      </w:pPr>
      <w:r w:rsidRPr="003E72FE">
        <w:t>(e)</w:t>
      </w:r>
      <w:r w:rsidRPr="003E72FE">
        <w:tab/>
        <w:t>starch; and</w:t>
      </w:r>
    </w:p>
    <w:p w:rsidR="003E72FE" w:rsidRPr="003E72FE" w:rsidRDefault="003E72FE" w:rsidP="003E72FE">
      <w:pPr>
        <w:pStyle w:val="Paragraph"/>
      </w:pPr>
      <w:r w:rsidRPr="003E72FE">
        <w:t>(f)</w:t>
      </w:r>
      <w:r w:rsidRPr="003E72FE">
        <w:tab/>
        <w:t>vinegar; and</w:t>
      </w:r>
    </w:p>
    <w:p w:rsidR="003E72FE" w:rsidRDefault="003E72FE" w:rsidP="003E72FE">
      <w:pPr>
        <w:pStyle w:val="Paragraph"/>
      </w:pPr>
      <w:r>
        <w:t>(g)</w:t>
      </w:r>
      <w:r>
        <w:tab/>
        <w:t>salt.</w:t>
      </w:r>
    </w:p>
    <w:p w:rsidR="003E72FE" w:rsidRDefault="003E72FE" w:rsidP="003E72FE"/>
    <w:p w:rsidR="003E72FE" w:rsidRDefault="003E72FE" w:rsidP="003E72FE">
      <w:pPr>
        <w:pStyle w:val="Clause"/>
        <w:rPr>
          <w:i/>
        </w:rPr>
      </w:pPr>
      <w:r>
        <w:t>[33.5]</w:t>
      </w:r>
      <w:r>
        <w:tab/>
      </w:r>
      <w:r>
        <w:rPr>
          <w:i/>
        </w:rPr>
        <w:t xml:space="preserve">updating the </w:t>
      </w:r>
      <w:r>
        <w:t xml:space="preserve">Table of Provisions </w:t>
      </w:r>
      <w:r>
        <w:rPr>
          <w:i/>
        </w:rPr>
        <w:t>to reflect this amendment</w:t>
      </w:r>
      <w:r>
        <w:rPr>
          <w:i/>
        </w:rPr>
        <w:br w:type="page"/>
      </w:r>
    </w:p>
    <w:p w:rsidR="003E72FE" w:rsidRPr="003E72FE" w:rsidRDefault="003E72FE" w:rsidP="003E72FE">
      <w:pPr>
        <w:pStyle w:val="Clause"/>
      </w:pPr>
      <w:r w:rsidRPr="003E72FE">
        <w:rPr>
          <w:b/>
        </w:rPr>
        <w:lastRenderedPageBreak/>
        <w:t>[34]</w:t>
      </w:r>
      <w:r w:rsidRPr="003E72FE">
        <w:rPr>
          <w:b/>
        </w:rPr>
        <w:tab/>
      </w:r>
      <w:r w:rsidRPr="003E72FE">
        <w:rPr>
          <w:b/>
          <w:i/>
        </w:rPr>
        <w:t>Standard 2.5.5</w:t>
      </w:r>
      <w:r w:rsidRPr="003E72FE">
        <w:rPr>
          <w:i/>
        </w:rPr>
        <w:t xml:space="preserve"> of the Australia New Zealand Food Standards Code is varied by</w:t>
      </w:r>
      <w:r w:rsidRPr="003E72FE">
        <w:t xml:space="preserve"> – </w:t>
      </w:r>
    </w:p>
    <w:p w:rsidR="003E72FE" w:rsidRPr="003E72FE" w:rsidRDefault="003E72FE" w:rsidP="003E72FE">
      <w:pPr>
        <w:rPr>
          <w:iCs/>
          <w:sz w:val="20"/>
          <w:szCs w:val="20"/>
        </w:rPr>
      </w:pPr>
    </w:p>
    <w:p w:rsidR="003E72FE" w:rsidRPr="003E72FE" w:rsidRDefault="003E72FE" w:rsidP="003E72FE">
      <w:pPr>
        <w:pStyle w:val="Clause"/>
        <w:rPr>
          <w:bCs/>
        </w:rPr>
      </w:pPr>
      <w:r w:rsidRPr="003E72FE">
        <w:rPr>
          <w:bCs/>
        </w:rPr>
        <w:t>[34.1]</w:t>
      </w:r>
      <w:r w:rsidRPr="003E72FE">
        <w:rPr>
          <w:bCs/>
        </w:rPr>
        <w:tab/>
      </w:r>
      <w:r w:rsidRPr="003E72FE">
        <w:rPr>
          <w:bCs/>
          <w:i/>
        </w:rPr>
        <w:t xml:space="preserve">omitting from the </w:t>
      </w:r>
      <w:r w:rsidRPr="003E72FE">
        <w:rPr>
          <w:bCs/>
        </w:rPr>
        <w:t xml:space="preserve">Purpose – </w:t>
      </w:r>
    </w:p>
    <w:p w:rsidR="003E72FE" w:rsidRPr="003E72FE" w:rsidRDefault="003E72FE" w:rsidP="003E72FE">
      <w:pPr>
        <w:rPr>
          <w:sz w:val="20"/>
          <w:szCs w:val="20"/>
        </w:rPr>
      </w:pPr>
    </w:p>
    <w:p w:rsidR="003E72FE" w:rsidRPr="003E72FE" w:rsidRDefault="003E72FE" w:rsidP="003E72FE">
      <w:pPr>
        <w:pStyle w:val="Clause"/>
      </w:pPr>
      <w:r w:rsidRPr="003E72FE">
        <w:t>Processing requirements for butter are contained in Standard 4.2.4</w:t>
      </w:r>
    </w:p>
    <w:p w:rsidR="003E72FE" w:rsidRPr="003E72FE" w:rsidRDefault="003E72FE" w:rsidP="003E72FE">
      <w:pPr>
        <w:rPr>
          <w:sz w:val="20"/>
          <w:szCs w:val="20"/>
        </w:rPr>
      </w:pPr>
    </w:p>
    <w:p w:rsidR="003E72FE" w:rsidRPr="003E72FE" w:rsidRDefault="003E72FE" w:rsidP="003E72FE">
      <w:pPr>
        <w:pStyle w:val="Clause"/>
      </w:pPr>
      <w:r w:rsidRPr="003E72FE">
        <w:t>[34.2]</w:t>
      </w:r>
      <w:r w:rsidRPr="003E72FE">
        <w:tab/>
      </w:r>
      <w:r w:rsidRPr="003E72FE">
        <w:rPr>
          <w:i/>
        </w:rPr>
        <w:t xml:space="preserve">omitting the </w:t>
      </w:r>
      <w:r w:rsidRPr="003E72FE">
        <w:t xml:space="preserve">Editorial note </w:t>
      </w:r>
      <w:r w:rsidRPr="003E72FE">
        <w:rPr>
          <w:i/>
        </w:rPr>
        <w:t xml:space="preserve">preceding the </w:t>
      </w:r>
      <w:r w:rsidRPr="003E72FE">
        <w:t>Table of Provisions</w:t>
      </w:r>
      <w:r w:rsidRPr="003E72FE">
        <w:rPr>
          <w:i/>
        </w:rPr>
        <w:t xml:space="preserve">, substituting </w:t>
      </w:r>
      <w:r w:rsidRPr="003E72FE">
        <w:t xml:space="preserve">– </w:t>
      </w:r>
    </w:p>
    <w:p w:rsidR="003E72FE" w:rsidRPr="003E72FE" w:rsidRDefault="003E72FE" w:rsidP="003E72FE">
      <w:pPr>
        <w:rPr>
          <w:rFonts w:cs="Arial"/>
          <w:sz w:val="20"/>
          <w:szCs w:val="20"/>
        </w:rPr>
      </w:pPr>
    </w:p>
    <w:p w:rsidR="003E72FE" w:rsidRPr="003E72FE" w:rsidRDefault="003E72FE" w:rsidP="003E72FE">
      <w:pPr>
        <w:pStyle w:val="EditorialNoteLine1"/>
        <w:rPr>
          <w:rFonts w:cs="Arial"/>
        </w:rPr>
      </w:pPr>
      <w:r w:rsidRPr="003E72FE">
        <w:rPr>
          <w:rFonts w:cs="Arial"/>
        </w:rPr>
        <w:t xml:space="preserve">Editorial note: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 xml:space="preserve">The Australian processing requirements for butter are contained in Standard 4.2.4.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New Zealand has its own processing requirements for milk and milk products.</w:t>
      </w:r>
    </w:p>
    <w:p w:rsidR="003E72FE" w:rsidRPr="003E72FE" w:rsidRDefault="003E72FE" w:rsidP="003E72FE">
      <w:pPr>
        <w:pStyle w:val="Clause"/>
      </w:pPr>
    </w:p>
    <w:p w:rsidR="003E72FE" w:rsidRPr="003E72FE" w:rsidRDefault="003E72FE" w:rsidP="003E72FE">
      <w:pPr>
        <w:pStyle w:val="Clause"/>
      </w:pPr>
      <w:r w:rsidRPr="003E72FE">
        <w:t>[34.3]</w:t>
      </w:r>
      <w:r w:rsidRPr="003E72FE">
        <w:tab/>
      </w:r>
      <w:r w:rsidRPr="003E72FE">
        <w:rPr>
          <w:i/>
        </w:rPr>
        <w:t>omitting clause 2</w:t>
      </w:r>
      <w:r w:rsidRPr="003E72FE">
        <w:t xml:space="preserve">, </w:t>
      </w:r>
      <w:r w:rsidRPr="003E72FE">
        <w:rPr>
          <w:i/>
        </w:rPr>
        <w:t>substituting</w:t>
      </w:r>
      <w:r w:rsidRPr="003E72FE">
        <w:t xml:space="preserve"> – </w:t>
      </w:r>
    </w:p>
    <w:p w:rsidR="003E72FE" w:rsidRPr="003E72FE" w:rsidRDefault="003E72FE" w:rsidP="003E72FE">
      <w:pPr>
        <w:rPr>
          <w:i/>
          <w:sz w:val="20"/>
          <w:szCs w:val="20"/>
        </w:rPr>
      </w:pPr>
    </w:p>
    <w:p w:rsidR="003E72FE" w:rsidRPr="003E72FE" w:rsidRDefault="003E72FE" w:rsidP="003E72FE">
      <w:pPr>
        <w:pStyle w:val="ClauseHeading0"/>
      </w:pPr>
      <w:r w:rsidRPr="003E72FE">
        <w:t>2</w:t>
      </w:r>
      <w:r w:rsidRPr="003E72FE">
        <w:tab/>
        <w:t>Composition of butter</w:t>
      </w:r>
    </w:p>
    <w:p w:rsidR="003E72FE" w:rsidRPr="003E72FE" w:rsidRDefault="003E72FE" w:rsidP="003E72FE">
      <w:pPr>
        <w:rPr>
          <w:sz w:val="20"/>
          <w:szCs w:val="20"/>
        </w:rPr>
      </w:pPr>
    </w:p>
    <w:p w:rsidR="003E72FE" w:rsidRPr="003E72FE" w:rsidRDefault="003E72FE" w:rsidP="003E72FE">
      <w:pPr>
        <w:pStyle w:val="Clause"/>
      </w:pPr>
      <w:r w:rsidRPr="003E72FE">
        <w:t>Butter must contain no less than 80.0% m/m milkfat.</w:t>
      </w:r>
    </w:p>
    <w:p w:rsidR="003E72FE" w:rsidRPr="003E72FE" w:rsidRDefault="003E72FE" w:rsidP="003E72FE">
      <w:pPr>
        <w:rPr>
          <w:sz w:val="20"/>
          <w:szCs w:val="20"/>
        </w:rPr>
      </w:pPr>
    </w:p>
    <w:p w:rsidR="003E72FE" w:rsidRPr="003E72FE" w:rsidRDefault="003E72FE" w:rsidP="003E72FE">
      <w:pPr>
        <w:pStyle w:val="ClauseHeading0"/>
      </w:pPr>
      <w:r w:rsidRPr="003E72FE">
        <w:t>3</w:t>
      </w:r>
      <w:r w:rsidRPr="003E72FE">
        <w:tab/>
        <w:t>Addition of other foods during production</w:t>
      </w:r>
    </w:p>
    <w:p w:rsidR="003E72FE" w:rsidRPr="003E72FE" w:rsidRDefault="003E72FE" w:rsidP="003E72FE">
      <w:pPr>
        <w:rPr>
          <w:sz w:val="20"/>
          <w:szCs w:val="20"/>
        </w:rPr>
      </w:pPr>
    </w:p>
    <w:p w:rsidR="003E72FE" w:rsidRPr="003E72FE" w:rsidRDefault="003E72FE" w:rsidP="003E72FE">
      <w:pPr>
        <w:pStyle w:val="Clause"/>
      </w:pPr>
      <w:r w:rsidRPr="003E72FE">
        <w:t xml:space="preserve">Butter may contain – </w:t>
      </w:r>
    </w:p>
    <w:p w:rsidR="003E72FE" w:rsidRPr="003E72FE" w:rsidRDefault="003E72FE" w:rsidP="003E72FE">
      <w:pPr>
        <w:rPr>
          <w:sz w:val="20"/>
          <w:szCs w:val="20"/>
        </w:rPr>
      </w:pPr>
    </w:p>
    <w:p w:rsidR="003E72FE" w:rsidRPr="003E72FE" w:rsidRDefault="003E72FE" w:rsidP="003E72FE">
      <w:pPr>
        <w:pStyle w:val="Paragraph"/>
      </w:pPr>
      <w:r w:rsidRPr="003E72FE">
        <w:t>(a)</w:t>
      </w:r>
      <w:r w:rsidRPr="003E72FE">
        <w:tab/>
        <w:t>water; and</w:t>
      </w:r>
    </w:p>
    <w:p w:rsidR="003E72FE" w:rsidRPr="003E72FE" w:rsidRDefault="003E72FE" w:rsidP="003E72FE">
      <w:pPr>
        <w:pStyle w:val="Paragraph"/>
      </w:pPr>
      <w:r w:rsidRPr="003E72FE">
        <w:t>(b)</w:t>
      </w:r>
      <w:r w:rsidRPr="003E72FE">
        <w:tab/>
        <w:t>salt; and</w:t>
      </w:r>
    </w:p>
    <w:p w:rsidR="003E72FE" w:rsidRPr="003E72FE" w:rsidRDefault="003E72FE" w:rsidP="003E72FE">
      <w:pPr>
        <w:pStyle w:val="Paragraph"/>
      </w:pPr>
      <w:r w:rsidRPr="003E72FE">
        <w:t>(c)</w:t>
      </w:r>
      <w:r w:rsidRPr="003E72FE">
        <w:tab/>
        <w:t xml:space="preserve">lactic acid producing microorganisms; and </w:t>
      </w:r>
    </w:p>
    <w:p w:rsidR="003E72FE" w:rsidRPr="003E72FE" w:rsidRDefault="003E72FE" w:rsidP="003E72FE">
      <w:pPr>
        <w:pStyle w:val="Paragraph"/>
      </w:pPr>
      <w:r w:rsidRPr="003E72FE">
        <w:t>(d)</w:t>
      </w:r>
      <w:r w:rsidRPr="003E72FE">
        <w:tab/>
        <w:t>flavour producing microorganisms.</w:t>
      </w:r>
    </w:p>
    <w:p w:rsidR="003E72FE" w:rsidRPr="003E72FE" w:rsidRDefault="003E72FE" w:rsidP="003E72FE">
      <w:pPr>
        <w:rPr>
          <w:i/>
          <w:iCs/>
          <w:sz w:val="20"/>
          <w:szCs w:val="20"/>
        </w:rPr>
      </w:pPr>
    </w:p>
    <w:p w:rsidR="003E72FE" w:rsidRPr="003E72FE" w:rsidRDefault="003E72FE" w:rsidP="003E72FE">
      <w:pPr>
        <w:pStyle w:val="Clause"/>
      </w:pPr>
      <w:r w:rsidRPr="003E72FE">
        <w:t>[34.4]</w:t>
      </w:r>
      <w:r w:rsidRPr="003E72FE">
        <w:tab/>
      </w:r>
      <w:r w:rsidRPr="003E72FE">
        <w:rPr>
          <w:i/>
        </w:rPr>
        <w:t xml:space="preserve">updating the </w:t>
      </w:r>
      <w:r w:rsidRPr="003E72FE">
        <w:t xml:space="preserve">Table of Provisions </w:t>
      </w:r>
      <w:r w:rsidRPr="003E72FE">
        <w:rPr>
          <w:i/>
        </w:rPr>
        <w:t>to reflect these amendments</w:t>
      </w:r>
    </w:p>
    <w:p w:rsidR="003E72FE" w:rsidRPr="003E72FE" w:rsidRDefault="003E72FE" w:rsidP="003E72FE">
      <w:pPr>
        <w:rPr>
          <w:i/>
          <w:iCs/>
          <w:sz w:val="20"/>
          <w:szCs w:val="20"/>
        </w:rPr>
      </w:pPr>
    </w:p>
    <w:p w:rsidR="003E72FE" w:rsidRPr="003E72FE" w:rsidRDefault="003E72FE" w:rsidP="003E72FE">
      <w:pPr>
        <w:pStyle w:val="Clause"/>
        <w:rPr>
          <w:bCs/>
          <w:i/>
        </w:rPr>
      </w:pPr>
      <w:r w:rsidRPr="003E72FE">
        <w:rPr>
          <w:b/>
          <w:bCs/>
        </w:rPr>
        <w:t>[35]</w:t>
      </w:r>
      <w:r w:rsidRPr="003E72FE">
        <w:rPr>
          <w:b/>
          <w:bCs/>
        </w:rPr>
        <w:tab/>
      </w:r>
      <w:r w:rsidRPr="003E72FE">
        <w:rPr>
          <w:b/>
          <w:bCs/>
          <w:i/>
        </w:rPr>
        <w:t xml:space="preserve">Standard 2.5.6 </w:t>
      </w:r>
      <w:r w:rsidRPr="003E72FE">
        <w:rPr>
          <w:bCs/>
          <w:i/>
        </w:rPr>
        <w:t>of the Australia New Zealand Food Standards Code is varied by –</w:t>
      </w:r>
    </w:p>
    <w:p w:rsidR="003E72FE" w:rsidRPr="003E72FE" w:rsidRDefault="003E72FE" w:rsidP="003E72FE">
      <w:pPr>
        <w:pStyle w:val="Clause"/>
        <w:rPr>
          <w:bCs/>
          <w:i/>
        </w:rPr>
      </w:pPr>
    </w:p>
    <w:p w:rsidR="003E72FE" w:rsidRPr="003E72FE" w:rsidRDefault="003E72FE" w:rsidP="003E72FE">
      <w:pPr>
        <w:pStyle w:val="Clause"/>
        <w:rPr>
          <w:bCs/>
          <w:i/>
        </w:rPr>
      </w:pPr>
      <w:r w:rsidRPr="003E72FE">
        <w:rPr>
          <w:bCs/>
        </w:rPr>
        <w:t>[35.1]</w:t>
      </w:r>
      <w:r w:rsidRPr="003E72FE">
        <w:rPr>
          <w:bCs/>
        </w:rPr>
        <w:tab/>
      </w:r>
      <w:r w:rsidRPr="003E72FE">
        <w:rPr>
          <w:bCs/>
          <w:i/>
        </w:rPr>
        <w:t xml:space="preserve">omitting from the </w:t>
      </w:r>
      <w:r w:rsidRPr="003E72FE">
        <w:rPr>
          <w:bCs/>
        </w:rPr>
        <w:t xml:space="preserve">Purpose – </w:t>
      </w:r>
    </w:p>
    <w:p w:rsidR="003E72FE" w:rsidRPr="003E72FE" w:rsidRDefault="003E72FE" w:rsidP="003E72FE">
      <w:pPr>
        <w:rPr>
          <w:sz w:val="20"/>
          <w:szCs w:val="20"/>
        </w:rPr>
      </w:pPr>
    </w:p>
    <w:p w:rsidR="003E72FE" w:rsidRPr="003E72FE" w:rsidRDefault="003E72FE" w:rsidP="003E72FE">
      <w:pPr>
        <w:pStyle w:val="Clause"/>
      </w:pPr>
      <w:r w:rsidRPr="003E72FE">
        <w:t>Processing requirements for ice cream are contained in Standard 4.2.4.</w:t>
      </w:r>
    </w:p>
    <w:p w:rsidR="003E72FE" w:rsidRPr="003E72FE" w:rsidRDefault="003E72FE" w:rsidP="003E72FE">
      <w:pPr>
        <w:rPr>
          <w:i/>
          <w:iCs/>
          <w:sz w:val="20"/>
          <w:szCs w:val="20"/>
        </w:rPr>
      </w:pPr>
    </w:p>
    <w:p w:rsidR="003E72FE" w:rsidRPr="003E72FE" w:rsidRDefault="003E72FE" w:rsidP="003E72FE">
      <w:pPr>
        <w:pStyle w:val="Clause"/>
      </w:pPr>
      <w:r w:rsidRPr="003E72FE">
        <w:t>[35.2]</w:t>
      </w:r>
      <w:r w:rsidRPr="003E72FE">
        <w:tab/>
      </w:r>
      <w:r w:rsidRPr="003E72FE">
        <w:rPr>
          <w:i/>
        </w:rPr>
        <w:t xml:space="preserve">omitting the </w:t>
      </w:r>
      <w:r w:rsidRPr="003E72FE">
        <w:t xml:space="preserve">Editorial note </w:t>
      </w:r>
      <w:r w:rsidRPr="003E72FE">
        <w:rPr>
          <w:i/>
        </w:rPr>
        <w:t xml:space="preserve">preceding the </w:t>
      </w:r>
      <w:r w:rsidRPr="003E72FE">
        <w:t>Table of Provisions</w:t>
      </w:r>
      <w:r w:rsidRPr="003E72FE">
        <w:rPr>
          <w:i/>
        </w:rPr>
        <w:t>, substituting</w:t>
      </w:r>
      <w:r w:rsidRPr="003E72FE">
        <w:t xml:space="preserve"> – </w:t>
      </w:r>
    </w:p>
    <w:p w:rsidR="003E72FE" w:rsidRPr="003E72FE" w:rsidRDefault="003E72FE" w:rsidP="003E72FE">
      <w:pPr>
        <w:rPr>
          <w:rFonts w:cs="Arial"/>
          <w:sz w:val="20"/>
          <w:szCs w:val="20"/>
        </w:rPr>
      </w:pPr>
    </w:p>
    <w:p w:rsidR="003E72FE" w:rsidRPr="003E72FE" w:rsidRDefault="003E72FE" w:rsidP="003E72FE">
      <w:pPr>
        <w:pStyle w:val="EditorialNoteLine1"/>
        <w:rPr>
          <w:rFonts w:cs="Arial"/>
        </w:rPr>
      </w:pPr>
      <w:r w:rsidRPr="003E72FE">
        <w:rPr>
          <w:rFonts w:cs="Arial"/>
        </w:rPr>
        <w:t xml:space="preserve">Editorial note: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 xml:space="preserve">The Australian processing requirements for ice cream are contained in Standard 4.2.4.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New Zealand has its own processing requirements for milk and milk products.</w:t>
      </w:r>
    </w:p>
    <w:p w:rsidR="003E72FE" w:rsidRPr="003E72FE" w:rsidRDefault="003E72FE" w:rsidP="003E72FE">
      <w:pPr>
        <w:rPr>
          <w:rFonts w:cs="Arial"/>
          <w:sz w:val="20"/>
          <w:szCs w:val="20"/>
        </w:rPr>
      </w:pPr>
    </w:p>
    <w:p w:rsidR="003E72FE" w:rsidRPr="003E72FE" w:rsidRDefault="003E72FE" w:rsidP="003E72FE">
      <w:pPr>
        <w:pStyle w:val="Clause"/>
      </w:pPr>
      <w:r w:rsidRPr="003E72FE">
        <w:rPr>
          <w:b/>
        </w:rPr>
        <w:t>[36]</w:t>
      </w:r>
      <w:r w:rsidRPr="003E72FE">
        <w:rPr>
          <w:b/>
        </w:rPr>
        <w:tab/>
      </w:r>
      <w:r w:rsidRPr="003E72FE">
        <w:rPr>
          <w:b/>
          <w:i/>
        </w:rPr>
        <w:t xml:space="preserve">Standard 2.5.7 </w:t>
      </w:r>
      <w:r w:rsidRPr="003E72FE">
        <w:rPr>
          <w:i/>
        </w:rPr>
        <w:t>of the Australia New Zealand Food Standards Code is varied by</w:t>
      </w:r>
      <w:r w:rsidRPr="003E72FE">
        <w:t xml:space="preserve"> – </w:t>
      </w:r>
    </w:p>
    <w:p w:rsidR="003E72FE" w:rsidRPr="003E72FE" w:rsidRDefault="003E72FE" w:rsidP="003E72FE">
      <w:pPr>
        <w:rPr>
          <w:i/>
          <w:sz w:val="20"/>
          <w:szCs w:val="20"/>
        </w:rPr>
      </w:pPr>
    </w:p>
    <w:p w:rsidR="003E72FE" w:rsidRPr="003E72FE" w:rsidRDefault="003E72FE" w:rsidP="003E72FE">
      <w:pPr>
        <w:pStyle w:val="Clause"/>
        <w:rPr>
          <w:bCs/>
        </w:rPr>
      </w:pPr>
      <w:r w:rsidRPr="003E72FE">
        <w:rPr>
          <w:bCs/>
        </w:rPr>
        <w:t>[36.1]</w:t>
      </w:r>
      <w:r w:rsidRPr="003E72FE">
        <w:rPr>
          <w:bCs/>
        </w:rPr>
        <w:tab/>
      </w:r>
      <w:r w:rsidRPr="003E72FE">
        <w:rPr>
          <w:bCs/>
          <w:i/>
        </w:rPr>
        <w:t xml:space="preserve">omitting from the </w:t>
      </w:r>
      <w:r w:rsidRPr="003E72FE">
        <w:rPr>
          <w:bCs/>
        </w:rPr>
        <w:t xml:space="preserve">Purpose – </w:t>
      </w:r>
    </w:p>
    <w:p w:rsidR="003E72FE" w:rsidRPr="003E72FE" w:rsidRDefault="003E72FE" w:rsidP="003E72FE">
      <w:pPr>
        <w:rPr>
          <w:sz w:val="20"/>
          <w:szCs w:val="20"/>
        </w:rPr>
      </w:pPr>
    </w:p>
    <w:p w:rsidR="003E72FE" w:rsidRPr="003E72FE" w:rsidRDefault="003E72FE" w:rsidP="003E72FE">
      <w:pPr>
        <w:pStyle w:val="Clause"/>
      </w:pPr>
      <w:r w:rsidRPr="003E72FE">
        <w:t>Processing requirements for dried, evaporated and condensed milk are contained in Standard 4.2.4.</w:t>
      </w:r>
    </w:p>
    <w:p w:rsidR="003E72FE" w:rsidRPr="003E72FE" w:rsidRDefault="003E72FE" w:rsidP="003E72FE">
      <w:pPr>
        <w:rPr>
          <w:i/>
          <w:sz w:val="20"/>
          <w:szCs w:val="20"/>
        </w:rPr>
      </w:pPr>
    </w:p>
    <w:p w:rsidR="003E72FE" w:rsidRPr="003E72FE" w:rsidRDefault="003E72FE" w:rsidP="003E72FE">
      <w:pPr>
        <w:pStyle w:val="Clause"/>
      </w:pPr>
      <w:r w:rsidRPr="003E72FE">
        <w:t>[36.2]</w:t>
      </w:r>
      <w:r w:rsidRPr="003E72FE">
        <w:tab/>
      </w:r>
      <w:r w:rsidRPr="003E72FE">
        <w:rPr>
          <w:i/>
        </w:rPr>
        <w:t xml:space="preserve">omitting the </w:t>
      </w:r>
      <w:r w:rsidRPr="003E72FE">
        <w:t xml:space="preserve">Editorial note </w:t>
      </w:r>
      <w:r w:rsidRPr="003E72FE">
        <w:rPr>
          <w:i/>
        </w:rPr>
        <w:t xml:space="preserve">preceding the </w:t>
      </w:r>
      <w:r w:rsidRPr="003E72FE">
        <w:t>Table of Provisions</w:t>
      </w:r>
      <w:r w:rsidRPr="003E72FE">
        <w:rPr>
          <w:i/>
        </w:rPr>
        <w:t>, substituting</w:t>
      </w:r>
      <w:r w:rsidRPr="003E72FE">
        <w:t xml:space="preserve"> – </w:t>
      </w:r>
    </w:p>
    <w:p w:rsidR="003E72FE" w:rsidRPr="003E72FE" w:rsidRDefault="003E72FE" w:rsidP="003E72FE">
      <w:pPr>
        <w:rPr>
          <w:rFonts w:cs="Arial"/>
          <w:sz w:val="20"/>
          <w:szCs w:val="20"/>
        </w:rPr>
      </w:pPr>
    </w:p>
    <w:p w:rsidR="003E72FE" w:rsidRPr="003E72FE" w:rsidRDefault="003E72FE" w:rsidP="003E72FE">
      <w:pPr>
        <w:pStyle w:val="EditorialNoteLine1"/>
        <w:rPr>
          <w:rFonts w:cs="Arial"/>
        </w:rPr>
      </w:pPr>
      <w:r w:rsidRPr="003E72FE">
        <w:rPr>
          <w:rFonts w:cs="Arial"/>
        </w:rPr>
        <w:t xml:space="preserve">Editorial note: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 xml:space="preserve">The Australian processing requirements for dried, evaporated and condensed milks are contained in Standard 4.2.4.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New Zealand has its own processing requirements for milk and milk products.</w:t>
      </w:r>
    </w:p>
    <w:p w:rsidR="003E72FE" w:rsidRDefault="003E72FE" w:rsidP="003E72FE">
      <w:pPr>
        <w:rPr>
          <w:rFonts w:cs="Arial"/>
          <w:sz w:val="20"/>
          <w:szCs w:val="20"/>
        </w:rPr>
      </w:pPr>
      <w:r>
        <w:rPr>
          <w:rFonts w:cs="Arial"/>
          <w:sz w:val="20"/>
          <w:szCs w:val="20"/>
        </w:rPr>
        <w:br w:type="page"/>
      </w:r>
    </w:p>
    <w:p w:rsidR="003E72FE" w:rsidRPr="003E72FE" w:rsidRDefault="003E72FE" w:rsidP="003E72FE">
      <w:pPr>
        <w:pStyle w:val="Clause"/>
        <w:rPr>
          <w:bCs/>
        </w:rPr>
      </w:pPr>
      <w:r w:rsidRPr="003E72FE">
        <w:lastRenderedPageBreak/>
        <w:t>[36.3]</w:t>
      </w:r>
      <w:r w:rsidRPr="003E72FE">
        <w:tab/>
      </w:r>
      <w:r w:rsidRPr="003E72FE">
        <w:rPr>
          <w:i/>
        </w:rPr>
        <w:t xml:space="preserve">omitting the definition of </w:t>
      </w:r>
      <w:r w:rsidRPr="003E72FE">
        <w:rPr>
          <w:b/>
        </w:rPr>
        <w:t>components of milk products</w:t>
      </w:r>
      <w:r w:rsidRPr="003E72FE">
        <w:rPr>
          <w:i/>
        </w:rPr>
        <w:t xml:space="preserve"> in clause 1</w:t>
      </w:r>
    </w:p>
    <w:p w:rsidR="003E72FE" w:rsidRPr="003E72FE" w:rsidRDefault="003E72FE" w:rsidP="003E72FE">
      <w:pPr>
        <w:rPr>
          <w:sz w:val="20"/>
          <w:szCs w:val="20"/>
        </w:rPr>
      </w:pPr>
    </w:p>
    <w:p w:rsidR="003E72FE" w:rsidRPr="003E72FE" w:rsidRDefault="003E72FE" w:rsidP="003E72FE">
      <w:pPr>
        <w:pStyle w:val="Clause"/>
        <w:rPr>
          <w:i/>
        </w:rPr>
      </w:pPr>
      <w:r w:rsidRPr="003E72FE">
        <w:t>[36.4]</w:t>
      </w:r>
      <w:r w:rsidRPr="003E72FE">
        <w:tab/>
      </w:r>
      <w:r w:rsidRPr="003E72FE">
        <w:rPr>
          <w:i/>
        </w:rPr>
        <w:t xml:space="preserve">omitting subclause 2(1), substituting – </w:t>
      </w:r>
    </w:p>
    <w:p w:rsidR="003E72FE" w:rsidRPr="003E72FE" w:rsidRDefault="003E72FE" w:rsidP="003E72FE">
      <w:pPr>
        <w:pStyle w:val="Clause"/>
        <w:rPr>
          <w:i/>
        </w:rPr>
      </w:pPr>
    </w:p>
    <w:p w:rsidR="003E72FE" w:rsidRPr="003E72FE" w:rsidRDefault="003E72FE" w:rsidP="003E72FE">
      <w:pPr>
        <w:pStyle w:val="Subclause"/>
      </w:pPr>
      <w:r w:rsidRPr="003E72FE">
        <w:t>(1)</w:t>
      </w:r>
      <w:r w:rsidRPr="003E72FE">
        <w:tab/>
        <w:t>The fat, or protein, or both fat and protein, content of the milk used to make dried milks or condensed milks, may be adjusted to comply with the compositional requirements set out in this Standard, by the addition or withdrawal of milk constituents in such a way as not to alter the whey protein to casein ratio of the milk being adjusted.</w:t>
      </w:r>
    </w:p>
    <w:p w:rsidR="003E72FE" w:rsidRPr="003E72FE" w:rsidRDefault="003E72FE" w:rsidP="003E72FE">
      <w:pPr>
        <w:pStyle w:val="Subclause"/>
      </w:pPr>
    </w:p>
    <w:p w:rsidR="003E72FE" w:rsidRPr="003E72FE" w:rsidRDefault="003E72FE" w:rsidP="003E72FE">
      <w:pPr>
        <w:pStyle w:val="Clause"/>
        <w:rPr>
          <w:i/>
        </w:rPr>
      </w:pPr>
      <w:r w:rsidRPr="003E72FE">
        <w:t>[36.5]</w:t>
      </w:r>
      <w:r w:rsidRPr="003E72FE">
        <w:tab/>
      </w:r>
      <w:r w:rsidRPr="003E72FE">
        <w:rPr>
          <w:i/>
        </w:rPr>
        <w:t xml:space="preserve">omitting subclause 2(3), substituting – </w:t>
      </w:r>
    </w:p>
    <w:p w:rsidR="003E72FE" w:rsidRPr="003E72FE" w:rsidRDefault="003E72FE" w:rsidP="003E72FE">
      <w:pPr>
        <w:rPr>
          <w:sz w:val="20"/>
          <w:szCs w:val="20"/>
        </w:rPr>
      </w:pPr>
    </w:p>
    <w:p w:rsidR="003E72FE" w:rsidRPr="003E72FE" w:rsidRDefault="003E72FE" w:rsidP="003E72FE">
      <w:pPr>
        <w:pStyle w:val="Subclause"/>
      </w:pPr>
      <w:r w:rsidRPr="003E72FE">
        <w:t>(3)</w:t>
      </w:r>
      <w:r w:rsidRPr="003E72FE">
        <w:tab/>
        <w:t>In addition to the general compositional requirements of this Standard, the milk products listed in Column 1 of the Schedule, when made from cow’s milk, must contain the components listed in Column 2, in the corresponding proportions specified in Column 3 of the Schedule.</w:t>
      </w:r>
    </w:p>
    <w:p w:rsidR="003E72FE" w:rsidRPr="003E72FE" w:rsidRDefault="003E72FE" w:rsidP="003E72FE">
      <w:pPr>
        <w:pStyle w:val="Subclause"/>
      </w:pPr>
    </w:p>
    <w:p w:rsidR="003E72FE" w:rsidRPr="003E72FE" w:rsidRDefault="003E72FE" w:rsidP="003E72FE">
      <w:pPr>
        <w:pStyle w:val="Clause"/>
      </w:pPr>
      <w:r w:rsidRPr="003E72FE">
        <w:t>[36.6]</w:t>
      </w:r>
      <w:r w:rsidRPr="003E72FE">
        <w:tab/>
      </w:r>
      <w:r w:rsidRPr="003E72FE">
        <w:rPr>
          <w:i/>
        </w:rPr>
        <w:t xml:space="preserve">omitting the </w:t>
      </w:r>
      <w:r w:rsidRPr="003E72FE">
        <w:t>Schedule</w:t>
      </w:r>
      <w:r w:rsidRPr="003E72FE">
        <w:rPr>
          <w:i/>
        </w:rPr>
        <w:t>, substituting</w:t>
      </w:r>
      <w:r w:rsidRPr="003E72FE">
        <w:t xml:space="preserve"> – </w:t>
      </w:r>
    </w:p>
    <w:p w:rsidR="003E72FE" w:rsidRPr="003E72FE" w:rsidRDefault="003E72FE" w:rsidP="003E72FE">
      <w:pPr>
        <w:rPr>
          <w:i/>
          <w:sz w:val="20"/>
          <w:szCs w:val="20"/>
        </w:rPr>
      </w:pPr>
    </w:p>
    <w:p w:rsidR="003E72FE" w:rsidRPr="003E72FE" w:rsidRDefault="003E72FE" w:rsidP="003E72FE">
      <w:pPr>
        <w:pStyle w:val="ScheduleHeading"/>
      </w:pPr>
      <w:r w:rsidRPr="003E72FE">
        <w:t>SCHEDULE</w:t>
      </w:r>
    </w:p>
    <w:p w:rsidR="003E72FE" w:rsidRPr="003E72FE" w:rsidRDefault="003E72FE" w:rsidP="003E72FE">
      <w:pPr>
        <w:rPr>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2410"/>
      </w:tblGrid>
      <w:tr w:rsidR="003E72FE" w:rsidTr="003E72FE">
        <w:tc>
          <w:tcPr>
            <w:tcW w:w="2268" w:type="dxa"/>
            <w:tcBorders>
              <w:top w:val="single" w:sz="4" w:space="0" w:color="auto"/>
              <w:left w:val="single" w:sz="4" w:space="0" w:color="auto"/>
              <w:bottom w:val="single" w:sz="4" w:space="0" w:color="auto"/>
              <w:right w:val="single" w:sz="4" w:space="0" w:color="auto"/>
            </w:tcBorders>
            <w:hideMark/>
          </w:tcPr>
          <w:p w:rsidR="003E72FE" w:rsidRDefault="003E72FE">
            <w:pPr>
              <w:pStyle w:val="Table1"/>
              <w:spacing w:line="276" w:lineRule="auto"/>
            </w:pPr>
            <w:r>
              <w:t>Column 1</w:t>
            </w:r>
          </w:p>
        </w:tc>
        <w:tc>
          <w:tcPr>
            <w:tcW w:w="1843" w:type="dxa"/>
            <w:tcBorders>
              <w:top w:val="single" w:sz="4" w:space="0" w:color="auto"/>
              <w:left w:val="single" w:sz="4" w:space="0" w:color="auto"/>
              <w:bottom w:val="single" w:sz="4" w:space="0" w:color="auto"/>
              <w:right w:val="single" w:sz="4" w:space="0" w:color="auto"/>
            </w:tcBorders>
            <w:hideMark/>
          </w:tcPr>
          <w:p w:rsidR="003E72FE" w:rsidRDefault="003E72FE">
            <w:pPr>
              <w:pStyle w:val="Table1"/>
              <w:spacing w:line="276" w:lineRule="auto"/>
            </w:pPr>
            <w:r>
              <w:t>Column 2</w:t>
            </w:r>
          </w:p>
        </w:tc>
        <w:tc>
          <w:tcPr>
            <w:tcW w:w="2410" w:type="dxa"/>
            <w:tcBorders>
              <w:top w:val="single" w:sz="4" w:space="0" w:color="auto"/>
              <w:left w:val="single" w:sz="4" w:space="0" w:color="auto"/>
              <w:bottom w:val="single" w:sz="4" w:space="0" w:color="auto"/>
              <w:right w:val="single" w:sz="4" w:space="0" w:color="auto"/>
            </w:tcBorders>
            <w:hideMark/>
          </w:tcPr>
          <w:p w:rsidR="003E72FE" w:rsidRDefault="003E72FE">
            <w:pPr>
              <w:pStyle w:val="Table1"/>
              <w:spacing w:line="276" w:lineRule="auto"/>
            </w:pPr>
            <w:r>
              <w:t>Column 3</w:t>
            </w:r>
          </w:p>
        </w:tc>
      </w:tr>
      <w:tr w:rsidR="003E72FE" w:rsidTr="003E72FE">
        <w:tc>
          <w:tcPr>
            <w:tcW w:w="2268" w:type="dxa"/>
            <w:tcBorders>
              <w:top w:val="nil"/>
              <w:left w:val="single" w:sz="4" w:space="0" w:color="auto"/>
              <w:bottom w:val="nil"/>
              <w:right w:val="single" w:sz="4" w:space="0" w:color="auto"/>
            </w:tcBorders>
            <w:hideMark/>
          </w:tcPr>
          <w:p w:rsidR="003E72FE" w:rsidRDefault="003E72FE">
            <w:pPr>
              <w:pStyle w:val="Table2"/>
              <w:spacing w:line="276" w:lineRule="auto"/>
            </w:pPr>
            <w:r>
              <w:t>Dried whole milks</w:t>
            </w:r>
          </w:p>
        </w:tc>
        <w:tc>
          <w:tcPr>
            <w:tcW w:w="1843" w:type="dxa"/>
            <w:tcBorders>
              <w:top w:val="nil"/>
              <w:left w:val="single" w:sz="4" w:space="0" w:color="auto"/>
              <w:bottom w:val="nil"/>
              <w:right w:val="single" w:sz="4" w:space="0" w:color="auto"/>
            </w:tcBorders>
            <w:hideMark/>
          </w:tcPr>
          <w:p w:rsidR="003E72FE" w:rsidRDefault="003E72FE">
            <w:pPr>
              <w:pStyle w:val="Table2"/>
              <w:spacing w:line="276" w:lineRule="auto"/>
            </w:pPr>
            <w:r>
              <w:t>Milkfat</w:t>
            </w:r>
          </w:p>
        </w:tc>
        <w:tc>
          <w:tcPr>
            <w:tcW w:w="24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Minimum 26% m/m</w:t>
            </w:r>
          </w:p>
        </w:tc>
      </w:tr>
      <w:tr w:rsidR="003E72FE" w:rsidTr="003E72FE">
        <w:tc>
          <w:tcPr>
            <w:tcW w:w="2268" w:type="dxa"/>
            <w:tcBorders>
              <w:top w:val="nil"/>
              <w:left w:val="single" w:sz="4" w:space="0" w:color="auto"/>
              <w:bottom w:val="nil"/>
              <w:right w:val="single" w:sz="4" w:space="0" w:color="auto"/>
            </w:tcBorders>
          </w:tcPr>
          <w:p w:rsidR="003E72FE" w:rsidRDefault="003E72FE">
            <w:pPr>
              <w:pStyle w:val="Table2"/>
              <w:spacing w:line="276" w:lineRule="auto"/>
            </w:pPr>
          </w:p>
        </w:tc>
        <w:tc>
          <w:tcPr>
            <w:tcW w:w="1843" w:type="dxa"/>
            <w:tcBorders>
              <w:top w:val="nil"/>
              <w:left w:val="single" w:sz="4" w:space="0" w:color="auto"/>
              <w:bottom w:val="nil"/>
              <w:right w:val="single" w:sz="4" w:space="0" w:color="auto"/>
            </w:tcBorders>
            <w:hideMark/>
          </w:tcPr>
          <w:p w:rsidR="003E72FE" w:rsidRDefault="003E72FE">
            <w:pPr>
              <w:pStyle w:val="Table2"/>
              <w:spacing w:line="276" w:lineRule="auto"/>
            </w:pPr>
            <w:r>
              <w:t>Water</w:t>
            </w:r>
          </w:p>
        </w:tc>
        <w:tc>
          <w:tcPr>
            <w:tcW w:w="24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Maximum 5% m/m</w:t>
            </w:r>
          </w:p>
        </w:tc>
      </w:tr>
      <w:tr w:rsidR="003E72FE" w:rsidTr="003E72FE">
        <w:tc>
          <w:tcPr>
            <w:tcW w:w="2268" w:type="dxa"/>
            <w:tcBorders>
              <w:top w:val="nil"/>
              <w:left w:val="single" w:sz="4" w:space="0" w:color="auto"/>
              <w:bottom w:val="nil"/>
              <w:right w:val="single" w:sz="4" w:space="0" w:color="auto"/>
            </w:tcBorders>
          </w:tcPr>
          <w:p w:rsidR="003E72FE" w:rsidRDefault="003E72FE">
            <w:pPr>
              <w:pStyle w:val="Table2"/>
              <w:spacing w:line="276" w:lineRule="auto"/>
            </w:pPr>
          </w:p>
        </w:tc>
        <w:tc>
          <w:tcPr>
            <w:tcW w:w="1843" w:type="dxa"/>
            <w:tcBorders>
              <w:top w:val="nil"/>
              <w:left w:val="single" w:sz="4" w:space="0" w:color="auto"/>
              <w:bottom w:val="nil"/>
              <w:right w:val="single" w:sz="4" w:space="0" w:color="auto"/>
            </w:tcBorders>
          </w:tcPr>
          <w:p w:rsidR="003E72FE" w:rsidRDefault="003E72FE">
            <w:pPr>
              <w:pStyle w:val="Table2"/>
              <w:spacing w:line="276" w:lineRule="auto"/>
            </w:pPr>
          </w:p>
        </w:tc>
        <w:tc>
          <w:tcPr>
            <w:tcW w:w="2410" w:type="dxa"/>
            <w:tcBorders>
              <w:top w:val="nil"/>
              <w:left w:val="single" w:sz="4" w:space="0" w:color="auto"/>
              <w:bottom w:val="nil"/>
              <w:right w:val="single" w:sz="4" w:space="0" w:color="auto"/>
            </w:tcBorders>
          </w:tcPr>
          <w:p w:rsidR="003E72FE" w:rsidRDefault="003E72FE">
            <w:pPr>
              <w:pStyle w:val="Table2"/>
              <w:spacing w:line="276" w:lineRule="auto"/>
              <w:jc w:val="center"/>
            </w:pPr>
          </w:p>
        </w:tc>
      </w:tr>
      <w:tr w:rsidR="003E72FE" w:rsidTr="003E72FE">
        <w:tc>
          <w:tcPr>
            <w:tcW w:w="2268" w:type="dxa"/>
            <w:tcBorders>
              <w:top w:val="nil"/>
              <w:left w:val="single" w:sz="4" w:space="0" w:color="auto"/>
              <w:bottom w:val="nil"/>
              <w:right w:val="single" w:sz="4" w:space="0" w:color="auto"/>
            </w:tcBorders>
            <w:hideMark/>
          </w:tcPr>
          <w:p w:rsidR="003E72FE" w:rsidRDefault="003E72FE">
            <w:pPr>
              <w:pStyle w:val="Table2"/>
              <w:spacing w:line="276" w:lineRule="auto"/>
            </w:pPr>
            <w:r>
              <w:t>Dried skim milks</w:t>
            </w:r>
          </w:p>
        </w:tc>
        <w:tc>
          <w:tcPr>
            <w:tcW w:w="1843" w:type="dxa"/>
            <w:tcBorders>
              <w:top w:val="nil"/>
              <w:left w:val="single" w:sz="4" w:space="0" w:color="auto"/>
              <w:bottom w:val="nil"/>
              <w:right w:val="single" w:sz="4" w:space="0" w:color="auto"/>
            </w:tcBorders>
            <w:hideMark/>
          </w:tcPr>
          <w:p w:rsidR="003E72FE" w:rsidRDefault="003E72FE">
            <w:pPr>
              <w:pStyle w:val="Table2"/>
              <w:spacing w:line="276" w:lineRule="auto"/>
            </w:pPr>
            <w:r>
              <w:t>Milkfat</w:t>
            </w:r>
          </w:p>
        </w:tc>
        <w:tc>
          <w:tcPr>
            <w:tcW w:w="24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Maximum 1.5% m/m</w:t>
            </w:r>
          </w:p>
        </w:tc>
      </w:tr>
      <w:tr w:rsidR="003E72FE" w:rsidTr="003E72FE">
        <w:tc>
          <w:tcPr>
            <w:tcW w:w="2268" w:type="dxa"/>
            <w:tcBorders>
              <w:top w:val="nil"/>
              <w:left w:val="single" w:sz="4" w:space="0" w:color="auto"/>
              <w:bottom w:val="nil"/>
              <w:right w:val="single" w:sz="4" w:space="0" w:color="auto"/>
            </w:tcBorders>
          </w:tcPr>
          <w:p w:rsidR="003E72FE" w:rsidRDefault="003E72FE">
            <w:pPr>
              <w:pStyle w:val="Table2"/>
              <w:spacing w:line="276" w:lineRule="auto"/>
            </w:pPr>
          </w:p>
        </w:tc>
        <w:tc>
          <w:tcPr>
            <w:tcW w:w="1843" w:type="dxa"/>
            <w:tcBorders>
              <w:top w:val="nil"/>
              <w:left w:val="single" w:sz="4" w:space="0" w:color="auto"/>
              <w:bottom w:val="nil"/>
              <w:right w:val="single" w:sz="4" w:space="0" w:color="auto"/>
            </w:tcBorders>
            <w:hideMark/>
          </w:tcPr>
          <w:p w:rsidR="003E72FE" w:rsidRDefault="003E72FE">
            <w:pPr>
              <w:pStyle w:val="Table2"/>
              <w:spacing w:line="276" w:lineRule="auto"/>
            </w:pPr>
            <w:r>
              <w:t>Water</w:t>
            </w:r>
          </w:p>
        </w:tc>
        <w:tc>
          <w:tcPr>
            <w:tcW w:w="24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Maximum 5% m/m</w:t>
            </w:r>
          </w:p>
        </w:tc>
      </w:tr>
      <w:tr w:rsidR="003E72FE" w:rsidTr="003E72FE">
        <w:tc>
          <w:tcPr>
            <w:tcW w:w="2268" w:type="dxa"/>
            <w:tcBorders>
              <w:top w:val="nil"/>
              <w:left w:val="single" w:sz="4" w:space="0" w:color="auto"/>
              <w:bottom w:val="nil"/>
              <w:right w:val="single" w:sz="4" w:space="0" w:color="auto"/>
            </w:tcBorders>
          </w:tcPr>
          <w:p w:rsidR="003E72FE" w:rsidRDefault="003E72FE">
            <w:pPr>
              <w:pStyle w:val="Table2"/>
              <w:spacing w:line="276" w:lineRule="auto"/>
            </w:pPr>
          </w:p>
        </w:tc>
        <w:tc>
          <w:tcPr>
            <w:tcW w:w="1843" w:type="dxa"/>
            <w:tcBorders>
              <w:top w:val="nil"/>
              <w:left w:val="single" w:sz="4" w:space="0" w:color="auto"/>
              <w:bottom w:val="nil"/>
              <w:right w:val="single" w:sz="4" w:space="0" w:color="auto"/>
            </w:tcBorders>
          </w:tcPr>
          <w:p w:rsidR="003E72FE" w:rsidRDefault="003E72FE">
            <w:pPr>
              <w:pStyle w:val="Table2"/>
              <w:spacing w:line="276" w:lineRule="auto"/>
            </w:pPr>
          </w:p>
        </w:tc>
        <w:tc>
          <w:tcPr>
            <w:tcW w:w="2410" w:type="dxa"/>
            <w:tcBorders>
              <w:top w:val="nil"/>
              <w:left w:val="single" w:sz="4" w:space="0" w:color="auto"/>
              <w:bottom w:val="nil"/>
              <w:right w:val="single" w:sz="4" w:space="0" w:color="auto"/>
            </w:tcBorders>
          </w:tcPr>
          <w:p w:rsidR="003E72FE" w:rsidRDefault="003E72FE">
            <w:pPr>
              <w:pStyle w:val="Table2"/>
              <w:spacing w:line="276" w:lineRule="auto"/>
              <w:jc w:val="center"/>
            </w:pPr>
          </w:p>
        </w:tc>
      </w:tr>
      <w:tr w:rsidR="003E72FE" w:rsidTr="003E72FE">
        <w:tc>
          <w:tcPr>
            <w:tcW w:w="2268" w:type="dxa"/>
            <w:tcBorders>
              <w:top w:val="nil"/>
              <w:left w:val="single" w:sz="4" w:space="0" w:color="auto"/>
              <w:bottom w:val="nil"/>
              <w:right w:val="single" w:sz="4" w:space="0" w:color="auto"/>
            </w:tcBorders>
            <w:hideMark/>
          </w:tcPr>
          <w:p w:rsidR="003E72FE" w:rsidRDefault="003E72FE">
            <w:pPr>
              <w:pStyle w:val="Table2"/>
              <w:spacing w:line="276" w:lineRule="auto"/>
            </w:pPr>
            <w:r>
              <w:t>Condensed whole milks</w:t>
            </w:r>
          </w:p>
        </w:tc>
        <w:tc>
          <w:tcPr>
            <w:tcW w:w="1843" w:type="dxa"/>
            <w:tcBorders>
              <w:top w:val="nil"/>
              <w:left w:val="single" w:sz="4" w:space="0" w:color="auto"/>
              <w:bottom w:val="nil"/>
              <w:right w:val="single" w:sz="4" w:space="0" w:color="auto"/>
            </w:tcBorders>
            <w:hideMark/>
          </w:tcPr>
          <w:p w:rsidR="003E72FE" w:rsidRDefault="003E72FE">
            <w:pPr>
              <w:pStyle w:val="Table2"/>
              <w:spacing w:line="276" w:lineRule="auto"/>
            </w:pPr>
            <w:r>
              <w:t>Milkfat</w:t>
            </w:r>
          </w:p>
        </w:tc>
        <w:tc>
          <w:tcPr>
            <w:tcW w:w="24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Minimum 8% m/m</w:t>
            </w:r>
          </w:p>
        </w:tc>
      </w:tr>
      <w:tr w:rsidR="003E72FE" w:rsidTr="003E72FE">
        <w:tc>
          <w:tcPr>
            <w:tcW w:w="2268" w:type="dxa"/>
            <w:tcBorders>
              <w:top w:val="nil"/>
              <w:left w:val="single" w:sz="4" w:space="0" w:color="auto"/>
              <w:bottom w:val="nil"/>
              <w:right w:val="single" w:sz="4" w:space="0" w:color="auto"/>
            </w:tcBorders>
          </w:tcPr>
          <w:p w:rsidR="003E72FE" w:rsidRDefault="003E72FE">
            <w:pPr>
              <w:pStyle w:val="Table2"/>
              <w:spacing w:line="276" w:lineRule="auto"/>
            </w:pPr>
          </w:p>
        </w:tc>
        <w:tc>
          <w:tcPr>
            <w:tcW w:w="1843" w:type="dxa"/>
            <w:tcBorders>
              <w:top w:val="nil"/>
              <w:left w:val="single" w:sz="4" w:space="0" w:color="auto"/>
              <w:bottom w:val="nil"/>
              <w:right w:val="single" w:sz="4" w:space="0" w:color="auto"/>
            </w:tcBorders>
            <w:hideMark/>
          </w:tcPr>
          <w:p w:rsidR="003E72FE" w:rsidRDefault="003E72FE">
            <w:pPr>
              <w:pStyle w:val="Table2"/>
              <w:spacing w:line="276" w:lineRule="auto"/>
            </w:pPr>
            <w:r>
              <w:t>Milk solids</w:t>
            </w:r>
          </w:p>
        </w:tc>
        <w:tc>
          <w:tcPr>
            <w:tcW w:w="24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Minimum 28% m/m</w:t>
            </w:r>
          </w:p>
        </w:tc>
      </w:tr>
      <w:tr w:rsidR="003E72FE" w:rsidTr="003E72FE">
        <w:tc>
          <w:tcPr>
            <w:tcW w:w="2268" w:type="dxa"/>
            <w:tcBorders>
              <w:top w:val="nil"/>
              <w:left w:val="single" w:sz="4" w:space="0" w:color="auto"/>
              <w:bottom w:val="nil"/>
              <w:right w:val="single" w:sz="4" w:space="0" w:color="auto"/>
            </w:tcBorders>
          </w:tcPr>
          <w:p w:rsidR="003E72FE" w:rsidRDefault="003E72FE">
            <w:pPr>
              <w:pStyle w:val="Table2"/>
              <w:spacing w:line="276" w:lineRule="auto"/>
            </w:pPr>
          </w:p>
        </w:tc>
        <w:tc>
          <w:tcPr>
            <w:tcW w:w="1843" w:type="dxa"/>
            <w:tcBorders>
              <w:top w:val="nil"/>
              <w:left w:val="single" w:sz="4" w:space="0" w:color="auto"/>
              <w:bottom w:val="nil"/>
              <w:right w:val="single" w:sz="4" w:space="0" w:color="auto"/>
            </w:tcBorders>
          </w:tcPr>
          <w:p w:rsidR="003E72FE" w:rsidRDefault="003E72FE">
            <w:pPr>
              <w:pStyle w:val="Table2"/>
              <w:spacing w:line="276" w:lineRule="auto"/>
            </w:pPr>
          </w:p>
        </w:tc>
        <w:tc>
          <w:tcPr>
            <w:tcW w:w="2410" w:type="dxa"/>
            <w:tcBorders>
              <w:top w:val="nil"/>
              <w:left w:val="single" w:sz="4" w:space="0" w:color="auto"/>
              <w:bottom w:val="nil"/>
              <w:right w:val="single" w:sz="4" w:space="0" w:color="auto"/>
            </w:tcBorders>
          </w:tcPr>
          <w:p w:rsidR="003E72FE" w:rsidRDefault="003E72FE">
            <w:pPr>
              <w:pStyle w:val="Table2"/>
              <w:spacing w:line="276" w:lineRule="auto"/>
              <w:jc w:val="center"/>
            </w:pPr>
          </w:p>
        </w:tc>
      </w:tr>
      <w:tr w:rsidR="003E72FE" w:rsidTr="003E72FE">
        <w:tc>
          <w:tcPr>
            <w:tcW w:w="2268" w:type="dxa"/>
            <w:tcBorders>
              <w:top w:val="nil"/>
              <w:left w:val="single" w:sz="4" w:space="0" w:color="auto"/>
              <w:bottom w:val="nil"/>
              <w:right w:val="single" w:sz="4" w:space="0" w:color="auto"/>
            </w:tcBorders>
            <w:hideMark/>
          </w:tcPr>
          <w:p w:rsidR="003E72FE" w:rsidRDefault="003E72FE">
            <w:pPr>
              <w:pStyle w:val="Table2"/>
              <w:spacing w:line="276" w:lineRule="auto"/>
            </w:pPr>
            <w:r>
              <w:t>Condensed skim milks</w:t>
            </w:r>
          </w:p>
        </w:tc>
        <w:tc>
          <w:tcPr>
            <w:tcW w:w="1843" w:type="dxa"/>
            <w:tcBorders>
              <w:top w:val="nil"/>
              <w:left w:val="single" w:sz="4" w:space="0" w:color="auto"/>
              <w:bottom w:val="nil"/>
              <w:right w:val="single" w:sz="4" w:space="0" w:color="auto"/>
            </w:tcBorders>
            <w:hideMark/>
          </w:tcPr>
          <w:p w:rsidR="003E72FE" w:rsidRDefault="003E72FE">
            <w:pPr>
              <w:pStyle w:val="Table2"/>
              <w:spacing w:line="276" w:lineRule="auto"/>
            </w:pPr>
            <w:r>
              <w:t>Milkfat</w:t>
            </w:r>
          </w:p>
        </w:tc>
        <w:tc>
          <w:tcPr>
            <w:tcW w:w="24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Maximum 1% m/m</w:t>
            </w:r>
          </w:p>
        </w:tc>
      </w:tr>
      <w:tr w:rsidR="003E72FE" w:rsidTr="003E72FE">
        <w:tc>
          <w:tcPr>
            <w:tcW w:w="2268" w:type="dxa"/>
            <w:tcBorders>
              <w:top w:val="nil"/>
              <w:left w:val="single" w:sz="4" w:space="0" w:color="auto"/>
              <w:bottom w:val="nil"/>
              <w:right w:val="single" w:sz="4" w:space="0" w:color="auto"/>
            </w:tcBorders>
          </w:tcPr>
          <w:p w:rsidR="003E72FE" w:rsidRDefault="003E72FE">
            <w:pPr>
              <w:pStyle w:val="Table2"/>
              <w:spacing w:line="276" w:lineRule="auto"/>
            </w:pPr>
          </w:p>
        </w:tc>
        <w:tc>
          <w:tcPr>
            <w:tcW w:w="1843" w:type="dxa"/>
            <w:tcBorders>
              <w:top w:val="nil"/>
              <w:left w:val="single" w:sz="4" w:space="0" w:color="auto"/>
              <w:bottom w:val="nil"/>
              <w:right w:val="single" w:sz="4" w:space="0" w:color="auto"/>
            </w:tcBorders>
            <w:hideMark/>
          </w:tcPr>
          <w:p w:rsidR="003E72FE" w:rsidRDefault="003E72FE">
            <w:pPr>
              <w:pStyle w:val="Table2"/>
              <w:spacing w:line="276" w:lineRule="auto"/>
            </w:pPr>
            <w:r>
              <w:t>Milk solids</w:t>
            </w:r>
          </w:p>
        </w:tc>
        <w:tc>
          <w:tcPr>
            <w:tcW w:w="24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Minimum 24% m/m</w:t>
            </w:r>
          </w:p>
        </w:tc>
      </w:tr>
      <w:tr w:rsidR="003E72FE" w:rsidTr="003E72FE">
        <w:tc>
          <w:tcPr>
            <w:tcW w:w="2268" w:type="dxa"/>
            <w:tcBorders>
              <w:top w:val="nil"/>
              <w:left w:val="single" w:sz="4" w:space="0" w:color="auto"/>
              <w:bottom w:val="nil"/>
              <w:right w:val="single" w:sz="4" w:space="0" w:color="auto"/>
            </w:tcBorders>
          </w:tcPr>
          <w:p w:rsidR="003E72FE" w:rsidRDefault="003E72FE">
            <w:pPr>
              <w:pStyle w:val="Table2"/>
              <w:spacing w:line="276" w:lineRule="auto"/>
            </w:pPr>
          </w:p>
        </w:tc>
        <w:tc>
          <w:tcPr>
            <w:tcW w:w="1843" w:type="dxa"/>
            <w:tcBorders>
              <w:top w:val="nil"/>
              <w:left w:val="single" w:sz="4" w:space="0" w:color="auto"/>
              <w:bottom w:val="nil"/>
              <w:right w:val="single" w:sz="4" w:space="0" w:color="auto"/>
            </w:tcBorders>
          </w:tcPr>
          <w:p w:rsidR="003E72FE" w:rsidRDefault="003E72FE">
            <w:pPr>
              <w:pStyle w:val="Table2"/>
              <w:spacing w:line="276" w:lineRule="auto"/>
            </w:pPr>
          </w:p>
        </w:tc>
        <w:tc>
          <w:tcPr>
            <w:tcW w:w="2410" w:type="dxa"/>
            <w:tcBorders>
              <w:top w:val="nil"/>
              <w:left w:val="single" w:sz="4" w:space="0" w:color="auto"/>
              <w:bottom w:val="nil"/>
              <w:right w:val="single" w:sz="4" w:space="0" w:color="auto"/>
            </w:tcBorders>
          </w:tcPr>
          <w:p w:rsidR="003E72FE" w:rsidRDefault="003E72FE">
            <w:pPr>
              <w:pStyle w:val="Table2"/>
              <w:spacing w:line="276" w:lineRule="auto"/>
              <w:jc w:val="center"/>
            </w:pPr>
          </w:p>
        </w:tc>
      </w:tr>
      <w:tr w:rsidR="003E72FE" w:rsidTr="003E72FE">
        <w:tc>
          <w:tcPr>
            <w:tcW w:w="2268" w:type="dxa"/>
            <w:tcBorders>
              <w:top w:val="nil"/>
              <w:left w:val="single" w:sz="4" w:space="0" w:color="auto"/>
              <w:bottom w:val="nil"/>
              <w:right w:val="single" w:sz="4" w:space="0" w:color="auto"/>
            </w:tcBorders>
            <w:hideMark/>
          </w:tcPr>
          <w:p w:rsidR="003E72FE" w:rsidRDefault="003E72FE">
            <w:pPr>
              <w:pStyle w:val="Table2"/>
              <w:spacing w:line="276" w:lineRule="auto"/>
            </w:pPr>
            <w:r>
              <w:t>Evaporated whole milks</w:t>
            </w:r>
          </w:p>
        </w:tc>
        <w:tc>
          <w:tcPr>
            <w:tcW w:w="1843" w:type="dxa"/>
            <w:tcBorders>
              <w:top w:val="nil"/>
              <w:left w:val="single" w:sz="4" w:space="0" w:color="auto"/>
              <w:bottom w:val="nil"/>
              <w:right w:val="single" w:sz="4" w:space="0" w:color="auto"/>
            </w:tcBorders>
            <w:hideMark/>
          </w:tcPr>
          <w:p w:rsidR="003E72FE" w:rsidRDefault="003E72FE">
            <w:pPr>
              <w:pStyle w:val="Table2"/>
              <w:spacing w:line="276" w:lineRule="auto"/>
            </w:pPr>
            <w:r>
              <w:t>Milkfat</w:t>
            </w:r>
          </w:p>
        </w:tc>
        <w:tc>
          <w:tcPr>
            <w:tcW w:w="24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Minimum 7.5% m/m</w:t>
            </w:r>
          </w:p>
        </w:tc>
      </w:tr>
      <w:tr w:rsidR="003E72FE" w:rsidTr="003E72FE">
        <w:tc>
          <w:tcPr>
            <w:tcW w:w="2268" w:type="dxa"/>
            <w:tcBorders>
              <w:top w:val="nil"/>
              <w:left w:val="single" w:sz="4" w:space="0" w:color="auto"/>
              <w:bottom w:val="nil"/>
              <w:right w:val="single" w:sz="4" w:space="0" w:color="auto"/>
            </w:tcBorders>
          </w:tcPr>
          <w:p w:rsidR="003E72FE" w:rsidRDefault="003E72FE">
            <w:pPr>
              <w:pStyle w:val="Table2"/>
              <w:spacing w:line="276" w:lineRule="auto"/>
            </w:pPr>
          </w:p>
        </w:tc>
        <w:tc>
          <w:tcPr>
            <w:tcW w:w="1843" w:type="dxa"/>
            <w:tcBorders>
              <w:top w:val="nil"/>
              <w:left w:val="single" w:sz="4" w:space="0" w:color="auto"/>
              <w:bottom w:val="nil"/>
              <w:right w:val="single" w:sz="4" w:space="0" w:color="auto"/>
            </w:tcBorders>
            <w:hideMark/>
          </w:tcPr>
          <w:p w:rsidR="003E72FE" w:rsidRDefault="003E72FE">
            <w:pPr>
              <w:pStyle w:val="Table2"/>
              <w:spacing w:line="276" w:lineRule="auto"/>
            </w:pPr>
            <w:r>
              <w:t>Milk solids</w:t>
            </w:r>
          </w:p>
        </w:tc>
        <w:tc>
          <w:tcPr>
            <w:tcW w:w="24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Minimum 25% m/m</w:t>
            </w:r>
          </w:p>
        </w:tc>
      </w:tr>
      <w:tr w:rsidR="003E72FE" w:rsidTr="003E72FE">
        <w:tc>
          <w:tcPr>
            <w:tcW w:w="2268" w:type="dxa"/>
            <w:tcBorders>
              <w:top w:val="nil"/>
              <w:left w:val="single" w:sz="4" w:space="0" w:color="auto"/>
              <w:bottom w:val="nil"/>
              <w:right w:val="single" w:sz="4" w:space="0" w:color="auto"/>
            </w:tcBorders>
          </w:tcPr>
          <w:p w:rsidR="003E72FE" w:rsidRDefault="003E72FE">
            <w:pPr>
              <w:pStyle w:val="Table2"/>
              <w:spacing w:line="276" w:lineRule="auto"/>
            </w:pPr>
          </w:p>
        </w:tc>
        <w:tc>
          <w:tcPr>
            <w:tcW w:w="1843" w:type="dxa"/>
            <w:tcBorders>
              <w:top w:val="nil"/>
              <w:left w:val="single" w:sz="4" w:space="0" w:color="auto"/>
              <w:bottom w:val="nil"/>
              <w:right w:val="single" w:sz="4" w:space="0" w:color="auto"/>
            </w:tcBorders>
          </w:tcPr>
          <w:p w:rsidR="003E72FE" w:rsidRDefault="003E72FE">
            <w:pPr>
              <w:pStyle w:val="Table2"/>
              <w:spacing w:line="276" w:lineRule="auto"/>
            </w:pPr>
          </w:p>
        </w:tc>
        <w:tc>
          <w:tcPr>
            <w:tcW w:w="2410" w:type="dxa"/>
            <w:tcBorders>
              <w:top w:val="nil"/>
              <w:left w:val="single" w:sz="4" w:space="0" w:color="auto"/>
              <w:bottom w:val="nil"/>
              <w:right w:val="single" w:sz="4" w:space="0" w:color="auto"/>
            </w:tcBorders>
          </w:tcPr>
          <w:p w:rsidR="003E72FE" w:rsidRDefault="003E72FE">
            <w:pPr>
              <w:pStyle w:val="Table2"/>
              <w:spacing w:line="276" w:lineRule="auto"/>
              <w:jc w:val="center"/>
            </w:pPr>
          </w:p>
        </w:tc>
      </w:tr>
      <w:tr w:rsidR="003E72FE" w:rsidTr="003E72FE">
        <w:tc>
          <w:tcPr>
            <w:tcW w:w="2268" w:type="dxa"/>
            <w:tcBorders>
              <w:top w:val="nil"/>
              <w:left w:val="single" w:sz="4" w:space="0" w:color="auto"/>
              <w:bottom w:val="nil"/>
              <w:right w:val="single" w:sz="4" w:space="0" w:color="auto"/>
            </w:tcBorders>
            <w:hideMark/>
          </w:tcPr>
          <w:p w:rsidR="003E72FE" w:rsidRDefault="003E72FE">
            <w:pPr>
              <w:pStyle w:val="Table2"/>
              <w:spacing w:line="276" w:lineRule="auto"/>
            </w:pPr>
            <w:r>
              <w:t>Evaporated skim milks</w:t>
            </w:r>
          </w:p>
        </w:tc>
        <w:tc>
          <w:tcPr>
            <w:tcW w:w="1843" w:type="dxa"/>
            <w:tcBorders>
              <w:top w:val="nil"/>
              <w:left w:val="single" w:sz="4" w:space="0" w:color="auto"/>
              <w:bottom w:val="nil"/>
              <w:right w:val="single" w:sz="4" w:space="0" w:color="auto"/>
            </w:tcBorders>
            <w:hideMark/>
          </w:tcPr>
          <w:p w:rsidR="003E72FE" w:rsidRDefault="003E72FE">
            <w:pPr>
              <w:pStyle w:val="Table2"/>
              <w:spacing w:line="276" w:lineRule="auto"/>
            </w:pPr>
            <w:r>
              <w:t>Milkfat</w:t>
            </w:r>
          </w:p>
        </w:tc>
        <w:tc>
          <w:tcPr>
            <w:tcW w:w="2410" w:type="dxa"/>
            <w:tcBorders>
              <w:top w:val="nil"/>
              <w:left w:val="single" w:sz="4" w:space="0" w:color="auto"/>
              <w:bottom w:val="nil"/>
              <w:right w:val="single" w:sz="4" w:space="0" w:color="auto"/>
            </w:tcBorders>
            <w:hideMark/>
          </w:tcPr>
          <w:p w:rsidR="003E72FE" w:rsidRDefault="003E72FE">
            <w:pPr>
              <w:pStyle w:val="Table2"/>
              <w:spacing w:line="276" w:lineRule="auto"/>
              <w:jc w:val="center"/>
            </w:pPr>
            <w:r>
              <w:t>Maximum 1% m/m</w:t>
            </w:r>
          </w:p>
        </w:tc>
      </w:tr>
      <w:tr w:rsidR="003E72FE" w:rsidTr="003E72FE">
        <w:tc>
          <w:tcPr>
            <w:tcW w:w="2268" w:type="dxa"/>
            <w:tcBorders>
              <w:top w:val="nil"/>
              <w:left w:val="single" w:sz="4" w:space="0" w:color="auto"/>
              <w:bottom w:val="single" w:sz="4" w:space="0" w:color="auto"/>
              <w:right w:val="single" w:sz="4" w:space="0" w:color="auto"/>
            </w:tcBorders>
          </w:tcPr>
          <w:p w:rsidR="003E72FE" w:rsidRDefault="003E72FE">
            <w:pPr>
              <w:pStyle w:val="Table2"/>
              <w:spacing w:line="276" w:lineRule="auto"/>
            </w:pPr>
          </w:p>
        </w:tc>
        <w:tc>
          <w:tcPr>
            <w:tcW w:w="1843" w:type="dxa"/>
            <w:tcBorders>
              <w:top w:val="nil"/>
              <w:left w:val="single" w:sz="4" w:space="0" w:color="auto"/>
              <w:bottom w:val="single" w:sz="4" w:space="0" w:color="auto"/>
              <w:right w:val="single" w:sz="4" w:space="0" w:color="auto"/>
            </w:tcBorders>
            <w:hideMark/>
          </w:tcPr>
          <w:p w:rsidR="003E72FE" w:rsidRDefault="003E72FE">
            <w:pPr>
              <w:pStyle w:val="Table2"/>
              <w:spacing w:line="276" w:lineRule="auto"/>
            </w:pPr>
            <w:r>
              <w:t>Milk solids</w:t>
            </w:r>
          </w:p>
        </w:tc>
        <w:tc>
          <w:tcPr>
            <w:tcW w:w="2410" w:type="dxa"/>
            <w:tcBorders>
              <w:top w:val="nil"/>
              <w:left w:val="single" w:sz="4" w:space="0" w:color="auto"/>
              <w:bottom w:val="single" w:sz="4" w:space="0" w:color="auto"/>
              <w:right w:val="single" w:sz="4" w:space="0" w:color="auto"/>
            </w:tcBorders>
            <w:hideMark/>
          </w:tcPr>
          <w:p w:rsidR="003E72FE" w:rsidRDefault="003E72FE">
            <w:pPr>
              <w:pStyle w:val="Table2"/>
              <w:spacing w:line="276" w:lineRule="auto"/>
              <w:jc w:val="center"/>
            </w:pPr>
            <w:r>
              <w:t>Minimum 20% m/m</w:t>
            </w:r>
          </w:p>
        </w:tc>
      </w:tr>
    </w:tbl>
    <w:p w:rsidR="003E72FE" w:rsidRPr="003E72FE" w:rsidRDefault="003E72FE" w:rsidP="003E72FE">
      <w:pPr>
        <w:rPr>
          <w:i/>
          <w:sz w:val="20"/>
          <w:szCs w:val="20"/>
        </w:rPr>
      </w:pPr>
    </w:p>
    <w:p w:rsidR="003E72FE" w:rsidRPr="003E72FE" w:rsidRDefault="003E72FE" w:rsidP="003E72FE">
      <w:pPr>
        <w:pStyle w:val="Clause"/>
        <w:ind w:left="851" w:hanging="851"/>
        <w:rPr>
          <w:bCs/>
          <w:i/>
          <w:lang w:bidi="ar-SA"/>
        </w:rPr>
      </w:pPr>
      <w:r w:rsidRPr="003E72FE">
        <w:rPr>
          <w:bCs/>
        </w:rPr>
        <w:t>[</w:t>
      </w:r>
      <w:r w:rsidRPr="003E72FE">
        <w:rPr>
          <w:b/>
          <w:bCs/>
        </w:rPr>
        <w:t>37</w:t>
      </w:r>
      <w:r w:rsidRPr="003E72FE">
        <w:rPr>
          <w:bCs/>
        </w:rPr>
        <w:t>]</w:t>
      </w:r>
      <w:r w:rsidRPr="003E72FE">
        <w:rPr>
          <w:bCs/>
        </w:rPr>
        <w:tab/>
      </w:r>
      <w:r w:rsidRPr="003E72FE">
        <w:rPr>
          <w:b/>
          <w:bCs/>
          <w:i/>
        </w:rPr>
        <w:t xml:space="preserve">Standard 2.6.2 </w:t>
      </w:r>
      <w:r w:rsidRPr="003E72FE">
        <w:rPr>
          <w:bCs/>
          <w:i/>
        </w:rPr>
        <w:t>of the Australia New Zealand Food Standards Code is varied by –</w:t>
      </w:r>
    </w:p>
    <w:p w:rsidR="003E72FE" w:rsidRPr="003E72FE" w:rsidRDefault="003E72FE" w:rsidP="003E72FE">
      <w:pPr>
        <w:pStyle w:val="Clause"/>
        <w:ind w:left="851" w:hanging="851"/>
        <w:rPr>
          <w:bCs/>
        </w:rPr>
      </w:pPr>
    </w:p>
    <w:p w:rsidR="003E72FE" w:rsidRPr="003E72FE" w:rsidRDefault="003E72FE" w:rsidP="003E72FE">
      <w:pPr>
        <w:pStyle w:val="Clause"/>
        <w:rPr>
          <w:i/>
        </w:rPr>
      </w:pPr>
      <w:r w:rsidRPr="003E72FE">
        <w:t>[37.1]</w:t>
      </w:r>
      <w:r w:rsidRPr="003E72FE">
        <w:tab/>
      </w:r>
      <w:r w:rsidRPr="003E72FE">
        <w:rPr>
          <w:i/>
        </w:rPr>
        <w:t xml:space="preserve">omitting the definition of </w:t>
      </w:r>
      <w:r w:rsidRPr="003E72FE">
        <w:rPr>
          <w:b/>
        </w:rPr>
        <w:t xml:space="preserve">brewed soft drink </w:t>
      </w:r>
      <w:r w:rsidRPr="003E72FE">
        <w:rPr>
          <w:i/>
        </w:rPr>
        <w:t xml:space="preserve">from clause 1, substituting – </w:t>
      </w:r>
    </w:p>
    <w:p w:rsidR="003E72FE" w:rsidRPr="003E72FE" w:rsidRDefault="003E72FE" w:rsidP="003E72FE">
      <w:pPr>
        <w:rPr>
          <w:sz w:val="20"/>
          <w:szCs w:val="20"/>
        </w:rPr>
      </w:pPr>
    </w:p>
    <w:p w:rsidR="003E72FE" w:rsidRPr="003E72FE" w:rsidRDefault="003E72FE" w:rsidP="003E72FE">
      <w:pPr>
        <w:pStyle w:val="Definition"/>
        <w:rPr>
          <w:bCs/>
        </w:rPr>
      </w:pPr>
      <w:r w:rsidRPr="003E72FE">
        <w:rPr>
          <w:b/>
          <w:bCs/>
        </w:rPr>
        <w:t xml:space="preserve">brewed soft drink </w:t>
      </w:r>
      <w:r w:rsidRPr="003E72FE">
        <w:rPr>
          <w:bCs/>
        </w:rPr>
        <w:t xml:space="preserve">means the product prepared by a fermentation process from water with sugar and one or more of – </w:t>
      </w:r>
    </w:p>
    <w:p w:rsidR="003E72FE" w:rsidRPr="003E72FE" w:rsidRDefault="003E72FE" w:rsidP="003E72FE">
      <w:pPr>
        <w:pStyle w:val="Subparagraph"/>
      </w:pPr>
    </w:p>
    <w:p w:rsidR="003E72FE" w:rsidRPr="003E72FE" w:rsidRDefault="003E72FE" w:rsidP="003E72FE">
      <w:pPr>
        <w:pStyle w:val="Subparagraph"/>
      </w:pPr>
      <w:r w:rsidRPr="003E72FE">
        <w:t>(a)</w:t>
      </w:r>
      <w:r w:rsidRPr="003E72FE">
        <w:tab/>
        <w:t>fruit extractives or infusions; or</w:t>
      </w:r>
    </w:p>
    <w:p w:rsidR="003E72FE" w:rsidRPr="003E72FE" w:rsidRDefault="003E72FE" w:rsidP="003E72FE">
      <w:pPr>
        <w:pStyle w:val="Subparagraph"/>
      </w:pPr>
      <w:r w:rsidRPr="003E72FE">
        <w:t>(b)</w:t>
      </w:r>
      <w:r w:rsidRPr="003E72FE">
        <w:tab/>
        <w:t>vegetable extractives or infusions.</w:t>
      </w:r>
    </w:p>
    <w:p w:rsidR="003E72FE" w:rsidRPr="003E72FE" w:rsidRDefault="003E72FE" w:rsidP="003E72FE">
      <w:pPr>
        <w:rPr>
          <w:sz w:val="20"/>
          <w:szCs w:val="20"/>
        </w:rPr>
      </w:pPr>
    </w:p>
    <w:p w:rsidR="003E72FE" w:rsidRPr="003E72FE" w:rsidRDefault="003E72FE" w:rsidP="003E72FE">
      <w:pPr>
        <w:pStyle w:val="Clause"/>
      </w:pPr>
      <w:r w:rsidRPr="003E72FE">
        <w:t>[37.2]</w:t>
      </w:r>
      <w:r w:rsidRPr="003E72FE">
        <w:tab/>
      </w:r>
      <w:r w:rsidRPr="003E72FE">
        <w:rPr>
          <w:i/>
        </w:rPr>
        <w:t xml:space="preserve">omitting </w:t>
      </w:r>
      <w:r w:rsidRPr="003E72FE">
        <w:t>vitamins and/or minerals</w:t>
      </w:r>
      <w:r w:rsidRPr="003E72FE">
        <w:rPr>
          <w:i/>
        </w:rPr>
        <w:t xml:space="preserve"> from the definition of </w:t>
      </w:r>
      <w:r w:rsidRPr="003E72FE">
        <w:rPr>
          <w:b/>
        </w:rPr>
        <w:t xml:space="preserve">formulated beverage </w:t>
      </w:r>
      <w:r w:rsidRPr="003E72FE">
        <w:rPr>
          <w:i/>
        </w:rPr>
        <w:t xml:space="preserve">in clause 1, substituting </w:t>
      </w:r>
      <w:r w:rsidRPr="003E72FE">
        <w:t>vitamins or minerals or both vitamins and minerals</w:t>
      </w:r>
    </w:p>
    <w:p w:rsidR="003E72FE" w:rsidRPr="003E72FE" w:rsidRDefault="003E72FE" w:rsidP="003E72FE">
      <w:pPr>
        <w:rPr>
          <w:sz w:val="20"/>
          <w:szCs w:val="20"/>
        </w:rPr>
      </w:pPr>
    </w:p>
    <w:p w:rsidR="003E72FE" w:rsidRPr="003E72FE" w:rsidRDefault="003E72FE" w:rsidP="003E72FE">
      <w:pPr>
        <w:pStyle w:val="Clause"/>
        <w:rPr>
          <w:i/>
          <w:iCs/>
        </w:rPr>
      </w:pPr>
      <w:r w:rsidRPr="003E72FE">
        <w:rPr>
          <w:b/>
          <w:iCs/>
        </w:rPr>
        <w:t>[38]</w:t>
      </w:r>
      <w:r w:rsidRPr="003E72FE">
        <w:rPr>
          <w:b/>
          <w:iCs/>
        </w:rPr>
        <w:tab/>
      </w:r>
      <w:r w:rsidRPr="003E72FE">
        <w:rPr>
          <w:b/>
          <w:i/>
          <w:iCs/>
        </w:rPr>
        <w:t>Standard 2.6.3</w:t>
      </w:r>
      <w:r w:rsidRPr="003E72FE">
        <w:rPr>
          <w:i/>
          <w:iCs/>
        </w:rPr>
        <w:t xml:space="preserve"> of the Australia New Zealand Food Standards Code is varied by – </w:t>
      </w:r>
    </w:p>
    <w:p w:rsidR="003E72FE" w:rsidRPr="003E72FE" w:rsidRDefault="003E72FE" w:rsidP="003E72FE">
      <w:pPr>
        <w:pStyle w:val="Clause"/>
        <w:rPr>
          <w:i/>
          <w:iCs/>
        </w:rPr>
      </w:pPr>
    </w:p>
    <w:p w:rsidR="003E72FE" w:rsidRPr="003E72FE" w:rsidRDefault="003E72FE" w:rsidP="003E72FE">
      <w:pPr>
        <w:pStyle w:val="Clause"/>
        <w:rPr>
          <w:i/>
        </w:rPr>
      </w:pPr>
      <w:r w:rsidRPr="003E72FE">
        <w:t>[38.1]</w:t>
      </w:r>
      <w:r w:rsidRPr="003E72FE">
        <w:tab/>
      </w:r>
      <w:r w:rsidRPr="003E72FE">
        <w:rPr>
          <w:i/>
        </w:rPr>
        <w:t>omitting</w:t>
      </w:r>
      <w:r w:rsidRPr="003E72FE">
        <w:t xml:space="preserve"> </w:t>
      </w:r>
      <w:r w:rsidRPr="003E72FE">
        <w:rPr>
          <w:i/>
        </w:rPr>
        <w:t>the first paragraph from the</w:t>
      </w:r>
      <w:r w:rsidRPr="003E72FE">
        <w:t xml:space="preserve"> Purpose, </w:t>
      </w:r>
      <w:r w:rsidRPr="003E72FE">
        <w:rPr>
          <w:i/>
        </w:rPr>
        <w:t xml:space="preserve">substituting – </w:t>
      </w:r>
    </w:p>
    <w:p w:rsidR="003E72FE" w:rsidRPr="003E72FE" w:rsidRDefault="003E72FE" w:rsidP="003E72FE">
      <w:pPr>
        <w:pStyle w:val="Clause"/>
      </w:pPr>
    </w:p>
    <w:p w:rsidR="003E72FE" w:rsidRPr="003E72FE" w:rsidRDefault="003E72FE" w:rsidP="003E72FE">
      <w:pPr>
        <w:pStyle w:val="Clause"/>
      </w:pPr>
      <w:r w:rsidRPr="003E72FE">
        <w:t xml:space="preserve">This Standard contains restrictions on the parts of the </w:t>
      </w:r>
      <w:r w:rsidRPr="003E72FE">
        <w:rPr>
          <w:i/>
        </w:rPr>
        <w:t xml:space="preserve">Piper methysticum </w:t>
      </w:r>
      <w:r w:rsidRPr="003E72FE">
        <w:t xml:space="preserve">(kava) plant which may be sold under food legislation, and provides requirements for labelling.  The Standard also prohibits the use of kava as an ingredient in food. </w:t>
      </w:r>
    </w:p>
    <w:p w:rsidR="003E72FE" w:rsidRDefault="003E72FE" w:rsidP="003E72FE">
      <w:pPr>
        <w:rPr>
          <w:sz w:val="20"/>
          <w:szCs w:val="20"/>
        </w:rPr>
      </w:pPr>
      <w:r>
        <w:rPr>
          <w:sz w:val="20"/>
          <w:szCs w:val="20"/>
        </w:rPr>
        <w:br w:type="page"/>
      </w:r>
    </w:p>
    <w:p w:rsidR="003E72FE" w:rsidRPr="003E72FE" w:rsidRDefault="003E72FE" w:rsidP="003E72FE">
      <w:pPr>
        <w:pStyle w:val="Clause"/>
      </w:pPr>
      <w:r w:rsidRPr="003E72FE">
        <w:lastRenderedPageBreak/>
        <w:t>[38.2]</w:t>
      </w:r>
      <w:r w:rsidRPr="003E72FE">
        <w:tab/>
      </w:r>
      <w:r w:rsidRPr="003E72FE">
        <w:rPr>
          <w:i/>
        </w:rPr>
        <w:t xml:space="preserve">omitting </w:t>
      </w:r>
      <w:r w:rsidRPr="003E72FE">
        <w:t xml:space="preserve">and/or </w:t>
      </w:r>
      <w:r w:rsidRPr="003E72FE">
        <w:rPr>
          <w:i/>
        </w:rPr>
        <w:t xml:space="preserve">from clause 2, substituting </w:t>
      </w:r>
      <w:r w:rsidRPr="003E72FE">
        <w:t>or</w:t>
      </w:r>
    </w:p>
    <w:p w:rsidR="003E72FE" w:rsidRPr="003E72FE" w:rsidRDefault="003E72FE" w:rsidP="003E72FE">
      <w:pPr>
        <w:rPr>
          <w:sz w:val="20"/>
          <w:szCs w:val="20"/>
        </w:rPr>
      </w:pPr>
    </w:p>
    <w:p w:rsidR="003E72FE" w:rsidRPr="003E72FE" w:rsidRDefault="003E72FE" w:rsidP="003E72FE">
      <w:pPr>
        <w:pStyle w:val="Clause"/>
        <w:ind w:left="851" w:hanging="851"/>
      </w:pPr>
      <w:r w:rsidRPr="003E72FE">
        <w:rPr>
          <w:b/>
          <w:bCs/>
        </w:rPr>
        <w:t>[39]</w:t>
      </w:r>
      <w:r w:rsidRPr="003E72FE">
        <w:rPr>
          <w:b/>
          <w:bCs/>
        </w:rPr>
        <w:tab/>
      </w:r>
      <w:r w:rsidRPr="003E72FE">
        <w:rPr>
          <w:b/>
          <w:bCs/>
          <w:i/>
        </w:rPr>
        <w:t xml:space="preserve">Standard 2.7.1 </w:t>
      </w:r>
      <w:r w:rsidRPr="003E72FE">
        <w:rPr>
          <w:bCs/>
          <w:i/>
        </w:rPr>
        <w:t xml:space="preserve">of the Australia New Zealand Food Standards Code is varied by </w:t>
      </w:r>
      <w:r w:rsidRPr="003E72FE">
        <w:rPr>
          <w:i/>
        </w:rPr>
        <w:t xml:space="preserve">omitting from the </w:t>
      </w:r>
      <w:r w:rsidRPr="003E72FE">
        <w:t xml:space="preserve">Table to subclause 2(1) – </w:t>
      </w:r>
    </w:p>
    <w:p w:rsidR="003E72FE" w:rsidRPr="003E72FE" w:rsidRDefault="003E72FE" w:rsidP="003E72FE">
      <w:pPr>
        <w:rPr>
          <w:sz w:val="20"/>
          <w:szCs w:val="20"/>
        </w:rPr>
      </w:pPr>
    </w:p>
    <w:tbl>
      <w:tblPr>
        <w:tblW w:w="0" w:type="auto"/>
        <w:jc w:val="center"/>
        <w:tblLayout w:type="fixed"/>
        <w:tblCellMar>
          <w:left w:w="107" w:type="dxa"/>
          <w:right w:w="107" w:type="dxa"/>
        </w:tblCellMar>
        <w:tblLook w:val="04A0" w:firstRow="1" w:lastRow="0" w:firstColumn="1" w:lastColumn="0" w:noHBand="0" w:noVBand="1"/>
      </w:tblPr>
      <w:tblGrid>
        <w:gridCol w:w="2835"/>
        <w:gridCol w:w="2835"/>
      </w:tblGrid>
      <w:tr w:rsidR="003E72FE" w:rsidTr="003E72FE">
        <w:trPr>
          <w:cantSplit/>
          <w:trHeight w:val="300"/>
          <w:jc w:val="center"/>
        </w:trPr>
        <w:tc>
          <w:tcPr>
            <w:tcW w:w="2835" w:type="dxa"/>
            <w:tcBorders>
              <w:top w:val="single" w:sz="6" w:space="0" w:color="auto"/>
              <w:left w:val="single" w:sz="6" w:space="0" w:color="auto"/>
              <w:bottom w:val="single" w:sz="6" w:space="0" w:color="auto"/>
              <w:right w:val="single" w:sz="6" w:space="0" w:color="auto"/>
            </w:tcBorders>
          </w:tcPr>
          <w:p w:rsidR="003E72FE" w:rsidRDefault="003E72FE">
            <w:pPr>
              <w:pStyle w:val="Table2"/>
              <w:spacing w:line="276" w:lineRule="auto"/>
            </w:pPr>
            <w:r>
              <w:t>Alcoholic beverages containing not more than 1.15 % alcohol by volume</w:t>
            </w:r>
          </w:p>
          <w:p w:rsidR="003E72FE" w:rsidRDefault="003E72FE">
            <w:pPr>
              <w:pStyle w:val="Table2"/>
              <w:spacing w:line="276" w:lineRule="auto"/>
              <w:rPr>
                <w:lang w:bidi="ar-SA"/>
              </w:rPr>
            </w:pPr>
          </w:p>
          <w:p w:rsidR="003E72FE" w:rsidRDefault="003E72FE">
            <w:pPr>
              <w:pStyle w:val="Table2"/>
              <w:spacing w:line="276" w:lineRule="auto"/>
            </w:pPr>
            <w:r>
              <w:t>Beverages containing no less than 0.5% alcohol by volume</w:t>
            </w:r>
          </w:p>
        </w:tc>
        <w:tc>
          <w:tcPr>
            <w:tcW w:w="2835"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‘CONTAINS NOT MORE THAN X% ALCOHOL BY VOLUME’ or words and expressions of the same or similar effect</w:t>
            </w:r>
          </w:p>
        </w:tc>
      </w:tr>
    </w:tbl>
    <w:p w:rsidR="003E72FE" w:rsidRDefault="003E72FE" w:rsidP="003E72FE">
      <w:pPr>
        <w:rPr>
          <w:i/>
          <w:sz w:val="20"/>
          <w:szCs w:val="20"/>
        </w:rPr>
      </w:pPr>
    </w:p>
    <w:p w:rsidR="003E72FE" w:rsidRDefault="003E72FE" w:rsidP="003E72FE">
      <w:pPr>
        <w:pStyle w:val="Clause"/>
        <w:rPr>
          <w:i/>
          <w:iCs/>
          <w:lang w:bidi="ar-SA"/>
        </w:rPr>
      </w:pPr>
      <w:r>
        <w:rPr>
          <w:i/>
          <w:iCs/>
        </w:rPr>
        <w:t xml:space="preserve">substituting – </w:t>
      </w:r>
    </w:p>
    <w:p w:rsidR="003E72FE" w:rsidRPr="003E72FE" w:rsidRDefault="003E72FE" w:rsidP="003E72FE">
      <w:pPr>
        <w:rPr>
          <w:i/>
          <w:sz w:val="20"/>
          <w:szCs w:val="20"/>
        </w:rPr>
      </w:pPr>
    </w:p>
    <w:tbl>
      <w:tblPr>
        <w:tblW w:w="0" w:type="auto"/>
        <w:jc w:val="center"/>
        <w:tblLayout w:type="fixed"/>
        <w:tblCellMar>
          <w:left w:w="107" w:type="dxa"/>
          <w:right w:w="107" w:type="dxa"/>
        </w:tblCellMar>
        <w:tblLook w:val="04A0" w:firstRow="1" w:lastRow="0" w:firstColumn="1" w:lastColumn="0" w:noHBand="0" w:noVBand="1"/>
      </w:tblPr>
      <w:tblGrid>
        <w:gridCol w:w="2835"/>
        <w:gridCol w:w="2835"/>
      </w:tblGrid>
      <w:tr w:rsidR="003E72FE" w:rsidTr="003E72FE">
        <w:trPr>
          <w:cantSplit/>
          <w:trHeight w:val="300"/>
          <w:jc w:val="center"/>
        </w:trPr>
        <w:tc>
          <w:tcPr>
            <w:tcW w:w="2835" w:type="dxa"/>
            <w:tcBorders>
              <w:top w:val="single" w:sz="6" w:space="0" w:color="auto"/>
              <w:left w:val="single" w:sz="6" w:space="0" w:color="auto"/>
              <w:bottom w:val="single" w:sz="6" w:space="0" w:color="auto"/>
              <w:right w:val="single" w:sz="6" w:space="0" w:color="auto"/>
            </w:tcBorders>
          </w:tcPr>
          <w:p w:rsidR="003E72FE" w:rsidRDefault="003E72FE">
            <w:pPr>
              <w:pStyle w:val="Table2"/>
              <w:spacing w:line="276" w:lineRule="auto"/>
            </w:pPr>
            <w:r>
              <w:t>Alcoholic beverages containing 1.15% or less alcohol by volume</w:t>
            </w:r>
          </w:p>
          <w:p w:rsidR="003E72FE" w:rsidRDefault="003E72FE">
            <w:pPr>
              <w:pStyle w:val="Table2"/>
              <w:spacing w:line="276" w:lineRule="auto"/>
              <w:rPr>
                <w:lang w:bidi="ar-SA"/>
              </w:rPr>
            </w:pPr>
          </w:p>
          <w:p w:rsidR="003E72FE" w:rsidRDefault="003E72FE">
            <w:pPr>
              <w:pStyle w:val="Table2"/>
              <w:spacing w:line="276" w:lineRule="auto"/>
            </w:pPr>
            <w:r>
              <w:t>Beverages containing 0.5% or more, but less than 1.15%,  alcohol by volume</w:t>
            </w:r>
          </w:p>
        </w:tc>
        <w:tc>
          <w:tcPr>
            <w:tcW w:w="2835"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‘CONTAINS NOT MORE THAN X% ALCOHOL BY VOLUME’ or words and expressions of the same or similar effect</w:t>
            </w:r>
          </w:p>
        </w:tc>
      </w:tr>
    </w:tbl>
    <w:p w:rsidR="003E72FE" w:rsidRPr="003E72FE" w:rsidRDefault="003E72FE" w:rsidP="003E72FE">
      <w:pPr>
        <w:rPr>
          <w:sz w:val="20"/>
          <w:szCs w:val="20"/>
        </w:rPr>
      </w:pPr>
    </w:p>
    <w:p w:rsidR="003E72FE" w:rsidRPr="003E72FE" w:rsidRDefault="003E72FE" w:rsidP="003E72FE">
      <w:pPr>
        <w:pStyle w:val="Clause"/>
        <w:rPr>
          <w:i/>
          <w:lang w:bidi="ar-SA"/>
        </w:rPr>
      </w:pPr>
      <w:r w:rsidRPr="003E72FE">
        <w:rPr>
          <w:b/>
        </w:rPr>
        <w:t>[40]</w:t>
      </w:r>
      <w:r w:rsidRPr="003E72FE">
        <w:tab/>
      </w:r>
      <w:r w:rsidRPr="003E72FE">
        <w:rPr>
          <w:b/>
          <w:i/>
        </w:rPr>
        <w:t xml:space="preserve">Standard 2.7.3 </w:t>
      </w:r>
      <w:r w:rsidRPr="003E72FE">
        <w:rPr>
          <w:i/>
        </w:rPr>
        <w:t xml:space="preserve">of the Australia New Zealand Food Standards Code is varied by – </w:t>
      </w:r>
    </w:p>
    <w:p w:rsidR="003E72FE" w:rsidRPr="003E72FE" w:rsidRDefault="003E72FE" w:rsidP="003E72FE">
      <w:pPr>
        <w:rPr>
          <w:sz w:val="20"/>
          <w:szCs w:val="20"/>
        </w:rPr>
      </w:pPr>
    </w:p>
    <w:p w:rsidR="003E72FE" w:rsidRPr="003E72FE" w:rsidRDefault="003E72FE" w:rsidP="003E72FE">
      <w:pPr>
        <w:pStyle w:val="Clause"/>
        <w:rPr>
          <w:i/>
        </w:rPr>
      </w:pPr>
      <w:r w:rsidRPr="003E72FE">
        <w:t>[40.1]</w:t>
      </w:r>
      <w:r w:rsidRPr="003E72FE">
        <w:tab/>
      </w:r>
      <w:r w:rsidRPr="003E72FE">
        <w:rPr>
          <w:i/>
        </w:rPr>
        <w:t xml:space="preserve">omitting the </w:t>
      </w:r>
      <w:r w:rsidRPr="003E72FE">
        <w:t xml:space="preserve">Purpose, </w:t>
      </w:r>
      <w:r w:rsidRPr="003E72FE">
        <w:rPr>
          <w:i/>
        </w:rPr>
        <w:t xml:space="preserve">substituting – </w:t>
      </w:r>
    </w:p>
    <w:p w:rsidR="003E72FE" w:rsidRPr="003E72FE" w:rsidRDefault="003E72FE" w:rsidP="003E72FE">
      <w:pPr>
        <w:rPr>
          <w:sz w:val="20"/>
          <w:szCs w:val="20"/>
        </w:rPr>
      </w:pPr>
    </w:p>
    <w:p w:rsidR="003E72FE" w:rsidRPr="003E72FE" w:rsidRDefault="003E72FE" w:rsidP="003E72FE">
      <w:pPr>
        <w:pStyle w:val="ClauseHeading0"/>
      </w:pPr>
      <w:r w:rsidRPr="003E72FE">
        <w:t>Purpose</w:t>
      </w:r>
    </w:p>
    <w:p w:rsidR="003E72FE" w:rsidRPr="003E72FE" w:rsidRDefault="003E72FE" w:rsidP="003E72FE">
      <w:pPr>
        <w:rPr>
          <w:sz w:val="20"/>
          <w:szCs w:val="20"/>
        </w:rPr>
      </w:pPr>
    </w:p>
    <w:p w:rsidR="003E72FE" w:rsidRPr="003E72FE" w:rsidRDefault="003E72FE" w:rsidP="003E72FE">
      <w:pPr>
        <w:pStyle w:val="Clause"/>
      </w:pPr>
      <w:r w:rsidRPr="003E72FE">
        <w:t>This Standard defines the composition of fruit wine, vegetable wine, fruit wine product, vegetable wine product, mead, cider and perry.</w:t>
      </w:r>
    </w:p>
    <w:p w:rsidR="003E72FE" w:rsidRPr="003E72FE" w:rsidRDefault="003E72FE" w:rsidP="003E72FE">
      <w:pPr>
        <w:pStyle w:val="Clause"/>
      </w:pPr>
    </w:p>
    <w:p w:rsidR="003E72FE" w:rsidRPr="003E72FE" w:rsidRDefault="003E72FE" w:rsidP="003E72FE">
      <w:pPr>
        <w:pStyle w:val="Clause"/>
        <w:rPr>
          <w:i/>
        </w:rPr>
      </w:pPr>
      <w:r w:rsidRPr="003E72FE">
        <w:t>[40.2]</w:t>
      </w:r>
      <w:r w:rsidRPr="003E72FE">
        <w:tab/>
      </w:r>
      <w:r w:rsidRPr="003E72FE">
        <w:rPr>
          <w:i/>
        </w:rPr>
        <w:t xml:space="preserve">omitting from clause 1 – </w:t>
      </w:r>
    </w:p>
    <w:p w:rsidR="003E72FE" w:rsidRPr="003E72FE" w:rsidRDefault="003E72FE" w:rsidP="003E72FE">
      <w:pPr>
        <w:pStyle w:val="Clause"/>
        <w:rPr>
          <w:i/>
        </w:rPr>
      </w:pPr>
    </w:p>
    <w:p w:rsidR="003E72FE" w:rsidRPr="003E72FE" w:rsidRDefault="003E72FE" w:rsidP="003E72FE">
      <w:pPr>
        <w:pStyle w:val="Clause"/>
      </w:pPr>
      <w:r w:rsidRPr="003E72FE">
        <w:t xml:space="preserve">In this Standard – </w:t>
      </w:r>
    </w:p>
    <w:p w:rsidR="003E72FE" w:rsidRPr="003E72FE" w:rsidRDefault="003E72FE" w:rsidP="003E72FE">
      <w:pPr>
        <w:rPr>
          <w:sz w:val="20"/>
          <w:szCs w:val="20"/>
        </w:rPr>
      </w:pPr>
    </w:p>
    <w:p w:rsidR="003E72FE" w:rsidRPr="003E72FE" w:rsidRDefault="003E72FE" w:rsidP="003E72FE">
      <w:pPr>
        <w:pStyle w:val="Clause"/>
        <w:rPr>
          <w:i/>
        </w:rPr>
      </w:pPr>
      <w:r w:rsidRPr="003E72FE">
        <w:rPr>
          <w:i/>
        </w:rPr>
        <w:t xml:space="preserve">substituting – </w:t>
      </w:r>
    </w:p>
    <w:p w:rsidR="003E72FE" w:rsidRPr="003E72FE" w:rsidRDefault="003E72FE" w:rsidP="003E72FE">
      <w:pPr>
        <w:pStyle w:val="Clause"/>
        <w:rPr>
          <w:i/>
        </w:rPr>
      </w:pPr>
    </w:p>
    <w:p w:rsidR="003E72FE" w:rsidRPr="003E72FE" w:rsidRDefault="003E72FE" w:rsidP="003E72FE">
      <w:pPr>
        <w:pStyle w:val="Subclause"/>
      </w:pPr>
      <w:r w:rsidRPr="003E72FE">
        <w:t>(1)</w:t>
      </w:r>
      <w:r w:rsidRPr="003E72FE">
        <w:tab/>
        <w:t xml:space="preserve">In this Standard – </w:t>
      </w:r>
    </w:p>
    <w:p w:rsidR="003E72FE" w:rsidRPr="003E72FE" w:rsidRDefault="003E72FE" w:rsidP="003E72FE">
      <w:pPr>
        <w:pStyle w:val="Subclause"/>
      </w:pPr>
    </w:p>
    <w:p w:rsidR="003E72FE" w:rsidRPr="003E72FE" w:rsidRDefault="003E72FE" w:rsidP="003E72FE">
      <w:pPr>
        <w:pStyle w:val="Clause"/>
        <w:rPr>
          <w:b/>
        </w:rPr>
      </w:pPr>
      <w:r w:rsidRPr="003E72FE">
        <w:t>[40.3]</w:t>
      </w:r>
      <w:r w:rsidRPr="003E72FE">
        <w:tab/>
      </w:r>
      <w:r w:rsidRPr="003E72FE">
        <w:rPr>
          <w:i/>
        </w:rPr>
        <w:t xml:space="preserve">omitting the definitions for </w:t>
      </w:r>
      <w:r w:rsidRPr="003E72FE">
        <w:rPr>
          <w:b/>
        </w:rPr>
        <w:t xml:space="preserve">fruit wine and/or vegetable wine </w:t>
      </w:r>
      <w:r w:rsidRPr="003E72FE">
        <w:rPr>
          <w:i/>
        </w:rPr>
        <w:t xml:space="preserve">and </w:t>
      </w:r>
      <w:r w:rsidRPr="003E72FE">
        <w:rPr>
          <w:b/>
        </w:rPr>
        <w:t>fruit wine and/or vegetable wine product</w:t>
      </w:r>
      <w:r w:rsidRPr="003E72FE">
        <w:rPr>
          <w:i/>
        </w:rPr>
        <w:t xml:space="preserve"> in clause 1</w:t>
      </w:r>
    </w:p>
    <w:p w:rsidR="003E72FE" w:rsidRPr="003E72FE" w:rsidRDefault="003E72FE" w:rsidP="003E72FE">
      <w:pPr>
        <w:rPr>
          <w:sz w:val="20"/>
          <w:szCs w:val="20"/>
        </w:rPr>
      </w:pPr>
    </w:p>
    <w:p w:rsidR="003E72FE" w:rsidRPr="003E72FE" w:rsidRDefault="003E72FE" w:rsidP="003E72FE">
      <w:pPr>
        <w:pStyle w:val="Clause"/>
        <w:rPr>
          <w:b/>
        </w:rPr>
      </w:pPr>
      <w:r w:rsidRPr="003E72FE">
        <w:t>[40.4]</w:t>
      </w:r>
      <w:r w:rsidRPr="003E72FE">
        <w:tab/>
      </w:r>
      <w:r w:rsidRPr="003E72FE">
        <w:rPr>
          <w:i/>
        </w:rPr>
        <w:t xml:space="preserve">inserting in clause 1, following the definition of </w:t>
      </w:r>
      <w:r w:rsidRPr="003E72FE">
        <w:rPr>
          <w:b/>
        </w:rPr>
        <w:t xml:space="preserve">perry – </w:t>
      </w:r>
    </w:p>
    <w:p w:rsidR="003E72FE" w:rsidRPr="003E72FE" w:rsidRDefault="003E72FE" w:rsidP="003E72FE">
      <w:pPr>
        <w:rPr>
          <w:sz w:val="20"/>
          <w:szCs w:val="20"/>
        </w:rPr>
      </w:pPr>
    </w:p>
    <w:p w:rsidR="003E72FE" w:rsidRPr="003E72FE" w:rsidRDefault="003E72FE" w:rsidP="003E72FE">
      <w:pPr>
        <w:pStyle w:val="Subclause"/>
      </w:pPr>
      <w:r w:rsidRPr="003E72FE">
        <w:t>(2)</w:t>
      </w:r>
      <w:r w:rsidRPr="003E72FE">
        <w:tab/>
        <w:t>Any reference to fruit wine or vegetable wine in the Code refers to a product prepared from the complete or partial fermentation of fruit, vegetable, grains, cereals or any combination or preparation of those foods, other than that produced solely from grapes.</w:t>
      </w:r>
    </w:p>
    <w:p w:rsidR="003E72FE" w:rsidRPr="003E72FE" w:rsidRDefault="003E72FE" w:rsidP="003E72FE">
      <w:pPr>
        <w:pStyle w:val="Subclause"/>
      </w:pPr>
    </w:p>
    <w:p w:rsidR="003E72FE" w:rsidRPr="003E72FE" w:rsidRDefault="003E72FE" w:rsidP="003E72FE">
      <w:pPr>
        <w:pStyle w:val="Subclause"/>
      </w:pPr>
      <w:r w:rsidRPr="003E72FE">
        <w:t>(3)</w:t>
      </w:r>
      <w:r w:rsidRPr="003E72FE">
        <w:tab/>
        <w:t>Any reference to fruit wine product or vegetable wine product in the Code refers to a food containing no less than 700 mL/L of fruit wine, or vegetable wine, or both fruit and vegetable wine, which has been formulated, processed, modified or mixed with other foods such that it is not a fruit wine or vegetable wine.</w:t>
      </w:r>
    </w:p>
    <w:p w:rsidR="003E72FE" w:rsidRPr="003E72FE" w:rsidRDefault="003E72FE" w:rsidP="003E72FE">
      <w:pPr>
        <w:rPr>
          <w:sz w:val="20"/>
          <w:szCs w:val="20"/>
        </w:rPr>
      </w:pPr>
    </w:p>
    <w:p w:rsidR="003E72FE" w:rsidRPr="003E72FE" w:rsidRDefault="003E72FE" w:rsidP="003E72FE">
      <w:pPr>
        <w:pStyle w:val="Subclause"/>
      </w:pPr>
      <w:r w:rsidRPr="003E72FE">
        <w:t>[40.5]</w:t>
      </w:r>
      <w:r w:rsidRPr="003E72FE">
        <w:tab/>
      </w:r>
      <w:r w:rsidRPr="003E72FE">
        <w:rPr>
          <w:i/>
        </w:rPr>
        <w:t>omitting clause 2, substituting</w:t>
      </w:r>
      <w:r w:rsidRPr="003E72FE">
        <w:t xml:space="preserve"> – </w:t>
      </w:r>
    </w:p>
    <w:p w:rsidR="003E72FE" w:rsidRPr="003E72FE" w:rsidRDefault="003E72FE" w:rsidP="003E72FE">
      <w:pPr>
        <w:rPr>
          <w:i/>
          <w:sz w:val="20"/>
          <w:szCs w:val="20"/>
        </w:rPr>
      </w:pPr>
    </w:p>
    <w:p w:rsidR="003E72FE" w:rsidRPr="003E72FE" w:rsidRDefault="003E72FE" w:rsidP="003E72FE">
      <w:pPr>
        <w:pStyle w:val="Clause"/>
        <w:rPr>
          <w:b/>
          <w:bCs/>
        </w:rPr>
      </w:pPr>
      <w:r w:rsidRPr="003E72FE">
        <w:rPr>
          <w:b/>
          <w:bCs/>
        </w:rPr>
        <w:t>2</w:t>
      </w:r>
      <w:r w:rsidRPr="003E72FE">
        <w:rPr>
          <w:b/>
          <w:bCs/>
        </w:rPr>
        <w:tab/>
        <w:t>Addition of other foods during production</w:t>
      </w:r>
    </w:p>
    <w:p w:rsidR="003E72FE" w:rsidRPr="003E72FE" w:rsidRDefault="003E72FE" w:rsidP="003E72FE">
      <w:pPr>
        <w:rPr>
          <w:sz w:val="20"/>
          <w:szCs w:val="20"/>
        </w:rPr>
      </w:pPr>
    </w:p>
    <w:p w:rsidR="003E72FE" w:rsidRPr="003E72FE" w:rsidRDefault="003E72FE" w:rsidP="003E72FE">
      <w:pPr>
        <w:pStyle w:val="Clause"/>
      </w:pPr>
      <w:r w:rsidRPr="003E72FE">
        <w:t xml:space="preserve">Fruit wine, vegetable wine and mead may contain – </w:t>
      </w:r>
    </w:p>
    <w:p w:rsidR="003E72FE" w:rsidRPr="003E72FE" w:rsidRDefault="003E72FE" w:rsidP="003E72FE">
      <w:pPr>
        <w:rPr>
          <w:sz w:val="20"/>
          <w:szCs w:val="20"/>
        </w:rPr>
      </w:pPr>
    </w:p>
    <w:p w:rsidR="003E72FE" w:rsidRDefault="003E72FE" w:rsidP="003E72FE">
      <w:pPr>
        <w:pStyle w:val="Paragraph"/>
      </w:pPr>
      <w:r w:rsidRPr="003E72FE">
        <w:t>(a)</w:t>
      </w:r>
      <w:r w:rsidRPr="003E72FE">
        <w:tab/>
        <w:t>fruit juice and fruit juice products; and</w:t>
      </w:r>
      <w:r>
        <w:br w:type="page"/>
      </w:r>
    </w:p>
    <w:p w:rsidR="003E72FE" w:rsidRPr="003E72FE" w:rsidRDefault="003E72FE" w:rsidP="003E72FE">
      <w:pPr>
        <w:pStyle w:val="Paragraph"/>
      </w:pPr>
      <w:r w:rsidRPr="003E72FE">
        <w:lastRenderedPageBreak/>
        <w:t>(b)</w:t>
      </w:r>
      <w:r w:rsidRPr="003E72FE">
        <w:tab/>
        <w:t>vegetable juice and vegetable juice products; and</w:t>
      </w:r>
    </w:p>
    <w:p w:rsidR="003E72FE" w:rsidRPr="003E72FE" w:rsidRDefault="003E72FE" w:rsidP="003E72FE">
      <w:pPr>
        <w:pStyle w:val="Paragraph"/>
      </w:pPr>
      <w:r w:rsidRPr="003E72FE">
        <w:t>(c)</w:t>
      </w:r>
      <w:r w:rsidRPr="003E72FE">
        <w:tab/>
        <w:t>sugars; and</w:t>
      </w:r>
    </w:p>
    <w:p w:rsidR="003E72FE" w:rsidRPr="003E72FE" w:rsidRDefault="003E72FE" w:rsidP="003E72FE">
      <w:pPr>
        <w:pStyle w:val="Paragraph"/>
      </w:pPr>
      <w:r w:rsidRPr="003E72FE">
        <w:t>(d)</w:t>
      </w:r>
      <w:r w:rsidRPr="003E72FE">
        <w:tab/>
        <w:t>honey; and</w:t>
      </w:r>
    </w:p>
    <w:p w:rsidR="003E72FE" w:rsidRPr="003E72FE" w:rsidRDefault="003E72FE" w:rsidP="003E72FE">
      <w:pPr>
        <w:pStyle w:val="Paragraph"/>
      </w:pPr>
      <w:r w:rsidRPr="003E72FE">
        <w:t>(e)</w:t>
      </w:r>
      <w:r w:rsidRPr="003E72FE">
        <w:tab/>
        <w:t>spices; and</w:t>
      </w:r>
    </w:p>
    <w:p w:rsidR="003E72FE" w:rsidRPr="003E72FE" w:rsidRDefault="003E72FE" w:rsidP="003E72FE">
      <w:pPr>
        <w:pStyle w:val="Paragraph"/>
      </w:pPr>
      <w:r w:rsidRPr="003E72FE">
        <w:t>(f)</w:t>
      </w:r>
      <w:r w:rsidRPr="003E72FE">
        <w:tab/>
        <w:t>alcohol; and</w:t>
      </w:r>
    </w:p>
    <w:p w:rsidR="003E72FE" w:rsidRDefault="003E72FE" w:rsidP="003E72FE">
      <w:pPr>
        <w:pStyle w:val="Paragraph"/>
      </w:pPr>
      <w:r w:rsidRPr="003E72FE">
        <w:t>(g)</w:t>
      </w:r>
      <w:r w:rsidRPr="003E72FE">
        <w:tab/>
        <w:t>water.</w:t>
      </w:r>
    </w:p>
    <w:p w:rsidR="003E72FE" w:rsidRDefault="003E72FE" w:rsidP="003E72FE">
      <w:pPr>
        <w:pStyle w:val="Paragraph"/>
      </w:pPr>
    </w:p>
    <w:p w:rsidR="003E72FE" w:rsidRDefault="003E72FE" w:rsidP="003E72FE">
      <w:pPr>
        <w:pStyle w:val="Clause"/>
      </w:pPr>
      <w:r>
        <w:t>[40.6]</w:t>
      </w:r>
      <w:r>
        <w:tab/>
      </w:r>
      <w:r>
        <w:rPr>
          <w:i/>
        </w:rPr>
        <w:t xml:space="preserve">updating the </w:t>
      </w:r>
      <w:r>
        <w:t xml:space="preserve">Table of Provisions </w:t>
      </w:r>
      <w:r>
        <w:rPr>
          <w:i/>
        </w:rPr>
        <w:t>to reflect these amendments</w:t>
      </w:r>
    </w:p>
    <w:p w:rsidR="003E72FE" w:rsidRPr="003E72FE" w:rsidRDefault="003E72FE" w:rsidP="003E72FE">
      <w:pPr>
        <w:rPr>
          <w:sz w:val="20"/>
          <w:szCs w:val="20"/>
        </w:rPr>
      </w:pPr>
    </w:p>
    <w:p w:rsidR="003E72FE" w:rsidRPr="003E72FE" w:rsidRDefault="003E72FE" w:rsidP="003E72FE">
      <w:pPr>
        <w:pStyle w:val="Clause"/>
        <w:rPr>
          <w:i/>
        </w:rPr>
      </w:pPr>
      <w:r w:rsidRPr="003E72FE">
        <w:rPr>
          <w:b/>
        </w:rPr>
        <w:t>[41]</w:t>
      </w:r>
      <w:r w:rsidRPr="003E72FE">
        <w:rPr>
          <w:b/>
        </w:rPr>
        <w:tab/>
      </w:r>
      <w:r w:rsidRPr="003E72FE">
        <w:rPr>
          <w:b/>
          <w:i/>
        </w:rPr>
        <w:t>Standard 2.7.4</w:t>
      </w:r>
      <w:r w:rsidRPr="003E72FE">
        <w:rPr>
          <w:b/>
        </w:rPr>
        <w:t xml:space="preserve"> </w:t>
      </w:r>
      <w:r w:rsidRPr="003E72FE">
        <w:rPr>
          <w:i/>
        </w:rPr>
        <w:t>of the Australia New Zealand Food Standards Code is varied by –</w:t>
      </w:r>
      <w:r w:rsidRPr="003E72FE">
        <w:rPr>
          <w:i/>
          <w:iCs/>
          <w:color w:val="FF0000"/>
        </w:rPr>
        <w:t xml:space="preserve"> </w:t>
      </w:r>
    </w:p>
    <w:p w:rsidR="003E72FE" w:rsidRPr="003E72FE" w:rsidRDefault="003E72FE" w:rsidP="003E72FE">
      <w:pPr>
        <w:pStyle w:val="Clause"/>
        <w:rPr>
          <w:i/>
        </w:rPr>
      </w:pPr>
    </w:p>
    <w:p w:rsidR="003E72FE" w:rsidRPr="003E72FE" w:rsidRDefault="003E72FE" w:rsidP="003E72FE">
      <w:pPr>
        <w:pStyle w:val="Clause"/>
      </w:pPr>
      <w:r w:rsidRPr="003E72FE">
        <w:t>[41.1]</w:t>
      </w:r>
      <w:r w:rsidRPr="003E72FE">
        <w:tab/>
      </w:r>
      <w:r w:rsidRPr="003E72FE">
        <w:rPr>
          <w:i/>
        </w:rPr>
        <w:t>omitting the</w:t>
      </w:r>
      <w:r w:rsidRPr="003E72FE">
        <w:t xml:space="preserve"> Purpose, </w:t>
      </w:r>
      <w:r w:rsidRPr="003E72FE">
        <w:rPr>
          <w:i/>
        </w:rPr>
        <w:t>substituting</w:t>
      </w:r>
      <w:r w:rsidRPr="003E72FE">
        <w:t xml:space="preserve"> – </w:t>
      </w:r>
    </w:p>
    <w:p w:rsidR="003E72FE" w:rsidRPr="003E72FE" w:rsidRDefault="003E72FE" w:rsidP="003E72FE">
      <w:pPr>
        <w:rPr>
          <w:sz w:val="20"/>
          <w:szCs w:val="20"/>
        </w:rPr>
      </w:pPr>
    </w:p>
    <w:p w:rsidR="003E72FE" w:rsidRPr="003E72FE" w:rsidRDefault="003E72FE" w:rsidP="003E72FE">
      <w:pPr>
        <w:pStyle w:val="ClauseHeading0"/>
      </w:pPr>
      <w:r w:rsidRPr="003E72FE">
        <w:t>Purpose</w:t>
      </w:r>
    </w:p>
    <w:p w:rsidR="003E72FE" w:rsidRPr="003E72FE" w:rsidRDefault="003E72FE" w:rsidP="003E72FE">
      <w:pPr>
        <w:rPr>
          <w:sz w:val="20"/>
          <w:szCs w:val="20"/>
        </w:rPr>
      </w:pPr>
    </w:p>
    <w:p w:rsidR="003E72FE" w:rsidRPr="003E72FE" w:rsidRDefault="003E72FE" w:rsidP="003E72FE">
      <w:pPr>
        <w:pStyle w:val="Clause"/>
      </w:pPr>
      <w:r w:rsidRPr="003E72FE">
        <w:t>This Standard sets general definitions for wine and wine product and provides permissions for the addition of certain foods during the production of wine.</w:t>
      </w:r>
    </w:p>
    <w:p w:rsidR="003E72FE" w:rsidRPr="003E72FE" w:rsidRDefault="003E72FE" w:rsidP="003E72FE">
      <w:pPr>
        <w:rPr>
          <w:sz w:val="20"/>
          <w:szCs w:val="20"/>
        </w:rPr>
      </w:pPr>
    </w:p>
    <w:p w:rsidR="003E72FE" w:rsidRPr="003E72FE" w:rsidRDefault="003E72FE" w:rsidP="003E72FE">
      <w:pPr>
        <w:pStyle w:val="Clause"/>
      </w:pPr>
      <w:r w:rsidRPr="003E72FE">
        <w:t>[41.2]</w:t>
      </w:r>
      <w:r w:rsidRPr="003E72FE">
        <w:tab/>
      </w:r>
      <w:r w:rsidRPr="003E72FE">
        <w:rPr>
          <w:i/>
        </w:rPr>
        <w:t xml:space="preserve">omitting the </w:t>
      </w:r>
      <w:r w:rsidRPr="003E72FE">
        <w:t xml:space="preserve">Editorial note </w:t>
      </w:r>
      <w:r w:rsidRPr="003E72FE">
        <w:rPr>
          <w:i/>
        </w:rPr>
        <w:t xml:space="preserve">preceding the </w:t>
      </w:r>
      <w:r w:rsidRPr="003E72FE">
        <w:t>Table of Provisions</w:t>
      </w:r>
      <w:r w:rsidRPr="003E72FE">
        <w:rPr>
          <w:i/>
        </w:rPr>
        <w:t xml:space="preserve">, substituting </w:t>
      </w:r>
      <w:r w:rsidRPr="003E72FE">
        <w:t xml:space="preserve">– </w:t>
      </w:r>
    </w:p>
    <w:p w:rsidR="003E72FE" w:rsidRPr="003E72FE" w:rsidRDefault="003E72FE" w:rsidP="003E72FE">
      <w:pPr>
        <w:rPr>
          <w:rFonts w:cs="Arial"/>
          <w:sz w:val="20"/>
          <w:szCs w:val="20"/>
        </w:rPr>
      </w:pPr>
    </w:p>
    <w:p w:rsidR="003E72FE" w:rsidRPr="003E72FE" w:rsidRDefault="003E72FE" w:rsidP="003E72FE">
      <w:pPr>
        <w:pStyle w:val="EditorialNoteLine1"/>
        <w:rPr>
          <w:rFonts w:cs="Arial"/>
        </w:rPr>
      </w:pPr>
      <w:r w:rsidRPr="003E72FE">
        <w:rPr>
          <w:rFonts w:cs="Arial"/>
        </w:rPr>
        <w:t xml:space="preserve">Editorial note: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 xml:space="preserve">The </w:t>
      </w:r>
      <w:r w:rsidRPr="003E72FE">
        <w:rPr>
          <w:rFonts w:cs="Arial"/>
          <w:i/>
        </w:rPr>
        <w:t>Australian Wine and Brandy Corporation Act 1980</w:t>
      </w:r>
      <w:r w:rsidRPr="003E72FE">
        <w:rPr>
          <w:rFonts w:cs="Arial"/>
        </w:rPr>
        <w:t xml:space="preserve"> and the Regulations made under that Act should be consulted.  The Act and the Regulations contain provisions which, for example, regulate – </w:t>
      </w:r>
    </w:p>
    <w:p w:rsidR="003E72FE" w:rsidRPr="003E72FE" w:rsidRDefault="003E72FE" w:rsidP="003E72FE">
      <w:pPr>
        <w:pStyle w:val="EditorialNotetext"/>
        <w:rPr>
          <w:rFonts w:cs="Arial"/>
        </w:rPr>
      </w:pPr>
    </w:p>
    <w:p w:rsidR="003E72FE" w:rsidRPr="003E72FE" w:rsidRDefault="003E72FE" w:rsidP="003E72FE">
      <w:pPr>
        <w:pStyle w:val="EditorialNotetext"/>
        <w:ind w:left="567" w:hanging="567"/>
        <w:rPr>
          <w:rFonts w:cs="Arial"/>
        </w:rPr>
      </w:pPr>
      <w:r w:rsidRPr="003E72FE">
        <w:rPr>
          <w:rFonts w:cs="Arial"/>
        </w:rPr>
        <w:t>(a)</w:t>
      </w:r>
      <w:r w:rsidRPr="003E72FE">
        <w:rPr>
          <w:rFonts w:cs="Arial"/>
        </w:rPr>
        <w:tab/>
        <w:t>the use of geographical indications for wine, sparkling wine and fortified wine;</w:t>
      </w:r>
    </w:p>
    <w:p w:rsidR="003E72FE" w:rsidRPr="003E72FE" w:rsidRDefault="003E72FE" w:rsidP="003E72FE">
      <w:pPr>
        <w:pStyle w:val="EditorialNotetext"/>
        <w:ind w:left="567" w:hanging="567"/>
        <w:rPr>
          <w:rFonts w:cs="Arial"/>
        </w:rPr>
      </w:pPr>
      <w:r w:rsidRPr="003E72FE">
        <w:rPr>
          <w:rFonts w:cs="Arial"/>
        </w:rPr>
        <w:t>(b)</w:t>
      </w:r>
      <w:r w:rsidRPr="003E72FE">
        <w:rPr>
          <w:rFonts w:cs="Arial"/>
        </w:rPr>
        <w:tab/>
        <w:t>limited derogations from the requirements in this Standard for wine, sparkling wine and fortified wine for export;</w:t>
      </w:r>
    </w:p>
    <w:p w:rsidR="003E72FE" w:rsidRPr="003E72FE" w:rsidRDefault="003E72FE" w:rsidP="003E72FE">
      <w:pPr>
        <w:pStyle w:val="EditorialNotetext"/>
        <w:ind w:left="567" w:hanging="567"/>
        <w:rPr>
          <w:rFonts w:cs="Arial"/>
        </w:rPr>
      </w:pPr>
      <w:r w:rsidRPr="003E72FE">
        <w:rPr>
          <w:rFonts w:cs="Arial"/>
        </w:rPr>
        <w:t>(c)</w:t>
      </w:r>
      <w:r w:rsidRPr="003E72FE">
        <w:rPr>
          <w:rFonts w:cs="Arial"/>
        </w:rPr>
        <w:tab/>
        <w:t>blending rules for wine, sparkling wine and fortified wine; and</w:t>
      </w:r>
    </w:p>
    <w:p w:rsidR="003E72FE" w:rsidRPr="003E72FE" w:rsidRDefault="003E72FE" w:rsidP="003E72FE">
      <w:pPr>
        <w:pStyle w:val="EditorialNotetext"/>
        <w:ind w:left="567" w:hanging="567"/>
        <w:rPr>
          <w:rFonts w:cs="Arial"/>
        </w:rPr>
      </w:pPr>
      <w:r w:rsidRPr="003E72FE">
        <w:rPr>
          <w:rFonts w:cs="Arial"/>
        </w:rPr>
        <w:t>(d)</w:t>
      </w:r>
      <w:r w:rsidRPr="003E72FE">
        <w:rPr>
          <w:rFonts w:cs="Arial"/>
        </w:rPr>
        <w:tab/>
        <w:t>the compositional and other requirements for wine, sparkling wine and fortified wine imported into Australia from countries with which Australia has a wine trading agreement prescribed by the Act.</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 xml:space="preserve">For wines produced in New Zealand, the </w:t>
      </w:r>
      <w:r w:rsidRPr="003E72FE">
        <w:rPr>
          <w:rFonts w:cs="Arial"/>
          <w:i/>
        </w:rPr>
        <w:t>Wine Act 2003</w:t>
      </w:r>
      <w:r w:rsidRPr="003E72FE">
        <w:rPr>
          <w:rFonts w:cs="Arial"/>
        </w:rPr>
        <w:t xml:space="preserve">, and the Regulations, Specifications and Notices made under that Act, should also be consulted.  These contain provisions that regulate the making, supply and export of wine in New Zealand.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 xml:space="preserve">The New Zealand </w:t>
      </w:r>
      <w:r w:rsidRPr="003E72FE">
        <w:rPr>
          <w:rFonts w:cs="Arial"/>
          <w:i/>
        </w:rPr>
        <w:t xml:space="preserve">Geographical Indications (Wines and Spirits) Registration Act 2006 </w:t>
      </w:r>
      <w:r w:rsidRPr="003E72FE">
        <w:rPr>
          <w:rFonts w:cs="Arial"/>
        </w:rPr>
        <w:t>applies to geographical indications in relation to wine.  The Act will commence on a date to be proclaimed by the Governor-General of New Zealand.</w:t>
      </w:r>
    </w:p>
    <w:p w:rsidR="003E72FE" w:rsidRPr="003E72FE" w:rsidRDefault="003E72FE" w:rsidP="003E72FE">
      <w:pPr>
        <w:rPr>
          <w:sz w:val="20"/>
          <w:szCs w:val="20"/>
        </w:rPr>
      </w:pPr>
    </w:p>
    <w:p w:rsidR="003E72FE" w:rsidRPr="003E72FE" w:rsidRDefault="003E72FE" w:rsidP="003E72FE">
      <w:pPr>
        <w:pStyle w:val="Clause"/>
      </w:pPr>
      <w:r w:rsidRPr="003E72FE">
        <w:t>[41.3]</w:t>
      </w:r>
      <w:r w:rsidRPr="003E72FE">
        <w:tab/>
      </w:r>
      <w:r w:rsidRPr="003E72FE">
        <w:rPr>
          <w:i/>
        </w:rPr>
        <w:t>omitting clause 2, substituting</w:t>
      </w:r>
      <w:r w:rsidRPr="003E72FE">
        <w:t xml:space="preserve"> – </w:t>
      </w:r>
    </w:p>
    <w:p w:rsidR="003E72FE" w:rsidRPr="003E72FE" w:rsidRDefault="003E72FE" w:rsidP="003E72FE">
      <w:pPr>
        <w:rPr>
          <w:i/>
          <w:sz w:val="20"/>
          <w:szCs w:val="20"/>
        </w:rPr>
      </w:pPr>
    </w:p>
    <w:p w:rsidR="003E72FE" w:rsidRPr="003E72FE" w:rsidRDefault="003E72FE" w:rsidP="003E72FE">
      <w:pPr>
        <w:pStyle w:val="Clause"/>
        <w:rPr>
          <w:b/>
        </w:rPr>
      </w:pPr>
      <w:r w:rsidRPr="003E72FE">
        <w:rPr>
          <w:b/>
        </w:rPr>
        <w:t>2</w:t>
      </w:r>
      <w:r w:rsidRPr="003E72FE">
        <w:rPr>
          <w:b/>
        </w:rPr>
        <w:tab/>
        <w:t>Addition of other foods to wine during production</w:t>
      </w:r>
    </w:p>
    <w:p w:rsidR="003E72FE" w:rsidRPr="003E72FE" w:rsidRDefault="003E72FE" w:rsidP="003E72FE">
      <w:pPr>
        <w:rPr>
          <w:sz w:val="20"/>
          <w:szCs w:val="20"/>
        </w:rPr>
      </w:pPr>
    </w:p>
    <w:p w:rsidR="003E72FE" w:rsidRPr="003E72FE" w:rsidRDefault="003E72FE" w:rsidP="003E72FE">
      <w:pPr>
        <w:pStyle w:val="Clause"/>
      </w:pPr>
      <w:r w:rsidRPr="003E72FE">
        <w:t xml:space="preserve">The following foods may be added to wine during production – </w:t>
      </w:r>
    </w:p>
    <w:p w:rsidR="003E72FE" w:rsidRPr="003E72FE" w:rsidRDefault="003E72FE" w:rsidP="003E72FE">
      <w:pPr>
        <w:rPr>
          <w:sz w:val="20"/>
          <w:szCs w:val="20"/>
        </w:rPr>
      </w:pPr>
    </w:p>
    <w:p w:rsidR="003E72FE" w:rsidRPr="003E72FE" w:rsidRDefault="003E72FE" w:rsidP="003E72FE">
      <w:pPr>
        <w:pStyle w:val="Paragraph"/>
      </w:pPr>
      <w:r w:rsidRPr="003E72FE">
        <w:t>(a)</w:t>
      </w:r>
      <w:r w:rsidRPr="003E72FE">
        <w:tab/>
        <w:t>grape juice and grape juice products; and</w:t>
      </w:r>
    </w:p>
    <w:p w:rsidR="003E72FE" w:rsidRPr="003E72FE" w:rsidRDefault="003E72FE" w:rsidP="003E72FE">
      <w:pPr>
        <w:pStyle w:val="Paragraph"/>
      </w:pPr>
      <w:r w:rsidRPr="003E72FE">
        <w:t>(b)</w:t>
      </w:r>
      <w:r w:rsidRPr="003E72FE">
        <w:tab/>
        <w:t>sugars; and</w:t>
      </w:r>
    </w:p>
    <w:p w:rsidR="003E72FE" w:rsidRPr="003E72FE" w:rsidRDefault="003E72FE" w:rsidP="003E72FE">
      <w:pPr>
        <w:pStyle w:val="Paragraph"/>
      </w:pPr>
      <w:r w:rsidRPr="003E72FE">
        <w:t>(c)</w:t>
      </w:r>
      <w:r w:rsidRPr="003E72FE">
        <w:tab/>
        <w:t>brandy or other spirit; and</w:t>
      </w:r>
    </w:p>
    <w:p w:rsidR="003E72FE" w:rsidRPr="003E72FE" w:rsidRDefault="003E72FE" w:rsidP="003E72FE">
      <w:pPr>
        <w:pStyle w:val="Paragraph"/>
      </w:pPr>
      <w:r w:rsidRPr="003E72FE">
        <w:t>(d)</w:t>
      </w:r>
      <w:r w:rsidRPr="003E72FE">
        <w:tab/>
        <w:t>water, where the water is necessary to incorporate any permitted food additive or processing aid.</w:t>
      </w:r>
    </w:p>
    <w:p w:rsidR="003E72FE" w:rsidRPr="003E72FE" w:rsidRDefault="003E72FE" w:rsidP="003E72FE">
      <w:pPr>
        <w:pStyle w:val="Clause"/>
        <w:rPr>
          <w:b/>
        </w:rPr>
      </w:pPr>
    </w:p>
    <w:p w:rsidR="003E72FE" w:rsidRPr="003E72FE" w:rsidRDefault="003E72FE" w:rsidP="003E72FE">
      <w:pPr>
        <w:pStyle w:val="Clause"/>
        <w:rPr>
          <w:i/>
        </w:rPr>
      </w:pPr>
      <w:r w:rsidRPr="003E72FE">
        <w:rPr>
          <w:b/>
        </w:rPr>
        <w:t>[42]</w:t>
      </w:r>
      <w:r w:rsidRPr="003E72FE">
        <w:rPr>
          <w:b/>
        </w:rPr>
        <w:tab/>
      </w:r>
      <w:r w:rsidRPr="003E72FE">
        <w:rPr>
          <w:b/>
          <w:i/>
        </w:rPr>
        <w:t xml:space="preserve">Standard 2.7.5 </w:t>
      </w:r>
      <w:r w:rsidRPr="003E72FE">
        <w:rPr>
          <w:i/>
        </w:rPr>
        <w:t>of the Australia New Zealand Food Standards Code is varied by –</w:t>
      </w:r>
    </w:p>
    <w:p w:rsidR="003E72FE" w:rsidRPr="003E72FE" w:rsidRDefault="003E72FE" w:rsidP="003E72FE">
      <w:pPr>
        <w:pStyle w:val="Clause"/>
        <w:rPr>
          <w:i/>
        </w:rPr>
      </w:pPr>
    </w:p>
    <w:p w:rsidR="003E72FE" w:rsidRPr="003E72FE" w:rsidRDefault="003E72FE" w:rsidP="003E72FE">
      <w:pPr>
        <w:pStyle w:val="Clause"/>
        <w:rPr>
          <w:i/>
          <w:iCs/>
        </w:rPr>
      </w:pPr>
      <w:r w:rsidRPr="003E72FE">
        <w:t>[42.1]</w:t>
      </w:r>
      <w:r w:rsidRPr="003E72FE">
        <w:tab/>
      </w:r>
      <w:r w:rsidRPr="003E72FE">
        <w:rPr>
          <w:i/>
          <w:iCs/>
        </w:rPr>
        <w:t xml:space="preserve">omitting clauses 2 and 3, substituting – </w:t>
      </w:r>
    </w:p>
    <w:p w:rsidR="003E72FE" w:rsidRPr="003E72FE" w:rsidRDefault="003E72FE" w:rsidP="003E72FE">
      <w:pPr>
        <w:rPr>
          <w:i/>
          <w:sz w:val="20"/>
          <w:szCs w:val="20"/>
        </w:rPr>
      </w:pPr>
    </w:p>
    <w:p w:rsidR="003E72FE" w:rsidRPr="003E72FE" w:rsidRDefault="003E72FE" w:rsidP="003E72FE">
      <w:pPr>
        <w:pStyle w:val="Clause"/>
        <w:rPr>
          <w:b/>
          <w:bCs/>
        </w:rPr>
      </w:pPr>
      <w:r w:rsidRPr="003E72FE">
        <w:rPr>
          <w:b/>
          <w:bCs/>
        </w:rPr>
        <w:t>2</w:t>
      </w:r>
      <w:r w:rsidRPr="003E72FE">
        <w:rPr>
          <w:b/>
          <w:bCs/>
        </w:rPr>
        <w:tab/>
        <w:t>Addition of other foods to spirit during production</w:t>
      </w:r>
    </w:p>
    <w:p w:rsidR="003E72FE" w:rsidRPr="003E72FE" w:rsidRDefault="003E72FE" w:rsidP="003E72FE">
      <w:pPr>
        <w:pStyle w:val="Clause"/>
      </w:pPr>
    </w:p>
    <w:p w:rsidR="003E72FE" w:rsidRDefault="003E72FE" w:rsidP="003E72FE">
      <w:pPr>
        <w:pStyle w:val="Clause"/>
      </w:pPr>
      <w:r w:rsidRPr="003E72FE">
        <w:t xml:space="preserve">Spirit may contain – </w:t>
      </w:r>
      <w:r>
        <w:br w:type="page"/>
      </w:r>
    </w:p>
    <w:p w:rsidR="003E72FE" w:rsidRPr="003E72FE" w:rsidRDefault="003E72FE" w:rsidP="003E72FE">
      <w:pPr>
        <w:pStyle w:val="Paragraph"/>
      </w:pPr>
      <w:r w:rsidRPr="003E72FE">
        <w:lastRenderedPageBreak/>
        <w:t>(a)</w:t>
      </w:r>
      <w:r w:rsidRPr="003E72FE">
        <w:tab/>
        <w:t>water; and</w:t>
      </w:r>
    </w:p>
    <w:p w:rsidR="003E72FE" w:rsidRPr="003E72FE" w:rsidRDefault="003E72FE" w:rsidP="003E72FE">
      <w:pPr>
        <w:pStyle w:val="Paragraph"/>
      </w:pPr>
      <w:r w:rsidRPr="003E72FE">
        <w:t>(b)</w:t>
      </w:r>
      <w:r w:rsidRPr="003E72FE">
        <w:tab/>
        <w:t>sugars; and</w:t>
      </w:r>
    </w:p>
    <w:p w:rsidR="003E72FE" w:rsidRPr="003E72FE" w:rsidRDefault="003E72FE" w:rsidP="003E72FE">
      <w:pPr>
        <w:pStyle w:val="Paragraph"/>
      </w:pPr>
      <w:r w:rsidRPr="003E72FE">
        <w:t>(c)</w:t>
      </w:r>
      <w:r w:rsidRPr="003E72FE">
        <w:tab/>
        <w:t>honey; and</w:t>
      </w:r>
    </w:p>
    <w:p w:rsidR="003E72FE" w:rsidRPr="003E72FE" w:rsidRDefault="003E72FE" w:rsidP="003E72FE">
      <w:pPr>
        <w:pStyle w:val="Paragraph"/>
      </w:pPr>
      <w:r w:rsidRPr="003E72FE">
        <w:t>(d)</w:t>
      </w:r>
      <w:r w:rsidRPr="003E72FE">
        <w:tab/>
        <w:t>spices.</w:t>
      </w:r>
    </w:p>
    <w:p w:rsidR="003E72FE" w:rsidRPr="003E72FE" w:rsidRDefault="003E72FE" w:rsidP="003E72FE">
      <w:pPr>
        <w:rPr>
          <w:sz w:val="20"/>
          <w:szCs w:val="20"/>
        </w:rPr>
      </w:pPr>
    </w:p>
    <w:p w:rsidR="003E72FE" w:rsidRPr="003E72FE" w:rsidRDefault="003E72FE" w:rsidP="003E72FE">
      <w:pPr>
        <w:pStyle w:val="Clause"/>
        <w:rPr>
          <w:b/>
        </w:rPr>
      </w:pPr>
      <w:r w:rsidRPr="003E72FE">
        <w:rPr>
          <w:b/>
        </w:rPr>
        <w:t>3</w:t>
      </w:r>
      <w:r w:rsidRPr="003E72FE">
        <w:rPr>
          <w:b/>
        </w:rPr>
        <w:tab/>
        <w:t>Addition of other foods to brandy during production</w:t>
      </w:r>
    </w:p>
    <w:p w:rsidR="003E72FE" w:rsidRPr="003E72FE" w:rsidRDefault="003E72FE" w:rsidP="003E72FE">
      <w:pPr>
        <w:rPr>
          <w:sz w:val="20"/>
          <w:szCs w:val="20"/>
        </w:rPr>
      </w:pPr>
    </w:p>
    <w:p w:rsidR="003E72FE" w:rsidRPr="003E72FE" w:rsidRDefault="003E72FE" w:rsidP="003E72FE">
      <w:pPr>
        <w:pStyle w:val="Clause"/>
      </w:pPr>
      <w:r w:rsidRPr="003E72FE">
        <w:t xml:space="preserve">Brandy may contain – </w:t>
      </w:r>
    </w:p>
    <w:p w:rsidR="003E72FE" w:rsidRPr="003E72FE" w:rsidRDefault="003E72FE" w:rsidP="003E72FE">
      <w:pPr>
        <w:rPr>
          <w:sz w:val="20"/>
          <w:szCs w:val="20"/>
        </w:rPr>
      </w:pPr>
    </w:p>
    <w:p w:rsidR="003E72FE" w:rsidRPr="003E72FE" w:rsidRDefault="003E72FE" w:rsidP="003E72FE">
      <w:pPr>
        <w:pStyle w:val="Paragraph"/>
      </w:pPr>
      <w:r w:rsidRPr="003E72FE">
        <w:t>(a)</w:t>
      </w:r>
      <w:r w:rsidRPr="003E72FE">
        <w:tab/>
        <w:t>water; and</w:t>
      </w:r>
    </w:p>
    <w:p w:rsidR="003E72FE" w:rsidRPr="003E72FE" w:rsidRDefault="003E72FE" w:rsidP="003E72FE">
      <w:pPr>
        <w:pStyle w:val="Paragraph"/>
      </w:pPr>
      <w:r w:rsidRPr="003E72FE">
        <w:t>(b)</w:t>
      </w:r>
      <w:r w:rsidRPr="003E72FE">
        <w:tab/>
        <w:t>sugars; and</w:t>
      </w:r>
    </w:p>
    <w:p w:rsidR="003E72FE" w:rsidRPr="003E72FE" w:rsidRDefault="003E72FE" w:rsidP="003E72FE">
      <w:pPr>
        <w:pStyle w:val="Paragraph"/>
      </w:pPr>
      <w:r w:rsidRPr="003E72FE">
        <w:t>(c)</w:t>
      </w:r>
      <w:r w:rsidRPr="003E72FE">
        <w:tab/>
        <w:t>honey; and</w:t>
      </w:r>
    </w:p>
    <w:p w:rsidR="003E72FE" w:rsidRPr="003E72FE" w:rsidRDefault="003E72FE" w:rsidP="003E72FE">
      <w:pPr>
        <w:pStyle w:val="Paragraph"/>
      </w:pPr>
      <w:r w:rsidRPr="003E72FE">
        <w:t>(d)</w:t>
      </w:r>
      <w:r w:rsidRPr="003E72FE">
        <w:tab/>
        <w:t>spices; and</w:t>
      </w:r>
    </w:p>
    <w:p w:rsidR="003E72FE" w:rsidRPr="003E72FE" w:rsidRDefault="003E72FE" w:rsidP="003E72FE">
      <w:pPr>
        <w:pStyle w:val="Paragraph"/>
      </w:pPr>
      <w:r w:rsidRPr="003E72FE">
        <w:t>(e)</w:t>
      </w:r>
      <w:r w:rsidRPr="003E72FE">
        <w:tab/>
        <w:t>grape juice; and</w:t>
      </w:r>
    </w:p>
    <w:p w:rsidR="003E72FE" w:rsidRPr="003E72FE" w:rsidRDefault="003E72FE" w:rsidP="003E72FE">
      <w:pPr>
        <w:pStyle w:val="Paragraph"/>
      </w:pPr>
      <w:r w:rsidRPr="003E72FE">
        <w:t>(f)</w:t>
      </w:r>
      <w:r w:rsidRPr="003E72FE">
        <w:tab/>
        <w:t>grape juice concentrates; and</w:t>
      </w:r>
    </w:p>
    <w:p w:rsidR="003E72FE" w:rsidRPr="003E72FE" w:rsidRDefault="003E72FE" w:rsidP="003E72FE">
      <w:pPr>
        <w:pStyle w:val="Paragraph"/>
      </w:pPr>
      <w:r w:rsidRPr="003E72FE">
        <w:t>(g)</w:t>
      </w:r>
      <w:r w:rsidRPr="003E72FE">
        <w:tab/>
        <w:t>wine; and</w:t>
      </w:r>
    </w:p>
    <w:p w:rsidR="003E72FE" w:rsidRPr="003E72FE" w:rsidRDefault="003E72FE" w:rsidP="003E72FE">
      <w:pPr>
        <w:pStyle w:val="Paragraph"/>
      </w:pPr>
      <w:r w:rsidRPr="003E72FE">
        <w:t>(h)</w:t>
      </w:r>
      <w:r w:rsidRPr="003E72FE">
        <w:tab/>
        <w:t>prune juice.</w:t>
      </w:r>
    </w:p>
    <w:p w:rsidR="003E72FE" w:rsidRPr="003E72FE" w:rsidRDefault="003E72FE" w:rsidP="003E72FE">
      <w:pPr>
        <w:rPr>
          <w:sz w:val="20"/>
          <w:szCs w:val="20"/>
        </w:rPr>
      </w:pPr>
    </w:p>
    <w:p w:rsidR="003E72FE" w:rsidRPr="003E72FE" w:rsidRDefault="003E72FE" w:rsidP="003E72FE">
      <w:pPr>
        <w:pStyle w:val="Clause"/>
      </w:pPr>
      <w:r w:rsidRPr="003E72FE">
        <w:t>[42.2]</w:t>
      </w:r>
      <w:r w:rsidRPr="003E72FE">
        <w:tab/>
      </w:r>
      <w:r w:rsidRPr="003E72FE">
        <w:rPr>
          <w:i/>
        </w:rPr>
        <w:t xml:space="preserve">updating the </w:t>
      </w:r>
      <w:r w:rsidRPr="003E72FE">
        <w:t xml:space="preserve">Table of Provisions </w:t>
      </w:r>
      <w:r w:rsidRPr="003E72FE">
        <w:rPr>
          <w:i/>
        </w:rPr>
        <w:t>to reflect these amendments</w:t>
      </w:r>
    </w:p>
    <w:p w:rsidR="003E72FE" w:rsidRPr="003E72FE" w:rsidRDefault="003E72FE" w:rsidP="003E72FE">
      <w:pPr>
        <w:rPr>
          <w:sz w:val="20"/>
          <w:szCs w:val="20"/>
        </w:rPr>
      </w:pPr>
    </w:p>
    <w:p w:rsidR="003E72FE" w:rsidRPr="003E72FE" w:rsidRDefault="003E72FE" w:rsidP="003E72FE">
      <w:pPr>
        <w:pStyle w:val="Clause"/>
      </w:pPr>
      <w:r w:rsidRPr="003E72FE">
        <w:rPr>
          <w:b/>
        </w:rPr>
        <w:t>[43]</w:t>
      </w:r>
      <w:r w:rsidRPr="003E72FE">
        <w:rPr>
          <w:b/>
        </w:rPr>
        <w:tab/>
      </w:r>
      <w:r w:rsidRPr="003E72FE">
        <w:rPr>
          <w:b/>
          <w:i/>
        </w:rPr>
        <w:t xml:space="preserve">Standard 2.8.1 </w:t>
      </w:r>
      <w:r w:rsidRPr="003E72FE">
        <w:rPr>
          <w:i/>
        </w:rPr>
        <w:t>of the Australia New Zealand Food Standards Code is varied by omitting the second paragraph of the</w:t>
      </w:r>
      <w:r w:rsidRPr="003E72FE">
        <w:t xml:space="preserve"> Purpose, </w:t>
      </w:r>
      <w:r w:rsidRPr="003E72FE">
        <w:rPr>
          <w:i/>
        </w:rPr>
        <w:t xml:space="preserve">substituting </w:t>
      </w:r>
      <w:r w:rsidRPr="003E72FE">
        <w:t xml:space="preserve">– </w:t>
      </w:r>
    </w:p>
    <w:p w:rsidR="003E72FE" w:rsidRPr="003E72FE" w:rsidRDefault="003E72FE" w:rsidP="003E72FE">
      <w:pPr>
        <w:rPr>
          <w:sz w:val="20"/>
          <w:szCs w:val="20"/>
        </w:rPr>
      </w:pPr>
    </w:p>
    <w:p w:rsidR="003E72FE" w:rsidRPr="003E72FE" w:rsidRDefault="003E72FE" w:rsidP="003E72FE">
      <w:pPr>
        <w:pStyle w:val="Clause"/>
      </w:pPr>
      <w:r w:rsidRPr="003E72FE">
        <w:t>Honey is standardised in Standard 2.8.2 and is not covered by this Standard.  Standard 1.3.1 regulates intense sweeteners.</w:t>
      </w:r>
    </w:p>
    <w:p w:rsidR="003E72FE" w:rsidRPr="003E72FE" w:rsidRDefault="003E72FE" w:rsidP="003E72FE">
      <w:pPr>
        <w:rPr>
          <w:sz w:val="20"/>
          <w:szCs w:val="20"/>
        </w:rPr>
      </w:pPr>
    </w:p>
    <w:p w:rsidR="003E72FE" w:rsidRPr="003E72FE" w:rsidRDefault="003E72FE" w:rsidP="003E72FE">
      <w:pPr>
        <w:pStyle w:val="Clause"/>
        <w:ind w:left="851" w:hanging="851"/>
        <w:rPr>
          <w:i/>
          <w:iCs/>
        </w:rPr>
      </w:pPr>
      <w:r w:rsidRPr="003E72FE">
        <w:rPr>
          <w:b/>
          <w:bCs/>
        </w:rPr>
        <w:t>[44]</w:t>
      </w:r>
      <w:r w:rsidRPr="003E72FE">
        <w:tab/>
      </w:r>
      <w:r w:rsidRPr="003E72FE">
        <w:rPr>
          <w:b/>
          <w:bCs/>
          <w:i/>
          <w:iCs/>
        </w:rPr>
        <w:t>Standard 2.9.1</w:t>
      </w:r>
      <w:r w:rsidRPr="003E72FE">
        <w:rPr>
          <w:i/>
          <w:iCs/>
        </w:rPr>
        <w:t xml:space="preserve"> of the Australia New Zealand Food Standards Code is varied by –</w:t>
      </w:r>
    </w:p>
    <w:p w:rsidR="003E72FE" w:rsidRPr="003E72FE" w:rsidRDefault="003E72FE" w:rsidP="003E72FE">
      <w:pPr>
        <w:pStyle w:val="Clause"/>
      </w:pPr>
    </w:p>
    <w:p w:rsidR="003E72FE" w:rsidRPr="003E72FE" w:rsidRDefault="003E72FE" w:rsidP="003E72FE">
      <w:pPr>
        <w:pStyle w:val="Clause"/>
        <w:rPr>
          <w:i/>
        </w:rPr>
      </w:pPr>
      <w:r w:rsidRPr="003E72FE">
        <w:t>[44.1]</w:t>
      </w:r>
      <w:r w:rsidRPr="003E72FE">
        <w:tab/>
      </w:r>
      <w:r w:rsidRPr="003E72FE">
        <w:rPr>
          <w:i/>
        </w:rPr>
        <w:t xml:space="preserve">omitting the definition of </w:t>
      </w:r>
      <w:r w:rsidRPr="003E72FE">
        <w:rPr>
          <w:b/>
        </w:rPr>
        <w:t xml:space="preserve">protein substitute </w:t>
      </w:r>
      <w:r w:rsidRPr="003E72FE">
        <w:rPr>
          <w:i/>
        </w:rPr>
        <w:t xml:space="preserve">in clause 1, substituting – </w:t>
      </w:r>
    </w:p>
    <w:p w:rsidR="003E72FE" w:rsidRPr="003E72FE" w:rsidRDefault="003E72FE" w:rsidP="003E72FE">
      <w:pPr>
        <w:pStyle w:val="Clause"/>
        <w:rPr>
          <w:i/>
        </w:rPr>
      </w:pPr>
    </w:p>
    <w:p w:rsidR="003E72FE" w:rsidRPr="003E72FE" w:rsidRDefault="003E72FE" w:rsidP="003E72FE">
      <w:pPr>
        <w:pStyle w:val="Definition"/>
        <w:rPr>
          <w:bCs/>
        </w:rPr>
      </w:pPr>
      <w:r w:rsidRPr="003E72FE">
        <w:rPr>
          <w:b/>
          <w:bCs/>
        </w:rPr>
        <w:t xml:space="preserve">protein substitute </w:t>
      </w:r>
      <w:r w:rsidRPr="003E72FE">
        <w:rPr>
          <w:bCs/>
        </w:rPr>
        <w:t xml:space="preserve">means – </w:t>
      </w:r>
    </w:p>
    <w:p w:rsidR="003E72FE" w:rsidRPr="003E72FE" w:rsidRDefault="003E72FE" w:rsidP="003E72FE">
      <w:pPr>
        <w:rPr>
          <w:sz w:val="20"/>
          <w:szCs w:val="20"/>
        </w:rPr>
      </w:pPr>
    </w:p>
    <w:p w:rsidR="003E72FE" w:rsidRPr="003E72FE" w:rsidRDefault="003E72FE" w:rsidP="003E72FE">
      <w:pPr>
        <w:pStyle w:val="Subparagraph"/>
      </w:pPr>
      <w:r w:rsidRPr="003E72FE">
        <w:t>(a)</w:t>
      </w:r>
      <w:r w:rsidRPr="003E72FE">
        <w:tab/>
        <w:t>L-amino acids; or</w:t>
      </w:r>
    </w:p>
    <w:p w:rsidR="003E72FE" w:rsidRPr="003E72FE" w:rsidRDefault="003E72FE" w:rsidP="003E72FE">
      <w:pPr>
        <w:pStyle w:val="Subparagraph"/>
      </w:pPr>
      <w:r w:rsidRPr="003E72FE">
        <w:t>(b)</w:t>
      </w:r>
      <w:r w:rsidRPr="003E72FE">
        <w:tab/>
        <w:t>the hydrolysate of one or more of the proteins on which infant formula product is normally based; or</w:t>
      </w:r>
    </w:p>
    <w:p w:rsidR="003E72FE" w:rsidRPr="003E72FE" w:rsidRDefault="003E72FE" w:rsidP="003E72FE">
      <w:pPr>
        <w:pStyle w:val="Subparagraph"/>
      </w:pPr>
      <w:r w:rsidRPr="003E72FE">
        <w:t>(c)</w:t>
      </w:r>
      <w:r w:rsidRPr="003E72FE">
        <w:tab/>
        <w:t>a combination of L-amino acids and the hydrolysate of one or more of the proteins on which infant formula product is normally based.</w:t>
      </w:r>
    </w:p>
    <w:p w:rsidR="003E72FE" w:rsidRPr="003E72FE" w:rsidRDefault="003E72FE" w:rsidP="003E72FE">
      <w:pPr>
        <w:pStyle w:val="Clause"/>
      </w:pPr>
    </w:p>
    <w:p w:rsidR="003E72FE" w:rsidRPr="003E72FE" w:rsidRDefault="003E72FE" w:rsidP="003E72FE">
      <w:pPr>
        <w:pStyle w:val="Clause"/>
      </w:pPr>
      <w:r w:rsidRPr="003E72FE">
        <w:t>[44.2]</w:t>
      </w:r>
      <w:r w:rsidRPr="003E72FE">
        <w:tab/>
      </w:r>
      <w:r w:rsidRPr="003E72FE">
        <w:rPr>
          <w:i/>
        </w:rPr>
        <w:t xml:space="preserve">omitting the following entries from the </w:t>
      </w:r>
      <w:r w:rsidRPr="003E72FE">
        <w:t>Table to clause 7 –</w:t>
      </w:r>
    </w:p>
    <w:p w:rsidR="003E72FE" w:rsidRPr="003E72FE" w:rsidRDefault="003E72FE" w:rsidP="003E72FE">
      <w:pPr>
        <w:pStyle w:val="Clause"/>
      </w:pPr>
    </w:p>
    <w:tbl>
      <w:tblPr>
        <w:tblW w:w="9075" w:type="dxa"/>
        <w:tblLayout w:type="fixed"/>
        <w:tblCellMar>
          <w:left w:w="80" w:type="dxa"/>
          <w:right w:w="80" w:type="dxa"/>
        </w:tblCellMar>
        <w:tblLook w:val="04A0" w:firstRow="1" w:lastRow="0" w:firstColumn="1" w:lastColumn="0" w:noHBand="0" w:noVBand="1"/>
      </w:tblPr>
      <w:tblGrid>
        <w:gridCol w:w="3188"/>
        <w:gridCol w:w="3187"/>
        <w:gridCol w:w="1377"/>
        <w:gridCol w:w="1323"/>
      </w:tblGrid>
      <w:tr w:rsidR="003E72FE" w:rsidTr="003E72FE">
        <w:trPr>
          <w:cantSplit/>
        </w:trPr>
        <w:tc>
          <w:tcPr>
            <w:tcW w:w="318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Adenosine 5’-monophosphate</w:t>
            </w:r>
          </w:p>
        </w:tc>
        <w:tc>
          <w:tcPr>
            <w:tcW w:w="318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Adenosine 5’-monophosphate</w:t>
            </w:r>
          </w:p>
          <w:p w:rsidR="003E72FE" w:rsidRDefault="003E72FE">
            <w:pPr>
              <w:pStyle w:val="Table2"/>
              <w:spacing w:line="276" w:lineRule="auto"/>
              <w:rPr>
                <w:lang w:bidi="ar-SA"/>
              </w:rPr>
            </w:pPr>
            <w:r>
              <w:t>Adenosine 5’-monophosphate</w:t>
            </w:r>
          </w:p>
          <w:p w:rsidR="003E72FE" w:rsidRDefault="003E72FE">
            <w:pPr>
              <w:pStyle w:val="Table2"/>
              <w:spacing w:line="276" w:lineRule="auto"/>
            </w:pPr>
            <w:r>
              <w:t>sodium salt</w:t>
            </w:r>
          </w:p>
        </w:tc>
        <w:tc>
          <w:tcPr>
            <w:tcW w:w="1377"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0.14 mg</w:t>
            </w:r>
          </w:p>
        </w:tc>
        <w:tc>
          <w:tcPr>
            <w:tcW w:w="1323"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0.38 mg</w:t>
            </w:r>
          </w:p>
        </w:tc>
      </w:tr>
      <w:tr w:rsidR="003E72FE" w:rsidTr="003E72FE">
        <w:trPr>
          <w:cantSplit/>
        </w:trPr>
        <w:tc>
          <w:tcPr>
            <w:tcW w:w="318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Cytidine 5’-monophosphate</w:t>
            </w:r>
          </w:p>
        </w:tc>
        <w:tc>
          <w:tcPr>
            <w:tcW w:w="318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Cytidine 5’-monophosphate</w:t>
            </w:r>
          </w:p>
          <w:p w:rsidR="003E72FE" w:rsidRDefault="003E72FE">
            <w:pPr>
              <w:pStyle w:val="Table2"/>
              <w:spacing w:line="276" w:lineRule="auto"/>
            </w:pPr>
            <w:r>
              <w:t>Cytidine 5’-monophosphate sodium salt</w:t>
            </w:r>
          </w:p>
        </w:tc>
        <w:tc>
          <w:tcPr>
            <w:tcW w:w="1377"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0.22 mg</w:t>
            </w:r>
          </w:p>
        </w:tc>
        <w:tc>
          <w:tcPr>
            <w:tcW w:w="1323"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0.6 mg</w:t>
            </w:r>
          </w:p>
        </w:tc>
      </w:tr>
      <w:tr w:rsidR="003E72FE" w:rsidTr="003E72FE">
        <w:trPr>
          <w:cantSplit/>
        </w:trPr>
        <w:tc>
          <w:tcPr>
            <w:tcW w:w="318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Uridine 5’-monophosphate</w:t>
            </w:r>
          </w:p>
        </w:tc>
        <w:tc>
          <w:tcPr>
            <w:tcW w:w="318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Uridine 5’-monophosphate</w:t>
            </w:r>
          </w:p>
          <w:p w:rsidR="003E72FE" w:rsidRDefault="003E72FE">
            <w:pPr>
              <w:pStyle w:val="Table2"/>
              <w:spacing w:line="276" w:lineRule="auto"/>
            </w:pPr>
            <w:r>
              <w:t>Uridine 5’-monophosphate sodium salt</w:t>
            </w:r>
          </w:p>
        </w:tc>
        <w:tc>
          <w:tcPr>
            <w:tcW w:w="1377"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0.13 mg</w:t>
            </w:r>
          </w:p>
        </w:tc>
        <w:tc>
          <w:tcPr>
            <w:tcW w:w="1323"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0.42 mg</w:t>
            </w:r>
          </w:p>
        </w:tc>
      </w:tr>
    </w:tbl>
    <w:p w:rsidR="003E72FE" w:rsidRDefault="003E72FE" w:rsidP="003E72FE">
      <w:pPr>
        <w:pStyle w:val="Clause"/>
      </w:pPr>
    </w:p>
    <w:p w:rsidR="003E72FE" w:rsidRDefault="003E72FE" w:rsidP="003E72FE">
      <w:pPr>
        <w:pStyle w:val="Clause"/>
        <w:rPr>
          <w:i/>
          <w:lang w:bidi="ar-SA"/>
        </w:rPr>
      </w:pPr>
      <w:r>
        <w:rPr>
          <w:i/>
        </w:rPr>
        <w:t xml:space="preserve">substituting – </w:t>
      </w:r>
    </w:p>
    <w:p w:rsidR="003E72FE" w:rsidRPr="003E72FE" w:rsidRDefault="003E72FE" w:rsidP="003E72FE">
      <w:pPr>
        <w:rPr>
          <w:sz w:val="20"/>
          <w:szCs w:val="20"/>
        </w:rPr>
      </w:pPr>
    </w:p>
    <w:tbl>
      <w:tblPr>
        <w:tblW w:w="9075" w:type="dxa"/>
        <w:tblLayout w:type="fixed"/>
        <w:tblCellMar>
          <w:left w:w="80" w:type="dxa"/>
          <w:right w:w="80" w:type="dxa"/>
        </w:tblCellMar>
        <w:tblLook w:val="04A0" w:firstRow="1" w:lastRow="0" w:firstColumn="1" w:lastColumn="0" w:noHBand="0" w:noVBand="1"/>
      </w:tblPr>
      <w:tblGrid>
        <w:gridCol w:w="3188"/>
        <w:gridCol w:w="3187"/>
        <w:gridCol w:w="1377"/>
        <w:gridCol w:w="1323"/>
      </w:tblGrid>
      <w:tr w:rsidR="003E72FE" w:rsidTr="003E72FE">
        <w:trPr>
          <w:cantSplit/>
        </w:trPr>
        <w:tc>
          <w:tcPr>
            <w:tcW w:w="318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Adenosine 5′-monophosphate</w:t>
            </w:r>
          </w:p>
        </w:tc>
        <w:tc>
          <w:tcPr>
            <w:tcW w:w="318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Adenosine 5′-monophosphate</w:t>
            </w:r>
          </w:p>
        </w:tc>
        <w:tc>
          <w:tcPr>
            <w:tcW w:w="1377"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0.14 mg</w:t>
            </w:r>
          </w:p>
        </w:tc>
        <w:tc>
          <w:tcPr>
            <w:tcW w:w="1323"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0.38 mg</w:t>
            </w:r>
          </w:p>
        </w:tc>
      </w:tr>
      <w:tr w:rsidR="003E72FE" w:rsidTr="003E72FE">
        <w:trPr>
          <w:cantSplit/>
        </w:trPr>
        <w:tc>
          <w:tcPr>
            <w:tcW w:w="318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Cytidine 5′-monophosphate</w:t>
            </w:r>
          </w:p>
        </w:tc>
        <w:tc>
          <w:tcPr>
            <w:tcW w:w="318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Cytidine 5′-monophosphate</w:t>
            </w:r>
          </w:p>
        </w:tc>
        <w:tc>
          <w:tcPr>
            <w:tcW w:w="1377"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0.22 mg</w:t>
            </w:r>
          </w:p>
        </w:tc>
        <w:tc>
          <w:tcPr>
            <w:tcW w:w="1323"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0.6 mg</w:t>
            </w:r>
          </w:p>
        </w:tc>
      </w:tr>
      <w:tr w:rsidR="003E72FE" w:rsidTr="003E72FE">
        <w:trPr>
          <w:cantSplit/>
        </w:trPr>
        <w:tc>
          <w:tcPr>
            <w:tcW w:w="318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Uridine 5′-monophosphate</w:t>
            </w:r>
          </w:p>
        </w:tc>
        <w:tc>
          <w:tcPr>
            <w:tcW w:w="318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Uridine 5′-monophosphate sodium salt</w:t>
            </w:r>
          </w:p>
        </w:tc>
        <w:tc>
          <w:tcPr>
            <w:tcW w:w="1377"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0.13 mg</w:t>
            </w:r>
          </w:p>
        </w:tc>
        <w:tc>
          <w:tcPr>
            <w:tcW w:w="1323"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pPr>
            <w:r>
              <w:t>0.42 mg</w:t>
            </w:r>
          </w:p>
        </w:tc>
      </w:tr>
    </w:tbl>
    <w:p w:rsidR="003E72FE" w:rsidRDefault="003E72FE" w:rsidP="003E72FE">
      <w:pPr>
        <w:rPr>
          <w:sz w:val="20"/>
          <w:szCs w:val="20"/>
        </w:rPr>
      </w:pPr>
    </w:p>
    <w:p w:rsidR="003E72FE" w:rsidRDefault="003E72FE" w:rsidP="003E72FE">
      <w:pPr>
        <w:pStyle w:val="Clause"/>
        <w:rPr>
          <w:i/>
          <w:lang w:bidi="ar-SA"/>
        </w:rPr>
      </w:pPr>
      <w:r>
        <w:t>[44.3]</w:t>
      </w:r>
      <w:r>
        <w:tab/>
      </w:r>
      <w:r>
        <w:rPr>
          <w:i/>
        </w:rPr>
        <w:t xml:space="preserve">omitting from paragraph 16(2)(e) – </w:t>
      </w:r>
    </w:p>
    <w:p w:rsidR="003E72FE" w:rsidRDefault="003E72FE" w:rsidP="003E72FE">
      <w:pPr>
        <w:pStyle w:val="Clause"/>
        <w:rPr>
          <w:i/>
        </w:rPr>
      </w:pPr>
      <w:r>
        <w:rPr>
          <w:i/>
        </w:rPr>
        <w:br w:type="page"/>
      </w:r>
    </w:p>
    <w:p w:rsidR="003E72FE" w:rsidRPr="003E72FE" w:rsidRDefault="003E72FE" w:rsidP="003E72FE">
      <w:pPr>
        <w:pStyle w:val="Paragraph"/>
        <w:ind w:left="0" w:firstLine="0"/>
      </w:pPr>
      <w:r w:rsidRPr="003E72FE">
        <w:lastRenderedPageBreak/>
        <w:t>expressed in weight per 100 mL.</w:t>
      </w:r>
    </w:p>
    <w:p w:rsidR="003E72FE" w:rsidRPr="003E72FE" w:rsidRDefault="003E72FE" w:rsidP="003E72FE">
      <w:pPr>
        <w:rPr>
          <w:sz w:val="20"/>
          <w:szCs w:val="20"/>
        </w:rPr>
      </w:pPr>
    </w:p>
    <w:p w:rsidR="003E72FE" w:rsidRPr="003E72FE" w:rsidRDefault="003E72FE" w:rsidP="003E72FE">
      <w:pPr>
        <w:pStyle w:val="Clause"/>
        <w:rPr>
          <w:i/>
          <w:iCs/>
        </w:rPr>
      </w:pPr>
      <w:r w:rsidRPr="003E72FE">
        <w:rPr>
          <w:i/>
          <w:iCs/>
        </w:rPr>
        <w:t xml:space="preserve">substituting – </w:t>
      </w:r>
    </w:p>
    <w:p w:rsidR="003E72FE" w:rsidRPr="003E72FE" w:rsidRDefault="003E72FE" w:rsidP="003E72FE">
      <w:pPr>
        <w:rPr>
          <w:i/>
          <w:sz w:val="20"/>
          <w:szCs w:val="20"/>
        </w:rPr>
      </w:pPr>
    </w:p>
    <w:p w:rsidR="003E72FE" w:rsidRPr="003E72FE" w:rsidRDefault="003E72FE" w:rsidP="003E72FE">
      <w:pPr>
        <w:pStyle w:val="Paragraph"/>
        <w:ind w:left="0" w:firstLine="0"/>
      </w:pPr>
      <w:r w:rsidRPr="003E72FE">
        <w:t>expressed in weight per 100 mL when the product is reconstituted in accordance with directions.</w:t>
      </w:r>
    </w:p>
    <w:p w:rsidR="003E72FE" w:rsidRPr="003E72FE" w:rsidRDefault="003E72FE" w:rsidP="003E72FE">
      <w:pPr>
        <w:rPr>
          <w:sz w:val="20"/>
          <w:szCs w:val="20"/>
        </w:rPr>
      </w:pPr>
    </w:p>
    <w:p w:rsidR="003E72FE" w:rsidRPr="003E72FE" w:rsidRDefault="003E72FE" w:rsidP="003E72FE">
      <w:pPr>
        <w:pStyle w:val="Subclause"/>
      </w:pPr>
      <w:r w:rsidRPr="003E72FE">
        <w:t>[44.4]</w:t>
      </w:r>
      <w:r w:rsidRPr="003E72FE">
        <w:tab/>
      </w:r>
      <w:r w:rsidRPr="003E72FE">
        <w:rPr>
          <w:i/>
        </w:rPr>
        <w:t>omitting paragraph 20(1)(f), substituting</w:t>
      </w:r>
      <w:r w:rsidRPr="003E72FE">
        <w:t xml:space="preserve"> – </w:t>
      </w:r>
    </w:p>
    <w:p w:rsidR="003E72FE" w:rsidRPr="003E72FE" w:rsidRDefault="003E72FE" w:rsidP="003E72FE">
      <w:pPr>
        <w:pStyle w:val="Subclause"/>
      </w:pPr>
    </w:p>
    <w:p w:rsidR="003E72FE" w:rsidRPr="003E72FE" w:rsidRDefault="003E72FE" w:rsidP="003E72FE">
      <w:pPr>
        <w:pStyle w:val="Paragraph"/>
      </w:pPr>
      <w:r w:rsidRPr="003E72FE">
        <w:t>(f)</w:t>
      </w:r>
      <w:r w:rsidRPr="003E72FE">
        <w:tab/>
        <w:t xml:space="preserve">subject to clause 28, a reference to the presence of any nutrient or nutritive substance, except for a reference to a nutrient or nutritive substance in – </w:t>
      </w:r>
    </w:p>
    <w:p w:rsidR="003E72FE" w:rsidRPr="003E72FE" w:rsidRDefault="003E72FE" w:rsidP="003E72FE">
      <w:pPr>
        <w:rPr>
          <w:sz w:val="20"/>
          <w:szCs w:val="20"/>
        </w:rPr>
      </w:pPr>
    </w:p>
    <w:p w:rsidR="003E72FE" w:rsidRPr="003E72FE" w:rsidRDefault="003E72FE" w:rsidP="003E72FE">
      <w:pPr>
        <w:pStyle w:val="Subparagraph"/>
      </w:pPr>
      <w:r w:rsidRPr="003E72FE">
        <w:t>(i)</w:t>
      </w:r>
      <w:r w:rsidRPr="003E72FE">
        <w:tab/>
        <w:t>accordance with clause 30 – Claims relating to lactose free formula or low lactose formulas; or</w:t>
      </w:r>
    </w:p>
    <w:p w:rsidR="003E72FE" w:rsidRPr="003E72FE" w:rsidRDefault="003E72FE" w:rsidP="003E72FE">
      <w:pPr>
        <w:pStyle w:val="Subparagraph"/>
      </w:pPr>
      <w:r w:rsidRPr="003E72FE">
        <w:t>(ii)</w:t>
      </w:r>
      <w:r w:rsidRPr="003E72FE">
        <w:tab/>
        <w:t>the statement of ingredients in accordance with Standard 1.2.4 – Labelling of Ingredients; or</w:t>
      </w:r>
    </w:p>
    <w:p w:rsidR="003E72FE" w:rsidRPr="003E72FE" w:rsidRDefault="003E72FE" w:rsidP="003E72FE">
      <w:pPr>
        <w:pStyle w:val="Subparagraph"/>
      </w:pPr>
      <w:r w:rsidRPr="003E72FE">
        <w:t>(iii)</w:t>
      </w:r>
      <w:r w:rsidRPr="003E72FE">
        <w:tab/>
        <w:t>the nutrition information statement in accordance with clause 16 of this Standard – Declaration of nutrition information; or</w:t>
      </w:r>
    </w:p>
    <w:p w:rsidR="003E72FE" w:rsidRPr="003E72FE" w:rsidRDefault="003E72FE" w:rsidP="003E72FE">
      <w:pPr>
        <w:rPr>
          <w:sz w:val="20"/>
          <w:szCs w:val="20"/>
        </w:rPr>
      </w:pPr>
    </w:p>
    <w:p w:rsidR="003E72FE" w:rsidRPr="003E72FE" w:rsidRDefault="003E72FE" w:rsidP="003E72FE">
      <w:pPr>
        <w:pStyle w:val="Subclause"/>
      </w:pPr>
      <w:r w:rsidRPr="003E72FE">
        <w:t>[44.5]</w:t>
      </w:r>
      <w:r w:rsidRPr="003E72FE">
        <w:tab/>
      </w:r>
      <w:r w:rsidRPr="003E72FE">
        <w:rPr>
          <w:i/>
        </w:rPr>
        <w:t>omitting paragraphs 20(2)(a) and 20(2)(b), substituting</w:t>
      </w:r>
      <w:r w:rsidRPr="003E72FE">
        <w:t xml:space="preserve"> – </w:t>
      </w:r>
    </w:p>
    <w:p w:rsidR="003E72FE" w:rsidRPr="003E72FE" w:rsidRDefault="003E72FE" w:rsidP="003E72FE">
      <w:pPr>
        <w:rPr>
          <w:i/>
          <w:sz w:val="20"/>
          <w:szCs w:val="20"/>
        </w:rPr>
      </w:pPr>
    </w:p>
    <w:p w:rsidR="003E72FE" w:rsidRPr="003E72FE" w:rsidRDefault="003E72FE" w:rsidP="003E72FE">
      <w:pPr>
        <w:pStyle w:val="Paragraph"/>
      </w:pPr>
      <w:r w:rsidRPr="003E72FE">
        <w:t>(a)</w:t>
      </w:r>
      <w:r w:rsidRPr="003E72FE">
        <w:tab/>
        <w:t>the statement of ingredients in accordance with Standard 1.2.4 – Labelling of Ingredients; or</w:t>
      </w:r>
    </w:p>
    <w:p w:rsidR="003E72FE" w:rsidRPr="003E72FE" w:rsidRDefault="003E72FE" w:rsidP="003E72FE">
      <w:pPr>
        <w:pStyle w:val="Paragraph"/>
      </w:pPr>
      <w:r w:rsidRPr="003E72FE">
        <w:t>(b)</w:t>
      </w:r>
      <w:r w:rsidRPr="003E72FE">
        <w:tab/>
        <w:t>the nutrition information statement in accordance with clause 16 of this Standard – Declaration of nutrition information.</w:t>
      </w:r>
    </w:p>
    <w:p w:rsidR="003E72FE" w:rsidRPr="003E72FE" w:rsidRDefault="003E72FE" w:rsidP="003E72FE">
      <w:pPr>
        <w:rPr>
          <w:sz w:val="20"/>
          <w:szCs w:val="20"/>
        </w:rPr>
      </w:pPr>
    </w:p>
    <w:p w:rsidR="003E72FE" w:rsidRPr="003E72FE" w:rsidRDefault="003E72FE" w:rsidP="003E72FE">
      <w:pPr>
        <w:pStyle w:val="Clause"/>
      </w:pPr>
      <w:r w:rsidRPr="003E72FE">
        <w:t>[44.6]</w:t>
      </w:r>
      <w:r w:rsidRPr="003E72FE">
        <w:tab/>
      </w:r>
      <w:r w:rsidRPr="003E72FE">
        <w:rPr>
          <w:i/>
        </w:rPr>
        <w:t xml:space="preserve">omitting the </w:t>
      </w:r>
      <w:r w:rsidRPr="003E72FE">
        <w:t>Editorial note</w:t>
      </w:r>
      <w:r w:rsidRPr="003E72FE">
        <w:rPr>
          <w:i/>
        </w:rPr>
        <w:t xml:space="preserve"> following the </w:t>
      </w:r>
      <w:r w:rsidRPr="003E72FE">
        <w:t>Table to clause 23</w:t>
      </w:r>
      <w:r w:rsidRPr="003E72FE">
        <w:rPr>
          <w:i/>
        </w:rPr>
        <w:t>, substituting</w:t>
      </w:r>
      <w:r w:rsidRPr="003E72FE">
        <w:t xml:space="preserve"> – </w:t>
      </w:r>
    </w:p>
    <w:p w:rsidR="003E72FE" w:rsidRPr="003E72FE" w:rsidRDefault="003E72FE" w:rsidP="003E72FE">
      <w:pPr>
        <w:rPr>
          <w:rFonts w:cs="Arial"/>
          <w:sz w:val="20"/>
          <w:szCs w:val="20"/>
        </w:rPr>
      </w:pPr>
    </w:p>
    <w:p w:rsidR="003E72FE" w:rsidRPr="003E72FE" w:rsidRDefault="003E72FE" w:rsidP="003E72FE">
      <w:pPr>
        <w:pStyle w:val="EditorialNoteLine1"/>
        <w:rPr>
          <w:rFonts w:cs="Arial"/>
        </w:rPr>
      </w:pPr>
      <w:r w:rsidRPr="003E72FE">
        <w:rPr>
          <w:rFonts w:cs="Arial"/>
        </w:rPr>
        <w:t xml:space="preserve">Editorial note: </w:t>
      </w:r>
    </w:p>
    <w:p w:rsidR="003E72FE" w:rsidRPr="003E72FE" w:rsidRDefault="003E72FE" w:rsidP="003E72FE">
      <w:pPr>
        <w:pStyle w:val="EditorialNotetext"/>
        <w:rPr>
          <w:rFonts w:cs="Arial"/>
        </w:rPr>
      </w:pPr>
    </w:p>
    <w:p w:rsidR="003E72FE" w:rsidRPr="003E72FE" w:rsidRDefault="003E72FE" w:rsidP="003E72FE">
      <w:pPr>
        <w:pStyle w:val="EditorialNotetext"/>
        <w:rPr>
          <w:rFonts w:cs="Arial"/>
        </w:rPr>
      </w:pPr>
      <w:r w:rsidRPr="003E72FE">
        <w:rPr>
          <w:rFonts w:cs="Arial"/>
        </w:rPr>
        <w:t>Standard 1.3.4 contains specifications for dried marine microalgae (</w:t>
      </w:r>
      <w:r w:rsidRPr="003E72FE">
        <w:rPr>
          <w:rFonts w:cs="Arial"/>
          <w:i/>
        </w:rPr>
        <w:t xml:space="preserve">Schizochytrium </w:t>
      </w:r>
      <w:r w:rsidRPr="003E72FE">
        <w:rPr>
          <w:rFonts w:cs="Arial"/>
        </w:rPr>
        <w:t>sp.) rich in docosahexaenoic acid (DHA), oil derived from marine microalgae (</w:t>
      </w:r>
      <w:r w:rsidRPr="003E72FE">
        <w:rPr>
          <w:rFonts w:cs="Arial"/>
          <w:i/>
        </w:rPr>
        <w:t xml:space="preserve">Schizochytrium </w:t>
      </w:r>
      <w:r w:rsidRPr="003E72FE">
        <w:rPr>
          <w:rFonts w:cs="Arial"/>
        </w:rPr>
        <w:t xml:space="preserve">sp.) rich in docosahexaenoic acid (DHA), oil derived from the algae </w:t>
      </w:r>
      <w:r w:rsidRPr="003E72FE">
        <w:rPr>
          <w:rFonts w:cs="Arial"/>
          <w:i/>
        </w:rPr>
        <w:t xml:space="preserve">Crypthecodinium cohnii </w:t>
      </w:r>
      <w:r w:rsidRPr="003E72FE">
        <w:rPr>
          <w:rFonts w:cs="Arial"/>
        </w:rPr>
        <w:t xml:space="preserve">rich in docosahexaenoic acid (DHA), oil derived from the fungus </w:t>
      </w:r>
      <w:r w:rsidRPr="003E72FE">
        <w:rPr>
          <w:rFonts w:cs="Arial"/>
          <w:i/>
        </w:rPr>
        <w:t xml:space="preserve">Mortierella alpina </w:t>
      </w:r>
      <w:r w:rsidRPr="003E72FE">
        <w:rPr>
          <w:rFonts w:cs="Arial"/>
        </w:rPr>
        <w:t>rich in arachidonic acid (ARA), and oil derived from marine microalgae (</w:t>
      </w:r>
      <w:r w:rsidRPr="003E72FE">
        <w:rPr>
          <w:rFonts w:cs="Arial"/>
          <w:i/>
        </w:rPr>
        <w:t xml:space="preserve">Ulkenia </w:t>
      </w:r>
      <w:r w:rsidRPr="003E72FE">
        <w:rPr>
          <w:rFonts w:cs="Arial"/>
        </w:rPr>
        <w:t>sp.) rich in docosahexaenoic acid (DHA).</w:t>
      </w:r>
    </w:p>
    <w:p w:rsidR="003E72FE" w:rsidRPr="003E72FE" w:rsidRDefault="003E72FE" w:rsidP="003E72FE">
      <w:pPr>
        <w:rPr>
          <w:sz w:val="20"/>
          <w:szCs w:val="20"/>
        </w:rPr>
      </w:pPr>
    </w:p>
    <w:p w:rsidR="003E72FE" w:rsidRPr="003E72FE" w:rsidRDefault="003E72FE" w:rsidP="003E72FE">
      <w:pPr>
        <w:pStyle w:val="Clause"/>
        <w:rPr>
          <w:i/>
        </w:rPr>
      </w:pPr>
      <w:r w:rsidRPr="003E72FE">
        <w:rPr>
          <w:b/>
          <w:bCs/>
        </w:rPr>
        <w:t>[45]</w:t>
      </w:r>
      <w:r w:rsidRPr="003E72FE">
        <w:tab/>
      </w:r>
      <w:r w:rsidRPr="003E72FE">
        <w:rPr>
          <w:b/>
          <w:i/>
        </w:rPr>
        <w:t>Standard</w:t>
      </w:r>
      <w:r w:rsidRPr="003E72FE">
        <w:rPr>
          <w:b/>
          <w:bCs/>
          <w:i/>
        </w:rPr>
        <w:t xml:space="preserve"> 2.9.2</w:t>
      </w:r>
      <w:r w:rsidRPr="003E72FE">
        <w:rPr>
          <w:i/>
        </w:rPr>
        <w:t xml:space="preserve"> of the Australia New Zealand Food Standards Code is varied by – </w:t>
      </w:r>
    </w:p>
    <w:p w:rsidR="003E72FE" w:rsidRPr="003E72FE" w:rsidRDefault="003E72FE" w:rsidP="003E72FE">
      <w:pPr>
        <w:pStyle w:val="Clause"/>
        <w:rPr>
          <w:i/>
        </w:rPr>
      </w:pPr>
    </w:p>
    <w:p w:rsidR="003E72FE" w:rsidRPr="003E72FE" w:rsidRDefault="003E72FE" w:rsidP="003E72FE">
      <w:pPr>
        <w:pStyle w:val="Clause"/>
        <w:rPr>
          <w:i/>
        </w:rPr>
      </w:pPr>
      <w:r w:rsidRPr="003E72FE">
        <w:t>[45.1]</w:t>
      </w:r>
      <w:r w:rsidRPr="003E72FE">
        <w:tab/>
      </w:r>
      <w:r w:rsidRPr="003E72FE">
        <w:rPr>
          <w:i/>
        </w:rPr>
        <w:t xml:space="preserve">omitting the first paragraph from the </w:t>
      </w:r>
      <w:r w:rsidRPr="003E72FE">
        <w:t xml:space="preserve">Purpose, </w:t>
      </w:r>
      <w:r w:rsidRPr="003E72FE">
        <w:rPr>
          <w:i/>
        </w:rPr>
        <w:t xml:space="preserve">substituting – </w:t>
      </w:r>
    </w:p>
    <w:p w:rsidR="003E72FE" w:rsidRPr="003E72FE" w:rsidRDefault="003E72FE" w:rsidP="003E72FE">
      <w:pPr>
        <w:rPr>
          <w:sz w:val="20"/>
          <w:szCs w:val="20"/>
        </w:rPr>
      </w:pPr>
    </w:p>
    <w:p w:rsidR="003E72FE" w:rsidRPr="003E72FE" w:rsidRDefault="003E72FE" w:rsidP="003E72FE">
      <w:pPr>
        <w:pStyle w:val="Clause"/>
      </w:pPr>
      <w:r w:rsidRPr="003E72FE">
        <w:t>This Standard provides for the compositional (including nutritional) and labelling requirements of foods intended or represented for use as food for infants.  Foods in this Standard are intended to be fed to infants in addition to human milk or infant formula products or both.  This Standard does not apply to infant formula products, as they are regulated by Standard 2.9.1, nor does it apply to formulated meal replacements and formulated supplementary foods as they are regulated by Standard 2.9.3.</w:t>
      </w:r>
    </w:p>
    <w:p w:rsidR="003E72FE" w:rsidRPr="003E72FE" w:rsidRDefault="003E72FE" w:rsidP="003E72FE">
      <w:pPr>
        <w:pStyle w:val="Clause"/>
      </w:pPr>
    </w:p>
    <w:p w:rsidR="003E72FE" w:rsidRPr="003E72FE" w:rsidRDefault="003E72FE" w:rsidP="003E72FE">
      <w:pPr>
        <w:pStyle w:val="Clause"/>
      </w:pPr>
      <w:r w:rsidRPr="003E72FE">
        <w:t>[45.2]</w:t>
      </w:r>
      <w:r w:rsidRPr="003E72FE">
        <w:tab/>
      </w:r>
      <w:r w:rsidRPr="003E72FE">
        <w:rPr>
          <w:i/>
        </w:rPr>
        <w:t xml:space="preserve">omitting </w:t>
      </w:r>
      <w:r w:rsidRPr="003E72FE">
        <w:t xml:space="preserve">and/or </w:t>
      </w:r>
      <w:r w:rsidRPr="003E72FE">
        <w:rPr>
          <w:i/>
        </w:rPr>
        <w:t xml:space="preserve">from the definition of </w:t>
      </w:r>
      <w:r w:rsidRPr="003E72FE">
        <w:rPr>
          <w:b/>
        </w:rPr>
        <w:t xml:space="preserve">food for infants </w:t>
      </w:r>
      <w:r w:rsidRPr="003E72FE">
        <w:rPr>
          <w:i/>
        </w:rPr>
        <w:t xml:space="preserve">in clause 1, substituting </w:t>
      </w:r>
      <w:r w:rsidRPr="003E72FE">
        <w:t>or</w:t>
      </w:r>
    </w:p>
    <w:p w:rsidR="003E72FE" w:rsidRPr="003E72FE" w:rsidRDefault="003E72FE" w:rsidP="003E72FE">
      <w:pPr>
        <w:rPr>
          <w:sz w:val="20"/>
          <w:szCs w:val="20"/>
        </w:rPr>
      </w:pPr>
    </w:p>
    <w:p w:rsidR="003E72FE" w:rsidRPr="003E72FE" w:rsidRDefault="003E72FE" w:rsidP="003E72FE">
      <w:pPr>
        <w:pStyle w:val="Clause"/>
      </w:pPr>
      <w:r w:rsidRPr="003E72FE">
        <w:t>[45.3]</w:t>
      </w:r>
      <w:r w:rsidRPr="003E72FE">
        <w:tab/>
      </w:r>
      <w:r w:rsidRPr="003E72FE">
        <w:rPr>
          <w:i/>
        </w:rPr>
        <w:t xml:space="preserve">omitting </w:t>
      </w:r>
      <w:r w:rsidRPr="003E72FE">
        <w:t xml:space="preserve">following forms: </w:t>
      </w:r>
      <w:r w:rsidRPr="003E72FE">
        <w:rPr>
          <w:i/>
        </w:rPr>
        <w:t xml:space="preserve">wherever occurring in clause 3, substituting </w:t>
      </w:r>
      <w:r w:rsidRPr="003E72FE">
        <w:t>following forms</w:t>
      </w:r>
      <w:r w:rsidRPr="003E72FE">
        <w:rPr>
          <w:i/>
        </w:rPr>
        <w:t xml:space="preserve"> </w:t>
      </w:r>
      <w:r w:rsidRPr="003E72FE">
        <w:t>–</w:t>
      </w:r>
    </w:p>
    <w:p w:rsidR="003E72FE" w:rsidRPr="003E72FE" w:rsidRDefault="003E72FE" w:rsidP="003E72FE">
      <w:pPr>
        <w:rPr>
          <w:sz w:val="20"/>
          <w:szCs w:val="20"/>
        </w:rPr>
      </w:pPr>
    </w:p>
    <w:p w:rsidR="003E72FE" w:rsidRPr="003E72FE" w:rsidRDefault="003E72FE" w:rsidP="003E72FE">
      <w:pPr>
        <w:pStyle w:val="Clause"/>
      </w:pPr>
      <w:r w:rsidRPr="003E72FE">
        <w:t>[45.4]</w:t>
      </w:r>
      <w:r w:rsidRPr="003E72FE">
        <w:tab/>
      </w:r>
      <w:r w:rsidRPr="003E72FE">
        <w:rPr>
          <w:i/>
        </w:rPr>
        <w:t xml:space="preserve">omitting </w:t>
      </w:r>
      <w:r w:rsidRPr="003E72FE">
        <w:t xml:space="preserve">and/or folate </w:t>
      </w:r>
      <w:r w:rsidRPr="003E72FE">
        <w:rPr>
          <w:i/>
        </w:rPr>
        <w:t xml:space="preserve">from paragraph 4(b), substituting </w:t>
      </w:r>
      <w:r w:rsidRPr="003E72FE">
        <w:t>or folate or both</w:t>
      </w:r>
    </w:p>
    <w:p w:rsidR="003E72FE" w:rsidRPr="003E72FE" w:rsidRDefault="003E72FE" w:rsidP="003E72FE">
      <w:pPr>
        <w:pStyle w:val="Clause"/>
        <w:rPr>
          <w:b/>
          <w:bCs/>
        </w:rPr>
      </w:pPr>
    </w:p>
    <w:p w:rsidR="003E72FE" w:rsidRPr="003E72FE" w:rsidRDefault="003E72FE" w:rsidP="003E72FE">
      <w:pPr>
        <w:pStyle w:val="Subclause"/>
        <w:rPr>
          <w:i/>
        </w:rPr>
      </w:pPr>
      <w:r w:rsidRPr="003E72FE">
        <w:rPr>
          <w:b/>
          <w:bCs/>
        </w:rPr>
        <w:t>[46]</w:t>
      </w:r>
      <w:r w:rsidRPr="003E72FE">
        <w:tab/>
      </w:r>
      <w:r w:rsidRPr="003E72FE">
        <w:rPr>
          <w:b/>
          <w:i/>
        </w:rPr>
        <w:t>Standard</w:t>
      </w:r>
      <w:r w:rsidRPr="003E72FE">
        <w:rPr>
          <w:b/>
          <w:bCs/>
          <w:i/>
        </w:rPr>
        <w:t xml:space="preserve"> 2.9.4</w:t>
      </w:r>
      <w:r w:rsidRPr="003E72FE">
        <w:rPr>
          <w:i/>
        </w:rPr>
        <w:t xml:space="preserve"> of the Australia New Zealand Food Standards Code is varied by – </w:t>
      </w:r>
    </w:p>
    <w:p w:rsidR="003E72FE" w:rsidRPr="003E72FE" w:rsidRDefault="003E72FE" w:rsidP="003E72FE">
      <w:pPr>
        <w:pStyle w:val="Subclause"/>
        <w:rPr>
          <w:i/>
        </w:rPr>
      </w:pPr>
    </w:p>
    <w:p w:rsidR="003E72FE" w:rsidRPr="003E72FE" w:rsidRDefault="003E72FE" w:rsidP="003E72FE">
      <w:pPr>
        <w:pStyle w:val="Clause"/>
      </w:pPr>
      <w:r w:rsidRPr="003E72FE">
        <w:t>[46.1]</w:t>
      </w:r>
      <w:r w:rsidRPr="003E72FE">
        <w:tab/>
      </w:r>
      <w:r w:rsidRPr="003E72FE">
        <w:rPr>
          <w:i/>
        </w:rPr>
        <w:t>omitting paragraph 7(3)(a), substituting</w:t>
      </w:r>
      <w:r w:rsidRPr="003E72FE">
        <w:t xml:space="preserve"> – </w:t>
      </w:r>
    </w:p>
    <w:p w:rsidR="003E72FE" w:rsidRPr="003E72FE" w:rsidRDefault="003E72FE" w:rsidP="003E72FE">
      <w:pPr>
        <w:rPr>
          <w:i/>
          <w:sz w:val="20"/>
          <w:szCs w:val="20"/>
        </w:rPr>
      </w:pPr>
    </w:p>
    <w:p w:rsidR="003E72FE" w:rsidRPr="003E72FE" w:rsidRDefault="003E72FE" w:rsidP="003E72FE">
      <w:pPr>
        <w:pStyle w:val="Paragraph"/>
      </w:pPr>
      <w:r w:rsidRPr="003E72FE">
        <w:t>(a)</w:t>
      </w:r>
      <w:r w:rsidRPr="003E72FE">
        <w:tab/>
        <w:t>the product is useful  before, during, or after sustained strenuous exercise; and</w:t>
      </w:r>
    </w:p>
    <w:p w:rsidR="003E72FE" w:rsidRPr="003E72FE" w:rsidRDefault="003E72FE" w:rsidP="003E72FE">
      <w:pPr>
        <w:rPr>
          <w:sz w:val="20"/>
          <w:szCs w:val="20"/>
        </w:rPr>
      </w:pPr>
    </w:p>
    <w:p w:rsidR="003E72FE" w:rsidRPr="003E72FE" w:rsidRDefault="003E72FE" w:rsidP="003E72FE">
      <w:pPr>
        <w:pStyle w:val="Clause"/>
        <w:rPr>
          <w:i/>
        </w:rPr>
      </w:pPr>
      <w:r w:rsidRPr="003E72FE">
        <w:t>[46.2]</w:t>
      </w:r>
      <w:r w:rsidRPr="003E72FE">
        <w:tab/>
      </w:r>
      <w:r w:rsidRPr="003E72FE">
        <w:rPr>
          <w:i/>
        </w:rPr>
        <w:t xml:space="preserve">omitting paragraph 8(3)(d), substituting – </w:t>
      </w:r>
    </w:p>
    <w:p w:rsidR="003E72FE" w:rsidRPr="003E72FE" w:rsidRDefault="003E72FE" w:rsidP="003E72FE">
      <w:pPr>
        <w:rPr>
          <w:sz w:val="20"/>
          <w:szCs w:val="20"/>
        </w:rPr>
      </w:pPr>
    </w:p>
    <w:p w:rsidR="003E72FE" w:rsidRDefault="003E72FE" w:rsidP="003E72FE">
      <w:pPr>
        <w:pStyle w:val="Paragraph"/>
      </w:pPr>
      <w:r w:rsidRPr="003E72FE">
        <w:t>(d)</w:t>
      </w:r>
      <w:r w:rsidRPr="003E72FE">
        <w:tab/>
        <w:t>the product is useful before, during, or after sustained strenuous exercise.</w:t>
      </w:r>
      <w:r>
        <w:br w:type="page"/>
      </w:r>
    </w:p>
    <w:p w:rsidR="003E72FE" w:rsidRPr="003E72FE" w:rsidRDefault="003E72FE" w:rsidP="003E72FE">
      <w:pPr>
        <w:pStyle w:val="Clause"/>
        <w:rPr>
          <w:i/>
        </w:rPr>
      </w:pPr>
      <w:r w:rsidRPr="003E72FE">
        <w:lastRenderedPageBreak/>
        <w:t>[46.3]</w:t>
      </w:r>
      <w:r w:rsidRPr="003E72FE">
        <w:tab/>
      </w:r>
      <w:r w:rsidRPr="003E72FE">
        <w:rPr>
          <w:i/>
        </w:rPr>
        <w:t xml:space="preserve">omitting paragraph 9(4)(b), substituting – </w:t>
      </w:r>
    </w:p>
    <w:p w:rsidR="003E72FE" w:rsidRPr="003E72FE" w:rsidRDefault="003E72FE" w:rsidP="003E72FE">
      <w:pPr>
        <w:rPr>
          <w:sz w:val="20"/>
          <w:szCs w:val="20"/>
        </w:rPr>
      </w:pPr>
    </w:p>
    <w:p w:rsidR="003E72FE" w:rsidRPr="003E72FE" w:rsidRDefault="003E72FE" w:rsidP="003E72FE">
      <w:pPr>
        <w:pStyle w:val="Paragraph"/>
      </w:pPr>
      <w:r w:rsidRPr="003E72FE">
        <w:t>(b)</w:t>
      </w:r>
      <w:r w:rsidRPr="003E72FE">
        <w:tab/>
        <w:t>the product is useful before, during or after sustained strenuous exercise.</w:t>
      </w:r>
    </w:p>
    <w:p w:rsidR="003E72FE" w:rsidRPr="003E72FE" w:rsidRDefault="003E72FE" w:rsidP="003E72FE">
      <w:pPr>
        <w:pStyle w:val="Clause"/>
        <w:rPr>
          <w:b/>
          <w:bCs/>
        </w:rPr>
      </w:pPr>
    </w:p>
    <w:p w:rsidR="003E72FE" w:rsidRPr="003E72FE" w:rsidRDefault="003E72FE" w:rsidP="003E72FE">
      <w:pPr>
        <w:pStyle w:val="Clause"/>
      </w:pPr>
      <w:r w:rsidRPr="003E72FE">
        <w:rPr>
          <w:b/>
          <w:bCs/>
        </w:rPr>
        <w:t>[47]</w:t>
      </w:r>
      <w:r w:rsidRPr="003E72FE">
        <w:tab/>
      </w:r>
      <w:r w:rsidRPr="003E72FE">
        <w:rPr>
          <w:b/>
          <w:bCs/>
          <w:i/>
        </w:rPr>
        <w:t>Standard 3.2.1</w:t>
      </w:r>
      <w:r w:rsidRPr="003E72FE">
        <w:rPr>
          <w:i/>
        </w:rPr>
        <w:t xml:space="preserve"> of the Australia New Zealand Food Standards Code is varied by omitting clause 6, substituting</w:t>
      </w:r>
      <w:r w:rsidRPr="003E72FE">
        <w:t xml:space="preserve"> – </w:t>
      </w:r>
    </w:p>
    <w:p w:rsidR="003E72FE" w:rsidRPr="003E72FE" w:rsidRDefault="003E72FE" w:rsidP="003E72FE">
      <w:pPr>
        <w:rPr>
          <w:i/>
          <w:iCs/>
          <w:sz w:val="20"/>
          <w:szCs w:val="20"/>
        </w:rPr>
      </w:pPr>
    </w:p>
    <w:p w:rsidR="003E72FE" w:rsidRPr="003E72FE" w:rsidRDefault="003E72FE" w:rsidP="003E72FE">
      <w:pPr>
        <w:pStyle w:val="ClauseHeading0"/>
      </w:pPr>
      <w:r w:rsidRPr="003E72FE">
        <w:t>6</w:t>
      </w:r>
      <w:r w:rsidRPr="003E72FE">
        <w:tab/>
        <w:t>Fund raising events</w:t>
      </w:r>
    </w:p>
    <w:p w:rsidR="003E72FE" w:rsidRPr="003E72FE" w:rsidRDefault="003E72FE" w:rsidP="003E72FE">
      <w:pPr>
        <w:rPr>
          <w:sz w:val="20"/>
          <w:szCs w:val="20"/>
        </w:rPr>
      </w:pPr>
    </w:p>
    <w:p w:rsidR="003E72FE" w:rsidRPr="003E72FE" w:rsidRDefault="003E72FE" w:rsidP="003E72FE">
      <w:pPr>
        <w:pStyle w:val="Clause"/>
      </w:pPr>
      <w:r w:rsidRPr="003E72FE">
        <w:t>A food business does not have to prepare a food safety program in accordance with this Standard in relation to a fund raising event conducted by the food business.</w:t>
      </w:r>
    </w:p>
    <w:p w:rsidR="003E72FE" w:rsidRPr="003E72FE" w:rsidRDefault="003E72FE" w:rsidP="003E72FE">
      <w:pPr>
        <w:rPr>
          <w:sz w:val="20"/>
          <w:szCs w:val="20"/>
        </w:rPr>
      </w:pPr>
    </w:p>
    <w:p w:rsidR="003E72FE" w:rsidRPr="003E72FE" w:rsidRDefault="003E72FE" w:rsidP="003E72FE">
      <w:pPr>
        <w:pStyle w:val="Clause"/>
        <w:rPr>
          <w:i/>
        </w:rPr>
      </w:pPr>
      <w:r w:rsidRPr="003E72FE">
        <w:rPr>
          <w:b/>
        </w:rPr>
        <w:t>[48]</w:t>
      </w:r>
      <w:r w:rsidRPr="003E72FE">
        <w:tab/>
      </w:r>
      <w:r w:rsidRPr="003E72FE">
        <w:rPr>
          <w:b/>
          <w:bCs/>
          <w:i/>
        </w:rPr>
        <w:t>Standard 3.3.1</w:t>
      </w:r>
      <w:r w:rsidRPr="003E72FE">
        <w:rPr>
          <w:i/>
        </w:rPr>
        <w:t xml:space="preserve"> of the Australia New Zealand Food Standards Code is varied by –</w:t>
      </w:r>
    </w:p>
    <w:p w:rsidR="003E72FE" w:rsidRPr="003E72FE" w:rsidRDefault="003E72FE" w:rsidP="003E72FE">
      <w:pPr>
        <w:pStyle w:val="Clause"/>
        <w:rPr>
          <w:i/>
        </w:rPr>
      </w:pPr>
    </w:p>
    <w:p w:rsidR="003E72FE" w:rsidRPr="003E72FE" w:rsidRDefault="003E72FE" w:rsidP="003E72FE">
      <w:pPr>
        <w:pStyle w:val="Clause"/>
      </w:pPr>
      <w:r w:rsidRPr="003E72FE">
        <w:t>[48.1]</w:t>
      </w:r>
      <w:r w:rsidRPr="003E72FE">
        <w:tab/>
      </w:r>
      <w:r w:rsidRPr="003E72FE">
        <w:rPr>
          <w:i/>
        </w:rPr>
        <w:t xml:space="preserve">omitting from the </w:t>
      </w:r>
      <w:r w:rsidRPr="003E72FE">
        <w:t>Editorial note</w:t>
      </w:r>
      <w:r w:rsidRPr="003E72FE">
        <w:rPr>
          <w:i/>
        </w:rPr>
        <w:t xml:space="preserve"> following subclause 1(2)</w:t>
      </w:r>
      <w:r w:rsidRPr="003E72FE">
        <w:t xml:space="preserve"> –</w:t>
      </w:r>
    </w:p>
    <w:p w:rsidR="003E72FE" w:rsidRPr="003E72FE" w:rsidRDefault="003E72FE" w:rsidP="003E72FE">
      <w:pPr>
        <w:pStyle w:val="Clause"/>
        <w:rPr>
          <w:rFonts w:cs="Arial"/>
        </w:rPr>
      </w:pPr>
    </w:p>
    <w:p w:rsidR="003E72FE" w:rsidRPr="003E72FE" w:rsidRDefault="003E72FE" w:rsidP="003E72FE">
      <w:pPr>
        <w:pStyle w:val="Clause"/>
        <w:rPr>
          <w:rFonts w:cs="Arial"/>
        </w:rPr>
      </w:pPr>
      <w:r w:rsidRPr="003E72FE">
        <w:rPr>
          <w:rFonts w:cs="Arial"/>
        </w:rPr>
        <w:t>micro-organisms</w:t>
      </w:r>
    </w:p>
    <w:p w:rsidR="003E72FE" w:rsidRPr="003E72FE" w:rsidRDefault="003E72FE" w:rsidP="003E72FE">
      <w:pPr>
        <w:rPr>
          <w:rFonts w:cs="Arial"/>
          <w:i/>
          <w:sz w:val="20"/>
          <w:szCs w:val="20"/>
        </w:rPr>
      </w:pPr>
    </w:p>
    <w:p w:rsidR="003E72FE" w:rsidRPr="003E72FE" w:rsidRDefault="003E72FE" w:rsidP="003E72FE">
      <w:pPr>
        <w:pStyle w:val="Clause"/>
        <w:rPr>
          <w:rFonts w:cs="Arial"/>
          <w:i/>
          <w:iCs/>
        </w:rPr>
      </w:pPr>
      <w:r w:rsidRPr="003E72FE">
        <w:rPr>
          <w:rFonts w:cs="Arial"/>
          <w:i/>
          <w:iCs/>
        </w:rPr>
        <w:t>substituting –</w:t>
      </w:r>
    </w:p>
    <w:p w:rsidR="003E72FE" w:rsidRPr="003E72FE" w:rsidRDefault="003E72FE" w:rsidP="003E72FE">
      <w:pPr>
        <w:rPr>
          <w:rFonts w:cs="Arial"/>
          <w:i/>
          <w:sz w:val="20"/>
          <w:szCs w:val="20"/>
        </w:rPr>
      </w:pPr>
    </w:p>
    <w:p w:rsidR="003E72FE" w:rsidRPr="003E72FE" w:rsidRDefault="003E72FE" w:rsidP="003E72FE">
      <w:pPr>
        <w:pStyle w:val="Clause"/>
        <w:rPr>
          <w:rFonts w:cs="Arial"/>
        </w:rPr>
      </w:pPr>
      <w:r w:rsidRPr="003E72FE">
        <w:rPr>
          <w:rFonts w:cs="Arial"/>
        </w:rPr>
        <w:t>microorganisms</w:t>
      </w:r>
    </w:p>
    <w:p w:rsidR="003E72FE" w:rsidRPr="003E72FE" w:rsidRDefault="003E72FE" w:rsidP="003E72FE">
      <w:pPr>
        <w:rPr>
          <w:rFonts w:cs="Arial"/>
          <w:sz w:val="20"/>
          <w:szCs w:val="20"/>
        </w:rPr>
      </w:pPr>
    </w:p>
    <w:p w:rsidR="003E72FE" w:rsidRPr="003E72FE" w:rsidRDefault="003E72FE" w:rsidP="003E72FE">
      <w:pPr>
        <w:pStyle w:val="Clause"/>
      </w:pPr>
      <w:r w:rsidRPr="003E72FE">
        <w:t>[48.2]</w:t>
      </w:r>
      <w:r w:rsidRPr="003E72FE">
        <w:rPr>
          <w:i/>
        </w:rPr>
        <w:tab/>
        <w:t xml:space="preserve">omitting </w:t>
      </w:r>
      <w:r w:rsidRPr="003E72FE">
        <w:t xml:space="preserve">and/or </w:t>
      </w:r>
      <w:r w:rsidRPr="003E72FE">
        <w:rPr>
          <w:i/>
        </w:rPr>
        <w:t xml:space="preserve">wherever occurring in the </w:t>
      </w:r>
      <w:r w:rsidRPr="003E72FE">
        <w:t xml:space="preserve">Schedule, </w:t>
      </w:r>
      <w:r w:rsidRPr="003E72FE">
        <w:rPr>
          <w:i/>
        </w:rPr>
        <w:t xml:space="preserve">substituting </w:t>
      </w:r>
      <w:r w:rsidRPr="003E72FE">
        <w:t>or</w:t>
      </w:r>
    </w:p>
    <w:p w:rsidR="003E72FE" w:rsidRPr="003E72FE" w:rsidRDefault="003E72FE" w:rsidP="003E72FE">
      <w:pPr>
        <w:rPr>
          <w:sz w:val="20"/>
          <w:szCs w:val="20"/>
        </w:rPr>
      </w:pPr>
    </w:p>
    <w:p w:rsidR="003E72FE" w:rsidRPr="003E72FE" w:rsidRDefault="003E72FE" w:rsidP="003E72FE">
      <w:pPr>
        <w:pStyle w:val="Clause"/>
      </w:pPr>
      <w:r w:rsidRPr="003E72FE">
        <w:rPr>
          <w:b/>
        </w:rPr>
        <w:t>[49]</w:t>
      </w:r>
      <w:r w:rsidRPr="003E72FE">
        <w:rPr>
          <w:b/>
        </w:rPr>
        <w:tab/>
      </w:r>
      <w:r w:rsidRPr="003E72FE">
        <w:rPr>
          <w:b/>
          <w:i/>
        </w:rPr>
        <w:t xml:space="preserve">Standard 4.2.1 </w:t>
      </w:r>
      <w:r w:rsidRPr="003E72FE">
        <w:rPr>
          <w:i/>
        </w:rPr>
        <w:t>of the Australia New Zealand Food Standards Code is varied by</w:t>
      </w:r>
      <w:r w:rsidRPr="003E72FE">
        <w:t xml:space="preserve"> – </w:t>
      </w:r>
    </w:p>
    <w:p w:rsidR="003E72FE" w:rsidRPr="003E72FE" w:rsidRDefault="003E72FE" w:rsidP="003E72FE">
      <w:pPr>
        <w:pStyle w:val="Clause"/>
      </w:pPr>
    </w:p>
    <w:p w:rsidR="003E72FE" w:rsidRPr="003E72FE" w:rsidRDefault="003E72FE" w:rsidP="003E72FE">
      <w:pPr>
        <w:pStyle w:val="Clause"/>
      </w:pPr>
      <w:r w:rsidRPr="003E72FE">
        <w:t>[49.1]</w:t>
      </w:r>
      <w:r w:rsidRPr="003E72FE">
        <w:tab/>
      </w:r>
      <w:r w:rsidRPr="003E72FE">
        <w:rPr>
          <w:i/>
        </w:rPr>
        <w:t xml:space="preserve">omitting </w:t>
      </w:r>
      <w:r w:rsidRPr="003E72FE">
        <w:t>food-borne</w:t>
      </w:r>
      <w:r w:rsidRPr="003E72FE">
        <w:rPr>
          <w:i/>
          <w:iCs/>
        </w:rPr>
        <w:t xml:space="preserve"> wherever appearing</w:t>
      </w:r>
      <w:r w:rsidRPr="003E72FE">
        <w:rPr>
          <w:i/>
        </w:rPr>
        <w:t xml:space="preserve">, substituting </w:t>
      </w:r>
      <w:r w:rsidRPr="003E72FE">
        <w:t>foodborne</w:t>
      </w:r>
    </w:p>
    <w:p w:rsidR="003E72FE" w:rsidRPr="003E72FE" w:rsidRDefault="003E72FE" w:rsidP="003E72FE">
      <w:pPr>
        <w:rPr>
          <w:sz w:val="20"/>
          <w:szCs w:val="20"/>
        </w:rPr>
      </w:pPr>
    </w:p>
    <w:p w:rsidR="003E72FE" w:rsidRPr="003E72FE" w:rsidRDefault="003E72FE" w:rsidP="003E72FE">
      <w:pPr>
        <w:pStyle w:val="Clause"/>
      </w:pPr>
      <w:r w:rsidRPr="003E72FE">
        <w:t>[49.2]</w:t>
      </w:r>
      <w:r w:rsidRPr="003E72FE">
        <w:tab/>
      </w:r>
      <w:r w:rsidRPr="003E72FE">
        <w:rPr>
          <w:i/>
        </w:rPr>
        <w:t xml:space="preserve">omitting the definition of </w:t>
      </w:r>
      <w:r w:rsidRPr="003E72FE">
        <w:t xml:space="preserve">ASQAP Manual </w:t>
      </w:r>
      <w:r w:rsidRPr="003E72FE">
        <w:rPr>
          <w:i/>
        </w:rPr>
        <w:t>in clause 15, substituting</w:t>
      </w:r>
      <w:r w:rsidRPr="003E72FE">
        <w:t xml:space="preserve"> – </w:t>
      </w:r>
    </w:p>
    <w:p w:rsidR="003E72FE" w:rsidRPr="003E72FE" w:rsidRDefault="003E72FE" w:rsidP="003E72FE">
      <w:pPr>
        <w:rPr>
          <w:i/>
          <w:sz w:val="20"/>
          <w:szCs w:val="20"/>
        </w:rPr>
      </w:pPr>
    </w:p>
    <w:p w:rsidR="003E72FE" w:rsidRPr="003E72FE" w:rsidRDefault="003E72FE" w:rsidP="003E72FE">
      <w:pPr>
        <w:pStyle w:val="Definition"/>
      </w:pPr>
      <w:r w:rsidRPr="003E72FE">
        <w:rPr>
          <w:b/>
        </w:rPr>
        <w:t xml:space="preserve">ASQAP Manual </w:t>
      </w:r>
      <w:r w:rsidRPr="003E72FE">
        <w:t>means the Australian Shellfish Quality Assurance Program Operations Manual.</w:t>
      </w:r>
    </w:p>
    <w:p w:rsidR="003E72FE" w:rsidRPr="003E72FE" w:rsidRDefault="003E72FE" w:rsidP="003E72FE">
      <w:pPr>
        <w:pStyle w:val="Clause"/>
        <w:rPr>
          <w:i/>
          <w:iCs/>
        </w:rPr>
      </w:pPr>
    </w:p>
    <w:p w:rsidR="003E72FE" w:rsidRPr="003E72FE" w:rsidRDefault="003E72FE" w:rsidP="003E72FE">
      <w:pPr>
        <w:pStyle w:val="Clause"/>
      </w:pPr>
      <w:r w:rsidRPr="003E72FE">
        <w:t>[49.3]</w:t>
      </w:r>
      <w:r w:rsidRPr="003E72FE">
        <w:tab/>
      </w:r>
      <w:r w:rsidRPr="003E72FE">
        <w:rPr>
          <w:i/>
        </w:rPr>
        <w:t xml:space="preserve">omitting the definition of </w:t>
      </w:r>
      <w:r w:rsidRPr="003E72FE">
        <w:rPr>
          <w:b/>
        </w:rPr>
        <w:t>batch</w:t>
      </w:r>
      <w:r w:rsidRPr="003E72FE">
        <w:rPr>
          <w:i/>
        </w:rPr>
        <w:t xml:space="preserve"> in clause 15, substituting</w:t>
      </w:r>
      <w:r w:rsidRPr="003E72FE">
        <w:t xml:space="preserve"> – </w:t>
      </w:r>
    </w:p>
    <w:p w:rsidR="003E72FE" w:rsidRPr="003E72FE" w:rsidRDefault="003E72FE" w:rsidP="003E72FE">
      <w:pPr>
        <w:pStyle w:val="Clause"/>
        <w:rPr>
          <w:i/>
        </w:rPr>
      </w:pPr>
    </w:p>
    <w:p w:rsidR="003E72FE" w:rsidRPr="003E72FE" w:rsidRDefault="003E72FE" w:rsidP="003E72FE">
      <w:pPr>
        <w:pStyle w:val="Definition"/>
      </w:pPr>
      <w:r w:rsidRPr="003E72FE">
        <w:rPr>
          <w:b/>
        </w:rPr>
        <w:t>batch</w:t>
      </w:r>
      <w:r w:rsidRPr="003E72FE">
        <w:t xml:space="preserve"> means a quantity of bivalve molluscs harvested from a particular harvesting area (e.g. marine farm, lease or designated wild shellstock harvest area) and with the same harvest date.</w:t>
      </w:r>
    </w:p>
    <w:p w:rsidR="003E72FE" w:rsidRPr="003E72FE" w:rsidRDefault="003E72FE" w:rsidP="003E72FE">
      <w:pPr>
        <w:rPr>
          <w:i/>
          <w:sz w:val="20"/>
          <w:szCs w:val="20"/>
        </w:rPr>
      </w:pPr>
    </w:p>
    <w:p w:rsidR="003E72FE" w:rsidRPr="003E72FE" w:rsidRDefault="003E72FE" w:rsidP="003E72FE">
      <w:pPr>
        <w:pStyle w:val="Clause"/>
      </w:pPr>
      <w:r w:rsidRPr="003E72FE">
        <w:rPr>
          <w:b/>
        </w:rPr>
        <w:t>[50]</w:t>
      </w:r>
      <w:r w:rsidRPr="003E72FE">
        <w:rPr>
          <w:b/>
        </w:rPr>
        <w:tab/>
      </w:r>
      <w:r w:rsidRPr="003E72FE">
        <w:rPr>
          <w:b/>
          <w:i/>
        </w:rPr>
        <w:t>Standard 4.2.4</w:t>
      </w:r>
      <w:r w:rsidRPr="003E72FE">
        <w:rPr>
          <w:i/>
        </w:rPr>
        <w:t xml:space="preserve"> is varied by omitting </w:t>
      </w:r>
      <w:r w:rsidRPr="003E72FE">
        <w:t xml:space="preserve">and/ or </w:t>
      </w:r>
      <w:r w:rsidRPr="003E72FE">
        <w:rPr>
          <w:i/>
        </w:rPr>
        <w:t xml:space="preserve">from the </w:t>
      </w:r>
      <w:r w:rsidRPr="003E72FE">
        <w:t>Editorial note</w:t>
      </w:r>
      <w:r w:rsidRPr="003E72FE">
        <w:rPr>
          <w:i/>
        </w:rPr>
        <w:t xml:space="preserve"> following subclause 15(5), substituting</w:t>
      </w:r>
      <w:r w:rsidRPr="003E72FE">
        <w:t xml:space="preserve"> or</w:t>
      </w:r>
    </w:p>
    <w:p w:rsidR="003E72FE" w:rsidRPr="003E72FE" w:rsidRDefault="003E72FE" w:rsidP="003E72FE">
      <w:pPr>
        <w:rPr>
          <w:i/>
          <w:sz w:val="20"/>
          <w:szCs w:val="20"/>
        </w:rPr>
      </w:pPr>
    </w:p>
    <w:p w:rsidR="003E72FE" w:rsidRPr="003E72FE" w:rsidRDefault="003E72FE" w:rsidP="003E72FE">
      <w:pPr>
        <w:pStyle w:val="Clause"/>
      </w:pPr>
      <w:r w:rsidRPr="003E72FE">
        <w:rPr>
          <w:b/>
          <w:bCs/>
        </w:rPr>
        <w:t>[51]</w:t>
      </w:r>
      <w:r w:rsidRPr="003E72FE">
        <w:tab/>
      </w:r>
      <w:r w:rsidRPr="003E72FE">
        <w:rPr>
          <w:b/>
          <w:bCs/>
          <w:i/>
          <w:iCs/>
        </w:rPr>
        <w:t>Standard 4.5.1</w:t>
      </w:r>
      <w:r w:rsidRPr="003E72FE">
        <w:rPr>
          <w:i/>
          <w:iCs/>
        </w:rPr>
        <w:t xml:space="preserve"> of the Australia New Zealand Food Standards Code is varied by </w:t>
      </w:r>
      <w:r w:rsidRPr="003E72FE">
        <w:rPr>
          <w:i/>
        </w:rPr>
        <w:t>omitting subclause 5(4), substituting</w:t>
      </w:r>
      <w:r w:rsidRPr="003E72FE">
        <w:t xml:space="preserve"> – </w:t>
      </w:r>
    </w:p>
    <w:p w:rsidR="003E72FE" w:rsidRPr="003E72FE" w:rsidRDefault="003E72FE" w:rsidP="003E72FE">
      <w:pPr>
        <w:rPr>
          <w:i/>
          <w:sz w:val="20"/>
          <w:szCs w:val="20"/>
        </w:rPr>
      </w:pPr>
    </w:p>
    <w:p w:rsidR="003E72FE" w:rsidRPr="003E72FE" w:rsidRDefault="003E72FE" w:rsidP="003E72FE">
      <w:pPr>
        <w:pStyle w:val="Subclause"/>
      </w:pPr>
      <w:r w:rsidRPr="003E72FE">
        <w:t>(4)</w:t>
      </w:r>
      <w:r w:rsidRPr="003E72FE">
        <w:tab/>
        <w:t>Deleted</w:t>
      </w:r>
    </w:p>
    <w:p w:rsidR="003E72FE" w:rsidRPr="003E72FE" w:rsidRDefault="003E72FE" w:rsidP="003E72FE">
      <w:pPr>
        <w:rPr>
          <w:b/>
          <w:sz w:val="20"/>
          <w:szCs w:val="20"/>
        </w:rPr>
      </w:pPr>
    </w:p>
    <w:p w:rsidR="003E72FE" w:rsidRPr="003E72FE" w:rsidRDefault="003E72FE" w:rsidP="003E72FE">
      <w:pPr>
        <w:pStyle w:val="Clause"/>
        <w:rPr>
          <w:i/>
        </w:rPr>
      </w:pPr>
      <w:r w:rsidRPr="003E72FE">
        <w:rPr>
          <w:b/>
        </w:rPr>
        <w:t>[52]</w:t>
      </w:r>
      <w:r w:rsidRPr="003E72FE">
        <w:rPr>
          <w:b/>
          <w:color w:val="FF0000"/>
        </w:rPr>
        <w:tab/>
      </w:r>
      <w:r w:rsidRPr="003E72FE">
        <w:rPr>
          <w:b/>
          <w:i/>
        </w:rPr>
        <w:t xml:space="preserve">Standard 1.5.1 </w:t>
      </w:r>
      <w:r w:rsidRPr="003E72FE">
        <w:rPr>
          <w:i/>
        </w:rPr>
        <w:t xml:space="preserve">is varied by – </w:t>
      </w:r>
    </w:p>
    <w:p w:rsidR="003E72FE" w:rsidRPr="003E72FE" w:rsidRDefault="003E72FE" w:rsidP="003E72FE">
      <w:pPr>
        <w:rPr>
          <w:sz w:val="20"/>
          <w:szCs w:val="20"/>
        </w:rPr>
      </w:pPr>
    </w:p>
    <w:p w:rsidR="003E72FE" w:rsidRPr="003E72FE" w:rsidRDefault="003E72FE" w:rsidP="003E72FE">
      <w:pPr>
        <w:pStyle w:val="Clause"/>
      </w:pPr>
      <w:r w:rsidRPr="003E72FE">
        <w:t>[52.1]</w:t>
      </w:r>
      <w:r w:rsidRPr="003E72FE">
        <w:tab/>
      </w:r>
      <w:r w:rsidRPr="003E72FE">
        <w:rPr>
          <w:i/>
        </w:rPr>
        <w:t xml:space="preserve">omitting the entry for </w:t>
      </w:r>
      <w:r w:rsidRPr="003E72FE">
        <w:t>Tall oil phytosterol Esters</w:t>
      </w:r>
      <w:r w:rsidRPr="003E72FE">
        <w:rPr>
          <w:i/>
        </w:rPr>
        <w:t xml:space="preserve"> from the </w:t>
      </w:r>
      <w:r w:rsidRPr="003E72FE">
        <w:t>Table to clause 3</w:t>
      </w:r>
    </w:p>
    <w:p w:rsidR="003E72FE" w:rsidRPr="003E72FE" w:rsidRDefault="003E72FE" w:rsidP="003E72FE">
      <w:pPr>
        <w:rPr>
          <w:sz w:val="20"/>
          <w:szCs w:val="20"/>
        </w:rPr>
      </w:pPr>
    </w:p>
    <w:p w:rsidR="003E72FE" w:rsidRPr="003E72FE" w:rsidRDefault="003E72FE" w:rsidP="003E72FE">
      <w:pPr>
        <w:pStyle w:val="Clause"/>
      </w:pPr>
      <w:r w:rsidRPr="003E72FE">
        <w:t>[52.2]</w:t>
      </w:r>
      <w:r w:rsidRPr="003E72FE">
        <w:tab/>
      </w:r>
      <w:r w:rsidRPr="003E72FE">
        <w:rPr>
          <w:i/>
        </w:rPr>
        <w:t xml:space="preserve">inserting the following entry into the </w:t>
      </w:r>
      <w:r w:rsidRPr="003E72FE">
        <w:t xml:space="preserve">Table to clause 2 – </w:t>
      </w:r>
    </w:p>
    <w:p w:rsidR="003E72FE" w:rsidRPr="003E72FE" w:rsidRDefault="003E72FE" w:rsidP="003E72FE">
      <w:pPr>
        <w:rPr>
          <w:sz w:val="20"/>
          <w:szCs w:val="20"/>
        </w:rPr>
      </w:pPr>
    </w:p>
    <w:tbl>
      <w:tblPr>
        <w:tblW w:w="9075" w:type="dxa"/>
        <w:tblLayout w:type="fixed"/>
        <w:tblCellMar>
          <w:left w:w="80" w:type="dxa"/>
          <w:right w:w="80" w:type="dxa"/>
        </w:tblCellMar>
        <w:tblLook w:val="04A0" w:firstRow="1" w:lastRow="0" w:firstColumn="1" w:lastColumn="0" w:noHBand="0" w:noVBand="1"/>
      </w:tblPr>
      <w:tblGrid>
        <w:gridCol w:w="4537"/>
        <w:gridCol w:w="4538"/>
      </w:tblGrid>
      <w:tr w:rsidR="003E72FE" w:rsidTr="003E72FE">
        <w:trPr>
          <w:cantSplit/>
        </w:trPr>
        <w:tc>
          <w:tcPr>
            <w:tcW w:w="4536" w:type="dxa"/>
            <w:tcBorders>
              <w:top w:val="single" w:sz="6" w:space="0" w:color="auto"/>
              <w:left w:val="single" w:sz="6" w:space="0" w:color="auto"/>
              <w:bottom w:val="single" w:sz="6" w:space="0" w:color="auto"/>
              <w:right w:val="single" w:sz="6" w:space="0" w:color="auto"/>
            </w:tcBorders>
            <w:hideMark/>
          </w:tcPr>
          <w:p w:rsidR="003E72FE" w:rsidRDefault="003E72FE">
            <w:pPr>
              <w:pStyle w:val="Table2"/>
              <w:spacing w:line="276" w:lineRule="auto"/>
              <w:rPr>
                <w:szCs w:val="18"/>
              </w:rPr>
            </w:pPr>
            <w:r>
              <w:lastRenderedPageBreak/>
              <w:t>Tall oil phytosterol esters</w:t>
            </w:r>
          </w:p>
        </w:tc>
        <w:tc>
          <w:tcPr>
            <w:tcW w:w="4536" w:type="dxa"/>
            <w:tcBorders>
              <w:top w:val="single" w:sz="6" w:space="0" w:color="auto"/>
              <w:left w:val="single" w:sz="6" w:space="0" w:color="auto"/>
              <w:bottom w:val="single" w:sz="6" w:space="0" w:color="auto"/>
              <w:right w:val="single" w:sz="6" w:space="0" w:color="auto"/>
            </w:tcBorders>
          </w:tcPr>
          <w:p w:rsidR="003E72FE" w:rsidRDefault="003E72FE">
            <w:pPr>
              <w:pStyle w:val="Table2"/>
              <w:spacing w:line="276" w:lineRule="auto"/>
            </w:pPr>
            <w:r>
              <w:t>The tall oil phytosterol esters must comply with the specification for tall oil phytosterol esters in the Schedule to Standard 1.3.4.</w:t>
            </w:r>
          </w:p>
          <w:p w:rsidR="003E72FE" w:rsidRDefault="003E72FE">
            <w:pPr>
              <w:pStyle w:val="Table2"/>
              <w:spacing w:line="276" w:lineRule="auto"/>
              <w:rPr>
                <w:lang w:bidi="ar-SA"/>
              </w:rPr>
            </w:pPr>
          </w:p>
          <w:p w:rsidR="003E72FE" w:rsidRDefault="003E72FE">
            <w:pPr>
              <w:pStyle w:val="Table2"/>
              <w:spacing w:line="276" w:lineRule="auto"/>
            </w:pPr>
            <w:r>
              <w:t>The food must comply with the requirements in clause 2 of Standard 1.2.3.</w:t>
            </w:r>
          </w:p>
          <w:p w:rsidR="003E72FE" w:rsidRDefault="003E72FE">
            <w:pPr>
              <w:pStyle w:val="Table2"/>
              <w:spacing w:line="276" w:lineRule="auto"/>
            </w:pPr>
          </w:p>
          <w:p w:rsidR="003E72FE" w:rsidRDefault="003E72FE">
            <w:pPr>
              <w:pStyle w:val="Table2"/>
              <w:spacing w:line="276" w:lineRule="auto"/>
            </w:pPr>
            <w:r>
              <w:t>The name ‘tall oil phytosterol esters’ or ‘plant sterol esters’ must be used.</w:t>
            </w:r>
          </w:p>
          <w:p w:rsidR="003E72FE" w:rsidRDefault="003E72FE">
            <w:pPr>
              <w:pStyle w:val="Table2"/>
              <w:spacing w:line="276" w:lineRule="auto"/>
            </w:pPr>
          </w:p>
          <w:p w:rsidR="003E72FE" w:rsidRDefault="003E72FE">
            <w:pPr>
              <w:pStyle w:val="Table2"/>
              <w:spacing w:line="276" w:lineRule="auto"/>
            </w:pPr>
            <w:r>
              <w:t>May only be added to cheese and processed cheese, in accordance with Standard 2.5.4.</w:t>
            </w:r>
          </w:p>
          <w:p w:rsidR="003E72FE" w:rsidRDefault="003E72FE">
            <w:pPr>
              <w:pStyle w:val="Table2"/>
              <w:spacing w:line="276" w:lineRule="auto"/>
              <w:ind w:left="0" w:firstLine="0"/>
            </w:pPr>
          </w:p>
          <w:p w:rsidR="003E72FE" w:rsidRDefault="003E72FE">
            <w:pPr>
              <w:pStyle w:val="Table2"/>
              <w:spacing w:line="276" w:lineRule="auto"/>
            </w:pPr>
            <w:r>
              <w:t>Foods to which tall oil phytosterol esters have been added must not be used as ingredients in other foods.</w:t>
            </w:r>
          </w:p>
          <w:p w:rsidR="003E72FE" w:rsidRDefault="003E72FE">
            <w:pPr>
              <w:pStyle w:val="Table2"/>
              <w:spacing w:line="276" w:lineRule="auto"/>
              <w:ind w:left="0" w:firstLine="0"/>
            </w:pPr>
          </w:p>
        </w:tc>
      </w:tr>
    </w:tbl>
    <w:p w:rsidR="003E72FE" w:rsidRPr="003E72FE" w:rsidRDefault="003E72FE" w:rsidP="003E72FE">
      <w:pPr>
        <w:rPr>
          <w:sz w:val="20"/>
          <w:szCs w:val="20"/>
        </w:rPr>
      </w:pPr>
    </w:p>
    <w:p w:rsidR="003E72FE" w:rsidRPr="003E72FE" w:rsidRDefault="003E72FE" w:rsidP="003E72FE">
      <w:pPr>
        <w:pStyle w:val="Clause"/>
        <w:rPr>
          <w:lang w:bidi="ar-SA"/>
        </w:rPr>
      </w:pPr>
      <w:r w:rsidRPr="003E72FE">
        <w:rPr>
          <w:b/>
        </w:rPr>
        <w:t>[53</w:t>
      </w:r>
      <w:r w:rsidRPr="003E72FE">
        <w:t>]</w:t>
      </w:r>
      <w:r w:rsidRPr="003E72FE">
        <w:tab/>
      </w:r>
      <w:r w:rsidRPr="003E72FE">
        <w:rPr>
          <w:b/>
          <w:bCs/>
          <w:i/>
        </w:rPr>
        <w:t>Standard 1.6.2</w:t>
      </w:r>
      <w:r w:rsidRPr="003E72FE">
        <w:rPr>
          <w:i/>
        </w:rPr>
        <w:t xml:space="preserve"> is varied by omitting from the</w:t>
      </w:r>
      <w:r w:rsidRPr="003E72FE">
        <w:t xml:space="preserve"> Table of Provisions– </w:t>
      </w:r>
    </w:p>
    <w:p w:rsidR="003E72FE" w:rsidRPr="003E72FE" w:rsidRDefault="003E72FE" w:rsidP="003E72FE">
      <w:pPr>
        <w:rPr>
          <w:iCs/>
          <w:sz w:val="20"/>
          <w:szCs w:val="20"/>
        </w:rPr>
      </w:pPr>
    </w:p>
    <w:p w:rsidR="003E72FE" w:rsidRPr="003E72FE" w:rsidRDefault="003E72FE" w:rsidP="003E72FE">
      <w:pPr>
        <w:pStyle w:val="ClauseList"/>
      </w:pPr>
      <w:r w:rsidRPr="003E72FE">
        <w:t>4</w:t>
      </w:r>
      <w:r w:rsidRPr="003E72FE">
        <w:tab/>
        <w:t>Eviscerated poultry</w:t>
      </w:r>
    </w:p>
    <w:p w:rsidR="003E72FE" w:rsidRPr="003E72FE" w:rsidRDefault="003E72FE" w:rsidP="003E72FE">
      <w:pPr>
        <w:rPr>
          <w:iCs/>
          <w:sz w:val="20"/>
          <w:szCs w:val="20"/>
        </w:rPr>
      </w:pPr>
    </w:p>
    <w:p w:rsidR="003E72FE" w:rsidRPr="003E72FE" w:rsidRDefault="003E72FE" w:rsidP="003E72FE">
      <w:pPr>
        <w:pStyle w:val="Clause"/>
        <w:rPr>
          <w:i/>
          <w:iCs/>
        </w:rPr>
      </w:pPr>
      <w:r w:rsidRPr="003E72FE">
        <w:rPr>
          <w:i/>
          <w:iCs/>
        </w:rPr>
        <w:t xml:space="preserve">substituting – </w:t>
      </w:r>
    </w:p>
    <w:p w:rsidR="003E72FE" w:rsidRPr="003E72FE" w:rsidRDefault="003E72FE" w:rsidP="003E72FE">
      <w:pPr>
        <w:rPr>
          <w:i/>
          <w:iCs/>
          <w:sz w:val="20"/>
          <w:szCs w:val="20"/>
        </w:rPr>
      </w:pPr>
    </w:p>
    <w:p w:rsidR="003E72FE" w:rsidRPr="003E72FE" w:rsidRDefault="003E72FE" w:rsidP="003E72FE">
      <w:pPr>
        <w:pStyle w:val="ClauseList"/>
      </w:pPr>
      <w:r w:rsidRPr="003E72FE">
        <w:t>4</w:t>
      </w:r>
      <w:r w:rsidRPr="003E72FE">
        <w:tab/>
        <w:t>Deleted</w:t>
      </w:r>
    </w:p>
    <w:p w:rsidR="003E72FE" w:rsidRPr="003E72FE" w:rsidRDefault="003E72FE" w:rsidP="003E72FE">
      <w:pPr>
        <w:rPr>
          <w:rFonts w:cs="Arial"/>
          <w:sz w:val="20"/>
          <w:szCs w:val="20"/>
        </w:rPr>
      </w:pPr>
    </w:p>
    <w:p w:rsidR="003E72FE" w:rsidRPr="003E72FE" w:rsidRDefault="003E72FE" w:rsidP="003E72FE">
      <w:pPr>
        <w:pStyle w:val="Clause"/>
      </w:pPr>
      <w:r w:rsidRPr="003E72FE">
        <w:rPr>
          <w:b/>
        </w:rPr>
        <w:t>[54</w:t>
      </w:r>
      <w:r w:rsidRPr="003E72FE">
        <w:t>]</w:t>
      </w:r>
      <w:r w:rsidRPr="003E72FE">
        <w:tab/>
      </w:r>
      <w:r w:rsidRPr="003E72FE">
        <w:rPr>
          <w:b/>
          <w:bCs/>
          <w:i/>
        </w:rPr>
        <w:t>Standard 1.6.2</w:t>
      </w:r>
      <w:r w:rsidRPr="003E72FE">
        <w:rPr>
          <w:i/>
        </w:rPr>
        <w:t xml:space="preserve"> is varied by omitting from the</w:t>
      </w:r>
      <w:r w:rsidRPr="003E72FE">
        <w:t xml:space="preserve"> Table of Provisions– </w:t>
      </w:r>
    </w:p>
    <w:p w:rsidR="003E72FE" w:rsidRPr="003E72FE" w:rsidRDefault="003E72FE" w:rsidP="003E72FE">
      <w:pPr>
        <w:rPr>
          <w:iCs/>
          <w:sz w:val="20"/>
          <w:szCs w:val="20"/>
        </w:rPr>
      </w:pPr>
    </w:p>
    <w:p w:rsidR="003E72FE" w:rsidRPr="003E72FE" w:rsidRDefault="003E72FE" w:rsidP="003E72FE">
      <w:pPr>
        <w:pStyle w:val="ClauseList"/>
      </w:pPr>
      <w:r w:rsidRPr="003E72FE">
        <w:t>3</w:t>
      </w:r>
      <w:r w:rsidRPr="003E72FE">
        <w:tab/>
        <w:t>Processing of egg products</w:t>
      </w:r>
    </w:p>
    <w:p w:rsidR="003E72FE" w:rsidRPr="003E72FE" w:rsidRDefault="003E72FE" w:rsidP="003E72FE">
      <w:pPr>
        <w:rPr>
          <w:iCs/>
          <w:sz w:val="20"/>
          <w:szCs w:val="20"/>
        </w:rPr>
      </w:pPr>
    </w:p>
    <w:p w:rsidR="003E72FE" w:rsidRPr="003E72FE" w:rsidRDefault="003E72FE" w:rsidP="003E72FE">
      <w:pPr>
        <w:pStyle w:val="Clause"/>
        <w:rPr>
          <w:i/>
          <w:iCs/>
        </w:rPr>
      </w:pPr>
      <w:r w:rsidRPr="003E72FE">
        <w:rPr>
          <w:i/>
          <w:iCs/>
        </w:rPr>
        <w:t xml:space="preserve">substituting – </w:t>
      </w:r>
    </w:p>
    <w:p w:rsidR="003E72FE" w:rsidRPr="003E72FE" w:rsidRDefault="003E72FE" w:rsidP="003E72FE">
      <w:pPr>
        <w:rPr>
          <w:i/>
          <w:iCs/>
          <w:sz w:val="20"/>
          <w:szCs w:val="20"/>
        </w:rPr>
      </w:pPr>
    </w:p>
    <w:p w:rsidR="003E72FE" w:rsidRPr="003E72FE" w:rsidRDefault="003E72FE" w:rsidP="003E72FE">
      <w:pPr>
        <w:pStyle w:val="ClauseList"/>
        <w:rPr>
          <w:rFonts w:cs="Arial"/>
        </w:rPr>
      </w:pPr>
      <w:r w:rsidRPr="003E72FE">
        <w:t>3</w:t>
      </w:r>
      <w:r w:rsidRPr="003E72FE">
        <w:tab/>
        <w:t>Deleted</w:t>
      </w:r>
    </w:p>
    <w:p w:rsidR="0057743E" w:rsidRPr="003E72FE" w:rsidRDefault="0057743E" w:rsidP="0057743E">
      <w:pPr>
        <w:pStyle w:val="Clause"/>
      </w:pPr>
    </w:p>
    <w:p w:rsidR="003C4969" w:rsidRPr="00DC6570" w:rsidRDefault="003C4969">
      <w:pPr>
        <w:pStyle w:val="Heading2"/>
        <w:jc w:val="right"/>
        <w:rPr>
          <w:rFonts w:cs="Arial"/>
        </w:rPr>
      </w:pPr>
      <w:r w:rsidRPr="00DC6570">
        <w:rPr>
          <w:rFonts w:cs="Arial"/>
        </w:rPr>
        <w:br w:type="page"/>
      </w:r>
      <w:bookmarkStart w:id="221" w:name="_Toc120358598"/>
      <w:bookmarkStart w:id="222" w:name="_Toc290973099"/>
      <w:r w:rsidRPr="00DC6570">
        <w:rPr>
          <w:rFonts w:cs="Arial"/>
        </w:rPr>
        <w:lastRenderedPageBreak/>
        <w:t xml:space="preserve">Attachment </w:t>
      </w:r>
      <w:r w:rsidR="008E247D">
        <w:rPr>
          <w:rFonts w:cs="Arial"/>
        </w:rPr>
        <w:t>1</w:t>
      </w:r>
      <w:bookmarkEnd w:id="221"/>
      <w:r w:rsidR="0025457F">
        <w:rPr>
          <w:rFonts w:cs="Arial"/>
        </w:rPr>
        <w:t>B</w:t>
      </w:r>
      <w:bookmarkEnd w:id="222"/>
    </w:p>
    <w:p w:rsidR="003C4969" w:rsidRPr="00DC2129" w:rsidRDefault="003C4969" w:rsidP="00DC2129"/>
    <w:p w:rsidR="00785898" w:rsidRPr="00347E88" w:rsidRDefault="00785898" w:rsidP="00785898">
      <w:pPr>
        <w:pStyle w:val="Heading2"/>
        <w:rPr>
          <w:rFonts w:cs="Arial"/>
        </w:rPr>
      </w:pPr>
      <w:bookmarkStart w:id="223" w:name="_Toc290973100"/>
      <w:r w:rsidRPr="00DC6570">
        <w:rPr>
          <w:rFonts w:cs="Arial"/>
        </w:rPr>
        <w:t>Draft variatio</w:t>
      </w:r>
      <w:r w:rsidRPr="006D3CB4">
        <w:rPr>
          <w:rFonts w:cs="Arial"/>
        </w:rPr>
        <w:t xml:space="preserve">ns </w:t>
      </w:r>
      <w:r w:rsidRPr="00DC6570">
        <w:rPr>
          <w:rFonts w:cs="Arial"/>
        </w:rPr>
        <w:t xml:space="preserve">to the </w:t>
      </w:r>
      <w:r w:rsidRPr="00DC6570">
        <w:rPr>
          <w:rFonts w:cs="Arial"/>
          <w:i/>
          <w:iCs w:val="0"/>
        </w:rPr>
        <w:t>Australia New Zealand Food Standards Code</w:t>
      </w:r>
      <w:r>
        <w:rPr>
          <w:rFonts w:cs="Arial"/>
          <w:i/>
          <w:iCs w:val="0"/>
        </w:rPr>
        <w:t xml:space="preserve"> </w:t>
      </w:r>
      <w:r>
        <w:rPr>
          <w:rFonts w:cs="Arial"/>
          <w:iCs w:val="0"/>
        </w:rPr>
        <w:t>proposed in the Assessment Report</w:t>
      </w:r>
      <w:bookmarkEnd w:id="223"/>
    </w:p>
    <w:p w:rsidR="003C4969" w:rsidRDefault="003C4969">
      <w:pPr>
        <w:rPr>
          <w:rFonts w:cs="Arial"/>
        </w:rPr>
      </w:pPr>
    </w:p>
    <w:p w:rsidR="00E64CEF" w:rsidRPr="00B731D0" w:rsidRDefault="00E64CEF" w:rsidP="00E64CEF">
      <w:pPr>
        <w:jc w:val="center"/>
        <w:rPr>
          <w:rFonts w:cs="Arial"/>
          <w:i/>
        </w:rPr>
      </w:pPr>
      <w:r w:rsidRPr="00B731D0">
        <w:rPr>
          <w:rFonts w:cs="Arial"/>
          <w:i/>
        </w:rPr>
        <w:t xml:space="preserve">Subsection </w:t>
      </w:r>
      <w:r>
        <w:rPr>
          <w:rFonts w:cs="Arial"/>
          <w:i/>
        </w:rPr>
        <w:t>94</w:t>
      </w:r>
      <w:r w:rsidRPr="00B731D0">
        <w:rPr>
          <w:rFonts w:cs="Arial"/>
          <w:i/>
        </w:rPr>
        <w:t xml:space="preserve"> of the FSANZ Act provides that standards or variations to standards are legislative instruments, but are not subject to disallowance or sunsetting</w:t>
      </w:r>
    </w:p>
    <w:p w:rsidR="00E64CEF" w:rsidRDefault="00E64CEF" w:rsidP="00E64CEF">
      <w:pPr>
        <w:rPr>
          <w:b/>
        </w:rPr>
      </w:pPr>
    </w:p>
    <w:p w:rsidR="00E64CEF" w:rsidRPr="003A6433" w:rsidRDefault="00E64CEF" w:rsidP="00E64CEF">
      <w:pPr>
        <w:rPr>
          <w:b/>
        </w:rPr>
      </w:pPr>
      <w:r>
        <w:rPr>
          <w:b/>
        </w:rPr>
        <w:t>To commence: on gazettal</w:t>
      </w:r>
    </w:p>
    <w:p w:rsidR="00E64CEF" w:rsidRDefault="00E64CEF" w:rsidP="00E64CEF">
      <w:pPr>
        <w:pStyle w:val="Clause"/>
        <w:rPr>
          <w:b/>
          <w:bCs/>
          <w:i/>
          <w:iCs/>
        </w:rPr>
      </w:pPr>
    </w:p>
    <w:p w:rsidR="00E64CEF" w:rsidRDefault="00E64CEF" w:rsidP="00E64CEF">
      <w:pPr>
        <w:pStyle w:val="Clause"/>
        <w:rPr>
          <w:bCs/>
        </w:rPr>
      </w:pPr>
      <w:r>
        <w:rPr>
          <w:b/>
          <w:bCs/>
        </w:rPr>
        <w:t>[1]</w:t>
      </w:r>
      <w:r>
        <w:rPr>
          <w:b/>
          <w:bCs/>
        </w:rPr>
        <w:tab/>
      </w:r>
      <w:r>
        <w:rPr>
          <w:b/>
          <w:bCs/>
          <w:i/>
        </w:rPr>
        <w:t xml:space="preserve">The Australia New Zealand Food Standards Code </w:t>
      </w:r>
      <w:r>
        <w:rPr>
          <w:bCs/>
          <w:i/>
        </w:rPr>
        <w:t xml:space="preserve">is varied by omitting </w:t>
      </w:r>
      <w:r>
        <w:rPr>
          <w:bCs/>
        </w:rPr>
        <w:t xml:space="preserve">micro-organism </w:t>
      </w:r>
      <w:r>
        <w:rPr>
          <w:bCs/>
          <w:i/>
        </w:rPr>
        <w:t xml:space="preserve">wherever appearing in the Standards listed in the </w:t>
      </w:r>
      <w:r w:rsidRPr="007076E7">
        <w:rPr>
          <w:bCs/>
        </w:rPr>
        <w:t>Table</w:t>
      </w:r>
      <w:r>
        <w:rPr>
          <w:bCs/>
          <w:i/>
        </w:rPr>
        <w:t xml:space="preserve"> to this item, substituting </w:t>
      </w:r>
      <w:r>
        <w:rPr>
          <w:bCs/>
        </w:rPr>
        <w:t>microorganism –</w:t>
      </w:r>
    </w:p>
    <w:p w:rsidR="00E64CEF" w:rsidRPr="00B90C7C" w:rsidRDefault="00E64CEF" w:rsidP="00E64CEF">
      <w:pPr>
        <w:rPr>
          <w:rFonts w:cs="Arial"/>
          <w:i/>
          <w:iCs/>
          <w:sz w:val="20"/>
          <w:szCs w:val="20"/>
        </w:rPr>
      </w:pPr>
    </w:p>
    <w:p w:rsidR="00E64CEF" w:rsidRPr="00B90C7C" w:rsidRDefault="00E64CEF" w:rsidP="00E64CEF">
      <w:pPr>
        <w:jc w:val="center"/>
        <w:rPr>
          <w:rFonts w:cs="Arial"/>
          <w:b/>
          <w:iCs/>
          <w:sz w:val="20"/>
          <w:szCs w:val="20"/>
        </w:rPr>
      </w:pPr>
      <w:r w:rsidRPr="00B90C7C">
        <w:rPr>
          <w:rFonts w:cs="Arial"/>
          <w:b/>
          <w:iCs/>
          <w:sz w:val="20"/>
          <w:szCs w:val="20"/>
        </w:rPr>
        <w:t>Table to Item [1]</w:t>
      </w:r>
    </w:p>
    <w:p w:rsidR="00E64CEF" w:rsidRPr="00B90C7C" w:rsidRDefault="00E64CEF" w:rsidP="00E64CEF">
      <w:pPr>
        <w:rPr>
          <w:sz w:val="20"/>
          <w:szCs w:val="20"/>
        </w:rPr>
      </w:pPr>
    </w:p>
    <w:tbl>
      <w:tblPr>
        <w:tblW w:w="0" w:type="auto"/>
        <w:tblLook w:val="01E0" w:firstRow="1" w:lastRow="1" w:firstColumn="1" w:lastColumn="1" w:noHBand="0" w:noVBand="0"/>
      </w:tblPr>
      <w:tblGrid>
        <w:gridCol w:w="2376"/>
      </w:tblGrid>
      <w:tr w:rsidR="00E64CEF" w:rsidRPr="00B90C7C" w:rsidTr="00A506D2">
        <w:tc>
          <w:tcPr>
            <w:tcW w:w="2376" w:type="dxa"/>
          </w:tcPr>
          <w:p w:rsidR="00E64CEF" w:rsidRPr="00B90C7C" w:rsidRDefault="00E64CEF" w:rsidP="00A506D2">
            <w:pPr>
              <w:rPr>
                <w:rFonts w:cs="Arial"/>
                <w:iCs/>
                <w:sz w:val="20"/>
                <w:szCs w:val="20"/>
              </w:rPr>
            </w:pPr>
            <w:r w:rsidRPr="00B90C7C">
              <w:rPr>
                <w:rFonts w:cs="Arial"/>
                <w:iCs/>
                <w:sz w:val="20"/>
                <w:szCs w:val="20"/>
              </w:rPr>
              <w:t>Standard 1.6.1</w:t>
            </w:r>
          </w:p>
        </w:tc>
      </w:tr>
      <w:tr w:rsidR="00E64CEF" w:rsidRPr="00B90C7C" w:rsidTr="00A506D2">
        <w:tc>
          <w:tcPr>
            <w:tcW w:w="2376" w:type="dxa"/>
          </w:tcPr>
          <w:p w:rsidR="00E64CEF" w:rsidRPr="00B90C7C" w:rsidRDefault="00E64CEF" w:rsidP="00A506D2">
            <w:pPr>
              <w:rPr>
                <w:rFonts w:cs="Arial"/>
                <w:iCs/>
                <w:sz w:val="20"/>
                <w:szCs w:val="20"/>
              </w:rPr>
            </w:pPr>
            <w:r w:rsidRPr="00B90C7C">
              <w:rPr>
                <w:rFonts w:cs="Arial"/>
                <w:iCs/>
                <w:sz w:val="20"/>
                <w:szCs w:val="20"/>
              </w:rPr>
              <w:t>Standard 2.4.2</w:t>
            </w:r>
          </w:p>
        </w:tc>
      </w:tr>
      <w:tr w:rsidR="00E64CEF" w:rsidRPr="00B90C7C" w:rsidTr="00A506D2">
        <w:tc>
          <w:tcPr>
            <w:tcW w:w="2376" w:type="dxa"/>
          </w:tcPr>
          <w:p w:rsidR="00E64CEF" w:rsidRPr="00B90C7C" w:rsidRDefault="00E64CEF" w:rsidP="00A506D2">
            <w:pPr>
              <w:rPr>
                <w:rFonts w:cs="Arial"/>
                <w:iCs/>
                <w:sz w:val="20"/>
                <w:szCs w:val="20"/>
              </w:rPr>
            </w:pPr>
            <w:r w:rsidRPr="00B90C7C">
              <w:rPr>
                <w:rFonts w:cs="Arial"/>
                <w:iCs/>
                <w:sz w:val="20"/>
                <w:szCs w:val="20"/>
              </w:rPr>
              <w:t>Standard 2.5.4</w:t>
            </w:r>
          </w:p>
        </w:tc>
      </w:tr>
      <w:tr w:rsidR="00E64CEF" w:rsidRPr="00B90C7C" w:rsidTr="00A506D2">
        <w:tc>
          <w:tcPr>
            <w:tcW w:w="2376" w:type="dxa"/>
          </w:tcPr>
          <w:p w:rsidR="00E64CEF" w:rsidRPr="00B90C7C" w:rsidRDefault="00E64CEF" w:rsidP="00A506D2">
            <w:pPr>
              <w:rPr>
                <w:rFonts w:cs="Arial"/>
                <w:iCs/>
                <w:sz w:val="20"/>
                <w:szCs w:val="20"/>
              </w:rPr>
            </w:pPr>
            <w:r w:rsidRPr="00B90C7C">
              <w:rPr>
                <w:rFonts w:cs="Arial"/>
                <w:iCs/>
                <w:sz w:val="20"/>
                <w:szCs w:val="20"/>
              </w:rPr>
              <w:t>Standard 3.2.2</w:t>
            </w:r>
          </w:p>
        </w:tc>
      </w:tr>
      <w:tr w:rsidR="00E64CEF" w:rsidRPr="00B90C7C" w:rsidTr="00A506D2">
        <w:tc>
          <w:tcPr>
            <w:tcW w:w="2376" w:type="dxa"/>
          </w:tcPr>
          <w:p w:rsidR="00E64CEF" w:rsidRPr="00B90C7C" w:rsidRDefault="00E64CEF" w:rsidP="00A506D2">
            <w:pPr>
              <w:rPr>
                <w:rFonts w:cs="Arial"/>
                <w:iCs/>
                <w:sz w:val="20"/>
                <w:szCs w:val="20"/>
              </w:rPr>
            </w:pPr>
            <w:r w:rsidRPr="00B90C7C">
              <w:rPr>
                <w:rFonts w:cs="Arial"/>
                <w:iCs/>
                <w:sz w:val="20"/>
                <w:szCs w:val="20"/>
              </w:rPr>
              <w:t>Standard 3.2.3</w:t>
            </w:r>
          </w:p>
        </w:tc>
      </w:tr>
      <w:tr w:rsidR="00E64CEF" w:rsidRPr="00B90C7C" w:rsidTr="00A506D2">
        <w:tc>
          <w:tcPr>
            <w:tcW w:w="2376" w:type="dxa"/>
          </w:tcPr>
          <w:p w:rsidR="00E64CEF" w:rsidRPr="00B90C7C" w:rsidRDefault="00E64CEF" w:rsidP="00A506D2">
            <w:pPr>
              <w:rPr>
                <w:rFonts w:cs="Arial"/>
                <w:iCs/>
                <w:sz w:val="20"/>
                <w:szCs w:val="20"/>
              </w:rPr>
            </w:pPr>
            <w:r w:rsidRPr="00B90C7C">
              <w:rPr>
                <w:rFonts w:cs="Arial"/>
                <w:iCs/>
                <w:sz w:val="20"/>
                <w:szCs w:val="20"/>
              </w:rPr>
              <w:t>Standard 3.3.1</w:t>
            </w:r>
          </w:p>
        </w:tc>
      </w:tr>
      <w:tr w:rsidR="00E64CEF" w:rsidRPr="00B90C7C" w:rsidTr="00A506D2">
        <w:tc>
          <w:tcPr>
            <w:tcW w:w="2376" w:type="dxa"/>
          </w:tcPr>
          <w:p w:rsidR="00E64CEF" w:rsidRPr="00B90C7C" w:rsidRDefault="00E64CEF" w:rsidP="00A506D2">
            <w:pPr>
              <w:rPr>
                <w:rFonts w:cs="Arial"/>
                <w:iCs/>
                <w:sz w:val="20"/>
                <w:szCs w:val="20"/>
              </w:rPr>
            </w:pPr>
            <w:r w:rsidRPr="00B90C7C">
              <w:rPr>
                <w:rFonts w:cs="Arial"/>
                <w:iCs/>
                <w:sz w:val="20"/>
                <w:szCs w:val="20"/>
              </w:rPr>
              <w:t>Standard 4.2.1</w:t>
            </w:r>
          </w:p>
        </w:tc>
      </w:tr>
      <w:tr w:rsidR="00E64CEF" w:rsidRPr="00B90C7C" w:rsidTr="00A506D2">
        <w:tc>
          <w:tcPr>
            <w:tcW w:w="2376" w:type="dxa"/>
          </w:tcPr>
          <w:p w:rsidR="00E64CEF" w:rsidRPr="00B90C7C" w:rsidRDefault="00E64CEF" w:rsidP="00A506D2">
            <w:pPr>
              <w:rPr>
                <w:rFonts w:cs="Arial"/>
                <w:iCs/>
                <w:sz w:val="20"/>
                <w:szCs w:val="20"/>
              </w:rPr>
            </w:pPr>
            <w:r w:rsidRPr="00B90C7C">
              <w:rPr>
                <w:rFonts w:cs="Arial"/>
                <w:iCs/>
                <w:sz w:val="20"/>
                <w:szCs w:val="20"/>
              </w:rPr>
              <w:t>Standard 4.2.3</w:t>
            </w:r>
          </w:p>
        </w:tc>
      </w:tr>
      <w:tr w:rsidR="00E64CEF" w:rsidRPr="00B90C7C" w:rsidTr="00A506D2">
        <w:tc>
          <w:tcPr>
            <w:tcW w:w="2376" w:type="dxa"/>
          </w:tcPr>
          <w:p w:rsidR="00E64CEF" w:rsidRPr="00B90C7C" w:rsidRDefault="00E64CEF" w:rsidP="00A506D2">
            <w:pPr>
              <w:rPr>
                <w:rFonts w:cs="Arial"/>
                <w:iCs/>
                <w:sz w:val="20"/>
                <w:szCs w:val="20"/>
              </w:rPr>
            </w:pPr>
            <w:r w:rsidRPr="00B90C7C">
              <w:rPr>
                <w:rFonts w:cs="Arial"/>
                <w:iCs/>
                <w:sz w:val="20"/>
                <w:szCs w:val="20"/>
              </w:rPr>
              <w:t>Standard 4.2.4</w:t>
            </w:r>
          </w:p>
        </w:tc>
      </w:tr>
      <w:tr w:rsidR="00E64CEF" w:rsidRPr="00B90C7C" w:rsidTr="00A506D2">
        <w:tc>
          <w:tcPr>
            <w:tcW w:w="2376" w:type="dxa"/>
          </w:tcPr>
          <w:p w:rsidR="00E64CEF" w:rsidRPr="00B90C7C" w:rsidRDefault="00E64CEF" w:rsidP="00A506D2">
            <w:pPr>
              <w:rPr>
                <w:rFonts w:cs="Arial"/>
                <w:iCs/>
                <w:sz w:val="20"/>
                <w:szCs w:val="20"/>
              </w:rPr>
            </w:pPr>
            <w:r w:rsidRPr="00B90C7C">
              <w:rPr>
                <w:rFonts w:cs="Arial"/>
                <w:iCs/>
                <w:sz w:val="20"/>
                <w:szCs w:val="20"/>
              </w:rPr>
              <w:t>Standard 4.5.1</w:t>
            </w:r>
          </w:p>
        </w:tc>
      </w:tr>
    </w:tbl>
    <w:p w:rsidR="00E64CEF" w:rsidRPr="00B90C7C" w:rsidRDefault="00E64CEF" w:rsidP="00E64CEF">
      <w:pPr>
        <w:rPr>
          <w:sz w:val="20"/>
          <w:szCs w:val="20"/>
        </w:rPr>
      </w:pPr>
    </w:p>
    <w:p w:rsidR="00E64CEF" w:rsidRPr="00B90C7C" w:rsidRDefault="00E64CEF" w:rsidP="00E64CEF">
      <w:pPr>
        <w:pStyle w:val="Clause"/>
        <w:rPr>
          <w:i/>
          <w:iCs/>
        </w:rPr>
      </w:pPr>
      <w:r w:rsidRPr="00B90C7C">
        <w:rPr>
          <w:b/>
          <w:bCs/>
        </w:rPr>
        <w:t>[2]</w:t>
      </w:r>
      <w:r w:rsidRPr="00B90C7C">
        <w:tab/>
      </w:r>
      <w:r w:rsidRPr="00B90C7C">
        <w:rPr>
          <w:b/>
          <w:bCs/>
          <w:i/>
          <w:iCs/>
        </w:rPr>
        <w:t>Standard 1.1.1</w:t>
      </w:r>
      <w:r w:rsidRPr="00B90C7C">
        <w:rPr>
          <w:i/>
          <w:iCs/>
        </w:rPr>
        <w:t xml:space="preserve"> of the Australia New Zealand Food Standards Code is varied by – </w:t>
      </w:r>
    </w:p>
    <w:p w:rsidR="00E64CEF" w:rsidRPr="00B90C7C" w:rsidRDefault="00E64CEF" w:rsidP="00E64CEF">
      <w:pPr>
        <w:pStyle w:val="Subclause"/>
        <w:ind w:firstLine="0"/>
      </w:pPr>
    </w:p>
    <w:p w:rsidR="00E64CEF" w:rsidRPr="00B90C7C" w:rsidRDefault="00E64CEF" w:rsidP="00E64CEF">
      <w:pPr>
        <w:pStyle w:val="Clause"/>
        <w:rPr>
          <w:i/>
        </w:rPr>
      </w:pPr>
      <w:r w:rsidRPr="00B90C7C">
        <w:t>[2.1]</w:t>
      </w:r>
      <w:r w:rsidRPr="00B90C7C">
        <w:tab/>
      </w:r>
      <w:r w:rsidRPr="00B90C7C">
        <w:rPr>
          <w:i/>
        </w:rPr>
        <w:t xml:space="preserve">omitting subclause 1(1), substituting – </w:t>
      </w:r>
    </w:p>
    <w:p w:rsidR="00E64CEF" w:rsidRPr="00B90C7C" w:rsidRDefault="00E64CEF" w:rsidP="00E64CEF">
      <w:pPr>
        <w:rPr>
          <w:sz w:val="20"/>
          <w:szCs w:val="20"/>
        </w:rPr>
      </w:pPr>
    </w:p>
    <w:p w:rsidR="00E64CEF" w:rsidRPr="00B90C7C" w:rsidRDefault="00E64CEF" w:rsidP="00E64CEF">
      <w:pPr>
        <w:pStyle w:val="Subclause"/>
      </w:pPr>
      <w:r w:rsidRPr="00B90C7C">
        <w:t>(1)</w:t>
      </w:r>
      <w:r w:rsidRPr="00B90C7C">
        <w:tab/>
        <w:t xml:space="preserve">Unless expressly provided elsewhere in this Code, the provisions of this Code apply to food products – </w:t>
      </w:r>
    </w:p>
    <w:p w:rsidR="00E64CEF" w:rsidRPr="00B90C7C" w:rsidRDefault="00E64CEF" w:rsidP="00E64CEF">
      <w:pPr>
        <w:pStyle w:val="Subclause"/>
      </w:pPr>
    </w:p>
    <w:p w:rsidR="00E64CEF" w:rsidRPr="00B90C7C" w:rsidRDefault="00E64CEF" w:rsidP="00E64CEF">
      <w:pPr>
        <w:pStyle w:val="Paragraph"/>
      </w:pPr>
      <w:r w:rsidRPr="00B90C7C">
        <w:t>(a)</w:t>
      </w:r>
      <w:r w:rsidRPr="00B90C7C">
        <w:tab/>
        <w:t>sold or prepared for sale in Australia or New Zealand; and</w:t>
      </w:r>
    </w:p>
    <w:p w:rsidR="00E64CEF" w:rsidRPr="00B90C7C" w:rsidRDefault="00E64CEF" w:rsidP="00E64CEF">
      <w:pPr>
        <w:pStyle w:val="Paragraph"/>
      </w:pPr>
      <w:r w:rsidRPr="00B90C7C">
        <w:t>(b)</w:t>
      </w:r>
      <w:r w:rsidRPr="00B90C7C">
        <w:tab/>
        <w:t>imported into Australia or New Zealand.</w:t>
      </w:r>
    </w:p>
    <w:p w:rsidR="00E64CEF" w:rsidRPr="00B90C7C" w:rsidRDefault="00E64CEF" w:rsidP="00E64CEF">
      <w:pPr>
        <w:rPr>
          <w:sz w:val="20"/>
          <w:szCs w:val="20"/>
        </w:rPr>
      </w:pPr>
    </w:p>
    <w:p w:rsidR="00E64CEF" w:rsidRPr="00B90C7C" w:rsidRDefault="00E64CEF" w:rsidP="00E64CEF">
      <w:pPr>
        <w:pStyle w:val="Clause"/>
        <w:rPr>
          <w:i/>
        </w:rPr>
      </w:pPr>
      <w:r w:rsidRPr="00B90C7C">
        <w:t>[2.2]</w:t>
      </w:r>
      <w:r w:rsidRPr="00B90C7C">
        <w:tab/>
      </w:r>
      <w:r w:rsidRPr="00B90C7C">
        <w:rPr>
          <w:i/>
        </w:rPr>
        <w:t xml:space="preserve">omitting the definition of </w:t>
      </w:r>
      <w:r w:rsidRPr="00B90C7C">
        <w:rPr>
          <w:b/>
        </w:rPr>
        <w:t xml:space="preserve">Australian Approved Names List </w:t>
      </w:r>
      <w:r w:rsidRPr="00B90C7C">
        <w:rPr>
          <w:i/>
        </w:rPr>
        <w:t>in clause 2</w:t>
      </w:r>
    </w:p>
    <w:p w:rsidR="00E64CEF" w:rsidRPr="00B90C7C" w:rsidRDefault="00E64CEF" w:rsidP="00E64CEF">
      <w:pPr>
        <w:rPr>
          <w:sz w:val="20"/>
          <w:szCs w:val="20"/>
        </w:rPr>
      </w:pPr>
    </w:p>
    <w:p w:rsidR="00E64CEF" w:rsidRPr="00B90C7C" w:rsidRDefault="00E64CEF" w:rsidP="00E64CEF">
      <w:pPr>
        <w:pStyle w:val="Clause"/>
      </w:pPr>
      <w:r w:rsidRPr="00B90C7C">
        <w:t>[2.3]</w:t>
      </w:r>
      <w:r w:rsidRPr="00B90C7C">
        <w:tab/>
      </w:r>
      <w:r w:rsidRPr="00B90C7C">
        <w:rPr>
          <w:i/>
        </w:rPr>
        <w:t xml:space="preserve">omitting </w:t>
      </w:r>
      <w:r w:rsidRPr="00B90C7C">
        <w:t>final product</w:t>
      </w:r>
      <w:r w:rsidRPr="00B90C7C">
        <w:rPr>
          <w:i/>
        </w:rPr>
        <w:t xml:space="preserve"> from the definition of </w:t>
      </w:r>
      <w:r w:rsidRPr="00B90C7C">
        <w:rPr>
          <w:b/>
        </w:rPr>
        <w:t xml:space="preserve">component </w:t>
      </w:r>
      <w:r w:rsidRPr="00B90C7C">
        <w:rPr>
          <w:i/>
        </w:rPr>
        <w:t>in clause 2</w:t>
      </w:r>
      <w:r w:rsidRPr="00B90C7C">
        <w:t xml:space="preserve">, </w:t>
      </w:r>
      <w:r w:rsidRPr="00B90C7C">
        <w:rPr>
          <w:i/>
        </w:rPr>
        <w:t xml:space="preserve">substituting </w:t>
      </w:r>
      <w:r w:rsidRPr="00B90C7C">
        <w:t>final food</w:t>
      </w:r>
    </w:p>
    <w:p w:rsidR="00E64CEF" w:rsidRPr="00B90C7C" w:rsidRDefault="00E64CEF" w:rsidP="00E64CEF">
      <w:pPr>
        <w:rPr>
          <w:sz w:val="20"/>
          <w:szCs w:val="20"/>
        </w:rPr>
      </w:pPr>
    </w:p>
    <w:p w:rsidR="00E64CEF" w:rsidRPr="00B90C7C" w:rsidRDefault="00E64CEF" w:rsidP="00E64CEF">
      <w:pPr>
        <w:pStyle w:val="Clause"/>
      </w:pPr>
      <w:r w:rsidRPr="00B90C7C">
        <w:t>[2.4]</w:t>
      </w:r>
      <w:r w:rsidRPr="00B90C7C">
        <w:tab/>
      </w:r>
      <w:r w:rsidRPr="00B90C7C">
        <w:rPr>
          <w:i/>
        </w:rPr>
        <w:t xml:space="preserve">omitting the definition of </w:t>
      </w:r>
      <w:r w:rsidRPr="00B90C7C">
        <w:rPr>
          <w:b/>
        </w:rPr>
        <w:t>fund raising events</w:t>
      </w:r>
      <w:r w:rsidRPr="00B90C7C">
        <w:rPr>
          <w:i/>
        </w:rPr>
        <w:t xml:space="preserve"> in clause 2, substituting</w:t>
      </w:r>
      <w:r w:rsidRPr="00B90C7C">
        <w:t xml:space="preserve"> – </w:t>
      </w:r>
    </w:p>
    <w:p w:rsidR="00E64CEF" w:rsidRPr="00B90C7C" w:rsidRDefault="00E64CEF" w:rsidP="00E64CEF">
      <w:pPr>
        <w:ind w:left="1702" w:hanging="1702"/>
        <w:rPr>
          <w:i/>
          <w:sz w:val="20"/>
          <w:szCs w:val="20"/>
        </w:rPr>
      </w:pPr>
    </w:p>
    <w:p w:rsidR="00E64CEF" w:rsidRPr="00B90C7C" w:rsidRDefault="00E64CEF" w:rsidP="00E64CEF">
      <w:pPr>
        <w:pStyle w:val="Definition"/>
      </w:pPr>
      <w:r w:rsidRPr="00B90C7C">
        <w:rPr>
          <w:b/>
        </w:rPr>
        <w:t xml:space="preserve">fund raising event </w:t>
      </w:r>
      <w:r w:rsidRPr="00B90C7C">
        <w:t>means an event that raises funds solely for a community or charitable cause and not for personal financial gain.</w:t>
      </w:r>
    </w:p>
    <w:p w:rsidR="00E64CEF" w:rsidRPr="00B90C7C" w:rsidRDefault="00E64CEF" w:rsidP="00E64CEF">
      <w:pPr>
        <w:rPr>
          <w:sz w:val="20"/>
          <w:szCs w:val="20"/>
        </w:rPr>
      </w:pPr>
    </w:p>
    <w:p w:rsidR="00E64CEF" w:rsidRPr="00B90C7C" w:rsidRDefault="00E64CEF" w:rsidP="00E64CEF">
      <w:pPr>
        <w:pStyle w:val="Clause"/>
        <w:rPr>
          <w:i/>
        </w:rPr>
      </w:pPr>
      <w:r w:rsidRPr="00B90C7C">
        <w:t>[2.5]</w:t>
      </w:r>
      <w:r w:rsidRPr="00B90C7C">
        <w:tab/>
      </w:r>
      <w:r w:rsidRPr="00B90C7C">
        <w:rPr>
          <w:i/>
        </w:rPr>
        <w:t>inserting in alphabetical order</w:t>
      </w:r>
      <w:r w:rsidRPr="00B90C7C">
        <w:t xml:space="preserve"> </w:t>
      </w:r>
      <w:r w:rsidRPr="00B90C7C">
        <w:rPr>
          <w:i/>
        </w:rPr>
        <w:t xml:space="preserve">in clause 2 – </w:t>
      </w:r>
    </w:p>
    <w:p w:rsidR="00E64CEF" w:rsidRPr="00B90C7C" w:rsidRDefault="00E64CEF" w:rsidP="00E64CEF">
      <w:pPr>
        <w:rPr>
          <w:sz w:val="20"/>
          <w:szCs w:val="20"/>
        </w:rPr>
      </w:pPr>
    </w:p>
    <w:p w:rsidR="00E64CEF" w:rsidRPr="00B90C7C" w:rsidRDefault="00E64CEF" w:rsidP="00E64CEF">
      <w:pPr>
        <w:pStyle w:val="Definition"/>
      </w:pPr>
      <w:r w:rsidRPr="00B90C7C">
        <w:rPr>
          <w:b/>
        </w:rPr>
        <w:t>Good Manufacturing Practice (GMP)</w:t>
      </w:r>
      <w:r w:rsidRPr="00B90C7C">
        <w:t xml:space="preserve">, with respect to the addition of additives and processing aids to food, means – </w:t>
      </w:r>
    </w:p>
    <w:p w:rsidR="00E35BCD" w:rsidRPr="00B90C7C" w:rsidRDefault="00E35BCD">
      <w:pPr>
        <w:widowControl/>
        <w:rPr>
          <w:sz w:val="20"/>
          <w:szCs w:val="20"/>
        </w:rPr>
      </w:pPr>
    </w:p>
    <w:p w:rsidR="00E64CEF" w:rsidRDefault="00E64CEF" w:rsidP="00E64CEF">
      <w:pPr>
        <w:pStyle w:val="Subparagraph"/>
      </w:pPr>
      <w:r w:rsidRPr="00B90C7C">
        <w:t>(a)</w:t>
      </w:r>
      <w:r w:rsidRPr="00B90C7C">
        <w:tab/>
        <w:t>the quantity of additive or processing aid added to food shall be limited to the lowest pos</w:t>
      </w:r>
      <w:r>
        <w:t>sible level necessary to accomplish its desired effect; and</w:t>
      </w:r>
    </w:p>
    <w:p w:rsidR="00E64CEF" w:rsidRDefault="00E64CEF" w:rsidP="00B90C7C">
      <w:pPr>
        <w:pStyle w:val="Subparagraph"/>
      </w:pPr>
      <w:r>
        <w:t>(b)</w:t>
      </w:r>
      <w:r>
        <w:tab/>
        <w:t>the quantity of the additive or processing aid that becomes a component of food as a result of its use in the manufacture, processing or packaging of a food, and which is not intended to accomplish any physical or other technical effect in the finished food itself, is reduced to the extent reasonably possible; and</w:t>
      </w:r>
    </w:p>
    <w:p w:rsidR="00B90C7C" w:rsidRDefault="00B90C7C" w:rsidP="00E64CEF">
      <w:pPr>
        <w:pStyle w:val="Subparagraph"/>
      </w:pPr>
      <w:r>
        <w:br w:type="page"/>
      </w:r>
    </w:p>
    <w:p w:rsidR="00E64CEF" w:rsidRDefault="00E64CEF" w:rsidP="00E64CEF">
      <w:pPr>
        <w:pStyle w:val="Subparagraph"/>
      </w:pPr>
      <w:r>
        <w:lastRenderedPageBreak/>
        <w:t>(c)</w:t>
      </w:r>
      <w:r>
        <w:tab/>
        <w:t>the additive or processing aid</w:t>
      </w:r>
      <w:r w:rsidRPr="00B10D6C">
        <w:t xml:space="preserve"> </w:t>
      </w:r>
      <w:r>
        <w:t>is prepared and handled in the same way as a food ingredient.</w:t>
      </w:r>
    </w:p>
    <w:p w:rsidR="00E64CEF" w:rsidRPr="00B90C7C" w:rsidRDefault="00E64CEF" w:rsidP="00E64CEF">
      <w:pPr>
        <w:rPr>
          <w:sz w:val="20"/>
          <w:szCs w:val="20"/>
        </w:rPr>
      </w:pPr>
    </w:p>
    <w:p w:rsidR="00E64CEF" w:rsidRPr="00B90C7C" w:rsidRDefault="00E64CEF" w:rsidP="00E64CEF">
      <w:pPr>
        <w:pStyle w:val="Clause"/>
        <w:rPr>
          <w:i/>
        </w:rPr>
      </w:pPr>
      <w:r w:rsidRPr="00B90C7C">
        <w:t>[2.6]</w:t>
      </w:r>
      <w:r w:rsidRPr="00B90C7C">
        <w:tab/>
      </w:r>
      <w:r w:rsidRPr="00B90C7C">
        <w:rPr>
          <w:i/>
        </w:rPr>
        <w:t xml:space="preserve">inserting following clause 15 – </w:t>
      </w:r>
    </w:p>
    <w:p w:rsidR="00E64CEF" w:rsidRPr="00B90C7C" w:rsidRDefault="00E64CEF" w:rsidP="00E64CEF">
      <w:pPr>
        <w:rPr>
          <w:sz w:val="20"/>
          <w:szCs w:val="20"/>
        </w:rPr>
      </w:pPr>
    </w:p>
    <w:p w:rsidR="00E64CEF" w:rsidRPr="00B90C7C" w:rsidRDefault="00E64CEF" w:rsidP="00E64CEF">
      <w:pPr>
        <w:pStyle w:val="Clause"/>
        <w:rPr>
          <w:b/>
        </w:rPr>
      </w:pPr>
      <w:r w:rsidRPr="00B90C7C">
        <w:rPr>
          <w:b/>
        </w:rPr>
        <w:t>16</w:t>
      </w:r>
      <w:r w:rsidRPr="00B90C7C">
        <w:rPr>
          <w:b/>
        </w:rPr>
        <w:tab/>
        <w:t>Citation of the United States Code of Federal Regulations (CFR)</w:t>
      </w:r>
    </w:p>
    <w:p w:rsidR="00E64CEF" w:rsidRPr="00B90C7C" w:rsidRDefault="00E64CEF" w:rsidP="00E64CEF">
      <w:pPr>
        <w:pStyle w:val="Clause"/>
      </w:pPr>
    </w:p>
    <w:p w:rsidR="00E64CEF" w:rsidRPr="00B90C7C" w:rsidRDefault="00E64CEF" w:rsidP="00E64CEF">
      <w:pPr>
        <w:pStyle w:val="Subclause"/>
      </w:pPr>
      <w:r w:rsidRPr="00B90C7C">
        <w:t>(1)</w:t>
      </w:r>
      <w:r w:rsidRPr="00B90C7C">
        <w:tab/>
        <w:t>In this Code, a reference to the Code of Federal Regulations, or CFR, is a reference to the 2010 compilation of the United States Code of Federal Regulations.</w:t>
      </w:r>
    </w:p>
    <w:p w:rsidR="00E64CEF" w:rsidRPr="00B90C7C" w:rsidRDefault="00E64CEF" w:rsidP="00E64CEF">
      <w:pPr>
        <w:pStyle w:val="Subclause"/>
      </w:pPr>
    </w:p>
    <w:p w:rsidR="00E64CEF" w:rsidRPr="00B90C7C" w:rsidRDefault="00E64CEF" w:rsidP="00E64CEF">
      <w:pPr>
        <w:pStyle w:val="Subclause"/>
      </w:pPr>
      <w:r w:rsidRPr="00B90C7C">
        <w:t>(2)</w:t>
      </w:r>
      <w:r w:rsidRPr="00B90C7C">
        <w:tab/>
        <w:t xml:space="preserve">In this Code, the Code of Federal Regulations is cited in the following format – </w:t>
      </w:r>
    </w:p>
    <w:p w:rsidR="00E64CEF" w:rsidRPr="00B90C7C" w:rsidRDefault="00E64CEF" w:rsidP="00E64CEF">
      <w:pPr>
        <w:pStyle w:val="Subclause"/>
      </w:pPr>
    </w:p>
    <w:p w:rsidR="00E64CEF" w:rsidRPr="00B90C7C" w:rsidRDefault="00E64CEF" w:rsidP="00E64CEF">
      <w:pPr>
        <w:pStyle w:val="Paragraph"/>
      </w:pPr>
      <w:r w:rsidRPr="00B90C7C">
        <w:t>[title number] CFR § [section number]</w:t>
      </w:r>
    </w:p>
    <w:p w:rsidR="00E64CEF" w:rsidRPr="00B90C7C" w:rsidRDefault="00E64CEF" w:rsidP="00E64CEF">
      <w:pPr>
        <w:pStyle w:val="Clause"/>
      </w:pPr>
    </w:p>
    <w:p w:rsidR="00E64CEF" w:rsidRPr="00B90C7C" w:rsidRDefault="00E64CEF" w:rsidP="00E64CEF">
      <w:pPr>
        <w:pStyle w:val="Clause"/>
        <w:rPr>
          <w:i/>
        </w:rPr>
      </w:pPr>
      <w:r w:rsidRPr="00B90C7C">
        <w:rPr>
          <w:b/>
          <w:bCs/>
        </w:rPr>
        <w:t>[3]</w:t>
      </w:r>
      <w:r w:rsidRPr="00B90C7C">
        <w:tab/>
      </w:r>
      <w:r w:rsidRPr="00B90C7C">
        <w:rPr>
          <w:b/>
          <w:i/>
        </w:rPr>
        <w:t xml:space="preserve">Standard 1.1.2 </w:t>
      </w:r>
      <w:r w:rsidRPr="00B90C7C">
        <w:rPr>
          <w:i/>
        </w:rPr>
        <w:t xml:space="preserve">of the Australia New Zealand Food Standards Code is varied by – </w:t>
      </w:r>
    </w:p>
    <w:p w:rsidR="00E64CEF" w:rsidRPr="00B90C7C" w:rsidRDefault="00E64CEF" w:rsidP="00E64CEF">
      <w:pPr>
        <w:pStyle w:val="Clause"/>
        <w:rPr>
          <w:i/>
        </w:rPr>
      </w:pPr>
    </w:p>
    <w:p w:rsidR="00E64CEF" w:rsidRPr="00B90C7C" w:rsidRDefault="00E64CEF" w:rsidP="00E64CEF">
      <w:pPr>
        <w:pStyle w:val="Clause"/>
      </w:pPr>
      <w:r w:rsidRPr="00B90C7C">
        <w:t>[3.1]</w:t>
      </w:r>
      <w:r w:rsidRPr="00B90C7C">
        <w:tab/>
      </w:r>
      <w:r w:rsidRPr="00B90C7C">
        <w:rPr>
          <w:i/>
        </w:rPr>
        <w:t xml:space="preserve">omitting </w:t>
      </w:r>
      <w:r w:rsidRPr="00B90C7C">
        <w:t xml:space="preserve">salt and/or spices </w:t>
      </w:r>
      <w:r w:rsidRPr="00B90C7C">
        <w:rPr>
          <w:i/>
        </w:rPr>
        <w:t xml:space="preserve">from the definition of </w:t>
      </w:r>
      <w:r w:rsidRPr="00B90C7C">
        <w:rPr>
          <w:b/>
        </w:rPr>
        <w:t xml:space="preserve">cocoa </w:t>
      </w:r>
      <w:r w:rsidRPr="00B90C7C">
        <w:rPr>
          <w:i/>
        </w:rPr>
        <w:t xml:space="preserve">in clause 1, substituting </w:t>
      </w:r>
      <w:r w:rsidRPr="00B90C7C">
        <w:t>salt or spices</w:t>
      </w:r>
    </w:p>
    <w:p w:rsidR="00E64CEF" w:rsidRPr="00B90C7C" w:rsidRDefault="00E64CEF" w:rsidP="00E64CEF">
      <w:pPr>
        <w:rPr>
          <w:sz w:val="20"/>
          <w:szCs w:val="20"/>
        </w:rPr>
      </w:pPr>
    </w:p>
    <w:p w:rsidR="00E64CEF" w:rsidRPr="00B90C7C" w:rsidRDefault="00E64CEF" w:rsidP="00E64CEF">
      <w:pPr>
        <w:pStyle w:val="Clause"/>
        <w:rPr>
          <w:i/>
        </w:rPr>
      </w:pPr>
      <w:r w:rsidRPr="00B90C7C">
        <w:t>[3.2]</w:t>
      </w:r>
      <w:r w:rsidRPr="00B90C7C">
        <w:tab/>
      </w:r>
      <w:r w:rsidRPr="00B90C7C">
        <w:rPr>
          <w:i/>
        </w:rPr>
        <w:t xml:space="preserve">omitting the definition of </w:t>
      </w:r>
      <w:r w:rsidRPr="00B90C7C">
        <w:rPr>
          <w:b/>
        </w:rPr>
        <w:t xml:space="preserve">coffee </w:t>
      </w:r>
      <w:r w:rsidRPr="00B90C7C">
        <w:rPr>
          <w:i/>
        </w:rPr>
        <w:t xml:space="preserve">in clause 1, substituting – </w:t>
      </w:r>
    </w:p>
    <w:p w:rsidR="00E64CEF" w:rsidRPr="00B90C7C" w:rsidRDefault="00E64CEF" w:rsidP="00E64CEF">
      <w:pPr>
        <w:rPr>
          <w:sz w:val="20"/>
          <w:szCs w:val="20"/>
        </w:rPr>
      </w:pPr>
    </w:p>
    <w:p w:rsidR="00E64CEF" w:rsidRPr="00B90C7C" w:rsidRDefault="00E64CEF" w:rsidP="00E64CEF">
      <w:pPr>
        <w:pStyle w:val="Definition"/>
        <w:rPr>
          <w:bCs/>
        </w:rPr>
      </w:pPr>
      <w:r w:rsidRPr="00B90C7C">
        <w:rPr>
          <w:b/>
          <w:bCs/>
        </w:rPr>
        <w:t xml:space="preserve">coffee </w:t>
      </w:r>
      <w:r w:rsidRPr="00B90C7C">
        <w:rPr>
          <w:bCs/>
        </w:rPr>
        <w:t>means the product prepared by roasting or grinding, or both the roasting and grinding, of coffee beans.</w:t>
      </w:r>
    </w:p>
    <w:p w:rsidR="00E64CEF" w:rsidRPr="00B90C7C" w:rsidRDefault="00E64CEF" w:rsidP="00E64CEF">
      <w:pPr>
        <w:pStyle w:val="Clause"/>
      </w:pPr>
    </w:p>
    <w:p w:rsidR="00E64CEF" w:rsidRPr="00B90C7C" w:rsidRDefault="00E64CEF" w:rsidP="00E64CEF">
      <w:pPr>
        <w:pStyle w:val="Clause"/>
        <w:rPr>
          <w:i/>
          <w:iCs/>
        </w:rPr>
      </w:pPr>
      <w:r w:rsidRPr="00B90C7C">
        <w:rPr>
          <w:b/>
        </w:rPr>
        <w:t>[4]</w:t>
      </w:r>
      <w:r w:rsidRPr="00B90C7C">
        <w:rPr>
          <w:b/>
        </w:rPr>
        <w:tab/>
      </w:r>
      <w:r w:rsidRPr="00B90C7C">
        <w:rPr>
          <w:b/>
          <w:bCs/>
          <w:i/>
          <w:iCs/>
        </w:rPr>
        <w:t>Standard 1.2.1</w:t>
      </w:r>
      <w:r w:rsidRPr="00B90C7C">
        <w:rPr>
          <w:i/>
          <w:iCs/>
        </w:rPr>
        <w:t xml:space="preserve"> of the Australia New Zealand Food Standards Code is varied by – </w:t>
      </w:r>
    </w:p>
    <w:p w:rsidR="00E64CEF" w:rsidRPr="00B90C7C" w:rsidRDefault="00E64CEF" w:rsidP="00E64CEF">
      <w:pPr>
        <w:rPr>
          <w:sz w:val="20"/>
          <w:szCs w:val="20"/>
        </w:rPr>
      </w:pPr>
    </w:p>
    <w:p w:rsidR="00E64CEF" w:rsidRPr="00B90C7C" w:rsidRDefault="00E64CEF" w:rsidP="00E64CEF">
      <w:pPr>
        <w:pStyle w:val="Clause"/>
        <w:ind w:left="851" w:hanging="851"/>
        <w:rPr>
          <w:iCs/>
        </w:rPr>
      </w:pPr>
      <w:r w:rsidRPr="00B90C7C">
        <w:rPr>
          <w:iCs/>
        </w:rPr>
        <w:t>[4.1]</w:t>
      </w:r>
      <w:r w:rsidRPr="00B90C7C">
        <w:rPr>
          <w:iCs/>
        </w:rPr>
        <w:tab/>
      </w:r>
      <w:r w:rsidRPr="00B90C7C">
        <w:rPr>
          <w:i/>
          <w:iCs/>
        </w:rPr>
        <w:t xml:space="preserve">omitting paragraph 2(1)(a), substituting </w:t>
      </w:r>
      <w:r w:rsidRPr="00B90C7C">
        <w:rPr>
          <w:iCs/>
        </w:rPr>
        <w:t xml:space="preserve">– </w:t>
      </w:r>
    </w:p>
    <w:p w:rsidR="00E64CEF" w:rsidRPr="00B90C7C" w:rsidRDefault="00E64CEF" w:rsidP="00E64CEF">
      <w:pPr>
        <w:rPr>
          <w:sz w:val="20"/>
          <w:szCs w:val="20"/>
        </w:rPr>
      </w:pPr>
    </w:p>
    <w:p w:rsidR="00E64CEF" w:rsidRPr="00B90C7C" w:rsidRDefault="00E64CEF" w:rsidP="00E64CEF">
      <w:pPr>
        <w:pStyle w:val="Paragraph"/>
      </w:pPr>
      <w:r w:rsidRPr="00B90C7C">
        <w:t>(a)</w:t>
      </w:r>
      <w:r w:rsidRPr="00B90C7C">
        <w:tab/>
        <w:t>the food is not in a package; or</w:t>
      </w:r>
    </w:p>
    <w:p w:rsidR="00E64CEF" w:rsidRPr="00B90C7C" w:rsidRDefault="00E64CEF" w:rsidP="00E64CEF">
      <w:pPr>
        <w:pStyle w:val="Clause"/>
        <w:ind w:left="851" w:hanging="851"/>
        <w:rPr>
          <w:iCs/>
        </w:rPr>
      </w:pPr>
    </w:p>
    <w:p w:rsidR="00E64CEF" w:rsidRPr="00B90C7C" w:rsidRDefault="00E64CEF" w:rsidP="00E64CEF">
      <w:pPr>
        <w:pStyle w:val="Clause"/>
        <w:ind w:left="851" w:hanging="851"/>
        <w:rPr>
          <w:iCs/>
        </w:rPr>
      </w:pPr>
      <w:r w:rsidRPr="00B90C7C">
        <w:rPr>
          <w:iCs/>
        </w:rPr>
        <w:t>[4.2]</w:t>
      </w:r>
      <w:r w:rsidRPr="00B90C7C">
        <w:rPr>
          <w:iCs/>
        </w:rPr>
        <w:tab/>
      </w:r>
      <w:r w:rsidRPr="00B90C7C">
        <w:rPr>
          <w:i/>
          <w:iCs/>
        </w:rPr>
        <w:t xml:space="preserve">omitting from paragraph 2(2)(a) </w:t>
      </w:r>
      <w:r w:rsidRPr="00B90C7C">
        <w:rPr>
          <w:iCs/>
        </w:rPr>
        <w:t xml:space="preserve">– </w:t>
      </w:r>
    </w:p>
    <w:p w:rsidR="00E64CEF" w:rsidRPr="00B90C7C" w:rsidRDefault="00E64CEF" w:rsidP="00E64CEF">
      <w:pPr>
        <w:rPr>
          <w:sz w:val="20"/>
          <w:szCs w:val="20"/>
        </w:rPr>
      </w:pPr>
    </w:p>
    <w:p w:rsidR="00E64CEF" w:rsidRPr="00B90C7C" w:rsidRDefault="00E64CEF" w:rsidP="00E64CEF">
      <w:pPr>
        <w:pStyle w:val="Clause"/>
        <w:ind w:left="851" w:hanging="851"/>
      </w:pPr>
      <w:r w:rsidRPr="00B90C7C">
        <w:t>subclauses 1(1) or (2)</w:t>
      </w:r>
    </w:p>
    <w:p w:rsidR="00E64CEF" w:rsidRPr="00B90C7C" w:rsidRDefault="00E64CEF" w:rsidP="00E64CEF">
      <w:pPr>
        <w:rPr>
          <w:sz w:val="20"/>
          <w:szCs w:val="20"/>
        </w:rPr>
      </w:pPr>
    </w:p>
    <w:p w:rsidR="00E64CEF" w:rsidRPr="00B90C7C" w:rsidRDefault="00E64CEF" w:rsidP="00E64CEF">
      <w:pPr>
        <w:pStyle w:val="Clause"/>
        <w:ind w:left="851" w:hanging="851"/>
      </w:pPr>
      <w:r w:rsidRPr="00B90C7C">
        <w:rPr>
          <w:i/>
          <w:iCs/>
        </w:rPr>
        <w:t>substituting</w:t>
      </w:r>
      <w:r w:rsidRPr="00B90C7C">
        <w:t xml:space="preserve"> – </w:t>
      </w:r>
    </w:p>
    <w:p w:rsidR="00E64CEF" w:rsidRPr="00B90C7C" w:rsidRDefault="00E64CEF" w:rsidP="00E64CEF">
      <w:pPr>
        <w:rPr>
          <w:sz w:val="20"/>
          <w:szCs w:val="20"/>
        </w:rPr>
      </w:pPr>
    </w:p>
    <w:p w:rsidR="00E64CEF" w:rsidRPr="00B90C7C" w:rsidRDefault="00E64CEF" w:rsidP="00E64CEF">
      <w:pPr>
        <w:pStyle w:val="Clause"/>
        <w:ind w:left="851" w:hanging="851"/>
      </w:pPr>
      <w:r w:rsidRPr="00B90C7C">
        <w:t>subclause 1(2)</w:t>
      </w:r>
    </w:p>
    <w:p w:rsidR="00E64CEF" w:rsidRPr="00B90C7C" w:rsidRDefault="00E64CEF" w:rsidP="00E64CEF">
      <w:pPr>
        <w:pStyle w:val="Paragraph"/>
        <w:ind w:left="0" w:firstLine="0"/>
      </w:pPr>
    </w:p>
    <w:p w:rsidR="00E64CEF" w:rsidRPr="00B90C7C" w:rsidRDefault="00E64CEF" w:rsidP="00E64CEF">
      <w:pPr>
        <w:pStyle w:val="Clause"/>
        <w:ind w:left="851" w:hanging="851"/>
        <w:rPr>
          <w:iCs/>
        </w:rPr>
      </w:pPr>
      <w:r w:rsidRPr="00B90C7C">
        <w:rPr>
          <w:iCs/>
        </w:rPr>
        <w:t>[4.3]</w:t>
      </w:r>
      <w:r w:rsidRPr="00B90C7C">
        <w:rPr>
          <w:iCs/>
        </w:rPr>
        <w:tab/>
      </w:r>
      <w:r w:rsidRPr="00B90C7C">
        <w:rPr>
          <w:i/>
          <w:iCs/>
        </w:rPr>
        <w:t>omitting subclause 3(1</w:t>
      </w:r>
      <w:r w:rsidRPr="00B90C7C">
        <w:rPr>
          <w:iCs/>
        </w:rPr>
        <w:t xml:space="preserve">), substituting -  </w:t>
      </w:r>
    </w:p>
    <w:p w:rsidR="00E64CEF" w:rsidRPr="00B90C7C" w:rsidRDefault="00E64CEF" w:rsidP="00E64CEF">
      <w:pPr>
        <w:rPr>
          <w:sz w:val="20"/>
          <w:szCs w:val="20"/>
        </w:rPr>
      </w:pPr>
    </w:p>
    <w:p w:rsidR="00E64CEF" w:rsidRPr="00B90C7C" w:rsidRDefault="00E64CEF" w:rsidP="00E64CEF">
      <w:pPr>
        <w:pStyle w:val="Subclause"/>
      </w:pPr>
      <w:r w:rsidRPr="00B90C7C">
        <w:t>(1)</w:t>
      </w:r>
      <w:r w:rsidRPr="00B90C7C">
        <w:tab/>
        <w:t xml:space="preserve">Subject to subclause (2), food other than food – </w:t>
      </w:r>
    </w:p>
    <w:p w:rsidR="00E64CEF" w:rsidRPr="00B90C7C" w:rsidRDefault="00E64CEF" w:rsidP="00E64CEF">
      <w:pPr>
        <w:pStyle w:val="Subclause"/>
      </w:pPr>
    </w:p>
    <w:p w:rsidR="00E64CEF" w:rsidRPr="00B90C7C" w:rsidRDefault="00E64CEF" w:rsidP="00E64CEF">
      <w:pPr>
        <w:pStyle w:val="Paragraph"/>
      </w:pPr>
      <w:r w:rsidRPr="00B90C7C">
        <w:t>(a)</w:t>
      </w:r>
      <w:r w:rsidRPr="00B90C7C">
        <w:tab/>
        <w:t>for retail sale; or</w:t>
      </w:r>
    </w:p>
    <w:p w:rsidR="00E64CEF" w:rsidRPr="00B90C7C" w:rsidRDefault="00E64CEF" w:rsidP="00E64CEF">
      <w:pPr>
        <w:pStyle w:val="Paragraph"/>
      </w:pPr>
      <w:r w:rsidRPr="00B90C7C">
        <w:t>(b)</w:t>
      </w:r>
      <w:r w:rsidRPr="00B90C7C">
        <w:tab/>
        <w:t>for catering purposes; or</w:t>
      </w:r>
    </w:p>
    <w:p w:rsidR="00E64CEF" w:rsidRPr="00B90C7C" w:rsidRDefault="00E64CEF" w:rsidP="00E64CEF">
      <w:pPr>
        <w:pStyle w:val="Paragraph"/>
      </w:pPr>
      <w:r w:rsidRPr="00B90C7C">
        <w:t>(c)</w:t>
      </w:r>
      <w:r w:rsidRPr="00B90C7C">
        <w:tab/>
        <w:t>supplied as an intra company transfer;</w:t>
      </w:r>
    </w:p>
    <w:p w:rsidR="00E64CEF" w:rsidRPr="00B90C7C" w:rsidRDefault="00E64CEF" w:rsidP="00E64CEF">
      <w:pPr>
        <w:pStyle w:val="Paragraph"/>
      </w:pPr>
    </w:p>
    <w:p w:rsidR="00E64CEF" w:rsidRPr="00B90C7C" w:rsidRDefault="00E64CEF" w:rsidP="00E64CEF">
      <w:pPr>
        <w:pStyle w:val="Subclause"/>
      </w:pPr>
      <w:r w:rsidRPr="00B90C7C">
        <w:t xml:space="preserve">must bear a label containing the information prescribed in Standard 1.2.2, except where the food – </w:t>
      </w:r>
    </w:p>
    <w:p w:rsidR="00E64CEF" w:rsidRPr="00B90C7C" w:rsidRDefault="00E64CEF" w:rsidP="00E64CEF">
      <w:pPr>
        <w:pStyle w:val="Subclause"/>
      </w:pPr>
    </w:p>
    <w:p w:rsidR="00E64CEF" w:rsidRPr="00B90C7C" w:rsidRDefault="00E35BCD" w:rsidP="00E35BCD">
      <w:pPr>
        <w:pStyle w:val="Paragraph"/>
      </w:pPr>
      <w:r w:rsidRPr="00B90C7C">
        <w:t>(d</w:t>
      </w:r>
      <w:r w:rsidRPr="00B90C7C">
        <w:tab/>
      </w:r>
      <w:r w:rsidR="00E64CEF" w:rsidRPr="00B90C7C">
        <w:t>is not in a package; or</w:t>
      </w:r>
    </w:p>
    <w:p w:rsidR="00E64CEF" w:rsidRPr="00B90C7C" w:rsidRDefault="00E64CEF" w:rsidP="00E64CEF">
      <w:pPr>
        <w:pStyle w:val="Paragraph"/>
      </w:pPr>
      <w:r w:rsidRPr="00B90C7C">
        <w:t>(e)</w:t>
      </w:r>
      <w:r w:rsidRPr="00B90C7C">
        <w:tab/>
        <w:t>is in an inner package or packages contained in an outer package where the label on the outer package includes the information prescribed in Standard 1.2.2; or</w:t>
      </w:r>
    </w:p>
    <w:p w:rsidR="00E64CEF" w:rsidRPr="00B90C7C" w:rsidRDefault="00E64CEF" w:rsidP="00E64CEF">
      <w:pPr>
        <w:pStyle w:val="Paragraph"/>
      </w:pPr>
      <w:r w:rsidRPr="00B90C7C">
        <w:t>(f)</w:t>
      </w:r>
      <w:r w:rsidRPr="00B90C7C">
        <w:tab/>
        <w:t>is in a transportation outer and the information prescribed in Standard 1.2.2 is clearly discernable through the transportation outer on the labels on the packages within.</w:t>
      </w:r>
    </w:p>
    <w:p w:rsidR="00B90C7C" w:rsidRDefault="00B90C7C" w:rsidP="00E64CEF">
      <w:pPr>
        <w:pStyle w:val="Clause"/>
        <w:rPr>
          <w:i/>
          <w:iCs/>
        </w:rPr>
      </w:pPr>
    </w:p>
    <w:p w:rsidR="00E64CEF" w:rsidRDefault="00E64CEF" w:rsidP="00E64CEF">
      <w:pPr>
        <w:pStyle w:val="Clause"/>
        <w:ind w:left="851" w:hanging="851"/>
        <w:rPr>
          <w:i/>
          <w:iCs/>
        </w:rPr>
      </w:pPr>
      <w:r>
        <w:rPr>
          <w:iCs/>
        </w:rPr>
        <w:t>[4.4]</w:t>
      </w:r>
      <w:r>
        <w:rPr>
          <w:iCs/>
        </w:rPr>
        <w:tab/>
      </w:r>
      <w:r>
        <w:rPr>
          <w:i/>
          <w:iCs/>
        </w:rPr>
        <w:t xml:space="preserve">omitting paragraph 5(2)(c), substituting – </w:t>
      </w:r>
    </w:p>
    <w:p w:rsidR="00E64CEF" w:rsidRDefault="00E64CEF" w:rsidP="00E64CEF">
      <w:pPr>
        <w:pStyle w:val="Clause"/>
        <w:ind w:left="851" w:hanging="851"/>
      </w:pPr>
    </w:p>
    <w:p w:rsidR="00E64CEF" w:rsidRDefault="00E64CEF" w:rsidP="00E64CEF">
      <w:pPr>
        <w:pStyle w:val="Paragraph"/>
      </w:pPr>
      <w:r>
        <w:t>(c)</w:t>
      </w:r>
      <w:r>
        <w:tab/>
        <w:t xml:space="preserve">an outer package where the – </w:t>
      </w:r>
    </w:p>
    <w:p w:rsidR="00E64CEF" w:rsidRPr="00B90C7C" w:rsidRDefault="00E64CEF" w:rsidP="00E64CEF">
      <w:pPr>
        <w:rPr>
          <w:sz w:val="20"/>
          <w:szCs w:val="20"/>
        </w:rPr>
      </w:pPr>
    </w:p>
    <w:p w:rsidR="00B90C7C" w:rsidRDefault="00E64CEF" w:rsidP="00E64CEF">
      <w:pPr>
        <w:pStyle w:val="Subparagraph"/>
        <w:numPr>
          <w:ilvl w:val="0"/>
          <w:numId w:val="9"/>
        </w:numPr>
      </w:pPr>
      <w:r w:rsidRPr="00B90C7C">
        <w:t>label on the outer package includes the information prescribed in Standard 1.2.2; and</w:t>
      </w:r>
      <w:r w:rsidR="00B90C7C">
        <w:br w:type="page"/>
      </w:r>
    </w:p>
    <w:p w:rsidR="00E64CEF" w:rsidRPr="00B90C7C" w:rsidRDefault="00E64CEF" w:rsidP="00B90C7C">
      <w:pPr>
        <w:pStyle w:val="Subparagraph"/>
        <w:ind w:left="1710" w:firstLine="0"/>
      </w:pPr>
    </w:p>
    <w:p w:rsidR="00E64CEF" w:rsidRPr="00B90C7C" w:rsidRDefault="00E64CEF" w:rsidP="00E64CEF">
      <w:pPr>
        <w:pStyle w:val="Subparagraph"/>
        <w:numPr>
          <w:ilvl w:val="0"/>
          <w:numId w:val="9"/>
        </w:numPr>
      </w:pPr>
      <w:r w:rsidRPr="00B90C7C">
        <w:t>food in the inner package is labelled in accordance with subclause (1); or</w:t>
      </w:r>
    </w:p>
    <w:p w:rsidR="00E64CEF" w:rsidRPr="00B90C7C" w:rsidRDefault="00E64CEF" w:rsidP="00E64CEF">
      <w:pPr>
        <w:rPr>
          <w:b/>
          <w:bCs/>
          <w:sz w:val="20"/>
          <w:szCs w:val="20"/>
        </w:rPr>
      </w:pPr>
    </w:p>
    <w:p w:rsidR="00E64CEF" w:rsidRPr="00B90C7C" w:rsidRDefault="00E64CEF" w:rsidP="00E64CEF">
      <w:pPr>
        <w:pStyle w:val="Paragraph"/>
      </w:pPr>
      <w:r w:rsidRPr="00B90C7C">
        <w:rPr>
          <w:bCs/>
        </w:rPr>
        <w:t>(d)</w:t>
      </w:r>
      <w:r w:rsidRPr="00B90C7C">
        <w:rPr>
          <w:bCs/>
        </w:rPr>
        <w:tab/>
      </w:r>
      <w:r w:rsidRPr="00B90C7C">
        <w:t xml:space="preserve">an outer package where the – </w:t>
      </w:r>
    </w:p>
    <w:p w:rsidR="00E64CEF" w:rsidRPr="00B90C7C" w:rsidRDefault="00E64CEF" w:rsidP="00E64CEF">
      <w:pPr>
        <w:pStyle w:val="Subparagraph"/>
      </w:pPr>
    </w:p>
    <w:p w:rsidR="00E64CEF" w:rsidRPr="00B90C7C" w:rsidRDefault="00E64CEF" w:rsidP="00E64CEF">
      <w:pPr>
        <w:pStyle w:val="Subparagraph"/>
        <w:numPr>
          <w:ilvl w:val="0"/>
          <w:numId w:val="7"/>
        </w:numPr>
      </w:pPr>
      <w:r w:rsidRPr="00B90C7C">
        <w:t>information prescribed in clause 3 of Standard 1.2.2 is provided in documentation accompanying that food; and</w:t>
      </w:r>
    </w:p>
    <w:p w:rsidR="00E64CEF" w:rsidRPr="00B90C7C" w:rsidRDefault="00E64CEF" w:rsidP="00E64CEF">
      <w:pPr>
        <w:pStyle w:val="Subparagraph"/>
        <w:numPr>
          <w:ilvl w:val="0"/>
          <w:numId w:val="7"/>
        </w:numPr>
      </w:pPr>
      <w:r w:rsidRPr="00B90C7C">
        <w:t>label on the outer package includes the information prescribed in clauses 1 and 2 of Standard 1.2.2; and</w:t>
      </w:r>
    </w:p>
    <w:p w:rsidR="00E64CEF" w:rsidRPr="00B90C7C" w:rsidRDefault="00E64CEF" w:rsidP="00E64CEF">
      <w:pPr>
        <w:pStyle w:val="Subparagraph"/>
        <w:numPr>
          <w:ilvl w:val="0"/>
          <w:numId w:val="7"/>
        </w:numPr>
      </w:pPr>
      <w:r w:rsidRPr="00B90C7C">
        <w:t>food in the inner package is labelled in accordance with subclause (1).</w:t>
      </w:r>
    </w:p>
    <w:p w:rsidR="00E64CEF" w:rsidRPr="00B90C7C" w:rsidRDefault="00E64CEF" w:rsidP="00E64CEF">
      <w:pPr>
        <w:rPr>
          <w:sz w:val="20"/>
          <w:szCs w:val="20"/>
        </w:rPr>
      </w:pPr>
    </w:p>
    <w:p w:rsidR="00E64CEF" w:rsidRPr="00B90C7C" w:rsidRDefault="00E64CEF" w:rsidP="00E64CEF">
      <w:pPr>
        <w:pStyle w:val="Clause"/>
        <w:rPr>
          <w:i/>
        </w:rPr>
      </w:pPr>
      <w:r w:rsidRPr="00B90C7C">
        <w:t>[4.5]</w:t>
      </w:r>
      <w:r w:rsidRPr="00B90C7C">
        <w:tab/>
      </w:r>
      <w:r w:rsidRPr="00B90C7C">
        <w:rPr>
          <w:i/>
        </w:rPr>
        <w:t xml:space="preserve">omitting from subclause 6(4) – </w:t>
      </w:r>
    </w:p>
    <w:p w:rsidR="00E64CEF" w:rsidRPr="00B90C7C" w:rsidRDefault="00E64CEF" w:rsidP="00E64CEF">
      <w:pPr>
        <w:rPr>
          <w:sz w:val="20"/>
          <w:szCs w:val="20"/>
        </w:rPr>
      </w:pPr>
    </w:p>
    <w:p w:rsidR="00E64CEF" w:rsidRPr="00B90C7C" w:rsidRDefault="00E64CEF" w:rsidP="00E64CEF">
      <w:pPr>
        <w:pStyle w:val="Subclause"/>
      </w:pPr>
      <w:r w:rsidRPr="00B90C7C">
        <w:t>catering purposes,</w:t>
      </w:r>
    </w:p>
    <w:p w:rsidR="00E64CEF" w:rsidRPr="00B90C7C" w:rsidRDefault="00E64CEF" w:rsidP="00E64CEF">
      <w:pPr>
        <w:rPr>
          <w:sz w:val="20"/>
          <w:szCs w:val="20"/>
        </w:rPr>
      </w:pPr>
    </w:p>
    <w:p w:rsidR="00E64CEF" w:rsidRPr="00B90C7C" w:rsidRDefault="00E64CEF" w:rsidP="00E64CEF">
      <w:pPr>
        <w:rPr>
          <w:i/>
          <w:sz w:val="20"/>
          <w:szCs w:val="20"/>
        </w:rPr>
      </w:pPr>
      <w:r w:rsidRPr="00B90C7C">
        <w:rPr>
          <w:i/>
          <w:sz w:val="20"/>
          <w:szCs w:val="20"/>
        </w:rPr>
        <w:t xml:space="preserve">substituting – </w:t>
      </w:r>
    </w:p>
    <w:p w:rsidR="00E64CEF" w:rsidRPr="00B90C7C" w:rsidRDefault="00E64CEF" w:rsidP="00E64CEF">
      <w:pPr>
        <w:rPr>
          <w:i/>
          <w:sz w:val="20"/>
          <w:szCs w:val="20"/>
        </w:rPr>
      </w:pPr>
    </w:p>
    <w:p w:rsidR="00E64CEF" w:rsidRPr="00B90C7C" w:rsidRDefault="00E64CEF" w:rsidP="00E64CEF">
      <w:pPr>
        <w:pStyle w:val="Subclause"/>
      </w:pPr>
      <w:r w:rsidRPr="00B90C7C">
        <w:t>catering purposes</w:t>
      </w:r>
    </w:p>
    <w:p w:rsidR="00E64CEF" w:rsidRPr="00B90C7C" w:rsidRDefault="00E64CEF" w:rsidP="00E64CEF">
      <w:pPr>
        <w:rPr>
          <w:sz w:val="20"/>
          <w:szCs w:val="20"/>
        </w:rPr>
      </w:pPr>
    </w:p>
    <w:p w:rsidR="00E64CEF" w:rsidRPr="00B90C7C" w:rsidRDefault="00E64CEF" w:rsidP="00E64CEF">
      <w:pPr>
        <w:pStyle w:val="Clause"/>
      </w:pPr>
      <w:r w:rsidRPr="00B90C7C">
        <w:t>[4.6]</w:t>
      </w:r>
      <w:r w:rsidRPr="00B90C7C">
        <w:tab/>
      </w:r>
      <w:r w:rsidRPr="00B90C7C">
        <w:rPr>
          <w:i/>
        </w:rPr>
        <w:t xml:space="preserve">omitting </w:t>
      </w:r>
      <w:r w:rsidRPr="00B90C7C">
        <w:t xml:space="preserve">and/or </w:t>
      </w:r>
      <w:r w:rsidRPr="00B90C7C">
        <w:rPr>
          <w:i/>
        </w:rPr>
        <w:t>wherever appearing in</w:t>
      </w:r>
      <w:r w:rsidRPr="00B90C7C">
        <w:t xml:space="preserve"> Column 2</w:t>
      </w:r>
      <w:r w:rsidRPr="00B90C7C">
        <w:rPr>
          <w:i/>
        </w:rPr>
        <w:t xml:space="preserve"> of the </w:t>
      </w:r>
      <w:r w:rsidRPr="00B90C7C">
        <w:t xml:space="preserve">Table to clause 8, </w:t>
      </w:r>
      <w:r w:rsidRPr="00B90C7C">
        <w:rPr>
          <w:i/>
        </w:rPr>
        <w:t xml:space="preserve">substituting </w:t>
      </w:r>
      <w:r w:rsidRPr="00B90C7C">
        <w:t>or</w:t>
      </w:r>
    </w:p>
    <w:p w:rsidR="00E64CEF" w:rsidRPr="00B90C7C" w:rsidRDefault="00E64CEF" w:rsidP="00E64CEF">
      <w:pPr>
        <w:rPr>
          <w:sz w:val="20"/>
          <w:szCs w:val="20"/>
        </w:rPr>
      </w:pPr>
    </w:p>
    <w:p w:rsidR="00E64CEF" w:rsidRPr="00B90C7C" w:rsidRDefault="00E64CEF" w:rsidP="00E64CEF">
      <w:pPr>
        <w:pStyle w:val="Clause"/>
        <w:rPr>
          <w:i/>
          <w:iCs/>
        </w:rPr>
      </w:pPr>
      <w:r w:rsidRPr="00B90C7C">
        <w:rPr>
          <w:b/>
          <w:bCs/>
        </w:rPr>
        <w:t>[5]</w:t>
      </w:r>
      <w:r w:rsidRPr="00B90C7C">
        <w:tab/>
      </w:r>
      <w:r w:rsidRPr="00B90C7C">
        <w:rPr>
          <w:b/>
          <w:bCs/>
          <w:i/>
          <w:iCs/>
        </w:rPr>
        <w:t>Standard 1.2.3</w:t>
      </w:r>
      <w:r w:rsidRPr="00B90C7C">
        <w:rPr>
          <w:i/>
          <w:iCs/>
        </w:rPr>
        <w:t xml:space="preserve"> of the Australia New Zealand Food Standards Code is varied by – </w:t>
      </w:r>
    </w:p>
    <w:p w:rsidR="00E64CEF" w:rsidRPr="00B90C7C" w:rsidRDefault="00E64CEF" w:rsidP="00E64CEF">
      <w:pPr>
        <w:rPr>
          <w:iCs/>
          <w:sz w:val="20"/>
          <w:szCs w:val="20"/>
        </w:rPr>
      </w:pPr>
    </w:p>
    <w:p w:rsidR="00E64CEF" w:rsidRPr="00B90C7C" w:rsidRDefault="00E64CEF" w:rsidP="00E64CEF">
      <w:pPr>
        <w:rPr>
          <w:iCs/>
          <w:sz w:val="20"/>
          <w:szCs w:val="20"/>
        </w:rPr>
      </w:pPr>
      <w:r w:rsidRPr="00B90C7C">
        <w:rPr>
          <w:iCs/>
          <w:sz w:val="20"/>
          <w:szCs w:val="20"/>
        </w:rPr>
        <w:t>[5.1]</w:t>
      </w:r>
      <w:r w:rsidRPr="00B90C7C">
        <w:rPr>
          <w:iCs/>
          <w:sz w:val="20"/>
          <w:szCs w:val="20"/>
        </w:rPr>
        <w:tab/>
      </w:r>
      <w:r w:rsidRPr="00B90C7C">
        <w:rPr>
          <w:i/>
          <w:iCs/>
          <w:sz w:val="20"/>
          <w:szCs w:val="20"/>
        </w:rPr>
        <w:t xml:space="preserve">inserting </w:t>
      </w:r>
      <w:r w:rsidRPr="00B90C7C">
        <w:rPr>
          <w:iCs/>
          <w:sz w:val="20"/>
          <w:szCs w:val="20"/>
        </w:rPr>
        <w:t xml:space="preserve">and warning </w:t>
      </w:r>
      <w:r w:rsidRPr="00B90C7C">
        <w:rPr>
          <w:i/>
          <w:iCs/>
          <w:sz w:val="20"/>
          <w:szCs w:val="20"/>
        </w:rPr>
        <w:t xml:space="preserve">after </w:t>
      </w:r>
      <w:r w:rsidRPr="00B90C7C">
        <w:rPr>
          <w:iCs/>
          <w:sz w:val="20"/>
          <w:szCs w:val="20"/>
        </w:rPr>
        <w:t xml:space="preserve">mandatory advisory </w:t>
      </w:r>
      <w:r w:rsidRPr="00B90C7C">
        <w:rPr>
          <w:i/>
          <w:iCs/>
          <w:sz w:val="20"/>
          <w:szCs w:val="20"/>
        </w:rPr>
        <w:t xml:space="preserve">in the </w:t>
      </w:r>
      <w:r w:rsidRPr="00B90C7C">
        <w:rPr>
          <w:iCs/>
          <w:sz w:val="20"/>
          <w:szCs w:val="20"/>
        </w:rPr>
        <w:t>Purpose.</w:t>
      </w:r>
    </w:p>
    <w:p w:rsidR="00E64CEF" w:rsidRPr="00B90C7C" w:rsidRDefault="00E64CEF" w:rsidP="00E64CEF">
      <w:pPr>
        <w:pStyle w:val="Clause"/>
        <w:rPr>
          <w:iCs/>
        </w:rPr>
      </w:pPr>
    </w:p>
    <w:p w:rsidR="00E64CEF" w:rsidRPr="00B90C7C" w:rsidRDefault="00E64CEF" w:rsidP="00E64CEF">
      <w:pPr>
        <w:rPr>
          <w:i/>
          <w:iCs/>
          <w:sz w:val="20"/>
          <w:szCs w:val="20"/>
        </w:rPr>
      </w:pPr>
      <w:r w:rsidRPr="00B90C7C">
        <w:rPr>
          <w:iCs/>
          <w:sz w:val="20"/>
          <w:szCs w:val="20"/>
        </w:rPr>
        <w:t>[5.2]</w:t>
      </w:r>
      <w:r w:rsidRPr="00B90C7C">
        <w:rPr>
          <w:iCs/>
          <w:sz w:val="20"/>
          <w:szCs w:val="20"/>
        </w:rPr>
        <w:tab/>
      </w:r>
      <w:r w:rsidRPr="00B90C7C">
        <w:rPr>
          <w:i/>
          <w:iCs/>
          <w:sz w:val="20"/>
          <w:szCs w:val="20"/>
        </w:rPr>
        <w:t xml:space="preserve">omitting from the heading to clause 3 – </w:t>
      </w:r>
    </w:p>
    <w:p w:rsidR="00E64CEF" w:rsidRPr="00B90C7C" w:rsidRDefault="00E64CEF" w:rsidP="00E64CEF">
      <w:pPr>
        <w:rPr>
          <w:i/>
          <w:iCs/>
          <w:sz w:val="20"/>
          <w:szCs w:val="20"/>
        </w:rPr>
      </w:pPr>
    </w:p>
    <w:p w:rsidR="00E64CEF" w:rsidRPr="00B90C7C" w:rsidRDefault="00E64CEF" w:rsidP="00E64CEF">
      <w:pPr>
        <w:rPr>
          <w:b/>
          <w:iCs/>
          <w:sz w:val="20"/>
          <w:szCs w:val="20"/>
        </w:rPr>
      </w:pPr>
      <w:r w:rsidRPr="00B90C7C">
        <w:rPr>
          <w:b/>
          <w:iCs/>
          <w:sz w:val="20"/>
          <w:szCs w:val="20"/>
        </w:rPr>
        <w:t>and declarations</w:t>
      </w:r>
    </w:p>
    <w:p w:rsidR="00E64CEF" w:rsidRPr="00FF2573" w:rsidRDefault="00E64CEF" w:rsidP="00E64CEF"/>
    <w:p w:rsidR="00E64CEF" w:rsidRPr="008E47F5" w:rsidRDefault="00E64CEF" w:rsidP="00E64CEF">
      <w:pPr>
        <w:pStyle w:val="Clause"/>
        <w:rPr>
          <w:i/>
          <w:iCs/>
        </w:rPr>
      </w:pPr>
      <w:r w:rsidRPr="008E47F5">
        <w:rPr>
          <w:iCs/>
        </w:rPr>
        <w:t>[</w:t>
      </w:r>
      <w:r>
        <w:rPr>
          <w:iCs/>
        </w:rPr>
        <w:t>5.3</w:t>
      </w:r>
      <w:r w:rsidRPr="008E47F5">
        <w:rPr>
          <w:iCs/>
        </w:rPr>
        <w:t>]</w:t>
      </w:r>
      <w:r w:rsidRPr="008E47F5">
        <w:rPr>
          <w:iCs/>
        </w:rPr>
        <w:tab/>
      </w:r>
      <w:r w:rsidRPr="008E47F5">
        <w:rPr>
          <w:i/>
          <w:iCs/>
        </w:rPr>
        <w:t xml:space="preserve">omitting </w:t>
      </w:r>
      <w:r>
        <w:rPr>
          <w:iCs/>
        </w:rPr>
        <w:t xml:space="preserve">advisory statement </w:t>
      </w:r>
      <w:r w:rsidRPr="008E47F5">
        <w:rPr>
          <w:i/>
          <w:iCs/>
        </w:rPr>
        <w:t>from</w:t>
      </w:r>
      <w:r>
        <w:rPr>
          <w:i/>
          <w:iCs/>
        </w:rPr>
        <w:t xml:space="preserve"> subclause 3(2</w:t>
      </w:r>
      <w:r w:rsidRPr="008E47F5">
        <w:rPr>
          <w:i/>
          <w:iCs/>
        </w:rPr>
        <w:t>)</w:t>
      </w:r>
      <w:r>
        <w:rPr>
          <w:i/>
          <w:iCs/>
        </w:rPr>
        <w:t xml:space="preserve">, substituting </w:t>
      </w:r>
      <w:r>
        <w:rPr>
          <w:iCs/>
        </w:rPr>
        <w:t>warning statement</w:t>
      </w:r>
    </w:p>
    <w:p w:rsidR="00E64CEF" w:rsidRDefault="00E64CEF" w:rsidP="00E64CEF">
      <w:pPr>
        <w:rPr>
          <w:iCs/>
        </w:rPr>
      </w:pPr>
    </w:p>
    <w:p w:rsidR="00E64CEF" w:rsidRDefault="00E64CEF" w:rsidP="00E64CEF">
      <w:pPr>
        <w:rPr>
          <w:iCs/>
        </w:rPr>
      </w:pPr>
      <w:r>
        <w:rPr>
          <w:iCs/>
        </w:rPr>
        <w:t>[5.4]</w:t>
      </w:r>
      <w:r>
        <w:rPr>
          <w:iCs/>
        </w:rPr>
        <w:tab/>
      </w:r>
      <w:r>
        <w:rPr>
          <w:i/>
          <w:iCs/>
        </w:rPr>
        <w:t xml:space="preserve">omitting from the </w:t>
      </w:r>
      <w:r w:rsidRPr="008A0C07">
        <w:rPr>
          <w:iCs/>
        </w:rPr>
        <w:t>Table to clause 4</w:t>
      </w:r>
      <w:r>
        <w:rPr>
          <w:iCs/>
        </w:rPr>
        <w:t xml:space="preserve"> – </w:t>
      </w:r>
    </w:p>
    <w:p w:rsidR="00E64CEF" w:rsidRDefault="00E64CEF" w:rsidP="00E64CEF">
      <w:pPr>
        <w:rPr>
          <w:i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64CEF" w:rsidTr="00A506D2">
        <w:tc>
          <w:tcPr>
            <w:tcW w:w="9072" w:type="dxa"/>
          </w:tcPr>
          <w:p w:rsidR="00E64CEF" w:rsidRDefault="00E64CEF" w:rsidP="00A506D2">
            <w:pPr>
              <w:pStyle w:val="Table2"/>
              <w:rPr>
                <w:iCs/>
              </w:rPr>
            </w:pPr>
            <w:r>
              <w:t>Fish and fish products, except for isinglass derived from swim bladders and used as a clarifying agent in beer and wine.</w:t>
            </w:r>
          </w:p>
        </w:tc>
      </w:tr>
      <w:tr w:rsidR="00E64CEF" w:rsidTr="00A506D2">
        <w:tc>
          <w:tcPr>
            <w:tcW w:w="9072" w:type="dxa"/>
          </w:tcPr>
          <w:p w:rsidR="00E64CEF" w:rsidRDefault="00E64CEF" w:rsidP="00A506D2">
            <w:pPr>
              <w:pStyle w:val="Table2"/>
              <w:rPr>
                <w:iCs/>
              </w:rPr>
            </w:pPr>
            <w:r>
              <w:t>Peanuts and soybeans, and their products</w:t>
            </w:r>
          </w:p>
        </w:tc>
      </w:tr>
      <w:tr w:rsidR="00E64CEF" w:rsidTr="00A506D2">
        <w:tc>
          <w:tcPr>
            <w:tcW w:w="9072" w:type="dxa"/>
          </w:tcPr>
          <w:p w:rsidR="00E64CEF" w:rsidRPr="00120852" w:rsidRDefault="00E64CEF" w:rsidP="00A506D2">
            <w:pPr>
              <w:pStyle w:val="Table2"/>
              <w:rPr>
                <w:iCs/>
              </w:rPr>
            </w:pPr>
            <w:r w:rsidRPr="00C31B93">
              <w:t>Tree nuts and sesame seeds and their products</w:t>
            </w:r>
            <w:r>
              <w:t xml:space="preserve"> other than coconut from the fruit of the palm </w:t>
            </w:r>
            <w:r w:rsidRPr="00120852">
              <w:rPr>
                <w:i/>
              </w:rPr>
              <w:t>Cocos nucifera</w:t>
            </w:r>
          </w:p>
        </w:tc>
      </w:tr>
    </w:tbl>
    <w:p w:rsidR="00E64CEF" w:rsidRPr="00B90C7C" w:rsidRDefault="00E64CEF" w:rsidP="00E64CEF">
      <w:pPr>
        <w:rPr>
          <w:iCs/>
          <w:sz w:val="20"/>
          <w:szCs w:val="20"/>
        </w:rPr>
      </w:pPr>
    </w:p>
    <w:p w:rsidR="00E64CEF" w:rsidRPr="00B90C7C" w:rsidRDefault="00E64CEF" w:rsidP="00E64CEF">
      <w:pPr>
        <w:pStyle w:val="Clause"/>
        <w:rPr>
          <w:i/>
          <w:iCs/>
        </w:rPr>
      </w:pPr>
      <w:r w:rsidRPr="00B90C7C">
        <w:rPr>
          <w:i/>
          <w:iCs/>
        </w:rPr>
        <w:t xml:space="preserve">substituting – </w:t>
      </w:r>
    </w:p>
    <w:p w:rsidR="00E64CEF" w:rsidRPr="00B90C7C" w:rsidRDefault="00E64CEF" w:rsidP="00E64CEF">
      <w:pPr>
        <w:rPr>
          <w:i/>
          <w:i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64CEF" w:rsidTr="00A506D2">
        <w:tc>
          <w:tcPr>
            <w:tcW w:w="9072" w:type="dxa"/>
          </w:tcPr>
          <w:p w:rsidR="00E64CEF" w:rsidRDefault="00E64CEF" w:rsidP="00A506D2">
            <w:pPr>
              <w:pStyle w:val="Table2"/>
              <w:rPr>
                <w:iCs/>
              </w:rPr>
            </w:pPr>
            <w:r>
              <w:t>Fish and fish products, except for isinglass derived from swim bladders and used as a clarifying agent in beer and wine</w:t>
            </w:r>
          </w:p>
        </w:tc>
      </w:tr>
      <w:tr w:rsidR="00E64CEF" w:rsidRPr="00312A41" w:rsidTr="00A506D2">
        <w:tc>
          <w:tcPr>
            <w:tcW w:w="9072" w:type="dxa"/>
            <w:tcBorders>
              <w:top w:val="single" w:sz="4" w:space="0" w:color="auto"/>
              <w:left w:val="single" w:sz="4" w:space="0" w:color="auto"/>
              <w:bottom w:val="single" w:sz="4" w:space="0" w:color="auto"/>
              <w:right w:val="single" w:sz="4" w:space="0" w:color="auto"/>
            </w:tcBorders>
          </w:tcPr>
          <w:p w:rsidR="00E64CEF" w:rsidRPr="00120852" w:rsidRDefault="00E64CEF" w:rsidP="00A506D2">
            <w:pPr>
              <w:pStyle w:val="Table2"/>
            </w:pPr>
            <w:r w:rsidRPr="00312A41">
              <w:t>Peanuts and peanut products</w:t>
            </w:r>
          </w:p>
        </w:tc>
      </w:tr>
      <w:tr w:rsidR="00E64CEF" w:rsidRPr="00312A41" w:rsidTr="00A506D2">
        <w:tc>
          <w:tcPr>
            <w:tcW w:w="9072" w:type="dxa"/>
            <w:tcBorders>
              <w:top w:val="single" w:sz="4" w:space="0" w:color="auto"/>
              <w:left w:val="single" w:sz="4" w:space="0" w:color="auto"/>
              <w:bottom w:val="single" w:sz="4" w:space="0" w:color="auto"/>
              <w:right w:val="single" w:sz="4" w:space="0" w:color="auto"/>
            </w:tcBorders>
          </w:tcPr>
          <w:p w:rsidR="00E64CEF" w:rsidRPr="00312A41" w:rsidRDefault="00E64CEF" w:rsidP="00A506D2">
            <w:pPr>
              <w:pStyle w:val="Table2"/>
            </w:pPr>
            <w:r w:rsidRPr="00312A41">
              <w:t>Soybeans and soybean products</w:t>
            </w:r>
          </w:p>
        </w:tc>
      </w:tr>
      <w:tr w:rsidR="00E64CEF" w:rsidRPr="00120852" w:rsidTr="00A506D2">
        <w:tc>
          <w:tcPr>
            <w:tcW w:w="9072" w:type="dxa"/>
            <w:tcBorders>
              <w:top w:val="single" w:sz="4" w:space="0" w:color="auto"/>
              <w:left w:val="single" w:sz="4" w:space="0" w:color="auto"/>
              <w:bottom w:val="single" w:sz="4" w:space="0" w:color="auto"/>
              <w:right w:val="single" w:sz="4" w:space="0" w:color="auto"/>
            </w:tcBorders>
          </w:tcPr>
          <w:p w:rsidR="00E64CEF" w:rsidRPr="00120852" w:rsidRDefault="00E64CEF" w:rsidP="00A506D2">
            <w:pPr>
              <w:pStyle w:val="Table2"/>
            </w:pPr>
            <w:r w:rsidRPr="00312A41">
              <w:t xml:space="preserve">Tree nuts and tree nut products other than coconut from the fruit of the palm </w:t>
            </w:r>
            <w:r w:rsidRPr="00120852">
              <w:t>Cocos nucifera</w:t>
            </w:r>
          </w:p>
        </w:tc>
      </w:tr>
      <w:tr w:rsidR="00E64CEF" w:rsidRPr="00312A41" w:rsidTr="00A506D2">
        <w:tc>
          <w:tcPr>
            <w:tcW w:w="9072" w:type="dxa"/>
            <w:tcBorders>
              <w:top w:val="single" w:sz="4" w:space="0" w:color="auto"/>
              <w:left w:val="single" w:sz="4" w:space="0" w:color="auto"/>
              <w:bottom w:val="single" w:sz="4" w:space="0" w:color="auto"/>
              <w:right w:val="single" w:sz="4" w:space="0" w:color="auto"/>
            </w:tcBorders>
          </w:tcPr>
          <w:p w:rsidR="00E64CEF" w:rsidRPr="00312A41" w:rsidRDefault="00E64CEF" w:rsidP="00A506D2">
            <w:pPr>
              <w:pStyle w:val="Table2"/>
            </w:pPr>
            <w:r w:rsidRPr="00312A41">
              <w:t>Sesame seeds and sesame seed products</w:t>
            </w:r>
          </w:p>
        </w:tc>
      </w:tr>
    </w:tbl>
    <w:p w:rsidR="00E64CEF" w:rsidRPr="00B90C7C" w:rsidRDefault="00E64CEF" w:rsidP="00E64CEF">
      <w:pPr>
        <w:pStyle w:val="Clause"/>
        <w:ind w:left="851" w:hanging="851"/>
        <w:rPr>
          <w:b/>
          <w:bCs/>
        </w:rPr>
      </w:pPr>
    </w:p>
    <w:p w:rsidR="00E64CEF" w:rsidRPr="00B90C7C" w:rsidRDefault="00E64CEF" w:rsidP="00E64CEF">
      <w:pPr>
        <w:pStyle w:val="Clause"/>
      </w:pPr>
      <w:r w:rsidRPr="00B90C7C">
        <w:t>[5.5]</w:t>
      </w:r>
      <w:r w:rsidRPr="00B90C7C">
        <w:tab/>
      </w:r>
      <w:r w:rsidRPr="00B90C7C">
        <w:rPr>
          <w:i/>
        </w:rPr>
        <w:t xml:space="preserve">updating the </w:t>
      </w:r>
      <w:r w:rsidRPr="00B90C7C">
        <w:t>Table of Provisions to reflect these amendments</w:t>
      </w:r>
    </w:p>
    <w:p w:rsidR="00E64CEF" w:rsidRPr="00B90C7C" w:rsidRDefault="00E64CEF" w:rsidP="00E64CEF">
      <w:pPr>
        <w:rPr>
          <w:sz w:val="20"/>
          <w:szCs w:val="20"/>
        </w:rPr>
      </w:pPr>
    </w:p>
    <w:p w:rsidR="00E64CEF" w:rsidRPr="00B90C7C" w:rsidRDefault="00E64CEF" w:rsidP="00E64CEF">
      <w:pPr>
        <w:pStyle w:val="Clause"/>
        <w:rPr>
          <w:i/>
          <w:iCs/>
        </w:rPr>
      </w:pPr>
      <w:r w:rsidRPr="00B90C7C">
        <w:rPr>
          <w:b/>
          <w:bCs/>
        </w:rPr>
        <w:t>[6]</w:t>
      </w:r>
      <w:r w:rsidRPr="00B90C7C">
        <w:tab/>
      </w:r>
      <w:r w:rsidRPr="00B90C7C">
        <w:rPr>
          <w:b/>
          <w:bCs/>
          <w:i/>
          <w:iCs/>
        </w:rPr>
        <w:t>Standard 1.2.4</w:t>
      </w:r>
      <w:r w:rsidRPr="00B90C7C">
        <w:rPr>
          <w:i/>
          <w:iCs/>
        </w:rPr>
        <w:t xml:space="preserve"> of the Australia New Zealand Food Standards Code is varied by – </w:t>
      </w:r>
    </w:p>
    <w:p w:rsidR="00E64CEF" w:rsidRPr="00B90C7C" w:rsidRDefault="00E64CEF" w:rsidP="00E64CEF">
      <w:pPr>
        <w:rPr>
          <w:sz w:val="20"/>
          <w:szCs w:val="20"/>
        </w:rPr>
      </w:pPr>
    </w:p>
    <w:p w:rsidR="00E64CEF" w:rsidRPr="00B90C7C" w:rsidRDefault="00E64CEF" w:rsidP="00E64CEF">
      <w:pPr>
        <w:pStyle w:val="Clause"/>
      </w:pPr>
      <w:r w:rsidRPr="00B90C7C">
        <w:t>[6.1]</w:t>
      </w:r>
      <w:r w:rsidRPr="00B90C7C">
        <w:tab/>
      </w:r>
      <w:r w:rsidRPr="00B90C7C">
        <w:rPr>
          <w:i/>
        </w:rPr>
        <w:t>omitting clause 2, substituting</w:t>
      </w:r>
      <w:r w:rsidRPr="00B90C7C">
        <w:t xml:space="preserve"> – </w:t>
      </w:r>
    </w:p>
    <w:p w:rsidR="00B90C7C" w:rsidRPr="00B90C7C" w:rsidRDefault="00B90C7C" w:rsidP="00E64CEF">
      <w:pPr>
        <w:rPr>
          <w:i/>
          <w:sz w:val="20"/>
          <w:szCs w:val="20"/>
        </w:rPr>
      </w:pPr>
    </w:p>
    <w:p w:rsidR="00E64CEF" w:rsidRPr="00B90C7C" w:rsidRDefault="00E64CEF" w:rsidP="00E64CEF">
      <w:pPr>
        <w:pStyle w:val="Clauseheading"/>
      </w:pPr>
      <w:r w:rsidRPr="00B90C7C">
        <w:t>2</w:t>
      </w:r>
      <w:r w:rsidRPr="00B90C7C">
        <w:tab/>
        <w:t>Requirement for statement of ingredients</w:t>
      </w:r>
    </w:p>
    <w:p w:rsidR="00E64CEF" w:rsidRPr="00B90C7C" w:rsidRDefault="00E64CEF" w:rsidP="00E64CEF">
      <w:pPr>
        <w:rPr>
          <w:b/>
          <w:sz w:val="20"/>
          <w:szCs w:val="20"/>
        </w:rPr>
      </w:pPr>
    </w:p>
    <w:p w:rsidR="00E64CEF" w:rsidRPr="00B90C7C" w:rsidRDefault="00E64CEF" w:rsidP="00E64CEF">
      <w:pPr>
        <w:pStyle w:val="Clause"/>
      </w:pPr>
      <w:r w:rsidRPr="00B90C7C">
        <w:t xml:space="preserve">The label on a package of food must include a statement of ingredients unless – </w:t>
      </w:r>
    </w:p>
    <w:p w:rsidR="00E64CEF" w:rsidRPr="00B90C7C" w:rsidRDefault="00E64CEF" w:rsidP="00E64CEF">
      <w:pPr>
        <w:rPr>
          <w:sz w:val="20"/>
          <w:szCs w:val="20"/>
        </w:rPr>
      </w:pPr>
    </w:p>
    <w:p w:rsidR="00E64CEF" w:rsidRPr="00B90C7C" w:rsidRDefault="00E64CEF" w:rsidP="00E64CEF">
      <w:pPr>
        <w:pStyle w:val="Paragraph"/>
      </w:pPr>
      <w:r w:rsidRPr="00B90C7C">
        <w:t>(a)</w:t>
      </w:r>
      <w:r w:rsidRPr="00B90C7C">
        <w:tab/>
        <w:t>the food is labelled with the name of the food which would otherwise be those ingredients listed in the ingredient list; or</w:t>
      </w:r>
    </w:p>
    <w:p w:rsidR="00B90C7C" w:rsidRDefault="00B90C7C" w:rsidP="00E64CEF">
      <w:pPr>
        <w:pStyle w:val="Paragraph"/>
      </w:pPr>
      <w:r>
        <w:br w:type="page"/>
      </w:r>
    </w:p>
    <w:p w:rsidR="00E64CEF" w:rsidRPr="00B90C7C" w:rsidRDefault="00E64CEF" w:rsidP="00E64CEF">
      <w:pPr>
        <w:pStyle w:val="Paragraph"/>
      </w:pPr>
      <w:r w:rsidRPr="00B90C7C">
        <w:lastRenderedPageBreak/>
        <w:t>(b)</w:t>
      </w:r>
      <w:r w:rsidRPr="00B90C7C">
        <w:tab/>
        <w:t>the food is water presented in packaged form as standardised in Standard 2.6.2; or</w:t>
      </w:r>
    </w:p>
    <w:p w:rsidR="00E64CEF" w:rsidRPr="00B90C7C" w:rsidRDefault="00E64CEF" w:rsidP="00E64CEF">
      <w:pPr>
        <w:pStyle w:val="Paragraph"/>
      </w:pPr>
      <w:r w:rsidRPr="00B90C7C">
        <w:t>(c)</w:t>
      </w:r>
      <w:r w:rsidRPr="00B90C7C">
        <w:tab/>
        <w:t>the food is an alcoholic beverage standardised in Standard 2.7.2 to Standard 2.7.5 of this Code; or</w:t>
      </w:r>
    </w:p>
    <w:p w:rsidR="00E64CEF" w:rsidRPr="00B90C7C" w:rsidRDefault="00E64CEF" w:rsidP="00E64CEF">
      <w:pPr>
        <w:pStyle w:val="Paragraph"/>
      </w:pPr>
      <w:r w:rsidRPr="00B90C7C">
        <w:t>(d)</w:t>
      </w:r>
      <w:r w:rsidRPr="00B90C7C">
        <w:tab/>
        <w:t>the food is contained in a small package.</w:t>
      </w:r>
    </w:p>
    <w:p w:rsidR="00E64CEF" w:rsidRPr="00B90C7C" w:rsidRDefault="00E64CEF" w:rsidP="00E64CEF">
      <w:pPr>
        <w:pStyle w:val="Clause"/>
        <w:rPr>
          <w:i/>
          <w:iCs/>
        </w:rPr>
      </w:pPr>
    </w:p>
    <w:p w:rsidR="00E64CEF" w:rsidRPr="00B90C7C" w:rsidRDefault="00E64CEF" w:rsidP="00E64CEF">
      <w:pPr>
        <w:pStyle w:val="Clause"/>
      </w:pPr>
      <w:r w:rsidRPr="00B90C7C">
        <w:t>[6.2]</w:t>
      </w:r>
      <w:r w:rsidRPr="00B90C7C">
        <w:tab/>
      </w:r>
      <w:r w:rsidRPr="00B90C7C">
        <w:rPr>
          <w:i/>
        </w:rPr>
        <w:t xml:space="preserve">omitting </w:t>
      </w:r>
      <w:r w:rsidRPr="00B90C7C">
        <w:t xml:space="preserve">and/or </w:t>
      </w:r>
      <w:r w:rsidRPr="00B90C7C">
        <w:rPr>
          <w:i/>
        </w:rPr>
        <w:t xml:space="preserve">from the entry for </w:t>
      </w:r>
      <w:r w:rsidRPr="00B90C7C">
        <w:t xml:space="preserve">milk solids </w:t>
      </w:r>
      <w:r w:rsidRPr="00B90C7C">
        <w:rPr>
          <w:i/>
        </w:rPr>
        <w:t xml:space="preserve">in the </w:t>
      </w:r>
      <w:r w:rsidRPr="00B90C7C">
        <w:t xml:space="preserve">Table to clause 4, </w:t>
      </w:r>
      <w:r w:rsidRPr="00B90C7C">
        <w:rPr>
          <w:i/>
        </w:rPr>
        <w:t xml:space="preserve">substituting </w:t>
      </w:r>
      <w:r w:rsidRPr="00B90C7C">
        <w:t>or</w:t>
      </w:r>
    </w:p>
    <w:p w:rsidR="00E64CEF" w:rsidRPr="00B90C7C" w:rsidRDefault="00E64CEF" w:rsidP="00E64CEF">
      <w:pPr>
        <w:pStyle w:val="Clause"/>
        <w:rPr>
          <w:iCs/>
        </w:rPr>
      </w:pPr>
    </w:p>
    <w:p w:rsidR="00E64CEF" w:rsidRPr="00B90C7C" w:rsidRDefault="00E64CEF" w:rsidP="00E64CEF">
      <w:pPr>
        <w:pStyle w:val="Clause"/>
      </w:pPr>
      <w:r w:rsidRPr="00B90C7C">
        <w:t>[6.3]</w:t>
      </w:r>
      <w:r w:rsidRPr="00B90C7C">
        <w:tab/>
      </w:r>
      <w:r w:rsidRPr="00B90C7C">
        <w:rPr>
          <w:i/>
        </w:rPr>
        <w:t xml:space="preserve">omitting </w:t>
      </w:r>
      <w:r w:rsidRPr="00B90C7C">
        <w:t xml:space="preserve">and/or </w:t>
      </w:r>
      <w:r w:rsidRPr="00B90C7C">
        <w:rPr>
          <w:i/>
        </w:rPr>
        <w:t xml:space="preserve">wherever appearing in clause 5, substituting </w:t>
      </w:r>
      <w:r w:rsidRPr="00B90C7C">
        <w:t>or</w:t>
      </w:r>
    </w:p>
    <w:p w:rsidR="00E64CEF" w:rsidRPr="00B90C7C" w:rsidRDefault="00E64CEF" w:rsidP="00E64CEF">
      <w:pPr>
        <w:rPr>
          <w:sz w:val="20"/>
          <w:szCs w:val="20"/>
        </w:rPr>
      </w:pPr>
    </w:p>
    <w:p w:rsidR="00E64CEF" w:rsidRPr="00B90C7C" w:rsidRDefault="00E64CEF" w:rsidP="00E64CEF">
      <w:pPr>
        <w:pStyle w:val="Clause"/>
        <w:rPr>
          <w:i/>
          <w:iCs/>
        </w:rPr>
      </w:pPr>
      <w:r w:rsidRPr="00B90C7C">
        <w:rPr>
          <w:iCs/>
        </w:rPr>
        <w:t>[6.4]</w:t>
      </w:r>
      <w:r w:rsidRPr="00B90C7C">
        <w:rPr>
          <w:iCs/>
        </w:rPr>
        <w:tab/>
      </w:r>
      <w:r w:rsidRPr="00B90C7C">
        <w:rPr>
          <w:i/>
          <w:iCs/>
        </w:rPr>
        <w:t xml:space="preserve">omitting clause 6, substituting – </w:t>
      </w:r>
    </w:p>
    <w:p w:rsidR="00E64CEF" w:rsidRPr="00B90C7C" w:rsidRDefault="00E64CEF" w:rsidP="00E64CEF">
      <w:pPr>
        <w:rPr>
          <w:sz w:val="20"/>
          <w:szCs w:val="20"/>
        </w:rPr>
      </w:pPr>
    </w:p>
    <w:p w:rsidR="00E64CEF" w:rsidRPr="00B90C7C" w:rsidRDefault="00E64CEF" w:rsidP="00E64CEF">
      <w:pPr>
        <w:pStyle w:val="Clauseheading"/>
      </w:pPr>
      <w:r w:rsidRPr="00B90C7C">
        <w:t>6</w:t>
      </w:r>
      <w:r w:rsidRPr="00B90C7C">
        <w:tab/>
        <w:t>Declaration of compound ingredients</w:t>
      </w:r>
    </w:p>
    <w:p w:rsidR="00E64CEF" w:rsidRPr="00B90C7C" w:rsidRDefault="00E64CEF" w:rsidP="00E64CEF">
      <w:pPr>
        <w:rPr>
          <w:sz w:val="20"/>
          <w:szCs w:val="20"/>
        </w:rPr>
      </w:pPr>
    </w:p>
    <w:p w:rsidR="00E64CEF" w:rsidRPr="00B90C7C" w:rsidRDefault="00E64CEF" w:rsidP="00E64CEF">
      <w:pPr>
        <w:pStyle w:val="Subclause"/>
        <w:numPr>
          <w:ilvl w:val="0"/>
          <w:numId w:val="8"/>
        </w:numPr>
      </w:pPr>
      <w:r w:rsidRPr="00B90C7C">
        <w:t xml:space="preserve">A compound ingredient must be declared in the statement of ingredients either – </w:t>
      </w:r>
    </w:p>
    <w:p w:rsidR="00E64CEF" w:rsidRPr="00B90C7C" w:rsidRDefault="00E64CEF" w:rsidP="00E64CEF">
      <w:pPr>
        <w:pStyle w:val="Paragraph"/>
      </w:pPr>
    </w:p>
    <w:p w:rsidR="00E64CEF" w:rsidRPr="00B90C7C" w:rsidRDefault="00E64CEF" w:rsidP="00E64CEF">
      <w:pPr>
        <w:pStyle w:val="Paragraph"/>
      </w:pPr>
      <w:r w:rsidRPr="00B90C7C">
        <w:rPr>
          <w:bCs/>
        </w:rPr>
        <w:t>(a)</w:t>
      </w:r>
      <w:r w:rsidRPr="00B90C7C">
        <w:rPr>
          <w:bCs/>
        </w:rPr>
        <w:tab/>
      </w:r>
      <w:r w:rsidRPr="00B90C7C">
        <w:t>by declaring the compound ingredient by name in its appropriate place in the statement of ingredients, and listing its ingredients in brackets after the name of the compound ingredient, in descending order of ingoing weight in the compound ingredient, as specified in the Table to this clause; or</w:t>
      </w:r>
    </w:p>
    <w:p w:rsidR="00E64CEF" w:rsidRPr="00B90C7C" w:rsidRDefault="00E64CEF" w:rsidP="00E64CEF">
      <w:pPr>
        <w:pStyle w:val="Paragraph"/>
      </w:pPr>
      <w:r w:rsidRPr="00B90C7C">
        <w:t>(b)</w:t>
      </w:r>
      <w:r w:rsidRPr="00B90C7C">
        <w:tab/>
        <w:t>by declaring all of the ingredients of the compound ingredient separately as if they were individual ingredients of the final food.</w:t>
      </w:r>
    </w:p>
    <w:p w:rsidR="00E64CEF" w:rsidRPr="00B90C7C" w:rsidRDefault="00E64CEF" w:rsidP="00E64CEF">
      <w:pPr>
        <w:rPr>
          <w:sz w:val="20"/>
          <w:szCs w:val="20"/>
        </w:rPr>
      </w:pPr>
    </w:p>
    <w:p w:rsidR="00E64CEF" w:rsidRPr="00B90C7C" w:rsidRDefault="00E64CEF" w:rsidP="00E64CEF">
      <w:pPr>
        <w:pStyle w:val="Subclause"/>
      </w:pPr>
      <w:r w:rsidRPr="00B90C7C">
        <w:t>(2)</w:t>
      </w:r>
      <w:r w:rsidRPr="00B90C7C">
        <w:tab/>
        <w:t>However, paragraph 6(1)(a) does not apply to food standardised in Standard 2.9.2.</w:t>
      </w:r>
    </w:p>
    <w:p w:rsidR="00E64CEF" w:rsidRPr="00B90C7C" w:rsidRDefault="00E64CEF" w:rsidP="00E64CEF">
      <w:pPr>
        <w:pStyle w:val="Subclause"/>
        <w:ind w:left="844" w:firstLine="0"/>
      </w:pPr>
    </w:p>
    <w:p w:rsidR="00E64CEF" w:rsidRPr="00B90C7C" w:rsidRDefault="00E64CEF" w:rsidP="00E64CEF">
      <w:pPr>
        <w:pStyle w:val="Subclause"/>
      </w:pPr>
      <w:r w:rsidRPr="00B90C7C">
        <w:t>(3)</w:t>
      </w:r>
      <w:r w:rsidRPr="00B90C7C">
        <w:tab/>
        <w:t>The ingredients in an alcoholic beverage, standardised in Standards 2.7.2 to 2.7.5 of this Code, do not need to be declared in a statement of ingredients if the alcoholic beverage has been declared as an ingredient in the food.</w:t>
      </w:r>
    </w:p>
    <w:p w:rsidR="00E64CEF" w:rsidRPr="00B90C7C" w:rsidRDefault="00E64CEF" w:rsidP="00E64CEF">
      <w:pPr>
        <w:pStyle w:val="ListParagraph"/>
        <w:ind w:left="0"/>
        <w:rPr>
          <w:sz w:val="20"/>
          <w:szCs w:val="20"/>
        </w:rPr>
      </w:pPr>
    </w:p>
    <w:p w:rsidR="00E64CEF" w:rsidRPr="00B90C7C" w:rsidRDefault="00E64CEF" w:rsidP="00E64CEF">
      <w:pPr>
        <w:pStyle w:val="TableHeading"/>
      </w:pPr>
      <w:r w:rsidRPr="00B90C7C">
        <w:t>Table to clause 6</w:t>
      </w:r>
    </w:p>
    <w:p w:rsidR="00E64CEF" w:rsidRPr="00B90C7C" w:rsidRDefault="00E64CEF" w:rsidP="00E64CEF">
      <w:pPr>
        <w:rPr>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4575"/>
      </w:tblGrid>
      <w:tr w:rsidR="00E64CEF" w:rsidTr="00A506D2">
        <w:tc>
          <w:tcPr>
            <w:tcW w:w="3092" w:type="dxa"/>
          </w:tcPr>
          <w:p w:rsidR="00E64CEF" w:rsidRDefault="00E64CEF" w:rsidP="00A506D2">
            <w:pPr>
              <w:pStyle w:val="Table1"/>
            </w:pPr>
            <w:r>
              <w:t>Amount of compound ingredient in the food</w:t>
            </w:r>
          </w:p>
        </w:tc>
        <w:tc>
          <w:tcPr>
            <w:tcW w:w="3145" w:type="dxa"/>
          </w:tcPr>
          <w:p w:rsidR="00E64CEF" w:rsidRDefault="00E64CEF" w:rsidP="00A506D2">
            <w:pPr>
              <w:pStyle w:val="Table1"/>
            </w:pPr>
            <w:r>
              <w:t>Ingredients of the compound ingredient to be included in the statement of ingredients</w:t>
            </w:r>
          </w:p>
        </w:tc>
      </w:tr>
      <w:tr w:rsidR="00E64CEF" w:rsidTr="00A506D2">
        <w:tc>
          <w:tcPr>
            <w:tcW w:w="3092" w:type="dxa"/>
          </w:tcPr>
          <w:p w:rsidR="00E64CEF" w:rsidRDefault="00E64CEF" w:rsidP="00A506D2">
            <w:pPr>
              <w:pStyle w:val="Table2"/>
            </w:pPr>
            <w:r>
              <w:t>5% or more</w:t>
            </w:r>
          </w:p>
        </w:tc>
        <w:tc>
          <w:tcPr>
            <w:tcW w:w="3145" w:type="dxa"/>
          </w:tcPr>
          <w:p w:rsidR="00E64CEF" w:rsidRPr="000F4A1B" w:rsidRDefault="00E64CEF" w:rsidP="00A506D2">
            <w:pPr>
              <w:pStyle w:val="Table2"/>
            </w:pPr>
            <w:r>
              <w:t xml:space="preserve">All </w:t>
            </w:r>
            <w:r w:rsidRPr="008E6B7B">
              <w:t>ingredients</w:t>
            </w:r>
          </w:p>
        </w:tc>
      </w:tr>
      <w:tr w:rsidR="00E64CEF" w:rsidTr="00A506D2">
        <w:tc>
          <w:tcPr>
            <w:tcW w:w="3092" w:type="dxa"/>
          </w:tcPr>
          <w:p w:rsidR="00E64CEF" w:rsidRDefault="00E64CEF" w:rsidP="00A506D2">
            <w:pPr>
              <w:pStyle w:val="Table2"/>
            </w:pPr>
            <w:r>
              <w:t>less than 5%</w:t>
            </w:r>
          </w:p>
        </w:tc>
        <w:tc>
          <w:tcPr>
            <w:tcW w:w="3145" w:type="dxa"/>
          </w:tcPr>
          <w:p w:rsidR="00E64CEF" w:rsidRDefault="00E64CEF" w:rsidP="00A506D2">
            <w:pPr>
              <w:pStyle w:val="Table2"/>
              <w:ind w:left="227" w:hanging="227"/>
            </w:pPr>
            <w:r>
              <w:t>1.</w:t>
            </w:r>
            <w:r>
              <w:tab/>
              <w:t>If applicable, any substance listed in the Table to clause 4 of Standard 1.2.3; and</w:t>
            </w:r>
          </w:p>
          <w:p w:rsidR="00E64CEF" w:rsidRDefault="00E64CEF" w:rsidP="00A506D2">
            <w:pPr>
              <w:pStyle w:val="Table2"/>
              <w:ind w:left="227" w:hanging="227"/>
            </w:pPr>
            <w:r>
              <w:t>2.</w:t>
            </w:r>
            <w:r>
              <w:tab/>
              <w:t>all food additives in the compound ingredient that perform a technological function in the final food</w:t>
            </w:r>
          </w:p>
        </w:tc>
      </w:tr>
    </w:tbl>
    <w:p w:rsidR="00E64CEF" w:rsidRPr="00B90C7C" w:rsidRDefault="00E64CEF" w:rsidP="00E64CEF">
      <w:pPr>
        <w:rPr>
          <w:sz w:val="20"/>
          <w:szCs w:val="20"/>
        </w:rPr>
      </w:pPr>
    </w:p>
    <w:p w:rsidR="00E64CEF" w:rsidRPr="00B90C7C" w:rsidRDefault="00E64CEF" w:rsidP="00E64CEF">
      <w:pPr>
        <w:pStyle w:val="EditorialNoteLine1"/>
      </w:pPr>
      <w:r w:rsidRPr="00B90C7C">
        <w:t>Editorial note:</w:t>
      </w:r>
    </w:p>
    <w:p w:rsidR="00E64CEF" w:rsidRPr="00B90C7C" w:rsidRDefault="00E64CEF" w:rsidP="00E64CEF">
      <w:pPr>
        <w:pStyle w:val="EditorialNotetext"/>
      </w:pPr>
    </w:p>
    <w:p w:rsidR="00E64CEF" w:rsidRPr="00B90C7C" w:rsidRDefault="00E64CEF" w:rsidP="00E64CEF">
      <w:pPr>
        <w:pStyle w:val="EditorialNotetext"/>
      </w:pPr>
      <w:r w:rsidRPr="00B90C7C">
        <w:t>An example for clause 6 is the statement of ingredients for canned spaghetti, which could read</w:t>
      </w:r>
    </w:p>
    <w:p w:rsidR="00E64CEF" w:rsidRPr="00B90C7C" w:rsidRDefault="00E64CEF" w:rsidP="00E64CEF">
      <w:pPr>
        <w:pStyle w:val="EditorialNotetext"/>
      </w:pPr>
    </w:p>
    <w:p w:rsidR="00E64CEF" w:rsidRPr="00B90C7C" w:rsidRDefault="00E64CEF" w:rsidP="00E64CEF">
      <w:pPr>
        <w:pStyle w:val="EditorialNotetext"/>
      </w:pPr>
      <w:r w:rsidRPr="00B90C7C">
        <w:tab/>
        <w:t>‘spaghetti (wheat flour, water), meat, sugar, water’</w:t>
      </w:r>
    </w:p>
    <w:p w:rsidR="00E64CEF" w:rsidRPr="00B90C7C" w:rsidRDefault="00E64CEF" w:rsidP="00E64CEF">
      <w:pPr>
        <w:pStyle w:val="EditorialNotetext"/>
      </w:pPr>
    </w:p>
    <w:p w:rsidR="00E64CEF" w:rsidRPr="00B90C7C" w:rsidRDefault="00E64CEF" w:rsidP="00E64CEF">
      <w:pPr>
        <w:pStyle w:val="EditorialNotetext"/>
      </w:pPr>
      <w:r w:rsidRPr="00B90C7C">
        <w:t>under option (a) or</w:t>
      </w:r>
    </w:p>
    <w:p w:rsidR="00E64CEF" w:rsidRPr="00B90C7C" w:rsidRDefault="00E64CEF" w:rsidP="00E64CEF">
      <w:pPr>
        <w:pStyle w:val="EditorialNotetext"/>
      </w:pPr>
    </w:p>
    <w:p w:rsidR="00E64CEF" w:rsidRPr="00B90C7C" w:rsidRDefault="00E64CEF" w:rsidP="00E64CEF">
      <w:pPr>
        <w:pStyle w:val="EditorialNotetext"/>
      </w:pPr>
      <w:r w:rsidRPr="00B90C7C">
        <w:tab/>
        <w:t>‘wheat flour, meat, sugar, water’</w:t>
      </w:r>
    </w:p>
    <w:p w:rsidR="00E64CEF" w:rsidRPr="00B90C7C" w:rsidRDefault="00E64CEF" w:rsidP="00E64CEF">
      <w:pPr>
        <w:pStyle w:val="EditorialNotetext"/>
      </w:pPr>
    </w:p>
    <w:p w:rsidR="00E64CEF" w:rsidRPr="00B90C7C" w:rsidRDefault="00E64CEF" w:rsidP="00E64CEF">
      <w:pPr>
        <w:pStyle w:val="EditorialNotetext"/>
      </w:pPr>
      <w:r w:rsidRPr="00B90C7C">
        <w:t>under option (b).</w:t>
      </w:r>
    </w:p>
    <w:p w:rsidR="00E64CEF" w:rsidRPr="00B90C7C" w:rsidRDefault="00E64CEF" w:rsidP="00E64CEF">
      <w:pPr>
        <w:outlineLvl w:val="0"/>
        <w:rPr>
          <w:rFonts w:ascii="Times" w:hAnsi="Times"/>
          <w:sz w:val="20"/>
          <w:szCs w:val="20"/>
        </w:rPr>
      </w:pPr>
    </w:p>
    <w:p w:rsidR="00E64CEF" w:rsidRPr="00B90C7C" w:rsidRDefault="00E64CEF" w:rsidP="00E64CEF">
      <w:pPr>
        <w:pStyle w:val="Subclause"/>
        <w:rPr>
          <w:i/>
        </w:rPr>
      </w:pPr>
      <w:r w:rsidRPr="00B90C7C">
        <w:t>[6.5]</w:t>
      </w:r>
      <w:r w:rsidRPr="00B90C7C">
        <w:tab/>
      </w:r>
      <w:r w:rsidRPr="00B90C7C">
        <w:rPr>
          <w:i/>
        </w:rPr>
        <w:t xml:space="preserve">omitting subclause 8(2), substituting – </w:t>
      </w:r>
    </w:p>
    <w:p w:rsidR="00B90C7C" w:rsidRPr="00B90C7C" w:rsidRDefault="00B90C7C" w:rsidP="00E64CEF">
      <w:pPr>
        <w:pStyle w:val="Subclause"/>
        <w:rPr>
          <w:i/>
        </w:rPr>
      </w:pPr>
    </w:p>
    <w:p w:rsidR="00E64CEF" w:rsidRPr="00B90C7C" w:rsidRDefault="00E64CEF" w:rsidP="00E64CEF">
      <w:pPr>
        <w:pStyle w:val="Subclause"/>
      </w:pPr>
      <w:r w:rsidRPr="00B90C7C">
        <w:t>(2)</w:t>
      </w:r>
      <w:r w:rsidRPr="00B90C7C">
        <w:tab/>
        <w:t>Where an additive must be declared and its technological function in the food can be classified in one of the classes of additives listed in Schedule 1 of this Standard the additive must be declared by the name of that class followed by the additive’s prescribed name or code number in brackets, as indicated in Schedule 2 of this Standard.</w:t>
      </w:r>
    </w:p>
    <w:p w:rsidR="00E64CEF" w:rsidRPr="00B90C7C" w:rsidRDefault="00E64CEF" w:rsidP="00E64CEF">
      <w:pPr>
        <w:outlineLvl w:val="0"/>
        <w:rPr>
          <w:i/>
          <w:iCs/>
          <w:sz w:val="20"/>
          <w:szCs w:val="20"/>
        </w:rPr>
      </w:pPr>
    </w:p>
    <w:p w:rsidR="00E64CEF" w:rsidRPr="00B90C7C" w:rsidRDefault="00E64CEF" w:rsidP="00E64CEF">
      <w:pPr>
        <w:pStyle w:val="Clause"/>
      </w:pPr>
      <w:r w:rsidRPr="00B90C7C">
        <w:t>[6.6]</w:t>
      </w:r>
      <w:r w:rsidRPr="00B90C7C">
        <w:tab/>
      </w:r>
      <w:r w:rsidRPr="00B90C7C">
        <w:rPr>
          <w:i/>
        </w:rPr>
        <w:t xml:space="preserve">inserting </w:t>
      </w:r>
      <w:r w:rsidRPr="00B90C7C">
        <w:t xml:space="preserve">for its technological function in the food </w:t>
      </w:r>
      <w:r w:rsidRPr="00B90C7C">
        <w:rPr>
          <w:i/>
        </w:rPr>
        <w:t>in subclause 8(4), before</w:t>
      </w:r>
      <w:r w:rsidRPr="00B90C7C">
        <w:t xml:space="preserve"> must be used </w:t>
      </w:r>
    </w:p>
    <w:p w:rsidR="00E64CEF" w:rsidRPr="00B90C7C" w:rsidRDefault="00E64CEF" w:rsidP="00E64CEF">
      <w:pPr>
        <w:outlineLvl w:val="0"/>
        <w:rPr>
          <w:i/>
          <w:iCs/>
          <w:sz w:val="20"/>
          <w:szCs w:val="20"/>
        </w:rPr>
      </w:pPr>
    </w:p>
    <w:p w:rsidR="00E64CEF" w:rsidRPr="00B90C7C" w:rsidRDefault="00E64CEF" w:rsidP="00E64CEF">
      <w:pPr>
        <w:pStyle w:val="Clause"/>
        <w:rPr>
          <w:i/>
          <w:iCs/>
        </w:rPr>
      </w:pPr>
      <w:r w:rsidRPr="00B90C7C">
        <w:rPr>
          <w:iCs/>
        </w:rPr>
        <w:t>[6.7]</w:t>
      </w:r>
      <w:r w:rsidRPr="00B90C7C">
        <w:rPr>
          <w:i/>
          <w:iCs/>
        </w:rPr>
        <w:tab/>
        <w:t xml:space="preserve">omitting subclause 8(5), substituting – </w:t>
      </w:r>
    </w:p>
    <w:p w:rsidR="00E64CEF" w:rsidRPr="00B90C7C" w:rsidRDefault="00E64CEF" w:rsidP="00E64CEF">
      <w:pPr>
        <w:outlineLvl w:val="0"/>
        <w:rPr>
          <w:i/>
          <w:iCs/>
          <w:sz w:val="20"/>
          <w:szCs w:val="20"/>
        </w:rPr>
      </w:pPr>
    </w:p>
    <w:p w:rsidR="00E64CEF" w:rsidRPr="00B90C7C" w:rsidRDefault="00E64CEF" w:rsidP="00E64CEF">
      <w:pPr>
        <w:pStyle w:val="Subclause"/>
      </w:pPr>
      <w:r w:rsidRPr="00B90C7C">
        <w:t>(5)</w:t>
      </w:r>
      <w:r w:rsidRPr="00B90C7C">
        <w:tab/>
        <w:t>Where a food additive’s technological function in the food cannot be classified in one of the classes specified in Schedule 1, it must be declared in the statement of ingredients by use of its prescribed name, as indicated in Schedule 2 of this Standard.</w:t>
      </w:r>
    </w:p>
    <w:p w:rsidR="00E64CEF" w:rsidRPr="00B90C7C" w:rsidRDefault="00E64CEF" w:rsidP="00E64CEF">
      <w:pPr>
        <w:rPr>
          <w:sz w:val="20"/>
          <w:szCs w:val="20"/>
        </w:rPr>
      </w:pPr>
    </w:p>
    <w:p w:rsidR="00E64CEF" w:rsidRPr="00B90C7C" w:rsidRDefault="00E64CEF" w:rsidP="00E64CEF">
      <w:pPr>
        <w:pStyle w:val="Clause"/>
      </w:pPr>
      <w:r w:rsidRPr="00B90C7C">
        <w:t>[6.8]</w:t>
      </w:r>
      <w:r w:rsidRPr="00B90C7C">
        <w:tab/>
      </w:r>
      <w:r w:rsidRPr="00B90C7C">
        <w:rPr>
          <w:i/>
        </w:rPr>
        <w:t>inserting following clause 9</w:t>
      </w:r>
      <w:r w:rsidRPr="00B90C7C">
        <w:t xml:space="preserve"> – </w:t>
      </w:r>
    </w:p>
    <w:p w:rsidR="00E64CEF" w:rsidRPr="00B90C7C" w:rsidRDefault="00E64CEF" w:rsidP="00E64CEF">
      <w:pPr>
        <w:rPr>
          <w:i/>
          <w:sz w:val="20"/>
          <w:szCs w:val="20"/>
        </w:rPr>
      </w:pPr>
    </w:p>
    <w:p w:rsidR="00E64CEF" w:rsidRPr="00B90C7C" w:rsidRDefault="00E64CEF" w:rsidP="00E64CEF">
      <w:pPr>
        <w:pStyle w:val="Clauseheading"/>
      </w:pPr>
      <w:r w:rsidRPr="00B90C7C">
        <w:t>10</w:t>
      </w:r>
      <w:r w:rsidRPr="00B90C7C">
        <w:tab/>
        <w:t>Process declaration for oil</w:t>
      </w:r>
    </w:p>
    <w:p w:rsidR="00E64CEF" w:rsidRPr="00B90C7C" w:rsidRDefault="00E64CEF" w:rsidP="00E64CEF">
      <w:pPr>
        <w:rPr>
          <w:sz w:val="20"/>
          <w:szCs w:val="20"/>
        </w:rPr>
      </w:pPr>
    </w:p>
    <w:p w:rsidR="00E64CEF" w:rsidRPr="00B90C7C" w:rsidRDefault="00E64CEF" w:rsidP="00E64CEF">
      <w:pPr>
        <w:pStyle w:val="Clause"/>
      </w:pPr>
      <w:r w:rsidRPr="00B90C7C">
        <w:t>If a food contains oil as an ingredient, and the specific name of the oil is used on the label of the food, the label must include the statement prescribed in clause 3 of Standard 2.4.1.</w:t>
      </w:r>
    </w:p>
    <w:p w:rsidR="00E64CEF" w:rsidRPr="00B90C7C" w:rsidRDefault="00E64CEF" w:rsidP="00E64CEF">
      <w:pPr>
        <w:rPr>
          <w:sz w:val="20"/>
          <w:szCs w:val="20"/>
        </w:rPr>
      </w:pPr>
    </w:p>
    <w:p w:rsidR="00E64CEF" w:rsidRPr="00B90C7C" w:rsidRDefault="00E64CEF" w:rsidP="00E64CEF">
      <w:pPr>
        <w:pStyle w:val="Clause"/>
        <w:rPr>
          <w:i/>
        </w:rPr>
      </w:pPr>
      <w:r w:rsidRPr="00B90C7C">
        <w:t>[6.9]</w:t>
      </w:r>
      <w:r w:rsidRPr="00B90C7C">
        <w:tab/>
      </w:r>
      <w:r w:rsidRPr="00B90C7C">
        <w:rPr>
          <w:i/>
        </w:rPr>
        <w:t xml:space="preserve">inserting the following entries in alphabetical order into Part 1 of </w:t>
      </w:r>
      <w:r w:rsidRPr="00B90C7C">
        <w:t>Schedule 2</w:t>
      </w:r>
      <w:r w:rsidRPr="00B90C7C">
        <w:rPr>
          <w:i/>
        </w:rPr>
        <w:t xml:space="preserve"> – </w:t>
      </w:r>
    </w:p>
    <w:p w:rsidR="00E64CEF" w:rsidRPr="00B90C7C" w:rsidRDefault="00E64CEF" w:rsidP="00E64CEF">
      <w:pPr>
        <w:rPr>
          <w:sz w:val="20"/>
          <w:szCs w:val="20"/>
        </w:rPr>
      </w:pPr>
    </w:p>
    <w:tbl>
      <w:tblPr>
        <w:tblW w:w="411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119"/>
        <w:gridCol w:w="992"/>
      </w:tblGrid>
      <w:tr w:rsidR="00E64CEF" w:rsidTr="00A506D2">
        <w:tc>
          <w:tcPr>
            <w:tcW w:w="3119" w:type="dxa"/>
          </w:tcPr>
          <w:p w:rsidR="00E64CEF" w:rsidRDefault="00E64CEF" w:rsidP="00A506D2">
            <w:pPr>
              <w:pStyle w:val="Table2"/>
            </w:pPr>
            <w:r>
              <w:t>Sodium gluconate</w:t>
            </w:r>
          </w:p>
        </w:tc>
        <w:tc>
          <w:tcPr>
            <w:tcW w:w="992" w:type="dxa"/>
          </w:tcPr>
          <w:p w:rsidR="00E64CEF" w:rsidRDefault="00E64CEF" w:rsidP="00A506D2">
            <w:pPr>
              <w:pStyle w:val="Table2"/>
            </w:pPr>
            <w:r>
              <w:t>576</w:t>
            </w:r>
          </w:p>
        </w:tc>
      </w:tr>
      <w:tr w:rsidR="00E64CEF" w:rsidTr="00A506D2">
        <w:tc>
          <w:tcPr>
            <w:tcW w:w="3119" w:type="dxa"/>
          </w:tcPr>
          <w:p w:rsidR="00E64CEF" w:rsidRDefault="00E64CEF" w:rsidP="00A506D2">
            <w:pPr>
              <w:pStyle w:val="Table2"/>
            </w:pPr>
            <w:r>
              <w:t>Acetylated oxidised starch</w:t>
            </w:r>
          </w:p>
        </w:tc>
        <w:tc>
          <w:tcPr>
            <w:tcW w:w="992" w:type="dxa"/>
          </w:tcPr>
          <w:p w:rsidR="00E64CEF" w:rsidRDefault="00E64CEF" w:rsidP="00A506D2">
            <w:pPr>
              <w:pStyle w:val="Table2"/>
            </w:pPr>
            <w:r>
              <w:t>1451</w:t>
            </w:r>
          </w:p>
        </w:tc>
      </w:tr>
    </w:tbl>
    <w:p w:rsidR="00E64CEF" w:rsidRPr="00B90C7C" w:rsidRDefault="00E64CEF" w:rsidP="00E64CEF">
      <w:pPr>
        <w:rPr>
          <w:sz w:val="20"/>
          <w:szCs w:val="20"/>
        </w:rPr>
      </w:pPr>
    </w:p>
    <w:p w:rsidR="00E64CEF" w:rsidRPr="00B90C7C" w:rsidRDefault="00E64CEF" w:rsidP="00E64CEF">
      <w:pPr>
        <w:pStyle w:val="Clause"/>
      </w:pPr>
      <w:r w:rsidRPr="00B90C7C">
        <w:t>[6.10]</w:t>
      </w:r>
      <w:r w:rsidRPr="00B90C7C">
        <w:tab/>
      </w:r>
      <w:r w:rsidRPr="00B90C7C">
        <w:rPr>
          <w:i/>
        </w:rPr>
        <w:t xml:space="preserve">inserting the following entries in numerical order into Part 2 of </w:t>
      </w:r>
      <w:r w:rsidRPr="00B90C7C">
        <w:t>Schedule 2</w:t>
      </w:r>
      <w:r w:rsidRPr="00B90C7C">
        <w:rPr>
          <w:i/>
        </w:rPr>
        <w:t xml:space="preserve"> – </w:t>
      </w:r>
    </w:p>
    <w:p w:rsidR="00E64CEF" w:rsidRPr="00B90C7C" w:rsidRDefault="00E64CEF" w:rsidP="00E64CEF">
      <w:pPr>
        <w:rPr>
          <w:sz w:val="20"/>
          <w:szCs w:val="20"/>
        </w:rPr>
      </w:pPr>
    </w:p>
    <w:tbl>
      <w:tblPr>
        <w:tblW w:w="411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119"/>
        <w:gridCol w:w="992"/>
      </w:tblGrid>
      <w:tr w:rsidR="00E64CEF" w:rsidTr="00A506D2">
        <w:tc>
          <w:tcPr>
            <w:tcW w:w="3119" w:type="dxa"/>
          </w:tcPr>
          <w:p w:rsidR="00E64CEF" w:rsidRDefault="00E64CEF" w:rsidP="00A506D2">
            <w:pPr>
              <w:pStyle w:val="Table2"/>
            </w:pPr>
            <w:r>
              <w:t>Sodium gluconate</w:t>
            </w:r>
          </w:p>
        </w:tc>
        <w:tc>
          <w:tcPr>
            <w:tcW w:w="992" w:type="dxa"/>
          </w:tcPr>
          <w:p w:rsidR="00E64CEF" w:rsidRDefault="00E64CEF" w:rsidP="00A506D2">
            <w:pPr>
              <w:pStyle w:val="Table2"/>
            </w:pPr>
            <w:r>
              <w:t>576</w:t>
            </w:r>
          </w:p>
        </w:tc>
      </w:tr>
      <w:tr w:rsidR="00E64CEF" w:rsidTr="00A506D2">
        <w:tc>
          <w:tcPr>
            <w:tcW w:w="3119" w:type="dxa"/>
          </w:tcPr>
          <w:p w:rsidR="00E64CEF" w:rsidRDefault="00E64CEF" w:rsidP="00A506D2">
            <w:pPr>
              <w:pStyle w:val="Table2"/>
            </w:pPr>
            <w:r>
              <w:t>Acetylated oxidised starch</w:t>
            </w:r>
          </w:p>
        </w:tc>
        <w:tc>
          <w:tcPr>
            <w:tcW w:w="992" w:type="dxa"/>
          </w:tcPr>
          <w:p w:rsidR="00E64CEF" w:rsidRDefault="00E64CEF" w:rsidP="00A506D2">
            <w:pPr>
              <w:pStyle w:val="Table2"/>
            </w:pPr>
            <w:r>
              <w:t>1451</w:t>
            </w:r>
          </w:p>
        </w:tc>
      </w:tr>
    </w:tbl>
    <w:p w:rsidR="00E64CEF" w:rsidRPr="00B90C7C" w:rsidRDefault="00E64CEF" w:rsidP="00E64CEF">
      <w:pPr>
        <w:rPr>
          <w:sz w:val="20"/>
          <w:szCs w:val="20"/>
        </w:rPr>
      </w:pPr>
    </w:p>
    <w:p w:rsidR="00E64CEF" w:rsidRPr="00B90C7C" w:rsidRDefault="00E64CEF" w:rsidP="00E64CEF">
      <w:pPr>
        <w:pStyle w:val="Clause"/>
      </w:pPr>
      <w:r w:rsidRPr="00B90C7C">
        <w:t>[6.11]</w:t>
      </w:r>
      <w:r w:rsidRPr="00B90C7C">
        <w:tab/>
      </w:r>
      <w:r w:rsidRPr="00B90C7C">
        <w:rPr>
          <w:i/>
        </w:rPr>
        <w:t xml:space="preserve">updating the </w:t>
      </w:r>
      <w:r w:rsidRPr="00B90C7C">
        <w:t>Table of Provisions to reflect these amendments</w:t>
      </w:r>
    </w:p>
    <w:p w:rsidR="00E64CEF" w:rsidRPr="00B90C7C" w:rsidRDefault="00E64CEF" w:rsidP="00E64CEF">
      <w:pPr>
        <w:rPr>
          <w:sz w:val="20"/>
          <w:szCs w:val="20"/>
        </w:rPr>
      </w:pPr>
    </w:p>
    <w:p w:rsidR="00E64CEF" w:rsidRPr="00B90C7C" w:rsidRDefault="00E64CEF" w:rsidP="00E64CEF">
      <w:pPr>
        <w:pStyle w:val="Clause"/>
        <w:rPr>
          <w:i/>
          <w:iCs/>
        </w:rPr>
      </w:pPr>
      <w:r w:rsidRPr="00B90C7C">
        <w:rPr>
          <w:b/>
          <w:bCs/>
        </w:rPr>
        <w:t>[7]</w:t>
      </w:r>
      <w:r w:rsidRPr="00B90C7C">
        <w:tab/>
      </w:r>
      <w:r w:rsidRPr="00B90C7C">
        <w:rPr>
          <w:b/>
          <w:bCs/>
          <w:i/>
          <w:iCs/>
        </w:rPr>
        <w:t>Standard 1.2.5</w:t>
      </w:r>
      <w:r w:rsidRPr="00B90C7C">
        <w:rPr>
          <w:i/>
          <w:iCs/>
        </w:rPr>
        <w:t xml:space="preserve"> of the Australia New Zealand Food Standards Code is varied by – </w:t>
      </w:r>
    </w:p>
    <w:p w:rsidR="00E64CEF" w:rsidRPr="00B90C7C" w:rsidRDefault="00E64CEF" w:rsidP="00E64CEF">
      <w:pPr>
        <w:outlineLvl w:val="0"/>
        <w:rPr>
          <w:rFonts w:ascii="Times" w:hAnsi="Times"/>
          <w:sz w:val="20"/>
          <w:szCs w:val="20"/>
        </w:rPr>
      </w:pPr>
    </w:p>
    <w:p w:rsidR="00E64CEF" w:rsidRPr="00B90C7C" w:rsidRDefault="00E64CEF" w:rsidP="00E64CEF">
      <w:pPr>
        <w:pStyle w:val="Clause"/>
      </w:pPr>
      <w:r w:rsidRPr="00B90C7C">
        <w:t>[7.1]</w:t>
      </w:r>
      <w:r w:rsidRPr="00B90C7C">
        <w:tab/>
      </w:r>
      <w:r w:rsidRPr="00B90C7C">
        <w:rPr>
          <w:i/>
        </w:rPr>
        <w:t xml:space="preserve">omitting from the definition of </w:t>
      </w:r>
      <w:r w:rsidRPr="00B90C7C">
        <w:rPr>
          <w:b/>
        </w:rPr>
        <w:t>use-by date</w:t>
      </w:r>
      <w:r w:rsidRPr="00B90C7C">
        <w:t xml:space="preserve"> i</w:t>
      </w:r>
      <w:r w:rsidRPr="00B90C7C">
        <w:rPr>
          <w:i/>
        </w:rPr>
        <w:t xml:space="preserve">n clause 1 </w:t>
      </w:r>
      <w:r w:rsidRPr="00B90C7C">
        <w:t>health and safety</w:t>
      </w:r>
      <w:r w:rsidRPr="00B90C7C">
        <w:rPr>
          <w:i/>
        </w:rPr>
        <w:t xml:space="preserve">, substituting </w:t>
      </w:r>
      <w:r w:rsidRPr="00B90C7C">
        <w:t>health or safety</w:t>
      </w:r>
      <w:r w:rsidRPr="00B90C7C" w:rsidDel="00801C96">
        <w:t xml:space="preserve"> </w:t>
      </w:r>
    </w:p>
    <w:p w:rsidR="00E64CEF" w:rsidRPr="00B90C7C" w:rsidRDefault="00E64CEF" w:rsidP="00E64CEF">
      <w:pPr>
        <w:rPr>
          <w:i/>
          <w:iCs/>
          <w:sz w:val="20"/>
          <w:szCs w:val="20"/>
        </w:rPr>
      </w:pPr>
    </w:p>
    <w:p w:rsidR="00E64CEF" w:rsidRPr="00B90C7C" w:rsidRDefault="00E64CEF" w:rsidP="00E64CEF">
      <w:pPr>
        <w:pStyle w:val="Clause"/>
      </w:pPr>
      <w:r w:rsidRPr="00B90C7C">
        <w:t>[7.2]</w:t>
      </w:r>
      <w:r w:rsidRPr="00B90C7C">
        <w:tab/>
      </w:r>
      <w:r w:rsidRPr="00B90C7C">
        <w:rPr>
          <w:i/>
        </w:rPr>
        <w:t>omitting clause 5 and the Examples under clause 5, substituting</w:t>
      </w:r>
      <w:r w:rsidRPr="00B90C7C">
        <w:t xml:space="preserve"> – </w:t>
      </w:r>
    </w:p>
    <w:p w:rsidR="00E64CEF" w:rsidRPr="00B90C7C" w:rsidRDefault="00E64CEF" w:rsidP="00E64CEF">
      <w:pPr>
        <w:rPr>
          <w:i/>
          <w:sz w:val="20"/>
          <w:szCs w:val="20"/>
        </w:rPr>
      </w:pPr>
    </w:p>
    <w:p w:rsidR="00E64CEF" w:rsidRPr="00B90C7C" w:rsidRDefault="00E64CEF" w:rsidP="00E64CEF">
      <w:pPr>
        <w:pStyle w:val="Clauseheading"/>
      </w:pPr>
      <w:r w:rsidRPr="00B90C7C">
        <w:t>5</w:t>
      </w:r>
      <w:r w:rsidRPr="00B90C7C">
        <w:tab/>
        <w:t>Prescribed form of date</w:t>
      </w:r>
    </w:p>
    <w:p w:rsidR="00E64CEF" w:rsidRPr="00B90C7C" w:rsidRDefault="00E64CEF" w:rsidP="00E64CEF">
      <w:pPr>
        <w:rPr>
          <w:b/>
          <w:sz w:val="20"/>
          <w:szCs w:val="20"/>
        </w:rPr>
      </w:pPr>
    </w:p>
    <w:p w:rsidR="00E64CEF" w:rsidRPr="00B90C7C" w:rsidRDefault="00E64CEF" w:rsidP="00E64CEF">
      <w:pPr>
        <w:pStyle w:val="Subclause"/>
      </w:pPr>
      <w:r w:rsidRPr="00B90C7C">
        <w:t>(1)</w:t>
      </w:r>
      <w:r w:rsidRPr="00B90C7C">
        <w:tab/>
        <w:t>If the best-before date or use-by date of a food is not more than 3 months from the date it is applied, the date mark must consist at least of the day and month, expressed in that order.</w:t>
      </w:r>
    </w:p>
    <w:p w:rsidR="00E64CEF" w:rsidRPr="00B90C7C" w:rsidRDefault="00E64CEF" w:rsidP="00E64CEF">
      <w:pPr>
        <w:pStyle w:val="Subclause"/>
      </w:pPr>
    </w:p>
    <w:p w:rsidR="00E64CEF" w:rsidRPr="00B90C7C" w:rsidRDefault="00E64CEF" w:rsidP="00E64CEF">
      <w:pPr>
        <w:pStyle w:val="Subclause"/>
      </w:pPr>
      <w:r w:rsidRPr="00B90C7C">
        <w:t>(2)</w:t>
      </w:r>
      <w:r w:rsidRPr="00B90C7C">
        <w:tab/>
        <w:t>If the best-before date or use-by date of a food is more than 3 months from the date it is applied, the date mark must consist at least of the month and year, expressed in that order.</w:t>
      </w:r>
    </w:p>
    <w:p w:rsidR="00E64CEF" w:rsidRPr="00B90C7C" w:rsidRDefault="00E64CEF" w:rsidP="00E64CEF">
      <w:pPr>
        <w:pStyle w:val="Subclause"/>
      </w:pPr>
    </w:p>
    <w:p w:rsidR="00E64CEF" w:rsidRPr="00B90C7C" w:rsidRDefault="00E64CEF" w:rsidP="00E64CEF">
      <w:pPr>
        <w:pStyle w:val="Subclause"/>
      </w:pPr>
      <w:r w:rsidRPr="00B90C7C">
        <w:t>(3)</w:t>
      </w:r>
      <w:r w:rsidRPr="00B90C7C">
        <w:tab/>
        <w:t>The best-before date and use-by date must be expressed in numerical form, except for the month which may be expressed in letters. Where the month is expressed in letters, the month may precede the day.</w:t>
      </w:r>
    </w:p>
    <w:p w:rsidR="00E64CEF" w:rsidRPr="00B90C7C" w:rsidRDefault="00E64CEF" w:rsidP="00E64CEF">
      <w:pPr>
        <w:pStyle w:val="Subclause"/>
      </w:pPr>
    </w:p>
    <w:p w:rsidR="00E64CEF" w:rsidRPr="00B90C7C" w:rsidRDefault="00E64CEF" w:rsidP="00E64CEF">
      <w:pPr>
        <w:pStyle w:val="Subclause"/>
      </w:pPr>
      <w:r w:rsidRPr="00B90C7C">
        <w:t>(4)</w:t>
      </w:r>
      <w:r w:rsidRPr="00B90C7C">
        <w:tab/>
        <w:t>The day, month and year so expressed within the best-before or use-by date must be distinguishable.</w:t>
      </w:r>
    </w:p>
    <w:p w:rsidR="00E64CEF" w:rsidRPr="00B90C7C" w:rsidRDefault="00E64CEF" w:rsidP="00E64CEF">
      <w:pPr>
        <w:ind w:left="-11"/>
        <w:rPr>
          <w:sz w:val="20"/>
          <w:szCs w:val="20"/>
        </w:rPr>
      </w:pPr>
    </w:p>
    <w:p w:rsidR="00E64CEF" w:rsidRPr="00B90C7C" w:rsidRDefault="00E64CEF" w:rsidP="00E64CEF">
      <w:pPr>
        <w:pStyle w:val="EditorialNoteLine1"/>
      </w:pPr>
      <w:r w:rsidRPr="00B90C7C">
        <w:t>Examples:</w:t>
      </w:r>
    </w:p>
    <w:p w:rsidR="00E64CEF" w:rsidRPr="00B90C7C" w:rsidRDefault="00E64CEF" w:rsidP="00E64CEF">
      <w:pPr>
        <w:pStyle w:val="EditorialNoteLine1"/>
      </w:pPr>
    </w:p>
    <w:p w:rsidR="00E64CEF" w:rsidRPr="00B90C7C" w:rsidRDefault="00E64CEF" w:rsidP="00E64CEF">
      <w:pPr>
        <w:pStyle w:val="EditorialNoteLine1"/>
      </w:pPr>
      <w:r w:rsidRPr="00B90C7C">
        <w:t>For paragraph 5(1) –</w:t>
      </w:r>
    </w:p>
    <w:p w:rsidR="00E64CEF" w:rsidRPr="00B90C7C" w:rsidRDefault="00E64CEF" w:rsidP="00E64CEF">
      <w:pPr>
        <w:pStyle w:val="EditorialNotetext"/>
      </w:pPr>
    </w:p>
    <w:p w:rsidR="00E64CEF" w:rsidRPr="00B90C7C" w:rsidRDefault="00E64CEF" w:rsidP="00E64CEF">
      <w:pPr>
        <w:pStyle w:val="EditorialNotetext"/>
      </w:pPr>
      <w:r w:rsidRPr="00B90C7C">
        <w:t xml:space="preserve">3 Dec or 3 12 </w:t>
      </w:r>
    </w:p>
    <w:p w:rsidR="00E64CEF" w:rsidRPr="00B90C7C" w:rsidRDefault="00E64CEF" w:rsidP="00E64CEF">
      <w:pPr>
        <w:pStyle w:val="EditorialNotetext"/>
      </w:pPr>
      <w:r w:rsidRPr="00B90C7C">
        <w:t>3 12 99 or 3 Dec 99</w:t>
      </w:r>
    </w:p>
    <w:p w:rsidR="00E64CEF" w:rsidRPr="00B90C7C" w:rsidRDefault="00E64CEF" w:rsidP="00E64CEF">
      <w:pPr>
        <w:pStyle w:val="EditorialNotetext"/>
      </w:pPr>
    </w:p>
    <w:p w:rsidR="00E64CEF" w:rsidRPr="00B90C7C" w:rsidRDefault="00E64CEF" w:rsidP="00E64CEF">
      <w:pPr>
        <w:pStyle w:val="EditorialNoteLine1"/>
      </w:pPr>
      <w:r w:rsidRPr="00B90C7C">
        <w:t>For paragraph 5(2) –</w:t>
      </w:r>
    </w:p>
    <w:p w:rsidR="00E64CEF" w:rsidRPr="00B90C7C" w:rsidRDefault="00E64CEF" w:rsidP="00E64CEF">
      <w:pPr>
        <w:pStyle w:val="EditorialNotetext"/>
      </w:pPr>
    </w:p>
    <w:p w:rsidR="00E64CEF" w:rsidRPr="00B90C7C" w:rsidRDefault="00E64CEF" w:rsidP="00E64CEF">
      <w:pPr>
        <w:pStyle w:val="EditorialNotetext"/>
      </w:pPr>
      <w:r w:rsidRPr="00B90C7C">
        <w:t>Dec 99 or 12 99</w:t>
      </w:r>
    </w:p>
    <w:p w:rsidR="00E64CEF" w:rsidRPr="00B90C7C" w:rsidRDefault="00E64CEF" w:rsidP="00E64CEF">
      <w:pPr>
        <w:pStyle w:val="EditorialNotetext"/>
      </w:pPr>
      <w:r w:rsidRPr="00B90C7C">
        <w:t>3 12 99 or 3 Dec 99</w:t>
      </w:r>
    </w:p>
    <w:p w:rsidR="00E64CEF" w:rsidRPr="00B90C7C" w:rsidRDefault="00E64CEF" w:rsidP="00E64CEF">
      <w:pPr>
        <w:pStyle w:val="EditorialNotetext"/>
      </w:pPr>
    </w:p>
    <w:p w:rsidR="00B90C7C" w:rsidRDefault="00B90C7C" w:rsidP="00E64CEF">
      <w:pPr>
        <w:pStyle w:val="EditorialNotetext"/>
        <w:rPr>
          <w:b/>
        </w:rPr>
      </w:pPr>
      <w:r>
        <w:rPr>
          <w:b/>
        </w:rPr>
        <w:br w:type="page"/>
      </w:r>
    </w:p>
    <w:p w:rsidR="00E64CEF" w:rsidRPr="00B90C7C" w:rsidRDefault="00E64CEF" w:rsidP="00E64CEF">
      <w:pPr>
        <w:pStyle w:val="EditorialNotetext"/>
        <w:rPr>
          <w:b/>
        </w:rPr>
      </w:pPr>
      <w:r w:rsidRPr="00B90C7C">
        <w:rPr>
          <w:b/>
        </w:rPr>
        <w:lastRenderedPageBreak/>
        <w:t xml:space="preserve">For paragraph 5(3) – </w:t>
      </w:r>
    </w:p>
    <w:p w:rsidR="00E64CEF" w:rsidRPr="00B90C7C" w:rsidRDefault="00E64CEF" w:rsidP="00E64CEF">
      <w:pPr>
        <w:pStyle w:val="EditorialNotetext"/>
        <w:rPr>
          <w:b/>
        </w:rPr>
      </w:pPr>
    </w:p>
    <w:p w:rsidR="00E64CEF" w:rsidRPr="00B90C7C" w:rsidRDefault="00E64CEF" w:rsidP="00E64CEF">
      <w:pPr>
        <w:pStyle w:val="EditorialNotetext"/>
      </w:pPr>
      <w:r w:rsidRPr="00B90C7C">
        <w:t>3 Dec 99 or Dec 3 99</w:t>
      </w:r>
    </w:p>
    <w:p w:rsidR="00E64CEF" w:rsidRPr="00B90C7C" w:rsidRDefault="00E64CEF" w:rsidP="00E64CEF">
      <w:pPr>
        <w:rPr>
          <w:sz w:val="20"/>
          <w:szCs w:val="20"/>
        </w:rPr>
      </w:pPr>
    </w:p>
    <w:p w:rsidR="00E64CEF" w:rsidRPr="00B90C7C" w:rsidRDefault="00E64CEF" w:rsidP="00E64CEF">
      <w:pPr>
        <w:pStyle w:val="Clause"/>
      </w:pPr>
      <w:r w:rsidRPr="00B90C7C">
        <w:t>[7.3]</w:t>
      </w:r>
      <w:r w:rsidRPr="00B90C7C">
        <w:tab/>
      </w:r>
      <w:r w:rsidRPr="00B90C7C">
        <w:rPr>
          <w:i/>
        </w:rPr>
        <w:t>omitting clause 6, substituting</w:t>
      </w:r>
      <w:r w:rsidRPr="00B90C7C">
        <w:t xml:space="preserve"> – </w:t>
      </w:r>
    </w:p>
    <w:p w:rsidR="00E64CEF" w:rsidRPr="00B90C7C" w:rsidRDefault="00E64CEF" w:rsidP="00E64CEF">
      <w:pPr>
        <w:rPr>
          <w:i/>
          <w:sz w:val="20"/>
          <w:szCs w:val="20"/>
        </w:rPr>
      </w:pPr>
    </w:p>
    <w:p w:rsidR="00E64CEF" w:rsidRPr="00B90C7C" w:rsidRDefault="00E64CEF" w:rsidP="00E64CEF">
      <w:pPr>
        <w:pStyle w:val="Clauseheading"/>
      </w:pPr>
      <w:r w:rsidRPr="00B90C7C">
        <w:t>6</w:t>
      </w:r>
      <w:r w:rsidRPr="00B90C7C">
        <w:tab/>
        <w:t>Statement of storage conditions</w:t>
      </w:r>
    </w:p>
    <w:p w:rsidR="00E64CEF" w:rsidRPr="00B90C7C" w:rsidRDefault="00E64CEF" w:rsidP="00E64CEF">
      <w:pPr>
        <w:rPr>
          <w:sz w:val="20"/>
          <w:szCs w:val="20"/>
        </w:rPr>
      </w:pPr>
    </w:p>
    <w:p w:rsidR="00E64CEF" w:rsidRPr="00B90C7C" w:rsidRDefault="00E64CEF" w:rsidP="00E64CEF">
      <w:pPr>
        <w:pStyle w:val="Clause"/>
      </w:pPr>
      <w:r w:rsidRPr="00B90C7C">
        <w:t>The label on a package of food must include a statement of any specific storage conditions required to ensure that the food will keep for the period indicated by the use-by date, or the best-before date.</w:t>
      </w:r>
    </w:p>
    <w:p w:rsidR="00E64CEF" w:rsidRPr="00B90C7C" w:rsidRDefault="00E64CEF" w:rsidP="00E64CEF">
      <w:pPr>
        <w:pStyle w:val="Clause"/>
      </w:pPr>
    </w:p>
    <w:p w:rsidR="00E64CEF" w:rsidRPr="00B90C7C" w:rsidRDefault="00E64CEF" w:rsidP="00E35BCD">
      <w:pPr>
        <w:pStyle w:val="Clause"/>
      </w:pPr>
      <w:r w:rsidRPr="00B90C7C">
        <w:t>[7.4]</w:t>
      </w:r>
      <w:r w:rsidRPr="00B90C7C">
        <w:tab/>
      </w:r>
      <w:r w:rsidRPr="00B90C7C">
        <w:rPr>
          <w:i/>
        </w:rPr>
        <w:t>omitting subclause 7(2), substituting</w:t>
      </w:r>
      <w:r w:rsidRPr="00B90C7C">
        <w:t xml:space="preserve"> – </w:t>
      </w:r>
    </w:p>
    <w:p w:rsidR="00E35BCD" w:rsidRPr="00B90C7C" w:rsidRDefault="00E35BCD" w:rsidP="00E64CEF">
      <w:pPr>
        <w:widowControl/>
        <w:rPr>
          <w:i/>
          <w:sz w:val="20"/>
          <w:szCs w:val="20"/>
        </w:rPr>
      </w:pPr>
    </w:p>
    <w:p w:rsidR="00E64CEF" w:rsidRPr="00B90C7C" w:rsidRDefault="00E64CEF" w:rsidP="00E64CEF">
      <w:pPr>
        <w:pStyle w:val="Subclause"/>
      </w:pPr>
      <w:r w:rsidRPr="00B90C7C">
        <w:t>(2)</w:t>
      </w:r>
      <w:r w:rsidRPr="00B90C7C">
        <w:tab/>
        <w:t>Subclause (1) does not preclude the label on a package of food from including a packed-on date or a manufacturer’s or packer’s code in addition to the required use-by date or best-before date.</w:t>
      </w:r>
    </w:p>
    <w:p w:rsidR="00E64CEF" w:rsidRPr="00B90C7C" w:rsidRDefault="00E64CEF" w:rsidP="00E64CEF">
      <w:pPr>
        <w:rPr>
          <w:sz w:val="20"/>
          <w:szCs w:val="20"/>
        </w:rPr>
      </w:pPr>
    </w:p>
    <w:p w:rsidR="00E64CEF" w:rsidRPr="00B90C7C" w:rsidRDefault="00E64CEF" w:rsidP="00E64CEF">
      <w:pPr>
        <w:pStyle w:val="Clause"/>
      </w:pPr>
      <w:r w:rsidRPr="00B90C7C">
        <w:rPr>
          <w:b/>
        </w:rPr>
        <w:t>[8]</w:t>
      </w:r>
      <w:r w:rsidRPr="00B90C7C">
        <w:tab/>
      </w:r>
      <w:r w:rsidRPr="00B90C7C">
        <w:rPr>
          <w:b/>
          <w:bCs/>
          <w:i/>
        </w:rPr>
        <w:t xml:space="preserve">Standard 1.2.6 </w:t>
      </w:r>
      <w:r w:rsidRPr="00B90C7C">
        <w:rPr>
          <w:i/>
        </w:rPr>
        <w:t>of the Australia New Zealand Food Standards Code is varied by</w:t>
      </w:r>
      <w:r w:rsidRPr="00B90C7C">
        <w:t xml:space="preserve"> – </w:t>
      </w:r>
    </w:p>
    <w:p w:rsidR="00E64CEF" w:rsidRPr="00B90C7C" w:rsidRDefault="00E64CEF" w:rsidP="00E64CEF">
      <w:pPr>
        <w:rPr>
          <w:i/>
          <w:iCs/>
          <w:sz w:val="20"/>
          <w:szCs w:val="20"/>
        </w:rPr>
      </w:pPr>
    </w:p>
    <w:p w:rsidR="00E64CEF" w:rsidRPr="00B90C7C" w:rsidRDefault="00E64CEF" w:rsidP="00E64CEF">
      <w:pPr>
        <w:pStyle w:val="Clause"/>
        <w:rPr>
          <w:i/>
        </w:rPr>
      </w:pPr>
      <w:r w:rsidRPr="00B90C7C">
        <w:t>[8.1]</w:t>
      </w:r>
      <w:r w:rsidRPr="00B90C7C">
        <w:tab/>
      </w:r>
      <w:r w:rsidRPr="00B90C7C">
        <w:rPr>
          <w:i/>
        </w:rPr>
        <w:t xml:space="preserve">omitting the </w:t>
      </w:r>
      <w:r w:rsidRPr="00B90C7C">
        <w:t xml:space="preserve">Purpose, </w:t>
      </w:r>
      <w:r w:rsidRPr="00B90C7C">
        <w:rPr>
          <w:i/>
        </w:rPr>
        <w:t xml:space="preserve">substituting – </w:t>
      </w:r>
    </w:p>
    <w:p w:rsidR="00E64CEF" w:rsidRPr="00B90C7C" w:rsidRDefault="00E64CEF" w:rsidP="00E64CEF">
      <w:pPr>
        <w:rPr>
          <w:sz w:val="20"/>
          <w:szCs w:val="20"/>
        </w:rPr>
      </w:pPr>
    </w:p>
    <w:p w:rsidR="00E64CEF" w:rsidRPr="00B90C7C" w:rsidRDefault="00E64CEF" w:rsidP="00E64CEF">
      <w:pPr>
        <w:pStyle w:val="Clause"/>
        <w:rPr>
          <w:b/>
        </w:rPr>
      </w:pPr>
      <w:r w:rsidRPr="00B90C7C">
        <w:rPr>
          <w:b/>
        </w:rPr>
        <w:t>Purpose</w:t>
      </w:r>
    </w:p>
    <w:p w:rsidR="00E64CEF" w:rsidRPr="00B90C7C" w:rsidRDefault="00E64CEF" w:rsidP="00E64CEF">
      <w:pPr>
        <w:rPr>
          <w:sz w:val="20"/>
          <w:szCs w:val="20"/>
        </w:rPr>
      </w:pPr>
    </w:p>
    <w:p w:rsidR="00E64CEF" w:rsidRPr="00B90C7C" w:rsidRDefault="00E64CEF" w:rsidP="00E64CEF">
      <w:pPr>
        <w:pStyle w:val="Clause"/>
      </w:pPr>
      <w:r w:rsidRPr="00B90C7C">
        <w:t>This Standard requires directions for use or storage of food to be included on a label where, for reasons of health or safety, consumers should be informed of specific use or storage requirements.</w:t>
      </w:r>
    </w:p>
    <w:p w:rsidR="00E64CEF" w:rsidRPr="00B90C7C" w:rsidRDefault="00E64CEF" w:rsidP="00E64CEF">
      <w:pPr>
        <w:rPr>
          <w:sz w:val="20"/>
          <w:szCs w:val="20"/>
        </w:rPr>
      </w:pPr>
    </w:p>
    <w:p w:rsidR="00E64CEF" w:rsidRPr="00B90C7C" w:rsidRDefault="00E64CEF" w:rsidP="00E64CEF">
      <w:pPr>
        <w:pStyle w:val="Clause"/>
        <w:rPr>
          <w:i/>
        </w:rPr>
      </w:pPr>
      <w:r w:rsidRPr="00B90C7C">
        <w:t>[8.2]</w:t>
      </w:r>
      <w:r w:rsidRPr="00B90C7C">
        <w:tab/>
      </w:r>
      <w:r w:rsidRPr="00B90C7C">
        <w:rPr>
          <w:i/>
        </w:rPr>
        <w:t xml:space="preserve">omitting clauses 1, 2 and 3 and the </w:t>
      </w:r>
      <w:r w:rsidRPr="00B90C7C">
        <w:t xml:space="preserve">Table to clause 3, </w:t>
      </w:r>
      <w:r w:rsidRPr="00B90C7C">
        <w:rPr>
          <w:i/>
        </w:rPr>
        <w:t xml:space="preserve">substituting – </w:t>
      </w:r>
    </w:p>
    <w:p w:rsidR="00E64CEF" w:rsidRPr="00B90C7C" w:rsidRDefault="00E64CEF" w:rsidP="00E64CEF">
      <w:pPr>
        <w:rPr>
          <w:sz w:val="20"/>
          <w:szCs w:val="20"/>
        </w:rPr>
      </w:pPr>
    </w:p>
    <w:p w:rsidR="00E64CEF" w:rsidRPr="00B90C7C" w:rsidRDefault="00E64CEF" w:rsidP="00E64CEF">
      <w:pPr>
        <w:pStyle w:val="Clause"/>
        <w:rPr>
          <w:b/>
        </w:rPr>
      </w:pPr>
      <w:r w:rsidRPr="00B90C7C">
        <w:rPr>
          <w:b/>
        </w:rPr>
        <w:t>1</w:t>
      </w:r>
      <w:r w:rsidRPr="00B90C7C">
        <w:rPr>
          <w:b/>
        </w:rPr>
        <w:tab/>
        <w:t>Directions for use and storage of food</w:t>
      </w:r>
    </w:p>
    <w:p w:rsidR="00E64CEF" w:rsidRPr="00B90C7C" w:rsidRDefault="00E64CEF" w:rsidP="00E64CEF">
      <w:pPr>
        <w:rPr>
          <w:sz w:val="20"/>
          <w:szCs w:val="20"/>
        </w:rPr>
      </w:pPr>
    </w:p>
    <w:p w:rsidR="00E64CEF" w:rsidRPr="00B90C7C" w:rsidRDefault="00E64CEF" w:rsidP="00E64CEF">
      <w:pPr>
        <w:pStyle w:val="Subclause"/>
      </w:pPr>
      <w:r w:rsidRPr="00B90C7C">
        <w:t>(1)</w:t>
      </w:r>
      <w:r w:rsidRPr="00B90C7C">
        <w:tab/>
        <w:t>The label on a package of food must include directions for the use of the food or the storage of the food, or both, if the food is of such a nature as to require the directions for health or safety reasons.</w:t>
      </w:r>
    </w:p>
    <w:p w:rsidR="00E64CEF" w:rsidRPr="00B90C7C" w:rsidRDefault="00E64CEF" w:rsidP="00E64CEF">
      <w:pPr>
        <w:pStyle w:val="Subclause"/>
      </w:pPr>
    </w:p>
    <w:p w:rsidR="00E64CEF" w:rsidRPr="00B90C7C" w:rsidRDefault="00E64CEF" w:rsidP="00E64CEF">
      <w:pPr>
        <w:pStyle w:val="Subclause"/>
      </w:pPr>
      <w:r w:rsidRPr="00B90C7C">
        <w:t>(2)</w:t>
      </w:r>
      <w:r w:rsidRPr="00B90C7C">
        <w:tab/>
        <w:t>If food is unpackaged, the food must either be labelled with, or accompanied by, directions for the use of the food or the storage of the food, or both, if the food is of such a nature as to require the directions for health or safety reasons.</w:t>
      </w:r>
    </w:p>
    <w:p w:rsidR="00E64CEF" w:rsidRPr="00B90C7C" w:rsidRDefault="00E64CEF" w:rsidP="00E64CEF">
      <w:pPr>
        <w:pStyle w:val="Subclause"/>
        <w:ind w:firstLine="0"/>
      </w:pPr>
    </w:p>
    <w:p w:rsidR="00E64CEF" w:rsidRPr="00B90C7C" w:rsidRDefault="00E64CEF" w:rsidP="00E64CEF">
      <w:pPr>
        <w:pStyle w:val="Subclause"/>
      </w:pPr>
      <w:r w:rsidRPr="00B90C7C">
        <w:t>(3)</w:t>
      </w:r>
      <w:r w:rsidRPr="00B90C7C">
        <w:tab/>
        <w:t>If the food is of a kind listed in column 1 of the Table to this clause, the food must be labelled with, or accompanied by, the directions for use set out in column 2.</w:t>
      </w:r>
    </w:p>
    <w:p w:rsidR="00E64CEF" w:rsidRPr="00B90C7C" w:rsidRDefault="00E64CEF" w:rsidP="00E64CEF">
      <w:pPr>
        <w:pStyle w:val="Subclause"/>
      </w:pPr>
    </w:p>
    <w:p w:rsidR="00E64CEF" w:rsidRPr="005E5714" w:rsidRDefault="00E64CEF" w:rsidP="00E64CEF">
      <w:pPr>
        <w:pStyle w:val="TableHeading"/>
      </w:pPr>
      <w:r w:rsidRPr="005E5714">
        <w:t>Table to clause 1</w:t>
      </w:r>
    </w:p>
    <w:p w:rsidR="00E64CEF" w:rsidRPr="005E5714" w:rsidRDefault="00E64CEF" w:rsidP="00E64CEF">
      <w:pPr>
        <w:pStyle w:val="Subclause"/>
      </w:pPr>
    </w:p>
    <w:tbl>
      <w:tblPr>
        <w:tblStyle w:val="TableGrid"/>
        <w:tblW w:w="0" w:type="auto"/>
        <w:tblLook w:val="04A0" w:firstRow="1" w:lastRow="0" w:firstColumn="1" w:lastColumn="0" w:noHBand="0" w:noVBand="1"/>
      </w:tblPr>
      <w:tblGrid>
        <w:gridCol w:w="2835"/>
        <w:gridCol w:w="5442"/>
      </w:tblGrid>
      <w:tr w:rsidR="00E64CEF" w:rsidRPr="005E5714" w:rsidTr="00A506D2">
        <w:tc>
          <w:tcPr>
            <w:tcW w:w="2835" w:type="dxa"/>
          </w:tcPr>
          <w:p w:rsidR="00E64CEF" w:rsidRPr="005E5714" w:rsidRDefault="00E64CEF" w:rsidP="00A506D2">
            <w:pPr>
              <w:pStyle w:val="Table1"/>
            </w:pPr>
            <w:r w:rsidRPr="005E5714">
              <w:t>Column 1</w:t>
            </w:r>
          </w:p>
        </w:tc>
        <w:tc>
          <w:tcPr>
            <w:tcW w:w="5442" w:type="dxa"/>
          </w:tcPr>
          <w:p w:rsidR="00E64CEF" w:rsidRPr="005E5714" w:rsidRDefault="00E64CEF" w:rsidP="00A506D2">
            <w:pPr>
              <w:pStyle w:val="Table1"/>
            </w:pPr>
            <w:r w:rsidRPr="005E5714">
              <w:t>Column 2</w:t>
            </w:r>
          </w:p>
        </w:tc>
      </w:tr>
      <w:tr w:rsidR="00E64CEF" w:rsidRPr="005E5714" w:rsidTr="00A506D2">
        <w:tc>
          <w:tcPr>
            <w:tcW w:w="2835" w:type="dxa"/>
          </w:tcPr>
          <w:p w:rsidR="00E64CEF" w:rsidRPr="005E5714" w:rsidRDefault="00E64CEF" w:rsidP="00A506D2">
            <w:pPr>
              <w:pStyle w:val="Table1"/>
            </w:pPr>
            <w:r w:rsidRPr="005E5714">
              <w:t>Food</w:t>
            </w:r>
          </w:p>
        </w:tc>
        <w:tc>
          <w:tcPr>
            <w:tcW w:w="5442" w:type="dxa"/>
          </w:tcPr>
          <w:p w:rsidR="00E64CEF" w:rsidRPr="005E5714" w:rsidRDefault="00E64CEF" w:rsidP="00A506D2">
            <w:pPr>
              <w:pStyle w:val="Table1"/>
            </w:pPr>
            <w:r w:rsidRPr="005E5714">
              <w:t>Directions for use</w:t>
            </w:r>
          </w:p>
        </w:tc>
      </w:tr>
      <w:tr w:rsidR="00E64CEF" w:rsidRPr="005E5714" w:rsidTr="00A506D2">
        <w:tc>
          <w:tcPr>
            <w:tcW w:w="2835" w:type="dxa"/>
          </w:tcPr>
          <w:p w:rsidR="00E64CEF" w:rsidRPr="005E5714" w:rsidRDefault="00E64CEF" w:rsidP="00A506D2">
            <w:pPr>
              <w:pStyle w:val="Table2"/>
            </w:pPr>
            <w:r w:rsidRPr="005E5714">
              <w:t>Raw bamboo shoots</w:t>
            </w:r>
          </w:p>
        </w:tc>
        <w:tc>
          <w:tcPr>
            <w:tcW w:w="5442" w:type="dxa"/>
          </w:tcPr>
          <w:p w:rsidR="00E64CEF" w:rsidRPr="005E5714" w:rsidRDefault="00E64CEF" w:rsidP="00A506D2">
            <w:pPr>
              <w:pStyle w:val="Table2"/>
            </w:pPr>
            <w:r w:rsidRPr="005E5714">
              <w:t>A statement that indicates that bamboo shoots should be fully cooked before being consumed</w:t>
            </w:r>
            <w:r>
              <w:t>.</w:t>
            </w:r>
          </w:p>
        </w:tc>
      </w:tr>
      <w:tr w:rsidR="00E64CEF" w:rsidRPr="005E5714" w:rsidTr="00A506D2">
        <w:tc>
          <w:tcPr>
            <w:tcW w:w="2835" w:type="dxa"/>
          </w:tcPr>
          <w:p w:rsidR="00E64CEF" w:rsidRPr="005E5714" w:rsidRDefault="00E64CEF" w:rsidP="00A506D2">
            <w:pPr>
              <w:pStyle w:val="Table2"/>
            </w:pPr>
            <w:r w:rsidRPr="005E5714">
              <w:t>Raw sweet cassava</w:t>
            </w:r>
          </w:p>
        </w:tc>
        <w:tc>
          <w:tcPr>
            <w:tcW w:w="5442" w:type="dxa"/>
          </w:tcPr>
          <w:p w:rsidR="00E64CEF" w:rsidRPr="005E5714" w:rsidRDefault="00E64CEF" w:rsidP="00A506D2">
            <w:pPr>
              <w:pStyle w:val="Table2"/>
            </w:pPr>
            <w:r w:rsidRPr="005E5714">
              <w:t>A statement that indicates that sweet cassava should be peeled and fully cooked before being consumed</w:t>
            </w:r>
            <w:r>
              <w:t>.</w:t>
            </w:r>
          </w:p>
        </w:tc>
      </w:tr>
    </w:tbl>
    <w:p w:rsidR="00E64CEF" w:rsidRPr="000A6D2C" w:rsidRDefault="00E64CEF" w:rsidP="00E64CEF">
      <w:pPr>
        <w:pStyle w:val="Subclause"/>
      </w:pPr>
    </w:p>
    <w:p w:rsidR="00E64CEF" w:rsidRPr="000A6D2C" w:rsidRDefault="00E64CEF" w:rsidP="00E64CEF">
      <w:pPr>
        <w:pStyle w:val="Clause"/>
        <w:rPr>
          <w:i/>
        </w:rPr>
      </w:pPr>
      <w:r w:rsidRPr="000A6D2C">
        <w:t>[8.3]</w:t>
      </w:r>
      <w:r w:rsidRPr="000A6D2C">
        <w:tab/>
      </w:r>
      <w:r w:rsidRPr="000A6D2C">
        <w:rPr>
          <w:i/>
        </w:rPr>
        <w:t xml:space="preserve">updating the </w:t>
      </w:r>
      <w:r w:rsidRPr="000A6D2C">
        <w:t xml:space="preserve">Table of Provisions </w:t>
      </w:r>
      <w:r w:rsidRPr="000A6D2C">
        <w:rPr>
          <w:i/>
        </w:rPr>
        <w:t>to reflect these amendments</w:t>
      </w:r>
    </w:p>
    <w:p w:rsidR="00E64CEF" w:rsidRPr="000A6D2C" w:rsidRDefault="00E64CEF" w:rsidP="00E64CEF">
      <w:pPr>
        <w:rPr>
          <w:i/>
          <w:iCs/>
          <w:sz w:val="20"/>
          <w:szCs w:val="20"/>
        </w:rPr>
      </w:pPr>
    </w:p>
    <w:p w:rsidR="00E64CEF" w:rsidRPr="000A6D2C" w:rsidRDefault="00E64CEF" w:rsidP="00E64CEF">
      <w:pPr>
        <w:pStyle w:val="Clause"/>
        <w:ind w:left="851" w:hanging="851"/>
        <w:rPr>
          <w:i/>
          <w:iCs/>
        </w:rPr>
      </w:pPr>
      <w:r w:rsidRPr="000A6D2C">
        <w:rPr>
          <w:b/>
          <w:bCs/>
        </w:rPr>
        <w:t>[9]</w:t>
      </w:r>
      <w:r w:rsidRPr="000A6D2C">
        <w:tab/>
      </w:r>
      <w:r w:rsidRPr="000A6D2C">
        <w:rPr>
          <w:b/>
          <w:bCs/>
          <w:i/>
          <w:iCs/>
        </w:rPr>
        <w:t>Standard 1.2.8</w:t>
      </w:r>
      <w:r w:rsidRPr="000A6D2C">
        <w:rPr>
          <w:i/>
          <w:iCs/>
        </w:rPr>
        <w:t xml:space="preserve"> of the Australia New Zealand Food Standards Code is varied by –</w:t>
      </w:r>
    </w:p>
    <w:p w:rsidR="00E64CEF" w:rsidRPr="000A6D2C" w:rsidRDefault="00E64CEF" w:rsidP="00E64CEF">
      <w:pPr>
        <w:pStyle w:val="Clause"/>
        <w:ind w:left="851" w:hanging="851"/>
        <w:rPr>
          <w:b/>
          <w:bCs/>
        </w:rPr>
      </w:pPr>
    </w:p>
    <w:p w:rsidR="00E64CEF" w:rsidRPr="000A6D2C" w:rsidRDefault="00E64CEF" w:rsidP="00E64CEF">
      <w:pPr>
        <w:pStyle w:val="Clause"/>
        <w:rPr>
          <w:i/>
        </w:rPr>
      </w:pPr>
      <w:r w:rsidRPr="000A6D2C">
        <w:t>[9.1]</w:t>
      </w:r>
      <w:r w:rsidRPr="000A6D2C">
        <w:tab/>
      </w:r>
      <w:r w:rsidRPr="000A6D2C">
        <w:rPr>
          <w:i/>
        </w:rPr>
        <w:t xml:space="preserve">omitting </w:t>
      </w:r>
      <w:r w:rsidRPr="000A6D2C">
        <w:t xml:space="preserve">acids </w:t>
      </w:r>
      <w:r w:rsidRPr="000A6D2C">
        <w:rPr>
          <w:i/>
        </w:rPr>
        <w:t xml:space="preserve">after </w:t>
      </w:r>
      <w:r w:rsidRPr="000A6D2C">
        <w:t>bonds</w:t>
      </w:r>
      <w:r w:rsidRPr="000A6D2C">
        <w:rPr>
          <w:i/>
        </w:rPr>
        <w:t xml:space="preserve"> from the definition of </w:t>
      </w:r>
      <w:r w:rsidRPr="000A6D2C">
        <w:rPr>
          <w:b/>
        </w:rPr>
        <w:t xml:space="preserve">polyunsaturated fatty acids </w:t>
      </w:r>
      <w:r w:rsidRPr="000A6D2C">
        <w:rPr>
          <w:i/>
        </w:rPr>
        <w:t>in clause 1</w:t>
      </w:r>
    </w:p>
    <w:p w:rsidR="00E64CEF" w:rsidRPr="000A6D2C" w:rsidRDefault="00E64CEF" w:rsidP="00E64CEF">
      <w:pPr>
        <w:rPr>
          <w:sz w:val="20"/>
          <w:szCs w:val="20"/>
        </w:rPr>
      </w:pPr>
    </w:p>
    <w:p w:rsidR="00E64CEF" w:rsidRPr="000A6D2C" w:rsidRDefault="00E64CEF" w:rsidP="00E64CEF">
      <w:pPr>
        <w:pStyle w:val="Clause"/>
      </w:pPr>
      <w:r w:rsidRPr="000A6D2C">
        <w:t>[9.2]</w:t>
      </w:r>
      <w:r w:rsidRPr="000A6D2C">
        <w:tab/>
      </w:r>
      <w:r w:rsidRPr="000A6D2C">
        <w:rPr>
          <w:i/>
        </w:rPr>
        <w:t xml:space="preserve">omitting </w:t>
      </w:r>
      <w:r w:rsidRPr="000A6D2C">
        <w:t xml:space="preserve">acids </w:t>
      </w:r>
      <w:r w:rsidRPr="000A6D2C">
        <w:rPr>
          <w:i/>
        </w:rPr>
        <w:t xml:space="preserve">after </w:t>
      </w:r>
      <w:r w:rsidRPr="000A6D2C">
        <w:t xml:space="preserve">bonds </w:t>
      </w:r>
      <w:r w:rsidRPr="000A6D2C">
        <w:rPr>
          <w:i/>
        </w:rPr>
        <w:t>from the definition of</w:t>
      </w:r>
      <w:r w:rsidRPr="000A6D2C">
        <w:t xml:space="preserve"> </w:t>
      </w:r>
      <w:r w:rsidRPr="000A6D2C">
        <w:rPr>
          <w:b/>
        </w:rPr>
        <w:t xml:space="preserve">saturated fatty acids </w:t>
      </w:r>
      <w:r w:rsidRPr="000A6D2C">
        <w:rPr>
          <w:i/>
        </w:rPr>
        <w:t>in clause 1</w:t>
      </w:r>
    </w:p>
    <w:p w:rsidR="00E64CEF" w:rsidRPr="000A6D2C" w:rsidRDefault="00E64CEF" w:rsidP="00E64CEF">
      <w:pPr>
        <w:rPr>
          <w:i/>
          <w:sz w:val="20"/>
          <w:szCs w:val="20"/>
        </w:rPr>
      </w:pPr>
    </w:p>
    <w:p w:rsidR="00E64CEF" w:rsidRPr="000A6D2C" w:rsidRDefault="00E64CEF" w:rsidP="00E64CEF">
      <w:pPr>
        <w:pStyle w:val="Clause"/>
        <w:rPr>
          <w:i/>
        </w:rPr>
      </w:pPr>
      <w:r w:rsidRPr="000A6D2C">
        <w:t>[9.3]</w:t>
      </w:r>
      <w:r w:rsidRPr="000A6D2C">
        <w:tab/>
      </w:r>
      <w:r w:rsidRPr="000A6D2C">
        <w:rPr>
          <w:i/>
        </w:rPr>
        <w:t xml:space="preserve">omitting </w:t>
      </w:r>
      <w:r w:rsidRPr="000A6D2C">
        <w:t xml:space="preserve">acids </w:t>
      </w:r>
      <w:r w:rsidRPr="000A6D2C">
        <w:rPr>
          <w:i/>
        </w:rPr>
        <w:t xml:space="preserve">after </w:t>
      </w:r>
      <w:r w:rsidRPr="000A6D2C">
        <w:t xml:space="preserve">configuration </w:t>
      </w:r>
      <w:r w:rsidRPr="000A6D2C">
        <w:rPr>
          <w:i/>
        </w:rPr>
        <w:t xml:space="preserve">from the definition of </w:t>
      </w:r>
      <w:r w:rsidRPr="000A6D2C">
        <w:rPr>
          <w:b/>
        </w:rPr>
        <w:t xml:space="preserve">trans fatty acids </w:t>
      </w:r>
      <w:r w:rsidRPr="000A6D2C">
        <w:rPr>
          <w:i/>
        </w:rPr>
        <w:t>in clause 1</w:t>
      </w:r>
    </w:p>
    <w:p w:rsidR="000A6D2C" w:rsidRDefault="000A6D2C" w:rsidP="00E64CEF">
      <w:pPr>
        <w:rPr>
          <w:sz w:val="20"/>
          <w:szCs w:val="20"/>
        </w:rPr>
      </w:pPr>
      <w:r>
        <w:rPr>
          <w:sz w:val="20"/>
          <w:szCs w:val="20"/>
        </w:rPr>
        <w:br w:type="page"/>
      </w:r>
    </w:p>
    <w:p w:rsidR="00E64CEF" w:rsidRPr="000A6D2C" w:rsidRDefault="00E64CEF" w:rsidP="00E64CEF">
      <w:pPr>
        <w:pStyle w:val="Clause"/>
        <w:rPr>
          <w:i/>
        </w:rPr>
      </w:pPr>
      <w:r w:rsidRPr="000A6D2C">
        <w:lastRenderedPageBreak/>
        <w:t>[9.4]</w:t>
      </w:r>
      <w:r w:rsidRPr="000A6D2C">
        <w:tab/>
      </w:r>
      <w:r w:rsidRPr="000A6D2C">
        <w:rPr>
          <w:i/>
        </w:rPr>
        <w:t xml:space="preserve">omitting clause 3, substituting – </w:t>
      </w:r>
    </w:p>
    <w:p w:rsidR="00E64CEF" w:rsidRPr="000A6D2C" w:rsidRDefault="00E64CEF" w:rsidP="00E64CEF">
      <w:pPr>
        <w:rPr>
          <w:sz w:val="20"/>
          <w:szCs w:val="20"/>
        </w:rPr>
      </w:pPr>
    </w:p>
    <w:p w:rsidR="00E64CEF" w:rsidRPr="000A6D2C" w:rsidRDefault="00E64CEF" w:rsidP="00E64CEF">
      <w:pPr>
        <w:pStyle w:val="Clauseheading"/>
      </w:pPr>
      <w:r w:rsidRPr="000A6D2C">
        <w:t>3</w:t>
      </w:r>
      <w:r w:rsidRPr="000A6D2C">
        <w:tab/>
        <w:t>Nutrition information requirements and exemptions</w:t>
      </w:r>
    </w:p>
    <w:p w:rsidR="00E64CEF" w:rsidRPr="000A6D2C" w:rsidRDefault="00E64CEF" w:rsidP="00E64CEF">
      <w:pPr>
        <w:pStyle w:val="Clause"/>
      </w:pPr>
    </w:p>
    <w:p w:rsidR="00E64CEF" w:rsidRPr="000A6D2C" w:rsidRDefault="00E64CEF" w:rsidP="00E64CEF">
      <w:pPr>
        <w:pStyle w:val="Clause"/>
      </w:pPr>
      <w:r w:rsidRPr="000A6D2C">
        <w:t>Subject to clause 4, the label on a package of food must include a nutrition information panel except where the food is –</w:t>
      </w:r>
    </w:p>
    <w:p w:rsidR="00E64CEF" w:rsidRPr="000A6D2C" w:rsidRDefault="00E64CEF" w:rsidP="00E64CEF">
      <w:pPr>
        <w:pStyle w:val="Paragraph"/>
      </w:pPr>
    </w:p>
    <w:p w:rsidR="00E64CEF" w:rsidRPr="000A6D2C" w:rsidRDefault="00E64CEF" w:rsidP="00E64CEF">
      <w:pPr>
        <w:pStyle w:val="Paragraph"/>
      </w:pPr>
      <w:r w:rsidRPr="000A6D2C">
        <w:t>(a)</w:t>
      </w:r>
      <w:r w:rsidRPr="000A6D2C">
        <w:tab/>
        <w:t>deleted</w:t>
      </w:r>
    </w:p>
    <w:p w:rsidR="00E64CEF" w:rsidRPr="000A6D2C" w:rsidRDefault="00E64CEF" w:rsidP="00E64CEF">
      <w:pPr>
        <w:pStyle w:val="Paragraph"/>
      </w:pPr>
      <w:r w:rsidRPr="000A6D2C">
        <w:t>(b)</w:t>
      </w:r>
      <w:r w:rsidRPr="000A6D2C">
        <w:tab/>
        <w:t>an alcoholic beverage standardised in Standard 2.7.2 to Standard 2.7.5 of this Code; or</w:t>
      </w:r>
    </w:p>
    <w:p w:rsidR="00E64CEF" w:rsidRPr="000A6D2C" w:rsidRDefault="00E64CEF" w:rsidP="00E64CEF">
      <w:pPr>
        <w:pStyle w:val="Paragraph"/>
      </w:pPr>
      <w:r w:rsidRPr="000A6D2C">
        <w:t>(c)</w:t>
      </w:r>
      <w:r w:rsidRPr="000A6D2C">
        <w:tab/>
        <w:t>a herb, a spice, a herbal infusion; or</w:t>
      </w:r>
    </w:p>
    <w:p w:rsidR="00E64CEF" w:rsidRPr="000A6D2C" w:rsidRDefault="00E64CEF" w:rsidP="00E64CEF">
      <w:pPr>
        <w:pStyle w:val="Paragraph"/>
      </w:pPr>
      <w:r w:rsidRPr="000A6D2C">
        <w:t>(d)</w:t>
      </w:r>
      <w:r w:rsidRPr="000A6D2C">
        <w:tab/>
        <w:t>vinegar and related products as standardised in Standard 2.10.1; or</w:t>
      </w:r>
    </w:p>
    <w:p w:rsidR="00E64CEF" w:rsidRPr="000A6D2C" w:rsidRDefault="00E64CEF" w:rsidP="00E64CEF">
      <w:pPr>
        <w:pStyle w:val="Paragraph"/>
      </w:pPr>
      <w:r w:rsidRPr="000A6D2C">
        <w:t>(e)</w:t>
      </w:r>
      <w:r w:rsidRPr="000A6D2C">
        <w:tab/>
        <w:t>salt and salt products as standardised in Standard 2.10.2; or</w:t>
      </w:r>
    </w:p>
    <w:p w:rsidR="00E64CEF" w:rsidRPr="000A6D2C" w:rsidRDefault="00E64CEF" w:rsidP="00E64CEF">
      <w:pPr>
        <w:pStyle w:val="Paragraph"/>
      </w:pPr>
      <w:r w:rsidRPr="000A6D2C">
        <w:t>(f)</w:t>
      </w:r>
      <w:r w:rsidRPr="000A6D2C">
        <w:tab/>
        <w:t>tea, decaffeinated tea, decaffeinated instant or soluble tea, instant or soluble tea, coffee, decaffeinated coffee, decaffeinated instant or soluble coffee, instant or soluble coffee, as defined in Standard 1.1.2; or</w:t>
      </w:r>
    </w:p>
    <w:p w:rsidR="00E64CEF" w:rsidRPr="000A6D2C" w:rsidRDefault="00E64CEF" w:rsidP="00E64CEF">
      <w:pPr>
        <w:pStyle w:val="Paragraph"/>
      </w:pPr>
      <w:r w:rsidRPr="000A6D2C">
        <w:t>(g)</w:t>
      </w:r>
      <w:r w:rsidRPr="000A6D2C">
        <w:tab/>
        <w:t>an additive for the purposes of Standard 1.3.1; or</w:t>
      </w:r>
    </w:p>
    <w:p w:rsidR="00E64CEF" w:rsidRPr="000A6D2C" w:rsidRDefault="00E64CEF" w:rsidP="00E64CEF">
      <w:pPr>
        <w:pStyle w:val="Paragraph"/>
      </w:pPr>
      <w:r w:rsidRPr="000A6D2C">
        <w:t>(h)</w:t>
      </w:r>
      <w:r w:rsidRPr="000A6D2C">
        <w:tab/>
        <w:t>a processing aid as defined in Standard 1.3.3; or</w:t>
      </w:r>
    </w:p>
    <w:p w:rsidR="00E64CEF" w:rsidRPr="000A6D2C" w:rsidRDefault="00E64CEF" w:rsidP="00E64CEF">
      <w:pPr>
        <w:pStyle w:val="Paragraph"/>
      </w:pPr>
      <w:r w:rsidRPr="000A6D2C">
        <w:t>(i)</w:t>
      </w:r>
      <w:r w:rsidRPr="000A6D2C">
        <w:tab/>
        <w:t>fruit, vegetables, meat, poultry, and fish that comprise a single ingredient or category of ingredients; or</w:t>
      </w:r>
    </w:p>
    <w:p w:rsidR="00E64CEF" w:rsidRPr="000A6D2C" w:rsidRDefault="00E64CEF" w:rsidP="00E64CEF">
      <w:pPr>
        <w:pStyle w:val="Paragraph"/>
      </w:pPr>
      <w:r w:rsidRPr="000A6D2C">
        <w:t>(j)</w:t>
      </w:r>
      <w:r w:rsidRPr="000A6D2C">
        <w:tab/>
        <w:t>in a small package; or</w:t>
      </w:r>
    </w:p>
    <w:p w:rsidR="00E64CEF" w:rsidRPr="000A6D2C" w:rsidRDefault="00E64CEF" w:rsidP="00E64CEF">
      <w:pPr>
        <w:pStyle w:val="Paragraph"/>
      </w:pPr>
      <w:r w:rsidRPr="000A6D2C">
        <w:t>(k)</w:t>
      </w:r>
      <w:r w:rsidRPr="000A6D2C">
        <w:tab/>
        <w:t>gelatine as defined in Standard 1.1.2; or</w:t>
      </w:r>
    </w:p>
    <w:p w:rsidR="00E64CEF" w:rsidRPr="000A6D2C" w:rsidRDefault="00E64CEF" w:rsidP="00E64CEF">
      <w:pPr>
        <w:pStyle w:val="Paragraph"/>
      </w:pPr>
      <w:r w:rsidRPr="000A6D2C">
        <w:t>(l)</w:t>
      </w:r>
      <w:r w:rsidRPr="000A6D2C">
        <w:tab/>
        <w:t>water, or mineral water or spring water as defined in Standard 2.6.2; or</w:t>
      </w:r>
    </w:p>
    <w:p w:rsidR="00E64CEF" w:rsidRPr="000A6D2C" w:rsidRDefault="00E64CEF" w:rsidP="00E64CEF">
      <w:pPr>
        <w:pStyle w:val="Paragraph"/>
      </w:pPr>
      <w:r w:rsidRPr="000A6D2C">
        <w:t>(m)</w:t>
      </w:r>
      <w:r w:rsidRPr="000A6D2C">
        <w:tab/>
        <w:t>prepared filled rolls, sandwiches, bagels and similar products; or</w:t>
      </w:r>
    </w:p>
    <w:p w:rsidR="00E64CEF" w:rsidRPr="000A6D2C" w:rsidRDefault="00E64CEF" w:rsidP="00E64CEF">
      <w:pPr>
        <w:pStyle w:val="Paragraph"/>
      </w:pPr>
      <w:r w:rsidRPr="000A6D2C">
        <w:t>(n)</w:t>
      </w:r>
      <w:r w:rsidRPr="000A6D2C">
        <w:tab/>
        <w:t>jam setting compound; or</w:t>
      </w:r>
    </w:p>
    <w:p w:rsidR="00E64CEF" w:rsidRPr="000A6D2C" w:rsidRDefault="00E64CEF" w:rsidP="00E64CEF">
      <w:pPr>
        <w:pStyle w:val="Paragraph"/>
      </w:pPr>
      <w:r w:rsidRPr="000A6D2C">
        <w:t>(o)</w:t>
      </w:r>
      <w:r w:rsidRPr="000A6D2C">
        <w:tab/>
        <w:t>a kit which is intended to be used to produce an alcoholic beverage standardised in Standard 2.7.2 to Standard 2.7.5 of this Code; or</w:t>
      </w:r>
    </w:p>
    <w:p w:rsidR="00E64CEF" w:rsidRPr="000A6D2C" w:rsidRDefault="00E64CEF" w:rsidP="00E64CEF">
      <w:pPr>
        <w:pStyle w:val="Paragraph"/>
      </w:pPr>
      <w:r w:rsidRPr="000A6D2C">
        <w:t>(p)</w:t>
      </w:r>
      <w:r w:rsidRPr="000A6D2C">
        <w:tab/>
        <w:t>a beverage containing no less than 0.5% alcohol by volume that is not standardised in Standard 2.7.2 to Standard 2.7.5 of this Code; or</w:t>
      </w:r>
    </w:p>
    <w:p w:rsidR="00E64CEF" w:rsidRPr="000A6D2C" w:rsidRDefault="00E64CEF" w:rsidP="00E64CEF">
      <w:pPr>
        <w:pStyle w:val="Paragraph"/>
      </w:pPr>
      <w:r w:rsidRPr="000A6D2C">
        <w:t>(q)</w:t>
      </w:r>
      <w:r w:rsidRPr="000A6D2C">
        <w:tab/>
        <w:t>kava as standardised in Standard 2.6.3.</w:t>
      </w:r>
    </w:p>
    <w:p w:rsidR="00E64CEF" w:rsidRPr="000A6D2C" w:rsidRDefault="00E64CEF" w:rsidP="00E64CEF">
      <w:pPr>
        <w:rPr>
          <w:sz w:val="20"/>
          <w:szCs w:val="20"/>
        </w:rPr>
      </w:pPr>
    </w:p>
    <w:p w:rsidR="00E64CEF" w:rsidRPr="000A6D2C" w:rsidRDefault="00E64CEF" w:rsidP="00E64CEF">
      <w:pPr>
        <w:pStyle w:val="Clause"/>
        <w:rPr>
          <w:i/>
        </w:rPr>
      </w:pPr>
      <w:r w:rsidRPr="000A6D2C">
        <w:t>[9.5]</w:t>
      </w:r>
      <w:r w:rsidRPr="000A6D2C">
        <w:tab/>
      </w:r>
      <w:r w:rsidRPr="000A6D2C">
        <w:rPr>
          <w:i/>
        </w:rPr>
        <w:t xml:space="preserve">omitting subclause 5(7), substituting – </w:t>
      </w:r>
    </w:p>
    <w:p w:rsidR="00E64CEF" w:rsidRPr="000A6D2C" w:rsidRDefault="00E64CEF" w:rsidP="00E64CEF">
      <w:pPr>
        <w:rPr>
          <w:sz w:val="20"/>
          <w:szCs w:val="20"/>
        </w:rPr>
      </w:pPr>
    </w:p>
    <w:p w:rsidR="00E64CEF" w:rsidRPr="000A6D2C" w:rsidRDefault="00E64CEF" w:rsidP="00E64CEF">
      <w:pPr>
        <w:pStyle w:val="Subclause"/>
      </w:pPr>
      <w:r w:rsidRPr="000A6D2C">
        <w:t>(7)</w:t>
      </w:r>
      <w:r w:rsidRPr="000A6D2C">
        <w:tab/>
        <w:t xml:space="preserve">The information prescribed in subclause (4) and subclause (5), where required to be included in a nutritional information panel, must be set out in the following format – </w:t>
      </w:r>
    </w:p>
    <w:p w:rsidR="00E64CEF" w:rsidRPr="000A6D2C" w:rsidRDefault="00E64CEF" w:rsidP="00E64CEF">
      <w:pPr>
        <w:rPr>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2795"/>
        <w:gridCol w:w="2314"/>
      </w:tblGrid>
      <w:tr w:rsidR="00E64CEF" w:rsidTr="00A506D2">
        <w:tc>
          <w:tcPr>
            <w:tcW w:w="7904" w:type="dxa"/>
            <w:gridSpan w:val="3"/>
            <w:tcBorders>
              <w:bottom w:val="single" w:sz="4" w:space="0" w:color="auto"/>
            </w:tcBorders>
          </w:tcPr>
          <w:p w:rsidR="00E64CEF" w:rsidRDefault="00E64CEF" w:rsidP="00A506D2">
            <w:pPr>
              <w:pStyle w:val="Table1"/>
            </w:pPr>
            <w:r>
              <w:t>NUTRITION INFORMATION</w:t>
            </w:r>
          </w:p>
          <w:p w:rsidR="00E64CEF" w:rsidRDefault="00E64CEF" w:rsidP="00A506D2">
            <w:pPr>
              <w:pStyle w:val="Table2"/>
            </w:pPr>
            <w:r>
              <w:t>Servings per package: (insert number of servings)</w:t>
            </w:r>
          </w:p>
          <w:p w:rsidR="00E64CEF" w:rsidRDefault="00E64CEF" w:rsidP="00A506D2">
            <w:pPr>
              <w:pStyle w:val="Table2"/>
            </w:pPr>
            <w:r>
              <w:t>Serving size: g (or mL or other units as appropriate)</w:t>
            </w:r>
          </w:p>
        </w:tc>
      </w:tr>
      <w:tr w:rsidR="00E64CEF" w:rsidTr="00A506D2">
        <w:tc>
          <w:tcPr>
            <w:tcW w:w="2795" w:type="dxa"/>
            <w:tcBorders>
              <w:top w:val="single" w:sz="4" w:space="0" w:color="auto"/>
              <w:bottom w:val="single" w:sz="4" w:space="0" w:color="auto"/>
              <w:right w:val="nil"/>
            </w:tcBorders>
          </w:tcPr>
          <w:p w:rsidR="00E64CEF" w:rsidRDefault="00E64CEF" w:rsidP="00A506D2">
            <w:pPr>
              <w:pStyle w:val="Table2"/>
            </w:pPr>
          </w:p>
        </w:tc>
        <w:tc>
          <w:tcPr>
            <w:tcW w:w="2795" w:type="dxa"/>
            <w:tcBorders>
              <w:top w:val="single" w:sz="4" w:space="0" w:color="auto"/>
              <w:left w:val="nil"/>
              <w:bottom w:val="single" w:sz="4" w:space="0" w:color="auto"/>
              <w:right w:val="nil"/>
            </w:tcBorders>
          </w:tcPr>
          <w:p w:rsidR="00E64CEF" w:rsidRDefault="00E64CEF" w:rsidP="00A506D2">
            <w:pPr>
              <w:pStyle w:val="Table2"/>
            </w:pPr>
            <w:r>
              <w:t>Quantity per Serving</w:t>
            </w:r>
          </w:p>
        </w:tc>
        <w:tc>
          <w:tcPr>
            <w:tcW w:w="2314" w:type="dxa"/>
            <w:tcBorders>
              <w:top w:val="single" w:sz="4" w:space="0" w:color="auto"/>
              <w:left w:val="nil"/>
              <w:bottom w:val="single" w:sz="4" w:space="0" w:color="auto"/>
            </w:tcBorders>
          </w:tcPr>
          <w:p w:rsidR="00E64CEF" w:rsidRDefault="00E64CEF" w:rsidP="00A506D2">
            <w:pPr>
              <w:pStyle w:val="Table2"/>
            </w:pPr>
            <w:r>
              <w:t>Quantity per 100 g (or 100 mL)</w:t>
            </w:r>
          </w:p>
          <w:p w:rsidR="00E64CEF" w:rsidRDefault="00E64CEF" w:rsidP="00A506D2">
            <w:pPr>
              <w:pStyle w:val="Table2"/>
            </w:pPr>
          </w:p>
        </w:tc>
      </w:tr>
      <w:tr w:rsidR="00E64CEF" w:rsidTr="00A506D2">
        <w:tc>
          <w:tcPr>
            <w:tcW w:w="2795" w:type="dxa"/>
            <w:tcBorders>
              <w:top w:val="single" w:sz="4" w:space="0" w:color="auto"/>
              <w:bottom w:val="nil"/>
              <w:right w:val="nil"/>
            </w:tcBorders>
          </w:tcPr>
          <w:p w:rsidR="00E64CEF" w:rsidRDefault="00E64CEF" w:rsidP="00A506D2">
            <w:pPr>
              <w:pStyle w:val="Table2"/>
            </w:pPr>
            <w:r>
              <w:t>Energy</w:t>
            </w:r>
          </w:p>
        </w:tc>
        <w:tc>
          <w:tcPr>
            <w:tcW w:w="2795" w:type="dxa"/>
            <w:tcBorders>
              <w:top w:val="single" w:sz="4" w:space="0" w:color="auto"/>
              <w:left w:val="nil"/>
              <w:bottom w:val="nil"/>
              <w:right w:val="nil"/>
            </w:tcBorders>
          </w:tcPr>
          <w:p w:rsidR="00E64CEF" w:rsidRDefault="00E64CEF" w:rsidP="00A506D2">
            <w:pPr>
              <w:pStyle w:val="Table2"/>
            </w:pPr>
            <w:r>
              <w:t>kJ (Cal)</w:t>
            </w:r>
          </w:p>
        </w:tc>
        <w:tc>
          <w:tcPr>
            <w:tcW w:w="2314" w:type="dxa"/>
            <w:tcBorders>
              <w:top w:val="single" w:sz="4" w:space="0" w:color="auto"/>
              <w:left w:val="nil"/>
              <w:bottom w:val="nil"/>
            </w:tcBorders>
          </w:tcPr>
          <w:p w:rsidR="00E64CEF" w:rsidRDefault="00E64CEF" w:rsidP="00A506D2">
            <w:pPr>
              <w:pStyle w:val="Table2"/>
            </w:pPr>
            <w:r>
              <w:t>kJ (Cal)</w:t>
            </w:r>
          </w:p>
          <w:p w:rsidR="00E64CEF" w:rsidRDefault="00E64CEF" w:rsidP="00A506D2">
            <w:pPr>
              <w:pStyle w:val="Table2"/>
            </w:pPr>
          </w:p>
        </w:tc>
      </w:tr>
      <w:tr w:rsidR="00E64CEF" w:rsidTr="00A506D2">
        <w:tc>
          <w:tcPr>
            <w:tcW w:w="2795" w:type="dxa"/>
            <w:tcBorders>
              <w:top w:val="nil"/>
              <w:bottom w:val="nil"/>
              <w:right w:val="nil"/>
            </w:tcBorders>
          </w:tcPr>
          <w:p w:rsidR="00E64CEF" w:rsidRDefault="00E64CEF" w:rsidP="00A506D2">
            <w:pPr>
              <w:pStyle w:val="Table2"/>
            </w:pPr>
            <w:r>
              <w:t>Protein, total</w:t>
            </w:r>
          </w:p>
          <w:p w:rsidR="00E64CEF" w:rsidRDefault="00E64CEF" w:rsidP="00A506D2">
            <w:pPr>
              <w:pStyle w:val="Table2"/>
            </w:pPr>
            <w:r>
              <w:tab/>
              <w:t>– *</w:t>
            </w:r>
          </w:p>
        </w:tc>
        <w:tc>
          <w:tcPr>
            <w:tcW w:w="2795" w:type="dxa"/>
            <w:tcBorders>
              <w:top w:val="nil"/>
              <w:left w:val="nil"/>
              <w:bottom w:val="nil"/>
              <w:right w:val="nil"/>
            </w:tcBorders>
          </w:tcPr>
          <w:p w:rsidR="00E64CEF" w:rsidRDefault="00E64CEF" w:rsidP="00A506D2">
            <w:pPr>
              <w:pStyle w:val="Table2"/>
            </w:pPr>
            <w:r>
              <w:t>g</w:t>
            </w:r>
          </w:p>
          <w:p w:rsidR="00E64CEF" w:rsidRDefault="00E64CEF" w:rsidP="00A506D2">
            <w:pPr>
              <w:pStyle w:val="Table2"/>
            </w:pPr>
            <w:r>
              <w:t>g</w:t>
            </w:r>
          </w:p>
        </w:tc>
        <w:tc>
          <w:tcPr>
            <w:tcW w:w="2314" w:type="dxa"/>
            <w:tcBorders>
              <w:top w:val="nil"/>
              <w:left w:val="nil"/>
              <w:bottom w:val="nil"/>
            </w:tcBorders>
          </w:tcPr>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p>
        </w:tc>
      </w:tr>
      <w:tr w:rsidR="00E64CEF" w:rsidTr="00A506D2">
        <w:tc>
          <w:tcPr>
            <w:tcW w:w="2795" w:type="dxa"/>
            <w:tcBorders>
              <w:top w:val="nil"/>
              <w:bottom w:val="nil"/>
              <w:right w:val="nil"/>
            </w:tcBorders>
          </w:tcPr>
          <w:p w:rsidR="00E64CEF" w:rsidRDefault="00E64CEF" w:rsidP="00A506D2">
            <w:pPr>
              <w:pStyle w:val="Table2"/>
            </w:pPr>
            <w:r>
              <w:t>Fat, total</w:t>
            </w:r>
          </w:p>
          <w:p w:rsidR="00E64CEF" w:rsidRDefault="00E64CEF" w:rsidP="00A506D2">
            <w:pPr>
              <w:pStyle w:val="Table2"/>
            </w:pPr>
            <w:r>
              <w:t xml:space="preserve"> </w:t>
            </w:r>
            <w:r>
              <w:tab/>
              <w:t>– saturated</w:t>
            </w:r>
          </w:p>
          <w:p w:rsidR="00E64CEF" w:rsidRDefault="00E64CEF" w:rsidP="00A506D2">
            <w:pPr>
              <w:pStyle w:val="Table2"/>
              <w:tabs>
                <w:tab w:val="left" w:pos="567"/>
              </w:tabs>
            </w:pPr>
            <w:r>
              <w:tab/>
            </w:r>
            <w:r>
              <w:tab/>
              <w:t>– **</w:t>
            </w:r>
          </w:p>
          <w:p w:rsidR="00E64CEF" w:rsidRDefault="00E64CEF" w:rsidP="00A506D2">
            <w:pPr>
              <w:pStyle w:val="Table2"/>
              <w:tabs>
                <w:tab w:val="left" w:pos="567"/>
              </w:tabs>
            </w:pPr>
            <w:r>
              <w:tab/>
              <w:t>– trans</w:t>
            </w:r>
          </w:p>
          <w:p w:rsidR="00E64CEF" w:rsidRDefault="00E64CEF" w:rsidP="00A506D2">
            <w:pPr>
              <w:pStyle w:val="Table2"/>
              <w:tabs>
                <w:tab w:val="left" w:pos="567"/>
              </w:tabs>
            </w:pPr>
            <w:r>
              <w:tab/>
            </w:r>
            <w:r>
              <w:tab/>
              <w:t>– **</w:t>
            </w:r>
          </w:p>
          <w:p w:rsidR="00E64CEF" w:rsidRDefault="00E64CEF" w:rsidP="00A506D2">
            <w:pPr>
              <w:pStyle w:val="Table2"/>
              <w:tabs>
                <w:tab w:val="left" w:pos="567"/>
              </w:tabs>
            </w:pPr>
            <w:r>
              <w:tab/>
              <w:t>– polyunsaturated</w:t>
            </w:r>
          </w:p>
          <w:p w:rsidR="00E64CEF" w:rsidRDefault="00E64CEF" w:rsidP="00A506D2">
            <w:pPr>
              <w:pStyle w:val="Table2"/>
              <w:tabs>
                <w:tab w:val="left" w:pos="567"/>
              </w:tabs>
            </w:pPr>
            <w:r>
              <w:tab/>
            </w:r>
            <w:r>
              <w:tab/>
              <w:t>– **</w:t>
            </w:r>
          </w:p>
          <w:p w:rsidR="00E64CEF" w:rsidRDefault="00E64CEF" w:rsidP="00A506D2">
            <w:pPr>
              <w:pStyle w:val="Table2"/>
              <w:tabs>
                <w:tab w:val="left" w:pos="567"/>
              </w:tabs>
            </w:pPr>
            <w:r>
              <w:tab/>
              <w:t>– monounsaturated</w:t>
            </w:r>
          </w:p>
          <w:p w:rsidR="00E64CEF" w:rsidRDefault="00E64CEF" w:rsidP="00A506D2">
            <w:pPr>
              <w:pStyle w:val="Table2"/>
              <w:tabs>
                <w:tab w:val="left" w:pos="567"/>
              </w:tabs>
            </w:pPr>
            <w:r>
              <w:tab/>
            </w:r>
            <w:r>
              <w:tab/>
              <w:t>– **</w:t>
            </w:r>
          </w:p>
          <w:p w:rsidR="00E64CEF" w:rsidRDefault="00E64CEF" w:rsidP="00A506D2">
            <w:pPr>
              <w:pStyle w:val="Table2"/>
            </w:pPr>
          </w:p>
        </w:tc>
        <w:tc>
          <w:tcPr>
            <w:tcW w:w="2795" w:type="dxa"/>
            <w:tcBorders>
              <w:top w:val="nil"/>
              <w:left w:val="nil"/>
              <w:bottom w:val="nil"/>
              <w:right w:val="nil"/>
            </w:tcBorders>
          </w:tcPr>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r>
              <w:t>g</w:t>
            </w:r>
          </w:p>
        </w:tc>
        <w:tc>
          <w:tcPr>
            <w:tcW w:w="2314" w:type="dxa"/>
            <w:tcBorders>
              <w:top w:val="nil"/>
              <w:left w:val="nil"/>
              <w:bottom w:val="nil"/>
            </w:tcBorders>
          </w:tcPr>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p>
        </w:tc>
      </w:tr>
      <w:tr w:rsidR="00E64CEF" w:rsidTr="00A506D2">
        <w:tblPrEx>
          <w:tblBorders>
            <w:bottom w:val="none" w:sz="0" w:space="0" w:color="auto"/>
            <w:insideH w:val="none" w:sz="0" w:space="0" w:color="auto"/>
            <w:insideV w:val="none" w:sz="0" w:space="0" w:color="auto"/>
          </w:tblBorders>
        </w:tblPrEx>
        <w:trPr>
          <w:cantSplit/>
        </w:trPr>
        <w:tc>
          <w:tcPr>
            <w:tcW w:w="2795" w:type="dxa"/>
            <w:tcBorders>
              <w:top w:val="nil"/>
            </w:tcBorders>
          </w:tcPr>
          <w:p w:rsidR="00E64CEF" w:rsidRDefault="00E64CEF" w:rsidP="00A506D2">
            <w:pPr>
              <w:pStyle w:val="Table2"/>
            </w:pPr>
            <w:r>
              <w:t>Cholesterol</w:t>
            </w:r>
          </w:p>
        </w:tc>
        <w:tc>
          <w:tcPr>
            <w:tcW w:w="2795" w:type="dxa"/>
            <w:tcBorders>
              <w:top w:val="nil"/>
            </w:tcBorders>
          </w:tcPr>
          <w:p w:rsidR="00E64CEF" w:rsidRDefault="00E64CEF" w:rsidP="00A506D2">
            <w:pPr>
              <w:pStyle w:val="Table2"/>
            </w:pPr>
            <w:r>
              <w:t>mg</w:t>
            </w:r>
          </w:p>
        </w:tc>
        <w:tc>
          <w:tcPr>
            <w:tcW w:w="2314" w:type="dxa"/>
            <w:tcBorders>
              <w:top w:val="nil"/>
            </w:tcBorders>
          </w:tcPr>
          <w:p w:rsidR="00E64CEF" w:rsidRDefault="00E64CEF" w:rsidP="00A506D2">
            <w:pPr>
              <w:pStyle w:val="Table2"/>
            </w:pPr>
            <w:r>
              <w:t>mg</w:t>
            </w:r>
          </w:p>
          <w:p w:rsidR="00E64CEF" w:rsidRDefault="00E64CEF" w:rsidP="00A506D2">
            <w:pPr>
              <w:pStyle w:val="Table2"/>
            </w:pPr>
          </w:p>
        </w:tc>
      </w:tr>
      <w:tr w:rsidR="00E64CEF" w:rsidTr="00A506D2">
        <w:tblPrEx>
          <w:tblBorders>
            <w:bottom w:val="none" w:sz="0" w:space="0" w:color="auto"/>
            <w:insideH w:val="none" w:sz="0" w:space="0" w:color="auto"/>
            <w:insideV w:val="none" w:sz="0" w:space="0" w:color="auto"/>
          </w:tblBorders>
        </w:tblPrEx>
        <w:tc>
          <w:tcPr>
            <w:tcW w:w="2795" w:type="dxa"/>
            <w:tcBorders>
              <w:top w:val="nil"/>
              <w:bottom w:val="nil"/>
            </w:tcBorders>
          </w:tcPr>
          <w:p w:rsidR="00E64CEF" w:rsidRDefault="00E64CEF" w:rsidP="00A506D2">
            <w:pPr>
              <w:pStyle w:val="Table2"/>
            </w:pPr>
            <w:r>
              <w:t>Carbohydrate</w:t>
            </w:r>
          </w:p>
          <w:p w:rsidR="00E64CEF" w:rsidRDefault="00E64CEF" w:rsidP="00A506D2">
            <w:pPr>
              <w:pStyle w:val="Table2"/>
            </w:pPr>
            <w:r>
              <w:tab/>
              <w:t>– sugars</w:t>
            </w:r>
          </w:p>
          <w:p w:rsidR="00E64CEF" w:rsidRDefault="00E64CEF" w:rsidP="00A506D2">
            <w:pPr>
              <w:pStyle w:val="Table2"/>
              <w:tabs>
                <w:tab w:val="left" w:pos="567"/>
              </w:tabs>
            </w:pPr>
            <w:r>
              <w:tab/>
            </w:r>
            <w:r>
              <w:tab/>
              <w:t>– **</w:t>
            </w:r>
          </w:p>
          <w:p w:rsidR="00E64CEF" w:rsidRDefault="00E64CEF" w:rsidP="00A506D2">
            <w:pPr>
              <w:pStyle w:val="Table2"/>
              <w:tabs>
                <w:tab w:val="left" w:pos="567"/>
              </w:tabs>
            </w:pPr>
            <w:r>
              <w:lastRenderedPageBreak/>
              <w:tab/>
            </w:r>
            <w:r>
              <w:tab/>
              <w:t>– **</w:t>
            </w:r>
          </w:p>
          <w:p w:rsidR="00E64CEF" w:rsidRDefault="00E64CEF" w:rsidP="00A506D2">
            <w:pPr>
              <w:pStyle w:val="Table2"/>
              <w:tabs>
                <w:tab w:val="left" w:pos="567"/>
              </w:tabs>
            </w:pPr>
            <w:r>
              <w:tab/>
            </w:r>
            <w:r>
              <w:tab/>
              <w:t>– **</w:t>
            </w:r>
          </w:p>
          <w:p w:rsidR="00E64CEF" w:rsidRDefault="00E64CEF" w:rsidP="00A506D2">
            <w:pPr>
              <w:pStyle w:val="Table2"/>
            </w:pPr>
          </w:p>
        </w:tc>
        <w:tc>
          <w:tcPr>
            <w:tcW w:w="2795" w:type="dxa"/>
            <w:tcBorders>
              <w:top w:val="nil"/>
              <w:bottom w:val="nil"/>
            </w:tcBorders>
          </w:tcPr>
          <w:p w:rsidR="00E64CEF" w:rsidRDefault="00E64CEF" w:rsidP="00A506D2">
            <w:pPr>
              <w:pStyle w:val="Table2"/>
            </w:pPr>
            <w:r>
              <w:lastRenderedPageBreak/>
              <w:t>g</w:t>
            </w:r>
          </w:p>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r>
              <w:lastRenderedPageBreak/>
              <w:t>g</w:t>
            </w:r>
          </w:p>
          <w:p w:rsidR="00E64CEF" w:rsidRDefault="00E64CEF" w:rsidP="00A506D2">
            <w:pPr>
              <w:pStyle w:val="Table2"/>
            </w:pPr>
            <w:r>
              <w:t>g</w:t>
            </w:r>
          </w:p>
        </w:tc>
        <w:tc>
          <w:tcPr>
            <w:tcW w:w="2314" w:type="dxa"/>
            <w:tcBorders>
              <w:top w:val="nil"/>
              <w:bottom w:val="nil"/>
            </w:tcBorders>
          </w:tcPr>
          <w:p w:rsidR="00E64CEF" w:rsidRDefault="00E64CEF" w:rsidP="00A506D2">
            <w:pPr>
              <w:pStyle w:val="Table2"/>
            </w:pPr>
            <w:r>
              <w:lastRenderedPageBreak/>
              <w:t>g</w:t>
            </w:r>
          </w:p>
          <w:p w:rsidR="00E64CEF" w:rsidRDefault="00E64CEF" w:rsidP="00A506D2">
            <w:pPr>
              <w:pStyle w:val="Table2"/>
            </w:pPr>
            <w:r>
              <w:t>g</w:t>
            </w:r>
          </w:p>
          <w:p w:rsidR="00E64CEF" w:rsidRDefault="00E64CEF" w:rsidP="00A506D2">
            <w:pPr>
              <w:pStyle w:val="Table2"/>
            </w:pPr>
            <w:r>
              <w:t>g</w:t>
            </w:r>
          </w:p>
          <w:p w:rsidR="00E64CEF" w:rsidRDefault="00E64CEF" w:rsidP="00A506D2">
            <w:pPr>
              <w:pStyle w:val="Table2"/>
            </w:pPr>
            <w:r>
              <w:lastRenderedPageBreak/>
              <w:t>g</w:t>
            </w:r>
          </w:p>
          <w:p w:rsidR="00E64CEF" w:rsidRDefault="00E64CEF" w:rsidP="00A506D2">
            <w:pPr>
              <w:pStyle w:val="Table2"/>
            </w:pPr>
            <w:r>
              <w:t>g</w:t>
            </w:r>
          </w:p>
        </w:tc>
      </w:tr>
      <w:tr w:rsidR="00E64CEF" w:rsidTr="00A506D2">
        <w:tblPrEx>
          <w:tblBorders>
            <w:bottom w:val="none" w:sz="0" w:space="0" w:color="auto"/>
            <w:insideH w:val="none" w:sz="0" w:space="0" w:color="auto"/>
            <w:insideV w:val="none" w:sz="0" w:space="0" w:color="auto"/>
          </w:tblBorders>
        </w:tblPrEx>
        <w:tc>
          <w:tcPr>
            <w:tcW w:w="2795" w:type="dxa"/>
            <w:tcBorders>
              <w:top w:val="nil"/>
              <w:bottom w:val="nil"/>
            </w:tcBorders>
          </w:tcPr>
          <w:p w:rsidR="00E64CEF" w:rsidRPr="00C57D7E" w:rsidRDefault="00E64CEF" w:rsidP="00A506D2">
            <w:pPr>
              <w:pStyle w:val="Table2"/>
            </w:pPr>
            <w:r w:rsidRPr="00C57D7E">
              <w:lastRenderedPageBreak/>
              <w:t>Dietary fibre, total</w:t>
            </w:r>
          </w:p>
          <w:p w:rsidR="00E64CEF" w:rsidRDefault="00E64CEF" w:rsidP="00A506D2">
            <w:pPr>
              <w:pStyle w:val="Table2"/>
              <w:tabs>
                <w:tab w:val="left" w:pos="567"/>
              </w:tabs>
            </w:pPr>
            <w:r>
              <w:tab/>
            </w:r>
            <w:r>
              <w:tab/>
              <w:t>– **</w:t>
            </w:r>
          </w:p>
          <w:p w:rsidR="00E64CEF" w:rsidRPr="00C57D7E" w:rsidRDefault="00E64CEF" w:rsidP="00A506D2">
            <w:pPr>
              <w:pStyle w:val="Table2"/>
            </w:pPr>
          </w:p>
        </w:tc>
        <w:tc>
          <w:tcPr>
            <w:tcW w:w="2795" w:type="dxa"/>
            <w:tcBorders>
              <w:top w:val="nil"/>
              <w:bottom w:val="nil"/>
            </w:tcBorders>
          </w:tcPr>
          <w:p w:rsidR="00E64CEF" w:rsidRPr="00C57D7E" w:rsidRDefault="00E64CEF" w:rsidP="00A506D2">
            <w:pPr>
              <w:pStyle w:val="Table2"/>
            </w:pPr>
            <w:r w:rsidRPr="00C57D7E">
              <w:t>g</w:t>
            </w:r>
          </w:p>
          <w:p w:rsidR="00E64CEF" w:rsidRPr="00C57D7E" w:rsidRDefault="00E64CEF" w:rsidP="00A506D2">
            <w:pPr>
              <w:pStyle w:val="Table2"/>
            </w:pPr>
            <w:r w:rsidRPr="00C57D7E">
              <w:t>g</w:t>
            </w:r>
          </w:p>
          <w:p w:rsidR="00E64CEF" w:rsidRPr="00C57D7E" w:rsidRDefault="00E64CEF" w:rsidP="00A506D2">
            <w:pPr>
              <w:pStyle w:val="Table2"/>
            </w:pPr>
          </w:p>
        </w:tc>
        <w:tc>
          <w:tcPr>
            <w:tcW w:w="2314" w:type="dxa"/>
            <w:tcBorders>
              <w:top w:val="nil"/>
              <w:bottom w:val="nil"/>
            </w:tcBorders>
          </w:tcPr>
          <w:p w:rsidR="00E64CEF" w:rsidRPr="00C57D7E" w:rsidRDefault="00E64CEF" w:rsidP="00A506D2">
            <w:pPr>
              <w:pStyle w:val="Table2"/>
            </w:pPr>
            <w:r w:rsidRPr="00C57D7E">
              <w:t>g</w:t>
            </w:r>
          </w:p>
          <w:p w:rsidR="00E64CEF" w:rsidRPr="00C57D7E" w:rsidRDefault="00E64CEF" w:rsidP="00A506D2">
            <w:pPr>
              <w:pStyle w:val="Table2"/>
            </w:pPr>
            <w:r w:rsidRPr="00C57D7E">
              <w:t>g</w:t>
            </w:r>
          </w:p>
          <w:p w:rsidR="00E64CEF" w:rsidRPr="00C57D7E" w:rsidRDefault="00E64CEF" w:rsidP="00A506D2">
            <w:pPr>
              <w:pStyle w:val="Table2"/>
            </w:pPr>
          </w:p>
        </w:tc>
      </w:tr>
      <w:tr w:rsidR="00E64CEF" w:rsidTr="00A506D2">
        <w:tblPrEx>
          <w:tblBorders>
            <w:bottom w:val="none" w:sz="0" w:space="0" w:color="auto"/>
            <w:insideH w:val="none" w:sz="0" w:space="0" w:color="auto"/>
            <w:insideV w:val="none" w:sz="0" w:space="0" w:color="auto"/>
          </w:tblBorders>
        </w:tblPrEx>
        <w:tc>
          <w:tcPr>
            <w:tcW w:w="2795" w:type="dxa"/>
            <w:tcBorders>
              <w:top w:val="nil"/>
              <w:bottom w:val="nil"/>
            </w:tcBorders>
          </w:tcPr>
          <w:p w:rsidR="00E64CEF" w:rsidRPr="00C57D7E" w:rsidRDefault="00E64CEF" w:rsidP="00A506D2">
            <w:pPr>
              <w:pStyle w:val="Table2"/>
            </w:pPr>
            <w:r w:rsidRPr="00C57D7E">
              <w:t>Sodium</w:t>
            </w:r>
          </w:p>
        </w:tc>
        <w:tc>
          <w:tcPr>
            <w:tcW w:w="2795" w:type="dxa"/>
            <w:tcBorders>
              <w:top w:val="nil"/>
              <w:bottom w:val="nil"/>
            </w:tcBorders>
          </w:tcPr>
          <w:p w:rsidR="00E64CEF" w:rsidRPr="00C57D7E" w:rsidRDefault="00E64CEF" w:rsidP="00A506D2">
            <w:pPr>
              <w:pStyle w:val="Table2"/>
            </w:pPr>
            <w:r w:rsidRPr="00C57D7E">
              <w:t>mg (mmol)</w:t>
            </w:r>
          </w:p>
        </w:tc>
        <w:tc>
          <w:tcPr>
            <w:tcW w:w="2314" w:type="dxa"/>
            <w:tcBorders>
              <w:top w:val="nil"/>
              <w:bottom w:val="nil"/>
            </w:tcBorders>
          </w:tcPr>
          <w:p w:rsidR="00E64CEF" w:rsidRPr="00C57D7E" w:rsidRDefault="00E64CEF" w:rsidP="00A506D2">
            <w:pPr>
              <w:pStyle w:val="Table2"/>
            </w:pPr>
            <w:r w:rsidRPr="00C57D7E">
              <w:t>mg (mmol)</w:t>
            </w:r>
          </w:p>
          <w:p w:rsidR="00E64CEF" w:rsidRPr="00C57D7E" w:rsidRDefault="00E64CEF" w:rsidP="00A506D2">
            <w:pPr>
              <w:pStyle w:val="Table2"/>
            </w:pPr>
          </w:p>
        </w:tc>
      </w:tr>
      <w:tr w:rsidR="00E64CEF" w:rsidTr="00A506D2">
        <w:tc>
          <w:tcPr>
            <w:tcW w:w="2795" w:type="dxa"/>
            <w:tcBorders>
              <w:top w:val="nil"/>
              <w:bottom w:val="single" w:sz="4" w:space="0" w:color="auto"/>
              <w:right w:val="nil"/>
            </w:tcBorders>
          </w:tcPr>
          <w:p w:rsidR="00E64CEF" w:rsidRPr="00C57D7E" w:rsidRDefault="00E64CEF" w:rsidP="00A506D2">
            <w:pPr>
              <w:pStyle w:val="Table2"/>
            </w:pPr>
            <w:r w:rsidRPr="00C57D7E">
              <w:t>(insert any other nutrient or biologically active substance to be declared)</w:t>
            </w:r>
          </w:p>
        </w:tc>
        <w:tc>
          <w:tcPr>
            <w:tcW w:w="2795" w:type="dxa"/>
            <w:tcBorders>
              <w:top w:val="nil"/>
              <w:left w:val="nil"/>
              <w:bottom w:val="single" w:sz="4" w:space="0" w:color="auto"/>
              <w:right w:val="nil"/>
            </w:tcBorders>
          </w:tcPr>
          <w:p w:rsidR="00E64CEF" w:rsidRPr="00C57D7E" w:rsidRDefault="00E64CEF" w:rsidP="00A506D2">
            <w:pPr>
              <w:pStyle w:val="Table2"/>
            </w:pPr>
            <w:r w:rsidRPr="00C57D7E">
              <w:t xml:space="preserve">g, mg, </w:t>
            </w:r>
            <w:r w:rsidRPr="00C57D7E">
              <w:sym w:font="Symbol" w:char="F06D"/>
            </w:r>
            <w:r w:rsidRPr="00C57D7E">
              <w:t>g (or other units as appropriate)</w:t>
            </w:r>
          </w:p>
        </w:tc>
        <w:tc>
          <w:tcPr>
            <w:tcW w:w="2314" w:type="dxa"/>
            <w:tcBorders>
              <w:top w:val="nil"/>
              <w:left w:val="nil"/>
              <w:bottom w:val="single" w:sz="4" w:space="0" w:color="auto"/>
            </w:tcBorders>
          </w:tcPr>
          <w:p w:rsidR="00E64CEF" w:rsidRPr="00C57D7E" w:rsidRDefault="00E64CEF" w:rsidP="00A506D2">
            <w:pPr>
              <w:pStyle w:val="Table2"/>
            </w:pPr>
            <w:r w:rsidRPr="00C57D7E">
              <w:t xml:space="preserve">g, mg, </w:t>
            </w:r>
            <w:r w:rsidRPr="00C57D7E">
              <w:sym w:font="Symbol" w:char="F06D"/>
            </w:r>
            <w:r w:rsidRPr="00C57D7E">
              <w:t>g (or other units as appropriate)</w:t>
            </w:r>
          </w:p>
        </w:tc>
      </w:tr>
    </w:tbl>
    <w:p w:rsidR="00E64CEF" w:rsidRDefault="00E64CEF" w:rsidP="00E64CEF">
      <w:pPr>
        <w:pStyle w:val="FootnoteText1"/>
      </w:pPr>
      <w:r>
        <w:tab/>
        <w:t>*a sub-group nutrient</w:t>
      </w:r>
      <w:r>
        <w:tab/>
        <w:t>**a sub-sub-group nutrient</w:t>
      </w:r>
    </w:p>
    <w:p w:rsidR="00E64CEF" w:rsidRPr="000A6D2C" w:rsidRDefault="00E64CEF" w:rsidP="00E64CEF">
      <w:pPr>
        <w:rPr>
          <w:sz w:val="20"/>
          <w:szCs w:val="20"/>
        </w:rPr>
      </w:pPr>
    </w:p>
    <w:p w:rsidR="00E64CEF" w:rsidRPr="000A6D2C" w:rsidRDefault="00E64CEF" w:rsidP="00E64CEF">
      <w:pPr>
        <w:pStyle w:val="Clause"/>
      </w:pPr>
      <w:r w:rsidRPr="000A6D2C">
        <w:t>[9.6]</w:t>
      </w:r>
      <w:r w:rsidRPr="000A6D2C">
        <w:tab/>
      </w:r>
      <w:r w:rsidRPr="000A6D2C">
        <w:rPr>
          <w:i/>
        </w:rPr>
        <w:t xml:space="preserve">inserting in clause 10 following </w:t>
      </w:r>
      <w:r w:rsidRPr="000A6D2C">
        <w:t>must</w:t>
      </w:r>
      <w:r w:rsidRPr="000A6D2C">
        <w:rPr>
          <w:i/>
        </w:rPr>
        <w:t xml:space="preserve"> </w:t>
      </w:r>
      <w:r w:rsidRPr="000A6D2C">
        <w:t xml:space="preserve">– </w:t>
      </w:r>
    </w:p>
    <w:p w:rsidR="00E64CEF" w:rsidRPr="000A6D2C" w:rsidRDefault="00E64CEF" w:rsidP="00E64CEF">
      <w:pPr>
        <w:rPr>
          <w:sz w:val="20"/>
          <w:szCs w:val="20"/>
        </w:rPr>
      </w:pPr>
    </w:p>
    <w:p w:rsidR="00E64CEF" w:rsidRPr="000A6D2C" w:rsidRDefault="00E64CEF" w:rsidP="00E64CEF">
      <w:pPr>
        <w:pStyle w:val="Clause"/>
      </w:pPr>
      <w:r w:rsidRPr="000A6D2C">
        <w:t>include the particulars set out in each column of the panel expressed as a proportion of the drained food, and must</w:t>
      </w:r>
    </w:p>
    <w:p w:rsidR="00E64CEF" w:rsidRPr="000A6D2C" w:rsidRDefault="00E64CEF" w:rsidP="00E64CEF">
      <w:pPr>
        <w:rPr>
          <w:sz w:val="20"/>
          <w:szCs w:val="20"/>
        </w:rPr>
      </w:pPr>
    </w:p>
    <w:p w:rsidR="00E64CEF" w:rsidRPr="000A6D2C" w:rsidRDefault="00E64CEF" w:rsidP="00E64CEF">
      <w:pPr>
        <w:pStyle w:val="Clause"/>
        <w:rPr>
          <w:i/>
        </w:rPr>
      </w:pPr>
      <w:r w:rsidRPr="000A6D2C">
        <w:t>[9.7]</w:t>
      </w:r>
      <w:r w:rsidRPr="000A6D2C">
        <w:tab/>
      </w:r>
      <w:r w:rsidRPr="000A6D2C">
        <w:rPr>
          <w:i/>
        </w:rPr>
        <w:t xml:space="preserve">omitting clause 11, substituting – </w:t>
      </w:r>
    </w:p>
    <w:p w:rsidR="00E64CEF" w:rsidRPr="000A6D2C" w:rsidRDefault="00E64CEF" w:rsidP="00E64CEF">
      <w:pPr>
        <w:rPr>
          <w:sz w:val="20"/>
          <w:szCs w:val="20"/>
        </w:rPr>
      </w:pPr>
    </w:p>
    <w:p w:rsidR="00E64CEF" w:rsidRPr="000A6D2C" w:rsidRDefault="00E64CEF" w:rsidP="00E64CEF">
      <w:pPr>
        <w:pStyle w:val="Clauseheading"/>
      </w:pPr>
      <w:r w:rsidRPr="000A6D2C">
        <w:t>11</w:t>
      </w:r>
      <w:r w:rsidRPr="000A6D2C">
        <w:tab/>
        <w:t>Food intended to be prepared or consumed with other food</w:t>
      </w:r>
    </w:p>
    <w:p w:rsidR="00E64CEF" w:rsidRPr="000A6D2C" w:rsidRDefault="00E64CEF" w:rsidP="00E64CEF">
      <w:pPr>
        <w:rPr>
          <w:b/>
          <w:sz w:val="20"/>
          <w:szCs w:val="20"/>
        </w:rPr>
      </w:pPr>
    </w:p>
    <w:p w:rsidR="00E64CEF" w:rsidRPr="000A6D2C" w:rsidRDefault="00E64CEF" w:rsidP="00E64CEF">
      <w:pPr>
        <w:pStyle w:val="Clause"/>
      </w:pPr>
      <w:r w:rsidRPr="000A6D2C">
        <w:t>The label on a package of food intended to be prepared or consumed with at least one other food, may include an additional column at the right hand side of the panel, specifying, in the same manner as set out the panel, descriptions and quantities of the additional food or foods, together with the average energy content of the combined foods and the average quantities of nutrients and biologically active substances contained in the combined foods.</w:t>
      </w:r>
    </w:p>
    <w:p w:rsidR="00E64CEF" w:rsidRPr="000A6D2C" w:rsidRDefault="00E64CEF" w:rsidP="00E64CEF">
      <w:pPr>
        <w:rPr>
          <w:sz w:val="20"/>
          <w:szCs w:val="20"/>
        </w:rPr>
      </w:pPr>
    </w:p>
    <w:p w:rsidR="00E64CEF" w:rsidRPr="000A6D2C" w:rsidRDefault="00E64CEF" w:rsidP="00E64CEF">
      <w:pPr>
        <w:pStyle w:val="Clause"/>
        <w:rPr>
          <w:i/>
        </w:rPr>
      </w:pPr>
      <w:r w:rsidRPr="000A6D2C">
        <w:t>[9.8]</w:t>
      </w:r>
      <w:r w:rsidRPr="000A6D2C">
        <w:tab/>
      </w:r>
      <w:r w:rsidRPr="000A6D2C">
        <w:rPr>
          <w:i/>
        </w:rPr>
        <w:t xml:space="preserve">omitting subclause 13(5), substituting – </w:t>
      </w:r>
    </w:p>
    <w:p w:rsidR="00E64CEF" w:rsidRPr="000A6D2C" w:rsidRDefault="00E64CEF" w:rsidP="00E64CEF">
      <w:pPr>
        <w:rPr>
          <w:sz w:val="20"/>
          <w:szCs w:val="20"/>
        </w:rPr>
      </w:pPr>
    </w:p>
    <w:p w:rsidR="00E64CEF" w:rsidRPr="000A6D2C" w:rsidRDefault="00E64CEF" w:rsidP="00E35BCD">
      <w:pPr>
        <w:pStyle w:val="Subclause"/>
        <w:ind w:right="-188"/>
      </w:pPr>
      <w:r w:rsidRPr="000A6D2C">
        <w:t>(5)</w:t>
      </w:r>
      <w:r w:rsidRPr="000A6D2C">
        <w:tab/>
        <w:t xml:space="preserve">Where a nutrition claim is made in accordance with subclause (3) or subclause (4), the declarations in the nutrition information panel must indicate the source of omega 3 fatty acids, namely – </w:t>
      </w:r>
    </w:p>
    <w:p w:rsidR="00E64CEF" w:rsidRPr="000A6D2C" w:rsidRDefault="00E64CEF" w:rsidP="00E64CEF">
      <w:pPr>
        <w:pStyle w:val="Paragraph"/>
      </w:pPr>
    </w:p>
    <w:p w:rsidR="00E64CEF" w:rsidRPr="000A6D2C" w:rsidRDefault="00E64CEF" w:rsidP="00E64CEF">
      <w:pPr>
        <w:pStyle w:val="Paragraph"/>
      </w:pPr>
      <w:r w:rsidRPr="000A6D2C">
        <w:t>(a)</w:t>
      </w:r>
      <w:r w:rsidRPr="000A6D2C">
        <w:tab/>
        <w:t>alpha-linolenic acid; or</w:t>
      </w:r>
    </w:p>
    <w:p w:rsidR="00E64CEF" w:rsidRDefault="00E64CEF" w:rsidP="00E64CEF">
      <w:pPr>
        <w:pStyle w:val="Paragraph"/>
      </w:pPr>
      <w:r w:rsidRPr="000A6D2C">
        <w:t>(b)</w:t>
      </w:r>
      <w:r w:rsidRPr="000A6D2C">
        <w:tab/>
        <w:t>docosahexaenoic acid; o</w:t>
      </w:r>
      <w:r>
        <w:t>r</w:t>
      </w:r>
    </w:p>
    <w:p w:rsidR="000A6D2C" w:rsidRDefault="00E64CEF" w:rsidP="00E64CEF">
      <w:pPr>
        <w:pStyle w:val="Paragraph"/>
      </w:pPr>
      <w:r>
        <w:t>(c)</w:t>
      </w:r>
      <w:r>
        <w:tab/>
        <w:t>eicosapentaenoic acid; or</w:t>
      </w:r>
    </w:p>
    <w:p w:rsidR="00E64CEF" w:rsidRDefault="00E64CEF" w:rsidP="00E64CEF">
      <w:pPr>
        <w:pStyle w:val="Paragraph"/>
      </w:pPr>
      <w:r>
        <w:t>(d)</w:t>
      </w:r>
      <w:r>
        <w:tab/>
        <w:t>a combination of the above.</w:t>
      </w:r>
    </w:p>
    <w:p w:rsidR="00E64CEF" w:rsidRPr="000A6D2C" w:rsidRDefault="00E64CEF" w:rsidP="00E64CEF">
      <w:pPr>
        <w:rPr>
          <w:sz w:val="20"/>
          <w:szCs w:val="20"/>
        </w:rPr>
      </w:pPr>
    </w:p>
    <w:p w:rsidR="00E64CEF" w:rsidRPr="000A6D2C" w:rsidRDefault="00E64CEF" w:rsidP="00E64CEF">
      <w:pPr>
        <w:pStyle w:val="Clause"/>
        <w:rPr>
          <w:bCs/>
          <w:i/>
        </w:rPr>
      </w:pPr>
      <w:r w:rsidRPr="000A6D2C">
        <w:rPr>
          <w:b/>
          <w:bCs/>
        </w:rPr>
        <w:t>[10]</w:t>
      </w:r>
      <w:r w:rsidRPr="000A6D2C">
        <w:rPr>
          <w:b/>
          <w:bCs/>
        </w:rPr>
        <w:tab/>
      </w:r>
      <w:r w:rsidRPr="000A6D2C">
        <w:rPr>
          <w:b/>
          <w:bCs/>
          <w:i/>
        </w:rPr>
        <w:t xml:space="preserve">Standard 1.2.9 </w:t>
      </w:r>
      <w:r w:rsidRPr="000A6D2C">
        <w:rPr>
          <w:bCs/>
          <w:i/>
        </w:rPr>
        <w:t xml:space="preserve">of the Australia New Zealand Food Standards Code is varied by – </w:t>
      </w:r>
    </w:p>
    <w:p w:rsidR="00E64CEF" w:rsidRPr="000A6D2C" w:rsidRDefault="00E64CEF" w:rsidP="00E64CEF">
      <w:pPr>
        <w:pStyle w:val="Clause"/>
        <w:rPr>
          <w:bCs/>
          <w:i/>
        </w:rPr>
      </w:pPr>
    </w:p>
    <w:p w:rsidR="00E64CEF" w:rsidRPr="000A6D2C" w:rsidRDefault="00E64CEF" w:rsidP="00E64CEF">
      <w:pPr>
        <w:pStyle w:val="Clause"/>
        <w:rPr>
          <w:bCs/>
        </w:rPr>
      </w:pPr>
      <w:r w:rsidRPr="000A6D2C">
        <w:rPr>
          <w:bCs/>
        </w:rPr>
        <w:t>[10.1]</w:t>
      </w:r>
      <w:r w:rsidRPr="000A6D2C">
        <w:rPr>
          <w:bCs/>
        </w:rPr>
        <w:tab/>
      </w:r>
      <w:r w:rsidRPr="000A6D2C">
        <w:rPr>
          <w:bCs/>
          <w:i/>
        </w:rPr>
        <w:t xml:space="preserve">omitting </w:t>
      </w:r>
      <w:r w:rsidRPr="000A6D2C">
        <w:rPr>
          <w:bCs/>
        </w:rPr>
        <w:t xml:space="preserve">3mm </w:t>
      </w:r>
      <w:r w:rsidRPr="000A6D2C">
        <w:rPr>
          <w:bCs/>
          <w:i/>
        </w:rPr>
        <w:t xml:space="preserve">from subclause 3(a), substituting </w:t>
      </w:r>
      <w:r w:rsidRPr="000A6D2C">
        <w:rPr>
          <w:bCs/>
        </w:rPr>
        <w:t>3 mm</w:t>
      </w:r>
    </w:p>
    <w:p w:rsidR="00E64CEF" w:rsidRPr="000A6D2C" w:rsidRDefault="00E64CEF" w:rsidP="00E64CEF">
      <w:pPr>
        <w:rPr>
          <w:sz w:val="20"/>
          <w:szCs w:val="20"/>
        </w:rPr>
      </w:pPr>
    </w:p>
    <w:p w:rsidR="00E64CEF" w:rsidRPr="000A6D2C" w:rsidRDefault="00E64CEF" w:rsidP="00E64CEF">
      <w:pPr>
        <w:pStyle w:val="Subclause"/>
      </w:pPr>
      <w:r w:rsidRPr="000A6D2C">
        <w:t>[10.2]</w:t>
      </w:r>
      <w:r w:rsidRPr="000A6D2C">
        <w:tab/>
      </w:r>
      <w:r w:rsidRPr="000A6D2C">
        <w:rPr>
          <w:i/>
        </w:rPr>
        <w:t xml:space="preserve">omitting </w:t>
      </w:r>
      <w:r w:rsidRPr="000A6D2C">
        <w:t xml:space="preserve">1.5mm </w:t>
      </w:r>
      <w:r w:rsidRPr="000A6D2C">
        <w:rPr>
          <w:i/>
        </w:rPr>
        <w:t xml:space="preserve">from subclause 3(b), substituting </w:t>
      </w:r>
      <w:r w:rsidRPr="000A6D2C">
        <w:t>1.5 mm</w:t>
      </w:r>
    </w:p>
    <w:p w:rsidR="00E64CEF" w:rsidRPr="000A6D2C" w:rsidRDefault="00E64CEF" w:rsidP="00E64CEF">
      <w:pPr>
        <w:pStyle w:val="Clause"/>
        <w:rPr>
          <w:b/>
          <w:bCs/>
        </w:rPr>
      </w:pPr>
    </w:p>
    <w:p w:rsidR="00E64CEF" w:rsidRPr="000A6D2C" w:rsidRDefault="00E64CEF" w:rsidP="00E64CEF">
      <w:pPr>
        <w:pStyle w:val="Clause"/>
        <w:rPr>
          <w:bCs/>
          <w:i/>
        </w:rPr>
      </w:pPr>
      <w:r w:rsidRPr="000A6D2C">
        <w:rPr>
          <w:b/>
          <w:bCs/>
        </w:rPr>
        <w:t>[11]</w:t>
      </w:r>
      <w:r w:rsidRPr="000A6D2C">
        <w:rPr>
          <w:b/>
          <w:bCs/>
        </w:rPr>
        <w:tab/>
      </w:r>
      <w:r w:rsidRPr="000A6D2C">
        <w:rPr>
          <w:b/>
          <w:bCs/>
          <w:i/>
        </w:rPr>
        <w:t xml:space="preserve">Standard 1.2.10 </w:t>
      </w:r>
      <w:r w:rsidRPr="000A6D2C">
        <w:rPr>
          <w:bCs/>
          <w:i/>
        </w:rPr>
        <w:t xml:space="preserve">of the Australia New Zealand Food Standards Code is varied by – </w:t>
      </w:r>
    </w:p>
    <w:p w:rsidR="00E64CEF" w:rsidRPr="000A6D2C" w:rsidRDefault="00E64CEF" w:rsidP="00E64CEF">
      <w:pPr>
        <w:pStyle w:val="Clause"/>
        <w:rPr>
          <w:bCs/>
          <w:i/>
        </w:rPr>
      </w:pPr>
    </w:p>
    <w:p w:rsidR="00E64CEF" w:rsidRPr="000A6D2C" w:rsidRDefault="00E64CEF" w:rsidP="00E64CEF">
      <w:pPr>
        <w:pStyle w:val="Subclause"/>
      </w:pPr>
      <w:r w:rsidRPr="000A6D2C">
        <w:t>[11.1]</w:t>
      </w:r>
      <w:r w:rsidRPr="000A6D2C">
        <w:tab/>
      </w:r>
      <w:r w:rsidRPr="000A6D2C">
        <w:rPr>
          <w:i/>
        </w:rPr>
        <w:t xml:space="preserve">omitting </w:t>
      </w:r>
      <w:r w:rsidRPr="000A6D2C">
        <w:t xml:space="preserve">fund raising events </w:t>
      </w:r>
      <w:r w:rsidRPr="000A6D2C">
        <w:rPr>
          <w:i/>
        </w:rPr>
        <w:t>from paragraph 2(4)(e), substituting</w:t>
      </w:r>
      <w:r w:rsidRPr="000A6D2C">
        <w:t xml:space="preserve"> a fund raising event</w:t>
      </w:r>
    </w:p>
    <w:p w:rsidR="00E64CEF" w:rsidRPr="000A6D2C" w:rsidRDefault="00E64CEF" w:rsidP="00E64CEF">
      <w:pPr>
        <w:pStyle w:val="Subclause"/>
        <w:ind w:firstLine="0"/>
      </w:pPr>
    </w:p>
    <w:p w:rsidR="00E35BCD" w:rsidRPr="000A6D2C" w:rsidRDefault="00E64CEF" w:rsidP="00E64CEF">
      <w:pPr>
        <w:pStyle w:val="Subclause"/>
      </w:pPr>
      <w:r w:rsidRPr="000A6D2C">
        <w:t>[11.2]</w:t>
      </w:r>
      <w:r w:rsidRPr="000A6D2C">
        <w:tab/>
      </w:r>
      <w:r w:rsidRPr="000A6D2C">
        <w:rPr>
          <w:i/>
        </w:rPr>
        <w:t>omitting subclause 5(2), substituting</w:t>
      </w:r>
      <w:r w:rsidRPr="000A6D2C">
        <w:t xml:space="preserve"> – </w:t>
      </w:r>
    </w:p>
    <w:p w:rsidR="00E64CEF" w:rsidRPr="000A6D2C" w:rsidRDefault="00E64CEF" w:rsidP="00E64CEF">
      <w:pPr>
        <w:pStyle w:val="Subclause"/>
      </w:pPr>
    </w:p>
    <w:p w:rsidR="00E64CEF" w:rsidRPr="000A6D2C" w:rsidRDefault="00E64CEF" w:rsidP="00E64CEF">
      <w:pPr>
        <w:pStyle w:val="Subclause"/>
      </w:pPr>
      <w:r w:rsidRPr="000A6D2C">
        <w:t>(2)</w:t>
      </w:r>
      <w:r w:rsidRPr="000A6D2C">
        <w:tab/>
        <w:t>If the percentage declared is 5% or greater, it must be rounded to the nearest whole percent.  If the percentage declared is below 5%, it may be rounded to the nearest 0.5 percent.</w:t>
      </w:r>
    </w:p>
    <w:p w:rsidR="00E64CEF" w:rsidRPr="000A6D2C" w:rsidRDefault="00E64CEF" w:rsidP="00E64CEF">
      <w:pPr>
        <w:pStyle w:val="Subclause"/>
      </w:pPr>
    </w:p>
    <w:p w:rsidR="00E64CEF" w:rsidRPr="000A6D2C" w:rsidRDefault="00E64CEF" w:rsidP="00E64CEF">
      <w:pPr>
        <w:pStyle w:val="Subclause"/>
        <w:rPr>
          <w:i/>
        </w:rPr>
      </w:pPr>
      <w:r w:rsidRPr="000A6D2C">
        <w:t>[11.3]</w:t>
      </w:r>
      <w:r w:rsidRPr="000A6D2C">
        <w:tab/>
      </w:r>
      <w:r w:rsidRPr="000A6D2C">
        <w:rPr>
          <w:i/>
        </w:rPr>
        <w:t xml:space="preserve">omitting subclause 7(2), substituting – </w:t>
      </w:r>
    </w:p>
    <w:p w:rsidR="00E64CEF" w:rsidRPr="000A6D2C" w:rsidRDefault="00E64CEF" w:rsidP="00E64CEF">
      <w:pPr>
        <w:pStyle w:val="Subclause"/>
        <w:rPr>
          <w:i/>
        </w:rPr>
      </w:pPr>
    </w:p>
    <w:p w:rsidR="00E64CEF" w:rsidRPr="000A6D2C" w:rsidRDefault="00E64CEF" w:rsidP="00E64CEF">
      <w:pPr>
        <w:pStyle w:val="Subclause"/>
      </w:pPr>
      <w:r w:rsidRPr="000A6D2C">
        <w:t>(2)</w:t>
      </w:r>
      <w:r w:rsidRPr="000A6D2C">
        <w:tab/>
        <w:t>If the percentage declared is 5% or greater, it must be rounded to the nearest whole percent.  If the percentage declared is below 5%, it may be rounded to the nearest 0.5 percent.</w:t>
      </w:r>
    </w:p>
    <w:p w:rsidR="00E64CEF" w:rsidRPr="000A6D2C" w:rsidRDefault="00E64CEF" w:rsidP="00E64CEF">
      <w:pPr>
        <w:rPr>
          <w:sz w:val="20"/>
          <w:szCs w:val="20"/>
        </w:rPr>
      </w:pPr>
    </w:p>
    <w:p w:rsidR="00E64CEF" w:rsidRPr="000A6D2C" w:rsidRDefault="00E64CEF" w:rsidP="00E64CEF">
      <w:pPr>
        <w:pStyle w:val="Clause"/>
        <w:rPr>
          <w:i/>
        </w:rPr>
      </w:pPr>
      <w:r w:rsidRPr="000A6D2C">
        <w:rPr>
          <w:b/>
        </w:rPr>
        <w:t>[12]</w:t>
      </w:r>
      <w:r w:rsidRPr="000A6D2C">
        <w:rPr>
          <w:b/>
        </w:rPr>
        <w:tab/>
      </w:r>
      <w:r w:rsidRPr="000A6D2C">
        <w:rPr>
          <w:b/>
          <w:i/>
        </w:rPr>
        <w:t xml:space="preserve">Standard 1.2.11 </w:t>
      </w:r>
      <w:r w:rsidRPr="000A6D2C">
        <w:rPr>
          <w:i/>
        </w:rPr>
        <w:t xml:space="preserve">of the Australia New Zealand Food Standards Code is varied by – </w:t>
      </w:r>
    </w:p>
    <w:p w:rsidR="00E64CEF" w:rsidRPr="000A6D2C" w:rsidRDefault="00E64CEF" w:rsidP="00E64CEF">
      <w:pPr>
        <w:pStyle w:val="Clause"/>
        <w:rPr>
          <w:i/>
        </w:rPr>
      </w:pPr>
    </w:p>
    <w:p w:rsidR="000A6D2C" w:rsidRDefault="00E64CEF" w:rsidP="00E64CEF">
      <w:pPr>
        <w:pStyle w:val="Clause"/>
        <w:rPr>
          <w:i/>
          <w:iCs/>
        </w:rPr>
      </w:pPr>
      <w:r w:rsidRPr="000A6D2C">
        <w:t>[12.1]</w:t>
      </w:r>
      <w:r w:rsidRPr="000A6D2C">
        <w:tab/>
      </w:r>
      <w:r w:rsidRPr="000A6D2C">
        <w:rPr>
          <w:i/>
          <w:iCs/>
        </w:rPr>
        <w:t>omitting subclauses 1(4) and 1(5)</w:t>
      </w:r>
      <w:r w:rsidR="000A6D2C">
        <w:rPr>
          <w:i/>
          <w:iCs/>
        </w:rPr>
        <w:br w:type="page"/>
      </w:r>
    </w:p>
    <w:p w:rsidR="00E64CEF" w:rsidRPr="000A6D2C" w:rsidRDefault="00E64CEF" w:rsidP="00E64CEF">
      <w:pPr>
        <w:pStyle w:val="Clause"/>
      </w:pPr>
      <w:r w:rsidRPr="000A6D2C">
        <w:lastRenderedPageBreak/>
        <w:t>[12.2]</w:t>
      </w:r>
      <w:r w:rsidRPr="000A6D2C">
        <w:tab/>
      </w:r>
      <w:r w:rsidRPr="000A6D2C">
        <w:rPr>
          <w:i/>
        </w:rPr>
        <w:t xml:space="preserve">omitting </w:t>
      </w:r>
      <w:r w:rsidRPr="000A6D2C">
        <w:t xml:space="preserve">local and/or imported </w:t>
      </w:r>
      <w:r w:rsidRPr="000A6D2C">
        <w:rPr>
          <w:i/>
        </w:rPr>
        <w:t xml:space="preserve">from Column 2 of the </w:t>
      </w:r>
      <w:r w:rsidRPr="000A6D2C">
        <w:t xml:space="preserve">Table to subclause 2(2), </w:t>
      </w:r>
      <w:r w:rsidRPr="000A6D2C">
        <w:rPr>
          <w:i/>
        </w:rPr>
        <w:t xml:space="preserve">substituting </w:t>
      </w:r>
      <w:r w:rsidRPr="000A6D2C">
        <w:t>local and imported</w:t>
      </w:r>
    </w:p>
    <w:p w:rsidR="00E64CEF" w:rsidRPr="000A6D2C" w:rsidRDefault="00E64CEF" w:rsidP="00E64CEF">
      <w:pPr>
        <w:rPr>
          <w:sz w:val="20"/>
          <w:szCs w:val="20"/>
        </w:rPr>
      </w:pPr>
    </w:p>
    <w:p w:rsidR="00E64CEF" w:rsidRPr="000A6D2C" w:rsidRDefault="00E64CEF" w:rsidP="00E64CEF">
      <w:pPr>
        <w:pStyle w:val="Clause"/>
        <w:ind w:left="851" w:hanging="851"/>
        <w:rPr>
          <w:i/>
          <w:iCs/>
        </w:rPr>
      </w:pPr>
      <w:r w:rsidRPr="000A6D2C">
        <w:rPr>
          <w:b/>
          <w:bCs/>
        </w:rPr>
        <w:t>[13]</w:t>
      </w:r>
      <w:r w:rsidRPr="000A6D2C">
        <w:tab/>
      </w:r>
      <w:r w:rsidRPr="000A6D2C">
        <w:rPr>
          <w:b/>
          <w:bCs/>
          <w:i/>
          <w:iCs/>
        </w:rPr>
        <w:t>Standard 1.3.1</w:t>
      </w:r>
      <w:r w:rsidRPr="000A6D2C">
        <w:rPr>
          <w:i/>
          <w:iCs/>
        </w:rPr>
        <w:t xml:space="preserve"> of the Australia New Zealand Food Standards Code is varied by – </w:t>
      </w:r>
    </w:p>
    <w:p w:rsidR="00E64CEF" w:rsidRPr="000A6D2C" w:rsidRDefault="00E64CEF" w:rsidP="00E64CEF">
      <w:pPr>
        <w:pStyle w:val="Clause"/>
      </w:pPr>
    </w:p>
    <w:p w:rsidR="00E64CEF" w:rsidRPr="000A6D2C" w:rsidRDefault="00E64CEF" w:rsidP="00E64CEF">
      <w:pPr>
        <w:pStyle w:val="Clause"/>
        <w:rPr>
          <w:i/>
        </w:rPr>
      </w:pPr>
      <w:r w:rsidRPr="000A6D2C">
        <w:t>[13.1]</w:t>
      </w:r>
      <w:r w:rsidRPr="000A6D2C">
        <w:tab/>
      </w:r>
      <w:r w:rsidRPr="000A6D2C">
        <w:rPr>
          <w:i/>
        </w:rPr>
        <w:t xml:space="preserve">omitting clause 3, substituting – </w:t>
      </w:r>
    </w:p>
    <w:p w:rsidR="00E64CEF" w:rsidRPr="000A6D2C" w:rsidRDefault="00E64CEF" w:rsidP="00E64CEF">
      <w:pPr>
        <w:pStyle w:val="Clause"/>
        <w:rPr>
          <w:i/>
        </w:rPr>
      </w:pPr>
    </w:p>
    <w:p w:rsidR="00E64CEF" w:rsidRPr="000A6D2C" w:rsidRDefault="00E64CEF" w:rsidP="00E64CEF">
      <w:pPr>
        <w:pStyle w:val="Clauseheading"/>
      </w:pPr>
      <w:r w:rsidRPr="000A6D2C">
        <w:t>3</w:t>
      </w:r>
      <w:r w:rsidRPr="000A6D2C">
        <w:tab/>
        <w:t>Permitted use of additives</w:t>
      </w:r>
    </w:p>
    <w:p w:rsidR="00E64CEF" w:rsidRPr="000A6D2C" w:rsidRDefault="00E64CEF" w:rsidP="00E64CEF">
      <w:pPr>
        <w:pStyle w:val="Subclause"/>
        <w:ind w:firstLine="0"/>
        <w:rPr>
          <w:b/>
        </w:rPr>
      </w:pPr>
    </w:p>
    <w:p w:rsidR="00E64CEF" w:rsidRPr="000A6D2C" w:rsidRDefault="00E64CEF" w:rsidP="00E64CEF">
      <w:pPr>
        <w:pStyle w:val="Subclause"/>
      </w:pPr>
      <w:r w:rsidRPr="000A6D2C">
        <w:t>(1)</w:t>
      </w:r>
      <w:r w:rsidRPr="000A6D2C">
        <w:tab/>
        <w:t xml:space="preserve">The additives listed by name or number in Schedules 1, 2, 3 and 4 may be added to a food or class of food to perform technological functions provided that – </w:t>
      </w:r>
    </w:p>
    <w:p w:rsidR="00E64CEF" w:rsidRPr="000A6D2C" w:rsidRDefault="00E64CEF" w:rsidP="00E64CEF">
      <w:pPr>
        <w:pStyle w:val="Subparagraph"/>
      </w:pPr>
    </w:p>
    <w:p w:rsidR="00E64CEF" w:rsidRPr="000A6D2C" w:rsidRDefault="00E64CEF" w:rsidP="00E64CEF">
      <w:pPr>
        <w:pStyle w:val="Paragraph"/>
      </w:pPr>
      <w:r w:rsidRPr="000A6D2C">
        <w:t>(a)</w:t>
      </w:r>
      <w:r w:rsidRPr="000A6D2C">
        <w:tab/>
        <w:t>the use complies with any restrictions on use listed in Schedule 1; and</w:t>
      </w:r>
    </w:p>
    <w:p w:rsidR="00E64CEF" w:rsidRPr="000A6D2C" w:rsidRDefault="00E64CEF" w:rsidP="00E64CEF">
      <w:pPr>
        <w:pStyle w:val="Paragraph"/>
      </w:pPr>
      <w:r w:rsidRPr="000A6D2C">
        <w:t>(b)</w:t>
      </w:r>
      <w:r w:rsidRPr="000A6D2C">
        <w:tab/>
        <w:t>the proportion of the additive is no more than the maximum level necessary to achieve one or more technological functions under the conditions of Good Manufacturing Practice (GMP).</w:t>
      </w:r>
    </w:p>
    <w:p w:rsidR="00E64CEF" w:rsidRPr="000A6D2C" w:rsidRDefault="00E64CEF" w:rsidP="00E64CEF">
      <w:pPr>
        <w:rPr>
          <w:sz w:val="20"/>
          <w:szCs w:val="20"/>
        </w:rPr>
      </w:pPr>
    </w:p>
    <w:p w:rsidR="00E64CEF" w:rsidRPr="000A6D2C" w:rsidRDefault="00E64CEF" w:rsidP="00E64CEF">
      <w:pPr>
        <w:pStyle w:val="Subclause"/>
      </w:pPr>
      <w:r w:rsidRPr="000A6D2C">
        <w:t>(2)</w:t>
      </w:r>
      <w:r w:rsidRPr="000A6D2C">
        <w:tab/>
        <w:t>The additives in Schedule 2 may be present in processed foods as a result of use in accordance with GMP, except where expressly prohibited in Schedule 1.</w:t>
      </w:r>
    </w:p>
    <w:p w:rsidR="00E64CEF" w:rsidRPr="000A6D2C" w:rsidRDefault="00E64CEF" w:rsidP="00E64CEF">
      <w:pPr>
        <w:pStyle w:val="Subclause"/>
        <w:ind w:left="349" w:firstLine="0"/>
      </w:pPr>
    </w:p>
    <w:p w:rsidR="00E64CEF" w:rsidRPr="000A6D2C" w:rsidRDefault="00E64CEF" w:rsidP="00E64CEF">
      <w:pPr>
        <w:pStyle w:val="Subclause"/>
      </w:pPr>
      <w:r w:rsidRPr="000A6D2C">
        <w:t>(3)</w:t>
      </w:r>
      <w:r w:rsidRPr="000A6D2C">
        <w:tab/>
        <w:t>The colours in Schedule 3 may be present in processed foods as a result of use in accordance with GMP except where expressly prohibited in Schedule 1.</w:t>
      </w:r>
    </w:p>
    <w:p w:rsidR="00E64CEF" w:rsidRPr="000A6D2C" w:rsidRDefault="00E64CEF" w:rsidP="00E64CEF">
      <w:pPr>
        <w:pStyle w:val="ListParagraph"/>
        <w:rPr>
          <w:sz w:val="20"/>
          <w:szCs w:val="20"/>
        </w:rPr>
      </w:pPr>
    </w:p>
    <w:p w:rsidR="00E64CEF" w:rsidRPr="000A6D2C" w:rsidRDefault="00E64CEF" w:rsidP="00E64CEF">
      <w:pPr>
        <w:pStyle w:val="Subclause"/>
      </w:pPr>
      <w:r w:rsidRPr="000A6D2C">
        <w:t>(4)</w:t>
      </w:r>
      <w:r w:rsidRPr="000A6D2C">
        <w:tab/>
        <w:t>The colours in Schedule 4 may be present in processed foods to a combined maximum level of 290 mg/kg in foods, and 70 mg/L in beverages, except where expressly prohibited in Schedule 1.</w:t>
      </w:r>
    </w:p>
    <w:p w:rsidR="00E64CEF" w:rsidRPr="000A6D2C" w:rsidRDefault="00E64CEF" w:rsidP="00E64CEF">
      <w:pPr>
        <w:pStyle w:val="ListParagraph"/>
        <w:rPr>
          <w:sz w:val="20"/>
          <w:szCs w:val="20"/>
        </w:rPr>
      </w:pPr>
    </w:p>
    <w:p w:rsidR="00E64CEF" w:rsidRPr="000A6D2C" w:rsidRDefault="00E64CEF" w:rsidP="00E64CEF">
      <w:pPr>
        <w:pStyle w:val="Clause"/>
        <w:ind w:left="851" w:hanging="851"/>
        <w:rPr>
          <w:i/>
          <w:iCs/>
        </w:rPr>
      </w:pPr>
      <w:r w:rsidRPr="000A6D2C">
        <w:rPr>
          <w:iCs/>
        </w:rPr>
        <w:t>[13.2]</w:t>
      </w:r>
      <w:r w:rsidRPr="000A6D2C">
        <w:rPr>
          <w:iCs/>
        </w:rPr>
        <w:tab/>
      </w:r>
      <w:r w:rsidRPr="000A6D2C">
        <w:rPr>
          <w:i/>
          <w:iCs/>
        </w:rPr>
        <w:t xml:space="preserve">omitting from subclause 6(2) – </w:t>
      </w:r>
    </w:p>
    <w:p w:rsidR="00E64CEF" w:rsidRPr="000A6D2C" w:rsidRDefault="00E64CEF" w:rsidP="00E64CEF">
      <w:pPr>
        <w:rPr>
          <w:sz w:val="20"/>
          <w:szCs w:val="20"/>
        </w:rPr>
      </w:pPr>
    </w:p>
    <w:p w:rsidR="00E64CEF" w:rsidRPr="000A6D2C" w:rsidRDefault="00E64CEF" w:rsidP="00E64CEF">
      <w:pPr>
        <w:pStyle w:val="Subclause"/>
      </w:pPr>
      <w:r w:rsidRPr="000A6D2C">
        <w:t>calculated by:</w:t>
      </w:r>
    </w:p>
    <w:p w:rsidR="00E64CEF" w:rsidRPr="000A6D2C" w:rsidRDefault="00E64CEF" w:rsidP="00E64CEF">
      <w:pPr>
        <w:rPr>
          <w:sz w:val="20"/>
          <w:szCs w:val="20"/>
        </w:rPr>
      </w:pPr>
    </w:p>
    <w:p w:rsidR="00E64CEF" w:rsidRPr="000A6D2C" w:rsidRDefault="00E64CEF" w:rsidP="00E64CEF">
      <w:pPr>
        <w:rPr>
          <w:i/>
          <w:sz w:val="20"/>
          <w:szCs w:val="20"/>
        </w:rPr>
      </w:pPr>
      <w:r w:rsidRPr="000A6D2C">
        <w:rPr>
          <w:i/>
          <w:sz w:val="20"/>
          <w:szCs w:val="20"/>
        </w:rPr>
        <w:t xml:space="preserve">substituting – </w:t>
      </w:r>
    </w:p>
    <w:p w:rsidR="000A6D2C" w:rsidRPr="000A6D2C" w:rsidRDefault="000A6D2C" w:rsidP="00E64CEF">
      <w:pPr>
        <w:rPr>
          <w:i/>
          <w:sz w:val="20"/>
          <w:szCs w:val="20"/>
        </w:rPr>
      </w:pPr>
    </w:p>
    <w:p w:rsidR="00E64CEF" w:rsidRPr="000A6D2C" w:rsidRDefault="00E64CEF" w:rsidP="00E64CEF">
      <w:pPr>
        <w:pStyle w:val="Subclause"/>
      </w:pPr>
      <w:r w:rsidRPr="000A6D2C">
        <w:t xml:space="preserve">calculated by – </w:t>
      </w:r>
    </w:p>
    <w:p w:rsidR="00E64CEF" w:rsidRPr="000A6D2C" w:rsidRDefault="00E64CEF" w:rsidP="00E64CEF">
      <w:pPr>
        <w:pStyle w:val="Clause"/>
        <w:ind w:left="851" w:hanging="851"/>
        <w:rPr>
          <w:iCs/>
        </w:rPr>
      </w:pPr>
    </w:p>
    <w:p w:rsidR="00E64CEF" w:rsidRPr="000A6D2C" w:rsidRDefault="00E64CEF" w:rsidP="00E64CEF">
      <w:pPr>
        <w:pStyle w:val="Clause"/>
        <w:ind w:left="851" w:hanging="851"/>
        <w:rPr>
          <w:i/>
          <w:iCs/>
        </w:rPr>
      </w:pPr>
      <w:r w:rsidRPr="000A6D2C">
        <w:rPr>
          <w:iCs/>
        </w:rPr>
        <w:t>[13.3]</w:t>
      </w:r>
      <w:r w:rsidRPr="000A6D2C">
        <w:rPr>
          <w:iCs/>
        </w:rPr>
        <w:tab/>
      </w:r>
      <w:r w:rsidRPr="000A6D2C">
        <w:rPr>
          <w:i/>
          <w:iCs/>
        </w:rPr>
        <w:t xml:space="preserve">omitting from clause 7 – </w:t>
      </w:r>
    </w:p>
    <w:p w:rsidR="00E64CEF" w:rsidRPr="000A6D2C" w:rsidRDefault="00E64CEF" w:rsidP="00E64CEF">
      <w:pPr>
        <w:rPr>
          <w:sz w:val="20"/>
          <w:szCs w:val="20"/>
        </w:rPr>
      </w:pPr>
    </w:p>
    <w:p w:rsidR="00E64CEF" w:rsidRPr="000A6D2C" w:rsidRDefault="00E64CEF" w:rsidP="00E64CEF">
      <w:pPr>
        <w:pStyle w:val="Clause"/>
      </w:pPr>
      <w:r w:rsidRPr="000A6D2C">
        <w:t>Other than by direct addition, a food</w:t>
      </w:r>
    </w:p>
    <w:p w:rsidR="00E64CEF" w:rsidRPr="000A6D2C" w:rsidRDefault="00E64CEF" w:rsidP="00E64CEF">
      <w:pPr>
        <w:rPr>
          <w:sz w:val="20"/>
          <w:szCs w:val="20"/>
        </w:rPr>
      </w:pPr>
    </w:p>
    <w:p w:rsidR="00E64CEF" w:rsidRPr="000A6D2C" w:rsidRDefault="00E64CEF" w:rsidP="00E35BCD">
      <w:pPr>
        <w:pStyle w:val="Clause"/>
        <w:rPr>
          <w:i/>
        </w:rPr>
      </w:pPr>
      <w:r w:rsidRPr="000A6D2C">
        <w:rPr>
          <w:i/>
        </w:rPr>
        <w:t xml:space="preserve">substituting – </w:t>
      </w:r>
    </w:p>
    <w:p w:rsidR="00E35BCD" w:rsidRPr="000A6D2C" w:rsidRDefault="00E35BCD" w:rsidP="00E64CEF">
      <w:pPr>
        <w:widowControl/>
        <w:rPr>
          <w:i/>
          <w:sz w:val="20"/>
          <w:szCs w:val="20"/>
        </w:rPr>
      </w:pPr>
    </w:p>
    <w:p w:rsidR="00E64CEF" w:rsidRPr="000A6D2C" w:rsidRDefault="00E64CEF" w:rsidP="00E64CEF">
      <w:pPr>
        <w:pStyle w:val="Clause"/>
      </w:pPr>
      <w:r w:rsidRPr="000A6D2C">
        <w:t>A food</w:t>
      </w:r>
    </w:p>
    <w:p w:rsidR="00E64CEF" w:rsidRPr="000A6D2C" w:rsidRDefault="00E64CEF" w:rsidP="00E64CEF">
      <w:pPr>
        <w:rPr>
          <w:sz w:val="20"/>
          <w:szCs w:val="20"/>
        </w:rPr>
      </w:pPr>
    </w:p>
    <w:p w:rsidR="00E64CEF" w:rsidRPr="000A6D2C" w:rsidRDefault="00E64CEF" w:rsidP="00E64CEF">
      <w:pPr>
        <w:pStyle w:val="Clause"/>
        <w:ind w:left="851" w:hanging="851"/>
        <w:rPr>
          <w:i/>
          <w:iCs/>
        </w:rPr>
      </w:pPr>
      <w:r w:rsidRPr="000A6D2C">
        <w:rPr>
          <w:iCs/>
        </w:rPr>
        <w:t>[13.4]</w:t>
      </w:r>
      <w:r w:rsidRPr="000A6D2C">
        <w:rPr>
          <w:iCs/>
        </w:rPr>
        <w:tab/>
      </w:r>
      <w:r w:rsidRPr="000A6D2C">
        <w:rPr>
          <w:i/>
          <w:iCs/>
        </w:rPr>
        <w:t xml:space="preserve">omitting clause 11, substituting – </w:t>
      </w:r>
    </w:p>
    <w:p w:rsidR="00E64CEF" w:rsidRPr="000A6D2C" w:rsidRDefault="00E64CEF" w:rsidP="00E64CEF">
      <w:pPr>
        <w:rPr>
          <w:sz w:val="20"/>
          <w:szCs w:val="20"/>
        </w:rPr>
      </w:pPr>
    </w:p>
    <w:p w:rsidR="00E64CEF" w:rsidRPr="000A6D2C" w:rsidRDefault="00E64CEF" w:rsidP="00E64CEF">
      <w:pPr>
        <w:pStyle w:val="Clause"/>
        <w:rPr>
          <w:b/>
        </w:rPr>
      </w:pPr>
      <w:r w:rsidRPr="000A6D2C">
        <w:rPr>
          <w:b/>
        </w:rPr>
        <w:t>11</w:t>
      </w:r>
      <w:r w:rsidRPr="000A6D2C">
        <w:rPr>
          <w:b/>
        </w:rPr>
        <w:tab/>
        <w:t>Permitted flavouring substances</w:t>
      </w:r>
    </w:p>
    <w:p w:rsidR="00E64CEF" w:rsidRPr="000A6D2C" w:rsidRDefault="00E64CEF" w:rsidP="00E64CEF">
      <w:pPr>
        <w:rPr>
          <w:sz w:val="20"/>
          <w:szCs w:val="20"/>
        </w:rPr>
      </w:pPr>
    </w:p>
    <w:p w:rsidR="00E64CEF" w:rsidRPr="000A6D2C" w:rsidRDefault="00E64CEF" w:rsidP="00E64CEF">
      <w:pPr>
        <w:pStyle w:val="Clause"/>
      </w:pPr>
      <w:r w:rsidRPr="000A6D2C">
        <w:t xml:space="preserve">Permitted flavouring substances, for the purposes of this Standard, are – </w:t>
      </w:r>
    </w:p>
    <w:p w:rsidR="00E64CEF" w:rsidRPr="000A6D2C" w:rsidRDefault="00E64CEF" w:rsidP="00E64CEF">
      <w:pPr>
        <w:rPr>
          <w:sz w:val="20"/>
          <w:szCs w:val="20"/>
        </w:rPr>
      </w:pPr>
    </w:p>
    <w:p w:rsidR="00E64CEF" w:rsidRPr="000A6D2C" w:rsidRDefault="00E64CEF" w:rsidP="00E64CEF">
      <w:pPr>
        <w:pStyle w:val="Paragraph"/>
      </w:pPr>
      <w:r w:rsidRPr="000A6D2C">
        <w:t>(a)</w:t>
      </w:r>
      <w:r w:rsidRPr="000A6D2C">
        <w:tab/>
        <w:t xml:space="preserve">Flavouring substances which are listed in at least one of the following publications – </w:t>
      </w:r>
    </w:p>
    <w:p w:rsidR="00E64CEF" w:rsidRPr="000A6D2C" w:rsidRDefault="00E64CEF" w:rsidP="00E64CEF">
      <w:pPr>
        <w:pStyle w:val="Clause"/>
        <w:rPr>
          <w:iCs/>
        </w:rPr>
      </w:pPr>
    </w:p>
    <w:p w:rsidR="00E64CEF" w:rsidRPr="000A6D2C" w:rsidRDefault="00E64CEF" w:rsidP="00E64CEF">
      <w:pPr>
        <w:pStyle w:val="Subparagraph"/>
        <w:numPr>
          <w:ilvl w:val="0"/>
          <w:numId w:val="11"/>
        </w:numPr>
      </w:pPr>
      <w:r w:rsidRPr="000A6D2C">
        <w:rPr>
          <w:i/>
        </w:rPr>
        <w:t xml:space="preserve">Food Technology, A Publication of the Institute of Food Technologists, </w:t>
      </w:r>
      <w:r w:rsidRPr="000A6D2C">
        <w:t>Generally Recognised as Safe (GRAS) lists of flavouring substances published by the Flavour and Extract Manufacturers’ Association of the United States from 1960 to June 2009; or</w:t>
      </w:r>
    </w:p>
    <w:p w:rsidR="00E64CEF" w:rsidRPr="00EB6677" w:rsidRDefault="00E64CEF" w:rsidP="00E64CEF">
      <w:pPr>
        <w:pStyle w:val="Subparagraph"/>
      </w:pPr>
      <w:r w:rsidRPr="000A6D2C">
        <w:t>(ii)</w:t>
      </w:r>
      <w:r w:rsidRPr="000A6D2C">
        <w:tab/>
        <w:t>Ch</w:t>
      </w:r>
      <w:r>
        <w:t>emically-defined flavouring substances, Council of Europe, November 2000; or</w:t>
      </w:r>
    </w:p>
    <w:p w:rsidR="00E64CEF" w:rsidRDefault="00E64CEF" w:rsidP="00E64CEF">
      <w:pPr>
        <w:pStyle w:val="Subparagraph"/>
      </w:pPr>
      <w:r>
        <w:t>(iii)</w:t>
      </w:r>
      <w:r>
        <w:tab/>
      </w:r>
      <w:r w:rsidRPr="00312A41">
        <w:t>21 CFR § 172.515</w:t>
      </w:r>
      <w:r>
        <w:t>;</w:t>
      </w:r>
      <w:r w:rsidRPr="00312A41">
        <w:t xml:space="preserve"> or</w:t>
      </w:r>
      <w:r>
        <w:t xml:space="preserve"> </w:t>
      </w:r>
    </w:p>
    <w:p w:rsidR="000A6D2C" w:rsidRDefault="000A6D2C" w:rsidP="00E64CEF">
      <w:pPr>
        <w:rPr>
          <w:i/>
          <w:sz w:val="20"/>
          <w:szCs w:val="20"/>
        </w:rPr>
      </w:pPr>
      <w:r>
        <w:rPr>
          <w:i/>
          <w:sz w:val="20"/>
          <w:szCs w:val="20"/>
        </w:rPr>
        <w:br w:type="page"/>
      </w:r>
    </w:p>
    <w:p w:rsidR="00E64CEF" w:rsidRPr="000A6D2C" w:rsidRDefault="00E64CEF" w:rsidP="00E64CEF">
      <w:pPr>
        <w:pStyle w:val="Paragraph"/>
      </w:pPr>
      <w:r w:rsidRPr="000A6D2C">
        <w:lastRenderedPageBreak/>
        <w:t>(b)</w:t>
      </w:r>
      <w:r w:rsidRPr="000A6D2C">
        <w:tab/>
        <w:t xml:space="preserve">Flavouring substances obtained by physical, microbiological, enzymatic, or chemical processes from material of vegetable or animal origin either in its raw state or after processing by traditional preparation process including drying, roasting and fermentation; or </w:t>
      </w:r>
    </w:p>
    <w:p w:rsidR="00E64CEF" w:rsidRPr="000A6D2C" w:rsidRDefault="00E64CEF" w:rsidP="00E64CEF">
      <w:pPr>
        <w:pStyle w:val="Paragraph"/>
      </w:pPr>
    </w:p>
    <w:p w:rsidR="00E64CEF" w:rsidRPr="000A6D2C" w:rsidRDefault="00E64CEF" w:rsidP="00E64CEF">
      <w:pPr>
        <w:pStyle w:val="Paragraph"/>
      </w:pPr>
      <w:r w:rsidRPr="000A6D2C">
        <w:t>(c)</w:t>
      </w:r>
      <w:r w:rsidRPr="000A6D2C">
        <w:tab/>
        <w:t>Flavouring substances obtained by synthetic means which are identical to any of the flavouring substances described in subparagraph (b).</w:t>
      </w:r>
    </w:p>
    <w:p w:rsidR="00E64CEF" w:rsidRPr="000A6D2C" w:rsidRDefault="00E64CEF" w:rsidP="00E64CEF">
      <w:pPr>
        <w:rPr>
          <w:sz w:val="20"/>
          <w:szCs w:val="20"/>
        </w:rPr>
      </w:pPr>
    </w:p>
    <w:p w:rsidR="00E64CEF" w:rsidRPr="000A6D2C" w:rsidRDefault="00E64CEF" w:rsidP="00E64CEF">
      <w:pPr>
        <w:pStyle w:val="Clause"/>
        <w:rPr>
          <w:i/>
        </w:rPr>
      </w:pPr>
      <w:r w:rsidRPr="000A6D2C">
        <w:t>[13.7]</w:t>
      </w:r>
      <w:r w:rsidRPr="000A6D2C">
        <w:tab/>
      </w:r>
      <w:r w:rsidRPr="000A6D2C">
        <w:rPr>
          <w:i/>
        </w:rPr>
        <w:t xml:space="preserve">omitting from </w:t>
      </w:r>
      <w:r w:rsidRPr="000A6D2C">
        <w:t xml:space="preserve">Schedule 1 </w:t>
      </w:r>
      <w:r w:rsidRPr="000A6D2C">
        <w:rPr>
          <w:i/>
        </w:rPr>
        <w:t xml:space="preserve">under item </w:t>
      </w:r>
      <w:r w:rsidRPr="000A6D2C">
        <w:t>0 GENERAL PROVISIONS</w:t>
      </w:r>
      <w:r w:rsidRPr="000A6D2C">
        <w:rPr>
          <w:i/>
        </w:rPr>
        <w:t xml:space="preserve"> – </w:t>
      </w:r>
    </w:p>
    <w:p w:rsidR="00E64CEF" w:rsidRPr="000A6D2C" w:rsidRDefault="00E64CEF" w:rsidP="00E64CEF">
      <w:pPr>
        <w:rPr>
          <w:sz w:val="20"/>
          <w:szCs w:val="20"/>
        </w:rPr>
      </w:pP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E64CEF" w:rsidTr="00A506D2">
        <w:trPr>
          <w:cantSplit/>
        </w:trPr>
        <w:tc>
          <w:tcPr>
            <w:tcW w:w="648" w:type="dxa"/>
          </w:tcPr>
          <w:p w:rsidR="00E64CEF" w:rsidRDefault="00E64CEF" w:rsidP="00A506D2">
            <w:pPr>
              <w:pStyle w:val="Table2"/>
            </w:pPr>
          </w:p>
        </w:tc>
        <w:tc>
          <w:tcPr>
            <w:tcW w:w="1800" w:type="dxa"/>
          </w:tcPr>
          <w:p w:rsidR="00E64CEF" w:rsidRDefault="00E64CEF" w:rsidP="00A506D2">
            <w:pPr>
              <w:pStyle w:val="Table2"/>
            </w:pPr>
          </w:p>
        </w:tc>
        <w:tc>
          <w:tcPr>
            <w:tcW w:w="2905" w:type="dxa"/>
          </w:tcPr>
          <w:p w:rsidR="00E64CEF" w:rsidRDefault="00E64CEF" w:rsidP="00A506D2">
            <w:pPr>
              <w:pStyle w:val="Table1"/>
              <w:rPr>
                <w:i/>
                <w:iCs/>
              </w:rPr>
            </w:pPr>
            <w:r>
              <w:rPr>
                <w:i/>
                <w:iCs/>
              </w:rPr>
              <w:t>Additives in Schedule 2 may be present in processed foods as a result of use in accordance with GMP except where expressly prohibited in this schedule.</w:t>
            </w:r>
          </w:p>
        </w:tc>
        <w:tc>
          <w:tcPr>
            <w:tcW w:w="709" w:type="dxa"/>
          </w:tcPr>
          <w:p w:rsidR="00E64CEF" w:rsidRDefault="00E64CEF" w:rsidP="00A506D2">
            <w:pPr>
              <w:pStyle w:val="Table2"/>
            </w:pPr>
          </w:p>
        </w:tc>
        <w:tc>
          <w:tcPr>
            <w:tcW w:w="709" w:type="dxa"/>
          </w:tcPr>
          <w:p w:rsidR="00E64CEF" w:rsidRDefault="00E64CEF" w:rsidP="00A506D2">
            <w:pPr>
              <w:pStyle w:val="Table2"/>
            </w:pPr>
          </w:p>
        </w:tc>
        <w:tc>
          <w:tcPr>
            <w:tcW w:w="537" w:type="dxa"/>
          </w:tcPr>
          <w:p w:rsidR="00E64CEF" w:rsidRDefault="00E64CEF" w:rsidP="00A506D2">
            <w:pPr>
              <w:pStyle w:val="Table2"/>
            </w:pPr>
          </w:p>
        </w:tc>
        <w:tc>
          <w:tcPr>
            <w:tcW w:w="1928" w:type="dxa"/>
          </w:tcPr>
          <w:p w:rsidR="00E64CEF" w:rsidRDefault="00E64CEF" w:rsidP="00A506D2">
            <w:pPr>
              <w:pStyle w:val="Table2"/>
            </w:pPr>
          </w:p>
        </w:tc>
      </w:tr>
      <w:tr w:rsidR="00E64CEF" w:rsidTr="00A506D2">
        <w:trPr>
          <w:cantSplit/>
        </w:trPr>
        <w:tc>
          <w:tcPr>
            <w:tcW w:w="648" w:type="dxa"/>
          </w:tcPr>
          <w:p w:rsidR="00E64CEF" w:rsidRDefault="00E64CEF" w:rsidP="00A506D2">
            <w:pPr>
              <w:pStyle w:val="Table2"/>
            </w:pPr>
          </w:p>
        </w:tc>
        <w:tc>
          <w:tcPr>
            <w:tcW w:w="1800" w:type="dxa"/>
          </w:tcPr>
          <w:p w:rsidR="00E64CEF" w:rsidRDefault="00E64CEF" w:rsidP="00A506D2">
            <w:pPr>
              <w:pStyle w:val="Table2"/>
            </w:pPr>
          </w:p>
        </w:tc>
        <w:tc>
          <w:tcPr>
            <w:tcW w:w="2905" w:type="dxa"/>
          </w:tcPr>
          <w:p w:rsidR="00E64CEF" w:rsidRDefault="00E64CEF" w:rsidP="00A506D2">
            <w:pPr>
              <w:pStyle w:val="Table1"/>
              <w:rPr>
                <w:i/>
                <w:iCs/>
              </w:rPr>
            </w:pPr>
            <w:r>
              <w:rPr>
                <w:i/>
                <w:iCs/>
              </w:rPr>
              <w:t>Colours in Schedule 3 may be present in processed foods as a result of use in accordance with GMP except where expressly prohibited in this schedule.</w:t>
            </w:r>
          </w:p>
        </w:tc>
        <w:tc>
          <w:tcPr>
            <w:tcW w:w="709" w:type="dxa"/>
          </w:tcPr>
          <w:p w:rsidR="00E64CEF" w:rsidRDefault="00E64CEF" w:rsidP="00A506D2">
            <w:pPr>
              <w:pStyle w:val="Table2"/>
            </w:pPr>
          </w:p>
        </w:tc>
        <w:tc>
          <w:tcPr>
            <w:tcW w:w="709" w:type="dxa"/>
          </w:tcPr>
          <w:p w:rsidR="00E64CEF" w:rsidRDefault="00E64CEF" w:rsidP="00A506D2">
            <w:pPr>
              <w:pStyle w:val="Table2"/>
            </w:pPr>
          </w:p>
        </w:tc>
        <w:tc>
          <w:tcPr>
            <w:tcW w:w="537" w:type="dxa"/>
          </w:tcPr>
          <w:p w:rsidR="00E64CEF" w:rsidRDefault="00E64CEF" w:rsidP="00A506D2">
            <w:pPr>
              <w:pStyle w:val="Table2"/>
            </w:pPr>
          </w:p>
        </w:tc>
        <w:tc>
          <w:tcPr>
            <w:tcW w:w="1928" w:type="dxa"/>
          </w:tcPr>
          <w:p w:rsidR="00E64CEF" w:rsidRDefault="00E64CEF" w:rsidP="00A506D2">
            <w:pPr>
              <w:pStyle w:val="Table2"/>
            </w:pPr>
          </w:p>
        </w:tc>
      </w:tr>
      <w:tr w:rsidR="00E64CEF" w:rsidTr="00A506D2">
        <w:trPr>
          <w:cantSplit/>
        </w:trPr>
        <w:tc>
          <w:tcPr>
            <w:tcW w:w="648" w:type="dxa"/>
          </w:tcPr>
          <w:p w:rsidR="00E64CEF" w:rsidRDefault="00E64CEF" w:rsidP="00A506D2">
            <w:pPr>
              <w:pStyle w:val="Table2"/>
            </w:pPr>
          </w:p>
        </w:tc>
        <w:tc>
          <w:tcPr>
            <w:tcW w:w="1800" w:type="dxa"/>
          </w:tcPr>
          <w:p w:rsidR="00E64CEF" w:rsidRDefault="00E64CEF" w:rsidP="00A506D2">
            <w:pPr>
              <w:pStyle w:val="Table2"/>
              <w:rPr>
                <w:b/>
              </w:rPr>
            </w:pPr>
          </w:p>
        </w:tc>
        <w:tc>
          <w:tcPr>
            <w:tcW w:w="2905" w:type="dxa"/>
          </w:tcPr>
          <w:p w:rsidR="00E64CEF" w:rsidRDefault="00E64CEF" w:rsidP="00A506D2">
            <w:pPr>
              <w:pStyle w:val="Table1"/>
              <w:rPr>
                <w:i/>
                <w:iCs/>
              </w:rPr>
            </w:pPr>
            <w:r>
              <w:rPr>
                <w:i/>
                <w:iCs/>
              </w:rPr>
              <w:t>Colours in Schedule 4 may be present in processed foods to a maximum level of 290 mg/kg in foods other than beverages and 70 mg/L in beverages except where expressly prohibited in this schedule</w:t>
            </w:r>
          </w:p>
        </w:tc>
        <w:tc>
          <w:tcPr>
            <w:tcW w:w="709" w:type="dxa"/>
          </w:tcPr>
          <w:p w:rsidR="00E64CEF" w:rsidRDefault="00E64CEF" w:rsidP="00A506D2">
            <w:pPr>
              <w:pStyle w:val="Table2"/>
            </w:pPr>
          </w:p>
        </w:tc>
        <w:tc>
          <w:tcPr>
            <w:tcW w:w="709" w:type="dxa"/>
          </w:tcPr>
          <w:p w:rsidR="00E64CEF" w:rsidRDefault="00E64CEF" w:rsidP="00A506D2">
            <w:pPr>
              <w:pStyle w:val="Table2"/>
            </w:pPr>
          </w:p>
        </w:tc>
        <w:tc>
          <w:tcPr>
            <w:tcW w:w="537" w:type="dxa"/>
          </w:tcPr>
          <w:p w:rsidR="00E64CEF" w:rsidRDefault="00E64CEF" w:rsidP="00A506D2">
            <w:pPr>
              <w:pStyle w:val="Table2"/>
            </w:pPr>
          </w:p>
        </w:tc>
        <w:tc>
          <w:tcPr>
            <w:tcW w:w="1928" w:type="dxa"/>
          </w:tcPr>
          <w:p w:rsidR="00E64CEF" w:rsidRDefault="00E64CEF" w:rsidP="00A506D2">
            <w:pPr>
              <w:pStyle w:val="Table2"/>
            </w:pPr>
          </w:p>
        </w:tc>
      </w:tr>
      <w:tr w:rsidR="00E64CEF" w:rsidTr="00A506D2">
        <w:trPr>
          <w:cantSplit/>
        </w:trPr>
        <w:tc>
          <w:tcPr>
            <w:tcW w:w="648" w:type="dxa"/>
          </w:tcPr>
          <w:p w:rsidR="00E64CEF" w:rsidRDefault="00E64CEF" w:rsidP="00A506D2">
            <w:pPr>
              <w:pStyle w:val="Table2"/>
            </w:pPr>
          </w:p>
        </w:tc>
        <w:tc>
          <w:tcPr>
            <w:tcW w:w="1800" w:type="dxa"/>
          </w:tcPr>
          <w:p w:rsidR="00E64CEF" w:rsidRDefault="00E64CEF" w:rsidP="00A506D2">
            <w:pPr>
              <w:pStyle w:val="Table2"/>
            </w:pPr>
          </w:p>
        </w:tc>
        <w:tc>
          <w:tcPr>
            <w:tcW w:w="2905" w:type="dxa"/>
          </w:tcPr>
          <w:p w:rsidR="00E64CEF" w:rsidRPr="00A46D0B" w:rsidRDefault="00E64CEF" w:rsidP="00A506D2">
            <w:pPr>
              <w:pStyle w:val="Table1"/>
              <w:rPr>
                <w:i/>
              </w:rPr>
            </w:pPr>
            <w:r w:rsidRPr="00A46D0B">
              <w:rPr>
                <w:i/>
              </w:rPr>
              <w:t>For an explanation and examples of the different food additive classifications in S</w:t>
            </w:r>
            <w:r>
              <w:rPr>
                <w:i/>
              </w:rPr>
              <w:t>chedule 1, please refer to the</w:t>
            </w:r>
            <w:r w:rsidRPr="00A46D0B">
              <w:rPr>
                <w:i/>
              </w:rPr>
              <w:t xml:space="preserve"> user guide to Standard 1.3.1 - Food Additives.</w:t>
            </w:r>
          </w:p>
          <w:p w:rsidR="00E64CEF" w:rsidRDefault="00E64CEF" w:rsidP="00A506D2">
            <w:pPr>
              <w:pStyle w:val="Table1"/>
            </w:pPr>
            <w:r w:rsidRPr="00A46D0B">
              <w:rPr>
                <w:i/>
              </w:rPr>
              <w:t>The asterisk (*) in Schedule 1 indicates that additives in Schedules 2, 3 and 4 are permitted.</w:t>
            </w:r>
          </w:p>
        </w:tc>
        <w:tc>
          <w:tcPr>
            <w:tcW w:w="709" w:type="dxa"/>
          </w:tcPr>
          <w:p w:rsidR="00E64CEF" w:rsidRDefault="00E64CEF" w:rsidP="00A506D2">
            <w:pPr>
              <w:pStyle w:val="Table2"/>
            </w:pPr>
          </w:p>
        </w:tc>
        <w:tc>
          <w:tcPr>
            <w:tcW w:w="709" w:type="dxa"/>
          </w:tcPr>
          <w:p w:rsidR="00E64CEF" w:rsidRDefault="00E64CEF" w:rsidP="00A506D2">
            <w:pPr>
              <w:pStyle w:val="Table2"/>
            </w:pPr>
          </w:p>
        </w:tc>
        <w:tc>
          <w:tcPr>
            <w:tcW w:w="537" w:type="dxa"/>
          </w:tcPr>
          <w:p w:rsidR="00E64CEF" w:rsidRDefault="00E64CEF" w:rsidP="00A506D2">
            <w:pPr>
              <w:pStyle w:val="Table2"/>
            </w:pPr>
          </w:p>
        </w:tc>
        <w:tc>
          <w:tcPr>
            <w:tcW w:w="1928" w:type="dxa"/>
          </w:tcPr>
          <w:p w:rsidR="00E64CEF" w:rsidRDefault="00E64CEF" w:rsidP="00A506D2">
            <w:pPr>
              <w:pStyle w:val="Table2"/>
            </w:pPr>
          </w:p>
        </w:tc>
      </w:tr>
    </w:tbl>
    <w:p w:rsidR="00E64CEF" w:rsidRPr="000A6D2C" w:rsidRDefault="00E64CEF" w:rsidP="00E64CEF">
      <w:pPr>
        <w:rPr>
          <w:sz w:val="20"/>
          <w:szCs w:val="20"/>
        </w:rPr>
      </w:pPr>
    </w:p>
    <w:p w:rsidR="00E64CEF" w:rsidRPr="000A6D2C" w:rsidRDefault="00E64CEF" w:rsidP="00E64CEF">
      <w:pPr>
        <w:pStyle w:val="Clause"/>
        <w:rPr>
          <w:i/>
        </w:rPr>
      </w:pPr>
      <w:r w:rsidRPr="000A6D2C">
        <w:t>[13.8]</w:t>
      </w:r>
      <w:r w:rsidRPr="000A6D2C">
        <w:tab/>
      </w:r>
      <w:r w:rsidRPr="000A6D2C">
        <w:rPr>
          <w:i/>
        </w:rPr>
        <w:t xml:space="preserve">omitting from </w:t>
      </w:r>
      <w:r w:rsidRPr="000A6D2C">
        <w:t>Schedule 1</w:t>
      </w:r>
      <w:r w:rsidRPr="000A6D2C">
        <w:rPr>
          <w:i/>
        </w:rPr>
        <w:t xml:space="preserve"> item </w:t>
      </w:r>
      <w:r w:rsidRPr="000A6D2C">
        <w:t xml:space="preserve">1.1.3 Liquid milk to which phytosterols, phytostanols or their esters have been added, </w:t>
      </w:r>
      <w:r w:rsidRPr="000A6D2C">
        <w:rPr>
          <w:i/>
        </w:rPr>
        <w:t xml:space="preserve">substituting – </w:t>
      </w:r>
    </w:p>
    <w:p w:rsidR="00E64CEF" w:rsidRPr="000A6D2C" w:rsidRDefault="00E64CEF" w:rsidP="00E64CEF">
      <w:pPr>
        <w:rPr>
          <w:i/>
          <w:sz w:val="20"/>
          <w:szCs w:val="20"/>
        </w:rPr>
      </w:pPr>
    </w:p>
    <w:tbl>
      <w:tblPr>
        <w:tblW w:w="9236" w:type="dxa"/>
        <w:tblLook w:val="0000" w:firstRow="0" w:lastRow="0" w:firstColumn="0" w:lastColumn="0" w:noHBand="0" w:noVBand="0"/>
      </w:tblPr>
      <w:tblGrid>
        <w:gridCol w:w="646"/>
        <w:gridCol w:w="1794"/>
        <w:gridCol w:w="2874"/>
        <w:gridCol w:w="720"/>
        <w:gridCol w:w="720"/>
        <w:gridCol w:w="550"/>
        <w:gridCol w:w="1932"/>
      </w:tblGrid>
      <w:tr w:rsidR="00E64CEF" w:rsidRPr="003833B8" w:rsidTr="00A506D2">
        <w:tc>
          <w:tcPr>
            <w:tcW w:w="9236" w:type="dxa"/>
            <w:gridSpan w:val="7"/>
          </w:tcPr>
          <w:p w:rsidR="00E64CEF" w:rsidRPr="001E4726" w:rsidRDefault="00E64CEF" w:rsidP="00A506D2">
            <w:pPr>
              <w:pStyle w:val="131Subitemheading"/>
              <w:rPr>
                <w:rFonts w:cs="Arial"/>
              </w:rPr>
            </w:pPr>
            <w:r w:rsidRPr="001E4726">
              <w:rPr>
                <w:rFonts w:cs="Arial"/>
              </w:rPr>
              <w:t>1.1.3</w:t>
            </w:r>
            <w:r w:rsidRPr="001E4726">
              <w:rPr>
                <w:rFonts w:cs="Arial"/>
              </w:rPr>
              <w:tab/>
              <w:t>Liquid milk to which phytosterols, phytostanols or their esters have been added</w:t>
            </w:r>
          </w:p>
        </w:tc>
      </w:tr>
      <w:tr w:rsidR="00E64CEF" w:rsidTr="00A506D2">
        <w:tc>
          <w:tcPr>
            <w:tcW w:w="646" w:type="dxa"/>
          </w:tcPr>
          <w:p w:rsidR="00E64CEF" w:rsidRPr="00E612B8" w:rsidRDefault="00E64CEF" w:rsidP="00A506D2">
            <w:pPr>
              <w:pStyle w:val="Table2"/>
            </w:pPr>
          </w:p>
        </w:tc>
        <w:tc>
          <w:tcPr>
            <w:tcW w:w="1794" w:type="dxa"/>
          </w:tcPr>
          <w:p w:rsidR="00E64CEF" w:rsidRPr="00E612B8" w:rsidRDefault="00E64CEF" w:rsidP="00A506D2">
            <w:pPr>
              <w:pStyle w:val="Table2"/>
              <w:tabs>
                <w:tab w:val="left" w:pos="2506"/>
              </w:tabs>
            </w:pPr>
            <w:r w:rsidRPr="00E612B8">
              <w:t>401</w:t>
            </w:r>
          </w:p>
        </w:tc>
        <w:tc>
          <w:tcPr>
            <w:tcW w:w="2874" w:type="dxa"/>
          </w:tcPr>
          <w:p w:rsidR="00E64CEF" w:rsidRPr="00E612B8" w:rsidRDefault="00E64CEF" w:rsidP="00A506D2">
            <w:pPr>
              <w:pStyle w:val="Table2"/>
              <w:tabs>
                <w:tab w:val="left" w:pos="2506"/>
              </w:tabs>
            </w:pPr>
            <w:r w:rsidRPr="00E612B8">
              <w:t xml:space="preserve">Sodium alginate </w:t>
            </w:r>
          </w:p>
        </w:tc>
        <w:tc>
          <w:tcPr>
            <w:tcW w:w="720" w:type="dxa"/>
          </w:tcPr>
          <w:p w:rsidR="00E64CEF" w:rsidRPr="00E612B8" w:rsidRDefault="00E64CEF" w:rsidP="00A506D2">
            <w:pPr>
              <w:pStyle w:val="Table2"/>
              <w:tabs>
                <w:tab w:val="left" w:pos="2506"/>
              </w:tabs>
            </w:pPr>
            <w:r w:rsidRPr="00E612B8">
              <w:t>2</w:t>
            </w:r>
            <w:r>
              <w:t>000</w:t>
            </w:r>
          </w:p>
        </w:tc>
        <w:tc>
          <w:tcPr>
            <w:tcW w:w="720" w:type="dxa"/>
          </w:tcPr>
          <w:p w:rsidR="00E64CEF" w:rsidRPr="00E612B8" w:rsidRDefault="00E64CEF" w:rsidP="00A506D2">
            <w:pPr>
              <w:pStyle w:val="Table2"/>
              <w:tabs>
                <w:tab w:val="left" w:pos="2506"/>
              </w:tabs>
            </w:pPr>
            <w:r>
              <w:t>m</w:t>
            </w:r>
            <w:r w:rsidRPr="00E612B8">
              <w:t>g/kg</w:t>
            </w:r>
          </w:p>
        </w:tc>
        <w:tc>
          <w:tcPr>
            <w:tcW w:w="550" w:type="dxa"/>
          </w:tcPr>
          <w:p w:rsidR="00E64CEF" w:rsidRPr="00E612B8" w:rsidRDefault="00E64CEF" w:rsidP="00A506D2">
            <w:pPr>
              <w:pStyle w:val="Table2"/>
              <w:tabs>
                <w:tab w:val="left" w:pos="2506"/>
              </w:tabs>
            </w:pPr>
          </w:p>
        </w:tc>
        <w:tc>
          <w:tcPr>
            <w:tcW w:w="1932" w:type="dxa"/>
          </w:tcPr>
          <w:p w:rsidR="00E64CEF" w:rsidRDefault="00E64CEF" w:rsidP="00A506D2">
            <w:pPr>
              <w:pStyle w:val="Clauseheading"/>
              <w:tabs>
                <w:tab w:val="left" w:pos="2506"/>
              </w:tabs>
              <w:rPr>
                <w:sz w:val="18"/>
              </w:rPr>
            </w:pPr>
          </w:p>
        </w:tc>
      </w:tr>
      <w:tr w:rsidR="00E64CEF" w:rsidTr="00A506D2">
        <w:tc>
          <w:tcPr>
            <w:tcW w:w="646" w:type="dxa"/>
          </w:tcPr>
          <w:p w:rsidR="00E64CEF" w:rsidRPr="00E612B8" w:rsidRDefault="00E64CEF" w:rsidP="00A506D2">
            <w:pPr>
              <w:pStyle w:val="Table2"/>
            </w:pPr>
          </w:p>
        </w:tc>
        <w:tc>
          <w:tcPr>
            <w:tcW w:w="1794" w:type="dxa"/>
          </w:tcPr>
          <w:p w:rsidR="00E64CEF" w:rsidRPr="00E612B8" w:rsidRDefault="00E64CEF" w:rsidP="00A506D2">
            <w:pPr>
              <w:pStyle w:val="Table2"/>
              <w:tabs>
                <w:tab w:val="left" w:pos="2506"/>
              </w:tabs>
            </w:pPr>
            <w:r w:rsidRPr="00E612B8">
              <w:t>407</w:t>
            </w:r>
          </w:p>
        </w:tc>
        <w:tc>
          <w:tcPr>
            <w:tcW w:w="2874" w:type="dxa"/>
          </w:tcPr>
          <w:p w:rsidR="00E64CEF" w:rsidRPr="00E612B8" w:rsidRDefault="00E64CEF" w:rsidP="00A506D2">
            <w:pPr>
              <w:pStyle w:val="Table2"/>
              <w:tabs>
                <w:tab w:val="left" w:pos="2506"/>
              </w:tabs>
            </w:pPr>
            <w:r w:rsidRPr="00E612B8">
              <w:t>Carrageenan</w:t>
            </w:r>
          </w:p>
        </w:tc>
        <w:tc>
          <w:tcPr>
            <w:tcW w:w="720" w:type="dxa"/>
          </w:tcPr>
          <w:p w:rsidR="00E64CEF" w:rsidRPr="00E612B8" w:rsidRDefault="00E64CEF" w:rsidP="00A506D2">
            <w:pPr>
              <w:pStyle w:val="Table2"/>
              <w:tabs>
                <w:tab w:val="left" w:pos="2506"/>
              </w:tabs>
            </w:pPr>
            <w:r w:rsidRPr="00E612B8">
              <w:t>2</w:t>
            </w:r>
            <w:r>
              <w:t>000</w:t>
            </w:r>
          </w:p>
        </w:tc>
        <w:tc>
          <w:tcPr>
            <w:tcW w:w="720" w:type="dxa"/>
          </w:tcPr>
          <w:p w:rsidR="00E64CEF" w:rsidRPr="00E612B8" w:rsidRDefault="00E64CEF" w:rsidP="00A506D2">
            <w:pPr>
              <w:pStyle w:val="Table2"/>
              <w:tabs>
                <w:tab w:val="left" w:pos="2506"/>
              </w:tabs>
            </w:pPr>
            <w:r>
              <w:t>m</w:t>
            </w:r>
            <w:r w:rsidRPr="00E612B8">
              <w:t>g/kg</w:t>
            </w:r>
          </w:p>
        </w:tc>
        <w:tc>
          <w:tcPr>
            <w:tcW w:w="550" w:type="dxa"/>
          </w:tcPr>
          <w:p w:rsidR="00E64CEF" w:rsidRPr="00E612B8" w:rsidRDefault="00E64CEF" w:rsidP="00A506D2">
            <w:pPr>
              <w:pStyle w:val="Table2"/>
              <w:tabs>
                <w:tab w:val="left" w:pos="2506"/>
              </w:tabs>
            </w:pPr>
          </w:p>
        </w:tc>
        <w:tc>
          <w:tcPr>
            <w:tcW w:w="1932" w:type="dxa"/>
          </w:tcPr>
          <w:p w:rsidR="00E64CEF" w:rsidRDefault="00E64CEF" w:rsidP="00A506D2">
            <w:pPr>
              <w:pStyle w:val="Clauseheading"/>
              <w:tabs>
                <w:tab w:val="left" w:pos="2506"/>
              </w:tabs>
              <w:rPr>
                <w:sz w:val="18"/>
              </w:rPr>
            </w:pPr>
          </w:p>
        </w:tc>
      </w:tr>
      <w:tr w:rsidR="00E64CEF" w:rsidTr="00A506D2">
        <w:tc>
          <w:tcPr>
            <w:tcW w:w="646" w:type="dxa"/>
          </w:tcPr>
          <w:p w:rsidR="00E64CEF" w:rsidRPr="00E612B8" w:rsidRDefault="00E64CEF" w:rsidP="00A506D2">
            <w:pPr>
              <w:pStyle w:val="Table2"/>
            </w:pPr>
          </w:p>
        </w:tc>
        <w:tc>
          <w:tcPr>
            <w:tcW w:w="1794" w:type="dxa"/>
          </w:tcPr>
          <w:p w:rsidR="00E64CEF" w:rsidRPr="00E612B8" w:rsidRDefault="00E64CEF" w:rsidP="00A506D2">
            <w:pPr>
              <w:pStyle w:val="Table2"/>
              <w:tabs>
                <w:tab w:val="left" w:pos="2506"/>
              </w:tabs>
            </w:pPr>
            <w:r w:rsidRPr="00E612B8">
              <w:t xml:space="preserve">412  </w:t>
            </w:r>
          </w:p>
        </w:tc>
        <w:tc>
          <w:tcPr>
            <w:tcW w:w="2874" w:type="dxa"/>
          </w:tcPr>
          <w:p w:rsidR="00E64CEF" w:rsidRPr="00E612B8" w:rsidRDefault="00E64CEF" w:rsidP="00A506D2">
            <w:pPr>
              <w:pStyle w:val="Table2"/>
              <w:tabs>
                <w:tab w:val="left" w:pos="2506"/>
              </w:tabs>
            </w:pPr>
            <w:r w:rsidRPr="00E612B8">
              <w:t>Guar gum</w:t>
            </w:r>
          </w:p>
        </w:tc>
        <w:tc>
          <w:tcPr>
            <w:tcW w:w="720" w:type="dxa"/>
          </w:tcPr>
          <w:p w:rsidR="00E64CEF" w:rsidRPr="00E612B8" w:rsidRDefault="00E64CEF" w:rsidP="00A506D2">
            <w:pPr>
              <w:pStyle w:val="Table2"/>
              <w:tabs>
                <w:tab w:val="left" w:pos="2506"/>
              </w:tabs>
            </w:pPr>
            <w:r w:rsidRPr="00E612B8">
              <w:t>2</w:t>
            </w:r>
            <w:r>
              <w:t>000</w:t>
            </w:r>
          </w:p>
        </w:tc>
        <w:tc>
          <w:tcPr>
            <w:tcW w:w="720" w:type="dxa"/>
          </w:tcPr>
          <w:p w:rsidR="00E64CEF" w:rsidRPr="00E612B8" w:rsidRDefault="00E64CEF" w:rsidP="00A506D2">
            <w:pPr>
              <w:pStyle w:val="Table2"/>
              <w:tabs>
                <w:tab w:val="left" w:pos="2506"/>
              </w:tabs>
            </w:pPr>
            <w:r>
              <w:t>m</w:t>
            </w:r>
            <w:r w:rsidRPr="00E612B8">
              <w:t>g/kg</w:t>
            </w:r>
          </w:p>
        </w:tc>
        <w:tc>
          <w:tcPr>
            <w:tcW w:w="550" w:type="dxa"/>
          </w:tcPr>
          <w:p w:rsidR="00E64CEF" w:rsidRPr="00E612B8" w:rsidRDefault="00E64CEF" w:rsidP="00A506D2">
            <w:pPr>
              <w:pStyle w:val="Table2"/>
              <w:tabs>
                <w:tab w:val="left" w:pos="2506"/>
              </w:tabs>
            </w:pPr>
          </w:p>
        </w:tc>
        <w:tc>
          <w:tcPr>
            <w:tcW w:w="1932" w:type="dxa"/>
          </w:tcPr>
          <w:p w:rsidR="00E64CEF" w:rsidRDefault="00E64CEF" w:rsidP="00A506D2">
            <w:pPr>
              <w:pStyle w:val="Clauseheading"/>
              <w:tabs>
                <w:tab w:val="left" w:pos="2506"/>
              </w:tabs>
              <w:rPr>
                <w:sz w:val="18"/>
              </w:rPr>
            </w:pPr>
          </w:p>
        </w:tc>
      </w:tr>
      <w:tr w:rsidR="00E64CEF" w:rsidTr="00A506D2">
        <w:tc>
          <w:tcPr>
            <w:tcW w:w="646" w:type="dxa"/>
          </w:tcPr>
          <w:p w:rsidR="00E64CEF" w:rsidRPr="00E612B8" w:rsidRDefault="00E64CEF" w:rsidP="00A506D2">
            <w:pPr>
              <w:pStyle w:val="Table2"/>
            </w:pPr>
          </w:p>
        </w:tc>
        <w:tc>
          <w:tcPr>
            <w:tcW w:w="1794" w:type="dxa"/>
          </w:tcPr>
          <w:p w:rsidR="00E64CEF" w:rsidRPr="00E612B8" w:rsidRDefault="00E64CEF" w:rsidP="00A506D2">
            <w:pPr>
              <w:pStyle w:val="Table2"/>
              <w:tabs>
                <w:tab w:val="left" w:pos="2506"/>
              </w:tabs>
            </w:pPr>
            <w:r w:rsidRPr="00E612B8">
              <w:t>471</w:t>
            </w:r>
          </w:p>
        </w:tc>
        <w:tc>
          <w:tcPr>
            <w:tcW w:w="2874" w:type="dxa"/>
          </w:tcPr>
          <w:p w:rsidR="00E64CEF" w:rsidRPr="00E612B8" w:rsidRDefault="00E64CEF" w:rsidP="00A506D2">
            <w:pPr>
              <w:pStyle w:val="Table2"/>
              <w:tabs>
                <w:tab w:val="left" w:pos="2506"/>
              </w:tabs>
            </w:pPr>
            <w:r w:rsidRPr="00E612B8">
              <w:t>Mono- and diglycerides of fatty acids</w:t>
            </w:r>
          </w:p>
        </w:tc>
        <w:tc>
          <w:tcPr>
            <w:tcW w:w="720" w:type="dxa"/>
          </w:tcPr>
          <w:p w:rsidR="00E64CEF" w:rsidRPr="00E612B8" w:rsidRDefault="00E64CEF" w:rsidP="00A506D2">
            <w:pPr>
              <w:pStyle w:val="Table2"/>
              <w:tabs>
                <w:tab w:val="left" w:pos="2506"/>
              </w:tabs>
            </w:pPr>
            <w:r w:rsidRPr="00E612B8">
              <w:t>2</w:t>
            </w:r>
            <w:r>
              <w:t>000</w:t>
            </w:r>
          </w:p>
        </w:tc>
        <w:tc>
          <w:tcPr>
            <w:tcW w:w="720" w:type="dxa"/>
          </w:tcPr>
          <w:p w:rsidR="00E64CEF" w:rsidRPr="00E612B8" w:rsidRDefault="00E64CEF" w:rsidP="00A506D2">
            <w:pPr>
              <w:pStyle w:val="Table2"/>
              <w:tabs>
                <w:tab w:val="left" w:pos="2506"/>
              </w:tabs>
            </w:pPr>
            <w:r>
              <w:t>m</w:t>
            </w:r>
            <w:r w:rsidRPr="00E612B8">
              <w:t>g/kg</w:t>
            </w:r>
          </w:p>
        </w:tc>
        <w:tc>
          <w:tcPr>
            <w:tcW w:w="550" w:type="dxa"/>
          </w:tcPr>
          <w:p w:rsidR="00E64CEF" w:rsidRPr="00E612B8" w:rsidRDefault="00E64CEF" w:rsidP="00A506D2">
            <w:pPr>
              <w:pStyle w:val="Table2"/>
              <w:tabs>
                <w:tab w:val="left" w:pos="2506"/>
              </w:tabs>
            </w:pPr>
          </w:p>
        </w:tc>
        <w:tc>
          <w:tcPr>
            <w:tcW w:w="1932" w:type="dxa"/>
          </w:tcPr>
          <w:p w:rsidR="00E64CEF" w:rsidRDefault="00E64CEF" w:rsidP="00A506D2">
            <w:pPr>
              <w:pStyle w:val="Clauseheading"/>
              <w:tabs>
                <w:tab w:val="left" w:pos="2506"/>
              </w:tabs>
              <w:rPr>
                <w:sz w:val="18"/>
              </w:rPr>
            </w:pPr>
          </w:p>
        </w:tc>
      </w:tr>
      <w:tr w:rsidR="00E64CEF" w:rsidTr="00A506D2">
        <w:tc>
          <w:tcPr>
            <w:tcW w:w="646" w:type="dxa"/>
          </w:tcPr>
          <w:p w:rsidR="00E64CEF" w:rsidRPr="00E612B8" w:rsidRDefault="00E64CEF" w:rsidP="00A506D2">
            <w:pPr>
              <w:pStyle w:val="Table2"/>
            </w:pPr>
          </w:p>
        </w:tc>
        <w:tc>
          <w:tcPr>
            <w:tcW w:w="1794" w:type="dxa"/>
          </w:tcPr>
          <w:p w:rsidR="00E64CEF" w:rsidRPr="00E612B8" w:rsidRDefault="00E64CEF" w:rsidP="00A506D2">
            <w:pPr>
              <w:pStyle w:val="Table2"/>
              <w:tabs>
                <w:tab w:val="left" w:pos="2506"/>
              </w:tabs>
            </w:pPr>
            <w:r w:rsidRPr="00E612B8">
              <w:t>460</w:t>
            </w:r>
          </w:p>
        </w:tc>
        <w:tc>
          <w:tcPr>
            <w:tcW w:w="2874" w:type="dxa"/>
          </w:tcPr>
          <w:p w:rsidR="00E64CEF" w:rsidRPr="00E612B8" w:rsidRDefault="00E64CEF" w:rsidP="00A506D2">
            <w:pPr>
              <w:pStyle w:val="Table2"/>
              <w:tabs>
                <w:tab w:val="left" w:pos="2506"/>
              </w:tabs>
            </w:pPr>
            <w:r w:rsidRPr="00E612B8">
              <w:t>Microcrystalline cellulose</w:t>
            </w:r>
          </w:p>
        </w:tc>
        <w:tc>
          <w:tcPr>
            <w:tcW w:w="720" w:type="dxa"/>
          </w:tcPr>
          <w:p w:rsidR="00E64CEF" w:rsidRPr="00B832F0" w:rsidRDefault="00E64CEF" w:rsidP="00A506D2">
            <w:pPr>
              <w:pStyle w:val="Table2"/>
              <w:tabs>
                <w:tab w:val="left" w:pos="2506"/>
              </w:tabs>
              <w:rPr>
                <w:bCs w:val="0"/>
              </w:rPr>
            </w:pPr>
            <w:r w:rsidRPr="00B832F0">
              <w:rPr>
                <w:bCs w:val="0"/>
              </w:rPr>
              <w:t>5</w:t>
            </w:r>
            <w:r>
              <w:rPr>
                <w:bCs w:val="0"/>
              </w:rPr>
              <w:t>000</w:t>
            </w:r>
          </w:p>
        </w:tc>
        <w:tc>
          <w:tcPr>
            <w:tcW w:w="720" w:type="dxa"/>
          </w:tcPr>
          <w:p w:rsidR="00E64CEF" w:rsidRPr="00B832F0" w:rsidRDefault="00E64CEF" w:rsidP="00A506D2">
            <w:pPr>
              <w:pStyle w:val="Table2"/>
              <w:tabs>
                <w:tab w:val="left" w:pos="2506"/>
              </w:tabs>
              <w:rPr>
                <w:bCs w:val="0"/>
              </w:rPr>
            </w:pPr>
            <w:r>
              <w:rPr>
                <w:bCs w:val="0"/>
              </w:rPr>
              <w:t>m</w:t>
            </w:r>
            <w:r w:rsidRPr="00B832F0">
              <w:rPr>
                <w:bCs w:val="0"/>
              </w:rPr>
              <w:t>g/kg</w:t>
            </w:r>
          </w:p>
        </w:tc>
        <w:tc>
          <w:tcPr>
            <w:tcW w:w="550" w:type="dxa"/>
          </w:tcPr>
          <w:p w:rsidR="00E64CEF" w:rsidRPr="00E612B8" w:rsidRDefault="00E64CEF" w:rsidP="00A506D2">
            <w:pPr>
              <w:pStyle w:val="Table2"/>
              <w:tabs>
                <w:tab w:val="left" w:pos="2506"/>
              </w:tabs>
            </w:pPr>
          </w:p>
        </w:tc>
        <w:tc>
          <w:tcPr>
            <w:tcW w:w="1932" w:type="dxa"/>
          </w:tcPr>
          <w:p w:rsidR="00E64CEF" w:rsidRDefault="00E64CEF" w:rsidP="00A506D2">
            <w:pPr>
              <w:pStyle w:val="Clauseheading"/>
              <w:tabs>
                <w:tab w:val="left" w:pos="2506"/>
              </w:tabs>
              <w:rPr>
                <w:sz w:val="18"/>
              </w:rPr>
            </w:pPr>
          </w:p>
        </w:tc>
      </w:tr>
    </w:tbl>
    <w:p w:rsidR="00E64CEF" w:rsidRDefault="00E64CEF" w:rsidP="00E64CEF">
      <w:pPr>
        <w:pStyle w:val="Clause"/>
      </w:pPr>
    </w:p>
    <w:p w:rsidR="00E64CEF" w:rsidRDefault="00E64CEF" w:rsidP="00E64CEF">
      <w:pPr>
        <w:pStyle w:val="Clause"/>
        <w:rPr>
          <w:i/>
        </w:rPr>
      </w:pPr>
      <w:r>
        <w:t>[13.9]</w:t>
      </w:r>
      <w:r>
        <w:tab/>
      </w:r>
      <w:r>
        <w:rPr>
          <w:i/>
        </w:rPr>
        <w:t xml:space="preserve">omitting from </w:t>
      </w:r>
      <w:r w:rsidRPr="00603C70">
        <w:t>Schedule 1</w:t>
      </w:r>
      <w:r>
        <w:rPr>
          <w:i/>
        </w:rPr>
        <w:t xml:space="preserve"> from the heading for item </w:t>
      </w:r>
      <w:r w:rsidRPr="00D66CAD">
        <w:t>1.4.2</w:t>
      </w:r>
      <w:r>
        <w:rPr>
          <w:i/>
        </w:rPr>
        <w:t xml:space="preserve"> </w:t>
      </w:r>
      <w:r>
        <w:t>Cream products (flavoured, whipped, thickened, sour cream etc.)</w:t>
      </w:r>
      <w:r>
        <w:rPr>
          <w:i/>
        </w:rPr>
        <w:t xml:space="preserve"> – </w:t>
      </w:r>
    </w:p>
    <w:p w:rsidR="00E64CEF" w:rsidRDefault="00E64CEF" w:rsidP="00E64CEF">
      <w:pPr>
        <w:rPr>
          <w:i/>
        </w:rPr>
      </w:pPr>
    </w:p>
    <w:p w:rsidR="00E64CEF" w:rsidRPr="001E4726" w:rsidRDefault="00E64CEF" w:rsidP="00E64CEF">
      <w:pPr>
        <w:pStyle w:val="131Subitemheading"/>
        <w:spacing w:after="0"/>
        <w:rPr>
          <w:rFonts w:cs="Arial"/>
        </w:rPr>
      </w:pPr>
      <w:r w:rsidRPr="001E4726">
        <w:rPr>
          <w:rFonts w:cs="Arial"/>
        </w:rPr>
        <w:t>sour cream etc.</w:t>
      </w:r>
    </w:p>
    <w:p w:rsidR="00E64CEF" w:rsidRPr="001E4726" w:rsidRDefault="00E64CEF" w:rsidP="00E64CEF">
      <w:pPr>
        <w:rPr>
          <w:rFonts w:cs="Arial"/>
        </w:rPr>
      </w:pPr>
    </w:p>
    <w:p w:rsidR="00E64CEF" w:rsidRPr="001E4726" w:rsidRDefault="00E64CEF" w:rsidP="00E64CEF">
      <w:pPr>
        <w:rPr>
          <w:rFonts w:cs="Arial"/>
          <w:i/>
        </w:rPr>
      </w:pPr>
      <w:r w:rsidRPr="001E4726">
        <w:rPr>
          <w:rFonts w:cs="Arial"/>
          <w:i/>
        </w:rPr>
        <w:t xml:space="preserve">substituting – </w:t>
      </w:r>
    </w:p>
    <w:p w:rsidR="00E64CEF" w:rsidRPr="001E4726" w:rsidRDefault="00E64CEF" w:rsidP="00E64CEF">
      <w:pPr>
        <w:rPr>
          <w:rFonts w:cs="Arial"/>
          <w:i/>
        </w:rPr>
      </w:pPr>
    </w:p>
    <w:p w:rsidR="00E64CEF" w:rsidRPr="001E4726" w:rsidRDefault="00E64CEF" w:rsidP="00E64CEF">
      <w:pPr>
        <w:pStyle w:val="131Subitemheading"/>
        <w:spacing w:after="0"/>
        <w:rPr>
          <w:rFonts w:cs="Arial"/>
        </w:rPr>
      </w:pPr>
      <w:r w:rsidRPr="001E4726">
        <w:rPr>
          <w:rFonts w:cs="Arial"/>
        </w:rPr>
        <w:t>sour cream etc</w:t>
      </w:r>
    </w:p>
    <w:p w:rsidR="000A6D2C" w:rsidRDefault="000A6D2C" w:rsidP="00E64CEF">
      <w:pPr>
        <w:rPr>
          <w:rFonts w:cs="Arial"/>
        </w:rPr>
      </w:pPr>
      <w:r>
        <w:rPr>
          <w:rFonts w:cs="Arial"/>
        </w:rPr>
        <w:br w:type="page"/>
      </w:r>
    </w:p>
    <w:p w:rsidR="00E64CEF" w:rsidRPr="000A6D2C" w:rsidRDefault="00E64CEF" w:rsidP="00E64CEF">
      <w:pPr>
        <w:pStyle w:val="Clause"/>
        <w:rPr>
          <w:rFonts w:cs="Arial"/>
        </w:rPr>
      </w:pPr>
      <w:r w:rsidRPr="001E4726">
        <w:rPr>
          <w:rFonts w:cs="Arial"/>
        </w:rPr>
        <w:lastRenderedPageBreak/>
        <w:t>[</w:t>
      </w:r>
      <w:r w:rsidRPr="000A6D2C">
        <w:rPr>
          <w:rFonts w:cs="Arial"/>
        </w:rPr>
        <w:t>13.10]</w:t>
      </w:r>
      <w:r w:rsidRPr="000A6D2C">
        <w:rPr>
          <w:rFonts w:cs="Arial"/>
        </w:rPr>
        <w:tab/>
      </w:r>
      <w:r w:rsidRPr="000A6D2C">
        <w:rPr>
          <w:rFonts w:cs="Arial"/>
          <w:i/>
        </w:rPr>
        <w:t xml:space="preserve">omitting from </w:t>
      </w:r>
      <w:r w:rsidRPr="000A6D2C">
        <w:rPr>
          <w:rFonts w:cs="Arial"/>
        </w:rPr>
        <w:t xml:space="preserve">Schedule 1 </w:t>
      </w:r>
      <w:r w:rsidRPr="000A6D2C">
        <w:rPr>
          <w:rFonts w:cs="Arial"/>
          <w:i/>
        </w:rPr>
        <w:t xml:space="preserve">from the heading for item </w:t>
      </w:r>
      <w:r w:rsidRPr="000A6D2C">
        <w:rPr>
          <w:rFonts w:cs="Arial"/>
        </w:rPr>
        <w:t xml:space="preserve">4.1.3 Peeled and/or cut fruits and vegetables – </w:t>
      </w:r>
    </w:p>
    <w:p w:rsidR="00E64CEF" w:rsidRPr="000A6D2C" w:rsidRDefault="00E64CEF" w:rsidP="00E64CEF">
      <w:pPr>
        <w:rPr>
          <w:rFonts w:cs="Arial"/>
          <w:sz w:val="20"/>
          <w:szCs w:val="20"/>
        </w:rPr>
      </w:pPr>
    </w:p>
    <w:p w:rsidR="00E64CEF" w:rsidRPr="000A6D2C" w:rsidRDefault="00E64CEF" w:rsidP="00E64CEF">
      <w:pPr>
        <w:pStyle w:val="131Subitemheading"/>
        <w:spacing w:after="0"/>
        <w:rPr>
          <w:rFonts w:cs="Arial"/>
          <w:b w:val="0"/>
          <w:bCs/>
          <w:sz w:val="20"/>
        </w:rPr>
      </w:pPr>
      <w:r w:rsidRPr="000A6D2C">
        <w:rPr>
          <w:rFonts w:cs="Arial"/>
          <w:b w:val="0"/>
          <w:bCs/>
          <w:sz w:val="20"/>
        </w:rPr>
        <w:t>and/or</w:t>
      </w:r>
    </w:p>
    <w:p w:rsidR="00E64CEF" w:rsidRPr="000A6D2C" w:rsidRDefault="00E64CEF" w:rsidP="00E64CEF">
      <w:pPr>
        <w:pStyle w:val="Table2"/>
        <w:rPr>
          <w:rFonts w:cs="Arial"/>
          <w:sz w:val="20"/>
        </w:rPr>
      </w:pPr>
    </w:p>
    <w:p w:rsidR="00E64CEF" w:rsidRPr="000A6D2C" w:rsidRDefault="00E64CEF" w:rsidP="00E64CEF">
      <w:pPr>
        <w:pStyle w:val="Clause"/>
        <w:rPr>
          <w:rFonts w:cs="Arial"/>
          <w:i/>
        </w:rPr>
      </w:pPr>
      <w:r w:rsidRPr="000A6D2C">
        <w:rPr>
          <w:rFonts w:cs="Arial"/>
          <w:i/>
        </w:rPr>
        <w:t xml:space="preserve">substituting – </w:t>
      </w:r>
    </w:p>
    <w:p w:rsidR="00E64CEF" w:rsidRPr="000A6D2C" w:rsidRDefault="00E64CEF" w:rsidP="00E64CEF">
      <w:pPr>
        <w:rPr>
          <w:rFonts w:cs="Arial"/>
          <w:sz w:val="20"/>
          <w:szCs w:val="20"/>
        </w:rPr>
      </w:pPr>
    </w:p>
    <w:p w:rsidR="00E64CEF" w:rsidRPr="000A6D2C" w:rsidRDefault="00E64CEF" w:rsidP="00E64CEF">
      <w:pPr>
        <w:pStyle w:val="131Subitemheading"/>
        <w:spacing w:after="0"/>
        <w:rPr>
          <w:rFonts w:cs="Arial"/>
          <w:bCs/>
          <w:sz w:val="20"/>
        </w:rPr>
      </w:pPr>
      <w:r w:rsidRPr="000A6D2C">
        <w:rPr>
          <w:rFonts w:cs="Arial"/>
          <w:bCs/>
          <w:sz w:val="20"/>
        </w:rPr>
        <w:t>or</w:t>
      </w:r>
    </w:p>
    <w:p w:rsidR="00E64CEF" w:rsidRPr="000A6D2C" w:rsidRDefault="00E64CEF" w:rsidP="00E64CEF">
      <w:pPr>
        <w:pStyle w:val="Table2"/>
        <w:rPr>
          <w:sz w:val="20"/>
        </w:rPr>
      </w:pPr>
    </w:p>
    <w:p w:rsidR="00E64CEF" w:rsidRPr="000A6D2C" w:rsidRDefault="00E64CEF" w:rsidP="00E64CEF">
      <w:pPr>
        <w:pStyle w:val="Clause"/>
      </w:pPr>
      <w:r w:rsidRPr="000A6D2C">
        <w:t>[13.11]</w:t>
      </w:r>
      <w:r w:rsidRPr="000A6D2C">
        <w:tab/>
      </w:r>
      <w:r w:rsidRPr="000A6D2C">
        <w:rPr>
          <w:i/>
        </w:rPr>
        <w:t xml:space="preserve">omitting from </w:t>
      </w:r>
      <w:r w:rsidRPr="000A6D2C">
        <w:t>Schedule 1</w:t>
      </w:r>
      <w:r w:rsidRPr="000A6D2C">
        <w:rPr>
          <w:i/>
        </w:rPr>
        <w:t xml:space="preserve"> under item </w:t>
      </w:r>
      <w:r w:rsidRPr="000A6D2C">
        <w:t>6.4</w:t>
      </w:r>
      <w:r w:rsidRPr="000A6D2C">
        <w:rPr>
          <w:i/>
        </w:rPr>
        <w:t xml:space="preserve"> </w:t>
      </w:r>
      <w:r w:rsidRPr="000A6D2C">
        <w:t xml:space="preserve">Flour products (including noodles and pasta)*, </w:t>
      </w:r>
      <w:r w:rsidRPr="000A6D2C">
        <w:rPr>
          <w:i/>
        </w:rPr>
        <w:t>the entries –</w:t>
      </w:r>
      <w:r w:rsidRPr="000A6D2C">
        <w:t xml:space="preserve"> </w:t>
      </w:r>
    </w:p>
    <w:p w:rsidR="00E64CEF" w:rsidRPr="000A6D2C" w:rsidRDefault="00E64CEF" w:rsidP="00E64CEF">
      <w:pPr>
        <w:rPr>
          <w:sz w:val="20"/>
          <w:szCs w:val="20"/>
        </w:rPr>
      </w:pPr>
    </w:p>
    <w:tbl>
      <w:tblPr>
        <w:tblW w:w="9236" w:type="dxa"/>
        <w:tblLook w:val="0000" w:firstRow="0" w:lastRow="0" w:firstColumn="0" w:lastColumn="0" w:noHBand="0" w:noVBand="0"/>
      </w:tblPr>
      <w:tblGrid>
        <w:gridCol w:w="648"/>
        <w:gridCol w:w="1800"/>
        <w:gridCol w:w="2897"/>
        <w:gridCol w:w="711"/>
        <w:gridCol w:w="712"/>
        <w:gridCol w:w="540"/>
        <w:gridCol w:w="1928"/>
      </w:tblGrid>
      <w:tr w:rsidR="00E64CEF" w:rsidTr="00A506D2">
        <w:trPr>
          <w:cantSplit/>
        </w:trPr>
        <w:tc>
          <w:tcPr>
            <w:tcW w:w="648" w:type="dxa"/>
          </w:tcPr>
          <w:p w:rsidR="00E64CEF" w:rsidRPr="00687C84" w:rsidRDefault="00E64CEF" w:rsidP="00A506D2">
            <w:pPr>
              <w:pStyle w:val="Table2"/>
              <w:ind w:left="0" w:firstLine="0"/>
            </w:pPr>
            <w:r>
              <w:rPr>
                <w:bCs w:val="0"/>
                <w:sz w:val="24"/>
                <w:szCs w:val="24"/>
                <w:lang w:val="en-AU"/>
              </w:rPr>
              <w:br w:type="page"/>
            </w:r>
            <w:r>
              <w:rPr>
                <w:bCs w:val="0"/>
                <w:sz w:val="24"/>
                <w:szCs w:val="24"/>
                <w:lang w:val="en-AU"/>
              </w:rPr>
              <w:br w:type="page"/>
            </w:r>
          </w:p>
        </w:tc>
        <w:tc>
          <w:tcPr>
            <w:tcW w:w="1800" w:type="dxa"/>
          </w:tcPr>
          <w:p w:rsidR="00E64CEF" w:rsidRPr="00687C84" w:rsidRDefault="00E64CEF" w:rsidP="00A506D2">
            <w:pPr>
              <w:pStyle w:val="Table2"/>
              <w:tabs>
                <w:tab w:val="left" w:pos="2506"/>
              </w:tabs>
            </w:pPr>
            <w:r w:rsidRPr="00687C84">
              <w:t>234</w:t>
            </w:r>
          </w:p>
        </w:tc>
        <w:tc>
          <w:tcPr>
            <w:tcW w:w="2897" w:type="dxa"/>
          </w:tcPr>
          <w:p w:rsidR="00E64CEF" w:rsidRPr="00687C84" w:rsidRDefault="00E64CEF" w:rsidP="00A506D2">
            <w:pPr>
              <w:pStyle w:val="Table2"/>
              <w:tabs>
                <w:tab w:val="center" w:pos="1340"/>
              </w:tabs>
            </w:pPr>
            <w:r w:rsidRPr="00687C84">
              <w:t>Nisin</w:t>
            </w:r>
          </w:p>
        </w:tc>
        <w:tc>
          <w:tcPr>
            <w:tcW w:w="711" w:type="dxa"/>
          </w:tcPr>
          <w:p w:rsidR="00E64CEF" w:rsidRPr="00687C84" w:rsidRDefault="00E64CEF" w:rsidP="00A506D2">
            <w:pPr>
              <w:pStyle w:val="Table2"/>
              <w:tabs>
                <w:tab w:val="left" w:pos="2506"/>
              </w:tabs>
            </w:pPr>
            <w:r w:rsidRPr="00687C84">
              <w:t>250</w:t>
            </w:r>
          </w:p>
        </w:tc>
        <w:tc>
          <w:tcPr>
            <w:tcW w:w="712" w:type="dxa"/>
          </w:tcPr>
          <w:p w:rsidR="00E64CEF" w:rsidRDefault="00E64CEF" w:rsidP="00A506D2">
            <w:pPr>
              <w:pStyle w:val="Table2"/>
              <w:tabs>
                <w:tab w:val="left" w:pos="2506"/>
              </w:tabs>
            </w:pPr>
            <w:r>
              <w:t>mg/kg</w:t>
            </w:r>
          </w:p>
        </w:tc>
        <w:tc>
          <w:tcPr>
            <w:tcW w:w="540" w:type="dxa"/>
          </w:tcPr>
          <w:p w:rsidR="00E64CEF" w:rsidRDefault="00E64CEF" w:rsidP="00A506D2">
            <w:pPr>
              <w:pStyle w:val="Table2"/>
              <w:tabs>
                <w:tab w:val="left" w:pos="2506"/>
              </w:tabs>
            </w:pPr>
          </w:p>
        </w:tc>
        <w:tc>
          <w:tcPr>
            <w:tcW w:w="1928" w:type="dxa"/>
          </w:tcPr>
          <w:p w:rsidR="00E64CEF" w:rsidRDefault="00E64CEF" w:rsidP="00A506D2">
            <w:pPr>
              <w:pStyle w:val="Table2"/>
              <w:tabs>
                <w:tab w:val="left" w:pos="2506"/>
              </w:tabs>
            </w:pPr>
            <w:r>
              <w:t>Flour products that are cooked on hot plates only e.g. crumpets, pikelets, flapjacks, etc.</w:t>
            </w:r>
          </w:p>
        </w:tc>
      </w:tr>
      <w:tr w:rsidR="00E64CEF" w:rsidRPr="00BB532E" w:rsidTr="00A506D2">
        <w:trPr>
          <w:cantSplit/>
        </w:trPr>
        <w:tc>
          <w:tcPr>
            <w:tcW w:w="648" w:type="dxa"/>
          </w:tcPr>
          <w:p w:rsidR="00E64CEF" w:rsidRPr="00E8351E" w:rsidRDefault="00E64CEF" w:rsidP="00A506D2">
            <w:pPr>
              <w:pStyle w:val="Table2"/>
              <w:ind w:left="0" w:firstLine="0"/>
              <w:rPr>
                <w:bCs w:val="0"/>
                <w:sz w:val="24"/>
                <w:szCs w:val="24"/>
                <w:lang w:val="en-AU"/>
              </w:rPr>
            </w:pPr>
          </w:p>
        </w:tc>
        <w:tc>
          <w:tcPr>
            <w:tcW w:w="1800" w:type="dxa"/>
          </w:tcPr>
          <w:p w:rsidR="00E64CEF" w:rsidRPr="00F03A82" w:rsidRDefault="00E64CEF" w:rsidP="00A506D2">
            <w:pPr>
              <w:pStyle w:val="Table2"/>
              <w:tabs>
                <w:tab w:val="left" w:pos="2506"/>
              </w:tabs>
            </w:pPr>
            <w:r w:rsidRPr="00F03A82">
              <w:t>243</w:t>
            </w:r>
          </w:p>
        </w:tc>
        <w:tc>
          <w:tcPr>
            <w:tcW w:w="2897" w:type="dxa"/>
          </w:tcPr>
          <w:p w:rsidR="00E64CEF" w:rsidRPr="00F03A82" w:rsidRDefault="00E64CEF" w:rsidP="00A506D2">
            <w:pPr>
              <w:pStyle w:val="Table2"/>
              <w:tabs>
                <w:tab w:val="center" w:pos="1340"/>
              </w:tabs>
            </w:pPr>
            <w:r w:rsidRPr="00F03A82">
              <w:t>Ethyl lauroyl arginate</w:t>
            </w:r>
          </w:p>
        </w:tc>
        <w:tc>
          <w:tcPr>
            <w:tcW w:w="711" w:type="dxa"/>
          </w:tcPr>
          <w:p w:rsidR="00E64CEF" w:rsidRPr="00F03A82" w:rsidRDefault="00E64CEF" w:rsidP="00A506D2">
            <w:pPr>
              <w:pStyle w:val="Table2"/>
              <w:tabs>
                <w:tab w:val="left" w:pos="2506"/>
              </w:tabs>
            </w:pPr>
            <w:r w:rsidRPr="00F03A82">
              <w:t>200</w:t>
            </w:r>
          </w:p>
        </w:tc>
        <w:tc>
          <w:tcPr>
            <w:tcW w:w="712" w:type="dxa"/>
          </w:tcPr>
          <w:p w:rsidR="00E64CEF" w:rsidRPr="00E8351E" w:rsidRDefault="00E64CEF" w:rsidP="00A506D2">
            <w:pPr>
              <w:pStyle w:val="Table2"/>
              <w:tabs>
                <w:tab w:val="left" w:pos="2506"/>
              </w:tabs>
            </w:pPr>
            <w:r w:rsidRPr="00E8351E">
              <w:t>mg/kg</w:t>
            </w:r>
          </w:p>
        </w:tc>
        <w:tc>
          <w:tcPr>
            <w:tcW w:w="540" w:type="dxa"/>
          </w:tcPr>
          <w:p w:rsidR="00E64CEF" w:rsidRPr="00E8351E" w:rsidRDefault="00E64CEF" w:rsidP="00A506D2">
            <w:pPr>
              <w:pStyle w:val="Table2"/>
              <w:tabs>
                <w:tab w:val="left" w:pos="2506"/>
              </w:tabs>
            </w:pPr>
          </w:p>
        </w:tc>
        <w:tc>
          <w:tcPr>
            <w:tcW w:w="1928" w:type="dxa"/>
          </w:tcPr>
          <w:p w:rsidR="00E64CEF" w:rsidRPr="00E8351E" w:rsidRDefault="00E64CEF" w:rsidP="00A506D2">
            <w:pPr>
              <w:pStyle w:val="Table2"/>
              <w:tabs>
                <w:tab w:val="left" w:pos="2506"/>
              </w:tabs>
            </w:pPr>
            <w:r w:rsidRPr="00E8351E">
              <w:t>cooked pasta and noodles only</w:t>
            </w:r>
          </w:p>
        </w:tc>
      </w:tr>
    </w:tbl>
    <w:p w:rsidR="00E64CEF" w:rsidRDefault="00E64CEF" w:rsidP="00E64CEF"/>
    <w:p w:rsidR="00E64CEF" w:rsidRDefault="00E64CEF" w:rsidP="00E35BCD">
      <w:pPr>
        <w:pStyle w:val="Clause"/>
      </w:pPr>
      <w:r w:rsidRPr="00E35BCD">
        <w:rPr>
          <w:i/>
        </w:rPr>
        <w:t>substituting</w:t>
      </w:r>
      <w:r>
        <w:t xml:space="preserve"> – </w:t>
      </w:r>
    </w:p>
    <w:p w:rsidR="00E35BCD" w:rsidRDefault="00E35BCD" w:rsidP="00E64CEF">
      <w:pPr>
        <w:widowControl/>
        <w:rPr>
          <w:i/>
        </w:rPr>
      </w:pPr>
    </w:p>
    <w:tbl>
      <w:tblPr>
        <w:tblW w:w="9236" w:type="dxa"/>
        <w:tblLook w:val="0000" w:firstRow="0" w:lastRow="0" w:firstColumn="0" w:lastColumn="0" w:noHBand="0" w:noVBand="0"/>
      </w:tblPr>
      <w:tblGrid>
        <w:gridCol w:w="648"/>
        <w:gridCol w:w="1800"/>
        <w:gridCol w:w="2897"/>
        <w:gridCol w:w="711"/>
        <w:gridCol w:w="712"/>
        <w:gridCol w:w="540"/>
        <w:gridCol w:w="1928"/>
      </w:tblGrid>
      <w:tr w:rsidR="00E64CEF" w:rsidTr="00A506D2">
        <w:trPr>
          <w:cantSplit/>
        </w:trPr>
        <w:tc>
          <w:tcPr>
            <w:tcW w:w="648" w:type="dxa"/>
          </w:tcPr>
          <w:p w:rsidR="00E64CEF" w:rsidRPr="00687C84" w:rsidRDefault="00E64CEF" w:rsidP="00A506D2">
            <w:pPr>
              <w:pStyle w:val="Table2"/>
              <w:ind w:left="0" w:firstLine="0"/>
            </w:pPr>
            <w:r>
              <w:rPr>
                <w:bCs w:val="0"/>
                <w:sz w:val="24"/>
                <w:szCs w:val="24"/>
                <w:lang w:val="en-AU"/>
              </w:rPr>
              <w:br w:type="page"/>
            </w:r>
            <w:r>
              <w:rPr>
                <w:bCs w:val="0"/>
                <w:sz w:val="24"/>
                <w:szCs w:val="24"/>
                <w:lang w:val="en-AU"/>
              </w:rPr>
              <w:br w:type="page"/>
            </w:r>
          </w:p>
        </w:tc>
        <w:tc>
          <w:tcPr>
            <w:tcW w:w="1800" w:type="dxa"/>
          </w:tcPr>
          <w:p w:rsidR="00E64CEF" w:rsidRPr="00687C84" w:rsidRDefault="00E64CEF" w:rsidP="00A506D2">
            <w:pPr>
              <w:pStyle w:val="Table2"/>
              <w:tabs>
                <w:tab w:val="left" w:pos="2506"/>
              </w:tabs>
            </w:pPr>
            <w:r w:rsidRPr="00687C84">
              <w:t>234</w:t>
            </w:r>
          </w:p>
        </w:tc>
        <w:tc>
          <w:tcPr>
            <w:tcW w:w="2897" w:type="dxa"/>
          </w:tcPr>
          <w:p w:rsidR="00E64CEF" w:rsidRPr="00687C84" w:rsidRDefault="00E64CEF" w:rsidP="00A506D2">
            <w:pPr>
              <w:pStyle w:val="Table2"/>
              <w:tabs>
                <w:tab w:val="center" w:pos="1340"/>
              </w:tabs>
            </w:pPr>
            <w:r w:rsidRPr="00687C84">
              <w:t>Nisin</w:t>
            </w:r>
          </w:p>
        </w:tc>
        <w:tc>
          <w:tcPr>
            <w:tcW w:w="711" w:type="dxa"/>
          </w:tcPr>
          <w:p w:rsidR="00E64CEF" w:rsidRPr="00687C84" w:rsidRDefault="00E64CEF" w:rsidP="00A506D2">
            <w:pPr>
              <w:pStyle w:val="Table2"/>
              <w:tabs>
                <w:tab w:val="left" w:pos="2506"/>
              </w:tabs>
            </w:pPr>
            <w:r w:rsidRPr="00687C84">
              <w:t>250</w:t>
            </w:r>
          </w:p>
        </w:tc>
        <w:tc>
          <w:tcPr>
            <w:tcW w:w="712" w:type="dxa"/>
          </w:tcPr>
          <w:p w:rsidR="00E64CEF" w:rsidRDefault="00E64CEF" w:rsidP="00A506D2">
            <w:pPr>
              <w:pStyle w:val="Table2"/>
              <w:tabs>
                <w:tab w:val="left" w:pos="2506"/>
              </w:tabs>
            </w:pPr>
            <w:r>
              <w:t>mg/kg</w:t>
            </w:r>
          </w:p>
        </w:tc>
        <w:tc>
          <w:tcPr>
            <w:tcW w:w="540" w:type="dxa"/>
          </w:tcPr>
          <w:p w:rsidR="00E64CEF" w:rsidRDefault="00E64CEF" w:rsidP="00A506D2">
            <w:pPr>
              <w:pStyle w:val="Table2"/>
              <w:tabs>
                <w:tab w:val="left" w:pos="2506"/>
              </w:tabs>
            </w:pPr>
          </w:p>
        </w:tc>
        <w:tc>
          <w:tcPr>
            <w:tcW w:w="1928" w:type="dxa"/>
          </w:tcPr>
          <w:p w:rsidR="00E64CEF" w:rsidRDefault="00E64CEF" w:rsidP="00A506D2">
            <w:pPr>
              <w:pStyle w:val="Table2"/>
              <w:tabs>
                <w:tab w:val="left" w:pos="2506"/>
              </w:tabs>
            </w:pPr>
            <w:r>
              <w:t>Flour products that are cooked on hot plates only e.g. crumpets, pikelets, and flapjacks.</w:t>
            </w:r>
          </w:p>
        </w:tc>
      </w:tr>
      <w:tr w:rsidR="00E64CEF" w:rsidRPr="00E8351E" w:rsidTr="00A506D2">
        <w:trPr>
          <w:cantSplit/>
        </w:trPr>
        <w:tc>
          <w:tcPr>
            <w:tcW w:w="648" w:type="dxa"/>
          </w:tcPr>
          <w:p w:rsidR="00E64CEF" w:rsidRPr="00E8351E" w:rsidRDefault="00E64CEF" w:rsidP="00A506D2">
            <w:pPr>
              <w:pStyle w:val="Table2"/>
              <w:ind w:left="0" w:firstLine="0"/>
              <w:rPr>
                <w:bCs w:val="0"/>
                <w:sz w:val="24"/>
                <w:szCs w:val="24"/>
                <w:lang w:val="en-AU"/>
              </w:rPr>
            </w:pPr>
          </w:p>
        </w:tc>
        <w:tc>
          <w:tcPr>
            <w:tcW w:w="1800" w:type="dxa"/>
          </w:tcPr>
          <w:p w:rsidR="00E64CEF" w:rsidRPr="00F03A82" w:rsidRDefault="00E64CEF" w:rsidP="00A506D2">
            <w:pPr>
              <w:pStyle w:val="Table2"/>
              <w:tabs>
                <w:tab w:val="left" w:pos="2506"/>
              </w:tabs>
            </w:pPr>
            <w:r w:rsidRPr="00F03A82">
              <w:t>243</w:t>
            </w:r>
          </w:p>
        </w:tc>
        <w:tc>
          <w:tcPr>
            <w:tcW w:w="2897" w:type="dxa"/>
          </w:tcPr>
          <w:p w:rsidR="00E64CEF" w:rsidRPr="00F03A82" w:rsidRDefault="00E64CEF" w:rsidP="00A506D2">
            <w:pPr>
              <w:pStyle w:val="Table2"/>
              <w:tabs>
                <w:tab w:val="center" w:pos="1340"/>
              </w:tabs>
            </w:pPr>
            <w:r w:rsidRPr="00F03A82">
              <w:t>Ethyl lauroyl arginate</w:t>
            </w:r>
          </w:p>
        </w:tc>
        <w:tc>
          <w:tcPr>
            <w:tcW w:w="711" w:type="dxa"/>
          </w:tcPr>
          <w:p w:rsidR="00E64CEF" w:rsidRPr="00F03A82" w:rsidRDefault="00E64CEF" w:rsidP="00A506D2">
            <w:pPr>
              <w:pStyle w:val="Table2"/>
              <w:tabs>
                <w:tab w:val="left" w:pos="2506"/>
              </w:tabs>
            </w:pPr>
            <w:r w:rsidRPr="00F03A82">
              <w:t>200</w:t>
            </w:r>
          </w:p>
        </w:tc>
        <w:tc>
          <w:tcPr>
            <w:tcW w:w="712" w:type="dxa"/>
          </w:tcPr>
          <w:p w:rsidR="00E64CEF" w:rsidRPr="00E8351E" w:rsidRDefault="00E64CEF" w:rsidP="00A506D2">
            <w:pPr>
              <w:pStyle w:val="Table2"/>
              <w:tabs>
                <w:tab w:val="left" w:pos="2506"/>
              </w:tabs>
            </w:pPr>
            <w:r w:rsidRPr="00E8351E">
              <w:t>mg/kg</w:t>
            </w:r>
          </w:p>
        </w:tc>
        <w:tc>
          <w:tcPr>
            <w:tcW w:w="540" w:type="dxa"/>
          </w:tcPr>
          <w:p w:rsidR="00E64CEF" w:rsidRPr="00E8351E" w:rsidRDefault="00E64CEF" w:rsidP="00A506D2">
            <w:pPr>
              <w:pStyle w:val="Table2"/>
              <w:tabs>
                <w:tab w:val="left" w:pos="2506"/>
              </w:tabs>
            </w:pPr>
          </w:p>
        </w:tc>
        <w:tc>
          <w:tcPr>
            <w:tcW w:w="1928" w:type="dxa"/>
          </w:tcPr>
          <w:p w:rsidR="00E64CEF" w:rsidRPr="00E8351E" w:rsidRDefault="00E64CEF" w:rsidP="00A506D2">
            <w:pPr>
              <w:pStyle w:val="Table2"/>
              <w:tabs>
                <w:tab w:val="left" w:pos="2506"/>
              </w:tabs>
            </w:pPr>
            <w:r>
              <w:t>C</w:t>
            </w:r>
            <w:r w:rsidRPr="00E8351E">
              <w:t>ooked pasta and noodles only</w:t>
            </w:r>
          </w:p>
        </w:tc>
      </w:tr>
    </w:tbl>
    <w:p w:rsidR="000A6D2C" w:rsidRPr="000A6D2C" w:rsidRDefault="000A6D2C" w:rsidP="00E64CEF">
      <w:pPr>
        <w:rPr>
          <w:sz w:val="20"/>
          <w:szCs w:val="20"/>
        </w:rPr>
      </w:pPr>
    </w:p>
    <w:p w:rsidR="00E64CEF" w:rsidRPr="000A6D2C" w:rsidRDefault="00E64CEF" w:rsidP="00E64CEF">
      <w:pPr>
        <w:pStyle w:val="Clause"/>
      </w:pPr>
      <w:r w:rsidRPr="000A6D2C">
        <w:t>[13.12]</w:t>
      </w:r>
      <w:r w:rsidRPr="000A6D2C">
        <w:tab/>
      </w:r>
      <w:r w:rsidRPr="000A6D2C">
        <w:rPr>
          <w:i/>
        </w:rPr>
        <w:t xml:space="preserve">omitting from </w:t>
      </w:r>
      <w:r w:rsidRPr="000A6D2C">
        <w:t xml:space="preserve">Schedule 1 </w:t>
      </w:r>
      <w:r w:rsidRPr="000A6D2C">
        <w:rPr>
          <w:i/>
        </w:rPr>
        <w:t xml:space="preserve">wherever appearing in item </w:t>
      </w:r>
      <w:r w:rsidRPr="000A6D2C">
        <w:t xml:space="preserve">10.4 Dried and/or heat coagulated egg products, </w:t>
      </w:r>
      <w:r w:rsidRPr="000A6D2C">
        <w:rPr>
          <w:i/>
        </w:rPr>
        <w:t xml:space="preserve">the words </w:t>
      </w:r>
      <w:r w:rsidRPr="000A6D2C">
        <w:t xml:space="preserve">and/or, </w:t>
      </w:r>
      <w:r w:rsidRPr="000A6D2C">
        <w:rPr>
          <w:i/>
        </w:rPr>
        <w:t xml:space="preserve">substituting </w:t>
      </w:r>
      <w:r w:rsidRPr="000A6D2C">
        <w:t>or</w:t>
      </w:r>
    </w:p>
    <w:p w:rsidR="00E64CEF" w:rsidRPr="000A6D2C" w:rsidRDefault="00E64CEF" w:rsidP="00E64CEF">
      <w:pPr>
        <w:rPr>
          <w:b/>
          <w:sz w:val="20"/>
          <w:szCs w:val="20"/>
        </w:rPr>
      </w:pPr>
    </w:p>
    <w:p w:rsidR="00E64CEF" w:rsidRPr="000A6D2C" w:rsidRDefault="00E64CEF" w:rsidP="00E64CEF">
      <w:pPr>
        <w:rPr>
          <w:sz w:val="20"/>
          <w:szCs w:val="20"/>
        </w:rPr>
      </w:pPr>
      <w:r w:rsidRPr="000A6D2C">
        <w:rPr>
          <w:sz w:val="20"/>
          <w:szCs w:val="20"/>
        </w:rPr>
        <w:t>[13.13]</w:t>
      </w:r>
      <w:r w:rsidRPr="000A6D2C">
        <w:rPr>
          <w:sz w:val="20"/>
          <w:szCs w:val="20"/>
        </w:rPr>
        <w:tab/>
      </w:r>
      <w:r w:rsidRPr="000A6D2C">
        <w:rPr>
          <w:i/>
          <w:sz w:val="20"/>
          <w:szCs w:val="20"/>
        </w:rPr>
        <w:t xml:space="preserve">omitting from </w:t>
      </w:r>
      <w:r w:rsidRPr="000A6D2C">
        <w:rPr>
          <w:sz w:val="20"/>
          <w:szCs w:val="20"/>
        </w:rPr>
        <w:t xml:space="preserve">Schedule 1 </w:t>
      </w:r>
      <w:r w:rsidRPr="000A6D2C">
        <w:rPr>
          <w:i/>
          <w:sz w:val="20"/>
          <w:szCs w:val="20"/>
        </w:rPr>
        <w:t xml:space="preserve">from the heading for item </w:t>
      </w:r>
      <w:r w:rsidRPr="000A6D2C">
        <w:rPr>
          <w:sz w:val="20"/>
          <w:szCs w:val="20"/>
        </w:rPr>
        <w:t xml:space="preserve">14.2 Alcoholic beverages (including no and low alcohol) – </w:t>
      </w:r>
    </w:p>
    <w:p w:rsidR="00E64CEF" w:rsidRPr="000A6D2C" w:rsidRDefault="00E64CEF" w:rsidP="00E64CEF">
      <w:pPr>
        <w:rPr>
          <w:sz w:val="20"/>
          <w:szCs w:val="20"/>
        </w:rPr>
      </w:pPr>
    </w:p>
    <w:p w:rsidR="00E64CEF" w:rsidRPr="000A6D2C" w:rsidRDefault="00E64CEF" w:rsidP="00E64CEF">
      <w:pPr>
        <w:pStyle w:val="131Subitemheading"/>
        <w:spacing w:after="0"/>
        <w:rPr>
          <w:rFonts w:cs="Arial"/>
          <w:b w:val="0"/>
          <w:bCs/>
          <w:sz w:val="20"/>
        </w:rPr>
      </w:pPr>
      <w:r w:rsidRPr="000A6D2C">
        <w:rPr>
          <w:rFonts w:cs="Arial"/>
          <w:b w:val="0"/>
          <w:bCs/>
          <w:sz w:val="20"/>
        </w:rPr>
        <w:t>(including no and low alcohol)</w:t>
      </w:r>
    </w:p>
    <w:p w:rsidR="00E64CEF" w:rsidRPr="000A6D2C" w:rsidRDefault="00E64CEF" w:rsidP="00E64CEF">
      <w:pPr>
        <w:rPr>
          <w:rFonts w:cs="Arial"/>
          <w:b/>
          <w:sz w:val="20"/>
          <w:szCs w:val="20"/>
        </w:rPr>
      </w:pPr>
    </w:p>
    <w:p w:rsidR="00E64CEF" w:rsidRPr="000A6D2C" w:rsidRDefault="00E64CEF" w:rsidP="00E64CEF">
      <w:pPr>
        <w:pStyle w:val="Clause"/>
        <w:rPr>
          <w:rFonts w:cs="Arial"/>
          <w:i/>
          <w:iCs/>
        </w:rPr>
      </w:pPr>
      <w:r w:rsidRPr="000A6D2C">
        <w:rPr>
          <w:rFonts w:cs="Arial"/>
          <w:i/>
          <w:iCs/>
        </w:rPr>
        <w:t xml:space="preserve">substituting – </w:t>
      </w:r>
    </w:p>
    <w:p w:rsidR="00E64CEF" w:rsidRPr="000A6D2C" w:rsidRDefault="00E64CEF" w:rsidP="00E64CEF">
      <w:pPr>
        <w:rPr>
          <w:rFonts w:cs="Arial"/>
          <w:i/>
          <w:sz w:val="20"/>
          <w:szCs w:val="20"/>
        </w:rPr>
      </w:pPr>
    </w:p>
    <w:p w:rsidR="00E64CEF" w:rsidRPr="000A6D2C" w:rsidRDefault="00E64CEF" w:rsidP="00E64CEF">
      <w:pPr>
        <w:pStyle w:val="131Subitemheading"/>
        <w:spacing w:after="0"/>
        <w:rPr>
          <w:rFonts w:cs="Arial"/>
          <w:b w:val="0"/>
          <w:sz w:val="20"/>
        </w:rPr>
      </w:pPr>
      <w:r w:rsidRPr="000A6D2C">
        <w:rPr>
          <w:rFonts w:cs="Arial"/>
          <w:b w:val="0"/>
          <w:sz w:val="20"/>
        </w:rPr>
        <w:t>(including alcoholic beverages that have had the alcohol reduced or removed)</w:t>
      </w:r>
    </w:p>
    <w:p w:rsidR="00E64CEF" w:rsidRPr="000A6D2C" w:rsidRDefault="00E64CEF" w:rsidP="00E64CEF">
      <w:pPr>
        <w:rPr>
          <w:rFonts w:cs="Arial"/>
          <w:sz w:val="20"/>
          <w:szCs w:val="20"/>
        </w:rPr>
      </w:pPr>
    </w:p>
    <w:p w:rsidR="00E64CEF" w:rsidRPr="000A6D2C" w:rsidRDefault="00E64CEF" w:rsidP="00E64CEF">
      <w:pPr>
        <w:pStyle w:val="Clause"/>
        <w:rPr>
          <w:rFonts w:cs="Arial"/>
        </w:rPr>
      </w:pPr>
      <w:r w:rsidRPr="000A6D2C">
        <w:rPr>
          <w:rFonts w:cs="Arial"/>
        </w:rPr>
        <w:t>[13.14]</w:t>
      </w:r>
      <w:r w:rsidRPr="000A6D2C">
        <w:rPr>
          <w:rFonts w:cs="Arial"/>
        </w:rPr>
        <w:tab/>
      </w:r>
      <w:r w:rsidRPr="000A6D2C">
        <w:rPr>
          <w:rFonts w:cs="Arial"/>
          <w:i/>
        </w:rPr>
        <w:t xml:space="preserve">omitting from </w:t>
      </w:r>
      <w:r w:rsidRPr="000A6D2C">
        <w:rPr>
          <w:rFonts w:cs="Arial"/>
        </w:rPr>
        <w:t xml:space="preserve">Schedule 1 </w:t>
      </w:r>
      <w:r w:rsidRPr="000A6D2C">
        <w:rPr>
          <w:rFonts w:cs="Arial"/>
          <w:i/>
        </w:rPr>
        <w:t>the heading</w:t>
      </w:r>
      <w:r w:rsidRPr="000A6D2C">
        <w:rPr>
          <w:rFonts w:cs="Arial"/>
        </w:rPr>
        <w:t xml:space="preserve"> </w:t>
      </w:r>
      <w:r w:rsidRPr="000A6D2C">
        <w:rPr>
          <w:rFonts w:cs="Arial"/>
          <w:i/>
        </w:rPr>
        <w:t xml:space="preserve">under item 20.2 </w:t>
      </w:r>
      <w:r w:rsidRPr="000A6D2C">
        <w:rPr>
          <w:rFonts w:cs="Arial"/>
        </w:rPr>
        <w:t xml:space="preserve">Food other than beverages* </w:t>
      </w:r>
      <w:r w:rsidRPr="000A6D2C">
        <w:rPr>
          <w:rFonts w:cs="Arial"/>
          <w:i/>
        </w:rPr>
        <w:t xml:space="preserve">- </w:t>
      </w:r>
    </w:p>
    <w:p w:rsidR="00E64CEF" w:rsidRPr="000A6D2C" w:rsidRDefault="00E64CEF" w:rsidP="00E64CEF">
      <w:pPr>
        <w:rPr>
          <w:rFonts w:cs="Arial"/>
          <w:sz w:val="20"/>
          <w:szCs w:val="20"/>
        </w:rPr>
      </w:pPr>
    </w:p>
    <w:p w:rsidR="00E64CEF" w:rsidRPr="000A6D2C" w:rsidRDefault="00E64CEF" w:rsidP="00E64CEF">
      <w:pPr>
        <w:pStyle w:val="131Subitemheading"/>
        <w:spacing w:after="0"/>
        <w:rPr>
          <w:rFonts w:cs="Arial"/>
          <w:b w:val="0"/>
          <w:bCs/>
          <w:sz w:val="20"/>
        </w:rPr>
      </w:pPr>
      <w:r w:rsidRPr="000A6D2C">
        <w:rPr>
          <w:rFonts w:cs="Arial"/>
          <w:b w:val="0"/>
          <w:bCs/>
          <w:sz w:val="20"/>
        </w:rPr>
        <w:t>soup bases (made up as directed)</w:t>
      </w:r>
    </w:p>
    <w:p w:rsidR="00E64CEF" w:rsidRPr="000A6D2C" w:rsidRDefault="00E64CEF" w:rsidP="00E64CEF">
      <w:pPr>
        <w:rPr>
          <w:rFonts w:cs="Arial"/>
          <w:b/>
          <w:sz w:val="20"/>
          <w:szCs w:val="20"/>
        </w:rPr>
      </w:pPr>
    </w:p>
    <w:p w:rsidR="00E64CEF" w:rsidRPr="000A6D2C" w:rsidRDefault="00E64CEF" w:rsidP="00E64CEF">
      <w:pPr>
        <w:rPr>
          <w:rFonts w:cs="Arial"/>
          <w:i/>
          <w:sz w:val="20"/>
          <w:szCs w:val="20"/>
        </w:rPr>
      </w:pPr>
      <w:r w:rsidRPr="000A6D2C">
        <w:rPr>
          <w:rFonts w:cs="Arial"/>
          <w:i/>
          <w:sz w:val="20"/>
          <w:szCs w:val="20"/>
        </w:rPr>
        <w:t xml:space="preserve">substituting – </w:t>
      </w:r>
    </w:p>
    <w:p w:rsidR="00E64CEF" w:rsidRPr="000A6D2C" w:rsidRDefault="00E64CEF" w:rsidP="00E64CEF">
      <w:pPr>
        <w:rPr>
          <w:rFonts w:cs="Arial"/>
          <w:i/>
          <w:sz w:val="20"/>
          <w:szCs w:val="20"/>
        </w:rPr>
      </w:pPr>
    </w:p>
    <w:p w:rsidR="00E64CEF" w:rsidRPr="000A6D2C" w:rsidRDefault="00E64CEF" w:rsidP="00E64CEF">
      <w:pPr>
        <w:pStyle w:val="131Subitemheading"/>
        <w:spacing w:after="0"/>
        <w:rPr>
          <w:rFonts w:cs="Arial"/>
          <w:b w:val="0"/>
          <w:sz w:val="20"/>
        </w:rPr>
      </w:pPr>
      <w:r w:rsidRPr="000A6D2C">
        <w:rPr>
          <w:rFonts w:cs="Arial"/>
          <w:b w:val="0"/>
          <w:sz w:val="20"/>
        </w:rPr>
        <w:t>soup</w:t>
      </w:r>
    </w:p>
    <w:p w:rsidR="00E64CEF" w:rsidRPr="000A6D2C" w:rsidRDefault="00E64CEF" w:rsidP="00E64CEF">
      <w:pPr>
        <w:rPr>
          <w:rFonts w:cs="Arial"/>
          <w:sz w:val="20"/>
          <w:szCs w:val="20"/>
        </w:rPr>
      </w:pPr>
    </w:p>
    <w:p w:rsidR="00E64CEF" w:rsidRPr="000A6D2C" w:rsidRDefault="00E64CEF" w:rsidP="00E64CEF">
      <w:pPr>
        <w:rPr>
          <w:sz w:val="20"/>
          <w:szCs w:val="20"/>
        </w:rPr>
      </w:pPr>
      <w:r w:rsidRPr="000A6D2C">
        <w:rPr>
          <w:sz w:val="20"/>
          <w:szCs w:val="20"/>
        </w:rPr>
        <w:t>[13.15]</w:t>
      </w:r>
      <w:r w:rsidRPr="000A6D2C">
        <w:rPr>
          <w:sz w:val="20"/>
          <w:szCs w:val="20"/>
        </w:rPr>
        <w:tab/>
      </w:r>
      <w:r w:rsidRPr="000A6D2C">
        <w:rPr>
          <w:i/>
          <w:iCs/>
          <w:sz w:val="20"/>
          <w:szCs w:val="20"/>
        </w:rPr>
        <w:t xml:space="preserve">inserting in columns 1 and 2 respectively in each of the listings in </w:t>
      </w:r>
      <w:r w:rsidRPr="000A6D2C">
        <w:rPr>
          <w:iCs/>
          <w:sz w:val="20"/>
          <w:szCs w:val="20"/>
        </w:rPr>
        <w:t xml:space="preserve">Schedule </w:t>
      </w:r>
      <w:r w:rsidRPr="000A6D2C">
        <w:rPr>
          <w:sz w:val="20"/>
          <w:szCs w:val="20"/>
        </w:rPr>
        <w:t xml:space="preserve">2 </w:t>
      </w:r>
      <w:r w:rsidRPr="000A6D2C">
        <w:rPr>
          <w:i/>
          <w:sz w:val="20"/>
          <w:szCs w:val="20"/>
        </w:rPr>
        <w:t xml:space="preserve">(Alphabetical Order and Numeric Order) </w:t>
      </w:r>
      <w:r w:rsidRPr="000A6D2C">
        <w:rPr>
          <w:i/>
          <w:iCs/>
          <w:sz w:val="20"/>
          <w:szCs w:val="20"/>
        </w:rPr>
        <w:t>–</w:t>
      </w:r>
    </w:p>
    <w:p w:rsidR="00E64CEF" w:rsidRPr="000A6D2C" w:rsidRDefault="00E64CEF" w:rsidP="00E64CEF">
      <w:pPr>
        <w:pStyle w:val="Table2"/>
        <w:rPr>
          <w:sz w:val="20"/>
        </w:rPr>
      </w:pPr>
    </w:p>
    <w:tbl>
      <w:tblPr>
        <w:tblW w:w="9072" w:type="dxa"/>
        <w:tblLayout w:type="fixed"/>
        <w:tblCellMar>
          <w:left w:w="80" w:type="dxa"/>
          <w:right w:w="80" w:type="dxa"/>
        </w:tblCellMar>
        <w:tblLook w:val="0000" w:firstRow="0" w:lastRow="0" w:firstColumn="0" w:lastColumn="0" w:noHBand="0" w:noVBand="0"/>
      </w:tblPr>
      <w:tblGrid>
        <w:gridCol w:w="2431"/>
        <w:gridCol w:w="6641"/>
      </w:tblGrid>
      <w:tr w:rsidR="00E64CEF" w:rsidTr="00A506D2">
        <w:tc>
          <w:tcPr>
            <w:tcW w:w="2431" w:type="dxa"/>
          </w:tcPr>
          <w:p w:rsidR="00E64CEF" w:rsidRDefault="00E64CEF" w:rsidP="00A506D2">
            <w:pPr>
              <w:pStyle w:val="Table2"/>
            </w:pPr>
            <w:r>
              <w:t>576</w:t>
            </w:r>
          </w:p>
        </w:tc>
        <w:tc>
          <w:tcPr>
            <w:tcW w:w="6641" w:type="dxa"/>
          </w:tcPr>
          <w:p w:rsidR="00E64CEF" w:rsidRDefault="00E64CEF" w:rsidP="00A506D2">
            <w:pPr>
              <w:pStyle w:val="Table2"/>
            </w:pPr>
            <w:r>
              <w:t>Sodium gluconate</w:t>
            </w:r>
          </w:p>
        </w:tc>
      </w:tr>
      <w:tr w:rsidR="00E64CEF" w:rsidTr="00A506D2">
        <w:tc>
          <w:tcPr>
            <w:tcW w:w="2431" w:type="dxa"/>
          </w:tcPr>
          <w:p w:rsidR="00E64CEF" w:rsidRDefault="00E64CEF" w:rsidP="00A506D2">
            <w:pPr>
              <w:pStyle w:val="Table2"/>
            </w:pPr>
            <w:r>
              <w:t>1451</w:t>
            </w:r>
          </w:p>
        </w:tc>
        <w:tc>
          <w:tcPr>
            <w:tcW w:w="6641" w:type="dxa"/>
          </w:tcPr>
          <w:p w:rsidR="00E64CEF" w:rsidRDefault="00E64CEF" w:rsidP="00A506D2">
            <w:pPr>
              <w:pStyle w:val="Table2"/>
            </w:pPr>
            <w:r>
              <w:t>Acetylated oxidised starch</w:t>
            </w:r>
          </w:p>
        </w:tc>
      </w:tr>
    </w:tbl>
    <w:p w:rsidR="00E64CEF" w:rsidRPr="000A6D2C" w:rsidRDefault="00E64CEF" w:rsidP="00E64CEF">
      <w:pPr>
        <w:rPr>
          <w:sz w:val="20"/>
          <w:szCs w:val="20"/>
        </w:rPr>
      </w:pPr>
    </w:p>
    <w:p w:rsidR="00E64CEF" w:rsidRPr="000A6D2C" w:rsidRDefault="00E64CEF" w:rsidP="00E64CEF">
      <w:pPr>
        <w:pStyle w:val="Clause"/>
        <w:rPr>
          <w:i/>
        </w:rPr>
      </w:pPr>
      <w:r w:rsidRPr="000A6D2C">
        <w:t>[13.16]</w:t>
      </w:r>
      <w:r w:rsidRPr="000A6D2C">
        <w:tab/>
      </w:r>
      <w:r w:rsidRPr="000A6D2C">
        <w:rPr>
          <w:i/>
        </w:rPr>
        <w:t xml:space="preserve">omitting wherever appearing in </w:t>
      </w:r>
      <w:r w:rsidRPr="000A6D2C">
        <w:t>Schedule 4</w:t>
      </w:r>
      <w:r w:rsidRPr="000A6D2C">
        <w:rPr>
          <w:i/>
        </w:rPr>
        <w:t xml:space="preserve"> – </w:t>
      </w:r>
    </w:p>
    <w:p w:rsidR="00E64CEF" w:rsidRPr="000A6D2C" w:rsidRDefault="00E64CEF" w:rsidP="00E64CEF">
      <w:pPr>
        <w:rPr>
          <w:sz w:val="20"/>
          <w:szCs w:val="20"/>
        </w:rPr>
      </w:pPr>
    </w:p>
    <w:p w:rsidR="00E64CEF" w:rsidRPr="000A6D2C" w:rsidRDefault="00E64CEF" w:rsidP="000A6D2C">
      <w:pPr>
        <w:pStyle w:val="TableHeading"/>
      </w:pPr>
      <w:r w:rsidRPr="000A6D2C">
        <w:t>Colours permitted singly or in combination to a total maximum level of 290 mg/kg in processed foods and to a total maximum level of 70 mg/L in beverages other than beverages specified in Schedule 1</w:t>
      </w:r>
    </w:p>
    <w:p w:rsidR="000A6D2C" w:rsidRDefault="000A6D2C" w:rsidP="00E64CEF">
      <w:pPr>
        <w:rPr>
          <w:b/>
          <w:sz w:val="20"/>
          <w:szCs w:val="20"/>
        </w:rPr>
      </w:pPr>
      <w:r>
        <w:rPr>
          <w:b/>
          <w:sz w:val="20"/>
          <w:szCs w:val="20"/>
        </w:rPr>
        <w:br w:type="page"/>
      </w:r>
    </w:p>
    <w:p w:rsidR="00E64CEF" w:rsidRPr="000A6D2C" w:rsidRDefault="00E64CEF" w:rsidP="00E64CEF">
      <w:pPr>
        <w:rPr>
          <w:i/>
          <w:sz w:val="20"/>
          <w:szCs w:val="20"/>
        </w:rPr>
      </w:pPr>
      <w:r w:rsidRPr="000A6D2C">
        <w:rPr>
          <w:i/>
          <w:sz w:val="20"/>
          <w:szCs w:val="20"/>
        </w:rPr>
        <w:lastRenderedPageBreak/>
        <w:t xml:space="preserve">substituting – </w:t>
      </w:r>
    </w:p>
    <w:p w:rsidR="00E64CEF" w:rsidRPr="000A6D2C" w:rsidRDefault="00E64CEF" w:rsidP="00E64CEF">
      <w:pPr>
        <w:rPr>
          <w:i/>
          <w:sz w:val="20"/>
          <w:szCs w:val="20"/>
        </w:rPr>
      </w:pPr>
    </w:p>
    <w:p w:rsidR="00E64CEF" w:rsidRPr="000A6D2C" w:rsidRDefault="00E64CEF" w:rsidP="000A6D2C">
      <w:pPr>
        <w:pStyle w:val="TableHeading"/>
      </w:pPr>
      <w:r w:rsidRPr="000A6D2C">
        <w:t>Colours permitted to a combined maximum level of 290 mg/kg in processed foods, and a combined maximum level of 70 mg/L in beverages, except where expressly prohibited in Schedule 1</w:t>
      </w:r>
    </w:p>
    <w:p w:rsidR="00E64CEF" w:rsidRPr="000A6D2C" w:rsidRDefault="00E64CEF" w:rsidP="00E64CEF">
      <w:pPr>
        <w:rPr>
          <w:sz w:val="20"/>
          <w:szCs w:val="20"/>
        </w:rPr>
      </w:pPr>
    </w:p>
    <w:p w:rsidR="00E64CEF" w:rsidRPr="000A6D2C" w:rsidRDefault="00E64CEF" w:rsidP="00E64CEF">
      <w:pPr>
        <w:pStyle w:val="Clause"/>
        <w:rPr>
          <w:i/>
        </w:rPr>
      </w:pPr>
      <w:r w:rsidRPr="000A6D2C">
        <w:t>[13.17]</w:t>
      </w:r>
      <w:r w:rsidRPr="000A6D2C">
        <w:tab/>
      </w:r>
      <w:r w:rsidRPr="000A6D2C">
        <w:rPr>
          <w:i/>
        </w:rPr>
        <w:t xml:space="preserve">omitting wherever appearing in </w:t>
      </w:r>
      <w:r w:rsidRPr="000A6D2C">
        <w:t xml:space="preserve">Schedule 5 </w:t>
      </w:r>
      <w:r w:rsidRPr="000A6D2C">
        <w:rPr>
          <w:i/>
        </w:rPr>
        <w:t xml:space="preserve">under the Definition column – </w:t>
      </w:r>
    </w:p>
    <w:p w:rsidR="00E64CEF" w:rsidRPr="000A6D2C" w:rsidRDefault="00E64CEF" w:rsidP="00E64CEF">
      <w:pPr>
        <w:rPr>
          <w:sz w:val="20"/>
          <w:szCs w:val="20"/>
        </w:rPr>
      </w:pPr>
    </w:p>
    <w:p w:rsidR="00E64CEF" w:rsidRPr="000A6D2C" w:rsidRDefault="00E64CEF" w:rsidP="00E64CEF">
      <w:pPr>
        <w:pStyle w:val="Clause"/>
      </w:pPr>
      <w:r w:rsidRPr="000A6D2C">
        <w:t xml:space="preserve">taste and/or odour </w:t>
      </w:r>
    </w:p>
    <w:p w:rsidR="00E64CEF" w:rsidRPr="000A6D2C" w:rsidRDefault="00E64CEF" w:rsidP="00E64CEF">
      <w:pPr>
        <w:rPr>
          <w:sz w:val="20"/>
          <w:szCs w:val="20"/>
        </w:rPr>
      </w:pPr>
    </w:p>
    <w:p w:rsidR="00E64CEF" w:rsidRPr="000A6D2C" w:rsidRDefault="00E64CEF" w:rsidP="00E35BCD">
      <w:pPr>
        <w:pStyle w:val="Clause"/>
      </w:pPr>
      <w:r w:rsidRPr="000A6D2C">
        <w:rPr>
          <w:i/>
        </w:rPr>
        <w:t>substituting</w:t>
      </w:r>
      <w:r w:rsidRPr="000A6D2C">
        <w:t xml:space="preserve"> – </w:t>
      </w:r>
    </w:p>
    <w:p w:rsidR="00E64CEF" w:rsidRPr="000A6D2C" w:rsidRDefault="00E64CEF" w:rsidP="00E64CEF">
      <w:pPr>
        <w:rPr>
          <w:sz w:val="20"/>
          <w:szCs w:val="20"/>
        </w:rPr>
      </w:pPr>
    </w:p>
    <w:p w:rsidR="00E64CEF" w:rsidRPr="000A6D2C" w:rsidRDefault="00E64CEF" w:rsidP="00E64CEF">
      <w:pPr>
        <w:pStyle w:val="Clause"/>
      </w:pPr>
      <w:r w:rsidRPr="000A6D2C">
        <w:t>taste or odour</w:t>
      </w:r>
    </w:p>
    <w:p w:rsidR="00E64CEF" w:rsidRPr="000A6D2C" w:rsidRDefault="00E64CEF" w:rsidP="00E64CEF">
      <w:pPr>
        <w:rPr>
          <w:sz w:val="20"/>
          <w:szCs w:val="20"/>
        </w:rPr>
      </w:pPr>
    </w:p>
    <w:p w:rsidR="00E64CEF" w:rsidRPr="000A6D2C" w:rsidRDefault="00E64CEF" w:rsidP="00E64CEF">
      <w:pPr>
        <w:pStyle w:val="Clause"/>
        <w:rPr>
          <w:i/>
          <w:iCs/>
        </w:rPr>
      </w:pPr>
      <w:r w:rsidRPr="000A6D2C">
        <w:rPr>
          <w:b/>
          <w:bCs/>
        </w:rPr>
        <w:t>[14]</w:t>
      </w:r>
      <w:r w:rsidRPr="000A6D2C">
        <w:tab/>
      </w:r>
      <w:r w:rsidRPr="000A6D2C">
        <w:rPr>
          <w:b/>
          <w:bCs/>
          <w:i/>
          <w:iCs/>
        </w:rPr>
        <w:t>Standard 1.3.2</w:t>
      </w:r>
      <w:r w:rsidRPr="000A6D2C">
        <w:rPr>
          <w:i/>
          <w:iCs/>
        </w:rPr>
        <w:t xml:space="preserve"> of the Australia New Zealand Food Standards Code is varied by – </w:t>
      </w:r>
    </w:p>
    <w:p w:rsidR="00E64CEF" w:rsidRPr="000A6D2C" w:rsidRDefault="00E64CEF" w:rsidP="00E64CEF">
      <w:pPr>
        <w:pStyle w:val="Clause"/>
        <w:ind w:left="851" w:hanging="851"/>
        <w:rPr>
          <w:iCs/>
        </w:rPr>
      </w:pPr>
    </w:p>
    <w:p w:rsidR="00E64CEF" w:rsidRPr="000A6D2C" w:rsidRDefault="00E64CEF" w:rsidP="00E64CEF">
      <w:pPr>
        <w:pStyle w:val="Clause"/>
      </w:pPr>
      <w:r w:rsidRPr="000A6D2C">
        <w:t>[14.1]</w:t>
      </w:r>
      <w:r w:rsidRPr="000A6D2C">
        <w:tab/>
      </w:r>
      <w:r w:rsidRPr="000A6D2C">
        <w:rPr>
          <w:i/>
        </w:rPr>
        <w:t xml:space="preserve">omitting </w:t>
      </w:r>
      <w:r w:rsidRPr="000A6D2C">
        <w:t xml:space="preserve">and/or </w:t>
      </w:r>
      <w:r w:rsidRPr="000A6D2C">
        <w:rPr>
          <w:i/>
        </w:rPr>
        <w:t xml:space="preserve">wherever appearing in the definition of </w:t>
      </w:r>
      <w:r w:rsidRPr="000A6D2C">
        <w:rPr>
          <w:b/>
        </w:rPr>
        <w:t>claimable food</w:t>
      </w:r>
      <w:r w:rsidRPr="000A6D2C">
        <w:t xml:space="preserve"> </w:t>
      </w:r>
      <w:r w:rsidRPr="000A6D2C">
        <w:rPr>
          <w:i/>
        </w:rPr>
        <w:t>in clause 1,</w:t>
      </w:r>
      <w:r w:rsidRPr="000A6D2C">
        <w:t xml:space="preserve"> </w:t>
      </w:r>
      <w:r w:rsidRPr="000A6D2C">
        <w:rPr>
          <w:i/>
        </w:rPr>
        <w:t xml:space="preserve">substituting </w:t>
      </w:r>
      <w:r w:rsidRPr="000A6D2C">
        <w:t>or</w:t>
      </w:r>
    </w:p>
    <w:p w:rsidR="00E64CEF" w:rsidRPr="000A6D2C" w:rsidRDefault="00E64CEF" w:rsidP="00E64CEF">
      <w:pPr>
        <w:rPr>
          <w:sz w:val="20"/>
          <w:szCs w:val="20"/>
        </w:rPr>
      </w:pPr>
    </w:p>
    <w:p w:rsidR="00E64CEF" w:rsidRPr="000A6D2C" w:rsidRDefault="00E64CEF" w:rsidP="00E64CEF">
      <w:pPr>
        <w:pStyle w:val="Clause"/>
      </w:pPr>
      <w:r w:rsidRPr="000A6D2C">
        <w:t>[14.2]</w:t>
      </w:r>
      <w:r w:rsidRPr="000A6D2C">
        <w:tab/>
      </w:r>
      <w:r w:rsidRPr="000A6D2C">
        <w:rPr>
          <w:i/>
        </w:rPr>
        <w:t xml:space="preserve">omitting </w:t>
      </w:r>
      <w:r w:rsidRPr="000A6D2C">
        <w:t>a mixture of</w:t>
      </w:r>
      <w:r w:rsidRPr="000A6D2C">
        <w:rPr>
          <w:i/>
        </w:rPr>
        <w:t xml:space="preserve"> from the definition of </w:t>
      </w:r>
      <w:r w:rsidRPr="000A6D2C">
        <w:rPr>
          <w:b/>
        </w:rPr>
        <w:t xml:space="preserve">claimable food </w:t>
      </w:r>
      <w:r w:rsidRPr="000A6D2C">
        <w:rPr>
          <w:i/>
        </w:rPr>
        <w:t xml:space="preserve">in clause 1, substituting </w:t>
      </w:r>
      <w:r w:rsidRPr="000A6D2C">
        <w:t xml:space="preserve">two or more of the following </w:t>
      </w:r>
    </w:p>
    <w:p w:rsidR="00E64CEF" w:rsidRPr="000A6D2C" w:rsidRDefault="00E64CEF" w:rsidP="00E64CEF">
      <w:pPr>
        <w:rPr>
          <w:sz w:val="20"/>
          <w:szCs w:val="20"/>
        </w:rPr>
      </w:pPr>
    </w:p>
    <w:p w:rsidR="00E64CEF" w:rsidRPr="000A6D2C" w:rsidRDefault="00E64CEF" w:rsidP="00E64CEF">
      <w:pPr>
        <w:pStyle w:val="Clause"/>
      </w:pPr>
      <w:r w:rsidRPr="000A6D2C">
        <w:t>[14.3]</w:t>
      </w:r>
      <w:r w:rsidRPr="000A6D2C">
        <w:tab/>
      </w:r>
      <w:r w:rsidRPr="000A6D2C">
        <w:rPr>
          <w:i/>
        </w:rPr>
        <w:t>omitting</w:t>
      </w:r>
      <w:r w:rsidRPr="000A6D2C">
        <w:t xml:space="preserve"> thiamine </w:t>
      </w:r>
      <w:r w:rsidRPr="000A6D2C">
        <w:rPr>
          <w:i/>
        </w:rPr>
        <w:t>wherever appearing in the</w:t>
      </w:r>
      <w:r w:rsidRPr="000A6D2C">
        <w:t xml:space="preserve"> Table to clause 3, </w:t>
      </w:r>
      <w:r w:rsidRPr="000A6D2C">
        <w:rPr>
          <w:i/>
        </w:rPr>
        <w:t>substituting</w:t>
      </w:r>
      <w:r w:rsidRPr="000A6D2C">
        <w:t xml:space="preserve"> thiamin</w:t>
      </w:r>
    </w:p>
    <w:p w:rsidR="00E64CEF" w:rsidRPr="000A6D2C" w:rsidRDefault="00E64CEF" w:rsidP="00E64CEF">
      <w:pPr>
        <w:rPr>
          <w:sz w:val="20"/>
          <w:szCs w:val="20"/>
        </w:rPr>
      </w:pPr>
    </w:p>
    <w:p w:rsidR="00E64CEF" w:rsidRPr="000A6D2C" w:rsidRDefault="00E64CEF" w:rsidP="00E64CEF">
      <w:pPr>
        <w:pStyle w:val="Clause"/>
      </w:pPr>
      <w:r w:rsidRPr="000A6D2C">
        <w:t>[14.4]</w:t>
      </w:r>
      <w:r w:rsidRPr="000A6D2C">
        <w:tab/>
      </w:r>
      <w:r w:rsidRPr="000A6D2C">
        <w:rPr>
          <w:i/>
        </w:rPr>
        <w:t xml:space="preserve">omitting </w:t>
      </w:r>
      <w:r w:rsidRPr="000A6D2C">
        <w:t xml:space="preserve">and/or </w:t>
      </w:r>
      <w:r w:rsidRPr="000A6D2C">
        <w:rPr>
          <w:i/>
        </w:rPr>
        <w:t xml:space="preserve">wherever appearing in the </w:t>
      </w:r>
      <w:r w:rsidRPr="000A6D2C">
        <w:t xml:space="preserve">Table to clause 3, </w:t>
      </w:r>
      <w:r w:rsidRPr="000A6D2C">
        <w:rPr>
          <w:i/>
        </w:rPr>
        <w:t xml:space="preserve">substituting </w:t>
      </w:r>
      <w:r w:rsidRPr="000A6D2C">
        <w:t>or</w:t>
      </w:r>
    </w:p>
    <w:p w:rsidR="000A6D2C" w:rsidRPr="000A6D2C" w:rsidRDefault="000A6D2C" w:rsidP="00E64CEF">
      <w:pPr>
        <w:rPr>
          <w:sz w:val="20"/>
          <w:szCs w:val="20"/>
        </w:rPr>
      </w:pPr>
    </w:p>
    <w:p w:rsidR="00E64CEF" w:rsidRPr="000A6D2C" w:rsidRDefault="00E64CEF" w:rsidP="00E64CEF">
      <w:pPr>
        <w:pStyle w:val="Clause"/>
      </w:pPr>
      <w:r w:rsidRPr="000A6D2C">
        <w:t>[14.5]</w:t>
      </w:r>
      <w:r w:rsidRPr="000A6D2C">
        <w:tab/>
      </w:r>
      <w:r w:rsidRPr="000A6D2C">
        <w:rPr>
          <w:i/>
        </w:rPr>
        <w:t xml:space="preserve">omitting from the </w:t>
      </w:r>
      <w:r w:rsidRPr="000A6D2C">
        <w:t xml:space="preserve">Table to clause 3 – </w:t>
      </w:r>
    </w:p>
    <w:p w:rsidR="00E64CEF" w:rsidRPr="000A6D2C" w:rsidRDefault="00E64CEF" w:rsidP="00E64CEF">
      <w:pPr>
        <w:rPr>
          <w:sz w:val="20"/>
          <w:szCs w:val="20"/>
        </w:rPr>
      </w:pPr>
    </w:p>
    <w:tbl>
      <w:tblPr>
        <w:tblW w:w="9259" w:type="dxa"/>
        <w:jc w:val="center"/>
        <w:tblBorders>
          <w:top w:val="single" w:sz="4" w:space="0" w:color="auto"/>
          <w:left w:val="single" w:sz="4" w:space="0" w:color="auto"/>
          <w:bottom w:val="single" w:sz="4" w:space="0" w:color="auto"/>
          <w:right w:val="single" w:sz="4" w:space="0" w:color="auto"/>
        </w:tblBorders>
        <w:tblLayout w:type="fixed"/>
        <w:tblCellMar>
          <w:left w:w="79" w:type="dxa"/>
          <w:right w:w="79" w:type="dxa"/>
        </w:tblCellMar>
        <w:tblLook w:val="0000" w:firstRow="0" w:lastRow="0" w:firstColumn="0" w:lastColumn="0" w:noHBand="0" w:noVBand="0"/>
      </w:tblPr>
      <w:tblGrid>
        <w:gridCol w:w="2260"/>
        <w:gridCol w:w="1413"/>
        <w:gridCol w:w="1653"/>
        <w:gridCol w:w="1920"/>
        <w:gridCol w:w="2013"/>
      </w:tblGrid>
      <w:tr w:rsidR="00E64CEF" w:rsidRPr="006B734A" w:rsidTr="00A506D2">
        <w:trPr>
          <w:cantSplit/>
          <w:jc w:val="center"/>
        </w:trPr>
        <w:tc>
          <w:tcPr>
            <w:tcW w:w="2260" w:type="dxa"/>
            <w:tcBorders>
              <w:top w:val="single" w:sz="4" w:space="0" w:color="auto"/>
              <w:bottom w:val="nil"/>
              <w:right w:val="single" w:sz="4" w:space="0" w:color="auto"/>
            </w:tcBorders>
          </w:tcPr>
          <w:p w:rsidR="00E64CEF" w:rsidRPr="006B734A" w:rsidRDefault="00E64CEF" w:rsidP="00A506D2">
            <w:pPr>
              <w:pStyle w:val="Table1"/>
              <w:keepNext/>
              <w:jc w:val="left"/>
            </w:pPr>
            <w:r w:rsidRPr="006B734A">
              <w:t>Edible oils and spreads</w:t>
            </w:r>
          </w:p>
        </w:tc>
        <w:tc>
          <w:tcPr>
            <w:tcW w:w="1413" w:type="dxa"/>
            <w:tcBorders>
              <w:top w:val="single" w:sz="4" w:space="0" w:color="auto"/>
              <w:left w:val="single" w:sz="4" w:space="0" w:color="auto"/>
              <w:bottom w:val="nil"/>
              <w:right w:val="single" w:sz="4" w:space="0" w:color="auto"/>
            </w:tcBorders>
          </w:tcPr>
          <w:p w:rsidR="00E64CEF" w:rsidRPr="006B734A" w:rsidRDefault="00E64CEF" w:rsidP="00A506D2">
            <w:pPr>
              <w:pStyle w:val="Table2"/>
            </w:pPr>
          </w:p>
        </w:tc>
        <w:tc>
          <w:tcPr>
            <w:tcW w:w="1653" w:type="dxa"/>
            <w:tcBorders>
              <w:top w:val="single" w:sz="4" w:space="0" w:color="auto"/>
              <w:left w:val="single" w:sz="4" w:space="0" w:color="auto"/>
              <w:bottom w:val="nil"/>
              <w:right w:val="single" w:sz="4" w:space="0" w:color="auto"/>
            </w:tcBorders>
          </w:tcPr>
          <w:p w:rsidR="00E64CEF" w:rsidRPr="006B734A" w:rsidRDefault="00E64CEF" w:rsidP="00A506D2">
            <w:pPr>
              <w:pStyle w:val="Table2"/>
            </w:pPr>
          </w:p>
        </w:tc>
        <w:tc>
          <w:tcPr>
            <w:tcW w:w="1920" w:type="dxa"/>
            <w:tcBorders>
              <w:top w:val="single" w:sz="4" w:space="0" w:color="auto"/>
              <w:left w:val="single" w:sz="4" w:space="0" w:color="auto"/>
              <w:bottom w:val="nil"/>
              <w:right w:val="single" w:sz="4" w:space="0" w:color="auto"/>
            </w:tcBorders>
          </w:tcPr>
          <w:p w:rsidR="00E64CEF" w:rsidRPr="006B734A" w:rsidRDefault="00E64CEF" w:rsidP="00A506D2">
            <w:pPr>
              <w:pStyle w:val="Table2"/>
            </w:pPr>
          </w:p>
        </w:tc>
        <w:tc>
          <w:tcPr>
            <w:tcW w:w="2013" w:type="dxa"/>
            <w:tcBorders>
              <w:top w:val="single" w:sz="4" w:space="0" w:color="auto"/>
              <w:left w:val="single" w:sz="4" w:space="0" w:color="auto"/>
              <w:bottom w:val="nil"/>
            </w:tcBorders>
          </w:tcPr>
          <w:p w:rsidR="00E64CEF" w:rsidRPr="006B734A" w:rsidRDefault="00E64CEF" w:rsidP="00A506D2">
            <w:pPr>
              <w:pStyle w:val="Table2"/>
            </w:pPr>
          </w:p>
        </w:tc>
      </w:tr>
      <w:tr w:rsidR="00E64CEF" w:rsidRPr="006B734A" w:rsidTr="00A506D2">
        <w:trPr>
          <w:cantSplit/>
          <w:jc w:val="center"/>
        </w:trPr>
        <w:tc>
          <w:tcPr>
            <w:tcW w:w="2260" w:type="dxa"/>
            <w:tcBorders>
              <w:top w:val="nil"/>
              <w:bottom w:val="nil"/>
              <w:right w:val="single" w:sz="4" w:space="0" w:color="auto"/>
            </w:tcBorders>
          </w:tcPr>
          <w:p w:rsidR="00E64CEF" w:rsidRPr="006B734A" w:rsidRDefault="00E64CEF" w:rsidP="00A506D2">
            <w:pPr>
              <w:pStyle w:val="Table2"/>
            </w:pPr>
            <w:r w:rsidRPr="006B734A">
              <w:t>Edible oil spreads and margarine:</w:t>
            </w:r>
          </w:p>
          <w:p w:rsidR="00E64CEF" w:rsidRPr="006B734A" w:rsidRDefault="00E64CEF" w:rsidP="00A506D2">
            <w:pPr>
              <w:pStyle w:val="Table2"/>
            </w:pPr>
          </w:p>
          <w:p w:rsidR="00E64CEF" w:rsidRPr="006B734A" w:rsidRDefault="00E64CEF" w:rsidP="00A506D2">
            <w:pPr>
              <w:pStyle w:val="Table2"/>
              <w:ind w:left="227" w:hanging="227"/>
            </w:pPr>
            <w:r w:rsidRPr="004277F4">
              <w:rPr>
                <w:iCs/>
              </w:rPr>
              <w:t>–</w:t>
            </w:r>
            <w:r>
              <w:rPr>
                <w:iCs/>
              </w:rPr>
              <w:t xml:space="preserve"> </w:t>
            </w:r>
            <w:r w:rsidRPr="004277F4">
              <w:tab/>
            </w:r>
            <w:r w:rsidRPr="006B734A">
              <w:t>containing no more than 28% total saturated fatty acids and trans fatty acids</w:t>
            </w:r>
          </w:p>
          <w:p w:rsidR="00E64CEF" w:rsidRPr="006B734A" w:rsidRDefault="00E64CEF" w:rsidP="00A506D2">
            <w:pPr>
              <w:pStyle w:val="Table2"/>
            </w:pPr>
          </w:p>
        </w:tc>
        <w:tc>
          <w:tcPr>
            <w:tcW w:w="1413" w:type="dxa"/>
            <w:tcBorders>
              <w:top w:val="nil"/>
              <w:left w:val="single" w:sz="4" w:space="0" w:color="auto"/>
              <w:bottom w:val="nil"/>
              <w:right w:val="single" w:sz="4" w:space="0" w:color="auto"/>
            </w:tcBorders>
          </w:tcPr>
          <w:p w:rsidR="00E64CEF" w:rsidRPr="006B734A" w:rsidRDefault="00E64CEF" w:rsidP="00A506D2">
            <w:pPr>
              <w:pStyle w:val="Table2"/>
            </w:pPr>
            <w:r w:rsidRPr="006B734A">
              <w:t>10 g</w:t>
            </w:r>
          </w:p>
        </w:tc>
        <w:tc>
          <w:tcPr>
            <w:tcW w:w="1653" w:type="dxa"/>
            <w:tcBorders>
              <w:top w:val="nil"/>
              <w:left w:val="single" w:sz="4" w:space="0" w:color="auto"/>
              <w:bottom w:val="nil"/>
              <w:right w:val="single" w:sz="4" w:space="0" w:color="auto"/>
            </w:tcBorders>
          </w:tcPr>
          <w:p w:rsidR="00E64CEF" w:rsidRPr="006B734A" w:rsidRDefault="00E64CEF" w:rsidP="00A506D2">
            <w:pPr>
              <w:pStyle w:val="Table2"/>
            </w:pPr>
            <w:r w:rsidRPr="006B734A">
              <w:t>Vitamin A</w:t>
            </w:r>
          </w:p>
          <w:p w:rsidR="00E64CEF" w:rsidRPr="006B734A" w:rsidRDefault="00E64CEF" w:rsidP="00A506D2">
            <w:pPr>
              <w:pStyle w:val="Table2"/>
            </w:pPr>
            <w:r w:rsidRPr="006B734A">
              <w:t>Vitamin D</w:t>
            </w:r>
          </w:p>
          <w:p w:rsidR="00E64CEF" w:rsidRPr="006B734A" w:rsidRDefault="00E64CEF" w:rsidP="00A506D2">
            <w:pPr>
              <w:pStyle w:val="Table2"/>
            </w:pPr>
          </w:p>
          <w:p w:rsidR="00E64CEF" w:rsidRPr="006B734A" w:rsidRDefault="00E64CEF" w:rsidP="00A506D2">
            <w:pPr>
              <w:pStyle w:val="Table2"/>
            </w:pPr>
            <w:r w:rsidRPr="006B734A">
              <w:t>Vitamin E</w:t>
            </w:r>
          </w:p>
        </w:tc>
        <w:tc>
          <w:tcPr>
            <w:tcW w:w="1920" w:type="dxa"/>
            <w:tcBorders>
              <w:top w:val="nil"/>
              <w:left w:val="single" w:sz="4" w:space="0" w:color="auto"/>
              <w:bottom w:val="nil"/>
              <w:right w:val="single" w:sz="4" w:space="0" w:color="auto"/>
            </w:tcBorders>
          </w:tcPr>
          <w:p w:rsidR="00E64CEF" w:rsidRPr="006B734A" w:rsidRDefault="00E64CEF" w:rsidP="00A506D2">
            <w:pPr>
              <w:pStyle w:val="Table2"/>
            </w:pPr>
            <w:r w:rsidRPr="006B734A">
              <w:t xml:space="preserve">110 </w:t>
            </w:r>
            <w:r w:rsidRPr="006B734A">
              <w:sym w:font="Symbol" w:char="F06D"/>
            </w:r>
            <w:r w:rsidRPr="006B734A">
              <w:t>g (15%)</w:t>
            </w:r>
          </w:p>
          <w:p w:rsidR="00E64CEF" w:rsidRPr="006B734A" w:rsidRDefault="00E64CEF" w:rsidP="00A506D2">
            <w:pPr>
              <w:pStyle w:val="Table2"/>
            </w:pPr>
            <w:r w:rsidRPr="006B734A">
              <w:t xml:space="preserve">1.0 </w:t>
            </w:r>
            <w:r w:rsidRPr="006B734A">
              <w:sym w:font="Symbol" w:char="F06D"/>
            </w:r>
            <w:r w:rsidRPr="006B734A">
              <w:t>g (10%)</w:t>
            </w:r>
          </w:p>
          <w:p w:rsidR="00E64CEF" w:rsidRPr="006B734A" w:rsidRDefault="00E64CEF" w:rsidP="00A506D2">
            <w:pPr>
              <w:pStyle w:val="Table2"/>
            </w:pPr>
          </w:p>
          <w:p w:rsidR="00E64CEF" w:rsidRPr="006B734A" w:rsidRDefault="00E64CEF" w:rsidP="00A506D2">
            <w:pPr>
              <w:pStyle w:val="Table2"/>
            </w:pPr>
            <w:r w:rsidRPr="006B734A">
              <w:t>3.5 mg (35%)</w:t>
            </w:r>
          </w:p>
        </w:tc>
        <w:tc>
          <w:tcPr>
            <w:tcW w:w="2013" w:type="dxa"/>
            <w:tcBorders>
              <w:top w:val="nil"/>
              <w:left w:val="single" w:sz="4" w:space="0" w:color="auto"/>
              <w:bottom w:val="nil"/>
            </w:tcBorders>
          </w:tcPr>
          <w:p w:rsidR="00E64CEF" w:rsidRPr="006B734A" w:rsidRDefault="00E64CEF" w:rsidP="00A506D2">
            <w:pPr>
              <w:pStyle w:val="Table2"/>
            </w:pPr>
            <w:r w:rsidRPr="006B734A">
              <w:t xml:space="preserve">125 </w:t>
            </w:r>
            <w:r w:rsidRPr="006B734A">
              <w:sym w:font="Symbol" w:char="F06D"/>
            </w:r>
            <w:r w:rsidRPr="006B734A">
              <w:t>g</w:t>
            </w:r>
          </w:p>
          <w:p w:rsidR="00E64CEF" w:rsidRPr="006B734A" w:rsidRDefault="00E64CEF" w:rsidP="00A506D2">
            <w:pPr>
              <w:pStyle w:val="Table2"/>
            </w:pPr>
            <w:r w:rsidRPr="006B734A">
              <w:t xml:space="preserve">1.6 </w:t>
            </w:r>
            <w:r w:rsidRPr="006B734A">
              <w:sym w:font="Symbol" w:char="F06D"/>
            </w:r>
            <w:r w:rsidRPr="006B734A">
              <w:t>g</w:t>
            </w:r>
          </w:p>
        </w:tc>
      </w:tr>
      <w:tr w:rsidR="00E64CEF" w:rsidRPr="006B734A" w:rsidTr="00A506D2">
        <w:trPr>
          <w:cantSplit/>
          <w:jc w:val="center"/>
        </w:trPr>
        <w:tc>
          <w:tcPr>
            <w:tcW w:w="2260" w:type="dxa"/>
            <w:tcBorders>
              <w:top w:val="nil"/>
              <w:bottom w:val="single" w:sz="4" w:space="0" w:color="auto"/>
              <w:right w:val="single" w:sz="4" w:space="0" w:color="auto"/>
            </w:tcBorders>
          </w:tcPr>
          <w:p w:rsidR="00E64CEF" w:rsidRPr="006B734A" w:rsidRDefault="00E64CEF" w:rsidP="00A506D2">
            <w:pPr>
              <w:pStyle w:val="Table2"/>
            </w:pPr>
            <w:r w:rsidRPr="006B734A">
              <w:t>Sunflower oil and safflower oil</w:t>
            </w:r>
          </w:p>
          <w:p w:rsidR="00E64CEF" w:rsidRPr="006B734A" w:rsidRDefault="00E64CEF" w:rsidP="00A506D2">
            <w:pPr>
              <w:pStyle w:val="Table2"/>
              <w:ind w:left="227" w:hanging="227"/>
            </w:pPr>
            <w:r w:rsidRPr="004277F4">
              <w:rPr>
                <w:iCs/>
              </w:rPr>
              <w:t>–</w:t>
            </w:r>
            <w:r>
              <w:rPr>
                <w:iCs/>
              </w:rPr>
              <w:t xml:space="preserve"> </w:t>
            </w:r>
            <w:r w:rsidRPr="004277F4">
              <w:tab/>
            </w:r>
            <w:r w:rsidRPr="006B734A">
              <w:t>other edible oils – containing no more than 28% total saturated fatty acids and trans fatty acids</w:t>
            </w:r>
          </w:p>
          <w:p w:rsidR="00E64CEF" w:rsidRPr="006B734A" w:rsidRDefault="00E64CEF" w:rsidP="00A506D2">
            <w:pPr>
              <w:pStyle w:val="Table2"/>
            </w:pPr>
          </w:p>
        </w:tc>
        <w:tc>
          <w:tcPr>
            <w:tcW w:w="1413" w:type="dxa"/>
            <w:tcBorders>
              <w:top w:val="nil"/>
              <w:left w:val="single" w:sz="4" w:space="0" w:color="auto"/>
              <w:bottom w:val="single" w:sz="4" w:space="0" w:color="auto"/>
              <w:right w:val="single" w:sz="4" w:space="0" w:color="auto"/>
            </w:tcBorders>
          </w:tcPr>
          <w:p w:rsidR="00E64CEF" w:rsidRPr="006B734A" w:rsidRDefault="00E64CEF" w:rsidP="00A506D2">
            <w:pPr>
              <w:pStyle w:val="Table2"/>
            </w:pPr>
            <w:r w:rsidRPr="006B734A">
              <w:t>10 g</w:t>
            </w:r>
          </w:p>
        </w:tc>
        <w:tc>
          <w:tcPr>
            <w:tcW w:w="1653" w:type="dxa"/>
            <w:tcBorders>
              <w:top w:val="nil"/>
              <w:left w:val="single" w:sz="4" w:space="0" w:color="auto"/>
              <w:bottom w:val="single" w:sz="4" w:space="0" w:color="auto"/>
              <w:right w:val="single" w:sz="4" w:space="0" w:color="auto"/>
            </w:tcBorders>
          </w:tcPr>
          <w:p w:rsidR="00E64CEF" w:rsidRPr="006B734A" w:rsidRDefault="00E64CEF" w:rsidP="00A506D2">
            <w:pPr>
              <w:pStyle w:val="Table2"/>
            </w:pPr>
            <w:r w:rsidRPr="006B734A">
              <w:t>Vitamin E</w:t>
            </w:r>
          </w:p>
        </w:tc>
        <w:tc>
          <w:tcPr>
            <w:tcW w:w="1920" w:type="dxa"/>
            <w:tcBorders>
              <w:top w:val="nil"/>
              <w:left w:val="single" w:sz="4" w:space="0" w:color="auto"/>
              <w:bottom w:val="single" w:sz="4" w:space="0" w:color="auto"/>
              <w:right w:val="single" w:sz="4" w:space="0" w:color="auto"/>
            </w:tcBorders>
          </w:tcPr>
          <w:p w:rsidR="00E64CEF" w:rsidRPr="006B734A" w:rsidRDefault="00E64CEF" w:rsidP="00A506D2">
            <w:pPr>
              <w:pStyle w:val="Table2"/>
            </w:pPr>
            <w:r w:rsidRPr="006B734A">
              <w:t>7.0 mg (70%)</w:t>
            </w:r>
          </w:p>
          <w:p w:rsidR="00E64CEF" w:rsidRPr="006B734A" w:rsidRDefault="00E64CEF" w:rsidP="00A506D2">
            <w:pPr>
              <w:pStyle w:val="Table2"/>
            </w:pPr>
          </w:p>
          <w:p w:rsidR="00E64CEF" w:rsidRPr="006B734A" w:rsidRDefault="00E64CEF" w:rsidP="00A506D2">
            <w:pPr>
              <w:pStyle w:val="Table2"/>
            </w:pPr>
            <w:r w:rsidRPr="006B734A">
              <w:t>3.0 mg (30%)</w:t>
            </w:r>
          </w:p>
        </w:tc>
        <w:tc>
          <w:tcPr>
            <w:tcW w:w="2013" w:type="dxa"/>
            <w:tcBorders>
              <w:top w:val="nil"/>
              <w:left w:val="single" w:sz="4" w:space="0" w:color="auto"/>
              <w:bottom w:val="single" w:sz="4" w:space="0" w:color="auto"/>
            </w:tcBorders>
          </w:tcPr>
          <w:p w:rsidR="00E64CEF" w:rsidRPr="006B734A" w:rsidRDefault="00E64CEF" w:rsidP="00A506D2">
            <w:pPr>
              <w:pStyle w:val="Table2"/>
            </w:pPr>
          </w:p>
        </w:tc>
      </w:tr>
      <w:tr w:rsidR="00E64CEF" w:rsidRPr="006B734A" w:rsidTr="00A506D2">
        <w:trPr>
          <w:cantSplit/>
          <w:jc w:val="center"/>
        </w:trPr>
        <w:tc>
          <w:tcPr>
            <w:tcW w:w="2260" w:type="dxa"/>
            <w:tcBorders>
              <w:top w:val="single" w:sz="4" w:space="0" w:color="auto"/>
              <w:bottom w:val="nil"/>
              <w:right w:val="single" w:sz="4" w:space="0" w:color="auto"/>
            </w:tcBorders>
          </w:tcPr>
          <w:p w:rsidR="00E64CEF" w:rsidRPr="006B734A" w:rsidRDefault="00E64CEF" w:rsidP="00A506D2">
            <w:pPr>
              <w:pStyle w:val="Table1"/>
              <w:ind w:left="142" w:hanging="142"/>
              <w:jc w:val="left"/>
            </w:pPr>
            <w:r w:rsidRPr="006B734A">
              <w:t>Fruit juice, vegetable juice, fruit drink and fruit cordial</w:t>
            </w:r>
          </w:p>
        </w:tc>
        <w:tc>
          <w:tcPr>
            <w:tcW w:w="1413" w:type="dxa"/>
            <w:tcBorders>
              <w:top w:val="single" w:sz="4" w:space="0" w:color="auto"/>
              <w:left w:val="single" w:sz="4" w:space="0" w:color="auto"/>
              <w:bottom w:val="nil"/>
              <w:right w:val="single" w:sz="4" w:space="0" w:color="auto"/>
            </w:tcBorders>
          </w:tcPr>
          <w:p w:rsidR="00E64CEF" w:rsidRPr="006B734A" w:rsidRDefault="00E64CEF" w:rsidP="00A506D2">
            <w:pPr>
              <w:pStyle w:val="Table2"/>
            </w:pPr>
          </w:p>
        </w:tc>
        <w:tc>
          <w:tcPr>
            <w:tcW w:w="1653" w:type="dxa"/>
            <w:tcBorders>
              <w:top w:val="single" w:sz="4" w:space="0" w:color="auto"/>
              <w:left w:val="single" w:sz="4" w:space="0" w:color="auto"/>
              <w:bottom w:val="nil"/>
              <w:right w:val="single" w:sz="4" w:space="0" w:color="auto"/>
            </w:tcBorders>
          </w:tcPr>
          <w:p w:rsidR="00E64CEF" w:rsidRPr="006B734A" w:rsidRDefault="00E64CEF" w:rsidP="00A506D2">
            <w:pPr>
              <w:pStyle w:val="Table2"/>
            </w:pPr>
          </w:p>
        </w:tc>
        <w:tc>
          <w:tcPr>
            <w:tcW w:w="1920" w:type="dxa"/>
            <w:tcBorders>
              <w:top w:val="single" w:sz="4" w:space="0" w:color="auto"/>
              <w:left w:val="single" w:sz="4" w:space="0" w:color="auto"/>
              <w:bottom w:val="nil"/>
              <w:right w:val="single" w:sz="4" w:space="0" w:color="auto"/>
            </w:tcBorders>
          </w:tcPr>
          <w:p w:rsidR="00E64CEF" w:rsidRPr="006B734A" w:rsidRDefault="00E64CEF" w:rsidP="00A506D2">
            <w:pPr>
              <w:pStyle w:val="Table2"/>
            </w:pPr>
          </w:p>
        </w:tc>
        <w:tc>
          <w:tcPr>
            <w:tcW w:w="2013" w:type="dxa"/>
            <w:tcBorders>
              <w:top w:val="single" w:sz="4" w:space="0" w:color="auto"/>
              <w:left w:val="single" w:sz="4" w:space="0" w:color="auto"/>
              <w:bottom w:val="nil"/>
            </w:tcBorders>
          </w:tcPr>
          <w:p w:rsidR="00E64CEF" w:rsidRPr="006B734A" w:rsidRDefault="00E64CEF" w:rsidP="00A506D2">
            <w:pPr>
              <w:pStyle w:val="Table2"/>
            </w:pPr>
          </w:p>
        </w:tc>
      </w:tr>
      <w:tr w:rsidR="00E64CEF" w:rsidRPr="006B734A" w:rsidTr="00A506D2">
        <w:trPr>
          <w:cantSplit/>
          <w:jc w:val="center"/>
        </w:trPr>
        <w:tc>
          <w:tcPr>
            <w:tcW w:w="2260" w:type="dxa"/>
            <w:tcBorders>
              <w:top w:val="nil"/>
              <w:bottom w:val="nil"/>
              <w:right w:val="single" w:sz="4" w:space="0" w:color="auto"/>
            </w:tcBorders>
          </w:tcPr>
          <w:p w:rsidR="00E64CEF" w:rsidRPr="006B734A" w:rsidRDefault="00E64CEF" w:rsidP="00A506D2">
            <w:pPr>
              <w:pStyle w:val="Table2"/>
            </w:pPr>
            <w:r w:rsidRPr="006B734A">
              <w:t xml:space="preserve">Fruit juice, reconstituted fruit juice, concentrated fruit juice: </w:t>
            </w:r>
          </w:p>
          <w:p w:rsidR="00E64CEF" w:rsidRPr="006B734A" w:rsidRDefault="00E64CEF" w:rsidP="00A506D2">
            <w:pPr>
              <w:pStyle w:val="Table2"/>
              <w:ind w:left="170" w:hanging="170"/>
            </w:pPr>
            <w:r w:rsidRPr="004277F4">
              <w:rPr>
                <w:iCs/>
              </w:rPr>
              <w:t>–</w:t>
            </w:r>
            <w:r>
              <w:rPr>
                <w:iCs/>
              </w:rPr>
              <w:t xml:space="preserve"> </w:t>
            </w:r>
            <w:r w:rsidRPr="004277F4">
              <w:tab/>
            </w:r>
            <w:r w:rsidRPr="006B734A">
              <w:t>Blackcurrant</w:t>
            </w:r>
          </w:p>
          <w:p w:rsidR="00E64CEF" w:rsidRPr="006B734A" w:rsidRDefault="00E64CEF" w:rsidP="00A506D2">
            <w:pPr>
              <w:pStyle w:val="Table2"/>
              <w:ind w:left="170" w:hanging="170"/>
            </w:pPr>
            <w:r w:rsidRPr="004277F4">
              <w:rPr>
                <w:iCs/>
              </w:rPr>
              <w:t>–</w:t>
            </w:r>
            <w:r>
              <w:rPr>
                <w:iCs/>
              </w:rPr>
              <w:t xml:space="preserve"> </w:t>
            </w:r>
            <w:r w:rsidRPr="004277F4">
              <w:tab/>
            </w:r>
            <w:r w:rsidRPr="006B734A">
              <w:t>Guava</w:t>
            </w:r>
          </w:p>
          <w:p w:rsidR="00E64CEF" w:rsidRPr="006B734A" w:rsidRDefault="00E64CEF" w:rsidP="00A506D2">
            <w:pPr>
              <w:pStyle w:val="Table2"/>
              <w:ind w:left="170" w:hanging="170"/>
            </w:pPr>
            <w:r w:rsidRPr="004277F4">
              <w:rPr>
                <w:iCs/>
              </w:rPr>
              <w:t>–</w:t>
            </w:r>
            <w:r>
              <w:rPr>
                <w:iCs/>
              </w:rPr>
              <w:t xml:space="preserve"> </w:t>
            </w:r>
            <w:r w:rsidRPr="004277F4">
              <w:tab/>
            </w:r>
            <w:r w:rsidRPr="006B734A">
              <w:t>Other fruit juice</w:t>
            </w:r>
          </w:p>
          <w:p w:rsidR="00E64CEF" w:rsidRPr="006B734A" w:rsidRDefault="00E64CEF" w:rsidP="00A506D2">
            <w:pPr>
              <w:pStyle w:val="Table2"/>
              <w:ind w:left="170" w:hanging="170"/>
            </w:pPr>
            <w:r w:rsidRPr="004277F4">
              <w:rPr>
                <w:iCs/>
              </w:rPr>
              <w:t>–</w:t>
            </w:r>
            <w:r>
              <w:rPr>
                <w:iCs/>
              </w:rPr>
              <w:t xml:space="preserve"> </w:t>
            </w:r>
            <w:r w:rsidRPr="004277F4">
              <w:tab/>
            </w:r>
            <w:r w:rsidRPr="006B734A">
              <w:t>Mango</w:t>
            </w:r>
          </w:p>
          <w:p w:rsidR="00E64CEF" w:rsidRDefault="00E64CEF" w:rsidP="00A506D2">
            <w:pPr>
              <w:pStyle w:val="Table2"/>
              <w:ind w:left="170" w:hanging="170"/>
              <w:rPr>
                <w:iCs/>
              </w:rPr>
            </w:pPr>
          </w:p>
          <w:p w:rsidR="00E64CEF" w:rsidRPr="006B734A" w:rsidRDefault="00E64CEF" w:rsidP="00A506D2">
            <w:pPr>
              <w:pStyle w:val="Table2"/>
              <w:ind w:left="170" w:hanging="170"/>
            </w:pPr>
            <w:r w:rsidRPr="004277F4">
              <w:rPr>
                <w:iCs/>
              </w:rPr>
              <w:t>–</w:t>
            </w:r>
            <w:r>
              <w:rPr>
                <w:iCs/>
              </w:rPr>
              <w:t xml:space="preserve"> </w:t>
            </w:r>
            <w:r w:rsidRPr="004277F4">
              <w:tab/>
            </w:r>
            <w:r w:rsidRPr="006B734A">
              <w:t>Pawpaw</w:t>
            </w:r>
          </w:p>
          <w:p w:rsidR="00E64CEF" w:rsidRPr="006B734A" w:rsidRDefault="00E64CEF" w:rsidP="00A506D2">
            <w:pPr>
              <w:pStyle w:val="Table2"/>
              <w:ind w:left="170" w:hanging="170"/>
            </w:pPr>
            <w:r w:rsidRPr="004277F4">
              <w:rPr>
                <w:iCs/>
              </w:rPr>
              <w:t>–</w:t>
            </w:r>
            <w:r>
              <w:rPr>
                <w:iCs/>
              </w:rPr>
              <w:t xml:space="preserve"> </w:t>
            </w:r>
            <w:r w:rsidRPr="004277F4">
              <w:tab/>
            </w:r>
            <w:r w:rsidRPr="006B734A">
              <w:t>Other fruit juice</w:t>
            </w:r>
          </w:p>
          <w:p w:rsidR="00E64CEF" w:rsidRPr="006B734A" w:rsidRDefault="00E64CEF" w:rsidP="00A506D2">
            <w:pPr>
              <w:pStyle w:val="Table2"/>
            </w:pPr>
          </w:p>
        </w:tc>
        <w:tc>
          <w:tcPr>
            <w:tcW w:w="1413" w:type="dxa"/>
            <w:tcBorders>
              <w:top w:val="nil"/>
              <w:left w:val="single" w:sz="4" w:space="0" w:color="auto"/>
              <w:bottom w:val="nil"/>
              <w:right w:val="single" w:sz="4" w:space="0" w:color="auto"/>
            </w:tcBorders>
          </w:tcPr>
          <w:p w:rsidR="00E64CEF" w:rsidRPr="006B734A" w:rsidRDefault="00E64CEF" w:rsidP="00A506D2">
            <w:pPr>
              <w:pStyle w:val="Table2"/>
            </w:pPr>
            <w:r w:rsidRPr="006B734A">
              <w:t>200 mL</w:t>
            </w:r>
          </w:p>
        </w:tc>
        <w:tc>
          <w:tcPr>
            <w:tcW w:w="1653" w:type="dxa"/>
            <w:tcBorders>
              <w:top w:val="nil"/>
              <w:left w:val="single" w:sz="4" w:space="0" w:color="auto"/>
              <w:bottom w:val="nil"/>
              <w:right w:val="single" w:sz="4" w:space="0" w:color="auto"/>
            </w:tcBorders>
          </w:tcPr>
          <w:p w:rsidR="00E64CEF" w:rsidRPr="006B734A" w:rsidRDefault="00E64CEF" w:rsidP="00A506D2">
            <w:pPr>
              <w:pStyle w:val="Table2"/>
            </w:pPr>
            <w:r w:rsidRPr="006B734A">
              <w:t>Calcium</w:t>
            </w:r>
          </w:p>
          <w:p w:rsidR="00E64CEF" w:rsidRPr="006B734A" w:rsidRDefault="00E64CEF" w:rsidP="00A506D2">
            <w:pPr>
              <w:pStyle w:val="Table2"/>
            </w:pPr>
            <w:r w:rsidRPr="006B734A">
              <w:t>Folate</w:t>
            </w:r>
          </w:p>
          <w:p w:rsidR="00E64CEF" w:rsidRPr="006B734A" w:rsidRDefault="00E64CEF" w:rsidP="00A506D2">
            <w:pPr>
              <w:pStyle w:val="Table2"/>
            </w:pPr>
          </w:p>
          <w:p w:rsidR="00E64CEF" w:rsidRPr="006B734A" w:rsidRDefault="00E64CEF" w:rsidP="00A506D2">
            <w:pPr>
              <w:pStyle w:val="Table2"/>
            </w:pPr>
            <w:r w:rsidRPr="006B734A">
              <w:t>Vitamin C</w:t>
            </w:r>
          </w:p>
          <w:p w:rsidR="00E64CEF" w:rsidRPr="006B734A" w:rsidRDefault="00E64CEF" w:rsidP="00A506D2">
            <w:pPr>
              <w:pStyle w:val="Table2"/>
            </w:pPr>
          </w:p>
          <w:p w:rsidR="00E64CEF" w:rsidRPr="006B734A" w:rsidRDefault="00E64CEF" w:rsidP="00A506D2">
            <w:pPr>
              <w:pStyle w:val="Table2"/>
            </w:pPr>
          </w:p>
          <w:p w:rsidR="00E64CEF" w:rsidRPr="006B734A" w:rsidRDefault="00E64CEF" w:rsidP="00A506D2">
            <w:pPr>
              <w:pStyle w:val="Table2"/>
            </w:pPr>
            <w:r w:rsidRPr="006B734A">
              <w:t>Carotene forms of Vitamin A</w:t>
            </w:r>
          </w:p>
        </w:tc>
        <w:tc>
          <w:tcPr>
            <w:tcW w:w="1920" w:type="dxa"/>
            <w:tcBorders>
              <w:top w:val="nil"/>
              <w:left w:val="single" w:sz="4" w:space="0" w:color="auto"/>
              <w:bottom w:val="nil"/>
              <w:right w:val="single" w:sz="4" w:space="0" w:color="auto"/>
            </w:tcBorders>
          </w:tcPr>
          <w:p w:rsidR="00E64CEF" w:rsidRPr="006B734A" w:rsidRDefault="00E64CEF" w:rsidP="00A506D2">
            <w:pPr>
              <w:pStyle w:val="Table2"/>
            </w:pPr>
            <w:r w:rsidRPr="006B734A">
              <w:t>200 mg (25%)</w:t>
            </w:r>
          </w:p>
          <w:p w:rsidR="00E64CEF" w:rsidRPr="006B734A" w:rsidRDefault="00E64CEF" w:rsidP="00A506D2">
            <w:pPr>
              <w:pStyle w:val="Table2"/>
            </w:pPr>
            <w:r w:rsidRPr="006B734A">
              <w:t xml:space="preserve">100 </w:t>
            </w:r>
            <w:r w:rsidRPr="006B734A">
              <w:sym w:font="Symbol" w:char="F06D"/>
            </w:r>
            <w:r w:rsidRPr="006B734A">
              <w:t>g (50%)</w:t>
            </w:r>
          </w:p>
          <w:p w:rsidR="00E64CEF" w:rsidRPr="006B734A" w:rsidRDefault="00E64CEF" w:rsidP="00A506D2">
            <w:pPr>
              <w:pStyle w:val="Table2"/>
            </w:pPr>
          </w:p>
          <w:p w:rsidR="00E64CEF" w:rsidRPr="006B734A" w:rsidRDefault="00E64CEF" w:rsidP="00A506D2">
            <w:pPr>
              <w:pStyle w:val="Table2"/>
            </w:pPr>
            <w:r w:rsidRPr="006B734A">
              <w:t>500 mg (12.5 times)</w:t>
            </w:r>
          </w:p>
          <w:p w:rsidR="00E64CEF" w:rsidRPr="006B734A" w:rsidRDefault="00E64CEF" w:rsidP="00A506D2">
            <w:pPr>
              <w:pStyle w:val="Table2"/>
            </w:pPr>
            <w:r w:rsidRPr="006B734A">
              <w:t>400 mg (10 times)</w:t>
            </w:r>
          </w:p>
          <w:p w:rsidR="00E64CEF" w:rsidRPr="006B734A" w:rsidRDefault="00E64CEF" w:rsidP="00A506D2">
            <w:pPr>
              <w:pStyle w:val="Table2"/>
            </w:pPr>
            <w:r w:rsidRPr="006B734A">
              <w:t>120 mg (3 times)</w:t>
            </w:r>
          </w:p>
          <w:p w:rsidR="00E64CEF" w:rsidRPr="006B734A" w:rsidRDefault="00E64CEF" w:rsidP="00A506D2">
            <w:pPr>
              <w:pStyle w:val="Table2"/>
            </w:pPr>
            <w:r w:rsidRPr="006B734A">
              <w:t xml:space="preserve">800 </w:t>
            </w:r>
            <w:r w:rsidRPr="006B734A">
              <w:sym w:font="Symbol" w:char="F06D"/>
            </w:r>
            <w:r w:rsidRPr="006B734A">
              <w:t>g (1.1 times)</w:t>
            </w:r>
          </w:p>
          <w:p w:rsidR="00E64CEF" w:rsidRPr="006B734A" w:rsidRDefault="00E64CEF" w:rsidP="00A506D2">
            <w:pPr>
              <w:pStyle w:val="Table2"/>
            </w:pPr>
          </w:p>
          <w:p w:rsidR="00E64CEF" w:rsidRPr="006B734A" w:rsidRDefault="00E64CEF" w:rsidP="00A506D2">
            <w:pPr>
              <w:pStyle w:val="Table2"/>
            </w:pPr>
            <w:r w:rsidRPr="006B734A">
              <w:t xml:space="preserve">300 </w:t>
            </w:r>
            <w:r w:rsidRPr="006B734A">
              <w:sym w:font="Symbol" w:char="F06D"/>
            </w:r>
            <w:r w:rsidRPr="006B734A">
              <w:t>g (40%)</w:t>
            </w:r>
          </w:p>
          <w:p w:rsidR="00E64CEF" w:rsidRPr="006B734A" w:rsidRDefault="00E64CEF" w:rsidP="00A506D2">
            <w:pPr>
              <w:pStyle w:val="Table2"/>
            </w:pPr>
            <w:r w:rsidRPr="006B734A">
              <w:t xml:space="preserve">200 </w:t>
            </w:r>
            <w:r w:rsidRPr="006B734A">
              <w:sym w:font="Symbol" w:char="F06D"/>
            </w:r>
            <w:r w:rsidRPr="006B734A">
              <w:t>g (25%)</w:t>
            </w:r>
          </w:p>
        </w:tc>
        <w:tc>
          <w:tcPr>
            <w:tcW w:w="2013" w:type="dxa"/>
            <w:tcBorders>
              <w:top w:val="nil"/>
              <w:left w:val="single" w:sz="4" w:space="0" w:color="auto"/>
              <w:bottom w:val="nil"/>
            </w:tcBorders>
          </w:tcPr>
          <w:p w:rsidR="00E64CEF" w:rsidRPr="006B734A" w:rsidRDefault="00E64CEF" w:rsidP="00A506D2">
            <w:pPr>
              <w:pStyle w:val="Table2"/>
            </w:pPr>
          </w:p>
        </w:tc>
      </w:tr>
      <w:tr w:rsidR="00E64CEF" w:rsidRPr="006B734A" w:rsidTr="00A506D2">
        <w:trPr>
          <w:cantSplit/>
          <w:jc w:val="center"/>
        </w:trPr>
        <w:tc>
          <w:tcPr>
            <w:tcW w:w="2260" w:type="dxa"/>
            <w:tcBorders>
              <w:top w:val="nil"/>
              <w:bottom w:val="single" w:sz="4" w:space="0" w:color="auto"/>
              <w:right w:val="single" w:sz="4" w:space="0" w:color="auto"/>
            </w:tcBorders>
          </w:tcPr>
          <w:p w:rsidR="00E64CEF" w:rsidRPr="006B734A" w:rsidRDefault="00E64CEF" w:rsidP="00A506D2">
            <w:pPr>
              <w:pStyle w:val="Table2"/>
            </w:pPr>
            <w:r w:rsidRPr="006B734A">
              <w:lastRenderedPageBreak/>
              <w:t>Tomato juice, concentrated tomato juice</w:t>
            </w:r>
          </w:p>
        </w:tc>
        <w:tc>
          <w:tcPr>
            <w:tcW w:w="1413" w:type="dxa"/>
            <w:tcBorders>
              <w:top w:val="nil"/>
              <w:left w:val="single" w:sz="4" w:space="0" w:color="auto"/>
              <w:bottom w:val="single" w:sz="4" w:space="0" w:color="auto"/>
              <w:right w:val="single" w:sz="4" w:space="0" w:color="auto"/>
            </w:tcBorders>
          </w:tcPr>
          <w:p w:rsidR="00E64CEF" w:rsidRPr="006B734A" w:rsidRDefault="00E64CEF" w:rsidP="00A506D2">
            <w:pPr>
              <w:pStyle w:val="Table2"/>
            </w:pPr>
            <w:r w:rsidRPr="006B734A">
              <w:t>200 mL</w:t>
            </w:r>
          </w:p>
        </w:tc>
        <w:tc>
          <w:tcPr>
            <w:tcW w:w="1653" w:type="dxa"/>
            <w:tcBorders>
              <w:top w:val="nil"/>
              <w:left w:val="single" w:sz="4" w:space="0" w:color="auto"/>
              <w:bottom w:val="single" w:sz="4" w:space="0" w:color="auto"/>
              <w:right w:val="single" w:sz="4" w:space="0" w:color="auto"/>
            </w:tcBorders>
          </w:tcPr>
          <w:p w:rsidR="00E64CEF" w:rsidRPr="006B734A" w:rsidRDefault="00E64CEF" w:rsidP="00A506D2">
            <w:pPr>
              <w:pStyle w:val="Table2"/>
            </w:pPr>
            <w:r w:rsidRPr="006B734A">
              <w:t>Vitamin C</w:t>
            </w:r>
          </w:p>
          <w:p w:rsidR="00E64CEF" w:rsidRPr="006B734A" w:rsidRDefault="00E64CEF" w:rsidP="00A506D2">
            <w:pPr>
              <w:pStyle w:val="Table2"/>
            </w:pPr>
            <w:r w:rsidRPr="006B734A">
              <w:t>Carotene forms of Vitamin A</w:t>
            </w:r>
          </w:p>
          <w:p w:rsidR="00E64CEF" w:rsidRPr="006B734A" w:rsidRDefault="00E64CEF" w:rsidP="00A506D2">
            <w:pPr>
              <w:pStyle w:val="Table2"/>
            </w:pPr>
            <w:r w:rsidRPr="006B734A">
              <w:t>Folate</w:t>
            </w:r>
          </w:p>
          <w:p w:rsidR="00E64CEF" w:rsidRPr="006B734A" w:rsidRDefault="00E64CEF" w:rsidP="00A506D2">
            <w:pPr>
              <w:pStyle w:val="Table2"/>
            </w:pPr>
            <w:r w:rsidRPr="006B734A">
              <w:t>Calcium</w:t>
            </w:r>
          </w:p>
          <w:p w:rsidR="00E64CEF" w:rsidRPr="006B734A" w:rsidRDefault="00E64CEF" w:rsidP="00A506D2">
            <w:pPr>
              <w:pStyle w:val="Table2"/>
            </w:pPr>
          </w:p>
        </w:tc>
        <w:tc>
          <w:tcPr>
            <w:tcW w:w="1920" w:type="dxa"/>
            <w:tcBorders>
              <w:top w:val="nil"/>
              <w:left w:val="single" w:sz="4" w:space="0" w:color="auto"/>
              <w:bottom w:val="single" w:sz="4" w:space="0" w:color="auto"/>
              <w:right w:val="single" w:sz="4" w:space="0" w:color="auto"/>
            </w:tcBorders>
          </w:tcPr>
          <w:p w:rsidR="00E64CEF" w:rsidRPr="006B734A" w:rsidRDefault="00E64CEF" w:rsidP="00A506D2">
            <w:pPr>
              <w:pStyle w:val="Table2"/>
            </w:pPr>
            <w:r w:rsidRPr="006B734A">
              <w:t>60 mg (1.5 times)</w:t>
            </w:r>
          </w:p>
          <w:p w:rsidR="00E64CEF" w:rsidRPr="006B734A" w:rsidRDefault="00E64CEF" w:rsidP="00A506D2">
            <w:pPr>
              <w:pStyle w:val="Table2"/>
            </w:pPr>
            <w:r w:rsidRPr="006B734A">
              <w:t xml:space="preserve">200 </w:t>
            </w:r>
            <w:r w:rsidRPr="006B734A">
              <w:sym w:font="Symbol" w:char="F06D"/>
            </w:r>
            <w:r w:rsidRPr="006B734A">
              <w:t>g (25%)</w:t>
            </w:r>
          </w:p>
          <w:p w:rsidR="00E64CEF" w:rsidRPr="006B734A" w:rsidRDefault="00E64CEF" w:rsidP="00A506D2">
            <w:pPr>
              <w:pStyle w:val="Table2"/>
            </w:pPr>
          </w:p>
          <w:p w:rsidR="00E64CEF" w:rsidRPr="006B734A" w:rsidRDefault="00E64CEF" w:rsidP="00A506D2">
            <w:pPr>
              <w:pStyle w:val="Table2"/>
            </w:pPr>
            <w:r w:rsidRPr="006B734A">
              <w:t xml:space="preserve">100 </w:t>
            </w:r>
            <w:r w:rsidRPr="006B734A">
              <w:sym w:font="Symbol" w:char="F06D"/>
            </w:r>
            <w:r w:rsidRPr="006B734A">
              <w:t>g (50%)</w:t>
            </w:r>
          </w:p>
          <w:p w:rsidR="00E64CEF" w:rsidRPr="006B734A" w:rsidRDefault="00E64CEF" w:rsidP="00A506D2">
            <w:pPr>
              <w:pStyle w:val="Table2"/>
            </w:pPr>
            <w:r w:rsidRPr="006B734A">
              <w:t>200 mg (25%)</w:t>
            </w:r>
          </w:p>
        </w:tc>
        <w:tc>
          <w:tcPr>
            <w:tcW w:w="2013" w:type="dxa"/>
            <w:tcBorders>
              <w:top w:val="nil"/>
              <w:left w:val="single" w:sz="4" w:space="0" w:color="auto"/>
              <w:bottom w:val="single" w:sz="4" w:space="0" w:color="auto"/>
            </w:tcBorders>
          </w:tcPr>
          <w:p w:rsidR="00E64CEF" w:rsidRPr="006B734A" w:rsidRDefault="00E64CEF" w:rsidP="00A506D2">
            <w:pPr>
              <w:pStyle w:val="Table2"/>
            </w:pPr>
          </w:p>
        </w:tc>
      </w:tr>
    </w:tbl>
    <w:p w:rsidR="00E64CEF" w:rsidRPr="000A6D2C" w:rsidRDefault="00E64CEF" w:rsidP="00E64CEF">
      <w:pPr>
        <w:rPr>
          <w:sz w:val="20"/>
          <w:szCs w:val="20"/>
        </w:rPr>
      </w:pPr>
    </w:p>
    <w:p w:rsidR="00E64CEF" w:rsidRPr="000A6D2C" w:rsidRDefault="00E64CEF" w:rsidP="00E35BCD">
      <w:pPr>
        <w:pStyle w:val="Clause"/>
      </w:pPr>
      <w:r w:rsidRPr="000A6D2C">
        <w:rPr>
          <w:i/>
        </w:rPr>
        <w:t>substituting</w:t>
      </w:r>
      <w:r w:rsidRPr="000A6D2C">
        <w:t xml:space="preserve"> – </w:t>
      </w:r>
    </w:p>
    <w:p w:rsidR="00E64CEF" w:rsidRPr="000A6D2C" w:rsidRDefault="00E64CEF" w:rsidP="00E64CEF">
      <w:pPr>
        <w:rPr>
          <w:i/>
          <w:sz w:val="20"/>
          <w:szCs w:val="20"/>
        </w:rPr>
      </w:pPr>
    </w:p>
    <w:tbl>
      <w:tblPr>
        <w:tblW w:w="9259" w:type="dxa"/>
        <w:jc w:val="center"/>
        <w:tblBorders>
          <w:top w:val="single" w:sz="4" w:space="0" w:color="auto"/>
          <w:left w:val="single" w:sz="4" w:space="0" w:color="auto"/>
          <w:bottom w:val="single" w:sz="4" w:space="0" w:color="auto"/>
          <w:right w:val="single" w:sz="4" w:space="0" w:color="auto"/>
        </w:tblBorders>
        <w:tblLayout w:type="fixed"/>
        <w:tblCellMar>
          <w:left w:w="79" w:type="dxa"/>
          <w:right w:w="79" w:type="dxa"/>
        </w:tblCellMar>
        <w:tblLook w:val="0000" w:firstRow="0" w:lastRow="0" w:firstColumn="0" w:lastColumn="0" w:noHBand="0" w:noVBand="0"/>
      </w:tblPr>
      <w:tblGrid>
        <w:gridCol w:w="2260"/>
        <w:gridCol w:w="1413"/>
        <w:gridCol w:w="1653"/>
        <w:gridCol w:w="1920"/>
        <w:gridCol w:w="2013"/>
      </w:tblGrid>
      <w:tr w:rsidR="00E64CEF" w:rsidRPr="006B734A" w:rsidTr="00A506D2">
        <w:trPr>
          <w:cantSplit/>
          <w:jc w:val="center"/>
        </w:trPr>
        <w:tc>
          <w:tcPr>
            <w:tcW w:w="2260" w:type="dxa"/>
            <w:tcBorders>
              <w:top w:val="single" w:sz="4" w:space="0" w:color="auto"/>
              <w:bottom w:val="nil"/>
              <w:right w:val="single" w:sz="4" w:space="0" w:color="auto"/>
            </w:tcBorders>
          </w:tcPr>
          <w:p w:rsidR="00E64CEF" w:rsidRPr="006B734A" w:rsidRDefault="00E64CEF" w:rsidP="00A506D2">
            <w:pPr>
              <w:pStyle w:val="Table1"/>
              <w:jc w:val="left"/>
            </w:pPr>
            <w:r w:rsidRPr="006B734A">
              <w:t>Edible oils and spreads</w:t>
            </w:r>
          </w:p>
        </w:tc>
        <w:tc>
          <w:tcPr>
            <w:tcW w:w="1413" w:type="dxa"/>
            <w:tcBorders>
              <w:top w:val="single" w:sz="4" w:space="0" w:color="auto"/>
              <w:left w:val="single" w:sz="4" w:space="0" w:color="auto"/>
              <w:bottom w:val="nil"/>
              <w:right w:val="single" w:sz="4" w:space="0" w:color="auto"/>
            </w:tcBorders>
          </w:tcPr>
          <w:p w:rsidR="00E64CEF" w:rsidRPr="006B734A" w:rsidRDefault="00E64CEF" w:rsidP="00A506D2">
            <w:pPr>
              <w:pStyle w:val="Table2"/>
            </w:pPr>
          </w:p>
        </w:tc>
        <w:tc>
          <w:tcPr>
            <w:tcW w:w="1653" w:type="dxa"/>
            <w:tcBorders>
              <w:top w:val="single" w:sz="4" w:space="0" w:color="auto"/>
              <w:left w:val="single" w:sz="4" w:space="0" w:color="auto"/>
              <w:bottom w:val="nil"/>
              <w:right w:val="single" w:sz="4" w:space="0" w:color="auto"/>
            </w:tcBorders>
          </w:tcPr>
          <w:p w:rsidR="00E64CEF" w:rsidRPr="006B734A" w:rsidRDefault="00E64CEF" w:rsidP="00A506D2">
            <w:pPr>
              <w:pStyle w:val="Table2"/>
            </w:pPr>
          </w:p>
        </w:tc>
        <w:tc>
          <w:tcPr>
            <w:tcW w:w="1920" w:type="dxa"/>
            <w:tcBorders>
              <w:top w:val="single" w:sz="4" w:space="0" w:color="auto"/>
              <w:left w:val="single" w:sz="4" w:space="0" w:color="auto"/>
              <w:bottom w:val="nil"/>
              <w:right w:val="single" w:sz="4" w:space="0" w:color="auto"/>
            </w:tcBorders>
          </w:tcPr>
          <w:p w:rsidR="00E64CEF" w:rsidRPr="006B734A" w:rsidRDefault="00E64CEF" w:rsidP="00A506D2">
            <w:pPr>
              <w:pStyle w:val="Table2"/>
            </w:pPr>
          </w:p>
        </w:tc>
        <w:tc>
          <w:tcPr>
            <w:tcW w:w="2013" w:type="dxa"/>
            <w:tcBorders>
              <w:top w:val="single" w:sz="4" w:space="0" w:color="auto"/>
              <w:left w:val="single" w:sz="4" w:space="0" w:color="auto"/>
              <w:bottom w:val="nil"/>
            </w:tcBorders>
          </w:tcPr>
          <w:p w:rsidR="00E64CEF" w:rsidRPr="006B734A" w:rsidRDefault="00E64CEF" w:rsidP="00A506D2">
            <w:pPr>
              <w:pStyle w:val="Table2"/>
            </w:pPr>
          </w:p>
        </w:tc>
      </w:tr>
      <w:tr w:rsidR="00E64CEF" w:rsidRPr="006B734A" w:rsidTr="00A506D2">
        <w:trPr>
          <w:cantSplit/>
          <w:jc w:val="center"/>
        </w:trPr>
        <w:tc>
          <w:tcPr>
            <w:tcW w:w="2260" w:type="dxa"/>
            <w:tcBorders>
              <w:top w:val="nil"/>
              <w:bottom w:val="nil"/>
              <w:right w:val="single" w:sz="4" w:space="0" w:color="auto"/>
            </w:tcBorders>
          </w:tcPr>
          <w:p w:rsidR="00E64CEF" w:rsidRDefault="00E64CEF" w:rsidP="00A506D2">
            <w:pPr>
              <w:pStyle w:val="Table2"/>
            </w:pPr>
            <w:r w:rsidRPr="006B734A">
              <w:t>E</w:t>
            </w:r>
            <w:r>
              <w:t xml:space="preserve">dible oil spreads and margarine </w:t>
            </w:r>
          </w:p>
          <w:p w:rsidR="00E64CEF" w:rsidRPr="006B734A" w:rsidRDefault="00E64CEF" w:rsidP="00A506D2">
            <w:pPr>
              <w:pStyle w:val="Table2"/>
            </w:pPr>
          </w:p>
          <w:p w:rsidR="00E64CEF" w:rsidRPr="006B734A" w:rsidRDefault="00E64CEF" w:rsidP="00A506D2">
            <w:pPr>
              <w:pStyle w:val="Table2"/>
            </w:pPr>
            <w:r>
              <w:t xml:space="preserve">Edible oil spreads and margarine </w:t>
            </w:r>
            <w:r w:rsidRPr="006B734A">
              <w:t>containing no more than 28% total saturated fatty acids and trans fatty acids</w:t>
            </w:r>
          </w:p>
          <w:p w:rsidR="00E64CEF" w:rsidRPr="006B734A" w:rsidRDefault="00E64CEF" w:rsidP="00A506D2">
            <w:pPr>
              <w:pStyle w:val="Table2"/>
            </w:pPr>
          </w:p>
        </w:tc>
        <w:tc>
          <w:tcPr>
            <w:tcW w:w="1413" w:type="dxa"/>
            <w:tcBorders>
              <w:top w:val="nil"/>
              <w:left w:val="single" w:sz="4" w:space="0" w:color="auto"/>
              <w:bottom w:val="nil"/>
              <w:right w:val="single" w:sz="4" w:space="0" w:color="auto"/>
            </w:tcBorders>
          </w:tcPr>
          <w:p w:rsidR="00E64CEF" w:rsidRDefault="00E64CEF" w:rsidP="00A506D2">
            <w:pPr>
              <w:pStyle w:val="Table2"/>
            </w:pPr>
            <w:r w:rsidRPr="006B734A">
              <w:t>10 g</w:t>
            </w:r>
          </w:p>
          <w:p w:rsidR="00E64CEF" w:rsidRDefault="00E64CEF" w:rsidP="00A506D2">
            <w:pPr>
              <w:pStyle w:val="Table2"/>
            </w:pPr>
          </w:p>
          <w:p w:rsidR="00E64CEF" w:rsidRDefault="00E64CEF" w:rsidP="00A506D2">
            <w:pPr>
              <w:pStyle w:val="Table2"/>
            </w:pPr>
          </w:p>
          <w:p w:rsidR="00E64CEF" w:rsidRPr="006B734A" w:rsidRDefault="00E64CEF" w:rsidP="00A506D2">
            <w:pPr>
              <w:pStyle w:val="Table2"/>
            </w:pPr>
            <w:r>
              <w:t>10 g</w:t>
            </w:r>
          </w:p>
        </w:tc>
        <w:tc>
          <w:tcPr>
            <w:tcW w:w="1653" w:type="dxa"/>
            <w:tcBorders>
              <w:top w:val="nil"/>
              <w:left w:val="single" w:sz="4" w:space="0" w:color="auto"/>
              <w:bottom w:val="nil"/>
              <w:right w:val="single" w:sz="4" w:space="0" w:color="auto"/>
            </w:tcBorders>
          </w:tcPr>
          <w:p w:rsidR="00E64CEF" w:rsidRPr="006B734A" w:rsidRDefault="00E64CEF" w:rsidP="00A506D2">
            <w:pPr>
              <w:pStyle w:val="Table2"/>
            </w:pPr>
            <w:r w:rsidRPr="006B734A">
              <w:t>Vitamin A</w:t>
            </w:r>
          </w:p>
          <w:p w:rsidR="00E64CEF" w:rsidRPr="006B734A" w:rsidRDefault="00E64CEF" w:rsidP="00A506D2">
            <w:pPr>
              <w:pStyle w:val="Table2"/>
            </w:pPr>
            <w:r w:rsidRPr="006B734A">
              <w:t>Vitamin D</w:t>
            </w:r>
          </w:p>
          <w:p w:rsidR="00E64CEF" w:rsidRPr="006B734A" w:rsidRDefault="00E64CEF" w:rsidP="00A506D2">
            <w:pPr>
              <w:pStyle w:val="Table2"/>
            </w:pPr>
          </w:p>
          <w:p w:rsidR="00E64CEF" w:rsidRPr="006B734A" w:rsidRDefault="00E64CEF" w:rsidP="00A506D2">
            <w:pPr>
              <w:pStyle w:val="Table2"/>
            </w:pPr>
            <w:r w:rsidRPr="006B734A">
              <w:t>Vitamin E</w:t>
            </w:r>
          </w:p>
        </w:tc>
        <w:tc>
          <w:tcPr>
            <w:tcW w:w="1920" w:type="dxa"/>
            <w:tcBorders>
              <w:top w:val="nil"/>
              <w:left w:val="single" w:sz="4" w:space="0" w:color="auto"/>
              <w:bottom w:val="nil"/>
              <w:right w:val="single" w:sz="4" w:space="0" w:color="auto"/>
            </w:tcBorders>
          </w:tcPr>
          <w:p w:rsidR="00E64CEF" w:rsidRPr="006B734A" w:rsidRDefault="00E64CEF" w:rsidP="00A506D2">
            <w:pPr>
              <w:pStyle w:val="Table2"/>
            </w:pPr>
            <w:r w:rsidRPr="006B734A">
              <w:t xml:space="preserve">110 </w:t>
            </w:r>
            <w:r w:rsidRPr="006B734A">
              <w:sym w:font="Symbol" w:char="F06D"/>
            </w:r>
            <w:r w:rsidRPr="006B734A">
              <w:t>g (15%)</w:t>
            </w:r>
          </w:p>
          <w:p w:rsidR="00E64CEF" w:rsidRPr="006B734A" w:rsidRDefault="00E64CEF" w:rsidP="00A506D2">
            <w:pPr>
              <w:pStyle w:val="Table2"/>
            </w:pPr>
            <w:r w:rsidRPr="006B734A">
              <w:t xml:space="preserve">1.0 </w:t>
            </w:r>
            <w:r w:rsidRPr="006B734A">
              <w:sym w:font="Symbol" w:char="F06D"/>
            </w:r>
            <w:r w:rsidRPr="006B734A">
              <w:t>g (10%)</w:t>
            </w:r>
          </w:p>
          <w:p w:rsidR="00E64CEF" w:rsidRPr="006B734A" w:rsidRDefault="00E64CEF" w:rsidP="00A506D2">
            <w:pPr>
              <w:pStyle w:val="Table2"/>
            </w:pPr>
          </w:p>
          <w:p w:rsidR="00E64CEF" w:rsidRPr="006B734A" w:rsidRDefault="00E64CEF" w:rsidP="00A506D2">
            <w:pPr>
              <w:pStyle w:val="Table2"/>
            </w:pPr>
            <w:r w:rsidRPr="006B734A">
              <w:t>3.5 mg (35%)</w:t>
            </w:r>
          </w:p>
        </w:tc>
        <w:tc>
          <w:tcPr>
            <w:tcW w:w="2013" w:type="dxa"/>
            <w:tcBorders>
              <w:top w:val="nil"/>
              <w:left w:val="single" w:sz="4" w:space="0" w:color="auto"/>
              <w:bottom w:val="nil"/>
            </w:tcBorders>
          </w:tcPr>
          <w:p w:rsidR="00E64CEF" w:rsidRPr="006B734A" w:rsidRDefault="00E64CEF" w:rsidP="00A506D2">
            <w:pPr>
              <w:pStyle w:val="Table2"/>
            </w:pPr>
            <w:r w:rsidRPr="006B734A">
              <w:t xml:space="preserve">125 </w:t>
            </w:r>
            <w:r w:rsidRPr="006B734A">
              <w:sym w:font="Symbol" w:char="F06D"/>
            </w:r>
            <w:r w:rsidRPr="006B734A">
              <w:t>g</w:t>
            </w:r>
          </w:p>
          <w:p w:rsidR="00E64CEF" w:rsidRPr="006B734A" w:rsidRDefault="00E64CEF" w:rsidP="00E64CEF">
            <w:pPr>
              <w:pStyle w:val="Table2"/>
              <w:numPr>
                <w:ilvl w:val="1"/>
                <w:numId w:val="10"/>
              </w:numPr>
            </w:pPr>
            <w:r w:rsidRPr="006B734A">
              <w:sym w:font="Symbol" w:char="F06D"/>
            </w:r>
            <w:r w:rsidRPr="006B734A">
              <w:t>g</w:t>
            </w:r>
          </w:p>
        </w:tc>
      </w:tr>
      <w:tr w:rsidR="00E64CEF" w:rsidRPr="006B734A" w:rsidTr="00A506D2">
        <w:trPr>
          <w:cantSplit/>
          <w:jc w:val="center"/>
        </w:trPr>
        <w:tc>
          <w:tcPr>
            <w:tcW w:w="2260" w:type="dxa"/>
            <w:tcBorders>
              <w:top w:val="nil"/>
              <w:bottom w:val="single" w:sz="4" w:space="0" w:color="auto"/>
              <w:right w:val="single" w:sz="4" w:space="0" w:color="auto"/>
            </w:tcBorders>
          </w:tcPr>
          <w:p w:rsidR="00E64CEF" w:rsidRDefault="00E64CEF" w:rsidP="00A506D2">
            <w:pPr>
              <w:pStyle w:val="Table2"/>
            </w:pPr>
            <w:r>
              <w:t>S</w:t>
            </w:r>
            <w:r w:rsidRPr="006B734A">
              <w:t>unflower oil and safflower oil</w:t>
            </w:r>
            <w:r>
              <w:t xml:space="preserve"> </w:t>
            </w:r>
          </w:p>
          <w:p w:rsidR="00E64CEF" w:rsidRDefault="00E64CEF" w:rsidP="00A506D2">
            <w:pPr>
              <w:pStyle w:val="Table2"/>
            </w:pPr>
          </w:p>
          <w:p w:rsidR="00E64CEF" w:rsidRPr="006B734A" w:rsidRDefault="00E64CEF" w:rsidP="00A506D2">
            <w:pPr>
              <w:pStyle w:val="Table2"/>
            </w:pPr>
            <w:r>
              <w:t>Edible oils (except sunflower and safflower oil)</w:t>
            </w:r>
            <w:r w:rsidRPr="006B734A">
              <w:t xml:space="preserve"> containing no more than 28% total saturated fatty acids and trans fatty acids</w:t>
            </w:r>
          </w:p>
          <w:p w:rsidR="00E64CEF" w:rsidRPr="006B734A" w:rsidRDefault="00E64CEF" w:rsidP="00A506D2">
            <w:pPr>
              <w:pStyle w:val="Table2"/>
            </w:pPr>
          </w:p>
        </w:tc>
        <w:tc>
          <w:tcPr>
            <w:tcW w:w="1413" w:type="dxa"/>
            <w:tcBorders>
              <w:top w:val="nil"/>
              <w:left w:val="single" w:sz="4" w:space="0" w:color="auto"/>
              <w:bottom w:val="single" w:sz="4" w:space="0" w:color="auto"/>
              <w:right w:val="single" w:sz="4" w:space="0" w:color="auto"/>
            </w:tcBorders>
          </w:tcPr>
          <w:p w:rsidR="00E64CEF" w:rsidRDefault="00E64CEF" w:rsidP="00A506D2">
            <w:pPr>
              <w:pStyle w:val="Table2"/>
            </w:pPr>
            <w:r w:rsidRPr="006B734A">
              <w:t>10 g</w:t>
            </w:r>
          </w:p>
          <w:p w:rsidR="00E64CEF" w:rsidRDefault="00E64CEF" w:rsidP="00A506D2">
            <w:pPr>
              <w:pStyle w:val="Table2"/>
            </w:pPr>
          </w:p>
          <w:p w:rsidR="00E64CEF" w:rsidRDefault="00E64CEF" w:rsidP="00A506D2">
            <w:pPr>
              <w:pStyle w:val="Table2"/>
            </w:pPr>
          </w:p>
          <w:p w:rsidR="00E64CEF" w:rsidRDefault="00E64CEF" w:rsidP="00A506D2">
            <w:pPr>
              <w:pStyle w:val="Table2"/>
            </w:pPr>
            <w:r>
              <w:t>10 g</w:t>
            </w:r>
          </w:p>
          <w:p w:rsidR="00E64CEF" w:rsidRPr="006B734A" w:rsidRDefault="00E64CEF" w:rsidP="00A506D2">
            <w:pPr>
              <w:pStyle w:val="Table2"/>
            </w:pPr>
          </w:p>
        </w:tc>
        <w:tc>
          <w:tcPr>
            <w:tcW w:w="1653" w:type="dxa"/>
            <w:tcBorders>
              <w:top w:val="nil"/>
              <w:left w:val="single" w:sz="4" w:space="0" w:color="auto"/>
              <w:bottom w:val="single" w:sz="4" w:space="0" w:color="auto"/>
              <w:right w:val="single" w:sz="4" w:space="0" w:color="auto"/>
            </w:tcBorders>
          </w:tcPr>
          <w:p w:rsidR="00E64CEF" w:rsidRDefault="00E64CEF" w:rsidP="00A506D2">
            <w:pPr>
              <w:pStyle w:val="Table2"/>
            </w:pPr>
            <w:r w:rsidRPr="006B734A">
              <w:t>Vitamin E</w:t>
            </w:r>
          </w:p>
          <w:p w:rsidR="00E64CEF" w:rsidRDefault="00E64CEF" w:rsidP="00A506D2">
            <w:pPr>
              <w:pStyle w:val="Table2"/>
            </w:pPr>
          </w:p>
          <w:p w:rsidR="00E64CEF" w:rsidRDefault="00E64CEF" w:rsidP="00A506D2">
            <w:pPr>
              <w:pStyle w:val="Table2"/>
            </w:pPr>
          </w:p>
          <w:p w:rsidR="00E64CEF" w:rsidRDefault="00E64CEF" w:rsidP="00A506D2">
            <w:pPr>
              <w:pStyle w:val="Table2"/>
            </w:pPr>
            <w:r>
              <w:t>Vitamin E</w:t>
            </w:r>
          </w:p>
          <w:p w:rsidR="00E64CEF" w:rsidRPr="00026036" w:rsidRDefault="00E64CEF" w:rsidP="00A506D2"/>
        </w:tc>
        <w:tc>
          <w:tcPr>
            <w:tcW w:w="1920" w:type="dxa"/>
            <w:tcBorders>
              <w:top w:val="nil"/>
              <w:left w:val="single" w:sz="4" w:space="0" w:color="auto"/>
              <w:bottom w:val="single" w:sz="4" w:space="0" w:color="auto"/>
              <w:right w:val="single" w:sz="4" w:space="0" w:color="auto"/>
            </w:tcBorders>
          </w:tcPr>
          <w:p w:rsidR="00E64CEF" w:rsidRPr="006B734A" w:rsidRDefault="00E64CEF" w:rsidP="00A506D2">
            <w:pPr>
              <w:pStyle w:val="Table2"/>
            </w:pPr>
            <w:r w:rsidRPr="006B734A">
              <w:t>7.0 mg (70%)</w:t>
            </w:r>
          </w:p>
          <w:p w:rsidR="00E64CEF" w:rsidRPr="006B734A" w:rsidRDefault="00E64CEF" w:rsidP="00A506D2">
            <w:pPr>
              <w:pStyle w:val="Table2"/>
            </w:pPr>
          </w:p>
          <w:p w:rsidR="00E64CEF" w:rsidRDefault="00E64CEF" w:rsidP="00A506D2">
            <w:pPr>
              <w:pStyle w:val="Table2"/>
            </w:pPr>
          </w:p>
          <w:p w:rsidR="00E64CEF" w:rsidRPr="006B734A" w:rsidRDefault="00E64CEF" w:rsidP="00A506D2">
            <w:pPr>
              <w:pStyle w:val="Table2"/>
            </w:pPr>
            <w:r w:rsidRPr="006B734A">
              <w:t>3.0 mg (30%)</w:t>
            </w:r>
          </w:p>
        </w:tc>
        <w:tc>
          <w:tcPr>
            <w:tcW w:w="2013" w:type="dxa"/>
            <w:tcBorders>
              <w:top w:val="nil"/>
              <w:left w:val="single" w:sz="4" w:space="0" w:color="auto"/>
              <w:bottom w:val="single" w:sz="4" w:space="0" w:color="auto"/>
            </w:tcBorders>
          </w:tcPr>
          <w:p w:rsidR="00E64CEF" w:rsidRPr="006B734A" w:rsidRDefault="00E64CEF" w:rsidP="00A506D2">
            <w:pPr>
              <w:pStyle w:val="Table2"/>
            </w:pPr>
          </w:p>
        </w:tc>
      </w:tr>
      <w:tr w:rsidR="00E64CEF" w:rsidRPr="006B734A" w:rsidTr="00A506D2">
        <w:trPr>
          <w:cantSplit/>
          <w:jc w:val="center"/>
        </w:trPr>
        <w:tc>
          <w:tcPr>
            <w:tcW w:w="2260" w:type="dxa"/>
            <w:tcBorders>
              <w:top w:val="single" w:sz="4" w:space="0" w:color="auto"/>
              <w:bottom w:val="nil"/>
              <w:right w:val="single" w:sz="4" w:space="0" w:color="auto"/>
            </w:tcBorders>
          </w:tcPr>
          <w:p w:rsidR="00E64CEF" w:rsidRPr="006B734A" w:rsidRDefault="00E64CEF" w:rsidP="00A506D2">
            <w:pPr>
              <w:pStyle w:val="Table1"/>
              <w:keepNext/>
              <w:jc w:val="left"/>
            </w:pPr>
            <w:r w:rsidRPr="006B734A">
              <w:t>Fruit juice, vegetable juice, fruit drink and fruit cordial</w:t>
            </w:r>
          </w:p>
        </w:tc>
        <w:tc>
          <w:tcPr>
            <w:tcW w:w="1413" w:type="dxa"/>
            <w:tcBorders>
              <w:top w:val="single" w:sz="4" w:space="0" w:color="auto"/>
              <w:left w:val="single" w:sz="4" w:space="0" w:color="auto"/>
              <w:bottom w:val="nil"/>
              <w:right w:val="single" w:sz="4" w:space="0" w:color="auto"/>
            </w:tcBorders>
          </w:tcPr>
          <w:p w:rsidR="00E64CEF" w:rsidRPr="006B734A" w:rsidRDefault="00E64CEF" w:rsidP="00A506D2">
            <w:pPr>
              <w:pStyle w:val="Table2"/>
            </w:pPr>
          </w:p>
        </w:tc>
        <w:tc>
          <w:tcPr>
            <w:tcW w:w="1653" w:type="dxa"/>
            <w:tcBorders>
              <w:top w:val="single" w:sz="4" w:space="0" w:color="auto"/>
              <w:left w:val="single" w:sz="4" w:space="0" w:color="auto"/>
              <w:bottom w:val="nil"/>
              <w:right w:val="single" w:sz="4" w:space="0" w:color="auto"/>
            </w:tcBorders>
          </w:tcPr>
          <w:p w:rsidR="00E64CEF" w:rsidRPr="006B734A" w:rsidRDefault="00E64CEF" w:rsidP="00A506D2">
            <w:pPr>
              <w:pStyle w:val="Table2"/>
            </w:pPr>
          </w:p>
        </w:tc>
        <w:tc>
          <w:tcPr>
            <w:tcW w:w="1920" w:type="dxa"/>
            <w:tcBorders>
              <w:top w:val="single" w:sz="4" w:space="0" w:color="auto"/>
              <w:left w:val="single" w:sz="4" w:space="0" w:color="auto"/>
              <w:bottom w:val="nil"/>
              <w:right w:val="single" w:sz="4" w:space="0" w:color="auto"/>
            </w:tcBorders>
          </w:tcPr>
          <w:p w:rsidR="00E64CEF" w:rsidRPr="006B734A" w:rsidRDefault="00E64CEF" w:rsidP="00A506D2">
            <w:pPr>
              <w:pStyle w:val="Table2"/>
            </w:pPr>
          </w:p>
        </w:tc>
        <w:tc>
          <w:tcPr>
            <w:tcW w:w="2013" w:type="dxa"/>
            <w:tcBorders>
              <w:top w:val="single" w:sz="4" w:space="0" w:color="auto"/>
              <w:left w:val="single" w:sz="4" w:space="0" w:color="auto"/>
              <w:bottom w:val="nil"/>
            </w:tcBorders>
          </w:tcPr>
          <w:p w:rsidR="00E64CEF" w:rsidRPr="006B734A" w:rsidRDefault="00E64CEF" w:rsidP="00A506D2">
            <w:pPr>
              <w:pStyle w:val="Table2"/>
            </w:pPr>
          </w:p>
        </w:tc>
      </w:tr>
      <w:tr w:rsidR="00E64CEF" w:rsidRPr="006B734A" w:rsidTr="00A506D2">
        <w:trPr>
          <w:cantSplit/>
          <w:jc w:val="center"/>
        </w:trPr>
        <w:tc>
          <w:tcPr>
            <w:tcW w:w="2260" w:type="dxa"/>
            <w:tcBorders>
              <w:top w:val="nil"/>
              <w:bottom w:val="nil"/>
              <w:right w:val="single" w:sz="4" w:space="0" w:color="auto"/>
            </w:tcBorders>
          </w:tcPr>
          <w:p w:rsidR="00E64CEF" w:rsidRPr="0067655F" w:rsidRDefault="00E64CEF" w:rsidP="00A506D2">
            <w:pPr>
              <w:pStyle w:val="Table2"/>
            </w:pPr>
            <w:r w:rsidRPr="000F4D53">
              <w:t>All fruit juice</w:t>
            </w:r>
            <w:r>
              <w:t xml:space="preserve"> and concentrated fruit juice</w:t>
            </w:r>
          </w:p>
          <w:p w:rsidR="00E64CEF" w:rsidRPr="0067655F" w:rsidRDefault="00E64CEF" w:rsidP="00A506D2">
            <w:pPr>
              <w:pStyle w:val="Table2"/>
            </w:pPr>
          </w:p>
          <w:p w:rsidR="00E64CEF" w:rsidRPr="0067655F" w:rsidRDefault="00E64CEF" w:rsidP="00A506D2">
            <w:pPr>
              <w:pStyle w:val="Table2"/>
            </w:pPr>
          </w:p>
          <w:p w:rsidR="00E64CEF" w:rsidRPr="0067655F" w:rsidRDefault="00E64CEF" w:rsidP="00A506D2">
            <w:pPr>
              <w:pStyle w:val="Table2"/>
            </w:pPr>
          </w:p>
          <w:p w:rsidR="00E64CEF" w:rsidRPr="0067655F" w:rsidRDefault="00E64CEF" w:rsidP="00A506D2">
            <w:pPr>
              <w:pStyle w:val="Table2"/>
            </w:pPr>
            <w:r w:rsidRPr="000F4D53">
              <w:t>Blackcurrant juice</w:t>
            </w:r>
            <w:r>
              <w:t>, concentrated blackcurrant juice</w:t>
            </w:r>
          </w:p>
          <w:p w:rsidR="00E64CEF" w:rsidRPr="0067655F" w:rsidRDefault="00E64CEF" w:rsidP="00A506D2">
            <w:pPr>
              <w:pStyle w:val="Table2"/>
            </w:pPr>
          </w:p>
          <w:p w:rsidR="00E64CEF" w:rsidRPr="0067655F" w:rsidRDefault="00E64CEF" w:rsidP="00A506D2">
            <w:pPr>
              <w:pStyle w:val="Table2"/>
              <w:ind w:left="170" w:hanging="170"/>
            </w:pPr>
            <w:r w:rsidRPr="000F4D53">
              <w:t>Guava juice</w:t>
            </w:r>
            <w:r>
              <w:t>, concentrated guava juice</w:t>
            </w:r>
          </w:p>
          <w:p w:rsidR="00E64CEF" w:rsidRPr="0067655F" w:rsidRDefault="00E64CEF" w:rsidP="00A506D2">
            <w:pPr>
              <w:pStyle w:val="Table2"/>
              <w:ind w:left="170" w:hanging="170"/>
              <w:rPr>
                <w:iCs/>
              </w:rPr>
            </w:pPr>
          </w:p>
          <w:p w:rsidR="00E64CEF" w:rsidRPr="0067655F" w:rsidRDefault="00E64CEF" w:rsidP="00A506D2">
            <w:pPr>
              <w:pStyle w:val="Table2"/>
              <w:ind w:left="170" w:hanging="170"/>
            </w:pPr>
            <w:r w:rsidRPr="000F4D53">
              <w:t>Mango juice</w:t>
            </w:r>
          </w:p>
          <w:p w:rsidR="00E64CEF" w:rsidRPr="0067655F" w:rsidRDefault="00E64CEF" w:rsidP="00A506D2">
            <w:pPr>
              <w:pStyle w:val="Table2"/>
              <w:ind w:left="170" w:hanging="170"/>
              <w:rPr>
                <w:iCs/>
              </w:rPr>
            </w:pPr>
          </w:p>
          <w:p w:rsidR="00E64CEF" w:rsidRPr="0067655F" w:rsidRDefault="00E64CEF" w:rsidP="00A506D2">
            <w:pPr>
              <w:pStyle w:val="Table2"/>
              <w:ind w:left="170" w:hanging="170"/>
            </w:pPr>
          </w:p>
          <w:p w:rsidR="00E64CEF" w:rsidRPr="0067655F" w:rsidRDefault="00E64CEF" w:rsidP="00A506D2">
            <w:pPr>
              <w:pStyle w:val="Table2"/>
              <w:ind w:left="170" w:hanging="170"/>
            </w:pPr>
            <w:r w:rsidRPr="000F4D53">
              <w:t>Pawpaw juice</w:t>
            </w:r>
            <w:r>
              <w:t>, concentrated pawpaw juice</w:t>
            </w:r>
          </w:p>
          <w:p w:rsidR="00E64CEF" w:rsidRDefault="00E64CEF" w:rsidP="00A506D2">
            <w:pPr>
              <w:pStyle w:val="Table2"/>
              <w:ind w:left="0" w:firstLine="0"/>
            </w:pPr>
          </w:p>
        </w:tc>
        <w:tc>
          <w:tcPr>
            <w:tcW w:w="1413" w:type="dxa"/>
            <w:tcBorders>
              <w:top w:val="nil"/>
              <w:left w:val="single" w:sz="4" w:space="0" w:color="auto"/>
              <w:bottom w:val="nil"/>
              <w:right w:val="single" w:sz="4" w:space="0" w:color="auto"/>
            </w:tcBorders>
          </w:tcPr>
          <w:p w:rsidR="00E64CEF" w:rsidRDefault="00E64CEF" w:rsidP="00A506D2">
            <w:pPr>
              <w:pStyle w:val="Table2"/>
            </w:pPr>
            <w:r>
              <w:t>200 mL</w:t>
            </w:r>
          </w:p>
          <w:p w:rsidR="00E64CEF" w:rsidRDefault="00E64CEF" w:rsidP="00A506D2">
            <w:pPr>
              <w:pStyle w:val="Table2"/>
            </w:pPr>
          </w:p>
          <w:p w:rsidR="00E64CEF" w:rsidRDefault="00E64CEF" w:rsidP="00A506D2">
            <w:pPr>
              <w:pStyle w:val="Table2"/>
            </w:pPr>
          </w:p>
          <w:p w:rsidR="00E64CEF" w:rsidRDefault="00E64CEF" w:rsidP="00A506D2">
            <w:pPr>
              <w:pStyle w:val="Table2"/>
            </w:pPr>
          </w:p>
          <w:p w:rsidR="00E64CEF" w:rsidRDefault="00E64CEF" w:rsidP="00A506D2">
            <w:pPr>
              <w:pStyle w:val="Table2"/>
            </w:pPr>
          </w:p>
          <w:p w:rsidR="00E64CEF" w:rsidRDefault="00E64CEF" w:rsidP="00A506D2">
            <w:pPr>
              <w:pStyle w:val="Table2"/>
            </w:pPr>
          </w:p>
          <w:p w:rsidR="00E64CEF" w:rsidRDefault="00E64CEF" w:rsidP="00A506D2">
            <w:pPr>
              <w:pStyle w:val="Table2"/>
              <w:ind w:left="0" w:firstLine="0"/>
            </w:pPr>
            <w:r>
              <w:t>200 mL</w:t>
            </w:r>
          </w:p>
          <w:p w:rsidR="00E64CEF" w:rsidRDefault="00E64CEF" w:rsidP="00A506D2">
            <w:pPr>
              <w:pStyle w:val="Table2"/>
              <w:ind w:left="0" w:firstLine="0"/>
            </w:pPr>
          </w:p>
          <w:p w:rsidR="00E64CEF" w:rsidRDefault="00E64CEF" w:rsidP="00A506D2">
            <w:pPr>
              <w:pStyle w:val="Table2"/>
              <w:ind w:left="0" w:firstLine="0"/>
            </w:pPr>
          </w:p>
          <w:p w:rsidR="00E64CEF" w:rsidRDefault="00E64CEF" w:rsidP="00A506D2">
            <w:pPr>
              <w:pStyle w:val="Table2"/>
              <w:ind w:left="0" w:firstLine="0"/>
            </w:pPr>
          </w:p>
          <w:p w:rsidR="00E64CEF" w:rsidRDefault="00E64CEF" w:rsidP="00A506D2">
            <w:pPr>
              <w:pStyle w:val="Table2"/>
              <w:ind w:left="0" w:firstLine="0"/>
            </w:pPr>
            <w:r>
              <w:t>200 mL</w:t>
            </w:r>
          </w:p>
          <w:p w:rsidR="00E64CEF" w:rsidRDefault="00E64CEF" w:rsidP="00A506D2">
            <w:pPr>
              <w:pStyle w:val="Table2"/>
              <w:ind w:left="0" w:firstLine="0"/>
            </w:pPr>
          </w:p>
          <w:p w:rsidR="00E64CEF" w:rsidRDefault="00E64CEF" w:rsidP="00A506D2">
            <w:pPr>
              <w:pStyle w:val="Table2"/>
              <w:ind w:left="0" w:firstLine="0"/>
            </w:pPr>
          </w:p>
          <w:p w:rsidR="00E64CEF" w:rsidRDefault="00E64CEF" w:rsidP="00A506D2">
            <w:pPr>
              <w:pStyle w:val="Table2"/>
              <w:ind w:left="0" w:firstLine="0"/>
            </w:pPr>
          </w:p>
          <w:p w:rsidR="00E64CEF" w:rsidRDefault="00E64CEF" w:rsidP="00A506D2">
            <w:pPr>
              <w:pStyle w:val="Table2"/>
              <w:ind w:left="0" w:firstLine="0"/>
            </w:pPr>
            <w:r>
              <w:t>200 mL</w:t>
            </w:r>
          </w:p>
          <w:p w:rsidR="00E64CEF" w:rsidRDefault="00E64CEF" w:rsidP="00A506D2">
            <w:pPr>
              <w:pStyle w:val="Table2"/>
              <w:ind w:left="0" w:firstLine="0"/>
            </w:pPr>
          </w:p>
          <w:p w:rsidR="00E64CEF" w:rsidRDefault="00E64CEF" w:rsidP="00A506D2">
            <w:pPr>
              <w:pStyle w:val="Table2"/>
              <w:ind w:left="0" w:firstLine="0"/>
            </w:pPr>
          </w:p>
          <w:p w:rsidR="00E64CEF" w:rsidRPr="0067655F" w:rsidRDefault="00E64CEF" w:rsidP="00A506D2">
            <w:pPr>
              <w:pStyle w:val="Table2"/>
              <w:ind w:left="0" w:firstLine="0"/>
            </w:pPr>
            <w:r>
              <w:t>200 mL</w:t>
            </w:r>
          </w:p>
        </w:tc>
        <w:tc>
          <w:tcPr>
            <w:tcW w:w="1653" w:type="dxa"/>
            <w:tcBorders>
              <w:top w:val="nil"/>
              <w:left w:val="single" w:sz="4" w:space="0" w:color="auto"/>
              <w:bottom w:val="nil"/>
              <w:right w:val="single" w:sz="4" w:space="0" w:color="auto"/>
            </w:tcBorders>
          </w:tcPr>
          <w:p w:rsidR="00E64CEF" w:rsidRPr="0067655F" w:rsidRDefault="00E64CEF" w:rsidP="00A506D2">
            <w:pPr>
              <w:pStyle w:val="Table2"/>
            </w:pPr>
            <w:r>
              <w:t>Calcium</w:t>
            </w:r>
          </w:p>
          <w:p w:rsidR="00E64CEF" w:rsidRPr="0067655F" w:rsidRDefault="00E64CEF" w:rsidP="00A506D2">
            <w:pPr>
              <w:pStyle w:val="Table2"/>
            </w:pPr>
            <w:r>
              <w:t>Folate</w:t>
            </w:r>
          </w:p>
          <w:p w:rsidR="00E64CEF" w:rsidRPr="0067655F" w:rsidRDefault="00E64CEF" w:rsidP="00A506D2">
            <w:pPr>
              <w:pStyle w:val="Table2"/>
            </w:pPr>
            <w:r>
              <w:t>Vitamin C</w:t>
            </w:r>
          </w:p>
          <w:p w:rsidR="00E64CEF" w:rsidRPr="0067655F" w:rsidRDefault="00E64CEF" w:rsidP="00A506D2">
            <w:pPr>
              <w:pStyle w:val="Table2"/>
            </w:pPr>
            <w:r>
              <w:t>Carotene forms of Vitamin A</w:t>
            </w:r>
          </w:p>
          <w:p w:rsidR="00E64CEF" w:rsidRPr="0067655F" w:rsidRDefault="00E64CEF" w:rsidP="00A506D2">
            <w:pPr>
              <w:pStyle w:val="Table2"/>
            </w:pPr>
          </w:p>
          <w:p w:rsidR="00E64CEF" w:rsidRPr="0067655F" w:rsidRDefault="00E64CEF" w:rsidP="00A506D2">
            <w:pPr>
              <w:pStyle w:val="Table2"/>
            </w:pPr>
            <w:r>
              <w:t>Vitamin C</w:t>
            </w:r>
          </w:p>
          <w:p w:rsidR="00E64CEF" w:rsidRPr="0067655F" w:rsidRDefault="00E64CEF" w:rsidP="00A506D2">
            <w:pPr>
              <w:pStyle w:val="Table2"/>
            </w:pPr>
          </w:p>
          <w:p w:rsidR="00E64CEF" w:rsidRDefault="00E64CEF" w:rsidP="00A506D2">
            <w:pPr>
              <w:pStyle w:val="Table2"/>
            </w:pPr>
          </w:p>
          <w:p w:rsidR="00E64CEF" w:rsidRDefault="00E64CEF" w:rsidP="00A506D2">
            <w:pPr>
              <w:pStyle w:val="Table2"/>
            </w:pPr>
          </w:p>
          <w:p w:rsidR="00E64CEF" w:rsidRPr="0067655F" w:rsidRDefault="00E64CEF" w:rsidP="00A506D2">
            <w:pPr>
              <w:pStyle w:val="Table2"/>
            </w:pPr>
            <w:r>
              <w:t>Vitamin C</w:t>
            </w:r>
          </w:p>
          <w:p w:rsidR="00E64CEF" w:rsidRPr="0067655F" w:rsidRDefault="00E64CEF" w:rsidP="00A506D2">
            <w:pPr>
              <w:pStyle w:val="Table2"/>
            </w:pPr>
          </w:p>
          <w:p w:rsidR="00E64CEF" w:rsidRDefault="00E64CEF" w:rsidP="00A506D2">
            <w:pPr>
              <w:pStyle w:val="Table2"/>
            </w:pPr>
          </w:p>
          <w:p w:rsidR="00E64CEF" w:rsidRDefault="00E64CEF" w:rsidP="00A506D2">
            <w:pPr>
              <w:pStyle w:val="Table2"/>
            </w:pPr>
          </w:p>
          <w:p w:rsidR="00E64CEF" w:rsidRPr="0067655F" w:rsidRDefault="00E64CEF" w:rsidP="00A506D2">
            <w:pPr>
              <w:pStyle w:val="Table2"/>
            </w:pPr>
            <w:r>
              <w:t>Carotene forms of Vitamin A</w:t>
            </w:r>
          </w:p>
          <w:p w:rsidR="00E64CEF" w:rsidRPr="0067655F" w:rsidRDefault="00E64CEF" w:rsidP="00A506D2">
            <w:pPr>
              <w:pStyle w:val="Table2"/>
            </w:pPr>
          </w:p>
          <w:p w:rsidR="00E64CEF" w:rsidRPr="0067655F" w:rsidRDefault="00E64CEF" w:rsidP="00A506D2">
            <w:pPr>
              <w:pStyle w:val="Table2"/>
            </w:pPr>
            <w:r>
              <w:t>Carotene forms of Vitamin A</w:t>
            </w:r>
          </w:p>
          <w:p w:rsidR="00E64CEF" w:rsidRPr="0067655F" w:rsidRDefault="00E64CEF" w:rsidP="00A506D2">
            <w:pPr>
              <w:pStyle w:val="Table2"/>
            </w:pPr>
          </w:p>
        </w:tc>
        <w:tc>
          <w:tcPr>
            <w:tcW w:w="1920" w:type="dxa"/>
            <w:tcBorders>
              <w:top w:val="nil"/>
              <w:left w:val="single" w:sz="4" w:space="0" w:color="auto"/>
              <w:bottom w:val="nil"/>
              <w:right w:val="single" w:sz="4" w:space="0" w:color="auto"/>
            </w:tcBorders>
          </w:tcPr>
          <w:p w:rsidR="00E64CEF" w:rsidRPr="0067655F" w:rsidRDefault="00E64CEF" w:rsidP="00A506D2">
            <w:pPr>
              <w:pStyle w:val="Table2"/>
            </w:pPr>
            <w:r>
              <w:t>200 mg (25%)</w:t>
            </w:r>
          </w:p>
          <w:p w:rsidR="00E64CEF" w:rsidRPr="0067655F" w:rsidRDefault="00E64CEF" w:rsidP="00A506D2">
            <w:pPr>
              <w:pStyle w:val="Table2"/>
            </w:pPr>
            <w:r>
              <w:t xml:space="preserve">100 </w:t>
            </w:r>
            <w:r>
              <w:sym w:font="Symbol" w:char="F06D"/>
            </w:r>
            <w:r>
              <w:t>g (50%)</w:t>
            </w:r>
          </w:p>
          <w:p w:rsidR="00E64CEF" w:rsidRPr="0067655F" w:rsidRDefault="00E64CEF" w:rsidP="00A506D2">
            <w:pPr>
              <w:pStyle w:val="Table2"/>
            </w:pPr>
            <w:r>
              <w:t>120 mg (3 times</w:t>
            </w:r>
          </w:p>
          <w:p w:rsidR="00E64CEF" w:rsidRPr="0067655F" w:rsidRDefault="00E64CEF" w:rsidP="00A506D2">
            <w:pPr>
              <w:pStyle w:val="Table2"/>
            </w:pPr>
            <w:r>
              <w:t xml:space="preserve">200 </w:t>
            </w:r>
            <w:r>
              <w:sym w:font="Symbol" w:char="F06D"/>
            </w:r>
            <w:r>
              <w:t>g (25%)</w:t>
            </w:r>
          </w:p>
          <w:p w:rsidR="00E64CEF" w:rsidRPr="0067655F" w:rsidRDefault="00E64CEF" w:rsidP="00A506D2">
            <w:pPr>
              <w:pStyle w:val="Table2"/>
            </w:pPr>
          </w:p>
          <w:p w:rsidR="00E64CEF" w:rsidRPr="0067655F" w:rsidRDefault="00E64CEF" w:rsidP="00A506D2">
            <w:pPr>
              <w:pStyle w:val="Table2"/>
            </w:pPr>
          </w:p>
          <w:p w:rsidR="00E64CEF" w:rsidRPr="0067655F" w:rsidRDefault="00E64CEF" w:rsidP="00A506D2">
            <w:pPr>
              <w:pStyle w:val="Table2"/>
            </w:pPr>
            <w:r>
              <w:t>500 mg (12.5 times)</w:t>
            </w:r>
          </w:p>
          <w:p w:rsidR="00E64CEF" w:rsidRPr="0067655F" w:rsidRDefault="00E64CEF" w:rsidP="00A506D2">
            <w:pPr>
              <w:pStyle w:val="Table2"/>
            </w:pPr>
          </w:p>
          <w:p w:rsidR="00E64CEF" w:rsidRDefault="00E64CEF" w:rsidP="00A506D2">
            <w:pPr>
              <w:pStyle w:val="Table2"/>
            </w:pPr>
          </w:p>
          <w:p w:rsidR="00E64CEF" w:rsidRPr="0067655F" w:rsidRDefault="00E64CEF" w:rsidP="00A506D2">
            <w:pPr>
              <w:pStyle w:val="Table2"/>
            </w:pPr>
            <w:r>
              <w:t>400 mg (10 times)</w:t>
            </w:r>
          </w:p>
          <w:p w:rsidR="00E64CEF" w:rsidRPr="0067655F" w:rsidRDefault="00E64CEF" w:rsidP="00A506D2">
            <w:pPr>
              <w:pStyle w:val="Table2"/>
            </w:pPr>
          </w:p>
          <w:p w:rsidR="00E64CEF" w:rsidRDefault="00E64CEF" w:rsidP="00A506D2">
            <w:pPr>
              <w:pStyle w:val="Table2"/>
            </w:pPr>
          </w:p>
          <w:p w:rsidR="00E64CEF" w:rsidRDefault="00E64CEF" w:rsidP="00A506D2">
            <w:pPr>
              <w:pStyle w:val="Table2"/>
            </w:pPr>
          </w:p>
          <w:p w:rsidR="00E64CEF" w:rsidRPr="0067655F" w:rsidRDefault="00E64CEF" w:rsidP="00A506D2">
            <w:pPr>
              <w:pStyle w:val="Table2"/>
            </w:pPr>
            <w:r>
              <w:t xml:space="preserve">800 </w:t>
            </w:r>
            <w:r>
              <w:sym w:font="Symbol" w:char="F06D"/>
            </w:r>
            <w:r>
              <w:t>g (1.1 times)</w:t>
            </w:r>
          </w:p>
          <w:p w:rsidR="00E64CEF" w:rsidRPr="0067655F" w:rsidRDefault="00E64CEF" w:rsidP="00A506D2">
            <w:pPr>
              <w:pStyle w:val="Table2"/>
            </w:pPr>
          </w:p>
          <w:p w:rsidR="00E64CEF" w:rsidRPr="0067655F" w:rsidRDefault="00E64CEF" w:rsidP="00A506D2">
            <w:pPr>
              <w:pStyle w:val="Table2"/>
            </w:pPr>
          </w:p>
          <w:p w:rsidR="00E64CEF" w:rsidRPr="0067655F" w:rsidRDefault="00E64CEF" w:rsidP="00A506D2">
            <w:pPr>
              <w:pStyle w:val="Table2"/>
            </w:pPr>
            <w:r>
              <w:t xml:space="preserve">300 </w:t>
            </w:r>
            <w:r>
              <w:sym w:font="Symbol" w:char="F06D"/>
            </w:r>
            <w:r>
              <w:t>g (40%)</w:t>
            </w:r>
          </w:p>
          <w:p w:rsidR="00E64CEF" w:rsidRPr="0067655F" w:rsidRDefault="00E64CEF" w:rsidP="00A506D2">
            <w:pPr>
              <w:pStyle w:val="Table2"/>
            </w:pPr>
          </w:p>
          <w:p w:rsidR="00E64CEF" w:rsidRPr="007D418D" w:rsidRDefault="00E64CEF" w:rsidP="00A506D2">
            <w:pPr>
              <w:pStyle w:val="Table2"/>
              <w:rPr>
                <w:highlight w:val="yellow"/>
              </w:rPr>
            </w:pPr>
          </w:p>
        </w:tc>
        <w:tc>
          <w:tcPr>
            <w:tcW w:w="2013" w:type="dxa"/>
            <w:tcBorders>
              <w:top w:val="nil"/>
              <w:left w:val="single" w:sz="4" w:space="0" w:color="auto"/>
              <w:bottom w:val="nil"/>
            </w:tcBorders>
          </w:tcPr>
          <w:p w:rsidR="00E64CEF" w:rsidRPr="006B734A" w:rsidRDefault="00E64CEF" w:rsidP="00A506D2">
            <w:pPr>
              <w:pStyle w:val="Table2"/>
            </w:pPr>
          </w:p>
        </w:tc>
      </w:tr>
      <w:tr w:rsidR="00E64CEF" w:rsidRPr="006B734A" w:rsidTr="00A506D2">
        <w:trPr>
          <w:cantSplit/>
          <w:jc w:val="center"/>
        </w:trPr>
        <w:tc>
          <w:tcPr>
            <w:tcW w:w="2260" w:type="dxa"/>
            <w:tcBorders>
              <w:top w:val="nil"/>
              <w:bottom w:val="single" w:sz="4" w:space="0" w:color="auto"/>
              <w:right w:val="single" w:sz="4" w:space="0" w:color="auto"/>
            </w:tcBorders>
          </w:tcPr>
          <w:p w:rsidR="00E64CEF" w:rsidRPr="0067655F" w:rsidRDefault="00E64CEF" w:rsidP="00A506D2">
            <w:pPr>
              <w:pStyle w:val="Table2"/>
            </w:pPr>
            <w:r w:rsidRPr="000F4D53">
              <w:t>Tomato juice</w:t>
            </w:r>
            <w:r>
              <w:t>, concentrated tomato juice</w:t>
            </w:r>
          </w:p>
        </w:tc>
        <w:tc>
          <w:tcPr>
            <w:tcW w:w="1413" w:type="dxa"/>
            <w:tcBorders>
              <w:top w:val="nil"/>
              <w:left w:val="single" w:sz="4" w:space="0" w:color="auto"/>
              <w:bottom w:val="single" w:sz="4" w:space="0" w:color="auto"/>
              <w:right w:val="single" w:sz="4" w:space="0" w:color="auto"/>
            </w:tcBorders>
          </w:tcPr>
          <w:p w:rsidR="00E64CEF" w:rsidRPr="0067655F" w:rsidRDefault="00E64CEF" w:rsidP="00A506D2">
            <w:pPr>
              <w:pStyle w:val="Table2"/>
            </w:pPr>
            <w:r w:rsidRPr="000F4D53">
              <w:t>200 mL</w:t>
            </w:r>
          </w:p>
        </w:tc>
        <w:tc>
          <w:tcPr>
            <w:tcW w:w="1653" w:type="dxa"/>
            <w:tcBorders>
              <w:top w:val="nil"/>
              <w:left w:val="single" w:sz="4" w:space="0" w:color="auto"/>
              <w:bottom w:val="single" w:sz="4" w:space="0" w:color="auto"/>
              <w:right w:val="single" w:sz="4" w:space="0" w:color="auto"/>
            </w:tcBorders>
          </w:tcPr>
          <w:p w:rsidR="00E64CEF" w:rsidRPr="0067655F" w:rsidRDefault="00E64CEF" w:rsidP="00A506D2">
            <w:pPr>
              <w:pStyle w:val="Table2"/>
            </w:pPr>
            <w:r w:rsidRPr="000F4D53">
              <w:t>Vitamin C</w:t>
            </w:r>
          </w:p>
          <w:p w:rsidR="00E64CEF" w:rsidRPr="0067655F" w:rsidRDefault="00E64CEF" w:rsidP="00A506D2">
            <w:pPr>
              <w:pStyle w:val="Table2"/>
            </w:pPr>
            <w:r w:rsidRPr="000F4D53">
              <w:t>Carotene forms of Vitamin A</w:t>
            </w:r>
          </w:p>
          <w:p w:rsidR="00E64CEF" w:rsidRPr="0067655F" w:rsidRDefault="00E64CEF" w:rsidP="00A506D2">
            <w:pPr>
              <w:pStyle w:val="Table2"/>
            </w:pPr>
            <w:r w:rsidRPr="000F4D53">
              <w:t>Folate</w:t>
            </w:r>
          </w:p>
          <w:p w:rsidR="00E64CEF" w:rsidRPr="0067655F" w:rsidRDefault="00E64CEF" w:rsidP="00A506D2">
            <w:pPr>
              <w:pStyle w:val="Table2"/>
            </w:pPr>
            <w:r w:rsidRPr="000F4D53">
              <w:t>Calcium</w:t>
            </w:r>
          </w:p>
        </w:tc>
        <w:tc>
          <w:tcPr>
            <w:tcW w:w="1920" w:type="dxa"/>
            <w:tcBorders>
              <w:top w:val="nil"/>
              <w:left w:val="single" w:sz="4" w:space="0" w:color="auto"/>
              <w:bottom w:val="single" w:sz="4" w:space="0" w:color="auto"/>
              <w:right w:val="single" w:sz="4" w:space="0" w:color="auto"/>
            </w:tcBorders>
          </w:tcPr>
          <w:p w:rsidR="00E64CEF" w:rsidRPr="006B734A" w:rsidRDefault="00E64CEF" w:rsidP="00A506D2">
            <w:pPr>
              <w:pStyle w:val="Table2"/>
            </w:pPr>
            <w:r w:rsidRPr="006B734A">
              <w:t>60 mg (1.5 times)</w:t>
            </w:r>
          </w:p>
          <w:p w:rsidR="00E64CEF" w:rsidRPr="006B734A" w:rsidRDefault="00E64CEF" w:rsidP="00A506D2">
            <w:pPr>
              <w:pStyle w:val="Table2"/>
            </w:pPr>
            <w:r w:rsidRPr="006B734A">
              <w:t xml:space="preserve">200 </w:t>
            </w:r>
            <w:r w:rsidRPr="006B734A">
              <w:sym w:font="Symbol" w:char="F06D"/>
            </w:r>
            <w:r w:rsidRPr="006B734A">
              <w:t>g (25%)</w:t>
            </w:r>
          </w:p>
          <w:p w:rsidR="00E64CEF" w:rsidRPr="006B734A" w:rsidRDefault="00E64CEF" w:rsidP="00A506D2">
            <w:pPr>
              <w:pStyle w:val="Table2"/>
            </w:pPr>
          </w:p>
          <w:p w:rsidR="00E64CEF" w:rsidRPr="006B734A" w:rsidRDefault="00E64CEF" w:rsidP="00A506D2">
            <w:pPr>
              <w:pStyle w:val="Table2"/>
            </w:pPr>
            <w:r w:rsidRPr="006B734A">
              <w:t xml:space="preserve">100 </w:t>
            </w:r>
            <w:r w:rsidRPr="006B734A">
              <w:sym w:font="Symbol" w:char="F06D"/>
            </w:r>
            <w:r w:rsidRPr="006B734A">
              <w:t>g (50%)</w:t>
            </w:r>
          </w:p>
          <w:p w:rsidR="00E64CEF" w:rsidRPr="0088771E" w:rsidRDefault="00E64CEF" w:rsidP="00A506D2">
            <w:pPr>
              <w:pStyle w:val="Table2"/>
              <w:rPr>
                <w:highlight w:val="yellow"/>
              </w:rPr>
            </w:pPr>
            <w:r w:rsidRPr="006B734A">
              <w:t>200 mg (25%)</w:t>
            </w:r>
          </w:p>
        </w:tc>
        <w:tc>
          <w:tcPr>
            <w:tcW w:w="2013" w:type="dxa"/>
            <w:tcBorders>
              <w:top w:val="nil"/>
              <w:left w:val="single" w:sz="4" w:space="0" w:color="auto"/>
              <w:bottom w:val="single" w:sz="4" w:space="0" w:color="auto"/>
            </w:tcBorders>
          </w:tcPr>
          <w:p w:rsidR="00E64CEF" w:rsidRPr="006B734A" w:rsidRDefault="00E64CEF" w:rsidP="00A506D2">
            <w:pPr>
              <w:pStyle w:val="Table2"/>
            </w:pPr>
          </w:p>
        </w:tc>
      </w:tr>
    </w:tbl>
    <w:p w:rsidR="00E64CEF" w:rsidRPr="000A6D2C" w:rsidRDefault="00E64CEF" w:rsidP="00E64CEF">
      <w:pPr>
        <w:rPr>
          <w:i/>
          <w:sz w:val="20"/>
          <w:szCs w:val="20"/>
        </w:rPr>
      </w:pPr>
    </w:p>
    <w:p w:rsidR="00E64CEF" w:rsidRPr="000A6D2C" w:rsidRDefault="00E64CEF" w:rsidP="00E64CEF">
      <w:pPr>
        <w:pStyle w:val="Clause"/>
        <w:rPr>
          <w:i/>
          <w:iCs/>
        </w:rPr>
      </w:pPr>
      <w:r w:rsidRPr="000A6D2C">
        <w:rPr>
          <w:b/>
          <w:bCs/>
        </w:rPr>
        <w:t>[15]</w:t>
      </w:r>
      <w:r w:rsidRPr="000A6D2C">
        <w:tab/>
      </w:r>
      <w:r w:rsidRPr="000A6D2C">
        <w:rPr>
          <w:b/>
          <w:bCs/>
          <w:i/>
          <w:iCs/>
        </w:rPr>
        <w:t>Standard 1.3.3</w:t>
      </w:r>
      <w:r w:rsidRPr="000A6D2C">
        <w:rPr>
          <w:i/>
          <w:iCs/>
        </w:rPr>
        <w:t xml:space="preserve"> of the Australia New Zealand Food Standards Code is varied by – </w:t>
      </w:r>
    </w:p>
    <w:p w:rsidR="00E64CEF" w:rsidRPr="000A6D2C" w:rsidRDefault="00E64CEF" w:rsidP="00E64CEF">
      <w:pPr>
        <w:pStyle w:val="Clause"/>
        <w:rPr>
          <w:i/>
          <w:iCs/>
        </w:rPr>
      </w:pPr>
    </w:p>
    <w:p w:rsidR="00E64CEF" w:rsidRPr="000A6D2C" w:rsidRDefault="00E64CEF" w:rsidP="00E64CEF">
      <w:pPr>
        <w:pStyle w:val="Clause"/>
        <w:rPr>
          <w:b/>
        </w:rPr>
      </w:pPr>
      <w:r w:rsidRPr="000A6D2C">
        <w:t>[15.1]</w:t>
      </w:r>
      <w:r w:rsidRPr="000A6D2C">
        <w:tab/>
      </w:r>
      <w:r w:rsidRPr="000A6D2C">
        <w:rPr>
          <w:i/>
        </w:rPr>
        <w:t xml:space="preserve">omitting the definition of </w:t>
      </w:r>
      <w:r w:rsidRPr="000A6D2C">
        <w:rPr>
          <w:b/>
        </w:rPr>
        <w:t>GMP</w:t>
      </w:r>
    </w:p>
    <w:p w:rsidR="00E64CEF" w:rsidRPr="000A6D2C" w:rsidRDefault="00E64CEF" w:rsidP="00E64CEF">
      <w:pPr>
        <w:pStyle w:val="Clause"/>
      </w:pPr>
    </w:p>
    <w:p w:rsidR="00E64CEF" w:rsidRPr="000A6D2C" w:rsidRDefault="00E64CEF" w:rsidP="00E64CEF">
      <w:pPr>
        <w:pStyle w:val="Clause"/>
        <w:rPr>
          <w:i/>
          <w:iCs/>
        </w:rPr>
      </w:pPr>
      <w:r w:rsidRPr="000A6D2C">
        <w:t>[15.2]</w:t>
      </w:r>
      <w:r w:rsidRPr="000A6D2C">
        <w:tab/>
      </w:r>
      <w:r w:rsidRPr="000A6D2C">
        <w:rPr>
          <w:i/>
        </w:rPr>
        <w:t xml:space="preserve">omitting paragraph (b) from the </w:t>
      </w:r>
      <w:r w:rsidRPr="000A6D2C">
        <w:rPr>
          <w:i/>
          <w:iCs/>
        </w:rPr>
        <w:t xml:space="preserve">definition of </w:t>
      </w:r>
      <w:r w:rsidRPr="000A6D2C">
        <w:rPr>
          <w:b/>
          <w:iCs/>
        </w:rPr>
        <w:t>processing aid</w:t>
      </w:r>
      <w:r w:rsidRPr="000A6D2C">
        <w:rPr>
          <w:iCs/>
        </w:rPr>
        <w:t xml:space="preserve"> </w:t>
      </w:r>
      <w:r w:rsidRPr="000A6D2C">
        <w:rPr>
          <w:i/>
          <w:iCs/>
        </w:rPr>
        <w:t xml:space="preserve">in clause 1, substituting – </w:t>
      </w:r>
    </w:p>
    <w:p w:rsidR="000A6D2C" w:rsidRDefault="000A6D2C" w:rsidP="00E64CEF">
      <w:pPr>
        <w:rPr>
          <w:sz w:val="20"/>
          <w:szCs w:val="20"/>
        </w:rPr>
      </w:pPr>
      <w:r>
        <w:rPr>
          <w:sz w:val="20"/>
          <w:szCs w:val="20"/>
        </w:rPr>
        <w:br w:type="page"/>
      </w:r>
    </w:p>
    <w:p w:rsidR="00E64CEF" w:rsidRPr="000A6D2C" w:rsidRDefault="00E64CEF" w:rsidP="00E64CEF">
      <w:pPr>
        <w:pStyle w:val="Paragraph"/>
      </w:pPr>
      <w:r w:rsidRPr="000A6D2C">
        <w:lastRenderedPageBreak/>
        <w:t>(b)</w:t>
      </w:r>
      <w:r w:rsidRPr="000A6D2C">
        <w:tab/>
        <w:t>the proportion of the processing aid is no more than the maximum level necessary to achieve one or more technological functions under conditions of Good Manufacturing Practice (GMP).</w:t>
      </w:r>
    </w:p>
    <w:p w:rsidR="00E64CEF" w:rsidRPr="000A6D2C" w:rsidRDefault="00E64CEF" w:rsidP="00E64CEF">
      <w:pPr>
        <w:pStyle w:val="Clause"/>
      </w:pPr>
    </w:p>
    <w:p w:rsidR="00E64CEF" w:rsidRPr="000A6D2C" w:rsidRDefault="00E64CEF" w:rsidP="00E64CEF">
      <w:pPr>
        <w:pStyle w:val="Clause"/>
      </w:pPr>
      <w:r w:rsidRPr="000A6D2C">
        <w:t>[15.3]</w:t>
      </w:r>
      <w:r w:rsidRPr="000A6D2C">
        <w:tab/>
      </w:r>
      <w:r w:rsidRPr="000A6D2C">
        <w:rPr>
          <w:i/>
        </w:rPr>
        <w:t>omitting</w:t>
      </w:r>
      <w:r w:rsidRPr="000A6D2C">
        <w:t xml:space="preserve"> final food </w:t>
      </w:r>
      <w:r w:rsidRPr="000A6D2C">
        <w:rPr>
          <w:i/>
        </w:rPr>
        <w:t>from clause 11,</w:t>
      </w:r>
      <w:r w:rsidRPr="000A6D2C">
        <w:t xml:space="preserve"> </w:t>
      </w:r>
      <w:r w:rsidRPr="000A6D2C">
        <w:rPr>
          <w:i/>
        </w:rPr>
        <w:t xml:space="preserve">substituting </w:t>
      </w:r>
      <w:r w:rsidRPr="000A6D2C">
        <w:t>water</w:t>
      </w:r>
    </w:p>
    <w:p w:rsidR="00E64CEF" w:rsidRPr="000A6D2C" w:rsidRDefault="00E64CEF" w:rsidP="00E64CEF">
      <w:pPr>
        <w:rPr>
          <w:sz w:val="20"/>
          <w:szCs w:val="20"/>
        </w:rPr>
      </w:pPr>
    </w:p>
    <w:p w:rsidR="00E64CEF" w:rsidRPr="000A6D2C" w:rsidRDefault="00E64CEF" w:rsidP="00E64CEF">
      <w:pPr>
        <w:pStyle w:val="Clause"/>
      </w:pPr>
      <w:r w:rsidRPr="000A6D2C">
        <w:t>[15.4]</w:t>
      </w:r>
      <w:r w:rsidRPr="000A6D2C">
        <w:tab/>
      </w:r>
      <w:r w:rsidRPr="000A6D2C">
        <w:rPr>
          <w:i/>
        </w:rPr>
        <w:t xml:space="preserve">omitting </w:t>
      </w:r>
      <w:r w:rsidRPr="000A6D2C">
        <w:t xml:space="preserve">Food </w:t>
      </w:r>
      <w:r w:rsidRPr="000A6D2C">
        <w:rPr>
          <w:i/>
        </w:rPr>
        <w:t xml:space="preserve">from the heading to the </w:t>
      </w:r>
      <w:r w:rsidRPr="000A6D2C">
        <w:t xml:space="preserve">Table to clause 14, </w:t>
      </w:r>
      <w:r w:rsidRPr="000A6D2C">
        <w:rPr>
          <w:i/>
        </w:rPr>
        <w:t xml:space="preserve">substituting </w:t>
      </w:r>
      <w:r w:rsidRPr="000A6D2C">
        <w:t xml:space="preserve">Function </w:t>
      </w:r>
    </w:p>
    <w:p w:rsidR="00E64CEF" w:rsidRPr="000A6D2C" w:rsidRDefault="00E64CEF" w:rsidP="00E64CEF">
      <w:pPr>
        <w:pStyle w:val="Clause"/>
      </w:pPr>
    </w:p>
    <w:p w:rsidR="00E64CEF" w:rsidRPr="000A6D2C" w:rsidRDefault="00E64CEF" w:rsidP="00E64CEF">
      <w:pPr>
        <w:pStyle w:val="Clause"/>
      </w:pPr>
      <w:r w:rsidRPr="000A6D2C">
        <w:t>[15.5]</w:t>
      </w:r>
      <w:r w:rsidRPr="000A6D2C">
        <w:tab/>
      </w:r>
      <w:r w:rsidRPr="000A6D2C">
        <w:rPr>
          <w:i/>
        </w:rPr>
        <w:t xml:space="preserve">omitting from the </w:t>
      </w:r>
      <w:r w:rsidRPr="000A6D2C">
        <w:t xml:space="preserve">Table to clause 14 – </w:t>
      </w:r>
    </w:p>
    <w:p w:rsidR="00E64CEF" w:rsidRPr="000A6D2C" w:rsidRDefault="00E64CEF" w:rsidP="00E64CEF">
      <w:pPr>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3056"/>
        <w:gridCol w:w="2409"/>
      </w:tblGrid>
      <w:tr w:rsidR="00E64CEF" w:rsidRPr="000A6D2C" w:rsidTr="00A506D2">
        <w:tc>
          <w:tcPr>
            <w:tcW w:w="3607" w:type="dxa"/>
            <w:tcBorders>
              <w:top w:val="single" w:sz="4" w:space="0" w:color="auto"/>
            </w:tcBorders>
          </w:tcPr>
          <w:p w:rsidR="00E64CEF" w:rsidRPr="000A6D2C" w:rsidRDefault="00E64CEF" w:rsidP="00A506D2">
            <w:pPr>
              <w:pStyle w:val="Table2"/>
              <w:rPr>
                <w:sz w:val="20"/>
              </w:rPr>
            </w:pPr>
            <w:r w:rsidRPr="000A6D2C">
              <w:rPr>
                <w:sz w:val="20"/>
              </w:rPr>
              <w:t>Lactoperoxidase from bovine milk</w:t>
            </w:r>
          </w:p>
          <w:p w:rsidR="00E64CEF" w:rsidRPr="000A6D2C" w:rsidRDefault="00E64CEF" w:rsidP="00A506D2">
            <w:pPr>
              <w:pStyle w:val="Table2"/>
              <w:rPr>
                <w:sz w:val="20"/>
              </w:rPr>
            </w:pPr>
            <w:r w:rsidRPr="000A6D2C">
              <w:rPr>
                <w:sz w:val="20"/>
              </w:rPr>
              <w:t>EC 1.11.1.7</w:t>
            </w:r>
          </w:p>
        </w:tc>
        <w:tc>
          <w:tcPr>
            <w:tcW w:w="3056" w:type="dxa"/>
          </w:tcPr>
          <w:p w:rsidR="00E64CEF" w:rsidRPr="000A6D2C" w:rsidRDefault="00E64CEF" w:rsidP="00A506D2">
            <w:pPr>
              <w:pStyle w:val="Table2"/>
              <w:rPr>
                <w:sz w:val="20"/>
              </w:rPr>
            </w:pPr>
            <w:r w:rsidRPr="000A6D2C">
              <w:rPr>
                <w:sz w:val="20"/>
              </w:rPr>
              <w:t>Reduce and/or inhibit bacterial population on meat surfaces</w:t>
            </w:r>
          </w:p>
        </w:tc>
        <w:tc>
          <w:tcPr>
            <w:tcW w:w="2409" w:type="dxa"/>
          </w:tcPr>
          <w:p w:rsidR="00E64CEF" w:rsidRPr="000A6D2C" w:rsidRDefault="00E64CEF" w:rsidP="00A506D2">
            <w:pPr>
              <w:pStyle w:val="Table2"/>
              <w:jc w:val="center"/>
              <w:rPr>
                <w:sz w:val="20"/>
              </w:rPr>
            </w:pPr>
            <w:r w:rsidRPr="000A6D2C">
              <w:rPr>
                <w:sz w:val="20"/>
              </w:rPr>
              <w:t>GMP</w:t>
            </w:r>
          </w:p>
        </w:tc>
      </w:tr>
    </w:tbl>
    <w:p w:rsidR="00E64CEF" w:rsidRPr="000A6D2C" w:rsidRDefault="00E64CEF" w:rsidP="00E64CEF">
      <w:pPr>
        <w:rPr>
          <w:sz w:val="20"/>
          <w:szCs w:val="20"/>
        </w:rPr>
      </w:pPr>
    </w:p>
    <w:p w:rsidR="00E64CEF" w:rsidRPr="000A6D2C" w:rsidRDefault="00E64CEF" w:rsidP="00E64CEF">
      <w:pPr>
        <w:pStyle w:val="Clause"/>
        <w:rPr>
          <w:i/>
          <w:iCs/>
        </w:rPr>
      </w:pPr>
      <w:r w:rsidRPr="000A6D2C">
        <w:rPr>
          <w:i/>
          <w:iCs/>
        </w:rPr>
        <w:t xml:space="preserve">substituting – </w:t>
      </w:r>
    </w:p>
    <w:p w:rsidR="00E64CEF" w:rsidRPr="000A6D2C" w:rsidRDefault="00E64CEF" w:rsidP="00E64CEF">
      <w:pPr>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3056"/>
        <w:gridCol w:w="2409"/>
      </w:tblGrid>
      <w:tr w:rsidR="00E64CEF" w:rsidTr="00A506D2">
        <w:tc>
          <w:tcPr>
            <w:tcW w:w="3607" w:type="dxa"/>
            <w:tcBorders>
              <w:top w:val="single" w:sz="4" w:space="0" w:color="auto"/>
            </w:tcBorders>
          </w:tcPr>
          <w:p w:rsidR="00E64CEF" w:rsidRDefault="00E64CEF" w:rsidP="00A506D2">
            <w:pPr>
              <w:pStyle w:val="Table2"/>
            </w:pPr>
            <w:r>
              <w:t>Lactoperoxidase from bovine milk</w:t>
            </w:r>
          </w:p>
          <w:p w:rsidR="00E64CEF" w:rsidRDefault="00E64CEF" w:rsidP="00A506D2">
            <w:pPr>
              <w:pStyle w:val="Table2"/>
            </w:pPr>
            <w:r>
              <w:t>EC 1.11.1.7</w:t>
            </w:r>
          </w:p>
        </w:tc>
        <w:tc>
          <w:tcPr>
            <w:tcW w:w="3056" w:type="dxa"/>
          </w:tcPr>
          <w:p w:rsidR="00E64CEF" w:rsidRDefault="00E64CEF" w:rsidP="00A506D2">
            <w:pPr>
              <w:pStyle w:val="Table2"/>
            </w:pPr>
            <w:r>
              <w:t>Reduce the bacterial population or inhibit bacterial growth</w:t>
            </w:r>
          </w:p>
        </w:tc>
        <w:tc>
          <w:tcPr>
            <w:tcW w:w="2409" w:type="dxa"/>
          </w:tcPr>
          <w:p w:rsidR="00E64CEF" w:rsidRDefault="00E64CEF" w:rsidP="00A506D2">
            <w:pPr>
              <w:pStyle w:val="Table2"/>
              <w:jc w:val="center"/>
            </w:pPr>
            <w:r>
              <w:t>GMP</w:t>
            </w:r>
          </w:p>
        </w:tc>
      </w:tr>
    </w:tbl>
    <w:p w:rsidR="00E64CEF" w:rsidRPr="000A6D2C" w:rsidRDefault="00E64CEF" w:rsidP="00E64CEF">
      <w:pPr>
        <w:rPr>
          <w:sz w:val="20"/>
          <w:szCs w:val="20"/>
        </w:rPr>
      </w:pPr>
    </w:p>
    <w:p w:rsidR="00E64CEF" w:rsidRPr="000A6D2C" w:rsidRDefault="00E64CEF" w:rsidP="00E64CEF">
      <w:pPr>
        <w:pStyle w:val="Clause"/>
      </w:pPr>
      <w:r w:rsidRPr="000A6D2C">
        <w:t>[15.6]</w:t>
      </w:r>
      <w:r w:rsidRPr="000A6D2C">
        <w:tab/>
      </w:r>
      <w:r w:rsidRPr="000A6D2C">
        <w:rPr>
          <w:i/>
        </w:rPr>
        <w:t xml:space="preserve">inserting in the </w:t>
      </w:r>
      <w:r w:rsidRPr="000A6D2C">
        <w:t>Table to clause 14 –</w:t>
      </w:r>
    </w:p>
    <w:p w:rsidR="00E64CEF" w:rsidRPr="000A6D2C" w:rsidRDefault="00E64CEF" w:rsidP="00E64CEF">
      <w:pPr>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3056"/>
        <w:gridCol w:w="2409"/>
      </w:tblGrid>
      <w:tr w:rsidR="00E64CEF" w:rsidTr="00A506D2">
        <w:tc>
          <w:tcPr>
            <w:tcW w:w="3607" w:type="dxa"/>
          </w:tcPr>
          <w:p w:rsidR="00E64CEF" w:rsidRDefault="00E64CEF" w:rsidP="00A506D2">
            <w:pPr>
              <w:pStyle w:val="Table2"/>
            </w:pPr>
            <w:r>
              <w:t xml:space="preserve">Colours </w:t>
            </w:r>
            <w:r w:rsidRPr="00BF7B95">
              <w:t>permitted in schedules 2, 3 and 4 of Standard 1.3.1</w:t>
            </w:r>
          </w:p>
        </w:tc>
        <w:tc>
          <w:tcPr>
            <w:tcW w:w="3056" w:type="dxa"/>
          </w:tcPr>
          <w:p w:rsidR="00E64CEF" w:rsidRDefault="00E64CEF" w:rsidP="00A506D2">
            <w:pPr>
              <w:pStyle w:val="Table2"/>
            </w:pPr>
            <w:r>
              <w:t>Applied to the outer surface of meat as a brand for the purposes of inspection or identification</w:t>
            </w:r>
          </w:p>
        </w:tc>
        <w:tc>
          <w:tcPr>
            <w:tcW w:w="2409" w:type="dxa"/>
          </w:tcPr>
          <w:p w:rsidR="00E64CEF" w:rsidRDefault="00E64CEF" w:rsidP="00A506D2">
            <w:pPr>
              <w:pStyle w:val="Table2"/>
              <w:jc w:val="center"/>
            </w:pPr>
            <w:r>
              <w:t>GMP</w:t>
            </w:r>
          </w:p>
        </w:tc>
      </w:tr>
    </w:tbl>
    <w:p w:rsidR="00E64CEF" w:rsidRPr="000A6D2C" w:rsidRDefault="00E64CEF" w:rsidP="00E64CEF">
      <w:pPr>
        <w:rPr>
          <w:sz w:val="20"/>
          <w:szCs w:val="20"/>
        </w:rPr>
      </w:pPr>
    </w:p>
    <w:p w:rsidR="00E64CEF" w:rsidRPr="000A6D2C" w:rsidRDefault="00E64CEF" w:rsidP="00E64CEF">
      <w:pPr>
        <w:pStyle w:val="Clause"/>
      </w:pPr>
      <w:r w:rsidRPr="000A6D2C">
        <w:rPr>
          <w:b/>
          <w:bCs/>
        </w:rPr>
        <w:t>[16]</w:t>
      </w:r>
      <w:r w:rsidRPr="000A6D2C">
        <w:tab/>
      </w:r>
      <w:r w:rsidRPr="000A6D2C">
        <w:rPr>
          <w:b/>
          <w:bCs/>
          <w:i/>
        </w:rPr>
        <w:t>Standard 1.3.4</w:t>
      </w:r>
      <w:r w:rsidRPr="000A6D2C">
        <w:rPr>
          <w:i/>
        </w:rPr>
        <w:t xml:space="preserve"> of the Australia New Zealand Food Standards Code is varied by</w:t>
      </w:r>
      <w:r w:rsidRPr="000A6D2C">
        <w:t xml:space="preserve"> –</w:t>
      </w:r>
    </w:p>
    <w:p w:rsidR="00E64CEF" w:rsidRPr="000A6D2C" w:rsidRDefault="00E64CEF" w:rsidP="00E64CEF">
      <w:pPr>
        <w:ind w:left="850" w:hanging="850"/>
        <w:rPr>
          <w:i/>
          <w:iCs/>
          <w:sz w:val="20"/>
          <w:szCs w:val="20"/>
        </w:rPr>
      </w:pPr>
    </w:p>
    <w:p w:rsidR="000A6D2C" w:rsidRPr="000A6D2C" w:rsidRDefault="00E64CEF" w:rsidP="00E64CEF">
      <w:pPr>
        <w:pStyle w:val="Clause"/>
      </w:pPr>
      <w:r w:rsidRPr="000A6D2C">
        <w:t>[16.1]</w:t>
      </w:r>
      <w:r w:rsidRPr="000A6D2C">
        <w:tab/>
      </w:r>
      <w:r w:rsidRPr="000A6D2C">
        <w:rPr>
          <w:i/>
        </w:rPr>
        <w:t xml:space="preserve">omitting the </w:t>
      </w:r>
      <w:r w:rsidRPr="000A6D2C">
        <w:t>Purpose</w:t>
      </w:r>
      <w:r w:rsidRPr="000A6D2C">
        <w:rPr>
          <w:i/>
        </w:rPr>
        <w:t>, substituting</w:t>
      </w:r>
      <w:r w:rsidRPr="000A6D2C">
        <w:t xml:space="preserve"> – </w:t>
      </w:r>
    </w:p>
    <w:p w:rsidR="00E35BCD" w:rsidRPr="000A6D2C" w:rsidRDefault="00E35BCD" w:rsidP="00E64CEF">
      <w:pPr>
        <w:pStyle w:val="Clause"/>
      </w:pPr>
    </w:p>
    <w:p w:rsidR="00E64CEF" w:rsidRPr="000A6D2C" w:rsidRDefault="00E64CEF" w:rsidP="00E64CEF">
      <w:pPr>
        <w:pStyle w:val="Clause"/>
        <w:rPr>
          <w:b/>
        </w:rPr>
      </w:pPr>
      <w:r w:rsidRPr="000A6D2C">
        <w:rPr>
          <w:b/>
        </w:rPr>
        <w:t>Purpose</w:t>
      </w:r>
    </w:p>
    <w:p w:rsidR="00E64CEF" w:rsidRPr="000A6D2C" w:rsidRDefault="00E64CEF" w:rsidP="00E64CEF">
      <w:pPr>
        <w:rPr>
          <w:sz w:val="20"/>
          <w:szCs w:val="20"/>
        </w:rPr>
      </w:pPr>
    </w:p>
    <w:p w:rsidR="00E64CEF" w:rsidRPr="000A6D2C" w:rsidRDefault="00E64CEF" w:rsidP="00E64CEF">
      <w:pPr>
        <w:pStyle w:val="Clause"/>
      </w:pPr>
      <w:r w:rsidRPr="000A6D2C">
        <w:t>This Standard ensures that food additives, processing aids, vitamins and minerals and other nutrients added to food in accordance with this Code meet appropriate specifications for identity and purity.  In general, these specifications are those used by the international community.</w:t>
      </w:r>
    </w:p>
    <w:p w:rsidR="00E64CEF" w:rsidRPr="000A6D2C" w:rsidRDefault="00E64CEF" w:rsidP="00E64CEF">
      <w:pPr>
        <w:ind w:left="850" w:hanging="850"/>
        <w:rPr>
          <w:iCs/>
          <w:sz w:val="20"/>
          <w:szCs w:val="20"/>
        </w:rPr>
      </w:pPr>
    </w:p>
    <w:p w:rsidR="00E64CEF" w:rsidRPr="000A6D2C" w:rsidRDefault="00E64CEF" w:rsidP="00E64CEF">
      <w:pPr>
        <w:pStyle w:val="Clause"/>
      </w:pPr>
      <w:r w:rsidRPr="000A6D2C">
        <w:t>[16.2]</w:t>
      </w:r>
      <w:r w:rsidRPr="000A6D2C">
        <w:tab/>
      </w:r>
      <w:r w:rsidRPr="000A6D2C">
        <w:rPr>
          <w:i/>
        </w:rPr>
        <w:t>omitting clauses 1, 2 and 3, substituting</w:t>
      </w:r>
      <w:r w:rsidRPr="000A6D2C">
        <w:t xml:space="preserve"> – </w:t>
      </w:r>
    </w:p>
    <w:p w:rsidR="00E64CEF" w:rsidRPr="000A6D2C" w:rsidRDefault="00E64CEF" w:rsidP="00E64CEF">
      <w:pPr>
        <w:ind w:left="850" w:hanging="850"/>
        <w:rPr>
          <w:i/>
          <w:iCs/>
          <w:sz w:val="20"/>
          <w:szCs w:val="20"/>
        </w:rPr>
      </w:pPr>
    </w:p>
    <w:p w:rsidR="00E64CEF" w:rsidRPr="000A6D2C" w:rsidRDefault="00E64CEF" w:rsidP="00E64CEF">
      <w:pPr>
        <w:pStyle w:val="Clauseheading"/>
      </w:pPr>
      <w:r w:rsidRPr="000A6D2C">
        <w:t>1</w:t>
      </w:r>
      <w:r w:rsidRPr="000A6D2C">
        <w:tab/>
        <w:t>Application</w:t>
      </w:r>
    </w:p>
    <w:p w:rsidR="00E64CEF" w:rsidRPr="000A6D2C" w:rsidRDefault="00E64CEF" w:rsidP="00E64CEF">
      <w:pPr>
        <w:rPr>
          <w:sz w:val="20"/>
          <w:szCs w:val="20"/>
        </w:rPr>
      </w:pPr>
    </w:p>
    <w:p w:rsidR="00E64CEF" w:rsidRPr="000A6D2C" w:rsidRDefault="00E64CEF" w:rsidP="00E64CEF">
      <w:pPr>
        <w:pStyle w:val="Clause"/>
      </w:pPr>
      <w:r w:rsidRPr="000A6D2C">
        <w:t xml:space="preserve">This Standard applies only to the following substances which are added to food in accordance with this Code, or sold for use in food – </w:t>
      </w:r>
    </w:p>
    <w:p w:rsidR="00E64CEF" w:rsidRPr="000A6D2C" w:rsidRDefault="00E64CEF" w:rsidP="00E64CEF">
      <w:pPr>
        <w:rPr>
          <w:sz w:val="20"/>
          <w:szCs w:val="20"/>
        </w:rPr>
      </w:pPr>
    </w:p>
    <w:p w:rsidR="00E64CEF" w:rsidRPr="000A6D2C" w:rsidRDefault="00E64CEF" w:rsidP="00E64CEF">
      <w:pPr>
        <w:pStyle w:val="Paragraph"/>
      </w:pPr>
      <w:r w:rsidRPr="000A6D2C">
        <w:t>(a)</w:t>
      </w:r>
      <w:r w:rsidRPr="000A6D2C">
        <w:tab/>
        <w:t>food additives;</w:t>
      </w:r>
    </w:p>
    <w:p w:rsidR="00E64CEF" w:rsidRPr="000A6D2C" w:rsidRDefault="00E64CEF" w:rsidP="00E64CEF">
      <w:pPr>
        <w:pStyle w:val="Paragraph"/>
      </w:pPr>
      <w:r w:rsidRPr="000A6D2C">
        <w:t>(b)</w:t>
      </w:r>
      <w:r w:rsidRPr="000A6D2C">
        <w:tab/>
        <w:t>processing aids;</w:t>
      </w:r>
    </w:p>
    <w:p w:rsidR="00E64CEF" w:rsidRPr="000A6D2C" w:rsidRDefault="00E64CEF" w:rsidP="00E64CEF">
      <w:pPr>
        <w:pStyle w:val="Paragraph"/>
      </w:pPr>
      <w:r w:rsidRPr="000A6D2C">
        <w:t>(c)</w:t>
      </w:r>
      <w:r w:rsidRPr="000A6D2C">
        <w:tab/>
        <w:t>vitamins and minerals;</w:t>
      </w:r>
    </w:p>
    <w:p w:rsidR="00E64CEF" w:rsidRPr="000A6D2C" w:rsidRDefault="00E64CEF" w:rsidP="00E64CEF">
      <w:pPr>
        <w:pStyle w:val="Paragraph"/>
      </w:pPr>
      <w:r w:rsidRPr="000A6D2C">
        <w:t>(d)</w:t>
      </w:r>
      <w:r w:rsidRPr="000A6D2C">
        <w:tab/>
        <w:t xml:space="preserve">novel food substances; and </w:t>
      </w:r>
    </w:p>
    <w:p w:rsidR="00E64CEF" w:rsidRPr="000A6D2C" w:rsidRDefault="00E64CEF" w:rsidP="00E64CEF">
      <w:pPr>
        <w:pStyle w:val="Paragraph"/>
      </w:pPr>
      <w:r w:rsidRPr="000A6D2C">
        <w:t>(e)</w:t>
      </w:r>
      <w:r w:rsidRPr="000A6D2C">
        <w:tab/>
        <w:t>nutritive substances.</w:t>
      </w:r>
    </w:p>
    <w:p w:rsidR="00E64CEF" w:rsidRPr="000A6D2C" w:rsidRDefault="00E64CEF" w:rsidP="00E64CEF">
      <w:pPr>
        <w:rPr>
          <w:i/>
          <w:iCs/>
          <w:sz w:val="20"/>
          <w:szCs w:val="20"/>
        </w:rPr>
      </w:pPr>
    </w:p>
    <w:p w:rsidR="00E64CEF" w:rsidRPr="000A6D2C" w:rsidRDefault="00E64CEF" w:rsidP="00E64CEF">
      <w:pPr>
        <w:pStyle w:val="Clauseheading"/>
      </w:pPr>
      <w:r w:rsidRPr="000A6D2C">
        <w:t>2</w:t>
      </w:r>
      <w:r w:rsidRPr="000A6D2C">
        <w:tab/>
        <w:t>Substances with specifications in primary sources</w:t>
      </w:r>
    </w:p>
    <w:p w:rsidR="00E64CEF" w:rsidRPr="000A6D2C" w:rsidRDefault="00E64CEF" w:rsidP="00E64CEF">
      <w:pPr>
        <w:ind w:left="850" w:hanging="850"/>
        <w:rPr>
          <w:b/>
          <w:iCs/>
          <w:sz w:val="20"/>
          <w:szCs w:val="20"/>
        </w:rPr>
      </w:pPr>
    </w:p>
    <w:p w:rsidR="00E64CEF" w:rsidRPr="000A6D2C" w:rsidRDefault="00E64CEF" w:rsidP="00E64CEF">
      <w:pPr>
        <w:pStyle w:val="Clause"/>
      </w:pPr>
      <w:r w:rsidRPr="000A6D2C">
        <w:t xml:space="preserve">A substance must comply with a relevant monograph (if any) published in one of the following – </w:t>
      </w:r>
    </w:p>
    <w:p w:rsidR="00E64CEF" w:rsidRPr="000A6D2C" w:rsidRDefault="00E64CEF" w:rsidP="00E64CEF">
      <w:pPr>
        <w:rPr>
          <w:sz w:val="20"/>
          <w:szCs w:val="20"/>
        </w:rPr>
      </w:pPr>
    </w:p>
    <w:p w:rsidR="00E64CEF" w:rsidRDefault="00E64CEF" w:rsidP="00E64CEF">
      <w:pPr>
        <w:pStyle w:val="Paragraph"/>
      </w:pPr>
      <w:r w:rsidRPr="000A6D2C">
        <w:t>(a)</w:t>
      </w:r>
      <w:r w:rsidRPr="000A6D2C">
        <w:tab/>
        <w:t xml:space="preserve">the Schedule to this Standard; </w:t>
      </w:r>
      <w:r>
        <w:t>or</w:t>
      </w:r>
    </w:p>
    <w:p w:rsidR="00E64CEF" w:rsidRDefault="00E64CEF" w:rsidP="00E64CEF">
      <w:pPr>
        <w:pStyle w:val="Paragraph"/>
      </w:pPr>
      <w:r>
        <w:t>(b)</w:t>
      </w:r>
      <w:r>
        <w:tab/>
      </w:r>
      <w:r w:rsidRPr="00B44007">
        <w:t>Combined Compendium of Food Additive Specifications, FAO JECFA Monograph 1 (2005) as superseded by specifications published in FAO JECFA Monographs 3 (2006) and FAO JECFA Monographs 4 (2007) and FAO JECFA Monographs 5 (2008)</w:t>
      </w:r>
      <w:r>
        <w:t xml:space="preserve"> and FAO JECFA Monographs 7 (2009) and FAO JECFA Monographs 10 (2010)</w:t>
      </w:r>
      <w:r w:rsidRPr="00B44007">
        <w:t>, Food and Agriculture Organisation of the United Nations. Rome; or</w:t>
      </w:r>
    </w:p>
    <w:p w:rsidR="00E64CEF" w:rsidRDefault="00E64CEF" w:rsidP="00E64CEF">
      <w:pPr>
        <w:pStyle w:val="Paragraph"/>
      </w:pPr>
      <w:r w:rsidRPr="00942C6B">
        <w:t>(c)</w:t>
      </w:r>
      <w:r>
        <w:rPr>
          <w:i/>
        </w:rPr>
        <w:tab/>
        <w:t xml:space="preserve">Food Chemicals Codex </w:t>
      </w:r>
      <w:r>
        <w:t>(7</w:t>
      </w:r>
      <w:r w:rsidRPr="00424307">
        <w:rPr>
          <w:vertAlign w:val="superscript"/>
        </w:rPr>
        <w:t>th</w:t>
      </w:r>
      <w:r>
        <w:t xml:space="preserve"> Edition) published by United States Pharmacopoeia (2010).</w:t>
      </w:r>
    </w:p>
    <w:p w:rsidR="00E64CEF" w:rsidRPr="000A6D2C" w:rsidRDefault="00E64CEF" w:rsidP="00E64CEF">
      <w:pPr>
        <w:rPr>
          <w:bCs/>
          <w:i/>
          <w:sz w:val="20"/>
        </w:rPr>
      </w:pPr>
    </w:p>
    <w:p w:rsidR="00E64CEF" w:rsidRPr="000A6D2C" w:rsidRDefault="00E64CEF" w:rsidP="00E64CEF">
      <w:pPr>
        <w:pStyle w:val="Clauseheading"/>
      </w:pPr>
      <w:r w:rsidRPr="000A6D2C">
        <w:t>3</w:t>
      </w:r>
      <w:r w:rsidRPr="000A6D2C">
        <w:tab/>
        <w:t>Substances with specifications in secondary sources</w:t>
      </w:r>
    </w:p>
    <w:p w:rsidR="00E64CEF" w:rsidRPr="000A6D2C" w:rsidRDefault="00E64CEF" w:rsidP="00E64CEF">
      <w:pPr>
        <w:tabs>
          <w:tab w:val="left" w:pos="2506"/>
        </w:tabs>
      </w:pPr>
    </w:p>
    <w:p w:rsidR="00E64CEF" w:rsidRPr="000A6D2C" w:rsidRDefault="00E64CEF" w:rsidP="00E64CEF">
      <w:pPr>
        <w:pStyle w:val="Clause"/>
      </w:pPr>
      <w:r w:rsidRPr="000A6D2C">
        <w:t xml:space="preserve">If </w:t>
      </w:r>
      <w:r w:rsidRPr="000A6D2C">
        <w:rPr>
          <w:szCs w:val="24"/>
        </w:rPr>
        <w:t>there</w:t>
      </w:r>
      <w:r w:rsidRPr="000A6D2C">
        <w:t xml:space="preserve"> is no monograph applying to a substance under clause 2, the substance must comply with a relevant monograph (if any) published in one of the following –</w:t>
      </w:r>
    </w:p>
    <w:p w:rsidR="00E64CEF" w:rsidRPr="000A6D2C" w:rsidRDefault="00E64CEF" w:rsidP="00E64CEF"/>
    <w:p w:rsidR="00E64CEF" w:rsidRPr="000A6D2C" w:rsidRDefault="00E64CEF" w:rsidP="00E64CEF">
      <w:pPr>
        <w:pStyle w:val="Paragraph"/>
      </w:pPr>
      <w:r w:rsidRPr="000A6D2C">
        <w:t>(a)</w:t>
      </w:r>
      <w:r w:rsidRPr="000A6D2C">
        <w:tab/>
        <w:t xml:space="preserve">the </w:t>
      </w:r>
      <w:r w:rsidRPr="000A6D2C">
        <w:rPr>
          <w:i/>
        </w:rPr>
        <w:t>British Pharmacopoeia 2010</w:t>
      </w:r>
      <w:r w:rsidRPr="000A6D2C">
        <w:t>, TSO, Norwich (2010); or</w:t>
      </w:r>
    </w:p>
    <w:p w:rsidR="00E64CEF" w:rsidRPr="000A6D2C" w:rsidRDefault="00E64CEF" w:rsidP="00E64CEF">
      <w:pPr>
        <w:pStyle w:val="Paragraph"/>
      </w:pPr>
      <w:r w:rsidRPr="000A6D2C">
        <w:t>(b)</w:t>
      </w:r>
      <w:r w:rsidRPr="000A6D2C">
        <w:tab/>
        <w:t>the United States Pharmacopeia, 34</w:t>
      </w:r>
      <w:r w:rsidRPr="000A6D2C">
        <w:rPr>
          <w:vertAlign w:val="superscript"/>
        </w:rPr>
        <w:t>th</w:t>
      </w:r>
      <w:r w:rsidRPr="000A6D2C">
        <w:t xml:space="preserve"> Revision and The National Formulary, 29</w:t>
      </w:r>
      <w:r w:rsidRPr="000A6D2C">
        <w:rPr>
          <w:vertAlign w:val="superscript"/>
        </w:rPr>
        <w:t>th</w:t>
      </w:r>
      <w:r w:rsidRPr="000A6D2C">
        <w:t xml:space="preserve"> Edition (2010); or</w:t>
      </w:r>
    </w:p>
    <w:p w:rsidR="00E64CEF" w:rsidRPr="000A6D2C" w:rsidRDefault="00E64CEF" w:rsidP="00E64CEF">
      <w:pPr>
        <w:pStyle w:val="Paragraph"/>
      </w:pPr>
      <w:r w:rsidRPr="000A6D2C">
        <w:t>(c)</w:t>
      </w:r>
      <w:r w:rsidRPr="000A6D2C">
        <w:tab/>
        <w:t>the Pharmaceutical Codex, 12th Edition, Council of the Pharmaceutical Society of Great Britain.  The Pharmaceutical Press, London (1994); or</w:t>
      </w:r>
    </w:p>
    <w:p w:rsidR="00E64CEF" w:rsidRPr="000A6D2C" w:rsidRDefault="00E64CEF" w:rsidP="00E64CEF">
      <w:pPr>
        <w:pStyle w:val="Paragraph"/>
      </w:pPr>
      <w:r w:rsidRPr="000A6D2C">
        <w:t>(d)</w:t>
      </w:r>
      <w:r w:rsidRPr="000A6D2C">
        <w:tab/>
        <w:t>Martindale; The Complete Drug Reference. The Pharmaceutical Press London (2009); or</w:t>
      </w:r>
    </w:p>
    <w:p w:rsidR="00E64CEF" w:rsidRPr="000A6D2C" w:rsidRDefault="00E64CEF" w:rsidP="00E64CEF">
      <w:pPr>
        <w:pStyle w:val="Paragraph"/>
      </w:pPr>
      <w:r w:rsidRPr="000A6D2C">
        <w:t>(e)</w:t>
      </w:r>
      <w:r w:rsidRPr="000A6D2C">
        <w:tab/>
        <w:t>the European Pharmacopoeia 6th Edition, Council of Europe, Strasbourg (2007); or</w:t>
      </w:r>
    </w:p>
    <w:p w:rsidR="00E64CEF" w:rsidRPr="000A6D2C" w:rsidRDefault="00E64CEF" w:rsidP="00E64CEF">
      <w:pPr>
        <w:pStyle w:val="Paragraph"/>
      </w:pPr>
      <w:r w:rsidRPr="000A6D2C">
        <w:t>(f)</w:t>
      </w:r>
      <w:r w:rsidRPr="000A6D2C">
        <w:tab/>
        <w:t>the International Pharmacopoeia 4th Edition, World Health Organization, Geneva (2006 and 2008 supplement); or</w:t>
      </w:r>
    </w:p>
    <w:p w:rsidR="00E64CEF" w:rsidRPr="000A6D2C" w:rsidRDefault="00E64CEF" w:rsidP="00E64CEF">
      <w:pPr>
        <w:pStyle w:val="Paragraph"/>
      </w:pPr>
      <w:r w:rsidRPr="000A6D2C">
        <w:t>(g)</w:t>
      </w:r>
      <w:r w:rsidRPr="000A6D2C">
        <w:tab/>
        <w:t>the Merck Index, 14th Edition, (2006); or</w:t>
      </w:r>
    </w:p>
    <w:p w:rsidR="00E64CEF" w:rsidRPr="000A6D2C" w:rsidRDefault="00E64CEF" w:rsidP="00E64CEF">
      <w:pPr>
        <w:pStyle w:val="Paragraph"/>
      </w:pPr>
      <w:r w:rsidRPr="000A6D2C">
        <w:t>(h)</w:t>
      </w:r>
      <w:r w:rsidRPr="000A6D2C">
        <w:tab/>
        <w:t>the Code of Federal Regulations; or</w:t>
      </w:r>
    </w:p>
    <w:p w:rsidR="00E64CEF" w:rsidRPr="000A6D2C" w:rsidRDefault="00E64CEF" w:rsidP="00E64CEF">
      <w:pPr>
        <w:pStyle w:val="Paragraph"/>
        <w:rPr>
          <w:bCs/>
        </w:rPr>
      </w:pPr>
      <w:r w:rsidRPr="000A6D2C">
        <w:t>(i)</w:t>
      </w:r>
      <w:r w:rsidRPr="000A6D2C">
        <w:tab/>
      </w:r>
      <w:r w:rsidRPr="000A6D2C">
        <w:rPr>
          <w:bCs/>
        </w:rPr>
        <w:t xml:space="preserve">the </w:t>
      </w:r>
      <w:r w:rsidRPr="000A6D2C">
        <w:rPr>
          <w:bCs/>
          <w:i/>
        </w:rPr>
        <w:t xml:space="preserve">Specifications and Standards for Food Additives, </w:t>
      </w:r>
      <w:r w:rsidRPr="000A6D2C">
        <w:rPr>
          <w:bCs/>
        </w:rPr>
        <w:t>7</w:t>
      </w:r>
      <w:r w:rsidRPr="000A6D2C">
        <w:rPr>
          <w:bCs/>
          <w:vertAlign w:val="superscript"/>
        </w:rPr>
        <w:t>th</w:t>
      </w:r>
      <w:r w:rsidRPr="000A6D2C">
        <w:rPr>
          <w:bCs/>
        </w:rPr>
        <w:t xml:space="preserve"> Edition (2000), Ministry of Health and Welfare (Japan); or</w:t>
      </w:r>
    </w:p>
    <w:p w:rsidR="00E64CEF" w:rsidRPr="000A6D2C" w:rsidRDefault="00E64CEF" w:rsidP="00E64CEF">
      <w:pPr>
        <w:pStyle w:val="Paragraph"/>
      </w:pPr>
      <w:r w:rsidRPr="000A6D2C">
        <w:t>(j)</w:t>
      </w:r>
      <w:r w:rsidRPr="000A6D2C">
        <w:tab/>
        <w:t xml:space="preserve">the </w:t>
      </w:r>
      <w:r w:rsidRPr="000A6D2C">
        <w:rPr>
          <w:i/>
        </w:rPr>
        <w:t xml:space="preserve">International Oenological Codex </w:t>
      </w:r>
      <w:r w:rsidRPr="000A6D2C">
        <w:t>(2010 supplementary edition), Organisation Internationale de la Vigne et du Vin (OIV).</w:t>
      </w:r>
    </w:p>
    <w:p w:rsidR="00E64CEF" w:rsidRPr="000A6D2C" w:rsidRDefault="00E64CEF" w:rsidP="00E64CEF">
      <w:pPr>
        <w:rPr>
          <w:bCs/>
        </w:rPr>
      </w:pPr>
    </w:p>
    <w:p w:rsidR="00E64CEF" w:rsidRPr="000A6D2C" w:rsidRDefault="00E64CEF" w:rsidP="00E64CEF">
      <w:pPr>
        <w:pStyle w:val="Clause"/>
      </w:pPr>
      <w:r w:rsidRPr="000A6D2C">
        <w:t>[16.3]</w:t>
      </w:r>
      <w:r w:rsidRPr="000A6D2C">
        <w:tab/>
      </w:r>
      <w:r w:rsidRPr="000A6D2C">
        <w:rPr>
          <w:i/>
        </w:rPr>
        <w:t>omitting paragraph 4(c), substitutin</w:t>
      </w:r>
      <w:r w:rsidRPr="000A6D2C">
        <w:t xml:space="preserve">g – </w:t>
      </w:r>
    </w:p>
    <w:p w:rsidR="00E64CEF" w:rsidRPr="000A6D2C" w:rsidRDefault="00E64CEF" w:rsidP="00E64CEF">
      <w:pPr>
        <w:rPr>
          <w:bCs/>
          <w:i/>
        </w:rPr>
      </w:pPr>
    </w:p>
    <w:p w:rsidR="00E64CEF" w:rsidRPr="000A6D2C" w:rsidRDefault="00E64CEF" w:rsidP="00E64CEF">
      <w:pPr>
        <w:pStyle w:val="Paragraph"/>
      </w:pPr>
      <w:r w:rsidRPr="000A6D2C">
        <w:t>(c)</w:t>
      </w:r>
      <w:r w:rsidRPr="000A6D2C">
        <w:tab/>
        <w:t xml:space="preserve">1 mg/kg of cadmium; </w:t>
      </w:r>
    </w:p>
    <w:p w:rsidR="000A6D2C" w:rsidRDefault="00E64CEF" w:rsidP="00E64CEF">
      <w:pPr>
        <w:pStyle w:val="Paragraph"/>
      </w:pPr>
      <w:r>
        <w:t>(d)</w:t>
      </w:r>
      <w:r>
        <w:tab/>
        <w:t>1 mg/kg of mercury.</w:t>
      </w:r>
    </w:p>
    <w:p w:rsidR="00E35BCD" w:rsidRDefault="00E35BCD" w:rsidP="00E64CEF">
      <w:pPr>
        <w:pStyle w:val="Paragraph"/>
      </w:pPr>
    </w:p>
    <w:p w:rsidR="00E64CEF" w:rsidRPr="000A6D2C" w:rsidRDefault="00E64CEF" w:rsidP="00E64CEF">
      <w:pPr>
        <w:pStyle w:val="Clause"/>
      </w:pPr>
      <w:r>
        <w:rPr>
          <w:bCs/>
        </w:rPr>
        <w:t>[16.4</w:t>
      </w:r>
      <w:r w:rsidRPr="00BF6E3F">
        <w:rPr>
          <w:bCs/>
        </w:rPr>
        <w:t>]</w:t>
      </w:r>
      <w:r w:rsidRPr="00BF6E3F">
        <w:rPr>
          <w:bCs/>
        </w:rPr>
        <w:tab/>
      </w:r>
      <w:r w:rsidRPr="002F4B0E">
        <w:rPr>
          <w:i/>
        </w:rPr>
        <w:t xml:space="preserve">omitting from paragraph (c) </w:t>
      </w:r>
      <w:r>
        <w:rPr>
          <w:i/>
        </w:rPr>
        <w:t>under</w:t>
      </w:r>
      <w:r w:rsidRPr="002F4B0E">
        <w:rPr>
          <w:i/>
        </w:rPr>
        <w:t xml:space="preserve"> the</w:t>
      </w:r>
      <w:r w:rsidRPr="00BF6E3F">
        <w:rPr>
          <w:i/>
        </w:rPr>
        <w:t xml:space="preserve"> </w:t>
      </w:r>
      <w:r w:rsidRPr="00BF6E3F">
        <w:t xml:space="preserve">Specification for </w:t>
      </w:r>
      <w:r>
        <w:t xml:space="preserve">carboxymethyl cellulose ion </w:t>
      </w:r>
      <w:r w:rsidRPr="000A6D2C">
        <w:t>exchange resin</w:t>
      </w:r>
      <w:r w:rsidRPr="000A6D2C">
        <w:rPr>
          <w:i/>
        </w:rPr>
        <w:t xml:space="preserve"> in the</w:t>
      </w:r>
      <w:r w:rsidRPr="000A6D2C">
        <w:t xml:space="preserve"> Schedule – </w:t>
      </w:r>
    </w:p>
    <w:p w:rsidR="00E64CEF" w:rsidRPr="000A6D2C" w:rsidRDefault="00E64CEF" w:rsidP="00E64CEF">
      <w:pPr>
        <w:ind w:left="850" w:hanging="850"/>
        <w:rPr>
          <w:iCs/>
          <w:sz w:val="20"/>
          <w:szCs w:val="20"/>
        </w:rPr>
      </w:pPr>
    </w:p>
    <w:p w:rsidR="00E64CEF" w:rsidRPr="000A6D2C" w:rsidRDefault="00E64CEF" w:rsidP="00E64CEF">
      <w:pPr>
        <w:ind w:left="850" w:hanging="850"/>
        <w:rPr>
          <w:i/>
          <w:iCs/>
          <w:sz w:val="20"/>
          <w:szCs w:val="20"/>
        </w:rPr>
      </w:pPr>
      <w:r w:rsidRPr="000A6D2C">
        <w:rPr>
          <w:iCs/>
          <w:sz w:val="20"/>
          <w:szCs w:val="20"/>
        </w:rPr>
        <w:t>CFR Title 21 part 173.25(c)(4)</w:t>
      </w:r>
    </w:p>
    <w:p w:rsidR="00E64CEF" w:rsidRPr="000A6D2C" w:rsidRDefault="00E64CEF" w:rsidP="00E64CEF">
      <w:pPr>
        <w:ind w:left="850" w:hanging="850"/>
        <w:rPr>
          <w:i/>
          <w:iCs/>
          <w:sz w:val="20"/>
          <w:szCs w:val="20"/>
        </w:rPr>
      </w:pPr>
    </w:p>
    <w:p w:rsidR="00E64CEF" w:rsidRPr="000A6D2C" w:rsidRDefault="00E64CEF" w:rsidP="00E35BCD">
      <w:pPr>
        <w:pStyle w:val="Clause"/>
      </w:pPr>
      <w:r w:rsidRPr="000A6D2C">
        <w:rPr>
          <w:i/>
        </w:rPr>
        <w:t>substituting</w:t>
      </w:r>
      <w:r w:rsidRPr="000A6D2C">
        <w:t xml:space="preserve"> – </w:t>
      </w:r>
    </w:p>
    <w:p w:rsidR="00E64CEF" w:rsidRPr="000A6D2C" w:rsidRDefault="00E64CEF" w:rsidP="00E64CEF">
      <w:pPr>
        <w:ind w:left="850" w:hanging="850"/>
        <w:rPr>
          <w:i/>
          <w:iCs/>
          <w:sz w:val="20"/>
          <w:szCs w:val="20"/>
        </w:rPr>
      </w:pPr>
    </w:p>
    <w:p w:rsidR="00E64CEF" w:rsidRPr="000A6D2C" w:rsidRDefault="00E64CEF" w:rsidP="00E64CEF">
      <w:pPr>
        <w:ind w:left="850" w:hanging="850"/>
        <w:rPr>
          <w:i/>
          <w:iCs/>
          <w:sz w:val="20"/>
          <w:szCs w:val="20"/>
        </w:rPr>
      </w:pPr>
      <w:r w:rsidRPr="000A6D2C">
        <w:rPr>
          <w:iCs/>
          <w:sz w:val="20"/>
          <w:szCs w:val="20"/>
        </w:rPr>
        <w:t xml:space="preserve">21 CFR </w:t>
      </w:r>
      <w:r w:rsidRPr="000A6D2C">
        <w:rPr>
          <w:sz w:val="20"/>
          <w:szCs w:val="20"/>
        </w:rPr>
        <w:t xml:space="preserve">§ </w:t>
      </w:r>
      <w:r w:rsidRPr="000A6D2C">
        <w:rPr>
          <w:iCs/>
          <w:sz w:val="20"/>
          <w:szCs w:val="20"/>
        </w:rPr>
        <w:t>173.25(c)(4)</w:t>
      </w:r>
    </w:p>
    <w:p w:rsidR="00E64CEF" w:rsidRPr="000A6D2C" w:rsidRDefault="00E64CEF" w:rsidP="00E64CEF">
      <w:pPr>
        <w:rPr>
          <w:bCs/>
          <w:sz w:val="20"/>
          <w:szCs w:val="20"/>
        </w:rPr>
      </w:pPr>
    </w:p>
    <w:p w:rsidR="00E64CEF" w:rsidRPr="000A6D2C" w:rsidRDefault="00E64CEF" w:rsidP="00E64CEF">
      <w:pPr>
        <w:pStyle w:val="Clause"/>
      </w:pPr>
      <w:r w:rsidRPr="000A6D2C">
        <w:rPr>
          <w:bCs/>
        </w:rPr>
        <w:t>[16.5]</w:t>
      </w:r>
      <w:r w:rsidRPr="000A6D2C">
        <w:rPr>
          <w:bCs/>
        </w:rPr>
        <w:tab/>
      </w:r>
      <w:r w:rsidRPr="000A6D2C">
        <w:rPr>
          <w:i/>
        </w:rPr>
        <w:t xml:space="preserve">omitting from paragraph (c) under the </w:t>
      </w:r>
      <w:r w:rsidRPr="000A6D2C">
        <w:t>Specification for quaternary amine cellulose ion exchange resin</w:t>
      </w:r>
      <w:r w:rsidRPr="000A6D2C">
        <w:rPr>
          <w:i/>
        </w:rPr>
        <w:t xml:space="preserve"> in the</w:t>
      </w:r>
      <w:r w:rsidRPr="000A6D2C">
        <w:t xml:space="preserve"> Schedule – </w:t>
      </w:r>
    </w:p>
    <w:p w:rsidR="00E64CEF" w:rsidRPr="000A6D2C" w:rsidRDefault="00E64CEF" w:rsidP="00E64CEF">
      <w:pPr>
        <w:ind w:left="850" w:hanging="850"/>
        <w:rPr>
          <w:iCs/>
          <w:sz w:val="20"/>
          <w:szCs w:val="20"/>
        </w:rPr>
      </w:pPr>
    </w:p>
    <w:p w:rsidR="00E64CEF" w:rsidRPr="000A6D2C" w:rsidRDefault="00E64CEF" w:rsidP="00E64CEF">
      <w:pPr>
        <w:ind w:left="850" w:hanging="850"/>
        <w:rPr>
          <w:i/>
          <w:iCs/>
          <w:sz w:val="20"/>
          <w:szCs w:val="20"/>
        </w:rPr>
      </w:pPr>
      <w:r w:rsidRPr="000A6D2C">
        <w:rPr>
          <w:iCs/>
          <w:sz w:val="20"/>
          <w:szCs w:val="20"/>
        </w:rPr>
        <w:t>CFR Title 21 part 173.25(c)(4)</w:t>
      </w:r>
    </w:p>
    <w:p w:rsidR="00E64CEF" w:rsidRPr="000A6D2C" w:rsidRDefault="00E64CEF" w:rsidP="00E64CEF">
      <w:pPr>
        <w:ind w:left="850" w:hanging="850"/>
        <w:rPr>
          <w:i/>
          <w:iCs/>
          <w:sz w:val="20"/>
          <w:szCs w:val="20"/>
        </w:rPr>
      </w:pPr>
    </w:p>
    <w:p w:rsidR="00E64CEF" w:rsidRPr="000A6D2C" w:rsidRDefault="00E35BCD" w:rsidP="00E35BCD">
      <w:pPr>
        <w:pStyle w:val="Clause"/>
        <w:rPr>
          <w:iCs/>
        </w:rPr>
      </w:pPr>
      <w:r w:rsidRPr="000A6D2C">
        <w:rPr>
          <w:i/>
        </w:rPr>
        <w:t>substituting</w:t>
      </w:r>
      <w:r w:rsidR="00E64CEF" w:rsidRPr="000A6D2C">
        <w:rPr>
          <w:i/>
        </w:rPr>
        <w:t xml:space="preserve"> </w:t>
      </w:r>
      <w:r w:rsidR="00E64CEF" w:rsidRPr="000A6D2C">
        <w:rPr>
          <w:iCs/>
        </w:rPr>
        <w:t xml:space="preserve">– </w:t>
      </w:r>
    </w:p>
    <w:p w:rsidR="00E64CEF" w:rsidRPr="000A6D2C" w:rsidRDefault="00E64CEF" w:rsidP="00E64CEF">
      <w:pPr>
        <w:ind w:left="850" w:hanging="850"/>
        <w:rPr>
          <w:i/>
          <w:iCs/>
          <w:sz w:val="20"/>
          <w:szCs w:val="20"/>
        </w:rPr>
      </w:pPr>
    </w:p>
    <w:p w:rsidR="00E64CEF" w:rsidRPr="000A6D2C" w:rsidRDefault="00E64CEF" w:rsidP="00E64CEF">
      <w:pPr>
        <w:ind w:left="850" w:hanging="850"/>
        <w:rPr>
          <w:i/>
          <w:iCs/>
          <w:sz w:val="20"/>
          <w:szCs w:val="20"/>
        </w:rPr>
      </w:pPr>
      <w:r w:rsidRPr="000A6D2C">
        <w:rPr>
          <w:iCs/>
          <w:sz w:val="20"/>
          <w:szCs w:val="20"/>
        </w:rPr>
        <w:t xml:space="preserve">21 CFR </w:t>
      </w:r>
      <w:r w:rsidRPr="000A6D2C">
        <w:rPr>
          <w:sz w:val="20"/>
          <w:szCs w:val="20"/>
        </w:rPr>
        <w:t xml:space="preserve">§ </w:t>
      </w:r>
      <w:r w:rsidRPr="000A6D2C">
        <w:rPr>
          <w:iCs/>
          <w:sz w:val="20"/>
          <w:szCs w:val="20"/>
        </w:rPr>
        <w:t>173.25(c)(4)</w:t>
      </w:r>
    </w:p>
    <w:p w:rsidR="00E64CEF" w:rsidRPr="000A6D2C" w:rsidRDefault="00E64CEF" w:rsidP="00E64CEF">
      <w:pPr>
        <w:rPr>
          <w:bCs/>
          <w:sz w:val="20"/>
          <w:szCs w:val="20"/>
        </w:rPr>
      </w:pPr>
    </w:p>
    <w:p w:rsidR="00E64CEF" w:rsidRPr="000A6D2C" w:rsidRDefault="00E64CEF" w:rsidP="00E64CEF">
      <w:pPr>
        <w:pStyle w:val="Clause"/>
      </w:pPr>
      <w:r w:rsidRPr="000A6D2C">
        <w:rPr>
          <w:bCs/>
        </w:rPr>
        <w:t>[16.6]</w:t>
      </w:r>
      <w:r w:rsidRPr="000A6D2C">
        <w:rPr>
          <w:bCs/>
        </w:rPr>
        <w:tab/>
      </w:r>
      <w:r w:rsidRPr="000A6D2C">
        <w:rPr>
          <w:i/>
        </w:rPr>
        <w:t xml:space="preserve">omitting from paragraph (c) under the </w:t>
      </w:r>
      <w:r w:rsidRPr="000A6D2C">
        <w:t>Specification for diethyl aminoethyl cellulose ion exchange resin</w:t>
      </w:r>
      <w:r w:rsidRPr="000A6D2C">
        <w:rPr>
          <w:i/>
        </w:rPr>
        <w:t xml:space="preserve"> in the</w:t>
      </w:r>
      <w:r w:rsidRPr="000A6D2C">
        <w:t xml:space="preserve"> Schedule – </w:t>
      </w:r>
    </w:p>
    <w:p w:rsidR="00E64CEF" w:rsidRPr="000A6D2C" w:rsidRDefault="00E64CEF" w:rsidP="00E64CEF">
      <w:pPr>
        <w:ind w:left="850" w:hanging="850"/>
        <w:rPr>
          <w:iCs/>
          <w:sz w:val="20"/>
          <w:szCs w:val="20"/>
        </w:rPr>
      </w:pPr>
    </w:p>
    <w:p w:rsidR="00E64CEF" w:rsidRPr="000A6D2C" w:rsidRDefault="00E64CEF" w:rsidP="00E64CEF">
      <w:pPr>
        <w:ind w:left="850" w:hanging="850"/>
        <w:rPr>
          <w:i/>
          <w:iCs/>
          <w:sz w:val="20"/>
          <w:szCs w:val="20"/>
        </w:rPr>
      </w:pPr>
      <w:r w:rsidRPr="000A6D2C">
        <w:rPr>
          <w:iCs/>
          <w:sz w:val="20"/>
          <w:szCs w:val="20"/>
        </w:rPr>
        <w:t>CFR Title 21 part 173.25(c)(4)</w:t>
      </w:r>
    </w:p>
    <w:p w:rsidR="00E64CEF" w:rsidRPr="000A6D2C" w:rsidRDefault="00E64CEF" w:rsidP="00E64CEF">
      <w:pPr>
        <w:ind w:left="850" w:hanging="850"/>
        <w:rPr>
          <w:i/>
          <w:iCs/>
          <w:sz w:val="20"/>
          <w:szCs w:val="20"/>
        </w:rPr>
      </w:pPr>
    </w:p>
    <w:p w:rsidR="00E64CEF" w:rsidRPr="000A6D2C" w:rsidRDefault="00E35BCD" w:rsidP="00E35BCD">
      <w:pPr>
        <w:pStyle w:val="Clause"/>
        <w:rPr>
          <w:iCs/>
        </w:rPr>
      </w:pPr>
      <w:r w:rsidRPr="000A6D2C">
        <w:rPr>
          <w:i/>
        </w:rPr>
        <w:t>substituting</w:t>
      </w:r>
      <w:r w:rsidRPr="000A6D2C">
        <w:t xml:space="preserve"> </w:t>
      </w:r>
      <w:r w:rsidR="00E64CEF" w:rsidRPr="000A6D2C">
        <w:rPr>
          <w:iCs/>
        </w:rPr>
        <w:t xml:space="preserve">– </w:t>
      </w:r>
    </w:p>
    <w:p w:rsidR="00E64CEF" w:rsidRPr="000A6D2C" w:rsidRDefault="00E64CEF" w:rsidP="00E64CEF">
      <w:pPr>
        <w:ind w:left="850" w:hanging="850"/>
        <w:rPr>
          <w:i/>
          <w:iCs/>
          <w:sz w:val="20"/>
          <w:szCs w:val="20"/>
        </w:rPr>
      </w:pPr>
    </w:p>
    <w:p w:rsidR="00E64CEF" w:rsidRPr="000A6D2C" w:rsidRDefault="00E64CEF" w:rsidP="00E64CEF">
      <w:pPr>
        <w:ind w:left="850" w:hanging="850"/>
        <w:rPr>
          <w:iCs/>
          <w:sz w:val="20"/>
          <w:szCs w:val="20"/>
        </w:rPr>
      </w:pPr>
      <w:r w:rsidRPr="000A6D2C">
        <w:rPr>
          <w:iCs/>
          <w:sz w:val="20"/>
          <w:szCs w:val="20"/>
        </w:rPr>
        <w:t xml:space="preserve">21 CFR </w:t>
      </w:r>
      <w:r w:rsidRPr="000A6D2C">
        <w:rPr>
          <w:sz w:val="20"/>
          <w:szCs w:val="20"/>
        </w:rPr>
        <w:t xml:space="preserve">§ </w:t>
      </w:r>
      <w:r w:rsidRPr="000A6D2C">
        <w:rPr>
          <w:iCs/>
          <w:sz w:val="20"/>
          <w:szCs w:val="20"/>
        </w:rPr>
        <w:t>173.25(c)(4)</w:t>
      </w:r>
    </w:p>
    <w:p w:rsidR="00E64CEF" w:rsidRPr="000A6D2C" w:rsidRDefault="00E64CEF" w:rsidP="00E64CEF">
      <w:pPr>
        <w:ind w:left="850" w:hanging="850"/>
        <w:rPr>
          <w:iCs/>
          <w:sz w:val="20"/>
          <w:szCs w:val="20"/>
        </w:rPr>
      </w:pPr>
    </w:p>
    <w:p w:rsidR="00E64CEF" w:rsidRPr="000A6D2C" w:rsidRDefault="00E64CEF" w:rsidP="00E64CEF">
      <w:pPr>
        <w:pStyle w:val="Clause"/>
      </w:pPr>
      <w:r w:rsidRPr="000A6D2C">
        <w:rPr>
          <w:bCs/>
        </w:rPr>
        <w:t>[16.7]</w:t>
      </w:r>
      <w:r w:rsidRPr="000A6D2C">
        <w:rPr>
          <w:bCs/>
        </w:rPr>
        <w:tab/>
      </w:r>
      <w:r w:rsidRPr="000A6D2C">
        <w:rPr>
          <w:i/>
        </w:rPr>
        <w:t xml:space="preserve">omitting from paragraph (c) under the </w:t>
      </w:r>
      <w:r w:rsidRPr="000A6D2C">
        <w:t>Specification for agarose ion exchange resin</w:t>
      </w:r>
      <w:r w:rsidRPr="000A6D2C">
        <w:rPr>
          <w:i/>
        </w:rPr>
        <w:t xml:space="preserve"> in the</w:t>
      </w:r>
      <w:r w:rsidRPr="000A6D2C">
        <w:t xml:space="preserve"> Schedule – </w:t>
      </w:r>
    </w:p>
    <w:p w:rsidR="00E64CEF" w:rsidRPr="000A6D2C" w:rsidRDefault="00E64CEF" w:rsidP="00E64CEF">
      <w:pPr>
        <w:ind w:left="850" w:hanging="850"/>
        <w:rPr>
          <w:iCs/>
          <w:sz w:val="20"/>
          <w:szCs w:val="20"/>
        </w:rPr>
      </w:pPr>
    </w:p>
    <w:p w:rsidR="00E64CEF" w:rsidRPr="000A6D2C" w:rsidRDefault="00E64CEF" w:rsidP="00E64CEF">
      <w:pPr>
        <w:ind w:left="850" w:hanging="850"/>
        <w:rPr>
          <w:i/>
          <w:iCs/>
          <w:sz w:val="20"/>
          <w:szCs w:val="20"/>
        </w:rPr>
      </w:pPr>
      <w:r w:rsidRPr="000A6D2C">
        <w:rPr>
          <w:iCs/>
          <w:sz w:val="20"/>
          <w:szCs w:val="20"/>
        </w:rPr>
        <w:t>CFR Title 21 part 173.25(c)(4)</w:t>
      </w:r>
    </w:p>
    <w:p w:rsidR="000A6D2C" w:rsidRDefault="000A6D2C" w:rsidP="00E64CEF">
      <w:pPr>
        <w:ind w:left="850" w:hanging="850"/>
        <w:rPr>
          <w:i/>
          <w:iCs/>
          <w:sz w:val="20"/>
          <w:szCs w:val="20"/>
        </w:rPr>
      </w:pPr>
      <w:r>
        <w:rPr>
          <w:i/>
          <w:iCs/>
          <w:sz w:val="20"/>
          <w:szCs w:val="20"/>
        </w:rPr>
        <w:br w:type="page"/>
      </w:r>
    </w:p>
    <w:p w:rsidR="00E64CEF" w:rsidRPr="000A6D2C" w:rsidRDefault="00E64CEF" w:rsidP="00E35BCD">
      <w:pPr>
        <w:pStyle w:val="Clause"/>
      </w:pPr>
      <w:r w:rsidRPr="000A6D2C">
        <w:rPr>
          <w:i/>
        </w:rPr>
        <w:lastRenderedPageBreak/>
        <w:t>substituting</w:t>
      </w:r>
      <w:r w:rsidRPr="000A6D2C">
        <w:t xml:space="preserve"> – </w:t>
      </w:r>
    </w:p>
    <w:p w:rsidR="00E64CEF" w:rsidRPr="000A6D2C" w:rsidRDefault="00E64CEF" w:rsidP="00E64CEF">
      <w:pPr>
        <w:ind w:left="850" w:hanging="850"/>
        <w:rPr>
          <w:i/>
          <w:iCs/>
          <w:sz w:val="20"/>
          <w:szCs w:val="20"/>
        </w:rPr>
      </w:pPr>
    </w:p>
    <w:p w:rsidR="00E64CEF" w:rsidRPr="000A6D2C" w:rsidRDefault="00E64CEF" w:rsidP="00E64CEF">
      <w:pPr>
        <w:ind w:left="850" w:hanging="850"/>
        <w:rPr>
          <w:i/>
          <w:iCs/>
          <w:sz w:val="20"/>
          <w:szCs w:val="20"/>
        </w:rPr>
      </w:pPr>
      <w:r w:rsidRPr="000A6D2C">
        <w:rPr>
          <w:iCs/>
          <w:sz w:val="20"/>
          <w:szCs w:val="20"/>
        </w:rPr>
        <w:t xml:space="preserve">21 CFR </w:t>
      </w:r>
      <w:r w:rsidRPr="000A6D2C">
        <w:rPr>
          <w:sz w:val="20"/>
          <w:szCs w:val="20"/>
        </w:rPr>
        <w:t>§</w:t>
      </w:r>
      <w:r w:rsidRPr="000A6D2C">
        <w:rPr>
          <w:iCs/>
          <w:sz w:val="20"/>
          <w:szCs w:val="20"/>
        </w:rPr>
        <w:t xml:space="preserve"> 173.25(c)(4)</w:t>
      </w:r>
    </w:p>
    <w:p w:rsidR="00E64CEF" w:rsidRPr="000A6D2C" w:rsidRDefault="00E64CEF" w:rsidP="00E64CEF">
      <w:pPr>
        <w:ind w:left="850" w:hanging="850"/>
        <w:rPr>
          <w:i/>
          <w:iCs/>
          <w:sz w:val="20"/>
          <w:szCs w:val="20"/>
        </w:rPr>
      </w:pPr>
    </w:p>
    <w:p w:rsidR="00E64CEF" w:rsidRPr="000A6D2C" w:rsidRDefault="00E64CEF" w:rsidP="00E64CEF">
      <w:pPr>
        <w:pStyle w:val="Clause"/>
      </w:pPr>
      <w:r w:rsidRPr="000A6D2C">
        <w:t>[16.8]</w:t>
      </w:r>
      <w:r w:rsidRPr="000A6D2C">
        <w:tab/>
      </w:r>
      <w:r w:rsidRPr="000A6D2C">
        <w:rPr>
          <w:i/>
        </w:rPr>
        <w:t xml:space="preserve">omitting from the </w:t>
      </w:r>
      <w:r w:rsidRPr="000A6D2C">
        <w:t xml:space="preserve">Schedule </w:t>
      </w:r>
      <w:r w:rsidRPr="000A6D2C">
        <w:rPr>
          <w:i/>
        </w:rPr>
        <w:t>the entries for</w:t>
      </w:r>
      <w:r w:rsidRPr="000A6D2C">
        <w:t xml:space="preserve">– </w:t>
      </w:r>
    </w:p>
    <w:p w:rsidR="00E64CEF" w:rsidRPr="000A6D2C" w:rsidRDefault="00E64CEF" w:rsidP="00E64CEF">
      <w:pPr>
        <w:ind w:left="850" w:hanging="850"/>
        <w:rPr>
          <w:iCs/>
          <w:sz w:val="20"/>
          <w:szCs w:val="20"/>
        </w:rPr>
      </w:pPr>
    </w:p>
    <w:p w:rsidR="00E64CEF" w:rsidRPr="000A6D2C" w:rsidRDefault="00E64CEF" w:rsidP="00E64CEF">
      <w:pPr>
        <w:pStyle w:val="Clauseheading"/>
      </w:pPr>
      <w:r w:rsidRPr="000A6D2C">
        <w:t>Specification for docosahexaenoic acid (DHA) – rich dried marine micro-algae (</w:t>
      </w:r>
      <w:r w:rsidRPr="000A6D2C">
        <w:rPr>
          <w:i/>
          <w:iCs/>
        </w:rPr>
        <w:t xml:space="preserve">Schizochytrium </w:t>
      </w:r>
      <w:r w:rsidRPr="000A6D2C">
        <w:t xml:space="preserve">sp.) </w:t>
      </w:r>
    </w:p>
    <w:p w:rsidR="00E64CEF" w:rsidRPr="000A6D2C" w:rsidRDefault="00E64CEF" w:rsidP="00E64CEF">
      <w:pPr>
        <w:rPr>
          <w:sz w:val="20"/>
          <w:szCs w:val="20"/>
        </w:rPr>
      </w:pPr>
    </w:p>
    <w:p w:rsidR="00E64CEF" w:rsidRPr="000A6D2C" w:rsidRDefault="00E64CEF" w:rsidP="00E64CEF">
      <w:pPr>
        <w:pStyle w:val="Clauseheading"/>
      </w:pPr>
      <w:r w:rsidRPr="000A6D2C">
        <w:t>Specification for docosahexaenoic acid (DHA) – rich oil derived from marine micro-algae (</w:t>
      </w:r>
      <w:r w:rsidRPr="000A6D2C">
        <w:rPr>
          <w:i/>
          <w:iCs/>
        </w:rPr>
        <w:t xml:space="preserve">Schizochytrium </w:t>
      </w:r>
      <w:r w:rsidRPr="000A6D2C">
        <w:t>sp.)</w:t>
      </w:r>
    </w:p>
    <w:p w:rsidR="00E64CEF" w:rsidRPr="000A6D2C" w:rsidRDefault="00E64CEF" w:rsidP="00E64CEF">
      <w:pPr>
        <w:rPr>
          <w:sz w:val="20"/>
          <w:szCs w:val="20"/>
        </w:rPr>
      </w:pPr>
    </w:p>
    <w:p w:rsidR="00E64CEF" w:rsidRPr="000A6D2C" w:rsidRDefault="00E64CEF" w:rsidP="00E64CEF">
      <w:pPr>
        <w:pStyle w:val="Clauseheading"/>
      </w:pPr>
      <w:r w:rsidRPr="000A6D2C">
        <w:t xml:space="preserve">Specification for docosahexaenoic acid (DHA) – rich oil derived from the algae </w:t>
      </w:r>
      <w:r w:rsidRPr="000A6D2C">
        <w:rPr>
          <w:i/>
          <w:iCs/>
        </w:rPr>
        <w:t>Crypthecodinium cohnii</w:t>
      </w:r>
      <w:r w:rsidRPr="000A6D2C">
        <w:t xml:space="preserve">  </w:t>
      </w:r>
    </w:p>
    <w:p w:rsidR="00E64CEF" w:rsidRPr="000A6D2C" w:rsidRDefault="00E64CEF" w:rsidP="00E64CEF">
      <w:pPr>
        <w:rPr>
          <w:sz w:val="20"/>
          <w:szCs w:val="20"/>
        </w:rPr>
      </w:pPr>
    </w:p>
    <w:p w:rsidR="00E64CEF" w:rsidRPr="000A6D2C" w:rsidRDefault="00E64CEF" w:rsidP="00E64CEF">
      <w:pPr>
        <w:pStyle w:val="Clauseheading"/>
      </w:pPr>
      <w:r w:rsidRPr="000A6D2C">
        <w:t xml:space="preserve">Specification for oil derived from the fungus </w:t>
      </w:r>
      <w:r w:rsidRPr="000A6D2C">
        <w:rPr>
          <w:i/>
          <w:iCs/>
        </w:rPr>
        <w:t xml:space="preserve">Mortierella alpina </w:t>
      </w:r>
      <w:r w:rsidRPr="000A6D2C">
        <w:rPr>
          <w:iCs/>
        </w:rPr>
        <w:t xml:space="preserve">rich in </w:t>
      </w:r>
      <w:r w:rsidRPr="000A6D2C">
        <w:t>arachidonic acid (ARA)</w:t>
      </w:r>
    </w:p>
    <w:p w:rsidR="00E64CEF" w:rsidRPr="000A6D2C" w:rsidRDefault="00E64CEF" w:rsidP="00E64CEF">
      <w:pPr>
        <w:rPr>
          <w:sz w:val="20"/>
          <w:szCs w:val="20"/>
        </w:rPr>
      </w:pPr>
    </w:p>
    <w:p w:rsidR="00E64CEF" w:rsidRPr="000A6D2C" w:rsidRDefault="00E64CEF" w:rsidP="00E64CEF">
      <w:pPr>
        <w:pStyle w:val="Clauseheading"/>
      </w:pPr>
      <w:r w:rsidRPr="000A6D2C">
        <w:t>Specification for docosahexaenoic acid (DHA) - rich oil derived from marine micro-algae (</w:t>
      </w:r>
      <w:r w:rsidRPr="000A6D2C">
        <w:rPr>
          <w:i/>
          <w:iCs/>
        </w:rPr>
        <w:t>Ulkenia</w:t>
      </w:r>
      <w:r w:rsidRPr="000A6D2C">
        <w:t xml:space="preserve"> sp.)</w:t>
      </w:r>
    </w:p>
    <w:p w:rsidR="00E64CEF" w:rsidRPr="000A6D2C" w:rsidRDefault="00E64CEF" w:rsidP="00E64CEF">
      <w:pPr>
        <w:rPr>
          <w:sz w:val="20"/>
          <w:szCs w:val="20"/>
        </w:rPr>
      </w:pPr>
    </w:p>
    <w:p w:rsidR="00E64CEF" w:rsidRPr="000A6D2C" w:rsidRDefault="00E64CEF" w:rsidP="00E64CEF">
      <w:pPr>
        <w:ind w:left="850" w:hanging="850"/>
        <w:rPr>
          <w:i/>
          <w:iCs/>
          <w:sz w:val="20"/>
          <w:szCs w:val="20"/>
        </w:rPr>
      </w:pPr>
      <w:r w:rsidRPr="000A6D2C">
        <w:rPr>
          <w:i/>
          <w:iCs/>
          <w:sz w:val="20"/>
          <w:szCs w:val="20"/>
        </w:rPr>
        <w:t xml:space="preserve">substituting – </w:t>
      </w:r>
    </w:p>
    <w:p w:rsidR="00E64CEF" w:rsidRPr="000A6D2C" w:rsidRDefault="00E64CEF" w:rsidP="00E64CEF">
      <w:pPr>
        <w:ind w:left="850" w:hanging="850"/>
        <w:rPr>
          <w:i/>
          <w:iCs/>
          <w:sz w:val="20"/>
          <w:szCs w:val="20"/>
        </w:rPr>
      </w:pPr>
    </w:p>
    <w:p w:rsidR="00E64CEF" w:rsidRPr="000A6D2C" w:rsidRDefault="00E64CEF" w:rsidP="00E64CEF">
      <w:pPr>
        <w:pStyle w:val="Clauseheading"/>
      </w:pPr>
      <w:r w:rsidRPr="000A6D2C">
        <w:t>Specification for dried marine micro-algae (</w:t>
      </w:r>
      <w:r w:rsidRPr="000A6D2C">
        <w:rPr>
          <w:i/>
        </w:rPr>
        <w:t xml:space="preserve">Schizochytrium </w:t>
      </w:r>
      <w:r w:rsidRPr="000A6D2C">
        <w:t>sp.) rich in docosahexaenoic acid (DHA)</w:t>
      </w:r>
    </w:p>
    <w:p w:rsidR="000A6D2C" w:rsidRPr="000A6D2C" w:rsidRDefault="000A6D2C" w:rsidP="00E64CEF">
      <w:pPr>
        <w:rPr>
          <w:sz w:val="20"/>
        </w:rPr>
      </w:pPr>
    </w:p>
    <w:tbl>
      <w:tblPr>
        <w:tblW w:w="9072" w:type="dxa"/>
        <w:tblLook w:val="0000" w:firstRow="0" w:lastRow="0" w:firstColumn="0" w:lastColumn="0" w:noHBand="0" w:noVBand="0"/>
      </w:tblPr>
      <w:tblGrid>
        <w:gridCol w:w="3914"/>
        <w:gridCol w:w="5158"/>
      </w:tblGrid>
      <w:tr w:rsidR="00E64CEF" w:rsidRPr="001B5135" w:rsidTr="00A506D2">
        <w:tc>
          <w:tcPr>
            <w:tcW w:w="3914" w:type="dxa"/>
          </w:tcPr>
          <w:p w:rsidR="00E64CEF" w:rsidRPr="001B5135" w:rsidRDefault="00E64CEF" w:rsidP="00A506D2">
            <w:pPr>
              <w:pStyle w:val="Table2"/>
            </w:pPr>
            <w:r w:rsidRPr="001B5135">
              <w:t>Full chemical name for DHA</w:t>
            </w:r>
          </w:p>
        </w:tc>
        <w:tc>
          <w:tcPr>
            <w:tcW w:w="5158" w:type="dxa"/>
          </w:tcPr>
          <w:p w:rsidR="00E64CEF" w:rsidRPr="001B5135" w:rsidRDefault="00E64CEF" w:rsidP="00A506D2">
            <w:pPr>
              <w:pStyle w:val="Table2"/>
            </w:pPr>
            <w:r w:rsidRPr="001B5135">
              <w:t>4,7,10,13,16,19-docosahexaenoic acid (22:6n-3 DHA)</w:t>
            </w:r>
          </w:p>
        </w:tc>
      </w:tr>
      <w:tr w:rsidR="00E64CEF" w:rsidRPr="001B5135" w:rsidTr="00A506D2">
        <w:tc>
          <w:tcPr>
            <w:tcW w:w="3914" w:type="dxa"/>
          </w:tcPr>
          <w:p w:rsidR="00E64CEF" w:rsidRPr="001B5135" w:rsidRDefault="00E64CEF" w:rsidP="00A506D2">
            <w:pPr>
              <w:pStyle w:val="Table2"/>
            </w:pPr>
            <w:r w:rsidRPr="001B5135">
              <w:t>Solids (%)</w:t>
            </w:r>
          </w:p>
        </w:tc>
        <w:tc>
          <w:tcPr>
            <w:tcW w:w="5158" w:type="dxa"/>
          </w:tcPr>
          <w:p w:rsidR="00E64CEF" w:rsidRPr="001B5135" w:rsidRDefault="00E64CEF" w:rsidP="00A506D2">
            <w:pPr>
              <w:pStyle w:val="Table2"/>
            </w:pPr>
            <w:r w:rsidRPr="001B5135">
              <w:t xml:space="preserve">min. 95.0 </w:t>
            </w:r>
          </w:p>
        </w:tc>
      </w:tr>
      <w:tr w:rsidR="00E64CEF" w:rsidRPr="001B5135" w:rsidTr="00A506D2">
        <w:tc>
          <w:tcPr>
            <w:tcW w:w="3914" w:type="dxa"/>
          </w:tcPr>
          <w:p w:rsidR="00E64CEF" w:rsidRPr="001B5135" w:rsidRDefault="00E64CEF" w:rsidP="00A506D2">
            <w:pPr>
              <w:pStyle w:val="Table2"/>
            </w:pPr>
            <w:r w:rsidRPr="001B5135">
              <w:t>DHA (%)</w:t>
            </w:r>
          </w:p>
        </w:tc>
        <w:tc>
          <w:tcPr>
            <w:tcW w:w="5158" w:type="dxa"/>
          </w:tcPr>
          <w:p w:rsidR="00E64CEF" w:rsidRPr="001B5135" w:rsidRDefault="00E64CEF" w:rsidP="00A506D2">
            <w:pPr>
              <w:pStyle w:val="Table2"/>
            </w:pPr>
            <w:r w:rsidRPr="001B5135">
              <w:t>min. 15.0</w:t>
            </w:r>
          </w:p>
        </w:tc>
      </w:tr>
      <w:tr w:rsidR="00E64CEF" w:rsidRPr="001B5135" w:rsidTr="00A506D2">
        <w:tc>
          <w:tcPr>
            <w:tcW w:w="3914" w:type="dxa"/>
          </w:tcPr>
          <w:p w:rsidR="00E64CEF" w:rsidRPr="001B5135" w:rsidRDefault="00E64CEF" w:rsidP="00A506D2">
            <w:pPr>
              <w:pStyle w:val="Table2"/>
            </w:pPr>
            <w:r>
              <w:t>Lead (mg/kg</w:t>
            </w:r>
            <w:r w:rsidRPr="001B5135">
              <w:t>)</w:t>
            </w:r>
          </w:p>
        </w:tc>
        <w:tc>
          <w:tcPr>
            <w:tcW w:w="5158" w:type="dxa"/>
          </w:tcPr>
          <w:p w:rsidR="00E64CEF" w:rsidRPr="001B5135" w:rsidRDefault="00E64CEF" w:rsidP="00A506D2">
            <w:pPr>
              <w:pStyle w:val="Table2"/>
            </w:pPr>
            <w:r w:rsidRPr="001B5135">
              <w:t xml:space="preserve">max. </w:t>
            </w:r>
            <w:r>
              <w:t>0.5</w:t>
            </w:r>
          </w:p>
        </w:tc>
      </w:tr>
      <w:tr w:rsidR="00E64CEF" w:rsidRPr="001B5135" w:rsidTr="00A506D2">
        <w:tc>
          <w:tcPr>
            <w:tcW w:w="3914" w:type="dxa"/>
          </w:tcPr>
          <w:p w:rsidR="00E64CEF" w:rsidRDefault="00E64CEF" w:rsidP="00A506D2">
            <w:pPr>
              <w:pStyle w:val="Table2"/>
              <w:ind w:left="0" w:firstLine="0"/>
            </w:pPr>
            <w:r>
              <w:t>Arsenic (mg/kg</w:t>
            </w:r>
            <w:r w:rsidRPr="001B5135">
              <w:t>)</w:t>
            </w:r>
          </w:p>
        </w:tc>
        <w:tc>
          <w:tcPr>
            <w:tcW w:w="5158" w:type="dxa"/>
          </w:tcPr>
          <w:p w:rsidR="00E64CEF" w:rsidRPr="001B5135" w:rsidRDefault="00E64CEF" w:rsidP="00A506D2">
            <w:pPr>
              <w:pStyle w:val="Table2"/>
            </w:pPr>
            <w:r>
              <w:t>max. 0.5</w:t>
            </w:r>
          </w:p>
        </w:tc>
      </w:tr>
    </w:tbl>
    <w:p w:rsidR="00E64CEF" w:rsidRPr="000A6D2C" w:rsidRDefault="00E64CEF" w:rsidP="00E64CEF">
      <w:pPr>
        <w:ind w:left="850" w:hanging="850"/>
        <w:rPr>
          <w:i/>
          <w:iCs/>
          <w:sz w:val="20"/>
          <w:szCs w:val="20"/>
        </w:rPr>
      </w:pPr>
    </w:p>
    <w:p w:rsidR="00E64CEF" w:rsidRPr="000A6D2C" w:rsidRDefault="00E64CEF" w:rsidP="00E64CEF">
      <w:pPr>
        <w:pStyle w:val="Clauseheading"/>
      </w:pPr>
      <w:r w:rsidRPr="000A6D2C">
        <w:t>Specification for oil derived from marine micro-algae (</w:t>
      </w:r>
      <w:r w:rsidRPr="000A6D2C">
        <w:rPr>
          <w:i/>
          <w:iCs/>
        </w:rPr>
        <w:t xml:space="preserve">Schizochytrium </w:t>
      </w:r>
      <w:r w:rsidRPr="000A6D2C">
        <w:t>sp.) rich in docosahexaenoic acid (DHA)</w:t>
      </w:r>
    </w:p>
    <w:p w:rsidR="00E64CEF" w:rsidRPr="000A6D2C" w:rsidRDefault="00E64CEF" w:rsidP="00E64CEF">
      <w:pPr>
        <w:rPr>
          <w:sz w:val="20"/>
          <w:szCs w:val="20"/>
        </w:rPr>
      </w:pPr>
    </w:p>
    <w:tbl>
      <w:tblPr>
        <w:tblW w:w="9072" w:type="dxa"/>
        <w:tblLook w:val="0000" w:firstRow="0" w:lastRow="0" w:firstColumn="0" w:lastColumn="0" w:noHBand="0" w:noVBand="0"/>
      </w:tblPr>
      <w:tblGrid>
        <w:gridCol w:w="3936"/>
        <w:gridCol w:w="5136"/>
      </w:tblGrid>
      <w:tr w:rsidR="00E64CEF" w:rsidRPr="001B5135" w:rsidTr="00A506D2">
        <w:tc>
          <w:tcPr>
            <w:tcW w:w="3936" w:type="dxa"/>
          </w:tcPr>
          <w:p w:rsidR="00E64CEF" w:rsidRPr="001B5135" w:rsidRDefault="00E64CEF" w:rsidP="00A506D2">
            <w:pPr>
              <w:pStyle w:val="Table2"/>
            </w:pPr>
            <w:r w:rsidRPr="001B5135">
              <w:t>Full chemical name for DHA</w:t>
            </w:r>
          </w:p>
        </w:tc>
        <w:tc>
          <w:tcPr>
            <w:tcW w:w="5136" w:type="dxa"/>
          </w:tcPr>
          <w:p w:rsidR="00E64CEF" w:rsidRPr="001B5135" w:rsidRDefault="00E64CEF" w:rsidP="00A506D2">
            <w:pPr>
              <w:pStyle w:val="Table2"/>
            </w:pPr>
            <w:r w:rsidRPr="001B5135">
              <w:t>4,7,10,13,16,19-docosahexaenoic acid (22:6n-3 DHA)</w:t>
            </w:r>
          </w:p>
        </w:tc>
      </w:tr>
      <w:tr w:rsidR="00E64CEF" w:rsidRPr="001B5135" w:rsidTr="00A506D2">
        <w:tc>
          <w:tcPr>
            <w:tcW w:w="3936" w:type="dxa"/>
          </w:tcPr>
          <w:p w:rsidR="00E64CEF" w:rsidRPr="001B5135" w:rsidRDefault="00E64CEF" w:rsidP="00A506D2">
            <w:pPr>
              <w:pStyle w:val="Table2"/>
            </w:pPr>
            <w:r w:rsidRPr="001B5135">
              <w:t>DHA (%)</w:t>
            </w:r>
          </w:p>
        </w:tc>
        <w:tc>
          <w:tcPr>
            <w:tcW w:w="5136" w:type="dxa"/>
          </w:tcPr>
          <w:p w:rsidR="00E64CEF" w:rsidRPr="001B5135" w:rsidRDefault="00E64CEF" w:rsidP="00A506D2">
            <w:pPr>
              <w:pStyle w:val="Table2"/>
            </w:pPr>
            <w:r>
              <w:t>min. 32</w:t>
            </w:r>
            <w:r w:rsidRPr="001B5135">
              <w:t xml:space="preserve"> </w:t>
            </w:r>
          </w:p>
        </w:tc>
      </w:tr>
      <w:tr w:rsidR="00E64CEF" w:rsidRPr="001B5135" w:rsidTr="00A506D2">
        <w:tc>
          <w:tcPr>
            <w:tcW w:w="3936" w:type="dxa"/>
          </w:tcPr>
          <w:p w:rsidR="00E64CEF" w:rsidRPr="001B5135" w:rsidRDefault="00E64CEF" w:rsidP="00A506D2">
            <w:pPr>
              <w:pStyle w:val="Table2"/>
            </w:pPr>
            <w:r w:rsidRPr="001B5135">
              <w:t>Trans fatty acids (%)</w:t>
            </w:r>
          </w:p>
        </w:tc>
        <w:tc>
          <w:tcPr>
            <w:tcW w:w="5136" w:type="dxa"/>
          </w:tcPr>
          <w:p w:rsidR="00E64CEF" w:rsidRPr="001B5135" w:rsidRDefault="00E64CEF" w:rsidP="00A506D2">
            <w:pPr>
              <w:pStyle w:val="Table2"/>
            </w:pPr>
            <w:r w:rsidRPr="001B5135">
              <w:t>max. 2.0</w:t>
            </w:r>
          </w:p>
        </w:tc>
      </w:tr>
      <w:tr w:rsidR="00E64CEF" w:rsidRPr="001B5135" w:rsidTr="00A506D2">
        <w:tc>
          <w:tcPr>
            <w:tcW w:w="3936" w:type="dxa"/>
          </w:tcPr>
          <w:p w:rsidR="00E64CEF" w:rsidRPr="001B5135" w:rsidRDefault="00E64CEF" w:rsidP="00A506D2">
            <w:pPr>
              <w:pStyle w:val="Table2"/>
            </w:pPr>
            <w:r>
              <w:t>Lead (mg/kg</w:t>
            </w:r>
            <w:r w:rsidRPr="001B5135">
              <w:t>)</w:t>
            </w:r>
          </w:p>
        </w:tc>
        <w:tc>
          <w:tcPr>
            <w:tcW w:w="5136" w:type="dxa"/>
          </w:tcPr>
          <w:p w:rsidR="00E64CEF" w:rsidRPr="001B5135" w:rsidRDefault="00E64CEF" w:rsidP="00A506D2">
            <w:pPr>
              <w:pStyle w:val="Table2"/>
            </w:pPr>
            <w:r>
              <w:t>max. 0.1</w:t>
            </w:r>
            <w:r w:rsidRPr="001B5135">
              <w:t xml:space="preserve"> </w:t>
            </w:r>
          </w:p>
        </w:tc>
      </w:tr>
      <w:tr w:rsidR="00E64CEF" w:rsidRPr="001B5135" w:rsidTr="00A506D2">
        <w:tc>
          <w:tcPr>
            <w:tcW w:w="3936" w:type="dxa"/>
          </w:tcPr>
          <w:p w:rsidR="00E64CEF" w:rsidRPr="001B5135" w:rsidRDefault="00E64CEF" w:rsidP="00A506D2">
            <w:pPr>
              <w:pStyle w:val="Table2"/>
            </w:pPr>
            <w:r>
              <w:t>Arsenic (mg/kg</w:t>
            </w:r>
            <w:r w:rsidRPr="001B5135">
              <w:t>)</w:t>
            </w:r>
          </w:p>
        </w:tc>
        <w:tc>
          <w:tcPr>
            <w:tcW w:w="5136" w:type="dxa"/>
          </w:tcPr>
          <w:p w:rsidR="00E64CEF" w:rsidRPr="001B5135" w:rsidRDefault="00E64CEF" w:rsidP="00A506D2">
            <w:pPr>
              <w:pStyle w:val="Table2"/>
            </w:pPr>
            <w:r>
              <w:t>max. 0.1</w:t>
            </w:r>
            <w:r w:rsidRPr="001B5135">
              <w:t xml:space="preserve"> </w:t>
            </w:r>
          </w:p>
        </w:tc>
      </w:tr>
      <w:tr w:rsidR="00E64CEF" w:rsidRPr="001B5135" w:rsidTr="00A506D2">
        <w:tc>
          <w:tcPr>
            <w:tcW w:w="3936" w:type="dxa"/>
          </w:tcPr>
          <w:p w:rsidR="00E64CEF" w:rsidRPr="001B5135" w:rsidRDefault="00E64CEF" w:rsidP="00A506D2">
            <w:pPr>
              <w:pStyle w:val="Table2"/>
            </w:pPr>
            <w:r>
              <w:t>Mercury (mg/kg</w:t>
            </w:r>
            <w:r w:rsidRPr="001B5135">
              <w:t>)</w:t>
            </w:r>
          </w:p>
        </w:tc>
        <w:tc>
          <w:tcPr>
            <w:tcW w:w="5136" w:type="dxa"/>
          </w:tcPr>
          <w:p w:rsidR="00E64CEF" w:rsidRPr="001B5135" w:rsidRDefault="00E64CEF" w:rsidP="00A506D2">
            <w:pPr>
              <w:pStyle w:val="Table2"/>
            </w:pPr>
            <w:r>
              <w:t>max. 0.1</w:t>
            </w:r>
          </w:p>
        </w:tc>
      </w:tr>
      <w:tr w:rsidR="00E64CEF" w:rsidRPr="001B5135" w:rsidTr="00A506D2">
        <w:tc>
          <w:tcPr>
            <w:tcW w:w="3936" w:type="dxa"/>
          </w:tcPr>
          <w:p w:rsidR="00E64CEF" w:rsidRPr="001B5135" w:rsidRDefault="00E64CEF" w:rsidP="00A506D2">
            <w:pPr>
              <w:pStyle w:val="Table2"/>
            </w:pPr>
            <w:r w:rsidRPr="001B5135">
              <w:t>Hexane (</w:t>
            </w:r>
            <w:r>
              <w:t>mg/kg</w:t>
            </w:r>
            <w:r w:rsidRPr="001B5135">
              <w:t>)</w:t>
            </w:r>
          </w:p>
        </w:tc>
        <w:tc>
          <w:tcPr>
            <w:tcW w:w="5136" w:type="dxa"/>
          </w:tcPr>
          <w:p w:rsidR="00E64CEF" w:rsidRPr="001B5135" w:rsidRDefault="00E64CEF" w:rsidP="00A506D2">
            <w:pPr>
              <w:pStyle w:val="Table2"/>
            </w:pPr>
            <w:r>
              <w:t>max. 0.3</w:t>
            </w:r>
          </w:p>
        </w:tc>
      </w:tr>
    </w:tbl>
    <w:p w:rsidR="00E64CEF" w:rsidRPr="000A6D2C" w:rsidRDefault="00E64CEF" w:rsidP="00E64CEF">
      <w:pPr>
        <w:ind w:left="850" w:hanging="850"/>
        <w:rPr>
          <w:i/>
          <w:iCs/>
          <w:sz w:val="20"/>
          <w:szCs w:val="20"/>
        </w:rPr>
      </w:pPr>
    </w:p>
    <w:p w:rsidR="00E64CEF" w:rsidRPr="000A6D2C" w:rsidRDefault="00E64CEF" w:rsidP="00E64CEF">
      <w:pPr>
        <w:pStyle w:val="Clauseheading"/>
      </w:pPr>
      <w:r w:rsidRPr="000A6D2C">
        <w:t xml:space="preserve">Specification for oil derived from the algae </w:t>
      </w:r>
      <w:r w:rsidRPr="000A6D2C">
        <w:rPr>
          <w:i/>
          <w:iCs/>
        </w:rPr>
        <w:t>Crypthecodinium cohnii</w:t>
      </w:r>
      <w:r w:rsidRPr="000A6D2C">
        <w:t xml:space="preserve"> rich in docosahexaenoic acid (DHA) </w:t>
      </w:r>
    </w:p>
    <w:p w:rsidR="00E64CEF" w:rsidRPr="000A6D2C" w:rsidRDefault="00E64CEF" w:rsidP="00E64CEF">
      <w:pPr>
        <w:rPr>
          <w:rFonts w:cs="Times"/>
          <w:sz w:val="20"/>
          <w:szCs w:val="20"/>
        </w:rPr>
      </w:pPr>
    </w:p>
    <w:tbl>
      <w:tblPr>
        <w:tblW w:w="9072" w:type="dxa"/>
        <w:tblLook w:val="04A0" w:firstRow="1" w:lastRow="0" w:firstColumn="1" w:lastColumn="0" w:noHBand="0" w:noVBand="1"/>
      </w:tblPr>
      <w:tblGrid>
        <w:gridCol w:w="3950"/>
        <w:gridCol w:w="5122"/>
      </w:tblGrid>
      <w:tr w:rsidR="00E64CEF" w:rsidRPr="00A1666C" w:rsidTr="00A506D2">
        <w:tc>
          <w:tcPr>
            <w:tcW w:w="3950" w:type="dxa"/>
          </w:tcPr>
          <w:p w:rsidR="00E64CEF" w:rsidRPr="00A1666C" w:rsidRDefault="00E64CEF" w:rsidP="00A506D2">
            <w:pPr>
              <w:pStyle w:val="Table2"/>
              <w:rPr>
                <w:rFonts w:cs="Times"/>
              </w:rPr>
            </w:pPr>
            <w:r w:rsidRPr="001B5135">
              <w:t>Full chemical name for DHA</w:t>
            </w:r>
          </w:p>
        </w:tc>
        <w:tc>
          <w:tcPr>
            <w:tcW w:w="5122" w:type="dxa"/>
          </w:tcPr>
          <w:p w:rsidR="00E64CEF" w:rsidRPr="00A1666C" w:rsidRDefault="00E64CEF" w:rsidP="00A506D2">
            <w:pPr>
              <w:pStyle w:val="Table2"/>
              <w:rPr>
                <w:rFonts w:cs="Times"/>
              </w:rPr>
            </w:pPr>
            <w:r w:rsidRPr="001B5135">
              <w:t>4,7,10,13,16,19-docosahexaenoic acid (22:6n-3)</w:t>
            </w:r>
          </w:p>
        </w:tc>
      </w:tr>
      <w:tr w:rsidR="00E64CEF" w:rsidRPr="00A1666C" w:rsidTr="00A506D2">
        <w:tc>
          <w:tcPr>
            <w:tcW w:w="3950" w:type="dxa"/>
          </w:tcPr>
          <w:p w:rsidR="00E64CEF" w:rsidRPr="00A1666C" w:rsidRDefault="00E64CEF" w:rsidP="00A506D2">
            <w:pPr>
              <w:pStyle w:val="Table2"/>
              <w:rPr>
                <w:rFonts w:cs="Times"/>
              </w:rPr>
            </w:pPr>
            <w:r w:rsidRPr="001B5135">
              <w:t>DHA (%)</w:t>
            </w:r>
          </w:p>
        </w:tc>
        <w:tc>
          <w:tcPr>
            <w:tcW w:w="5122" w:type="dxa"/>
          </w:tcPr>
          <w:p w:rsidR="00E64CEF" w:rsidRPr="00A1666C" w:rsidRDefault="00E64CEF" w:rsidP="00A506D2">
            <w:pPr>
              <w:pStyle w:val="Table2"/>
              <w:rPr>
                <w:rFonts w:cs="Times"/>
              </w:rPr>
            </w:pPr>
            <w:r>
              <w:t xml:space="preserve">min. 35 </w:t>
            </w:r>
          </w:p>
        </w:tc>
      </w:tr>
      <w:tr w:rsidR="00E64CEF" w:rsidRPr="00A1666C" w:rsidTr="00A506D2">
        <w:tc>
          <w:tcPr>
            <w:tcW w:w="3950" w:type="dxa"/>
          </w:tcPr>
          <w:p w:rsidR="00E64CEF" w:rsidRPr="001B5135" w:rsidRDefault="00E64CEF" w:rsidP="00A506D2">
            <w:pPr>
              <w:pStyle w:val="Table2"/>
            </w:pPr>
            <w:r w:rsidRPr="007E1F64">
              <w:t>Trans fatty acids (%)</w:t>
            </w:r>
          </w:p>
        </w:tc>
        <w:tc>
          <w:tcPr>
            <w:tcW w:w="5122" w:type="dxa"/>
          </w:tcPr>
          <w:p w:rsidR="00E64CEF" w:rsidRPr="001B5135" w:rsidRDefault="00E64CEF" w:rsidP="00A506D2">
            <w:pPr>
              <w:pStyle w:val="Table2"/>
            </w:pPr>
            <w:r>
              <w:t>max. 2</w:t>
            </w:r>
            <w:r w:rsidRPr="007E1F64">
              <w:t>.0</w:t>
            </w:r>
          </w:p>
        </w:tc>
      </w:tr>
      <w:tr w:rsidR="00E64CEF" w:rsidRPr="00A1666C" w:rsidTr="00A506D2">
        <w:tc>
          <w:tcPr>
            <w:tcW w:w="3950" w:type="dxa"/>
          </w:tcPr>
          <w:p w:rsidR="00E64CEF" w:rsidRPr="001B5135" w:rsidRDefault="00E64CEF" w:rsidP="00A506D2">
            <w:pPr>
              <w:pStyle w:val="Table2"/>
            </w:pPr>
            <w:r>
              <w:t>Lead (mg/kg</w:t>
            </w:r>
            <w:r w:rsidRPr="008A24DD">
              <w:t>)</w:t>
            </w:r>
          </w:p>
        </w:tc>
        <w:tc>
          <w:tcPr>
            <w:tcW w:w="5122" w:type="dxa"/>
          </w:tcPr>
          <w:p w:rsidR="00E64CEF" w:rsidRPr="001B5135" w:rsidRDefault="00E64CEF" w:rsidP="00A506D2">
            <w:pPr>
              <w:pStyle w:val="Table2"/>
            </w:pPr>
            <w:r w:rsidRPr="008A24DD">
              <w:t>max. 0.</w:t>
            </w:r>
            <w:r>
              <w:t>1</w:t>
            </w:r>
          </w:p>
        </w:tc>
      </w:tr>
      <w:tr w:rsidR="00E64CEF" w:rsidRPr="00A1666C" w:rsidTr="00A506D2">
        <w:tc>
          <w:tcPr>
            <w:tcW w:w="3950" w:type="dxa"/>
          </w:tcPr>
          <w:p w:rsidR="00E64CEF" w:rsidRPr="008A24DD" w:rsidRDefault="00E64CEF" w:rsidP="00A506D2">
            <w:pPr>
              <w:pStyle w:val="Table2"/>
            </w:pPr>
            <w:r w:rsidRPr="008A24DD">
              <w:t>Arsenic (</w:t>
            </w:r>
            <w:r>
              <w:t>mg/kg</w:t>
            </w:r>
            <w:r w:rsidRPr="008A24DD">
              <w:t>)</w:t>
            </w:r>
          </w:p>
        </w:tc>
        <w:tc>
          <w:tcPr>
            <w:tcW w:w="5122" w:type="dxa"/>
          </w:tcPr>
          <w:p w:rsidR="00E64CEF" w:rsidRPr="008A24DD" w:rsidRDefault="00E64CEF" w:rsidP="00A506D2">
            <w:pPr>
              <w:pStyle w:val="Table2"/>
            </w:pPr>
            <w:r>
              <w:t>max. 0.1</w:t>
            </w:r>
          </w:p>
        </w:tc>
      </w:tr>
      <w:tr w:rsidR="00E64CEF" w:rsidRPr="00A1666C" w:rsidTr="00A506D2">
        <w:tc>
          <w:tcPr>
            <w:tcW w:w="3950" w:type="dxa"/>
          </w:tcPr>
          <w:p w:rsidR="00E64CEF" w:rsidRPr="008A24DD" w:rsidRDefault="00E64CEF" w:rsidP="00A506D2">
            <w:pPr>
              <w:pStyle w:val="Table2"/>
            </w:pPr>
            <w:r w:rsidRPr="008A24DD">
              <w:t>Mercury (</w:t>
            </w:r>
            <w:r>
              <w:t>mg/kg</w:t>
            </w:r>
            <w:r w:rsidRPr="008A24DD">
              <w:t>)</w:t>
            </w:r>
          </w:p>
        </w:tc>
        <w:tc>
          <w:tcPr>
            <w:tcW w:w="5122" w:type="dxa"/>
          </w:tcPr>
          <w:p w:rsidR="00E64CEF" w:rsidRPr="008A24DD" w:rsidRDefault="00E64CEF" w:rsidP="00A506D2">
            <w:pPr>
              <w:pStyle w:val="Table2"/>
            </w:pPr>
            <w:r>
              <w:t>max. 0.1</w:t>
            </w:r>
          </w:p>
        </w:tc>
      </w:tr>
      <w:tr w:rsidR="00E64CEF" w:rsidRPr="00A1666C" w:rsidTr="00A506D2">
        <w:tc>
          <w:tcPr>
            <w:tcW w:w="3950" w:type="dxa"/>
          </w:tcPr>
          <w:p w:rsidR="00E64CEF" w:rsidRPr="008A24DD" w:rsidRDefault="00E64CEF" w:rsidP="00A506D2">
            <w:pPr>
              <w:pStyle w:val="Table2"/>
            </w:pPr>
            <w:r w:rsidRPr="008A24DD">
              <w:t>Hexane (</w:t>
            </w:r>
            <w:r>
              <w:t>mg/kg</w:t>
            </w:r>
            <w:r w:rsidRPr="008A24DD">
              <w:t>)</w:t>
            </w:r>
          </w:p>
        </w:tc>
        <w:tc>
          <w:tcPr>
            <w:tcW w:w="5122" w:type="dxa"/>
          </w:tcPr>
          <w:p w:rsidR="00E64CEF" w:rsidRPr="008A24DD" w:rsidRDefault="00E64CEF" w:rsidP="00A506D2">
            <w:pPr>
              <w:pStyle w:val="Table2"/>
            </w:pPr>
            <w:r w:rsidRPr="008A24DD">
              <w:t>max. 0.3</w:t>
            </w:r>
          </w:p>
        </w:tc>
      </w:tr>
    </w:tbl>
    <w:p w:rsidR="00E64CEF" w:rsidRPr="000A6D2C" w:rsidRDefault="00E64CEF" w:rsidP="00E64CEF">
      <w:pPr>
        <w:ind w:left="850" w:hanging="850"/>
        <w:rPr>
          <w:i/>
          <w:iCs/>
          <w:sz w:val="20"/>
          <w:szCs w:val="20"/>
        </w:rPr>
      </w:pPr>
    </w:p>
    <w:p w:rsidR="00E64CEF" w:rsidRPr="000A6D2C" w:rsidRDefault="00E64CEF" w:rsidP="00E64CEF">
      <w:pPr>
        <w:pStyle w:val="Clauseheading"/>
      </w:pPr>
      <w:r w:rsidRPr="000A6D2C">
        <w:t xml:space="preserve">Specification for oil derived from the fungus </w:t>
      </w:r>
      <w:r w:rsidRPr="000A6D2C">
        <w:rPr>
          <w:i/>
          <w:iCs/>
        </w:rPr>
        <w:t xml:space="preserve">Mortierella alpina </w:t>
      </w:r>
      <w:r w:rsidRPr="000A6D2C">
        <w:rPr>
          <w:iCs/>
        </w:rPr>
        <w:t xml:space="preserve">rich in </w:t>
      </w:r>
      <w:r w:rsidRPr="000A6D2C">
        <w:t>arachidonic acid (ARA)</w:t>
      </w:r>
    </w:p>
    <w:p w:rsidR="00E64CEF" w:rsidRPr="000A6D2C" w:rsidRDefault="00E64CEF" w:rsidP="00E64CEF">
      <w:pPr>
        <w:rPr>
          <w:sz w:val="20"/>
          <w:szCs w:val="20"/>
        </w:rPr>
      </w:pPr>
    </w:p>
    <w:tbl>
      <w:tblPr>
        <w:tblW w:w="9072" w:type="dxa"/>
        <w:tblLook w:val="04A0" w:firstRow="1" w:lastRow="0" w:firstColumn="1" w:lastColumn="0" w:noHBand="0" w:noVBand="1"/>
      </w:tblPr>
      <w:tblGrid>
        <w:gridCol w:w="3936"/>
        <w:gridCol w:w="5136"/>
      </w:tblGrid>
      <w:tr w:rsidR="00E64CEF" w:rsidTr="00A506D2">
        <w:tc>
          <w:tcPr>
            <w:tcW w:w="3936" w:type="dxa"/>
          </w:tcPr>
          <w:p w:rsidR="00E64CEF" w:rsidRDefault="00E64CEF" w:rsidP="00A506D2">
            <w:pPr>
              <w:pStyle w:val="Table2"/>
            </w:pPr>
            <w:r w:rsidRPr="007E1F64">
              <w:t>Full chemical name for ARA</w:t>
            </w:r>
          </w:p>
        </w:tc>
        <w:tc>
          <w:tcPr>
            <w:tcW w:w="5136" w:type="dxa"/>
          </w:tcPr>
          <w:p w:rsidR="00E64CEF" w:rsidRDefault="00E64CEF" w:rsidP="00A506D2">
            <w:pPr>
              <w:pStyle w:val="Table2"/>
            </w:pPr>
            <w:r w:rsidRPr="007E1F64">
              <w:t>5,8,11,14-eicosatetraenoic acid (20:4n-6</w:t>
            </w:r>
            <w:r>
              <w:t xml:space="preserve"> ARA</w:t>
            </w:r>
            <w:r w:rsidRPr="007E1F64">
              <w:t>)</w:t>
            </w:r>
          </w:p>
        </w:tc>
      </w:tr>
      <w:tr w:rsidR="00E64CEF" w:rsidTr="00A506D2">
        <w:tc>
          <w:tcPr>
            <w:tcW w:w="3936" w:type="dxa"/>
          </w:tcPr>
          <w:p w:rsidR="00E64CEF" w:rsidRDefault="00E64CEF" w:rsidP="00A506D2">
            <w:pPr>
              <w:pStyle w:val="Table2"/>
            </w:pPr>
            <w:r w:rsidRPr="001B5135">
              <w:t>ARA (%)</w:t>
            </w:r>
          </w:p>
        </w:tc>
        <w:tc>
          <w:tcPr>
            <w:tcW w:w="5136" w:type="dxa"/>
          </w:tcPr>
          <w:p w:rsidR="00E64CEF" w:rsidRDefault="00E64CEF" w:rsidP="00A506D2">
            <w:pPr>
              <w:pStyle w:val="Table2"/>
            </w:pPr>
            <w:r w:rsidRPr="001B5135">
              <w:t>min. 3</w:t>
            </w:r>
            <w:r>
              <w:t>5</w:t>
            </w:r>
          </w:p>
        </w:tc>
      </w:tr>
      <w:tr w:rsidR="00E64CEF" w:rsidRPr="00A1666C" w:rsidTr="00A506D2">
        <w:tc>
          <w:tcPr>
            <w:tcW w:w="3936" w:type="dxa"/>
          </w:tcPr>
          <w:p w:rsidR="00E64CEF" w:rsidRPr="001B5135" w:rsidRDefault="00E64CEF" w:rsidP="00A506D2">
            <w:pPr>
              <w:pStyle w:val="Table2"/>
            </w:pPr>
            <w:r w:rsidRPr="001B5135">
              <w:t>Trans fatty acids (%)</w:t>
            </w:r>
          </w:p>
        </w:tc>
        <w:tc>
          <w:tcPr>
            <w:tcW w:w="5136" w:type="dxa"/>
          </w:tcPr>
          <w:p w:rsidR="00E64CEF" w:rsidRPr="001B5135" w:rsidRDefault="00E64CEF" w:rsidP="00A506D2">
            <w:pPr>
              <w:pStyle w:val="Table2"/>
            </w:pPr>
            <w:r>
              <w:t>max. 2</w:t>
            </w:r>
            <w:r w:rsidRPr="001B5135">
              <w:t>.0</w:t>
            </w:r>
          </w:p>
        </w:tc>
      </w:tr>
      <w:tr w:rsidR="00E64CEF" w:rsidRPr="00A1666C" w:rsidTr="00A506D2">
        <w:tc>
          <w:tcPr>
            <w:tcW w:w="3936" w:type="dxa"/>
          </w:tcPr>
          <w:p w:rsidR="00E64CEF" w:rsidRPr="001B5135" w:rsidRDefault="00E64CEF" w:rsidP="00A506D2">
            <w:pPr>
              <w:pStyle w:val="Table2"/>
            </w:pPr>
            <w:r w:rsidRPr="001B5135">
              <w:t>Lead (</w:t>
            </w:r>
            <w:r>
              <w:t>mg/kg</w:t>
            </w:r>
            <w:r w:rsidRPr="001B5135">
              <w:t>)</w:t>
            </w:r>
          </w:p>
        </w:tc>
        <w:tc>
          <w:tcPr>
            <w:tcW w:w="5136" w:type="dxa"/>
          </w:tcPr>
          <w:p w:rsidR="00E64CEF" w:rsidRPr="001B5135" w:rsidRDefault="00E64CEF" w:rsidP="00A506D2">
            <w:pPr>
              <w:pStyle w:val="Table2"/>
            </w:pPr>
            <w:r w:rsidRPr="001B5135">
              <w:t>max. 0.</w:t>
            </w:r>
            <w:r>
              <w:t>1</w:t>
            </w:r>
          </w:p>
        </w:tc>
      </w:tr>
      <w:tr w:rsidR="00E64CEF" w:rsidTr="00A506D2">
        <w:tc>
          <w:tcPr>
            <w:tcW w:w="3936" w:type="dxa"/>
          </w:tcPr>
          <w:p w:rsidR="00E64CEF" w:rsidRPr="001B5135" w:rsidRDefault="00E64CEF" w:rsidP="00A506D2">
            <w:pPr>
              <w:pStyle w:val="Table2"/>
            </w:pPr>
            <w:r w:rsidRPr="001B5135">
              <w:t>Arsenic (</w:t>
            </w:r>
            <w:r>
              <w:t>mg/kg</w:t>
            </w:r>
            <w:r w:rsidRPr="001B5135">
              <w:t>)</w:t>
            </w:r>
          </w:p>
        </w:tc>
        <w:tc>
          <w:tcPr>
            <w:tcW w:w="5136" w:type="dxa"/>
          </w:tcPr>
          <w:p w:rsidR="00E64CEF" w:rsidRPr="001B5135" w:rsidRDefault="00E64CEF" w:rsidP="00A506D2">
            <w:pPr>
              <w:pStyle w:val="Table2"/>
            </w:pPr>
            <w:r>
              <w:t>max. 0.1</w:t>
            </w:r>
          </w:p>
        </w:tc>
      </w:tr>
      <w:tr w:rsidR="00E64CEF" w:rsidRPr="00A1666C" w:rsidTr="00A506D2">
        <w:tc>
          <w:tcPr>
            <w:tcW w:w="3936" w:type="dxa"/>
          </w:tcPr>
          <w:p w:rsidR="00E64CEF" w:rsidRPr="001B5135" w:rsidRDefault="00E64CEF" w:rsidP="00A506D2">
            <w:pPr>
              <w:pStyle w:val="Table2"/>
            </w:pPr>
            <w:r w:rsidRPr="001B5135">
              <w:t>Mercury (</w:t>
            </w:r>
            <w:r>
              <w:t>mg/kg</w:t>
            </w:r>
            <w:r w:rsidRPr="001B5135">
              <w:t>)</w:t>
            </w:r>
          </w:p>
        </w:tc>
        <w:tc>
          <w:tcPr>
            <w:tcW w:w="5136" w:type="dxa"/>
          </w:tcPr>
          <w:p w:rsidR="00E64CEF" w:rsidRPr="001B5135" w:rsidRDefault="00E64CEF" w:rsidP="00A506D2">
            <w:pPr>
              <w:pStyle w:val="Table2"/>
            </w:pPr>
            <w:r w:rsidRPr="001B5135">
              <w:t>max. 0.</w:t>
            </w:r>
            <w:r>
              <w:t>1</w:t>
            </w:r>
          </w:p>
        </w:tc>
      </w:tr>
      <w:tr w:rsidR="00E64CEF" w:rsidTr="00A506D2">
        <w:tc>
          <w:tcPr>
            <w:tcW w:w="3936" w:type="dxa"/>
          </w:tcPr>
          <w:p w:rsidR="00E64CEF" w:rsidRPr="001B5135" w:rsidRDefault="00E64CEF" w:rsidP="00A506D2">
            <w:pPr>
              <w:pStyle w:val="Table2"/>
            </w:pPr>
            <w:r w:rsidRPr="001B5135">
              <w:t>Hexane (</w:t>
            </w:r>
            <w:r>
              <w:t>mg/kg</w:t>
            </w:r>
            <w:r w:rsidRPr="001B5135">
              <w:t>)</w:t>
            </w:r>
          </w:p>
        </w:tc>
        <w:tc>
          <w:tcPr>
            <w:tcW w:w="5136" w:type="dxa"/>
          </w:tcPr>
          <w:p w:rsidR="00E64CEF" w:rsidRPr="001B5135" w:rsidRDefault="00E64CEF" w:rsidP="00A506D2">
            <w:pPr>
              <w:pStyle w:val="Table2"/>
            </w:pPr>
            <w:r w:rsidRPr="001B5135">
              <w:t>max. 0.3</w:t>
            </w:r>
          </w:p>
        </w:tc>
      </w:tr>
    </w:tbl>
    <w:p w:rsidR="000A6D2C" w:rsidRDefault="000A6D2C" w:rsidP="00E64CEF">
      <w:pPr>
        <w:rPr>
          <w:sz w:val="20"/>
          <w:szCs w:val="20"/>
        </w:rPr>
      </w:pPr>
      <w:r>
        <w:rPr>
          <w:sz w:val="20"/>
          <w:szCs w:val="20"/>
        </w:rPr>
        <w:br w:type="page"/>
      </w:r>
    </w:p>
    <w:p w:rsidR="00E64CEF" w:rsidRPr="000A6D2C" w:rsidRDefault="00E64CEF" w:rsidP="00E64CEF">
      <w:pPr>
        <w:pStyle w:val="Clauseheading"/>
      </w:pPr>
      <w:r w:rsidRPr="000A6D2C">
        <w:lastRenderedPageBreak/>
        <w:t>Specification for oil derived from marine micro-algae (</w:t>
      </w:r>
      <w:r w:rsidRPr="000A6D2C">
        <w:rPr>
          <w:i/>
          <w:iCs/>
        </w:rPr>
        <w:t>Ulkenia</w:t>
      </w:r>
      <w:r w:rsidRPr="000A6D2C">
        <w:t xml:space="preserve"> sp.) rich in docosahexaenoic acid (DHA)</w:t>
      </w:r>
    </w:p>
    <w:p w:rsidR="00E64CEF" w:rsidRPr="000A6D2C" w:rsidRDefault="00E64CEF" w:rsidP="00E64CEF">
      <w:pPr>
        <w:autoSpaceDE w:val="0"/>
        <w:autoSpaceDN w:val="0"/>
        <w:adjustRightInd w:val="0"/>
        <w:rPr>
          <w:color w:val="000000"/>
          <w:sz w:val="20"/>
          <w:szCs w:val="20"/>
        </w:rPr>
      </w:pPr>
    </w:p>
    <w:tbl>
      <w:tblPr>
        <w:tblW w:w="9072" w:type="dxa"/>
        <w:tblLayout w:type="fixed"/>
        <w:tblLook w:val="0000" w:firstRow="0" w:lastRow="0" w:firstColumn="0" w:lastColumn="0" w:noHBand="0" w:noVBand="0"/>
      </w:tblPr>
      <w:tblGrid>
        <w:gridCol w:w="3936"/>
        <w:gridCol w:w="5136"/>
      </w:tblGrid>
      <w:tr w:rsidR="00E64CEF" w:rsidRPr="001B5135" w:rsidTr="00A506D2">
        <w:tc>
          <w:tcPr>
            <w:tcW w:w="3936" w:type="dxa"/>
          </w:tcPr>
          <w:p w:rsidR="00E64CEF" w:rsidRPr="001B5135" w:rsidRDefault="00E64CEF" w:rsidP="00A506D2">
            <w:pPr>
              <w:pStyle w:val="Table2"/>
            </w:pPr>
            <w:r w:rsidRPr="001B5135">
              <w:t>Full chemical name for DHA</w:t>
            </w:r>
          </w:p>
        </w:tc>
        <w:tc>
          <w:tcPr>
            <w:tcW w:w="5136" w:type="dxa"/>
          </w:tcPr>
          <w:p w:rsidR="00E64CEF" w:rsidRPr="001B5135" w:rsidRDefault="00E64CEF" w:rsidP="00A506D2">
            <w:pPr>
              <w:pStyle w:val="Table2"/>
            </w:pPr>
            <w:r w:rsidRPr="001B5135">
              <w:t>4,7,10,13,16,19-docosahexaenoic acid (22:6n-3 DHA)</w:t>
            </w:r>
          </w:p>
        </w:tc>
      </w:tr>
      <w:tr w:rsidR="00E64CEF" w:rsidRPr="001B5135" w:rsidTr="00A506D2">
        <w:tc>
          <w:tcPr>
            <w:tcW w:w="3936" w:type="dxa"/>
          </w:tcPr>
          <w:p w:rsidR="00E64CEF" w:rsidRPr="001B5135" w:rsidRDefault="00E64CEF" w:rsidP="00A506D2">
            <w:pPr>
              <w:pStyle w:val="Table2"/>
            </w:pPr>
            <w:r w:rsidRPr="001B5135">
              <w:t>DHA (%)</w:t>
            </w:r>
          </w:p>
        </w:tc>
        <w:tc>
          <w:tcPr>
            <w:tcW w:w="5136" w:type="dxa"/>
          </w:tcPr>
          <w:p w:rsidR="00E64CEF" w:rsidRPr="001B5135" w:rsidRDefault="00E64CEF" w:rsidP="00A506D2">
            <w:pPr>
              <w:pStyle w:val="Table2"/>
            </w:pPr>
            <w:r w:rsidRPr="001B5135">
              <w:t>min. 32</w:t>
            </w:r>
          </w:p>
        </w:tc>
      </w:tr>
      <w:tr w:rsidR="00E64CEF" w:rsidRPr="001B5135" w:rsidTr="00A506D2">
        <w:tc>
          <w:tcPr>
            <w:tcW w:w="3936" w:type="dxa"/>
          </w:tcPr>
          <w:p w:rsidR="00E64CEF" w:rsidRPr="001B5135" w:rsidRDefault="00E64CEF" w:rsidP="00A506D2">
            <w:pPr>
              <w:pStyle w:val="Table2"/>
            </w:pPr>
            <w:r w:rsidRPr="001B5135">
              <w:t>Trans fatty acids (%)</w:t>
            </w:r>
          </w:p>
        </w:tc>
        <w:tc>
          <w:tcPr>
            <w:tcW w:w="5136" w:type="dxa"/>
          </w:tcPr>
          <w:p w:rsidR="00E64CEF" w:rsidRPr="001B5135" w:rsidRDefault="00E64CEF" w:rsidP="00A506D2">
            <w:pPr>
              <w:pStyle w:val="Table2"/>
            </w:pPr>
            <w:r w:rsidRPr="001B5135">
              <w:t>max. 2</w:t>
            </w:r>
            <w:r>
              <w:t>.0</w:t>
            </w:r>
          </w:p>
        </w:tc>
      </w:tr>
      <w:tr w:rsidR="00E64CEF" w:rsidRPr="001B5135" w:rsidTr="00A506D2">
        <w:tc>
          <w:tcPr>
            <w:tcW w:w="3936" w:type="dxa"/>
          </w:tcPr>
          <w:p w:rsidR="00E64CEF" w:rsidRPr="001B5135" w:rsidRDefault="00E64CEF" w:rsidP="00A506D2">
            <w:pPr>
              <w:pStyle w:val="Table2"/>
            </w:pPr>
            <w:r w:rsidRPr="001B5135">
              <w:t>Lead (</w:t>
            </w:r>
            <w:r>
              <w:t>mg/kg</w:t>
            </w:r>
            <w:r w:rsidRPr="001B5135">
              <w:t>)</w:t>
            </w:r>
          </w:p>
        </w:tc>
        <w:tc>
          <w:tcPr>
            <w:tcW w:w="5136" w:type="dxa"/>
          </w:tcPr>
          <w:p w:rsidR="00E64CEF" w:rsidRPr="001B5135" w:rsidRDefault="00E64CEF" w:rsidP="00A506D2">
            <w:pPr>
              <w:pStyle w:val="Table2"/>
            </w:pPr>
            <w:r w:rsidRPr="001B5135">
              <w:t>max. 0.2</w:t>
            </w:r>
          </w:p>
        </w:tc>
      </w:tr>
      <w:tr w:rsidR="00E64CEF" w:rsidRPr="001B5135" w:rsidTr="00A506D2">
        <w:tc>
          <w:tcPr>
            <w:tcW w:w="3936" w:type="dxa"/>
          </w:tcPr>
          <w:p w:rsidR="00E64CEF" w:rsidRPr="001B5135" w:rsidRDefault="00E64CEF" w:rsidP="00A506D2">
            <w:pPr>
              <w:pStyle w:val="Table2"/>
            </w:pPr>
            <w:r w:rsidRPr="001B5135">
              <w:t>Arsenic (</w:t>
            </w:r>
            <w:r>
              <w:t>mg/kg</w:t>
            </w:r>
            <w:r w:rsidRPr="001B5135">
              <w:t>)</w:t>
            </w:r>
          </w:p>
        </w:tc>
        <w:tc>
          <w:tcPr>
            <w:tcW w:w="5136" w:type="dxa"/>
          </w:tcPr>
          <w:p w:rsidR="00E64CEF" w:rsidRPr="001B5135" w:rsidRDefault="00E64CEF" w:rsidP="00A506D2">
            <w:pPr>
              <w:pStyle w:val="Table2"/>
            </w:pPr>
            <w:r w:rsidRPr="001B5135">
              <w:t>max. 0.2</w:t>
            </w:r>
          </w:p>
        </w:tc>
      </w:tr>
      <w:tr w:rsidR="00E64CEF" w:rsidRPr="001B5135" w:rsidTr="00A506D2">
        <w:tc>
          <w:tcPr>
            <w:tcW w:w="3936" w:type="dxa"/>
          </w:tcPr>
          <w:p w:rsidR="00E64CEF" w:rsidRPr="001B5135" w:rsidRDefault="00E64CEF" w:rsidP="00A506D2">
            <w:pPr>
              <w:pStyle w:val="Table2"/>
            </w:pPr>
            <w:r w:rsidRPr="001B5135">
              <w:t>Mercury (</w:t>
            </w:r>
            <w:r>
              <w:t>mg/kg</w:t>
            </w:r>
            <w:r w:rsidRPr="001B5135">
              <w:t>)</w:t>
            </w:r>
          </w:p>
        </w:tc>
        <w:tc>
          <w:tcPr>
            <w:tcW w:w="5136" w:type="dxa"/>
          </w:tcPr>
          <w:p w:rsidR="00E64CEF" w:rsidRPr="001B5135" w:rsidRDefault="00E64CEF" w:rsidP="00A506D2">
            <w:pPr>
              <w:pStyle w:val="Table2"/>
            </w:pPr>
            <w:r w:rsidRPr="001B5135">
              <w:t>max. 0.2</w:t>
            </w:r>
          </w:p>
        </w:tc>
      </w:tr>
      <w:tr w:rsidR="00E64CEF" w:rsidRPr="001B5135" w:rsidTr="00A506D2">
        <w:tc>
          <w:tcPr>
            <w:tcW w:w="3936" w:type="dxa"/>
          </w:tcPr>
          <w:p w:rsidR="00E64CEF" w:rsidRPr="001B5135" w:rsidRDefault="00E64CEF" w:rsidP="00A506D2">
            <w:pPr>
              <w:pStyle w:val="Table2"/>
            </w:pPr>
            <w:r w:rsidRPr="001B5135">
              <w:t>Hexane (</w:t>
            </w:r>
            <w:r>
              <w:t>mg/kg</w:t>
            </w:r>
            <w:r w:rsidRPr="001B5135">
              <w:t>)</w:t>
            </w:r>
          </w:p>
        </w:tc>
        <w:tc>
          <w:tcPr>
            <w:tcW w:w="5136" w:type="dxa"/>
          </w:tcPr>
          <w:p w:rsidR="00E64CEF" w:rsidRPr="001B5135" w:rsidRDefault="00E64CEF" w:rsidP="00A506D2">
            <w:pPr>
              <w:pStyle w:val="Table2"/>
            </w:pPr>
            <w:r w:rsidRPr="001B5135">
              <w:t>max. 10</w:t>
            </w:r>
          </w:p>
        </w:tc>
      </w:tr>
    </w:tbl>
    <w:p w:rsidR="00E64CEF" w:rsidRPr="00072A0E" w:rsidRDefault="00E64CEF" w:rsidP="00E64CEF">
      <w:pPr>
        <w:ind w:left="850" w:hanging="850"/>
        <w:rPr>
          <w:i/>
          <w:iCs/>
        </w:rPr>
      </w:pPr>
    </w:p>
    <w:p w:rsidR="00E64CEF" w:rsidRPr="000A6D2C" w:rsidRDefault="00E64CEF" w:rsidP="00E64CEF">
      <w:pPr>
        <w:pStyle w:val="Clause"/>
      </w:pPr>
      <w:r w:rsidRPr="000A6D2C">
        <w:rPr>
          <w:b/>
          <w:bCs/>
        </w:rPr>
        <w:t>[17]</w:t>
      </w:r>
      <w:r w:rsidRPr="000A6D2C">
        <w:tab/>
      </w:r>
      <w:r w:rsidRPr="000A6D2C">
        <w:rPr>
          <w:b/>
          <w:bCs/>
          <w:i/>
        </w:rPr>
        <w:t>Standard 1.4.1</w:t>
      </w:r>
      <w:r w:rsidRPr="000A6D2C">
        <w:rPr>
          <w:i/>
        </w:rPr>
        <w:t xml:space="preserve"> of the Australia New Zealand Food Standards Code is varied by </w:t>
      </w:r>
      <w:r w:rsidRPr="000A6D2C">
        <w:t xml:space="preserve">– </w:t>
      </w:r>
    </w:p>
    <w:p w:rsidR="00E64CEF" w:rsidRPr="000A6D2C" w:rsidRDefault="00E64CEF" w:rsidP="00E64CEF">
      <w:pPr>
        <w:rPr>
          <w:i/>
          <w:iCs/>
          <w:sz w:val="20"/>
          <w:szCs w:val="20"/>
        </w:rPr>
      </w:pPr>
    </w:p>
    <w:p w:rsidR="00E64CEF" w:rsidRPr="000A6D2C" w:rsidRDefault="00E64CEF" w:rsidP="00E64CEF">
      <w:pPr>
        <w:pStyle w:val="Clause"/>
      </w:pPr>
      <w:r w:rsidRPr="000A6D2C">
        <w:t>[17.1]</w:t>
      </w:r>
      <w:r w:rsidRPr="000A6D2C">
        <w:tab/>
      </w:r>
      <w:r w:rsidRPr="000A6D2C">
        <w:rPr>
          <w:i/>
        </w:rPr>
        <w:t xml:space="preserve">omitting from the </w:t>
      </w:r>
      <w:r w:rsidRPr="000A6D2C">
        <w:t xml:space="preserve">Purpose – </w:t>
      </w:r>
    </w:p>
    <w:p w:rsidR="00E64CEF" w:rsidRPr="000A6D2C" w:rsidRDefault="00E64CEF" w:rsidP="00E35BCD">
      <w:pPr>
        <w:pStyle w:val="Clause"/>
      </w:pPr>
    </w:p>
    <w:p w:rsidR="00E64CEF" w:rsidRPr="000A6D2C" w:rsidRDefault="00E64CEF" w:rsidP="00E35BCD">
      <w:pPr>
        <w:pStyle w:val="Clause"/>
      </w:pPr>
      <w:r w:rsidRPr="000A6D2C">
        <w:t>Consideration has also been given to Australia’s and New Zealand’s international trade obligations under the World Trade Organization’s Sanitary and Phytosanitary Agreement and Technical Barrier to Trade Agreement.</w:t>
      </w:r>
    </w:p>
    <w:p w:rsidR="00E64CEF" w:rsidRPr="000A6D2C" w:rsidRDefault="00E64CEF" w:rsidP="00E35BCD">
      <w:pPr>
        <w:pStyle w:val="Clause"/>
      </w:pPr>
    </w:p>
    <w:p w:rsidR="000A6D2C" w:rsidRPr="000A6D2C" w:rsidRDefault="00E64CEF" w:rsidP="00E35BCD">
      <w:pPr>
        <w:pStyle w:val="Clause"/>
      </w:pPr>
      <w:r w:rsidRPr="000A6D2C">
        <w:t>In order to assist both enforcement agencies and industry to maintain contaminant levels at the lowest achievable levels, Generally Expected Levels (GELs), have been established to complement the use of MLs.  GELs, while not legally enforceable, provide a benchmark against which to measure contaminant levels in foods.  The list of GELS is provided in the User Guide – Generally Expected Levels (GELs) for Metal Contaminants.</w:t>
      </w:r>
    </w:p>
    <w:p w:rsidR="00E35BCD" w:rsidRPr="000A6D2C" w:rsidRDefault="00E35BCD" w:rsidP="00E35BCD">
      <w:pPr>
        <w:pStyle w:val="Clause"/>
      </w:pPr>
    </w:p>
    <w:p w:rsidR="00E64CEF" w:rsidRPr="000A6D2C" w:rsidRDefault="00E64CEF" w:rsidP="00E35BCD">
      <w:pPr>
        <w:pStyle w:val="Clause"/>
      </w:pPr>
      <w:r w:rsidRPr="000A6D2C">
        <w:rPr>
          <w:i/>
        </w:rPr>
        <w:t xml:space="preserve">substituting </w:t>
      </w:r>
      <w:r w:rsidRPr="000A6D2C">
        <w:t xml:space="preserve">– </w:t>
      </w:r>
    </w:p>
    <w:p w:rsidR="00E64CEF" w:rsidRPr="000A6D2C" w:rsidRDefault="00E64CEF" w:rsidP="00E64CEF">
      <w:pPr>
        <w:rPr>
          <w:i/>
          <w:iCs/>
          <w:sz w:val="20"/>
          <w:szCs w:val="20"/>
        </w:rPr>
      </w:pPr>
    </w:p>
    <w:p w:rsidR="00E64CEF" w:rsidRPr="000A6D2C" w:rsidRDefault="00E64CEF" w:rsidP="00E35BCD">
      <w:pPr>
        <w:pStyle w:val="Clause"/>
      </w:pPr>
      <w:r w:rsidRPr="000A6D2C">
        <w:t>Consideration has also been given to Australia’s and New Zealand’s international trade obligations under the World Trade Organization’s Agreement on the Application of Sanitary and Phytosanitary Measures and the Agreement on Technical Barriers to Trade.</w:t>
      </w:r>
    </w:p>
    <w:p w:rsidR="00E64CEF" w:rsidRPr="000A6D2C" w:rsidRDefault="00E64CEF" w:rsidP="00E64CEF">
      <w:pPr>
        <w:rPr>
          <w:i/>
          <w:iCs/>
          <w:sz w:val="20"/>
          <w:szCs w:val="20"/>
        </w:rPr>
      </w:pPr>
    </w:p>
    <w:p w:rsidR="00E64CEF" w:rsidRPr="000A6D2C" w:rsidRDefault="00E64CEF" w:rsidP="00E64CEF">
      <w:pPr>
        <w:pStyle w:val="Clause"/>
      </w:pPr>
      <w:r w:rsidRPr="000A6D2C">
        <w:t>[17.2]</w:t>
      </w:r>
      <w:r w:rsidRPr="000A6D2C">
        <w:tab/>
      </w:r>
      <w:r w:rsidRPr="000A6D2C">
        <w:rPr>
          <w:i/>
        </w:rPr>
        <w:t>omitting from subclause 1(5)</w:t>
      </w:r>
      <w:r w:rsidRPr="000A6D2C">
        <w:t xml:space="preserve"> – </w:t>
      </w:r>
    </w:p>
    <w:p w:rsidR="00E64CEF" w:rsidRPr="000A6D2C" w:rsidRDefault="00E64CEF" w:rsidP="00E64CEF">
      <w:pPr>
        <w:ind w:left="851" w:hanging="851"/>
        <w:rPr>
          <w:iCs/>
          <w:sz w:val="20"/>
          <w:szCs w:val="20"/>
        </w:rPr>
      </w:pPr>
    </w:p>
    <w:p w:rsidR="00E64CEF" w:rsidRPr="000A6D2C" w:rsidRDefault="00E64CEF" w:rsidP="00E64CEF">
      <w:pPr>
        <w:pStyle w:val="Subclause"/>
      </w:pPr>
      <w:r w:rsidRPr="000A6D2C">
        <w:t>(edible kelp)</w:t>
      </w:r>
    </w:p>
    <w:p w:rsidR="00E64CEF" w:rsidRPr="000A6D2C" w:rsidRDefault="00E64CEF" w:rsidP="00E64CEF">
      <w:pPr>
        <w:rPr>
          <w:iCs/>
          <w:sz w:val="20"/>
          <w:szCs w:val="20"/>
        </w:rPr>
      </w:pPr>
    </w:p>
    <w:p w:rsidR="00E64CEF" w:rsidRPr="000A6D2C" w:rsidRDefault="00E64CEF" w:rsidP="00E64CEF">
      <w:pPr>
        <w:pStyle w:val="Clause"/>
        <w:rPr>
          <w:i/>
        </w:rPr>
      </w:pPr>
      <w:r w:rsidRPr="000A6D2C">
        <w:t>[17.3]</w:t>
      </w:r>
      <w:r w:rsidRPr="000A6D2C">
        <w:tab/>
      </w:r>
      <w:r w:rsidRPr="000A6D2C">
        <w:rPr>
          <w:i/>
        </w:rPr>
        <w:t xml:space="preserve">omitting the definitions for </w:t>
      </w:r>
      <w:r w:rsidRPr="000A6D2C">
        <w:rPr>
          <w:b/>
        </w:rPr>
        <w:t xml:space="preserve">food </w:t>
      </w:r>
      <w:r w:rsidRPr="000A6D2C">
        <w:rPr>
          <w:i/>
        </w:rPr>
        <w:t xml:space="preserve">and </w:t>
      </w:r>
      <w:r w:rsidRPr="000A6D2C">
        <w:rPr>
          <w:b/>
        </w:rPr>
        <w:t xml:space="preserve">metal contaminant </w:t>
      </w:r>
      <w:r w:rsidRPr="000A6D2C">
        <w:rPr>
          <w:i/>
        </w:rPr>
        <w:t xml:space="preserve">in subclause 2(1), substituting – </w:t>
      </w:r>
    </w:p>
    <w:p w:rsidR="00E64CEF" w:rsidRPr="000A6D2C" w:rsidRDefault="00E64CEF" w:rsidP="00E64CEF">
      <w:pPr>
        <w:rPr>
          <w:sz w:val="20"/>
          <w:szCs w:val="20"/>
        </w:rPr>
      </w:pPr>
    </w:p>
    <w:p w:rsidR="00E64CEF" w:rsidRPr="000A6D2C" w:rsidRDefault="00E64CEF" w:rsidP="00E64CEF">
      <w:pPr>
        <w:pStyle w:val="Definition"/>
        <w:rPr>
          <w:bCs/>
        </w:rPr>
      </w:pPr>
      <w:r w:rsidRPr="000A6D2C">
        <w:rPr>
          <w:b/>
          <w:bCs/>
        </w:rPr>
        <w:t xml:space="preserve">food </w:t>
      </w:r>
      <w:r w:rsidRPr="000A6D2C">
        <w:rPr>
          <w:bCs/>
        </w:rPr>
        <w:t>means the food or class of foods listed in Column 2 of the Table to this clause.</w:t>
      </w:r>
    </w:p>
    <w:p w:rsidR="00E64CEF" w:rsidRPr="000A6D2C" w:rsidRDefault="00E64CEF" w:rsidP="00E64CEF">
      <w:pPr>
        <w:rPr>
          <w:sz w:val="20"/>
          <w:szCs w:val="20"/>
        </w:rPr>
      </w:pPr>
    </w:p>
    <w:p w:rsidR="00E64CEF" w:rsidRPr="000A6D2C" w:rsidRDefault="00E64CEF" w:rsidP="00E64CEF">
      <w:pPr>
        <w:pStyle w:val="Definition"/>
        <w:rPr>
          <w:bCs/>
        </w:rPr>
      </w:pPr>
      <w:r w:rsidRPr="000A6D2C">
        <w:rPr>
          <w:b/>
          <w:bCs/>
        </w:rPr>
        <w:t xml:space="preserve">metal contaminant </w:t>
      </w:r>
      <w:r w:rsidRPr="000A6D2C">
        <w:rPr>
          <w:bCs/>
        </w:rPr>
        <w:t>means a substance listed in Column 1 of the Table to this clause and includes compounds of a metal.</w:t>
      </w:r>
    </w:p>
    <w:p w:rsidR="00E64CEF" w:rsidRPr="000A6D2C" w:rsidRDefault="00E64CEF" w:rsidP="00E64CEF">
      <w:pPr>
        <w:rPr>
          <w:sz w:val="20"/>
          <w:szCs w:val="20"/>
        </w:rPr>
      </w:pPr>
    </w:p>
    <w:p w:rsidR="00E64CEF" w:rsidRPr="000A6D2C" w:rsidRDefault="00E64CEF" w:rsidP="00E64CEF">
      <w:pPr>
        <w:pStyle w:val="Clause"/>
      </w:pPr>
      <w:r w:rsidRPr="000A6D2C">
        <w:t>[17.4]</w:t>
      </w:r>
      <w:r w:rsidRPr="000A6D2C">
        <w:tab/>
      </w:r>
      <w:r w:rsidRPr="000A6D2C">
        <w:rPr>
          <w:i/>
        </w:rPr>
        <w:t xml:space="preserve">omitting subclauses 2(2) and 2(3), substituting - </w:t>
      </w:r>
    </w:p>
    <w:p w:rsidR="00E64CEF" w:rsidRPr="000A6D2C" w:rsidRDefault="00E64CEF" w:rsidP="00E64CEF">
      <w:pPr>
        <w:rPr>
          <w:sz w:val="20"/>
          <w:szCs w:val="20"/>
        </w:rPr>
      </w:pPr>
    </w:p>
    <w:p w:rsidR="00E64CEF" w:rsidRPr="000A6D2C" w:rsidRDefault="00E64CEF" w:rsidP="00E64CEF">
      <w:pPr>
        <w:pStyle w:val="Subclause"/>
      </w:pPr>
      <w:r w:rsidRPr="000A6D2C">
        <w:t>(2)</w:t>
      </w:r>
      <w:r w:rsidRPr="000A6D2C">
        <w:tab/>
        <w:t>The maximum levels for metal contaminants in food are listed in Column 3 of the Table to this clause.</w:t>
      </w:r>
    </w:p>
    <w:p w:rsidR="00E64CEF" w:rsidRPr="000A6D2C" w:rsidRDefault="00E64CEF" w:rsidP="00E64CEF">
      <w:pPr>
        <w:pStyle w:val="Subclause"/>
      </w:pPr>
    </w:p>
    <w:p w:rsidR="00E64CEF" w:rsidRPr="000A6D2C" w:rsidRDefault="00E64CEF" w:rsidP="00E64CEF">
      <w:pPr>
        <w:pStyle w:val="Subclause"/>
      </w:pPr>
      <w:r w:rsidRPr="000A6D2C">
        <w:t>(3)</w:t>
      </w:r>
      <w:r w:rsidRPr="000A6D2C">
        <w:tab/>
        <w:t>Where a mixed food contains food or a class of foods listed in Column 2 of the Table to this clause, the proportion of the metal contaminant permitted to be present in the mixed food (ML1) is calculated in accordance with the formula prescribed in subclause 1(6).</w:t>
      </w:r>
    </w:p>
    <w:p w:rsidR="00E64CEF" w:rsidRPr="000A6D2C" w:rsidRDefault="00E64CEF" w:rsidP="00E64CEF">
      <w:pPr>
        <w:pStyle w:val="Subclause"/>
      </w:pPr>
    </w:p>
    <w:p w:rsidR="00E64CEF" w:rsidRPr="000A6D2C" w:rsidRDefault="00E64CEF" w:rsidP="00E64CEF">
      <w:pPr>
        <w:pStyle w:val="Clause"/>
        <w:rPr>
          <w:i/>
        </w:rPr>
      </w:pPr>
      <w:r w:rsidRPr="000A6D2C">
        <w:t>[17.5]</w:t>
      </w:r>
      <w:r w:rsidRPr="000A6D2C">
        <w:tab/>
      </w:r>
      <w:r w:rsidRPr="000A6D2C">
        <w:rPr>
          <w:i/>
        </w:rPr>
        <w:t xml:space="preserve">omitting the </w:t>
      </w:r>
      <w:r w:rsidRPr="000A6D2C">
        <w:t>Table to clause 2</w:t>
      </w:r>
      <w:r w:rsidRPr="000A6D2C">
        <w:rPr>
          <w:i/>
        </w:rPr>
        <w:t xml:space="preserve">, substituting – </w:t>
      </w:r>
    </w:p>
    <w:p w:rsidR="00E64CEF" w:rsidRPr="000A6D2C" w:rsidRDefault="00E64CEF" w:rsidP="00E64CEF">
      <w:pPr>
        <w:rPr>
          <w:sz w:val="20"/>
          <w:szCs w:val="20"/>
        </w:rPr>
      </w:pPr>
    </w:p>
    <w:p w:rsidR="000A6D2C" w:rsidRDefault="000A6D2C" w:rsidP="00E64CEF">
      <w:pPr>
        <w:pStyle w:val="TableHeading"/>
      </w:pPr>
      <w:r>
        <w:br w:type="page"/>
      </w:r>
    </w:p>
    <w:p w:rsidR="00E64CEF" w:rsidRPr="000A6D2C" w:rsidRDefault="00E64CEF" w:rsidP="00E64CEF">
      <w:pPr>
        <w:pStyle w:val="TableHeading"/>
      </w:pPr>
      <w:r w:rsidRPr="000A6D2C">
        <w:lastRenderedPageBreak/>
        <w:t>Table to clause 2</w:t>
      </w:r>
    </w:p>
    <w:p w:rsidR="00E64CEF" w:rsidRPr="000A6D2C" w:rsidRDefault="00E64CEF" w:rsidP="00E64CEF">
      <w:pPr>
        <w:rPr>
          <w:sz w:val="20"/>
          <w:szCs w:val="20"/>
        </w:rPr>
      </w:pPr>
    </w:p>
    <w:tbl>
      <w:tblPr>
        <w:tblW w:w="8743" w:type="dxa"/>
        <w:jc w:val="center"/>
        <w:tblInd w:w="1" w:type="dxa"/>
        <w:tblLayout w:type="fixed"/>
        <w:tblCellMar>
          <w:left w:w="79" w:type="dxa"/>
          <w:right w:w="79" w:type="dxa"/>
        </w:tblCellMar>
        <w:tblLook w:val="0000" w:firstRow="0" w:lastRow="0" w:firstColumn="0" w:lastColumn="0" w:noHBand="0" w:noVBand="0"/>
      </w:tblPr>
      <w:tblGrid>
        <w:gridCol w:w="1843"/>
        <w:gridCol w:w="5245"/>
        <w:gridCol w:w="1655"/>
      </w:tblGrid>
      <w:tr w:rsidR="00E64CEF" w:rsidRPr="00D4467B" w:rsidTr="00A506D2">
        <w:trPr>
          <w:cantSplit/>
          <w:trHeight w:val="345"/>
          <w:jc w:val="center"/>
        </w:trPr>
        <w:tc>
          <w:tcPr>
            <w:tcW w:w="1843" w:type="dxa"/>
            <w:tcBorders>
              <w:top w:val="single" w:sz="4" w:space="0" w:color="auto"/>
              <w:left w:val="single" w:sz="4" w:space="0" w:color="auto"/>
              <w:right w:val="single" w:sz="4" w:space="0" w:color="auto"/>
            </w:tcBorders>
          </w:tcPr>
          <w:p w:rsidR="00E64CEF" w:rsidRPr="00312A41" w:rsidRDefault="00E64CEF" w:rsidP="00A506D2">
            <w:pPr>
              <w:pStyle w:val="Table1"/>
            </w:pPr>
            <w:r w:rsidRPr="00312A41">
              <w:t>Column 1</w:t>
            </w:r>
          </w:p>
        </w:tc>
        <w:tc>
          <w:tcPr>
            <w:tcW w:w="5245" w:type="dxa"/>
            <w:tcBorders>
              <w:top w:val="single" w:sz="4" w:space="0" w:color="auto"/>
              <w:left w:val="single" w:sz="4" w:space="0" w:color="auto"/>
              <w:right w:val="single" w:sz="4" w:space="0" w:color="auto"/>
            </w:tcBorders>
          </w:tcPr>
          <w:p w:rsidR="00E64CEF" w:rsidRPr="00312A41" w:rsidRDefault="00E64CEF" w:rsidP="00A506D2">
            <w:pPr>
              <w:pStyle w:val="Table1"/>
            </w:pPr>
            <w:r w:rsidRPr="00312A41">
              <w:br w:type="column"/>
              <w:t>Column 2</w:t>
            </w:r>
          </w:p>
        </w:tc>
        <w:tc>
          <w:tcPr>
            <w:tcW w:w="1655" w:type="dxa"/>
            <w:tcBorders>
              <w:top w:val="single" w:sz="4" w:space="0" w:color="auto"/>
              <w:left w:val="single" w:sz="4" w:space="0" w:color="auto"/>
              <w:right w:val="single" w:sz="4" w:space="0" w:color="auto"/>
            </w:tcBorders>
          </w:tcPr>
          <w:p w:rsidR="00E64CEF" w:rsidRPr="00312A41" w:rsidRDefault="00E64CEF" w:rsidP="00A506D2">
            <w:pPr>
              <w:pStyle w:val="Table1"/>
            </w:pPr>
            <w:r w:rsidRPr="00312A41">
              <w:t>Column 3</w:t>
            </w:r>
          </w:p>
        </w:tc>
      </w:tr>
      <w:tr w:rsidR="00E64CEF" w:rsidRPr="00D4467B" w:rsidTr="00A506D2">
        <w:trPr>
          <w:cantSplit/>
          <w:trHeight w:val="345"/>
          <w:jc w:val="center"/>
        </w:trPr>
        <w:tc>
          <w:tcPr>
            <w:tcW w:w="1843" w:type="dxa"/>
            <w:tcBorders>
              <w:left w:val="single" w:sz="4" w:space="0" w:color="auto"/>
              <w:bottom w:val="single" w:sz="4" w:space="0" w:color="auto"/>
              <w:right w:val="single" w:sz="4" w:space="0" w:color="auto"/>
            </w:tcBorders>
          </w:tcPr>
          <w:p w:rsidR="00E64CEF" w:rsidRPr="00312A41" w:rsidRDefault="00E64CEF" w:rsidP="00A506D2">
            <w:pPr>
              <w:pStyle w:val="Table1"/>
            </w:pPr>
            <w:r w:rsidRPr="00312A41">
              <w:t>Contaminant</w:t>
            </w:r>
          </w:p>
        </w:tc>
        <w:tc>
          <w:tcPr>
            <w:tcW w:w="5245" w:type="dxa"/>
            <w:tcBorders>
              <w:left w:val="single" w:sz="4" w:space="0" w:color="auto"/>
              <w:bottom w:val="single" w:sz="4" w:space="0" w:color="auto"/>
              <w:right w:val="single" w:sz="4" w:space="0" w:color="auto"/>
            </w:tcBorders>
          </w:tcPr>
          <w:p w:rsidR="00E64CEF" w:rsidRPr="00312A41" w:rsidRDefault="00E64CEF" w:rsidP="00A506D2">
            <w:pPr>
              <w:pStyle w:val="Table1"/>
            </w:pPr>
            <w:r w:rsidRPr="00312A41">
              <w:t>Food</w:t>
            </w:r>
          </w:p>
        </w:tc>
        <w:tc>
          <w:tcPr>
            <w:tcW w:w="1655" w:type="dxa"/>
            <w:tcBorders>
              <w:left w:val="single" w:sz="4" w:space="0" w:color="auto"/>
              <w:bottom w:val="single" w:sz="4" w:space="0" w:color="auto"/>
              <w:right w:val="single" w:sz="4" w:space="0" w:color="auto"/>
            </w:tcBorders>
          </w:tcPr>
          <w:p w:rsidR="00E64CEF" w:rsidRPr="00312A41" w:rsidRDefault="00E64CEF" w:rsidP="00A506D2">
            <w:pPr>
              <w:pStyle w:val="Table1"/>
            </w:pPr>
            <w:r w:rsidRPr="00312A41">
              <w:t>Maximum level</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r w:rsidRPr="00995180">
              <w:t>Arsenic (total)</w:t>
            </w:r>
          </w:p>
        </w:tc>
        <w:tc>
          <w:tcPr>
            <w:tcW w:w="5245" w:type="dxa"/>
            <w:tcBorders>
              <w:top w:val="nil"/>
              <w:left w:val="single" w:sz="4" w:space="0" w:color="auto"/>
              <w:bottom w:val="nil"/>
              <w:right w:val="single" w:sz="4" w:space="0" w:color="auto"/>
            </w:tcBorders>
          </w:tcPr>
          <w:p w:rsidR="00E64CEF" w:rsidRPr="00995180" w:rsidRDefault="00E64CEF" w:rsidP="00A506D2">
            <w:pPr>
              <w:pStyle w:val="Table2"/>
            </w:pPr>
            <w:r w:rsidRPr="00995180">
              <w:t>Cereals</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1 mg/kg</w:t>
            </w:r>
          </w:p>
        </w:tc>
      </w:tr>
      <w:tr w:rsidR="00E64CEF" w:rsidTr="00A506D2">
        <w:trPr>
          <w:cantSplit/>
          <w:jc w:val="center"/>
        </w:trPr>
        <w:tc>
          <w:tcPr>
            <w:tcW w:w="1843" w:type="dxa"/>
            <w:tcBorders>
              <w:top w:val="nil"/>
              <w:left w:val="single" w:sz="4" w:space="0" w:color="auto"/>
              <w:bottom w:val="single" w:sz="8" w:space="0" w:color="auto"/>
              <w:right w:val="single" w:sz="4" w:space="0" w:color="auto"/>
            </w:tcBorders>
          </w:tcPr>
          <w:p w:rsidR="00E64CEF" w:rsidRPr="00995180" w:rsidRDefault="00E64CEF" w:rsidP="00A506D2">
            <w:pPr>
              <w:pStyle w:val="Table2"/>
            </w:pPr>
          </w:p>
        </w:tc>
        <w:tc>
          <w:tcPr>
            <w:tcW w:w="5245" w:type="dxa"/>
            <w:tcBorders>
              <w:top w:val="nil"/>
              <w:left w:val="single" w:sz="4" w:space="0" w:color="auto"/>
              <w:bottom w:val="single" w:sz="8" w:space="0" w:color="auto"/>
              <w:right w:val="single" w:sz="4" w:space="0" w:color="auto"/>
            </w:tcBorders>
          </w:tcPr>
          <w:p w:rsidR="00E64CEF" w:rsidRPr="00995180" w:rsidRDefault="00E64CEF" w:rsidP="00A506D2">
            <w:pPr>
              <w:pStyle w:val="Table2"/>
            </w:pPr>
          </w:p>
        </w:tc>
        <w:tc>
          <w:tcPr>
            <w:tcW w:w="1655" w:type="dxa"/>
            <w:tcBorders>
              <w:top w:val="nil"/>
              <w:left w:val="single" w:sz="4" w:space="0" w:color="auto"/>
              <w:bottom w:val="single" w:sz="8" w:space="0" w:color="auto"/>
              <w:right w:val="single" w:sz="4" w:space="0" w:color="auto"/>
            </w:tcBorders>
          </w:tcPr>
          <w:p w:rsidR="00E64CEF" w:rsidRDefault="00E64CEF" w:rsidP="00A506D2">
            <w:pPr>
              <w:pStyle w:val="Table2"/>
              <w:jc w:val="center"/>
            </w:pP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r w:rsidRPr="00995180">
              <w:t>Arsenic (inorganic)</w:t>
            </w:r>
          </w:p>
        </w:tc>
        <w:tc>
          <w:tcPr>
            <w:tcW w:w="5245" w:type="dxa"/>
            <w:tcBorders>
              <w:top w:val="nil"/>
              <w:left w:val="single" w:sz="4" w:space="0" w:color="auto"/>
              <w:bottom w:val="nil"/>
              <w:right w:val="single" w:sz="4" w:space="0" w:color="auto"/>
            </w:tcBorders>
          </w:tcPr>
          <w:p w:rsidR="00E64CEF" w:rsidRPr="00995180" w:rsidRDefault="00E64CEF" w:rsidP="00A506D2">
            <w:pPr>
              <w:pStyle w:val="Table2"/>
            </w:pPr>
            <w:r w:rsidRPr="00995180">
              <w:t>Crustacea</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2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Pr="00995180" w:rsidRDefault="00E64CEF" w:rsidP="00A506D2">
            <w:pPr>
              <w:pStyle w:val="Table2"/>
            </w:pPr>
            <w:r w:rsidRPr="00995180">
              <w:t>Fish</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2 mg/kg</w:t>
            </w:r>
          </w:p>
        </w:tc>
      </w:tr>
      <w:tr w:rsidR="00E64CEF" w:rsidTr="00A506D2">
        <w:trPr>
          <w:cantSplit/>
          <w:jc w:val="center"/>
        </w:trPr>
        <w:tc>
          <w:tcPr>
            <w:tcW w:w="1843" w:type="dxa"/>
            <w:tcBorders>
              <w:top w:val="nil"/>
              <w:left w:val="single" w:sz="4" w:space="0" w:color="auto"/>
              <w:right w:val="single" w:sz="4" w:space="0" w:color="auto"/>
            </w:tcBorders>
          </w:tcPr>
          <w:p w:rsidR="00E64CEF" w:rsidRPr="00995180" w:rsidRDefault="00E64CEF" w:rsidP="00A506D2">
            <w:pPr>
              <w:pStyle w:val="Table2"/>
            </w:pPr>
          </w:p>
        </w:tc>
        <w:tc>
          <w:tcPr>
            <w:tcW w:w="5245" w:type="dxa"/>
            <w:tcBorders>
              <w:top w:val="nil"/>
              <w:left w:val="single" w:sz="4" w:space="0" w:color="auto"/>
              <w:right w:val="single" w:sz="4" w:space="0" w:color="auto"/>
            </w:tcBorders>
          </w:tcPr>
          <w:p w:rsidR="00E64CEF" w:rsidRPr="00995180" w:rsidRDefault="00E64CEF" w:rsidP="00A506D2">
            <w:pPr>
              <w:pStyle w:val="Table2"/>
            </w:pPr>
            <w:r w:rsidRPr="00995180">
              <w:t>Molluscs</w:t>
            </w:r>
          </w:p>
        </w:tc>
        <w:tc>
          <w:tcPr>
            <w:tcW w:w="1655" w:type="dxa"/>
            <w:tcBorders>
              <w:top w:val="nil"/>
              <w:left w:val="single" w:sz="4" w:space="0" w:color="auto"/>
              <w:right w:val="single" w:sz="4" w:space="0" w:color="auto"/>
            </w:tcBorders>
          </w:tcPr>
          <w:p w:rsidR="00E64CEF" w:rsidRDefault="00E64CEF" w:rsidP="00A506D2">
            <w:pPr>
              <w:pStyle w:val="Table2"/>
              <w:jc w:val="center"/>
            </w:pPr>
            <w:r>
              <w:t>1 mg/kg</w:t>
            </w:r>
          </w:p>
        </w:tc>
      </w:tr>
      <w:tr w:rsidR="00E64CEF" w:rsidTr="00A506D2">
        <w:trPr>
          <w:cantSplit/>
          <w:jc w:val="center"/>
        </w:trPr>
        <w:tc>
          <w:tcPr>
            <w:tcW w:w="1843" w:type="dxa"/>
            <w:tcBorders>
              <w:top w:val="nil"/>
              <w:left w:val="single" w:sz="4" w:space="0" w:color="auto"/>
              <w:bottom w:val="single" w:sz="4" w:space="0" w:color="auto"/>
              <w:right w:val="single" w:sz="4" w:space="0" w:color="auto"/>
            </w:tcBorders>
          </w:tcPr>
          <w:p w:rsidR="00E64CEF" w:rsidRPr="00995180" w:rsidRDefault="00E64CEF" w:rsidP="00A506D2">
            <w:pPr>
              <w:pStyle w:val="Table2"/>
            </w:pPr>
          </w:p>
        </w:tc>
        <w:tc>
          <w:tcPr>
            <w:tcW w:w="5245" w:type="dxa"/>
            <w:tcBorders>
              <w:top w:val="nil"/>
              <w:left w:val="single" w:sz="4" w:space="0" w:color="auto"/>
              <w:bottom w:val="single" w:sz="4" w:space="0" w:color="auto"/>
              <w:right w:val="single" w:sz="4" w:space="0" w:color="auto"/>
            </w:tcBorders>
          </w:tcPr>
          <w:p w:rsidR="00E64CEF" w:rsidRPr="00995180" w:rsidRDefault="00E64CEF" w:rsidP="00A506D2">
            <w:pPr>
              <w:pStyle w:val="Table2"/>
            </w:pPr>
            <w:r w:rsidRPr="00995180">
              <w:t xml:space="preserve">Seaweed </w:t>
            </w:r>
          </w:p>
        </w:tc>
        <w:tc>
          <w:tcPr>
            <w:tcW w:w="1655" w:type="dxa"/>
            <w:tcBorders>
              <w:top w:val="nil"/>
              <w:left w:val="single" w:sz="4" w:space="0" w:color="auto"/>
              <w:bottom w:val="single" w:sz="4" w:space="0" w:color="auto"/>
              <w:right w:val="single" w:sz="4" w:space="0" w:color="auto"/>
            </w:tcBorders>
          </w:tcPr>
          <w:p w:rsidR="00E64CEF" w:rsidRDefault="00E64CEF" w:rsidP="00A506D2">
            <w:pPr>
              <w:pStyle w:val="Table2"/>
              <w:jc w:val="center"/>
            </w:pPr>
            <w:r>
              <w:t>1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r w:rsidRPr="00995180">
              <w:t>Cadmium</w:t>
            </w:r>
          </w:p>
        </w:tc>
        <w:tc>
          <w:tcPr>
            <w:tcW w:w="5245" w:type="dxa"/>
            <w:tcBorders>
              <w:top w:val="nil"/>
              <w:left w:val="single" w:sz="4" w:space="0" w:color="auto"/>
              <w:bottom w:val="nil"/>
              <w:right w:val="single" w:sz="4" w:space="0" w:color="auto"/>
            </w:tcBorders>
          </w:tcPr>
          <w:p w:rsidR="00E64CEF" w:rsidRDefault="00E64CEF" w:rsidP="00A506D2">
            <w:pPr>
              <w:pStyle w:val="Table2"/>
            </w:pPr>
            <w:r>
              <w:t>Chocolate and cocoa products, excluding cocoa products which are made entirely of the whole or part of the cocoa bean</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0.5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Kidney of cattle, sheep and pig</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2.5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Leafy vegetables (as specified in Schedule 4 to Standard 1.4.2)</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0.1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Liver of cattle, sheep and pig</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1.25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Meat of cattle, sheep and pig (excluding offal)</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0.05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Molluscs (excluding dredge/bluff oysters and queen scallops)</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2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Peanuts</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0.5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Rice</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0.1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Root and tuber vegetables (as specified in Schedule 4 to Standard 1.4.2)</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0.1 mg/kg</w:t>
            </w:r>
          </w:p>
        </w:tc>
      </w:tr>
      <w:tr w:rsidR="00E64CEF" w:rsidTr="00A506D2">
        <w:trPr>
          <w:cantSplit/>
          <w:jc w:val="center"/>
        </w:trPr>
        <w:tc>
          <w:tcPr>
            <w:tcW w:w="1843" w:type="dxa"/>
            <w:tcBorders>
              <w:top w:val="nil"/>
              <w:left w:val="single" w:sz="4" w:space="0" w:color="auto"/>
              <w:right w:val="single" w:sz="4" w:space="0" w:color="auto"/>
            </w:tcBorders>
          </w:tcPr>
          <w:p w:rsidR="00E64CEF" w:rsidRPr="00995180" w:rsidRDefault="00E64CEF" w:rsidP="00A506D2">
            <w:pPr>
              <w:pStyle w:val="Table2"/>
            </w:pPr>
          </w:p>
        </w:tc>
        <w:tc>
          <w:tcPr>
            <w:tcW w:w="5245" w:type="dxa"/>
            <w:tcBorders>
              <w:top w:val="nil"/>
              <w:left w:val="single" w:sz="4" w:space="0" w:color="auto"/>
              <w:right w:val="single" w:sz="4" w:space="0" w:color="auto"/>
            </w:tcBorders>
          </w:tcPr>
          <w:p w:rsidR="00E64CEF" w:rsidRDefault="00E64CEF" w:rsidP="00A506D2">
            <w:pPr>
              <w:pStyle w:val="Table2"/>
            </w:pPr>
            <w:r>
              <w:t>Wheat</w:t>
            </w:r>
          </w:p>
        </w:tc>
        <w:tc>
          <w:tcPr>
            <w:tcW w:w="1655" w:type="dxa"/>
            <w:tcBorders>
              <w:top w:val="nil"/>
              <w:left w:val="single" w:sz="4" w:space="0" w:color="auto"/>
              <w:right w:val="single" w:sz="4" w:space="0" w:color="auto"/>
            </w:tcBorders>
          </w:tcPr>
          <w:p w:rsidR="00E64CEF" w:rsidRDefault="00E64CEF" w:rsidP="00A506D2">
            <w:pPr>
              <w:pStyle w:val="Table2"/>
              <w:jc w:val="center"/>
            </w:pPr>
            <w:r>
              <w:t>0.1 mg/kg</w:t>
            </w:r>
          </w:p>
        </w:tc>
      </w:tr>
      <w:tr w:rsidR="00E64CEF" w:rsidTr="00A506D2">
        <w:trPr>
          <w:cantSplit/>
          <w:jc w:val="center"/>
        </w:trPr>
        <w:tc>
          <w:tcPr>
            <w:tcW w:w="1843" w:type="dxa"/>
            <w:tcBorders>
              <w:top w:val="nil"/>
              <w:left w:val="single" w:sz="4" w:space="0" w:color="auto"/>
              <w:bottom w:val="single" w:sz="8" w:space="0" w:color="auto"/>
              <w:right w:val="single" w:sz="4" w:space="0" w:color="auto"/>
            </w:tcBorders>
          </w:tcPr>
          <w:p w:rsidR="00E64CEF" w:rsidRPr="00995180" w:rsidRDefault="00E64CEF" w:rsidP="00A506D2">
            <w:pPr>
              <w:pStyle w:val="Table2"/>
            </w:pPr>
          </w:p>
        </w:tc>
        <w:tc>
          <w:tcPr>
            <w:tcW w:w="5245" w:type="dxa"/>
            <w:tcBorders>
              <w:top w:val="nil"/>
              <w:left w:val="single" w:sz="4" w:space="0" w:color="auto"/>
              <w:bottom w:val="single" w:sz="8" w:space="0" w:color="auto"/>
              <w:right w:val="single" w:sz="4" w:space="0" w:color="auto"/>
            </w:tcBorders>
          </w:tcPr>
          <w:p w:rsidR="00E64CEF" w:rsidRDefault="00E64CEF" w:rsidP="00A506D2">
            <w:pPr>
              <w:pStyle w:val="Table2"/>
              <w:rPr>
                <w:b/>
              </w:rPr>
            </w:pPr>
          </w:p>
        </w:tc>
        <w:tc>
          <w:tcPr>
            <w:tcW w:w="1655" w:type="dxa"/>
            <w:tcBorders>
              <w:top w:val="nil"/>
              <w:left w:val="single" w:sz="4" w:space="0" w:color="auto"/>
              <w:bottom w:val="single" w:sz="8" w:space="0" w:color="auto"/>
              <w:right w:val="single" w:sz="4" w:space="0" w:color="auto"/>
            </w:tcBorders>
          </w:tcPr>
          <w:p w:rsidR="00E64CEF" w:rsidRDefault="00E64CEF" w:rsidP="00A506D2">
            <w:pPr>
              <w:pStyle w:val="Table2"/>
              <w:jc w:val="center"/>
            </w:pP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r w:rsidRPr="00995180">
              <w:t>Lead</w:t>
            </w:r>
          </w:p>
        </w:tc>
        <w:tc>
          <w:tcPr>
            <w:tcW w:w="5245" w:type="dxa"/>
            <w:tcBorders>
              <w:top w:val="nil"/>
              <w:left w:val="single" w:sz="4" w:space="0" w:color="auto"/>
              <w:bottom w:val="nil"/>
              <w:right w:val="single" w:sz="4" w:space="0" w:color="auto"/>
            </w:tcBorders>
          </w:tcPr>
          <w:p w:rsidR="00E64CEF" w:rsidRDefault="00E64CEF" w:rsidP="00A506D2">
            <w:pPr>
              <w:pStyle w:val="Table2"/>
            </w:pPr>
            <w:r>
              <w:t xml:space="preserve">Brassicas </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0.3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 xml:space="preserve">Cereals, Pulses and Legumes </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0.2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Edible offal of cattle, sheep, pig and poultry</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0.5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 xml:space="preserve">Fish </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0.5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 xml:space="preserve">Fruit </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0.1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Infant formulae</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0.02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Meat of cattle, sheep, pig and poultry (excluding offal)</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0.1 mg/kg</w:t>
            </w:r>
          </w:p>
        </w:tc>
      </w:tr>
      <w:tr w:rsidR="00E64CEF" w:rsidTr="00A506D2">
        <w:trPr>
          <w:cantSplit/>
          <w:jc w:val="center"/>
        </w:trPr>
        <w:tc>
          <w:tcPr>
            <w:tcW w:w="1843" w:type="dxa"/>
            <w:tcBorders>
              <w:top w:val="nil"/>
              <w:left w:val="single" w:sz="4" w:space="0" w:color="auto"/>
              <w:right w:val="single" w:sz="4" w:space="0" w:color="auto"/>
            </w:tcBorders>
          </w:tcPr>
          <w:p w:rsidR="00E64CEF" w:rsidRPr="00995180" w:rsidRDefault="00E64CEF" w:rsidP="00A506D2">
            <w:pPr>
              <w:pStyle w:val="Table2"/>
            </w:pPr>
          </w:p>
        </w:tc>
        <w:tc>
          <w:tcPr>
            <w:tcW w:w="5245" w:type="dxa"/>
            <w:tcBorders>
              <w:top w:val="nil"/>
              <w:left w:val="single" w:sz="4" w:space="0" w:color="auto"/>
              <w:right w:val="single" w:sz="4" w:space="0" w:color="auto"/>
            </w:tcBorders>
          </w:tcPr>
          <w:p w:rsidR="00E64CEF" w:rsidRDefault="00E64CEF" w:rsidP="00A506D2">
            <w:pPr>
              <w:pStyle w:val="Table2"/>
            </w:pPr>
            <w:r>
              <w:t>Molluscs</w:t>
            </w:r>
          </w:p>
        </w:tc>
        <w:tc>
          <w:tcPr>
            <w:tcW w:w="1655" w:type="dxa"/>
            <w:tcBorders>
              <w:top w:val="nil"/>
              <w:left w:val="single" w:sz="4" w:space="0" w:color="auto"/>
              <w:right w:val="single" w:sz="4" w:space="0" w:color="auto"/>
            </w:tcBorders>
          </w:tcPr>
          <w:p w:rsidR="00E64CEF" w:rsidRDefault="00E64CEF" w:rsidP="00A506D2">
            <w:pPr>
              <w:pStyle w:val="Table2"/>
              <w:jc w:val="center"/>
            </w:pPr>
            <w:r>
              <w:t>2 mg/kg</w:t>
            </w:r>
          </w:p>
        </w:tc>
      </w:tr>
      <w:tr w:rsidR="00E64CEF" w:rsidTr="00A506D2">
        <w:trPr>
          <w:cantSplit/>
          <w:jc w:val="center"/>
        </w:trPr>
        <w:tc>
          <w:tcPr>
            <w:tcW w:w="1843" w:type="dxa"/>
            <w:tcBorders>
              <w:top w:val="nil"/>
              <w:left w:val="single" w:sz="4" w:space="0" w:color="auto"/>
              <w:right w:val="single" w:sz="4" w:space="0" w:color="auto"/>
            </w:tcBorders>
          </w:tcPr>
          <w:p w:rsidR="00E64CEF" w:rsidRPr="00995180" w:rsidRDefault="00E64CEF" w:rsidP="00A506D2">
            <w:pPr>
              <w:pStyle w:val="Table2"/>
            </w:pPr>
          </w:p>
        </w:tc>
        <w:tc>
          <w:tcPr>
            <w:tcW w:w="5245" w:type="dxa"/>
            <w:tcBorders>
              <w:top w:val="nil"/>
              <w:left w:val="single" w:sz="4" w:space="0" w:color="auto"/>
              <w:right w:val="single" w:sz="4" w:space="0" w:color="auto"/>
            </w:tcBorders>
          </w:tcPr>
          <w:p w:rsidR="00E64CEF" w:rsidRDefault="00E64CEF" w:rsidP="00A506D2">
            <w:pPr>
              <w:pStyle w:val="Table2"/>
            </w:pPr>
            <w:r>
              <w:t>Vegetables (except brassicas)</w:t>
            </w:r>
          </w:p>
        </w:tc>
        <w:tc>
          <w:tcPr>
            <w:tcW w:w="1655" w:type="dxa"/>
            <w:tcBorders>
              <w:top w:val="nil"/>
              <w:left w:val="single" w:sz="4" w:space="0" w:color="auto"/>
              <w:right w:val="single" w:sz="4" w:space="0" w:color="auto"/>
            </w:tcBorders>
          </w:tcPr>
          <w:p w:rsidR="00E64CEF" w:rsidRDefault="00E64CEF" w:rsidP="00A506D2">
            <w:pPr>
              <w:pStyle w:val="Table2"/>
              <w:jc w:val="center"/>
            </w:pPr>
            <w:r>
              <w:t>0.1 mg/kg</w:t>
            </w:r>
          </w:p>
        </w:tc>
      </w:tr>
      <w:tr w:rsidR="00E64CEF" w:rsidTr="00A506D2">
        <w:trPr>
          <w:cantSplit/>
          <w:jc w:val="center"/>
        </w:trPr>
        <w:tc>
          <w:tcPr>
            <w:tcW w:w="1843" w:type="dxa"/>
            <w:tcBorders>
              <w:left w:val="single" w:sz="4" w:space="0" w:color="auto"/>
              <w:bottom w:val="single" w:sz="8" w:space="0" w:color="auto"/>
              <w:right w:val="single" w:sz="4" w:space="0" w:color="auto"/>
            </w:tcBorders>
          </w:tcPr>
          <w:p w:rsidR="00E64CEF" w:rsidRPr="00995180" w:rsidRDefault="00E64CEF" w:rsidP="00A506D2">
            <w:pPr>
              <w:pStyle w:val="Table2"/>
            </w:pPr>
          </w:p>
        </w:tc>
        <w:tc>
          <w:tcPr>
            <w:tcW w:w="5245" w:type="dxa"/>
            <w:tcBorders>
              <w:left w:val="single" w:sz="4" w:space="0" w:color="auto"/>
              <w:bottom w:val="single" w:sz="8" w:space="0" w:color="auto"/>
              <w:right w:val="single" w:sz="4" w:space="0" w:color="auto"/>
            </w:tcBorders>
          </w:tcPr>
          <w:p w:rsidR="00E64CEF" w:rsidRDefault="00E64CEF" w:rsidP="00A506D2">
            <w:pPr>
              <w:pStyle w:val="Table2"/>
              <w:rPr>
                <w:b/>
              </w:rPr>
            </w:pPr>
          </w:p>
        </w:tc>
        <w:tc>
          <w:tcPr>
            <w:tcW w:w="1655" w:type="dxa"/>
            <w:tcBorders>
              <w:left w:val="single" w:sz="4" w:space="0" w:color="auto"/>
              <w:bottom w:val="single" w:sz="8" w:space="0" w:color="auto"/>
              <w:right w:val="single" w:sz="4" w:space="0" w:color="auto"/>
            </w:tcBorders>
          </w:tcPr>
          <w:p w:rsidR="00E64CEF" w:rsidRDefault="00E64CEF" w:rsidP="00A506D2">
            <w:pPr>
              <w:pStyle w:val="Table2"/>
              <w:jc w:val="center"/>
            </w:pP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r w:rsidRPr="00995180">
              <w:t>Mercury</w:t>
            </w:r>
          </w:p>
        </w:tc>
        <w:tc>
          <w:tcPr>
            <w:tcW w:w="5245" w:type="dxa"/>
            <w:tcBorders>
              <w:top w:val="nil"/>
              <w:left w:val="single" w:sz="4" w:space="0" w:color="auto"/>
              <w:bottom w:val="nil"/>
              <w:right w:val="single" w:sz="4" w:space="0" w:color="auto"/>
            </w:tcBorders>
          </w:tcPr>
          <w:p w:rsidR="00E64CEF" w:rsidRDefault="00E64CEF" w:rsidP="00A506D2">
            <w:pPr>
              <w:pStyle w:val="Table2"/>
            </w:pPr>
            <w:r>
              <w:t>Crustacea</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mean level of 0.5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Fish (as specified in Schedule 4 to Standard 1.4.2) and fish products, excluding gemfish, billfish (including marlin), southern bluefin tuna, barramundi, ling, orange roughy, rays and all species of shark</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mean level of 0.5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Gemfish, billfish (including marlin), southern bluefin tuna, barramundi, ling, orange roughy, rays and all species of shark</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mean level of 1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Fish for which insufficient samples are available to analyse in accordance with clause 6</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1 mg/kg</w:t>
            </w: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p>
        </w:tc>
        <w:tc>
          <w:tcPr>
            <w:tcW w:w="5245" w:type="dxa"/>
            <w:tcBorders>
              <w:top w:val="nil"/>
              <w:left w:val="single" w:sz="4" w:space="0" w:color="auto"/>
              <w:bottom w:val="nil"/>
              <w:right w:val="single" w:sz="4" w:space="0" w:color="auto"/>
            </w:tcBorders>
          </w:tcPr>
          <w:p w:rsidR="00E64CEF" w:rsidRDefault="00E64CEF" w:rsidP="00A506D2">
            <w:pPr>
              <w:pStyle w:val="Table2"/>
            </w:pPr>
            <w:r>
              <w:t>Molluscs</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mean level of 0.5 mg/kg*</w:t>
            </w:r>
          </w:p>
        </w:tc>
      </w:tr>
      <w:tr w:rsidR="00E64CEF" w:rsidTr="00A506D2">
        <w:trPr>
          <w:cantSplit/>
          <w:jc w:val="center"/>
        </w:trPr>
        <w:tc>
          <w:tcPr>
            <w:tcW w:w="1843" w:type="dxa"/>
            <w:tcBorders>
              <w:top w:val="nil"/>
              <w:left w:val="single" w:sz="4" w:space="0" w:color="auto"/>
              <w:bottom w:val="single" w:sz="8" w:space="0" w:color="auto"/>
              <w:right w:val="single" w:sz="4" w:space="0" w:color="auto"/>
            </w:tcBorders>
          </w:tcPr>
          <w:p w:rsidR="00E64CEF" w:rsidRPr="00995180" w:rsidRDefault="00E64CEF" w:rsidP="00A506D2">
            <w:pPr>
              <w:pStyle w:val="Table2"/>
            </w:pPr>
          </w:p>
        </w:tc>
        <w:tc>
          <w:tcPr>
            <w:tcW w:w="5245" w:type="dxa"/>
            <w:tcBorders>
              <w:top w:val="nil"/>
              <w:left w:val="single" w:sz="4" w:space="0" w:color="auto"/>
              <w:bottom w:val="single" w:sz="8" w:space="0" w:color="auto"/>
              <w:right w:val="single" w:sz="4" w:space="0" w:color="auto"/>
            </w:tcBorders>
          </w:tcPr>
          <w:p w:rsidR="00E64CEF" w:rsidRDefault="00E64CEF" w:rsidP="00A506D2">
            <w:pPr>
              <w:pStyle w:val="Table2"/>
            </w:pPr>
          </w:p>
        </w:tc>
        <w:tc>
          <w:tcPr>
            <w:tcW w:w="1655" w:type="dxa"/>
            <w:tcBorders>
              <w:top w:val="nil"/>
              <w:left w:val="single" w:sz="4" w:space="0" w:color="auto"/>
              <w:bottom w:val="single" w:sz="8" w:space="0" w:color="auto"/>
              <w:right w:val="single" w:sz="4" w:space="0" w:color="auto"/>
            </w:tcBorders>
          </w:tcPr>
          <w:p w:rsidR="00E64CEF" w:rsidRDefault="00E64CEF" w:rsidP="00A506D2">
            <w:pPr>
              <w:pStyle w:val="Table2"/>
              <w:jc w:val="center"/>
            </w:pPr>
          </w:p>
        </w:tc>
      </w:tr>
      <w:tr w:rsidR="00E64CEF" w:rsidTr="00A506D2">
        <w:trPr>
          <w:cantSplit/>
          <w:jc w:val="center"/>
        </w:trPr>
        <w:tc>
          <w:tcPr>
            <w:tcW w:w="1843" w:type="dxa"/>
            <w:tcBorders>
              <w:top w:val="nil"/>
              <w:left w:val="single" w:sz="4" w:space="0" w:color="auto"/>
              <w:bottom w:val="nil"/>
              <w:right w:val="single" w:sz="4" w:space="0" w:color="auto"/>
            </w:tcBorders>
          </w:tcPr>
          <w:p w:rsidR="00E64CEF" w:rsidRPr="00995180" w:rsidRDefault="00E64CEF" w:rsidP="00A506D2">
            <w:pPr>
              <w:pStyle w:val="Table2"/>
            </w:pPr>
            <w:r w:rsidRPr="00995180">
              <w:t>Tin</w:t>
            </w:r>
          </w:p>
        </w:tc>
        <w:tc>
          <w:tcPr>
            <w:tcW w:w="5245" w:type="dxa"/>
            <w:tcBorders>
              <w:top w:val="nil"/>
              <w:left w:val="single" w:sz="4" w:space="0" w:color="auto"/>
              <w:bottom w:val="nil"/>
              <w:right w:val="single" w:sz="4" w:space="0" w:color="auto"/>
            </w:tcBorders>
          </w:tcPr>
          <w:p w:rsidR="00E64CEF" w:rsidRDefault="00E64CEF" w:rsidP="00A506D2">
            <w:pPr>
              <w:pStyle w:val="Table2"/>
            </w:pPr>
            <w:r>
              <w:t>All canned foods</w:t>
            </w:r>
          </w:p>
        </w:tc>
        <w:tc>
          <w:tcPr>
            <w:tcW w:w="1655" w:type="dxa"/>
            <w:tcBorders>
              <w:top w:val="nil"/>
              <w:left w:val="single" w:sz="4" w:space="0" w:color="auto"/>
              <w:bottom w:val="nil"/>
              <w:right w:val="single" w:sz="4" w:space="0" w:color="auto"/>
            </w:tcBorders>
          </w:tcPr>
          <w:p w:rsidR="00E64CEF" w:rsidRDefault="00E64CEF" w:rsidP="00A506D2">
            <w:pPr>
              <w:pStyle w:val="Table2"/>
              <w:jc w:val="center"/>
            </w:pPr>
            <w:r>
              <w:t>250 mg/kg</w:t>
            </w:r>
          </w:p>
        </w:tc>
      </w:tr>
      <w:tr w:rsidR="00E64CEF" w:rsidTr="00A506D2">
        <w:trPr>
          <w:cantSplit/>
          <w:jc w:val="center"/>
        </w:trPr>
        <w:tc>
          <w:tcPr>
            <w:tcW w:w="1843" w:type="dxa"/>
            <w:tcBorders>
              <w:top w:val="nil"/>
              <w:left w:val="single" w:sz="4" w:space="0" w:color="auto"/>
              <w:bottom w:val="single" w:sz="4" w:space="0" w:color="auto"/>
              <w:right w:val="single" w:sz="4" w:space="0" w:color="auto"/>
            </w:tcBorders>
          </w:tcPr>
          <w:p w:rsidR="00E64CEF" w:rsidRPr="00995180" w:rsidRDefault="00E64CEF" w:rsidP="00A506D2">
            <w:pPr>
              <w:pStyle w:val="Table2"/>
            </w:pPr>
          </w:p>
        </w:tc>
        <w:tc>
          <w:tcPr>
            <w:tcW w:w="5245"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1655"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bl>
    <w:p w:rsidR="00E64CEF" w:rsidRDefault="00E64CEF" w:rsidP="00E35BCD">
      <w:pPr>
        <w:pStyle w:val="Footnote"/>
      </w:pPr>
      <w:r>
        <w:t>* A reference to a mean level in the Table to clause 2 in this Standard is to the mean level of mercury in the prescribed number of sample units as described in clause 6 of this Standard.</w:t>
      </w:r>
    </w:p>
    <w:p w:rsidR="00E64CEF" w:rsidRPr="000A6D2C" w:rsidRDefault="00E64CEF" w:rsidP="00E64CEF">
      <w:pPr>
        <w:rPr>
          <w:sz w:val="20"/>
          <w:szCs w:val="20"/>
        </w:rPr>
      </w:pPr>
    </w:p>
    <w:p w:rsidR="00E64CEF" w:rsidRPr="000A6D2C" w:rsidRDefault="00E64CEF" w:rsidP="00E64CEF">
      <w:pPr>
        <w:pStyle w:val="Clause"/>
        <w:rPr>
          <w:i/>
        </w:rPr>
      </w:pPr>
      <w:r w:rsidRPr="000A6D2C">
        <w:t>[17.6]</w:t>
      </w:r>
      <w:r w:rsidRPr="000A6D2C">
        <w:tab/>
      </w:r>
      <w:r w:rsidRPr="000A6D2C">
        <w:rPr>
          <w:i/>
        </w:rPr>
        <w:t xml:space="preserve">omitting the definition of </w:t>
      </w:r>
      <w:r w:rsidRPr="000A6D2C">
        <w:rPr>
          <w:b/>
        </w:rPr>
        <w:t xml:space="preserve">food </w:t>
      </w:r>
      <w:r w:rsidRPr="000A6D2C">
        <w:rPr>
          <w:i/>
        </w:rPr>
        <w:t xml:space="preserve">in subclause 3(1), substituting – </w:t>
      </w:r>
    </w:p>
    <w:p w:rsidR="00E64CEF" w:rsidRPr="000A6D2C" w:rsidRDefault="00E64CEF" w:rsidP="00E64CEF">
      <w:pPr>
        <w:rPr>
          <w:sz w:val="20"/>
          <w:szCs w:val="20"/>
        </w:rPr>
      </w:pPr>
    </w:p>
    <w:p w:rsidR="00E64CEF" w:rsidRPr="000A6D2C" w:rsidRDefault="00E64CEF" w:rsidP="00E64CEF">
      <w:pPr>
        <w:pStyle w:val="Definition"/>
        <w:rPr>
          <w:bCs/>
        </w:rPr>
      </w:pPr>
      <w:r w:rsidRPr="000A6D2C">
        <w:rPr>
          <w:b/>
          <w:bCs/>
        </w:rPr>
        <w:t xml:space="preserve">food </w:t>
      </w:r>
      <w:r w:rsidRPr="000A6D2C">
        <w:rPr>
          <w:bCs/>
        </w:rPr>
        <w:t>means the food or class of foods listed in Column 2 of the Table to this clause.</w:t>
      </w:r>
    </w:p>
    <w:p w:rsidR="00E64CEF" w:rsidRPr="000A6D2C" w:rsidRDefault="00E64CEF" w:rsidP="00E64CEF">
      <w:pPr>
        <w:rPr>
          <w:sz w:val="20"/>
          <w:szCs w:val="20"/>
        </w:rPr>
      </w:pPr>
    </w:p>
    <w:p w:rsidR="00E64CEF" w:rsidRPr="000A6D2C" w:rsidRDefault="00E64CEF" w:rsidP="00E64CEF">
      <w:pPr>
        <w:pStyle w:val="Clause"/>
        <w:rPr>
          <w:i/>
        </w:rPr>
      </w:pPr>
      <w:r w:rsidRPr="000A6D2C">
        <w:t>[17.7]</w:t>
      </w:r>
      <w:r w:rsidRPr="000A6D2C">
        <w:tab/>
      </w:r>
      <w:r w:rsidRPr="000A6D2C">
        <w:rPr>
          <w:i/>
        </w:rPr>
        <w:t xml:space="preserve">omitting the definition of </w:t>
      </w:r>
      <w:r w:rsidRPr="000A6D2C">
        <w:rPr>
          <w:b/>
        </w:rPr>
        <w:t xml:space="preserve">non-metal contaminant </w:t>
      </w:r>
      <w:r w:rsidRPr="000A6D2C">
        <w:rPr>
          <w:i/>
        </w:rPr>
        <w:t xml:space="preserve">in subclause 3(1), substituting – </w:t>
      </w:r>
    </w:p>
    <w:p w:rsidR="00E64CEF" w:rsidRPr="000A6D2C" w:rsidRDefault="00E64CEF" w:rsidP="00E64CEF">
      <w:pPr>
        <w:rPr>
          <w:sz w:val="20"/>
          <w:szCs w:val="20"/>
        </w:rPr>
      </w:pPr>
    </w:p>
    <w:p w:rsidR="00E64CEF" w:rsidRPr="000A6D2C" w:rsidRDefault="00E64CEF" w:rsidP="00E64CEF">
      <w:pPr>
        <w:pStyle w:val="Definition"/>
      </w:pPr>
      <w:r w:rsidRPr="000A6D2C">
        <w:rPr>
          <w:b/>
        </w:rPr>
        <w:t xml:space="preserve">non-metal contaminant </w:t>
      </w:r>
      <w:r w:rsidRPr="000A6D2C">
        <w:t>means a substance listed in Column 1 of the Table to this clause.</w:t>
      </w:r>
    </w:p>
    <w:p w:rsidR="00E64CEF" w:rsidRPr="000A6D2C" w:rsidRDefault="00E64CEF" w:rsidP="00E64CEF">
      <w:pPr>
        <w:rPr>
          <w:sz w:val="20"/>
          <w:szCs w:val="20"/>
        </w:rPr>
      </w:pPr>
    </w:p>
    <w:p w:rsidR="00E64CEF" w:rsidRPr="000A6D2C" w:rsidRDefault="00E64CEF" w:rsidP="00E64CEF">
      <w:pPr>
        <w:pStyle w:val="Clause"/>
      </w:pPr>
      <w:r w:rsidRPr="000A6D2C">
        <w:t>[17.8]</w:t>
      </w:r>
      <w:r w:rsidRPr="000A6D2C">
        <w:tab/>
      </w:r>
      <w:r w:rsidRPr="000A6D2C">
        <w:rPr>
          <w:i/>
        </w:rPr>
        <w:t xml:space="preserve">omitting subclauses 3(2) and 3(3), substituting </w:t>
      </w:r>
      <w:r w:rsidRPr="000A6D2C">
        <w:t xml:space="preserve">– </w:t>
      </w:r>
    </w:p>
    <w:p w:rsidR="00E64CEF" w:rsidRPr="000A6D2C" w:rsidRDefault="00E64CEF" w:rsidP="00E64CEF">
      <w:pPr>
        <w:rPr>
          <w:sz w:val="20"/>
          <w:szCs w:val="20"/>
        </w:rPr>
      </w:pPr>
    </w:p>
    <w:p w:rsidR="000A6D2C" w:rsidRDefault="00E64CEF" w:rsidP="00E64CEF">
      <w:pPr>
        <w:pStyle w:val="Subclause"/>
      </w:pPr>
      <w:r w:rsidRPr="000A6D2C">
        <w:t>(2)</w:t>
      </w:r>
      <w:r w:rsidRPr="000A6D2C">
        <w:tab/>
        <w:t>The maximum levels for non-metal contaminants in food are listed in Column 3 of the Table to this clause.</w:t>
      </w:r>
      <w:r w:rsidR="000A6D2C">
        <w:br w:type="page"/>
      </w:r>
    </w:p>
    <w:p w:rsidR="00E64CEF" w:rsidRPr="000A6D2C" w:rsidRDefault="00E64CEF" w:rsidP="00E64CEF">
      <w:pPr>
        <w:pStyle w:val="Subclause"/>
      </w:pPr>
      <w:r w:rsidRPr="000A6D2C">
        <w:lastRenderedPageBreak/>
        <w:t>(3)</w:t>
      </w:r>
      <w:r w:rsidRPr="000A6D2C">
        <w:tab/>
        <w:t>Where a mixed food contains a food or class of foods listed in Column 2 of the Table to this clause, the proportion of the non-metal contaminant permitted to be present in the mixed food (ML1) is calculated in accordance with the formula prescribed in subclause 1(6).</w:t>
      </w:r>
    </w:p>
    <w:p w:rsidR="00E64CEF" w:rsidRPr="000A6D2C" w:rsidRDefault="00E64CEF" w:rsidP="00E64CEF">
      <w:pPr>
        <w:rPr>
          <w:sz w:val="20"/>
          <w:szCs w:val="20"/>
        </w:rPr>
      </w:pPr>
    </w:p>
    <w:p w:rsidR="00E64CEF" w:rsidRPr="000A6D2C" w:rsidRDefault="00E64CEF" w:rsidP="00E64CEF">
      <w:pPr>
        <w:pStyle w:val="Clause"/>
        <w:rPr>
          <w:i/>
        </w:rPr>
      </w:pPr>
      <w:r w:rsidRPr="000A6D2C">
        <w:t>[17.9]</w:t>
      </w:r>
      <w:r w:rsidRPr="000A6D2C">
        <w:tab/>
      </w:r>
      <w:r w:rsidRPr="000A6D2C">
        <w:rPr>
          <w:i/>
        </w:rPr>
        <w:t xml:space="preserve">omitting the </w:t>
      </w:r>
      <w:r w:rsidRPr="000A6D2C">
        <w:t xml:space="preserve">Table to clause 3, </w:t>
      </w:r>
      <w:r w:rsidRPr="000A6D2C">
        <w:rPr>
          <w:i/>
        </w:rPr>
        <w:t xml:space="preserve">substituting – </w:t>
      </w:r>
    </w:p>
    <w:p w:rsidR="00E64CEF" w:rsidRPr="000A6D2C" w:rsidRDefault="00E64CEF" w:rsidP="00E64CEF">
      <w:pPr>
        <w:rPr>
          <w:sz w:val="20"/>
          <w:szCs w:val="20"/>
        </w:rPr>
      </w:pPr>
    </w:p>
    <w:p w:rsidR="00E64CEF" w:rsidRPr="000A6D2C" w:rsidRDefault="00E64CEF" w:rsidP="00E64CEF">
      <w:pPr>
        <w:pStyle w:val="TableHeading"/>
      </w:pPr>
      <w:r w:rsidRPr="000A6D2C">
        <w:t>Table to clause 3</w:t>
      </w:r>
    </w:p>
    <w:p w:rsidR="00E64CEF" w:rsidRPr="000A6D2C" w:rsidRDefault="00E64CEF" w:rsidP="00E64CEF">
      <w:pPr>
        <w:pStyle w:val="TableHeading"/>
      </w:pPr>
    </w:p>
    <w:tbl>
      <w:tblPr>
        <w:tblW w:w="9072" w:type="dxa"/>
        <w:jc w:val="center"/>
        <w:tblLayout w:type="fixed"/>
        <w:tblCellMar>
          <w:left w:w="79" w:type="dxa"/>
          <w:right w:w="79" w:type="dxa"/>
        </w:tblCellMar>
        <w:tblLook w:val="0000" w:firstRow="0" w:lastRow="0" w:firstColumn="0" w:lastColumn="0" w:noHBand="0" w:noVBand="0"/>
      </w:tblPr>
      <w:tblGrid>
        <w:gridCol w:w="3213"/>
        <w:gridCol w:w="3304"/>
        <w:gridCol w:w="2555"/>
      </w:tblGrid>
      <w:tr w:rsidR="00E64CEF" w:rsidTr="00A506D2">
        <w:trPr>
          <w:cantSplit/>
          <w:trHeight w:val="345"/>
          <w:jc w:val="center"/>
        </w:trPr>
        <w:tc>
          <w:tcPr>
            <w:tcW w:w="3213" w:type="dxa"/>
            <w:tcBorders>
              <w:top w:val="single" w:sz="4" w:space="0" w:color="auto"/>
              <w:left w:val="single" w:sz="4" w:space="0" w:color="auto"/>
              <w:right w:val="single" w:sz="4" w:space="0" w:color="auto"/>
            </w:tcBorders>
          </w:tcPr>
          <w:p w:rsidR="00E64CEF" w:rsidRPr="00312A41" w:rsidRDefault="00E64CEF" w:rsidP="00A506D2">
            <w:pPr>
              <w:pStyle w:val="Table1"/>
            </w:pPr>
            <w:r w:rsidRPr="00312A41">
              <w:t>Column 1</w:t>
            </w:r>
          </w:p>
        </w:tc>
        <w:tc>
          <w:tcPr>
            <w:tcW w:w="3304" w:type="dxa"/>
            <w:tcBorders>
              <w:top w:val="single" w:sz="4" w:space="0" w:color="auto"/>
              <w:left w:val="single" w:sz="4" w:space="0" w:color="auto"/>
              <w:right w:val="single" w:sz="4" w:space="0" w:color="auto"/>
            </w:tcBorders>
          </w:tcPr>
          <w:p w:rsidR="00E64CEF" w:rsidRPr="00312A41" w:rsidRDefault="00E64CEF" w:rsidP="00A506D2">
            <w:pPr>
              <w:pStyle w:val="Table1"/>
            </w:pPr>
            <w:r w:rsidRPr="00312A41">
              <w:t>Column 2</w:t>
            </w:r>
          </w:p>
        </w:tc>
        <w:tc>
          <w:tcPr>
            <w:tcW w:w="2555" w:type="dxa"/>
            <w:tcBorders>
              <w:top w:val="single" w:sz="4" w:space="0" w:color="auto"/>
              <w:left w:val="single" w:sz="4" w:space="0" w:color="auto"/>
              <w:right w:val="single" w:sz="4" w:space="0" w:color="auto"/>
            </w:tcBorders>
          </w:tcPr>
          <w:p w:rsidR="00E64CEF" w:rsidRPr="00312A41" w:rsidRDefault="00E64CEF" w:rsidP="00A506D2">
            <w:pPr>
              <w:pStyle w:val="Table1"/>
            </w:pPr>
            <w:r w:rsidRPr="00312A41">
              <w:t>Column 3</w:t>
            </w:r>
          </w:p>
        </w:tc>
      </w:tr>
      <w:tr w:rsidR="00E64CEF" w:rsidTr="00A506D2">
        <w:trPr>
          <w:cantSplit/>
          <w:trHeight w:val="345"/>
          <w:jc w:val="center"/>
        </w:trPr>
        <w:tc>
          <w:tcPr>
            <w:tcW w:w="3213" w:type="dxa"/>
            <w:tcBorders>
              <w:left w:val="single" w:sz="4" w:space="0" w:color="auto"/>
              <w:bottom w:val="single" w:sz="4" w:space="0" w:color="auto"/>
              <w:right w:val="single" w:sz="4" w:space="0" w:color="auto"/>
            </w:tcBorders>
          </w:tcPr>
          <w:p w:rsidR="00E64CEF" w:rsidRPr="00312A41" w:rsidRDefault="00E64CEF" w:rsidP="00A506D2">
            <w:pPr>
              <w:pStyle w:val="Table1"/>
            </w:pPr>
            <w:r w:rsidRPr="00312A41">
              <w:t>Contaminant</w:t>
            </w:r>
          </w:p>
        </w:tc>
        <w:tc>
          <w:tcPr>
            <w:tcW w:w="3304" w:type="dxa"/>
            <w:tcBorders>
              <w:left w:val="single" w:sz="4" w:space="0" w:color="auto"/>
              <w:bottom w:val="single" w:sz="4" w:space="0" w:color="auto"/>
              <w:right w:val="single" w:sz="4" w:space="0" w:color="auto"/>
            </w:tcBorders>
          </w:tcPr>
          <w:p w:rsidR="00E64CEF" w:rsidRPr="00312A41" w:rsidRDefault="00E64CEF" w:rsidP="00A506D2">
            <w:pPr>
              <w:pStyle w:val="Table1"/>
            </w:pPr>
            <w:r w:rsidRPr="00312A41">
              <w:t>Food</w:t>
            </w:r>
          </w:p>
        </w:tc>
        <w:tc>
          <w:tcPr>
            <w:tcW w:w="2555" w:type="dxa"/>
            <w:tcBorders>
              <w:left w:val="single" w:sz="4" w:space="0" w:color="auto"/>
              <w:bottom w:val="single" w:sz="4" w:space="0" w:color="auto"/>
              <w:right w:val="single" w:sz="4" w:space="0" w:color="auto"/>
            </w:tcBorders>
          </w:tcPr>
          <w:p w:rsidR="00E64CEF" w:rsidRPr="00312A41" w:rsidRDefault="00E64CEF" w:rsidP="00A506D2">
            <w:pPr>
              <w:pStyle w:val="Table1"/>
            </w:pPr>
            <w:r w:rsidRPr="00312A41">
              <w:t>Maximum level</w:t>
            </w:r>
          </w:p>
        </w:tc>
      </w:tr>
      <w:tr w:rsidR="00E64CEF" w:rsidTr="00A506D2">
        <w:trPr>
          <w:cantSplit/>
          <w:jc w:val="center"/>
        </w:trPr>
        <w:tc>
          <w:tcPr>
            <w:tcW w:w="3213" w:type="dxa"/>
            <w:tcBorders>
              <w:top w:val="nil"/>
              <w:left w:val="single" w:sz="4" w:space="0" w:color="auto"/>
              <w:right w:val="single" w:sz="4" w:space="0" w:color="auto"/>
            </w:tcBorders>
          </w:tcPr>
          <w:p w:rsidR="00E64CEF" w:rsidRPr="00737B67" w:rsidRDefault="00E64CEF" w:rsidP="00A506D2">
            <w:pPr>
              <w:pStyle w:val="Table2"/>
            </w:pPr>
            <w:r w:rsidRPr="00737B67">
              <w:t>Acrylonitrile</w:t>
            </w:r>
          </w:p>
        </w:tc>
        <w:tc>
          <w:tcPr>
            <w:tcW w:w="3304" w:type="dxa"/>
            <w:tcBorders>
              <w:top w:val="nil"/>
              <w:left w:val="single" w:sz="4" w:space="0" w:color="auto"/>
              <w:right w:val="single" w:sz="4" w:space="0" w:color="auto"/>
            </w:tcBorders>
          </w:tcPr>
          <w:p w:rsidR="00E64CEF" w:rsidRDefault="00E64CEF" w:rsidP="00A506D2">
            <w:pPr>
              <w:pStyle w:val="Table2"/>
            </w:pPr>
            <w:r>
              <w:t>All food</w:t>
            </w:r>
          </w:p>
        </w:tc>
        <w:tc>
          <w:tcPr>
            <w:tcW w:w="2555" w:type="dxa"/>
            <w:tcBorders>
              <w:top w:val="nil"/>
              <w:left w:val="single" w:sz="4" w:space="0" w:color="auto"/>
              <w:right w:val="single" w:sz="4" w:space="0" w:color="auto"/>
            </w:tcBorders>
          </w:tcPr>
          <w:p w:rsidR="00E64CEF" w:rsidRDefault="00E64CEF" w:rsidP="00A506D2">
            <w:pPr>
              <w:pStyle w:val="Table2"/>
              <w:jc w:val="center"/>
            </w:pPr>
            <w:r>
              <w:t>0.02 mg/kg</w:t>
            </w:r>
          </w:p>
        </w:tc>
      </w:tr>
      <w:tr w:rsidR="00E64CEF" w:rsidTr="00A506D2">
        <w:trPr>
          <w:cantSplit/>
          <w:jc w:val="center"/>
        </w:trPr>
        <w:tc>
          <w:tcPr>
            <w:tcW w:w="3213" w:type="dxa"/>
            <w:tcBorders>
              <w:top w:val="nil"/>
              <w:left w:val="single" w:sz="4" w:space="0" w:color="auto"/>
              <w:bottom w:val="single" w:sz="4" w:space="0" w:color="auto"/>
              <w:right w:val="single" w:sz="4" w:space="0" w:color="auto"/>
            </w:tcBorders>
          </w:tcPr>
          <w:p w:rsidR="00E64CEF" w:rsidRPr="00737B67" w:rsidRDefault="00E64CEF" w:rsidP="00A506D2">
            <w:pPr>
              <w:pStyle w:val="Table2"/>
            </w:pPr>
          </w:p>
        </w:tc>
        <w:tc>
          <w:tcPr>
            <w:tcW w:w="3304"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555"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3213" w:type="dxa"/>
            <w:tcBorders>
              <w:top w:val="nil"/>
              <w:left w:val="single" w:sz="4" w:space="0" w:color="auto"/>
              <w:bottom w:val="nil"/>
              <w:right w:val="single" w:sz="4" w:space="0" w:color="auto"/>
            </w:tcBorders>
          </w:tcPr>
          <w:p w:rsidR="00E64CEF" w:rsidRPr="00737B67" w:rsidRDefault="00E64CEF" w:rsidP="00A506D2">
            <w:pPr>
              <w:pStyle w:val="Table2"/>
            </w:pPr>
            <w:r w:rsidRPr="00737B67">
              <w:t>Aflatoxin</w:t>
            </w:r>
          </w:p>
        </w:tc>
        <w:tc>
          <w:tcPr>
            <w:tcW w:w="3304" w:type="dxa"/>
            <w:tcBorders>
              <w:top w:val="nil"/>
              <w:left w:val="single" w:sz="4" w:space="0" w:color="auto"/>
              <w:bottom w:val="nil"/>
              <w:right w:val="single" w:sz="4" w:space="0" w:color="auto"/>
            </w:tcBorders>
          </w:tcPr>
          <w:p w:rsidR="00E64CEF" w:rsidRDefault="00E64CEF" w:rsidP="00A506D2">
            <w:pPr>
              <w:pStyle w:val="Table2"/>
            </w:pPr>
            <w:r>
              <w:t xml:space="preserve">Peanuts </w:t>
            </w:r>
          </w:p>
        </w:tc>
        <w:tc>
          <w:tcPr>
            <w:tcW w:w="2555" w:type="dxa"/>
            <w:tcBorders>
              <w:top w:val="nil"/>
              <w:left w:val="single" w:sz="4" w:space="0" w:color="auto"/>
              <w:bottom w:val="nil"/>
              <w:right w:val="single" w:sz="4" w:space="0" w:color="auto"/>
            </w:tcBorders>
          </w:tcPr>
          <w:p w:rsidR="00E64CEF" w:rsidRDefault="00E64CEF" w:rsidP="00A506D2">
            <w:pPr>
              <w:pStyle w:val="Table2"/>
              <w:jc w:val="center"/>
            </w:pPr>
            <w:r>
              <w:t>0.015 mg/kg</w:t>
            </w:r>
          </w:p>
        </w:tc>
      </w:tr>
      <w:tr w:rsidR="00E64CEF" w:rsidTr="00A506D2">
        <w:trPr>
          <w:cantSplit/>
          <w:jc w:val="center"/>
        </w:trPr>
        <w:tc>
          <w:tcPr>
            <w:tcW w:w="3213" w:type="dxa"/>
            <w:tcBorders>
              <w:top w:val="nil"/>
              <w:left w:val="single" w:sz="4" w:space="0" w:color="auto"/>
              <w:right w:val="single" w:sz="4" w:space="0" w:color="auto"/>
            </w:tcBorders>
          </w:tcPr>
          <w:p w:rsidR="00E64CEF" w:rsidRPr="00737B67" w:rsidRDefault="00E64CEF" w:rsidP="00A506D2">
            <w:pPr>
              <w:pStyle w:val="Table2"/>
            </w:pPr>
          </w:p>
        </w:tc>
        <w:tc>
          <w:tcPr>
            <w:tcW w:w="3304" w:type="dxa"/>
            <w:tcBorders>
              <w:top w:val="nil"/>
              <w:left w:val="single" w:sz="4" w:space="0" w:color="auto"/>
              <w:right w:val="single" w:sz="4" w:space="0" w:color="auto"/>
            </w:tcBorders>
          </w:tcPr>
          <w:p w:rsidR="00E64CEF" w:rsidRDefault="00E64CEF" w:rsidP="00A506D2">
            <w:pPr>
              <w:pStyle w:val="Table2"/>
            </w:pPr>
            <w:r>
              <w:t>Tree nuts (as specified in Schedule 4 to Standard 1.4.2</w:t>
            </w:r>
          </w:p>
        </w:tc>
        <w:tc>
          <w:tcPr>
            <w:tcW w:w="2555" w:type="dxa"/>
            <w:tcBorders>
              <w:top w:val="nil"/>
              <w:left w:val="single" w:sz="4" w:space="0" w:color="auto"/>
              <w:right w:val="single" w:sz="4" w:space="0" w:color="auto"/>
            </w:tcBorders>
          </w:tcPr>
          <w:p w:rsidR="00E64CEF" w:rsidRDefault="00E64CEF" w:rsidP="00A506D2">
            <w:pPr>
              <w:pStyle w:val="Table2"/>
              <w:jc w:val="center"/>
            </w:pPr>
            <w:r>
              <w:t>0.015 mg/kg</w:t>
            </w:r>
          </w:p>
        </w:tc>
      </w:tr>
      <w:tr w:rsidR="00E64CEF" w:rsidTr="00A506D2">
        <w:trPr>
          <w:cantSplit/>
          <w:jc w:val="center"/>
        </w:trPr>
        <w:tc>
          <w:tcPr>
            <w:tcW w:w="3213" w:type="dxa"/>
            <w:tcBorders>
              <w:top w:val="nil"/>
              <w:left w:val="single" w:sz="4" w:space="0" w:color="auto"/>
              <w:bottom w:val="single" w:sz="4" w:space="0" w:color="auto"/>
              <w:right w:val="single" w:sz="4" w:space="0" w:color="auto"/>
            </w:tcBorders>
          </w:tcPr>
          <w:p w:rsidR="00E64CEF" w:rsidRPr="00737B67" w:rsidRDefault="00E64CEF" w:rsidP="00A506D2">
            <w:pPr>
              <w:rPr>
                <w:bCs/>
              </w:rPr>
            </w:pPr>
          </w:p>
        </w:tc>
        <w:tc>
          <w:tcPr>
            <w:tcW w:w="3304" w:type="dxa"/>
            <w:tcBorders>
              <w:top w:val="nil"/>
              <w:left w:val="single" w:sz="4" w:space="0" w:color="auto"/>
              <w:bottom w:val="single" w:sz="4" w:space="0" w:color="auto"/>
              <w:right w:val="single" w:sz="4" w:space="0" w:color="auto"/>
            </w:tcBorders>
          </w:tcPr>
          <w:p w:rsidR="00E64CEF" w:rsidRDefault="00E64CEF" w:rsidP="00A506D2">
            <w:pPr>
              <w:rPr>
                <w:b/>
                <w:bCs/>
              </w:rPr>
            </w:pPr>
          </w:p>
        </w:tc>
        <w:tc>
          <w:tcPr>
            <w:tcW w:w="2555" w:type="dxa"/>
            <w:tcBorders>
              <w:top w:val="nil"/>
              <w:left w:val="single" w:sz="4" w:space="0" w:color="auto"/>
              <w:bottom w:val="single" w:sz="4" w:space="0" w:color="auto"/>
              <w:right w:val="single" w:sz="4" w:space="0" w:color="auto"/>
            </w:tcBorders>
          </w:tcPr>
          <w:p w:rsidR="00E64CEF" w:rsidRDefault="00E64CEF" w:rsidP="00A506D2">
            <w:pPr>
              <w:jc w:val="center"/>
              <w:rPr>
                <w:b/>
                <w:bCs/>
              </w:rPr>
            </w:pPr>
          </w:p>
        </w:tc>
      </w:tr>
      <w:tr w:rsidR="00E64CEF" w:rsidTr="00A506D2">
        <w:trPr>
          <w:cantSplit/>
          <w:jc w:val="center"/>
        </w:trPr>
        <w:tc>
          <w:tcPr>
            <w:tcW w:w="3213" w:type="dxa"/>
            <w:tcBorders>
              <w:top w:val="nil"/>
              <w:left w:val="single" w:sz="4" w:space="0" w:color="auto"/>
              <w:right w:val="single" w:sz="4" w:space="0" w:color="auto"/>
            </w:tcBorders>
          </w:tcPr>
          <w:p w:rsidR="00E64CEF" w:rsidRPr="00737B67" w:rsidRDefault="00E64CEF" w:rsidP="00A506D2">
            <w:pPr>
              <w:pStyle w:val="Table2"/>
            </w:pPr>
            <w:r w:rsidRPr="00737B67">
              <w:t>Amnesic shellfish poisons (Domoic acid equivalent)</w:t>
            </w:r>
          </w:p>
        </w:tc>
        <w:tc>
          <w:tcPr>
            <w:tcW w:w="3304" w:type="dxa"/>
            <w:tcBorders>
              <w:top w:val="nil"/>
              <w:left w:val="single" w:sz="4" w:space="0" w:color="auto"/>
              <w:right w:val="single" w:sz="4" w:space="0" w:color="auto"/>
            </w:tcBorders>
          </w:tcPr>
          <w:p w:rsidR="00E64CEF" w:rsidRDefault="00E64CEF" w:rsidP="00A506D2">
            <w:pPr>
              <w:pStyle w:val="Table2"/>
            </w:pPr>
            <w:r>
              <w:t>Bivalve molluscs</w:t>
            </w:r>
          </w:p>
        </w:tc>
        <w:tc>
          <w:tcPr>
            <w:tcW w:w="2555" w:type="dxa"/>
            <w:tcBorders>
              <w:top w:val="nil"/>
              <w:left w:val="single" w:sz="4" w:space="0" w:color="auto"/>
              <w:right w:val="single" w:sz="4" w:space="0" w:color="auto"/>
            </w:tcBorders>
          </w:tcPr>
          <w:p w:rsidR="00E64CEF" w:rsidRDefault="00E64CEF" w:rsidP="00A506D2">
            <w:pPr>
              <w:pStyle w:val="Table2"/>
              <w:jc w:val="center"/>
            </w:pPr>
            <w:r>
              <w:t>20 mg/kg</w:t>
            </w:r>
          </w:p>
        </w:tc>
      </w:tr>
      <w:tr w:rsidR="00E64CEF" w:rsidTr="00A506D2">
        <w:trPr>
          <w:cantSplit/>
          <w:jc w:val="center"/>
        </w:trPr>
        <w:tc>
          <w:tcPr>
            <w:tcW w:w="3213" w:type="dxa"/>
            <w:tcBorders>
              <w:top w:val="nil"/>
              <w:left w:val="single" w:sz="4" w:space="0" w:color="auto"/>
              <w:bottom w:val="single" w:sz="4" w:space="0" w:color="auto"/>
              <w:right w:val="single" w:sz="4" w:space="0" w:color="auto"/>
            </w:tcBorders>
          </w:tcPr>
          <w:p w:rsidR="00E64CEF" w:rsidRPr="00737B67" w:rsidRDefault="00E64CEF" w:rsidP="00A506D2">
            <w:pPr>
              <w:pStyle w:val="Table2"/>
            </w:pPr>
          </w:p>
        </w:tc>
        <w:tc>
          <w:tcPr>
            <w:tcW w:w="3304" w:type="dxa"/>
            <w:tcBorders>
              <w:top w:val="nil"/>
              <w:left w:val="single" w:sz="4" w:space="0" w:color="auto"/>
              <w:bottom w:val="single" w:sz="4" w:space="0" w:color="auto"/>
              <w:right w:val="single" w:sz="4" w:space="0" w:color="auto"/>
            </w:tcBorders>
          </w:tcPr>
          <w:p w:rsidR="00E64CEF" w:rsidRDefault="00E64CEF" w:rsidP="00A506D2">
            <w:pPr>
              <w:pStyle w:val="Table2"/>
              <w:rPr>
                <w:b/>
              </w:rPr>
            </w:pPr>
          </w:p>
        </w:tc>
        <w:tc>
          <w:tcPr>
            <w:tcW w:w="2555" w:type="dxa"/>
            <w:tcBorders>
              <w:top w:val="nil"/>
              <w:left w:val="single" w:sz="4" w:space="0" w:color="auto"/>
              <w:bottom w:val="single" w:sz="4" w:space="0" w:color="auto"/>
              <w:right w:val="single" w:sz="4" w:space="0" w:color="auto"/>
            </w:tcBorders>
          </w:tcPr>
          <w:p w:rsidR="00E64CEF" w:rsidRDefault="00E64CEF" w:rsidP="00A506D2">
            <w:pPr>
              <w:pStyle w:val="Table2"/>
              <w:jc w:val="center"/>
              <w:rPr>
                <w:b/>
              </w:rPr>
            </w:pPr>
          </w:p>
        </w:tc>
      </w:tr>
      <w:tr w:rsidR="00E64CEF" w:rsidTr="00A506D2">
        <w:trPr>
          <w:cantSplit/>
          <w:jc w:val="center"/>
        </w:trPr>
        <w:tc>
          <w:tcPr>
            <w:tcW w:w="3213" w:type="dxa"/>
            <w:tcBorders>
              <w:left w:val="single" w:sz="4" w:space="0" w:color="auto"/>
              <w:right w:val="single" w:sz="4" w:space="0" w:color="auto"/>
            </w:tcBorders>
          </w:tcPr>
          <w:p w:rsidR="00E64CEF" w:rsidRPr="00737B67" w:rsidRDefault="00E64CEF" w:rsidP="00A506D2">
            <w:pPr>
              <w:pStyle w:val="Table2"/>
            </w:pPr>
            <w:r w:rsidRPr="00737B67">
              <w:t>3-chloro-1,2-propanediol</w:t>
            </w:r>
          </w:p>
        </w:tc>
        <w:tc>
          <w:tcPr>
            <w:tcW w:w="3304" w:type="dxa"/>
            <w:tcBorders>
              <w:left w:val="single" w:sz="4" w:space="0" w:color="auto"/>
              <w:right w:val="single" w:sz="4" w:space="0" w:color="auto"/>
            </w:tcBorders>
          </w:tcPr>
          <w:p w:rsidR="00E64CEF" w:rsidRDefault="00E64CEF" w:rsidP="00A506D2">
            <w:pPr>
              <w:pStyle w:val="Table2"/>
              <w:rPr>
                <w:b/>
              </w:rPr>
            </w:pPr>
            <w:r>
              <w:t>Soy sauce and oyster sauce</w:t>
            </w:r>
          </w:p>
        </w:tc>
        <w:tc>
          <w:tcPr>
            <w:tcW w:w="2555" w:type="dxa"/>
            <w:tcBorders>
              <w:left w:val="single" w:sz="4" w:space="0" w:color="auto"/>
              <w:right w:val="single" w:sz="4" w:space="0" w:color="auto"/>
            </w:tcBorders>
          </w:tcPr>
          <w:p w:rsidR="00E64CEF" w:rsidRDefault="00E64CEF" w:rsidP="00A506D2">
            <w:pPr>
              <w:pStyle w:val="Table2"/>
              <w:jc w:val="center"/>
            </w:pPr>
            <w:r>
              <w:t>0.2 mg/kg</w:t>
            </w:r>
          </w:p>
          <w:p w:rsidR="00E64CEF" w:rsidRDefault="00E64CEF" w:rsidP="00A506D2">
            <w:pPr>
              <w:pStyle w:val="Table2"/>
              <w:jc w:val="center"/>
            </w:pPr>
            <w:r>
              <w:t>calculated on a 40% dry matter content</w:t>
            </w:r>
          </w:p>
        </w:tc>
      </w:tr>
      <w:tr w:rsidR="00E64CEF" w:rsidTr="00A506D2">
        <w:trPr>
          <w:cantSplit/>
          <w:jc w:val="center"/>
        </w:trPr>
        <w:tc>
          <w:tcPr>
            <w:tcW w:w="3213" w:type="dxa"/>
            <w:tcBorders>
              <w:left w:val="single" w:sz="4" w:space="0" w:color="auto"/>
              <w:bottom w:val="single" w:sz="4" w:space="0" w:color="auto"/>
              <w:right w:val="single" w:sz="4" w:space="0" w:color="auto"/>
            </w:tcBorders>
          </w:tcPr>
          <w:p w:rsidR="00E64CEF" w:rsidRPr="00737B67" w:rsidRDefault="00E64CEF" w:rsidP="00A506D2">
            <w:pPr>
              <w:pStyle w:val="Table2"/>
            </w:pPr>
          </w:p>
        </w:tc>
        <w:tc>
          <w:tcPr>
            <w:tcW w:w="3304" w:type="dxa"/>
            <w:tcBorders>
              <w:left w:val="single" w:sz="4" w:space="0" w:color="auto"/>
              <w:bottom w:val="single" w:sz="4" w:space="0" w:color="auto"/>
              <w:right w:val="single" w:sz="4" w:space="0" w:color="auto"/>
            </w:tcBorders>
          </w:tcPr>
          <w:p w:rsidR="00E64CEF" w:rsidRDefault="00E64CEF" w:rsidP="00A506D2">
            <w:pPr>
              <w:pStyle w:val="Table2"/>
            </w:pPr>
          </w:p>
        </w:tc>
        <w:tc>
          <w:tcPr>
            <w:tcW w:w="2555" w:type="dxa"/>
            <w:tcBorders>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3213" w:type="dxa"/>
            <w:tcBorders>
              <w:left w:val="single" w:sz="4" w:space="0" w:color="auto"/>
              <w:right w:val="single" w:sz="4" w:space="0" w:color="auto"/>
            </w:tcBorders>
          </w:tcPr>
          <w:p w:rsidR="00E64CEF" w:rsidRPr="00737B67" w:rsidRDefault="00E64CEF" w:rsidP="00A506D2">
            <w:pPr>
              <w:pStyle w:val="Table2"/>
            </w:pPr>
            <w:r w:rsidRPr="00737B67">
              <w:t>Diarrhetic shellfish poisons (Okadaic acid equivalent)</w:t>
            </w:r>
          </w:p>
        </w:tc>
        <w:tc>
          <w:tcPr>
            <w:tcW w:w="3304" w:type="dxa"/>
            <w:tcBorders>
              <w:left w:val="single" w:sz="4" w:space="0" w:color="auto"/>
              <w:right w:val="single" w:sz="4" w:space="0" w:color="auto"/>
            </w:tcBorders>
          </w:tcPr>
          <w:p w:rsidR="00E64CEF" w:rsidRDefault="00E64CEF" w:rsidP="00A506D2">
            <w:pPr>
              <w:pStyle w:val="Table2"/>
            </w:pPr>
            <w:r>
              <w:t>Bivalve molluscs</w:t>
            </w:r>
          </w:p>
        </w:tc>
        <w:tc>
          <w:tcPr>
            <w:tcW w:w="2555" w:type="dxa"/>
            <w:tcBorders>
              <w:left w:val="single" w:sz="4" w:space="0" w:color="auto"/>
              <w:right w:val="single" w:sz="4" w:space="0" w:color="auto"/>
            </w:tcBorders>
          </w:tcPr>
          <w:p w:rsidR="00E64CEF" w:rsidRDefault="00E64CEF" w:rsidP="00A506D2">
            <w:pPr>
              <w:pStyle w:val="Table2"/>
              <w:jc w:val="center"/>
            </w:pPr>
            <w:r>
              <w:t>0.2 mg/kg</w:t>
            </w:r>
          </w:p>
        </w:tc>
      </w:tr>
      <w:tr w:rsidR="00E64CEF" w:rsidTr="00A506D2">
        <w:trPr>
          <w:cantSplit/>
          <w:jc w:val="center"/>
        </w:trPr>
        <w:tc>
          <w:tcPr>
            <w:tcW w:w="3213" w:type="dxa"/>
            <w:tcBorders>
              <w:left w:val="single" w:sz="4" w:space="0" w:color="auto"/>
              <w:bottom w:val="single" w:sz="4" w:space="0" w:color="auto"/>
              <w:right w:val="single" w:sz="4" w:space="0" w:color="auto"/>
            </w:tcBorders>
          </w:tcPr>
          <w:p w:rsidR="00E64CEF" w:rsidRPr="00737B67" w:rsidRDefault="00E64CEF" w:rsidP="00A506D2">
            <w:pPr>
              <w:pStyle w:val="Table2"/>
            </w:pPr>
          </w:p>
        </w:tc>
        <w:tc>
          <w:tcPr>
            <w:tcW w:w="3304" w:type="dxa"/>
            <w:tcBorders>
              <w:left w:val="single" w:sz="4" w:space="0" w:color="auto"/>
              <w:bottom w:val="single" w:sz="4" w:space="0" w:color="auto"/>
              <w:right w:val="single" w:sz="4" w:space="0" w:color="auto"/>
            </w:tcBorders>
          </w:tcPr>
          <w:p w:rsidR="00E64CEF" w:rsidRDefault="00E64CEF" w:rsidP="00A506D2">
            <w:pPr>
              <w:pStyle w:val="Table2"/>
              <w:rPr>
                <w:b/>
              </w:rPr>
            </w:pPr>
          </w:p>
        </w:tc>
        <w:tc>
          <w:tcPr>
            <w:tcW w:w="2555" w:type="dxa"/>
            <w:tcBorders>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3213" w:type="dxa"/>
            <w:tcBorders>
              <w:left w:val="single" w:sz="4" w:space="0" w:color="auto"/>
              <w:right w:val="single" w:sz="4" w:space="0" w:color="auto"/>
            </w:tcBorders>
          </w:tcPr>
          <w:p w:rsidR="00E64CEF" w:rsidRPr="00737B67" w:rsidRDefault="00E64CEF" w:rsidP="00A506D2">
            <w:pPr>
              <w:pStyle w:val="Table2"/>
            </w:pPr>
            <w:r w:rsidRPr="00737B67">
              <w:t>1,3-dichloro-2-propanol</w:t>
            </w:r>
          </w:p>
        </w:tc>
        <w:tc>
          <w:tcPr>
            <w:tcW w:w="3304" w:type="dxa"/>
            <w:tcBorders>
              <w:left w:val="single" w:sz="4" w:space="0" w:color="auto"/>
              <w:right w:val="single" w:sz="4" w:space="0" w:color="auto"/>
            </w:tcBorders>
          </w:tcPr>
          <w:p w:rsidR="00E64CEF" w:rsidRDefault="00E64CEF" w:rsidP="00A506D2">
            <w:pPr>
              <w:pStyle w:val="Table2"/>
              <w:rPr>
                <w:b/>
              </w:rPr>
            </w:pPr>
            <w:r>
              <w:t>Soy sauce and oyster sauce</w:t>
            </w:r>
          </w:p>
        </w:tc>
        <w:tc>
          <w:tcPr>
            <w:tcW w:w="2555" w:type="dxa"/>
            <w:tcBorders>
              <w:left w:val="single" w:sz="4" w:space="0" w:color="auto"/>
              <w:right w:val="single" w:sz="4" w:space="0" w:color="auto"/>
            </w:tcBorders>
          </w:tcPr>
          <w:p w:rsidR="00E64CEF" w:rsidRDefault="00E64CEF" w:rsidP="00A506D2">
            <w:pPr>
              <w:pStyle w:val="Table2"/>
              <w:jc w:val="center"/>
            </w:pPr>
            <w:r>
              <w:t>0.005 mg/kg</w:t>
            </w:r>
          </w:p>
          <w:p w:rsidR="00E64CEF" w:rsidRDefault="00E64CEF" w:rsidP="00A506D2">
            <w:pPr>
              <w:pStyle w:val="Table2"/>
              <w:jc w:val="center"/>
            </w:pPr>
            <w:r>
              <w:t>calculated on a 40% dry matter content</w:t>
            </w:r>
          </w:p>
        </w:tc>
      </w:tr>
      <w:tr w:rsidR="00E64CEF" w:rsidTr="00A506D2">
        <w:trPr>
          <w:cantSplit/>
          <w:jc w:val="center"/>
        </w:trPr>
        <w:tc>
          <w:tcPr>
            <w:tcW w:w="3213" w:type="dxa"/>
            <w:tcBorders>
              <w:left w:val="single" w:sz="4" w:space="0" w:color="auto"/>
              <w:bottom w:val="single" w:sz="4" w:space="0" w:color="auto"/>
              <w:right w:val="single" w:sz="4" w:space="0" w:color="auto"/>
            </w:tcBorders>
          </w:tcPr>
          <w:p w:rsidR="00E64CEF" w:rsidRPr="00737B67" w:rsidRDefault="00E64CEF" w:rsidP="00A506D2">
            <w:pPr>
              <w:pStyle w:val="Table2"/>
            </w:pPr>
          </w:p>
        </w:tc>
        <w:tc>
          <w:tcPr>
            <w:tcW w:w="3304" w:type="dxa"/>
            <w:tcBorders>
              <w:left w:val="single" w:sz="4" w:space="0" w:color="auto"/>
              <w:bottom w:val="single" w:sz="4" w:space="0" w:color="auto"/>
              <w:right w:val="single" w:sz="4" w:space="0" w:color="auto"/>
            </w:tcBorders>
          </w:tcPr>
          <w:p w:rsidR="00E64CEF" w:rsidRDefault="00E64CEF" w:rsidP="00A506D2">
            <w:pPr>
              <w:pStyle w:val="Table2"/>
              <w:rPr>
                <w:b/>
              </w:rPr>
            </w:pPr>
          </w:p>
        </w:tc>
        <w:tc>
          <w:tcPr>
            <w:tcW w:w="2555" w:type="dxa"/>
            <w:tcBorders>
              <w:left w:val="single" w:sz="4" w:space="0" w:color="auto"/>
              <w:bottom w:val="single" w:sz="4" w:space="0" w:color="auto"/>
              <w:right w:val="single" w:sz="4" w:space="0" w:color="auto"/>
            </w:tcBorders>
          </w:tcPr>
          <w:p w:rsidR="00E64CEF" w:rsidRDefault="00E64CEF" w:rsidP="00A506D2">
            <w:pPr>
              <w:pStyle w:val="Table2"/>
              <w:jc w:val="center"/>
            </w:pPr>
          </w:p>
        </w:tc>
      </w:tr>
    </w:tbl>
    <w:p w:rsidR="00E35BCD" w:rsidRDefault="00E35BCD"/>
    <w:tbl>
      <w:tblPr>
        <w:tblW w:w="9072" w:type="dxa"/>
        <w:jc w:val="center"/>
        <w:tblLayout w:type="fixed"/>
        <w:tblCellMar>
          <w:left w:w="79" w:type="dxa"/>
          <w:right w:w="79" w:type="dxa"/>
        </w:tblCellMar>
        <w:tblLook w:val="0000" w:firstRow="0" w:lastRow="0" w:firstColumn="0" w:lastColumn="0" w:noHBand="0" w:noVBand="0"/>
      </w:tblPr>
      <w:tblGrid>
        <w:gridCol w:w="3213"/>
        <w:gridCol w:w="3304"/>
        <w:gridCol w:w="2555"/>
      </w:tblGrid>
      <w:tr w:rsidR="00E64CEF" w:rsidTr="00A506D2">
        <w:trPr>
          <w:cantSplit/>
          <w:jc w:val="center"/>
        </w:trPr>
        <w:tc>
          <w:tcPr>
            <w:tcW w:w="3213" w:type="dxa"/>
            <w:tcBorders>
              <w:top w:val="nil"/>
              <w:left w:val="single" w:sz="4" w:space="0" w:color="auto"/>
              <w:right w:val="single" w:sz="4" w:space="0" w:color="auto"/>
            </w:tcBorders>
          </w:tcPr>
          <w:p w:rsidR="00E64CEF" w:rsidRPr="00737B67" w:rsidRDefault="00E64CEF" w:rsidP="00A506D2">
            <w:pPr>
              <w:pStyle w:val="Table2"/>
            </w:pPr>
            <w:r w:rsidRPr="00737B67">
              <w:t>Ergot</w:t>
            </w:r>
          </w:p>
        </w:tc>
        <w:tc>
          <w:tcPr>
            <w:tcW w:w="3304" w:type="dxa"/>
            <w:tcBorders>
              <w:top w:val="nil"/>
              <w:left w:val="single" w:sz="4" w:space="0" w:color="auto"/>
              <w:right w:val="single" w:sz="4" w:space="0" w:color="auto"/>
            </w:tcBorders>
          </w:tcPr>
          <w:p w:rsidR="00E64CEF" w:rsidRDefault="00E64CEF" w:rsidP="00A506D2">
            <w:pPr>
              <w:pStyle w:val="Table2"/>
            </w:pPr>
            <w:r>
              <w:t>Cereal grains</w:t>
            </w:r>
          </w:p>
        </w:tc>
        <w:tc>
          <w:tcPr>
            <w:tcW w:w="2555" w:type="dxa"/>
            <w:tcBorders>
              <w:top w:val="nil"/>
              <w:left w:val="single" w:sz="4" w:space="0" w:color="auto"/>
              <w:right w:val="single" w:sz="4" w:space="0" w:color="auto"/>
            </w:tcBorders>
          </w:tcPr>
          <w:p w:rsidR="00E64CEF" w:rsidRDefault="00E64CEF" w:rsidP="00A506D2">
            <w:pPr>
              <w:pStyle w:val="Table2"/>
              <w:jc w:val="center"/>
            </w:pPr>
            <w:r>
              <w:t>500 mg/kg</w:t>
            </w:r>
          </w:p>
        </w:tc>
      </w:tr>
      <w:tr w:rsidR="00E64CEF" w:rsidTr="00A506D2">
        <w:trPr>
          <w:cantSplit/>
          <w:jc w:val="center"/>
        </w:trPr>
        <w:tc>
          <w:tcPr>
            <w:tcW w:w="3213" w:type="dxa"/>
            <w:tcBorders>
              <w:top w:val="nil"/>
              <w:left w:val="single" w:sz="4" w:space="0" w:color="auto"/>
              <w:bottom w:val="single" w:sz="4" w:space="0" w:color="auto"/>
              <w:right w:val="single" w:sz="4" w:space="0" w:color="auto"/>
            </w:tcBorders>
          </w:tcPr>
          <w:p w:rsidR="00E64CEF" w:rsidRPr="00737B67" w:rsidRDefault="00E64CEF" w:rsidP="00A506D2">
            <w:pPr>
              <w:pStyle w:val="Table2"/>
            </w:pPr>
          </w:p>
        </w:tc>
        <w:tc>
          <w:tcPr>
            <w:tcW w:w="3304"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555"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3213" w:type="dxa"/>
            <w:tcBorders>
              <w:top w:val="nil"/>
              <w:left w:val="single" w:sz="4" w:space="0" w:color="auto"/>
              <w:bottom w:val="nil"/>
              <w:right w:val="single" w:sz="4" w:space="0" w:color="auto"/>
            </w:tcBorders>
          </w:tcPr>
          <w:p w:rsidR="00E64CEF" w:rsidRPr="00737B67" w:rsidRDefault="00E64CEF" w:rsidP="00A506D2">
            <w:pPr>
              <w:pStyle w:val="Table2"/>
            </w:pPr>
            <w:r w:rsidRPr="00737B67">
              <w:t>Methanol</w:t>
            </w:r>
          </w:p>
        </w:tc>
        <w:tc>
          <w:tcPr>
            <w:tcW w:w="3304" w:type="dxa"/>
            <w:tcBorders>
              <w:top w:val="nil"/>
              <w:left w:val="single" w:sz="4" w:space="0" w:color="auto"/>
              <w:bottom w:val="nil"/>
              <w:right w:val="single" w:sz="4" w:space="0" w:color="auto"/>
            </w:tcBorders>
          </w:tcPr>
          <w:p w:rsidR="00E64CEF" w:rsidRDefault="00E64CEF" w:rsidP="00A506D2">
            <w:pPr>
              <w:pStyle w:val="Table2"/>
            </w:pPr>
            <w:r>
              <w:t>Red wine, white wine and fortified wine</w:t>
            </w:r>
          </w:p>
        </w:tc>
        <w:tc>
          <w:tcPr>
            <w:tcW w:w="2555" w:type="dxa"/>
            <w:tcBorders>
              <w:top w:val="nil"/>
              <w:left w:val="single" w:sz="4" w:space="0" w:color="auto"/>
              <w:bottom w:val="nil"/>
              <w:right w:val="single" w:sz="4" w:space="0" w:color="auto"/>
            </w:tcBorders>
          </w:tcPr>
          <w:p w:rsidR="00E64CEF" w:rsidRDefault="00E64CEF" w:rsidP="00A506D2">
            <w:pPr>
              <w:pStyle w:val="Table2"/>
              <w:jc w:val="center"/>
            </w:pPr>
            <w:r>
              <w:t>3 g of methanol per litre of ethanol</w:t>
            </w:r>
          </w:p>
        </w:tc>
      </w:tr>
      <w:tr w:rsidR="00E64CEF" w:rsidTr="00A506D2">
        <w:trPr>
          <w:cantSplit/>
          <w:jc w:val="center"/>
        </w:trPr>
        <w:tc>
          <w:tcPr>
            <w:tcW w:w="3213" w:type="dxa"/>
            <w:tcBorders>
              <w:top w:val="nil"/>
              <w:left w:val="single" w:sz="4" w:space="0" w:color="auto"/>
              <w:bottom w:val="nil"/>
              <w:right w:val="single" w:sz="4" w:space="0" w:color="auto"/>
            </w:tcBorders>
          </w:tcPr>
          <w:p w:rsidR="00E64CEF" w:rsidRPr="00737B67" w:rsidRDefault="00E64CEF" w:rsidP="00A506D2">
            <w:pPr>
              <w:pStyle w:val="Table2"/>
            </w:pPr>
          </w:p>
        </w:tc>
        <w:tc>
          <w:tcPr>
            <w:tcW w:w="3304" w:type="dxa"/>
            <w:tcBorders>
              <w:top w:val="nil"/>
              <w:left w:val="single" w:sz="4" w:space="0" w:color="auto"/>
              <w:bottom w:val="nil"/>
              <w:right w:val="single" w:sz="4" w:space="0" w:color="auto"/>
            </w:tcBorders>
          </w:tcPr>
          <w:p w:rsidR="00E64CEF" w:rsidRDefault="00E64CEF" w:rsidP="00A506D2">
            <w:pPr>
              <w:pStyle w:val="Table2"/>
            </w:pPr>
            <w:r>
              <w:t>Whisky, Rum, Gin and Vodka</w:t>
            </w:r>
          </w:p>
        </w:tc>
        <w:tc>
          <w:tcPr>
            <w:tcW w:w="2555" w:type="dxa"/>
            <w:tcBorders>
              <w:top w:val="nil"/>
              <w:left w:val="single" w:sz="4" w:space="0" w:color="auto"/>
              <w:bottom w:val="nil"/>
              <w:right w:val="single" w:sz="4" w:space="0" w:color="auto"/>
            </w:tcBorders>
          </w:tcPr>
          <w:p w:rsidR="00E64CEF" w:rsidRDefault="00E64CEF" w:rsidP="00A506D2">
            <w:pPr>
              <w:pStyle w:val="Table2"/>
              <w:jc w:val="center"/>
            </w:pPr>
            <w:r>
              <w:t>0.4 g of methanol per litre of ethanol</w:t>
            </w:r>
          </w:p>
        </w:tc>
      </w:tr>
      <w:tr w:rsidR="00E64CEF" w:rsidTr="00A506D2">
        <w:trPr>
          <w:cantSplit/>
          <w:jc w:val="center"/>
        </w:trPr>
        <w:tc>
          <w:tcPr>
            <w:tcW w:w="3213" w:type="dxa"/>
            <w:tcBorders>
              <w:top w:val="nil"/>
              <w:left w:val="single" w:sz="4" w:space="0" w:color="auto"/>
              <w:right w:val="single" w:sz="4" w:space="0" w:color="auto"/>
            </w:tcBorders>
          </w:tcPr>
          <w:p w:rsidR="00E64CEF" w:rsidRPr="00737B67" w:rsidRDefault="00E64CEF" w:rsidP="00A506D2">
            <w:pPr>
              <w:pStyle w:val="Table2"/>
            </w:pPr>
          </w:p>
        </w:tc>
        <w:tc>
          <w:tcPr>
            <w:tcW w:w="3304" w:type="dxa"/>
            <w:tcBorders>
              <w:top w:val="nil"/>
              <w:left w:val="single" w:sz="4" w:space="0" w:color="auto"/>
              <w:right w:val="single" w:sz="4" w:space="0" w:color="auto"/>
            </w:tcBorders>
          </w:tcPr>
          <w:p w:rsidR="00E64CEF" w:rsidRDefault="00E64CEF" w:rsidP="00A506D2">
            <w:pPr>
              <w:pStyle w:val="Table2"/>
            </w:pPr>
            <w:r>
              <w:t>Other spirits, fruit wine, vegetable wine and mead</w:t>
            </w:r>
          </w:p>
        </w:tc>
        <w:tc>
          <w:tcPr>
            <w:tcW w:w="2555" w:type="dxa"/>
            <w:tcBorders>
              <w:top w:val="nil"/>
              <w:left w:val="single" w:sz="4" w:space="0" w:color="auto"/>
              <w:right w:val="single" w:sz="4" w:space="0" w:color="auto"/>
            </w:tcBorders>
          </w:tcPr>
          <w:p w:rsidR="00E64CEF" w:rsidRDefault="00E64CEF" w:rsidP="00A506D2">
            <w:pPr>
              <w:pStyle w:val="Table2"/>
              <w:jc w:val="center"/>
            </w:pPr>
            <w:r>
              <w:t>8 g of methanol per litre of ethanol</w:t>
            </w:r>
          </w:p>
        </w:tc>
      </w:tr>
      <w:tr w:rsidR="00E64CEF" w:rsidTr="00A506D2">
        <w:trPr>
          <w:cantSplit/>
          <w:jc w:val="center"/>
        </w:trPr>
        <w:tc>
          <w:tcPr>
            <w:tcW w:w="3213" w:type="dxa"/>
            <w:tcBorders>
              <w:top w:val="nil"/>
              <w:left w:val="single" w:sz="4" w:space="0" w:color="auto"/>
              <w:bottom w:val="single" w:sz="4" w:space="0" w:color="auto"/>
              <w:right w:val="single" w:sz="4" w:space="0" w:color="auto"/>
            </w:tcBorders>
          </w:tcPr>
          <w:p w:rsidR="00E64CEF" w:rsidRPr="00737B67" w:rsidRDefault="00E64CEF" w:rsidP="00A506D2">
            <w:pPr>
              <w:pStyle w:val="Table2"/>
            </w:pPr>
          </w:p>
        </w:tc>
        <w:tc>
          <w:tcPr>
            <w:tcW w:w="3304"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555"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3213" w:type="dxa"/>
            <w:tcBorders>
              <w:top w:val="nil"/>
              <w:left w:val="single" w:sz="4" w:space="0" w:color="auto"/>
              <w:right w:val="single" w:sz="4" w:space="0" w:color="auto"/>
            </w:tcBorders>
          </w:tcPr>
          <w:p w:rsidR="00E64CEF" w:rsidRPr="00737B67" w:rsidRDefault="00E64CEF" w:rsidP="00A506D2">
            <w:pPr>
              <w:pStyle w:val="Table2"/>
            </w:pPr>
            <w:r w:rsidRPr="00737B67">
              <w:t>Neurotoxic shellfish poisons</w:t>
            </w:r>
          </w:p>
        </w:tc>
        <w:tc>
          <w:tcPr>
            <w:tcW w:w="3304" w:type="dxa"/>
            <w:tcBorders>
              <w:top w:val="nil"/>
              <w:left w:val="single" w:sz="4" w:space="0" w:color="auto"/>
              <w:right w:val="single" w:sz="4" w:space="0" w:color="auto"/>
            </w:tcBorders>
          </w:tcPr>
          <w:p w:rsidR="00E64CEF" w:rsidRDefault="00E64CEF" w:rsidP="00A506D2">
            <w:pPr>
              <w:pStyle w:val="Table2"/>
              <w:rPr>
                <w:b/>
              </w:rPr>
            </w:pPr>
            <w:r>
              <w:t>Bivalve molluscs</w:t>
            </w:r>
          </w:p>
        </w:tc>
        <w:tc>
          <w:tcPr>
            <w:tcW w:w="2555" w:type="dxa"/>
            <w:tcBorders>
              <w:top w:val="nil"/>
              <w:left w:val="single" w:sz="4" w:space="0" w:color="auto"/>
              <w:right w:val="single" w:sz="4" w:space="0" w:color="auto"/>
            </w:tcBorders>
          </w:tcPr>
          <w:p w:rsidR="00E64CEF" w:rsidRDefault="00E64CEF" w:rsidP="00A506D2">
            <w:pPr>
              <w:pStyle w:val="Table2"/>
              <w:jc w:val="center"/>
              <w:rPr>
                <w:b/>
              </w:rPr>
            </w:pPr>
            <w:r>
              <w:t>200 MU/kg</w:t>
            </w:r>
          </w:p>
        </w:tc>
      </w:tr>
      <w:tr w:rsidR="00E64CEF" w:rsidTr="00A506D2">
        <w:trPr>
          <w:cantSplit/>
          <w:jc w:val="center"/>
        </w:trPr>
        <w:tc>
          <w:tcPr>
            <w:tcW w:w="3213" w:type="dxa"/>
            <w:tcBorders>
              <w:top w:val="nil"/>
              <w:left w:val="single" w:sz="4" w:space="0" w:color="auto"/>
              <w:bottom w:val="single" w:sz="4" w:space="0" w:color="auto"/>
              <w:right w:val="single" w:sz="4" w:space="0" w:color="auto"/>
            </w:tcBorders>
          </w:tcPr>
          <w:p w:rsidR="00E64CEF" w:rsidRPr="00737B67" w:rsidRDefault="00E64CEF" w:rsidP="00A506D2">
            <w:pPr>
              <w:pStyle w:val="Table2"/>
            </w:pPr>
          </w:p>
        </w:tc>
        <w:tc>
          <w:tcPr>
            <w:tcW w:w="3304" w:type="dxa"/>
            <w:tcBorders>
              <w:top w:val="nil"/>
              <w:left w:val="single" w:sz="4" w:space="0" w:color="auto"/>
              <w:bottom w:val="single" w:sz="4" w:space="0" w:color="auto"/>
              <w:right w:val="single" w:sz="4" w:space="0" w:color="auto"/>
            </w:tcBorders>
          </w:tcPr>
          <w:p w:rsidR="00E64CEF" w:rsidRDefault="00E64CEF" w:rsidP="00A506D2">
            <w:pPr>
              <w:pStyle w:val="Table2"/>
              <w:rPr>
                <w:b/>
              </w:rPr>
            </w:pPr>
          </w:p>
        </w:tc>
        <w:tc>
          <w:tcPr>
            <w:tcW w:w="2555" w:type="dxa"/>
            <w:tcBorders>
              <w:top w:val="nil"/>
              <w:left w:val="single" w:sz="4" w:space="0" w:color="auto"/>
              <w:bottom w:val="single" w:sz="4" w:space="0" w:color="auto"/>
              <w:right w:val="single" w:sz="4" w:space="0" w:color="auto"/>
            </w:tcBorders>
          </w:tcPr>
          <w:p w:rsidR="00E64CEF" w:rsidRDefault="00E64CEF" w:rsidP="00A506D2">
            <w:pPr>
              <w:pStyle w:val="Table2"/>
              <w:jc w:val="center"/>
              <w:rPr>
                <w:b/>
              </w:rPr>
            </w:pPr>
          </w:p>
        </w:tc>
      </w:tr>
      <w:tr w:rsidR="00E64CEF" w:rsidTr="00A506D2">
        <w:trPr>
          <w:cantSplit/>
          <w:jc w:val="center"/>
        </w:trPr>
        <w:tc>
          <w:tcPr>
            <w:tcW w:w="3213" w:type="dxa"/>
            <w:tcBorders>
              <w:top w:val="nil"/>
              <w:left w:val="single" w:sz="4" w:space="0" w:color="auto"/>
              <w:right w:val="single" w:sz="4" w:space="0" w:color="auto"/>
            </w:tcBorders>
          </w:tcPr>
          <w:p w:rsidR="00E64CEF" w:rsidRPr="00737B67" w:rsidRDefault="00E64CEF" w:rsidP="00A506D2">
            <w:pPr>
              <w:pStyle w:val="Table2"/>
            </w:pPr>
            <w:r w:rsidRPr="00737B67">
              <w:t>Paralytic shellfish poisons (Saxitoxin equivalent)</w:t>
            </w:r>
          </w:p>
        </w:tc>
        <w:tc>
          <w:tcPr>
            <w:tcW w:w="3304" w:type="dxa"/>
            <w:tcBorders>
              <w:top w:val="nil"/>
              <w:left w:val="single" w:sz="4" w:space="0" w:color="auto"/>
              <w:right w:val="single" w:sz="4" w:space="0" w:color="auto"/>
            </w:tcBorders>
          </w:tcPr>
          <w:p w:rsidR="00E64CEF" w:rsidRDefault="00E64CEF" w:rsidP="00A506D2">
            <w:pPr>
              <w:pStyle w:val="Table2"/>
            </w:pPr>
            <w:r>
              <w:t>Bivalve molluscs</w:t>
            </w:r>
          </w:p>
        </w:tc>
        <w:tc>
          <w:tcPr>
            <w:tcW w:w="2555" w:type="dxa"/>
            <w:tcBorders>
              <w:top w:val="nil"/>
              <w:left w:val="single" w:sz="4" w:space="0" w:color="auto"/>
              <w:right w:val="single" w:sz="4" w:space="0" w:color="auto"/>
            </w:tcBorders>
          </w:tcPr>
          <w:p w:rsidR="00E64CEF" w:rsidRDefault="00E64CEF" w:rsidP="00A506D2">
            <w:pPr>
              <w:pStyle w:val="Table2"/>
              <w:jc w:val="center"/>
            </w:pPr>
            <w:r>
              <w:t>0.8 mg/kg</w:t>
            </w:r>
          </w:p>
        </w:tc>
      </w:tr>
      <w:tr w:rsidR="00E64CEF" w:rsidTr="00A506D2">
        <w:trPr>
          <w:cantSplit/>
          <w:jc w:val="center"/>
        </w:trPr>
        <w:tc>
          <w:tcPr>
            <w:tcW w:w="3213" w:type="dxa"/>
            <w:tcBorders>
              <w:top w:val="nil"/>
              <w:left w:val="single" w:sz="4" w:space="0" w:color="auto"/>
              <w:bottom w:val="single" w:sz="4" w:space="0" w:color="auto"/>
              <w:right w:val="single" w:sz="4" w:space="0" w:color="auto"/>
            </w:tcBorders>
          </w:tcPr>
          <w:p w:rsidR="00E64CEF" w:rsidRPr="00737B67" w:rsidRDefault="00E64CEF" w:rsidP="00A506D2">
            <w:pPr>
              <w:pStyle w:val="Table2"/>
            </w:pPr>
          </w:p>
        </w:tc>
        <w:tc>
          <w:tcPr>
            <w:tcW w:w="3304"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555"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3213" w:type="dxa"/>
            <w:tcBorders>
              <w:top w:val="nil"/>
              <w:left w:val="single" w:sz="4" w:space="0" w:color="auto"/>
              <w:right w:val="single" w:sz="4" w:space="0" w:color="auto"/>
            </w:tcBorders>
          </w:tcPr>
          <w:p w:rsidR="00E64CEF" w:rsidRPr="00737B67" w:rsidRDefault="00E64CEF" w:rsidP="00A506D2">
            <w:pPr>
              <w:pStyle w:val="Table2"/>
            </w:pPr>
            <w:r w:rsidRPr="00737B67">
              <w:t>Phomopsins</w:t>
            </w:r>
          </w:p>
        </w:tc>
        <w:tc>
          <w:tcPr>
            <w:tcW w:w="3304" w:type="dxa"/>
            <w:tcBorders>
              <w:top w:val="nil"/>
              <w:left w:val="single" w:sz="4" w:space="0" w:color="auto"/>
              <w:right w:val="single" w:sz="4" w:space="0" w:color="auto"/>
            </w:tcBorders>
          </w:tcPr>
          <w:p w:rsidR="00E64CEF" w:rsidRDefault="00E64CEF" w:rsidP="00A506D2">
            <w:pPr>
              <w:pStyle w:val="Table2"/>
            </w:pPr>
            <w:r>
              <w:t>Lupin seeds and the products of lupin seeds</w:t>
            </w:r>
          </w:p>
        </w:tc>
        <w:tc>
          <w:tcPr>
            <w:tcW w:w="2555" w:type="dxa"/>
            <w:tcBorders>
              <w:top w:val="nil"/>
              <w:left w:val="single" w:sz="4" w:space="0" w:color="auto"/>
              <w:right w:val="single" w:sz="4" w:space="0" w:color="auto"/>
            </w:tcBorders>
          </w:tcPr>
          <w:p w:rsidR="00E64CEF" w:rsidRDefault="00E64CEF" w:rsidP="00A506D2">
            <w:pPr>
              <w:pStyle w:val="Table2"/>
              <w:jc w:val="center"/>
            </w:pPr>
            <w:r>
              <w:t>0.005 mg/kg</w:t>
            </w:r>
          </w:p>
        </w:tc>
      </w:tr>
      <w:tr w:rsidR="00E64CEF" w:rsidTr="00A506D2">
        <w:trPr>
          <w:cantSplit/>
          <w:jc w:val="center"/>
        </w:trPr>
        <w:tc>
          <w:tcPr>
            <w:tcW w:w="3213" w:type="dxa"/>
            <w:tcBorders>
              <w:top w:val="nil"/>
              <w:left w:val="single" w:sz="4" w:space="0" w:color="auto"/>
              <w:bottom w:val="single" w:sz="4" w:space="0" w:color="auto"/>
              <w:right w:val="single" w:sz="4" w:space="0" w:color="auto"/>
            </w:tcBorders>
          </w:tcPr>
          <w:p w:rsidR="00E64CEF" w:rsidRPr="00737B67" w:rsidRDefault="00E64CEF" w:rsidP="00A506D2">
            <w:pPr>
              <w:pStyle w:val="Table2"/>
            </w:pPr>
          </w:p>
        </w:tc>
        <w:tc>
          <w:tcPr>
            <w:tcW w:w="3304"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555"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3213" w:type="dxa"/>
            <w:tcBorders>
              <w:top w:val="nil"/>
              <w:left w:val="single" w:sz="4" w:space="0" w:color="auto"/>
              <w:bottom w:val="nil"/>
              <w:right w:val="single" w:sz="4" w:space="0" w:color="auto"/>
            </w:tcBorders>
          </w:tcPr>
          <w:p w:rsidR="00E64CEF" w:rsidRPr="00737B67" w:rsidRDefault="00E64CEF" w:rsidP="00A506D2">
            <w:pPr>
              <w:pStyle w:val="Table2"/>
            </w:pPr>
            <w:r w:rsidRPr="00737B67">
              <w:t>Polychlorinated biphenyls, total</w:t>
            </w:r>
          </w:p>
        </w:tc>
        <w:tc>
          <w:tcPr>
            <w:tcW w:w="3304" w:type="dxa"/>
            <w:tcBorders>
              <w:top w:val="nil"/>
              <w:left w:val="single" w:sz="4" w:space="0" w:color="auto"/>
              <w:bottom w:val="nil"/>
              <w:right w:val="single" w:sz="4" w:space="0" w:color="auto"/>
            </w:tcBorders>
          </w:tcPr>
          <w:p w:rsidR="00E64CEF" w:rsidRDefault="00E64CEF" w:rsidP="00A506D2">
            <w:pPr>
              <w:pStyle w:val="Table2"/>
              <w:rPr>
                <w:b/>
              </w:rPr>
            </w:pPr>
            <w:r>
              <w:t>Mammalian fat</w:t>
            </w:r>
          </w:p>
        </w:tc>
        <w:tc>
          <w:tcPr>
            <w:tcW w:w="2555" w:type="dxa"/>
            <w:tcBorders>
              <w:top w:val="nil"/>
              <w:left w:val="single" w:sz="4" w:space="0" w:color="auto"/>
              <w:bottom w:val="nil"/>
              <w:right w:val="single" w:sz="4" w:space="0" w:color="auto"/>
            </w:tcBorders>
          </w:tcPr>
          <w:p w:rsidR="00E64CEF" w:rsidRDefault="00E64CEF" w:rsidP="00A506D2">
            <w:pPr>
              <w:pStyle w:val="Table2"/>
              <w:jc w:val="center"/>
              <w:rPr>
                <w:b/>
              </w:rPr>
            </w:pPr>
            <w:r>
              <w:t>0.2 mg/kg</w:t>
            </w:r>
          </w:p>
        </w:tc>
      </w:tr>
      <w:tr w:rsidR="00E64CEF" w:rsidTr="00A506D2">
        <w:trPr>
          <w:cantSplit/>
          <w:jc w:val="center"/>
        </w:trPr>
        <w:tc>
          <w:tcPr>
            <w:tcW w:w="3213" w:type="dxa"/>
            <w:tcBorders>
              <w:top w:val="nil"/>
              <w:left w:val="single" w:sz="4" w:space="0" w:color="auto"/>
              <w:bottom w:val="nil"/>
              <w:right w:val="single" w:sz="4" w:space="0" w:color="auto"/>
            </w:tcBorders>
          </w:tcPr>
          <w:p w:rsidR="00E64CEF" w:rsidRPr="00737B67" w:rsidRDefault="00E64CEF" w:rsidP="00A506D2">
            <w:pPr>
              <w:pStyle w:val="Table2"/>
            </w:pPr>
          </w:p>
        </w:tc>
        <w:tc>
          <w:tcPr>
            <w:tcW w:w="3304" w:type="dxa"/>
            <w:tcBorders>
              <w:top w:val="nil"/>
              <w:left w:val="single" w:sz="4" w:space="0" w:color="auto"/>
              <w:bottom w:val="nil"/>
              <w:right w:val="single" w:sz="4" w:space="0" w:color="auto"/>
            </w:tcBorders>
          </w:tcPr>
          <w:p w:rsidR="00E64CEF" w:rsidRDefault="00E64CEF" w:rsidP="00A506D2">
            <w:pPr>
              <w:pStyle w:val="Table2"/>
            </w:pPr>
            <w:r>
              <w:t>Poultry fat</w:t>
            </w:r>
          </w:p>
        </w:tc>
        <w:tc>
          <w:tcPr>
            <w:tcW w:w="2555" w:type="dxa"/>
            <w:tcBorders>
              <w:top w:val="nil"/>
              <w:left w:val="single" w:sz="4" w:space="0" w:color="auto"/>
              <w:bottom w:val="nil"/>
              <w:right w:val="single" w:sz="4" w:space="0" w:color="auto"/>
            </w:tcBorders>
          </w:tcPr>
          <w:p w:rsidR="00E64CEF" w:rsidRDefault="00E64CEF" w:rsidP="00A506D2">
            <w:pPr>
              <w:pStyle w:val="Table2"/>
              <w:jc w:val="center"/>
            </w:pPr>
            <w:r>
              <w:t>0.2 mg/kg</w:t>
            </w:r>
          </w:p>
        </w:tc>
      </w:tr>
      <w:tr w:rsidR="00E64CEF" w:rsidTr="00A506D2">
        <w:trPr>
          <w:cantSplit/>
          <w:jc w:val="center"/>
        </w:trPr>
        <w:tc>
          <w:tcPr>
            <w:tcW w:w="3213" w:type="dxa"/>
            <w:tcBorders>
              <w:top w:val="nil"/>
              <w:left w:val="single" w:sz="4" w:space="0" w:color="auto"/>
              <w:right w:val="single" w:sz="4" w:space="0" w:color="auto"/>
            </w:tcBorders>
          </w:tcPr>
          <w:p w:rsidR="00E64CEF" w:rsidRPr="00737B67" w:rsidRDefault="00E64CEF" w:rsidP="00A506D2">
            <w:pPr>
              <w:pStyle w:val="Table2"/>
            </w:pPr>
          </w:p>
        </w:tc>
        <w:tc>
          <w:tcPr>
            <w:tcW w:w="3304" w:type="dxa"/>
            <w:tcBorders>
              <w:top w:val="nil"/>
              <w:left w:val="single" w:sz="4" w:space="0" w:color="auto"/>
              <w:right w:val="single" w:sz="4" w:space="0" w:color="auto"/>
            </w:tcBorders>
          </w:tcPr>
          <w:p w:rsidR="00E64CEF" w:rsidRDefault="00E64CEF" w:rsidP="00A506D2">
            <w:pPr>
              <w:pStyle w:val="Table2"/>
            </w:pPr>
            <w:r>
              <w:t>Milk and milk products</w:t>
            </w:r>
          </w:p>
        </w:tc>
        <w:tc>
          <w:tcPr>
            <w:tcW w:w="2555" w:type="dxa"/>
            <w:tcBorders>
              <w:top w:val="nil"/>
              <w:left w:val="single" w:sz="4" w:space="0" w:color="auto"/>
              <w:right w:val="single" w:sz="4" w:space="0" w:color="auto"/>
            </w:tcBorders>
          </w:tcPr>
          <w:p w:rsidR="00E64CEF" w:rsidRDefault="00E64CEF" w:rsidP="00A506D2">
            <w:pPr>
              <w:pStyle w:val="Table2"/>
              <w:jc w:val="center"/>
            </w:pPr>
            <w:r>
              <w:t>0.2 mg/kg</w:t>
            </w:r>
          </w:p>
        </w:tc>
      </w:tr>
      <w:tr w:rsidR="00E64CEF" w:rsidTr="00A506D2">
        <w:trPr>
          <w:cantSplit/>
          <w:jc w:val="center"/>
        </w:trPr>
        <w:tc>
          <w:tcPr>
            <w:tcW w:w="3213" w:type="dxa"/>
            <w:tcBorders>
              <w:top w:val="nil"/>
              <w:left w:val="single" w:sz="4" w:space="0" w:color="auto"/>
              <w:bottom w:val="nil"/>
              <w:right w:val="single" w:sz="4" w:space="0" w:color="auto"/>
            </w:tcBorders>
          </w:tcPr>
          <w:p w:rsidR="00E64CEF" w:rsidRPr="00737B67" w:rsidRDefault="00E64CEF" w:rsidP="00A506D2">
            <w:pPr>
              <w:pStyle w:val="Table2"/>
            </w:pPr>
          </w:p>
        </w:tc>
        <w:tc>
          <w:tcPr>
            <w:tcW w:w="3304" w:type="dxa"/>
            <w:tcBorders>
              <w:top w:val="nil"/>
              <w:left w:val="single" w:sz="4" w:space="0" w:color="auto"/>
              <w:bottom w:val="nil"/>
              <w:right w:val="single" w:sz="4" w:space="0" w:color="auto"/>
            </w:tcBorders>
          </w:tcPr>
          <w:p w:rsidR="00E64CEF" w:rsidRDefault="00E64CEF" w:rsidP="00A506D2">
            <w:pPr>
              <w:pStyle w:val="Table2"/>
            </w:pPr>
            <w:r>
              <w:t>Eggs</w:t>
            </w:r>
          </w:p>
        </w:tc>
        <w:tc>
          <w:tcPr>
            <w:tcW w:w="2555" w:type="dxa"/>
            <w:tcBorders>
              <w:top w:val="nil"/>
              <w:left w:val="single" w:sz="4" w:space="0" w:color="auto"/>
              <w:bottom w:val="nil"/>
              <w:right w:val="single" w:sz="4" w:space="0" w:color="auto"/>
            </w:tcBorders>
          </w:tcPr>
          <w:p w:rsidR="00E64CEF" w:rsidRDefault="00E64CEF" w:rsidP="00A506D2">
            <w:pPr>
              <w:pStyle w:val="Table2"/>
              <w:jc w:val="center"/>
            </w:pPr>
            <w:r>
              <w:t>0.2 mg/kg</w:t>
            </w:r>
          </w:p>
        </w:tc>
      </w:tr>
      <w:tr w:rsidR="00E64CEF" w:rsidTr="00A506D2">
        <w:trPr>
          <w:cantSplit/>
          <w:jc w:val="center"/>
        </w:trPr>
        <w:tc>
          <w:tcPr>
            <w:tcW w:w="3213" w:type="dxa"/>
            <w:tcBorders>
              <w:top w:val="nil"/>
              <w:left w:val="single" w:sz="4" w:space="0" w:color="auto"/>
              <w:right w:val="single" w:sz="4" w:space="0" w:color="auto"/>
            </w:tcBorders>
          </w:tcPr>
          <w:p w:rsidR="00E64CEF" w:rsidRPr="00737B67" w:rsidRDefault="00E64CEF" w:rsidP="00A506D2">
            <w:pPr>
              <w:pStyle w:val="Table2"/>
            </w:pPr>
          </w:p>
        </w:tc>
        <w:tc>
          <w:tcPr>
            <w:tcW w:w="3304" w:type="dxa"/>
            <w:tcBorders>
              <w:top w:val="nil"/>
              <w:left w:val="single" w:sz="4" w:space="0" w:color="auto"/>
              <w:right w:val="single" w:sz="4" w:space="0" w:color="auto"/>
            </w:tcBorders>
          </w:tcPr>
          <w:p w:rsidR="00E64CEF" w:rsidRDefault="00E64CEF" w:rsidP="00A506D2">
            <w:pPr>
              <w:pStyle w:val="Table2"/>
            </w:pPr>
            <w:r>
              <w:t>Fish</w:t>
            </w:r>
          </w:p>
        </w:tc>
        <w:tc>
          <w:tcPr>
            <w:tcW w:w="2555" w:type="dxa"/>
            <w:tcBorders>
              <w:top w:val="nil"/>
              <w:left w:val="single" w:sz="4" w:space="0" w:color="auto"/>
              <w:right w:val="single" w:sz="4" w:space="0" w:color="auto"/>
            </w:tcBorders>
          </w:tcPr>
          <w:p w:rsidR="00E64CEF" w:rsidRDefault="00E64CEF" w:rsidP="00A506D2">
            <w:pPr>
              <w:pStyle w:val="Table2"/>
              <w:jc w:val="center"/>
            </w:pPr>
            <w:r>
              <w:t>0.5 mg/kg</w:t>
            </w:r>
          </w:p>
        </w:tc>
      </w:tr>
      <w:tr w:rsidR="00E64CEF" w:rsidTr="00A506D2">
        <w:trPr>
          <w:cantSplit/>
          <w:jc w:val="center"/>
        </w:trPr>
        <w:tc>
          <w:tcPr>
            <w:tcW w:w="3213" w:type="dxa"/>
            <w:tcBorders>
              <w:top w:val="nil"/>
              <w:left w:val="single" w:sz="4" w:space="0" w:color="auto"/>
              <w:bottom w:val="single" w:sz="4" w:space="0" w:color="auto"/>
              <w:right w:val="single" w:sz="4" w:space="0" w:color="auto"/>
            </w:tcBorders>
          </w:tcPr>
          <w:p w:rsidR="00E64CEF" w:rsidRPr="00737B67" w:rsidRDefault="00E64CEF" w:rsidP="00A506D2">
            <w:pPr>
              <w:pStyle w:val="Table2"/>
            </w:pPr>
          </w:p>
        </w:tc>
        <w:tc>
          <w:tcPr>
            <w:tcW w:w="3304"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555"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3213" w:type="dxa"/>
            <w:tcBorders>
              <w:top w:val="nil"/>
              <w:left w:val="single" w:sz="4" w:space="0" w:color="auto"/>
              <w:bottom w:val="nil"/>
              <w:right w:val="single" w:sz="4" w:space="0" w:color="auto"/>
            </w:tcBorders>
          </w:tcPr>
          <w:p w:rsidR="00E64CEF" w:rsidRPr="00737B67" w:rsidRDefault="00E64CEF" w:rsidP="00A506D2">
            <w:pPr>
              <w:pStyle w:val="Table2"/>
            </w:pPr>
            <w:r w:rsidRPr="00737B67">
              <w:t>Vinyl chloride</w:t>
            </w:r>
          </w:p>
        </w:tc>
        <w:tc>
          <w:tcPr>
            <w:tcW w:w="3304" w:type="dxa"/>
            <w:tcBorders>
              <w:top w:val="nil"/>
              <w:left w:val="single" w:sz="4" w:space="0" w:color="auto"/>
              <w:bottom w:val="nil"/>
              <w:right w:val="single" w:sz="4" w:space="0" w:color="auto"/>
            </w:tcBorders>
          </w:tcPr>
          <w:p w:rsidR="00E64CEF" w:rsidRDefault="00E64CEF" w:rsidP="00A506D2">
            <w:pPr>
              <w:pStyle w:val="Table2"/>
            </w:pPr>
            <w:r>
              <w:t>All food</w:t>
            </w:r>
          </w:p>
        </w:tc>
        <w:tc>
          <w:tcPr>
            <w:tcW w:w="2555" w:type="dxa"/>
            <w:tcBorders>
              <w:top w:val="nil"/>
              <w:left w:val="single" w:sz="4" w:space="0" w:color="auto"/>
              <w:bottom w:val="nil"/>
              <w:right w:val="single" w:sz="4" w:space="0" w:color="auto"/>
            </w:tcBorders>
          </w:tcPr>
          <w:p w:rsidR="00E64CEF" w:rsidRDefault="00E64CEF" w:rsidP="00A506D2">
            <w:pPr>
              <w:pStyle w:val="Table2"/>
              <w:jc w:val="center"/>
            </w:pPr>
            <w:r>
              <w:t>0.01 mg/kg</w:t>
            </w:r>
          </w:p>
        </w:tc>
      </w:tr>
      <w:tr w:rsidR="00E64CEF" w:rsidTr="00A506D2">
        <w:trPr>
          <w:cantSplit/>
          <w:jc w:val="center"/>
        </w:trPr>
        <w:tc>
          <w:tcPr>
            <w:tcW w:w="3213" w:type="dxa"/>
            <w:tcBorders>
              <w:top w:val="nil"/>
              <w:left w:val="single" w:sz="4" w:space="0" w:color="auto"/>
              <w:bottom w:val="single" w:sz="4" w:space="0" w:color="auto"/>
              <w:right w:val="single" w:sz="4" w:space="0" w:color="auto"/>
            </w:tcBorders>
          </w:tcPr>
          <w:p w:rsidR="00E64CEF" w:rsidRPr="00737B67" w:rsidRDefault="00E64CEF" w:rsidP="00A506D2">
            <w:pPr>
              <w:pStyle w:val="Table2"/>
            </w:pPr>
          </w:p>
        </w:tc>
        <w:tc>
          <w:tcPr>
            <w:tcW w:w="3304"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555"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bl>
    <w:p w:rsidR="00E64CEF" w:rsidRPr="000A6D2C" w:rsidRDefault="00E64CEF" w:rsidP="00E64CEF">
      <w:pPr>
        <w:rPr>
          <w:sz w:val="20"/>
          <w:szCs w:val="20"/>
        </w:rPr>
      </w:pPr>
    </w:p>
    <w:p w:rsidR="00E64CEF" w:rsidRPr="000A6D2C" w:rsidRDefault="00E64CEF" w:rsidP="00E64CEF">
      <w:pPr>
        <w:pStyle w:val="Clause"/>
        <w:rPr>
          <w:i/>
        </w:rPr>
      </w:pPr>
      <w:r w:rsidRPr="000A6D2C">
        <w:t>[17.10]</w:t>
      </w:r>
      <w:r w:rsidRPr="000A6D2C">
        <w:tab/>
      </w:r>
      <w:r w:rsidRPr="000A6D2C">
        <w:rPr>
          <w:i/>
        </w:rPr>
        <w:t xml:space="preserve">omitting the definition of </w:t>
      </w:r>
      <w:r w:rsidRPr="000A6D2C">
        <w:rPr>
          <w:b/>
        </w:rPr>
        <w:t xml:space="preserve">food </w:t>
      </w:r>
      <w:r w:rsidRPr="000A6D2C">
        <w:rPr>
          <w:i/>
        </w:rPr>
        <w:t xml:space="preserve">in subclause 4(1), substituting – </w:t>
      </w:r>
    </w:p>
    <w:p w:rsidR="00E64CEF" w:rsidRPr="000A6D2C" w:rsidRDefault="00E64CEF" w:rsidP="00E64CEF">
      <w:pPr>
        <w:rPr>
          <w:sz w:val="20"/>
          <w:szCs w:val="20"/>
        </w:rPr>
      </w:pPr>
    </w:p>
    <w:p w:rsidR="00E64CEF" w:rsidRPr="000A6D2C" w:rsidRDefault="00E64CEF" w:rsidP="00E64CEF">
      <w:pPr>
        <w:pStyle w:val="Definition"/>
        <w:rPr>
          <w:bCs/>
        </w:rPr>
      </w:pPr>
      <w:r w:rsidRPr="000A6D2C">
        <w:rPr>
          <w:b/>
          <w:bCs/>
        </w:rPr>
        <w:t xml:space="preserve">food </w:t>
      </w:r>
      <w:r w:rsidRPr="000A6D2C">
        <w:rPr>
          <w:bCs/>
        </w:rPr>
        <w:t>means the food or class of foods listed in Column 2 of the Table to this clause.</w:t>
      </w:r>
    </w:p>
    <w:p w:rsidR="00E64CEF" w:rsidRPr="000A6D2C" w:rsidRDefault="00E64CEF" w:rsidP="00E64CEF">
      <w:pPr>
        <w:pStyle w:val="Clause"/>
      </w:pPr>
    </w:p>
    <w:p w:rsidR="000A6D2C" w:rsidRDefault="00E64CEF" w:rsidP="00E64CEF">
      <w:pPr>
        <w:pStyle w:val="Clause"/>
        <w:rPr>
          <w:i/>
        </w:rPr>
      </w:pPr>
      <w:r w:rsidRPr="000A6D2C">
        <w:t>[17.11]</w:t>
      </w:r>
      <w:r w:rsidRPr="000A6D2C">
        <w:tab/>
      </w:r>
      <w:r w:rsidRPr="000A6D2C">
        <w:rPr>
          <w:i/>
        </w:rPr>
        <w:t xml:space="preserve">omitting </w:t>
      </w:r>
      <w:r w:rsidRPr="000A6D2C">
        <w:t xml:space="preserve">in bold type </w:t>
      </w:r>
      <w:r w:rsidRPr="000A6D2C">
        <w:rPr>
          <w:i/>
        </w:rPr>
        <w:t xml:space="preserve">from the definition of </w:t>
      </w:r>
      <w:r w:rsidRPr="000A6D2C">
        <w:rPr>
          <w:b/>
        </w:rPr>
        <w:t xml:space="preserve">natural toxicant from the addition of a flavouring substance </w:t>
      </w:r>
      <w:r w:rsidRPr="000A6D2C">
        <w:rPr>
          <w:i/>
        </w:rPr>
        <w:t>in subclause 4(1)</w:t>
      </w:r>
      <w:r w:rsidR="000A6D2C">
        <w:rPr>
          <w:i/>
        </w:rPr>
        <w:br w:type="page"/>
      </w:r>
    </w:p>
    <w:p w:rsidR="00E64CEF" w:rsidRPr="000A6D2C" w:rsidRDefault="00E64CEF" w:rsidP="00E64CEF">
      <w:pPr>
        <w:pStyle w:val="Clause"/>
        <w:rPr>
          <w:i/>
        </w:rPr>
      </w:pPr>
    </w:p>
    <w:p w:rsidR="00E64CEF" w:rsidRPr="000A6D2C" w:rsidRDefault="00E64CEF" w:rsidP="00E64CEF">
      <w:pPr>
        <w:rPr>
          <w:sz w:val="20"/>
          <w:szCs w:val="20"/>
        </w:rPr>
      </w:pPr>
    </w:p>
    <w:p w:rsidR="00E64CEF" w:rsidRPr="000A6D2C" w:rsidRDefault="00E64CEF" w:rsidP="00E64CEF">
      <w:pPr>
        <w:pStyle w:val="Clause"/>
        <w:rPr>
          <w:i/>
        </w:rPr>
      </w:pPr>
      <w:r w:rsidRPr="000A6D2C">
        <w:t>[17.12]</w:t>
      </w:r>
      <w:r w:rsidRPr="000A6D2C">
        <w:tab/>
      </w:r>
      <w:r w:rsidRPr="000A6D2C">
        <w:rPr>
          <w:i/>
        </w:rPr>
        <w:t xml:space="preserve">omitting subclauses 4(2) and 4(3), substituting – </w:t>
      </w:r>
    </w:p>
    <w:p w:rsidR="00E64CEF" w:rsidRPr="000A6D2C" w:rsidRDefault="00E64CEF" w:rsidP="00E64CEF">
      <w:pPr>
        <w:rPr>
          <w:sz w:val="20"/>
          <w:szCs w:val="20"/>
        </w:rPr>
      </w:pPr>
    </w:p>
    <w:p w:rsidR="00E64CEF" w:rsidRPr="000A6D2C" w:rsidRDefault="00E64CEF" w:rsidP="00E64CEF">
      <w:pPr>
        <w:pStyle w:val="Subclause"/>
      </w:pPr>
      <w:r w:rsidRPr="000A6D2C">
        <w:t>(2)</w:t>
      </w:r>
      <w:r w:rsidRPr="000A6D2C">
        <w:tab/>
        <w:t>The maximum levels for natural toxicants from the addition of a flavouring substance in food are listed in Column 3 of the Table to this clause.</w:t>
      </w:r>
    </w:p>
    <w:p w:rsidR="00E64CEF" w:rsidRPr="000A6D2C" w:rsidRDefault="00E64CEF" w:rsidP="00E64CEF">
      <w:pPr>
        <w:pStyle w:val="Subclause"/>
      </w:pPr>
    </w:p>
    <w:p w:rsidR="00E64CEF" w:rsidRPr="000A6D2C" w:rsidRDefault="00E64CEF" w:rsidP="00E64CEF">
      <w:pPr>
        <w:pStyle w:val="Subclause"/>
      </w:pPr>
      <w:r w:rsidRPr="000A6D2C">
        <w:t>(3)</w:t>
      </w:r>
      <w:r w:rsidRPr="000A6D2C">
        <w:tab/>
        <w:t>Where a mixed food contains a food or class of foods listed in Column 2 of the Table to this clause, the proportion of the natural toxicant from the addition of a flavouring substance permitted to be present in the mixed food (ML1) is calculated in accordance with the formula prescribed in subclause 1(6).</w:t>
      </w:r>
    </w:p>
    <w:p w:rsidR="00E64CEF" w:rsidRPr="000A6D2C" w:rsidRDefault="00E64CEF" w:rsidP="00E64CEF">
      <w:pPr>
        <w:rPr>
          <w:sz w:val="20"/>
          <w:szCs w:val="20"/>
        </w:rPr>
      </w:pPr>
    </w:p>
    <w:p w:rsidR="00E64CEF" w:rsidRPr="000A6D2C" w:rsidRDefault="00E64CEF" w:rsidP="00E64CEF">
      <w:pPr>
        <w:pStyle w:val="Clause"/>
      </w:pPr>
      <w:r w:rsidRPr="000A6D2C">
        <w:t>[17.13]</w:t>
      </w:r>
      <w:r w:rsidRPr="000A6D2C">
        <w:tab/>
      </w:r>
      <w:r w:rsidRPr="000A6D2C">
        <w:rPr>
          <w:i/>
        </w:rPr>
        <w:t xml:space="preserve">omitting the </w:t>
      </w:r>
      <w:r w:rsidRPr="000A6D2C">
        <w:t xml:space="preserve">Table to clause 4, </w:t>
      </w:r>
      <w:r w:rsidRPr="000A6D2C">
        <w:rPr>
          <w:i/>
        </w:rPr>
        <w:t xml:space="preserve">substituting </w:t>
      </w:r>
      <w:r w:rsidRPr="000A6D2C">
        <w:t xml:space="preserve">– </w:t>
      </w:r>
    </w:p>
    <w:p w:rsidR="00E64CEF" w:rsidRPr="000A6D2C" w:rsidRDefault="00E64CEF" w:rsidP="00E64CEF">
      <w:pPr>
        <w:rPr>
          <w:sz w:val="20"/>
          <w:szCs w:val="20"/>
        </w:rPr>
      </w:pPr>
    </w:p>
    <w:p w:rsidR="00E64CEF" w:rsidRPr="000A6D2C" w:rsidRDefault="00E64CEF" w:rsidP="00E64CEF">
      <w:pPr>
        <w:pStyle w:val="TableHeading"/>
      </w:pPr>
      <w:r w:rsidRPr="000A6D2C">
        <w:t>Table to clause 4</w:t>
      </w:r>
    </w:p>
    <w:p w:rsidR="00E64CEF" w:rsidRPr="000A6D2C" w:rsidRDefault="00E64CEF" w:rsidP="00E64CEF">
      <w:pPr>
        <w:rPr>
          <w:sz w:val="20"/>
          <w:szCs w:val="20"/>
        </w:rPr>
      </w:pP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9" w:type="dxa"/>
          <w:right w:w="79" w:type="dxa"/>
        </w:tblCellMar>
        <w:tblLook w:val="0000" w:firstRow="0" w:lastRow="0" w:firstColumn="0" w:lastColumn="0" w:noHBand="0" w:noVBand="0"/>
      </w:tblPr>
      <w:tblGrid>
        <w:gridCol w:w="2861"/>
        <w:gridCol w:w="3903"/>
        <w:gridCol w:w="2308"/>
      </w:tblGrid>
      <w:tr w:rsidR="00E64CEF" w:rsidTr="00A506D2">
        <w:trPr>
          <w:cantSplit/>
          <w:trHeight w:val="345"/>
          <w:jc w:val="center"/>
        </w:trPr>
        <w:tc>
          <w:tcPr>
            <w:tcW w:w="2861" w:type="dxa"/>
            <w:tcBorders>
              <w:top w:val="single" w:sz="4" w:space="0" w:color="auto"/>
              <w:left w:val="single" w:sz="4" w:space="0" w:color="auto"/>
              <w:bottom w:val="nil"/>
              <w:right w:val="single" w:sz="4" w:space="0" w:color="auto"/>
            </w:tcBorders>
          </w:tcPr>
          <w:p w:rsidR="00E64CEF" w:rsidRPr="00312A41" w:rsidRDefault="00E64CEF" w:rsidP="00A506D2">
            <w:pPr>
              <w:pStyle w:val="Table1"/>
            </w:pPr>
            <w:r w:rsidRPr="00312A41">
              <w:t>Column 1</w:t>
            </w:r>
          </w:p>
        </w:tc>
        <w:tc>
          <w:tcPr>
            <w:tcW w:w="3903" w:type="dxa"/>
            <w:tcBorders>
              <w:top w:val="single" w:sz="4" w:space="0" w:color="auto"/>
              <w:left w:val="single" w:sz="4" w:space="0" w:color="auto"/>
              <w:bottom w:val="nil"/>
              <w:right w:val="single" w:sz="4" w:space="0" w:color="auto"/>
            </w:tcBorders>
          </w:tcPr>
          <w:p w:rsidR="00E64CEF" w:rsidRPr="00312A41" w:rsidRDefault="00E64CEF" w:rsidP="00A506D2">
            <w:pPr>
              <w:pStyle w:val="Table1"/>
            </w:pPr>
            <w:r w:rsidRPr="00312A41">
              <w:t>Column 2</w:t>
            </w:r>
          </w:p>
        </w:tc>
        <w:tc>
          <w:tcPr>
            <w:tcW w:w="2308" w:type="dxa"/>
            <w:tcBorders>
              <w:top w:val="single" w:sz="4" w:space="0" w:color="auto"/>
              <w:left w:val="single" w:sz="4" w:space="0" w:color="auto"/>
              <w:bottom w:val="nil"/>
              <w:right w:val="single" w:sz="4" w:space="0" w:color="auto"/>
            </w:tcBorders>
          </w:tcPr>
          <w:p w:rsidR="00E64CEF" w:rsidRPr="00312A41" w:rsidRDefault="00E64CEF" w:rsidP="00A506D2">
            <w:pPr>
              <w:pStyle w:val="Table1"/>
            </w:pPr>
            <w:r w:rsidRPr="00312A41">
              <w:t>Column 3</w:t>
            </w:r>
          </w:p>
        </w:tc>
      </w:tr>
      <w:tr w:rsidR="00E64CEF" w:rsidTr="00A506D2">
        <w:trPr>
          <w:cantSplit/>
          <w:trHeight w:val="345"/>
          <w:jc w:val="center"/>
        </w:trPr>
        <w:tc>
          <w:tcPr>
            <w:tcW w:w="2861" w:type="dxa"/>
            <w:tcBorders>
              <w:top w:val="nil"/>
              <w:left w:val="single" w:sz="4" w:space="0" w:color="auto"/>
              <w:bottom w:val="single" w:sz="4" w:space="0" w:color="auto"/>
              <w:right w:val="single" w:sz="4" w:space="0" w:color="auto"/>
            </w:tcBorders>
          </w:tcPr>
          <w:p w:rsidR="00E64CEF" w:rsidRPr="00312A41" w:rsidRDefault="00E64CEF" w:rsidP="00A506D2">
            <w:pPr>
              <w:pStyle w:val="Table1"/>
            </w:pPr>
            <w:r w:rsidRPr="00312A41">
              <w:t>Toxicant</w:t>
            </w:r>
          </w:p>
        </w:tc>
        <w:tc>
          <w:tcPr>
            <w:tcW w:w="3903" w:type="dxa"/>
            <w:tcBorders>
              <w:top w:val="nil"/>
              <w:left w:val="single" w:sz="4" w:space="0" w:color="auto"/>
              <w:bottom w:val="single" w:sz="4" w:space="0" w:color="auto"/>
              <w:right w:val="single" w:sz="4" w:space="0" w:color="auto"/>
            </w:tcBorders>
          </w:tcPr>
          <w:p w:rsidR="00E64CEF" w:rsidRPr="00312A41" w:rsidRDefault="00E64CEF" w:rsidP="00A506D2">
            <w:pPr>
              <w:pStyle w:val="Table1"/>
            </w:pPr>
            <w:r w:rsidRPr="00312A41">
              <w:t>Food</w:t>
            </w:r>
          </w:p>
        </w:tc>
        <w:tc>
          <w:tcPr>
            <w:tcW w:w="2308" w:type="dxa"/>
            <w:tcBorders>
              <w:top w:val="nil"/>
              <w:left w:val="single" w:sz="4" w:space="0" w:color="auto"/>
              <w:bottom w:val="single" w:sz="4" w:space="0" w:color="auto"/>
              <w:right w:val="single" w:sz="4" w:space="0" w:color="auto"/>
            </w:tcBorders>
          </w:tcPr>
          <w:p w:rsidR="00E64CEF" w:rsidRPr="00312A41" w:rsidRDefault="00E64CEF" w:rsidP="00A506D2">
            <w:pPr>
              <w:pStyle w:val="Table1"/>
            </w:pPr>
            <w:r w:rsidRPr="00312A41">
              <w:t>Maximum level</w:t>
            </w: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312A41" w:rsidRDefault="00E64CEF" w:rsidP="00A506D2">
            <w:pPr>
              <w:pStyle w:val="Table2"/>
            </w:pPr>
            <w:r w:rsidRPr="00312A41">
              <w:t>Agaric acid</w:t>
            </w:r>
          </w:p>
        </w:tc>
        <w:tc>
          <w:tcPr>
            <w:tcW w:w="3903" w:type="dxa"/>
            <w:tcBorders>
              <w:top w:val="nil"/>
              <w:left w:val="single" w:sz="4" w:space="0" w:color="auto"/>
              <w:bottom w:val="nil"/>
              <w:right w:val="single" w:sz="4" w:space="0" w:color="auto"/>
            </w:tcBorders>
          </w:tcPr>
          <w:p w:rsidR="00E64CEF" w:rsidRPr="00312A41" w:rsidRDefault="00E64CEF" w:rsidP="00A506D2">
            <w:pPr>
              <w:pStyle w:val="Table2"/>
            </w:pPr>
            <w:r w:rsidRPr="00312A41">
              <w:t>Food containing mushrooms</w:t>
            </w:r>
          </w:p>
        </w:tc>
        <w:tc>
          <w:tcPr>
            <w:tcW w:w="2308" w:type="dxa"/>
            <w:tcBorders>
              <w:top w:val="nil"/>
              <w:left w:val="single" w:sz="4" w:space="0" w:color="auto"/>
              <w:bottom w:val="nil"/>
              <w:right w:val="single" w:sz="4" w:space="0" w:color="auto"/>
            </w:tcBorders>
          </w:tcPr>
          <w:p w:rsidR="00E64CEF" w:rsidRPr="00312A41" w:rsidRDefault="00E64CEF" w:rsidP="00A506D2">
            <w:pPr>
              <w:pStyle w:val="Table2"/>
              <w:jc w:val="center"/>
            </w:pPr>
            <w:r w:rsidRPr="00312A41">
              <w:t>100 mg/kg</w:t>
            </w: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312A41" w:rsidRDefault="00E64CEF" w:rsidP="00A506D2">
            <w:pPr>
              <w:pStyle w:val="Table2"/>
            </w:pPr>
          </w:p>
        </w:tc>
        <w:tc>
          <w:tcPr>
            <w:tcW w:w="3903" w:type="dxa"/>
            <w:tcBorders>
              <w:top w:val="nil"/>
              <w:left w:val="single" w:sz="4" w:space="0" w:color="auto"/>
              <w:bottom w:val="nil"/>
              <w:right w:val="single" w:sz="4" w:space="0" w:color="auto"/>
            </w:tcBorders>
          </w:tcPr>
          <w:p w:rsidR="00E64CEF" w:rsidRPr="00312A41" w:rsidRDefault="00E64CEF" w:rsidP="00A506D2">
            <w:pPr>
              <w:pStyle w:val="Table2"/>
            </w:pPr>
            <w:r w:rsidRPr="00312A41">
              <w:t>Alcoholic beverages</w:t>
            </w:r>
          </w:p>
        </w:tc>
        <w:tc>
          <w:tcPr>
            <w:tcW w:w="2308" w:type="dxa"/>
            <w:tcBorders>
              <w:top w:val="nil"/>
              <w:left w:val="single" w:sz="4" w:space="0" w:color="auto"/>
              <w:bottom w:val="nil"/>
              <w:right w:val="single" w:sz="4" w:space="0" w:color="auto"/>
            </w:tcBorders>
          </w:tcPr>
          <w:p w:rsidR="00E64CEF" w:rsidRPr="00312A41" w:rsidRDefault="00E64CEF" w:rsidP="00A506D2">
            <w:pPr>
              <w:pStyle w:val="Table2"/>
              <w:jc w:val="center"/>
            </w:pPr>
            <w:r w:rsidRPr="00312A41">
              <w:t>100 mg/kg</w:t>
            </w:r>
          </w:p>
        </w:tc>
      </w:tr>
      <w:tr w:rsidR="00E64CEF" w:rsidTr="00A506D2">
        <w:trPr>
          <w:cantSplit/>
          <w:jc w:val="center"/>
        </w:trPr>
        <w:tc>
          <w:tcPr>
            <w:tcW w:w="2861" w:type="dxa"/>
            <w:tcBorders>
              <w:top w:val="nil"/>
              <w:left w:val="single" w:sz="4" w:space="0" w:color="auto"/>
              <w:bottom w:val="single" w:sz="4" w:space="0" w:color="auto"/>
              <w:right w:val="single" w:sz="4" w:space="0" w:color="auto"/>
            </w:tcBorders>
          </w:tcPr>
          <w:p w:rsidR="00E64CEF" w:rsidRPr="00520808" w:rsidRDefault="00E64CEF" w:rsidP="00A506D2">
            <w:pPr>
              <w:pStyle w:val="Table2"/>
            </w:pPr>
          </w:p>
        </w:tc>
        <w:tc>
          <w:tcPr>
            <w:tcW w:w="3903"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308"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r w:rsidRPr="00520808">
              <w:t>Aloin</w:t>
            </w:r>
          </w:p>
        </w:tc>
        <w:tc>
          <w:tcPr>
            <w:tcW w:w="3903" w:type="dxa"/>
            <w:tcBorders>
              <w:top w:val="nil"/>
              <w:left w:val="single" w:sz="4" w:space="0" w:color="auto"/>
              <w:bottom w:val="nil"/>
              <w:right w:val="single" w:sz="4" w:space="0" w:color="auto"/>
            </w:tcBorders>
          </w:tcPr>
          <w:p w:rsidR="00E64CEF" w:rsidRDefault="00E64CEF" w:rsidP="00A506D2">
            <w:pPr>
              <w:pStyle w:val="Table2"/>
            </w:pPr>
            <w:r>
              <w:t>Alcoholic beverages</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50 mg/kg</w:t>
            </w:r>
          </w:p>
        </w:tc>
      </w:tr>
      <w:tr w:rsidR="00E64CEF" w:rsidTr="00A506D2">
        <w:trPr>
          <w:cantSplit/>
          <w:jc w:val="center"/>
        </w:trPr>
        <w:tc>
          <w:tcPr>
            <w:tcW w:w="2861" w:type="dxa"/>
            <w:tcBorders>
              <w:top w:val="nil"/>
              <w:left w:val="single" w:sz="4" w:space="0" w:color="auto"/>
              <w:bottom w:val="single" w:sz="4" w:space="0" w:color="auto"/>
              <w:right w:val="single" w:sz="4" w:space="0" w:color="auto"/>
            </w:tcBorders>
          </w:tcPr>
          <w:p w:rsidR="00E64CEF" w:rsidRPr="00520808" w:rsidRDefault="00E64CEF" w:rsidP="00A506D2">
            <w:pPr>
              <w:pStyle w:val="Table2"/>
            </w:pPr>
          </w:p>
        </w:tc>
        <w:tc>
          <w:tcPr>
            <w:tcW w:w="3903"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308"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r w:rsidRPr="00520808">
              <w:t>Berberine</w:t>
            </w:r>
          </w:p>
        </w:tc>
        <w:tc>
          <w:tcPr>
            <w:tcW w:w="3903" w:type="dxa"/>
            <w:tcBorders>
              <w:top w:val="nil"/>
              <w:left w:val="single" w:sz="4" w:space="0" w:color="auto"/>
              <w:bottom w:val="nil"/>
              <w:right w:val="single" w:sz="4" w:space="0" w:color="auto"/>
            </w:tcBorders>
          </w:tcPr>
          <w:p w:rsidR="00E64CEF" w:rsidRDefault="00E64CEF" w:rsidP="00A506D2">
            <w:pPr>
              <w:pStyle w:val="Table2"/>
            </w:pPr>
            <w:r>
              <w:t>Alcoholic beverages</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10 mg/kg</w:t>
            </w:r>
          </w:p>
        </w:tc>
      </w:tr>
      <w:tr w:rsidR="00E64CEF" w:rsidTr="00A506D2">
        <w:trPr>
          <w:cantSplit/>
          <w:jc w:val="center"/>
        </w:trPr>
        <w:tc>
          <w:tcPr>
            <w:tcW w:w="2861" w:type="dxa"/>
            <w:tcBorders>
              <w:top w:val="nil"/>
              <w:left w:val="single" w:sz="4" w:space="0" w:color="auto"/>
              <w:bottom w:val="single" w:sz="4" w:space="0" w:color="auto"/>
              <w:right w:val="single" w:sz="4" w:space="0" w:color="auto"/>
            </w:tcBorders>
          </w:tcPr>
          <w:p w:rsidR="00E64CEF" w:rsidRPr="00520808" w:rsidRDefault="00E64CEF" w:rsidP="00A506D2">
            <w:pPr>
              <w:pStyle w:val="Table2"/>
            </w:pPr>
          </w:p>
        </w:tc>
        <w:tc>
          <w:tcPr>
            <w:tcW w:w="3903"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308"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r w:rsidRPr="00520808">
              <w:t>Coumarin</w:t>
            </w:r>
          </w:p>
        </w:tc>
        <w:tc>
          <w:tcPr>
            <w:tcW w:w="3903" w:type="dxa"/>
            <w:tcBorders>
              <w:top w:val="nil"/>
              <w:left w:val="single" w:sz="4" w:space="0" w:color="auto"/>
              <w:bottom w:val="nil"/>
              <w:right w:val="single" w:sz="4" w:space="0" w:color="auto"/>
            </w:tcBorders>
          </w:tcPr>
          <w:p w:rsidR="00E64CEF" w:rsidRDefault="00E64CEF" w:rsidP="00A506D2">
            <w:pPr>
              <w:pStyle w:val="Table2"/>
            </w:pPr>
            <w:r>
              <w:t>Alcoholic beverages</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10 mg/kg</w:t>
            </w:r>
          </w:p>
        </w:tc>
      </w:tr>
      <w:tr w:rsidR="00E64CEF" w:rsidTr="00A506D2">
        <w:trPr>
          <w:cantSplit/>
          <w:jc w:val="center"/>
        </w:trPr>
        <w:tc>
          <w:tcPr>
            <w:tcW w:w="2861" w:type="dxa"/>
            <w:tcBorders>
              <w:top w:val="nil"/>
              <w:left w:val="single" w:sz="4" w:space="0" w:color="auto"/>
              <w:bottom w:val="single" w:sz="4" w:space="0" w:color="auto"/>
              <w:right w:val="single" w:sz="4" w:space="0" w:color="auto"/>
            </w:tcBorders>
          </w:tcPr>
          <w:p w:rsidR="00E64CEF" w:rsidRPr="00520808" w:rsidRDefault="00E64CEF" w:rsidP="00A506D2">
            <w:pPr>
              <w:pStyle w:val="Table2"/>
            </w:pPr>
          </w:p>
        </w:tc>
        <w:tc>
          <w:tcPr>
            <w:tcW w:w="3903"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308"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r w:rsidRPr="00520808">
              <w:t>Hydrocyanic acid, total</w:t>
            </w:r>
          </w:p>
        </w:tc>
        <w:tc>
          <w:tcPr>
            <w:tcW w:w="3903" w:type="dxa"/>
            <w:tcBorders>
              <w:top w:val="nil"/>
              <w:left w:val="single" w:sz="4" w:space="0" w:color="auto"/>
              <w:bottom w:val="nil"/>
              <w:right w:val="single" w:sz="4" w:space="0" w:color="auto"/>
            </w:tcBorders>
          </w:tcPr>
          <w:p w:rsidR="00E64CEF" w:rsidRDefault="00E64CEF" w:rsidP="00A506D2">
            <w:pPr>
              <w:pStyle w:val="Table2"/>
            </w:pPr>
            <w:r>
              <w:t>Confectionery</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25 mg/kg</w:t>
            </w: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p>
        </w:tc>
        <w:tc>
          <w:tcPr>
            <w:tcW w:w="3903" w:type="dxa"/>
            <w:tcBorders>
              <w:top w:val="nil"/>
              <w:left w:val="single" w:sz="4" w:space="0" w:color="auto"/>
              <w:bottom w:val="nil"/>
              <w:right w:val="single" w:sz="4" w:space="0" w:color="auto"/>
            </w:tcBorders>
          </w:tcPr>
          <w:p w:rsidR="00E64CEF" w:rsidRPr="00312A41" w:rsidRDefault="00E64CEF" w:rsidP="00A506D2">
            <w:pPr>
              <w:pStyle w:val="Table2"/>
            </w:pPr>
            <w:r w:rsidRPr="00312A41">
              <w:t>Stone fruit juices</w:t>
            </w:r>
          </w:p>
        </w:tc>
        <w:tc>
          <w:tcPr>
            <w:tcW w:w="2308" w:type="dxa"/>
            <w:tcBorders>
              <w:top w:val="nil"/>
              <w:left w:val="single" w:sz="4" w:space="0" w:color="auto"/>
              <w:bottom w:val="nil"/>
              <w:right w:val="single" w:sz="4" w:space="0" w:color="auto"/>
            </w:tcBorders>
          </w:tcPr>
          <w:p w:rsidR="00E64CEF" w:rsidRPr="00312A41" w:rsidRDefault="00E64CEF" w:rsidP="00A506D2">
            <w:pPr>
              <w:pStyle w:val="Table2"/>
              <w:jc w:val="center"/>
            </w:pPr>
            <w:r w:rsidRPr="00312A41">
              <w:t>5 mg/kg</w:t>
            </w: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p>
        </w:tc>
        <w:tc>
          <w:tcPr>
            <w:tcW w:w="3903" w:type="dxa"/>
            <w:tcBorders>
              <w:top w:val="nil"/>
              <w:left w:val="single" w:sz="4" w:space="0" w:color="auto"/>
              <w:bottom w:val="nil"/>
              <w:right w:val="single" w:sz="4" w:space="0" w:color="auto"/>
            </w:tcBorders>
          </w:tcPr>
          <w:p w:rsidR="00E64CEF" w:rsidRPr="00312A41" w:rsidRDefault="00E64CEF" w:rsidP="00A506D2">
            <w:pPr>
              <w:pStyle w:val="Table2"/>
            </w:pPr>
            <w:r w:rsidRPr="00312A41">
              <w:t>Marzipan</w:t>
            </w:r>
          </w:p>
        </w:tc>
        <w:tc>
          <w:tcPr>
            <w:tcW w:w="2308" w:type="dxa"/>
            <w:tcBorders>
              <w:top w:val="nil"/>
              <w:left w:val="single" w:sz="4" w:space="0" w:color="auto"/>
              <w:bottom w:val="nil"/>
              <w:right w:val="single" w:sz="4" w:space="0" w:color="auto"/>
            </w:tcBorders>
          </w:tcPr>
          <w:p w:rsidR="00E64CEF" w:rsidRPr="00312A41" w:rsidRDefault="00E64CEF" w:rsidP="00A506D2">
            <w:pPr>
              <w:pStyle w:val="Table2"/>
              <w:jc w:val="center"/>
            </w:pPr>
            <w:r w:rsidRPr="00312A41">
              <w:t>50 mg/kg</w:t>
            </w: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p>
        </w:tc>
        <w:tc>
          <w:tcPr>
            <w:tcW w:w="3903" w:type="dxa"/>
            <w:tcBorders>
              <w:top w:val="nil"/>
              <w:left w:val="single" w:sz="4" w:space="0" w:color="auto"/>
              <w:bottom w:val="nil"/>
              <w:right w:val="single" w:sz="4" w:space="0" w:color="auto"/>
            </w:tcBorders>
          </w:tcPr>
          <w:p w:rsidR="00E64CEF" w:rsidRPr="00312A41" w:rsidRDefault="00E64CEF" w:rsidP="00A506D2">
            <w:pPr>
              <w:pStyle w:val="Table2"/>
            </w:pPr>
            <w:r w:rsidRPr="00312A41">
              <w:t>Alcoholic beverages</w:t>
            </w:r>
          </w:p>
        </w:tc>
        <w:tc>
          <w:tcPr>
            <w:tcW w:w="2308" w:type="dxa"/>
            <w:tcBorders>
              <w:top w:val="nil"/>
              <w:left w:val="single" w:sz="4" w:space="0" w:color="auto"/>
              <w:bottom w:val="nil"/>
              <w:right w:val="single" w:sz="4" w:space="0" w:color="auto"/>
            </w:tcBorders>
          </w:tcPr>
          <w:p w:rsidR="00E64CEF" w:rsidRPr="00312A41" w:rsidRDefault="00E64CEF" w:rsidP="00A506D2">
            <w:pPr>
              <w:pStyle w:val="Table2"/>
              <w:jc w:val="center"/>
            </w:pPr>
            <w:r w:rsidRPr="00312A41">
              <w:t>1</w:t>
            </w:r>
            <w:r>
              <w:t xml:space="preserve"> </w:t>
            </w:r>
            <w:r w:rsidRPr="00312A41">
              <w:t>mg per 1% alcohol content</w:t>
            </w:r>
          </w:p>
        </w:tc>
      </w:tr>
      <w:tr w:rsidR="00E64CEF" w:rsidTr="00A506D2">
        <w:trPr>
          <w:cantSplit/>
          <w:jc w:val="center"/>
        </w:trPr>
        <w:tc>
          <w:tcPr>
            <w:tcW w:w="2861" w:type="dxa"/>
            <w:tcBorders>
              <w:top w:val="nil"/>
              <w:left w:val="single" w:sz="4" w:space="0" w:color="auto"/>
              <w:bottom w:val="single" w:sz="4" w:space="0" w:color="auto"/>
              <w:right w:val="single" w:sz="4" w:space="0" w:color="auto"/>
            </w:tcBorders>
          </w:tcPr>
          <w:p w:rsidR="00E64CEF" w:rsidRPr="00520808" w:rsidRDefault="00E64CEF" w:rsidP="00A506D2">
            <w:pPr>
              <w:pStyle w:val="Table2"/>
            </w:pPr>
          </w:p>
        </w:tc>
        <w:tc>
          <w:tcPr>
            <w:tcW w:w="3903"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308"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r w:rsidRPr="00520808">
              <w:t>Hypericine</w:t>
            </w:r>
          </w:p>
        </w:tc>
        <w:tc>
          <w:tcPr>
            <w:tcW w:w="3903" w:type="dxa"/>
            <w:tcBorders>
              <w:top w:val="nil"/>
              <w:left w:val="single" w:sz="4" w:space="0" w:color="auto"/>
              <w:bottom w:val="nil"/>
              <w:right w:val="single" w:sz="4" w:space="0" w:color="auto"/>
            </w:tcBorders>
          </w:tcPr>
          <w:p w:rsidR="00E64CEF" w:rsidRDefault="00E64CEF" w:rsidP="00A506D2">
            <w:pPr>
              <w:pStyle w:val="Table2"/>
            </w:pPr>
            <w:r>
              <w:t>Alcoholic beverages</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2 mg/kg</w:t>
            </w:r>
          </w:p>
        </w:tc>
      </w:tr>
      <w:tr w:rsidR="00E64CEF" w:rsidTr="00A506D2">
        <w:trPr>
          <w:cantSplit/>
          <w:jc w:val="center"/>
        </w:trPr>
        <w:tc>
          <w:tcPr>
            <w:tcW w:w="2861" w:type="dxa"/>
            <w:tcBorders>
              <w:top w:val="nil"/>
              <w:left w:val="single" w:sz="4" w:space="0" w:color="auto"/>
              <w:bottom w:val="single" w:sz="4" w:space="0" w:color="auto"/>
              <w:right w:val="single" w:sz="4" w:space="0" w:color="auto"/>
            </w:tcBorders>
          </w:tcPr>
          <w:p w:rsidR="00E64CEF" w:rsidRPr="00520808" w:rsidRDefault="00E64CEF" w:rsidP="00A506D2">
            <w:pPr>
              <w:pStyle w:val="Table2"/>
            </w:pPr>
          </w:p>
        </w:tc>
        <w:tc>
          <w:tcPr>
            <w:tcW w:w="3903" w:type="dxa"/>
            <w:tcBorders>
              <w:top w:val="nil"/>
              <w:left w:val="single" w:sz="4" w:space="0" w:color="auto"/>
              <w:bottom w:val="single" w:sz="4" w:space="0" w:color="auto"/>
              <w:right w:val="single" w:sz="4" w:space="0" w:color="auto"/>
            </w:tcBorders>
          </w:tcPr>
          <w:p w:rsidR="00E64CEF" w:rsidRDefault="00E64CEF" w:rsidP="00A506D2">
            <w:pPr>
              <w:pStyle w:val="Table2"/>
              <w:rPr>
                <w:b/>
              </w:rPr>
            </w:pPr>
          </w:p>
        </w:tc>
        <w:tc>
          <w:tcPr>
            <w:tcW w:w="2308"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r w:rsidRPr="00520808">
              <w:t>Pulegone</w:t>
            </w:r>
          </w:p>
        </w:tc>
        <w:tc>
          <w:tcPr>
            <w:tcW w:w="3903" w:type="dxa"/>
            <w:tcBorders>
              <w:top w:val="nil"/>
              <w:left w:val="single" w:sz="4" w:space="0" w:color="auto"/>
              <w:bottom w:val="nil"/>
              <w:right w:val="single" w:sz="4" w:space="0" w:color="auto"/>
            </w:tcBorders>
          </w:tcPr>
          <w:p w:rsidR="00E64CEF" w:rsidRDefault="00E64CEF" w:rsidP="00A506D2">
            <w:pPr>
              <w:pStyle w:val="Table2"/>
            </w:pPr>
            <w:r>
              <w:t>Confectionery</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350 mg/kg</w:t>
            </w: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p>
        </w:tc>
        <w:tc>
          <w:tcPr>
            <w:tcW w:w="3903" w:type="dxa"/>
            <w:tcBorders>
              <w:top w:val="nil"/>
              <w:left w:val="single" w:sz="4" w:space="0" w:color="auto"/>
              <w:bottom w:val="nil"/>
              <w:right w:val="single" w:sz="4" w:space="0" w:color="auto"/>
            </w:tcBorders>
          </w:tcPr>
          <w:p w:rsidR="00E64CEF" w:rsidRDefault="00E64CEF" w:rsidP="00A506D2">
            <w:pPr>
              <w:pStyle w:val="Table2"/>
            </w:pPr>
            <w:r>
              <w:t>Beverages</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250 mg/kg</w:t>
            </w:r>
          </w:p>
        </w:tc>
      </w:tr>
      <w:tr w:rsidR="00E64CEF" w:rsidTr="00A506D2">
        <w:trPr>
          <w:cantSplit/>
          <w:jc w:val="center"/>
        </w:trPr>
        <w:tc>
          <w:tcPr>
            <w:tcW w:w="2861" w:type="dxa"/>
            <w:tcBorders>
              <w:top w:val="nil"/>
              <w:left w:val="single" w:sz="4" w:space="0" w:color="auto"/>
              <w:bottom w:val="single" w:sz="4" w:space="0" w:color="auto"/>
              <w:right w:val="single" w:sz="4" w:space="0" w:color="auto"/>
            </w:tcBorders>
          </w:tcPr>
          <w:p w:rsidR="00E64CEF" w:rsidRPr="00520808" w:rsidRDefault="00E64CEF" w:rsidP="00A506D2">
            <w:pPr>
              <w:pStyle w:val="Table2"/>
            </w:pPr>
          </w:p>
        </w:tc>
        <w:tc>
          <w:tcPr>
            <w:tcW w:w="3903"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308"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r w:rsidRPr="00520808">
              <w:t>Quassine</w:t>
            </w:r>
          </w:p>
        </w:tc>
        <w:tc>
          <w:tcPr>
            <w:tcW w:w="3903" w:type="dxa"/>
            <w:tcBorders>
              <w:top w:val="nil"/>
              <w:left w:val="single" w:sz="4" w:space="0" w:color="auto"/>
              <w:bottom w:val="nil"/>
              <w:right w:val="single" w:sz="4" w:space="0" w:color="auto"/>
            </w:tcBorders>
          </w:tcPr>
          <w:p w:rsidR="00E64CEF" w:rsidRDefault="00E64CEF" w:rsidP="00A506D2">
            <w:pPr>
              <w:pStyle w:val="Table2"/>
            </w:pPr>
            <w:r>
              <w:t>Alcoholic beverages</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50 mg/kg</w:t>
            </w:r>
          </w:p>
        </w:tc>
      </w:tr>
      <w:tr w:rsidR="00E64CEF" w:rsidTr="00A506D2">
        <w:trPr>
          <w:cantSplit/>
          <w:jc w:val="center"/>
        </w:trPr>
        <w:tc>
          <w:tcPr>
            <w:tcW w:w="2861" w:type="dxa"/>
            <w:tcBorders>
              <w:top w:val="nil"/>
              <w:left w:val="single" w:sz="4" w:space="0" w:color="auto"/>
              <w:bottom w:val="single" w:sz="4" w:space="0" w:color="auto"/>
              <w:right w:val="single" w:sz="4" w:space="0" w:color="auto"/>
            </w:tcBorders>
          </w:tcPr>
          <w:p w:rsidR="00E64CEF" w:rsidRPr="00520808" w:rsidRDefault="00E64CEF" w:rsidP="00A506D2">
            <w:pPr>
              <w:pStyle w:val="Table2"/>
            </w:pPr>
          </w:p>
        </w:tc>
        <w:tc>
          <w:tcPr>
            <w:tcW w:w="3903" w:type="dxa"/>
            <w:tcBorders>
              <w:top w:val="nil"/>
              <w:left w:val="single" w:sz="4" w:space="0" w:color="auto"/>
              <w:bottom w:val="single" w:sz="4" w:space="0" w:color="auto"/>
              <w:right w:val="single" w:sz="4" w:space="0" w:color="auto"/>
            </w:tcBorders>
          </w:tcPr>
          <w:p w:rsidR="00E64CEF" w:rsidRDefault="00E64CEF" w:rsidP="00A506D2">
            <w:pPr>
              <w:pStyle w:val="Table2"/>
              <w:rPr>
                <w:b/>
              </w:rPr>
            </w:pPr>
          </w:p>
        </w:tc>
        <w:tc>
          <w:tcPr>
            <w:tcW w:w="2308"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r w:rsidRPr="00520808">
              <w:t>Quinine</w:t>
            </w:r>
          </w:p>
        </w:tc>
        <w:tc>
          <w:tcPr>
            <w:tcW w:w="3903" w:type="dxa"/>
            <w:tcBorders>
              <w:top w:val="nil"/>
              <w:left w:val="single" w:sz="4" w:space="0" w:color="auto"/>
              <w:bottom w:val="nil"/>
              <w:right w:val="single" w:sz="4" w:space="0" w:color="auto"/>
            </w:tcBorders>
          </w:tcPr>
          <w:p w:rsidR="00E64CEF" w:rsidRDefault="00E64CEF" w:rsidP="00A506D2">
            <w:pPr>
              <w:pStyle w:val="Table2"/>
            </w:pPr>
            <w:r>
              <w:t xml:space="preserve">Mixed alcoholic drinks not elsewhere classified </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300 mg/kg</w:t>
            </w: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p>
        </w:tc>
        <w:tc>
          <w:tcPr>
            <w:tcW w:w="3903" w:type="dxa"/>
            <w:tcBorders>
              <w:top w:val="nil"/>
              <w:left w:val="single" w:sz="4" w:space="0" w:color="auto"/>
              <w:bottom w:val="nil"/>
              <w:right w:val="single" w:sz="4" w:space="0" w:color="auto"/>
            </w:tcBorders>
          </w:tcPr>
          <w:p w:rsidR="00E64CEF" w:rsidRDefault="00E64CEF" w:rsidP="00A506D2">
            <w:pPr>
              <w:pStyle w:val="Table2"/>
            </w:pPr>
            <w:r>
              <w:t>Tonic drinks, bitter drinks and quinine drinks</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100 mg/kg</w:t>
            </w: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p>
        </w:tc>
        <w:tc>
          <w:tcPr>
            <w:tcW w:w="3903" w:type="dxa"/>
            <w:tcBorders>
              <w:top w:val="nil"/>
              <w:left w:val="single" w:sz="4" w:space="0" w:color="auto"/>
              <w:bottom w:val="nil"/>
              <w:right w:val="single" w:sz="4" w:space="0" w:color="auto"/>
            </w:tcBorders>
          </w:tcPr>
          <w:p w:rsidR="00E64CEF" w:rsidRDefault="00E64CEF" w:rsidP="00A506D2">
            <w:pPr>
              <w:pStyle w:val="Table2"/>
            </w:pPr>
            <w:r>
              <w:t>Wine based drinks and reduced alcohol wines</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300 mg/kg</w:t>
            </w:r>
          </w:p>
        </w:tc>
      </w:tr>
      <w:tr w:rsidR="00E64CEF" w:rsidTr="00A506D2">
        <w:trPr>
          <w:cantSplit/>
          <w:jc w:val="center"/>
        </w:trPr>
        <w:tc>
          <w:tcPr>
            <w:tcW w:w="2861" w:type="dxa"/>
            <w:tcBorders>
              <w:top w:val="nil"/>
              <w:left w:val="single" w:sz="4" w:space="0" w:color="auto"/>
              <w:bottom w:val="single" w:sz="4" w:space="0" w:color="auto"/>
              <w:right w:val="single" w:sz="4" w:space="0" w:color="auto"/>
            </w:tcBorders>
          </w:tcPr>
          <w:p w:rsidR="00E64CEF" w:rsidRPr="00520808" w:rsidRDefault="00E64CEF" w:rsidP="00A506D2">
            <w:pPr>
              <w:pStyle w:val="Table2"/>
            </w:pPr>
          </w:p>
        </w:tc>
        <w:tc>
          <w:tcPr>
            <w:tcW w:w="3903"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308"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r w:rsidRPr="00520808">
              <w:t>Safrole</w:t>
            </w:r>
          </w:p>
        </w:tc>
        <w:tc>
          <w:tcPr>
            <w:tcW w:w="3903" w:type="dxa"/>
            <w:tcBorders>
              <w:top w:val="nil"/>
              <w:left w:val="single" w:sz="4" w:space="0" w:color="auto"/>
              <w:bottom w:val="nil"/>
              <w:right w:val="single" w:sz="4" w:space="0" w:color="auto"/>
            </w:tcBorders>
          </w:tcPr>
          <w:p w:rsidR="00E64CEF" w:rsidRDefault="00E64CEF" w:rsidP="00A506D2">
            <w:pPr>
              <w:pStyle w:val="Table2"/>
            </w:pPr>
            <w:r>
              <w:t>Food containing mace and nutmeg</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15 mg/kg</w:t>
            </w: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p>
        </w:tc>
        <w:tc>
          <w:tcPr>
            <w:tcW w:w="3903" w:type="dxa"/>
            <w:tcBorders>
              <w:top w:val="nil"/>
              <w:left w:val="single" w:sz="4" w:space="0" w:color="auto"/>
              <w:bottom w:val="nil"/>
              <w:right w:val="single" w:sz="4" w:space="0" w:color="auto"/>
            </w:tcBorders>
          </w:tcPr>
          <w:p w:rsidR="00E64CEF" w:rsidRDefault="00E64CEF" w:rsidP="00A506D2">
            <w:pPr>
              <w:pStyle w:val="Table2"/>
            </w:pPr>
            <w:r>
              <w:t>Meat products</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10 mg/kg</w:t>
            </w: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p>
        </w:tc>
        <w:tc>
          <w:tcPr>
            <w:tcW w:w="3903" w:type="dxa"/>
            <w:tcBorders>
              <w:top w:val="nil"/>
              <w:left w:val="single" w:sz="4" w:space="0" w:color="auto"/>
              <w:bottom w:val="nil"/>
              <w:right w:val="single" w:sz="4" w:space="0" w:color="auto"/>
            </w:tcBorders>
          </w:tcPr>
          <w:p w:rsidR="00E64CEF" w:rsidRDefault="00E64CEF" w:rsidP="00A506D2">
            <w:pPr>
              <w:pStyle w:val="Table2"/>
            </w:pPr>
            <w:r>
              <w:t>Alcoholic beverages</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5 mg/kg</w:t>
            </w:r>
          </w:p>
        </w:tc>
      </w:tr>
      <w:tr w:rsidR="00E64CEF" w:rsidTr="00A506D2">
        <w:trPr>
          <w:cantSplit/>
          <w:jc w:val="center"/>
        </w:trPr>
        <w:tc>
          <w:tcPr>
            <w:tcW w:w="2861" w:type="dxa"/>
            <w:tcBorders>
              <w:top w:val="nil"/>
              <w:left w:val="single" w:sz="4" w:space="0" w:color="auto"/>
              <w:bottom w:val="single" w:sz="4" w:space="0" w:color="auto"/>
              <w:right w:val="single" w:sz="4" w:space="0" w:color="auto"/>
            </w:tcBorders>
          </w:tcPr>
          <w:p w:rsidR="00E64CEF" w:rsidRPr="00520808" w:rsidRDefault="00E64CEF" w:rsidP="00A506D2">
            <w:pPr>
              <w:pStyle w:val="Table2"/>
            </w:pPr>
          </w:p>
        </w:tc>
        <w:tc>
          <w:tcPr>
            <w:tcW w:w="3903"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308"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r w:rsidRPr="00520808">
              <w:t>Santonin</w:t>
            </w:r>
          </w:p>
        </w:tc>
        <w:tc>
          <w:tcPr>
            <w:tcW w:w="3903" w:type="dxa"/>
            <w:tcBorders>
              <w:top w:val="nil"/>
              <w:left w:val="single" w:sz="4" w:space="0" w:color="auto"/>
              <w:bottom w:val="nil"/>
              <w:right w:val="single" w:sz="4" w:space="0" w:color="auto"/>
            </w:tcBorders>
          </w:tcPr>
          <w:p w:rsidR="00E64CEF" w:rsidRDefault="00E64CEF" w:rsidP="00A506D2">
            <w:pPr>
              <w:pStyle w:val="Table2"/>
            </w:pPr>
            <w:r>
              <w:t>Alcoholic beverages</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1 mg/kg</w:t>
            </w:r>
          </w:p>
        </w:tc>
      </w:tr>
      <w:tr w:rsidR="00E64CEF" w:rsidTr="00A506D2">
        <w:trPr>
          <w:cantSplit/>
          <w:jc w:val="center"/>
        </w:trPr>
        <w:tc>
          <w:tcPr>
            <w:tcW w:w="2861" w:type="dxa"/>
            <w:tcBorders>
              <w:top w:val="nil"/>
              <w:left w:val="single" w:sz="4" w:space="0" w:color="auto"/>
              <w:bottom w:val="single" w:sz="4" w:space="0" w:color="auto"/>
              <w:right w:val="single" w:sz="4" w:space="0" w:color="auto"/>
            </w:tcBorders>
          </w:tcPr>
          <w:p w:rsidR="00E64CEF" w:rsidRPr="00520808" w:rsidRDefault="00E64CEF" w:rsidP="00A506D2">
            <w:pPr>
              <w:pStyle w:val="Table2"/>
            </w:pPr>
          </w:p>
        </w:tc>
        <w:tc>
          <w:tcPr>
            <w:tcW w:w="3903"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308"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r w:rsidRPr="00520808">
              <w:t>Sparteine</w:t>
            </w:r>
          </w:p>
        </w:tc>
        <w:tc>
          <w:tcPr>
            <w:tcW w:w="3903" w:type="dxa"/>
            <w:tcBorders>
              <w:top w:val="nil"/>
              <w:left w:val="single" w:sz="4" w:space="0" w:color="auto"/>
              <w:bottom w:val="nil"/>
              <w:right w:val="single" w:sz="4" w:space="0" w:color="auto"/>
            </w:tcBorders>
          </w:tcPr>
          <w:p w:rsidR="00E64CEF" w:rsidRDefault="00E64CEF" w:rsidP="00A506D2">
            <w:pPr>
              <w:pStyle w:val="Table2"/>
            </w:pPr>
            <w:r>
              <w:t>Alcoholic beverages</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5 mg/kg</w:t>
            </w:r>
          </w:p>
        </w:tc>
      </w:tr>
      <w:tr w:rsidR="00E64CEF" w:rsidTr="00A506D2">
        <w:trPr>
          <w:cantSplit/>
          <w:jc w:val="center"/>
        </w:trPr>
        <w:tc>
          <w:tcPr>
            <w:tcW w:w="2861" w:type="dxa"/>
            <w:tcBorders>
              <w:top w:val="nil"/>
              <w:left w:val="single" w:sz="4" w:space="0" w:color="auto"/>
              <w:bottom w:val="single" w:sz="4" w:space="0" w:color="auto"/>
              <w:right w:val="single" w:sz="4" w:space="0" w:color="auto"/>
            </w:tcBorders>
          </w:tcPr>
          <w:p w:rsidR="00E64CEF" w:rsidRPr="00520808" w:rsidRDefault="00E64CEF" w:rsidP="00A506D2">
            <w:pPr>
              <w:pStyle w:val="Table2"/>
            </w:pPr>
          </w:p>
        </w:tc>
        <w:tc>
          <w:tcPr>
            <w:tcW w:w="3903"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308"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r w:rsidRPr="00520808">
              <w:t>Thujones (alpha and beta)</w:t>
            </w:r>
          </w:p>
        </w:tc>
        <w:tc>
          <w:tcPr>
            <w:tcW w:w="3903" w:type="dxa"/>
            <w:tcBorders>
              <w:top w:val="nil"/>
              <w:left w:val="single" w:sz="4" w:space="0" w:color="auto"/>
              <w:bottom w:val="nil"/>
              <w:right w:val="single" w:sz="4" w:space="0" w:color="auto"/>
            </w:tcBorders>
          </w:tcPr>
          <w:p w:rsidR="00E64CEF" w:rsidRDefault="00E64CEF" w:rsidP="00A506D2">
            <w:pPr>
              <w:pStyle w:val="Table2"/>
            </w:pPr>
            <w:r>
              <w:t>Sage stuffing</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250 mg/kg</w:t>
            </w: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p>
        </w:tc>
        <w:tc>
          <w:tcPr>
            <w:tcW w:w="3903" w:type="dxa"/>
            <w:tcBorders>
              <w:top w:val="nil"/>
              <w:left w:val="single" w:sz="4" w:space="0" w:color="auto"/>
              <w:bottom w:val="nil"/>
              <w:right w:val="single" w:sz="4" w:space="0" w:color="auto"/>
            </w:tcBorders>
          </w:tcPr>
          <w:p w:rsidR="00E64CEF" w:rsidRDefault="00E64CEF" w:rsidP="00A506D2">
            <w:pPr>
              <w:pStyle w:val="Table2"/>
            </w:pPr>
            <w:r>
              <w:t>Bitters</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35 mg/kg</w:t>
            </w: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Pr="00520808" w:rsidRDefault="00E64CEF" w:rsidP="00A506D2">
            <w:pPr>
              <w:pStyle w:val="Table2"/>
            </w:pPr>
          </w:p>
        </w:tc>
        <w:tc>
          <w:tcPr>
            <w:tcW w:w="3903" w:type="dxa"/>
            <w:tcBorders>
              <w:top w:val="nil"/>
              <w:left w:val="single" w:sz="4" w:space="0" w:color="auto"/>
              <w:bottom w:val="nil"/>
              <w:right w:val="single" w:sz="4" w:space="0" w:color="auto"/>
            </w:tcBorders>
          </w:tcPr>
          <w:p w:rsidR="00E64CEF" w:rsidRDefault="00E64CEF" w:rsidP="00A506D2">
            <w:pPr>
              <w:pStyle w:val="Table2"/>
            </w:pPr>
            <w:r>
              <w:t>Sage flavoured foods</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25 mg/kg</w:t>
            </w:r>
          </w:p>
        </w:tc>
      </w:tr>
      <w:tr w:rsidR="00E64CEF" w:rsidTr="00A506D2">
        <w:trPr>
          <w:cantSplit/>
          <w:jc w:val="center"/>
        </w:trPr>
        <w:tc>
          <w:tcPr>
            <w:tcW w:w="2861" w:type="dxa"/>
            <w:tcBorders>
              <w:top w:val="nil"/>
              <w:left w:val="single" w:sz="4" w:space="0" w:color="auto"/>
              <w:bottom w:val="nil"/>
              <w:right w:val="single" w:sz="4" w:space="0" w:color="auto"/>
            </w:tcBorders>
          </w:tcPr>
          <w:p w:rsidR="00E64CEF" w:rsidRDefault="00E64CEF" w:rsidP="00A506D2">
            <w:pPr>
              <w:pStyle w:val="Table2"/>
            </w:pPr>
          </w:p>
        </w:tc>
        <w:tc>
          <w:tcPr>
            <w:tcW w:w="3903" w:type="dxa"/>
            <w:tcBorders>
              <w:top w:val="nil"/>
              <w:left w:val="single" w:sz="4" w:space="0" w:color="auto"/>
              <w:bottom w:val="nil"/>
              <w:right w:val="single" w:sz="4" w:space="0" w:color="auto"/>
            </w:tcBorders>
          </w:tcPr>
          <w:p w:rsidR="00E64CEF" w:rsidRDefault="00E64CEF" w:rsidP="00A506D2">
            <w:pPr>
              <w:pStyle w:val="Table2"/>
            </w:pPr>
            <w:r>
              <w:t>Alcoholic beverages</w:t>
            </w:r>
          </w:p>
        </w:tc>
        <w:tc>
          <w:tcPr>
            <w:tcW w:w="2308" w:type="dxa"/>
            <w:tcBorders>
              <w:top w:val="nil"/>
              <w:left w:val="single" w:sz="4" w:space="0" w:color="auto"/>
              <w:bottom w:val="nil"/>
              <w:right w:val="single" w:sz="4" w:space="0" w:color="auto"/>
            </w:tcBorders>
          </w:tcPr>
          <w:p w:rsidR="00E64CEF" w:rsidRDefault="00E64CEF" w:rsidP="00A506D2">
            <w:pPr>
              <w:pStyle w:val="Table2"/>
              <w:jc w:val="center"/>
            </w:pPr>
            <w:r>
              <w:t>10 mg/kg</w:t>
            </w:r>
          </w:p>
        </w:tc>
      </w:tr>
      <w:tr w:rsidR="00E64CEF" w:rsidTr="00A506D2">
        <w:trPr>
          <w:cantSplit/>
          <w:jc w:val="center"/>
        </w:trPr>
        <w:tc>
          <w:tcPr>
            <w:tcW w:w="2861"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3903" w:type="dxa"/>
            <w:tcBorders>
              <w:top w:val="nil"/>
              <w:left w:val="single" w:sz="4" w:space="0" w:color="auto"/>
              <w:bottom w:val="single" w:sz="4" w:space="0" w:color="auto"/>
              <w:right w:val="single" w:sz="4" w:space="0" w:color="auto"/>
            </w:tcBorders>
          </w:tcPr>
          <w:p w:rsidR="00E64CEF" w:rsidRDefault="00E64CEF" w:rsidP="00A506D2">
            <w:pPr>
              <w:pStyle w:val="Table2"/>
            </w:pPr>
          </w:p>
        </w:tc>
        <w:tc>
          <w:tcPr>
            <w:tcW w:w="2308" w:type="dxa"/>
            <w:tcBorders>
              <w:top w:val="nil"/>
              <w:left w:val="single" w:sz="4" w:space="0" w:color="auto"/>
              <w:bottom w:val="single" w:sz="4" w:space="0" w:color="auto"/>
              <w:right w:val="single" w:sz="4" w:space="0" w:color="auto"/>
            </w:tcBorders>
          </w:tcPr>
          <w:p w:rsidR="00E64CEF" w:rsidRDefault="00E64CEF" w:rsidP="00A506D2">
            <w:pPr>
              <w:pStyle w:val="Table2"/>
              <w:jc w:val="center"/>
            </w:pPr>
          </w:p>
        </w:tc>
      </w:tr>
    </w:tbl>
    <w:p w:rsidR="00E64CEF" w:rsidRPr="000A6D2C" w:rsidRDefault="00E64CEF" w:rsidP="00E64CEF">
      <w:pPr>
        <w:rPr>
          <w:sz w:val="20"/>
          <w:szCs w:val="20"/>
        </w:rPr>
      </w:pPr>
    </w:p>
    <w:p w:rsidR="00E64CEF" w:rsidRPr="000A6D2C" w:rsidRDefault="00E64CEF" w:rsidP="00E64CEF">
      <w:pPr>
        <w:pStyle w:val="Clause"/>
        <w:rPr>
          <w:i/>
        </w:rPr>
      </w:pPr>
      <w:r w:rsidRPr="000A6D2C">
        <w:t>[17.14]</w:t>
      </w:r>
      <w:r w:rsidRPr="000A6D2C">
        <w:tab/>
      </w:r>
      <w:r w:rsidRPr="000A6D2C">
        <w:rPr>
          <w:i/>
        </w:rPr>
        <w:t xml:space="preserve">omitting the definition of </w:t>
      </w:r>
      <w:r w:rsidRPr="000A6D2C">
        <w:rPr>
          <w:b/>
        </w:rPr>
        <w:t xml:space="preserve">food </w:t>
      </w:r>
      <w:r w:rsidRPr="000A6D2C">
        <w:rPr>
          <w:i/>
        </w:rPr>
        <w:t xml:space="preserve">in subclause 5(1), substituting – </w:t>
      </w:r>
    </w:p>
    <w:p w:rsidR="00E64CEF" w:rsidRPr="000A6D2C" w:rsidRDefault="00E64CEF" w:rsidP="00E64CEF">
      <w:pPr>
        <w:rPr>
          <w:sz w:val="20"/>
          <w:szCs w:val="20"/>
        </w:rPr>
      </w:pPr>
    </w:p>
    <w:p w:rsidR="00E64CEF" w:rsidRPr="000A6D2C" w:rsidRDefault="00E64CEF" w:rsidP="00E64CEF">
      <w:pPr>
        <w:pStyle w:val="Definition"/>
        <w:rPr>
          <w:bCs/>
        </w:rPr>
      </w:pPr>
      <w:r w:rsidRPr="000A6D2C">
        <w:rPr>
          <w:b/>
          <w:bCs/>
        </w:rPr>
        <w:t xml:space="preserve">food </w:t>
      </w:r>
      <w:r w:rsidRPr="000A6D2C">
        <w:rPr>
          <w:bCs/>
        </w:rPr>
        <w:t>means the food or class of foods listed in Column 2 of the Table to this clause.</w:t>
      </w:r>
    </w:p>
    <w:p w:rsidR="000A6D2C" w:rsidRDefault="000A6D2C" w:rsidP="00E64CEF">
      <w:pPr>
        <w:pStyle w:val="Clause"/>
        <w:rPr>
          <w:i/>
        </w:rPr>
      </w:pPr>
      <w:r>
        <w:rPr>
          <w:i/>
        </w:rPr>
        <w:br w:type="page"/>
      </w:r>
    </w:p>
    <w:p w:rsidR="00E64CEF" w:rsidRPr="000A6D2C" w:rsidRDefault="00E64CEF" w:rsidP="00E64CEF">
      <w:pPr>
        <w:pStyle w:val="Clause"/>
        <w:rPr>
          <w:i/>
        </w:rPr>
      </w:pPr>
      <w:r w:rsidRPr="000A6D2C">
        <w:lastRenderedPageBreak/>
        <w:t>[17.15]</w:t>
      </w:r>
      <w:r w:rsidRPr="000A6D2C">
        <w:tab/>
      </w:r>
      <w:r w:rsidRPr="000A6D2C">
        <w:rPr>
          <w:i/>
        </w:rPr>
        <w:t xml:space="preserve">omitting </w:t>
      </w:r>
      <w:r w:rsidRPr="000A6D2C">
        <w:t xml:space="preserve">in bolded type </w:t>
      </w:r>
      <w:r w:rsidRPr="000A6D2C">
        <w:rPr>
          <w:i/>
        </w:rPr>
        <w:t xml:space="preserve">from the definition of </w:t>
      </w:r>
      <w:r w:rsidRPr="000A6D2C">
        <w:rPr>
          <w:b/>
        </w:rPr>
        <w:t xml:space="preserve">natural toxicant </w:t>
      </w:r>
      <w:r w:rsidRPr="000A6D2C">
        <w:rPr>
          <w:i/>
        </w:rPr>
        <w:t>in subclause 5(1)</w:t>
      </w:r>
    </w:p>
    <w:p w:rsidR="00E64CEF" w:rsidRPr="000A6D2C" w:rsidRDefault="00E64CEF" w:rsidP="00E64CEF">
      <w:pPr>
        <w:rPr>
          <w:sz w:val="20"/>
          <w:szCs w:val="20"/>
        </w:rPr>
      </w:pPr>
    </w:p>
    <w:p w:rsidR="00E64CEF" w:rsidRPr="000A6D2C" w:rsidRDefault="00E64CEF" w:rsidP="00E64CEF">
      <w:pPr>
        <w:pStyle w:val="Subclause"/>
        <w:rPr>
          <w:i/>
        </w:rPr>
      </w:pPr>
      <w:r w:rsidRPr="000A6D2C">
        <w:t>[17.16]</w:t>
      </w:r>
      <w:r w:rsidRPr="000A6D2C">
        <w:tab/>
      </w:r>
      <w:r w:rsidRPr="000A6D2C">
        <w:rPr>
          <w:i/>
        </w:rPr>
        <w:t xml:space="preserve">omitting subclauses 5(2), 5(3) and 5(4), substituting – </w:t>
      </w:r>
    </w:p>
    <w:p w:rsidR="00E64CEF" w:rsidRPr="000A6D2C" w:rsidRDefault="00E64CEF" w:rsidP="00E64CEF">
      <w:pPr>
        <w:pStyle w:val="Subclause"/>
        <w:rPr>
          <w:i/>
        </w:rPr>
      </w:pPr>
    </w:p>
    <w:p w:rsidR="00E64CEF" w:rsidRPr="000A6D2C" w:rsidRDefault="00E64CEF" w:rsidP="00E64CEF">
      <w:pPr>
        <w:pStyle w:val="Subclause"/>
      </w:pPr>
      <w:r w:rsidRPr="000A6D2C">
        <w:t>(2)</w:t>
      </w:r>
      <w:r w:rsidRPr="000A6D2C">
        <w:tab/>
        <w:t>The maximum levels for natural toxicants in food are listed in Column 3 of the Table to this clause.</w:t>
      </w:r>
    </w:p>
    <w:p w:rsidR="00E64CEF" w:rsidRPr="000A6D2C" w:rsidRDefault="00E64CEF" w:rsidP="00E64CEF">
      <w:pPr>
        <w:pStyle w:val="Subclause"/>
      </w:pPr>
    </w:p>
    <w:p w:rsidR="00E64CEF" w:rsidRPr="000A6D2C" w:rsidRDefault="00E64CEF" w:rsidP="00E64CEF">
      <w:pPr>
        <w:pStyle w:val="Subclause"/>
      </w:pPr>
      <w:r w:rsidRPr="000A6D2C">
        <w:t>(3)</w:t>
      </w:r>
      <w:r w:rsidRPr="000A6D2C">
        <w:tab/>
        <w:t>Where a mixed food contains a food or class of foods listed in Column 2 of the Table to this clause, the proportion of the natural toxicants permitted to be present in the mixed food (ML1) is calculated in accordance with the formula prescribed in subclause 1(6).</w:t>
      </w:r>
    </w:p>
    <w:p w:rsidR="00E64CEF" w:rsidRPr="000A6D2C" w:rsidRDefault="00E64CEF" w:rsidP="00E64CEF">
      <w:pPr>
        <w:pStyle w:val="Subclause"/>
      </w:pPr>
    </w:p>
    <w:p w:rsidR="00E64CEF" w:rsidRPr="000A6D2C" w:rsidRDefault="00E64CEF" w:rsidP="00E64CEF">
      <w:pPr>
        <w:pStyle w:val="Subclause"/>
      </w:pPr>
      <w:r w:rsidRPr="000A6D2C">
        <w:t>(4)</w:t>
      </w:r>
      <w:r w:rsidRPr="000A6D2C">
        <w:tab/>
        <w:t>Subclause 1(2) of Standard 1.1.1 does not apply to ready-to-eat cassava chips for the purposes of the Table to clause 5.</w:t>
      </w:r>
    </w:p>
    <w:p w:rsidR="00E64CEF" w:rsidRPr="000A6D2C" w:rsidRDefault="00E64CEF" w:rsidP="00E64CEF">
      <w:pPr>
        <w:pStyle w:val="Subclause"/>
      </w:pPr>
    </w:p>
    <w:p w:rsidR="00E64CEF" w:rsidRPr="000A6D2C" w:rsidRDefault="00E64CEF" w:rsidP="00E64CEF">
      <w:pPr>
        <w:pStyle w:val="Clause"/>
      </w:pPr>
      <w:r w:rsidRPr="000A6D2C">
        <w:t>[17.17]</w:t>
      </w:r>
      <w:r w:rsidRPr="000A6D2C">
        <w:tab/>
      </w:r>
      <w:r w:rsidRPr="000A6D2C">
        <w:rPr>
          <w:i/>
        </w:rPr>
        <w:t xml:space="preserve">omitting the </w:t>
      </w:r>
      <w:r w:rsidRPr="000A6D2C">
        <w:t xml:space="preserve">Table to clause 5, </w:t>
      </w:r>
      <w:r w:rsidRPr="000A6D2C">
        <w:rPr>
          <w:i/>
        </w:rPr>
        <w:t xml:space="preserve">substituting </w:t>
      </w:r>
      <w:r w:rsidRPr="000A6D2C">
        <w:t xml:space="preserve">– </w:t>
      </w:r>
    </w:p>
    <w:p w:rsidR="00E64CEF" w:rsidRPr="000A6D2C" w:rsidRDefault="00E64CEF" w:rsidP="00E64CEF">
      <w:pPr>
        <w:rPr>
          <w:sz w:val="20"/>
          <w:szCs w:val="20"/>
        </w:rPr>
      </w:pPr>
    </w:p>
    <w:p w:rsidR="00E64CEF" w:rsidRPr="000A6D2C" w:rsidRDefault="00E64CEF" w:rsidP="00E64CEF">
      <w:pPr>
        <w:pStyle w:val="TableHeading"/>
      </w:pPr>
      <w:r w:rsidRPr="000A6D2C">
        <w:t>Table to clause 5</w:t>
      </w:r>
    </w:p>
    <w:p w:rsidR="00E64CEF" w:rsidRPr="000A6D2C" w:rsidRDefault="00E64CEF" w:rsidP="00E64CEF">
      <w:pPr>
        <w:rPr>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
        <w:gridCol w:w="2541"/>
        <w:gridCol w:w="25"/>
        <w:gridCol w:w="4086"/>
        <w:gridCol w:w="25"/>
        <w:gridCol w:w="2346"/>
        <w:gridCol w:w="24"/>
      </w:tblGrid>
      <w:tr w:rsidR="00E64CEF" w:rsidRPr="00D4467B" w:rsidTr="00A506D2">
        <w:trPr>
          <w:gridAfter w:val="1"/>
          <w:wAfter w:w="24" w:type="dxa"/>
          <w:trHeight w:val="345"/>
          <w:jc w:val="center"/>
        </w:trPr>
        <w:tc>
          <w:tcPr>
            <w:tcW w:w="2566" w:type="dxa"/>
            <w:gridSpan w:val="2"/>
            <w:tcBorders>
              <w:top w:val="single" w:sz="4" w:space="0" w:color="auto"/>
              <w:left w:val="single" w:sz="4" w:space="0" w:color="auto"/>
              <w:bottom w:val="nil"/>
              <w:right w:val="single" w:sz="4" w:space="0" w:color="auto"/>
            </w:tcBorders>
          </w:tcPr>
          <w:p w:rsidR="00E64CEF" w:rsidRPr="00312A41" w:rsidRDefault="00E64CEF" w:rsidP="00A506D2">
            <w:pPr>
              <w:pStyle w:val="Table1"/>
            </w:pPr>
            <w:r w:rsidRPr="00312A41">
              <w:t>Column 1</w:t>
            </w:r>
          </w:p>
        </w:tc>
        <w:tc>
          <w:tcPr>
            <w:tcW w:w="4111" w:type="dxa"/>
            <w:gridSpan w:val="2"/>
            <w:tcBorders>
              <w:top w:val="single" w:sz="4" w:space="0" w:color="auto"/>
              <w:left w:val="single" w:sz="4" w:space="0" w:color="auto"/>
              <w:bottom w:val="nil"/>
              <w:right w:val="single" w:sz="4" w:space="0" w:color="auto"/>
            </w:tcBorders>
          </w:tcPr>
          <w:p w:rsidR="00E64CEF" w:rsidRPr="00312A41" w:rsidRDefault="00E64CEF" w:rsidP="00A506D2">
            <w:pPr>
              <w:pStyle w:val="Table1"/>
            </w:pPr>
            <w:r w:rsidRPr="00312A41">
              <w:t>Column 2</w:t>
            </w:r>
          </w:p>
        </w:tc>
        <w:tc>
          <w:tcPr>
            <w:tcW w:w="2371" w:type="dxa"/>
            <w:gridSpan w:val="2"/>
            <w:tcBorders>
              <w:top w:val="single" w:sz="4" w:space="0" w:color="auto"/>
              <w:left w:val="single" w:sz="4" w:space="0" w:color="auto"/>
              <w:bottom w:val="nil"/>
              <w:right w:val="single" w:sz="4" w:space="0" w:color="auto"/>
            </w:tcBorders>
          </w:tcPr>
          <w:p w:rsidR="00E64CEF" w:rsidRPr="00312A41" w:rsidRDefault="00E64CEF" w:rsidP="00A506D2">
            <w:pPr>
              <w:pStyle w:val="Table1"/>
            </w:pPr>
            <w:r w:rsidRPr="00312A41">
              <w:t>Column 3</w:t>
            </w:r>
          </w:p>
        </w:tc>
      </w:tr>
      <w:tr w:rsidR="00E64CEF" w:rsidRPr="00D4467B" w:rsidTr="00A506D2">
        <w:trPr>
          <w:gridAfter w:val="1"/>
          <w:wAfter w:w="24" w:type="dxa"/>
          <w:trHeight w:val="345"/>
          <w:jc w:val="center"/>
        </w:trPr>
        <w:tc>
          <w:tcPr>
            <w:tcW w:w="2566" w:type="dxa"/>
            <w:gridSpan w:val="2"/>
            <w:tcBorders>
              <w:top w:val="nil"/>
              <w:left w:val="single" w:sz="4" w:space="0" w:color="auto"/>
              <w:bottom w:val="single" w:sz="4" w:space="0" w:color="auto"/>
              <w:right w:val="single" w:sz="4" w:space="0" w:color="auto"/>
            </w:tcBorders>
          </w:tcPr>
          <w:p w:rsidR="00E64CEF" w:rsidRPr="00312A41" w:rsidRDefault="00E64CEF" w:rsidP="00A506D2">
            <w:pPr>
              <w:pStyle w:val="Table1"/>
            </w:pPr>
            <w:r w:rsidRPr="00312A41">
              <w:t>Toxicant</w:t>
            </w:r>
          </w:p>
        </w:tc>
        <w:tc>
          <w:tcPr>
            <w:tcW w:w="4111" w:type="dxa"/>
            <w:gridSpan w:val="2"/>
            <w:tcBorders>
              <w:top w:val="nil"/>
              <w:left w:val="single" w:sz="4" w:space="0" w:color="auto"/>
              <w:bottom w:val="single" w:sz="4" w:space="0" w:color="auto"/>
              <w:right w:val="single" w:sz="4" w:space="0" w:color="auto"/>
            </w:tcBorders>
          </w:tcPr>
          <w:p w:rsidR="00E64CEF" w:rsidRPr="00312A41" w:rsidRDefault="00E64CEF" w:rsidP="00A506D2">
            <w:pPr>
              <w:pStyle w:val="Table1"/>
            </w:pPr>
            <w:r w:rsidRPr="00312A41">
              <w:t>Food</w:t>
            </w:r>
          </w:p>
        </w:tc>
        <w:tc>
          <w:tcPr>
            <w:tcW w:w="2371" w:type="dxa"/>
            <w:gridSpan w:val="2"/>
            <w:tcBorders>
              <w:top w:val="nil"/>
              <w:left w:val="single" w:sz="4" w:space="0" w:color="auto"/>
              <w:bottom w:val="single" w:sz="4" w:space="0" w:color="auto"/>
              <w:right w:val="single" w:sz="4" w:space="0" w:color="auto"/>
            </w:tcBorders>
          </w:tcPr>
          <w:p w:rsidR="00E64CEF" w:rsidRPr="00312A41" w:rsidRDefault="00E64CEF" w:rsidP="00A506D2">
            <w:pPr>
              <w:pStyle w:val="Table1"/>
            </w:pPr>
            <w:r w:rsidRPr="00312A41">
              <w:t>Maximum level (mg/kg)</w:t>
            </w:r>
          </w:p>
        </w:tc>
      </w:tr>
      <w:tr w:rsidR="00E64CEF" w:rsidRPr="00D4467B" w:rsidTr="00A506D2">
        <w:trPr>
          <w:gridAfter w:val="1"/>
          <w:wAfter w:w="24" w:type="dxa"/>
          <w:jc w:val="center"/>
        </w:trPr>
        <w:tc>
          <w:tcPr>
            <w:tcW w:w="2566" w:type="dxa"/>
            <w:gridSpan w:val="2"/>
            <w:tcBorders>
              <w:top w:val="nil"/>
              <w:left w:val="single" w:sz="4" w:space="0" w:color="auto"/>
              <w:bottom w:val="nil"/>
              <w:right w:val="single" w:sz="4" w:space="0" w:color="auto"/>
            </w:tcBorders>
          </w:tcPr>
          <w:p w:rsidR="00E64CEF" w:rsidRPr="00312A41" w:rsidRDefault="00E64CEF" w:rsidP="00A506D2">
            <w:pPr>
              <w:pStyle w:val="Table2"/>
            </w:pPr>
            <w:r w:rsidRPr="00312A41">
              <w:t>Erucic acid</w:t>
            </w:r>
          </w:p>
        </w:tc>
        <w:tc>
          <w:tcPr>
            <w:tcW w:w="4111" w:type="dxa"/>
            <w:gridSpan w:val="2"/>
            <w:tcBorders>
              <w:top w:val="nil"/>
              <w:left w:val="single" w:sz="4" w:space="0" w:color="auto"/>
              <w:bottom w:val="nil"/>
              <w:right w:val="single" w:sz="4" w:space="0" w:color="auto"/>
            </w:tcBorders>
          </w:tcPr>
          <w:p w:rsidR="00E64CEF" w:rsidRPr="00312A41" w:rsidRDefault="00E64CEF" w:rsidP="00A506D2">
            <w:pPr>
              <w:pStyle w:val="Table2"/>
            </w:pPr>
            <w:r w:rsidRPr="00312A41">
              <w:t>Edible oils</w:t>
            </w:r>
          </w:p>
        </w:tc>
        <w:tc>
          <w:tcPr>
            <w:tcW w:w="2371" w:type="dxa"/>
            <w:gridSpan w:val="2"/>
            <w:tcBorders>
              <w:top w:val="nil"/>
              <w:left w:val="single" w:sz="4" w:space="0" w:color="auto"/>
              <w:bottom w:val="nil"/>
              <w:right w:val="single" w:sz="4" w:space="0" w:color="auto"/>
            </w:tcBorders>
          </w:tcPr>
          <w:p w:rsidR="00E64CEF" w:rsidRPr="00312A41" w:rsidRDefault="00E64CEF" w:rsidP="00A506D2">
            <w:pPr>
              <w:pStyle w:val="Table2"/>
              <w:jc w:val="center"/>
            </w:pPr>
            <w:r w:rsidRPr="00312A41">
              <w:t xml:space="preserve">20,000 </w:t>
            </w:r>
          </w:p>
        </w:tc>
      </w:tr>
      <w:tr w:rsidR="00E64CEF" w:rsidTr="00A506D2">
        <w:trPr>
          <w:gridAfter w:val="1"/>
          <w:wAfter w:w="24" w:type="dxa"/>
          <w:jc w:val="center"/>
        </w:trPr>
        <w:tc>
          <w:tcPr>
            <w:tcW w:w="2566" w:type="dxa"/>
            <w:gridSpan w:val="2"/>
            <w:tcBorders>
              <w:top w:val="nil"/>
              <w:left w:val="single" w:sz="4" w:space="0" w:color="auto"/>
              <w:bottom w:val="single" w:sz="4" w:space="0" w:color="auto"/>
              <w:right w:val="single" w:sz="4" w:space="0" w:color="auto"/>
            </w:tcBorders>
          </w:tcPr>
          <w:p w:rsidR="00E64CEF" w:rsidRPr="00312A41" w:rsidRDefault="00E64CEF" w:rsidP="00A506D2">
            <w:pPr>
              <w:pStyle w:val="Table2"/>
            </w:pPr>
          </w:p>
        </w:tc>
        <w:tc>
          <w:tcPr>
            <w:tcW w:w="4111" w:type="dxa"/>
            <w:gridSpan w:val="2"/>
            <w:tcBorders>
              <w:top w:val="nil"/>
              <w:left w:val="single" w:sz="4" w:space="0" w:color="auto"/>
              <w:bottom w:val="single" w:sz="4" w:space="0" w:color="auto"/>
              <w:right w:val="single" w:sz="4" w:space="0" w:color="auto"/>
            </w:tcBorders>
          </w:tcPr>
          <w:p w:rsidR="00E64CEF" w:rsidRPr="00312A41" w:rsidRDefault="00E64CEF" w:rsidP="00A506D2">
            <w:pPr>
              <w:pStyle w:val="Table2"/>
            </w:pPr>
          </w:p>
        </w:tc>
        <w:tc>
          <w:tcPr>
            <w:tcW w:w="2371" w:type="dxa"/>
            <w:gridSpan w:val="2"/>
            <w:tcBorders>
              <w:top w:val="nil"/>
              <w:left w:val="single" w:sz="4" w:space="0" w:color="auto"/>
              <w:bottom w:val="single" w:sz="4" w:space="0" w:color="auto"/>
              <w:right w:val="single" w:sz="4" w:space="0" w:color="auto"/>
            </w:tcBorders>
          </w:tcPr>
          <w:p w:rsidR="00E64CEF" w:rsidRPr="00312A41" w:rsidRDefault="00E64CEF" w:rsidP="00A506D2">
            <w:pPr>
              <w:pStyle w:val="Table2"/>
              <w:jc w:val="center"/>
            </w:pPr>
          </w:p>
        </w:tc>
      </w:tr>
      <w:tr w:rsidR="00E64CEF" w:rsidTr="00A506D2">
        <w:trPr>
          <w:gridAfter w:val="1"/>
          <w:wAfter w:w="24" w:type="dxa"/>
          <w:jc w:val="center"/>
        </w:trPr>
        <w:tc>
          <w:tcPr>
            <w:tcW w:w="2566" w:type="dxa"/>
            <w:gridSpan w:val="2"/>
            <w:tcBorders>
              <w:top w:val="nil"/>
              <w:left w:val="single" w:sz="4" w:space="0" w:color="auto"/>
              <w:bottom w:val="nil"/>
              <w:right w:val="single" w:sz="4" w:space="0" w:color="auto"/>
            </w:tcBorders>
          </w:tcPr>
          <w:p w:rsidR="00E64CEF" w:rsidRPr="00312A41" w:rsidRDefault="00E64CEF" w:rsidP="00A506D2">
            <w:pPr>
              <w:pStyle w:val="Table2"/>
            </w:pPr>
            <w:r w:rsidRPr="00312A41">
              <w:t>Histamine</w:t>
            </w:r>
          </w:p>
        </w:tc>
        <w:tc>
          <w:tcPr>
            <w:tcW w:w="4111" w:type="dxa"/>
            <w:gridSpan w:val="2"/>
            <w:tcBorders>
              <w:top w:val="nil"/>
              <w:left w:val="single" w:sz="4" w:space="0" w:color="auto"/>
              <w:bottom w:val="nil"/>
              <w:right w:val="single" w:sz="4" w:space="0" w:color="auto"/>
            </w:tcBorders>
          </w:tcPr>
          <w:p w:rsidR="00E64CEF" w:rsidRPr="00312A41" w:rsidRDefault="00E64CEF" w:rsidP="00A506D2">
            <w:pPr>
              <w:pStyle w:val="Table2"/>
            </w:pPr>
            <w:r w:rsidRPr="00312A41">
              <w:t>Fish and fish products</w:t>
            </w:r>
          </w:p>
        </w:tc>
        <w:tc>
          <w:tcPr>
            <w:tcW w:w="2371" w:type="dxa"/>
            <w:gridSpan w:val="2"/>
            <w:tcBorders>
              <w:top w:val="nil"/>
              <w:left w:val="single" w:sz="4" w:space="0" w:color="auto"/>
              <w:bottom w:val="nil"/>
              <w:right w:val="single" w:sz="4" w:space="0" w:color="auto"/>
            </w:tcBorders>
          </w:tcPr>
          <w:p w:rsidR="00E64CEF" w:rsidRPr="00312A41" w:rsidRDefault="00E64CEF" w:rsidP="00A506D2">
            <w:pPr>
              <w:pStyle w:val="Table2"/>
              <w:jc w:val="center"/>
            </w:pPr>
            <w:r w:rsidRPr="00312A41">
              <w:t>200</w:t>
            </w:r>
          </w:p>
        </w:tc>
      </w:tr>
      <w:tr w:rsidR="00E64CEF" w:rsidTr="00A506D2">
        <w:trPr>
          <w:gridAfter w:val="1"/>
          <w:wAfter w:w="24" w:type="dxa"/>
          <w:jc w:val="center"/>
        </w:trPr>
        <w:tc>
          <w:tcPr>
            <w:tcW w:w="2566" w:type="dxa"/>
            <w:gridSpan w:val="2"/>
            <w:tcBorders>
              <w:top w:val="nil"/>
              <w:left w:val="single" w:sz="4" w:space="0" w:color="auto"/>
              <w:bottom w:val="single" w:sz="4" w:space="0" w:color="auto"/>
              <w:right w:val="single" w:sz="4" w:space="0" w:color="auto"/>
            </w:tcBorders>
          </w:tcPr>
          <w:p w:rsidR="00E64CEF" w:rsidRPr="00312A41" w:rsidRDefault="00E64CEF" w:rsidP="00A506D2">
            <w:pPr>
              <w:pStyle w:val="Table2"/>
            </w:pPr>
          </w:p>
        </w:tc>
        <w:tc>
          <w:tcPr>
            <w:tcW w:w="4111" w:type="dxa"/>
            <w:gridSpan w:val="2"/>
            <w:tcBorders>
              <w:top w:val="nil"/>
              <w:left w:val="single" w:sz="4" w:space="0" w:color="auto"/>
              <w:bottom w:val="single" w:sz="4" w:space="0" w:color="auto"/>
              <w:right w:val="single" w:sz="4" w:space="0" w:color="auto"/>
            </w:tcBorders>
          </w:tcPr>
          <w:p w:rsidR="00E64CEF" w:rsidRPr="00312A41" w:rsidRDefault="00E64CEF" w:rsidP="00A506D2">
            <w:pPr>
              <w:pStyle w:val="Table2"/>
            </w:pPr>
          </w:p>
        </w:tc>
        <w:tc>
          <w:tcPr>
            <w:tcW w:w="2371" w:type="dxa"/>
            <w:gridSpan w:val="2"/>
            <w:tcBorders>
              <w:top w:val="nil"/>
              <w:left w:val="single" w:sz="4" w:space="0" w:color="auto"/>
              <w:bottom w:val="single" w:sz="4" w:space="0" w:color="auto"/>
              <w:right w:val="single" w:sz="4" w:space="0" w:color="auto"/>
            </w:tcBorders>
          </w:tcPr>
          <w:p w:rsidR="00E64CEF" w:rsidRPr="00312A41" w:rsidRDefault="00E64CEF" w:rsidP="00A506D2">
            <w:pPr>
              <w:pStyle w:val="Table2"/>
            </w:pPr>
          </w:p>
        </w:tc>
      </w:tr>
      <w:tr w:rsidR="00E64CEF" w:rsidTr="00A506D2">
        <w:trPr>
          <w:gridAfter w:val="1"/>
          <w:wAfter w:w="24" w:type="dxa"/>
          <w:jc w:val="center"/>
        </w:trPr>
        <w:tc>
          <w:tcPr>
            <w:tcW w:w="2566" w:type="dxa"/>
            <w:gridSpan w:val="2"/>
            <w:tcBorders>
              <w:top w:val="nil"/>
              <w:left w:val="single" w:sz="4" w:space="0" w:color="auto"/>
              <w:bottom w:val="nil"/>
              <w:right w:val="single" w:sz="4" w:space="0" w:color="auto"/>
            </w:tcBorders>
          </w:tcPr>
          <w:p w:rsidR="00E64CEF" w:rsidRPr="00312A41" w:rsidRDefault="00E64CEF" w:rsidP="00A506D2">
            <w:pPr>
              <w:pStyle w:val="Table2"/>
            </w:pPr>
            <w:r w:rsidRPr="00312A41">
              <w:t>Hydrocyanic acid, total</w:t>
            </w:r>
          </w:p>
        </w:tc>
        <w:tc>
          <w:tcPr>
            <w:tcW w:w="4111" w:type="dxa"/>
            <w:gridSpan w:val="2"/>
            <w:tcBorders>
              <w:top w:val="nil"/>
              <w:left w:val="single" w:sz="4" w:space="0" w:color="auto"/>
              <w:bottom w:val="nil"/>
              <w:right w:val="single" w:sz="4" w:space="0" w:color="auto"/>
            </w:tcBorders>
          </w:tcPr>
          <w:p w:rsidR="00E64CEF" w:rsidRPr="00312A41" w:rsidRDefault="00E64CEF" w:rsidP="00A506D2">
            <w:pPr>
              <w:pStyle w:val="Table2"/>
            </w:pPr>
            <w:r w:rsidRPr="00312A41">
              <w:t>Ready-to-eat cassava chips</w:t>
            </w:r>
          </w:p>
        </w:tc>
        <w:tc>
          <w:tcPr>
            <w:tcW w:w="2371" w:type="dxa"/>
            <w:gridSpan w:val="2"/>
            <w:tcBorders>
              <w:top w:val="nil"/>
              <w:left w:val="single" w:sz="4" w:space="0" w:color="auto"/>
              <w:bottom w:val="nil"/>
              <w:right w:val="single" w:sz="4" w:space="0" w:color="auto"/>
            </w:tcBorders>
          </w:tcPr>
          <w:p w:rsidR="00E64CEF" w:rsidRPr="00312A41" w:rsidRDefault="00E64CEF" w:rsidP="00A506D2">
            <w:pPr>
              <w:pStyle w:val="Table2"/>
              <w:jc w:val="center"/>
            </w:pPr>
            <w:r w:rsidRPr="00312A41">
              <w:t>10</w:t>
            </w:r>
          </w:p>
        </w:tc>
      </w:tr>
      <w:tr w:rsidR="00E64CEF" w:rsidTr="00A506D2">
        <w:trPr>
          <w:gridAfter w:val="1"/>
          <w:wAfter w:w="24" w:type="dxa"/>
          <w:jc w:val="center"/>
        </w:trPr>
        <w:tc>
          <w:tcPr>
            <w:tcW w:w="2566" w:type="dxa"/>
            <w:gridSpan w:val="2"/>
            <w:tcBorders>
              <w:top w:val="nil"/>
              <w:left w:val="single" w:sz="4" w:space="0" w:color="auto"/>
              <w:bottom w:val="single" w:sz="4" w:space="0" w:color="auto"/>
              <w:right w:val="single" w:sz="4" w:space="0" w:color="auto"/>
            </w:tcBorders>
          </w:tcPr>
          <w:p w:rsidR="00E64CEF" w:rsidRPr="00312A41" w:rsidRDefault="00E64CEF" w:rsidP="00A506D2">
            <w:pPr>
              <w:pStyle w:val="Table2"/>
            </w:pPr>
          </w:p>
        </w:tc>
        <w:tc>
          <w:tcPr>
            <w:tcW w:w="4111" w:type="dxa"/>
            <w:gridSpan w:val="2"/>
            <w:tcBorders>
              <w:top w:val="nil"/>
              <w:left w:val="single" w:sz="4" w:space="0" w:color="auto"/>
              <w:bottom w:val="single" w:sz="4" w:space="0" w:color="auto"/>
              <w:right w:val="single" w:sz="4" w:space="0" w:color="auto"/>
            </w:tcBorders>
          </w:tcPr>
          <w:p w:rsidR="00E64CEF" w:rsidRPr="00312A41" w:rsidRDefault="00E64CEF" w:rsidP="00A506D2">
            <w:pPr>
              <w:pStyle w:val="Table2"/>
            </w:pPr>
          </w:p>
        </w:tc>
        <w:tc>
          <w:tcPr>
            <w:tcW w:w="2371" w:type="dxa"/>
            <w:gridSpan w:val="2"/>
            <w:tcBorders>
              <w:top w:val="nil"/>
              <w:left w:val="single" w:sz="4" w:space="0" w:color="auto"/>
              <w:bottom w:val="single" w:sz="4" w:space="0" w:color="auto"/>
              <w:right w:val="single" w:sz="4" w:space="0" w:color="auto"/>
            </w:tcBorders>
          </w:tcPr>
          <w:p w:rsidR="00E64CEF" w:rsidRPr="00312A41" w:rsidRDefault="00E64CEF" w:rsidP="00A506D2">
            <w:pPr>
              <w:pStyle w:val="Table2"/>
              <w:jc w:val="center"/>
            </w:pPr>
          </w:p>
        </w:tc>
      </w:tr>
      <w:tr w:rsidR="00E64CEF" w:rsidTr="00E35BCD">
        <w:trPr>
          <w:gridAfter w:val="1"/>
          <w:wAfter w:w="24" w:type="dxa"/>
          <w:cantSplit/>
          <w:jc w:val="center"/>
        </w:trPr>
        <w:tc>
          <w:tcPr>
            <w:tcW w:w="2566" w:type="dxa"/>
            <w:gridSpan w:val="2"/>
            <w:tcBorders>
              <w:top w:val="nil"/>
              <w:left w:val="single" w:sz="4" w:space="0" w:color="auto"/>
              <w:bottom w:val="nil"/>
              <w:right w:val="single" w:sz="4" w:space="0" w:color="auto"/>
            </w:tcBorders>
          </w:tcPr>
          <w:p w:rsidR="00E64CEF" w:rsidRPr="00312A41" w:rsidRDefault="00E64CEF" w:rsidP="00A506D2">
            <w:pPr>
              <w:pStyle w:val="Table2"/>
            </w:pPr>
            <w:r w:rsidRPr="00312A41">
              <w:t>Lupin alkaloids</w:t>
            </w:r>
          </w:p>
        </w:tc>
        <w:tc>
          <w:tcPr>
            <w:tcW w:w="4111" w:type="dxa"/>
            <w:gridSpan w:val="2"/>
            <w:tcBorders>
              <w:top w:val="nil"/>
              <w:left w:val="single" w:sz="4" w:space="0" w:color="auto"/>
              <w:bottom w:val="nil"/>
              <w:right w:val="single" w:sz="4" w:space="0" w:color="auto"/>
            </w:tcBorders>
          </w:tcPr>
          <w:p w:rsidR="00E64CEF" w:rsidRPr="00312A41" w:rsidRDefault="00E64CEF" w:rsidP="00A506D2">
            <w:pPr>
              <w:pStyle w:val="Table2"/>
            </w:pPr>
            <w:r w:rsidRPr="00312A41">
              <w:t>Lupin flour, lupin kernel flour, lupin kernel meal and lupin hulls</w:t>
            </w:r>
          </w:p>
        </w:tc>
        <w:tc>
          <w:tcPr>
            <w:tcW w:w="2371" w:type="dxa"/>
            <w:gridSpan w:val="2"/>
            <w:tcBorders>
              <w:top w:val="nil"/>
              <w:left w:val="single" w:sz="4" w:space="0" w:color="auto"/>
              <w:bottom w:val="nil"/>
              <w:right w:val="single" w:sz="4" w:space="0" w:color="auto"/>
            </w:tcBorders>
          </w:tcPr>
          <w:p w:rsidR="00E64CEF" w:rsidRPr="00312A41" w:rsidRDefault="00E64CEF" w:rsidP="00A506D2">
            <w:pPr>
              <w:pStyle w:val="Table2"/>
              <w:jc w:val="center"/>
            </w:pPr>
            <w:r w:rsidRPr="00312A41">
              <w:t>200</w:t>
            </w:r>
          </w:p>
        </w:tc>
      </w:tr>
      <w:tr w:rsidR="00E64CEF" w:rsidTr="00A506D2">
        <w:trPr>
          <w:gridAfter w:val="1"/>
          <w:wAfter w:w="24" w:type="dxa"/>
          <w:jc w:val="center"/>
        </w:trPr>
        <w:tc>
          <w:tcPr>
            <w:tcW w:w="2566" w:type="dxa"/>
            <w:gridSpan w:val="2"/>
            <w:tcBorders>
              <w:top w:val="nil"/>
              <w:left w:val="single" w:sz="4" w:space="0" w:color="auto"/>
              <w:bottom w:val="nil"/>
              <w:right w:val="single" w:sz="4" w:space="0" w:color="auto"/>
            </w:tcBorders>
          </w:tcPr>
          <w:p w:rsidR="00E64CEF" w:rsidRPr="00312A41" w:rsidRDefault="00E64CEF" w:rsidP="00A506D2">
            <w:pPr>
              <w:pStyle w:val="Table2"/>
              <w:tabs>
                <w:tab w:val="left" w:pos="2506"/>
              </w:tabs>
            </w:pPr>
          </w:p>
        </w:tc>
        <w:tc>
          <w:tcPr>
            <w:tcW w:w="4111" w:type="dxa"/>
            <w:gridSpan w:val="2"/>
            <w:tcBorders>
              <w:top w:val="nil"/>
              <w:left w:val="single" w:sz="4" w:space="0" w:color="auto"/>
              <w:bottom w:val="nil"/>
              <w:right w:val="single" w:sz="4" w:space="0" w:color="auto"/>
            </w:tcBorders>
          </w:tcPr>
          <w:p w:rsidR="00E64CEF" w:rsidRPr="00312A41" w:rsidRDefault="00E64CEF" w:rsidP="00A506D2">
            <w:pPr>
              <w:pStyle w:val="Table2"/>
              <w:tabs>
                <w:tab w:val="left" w:pos="2506"/>
              </w:tabs>
            </w:pPr>
          </w:p>
        </w:tc>
        <w:tc>
          <w:tcPr>
            <w:tcW w:w="2371" w:type="dxa"/>
            <w:gridSpan w:val="2"/>
            <w:tcBorders>
              <w:top w:val="nil"/>
              <w:left w:val="single" w:sz="4" w:space="0" w:color="auto"/>
              <w:bottom w:val="nil"/>
              <w:right w:val="single" w:sz="4" w:space="0" w:color="auto"/>
            </w:tcBorders>
          </w:tcPr>
          <w:p w:rsidR="00E64CEF" w:rsidRPr="00312A41" w:rsidRDefault="00E64CEF" w:rsidP="00A506D2">
            <w:pPr>
              <w:pStyle w:val="Table2"/>
              <w:tabs>
                <w:tab w:val="left" w:pos="2506"/>
              </w:tabs>
              <w:jc w:val="center"/>
            </w:pPr>
          </w:p>
        </w:tc>
      </w:tr>
      <w:tr w:rsidR="00E64CEF" w:rsidTr="00A506D2">
        <w:trPr>
          <w:gridBefore w:val="1"/>
          <w:wBefore w:w="25" w:type="dxa"/>
          <w:jc w:val="center"/>
        </w:trPr>
        <w:tc>
          <w:tcPr>
            <w:tcW w:w="2566" w:type="dxa"/>
            <w:gridSpan w:val="2"/>
            <w:tcBorders>
              <w:top w:val="single" w:sz="4" w:space="0" w:color="auto"/>
              <w:left w:val="single" w:sz="4" w:space="0" w:color="auto"/>
              <w:bottom w:val="nil"/>
              <w:right w:val="single" w:sz="4" w:space="0" w:color="auto"/>
            </w:tcBorders>
          </w:tcPr>
          <w:p w:rsidR="00E64CEF" w:rsidRPr="00312A41" w:rsidRDefault="00E64CEF" w:rsidP="00A506D2">
            <w:pPr>
              <w:pStyle w:val="Table2"/>
              <w:tabs>
                <w:tab w:val="left" w:pos="2506"/>
              </w:tabs>
            </w:pPr>
            <w:r w:rsidRPr="00312A41">
              <w:t>The ML for Tutin to cease on 31 March 2011</w:t>
            </w:r>
          </w:p>
        </w:tc>
        <w:tc>
          <w:tcPr>
            <w:tcW w:w="4111" w:type="dxa"/>
            <w:gridSpan w:val="2"/>
            <w:tcBorders>
              <w:top w:val="single" w:sz="4" w:space="0" w:color="auto"/>
              <w:left w:val="single" w:sz="4" w:space="0" w:color="auto"/>
              <w:bottom w:val="nil"/>
              <w:right w:val="single" w:sz="4" w:space="0" w:color="auto"/>
            </w:tcBorders>
          </w:tcPr>
          <w:p w:rsidR="00E64CEF" w:rsidRPr="00312A41" w:rsidRDefault="00E64CEF" w:rsidP="00A506D2">
            <w:pPr>
              <w:pStyle w:val="Table2"/>
              <w:tabs>
                <w:tab w:val="left" w:pos="2506"/>
              </w:tabs>
              <w:rPr>
                <w:b/>
              </w:rPr>
            </w:pPr>
          </w:p>
        </w:tc>
        <w:tc>
          <w:tcPr>
            <w:tcW w:w="2370" w:type="dxa"/>
            <w:gridSpan w:val="2"/>
            <w:tcBorders>
              <w:top w:val="single" w:sz="4" w:space="0" w:color="auto"/>
              <w:left w:val="single" w:sz="4" w:space="0" w:color="auto"/>
              <w:bottom w:val="nil"/>
              <w:right w:val="single" w:sz="4" w:space="0" w:color="auto"/>
            </w:tcBorders>
          </w:tcPr>
          <w:p w:rsidR="00E64CEF" w:rsidRPr="00312A41" w:rsidRDefault="00E64CEF" w:rsidP="00A506D2">
            <w:pPr>
              <w:pStyle w:val="Table2"/>
              <w:tabs>
                <w:tab w:val="left" w:pos="2506"/>
              </w:tabs>
            </w:pPr>
          </w:p>
        </w:tc>
      </w:tr>
      <w:tr w:rsidR="00E64CEF" w:rsidTr="00A506D2">
        <w:trPr>
          <w:gridBefore w:val="1"/>
          <w:wBefore w:w="25" w:type="dxa"/>
          <w:jc w:val="center"/>
        </w:trPr>
        <w:tc>
          <w:tcPr>
            <w:tcW w:w="2566" w:type="dxa"/>
            <w:gridSpan w:val="2"/>
            <w:tcBorders>
              <w:top w:val="nil"/>
              <w:left w:val="single" w:sz="4" w:space="0" w:color="auto"/>
              <w:bottom w:val="nil"/>
              <w:right w:val="single" w:sz="4" w:space="0" w:color="auto"/>
            </w:tcBorders>
          </w:tcPr>
          <w:p w:rsidR="00E64CEF" w:rsidRPr="00312A41" w:rsidRDefault="00E64CEF" w:rsidP="00A506D2">
            <w:pPr>
              <w:pStyle w:val="Table2"/>
              <w:tabs>
                <w:tab w:val="left" w:pos="2506"/>
              </w:tabs>
            </w:pPr>
            <w:r w:rsidRPr="00312A41">
              <w:t>Tutin</w:t>
            </w:r>
          </w:p>
        </w:tc>
        <w:tc>
          <w:tcPr>
            <w:tcW w:w="4111" w:type="dxa"/>
            <w:gridSpan w:val="2"/>
            <w:tcBorders>
              <w:top w:val="nil"/>
              <w:left w:val="single" w:sz="4" w:space="0" w:color="auto"/>
              <w:bottom w:val="nil"/>
              <w:right w:val="single" w:sz="4" w:space="0" w:color="auto"/>
            </w:tcBorders>
          </w:tcPr>
          <w:p w:rsidR="00E64CEF" w:rsidRPr="00312A41" w:rsidRDefault="00E64CEF" w:rsidP="00A506D2">
            <w:pPr>
              <w:pStyle w:val="Table2"/>
              <w:tabs>
                <w:tab w:val="left" w:pos="2506"/>
              </w:tabs>
            </w:pPr>
            <w:r w:rsidRPr="00312A41">
              <w:t>Tutin in honey</w:t>
            </w:r>
          </w:p>
        </w:tc>
        <w:tc>
          <w:tcPr>
            <w:tcW w:w="2370" w:type="dxa"/>
            <w:gridSpan w:val="2"/>
            <w:tcBorders>
              <w:top w:val="nil"/>
              <w:left w:val="single" w:sz="4" w:space="0" w:color="auto"/>
              <w:bottom w:val="nil"/>
              <w:right w:val="single" w:sz="4" w:space="0" w:color="auto"/>
            </w:tcBorders>
          </w:tcPr>
          <w:p w:rsidR="00E64CEF" w:rsidRPr="00312A41" w:rsidRDefault="00E64CEF" w:rsidP="00A506D2">
            <w:pPr>
              <w:pStyle w:val="Table2"/>
              <w:tabs>
                <w:tab w:val="left" w:pos="2506"/>
              </w:tabs>
              <w:jc w:val="center"/>
            </w:pPr>
            <w:r w:rsidRPr="00312A41">
              <w:t>2</w:t>
            </w:r>
          </w:p>
        </w:tc>
      </w:tr>
      <w:tr w:rsidR="00E64CEF" w:rsidTr="00A506D2">
        <w:trPr>
          <w:gridBefore w:val="1"/>
          <w:wBefore w:w="25" w:type="dxa"/>
          <w:jc w:val="center"/>
        </w:trPr>
        <w:tc>
          <w:tcPr>
            <w:tcW w:w="2566" w:type="dxa"/>
            <w:gridSpan w:val="2"/>
            <w:tcBorders>
              <w:top w:val="nil"/>
              <w:left w:val="single" w:sz="4" w:space="0" w:color="auto"/>
              <w:bottom w:val="nil"/>
              <w:right w:val="single" w:sz="4" w:space="0" w:color="auto"/>
            </w:tcBorders>
          </w:tcPr>
          <w:p w:rsidR="00E64CEF" w:rsidRPr="00312A41" w:rsidRDefault="00E64CEF" w:rsidP="00A506D2">
            <w:pPr>
              <w:pStyle w:val="Table2"/>
              <w:tabs>
                <w:tab w:val="left" w:pos="2506"/>
              </w:tabs>
            </w:pPr>
          </w:p>
        </w:tc>
        <w:tc>
          <w:tcPr>
            <w:tcW w:w="4111" w:type="dxa"/>
            <w:gridSpan w:val="2"/>
            <w:tcBorders>
              <w:top w:val="nil"/>
              <w:left w:val="single" w:sz="4" w:space="0" w:color="auto"/>
              <w:bottom w:val="nil"/>
              <w:right w:val="single" w:sz="4" w:space="0" w:color="auto"/>
            </w:tcBorders>
          </w:tcPr>
          <w:p w:rsidR="00E64CEF" w:rsidRPr="00312A41" w:rsidRDefault="00E64CEF" w:rsidP="00A506D2">
            <w:pPr>
              <w:pStyle w:val="Table2"/>
              <w:tabs>
                <w:tab w:val="left" w:pos="2506"/>
              </w:tabs>
            </w:pPr>
            <w:r w:rsidRPr="00312A41">
              <w:t>Tutin in comb honey</w:t>
            </w:r>
          </w:p>
        </w:tc>
        <w:tc>
          <w:tcPr>
            <w:tcW w:w="2370" w:type="dxa"/>
            <w:gridSpan w:val="2"/>
            <w:tcBorders>
              <w:top w:val="nil"/>
              <w:left w:val="single" w:sz="4" w:space="0" w:color="auto"/>
              <w:bottom w:val="nil"/>
              <w:right w:val="single" w:sz="4" w:space="0" w:color="auto"/>
            </w:tcBorders>
          </w:tcPr>
          <w:p w:rsidR="00E64CEF" w:rsidRPr="00312A41" w:rsidRDefault="00E64CEF" w:rsidP="00A506D2">
            <w:pPr>
              <w:pStyle w:val="Table2"/>
              <w:tabs>
                <w:tab w:val="left" w:pos="2506"/>
              </w:tabs>
              <w:jc w:val="center"/>
            </w:pPr>
            <w:r w:rsidRPr="00312A41">
              <w:t>0.1</w:t>
            </w:r>
          </w:p>
        </w:tc>
      </w:tr>
      <w:tr w:rsidR="00E64CEF" w:rsidTr="00A506D2">
        <w:trPr>
          <w:gridBefore w:val="1"/>
          <w:wBefore w:w="25" w:type="dxa"/>
          <w:jc w:val="center"/>
        </w:trPr>
        <w:tc>
          <w:tcPr>
            <w:tcW w:w="2566" w:type="dxa"/>
            <w:gridSpan w:val="2"/>
            <w:tcBorders>
              <w:top w:val="nil"/>
              <w:left w:val="single" w:sz="4" w:space="0" w:color="auto"/>
              <w:bottom w:val="single" w:sz="4" w:space="0" w:color="auto"/>
              <w:right w:val="single" w:sz="4" w:space="0" w:color="auto"/>
            </w:tcBorders>
          </w:tcPr>
          <w:p w:rsidR="00E64CEF" w:rsidRPr="00312A41" w:rsidRDefault="00E64CEF" w:rsidP="00A506D2">
            <w:pPr>
              <w:pStyle w:val="Table2"/>
            </w:pPr>
          </w:p>
        </w:tc>
        <w:tc>
          <w:tcPr>
            <w:tcW w:w="4111" w:type="dxa"/>
            <w:gridSpan w:val="2"/>
            <w:tcBorders>
              <w:top w:val="nil"/>
              <w:left w:val="single" w:sz="4" w:space="0" w:color="auto"/>
              <w:bottom w:val="single" w:sz="4" w:space="0" w:color="auto"/>
              <w:right w:val="single" w:sz="4" w:space="0" w:color="auto"/>
            </w:tcBorders>
          </w:tcPr>
          <w:p w:rsidR="00E64CEF" w:rsidRPr="00312A41" w:rsidRDefault="00E64CEF" w:rsidP="00A506D2">
            <w:pPr>
              <w:pStyle w:val="Table2"/>
            </w:pPr>
          </w:p>
        </w:tc>
        <w:tc>
          <w:tcPr>
            <w:tcW w:w="2370" w:type="dxa"/>
            <w:gridSpan w:val="2"/>
            <w:tcBorders>
              <w:top w:val="nil"/>
              <w:left w:val="single" w:sz="4" w:space="0" w:color="auto"/>
              <w:bottom w:val="single" w:sz="4" w:space="0" w:color="auto"/>
              <w:right w:val="single" w:sz="4" w:space="0" w:color="auto"/>
            </w:tcBorders>
          </w:tcPr>
          <w:p w:rsidR="00E64CEF" w:rsidRPr="00312A41" w:rsidRDefault="00E64CEF" w:rsidP="00A506D2">
            <w:pPr>
              <w:pStyle w:val="Table2"/>
              <w:jc w:val="center"/>
            </w:pPr>
          </w:p>
        </w:tc>
      </w:tr>
    </w:tbl>
    <w:p w:rsidR="00E64CEF" w:rsidRPr="000A6D2C" w:rsidRDefault="00E64CEF" w:rsidP="00E64CEF">
      <w:pPr>
        <w:ind w:left="851" w:hanging="851"/>
        <w:rPr>
          <w:iCs/>
          <w:sz w:val="20"/>
          <w:szCs w:val="20"/>
        </w:rPr>
      </w:pPr>
    </w:p>
    <w:p w:rsidR="00E64CEF" w:rsidRPr="000A6D2C" w:rsidRDefault="00E64CEF" w:rsidP="00E64CEF">
      <w:pPr>
        <w:pStyle w:val="Clause"/>
      </w:pPr>
      <w:r w:rsidRPr="000A6D2C">
        <w:rPr>
          <w:b/>
          <w:bCs/>
        </w:rPr>
        <w:t>[18]</w:t>
      </w:r>
      <w:r w:rsidRPr="000A6D2C">
        <w:tab/>
      </w:r>
      <w:r w:rsidRPr="000A6D2C">
        <w:rPr>
          <w:b/>
          <w:bCs/>
          <w:i/>
        </w:rPr>
        <w:t>Standard 1.4.2</w:t>
      </w:r>
      <w:r w:rsidRPr="000A6D2C">
        <w:rPr>
          <w:i/>
        </w:rPr>
        <w:t xml:space="preserve"> of the Australia New Zealand Food Standards Code is varied by</w:t>
      </w:r>
      <w:r w:rsidRPr="000A6D2C">
        <w:t xml:space="preserve"> – </w:t>
      </w:r>
    </w:p>
    <w:p w:rsidR="00E64CEF" w:rsidRPr="000A6D2C" w:rsidRDefault="00E64CEF" w:rsidP="00E64CEF">
      <w:pPr>
        <w:rPr>
          <w:i/>
          <w:iCs/>
          <w:sz w:val="20"/>
          <w:szCs w:val="20"/>
        </w:rPr>
      </w:pPr>
    </w:p>
    <w:p w:rsidR="00E64CEF" w:rsidRPr="000A6D2C" w:rsidRDefault="00E64CEF" w:rsidP="00E64CEF">
      <w:pPr>
        <w:pStyle w:val="Clause"/>
      </w:pPr>
      <w:r w:rsidRPr="000A6D2C">
        <w:t>[18.1]</w:t>
      </w:r>
      <w:r w:rsidRPr="000A6D2C">
        <w:tab/>
      </w:r>
      <w:r w:rsidRPr="000A6D2C">
        <w:rPr>
          <w:i/>
        </w:rPr>
        <w:t xml:space="preserve">inserting after subclause 1(7) </w:t>
      </w:r>
      <w:r w:rsidRPr="000A6D2C">
        <w:t xml:space="preserve">– </w:t>
      </w:r>
    </w:p>
    <w:p w:rsidR="00E64CEF" w:rsidRPr="000A6D2C" w:rsidRDefault="00E64CEF" w:rsidP="00E64CEF">
      <w:pPr>
        <w:rPr>
          <w:i/>
          <w:iCs/>
          <w:sz w:val="20"/>
          <w:szCs w:val="20"/>
        </w:rPr>
      </w:pPr>
    </w:p>
    <w:p w:rsidR="00E64CEF" w:rsidRPr="000A6D2C" w:rsidRDefault="00E64CEF" w:rsidP="00E64CEF">
      <w:pPr>
        <w:pStyle w:val="Subclause"/>
      </w:pPr>
      <w:r w:rsidRPr="000A6D2C">
        <w:t>(8)</w:t>
      </w:r>
      <w:r w:rsidRPr="000A6D2C">
        <w:tab/>
        <w:t>To avoid doubt, this Standard does not apply to packaged water.</w:t>
      </w:r>
    </w:p>
    <w:p w:rsidR="00E64CEF" w:rsidRPr="000A6D2C" w:rsidRDefault="00E64CEF" w:rsidP="00E64CEF">
      <w:pPr>
        <w:rPr>
          <w:iCs/>
          <w:sz w:val="20"/>
          <w:szCs w:val="20"/>
        </w:rPr>
      </w:pPr>
    </w:p>
    <w:p w:rsidR="00E64CEF" w:rsidRPr="000A6D2C" w:rsidRDefault="00E64CEF" w:rsidP="00E64CEF">
      <w:pPr>
        <w:pStyle w:val="Clause"/>
      </w:pPr>
      <w:r w:rsidRPr="000A6D2C">
        <w:t>[18.2]</w:t>
      </w:r>
      <w:r w:rsidRPr="000A6D2C">
        <w:tab/>
      </w:r>
      <w:r w:rsidRPr="000A6D2C">
        <w:rPr>
          <w:i/>
        </w:rPr>
        <w:t>omitting subclause 4(2), substituting</w:t>
      </w:r>
      <w:r w:rsidRPr="000A6D2C">
        <w:t xml:space="preserve"> – </w:t>
      </w:r>
    </w:p>
    <w:p w:rsidR="00E64CEF" w:rsidRPr="000A6D2C" w:rsidRDefault="00E64CEF" w:rsidP="00E64CEF">
      <w:pPr>
        <w:ind w:left="851" w:hanging="851"/>
        <w:rPr>
          <w:i/>
          <w:iCs/>
          <w:sz w:val="20"/>
          <w:szCs w:val="20"/>
        </w:rPr>
      </w:pPr>
    </w:p>
    <w:p w:rsidR="00E64CEF" w:rsidRPr="000A6D2C" w:rsidRDefault="00E64CEF" w:rsidP="00E64CEF">
      <w:pPr>
        <w:pStyle w:val="Subclause"/>
      </w:pPr>
      <w:r w:rsidRPr="000A6D2C">
        <w:t>(2)</w:t>
      </w:r>
      <w:r w:rsidRPr="000A6D2C">
        <w:tab/>
        <w:t>Unless Schedules 1 or 2 specify a separate MRL or ERL for a processed food, the MRL or ERL applies to that food whether raw or processed, including separated fractions.</w:t>
      </w:r>
    </w:p>
    <w:p w:rsidR="00E64CEF" w:rsidRPr="000A6D2C" w:rsidRDefault="00E64CEF" w:rsidP="00E64CEF">
      <w:pPr>
        <w:rPr>
          <w:iCs/>
          <w:sz w:val="20"/>
          <w:szCs w:val="20"/>
        </w:rPr>
      </w:pPr>
    </w:p>
    <w:p w:rsidR="00E64CEF" w:rsidRPr="000A6D2C" w:rsidRDefault="00E64CEF" w:rsidP="00E64CEF">
      <w:pPr>
        <w:pStyle w:val="Clause"/>
      </w:pPr>
      <w:r w:rsidRPr="000A6D2C">
        <w:t>[18.3]</w:t>
      </w:r>
      <w:r w:rsidRPr="000A6D2C">
        <w:tab/>
      </w:r>
      <w:r w:rsidRPr="000A6D2C">
        <w:rPr>
          <w:i/>
        </w:rPr>
        <w:t xml:space="preserve">omitting the heading to </w:t>
      </w:r>
      <w:r w:rsidRPr="000A6D2C">
        <w:t xml:space="preserve">Schedule 1, </w:t>
      </w:r>
      <w:r w:rsidRPr="000A6D2C">
        <w:rPr>
          <w:i/>
        </w:rPr>
        <w:t>substituting</w:t>
      </w:r>
      <w:r w:rsidRPr="000A6D2C">
        <w:t xml:space="preserve"> – </w:t>
      </w:r>
    </w:p>
    <w:p w:rsidR="00E64CEF" w:rsidRPr="000A6D2C" w:rsidRDefault="00E64CEF" w:rsidP="00E64CEF">
      <w:pPr>
        <w:rPr>
          <w:i/>
          <w:iCs/>
          <w:sz w:val="20"/>
          <w:szCs w:val="20"/>
        </w:rPr>
      </w:pPr>
    </w:p>
    <w:p w:rsidR="00E64CEF" w:rsidRPr="000A6D2C" w:rsidRDefault="00E64CEF" w:rsidP="00E35BCD">
      <w:pPr>
        <w:pStyle w:val="TableHeading"/>
      </w:pPr>
      <w:r w:rsidRPr="000A6D2C">
        <w:t>Maximum Residue Limits (mg/kg)</w:t>
      </w:r>
    </w:p>
    <w:p w:rsidR="00E64CEF" w:rsidRPr="000A6D2C" w:rsidRDefault="00E64CEF" w:rsidP="00E64CEF">
      <w:pPr>
        <w:rPr>
          <w:i/>
          <w:iCs/>
          <w:sz w:val="20"/>
          <w:szCs w:val="20"/>
        </w:rPr>
      </w:pPr>
    </w:p>
    <w:p w:rsidR="00E64CEF" w:rsidRPr="000A6D2C" w:rsidRDefault="00E64CEF" w:rsidP="00E64CEF">
      <w:pPr>
        <w:pStyle w:val="Clause"/>
      </w:pPr>
      <w:r w:rsidRPr="000A6D2C">
        <w:t>[18.4]</w:t>
      </w:r>
      <w:r w:rsidRPr="000A6D2C">
        <w:tab/>
      </w:r>
      <w:r w:rsidRPr="000A6D2C">
        <w:rPr>
          <w:i/>
        </w:rPr>
        <w:t xml:space="preserve">omitting </w:t>
      </w:r>
      <w:r w:rsidRPr="000A6D2C">
        <w:t xml:space="preserve">and/or </w:t>
      </w:r>
      <w:r w:rsidRPr="000A6D2C">
        <w:rPr>
          <w:i/>
        </w:rPr>
        <w:t xml:space="preserve">wherever appearing in </w:t>
      </w:r>
      <w:r w:rsidRPr="000A6D2C">
        <w:t xml:space="preserve">Schedule 1, </w:t>
      </w:r>
      <w:r w:rsidRPr="000A6D2C">
        <w:rPr>
          <w:i/>
        </w:rPr>
        <w:t xml:space="preserve">substituting </w:t>
      </w:r>
      <w:r w:rsidRPr="000A6D2C">
        <w:t>and</w:t>
      </w:r>
    </w:p>
    <w:p w:rsidR="00E64CEF" w:rsidRPr="000A6D2C" w:rsidRDefault="00E64CEF" w:rsidP="00E64CEF">
      <w:pPr>
        <w:rPr>
          <w:sz w:val="20"/>
          <w:szCs w:val="20"/>
        </w:rPr>
      </w:pPr>
    </w:p>
    <w:p w:rsidR="00E64CEF" w:rsidRPr="000A6D2C" w:rsidRDefault="00E64CEF" w:rsidP="00E35BCD">
      <w:pPr>
        <w:pStyle w:val="Clause"/>
      </w:pPr>
      <w:r w:rsidRPr="000A6D2C">
        <w:t>[18.5]</w:t>
      </w:r>
      <w:r w:rsidRPr="000A6D2C">
        <w:tab/>
      </w:r>
      <w:r w:rsidRPr="000A6D2C">
        <w:rPr>
          <w:i/>
        </w:rPr>
        <w:t xml:space="preserve">omitting the heading to </w:t>
      </w:r>
      <w:r w:rsidRPr="000A6D2C">
        <w:t>Schedule 2</w:t>
      </w:r>
      <w:r w:rsidRPr="000A6D2C">
        <w:rPr>
          <w:i/>
        </w:rPr>
        <w:t xml:space="preserve">, substituting </w:t>
      </w:r>
      <w:r w:rsidRPr="000A6D2C">
        <w:t xml:space="preserve">– </w:t>
      </w:r>
    </w:p>
    <w:p w:rsidR="00E64CEF" w:rsidRPr="000A6D2C" w:rsidRDefault="00E64CEF" w:rsidP="00E64CEF">
      <w:pPr>
        <w:rPr>
          <w:i/>
          <w:iCs/>
          <w:sz w:val="20"/>
          <w:szCs w:val="20"/>
        </w:rPr>
      </w:pPr>
    </w:p>
    <w:p w:rsidR="00E64CEF" w:rsidRPr="000A6D2C" w:rsidRDefault="00E64CEF" w:rsidP="00E35BCD">
      <w:pPr>
        <w:pStyle w:val="TableHeading"/>
      </w:pPr>
      <w:r w:rsidRPr="000A6D2C">
        <w:t>Extraneous Residue Limits (mg/kg)</w:t>
      </w:r>
    </w:p>
    <w:p w:rsidR="00E64CEF" w:rsidRPr="000A6D2C" w:rsidRDefault="00E64CEF" w:rsidP="00E64CEF">
      <w:pPr>
        <w:ind w:left="851" w:hanging="851"/>
        <w:rPr>
          <w:iCs/>
          <w:sz w:val="20"/>
          <w:szCs w:val="20"/>
        </w:rPr>
      </w:pPr>
    </w:p>
    <w:p w:rsidR="00E64CEF" w:rsidRPr="000A6D2C" w:rsidRDefault="00E64CEF" w:rsidP="00E64CEF">
      <w:pPr>
        <w:pStyle w:val="Clause"/>
      </w:pPr>
      <w:r w:rsidRPr="000A6D2C">
        <w:t>[18.6]</w:t>
      </w:r>
      <w:r w:rsidRPr="000A6D2C">
        <w:tab/>
      </w:r>
      <w:r w:rsidRPr="000A6D2C">
        <w:rPr>
          <w:i/>
        </w:rPr>
        <w:t xml:space="preserve">omitting </w:t>
      </w:r>
      <w:r w:rsidRPr="000A6D2C">
        <w:t xml:space="preserve">and/or </w:t>
      </w:r>
      <w:r w:rsidRPr="000A6D2C">
        <w:rPr>
          <w:i/>
        </w:rPr>
        <w:t xml:space="preserve">wherever appearing in </w:t>
      </w:r>
      <w:r w:rsidRPr="000A6D2C">
        <w:t xml:space="preserve">Schedule 4, </w:t>
      </w:r>
      <w:r w:rsidRPr="000A6D2C">
        <w:rPr>
          <w:i/>
        </w:rPr>
        <w:t xml:space="preserve">substituting </w:t>
      </w:r>
      <w:r w:rsidRPr="000A6D2C">
        <w:t>or</w:t>
      </w:r>
    </w:p>
    <w:p w:rsidR="00E64CEF" w:rsidRPr="000A6D2C" w:rsidRDefault="00E64CEF" w:rsidP="00E64CEF">
      <w:pPr>
        <w:rPr>
          <w:sz w:val="20"/>
          <w:szCs w:val="20"/>
        </w:rPr>
      </w:pPr>
    </w:p>
    <w:p w:rsidR="00E64CEF" w:rsidRPr="000A6D2C" w:rsidRDefault="00E64CEF" w:rsidP="00E64CEF">
      <w:pPr>
        <w:pStyle w:val="Clause"/>
      </w:pPr>
      <w:r w:rsidRPr="000A6D2C">
        <w:rPr>
          <w:b/>
          <w:bCs/>
        </w:rPr>
        <w:t>[19]</w:t>
      </w:r>
      <w:r w:rsidRPr="000A6D2C">
        <w:tab/>
      </w:r>
      <w:r w:rsidRPr="000A6D2C">
        <w:rPr>
          <w:b/>
          <w:bCs/>
          <w:i/>
        </w:rPr>
        <w:t>Standard 1.4.4</w:t>
      </w:r>
      <w:r w:rsidRPr="000A6D2C">
        <w:rPr>
          <w:i/>
        </w:rPr>
        <w:t xml:space="preserve"> of the Australia New Zealand Food Standards Code is varied by</w:t>
      </w:r>
      <w:r w:rsidRPr="000A6D2C">
        <w:t xml:space="preserve"> – </w:t>
      </w:r>
    </w:p>
    <w:p w:rsidR="00C342E0" w:rsidRDefault="00C342E0" w:rsidP="00E64CEF">
      <w:pPr>
        <w:rPr>
          <w:sz w:val="20"/>
          <w:szCs w:val="20"/>
        </w:rPr>
      </w:pPr>
      <w:r>
        <w:rPr>
          <w:sz w:val="20"/>
          <w:szCs w:val="20"/>
        </w:rPr>
        <w:br w:type="page"/>
      </w:r>
    </w:p>
    <w:p w:rsidR="00E64CEF" w:rsidRPr="000A6D2C" w:rsidRDefault="00E64CEF" w:rsidP="00E64CEF">
      <w:pPr>
        <w:rPr>
          <w:sz w:val="20"/>
          <w:szCs w:val="20"/>
        </w:rPr>
      </w:pPr>
    </w:p>
    <w:p w:rsidR="00E64CEF" w:rsidRPr="000A6D2C" w:rsidRDefault="00E64CEF" w:rsidP="00E64CEF">
      <w:pPr>
        <w:pStyle w:val="Clause"/>
      </w:pPr>
      <w:r w:rsidRPr="000A6D2C">
        <w:t>[19.1]</w:t>
      </w:r>
      <w:r w:rsidRPr="000A6D2C">
        <w:tab/>
      </w:r>
      <w:r w:rsidRPr="000A6D2C">
        <w:rPr>
          <w:i/>
        </w:rPr>
        <w:t xml:space="preserve">omitting from </w:t>
      </w:r>
      <w:r w:rsidRPr="000A6D2C">
        <w:t xml:space="preserve">Schedule 1 – </w:t>
      </w:r>
    </w:p>
    <w:p w:rsidR="00E64CEF" w:rsidRPr="000A6D2C" w:rsidRDefault="00E64CEF" w:rsidP="00E64CEF">
      <w:pPr>
        <w:rPr>
          <w:sz w:val="20"/>
          <w:szCs w:val="20"/>
        </w:rPr>
      </w:pPr>
    </w:p>
    <w:p w:rsidR="00E64CEF" w:rsidRPr="000A6D2C" w:rsidRDefault="00E64CEF" w:rsidP="00E35BCD">
      <w:pPr>
        <w:pStyle w:val="Table2"/>
        <w:rPr>
          <w:szCs w:val="18"/>
        </w:rPr>
      </w:pPr>
      <w:r w:rsidRPr="00C342E0">
        <w:rPr>
          <w:i/>
          <w:szCs w:val="18"/>
        </w:rPr>
        <w:t>Plugeus</w:t>
      </w:r>
      <w:r w:rsidRPr="000A6D2C">
        <w:rPr>
          <w:szCs w:val="18"/>
        </w:rPr>
        <w:t xml:space="preserve"> spp.</w:t>
      </w:r>
    </w:p>
    <w:p w:rsidR="00E64CEF" w:rsidRPr="000A6D2C" w:rsidRDefault="00E64CEF" w:rsidP="00E64CEF">
      <w:pPr>
        <w:rPr>
          <w:i/>
          <w:sz w:val="20"/>
          <w:szCs w:val="20"/>
        </w:rPr>
      </w:pPr>
    </w:p>
    <w:p w:rsidR="00E64CEF" w:rsidRPr="000A6D2C" w:rsidRDefault="00E64CEF" w:rsidP="00E35BCD">
      <w:pPr>
        <w:pStyle w:val="Subclause"/>
      </w:pPr>
      <w:r w:rsidRPr="000A6D2C">
        <w:rPr>
          <w:i/>
        </w:rPr>
        <w:t xml:space="preserve">substituting </w:t>
      </w:r>
      <w:r w:rsidRPr="000A6D2C">
        <w:t xml:space="preserve">– </w:t>
      </w:r>
    </w:p>
    <w:p w:rsidR="00E64CEF" w:rsidRPr="000A6D2C" w:rsidRDefault="00E64CEF" w:rsidP="00E64CEF">
      <w:pPr>
        <w:rPr>
          <w:i/>
          <w:sz w:val="20"/>
          <w:szCs w:val="20"/>
        </w:rPr>
      </w:pPr>
    </w:p>
    <w:p w:rsidR="00E64CEF" w:rsidRPr="000A6D2C" w:rsidRDefault="00E64CEF" w:rsidP="00E35BCD">
      <w:pPr>
        <w:pStyle w:val="Table2"/>
        <w:rPr>
          <w:sz w:val="20"/>
        </w:rPr>
      </w:pPr>
      <w:r w:rsidRPr="00C342E0">
        <w:rPr>
          <w:i/>
          <w:sz w:val="20"/>
        </w:rPr>
        <w:t xml:space="preserve">Pluteus </w:t>
      </w:r>
      <w:r w:rsidRPr="000A6D2C">
        <w:rPr>
          <w:sz w:val="20"/>
        </w:rPr>
        <w:t>spp.</w:t>
      </w:r>
    </w:p>
    <w:p w:rsidR="00E64CEF" w:rsidRPr="000A6D2C" w:rsidRDefault="00E64CEF" w:rsidP="00E64CEF">
      <w:pPr>
        <w:rPr>
          <w:i/>
          <w:sz w:val="20"/>
          <w:szCs w:val="20"/>
        </w:rPr>
      </w:pPr>
    </w:p>
    <w:p w:rsidR="00E64CEF" w:rsidRPr="000A6D2C" w:rsidRDefault="00E64CEF" w:rsidP="00E35BCD">
      <w:pPr>
        <w:pStyle w:val="Subclause"/>
      </w:pPr>
      <w:r w:rsidRPr="000A6D2C">
        <w:t>[19.2]</w:t>
      </w:r>
      <w:r w:rsidRPr="000A6D2C">
        <w:tab/>
      </w:r>
      <w:r w:rsidRPr="000A6D2C">
        <w:rPr>
          <w:i/>
        </w:rPr>
        <w:t>omitting from</w:t>
      </w:r>
      <w:r w:rsidRPr="000A6D2C">
        <w:t xml:space="preserve"> Schedule 1 </w:t>
      </w:r>
      <w:r w:rsidRPr="000A6D2C">
        <w:rPr>
          <w:i/>
        </w:rPr>
        <w:t>and</w:t>
      </w:r>
      <w:r w:rsidRPr="000A6D2C">
        <w:t xml:space="preserve"> Schedule 2</w:t>
      </w:r>
      <w:r w:rsidRPr="000A6D2C">
        <w:rPr>
          <w:i/>
        </w:rPr>
        <w:t>, wherever occurring, the symbol</w:t>
      </w:r>
      <w:r w:rsidRPr="000A6D2C">
        <w:t xml:space="preserve"> *</w:t>
      </w:r>
    </w:p>
    <w:p w:rsidR="00E64CEF" w:rsidRPr="000A6D2C" w:rsidRDefault="00E64CEF" w:rsidP="00E64CEF">
      <w:pPr>
        <w:rPr>
          <w:sz w:val="20"/>
          <w:szCs w:val="20"/>
        </w:rPr>
      </w:pPr>
    </w:p>
    <w:p w:rsidR="00E64CEF" w:rsidRPr="000A6D2C" w:rsidRDefault="00E64CEF" w:rsidP="00E35BCD">
      <w:pPr>
        <w:pStyle w:val="Subclause"/>
      </w:pPr>
      <w:r w:rsidRPr="000A6D2C">
        <w:t>[19.3]</w:t>
      </w:r>
      <w:r w:rsidRPr="000A6D2C">
        <w:tab/>
      </w:r>
      <w:r w:rsidRPr="000A6D2C">
        <w:rPr>
          <w:i/>
        </w:rPr>
        <w:t xml:space="preserve">omitting from </w:t>
      </w:r>
      <w:r w:rsidRPr="000A6D2C">
        <w:t xml:space="preserve">Schedule 1 </w:t>
      </w:r>
      <w:r w:rsidRPr="000A6D2C">
        <w:rPr>
          <w:i/>
        </w:rPr>
        <w:t>and</w:t>
      </w:r>
      <w:r w:rsidRPr="000A6D2C">
        <w:t xml:space="preserve"> Schedule 2</w:t>
      </w:r>
      <w:r w:rsidRPr="000A6D2C">
        <w:rPr>
          <w:i/>
        </w:rPr>
        <w:t>, wherever occurring</w:t>
      </w:r>
      <w:r w:rsidRPr="000A6D2C">
        <w:t xml:space="preserve"> – </w:t>
      </w:r>
    </w:p>
    <w:p w:rsidR="00E64CEF" w:rsidRPr="000A6D2C" w:rsidRDefault="00E64CEF" w:rsidP="00E64CEF">
      <w:pPr>
        <w:rPr>
          <w:sz w:val="20"/>
          <w:szCs w:val="20"/>
        </w:rPr>
      </w:pPr>
    </w:p>
    <w:p w:rsidR="00E64CEF" w:rsidRPr="000A6D2C" w:rsidRDefault="00E64CEF" w:rsidP="00E64CEF">
      <w:pPr>
        <w:rPr>
          <w:sz w:val="20"/>
          <w:szCs w:val="20"/>
        </w:rPr>
      </w:pPr>
      <w:r w:rsidRPr="000A6D2C">
        <w:rPr>
          <w:sz w:val="20"/>
          <w:szCs w:val="20"/>
        </w:rPr>
        <w:t>* Not an Australian Approved Name.</w:t>
      </w:r>
    </w:p>
    <w:p w:rsidR="00E64CEF" w:rsidRPr="000A6D2C" w:rsidRDefault="00E64CEF" w:rsidP="00E64CEF">
      <w:pPr>
        <w:rPr>
          <w:i/>
          <w:sz w:val="20"/>
          <w:szCs w:val="20"/>
        </w:rPr>
      </w:pPr>
    </w:p>
    <w:p w:rsidR="00E64CEF" w:rsidRPr="000A6D2C" w:rsidRDefault="00E64CEF" w:rsidP="00E64CEF">
      <w:pPr>
        <w:pStyle w:val="Clause"/>
        <w:rPr>
          <w:bCs/>
        </w:rPr>
      </w:pPr>
      <w:r w:rsidRPr="000A6D2C">
        <w:rPr>
          <w:b/>
          <w:bCs/>
        </w:rPr>
        <w:t>[20]</w:t>
      </w:r>
      <w:r w:rsidRPr="000A6D2C">
        <w:rPr>
          <w:b/>
          <w:bCs/>
        </w:rPr>
        <w:tab/>
      </w:r>
      <w:r w:rsidRPr="000A6D2C">
        <w:rPr>
          <w:b/>
          <w:bCs/>
          <w:i/>
        </w:rPr>
        <w:t xml:space="preserve">Standard 1.5.1 </w:t>
      </w:r>
      <w:r w:rsidRPr="000A6D2C">
        <w:rPr>
          <w:bCs/>
          <w:i/>
        </w:rPr>
        <w:t xml:space="preserve">of the Australia New Zealand Food Standards Code is varied by omitting from the </w:t>
      </w:r>
      <w:r w:rsidRPr="000A6D2C">
        <w:rPr>
          <w:bCs/>
        </w:rPr>
        <w:t xml:space="preserve">Table to clause 2 – </w:t>
      </w:r>
    </w:p>
    <w:p w:rsidR="00E64CEF" w:rsidRPr="000A6D2C" w:rsidRDefault="00E64CEF" w:rsidP="00E64CEF">
      <w:pPr>
        <w:rPr>
          <w:sz w:val="20"/>
          <w:szCs w:val="20"/>
        </w:rPr>
      </w:pPr>
    </w:p>
    <w:tbl>
      <w:tblPr>
        <w:tblW w:w="9072" w:type="dxa"/>
        <w:tblLayout w:type="fixed"/>
        <w:tblCellMar>
          <w:left w:w="80" w:type="dxa"/>
          <w:right w:w="80" w:type="dxa"/>
        </w:tblCellMar>
        <w:tblLook w:val="0000" w:firstRow="0" w:lastRow="0" w:firstColumn="0" w:lastColumn="0" w:noHBand="0" w:noVBand="0"/>
      </w:tblPr>
      <w:tblGrid>
        <w:gridCol w:w="4536"/>
        <w:gridCol w:w="4536"/>
      </w:tblGrid>
      <w:tr w:rsidR="00E64CEF" w:rsidTr="00A506D2">
        <w:trPr>
          <w:cantSplit/>
        </w:trPr>
        <w:tc>
          <w:tcPr>
            <w:tcW w:w="4536" w:type="dxa"/>
            <w:tcBorders>
              <w:top w:val="single" w:sz="6" w:space="0" w:color="auto"/>
              <w:left w:val="single" w:sz="6" w:space="0" w:color="auto"/>
              <w:bottom w:val="single" w:sz="6" w:space="0" w:color="auto"/>
              <w:right w:val="single" w:sz="6" w:space="0" w:color="auto"/>
            </w:tcBorders>
          </w:tcPr>
          <w:p w:rsidR="00E64CEF" w:rsidRDefault="00E64CEF" w:rsidP="00A506D2">
            <w:pPr>
              <w:pStyle w:val="Table2"/>
            </w:pPr>
            <w:r>
              <w:t>Docosahexaenoic acid (DHA) – rich dried marine micro-algae (</w:t>
            </w:r>
            <w:r>
              <w:rPr>
                <w:i/>
                <w:iCs/>
              </w:rPr>
              <w:t xml:space="preserve">Schizochytrium </w:t>
            </w:r>
            <w:r>
              <w:t>sp.)</w:t>
            </w:r>
          </w:p>
        </w:tc>
        <w:tc>
          <w:tcPr>
            <w:tcW w:w="4536" w:type="dxa"/>
            <w:tcBorders>
              <w:top w:val="single" w:sz="6" w:space="0" w:color="auto"/>
              <w:left w:val="single" w:sz="6" w:space="0" w:color="auto"/>
              <w:bottom w:val="single" w:sz="6" w:space="0" w:color="auto"/>
              <w:right w:val="single" w:sz="6" w:space="0" w:color="auto"/>
            </w:tcBorders>
          </w:tcPr>
          <w:p w:rsidR="00E64CEF" w:rsidRDefault="00E64CEF" w:rsidP="00A506D2">
            <w:pPr>
              <w:pStyle w:val="Table2"/>
            </w:pPr>
          </w:p>
        </w:tc>
      </w:tr>
      <w:tr w:rsidR="00E64CEF" w:rsidTr="00A506D2">
        <w:trPr>
          <w:cantSplit/>
        </w:trPr>
        <w:tc>
          <w:tcPr>
            <w:tcW w:w="4536" w:type="dxa"/>
            <w:tcBorders>
              <w:top w:val="single" w:sz="6" w:space="0" w:color="auto"/>
              <w:left w:val="single" w:sz="6" w:space="0" w:color="auto"/>
              <w:bottom w:val="single" w:sz="6" w:space="0" w:color="auto"/>
              <w:right w:val="single" w:sz="6" w:space="0" w:color="auto"/>
            </w:tcBorders>
          </w:tcPr>
          <w:p w:rsidR="00E64CEF" w:rsidRDefault="00E64CEF" w:rsidP="00A506D2">
            <w:pPr>
              <w:pStyle w:val="Table2"/>
            </w:pPr>
            <w:r>
              <w:t>Docosahexaenoic acid (DHA) – rich oil derived from marine micro-algae (</w:t>
            </w:r>
            <w:r>
              <w:rPr>
                <w:i/>
                <w:iCs/>
              </w:rPr>
              <w:t xml:space="preserve">Schizochytrium </w:t>
            </w:r>
            <w:r>
              <w:t>sp.)</w:t>
            </w:r>
          </w:p>
        </w:tc>
        <w:tc>
          <w:tcPr>
            <w:tcW w:w="4536" w:type="dxa"/>
            <w:tcBorders>
              <w:top w:val="single" w:sz="6" w:space="0" w:color="auto"/>
              <w:left w:val="single" w:sz="6" w:space="0" w:color="auto"/>
              <w:bottom w:val="single" w:sz="6" w:space="0" w:color="auto"/>
              <w:right w:val="single" w:sz="6" w:space="0" w:color="auto"/>
            </w:tcBorders>
          </w:tcPr>
          <w:p w:rsidR="00E64CEF" w:rsidRDefault="00E64CEF" w:rsidP="00A506D2">
            <w:pPr>
              <w:pStyle w:val="Table2"/>
            </w:pPr>
          </w:p>
        </w:tc>
      </w:tr>
      <w:tr w:rsidR="00E64CEF" w:rsidTr="00A506D2">
        <w:trPr>
          <w:cantSplit/>
        </w:trPr>
        <w:tc>
          <w:tcPr>
            <w:tcW w:w="4536" w:type="dxa"/>
            <w:tcBorders>
              <w:top w:val="single" w:sz="6" w:space="0" w:color="auto"/>
              <w:left w:val="single" w:sz="6" w:space="0" w:color="auto"/>
              <w:bottom w:val="single" w:sz="6" w:space="0" w:color="auto"/>
              <w:right w:val="single" w:sz="6" w:space="0" w:color="auto"/>
            </w:tcBorders>
          </w:tcPr>
          <w:p w:rsidR="00E64CEF" w:rsidRDefault="00E64CEF" w:rsidP="00A506D2">
            <w:pPr>
              <w:pStyle w:val="Table2"/>
            </w:pPr>
            <w:r>
              <w:rPr>
                <w:color w:val="000000"/>
                <w:lang w:val="en-AU"/>
              </w:rPr>
              <w:t>Docosahexaenoic acid (DHA) – rich oil derived from marine micro-algae (</w:t>
            </w:r>
            <w:r>
              <w:rPr>
                <w:i/>
                <w:iCs/>
                <w:color w:val="000000"/>
                <w:lang w:val="en-AU"/>
              </w:rPr>
              <w:t>Ulkenia</w:t>
            </w:r>
            <w:r>
              <w:rPr>
                <w:color w:val="000000"/>
                <w:lang w:val="en-AU"/>
              </w:rPr>
              <w:t xml:space="preserve"> sp.)</w:t>
            </w:r>
          </w:p>
        </w:tc>
        <w:tc>
          <w:tcPr>
            <w:tcW w:w="4536" w:type="dxa"/>
            <w:tcBorders>
              <w:top w:val="single" w:sz="6" w:space="0" w:color="auto"/>
              <w:left w:val="single" w:sz="6" w:space="0" w:color="auto"/>
              <w:bottom w:val="single" w:sz="6" w:space="0" w:color="auto"/>
              <w:right w:val="single" w:sz="6" w:space="0" w:color="auto"/>
            </w:tcBorders>
          </w:tcPr>
          <w:p w:rsidR="00E64CEF" w:rsidRDefault="00E64CEF" w:rsidP="00A506D2">
            <w:pPr>
              <w:pStyle w:val="Table2"/>
            </w:pPr>
          </w:p>
        </w:tc>
      </w:tr>
    </w:tbl>
    <w:p w:rsidR="00E64CEF" w:rsidRPr="00C342E0" w:rsidRDefault="00E64CEF" w:rsidP="00E64CEF">
      <w:pPr>
        <w:rPr>
          <w:sz w:val="20"/>
          <w:szCs w:val="20"/>
        </w:rPr>
      </w:pPr>
    </w:p>
    <w:p w:rsidR="00C342E0" w:rsidRPr="00C342E0" w:rsidRDefault="00E64CEF" w:rsidP="00E35BCD">
      <w:pPr>
        <w:pStyle w:val="Subclause"/>
      </w:pPr>
      <w:r w:rsidRPr="00C342E0">
        <w:rPr>
          <w:i/>
        </w:rPr>
        <w:t>substituting</w:t>
      </w:r>
      <w:r w:rsidRPr="00C342E0">
        <w:t xml:space="preserve"> – </w:t>
      </w:r>
    </w:p>
    <w:p w:rsidR="00E35BCD" w:rsidRPr="00C342E0" w:rsidRDefault="00E35BCD" w:rsidP="00E35BCD">
      <w:pPr>
        <w:pStyle w:val="Subclause"/>
      </w:pPr>
    </w:p>
    <w:tbl>
      <w:tblPr>
        <w:tblW w:w="9072" w:type="dxa"/>
        <w:tblLayout w:type="fixed"/>
        <w:tblCellMar>
          <w:left w:w="80" w:type="dxa"/>
          <w:right w:w="80" w:type="dxa"/>
        </w:tblCellMar>
        <w:tblLook w:val="0000" w:firstRow="0" w:lastRow="0" w:firstColumn="0" w:lastColumn="0" w:noHBand="0" w:noVBand="0"/>
      </w:tblPr>
      <w:tblGrid>
        <w:gridCol w:w="4536"/>
        <w:gridCol w:w="4536"/>
      </w:tblGrid>
      <w:tr w:rsidR="00E64CEF" w:rsidTr="00A506D2">
        <w:trPr>
          <w:cantSplit/>
        </w:trPr>
        <w:tc>
          <w:tcPr>
            <w:tcW w:w="4536" w:type="dxa"/>
            <w:tcBorders>
              <w:top w:val="single" w:sz="6" w:space="0" w:color="auto"/>
              <w:left w:val="single" w:sz="6" w:space="0" w:color="auto"/>
              <w:bottom w:val="single" w:sz="6" w:space="0" w:color="auto"/>
              <w:right w:val="single" w:sz="6" w:space="0" w:color="auto"/>
            </w:tcBorders>
          </w:tcPr>
          <w:p w:rsidR="00E64CEF" w:rsidRDefault="00E64CEF" w:rsidP="00A506D2">
            <w:pPr>
              <w:pStyle w:val="Table2"/>
            </w:pPr>
            <w:r>
              <w:t>Dried marine micro-algae (</w:t>
            </w:r>
            <w:r>
              <w:rPr>
                <w:i/>
                <w:iCs/>
              </w:rPr>
              <w:t xml:space="preserve">Schizochytrium </w:t>
            </w:r>
            <w:r>
              <w:t>sp.) rich in docosahexaenoic acid (DHA)</w:t>
            </w:r>
          </w:p>
        </w:tc>
        <w:tc>
          <w:tcPr>
            <w:tcW w:w="4536" w:type="dxa"/>
            <w:tcBorders>
              <w:top w:val="single" w:sz="6" w:space="0" w:color="auto"/>
              <w:left w:val="single" w:sz="6" w:space="0" w:color="auto"/>
              <w:bottom w:val="single" w:sz="6" w:space="0" w:color="auto"/>
              <w:right w:val="single" w:sz="6" w:space="0" w:color="auto"/>
            </w:tcBorders>
          </w:tcPr>
          <w:p w:rsidR="00E64CEF" w:rsidRDefault="00E64CEF" w:rsidP="00A506D2">
            <w:pPr>
              <w:pStyle w:val="Table2"/>
            </w:pPr>
          </w:p>
        </w:tc>
      </w:tr>
      <w:tr w:rsidR="00E64CEF" w:rsidTr="00A506D2">
        <w:trPr>
          <w:cantSplit/>
        </w:trPr>
        <w:tc>
          <w:tcPr>
            <w:tcW w:w="4536" w:type="dxa"/>
            <w:tcBorders>
              <w:top w:val="single" w:sz="6" w:space="0" w:color="auto"/>
              <w:left w:val="single" w:sz="6" w:space="0" w:color="auto"/>
              <w:bottom w:val="single" w:sz="6" w:space="0" w:color="auto"/>
              <w:right w:val="single" w:sz="6" w:space="0" w:color="auto"/>
            </w:tcBorders>
          </w:tcPr>
          <w:p w:rsidR="00E64CEF" w:rsidRDefault="00E64CEF" w:rsidP="00A506D2">
            <w:pPr>
              <w:pStyle w:val="Table2"/>
            </w:pPr>
            <w:r>
              <w:t>Oil derived from marine micro-algae (</w:t>
            </w:r>
            <w:r>
              <w:rPr>
                <w:i/>
                <w:iCs/>
              </w:rPr>
              <w:t xml:space="preserve">Schizochytrium </w:t>
            </w:r>
            <w:r>
              <w:t>sp.) rich in docosahexaenoic acid (DHA)</w:t>
            </w:r>
          </w:p>
        </w:tc>
        <w:tc>
          <w:tcPr>
            <w:tcW w:w="4536" w:type="dxa"/>
            <w:tcBorders>
              <w:top w:val="single" w:sz="6" w:space="0" w:color="auto"/>
              <w:left w:val="single" w:sz="6" w:space="0" w:color="auto"/>
              <w:bottom w:val="single" w:sz="6" w:space="0" w:color="auto"/>
              <w:right w:val="single" w:sz="6" w:space="0" w:color="auto"/>
            </w:tcBorders>
          </w:tcPr>
          <w:p w:rsidR="00E64CEF" w:rsidRDefault="00E64CEF" w:rsidP="00A506D2">
            <w:pPr>
              <w:pStyle w:val="Table2"/>
            </w:pPr>
          </w:p>
        </w:tc>
      </w:tr>
      <w:tr w:rsidR="00E64CEF" w:rsidTr="00A506D2">
        <w:trPr>
          <w:cantSplit/>
        </w:trPr>
        <w:tc>
          <w:tcPr>
            <w:tcW w:w="4536" w:type="dxa"/>
            <w:tcBorders>
              <w:top w:val="single" w:sz="6" w:space="0" w:color="auto"/>
              <w:left w:val="single" w:sz="6" w:space="0" w:color="auto"/>
              <w:bottom w:val="single" w:sz="6" w:space="0" w:color="auto"/>
              <w:right w:val="single" w:sz="6" w:space="0" w:color="auto"/>
            </w:tcBorders>
          </w:tcPr>
          <w:p w:rsidR="00E64CEF" w:rsidRDefault="00E64CEF" w:rsidP="00A506D2">
            <w:pPr>
              <w:pStyle w:val="Table2"/>
            </w:pPr>
            <w:r>
              <w:rPr>
                <w:color w:val="000000"/>
                <w:lang w:val="en-AU"/>
              </w:rPr>
              <w:t>Oil derived from marine micro-algae (</w:t>
            </w:r>
            <w:r>
              <w:rPr>
                <w:i/>
                <w:iCs/>
                <w:color w:val="000000"/>
                <w:lang w:val="en-AU"/>
              </w:rPr>
              <w:t>Ulkenia</w:t>
            </w:r>
            <w:r>
              <w:rPr>
                <w:color w:val="000000"/>
                <w:lang w:val="en-AU"/>
              </w:rPr>
              <w:t xml:space="preserve"> sp.) </w:t>
            </w:r>
            <w:r>
              <w:t>rich in docosahexaenoic acid (DHA)</w:t>
            </w:r>
          </w:p>
        </w:tc>
        <w:tc>
          <w:tcPr>
            <w:tcW w:w="4536" w:type="dxa"/>
            <w:tcBorders>
              <w:top w:val="single" w:sz="6" w:space="0" w:color="auto"/>
              <w:left w:val="single" w:sz="6" w:space="0" w:color="auto"/>
              <w:bottom w:val="single" w:sz="6" w:space="0" w:color="auto"/>
              <w:right w:val="single" w:sz="6" w:space="0" w:color="auto"/>
            </w:tcBorders>
          </w:tcPr>
          <w:p w:rsidR="00E64CEF" w:rsidRDefault="00E64CEF" w:rsidP="00A506D2">
            <w:pPr>
              <w:pStyle w:val="Table2"/>
            </w:pPr>
          </w:p>
        </w:tc>
      </w:tr>
    </w:tbl>
    <w:p w:rsidR="00E64CEF" w:rsidRPr="00C342E0" w:rsidRDefault="00E64CEF" w:rsidP="00E64CEF">
      <w:pPr>
        <w:rPr>
          <w:sz w:val="20"/>
          <w:szCs w:val="20"/>
        </w:rPr>
      </w:pPr>
    </w:p>
    <w:p w:rsidR="00E64CEF" w:rsidRPr="00C342E0" w:rsidRDefault="00E64CEF" w:rsidP="00E64CEF">
      <w:pPr>
        <w:pStyle w:val="Clause"/>
        <w:rPr>
          <w:i/>
          <w:iCs/>
        </w:rPr>
      </w:pPr>
      <w:r w:rsidRPr="00C342E0">
        <w:rPr>
          <w:b/>
          <w:bCs/>
        </w:rPr>
        <w:t>[21]</w:t>
      </w:r>
      <w:r w:rsidRPr="00C342E0">
        <w:tab/>
      </w:r>
      <w:r w:rsidRPr="00C342E0">
        <w:rPr>
          <w:b/>
          <w:bCs/>
          <w:i/>
          <w:iCs/>
        </w:rPr>
        <w:t>Standard 1.6.1</w:t>
      </w:r>
      <w:r w:rsidRPr="00C342E0">
        <w:rPr>
          <w:i/>
          <w:iCs/>
        </w:rPr>
        <w:t xml:space="preserve"> of the Australia New Zealand Food Standards Code is varied by – </w:t>
      </w:r>
    </w:p>
    <w:p w:rsidR="00E64CEF" w:rsidRPr="00C342E0" w:rsidRDefault="00E64CEF" w:rsidP="00E64CEF">
      <w:pPr>
        <w:pStyle w:val="Clause"/>
        <w:rPr>
          <w:i/>
          <w:iCs/>
        </w:rPr>
      </w:pPr>
    </w:p>
    <w:p w:rsidR="00E64CEF" w:rsidRPr="00C342E0" w:rsidRDefault="00E64CEF" w:rsidP="00E64CEF">
      <w:pPr>
        <w:pStyle w:val="Clause"/>
        <w:rPr>
          <w:i/>
          <w:iCs/>
        </w:rPr>
      </w:pPr>
      <w:r w:rsidRPr="00C342E0">
        <w:rPr>
          <w:iCs/>
        </w:rPr>
        <w:t>[21.1]</w:t>
      </w:r>
      <w:r w:rsidRPr="00C342E0">
        <w:rPr>
          <w:iCs/>
        </w:rPr>
        <w:tab/>
      </w:r>
      <w:r w:rsidRPr="00C342E0">
        <w:rPr>
          <w:i/>
          <w:iCs/>
        </w:rPr>
        <w:t xml:space="preserve">omitting clause 2, substituting – </w:t>
      </w:r>
    </w:p>
    <w:p w:rsidR="00E64CEF" w:rsidRPr="00C342E0" w:rsidRDefault="00E64CEF" w:rsidP="00E64CEF">
      <w:pPr>
        <w:rPr>
          <w:sz w:val="20"/>
          <w:szCs w:val="20"/>
        </w:rPr>
      </w:pPr>
    </w:p>
    <w:p w:rsidR="00E64CEF" w:rsidRPr="00C342E0" w:rsidRDefault="00E64CEF" w:rsidP="00E64CEF">
      <w:pPr>
        <w:pStyle w:val="Clause"/>
        <w:rPr>
          <w:b/>
        </w:rPr>
      </w:pPr>
      <w:r w:rsidRPr="00C342E0">
        <w:rPr>
          <w:b/>
        </w:rPr>
        <w:t>2</w:t>
      </w:r>
      <w:r w:rsidRPr="00C342E0">
        <w:rPr>
          <w:b/>
        </w:rPr>
        <w:tab/>
        <w:t>Application</w:t>
      </w:r>
    </w:p>
    <w:p w:rsidR="00E64CEF" w:rsidRPr="00C342E0" w:rsidRDefault="00E64CEF" w:rsidP="00E64CEF">
      <w:pPr>
        <w:rPr>
          <w:sz w:val="20"/>
          <w:szCs w:val="20"/>
        </w:rPr>
      </w:pPr>
    </w:p>
    <w:p w:rsidR="00E64CEF" w:rsidRPr="00C342E0" w:rsidRDefault="00E64CEF" w:rsidP="00E64CEF">
      <w:pPr>
        <w:pStyle w:val="Subclause"/>
      </w:pPr>
      <w:r w:rsidRPr="00C342E0">
        <w:t>(1)</w:t>
      </w:r>
      <w:r w:rsidRPr="00C342E0">
        <w:tab/>
        <w:t>The foods listed in column 1 of the Schedule in this Standard must, subject to subclause (2), comply with the microbiological limits set in relation to that food in the Schedule.</w:t>
      </w:r>
    </w:p>
    <w:p w:rsidR="00E64CEF" w:rsidRPr="00C342E0" w:rsidRDefault="00E64CEF" w:rsidP="00E64CEF">
      <w:pPr>
        <w:pStyle w:val="Subclause"/>
      </w:pPr>
    </w:p>
    <w:p w:rsidR="00E64CEF" w:rsidRPr="00C342E0" w:rsidRDefault="00E64CEF" w:rsidP="00E64CEF">
      <w:pPr>
        <w:pStyle w:val="Subclause"/>
      </w:pPr>
      <w:r w:rsidRPr="00C342E0">
        <w:t>(2)</w:t>
      </w:r>
      <w:r w:rsidRPr="00C342E0">
        <w:tab/>
        <w:t>In the case of powdered infant formula with added lactic acid producing cultures, the Standard Plate Count (SPC) microbiological limit applies prior to the addition of the lactic acid cultures to the food.</w:t>
      </w:r>
    </w:p>
    <w:p w:rsidR="00E64CEF" w:rsidRPr="00C342E0" w:rsidRDefault="00E64CEF" w:rsidP="00E64CEF">
      <w:pPr>
        <w:rPr>
          <w:sz w:val="20"/>
          <w:szCs w:val="20"/>
        </w:rPr>
      </w:pPr>
    </w:p>
    <w:p w:rsidR="00E64CEF" w:rsidRPr="00C342E0" w:rsidRDefault="00E64CEF" w:rsidP="00E64CEF">
      <w:pPr>
        <w:pStyle w:val="Clause"/>
        <w:rPr>
          <w:i/>
          <w:iCs/>
        </w:rPr>
      </w:pPr>
      <w:r w:rsidRPr="00C342E0">
        <w:rPr>
          <w:iCs/>
        </w:rPr>
        <w:t>[21.2]</w:t>
      </w:r>
      <w:r w:rsidRPr="00C342E0">
        <w:rPr>
          <w:iCs/>
        </w:rPr>
        <w:tab/>
      </w:r>
      <w:r w:rsidRPr="00C342E0">
        <w:rPr>
          <w:i/>
        </w:rPr>
        <w:t xml:space="preserve">omitting the heading from the </w:t>
      </w:r>
      <w:r w:rsidRPr="00C342E0">
        <w:t>Schedule</w:t>
      </w:r>
      <w:r w:rsidRPr="00C342E0">
        <w:rPr>
          <w:i/>
        </w:rPr>
        <w:t>,</w:t>
      </w:r>
      <w:r w:rsidRPr="00C342E0">
        <w:t xml:space="preserve"> </w:t>
      </w:r>
      <w:r w:rsidRPr="00C342E0">
        <w:rPr>
          <w:i/>
        </w:rPr>
        <w:t>substituting</w:t>
      </w:r>
      <w:r w:rsidRPr="00C342E0">
        <w:t xml:space="preserve"> – </w:t>
      </w:r>
    </w:p>
    <w:p w:rsidR="00E64CEF" w:rsidRPr="00C342E0" w:rsidRDefault="00E64CEF" w:rsidP="00E64CEF">
      <w:pPr>
        <w:rPr>
          <w:i/>
          <w:sz w:val="20"/>
          <w:szCs w:val="20"/>
        </w:rPr>
      </w:pPr>
    </w:p>
    <w:p w:rsidR="00E64CEF" w:rsidRPr="00C342E0" w:rsidRDefault="00E64CEF" w:rsidP="00E64CEF">
      <w:pPr>
        <w:pStyle w:val="Scheduleheading0"/>
        <w:rPr>
          <w:szCs w:val="20"/>
        </w:rPr>
      </w:pPr>
      <w:r w:rsidRPr="00C342E0">
        <w:rPr>
          <w:szCs w:val="20"/>
        </w:rPr>
        <w:t>SCHEDULE</w:t>
      </w:r>
    </w:p>
    <w:p w:rsidR="00E64CEF" w:rsidRPr="00C342E0" w:rsidRDefault="00E64CEF" w:rsidP="00022A5B">
      <w:pPr>
        <w:pStyle w:val="TableHeading"/>
      </w:pPr>
      <w:r w:rsidRPr="00C342E0">
        <w:t>Microbiological criteria (clause 2)</w:t>
      </w:r>
    </w:p>
    <w:p w:rsidR="00E64CEF" w:rsidRPr="00C342E0" w:rsidRDefault="00E64CEF" w:rsidP="00E64CEF">
      <w:pPr>
        <w:rPr>
          <w:sz w:val="20"/>
          <w:szCs w:val="20"/>
        </w:rPr>
      </w:pPr>
    </w:p>
    <w:p w:rsidR="00E64CEF" w:rsidRPr="00C342E0" w:rsidRDefault="00E64CEF" w:rsidP="00E64CEF">
      <w:pPr>
        <w:pStyle w:val="Clause"/>
        <w:rPr>
          <w:i/>
        </w:rPr>
      </w:pPr>
      <w:r w:rsidRPr="00C342E0">
        <w:t>[21.3]</w:t>
      </w:r>
      <w:r w:rsidRPr="00C342E0">
        <w:tab/>
      </w:r>
      <w:r w:rsidRPr="00C342E0">
        <w:rPr>
          <w:i/>
        </w:rPr>
        <w:t xml:space="preserve">omitting from column 1 of the </w:t>
      </w:r>
      <w:r w:rsidRPr="00C342E0">
        <w:t>Schedule</w:t>
      </w:r>
      <w:r w:rsidRPr="00C342E0">
        <w:rPr>
          <w:i/>
        </w:rPr>
        <w:t xml:space="preserve"> – </w:t>
      </w:r>
    </w:p>
    <w:p w:rsidR="00E64CEF" w:rsidRPr="00C342E0" w:rsidRDefault="00E64CEF" w:rsidP="00E64CEF">
      <w:pPr>
        <w:rPr>
          <w:sz w:val="20"/>
          <w:szCs w:val="20"/>
        </w:rPr>
      </w:pPr>
    </w:p>
    <w:p w:rsidR="00E64CEF" w:rsidRPr="00C342E0" w:rsidRDefault="00E64CEF" w:rsidP="00E64CEF">
      <w:pPr>
        <w:rPr>
          <w:sz w:val="20"/>
          <w:szCs w:val="20"/>
        </w:rPr>
      </w:pPr>
      <w:r w:rsidRPr="00C342E0">
        <w:rPr>
          <w:sz w:val="20"/>
          <w:szCs w:val="20"/>
        </w:rPr>
        <w:t>Unpasteurised milk</w:t>
      </w:r>
    </w:p>
    <w:p w:rsidR="00E64CEF" w:rsidRPr="00C342E0" w:rsidRDefault="00E64CEF" w:rsidP="00E64CEF">
      <w:pPr>
        <w:rPr>
          <w:sz w:val="20"/>
          <w:szCs w:val="20"/>
        </w:rPr>
      </w:pPr>
    </w:p>
    <w:p w:rsidR="00E64CEF" w:rsidRPr="00C342E0" w:rsidRDefault="00E64CEF" w:rsidP="00E64CEF">
      <w:pPr>
        <w:pStyle w:val="Clause"/>
        <w:rPr>
          <w:i/>
        </w:rPr>
      </w:pPr>
      <w:r w:rsidRPr="00C342E0">
        <w:rPr>
          <w:i/>
        </w:rPr>
        <w:t xml:space="preserve">substituting – </w:t>
      </w:r>
    </w:p>
    <w:p w:rsidR="00E64CEF" w:rsidRPr="00C342E0" w:rsidRDefault="00E64CEF" w:rsidP="00E64CEF">
      <w:pPr>
        <w:rPr>
          <w:i/>
          <w:sz w:val="20"/>
          <w:szCs w:val="20"/>
        </w:rPr>
      </w:pPr>
    </w:p>
    <w:p w:rsidR="00E64CEF" w:rsidRPr="00C342E0" w:rsidRDefault="00E64CEF" w:rsidP="00E64CEF">
      <w:pPr>
        <w:pStyle w:val="Clause"/>
      </w:pPr>
      <w:r w:rsidRPr="00C342E0">
        <w:t>Unpasteurised milk for retail sale</w:t>
      </w:r>
    </w:p>
    <w:p w:rsidR="00E64CEF" w:rsidRPr="00C342E0" w:rsidRDefault="00E64CEF" w:rsidP="00E64CEF">
      <w:pPr>
        <w:rPr>
          <w:i/>
          <w:sz w:val="20"/>
          <w:szCs w:val="20"/>
        </w:rPr>
      </w:pPr>
    </w:p>
    <w:p w:rsidR="00C342E0" w:rsidRDefault="00C342E0" w:rsidP="00E64CEF">
      <w:pPr>
        <w:pStyle w:val="Clause"/>
        <w:rPr>
          <w:b/>
          <w:bCs/>
        </w:rPr>
      </w:pPr>
      <w:r>
        <w:rPr>
          <w:b/>
          <w:bCs/>
        </w:rPr>
        <w:br w:type="page"/>
      </w:r>
    </w:p>
    <w:p w:rsidR="00E64CEF" w:rsidRPr="00C342E0" w:rsidRDefault="00C342E0" w:rsidP="00E64CEF">
      <w:pPr>
        <w:pStyle w:val="Clause"/>
        <w:rPr>
          <w:rFonts w:cs="Arial"/>
        </w:rPr>
      </w:pPr>
      <w:r w:rsidRPr="00C342E0">
        <w:rPr>
          <w:rFonts w:cs="Arial"/>
          <w:b/>
          <w:bCs/>
        </w:rPr>
        <w:lastRenderedPageBreak/>
        <w:t>[</w:t>
      </w:r>
      <w:r w:rsidR="00E64CEF" w:rsidRPr="00C342E0">
        <w:rPr>
          <w:rFonts w:cs="Arial"/>
          <w:b/>
          <w:bCs/>
        </w:rPr>
        <w:t>22]</w:t>
      </w:r>
      <w:r w:rsidR="00E64CEF" w:rsidRPr="00C342E0">
        <w:rPr>
          <w:rFonts w:cs="Arial"/>
        </w:rPr>
        <w:tab/>
      </w:r>
      <w:r w:rsidR="00E64CEF" w:rsidRPr="00C342E0">
        <w:rPr>
          <w:rFonts w:cs="Arial"/>
          <w:b/>
          <w:bCs/>
          <w:i/>
        </w:rPr>
        <w:t>Standard 1.6.2</w:t>
      </w:r>
      <w:r w:rsidR="00E64CEF" w:rsidRPr="00C342E0">
        <w:rPr>
          <w:rFonts w:cs="Arial"/>
          <w:i/>
        </w:rPr>
        <w:t xml:space="preserve"> of the Australia New Zealand Food Standards Code is varied by omitting from subclauses 8(2) and 8(3)</w:t>
      </w:r>
      <w:r w:rsidR="00E64CEF" w:rsidRPr="00C342E0">
        <w:rPr>
          <w:rFonts w:cs="Arial"/>
        </w:rPr>
        <w:t xml:space="preserve"> – </w:t>
      </w:r>
    </w:p>
    <w:p w:rsidR="00E64CEF" w:rsidRPr="00C342E0" w:rsidRDefault="00E64CEF" w:rsidP="00E64CEF">
      <w:pPr>
        <w:rPr>
          <w:rFonts w:cs="Arial"/>
          <w:i/>
          <w:iCs/>
          <w:sz w:val="20"/>
          <w:szCs w:val="20"/>
        </w:rPr>
      </w:pPr>
    </w:p>
    <w:p w:rsidR="00E64CEF" w:rsidRPr="00C342E0" w:rsidRDefault="00E64CEF" w:rsidP="00E64CEF">
      <w:pPr>
        <w:pStyle w:val="Subclause"/>
        <w:rPr>
          <w:rFonts w:cs="Arial"/>
        </w:rPr>
      </w:pPr>
      <w:r w:rsidRPr="00C342E0">
        <w:rPr>
          <w:rFonts w:cs="Arial"/>
        </w:rPr>
        <w:t>A fermented comminuted processed meat</w:t>
      </w:r>
    </w:p>
    <w:p w:rsidR="00E64CEF" w:rsidRPr="00C342E0" w:rsidRDefault="00E64CEF" w:rsidP="00E64CEF">
      <w:pPr>
        <w:rPr>
          <w:rFonts w:cs="Arial"/>
          <w:iCs/>
          <w:sz w:val="20"/>
          <w:szCs w:val="20"/>
        </w:rPr>
      </w:pPr>
    </w:p>
    <w:p w:rsidR="00E64CEF" w:rsidRPr="00C342E0" w:rsidRDefault="00E64CEF" w:rsidP="00022A5B">
      <w:pPr>
        <w:pStyle w:val="Subclause"/>
        <w:rPr>
          <w:rFonts w:cs="Arial"/>
        </w:rPr>
      </w:pPr>
      <w:r w:rsidRPr="00C342E0">
        <w:rPr>
          <w:rFonts w:cs="Arial"/>
          <w:i/>
        </w:rPr>
        <w:t>substitutin</w:t>
      </w:r>
      <w:r w:rsidRPr="00C342E0">
        <w:rPr>
          <w:rFonts w:cs="Arial"/>
        </w:rPr>
        <w:t xml:space="preserve">g – </w:t>
      </w:r>
    </w:p>
    <w:p w:rsidR="00E64CEF" w:rsidRPr="00C342E0" w:rsidRDefault="00E64CEF" w:rsidP="00E64CEF">
      <w:pPr>
        <w:rPr>
          <w:rFonts w:cs="Arial"/>
          <w:i/>
          <w:iCs/>
          <w:sz w:val="20"/>
          <w:szCs w:val="20"/>
        </w:rPr>
      </w:pPr>
    </w:p>
    <w:p w:rsidR="00E64CEF" w:rsidRPr="00C342E0" w:rsidRDefault="00E64CEF" w:rsidP="00E64CEF">
      <w:pPr>
        <w:pStyle w:val="Subclause"/>
        <w:rPr>
          <w:rFonts w:cs="Arial"/>
        </w:rPr>
      </w:pPr>
      <w:r w:rsidRPr="00C342E0">
        <w:rPr>
          <w:rFonts w:cs="Arial"/>
        </w:rPr>
        <w:t>Fermented comminuted processed meat</w:t>
      </w:r>
    </w:p>
    <w:p w:rsidR="00E64CEF" w:rsidRPr="00C342E0" w:rsidRDefault="00E64CEF" w:rsidP="00E64CEF">
      <w:pPr>
        <w:rPr>
          <w:rFonts w:cs="Arial"/>
          <w:iCs/>
          <w:sz w:val="20"/>
          <w:szCs w:val="20"/>
        </w:rPr>
      </w:pPr>
    </w:p>
    <w:p w:rsidR="00E64CEF" w:rsidRPr="00C342E0" w:rsidRDefault="00E64CEF" w:rsidP="00E64CEF">
      <w:pPr>
        <w:pStyle w:val="Clause"/>
        <w:rPr>
          <w:rFonts w:cs="Arial"/>
        </w:rPr>
      </w:pPr>
      <w:r w:rsidRPr="00C342E0">
        <w:rPr>
          <w:rFonts w:cs="Arial"/>
          <w:b/>
          <w:bCs/>
        </w:rPr>
        <w:t>[23]</w:t>
      </w:r>
      <w:r w:rsidRPr="00C342E0">
        <w:rPr>
          <w:rFonts w:cs="Arial"/>
        </w:rPr>
        <w:tab/>
      </w:r>
      <w:r w:rsidRPr="00C342E0">
        <w:rPr>
          <w:rFonts w:cs="Arial"/>
          <w:b/>
          <w:bCs/>
          <w:i/>
        </w:rPr>
        <w:t xml:space="preserve">Standard 2.2.1 </w:t>
      </w:r>
      <w:r w:rsidRPr="00C342E0">
        <w:rPr>
          <w:rFonts w:cs="Arial"/>
          <w:i/>
        </w:rPr>
        <w:t>of the Australia New Zealand Food Standards Code is varied by</w:t>
      </w:r>
      <w:r w:rsidRPr="00C342E0">
        <w:rPr>
          <w:rFonts w:cs="Arial"/>
        </w:rPr>
        <w:t xml:space="preserve"> – </w:t>
      </w:r>
    </w:p>
    <w:p w:rsidR="00E64CEF" w:rsidRPr="00C342E0" w:rsidRDefault="00E64CEF" w:rsidP="00E64CEF">
      <w:pPr>
        <w:ind w:left="851" w:hanging="851"/>
        <w:rPr>
          <w:rFonts w:cs="Arial"/>
          <w:bCs/>
          <w:sz w:val="20"/>
          <w:szCs w:val="20"/>
        </w:rPr>
      </w:pPr>
    </w:p>
    <w:p w:rsidR="00E64CEF" w:rsidRPr="00C342E0" w:rsidRDefault="00E64CEF" w:rsidP="00E64CEF">
      <w:pPr>
        <w:pStyle w:val="Clause"/>
        <w:rPr>
          <w:rFonts w:cs="Arial"/>
          <w:i/>
        </w:rPr>
      </w:pPr>
      <w:r w:rsidRPr="00C342E0">
        <w:rPr>
          <w:rFonts w:cs="Arial"/>
        </w:rPr>
        <w:t>[23.1]</w:t>
      </w:r>
      <w:r w:rsidRPr="00C342E0">
        <w:rPr>
          <w:rFonts w:cs="Arial"/>
        </w:rPr>
        <w:tab/>
      </w:r>
      <w:r w:rsidRPr="00C342E0">
        <w:rPr>
          <w:rFonts w:cs="Arial"/>
          <w:i/>
        </w:rPr>
        <w:t xml:space="preserve">omitting the </w:t>
      </w:r>
      <w:r w:rsidRPr="00C342E0">
        <w:rPr>
          <w:rFonts w:cs="Arial"/>
        </w:rPr>
        <w:t xml:space="preserve">Purpose, </w:t>
      </w:r>
      <w:r w:rsidRPr="00C342E0">
        <w:rPr>
          <w:rFonts w:cs="Arial"/>
          <w:i/>
        </w:rPr>
        <w:t xml:space="preserve">substituting – </w:t>
      </w:r>
    </w:p>
    <w:p w:rsidR="00E64CEF" w:rsidRPr="00C342E0" w:rsidRDefault="00E64CEF" w:rsidP="00E64CEF">
      <w:pPr>
        <w:rPr>
          <w:rFonts w:cs="Arial"/>
          <w:sz w:val="20"/>
          <w:szCs w:val="20"/>
        </w:rPr>
      </w:pPr>
    </w:p>
    <w:p w:rsidR="00E64CEF" w:rsidRPr="00C342E0" w:rsidRDefault="00E64CEF" w:rsidP="00E64CEF">
      <w:pPr>
        <w:pStyle w:val="Clauseheading"/>
        <w:rPr>
          <w:rFonts w:cs="Arial"/>
        </w:rPr>
      </w:pPr>
      <w:r w:rsidRPr="00C342E0">
        <w:rPr>
          <w:rFonts w:cs="Arial"/>
        </w:rPr>
        <w:t>Purpose</w:t>
      </w:r>
    </w:p>
    <w:p w:rsidR="00E64CEF" w:rsidRPr="00C342E0" w:rsidRDefault="00E64CEF" w:rsidP="00E64CEF">
      <w:pPr>
        <w:ind w:left="851" w:hanging="851"/>
        <w:rPr>
          <w:rFonts w:cs="Arial"/>
          <w:b/>
          <w:iCs/>
          <w:sz w:val="20"/>
          <w:szCs w:val="20"/>
        </w:rPr>
      </w:pPr>
    </w:p>
    <w:p w:rsidR="00E64CEF" w:rsidRPr="00C342E0" w:rsidRDefault="00E64CEF" w:rsidP="00E64CEF">
      <w:pPr>
        <w:pStyle w:val="Clause"/>
        <w:rPr>
          <w:rFonts w:cs="Arial"/>
        </w:rPr>
      </w:pPr>
      <w:r w:rsidRPr="00C342E0">
        <w:rPr>
          <w:rFonts w:cs="Arial"/>
        </w:rPr>
        <w:t>This Standard includes definitions, compositional and labelling requirements for meat and meat products.</w:t>
      </w:r>
    </w:p>
    <w:p w:rsidR="00E64CEF" w:rsidRPr="00C342E0" w:rsidRDefault="00E64CEF" w:rsidP="00E64CEF">
      <w:pPr>
        <w:rPr>
          <w:rFonts w:cs="Arial"/>
          <w:sz w:val="20"/>
          <w:szCs w:val="20"/>
        </w:rPr>
      </w:pPr>
    </w:p>
    <w:p w:rsidR="00E64CEF" w:rsidRPr="00C342E0" w:rsidRDefault="00E64CEF" w:rsidP="00E64CEF">
      <w:pPr>
        <w:pStyle w:val="Clause"/>
        <w:rPr>
          <w:rFonts w:cs="Arial"/>
        </w:rPr>
      </w:pPr>
      <w:r w:rsidRPr="00C342E0">
        <w:rPr>
          <w:rFonts w:cs="Arial"/>
        </w:rPr>
        <w:t>[23.2]</w:t>
      </w:r>
      <w:r w:rsidRPr="00C342E0">
        <w:rPr>
          <w:rFonts w:cs="Arial"/>
        </w:rPr>
        <w:tab/>
      </w:r>
      <w:r w:rsidRPr="00C342E0">
        <w:rPr>
          <w:rFonts w:cs="Arial"/>
          <w:i/>
        </w:rPr>
        <w:t>omitting clause 4, substituting</w:t>
      </w:r>
      <w:r w:rsidRPr="00C342E0">
        <w:rPr>
          <w:rFonts w:cs="Arial"/>
        </w:rPr>
        <w:t xml:space="preserve"> – </w:t>
      </w:r>
    </w:p>
    <w:p w:rsidR="00E64CEF" w:rsidRPr="00C342E0" w:rsidRDefault="00E64CEF" w:rsidP="00E64CEF">
      <w:pPr>
        <w:ind w:left="851" w:hanging="851"/>
        <w:rPr>
          <w:rFonts w:cs="Arial"/>
          <w:bCs/>
          <w:i/>
          <w:sz w:val="20"/>
          <w:szCs w:val="20"/>
        </w:rPr>
      </w:pPr>
    </w:p>
    <w:p w:rsidR="00E64CEF" w:rsidRPr="00C342E0" w:rsidRDefault="00E64CEF" w:rsidP="00E64CEF">
      <w:pPr>
        <w:pStyle w:val="Clauseheading"/>
        <w:rPr>
          <w:rFonts w:cs="Arial"/>
        </w:rPr>
      </w:pPr>
      <w:r w:rsidRPr="00C342E0">
        <w:rPr>
          <w:rFonts w:cs="Arial"/>
        </w:rPr>
        <w:t>4</w:t>
      </w:r>
      <w:r w:rsidRPr="00C342E0">
        <w:rPr>
          <w:rFonts w:cs="Arial"/>
        </w:rPr>
        <w:tab/>
        <w:t>Declaration of the presence of offal in food</w:t>
      </w:r>
    </w:p>
    <w:p w:rsidR="00E64CEF" w:rsidRPr="00C342E0" w:rsidRDefault="00E64CEF" w:rsidP="00E64CEF">
      <w:pPr>
        <w:ind w:left="851" w:hanging="851"/>
        <w:rPr>
          <w:rFonts w:cs="Arial"/>
          <w:b/>
          <w:bCs/>
          <w:sz w:val="20"/>
          <w:szCs w:val="20"/>
        </w:rPr>
      </w:pPr>
    </w:p>
    <w:p w:rsidR="00E64CEF" w:rsidRPr="00C342E0" w:rsidRDefault="00E64CEF" w:rsidP="00E64CEF">
      <w:pPr>
        <w:pStyle w:val="Subclause"/>
        <w:rPr>
          <w:rFonts w:cs="Arial"/>
        </w:rPr>
      </w:pPr>
      <w:r w:rsidRPr="00C342E0">
        <w:rPr>
          <w:rFonts w:cs="Arial"/>
        </w:rPr>
        <w:t>(1)</w:t>
      </w:r>
      <w:r w:rsidRPr="00C342E0">
        <w:rPr>
          <w:rFonts w:cs="Arial"/>
        </w:rPr>
        <w:tab/>
        <w:t xml:space="preserve">The presence of offal in a food must be - </w:t>
      </w:r>
    </w:p>
    <w:p w:rsidR="00E64CEF" w:rsidRPr="00C342E0" w:rsidRDefault="00E64CEF" w:rsidP="00E64CEF">
      <w:pPr>
        <w:ind w:left="851" w:hanging="851"/>
        <w:rPr>
          <w:rFonts w:cs="Arial"/>
          <w:bCs/>
          <w:sz w:val="20"/>
          <w:szCs w:val="20"/>
        </w:rPr>
      </w:pPr>
    </w:p>
    <w:p w:rsidR="00C342E0" w:rsidRPr="00C342E0" w:rsidRDefault="00E64CEF" w:rsidP="00E64CEF">
      <w:pPr>
        <w:pStyle w:val="Paragraph"/>
        <w:rPr>
          <w:rFonts w:cs="Arial"/>
        </w:rPr>
      </w:pPr>
      <w:r w:rsidRPr="00C342E0">
        <w:rPr>
          <w:rFonts w:cs="Arial"/>
        </w:rPr>
        <w:t>(a)</w:t>
      </w:r>
      <w:r w:rsidRPr="00C342E0">
        <w:rPr>
          <w:rFonts w:cs="Arial"/>
        </w:rPr>
        <w:tab/>
        <w:t>declared in the statement of ingredients; or</w:t>
      </w:r>
    </w:p>
    <w:p w:rsidR="00E64CEF" w:rsidRPr="00C342E0" w:rsidRDefault="00E64CEF" w:rsidP="00E64CEF">
      <w:pPr>
        <w:pStyle w:val="Paragraph"/>
        <w:rPr>
          <w:rFonts w:cs="Arial"/>
        </w:rPr>
      </w:pPr>
      <w:r w:rsidRPr="00C342E0">
        <w:rPr>
          <w:rFonts w:cs="Arial"/>
        </w:rPr>
        <w:t>(b)</w:t>
      </w:r>
      <w:r w:rsidRPr="00C342E0">
        <w:rPr>
          <w:rFonts w:cs="Arial"/>
        </w:rPr>
        <w:tab/>
        <w:t>where the food is not required to bear a label, otherwise declared to the purchaser.</w:t>
      </w:r>
    </w:p>
    <w:p w:rsidR="00E64CEF" w:rsidRPr="00C342E0" w:rsidRDefault="00E64CEF" w:rsidP="00E64CEF">
      <w:pPr>
        <w:rPr>
          <w:rFonts w:cs="Arial"/>
          <w:bCs/>
          <w:sz w:val="20"/>
          <w:szCs w:val="20"/>
        </w:rPr>
      </w:pPr>
    </w:p>
    <w:p w:rsidR="00E64CEF" w:rsidRPr="00C342E0" w:rsidRDefault="00E64CEF" w:rsidP="00E64CEF">
      <w:pPr>
        <w:pStyle w:val="Subclause"/>
        <w:rPr>
          <w:rFonts w:cs="Arial"/>
        </w:rPr>
      </w:pPr>
      <w:r w:rsidRPr="00C342E0">
        <w:rPr>
          <w:rFonts w:cs="Arial"/>
        </w:rPr>
        <w:t>(2)</w:t>
      </w:r>
      <w:r w:rsidRPr="00C342E0">
        <w:rPr>
          <w:rFonts w:cs="Arial"/>
        </w:rPr>
        <w:tab/>
        <w:t>The presence of brain, heart, kidney, liver, tongue or tripe in a food must be declared as ‘offal’ or by the specific name of the type of offal.</w:t>
      </w:r>
    </w:p>
    <w:p w:rsidR="00E64CEF" w:rsidRPr="00C342E0" w:rsidRDefault="00E64CEF" w:rsidP="00E64CEF">
      <w:pPr>
        <w:rPr>
          <w:rFonts w:cs="Arial"/>
          <w:bCs/>
          <w:sz w:val="20"/>
          <w:szCs w:val="20"/>
        </w:rPr>
      </w:pPr>
    </w:p>
    <w:p w:rsidR="00E64CEF" w:rsidRPr="00C342E0" w:rsidRDefault="00E64CEF" w:rsidP="00E64CEF">
      <w:pPr>
        <w:pStyle w:val="Subclause"/>
        <w:rPr>
          <w:rFonts w:cs="Arial"/>
        </w:rPr>
      </w:pPr>
      <w:r w:rsidRPr="00C342E0">
        <w:rPr>
          <w:rFonts w:cs="Arial"/>
        </w:rPr>
        <w:t>(3)</w:t>
      </w:r>
      <w:r w:rsidRPr="00C342E0">
        <w:rPr>
          <w:rFonts w:cs="Arial"/>
        </w:rPr>
        <w:tab/>
        <w:t>The presence of any other type of offal in a food must be declared by the specific name of the type of offal.</w:t>
      </w:r>
    </w:p>
    <w:p w:rsidR="00E64CEF" w:rsidRPr="00C342E0" w:rsidRDefault="00E64CEF" w:rsidP="00E64CEF">
      <w:pPr>
        <w:rPr>
          <w:rFonts w:cs="Arial"/>
          <w:bCs/>
          <w:sz w:val="20"/>
          <w:szCs w:val="20"/>
        </w:rPr>
      </w:pPr>
    </w:p>
    <w:p w:rsidR="00E64CEF" w:rsidRPr="00C342E0" w:rsidRDefault="00E64CEF" w:rsidP="00E64CEF">
      <w:pPr>
        <w:pStyle w:val="Clause"/>
        <w:rPr>
          <w:rFonts w:cs="Arial"/>
        </w:rPr>
      </w:pPr>
      <w:r w:rsidRPr="00C342E0">
        <w:rPr>
          <w:rFonts w:cs="Arial"/>
        </w:rPr>
        <w:t>[23.3]</w:t>
      </w:r>
      <w:r w:rsidRPr="00C342E0">
        <w:rPr>
          <w:rFonts w:cs="Arial"/>
        </w:rPr>
        <w:tab/>
      </w:r>
      <w:r w:rsidRPr="00C342E0">
        <w:rPr>
          <w:rFonts w:cs="Arial"/>
          <w:i/>
        </w:rPr>
        <w:t>omitting clause 7, substitutin</w:t>
      </w:r>
      <w:r w:rsidRPr="00C342E0">
        <w:rPr>
          <w:rFonts w:cs="Arial"/>
        </w:rPr>
        <w:t xml:space="preserve">g – </w:t>
      </w:r>
    </w:p>
    <w:p w:rsidR="00E64CEF" w:rsidRPr="00C342E0" w:rsidRDefault="00E64CEF" w:rsidP="00E64CEF">
      <w:pPr>
        <w:ind w:left="851" w:hanging="851"/>
        <w:rPr>
          <w:rFonts w:cs="Arial"/>
          <w:bCs/>
          <w:i/>
          <w:sz w:val="20"/>
          <w:szCs w:val="20"/>
        </w:rPr>
      </w:pPr>
    </w:p>
    <w:p w:rsidR="00E64CEF" w:rsidRPr="00C342E0" w:rsidRDefault="00E64CEF" w:rsidP="00E64CEF">
      <w:pPr>
        <w:pStyle w:val="Clauseheading"/>
        <w:rPr>
          <w:rFonts w:cs="Arial"/>
        </w:rPr>
      </w:pPr>
      <w:r w:rsidRPr="00C342E0">
        <w:rPr>
          <w:rFonts w:cs="Arial"/>
        </w:rPr>
        <w:t>7</w:t>
      </w:r>
      <w:r w:rsidRPr="00C342E0">
        <w:rPr>
          <w:rFonts w:cs="Arial"/>
        </w:rPr>
        <w:tab/>
        <w:t>Deleted</w:t>
      </w:r>
    </w:p>
    <w:p w:rsidR="00E64CEF" w:rsidRPr="00C342E0" w:rsidRDefault="00E64CEF" w:rsidP="00E64CEF">
      <w:pPr>
        <w:rPr>
          <w:rFonts w:cs="Arial"/>
          <w:iCs/>
          <w:sz w:val="20"/>
          <w:szCs w:val="20"/>
        </w:rPr>
      </w:pPr>
    </w:p>
    <w:p w:rsidR="00E64CEF" w:rsidRPr="00C342E0" w:rsidRDefault="00E64CEF" w:rsidP="00E64CEF">
      <w:pPr>
        <w:pStyle w:val="Clause"/>
        <w:rPr>
          <w:rFonts w:cs="Arial"/>
        </w:rPr>
      </w:pPr>
      <w:r w:rsidRPr="00C342E0">
        <w:rPr>
          <w:rFonts w:cs="Arial"/>
        </w:rPr>
        <w:t>[23.4]</w:t>
      </w:r>
      <w:r w:rsidRPr="00C342E0">
        <w:rPr>
          <w:rFonts w:cs="Arial"/>
        </w:rPr>
        <w:tab/>
      </w:r>
      <w:r w:rsidRPr="00C342E0">
        <w:rPr>
          <w:rFonts w:cs="Arial"/>
          <w:i/>
        </w:rPr>
        <w:t xml:space="preserve">omitting </w:t>
      </w:r>
      <w:r w:rsidRPr="00C342E0">
        <w:rPr>
          <w:rFonts w:cs="Arial"/>
        </w:rPr>
        <w:t xml:space="preserve">processed </w:t>
      </w:r>
      <w:r w:rsidRPr="00C342E0">
        <w:rPr>
          <w:rFonts w:cs="Arial"/>
          <w:i/>
        </w:rPr>
        <w:t>from subclause 9(3), substituting</w:t>
      </w:r>
      <w:r w:rsidRPr="00C342E0">
        <w:rPr>
          <w:rFonts w:cs="Arial"/>
        </w:rPr>
        <w:t xml:space="preserve"> manufactured.</w:t>
      </w:r>
    </w:p>
    <w:p w:rsidR="00E64CEF" w:rsidRPr="00C342E0" w:rsidRDefault="00E64CEF" w:rsidP="00E64CEF">
      <w:pPr>
        <w:ind w:left="851" w:hanging="851"/>
        <w:rPr>
          <w:rFonts w:cs="Arial"/>
          <w:iCs/>
          <w:sz w:val="20"/>
          <w:szCs w:val="20"/>
        </w:rPr>
      </w:pPr>
    </w:p>
    <w:p w:rsidR="00E64CEF" w:rsidRPr="00C342E0" w:rsidRDefault="00E64CEF" w:rsidP="00E64CEF">
      <w:pPr>
        <w:pStyle w:val="Clause"/>
        <w:rPr>
          <w:rFonts w:cs="Arial"/>
        </w:rPr>
      </w:pPr>
      <w:r w:rsidRPr="00C342E0">
        <w:rPr>
          <w:rFonts w:cs="Arial"/>
        </w:rPr>
        <w:t>[23.5]</w:t>
      </w:r>
      <w:r w:rsidRPr="00C342E0">
        <w:rPr>
          <w:rFonts w:cs="Arial"/>
        </w:rPr>
        <w:tab/>
      </w:r>
      <w:r w:rsidRPr="00C342E0">
        <w:rPr>
          <w:rFonts w:cs="Arial"/>
          <w:i/>
        </w:rPr>
        <w:t>omitting from clause 10</w:t>
      </w:r>
      <w:r w:rsidRPr="00C342E0">
        <w:rPr>
          <w:rFonts w:cs="Arial"/>
        </w:rPr>
        <w:t xml:space="preserve"> – </w:t>
      </w:r>
    </w:p>
    <w:p w:rsidR="00E64CEF" w:rsidRPr="00C342E0" w:rsidRDefault="00E64CEF" w:rsidP="00E64CEF">
      <w:pPr>
        <w:ind w:left="851" w:hanging="851"/>
        <w:rPr>
          <w:rFonts w:cs="Arial"/>
          <w:i/>
          <w:iCs/>
          <w:sz w:val="20"/>
          <w:szCs w:val="20"/>
        </w:rPr>
      </w:pPr>
    </w:p>
    <w:p w:rsidR="00E64CEF" w:rsidRPr="00C342E0" w:rsidRDefault="00E64CEF" w:rsidP="00022A5B">
      <w:pPr>
        <w:pStyle w:val="Clause"/>
        <w:rPr>
          <w:rFonts w:cs="Arial"/>
        </w:rPr>
      </w:pPr>
      <w:r w:rsidRPr="00C342E0">
        <w:rPr>
          <w:rFonts w:cs="Arial"/>
        </w:rPr>
        <w:t>Where a fermented comminuted manufactured meat or a fermented</w:t>
      </w:r>
    </w:p>
    <w:p w:rsidR="00E64CEF" w:rsidRPr="00C342E0" w:rsidRDefault="00E64CEF" w:rsidP="00E64CEF">
      <w:pPr>
        <w:pStyle w:val="Clause"/>
        <w:rPr>
          <w:rFonts w:cs="Arial"/>
        </w:rPr>
      </w:pPr>
    </w:p>
    <w:p w:rsidR="00E64CEF" w:rsidRPr="00C342E0" w:rsidRDefault="00E64CEF" w:rsidP="00022A5B">
      <w:pPr>
        <w:pStyle w:val="Clause"/>
        <w:rPr>
          <w:rFonts w:cs="Arial"/>
        </w:rPr>
      </w:pPr>
      <w:r w:rsidRPr="00C342E0">
        <w:rPr>
          <w:rFonts w:cs="Arial"/>
          <w:i/>
        </w:rPr>
        <w:t>substituting</w:t>
      </w:r>
      <w:r w:rsidRPr="00C342E0">
        <w:rPr>
          <w:rFonts w:cs="Arial"/>
        </w:rPr>
        <w:t xml:space="preserve"> – </w:t>
      </w:r>
    </w:p>
    <w:p w:rsidR="00E64CEF" w:rsidRPr="00C342E0" w:rsidRDefault="00E64CEF" w:rsidP="00E64CEF">
      <w:pPr>
        <w:ind w:left="851" w:hanging="851"/>
        <w:rPr>
          <w:rFonts w:cs="Arial"/>
          <w:i/>
          <w:iCs/>
          <w:sz w:val="20"/>
          <w:szCs w:val="20"/>
        </w:rPr>
      </w:pPr>
    </w:p>
    <w:p w:rsidR="00E64CEF" w:rsidRPr="00C342E0" w:rsidRDefault="00E64CEF" w:rsidP="00E64CEF">
      <w:pPr>
        <w:pStyle w:val="Clause"/>
        <w:rPr>
          <w:rFonts w:cs="Arial"/>
        </w:rPr>
      </w:pPr>
      <w:r w:rsidRPr="00C342E0">
        <w:rPr>
          <w:rFonts w:cs="Arial"/>
        </w:rPr>
        <w:t>Where fermented comminuted manufactured meat or fermented</w:t>
      </w:r>
    </w:p>
    <w:p w:rsidR="00E64CEF" w:rsidRPr="00C342E0" w:rsidRDefault="00E64CEF" w:rsidP="00E64CEF">
      <w:pPr>
        <w:ind w:left="851" w:hanging="851"/>
        <w:rPr>
          <w:rFonts w:cs="Arial"/>
          <w:iCs/>
          <w:sz w:val="20"/>
          <w:szCs w:val="20"/>
        </w:rPr>
      </w:pPr>
    </w:p>
    <w:p w:rsidR="00E64CEF" w:rsidRPr="00C342E0" w:rsidRDefault="00E64CEF" w:rsidP="00E64CEF">
      <w:pPr>
        <w:pStyle w:val="Clause"/>
        <w:rPr>
          <w:rFonts w:cs="Arial"/>
          <w:i/>
        </w:rPr>
      </w:pPr>
      <w:r w:rsidRPr="00C342E0">
        <w:rPr>
          <w:rFonts w:cs="Arial"/>
        </w:rPr>
        <w:t>[23.6]</w:t>
      </w:r>
      <w:r w:rsidRPr="00C342E0">
        <w:rPr>
          <w:rFonts w:cs="Arial"/>
        </w:rPr>
        <w:tab/>
      </w:r>
      <w:r w:rsidRPr="00C342E0">
        <w:rPr>
          <w:rFonts w:cs="Arial"/>
          <w:i/>
        </w:rPr>
        <w:t xml:space="preserve">omitting paragraph 11(3)(b), substituting – </w:t>
      </w:r>
    </w:p>
    <w:p w:rsidR="00E64CEF" w:rsidRPr="00C342E0" w:rsidRDefault="00E64CEF" w:rsidP="00E64CEF">
      <w:pPr>
        <w:rPr>
          <w:rFonts w:cs="Arial"/>
          <w:sz w:val="20"/>
          <w:szCs w:val="20"/>
        </w:rPr>
      </w:pPr>
    </w:p>
    <w:p w:rsidR="00E64CEF" w:rsidRPr="00C342E0" w:rsidRDefault="00E64CEF" w:rsidP="00E64CEF">
      <w:pPr>
        <w:pStyle w:val="Paragraph"/>
        <w:rPr>
          <w:rFonts w:cs="Arial"/>
        </w:rPr>
      </w:pPr>
      <w:r w:rsidRPr="00C342E0">
        <w:rPr>
          <w:rFonts w:cs="Arial"/>
        </w:rPr>
        <w:t>(b)</w:t>
      </w:r>
      <w:r w:rsidRPr="00C342E0">
        <w:rPr>
          <w:rFonts w:cs="Arial"/>
        </w:rPr>
        <w:tab/>
        <w:t>a minor ingredient of a processed product, where that ingredient comprises bovine fat or bovine tallow; and</w:t>
      </w:r>
    </w:p>
    <w:p w:rsidR="00E64CEF" w:rsidRPr="00C342E0" w:rsidRDefault="00E64CEF" w:rsidP="00E64CEF">
      <w:pPr>
        <w:rPr>
          <w:rFonts w:cs="Arial"/>
          <w:sz w:val="20"/>
          <w:szCs w:val="20"/>
        </w:rPr>
      </w:pPr>
    </w:p>
    <w:p w:rsidR="00E64CEF" w:rsidRPr="00C342E0" w:rsidRDefault="00E64CEF" w:rsidP="00E64CEF">
      <w:pPr>
        <w:pStyle w:val="Clause"/>
        <w:rPr>
          <w:rFonts w:cs="Arial"/>
          <w:i/>
        </w:rPr>
      </w:pPr>
      <w:r w:rsidRPr="00C342E0">
        <w:rPr>
          <w:rFonts w:cs="Arial"/>
          <w:b/>
        </w:rPr>
        <w:t>[24]</w:t>
      </w:r>
      <w:r w:rsidRPr="00C342E0">
        <w:rPr>
          <w:rFonts w:cs="Arial"/>
          <w:b/>
        </w:rPr>
        <w:tab/>
      </w:r>
      <w:r w:rsidRPr="00C342E0">
        <w:rPr>
          <w:rFonts w:cs="Arial"/>
          <w:b/>
          <w:i/>
        </w:rPr>
        <w:t xml:space="preserve">Standard 2.2.2 </w:t>
      </w:r>
      <w:r w:rsidRPr="00C342E0">
        <w:rPr>
          <w:rFonts w:cs="Arial"/>
          <w:i/>
        </w:rPr>
        <w:t xml:space="preserve">of the Australia New Zealand Food Standards Code is varied by omitting the </w:t>
      </w:r>
      <w:r w:rsidRPr="00C342E0">
        <w:rPr>
          <w:rFonts w:cs="Arial"/>
        </w:rPr>
        <w:t xml:space="preserve">Purpose, </w:t>
      </w:r>
      <w:r w:rsidRPr="00C342E0">
        <w:rPr>
          <w:rFonts w:cs="Arial"/>
          <w:i/>
        </w:rPr>
        <w:t xml:space="preserve">substituting – </w:t>
      </w:r>
    </w:p>
    <w:p w:rsidR="00E64CEF" w:rsidRPr="00C342E0" w:rsidRDefault="00E64CEF" w:rsidP="00E64CEF">
      <w:pPr>
        <w:rPr>
          <w:rFonts w:cs="Arial"/>
          <w:sz w:val="20"/>
          <w:szCs w:val="20"/>
        </w:rPr>
      </w:pPr>
    </w:p>
    <w:p w:rsidR="00E64CEF" w:rsidRPr="00C342E0" w:rsidRDefault="00E64CEF" w:rsidP="00E64CEF">
      <w:pPr>
        <w:pStyle w:val="Clauseheading"/>
        <w:rPr>
          <w:rFonts w:cs="Arial"/>
        </w:rPr>
      </w:pPr>
      <w:r w:rsidRPr="00C342E0">
        <w:rPr>
          <w:rFonts w:cs="Arial"/>
        </w:rPr>
        <w:t>Purpose</w:t>
      </w:r>
    </w:p>
    <w:p w:rsidR="00E64CEF" w:rsidRPr="00C342E0" w:rsidRDefault="00E64CEF" w:rsidP="00E64CEF">
      <w:pPr>
        <w:ind w:left="851" w:hanging="851"/>
        <w:rPr>
          <w:rFonts w:cs="Arial"/>
          <w:b/>
          <w:iCs/>
          <w:sz w:val="20"/>
          <w:szCs w:val="20"/>
        </w:rPr>
      </w:pPr>
    </w:p>
    <w:p w:rsidR="00E64CEF" w:rsidRPr="00C342E0" w:rsidRDefault="00E64CEF" w:rsidP="00022A5B">
      <w:pPr>
        <w:pStyle w:val="Clause"/>
        <w:rPr>
          <w:rFonts w:cs="Arial"/>
        </w:rPr>
      </w:pPr>
      <w:r w:rsidRPr="00C342E0">
        <w:rPr>
          <w:rFonts w:cs="Arial"/>
        </w:rPr>
        <w:t>This Standard provides definitions and requirements for egg and egg products.</w:t>
      </w:r>
    </w:p>
    <w:p w:rsidR="00E64CEF" w:rsidRPr="003E5DCE" w:rsidRDefault="00E64CEF" w:rsidP="00E64CEF"/>
    <w:p w:rsidR="00C342E0" w:rsidRDefault="00E64CEF" w:rsidP="00E64CEF">
      <w:pPr>
        <w:pStyle w:val="Clause"/>
      </w:pPr>
      <w:r>
        <w:rPr>
          <w:b/>
        </w:rPr>
        <w:t>[25]</w:t>
      </w:r>
      <w:r>
        <w:rPr>
          <w:b/>
        </w:rPr>
        <w:tab/>
      </w:r>
      <w:r w:rsidRPr="00D66CAD">
        <w:rPr>
          <w:b/>
          <w:i/>
        </w:rPr>
        <w:t xml:space="preserve">Standard 2.2.3 </w:t>
      </w:r>
      <w:r w:rsidRPr="00D66CAD">
        <w:rPr>
          <w:i/>
        </w:rPr>
        <w:t>of the Australia New Zealand Food Standards Code is varied by</w:t>
      </w:r>
      <w:r>
        <w:t xml:space="preserve"> – </w:t>
      </w:r>
      <w:r w:rsidR="00C342E0">
        <w:br w:type="page"/>
      </w:r>
    </w:p>
    <w:p w:rsidR="00E64CEF" w:rsidRDefault="00E64CEF" w:rsidP="00E64CEF">
      <w:pPr>
        <w:pStyle w:val="Clause"/>
      </w:pPr>
      <w:r>
        <w:lastRenderedPageBreak/>
        <w:t>[25.1]</w:t>
      </w:r>
      <w:r>
        <w:tab/>
      </w:r>
      <w:r w:rsidRPr="00D66CAD">
        <w:rPr>
          <w:i/>
        </w:rPr>
        <w:t xml:space="preserve">omitting the </w:t>
      </w:r>
      <w:r>
        <w:t>Purpose</w:t>
      </w:r>
      <w:r w:rsidRPr="00D66CAD">
        <w:rPr>
          <w:i/>
        </w:rPr>
        <w:t>, substituting</w:t>
      </w:r>
      <w:r>
        <w:t xml:space="preserve"> – </w:t>
      </w:r>
    </w:p>
    <w:p w:rsidR="00E64CEF" w:rsidRPr="00C342E0" w:rsidRDefault="00E64CEF" w:rsidP="00E64CEF">
      <w:pPr>
        <w:ind w:left="851" w:hanging="851"/>
        <w:rPr>
          <w:i/>
          <w:iCs/>
          <w:sz w:val="20"/>
          <w:szCs w:val="20"/>
        </w:rPr>
      </w:pPr>
    </w:p>
    <w:p w:rsidR="00E64CEF" w:rsidRPr="00C342E0" w:rsidRDefault="00E64CEF" w:rsidP="00E64CEF">
      <w:pPr>
        <w:pStyle w:val="Clauseheading"/>
      </w:pPr>
      <w:r w:rsidRPr="00C342E0">
        <w:t>Purpose</w:t>
      </w:r>
    </w:p>
    <w:p w:rsidR="00E64CEF" w:rsidRPr="00C342E0" w:rsidRDefault="00E64CEF" w:rsidP="00E64CEF">
      <w:pPr>
        <w:ind w:left="851" w:hanging="851"/>
        <w:rPr>
          <w:b/>
          <w:iCs/>
          <w:sz w:val="20"/>
          <w:szCs w:val="20"/>
        </w:rPr>
      </w:pPr>
    </w:p>
    <w:p w:rsidR="00E64CEF" w:rsidRPr="00C342E0" w:rsidRDefault="00E64CEF" w:rsidP="00E64CEF">
      <w:pPr>
        <w:pStyle w:val="Clause"/>
      </w:pPr>
      <w:r w:rsidRPr="00C342E0">
        <w:t>This Standard defines the term ‘fish’ and requires the provision of certain cooking instructions for raw fish which has been joined using a binding system without the application of heat.</w:t>
      </w:r>
    </w:p>
    <w:p w:rsidR="00E64CEF" w:rsidRPr="00C342E0" w:rsidRDefault="00E64CEF" w:rsidP="00E64CEF">
      <w:pPr>
        <w:rPr>
          <w:sz w:val="20"/>
          <w:szCs w:val="20"/>
        </w:rPr>
      </w:pPr>
    </w:p>
    <w:p w:rsidR="00E64CEF" w:rsidRPr="00C342E0" w:rsidRDefault="00E64CEF" w:rsidP="00E64CEF">
      <w:pPr>
        <w:pStyle w:val="Clause"/>
      </w:pPr>
      <w:r w:rsidRPr="00C342E0">
        <w:t>[25.2]</w:t>
      </w:r>
      <w:r w:rsidRPr="00C342E0">
        <w:tab/>
      </w:r>
      <w:r w:rsidRPr="00C342E0">
        <w:rPr>
          <w:i/>
        </w:rPr>
        <w:t xml:space="preserve">omitting clauses 2 and 3, substituting </w:t>
      </w:r>
      <w:r w:rsidRPr="00C342E0">
        <w:t xml:space="preserve">– </w:t>
      </w:r>
    </w:p>
    <w:p w:rsidR="00E64CEF" w:rsidRPr="00C342E0" w:rsidRDefault="00E64CEF" w:rsidP="00E64CEF">
      <w:pPr>
        <w:rPr>
          <w:i/>
          <w:sz w:val="20"/>
          <w:szCs w:val="20"/>
        </w:rPr>
      </w:pPr>
    </w:p>
    <w:p w:rsidR="00E64CEF" w:rsidRPr="00C342E0" w:rsidRDefault="00E64CEF" w:rsidP="00E64CEF">
      <w:pPr>
        <w:pStyle w:val="Clauseheading"/>
      </w:pPr>
      <w:r w:rsidRPr="00C342E0">
        <w:t>2</w:t>
      </w:r>
      <w:r w:rsidRPr="00C342E0">
        <w:tab/>
        <w:t>Labelling etc of formed or joined fish</w:t>
      </w:r>
    </w:p>
    <w:p w:rsidR="00E64CEF" w:rsidRPr="00C342E0" w:rsidRDefault="00E64CEF" w:rsidP="00E64CEF">
      <w:pPr>
        <w:rPr>
          <w:sz w:val="20"/>
          <w:szCs w:val="20"/>
        </w:rPr>
      </w:pPr>
    </w:p>
    <w:p w:rsidR="00E64CEF" w:rsidRPr="00C342E0" w:rsidRDefault="00E64CEF" w:rsidP="00E64CEF">
      <w:pPr>
        <w:pStyle w:val="Clause"/>
      </w:pPr>
      <w:r w:rsidRPr="00C342E0">
        <w:t>Where raw fish has been formed or joined in the semblance of a cut or fillet of fish using a binding system without the application of heat, whether coated or not, a declaration that the fish is either formed or joined, in conjunction with cooking instructions indicating how the microbiological safety of the product can be achieved –</w:t>
      </w:r>
    </w:p>
    <w:p w:rsidR="00E64CEF" w:rsidRPr="00C342E0" w:rsidRDefault="00E64CEF" w:rsidP="00E64CEF">
      <w:pPr>
        <w:ind w:hanging="622"/>
        <w:rPr>
          <w:sz w:val="20"/>
          <w:szCs w:val="20"/>
        </w:rPr>
      </w:pPr>
    </w:p>
    <w:p w:rsidR="00E64CEF" w:rsidRPr="00C342E0" w:rsidRDefault="00E64CEF" w:rsidP="00E64CEF">
      <w:pPr>
        <w:pStyle w:val="Paragraph"/>
      </w:pPr>
      <w:r w:rsidRPr="00C342E0">
        <w:t>(a)</w:t>
      </w:r>
      <w:r w:rsidRPr="00C342E0">
        <w:tab/>
        <w:t>must be included on the label on the package of the fish; or</w:t>
      </w:r>
    </w:p>
    <w:p w:rsidR="00E64CEF" w:rsidRPr="00C342E0" w:rsidRDefault="00E64CEF" w:rsidP="00E64CEF">
      <w:pPr>
        <w:pStyle w:val="Paragraph"/>
      </w:pPr>
      <w:r w:rsidRPr="00C342E0">
        <w:t>(b)</w:t>
      </w:r>
      <w:r w:rsidRPr="00C342E0">
        <w:tab/>
        <w:t>if the food is not required to be labelled, must be provided to the purchaser.</w:t>
      </w:r>
    </w:p>
    <w:p w:rsidR="00E64CEF" w:rsidRPr="00C342E0" w:rsidRDefault="00E64CEF" w:rsidP="00E64CEF">
      <w:pPr>
        <w:rPr>
          <w:i/>
          <w:sz w:val="20"/>
          <w:szCs w:val="20"/>
        </w:rPr>
      </w:pPr>
    </w:p>
    <w:p w:rsidR="00E64CEF" w:rsidRPr="00C342E0" w:rsidRDefault="00E64CEF" w:rsidP="00E64CEF">
      <w:pPr>
        <w:pStyle w:val="Clause"/>
      </w:pPr>
      <w:r w:rsidRPr="00C342E0">
        <w:t>[25.3]</w:t>
      </w:r>
      <w:r w:rsidRPr="00C342E0">
        <w:tab/>
      </w:r>
      <w:r w:rsidRPr="00C342E0">
        <w:rPr>
          <w:i/>
        </w:rPr>
        <w:t xml:space="preserve">updating the </w:t>
      </w:r>
      <w:r w:rsidRPr="00C342E0">
        <w:t xml:space="preserve">Table of Provisions </w:t>
      </w:r>
      <w:r w:rsidRPr="00C342E0">
        <w:rPr>
          <w:i/>
        </w:rPr>
        <w:t>to reflect these amendments</w:t>
      </w:r>
    </w:p>
    <w:p w:rsidR="00E64CEF" w:rsidRPr="00C342E0" w:rsidRDefault="00E64CEF" w:rsidP="00E64CEF">
      <w:pPr>
        <w:rPr>
          <w:i/>
          <w:iCs/>
          <w:sz w:val="20"/>
          <w:szCs w:val="20"/>
        </w:rPr>
      </w:pPr>
    </w:p>
    <w:p w:rsidR="00E64CEF" w:rsidRPr="00C342E0" w:rsidRDefault="00E64CEF" w:rsidP="00E64CEF">
      <w:pPr>
        <w:pStyle w:val="Clause"/>
        <w:rPr>
          <w:bCs/>
          <w:i/>
        </w:rPr>
      </w:pPr>
      <w:r w:rsidRPr="00C342E0">
        <w:rPr>
          <w:b/>
          <w:bCs/>
        </w:rPr>
        <w:t>[26]</w:t>
      </w:r>
      <w:r w:rsidRPr="00C342E0">
        <w:rPr>
          <w:b/>
          <w:bCs/>
        </w:rPr>
        <w:tab/>
      </w:r>
      <w:r w:rsidRPr="00C342E0">
        <w:rPr>
          <w:b/>
          <w:bCs/>
          <w:i/>
        </w:rPr>
        <w:t xml:space="preserve">Standard 2.3.1 </w:t>
      </w:r>
      <w:r w:rsidRPr="00C342E0">
        <w:rPr>
          <w:bCs/>
          <w:i/>
        </w:rPr>
        <w:t xml:space="preserve">of the Australia New Zealand Food Standards Code is varied by </w:t>
      </w:r>
      <w:r w:rsidRPr="00C342E0">
        <w:rPr>
          <w:i/>
        </w:rPr>
        <w:t xml:space="preserve">omitting the definition of </w:t>
      </w:r>
      <w:r w:rsidRPr="00C342E0">
        <w:rPr>
          <w:b/>
        </w:rPr>
        <w:t>peeled and/or cut fruit and vegetables</w:t>
      </w:r>
    </w:p>
    <w:p w:rsidR="00E64CEF" w:rsidRPr="00C342E0" w:rsidRDefault="00E64CEF" w:rsidP="00E64CEF">
      <w:pPr>
        <w:rPr>
          <w:sz w:val="20"/>
          <w:szCs w:val="20"/>
        </w:rPr>
      </w:pPr>
    </w:p>
    <w:p w:rsidR="00E64CEF" w:rsidRPr="00C342E0" w:rsidRDefault="00E64CEF" w:rsidP="00E64CEF">
      <w:pPr>
        <w:pStyle w:val="Clause"/>
        <w:rPr>
          <w:bCs/>
          <w:i/>
        </w:rPr>
      </w:pPr>
      <w:r w:rsidRPr="00C342E0">
        <w:rPr>
          <w:b/>
          <w:bCs/>
        </w:rPr>
        <w:t>[27]</w:t>
      </w:r>
      <w:r w:rsidRPr="00C342E0">
        <w:rPr>
          <w:b/>
          <w:bCs/>
        </w:rPr>
        <w:tab/>
      </w:r>
      <w:r w:rsidRPr="00C342E0">
        <w:rPr>
          <w:b/>
          <w:bCs/>
          <w:i/>
        </w:rPr>
        <w:t xml:space="preserve">Standard 2.4.1 </w:t>
      </w:r>
      <w:r w:rsidRPr="00C342E0">
        <w:rPr>
          <w:bCs/>
          <w:i/>
        </w:rPr>
        <w:t xml:space="preserve">of the Australia New Zealand Food Standards Code is varied by omitting the definition of </w:t>
      </w:r>
      <w:r w:rsidRPr="00C342E0">
        <w:rPr>
          <w:b/>
          <w:bCs/>
        </w:rPr>
        <w:t>edible oils</w:t>
      </w:r>
      <w:r w:rsidRPr="00C342E0">
        <w:rPr>
          <w:bCs/>
        </w:rPr>
        <w:t xml:space="preserve">, </w:t>
      </w:r>
      <w:r w:rsidRPr="00C342E0">
        <w:rPr>
          <w:bCs/>
          <w:i/>
        </w:rPr>
        <w:t xml:space="preserve">substituting – </w:t>
      </w:r>
    </w:p>
    <w:p w:rsidR="00E64CEF" w:rsidRPr="00C342E0" w:rsidRDefault="00E64CEF" w:rsidP="00E64CEF">
      <w:pPr>
        <w:rPr>
          <w:sz w:val="20"/>
          <w:szCs w:val="20"/>
        </w:rPr>
      </w:pPr>
    </w:p>
    <w:p w:rsidR="00E64CEF" w:rsidRPr="00C342E0" w:rsidRDefault="00E64CEF" w:rsidP="00E64CEF">
      <w:pPr>
        <w:pStyle w:val="Definition"/>
      </w:pPr>
      <w:r w:rsidRPr="00C342E0">
        <w:rPr>
          <w:b/>
          <w:bCs/>
        </w:rPr>
        <w:t xml:space="preserve">edible oils </w:t>
      </w:r>
      <w:r w:rsidRPr="00C342E0">
        <w:rPr>
          <w:bCs/>
        </w:rPr>
        <w:t xml:space="preserve">means the triglycerides and diglycerides </w:t>
      </w:r>
      <w:r w:rsidRPr="00C342E0">
        <w:t>of fatty acids of plant or animal origin, including aquatic plants and aquatic animals.</w:t>
      </w:r>
    </w:p>
    <w:p w:rsidR="00E64CEF" w:rsidRPr="00C342E0" w:rsidRDefault="00E64CEF" w:rsidP="00E64CEF">
      <w:pPr>
        <w:pStyle w:val="Definition"/>
        <w:rPr>
          <w:b/>
          <w:bCs/>
        </w:rPr>
      </w:pPr>
    </w:p>
    <w:p w:rsidR="00E64CEF" w:rsidRPr="00C342E0" w:rsidRDefault="00E64CEF" w:rsidP="00E64CEF">
      <w:pPr>
        <w:pStyle w:val="Clause"/>
        <w:rPr>
          <w:bCs/>
        </w:rPr>
      </w:pPr>
      <w:r w:rsidRPr="00C342E0">
        <w:rPr>
          <w:b/>
          <w:bCs/>
        </w:rPr>
        <w:t>[28]</w:t>
      </w:r>
      <w:r w:rsidRPr="00C342E0">
        <w:rPr>
          <w:b/>
          <w:bCs/>
        </w:rPr>
        <w:tab/>
      </w:r>
      <w:r w:rsidRPr="00C342E0">
        <w:rPr>
          <w:b/>
          <w:bCs/>
          <w:i/>
        </w:rPr>
        <w:t xml:space="preserve">Standard 2.4.2 </w:t>
      </w:r>
      <w:r w:rsidRPr="00C342E0">
        <w:rPr>
          <w:bCs/>
          <w:i/>
        </w:rPr>
        <w:t xml:space="preserve">of the Australia New Zealand Food Standards Code is varied by inserting </w:t>
      </w:r>
      <w:r w:rsidRPr="00C342E0">
        <w:rPr>
          <w:bCs/>
        </w:rPr>
        <w:t xml:space="preserve">and is not covered by this Standard </w:t>
      </w:r>
      <w:r w:rsidRPr="00C342E0">
        <w:rPr>
          <w:bCs/>
          <w:i/>
        </w:rPr>
        <w:t xml:space="preserve">after </w:t>
      </w:r>
      <w:r w:rsidRPr="00C342E0">
        <w:rPr>
          <w:bCs/>
        </w:rPr>
        <w:t xml:space="preserve">Standard 2.5.5 </w:t>
      </w:r>
      <w:r w:rsidRPr="00C342E0">
        <w:rPr>
          <w:bCs/>
          <w:i/>
        </w:rPr>
        <w:t xml:space="preserve">in the </w:t>
      </w:r>
      <w:r w:rsidRPr="00C342E0">
        <w:rPr>
          <w:bCs/>
        </w:rPr>
        <w:t>Purpose.</w:t>
      </w:r>
    </w:p>
    <w:p w:rsidR="00E64CEF" w:rsidRPr="00C342E0" w:rsidRDefault="00E64CEF" w:rsidP="00E64CEF">
      <w:pPr>
        <w:rPr>
          <w:sz w:val="20"/>
          <w:szCs w:val="20"/>
        </w:rPr>
      </w:pPr>
    </w:p>
    <w:p w:rsidR="00E64CEF" w:rsidRPr="00C342E0" w:rsidRDefault="00E64CEF" w:rsidP="00E64CEF">
      <w:pPr>
        <w:pStyle w:val="Clause"/>
        <w:rPr>
          <w:bCs/>
          <w:i/>
        </w:rPr>
      </w:pPr>
      <w:r w:rsidRPr="00C342E0">
        <w:rPr>
          <w:b/>
          <w:bCs/>
        </w:rPr>
        <w:t>[29]</w:t>
      </w:r>
      <w:r w:rsidRPr="00C342E0">
        <w:rPr>
          <w:b/>
          <w:bCs/>
        </w:rPr>
        <w:tab/>
      </w:r>
      <w:r w:rsidRPr="00C342E0">
        <w:rPr>
          <w:b/>
          <w:bCs/>
          <w:i/>
        </w:rPr>
        <w:t xml:space="preserve">Standard 2.5.1 </w:t>
      </w:r>
      <w:r w:rsidRPr="00C342E0">
        <w:rPr>
          <w:bCs/>
          <w:i/>
        </w:rPr>
        <w:t xml:space="preserve">of the Australia New Zealand Food Standards Code is varied by – </w:t>
      </w:r>
    </w:p>
    <w:p w:rsidR="00E64CEF" w:rsidRPr="00C342E0" w:rsidRDefault="00E64CEF" w:rsidP="00E64CEF">
      <w:pPr>
        <w:pStyle w:val="Clause"/>
        <w:rPr>
          <w:bCs/>
          <w:i/>
        </w:rPr>
      </w:pPr>
    </w:p>
    <w:p w:rsidR="00E64CEF" w:rsidRPr="00C342E0" w:rsidRDefault="00E64CEF" w:rsidP="00E64CEF">
      <w:pPr>
        <w:pStyle w:val="Clause"/>
        <w:rPr>
          <w:bCs/>
        </w:rPr>
      </w:pPr>
      <w:r w:rsidRPr="00C342E0">
        <w:rPr>
          <w:bCs/>
        </w:rPr>
        <w:t>[29.1]</w:t>
      </w:r>
      <w:r w:rsidRPr="00C342E0">
        <w:rPr>
          <w:bCs/>
        </w:rPr>
        <w:tab/>
      </w:r>
      <w:r w:rsidRPr="00C342E0">
        <w:rPr>
          <w:bCs/>
          <w:i/>
        </w:rPr>
        <w:t xml:space="preserve">omitting from the </w:t>
      </w:r>
      <w:r w:rsidRPr="00C342E0">
        <w:rPr>
          <w:bCs/>
        </w:rPr>
        <w:t xml:space="preserve">Purpose – </w:t>
      </w:r>
    </w:p>
    <w:p w:rsidR="00E64CEF" w:rsidRPr="00C342E0" w:rsidRDefault="00E64CEF" w:rsidP="00E64CEF">
      <w:pPr>
        <w:rPr>
          <w:sz w:val="20"/>
          <w:szCs w:val="20"/>
        </w:rPr>
      </w:pPr>
    </w:p>
    <w:p w:rsidR="00E64CEF" w:rsidRPr="00C342E0" w:rsidRDefault="00E64CEF" w:rsidP="00E64CEF">
      <w:pPr>
        <w:pStyle w:val="Clause"/>
      </w:pPr>
      <w:r w:rsidRPr="00C342E0">
        <w:t>Processing requirements for milk are contained in Standard 4.2.4.  Subclause 4(2) of this Standard does not apply to milk produced in New Zealand.</w:t>
      </w:r>
    </w:p>
    <w:p w:rsidR="00E64CEF" w:rsidRPr="00C342E0" w:rsidRDefault="00E64CEF" w:rsidP="00E64CEF">
      <w:pPr>
        <w:rPr>
          <w:sz w:val="20"/>
          <w:szCs w:val="20"/>
        </w:rPr>
      </w:pPr>
    </w:p>
    <w:p w:rsidR="00E64CEF" w:rsidRPr="00C342E0" w:rsidRDefault="00E64CEF" w:rsidP="00E64CEF">
      <w:pPr>
        <w:pStyle w:val="Clause"/>
      </w:pPr>
      <w:r w:rsidRPr="00C342E0">
        <w:t>[29.2]</w:t>
      </w:r>
      <w:r w:rsidRPr="00C342E0">
        <w:tab/>
      </w:r>
      <w:r w:rsidRPr="00C342E0">
        <w:rPr>
          <w:i/>
        </w:rPr>
        <w:t xml:space="preserve">omitting from the </w:t>
      </w:r>
      <w:r w:rsidRPr="00C342E0">
        <w:t xml:space="preserve">Table of Provisions – </w:t>
      </w:r>
    </w:p>
    <w:p w:rsidR="00E64CEF" w:rsidRPr="00C342E0" w:rsidRDefault="00E64CEF" w:rsidP="00E64CEF">
      <w:pPr>
        <w:rPr>
          <w:sz w:val="20"/>
          <w:szCs w:val="20"/>
        </w:rPr>
      </w:pPr>
    </w:p>
    <w:p w:rsidR="00E64CEF" w:rsidRPr="00C342E0" w:rsidRDefault="00E64CEF" w:rsidP="00E64CEF">
      <w:pPr>
        <w:pStyle w:val="ClauseList"/>
      </w:pPr>
      <w:r w:rsidRPr="00C342E0">
        <w:t>4</w:t>
      </w:r>
      <w:r w:rsidRPr="00C342E0">
        <w:tab/>
        <w:t>Milk to be processed</w:t>
      </w:r>
    </w:p>
    <w:p w:rsidR="00E64CEF" w:rsidRPr="00C342E0" w:rsidRDefault="00E64CEF" w:rsidP="00E64CEF">
      <w:pPr>
        <w:pStyle w:val="ClauseList"/>
      </w:pPr>
      <w:r w:rsidRPr="00C342E0">
        <w:t>5</w:t>
      </w:r>
      <w:r w:rsidRPr="00C342E0">
        <w:tab/>
        <w:t>Phytosterols, phytostanols and their esters</w:t>
      </w:r>
    </w:p>
    <w:p w:rsidR="00E64CEF" w:rsidRPr="00C342E0" w:rsidRDefault="00E64CEF" w:rsidP="00E64CEF">
      <w:pPr>
        <w:rPr>
          <w:sz w:val="20"/>
          <w:szCs w:val="20"/>
        </w:rPr>
      </w:pPr>
    </w:p>
    <w:p w:rsidR="00E64CEF" w:rsidRPr="00C342E0" w:rsidRDefault="00E64CEF" w:rsidP="009D2A44">
      <w:pPr>
        <w:pStyle w:val="Clause"/>
      </w:pPr>
      <w:r w:rsidRPr="00C342E0">
        <w:rPr>
          <w:i/>
        </w:rPr>
        <w:t>substituting</w:t>
      </w:r>
      <w:r w:rsidRPr="00C342E0">
        <w:t xml:space="preserve"> – </w:t>
      </w:r>
    </w:p>
    <w:p w:rsidR="00E64CEF" w:rsidRPr="00C342E0" w:rsidRDefault="00E64CEF" w:rsidP="00E64CEF">
      <w:pPr>
        <w:rPr>
          <w:i/>
          <w:sz w:val="20"/>
          <w:szCs w:val="20"/>
        </w:rPr>
      </w:pPr>
    </w:p>
    <w:p w:rsidR="00E64CEF" w:rsidRPr="00C342E0" w:rsidRDefault="00E64CEF" w:rsidP="00E64CEF">
      <w:pPr>
        <w:pStyle w:val="ClauseList"/>
      </w:pPr>
      <w:r w:rsidRPr="00C342E0">
        <w:t>4</w:t>
      </w:r>
      <w:r w:rsidRPr="00C342E0">
        <w:tab/>
        <w:t>Phytosterols, phytostanols and their esters</w:t>
      </w:r>
    </w:p>
    <w:p w:rsidR="00E64CEF" w:rsidRPr="00C342E0" w:rsidRDefault="00E64CEF" w:rsidP="00E64CEF">
      <w:pPr>
        <w:rPr>
          <w:sz w:val="20"/>
          <w:szCs w:val="20"/>
        </w:rPr>
      </w:pPr>
    </w:p>
    <w:p w:rsidR="00E64CEF" w:rsidRPr="00C342E0" w:rsidRDefault="00E64CEF" w:rsidP="00E64CEF">
      <w:pPr>
        <w:pStyle w:val="Clause"/>
      </w:pPr>
      <w:r w:rsidRPr="00C342E0">
        <w:t>[29.3]</w:t>
      </w:r>
      <w:r w:rsidRPr="00C342E0">
        <w:tab/>
      </w:r>
      <w:r w:rsidRPr="00C342E0">
        <w:rPr>
          <w:i/>
        </w:rPr>
        <w:t xml:space="preserve">omitting </w:t>
      </w:r>
      <w:r w:rsidRPr="00C342E0">
        <w:t>and/or</w:t>
      </w:r>
      <w:r w:rsidRPr="00C342E0">
        <w:rPr>
          <w:i/>
        </w:rPr>
        <w:t xml:space="preserve"> from subclause 2(2), substituting </w:t>
      </w:r>
      <w:r w:rsidRPr="00C342E0">
        <w:t>or</w:t>
      </w:r>
    </w:p>
    <w:p w:rsidR="00E64CEF" w:rsidRPr="00C342E0" w:rsidRDefault="00E64CEF" w:rsidP="00E64CEF">
      <w:pPr>
        <w:rPr>
          <w:sz w:val="20"/>
          <w:szCs w:val="20"/>
        </w:rPr>
      </w:pPr>
    </w:p>
    <w:p w:rsidR="00E64CEF" w:rsidRPr="00C342E0" w:rsidRDefault="00E64CEF" w:rsidP="00E64CEF">
      <w:pPr>
        <w:pStyle w:val="Clause"/>
      </w:pPr>
      <w:r w:rsidRPr="00C342E0">
        <w:t>[29.4]</w:t>
      </w:r>
      <w:r w:rsidRPr="00C342E0">
        <w:tab/>
      </w:r>
      <w:r w:rsidRPr="00C342E0">
        <w:rPr>
          <w:i/>
        </w:rPr>
        <w:t>omitting clauses 4 and 5, substituting</w:t>
      </w:r>
      <w:r w:rsidRPr="00C342E0">
        <w:t xml:space="preserve"> – </w:t>
      </w:r>
    </w:p>
    <w:p w:rsidR="00E64CEF" w:rsidRPr="00C342E0" w:rsidRDefault="00E64CEF" w:rsidP="00E64CEF">
      <w:pPr>
        <w:rPr>
          <w:i/>
          <w:sz w:val="20"/>
          <w:szCs w:val="20"/>
        </w:rPr>
      </w:pPr>
    </w:p>
    <w:p w:rsidR="00E64CEF" w:rsidRPr="00C342E0" w:rsidRDefault="00E64CEF" w:rsidP="00E64CEF">
      <w:pPr>
        <w:pStyle w:val="Clauseheading"/>
      </w:pPr>
      <w:r w:rsidRPr="00C342E0">
        <w:t>4</w:t>
      </w:r>
      <w:r w:rsidRPr="00C342E0">
        <w:tab/>
        <w:t>Phytosterols, phytostanols and their esters</w:t>
      </w:r>
    </w:p>
    <w:p w:rsidR="00E64CEF" w:rsidRPr="00C342E0" w:rsidRDefault="00E64CEF" w:rsidP="00E64CEF">
      <w:pPr>
        <w:rPr>
          <w:sz w:val="20"/>
          <w:szCs w:val="20"/>
        </w:rPr>
      </w:pPr>
    </w:p>
    <w:p w:rsidR="00E64CEF" w:rsidRPr="00C342E0" w:rsidRDefault="00E64CEF" w:rsidP="00E64CEF">
      <w:pPr>
        <w:pStyle w:val="Clause"/>
        <w:tabs>
          <w:tab w:val="left" w:pos="2506"/>
        </w:tabs>
      </w:pPr>
      <w:r w:rsidRPr="00C342E0">
        <w:t>Phytosterols, phytostanols and their esters may only be added to milk –</w:t>
      </w:r>
    </w:p>
    <w:p w:rsidR="00E64CEF" w:rsidRPr="00C342E0" w:rsidRDefault="00E64CEF" w:rsidP="00E64CEF">
      <w:pPr>
        <w:pStyle w:val="Clause"/>
        <w:tabs>
          <w:tab w:val="left" w:pos="2506"/>
        </w:tabs>
      </w:pPr>
    </w:p>
    <w:p w:rsidR="00E64CEF" w:rsidRPr="00F03A82" w:rsidRDefault="00E64CEF" w:rsidP="00E64CEF">
      <w:pPr>
        <w:pStyle w:val="Paragraph"/>
        <w:tabs>
          <w:tab w:val="left" w:pos="2506"/>
        </w:tabs>
      </w:pPr>
      <w:r w:rsidRPr="00F03A82">
        <w:t>(a)</w:t>
      </w:r>
      <w:r w:rsidRPr="00F03A82">
        <w:tab/>
        <w:t>that contains no more than 1.5 g total fat per 100 g; and</w:t>
      </w:r>
    </w:p>
    <w:p w:rsidR="00C342E0" w:rsidRDefault="00E64CEF" w:rsidP="00E64CEF">
      <w:pPr>
        <w:pStyle w:val="Paragraph"/>
        <w:tabs>
          <w:tab w:val="left" w:pos="2506"/>
        </w:tabs>
      </w:pPr>
      <w:r w:rsidRPr="00F03A82">
        <w:t>(b)</w:t>
      </w:r>
      <w:r w:rsidRPr="00F03A82">
        <w:tab/>
        <w:t xml:space="preserve">that is supplied in a package, the labelled volume of which is no more than 1 litre; and </w:t>
      </w:r>
      <w:r w:rsidR="00C342E0">
        <w:br w:type="page"/>
      </w:r>
    </w:p>
    <w:p w:rsidR="00E64CEF" w:rsidRPr="00A4552C" w:rsidRDefault="00E64CEF" w:rsidP="00E64CEF">
      <w:pPr>
        <w:pStyle w:val="Paragraph"/>
        <w:tabs>
          <w:tab w:val="left" w:pos="2506"/>
        </w:tabs>
      </w:pPr>
      <w:r w:rsidRPr="00F03A82">
        <w:lastRenderedPageBreak/>
        <w:t>(c)</w:t>
      </w:r>
      <w:r w:rsidRPr="00F03A82">
        <w:tab/>
        <w:t>where the total plant sterol equivalents content is no less than 3 g/L of milk and no more than 4 g/L of milk.</w:t>
      </w:r>
    </w:p>
    <w:p w:rsidR="00E64CEF" w:rsidRPr="00C342E0" w:rsidRDefault="00E64CEF" w:rsidP="00E64CEF">
      <w:pPr>
        <w:rPr>
          <w:sz w:val="20"/>
          <w:szCs w:val="20"/>
        </w:rPr>
      </w:pPr>
    </w:p>
    <w:p w:rsidR="00E64CEF" w:rsidRPr="00C342E0" w:rsidRDefault="00E64CEF" w:rsidP="00E64CEF">
      <w:pPr>
        <w:pStyle w:val="Clause"/>
        <w:rPr>
          <w:bCs/>
          <w:i/>
        </w:rPr>
      </w:pPr>
      <w:r w:rsidRPr="00C342E0">
        <w:rPr>
          <w:b/>
          <w:bCs/>
        </w:rPr>
        <w:t>[30]</w:t>
      </w:r>
      <w:r w:rsidRPr="00C342E0">
        <w:rPr>
          <w:b/>
          <w:bCs/>
        </w:rPr>
        <w:tab/>
      </w:r>
      <w:r w:rsidRPr="00C342E0">
        <w:rPr>
          <w:b/>
          <w:bCs/>
          <w:i/>
        </w:rPr>
        <w:t xml:space="preserve">Standard 2.5.2 </w:t>
      </w:r>
      <w:r w:rsidRPr="00C342E0">
        <w:rPr>
          <w:bCs/>
          <w:i/>
        </w:rPr>
        <w:t xml:space="preserve">of the Australia New Zealand Food Standards Code is varied by omitting from the </w:t>
      </w:r>
      <w:r w:rsidRPr="00C342E0">
        <w:rPr>
          <w:bCs/>
        </w:rPr>
        <w:t xml:space="preserve">Purpose – </w:t>
      </w:r>
    </w:p>
    <w:p w:rsidR="00E64CEF" w:rsidRPr="00C342E0" w:rsidRDefault="00E64CEF" w:rsidP="00E64CEF">
      <w:pPr>
        <w:rPr>
          <w:sz w:val="20"/>
          <w:szCs w:val="20"/>
        </w:rPr>
      </w:pPr>
    </w:p>
    <w:p w:rsidR="00E64CEF" w:rsidRPr="00C342E0" w:rsidRDefault="00E64CEF" w:rsidP="00E64CEF">
      <w:pPr>
        <w:pStyle w:val="Clause"/>
      </w:pPr>
      <w:r w:rsidRPr="00C342E0">
        <w:t>Processing requirements for cream are contained in Standard 4.2.4.</w:t>
      </w:r>
    </w:p>
    <w:p w:rsidR="00E64CEF" w:rsidRPr="00C342E0" w:rsidRDefault="00E64CEF" w:rsidP="00E64CEF">
      <w:pPr>
        <w:rPr>
          <w:sz w:val="20"/>
          <w:szCs w:val="20"/>
        </w:rPr>
      </w:pPr>
    </w:p>
    <w:p w:rsidR="00E64CEF" w:rsidRPr="00C342E0" w:rsidRDefault="00E64CEF" w:rsidP="00E64CEF">
      <w:pPr>
        <w:pStyle w:val="Clause"/>
        <w:rPr>
          <w:i/>
          <w:iCs/>
        </w:rPr>
      </w:pPr>
      <w:r w:rsidRPr="00C342E0">
        <w:rPr>
          <w:b/>
          <w:bCs/>
        </w:rPr>
        <w:t>[31]</w:t>
      </w:r>
      <w:r w:rsidRPr="00C342E0">
        <w:tab/>
      </w:r>
      <w:r w:rsidRPr="00C342E0">
        <w:rPr>
          <w:b/>
          <w:bCs/>
          <w:i/>
          <w:iCs/>
        </w:rPr>
        <w:t>Standard 2.5.3</w:t>
      </w:r>
      <w:r w:rsidRPr="00C342E0">
        <w:rPr>
          <w:i/>
          <w:iCs/>
        </w:rPr>
        <w:t xml:space="preserve"> of the Australia New Zealand Food Standards Code is varied by – </w:t>
      </w:r>
    </w:p>
    <w:p w:rsidR="00E64CEF" w:rsidRPr="00C342E0" w:rsidRDefault="00E64CEF" w:rsidP="00E64CEF">
      <w:pPr>
        <w:rPr>
          <w:sz w:val="20"/>
          <w:szCs w:val="20"/>
        </w:rPr>
      </w:pPr>
    </w:p>
    <w:p w:rsidR="00E64CEF" w:rsidRPr="00C342E0" w:rsidRDefault="00E64CEF" w:rsidP="00E64CEF">
      <w:pPr>
        <w:pStyle w:val="Clause"/>
        <w:rPr>
          <w:bCs/>
        </w:rPr>
      </w:pPr>
      <w:r w:rsidRPr="00C342E0">
        <w:rPr>
          <w:bCs/>
        </w:rPr>
        <w:t>[31.1]</w:t>
      </w:r>
      <w:r w:rsidRPr="00C342E0">
        <w:rPr>
          <w:bCs/>
        </w:rPr>
        <w:tab/>
      </w:r>
      <w:r w:rsidRPr="00C342E0">
        <w:rPr>
          <w:bCs/>
          <w:i/>
        </w:rPr>
        <w:t xml:space="preserve">omitting from the </w:t>
      </w:r>
      <w:r w:rsidRPr="00C342E0">
        <w:rPr>
          <w:bCs/>
        </w:rPr>
        <w:t xml:space="preserve">Purpose – </w:t>
      </w:r>
    </w:p>
    <w:p w:rsidR="00E64CEF" w:rsidRPr="00C342E0" w:rsidRDefault="00E64CEF" w:rsidP="00E64CEF">
      <w:pPr>
        <w:rPr>
          <w:sz w:val="20"/>
          <w:szCs w:val="20"/>
        </w:rPr>
      </w:pPr>
    </w:p>
    <w:p w:rsidR="00E64CEF" w:rsidRPr="00C342E0" w:rsidRDefault="00E64CEF" w:rsidP="00E64CEF">
      <w:pPr>
        <w:pStyle w:val="Clause"/>
      </w:pPr>
      <w:r w:rsidRPr="00C342E0">
        <w:t>Processing requirements for fermented milk are contained in Standard 4.2.4</w:t>
      </w:r>
    </w:p>
    <w:p w:rsidR="00E64CEF" w:rsidRPr="00C342E0" w:rsidRDefault="00E64CEF" w:rsidP="00E64CEF">
      <w:pPr>
        <w:rPr>
          <w:sz w:val="20"/>
          <w:szCs w:val="20"/>
        </w:rPr>
      </w:pPr>
    </w:p>
    <w:p w:rsidR="00E64CEF" w:rsidRPr="00C342E0" w:rsidRDefault="00E64CEF" w:rsidP="00E64CEF">
      <w:pPr>
        <w:pStyle w:val="Clause"/>
      </w:pPr>
      <w:r w:rsidRPr="00C342E0">
        <w:t>[31.2]</w:t>
      </w:r>
      <w:r w:rsidRPr="00C342E0">
        <w:tab/>
      </w:r>
      <w:r w:rsidRPr="00C342E0">
        <w:rPr>
          <w:i/>
        </w:rPr>
        <w:t xml:space="preserve">omitting </w:t>
      </w:r>
      <w:r w:rsidRPr="00C342E0">
        <w:t>and/or</w:t>
      </w:r>
      <w:r w:rsidRPr="00C342E0">
        <w:rPr>
          <w:i/>
        </w:rPr>
        <w:t xml:space="preserve"> from the definition of </w:t>
      </w:r>
      <w:r w:rsidRPr="00C342E0">
        <w:rPr>
          <w:b/>
        </w:rPr>
        <w:t>fermented milk</w:t>
      </w:r>
      <w:r w:rsidRPr="00C342E0">
        <w:t xml:space="preserve"> </w:t>
      </w:r>
      <w:r w:rsidRPr="00C342E0">
        <w:rPr>
          <w:i/>
        </w:rPr>
        <w:t>in clause 1,</w:t>
      </w:r>
      <w:r w:rsidRPr="00C342E0">
        <w:t xml:space="preserve"> </w:t>
      </w:r>
      <w:r w:rsidRPr="00C342E0">
        <w:rPr>
          <w:i/>
        </w:rPr>
        <w:t xml:space="preserve">substituting </w:t>
      </w:r>
      <w:r w:rsidRPr="00C342E0">
        <w:t>or</w:t>
      </w:r>
    </w:p>
    <w:p w:rsidR="00E64CEF" w:rsidRPr="00C342E0" w:rsidRDefault="00E64CEF" w:rsidP="00E64CEF">
      <w:pPr>
        <w:rPr>
          <w:sz w:val="20"/>
          <w:szCs w:val="20"/>
        </w:rPr>
      </w:pPr>
    </w:p>
    <w:p w:rsidR="00E64CEF" w:rsidRPr="00C342E0" w:rsidRDefault="00E64CEF" w:rsidP="00E64CEF">
      <w:pPr>
        <w:pStyle w:val="Clause"/>
      </w:pPr>
      <w:r w:rsidRPr="00C342E0">
        <w:t>[31.3]</w:t>
      </w:r>
      <w:r w:rsidRPr="00C342E0">
        <w:tab/>
      </w:r>
      <w:r w:rsidRPr="00C342E0">
        <w:rPr>
          <w:i/>
        </w:rPr>
        <w:t>omitting clause 2, substituting</w:t>
      </w:r>
      <w:r w:rsidRPr="00C342E0">
        <w:t xml:space="preserve"> – </w:t>
      </w:r>
    </w:p>
    <w:p w:rsidR="00E64CEF" w:rsidRPr="00C342E0" w:rsidRDefault="00E64CEF" w:rsidP="00E64CEF">
      <w:pPr>
        <w:rPr>
          <w:i/>
          <w:sz w:val="20"/>
          <w:szCs w:val="20"/>
        </w:rPr>
      </w:pPr>
    </w:p>
    <w:p w:rsidR="00E64CEF" w:rsidRPr="00C342E0" w:rsidRDefault="00E64CEF" w:rsidP="00E64CEF">
      <w:pPr>
        <w:pStyle w:val="Clauseheading"/>
      </w:pPr>
      <w:r w:rsidRPr="00C342E0">
        <w:t>2</w:t>
      </w:r>
      <w:r w:rsidRPr="00C342E0">
        <w:tab/>
        <w:t>Composition of fermented milk, including yoghurt</w:t>
      </w:r>
    </w:p>
    <w:p w:rsidR="00E64CEF" w:rsidRPr="00C342E0" w:rsidRDefault="00E64CEF" w:rsidP="00E64CEF">
      <w:pPr>
        <w:rPr>
          <w:b/>
          <w:sz w:val="20"/>
          <w:szCs w:val="20"/>
        </w:rPr>
      </w:pPr>
    </w:p>
    <w:p w:rsidR="00E64CEF" w:rsidRPr="00C342E0" w:rsidRDefault="00E64CEF" w:rsidP="00E64CEF">
      <w:pPr>
        <w:pStyle w:val="Subclause"/>
      </w:pPr>
      <w:r w:rsidRPr="00C342E0">
        <w:t>(1)</w:t>
      </w:r>
      <w:r w:rsidRPr="00C342E0">
        <w:tab/>
        <w:t>Fermented milk may contain other foods.</w:t>
      </w:r>
    </w:p>
    <w:p w:rsidR="00E64CEF" w:rsidRPr="00C342E0" w:rsidRDefault="00E64CEF" w:rsidP="00E64CEF">
      <w:pPr>
        <w:rPr>
          <w:sz w:val="20"/>
          <w:szCs w:val="20"/>
        </w:rPr>
      </w:pPr>
    </w:p>
    <w:p w:rsidR="00E64CEF" w:rsidRPr="00C342E0" w:rsidRDefault="00E64CEF" w:rsidP="00E64CEF">
      <w:pPr>
        <w:pStyle w:val="Subclause"/>
      </w:pPr>
      <w:r w:rsidRPr="00C342E0">
        <w:t>(2)</w:t>
      </w:r>
      <w:r w:rsidRPr="00C342E0">
        <w:tab/>
        <w:t>In fermented milk and the fermented milk portion of a food containing fermented milk, each component or parameter listed in Column 1 must comply with the value specified in Column 2 of the Table to this subclause.</w:t>
      </w:r>
    </w:p>
    <w:p w:rsidR="00E64CEF" w:rsidRPr="00C342E0" w:rsidRDefault="00E64CEF" w:rsidP="00E64CEF">
      <w:pPr>
        <w:rPr>
          <w:sz w:val="20"/>
          <w:szCs w:val="20"/>
        </w:rPr>
      </w:pPr>
    </w:p>
    <w:p w:rsidR="00E64CEF" w:rsidRPr="00C342E0" w:rsidRDefault="00E64CEF" w:rsidP="00E64CEF">
      <w:pPr>
        <w:pStyle w:val="Clause"/>
      </w:pPr>
      <w:r w:rsidRPr="00C342E0">
        <w:t>[31.4]</w:t>
      </w:r>
      <w:r w:rsidRPr="00C342E0">
        <w:tab/>
      </w:r>
      <w:r w:rsidRPr="00C342E0">
        <w:rPr>
          <w:i/>
        </w:rPr>
        <w:t xml:space="preserve">omitting the </w:t>
      </w:r>
      <w:r w:rsidRPr="00C342E0">
        <w:t xml:space="preserve">Table to subclause 2(3), </w:t>
      </w:r>
      <w:r w:rsidRPr="00C342E0">
        <w:rPr>
          <w:i/>
        </w:rPr>
        <w:t>substituting –</w:t>
      </w:r>
      <w:r w:rsidRPr="00C342E0">
        <w:t xml:space="preserve"> </w:t>
      </w:r>
    </w:p>
    <w:p w:rsidR="00E64CEF" w:rsidRPr="00C342E0" w:rsidRDefault="00E64CEF" w:rsidP="00E64CEF">
      <w:pPr>
        <w:rPr>
          <w:sz w:val="20"/>
          <w:szCs w:val="20"/>
        </w:rPr>
      </w:pPr>
    </w:p>
    <w:p w:rsidR="00E64CEF" w:rsidRPr="00C342E0" w:rsidRDefault="00E64CEF" w:rsidP="00E64CEF">
      <w:pPr>
        <w:pStyle w:val="TableHeading"/>
      </w:pPr>
      <w:r w:rsidRPr="00C342E0">
        <w:t>Table to subclause 2(3)</w:t>
      </w:r>
    </w:p>
    <w:p w:rsidR="00E64CEF" w:rsidRPr="00C342E0" w:rsidRDefault="00E64CEF" w:rsidP="00E64CEF">
      <w:pPr>
        <w:rPr>
          <w:sz w:val="20"/>
          <w:szCs w:val="20"/>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481"/>
      </w:tblGrid>
      <w:tr w:rsidR="00E64CEF" w:rsidTr="00A506D2">
        <w:trPr>
          <w:cantSplit/>
          <w:trHeight w:val="240"/>
          <w:jc w:val="center"/>
        </w:trPr>
        <w:tc>
          <w:tcPr>
            <w:tcW w:w="3323" w:type="dxa"/>
          </w:tcPr>
          <w:p w:rsidR="00E64CEF" w:rsidRDefault="00E64CEF" w:rsidP="00A506D2">
            <w:pPr>
              <w:pStyle w:val="Table1"/>
            </w:pPr>
            <w:r>
              <w:t>Column 1</w:t>
            </w:r>
          </w:p>
        </w:tc>
        <w:tc>
          <w:tcPr>
            <w:tcW w:w="3481" w:type="dxa"/>
          </w:tcPr>
          <w:p w:rsidR="00E64CEF" w:rsidRDefault="00E64CEF" w:rsidP="00A506D2">
            <w:pPr>
              <w:pStyle w:val="Table1"/>
            </w:pPr>
            <w:r>
              <w:t>Column 2</w:t>
            </w:r>
          </w:p>
        </w:tc>
      </w:tr>
      <w:tr w:rsidR="00E64CEF" w:rsidTr="00A506D2">
        <w:trPr>
          <w:cantSplit/>
          <w:trHeight w:val="240"/>
          <w:jc w:val="center"/>
        </w:trPr>
        <w:tc>
          <w:tcPr>
            <w:tcW w:w="3323" w:type="dxa"/>
          </w:tcPr>
          <w:p w:rsidR="00E64CEF" w:rsidRDefault="00E64CEF" w:rsidP="00A506D2">
            <w:pPr>
              <w:pStyle w:val="Table1"/>
            </w:pPr>
            <w:r>
              <w:t>Component or parameter</w:t>
            </w:r>
          </w:p>
        </w:tc>
        <w:tc>
          <w:tcPr>
            <w:tcW w:w="3481" w:type="dxa"/>
          </w:tcPr>
          <w:p w:rsidR="00E64CEF" w:rsidRDefault="00E64CEF" w:rsidP="00A506D2">
            <w:pPr>
              <w:pStyle w:val="Table1"/>
            </w:pPr>
            <w:r>
              <w:t>Value</w:t>
            </w:r>
          </w:p>
        </w:tc>
      </w:tr>
      <w:tr w:rsidR="00E64CEF" w:rsidTr="00A506D2">
        <w:trPr>
          <w:jc w:val="center"/>
        </w:trPr>
        <w:tc>
          <w:tcPr>
            <w:tcW w:w="3323" w:type="dxa"/>
          </w:tcPr>
          <w:p w:rsidR="00E64CEF" w:rsidRDefault="00E64CEF" w:rsidP="00A506D2">
            <w:pPr>
              <w:pStyle w:val="Table2"/>
            </w:pPr>
            <w:r>
              <w:t>protein (measured as crude protein)</w:t>
            </w:r>
          </w:p>
        </w:tc>
        <w:tc>
          <w:tcPr>
            <w:tcW w:w="3481" w:type="dxa"/>
          </w:tcPr>
          <w:p w:rsidR="00E64CEF" w:rsidRDefault="00E64CEF" w:rsidP="00A506D2">
            <w:pPr>
              <w:pStyle w:val="Table2"/>
            </w:pPr>
            <w:r>
              <w:t>minimum 30 g/kg</w:t>
            </w:r>
          </w:p>
        </w:tc>
      </w:tr>
      <w:tr w:rsidR="00E64CEF" w:rsidTr="00A506D2">
        <w:trPr>
          <w:jc w:val="center"/>
        </w:trPr>
        <w:tc>
          <w:tcPr>
            <w:tcW w:w="3323" w:type="dxa"/>
          </w:tcPr>
          <w:p w:rsidR="00E64CEF" w:rsidRDefault="00E64CEF" w:rsidP="00A506D2">
            <w:pPr>
              <w:pStyle w:val="Table2"/>
            </w:pPr>
            <w:r>
              <w:t>pH</w:t>
            </w:r>
          </w:p>
        </w:tc>
        <w:tc>
          <w:tcPr>
            <w:tcW w:w="3481" w:type="dxa"/>
          </w:tcPr>
          <w:p w:rsidR="00E64CEF" w:rsidRDefault="00E64CEF" w:rsidP="00A506D2">
            <w:pPr>
              <w:pStyle w:val="Table2"/>
            </w:pPr>
            <w:r>
              <w:t>maximum 4.5</w:t>
            </w:r>
          </w:p>
        </w:tc>
      </w:tr>
      <w:tr w:rsidR="00E64CEF" w:rsidTr="00A506D2">
        <w:trPr>
          <w:jc w:val="center"/>
        </w:trPr>
        <w:tc>
          <w:tcPr>
            <w:tcW w:w="3323" w:type="dxa"/>
          </w:tcPr>
          <w:p w:rsidR="00E64CEF" w:rsidRDefault="00E64CEF" w:rsidP="00A506D2">
            <w:pPr>
              <w:pStyle w:val="Table2"/>
            </w:pPr>
            <w:r>
              <w:t>viable microorganisms used in the fermentation</w:t>
            </w:r>
          </w:p>
        </w:tc>
        <w:tc>
          <w:tcPr>
            <w:tcW w:w="3481" w:type="dxa"/>
          </w:tcPr>
          <w:p w:rsidR="00E64CEF" w:rsidRDefault="00E64CEF" w:rsidP="00A506D2">
            <w:pPr>
              <w:pStyle w:val="Table2"/>
            </w:pPr>
            <w:r>
              <w:t>minimum 10</w:t>
            </w:r>
            <w:r w:rsidRPr="000F4D53">
              <w:rPr>
                <w:vertAlign w:val="superscript"/>
              </w:rPr>
              <w:t xml:space="preserve">6 </w:t>
            </w:r>
            <w:r>
              <w:t>cfu/g</w:t>
            </w:r>
          </w:p>
        </w:tc>
      </w:tr>
    </w:tbl>
    <w:p w:rsidR="00E64CEF" w:rsidRPr="00C342E0" w:rsidRDefault="00E64CEF" w:rsidP="00E64CEF">
      <w:pPr>
        <w:rPr>
          <w:sz w:val="20"/>
          <w:szCs w:val="20"/>
        </w:rPr>
      </w:pPr>
    </w:p>
    <w:p w:rsidR="00E64CEF" w:rsidRPr="00C342E0" w:rsidRDefault="00E64CEF" w:rsidP="00E64CEF">
      <w:pPr>
        <w:pStyle w:val="Clause"/>
        <w:rPr>
          <w:i/>
          <w:iCs/>
        </w:rPr>
      </w:pPr>
      <w:r w:rsidRPr="00C342E0">
        <w:rPr>
          <w:b/>
          <w:bCs/>
        </w:rPr>
        <w:t>[32]</w:t>
      </w:r>
      <w:r w:rsidRPr="00C342E0">
        <w:tab/>
      </w:r>
      <w:r w:rsidRPr="00C342E0">
        <w:rPr>
          <w:b/>
          <w:bCs/>
          <w:i/>
          <w:iCs/>
        </w:rPr>
        <w:t>Standard 2.5.4</w:t>
      </w:r>
      <w:r w:rsidRPr="00C342E0">
        <w:rPr>
          <w:i/>
          <w:iCs/>
        </w:rPr>
        <w:t xml:space="preserve"> of the Australia New Zealand Food Standards Code is varied by – </w:t>
      </w:r>
    </w:p>
    <w:p w:rsidR="00E64CEF" w:rsidRPr="00C342E0" w:rsidRDefault="00E64CEF" w:rsidP="00E64CEF">
      <w:pPr>
        <w:rPr>
          <w:sz w:val="20"/>
          <w:szCs w:val="20"/>
        </w:rPr>
      </w:pPr>
    </w:p>
    <w:p w:rsidR="00E64CEF" w:rsidRPr="00C342E0" w:rsidRDefault="00E64CEF" w:rsidP="00E64CEF">
      <w:pPr>
        <w:pStyle w:val="Clause"/>
        <w:rPr>
          <w:bCs/>
        </w:rPr>
      </w:pPr>
      <w:r w:rsidRPr="00C342E0">
        <w:rPr>
          <w:bCs/>
        </w:rPr>
        <w:t>[32.1]</w:t>
      </w:r>
      <w:r w:rsidRPr="00C342E0">
        <w:rPr>
          <w:bCs/>
        </w:rPr>
        <w:tab/>
      </w:r>
      <w:r w:rsidRPr="00C342E0">
        <w:rPr>
          <w:bCs/>
          <w:i/>
        </w:rPr>
        <w:t xml:space="preserve">omitting from the </w:t>
      </w:r>
      <w:r w:rsidRPr="00C342E0">
        <w:rPr>
          <w:bCs/>
        </w:rPr>
        <w:t xml:space="preserve">Purpose – </w:t>
      </w:r>
    </w:p>
    <w:p w:rsidR="00E64CEF" w:rsidRPr="00C342E0" w:rsidRDefault="00E64CEF" w:rsidP="00E64CEF">
      <w:pPr>
        <w:rPr>
          <w:sz w:val="20"/>
          <w:szCs w:val="20"/>
        </w:rPr>
      </w:pPr>
    </w:p>
    <w:p w:rsidR="00E64CEF" w:rsidRPr="00C342E0" w:rsidRDefault="00E64CEF" w:rsidP="00E64CEF">
      <w:pPr>
        <w:pStyle w:val="Clause"/>
      </w:pPr>
      <w:r w:rsidRPr="00C342E0">
        <w:t>Processing requirements for cheese are contained in Standard 4.2.4</w:t>
      </w:r>
    </w:p>
    <w:p w:rsidR="00E64CEF" w:rsidRPr="00C342E0" w:rsidRDefault="00E64CEF" w:rsidP="00E64CEF">
      <w:pPr>
        <w:rPr>
          <w:sz w:val="20"/>
          <w:szCs w:val="20"/>
        </w:rPr>
      </w:pPr>
    </w:p>
    <w:p w:rsidR="00E64CEF" w:rsidRPr="00C342E0" w:rsidRDefault="00E64CEF" w:rsidP="00E64CEF">
      <w:pPr>
        <w:pStyle w:val="Clause"/>
      </w:pPr>
      <w:r w:rsidRPr="00C342E0">
        <w:t>[32.2]</w:t>
      </w:r>
      <w:r w:rsidRPr="00C342E0">
        <w:tab/>
      </w:r>
      <w:r w:rsidRPr="00C342E0">
        <w:rPr>
          <w:i/>
        </w:rPr>
        <w:t xml:space="preserve">omitting </w:t>
      </w:r>
      <w:r w:rsidRPr="00C342E0">
        <w:t>and/or</w:t>
      </w:r>
      <w:r w:rsidRPr="00C342E0">
        <w:rPr>
          <w:i/>
        </w:rPr>
        <w:t xml:space="preserve"> wherever appearing in clause 1,</w:t>
      </w:r>
      <w:r w:rsidRPr="00C342E0">
        <w:t xml:space="preserve"> </w:t>
      </w:r>
      <w:r w:rsidRPr="00C342E0">
        <w:rPr>
          <w:i/>
        </w:rPr>
        <w:t xml:space="preserve">substituting </w:t>
      </w:r>
      <w:r w:rsidRPr="00C342E0">
        <w:t>or</w:t>
      </w:r>
    </w:p>
    <w:p w:rsidR="00E64CEF" w:rsidRPr="00C342E0" w:rsidRDefault="00E64CEF" w:rsidP="00E64CEF">
      <w:pPr>
        <w:rPr>
          <w:sz w:val="20"/>
          <w:szCs w:val="20"/>
        </w:rPr>
      </w:pPr>
    </w:p>
    <w:p w:rsidR="00E64CEF" w:rsidRPr="00C342E0" w:rsidRDefault="00E64CEF" w:rsidP="00E64CEF">
      <w:pPr>
        <w:pStyle w:val="Clause"/>
        <w:rPr>
          <w:i/>
        </w:rPr>
      </w:pPr>
      <w:r w:rsidRPr="00C342E0">
        <w:t>[32.3]</w:t>
      </w:r>
      <w:r w:rsidRPr="00C342E0">
        <w:tab/>
      </w:r>
      <w:r w:rsidRPr="00C342E0">
        <w:rPr>
          <w:i/>
        </w:rPr>
        <w:t xml:space="preserve">omitting clause 2 substituting – </w:t>
      </w:r>
    </w:p>
    <w:p w:rsidR="00E64CEF" w:rsidRPr="00C342E0" w:rsidRDefault="00E64CEF" w:rsidP="00E64CEF">
      <w:pPr>
        <w:rPr>
          <w:sz w:val="20"/>
          <w:szCs w:val="20"/>
        </w:rPr>
      </w:pPr>
    </w:p>
    <w:p w:rsidR="00E64CEF" w:rsidRPr="00C342E0" w:rsidRDefault="00E64CEF" w:rsidP="00E64CEF">
      <w:pPr>
        <w:pStyle w:val="Clauseheading"/>
      </w:pPr>
      <w:r w:rsidRPr="00C342E0">
        <w:t>2</w:t>
      </w:r>
      <w:r w:rsidRPr="00C342E0">
        <w:tab/>
        <w:t>Permitted ingredients</w:t>
      </w:r>
    </w:p>
    <w:p w:rsidR="00E64CEF" w:rsidRPr="00C342E0" w:rsidRDefault="00E64CEF" w:rsidP="00E64CEF">
      <w:pPr>
        <w:rPr>
          <w:sz w:val="20"/>
          <w:szCs w:val="20"/>
        </w:rPr>
      </w:pPr>
    </w:p>
    <w:p w:rsidR="00E64CEF" w:rsidRPr="00C342E0" w:rsidRDefault="00E64CEF" w:rsidP="00E64CEF">
      <w:pPr>
        <w:pStyle w:val="Clause"/>
      </w:pPr>
      <w:r w:rsidRPr="00C342E0">
        <w:t xml:space="preserve">Cheese may contain the following ingredients– </w:t>
      </w:r>
    </w:p>
    <w:p w:rsidR="00E64CEF" w:rsidRPr="00C342E0" w:rsidRDefault="00E64CEF" w:rsidP="00E64CEF">
      <w:pPr>
        <w:rPr>
          <w:sz w:val="20"/>
          <w:szCs w:val="20"/>
        </w:rPr>
      </w:pPr>
    </w:p>
    <w:p w:rsidR="00E64CEF" w:rsidRPr="00C342E0" w:rsidRDefault="00E64CEF" w:rsidP="00E64CEF">
      <w:pPr>
        <w:pStyle w:val="Paragraph"/>
      </w:pPr>
      <w:r w:rsidRPr="00C342E0">
        <w:t>(a)</w:t>
      </w:r>
      <w:r w:rsidRPr="00C342E0">
        <w:tab/>
        <w:t>water; and</w:t>
      </w:r>
    </w:p>
    <w:p w:rsidR="00E64CEF" w:rsidRPr="00C342E0" w:rsidRDefault="00E64CEF" w:rsidP="00E64CEF">
      <w:pPr>
        <w:pStyle w:val="Paragraph"/>
      </w:pPr>
      <w:r w:rsidRPr="00C342E0">
        <w:t>(b)</w:t>
      </w:r>
      <w:r w:rsidRPr="00C342E0">
        <w:tab/>
        <w:t>lactic acid producing microorganisms; and</w:t>
      </w:r>
    </w:p>
    <w:p w:rsidR="00E64CEF" w:rsidRPr="00C342E0" w:rsidRDefault="00E64CEF" w:rsidP="00E64CEF">
      <w:pPr>
        <w:pStyle w:val="Paragraph"/>
      </w:pPr>
      <w:r w:rsidRPr="00C342E0">
        <w:t>(c)</w:t>
      </w:r>
      <w:r w:rsidRPr="00C342E0">
        <w:tab/>
        <w:t>flavour producing microorganisms; and</w:t>
      </w:r>
    </w:p>
    <w:p w:rsidR="00E64CEF" w:rsidRPr="00C342E0" w:rsidRDefault="00E64CEF" w:rsidP="00E64CEF">
      <w:pPr>
        <w:pStyle w:val="Paragraph"/>
      </w:pPr>
      <w:r w:rsidRPr="00C342E0">
        <w:t>(d)</w:t>
      </w:r>
      <w:r w:rsidRPr="00C342E0">
        <w:tab/>
        <w:t xml:space="preserve">gelatine; and </w:t>
      </w:r>
    </w:p>
    <w:p w:rsidR="00E64CEF" w:rsidRPr="00C342E0" w:rsidRDefault="00E64CEF" w:rsidP="00E64CEF">
      <w:pPr>
        <w:pStyle w:val="Paragraph"/>
      </w:pPr>
      <w:r w:rsidRPr="00C342E0">
        <w:t>(e)</w:t>
      </w:r>
      <w:r w:rsidRPr="00C342E0">
        <w:tab/>
        <w:t>starch; and</w:t>
      </w:r>
    </w:p>
    <w:p w:rsidR="00E64CEF" w:rsidRPr="00C342E0" w:rsidRDefault="00E64CEF" w:rsidP="00E64CEF">
      <w:pPr>
        <w:pStyle w:val="Paragraph"/>
      </w:pPr>
      <w:r w:rsidRPr="00C342E0">
        <w:t>(f)</w:t>
      </w:r>
      <w:r w:rsidRPr="00C342E0">
        <w:tab/>
        <w:t>vinegar; and</w:t>
      </w:r>
    </w:p>
    <w:p w:rsidR="00E64CEF" w:rsidRPr="00C342E0" w:rsidRDefault="00E64CEF" w:rsidP="00E64CEF">
      <w:pPr>
        <w:pStyle w:val="Paragraph"/>
      </w:pPr>
      <w:r w:rsidRPr="00C342E0">
        <w:t>(g)</w:t>
      </w:r>
      <w:r w:rsidRPr="00C342E0">
        <w:tab/>
        <w:t>salt.</w:t>
      </w:r>
    </w:p>
    <w:p w:rsidR="00E64CEF" w:rsidRPr="00C342E0" w:rsidRDefault="00E64CEF" w:rsidP="00E64CEF">
      <w:pPr>
        <w:rPr>
          <w:sz w:val="20"/>
          <w:szCs w:val="20"/>
        </w:rPr>
      </w:pPr>
    </w:p>
    <w:p w:rsidR="00E64CEF" w:rsidRPr="00C342E0" w:rsidRDefault="00E64CEF" w:rsidP="00E64CEF">
      <w:pPr>
        <w:pStyle w:val="Clause"/>
      </w:pPr>
      <w:r w:rsidRPr="00C342E0">
        <w:t>[32.4]</w:t>
      </w:r>
      <w:r w:rsidRPr="00C342E0">
        <w:tab/>
      </w:r>
      <w:r w:rsidRPr="00C342E0">
        <w:rPr>
          <w:i/>
        </w:rPr>
        <w:t xml:space="preserve">updating the </w:t>
      </w:r>
      <w:r w:rsidRPr="00C342E0">
        <w:t>Table of Provisions to reflect this amendment</w:t>
      </w:r>
    </w:p>
    <w:p w:rsidR="00E64CEF" w:rsidRPr="00C342E0" w:rsidRDefault="00E64CEF" w:rsidP="00E64CEF">
      <w:pPr>
        <w:rPr>
          <w:sz w:val="20"/>
          <w:szCs w:val="20"/>
        </w:rPr>
      </w:pPr>
    </w:p>
    <w:p w:rsidR="00E64CEF" w:rsidRPr="00C342E0" w:rsidRDefault="00E64CEF" w:rsidP="00E64CEF">
      <w:pPr>
        <w:pStyle w:val="Clause"/>
      </w:pPr>
      <w:r w:rsidRPr="00C342E0">
        <w:rPr>
          <w:b/>
        </w:rPr>
        <w:t>[33]</w:t>
      </w:r>
      <w:r w:rsidRPr="00C342E0">
        <w:rPr>
          <w:b/>
        </w:rPr>
        <w:tab/>
      </w:r>
      <w:r w:rsidRPr="00C342E0">
        <w:rPr>
          <w:b/>
          <w:i/>
        </w:rPr>
        <w:t>Standard 2.5.5</w:t>
      </w:r>
      <w:r w:rsidRPr="00C342E0">
        <w:rPr>
          <w:i/>
        </w:rPr>
        <w:t xml:space="preserve"> of the Australia New Zealand Food Standards Code is varied by</w:t>
      </w:r>
      <w:r w:rsidRPr="00C342E0">
        <w:t xml:space="preserve"> – </w:t>
      </w:r>
    </w:p>
    <w:p w:rsidR="00E64CEF" w:rsidRPr="00C342E0" w:rsidRDefault="00E64CEF" w:rsidP="00E64CEF">
      <w:pPr>
        <w:rPr>
          <w:iCs/>
          <w:sz w:val="20"/>
          <w:szCs w:val="20"/>
        </w:rPr>
      </w:pPr>
    </w:p>
    <w:p w:rsidR="00E64CEF" w:rsidRPr="00C342E0" w:rsidRDefault="00E64CEF" w:rsidP="00E64CEF">
      <w:pPr>
        <w:pStyle w:val="Clause"/>
        <w:rPr>
          <w:bCs/>
        </w:rPr>
      </w:pPr>
      <w:r w:rsidRPr="00C342E0">
        <w:rPr>
          <w:bCs/>
        </w:rPr>
        <w:t>[33.1]</w:t>
      </w:r>
      <w:r w:rsidRPr="00C342E0">
        <w:rPr>
          <w:bCs/>
        </w:rPr>
        <w:tab/>
      </w:r>
      <w:r w:rsidRPr="00C342E0">
        <w:rPr>
          <w:bCs/>
          <w:i/>
        </w:rPr>
        <w:t xml:space="preserve">omitting from the </w:t>
      </w:r>
      <w:r w:rsidRPr="00C342E0">
        <w:rPr>
          <w:bCs/>
        </w:rPr>
        <w:t xml:space="preserve">Purpose – </w:t>
      </w:r>
    </w:p>
    <w:p w:rsidR="00E64CEF" w:rsidRPr="00C342E0" w:rsidRDefault="00E64CEF" w:rsidP="00E64CEF">
      <w:pPr>
        <w:rPr>
          <w:sz w:val="20"/>
          <w:szCs w:val="20"/>
        </w:rPr>
      </w:pPr>
    </w:p>
    <w:p w:rsidR="00E64CEF" w:rsidRPr="00C342E0" w:rsidRDefault="00E64CEF" w:rsidP="00E64CEF">
      <w:pPr>
        <w:pStyle w:val="Clause"/>
      </w:pPr>
      <w:r w:rsidRPr="00C342E0">
        <w:t>Processing requirements for butter are contained in Standard 4.2.4</w:t>
      </w:r>
    </w:p>
    <w:p w:rsidR="00E64CEF" w:rsidRPr="00C342E0" w:rsidRDefault="00E64CEF" w:rsidP="00E64CEF">
      <w:pPr>
        <w:rPr>
          <w:sz w:val="20"/>
          <w:szCs w:val="20"/>
        </w:rPr>
      </w:pPr>
    </w:p>
    <w:p w:rsidR="00E64CEF" w:rsidRPr="00C342E0" w:rsidRDefault="00E64CEF" w:rsidP="00E64CEF">
      <w:pPr>
        <w:pStyle w:val="Clause"/>
      </w:pPr>
      <w:r w:rsidRPr="00C342E0">
        <w:t>[33.2]</w:t>
      </w:r>
      <w:r w:rsidRPr="00C342E0">
        <w:tab/>
      </w:r>
      <w:r w:rsidRPr="00C342E0">
        <w:rPr>
          <w:i/>
        </w:rPr>
        <w:t>omitting clause 2</w:t>
      </w:r>
      <w:r w:rsidRPr="00C342E0">
        <w:t xml:space="preserve">, </w:t>
      </w:r>
      <w:r w:rsidRPr="00C342E0">
        <w:rPr>
          <w:i/>
        </w:rPr>
        <w:t>substituting</w:t>
      </w:r>
      <w:r w:rsidRPr="00C342E0">
        <w:t xml:space="preserve"> – </w:t>
      </w:r>
    </w:p>
    <w:p w:rsidR="00E64CEF" w:rsidRPr="00C342E0" w:rsidRDefault="00E64CEF" w:rsidP="00E64CEF">
      <w:pPr>
        <w:rPr>
          <w:i/>
          <w:sz w:val="20"/>
          <w:szCs w:val="20"/>
        </w:rPr>
      </w:pPr>
    </w:p>
    <w:p w:rsidR="00E64CEF" w:rsidRPr="00C342E0" w:rsidRDefault="00E64CEF" w:rsidP="00E64CEF">
      <w:pPr>
        <w:pStyle w:val="Clauseheading"/>
      </w:pPr>
      <w:r w:rsidRPr="00C342E0">
        <w:t>2</w:t>
      </w:r>
      <w:r w:rsidRPr="00C342E0">
        <w:tab/>
        <w:t>Composition of butter</w:t>
      </w:r>
    </w:p>
    <w:p w:rsidR="00E64CEF" w:rsidRPr="00C342E0" w:rsidRDefault="00E64CEF" w:rsidP="00E64CEF">
      <w:pPr>
        <w:rPr>
          <w:sz w:val="20"/>
          <w:szCs w:val="20"/>
        </w:rPr>
      </w:pPr>
    </w:p>
    <w:p w:rsidR="00E64CEF" w:rsidRPr="00C342E0" w:rsidRDefault="00E64CEF" w:rsidP="00E64CEF">
      <w:pPr>
        <w:pStyle w:val="Clause"/>
      </w:pPr>
      <w:r w:rsidRPr="00C342E0">
        <w:t>Butter must contain no less than 80.0% m/m milkfat.</w:t>
      </w:r>
    </w:p>
    <w:p w:rsidR="00E64CEF" w:rsidRPr="00C342E0" w:rsidRDefault="00E64CEF" w:rsidP="00E64CEF">
      <w:pPr>
        <w:rPr>
          <w:sz w:val="20"/>
          <w:szCs w:val="20"/>
        </w:rPr>
      </w:pPr>
    </w:p>
    <w:p w:rsidR="00E64CEF" w:rsidRDefault="00E64CEF" w:rsidP="00E64CEF">
      <w:pPr>
        <w:pStyle w:val="Clauseheading"/>
      </w:pPr>
      <w:r>
        <w:t>3</w:t>
      </w:r>
      <w:r>
        <w:tab/>
        <w:t>Permitted ingredients</w:t>
      </w:r>
    </w:p>
    <w:p w:rsidR="00E64CEF" w:rsidRPr="00C342E0" w:rsidRDefault="00E64CEF" w:rsidP="00E64CEF">
      <w:pPr>
        <w:rPr>
          <w:sz w:val="20"/>
          <w:szCs w:val="20"/>
        </w:rPr>
      </w:pPr>
    </w:p>
    <w:p w:rsidR="00E64CEF" w:rsidRPr="00C342E0" w:rsidRDefault="00E64CEF" w:rsidP="00E64CEF">
      <w:pPr>
        <w:pStyle w:val="Clause"/>
      </w:pPr>
      <w:r w:rsidRPr="00C342E0">
        <w:t xml:space="preserve">Butter may contain the following ingredients– </w:t>
      </w:r>
    </w:p>
    <w:p w:rsidR="00E64CEF" w:rsidRPr="00C342E0" w:rsidRDefault="00E64CEF" w:rsidP="00E64CEF">
      <w:pPr>
        <w:rPr>
          <w:sz w:val="20"/>
          <w:szCs w:val="20"/>
        </w:rPr>
      </w:pPr>
    </w:p>
    <w:p w:rsidR="00E64CEF" w:rsidRPr="00C342E0" w:rsidRDefault="00E64CEF" w:rsidP="00E64CEF">
      <w:pPr>
        <w:pStyle w:val="Paragraph"/>
      </w:pPr>
      <w:r w:rsidRPr="00C342E0">
        <w:t>(a)</w:t>
      </w:r>
      <w:r w:rsidRPr="00C342E0">
        <w:tab/>
        <w:t>water; and</w:t>
      </w:r>
    </w:p>
    <w:p w:rsidR="00E64CEF" w:rsidRPr="00C342E0" w:rsidRDefault="00E64CEF" w:rsidP="00E64CEF">
      <w:pPr>
        <w:pStyle w:val="Paragraph"/>
      </w:pPr>
      <w:r w:rsidRPr="00C342E0">
        <w:t>(b)</w:t>
      </w:r>
      <w:r w:rsidRPr="00C342E0">
        <w:tab/>
        <w:t>salt; and</w:t>
      </w:r>
    </w:p>
    <w:p w:rsidR="00E64CEF" w:rsidRPr="00C342E0" w:rsidRDefault="00E64CEF" w:rsidP="00E64CEF">
      <w:pPr>
        <w:pStyle w:val="Paragraph"/>
      </w:pPr>
      <w:r w:rsidRPr="00C342E0">
        <w:t>(c)</w:t>
      </w:r>
      <w:r w:rsidRPr="00C342E0">
        <w:tab/>
        <w:t xml:space="preserve">lactic acid producing microorganisms; and </w:t>
      </w:r>
    </w:p>
    <w:p w:rsidR="00E64CEF" w:rsidRPr="00C342E0" w:rsidRDefault="00E64CEF" w:rsidP="00E64CEF">
      <w:pPr>
        <w:pStyle w:val="Paragraph"/>
      </w:pPr>
      <w:r w:rsidRPr="00C342E0">
        <w:t>(d)</w:t>
      </w:r>
      <w:r w:rsidRPr="00C342E0">
        <w:tab/>
        <w:t>flavour producing microorganisms.</w:t>
      </w:r>
    </w:p>
    <w:p w:rsidR="00E64CEF" w:rsidRPr="00C342E0" w:rsidRDefault="00E64CEF" w:rsidP="00E64CEF">
      <w:pPr>
        <w:rPr>
          <w:i/>
          <w:iCs/>
          <w:sz w:val="20"/>
          <w:szCs w:val="20"/>
        </w:rPr>
      </w:pPr>
    </w:p>
    <w:p w:rsidR="00E64CEF" w:rsidRPr="00C342E0" w:rsidRDefault="00E64CEF" w:rsidP="00E64CEF">
      <w:pPr>
        <w:pStyle w:val="Clause"/>
      </w:pPr>
      <w:r w:rsidRPr="00C342E0">
        <w:t>[33.3]</w:t>
      </w:r>
      <w:r w:rsidRPr="00C342E0">
        <w:tab/>
      </w:r>
      <w:r w:rsidRPr="00C342E0">
        <w:rPr>
          <w:i/>
        </w:rPr>
        <w:t xml:space="preserve">updating the </w:t>
      </w:r>
      <w:r w:rsidRPr="00C342E0">
        <w:t>Table of Provisions to reflect these amendments</w:t>
      </w:r>
    </w:p>
    <w:p w:rsidR="00E64CEF" w:rsidRPr="00C342E0" w:rsidRDefault="00E64CEF" w:rsidP="00E64CEF">
      <w:pPr>
        <w:rPr>
          <w:i/>
          <w:iCs/>
          <w:sz w:val="20"/>
          <w:szCs w:val="20"/>
        </w:rPr>
      </w:pPr>
    </w:p>
    <w:p w:rsidR="00E64CEF" w:rsidRPr="00C342E0" w:rsidRDefault="00E64CEF" w:rsidP="00E64CEF">
      <w:pPr>
        <w:pStyle w:val="Clause"/>
        <w:rPr>
          <w:bCs/>
          <w:i/>
        </w:rPr>
      </w:pPr>
      <w:r w:rsidRPr="00C342E0">
        <w:rPr>
          <w:b/>
          <w:bCs/>
        </w:rPr>
        <w:t>[34]</w:t>
      </w:r>
      <w:r w:rsidRPr="00C342E0">
        <w:rPr>
          <w:b/>
          <w:bCs/>
        </w:rPr>
        <w:tab/>
      </w:r>
      <w:r w:rsidRPr="00C342E0">
        <w:rPr>
          <w:b/>
          <w:bCs/>
          <w:i/>
        </w:rPr>
        <w:t xml:space="preserve">Standard 2.5.6 </w:t>
      </w:r>
      <w:r w:rsidRPr="00C342E0">
        <w:rPr>
          <w:bCs/>
          <w:i/>
        </w:rPr>
        <w:t xml:space="preserve">of the Australia New Zealand Food Standards Code is varied by omitting from the </w:t>
      </w:r>
      <w:r w:rsidRPr="00C342E0">
        <w:rPr>
          <w:bCs/>
        </w:rPr>
        <w:t xml:space="preserve">Purpose – </w:t>
      </w:r>
    </w:p>
    <w:p w:rsidR="00E64CEF" w:rsidRPr="00C342E0" w:rsidRDefault="00E64CEF" w:rsidP="00E64CEF">
      <w:pPr>
        <w:rPr>
          <w:sz w:val="20"/>
          <w:szCs w:val="20"/>
        </w:rPr>
      </w:pPr>
    </w:p>
    <w:p w:rsidR="00E64CEF" w:rsidRPr="00C342E0" w:rsidRDefault="00E64CEF" w:rsidP="00E64CEF">
      <w:pPr>
        <w:pStyle w:val="Clause"/>
      </w:pPr>
      <w:r w:rsidRPr="00C342E0">
        <w:t>Processing requirements for ice cream are contained in Standard 4.2.4.</w:t>
      </w:r>
    </w:p>
    <w:p w:rsidR="00E64CEF" w:rsidRPr="00C342E0" w:rsidRDefault="00E64CEF" w:rsidP="00E64CEF">
      <w:pPr>
        <w:rPr>
          <w:i/>
          <w:iCs/>
          <w:sz w:val="20"/>
          <w:szCs w:val="20"/>
        </w:rPr>
      </w:pPr>
    </w:p>
    <w:p w:rsidR="00E64CEF" w:rsidRPr="00C342E0" w:rsidRDefault="00E64CEF" w:rsidP="00E64CEF">
      <w:pPr>
        <w:pStyle w:val="Clause"/>
      </w:pPr>
      <w:r w:rsidRPr="00C342E0">
        <w:rPr>
          <w:b/>
        </w:rPr>
        <w:t>[35]</w:t>
      </w:r>
      <w:r w:rsidRPr="00C342E0">
        <w:rPr>
          <w:b/>
        </w:rPr>
        <w:tab/>
      </w:r>
      <w:r w:rsidRPr="00C342E0">
        <w:rPr>
          <w:b/>
          <w:i/>
        </w:rPr>
        <w:t xml:space="preserve">Standard 2.5.7 </w:t>
      </w:r>
      <w:r w:rsidRPr="00C342E0">
        <w:rPr>
          <w:i/>
        </w:rPr>
        <w:t>of the Australia New Zealand Food Standards Code is varied by</w:t>
      </w:r>
      <w:r w:rsidRPr="00C342E0">
        <w:t xml:space="preserve"> – </w:t>
      </w:r>
    </w:p>
    <w:p w:rsidR="00E64CEF" w:rsidRPr="00C342E0" w:rsidRDefault="00E64CEF" w:rsidP="00E64CEF">
      <w:pPr>
        <w:rPr>
          <w:i/>
          <w:sz w:val="20"/>
          <w:szCs w:val="20"/>
        </w:rPr>
      </w:pPr>
    </w:p>
    <w:p w:rsidR="00E64CEF" w:rsidRPr="00C342E0" w:rsidRDefault="00E64CEF" w:rsidP="00E64CEF">
      <w:pPr>
        <w:pStyle w:val="Clause"/>
        <w:rPr>
          <w:bCs/>
        </w:rPr>
      </w:pPr>
      <w:r w:rsidRPr="00C342E0">
        <w:rPr>
          <w:bCs/>
        </w:rPr>
        <w:t>[35.1]</w:t>
      </w:r>
      <w:r w:rsidRPr="00C342E0">
        <w:rPr>
          <w:bCs/>
        </w:rPr>
        <w:tab/>
      </w:r>
      <w:r w:rsidRPr="00C342E0">
        <w:rPr>
          <w:bCs/>
          <w:i/>
        </w:rPr>
        <w:t xml:space="preserve">omitting from the </w:t>
      </w:r>
      <w:r w:rsidRPr="00C342E0">
        <w:rPr>
          <w:bCs/>
        </w:rPr>
        <w:t xml:space="preserve">Purpose – </w:t>
      </w:r>
    </w:p>
    <w:p w:rsidR="00E64CEF" w:rsidRPr="00C342E0" w:rsidRDefault="00E64CEF" w:rsidP="00E64CEF">
      <w:pPr>
        <w:rPr>
          <w:sz w:val="20"/>
          <w:szCs w:val="20"/>
        </w:rPr>
      </w:pPr>
    </w:p>
    <w:p w:rsidR="00E64CEF" w:rsidRPr="00C342E0" w:rsidRDefault="00E64CEF" w:rsidP="00E64CEF">
      <w:pPr>
        <w:pStyle w:val="Clause"/>
      </w:pPr>
      <w:r w:rsidRPr="00C342E0">
        <w:t>Processing requirements for dried, evaporated and condensed milk are contained in Standard 4.2.4.</w:t>
      </w:r>
    </w:p>
    <w:p w:rsidR="00E64CEF" w:rsidRPr="00C342E0" w:rsidRDefault="00E64CEF" w:rsidP="00E64CEF">
      <w:pPr>
        <w:rPr>
          <w:i/>
          <w:sz w:val="20"/>
          <w:szCs w:val="20"/>
        </w:rPr>
      </w:pPr>
    </w:p>
    <w:p w:rsidR="00E64CEF" w:rsidRPr="00C342E0" w:rsidRDefault="00E64CEF" w:rsidP="00E64CEF">
      <w:pPr>
        <w:pStyle w:val="Clause"/>
        <w:rPr>
          <w:bCs/>
        </w:rPr>
      </w:pPr>
      <w:r w:rsidRPr="00C342E0">
        <w:t>[35.2]</w:t>
      </w:r>
      <w:r w:rsidRPr="00C342E0">
        <w:tab/>
      </w:r>
      <w:r w:rsidRPr="00C342E0">
        <w:rPr>
          <w:i/>
        </w:rPr>
        <w:t xml:space="preserve">omitting the definition of </w:t>
      </w:r>
      <w:r w:rsidRPr="00C342E0">
        <w:rPr>
          <w:b/>
        </w:rPr>
        <w:t>components of milk products</w:t>
      </w:r>
      <w:r w:rsidRPr="00C342E0">
        <w:rPr>
          <w:i/>
        </w:rPr>
        <w:t xml:space="preserve"> in clause 1</w:t>
      </w:r>
    </w:p>
    <w:p w:rsidR="00E64CEF" w:rsidRPr="00C342E0" w:rsidRDefault="00E64CEF" w:rsidP="00E64CEF">
      <w:pPr>
        <w:rPr>
          <w:sz w:val="20"/>
          <w:szCs w:val="20"/>
        </w:rPr>
      </w:pPr>
    </w:p>
    <w:p w:rsidR="00E64CEF" w:rsidRPr="00C342E0" w:rsidRDefault="00E64CEF" w:rsidP="00E64CEF">
      <w:pPr>
        <w:pStyle w:val="Clause"/>
        <w:rPr>
          <w:i/>
        </w:rPr>
      </w:pPr>
      <w:r w:rsidRPr="00C342E0">
        <w:t>[35.3]</w:t>
      </w:r>
      <w:r w:rsidRPr="00C342E0">
        <w:tab/>
      </w:r>
      <w:r w:rsidRPr="00C342E0">
        <w:rPr>
          <w:i/>
        </w:rPr>
        <w:t xml:space="preserve">omitting subclause 2(1), substituting – </w:t>
      </w:r>
    </w:p>
    <w:p w:rsidR="00E64CEF" w:rsidRPr="00C342E0" w:rsidRDefault="00E64CEF" w:rsidP="00E64CEF">
      <w:pPr>
        <w:rPr>
          <w:sz w:val="20"/>
          <w:szCs w:val="20"/>
        </w:rPr>
      </w:pPr>
    </w:p>
    <w:p w:rsidR="00E64CEF" w:rsidRPr="00C342E0" w:rsidRDefault="00E64CEF" w:rsidP="00E64CEF">
      <w:pPr>
        <w:pStyle w:val="Subclause"/>
      </w:pPr>
      <w:r w:rsidRPr="00C342E0">
        <w:t>(1)</w:t>
      </w:r>
      <w:r w:rsidRPr="00C342E0">
        <w:tab/>
        <w:t>The fat, or protein, or both fat and protein, content of the milk used to make dried milks or condensed milks, may be adjusted to comply with the compositional requirements set out in this Standard, by the addition or withdrawal of milk constituents in such a way as not to alter the whey protein to casein ratio of the milk being adjusted.</w:t>
      </w:r>
    </w:p>
    <w:p w:rsidR="00E64CEF" w:rsidRPr="00C342E0" w:rsidRDefault="00E64CEF" w:rsidP="00E64CEF">
      <w:pPr>
        <w:pStyle w:val="Subclause"/>
      </w:pPr>
    </w:p>
    <w:p w:rsidR="00E64CEF" w:rsidRPr="00C342E0" w:rsidRDefault="00E64CEF" w:rsidP="00E64CEF">
      <w:pPr>
        <w:pStyle w:val="Clause"/>
        <w:rPr>
          <w:i/>
        </w:rPr>
      </w:pPr>
      <w:r w:rsidRPr="00C342E0">
        <w:t>[35.4]</w:t>
      </w:r>
      <w:r w:rsidRPr="00C342E0">
        <w:tab/>
      </w:r>
      <w:r w:rsidRPr="00C342E0">
        <w:rPr>
          <w:i/>
        </w:rPr>
        <w:t xml:space="preserve">omitting subclause 2(3), substituting – </w:t>
      </w:r>
    </w:p>
    <w:p w:rsidR="00E64CEF" w:rsidRPr="00C342E0" w:rsidRDefault="00E64CEF" w:rsidP="00E64CEF">
      <w:pPr>
        <w:rPr>
          <w:sz w:val="20"/>
          <w:szCs w:val="20"/>
        </w:rPr>
      </w:pPr>
    </w:p>
    <w:p w:rsidR="00E64CEF" w:rsidRPr="00C342E0" w:rsidRDefault="00E64CEF" w:rsidP="00E64CEF">
      <w:pPr>
        <w:pStyle w:val="Subclause"/>
      </w:pPr>
      <w:r w:rsidRPr="00C342E0">
        <w:t>(3)</w:t>
      </w:r>
      <w:r w:rsidRPr="00C342E0">
        <w:tab/>
        <w:t>In addition to the general compositional requirements of this Standard, the milk products listed in Column 1 of the Schedule, when made from cow’s milk, must contain the components listed in Column 2, in the corresponding proportions specified in Column 3 of the Schedule.</w:t>
      </w:r>
    </w:p>
    <w:p w:rsidR="00E64CEF" w:rsidRPr="00C342E0" w:rsidRDefault="00E64CEF" w:rsidP="00E64CEF">
      <w:pPr>
        <w:pStyle w:val="Subclause"/>
      </w:pPr>
    </w:p>
    <w:p w:rsidR="00E64CEF" w:rsidRPr="00C342E0" w:rsidRDefault="00E64CEF" w:rsidP="00E64CEF">
      <w:pPr>
        <w:pStyle w:val="Clause"/>
      </w:pPr>
      <w:r w:rsidRPr="00C342E0">
        <w:t>[35.5]</w:t>
      </w:r>
      <w:r w:rsidRPr="00C342E0">
        <w:tab/>
      </w:r>
      <w:r w:rsidRPr="00C342E0">
        <w:rPr>
          <w:i/>
        </w:rPr>
        <w:t xml:space="preserve">omitting the </w:t>
      </w:r>
      <w:r w:rsidRPr="00C342E0">
        <w:t>Schedule</w:t>
      </w:r>
      <w:r w:rsidRPr="00C342E0">
        <w:rPr>
          <w:i/>
        </w:rPr>
        <w:t>, substituting</w:t>
      </w:r>
      <w:r w:rsidRPr="00C342E0">
        <w:t xml:space="preserve"> – </w:t>
      </w:r>
    </w:p>
    <w:p w:rsidR="00E64CEF" w:rsidRPr="00C342E0" w:rsidRDefault="00E64CEF" w:rsidP="00E64CEF">
      <w:pPr>
        <w:rPr>
          <w:i/>
          <w:sz w:val="20"/>
          <w:szCs w:val="20"/>
        </w:rPr>
      </w:pPr>
    </w:p>
    <w:p w:rsidR="00C342E0" w:rsidRDefault="00C342E0" w:rsidP="00E64CEF">
      <w:pPr>
        <w:pStyle w:val="Scheduleheading0"/>
        <w:rPr>
          <w:szCs w:val="20"/>
        </w:rPr>
      </w:pPr>
      <w:r>
        <w:rPr>
          <w:szCs w:val="20"/>
        </w:rPr>
        <w:br w:type="page"/>
      </w:r>
    </w:p>
    <w:p w:rsidR="00E64CEF" w:rsidRPr="00C342E0" w:rsidRDefault="00E64CEF" w:rsidP="00E64CEF">
      <w:pPr>
        <w:pStyle w:val="Scheduleheading0"/>
        <w:rPr>
          <w:szCs w:val="20"/>
        </w:rPr>
      </w:pPr>
      <w:r w:rsidRPr="00C342E0">
        <w:rPr>
          <w:szCs w:val="20"/>
        </w:rPr>
        <w:lastRenderedPageBreak/>
        <w:t>SCHEDULE</w:t>
      </w:r>
    </w:p>
    <w:p w:rsidR="00E64CEF" w:rsidRPr="00C342E0" w:rsidRDefault="00E64CEF" w:rsidP="00E64CEF">
      <w:pPr>
        <w:rPr>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43"/>
        <w:gridCol w:w="2410"/>
      </w:tblGrid>
      <w:tr w:rsidR="00E64CEF" w:rsidTr="00A506D2">
        <w:tc>
          <w:tcPr>
            <w:tcW w:w="2268" w:type="dxa"/>
            <w:tcBorders>
              <w:bottom w:val="single" w:sz="4" w:space="0" w:color="auto"/>
            </w:tcBorders>
          </w:tcPr>
          <w:p w:rsidR="00E64CEF" w:rsidRDefault="00E64CEF" w:rsidP="00A506D2">
            <w:pPr>
              <w:pStyle w:val="Table1"/>
            </w:pPr>
            <w:r>
              <w:t>Column 1</w:t>
            </w:r>
          </w:p>
        </w:tc>
        <w:tc>
          <w:tcPr>
            <w:tcW w:w="1843" w:type="dxa"/>
            <w:tcBorders>
              <w:bottom w:val="single" w:sz="4" w:space="0" w:color="auto"/>
            </w:tcBorders>
          </w:tcPr>
          <w:p w:rsidR="00E64CEF" w:rsidRDefault="00E64CEF" w:rsidP="00A506D2">
            <w:pPr>
              <w:pStyle w:val="Table1"/>
            </w:pPr>
            <w:r>
              <w:t>Column 2</w:t>
            </w:r>
          </w:p>
        </w:tc>
        <w:tc>
          <w:tcPr>
            <w:tcW w:w="2410" w:type="dxa"/>
            <w:tcBorders>
              <w:bottom w:val="single" w:sz="4" w:space="0" w:color="auto"/>
            </w:tcBorders>
          </w:tcPr>
          <w:p w:rsidR="00E64CEF" w:rsidRDefault="00E64CEF" w:rsidP="00A506D2">
            <w:pPr>
              <w:pStyle w:val="Table1"/>
            </w:pPr>
            <w:r>
              <w:t>Column 3</w:t>
            </w:r>
          </w:p>
        </w:tc>
      </w:tr>
      <w:tr w:rsidR="00E64CEF" w:rsidTr="00A506D2">
        <w:tc>
          <w:tcPr>
            <w:tcW w:w="2268" w:type="dxa"/>
            <w:tcBorders>
              <w:top w:val="nil"/>
              <w:bottom w:val="nil"/>
            </w:tcBorders>
          </w:tcPr>
          <w:p w:rsidR="00E64CEF" w:rsidRPr="001D2CF8" w:rsidRDefault="00E64CEF" w:rsidP="00A506D2">
            <w:pPr>
              <w:pStyle w:val="Table2"/>
            </w:pPr>
            <w:r w:rsidRPr="001D2CF8">
              <w:t>Dried whole milks</w:t>
            </w:r>
          </w:p>
        </w:tc>
        <w:tc>
          <w:tcPr>
            <w:tcW w:w="1843" w:type="dxa"/>
            <w:tcBorders>
              <w:top w:val="nil"/>
              <w:bottom w:val="nil"/>
            </w:tcBorders>
          </w:tcPr>
          <w:p w:rsidR="00E64CEF" w:rsidRDefault="00E64CEF" w:rsidP="00A506D2">
            <w:pPr>
              <w:pStyle w:val="Table2"/>
            </w:pPr>
            <w:r>
              <w:t>Milkfat</w:t>
            </w:r>
          </w:p>
        </w:tc>
        <w:tc>
          <w:tcPr>
            <w:tcW w:w="2410" w:type="dxa"/>
            <w:tcBorders>
              <w:top w:val="nil"/>
              <w:bottom w:val="nil"/>
            </w:tcBorders>
          </w:tcPr>
          <w:p w:rsidR="00E64CEF" w:rsidRDefault="00E64CEF" w:rsidP="00A506D2">
            <w:pPr>
              <w:pStyle w:val="Table2"/>
              <w:jc w:val="center"/>
            </w:pPr>
            <w:r>
              <w:t>Minimum 26% m/m</w:t>
            </w:r>
          </w:p>
        </w:tc>
      </w:tr>
      <w:tr w:rsidR="00E64CEF" w:rsidTr="00A506D2">
        <w:tc>
          <w:tcPr>
            <w:tcW w:w="2268" w:type="dxa"/>
            <w:tcBorders>
              <w:top w:val="nil"/>
              <w:bottom w:val="nil"/>
            </w:tcBorders>
          </w:tcPr>
          <w:p w:rsidR="00E64CEF" w:rsidRPr="001D2CF8" w:rsidRDefault="00E64CEF" w:rsidP="00A506D2">
            <w:pPr>
              <w:pStyle w:val="Table2"/>
            </w:pPr>
          </w:p>
        </w:tc>
        <w:tc>
          <w:tcPr>
            <w:tcW w:w="1843" w:type="dxa"/>
            <w:tcBorders>
              <w:top w:val="nil"/>
              <w:bottom w:val="nil"/>
            </w:tcBorders>
          </w:tcPr>
          <w:p w:rsidR="00E64CEF" w:rsidRDefault="00E64CEF" w:rsidP="00A506D2">
            <w:pPr>
              <w:pStyle w:val="Table2"/>
            </w:pPr>
            <w:r>
              <w:t>Water</w:t>
            </w:r>
          </w:p>
        </w:tc>
        <w:tc>
          <w:tcPr>
            <w:tcW w:w="2410" w:type="dxa"/>
            <w:tcBorders>
              <w:top w:val="nil"/>
              <w:bottom w:val="nil"/>
            </w:tcBorders>
          </w:tcPr>
          <w:p w:rsidR="00E64CEF" w:rsidRDefault="00E64CEF" w:rsidP="00A506D2">
            <w:pPr>
              <w:pStyle w:val="Table2"/>
              <w:jc w:val="center"/>
            </w:pPr>
            <w:r>
              <w:t>Maximum 5% m/m</w:t>
            </w:r>
          </w:p>
        </w:tc>
      </w:tr>
      <w:tr w:rsidR="00E64CEF" w:rsidTr="00A506D2">
        <w:tc>
          <w:tcPr>
            <w:tcW w:w="2268" w:type="dxa"/>
            <w:tcBorders>
              <w:top w:val="nil"/>
              <w:bottom w:val="nil"/>
            </w:tcBorders>
          </w:tcPr>
          <w:p w:rsidR="00E64CEF" w:rsidRPr="001D2CF8" w:rsidRDefault="00E64CEF" w:rsidP="00A506D2">
            <w:pPr>
              <w:pStyle w:val="Table2"/>
            </w:pPr>
          </w:p>
        </w:tc>
        <w:tc>
          <w:tcPr>
            <w:tcW w:w="1843" w:type="dxa"/>
            <w:tcBorders>
              <w:top w:val="nil"/>
              <w:bottom w:val="nil"/>
            </w:tcBorders>
          </w:tcPr>
          <w:p w:rsidR="00E64CEF" w:rsidRDefault="00E64CEF" w:rsidP="00A506D2">
            <w:pPr>
              <w:pStyle w:val="Table2"/>
            </w:pPr>
          </w:p>
        </w:tc>
        <w:tc>
          <w:tcPr>
            <w:tcW w:w="2410" w:type="dxa"/>
            <w:tcBorders>
              <w:top w:val="nil"/>
              <w:bottom w:val="nil"/>
            </w:tcBorders>
          </w:tcPr>
          <w:p w:rsidR="00E64CEF" w:rsidRDefault="00E64CEF" w:rsidP="00A506D2">
            <w:pPr>
              <w:pStyle w:val="Table2"/>
              <w:jc w:val="center"/>
            </w:pPr>
          </w:p>
        </w:tc>
      </w:tr>
      <w:tr w:rsidR="00E64CEF" w:rsidTr="00A506D2">
        <w:tc>
          <w:tcPr>
            <w:tcW w:w="2268" w:type="dxa"/>
            <w:tcBorders>
              <w:top w:val="nil"/>
              <w:bottom w:val="nil"/>
            </w:tcBorders>
          </w:tcPr>
          <w:p w:rsidR="00E64CEF" w:rsidRPr="001D2CF8" w:rsidRDefault="00E64CEF" w:rsidP="00A506D2">
            <w:pPr>
              <w:pStyle w:val="Table2"/>
            </w:pPr>
            <w:r w:rsidRPr="001D2CF8">
              <w:t>Dried skim milks</w:t>
            </w:r>
          </w:p>
        </w:tc>
        <w:tc>
          <w:tcPr>
            <w:tcW w:w="1843" w:type="dxa"/>
            <w:tcBorders>
              <w:top w:val="nil"/>
              <w:bottom w:val="nil"/>
            </w:tcBorders>
          </w:tcPr>
          <w:p w:rsidR="00E64CEF" w:rsidRDefault="00E64CEF" w:rsidP="00A506D2">
            <w:pPr>
              <w:pStyle w:val="Table2"/>
            </w:pPr>
            <w:r>
              <w:t>Milkfat</w:t>
            </w:r>
          </w:p>
        </w:tc>
        <w:tc>
          <w:tcPr>
            <w:tcW w:w="2410" w:type="dxa"/>
            <w:tcBorders>
              <w:top w:val="nil"/>
              <w:bottom w:val="nil"/>
            </w:tcBorders>
          </w:tcPr>
          <w:p w:rsidR="00E64CEF" w:rsidRDefault="00E64CEF" w:rsidP="00A506D2">
            <w:pPr>
              <w:pStyle w:val="Table2"/>
              <w:jc w:val="center"/>
            </w:pPr>
            <w:r>
              <w:t>Maximum 1.5% m/m</w:t>
            </w:r>
          </w:p>
        </w:tc>
      </w:tr>
      <w:tr w:rsidR="00E64CEF" w:rsidTr="00A506D2">
        <w:tc>
          <w:tcPr>
            <w:tcW w:w="2268" w:type="dxa"/>
            <w:tcBorders>
              <w:top w:val="nil"/>
              <w:bottom w:val="nil"/>
            </w:tcBorders>
          </w:tcPr>
          <w:p w:rsidR="00E64CEF" w:rsidRPr="001D2CF8" w:rsidRDefault="00E64CEF" w:rsidP="00A506D2">
            <w:pPr>
              <w:pStyle w:val="Table2"/>
            </w:pPr>
          </w:p>
        </w:tc>
        <w:tc>
          <w:tcPr>
            <w:tcW w:w="1843" w:type="dxa"/>
            <w:tcBorders>
              <w:top w:val="nil"/>
              <w:bottom w:val="nil"/>
            </w:tcBorders>
          </w:tcPr>
          <w:p w:rsidR="00E64CEF" w:rsidRDefault="00E64CEF" w:rsidP="00A506D2">
            <w:pPr>
              <w:pStyle w:val="Table2"/>
            </w:pPr>
            <w:r>
              <w:t>Water</w:t>
            </w:r>
          </w:p>
        </w:tc>
        <w:tc>
          <w:tcPr>
            <w:tcW w:w="2410" w:type="dxa"/>
            <w:tcBorders>
              <w:top w:val="nil"/>
              <w:bottom w:val="nil"/>
            </w:tcBorders>
          </w:tcPr>
          <w:p w:rsidR="00E64CEF" w:rsidRDefault="00E64CEF" w:rsidP="00A506D2">
            <w:pPr>
              <w:pStyle w:val="Table2"/>
              <w:jc w:val="center"/>
            </w:pPr>
            <w:r>
              <w:t>Maximum 5% m/m</w:t>
            </w:r>
          </w:p>
        </w:tc>
      </w:tr>
      <w:tr w:rsidR="00E64CEF" w:rsidTr="00A506D2">
        <w:tc>
          <w:tcPr>
            <w:tcW w:w="2268" w:type="dxa"/>
            <w:tcBorders>
              <w:top w:val="nil"/>
              <w:bottom w:val="nil"/>
            </w:tcBorders>
          </w:tcPr>
          <w:p w:rsidR="00E64CEF" w:rsidRPr="001D2CF8" w:rsidRDefault="00E64CEF" w:rsidP="00A506D2">
            <w:pPr>
              <w:pStyle w:val="Table2"/>
            </w:pPr>
          </w:p>
        </w:tc>
        <w:tc>
          <w:tcPr>
            <w:tcW w:w="1843" w:type="dxa"/>
            <w:tcBorders>
              <w:top w:val="nil"/>
              <w:bottom w:val="nil"/>
            </w:tcBorders>
          </w:tcPr>
          <w:p w:rsidR="00E64CEF" w:rsidRDefault="00E64CEF" w:rsidP="00A506D2">
            <w:pPr>
              <w:pStyle w:val="Table2"/>
            </w:pPr>
          </w:p>
        </w:tc>
        <w:tc>
          <w:tcPr>
            <w:tcW w:w="2410" w:type="dxa"/>
            <w:tcBorders>
              <w:top w:val="nil"/>
              <w:bottom w:val="nil"/>
            </w:tcBorders>
          </w:tcPr>
          <w:p w:rsidR="00E64CEF" w:rsidRDefault="00E64CEF" w:rsidP="00A506D2">
            <w:pPr>
              <w:pStyle w:val="Table2"/>
              <w:jc w:val="center"/>
            </w:pPr>
          </w:p>
        </w:tc>
      </w:tr>
      <w:tr w:rsidR="00E64CEF" w:rsidTr="00A506D2">
        <w:tc>
          <w:tcPr>
            <w:tcW w:w="2268" w:type="dxa"/>
            <w:tcBorders>
              <w:top w:val="nil"/>
              <w:bottom w:val="nil"/>
            </w:tcBorders>
          </w:tcPr>
          <w:p w:rsidR="00E64CEF" w:rsidRPr="001D2CF8" w:rsidRDefault="00E64CEF" w:rsidP="00A506D2">
            <w:pPr>
              <w:pStyle w:val="Table2"/>
            </w:pPr>
            <w:r w:rsidRPr="001D2CF8">
              <w:t>Condensed whole milks</w:t>
            </w:r>
          </w:p>
        </w:tc>
        <w:tc>
          <w:tcPr>
            <w:tcW w:w="1843" w:type="dxa"/>
            <w:tcBorders>
              <w:top w:val="nil"/>
              <w:bottom w:val="nil"/>
            </w:tcBorders>
          </w:tcPr>
          <w:p w:rsidR="00E64CEF" w:rsidRDefault="00E64CEF" w:rsidP="00A506D2">
            <w:pPr>
              <w:pStyle w:val="Table2"/>
            </w:pPr>
            <w:r>
              <w:t>Milkfat</w:t>
            </w:r>
          </w:p>
        </w:tc>
        <w:tc>
          <w:tcPr>
            <w:tcW w:w="2410" w:type="dxa"/>
            <w:tcBorders>
              <w:top w:val="nil"/>
              <w:bottom w:val="nil"/>
            </w:tcBorders>
          </w:tcPr>
          <w:p w:rsidR="00E64CEF" w:rsidRDefault="00E64CEF" w:rsidP="00A506D2">
            <w:pPr>
              <w:pStyle w:val="Table2"/>
              <w:jc w:val="center"/>
            </w:pPr>
            <w:r>
              <w:t>Minimum 8% m/m</w:t>
            </w:r>
          </w:p>
        </w:tc>
      </w:tr>
      <w:tr w:rsidR="00E64CEF" w:rsidTr="00A506D2">
        <w:tc>
          <w:tcPr>
            <w:tcW w:w="2268" w:type="dxa"/>
            <w:tcBorders>
              <w:top w:val="nil"/>
              <w:bottom w:val="nil"/>
            </w:tcBorders>
          </w:tcPr>
          <w:p w:rsidR="00E64CEF" w:rsidRPr="001D2CF8" w:rsidRDefault="00E64CEF" w:rsidP="00A506D2">
            <w:pPr>
              <w:pStyle w:val="Table2"/>
            </w:pPr>
          </w:p>
        </w:tc>
        <w:tc>
          <w:tcPr>
            <w:tcW w:w="1843" w:type="dxa"/>
            <w:tcBorders>
              <w:top w:val="nil"/>
              <w:bottom w:val="nil"/>
            </w:tcBorders>
          </w:tcPr>
          <w:p w:rsidR="00E64CEF" w:rsidRDefault="00E64CEF" w:rsidP="00A506D2">
            <w:pPr>
              <w:pStyle w:val="Table2"/>
            </w:pPr>
            <w:r>
              <w:t>Milk solids</w:t>
            </w:r>
          </w:p>
        </w:tc>
        <w:tc>
          <w:tcPr>
            <w:tcW w:w="2410" w:type="dxa"/>
            <w:tcBorders>
              <w:top w:val="nil"/>
              <w:bottom w:val="nil"/>
            </w:tcBorders>
          </w:tcPr>
          <w:p w:rsidR="00E64CEF" w:rsidRDefault="00E64CEF" w:rsidP="00A506D2">
            <w:pPr>
              <w:pStyle w:val="Table2"/>
              <w:jc w:val="center"/>
            </w:pPr>
            <w:r>
              <w:t>Minimum 28% m/m</w:t>
            </w:r>
          </w:p>
        </w:tc>
      </w:tr>
      <w:tr w:rsidR="00E64CEF" w:rsidTr="00A506D2">
        <w:tc>
          <w:tcPr>
            <w:tcW w:w="2268" w:type="dxa"/>
            <w:tcBorders>
              <w:top w:val="nil"/>
              <w:bottom w:val="nil"/>
            </w:tcBorders>
          </w:tcPr>
          <w:p w:rsidR="00E64CEF" w:rsidRPr="001D2CF8" w:rsidRDefault="00E64CEF" w:rsidP="00A506D2">
            <w:pPr>
              <w:pStyle w:val="Table2"/>
            </w:pPr>
          </w:p>
        </w:tc>
        <w:tc>
          <w:tcPr>
            <w:tcW w:w="1843" w:type="dxa"/>
            <w:tcBorders>
              <w:top w:val="nil"/>
              <w:bottom w:val="nil"/>
            </w:tcBorders>
          </w:tcPr>
          <w:p w:rsidR="00E64CEF" w:rsidRDefault="00E64CEF" w:rsidP="00A506D2">
            <w:pPr>
              <w:pStyle w:val="Table2"/>
            </w:pPr>
          </w:p>
        </w:tc>
        <w:tc>
          <w:tcPr>
            <w:tcW w:w="2410" w:type="dxa"/>
            <w:tcBorders>
              <w:top w:val="nil"/>
              <w:bottom w:val="nil"/>
            </w:tcBorders>
          </w:tcPr>
          <w:p w:rsidR="00E64CEF" w:rsidRDefault="00E64CEF" w:rsidP="00A506D2">
            <w:pPr>
              <w:pStyle w:val="Table2"/>
              <w:jc w:val="center"/>
            </w:pPr>
          </w:p>
        </w:tc>
      </w:tr>
      <w:tr w:rsidR="00E64CEF" w:rsidTr="00A506D2">
        <w:tc>
          <w:tcPr>
            <w:tcW w:w="2268" w:type="dxa"/>
            <w:tcBorders>
              <w:top w:val="nil"/>
              <w:bottom w:val="nil"/>
            </w:tcBorders>
          </w:tcPr>
          <w:p w:rsidR="00E64CEF" w:rsidRPr="001D2CF8" w:rsidRDefault="00E64CEF" w:rsidP="00A506D2">
            <w:pPr>
              <w:pStyle w:val="Table2"/>
            </w:pPr>
            <w:r w:rsidRPr="001D2CF8">
              <w:t>Condensed skim milks</w:t>
            </w:r>
          </w:p>
        </w:tc>
        <w:tc>
          <w:tcPr>
            <w:tcW w:w="1843" w:type="dxa"/>
            <w:tcBorders>
              <w:top w:val="nil"/>
              <w:bottom w:val="nil"/>
            </w:tcBorders>
          </w:tcPr>
          <w:p w:rsidR="00E64CEF" w:rsidRDefault="00E64CEF" w:rsidP="00A506D2">
            <w:pPr>
              <w:pStyle w:val="Table2"/>
            </w:pPr>
            <w:r>
              <w:t>Milkfat</w:t>
            </w:r>
          </w:p>
        </w:tc>
        <w:tc>
          <w:tcPr>
            <w:tcW w:w="2410" w:type="dxa"/>
            <w:tcBorders>
              <w:top w:val="nil"/>
              <w:bottom w:val="nil"/>
            </w:tcBorders>
          </w:tcPr>
          <w:p w:rsidR="00E64CEF" w:rsidRDefault="00E64CEF" w:rsidP="00A506D2">
            <w:pPr>
              <w:pStyle w:val="Table2"/>
              <w:jc w:val="center"/>
            </w:pPr>
            <w:r>
              <w:t>Maximum 1% m/m</w:t>
            </w:r>
          </w:p>
        </w:tc>
      </w:tr>
      <w:tr w:rsidR="00E64CEF" w:rsidTr="00A506D2">
        <w:tc>
          <w:tcPr>
            <w:tcW w:w="2268" w:type="dxa"/>
            <w:tcBorders>
              <w:top w:val="nil"/>
              <w:bottom w:val="nil"/>
            </w:tcBorders>
          </w:tcPr>
          <w:p w:rsidR="00E64CEF" w:rsidRPr="001D2CF8" w:rsidRDefault="00E64CEF" w:rsidP="00A506D2">
            <w:pPr>
              <w:pStyle w:val="Table2"/>
            </w:pPr>
          </w:p>
        </w:tc>
        <w:tc>
          <w:tcPr>
            <w:tcW w:w="1843" w:type="dxa"/>
            <w:tcBorders>
              <w:top w:val="nil"/>
              <w:bottom w:val="nil"/>
            </w:tcBorders>
          </w:tcPr>
          <w:p w:rsidR="00E64CEF" w:rsidRDefault="00E64CEF" w:rsidP="00A506D2">
            <w:pPr>
              <w:pStyle w:val="Table2"/>
            </w:pPr>
            <w:r>
              <w:t>Milk solids</w:t>
            </w:r>
          </w:p>
        </w:tc>
        <w:tc>
          <w:tcPr>
            <w:tcW w:w="2410" w:type="dxa"/>
            <w:tcBorders>
              <w:top w:val="nil"/>
              <w:bottom w:val="nil"/>
            </w:tcBorders>
          </w:tcPr>
          <w:p w:rsidR="00E64CEF" w:rsidRDefault="00E64CEF" w:rsidP="00A506D2">
            <w:pPr>
              <w:pStyle w:val="Table2"/>
              <w:jc w:val="center"/>
            </w:pPr>
            <w:r>
              <w:t>Minimum 24% m/m</w:t>
            </w:r>
          </w:p>
        </w:tc>
      </w:tr>
      <w:tr w:rsidR="00E64CEF" w:rsidTr="00A506D2">
        <w:tc>
          <w:tcPr>
            <w:tcW w:w="2268" w:type="dxa"/>
            <w:tcBorders>
              <w:top w:val="nil"/>
              <w:bottom w:val="nil"/>
            </w:tcBorders>
          </w:tcPr>
          <w:p w:rsidR="00E64CEF" w:rsidRPr="001D2CF8" w:rsidRDefault="00E64CEF" w:rsidP="00A506D2">
            <w:pPr>
              <w:pStyle w:val="Table2"/>
            </w:pPr>
          </w:p>
        </w:tc>
        <w:tc>
          <w:tcPr>
            <w:tcW w:w="1843" w:type="dxa"/>
            <w:tcBorders>
              <w:top w:val="nil"/>
              <w:bottom w:val="nil"/>
            </w:tcBorders>
          </w:tcPr>
          <w:p w:rsidR="00E64CEF" w:rsidRDefault="00E64CEF" w:rsidP="00A506D2">
            <w:pPr>
              <w:pStyle w:val="Table2"/>
            </w:pPr>
          </w:p>
        </w:tc>
        <w:tc>
          <w:tcPr>
            <w:tcW w:w="2410" w:type="dxa"/>
            <w:tcBorders>
              <w:top w:val="nil"/>
              <w:bottom w:val="nil"/>
            </w:tcBorders>
          </w:tcPr>
          <w:p w:rsidR="00E64CEF" w:rsidRDefault="00E64CEF" w:rsidP="00A506D2">
            <w:pPr>
              <w:pStyle w:val="Table2"/>
              <w:jc w:val="center"/>
            </w:pPr>
          </w:p>
        </w:tc>
      </w:tr>
      <w:tr w:rsidR="00E64CEF" w:rsidTr="00A506D2">
        <w:tc>
          <w:tcPr>
            <w:tcW w:w="2268" w:type="dxa"/>
            <w:tcBorders>
              <w:top w:val="nil"/>
              <w:bottom w:val="nil"/>
            </w:tcBorders>
          </w:tcPr>
          <w:p w:rsidR="00E64CEF" w:rsidRPr="001D2CF8" w:rsidRDefault="00E64CEF" w:rsidP="00A506D2">
            <w:pPr>
              <w:pStyle w:val="Table2"/>
            </w:pPr>
            <w:r w:rsidRPr="001D2CF8">
              <w:t>Evaporated whole milks</w:t>
            </w:r>
          </w:p>
        </w:tc>
        <w:tc>
          <w:tcPr>
            <w:tcW w:w="1843" w:type="dxa"/>
            <w:tcBorders>
              <w:top w:val="nil"/>
              <w:bottom w:val="nil"/>
            </w:tcBorders>
          </w:tcPr>
          <w:p w:rsidR="00E64CEF" w:rsidRDefault="00E64CEF" w:rsidP="00A506D2">
            <w:pPr>
              <w:pStyle w:val="Table2"/>
            </w:pPr>
            <w:r>
              <w:t>Milkfat</w:t>
            </w:r>
          </w:p>
        </w:tc>
        <w:tc>
          <w:tcPr>
            <w:tcW w:w="2410" w:type="dxa"/>
            <w:tcBorders>
              <w:top w:val="nil"/>
              <w:bottom w:val="nil"/>
            </w:tcBorders>
          </w:tcPr>
          <w:p w:rsidR="00E64CEF" w:rsidRDefault="00E64CEF" w:rsidP="00A506D2">
            <w:pPr>
              <w:pStyle w:val="Table2"/>
              <w:jc w:val="center"/>
            </w:pPr>
            <w:r>
              <w:t>Minimum 7.5% m/m</w:t>
            </w:r>
          </w:p>
        </w:tc>
      </w:tr>
      <w:tr w:rsidR="00E64CEF" w:rsidTr="00A506D2">
        <w:tc>
          <w:tcPr>
            <w:tcW w:w="2268" w:type="dxa"/>
            <w:tcBorders>
              <w:top w:val="nil"/>
              <w:bottom w:val="nil"/>
            </w:tcBorders>
          </w:tcPr>
          <w:p w:rsidR="00E64CEF" w:rsidRPr="001D2CF8" w:rsidRDefault="00E64CEF" w:rsidP="00A506D2">
            <w:pPr>
              <w:pStyle w:val="Table2"/>
            </w:pPr>
          </w:p>
        </w:tc>
        <w:tc>
          <w:tcPr>
            <w:tcW w:w="1843" w:type="dxa"/>
            <w:tcBorders>
              <w:top w:val="nil"/>
              <w:bottom w:val="nil"/>
            </w:tcBorders>
          </w:tcPr>
          <w:p w:rsidR="00E64CEF" w:rsidRDefault="00E64CEF" w:rsidP="00A506D2">
            <w:pPr>
              <w:pStyle w:val="Table2"/>
            </w:pPr>
            <w:r>
              <w:t>Milk solids</w:t>
            </w:r>
          </w:p>
        </w:tc>
        <w:tc>
          <w:tcPr>
            <w:tcW w:w="2410" w:type="dxa"/>
            <w:tcBorders>
              <w:top w:val="nil"/>
              <w:bottom w:val="nil"/>
            </w:tcBorders>
          </w:tcPr>
          <w:p w:rsidR="00E64CEF" w:rsidRDefault="00E64CEF" w:rsidP="00A506D2">
            <w:pPr>
              <w:pStyle w:val="Table2"/>
              <w:jc w:val="center"/>
            </w:pPr>
            <w:r>
              <w:t>Minimum 25% m/m</w:t>
            </w:r>
          </w:p>
        </w:tc>
      </w:tr>
      <w:tr w:rsidR="00E64CEF" w:rsidTr="00A506D2">
        <w:tc>
          <w:tcPr>
            <w:tcW w:w="2268" w:type="dxa"/>
            <w:tcBorders>
              <w:top w:val="nil"/>
              <w:bottom w:val="nil"/>
            </w:tcBorders>
          </w:tcPr>
          <w:p w:rsidR="00E64CEF" w:rsidRPr="001D2CF8" w:rsidRDefault="00E64CEF" w:rsidP="00A506D2">
            <w:pPr>
              <w:pStyle w:val="Table2"/>
            </w:pPr>
          </w:p>
        </w:tc>
        <w:tc>
          <w:tcPr>
            <w:tcW w:w="1843" w:type="dxa"/>
            <w:tcBorders>
              <w:top w:val="nil"/>
              <w:bottom w:val="nil"/>
            </w:tcBorders>
          </w:tcPr>
          <w:p w:rsidR="00E64CEF" w:rsidRDefault="00E64CEF" w:rsidP="00A506D2">
            <w:pPr>
              <w:pStyle w:val="Table2"/>
            </w:pPr>
          </w:p>
        </w:tc>
        <w:tc>
          <w:tcPr>
            <w:tcW w:w="2410" w:type="dxa"/>
            <w:tcBorders>
              <w:top w:val="nil"/>
              <w:bottom w:val="nil"/>
            </w:tcBorders>
          </w:tcPr>
          <w:p w:rsidR="00E64CEF" w:rsidRDefault="00E64CEF" w:rsidP="00A506D2">
            <w:pPr>
              <w:pStyle w:val="Table2"/>
              <w:jc w:val="center"/>
            </w:pPr>
          </w:p>
        </w:tc>
      </w:tr>
      <w:tr w:rsidR="00E64CEF" w:rsidTr="00A506D2">
        <w:tc>
          <w:tcPr>
            <w:tcW w:w="2268" w:type="dxa"/>
            <w:tcBorders>
              <w:top w:val="nil"/>
              <w:bottom w:val="nil"/>
            </w:tcBorders>
          </w:tcPr>
          <w:p w:rsidR="00E64CEF" w:rsidRPr="001D2CF8" w:rsidRDefault="00E64CEF" w:rsidP="00A506D2">
            <w:pPr>
              <w:pStyle w:val="Table2"/>
            </w:pPr>
            <w:r w:rsidRPr="001D2CF8">
              <w:t>Evaporated skim milks</w:t>
            </w:r>
          </w:p>
        </w:tc>
        <w:tc>
          <w:tcPr>
            <w:tcW w:w="1843" w:type="dxa"/>
            <w:tcBorders>
              <w:top w:val="nil"/>
              <w:bottom w:val="nil"/>
            </w:tcBorders>
          </w:tcPr>
          <w:p w:rsidR="00E64CEF" w:rsidRDefault="00E64CEF" w:rsidP="00A506D2">
            <w:pPr>
              <w:pStyle w:val="Table2"/>
            </w:pPr>
            <w:r>
              <w:t>Milkfat</w:t>
            </w:r>
          </w:p>
        </w:tc>
        <w:tc>
          <w:tcPr>
            <w:tcW w:w="2410" w:type="dxa"/>
            <w:tcBorders>
              <w:top w:val="nil"/>
              <w:bottom w:val="nil"/>
            </w:tcBorders>
          </w:tcPr>
          <w:p w:rsidR="00E64CEF" w:rsidRDefault="00E64CEF" w:rsidP="00A506D2">
            <w:pPr>
              <w:pStyle w:val="Table2"/>
              <w:jc w:val="center"/>
            </w:pPr>
            <w:r>
              <w:t>Maximum 1% m/m</w:t>
            </w:r>
          </w:p>
        </w:tc>
      </w:tr>
      <w:tr w:rsidR="00E64CEF" w:rsidTr="00A506D2">
        <w:tc>
          <w:tcPr>
            <w:tcW w:w="2268" w:type="dxa"/>
            <w:tcBorders>
              <w:top w:val="nil"/>
              <w:bottom w:val="single" w:sz="4" w:space="0" w:color="auto"/>
            </w:tcBorders>
          </w:tcPr>
          <w:p w:rsidR="00E64CEF" w:rsidRPr="001D2CF8" w:rsidRDefault="00E64CEF" w:rsidP="00A506D2">
            <w:pPr>
              <w:pStyle w:val="Table2"/>
            </w:pPr>
          </w:p>
        </w:tc>
        <w:tc>
          <w:tcPr>
            <w:tcW w:w="1843" w:type="dxa"/>
            <w:tcBorders>
              <w:top w:val="nil"/>
              <w:bottom w:val="single" w:sz="4" w:space="0" w:color="auto"/>
            </w:tcBorders>
          </w:tcPr>
          <w:p w:rsidR="00E64CEF" w:rsidRDefault="00E64CEF" w:rsidP="00A506D2">
            <w:pPr>
              <w:pStyle w:val="Table2"/>
            </w:pPr>
            <w:r>
              <w:t>Milk solids</w:t>
            </w:r>
          </w:p>
        </w:tc>
        <w:tc>
          <w:tcPr>
            <w:tcW w:w="2410" w:type="dxa"/>
            <w:tcBorders>
              <w:top w:val="nil"/>
              <w:bottom w:val="single" w:sz="4" w:space="0" w:color="auto"/>
            </w:tcBorders>
          </w:tcPr>
          <w:p w:rsidR="00E64CEF" w:rsidRDefault="00E64CEF" w:rsidP="00A506D2">
            <w:pPr>
              <w:pStyle w:val="Table2"/>
              <w:jc w:val="center"/>
            </w:pPr>
            <w:r>
              <w:t>Minimum 20% m/m</w:t>
            </w:r>
          </w:p>
        </w:tc>
      </w:tr>
    </w:tbl>
    <w:p w:rsidR="00C342E0" w:rsidRDefault="00C342E0" w:rsidP="00E64CEF">
      <w:pPr>
        <w:rPr>
          <w:i/>
        </w:rPr>
      </w:pPr>
    </w:p>
    <w:p w:rsidR="00E64CEF" w:rsidRPr="00C342E0" w:rsidRDefault="00E64CEF" w:rsidP="00E64CEF">
      <w:pPr>
        <w:pStyle w:val="Clause"/>
        <w:ind w:left="851" w:hanging="851"/>
        <w:rPr>
          <w:bCs/>
          <w:i/>
        </w:rPr>
      </w:pPr>
      <w:r w:rsidRPr="00C342E0">
        <w:rPr>
          <w:bCs/>
        </w:rPr>
        <w:t>[</w:t>
      </w:r>
      <w:r w:rsidRPr="00C342E0">
        <w:rPr>
          <w:b/>
          <w:bCs/>
        </w:rPr>
        <w:t>36</w:t>
      </w:r>
      <w:r w:rsidRPr="00C342E0">
        <w:rPr>
          <w:bCs/>
        </w:rPr>
        <w:t>]</w:t>
      </w:r>
      <w:r w:rsidRPr="00C342E0">
        <w:rPr>
          <w:bCs/>
        </w:rPr>
        <w:tab/>
      </w:r>
      <w:r w:rsidRPr="00C342E0">
        <w:rPr>
          <w:b/>
          <w:bCs/>
          <w:i/>
        </w:rPr>
        <w:t xml:space="preserve">Standard 2.6.2 </w:t>
      </w:r>
      <w:r w:rsidRPr="00C342E0">
        <w:rPr>
          <w:bCs/>
          <w:i/>
        </w:rPr>
        <w:t>of the Australia New Zealand Food Standards Code is varied by –</w:t>
      </w:r>
    </w:p>
    <w:p w:rsidR="00E64CEF" w:rsidRPr="00C342E0" w:rsidRDefault="00E64CEF" w:rsidP="00E64CEF">
      <w:pPr>
        <w:pStyle w:val="Clause"/>
        <w:ind w:left="851" w:hanging="851"/>
        <w:rPr>
          <w:bCs/>
        </w:rPr>
      </w:pPr>
    </w:p>
    <w:p w:rsidR="00E64CEF" w:rsidRPr="00C342E0" w:rsidRDefault="00E64CEF" w:rsidP="00E64CEF">
      <w:pPr>
        <w:pStyle w:val="Clause"/>
        <w:rPr>
          <w:i/>
        </w:rPr>
      </w:pPr>
      <w:r w:rsidRPr="00C342E0">
        <w:t>[36.1]</w:t>
      </w:r>
      <w:r w:rsidRPr="00C342E0">
        <w:tab/>
      </w:r>
      <w:r w:rsidRPr="00C342E0">
        <w:rPr>
          <w:i/>
        </w:rPr>
        <w:t xml:space="preserve">omitting the definition of </w:t>
      </w:r>
      <w:r w:rsidRPr="00C342E0">
        <w:rPr>
          <w:b/>
        </w:rPr>
        <w:t xml:space="preserve">brewed soft drink </w:t>
      </w:r>
      <w:r w:rsidRPr="00C342E0">
        <w:rPr>
          <w:i/>
        </w:rPr>
        <w:t xml:space="preserve">from clause 1, substituting – </w:t>
      </w:r>
    </w:p>
    <w:p w:rsidR="00E64CEF" w:rsidRPr="00C342E0" w:rsidRDefault="00E64CEF" w:rsidP="00E64CEF">
      <w:pPr>
        <w:rPr>
          <w:sz w:val="20"/>
          <w:szCs w:val="20"/>
        </w:rPr>
      </w:pPr>
    </w:p>
    <w:p w:rsidR="00E64CEF" w:rsidRPr="00C342E0" w:rsidRDefault="00E64CEF" w:rsidP="00E64CEF">
      <w:pPr>
        <w:pStyle w:val="Definition"/>
        <w:rPr>
          <w:bCs/>
        </w:rPr>
      </w:pPr>
      <w:r w:rsidRPr="00C342E0">
        <w:rPr>
          <w:b/>
          <w:bCs/>
        </w:rPr>
        <w:t xml:space="preserve">brewed soft drink </w:t>
      </w:r>
      <w:r w:rsidRPr="00C342E0">
        <w:rPr>
          <w:bCs/>
        </w:rPr>
        <w:t xml:space="preserve">means the product prepared by a fermentation process from water with sugar and one or more of – </w:t>
      </w:r>
    </w:p>
    <w:p w:rsidR="00E64CEF" w:rsidRPr="00C342E0" w:rsidRDefault="00E64CEF" w:rsidP="00E64CEF">
      <w:pPr>
        <w:pStyle w:val="Definition"/>
        <w:ind w:firstLine="0"/>
      </w:pPr>
    </w:p>
    <w:p w:rsidR="00E64CEF" w:rsidRPr="00C342E0" w:rsidRDefault="00E64CEF" w:rsidP="00E64CEF">
      <w:pPr>
        <w:pStyle w:val="Definition"/>
        <w:ind w:firstLine="0"/>
      </w:pPr>
      <w:r w:rsidRPr="00C342E0">
        <w:t>(a)</w:t>
      </w:r>
      <w:r w:rsidRPr="00C342E0">
        <w:tab/>
        <w:t>fruit extractives or infusions; or</w:t>
      </w:r>
    </w:p>
    <w:p w:rsidR="00E64CEF" w:rsidRPr="00C342E0" w:rsidRDefault="00E64CEF" w:rsidP="00E64CEF">
      <w:pPr>
        <w:pStyle w:val="Definition"/>
        <w:ind w:firstLine="0"/>
      </w:pPr>
      <w:r w:rsidRPr="00C342E0">
        <w:t>(b)</w:t>
      </w:r>
      <w:r w:rsidRPr="00C342E0">
        <w:tab/>
        <w:t>vegetable extractives or infusions.</w:t>
      </w:r>
    </w:p>
    <w:p w:rsidR="00E64CEF" w:rsidRPr="00C342E0" w:rsidRDefault="00E64CEF" w:rsidP="00E64CEF">
      <w:pPr>
        <w:rPr>
          <w:sz w:val="20"/>
          <w:szCs w:val="20"/>
        </w:rPr>
      </w:pPr>
    </w:p>
    <w:p w:rsidR="00E64CEF" w:rsidRPr="00C342E0" w:rsidRDefault="00E64CEF" w:rsidP="00E64CEF">
      <w:pPr>
        <w:pStyle w:val="Clause"/>
      </w:pPr>
      <w:r w:rsidRPr="00C342E0">
        <w:t>[36.2]</w:t>
      </w:r>
      <w:r w:rsidRPr="00C342E0">
        <w:tab/>
      </w:r>
      <w:r w:rsidRPr="00C342E0">
        <w:rPr>
          <w:i/>
        </w:rPr>
        <w:t xml:space="preserve">omitting </w:t>
      </w:r>
      <w:r w:rsidRPr="00C342E0">
        <w:t>vitamins and/or minerals</w:t>
      </w:r>
      <w:r w:rsidRPr="00C342E0">
        <w:rPr>
          <w:i/>
        </w:rPr>
        <w:t xml:space="preserve"> from the definition of </w:t>
      </w:r>
      <w:r w:rsidRPr="00C342E0">
        <w:rPr>
          <w:b/>
        </w:rPr>
        <w:t xml:space="preserve">formulated beverage </w:t>
      </w:r>
      <w:r w:rsidRPr="00C342E0">
        <w:rPr>
          <w:i/>
        </w:rPr>
        <w:t xml:space="preserve">in clause 1, substituting </w:t>
      </w:r>
      <w:r w:rsidRPr="00C342E0">
        <w:t>vitamins or minerals or both vitamins and minerals</w:t>
      </w:r>
    </w:p>
    <w:p w:rsidR="00E64CEF" w:rsidRPr="00C342E0" w:rsidRDefault="00E64CEF" w:rsidP="00E64CEF">
      <w:pPr>
        <w:rPr>
          <w:sz w:val="20"/>
          <w:szCs w:val="20"/>
        </w:rPr>
      </w:pPr>
    </w:p>
    <w:p w:rsidR="00E64CEF" w:rsidRPr="00C342E0" w:rsidRDefault="00E64CEF" w:rsidP="00E64CEF">
      <w:pPr>
        <w:pStyle w:val="Clause"/>
      </w:pPr>
      <w:r w:rsidRPr="00C342E0">
        <w:t>[36.3]</w:t>
      </w:r>
      <w:r w:rsidRPr="00C342E0">
        <w:tab/>
      </w:r>
      <w:r w:rsidRPr="00C342E0">
        <w:rPr>
          <w:i/>
        </w:rPr>
        <w:t xml:space="preserve">omitting subclause 2(2) and the </w:t>
      </w:r>
      <w:r w:rsidRPr="00C342E0">
        <w:t>Table to subclause 2(2)</w:t>
      </w:r>
      <w:r w:rsidRPr="00C342E0">
        <w:rPr>
          <w:i/>
        </w:rPr>
        <w:t>, substituting</w:t>
      </w:r>
      <w:r w:rsidRPr="00C342E0">
        <w:t xml:space="preserve"> – </w:t>
      </w:r>
    </w:p>
    <w:p w:rsidR="00E64CEF" w:rsidRPr="00C342E0" w:rsidRDefault="00E64CEF" w:rsidP="00E64CEF">
      <w:pPr>
        <w:rPr>
          <w:i/>
          <w:sz w:val="20"/>
          <w:szCs w:val="20"/>
        </w:rPr>
      </w:pPr>
    </w:p>
    <w:p w:rsidR="00E64CEF" w:rsidRPr="00C342E0" w:rsidRDefault="00E64CEF" w:rsidP="00E64CEF">
      <w:pPr>
        <w:pStyle w:val="Subclause"/>
        <w:rPr>
          <w:i/>
        </w:rPr>
      </w:pPr>
      <w:r w:rsidRPr="00C342E0">
        <w:t>(2)</w:t>
      </w:r>
      <w:r w:rsidRPr="00C342E0">
        <w:tab/>
        <w:t xml:space="preserve">Water presented in packaged form must not contain substances at greater levels than the guideline values specified in </w:t>
      </w:r>
      <w:r w:rsidRPr="00C342E0">
        <w:rPr>
          <w:i/>
        </w:rPr>
        <w:t xml:space="preserve">Annex 4 Chemical summary tables, Table A4.3 Guideline values for chemicals that are of health significance in drinking-water </w:t>
      </w:r>
      <w:r w:rsidRPr="00C342E0">
        <w:t xml:space="preserve">in the </w:t>
      </w:r>
      <w:r w:rsidRPr="00C342E0">
        <w:rPr>
          <w:i/>
        </w:rPr>
        <w:t>Guidelines for drinking-water quality, 3</w:t>
      </w:r>
      <w:r w:rsidRPr="00C342E0">
        <w:rPr>
          <w:i/>
          <w:vertAlign w:val="superscript"/>
        </w:rPr>
        <w:t>rd</w:t>
      </w:r>
      <w:r w:rsidRPr="00C342E0">
        <w:rPr>
          <w:i/>
        </w:rPr>
        <w:t xml:space="preserve"> edition incorporating the 1</w:t>
      </w:r>
      <w:r w:rsidRPr="00C342E0">
        <w:rPr>
          <w:i/>
          <w:vertAlign w:val="superscript"/>
        </w:rPr>
        <w:t>st</w:t>
      </w:r>
      <w:r w:rsidRPr="00C342E0">
        <w:rPr>
          <w:i/>
        </w:rPr>
        <w:t xml:space="preserve"> and 2</w:t>
      </w:r>
      <w:r w:rsidRPr="00C342E0">
        <w:rPr>
          <w:i/>
          <w:vertAlign w:val="superscript"/>
        </w:rPr>
        <w:t>nd</w:t>
      </w:r>
      <w:r w:rsidRPr="00C342E0">
        <w:rPr>
          <w:i/>
        </w:rPr>
        <w:t xml:space="preserve"> addenda, Volume 1 Recommendations, World Health Organization, Geneva 2008.</w:t>
      </w:r>
    </w:p>
    <w:p w:rsidR="00E64CEF" w:rsidRPr="00C342E0" w:rsidRDefault="00E64CEF" w:rsidP="00E64CEF">
      <w:pPr>
        <w:rPr>
          <w:i/>
          <w:sz w:val="20"/>
          <w:szCs w:val="20"/>
        </w:rPr>
      </w:pPr>
    </w:p>
    <w:p w:rsidR="00E64CEF" w:rsidRPr="00C342E0" w:rsidRDefault="00E64CEF" w:rsidP="00E64CEF">
      <w:pPr>
        <w:pStyle w:val="Clause"/>
        <w:rPr>
          <w:i/>
          <w:iCs/>
        </w:rPr>
      </w:pPr>
      <w:r w:rsidRPr="00C342E0">
        <w:rPr>
          <w:b/>
          <w:iCs/>
        </w:rPr>
        <w:t>[37]</w:t>
      </w:r>
      <w:r w:rsidRPr="00C342E0">
        <w:rPr>
          <w:b/>
          <w:iCs/>
        </w:rPr>
        <w:tab/>
      </w:r>
      <w:r w:rsidRPr="00C342E0">
        <w:rPr>
          <w:b/>
          <w:i/>
          <w:iCs/>
        </w:rPr>
        <w:t>Standard 2.6.3</w:t>
      </w:r>
      <w:r w:rsidRPr="00C342E0">
        <w:rPr>
          <w:i/>
          <w:iCs/>
        </w:rPr>
        <w:t xml:space="preserve"> of the Australia New Zealand Food Standards Code is varied by – </w:t>
      </w:r>
    </w:p>
    <w:p w:rsidR="00E64CEF" w:rsidRPr="00C342E0" w:rsidRDefault="00E64CEF" w:rsidP="00E64CEF">
      <w:pPr>
        <w:pStyle w:val="Clause"/>
        <w:rPr>
          <w:i/>
          <w:iCs/>
        </w:rPr>
      </w:pPr>
    </w:p>
    <w:p w:rsidR="00E64CEF" w:rsidRPr="00C342E0" w:rsidRDefault="00E64CEF" w:rsidP="00E64CEF">
      <w:pPr>
        <w:pStyle w:val="Clause"/>
      </w:pPr>
      <w:r w:rsidRPr="00C342E0">
        <w:t>[37.1]</w:t>
      </w:r>
      <w:r w:rsidRPr="00C342E0">
        <w:tab/>
      </w:r>
      <w:r w:rsidRPr="00C342E0">
        <w:rPr>
          <w:i/>
        </w:rPr>
        <w:t>omitting</w:t>
      </w:r>
      <w:r w:rsidRPr="00C342E0">
        <w:t xml:space="preserve"> sale and distribution </w:t>
      </w:r>
      <w:r w:rsidRPr="00C342E0">
        <w:rPr>
          <w:i/>
        </w:rPr>
        <w:t>from the</w:t>
      </w:r>
      <w:r w:rsidRPr="00C342E0">
        <w:t xml:space="preserve"> Purpose, </w:t>
      </w:r>
      <w:r w:rsidRPr="00C342E0">
        <w:rPr>
          <w:i/>
        </w:rPr>
        <w:t>substituting</w:t>
      </w:r>
      <w:r w:rsidRPr="00C342E0">
        <w:t xml:space="preserve"> form and labelling</w:t>
      </w:r>
    </w:p>
    <w:p w:rsidR="00E64CEF" w:rsidRPr="00C342E0" w:rsidRDefault="00E64CEF" w:rsidP="00E64CEF">
      <w:pPr>
        <w:rPr>
          <w:sz w:val="20"/>
          <w:szCs w:val="20"/>
        </w:rPr>
      </w:pPr>
    </w:p>
    <w:p w:rsidR="00E64CEF" w:rsidRPr="00C342E0" w:rsidRDefault="00E64CEF" w:rsidP="00E64CEF">
      <w:pPr>
        <w:pStyle w:val="Clause"/>
      </w:pPr>
      <w:r w:rsidRPr="00C342E0">
        <w:t>[37.2]</w:t>
      </w:r>
      <w:r w:rsidRPr="00C342E0">
        <w:tab/>
      </w:r>
      <w:r w:rsidRPr="00C342E0">
        <w:rPr>
          <w:i/>
        </w:rPr>
        <w:t xml:space="preserve">omitting </w:t>
      </w:r>
      <w:r w:rsidRPr="00C342E0">
        <w:t xml:space="preserve">and/or </w:t>
      </w:r>
      <w:r w:rsidRPr="00C342E0">
        <w:rPr>
          <w:i/>
        </w:rPr>
        <w:t xml:space="preserve">from clause 2, substituting </w:t>
      </w:r>
      <w:r w:rsidRPr="00C342E0">
        <w:t>or</w:t>
      </w:r>
    </w:p>
    <w:p w:rsidR="00E64CEF" w:rsidRPr="00C342E0" w:rsidRDefault="00E64CEF" w:rsidP="00E64CEF">
      <w:pPr>
        <w:rPr>
          <w:sz w:val="20"/>
          <w:szCs w:val="20"/>
        </w:rPr>
      </w:pPr>
    </w:p>
    <w:p w:rsidR="00E64CEF" w:rsidRPr="00C342E0" w:rsidRDefault="00E64CEF" w:rsidP="00E64CEF">
      <w:pPr>
        <w:pStyle w:val="Clause"/>
        <w:ind w:left="851" w:hanging="851"/>
        <w:rPr>
          <w:bCs/>
          <w:i/>
        </w:rPr>
      </w:pPr>
      <w:r w:rsidRPr="00C342E0">
        <w:rPr>
          <w:b/>
          <w:bCs/>
        </w:rPr>
        <w:t>[38]</w:t>
      </w:r>
      <w:r w:rsidRPr="00C342E0">
        <w:rPr>
          <w:b/>
          <w:bCs/>
        </w:rPr>
        <w:tab/>
      </w:r>
      <w:r w:rsidRPr="00C342E0">
        <w:rPr>
          <w:b/>
          <w:bCs/>
          <w:i/>
        </w:rPr>
        <w:t xml:space="preserve">Standard 2.7.1 </w:t>
      </w:r>
      <w:r w:rsidRPr="00C342E0">
        <w:rPr>
          <w:bCs/>
          <w:i/>
        </w:rPr>
        <w:t xml:space="preserve">of the Australia New Zealand Food Standards Code is varied by – </w:t>
      </w:r>
    </w:p>
    <w:p w:rsidR="00E64CEF" w:rsidRPr="00C342E0" w:rsidRDefault="00E64CEF" w:rsidP="00E64CEF">
      <w:pPr>
        <w:rPr>
          <w:sz w:val="20"/>
          <w:szCs w:val="20"/>
        </w:rPr>
      </w:pPr>
    </w:p>
    <w:p w:rsidR="00E64CEF" w:rsidRPr="00C342E0" w:rsidRDefault="00E64CEF" w:rsidP="00E64CEF">
      <w:pPr>
        <w:pStyle w:val="Clause"/>
      </w:pPr>
      <w:r w:rsidRPr="00C342E0">
        <w:t>[38.1]</w:t>
      </w:r>
      <w:r w:rsidRPr="00C342E0">
        <w:tab/>
      </w:r>
      <w:r w:rsidRPr="00C342E0">
        <w:rPr>
          <w:i/>
        </w:rPr>
        <w:t xml:space="preserve">omitting from the </w:t>
      </w:r>
      <w:r w:rsidRPr="00C342E0">
        <w:t xml:space="preserve">Table to subclause 2(1) – </w:t>
      </w:r>
    </w:p>
    <w:p w:rsidR="00E64CEF" w:rsidRPr="00C342E0" w:rsidRDefault="00E64CEF" w:rsidP="00E64CEF">
      <w:pPr>
        <w:rPr>
          <w:sz w:val="20"/>
          <w:szCs w:val="20"/>
        </w:rPr>
      </w:pPr>
    </w:p>
    <w:tbl>
      <w:tblPr>
        <w:tblW w:w="0" w:type="auto"/>
        <w:jc w:val="center"/>
        <w:tblLayout w:type="fixed"/>
        <w:tblCellMar>
          <w:left w:w="107" w:type="dxa"/>
          <w:right w:w="107" w:type="dxa"/>
        </w:tblCellMar>
        <w:tblLook w:val="0000" w:firstRow="0" w:lastRow="0" w:firstColumn="0" w:lastColumn="0" w:noHBand="0" w:noVBand="0"/>
      </w:tblPr>
      <w:tblGrid>
        <w:gridCol w:w="2835"/>
        <w:gridCol w:w="2835"/>
      </w:tblGrid>
      <w:tr w:rsidR="00E64CEF" w:rsidTr="00A506D2">
        <w:trPr>
          <w:cantSplit/>
          <w:trHeight w:val="300"/>
          <w:jc w:val="center"/>
        </w:trPr>
        <w:tc>
          <w:tcPr>
            <w:tcW w:w="2835" w:type="dxa"/>
            <w:tcBorders>
              <w:top w:val="single" w:sz="6" w:space="0" w:color="auto"/>
              <w:left w:val="single" w:sz="6" w:space="0" w:color="auto"/>
              <w:bottom w:val="single" w:sz="6" w:space="0" w:color="auto"/>
              <w:right w:val="single" w:sz="6" w:space="0" w:color="auto"/>
            </w:tcBorders>
          </w:tcPr>
          <w:p w:rsidR="00E64CEF" w:rsidRDefault="00E64CEF" w:rsidP="00A506D2">
            <w:pPr>
              <w:pStyle w:val="Table2"/>
            </w:pPr>
            <w:r>
              <w:t>Alcoholic beverages containing not more than 1.15 % alcohol by volume</w:t>
            </w:r>
          </w:p>
          <w:p w:rsidR="00E64CEF" w:rsidRDefault="00E64CEF" w:rsidP="00A506D2">
            <w:pPr>
              <w:pStyle w:val="Table2"/>
            </w:pPr>
          </w:p>
          <w:p w:rsidR="00E64CEF" w:rsidRDefault="00E64CEF" w:rsidP="00A506D2">
            <w:pPr>
              <w:pStyle w:val="Table2"/>
            </w:pPr>
            <w:r>
              <w:t>Beverages containing no less than 0.5% alcohol by volume</w:t>
            </w:r>
          </w:p>
        </w:tc>
        <w:tc>
          <w:tcPr>
            <w:tcW w:w="2835" w:type="dxa"/>
            <w:tcBorders>
              <w:top w:val="single" w:sz="6" w:space="0" w:color="auto"/>
              <w:left w:val="single" w:sz="6" w:space="0" w:color="auto"/>
              <w:bottom w:val="single" w:sz="6" w:space="0" w:color="auto"/>
              <w:right w:val="single" w:sz="6" w:space="0" w:color="auto"/>
            </w:tcBorders>
          </w:tcPr>
          <w:p w:rsidR="00E64CEF" w:rsidRDefault="00E64CEF" w:rsidP="00A506D2">
            <w:pPr>
              <w:pStyle w:val="Table2"/>
            </w:pPr>
            <w:r>
              <w:t>‘CONTAINS NOT MORE THAN X% ALCOHOL BY VOLUME’ or words and expressions of the same or similar effect</w:t>
            </w:r>
          </w:p>
        </w:tc>
      </w:tr>
    </w:tbl>
    <w:p w:rsidR="00E64CEF" w:rsidRPr="00C342E0" w:rsidRDefault="00E64CEF" w:rsidP="00E64CEF">
      <w:pPr>
        <w:rPr>
          <w:i/>
          <w:sz w:val="20"/>
          <w:szCs w:val="20"/>
        </w:rPr>
      </w:pPr>
    </w:p>
    <w:p w:rsidR="00E64CEF" w:rsidRPr="00C342E0" w:rsidRDefault="00E64CEF" w:rsidP="009D2A44">
      <w:pPr>
        <w:pStyle w:val="Clause"/>
      </w:pPr>
      <w:r w:rsidRPr="00C342E0">
        <w:rPr>
          <w:i/>
        </w:rPr>
        <w:t>substituting</w:t>
      </w:r>
      <w:r w:rsidRPr="00C342E0">
        <w:t xml:space="preserve"> – </w:t>
      </w:r>
    </w:p>
    <w:p w:rsidR="00C342E0" w:rsidRDefault="00C342E0" w:rsidP="00E64CEF">
      <w:pPr>
        <w:rPr>
          <w:i/>
          <w:sz w:val="20"/>
          <w:szCs w:val="20"/>
        </w:rPr>
      </w:pPr>
      <w:r>
        <w:rPr>
          <w:i/>
          <w:sz w:val="20"/>
          <w:szCs w:val="20"/>
        </w:rPr>
        <w:br w:type="page"/>
      </w:r>
    </w:p>
    <w:tbl>
      <w:tblPr>
        <w:tblW w:w="0" w:type="auto"/>
        <w:jc w:val="center"/>
        <w:tblLayout w:type="fixed"/>
        <w:tblCellMar>
          <w:left w:w="107" w:type="dxa"/>
          <w:right w:w="107" w:type="dxa"/>
        </w:tblCellMar>
        <w:tblLook w:val="0000" w:firstRow="0" w:lastRow="0" w:firstColumn="0" w:lastColumn="0" w:noHBand="0" w:noVBand="0"/>
      </w:tblPr>
      <w:tblGrid>
        <w:gridCol w:w="2835"/>
        <w:gridCol w:w="2835"/>
      </w:tblGrid>
      <w:tr w:rsidR="00E64CEF" w:rsidTr="00A506D2">
        <w:trPr>
          <w:cantSplit/>
          <w:trHeight w:val="300"/>
          <w:jc w:val="center"/>
        </w:trPr>
        <w:tc>
          <w:tcPr>
            <w:tcW w:w="2835" w:type="dxa"/>
            <w:tcBorders>
              <w:top w:val="single" w:sz="6" w:space="0" w:color="auto"/>
              <w:left w:val="single" w:sz="6" w:space="0" w:color="auto"/>
              <w:bottom w:val="single" w:sz="6" w:space="0" w:color="auto"/>
              <w:right w:val="single" w:sz="6" w:space="0" w:color="auto"/>
            </w:tcBorders>
          </w:tcPr>
          <w:p w:rsidR="00E64CEF" w:rsidRDefault="00E64CEF" w:rsidP="00A506D2">
            <w:pPr>
              <w:pStyle w:val="Table2"/>
            </w:pPr>
            <w:r>
              <w:lastRenderedPageBreak/>
              <w:t>Alcoholic beverages containing 1.15% or less alcohol by volume</w:t>
            </w:r>
          </w:p>
          <w:p w:rsidR="00E64CEF" w:rsidRDefault="00E64CEF" w:rsidP="00A506D2">
            <w:pPr>
              <w:pStyle w:val="Table2"/>
            </w:pPr>
          </w:p>
          <w:p w:rsidR="00E64CEF" w:rsidRDefault="00E64CEF" w:rsidP="00A506D2">
            <w:pPr>
              <w:pStyle w:val="Table2"/>
            </w:pPr>
            <w:r>
              <w:t>Beverages containing 0.5% or more alcohol by volume</w:t>
            </w:r>
          </w:p>
        </w:tc>
        <w:tc>
          <w:tcPr>
            <w:tcW w:w="2835" w:type="dxa"/>
            <w:tcBorders>
              <w:top w:val="single" w:sz="6" w:space="0" w:color="auto"/>
              <w:left w:val="single" w:sz="6" w:space="0" w:color="auto"/>
              <w:bottom w:val="single" w:sz="6" w:space="0" w:color="auto"/>
              <w:right w:val="single" w:sz="6" w:space="0" w:color="auto"/>
            </w:tcBorders>
          </w:tcPr>
          <w:p w:rsidR="00E64CEF" w:rsidRDefault="00E64CEF" w:rsidP="00A506D2">
            <w:pPr>
              <w:pStyle w:val="Table2"/>
            </w:pPr>
            <w:r>
              <w:t>‘CONTAINS NOT MORE THAN X% ALCOHOL BY VOLUME’ or words and expressions of the same or similar effect</w:t>
            </w:r>
          </w:p>
        </w:tc>
      </w:tr>
    </w:tbl>
    <w:p w:rsidR="00E64CEF" w:rsidRPr="00C342E0" w:rsidRDefault="00E64CEF" w:rsidP="00E64CEF">
      <w:pPr>
        <w:rPr>
          <w:rFonts w:cs="Arial"/>
          <w:sz w:val="20"/>
          <w:szCs w:val="20"/>
        </w:rPr>
      </w:pPr>
    </w:p>
    <w:p w:rsidR="00E64CEF" w:rsidRPr="00C342E0" w:rsidRDefault="00E64CEF" w:rsidP="00E64CEF">
      <w:pPr>
        <w:pStyle w:val="Clause"/>
        <w:rPr>
          <w:rFonts w:cs="Arial"/>
          <w:i/>
        </w:rPr>
      </w:pPr>
      <w:r w:rsidRPr="00C342E0">
        <w:rPr>
          <w:rFonts w:cs="Arial"/>
          <w:b/>
        </w:rPr>
        <w:t>[39]</w:t>
      </w:r>
      <w:r w:rsidRPr="00C342E0">
        <w:rPr>
          <w:rFonts w:cs="Arial"/>
          <w:b/>
        </w:rPr>
        <w:tab/>
      </w:r>
      <w:r w:rsidRPr="00C342E0">
        <w:rPr>
          <w:rFonts w:cs="Arial"/>
          <w:b/>
          <w:i/>
        </w:rPr>
        <w:t xml:space="preserve">Standard 2.7.2 </w:t>
      </w:r>
      <w:r w:rsidRPr="00C342E0">
        <w:rPr>
          <w:rFonts w:cs="Arial"/>
          <w:i/>
        </w:rPr>
        <w:t xml:space="preserve">of the Australia New Zealand Food Standards Code is varied by – </w:t>
      </w:r>
    </w:p>
    <w:p w:rsidR="00E64CEF" w:rsidRPr="00C342E0" w:rsidRDefault="00E64CEF" w:rsidP="00E64CEF">
      <w:pPr>
        <w:rPr>
          <w:rFonts w:cs="Arial"/>
          <w:sz w:val="20"/>
          <w:szCs w:val="20"/>
        </w:rPr>
      </w:pPr>
    </w:p>
    <w:p w:rsidR="00E64CEF" w:rsidRPr="00C342E0" w:rsidRDefault="00E64CEF" w:rsidP="00E64CEF">
      <w:pPr>
        <w:pStyle w:val="Subclause"/>
        <w:rPr>
          <w:rFonts w:cs="Arial"/>
        </w:rPr>
      </w:pPr>
      <w:r w:rsidRPr="00C342E0">
        <w:rPr>
          <w:rFonts w:cs="Arial"/>
        </w:rPr>
        <w:t>[39.1]</w:t>
      </w:r>
      <w:r w:rsidRPr="00C342E0">
        <w:rPr>
          <w:rFonts w:cs="Arial"/>
        </w:rPr>
        <w:tab/>
        <w:t>o</w:t>
      </w:r>
      <w:r w:rsidRPr="00C342E0">
        <w:rPr>
          <w:rFonts w:cs="Arial"/>
          <w:i/>
        </w:rPr>
        <w:t xml:space="preserve">mitting clause 2, substituting </w:t>
      </w:r>
      <w:r w:rsidRPr="00C342E0">
        <w:rPr>
          <w:rFonts w:cs="Arial"/>
        </w:rPr>
        <w:t xml:space="preserve">– </w:t>
      </w:r>
    </w:p>
    <w:p w:rsidR="00E64CEF" w:rsidRPr="00C342E0" w:rsidRDefault="00E64CEF" w:rsidP="00E64CEF">
      <w:pPr>
        <w:rPr>
          <w:rFonts w:cs="Arial"/>
          <w:i/>
          <w:sz w:val="20"/>
          <w:szCs w:val="20"/>
        </w:rPr>
      </w:pPr>
    </w:p>
    <w:p w:rsidR="00E64CEF" w:rsidRPr="00C342E0" w:rsidRDefault="00E64CEF" w:rsidP="00E64CEF">
      <w:pPr>
        <w:pStyle w:val="Clause"/>
        <w:rPr>
          <w:rFonts w:cs="Arial"/>
          <w:b/>
        </w:rPr>
      </w:pPr>
      <w:r w:rsidRPr="00C342E0">
        <w:rPr>
          <w:rFonts w:cs="Arial"/>
          <w:b/>
        </w:rPr>
        <w:t>2</w:t>
      </w:r>
      <w:r w:rsidRPr="00C342E0">
        <w:rPr>
          <w:rFonts w:cs="Arial"/>
          <w:b/>
        </w:rPr>
        <w:tab/>
        <w:t>Permitted addition of other foods during production</w:t>
      </w:r>
    </w:p>
    <w:p w:rsidR="00E64CEF" w:rsidRPr="00C342E0" w:rsidRDefault="00E64CEF" w:rsidP="00E64CEF">
      <w:pPr>
        <w:rPr>
          <w:rFonts w:cs="Arial"/>
          <w:sz w:val="20"/>
          <w:szCs w:val="20"/>
        </w:rPr>
      </w:pPr>
    </w:p>
    <w:p w:rsidR="00E64CEF" w:rsidRPr="00C342E0" w:rsidRDefault="00E64CEF" w:rsidP="00E64CEF">
      <w:pPr>
        <w:pStyle w:val="Clause"/>
        <w:rPr>
          <w:rFonts w:cs="Arial"/>
        </w:rPr>
      </w:pPr>
      <w:r w:rsidRPr="00C342E0">
        <w:rPr>
          <w:rFonts w:cs="Arial"/>
        </w:rPr>
        <w:t xml:space="preserve">The following foods may be added to beer during production – </w:t>
      </w:r>
    </w:p>
    <w:p w:rsidR="00E64CEF" w:rsidRPr="00C342E0" w:rsidRDefault="00E64CEF" w:rsidP="00E64CEF">
      <w:pPr>
        <w:rPr>
          <w:rFonts w:cs="Arial"/>
          <w:sz w:val="20"/>
          <w:szCs w:val="20"/>
        </w:rPr>
      </w:pPr>
    </w:p>
    <w:p w:rsidR="00E64CEF" w:rsidRPr="00C342E0" w:rsidRDefault="00E64CEF" w:rsidP="00E64CEF">
      <w:pPr>
        <w:pStyle w:val="Paragraph"/>
        <w:rPr>
          <w:rFonts w:cs="Arial"/>
        </w:rPr>
      </w:pPr>
      <w:r w:rsidRPr="00C342E0">
        <w:rPr>
          <w:rFonts w:cs="Arial"/>
        </w:rPr>
        <w:t>(a)</w:t>
      </w:r>
      <w:r w:rsidRPr="00C342E0">
        <w:rPr>
          <w:rFonts w:cs="Arial"/>
        </w:rPr>
        <w:tab/>
        <w:t>cereal products or other sources of carbohydrate; and</w:t>
      </w:r>
    </w:p>
    <w:p w:rsidR="00E64CEF" w:rsidRPr="00C342E0" w:rsidRDefault="00E64CEF" w:rsidP="00E64CEF">
      <w:pPr>
        <w:pStyle w:val="Paragraph"/>
        <w:rPr>
          <w:rFonts w:cs="Arial"/>
        </w:rPr>
      </w:pPr>
      <w:r w:rsidRPr="00C342E0">
        <w:rPr>
          <w:rFonts w:cs="Arial"/>
        </w:rPr>
        <w:t>(b)</w:t>
      </w:r>
      <w:r w:rsidRPr="00C342E0">
        <w:rPr>
          <w:rFonts w:cs="Arial"/>
        </w:rPr>
        <w:tab/>
        <w:t>sugar; and</w:t>
      </w:r>
    </w:p>
    <w:p w:rsidR="00E64CEF" w:rsidRPr="00C342E0" w:rsidRDefault="00E64CEF" w:rsidP="00E64CEF">
      <w:pPr>
        <w:pStyle w:val="Paragraph"/>
        <w:rPr>
          <w:rFonts w:cs="Arial"/>
        </w:rPr>
      </w:pPr>
      <w:r w:rsidRPr="00C342E0">
        <w:rPr>
          <w:rFonts w:cs="Arial"/>
        </w:rPr>
        <w:t>(c)</w:t>
      </w:r>
      <w:r w:rsidRPr="00C342E0">
        <w:rPr>
          <w:rFonts w:cs="Arial"/>
        </w:rPr>
        <w:tab/>
        <w:t>salt; and</w:t>
      </w:r>
    </w:p>
    <w:p w:rsidR="009D2A44" w:rsidRPr="00C342E0" w:rsidRDefault="00E64CEF" w:rsidP="00E64CEF">
      <w:pPr>
        <w:pStyle w:val="Paragraph"/>
        <w:rPr>
          <w:rFonts w:cs="Arial"/>
        </w:rPr>
      </w:pPr>
      <w:r w:rsidRPr="00C342E0">
        <w:rPr>
          <w:rFonts w:cs="Arial"/>
        </w:rPr>
        <w:t>(d)</w:t>
      </w:r>
      <w:r w:rsidRPr="00C342E0">
        <w:rPr>
          <w:rFonts w:cs="Arial"/>
        </w:rPr>
        <w:tab/>
        <w:t>herbs and spices.</w:t>
      </w:r>
    </w:p>
    <w:p w:rsidR="00C342E0" w:rsidRPr="00C342E0" w:rsidRDefault="00C342E0" w:rsidP="00E64CEF">
      <w:pPr>
        <w:pStyle w:val="Clause"/>
        <w:rPr>
          <w:rFonts w:cs="Arial"/>
          <w:b/>
        </w:rPr>
      </w:pPr>
    </w:p>
    <w:p w:rsidR="00E64CEF" w:rsidRPr="00C342E0" w:rsidRDefault="00E64CEF" w:rsidP="00E64CEF">
      <w:pPr>
        <w:pStyle w:val="Clause"/>
        <w:rPr>
          <w:rFonts w:cs="Arial"/>
          <w:i/>
        </w:rPr>
      </w:pPr>
      <w:r w:rsidRPr="00C342E0">
        <w:rPr>
          <w:rFonts w:cs="Arial"/>
          <w:b/>
        </w:rPr>
        <w:t>[40]</w:t>
      </w:r>
      <w:r w:rsidRPr="00C342E0">
        <w:rPr>
          <w:rFonts w:cs="Arial"/>
        </w:rPr>
        <w:tab/>
      </w:r>
      <w:r w:rsidRPr="00C342E0">
        <w:rPr>
          <w:rFonts w:cs="Arial"/>
          <w:b/>
          <w:i/>
        </w:rPr>
        <w:t xml:space="preserve">Standard 2.7.3 </w:t>
      </w:r>
      <w:r w:rsidRPr="00C342E0">
        <w:rPr>
          <w:rFonts w:cs="Arial"/>
          <w:i/>
        </w:rPr>
        <w:t xml:space="preserve">of the Australia New Zealand Food Standards Code is varied by – </w:t>
      </w:r>
    </w:p>
    <w:p w:rsidR="00E64CEF" w:rsidRPr="00C342E0" w:rsidRDefault="00E64CEF" w:rsidP="00E64CEF">
      <w:pPr>
        <w:rPr>
          <w:rFonts w:cs="Arial"/>
          <w:sz w:val="20"/>
          <w:szCs w:val="20"/>
        </w:rPr>
      </w:pPr>
    </w:p>
    <w:p w:rsidR="00E64CEF" w:rsidRPr="00C342E0" w:rsidRDefault="00E64CEF" w:rsidP="00E64CEF">
      <w:pPr>
        <w:pStyle w:val="Clause"/>
        <w:rPr>
          <w:rFonts w:cs="Arial"/>
          <w:i/>
        </w:rPr>
      </w:pPr>
      <w:r w:rsidRPr="00C342E0">
        <w:rPr>
          <w:rFonts w:cs="Arial"/>
        </w:rPr>
        <w:t>[40.1]</w:t>
      </w:r>
      <w:r w:rsidRPr="00C342E0">
        <w:rPr>
          <w:rFonts w:cs="Arial"/>
        </w:rPr>
        <w:tab/>
      </w:r>
      <w:r w:rsidRPr="00C342E0">
        <w:rPr>
          <w:rFonts w:cs="Arial"/>
          <w:i/>
        </w:rPr>
        <w:t xml:space="preserve">omitting the </w:t>
      </w:r>
      <w:r w:rsidRPr="00C342E0">
        <w:rPr>
          <w:rFonts w:cs="Arial"/>
        </w:rPr>
        <w:t xml:space="preserve">Purpose, </w:t>
      </w:r>
      <w:r w:rsidRPr="00C342E0">
        <w:rPr>
          <w:rFonts w:cs="Arial"/>
          <w:i/>
        </w:rPr>
        <w:t xml:space="preserve">substituting – </w:t>
      </w:r>
    </w:p>
    <w:p w:rsidR="00E64CEF" w:rsidRPr="00C342E0" w:rsidRDefault="00E64CEF" w:rsidP="00E64CEF">
      <w:pPr>
        <w:rPr>
          <w:rFonts w:cs="Arial"/>
          <w:sz w:val="20"/>
          <w:szCs w:val="20"/>
        </w:rPr>
      </w:pPr>
    </w:p>
    <w:p w:rsidR="00E64CEF" w:rsidRPr="00C342E0" w:rsidRDefault="00E64CEF" w:rsidP="00E64CEF">
      <w:pPr>
        <w:pStyle w:val="Clause"/>
        <w:rPr>
          <w:rFonts w:cs="Arial"/>
          <w:b/>
          <w:bCs/>
        </w:rPr>
      </w:pPr>
      <w:r w:rsidRPr="00C342E0">
        <w:rPr>
          <w:rFonts w:cs="Arial"/>
          <w:b/>
          <w:bCs/>
        </w:rPr>
        <w:t>Purpose</w:t>
      </w:r>
    </w:p>
    <w:p w:rsidR="00E64CEF" w:rsidRPr="00C342E0" w:rsidRDefault="00E64CEF" w:rsidP="00E64CEF">
      <w:pPr>
        <w:rPr>
          <w:rFonts w:cs="Arial"/>
          <w:sz w:val="20"/>
          <w:szCs w:val="20"/>
        </w:rPr>
      </w:pPr>
    </w:p>
    <w:p w:rsidR="00E64CEF" w:rsidRPr="00C342E0" w:rsidRDefault="00E64CEF" w:rsidP="00E64CEF">
      <w:pPr>
        <w:pStyle w:val="Clause"/>
        <w:rPr>
          <w:rFonts w:cs="Arial"/>
        </w:rPr>
      </w:pPr>
      <w:r w:rsidRPr="00C342E0">
        <w:rPr>
          <w:rFonts w:cs="Arial"/>
        </w:rPr>
        <w:t>This Standard defines the composition of fruit wine, vegetable wine, fruit wine product, vegetable wine product, mead, cider and perry.</w:t>
      </w:r>
    </w:p>
    <w:p w:rsidR="00E64CEF" w:rsidRPr="00C342E0" w:rsidRDefault="00E64CEF" w:rsidP="00E64CEF">
      <w:pPr>
        <w:pStyle w:val="Clause"/>
        <w:rPr>
          <w:rFonts w:cs="Arial"/>
        </w:rPr>
      </w:pPr>
    </w:p>
    <w:p w:rsidR="00E64CEF" w:rsidRPr="00C342E0" w:rsidRDefault="00E64CEF" w:rsidP="00E64CEF">
      <w:pPr>
        <w:pStyle w:val="Clause"/>
        <w:rPr>
          <w:rFonts w:cs="Arial"/>
          <w:i/>
        </w:rPr>
      </w:pPr>
      <w:r w:rsidRPr="00C342E0">
        <w:rPr>
          <w:rFonts w:cs="Arial"/>
        </w:rPr>
        <w:t>[40.2]</w:t>
      </w:r>
      <w:r w:rsidRPr="00C342E0">
        <w:rPr>
          <w:rFonts w:cs="Arial"/>
        </w:rPr>
        <w:tab/>
      </w:r>
      <w:r w:rsidRPr="00C342E0">
        <w:rPr>
          <w:rFonts w:cs="Arial"/>
          <w:i/>
        </w:rPr>
        <w:t xml:space="preserve">omitting from clause 1 – </w:t>
      </w:r>
    </w:p>
    <w:p w:rsidR="00E64CEF" w:rsidRPr="00C342E0" w:rsidRDefault="00E64CEF" w:rsidP="00E64CEF">
      <w:pPr>
        <w:pStyle w:val="Clause"/>
        <w:rPr>
          <w:rFonts w:cs="Arial"/>
          <w:i/>
        </w:rPr>
      </w:pPr>
    </w:p>
    <w:p w:rsidR="00E64CEF" w:rsidRPr="00C342E0" w:rsidRDefault="00E64CEF" w:rsidP="00E64CEF">
      <w:pPr>
        <w:pStyle w:val="Clause"/>
        <w:rPr>
          <w:rFonts w:cs="Arial"/>
        </w:rPr>
      </w:pPr>
      <w:r w:rsidRPr="00C342E0">
        <w:rPr>
          <w:rFonts w:cs="Arial"/>
        </w:rPr>
        <w:t xml:space="preserve">In this Standard – </w:t>
      </w:r>
    </w:p>
    <w:p w:rsidR="00E64CEF" w:rsidRPr="00C342E0" w:rsidRDefault="00E64CEF" w:rsidP="00E64CEF">
      <w:pPr>
        <w:rPr>
          <w:rFonts w:cs="Arial"/>
          <w:sz w:val="20"/>
          <w:szCs w:val="20"/>
        </w:rPr>
      </w:pPr>
    </w:p>
    <w:p w:rsidR="00E64CEF" w:rsidRPr="00C342E0" w:rsidRDefault="00E64CEF" w:rsidP="00E64CEF">
      <w:pPr>
        <w:pStyle w:val="Clause"/>
        <w:rPr>
          <w:rFonts w:cs="Arial"/>
          <w:i/>
        </w:rPr>
      </w:pPr>
      <w:r w:rsidRPr="00C342E0">
        <w:rPr>
          <w:rFonts w:cs="Arial"/>
          <w:i/>
        </w:rPr>
        <w:t xml:space="preserve">substituting – </w:t>
      </w:r>
    </w:p>
    <w:p w:rsidR="00E64CEF" w:rsidRPr="00C342E0" w:rsidRDefault="00E64CEF" w:rsidP="00E64CEF">
      <w:pPr>
        <w:rPr>
          <w:rFonts w:cs="Arial"/>
          <w:sz w:val="20"/>
          <w:szCs w:val="20"/>
        </w:rPr>
      </w:pPr>
    </w:p>
    <w:p w:rsidR="00E64CEF" w:rsidRPr="00C342E0" w:rsidRDefault="00E64CEF" w:rsidP="00E64CEF">
      <w:pPr>
        <w:pStyle w:val="Subclause"/>
        <w:rPr>
          <w:rFonts w:cs="Arial"/>
        </w:rPr>
      </w:pPr>
      <w:r w:rsidRPr="00C342E0">
        <w:rPr>
          <w:rFonts w:cs="Arial"/>
        </w:rPr>
        <w:t>(1)</w:t>
      </w:r>
      <w:r w:rsidRPr="00C342E0">
        <w:rPr>
          <w:rFonts w:cs="Arial"/>
        </w:rPr>
        <w:tab/>
        <w:t xml:space="preserve">In this Standard – </w:t>
      </w:r>
    </w:p>
    <w:p w:rsidR="00E64CEF" w:rsidRPr="00C342E0" w:rsidRDefault="00E64CEF" w:rsidP="00E64CEF">
      <w:pPr>
        <w:pStyle w:val="Subclause"/>
        <w:rPr>
          <w:rFonts w:cs="Arial"/>
        </w:rPr>
      </w:pPr>
    </w:p>
    <w:p w:rsidR="00E64CEF" w:rsidRPr="00C342E0" w:rsidRDefault="00E64CEF" w:rsidP="00E64CEF">
      <w:pPr>
        <w:pStyle w:val="Clause"/>
        <w:rPr>
          <w:rFonts w:cs="Arial"/>
          <w:b/>
        </w:rPr>
      </w:pPr>
      <w:r w:rsidRPr="00C342E0">
        <w:rPr>
          <w:rFonts w:cs="Arial"/>
        </w:rPr>
        <w:t>[40.3]</w:t>
      </w:r>
      <w:r w:rsidRPr="00C342E0">
        <w:rPr>
          <w:rFonts w:cs="Arial"/>
        </w:rPr>
        <w:tab/>
      </w:r>
      <w:r w:rsidRPr="00C342E0">
        <w:rPr>
          <w:rFonts w:cs="Arial"/>
          <w:i/>
        </w:rPr>
        <w:t xml:space="preserve">omitting the definitions for </w:t>
      </w:r>
      <w:r w:rsidRPr="00C342E0">
        <w:rPr>
          <w:rFonts w:cs="Arial"/>
          <w:b/>
        </w:rPr>
        <w:t xml:space="preserve">fruit wine and/or vegetable wine </w:t>
      </w:r>
      <w:r w:rsidRPr="00C342E0">
        <w:rPr>
          <w:rFonts w:cs="Arial"/>
          <w:i/>
        </w:rPr>
        <w:t xml:space="preserve">and </w:t>
      </w:r>
      <w:r w:rsidRPr="00C342E0">
        <w:rPr>
          <w:rFonts w:cs="Arial"/>
          <w:b/>
        </w:rPr>
        <w:t>fruit wine and/or vegetable wine product</w:t>
      </w:r>
    </w:p>
    <w:p w:rsidR="00E64CEF" w:rsidRPr="00C342E0" w:rsidRDefault="00E64CEF" w:rsidP="00E64CEF">
      <w:pPr>
        <w:rPr>
          <w:rFonts w:cs="Arial"/>
          <w:sz w:val="20"/>
          <w:szCs w:val="20"/>
        </w:rPr>
      </w:pPr>
    </w:p>
    <w:p w:rsidR="00E64CEF" w:rsidRPr="00C342E0" w:rsidRDefault="00E64CEF" w:rsidP="00E64CEF">
      <w:pPr>
        <w:pStyle w:val="Clause"/>
        <w:rPr>
          <w:rFonts w:cs="Arial"/>
          <w:b/>
        </w:rPr>
      </w:pPr>
      <w:r w:rsidRPr="00C342E0">
        <w:rPr>
          <w:rFonts w:cs="Arial"/>
        </w:rPr>
        <w:t>[40.4]</w:t>
      </w:r>
      <w:r w:rsidRPr="00C342E0">
        <w:rPr>
          <w:rFonts w:cs="Arial"/>
        </w:rPr>
        <w:tab/>
      </w:r>
      <w:r w:rsidRPr="00C342E0">
        <w:rPr>
          <w:rFonts w:cs="Arial"/>
          <w:i/>
        </w:rPr>
        <w:t xml:space="preserve">inserting in clause 1, following the definition of </w:t>
      </w:r>
      <w:r w:rsidRPr="00C342E0">
        <w:rPr>
          <w:rFonts w:cs="Arial"/>
          <w:b/>
        </w:rPr>
        <w:t xml:space="preserve">perry – </w:t>
      </w:r>
    </w:p>
    <w:p w:rsidR="00E64CEF" w:rsidRPr="00C342E0" w:rsidRDefault="00E64CEF" w:rsidP="00E64CEF">
      <w:pPr>
        <w:rPr>
          <w:rFonts w:cs="Arial"/>
          <w:sz w:val="20"/>
          <w:szCs w:val="20"/>
        </w:rPr>
      </w:pPr>
    </w:p>
    <w:p w:rsidR="00E64CEF" w:rsidRPr="00C342E0" w:rsidRDefault="00E64CEF" w:rsidP="00E64CEF">
      <w:pPr>
        <w:pStyle w:val="Subclause"/>
        <w:rPr>
          <w:rFonts w:cs="Arial"/>
        </w:rPr>
      </w:pPr>
      <w:r w:rsidRPr="00C342E0">
        <w:rPr>
          <w:rFonts w:cs="Arial"/>
        </w:rPr>
        <w:t>(2)</w:t>
      </w:r>
      <w:r w:rsidRPr="00C342E0">
        <w:rPr>
          <w:rFonts w:cs="Arial"/>
        </w:rPr>
        <w:tab/>
        <w:t>Any reference to fruit wine or vegetable wine in the Code refers to a product prepared from the complete or partial fermentation of fruit, vegetable, grains, cereals or any combination or preparation of those foods, other than that produced solely from grapes.</w:t>
      </w:r>
    </w:p>
    <w:p w:rsidR="00E64CEF" w:rsidRPr="00C342E0" w:rsidRDefault="00E64CEF" w:rsidP="00E64CEF">
      <w:pPr>
        <w:pStyle w:val="Subclause"/>
        <w:rPr>
          <w:rFonts w:cs="Arial"/>
        </w:rPr>
      </w:pPr>
    </w:p>
    <w:p w:rsidR="00E64CEF" w:rsidRPr="00C342E0" w:rsidRDefault="00E64CEF" w:rsidP="00E64CEF">
      <w:pPr>
        <w:pStyle w:val="Subclause"/>
        <w:rPr>
          <w:rFonts w:cs="Arial"/>
        </w:rPr>
      </w:pPr>
      <w:r w:rsidRPr="00C342E0">
        <w:rPr>
          <w:rFonts w:cs="Arial"/>
        </w:rPr>
        <w:t>(3)</w:t>
      </w:r>
      <w:r w:rsidRPr="00C342E0">
        <w:rPr>
          <w:rFonts w:cs="Arial"/>
        </w:rPr>
        <w:tab/>
        <w:t>Any reference to fruit wine product or vegetable wine product in the Code refers to a food containing no less than 700 mL/L of fruit wine, or vegetable wine, or both fruit and vegetable wine, which has been formulated, processed, modified or mixed with other foods such that it is not a fruit wine or vegetable wine.</w:t>
      </w:r>
    </w:p>
    <w:p w:rsidR="00E64CEF" w:rsidRPr="00C342E0" w:rsidRDefault="00E64CEF" w:rsidP="00E64CEF">
      <w:pPr>
        <w:rPr>
          <w:rFonts w:cs="Arial"/>
          <w:sz w:val="20"/>
          <w:szCs w:val="20"/>
        </w:rPr>
      </w:pPr>
    </w:p>
    <w:p w:rsidR="00E64CEF" w:rsidRPr="00C342E0" w:rsidRDefault="00E64CEF" w:rsidP="00E64CEF">
      <w:pPr>
        <w:pStyle w:val="Subclause"/>
        <w:rPr>
          <w:rFonts w:cs="Arial"/>
        </w:rPr>
      </w:pPr>
      <w:r w:rsidRPr="00C342E0">
        <w:rPr>
          <w:rFonts w:cs="Arial"/>
        </w:rPr>
        <w:t>[40.5]</w:t>
      </w:r>
      <w:r w:rsidRPr="00C342E0">
        <w:rPr>
          <w:rFonts w:cs="Arial"/>
        </w:rPr>
        <w:tab/>
      </w:r>
      <w:r w:rsidRPr="00C342E0">
        <w:rPr>
          <w:rFonts w:cs="Arial"/>
          <w:i/>
        </w:rPr>
        <w:t>omitting clause 2, substituting</w:t>
      </w:r>
      <w:r w:rsidRPr="00C342E0">
        <w:rPr>
          <w:rFonts w:cs="Arial"/>
        </w:rPr>
        <w:t xml:space="preserve"> – </w:t>
      </w:r>
    </w:p>
    <w:p w:rsidR="00E64CEF" w:rsidRPr="00C342E0" w:rsidRDefault="00E64CEF" w:rsidP="00E64CEF">
      <w:pPr>
        <w:rPr>
          <w:rFonts w:cs="Arial"/>
          <w:i/>
          <w:sz w:val="20"/>
          <w:szCs w:val="20"/>
        </w:rPr>
      </w:pPr>
    </w:p>
    <w:p w:rsidR="00E64CEF" w:rsidRPr="00C342E0" w:rsidRDefault="00E64CEF" w:rsidP="00E64CEF">
      <w:pPr>
        <w:pStyle w:val="Clause"/>
        <w:rPr>
          <w:rFonts w:cs="Arial"/>
          <w:b/>
        </w:rPr>
      </w:pPr>
      <w:r w:rsidRPr="00C342E0">
        <w:rPr>
          <w:rFonts w:cs="Arial"/>
          <w:b/>
        </w:rPr>
        <w:t>2</w:t>
      </w:r>
      <w:r w:rsidRPr="00C342E0">
        <w:rPr>
          <w:rFonts w:cs="Arial"/>
          <w:b/>
        </w:rPr>
        <w:tab/>
        <w:t>Permitted ingredients</w:t>
      </w:r>
    </w:p>
    <w:p w:rsidR="00E64CEF" w:rsidRPr="00C342E0" w:rsidRDefault="00E64CEF" w:rsidP="00E64CEF">
      <w:pPr>
        <w:rPr>
          <w:rFonts w:cs="Arial"/>
          <w:sz w:val="20"/>
          <w:szCs w:val="20"/>
        </w:rPr>
      </w:pPr>
    </w:p>
    <w:p w:rsidR="00E64CEF" w:rsidRPr="00C342E0" w:rsidRDefault="00E64CEF" w:rsidP="00E64CEF">
      <w:pPr>
        <w:pStyle w:val="Clause"/>
        <w:rPr>
          <w:rFonts w:cs="Arial"/>
        </w:rPr>
      </w:pPr>
      <w:r w:rsidRPr="00C342E0">
        <w:rPr>
          <w:rFonts w:cs="Arial"/>
        </w:rPr>
        <w:t xml:space="preserve">Fruit wine, vegetable wine and mead may contain the following ingredients– </w:t>
      </w:r>
    </w:p>
    <w:p w:rsidR="00E64CEF" w:rsidRPr="00C342E0" w:rsidRDefault="00E64CEF" w:rsidP="00E64CEF">
      <w:pPr>
        <w:rPr>
          <w:rFonts w:cs="Arial"/>
          <w:sz w:val="20"/>
          <w:szCs w:val="20"/>
        </w:rPr>
      </w:pPr>
    </w:p>
    <w:p w:rsidR="00E64CEF" w:rsidRPr="00C342E0" w:rsidRDefault="00E64CEF" w:rsidP="00E64CEF">
      <w:pPr>
        <w:pStyle w:val="Paragraph"/>
        <w:rPr>
          <w:rFonts w:cs="Arial"/>
        </w:rPr>
      </w:pPr>
      <w:r w:rsidRPr="00C342E0">
        <w:rPr>
          <w:rFonts w:cs="Arial"/>
        </w:rPr>
        <w:t>(a)</w:t>
      </w:r>
      <w:r w:rsidRPr="00C342E0">
        <w:rPr>
          <w:rFonts w:cs="Arial"/>
        </w:rPr>
        <w:tab/>
        <w:t>fruit juice and fruit juice products; and</w:t>
      </w:r>
    </w:p>
    <w:p w:rsidR="00E64CEF" w:rsidRPr="00C342E0" w:rsidRDefault="00E64CEF" w:rsidP="00E64CEF">
      <w:pPr>
        <w:pStyle w:val="Paragraph"/>
        <w:rPr>
          <w:rFonts w:cs="Arial"/>
        </w:rPr>
      </w:pPr>
      <w:r w:rsidRPr="00C342E0">
        <w:rPr>
          <w:rFonts w:cs="Arial"/>
        </w:rPr>
        <w:t>(b)</w:t>
      </w:r>
      <w:r w:rsidRPr="00C342E0">
        <w:rPr>
          <w:rFonts w:cs="Arial"/>
        </w:rPr>
        <w:tab/>
        <w:t>vegetable juice and vegetable juice products; and</w:t>
      </w:r>
    </w:p>
    <w:p w:rsidR="00E64CEF" w:rsidRPr="00C342E0" w:rsidRDefault="00E64CEF" w:rsidP="00E64CEF">
      <w:pPr>
        <w:pStyle w:val="Paragraph"/>
        <w:rPr>
          <w:rFonts w:cs="Arial"/>
        </w:rPr>
      </w:pPr>
      <w:r w:rsidRPr="00C342E0">
        <w:rPr>
          <w:rFonts w:cs="Arial"/>
        </w:rPr>
        <w:t>(c)</w:t>
      </w:r>
      <w:r w:rsidRPr="00C342E0">
        <w:rPr>
          <w:rFonts w:cs="Arial"/>
        </w:rPr>
        <w:tab/>
        <w:t>sugars; and</w:t>
      </w:r>
    </w:p>
    <w:p w:rsidR="00C342E0" w:rsidRDefault="00E64CEF" w:rsidP="00E64CEF">
      <w:pPr>
        <w:pStyle w:val="Paragraph"/>
        <w:rPr>
          <w:rFonts w:cs="Arial"/>
        </w:rPr>
      </w:pPr>
      <w:r w:rsidRPr="00C342E0">
        <w:rPr>
          <w:rFonts w:cs="Arial"/>
        </w:rPr>
        <w:t>(d)</w:t>
      </w:r>
      <w:r w:rsidRPr="00C342E0">
        <w:rPr>
          <w:rFonts w:cs="Arial"/>
        </w:rPr>
        <w:tab/>
        <w:t>honey; and</w:t>
      </w:r>
      <w:r w:rsidR="00C342E0">
        <w:rPr>
          <w:rFonts w:cs="Arial"/>
        </w:rPr>
        <w:br w:type="page"/>
      </w:r>
    </w:p>
    <w:p w:rsidR="00E64CEF" w:rsidRPr="00C342E0" w:rsidRDefault="00E64CEF" w:rsidP="00E64CEF">
      <w:pPr>
        <w:pStyle w:val="Paragraph"/>
        <w:rPr>
          <w:rFonts w:cs="Arial"/>
        </w:rPr>
      </w:pPr>
      <w:r w:rsidRPr="00C342E0">
        <w:rPr>
          <w:rFonts w:cs="Arial"/>
        </w:rPr>
        <w:lastRenderedPageBreak/>
        <w:t>(e)</w:t>
      </w:r>
      <w:r w:rsidRPr="00C342E0">
        <w:rPr>
          <w:rFonts w:cs="Arial"/>
        </w:rPr>
        <w:tab/>
        <w:t>spices; and</w:t>
      </w:r>
    </w:p>
    <w:p w:rsidR="00E64CEF" w:rsidRPr="00C342E0" w:rsidRDefault="00E64CEF" w:rsidP="00E64CEF">
      <w:pPr>
        <w:pStyle w:val="Paragraph"/>
        <w:rPr>
          <w:rFonts w:cs="Arial"/>
        </w:rPr>
      </w:pPr>
      <w:r w:rsidRPr="00C342E0">
        <w:rPr>
          <w:rFonts w:cs="Arial"/>
        </w:rPr>
        <w:t>(f)</w:t>
      </w:r>
      <w:r w:rsidRPr="00C342E0">
        <w:rPr>
          <w:rFonts w:cs="Arial"/>
        </w:rPr>
        <w:tab/>
        <w:t>alcohol; and</w:t>
      </w:r>
    </w:p>
    <w:p w:rsidR="00E64CEF" w:rsidRPr="00C342E0" w:rsidRDefault="00E64CEF" w:rsidP="00E64CEF">
      <w:pPr>
        <w:pStyle w:val="Paragraph"/>
        <w:rPr>
          <w:rFonts w:cs="Arial"/>
        </w:rPr>
      </w:pPr>
      <w:r w:rsidRPr="00C342E0">
        <w:rPr>
          <w:rFonts w:cs="Arial"/>
        </w:rPr>
        <w:t>(g)</w:t>
      </w:r>
      <w:r w:rsidRPr="00C342E0">
        <w:rPr>
          <w:rFonts w:cs="Arial"/>
        </w:rPr>
        <w:tab/>
        <w:t>water.</w:t>
      </w:r>
    </w:p>
    <w:p w:rsidR="00E64CEF" w:rsidRPr="00C342E0" w:rsidRDefault="00E64CEF" w:rsidP="00E64CEF">
      <w:pPr>
        <w:rPr>
          <w:rFonts w:cs="Arial"/>
          <w:sz w:val="20"/>
          <w:szCs w:val="20"/>
        </w:rPr>
      </w:pPr>
    </w:p>
    <w:p w:rsidR="00E64CEF" w:rsidRPr="00C342E0" w:rsidRDefault="00E64CEF" w:rsidP="00E64CEF">
      <w:pPr>
        <w:pStyle w:val="Clause"/>
        <w:rPr>
          <w:rFonts w:cs="Arial"/>
        </w:rPr>
      </w:pPr>
      <w:r w:rsidRPr="00C342E0">
        <w:rPr>
          <w:rFonts w:cs="Arial"/>
          <w:b/>
        </w:rPr>
        <w:t>[41]</w:t>
      </w:r>
      <w:r w:rsidRPr="00C342E0">
        <w:rPr>
          <w:rFonts w:cs="Arial"/>
          <w:b/>
        </w:rPr>
        <w:tab/>
      </w:r>
      <w:r w:rsidRPr="00C342E0">
        <w:rPr>
          <w:rFonts w:cs="Arial"/>
          <w:b/>
          <w:i/>
        </w:rPr>
        <w:t>Standard 2.7.4</w:t>
      </w:r>
      <w:r w:rsidRPr="00C342E0">
        <w:rPr>
          <w:rFonts w:cs="Arial"/>
          <w:b/>
        </w:rPr>
        <w:t xml:space="preserve"> </w:t>
      </w:r>
      <w:r w:rsidRPr="00C342E0">
        <w:rPr>
          <w:rFonts w:cs="Arial"/>
          <w:i/>
        </w:rPr>
        <w:t>of the Australia New Zealand Food Standards Code is varied by omitting the</w:t>
      </w:r>
      <w:r w:rsidRPr="00C342E0">
        <w:rPr>
          <w:rFonts w:cs="Arial"/>
        </w:rPr>
        <w:t xml:space="preserve"> Purpose, </w:t>
      </w:r>
      <w:r w:rsidRPr="00C342E0">
        <w:rPr>
          <w:rFonts w:cs="Arial"/>
          <w:i/>
        </w:rPr>
        <w:t>substituting</w:t>
      </w:r>
      <w:r w:rsidRPr="00C342E0">
        <w:rPr>
          <w:rFonts w:cs="Arial"/>
        </w:rPr>
        <w:t xml:space="preserve"> – </w:t>
      </w:r>
    </w:p>
    <w:p w:rsidR="00E64CEF" w:rsidRPr="00C342E0" w:rsidRDefault="00E64CEF" w:rsidP="00E64CEF">
      <w:pPr>
        <w:rPr>
          <w:rFonts w:cs="Arial"/>
          <w:sz w:val="20"/>
          <w:szCs w:val="20"/>
        </w:rPr>
      </w:pPr>
    </w:p>
    <w:p w:rsidR="00E64CEF" w:rsidRPr="00C342E0" w:rsidRDefault="00E64CEF" w:rsidP="00E64CEF">
      <w:pPr>
        <w:pStyle w:val="Clauseheading"/>
        <w:rPr>
          <w:rFonts w:cs="Arial"/>
        </w:rPr>
      </w:pPr>
      <w:r w:rsidRPr="00C342E0">
        <w:rPr>
          <w:rFonts w:cs="Arial"/>
        </w:rPr>
        <w:t>Purpose</w:t>
      </w:r>
    </w:p>
    <w:p w:rsidR="00E64CEF" w:rsidRPr="00C342E0" w:rsidRDefault="00E64CEF" w:rsidP="00E64CEF">
      <w:pPr>
        <w:ind w:left="851" w:hanging="851"/>
        <w:rPr>
          <w:rFonts w:cs="Arial"/>
          <w:b/>
          <w:iCs/>
          <w:sz w:val="20"/>
          <w:szCs w:val="20"/>
        </w:rPr>
      </w:pPr>
    </w:p>
    <w:p w:rsidR="00E64CEF" w:rsidRPr="00C342E0" w:rsidRDefault="00E64CEF" w:rsidP="00E64CEF">
      <w:pPr>
        <w:pStyle w:val="Clause"/>
        <w:rPr>
          <w:rFonts w:cs="Arial"/>
        </w:rPr>
      </w:pPr>
      <w:r w:rsidRPr="00C342E0">
        <w:rPr>
          <w:rFonts w:cs="Arial"/>
        </w:rPr>
        <w:t>This Standard sets general definitions for wine and wine product and provides permissions for the addition of certain foods during the production of wine.</w:t>
      </w:r>
    </w:p>
    <w:p w:rsidR="00E64CEF" w:rsidRPr="00C342E0" w:rsidRDefault="00E64CEF" w:rsidP="00E64CEF">
      <w:pPr>
        <w:rPr>
          <w:rFonts w:cs="Arial"/>
          <w:sz w:val="20"/>
          <w:szCs w:val="20"/>
        </w:rPr>
      </w:pPr>
    </w:p>
    <w:p w:rsidR="00E64CEF" w:rsidRPr="00C342E0" w:rsidRDefault="00E64CEF" w:rsidP="009D2A44">
      <w:pPr>
        <w:pStyle w:val="Clause"/>
        <w:rPr>
          <w:rFonts w:cs="Arial"/>
        </w:rPr>
      </w:pPr>
      <w:r w:rsidRPr="00C342E0">
        <w:rPr>
          <w:rFonts w:cs="Arial"/>
        </w:rPr>
        <w:t>[41.1]</w:t>
      </w:r>
      <w:r w:rsidRPr="00C342E0">
        <w:rPr>
          <w:rFonts w:cs="Arial"/>
        </w:rPr>
        <w:tab/>
      </w:r>
      <w:r w:rsidRPr="00C342E0">
        <w:rPr>
          <w:rFonts w:cs="Arial"/>
          <w:i/>
        </w:rPr>
        <w:t>omitting clause 2, substituting</w:t>
      </w:r>
      <w:r w:rsidRPr="00C342E0">
        <w:rPr>
          <w:rFonts w:cs="Arial"/>
        </w:rPr>
        <w:t xml:space="preserve"> – </w:t>
      </w:r>
    </w:p>
    <w:p w:rsidR="00E64CEF" w:rsidRPr="00C342E0" w:rsidRDefault="00E64CEF" w:rsidP="00E64CEF">
      <w:pPr>
        <w:rPr>
          <w:rFonts w:cs="Arial"/>
          <w:i/>
          <w:sz w:val="20"/>
          <w:szCs w:val="20"/>
        </w:rPr>
      </w:pPr>
    </w:p>
    <w:p w:rsidR="00E64CEF" w:rsidRPr="00C342E0" w:rsidRDefault="00E64CEF" w:rsidP="00E64CEF">
      <w:pPr>
        <w:pStyle w:val="Clause"/>
        <w:rPr>
          <w:rFonts w:cs="Arial"/>
          <w:b/>
        </w:rPr>
      </w:pPr>
      <w:r w:rsidRPr="00C342E0">
        <w:rPr>
          <w:rFonts w:cs="Arial"/>
          <w:b/>
        </w:rPr>
        <w:t>2</w:t>
      </w:r>
      <w:r w:rsidRPr="00C342E0">
        <w:rPr>
          <w:rFonts w:cs="Arial"/>
          <w:b/>
        </w:rPr>
        <w:tab/>
        <w:t xml:space="preserve">Permitted addition of other foods to wine during production – </w:t>
      </w:r>
    </w:p>
    <w:p w:rsidR="00E64CEF" w:rsidRPr="00C342E0" w:rsidRDefault="00E64CEF" w:rsidP="00E64CEF">
      <w:pPr>
        <w:rPr>
          <w:rFonts w:cs="Arial"/>
          <w:sz w:val="20"/>
          <w:szCs w:val="20"/>
        </w:rPr>
      </w:pPr>
    </w:p>
    <w:p w:rsidR="00C342E0" w:rsidRDefault="00E64CEF" w:rsidP="00E64CEF">
      <w:pPr>
        <w:pStyle w:val="Clause"/>
      </w:pPr>
      <w:r w:rsidRPr="00C342E0">
        <w:rPr>
          <w:rFonts w:cs="Arial"/>
        </w:rPr>
        <w:t>The following foods may be added to wine during production –</w:t>
      </w:r>
      <w:r>
        <w:t xml:space="preserve"> </w:t>
      </w:r>
    </w:p>
    <w:p w:rsidR="009D2A44" w:rsidRDefault="009D2A44" w:rsidP="00E64CEF">
      <w:pPr>
        <w:pStyle w:val="Clause"/>
      </w:pPr>
    </w:p>
    <w:p w:rsidR="00E64CEF" w:rsidRDefault="00E64CEF" w:rsidP="00E64CEF">
      <w:pPr>
        <w:pStyle w:val="Paragraph"/>
      </w:pPr>
      <w:r>
        <w:t>(a)</w:t>
      </w:r>
      <w:r>
        <w:tab/>
        <w:t>grape juice and grape juice products; and</w:t>
      </w:r>
    </w:p>
    <w:p w:rsidR="00E64CEF" w:rsidRDefault="00E64CEF" w:rsidP="00E64CEF">
      <w:pPr>
        <w:pStyle w:val="Paragraph"/>
      </w:pPr>
      <w:r>
        <w:t>(b)</w:t>
      </w:r>
      <w:r>
        <w:tab/>
      </w:r>
      <w:r w:rsidRPr="003E485D">
        <w:t>sugars</w:t>
      </w:r>
      <w:r>
        <w:t>; and</w:t>
      </w:r>
    </w:p>
    <w:p w:rsidR="00E64CEF" w:rsidRDefault="00E64CEF" w:rsidP="00E64CEF">
      <w:pPr>
        <w:pStyle w:val="Paragraph"/>
      </w:pPr>
      <w:r>
        <w:t>(c)</w:t>
      </w:r>
      <w:r>
        <w:tab/>
        <w:t>brandy or other spirit; and</w:t>
      </w:r>
    </w:p>
    <w:p w:rsidR="00E64CEF" w:rsidRPr="000F4D53" w:rsidRDefault="00E64CEF" w:rsidP="00E64CEF">
      <w:pPr>
        <w:pStyle w:val="Paragraph"/>
      </w:pPr>
      <w:r>
        <w:t>(d)</w:t>
      </w:r>
      <w:r>
        <w:tab/>
        <w:t>water, where the water is necessary to incorporate any permitted food additive or processing aid.</w:t>
      </w:r>
    </w:p>
    <w:p w:rsidR="00E64CEF" w:rsidRPr="00C342E0" w:rsidRDefault="00E64CEF" w:rsidP="00E64CEF">
      <w:pPr>
        <w:pStyle w:val="Clause"/>
        <w:rPr>
          <w:b/>
        </w:rPr>
      </w:pPr>
    </w:p>
    <w:p w:rsidR="00E64CEF" w:rsidRPr="00C342E0" w:rsidRDefault="00E64CEF" w:rsidP="00E64CEF">
      <w:pPr>
        <w:pStyle w:val="Clause"/>
        <w:rPr>
          <w:i/>
        </w:rPr>
      </w:pPr>
      <w:r w:rsidRPr="00C342E0">
        <w:rPr>
          <w:b/>
        </w:rPr>
        <w:t>[42]</w:t>
      </w:r>
      <w:r w:rsidRPr="00C342E0">
        <w:rPr>
          <w:b/>
        </w:rPr>
        <w:tab/>
      </w:r>
      <w:r w:rsidRPr="00C342E0">
        <w:rPr>
          <w:b/>
          <w:i/>
        </w:rPr>
        <w:t xml:space="preserve">Standard 2.7.5 </w:t>
      </w:r>
      <w:r w:rsidRPr="00C342E0">
        <w:rPr>
          <w:i/>
        </w:rPr>
        <w:t xml:space="preserve">of the Australia New Zealand Food Standards Code is varied by – </w:t>
      </w:r>
    </w:p>
    <w:p w:rsidR="00E64CEF" w:rsidRPr="00C342E0" w:rsidRDefault="00E64CEF" w:rsidP="00E64CEF">
      <w:pPr>
        <w:rPr>
          <w:sz w:val="20"/>
          <w:szCs w:val="20"/>
        </w:rPr>
      </w:pPr>
    </w:p>
    <w:p w:rsidR="00E64CEF" w:rsidRPr="00C342E0" w:rsidRDefault="00E64CEF" w:rsidP="009D2A44">
      <w:pPr>
        <w:pStyle w:val="Clause"/>
      </w:pPr>
      <w:r w:rsidRPr="00C342E0">
        <w:t>[42.1]</w:t>
      </w:r>
      <w:r w:rsidRPr="00C342E0">
        <w:tab/>
      </w:r>
      <w:r w:rsidRPr="00C342E0">
        <w:rPr>
          <w:i/>
        </w:rPr>
        <w:t>omitting clauses 2 and 3, substituting</w:t>
      </w:r>
      <w:r w:rsidRPr="00C342E0">
        <w:t xml:space="preserve"> – </w:t>
      </w:r>
    </w:p>
    <w:p w:rsidR="00E64CEF" w:rsidRPr="00C342E0" w:rsidRDefault="00E64CEF" w:rsidP="00E64CEF">
      <w:pPr>
        <w:rPr>
          <w:i/>
          <w:sz w:val="20"/>
          <w:szCs w:val="20"/>
        </w:rPr>
      </w:pPr>
    </w:p>
    <w:p w:rsidR="00E64CEF" w:rsidRPr="00C342E0" w:rsidRDefault="00E64CEF" w:rsidP="00E64CEF">
      <w:pPr>
        <w:pStyle w:val="Clause"/>
        <w:rPr>
          <w:b/>
        </w:rPr>
      </w:pPr>
      <w:r w:rsidRPr="00C342E0">
        <w:rPr>
          <w:b/>
        </w:rPr>
        <w:t>2</w:t>
      </w:r>
      <w:r w:rsidRPr="00C342E0">
        <w:rPr>
          <w:b/>
        </w:rPr>
        <w:tab/>
        <w:t>Permitted ingredients of spirit and brandy</w:t>
      </w:r>
    </w:p>
    <w:p w:rsidR="00E64CEF" w:rsidRPr="00C342E0" w:rsidRDefault="00E64CEF" w:rsidP="00E64CEF">
      <w:pPr>
        <w:pStyle w:val="Clause"/>
      </w:pPr>
    </w:p>
    <w:p w:rsidR="00E64CEF" w:rsidRPr="00C342E0" w:rsidRDefault="00E64CEF" w:rsidP="00E64CEF">
      <w:pPr>
        <w:pStyle w:val="Clause"/>
      </w:pPr>
      <w:r w:rsidRPr="00C342E0">
        <w:t xml:space="preserve">Spirit and brandy may contain the following ingredients – </w:t>
      </w:r>
    </w:p>
    <w:p w:rsidR="00E64CEF" w:rsidRPr="00C342E0" w:rsidRDefault="00E64CEF" w:rsidP="00E64CEF">
      <w:pPr>
        <w:rPr>
          <w:sz w:val="20"/>
          <w:szCs w:val="20"/>
        </w:rPr>
      </w:pPr>
    </w:p>
    <w:p w:rsidR="00E64CEF" w:rsidRPr="00C342E0" w:rsidRDefault="00E64CEF" w:rsidP="00E64CEF">
      <w:pPr>
        <w:pStyle w:val="Paragraph"/>
      </w:pPr>
      <w:r w:rsidRPr="00C342E0">
        <w:t>(a)</w:t>
      </w:r>
      <w:r w:rsidRPr="00C342E0">
        <w:tab/>
        <w:t>water; and</w:t>
      </w:r>
    </w:p>
    <w:p w:rsidR="00E64CEF" w:rsidRPr="00C342E0" w:rsidRDefault="00E64CEF" w:rsidP="00E64CEF">
      <w:pPr>
        <w:pStyle w:val="Paragraph"/>
      </w:pPr>
      <w:r w:rsidRPr="00C342E0">
        <w:t>(b)</w:t>
      </w:r>
      <w:r w:rsidRPr="00C342E0">
        <w:tab/>
        <w:t>sugars; and</w:t>
      </w:r>
    </w:p>
    <w:p w:rsidR="00E64CEF" w:rsidRPr="00C342E0" w:rsidRDefault="00E64CEF" w:rsidP="00E64CEF">
      <w:pPr>
        <w:pStyle w:val="Paragraph"/>
      </w:pPr>
      <w:r w:rsidRPr="00C342E0">
        <w:t>(c)</w:t>
      </w:r>
      <w:r w:rsidRPr="00C342E0">
        <w:tab/>
        <w:t>honey; and</w:t>
      </w:r>
    </w:p>
    <w:p w:rsidR="00E64CEF" w:rsidRPr="00C342E0" w:rsidRDefault="00E64CEF" w:rsidP="00E64CEF">
      <w:pPr>
        <w:pStyle w:val="Paragraph"/>
      </w:pPr>
      <w:r w:rsidRPr="00C342E0">
        <w:t>(d)</w:t>
      </w:r>
      <w:r w:rsidRPr="00C342E0">
        <w:tab/>
        <w:t>spices.</w:t>
      </w:r>
    </w:p>
    <w:p w:rsidR="00E64CEF" w:rsidRPr="00C342E0" w:rsidRDefault="00E64CEF" w:rsidP="00E64CEF">
      <w:pPr>
        <w:rPr>
          <w:sz w:val="20"/>
          <w:szCs w:val="20"/>
        </w:rPr>
      </w:pPr>
    </w:p>
    <w:p w:rsidR="00E64CEF" w:rsidRPr="00C342E0" w:rsidRDefault="00E64CEF" w:rsidP="00E64CEF">
      <w:pPr>
        <w:pStyle w:val="Clause"/>
        <w:rPr>
          <w:b/>
        </w:rPr>
      </w:pPr>
      <w:r w:rsidRPr="00C342E0">
        <w:rPr>
          <w:b/>
        </w:rPr>
        <w:t>3</w:t>
      </w:r>
      <w:r w:rsidRPr="00C342E0">
        <w:rPr>
          <w:b/>
        </w:rPr>
        <w:tab/>
        <w:t>Permitted addition of other foods to brandy during production</w:t>
      </w:r>
    </w:p>
    <w:p w:rsidR="00E64CEF" w:rsidRPr="00C342E0" w:rsidRDefault="00E64CEF" w:rsidP="00E64CEF">
      <w:pPr>
        <w:rPr>
          <w:sz w:val="20"/>
          <w:szCs w:val="20"/>
        </w:rPr>
      </w:pPr>
    </w:p>
    <w:p w:rsidR="00E64CEF" w:rsidRPr="00C342E0" w:rsidRDefault="00E64CEF" w:rsidP="00E64CEF">
      <w:pPr>
        <w:pStyle w:val="Clause"/>
      </w:pPr>
      <w:r w:rsidRPr="00C342E0">
        <w:t xml:space="preserve">The following foods may be added to brandy during production – </w:t>
      </w:r>
    </w:p>
    <w:p w:rsidR="00E64CEF" w:rsidRPr="00C342E0" w:rsidRDefault="00E64CEF" w:rsidP="00E64CEF">
      <w:pPr>
        <w:rPr>
          <w:sz w:val="20"/>
          <w:szCs w:val="20"/>
        </w:rPr>
      </w:pPr>
    </w:p>
    <w:p w:rsidR="00E64CEF" w:rsidRPr="00C342E0" w:rsidRDefault="00E64CEF" w:rsidP="00E64CEF">
      <w:pPr>
        <w:pStyle w:val="Paragraph"/>
      </w:pPr>
      <w:r w:rsidRPr="00C342E0">
        <w:t>(a)</w:t>
      </w:r>
      <w:r w:rsidRPr="00C342E0">
        <w:tab/>
        <w:t>grape juice; and</w:t>
      </w:r>
    </w:p>
    <w:p w:rsidR="00E64CEF" w:rsidRPr="00C342E0" w:rsidRDefault="00E64CEF" w:rsidP="00E64CEF">
      <w:pPr>
        <w:pStyle w:val="Paragraph"/>
      </w:pPr>
      <w:r w:rsidRPr="00C342E0">
        <w:t>(b)</w:t>
      </w:r>
      <w:r w:rsidRPr="00C342E0">
        <w:tab/>
        <w:t>grape juice concentrates; and</w:t>
      </w:r>
    </w:p>
    <w:p w:rsidR="00E64CEF" w:rsidRPr="00C342E0" w:rsidRDefault="00E64CEF" w:rsidP="00E64CEF">
      <w:pPr>
        <w:pStyle w:val="Paragraph"/>
      </w:pPr>
      <w:r w:rsidRPr="00C342E0">
        <w:t>(c)</w:t>
      </w:r>
      <w:r w:rsidRPr="00C342E0">
        <w:tab/>
        <w:t>wine; and</w:t>
      </w:r>
    </w:p>
    <w:p w:rsidR="00E64CEF" w:rsidRPr="00C342E0" w:rsidRDefault="00E64CEF" w:rsidP="00E64CEF">
      <w:pPr>
        <w:pStyle w:val="Paragraph"/>
      </w:pPr>
      <w:r w:rsidRPr="00C342E0">
        <w:t>(d)</w:t>
      </w:r>
      <w:r w:rsidRPr="00C342E0">
        <w:tab/>
        <w:t>prune juice.</w:t>
      </w:r>
    </w:p>
    <w:p w:rsidR="00E64CEF" w:rsidRPr="00C342E0" w:rsidRDefault="00E64CEF" w:rsidP="00E64CEF">
      <w:pPr>
        <w:rPr>
          <w:sz w:val="20"/>
          <w:szCs w:val="20"/>
        </w:rPr>
      </w:pPr>
    </w:p>
    <w:p w:rsidR="00E64CEF" w:rsidRPr="00C342E0" w:rsidRDefault="00E64CEF" w:rsidP="00E64CEF">
      <w:pPr>
        <w:pStyle w:val="Clause"/>
      </w:pPr>
      <w:r w:rsidRPr="00C342E0">
        <w:rPr>
          <w:b/>
        </w:rPr>
        <w:t>[43]</w:t>
      </w:r>
      <w:r w:rsidRPr="00C342E0">
        <w:rPr>
          <w:b/>
        </w:rPr>
        <w:tab/>
      </w:r>
      <w:r w:rsidRPr="00C342E0">
        <w:rPr>
          <w:b/>
          <w:i/>
        </w:rPr>
        <w:t xml:space="preserve">Standard 2.8.1 </w:t>
      </w:r>
      <w:r w:rsidRPr="00C342E0">
        <w:rPr>
          <w:i/>
        </w:rPr>
        <w:t>of the Australia New Zealand Food Standards Code is varied by omitting the second paragraph of the</w:t>
      </w:r>
      <w:r w:rsidRPr="00C342E0">
        <w:t xml:space="preserve"> Purpose, </w:t>
      </w:r>
      <w:r w:rsidRPr="00C342E0">
        <w:rPr>
          <w:i/>
        </w:rPr>
        <w:t xml:space="preserve">substituting </w:t>
      </w:r>
      <w:r w:rsidRPr="00C342E0">
        <w:t xml:space="preserve">– </w:t>
      </w:r>
    </w:p>
    <w:p w:rsidR="00E64CEF" w:rsidRPr="00C342E0" w:rsidRDefault="00E64CEF" w:rsidP="00E64CEF">
      <w:pPr>
        <w:rPr>
          <w:sz w:val="20"/>
          <w:szCs w:val="20"/>
        </w:rPr>
      </w:pPr>
    </w:p>
    <w:p w:rsidR="00E64CEF" w:rsidRPr="00C342E0" w:rsidRDefault="00E64CEF" w:rsidP="00E64CEF">
      <w:pPr>
        <w:pStyle w:val="Clause"/>
      </w:pPr>
      <w:r w:rsidRPr="00C342E0">
        <w:t>Honey is standardised in Standard 2.8.2 and is not covered by this Standard.</w:t>
      </w:r>
    </w:p>
    <w:p w:rsidR="00E64CEF" w:rsidRPr="00C342E0" w:rsidRDefault="00E64CEF" w:rsidP="00E64CEF">
      <w:pPr>
        <w:rPr>
          <w:sz w:val="20"/>
          <w:szCs w:val="20"/>
        </w:rPr>
      </w:pPr>
    </w:p>
    <w:p w:rsidR="00E64CEF" w:rsidRPr="00C342E0" w:rsidRDefault="00E64CEF" w:rsidP="00E64CEF">
      <w:pPr>
        <w:pStyle w:val="Clause"/>
        <w:ind w:left="851" w:hanging="851"/>
        <w:rPr>
          <w:i/>
          <w:iCs/>
        </w:rPr>
      </w:pPr>
      <w:r w:rsidRPr="00C342E0">
        <w:rPr>
          <w:b/>
          <w:bCs/>
        </w:rPr>
        <w:t>[44]</w:t>
      </w:r>
      <w:r w:rsidRPr="00C342E0">
        <w:tab/>
      </w:r>
      <w:r w:rsidRPr="00C342E0">
        <w:rPr>
          <w:b/>
          <w:bCs/>
          <w:i/>
          <w:iCs/>
        </w:rPr>
        <w:t>Standard 2.9.1</w:t>
      </w:r>
      <w:r w:rsidRPr="00C342E0">
        <w:rPr>
          <w:i/>
          <w:iCs/>
        </w:rPr>
        <w:t xml:space="preserve"> of the Australia New Zealand Food Standards Code is varied by –</w:t>
      </w:r>
    </w:p>
    <w:p w:rsidR="00E64CEF" w:rsidRPr="00C342E0" w:rsidRDefault="00E64CEF" w:rsidP="00E64CEF">
      <w:pPr>
        <w:ind w:left="851" w:hanging="851"/>
        <w:rPr>
          <w:b/>
          <w:bCs/>
          <w:sz w:val="20"/>
          <w:szCs w:val="20"/>
        </w:rPr>
      </w:pPr>
    </w:p>
    <w:p w:rsidR="00E64CEF" w:rsidRPr="00C342E0" w:rsidRDefault="00E64CEF" w:rsidP="00E64CEF">
      <w:pPr>
        <w:pStyle w:val="Clause"/>
        <w:rPr>
          <w:i/>
        </w:rPr>
      </w:pPr>
      <w:r w:rsidRPr="00C342E0">
        <w:t>[44.1]</w:t>
      </w:r>
      <w:r w:rsidRPr="00C342E0">
        <w:tab/>
      </w:r>
      <w:r w:rsidRPr="00C342E0">
        <w:rPr>
          <w:i/>
        </w:rPr>
        <w:t xml:space="preserve">omitting the fourth and fifth paragraphs from the </w:t>
      </w:r>
      <w:r w:rsidRPr="00C342E0">
        <w:t>Purpose</w:t>
      </w:r>
    </w:p>
    <w:p w:rsidR="00E64CEF" w:rsidRPr="00C342E0" w:rsidRDefault="00E64CEF" w:rsidP="00E64CEF">
      <w:pPr>
        <w:rPr>
          <w:sz w:val="20"/>
          <w:szCs w:val="20"/>
        </w:rPr>
      </w:pPr>
    </w:p>
    <w:p w:rsidR="00E64CEF" w:rsidRPr="00C342E0" w:rsidRDefault="00E64CEF" w:rsidP="00E64CEF">
      <w:pPr>
        <w:pStyle w:val="Clause"/>
        <w:rPr>
          <w:i/>
        </w:rPr>
      </w:pPr>
      <w:r w:rsidRPr="00C342E0">
        <w:t>[44.2]</w:t>
      </w:r>
      <w:r w:rsidRPr="00C342E0">
        <w:tab/>
      </w:r>
      <w:r w:rsidRPr="00C342E0">
        <w:rPr>
          <w:i/>
        </w:rPr>
        <w:t xml:space="preserve">omitting the definition of </w:t>
      </w:r>
      <w:r w:rsidRPr="00C342E0">
        <w:rPr>
          <w:b/>
        </w:rPr>
        <w:t xml:space="preserve">protein substitute </w:t>
      </w:r>
      <w:r w:rsidRPr="00C342E0">
        <w:rPr>
          <w:i/>
        </w:rPr>
        <w:t xml:space="preserve">in clause 1, substituting – </w:t>
      </w:r>
    </w:p>
    <w:p w:rsidR="00E64CEF" w:rsidRPr="00C342E0" w:rsidRDefault="00E64CEF" w:rsidP="00E64CEF">
      <w:pPr>
        <w:pStyle w:val="Clause"/>
        <w:rPr>
          <w:i/>
        </w:rPr>
      </w:pPr>
    </w:p>
    <w:p w:rsidR="00E64CEF" w:rsidRPr="00C342E0" w:rsidRDefault="00E64CEF" w:rsidP="00E64CEF">
      <w:pPr>
        <w:pStyle w:val="Definition"/>
        <w:rPr>
          <w:bCs/>
        </w:rPr>
      </w:pPr>
      <w:r w:rsidRPr="00C342E0">
        <w:rPr>
          <w:b/>
          <w:bCs/>
        </w:rPr>
        <w:t xml:space="preserve">protein substitute </w:t>
      </w:r>
      <w:r w:rsidRPr="00C342E0">
        <w:rPr>
          <w:bCs/>
        </w:rPr>
        <w:t xml:space="preserve">means – </w:t>
      </w:r>
    </w:p>
    <w:p w:rsidR="00E64CEF" w:rsidRPr="00C342E0" w:rsidRDefault="00E64CEF" w:rsidP="00E64CEF">
      <w:pPr>
        <w:pStyle w:val="Definition"/>
        <w:ind w:firstLine="0"/>
      </w:pPr>
    </w:p>
    <w:p w:rsidR="00C342E0" w:rsidRDefault="00E64CEF" w:rsidP="00C342E0">
      <w:pPr>
        <w:pStyle w:val="Subparagraph"/>
      </w:pPr>
      <w:r>
        <w:t>(a)</w:t>
      </w:r>
      <w:r>
        <w:tab/>
        <w:t>L-amino acids; or</w:t>
      </w:r>
      <w:r w:rsidR="00C342E0">
        <w:br w:type="page"/>
      </w:r>
    </w:p>
    <w:p w:rsidR="00E64CEF" w:rsidRDefault="00E64CEF" w:rsidP="00C342E0">
      <w:pPr>
        <w:pStyle w:val="Subparagraph"/>
      </w:pPr>
      <w:r>
        <w:lastRenderedPageBreak/>
        <w:t>(b)</w:t>
      </w:r>
      <w:r>
        <w:tab/>
        <w:t>the hydrolysate of one or more of the proteins on which infant formula product is normally based; or</w:t>
      </w:r>
    </w:p>
    <w:p w:rsidR="00E64CEF" w:rsidRPr="002E7C1C" w:rsidRDefault="00E64CEF" w:rsidP="00C342E0">
      <w:pPr>
        <w:pStyle w:val="Subparagraph"/>
      </w:pPr>
      <w:r>
        <w:t>(c)</w:t>
      </w:r>
      <w:r>
        <w:tab/>
        <w:t>a combination of L-amino acids and the hydrolysate of one or more of the proteins on which infant formula product is normally based.</w:t>
      </w:r>
    </w:p>
    <w:p w:rsidR="00E64CEF" w:rsidRPr="00C342E0" w:rsidRDefault="00E64CEF" w:rsidP="00E64CEF">
      <w:pPr>
        <w:pStyle w:val="Clause"/>
      </w:pPr>
    </w:p>
    <w:p w:rsidR="00E64CEF" w:rsidRPr="00C342E0" w:rsidRDefault="00E64CEF" w:rsidP="00E64CEF">
      <w:pPr>
        <w:pStyle w:val="Clause"/>
      </w:pPr>
      <w:r w:rsidRPr="00C342E0">
        <w:t>[44.3]</w:t>
      </w:r>
      <w:r w:rsidRPr="00C342E0">
        <w:tab/>
      </w:r>
      <w:r w:rsidRPr="00C342E0">
        <w:rPr>
          <w:i/>
        </w:rPr>
        <w:t xml:space="preserve">omitting the following entries from the </w:t>
      </w:r>
      <w:r w:rsidRPr="00C342E0">
        <w:t xml:space="preserve">Table to clause 7, </w:t>
      </w:r>
    </w:p>
    <w:p w:rsidR="00E64CEF" w:rsidRPr="00C342E0" w:rsidRDefault="00E64CEF" w:rsidP="00E64CEF">
      <w:pPr>
        <w:pStyle w:val="Clause"/>
      </w:pPr>
    </w:p>
    <w:tbl>
      <w:tblPr>
        <w:tblW w:w="9072" w:type="dxa"/>
        <w:tblLayout w:type="fixed"/>
        <w:tblCellMar>
          <w:left w:w="80" w:type="dxa"/>
          <w:right w:w="80" w:type="dxa"/>
        </w:tblCellMar>
        <w:tblLook w:val="0000" w:firstRow="0" w:lastRow="0" w:firstColumn="0" w:lastColumn="0" w:noHBand="0" w:noVBand="0"/>
      </w:tblPr>
      <w:tblGrid>
        <w:gridCol w:w="3186"/>
        <w:gridCol w:w="3186"/>
        <w:gridCol w:w="1377"/>
        <w:gridCol w:w="1323"/>
      </w:tblGrid>
      <w:tr w:rsidR="00E64CEF" w:rsidRPr="00312A41" w:rsidTr="00A506D2">
        <w:tc>
          <w:tcPr>
            <w:tcW w:w="3186"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Adenosine 5’-monophosphate</w:t>
            </w:r>
          </w:p>
        </w:tc>
        <w:tc>
          <w:tcPr>
            <w:tcW w:w="3186"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Adenosine 5’-monophosphate</w:t>
            </w:r>
          </w:p>
          <w:p w:rsidR="00E64CEF" w:rsidRPr="00312A41" w:rsidRDefault="00E64CEF" w:rsidP="00A506D2">
            <w:pPr>
              <w:pStyle w:val="Table2"/>
            </w:pPr>
            <w:r w:rsidRPr="00312A41">
              <w:t>Adenosine 5’-monophosphate</w:t>
            </w:r>
          </w:p>
          <w:p w:rsidR="00E64CEF" w:rsidRPr="00312A41" w:rsidRDefault="00E64CEF" w:rsidP="00A506D2">
            <w:pPr>
              <w:pStyle w:val="Table2"/>
            </w:pPr>
            <w:r w:rsidRPr="00312A41">
              <w:t>sodium salt</w:t>
            </w:r>
          </w:p>
        </w:tc>
        <w:tc>
          <w:tcPr>
            <w:tcW w:w="1377"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0.14 mg</w:t>
            </w:r>
          </w:p>
        </w:tc>
        <w:tc>
          <w:tcPr>
            <w:tcW w:w="1323"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0.38 mg</w:t>
            </w:r>
          </w:p>
        </w:tc>
      </w:tr>
      <w:tr w:rsidR="00E64CEF" w:rsidRPr="00312A41" w:rsidTr="00A506D2">
        <w:tc>
          <w:tcPr>
            <w:tcW w:w="3186"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Cytidine 5’-monophosphate</w:t>
            </w:r>
          </w:p>
        </w:tc>
        <w:tc>
          <w:tcPr>
            <w:tcW w:w="3186"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Cytidine 5’-monophosphate</w:t>
            </w:r>
          </w:p>
          <w:p w:rsidR="00E64CEF" w:rsidRPr="00312A41" w:rsidRDefault="00E64CEF" w:rsidP="00A506D2">
            <w:pPr>
              <w:pStyle w:val="Table2"/>
            </w:pPr>
            <w:r w:rsidRPr="00312A41">
              <w:t>Cytidine 5’-monophosphate sodium salt</w:t>
            </w:r>
          </w:p>
        </w:tc>
        <w:tc>
          <w:tcPr>
            <w:tcW w:w="1377"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0.22 mg</w:t>
            </w:r>
          </w:p>
        </w:tc>
        <w:tc>
          <w:tcPr>
            <w:tcW w:w="1323"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0.6 mg</w:t>
            </w:r>
          </w:p>
        </w:tc>
      </w:tr>
      <w:tr w:rsidR="00E64CEF" w:rsidRPr="00312A41" w:rsidTr="00A506D2">
        <w:tc>
          <w:tcPr>
            <w:tcW w:w="3186"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Uridine 5’-monophosphate</w:t>
            </w:r>
          </w:p>
        </w:tc>
        <w:tc>
          <w:tcPr>
            <w:tcW w:w="3186"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Uridine 5’-monophosphate</w:t>
            </w:r>
          </w:p>
          <w:p w:rsidR="00E64CEF" w:rsidRPr="00312A41" w:rsidRDefault="00E64CEF" w:rsidP="00A506D2">
            <w:pPr>
              <w:pStyle w:val="Table2"/>
            </w:pPr>
            <w:r w:rsidRPr="00312A41">
              <w:t>Uridine 5’-monophosphate sodium salt</w:t>
            </w:r>
          </w:p>
        </w:tc>
        <w:tc>
          <w:tcPr>
            <w:tcW w:w="1377"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0.13 mg</w:t>
            </w:r>
          </w:p>
        </w:tc>
        <w:tc>
          <w:tcPr>
            <w:tcW w:w="1323"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0.42 mg</w:t>
            </w:r>
          </w:p>
        </w:tc>
      </w:tr>
    </w:tbl>
    <w:p w:rsidR="00E64CEF" w:rsidRPr="00312A41" w:rsidRDefault="00E64CEF" w:rsidP="00E64CEF">
      <w:pPr>
        <w:pStyle w:val="Clause"/>
      </w:pPr>
    </w:p>
    <w:p w:rsidR="00C342E0" w:rsidRDefault="00E64CEF" w:rsidP="00E64CEF">
      <w:pPr>
        <w:pStyle w:val="Clause"/>
        <w:rPr>
          <w:i/>
        </w:rPr>
      </w:pPr>
      <w:r w:rsidRPr="00312A41">
        <w:rPr>
          <w:i/>
        </w:rPr>
        <w:t xml:space="preserve">substituting – </w:t>
      </w:r>
    </w:p>
    <w:p w:rsidR="009D2A44" w:rsidRDefault="009D2A44" w:rsidP="00E64CEF">
      <w:pPr>
        <w:pStyle w:val="Clause"/>
        <w:rPr>
          <w:i/>
        </w:rPr>
      </w:pPr>
    </w:p>
    <w:tbl>
      <w:tblPr>
        <w:tblW w:w="9072" w:type="dxa"/>
        <w:tblLayout w:type="fixed"/>
        <w:tblCellMar>
          <w:left w:w="80" w:type="dxa"/>
          <w:right w:w="80" w:type="dxa"/>
        </w:tblCellMar>
        <w:tblLook w:val="0000" w:firstRow="0" w:lastRow="0" w:firstColumn="0" w:lastColumn="0" w:noHBand="0" w:noVBand="0"/>
      </w:tblPr>
      <w:tblGrid>
        <w:gridCol w:w="3186"/>
        <w:gridCol w:w="3186"/>
        <w:gridCol w:w="1377"/>
        <w:gridCol w:w="1323"/>
      </w:tblGrid>
      <w:tr w:rsidR="00E64CEF" w:rsidRPr="00312A41" w:rsidTr="00A506D2">
        <w:tc>
          <w:tcPr>
            <w:tcW w:w="3186"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Adenosine 5</w:t>
            </w:r>
            <w:r w:rsidRPr="008C220D">
              <w:t>′</w:t>
            </w:r>
            <w:r w:rsidRPr="00312A41">
              <w:t>-monophosphate</w:t>
            </w:r>
          </w:p>
        </w:tc>
        <w:tc>
          <w:tcPr>
            <w:tcW w:w="3186"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Adenosine 5</w:t>
            </w:r>
            <w:r w:rsidRPr="008C220D">
              <w:t>′</w:t>
            </w:r>
            <w:r w:rsidRPr="00312A41">
              <w:t>-monophosphate</w:t>
            </w:r>
          </w:p>
        </w:tc>
        <w:tc>
          <w:tcPr>
            <w:tcW w:w="1377"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0.14 mg</w:t>
            </w:r>
          </w:p>
        </w:tc>
        <w:tc>
          <w:tcPr>
            <w:tcW w:w="1323"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0.38 mg</w:t>
            </w:r>
          </w:p>
        </w:tc>
      </w:tr>
      <w:tr w:rsidR="00E64CEF" w:rsidRPr="00312A41" w:rsidTr="00A506D2">
        <w:tc>
          <w:tcPr>
            <w:tcW w:w="3186"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Cytidine 5</w:t>
            </w:r>
            <w:r w:rsidRPr="008C220D">
              <w:t>′</w:t>
            </w:r>
            <w:r w:rsidRPr="00312A41">
              <w:t>-monophosphate</w:t>
            </w:r>
          </w:p>
        </w:tc>
        <w:tc>
          <w:tcPr>
            <w:tcW w:w="3186"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Cytidine 5</w:t>
            </w:r>
            <w:r w:rsidRPr="008C220D">
              <w:t>′</w:t>
            </w:r>
            <w:r w:rsidRPr="00312A41">
              <w:t>-monophosphate</w:t>
            </w:r>
          </w:p>
        </w:tc>
        <w:tc>
          <w:tcPr>
            <w:tcW w:w="1377"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0.22 mg</w:t>
            </w:r>
          </w:p>
        </w:tc>
        <w:tc>
          <w:tcPr>
            <w:tcW w:w="1323"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0.6 mg</w:t>
            </w:r>
          </w:p>
        </w:tc>
      </w:tr>
      <w:tr w:rsidR="00E64CEF" w:rsidRPr="004B6986" w:rsidTr="00A506D2">
        <w:tc>
          <w:tcPr>
            <w:tcW w:w="3186"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Uridine 5</w:t>
            </w:r>
            <w:r w:rsidRPr="008C220D">
              <w:t>′</w:t>
            </w:r>
            <w:r w:rsidRPr="00312A41">
              <w:t>-monophosphate</w:t>
            </w:r>
          </w:p>
        </w:tc>
        <w:tc>
          <w:tcPr>
            <w:tcW w:w="3186"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Uridine 5</w:t>
            </w:r>
            <w:r w:rsidRPr="008C220D">
              <w:t>′</w:t>
            </w:r>
            <w:r w:rsidRPr="00312A41">
              <w:t>-monophosphate sodium salt</w:t>
            </w:r>
          </w:p>
        </w:tc>
        <w:tc>
          <w:tcPr>
            <w:tcW w:w="1377" w:type="dxa"/>
            <w:tcBorders>
              <w:top w:val="single" w:sz="6" w:space="0" w:color="auto"/>
              <w:left w:val="single" w:sz="6" w:space="0" w:color="auto"/>
              <w:bottom w:val="single" w:sz="6" w:space="0" w:color="auto"/>
              <w:right w:val="single" w:sz="6" w:space="0" w:color="auto"/>
            </w:tcBorders>
          </w:tcPr>
          <w:p w:rsidR="00E64CEF" w:rsidRPr="00312A41" w:rsidRDefault="00E64CEF" w:rsidP="00A506D2">
            <w:pPr>
              <w:pStyle w:val="Table2"/>
            </w:pPr>
            <w:r w:rsidRPr="00312A41">
              <w:t>0.13 mg</w:t>
            </w:r>
          </w:p>
        </w:tc>
        <w:tc>
          <w:tcPr>
            <w:tcW w:w="1323" w:type="dxa"/>
            <w:tcBorders>
              <w:top w:val="single" w:sz="6" w:space="0" w:color="auto"/>
              <w:left w:val="single" w:sz="6" w:space="0" w:color="auto"/>
              <w:bottom w:val="single" w:sz="6" w:space="0" w:color="auto"/>
              <w:right w:val="single" w:sz="6" w:space="0" w:color="auto"/>
            </w:tcBorders>
          </w:tcPr>
          <w:p w:rsidR="00E64CEF" w:rsidRPr="004B6986" w:rsidRDefault="00E64CEF" w:rsidP="00A506D2">
            <w:pPr>
              <w:pStyle w:val="Table2"/>
            </w:pPr>
            <w:r w:rsidRPr="00312A41">
              <w:t>0.42 mg</w:t>
            </w:r>
          </w:p>
        </w:tc>
      </w:tr>
    </w:tbl>
    <w:p w:rsidR="00E64CEF" w:rsidRPr="00C342E0" w:rsidRDefault="00E64CEF" w:rsidP="00E64CEF">
      <w:pPr>
        <w:rPr>
          <w:sz w:val="20"/>
          <w:szCs w:val="20"/>
        </w:rPr>
      </w:pPr>
    </w:p>
    <w:p w:rsidR="00E64CEF" w:rsidRPr="00C342E0" w:rsidRDefault="00E64CEF" w:rsidP="00E64CEF">
      <w:pPr>
        <w:pStyle w:val="Clause"/>
        <w:rPr>
          <w:i/>
        </w:rPr>
      </w:pPr>
      <w:r w:rsidRPr="00C342E0">
        <w:t>[44.4]</w:t>
      </w:r>
      <w:r w:rsidRPr="00C342E0">
        <w:tab/>
      </w:r>
      <w:r w:rsidRPr="00C342E0">
        <w:rPr>
          <w:i/>
        </w:rPr>
        <w:t xml:space="preserve">omitting from paragraph 16(2)(e) – </w:t>
      </w:r>
    </w:p>
    <w:p w:rsidR="00E64CEF" w:rsidRPr="00C342E0" w:rsidRDefault="00E64CEF" w:rsidP="00E64CEF">
      <w:pPr>
        <w:pStyle w:val="Clause"/>
        <w:rPr>
          <w:i/>
        </w:rPr>
      </w:pPr>
    </w:p>
    <w:p w:rsidR="00E64CEF" w:rsidRPr="00C342E0" w:rsidRDefault="00E64CEF" w:rsidP="009D2A44">
      <w:pPr>
        <w:pStyle w:val="Clause"/>
      </w:pPr>
      <w:r w:rsidRPr="00C342E0">
        <w:t>expressed in weight per 100 mL.</w:t>
      </w:r>
    </w:p>
    <w:p w:rsidR="00E64CEF" w:rsidRPr="00C342E0" w:rsidRDefault="00E64CEF" w:rsidP="00E64CEF">
      <w:pPr>
        <w:rPr>
          <w:sz w:val="20"/>
          <w:szCs w:val="20"/>
        </w:rPr>
      </w:pPr>
    </w:p>
    <w:p w:rsidR="00E64CEF" w:rsidRPr="00C342E0" w:rsidRDefault="00E64CEF" w:rsidP="009D2A44">
      <w:pPr>
        <w:pStyle w:val="Clause"/>
      </w:pPr>
      <w:r w:rsidRPr="00C342E0">
        <w:rPr>
          <w:i/>
        </w:rPr>
        <w:t>substituting</w:t>
      </w:r>
      <w:r w:rsidRPr="00C342E0">
        <w:t xml:space="preserve"> – </w:t>
      </w:r>
    </w:p>
    <w:p w:rsidR="00E64CEF" w:rsidRPr="00C342E0" w:rsidRDefault="00E64CEF" w:rsidP="00E64CEF">
      <w:pPr>
        <w:rPr>
          <w:i/>
          <w:sz w:val="20"/>
          <w:szCs w:val="20"/>
        </w:rPr>
      </w:pPr>
    </w:p>
    <w:p w:rsidR="00E64CEF" w:rsidRPr="00C342E0" w:rsidRDefault="00E64CEF" w:rsidP="009D2A44">
      <w:pPr>
        <w:pStyle w:val="Clause"/>
      </w:pPr>
      <w:r w:rsidRPr="00C342E0">
        <w:t>expressed in weight per 100 mL when the product is reconstituted.</w:t>
      </w:r>
    </w:p>
    <w:p w:rsidR="00E64CEF" w:rsidRPr="00C342E0" w:rsidRDefault="00E64CEF" w:rsidP="00E64CEF">
      <w:pPr>
        <w:rPr>
          <w:sz w:val="20"/>
          <w:szCs w:val="20"/>
        </w:rPr>
      </w:pPr>
    </w:p>
    <w:p w:rsidR="00E64CEF" w:rsidRPr="00C342E0" w:rsidRDefault="00E64CEF" w:rsidP="00E64CEF">
      <w:pPr>
        <w:pStyle w:val="Subclause"/>
      </w:pPr>
      <w:r w:rsidRPr="00C342E0">
        <w:t>[44.5]</w:t>
      </w:r>
      <w:r w:rsidRPr="00C342E0">
        <w:tab/>
      </w:r>
      <w:r w:rsidRPr="00C342E0">
        <w:rPr>
          <w:i/>
        </w:rPr>
        <w:t>omitting paragraph 20(1)(f), substituting</w:t>
      </w:r>
      <w:r w:rsidRPr="00C342E0">
        <w:t xml:space="preserve"> – </w:t>
      </w:r>
    </w:p>
    <w:p w:rsidR="00E64CEF" w:rsidRPr="00C342E0" w:rsidRDefault="00E64CEF" w:rsidP="00E64CEF">
      <w:pPr>
        <w:rPr>
          <w:i/>
          <w:sz w:val="20"/>
          <w:szCs w:val="20"/>
        </w:rPr>
      </w:pPr>
    </w:p>
    <w:p w:rsidR="00E64CEF" w:rsidRPr="00C342E0" w:rsidRDefault="00E64CEF" w:rsidP="00E64CEF">
      <w:pPr>
        <w:pStyle w:val="Paragraph"/>
      </w:pPr>
      <w:r w:rsidRPr="00C342E0">
        <w:t>(f)</w:t>
      </w:r>
      <w:r w:rsidRPr="00C342E0">
        <w:tab/>
        <w:t xml:space="preserve">subject to clause 28, a reference to the presence of any nutrient or nutritive substance, except for a reference to a nutrient or nutritive substance in – </w:t>
      </w:r>
    </w:p>
    <w:p w:rsidR="00E64CEF" w:rsidRPr="00C342E0" w:rsidRDefault="00E64CEF" w:rsidP="00E64CEF">
      <w:pPr>
        <w:rPr>
          <w:sz w:val="20"/>
          <w:szCs w:val="20"/>
        </w:rPr>
      </w:pPr>
    </w:p>
    <w:p w:rsidR="00E64CEF" w:rsidRPr="00C342E0" w:rsidRDefault="00E64CEF" w:rsidP="00E64CEF">
      <w:pPr>
        <w:pStyle w:val="Subparagraph"/>
        <w:numPr>
          <w:ilvl w:val="0"/>
          <w:numId w:val="12"/>
        </w:numPr>
      </w:pPr>
      <w:r w:rsidRPr="00C342E0">
        <w:t>accordance with clause 30 – Claims relating to lactose free formula or low lactose formulas; or</w:t>
      </w:r>
    </w:p>
    <w:p w:rsidR="00E64CEF" w:rsidRPr="00C342E0" w:rsidRDefault="00E64CEF" w:rsidP="00E64CEF">
      <w:pPr>
        <w:pStyle w:val="Subparagraph"/>
        <w:numPr>
          <w:ilvl w:val="0"/>
          <w:numId w:val="12"/>
        </w:numPr>
      </w:pPr>
      <w:r w:rsidRPr="00C342E0">
        <w:t>the statement of ingredients in accordance with Standard 1.2.4 – Labelling of Ingredients; or</w:t>
      </w:r>
    </w:p>
    <w:p w:rsidR="00E64CEF" w:rsidRPr="00C342E0" w:rsidRDefault="00E64CEF" w:rsidP="00E64CEF">
      <w:pPr>
        <w:pStyle w:val="Subparagraph"/>
        <w:numPr>
          <w:ilvl w:val="0"/>
          <w:numId w:val="12"/>
        </w:numPr>
      </w:pPr>
      <w:r w:rsidRPr="00C342E0">
        <w:t>the nutrition information statement in accordance with clause 16 of this Standard – Declaration of nutrition information; or</w:t>
      </w:r>
    </w:p>
    <w:p w:rsidR="00E64CEF" w:rsidRPr="00C342E0" w:rsidRDefault="00E64CEF" w:rsidP="00E64CEF">
      <w:pPr>
        <w:rPr>
          <w:sz w:val="20"/>
          <w:szCs w:val="20"/>
        </w:rPr>
      </w:pPr>
    </w:p>
    <w:p w:rsidR="00E64CEF" w:rsidRPr="00C342E0" w:rsidRDefault="00E64CEF" w:rsidP="00E64CEF">
      <w:pPr>
        <w:pStyle w:val="Subclause"/>
      </w:pPr>
      <w:r w:rsidRPr="00C342E0">
        <w:t>[44.6]</w:t>
      </w:r>
      <w:r w:rsidRPr="00C342E0">
        <w:tab/>
      </w:r>
      <w:r w:rsidRPr="00C342E0">
        <w:rPr>
          <w:i/>
        </w:rPr>
        <w:t>omitting paragraphs 20(2)(a) and 20(2)(b), substituting</w:t>
      </w:r>
      <w:r w:rsidRPr="00C342E0">
        <w:t xml:space="preserve"> – </w:t>
      </w:r>
    </w:p>
    <w:p w:rsidR="00E64CEF" w:rsidRPr="00C342E0" w:rsidRDefault="00E64CEF" w:rsidP="00E64CEF">
      <w:pPr>
        <w:rPr>
          <w:i/>
          <w:sz w:val="20"/>
          <w:szCs w:val="20"/>
        </w:rPr>
      </w:pPr>
    </w:p>
    <w:p w:rsidR="00E64CEF" w:rsidRPr="00C342E0" w:rsidRDefault="00E64CEF" w:rsidP="00E64CEF">
      <w:pPr>
        <w:pStyle w:val="Paragraph"/>
      </w:pPr>
      <w:r w:rsidRPr="00C342E0">
        <w:t>(a)</w:t>
      </w:r>
      <w:r w:rsidRPr="00C342E0">
        <w:tab/>
        <w:t>the statement of ingredients in accordance with Standard 1.2.4 – Labelling of Ingredients; or</w:t>
      </w:r>
    </w:p>
    <w:p w:rsidR="00E64CEF" w:rsidRPr="00C342E0" w:rsidRDefault="00E64CEF" w:rsidP="00E64CEF">
      <w:pPr>
        <w:pStyle w:val="Paragraph"/>
      </w:pPr>
      <w:r w:rsidRPr="00C342E0">
        <w:t>(b)</w:t>
      </w:r>
      <w:r w:rsidRPr="00C342E0">
        <w:tab/>
        <w:t>the nutrition information statement in accordance with clause 16 of this Standard – Declaration of nutrition information.</w:t>
      </w:r>
    </w:p>
    <w:p w:rsidR="00E64CEF" w:rsidRPr="00C342E0" w:rsidRDefault="00E64CEF" w:rsidP="00E64CEF">
      <w:pPr>
        <w:rPr>
          <w:sz w:val="20"/>
          <w:szCs w:val="20"/>
        </w:rPr>
      </w:pPr>
    </w:p>
    <w:p w:rsidR="00E64CEF" w:rsidRPr="00C342E0" w:rsidRDefault="00E64CEF" w:rsidP="00E64CEF">
      <w:pPr>
        <w:pStyle w:val="Clause"/>
        <w:rPr>
          <w:i/>
        </w:rPr>
      </w:pPr>
      <w:r w:rsidRPr="00C342E0">
        <w:rPr>
          <w:b/>
          <w:bCs/>
        </w:rPr>
        <w:t>[45]</w:t>
      </w:r>
      <w:r w:rsidRPr="00C342E0">
        <w:tab/>
      </w:r>
      <w:r w:rsidRPr="00C342E0">
        <w:rPr>
          <w:b/>
          <w:i/>
        </w:rPr>
        <w:t>Standard</w:t>
      </w:r>
      <w:r w:rsidRPr="00C342E0">
        <w:rPr>
          <w:b/>
          <w:bCs/>
          <w:i/>
        </w:rPr>
        <w:t xml:space="preserve"> 2.9.2</w:t>
      </w:r>
      <w:r w:rsidRPr="00C342E0">
        <w:rPr>
          <w:i/>
        </w:rPr>
        <w:t xml:space="preserve"> of the Australia New Zealand Food Standards Code is varied by – </w:t>
      </w:r>
    </w:p>
    <w:p w:rsidR="00E64CEF" w:rsidRPr="00C342E0" w:rsidRDefault="00E64CEF" w:rsidP="00E64CEF">
      <w:pPr>
        <w:pStyle w:val="Clause"/>
        <w:rPr>
          <w:i/>
        </w:rPr>
      </w:pPr>
    </w:p>
    <w:p w:rsidR="00E64CEF" w:rsidRPr="00C342E0" w:rsidRDefault="00E64CEF" w:rsidP="00E64CEF">
      <w:pPr>
        <w:pStyle w:val="Clause"/>
        <w:rPr>
          <w:i/>
        </w:rPr>
      </w:pPr>
      <w:r w:rsidRPr="00C342E0">
        <w:t>[45.1]</w:t>
      </w:r>
      <w:r w:rsidRPr="00C342E0">
        <w:tab/>
      </w:r>
      <w:r w:rsidRPr="00C342E0">
        <w:rPr>
          <w:i/>
        </w:rPr>
        <w:t xml:space="preserve">omitting the first paragraph from the </w:t>
      </w:r>
      <w:r w:rsidRPr="00C342E0">
        <w:t xml:space="preserve">Purpose, </w:t>
      </w:r>
      <w:r w:rsidRPr="00C342E0">
        <w:rPr>
          <w:i/>
        </w:rPr>
        <w:t xml:space="preserve">substituting – </w:t>
      </w:r>
    </w:p>
    <w:p w:rsidR="00E64CEF" w:rsidRPr="00C342E0" w:rsidRDefault="00E64CEF" w:rsidP="00E64CEF">
      <w:pPr>
        <w:rPr>
          <w:sz w:val="20"/>
          <w:szCs w:val="20"/>
        </w:rPr>
      </w:pPr>
    </w:p>
    <w:p w:rsidR="00C342E0" w:rsidRDefault="00E64CEF" w:rsidP="00E64CEF">
      <w:pPr>
        <w:rPr>
          <w:sz w:val="20"/>
          <w:szCs w:val="20"/>
        </w:rPr>
      </w:pPr>
      <w:r w:rsidRPr="00C342E0">
        <w:rPr>
          <w:sz w:val="20"/>
          <w:szCs w:val="20"/>
        </w:rPr>
        <w:t>This Standard provides for the compositional (including nutritional) and labelling requirements of foods intended or represented for use as food for infants.  Foods in this Standard are intended to be fed to infants in addition to human milk or infant formula products or both.  This Standard does not apply to infant formula products, as they are regulated by Standard 2.9.1, nor does it apply to formulated meal replacements and formulated supplementary foods as they are regulated by Standard 2.9.3.</w:t>
      </w:r>
      <w:r w:rsidR="00C342E0">
        <w:rPr>
          <w:sz w:val="20"/>
          <w:szCs w:val="20"/>
        </w:rPr>
        <w:br w:type="page"/>
      </w:r>
    </w:p>
    <w:p w:rsidR="00E64CEF" w:rsidRDefault="00E64CEF" w:rsidP="00E64CEF">
      <w:pPr>
        <w:pStyle w:val="Clause"/>
      </w:pPr>
      <w:r w:rsidRPr="004F6B86">
        <w:lastRenderedPageBreak/>
        <w:t>[</w:t>
      </w:r>
      <w:r>
        <w:t>45.2</w:t>
      </w:r>
      <w:r w:rsidRPr="004F6B86">
        <w:t>]</w:t>
      </w:r>
      <w:r>
        <w:rPr>
          <w:i/>
        </w:rPr>
        <w:tab/>
      </w:r>
      <w:r w:rsidRPr="00EA4AD0">
        <w:rPr>
          <w:i/>
        </w:rPr>
        <w:t>omitting the third paragraph from the</w:t>
      </w:r>
      <w:r>
        <w:t xml:space="preserve"> Purpose</w:t>
      </w:r>
    </w:p>
    <w:p w:rsidR="00E64CEF" w:rsidRPr="00C342E0" w:rsidRDefault="00E64CEF" w:rsidP="00E64CEF">
      <w:pPr>
        <w:rPr>
          <w:sz w:val="20"/>
          <w:szCs w:val="20"/>
        </w:rPr>
      </w:pPr>
    </w:p>
    <w:p w:rsidR="00E64CEF" w:rsidRPr="00C342E0" w:rsidRDefault="00E64CEF" w:rsidP="00E64CEF">
      <w:pPr>
        <w:pStyle w:val="Clause"/>
      </w:pPr>
      <w:r w:rsidRPr="00C342E0">
        <w:t>[45.3]</w:t>
      </w:r>
      <w:r w:rsidRPr="00C342E0">
        <w:tab/>
      </w:r>
      <w:r w:rsidRPr="00C342E0">
        <w:rPr>
          <w:i/>
        </w:rPr>
        <w:t xml:space="preserve">omitting </w:t>
      </w:r>
      <w:r w:rsidRPr="00C342E0">
        <w:t xml:space="preserve">and/or </w:t>
      </w:r>
      <w:r w:rsidRPr="00C342E0">
        <w:rPr>
          <w:i/>
        </w:rPr>
        <w:t xml:space="preserve">from the definition of </w:t>
      </w:r>
      <w:r w:rsidRPr="00C342E0">
        <w:rPr>
          <w:b/>
        </w:rPr>
        <w:t xml:space="preserve">food for infants </w:t>
      </w:r>
      <w:r w:rsidRPr="00C342E0">
        <w:rPr>
          <w:i/>
        </w:rPr>
        <w:t xml:space="preserve">in clause 1, substituting </w:t>
      </w:r>
      <w:r w:rsidRPr="00C342E0">
        <w:t>or</w:t>
      </w:r>
    </w:p>
    <w:p w:rsidR="00E64CEF" w:rsidRPr="00C342E0" w:rsidRDefault="00E64CEF" w:rsidP="00E64CEF">
      <w:pPr>
        <w:rPr>
          <w:sz w:val="20"/>
          <w:szCs w:val="20"/>
        </w:rPr>
      </w:pPr>
    </w:p>
    <w:p w:rsidR="00E64CEF" w:rsidRPr="00C342E0" w:rsidRDefault="00E64CEF" w:rsidP="00E64CEF">
      <w:pPr>
        <w:pStyle w:val="Clause"/>
      </w:pPr>
      <w:r w:rsidRPr="00C342E0">
        <w:t>[45.4]</w:t>
      </w:r>
      <w:r w:rsidRPr="00C342E0">
        <w:tab/>
      </w:r>
      <w:r w:rsidRPr="00C342E0">
        <w:rPr>
          <w:i/>
        </w:rPr>
        <w:t xml:space="preserve">omitting </w:t>
      </w:r>
      <w:r w:rsidRPr="00C342E0">
        <w:t xml:space="preserve">and/or folate </w:t>
      </w:r>
      <w:r w:rsidRPr="00C342E0">
        <w:rPr>
          <w:i/>
        </w:rPr>
        <w:t xml:space="preserve">from paragraph 4(b), substituting </w:t>
      </w:r>
      <w:r w:rsidRPr="00C342E0">
        <w:t>or folate or both</w:t>
      </w:r>
    </w:p>
    <w:p w:rsidR="009D2A44" w:rsidRPr="00C342E0" w:rsidRDefault="009D2A44" w:rsidP="00E64CEF">
      <w:pPr>
        <w:widowControl/>
        <w:rPr>
          <w:b/>
          <w:bCs/>
          <w:sz w:val="20"/>
          <w:szCs w:val="20"/>
        </w:rPr>
      </w:pPr>
    </w:p>
    <w:p w:rsidR="00E64CEF" w:rsidRPr="00C342E0" w:rsidRDefault="00E64CEF" w:rsidP="00E64CEF">
      <w:pPr>
        <w:pStyle w:val="Subclause"/>
      </w:pPr>
      <w:r w:rsidRPr="00C342E0">
        <w:rPr>
          <w:b/>
          <w:bCs/>
        </w:rPr>
        <w:t>[46]</w:t>
      </w:r>
      <w:r w:rsidRPr="00C342E0">
        <w:tab/>
      </w:r>
      <w:r w:rsidRPr="00C342E0">
        <w:rPr>
          <w:b/>
          <w:i/>
        </w:rPr>
        <w:t>Standard</w:t>
      </w:r>
      <w:r w:rsidRPr="00C342E0">
        <w:rPr>
          <w:b/>
          <w:bCs/>
          <w:i/>
        </w:rPr>
        <w:t xml:space="preserve"> 2.9.4</w:t>
      </w:r>
      <w:r w:rsidRPr="00C342E0">
        <w:rPr>
          <w:i/>
        </w:rPr>
        <w:t xml:space="preserve"> of the Australia New Zealand Food Standards Code is varied by omitting paragraph 7(3)(a), substituting</w:t>
      </w:r>
      <w:r w:rsidRPr="00C342E0">
        <w:t xml:space="preserve"> – </w:t>
      </w:r>
    </w:p>
    <w:p w:rsidR="00E64CEF" w:rsidRPr="00C342E0" w:rsidRDefault="00E64CEF" w:rsidP="00E64CEF">
      <w:pPr>
        <w:rPr>
          <w:i/>
          <w:sz w:val="20"/>
          <w:szCs w:val="20"/>
        </w:rPr>
      </w:pPr>
    </w:p>
    <w:p w:rsidR="00E64CEF" w:rsidRPr="00C342E0" w:rsidRDefault="00E64CEF" w:rsidP="00E64CEF">
      <w:pPr>
        <w:pStyle w:val="Paragraph"/>
      </w:pPr>
      <w:r w:rsidRPr="00C342E0">
        <w:t>(a)</w:t>
      </w:r>
      <w:r w:rsidRPr="00C342E0">
        <w:tab/>
        <w:t>the product is useful for one or more of before, during, or after sustained strenuous exercise; and</w:t>
      </w:r>
    </w:p>
    <w:p w:rsidR="00E64CEF" w:rsidRPr="00C342E0" w:rsidRDefault="00E64CEF" w:rsidP="00E64CEF">
      <w:pPr>
        <w:pStyle w:val="Clause"/>
        <w:rPr>
          <w:b/>
          <w:bCs/>
        </w:rPr>
      </w:pPr>
    </w:p>
    <w:p w:rsidR="00E64CEF" w:rsidRPr="00C342E0" w:rsidRDefault="00E64CEF" w:rsidP="00E64CEF">
      <w:pPr>
        <w:pStyle w:val="Clause"/>
      </w:pPr>
      <w:r w:rsidRPr="00C342E0">
        <w:rPr>
          <w:b/>
          <w:bCs/>
        </w:rPr>
        <w:t>[47]</w:t>
      </w:r>
      <w:r w:rsidRPr="00C342E0">
        <w:tab/>
      </w:r>
      <w:r w:rsidRPr="00C342E0">
        <w:rPr>
          <w:b/>
          <w:bCs/>
          <w:i/>
        </w:rPr>
        <w:t>Standard 3.2.1</w:t>
      </w:r>
      <w:r w:rsidRPr="00C342E0">
        <w:rPr>
          <w:i/>
        </w:rPr>
        <w:t xml:space="preserve"> of the Australia New Zealand Food Standards Code is varied by omitting clause 6, substituting</w:t>
      </w:r>
      <w:r w:rsidRPr="00C342E0">
        <w:t xml:space="preserve"> – </w:t>
      </w:r>
    </w:p>
    <w:p w:rsidR="00C342E0" w:rsidRDefault="00C342E0" w:rsidP="00E64CEF">
      <w:pPr>
        <w:rPr>
          <w:i/>
          <w:iCs/>
          <w:sz w:val="20"/>
          <w:szCs w:val="20"/>
        </w:rPr>
      </w:pPr>
    </w:p>
    <w:p w:rsidR="00E64CEF" w:rsidRPr="00C342E0" w:rsidRDefault="00E64CEF" w:rsidP="00E64CEF">
      <w:pPr>
        <w:pStyle w:val="Clauseheading"/>
      </w:pPr>
      <w:r w:rsidRPr="00C342E0">
        <w:t>6</w:t>
      </w:r>
      <w:r w:rsidRPr="00C342E0">
        <w:tab/>
        <w:t>Fund raising events</w:t>
      </w:r>
    </w:p>
    <w:p w:rsidR="00E64CEF" w:rsidRPr="00C342E0" w:rsidRDefault="00E64CEF" w:rsidP="00E64CEF">
      <w:pPr>
        <w:rPr>
          <w:sz w:val="20"/>
          <w:szCs w:val="20"/>
        </w:rPr>
      </w:pPr>
    </w:p>
    <w:p w:rsidR="00E64CEF" w:rsidRPr="00C342E0" w:rsidRDefault="00E64CEF" w:rsidP="00E64CEF">
      <w:pPr>
        <w:pStyle w:val="Clause"/>
      </w:pPr>
      <w:r w:rsidRPr="00C342E0">
        <w:t>A food business does not have to prepare a food safety program in accordance with this Standard in relation to a fundraising event conducted by the food business.</w:t>
      </w:r>
    </w:p>
    <w:p w:rsidR="00E64CEF" w:rsidRPr="00C342E0" w:rsidRDefault="00E64CEF" w:rsidP="00E64CEF">
      <w:pPr>
        <w:rPr>
          <w:sz w:val="20"/>
          <w:szCs w:val="20"/>
        </w:rPr>
      </w:pPr>
    </w:p>
    <w:p w:rsidR="00E64CEF" w:rsidRPr="00C342E0" w:rsidRDefault="00E64CEF" w:rsidP="00E64CEF">
      <w:pPr>
        <w:pStyle w:val="Clause"/>
      </w:pPr>
      <w:r w:rsidRPr="00C342E0">
        <w:rPr>
          <w:b/>
        </w:rPr>
        <w:t>[48]</w:t>
      </w:r>
      <w:r w:rsidRPr="00C342E0">
        <w:tab/>
      </w:r>
      <w:r w:rsidRPr="00C342E0">
        <w:rPr>
          <w:b/>
          <w:bCs/>
          <w:i/>
        </w:rPr>
        <w:t>Standard 3.3.1</w:t>
      </w:r>
      <w:r w:rsidRPr="00C342E0">
        <w:rPr>
          <w:i/>
        </w:rPr>
        <w:t xml:space="preserve"> of the Australia New Zealand Food Standards Code is varied by omitting </w:t>
      </w:r>
      <w:r w:rsidRPr="00C342E0">
        <w:t xml:space="preserve">and/or </w:t>
      </w:r>
      <w:r w:rsidRPr="00C342E0">
        <w:rPr>
          <w:i/>
        </w:rPr>
        <w:t xml:space="preserve">from the </w:t>
      </w:r>
      <w:r w:rsidRPr="00C342E0">
        <w:t xml:space="preserve">Schedule, </w:t>
      </w:r>
      <w:r w:rsidRPr="00C342E0">
        <w:rPr>
          <w:i/>
        </w:rPr>
        <w:t xml:space="preserve">substituting </w:t>
      </w:r>
      <w:r w:rsidRPr="00C342E0">
        <w:t>or</w:t>
      </w:r>
    </w:p>
    <w:p w:rsidR="00E64CEF" w:rsidRPr="00C342E0" w:rsidRDefault="00E64CEF" w:rsidP="00E64CEF">
      <w:pPr>
        <w:rPr>
          <w:sz w:val="20"/>
          <w:szCs w:val="20"/>
        </w:rPr>
      </w:pPr>
    </w:p>
    <w:p w:rsidR="00E64CEF" w:rsidRPr="00C342E0" w:rsidRDefault="00E64CEF" w:rsidP="00E64CEF">
      <w:pPr>
        <w:pStyle w:val="Clause"/>
      </w:pPr>
      <w:r w:rsidRPr="00C342E0">
        <w:rPr>
          <w:b/>
        </w:rPr>
        <w:t>[49]</w:t>
      </w:r>
      <w:r w:rsidRPr="00C342E0">
        <w:rPr>
          <w:b/>
        </w:rPr>
        <w:tab/>
      </w:r>
      <w:r w:rsidRPr="00C342E0">
        <w:rPr>
          <w:b/>
          <w:i/>
        </w:rPr>
        <w:t xml:space="preserve">Standard 4.2.1 </w:t>
      </w:r>
      <w:r w:rsidRPr="00C342E0">
        <w:rPr>
          <w:i/>
        </w:rPr>
        <w:t>of the Australia New Zealand Food Standards Code is varied by</w:t>
      </w:r>
      <w:r w:rsidRPr="00C342E0">
        <w:t xml:space="preserve"> – </w:t>
      </w:r>
    </w:p>
    <w:p w:rsidR="00E64CEF" w:rsidRPr="00C342E0" w:rsidRDefault="00E64CEF" w:rsidP="00E64CEF">
      <w:pPr>
        <w:rPr>
          <w:sz w:val="20"/>
          <w:szCs w:val="20"/>
        </w:rPr>
      </w:pPr>
    </w:p>
    <w:p w:rsidR="00E64CEF" w:rsidRPr="00C342E0" w:rsidRDefault="00E64CEF" w:rsidP="00E64CEF">
      <w:pPr>
        <w:pStyle w:val="Clause"/>
      </w:pPr>
      <w:r w:rsidRPr="00C342E0">
        <w:t>[49.1]</w:t>
      </w:r>
      <w:r w:rsidRPr="00C342E0">
        <w:tab/>
      </w:r>
      <w:r w:rsidRPr="00C342E0">
        <w:rPr>
          <w:i/>
        </w:rPr>
        <w:t xml:space="preserve">omitting </w:t>
      </w:r>
      <w:r w:rsidRPr="00C342E0">
        <w:t>food-borne</w:t>
      </w:r>
      <w:r w:rsidRPr="00C342E0">
        <w:rPr>
          <w:i/>
          <w:iCs/>
        </w:rPr>
        <w:t xml:space="preserve"> wherever appearing</w:t>
      </w:r>
      <w:r w:rsidRPr="00C342E0">
        <w:rPr>
          <w:i/>
        </w:rPr>
        <w:t xml:space="preserve">, substituting </w:t>
      </w:r>
      <w:r w:rsidRPr="00C342E0">
        <w:t>foodborne</w:t>
      </w:r>
    </w:p>
    <w:p w:rsidR="00E64CEF" w:rsidRPr="00C342E0" w:rsidRDefault="00E64CEF" w:rsidP="00E64CEF">
      <w:pPr>
        <w:rPr>
          <w:sz w:val="20"/>
          <w:szCs w:val="20"/>
        </w:rPr>
      </w:pPr>
    </w:p>
    <w:p w:rsidR="00E64CEF" w:rsidRPr="00C342E0" w:rsidRDefault="00E64CEF" w:rsidP="00E64CEF">
      <w:pPr>
        <w:pStyle w:val="Clause"/>
      </w:pPr>
      <w:r w:rsidRPr="00C342E0">
        <w:t>[49.2]</w:t>
      </w:r>
      <w:r w:rsidRPr="00C342E0">
        <w:tab/>
      </w:r>
      <w:r w:rsidRPr="00C342E0">
        <w:rPr>
          <w:i/>
        </w:rPr>
        <w:t xml:space="preserve">omitting the definition of </w:t>
      </w:r>
      <w:r w:rsidRPr="00C342E0">
        <w:t xml:space="preserve">ASQAP Manual </w:t>
      </w:r>
      <w:r w:rsidRPr="00C342E0">
        <w:rPr>
          <w:i/>
        </w:rPr>
        <w:t>from clause 15, substituting</w:t>
      </w:r>
      <w:r w:rsidRPr="00C342E0">
        <w:t xml:space="preserve"> – </w:t>
      </w:r>
    </w:p>
    <w:p w:rsidR="00E64CEF" w:rsidRPr="00C342E0" w:rsidRDefault="00E64CEF" w:rsidP="00E64CEF">
      <w:pPr>
        <w:rPr>
          <w:i/>
          <w:sz w:val="20"/>
          <w:szCs w:val="20"/>
        </w:rPr>
      </w:pPr>
    </w:p>
    <w:p w:rsidR="00E64CEF" w:rsidRPr="00C342E0" w:rsidRDefault="00E64CEF" w:rsidP="00E64CEF">
      <w:pPr>
        <w:pStyle w:val="Definition"/>
      </w:pPr>
      <w:r w:rsidRPr="00C342E0">
        <w:rPr>
          <w:b/>
        </w:rPr>
        <w:t xml:space="preserve">ASQAP Manual </w:t>
      </w:r>
      <w:r w:rsidRPr="00C342E0">
        <w:t>means the Australian Shellfish Quality Assurance Program Operations Manual.</w:t>
      </w:r>
    </w:p>
    <w:p w:rsidR="00E64CEF" w:rsidRPr="00C342E0" w:rsidRDefault="00E64CEF" w:rsidP="00E64CEF">
      <w:pPr>
        <w:pStyle w:val="Clause"/>
        <w:rPr>
          <w:i/>
          <w:iCs/>
        </w:rPr>
      </w:pPr>
    </w:p>
    <w:p w:rsidR="00E64CEF" w:rsidRPr="00C342E0" w:rsidRDefault="00E64CEF" w:rsidP="00E64CEF">
      <w:pPr>
        <w:pStyle w:val="Clause"/>
      </w:pPr>
      <w:r w:rsidRPr="00C342E0">
        <w:t>[49.3]</w:t>
      </w:r>
      <w:r w:rsidRPr="00C342E0">
        <w:tab/>
      </w:r>
      <w:r w:rsidRPr="00C342E0">
        <w:rPr>
          <w:i/>
        </w:rPr>
        <w:t xml:space="preserve">omitting the definition of </w:t>
      </w:r>
      <w:r w:rsidRPr="00C342E0">
        <w:rPr>
          <w:b/>
        </w:rPr>
        <w:t>batch</w:t>
      </w:r>
      <w:r w:rsidRPr="00C342E0">
        <w:rPr>
          <w:i/>
        </w:rPr>
        <w:t xml:space="preserve"> from clause 15, substituting</w:t>
      </w:r>
      <w:r w:rsidRPr="00C342E0">
        <w:t xml:space="preserve"> – </w:t>
      </w:r>
    </w:p>
    <w:p w:rsidR="00E64CEF" w:rsidRPr="00C342E0" w:rsidRDefault="00E64CEF" w:rsidP="00E64CEF">
      <w:pPr>
        <w:rPr>
          <w:i/>
          <w:sz w:val="20"/>
          <w:szCs w:val="20"/>
        </w:rPr>
      </w:pPr>
    </w:p>
    <w:p w:rsidR="00E64CEF" w:rsidRPr="00C342E0" w:rsidRDefault="00E64CEF" w:rsidP="00E64CEF">
      <w:pPr>
        <w:pStyle w:val="Definition"/>
      </w:pPr>
      <w:r w:rsidRPr="00C342E0">
        <w:rPr>
          <w:b/>
        </w:rPr>
        <w:t>batch</w:t>
      </w:r>
      <w:r w:rsidRPr="00C342E0">
        <w:t xml:space="preserve"> means a quantity of bivalve molluscs harvested from a particular harvesting area (e.g. marine farm, lease or designated wild shellstock harvest area) and with the same harvest date.</w:t>
      </w:r>
    </w:p>
    <w:p w:rsidR="00E64CEF" w:rsidRPr="00C342E0" w:rsidRDefault="00E64CEF" w:rsidP="00E64CEF">
      <w:pPr>
        <w:rPr>
          <w:i/>
          <w:sz w:val="20"/>
          <w:szCs w:val="20"/>
        </w:rPr>
      </w:pPr>
    </w:p>
    <w:p w:rsidR="00E64CEF" w:rsidRPr="00C342E0" w:rsidRDefault="00E64CEF" w:rsidP="00E64CEF">
      <w:pPr>
        <w:pStyle w:val="Clause"/>
        <w:rPr>
          <w:i/>
          <w:iCs/>
        </w:rPr>
      </w:pPr>
      <w:r w:rsidRPr="00C342E0">
        <w:rPr>
          <w:b/>
          <w:bCs/>
        </w:rPr>
        <w:t>[50]</w:t>
      </w:r>
      <w:r w:rsidRPr="00C342E0">
        <w:tab/>
      </w:r>
      <w:r w:rsidRPr="00C342E0">
        <w:rPr>
          <w:b/>
          <w:bCs/>
          <w:i/>
          <w:iCs/>
        </w:rPr>
        <w:t>Standard 4.5.1</w:t>
      </w:r>
      <w:r w:rsidRPr="00C342E0">
        <w:rPr>
          <w:i/>
          <w:iCs/>
        </w:rPr>
        <w:t xml:space="preserve"> of the Australia New Zealand Food Standards Code is varied by – </w:t>
      </w:r>
    </w:p>
    <w:p w:rsidR="00E64CEF" w:rsidRPr="00C342E0" w:rsidRDefault="00E64CEF" w:rsidP="00E64CEF">
      <w:pPr>
        <w:rPr>
          <w:b/>
          <w:sz w:val="20"/>
          <w:szCs w:val="20"/>
        </w:rPr>
      </w:pPr>
    </w:p>
    <w:p w:rsidR="00E64CEF" w:rsidRPr="00C342E0" w:rsidRDefault="00E64CEF" w:rsidP="009D2A44">
      <w:pPr>
        <w:pStyle w:val="Clause"/>
      </w:pPr>
      <w:r w:rsidRPr="00C342E0">
        <w:t>[50.1]</w:t>
      </w:r>
      <w:r w:rsidRPr="00C342E0">
        <w:tab/>
      </w:r>
      <w:r w:rsidRPr="00C342E0">
        <w:rPr>
          <w:i/>
        </w:rPr>
        <w:t xml:space="preserve">omitting subclause 5(4), substituting </w:t>
      </w:r>
      <w:r w:rsidRPr="00C342E0">
        <w:t xml:space="preserve">– </w:t>
      </w:r>
    </w:p>
    <w:p w:rsidR="00E64CEF" w:rsidRPr="00C342E0" w:rsidRDefault="00E64CEF" w:rsidP="00E64CEF">
      <w:pPr>
        <w:rPr>
          <w:i/>
          <w:sz w:val="20"/>
          <w:szCs w:val="20"/>
        </w:rPr>
      </w:pPr>
    </w:p>
    <w:p w:rsidR="00E64CEF" w:rsidRPr="00C342E0" w:rsidRDefault="00E64CEF" w:rsidP="00E64CEF">
      <w:pPr>
        <w:pStyle w:val="Subclause"/>
      </w:pPr>
      <w:r w:rsidRPr="00C342E0">
        <w:t>(4)</w:t>
      </w:r>
      <w:r w:rsidRPr="00C342E0">
        <w:tab/>
        <w:t>Deleted</w:t>
      </w:r>
    </w:p>
    <w:p w:rsidR="00E64CEF" w:rsidRDefault="00E64CEF" w:rsidP="00E64CEF">
      <w:pPr>
        <w:rPr>
          <w:b/>
        </w:rPr>
      </w:pPr>
    </w:p>
    <w:p w:rsidR="00E64CEF" w:rsidRDefault="00E64CEF" w:rsidP="00E64CEF">
      <w:pPr>
        <w:rPr>
          <w:b/>
        </w:rPr>
      </w:pPr>
    </w:p>
    <w:p w:rsidR="00E64CEF" w:rsidRDefault="00E64CEF" w:rsidP="00E64CEF">
      <w:pPr>
        <w:rPr>
          <w:b/>
        </w:rPr>
      </w:pPr>
      <w:r>
        <w:rPr>
          <w:b/>
        </w:rPr>
        <w:t>To commence: on 20 May 2012</w:t>
      </w:r>
    </w:p>
    <w:p w:rsidR="00E64CEF" w:rsidRPr="00C342E0" w:rsidRDefault="00E64CEF" w:rsidP="00E64CEF">
      <w:pPr>
        <w:rPr>
          <w:sz w:val="20"/>
          <w:szCs w:val="20"/>
        </w:rPr>
      </w:pPr>
    </w:p>
    <w:p w:rsidR="00E64CEF" w:rsidRPr="00C342E0" w:rsidRDefault="00E64CEF" w:rsidP="00E64CEF">
      <w:pPr>
        <w:pStyle w:val="Clause"/>
      </w:pPr>
      <w:r w:rsidRPr="00C342E0">
        <w:t>[</w:t>
      </w:r>
      <w:r w:rsidRPr="00C342E0">
        <w:rPr>
          <w:b/>
        </w:rPr>
        <w:t>51</w:t>
      </w:r>
      <w:r w:rsidRPr="00C342E0">
        <w:t>]</w:t>
      </w:r>
      <w:r w:rsidRPr="00C342E0">
        <w:tab/>
      </w:r>
      <w:r w:rsidRPr="00C342E0">
        <w:rPr>
          <w:b/>
          <w:bCs/>
          <w:i/>
        </w:rPr>
        <w:t>Standard 1.6.2</w:t>
      </w:r>
      <w:r w:rsidRPr="00C342E0">
        <w:rPr>
          <w:i/>
        </w:rPr>
        <w:t xml:space="preserve"> of the Australia New Zealand Food Standards Code is varied by omitting from the</w:t>
      </w:r>
      <w:r w:rsidRPr="00C342E0">
        <w:t xml:space="preserve"> Table of Provisions– </w:t>
      </w:r>
    </w:p>
    <w:p w:rsidR="00E64CEF" w:rsidRPr="00C342E0" w:rsidRDefault="00E64CEF" w:rsidP="00E64CEF">
      <w:pPr>
        <w:rPr>
          <w:iCs/>
          <w:sz w:val="20"/>
          <w:szCs w:val="20"/>
        </w:rPr>
      </w:pPr>
    </w:p>
    <w:p w:rsidR="00E64CEF" w:rsidRPr="00C342E0" w:rsidRDefault="00E64CEF" w:rsidP="00E64CEF">
      <w:pPr>
        <w:pStyle w:val="ClauseList"/>
      </w:pPr>
      <w:r w:rsidRPr="00C342E0">
        <w:t>4</w:t>
      </w:r>
      <w:r w:rsidRPr="00C342E0">
        <w:tab/>
        <w:t>Eviscerated poultry</w:t>
      </w:r>
    </w:p>
    <w:p w:rsidR="00E64CEF" w:rsidRPr="00C342E0" w:rsidRDefault="00E64CEF" w:rsidP="00E64CEF">
      <w:pPr>
        <w:rPr>
          <w:iCs/>
          <w:sz w:val="20"/>
          <w:szCs w:val="20"/>
        </w:rPr>
      </w:pPr>
    </w:p>
    <w:p w:rsidR="00E64CEF" w:rsidRPr="00C342E0" w:rsidRDefault="00E64CEF" w:rsidP="009D2A44">
      <w:pPr>
        <w:pStyle w:val="Clause"/>
      </w:pPr>
      <w:r w:rsidRPr="00C342E0">
        <w:rPr>
          <w:i/>
        </w:rPr>
        <w:t>substituting</w:t>
      </w:r>
      <w:r w:rsidRPr="00C342E0">
        <w:t xml:space="preserve"> – </w:t>
      </w:r>
    </w:p>
    <w:p w:rsidR="00E64CEF" w:rsidRPr="00C342E0" w:rsidRDefault="00E64CEF" w:rsidP="00E64CEF">
      <w:pPr>
        <w:rPr>
          <w:i/>
          <w:iCs/>
          <w:sz w:val="20"/>
          <w:szCs w:val="20"/>
        </w:rPr>
      </w:pPr>
    </w:p>
    <w:p w:rsidR="00E64CEF" w:rsidRPr="00C342E0" w:rsidRDefault="00E64CEF" w:rsidP="00E64CEF">
      <w:pPr>
        <w:pStyle w:val="ClauseList"/>
      </w:pPr>
      <w:r w:rsidRPr="00C342E0">
        <w:t>4</w:t>
      </w:r>
      <w:r w:rsidRPr="00C342E0">
        <w:tab/>
        <w:t>Reserved</w:t>
      </w:r>
    </w:p>
    <w:p w:rsidR="00E64CEF" w:rsidRPr="00C342E0" w:rsidRDefault="00E64CEF">
      <w:pPr>
        <w:widowControl/>
        <w:rPr>
          <w:sz w:val="20"/>
          <w:szCs w:val="20"/>
        </w:rPr>
      </w:pPr>
    </w:p>
    <w:p w:rsidR="00E64CEF" w:rsidRPr="00C342E0" w:rsidRDefault="00E64CEF">
      <w:pPr>
        <w:widowControl/>
        <w:rPr>
          <w:sz w:val="20"/>
          <w:szCs w:val="20"/>
        </w:rPr>
      </w:pPr>
    </w:p>
    <w:p w:rsidR="00347E88" w:rsidRDefault="00347E88">
      <w:pPr>
        <w:widowControl/>
      </w:pPr>
      <w:r>
        <w:br w:type="page"/>
      </w:r>
    </w:p>
    <w:p w:rsidR="003F511C" w:rsidRPr="00DC6570" w:rsidRDefault="003F511C" w:rsidP="003F511C">
      <w:pPr>
        <w:pStyle w:val="Heading2"/>
        <w:jc w:val="right"/>
      </w:pPr>
      <w:bookmarkStart w:id="224" w:name="_Toc290973101"/>
      <w:r w:rsidRPr="00DC6570">
        <w:lastRenderedPageBreak/>
        <w:t xml:space="preserve">Attachment </w:t>
      </w:r>
      <w:r>
        <w:t>2A</w:t>
      </w:r>
      <w:bookmarkEnd w:id="224"/>
    </w:p>
    <w:p w:rsidR="003F511C" w:rsidRPr="009D2A44" w:rsidRDefault="003F511C" w:rsidP="009D2A44"/>
    <w:p w:rsidR="003F511C" w:rsidRPr="00DC6570" w:rsidRDefault="003F511C" w:rsidP="009D2A44">
      <w:pPr>
        <w:pStyle w:val="Heading2"/>
        <w:ind w:left="0" w:firstLine="0"/>
        <w:rPr>
          <w:rFonts w:cs="Arial"/>
        </w:rPr>
      </w:pPr>
      <w:bookmarkStart w:id="225" w:name="_Toc290973102"/>
      <w:r w:rsidRPr="00DC6570">
        <w:rPr>
          <w:rFonts w:cs="Arial"/>
        </w:rPr>
        <w:t>Draft variatio</w:t>
      </w:r>
      <w:r w:rsidRPr="006D3CB4">
        <w:rPr>
          <w:rFonts w:cs="Arial"/>
        </w:rPr>
        <w:t xml:space="preserve">ns </w:t>
      </w:r>
      <w:r w:rsidRPr="00DC6570">
        <w:rPr>
          <w:rFonts w:cs="Arial"/>
        </w:rPr>
        <w:t xml:space="preserve">to </w:t>
      </w:r>
      <w:r>
        <w:rPr>
          <w:rFonts w:cs="Arial"/>
        </w:rPr>
        <w:t xml:space="preserve">Editorial Notes in </w:t>
      </w:r>
      <w:r w:rsidRPr="00DC6570">
        <w:rPr>
          <w:rFonts w:cs="Arial"/>
        </w:rPr>
        <w:t xml:space="preserve">the </w:t>
      </w:r>
      <w:r w:rsidRPr="00DC6570">
        <w:rPr>
          <w:rFonts w:cs="Arial"/>
          <w:i/>
          <w:iCs w:val="0"/>
        </w:rPr>
        <w:t>Australia New Zealand Food Standards Code</w:t>
      </w:r>
      <w:r w:rsidR="009D2A44">
        <w:rPr>
          <w:rFonts w:cs="Arial"/>
          <w:i/>
          <w:iCs w:val="0"/>
        </w:rPr>
        <w:t xml:space="preserve"> </w:t>
      </w:r>
      <w:r w:rsidR="009D2A44" w:rsidRPr="009D2A44">
        <w:rPr>
          <w:rFonts w:cs="Arial"/>
          <w:iCs w:val="0"/>
        </w:rPr>
        <w:t>(at Approval)</w:t>
      </w:r>
      <w:bookmarkEnd w:id="225"/>
    </w:p>
    <w:p w:rsidR="00097373" w:rsidRDefault="00097373">
      <w:pPr>
        <w:widowControl/>
      </w:pPr>
    </w:p>
    <w:p w:rsidR="00863F35" w:rsidRPr="003A6433" w:rsidRDefault="00863F35" w:rsidP="00863F35">
      <w:pPr>
        <w:rPr>
          <w:b/>
        </w:rPr>
      </w:pPr>
      <w:r>
        <w:rPr>
          <w:b/>
        </w:rPr>
        <w:t>To commence: on gazettal</w:t>
      </w:r>
    </w:p>
    <w:p w:rsidR="00863F35" w:rsidRDefault="00863F35" w:rsidP="00863F35"/>
    <w:p w:rsidR="00863F35" w:rsidRDefault="00863F35" w:rsidP="00863F35">
      <w:pPr>
        <w:pStyle w:val="Clause"/>
      </w:pPr>
      <w:r>
        <w:rPr>
          <w:b/>
        </w:rPr>
        <w:t>[1]</w:t>
      </w:r>
      <w:r>
        <w:rPr>
          <w:b/>
        </w:rPr>
        <w:tab/>
      </w:r>
      <w:r w:rsidRPr="00166996">
        <w:rPr>
          <w:i/>
        </w:rPr>
        <w:t xml:space="preserve">The Editorial notes in the Standards of the Australia New Zealand Food Standards Code listed in </w:t>
      </w:r>
      <w:r>
        <w:t xml:space="preserve">Column 1 </w:t>
      </w:r>
      <w:r w:rsidRPr="00166996">
        <w:rPr>
          <w:i/>
        </w:rPr>
        <w:t xml:space="preserve">of the </w:t>
      </w:r>
      <w:r>
        <w:t xml:space="preserve">Table </w:t>
      </w:r>
      <w:r w:rsidRPr="00166996">
        <w:rPr>
          <w:i/>
        </w:rPr>
        <w:t xml:space="preserve">to this item are varied by omitting the Editorial notes listed in Column 2 </w:t>
      </w:r>
      <w:r>
        <w:t>–</w:t>
      </w:r>
    </w:p>
    <w:p w:rsidR="00863F35" w:rsidRPr="007C0664" w:rsidRDefault="00863F35" w:rsidP="00863F35">
      <w:pPr>
        <w:pStyle w:val="TableHeading"/>
      </w:pPr>
      <w:r w:rsidRPr="007C0664">
        <w:t>Table to Item 1</w:t>
      </w:r>
    </w:p>
    <w:p w:rsidR="00863F35" w:rsidRDefault="00863F35" w:rsidP="00863F3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618"/>
      </w:tblGrid>
      <w:tr w:rsidR="00863F35" w:rsidTr="007E68EA">
        <w:tc>
          <w:tcPr>
            <w:tcW w:w="4618" w:type="dxa"/>
          </w:tcPr>
          <w:p w:rsidR="00863F35" w:rsidRPr="00520466" w:rsidRDefault="00863F35" w:rsidP="007E68EA">
            <w:pPr>
              <w:pStyle w:val="Table1"/>
            </w:pPr>
            <w:r w:rsidRPr="00520466">
              <w:t>Column 1</w:t>
            </w:r>
          </w:p>
          <w:p w:rsidR="00863F35" w:rsidRPr="00520466" w:rsidRDefault="00863F35" w:rsidP="007E68EA">
            <w:pPr>
              <w:pStyle w:val="Table1"/>
            </w:pPr>
            <w:r w:rsidRPr="00520466">
              <w:t>Standard</w:t>
            </w:r>
          </w:p>
        </w:tc>
        <w:tc>
          <w:tcPr>
            <w:tcW w:w="4618" w:type="dxa"/>
          </w:tcPr>
          <w:p w:rsidR="00863F35" w:rsidRPr="00520466" w:rsidRDefault="00863F35" w:rsidP="007E68EA">
            <w:pPr>
              <w:pStyle w:val="Table1"/>
            </w:pPr>
            <w:r w:rsidRPr="00520466">
              <w:t>Column 2</w:t>
            </w:r>
          </w:p>
          <w:p w:rsidR="00863F35" w:rsidRPr="00520466" w:rsidRDefault="00863F35" w:rsidP="007E68EA">
            <w:pPr>
              <w:pStyle w:val="Table1"/>
            </w:pPr>
            <w:r w:rsidRPr="00520466">
              <w:t>Editorial note</w:t>
            </w:r>
          </w:p>
        </w:tc>
      </w:tr>
      <w:tr w:rsidR="00863F35" w:rsidTr="007E68EA">
        <w:tc>
          <w:tcPr>
            <w:tcW w:w="4618" w:type="dxa"/>
          </w:tcPr>
          <w:p w:rsidR="00863F35" w:rsidRDefault="00863F35" w:rsidP="007E68EA">
            <w:pPr>
              <w:pStyle w:val="Table2"/>
            </w:pPr>
            <w:r>
              <w:t>Standard 1.1.1</w:t>
            </w:r>
          </w:p>
        </w:tc>
        <w:tc>
          <w:tcPr>
            <w:tcW w:w="4618" w:type="dxa"/>
          </w:tcPr>
          <w:p w:rsidR="00863F35" w:rsidRPr="00520466" w:rsidRDefault="00863F35" w:rsidP="007E68EA">
            <w:pPr>
              <w:pStyle w:val="Table2"/>
              <w:rPr>
                <w:b/>
              </w:rPr>
            </w:pPr>
            <w:r>
              <w:t xml:space="preserve">The Editorial note following the definition of </w:t>
            </w:r>
            <w:r>
              <w:rPr>
                <w:b/>
              </w:rPr>
              <w:t>fund raising events</w:t>
            </w:r>
          </w:p>
        </w:tc>
      </w:tr>
      <w:tr w:rsidR="00863F35" w:rsidTr="007E68EA">
        <w:tc>
          <w:tcPr>
            <w:tcW w:w="4618" w:type="dxa"/>
          </w:tcPr>
          <w:p w:rsidR="00863F35" w:rsidRDefault="00863F35" w:rsidP="007E68EA">
            <w:pPr>
              <w:pStyle w:val="Table2"/>
            </w:pPr>
            <w:r>
              <w:t>Standard 1.2.11</w:t>
            </w:r>
          </w:p>
        </w:tc>
        <w:tc>
          <w:tcPr>
            <w:tcW w:w="4618" w:type="dxa"/>
          </w:tcPr>
          <w:p w:rsidR="00863F35" w:rsidRDefault="00863F35" w:rsidP="007E68EA">
            <w:pPr>
              <w:pStyle w:val="Table2"/>
            </w:pPr>
            <w:r>
              <w:t>The Editorial note following clause 2</w:t>
            </w:r>
          </w:p>
        </w:tc>
      </w:tr>
      <w:tr w:rsidR="00863F35" w:rsidTr="007E68EA">
        <w:tc>
          <w:tcPr>
            <w:tcW w:w="4618" w:type="dxa"/>
          </w:tcPr>
          <w:p w:rsidR="00863F35" w:rsidRDefault="00863F35" w:rsidP="007E68EA">
            <w:pPr>
              <w:pStyle w:val="Table2"/>
            </w:pPr>
            <w:r>
              <w:t>Standard 1.3.1</w:t>
            </w:r>
          </w:p>
        </w:tc>
        <w:tc>
          <w:tcPr>
            <w:tcW w:w="4618" w:type="dxa"/>
          </w:tcPr>
          <w:p w:rsidR="00863F35" w:rsidRDefault="00863F35" w:rsidP="007E68EA">
            <w:pPr>
              <w:pStyle w:val="Table2"/>
            </w:pPr>
            <w:r>
              <w:t>The Editorial note following clause 3</w:t>
            </w:r>
          </w:p>
        </w:tc>
      </w:tr>
      <w:tr w:rsidR="00863F35" w:rsidTr="007E68EA">
        <w:tc>
          <w:tcPr>
            <w:tcW w:w="4618" w:type="dxa"/>
          </w:tcPr>
          <w:p w:rsidR="00863F35" w:rsidRDefault="00863F35" w:rsidP="007E68EA">
            <w:pPr>
              <w:pStyle w:val="Table2"/>
            </w:pPr>
            <w:r>
              <w:t>Standard 1.3.1</w:t>
            </w:r>
          </w:p>
        </w:tc>
        <w:tc>
          <w:tcPr>
            <w:tcW w:w="4618" w:type="dxa"/>
          </w:tcPr>
          <w:p w:rsidR="00863F35" w:rsidRDefault="00863F35" w:rsidP="007E68EA">
            <w:pPr>
              <w:pStyle w:val="Table2"/>
            </w:pPr>
            <w:r>
              <w:t>The Editorial note following clause 11</w:t>
            </w:r>
          </w:p>
        </w:tc>
      </w:tr>
      <w:tr w:rsidR="00863F35" w:rsidTr="007E68EA">
        <w:tc>
          <w:tcPr>
            <w:tcW w:w="4618" w:type="dxa"/>
          </w:tcPr>
          <w:p w:rsidR="00863F35" w:rsidRDefault="00863F35" w:rsidP="007E68EA">
            <w:pPr>
              <w:pStyle w:val="Table2"/>
            </w:pPr>
            <w:r>
              <w:t>Standard 2.2.1</w:t>
            </w:r>
          </w:p>
        </w:tc>
        <w:tc>
          <w:tcPr>
            <w:tcW w:w="4618" w:type="dxa"/>
          </w:tcPr>
          <w:p w:rsidR="00863F35" w:rsidRDefault="00863F35" w:rsidP="007E68EA">
            <w:pPr>
              <w:pStyle w:val="Table2"/>
            </w:pPr>
            <w:r>
              <w:t>The Editorial note within clause 1</w:t>
            </w:r>
          </w:p>
        </w:tc>
      </w:tr>
      <w:tr w:rsidR="00863F35" w:rsidTr="007E68EA">
        <w:tc>
          <w:tcPr>
            <w:tcW w:w="4618" w:type="dxa"/>
          </w:tcPr>
          <w:p w:rsidR="00863F35" w:rsidRDefault="00863F35" w:rsidP="007E68EA">
            <w:pPr>
              <w:pStyle w:val="Table2"/>
            </w:pPr>
            <w:r>
              <w:t>Standard 2.5.4</w:t>
            </w:r>
          </w:p>
        </w:tc>
        <w:tc>
          <w:tcPr>
            <w:tcW w:w="4618" w:type="dxa"/>
          </w:tcPr>
          <w:p w:rsidR="00863F35" w:rsidRDefault="00863F35" w:rsidP="007E68EA">
            <w:pPr>
              <w:pStyle w:val="Table2"/>
            </w:pPr>
            <w:r>
              <w:t>The Editorial note following clause 3</w:t>
            </w:r>
          </w:p>
        </w:tc>
      </w:tr>
      <w:tr w:rsidR="00863F35" w:rsidTr="007E68EA">
        <w:tc>
          <w:tcPr>
            <w:tcW w:w="4618" w:type="dxa"/>
          </w:tcPr>
          <w:p w:rsidR="00863F35" w:rsidRDefault="00863F35" w:rsidP="007E68EA">
            <w:pPr>
              <w:pStyle w:val="Table2"/>
            </w:pPr>
            <w:r>
              <w:t>Standard 2.7.4</w:t>
            </w:r>
          </w:p>
        </w:tc>
        <w:tc>
          <w:tcPr>
            <w:tcW w:w="4618" w:type="dxa"/>
          </w:tcPr>
          <w:p w:rsidR="00863F35" w:rsidRDefault="00863F35" w:rsidP="007E68EA">
            <w:pPr>
              <w:pStyle w:val="Table2"/>
            </w:pPr>
            <w:r>
              <w:t>The Editorial note following clause 2</w:t>
            </w:r>
          </w:p>
        </w:tc>
      </w:tr>
    </w:tbl>
    <w:p w:rsidR="00863F35" w:rsidRPr="00C342E0" w:rsidRDefault="00863F35" w:rsidP="00863F35">
      <w:pPr>
        <w:rPr>
          <w:sz w:val="20"/>
          <w:szCs w:val="20"/>
        </w:rPr>
      </w:pPr>
    </w:p>
    <w:p w:rsidR="00863F35" w:rsidRPr="00C342E0" w:rsidRDefault="00863F35" w:rsidP="00C342E0">
      <w:pPr>
        <w:pStyle w:val="Clause"/>
      </w:pPr>
      <w:r w:rsidRPr="00C342E0">
        <w:rPr>
          <w:b/>
        </w:rPr>
        <w:t>[2]</w:t>
      </w:r>
      <w:r w:rsidRPr="00C342E0">
        <w:rPr>
          <w:b/>
        </w:rPr>
        <w:tab/>
      </w:r>
      <w:r w:rsidRPr="00C342E0">
        <w:rPr>
          <w:b/>
          <w:i/>
        </w:rPr>
        <w:t>Standard 1.1.1</w:t>
      </w:r>
      <w:r w:rsidRPr="00C342E0">
        <w:rPr>
          <w:i/>
        </w:rPr>
        <w:t xml:space="preserve"> of the Australia New Zealand Food Standards Code is varied by </w:t>
      </w:r>
      <w:r w:rsidRPr="00C342E0">
        <w:t xml:space="preserve">– </w:t>
      </w:r>
    </w:p>
    <w:p w:rsidR="00863F35" w:rsidRPr="00C342E0" w:rsidRDefault="00863F35" w:rsidP="00C342E0">
      <w:pPr>
        <w:pStyle w:val="Clause"/>
      </w:pPr>
    </w:p>
    <w:p w:rsidR="00863F35" w:rsidRPr="00C342E0" w:rsidRDefault="00863F35" w:rsidP="00C342E0">
      <w:pPr>
        <w:pStyle w:val="Clause"/>
      </w:pPr>
      <w:r w:rsidRPr="00C342E0">
        <w:t>[2.1]</w:t>
      </w:r>
      <w:r w:rsidRPr="00C342E0">
        <w:tab/>
      </w:r>
      <w:r w:rsidRPr="00C342E0">
        <w:rPr>
          <w:i/>
        </w:rPr>
        <w:t xml:space="preserve">omitting from the </w:t>
      </w:r>
      <w:r w:rsidRPr="00C342E0">
        <w:t>Editorial note</w:t>
      </w:r>
      <w:r w:rsidRPr="00C342E0">
        <w:rPr>
          <w:i/>
        </w:rPr>
        <w:t xml:space="preserve"> preceding the </w:t>
      </w:r>
      <w:r w:rsidRPr="00C342E0">
        <w:t>Table of Provisions –</w:t>
      </w:r>
    </w:p>
    <w:p w:rsidR="00863F35" w:rsidRPr="00C342E0" w:rsidRDefault="00863F35" w:rsidP="00C342E0">
      <w:pPr>
        <w:pStyle w:val="Clause"/>
      </w:pPr>
    </w:p>
    <w:p w:rsidR="00863F35" w:rsidRPr="00C342E0" w:rsidRDefault="00863F35" w:rsidP="00863F35">
      <w:pPr>
        <w:pStyle w:val="Clause"/>
      </w:pPr>
      <w:r w:rsidRPr="00C342E0">
        <w:rPr>
          <w:i/>
        </w:rPr>
        <w:t>Health Act 1911</w:t>
      </w:r>
      <w:r w:rsidRPr="00C342E0">
        <w:t xml:space="preserve"> (Western Australia)</w:t>
      </w:r>
    </w:p>
    <w:p w:rsidR="00863F35" w:rsidRPr="00C342E0" w:rsidRDefault="00863F35" w:rsidP="00863F35">
      <w:pPr>
        <w:rPr>
          <w:sz w:val="20"/>
          <w:szCs w:val="20"/>
        </w:rPr>
      </w:pPr>
    </w:p>
    <w:p w:rsidR="00863F35" w:rsidRPr="00C342E0" w:rsidRDefault="00863F35" w:rsidP="00863F35">
      <w:pPr>
        <w:pStyle w:val="Clause"/>
        <w:rPr>
          <w:i/>
          <w:iCs/>
        </w:rPr>
      </w:pPr>
      <w:r w:rsidRPr="00C342E0">
        <w:rPr>
          <w:i/>
          <w:iCs/>
        </w:rPr>
        <w:t>substituting –</w:t>
      </w:r>
    </w:p>
    <w:p w:rsidR="00863F35" w:rsidRPr="00C342E0" w:rsidRDefault="00863F35" w:rsidP="00863F35">
      <w:pPr>
        <w:rPr>
          <w:i/>
          <w:sz w:val="20"/>
          <w:szCs w:val="20"/>
        </w:rPr>
      </w:pPr>
    </w:p>
    <w:p w:rsidR="00863F35" w:rsidRPr="00C342E0" w:rsidRDefault="00863F35" w:rsidP="00863F35">
      <w:pPr>
        <w:pStyle w:val="Clause"/>
      </w:pPr>
      <w:r w:rsidRPr="00C342E0">
        <w:rPr>
          <w:i/>
        </w:rPr>
        <w:t xml:space="preserve">Food Act 2008 </w:t>
      </w:r>
      <w:r w:rsidRPr="00C342E0">
        <w:t>(Western Australia)</w:t>
      </w:r>
    </w:p>
    <w:p w:rsidR="00863F35" w:rsidRPr="00C342E0" w:rsidRDefault="00863F35" w:rsidP="00863F35">
      <w:pPr>
        <w:rPr>
          <w:sz w:val="20"/>
          <w:szCs w:val="20"/>
        </w:rPr>
      </w:pPr>
    </w:p>
    <w:p w:rsidR="00863F35" w:rsidRPr="00C342E0" w:rsidRDefault="00863F35" w:rsidP="00863F35">
      <w:pPr>
        <w:pStyle w:val="Clause"/>
      </w:pPr>
      <w:r w:rsidRPr="00C342E0">
        <w:t>[2.2]</w:t>
      </w:r>
      <w:r w:rsidRPr="00C342E0">
        <w:tab/>
      </w:r>
      <w:r w:rsidRPr="00C342E0">
        <w:rPr>
          <w:i/>
        </w:rPr>
        <w:t>omitting from the</w:t>
      </w:r>
      <w:r w:rsidRPr="00C342E0">
        <w:t xml:space="preserve"> Editorial </w:t>
      </w:r>
      <w:r w:rsidRPr="00C342E0">
        <w:rPr>
          <w:i/>
        </w:rPr>
        <w:t>note preceding the</w:t>
      </w:r>
      <w:r w:rsidRPr="00C342E0">
        <w:t xml:space="preserve"> Table of Provisions – </w:t>
      </w:r>
    </w:p>
    <w:p w:rsidR="00863F35" w:rsidRPr="00C342E0" w:rsidRDefault="00863F35" w:rsidP="00863F35">
      <w:pPr>
        <w:rPr>
          <w:i/>
          <w:sz w:val="20"/>
          <w:szCs w:val="20"/>
        </w:rPr>
      </w:pPr>
    </w:p>
    <w:p w:rsidR="00863F35" w:rsidRPr="00C342E0" w:rsidRDefault="00863F35" w:rsidP="00863F35">
      <w:pPr>
        <w:pStyle w:val="Clause"/>
        <w:rPr>
          <w:iCs/>
        </w:rPr>
      </w:pPr>
      <w:r w:rsidRPr="00C342E0">
        <w:rPr>
          <w:i/>
          <w:iCs/>
        </w:rPr>
        <w:t xml:space="preserve">Food Act </w:t>
      </w:r>
      <w:r w:rsidRPr="00C342E0">
        <w:rPr>
          <w:iCs/>
        </w:rPr>
        <w:t>(Northern Territory)</w:t>
      </w:r>
    </w:p>
    <w:p w:rsidR="00863F35" w:rsidRPr="00C342E0" w:rsidRDefault="00863F35" w:rsidP="00863F35">
      <w:pPr>
        <w:rPr>
          <w:sz w:val="20"/>
          <w:szCs w:val="20"/>
        </w:rPr>
      </w:pPr>
    </w:p>
    <w:p w:rsidR="00863F35" w:rsidRPr="00C342E0" w:rsidRDefault="00863F35" w:rsidP="00863F35">
      <w:pPr>
        <w:pStyle w:val="Clause"/>
        <w:rPr>
          <w:i/>
          <w:iCs/>
        </w:rPr>
      </w:pPr>
      <w:r w:rsidRPr="00C342E0">
        <w:rPr>
          <w:i/>
          <w:iCs/>
        </w:rPr>
        <w:t xml:space="preserve">substituting – </w:t>
      </w:r>
    </w:p>
    <w:p w:rsidR="00863F35" w:rsidRPr="00C342E0" w:rsidRDefault="00863F35" w:rsidP="00863F35">
      <w:pPr>
        <w:rPr>
          <w:sz w:val="20"/>
          <w:szCs w:val="20"/>
        </w:rPr>
      </w:pPr>
    </w:p>
    <w:p w:rsidR="00863F35" w:rsidRPr="00C342E0" w:rsidRDefault="00863F35" w:rsidP="00863F35">
      <w:pPr>
        <w:pStyle w:val="Clause"/>
        <w:rPr>
          <w:iCs/>
        </w:rPr>
      </w:pPr>
      <w:r w:rsidRPr="00C342E0">
        <w:rPr>
          <w:i/>
          <w:iCs/>
        </w:rPr>
        <w:t xml:space="preserve">Food Act 2004  </w:t>
      </w:r>
      <w:r w:rsidRPr="00C342E0">
        <w:rPr>
          <w:iCs/>
        </w:rPr>
        <w:t>(Northern Territory)</w:t>
      </w:r>
    </w:p>
    <w:p w:rsidR="00863F35" w:rsidRPr="00C342E0" w:rsidRDefault="00863F35" w:rsidP="00863F35">
      <w:pPr>
        <w:rPr>
          <w:sz w:val="20"/>
          <w:szCs w:val="20"/>
        </w:rPr>
      </w:pPr>
    </w:p>
    <w:p w:rsidR="00863F35" w:rsidRPr="00C342E0" w:rsidRDefault="00863F35" w:rsidP="00C342E0">
      <w:pPr>
        <w:pStyle w:val="Clause"/>
      </w:pPr>
      <w:r w:rsidRPr="00C342E0">
        <w:rPr>
          <w:b/>
        </w:rPr>
        <w:t>[3]</w:t>
      </w:r>
      <w:r w:rsidRPr="00C342E0">
        <w:rPr>
          <w:b/>
        </w:rPr>
        <w:tab/>
      </w:r>
      <w:r w:rsidRPr="00C342E0">
        <w:rPr>
          <w:b/>
          <w:i/>
        </w:rPr>
        <w:t>Standard 1.2.3</w:t>
      </w:r>
      <w:r w:rsidRPr="00C342E0">
        <w:rPr>
          <w:i/>
        </w:rPr>
        <w:t xml:space="preserve"> of the Australia New Zealand Food Standards Code is varied by omitting from the </w:t>
      </w:r>
      <w:r w:rsidRPr="00C342E0">
        <w:t xml:space="preserve">Editorial note </w:t>
      </w:r>
      <w:r w:rsidRPr="00C342E0">
        <w:rPr>
          <w:i/>
        </w:rPr>
        <w:t>following clause 2</w:t>
      </w:r>
      <w:r w:rsidRPr="00C342E0">
        <w:t xml:space="preserve"> –</w:t>
      </w:r>
    </w:p>
    <w:p w:rsidR="00863F35" w:rsidRPr="00C342E0" w:rsidRDefault="00863F35" w:rsidP="00863F35">
      <w:pPr>
        <w:pStyle w:val="Clause"/>
      </w:pPr>
    </w:p>
    <w:p w:rsidR="00863F35" w:rsidRPr="00C342E0" w:rsidRDefault="00863F35" w:rsidP="00863F35">
      <w:pPr>
        <w:pStyle w:val="Clause"/>
      </w:pPr>
      <w:r w:rsidRPr="00C342E0">
        <w:t>Standard 2.5.1. – ‘dried milks’</w:t>
      </w:r>
    </w:p>
    <w:p w:rsidR="00863F35" w:rsidRPr="00C342E0" w:rsidRDefault="00863F35" w:rsidP="00863F35">
      <w:pPr>
        <w:rPr>
          <w:i/>
          <w:sz w:val="20"/>
          <w:szCs w:val="20"/>
        </w:rPr>
      </w:pPr>
    </w:p>
    <w:p w:rsidR="00863F35" w:rsidRPr="00C342E0" w:rsidRDefault="00863F35" w:rsidP="00863F35">
      <w:pPr>
        <w:pStyle w:val="Clause"/>
        <w:rPr>
          <w:i/>
          <w:iCs/>
        </w:rPr>
      </w:pPr>
      <w:r w:rsidRPr="00C342E0">
        <w:rPr>
          <w:i/>
          <w:iCs/>
        </w:rPr>
        <w:t>substituting –</w:t>
      </w:r>
    </w:p>
    <w:p w:rsidR="00863F35" w:rsidRPr="00C342E0" w:rsidRDefault="00863F35" w:rsidP="00863F35">
      <w:pPr>
        <w:rPr>
          <w:i/>
          <w:sz w:val="20"/>
          <w:szCs w:val="20"/>
        </w:rPr>
      </w:pPr>
    </w:p>
    <w:p w:rsidR="00863F35" w:rsidRPr="00C342E0" w:rsidRDefault="00863F35" w:rsidP="00863F35">
      <w:pPr>
        <w:pStyle w:val="Clause"/>
      </w:pPr>
      <w:r w:rsidRPr="00C342E0">
        <w:t>Standard 2.5.1.  ‘Dried milks’</w:t>
      </w:r>
    </w:p>
    <w:p w:rsidR="00863F35" w:rsidRPr="00C342E0" w:rsidRDefault="00863F35" w:rsidP="00863F35">
      <w:pPr>
        <w:rPr>
          <w:sz w:val="20"/>
          <w:szCs w:val="20"/>
        </w:rPr>
      </w:pPr>
    </w:p>
    <w:p w:rsidR="00863F35" w:rsidRPr="00C342E0" w:rsidRDefault="00863F35" w:rsidP="00C342E0">
      <w:pPr>
        <w:pStyle w:val="Clause"/>
        <w:rPr>
          <w:i/>
        </w:rPr>
      </w:pPr>
      <w:r w:rsidRPr="00C342E0">
        <w:rPr>
          <w:b/>
        </w:rPr>
        <w:t>[4]</w:t>
      </w:r>
      <w:r w:rsidRPr="00C342E0">
        <w:rPr>
          <w:b/>
        </w:rPr>
        <w:tab/>
      </w:r>
      <w:r w:rsidRPr="00C342E0">
        <w:rPr>
          <w:b/>
          <w:i/>
        </w:rPr>
        <w:t>Standard 1.2.5</w:t>
      </w:r>
      <w:r w:rsidRPr="00C342E0">
        <w:rPr>
          <w:i/>
        </w:rPr>
        <w:t xml:space="preserve"> of the Australia New Zealand Food Standards Code is varied by omitting the first paragraph from the </w:t>
      </w:r>
      <w:r w:rsidRPr="00C342E0">
        <w:t>Editorial note</w:t>
      </w:r>
      <w:r w:rsidRPr="00C342E0">
        <w:rPr>
          <w:i/>
        </w:rPr>
        <w:t xml:space="preserve"> following subclause 2(2)</w:t>
      </w:r>
    </w:p>
    <w:p w:rsidR="00863F35" w:rsidRPr="00C342E0" w:rsidRDefault="00863F35" w:rsidP="00863F35">
      <w:pPr>
        <w:pStyle w:val="Clause"/>
        <w:tabs>
          <w:tab w:val="clear" w:pos="851"/>
        </w:tabs>
        <w:rPr>
          <w:b/>
        </w:rPr>
      </w:pPr>
    </w:p>
    <w:p w:rsidR="00863F35" w:rsidRPr="00C342E0" w:rsidRDefault="00863F35" w:rsidP="00863F35">
      <w:pPr>
        <w:pStyle w:val="Clause"/>
        <w:rPr>
          <w:i/>
        </w:rPr>
      </w:pPr>
      <w:r w:rsidRPr="00C342E0">
        <w:rPr>
          <w:b/>
        </w:rPr>
        <w:t>[5]</w:t>
      </w:r>
      <w:r w:rsidRPr="00C342E0">
        <w:rPr>
          <w:b/>
        </w:rPr>
        <w:tab/>
      </w:r>
      <w:r w:rsidRPr="00C342E0">
        <w:rPr>
          <w:b/>
          <w:i/>
        </w:rPr>
        <w:t xml:space="preserve">Standard 1.2.9 </w:t>
      </w:r>
      <w:r w:rsidRPr="00C342E0">
        <w:rPr>
          <w:i/>
        </w:rPr>
        <w:t xml:space="preserve">of the Australia New Zealand Food Standards Code is varied by omitting the </w:t>
      </w:r>
      <w:r w:rsidRPr="00C342E0">
        <w:t xml:space="preserve">Editorial note </w:t>
      </w:r>
      <w:r w:rsidRPr="00C342E0">
        <w:rPr>
          <w:i/>
        </w:rPr>
        <w:t xml:space="preserve">following clause 3, substituting – </w:t>
      </w:r>
    </w:p>
    <w:p w:rsidR="00863F35" w:rsidRPr="00C342E0" w:rsidRDefault="00863F35" w:rsidP="00863F35">
      <w:pPr>
        <w:rPr>
          <w:i/>
          <w:sz w:val="20"/>
          <w:szCs w:val="20"/>
        </w:rPr>
      </w:pPr>
    </w:p>
    <w:p w:rsidR="00C342E0" w:rsidRDefault="00C342E0" w:rsidP="00863F35">
      <w:pPr>
        <w:pStyle w:val="EditorialNoteLine1"/>
      </w:pPr>
      <w:r>
        <w:br w:type="page"/>
      </w:r>
    </w:p>
    <w:p w:rsidR="00863F35" w:rsidRDefault="00863F35" w:rsidP="00863F35">
      <w:pPr>
        <w:pStyle w:val="EditorialNoteLine1"/>
      </w:pPr>
      <w:r>
        <w:lastRenderedPageBreak/>
        <w:t xml:space="preserve">Editorial note: </w:t>
      </w:r>
    </w:p>
    <w:p w:rsidR="00863F35" w:rsidRDefault="00863F35" w:rsidP="00863F35">
      <w:pPr>
        <w:pStyle w:val="EditorialNotetext"/>
      </w:pPr>
    </w:p>
    <w:p w:rsidR="00863F35" w:rsidRDefault="00863F35" w:rsidP="00863F35">
      <w:pPr>
        <w:pStyle w:val="EditorialNotetext"/>
        <w:ind w:left="567" w:hanging="567"/>
      </w:pPr>
      <w:r w:rsidRPr="009B33E1">
        <w:t>1.</w:t>
      </w:r>
      <w:r w:rsidRPr="009B33E1">
        <w:tab/>
        <w:t>‘Warning statement is defined in Standard 1.1.1 – Preliminary Provisions – Application</w:t>
      </w:r>
      <w:r>
        <w:t>,</w:t>
      </w:r>
      <w:r w:rsidRPr="009B33E1">
        <w:t xml:space="preserve"> Interpretation and General Prohibitions.</w:t>
      </w:r>
    </w:p>
    <w:p w:rsidR="00863F35" w:rsidRPr="00C70067" w:rsidRDefault="00863F35" w:rsidP="00863F35">
      <w:pPr>
        <w:pStyle w:val="EditorialNotetext"/>
        <w:ind w:left="567" w:hanging="567"/>
      </w:pPr>
      <w:r>
        <w:t>2.</w:t>
      </w:r>
      <w:r>
        <w:tab/>
        <w:t>‘Small package’ is defined in Standard 1.2.1 – Application of Labelling and Other Information Requirements.</w:t>
      </w:r>
    </w:p>
    <w:p w:rsidR="00863F35" w:rsidRPr="00C342E0" w:rsidRDefault="00863F35" w:rsidP="00863F35">
      <w:pPr>
        <w:rPr>
          <w:rFonts w:cs="Arial"/>
          <w:sz w:val="20"/>
          <w:szCs w:val="20"/>
        </w:rPr>
      </w:pPr>
    </w:p>
    <w:p w:rsidR="00863F35" w:rsidRPr="00C342E0" w:rsidRDefault="00863F35" w:rsidP="00C342E0">
      <w:pPr>
        <w:pStyle w:val="Clause"/>
        <w:rPr>
          <w:i/>
        </w:rPr>
      </w:pPr>
      <w:r w:rsidRPr="00C342E0">
        <w:rPr>
          <w:b/>
        </w:rPr>
        <w:t>[6]</w:t>
      </w:r>
      <w:r w:rsidRPr="00C342E0">
        <w:rPr>
          <w:b/>
        </w:rPr>
        <w:tab/>
      </w:r>
      <w:r w:rsidRPr="00C342E0">
        <w:rPr>
          <w:b/>
          <w:i/>
        </w:rPr>
        <w:t>Standard 1.2.10</w:t>
      </w:r>
      <w:r w:rsidRPr="00C342E0">
        <w:rPr>
          <w:i/>
        </w:rPr>
        <w:t xml:space="preserve"> of the Australia New Zealand Food Standards Code is varied by omitting the second paragraph from the </w:t>
      </w:r>
      <w:r w:rsidRPr="00C342E0">
        <w:t>Editorial note</w:t>
      </w:r>
      <w:r w:rsidRPr="00C342E0">
        <w:rPr>
          <w:i/>
        </w:rPr>
        <w:t xml:space="preserve"> following subclause 2(4)</w:t>
      </w:r>
    </w:p>
    <w:p w:rsidR="00863F35" w:rsidRPr="00C342E0" w:rsidRDefault="00863F35" w:rsidP="00863F35">
      <w:pPr>
        <w:rPr>
          <w:rFonts w:cs="Arial"/>
          <w:sz w:val="20"/>
          <w:szCs w:val="20"/>
        </w:rPr>
      </w:pPr>
    </w:p>
    <w:p w:rsidR="00863F35" w:rsidRPr="00C342E0" w:rsidRDefault="00863F35" w:rsidP="00863F35">
      <w:pPr>
        <w:pStyle w:val="Clause"/>
        <w:rPr>
          <w:rFonts w:cs="Arial"/>
        </w:rPr>
      </w:pPr>
      <w:r w:rsidRPr="00C342E0">
        <w:rPr>
          <w:rFonts w:cs="Arial"/>
          <w:b/>
        </w:rPr>
        <w:t>[7]</w:t>
      </w:r>
      <w:r w:rsidRPr="00C342E0">
        <w:rPr>
          <w:rFonts w:cs="Arial"/>
          <w:b/>
        </w:rPr>
        <w:tab/>
      </w:r>
      <w:r w:rsidRPr="00C342E0">
        <w:rPr>
          <w:rFonts w:cs="Arial"/>
          <w:b/>
          <w:i/>
        </w:rPr>
        <w:t xml:space="preserve">Standard 1.3.2 </w:t>
      </w:r>
      <w:r w:rsidRPr="00C342E0">
        <w:rPr>
          <w:rFonts w:cs="Arial"/>
          <w:i/>
        </w:rPr>
        <w:t>of the Australia New Zealand Food Standards Code is varied by inserting the following</w:t>
      </w:r>
      <w:r w:rsidRPr="00C342E0">
        <w:rPr>
          <w:rFonts w:cs="Arial"/>
        </w:rPr>
        <w:t xml:space="preserve"> Editorial note </w:t>
      </w:r>
      <w:r w:rsidRPr="00C342E0">
        <w:rPr>
          <w:rFonts w:cs="Arial"/>
          <w:i/>
        </w:rPr>
        <w:t xml:space="preserve">following the </w:t>
      </w:r>
      <w:r w:rsidRPr="00C342E0">
        <w:rPr>
          <w:rFonts w:cs="Arial"/>
        </w:rPr>
        <w:t xml:space="preserve">Table to clause 3 – </w:t>
      </w:r>
    </w:p>
    <w:p w:rsidR="00863F35" w:rsidRPr="00C342E0" w:rsidRDefault="00863F35" w:rsidP="00863F35">
      <w:pPr>
        <w:rPr>
          <w:rFonts w:cs="Arial"/>
          <w:i/>
          <w:sz w:val="20"/>
          <w:szCs w:val="20"/>
        </w:rPr>
      </w:pPr>
    </w:p>
    <w:p w:rsidR="00863F35" w:rsidRPr="00C342E0" w:rsidRDefault="00863F35" w:rsidP="00863F35">
      <w:pPr>
        <w:pStyle w:val="EditorialNoteLine1"/>
        <w:rPr>
          <w:rFonts w:cs="Arial"/>
        </w:rPr>
      </w:pPr>
      <w:r w:rsidRPr="00C342E0">
        <w:rPr>
          <w:rFonts w:cs="Arial"/>
        </w:rPr>
        <w:t xml:space="preserve">Editorial note: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 xml:space="preserve">The </w:t>
      </w:r>
      <w:r w:rsidRPr="00C342E0">
        <w:rPr>
          <w:rFonts w:cs="Arial"/>
          <w:i/>
        </w:rPr>
        <w:t xml:space="preserve">New Zealand (Mandatory Fortification of Bread with Folic Acid) Food Standard 2007 </w:t>
      </w:r>
      <w:r w:rsidRPr="00C342E0">
        <w:rPr>
          <w:rFonts w:cs="Arial"/>
        </w:rPr>
        <w:t xml:space="preserve">applies to bread sold in New Zealand. </w:t>
      </w:r>
      <w:r w:rsidRPr="00C342E0">
        <w:rPr>
          <w:rFonts w:cs="Arial"/>
          <w:i/>
        </w:rPr>
        <w:t xml:space="preserve"> </w:t>
      </w:r>
      <w:r w:rsidRPr="00C342E0">
        <w:rPr>
          <w:rFonts w:cs="Arial"/>
        </w:rPr>
        <w:t>This Standard does not apply to bread sold or prepared for sale in, or imported into Australia.</w:t>
      </w:r>
    </w:p>
    <w:p w:rsidR="00863F35" w:rsidRPr="00C342E0" w:rsidRDefault="00863F35" w:rsidP="00863F35">
      <w:pPr>
        <w:rPr>
          <w:rFonts w:cs="Arial"/>
          <w:sz w:val="20"/>
          <w:szCs w:val="20"/>
        </w:rPr>
      </w:pPr>
    </w:p>
    <w:p w:rsidR="00863F35" w:rsidRPr="00C342E0" w:rsidRDefault="00863F35" w:rsidP="00E26ACD">
      <w:pPr>
        <w:pStyle w:val="Clause"/>
      </w:pPr>
      <w:r w:rsidRPr="00C342E0">
        <w:rPr>
          <w:b/>
        </w:rPr>
        <w:t>[8]</w:t>
      </w:r>
      <w:r w:rsidRPr="00C342E0">
        <w:rPr>
          <w:b/>
        </w:rPr>
        <w:tab/>
      </w:r>
      <w:r w:rsidRPr="00E26ACD">
        <w:rPr>
          <w:b/>
          <w:i/>
        </w:rPr>
        <w:t>Standard 1.5.1</w:t>
      </w:r>
      <w:r w:rsidRPr="00E26ACD">
        <w:rPr>
          <w:i/>
        </w:rPr>
        <w:t xml:space="preserve"> of the Australia New Zealand Food Standards Code is varied by </w:t>
      </w:r>
      <w:r w:rsidRPr="00C342E0">
        <w:t xml:space="preserve">– </w:t>
      </w:r>
    </w:p>
    <w:p w:rsidR="00863F35" w:rsidRPr="00C342E0" w:rsidRDefault="00863F35" w:rsidP="00863F35">
      <w:pPr>
        <w:pStyle w:val="Clause"/>
        <w:tabs>
          <w:tab w:val="clear" w:pos="851"/>
        </w:tabs>
        <w:rPr>
          <w:rFonts w:cs="Arial"/>
        </w:rPr>
      </w:pPr>
    </w:p>
    <w:p w:rsidR="00863F35" w:rsidRPr="00C342E0" w:rsidRDefault="00863F35" w:rsidP="00863F35">
      <w:pPr>
        <w:pStyle w:val="Clause"/>
        <w:rPr>
          <w:rFonts w:cs="Arial"/>
        </w:rPr>
      </w:pPr>
      <w:r w:rsidRPr="00C342E0">
        <w:rPr>
          <w:rFonts w:cs="Arial"/>
        </w:rPr>
        <w:t>[8.1]</w:t>
      </w:r>
      <w:r w:rsidRPr="00C342E0">
        <w:rPr>
          <w:rFonts w:cs="Arial"/>
        </w:rPr>
        <w:tab/>
      </w:r>
      <w:r w:rsidRPr="00C342E0">
        <w:rPr>
          <w:rFonts w:cs="Arial"/>
          <w:i/>
        </w:rPr>
        <w:t xml:space="preserve">omitting from the </w:t>
      </w:r>
      <w:r w:rsidRPr="00C342E0">
        <w:rPr>
          <w:rFonts w:cs="Arial"/>
        </w:rPr>
        <w:t xml:space="preserve">Editorial note </w:t>
      </w:r>
      <w:r w:rsidRPr="00C342E0">
        <w:rPr>
          <w:rFonts w:cs="Arial"/>
          <w:i/>
        </w:rPr>
        <w:t>following clause 1</w:t>
      </w:r>
      <w:r w:rsidRPr="00C342E0">
        <w:rPr>
          <w:rFonts w:cs="Arial"/>
        </w:rPr>
        <w:t xml:space="preserve"> –</w:t>
      </w:r>
    </w:p>
    <w:p w:rsidR="00863F35" w:rsidRPr="00C342E0" w:rsidRDefault="00863F35" w:rsidP="00863F35">
      <w:pPr>
        <w:rPr>
          <w:rFonts w:cs="Arial"/>
          <w:sz w:val="20"/>
          <w:szCs w:val="20"/>
        </w:rPr>
      </w:pPr>
    </w:p>
    <w:p w:rsidR="00863F35" w:rsidRPr="00C342E0" w:rsidRDefault="00863F35" w:rsidP="00863F35">
      <w:pPr>
        <w:pStyle w:val="Clause"/>
        <w:rPr>
          <w:rFonts w:cs="Arial"/>
        </w:rPr>
      </w:pPr>
      <w:r w:rsidRPr="00C342E0">
        <w:rPr>
          <w:rFonts w:cs="Arial"/>
        </w:rPr>
        <w:t>micro-organisms</w:t>
      </w:r>
    </w:p>
    <w:p w:rsidR="00863F35" w:rsidRPr="00C342E0" w:rsidRDefault="00863F35" w:rsidP="00863F35">
      <w:pPr>
        <w:rPr>
          <w:rFonts w:cs="Arial"/>
          <w:sz w:val="20"/>
          <w:szCs w:val="20"/>
        </w:rPr>
      </w:pPr>
    </w:p>
    <w:p w:rsidR="00863F35" w:rsidRPr="00C342E0" w:rsidRDefault="00863F35" w:rsidP="00863F35">
      <w:pPr>
        <w:pStyle w:val="Clause"/>
        <w:rPr>
          <w:rFonts w:cs="Arial"/>
          <w:i/>
          <w:iCs/>
        </w:rPr>
      </w:pPr>
      <w:r w:rsidRPr="00C342E0">
        <w:rPr>
          <w:rFonts w:cs="Arial"/>
          <w:i/>
          <w:iCs/>
        </w:rPr>
        <w:t>substituting –</w:t>
      </w:r>
    </w:p>
    <w:p w:rsidR="00863F35" w:rsidRPr="00C342E0" w:rsidRDefault="00863F35" w:rsidP="00863F35">
      <w:pPr>
        <w:rPr>
          <w:rFonts w:cs="Arial"/>
          <w:i/>
          <w:sz w:val="20"/>
          <w:szCs w:val="20"/>
        </w:rPr>
      </w:pPr>
    </w:p>
    <w:p w:rsidR="00863F35" w:rsidRPr="00C342E0" w:rsidRDefault="00863F35" w:rsidP="00863F35">
      <w:pPr>
        <w:pStyle w:val="Clause"/>
        <w:rPr>
          <w:rFonts w:cs="Arial"/>
        </w:rPr>
      </w:pPr>
      <w:r w:rsidRPr="00C342E0">
        <w:rPr>
          <w:rFonts w:cs="Arial"/>
        </w:rPr>
        <w:t>microorganisms</w:t>
      </w:r>
    </w:p>
    <w:p w:rsidR="00863F35" w:rsidRPr="00C342E0" w:rsidRDefault="00863F35" w:rsidP="00863F35">
      <w:pPr>
        <w:rPr>
          <w:rFonts w:cs="Arial"/>
          <w:sz w:val="20"/>
          <w:szCs w:val="20"/>
        </w:rPr>
      </w:pPr>
    </w:p>
    <w:p w:rsidR="00863F35" w:rsidRPr="00C342E0" w:rsidRDefault="00863F35" w:rsidP="00863F35">
      <w:pPr>
        <w:pStyle w:val="Clause"/>
        <w:rPr>
          <w:rFonts w:cs="Arial"/>
        </w:rPr>
      </w:pPr>
      <w:r w:rsidRPr="00C342E0">
        <w:rPr>
          <w:rFonts w:cs="Arial"/>
        </w:rPr>
        <w:t>[8.2]</w:t>
      </w:r>
      <w:r w:rsidRPr="00C342E0">
        <w:rPr>
          <w:rFonts w:cs="Arial"/>
        </w:rPr>
        <w:tab/>
      </w:r>
      <w:r w:rsidRPr="00C342E0">
        <w:rPr>
          <w:rFonts w:cs="Arial"/>
          <w:i/>
        </w:rPr>
        <w:t xml:space="preserve">omitting paragraph 3 and the bolded text from the </w:t>
      </w:r>
      <w:r w:rsidRPr="00C342E0">
        <w:rPr>
          <w:rFonts w:cs="Arial"/>
        </w:rPr>
        <w:t>Editorial note</w:t>
      </w:r>
      <w:r w:rsidRPr="00C342E0">
        <w:rPr>
          <w:rFonts w:cs="Arial"/>
          <w:i/>
        </w:rPr>
        <w:t xml:space="preserve"> following clause 3</w:t>
      </w:r>
      <w:r w:rsidRPr="00C342E0">
        <w:rPr>
          <w:rFonts w:cs="Arial"/>
        </w:rPr>
        <w:t xml:space="preserve"> </w:t>
      </w:r>
    </w:p>
    <w:p w:rsidR="00863F35" w:rsidRPr="00C342E0" w:rsidRDefault="00863F35" w:rsidP="00863F35">
      <w:pPr>
        <w:pStyle w:val="EditorialNotetext"/>
        <w:pBdr>
          <w:top w:val="none" w:sz="0" w:space="0" w:color="auto"/>
          <w:left w:val="none" w:sz="0" w:space="0" w:color="auto"/>
          <w:bottom w:val="none" w:sz="0" w:space="0" w:color="auto"/>
          <w:right w:val="none" w:sz="0" w:space="0" w:color="auto"/>
        </w:pBdr>
        <w:rPr>
          <w:rFonts w:cs="Arial"/>
        </w:rPr>
      </w:pPr>
    </w:p>
    <w:p w:rsidR="00863F35" w:rsidRPr="00C342E0" w:rsidRDefault="00863F35" w:rsidP="00863F35">
      <w:pPr>
        <w:pStyle w:val="EditorialNotetext"/>
        <w:pBdr>
          <w:top w:val="none" w:sz="0" w:space="0" w:color="auto"/>
          <w:left w:val="none" w:sz="0" w:space="0" w:color="auto"/>
          <w:bottom w:val="none" w:sz="0" w:space="0" w:color="auto"/>
          <w:right w:val="none" w:sz="0" w:space="0" w:color="auto"/>
        </w:pBdr>
        <w:rPr>
          <w:rFonts w:cs="Arial"/>
          <w:i/>
        </w:rPr>
      </w:pPr>
      <w:r w:rsidRPr="00C342E0">
        <w:rPr>
          <w:rFonts w:cs="Arial"/>
          <w:b/>
        </w:rPr>
        <w:t>[9]</w:t>
      </w:r>
      <w:r w:rsidRPr="00C342E0">
        <w:rPr>
          <w:rFonts w:cs="Arial"/>
          <w:b/>
        </w:rPr>
        <w:tab/>
      </w:r>
      <w:r w:rsidRPr="00C342E0">
        <w:rPr>
          <w:rFonts w:cs="Arial"/>
          <w:b/>
          <w:i/>
        </w:rPr>
        <w:t>Standard 2.2.3</w:t>
      </w:r>
      <w:r w:rsidRPr="00C342E0">
        <w:rPr>
          <w:rFonts w:cs="Arial"/>
          <w:i/>
        </w:rPr>
        <w:t xml:space="preserve"> of the Australia New Zealand Food Standards Code is varied by omitting the </w:t>
      </w:r>
      <w:r w:rsidRPr="00C342E0">
        <w:rPr>
          <w:rFonts w:cs="Arial"/>
        </w:rPr>
        <w:t xml:space="preserve">Editorial note </w:t>
      </w:r>
      <w:r w:rsidRPr="00C342E0">
        <w:rPr>
          <w:rFonts w:cs="Arial"/>
          <w:i/>
        </w:rPr>
        <w:t xml:space="preserve">following </w:t>
      </w:r>
      <w:r w:rsidRPr="00C342E0">
        <w:rPr>
          <w:rFonts w:cs="Arial"/>
        </w:rPr>
        <w:t xml:space="preserve">clause 1, </w:t>
      </w:r>
      <w:r w:rsidRPr="00C342E0">
        <w:rPr>
          <w:rFonts w:cs="Arial"/>
          <w:i/>
        </w:rPr>
        <w:t xml:space="preserve">substituting – </w:t>
      </w:r>
    </w:p>
    <w:p w:rsidR="00863F35" w:rsidRPr="00C342E0" w:rsidRDefault="00863F35" w:rsidP="00863F35">
      <w:pPr>
        <w:pStyle w:val="EditorialNotetext"/>
        <w:pBdr>
          <w:top w:val="none" w:sz="0" w:space="0" w:color="auto"/>
          <w:left w:val="none" w:sz="0" w:space="0" w:color="auto"/>
          <w:bottom w:val="none" w:sz="0" w:space="0" w:color="auto"/>
          <w:right w:val="none" w:sz="0" w:space="0" w:color="auto"/>
        </w:pBdr>
        <w:rPr>
          <w:rFonts w:cs="Arial"/>
          <w:i/>
        </w:rPr>
      </w:pPr>
    </w:p>
    <w:p w:rsidR="00863F35" w:rsidRPr="00C342E0" w:rsidRDefault="00863F35" w:rsidP="00863F35">
      <w:pPr>
        <w:pStyle w:val="EditorialNoteLine1"/>
        <w:rPr>
          <w:rFonts w:cs="Arial"/>
        </w:rPr>
      </w:pPr>
      <w:r w:rsidRPr="00C342E0">
        <w:rPr>
          <w:rFonts w:cs="Arial"/>
        </w:rPr>
        <w:t>Editorial note:</w:t>
      </w:r>
    </w:p>
    <w:p w:rsidR="00863F35" w:rsidRPr="00C342E0" w:rsidRDefault="00863F35" w:rsidP="00863F35">
      <w:pPr>
        <w:pStyle w:val="EditorialNotetext"/>
        <w:tabs>
          <w:tab w:val="left" w:pos="2506"/>
        </w:tabs>
        <w:rPr>
          <w:rFonts w:cs="Arial"/>
        </w:rPr>
      </w:pPr>
    </w:p>
    <w:p w:rsidR="00863F35" w:rsidRPr="00C342E0" w:rsidRDefault="00863F35" w:rsidP="00863F35">
      <w:pPr>
        <w:pStyle w:val="EditorialNotetext"/>
        <w:tabs>
          <w:tab w:val="left" w:pos="2506"/>
        </w:tabs>
        <w:rPr>
          <w:rFonts w:cs="Arial"/>
        </w:rPr>
      </w:pPr>
      <w:r w:rsidRPr="00C342E0">
        <w:rPr>
          <w:rFonts w:cs="Arial"/>
        </w:rPr>
        <w:t>This Standard does not define specific names for fish.  An Australian Fish Names Standard (</w:t>
      </w:r>
      <w:r w:rsidRPr="00C342E0">
        <w:rPr>
          <w:rFonts w:cs="Arial"/>
          <w:color w:val="000000"/>
        </w:rPr>
        <w:t>AS SSA 5300</w:t>
      </w:r>
      <w:r w:rsidRPr="00C342E0">
        <w:rPr>
          <w:rFonts w:cs="Arial"/>
        </w:rPr>
        <w:t>) has been published which provides guidance on standard fish names to be used in Australia.</w:t>
      </w:r>
    </w:p>
    <w:p w:rsidR="00863F35" w:rsidRPr="00C342E0" w:rsidRDefault="00863F35" w:rsidP="00863F35">
      <w:pPr>
        <w:pStyle w:val="EditorialNotetext"/>
        <w:rPr>
          <w:rFonts w:cs="Arial"/>
        </w:rPr>
      </w:pPr>
    </w:p>
    <w:p w:rsidR="00863F35" w:rsidRPr="00C342E0" w:rsidRDefault="00863F35" w:rsidP="00863F35">
      <w:pPr>
        <w:pStyle w:val="EditorialNotetext"/>
        <w:ind w:left="567" w:hanging="567"/>
        <w:rPr>
          <w:rFonts w:cs="Arial"/>
        </w:rPr>
      </w:pPr>
      <w:r w:rsidRPr="00C342E0">
        <w:rPr>
          <w:rFonts w:cs="Arial"/>
        </w:rPr>
        <w:t>1.</w:t>
      </w:r>
      <w:r w:rsidRPr="00C342E0">
        <w:rPr>
          <w:rFonts w:cs="Arial"/>
        </w:rPr>
        <w:tab/>
        <w:t xml:space="preserve">Hard copies of the Australian Fish Names Standard (AS-SSA 5300) are available from Seafood Services Australia at </w:t>
      </w:r>
      <w:hyperlink r:id="rId20" w:history="1">
        <w:r w:rsidRPr="00C342E0">
          <w:rPr>
            <w:rStyle w:val="Hyperlink"/>
            <w:rFonts w:cs="Arial"/>
          </w:rPr>
          <w:t>http://www.seafood.net.au/shop</w:t>
        </w:r>
      </w:hyperlink>
      <w:r w:rsidRPr="00C342E0">
        <w:rPr>
          <w:rFonts w:cs="Arial"/>
        </w:rPr>
        <w:t>.</w:t>
      </w:r>
    </w:p>
    <w:p w:rsidR="00863F35" w:rsidRPr="00C342E0" w:rsidRDefault="00863F35" w:rsidP="00863F35">
      <w:pPr>
        <w:pStyle w:val="EditorialNotetext"/>
        <w:ind w:left="567" w:hanging="567"/>
        <w:rPr>
          <w:rFonts w:cs="Arial"/>
        </w:rPr>
      </w:pPr>
    </w:p>
    <w:p w:rsidR="00863F35" w:rsidRPr="00C342E0" w:rsidRDefault="00863F35" w:rsidP="00863F35">
      <w:pPr>
        <w:pStyle w:val="EditorialNotetext"/>
        <w:ind w:left="567" w:hanging="567"/>
        <w:rPr>
          <w:rFonts w:cs="Arial"/>
        </w:rPr>
      </w:pPr>
      <w:r w:rsidRPr="00C342E0">
        <w:rPr>
          <w:rFonts w:cs="Arial"/>
        </w:rPr>
        <w:t>2.</w:t>
      </w:r>
      <w:r w:rsidRPr="00C342E0">
        <w:rPr>
          <w:rFonts w:cs="Arial"/>
        </w:rPr>
        <w:tab/>
        <w:t xml:space="preserve">A searchable database of Australian Standard Fish Names is available at </w:t>
      </w:r>
      <w:hyperlink r:id="rId21" w:history="1">
        <w:r w:rsidRPr="00C342E0">
          <w:rPr>
            <w:rStyle w:val="Hyperlink"/>
            <w:rFonts w:cs="Arial"/>
          </w:rPr>
          <w:t>http://www.fishnames.com.au</w:t>
        </w:r>
      </w:hyperlink>
      <w:r w:rsidRPr="00C342E0">
        <w:rPr>
          <w:rFonts w:cs="Arial"/>
        </w:rPr>
        <w:t xml:space="preserve">. </w:t>
      </w:r>
    </w:p>
    <w:p w:rsidR="00863F35" w:rsidRPr="00C342E0" w:rsidRDefault="00863F35" w:rsidP="00863F35">
      <w:pPr>
        <w:pStyle w:val="EditorialNotetext"/>
        <w:ind w:left="567" w:hanging="567"/>
        <w:rPr>
          <w:rFonts w:cs="Arial"/>
        </w:rPr>
      </w:pPr>
    </w:p>
    <w:p w:rsidR="00863F35" w:rsidRPr="00C342E0" w:rsidRDefault="00863F35" w:rsidP="00863F35">
      <w:pPr>
        <w:pStyle w:val="EditorialNotetext"/>
        <w:ind w:left="567" w:hanging="567"/>
        <w:rPr>
          <w:rFonts w:cs="Arial"/>
        </w:rPr>
      </w:pPr>
      <w:r w:rsidRPr="00C342E0">
        <w:rPr>
          <w:rFonts w:cs="Arial"/>
        </w:rPr>
        <w:t>3.</w:t>
      </w:r>
      <w:r w:rsidRPr="00C342E0">
        <w:rPr>
          <w:rFonts w:cs="Arial"/>
        </w:rPr>
        <w:tab/>
        <w:t xml:space="preserve">New Zealand common, Maori, and scientific names for fish species are available from the website of the Ministry of Agriculture and Forestry at </w:t>
      </w:r>
      <w:hyperlink r:id="rId22" w:history="1">
        <w:r w:rsidRPr="00C342E0">
          <w:rPr>
            <w:rStyle w:val="Hyperlink"/>
            <w:rFonts w:cs="Arial"/>
          </w:rPr>
          <w:t>http://www.foodsafety.govt.nz/industry/sectors/seafood/fish-names/index.htm</w:t>
        </w:r>
      </w:hyperlink>
      <w:r w:rsidRPr="00C342E0">
        <w:rPr>
          <w:rFonts w:cs="Arial"/>
        </w:rPr>
        <w:t xml:space="preserve"> </w:t>
      </w:r>
    </w:p>
    <w:p w:rsidR="00863F35" w:rsidRPr="00C342E0" w:rsidRDefault="00863F35" w:rsidP="00863F35">
      <w:pPr>
        <w:pStyle w:val="EditorialNotetext"/>
        <w:ind w:left="567" w:hanging="567"/>
        <w:rPr>
          <w:rFonts w:cs="Arial"/>
        </w:rPr>
      </w:pPr>
    </w:p>
    <w:p w:rsidR="00863F35" w:rsidRPr="00C342E0" w:rsidRDefault="00863F35" w:rsidP="00863F35">
      <w:pPr>
        <w:pStyle w:val="EditorialNotetext"/>
        <w:rPr>
          <w:rFonts w:cs="Arial"/>
        </w:rPr>
      </w:pPr>
      <w:r w:rsidRPr="00C342E0">
        <w:rPr>
          <w:rFonts w:cs="Arial"/>
        </w:rPr>
        <w:t>The Table to clause 5 of Standard 1.4.1 prescribes the maximum level of histamine permitted in fish and fish products.</w:t>
      </w:r>
    </w:p>
    <w:p w:rsidR="00863F35" w:rsidRPr="00C342E0" w:rsidRDefault="00863F35" w:rsidP="00863F35">
      <w:pPr>
        <w:pStyle w:val="EditorialNotetext"/>
        <w:pBdr>
          <w:top w:val="none" w:sz="0" w:space="0" w:color="auto"/>
          <w:left w:val="none" w:sz="0" w:space="0" w:color="auto"/>
          <w:bottom w:val="none" w:sz="0" w:space="0" w:color="auto"/>
          <w:right w:val="none" w:sz="0" w:space="0" w:color="auto"/>
        </w:pBdr>
        <w:rPr>
          <w:rFonts w:cs="Arial"/>
        </w:rPr>
      </w:pPr>
    </w:p>
    <w:p w:rsidR="00863F35" w:rsidRPr="00C342E0" w:rsidRDefault="00863F35" w:rsidP="00E26ACD">
      <w:pPr>
        <w:pStyle w:val="Clause"/>
      </w:pPr>
      <w:r w:rsidRPr="00C342E0">
        <w:rPr>
          <w:b/>
        </w:rPr>
        <w:t>[10]</w:t>
      </w:r>
      <w:r w:rsidRPr="00C342E0">
        <w:rPr>
          <w:b/>
        </w:rPr>
        <w:tab/>
      </w:r>
      <w:r w:rsidRPr="00E26ACD">
        <w:rPr>
          <w:b/>
          <w:i/>
        </w:rPr>
        <w:t>Standard 2.5.1</w:t>
      </w:r>
      <w:r w:rsidRPr="00E26ACD">
        <w:rPr>
          <w:i/>
        </w:rPr>
        <w:t xml:space="preserve"> of the Australia New Zealand Food Standards Code is varied by omitting the </w:t>
      </w:r>
      <w:r w:rsidRPr="00C342E0">
        <w:t xml:space="preserve">Editorial note </w:t>
      </w:r>
      <w:r w:rsidRPr="00E26ACD">
        <w:rPr>
          <w:i/>
        </w:rPr>
        <w:t xml:space="preserve">preceding the </w:t>
      </w:r>
      <w:r w:rsidRPr="00C342E0">
        <w:t>Table of Provisions</w:t>
      </w:r>
      <w:r w:rsidRPr="00E26ACD">
        <w:rPr>
          <w:i/>
        </w:rPr>
        <w:t xml:space="preserve">, substituting </w:t>
      </w:r>
      <w:r w:rsidRPr="00C342E0">
        <w:t xml:space="preserve">– </w:t>
      </w:r>
    </w:p>
    <w:p w:rsidR="00863F35" w:rsidRPr="00C342E0" w:rsidRDefault="00863F35" w:rsidP="00863F35">
      <w:pPr>
        <w:rPr>
          <w:rFonts w:cs="Arial"/>
          <w:sz w:val="20"/>
          <w:szCs w:val="20"/>
        </w:rPr>
      </w:pPr>
    </w:p>
    <w:p w:rsidR="00863F35" w:rsidRPr="00C342E0" w:rsidRDefault="00863F35" w:rsidP="00863F35">
      <w:pPr>
        <w:pStyle w:val="EditorialNoteLine1"/>
        <w:rPr>
          <w:rFonts w:cs="Arial"/>
        </w:rPr>
      </w:pPr>
      <w:r w:rsidRPr="00C342E0">
        <w:rPr>
          <w:rFonts w:cs="Arial"/>
        </w:rPr>
        <w:t xml:space="preserve">Editorial note: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 xml:space="preserve">The Australian processing requirements for milk are contained in Standard 4.2.4. </w:t>
      </w:r>
    </w:p>
    <w:p w:rsidR="00863F35" w:rsidRPr="00C342E0" w:rsidRDefault="00863F35" w:rsidP="00863F35">
      <w:pPr>
        <w:pStyle w:val="EditorialNotetext"/>
        <w:rPr>
          <w:rFonts w:cs="Arial"/>
        </w:rPr>
      </w:pPr>
    </w:p>
    <w:p w:rsidR="00E26ACD" w:rsidRDefault="00863F35" w:rsidP="00E26ACD">
      <w:pPr>
        <w:pStyle w:val="EditorialNotetext"/>
        <w:rPr>
          <w:rFonts w:cs="Arial"/>
        </w:rPr>
      </w:pPr>
      <w:r w:rsidRPr="00C342E0">
        <w:rPr>
          <w:rFonts w:cs="Arial"/>
        </w:rPr>
        <w:t>New Zealand has its own processing requirements for milk and milk products.</w:t>
      </w:r>
      <w:r w:rsidR="00E26ACD">
        <w:rPr>
          <w:rFonts w:cs="Arial"/>
        </w:rPr>
        <w:br w:type="page"/>
      </w:r>
    </w:p>
    <w:p w:rsidR="00863F35" w:rsidRPr="00C342E0" w:rsidRDefault="00863F35" w:rsidP="00E26ACD">
      <w:pPr>
        <w:pStyle w:val="Clause"/>
      </w:pPr>
      <w:r w:rsidRPr="00C342E0">
        <w:rPr>
          <w:b/>
        </w:rPr>
        <w:lastRenderedPageBreak/>
        <w:t>[11]</w:t>
      </w:r>
      <w:r w:rsidRPr="00C342E0">
        <w:rPr>
          <w:b/>
        </w:rPr>
        <w:tab/>
      </w:r>
      <w:r w:rsidRPr="00E26ACD">
        <w:rPr>
          <w:b/>
          <w:i/>
        </w:rPr>
        <w:t>Standard 2.5.2</w:t>
      </w:r>
      <w:r w:rsidRPr="00E26ACD">
        <w:rPr>
          <w:i/>
        </w:rPr>
        <w:t xml:space="preserve"> of the Australia New Zealand Food Standards Code is varied by omitting the </w:t>
      </w:r>
      <w:r w:rsidRPr="00C342E0">
        <w:t xml:space="preserve">Editorial note </w:t>
      </w:r>
      <w:r w:rsidRPr="00E26ACD">
        <w:rPr>
          <w:i/>
        </w:rPr>
        <w:t xml:space="preserve">preceding the </w:t>
      </w:r>
      <w:r w:rsidRPr="00C342E0">
        <w:t>Table of Provisions</w:t>
      </w:r>
      <w:r w:rsidRPr="00E26ACD">
        <w:rPr>
          <w:i/>
        </w:rPr>
        <w:t>, substituting</w:t>
      </w:r>
      <w:r w:rsidRPr="00C342E0">
        <w:t xml:space="preserve"> – </w:t>
      </w:r>
    </w:p>
    <w:p w:rsidR="00863F35" w:rsidRPr="00C342E0" w:rsidRDefault="00863F35" w:rsidP="00863F35">
      <w:pPr>
        <w:rPr>
          <w:rFonts w:cs="Arial"/>
          <w:sz w:val="20"/>
          <w:szCs w:val="20"/>
        </w:rPr>
      </w:pPr>
    </w:p>
    <w:p w:rsidR="00863F35" w:rsidRPr="00C342E0" w:rsidRDefault="00863F35" w:rsidP="00863F35">
      <w:pPr>
        <w:pStyle w:val="EditorialNoteLine1"/>
        <w:rPr>
          <w:rFonts w:cs="Arial"/>
        </w:rPr>
      </w:pPr>
      <w:r w:rsidRPr="00C342E0">
        <w:rPr>
          <w:rFonts w:cs="Arial"/>
        </w:rPr>
        <w:t xml:space="preserve">Editorial note: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 xml:space="preserve">The Australian processing requirements for cream are contained in Standard 4.2.4.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New Zealand has its own processing requirements for cream.</w:t>
      </w:r>
    </w:p>
    <w:p w:rsidR="00863F35" w:rsidRPr="00C342E0" w:rsidRDefault="00863F35" w:rsidP="00863F35">
      <w:pPr>
        <w:pStyle w:val="Clause"/>
        <w:tabs>
          <w:tab w:val="clear" w:pos="851"/>
        </w:tabs>
        <w:rPr>
          <w:rFonts w:cs="Arial"/>
          <w:b/>
        </w:rPr>
      </w:pPr>
    </w:p>
    <w:p w:rsidR="00863F35" w:rsidRPr="00C342E0" w:rsidRDefault="00863F35" w:rsidP="00E26ACD">
      <w:pPr>
        <w:pStyle w:val="Clause"/>
      </w:pPr>
      <w:r w:rsidRPr="00C342E0">
        <w:rPr>
          <w:b/>
        </w:rPr>
        <w:t>[12]</w:t>
      </w:r>
      <w:r w:rsidRPr="00C342E0">
        <w:rPr>
          <w:b/>
        </w:rPr>
        <w:tab/>
      </w:r>
      <w:r w:rsidRPr="00E26ACD">
        <w:rPr>
          <w:b/>
          <w:i/>
        </w:rPr>
        <w:t>Standard 2.5.3</w:t>
      </w:r>
      <w:r w:rsidRPr="00E26ACD">
        <w:rPr>
          <w:i/>
        </w:rPr>
        <w:t xml:space="preserve"> of the Australia New Zealand Food Standards Code is varied by omitting the </w:t>
      </w:r>
      <w:r w:rsidRPr="00C342E0">
        <w:t>Editorial note</w:t>
      </w:r>
      <w:r w:rsidRPr="00E26ACD">
        <w:rPr>
          <w:i/>
        </w:rPr>
        <w:t xml:space="preserve"> preceding the Table of Provisions, substituting</w:t>
      </w:r>
      <w:r w:rsidRPr="00E26ACD">
        <w:t xml:space="preserve"> </w:t>
      </w:r>
      <w:r w:rsidRPr="00C342E0">
        <w:t xml:space="preserve">– </w:t>
      </w:r>
    </w:p>
    <w:p w:rsidR="00863F35" w:rsidRPr="00C342E0" w:rsidRDefault="00863F35" w:rsidP="00863F35">
      <w:pPr>
        <w:rPr>
          <w:rFonts w:cs="Arial"/>
          <w:sz w:val="20"/>
          <w:szCs w:val="20"/>
        </w:rPr>
      </w:pPr>
    </w:p>
    <w:p w:rsidR="00863F35" w:rsidRPr="00C342E0" w:rsidRDefault="00863F35" w:rsidP="00863F35">
      <w:pPr>
        <w:pStyle w:val="EditorialNoteLine1"/>
        <w:rPr>
          <w:rFonts w:cs="Arial"/>
        </w:rPr>
      </w:pPr>
      <w:r w:rsidRPr="00C342E0">
        <w:rPr>
          <w:rFonts w:cs="Arial"/>
        </w:rPr>
        <w:t xml:space="preserve">Editorial note: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 xml:space="preserve">The Australian processing requirements for fermented milk products are contained in Standard 4.2.4.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New Zealand has its own processing requirements for milk and milk products.</w:t>
      </w:r>
    </w:p>
    <w:p w:rsidR="00863F35" w:rsidRPr="00C342E0" w:rsidRDefault="00863F35" w:rsidP="00863F35">
      <w:pPr>
        <w:pStyle w:val="Clause"/>
        <w:tabs>
          <w:tab w:val="clear" w:pos="851"/>
        </w:tabs>
        <w:rPr>
          <w:rFonts w:cs="Arial"/>
          <w:b/>
        </w:rPr>
      </w:pPr>
    </w:p>
    <w:p w:rsidR="00863F35" w:rsidRPr="00C342E0" w:rsidRDefault="00863F35" w:rsidP="00E26ACD">
      <w:pPr>
        <w:pStyle w:val="Clause"/>
      </w:pPr>
      <w:r w:rsidRPr="00C342E0">
        <w:rPr>
          <w:b/>
        </w:rPr>
        <w:t>[13]</w:t>
      </w:r>
      <w:r w:rsidRPr="00C342E0">
        <w:rPr>
          <w:b/>
        </w:rPr>
        <w:tab/>
      </w:r>
      <w:r w:rsidRPr="00E26ACD">
        <w:rPr>
          <w:b/>
          <w:i/>
        </w:rPr>
        <w:t>Standard 2.5.4</w:t>
      </w:r>
      <w:r w:rsidRPr="00E26ACD">
        <w:rPr>
          <w:i/>
        </w:rPr>
        <w:t xml:space="preserve"> of the Australia New Zealand Food Standards Code is varied by omitting the </w:t>
      </w:r>
      <w:r w:rsidRPr="00C342E0">
        <w:t xml:space="preserve">Editorial note </w:t>
      </w:r>
      <w:r w:rsidRPr="00E26ACD">
        <w:rPr>
          <w:i/>
        </w:rPr>
        <w:t xml:space="preserve">preceding the </w:t>
      </w:r>
      <w:r w:rsidRPr="00C342E0">
        <w:t>Table of Provisions</w:t>
      </w:r>
      <w:r w:rsidRPr="00E26ACD">
        <w:rPr>
          <w:i/>
        </w:rPr>
        <w:t>, substituting</w:t>
      </w:r>
      <w:r w:rsidRPr="00C342E0">
        <w:t xml:space="preserve"> – </w:t>
      </w:r>
    </w:p>
    <w:p w:rsidR="00863F35" w:rsidRPr="00C342E0" w:rsidRDefault="00863F35" w:rsidP="00863F35">
      <w:pPr>
        <w:rPr>
          <w:rFonts w:cs="Arial"/>
          <w:sz w:val="20"/>
          <w:szCs w:val="20"/>
        </w:rPr>
      </w:pPr>
    </w:p>
    <w:p w:rsidR="00863F35" w:rsidRPr="00C342E0" w:rsidRDefault="00863F35" w:rsidP="00863F35">
      <w:pPr>
        <w:pStyle w:val="EditorialNoteLine1"/>
        <w:rPr>
          <w:rFonts w:cs="Arial"/>
        </w:rPr>
      </w:pPr>
      <w:r w:rsidRPr="00C342E0">
        <w:rPr>
          <w:rFonts w:cs="Arial"/>
        </w:rPr>
        <w:t xml:space="preserve">Editorial note: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 xml:space="preserve">The Australian processing requirements for cheese are contained in Standard 4.2.4.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New Zealand has its own processing requirements for milk and milk products.</w:t>
      </w:r>
    </w:p>
    <w:p w:rsidR="00863F35" w:rsidRPr="00C342E0" w:rsidRDefault="00863F35" w:rsidP="00863F35">
      <w:pPr>
        <w:pStyle w:val="Clause"/>
        <w:tabs>
          <w:tab w:val="clear" w:pos="851"/>
        </w:tabs>
        <w:rPr>
          <w:rFonts w:cs="Arial"/>
          <w:b/>
        </w:rPr>
      </w:pPr>
    </w:p>
    <w:p w:rsidR="00863F35" w:rsidRPr="00C342E0" w:rsidRDefault="00863F35" w:rsidP="00E26ACD">
      <w:pPr>
        <w:pStyle w:val="Clause"/>
      </w:pPr>
      <w:r w:rsidRPr="00C342E0">
        <w:rPr>
          <w:b/>
        </w:rPr>
        <w:t>[14]</w:t>
      </w:r>
      <w:r w:rsidRPr="00C342E0">
        <w:rPr>
          <w:b/>
        </w:rPr>
        <w:tab/>
      </w:r>
      <w:r w:rsidRPr="00E26ACD">
        <w:rPr>
          <w:b/>
          <w:i/>
        </w:rPr>
        <w:t>Standard 2.5.5</w:t>
      </w:r>
      <w:r w:rsidRPr="00E26ACD">
        <w:rPr>
          <w:i/>
        </w:rPr>
        <w:t xml:space="preserve"> of the Australia New Zealand Food Standards Code is varied by omitting the </w:t>
      </w:r>
      <w:r w:rsidRPr="00C342E0">
        <w:t xml:space="preserve">Editorial note </w:t>
      </w:r>
      <w:r w:rsidRPr="00E26ACD">
        <w:rPr>
          <w:i/>
        </w:rPr>
        <w:t xml:space="preserve">preceding the </w:t>
      </w:r>
      <w:r w:rsidRPr="00C342E0">
        <w:t>Table of Provisions</w:t>
      </w:r>
      <w:r w:rsidRPr="00E26ACD">
        <w:rPr>
          <w:i/>
        </w:rPr>
        <w:t xml:space="preserve">, substituting </w:t>
      </w:r>
      <w:r w:rsidRPr="00C342E0">
        <w:t xml:space="preserve">– </w:t>
      </w:r>
    </w:p>
    <w:p w:rsidR="00863F35" w:rsidRPr="00C342E0" w:rsidRDefault="00863F35" w:rsidP="00863F35">
      <w:pPr>
        <w:rPr>
          <w:rFonts w:cs="Arial"/>
          <w:sz w:val="20"/>
          <w:szCs w:val="20"/>
        </w:rPr>
      </w:pPr>
    </w:p>
    <w:p w:rsidR="00863F35" w:rsidRPr="00C342E0" w:rsidRDefault="00863F35" w:rsidP="00863F35">
      <w:pPr>
        <w:pStyle w:val="EditorialNoteLine1"/>
        <w:rPr>
          <w:rFonts w:cs="Arial"/>
        </w:rPr>
      </w:pPr>
      <w:r w:rsidRPr="00C342E0">
        <w:rPr>
          <w:rFonts w:cs="Arial"/>
        </w:rPr>
        <w:t xml:space="preserve">Editorial note: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 xml:space="preserve">The Australian processing requirements for butter are contained in Standard 4.2.4.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New Zealand has its own processing requirements for milk and milk products.</w:t>
      </w:r>
    </w:p>
    <w:p w:rsidR="00863F35" w:rsidRPr="00C342E0" w:rsidRDefault="00863F35" w:rsidP="00E26ACD">
      <w:pPr>
        <w:pStyle w:val="Clause"/>
      </w:pPr>
    </w:p>
    <w:p w:rsidR="00863F35" w:rsidRPr="00C342E0" w:rsidRDefault="00863F35" w:rsidP="00E26ACD">
      <w:pPr>
        <w:pStyle w:val="Clause"/>
      </w:pPr>
      <w:r w:rsidRPr="00C342E0">
        <w:rPr>
          <w:b/>
        </w:rPr>
        <w:t>[15]</w:t>
      </w:r>
      <w:r w:rsidRPr="00C342E0">
        <w:rPr>
          <w:b/>
        </w:rPr>
        <w:tab/>
      </w:r>
      <w:r w:rsidRPr="00E26ACD">
        <w:rPr>
          <w:b/>
          <w:i/>
        </w:rPr>
        <w:t>Standard 2.5.6</w:t>
      </w:r>
      <w:r w:rsidRPr="00E26ACD">
        <w:rPr>
          <w:i/>
        </w:rPr>
        <w:t xml:space="preserve"> of the Australia New Zealand Food Standards Code is varied by omitting the </w:t>
      </w:r>
      <w:r w:rsidRPr="00C342E0">
        <w:t xml:space="preserve">Editorial note </w:t>
      </w:r>
      <w:r w:rsidRPr="00E26ACD">
        <w:rPr>
          <w:i/>
        </w:rPr>
        <w:t xml:space="preserve">preceding the </w:t>
      </w:r>
      <w:r w:rsidRPr="00C342E0">
        <w:t>Table of Provisions</w:t>
      </w:r>
      <w:r w:rsidRPr="00E26ACD">
        <w:rPr>
          <w:i/>
        </w:rPr>
        <w:t>, substituting</w:t>
      </w:r>
      <w:r w:rsidRPr="00C342E0">
        <w:t xml:space="preserve"> – </w:t>
      </w:r>
    </w:p>
    <w:p w:rsidR="00863F35" w:rsidRPr="00C342E0" w:rsidRDefault="00863F35" w:rsidP="00863F35">
      <w:pPr>
        <w:rPr>
          <w:rFonts w:cs="Arial"/>
          <w:sz w:val="20"/>
          <w:szCs w:val="20"/>
        </w:rPr>
      </w:pPr>
    </w:p>
    <w:p w:rsidR="00863F35" w:rsidRPr="00C342E0" w:rsidRDefault="00863F35" w:rsidP="00863F35">
      <w:pPr>
        <w:pStyle w:val="EditorialNoteLine1"/>
        <w:rPr>
          <w:rFonts w:cs="Arial"/>
        </w:rPr>
      </w:pPr>
      <w:r w:rsidRPr="00C342E0">
        <w:rPr>
          <w:rFonts w:cs="Arial"/>
        </w:rPr>
        <w:t xml:space="preserve">Editorial note: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 xml:space="preserve">The Australian processing requirements for ice cream are contained in Standard 4.2.4.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New Zealand has its own processing requirements for milk and milk products.</w:t>
      </w:r>
    </w:p>
    <w:p w:rsidR="00863F35" w:rsidRPr="00C342E0" w:rsidRDefault="00863F35" w:rsidP="00863F35">
      <w:pPr>
        <w:rPr>
          <w:rFonts w:cs="Arial"/>
          <w:sz w:val="20"/>
          <w:szCs w:val="20"/>
        </w:rPr>
      </w:pPr>
    </w:p>
    <w:p w:rsidR="00863F35" w:rsidRPr="00C342E0" w:rsidRDefault="00863F35" w:rsidP="00E26ACD">
      <w:pPr>
        <w:pStyle w:val="Clause"/>
      </w:pPr>
      <w:r w:rsidRPr="00C342E0">
        <w:rPr>
          <w:b/>
        </w:rPr>
        <w:t>[16]</w:t>
      </w:r>
      <w:r w:rsidRPr="00C342E0">
        <w:rPr>
          <w:b/>
        </w:rPr>
        <w:tab/>
      </w:r>
      <w:r w:rsidRPr="00E26ACD">
        <w:rPr>
          <w:b/>
          <w:i/>
        </w:rPr>
        <w:t>Standard 2.5.7</w:t>
      </w:r>
      <w:r w:rsidRPr="00E26ACD">
        <w:rPr>
          <w:i/>
        </w:rPr>
        <w:t xml:space="preserve"> of the Australia New Zealand Food Standards Code is varied by omitting the </w:t>
      </w:r>
      <w:r w:rsidRPr="00C342E0">
        <w:t xml:space="preserve">Editorial note </w:t>
      </w:r>
      <w:r w:rsidRPr="00E26ACD">
        <w:rPr>
          <w:i/>
        </w:rPr>
        <w:t xml:space="preserve">preceding the </w:t>
      </w:r>
      <w:r w:rsidRPr="00C342E0">
        <w:t>Table of Provisions</w:t>
      </w:r>
      <w:r w:rsidRPr="00E26ACD">
        <w:rPr>
          <w:i/>
        </w:rPr>
        <w:t>, substituting</w:t>
      </w:r>
      <w:r w:rsidRPr="00C342E0">
        <w:t xml:space="preserve"> – </w:t>
      </w:r>
    </w:p>
    <w:p w:rsidR="00863F35" w:rsidRPr="00C342E0" w:rsidRDefault="00863F35" w:rsidP="00863F35">
      <w:pPr>
        <w:rPr>
          <w:rFonts w:cs="Arial"/>
          <w:sz w:val="20"/>
          <w:szCs w:val="20"/>
        </w:rPr>
      </w:pPr>
    </w:p>
    <w:p w:rsidR="00863F35" w:rsidRPr="00C342E0" w:rsidRDefault="00863F35" w:rsidP="00863F35">
      <w:pPr>
        <w:pStyle w:val="EditorialNoteLine1"/>
        <w:rPr>
          <w:rFonts w:cs="Arial"/>
        </w:rPr>
      </w:pPr>
      <w:r w:rsidRPr="00C342E0">
        <w:rPr>
          <w:rFonts w:cs="Arial"/>
        </w:rPr>
        <w:t xml:space="preserve">Editorial note: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 xml:space="preserve">The Australian processing requirements for dried, evaporated and condensed milks are contained in Standard 4.2.4.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New Zealand has its own processing requirements for milk and milk products.</w:t>
      </w:r>
    </w:p>
    <w:p w:rsidR="00863F35" w:rsidRPr="00C342E0" w:rsidRDefault="00863F35" w:rsidP="00863F35">
      <w:pPr>
        <w:rPr>
          <w:rFonts w:cs="Arial"/>
          <w:sz w:val="20"/>
          <w:szCs w:val="20"/>
        </w:rPr>
      </w:pPr>
    </w:p>
    <w:p w:rsidR="00863F35" w:rsidRPr="00C342E0" w:rsidRDefault="00863F35" w:rsidP="00E26ACD">
      <w:pPr>
        <w:pStyle w:val="Clause"/>
      </w:pPr>
      <w:r w:rsidRPr="00C342E0">
        <w:rPr>
          <w:b/>
        </w:rPr>
        <w:t>[17]</w:t>
      </w:r>
      <w:r w:rsidRPr="00C342E0">
        <w:rPr>
          <w:b/>
        </w:rPr>
        <w:tab/>
      </w:r>
      <w:r w:rsidRPr="00E26ACD">
        <w:rPr>
          <w:b/>
          <w:i/>
        </w:rPr>
        <w:t>Standard 2.7.4</w:t>
      </w:r>
      <w:r w:rsidRPr="00E26ACD">
        <w:rPr>
          <w:i/>
        </w:rPr>
        <w:t xml:space="preserve"> of the Australia New Zealand Food Standards Code is varied by omitting the </w:t>
      </w:r>
      <w:r w:rsidRPr="00C342E0">
        <w:t xml:space="preserve">Editorial note </w:t>
      </w:r>
      <w:r w:rsidRPr="00E26ACD">
        <w:rPr>
          <w:i/>
        </w:rPr>
        <w:t xml:space="preserve">preceding the </w:t>
      </w:r>
      <w:r w:rsidRPr="00C342E0">
        <w:t>Table of Provisions</w:t>
      </w:r>
      <w:r w:rsidRPr="00E26ACD">
        <w:rPr>
          <w:i/>
        </w:rPr>
        <w:t xml:space="preserve">, substituting </w:t>
      </w:r>
      <w:r w:rsidRPr="00C342E0">
        <w:t xml:space="preserve">– </w:t>
      </w:r>
    </w:p>
    <w:p w:rsidR="00E26ACD" w:rsidRDefault="00E26ACD" w:rsidP="00863F35">
      <w:pPr>
        <w:rPr>
          <w:rFonts w:cs="Arial"/>
          <w:sz w:val="20"/>
          <w:szCs w:val="20"/>
        </w:rPr>
      </w:pPr>
      <w:r>
        <w:rPr>
          <w:rFonts w:cs="Arial"/>
          <w:sz w:val="20"/>
          <w:szCs w:val="20"/>
        </w:rPr>
        <w:br w:type="page"/>
      </w:r>
    </w:p>
    <w:p w:rsidR="00863F35" w:rsidRPr="00C342E0" w:rsidRDefault="00863F35" w:rsidP="00863F35">
      <w:pPr>
        <w:pStyle w:val="EditorialNoteLine1"/>
        <w:rPr>
          <w:rFonts w:cs="Arial"/>
        </w:rPr>
      </w:pPr>
      <w:r w:rsidRPr="00C342E0">
        <w:rPr>
          <w:rFonts w:cs="Arial"/>
        </w:rPr>
        <w:lastRenderedPageBreak/>
        <w:t xml:space="preserve">Editorial note: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 xml:space="preserve">The </w:t>
      </w:r>
      <w:r w:rsidRPr="00C342E0">
        <w:rPr>
          <w:rFonts w:cs="Arial"/>
          <w:i/>
        </w:rPr>
        <w:t>Australian Wine and Brandy Corporation Act 1980</w:t>
      </w:r>
      <w:r w:rsidRPr="00C342E0">
        <w:rPr>
          <w:rFonts w:cs="Arial"/>
        </w:rPr>
        <w:t xml:space="preserve"> and the Regulations made under that Act should be consulted.  The Act and the Regulations contain provisions which, for example, regulate – </w:t>
      </w:r>
    </w:p>
    <w:p w:rsidR="00863F35" w:rsidRPr="00C342E0" w:rsidRDefault="00863F35" w:rsidP="00863F35">
      <w:pPr>
        <w:pStyle w:val="EditorialNotetext"/>
        <w:rPr>
          <w:rFonts w:cs="Arial"/>
        </w:rPr>
      </w:pPr>
    </w:p>
    <w:p w:rsidR="00863F35" w:rsidRPr="00C342E0" w:rsidRDefault="00863F35" w:rsidP="00863F35">
      <w:pPr>
        <w:pStyle w:val="EditorialNotetext"/>
        <w:ind w:left="567" w:hanging="567"/>
        <w:rPr>
          <w:rFonts w:cs="Arial"/>
        </w:rPr>
      </w:pPr>
      <w:r w:rsidRPr="00C342E0">
        <w:rPr>
          <w:rFonts w:cs="Arial"/>
        </w:rPr>
        <w:t>(a)</w:t>
      </w:r>
      <w:r w:rsidRPr="00C342E0">
        <w:rPr>
          <w:rFonts w:cs="Arial"/>
        </w:rPr>
        <w:tab/>
        <w:t>the use of geographical indications for wine, sparkling wine and fortified wine;</w:t>
      </w:r>
    </w:p>
    <w:p w:rsidR="00863F35" w:rsidRPr="00C342E0" w:rsidRDefault="00863F35" w:rsidP="00863F35">
      <w:pPr>
        <w:pStyle w:val="EditorialNotetext"/>
        <w:ind w:left="567" w:hanging="567"/>
        <w:rPr>
          <w:rFonts w:cs="Arial"/>
        </w:rPr>
      </w:pPr>
      <w:r w:rsidRPr="00C342E0">
        <w:rPr>
          <w:rFonts w:cs="Arial"/>
        </w:rPr>
        <w:t>(b)</w:t>
      </w:r>
      <w:r w:rsidRPr="00C342E0">
        <w:rPr>
          <w:rFonts w:cs="Arial"/>
        </w:rPr>
        <w:tab/>
        <w:t>limited derogations from the requirements in this Standard for wine, sparkling wine and fortified wine for export;</w:t>
      </w:r>
    </w:p>
    <w:p w:rsidR="00863F35" w:rsidRPr="00C342E0" w:rsidRDefault="00863F35" w:rsidP="00863F35">
      <w:pPr>
        <w:pStyle w:val="EditorialNotetext"/>
        <w:ind w:left="567" w:hanging="567"/>
        <w:rPr>
          <w:rFonts w:cs="Arial"/>
        </w:rPr>
      </w:pPr>
      <w:r w:rsidRPr="00C342E0">
        <w:rPr>
          <w:rFonts w:cs="Arial"/>
        </w:rPr>
        <w:t>(c)</w:t>
      </w:r>
      <w:r w:rsidRPr="00C342E0">
        <w:rPr>
          <w:rFonts w:cs="Arial"/>
        </w:rPr>
        <w:tab/>
        <w:t>blending rules for wine, sparkling wine and fortified wine; and</w:t>
      </w:r>
    </w:p>
    <w:p w:rsidR="00863F35" w:rsidRPr="00C342E0" w:rsidRDefault="00863F35" w:rsidP="00863F35">
      <w:pPr>
        <w:pStyle w:val="EditorialNotetext"/>
        <w:ind w:left="567" w:hanging="567"/>
        <w:rPr>
          <w:rFonts w:cs="Arial"/>
        </w:rPr>
      </w:pPr>
      <w:r w:rsidRPr="00C342E0">
        <w:rPr>
          <w:rFonts w:cs="Arial"/>
        </w:rPr>
        <w:t>(d)</w:t>
      </w:r>
      <w:r w:rsidRPr="00C342E0">
        <w:rPr>
          <w:rFonts w:cs="Arial"/>
        </w:rPr>
        <w:tab/>
        <w:t>the compositional and other requirements for wine, sparkling wine and fortified wine imported into Australia from countries with which Australia has a wine trading agreement prescribed by the Act.</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 xml:space="preserve">For wines produced in New Zealand, the </w:t>
      </w:r>
      <w:r w:rsidRPr="00C342E0">
        <w:rPr>
          <w:rFonts w:cs="Arial"/>
          <w:i/>
        </w:rPr>
        <w:t>Wine Act 2003</w:t>
      </w:r>
      <w:r w:rsidRPr="00C342E0">
        <w:rPr>
          <w:rFonts w:cs="Arial"/>
        </w:rPr>
        <w:t xml:space="preserve">, and the Regulations, Specifications and Notices made under that Act, should also be consulted.  These contain provisions that regulate the making, supply and export of wine in New Zealand.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 xml:space="preserve">The New Zealand </w:t>
      </w:r>
      <w:r w:rsidRPr="00C342E0">
        <w:rPr>
          <w:rFonts w:cs="Arial"/>
          <w:i/>
        </w:rPr>
        <w:t xml:space="preserve">Geographical Indications (Wines and Spirits) Registration Act 2006 </w:t>
      </w:r>
      <w:r w:rsidRPr="00C342E0">
        <w:rPr>
          <w:rFonts w:cs="Arial"/>
        </w:rPr>
        <w:t>applies to geographical indications in relation to wine.  The Act will commence on a date to be proclaimed by the Governor-General of New Zealand.</w:t>
      </w:r>
    </w:p>
    <w:p w:rsidR="00863F35" w:rsidRPr="00C342E0" w:rsidRDefault="00863F35" w:rsidP="00863F35">
      <w:pPr>
        <w:pStyle w:val="Clause"/>
        <w:tabs>
          <w:tab w:val="clear" w:pos="851"/>
        </w:tabs>
        <w:rPr>
          <w:rFonts w:cs="Arial"/>
          <w:b/>
        </w:rPr>
      </w:pPr>
    </w:p>
    <w:p w:rsidR="00863F35" w:rsidRPr="00C342E0" w:rsidRDefault="00863F35" w:rsidP="00E26ACD">
      <w:pPr>
        <w:pStyle w:val="Clause"/>
      </w:pPr>
      <w:r w:rsidRPr="00C342E0">
        <w:rPr>
          <w:b/>
        </w:rPr>
        <w:t>[18]</w:t>
      </w:r>
      <w:r w:rsidRPr="00C342E0">
        <w:rPr>
          <w:b/>
        </w:rPr>
        <w:tab/>
      </w:r>
      <w:r w:rsidRPr="00E26ACD">
        <w:rPr>
          <w:b/>
          <w:i/>
        </w:rPr>
        <w:t>Standard 2.9.1</w:t>
      </w:r>
      <w:r w:rsidRPr="00E26ACD">
        <w:rPr>
          <w:i/>
        </w:rPr>
        <w:t xml:space="preserve"> of the Australia New Zealand Food Standards Code is varied by omitting the </w:t>
      </w:r>
      <w:r w:rsidRPr="00C342E0">
        <w:t>Editorial note</w:t>
      </w:r>
      <w:r w:rsidRPr="00E26ACD">
        <w:rPr>
          <w:i/>
        </w:rPr>
        <w:t xml:space="preserve"> following the </w:t>
      </w:r>
      <w:r w:rsidRPr="00E26ACD">
        <w:t>T</w:t>
      </w:r>
      <w:r w:rsidRPr="00C342E0">
        <w:t>able to clause 23</w:t>
      </w:r>
      <w:r w:rsidRPr="00E26ACD">
        <w:rPr>
          <w:i/>
        </w:rPr>
        <w:t>, substituting</w:t>
      </w:r>
      <w:r w:rsidRPr="00C342E0">
        <w:t xml:space="preserve"> – </w:t>
      </w:r>
    </w:p>
    <w:p w:rsidR="00863F35" w:rsidRPr="00C342E0" w:rsidRDefault="00863F35" w:rsidP="00863F35">
      <w:pPr>
        <w:rPr>
          <w:rFonts w:cs="Arial"/>
          <w:sz w:val="20"/>
          <w:szCs w:val="20"/>
        </w:rPr>
      </w:pPr>
    </w:p>
    <w:p w:rsidR="00863F35" w:rsidRPr="00C342E0" w:rsidRDefault="00863F35" w:rsidP="00863F35">
      <w:pPr>
        <w:pStyle w:val="EditorialNoteLine1"/>
        <w:rPr>
          <w:rFonts w:cs="Arial"/>
        </w:rPr>
      </w:pPr>
      <w:r w:rsidRPr="00C342E0">
        <w:rPr>
          <w:rFonts w:cs="Arial"/>
        </w:rPr>
        <w:t xml:space="preserve">Editorial note: </w:t>
      </w:r>
    </w:p>
    <w:p w:rsidR="00863F35" w:rsidRPr="00C342E0" w:rsidRDefault="00863F35" w:rsidP="00863F35">
      <w:pPr>
        <w:pStyle w:val="EditorialNotetext"/>
        <w:rPr>
          <w:rFonts w:cs="Arial"/>
        </w:rPr>
      </w:pPr>
    </w:p>
    <w:p w:rsidR="00863F35" w:rsidRPr="00C342E0" w:rsidRDefault="00863F35" w:rsidP="00863F35">
      <w:pPr>
        <w:pStyle w:val="EditorialNotetext"/>
        <w:rPr>
          <w:rFonts w:cs="Arial"/>
        </w:rPr>
      </w:pPr>
      <w:r w:rsidRPr="00C342E0">
        <w:rPr>
          <w:rFonts w:cs="Arial"/>
        </w:rPr>
        <w:t>Standard 1.3.4 contains specifications for dried marine microalgae (</w:t>
      </w:r>
      <w:r w:rsidRPr="00C342E0">
        <w:rPr>
          <w:rFonts w:cs="Arial"/>
          <w:i/>
        </w:rPr>
        <w:t>Schizochytrium sp.</w:t>
      </w:r>
      <w:r w:rsidRPr="00C342E0">
        <w:rPr>
          <w:rFonts w:cs="Arial"/>
        </w:rPr>
        <w:t>) rich in docosahexaenoic acid (DHA), oil derived from marine microalgae (</w:t>
      </w:r>
      <w:r w:rsidRPr="00C342E0">
        <w:rPr>
          <w:rFonts w:cs="Arial"/>
          <w:i/>
        </w:rPr>
        <w:t>Schizochytrium sp.</w:t>
      </w:r>
      <w:r w:rsidRPr="00C342E0">
        <w:rPr>
          <w:rFonts w:cs="Arial"/>
        </w:rPr>
        <w:t xml:space="preserve">) rich in docosahexaenoic acid (DHA), oil derived from the algae </w:t>
      </w:r>
      <w:r w:rsidRPr="00C342E0">
        <w:rPr>
          <w:rFonts w:cs="Arial"/>
          <w:i/>
        </w:rPr>
        <w:t xml:space="preserve">Crypthecodinium cohnii </w:t>
      </w:r>
      <w:r w:rsidRPr="00C342E0">
        <w:rPr>
          <w:rFonts w:cs="Arial"/>
        </w:rPr>
        <w:t xml:space="preserve">rich in docosahexaenoic acid (DHA), oil derived from the fungus </w:t>
      </w:r>
      <w:r w:rsidRPr="00C342E0">
        <w:rPr>
          <w:rFonts w:cs="Arial"/>
          <w:i/>
        </w:rPr>
        <w:t xml:space="preserve">Mortierella alpina </w:t>
      </w:r>
      <w:r w:rsidRPr="00C342E0">
        <w:rPr>
          <w:rFonts w:cs="Arial"/>
        </w:rPr>
        <w:t>rich in arachidonic acid (ARA), and oil derived from marine microalgae (</w:t>
      </w:r>
      <w:r w:rsidRPr="00C342E0">
        <w:rPr>
          <w:rFonts w:cs="Arial"/>
          <w:i/>
        </w:rPr>
        <w:t>Ulkenia sp.</w:t>
      </w:r>
      <w:r w:rsidRPr="00C342E0">
        <w:rPr>
          <w:rFonts w:cs="Arial"/>
        </w:rPr>
        <w:t>) rich in docosahexaenoic acid (DHA).</w:t>
      </w:r>
    </w:p>
    <w:p w:rsidR="00863F35" w:rsidRPr="00C342E0" w:rsidRDefault="00863F35" w:rsidP="00863F35">
      <w:pPr>
        <w:rPr>
          <w:rFonts w:cs="Arial"/>
          <w:sz w:val="20"/>
          <w:szCs w:val="20"/>
        </w:rPr>
      </w:pPr>
    </w:p>
    <w:p w:rsidR="00863F35" w:rsidRPr="00C342E0" w:rsidRDefault="00863F35" w:rsidP="00E26ACD">
      <w:pPr>
        <w:pStyle w:val="Clause"/>
      </w:pPr>
      <w:r w:rsidRPr="00C342E0">
        <w:rPr>
          <w:b/>
        </w:rPr>
        <w:t>[19]</w:t>
      </w:r>
      <w:r w:rsidRPr="00C342E0">
        <w:rPr>
          <w:b/>
        </w:rPr>
        <w:tab/>
      </w:r>
      <w:r w:rsidRPr="00E26ACD">
        <w:rPr>
          <w:b/>
          <w:i/>
        </w:rPr>
        <w:t>Standard 3.3.1</w:t>
      </w:r>
      <w:r w:rsidRPr="00E26ACD">
        <w:rPr>
          <w:i/>
        </w:rPr>
        <w:t xml:space="preserve"> of the Australia New Zealand Food Standards Code is varied by omitting from the </w:t>
      </w:r>
      <w:r w:rsidRPr="00C342E0">
        <w:t>Editorial note</w:t>
      </w:r>
      <w:r w:rsidRPr="00E26ACD">
        <w:rPr>
          <w:i/>
        </w:rPr>
        <w:t xml:space="preserve"> following subclause 1(2)</w:t>
      </w:r>
      <w:r w:rsidRPr="00C342E0">
        <w:t xml:space="preserve"> –</w:t>
      </w:r>
    </w:p>
    <w:p w:rsidR="00863F35" w:rsidRPr="00C342E0" w:rsidRDefault="00863F35" w:rsidP="00863F35">
      <w:pPr>
        <w:pStyle w:val="Clause"/>
        <w:rPr>
          <w:rFonts w:cs="Arial"/>
        </w:rPr>
      </w:pPr>
    </w:p>
    <w:p w:rsidR="00863F35" w:rsidRPr="00C342E0" w:rsidRDefault="00863F35" w:rsidP="00863F35">
      <w:pPr>
        <w:pStyle w:val="Clause"/>
        <w:rPr>
          <w:rFonts w:cs="Arial"/>
        </w:rPr>
      </w:pPr>
      <w:r w:rsidRPr="00C342E0">
        <w:rPr>
          <w:rFonts w:cs="Arial"/>
        </w:rPr>
        <w:t>micro-organisms</w:t>
      </w:r>
    </w:p>
    <w:p w:rsidR="00863F35" w:rsidRPr="00C342E0" w:rsidRDefault="00863F35" w:rsidP="00863F35">
      <w:pPr>
        <w:rPr>
          <w:rFonts w:cs="Arial"/>
          <w:i/>
          <w:sz w:val="20"/>
          <w:szCs w:val="20"/>
        </w:rPr>
      </w:pPr>
    </w:p>
    <w:p w:rsidR="00863F35" w:rsidRPr="00C342E0" w:rsidRDefault="00863F35" w:rsidP="00863F35">
      <w:pPr>
        <w:pStyle w:val="Clause"/>
        <w:rPr>
          <w:rFonts w:cs="Arial"/>
          <w:i/>
          <w:iCs/>
        </w:rPr>
      </w:pPr>
      <w:r w:rsidRPr="00C342E0">
        <w:rPr>
          <w:rFonts w:cs="Arial"/>
          <w:i/>
          <w:iCs/>
        </w:rPr>
        <w:t>substituting –</w:t>
      </w:r>
    </w:p>
    <w:p w:rsidR="00863F35" w:rsidRPr="00C342E0" w:rsidRDefault="00863F35" w:rsidP="00863F35">
      <w:pPr>
        <w:rPr>
          <w:rFonts w:cs="Arial"/>
          <w:i/>
          <w:sz w:val="20"/>
          <w:szCs w:val="20"/>
        </w:rPr>
      </w:pPr>
    </w:p>
    <w:p w:rsidR="00863F35" w:rsidRPr="00C342E0" w:rsidRDefault="00863F35" w:rsidP="00863F35">
      <w:pPr>
        <w:pStyle w:val="Clause"/>
        <w:rPr>
          <w:rFonts w:cs="Arial"/>
        </w:rPr>
      </w:pPr>
      <w:r w:rsidRPr="00C342E0">
        <w:rPr>
          <w:rFonts w:cs="Arial"/>
        </w:rPr>
        <w:t>microorganisms</w:t>
      </w:r>
    </w:p>
    <w:p w:rsidR="00863F35" w:rsidRPr="00C342E0" w:rsidRDefault="00863F35" w:rsidP="00863F35">
      <w:pPr>
        <w:rPr>
          <w:rFonts w:cs="Arial"/>
          <w:sz w:val="20"/>
          <w:szCs w:val="20"/>
        </w:rPr>
      </w:pPr>
    </w:p>
    <w:p w:rsidR="00097373" w:rsidRPr="00E26ACD" w:rsidRDefault="00863F35" w:rsidP="00E26ACD">
      <w:pPr>
        <w:pStyle w:val="Clause"/>
      </w:pPr>
      <w:r w:rsidRPr="00C342E0">
        <w:rPr>
          <w:b/>
        </w:rPr>
        <w:t>[20]</w:t>
      </w:r>
      <w:r w:rsidRPr="00C342E0">
        <w:rPr>
          <w:b/>
        </w:rPr>
        <w:tab/>
      </w:r>
      <w:r w:rsidRPr="00E26ACD">
        <w:rPr>
          <w:b/>
          <w:i/>
        </w:rPr>
        <w:t>Standard 4.2.4</w:t>
      </w:r>
      <w:r w:rsidRPr="00E26ACD">
        <w:rPr>
          <w:i/>
        </w:rPr>
        <w:t xml:space="preserve"> of the Australia New Zealand Food Standards Code is varied by omitting </w:t>
      </w:r>
      <w:r w:rsidRPr="00C342E0">
        <w:t xml:space="preserve">and/ or </w:t>
      </w:r>
      <w:r w:rsidRPr="00E26ACD">
        <w:rPr>
          <w:i/>
        </w:rPr>
        <w:t xml:space="preserve">from the </w:t>
      </w:r>
      <w:r w:rsidRPr="00C342E0">
        <w:t>Editorial note</w:t>
      </w:r>
      <w:r w:rsidRPr="00E26ACD">
        <w:rPr>
          <w:i/>
        </w:rPr>
        <w:t xml:space="preserve"> following subclause 15(5), substituting</w:t>
      </w:r>
      <w:r w:rsidR="00E26ACD" w:rsidRPr="00E26ACD">
        <w:t xml:space="preserve"> or</w:t>
      </w:r>
    </w:p>
    <w:p w:rsidR="003F511C" w:rsidRPr="00C342E0" w:rsidRDefault="003F511C">
      <w:pPr>
        <w:widowControl/>
        <w:rPr>
          <w:rFonts w:cs="Arial"/>
          <w:b/>
          <w:bCs/>
          <w:iCs/>
          <w:sz w:val="20"/>
          <w:szCs w:val="20"/>
        </w:rPr>
      </w:pPr>
      <w:r w:rsidRPr="00C342E0">
        <w:rPr>
          <w:rFonts w:cs="Arial"/>
          <w:sz w:val="20"/>
          <w:szCs w:val="20"/>
        </w:rPr>
        <w:br w:type="page"/>
      </w:r>
    </w:p>
    <w:p w:rsidR="00347E88" w:rsidRPr="00DC6570" w:rsidRDefault="00347E88" w:rsidP="00347E88">
      <w:pPr>
        <w:pStyle w:val="Heading2"/>
        <w:jc w:val="right"/>
      </w:pPr>
      <w:bookmarkStart w:id="226" w:name="_Toc290973103"/>
      <w:r>
        <w:lastRenderedPageBreak/>
        <w:t>Attachment 2</w:t>
      </w:r>
      <w:r w:rsidR="0025457F">
        <w:t>B</w:t>
      </w:r>
      <w:bookmarkEnd w:id="226"/>
    </w:p>
    <w:p w:rsidR="00347E88" w:rsidRPr="00417EE3" w:rsidRDefault="00347E88" w:rsidP="00347E88">
      <w:pPr>
        <w:pStyle w:val="Heading2"/>
        <w:rPr>
          <w:rFonts w:cs="Arial"/>
          <w:sz w:val="22"/>
          <w:szCs w:val="22"/>
        </w:rPr>
      </w:pPr>
    </w:p>
    <w:p w:rsidR="00347E88" w:rsidRPr="00347E88" w:rsidRDefault="00347E88" w:rsidP="00347E88">
      <w:pPr>
        <w:pStyle w:val="Heading2"/>
        <w:rPr>
          <w:rFonts w:cs="Arial"/>
        </w:rPr>
      </w:pPr>
      <w:bookmarkStart w:id="227" w:name="_Toc290973104"/>
      <w:r w:rsidRPr="00DC6570">
        <w:rPr>
          <w:rFonts w:cs="Arial"/>
        </w:rPr>
        <w:t>Draft variatio</w:t>
      </w:r>
      <w:r w:rsidRPr="006D3CB4">
        <w:rPr>
          <w:rFonts w:cs="Arial"/>
        </w:rPr>
        <w:t xml:space="preserve">ns </w:t>
      </w:r>
      <w:r w:rsidRPr="00DC6570">
        <w:rPr>
          <w:rFonts w:cs="Arial"/>
        </w:rPr>
        <w:t xml:space="preserve">to </w:t>
      </w:r>
      <w:r>
        <w:rPr>
          <w:rFonts w:cs="Arial"/>
        </w:rPr>
        <w:t xml:space="preserve">Editorial Notes in </w:t>
      </w:r>
      <w:r w:rsidRPr="00DC6570">
        <w:rPr>
          <w:rFonts w:cs="Arial"/>
        </w:rPr>
        <w:t xml:space="preserve">the </w:t>
      </w:r>
      <w:r w:rsidRPr="00DC6570">
        <w:rPr>
          <w:rFonts w:cs="Arial"/>
          <w:i/>
          <w:iCs w:val="0"/>
        </w:rPr>
        <w:t>Australia New Zealand Food Standards Code</w:t>
      </w:r>
      <w:r>
        <w:rPr>
          <w:rFonts w:cs="Arial"/>
          <w:i/>
          <w:iCs w:val="0"/>
        </w:rPr>
        <w:t xml:space="preserve"> </w:t>
      </w:r>
      <w:r>
        <w:rPr>
          <w:rFonts w:cs="Arial"/>
          <w:iCs w:val="0"/>
        </w:rPr>
        <w:t>proposed in the Assessment Report</w:t>
      </w:r>
      <w:bookmarkEnd w:id="227"/>
    </w:p>
    <w:p w:rsidR="00E64CEF" w:rsidRDefault="00E64CEF"/>
    <w:p w:rsidR="00E64CEF" w:rsidRPr="003A6433" w:rsidRDefault="00E64CEF" w:rsidP="00E64CEF">
      <w:pPr>
        <w:rPr>
          <w:b/>
        </w:rPr>
      </w:pPr>
      <w:r>
        <w:rPr>
          <w:b/>
        </w:rPr>
        <w:t>To commence: on gazettal</w:t>
      </w:r>
    </w:p>
    <w:p w:rsidR="00E64CEF" w:rsidRDefault="00E64CEF" w:rsidP="00E64CEF"/>
    <w:p w:rsidR="00E64CEF" w:rsidRDefault="00E64CEF" w:rsidP="00E64CEF">
      <w:pPr>
        <w:pStyle w:val="Clause"/>
      </w:pPr>
      <w:r>
        <w:rPr>
          <w:b/>
        </w:rPr>
        <w:t>[1]</w:t>
      </w:r>
      <w:r>
        <w:rPr>
          <w:b/>
        </w:rPr>
        <w:tab/>
      </w:r>
      <w:r w:rsidRPr="00166996">
        <w:rPr>
          <w:i/>
        </w:rPr>
        <w:t xml:space="preserve">The Editorial notes in the Standards of the Australia New Zealand Food Standards Code listed in </w:t>
      </w:r>
      <w:r>
        <w:t xml:space="preserve">Column 1 </w:t>
      </w:r>
      <w:r w:rsidRPr="00166996">
        <w:rPr>
          <w:i/>
        </w:rPr>
        <w:t xml:space="preserve">of the </w:t>
      </w:r>
      <w:r>
        <w:t xml:space="preserve">Table </w:t>
      </w:r>
      <w:r w:rsidRPr="00166996">
        <w:rPr>
          <w:i/>
        </w:rPr>
        <w:t xml:space="preserve">to this item are varied by omitting the Editorial notes listed in Column 2 </w:t>
      </w:r>
      <w:r>
        <w:t>–</w:t>
      </w:r>
    </w:p>
    <w:p w:rsidR="00E64CEF" w:rsidRPr="007C0664" w:rsidRDefault="00E64CEF" w:rsidP="00E64CEF">
      <w:pPr>
        <w:pStyle w:val="TableHeading"/>
      </w:pPr>
      <w:r w:rsidRPr="007C0664">
        <w:t>Table to Item 1</w:t>
      </w:r>
    </w:p>
    <w:p w:rsidR="00E64CEF" w:rsidRDefault="00E64CEF" w:rsidP="00E64CE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618"/>
      </w:tblGrid>
      <w:tr w:rsidR="00E64CEF" w:rsidTr="00A506D2">
        <w:tc>
          <w:tcPr>
            <w:tcW w:w="4618" w:type="dxa"/>
          </w:tcPr>
          <w:p w:rsidR="00E64CEF" w:rsidRPr="00520466" w:rsidRDefault="00E64CEF" w:rsidP="00A506D2">
            <w:pPr>
              <w:pStyle w:val="Table1"/>
            </w:pPr>
            <w:r w:rsidRPr="00520466">
              <w:t>Column 1</w:t>
            </w:r>
          </w:p>
          <w:p w:rsidR="00E64CEF" w:rsidRPr="00520466" w:rsidRDefault="00E64CEF" w:rsidP="00A506D2">
            <w:pPr>
              <w:pStyle w:val="Table1"/>
            </w:pPr>
            <w:r w:rsidRPr="00520466">
              <w:t>Standard</w:t>
            </w:r>
          </w:p>
        </w:tc>
        <w:tc>
          <w:tcPr>
            <w:tcW w:w="4618" w:type="dxa"/>
          </w:tcPr>
          <w:p w:rsidR="00E64CEF" w:rsidRPr="00520466" w:rsidRDefault="00E64CEF" w:rsidP="00A506D2">
            <w:pPr>
              <w:pStyle w:val="Table1"/>
            </w:pPr>
            <w:r w:rsidRPr="00520466">
              <w:t>Column 2</w:t>
            </w:r>
          </w:p>
          <w:p w:rsidR="00E64CEF" w:rsidRPr="00520466" w:rsidRDefault="00E64CEF" w:rsidP="00A506D2">
            <w:pPr>
              <w:pStyle w:val="Table1"/>
            </w:pPr>
            <w:r w:rsidRPr="00520466">
              <w:t>Editorial note</w:t>
            </w:r>
          </w:p>
        </w:tc>
      </w:tr>
      <w:tr w:rsidR="00E64CEF" w:rsidTr="00A506D2">
        <w:tc>
          <w:tcPr>
            <w:tcW w:w="4618" w:type="dxa"/>
          </w:tcPr>
          <w:p w:rsidR="00E64CEF" w:rsidRDefault="00E64CEF" w:rsidP="00A506D2">
            <w:pPr>
              <w:pStyle w:val="Table2"/>
            </w:pPr>
            <w:r>
              <w:t>Standard 1.1.1</w:t>
            </w:r>
          </w:p>
        </w:tc>
        <w:tc>
          <w:tcPr>
            <w:tcW w:w="4618" w:type="dxa"/>
          </w:tcPr>
          <w:p w:rsidR="00E64CEF" w:rsidRPr="00520466" w:rsidRDefault="00E64CEF" w:rsidP="00A506D2">
            <w:pPr>
              <w:pStyle w:val="Table2"/>
              <w:rPr>
                <w:b/>
              </w:rPr>
            </w:pPr>
            <w:r>
              <w:t xml:space="preserve">The Editorial note following the definition of </w:t>
            </w:r>
            <w:r>
              <w:rPr>
                <w:b/>
              </w:rPr>
              <w:t>fund raising events</w:t>
            </w:r>
          </w:p>
        </w:tc>
      </w:tr>
      <w:tr w:rsidR="00E64CEF" w:rsidTr="00A506D2">
        <w:tc>
          <w:tcPr>
            <w:tcW w:w="4618" w:type="dxa"/>
          </w:tcPr>
          <w:p w:rsidR="00E64CEF" w:rsidRDefault="00E64CEF" w:rsidP="00A506D2">
            <w:pPr>
              <w:pStyle w:val="Table2"/>
            </w:pPr>
            <w:r>
              <w:t>Standard 1.2.11</w:t>
            </w:r>
          </w:p>
        </w:tc>
        <w:tc>
          <w:tcPr>
            <w:tcW w:w="4618" w:type="dxa"/>
          </w:tcPr>
          <w:p w:rsidR="00E64CEF" w:rsidRDefault="00E64CEF" w:rsidP="00A506D2">
            <w:pPr>
              <w:pStyle w:val="Table2"/>
            </w:pPr>
            <w:r>
              <w:t>The Editorial note following clause 2</w:t>
            </w:r>
          </w:p>
        </w:tc>
      </w:tr>
      <w:tr w:rsidR="00E64CEF" w:rsidTr="00A506D2">
        <w:tc>
          <w:tcPr>
            <w:tcW w:w="4618" w:type="dxa"/>
          </w:tcPr>
          <w:p w:rsidR="00E64CEF" w:rsidRDefault="00E64CEF" w:rsidP="00A506D2">
            <w:pPr>
              <w:pStyle w:val="Table2"/>
            </w:pPr>
            <w:r>
              <w:t>Standard 1.3.1</w:t>
            </w:r>
          </w:p>
        </w:tc>
        <w:tc>
          <w:tcPr>
            <w:tcW w:w="4618" w:type="dxa"/>
          </w:tcPr>
          <w:p w:rsidR="00E64CEF" w:rsidRDefault="00E64CEF" w:rsidP="00A506D2">
            <w:pPr>
              <w:pStyle w:val="Table2"/>
            </w:pPr>
            <w:r>
              <w:t>The Editorial note following clause 3</w:t>
            </w:r>
          </w:p>
        </w:tc>
      </w:tr>
      <w:tr w:rsidR="00E64CEF" w:rsidTr="00A506D2">
        <w:tc>
          <w:tcPr>
            <w:tcW w:w="4618" w:type="dxa"/>
          </w:tcPr>
          <w:p w:rsidR="00E64CEF" w:rsidRDefault="00E64CEF" w:rsidP="00A506D2">
            <w:pPr>
              <w:pStyle w:val="Table2"/>
            </w:pPr>
            <w:r>
              <w:t>Standard 1.3.1</w:t>
            </w:r>
          </w:p>
        </w:tc>
        <w:tc>
          <w:tcPr>
            <w:tcW w:w="4618" w:type="dxa"/>
          </w:tcPr>
          <w:p w:rsidR="00E64CEF" w:rsidRDefault="00E64CEF" w:rsidP="00A506D2">
            <w:pPr>
              <w:pStyle w:val="Table2"/>
            </w:pPr>
            <w:r>
              <w:t>The Editorial note following clause 11</w:t>
            </w:r>
          </w:p>
        </w:tc>
      </w:tr>
      <w:tr w:rsidR="00E64CEF" w:rsidTr="00A506D2">
        <w:tc>
          <w:tcPr>
            <w:tcW w:w="4618" w:type="dxa"/>
          </w:tcPr>
          <w:p w:rsidR="00E64CEF" w:rsidRDefault="00E64CEF" w:rsidP="00A506D2">
            <w:pPr>
              <w:pStyle w:val="Table2"/>
            </w:pPr>
            <w:r>
              <w:t>Standard 2.2.1</w:t>
            </w:r>
          </w:p>
        </w:tc>
        <w:tc>
          <w:tcPr>
            <w:tcW w:w="4618" w:type="dxa"/>
          </w:tcPr>
          <w:p w:rsidR="00E64CEF" w:rsidRDefault="00E64CEF" w:rsidP="00A506D2">
            <w:pPr>
              <w:pStyle w:val="Table2"/>
            </w:pPr>
            <w:r>
              <w:t>The Editorial note within clause 1</w:t>
            </w:r>
          </w:p>
        </w:tc>
      </w:tr>
      <w:tr w:rsidR="00E64CEF" w:rsidTr="00A506D2">
        <w:tc>
          <w:tcPr>
            <w:tcW w:w="4618" w:type="dxa"/>
          </w:tcPr>
          <w:p w:rsidR="00E64CEF" w:rsidRDefault="00E64CEF" w:rsidP="00A506D2">
            <w:pPr>
              <w:pStyle w:val="Table2"/>
            </w:pPr>
            <w:r>
              <w:t>Standard 2.7.4</w:t>
            </w:r>
          </w:p>
        </w:tc>
        <w:tc>
          <w:tcPr>
            <w:tcW w:w="4618" w:type="dxa"/>
          </w:tcPr>
          <w:p w:rsidR="00E64CEF" w:rsidRDefault="00E64CEF" w:rsidP="00A506D2">
            <w:pPr>
              <w:pStyle w:val="Table2"/>
            </w:pPr>
            <w:r>
              <w:t>The Editorial note following clause 2</w:t>
            </w:r>
          </w:p>
        </w:tc>
      </w:tr>
      <w:tr w:rsidR="00E64CEF" w:rsidTr="00A506D2">
        <w:tc>
          <w:tcPr>
            <w:tcW w:w="4618" w:type="dxa"/>
          </w:tcPr>
          <w:p w:rsidR="00E64CEF" w:rsidRDefault="00E64CEF" w:rsidP="00A506D2">
            <w:pPr>
              <w:pStyle w:val="Table2"/>
            </w:pPr>
            <w:r>
              <w:t>Standard 2.7.5</w:t>
            </w:r>
          </w:p>
        </w:tc>
        <w:tc>
          <w:tcPr>
            <w:tcW w:w="4618" w:type="dxa"/>
          </w:tcPr>
          <w:p w:rsidR="00E64CEF" w:rsidRDefault="00E64CEF" w:rsidP="00A506D2">
            <w:pPr>
              <w:pStyle w:val="Table2"/>
            </w:pPr>
            <w:r>
              <w:t>The Editorial note following clause 4</w:t>
            </w:r>
          </w:p>
        </w:tc>
      </w:tr>
    </w:tbl>
    <w:p w:rsidR="00E64CEF" w:rsidRDefault="00E64CEF" w:rsidP="00E64CEF"/>
    <w:p w:rsidR="00E64CEF" w:rsidRDefault="00E64CEF" w:rsidP="006C1A57">
      <w:pPr>
        <w:pStyle w:val="Clause"/>
      </w:pPr>
      <w:r>
        <w:rPr>
          <w:b/>
        </w:rPr>
        <w:t>[2]</w:t>
      </w:r>
      <w:r>
        <w:rPr>
          <w:b/>
        </w:rPr>
        <w:tab/>
      </w:r>
      <w:r w:rsidRPr="006C1A57">
        <w:rPr>
          <w:b/>
          <w:i/>
        </w:rPr>
        <w:t>Standard 1.1.1</w:t>
      </w:r>
      <w:r w:rsidRPr="006C1A57">
        <w:rPr>
          <w:i/>
        </w:rPr>
        <w:t xml:space="preserve"> of the Australia New Zealand Food Standards Code is varied by omitting from the </w:t>
      </w:r>
      <w:r w:rsidRPr="00EB3EF3">
        <w:t>Editorial note</w:t>
      </w:r>
      <w:r w:rsidRPr="006C1A57">
        <w:rPr>
          <w:i/>
        </w:rPr>
        <w:t xml:space="preserve"> preceding the Table of Provisions</w:t>
      </w:r>
      <w:r w:rsidRPr="007866D1">
        <w:t xml:space="preserve"> –</w:t>
      </w:r>
    </w:p>
    <w:p w:rsidR="00E64CEF" w:rsidRDefault="00E64CEF" w:rsidP="00E64CEF"/>
    <w:p w:rsidR="00E64CEF" w:rsidRDefault="00E64CEF" w:rsidP="006C1A57">
      <w:pPr>
        <w:pStyle w:val="Clause"/>
      </w:pPr>
      <w:r w:rsidRPr="0018147B">
        <w:rPr>
          <w:i/>
        </w:rPr>
        <w:t>Health Act 1911</w:t>
      </w:r>
      <w:r>
        <w:t xml:space="preserve"> (Western Australia)</w:t>
      </w:r>
    </w:p>
    <w:p w:rsidR="00E64CEF" w:rsidRDefault="00E64CEF" w:rsidP="00E64CEF"/>
    <w:p w:rsidR="00E64CEF" w:rsidRDefault="00E64CEF" w:rsidP="006C1A57">
      <w:pPr>
        <w:pStyle w:val="Clause"/>
      </w:pPr>
      <w:r w:rsidRPr="006C1A57">
        <w:rPr>
          <w:i/>
        </w:rPr>
        <w:t>substituting</w:t>
      </w:r>
      <w:r>
        <w:t xml:space="preserve"> –</w:t>
      </w:r>
    </w:p>
    <w:p w:rsidR="00E64CEF" w:rsidRDefault="00E64CEF" w:rsidP="00E64CEF">
      <w:pPr>
        <w:rPr>
          <w:i/>
        </w:rPr>
      </w:pPr>
    </w:p>
    <w:p w:rsidR="00E64CEF" w:rsidRDefault="00E64CEF" w:rsidP="006C1A57">
      <w:pPr>
        <w:pStyle w:val="Clause"/>
      </w:pPr>
      <w:r>
        <w:rPr>
          <w:i/>
        </w:rPr>
        <w:t xml:space="preserve">Food Act 2008 </w:t>
      </w:r>
      <w:r>
        <w:t>(Western Australia)</w:t>
      </w:r>
    </w:p>
    <w:p w:rsidR="00E64CEF" w:rsidRDefault="00E64CEF" w:rsidP="00E64CEF"/>
    <w:p w:rsidR="00E64CEF" w:rsidRDefault="00E64CEF" w:rsidP="006C1A57">
      <w:pPr>
        <w:pStyle w:val="Clause"/>
      </w:pPr>
      <w:r>
        <w:rPr>
          <w:b/>
        </w:rPr>
        <w:t>[3]</w:t>
      </w:r>
      <w:r>
        <w:rPr>
          <w:b/>
        </w:rPr>
        <w:tab/>
      </w:r>
      <w:r w:rsidRPr="006C1A57">
        <w:rPr>
          <w:b/>
          <w:i/>
        </w:rPr>
        <w:t>Standard 1.2.3</w:t>
      </w:r>
      <w:r w:rsidRPr="006C1A57">
        <w:rPr>
          <w:i/>
        </w:rPr>
        <w:t xml:space="preserve"> of the Australia New Zealand Food Standards Code is varied by omitting from the </w:t>
      </w:r>
      <w:r w:rsidRPr="00EB3EF3">
        <w:t>Editorial note</w:t>
      </w:r>
      <w:r>
        <w:t xml:space="preserve"> </w:t>
      </w:r>
      <w:r w:rsidRPr="006C1A57">
        <w:rPr>
          <w:i/>
        </w:rPr>
        <w:t>following clause 2</w:t>
      </w:r>
      <w:r w:rsidRPr="007866D1">
        <w:t xml:space="preserve"> –</w:t>
      </w:r>
    </w:p>
    <w:p w:rsidR="00E64CEF" w:rsidRDefault="00E64CEF" w:rsidP="00E64CEF">
      <w:pPr>
        <w:pStyle w:val="Clause"/>
      </w:pPr>
    </w:p>
    <w:p w:rsidR="00E64CEF" w:rsidRDefault="00E64CEF" w:rsidP="006C1A57">
      <w:pPr>
        <w:pStyle w:val="Clause"/>
      </w:pPr>
      <w:r>
        <w:t>Standard 2.5.1. – ‘dried milks’</w:t>
      </w:r>
    </w:p>
    <w:p w:rsidR="00E64CEF" w:rsidRDefault="00E64CEF" w:rsidP="00E64CEF">
      <w:pPr>
        <w:rPr>
          <w:i/>
        </w:rPr>
      </w:pPr>
    </w:p>
    <w:p w:rsidR="00E64CEF" w:rsidRDefault="00E64CEF" w:rsidP="006C1A57">
      <w:pPr>
        <w:pStyle w:val="Clause"/>
      </w:pPr>
      <w:r w:rsidRPr="006C1A57">
        <w:rPr>
          <w:i/>
        </w:rPr>
        <w:t xml:space="preserve">substituting </w:t>
      </w:r>
      <w:r>
        <w:t>–</w:t>
      </w:r>
    </w:p>
    <w:p w:rsidR="00E64CEF" w:rsidRDefault="00E64CEF" w:rsidP="00E64CEF">
      <w:pPr>
        <w:rPr>
          <w:i/>
        </w:rPr>
      </w:pPr>
    </w:p>
    <w:p w:rsidR="00E64CEF" w:rsidRPr="007866D1" w:rsidRDefault="00E64CEF" w:rsidP="006C1A57">
      <w:pPr>
        <w:pStyle w:val="Clause"/>
      </w:pPr>
      <w:r>
        <w:t>Standard 2.5.1.  ‘Dried milks’</w:t>
      </w:r>
    </w:p>
    <w:p w:rsidR="00E64CEF" w:rsidRDefault="00E64CEF" w:rsidP="00E64CEF"/>
    <w:p w:rsidR="00E64CEF" w:rsidRDefault="00E64CEF" w:rsidP="006C1A57">
      <w:pPr>
        <w:pStyle w:val="Clause"/>
      </w:pPr>
      <w:r>
        <w:rPr>
          <w:b/>
        </w:rPr>
        <w:t>[4]</w:t>
      </w:r>
      <w:r>
        <w:rPr>
          <w:b/>
        </w:rPr>
        <w:tab/>
      </w:r>
      <w:r w:rsidRPr="006C1A57">
        <w:rPr>
          <w:b/>
          <w:i/>
        </w:rPr>
        <w:t>Standard 1.2.5</w:t>
      </w:r>
      <w:r w:rsidRPr="006C1A57">
        <w:rPr>
          <w:i/>
        </w:rPr>
        <w:t xml:space="preserve"> of the Australia New Zealand Food Standards Code is varied by omitting the first paragraph from the </w:t>
      </w:r>
      <w:r w:rsidRPr="00EB3EF3">
        <w:t>Editorial note</w:t>
      </w:r>
      <w:r>
        <w:t xml:space="preserve"> </w:t>
      </w:r>
      <w:r w:rsidRPr="006C1A57">
        <w:rPr>
          <w:i/>
        </w:rPr>
        <w:t>following subclause 2(2)</w:t>
      </w:r>
    </w:p>
    <w:p w:rsidR="00E64CEF" w:rsidRDefault="00E64CEF" w:rsidP="00E64CEF">
      <w:pPr>
        <w:pStyle w:val="Clause"/>
        <w:tabs>
          <w:tab w:val="clear" w:pos="851"/>
        </w:tabs>
        <w:rPr>
          <w:b/>
        </w:rPr>
      </w:pPr>
    </w:p>
    <w:p w:rsidR="00E64CEF" w:rsidRDefault="00E64CEF" w:rsidP="00E64CEF">
      <w:pPr>
        <w:pStyle w:val="Clause"/>
        <w:rPr>
          <w:i/>
        </w:rPr>
      </w:pPr>
      <w:r>
        <w:rPr>
          <w:b/>
        </w:rPr>
        <w:t>[5]</w:t>
      </w:r>
      <w:r>
        <w:rPr>
          <w:b/>
        </w:rPr>
        <w:tab/>
      </w:r>
      <w:r>
        <w:rPr>
          <w:b/>
          <w:i/>
        </w:rPr>
        <w:t xml:space="preserve">Standard 1.2.9 </w:t>
      </w:r>
      <w:r>
        <w:rPr>
          <w:i/>
        </w:rPr>
        <w:t xml:space="preserve">of the Australia New Zealand Food Standards Code is varied by omitting the </w:t>
      </w:r>
      <w:r>
        <w:t xml:space="preserve">Editorial note </w:t>
      </w:r>
      <w:r>
        <w:rPr>
          <w:i/>
        </w:rPr>
        <w:t xml:space="preserve">following clause 3, substituting – </w:t>
      </w:r>
    </w:p>
    <w:p w:rsidR="00E64CEF" w:rsidRDefault="00E64CEF" w:rsidP="00E64CEF">
      <w:pPr>
        <w:rPr>
          <w:i/>
        </w:rPr>
      </w:pPr>
    </w:p>
    <w:p w:rsidR="00E64CEF" w:rsidRDefault="00E64CEF" w:rsidP="00E64CEF">
      <w:pPr>
        <w:pStyle w:val="EditorialNoteLine1"/>
      </w:pPr>
      <w:r>
        <w:t xml:space="preserve">Editorial note: </w:t>
      </w:r>
    </w:p>
    <w:p w:rsidR="00E64CEF" w:rsidRDefault="00E64CEF" w:rsidP="00E64CEF">
      <w:pPr>
        <w:pStyle w:val="EditorialNotetext"/>
      </w:pPr>
    </w:p>
    <w:p w:rsidR="00E64CEF" w:rsidRDefault="00E64CEF" w:rsidP="00E64CEF">
      <w:pPr>
        <w:pStyle w:val="EditorialNotetext"/>
        <w:ind w:left="567" w:hanging="567"/>
      </w:pPr>
      <w:r w:rsidRPr="009B33E1">
        <w:t>1.</w:t>
      </w:r>
      <w:r w:rsidRPr="009B33E1">
        <w:tab/>
        <w:t>‘Warning statement is defined in Standard 1.1.1 – Preliminary Provisions – Application</w:t>
      </w:r>
      <w:r>
        <w:t>,</w:t>
      </w:r>
      <w:r w:rsidRPr="009B33E1">
        <w:t xml:space="preserve"> Interpretation and General Prohibitions.</w:t>
      </w:r>
    </w:p>
    <w:p w:rsidR="006C1A57" w:rsidRDefault="006C1A57" w:rsidP="00E64CEF">
      <w:pPr>
        <w:pStyle w:val="EditorialNotetext"/>
        <w:ind w:left="567" w:hanging="567"/>
      </w:pPr>
    </w:p>
    <w:p w:rsidR="00E64CEF" w:rsidRDefault="00E64CEF" w:rsidP="00E64CEF">
      <w:pPr>
        <w:pStyle w:val="EditorialNotetext"/>
        <w:ind w:left="567" w:hanging="567"/>
      </w:pPr>
      <w:r>
        <w:t>2.</w:t>
      </w:r>
      <w:r>
        <w:tab/>
        <w:t>‘Small package’ is defined in Standard 1.2.1 – Application of Labelling and Other Information Requirements.</w:t>
      </w:r>
      <w:r>
        <w:br w:type="page"/>
      </w:r>
    </w:p>
    <w:p w:rsidR="00E64CEF" w:rsidRDefault="00E64CEF" w:rsidP="00E64CEF">
      <w:pPr>
        <w:pStyle w:val="Clause"/>
        <w:tabs>
          <w:tab w:val="clear" w:pos="851"/>
        </w:tabs>
      </w:pPr>
      <w:r>
        <w:rPr>
          <w:b/>
        </w:rPr>
        <w:lastRenderedPageBreak/>
        <w:t>[6]</w:t>
      </w:r>
      <w:r>
        <w:rPr>
          <w:b/>
        </w:rPr>
        <w:tab/>
      </w:r>
      <w:r w:rsidRPr="007866D1">
        <w:rPr>
          <w:b/>
          <w:i/>
        </w:rPr>
        <w:t>Sta</w:t>
      </w:r>
      <w:r>
        <w:rPr>
          <w:b/>
          <w:i/>
        </w:rPr>
        <w:t>ndard 1.2.10</w:t>
      </w:r>
      <w:r w:rsidRPr="007866D1">
        <w:rPr>
          <w:i/>
        </w:rPr>
        <w:t xml:space="preserve"> of the Australia New Zealand Food Standards Code </w:t>
      </w:r>
      <w:r>
        <w:rPr>
          <w:i/>
        </w:rPr>
        <w:t>is</w:t>
      </w:r>
      <w:r w:rsidRPr="007866D1">
        <w:rPr>
          <w:i/>
        </w:rPr>
        <w:t xml:space="preserve"> varied by omitting</w:t>
      </w:r>
      <w:r>
        <w:rPr>
          <w:i/>
        </w:rPr>
        <w:t xml:space="preserve"> the second paragraph</w:t>
      </w:r>
      <w:r w:rsidRPr="007866D1">
        <w:rPr>
          <w:i/>
        </w:rPr>
        <w:t xml:space="preserve"> from the </w:t>
      </w:r>
      <w:r w:rsidRPr="00EB3EF3">
        <w:t>Editorial note</w:t>
      </w:r>
      <w:r>
        <w:rPr>
          <w:i/>
        </w:rPr>
        <w:t xml:space="preserve"> following subclause 2(4)</w:t>
      </w:r>
    </w:p>
    <w:p w:rsidR="00E64CEF" w:rsidRPr="007F3152" w:rsidRDefault="00E64CEF" w:rsidP="00E64CEF"/>
    <w:p w:rsidR="00E64CEF" w:rsidRDefault="00E64CEF" w:rsidP="006C1A57">
      <w:pPr>
        <w:pStyle w:val="Clause"/>
      </w:pPr>
      <w:r>
        <w:rPr>
          <w:b/>
        </w:rPr>
        <w:t>[7]</w:t>
      </w:r>
      <w:r>
        <w:rPr>
          <w:b/>
        </w:rPr>
        <w:tab/>
      </w:r>
      <w:r w:rsidRPr="006C1A57">
        <w:rPr>
          <w:b/>
          <w:i/>
        </w:rPr>
        <w:t xml:space="preserve">Standard 1.3.2 </w:t>
      </w:r>
      <w:r w:rsidRPr="006C1A57">
        <w:rPr>
          <w:i/>
        </w:rPr>
        <w:t xml:space="preserve">of the Australia New Zealand Food Standards Code is varied by inserting the following </w:t>
      </w:r>
      <w:r>
        <w:t xml:space="preserve">Editorial note </w:t>
      </w:r>
      <w:r w:rsidRPr="006C1A57">
        <w:rPr>
          <w:i/>
        </w:rPr>
        <w:t xml:space="preserve">following the </w:t>
      </w:r>
      <w:r>
        <w:t xml:space="preserve">Table to clause 3 – </w:t>
      </w:r>
    </w:p>
    <w:p w:rsidR="00E64CEF" w:rsidRDefault="00E64CEF" w:rsidP="00E64CEF">
      <w:pPr>
        <w:rPr>
          <w:i/>
        </w:rPr>
      </w:pPr>
    </w:p>
    <w:p w:rsidR="00E64CEF" w:rsidRDefault="00E64CEF" w:rsidP="00E64CEF">
      <w:pPr>
        <w:pStyle w:val="EditorialNoteLine1"/>
      </w:pPr>
      <w:r>
        <w:t xml:space="preserve">Editorial note: </w:t>
      </w:r>
    </w:p>
    <w:p w:rsidR="00E64CEF" w:rsidRDefault="00E64CEF" w:rsidP="00E64CEF">
      <w:pPr>
        <w:pStyle w:val="EditorialNotetext"/>
      </w:pPr>
    </w:p>
    <w:p w:rsidR="00E64CEF" w:rsidRPr="00C70067" w:rsidRDefault="00E64CEF" w:rsidP="00E64CEF">
      <w:pPr>
        <w:pStyle w:val="EditorialNotetext"/>
      </w:pPr>
      <w:r>
        <w:t xml:space="preserve">The </w:t>
      </w:r>
      <w:r>
        <w:rPr>
          <w:i/>
        </w:rPr>
        <w:t xml:space="preserve">New Zealand (Mandatory Fortification of Bread with Folic Acid) Food Standard 2007 </w:t>
      </w:r>
      <w:r>
        <w:t xml:space="preserve">applies to bread sold in New Zealand. </w:t>
      </w:r>
      <w:r>
        <w:rPr>
          <w:i/>
        </w:rPr>
        <w:t xml:space="preserve"> </w:t>
      </w:r>
      <w:r>
        <w:t>This Standard does not apply to bread sold or prepared for sale in, or imported into Australia.</w:t>
      </w:r>
    </w:p>
    <w:p w:rsidR="00E64CEF" w:rsidRDefault="00E64CEF" w:rsidP="00E64CEF"/>
    <w:p w:rsidR="00E64CEF" w:rsidRDefault="00E64CEF" w:rsidP="006C1A57">
      <w:pPr>
        <w:pStyle w:val="Clause"/>
      </w:pPr>
      <w:r>
        <w:rPr>
          <w:b/>
        </w:rPr>
        <w:t>[8]</w:t>
      </w:r>
      <w:r>
        <w:rPr>
          <w:b/>
        </w:rPr>
        <w:tab/>
      </w:r>
      <w:r w:rsidRPr="006C1A57">
        <w:rPr>
          <w:b/>
          <w:i/>
        </w:rPr>
        <w:t>Standard 1.5.1</w:t>
      </w:r>
      <w:r w:rsidRPr="006C1A57">
        <w:rPr>
          <w:i/>
        </w:rPr>
        <w:t xml:space="preserve"> of the Australia New Zealand Food Standards Code is varied by</w:t>
      </w:r>
      <w:r w:rsidRPr="007866D1">
        <w:t xml:space="preserve"> </w:t>
      </w:r>
      <w:r>
        <w:t xml:space="preserve">– </w:t>
      </w:r>
    </w:p>
    <w:p w:rsidR="00E64CEF" w:rsidRDefault="00E64CEF" w:rsidP="00E64CEF">
      <w:pPr>
        <w:pStyle w:val="Clause"/>
        <w:tabs>
          <w:tab w:val="clear" w:pos="851"/>
        </w:tabs>
      </w:pPr>
    </w:p>
    <w:p w:rsidR="00E64CEF" w:rsidRDefault="00E64CEF" w:rsidP="00E64CEF">
      <w:pPr>
        <w:pStyle w:val="Clause"/>
      </w:pPr>
      <w:r>
        <w:t>[8.1]</w:t>
      </w:r>
      <w:r>
        <w:tab/>
      </w:r>
      <w:r w:rsidRPr="00166996">
        <w:rPr>
          <w:i/>
        </w:rPr>
        <w:t xml:space="preserve">omitting from the </w:t>
      </w:r>
      <w:r w:rsidRPr="00EB3EF3">
        <w:t>Editorial note</w:t>
      </w:r>
      <w:r>
        <w:t xml:space="preserve"> </w:t>
      </w:r>
      <w:r w:rsidRPr="00166996">
        <w:rPr>
          <w:i/>
        </w:rPr>
        <w:t>following clause 1</w:t>
      </w:r>
      <w:r w:rsidRPr="007866D1">
        <w:t xml:space="preserve"> –</w:t>
      </w:r>
    </w:p>
    <w:p w:rsidR="00E64CEF" w:rsidRDefault="00E64CEF" w:rsidP="00E64CEF"/>
    <w:p w:rsidR="00E64CEF" w:rsidRDefault="00E64CEF" w:rsidP="006C1A57">
      <w:pPr>
        <w:pStyle w:val="Clause"/>
      </w:pPr>
      <w:r>
        <w:t>micro-organisms</w:t>
      </w:r>
    </w:p>
    <w:p w:rsidR="00E64CEF" w:rsidRDefault="00E64CEF" w:rsidP="00E64CEF"/>
    <w:p w:rsidR="00E64CEF" w:rsidRDefault="00E64CEF" w:rsidP="006C1A57">
      <w:pPr>
        <w:pStyle w:val="Clause"/>
      </w:pPr>
      <w:r w:rsidRPr="006C1A57">
        <w:rPr>
          <w:i/>
        </w:rPr>
        <w:t>substituting</w:t>
      </w:r>
      <w:r>
        <w:t xml:space="preserve"> –</w:t>
      </w:r>
    </w:p>
    <w:p w:rsidR="00E64CEF" w:rsidRDefault="00E64CEF" w:rsidP="00E64CEF">
      <w:pPr>
        <w:rPr>
          <w:i/>
        </w:rPr>
      </w:pPr>
    </w:p>
    <w:p w:rsidR="00E64CEF" w:rsidRDefault="00E64CEF" w:rsidP="006C1A57">
      <w:pPr>
        <w:pStyle w:val="Clause"/>
      </w:pPr>
      <w:r>
        <w:t>microorganisms</w:t>
      </w:r>
    </w:p>
    <w:p w:rsidR="00E64CEF" w:rsidRDefault="00E64CEF" w:rsidP="00E64CEF"/>
    <w:p w:rsidR="00E64CEF" w:rsidRDefault="00E64CEF" w:rsidP="00E64CEF">
      <w:pPr>
        <w:pStyle w:val="Clause"/>
      </w:pPr>
      <w:r>
        <w:t>[8.2]</w:t>
      </w:r>
      <w:r>
        <w:tab/>
      </w:r>
      <w:r w:rsidRPr="00166996">
        <w:rPr>
          <w:i/>
        </w:rPr>
        <w:t xml:space="preserve">omitting paragraphs 2 and 3 and the bolded text from the </w:t>
      </w:r>
      <w:r>
        <w:t>Editorial note</w:t>
      </w:r>
      <w:r w:rsidRPr="00166996">
        <w:rPr>
          <w:i/>
        </w:rPr>
        <w:t xml:space="preserve"> following clause 3, substitutin</w:t>
      </w:r>
      <w:r>
        <w:t xml:space="preserve">g – </w:t>
      </w:r>
    </w:p>
    <w:p w:rsidR="00E64CEF" w:rsidRDefault="00E64CEF" w:rsidP="00E64CEF"/>
    <w:p w:rsidR="00E64CEF" w:rsidRDefault="00E64CEF" w:rsidP="00E64CEF">
      <w:pPr>
        <w:pStyle w:val="EditorialNotetext"/>
        <w:pBdr>
          <w:top w:val="none" w:sz="0" w:space="0" w:color="auto"/>
          <w:left w:val="none" w:sz="0" w:space="0" w:color="auto"/>
          <w:bottom w:val="none" w:sz="0" w:space="0" w:color="auto"/>
          <w:right w:val="none" w:sz="0" w:space="0" w:color="auto"/>
        </w:pBdr>
      </w:pPr>
      <w:r>
        <w:t>For information purposes only, the exclusive period for the following novel foods listed in column 1 of the Table to clause 3 are as follows:</w:t>
      </w:r>
    </w:p>
    <w:p w:rsidR="00E64CEF" w:rsidRDefault="00E64CEF" w:rsidP="00E64CEF">
      <w:pPr>
        <w:pStyle w:val="EditorialNotetext"/>
        <w:pBdr>
          <w:top w:val="none" w:sz="0" w:space="0" w:color="auto"/>
          <w:left w:val="none" w:sz="0" w:space="0" w:color="auto"/>
          <w:bottom w:val="none" w:sz="0" w:space="0" w:color="auto"/>
          <w:right w:val="none" w:sz="0" w:space="0" w:color="auto"/>
        </w:pBdr>
      </w:pPr>
    </w:p>
    <w:p w:rsidR="00E64CEF" w:rsidRDefault="00E64CEF" w:rsidP="00E64CEF">
      <w:pPr>
        <w:pStyle w:val="EditorialNotetext"/>
        <w:pBdr>
          <w:top w:val="none" w:sz="0" w:space="0" w:color="auto"/>
          <w:left w:val="none" w:sz="0" w:space="0" w:color="auto"/>
          <w:bottom w:val="none" w:sz="0" w:space="0" w:color="auto"/>
          <w:right w:val="none" w:sz="0" w:space="0" w:color="auto"/>
        </w:pBdr>
        <w:tabs>
          <w:tab w:val="clear" w:pos="851"/>
          <w:tab w:val="left" w:pos="3119"/>
          <w:tab w:val="left" w:pos="5103"/>
          <w:tab w:val="left" w:pos="7655"/>
        </w:tabs>
        <w:rPr>
          <w:b/>
        </w:rPr>
      </w:pPr>
      <w:r>
        <w:rPr>
          <w:b/>
        </w:rPr>
        <w:t>Novel food</w:t>
      </w:r>
      <w:r>
        <w:rPr>
          <w:b/>
        </w:rPr>
        <w:tab/>
        <w:t>Brand</w:t>
      </w:r>
      <w:r>
        <w:rPr>
          <w:b/>
        </w:rPr>
        <w:tab/>
        <w:t>Commencement date</w:t>
      </w:r>
      <w:r>
        <w:rPr>
          <w:b/>
        </w:rPr>
        <w:tab/>
        <w:t>End date</w:t>
      </w:r>
    </w:p>
    <w:p w:rsidR="00E64CEF" w:rsidRPr="00447239" w:rsidRDefault="00E64CEF" w:rsidP="00E64CEF">
      <w:pPr>
        <w:pStyle w:val="EditorialNotetext"/>
        <w:pBdr>
          <w:top w:val="none" w:sz="0" w:space="0" w:color="auto"/>
          <w:left w:val="none" w:sz="0" w:space="0" w:color="auto"/>
          <w:bottom w:val="none" w:sz="0" w:space="0" w:color="auto"/>
          <w:right w:val="none" w:sz="0" w:space="0" w:color="auto"/>
        </w:pBdr>
        <w:tabs>
          <w:tab w:val="clear" w:pos="851"/>
          <w:tab w:val="left" w:pos="3119"/>
          <w:tab w:val="left" w:pos="5103"/>
          <w:tab w:val="left" w:pos="7655"/>
        </w:tabs>
      </w:pPr>
      <w:r>
        <w:t xml:space="preserve">Tall oil phytosterol Esters </w:t>
      </w:r>
      <w:r>
        <w:tab/>
        <w:t>Live</w:t>
      </w:r>
      <w:r>
        <w:rPr>
          <w:i/>
        </w:rPr>
        <w:t>Active</w:t>
      </w:r>
      <w:r w:rsidRPr="00F03A82">
        <w:rPr>
          <w:rFonts w:cs="Arial"/>
        </w:rPr>
        <w:t>®</w:t>
      </w:r>
      <w:r>
        <w:tab/>
        <w:t>8 April 2010</w:t>
      </w:r>
      <w:r>
        <w:tab/>
        <w:t>8 July 2011</w:t>
      </w:r>
    </w:p>
    <w:p w:rsidR="00E64CEF" w:rsidRDefault="00E64CEF" w:rsidP="00E64CEF">
      <w:pPr>
        <w:pStyle w:val="EditorialNotetext"/>
        <w:pBdr>
          <w:top w:val="none" w:sz="0" w:space="0" w:color="auto"/>
          <w:left w:val="none" w:sz="0" w:space="0" w:color="auto"/>
          <w:bottom w:val="none" w:sz="0" w:space="0" w:color="auto"/>
          <w:right w:val="none" w:sz="0" w:space="0" w:color="auto"/>
        </w:pBdr>
      </w:pPr>
    </w:p>
    <w:p w:rsidR="00E64CEF" w:rsidRDefault="00E64CEF" w:rsidP="00E64CEF">
      <w:pPr>
        <w:pStyle w:val="EditorialNotetext"/>
        <w:pBdr>
          <w:top w:val="none" w:sz="0" w:space="0" w:color="auto"/>
          <w:left w:val="none" w:sz="0" w:space="0" w:color="auto"/>
          <w:bottom w:val="none" w:sz="0" w:space="0" w:color="auto"/>
          <w:right w:val="none" w:sz="0" w:space="0" w:color="auto"/>
        </w:pBdr>
        <w:rPr>
          <w:i/>
        </w:rPr>
      </w:pPr>
      <w:r>
        <w:rPr>
          <w:b/>
        </w:rPr>
        <w:t>[9]</w:t>
      </w:r>
      <w:r>
        <w:rPr>
          <w:b/>
        </w:rPr>
        <w:tab/>
      </w:r>
      <w:r w:rsidRPr="007866D1">
        <w:rPr>
          <w:b/>
          <w:i/>
        </w:rPr>
        <w:t>Sta</w:t>
      </w:r>
      <w:r>
        <w:rPr>
          <w:b/>
          <w:i/>
        </w:rPr>
        <w:t>ndard 2.2</w:t>
      </w:r>
      <w:r w:rsidRPr="007866D1">
        <w:rPr>
          <w:b/>
          <w:i/>
        </w:rPr>
        <w:t>.</w:t>
      </w:r>
      <w:r>
        <w:rPr>
          <w:b/>
          <w:i/>
        </w:rPr>
        <w:t>3</w:t>
      </w:r>
      <w:r w:rsidRPr="007866D1">
        <w:rPr>
          <w:i/>
        </w:rPr>
        <w:t xml:space="preserve"> of the Australia New Zealand Food Standards Code </w:t>
      </w:r>
      <w:r>
        <w:rPr>
          <w:i/>
        </w:rPr>
        <w:t>is</w:t>
      </w:r>
      <w:r w:rsidRPr="007866D1">
        <w:rPr>
          <w:i/>
        </w:rPr>
        <w:t xml:space="preserve"> varied by</w:t>
      </w:r>
      <w:r>
        <w:rPr>
          <w:i/>
        </w:rPr>
        <w:t xml:space="preserve"> omitting the </w:t>
      </w:r>
      <w:r>
        <w:t xml:space="preserve">Editorial note </w:t>
      </w:r>
      <w:r>
        <w:rPr>
          <w:i/>
        </w:rPr>
        <w:t xml:space="preserve">following </w:t>
      </w:r>
      <w:r>
        <w:t xml:space="preserve">clause 1, </w:t>
      </w:r>
      <w:r>
        <w:rPr>
          <w:i/>
        </w:rPr>
        <w:t xml:space="preserve">substituting – </w:t>
      </w:r>
    </w:p>
    <w:p w:rsidR="00E64CEF" w:rsidRDefault="00E64CEF" w:rsidP="00E64CEF">
      <w:pPr>
        <w:pStyle w:val="EditorialNotetext"/>
        <w:pBdr>
          <w:top w:val="none" w:sz="0" w:space="0" w:color="auto"/>
          <w:left w:val="none" w:sz="0" w:space="0" w:color="auto"/>
          <w:bottom w:val="none" w:sz="0" w:space="0" w:color="auto"/>
          <w:right w:val="none" w:sz="0" w:space="0" w:color="auto"/>
        </w:pBdr>
        <w:rPr>
          <w:i/>
        </w:rPr>
      </w:pPr>
    </w:p>
    <w:p w:rsidR="00E64CEF" w:rsidRDefault="00E64CEF" w:rsidP="00E64CEF">
      <w:pPr>
        <w:pStyle w:val="EditorialNoteLine1"/>
      </w:pPr>
      <w:r>
        <w:t>Editorial note:</w:t>
      </w:r>
    </w:p>
    <w:p w:rsidR="00E64CEF" w:rsidRDefault="00E64CEF" w:rsidP="00E64CEF">
      <w:pPr>
        <w:pStyle w:val="EditorialNotetext"/>
        <w:tabs>
          <w:tab w:val="left" w:pos="2506"/>
        </w:tabs>
      </w:pPr>
    </w:p>
    <w:p w:rsidR="00E64CEF" w:rsidRDefault="00E64CEF" w:rsidP="00E64CEF">
      <w:pPr>
        <w:pStyle w:val="EditorialNotetext"/>
        <w:tabs>
          <w:tab w:val="left" w:pos="2506"/>
        </w:tabs>
      </w:pPr>
      <w:r>
        <w:t>This Standard does not define specific names for fish.  An Australian Fish Names Standard (</w:t>
      </w:r>
      <w:r w:rsidRPr="00686CA0">
        <w:rPr>
          <w:color w:val="000000"/>
        </w:rPr>
        <w:t>AS SSA 5300</w:t>
      </w:r>
      <w:r>
        <w:t>) has been published which provides guidance on standard fish names to be used in Australia.</w:t>
      </w:r>
    </w:p>
    <w:p w:rsidR="00E64CEF" w:rsidRPr="00B57B90" w:rsidRDefault="00E64CEF" w:rsidP="00E64CEF">
      <w:pPr>
        <w:pStyle w:val="EditorialNotetext"/>
        <w:rPr>
          <w:rFonts w:cs="Arial"/>
        </w:rPr>
      </w:pPr>
    </w:p>
    <w:p w:rsidR="00E64CEF" w:rsidRDefault="00E64CEF" w:rsidP="00E64CEF">
      <w:pPr>
        <w:pStyle w:val="EditorialNotetext"/>
        <w:ind w:left="567" w:hanging="567"/>
        <w:rPr>
          <w:rFonts w:cs="Arial"/>
        </w:rPr>
      </w:pPr>
      <w:r w:rsidRPr="00B57B90">
        <w:rPr>
          <w:rFonts w:cs="Arial"/>
        </w:rPr>
        <w:t>1.</w:t>
      </w:r>
      <w:r w:rsidRPr="00B57B90">
        <w:rPr>
          <w:rFonts w:cs="Arial"/>
        </w:rPr>
        <w:tab/>
      </w:r>
      <w:r>
        <w:rPr>
          <w:rFonts w:cs="Arial"/>
        </w:rPr>
        <w:t xml:space="preserve">Hard copies of the Australian Fish Names Standard (AS-SSA 5300) are available from Seafood Services Australia at </w:t>
      </w:r>
      <w:hyperlink r:id="rId23" w:history="1">
        <w:r w:rsidRPr="00A04710">
          <w:rPr>
            <w:rStyle w:val="Hyperlink"/>
            <w:rFonts w:cs="Arial"/>
            <w:color w:val="3333FF"/>
          </w:rPr>
          <w:t>http://www.seafood.net.au/shop</w:t>
        </w:r>
      </w:hyperlink>
      <w:r>
        <w:t>.</w:t>
      </w:r>
    </w:p>
    <w:p w:rsidR="00E64CEF" w:rsidRPr="00B57B90" w:rsidRDefault="00E64CEF" w:rsidP="00E64CEF">
      <w:pPr>
        <w:pStyle w:val="EditorialNotetext"/>
        <w:ind w:left="567" w:hanging="567"/>
        <w:rPr>
          <w:rFonts w:cs="Arial"/>
        </w:rPr>
      </w:pPr>
    </w:p>
    <w:p w:rsidR="00E64CEF" w:rsidRDefault="00E64CEF" w:rsidP="00E64CEF">
      <w:pPr>
        <w:pStyle w:val="EditorialNotetext"/>
        <w:ind w:left="567" w:hanging="567"/>
        <w:rPr>
          <w:rFonts w:cs="Arial"/>
        </w:rPr>
      </w:pPr>
      <w:r w:rsidRPr="00B57B90">
        <w:rPr>
          <w:rFonts w:cs="Arial"/>
        </w:rPr>
        <w:t>2.</w:t>
      </w:r>
      <w:r w:rsidRPr="00B57B90">
        <w:rPr>
          <w:rFonts w:cs="Arial"/>
        </w:rPr>
        <w:tab/>
      </w:r>
      <w:r>
        <w:rPr>
          <w:rFonts w:cs="Arial"/>
        </w:rPr>
        <w:t xml:space="preserve">A searchable database of Australian Standard Fish Names is available at </w:t>
      </w:r>
      <w:hyperlink r:id="rId24" w:history="1">
        <w:r w:rsidRPr="00A04710">
          <w:rPr>
            <w:rStyle w:val="Hyperlink"/>
            <w:rFonts w:cs="Arial"/>
            <w:color w:val="3333FF"/>
          </w:rPr>
          <w:t>http://www.fishnames.com.au</w:t>
        </w:r>
      </w:hyperlink>
      <w:r>
        <w:rPr>
          <w:rFonts w:cs="Arial"/>
        </w:rPr>
        <w:t xml:space="preserve">. </w:t>
      </w:r>
    </w:p>
    <w:p w:rsidR="00E64CEF" w:rsidRDefault="00E64CEF" w:rsidP="00E64CEF">
      <w:pPr>
        <w:pStyle w:val="EditorialNotetext"/>
        <w:ind w:left="567" w:hanging="567"/>
        <w:rPr>
          <w:rFonts w:cs="Arial"/>
        </w:rPr>
      </w:pPr>
    </w:p>
    <w:p w:rsidR="00E64CEF" w:rsidRPr="00B57B90" w:rsidRDefault="00E64CEF" w:rsidP="00E64CEF">
      <w:pPr>
        <w:pStyle w:val="EditorialNotetext"/>
        <w:ind w:left="567" w:hanging="567"/>
        <w:rPr>
          <w:rFonts w:cs="Arial"/>
        </w:rPr>
      </w:pPr>
      <w:r>
        <w:rPr>
          <w:rFonts w:cs="Arial"/>
        </w:rPr>
        <w:t>3.</w:t>
      </w:r>
      <w:r>
        <w:rPr>
          <w:rFonts w:cs="Arial"/>
        </w:rPr>
        <w:tab/>
      </w:r>
      <w:r w:rsidRPr="00B57B90">
        <w:rPr>
          <w:rFonts w:cs="Arial"/>
        </w:rPr>
        <w:t>Approved Scientific, New Zealand Common, Maori, and Foreign Common Names of New Zealand Commercial Fish Species, are available from the New Zealand Food Safety Authority website at</w:t>
      </w:r>
      <w:r w:rsidRPr="00A04710">
        <w:rPr>
          <w:rFonts w:cs="Arial"/>
          <w:color w:val="3333FF"/>
        </w:rPr>
        <w:t xml:space="preserve"> </w:t>
      </w:r>
      <w:hyperlink r:id="rId25" w:tooltip="http://www.nzfsa.govt.nz/animalproducts/registers-lists/approved-fish-names/" w:history="1">
        <w:r w:rsidRPr="00A04710">
          <w:rPr>
            <w:rStyle w:val="Hyperlink"/>
            <w:rFonts w:cs="Arial"/>
            <w:color w:val="3333FF"/>
          </w:rPr>
          <w:t>http://www.nzfsa.govt.nz/animalproducts/registers-lists/approved-fish-names/</w:t>
        </w:r>
      </w:hyperlink>
      <w:r>
        <w:t>.</w:t>
      </w:r>
    </w:p>
    <w:p w:rsidR="00E64CEF" w:rsidRDefault="00E64CEF" w:rsidP="00E64CEF">
      <w:pPr>
        <w:pStyle w:val="EditorialNotetext"/>
        <w:pBdr>
          <w:top w:val="none" w:sz="0" w:space="0" w:color="auto"/>
          <w:left w:val="none" w:sz="0" w:space="0" w:color="auto"/>
          <w:bottom w:val="none" w:sz="0" w:space="0" w:color="auto"/>
          <w:right w:val="none" w:sz="0" w:space="0" w:color="auto"/>
        </w:pBdr>
      </w:pPr>
    </w:p>
    <w:p w:rsidR="00E64CEF" w:rsidRDefault="00E64CEF" w:rsidP="006C1A57">
      <w:pPr>
        <w:pStyle w:val="Clause"/>
      </w:pPr>
      <w:r>
        <w:rPr>
          <w:b/>
        </w:rPr>
        <w:t>[10]</w:t>
      </w:r>
      <w:r>
        <w:rPr>
          <w:b/>
        </w:rPr>
        <w:tab/>
      </w:r>
      <w:r w:rsidRPr="006C1A57">
        <w:rPr>
          <w:b/>
          <w:i/>
        </w:rPr>
        <w:t>Standard 2.5.1</w:t>
      </w:r>
      <w:r w:rsidRPr="006C1A57">
        <w:rPr>
          <w:i/>
        </w:rPr>
        <w:t xml:space="preserve"> of the Australia New Zealand Food Standards Code is varied by omitting the </w:t>
      </w:r>
      <w:r>
        <w:t xml:space="preserve">Editorial note </w:t>
      </w:r>
      <w:r w:rsidRPr="006C1A57">
        <w:rPr>
          <w:i/>
        </w:rPr>
        <w:t xml:space="preserve">preceding the </w:t>
      </w:r>
      <w:r>
        <w:t>Table of Provisions</w:t>
      </w:r>
      <w:r w:rsidRPr="006C1A57">
        <w:rPr>
          <w:i/>
        </w:rPr>
        <w:t>, substituting</w:t>
      </w:r>
      <w:r>
        <w:t xml:space="preserve"> – </w:t>
      </w:r>
    </w:p>
    <w:p w:rsidR="006C1A57" w:rsidRDefault="006C1A57" w:rsidP="00E64CEF">
      <w:pPr>
        <w:widowControl/>
      </w:pPr>
    </w:p>
    <w:p w:rsidR="00E64CEF" w:rsidRDefault="00E64CEF" w:rsidP="00E64CEF">
      <w:pPr>
        <w:pStyle w:val="EditorialNoteLine1"/>
      </w:pPr>
      <w:r>
        <w:t xml:space="preserve">Editorial note: </w:t>
      </w:r>
    </w:p>
    <w:p w:rsidR="00E64CEF" w:rsidRDefault="00E64CEF" w:rsidP="00E64CEF">
      <w:pPr>
        <w:pStyle w:val="EditorialNotetext"/>
      </w:pPr>
    </w:p>
    <w:p w:rsidR="00E64CEF" w:rsidRDefault="00E64CEF" w:rsidP="00E64CEF">
      <w:pPr>
        <w:pStyle w:val="EditorialNotetext"/>
      </w:pPr>
      <w:r>
        <w:t xml:space="preserve">The Australian processing requirements for milk are contained in Standard 4.2.4. </w:t>
      </w:r>
    </w:p>
    <w:p w:rsidR="00E64CEF" w:rsidRDefault="00E64CEF" w:rsidP="00E64CEF">
      <w:pPr>
        <w:pStyle w:val="EditorialNotetext"/>
      </w:pPr>
    </w:p>
    <w:p w:rsidR="00E64CEF" w:rsidRDefault="00E64CEF" w:rsidP="00E64CEF">
      <w:pPr>
        <w:pStyle w:val="EditorialNotetext"/>
      </w:pPr>
      <w:r>
        <w:t>New Zealand has its own processing requirements for milk and milk products.</w:t>
      </w:r>
    </w:p>
    <w:p w:rsidR="00E64CEF" w:rsidRDefault="00E64CEF" w:rsidP="00E64CEF">
      <w:pPr>
        <w:pStyle w:val="EditorialNotetext"/>
        <w:pBdr>
          <w:top w:val="none" w:sz="0" w:space="0" w:color="auto"/>
          <w:left w:val="none" w:sz="0" w:space="0" w:color="auto"/>
          <w:bottom w:val="none" w:sz="0" w:space="0" w:color="auto"/>
          <w:right w:val="none" w:sz="0" w:space="0" w:color="auto"/>
        </w:pBdr>
      </w:pPr>
    </w:p>
    <w:p w:rsidR="006C1A57" w:rsidRDefault="006C1A57" w:rsidP="00E64CEF">
      <w:pPr>
        <w:pStyle w:val="Clause"/>
        <w:tabs>
          <w:tab w:val="clear" w:pos="851"/>
        </w:tabs>
        <w:rPr>
          <w:b/>
        </w:rPr>
      </w:pPr>
      <w:r>
        <w:rPr>
          <w:b/>
        </w:rPr>
        <w:br w:type="page"/>
      </w:r>
    </w:p>
    <w:p w:rsidR="00E64CEF" w:rsidRDefault="00E64CEF" w:rsidP="006C1A57">
      <w:pPr>
        <w:pStyle w:val="Clause"/>
      </w:pPr>
      <w:r>
        <w:rPr>
          <w:b/>
        </w:rPr>
        <w:lastRenderedPageBreak/>
        <w:t>[11]</w:t>
      </w:r>
      <w:r>
        <w:rPr>
          <w:b/>
        </w:rPr>
        <w:tab/>
      </w:r>
      <w:r w:rsidRPr="007866D1">
        <w:rPr>
          <w:b/>
        </w:rPr>
        <w:t>Sta</w:t>
      </w:r>
      <w:r>
        <w:rPr>
          <w:b/>
        </w:rPr>
        <w:t>ndard 2.5</w:t>
      </w:r>
      <w:r w:rsidRPr="007866D1">
        <w:rPr>
          <w:b/>
        </w:rPr>
        <w:t>.</w:t>
      </w:r>
      <w:r>
        <w:rPr>
          <w:b/>
        </w:rPr>
        <w:t>2</w:t>
      </w:r>
      <w:r w:rsidRPr="007866D1">
        <w:t xml:space="preserve"> </w:t>
      </w:r>
      <w:r w:rsidR="006C1A57" w:rsidRPr="006C1A57">
        <w:rPr>
          <w:i/>
        </w:rPr>
        <w:t xml:space="preserve">of the Australia New Zealand Food Standards Code is varied by omitting the </w:t>
      </w:r>
      <w:r w:rsidR="006C1A57">
        <w:t xml:space="preserve">Editorial note </w:t>
      </w:r>
      <w:r w:rsidR="006C1A57" w:rsidRPr="006C1A57">
        <w:rPr>
          <w:i/>
        </w:rPr>
        <w:t xml:space="preserve">preceding the </w:t>
      </w:r>
      <w:r w:rsidR="006C1A57">
        <w:t>Table of Provisions</w:t>
      </w:r>
      <w:r w:rsidR="006C1A57" w:rsidRPr="006C1A57">
        <w:rPr>
          <w:i/>
        </w:rPr>
        <w:t>, substituting</w:t>
      </w:r>
      <w:r>
        <w:t xml:space="preserve"> – </w:t>
      </w:r>
    </w:p>
    <w:p w:rsidR="00E64CEF" w:rsidRDefault="00E64CEF" w:rsidP="00E64CEF"/>
    <w:p w:rsidR="00E64CEF" w:rsidRDefault="00E64CEF" w:rsidP="00E64CEF">
      <w:pPr>
        <w:pStyle w:val="EditorialNoteLine1"/>
      </w:pPr>
      <w:r>
        <w:t xml:space="preserve">Editorial note: </w:t>
      </w:r>
    </w:p>
    <w:p w:rsidR="00E64CEF" w:rsidRDefault="00E64CEF" w:rsidP="00E64CEF">
      <w:pPr>
        <w:pStyle w:val="EditorialNotetext"/>
      </w:pPr>
    </w:p>
    <w:p w:rsidR="00E64CEF" w:rsidRDefault="00E64CEF" w:rsidP="00E64CEF">
      <w:pPr>
        <w:pStyle w:val="EditorialNotetext"/>
      </w:pPr>
      <w:r>
        <w:t xml:space="preserve">The Australian processing requirements for cream are contained in Standard 4.2.4. </w:t>
      </w:r>
    </w:p>
    <w:p w:rsidR="00E64CEF" w:rsidRDefault="00E64CEF" w:rsidP="00E64CEF">
      <w:pPr>
        <w:pStyle w:val="EditorialNotetext"/>
      </w:pPr>
    </w:p>
    <w:p w:rsidR="00E64CEF" w:rsidRDefault="00E64CEF" w:rsidP="00E64CEF">
      <w:pPr>
        <w:pStyle w:val="EditorialNotetext"/>
      </w:pPr>
      <w:r>
        <w:t>New Zealand has its own processing requirements for cream.</w:t>
      </w:r>
    </w:p>
    <w:p w:rsidR="00E64CEF" w:rsidRDefault="00E64CEF" w:rsidP="00E64CEF">
      <w:pPr>
        <w:pStyle w:val="Clause"/>
        <w:tabs>
          <w:tab w:val="clear" w:pos="851"/>
        </w:tabs>
        <w:rPr>
          <w:b/>
        </w:rPr>
      </w:pPr>
    </w:p>
    <w:p w:rsidR="00E64CEF" w:rsidRDefault="00E64CEF" w:rsidP="006C1A57">
      <w:pPr>
        <w:pStyle w:val="Clause"/>
      </w:pPr>
      <w:r>
        <w:rPr>
          <w:b/>
        </w:rPr>
        <w:t>[12]</w:t>
      </w:r>
      <w:r>
        <w:rPr>
          <w:b/>
        </w:rPr>
        <w:tab/>
      </w:r>
      <w:r w:rsidRPr="006C1A57">
        <w:rPr>
          <w:b/>
          <w:i/>
        </w:rPr>
        <w:t>Standard 2.5.3</w:t>
      </w:r>
      <w:r w:rsidRPr="006C1A57">
        <w:rPr>
          <w:i/>
        </w:rPr>
        <w:t xml:space="preserve"> of the Australia New Zealand Food Standards Code is varied by omitting the Editorial note preceding the Table of Provisions, substituting </w:t>
      </w:r>
      <w:r>
        <w:t xml:space="preserve">– </w:t>
      </w:r>
    </w:p>
    <w:p w:rsidR="00E64CEF" w:rsidRDefault="00E64CEF" w:rsidP="00E64CEF"/>
    <w:p w:rsidR="00E64CEF" w:rsidRDefault="00E64CEF" w:rsidP="00E64CEF">
      <w:pPr>
        <w:pStyle w:val="EditorialNoteLine1"/>
      </w:pPr>
      <w:r>
        <w:t xml:space="preserve">Editorial note: </w:t>
      </w:r>
    </w:p>
    <w:p w:rsidR="00E64CEF" w:rsidRDefault="00E64CEF" w:rsidP="00E64CEF">
      <w:pPr>
        <w:pStyle w:val="EditorialNotetext"/>
      </w:pPr>
    </w:p>
    <w:p w:rsidR="00E64CEF" w:rsidRDefault="00E64CEF" w:rsidP="00E64CEF">
      <w:pPr>
        <w:pStyle w:val="EditorialNotetext"/>
      </w:pPr>
      <w:r>
        <w:t xml:space="preserve">The Australian processing requirements for fermented milk products are contained in Standard 4.2.4. </w:t>
      </w:r>
    </w:p>
    <w:p w:rsidR="00E64CEF" w:rsidRDefault="00E64CEF" w:rsidP="00E64CEF">
      <w:pPr>
        <w:pStyle w:val="EditorialNotetext"/>
      </w:pPr>
    </w:p>
    <w:p w:rsidR="00E64CEF" w:rsidRDefault="00E64CEF" w:rsidP="00E64CEF">
      <w:pPr>
        <w:pStyle w:val="EditorialNotetext"/>
      </w:pPr>
      <w:r>
        <w:t>New Zealand has its own processing requirements for milk and milk products.</w:t>
      </w:r>
    </w:p>
    <w:p w:rsidR="00E64CEF" w:rsidRDefault="00E64CEF" w:rsidP="00E64CEF">
      <w:pPr>
        <w:pStyle w:val="Clause"/>
        <w:tabs>
          <w:tab w:val="clear" w:pos="851"/>
        </w:tabs>
        <w:rPr>
          <w:b/>
        </w:rPr>
      </w:pPr>
    </w:p>
    <w:p w:rsidR="00E64CEF" w:rsidRDefault="00E64CEF" w:rsidP="006C1A57">
      <w:pPr>
        <w:pStyle w:val="Clause"/>
      </w:pPr>
      <w:r>
        <w:rPr>
          <w:b/>
        </w:rPr>
        <w:t>[13]</w:t>
      </w:r>
      <w:r>
        <w:rPr>
          <w:b/>
        </w:rPr>
        <w:tab/>
      </w:r>
      <w:r w:rsidRPr="006C1A57">
        <w:rPr>
          <w:b/>
          <w:i/>
        </w:rPr>
        <w:t>Standard 2.5.4</w:t>
      </w:r>
      <w:r w:rsidRPr="006C1A57">
        <w:rPr>
          <w:i/>
        </w:rPr>
        <w:t xml:space="preserve"> </w:t>
      </w:r>
      <w:r w:rsidR="006C1A57" w:rsidRPr="006C1A57">
        <w:rPr>
          <w:i/>
        </w:rPr>
        <w:t xml:space="preserve">of the Australia New Zealand Food Standards Code is varied by omitting the </w:t>
      </w:r>
      <w:r w:rsidR="006C1A57">
        <w:t xml:space="preserve">Editorial note </w:t>
      </w:r>
      <w:r w:rsidR="006C1A57" w:rsidRPr="006C1A57">
        <w:rPr>
          <w:i/>
        </w:rPr>
        <w:t xml:space="preserve">preceding the </w:t>
      </w:r>
      <w:r w:rsidR="006C1A57">
        <w:t>Table of Provisions</w:t>
      </w:r>
      <w:r w:rsidR="006C1A57" w:rsidRPr="006C1A57">
        <w:rPr>
          <w:i/>
        </w:rPr>
        <w:t>, substituting</w:t>
      </w:r>
      <w:r>
        <w:t xml:space="preserve"> </w:t>
      </w:r>
      <w:r w:rsidR="006C1A57">
        <w:t>–</w:t>
      </w:r>
    </w:p>
    <w:p w:rsidR="00E64CEF" w:rsidRDefault="00E64CEF" w:rsidP="00E64CEF"/>
    <w:p w:rsidR="00E64CEF" w:rsidRDefault="00E64CEF" w:rsidP="00E64CEF">
      <w:pPr>
        <w:pStyle w:val="EditorialNoteLine1"/>
      </w:pPr>
      <w:r>
        <w:t xml:space="preserve">Editorial note: </w:t>
      </w:r>
    </w:p>
    <w:p w:rsidR="00E64CEF" w:rsidRDefault="00E64CEF" w:rsidP="00E64CEF">
      <w:pPr>
        <w:pStyle w:val="EditorialNotetext"/>
      </w:pPr>
    </w:p>
    <w:p w:rsidR="00E64CEF" w:rsidRDefault="00E64CEF" w:rsidP="00E64CEF">
      <w:pPr>
        <w:pStyle w:val="EditorialNotetext"/>
      </w:pPr>
      <w:r>
        <w:t xml:space="preserve">The Australian processing requirements for cheese are contained in Standard 4.2.4. </w:t>
      </w:r>
    </w:p>
    <w:p w:rsidR="00E64CEF" w:rsidRDefault="00E64CEF" w:rsidP="00E64CEF">
      <w:pPr>
        <w:pStyle w:val="EditorialNotetext"/>
      </w:pPr>
    </w:p>
    <w:p w:rsidR="00E64CEF" w:rsidRDefault="00E64CEF" w:rsidP="00E64CEF">
      <w:pPr>
        <w:pStyle w:val="EditorialNotetext"/>
      </w:pPr>
      <w:r>
        <w:t>New Zealand has its own processing requirements for</w:t>
      </w:r>
      <w:r w:rsidRPr="004A1372">
        <w:t xml:space="preserve"> </w:t>
      </w:r>
      <w:r>
        <w:t>milk and milk products.</w:t>
      </w:r>
    </w:p>
    <w:p w:rsidR="00E64CEF" w:rsidRDefault="00E64CEF" w:rsidP="00E64CEF">
      <w:pPr>
        <w:pStyle w:val="Clause"/>
        <w:tabs>
          <w:tab w:val="clear" w:pos="851"/>
        </w:tabs>
        <w:rPr>
          <w:b/>
        </w:rPr>
      </w:pPr>
    </w:p>
    <w:p w:rsidR="00E64CEF" w:rsidRDefault="00E64CEF" w:rsidP="006C1A57">
      <w:pPr>
        <w:pStyle w:val="Clause"/>
      </w:pPr>
      <w:r>
        <w:rPr>
          <w:b/>
        </w:rPr>
        <w:t>[14]</w:t>
      </w:r>
      <w:r>
        <w:rPr>
          <w:b/>
        </w:rPr>
        <w:tab/>
      </w:r>
      <w:r w:rsidRPr="006C1A57">
        <w:rPr>
          <w:b/>
          <w:i/>
        </w:rPr>
        <w:t>Standard 2.5.5</w:t>
      </w:r>
      <w:r w:rsidRPr="006C1A57">
        <w:rPr>
          <w:i/>
        </w:rPr>
        <w:t xml:space="preserve"> </w:t>
      </w:r>
      <w:r w:rsidR="006C1A57" w:rsidRPr="006C1A57">
        <w:rPr>
          <w:i/>
        </w:rPr>
        <w:t xml:space="preserve">of the Australia New Zealand Food Standards Code is varied by omitting the </w:t>
      </w:r>
      <w:r w:rsidR="006C1A57">
        <w:t xml:space="preserve">Editorial note </w:t>
      </w:r>
      <w:r w:rsidR="006C1A57" w:rsidRPr="006C1A57">
        <w:rPr>
          <w:i/>
        </w:rPr>
        <w:t xml:space="preserve">preceding the </w:t>
      </w:r>
      <w:r w:rsidR="006C1A57">
        <w:t>Table of Provisions</w:t>
      </w:r>
      <w:r w:rsidR="006C1A57" w:rsidRPr="006C1A57">
        <w:rPr>
          <w:i/>
        </w:rPr>
        <w:t>, substituting</w:t>
      </w:r>
      <w:r>
        <w:t xml:space="preserve"> – </w:t>
      </w:r>
    </w:p>
    <w:p w:rsidR="00E64CEF" w:rsidRDefault="00E64CEF" w:rsidP="00E64CEF"/>
    <w:p w:rsidR="00E64CEF" w:rsidRDefault="00E64CEF" w:rsidP="00E64CEF">
      <w:pPr>
        <w:pStyle w:val="EditorialNoteLine1"/>
      </w:pPr>
      <w:r>
        <w:t xml:space="preserve">Editorial note: </w:t>
      </w:r>
    </w:p>
    <w:p w:rsidR="00E64CEF" w:rsidRDefault="00E64CEF" w:rsidP="00E64CEF">
      <w:pPr>
        <w:pStyle w:val="EditorialNotetext"/>
      </w:pPr>
    </w:p>
    <w:p w:rsidR="00E64CEF" w:rsidRDefault="00E64CEF" w:rsidP="00E64CEF">
      <w:pPr>
        <w:pStyle w:val="EditorialNotetext"/>
      </w:pPr>
      <w:r>
        <w:t xml:space="preserve">The Australian processing requirements for butter are contained in Standard 4.2.4. </w:t>
      </w:r>
    </w:p>
    <w:p w:rsidR="00E64CEF" w:rsidRDefault="00E64CEF" w:rsidP="00E64CEF">
      <w:pPr>
        <w:pStyle w:val="EditorialNotetext"/>
      </w:pPr>
    </w:p>
    <w:p w:rsidR="00E64CEF" w:rsidRDefault="00E64CEF" w:rsidP="00E64CEF">
      <w:pPr>
        <w:pStyle w:val="EditorialNotetext"/>
      </w:pPr>
      <w:r>
        <w:t>New Zealand has its own processing requirements for</w:t>
      </w:r>
      <w:r w:rsidRPr="004A1372">
        <w:t xml:space="preserve"> </w:t>
      </w:r>
      <w:r>
        <w:t>milk and milk products.</w:t>
      </w:r>
    </w:p>
    <w:p w:rsidR="00E64CEF" w:rsidRDefault="00E64CEF" w:rsidP="00E64CEF"/>
    <w:p w:rsidR="00E64CEF" w:rsidRDefault="00E64CEF" w:rsidP="006C1A57">
      <w:pPr>
        <w:pStyle w:val="Clause"/>
      </w:pPr>
      <w:r>
        <w:rPr>
          <w:b/>
        </w:rPr>
        <w:t>[15]</w:t>
      </w:r>
      <w:r>
        <w:rPr>
          <w:b/>
        </w:rPr>
        <w:tab/>
      </w:r>
      <w:r w:rsidRPr="006C1A57">
        <w:rPr>
          <w:b/>
          <w:i/>
        </w:rPr>
        <w:t>Standard 2.5.6</w:t>
      </w:r>
      <w:r w:rsidRPr="006C1A57">
        <w:rPr>
          <w:i/>
        </w:rPr>
        <w:t xml:space="preserve"> </w:t>
      </w:r>
      <w:r w:rsidR="006C1A57" w:rsidRPr="006C1A57">
        <w:rPr>
          <w:i/>
        </w:rPr>
        <w:t xml:space="preserve">of the Australia New Zealand Food Standards Code is varied by omitting the </w:t>
      </w:r>
      <w:r w:rsidR="006C1A57">
        <w:t xml:space="preserve">Editorial note </w:t>
      </w:r>
      <w:r w:rsidR="006C1A57" w:rsidRPr="006C1A57">
        <w:rPr>
          <w:i/>
        </w:rPr>
        <w:t xml:space="preserve">preceding the </w:t>
      </w:r>
      <w:r w:rsidR="006C1A57">
        <w:t>Table of Provisions</w:t>
      </w:r>
      <w:r w:rsidR="006C1A57" w:rsidRPr="006C1A57">
        <w:rPr>
          <w:i/>
        </w:rPr>
        <w:t>, substituting</w:t>
      </w:r>
      <w:r w:rsidR="006C1A57">
        <w:t xml:space="preserve"> </w:t>
      </w:r>
      <w:r>
        <w:t xml:space="preserve">– </w:t>
      </w:r>
    </w:p>
    <w:p w:rsidR="00E64CEF" w:rsidRDefault="00E64CEF" w:rsidP="00E64CEF"/>
    <w:p w:rsidR="00E64CEF" w:rsidRDefault="00E64CEF" w:rsidP="00E64CEF">
      <w:pPr>
        <w:pStyle w:val="EditorialNoteLine1"/>
      </w:pPr>
      <w:r>
        <w:t xml:space="preserve">Editorial note: </w:t>
      </w:r>
    </w:p>
    <w:p w:rsidR="00E64CEF" w:rsidRDefault="00E64CEF" w:rsidP="00E64CEF">
      <w:pPr>
        <w:pStyle w:val="EditorialNotetext"/>
      </w:pPr>
    </w:p>
    <w:p w:rsidR="00E64CEF" w:rsidRDefault="00E64CEF" w:rsidP="00E64CEF">
      <w:pPr>
        <w:pStyle w:val="EditorialNotetext"/>
      </w:pPr>
      <w:r>
        <w:t xml:space="preserve">The Australian processing requirements for ice cream are contained in Standard 4.2.4. </w:t>
      </w:r>
    </w:p>
    <w:p w:rsidR="00E64CEF" w:rsidRDefault="00E64CEF" w:rsidP="00E64CEF">
      <w:pPr>
        <w:pStyle w:val="EditorialNotetext"/>
      </w:pPr>
    </w:p>
    <w:p w:rsidR="00E64CEF" w:rsidRDefault="00E64CEF" w:rsidP="00E64CEF">
      <w:pPr>
        <w:pStyle w:val="EditorialNotetext"/>
      </w:pPr>
      <w:r>
        <w:t>New Zealand has its own processing requirements for</w:t>
      </w:r>
      <w:r w:rsidRPr="004A1372">
        <w:t xml:space="preserve"> </w:t>
      </w:r>
      <w:r>
        <w:t>milk and milk products.</w:t>
      </w:r>
    </w:p>
    <w:p w:rsidR="00E64CEF" w:rsidRPr="002233F6" w:rsidRDefault="00E64CEF" w:rsidP="00E64CEF"/>
    <w:p w:rsidR="00E64CEF" w:rsidRDefault="00E64CEF" w:rsidP="006C1A57">
      <w:pPr>
        <w:pStyle w:val="Clause"/>
      </w:pPr>
      <w:r>
        <w:rPr>
          <w:b/>
        </w:rPr>
        <w:t>[16]</w:t>
      </w:r>
      <w:r>
        <w:rPr>
          <w:b/>
        </w:rPr>
        <w:tab/>
      </w:r>
      <w:r w:rsidRPr="006C1A57">
        <w:rPr>
          <w:b/>
          <w:i/>
        </w:rPr>
        <w:t>Standard 2.5.7</w:t>
      </w:r>
      <w:r w:rsidRPr="006C1A57">
        <w:rPr>
          <w:i/>
        </w:rPr>
        <w:t xml:space="preserve"> </w:t>
      </w:r>
      <w:r w:rsidR="006C1A57" w:rsidRPr="006C1A57">
        <w:rPr>
          <w:i/>
        </w:rPr>
        <w:t xml:space="preserve">of the Australia New Zealand Food Standards Code is varied by omitting the </w:t>
      </w:r>
      <w:r w:rsidR="006C1A57">
        <w:t xml:space="preserve">Editorial note </w:t>
      </w:r>
      <w:r w:rsidR="006C1A57" w:rsidRPr="006C1A57">
        <w:rPr>
          <w:i/>
        </w:rPr>
        <w:t xml:space="preserve">preceding the </w:t>
      </w:r>
      <w:r w:rsidR="006C1A57">
        <w:t>Table of Provisions</w:t>
      </w:r>
      <w:r w:rsidR="006C1A57" w:rsidRPr="006C1A57">
        <w:rPr>
          <w:i/>
        </w:rPr>
        <w:t>, substituting</w:t>
      </w:r>
      <w:r w:rsidRPr="006C1A57">
        <w:t xml:space="preserve"> </w:t>
      </w:r>
      <w:r>
        <w:t xml:space="preserve">– </w:t>
      </w:r>
    </w:p>
    <w:p w:rsidR="006C1A57" w:rsidRPr="006C1A57" w:rsidRDefault="006C1A57" w:rsidP="006C1A57"/>
    <w:p w:rsidR="00E64CEF" w:rsidRDefault="00E64CEF" w:rsidP="00E64CEF">
      <w:pPr>
        <w:pStyle w:val="EditorialNoteLine1"/>
      </w:pPr>
      <w:r>
        <w:t xml:space="preserve">Editorial note: </w:t>
      </w:r>
    </w:p>
    <w:p w:rsidR="00E64CEF" w:rsidRDefault="00E64CEF" w:rsidP="00E64CEF">
      <w:pPr>
        <w:pStyle w:val="EditorialNotetext"/>
      </w:pPr>
    </w:p>
    <w:p w:rsidR="00E64CEF" w:rsidRDefault="00E64CEF" w:rsidP="00E64CEF">
      <w:pPr>
        <w:pStyle w:val="EditorialNotetext"/>
      </w:pPr>
      <w:r>
        <w:t xml:space="preserve">The Australian processing requirements for dried, evaporated and condensed milks are contained in Standard 4.2.4. </w:t>
      </w:r>
    </w:p>
    <w:p w:rsidR="00E64CEF" w:rsidRDefault="00E64CEF" w:rsidP="00E64CEF">
      <w:pPr>
        <w:pStyle w:val="EditorialNotetext"/>
      </w:pPr>
    </w:p>
    <w:p w:rsidR="00E64CEF" w:rsidRDefault="00E64CEF" w:rsidP="00E64CEF">
      <w:pPr>
        <w:pStyle w:val="EditorialNotetext"/>
      </w:pPr>
      <w:r>
        <w:t>New Zealand has its own processing requirements for</w:t>
      </w:r>
      <w:r w:rsidRPr="004A1372">
        <w:t xml:space="preserve"> </w:t>
      </w:r>
      <w:r>
        <w:t>milk and milk products.</w:t>
      </w:r>
    </w:p>
    <w:p w:rsidR="00E64CEF" w:rsidRPr="002233F6" w:rsidRDefault="00E64CEF" w:rsidP="00E64CEF"/>
    <w:p w:rsidR="00E64CEF" w:rsidRDefault="00E64CEF" w:rsidP="006C1A57">
      <w:pPr>
        <w:pStyle w:val="Clause"/>
      </w:pPr>
      <w:r>
        <w:rPr>
          <w:b/>
        </w:rPr>
        <w:t>[17]</w:t>
      </w:r>
      <w:r>
        <w:rPr>
          <w:b/>
        </w:rPr>
        <w:tab/>
      </w:r>
      <w:r w:rsidRPr="006C1A57">
        <w:rPr>
          <w:b/>
          <w:i/>
        </w:rPr>
        <w:t>Standard 2.7.4</w:t>
      </w:r>
      <w:r w:rsidRPr="006C1A57">
        <w:rPr>
          <w:i/>
        </w:rPr>
        <w:t xml:space="preserve"> </w:t>
      </w:r>
      <w:r w:rsidR="006C1A57" w:rsidRPr="006C1A57">
        <w:rPr>
          <w:i/>
        </w:rPr>
        <w:t xml:space="preserve">of the Australia New Zealand Food Standards Code is varied by omitting the </w:t>
      </w:r>
      <w:r w:rsidR="006C1A57">
        <w:t xml:space="preserve">Editorial note </w:t>
      </w:r>
      <w:r w:rsidR="006C1A57" w:rsidRPr="006C1A57">
        <w:rPr>
          <w:i/>
        </w:rPr>
        <w:t xml:space="preserve">preceding the </w:t>
      </w:r>
      <w:r w:rsidR="006C1A57">
        <w:t>Table of Provisions</w:t>
      </w:r>
      <w:r w:rsidR="006C1A57" w:rsidRPr="006C1A57">
        <w:rPr>
          <w:i/>
        </w:rPr>
        <w:t>, substituting</w:t>
      </w:r>
      <w:r w:rsidR="006C1A57">
        <w:t xml:space="preserve"> </w:t>
      </w:r>
      <w:r>
        <w:t xml:space="preserve">– </w:t>
      </w:r>
    </w:p>
    <w:p w:rsidR="006C1A57" w:rsidRDefault="006C1A57" w:rsidP="00E64CEF">
      <w:r>
        <w:br w:type="page"/>
      </w:r>
    </w:p>
    <w:p w:rsidR="00E64CEF" w:rsidRPr="005F13B7" w:rsidRDefault="00E64CEF" w:rsidP="00E64CEF">
      <w:pPr>
        <w:pStyle w:val="EditorialNoteLine1"/>
      </w:pPr>
      <w:r w:rsidRPr="005F13B7">
        <w:lastRenderedPageBreak/>
        <w:t xml:space="preserve">Editorial note: </w:t>
      </w:r>
    </w:p>
    <w:p w:rsidR="00E64CEF" w:rsidRPr="005F13B7" w:rsidRDefault="00E64CEF" w:rsidP="00E64CEF">
      <w:pPr>
        <w:pStyle w:val="EditorialNotetext"/>
      </w:pPr>
    </w:p>
    <w:p w:rsidR="00E64CEF" w:rsidRPr="005F13B7" w:rsidRDefault="00E64CEF" w:rsidP="00E64CEF">
      <w:pPr>
        <w:pStyle w:val="EditorialNotetext"/>
      </w:pPr>
      <w:r w:rsidRPr="005F13B7">
        <w:t xml:space="preserve">The </w:t>
      </w:r>
      <w:r w:rsidRPr="002929F0">
        <w:rPr>
          <w:i/>
        </w:rPr>
        <w:t>Australian Wine and Brandy Corporation Act 1980</w:t>
      </w:r>
      <w:r w:rsidRPr="005F13B7">
        <w:t xml:space="preserve"> and the Regulations made under th</w:t>
      </w:r>
      <w:r>
        <w:t>at</w:t>
      </w:r>
      <w:r w:rsidRPr="005F13B7">
        <w:t xml:space="preserve"> Act should be consulted.  The Act and the Regulations contain provisions which, for example, regulate – </w:t>
      </w:r>
    </w:p>
    <w:p w:rsidR="00E64CEF" w:rsidRPr="005F13B7" w:rsidRDefault="00E64CEF" w:rsidP="00E64CEF">
      <w:pPr>
        <w:pStyle w:val="EditorialNotetext"/>
      </w:pPr>
    </w:p>
    <w:p w:rsidR="00E64CEF" w:rsidRPr="005F13B7" w:rsidRDefault="00E64CEF" w:rsidP="00E64CEF">
      <w:pPr>
        <w:pStyle w:val="EditorialNotetext"/>
        <w:ind w:left="567" w:hanging="567"/>
      </w:pPr>
      <w:r>
        <w:t>(a)</w:t>
      </w:r>
      <w:r>
        <w:tab/>
      </w:r>
      <w:r w:rsidRPr="005F13B7">
        <w:t>the use of geographical indications for wine, sparkling wine and fortified wine;</w:t>
      </w:r>
    </w:p>
    <w:p w:rsidR="00E64CEF" w:rsidRPr="005F13B7" w:rsidRDefault="00E64CEF" w:rsidP="00E64CEF">
      <w:pPr>
        <w:pStyle w:val="EditorialNotetext"/>
        <w:ind w:left="567" w:hanging="567"/>
      </w:pPr>
      <w:r>
        <w:t>(b)</w:t>
      </w:r>
      <w:r>
        <w:tab/>
      </w:r>
      <w:r w:rsidRPr="005F13B7">
        <w:t>limited derogations from the requirements in this Standard for wine, sparkling wine and fortified wine for export;</w:t>
      </w:r>
    </w:p>
    <w:p w:rsidR="00E64CEF" w:rsidRPr="005F13B7" w:rsidRDefault="00E64CEF" w:rsidP="00E64CEF">
      <w:pPr>
        <w:pStyle w:val="EditorialNotetext"/>
        <w:ind w:left="567" w:hanging="567"/>
      </w:pPr>
      <w:r>
        <w:t>(c)</w:t>
      </w:r>
      <w:r>
        <w:tab/>
      </w:r>
      <w:r w:rsidRPr="005F13B7">
        <w:t>blending rules for wine, sparkling wine and fortified wine; and</w:t>
      </w:r>
    </w:p>
    <w:p w:rsidR="00E64CEF" w:rsidRPr="005F13B7" w:rsidRDefault="00E64CEF" w:rsidP="00E64CEF">
      <w:pPr>
        <w:pStyle w:val="EditorialNotetext"/>
        <w:ind w:left="567" w:hanging="567"/>
      </w:pPr>
      <w:r>
        <w:t>(d)</w:t>
      </w:r>
      <w:r>
        <w:tab/>
      </w:r>
      <w:r w:rsidRPr="005F13B7">
        <w:t>the compositional and other requirements for wine, sparkling wine and fortified wine imported into Australia from countries with which Australia has a wine trading agreement prescribed by the Act.</w:t>
      </w:r>
    </w:p>
    <w:p w:rsidR="00E64CEF" w:rsidRPr="005F13B7" w:rsidRDefault="00E64CEF" w:rsidP="00E64CEF">
      <w:pPr>
        <w:pStyle w:val="EditorialNotetext"/>
      </w:pPr>
    </w:p>
    <w:p w:rsidR="00E64CEF" w:rsidRDefault="00E64CEF" w:rsidP="00E64CEF">
      <w:pPr>
        <w:pStyle w:val="EditorialNotetext"/>
      </w:pPr>
      <w:r w:rsidRPr="005F13B7">
        <w:t xml:space="preserve">For wines produced in New Zealand, the </w:t>
      </w:r>
      <w:r w:rsidRPr="002929F0">
        <w:rPr>
          <w:i/>
        </w:rPr>
        <w:t>Wine Act 2003</w:t>
      </w:r>
      <w:r w:rsidRPr="005F13B7">
        <w:t xml:space="preserve">, and the Regulations, Specifications and Notices made under that Act, should also be consulted.  These contain provisions that regulate the making, supply and export of wine in New Zealand.  </w:t>
      </w:r>
    </w:p>
    <w:p w:rsidR="00E64CEF" w:rsidRDefault="00E64CEF" w:rsidP="00E64CEF">
      <w:pPr>
        <w:pStyle w:val="EditorialNotetext"/>
      </w:pPr>
    </w:p>
    <w:p w:rsidR="00E64CEF" w:rsidRPr="005F13B7" w:rsidRDefault="00E64CEF" w:rsidP="00E64CEF">
      <w:pPr>
        <w:pStyle w:val="EditorialNotetext"/>
      </w:pPr>
      <w:r>
        <w:t xml:space="preserve">The New Zealand </w:t>
      </w:r>
      <w:r>
        <w:rPr>
          <w:i/>
        </w:rPr>
        <w:t xml:space="preserve">Geographical Indications (Wines and Spirits) Registration Act 2006 </w:t>
      </w:r>
      <w:r>
        <w:t>applies to geographical indications in relation to wine.  The Act will commence on a date to be proclaimed by the Governor-General of New Zealand.</w:t>
      </w:r>
    </w:p>
    <w:p w:rsidR="00E64CEF" w:rsidRDefault="00E64CEF" w:rsidP="00E64CEF">
      <w:pPr>
        <w:pStyle w:val="Clause"/>
        <w:tabs>
          <w:tab w:val="clear" w:pos="851"/>
        </w:tabs>
        <w:rPr>
          <w:b/>
        </w:rPr>
      </w:pPr>
    </w:p>
    <w:p w:rsidR="00E64CEF" w:rsidRDefault="00E64CEF" w:rsidP="006C1A57">
      <w:pPr>
        <w:pStyle w:val="Clause"/>
      </w:pPr>
      <w:r>
        <w:rPr>
          <w:b/>
        </w:rPr>
        <w:t>[18]</w:t>
      </w:r>
      <w:r>
        <w:rPr>
          <w:b/>
        </w:rPr>
        <w:tab/>
      </w:r>
      <w:r w:rsidRPr="00D6581E">
        <w:rPr>
          <w:b/>
        </w:rPr>
        <w:t>Standard 2.9.1</w:t>
      </w:r>
      <w:r>
        <w:t xml:space="preserve"> </w:t>
      </w:r>
      <w:r w:rsidRPr="006C1A57">
        <w:rPr>
          <w:i/>
        </w:rPr>
        <w:t xml:space="preserve">of the Australia New Zealand Food Standards Code is varied by omitting the </w:t>
      </w:r>
      <w:r>
        <w:t xml:space="preserve">Editorial note </w:t>
      </w:r>
      <w:r w:rsidRPr="006C1A57">
        <w:rPr>
          <w:i/>
        </w:rPr>
        <w:t xml:space="preserve">following the </w:t>
      </w:r>
      <w:r>
        <w:t>Table to clause 23</w:t>
      </w:r>
      <w:r w:rsidRPr="006C1A57">
        <w:rPr>
          <w:i/>
        </w:rPr>
        <w:t>, substituting</w:t>
      </w:r>
      <w:r>
        <w:t xml:space="preserve"> – </w:t>
      </w:r>
    </w:p>
    <w:p w:rsidR="00E64CEF" w:rsidRDefault="00E64CEF" w:rsidP="00E64CEF"/>
    <w:p w:rsidR="00E64CEF" w:rsidRDefault="00E64CEF" w:rsidP="00E64CEF">
      <w:pPr>
        <w:pStyle w:val="EditorialNoteLine1"/>
      </w:pPr>
      <w:r>
        <w:t xml:space="preserve">Editorial note: </w:t>
      </w:r>
    </w:p>
    <w:p w:rsidR="00E64CEF" w:rsidRDefault="00E64CEF" w:rsidP="00E64CEF">
      <w:pPr>
        <w:pStyle w:val="EditorialNotetext"/>
      </w:pPr>
    </w:p>
    <w:p w:rsidR="00E64CEF" w:rsidRPr="00C70067" w:rsidRDefault="00E64CEF" w:rsidP="00E64CEF">
      <w:pPr>
        <w:pStyle w:val="EditorialNotetext"/>
      </w:pPr>
      <w:r>
        <w:t>Standard 1.3.4 contains specifications for dried marine microalgae (</w:t>
      </w:r>
      <w:r>
        <w:rPr>
          <w:i/>
        </w:rPr>
        <w:t>Schizochytrium sp.</w:t>
      </w:r>
      <w:r>
        <w:t>) rich in docosahexaenoic acid (DHA), oil derived from marine microalgae (</w:t>
      </w:r>
      <w:r>
        <w:rPr>
          <w:i/>
        </w:rPr>
        <w:t>Schizochytrium sp.</w:t>
      </w:r>
      <w:r>
        <w:t xml:space="preserve">) rich in docosahexaenoic acid (DHA), oil derived from the algae </w:t>
      </w:r>
      <w:r>
        <w:rPr>
          <w:i/>
        </w:rPr>
        <w:t xml:space="preserve">Crypthecodinium cohnii </w:t>
      </w:r>
      <w:r>
        <w:t xml:space="preserve">rich in docosahexaenoic acid (DHA), oil derived from the fungus </w:t>
      </w:r>
      <w:r>
        <w:rPr>
          <w:i/>
        </w:rPr>
        <w:t xml:space="preserve">Mortierella alpina </w:t>
      </w:r>
      <w:r>
        <w:t>rich in arachidonic acid (ARA), and oil derived from marine microalgae (</w:t>
      </w:r>
      <w:r>
        <w:rPr>
          <w:i/>
        </w:rPr>
        <w:t>Ulkenia sp.</w:t>
      </w:r>
      <w:r>
        <w:t>) rich in docosahexaenoic acid (DHA).</w:t>
      </w:r>
    </w:p>
    <w:p w:rsidR="00E64CEF" w:rsidRPr="00D6581E" w:rsidRDefault="00E64CEF" w:rsidP="00E64CEF"/>
    <w:p w:rsidR="00E64CEF" w:rsidRDefault="00E64CEF" w:rsidP="006C1A57">
      <w:pPr>
        <w:pStyle w:val="Clause"/>
      </w:pPr>
      <w:r>
        <w:rPr>
          <w:b/>
        </w:rPr>
        <w:t>[19]</w:t>
      </w:r>
      <w:r>
        <w:rPr>
          <w:b/>
        </w:rPr>
        <w:tab/>
      </w:r>
      <w:r w:rsidRPr="006C1A57">
        <w:rPr>
          <w:b/>
          <w:i/>
        </w:rPr>
        <w:t>Standard 3.3.1</w:t>
      </w:r>
      <w:r w:rsidRPr="006C1A57">
        <w:rPr>
          <w:i/>
        </w:rPr>
        <w:t xml:space="preserve"> of the Australia New Zealand Food Standards Code is varied by omitting from the </w:t>
      </w:r>
      <w:r w:rsidRPr="00EB3EF3">
        <w:t>Editorial note</w:t>
      </w:r>
      <w:r w:rsidRPr="006C1A57">
        <w:rPr>
          <w:i/>
        </w:rPr>
        <w:t xml:space="preserve"> following subclause 1(2)</w:t>
      </w:r>
      <w:r w:rsidRPr="006C1A57">
        <w:rPr>
          <w:b/>
        </w:rPr>
        <w:t xml:space="preserve"> </w:t>
      </w:r>
      <w:r w:rsidRPr="007866D1">
        <w:t>–</w:t>
      </w:r>
    </w:p>
    <w:p w:rsidR="00E64CEF" w:rsidRDefault="00E64CEF" w:rsidP="00E64CEF">
      <w:pPr>
        <w:pStyle w:val="Clause"/>
      </w:pPr>
    </w:p>
    <w:p w:rsidR="00E64CEF" w:rsidRDefault="00E64CEF" w:rsidP="006C1A57">
      <w:pPr>
        <w:pStyle w:val="Clause"/>
      </w:pPr>
      <w:r>
        <w:t>micro-organisms</w:t>
      </w:r>
    </w:p>
    <w:p w:rsidR="00E64CEF" w:rsidRDefault="00E64CEF" w:rsidP="00E64CEF">
      <w:pPr>
        <w:rPr>
          <w:i/>
        </w:rPr>
      </w:pPr>
    </w:p>
    <w:p w:rsidR="00E64CEF" w:rsidRDefault="00E64CEF" w:rsidP="006C1A57">
      <w:pPr>
        <w:pStyle w:val="Clause"/>
      </w:pPr>
      <w:r w:rsidRPr="006C1A57">
        <w:rPr>
          <w:i/>
        </w:rPr>
        <w:t>substituting</w:t>
      </w:r>
      <w:r>
        <w:t xml:space="preserve"> –</w:t>
      </w:r>
    </w:p>
    <w:p w:rsidR="00E64CEF" w:rsidRDefault="00E64CEF" w:rsidP="00E64CEF">
      <w:pPr>
        <w:rPr>
          <w:i/>
        </w:rPr>
      </w:pPr>
    </w:p>
    <w:p w:rsidR="00E64CEF" w:rsidRPr="007866D1" w:rsidRDefault="00E64CEF" w:rsidP="006C1A57">
      <w:pPr>
        <w:pStyle w:val="Clause"/>
      </w:pPr>
      <w:r>
        <w:t>microorganisms</w:t>
      </w:r>
    </w:p>
    <w:p w:rsidR="00E64CEF" w:rsidRDefault="00E64CEF" w:rsidP="00E64CEF"/>
    <w:p w:rsidR="00E64CEF" w:rsidRDefault="00E64CEF" w:rsidP="006C1A57">
      <w:pPr>
        <w:pStyle w:val="Clause"/>
      </w:pPr>
      <w:r>
        <w:rPr>
          <w:b/>
        </w:rPr>
        <w:t>[20</w:t>
      </w:r>
      <w:r w:rsidRPr="002449F1">
        <w:rPr>
          <w:b/>
        </w:rPr>
        <w:t>]</w:t>
      </w:r>
      <w:r w:rsidRPr="002449F1">
        <w:rPr>
          <w:b/>
        </w:rPr>
        <w:tab/>
      </w:r>
      <w:r w:rsidRPr="006C1A57">
        <w:rPr>
          <w:b/>
          <w:i/>
        </w:rPr>
        <w:t>Standard 4.2.4</w:t>
      </w:r>
      <w:r w:rsidRPr="006C1A57">
        <w:rPr>
          <w:i/>
        </w:rPr>
        <w:t xml:space="preserve"> of the Australia New Zealand Food Standards Code is varied by omitting </w:t>
      </w:r>
      <w:r>
        <w:t>and/ or</w:t>
      </w:r>
      <w:r w:rsidRPr="006C1A57">
        <w:rPr>
          <w:i/>
        </w:rPr>
        <w:t xml:space="preserve"> from the </w:t>
      </w:r>
      <w:r w:rsidRPr="00EB3EF3">
        <w:t>Editorial note</w:t>
      </w:r>
      <w:r w:rsidRPr="006C1A57">
        <w:rPr>
          <w:i/>
        </w:rPr>
        <w:t xml:space="preserve"> following subclause 15(5), substituting</w:t>
      </w:r>
      <w:r>
        <w:t xml:space="preserve"> or</w:t>
      </w:r>
    </w:p>
    <w:p w:rsidR="00E64CEF" w:rsidRDefault="00E64CEF"/>
    <w:p w:rsidR="00E64CEF" w:rsidRDefault="00E64CEF"/>
    <w:p w:rsidR="00347E88" w:rsidRDefault="00347E88">
      <w:r>
        <w:t xml:space="preserve"> </w:t>
      </w:r>
    </w:p>
    <w:p w:rsidR="00C258A6" w:rsidRDefault="00C258A6">
      <w:pPr>
        <w:sectPr w:rsidR="00C258A6" w:rsidSect="003E72FE">
          <w:pgSz w:w="11906" w:h="16838"/>
          <w:pgMar w:top="1418" w:right="1418" w:bottom="1418" w:left="1418" w:header="709" w:footer="709" w:gutter="0"/>
          <w:pgNumType w:start="1"/>
          <w:cols w:space="708"/>
          <w:docGrid w:linePitch="360"/>
        </w:sectPr>
      </w:pPr>
    </w:p>
    <w:p w:rsidR="00347E88" w:rsidRDefault="00347E88" w:rsidP="008973D9">
      <w:pPr>
        <w:pStyle w:val="Heading2"/>
        <w:jc w:val="right"/>
      </w:pPr>
      <w:bookmarkStart w:id="228" w:name="_Toc290973105"/>
      <w:r>
        <w:lastRenderedPageBreak/>
        <w:t>Attachment 3</w:t>
      </w:r>
      <w:bookmarkEnd w:id="228"/>
    </w:p>
    <w:p w:rsidR="008973D9" w:rsidRPr="006C1A57" w:rsidRDefault="008973D9" w:rsidP="006C1A57"/>
    <w:p w:rsidR="00C258A6" w:rsidRDefault="008973D9" w:rsidP="008973D9">
      <w:pPr>
        <w:pStyle w:val="Heading2"/>
      </w:pPr>
      <w:bookmarkStart w:id="229" w:name="_Toc290973106"/>
      <w:r>
        <w:t>Summary of issues raised in public submissions in response to the assessment report</w:t>
      </w:r>
      <w:bookmarkEnd w:id="229"/>
    </w:p>
    <w:p w:rsidR="00C258A6" w:rsidRDefault="00C258A6" w:rsidP="00C258A6"/>
    <w:p w:rsidR="00C258A6" w:rsidRDefault="00C258A6" w:rsidP="00C258A6">
      <w:r>
        <w:rPr>
          <w:rFonts w:cs="Arial"/>
          <w:color w:val="000000"/>
        </w:rPr>
        <w:t xml:space="preserve">Public comment on the Assessment Report for this Proposal was sought from 15 December 2010 to 9 February 2011. </w:t>
      </w:r>
      <w:r w:rsidR="000D7928">
        <w:t xml:space="preserve">Some specific questions to submitters were posed in the Assessment Report, as detailed in table 1. </w:t>
      </w:r>
      <w:r w:rsidRPr="005A6D89">
        <w:rPr>
          <w:rFonts w:cs="Arial"/>
          <w:color w:val="000000"/>
        </w:rPr>
        <w:t>A total of 13 submissions</w:t>
      </w:r>
      <w:r>
        <w:rPr>
          <w:rFonts w:cs="Arial"/>
          <w:color w:val="000000"/>
        </w:rPr>
        <w:t xml:space="preserve"> were received. A summary of the issues raised and the response from FSANZ is provided in table 2 below. In addition to the comments provided below, some submitters provided useful background information and suggestions for inclusions in other proposals, which will be considered by FSANZ in the future. Some submitters noted their support for the proposed amendments except for comments provided on specific issues. </w:t>
      </w:r>
    </w:p>
    <w:p w:rsidR="00C258A6" w:rsidRDefault="00C258A6" w:rsidP="00C258A6"/>
    <w:p w:rsidR="00C258A6" w:rsidRPr="008505EA" w:rsidRDefault="00C258A6" w:rsidP="00C258A6">
      <w:pPr>
        <w:pStyle w:val="FSTableTitle"/>
      </w:pPr>
      <w:r w:rsidRPr="008505EA">
        <w:t xml:space="preserve">Table 1:  </w:t>
      </w:r>
      <w:r>
        <w:t>Questions posed in Assessment Report</w:t>
      </w:r>
    </w:p>
    <w:p w:rsidR="00C258A6" w:rsidRDefault="00C258A6" w:rsidP="00C258A6"/>
    <w:tbl>
      <w:tblPr>
        <w:tblStyle w:val="TableGrid"/>
        <w:tblW w:w="0" w:type="auto"/>
        <w:tblLook w:val="04A0" w:firstRow="1" w:lastRow="0" w:firstColumn="1" w:lastColumn="0" w:noHBand="0" w:noVBand="1"/>
      </w:tblPr>
      <w:tblGrid>
        <w:gridCol w:w="7087"/>
        <w:gridCol w:w="7087"/>
      </w:tblGrid>
      <w:tr w:rsidR="00C258A6" w:rsidTr="00E26ACD">
        <w:trPr>
          <w:tblHeader/>
        </w:trPr>
        <w:tc>
          <w:tcPr>
            <w:tcW w:w="7087" w:type="dxa"/>
            <w:shd w:val="clear" w:color="auto" w:fill="D6E3BC" w:themeFill="accent3" w:themeFillTint="66"/>
          </w:tcPr>
          <w:p w:rsidR="00C258A6" w:rsidRDefault="00C258A6" w:rsidP="00C258A6">
            <w:pPr>
              <w:pStyle w:val="FSTableHeading"/>
            </w:pPr>
            <w:r>
              <w:t xml:space="preserve">Issue </w:t>
            </w:r>
            <w:r>
              <w:rPr>
                <w:rFonts w:hint="eastAsia"/>
              </w:rPr>
              <w:t>number</w:t>
            </w:r>
            <w:r>
              <w:t xml:space="preserve"> and proposed solution</w:t>
            </w:r>
          </w:p>
          <w:p w:rsidR="00E26ACD" w:rsidRDefault="00E26ACD" w:rsidP="00C258A6">
            <w:pPr>
              <w:pStyle w:val="FSTableHeading"/>
            </w:pPr>
          </w:p>
        </w:tc>
        <w:tc>
          <w:tcPr>
            <w:tcW w:w="7087" w:type="dxa"/>
            <w:shd w:val="clear" w:color="auto" w:fill="D6E3BC" w:themeFill="accent3" w:themeFillTint="66"/>
          </w:tcPr>
          <w:p w:rsidR="00C258A6" w:rsidRDefault="00C258A6" w:rsidP="00C258A6">
            <w:pPr>
              <w:pStyle w:val="FSTableHeading"/>
            </w:pPr>
            <w:r>
              <w:t>Question</w:t>
            </w:r>
          </w:p>
        </w:tc>
      </w:tr>
      <w:tr w:rsidR="00C258A6" w:rsidTr="001A6955">
        <w:tc>
          <w:tcPr>
            <w:tcW w:w="7087" w:type="dxa"/>
          </w:tcPr>
          <w:p w:rsidR="00C258A6" w:rsidRPr="00E26ACD" w:rsidRDefault="00C258A6" w:rsidP="00C258A6">
            <w:pPr>
              <w:pStyle w:val="FSTableText"/>
              <w:rPr>
                <w:sz w:val="18"/>
                <w:szCs w:val="18"/>
              </w:rPr>
            </w:pPr>
            <w:r w:rsidRPr="00E26ACD">
              <w:rPr>
                <w:bCs/>
                <w:sz w:val="18"/>
                <w:szCs w:val="18"/>
              </w:rPr>
              <w:t>23. Amend clause 8 of Standard 1.2.4 to clarify that the food additive class name used in the statement of ingredients must describe the primary technological function of that food additive in the food.</w:t>
            </w:r>
          </w:p>
        </w:tc>
        <w:tc>
          <w:tcPr>
            <w:tcW w:w="7087" w:type="dxa"/>
          </w:tcPr>
          <w:p w:rsidR="00C258A6" w:rsidRPr="00E26ACD" w:rsidRDefault="00C258A6" w:rsidP="00C258A6">
            <w:pPr>
              <w:pStyle w:val="FSTableText"/>
              <w:rPr>
                <w:sz w:val="18"/>
                <w:szCs w:val="18"/>
              </w:rPr>
            </w:pPr>
            <w:r w:rsidRPr="00E26ACD">
              <w:rPr>
                <w:sz w:val="18"/>
                <w:szCs w:val="18"/>
              </w:rPr>
              <w:t xml:space="preserve">1. Are you aware of any foods </w:t>
            </w:r>
            <w:r w:rsidRPr="00E26ACD">
              <w:rPr>
                <w:bCs/>
                <w:sz w:val="18"/>
                <w:szCs w:val="18"/>
              </w:rPr>
              <w:t>that would require relabelling as a result of this amendment?</w:t>
            </w:r>
          </w:p>
          <w:p w:rsidR="00C258A6" w:rsidRPr="00E26ACD" w:rsidRDefault="00C258A6" w:rsidP="00C258A6">
            <w:pPr>
              <w:pStyle w:val="FSTableText"/>
              <w:rPr>
                <w:sz w:val="18"/>
                <w:szCs w:val="18"/>
              </w:rPr>
            </w:pPr>
            <w:r w:rsidRPr="00E26ACD">
              <w:rPr>
                <w:sz w:val="18"/>
                <w:szCs w:val="18"/>
              </w:rPr>
              <w:t>2. If so, please provide details of the extent and cost of the labelling changes required.</w:t>
            </w:r>
          </w:p>
        </w:tc>
      </w:tr>
      <w:tr w:rsidR="00C258A6" w:rsidTr="001A6955">
        <w:tc>
          <w:tcPr>
            <w:tcW w:w="7087" w:type="dxa"/>
          </w:tcPr>
          <w:p w:rsidR="00C258A6" w:rsidRPr="00E26ACD" w:rsidRDefault="00C258A6" w:rsidP="00C258A6">
            <w:pPr>
              <w:pStyle w:val="FSTableText"/>
              <w:rPr>
                <w:sz w:val="18"/>
                <w:szCs w:val="18"/>
              </w:rPr>
            </w:pPr>
            <w:r w:rsidRPr="00E26ACD">
              <w:rPr>
                <w:sz w:val="18"/>
                <w:szCs w:val="18"/>
              </w:rPr>
              <w:t>40. Standard 1.2.10, subclauses 5(2) and 7(2). Amend both subclauses to require that for declarations of 5% or greater, the percentage must be rounded to the nearest whole number and for declarations of less than 5%, the percentage may be rounded to the nearest 0.5%.</w:t>
            </w:r>
          </w:p>
        </w:tc>
        <w:tc>
          <w:tcPr>
            <w:tcW w:w="7087" w:type="dxa"/>
          </w:tcPr>
          <w:p w:rsidR="00C258A6" w:rsidRPr="00E26ACD" w:rsidRDefault="00C258A6" w:rsidP="00C258A6">
            <w:pPr>
              <w:pStyle w:val="FSTableText"/>
              <w:rPr>
                <w:bCs/>
                <w:sz w:val="18"/>
                <w:szCs w:val="18"/>
              </w:rPr>
            </w:pPr>
            <w:r w:rsidRPr="00E26ACD">
              <w:rPr>
                <w:bCs/>
                <w:sz w:val="18"/>
                <w:szCs w:val="18"/>
              </w:rPr>
              <w:t xml:space="preserve">3. Do you agree with the recommendation to require declarations of characterising ingredients of 5% or greater to be rounded to the nearest whole number? </w:t>
            </w:r>
          </w:p>
          <w:p w:rsidR="00C258A6" w:rsidRPr="00E26ACD" w:rsidRDefault="00C258A6" w:rsidP="00C258A6">
            <w:pPr>
              <w:pStyle w:val="FSTableText"/>
              <w:rPr>
                <w:bCs/>
                <w:sz w:val="18"/>
                <w:szCs w:val="18"/>
              </w:rPr>
            </w:pPr>
            <w:r w:rsidRPr="00E26ACD">
              <w:rPr>
                <w:bCs/>
                <w:sz w:val="18"/>
                <w:szCs w:val="18"/>
              </w:rPr>
              <w:t xml:space="preserve">4. Are you aware of any foods that would require relabelling as a result of this amendment? </w:t>
            </w:r>
          </w:p>
        </w:tc>
      </w:tr>
      <w:tr w:rsidR="00C258A6" w:rsidTr="001A6955">
        <w:tc>
          <w:tcPr>
            <w:tcW w:w="7087" w:type="dxa"/>
          </w:tcPr>
          <w:p w:rsidR="00C258A6" w:rsidRPr="00E26ACD" w:rsidRDefault="00C258A6" w:rsidP="00C258A6">
            <w:pPr>
              <w:pStyle w:val="FSTableText"/>
              <w:rPr>
                <w:sz w:val="18"/>
                <w:szCs w:val="18"/>
              </w:rPr>
            </w:pPr>
            <w:r w:rsidRPr="00E26ACD">
              <w:rPr>
                <w:sz w:val="18"/>
                <w:szCs w:val="18"/>
              </w:rPr>
              <w:t xml:space="preserve">70. Clause 3 of Standard 1.3.4. Amend to include the </w:t>
            </w:r>
            <w:r w:rsidRPr="00E26ACD">
              <w:rPr>
                <w:bCs/>
                <w:i/>
                <w:sz w:val="18"/>
                <w:szCs w:val="18"/>
              </w:rPr>
              <w:t>International Oenological Codex</w:t>
            </w:r>
            <w:r w:rsidRPr="00E26ACD">
              <w:rPr>
                <w:sz w:val="18"/>
                <w:szCs w:val="18"/>
              </w:rPr>
              <w:t xml:space="preserve"> (2010 supplementary edition) as an additional secondary source of specifications.</w:t>
            </w:r>
          </w:p>
        </w:tc>
        <w:tc>
          <w:tcPr>
            <w:tcW w:w="7087" w:type="dxa"/>
          </w:tcPr>
          <w:p w:rsidR="00C258A6" w:rsidRPr="00E26ACD" w:rsidRDefault="00C258A6" w:rsidP="00C258A6">
            <w:pPr>
              <w:pStyle w:val="FSTableText"/>
              <w:rPr>
                <w:bCs/>
                <w:sz w:val="18"/>
                <w:szCs w:val="18"/>
              </w:rPr>
            </w:pPr>
            <w:r w:rsidRPr="00E26ACD">
              <w:rPr>
                <w:bCs/>
                <w:sz w:val="18"/>
                <w:szCs w:val="18"/>
              </w:rPr>
              <w:t xml:space="preserve">5. Should all current references in clauses 2 and 3 of Standard 1.3.4 be maintained in addition to those proposed as updated references? </w:t>
            </w:r>
          </w:p>
          <w:p w:rsidR="00C258A6" w:rsidRPr="00E26ACD" w:rsidRDefault="00C258A6" w:rsidP="00C258A6">
            <w:pPr>
              <w:pStyle w:val="FSTableText"/>
              <w:rPr>
                <w:sz w:val="18"/>
                <w:szCs w:val="18"/>
              </w:rPr>
            </w:pPr>
            <w:r w:rsidRPr="00E26ACD">
              <w:rPr>
                <w:bCs/>
                <w:sz w:val="18"/>
                <w:szCs w:val="18"/>
              </w:rPr>
              <w:t xml:space="preserve">6. Are there any other references that should be added to these clauses? If yes, which references and why? </w:t>
            </w:r>
          </w:p>
        </w:tc>
      </w:tr>
      <w:tr w:rsidR="00C258A6" w:rsidTr="001A6955">
        <w:tc>
          <w:tcPr>
            <w:tcW w:w="7087" w:type="dxa"/>
          </w:tcPr>
          <w:p w:rsidR="00C258A6" w:rsidRPr="00E26ACD" w:rsidRDefault="00C258A6" w:rsidP="00C258A6">
            <w:pPr>
              <w:pStyle w:val="FSTableText"/>
              <w:rPr>
                <w:sz w:val="18"/>
                <w:szCs w:val="18"/>
              </w:rPr>
            </w:pPr>
            <w:r w:rsidRPr="00E26ACD">
              <w:rPr>
                <w:sz w:val="18"/>
                <w:szCs w:val="18"/>
              </w:rPr>
              <w:t>72. Schedule to Standard 1.3.4 The specifications should be rewritten to reflect purity and composition factors related to food safety and characterisation and to reflect international specifications.</w:t>
            </w:r>
          </w:p>
        </w:tc>
        <w:tc>
          <w:tcPr>
            <w:tcW w:w="7087" w:type="dxa"/>
          </w:tcPr>
          <w:p w:rsidR="00C258A6" w:rsidRPr="00E26ACD" w:rsidRDefault="00C258A6" w:rsidP="00C258A6">
            <w:pPr>
              <w:pStyle w:val="FSTableText"/>
              <w:rPr>
                <w:sz w:val="18"/>
                <w:szCs w:val="18"/>
              </w:rPr>
            </w:pPr>
            <w:r w:rsidRPr="00E26ACD">
              <w:rPr>
                <w:bCs/>
                <w:sz w:val="18"/>
                <w:szCs w:val="18"/>
              </w:rPr>
              <w:t>7. Are you aware of any commercial impacts as a result of the proposed amendments to these specifications?</w:t>
            </w:r>
          </w:p>
        </w:tc>
      </w:tr>
      <w:tr w:rsidR="00C258A6" w:rsidTr="001A6955">
        <w:tc>
          <w:tcPr>
            <w:tcW w:w="7087" w:type="dxa"/>
          </w:tcPr>
          <w:p w:rsidR="00C258A6" w:rsidRPr="00E26ACD" w:rsidRDefault="00C258A6" w:rsidP="00C258A6">
            <w:pPr>
              <w:pStyle w:val="FSTableText"/>
              <w:rPr>
                <w:sz w:val="18"/>
                <w:szCs w:val="18"/>
              </w:rPr>
            </w:pPr>
            <w:r w:rsidRPr="00E26ACD">
              <w:rPr>
                <w:sz w:val="18"/>
                <w:szCs w:val="18"/>
              </w:rPr>
              <w:t xml:space="preserve">107. </w:t>
            </w:r>
            <w:r w:rsidRPr="00E26ACD">
              <w:rPr>
                <w:sz w:val="18"/>
                <w:szCs w:val="18"/>
                <w:lang w:val="en-AU"/>
              </w:rPr>
              <w:t xml:space="preserve">Update the provisions in Standard 2.6.2 for the composition of packaged waters in relation to the presence of certain substances. </w:t>
            </w:r>
          </w:p>
        </w:tc>
        <w:tc>
          <w:tcPr>
            <w:tcW w:w="7087" w:type="dxa"/>
          </w:tcPr>
          <w:p w:rsidR="00C258A6" w:rsidRPr="00E26ACD" w:rsidRDefault="00C258A6" w:rsidP="00C258A6">
            <w:pPr>
              <w:pStyle w:val="FSTableText"/>
              <w:rPr>
                <w:sz w:val="18"/>
                <w:szCs w:val="18"/>
              </w:rPr>
            </w:pPr>
            <w:r w:rsidRPr="00E26ACD">
              <w:rPr>
                <w:bCs/>
                <w:sz w:val="18"/>
                <w:szCs w:val="18"/>
              </w:rPr>
              <w:t>8. As there are some differences between the WHO guidelines and the current Code, please identify if this change would have commercial, trade or health impacts.</w:t>
            </w:r>
          </w:p>
        </w:tc>
      </w:tr>
      <w:tr w:rsidR="00C258A6" w:rsidTr="001A6955">
        <w:tc>
          <w:tcPr>
            <w:tcW w:w="7087" w:type="dxa"/>
          </w:tcPr>
          <w:p w:rsidR="00C258A6" w:rsidRPr="00E26ACD" w:rsidRDefault="00C258A6" w:rsidP="00C258A6">
            <w:pPr>
              <w:pStyle w:val="FSTableText"/>
              <w:rPr>
                <w:sz w:val="18"/>
                <w:szCs w:val="18"/>
              </w:rPr>
            </w:pPr>
            <w:r w:rsidRPr="00E26ACD">
              <w:rPr>
                <w:sz w:val="18"/>
                <w:szCs w:val="18"/>
              </w:rPr>
              <w:t>117. Standard 2.9.1, clause 7. Remove Adenosine 5’-monophosphate sodium salt, Cytidine 5’-monophosphate sodium salt and Uridine 5’-monophosphate from the list of permitted forms in the Table.</w:t>
            </w:r>
          </w:p>
        </w:tc>
        <w:tc>
          <w:tcPr>
            <w:tcW w:w="7087" w:type="dxa"/>
          </w:tcPr>
          <w:p w:rsidR="00C258A6" w:rsidRPr="00E26ACD" w:rsidRDefault="00C258A6" w:rsidP="00C258A6">
            <w:pPr>
              <w:pStyle w:val="FSTableText"/>
              <w:rPr>
                <w:sz w:val="18"/>
                <w:szCs w:val="18"/>
              </w:rPr>
            </w:pPr>
            <w:r w:rsidRPr="00E26ACD">
              <w:rPr>
                <w:bCs/>
                <w:sz w:val="18"/>
                <w:szCs w:val="18"/>
              </w:rPr>
              <w:t>9. Do you consider that the removal of these permitted forms of nucleotides from the Code would be of concern to industry, particularly with respect to existing products?</w:t>
            </w:r>
          </w:p>
        </w:tc>
      </w:tr>
      <w:tr w:rsidR="00C258A6" w:rsidTr="001A6955">
        <w:tc>
          <w:tcPr>
            <w:tcW w:w="7087" w:type="dxa"/>
          </w:tcPr>
          <w:p w:rsidR="00C258A6" w:rsidRPr="00E26ACD" w:rsidRDefault="00C258A6" w:rsidP="00C258A6">
            <w:pPr>
              <w:pStyle w:val="FSTableText"/>
              <w:rPr>
                <w:sz w:val="18"/>
                <w:szCs w:val="18"/>
              </w:rPr>
            </w:pPr>
            <w:r w:rsidRPr="00E26ACD">
              <w:rPr>
                <w:sz w:val="18"/>
                <w:szCs w:val="18"/>
              </w:rPr>
              <w:t>128. Remove subclause 5(4) from Standard 4.5.1.</w:t>
            </w:r>
          </w:p>
        </w:tc>
        <w:tc>
          <w:tcPr>
            <w:tcW w:w="7087" w:type="dxa"/>
          </w:tcPr>
          <w:p w:rsidR="00C258A6" w:rsidRPr="00E26ACD" w:rsidRDefault="00C258A6" w:rsidP="00C258A6">
            <w:pPr>
              <w:pStyle w:val="FSTableText"/>
              <w:rPr>
                <w:bCs/>
                <w:sz w:val="18"/>
                <w:szCs w:val="18"/>
              </w:rPr>
            </w:pPr>
            <w:r w:rsidRPr="00E26ACD">
              <w:rPr>
                <w:sz w:val="18"/>
                <w:szCs w:val="18"/>
              </w:rPr>
              <w:t>10. Do you believe this change will have negative trade repercussions?</w:t>
            </w:r>
          </w:p>
        </w:tc>
      </w:tr>
    </w:tbl>
    <w:p w:rsidR="00E26ACD" w:rsidRDefault="00E26ACD" w:rsidP="00C258A6">
      <w:pPr>
        <w:pStyle w:val="FSTableTitle"/>
      </w:pPr>
      <w:r>
        <w:br w:type="page"/>
      </w:r>
    </w:p>
    <w:p w:rsidR="00C258A6" w:rsidRPr="008505EA" w:rsidRDefault="00C258A6" w:rsidP="00C258A6">
      <w:pPr>
        <w:pStyle w:val="FSTableTitle"/>
      </w:pPr>
      <w:r w:rsidRPr="008505EA">
        <w:lastRenderedPageBreak/>
        <w:t xml:space="preserve">Table </w:t>
      </w:r>
      <w:r>
        <w:t>2</w:t>
      </w:r>
      <w:r w:rsidRPr="008505EA">
        <w:t>:  Summary of issues raised in public submissions and FSANZ response</w:t>
      </w:r>
    </w:p>
    <w:p w:rsidR="00C258A6" w:rsidRPr="00790836" w:rsidRDefault="00C258A6" w:rsidP="00C258A6"/>
    <w:tbl>
      <w:tblPr>
        <w:tblStyle w:val="TableGrid"/>
        <w:tblW w:w="0" w:type="auto"/>
        <w:tblLook w:val="04A0" w:firstRow="1" w:lastRow="0" w:firstColumn="1" w:lastColumn="0" w:noHBand="0" w:noVBand="1"/>
      </w:tblPr>
      <w:tblGrid>
        <w:gridCol w:w="1606"/>
        <w:gridCol w:w="807"/>
        <w:gridCol w:w="6484"/>
        <w:gridCol w:w="5277"/>
      </w:tblGrid>
      <w:tr w:rsidR="00C258A6" w:rsidRPr="008505EA" w:rsidTr="00981869">
        <w:trPr>
          <w:tblHeader/>
        </w:trPr>
        <w:tc>
          <w:tcPr>
            <w:tcW w:w="1606" w:type="dxa"/>
            <w:shd w:val="clear" w:color="auto" w:fill="FBD4B4" w:themeFill="accent6" w:themeFillTint="66"/>
          </w:tcPr>
          <w:p w:rsidR="00C258A6" w:rsidRDefault="00C258A6" w:rsidP="00C258A6">
            <w:pPr>
              <w:pStyle w:val="FSTableHeading"/>
              <w:rPr>
                <w:szCs w:val="18"/>
              </w:rPr>
            </w:pPr>
            <w:r w:rsidRPr="008505EA">
              <w:rPr>
                <w:szCs w:val="18"/>
              </w:rPr>
              <w:t xml:space="preserve">Submitter </w:t>
            </w:r>
          </w:p>
          <w:p w:rsidR="00E26ACD" w:rsidRPr="008505EA" w:rsidRDefault="00E26ACD" w:rsidP="00C258A6">
            <w:pPr>
              <w:pStyle w:val="FSTableHeading"/>
              <w:rPr>
                <w:szCs w:val="18"/>
              </w:rPr>
            </w:pPr>
          </w:p>
        </w:tc>
        <w:tc>
          <w:tcPr>
            <w:tcW w:w="807" w:type="dxa"/>
            <w:shd w:val="clear" w:color="auto" w:fill="FBD4B4" w:themeFill="accent6" w:themeFillTint="66"/>
          </w:tcPr>
          <w:p w:rsidR="00C258A6" w:rsidRPr="008505EA" w:rsidRDefault="00C258A6" w:rsidP="00C258A6">
            <w:pPr>
              <w:pStyle w:val="FSTableHeading"/>
              <w:rPr>
                <w:szCs w:val="18"/>
              </w:rPr>
            </w:pPr>
            <w:r w:rsidRPr="008505EA">
              <w:rPr>
                <w:szCs w:val="18"/>
              </w:rPr>
              <w:t xml:space="preserve">Issue </w:t>
            </w:r>
          </w:p>
        </w:tc>
        <w:tc>
          <w:tcPr>
            <w:tcW w:w="6484" w:type="dxa"/>
            <w:shd w:val="clear" w:color="auto" w:fill="FBD4B4" w:themeFill="accent6" w:themeFillTint="66"/>
          </w:tcPr>
          <w:p w:rsidR="00C258A6" w:rsidRPr="008505EA" w:rsidRDefault="00C258A6" w:rsidP="00C258A6">
            <w:pPr>
              <w:pStyle w:val="FSTableHeading"/>
              <w:rPr>
                <w:szCs w:val="18"/>
              </w:rPr>
            </w:pPr>
            <w:r w:rsidRPr="008505EA">
              <w:rPr>
                <w:szCs w:val="18"/>
              </w:rPr>
              <w:t>Comment</w:t>
            </w:r>
          </w:p>
        </w:tc>
        <w:tc>
          <w:tcPr>
            <w:tcW w:w="5277" w:type="dxa"/>
            <w:shd w:val="clear" w:color="auto" w:fill="FBD4B4" w:themeFill="accent6" w:themeFillTint="66"/>
          </w:tcPr>
          <w:p w:rsidR="00C258A6" w:rsidRPr="008505EA" w:rsidRDefault="00C258A6" w:rsidP="00C258A6">
            <w:pPr>
              <w:pStyle w:val="FSTableHeading"/>
              <w:rPr>
                <w:szCs w:val="18"/>
              </w:rPr>
            </w:pPr>
            <w:r w:rsidRPr="008505EA">
              <w:rPr>
                <w:szCs w:val="18"/>
              </w:rPr>
              <w:t>FSANZ Response</w:t>
            </w: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Coral Sea Fishing</w:t>
            </w:r>
          </w:p>
        </w:tc>
        <w:tc>
          <w:tcPr>
            <w:tcW w:w="807" w:type="dxa"/>
          </w:tcPr>
          <w:p w:rsidR="00C258A6" w:rsidRPr="00E26ACD" w:rsidRDefault="00C258A6" w:rsidP="00C258A6">
            <w:pPr>
              <w:pStyle w:val="FSTableText"/>
              <w:rPr>
                <w:sz w:val="18"/>
                <w:szCs w:val="18"/>
              </w:rPr>
            </w:pPr>
            <w:r w:rsidRPr="00E26ACD">
              <w:rPr>
                <w:sz w:val="18"/>
                <w:szCs w:val="18"/>
              </w:rPr>
              <w:t>N/A</w:t>
            </w:r>
          </w:p>
        </w:tc>
        <w:tc>
          <w:tcPr>
            <w:tcW w:w="6484" w:type="dxa"/>
          </w:tcPr>
          <w:p w:rsidR="00C258A6" w:rsidRPr="00E26ACD" w:rsidRDefault="00C258A6" w:rsidP="00C258A6">
            <w:pPr>
              <w:pStyle w:val="FSTableText"/>
              <w:rPr>
                <w:sz w:val="18"/>
                <w:szCs w:val="18"/>
              </w:rPr>
            </w:pPr>
            <w:r w:rsidRPr="00E26ACD">
              <w:rPr>
                <w:sz w:val="18"/>
                <w:szCs w:val="18"/>
              </w:rPr>
              <w:t xml:space="preserve">Clarity is needed regarding generally permitted processing aid carbon monoxide. Is it a food additive or processing aid? </w:t>
            </w:r>
          </w:p>
        </w:tc>
        <w:tc>
          <w:tcPr>
            <w:tcW w:w="5277" w:type="dxa"/>
          </w:tcPr>
          <w:p w:rsidR="00C258A6" w:rsidRPr="00E26ACD" w:rsidRDefault="00C258A6" w:rsidP="001B6617">
            <w:pPr>
              <w:pStyle w:val="FSTableText"/>
              <w:rPr>
                <w:sz w:val="18"/>
                <w:szCs w:val="18"/>
              </w:rPr>
            </w:pPr>
            <w:r w:rsidRPr="00E26ACD">
              <w:rPr>
                <w:sz w:val="18"/>
                <w:szCs w:val="18"/>
              </w:rPr>
              <w:t>This matter was not included in the Assessment Report. As this relates to definitions of additives and processing aids, it is not appropriate to consider under this Proposal.</w:t>
            </w:r>
          </w:p>
        </w:tc>
      </w:tr>
      <w:tr w:rsidR="00C63A84" w:rsidTr="00981869">
        <w:trPr>
          <w:cantSplit/>
        </w:trPr>
        <w:tc>
          <w:tcPr>
            <w:tcW w:w="1606" w:type="dxa"/>
          </w:tcPr>
          <w:p w:rsidR="00C63A84" w:rsidRPr="00E26ACD" w:rsidRDefault="00C63A84" w:rsidP="00C258A6">
            <w:pPr>
              <w:pStyle w:val="FSTableText"/>
              <w:rPr>
                <w:sz w:val="18"/>
                <w:szCs w:val="18"/>
              </w:rPr>
            </w:pPr>
            <w:r w:rsidRPr="00E26ACD">
              <w:rPr>
                <w:sz w:val="18"/>
                <w:szCs w:val="18"/>
              </w:rPr>
              <w:t>J Anderson</w:t>
            </w:r>
          </w:p>
        </w:tc>
        <w:tc>
          <w:tcPr>
            <w:tcW w:w="807" w:type="dxa"/>
          </w:tcPr>
          <w:p w:rsidR="00C63A84" w:rsidRPr="00E26ACD" w:rsidRDefault="00C63A84" w:rsidP="00C258A6">
            <w:pPr>
              <w:pStyle w:val="FSTableText"/>
              <w:rPr>
                <w:sz w:val="18"/>
                <w:szCs w:val="18"/>
              </w:rPr>
            </w:pPr>
          </w:p>
        </w:tc>
        <w:tc>
          <w:tcPr>
            <w:tcW w:w="6484" w:type="dxa"/>
          </w:tcPr>
          <w:p w:rsidR="00C63A84" w:rsidRPr="00E26ACD" w:rsidRDefault="00C63A84" w:rsidP="00C258A6">
            <w:pPr>
              <w:pStyle w:val="FSTableText"/>
              <w:rPr>
                <w:sz w:val="18"/>
                <w:szCs w:val="18"/>
              </w:rPr>
            </w:pPr>
            <w:r w:rsidRPr="00E26ACD">
              <w:rPr>
                <w:sz w:val="18"/>
                <w:szCs w:val="18"/>
              </w:rPr>
              <w:t>Proposes that a book format</w:t>
            </w:r>
            <w:r w:rsidR="00B13430" w:rsidRPr="00E26ACD">
              <w:rPr>
                <w:sz w:val="18"/>
                <w:szCs w:val="18"/>
              </w:rPr>
              <w:t xml:space="preserve"> [for the Code]</w:t>
            </w:r>
            <w:r w:rsidRPr="00E26ACD">
              <w:rPr>
                <w:sz w:val="18"/>
                <w:szCs w:val="18"/>
              </w:rPr>
              <w:t xml:space="preserve"> is much easier to follow and use.</w:t>
            </w:r>
          </w:p>
        </w:tc>
        <w:tc>
          <w:tcPr>
            <w:tcW w:w="5277" w:type="dxa"/>
          </w:tcPr>
          <w:p w:rsidR="00C63A84" w:rsidRPr="00E26ACD" w:rsidRDefault="00D72D62" w:rsidP="00D72D62">
            <w:pPr>
              <w:pStyle w:val="FSTableText"/>
              <w:rPr>
                <w:sz w:val="18"/>
                <w:szCs w:val="18"/>
              </w:rPr>
            </w:pPr>
            <w:r w:rsidRPr="00E26ACD">
              <w:rPr>
                <w:sz w:val="18"/>
                <w:szCs w:val="18"/>
              </w:rPr>
              <w:t>This will be consider</w:t>
            </w:r>
            <w:r w:rsidR="002C0E7D" w:rsidRPr="00E26ACD">
              <w:rPr>
                <w:sz w:val="18"/>
                <w:szCs w:val="18"/>
              </w:rPr>
              <w:t>ed</w:t>
            </w:r>
            <w:r w:rsidRPr="00E26ACD">
              <w:rPr>
                <w:sz w:val="18"/>
                <w:szCs w:val="18"/>
              </w:rPr>
              <w:t xml:space="preserve"> under work associated with the legislative audit of the Code. </w:t>
            </w:r>
          </w:p>
        </w:tc>
      </w:tr>
      <w:tr w:rsidR="00C258A6" w:rsidTr="00981869">
        <w:trPr>
          <w:cantSplit/>
        </w:trPr>
        <w:tc>
          <w:tcPr>
            <w:tcW w:w="1606" w:type="dxa"/>
          </w:tcPr>
          <w:p w:rsidR="00C258A6" w:rsidRPr="00E26ACD" w:rsidRDefault="000D7928" w:rsidP="00C258A6">
            <w:pPr>
              <w:pStyle w:val="FSTableText"/>
              <w:rPr>
                <w:sz w:val="18"/>
                <w:szCs w:val="18"/>
              </w:rPr>
            </w:pPr>
            <w:r w:rsidRPr="00E26ACD">
              <w:rPr>
                <w:sz w:val="18"/>
                <w:szCs w:val="18"/>
              </w:rPr>
              <w:t xml:space="preserve">NZ </w:t>
            </w:r>
            <w:r w:rsidR="00C258A6" w:rsidRPr="00E26ACD">
              <w:rPr>
                <w:sz w:val="18"/>
                <w:szCs w:val="18"/>
              </w:rPr>
              <w:t>Ministry of Agriculture and Forestry</w:t>
            </w:r>
            <w:r w:rsidR="00981869">
              <w:rPr>
                <w:sz w:val="18"/>
                <w:szCs w:val="18"/>
              </w:rPr>
              <w:t xml:space="preserve"> (MAF)</w:t>
            </w:r>
          </w:p>
        </w:tc>
        <w:tc>
          <w:tcPr>
            <w:tcW w:w="807" w:type="dxa"/>
          </w:tcPr>
          <w:p w:rsidR="00C258A6" w:rsidRPr="00E26ACD" w:rsidRDefault="00C258A6" w:rsidP="00C258A6">
            <w:pPr>
              <w:pStyle w:val="FSTableText"/>
              <w:rPr>
                <w:sz w:val="18"/>
                <w:szCs w:val="18"/>
              </w:rPr>
            </w:pPr>
            <w:r w:rsidRPr="00E26ACD">
              <w:rPr>
                <w:sz w:val="18"/>
                <w:szCs w:val="18"/>
              </w:rPr>
              <w:t>N/A</w:t>
            </w:r>
          </w:p>
        </w:tc>
        <w:tc>
          <w:tcPr>
            <w:tcW w:w="6484" w:type="dxa"/>
          </w:tcPr>
          <w:p w:rsidR="00C258A6" w:rsidRPr="00E26ACD" w:rsidRDefault="00C258A6" w:rsidP="00C258A6">
            <w:pPr>
              <w:pStyle w:val="FSTableText"/>
              <w:rPr>
                <w:sz w:val="18"/>
                <w:szCs w:val="18"/>
              </w:rPr>
            </w:pPr>
            <w:r w:rsidRPr="00E26ACD">
              <w:rPr>
                <w:sz w:val="18"/>
                <w:szCs w:val="18"/>
              </w:rPr>
              <w:t>Standard 1.2.8, clause 10 – the title could also be amended, i.e. Food</w:t>
            </w:r>
            <w:r w:rsidRPr="00E26ACD">
              <w:rPr>
                <w:i/>
                <w:sz w:val="18"/>
                <w:szCs w:val="18"/>
              </w:rPr>
              <w:t xml:space="preserve"> intended</w:t>
            </w:r>
            <w:r w:rsidRPr="00E26ACD">
              <w:rPr>
                <w:sz w:val="18"/>
                <w:szCs w:val="18"/>
              </w:rPr>
              <w:t xml:space="preserve"> to be drained before consumption</w:t>
            </w:r>
          </w:p>
        </w:tc>
        <w:tc>
          <w:tcPr>
            <w:tcW w:w="5277" w:type="dxa"/>
          </w:tcPr>
          <w:p w:rsidR="00C258A6" w:rsidRPr="00E26ACD" w:rsidRDefault="00C258A6" w:rsidP="002C0E7D">
            <w:pPr>
              <w:pStyle w:val="FSTableText"/>
              <w:rPr>
                <w:color w:val="00B050"/>
                <w:sz w:val="18"/>
                <w:szCs w:val="18"/>
                <w:lang w:val="en-AU"/>
              </w:rPr>
            </w:pPr>
            <w:r w:rsidRPr="00E26ACD">
              <w:rPr>
                <w:sz w:val="18"/>
                <w:szCs w:val="18"/>
              </w:rPr>
              <w:t xml:space="preserve">Agreed and amendment </w:t>
            </w:r>
            <w:r w:rsidR="002C0E7D" w:rsidRPr="00E26ACD">
              <w:rPr>
                <w:sz w:val="18"/>
                <w:szCs w:val="18"/>
              </w:rPr>
              <w:t>made.</w:t>
            </w:r>
          </w:p>
        </w:tc>
      </w:tr>
      <w:tr w:rsidR="00C258A6" w:rsidTr="00981869">
        <w:trPr>
          <w:cantSplit/>
        </w:trPr>
        <w:tc>
          <w:tcPr>
            <w:tcW w:w="1606" w:type="dxa"/>
          </w:tcPr>
          <w:p w:rsidR="00C258A6" w:rsidRPr="00E26ACD" w:rsidRDefault="000D7928" w:rsidP="00981869">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1B6617" w:rsidP="00C258A6">
            <w:pPr>
              <w:pStyle w:val="FSTableText"/>
              <w:rPr>
                <w:sz w:val="18"/>
                <w:szCs w:val="18"/>
              </w:rPr>
            </w:pPr>
            <w:r w:rsidRPr="00E26ACD">
              <w:rPr>
                <w:sz w:val="18"/>
                <w:szCs w:val="18"/>
              </w:rPr>
              <w:t>N/A</w:t>
            </w:r>
          </w:p>
        </w:tc>
        <w:tc>
          <w:tcPr>
            <w:tcW w:w="6484" w:type="dxa"/>
          </w:tcPr>
          <w:p w:rsidR="00C258A6" w:rsidRPr="00E26ACD" w:rsidRDefault="00C258A6" w:rsidP="00C258A6">
            <w:pPr>
              <w:pStyle w:val="FSTableText"/>
              <w:rPr>
                <w:sz w:val="18"/>
                <w:szCs w:val="18"/>
              </w:rPr>
            </w:pPr>
            <w:r w:rsidRPr="00E26ACD">
              <w:rPr>
                <w:sz w:val="18"/>
                <w:szCs w:val="18"/>
              </w:rPr>
              <w:t xml:space="preserve">Standard 2.9.1, clause 7 and 8. Clause 7(1)(b) infers that the total maximum amount of nucleotide 5’ – monophosphates permitted to be present in infant formula is 1.76 mg/100kJ (0.38 + 0.6 + 0.12 + 0.24 + 0.42mg/100kJ). However in clause 8 it states that infant formula product must contain no more than 3.8 mg /100kJ. MAF would like to know if this needs to be corrected in a future Code Maintenance Proposal or if there is an explanation for these differences in values. </w:t>
            </w:r>
          </w:p>
        </w:tc>
        <w:tc>
          <w:tcPr>
            <w:tcW w:w="5277" w:type="dxa"/>
          </w:tcPr>
          <w:p w:rsidR="00C258A6" w:rsidRPr="00E26ACD" w:rsidRDefault="00C258A6" w:rsidP="00C258A6">
            <w:pPr>
              <w:pStyle w:val="FSTableText"/>
              <w:rPr>
                <w:sz w:val="18"/>
                <w:szCs w:val="18"/>
              </w:rPr>
            </w:pPr>
            <w:r w:rsidRPr="00E26ACD">
              <w:rPr>
                <w:sz w:val="18"/>
                <w:szCs w:val="18"/>
              </w:rPr>
              <w:t>The total of 3.8</w:t>
            </w:r>
            <w:r w:rsidR="002C0E7D" w:rsidRPr="00E26ACD">
              <w:rPr>
                <w:sz w:val="18"/>
                <w:szCs w:val="18"/>
              </w:rPr>
              <w:t xml:space="preserve"> </w:t>
            </w:r>
            <w:r w:rsidRPr="00E26ACD">
              <w:rPr>
                <w:sz w:val="18"/>
                <w:szCs w:val="18"/>
              </w:rPr>
              <w:t>mg/100</w:t>
            </w:r>
            <w:r w:rsidR="002C0E7D" w:rsidRPr="00E26ACD">
              <w:rPr>
                <w:sz w:val="18"/>
                <w:szCs w:val="18"/>
              </w:rPr>
              <w:t xml:space="preserve"> </w:t>
            </w:r>
            <w:r w:rsidRPr="00E26ACD">
              <w:rPr>
                <w:sz w:val="18"/>
                <w:szCs w:val="18"/>
              </w:rPr>
              <w:t>kJ is to allow for naturally occurring nucleotides</w:t>
            </w:r>
            <w:r w:rsidR="00ED6BA4" w:rsidRPr="00E26ACD">
              <w:rPr>
                <w:sz w:val="18"/>
                <w:szCs w:val="18"/>
              </w:rPr>
              <w:t xml:space="preserve"> in addition to any permitted added nucleotides</w:t>
            </w:r>
            <w:r w:rsidRPr="00E26ACD">
              <w:rPr>
                <w:sz w:val="18"/>
                <w:szCs w:val="18"/>
              </w:rPr>
              <w:t>.</w:t>
            </w:r>
          </w:p>
          <w:p w:rsidR="00C258A6" w:rsidRPr="00E26ACD" w:rsidRDefault="00C258A6" w:rsidP="00ED6BA4">
            <w:pPr>
              <w:pStyle w:val="FSTableText"/>
              <w:rPr>
                <w:sz w:val="18"/>
                <w:szCs w:val="18"/>
              </w:rPr>
            </w:pPr>
            <w:r w:rsidRPr="00E26ACD">
              <w:rPr>
                <w:sz w:val="18"/>
                <w:szCs w:val="18"/>
              </w:rPr>
              <w:t xml:space="preserve">If changes to wording of </w:t>
            </w:r>
            <w:r w:rsidR="002C0E7D" w:rsidRPr="00E26ACD">
              <w:rPr>
                <w:sz w:val="18"/>
                <w:szCs w:val="18"/>
              </w:rPr>
              <w:t xml:space="preserve">paragraphs </w:t>
            </w:r>
            <w:r w:rsidRPr="00E26ACD">
              <w:rPr>
                <w:sz w:val="18"/>
                <w:szCs w:val="18"/>
              </w:rPr>
              <w:t xml:space="preserve">7(1)(b) or 8 are required for clarity this </w:t>
            </w:r>
            <w:r w:rsidR="00ED6BA4" w:rsidRPr="00E26ACD">
              <w:rPr>
                <w:sz w:val="18"/>
                <w:szCs w:val="18"/>
              </w:rPr>
              <w:t>will be considered as part of a</w:t>
            </w:r>
            <w:r w:rsidRPr="00E26ACD">
              <w:rPr>
                <w:sz w:val="18"/>
                <w:szCs w:val="18"/>
              </w:rPr>
              <w:t xml:space="preserve"> future </w:t>
            </w:r>
            <w:r w:rsidR="00ED6BA4" w:rsidRPr="00E26ACD">
              <w:rPr>
                <w:sz w:val="18"/>
                <w:szCs w:val="18"/>
              </w:rPr>
              <w:t>review of the infant formula standard</w:t>
            </w:r>
            <w:r w:rsidRPr="00E26ACD">
              <w:rPr>
                <w:sz w:val="18"/>
                <w:szCs w:val="18"/>
              </w:rPr>
              <w:t>.</w:t>
            </w: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SA Health</w:t>
            </w:r>
          </w:p>
        </w:tc>
        <w:tc>
          <w:tcPr>
            <w:tcW w:w="807" w:type="dxa"/>
          </w:tcPr>
          <w:p w:rsidR="00C258A6" w:rsidRPr="00E26ACD" w:rsidRDefault="00DB5969" w:rsidP="00C258A6">
            <w:pPr>
              <w:pStyle w:val="FSTableText"/>
              <w:rPr>
                <w:sz w:val="18"/>
                <w:szCs w:val="18"/>
              </w:rPr>
            </w:pPr>
            <w:r w:rsidRPr="00E26ACD">
              <w:rPr>
                <w:sz w:val="18"/>
                <w:szCs w:val="18"/>
              </w:rPr>
              <w:t>N/A</w:t>
            </w:r>
          </w:p>
        </w:tc>
        <w:tc>
          <w:tcPr>
            <w:tcW w:w="6484" w:type="dxa"/>
          </w:tcPr>
          <w:p w:rsidR="00C258A6" w:rsidRPr="00E26ACD" w:rsidRDefault="00C258A6" w:rsidP="008D1B64">
            <w:pPr>
              <w:pStyle w:val="FSTableText"/>
              <w:rPr>
                <w:sz w:val="18"/>
                <w:szCs w:val="18"/>
              </w:rPr>
            </w:pPr>
            <w:r w:rsidRPr="00E26ACD">
              <w:rPr>
                <w:sz w:val="18"/>
                <w:szCs w:val="18"/>
              </w:rPr>
              <w:t>Consider there has not been sufficient consultation with jurisdictions on implementation of the legislative audit and therefore it is premature to mak</w:t>
            </w:r>
            <w:r w:rsidR="000D7928" w:rsidRPr="00E26ACD">
              <w:rPr>
                <w:sz w:val="18"/>
                <w:szCs w:val="18"/>
              </w:rPr>
              <w:t>e</w:t>
            </w:r>
            <w:r w:rsidRPr="00E26ACD">
              <w:rPr>
                <w:sz w:val="18"/>
                <w:szCs w:val="18"/>
              </w:rPr>
              <w:t xml:space="preserve"> amendments to the Code, in particular removal of cross referencing. </w:t>
            </w:r>
            <w:r w:rsidR="008D1B64" w:rsidRPr="00E26ACD">
              <w:rPr>
                <w:sz w:val="18"/>
                <w:szCs w:val="18"/>
              </w:rPr>
              <w:t>Cites</w:t>
            </w:r>
            <w:r w:rsidRPr="00E26ACD">
              <w:rPr>
                <w:sz w:val="18"/>
                <w:szCs w:val="18"/>
              </w:rPr>
              <w:t xml:space="preserve"> cross references related to issues 87, 93, 99, 114, 115, 120 and 143 and suggests that these should be retained as they are useful from a regulatory perspective. </w:t>
            </w:r>
          </w:p>
        </w:tc>
        <w:tc>
          <w:tcPr>
            <w:tcW w:w="5277" w:type="dxa"/>
          </w:tcPr>
          <w:p w:rsidR="00C258A6" w:rsidRPr="00E26ACD" w:rsidRDefault="00210493" w:rsidP="00210493">
            <w:pPr>
              <w:pStyle w:val="FSTableText"/>
              <w:rPr>
                <w:sz w:val="18"/>
                <w:szCs w:val="18"/>
              </w:rPr>
            </w:pPr>
            <w:r w:rsidRPr="00E26ACD">
              <w:rPr>
                <w:sz w:val="18"/>
                <w:szCs w:val="18"/>
              </w:rPr>
              <w:t>FSANZ agrees that cross references could be reviewed in a more systematic manner under a future project. These cross references have therefore not been removed from the Code. For i</w:t>
            </w:r>
            <w:r w:rsidR="003F02F6" w:rsidRPr="00E26ACD">
              <w:rPr>
                <w:sz w:val="18"/>
                <w:szCs w:val="18"/>
              </w:rPr>
              <w:t>ssue 99</w:t>
            </w:r>
            <w:r w:rsidRPr="00E26ACD">
              <w:rPr>
                <w:sz w:val="18"/>
                <w:szCs w:val="18"/>
              </w:rPr>
              <w:t xml:space="preserve">, </w:t>
            </w:r>
            <w:r w:rsidR="003F02F6" w:rsidRPr="00E26ACD">
              <w:rPr>
                <w:sz w:val="18"/>
                <w:szCs w:val="18"/>
              </w:rPr>
              <w:t xml:space="preserve">the reference to processing requirements in Australia that is currently in the Purpose, has been moved </w:t>
            </w:r>
            <w:r w:rsidRPr="00E26ACD">
              <w:rPr>
                <w:sz w:val="18"/>
                <w:szCs w:val="18"/>
              </w:rPr>
              <w:t>in</w:t>
            </w:r>
            <w:r w:rsidR="003F02F6" w:rsidRPr="00E26ACD">
              <w:rPr>
                <w:sz w:val="18"/>
                <w:szCs w:val="18"/>
              </w:rPr>
              <w:t>to an Editorial note</w:t>
            </w:r>
            <w:r w:rsidRPr="00E26ACD">
              <w:rPr>
                <w:sz w:val="18"/>
                <w:szCs w:val="18"/>
              </w:rPr>
              <w:t>.</w:t>
            </w: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Victorian Department of Health</w:t>
            </w:r>
            <w:r w:rsidR="00981869">
              <w:rPr>
                <w:sz w:val="18"/>
                <w:szCs w:val="18"/>
              </w:rPr>
              <w:t xml:space="preserve"> (Vic Health)</w:t>
            </w:r>
          </w:p>
        </w:tc>
        <w:tc>
          <w:tcPr>
            <w:tcW w:w="807" w:type="dxa"/>
          </w:tcPr>
          <w:p w:rsidR="00C258A6" w:rsidRPr="00E26ACD" w:rsidRDefault="00DB5969" w:rsidP="00C258A6">
            <w:pPr>
              <w:pStyle w:val="FSTableText"/>
              <w:rPr>
                <w:sz w:val="18"/>
                <w:szCs w:val="18"/>
              </w:rPr>
            </w:pPr>
            <w:r w:rsidRPr="00E26ACD">
              <w:rPr>
                <w:sz w:val="18"/>
                <w:szCs w:val="18"/>
              </w:rPr>
              <w:t>N/A</w:t>
            </w:r>
          </w:p>
        </w:tc>
        <w:tc>
          <w:tcPr>
            <w:tcW w:w="6484" w:type="dxa"/>
          </w:tcPr>
          <w:p w:rsidR="00C258A6" w:rsidRPr="00E26ACD" w:rsidRDefault="00C258A6" w:rsidP="00C258A6">
            <w:pPr>
              <w:pStyle w:val="FSTableText"/>
              <w:rPr>
                <w:sz w:val="18"/>
                <w:szCs w:val="18"/>
              </w:rPr>
            </w:pPr>
            <w:r w:rsidRPr="00E26ACD">
              <w:rPr>
                <w:sz w:val="18"/>
                <w:szCs w:val="18"/>
              </w:rPr>
              <w:t xml:space="preserve">Proposed solution to redraft ‘and/or’ expressions in the 32 instances identified is supported however the redrafting is inconsistent, question whether the intent is captured. </w:t>
            </w:r>
          </w:p>
        </w:tc>
        <w:tc>
          <w:tcPr>
            <w:tcW w:w="5277" w:type="dxa"/>
          </w:tcPr>
          <w:p w:rsidR="00C258A6" w:rsidRPr="00E26ACD" w:rsidRDefault="00C258A6" w:rsidP="00C60AA5">
            <w:pPr>
              <w:pStyle w:val="FSTableText"/>
              <w:rPr>
                <w:sz w:val="18"/>
                <w:szCs w:val="18"/>
              </w:rPr>
            </w:pPr>
            <w:r w:rsidRPr="00E26ACD">
              <w:rPr>
                <w:sz w:val="18"/>
                <w:szCs w:val="18"/>
              </w:rPr>
              <w:t xml:space="preserve">FSANZ has reviewed the drafting proposed to remove the ‘and/or’ expression and has made some amendments as outlined in this Report. </w:t>
            </w:r>
          </w:p>
        </w:tc>
      </w:tr>
      <w:tr w:rsidR="00C258A6" w:rsidTr="00981869">
        <w:trPr>
          <w:cantSplit/>
        </w:trPr>
        <w:tc>
          <w:tcPr>
            <w:tcW w:w="1606" w:type="dxa"/>
          </w:tcPr>
          <w:p w:rsidR="00C258A6" w:rsidRPr="00E26ACD" w:rsidRDefault="00981869" w:rsidP="00C258A6">
            <w:pPr>
              <w:pStyle w:val="FSTableText"/>
              <w:rPr>
                <w:sz w:val="18"/>
                <w:szCs w:val="18"/>
              </w:rPr>
            </w:pPr>
            <w:r>
              <w:rPr>
                <w:sz w:val="18"/>
                <w:szCs w:val="18"/>
              </w:rPr>
              <w:t>Vic Health</w:t>
            </w:r>
          </w:p>
        </w:tc>
        <w:tc>
          <w:tcPr>
            <w:tcW w:w="807" w:type="dxa"/>
          </w:tcPr>
          <w:p w:rsidR="00C258A6" w:rsidRPr="00E26ACD" w:rsidRDefault="00DB5969" w:rsidP="00C258A6">
            <w:pPr>
              <w:pStyle w:val="FSTableText"/>
              <w:rPr>
                <w:sz w:val="18"/>
                <w:szCs w:val="18"/>
              </w:rPr>
            </w:pPr>
            <w:r w:rsidRPr="00E26ACD">
              <w:rPr>
                <w:sz w:val="18"/>
                <w:szCs w:val="18"/>
              </w:rPr>
              <w:t>N/A</w:t>
            </w:r>
          </w:p>
        </w:tc>
        <w:tc>
          <w:tcPr>
            <w:tcW w:w="6484" w:type="dxa"/>
          </w:tcPr>
          <w:p w:rsidR="00C258A6" w:rsidRPr="00E26ACD" w:rsidRDefault="00C258A6" w:rsidP="00C258A6">
            <w:pPr>
              <w:pStyle w:val="FSTableText"/>
              <w:rPr>
                <w:sz w:val="18"/>
                <w:szCs w:val="18"/>
              </w:rPr>
            </w:pPr>
            <w:r w:rsidRPr="00E26ACD">
              <w:rPr>
                <w:sz w:val="18"/>
                <w:szCs w:val="18"/>
              </w:rPr>
              <w:t xml:space="preserve">Suggest some aspects included in this Proposal are best excluded, so that the Proposal can be </w:t>
            </w:r>
            <w:r w:rsidR="008D1B64" w:rsidRPr="00E26ACD">
              <w:rPr>
                <w:sz w:val="18"/>
                <w:szCs w:val="18"/>
              </w:rPr>
              <w:t xml:space="preserve">confined </w:t>
            </w:r>
            <w:r w:rsidRPr="00E26ACD">
              <w:rPr>
                <w:sz w:val="18"/>
                <w:szCs w:val="18"/>
              </w:rPr>
              <w:t xml:space="preserve">to housekeeping measures. </w:t>
            </w:r>
          </w:p>
          <w:p w:rsidR="00C258A6" w:rsidRPr="00E26ACD" w:rsidRDefault="00C258A6" w:rsidP="00C258A6">
            <w:pPr>
              <w:pStyle w:val="FSTableText"/>
              <w:rPr>
                <w:sz w:val="18"/>
                <w:szCs w:val="18"/>
              </w:rPr>
            </w:pPr>
            <w:r w:rsidRPr="00E26ACD">
              <w:rPr>
                <w:sz w:val="18"/>
                <w:szCs w:val="18"/>
              </w:rPr>
              <w:t xml:space="preserve">In the absence of any immediate enforcement problems, prefer that the following issues be prioritised and dealt with systematically and consistently by the Code audit working group: </w:t>
            </w:r>
          </w:p>
          <w:p w:rsidR="00C258A6" w:rsidRPr="00E26ACD" w:rsidRDefault="00C258A6" w:rsidP="00E64CEF">
            <w:pPr>
              <w:pStyle w:val="FSTableText"/>
              <w:numPr>
                <w:ilvl w:val="0"/>
                <w:numId w:val="6"/>
              </w:numPr>
              <w:rPr>
                <w:sz w:val="18"/>
                <w:szCs w:val="18"/>
              </w:rPr>
            </w:pPr>
            <w:r w:rsidRPr="00E26ACD">
              <w:rPr>
                <w:sz w:val="18"/>
                <w:szCs w:val="18"/>
              </w:rPr>
              <w:t>Definitions</w:t>
            </w:r>
          </w:p>
          <w:p w:rsidR="00C258A6" w:rsidRPr="00E26ACD" w:rsidRDefault="00C258A6" w:rsidP="00E64CEF">
            <w:pPr>
              <w:pStyle w:val="FSTableText"/>
              <w:numPr>
                <w:ilvl w:val="0"/>
                <w:numId w:val="6"/>
              </w:numPr>
              <w:rPr>
                <w:sz w:val="18"/>
                <w:szCs w:val="18"/>
              </w:rPr>
            </w:pPr>
            <w:r w:rsidRPr="00E26ACD">
              <w:rPr>
                <w:sz w:val="18"/>
                <w:szCs w:val="18"/>
              </w:rPr>
              <w:t>Treatment of compositional requirements</w:t>
            </w:r>
          </w:p>
          <w:p w:rsidR="00C258A6" w:rsidRPr="00E26ACD" w:rsidRDefault="00C258A6" w:rsidP="00E64CEF">
            <w:pPr>
              <w:pStyle w:val="FSTableText"/>
              <w:numPr>
                <w:ilvl w:val="0"/>
                <w:numId w:val="6"/>
              </w:numPr>
              <w:rPr>
                <w:sz w:val="18"/>
                <w:szCs w:val="18"/>
              </w:rPr>
            </w:pPr>
            <w:r w:rsidRPr="00E26ACD">
              <w:rPr>
                <w:sz w:val="18"/>
                <w:szCs w:val="18"/>
              </w:rPr>
              <w:t>Treatment of references to external documents (except removal of redundant references)</w:t>
            </w:r>
          </w:p>
          <w:p w:rsidR="00C258A6" w:rsidRPr="00E26ACD" w:rsidRDefault="00C258A6" w:rsidP="00E64CEF">
            <w:pPr>
              <w:pStyle w:val="FSTableText"/>
              <w:numPr>
                <w:ilvl w:val="0"/>
                <w:numId w:val="6"/>
              </w:numPr>
              <w:rPr>
                <w:sz w:val="18"/>
                <w:szCs w:val="18"/>
              </w:rPr>
            </w:pPr>
            <w:r w:rsidRPr="00E26ACD">
              <w:rPr>
                <w:sz w:val="18"/>
                <w:szCs w:val="18"/>
              </w:rPr>
              <w:t>Clarification as to whom has obligations to comply with the Code</w:t>
            </w:r>
          </w:p>
          <w:p w:rsidR="00C258A6" w:rsidRPr="00E26ACD" w:rsidRDefault="00C258A6" w:rsidP="00E64CEF">
            <w:pPr>
              <w:pStyle w:val="FSTableText"/>
              <w:numPr>
                <w:ilvl w:val="0"/>
                <w:numId w:val="6"/>
              </w:numPr>
              <w:rPr>
                <w:sz w:val="18"/>
                <w:szCs w:val="18"/>
              </w:rPr>
            </w:pPr>
            <w:r w:rsidRPr="00E26ACD">
              <w:rPr>
                <w:sz w:val="18"/>
                <w:szCs w:val="18"/>
              </w:rPr>
              <w:t>Cross referencing of standards</w:t>
            </w:r>
          </w:p>
          <w:p w:rsidR="00C258A6" w:rsidRPr="00E26ACD" w:rsidRDefault="00C258A6" w:rsidP="00E64CEF">
            <w:pPr>
              <w:pStyle w:val="FSTableText"/>
              <w:numPr>
                <w:ilvl w:val="0"/>
                <w:numId w:val="6"/>
              </w:numPr>
              <w:rPr>
                <w:sz w:val="18"/>
                <w:szCs w:val="18"/>
              </w:rPr>
            </w:pPr>
            <w:r w:rsidRPr="00E26ACD">
              <w:rPr>
                <w:sz w:val="18"/>
                <w:szCs w:val="18"/>
              </w:rPr>
              <w:t>Purpose, Application, Interpretation and Editorial Note sections (including rationale for inclusion)</w:t>
            </w:r>
          </w:p>
        </w:tc>
        <w:tc>
          <w:tcPr>
            <w:tcW w:w="5277" w:type="dxa"/>
          </w:tcPr>
          <w:p w:rsidR="00210493" w:rsidRPr="00E26ACD" w:rsidRDefault="00210493" w:rsidP="00210493">
            <w:pPr>
              <w:pStyle w:val="FSTableText"/>
              <w:rPr>
                <w:sz w:val="18"/>
                <w:szCs w:val="18"/>
              </w:rPr>
            </w:pPr>
            <w:r w:rsidRPr="00E26ACD">
              <w:rPr>
                <w:sz w:val="18"/>
                <w:szCs w:val="18"/>
              </w:rPr>
              <w:t>FSANZ has committ</w:t>
            </w:r>
            <w:r w:rsidR="002564D5" w:rsidRPr="00E26ACD">
              <w:rPr>
                <w:sz w:val="18"/>
                <w:szCs w:val="18"/>
              </w:rPr>
              <w:t>ed to considering smaller Code a</w:t>
            </w:r>
            <w:r w:rsidRPr="00E26ACD">
              <w:rPr>
                <w:sz w:val="18"/>
                <w:szCs w:val="18"/>
              </w:rPr>
              <w:t xml:space="preserve">udit issues together in omnibus-type proposals and addressing larger more complex issues </w:t>
            </w:r>
            <w:r w:rsidR="002564D5" w:rsidRPr="00E26ACD">
              <w:rPr>
                <w:sz w:val="18"/>
                <w:szCs w:val="18"/>
              </w:rPr>
              <w:t xml:space="preserve">separately in major projects. </w:t>
            </w:r>
            <w:r w:rsidRPr="00E26ACD">
              <w:rPr>
                <w:sz w:val="18"/>
                <w:szCs w:val="18"/>
              </w:rPr>
              <w:t>In order to implement t</w:t>
            </w:r>
            <w:r w:rsidR="002564D5" w:rsidRPr="00E26ACD">
              <w:rPr>
                <w:sz w:val="18"/>
                <w:szCs w:val="18"/>
              </w:rPr>
              <w:t>he recommendations of the Code a</w:t>
            </w:r>
            <w:r w:rsidRPr="00E26ACD">
              <w:rPr>
                <w:sz w:val="18"/>
                <w:szCs w:val="18"/>
              </w:rPr>
              <w:t>udit in a timely manner, it was decided that FSANZ would progress the smaller issues which are of a housekeeping nature in code maintenance proposals wherever possible</w:t>
            </w:r>
            <w:r w:rsidR="00F27018" w:rsidRPr="00E26ACD">
              <w:rPr>
                <w:sz w:val="18"/>
                <w:szCs w:val="18"/>
              </w:rPr>
              <w:t>.</w:t>
            </w:r>
            <w:r w:rsidR="00F27018" w:rsidRPr="00E26ACD" w:rsidDel="00F27018">
              <w:rPr>
                <w:sz w:val="18"/>
                <w:szCs w:val="18"/>
              </w:rPr>
              <w:t xml:space="preserve"> </w:t>
            </w:r>
            <w:r w:rsidRPr="00E26ACD">
              <w:rPr>
                <w:sz w:val="18"/>
                <w:szCs w:val="18"/>
              </w:rPr>
              <w:t>The larger issues to be considered in major projects at a later time are:</w:t>
            </w:r>
          </w:p>
          <w:p w:rsidR="00210493" w:rsidRPr="00E26ACD" w:rsidRDefault="00210493" w:rsidP="00FB34CC">
            <w:pPr>
              <w:pStyle w:val="FSTableText"/>
              <w:numPr>
                <w:ilvl w:val="0"/>
                <w:numId w:val="14"/>
              </w:numPr>
              <w:rPr>
                <w:sz w:val="18"/>
                <w:szCs w:val="18"/>
              </w:rPr>
            </w:pPr>
            <w:r w:rsidRPr="00E26ACD">
              <w:rPr>
                <w:sz w:val="18"/>
                <w:szCs w:val="18"/>
              </w:rPr>
              <w:t>Review of nutritive substances</w:t>
            </w:r>
          </w:p>
          <w:p w:rsidR="00210493" w:rsidRPr="00E26ACD" w:rsidRDefault="00210493" w:rsidP="00FB34CC">
            <w:pPr>
              <w:pStyle w:val="FSTableText"/>
              <w:numPr>
                <w:ilvl w:val="0"/>
                <w:numId w:val="14"/>
              </w:numPr>
              <w:rPr>
                <w:sz w:val="18"/>
                <w:szCs w:val="18"/>
              </w:rPr>
            </w:pPr>
            <w:r w:rsidRPr="00E26ACD">
              <w:rPr>
                <w:sz w:val="18"/>
                <w:szCs w:val="18"/>
              </w:rPr>
              <w:t>Review of novel foods</w:t>
            </w:r>
          </w:p>
          <w:p w:rsidR="00210493" w:rsidRPr="00E26ACD" w:rsidRDefault="00210493" w:rsidP="00FB34CC">
            <w:pPr>
              <w:pStyle w:val="FSTableText"/>
              <w:numPr>
                <w:ilvl w:val="0"/>
                <w:numId w:val="14"/>
              </w:numPr>
              <w:rPr>
                <w:sz w:val="18"/>
                <w:szCs w:val="18"/>
              </w:rPr>
            </w:pPr>
            <w:r w:rsidRPr="00E26ACD">
              <w:rPr>
                <w:sz w:val="18"/>
                <w:szCs w:val="18"/>
              </w:rPr>
              <w:t>Review of definitions and interpretation</w:t>
            </w:r>
          </w:p>
          <w:p w:rsidR="00210493" w:rsidRPr="00E26ACD" w:rsidRDefault="00210493" w:rsidP="00FB34CC">
            <w:pPr>
              <w:pStyle w:val="FSTableText"/>
              <w:numPr>
                <w:ilvl w:val="0"/>
                <w:numId w:val="14"/>
              </w:numPr>
              <w:rPr>
                <w:sz w:val="18"/>
                <w:szCs w:val="18"/>
              </w:rPr>
            </w:pPr>
            <w:r w:rsidRPr="00E26ACD">
              <w:rPr>
                <w:sz w:val="18"/>
                <w:szCs w:val="18"/>
              </w:rPr>
              <w:t>Review processing aids and food additives</w:t>
            </w:r>
          </w:p>
          <w:p w:rsidR="00C258A6" w:rsidRPr="00E26ACD" w:rsidRDefault="00210493" w:rsidP="00FB34CC">
            <w:pPr>
              <w:pStyle w:val="FSTableText"/>
              <w:numPr>
                <w:ilvl w:val="0"/>
                <w:numId w:val="14"/>
              </w:numPr>
              <w:rPr>
                <w:sz w:val="18"/>
                <w:szCs w:val="18"/>
              </w:rPr>
            </w:pPr>
            <w:r w:rsidRPr="00E26ACD">
              <w:rPr>
                <w:sz w:val="18"/>
                <w:szCs w:val="18"/>
              </w:rPr>
              <w:t>Review of labelling standard</w:t>
            </w:r>
          </w:p>
        </w:tc>
      </w:tr>
      <w:tr w:rsidR="00C258A6" w:rsidTr="00981869">
        <w:trPr>
          <w:cantSplit/>
        </w:trPr>
        <w:tc>
          <w:tcPr>
            <w:tcW w:w="1606" w:type="dxa"/>
          </w:tcPr>
          <w:p w:rsidR="00C258A6" w:rsidRPr="00E26ACD" w:rsidRDefault="00C258A6" w:rsidP="00760AD7">
            <w:pPr>
              <w:pStyle w:val="FSTableText"/>
              <w:rPr>
                <w:sz w:val="18"/>
                <w:szCs w:val="18"/>
              </w:rPr>
            </w:pPr>
            <w:r w:rsidRPr="00E26ACD">
              <w:rPr>
                <w:sz w:val="18"/>
                <w:szCs w:val="18"/>
              </w:rPr>
              <w:lastRenderedPageBreak/>
              <w:t xml:space="preserve">Queensland </w:t>
            </w:r>
            <w:r w:rsidR="00760AD7">
              <w:rPr>
                <w:sz w:val="18"/>
                <w:szCs w:val="18"/>
              </w:rPr>
              <w:t>Health (Qld Health)</w:t>
            </w:r>
          </w:p>
        </w:tc>
        <w:tc>
          <w:tcPr>
            <w:tcW w:w="807" w:type="dxa"/>
          </w:tcPr>
          <w:p w:rsidR="00C258A6" w:rsidRPr="00E26ACD" w:rsidRDefault="00C258A6" w:rsidP="00C258A6">
            <w:pPr>
              <w:pStyle w:val="FSTableText"/>
              <w:rPr>
                <w:sz w:val="18"/>
                <w:szCs w:val="18"/>
              </w:rPr>
            </w:pPr>
            <w:r w:rsidRPr="00E26ACD">
              <w:rPr>
                <w:sz w:val="18"/>
                <w:szCs w:val="18"/>
              </w:rPr>
              <w:t>5</w:t>
            </w:r>
          </w:p>
        </w:tc>
        <w:tc>
          <w:tcPr>
            <w:tcW w:w="6484" w:type="dxa"/>
          </w:tcPr>
          <w:p w:rsidR="00C258A6" w:rsidRPr="00E26ACD" w:rsidRDefault="00C258A6" w:rsidP="00C258A6">
            <w:pPr>
              <w:pStyle w:val="FSTableText"/>
              <w:rPr>
                <w:sz w:val="18"/>
                <w:szCs w:val="18"/>
              </w:rPr>
            </w:pPr>
            <w:r w:rsidRPr="00E26ACD">
              <w:rPr>
                <w:sz w:val="18"/>
                <w:szCs w:val="18"/>
              </w:rPr>
              <w:t>Standard 3.2.1 clause 6 relates to ‘</w:t>
            </w:r>
            <w:r w:rsidRPr="00E26ACD">
              <w:rPr>
                <w:sz w:val="18"/>
                <w:szCs w:val="18"/>
                <w:u w:val="single"/>
              </w:rPr>
              <w:t>Fund raising</w:t>
            </w:r>
            <w:r w:rsidRPr="00E26ACD">
              <w:rPr>
                <w:sz w:val="18"/>
                <w:szCs w:val="18"/>
              </w:rPr>
              <w:t xml:space="preserve"> events’ however the proposed substitution refers to ‘a </w:t>
            </w:r>
            <w:r w:rsidRPr="00E26ACD">
              <w:rPr>
                <w:sz w:val="18"/>
                <w:szCs w:val="18"/>
                <w:u w:val="single"/>
              </w:rPr>
              <w:t>fundraising</w:t>
            </w:r>
            <w:r w:rsidRPr="00E26ACD">
              <w:rPr>
                <w:sz w:val="18"/>
                <w:szCs w:val="18"/>
              </w:rPr>
              <w:t xml:space="preserve"> event’. </w:t>
            </w:r>
          </w:p>
        </w:tc>
        <w:tc>
          <w:tcPr>
            <w:tcW w:w="5277" w:type="dxa"/>
          </w:tcPr>
          <w:p w:rsidR="00C258A6" w:rsidRPr="00E26ACD" w:rsidRDefault="00C258A6" w:rsidP="00C258A6">
            <w:pPr>
              <w:pStyle w:val="FSTableText"/>
              <w:rPr>
                <w:sz w:val="18"/>
                <w:szCs w:val="18"/>
              </w:rPr>
            </w:pPr>
            <w:r w:rsidRPr="00E26ACD">
              <w:rPr>
                <w:sz w:val="18"/>
                <w:szCs w:val="18"/>
              </w:rPr>
              <w:t>Agree – extra space removed.</w:t>
            </w:r>
            <w:r w:rsidRPr="00E26ACD">
              <w:rPr>
                <w:color w:val="FF0000"/>
                <w:sz w:val="18"/>
                <w:szCs w:val="18"/>
              </w:rPr>
              <w:t xml:space="preserve"> </w:t>
            </w:r>
          </w:p>
        </w:tc>
      </w:tr>
      <w:tr w:rsidR="00C258A6" w:rsidTr="00981869">
        <w:trPr>
          <w:cantSplit/>
        </w:trPr>
        <w:tc>
          <w:tcPr>
            <w:tcW w:w="1606" w:type="dxa"/>
          </w:tcPr>
          <w:p w:rsidR="00C258A6" w:rsidRPr="00E26ACD" w:rsidRDefault="008D1B64"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18</w:t>
            </w:r>
          </w:p>
        </w:tc>
        <w:tc>
          <w:tcPr>
            <w:tcW w:w="6484" w:type="dxa"/>
          </w:tcPr>
          <w:p w:rsidR="00C258A6" w:rsidRPr="00E26ACD" w:rsidRDefault="00C258A6" w:rsidP="00C258A6">
            <w:pPr>
              <w:pStyle w:val="FSTableText"/>
              <w:rPr>
                <w:sz w:val="18"/>
                <w:szCs w:val="18"/>
              </w:rPr>
            </w:pPr>
            <w:r w:rsidRPr="00E26ACD">
              <w:rPr>
                <w:sz w:val="18"/>
                <w:szCs w:val="18"/>
              </w:rPr>
              <w:t xml:space="preserve">[5.4] Cocos nucifera should be in italics. </w:t>
            </w:r>
          </w:p>
        </w:tc>
        <w:tc>
          <w:tcPr>
            <w:tcW w:w="5277" w:type="dxa"/>
          </w:tcPr>
          <w:p w:rsidR="00C258A6" w:rsidRPr="00E26ACD" w:rsidRDefault="00C258A6" w:rsidP="00C258A6">
            <w:pPr>
              <w:pStyle w:val="FSTableText"/>
              <w:rPr>
                <w:sz w:val="18"/>
                <w:szCs w:val="18"/>
              </w:rPr>
            </w:pPr>
            <w:r w:rsidRPr="00E26ACD">
              <w:rPr>
                <w:sz w:val="18"/>
                <w:szCs w:val="18"/>
              </w:rPr>
              <w:t>Agree – Cocos nucifera in Table to clause 4 of Standard 1.2.3, put back into italics.</w:t>
            </w:r>
          </w:p>
        </w:tc>
      </w:tr>
      <w:tr w:rsidR="00C258A6" w:rsidTr="00981869">
        <w:trPr>
          <w:cantSplit/>
        </w:trPr>
        <w:tc>
          <w:tcPr>
            <w:tcW w:w="1606" w:type="dxa"/>
          </w:tcPr>
          <w:p w:rsidR="00C258A6" w:rsidRPr="00E26ACD" w:rsidRDefault="008D1B64"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22</w:t>
            </w:r>
          </w:p>
        </w:tc>
        <w:tc>
          <w:tcPr>
            <w:tcW w:w="6484" w:type="dxa"/>
          </w:tcPr>
          <w:p w:rsidR="00C258A6" w:rsidRPr="00E26ACD" w:rsidRDefault="00C258A6" w:rsidP="00C258A6">
            <w:pPr>
              <w:pStyle w:val="FSTableText"/>
              <w:rPr>
                <w:sz w:val="18"/>
                <w:szCs w:val="18"/>
              </w:rPr>
            </w:pPr>
            <w:r w:rsidRPr="00E26ACD">
              <w:rPr>
                <w:sz w:val="18"/>
                <w:szCs w:val="18"/>
              </w:rPr>
              <w:t xml:space="preserve">[6.4] Agree with intent of the change. </w:t>
            </w:r>
          </w:p>
          <w:p w:rsidR="00C258A6" w:rsidRPr="00E26ACD" w:rsidRDefault="00C258A6" w:rsidP="00C258A6">
            <w:pPr>
              <w:pStyle w:val="FSTableText"/>
              <w:rPr>
                <w:sz w:val="18"/>
                <w:szCs w:val="18"/>
              </w:rPr>
            </w:pPr>
            <w:r w:rsidRPr="00E26ACD">
              <w:rPr>
                <w:sz w:val="18"/>
                <w:szCs w:val="18"/>
              </w:rPr>
              <w:t xml:space="preserve">Provisions in the Table to clause 6 also apply to clause 6(1)(b). </w:t>
            </w:r>
          </w:p>
          <w:p w:rsidR="00A8446A" w:rsidRPr="00E26ACD" w:rsidRDefault="00A8446A" w:rsidP="00C258A6">
            <w:pPr>
              <w:pStyle w:val="FSTableText"/>
              <w:rPr>
                <w:sz w:val="18"/>
                <w:szCs w:val="18"/>
              </w:rPr>
            </w:pPr>
          </w:p>
          <w:p w:rsidR="00A8446A" w:rsidRPr="00E26ACD" w:rsidRDefault="00A8446A" w:rsidP="00C258A6">
            <w:pPr>
              <w:pStyle w:val="FSTableText"/>
              <w:rPr>
                <w:sz w:val="18"/>
                <w:szCs w:val="18"/>
              </w:rPr>
            </w:pPr>
          </w:p>
          <w:p w:rsidR="00C258A6" w:rsidRPr="00E26ACD" w:rsidRDefault="00C258A6" w:rsidP="00C258A6">
            <w:pPr>
              <w:pStyle w:val="FSTableText"/>
              <w:rPr>
                <w:sz w:val="18"/>
                <w:szCs w:val="18"/>
              </w:rPr>
            </w:pPr>
            <w:r w:rsidRPr="00E26ACD">
              <w:rPr>
                <w:sz w:val="18"/>
                <w:szCs w:val="18"/>
              </w:rPr>
              <w:t>The inclusion of meat in the editorial note is not helpful. Sugge</w:t>
            </w:r>
            <w:r w:rsidR="00981869">
              <w:rPr>
                <w:sz w:val="18"/>
                <w:szCs w:val="18"/>
              </w:rPr>
              <w:t>st meat is replaced by a tomato-</w:t>
            </w:r>
            <w:r w:rsidRPr="00E26ACD">
              <w:rPr>
                <w:sz w:val="18"/>
                <w:szCs w:val="18"/>
              </w:rPr>
              <w:t xml:space="preserve">based ingredient. </w:t>
            </w:r>
          </w:p>
        </w:tc>
        <w:tc>
          <w:tcPr>
            <w:tcW w:w="5277" w:type="dxa"/>
          </w:tcPr>
          <w:p w:rsidR="00C258A6" w:rsidRPr="00E26ACD" w:rsidRDefault="00C258A6" w:rsidP="00C258A6">
            <w:pPr>
              <w:pStyle w:val="FSTableText"/>
              <w:rPr>
                <w:sz w:val="18"/>
                <w:szCs w:val="18"/>
              </w:rPr>
            </w:pPr>
            <w:r w:rsidRPr="00E26ACD">
              <w:rPr>
                <w:sz w:val="18"/>
                <w:szCs w:val="18"/>
              </w:rPr>
              <w:t xml:space="preserve">Don’t agree that the provisions in Table to clause 6 also apply to </w:t>
            </w:r>
            <w:r w:rsidR="00D53538" w:rsidRPr="00E26ACD">
              <w:rPr>
                <w:sz w:val="18"/>
                <w:szCs w:val="18"/>
              </w:rPr>
              <w:t xml:space="preserve">paragraph </w:t>
            </w:r>
            <w:r w:rsidRPr="00E26ACD">
              <w:rPr>
                <w:sz w:val="18"/>
                <w:szCs w:val="18"/>
              </w:rPr>
              <w:t>6(1)b)</w:t>
            </w:r>
            <w:r w:rsidR="007A7F5D" w:rsidRPr="00E26ACD">
              <w:rPr>
                <w:sz w:val="18"/>
                <w:szCs w:val="18"/>
              </w:rPr>
              <w:t>, the Table is only referenced in subclause 6(2) which applies only to paragraph 6(1)(a)</w:t>
            </w:r>
            <w:r w:rsidRPr="00E26ACD">
              <w:rPr>
                <w:sz w:val="18"/>
                <w:szCs w:val="18"/>
              </w:rPr>
              <w:t xml:space="preserve">. </w:t>
            </w:r>
          </w:p>
          <w:p w:rsidR="00C258A6" w:rsidRPr="00E26ACD" w:rsidRDefault="00C258A6" w:rsidP="00C258A6">
            <w:pPr>
              <w:pStyle w:val="FSTableText"/>
              <w:rPr>
                <w:sz w:val="18"/>
                <w:szCs w:val="18"/>
              </w:rPr>
            </w:pPr>
          </w:p>
          <w:p w:rsidR="00C258A6" w:rsidRPr="00E26ACD" w:rsidRDefault="00C258A6" w:rsidP="00D53538">
            <w:pPr>
              <w:pStyle w:val="FSTableText"/>
              <w:rPr>
                <w:sz w:val="18"/>
                <w:szCs w:val="18"/>
              </w:rPr>
            </w:pPr>
            <w:r w:rsidRPr="00E26ACD">
              <w:rPr>
                <w:sz w:val="18"/>
                <w:szCs w:val="18"/>
              </w:rPr>
              <w:t xml:space="preserve">Agree – ingredients of canned spaghetti ingredients </w:t>
            </w:r>
            <w:r w:rsidR="00D53538" w:rsidRPr="00E26ACD">
              <w:rPr>
                <w:sz w:val="18"/>
                <w:szCs w:val="18"/>
              </w:rPr>
              <w:t>have been</w:t>
            </w:r>
            <w:r w:rsidRPr="00E26ACD">
              <w:rPr>
                <w:sz w:val="18"/>
                <w:szCs w:val="18"/>
              </w:rPr>
              <w:t xml:space="preserve"> amended to a tomato based sauce.  </w:t>
            </w: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Food Technology Association of Australia</w:t>
            </w:r>
            <w:r w:rsidR="00981869">
              <w:rPr>
                <w:sz w:val="18"/>
                <w:szCs w:val="18"/>
              </w:rPr>
              <w:t xml:space="preserve"> (FTA)</w:t>
            </w:r>
          </w:p>
        </w:tc>
        <w:tc>
          <w:tcPr>
            <w:tcW w:w="807" w:type="dxa"/>
          </w:tcPr>
          <w:p w:rsidR="00C258A6" w:rsidRPr="00E26ACD" w:rsidRDefault="00C258A6" w:rsidP="00C258A6">
            <w:pPr>
              <w:pStyle w:val="FSTableText"/>
              <w:rPr>
                <w:sz w:val="18"/>
                <w:szCs w:val="18"/>
              </w:rPr>
            </w:pPr>
            <w:r w:rsidRPr="00E26ACD">
              <w:rPr>
                <w:sz w:val="18"/>
                <w:szCs w:val="18"/>
              </w:rPr>
              <w:t>23</w:t>
            </w:r>
          </w:p>
        </w:tc>
        <w:tc>
          <w:tcPr>
            <w:tcW w:w="6484" w:type="dxa"/>
          </w:tcPr>
          <w:p w:rsidR="00C258A6" w:rsidRPr="00E26ACD" w:rsidRDefault="00C258A6" w:rsidP="00C258A6">
            <w:pPr>
              <w:pStyle w:val="FSTableText"/>
              <w:rPr>
                <w:sz w:val="18"/>
                <w:szCs w:val="18"/>
              </w:rPr>
            </w:pPr>
            <w:r w:rsidRPr="00E26ACD">
              <w:rPr>
                <w:sz w:val="18"/>
                <w:szCs w:val="18"/>
              </w:rPr>
              <w:t>Many products would need to be relabelled at unknown costs.</w:t>
            </w:r>
          </w:p>
          <w:p w:rsidR="00C258A6" w:rsidRPr="00E26ACD" w:rsidRDefault="00C258A6" w:rsidP="00C258A6">
            <w:pPr>
              <w:pStyle w:val="FSTableText"/>
              <w:rPr>
                <w:sz w:val="18"/>
                <w:szCs w:val="18"/>
              </w:rPr>
            </w:pPr>
          </w:p>
        </w:tc>
        <w:tc>
          <w:tcPr>
            <w:tcW w:w="5277" w:type="dxa"/>
            <w:vMerge w:val="restart"/>
          </w:tcPr>
          <w:p w:rsidR="00C258A6" w:rsidRPr="00E26ACD" w:rsidRDefault="008D1B64" w:rsidP="00D53538">
            <w:pPr>
              <w:pStyle w:val="FSTableText"/>
              <w:rPr>
                <w:sz w:val="18"/>
                <w:szCs w:val="18"/>
              </w:rPr>
            </w:pPr>
            <w:r w:rsidRPr="00E26ACD">
              <w:rPr>
                <w:sz w:val="18"/>
                <w:szCs w:val="18"/>
              </w:rPr>
              <w:t xml:space="preserve">Agree with the need to further </w:t>
            </w:r>
            <w:r w:rsidR="00F3631A" w:rsidRPr="00E26ACD">
              <w:rPr>
                <w:sz w:val="18"/>
                <w:szCs w:val="18"/>
              </w:rPr>
              <w:t>assess</w:t>
            </w:r>
            <w:r w:rsidRPr="00E26ACD">
              <w:rPr>
                <w:sz w:val="18"/>
                <w:szCs w:val="18"/>
              </w:rPr>
              <w:t xml:space="preserve"> the impact. </w:t>
            </w:r>
            <w:r w:rsidR="00C258A6" w:rsidRPr="00E26ACD">
              <w:rPr>
                <w:sz w:val="18"/>
                <w:szCs w:val="18"/>
              </w:rPr>
              <w:t xml:space="preserve">While technical clarity was intended, the intended change is not possible because not all the class names in Schedule 1 of Standard 1.2.4 are technological functions. The proposed drafting </w:t>
            </w:r>
            <w:r w:rsidR="00D53538" w:rsidRPr="00E26ACD">
              <w:rPr>
                <w:sz w:val="18"/>
                <w:szCs w:val="18"/>
              </w:rPr>
              <w:t xml:space="preserve">has </w:t>
            </w:r>
            <w:r w:rsidR="00C258A6" w:rsidRPr="00E26ACD">
              <w:rPr>
                <w:sz w:val="18"/>
                <w:szCs w:val="18"/>
              </w:rPr>
              <w:t>therefore be</w:t>
            </w:r>
            <w:r w:rsidR="00D53538" w:rsidRPr="00E26ACD">
              <w:rPr>
                <w:sz w:val="18"/>
                <w:szCs w:val="18"/>
              </w:rPr>
              <w:t>en</w:t>
            </w:r>
            <w:r w:rsidR="00C258A6" w:rsidRPr="00E26ACD">
              <w:rPr>
                <w:sz w:val="18"/>
                <w:szCs w:val="18"/>
              </w:rPr>
              <w:t xml:space="preserve"> removed, apart from some minor editorial changes.</w:t>
            </w: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SA Health</w:t>
            </w:r>
          </w:p>
        </w:tc>
        <w:tc>
          <w:tcPr>
            <w:tcW w:w="807" w:type="dxa"/>
          </w:tcPr>
          <w:p w:rsidR="00C258A6" w:rsidRPr="00E26ACD" w:rsidRDefault="00C258A6" w:rsidP="00C258A6">
            <w:pPr>
              <w:pStyle w:val="FSTableText"/>
              <w:rPr>
                <w:sz w:val="18"/>
                <w:szCs w:val="18"/>
              </w:rPr>
            </w:pPr>
            <w:r w:rsidRPr="00E26ACD">
              <w:rPr>
                <w:sz w:val="18"/>
                <w:szCs w:val="18"/>
              </w:rPr>
              <w:t>23</w:t>
            </w:r>
          </w:p>
        </w:tc>
        <w:tc>
          <w:tcPr>
            <w:tcW w:w="6484" w:type="dxa"/>
          </w:tcPr>
          <w:p w:rsidR="00C258A6" w:rsidRPr="00E26ACD" w:rsidRDefault="00C258A6" w:rsidP="00C258A6">
            <w:pPr>
              <w:pStyle w:val="FSTableText"/>
              <w:rPr>
                <w:sz w:val="18"/>
                <w:szCs w:val="18"/>
              </w:rPr>
            </w:pPr>
            <w:r w:rsidRPr="00E26ACD">
              <w:rPr>
                <w:sz w:val="18"/>
                <w:szCs w:val="18"/>
              </w:rPr>
              <w:t xml:space="preserve">This issue should not be addressed via an omnibus proposal. Requires full FSANZ consultation because any changes would be substantial.  </w:t>
            </w:r>
          </w:p>
          <w:p w:rsidR="00D53538" w:rsidRPr="00E26ACD" w:rsidRDefault="00C258A6" w:rsidP="00981869">
            <w:pPr>
              <w:pStyle w:val="FSTableText"/>
              <w:rPr>
                <w:sz w:val="18"/>
                <w:szCs w:val="18"/>
              </w:rPr>
            </w:pPr>
            <w:r w:rsidRPr="00E26ACD">
              <w:rPr>
                <w:sz w:val="18"/>
                <w:szCs w:val="18"/>
              </w:rPr>
              <w:t xml:space="preserve">Whilst food additive class names enhance consumers’ understanding of food additives present in food, they are not ‘technical’ in nature. </w:t>
            </w:r>
          </w:p>
        </w:tc>
        <w:tc>
          <w:tcPr>
            <w:tcW w:w="5277" w:type="dxa"/>
            <w:vMerge/>
          </w:tcPr>
          <w:p w:rsidR="00C258A6" w:rsidRPr="00E26ACD" w:rsidRDefault="00C258A6" w:rsidP="00C258A6">
            <w:pPr>
              <w:pStyle w:val="FSTableText"/>
              <w:rPr>
                <w:sz w:val="18"/>
                <w:szCs w:val="18"/>
              </w:rPr>
            </w:pPr>
          </w:p>
        </w:tc>
      </w:tr>
      <w:tr w:rsidR="00C258A6" w:rsidRPr="009D6D6E" w:rsidTr="00981869">
        <w:trPr>
          <w:cantSplit/>
        </w:trPr>
        <w:tc>
          <w:tcPr>
            <w:tcW w:w="1606" w:type="dxa"/>
          </w:tcPr>
          <w:p w:rsidR="00C258A6" w:rsidRPr="00E26ACD" w:rsidRDefault="00981869" w:rsidP="00C258A6">
            <w:pPr>
              <w:pStyle w:val="FSTableText"/>
              <w:rPr>
                <w:sz w:val="18"/>
                <w:szCs w:val="18"/>
              </w:rPr>
            </w:pPr>
            <w:r>
              <w:rPr>
                <w:sz w:val="18"/>
                <w:szCs w:val="18"/>
              </w:rPr>
              <w:t>Vic Health</w:t>
            </w:r>
          </w:p>
        </w:tc>
        <w:tc>
          <w:tcPr>
            <w:tcW w:w="807" w:type="dxa"/>
          </w:tcPr>
          <w:p w:rsidR="00C258A6" w:rsidRPr="00E26ACD" w:rsidRDefault="00C258A6" w:rsidP="00C258A6">
            <w:pPr>
              <w:pStyle w:val="FSTableText"/>
              <w:rPr>
                <w:sz w:val="18"/>
                <w:szCs w:val="18"/>
              </w:rPr>
            </w:pPr>
            <w:r w:rsidRPr="00E26ACD">
              <w:rPr>
                <w:sz w:val="18"/>
                <w:szCs w:val="18"/>
              </w:rPr>
              <w:t>23</w:t>
            </w:r>
          </w:p>
        </w:tc>
        <w:tc>
          <w:tcPr>
            <w:tcW w:w="6484" w:type="dxa"/>
          </w:tcPr>
          <w:p w:rsidR="00C258A6" w:rsidRPr="00E26ACD" w:rsidRDefault="00C258A6" w:rsidP="00C258A6">
            <w:pPr>
              <w:pStyle w:val="FSTableText"/>
              <w:rPr>
                <w:sz w:val="18"/>
                <w:szCs w:val="18"/>
              </w:rPr>
            </w:pPr>
            <w:r w:rsidRPr="00E26ACD">
              <w:rPr>
                <w:sz w:val="18"/>
                <w:szCs w:val="18"/>
              </w:rPr>
              <w:t xml:space="preserve">Are not aware of any foods that would require relabelling as a result of this amendment. </w:t>
            </w:r>
          </w:p>
        </w:tc>
        <w:tc>
          <w:tcPr>
            <w:tcW w:w="5277" w:type="dxa"/>
            <w:vMerge/>
          </w:tcPr>
          <w:p w:rsidR="00C258A6" w:rsidRPr="00E26ACD" w:rsidRDefault="00C258A6" w:rsidP="00C258A6">
            <w:pPr>
              <w:pStyle w:val="FSTableText"/>
              <w:rPr>
                <w:sz w:val="18"/>
                <w:szCs w:val="18"/>
              </w:rPr>
            </w:pP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NSW Food Authority</w:t>
            </w:r>
          </w:p>
        </w:tc>
        <w:tc>
          <w:tcPr>
            <w:tcW w:w="807" w:type="dxa"/>
          </w:tcPr>
          <w:p w:rsidR="00C258A6" w:rsidRPr="00E26ACD" w:rsidRDefault="00C258A6" w:rsidP="00C258A6">
            <w:pPr>
              <w:pStyle w:val="FSTableText"/>
              <w:rPr>
                <w:sz w:val="18"/>
                <w:szCs w:val="18"/>
              </w:rPr>
            </w:pPr>
            <w:r w:rsidRPr="00E26ACD">
              <w:rPr>
                <w:sz w:val="18"/>
                <w:szCs w:val="18"/>
              </w:rPr>
              <w:t>24</w:t>
            </w:r>
          </w:p>
        </w:tc>
        <w:tc>
          <w:tcPr>
            <w:tcW w:w="6484" w:type="dxa"/>
          </w:tcPr>
          <w:p w:rsidR="00C258A6" w:rsidRPr="00E26ACD" w:rsidRDefault="00C258A6" w:rsidP="00C258A6">
            <w:pPr>
              <w:pStyle w:val="FSTableText"/>
              <w:rPr>
                <w:sz w:val="18"/>
                <w:szCs w:val="18"/>
              </w:rPr>
            </w:pPr>
            <w:r w:rsidRPr="00E26ACD">
              <w:rPr>
                <w:sz w:val="18"/>
                <w:szCs w:val="18"/>
              </w:rPr>
              <w:t xml:space="preserve">Standard 2.4.1, clause 3. It is not clear what it meant by ‘specific name’, would like clarification and if it extends to wording such as ‘edible oil’ and ‘vegetable oil’ as well as oils labelled as ‘sunflower oil’, olive oil etc. </w:t>
            </w:r>
          </w:p>
          <w:p w:rsidR="00C258A6" w:rsidRPr="00E26ACD" w:rsidRDefault="00C258A6" w:rsidP="00C258A6">
            <w:pPr>
              <w:pStyle w:val="FSTableText"/>
              <w:rPr>
                <w:sz w:val="18"/>
                <w:szCs w:val="18"/>
              </w:rPr>
            </w:pPr>
            <w:r w:rsidRPr="00E26ACD">
              <w:rPr>
                <w:sz w:val="18"/>
                <w:szCs w:val="18"/>
              </w:rPr>
              <w:t xml:space="preserve">If not, there is potential for the requirement in this clause for the labelling statement to be circumvented. </w:t>
            </w:r>
          </w:p>
        </w:tc>
        <w:tc>
          <w:tcPr>
            <w:tcW w:w="5277" w:type="dxa"/>
          </w:tcPr>
          <w:p w:rsidR="00C258A6" w:rsidRPr="00E26ACD" w:rsidRDefault="00C258A6" w:rsidP="00C258A6">
            <w:pPr>
              <w:pStyle w:val="FSTableText"/>
              <w:rPr>
                <w:sz w:val="18"/>
                <w:szCs w:val="18"/>
              </w:rPr>
            </w:pPr>
            <w:r w:rsidRPr="00E26ACD">
              <w:rPr>
                <w:sz w:val="18"/>
                <w:szCs w:val="18"/>
              </w:rPr>
              <w:t xml:space="preserve">A review of Proposal P162 reports indicates the clause was intended only to apply when the vegetable source of the oil was specifically named, eg sunflower oil, in order that consumers are not deceived as to the fatty acid composition when using the specific source name of the oil. </w:t>
            </w:r>
          </w:p>
          <w:p w:rsidR="00C258A6" w:rsidRPr="00E26ACD" w:rsidRDefault="00C258A6" w:rsidP="002C0E7D">
            <w:pPr>
              <w:pStyle w:val="FSTableText"/>
              <w:rPr>
                <w:sz w:val="18"/>
                <w:szCs w:val="18"/>
              </w:rPr>
            </w:pPr>
            <w:r w:rsidRPr="00E26ACD">
              <w:rPr>
                <w:sz w:val="18"/>
                <w:szCs w:val="18"/>
              </w:rPr>
              <w:t xml:space="preserve">The clause </w:t>
            </w:r>
            <w:r w:rsidR="002C0E7D" w:rsidRPr="00E26ACD">
              <w:rPr>
                <w:sz w:val="18"/>
                <w:szCs w:val="18"/>
              </w:rPr>
              <w:t xml:space="preserve">has been </w:t>
            </w:r>
            <w:r w:rsidRPr="00E26ACD">
              <w:rPr>
                <w:sz w:val="18"/>
                <w:szCs w:val="18"/>
              </w:rPr>
              <w:t>further clarified by adding ‘source’, i.e. the clause state</w:t>
            </w:r>
            <w:r w:rsidR="002C0E7D" w:rsidRPr="00E26ACD">
              <w:rPr>
                <w:sz w:val="18"/>
                <w:szCs w:val="18"/>
              </w:rPr>
              <w:t>s</w:t>
            </w:r>
            <w:r w:rsidRPr="00E26ACD">
              <w:rPr>
                <w:sz w:val="18"/>
                <w:szCs w:val="18"/>
              </w:rPr>
              <w:t xml:space="preserve"> ‘specific source name of the oil’. </w:t>
            </w:r>
          </w:p>
        </w:tc>
      </w:tr>
      <w:tr w:rsidR="00C258A6" w:rsidTr="00981869">
        <w:trPr>
          <w:cantSplit/>
        </w:trPr>
        <w:tc>
          <w:tcPr>
            <w:tcW w:w="1606" w:type="dxa"/>
          </w:tcPr>
          <w:p w:rsidR="00C258A6" w:rsidRPr="00E26ACD" w:rsidRDefault="00981869" w:rsidP="00C258A6">
            <w:pPr>
              <w:pStyle w:val="FSTableText"/>
              <w:rPr>
                <w:sz w:val="18"/>
                <w:szCs w:val="18"/>
              </w:rPr>
            </w:pPr>
            <w:r>
              <w:rPr>
                <w:sz w:val="18"/>
                <w:szCs w:val="18"/>
              </w:rPr>
              <w:t>Vic Health</w:t>
            </w:r>
          </w:p>
        </w:tc>
        <w:tc>
          <w:tcPr>
            <w:tcW w:w="807" w:type="dxa"/>
          </w:tcPr>
          <w:p w:rsidR="00C258A6" w:rsidRPr="00E26ACD" w:rsidRDefault="00C258A6" w:rsidP="00C258A6">
            <w:pPr>
              <w:pStyle w:val="FSTableText"/>
              <w:rPr>
                <w:sz w:val="18"/>
                <w:szCs w:val="18"/>
              </w:rPr>
            </w:pPr>
            <w:r w:rsidRPr="00E26ACD">
              <w:rPr>
                <w:sz w:val="18"/>
                <w:szCs w:val="18"/>
              </w:rPr>
              <w:t>24</w:t>
            </w:r>
          </w:p>
        </w:tc>
        <w:tc>
          <w:tcPr>
            <w:tcW w:w="6484" w:type="dxa"/>
          </w:tcPr>
          <w:p w:rsidR="00C258A6" w:rsidRPr="00E26ACD" w:rsidRDefault="00C258A6" w:rsidP="00C258A6">
            <w:pPr>
              <w:pStyle w:val="FSTableText"/>
              <w:rPr>
                <w:sz w:val="18"/>
                <w:szCs w:val="18"/>
              </w:rPr>
            </w:pPr>
            <w:r w:rsidRPr="00E26ACD">
              <w:rPr>
                <w:sz w:val="18"/>
                <w:szCs w:val="18"/>
              </w:rPr>
              <w:t xml:space="preserve">This is a good illustration of where a cross reference is appropriate. </w:t>
            </w:r>
          </w:p>
          <w:p w:rsidR="00C258A6" w:rsidRPr="00E26ACD" w:rsidRDefault="00C258A6" w:rsidP="00C258A6">
            <w:pPr>
              <w:pStyle w:val="FSTableText"/>
              <w:rPr>
                <w:sz w:val="18"/>
                <w:szCs w:val="18"/>
              </w:rPr>
            </w:pPr>
            <w:r w:rsidRPr="00E26ACD">
              <w:rPr>
                <w:sz w:val="18"/>
                <w:szCs w:val="18"/>
              </w:rPr>
              <w:t xml:space="preserve">There are a number of other issues which propose the deletion of cross references but this is dealt with on a more ad hoc basis. The preferred approach would be to establish principles on when and where cross referencing would be appropriate. This will become more evident as the Code audit working group progresses and particularly where structural issues are considered. </w:t>
            </w:r>
          </w:p>
        </w:tc>
        <w:tc>
          <w:tcPr>
            <w:tcW w:w="5277" w:type="dxa"/>
          </w:tcPr>
          <w:p w:rsidR="00C258A6" w:rsidRPr="00E26ACD" w:rsidRDefault="00210493" w:rsidP="00C258A6">
            <w:pPr>
              <w:pStyle w:val="FSTableText"/>
              <w:rPr>
                <w:sz w:val="18"/>
                <w:szCs w:val="18"/>
              </w:rPr>
            </w:pPr>
            <w:r w:rsidRPr="00E26ACD">
              <w:rPr>
                <w:sz w:val="18"/>
                <w:szCs w:val="18"/>
              </w:rPr>
              <w:t xml:space="preserve">FSANZ will review cross references in the Code in a future project. </w:t>
            </w: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Dr A Poynton</w:t>
            </w:r>
          </w:p>
        </w:tc>
        <w:tc>
          <w:tcPr>
            <w:tcW w:w="807" w:type="dxa"/>
          </w:tcPr>
          <w:p w:rsidR="00C258A6" w:rsidRPr="00E26ACD" w:rsidRDefault="00C258A6" w:rsidP="00C258A6">
            <w:pPr>
              <w:pStyle w:val="FSTableText"/>
              <w:rPr>
                <w:sz w:val="18"/>
                <w:szCs w:val="18"/>
              </w:rPr>
            </w:pPr>
            <w:r w:rsidRPr="00E26ACD">
              <w:rPr>
                <w:sz w:val="18"/>
                <w:szCs w:val="18"/>
              </w:rPr>
              <w:t>25, 29 &amp; 30</w:t>
            </w:r>
          </w:p>
        </w:tc>
        <w:tc>
          <w:tcPr>
            <w:tcW w:w="6484" w:type="dxa"/>
          </w:tcPr>
          <w:p w:rsidR="00C258A6" w:rsidRPr="00E26ACD" w:rsidRDefault="00C258A6" w:rsidP="00C258A6">
            <w:pPr>
              <w:pStyle w:val="FSTableText"/>
              <w:rPr>
                <w:sz w:val="18"/>
                <w:szCs w:val="18"/>
              </w:rPr>
            </w:pPr>
            <w:r w:rsidRPr="00E26ACD">
              <w:rPr>
                <w:sz w:val="18"/>
                <w:szCs w:val="18"/>
              </w:rPr>
              <w:t xml:space="preserve">The definition of use-by date refers to ‘health and safety’ reasons but should only refer to ‘safety’.  </w:t>
            </w:r>
          </w:p>
          <w:p w:rsidR="00C258A6" w:rsidRPr="00E26ACD" w:rsidRDefault="00C258A6" w:rsidP="00C258A6">
            <w:pPr>
              <w:pStyle w:val="FSTableText"/>
              <w:rPr>
                <w:sz w:val="18"/>
                <w:szCs w:val="18"/>
              </w:rPr>
            </w:pPr>
            <w:r w:rsidRPr="00E26ACD">
              <w:rPr>
                <w:sz w:val="18"/>
                <w:szCs w:val="18"/>
              </w:rPr>
              <w:t xml:space="preserve">The words ‘health’ should be deleted from Standards 1.2.5 and 1.2.6. </w:t>
            </w:r>
          </w:p>
        </w:tc>
        <w:tc>
          <w:tcPr>
            <w:tcW w:w="5277" w:type="dxa"/>
          </w:tcPr>
          <w:p w:rsidR="00C258A6" w:rsidRPr="00E26ACD" w:rsidRDefault="00C258A6" w:rsidP="00C258A6">
            <w:pPr>
              <w:pStyle w:val="FSTableText"/>
              <w:rPr>
                <w:sz w:val="18"/>
                <w:szCs w:val="18"/>
              </w:rPr>
            </w:pPr>
            <w:r w:rsidRPr="00E26ACD">
              <w:rPr>
                <w:sz w:val="18"/>
                <w:szCs w:val="18"/>
              </w:rPr>
              <w:t xml:space="preserve">Depletion of nutrients over time could be a health reason for a use-by date. To exclude ‘health’ would be out of scope of this Proposal. </w:t>
            </w:r>
          </w:p>
        </w:tc>
      </w:tr>
      <w:tr w:rsidR="00C258A6" w:rsidTr="00981869">
        <w:trPr>
          <w:cantSplit/>
        </w:trPr>
        <w:tc>
          <w:tcPr>
            <w:tcW w:w="1606" w:type="dxa"/>
          </w:tcPr>
          <w:p w:rsidR="00C258A6" w:rsidRPr="00E26ACD" w:rsidRDefault="008D1B64"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26</w:t>
            </w:r>
          </w:p>
        </w:tc>
        <w:tc>
          <w:tcPr>
            <w:tcW w:w="6484" w:type="dxa"/>
          </w:tcPr>
          <w:p w:rsidR="00C258A6" w:rsidRPr="00E26ACD" w:rsidRDefault="00C258A6" w:rsidP="00C258A6">
            <w:pPr>
              <w:pStyle w:val="FSTableText"/>
              <w:rPr>
                <w:sz w:val="18"/>
                <w:szCs w:val="18"/>
              </w:rPr>
            </w:pPr>
            <w:r w:rsidRPr="00E26ACD">
              <w:rPr>
                <w:sz w:val="18"/>
                <w:szCs w:val="18"/>
              </w:rPr>
              <w:t xml:space="preserve">[7.2] The examples could be updated by providing dates closer to 2011. </w:t>
            </w:r>
          </w:p>
        </w:tc>
        <w:tc>
          <w:tcPr>
            <w:tcW w:w="5277" w:type="dxa"/>
          </w:tcPr>
          <w:p w:rsidR="00C258A6" w:rsidRPr="00E26ACD" w:rsidRDefault="002C0E7D" w:rsidP="00C258A6">
            <w:pPr>
              <w:pStyle w:val="FSTableText"/>
              <w:rPr>
                <w:sz w:val="18"/>
                <w:szCs w:val="18"/>
              </w:rPr>
            </w:pPr>
            <w:r w:rsidRPr="00E26ACD">
              <w:rPr>
                <w:sz w:val="18"/>
                <w:szCs w:val="18"/>
              </w:rPr>
              <w:t xml:space="preserve">Agree – dates </w:t>
            </w:r>
            <w:r w:rsidR="00C258A6" w:rsidRPr="00E26ACD">
              <w:rPr>
                <w:sz w:val="18"/>
                <w:szCs w:val="18"/>
              </w:rPr>
              <w:t xml:space="preserve">amended.  </w:t>
            </w:r>
          </w:p>
        </w:tc>
      </w:tr>
      <w:tr w:rsidR="00C258A6" w:rsidTr="00981869">
        <w:trPr>
          <w:cantSplit/>
        </w:trPr>
        <w:tc>
          <w:tcPr>
            <w:tcW w:w="1606" w:type="dxa"/>
          </w:tcPr>
          <w:p w:rsidR="00C258A6" w:rsidRPr="00E26ACD" w:rsidRDefault="008D1B64" w:rsidP="00C258A6">
            <w:pPr>
              <w:pStyle w:val="FSTableText"/>
              <w:rPr>
                <w:sz w:val="18"/>
                <w:szCs w:val="18"/>
              </w:rPr>
            </w:pPr>
            <w:r w:rsidRPr="00E26ACD">
              <w:rPr>
                <w:sz w:val="18"/>
                <w:szCs w:val="18"/>
              </w:rPr>
              <w:lastRenderedPageBreak/>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29</w:t>
            </w:r>
          </w:p>
        </w:tc>
        <w:tc>
          <w:tcPr>
            <w:tcW w:w="6484" w:type="dxa"/>
          </w:tcPr>
          <w:p w:rsidR="00C258A6" w:rsidRPr="00E26ACD" w:rsidRDefault="00C258A6" w:rsidP="00C258A6">
            <w:pPr>
              <w:pStyle w:val="FSTableText"/>
              <w:rPr>
                <w:sz w:val="18"/>
                <w:szCs w:val="18"/>
              </w:rPr>
            </w:pPr>
            <w:r w:rsidRPr="00E26ACD">
              <w:rPr>
                <w:sz w:val="18"/>
                <w:szCs w:val="18"/>
              </w:rPr>
              <w:t>[8.1] The proposed Purpose statement could be amended to reflect that either directions for use, or directions for storage, or both directions for use and storage could apply.</w:t>
            </w:r>
          </w:p>
        </w:tc>
        <w:tc>
          <w:tcPr>
            <w:tcW w:w="5277" w:type="dxa"/>
          </w:tcPr>
          <w:p w:rsidR="00C258A6" w:rsidRPr="00E26ACD" w:rsidRDefault="00C258A6" w:rsidP="002C0E7D">
            <w:pPr>
              <w:pStyle w:val="FSTableText"/>
              <w:rPr>
                <w:color w:val="00B050"/>
                <w:sz w:val="18"/>
                <w:szCs w:val="18"/>
              </w:rPr>
            </w:pPr>
            <w:r w:rsidRPr="00E26ACD">
              <w:rPr>
                <w:sz w:val="18"/>
                <w:szCs w:val="18"/>
              </w:rPr>
              <w:t xml:space="preserve">Agree – Purpose </w:t>
            </w:r>
            <w:r w:rsidR="002C0E7D" w:rsidRPr="00E26ACD">
              <w:rPr>
                <w:sz w:val="18"/>
                <w:szCs w:val="18"/>
              </w:rPr>
              <w:t>was r</w:t>
            </w:r>
            <w:r w:rsidRPr="00E26ACD">
              <w:rPr>
                <w:sz w:val="18"/>
                <w:szCs w:val="18"/>
              </w:rPr>
              <w:t xml:space="preserve">eworded to better reflect the purpose of Standard.  </w:t>
            </w: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SA Health</w:t>
            </w:r>
          </w:p>
        </w:tc>
        <w:tc>
          <w:tcPr>
            <w:tcW w:w="807" w:type="dxa"/>
          </w:tcPr>
          <w:p w:rsidR="00C258A6" w:rsidRPr="00E26ACD" w:rsidRDefault="00C258A6" w:rsidP="00C258A6">
            <w:pPr>
              <w:pStyle w:val="FSTableText"/>
              <w:rPr>
                <w:sz w:val="18"/>
                <w:szCs w:val="18"/>
              </w:rPr>
            </w:pPr>
            <w:r w:rsidRPr="00E26ACD">
              <w:rPr>
                <w:sz w:val="18"/>
                <w:szCs w:val="18"/>
              </w:rPr>
              <w:t>32</w:t>
            </w:r>
          </w:p>
        </w:tc>
        <w:tc>
          <w:tcPr>
            <w:tcW w:w="6484" w:type="dxa"/>
          </w:tcPr>
          <w:p w:rsidR="00C258A6" w:rsidRPr="00E26ACD" w:rsidRDefault="00C258A6" w:rsidP="00C258A6">
            <w:pPr>
              <w:pStyle w:val="FSTableText"/>
              <w:rPr>
                <w:sz w:val="18"/>
                <w:szCs w:val="18"/>
              </w:rPr>
            </w:pPr>
            <w:r w:rsidRPr="00E26ACD">
              <w:rPr>
                <w:sz w:val="18"/>
                <w:szCs w:val="18"/>
              </w:rPr>
              <w:t xml:space="preserve">This paragraph should be retained as it lists the exemption conditions in one place. Alternatively these exemption conditions could be referenced in the Purpose of Standard 1.2.8. </w:t>
            </w:r>
          </w:p>
        </w:tc>
        <w:tc>
          <w:tcPr>
            <w:tcW w:w="5277" w:type="dxa"/>
          </w:tcPr>
          <w:p w:rsidR="00C258A6" w:rsidRPr="00E26ACD" w:rsidRDefault="00C258A6" w:rsidP="00C258A6">
            <w:pPr>
              <w:pStyle w:val="FSTableText"/>
              <w:rPr>
                <w:sz w:val="18"/>
                <w:szCs w:val="18"/>
              </w:rPr>
            </w:pPr>
            <w:r w:rsidRPr="00E26ACD">
              <w:rPr>
                <w:sz w:val="18"/>
                <w:szCs w:val="18"/>
              </w:rPr>
              <w:t>The paragraph only lists exemptions that are additional to those in Standard 1.2.1 (apart from foods sold at fund-raising events). Leaving the exemption for food for fund-raising events in this clause is inconsistent with the rest of the exemptions in Standard 1.2.1 and creates confusion when applying clause 4</w:t>
            </w:r>
            <w:r w:rsidR="00D53538" w:rsidRPr="00E26ACD">
              <w:rPr>
                <w:sz w:val="18"/>
                <w:szCs w:val="18"/>
              </w:rPr>
              <w:t xml:space="preserve"> of Standard 1.2.8</w:t>
            </w:r>
            <w:r w:rsidRPr="00E26ACD">
              <w:rPr>
                <w:sz w:val="18"/>
                <w:szCs w:val="18"/>
              </w:rPr>
              <w:t xml:space="preserve">. </w:t>
            </w:r>
          </w:p>
        </w:tc>
      </w:tr>
      <w:tr w:rsidR="00C258A6" w:rsidTr="00981869">
        <w:trPr>
          <w:cantSplit/>
        </w:trPr>
        <w:tc>
          <w:tcPr>
            <w:tcW w:w="1606" w:type="dxa"/>
          </w:tcPr>
          <w:p w:rsidR="00C258A6" w:rsidRPr="00E26ACD" w:rsidRDefault="008D1B64"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34</w:t>
            </w:r>
          </w:p>
        </w:tc>
        <w:tc>
          <w:tcPr>
            <w:tcW w:w="6484" w:type="dxa"/>
          </w:tcPr>
          <w:p w:rsidR="00C258A6" w:rsidRPr="00E26ACD" w:rsidRDefault="00C258A6" w:rsidP="00C258A6">
            <w:pPr>
              <w:pStyle w:val="FSTableText"/>
              <w:rPr>
                <w:sz w:val="18"/>
                <w:szCs w:val="18"/>
              </w:rPr>
            </w:pPr>
            <w:r w:rsidRPr="00E26ACD">
              <w:rPr>
                <w:sz w:val="18"/>
                <w:szCs w:val="18"/>
              </w:rPr>
              <w:t xml:space="preserve">[9.5] There is an error in the table – the ‘Dietary fibre, total’ entry should only have one asterisk. </w:t>
            </w:r>
          </w:p>
        </w:tc>
        <w:tc>
          <w:tcPr>
            <w:tcW w:w="5277" w:type="dxa"/>
          </w:tcPr>
          <w:p w:rsidR="00C258A6" w:rsidRPr="00E26ACD" w:rsidRDefault="00C258A6" w:rsidP="00C258A6">
            <w:pPr>
              <w:pStyle w:val="FSTableText"/>
              <w:rPr>
                <w:sz w:val="18"/>
                <w:szCs w:val="18"/>
              </w:rPr>
            </w:pPr>
            <w:r w:rsidRPr="00E26ACD">
              <w:rPr>
                <w:sz w:val="18"/>
                <w:szCs w:val="18"/>
              </w:rPr>
              <w:t>FSANZ agrees that there is an error</w:t>
            </w:r>
            <w:r w:rsidR="00D53538" w:rsidRPr="00E26ACD">
              <w:rPr>
                <w:sz w:val="18"/>
                <w:szCs w:val="18"/>
              </w:rPr>
              <w:t xml:space="preserve"> in the Table, however as this T</w:t>
            </w:r>
            <w:r w:rsidRPr="00E26ACD">
              <w:rPr>
                <w:sz w:val="18"/>
                <w:szCs w:val="18"/>
              </w:rPr>
              <w:t>able provides the prescribed format for a nutrition information panel, it is not appropriate to amend this under this Proposal</w:t>
            </w:r>
            <w:r w:rsidR="00751FE3" w:rsidRPr="00E26ACD">
              <w:rPr>
                <w:sz w:val="18"/>
                <w:szCs w:val="18"/>
              </w:rPr>
              <w:t xml:space="preserve"> at this time</w:t>
            </w:r>
            <w:r w:rsidRPr="00E26ACD">
              <w:rPr>
                <w:sz w:val="18"/>
                <w:szCs w:val="18"/>
              </w:rPr>
              <w:t xml:space="preserve">. The error will be considered under future FSANZ work. </w:t>
            </w:r>
          </w:p>
        </w:tc>
      </w:tr>
      <w:tr w:rsidR="00C258A6" w:rsidRPr="007D6521" w:rsidTr="00981869">
        <w:trPr>
          <w:cantSplit/>
        </w:trPr>
        <w:tc>
          <w:tcPr>
            <w:tcW w:w="1606" w:type="dxa"/>
          </w:tcPr>
          <w:p w:rsidR="00C258A6" w:rsidRPr="00E26ACD" w:rsidRDefault="008D1B64"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37</w:t>
            </w:r>
          </w:p>
        </w:tc>
        <w:tc>
          <w:tcPr>
            <w:tcW w:w="6484" w:type="dxa"/>
          </w:tcPr>
          <w:p w:rsidR="00C258A6" w:rsidRPr="00E26ACD" w:rsidRDefault="00C258A6" w:rsidP="00C258A6">
            <w:pPr>
              <w:pStyle w:val="FSTableText"/>
              <w:rPr>
                <w:i/>
                <w:sz w:val="18"/>
                <w:szCs w:val="18"/>
              </w:rPr>
            </w:pPr>
            <w:r w:rsidRPr="00E26ACD">
              <w:rPr>
                <w:sz w:val="18"/>
                <w:szCs w:val="18"/>
              </w:rPr>
              <w:t>[9.7] Agree with the intent but the new drafting is long and potentially confusing. Provide suggested amendment.</w:t>
            </w:r>
          </w:p>
          <w:p w:rsidR="00C258A6" w:rsidRPr="00E26ACD" w:rsidRDefault="00C258A6" w:rsidP="00C258A6">
            <w:pPr>
              <w:pStyle w:val="FSTableText"/>
              <w:rPr>
                <w:sz w:val="18"/>
                <w:szCs w:val="18"/>
              </w:rPr>
            </w:pPr>
          </w:p>
        </w:tc>
        <w:tc>
          <w:tcPr>
            <w:tcW w:w="5277" w:type="dxa"/>
          </w:tcPr>
          <w:p w:rsidR="00C258A6" w:rsidRPr="00E26ACD" w:rsidRDefault="002C0E7D" w:rsidP="002C0E7D">
            <w:pPr>
              <w:pStyle w:val="FSTableText"/>
              <w:rPr>
                <w:sz w:val="18"/>
                <w:szCs w:val="18"/>
              </w:rPr>
            </w:pPr>
            <w:r w:rsidRPr="00E26ACD">
              <w:rPr>
                <w:sz w:val="18"/>
                <w:szCs w:val="18"/>
              </w:rPr>
              <w:t xml:space="preserve">Agree – drafting </w:t>
            </w:r>
            <w:r w:rsidR="00C258A6" w:rsidRPr="00E26ACD">
              <w:rPr>
                <w:sz w:val="18"/>
                <w:szCs w:val="18"/>
              </w:rPr>
              <w:t xml:space="preserve">reformatted for clarity as suggested by the submitter. </w:t>
            </w: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Dr A Poynton</w:t>
            </w:r>
          </w:p>
        </w:tc>
        <w:tc>
          <w:tcPr>
            <w:tcW w:w="807" w:type="dxa"/>
          </w:tcPr>
          <w:p w:rsidR="00C258A6" w:rsidRPr="00E26ACD" w:rsidRDefault="00C258A6" w:rsidP="00C258A6">
            <w:pPr>
              <w:pStyle w:val="FSTableText"/>
              <w:rPr>
                <w:sz w:val="18"/>
                <w:szCs w:val="18"/>
              </w:rPr>
            </w:pPr>
            <w:r w:rsidRPr="00E26ACD">
              <w:rPr>
                <w:sz w:val="18"/>
                <w:szCs w:val="18"/>
              </w:rPr>
              <w:t>40</w:t>
            </w:r>
          </w:p>
        </w:tc>
        <w:tc>
          <w:tcPr>
            <w:tcW w:w="6484" w:type="dxa"/>
          </w:tcPr>
          <w:p w:rsidR="00C258A6" w:rsidRPr="00E26ACD" w:rsidRDefault="00C258A6" w:rsidP="00C258A6">
            <w:pPr>
              <w:pStyle w:val="FSTableText"/>
              <w:rPr>
                <w:sz w:val="18"/>
                <w:szCs w:val="18"/>
              </w:rPr>
            </w:pPr>
            <w:r w:rsidRPr="00E26ACD">
              <w:rPr>
                <w:sz w:val="18"/>
                <w:szCs w:val="18"/>
              </w:rPr>
              <w:t xml:space="preserve">Without recourse to manufacturing data, it is impossible to police the actual amount except in cases of gross errors, so requiring rather than recommending is unrealistic. </w:t>
            </w:r>
          </w:p>
        </w:tc>
        <w:tc>
          <w:tcPr>
            <w:tcW w:w="5277" w:type="dxa"/>
            <w:vMerge w:val="restart"/>
          </w:tcPr>
          <w:p w:rsidR="00C258A6" w:rsidRPr="00E26ACD" w:rsidRDefault="00C258A6" w:rsidP="00C258A6">
            <w:pPr>
              <w:pStyle w:val="FSTableText"/>
              <w:rPr>
                <w:sz w:val="18"/>
                <w:szCs w:val="18"/>
              </w:rPr>
            </w:pPr>
            <w:r w:rsidRPr="00E26ACD">
              <w:rPr>
                <w:sz w:val="18"/>
                <w:szCs w:val="18"/>
              </w:rPr>
              <w:t xml:space="preserve">Agree that the requirement to round percentages that are above 5% is very prescriptive for a labelling requirement provided for consumer information. </w:t>
            </w:r>
          </w:p>
          <w:p w:rsidR="00C258A6" w:rsidRPr="00E26ACD" w:rsidRDefault="00C258A6" w:rsidP="00C258A6">
            <w:pPr>
              <w:pStyle w:val="FSTableText"/>
              <w:rPr>
                <w:sz w:val="18"/>
                <w:szCs w:val="18"/>
              </w:rPr>
            </w:pPr>
            <w:r w:rsidRPr="00E26ACD">
              <w:rPr>
                <w:sz w:val="18"/>
                <w:szCs w:val="18"/>
              </w:rPr>
              <w:t xml:space="preserve">The permission to round the percentage of characterising ingredients will be retained as currently provided for in the Code. Subclause 7(2) </w:t>
            </w:r>
            <w:r w:rsidR="002C0E7D" w:rsidRPr="00E26ACD">
              <w:rPr>
                <w:sz w:val="18"/>
                <w:szCs w:val="18"/>
              </w:rPr>
              <w:t>has been</w:t>
            </w:r>
            <w:r w:rsidRPr="00E26ACD">
              <w:rPr>
                <w:sz w:val="18"/>
                <w:szCs w:val="18"/>
              </w:rPr>
              <w:t xml:space="preserve"> amended as proposed in the Assessment Report, to permit but not require the percentage of characterising components to be rounded, for consistency with rounding of the percentage of characterising ingredients. </w:t>
            </w:r>
          </w:p>
          <w:p w:rsidR="00C258A6" w:rsidRPr="00E26ACD" w:rsidRDefault="00C258A6" w:rsidP="00C258A6">
            <w:pPr>
              <w:pStyle w:val="FSTableText"/>
              <w:rPr>
                <w:sz w:val="18"/>
                <w:szCs w:val="18"/>
              </w:rPr>
            </w:pPr>
          </w:p>
        </w:tc>
      </w:tr>
      <w:tr w:rsidR="00C258A6" w:rsidTr="00981869">
        <w:trPr>
          <w:cantSplit/>
        </w:trPr>
        <w:tc>
          <w:tcPr>
            <w:tcW w:w="1606" w:type="dxa"/>
          </w:tcPr>
          <w:p w:rsidR="00C258A6" w:rsidRPr="00E26ACD" w:rsidRDefault="00981869" w:rsidP="00C258A6">
            <w:pPr>
              <w:pStyle w:val="FSTableText"/>
              <w:rPr>
                <w:sz w:val="18"/>
                <w:szCs w:val="18"/>
              </w:rPr>
            </w:pPr>
            <w:r>
              <w:rPr>
                <w:sz w:val="18"/>
                <w:szCs w:val="18"/>
              </w:rPr>
              <w:t>FTA</w:t>
            </w:r>
          </w:p>
        </w:tc>
        <w:tc>
          <w:tcPr>
            <w:tcW w:w="807" w:type="dxa"/>
          </w:tcPr>
          <w:p w:rsidR="00C258A6" w:rsidRPr="00E26ACD" w:rsidRDefault="00C258A6" w:rsidP="00C258A6">
            <w:pPr>
              <w:pStyle w:val="FSTableText"/>
              <w:rPr>
                <w:sz w:val="18"/>
                <w:szCs w:val="18"/>
              </w:rPr>
            </w:pPr>
            <w:r w:rsidRPr="00E26ACD">
              <w:rPr>
                <w:sz w:val="18"/>
                <w:szCs w:val="18"/>
              </w:rPr>
              <w:t>40</w:t>
            </w:r>
          </w:p>
        </w:tc>
        <w:tc>
          <w:tcPr>
            <w:tcW w:w="6484" w:type="dxa"/>
          </w:tcPr>
          <w:p w:rsidR="00C258A6" w:rsidRPr="00E26ACD" w:rsidRDefault="00C258A6" w:rsidP="00C258A6">
            <w:pPr>
              <w:pStyle w:val="FSTableText"/>
              <w:rPr>
                <w:sz w:val="18"/>
                <w:szCs w:val="18"/>
              </w:rPr>
            </w:pPr>
            <w:r w:rsidRPr="00E26ACD">
              <w:rPr>
                <w:sz w:val="18"/>
                <w:szCs w:val="18"/>
              </w:rPr>
              <w:t xml:space="preserve">Question 3: should be worded as ‘may be’ rather than ‘must be’ rounded to the nearest whole number. </w:t>
            </w:r>
          </w:p>
        </w:tc>
        <w:tc>
          <w:tcPr>
            <w:tcW w:w="5277" w:type="dxa"/>
            <w:vMerge/>
          </w:tcPr>
          <w:p w:rsidR="00C258A6" w:rsidRPr="00E26ACD" w:rsidRDefault="00C258A6" w:rsidP="00C258A6">
            <w:pPr>
              <w:pStyle w:val="FSTableText"/>
              <w:rPr>
                <w:sz w:val="18"/>
                <w:szCs w:val="18"/>
              </w:rPr>
            </w:pPr>
          </w:p>
        </w:tc>
      </w:tr>
      <w:tr w:rsidR="00C258A6" w:rsidTr="00981869">
        <w:trPr>
          <w:cantSplit/>
        </w:trPr>
        <w:tc>
          <w:tcPr>
            <w:tcW w:w="1606" w:type="dxa"/>
          </w:tcPr>
          <w:p w:rsidR="00C258A6" w:rsidRPr="00E26ACD" w:rsidRDefault="008D1B64"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40</w:t>
            </w:r>
          </w:p>
        </w:tc>
        <w:tc>
          <w:tcPr>
            <w:tcW w:w="6484" w:type="dxa"/>
          </w:tcPr>
          <w:p w:rsidR="00C258A6" w:rsidRPr="00E26ACD" w:rsidRDefault="00C258A6" w:rsidP="00C258A6">
            <w:pPr>
              <w:pStyle w:val="FSTableText"/>
              <w:rPr>
                <w:sz w:val="18"/>
                <w:szCs w:val="18"/>
              </w:rPr>
            </w:pPr>
            <w:r w:rsidRPr="00E26ACD">
              <w:rPr>
                <w:sz w:val="18"/>
                <w:szCs w:val="18"/>
              </w:rPr>
              <w:t xml:space="preserve">Q3: considers there needs to be consistency with how numbers are rounded in the Code. It may therefore be preferable to maintain the status quo – optional rounding. </w:t>
            </w:r>
          </w:p>
        </w:tc>
        <w:tc>
          <w:tcPr>
            <w:tcW w:w="5277" w:type="dxa"/>
            <w:vMerge/>
          </w:tcPr>
          <w:p w:rsidR="00C258A6" w:rsidRPr="00E26ACD" w:rsidRDefault="00C258A6" w:rsidP="00C258A6">
            <w:pPr>
              <w:pStyle w:val="FSTableText"/>
              <w:rPr>
                <w:sz w:val="18"/>
                <w:szCs w:val="18"/>
              </w:rPr>
            </w:pPr>
          </w:p>
        </w:tc>
      </w:tr>
      <w:tr w:rsidR="00C258A6" w:rsidTr="00981869">
        <w:trPr>
          <w:cantSplit/>
        </w:trPr>
        <w:tc>
          <w:tcPr>
            <w:tcW w:w="1606" w:type="dxa"/>
          </w:tcPr>
          <w:p w:rsidR="00C258A6" w:rsidRPr="00E26ACD" w:rsidRDefault="00760AD7" w:rsidP="00C258A6">
            <w:pPr>
              <w:pStyle w:val="FSTableText"/>
              <w:rPr>
                <w:sz w:val="18"/>
                <w:szCs w:val="18"/>
              </w:rPr>
            </w:pPr>
            <w:r>
              <w:rPr>
                <w:sz w:val="18"/>
                <w:szCs w:val="18"/>
              </w:rPr>
              <w:t>Qld Health</w:t>
            </w:r>
            <w:r w:rsidRPr="00E26ACD">
              <w:rPr>
                <w:sz w:val="18"/>
                <w:szCs w:val="18"/>
              </w:rPr>
              <w:t xml:space="preserve"> </w:t>
            </w:r>
          </w:p>
          <w:p w:rsidR="00C258A6" w:rsidRPr="00E26ACD" w:rsidRDefault="00981869" w:rsidP="00C258A6">
            <w:pPr>
              <w:pStyle w:val="FSTableText"/>
              <w:rPr>
                <w:sz w:val="18"/>
                <w:szCs w:val="18"/>
              </w:rPr>
            </w:pPr>
            <w:r>
              <w:rPr>
                <w:sz w:val="18"/>
                <w:szCs w:val="18"/>
              </w:rPr>
              <w:t>Vic Health</w:t>
            </w:r>
          </w:p>
        </w:tc>
        <w:tc>
          <w:tcPr>
            <w:tcW w:w="807" w:type="dxa"/>
          </w:tcPr>
          <w:p w:rsidR="00C258A6" w:rsidRPr="00E26ACD" w:rsidRDefault="00C258A6" w:rsidP="00C258A6">
            <w:pPr>
              <w:pStyle w:val="FSTableText"/>
              <w:rPr>
                <w:sz w:val="18"/>
                <w:szCs w:val="18"/>
              </w:rPr>
            </w:pPr>
            <w:r w:rsidRPr="00E26ACD">
              <w:rPr>
                <w:sz w:val="18"/>
                <w:szCs w:val="18"/>
              </w:rPr>
              <w:t>40</w:t>
            </w:r>
          </w:p>
        </w:tc>
        <w:tc>
          <w:tcPr>
            <w:tcW w:w="6484" w:type="dxa"/>
          </w:tcPr>
          <w:p w:rsidR="00C258A6" w:rsidRPr="00E26ACD" w:rsidRDefault="00C258A6" w:rsidP="00C258A6">
            <w:pPr>
              <w:pStyle w:val="FSTableText"/>
              <w:rPr>
                <w:sz w:val="18"/>
                <w:szCs w:val="18"/>
              </w:rPr>
            </w:pPr>
            <w:r w:rsidRPr="00E26ACD">
              <w:rPr>
                <w:sz w:val="18"/>
                <w:szCs w:val="18"/>
              </w:rPr>
              <w:t xml:space="preserve">Agree with recommendation to require declarations of characterising ingredients of 5% or greater to be rounded to the nearest whole number. </w:t>
            </w:r>
          </w:p>
        </w:tc>
        <w:tc>
          <w:tcPr>
            <w:tcW w:w="5277" w:type="dxa"/>
            <w:vMerge/>
          </w:tcPr>
          <w:p w:rsidR="00C258A6" w:rsidRPr="00E26ACD" w:rsidRDefault="00C258A6" w:rsidP="00C258A6">
            <w:pPr>
              <w:pStyle w:val="FSTableText"/>
              <w:rPr>
                <w:sz w:val="18"/>
                <w:szCs w:val="18"/>
              </w:rPr>
            </w:pPr>
          </w:p>
        </w:tc>
      </w:tr>
      <w:tr w:rsidR="00C258A6" w:rsidTr="00981869">
        <w:trPr>
          <w:cantSplit/>
        </w:trPr>
        <w:tc>
          <w:tcPr>
            <w:tcW w:w="1606" w:type="dxa"/>
          </w:tcPr>
          <w:p w:rsidR="00C258A6" w:rsidRPr="00E26ACD" w:rsidRDefault="00760AD7" w:rsidP="00C258A6">
            <w:pPr>
              <w:pStyle w:val="FSTableText"/>
              <w:rPr>
                <w:sz w:val="18"/>
                <w:szCs w:val="18"/>
              </w:rPr>
            </w:pPr>
            <w:r>
              <w:rPr>
                <w:sz w:val="18"/>
                <w:szCs w:val="18"/>
              </w:rPr>
              <w:t>Qld Health</w:t>
            </w:r>
          </w:p>
        </w:tc>
        <w:tc>
          <w:tcPr>
            <w:tcW w:w="807" w:type="dxa"/>
          </w:tcPr>
          <w:p w:rsidR="00C258A6" w:rsidRPr="00E26ACD" w:rsidRDefault="00C258A6" w:rsidP="00C258A6">
            <w:pPr>
              <w:pStyle w:val="FSTableText"/>
              <w:rPr>
                <w:sz w:val="18"/>
                <w:szCs w:val="18"/>
              </w:rPr>
            </w:pPr>
            <w:r w:rsidRPr="00E26ACD">
              <w:rPr>
                <w:sz w:val="18"/>
                <w:szCs w:val="18"/>
              </w:rPr>
              <w:t>42</w:t>
            </w:r>
          </w:p>
        </w:tc>
        <w:tc>
          <w:tcPr>
            <w:tcW w:w="6484" w:type="dxa"/>
          </w:tcPr>
          <w:p w:rsidR="00C258A6" w:rsidRPr="00E26ACD" w:rsidRDefault="00C258A6" w:rsidP="00C258A6">
            <w:pPr>
              <w:pStyle w:val="FSTableText"/>
              <w:rPr>
                <w:sz w:val="18"/>
                <w:szCs w:val="18"/>
              </w:rPr>
            </w:pPr>
            <w:r w:rsidRPr="00E26ACD">
              <w:rPr>
                <w:sz w:val="18"/>
                <w:szCs w:val="18"/>
              </w:rPr>
              <w:t xml:space="preserve">The current standard applies in the case of (i) a mix of local foods or (ii) a mix of imported foods or (iii) a mix of local and imported foods. The proposed variation will remove provisions (i) and (ii). The amendment is a significant change and warrants further consideration. </w:t>
            </w:r>
          </w:p>
        </w:tc>
        <w:tc>
          <w:tcPr>
            <w:tcW w:w="5277" w:type="dxa"/>
          </w:tcPr>
          <w:p w:rsidR="00C258A6" w:rsidRPr="00E26ACD" w:rsidRDefault="00C258A6" w:rsidP="00C258A6">
            <w:pPr>
              <w:pStyle w:val="FSTableText"/>
              <w:rPr>
                <w:sz w:val="18"/>
                <w:szCs w:val="18"/>
              </w:rPr>
            </w:pPr>
            <w:r w:rsidRPr="00E26ACD">
              <w:rPr>
                <w:sz w:val="18"/>
                <w:szCs w:val="18"/>
              </w:rPr>
              <w:t xml:space="preserve">The drafting has been reworded to allow for the three options outlined by the submitter. </w:t>
            </w:r>
          </w:p>
          <w:p w:rsidR="00C258A6" w:rsidRPr="00E26ACD" w:rsidRDefault="00C258A6" w:rsidP="00C258A6">
            <w:pPr>
              <w:pStyle w:val="FSTableText"/>
              <w:rPr>
                <w:sz w:val="18"/>
                <w:szCs w:val="18"/>
              </w:rPr>
            </w:pPr>
          </w:p>
        </w:tc>
      </w:tr>
      <w:tr w:rsidR="00C258A6" w:rsidRPr="00007C3D" w:rsidTr="00981869">
        <w:trPr>
          <w:cantSplit/>
        </w:trPr>
        <w:tc>
          <w:tcPr>
            <w:tcW w:w="1606" w:type="dxa"/>
          </w:tcPr>
          <w:p w:rsidR="00C258A6" w:rsidRPr="00E26ACD" w:rsidRDefault="00C258A6" w:rsidP="00C258A6">
            <w:pPr>
              <w:pStyle w:val="FSTableText"/>
              <w:rPr>
                <w:sz w:val="18"/>
                <w:szCs w:val="18"/>
              </w:rPr>
            </w:pPr>
            <w:r w:rsidRPr="00E26ACD">
              <w:rPr>
                <w:sz w:val="18"/>
                <w:szCs w:val="18"/>
              </w:rPr>
              <w:t>Dr A Poynton</w:t>
            </w:r>
          </w:p>
        </w:tc>
        <w:tc>
          <w:tcPr>
            <w:tcW w:w="807" w:type="dxa"/>
          </w:tcPr>
          <w:p w:rsidR="00C258A6" w:rsidRPr="00E26ACD" w:rsidRDefault="00C258A6" w:rsidP="00C258A6">
            <w:pPr>
              <w:pStyle w:val="FSTableText"/>
              <w:rPr>
                <w:sz w:val="18"/>
                <w:szCs w:val="18"/>
              </w:rPr>
            </w:pPr>
            <w:r w:rsidRPr="00E26ACD">
              <w:rPr>
                <w:sz w:val="18"/>
                <w:szCs w:val="18"/>
              </w:rPr>
              <w:t>43</w:t>
            </w:r>
          </w:p>
        </w:tc>
        <w:tc>
          <w:tcPr>
            <w:tcW w:w="6484" w:type="dxa"/>
          </w:tcPr>
          <w:p w:rsidR="00C258A6" w:rsidRPr="00E26ACD" w:rsidRDefault="00C258A6" w:rsidP="00C258A6">
            <w:pPr>
              <w:pStyle w:val="FSTableText"/>
              <w:rPr>
                <w:sz w:val="18"/>
                <w:szCs w:val="18"/>
              </w:rPr>
            </w:pPr>
            <w:r w:rsidRPr="00E26ACD">
              <w:rPr>
                <w:sz w:val="18"/>
                <w:szCs w:val="18"/>
              </w:rPr>
              <w:t xml:space="preserve">Having moved the definition of GMP to Standard 1.1.1, it would be helpful in Standard 1.3.1 to indicate that a definition exists and where it is. </w:t>
            </w:r>
          </w:p>
        </w:tc>
        <w:tc>
          <w:tcPr>
            <w:tcW w:w="5277" w:type="dxa"/>
          </w:tcPr>
          <w:p w:rsidR="00C258A6" w:rsidRPr="00E26ACD" w:rsidRDefault="00C258A6" w:rsidP="00C258A6">
            <w:pPr>
              <w:pStyle w:val="FSTableText"/>
              <w:rPr>
                <w:sz w:val="18"/>
                <w:szCs w:val="18"/>
              </w:rPr>
            </w:pPr>
            <w:r w:rsidRPr="00E26ACD">
              <w:rPr>
                <w:sz w:val="18"/>
                <w:szCs w:val="18"/>
              </w:rPr>
              <w:t>It is the intention to move as many definitions as possible to Chapter 1 of the Code. Only in exceptional circumstances would an additional entry or ‘signpost’ be put in other sections of the Code. We don’t see the need for a signpost here.</w:t>
            </w: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NSW Food Authority</w:t>
            </w:r>
          </w:p>
        </w:tc>
        <w:tc>
          <w:tcPr>
            <w:tcW w:w="807" w:type="dxa"/>
          </w:tcPr>
          <w:p w:rsidR="00C258A6" w:rsidRPr="00E26ACD" w:rsidRDefault="00C258A6" w:rsidP="00C258A6">
            <w:pPr>
              <w:pStyle w:val="FSTableText"/>
              <w:rPr>
                <w:sz w:val="18"/>
                <w:szCs w:val="18"/>
              </w:rPr>
            </w:pPr>
            <w:r w:rsidRPr="00E26ACD">
              <w:rPr>
                <w:sz w:val="18"/>
                <w:szCs w:val="18"/>
              </w:rPr>
              <w:t>43</w:t>
            </w:r>
          </w:p>
        </w:tc>
        <w:tc>
          <w:tcPr>
            <w:tcW w:w="6484" w:type="dxa"/>
          </w:tcPr>
          <w:p w:rsidR="00C258A6" w:rsidRPr="00E26ACD" w:rsidRDefault="00C258A6" w:rsidP="00C258A6">
            <w:pPr>
              <w:pStyle w:val="FSTableText"/>
              <w:rPr>
                <w:sz w:val="18"/>
                <w:szCs w:val="18"/>
              </w:rPr>
            </w:pPr>
            <w:r w:rsidRPr="00E26ACD">
              <w:rPr>
                <w:sz w:val="18"/>
                <w:szCs w:val="18"/>
              </w:rPr>
              <w:t xml:space="preserve">Support the intent of the proposed amendment but suggest inclusion of ‘processing aid’ in subclause (b) is redundant and may cause confusion, because a processing aid will only be added to a food with the intention of accomplishing a physical or other technical effect in the finished food itself. </w:t>
            </w:r>
          </w:p>
        </w:tc>
        <w:tc>
          <w:tcPr>
            <w:tcW w:w="5277" w:type="dxa"/>
            <w:vMerge w:val="restart"/>
          </w:tcPr>
          <w:p w:rsidR="00C258A6" w:rsidRPr="00E26ACD" w:rsidRDefault="00C258A6" w:rsidP="00C258A6">
            <w:pPr>
              <w:pStyle w:val="FSTableText"/>
              <w:rPr>
                <w:sz w:val="18"/>
                <w:szCs w:val="18"/>
              </w:rPr>
            </w:pPr>
            <w:r w:rsidRPr="00E26ACD">
              <w:rPr>
                <w:sz w:val="18"/>
                <w:szCs w:val="18"/>
              </w:rPr>
              <w:t xml:space="preserve">Not all processing aids will be added to a food with the intention of accomplishing a physical or other technical effect in the finished food itself. </w:t>
            </w:r>
          </w:p>
          <w:p w:rsidR="00C258A6" w:rsidRPr="00E26ACD" w:rsidRDefault="00C258A6" w:rsidP="00C258A6">
            <w:pPr>
              <w:pStyle w:val="FSTableText"/>
              <w:rPr>
                <w:sz w:val="18"/>
                <w:szCs w:val="18"/>
              </w:rPr>
            </w:pPr>
            <w:r w:rsidRPr="00E26ACD">
              <w:rPr>
                <w:sz w:val="18"/>
                <w:szCs w:val="18"/>
              </w:rPr>
              <w:t xml:space="preserve">The wording and requirements have not changed from what is </w:t>
            </w:r>
            <w:r w:rsidRPr="00E26ACD">
              <w:rPr>
                <w:sz w:val="18"/>
                <w:szCs w:val="18"/>
              </w:rPr>
              <w:lastRenderedPageBreak/>
              <w:t>in the Code already, except that they have been drafted as a formal definition rather than the current cases – an Editorial note in Standard 1.3.1 and an incomplete reference in Standard 1.3.3.</w:t>
            </w:r>
          </w:p>
          <w:p w:rsidR="00C258A6" w:rsidRPr="00E26ACD" w:rsidRDefault="00C258A6" w:rsidP="00C258A6">
            <w:pPr>
              <w:pStyle w:val="FSTableText"/>
              <w:rPr>
                <w:sz w:val="18"/>
                <w:szCs w:val="18"/>
              </w:rPr>
            </w:pPr>
            <w:r w:rsidRPr="00E26ACD">
              <w:rPr>
                <w:sz w:val="18"/>
                <w:szCs w:val="18"/>
              </w:rPr>
              <w:t xml:space="preserve">Any changes to the wording and requirement would be considered through a separate proposal. </w:t>
            </w: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lastRenderedPageBreak/>
              <w:t>SA Health</w:t>
            </w:r>
          </w:p>
        </w:tc>
        <w:tc>
          <w:tcPr>
            <w:tcW w:w="807" w:type="dxa"/>
          </w:tcPr>
          <w:p w:rsidR="00C258A6" w:rsidRPr="00E26ACD" w:rsidRDefault="00C258A6" w:rsidP="00C258A6">
            <w:pPr>
              <w:pStyle w:val="FSTableText"/>
              <w:rPr>
                <w:sz w:val="18"/>
                <w:szCs w:val="18"/>
              </w:rPr>
            </w:pPr>
            <w:r w:rsidRPr="00E26ACD">
              <w:rPr>
                <w:sz w:val="18"/>
                <w:szCs w:val="18"/>
              </w:rPr>
              <w:t>43</w:t>
            </w:r>
          </w:p>
        </w:tc>
        <w:tc>
          <w:tcPr>
            <w:tcW w:w="6484" w:type="dxa"/>
          </w:tcPr>
          <w:p w:rsidR="00C258A6" w:rsidRPr="00E26ACD" w:rsidRDefault="00C258A6" w:rsidP="00C258A6">
            <w:pPr>
              <w:pStyle w:val="FSTableText"/>
              <w:rPr>
                <w:sz w:val="18"/>
                <w:szCs w:val="18"/>
              </w:rPr>
            </w:pPr>
            <w:r w:rsidRPr="00E26ACD">
              <w:rPr>
                <w:sz w:val="18"/>
                <w:szCs w:val="18"/>
              </w:rPr>
              <w:t xml:space="preserve">Creating a new definition via this proposal is not supported. May raise issues for enforcement agencies, particularly in establishing the appropriate level of an additive necessary to achieve a desired function in a specific food. </w:t>
            </w:r>
          </w:p>
          <w:p w:rsidR="00C258A6" w:rsidRPr="00E26ACD" w:rsidRDefault="00C258A6" w:rsidP="00C258A6">
            <w:pPr>
              <w:pStyle w:val="FSTableText"/>
              <w:rPr>
                <w:sz w:val="18"/>
                <w:szCs w:val="18"/>
              </w:rPr>
            </w:pPr>
            <w:r w:rsidRPr="00E26ACD">
              <w:rPr>
                <w:sz w:val="18"/>
                <w:szCs w:val="18"/>
              </w:rPr>
              <w:t>The definition proposed is inconsistent with the wording of the definition of GMP in the Codex General Standard for Food Additives CODEX STAN 192-1995.</w:t>
            </w:r>
          </w:p>
        </w:tc>
        <w:tc>
          <w:tcPr>
            <w:tcW w:w="5277" w:type="dxa"/>
            <w:vMerge/>
          </w:tcPr>
          <w:p w:rsidR="00C258A6" w:rsidRPr="00E26ACD" w:rsidRDefault="00C258A6" w:rsidP="00C258A6">
            <w:pPr>
              <w:pStyle w:val="FSTableText"/>
              <w:rPr>
                <w:sz w:val="18"/>
                <w:szCs w:val="18"/>
              </w:rPr>
            </w:pPr>
          </w:p>
        </w:tc>
      </w:tr>
      <w:tr w:rsidR="00C258A6" w:rsidTr="00981869">
        <w:trPr>
          <w:cantSplit/>
        </w:trPr>
        <w:tc>
          <w:tcPr>
            <w:tcW w:w="1606" w:type="dxa"/>
          </w:tcPr>
          <w:p w:rsidR="00C258A6" w:rsidRPr="00E26ACD" w:rsidRDefault="00981869" w:rsidP="00C258A6">
            <w:pPr>
              <w:pStyle w:val="FSTableText"/>
              <w:rPr>
                <w:sz w:val="18"/>
                <w:szCs w:val="18"/>
              </w:rPr>
            </w:pPr>
            <w:r>
              <w:rPr>
                <w:sz w:val="18"/>
                <w:szCs w:val="18"/>
              </w:rPr>
              <w:lastRenderedPageBreak/>
              <w:t>Vic Health</w:t>
            </w:r>
          </w:p>
        </w:tc>
        <w:tc>
          <w:tcPr>
            <w:tcW w:w="807" w:type="dxa"/>
          </w:tcPr>
          <w:p w:rsidR="00C258A6" w:rsidRPr="00E26ACD" w:rsidRDefault="00C258A6" w:rsidP="00C258A6">
            <w:pPr>
              <w:pStyle w:val="FSTableText"/>
              <w:rPr>
                <w:sz w:val="18"/>
                <w:szCs w:val="18"/>
              </w:rPr>
            </w:pPr>
            <w:r w:rsidRPr="00E26ACD">
              <w:rPr>
                <w:sz w:val="18"/>
                <w:szCs w:val="18"/>
              </w:rPr>
              <w:t>43</w:t>
            </w:r>
          </w:p>
        </w:tc>
        <w:tc>
          <w:tcPr>
            <w:tcW w:w="6484" w:type="dxa"/>
          </w:tcPr>
          <w:p w:rsidR="00C258A6" w:rsidRPr="00E26ACD" w:rsidRDefault="00C258A6" w:rsidP="00C258A6">
            <w:pPr>
              <w:pStyle w:val="FSTableText"/>
              <w:rPr>
                <w:sz w:val="18"/>
                <w:szCs w:val="18"/>
              </w:rPr>
            </w:pPr>
            <w:r w:rsidRPr="00E26ACD">
              <w:rPr>
                <w:sz w:val="18"/>
                <w:szCs w:val="18"/>
              </w:rPr>
              <w:t xml:space="preserve">The principle of ‘one term one meaning’ (one of the Audit recommendations) is supported as is locating those terms in Standard 1.1.1. </w:t>
            </w:r>
          </w:p>
        </w:tc>
        <w:tc>
          <w:tcPr>
            <w:tcW w:w="5277" w:type="dxa"/>
          </w:tcPr>
          <w:p w:rsidR="00C258A6" w:rsidRPr="00E26ACD" w:rsidRDefault="00C258A6" w:rsidP="00C258A6">
            <w:pPr>
              <w:pStyle w:val="FSTableText"/>
              <w:rPr>
                <w:sz w:val="18"/>
                <w:szCs w:val="18"/>
              </w:rPr>
            </w:pPr>
            <w:r w:rsidRPr="00E26ACD">
              <w:rPr>
                <w:sz w:val="18"/>
                <w:szCs w:val="18"/>
              </w:rPr>
              <w:t>Support noted.</w:t>
            </w:r>
          </w:p>
          <w:p w:rsidR="00C258A6" w:rsidRPr="00E26ACD" w:rsidRDefault="00C258A6" w:rsidP="00C258A6">
            <w:pPr>
              <w:pStyle w:val="FSTableText"/>
              <w:rPr>
                <w:sz w:val="18"/>
                <w:szCs w:val="18"/>
              </w:rPr>
            </w:pP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NSW Food Authority</w:t>
            </w:r>
          </w:p>
        </w:tc>
        <w:tc>
          <w:tcPr>
            <w:tcW w:w="807" w:type="dxa"/>
          </w:tcPr>
          <w:p w:rsidR="00C258A6" w:rsidRPr="00E26ACD" w:rsidRDefault="00C258A6" w:rsidP="00C258A6">
            <w:pPr>
              <w:pStyle w:val="FSTableText"/>
              <w:rPr>
                <w:sz w:val="18"/>
                <w:szCs w:val="18"/>
              </w:rPr>
            </w:pPr>
            <w:r w:rsidRPr="00E26ACD">
              <w:rPr>
                <w:sz w:val="18"/>
                <w:szCs w:val="18"/>
              </w:rPr>
              <w:t>45</w:t>
            </w:r>
          </w:p>
        </w:tc>
        <w:tc>
          <w:tcPr>
            <w:tcW w:w="6484" w:type="dxa"/>
          </w:tcPr>
          <w:p w:rsidR="00C258A6" w:rsidRPr="00E26ACD" w:rsidRDefault="00C258A6" w:rsidP="00C258A6">
            <w:pPr>
              <w:pStyle w:val="FSTableText"/>
              <w:rPr>
                <w:sz w:val="18"/>
                <w:szCs w:val="18"/>
              </w:rPr>
            </w:pPr>
            <w:r w:rsidRPr="00E26ACD">
              <w:rPr>
                <w:sz w:val="18"/>
                <w:szCs w:val="18"/>
              </w:rPr>
              <w:t xml:space="preserve">Standard 1.3.1, clause 7. Questions whether there is a typographical error and the amendment should read ‘an additive’ not ‘a food’. </w:t>
            </w:r>
          </w:p>
        </w:tc>
        <w:tc>
          <w:tcPr>
            <w:tcW w:w="5277" w:type="dxa"/>
          </w:tcPr>
          <w:p w:rsidR="00C258A6" w:rsidRPr="00E26ACD" w:rsidRDefault="00C258A6" w:rsidP="00C258A6">
            <w:pPr>
              <w:pStyle w:val="FSTableText"/>
              <w:rPr>
                <w:sz w:val="18"/>
                <w:szCs w:val="18"/>
              </w:rPr>
            </w:pPr>
            <w:r w:rsidRPr="00E26ACD">
              <w:rPr>
                <w:sz w:val="18"/>
                <w:szCs w:val="18"/>
              </w:rPr>
              <w:t xml:space="preserve">This is not an error – under the proposed drafting the reference to ‘a food additive’ as is currently in clause 7 is retained.  </w:t>
            </w:r>
          </w:p>
        </w:tc>
      </w:tr>
      <w:tr w:rsidR="00C258A6" w:rsidTr="00981869">
        <w:trPr>
          <w:cantSplit/>
        </w:trPr>
        <w:tc>
          <w:tcPr>
            <w:tcW w:w="1606" w:type="dxa"/>
          </w:tcPr>
          <w:p w:rsidR="00C258A6" w:rsidRPr="00E26ACD" w:rsidRDefault="00C258A6" w:rsidP="00760AD7">
            <w:pPr>
              <w:pStyle w:val="FSTableText"/>
              <w:rPr>
                <w:sz w:val="18"/>
                <w:szCs w:val="18"/>
              </w:rPr>
            </w:pPr>
            <w:r w:rsidRPr="00E26ACD">
              <w:rPr>
                <w:sz w:val="18"/>
                <w:szCs w:val="18"/>
              </w:rPr>
              <w:t xml:space="preserve">Flavour and Fragrance Association of Australia </w:t>
            </w:r>
            <w:r w:rsidR="00760AD7">
              <w:rPr>
                <w:sz w:val="18"/>
                <w:szCs w:val="18"/>
              </w:rPr>
              <w:t>&amp; NZ</w:t>
            </w:r>
          </w:p>
        </w:tc>
        <w:tc>
          <w:tcPr>
            <w:tcW w:w="807" w:type="dxa"/>
          </w:tcPr>
          <w:p w:rsidR="00C258A6" w:rsidRPr="00E26ACD" w:rsidRDefault="00C258A6" w:rsidP="00C258A6">
            <w:pPr>
              <w:pStyle w:val="FSTableText"/>
              <w:rPr>
                <w:sz w:val="18"/>
                <w:szCs w:val="18"/>
              </w:rPr>
            </w:pPr>
            <w:r w:rsidRPr="00E26ACD">
              <w:rPr>
                <w:sz w:val="18"/>
                <w:szCs w:val="18"/>
              </w:rPr>
              <w:t>46</w:t>
            </w:r>
          </w:p>
        </w:tc>
        <w:tc>
          <w:tcPr>
            <w:tcW w:w="6484" w:type="dxa"/>
          </w:tcPr>
          <w:p w:rsidR="00C258A6" w:rsidRPr="00E26ACD" w:rsidRDefault="00C258A6" w:rsidP="00C258A6">
            <w:pPr>
              <w:pStyle w:val="FSTableText"/>
              <w:rPr>
                <w:sz w:val="18"/>
                <w:szCs w:val="18"/>
              </w:rPr>
            </w:pPr>
            <w:r w:rsidRPr="00E26ACD">
              <w:rPr>
                <w:sz w:val="18"/>
                <w:szCs w:val="18"/>
              </w:rPr>
              <w:t xml:space="preserve">Replace the proposed date from June 2009 to January 2011. Justification is that the GRAS 25 list has just been published. </w:t>
            </w:r>
          </w:p>
        </w:tc>
        <w:tc>
          <w:tcPr>
            <w:tcW w:w="5277" w:type="dxa"/>
            <w:vMerge w:val="restart"/>
          </w:tcPr>
          <w:p w:rsidR="00C258A6" w:rsidRPr="00E26ACD" w:rsidRDefault="00C258A6" w:rsidP="00C258A6">
            <w:pPr>
              <w:rPr>
                <w:sz w:val="18"/>
                <w:szCs w:val="18"/>
              </w:rPr>
            </w:pPr>
            <w:r w:rsidRPr="00E26ACD">
              <w:rPr>
                <w:sz w:val="18"/>
                <w:szCs w:val="18"/>
              </w:rPr>
              <w:t>It is true that GRAS 25 list was electronically published dated January 25, 2011.</w:t>
            </w:r>
          </w:p>
          <w:p w:rsidR="00C258A6" w:rsidRPr="00E26ACD" w:rsidRDefault="00C258A6" w:rsidP="00363601">
            <w:pPr>
              <w:pStyle w:val="FSTableText"/>
              <w:rPr>
                <w:sz w:val="18"/>
                <w:szCs w:val="18"/>
              </w:rPr>
            </w:pPr>
            <w:r w:rsidRPr="00E26ACD">
              <w:rPr>
                <w:sz w:val="18"/>
                <w:szCs w:val="18"/>
              </w:rPr>
              <w:t>It is also true that, for some reason, the Code references a secondary publication of this a list – IFT. IFT has not yet re-published FEMA GRAS 25.</w:t>
            </w:r>
          </w:p>
          <w:p w:rsidR="00C258A6" w:rsidRPr="00E26ACD" w:rsidRDefault="00C258A6" w:rsidP="00363601">
            <w:pPr>
              <w:pStyle w:val="FSTableText"/>
              <w:rPr>
                <w:sz w:val="18"/>
                <w:szCs w:val="18"/>
              </w:rPr>
            </w:pPr>
          </w:p>
          <w:p w:rsidR="00C258A6" w:rsidRPr="00E26ACD" w:rsidRDefault="00C258A6" w:rsidP="00363601">
            <w:pPr>
              <w:pStyle w:val="FSTableText"/>
              <w:rPr>
                <w:sz w:val="18"/>
                <w:szCs w:val="18"/>
              </w:rPr>
            </w:pPr>
            <w:r w:rsidRPr="00E26ACD">
              <w:rPr>
                <w:sz w:val="18"/>
                <w:szCs w:val="18"/>
              </w:rPr>
              <w:t xml:space="preserve">The Code </w:t>
            </w:r>
            <w:r w:rsidR="002C0E7D" w:rsidRPr="00E26ACD">
              <w:rPr>
                <w:sz w:val="18"/>
                <w:szCs w:val="18"/>
              </w:rPr>
              <w:t xml:space="preserve">has been </w:t>
            </w:r>
            <w:r w:rsidRPr="00E26ACD">
              <w:rPr>
                <w:sz w:val="18"/>
                <w:szCs w:val="18"/>
              </w:rPr>
              <w:t xml:space="preserve">amended to reference the FEMA GRAS lists of flavouring substances from 1960 to edition 25, 2011. </w:t>
            </w:r>
          </w:p>
          <w:p w:rsidR="00C258A6" w:rsidRPr="00E26ACD" w:rsidRDefault="00C258A6" w:rsidP="00363601">
            <w:pPr>
              <w:pStyle w:val="FSTableText"/>
              <w:rPr>
                <w:sz w:val="18"/>
                <w:szCs w:val="18"/>
              </w:rPr>
            </w:pPr>
          </w:p>
          <w:p w:rsidR="00C258A6" w:rsidRPr="00E26ACD" w:rsidRDefault="00C258A6" w:rsidP="00363601">
            <w:pPr>
              <w:pStyle w:val="FSTableText"/>
              <w:rPr>
                <w:sz w:val="18"/>
                <w:szCs w:val="18"/>
              </w:rPr>
            </w:pPr>
            <w:r w:rsidRPr="00E26ACD">
              <w:rPr>
                <w:sz w:val="18"/>
                <w:szCs w:val="18"/>
              </w:rPr>
              <w:t xml:space="preserve">With respect to Food Liaison’s comment regarding no publication date in respect of CFR, this is now covered by separate definition of CFR being the 2010 version. </w:t>
            </w: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Food Liaison Pty Ltd</w:t>
            </w:r>
          </w:p>
        </w:tc>
        <w:tc>
          <w:tcPr>
            <w:tcW w:w="807" w:type="dxa"/>
          </w:tcPr>
          <w:p w:rsidR="00C258A6" w:rsidRPr="00E26ACD" w:rsidRDefault="00C258A6" w:rsidP="00C258A6">
            <w:pPr>
              <w:pStyle w:val="FSTableText"/>
              <w:rPr>
                <w:sz w:val="18"/>
                <w:szCs w:val="18"/>
              </w:rPr>
            </w:pPr>
            <w:r w:rsidRPr="00E26ACD">
              <w:rPr>
                <w:sz w:val="18"/>
                <w:szCs w:val="18"/>
              </w:rPr>
              <w:t>46</w:t>
            </w:r>
          </w:p>
        </w:tc>
        <w:tc>
          <w:tcPr>
            <w:tcW w:w="6484" w:type="dxa"/>
          </w:tcPr>
          <w:p w:rsidR="00C258A6" w:rsidRPr="00E26ACD" w:rsidRDefault="00C258A6" w:rsidP="00C258A6">
            <w:pPr>
              <w:pStyle w:val="FSTableText"/>
              <w:rPr>
                <w:sz w:val="18"/>
                <w:szCs w:val="18"/>
              </w:rPr>
            </w:pPr>
            <w:r w:rsidRPr="00E26ACD">
              <w:rPr>
                <w:sz w:val="18"/>
                <w:szCs w:val="18"/>
              </w:rPr>
              <w:t xml:space="preserve">The amendment adopts up to GRAS 24 however the FEMA has already published GRAS 25 which is available on the FEMA website. </w:t>
            </w:r>
          </w:p>
          <w:p w:rsidR="00C258A6" w:rsidRPr="00E26ACD" w:rsidRDefault="00C258A6" w:rsidP="00C258A6">
            <w:pPr>
              <w:pStyle w:val="FSTableText"/>
              <w:rPr>
                <w:sz w:val="18"/>
                <w:szCs w:val="18"/>
              </w:rPr>
            </w:pPr>
            <w:r w:rsidRPr="00E26ACD">
              <w:rPr>
                <w:sz w:val="18"/>
                <w:szCs w:val="18"/>
              </w:rPr>
              <w:t xml:space="preserve">Food Technology is only a secondary means of publishing the FEMA GRAS lists and FSANZ should consider adopting the list published directly by FEMA. </w:t>
            </w:r>
          </w:p>
          <w:p w:rsidR="00C258A6" w:rsidRPr="00E26ACD" w:rsidRDefault="00C258A6" w:rsidP="00C258A6">
            <w:pPr>
              <w:pStyle w:val="FSTableText"/>
              <w:rPr>
                <w:sz w:val="18"/>
                <w:szCs w:val="18"/>
              </w:rPr>
            </w:pPr>
            <w:r w:rsidRPr="00E26ACD">
              <w:rPr>
                <w:sz w:val="18"/>
                <w:szCs w:val="18"/>
              </w:rPr>
              <w:t xml:space="preserve">Notes the proposed amendment to sub-paragraph (a)(iii) does not reference a date. This allows the latest version to always be adopted. </w:t>
            </w:r>
          </w:p>
          <w:p w:rsidR="00C258A6" w:rsidRPr="00E26ACD" w:rsidRDefault="00C258A6" w:rsidP="00C258A6">
            <w:pPr>
              <w:pStyle w:val="FSTableText"/>
              <w:rPr>
                <w:i/>
                <w:sz w:val="18"/>
                <w:szCs w:val="18"/>
              </w:rPr>
            </w:pPr>
            <w:r w:rsidRPr="00E26ACD">
              <w:rPr>
                <w:sz w:val="18"/>
                <w:szCs w:val="18"/>
              </w:rPr>
              <w:t xml:space="preserve">The same could be achieved for FEMA GRAS Flavouring Substances Lists by changing the proposed amendment to (a)(i) to </w:t>
            </w:r>
            <w:r w:rsidRPr="00E26ACD">
              <w:rPr>
                <w:i/>
                <w:sz w:val="18"/>
                <w:szCs w:val="18"/>
              </w:rPr>
              <w:t xml:space="preserve">Generally Recognised as Safe (GRAS) lists of flavouring substances published by the Flavours and Extracts Manufacturers Association of the United States. </w:t>
            </w:r>
          </w:p>
          <w:p w:rsidR="00C258A6" w:rsidRPr="00E26ACD" w:rsidRDefault="00C258A6" w:rsidP="00C258A6">
            <w:pPr>
              <w:pStyle w:val="FSTableText"/>
              <w:rPr>
                <w:sz w:val="18"/>
                <w:szCs w:val="18"/>
              </w:rPr>
            </w:pPr>
            <w:r w:rsidRPr="00E26ACD">
              <w:rPr>
                <w:sz w:val="18"/>
                <w:szCs w:val="18"/>
              </w:rPr>
              <w:t xml:space="preserve">Referring to the secondary publishing delays adoption of the latest FEMA lists, and, by including dates, requires constant amendment. </w:t>
            </w:r>
          </w:p>
        </w:tc>
        <w:tc>
          <w:tcPr>
            <w:tcW w:w="5277" w:type="dxa"/>
            <w:vMerge/>
          </w:tcPr>
          <w:p w:rsidR="00C258A6" w:rsidRPr="00E26ACD" w:rsidRDefault="00C258A6" w:rsidP="00C258A6">
            <w:pPr>
              <w:pStyle w:val="FSTableText"/>
              <w:rPr>
                <w:sz w:val="18"/>
                <w:szCs w:val="18"/>
              </w:rPr>
            </w:pPr>
          </w:p>
        </w:tc>
      </w:tr>
      <w:tr w:rsidR="00C258A6" w:rsidTr="00981869">
        <w:trPr>
          <w:cantSplit/>
        </w:trPr>
        <w:tc>
          <w:tcPr>
            <w:tcW w:w="1606" w:type="dxa"/>
          </w:tcPr>
          <w:p w:rsidR="001A6955" w:rsidRPr="00E26ACD" w:rsidRDefault="00981869" w:rsidP="00C258A6">
            <w:pPr>
              <w:pStyle w:val="FSTableText"/>
              <w:rPr>
                <w:sz w:val="18"/>
                <w:szCs w:val="18"/>
              </w:rPr>
            </w:pPr>
            <w:r>
              <w:rPr>
                <w:sz w:val="18"/>
                <w:szCs w:val="18"/>
              </w:rPr>
              <w:t>FTA</w:t>
            </w:r>
          </w:p>
        </w:tc>
        <w:tc>
          <w:tcPr>
            <w:tcW w:w="807" w:type="dxa"/>
          </w:tcPr>
          <w:p w:rsidR="00C258A6" w:rsidRPr="00E26ACD" w:rsidRDefault="00C258A6" w:rsidP="00C258A6">
            <w:pPr>
              <w:pStyle w:val="FSTableText"/>
              <w:rPr>
                <w:sz w:val="18"/>
                <w:szCs w:val="18"/>
              </w:rPr>
            </w:pPr>
            <w:r w:rsidRPr="00E26ACD">
              <w:rPr>
                <w:sz w:val="18"/>
                <w:szCs w:val="18"/>
              </w:rPr>
              <w:t>46</w:t>
            </w:r>
          </w:p>
        </w:tc>
        <w:tc>
          <w:tcPr>
            <w:tcW w:w="6484" w:type="dxa"/>
          </w:tcPr>
          <w:p w:rsidR="00C258A6" w:rsidRPr="00E26ACD" w:rsidRDefault="00C258A6" w:rsidP="00C258A6">
            <w:pPr>
              <w:pStyle w:val="FSTableText"/>
              <w:rPr>
                <w:sz w:val="18"/>
                <w:szCs w:val="18"/>
              </w:rPr>
            </w:pPr>
            <w:r w:rsidRPr="00E26ACD">
              <w:rPr>
                <w:sz w:val="18"/>
                <w:szCs w:val="18"/>
              </w:rPr>
              <w:t xml:space="preserve">The latest FEMA GRAS Flavouring Substances 25 was very recently published and should be included in the Code via this Proposal. </w:t>
            </w:r>
          </w:p>
        </w:tc>
        <w:tc>
          <w:tcPr>
            <w:tcW w:w="5277" w:type="dxa"/>
            <w:vMerge/>
          </w:tcPr>
          <w:p w:rsidR="00C258A6" w:rsidRPr="00E26ACD" w:rsidRDefault="00C258A6" w:rsidP="00C258A6">
            <w:pPr>
              <w:pStyle w:val="FSTableText"/>
              <w:rPr>
                <w:sz w:val="18"/>
                <w:szCs w:val="18"/>
              </w:rPr>
            </w:pPr>
          </w:p>
        </w:tc>
      </w:tr>
      <w:tr w:rsidR="00C258A6" w:rsidTr="00981869">
        <w:trPr>
          <w:cantSplit/>
        </w:trPr>
        <w:tc>
          <w:tcPr>
            <w:tcW w:w="1606" w:type="dxa"/>
          </w:tcPr>
          <w:p w:rsidR="00C258A6" w:rsidRPr="00E26ACD" w:rsidRDefault="008D1B64" w:rsidP="00981869">
            <w:pPr>
              <w:pStyle w:val="FSTableText"/>
              <w:rPr>
                <w:sz w:val="18"/>
                <w:szCs w:val="18"/>
              </w:rPr>
            </w:pPr>
            <w:r w:rsidRPr="00E26ACD">
              <w:rPr>
                <w:sz w:val="18"/>
                <w:szCs w:val="18"/>
              </w:rPr>
              <w:t xml:space="preserve">NZ </w:t>
            </w:r>
            <w:r w:rsidR="00981869">
              <w:rPr>
                <w:sz w:val="18"/>
                <w:szCs w:val="18"/>
              </w:rPr>
              <w:t>MAF</w:t>
            </w:r>
            <w:r w:rsidR="00981869" w:rsidRPr="00E26ACD">
              <w:rPr>
                <w:sz w:val="18"/>
                <w:szCs w:val="18"/>
              </w:rPr>
              <w:t xml:space="preserve"> </w:t>
            </w:r>
          </w:p>
        </w:tc>
        <w:tc>
          <w:tcPr>
            <w:tcW w:w="807" w:type="dxa"/>
          </w:tcPr>
          <w:p w:rsidR="00C258A6" w:rsidRPr="00E26ACD" w:rsidRDefault="00C258A6" w:rsidP="00C258A6">
            <w:pPr>
              <w:pStyle w:val="FSTableText"/>
              <w:rPr>
                <w:sz w:val="18"/>
                <w:szCs w:val="18"/>
              </w:rPr>
            </w:pPr>
            <w:r w:rsidRPr="00E26ACD">
              <w:rPr>
                <w:sz w:val="18"/>
                <w:szCs w:val="18"/>
              </w:rPr>
              <w:t>48</w:t>
            </w:r>
          </w:p>
        </w:tc>
        <w:tc>
          <w:tcPr>
            <w:tcW w:w="6484" w:type="dxa"/>
          </w:tcPr>
          <w:p w:rsidR="00C258A6" w:rsidRPr="00E26ACD" w:rsidRDefault="00C258A6" w:rsidP="00C258A6">
            <w:pPr>
              <w:pStyle w:val="FSTableText"/>
              <w:rPr>
                <w:sz w:val="18"/>
                <w:szCs w:val="18"/>
              </w:rPr>
            </w:pPr>
            <w:r w:rsidRPr="00E26ACD">
              <w:rPr>
                <w:sz w:val="18"/>
                <w:szCs w:val="18"/>
              </w:rPr>
              <w:t xml:space="preserve">[13.1] The word ‘processed’ should be deleted in clauses 3(2), 3(3) and 3(4) because the word may limit permissions made in Schedule 1 categories when this is not intended. </w:t>
            </w:r>
          </w:p>
        </w:tc>
        <w:tc>
          <w:tcPr>
            <w:tcW w:w="5277" w:type="dxa"/>
          </w:tcPr>
          <w:p w:rsidR="00C258A6" w:rsidRPr="00E26ACD" w:rsidRDefault="00C258A6" w:rsidP="00C258A6">
            <w:pPr>
              <w:pStyle w:val="FSTableText"/>
              <w:rPr>
                <w:sz w:val="18"/>
                <w:szCs w:val="18"/>
              </w:rPr>
            </w:pPr>
            <w:r w:rsidRPr="00E26ACD">
              <w:rPr>
                <w:sz w:val="18"/>
                <w:szCs w:val="18"/>
              </w:rPr>
              <w:t>The wording is the same as that used for the general provisions or table headers, so it would be inappropriate to change at this point. This issue could be further discussed when reviewing the additive standard.</w:t>
            </w:r>
          </w:p>
        </w:tc>
      </w:tr>
      <w:tr w:rsidR="00C258A6" w:rsidRPr="006824FE" w:rsidTr="00981869">
        <w:trPr>
          <w:cantSplit/>
        </w:trPr>
        <w:tc>
          <w:tcPr>
            <w:tcW w:w="1606" w:type="dxa"/>
          </w:tcPr>
          <w:p w:rsidR="00C258A6" w:rsidRPr="00E26ACD" w:rsidRDefault="00C258A6" w:rsidP="00C258A6">
            <w:pPr>
              <w:pStyle w:val="FSTableText"/>
              <w:rPr>
                <w:sz w:val="18"/>
                <w:szCs w:val="18"/>
              </w:rPr>
            </w:pPr>
            <w:r w:rsidRPr="00E26ACD">
              <w:rPr>
                <w:sz w:val="18"/>
                <w:szCs w:val="18"/>
              </w:rPr>
              <w:t>Dr A Poynton</w:t>
            </w:r>
          </w:p>
        </w:tc>
        <w:tc>
          <w:tcPr>
            <w:tcW w:w="807" w:type="dxa"/>
          </w:tcPr>
          <w:p w:rsidR="00C258A6" w:rsidRPr="00E26ACD" w:rsidRDefault="00C258A6" w:rsidP="00C258A6">
            <w:pPr>
              <w:pStyle w:val="FSTableText"/>
              <w:rPr>
                <w:sz w:val="18"/>
                <w:szCs w:val="18"/>
              </w:rPr>
            </w:pPr>
            <w:r w:rsidRPr="00E26ACD">
              <w:rPr>
                <w:sz w:val="18"/>
                <w:szCs w:val="18"/>
              </w:rPr>
              <w:t>49</w:t>
            </w:r>
          </w:p>
        </w:tc>
        <w:tc>
          <w:tcPr>
            <w:tcW w:w="6484" w:type="dxa"/>
          </w:tcPr>
          <w:p w:rsidR="00C258A6" w:rsidRPr="00E26ACD" w:rsidRDefault="00C258A6" w:rsidP="00C258A6">
            <w:pPr>
              <w:pStyle w:val="FSTableText"/>
              <w:rPr>
                <w:sz w:val="18"/>
                <w:szCs w:val="18"/>
              </w:rPr>
            </w:pPr>
            <w:r w:rsidRPr="00E26ACD">
              <w:rPr>
                <w:sz w:val="18"/>
                <w:szCs w:val="18"/>
              </w:rPr>
              <w:t xml:space="preserve">The heading in Schedule 1, item 1.4.1 should read ‘Cream, reduced cream and light cream’ (no bracket). </w:t>
            </w:r>
          </w:p>
        </w:tc>
        <w:tc>
          <w:tcPr>
            <w:tcW w:w="5277" w:type="dxa"/>
          </w:tcPr>
          <w:p w:rsidR="00C258A6" w:rsidRPr="00E26ACD" w:rsidRDefault="00C258A6" w:rsidP="00D53538">
            <w:pPr>
              <w:pStyle w:val="FSTableText"/>
              <w:rPr>
                <w:sz w:val="18"/>
                <w:szCs w:val="18"/>
              </w:rPr>
            </w:pPr>
            <w:r w:rsidRPr="00E26ACD">
              <w:rPr>
                <w:sz w:val="18"/>
                <w:szCs w:val="18"/>
              </w:rPr>
              <w:t xml:space="preserve">Agree – the extra bracket </w:t>
            </w:r>
            <w:r w:rsidR="00D53538" w:rsidRPr="00E26ACD">
              <w:rPr>
                <w:sz w:val="18"/>
                <w:szCs w:val="18"/>
              </w:rPr>
              <w:t>has now been</w:t>
            </w:r>
            <w:r w:rsidRPr="00E26ACD">
              <w:rPr>
                <w:sz w:val="18"/>
                <w:szCs w:val="18"/>
              </w:rPr>
              <w:t xml:space="preserve"> removed. </w:t>
            </w:r>
          </w:p>
        </w:tc>
      </w:tr>
      <w:tr w:rsidR="00C258A6" w:rsidRPr="006824FE" w:rsidTr="00981869">
        <w:trPr>
          <w:cantSplit/>
        </w:trPr>
        <w:tc>
          <w:tcPr>
            <w:tcW w:w="1606" w:type="dxa"/>
          </w:tcPr>
          <w:p w:rsidR="008D1B64" w:rsidRPr="00E26ACD" w:rsidRDefault="008D1B64" w:rsidP="008D1B64">
            <w:pPr>
              <w:pStyle w:val="FSTableText"/>
              <w:rPr>
                <w:sz w:val="18"/>
                <w:szCs w:val="18"/>
              </w:rPr>
            </w:pPr>
            <w:r w:rsidRPr="00E26ACD">
              <w:rPr>
                <w:sz w:val="18"/>
                <w:szCs w:val="18"/>
              </w:rPr>
              <w:t xml:space="preserve">NZ </w:t>
            </w:r>
            <w:r w:rsidR="00981869">
              <w:rPr>
                <w:sz w:val="18"/>
                <w:szCs w:val="18"/>
              </w:rPr>
              <w:t>MAF</w:t>
            </w:r>
          </w:p>
          <w:p w:rsidR="00C258A6" w:rsidRPr="00E26ACD" w:rsidRDefault="00C258A6" w:rsidP="008D1B64">
            <w:pPr>
              <w:pStyle w:val="FSTableText"/>
              <w:rPr>
                <w:sz w:val="18"/>
                <w:szCs w:val="18"/>
              </w:rPr>
            </w:pPr>
            <w:r w:rsidRPr="00E26ACD">
              <w:rPr>
                <w:sz w:val="18"/>
                <w:szCs w:val="18"/>
              </w:rPr>
              <w:t>SA Health</w:t>
            </w:r>
          </w:p>
        </w:tc>
        <w:tc>
          <w:tcPr>
            <w:tcW w:w="807" w:type="dxa"/>
          </w:tcPr>
          <w:p w:rsidR="00C258A6" w:rsidRPr="00E26ACD" w:rsidRDefault="00C258A6" w:rsidP="00C258A6">
            <w:pPr>
              <w:pStyle w:val="FSTableText"/>
              <w:rPr>
                <w:sz w:val="18"/>
                <w:szCs w:val="18"/>
              </w:rPr>
            </w:pPr>
            <w:r w:rsidRPr="00E26ACD">
              <w:rPr>
                <w:sz w:val="18"/>
                <w:szCs w:val="18"/>
              </w:rPr>
              <w:t>51</w:t>
            </w:r>
          </w:p>
        </w:tc>
        <w:tc>
          <w:tcPr>
            <w:tcW w:w="6484" w:type="dxa"/>
          </w:tcPr>
          <w:p w:rsidR="00C258A6" w:rsidRPr="00E26ACD" w:rsidRDefault="00C258A6" w:rsidP="00C258A6">
            <w:pPr>
              <w:pStyle w:val="FSTableText"/>
              <w:rPr>
                <w:sz w:val="18"/>
                <w:szCs w:val="18"/>
              </w:rPr>
            </w:pPr>
            <w:r w:rsidRPr="00E26ACD">
              <w:rPr>
                <w:sz w:val="18"/>
                <w:szCs w:val="18"/>
              </w:rPr>
              <w:t xml:space="preserve">[13.10] The fruit and vegetables may be both peeled and cut, this should be specified.  The proposed drafting does not allow for both to apply. </w:t>
            </w:r>
          </w:p>
        </w:tc>
        <w:tc>
          <w:tcPr>
            <w:tcW w:w="5277" w:type="dxa"/>
          </w:tcPr>
          <w:p w:rsidR="00C258A6" w:rsidRPr="00E26ACD" w:rsidRDefault="00C258A6" w:rsidP="00D53538">
            <w:pPr>
              <w:pStyle w:val="FSTableText"/>
              <w:rPr>
                <w:sz w:val="18"/>
                <w:szCs w:val="18"/>
              </w:rPr>
            </w:pPr>
            <w:r w:rsidRPr="00E26ACD">
              <w:rPr>
                <w:sz w:val="18"/>
                <w:szCs w:val="18"/>
              </w:rPr>
              <w:t xml:space="preserve">Agree – the drafting </w:t>
            </w:r>
            <w:r w:rsidR="00D53538" w:rsidRPr="00E26ACD">
              <w:rPr>
                <w:sz w:val="18"/>
                <w:szCs w:val="18"/>
              </w:rPr>
              <w:t>has been amended</w:t>
            </w:r>
            <w:r w:rsidRPr="00E26ACD">
              <w:rPr>
                <w:sz w:val="18"/>
                <w:szCs w:val="18"/>
              </w:rPr>
              <w:t xml:space="preserve"> to capture both peeled and cut fruit and vegetables.</w:t>
            </w:r>
            <w:r w:rsidR="00C22DF2" w:rsidRPr="00E26ACD">
              <w:rPr>
                <w:sz w:val="18"/>
                <w:szCs w:val="18"/>
              </w:rPr>
              <w:t xml:space="preserve"> </w:t>
            </w:r>
          </w:p>
        </w:tc>
      </w:tr>
      <w:tr w:rsidR="00C258A6" w:rsidRPr="009D7805" w:rsidTr="00981869">
        <w:trPr>
          <w:cantSplit/>
        </w:trPr>
        <w:tc>
          <w:tcPr>
            <w:tcW w:w="1606" w:type="dxa"/>
          </w:tcPr>
          <w:p w:rsidR="00C258A6" w:rsidRPr="00E26ACD" w:rsidRDefault="00C258A6" w:rsidP="00C258A6">
            <w:pPr>
              <w:pStyle w:val="FSTableText"/>
              <w:rPr>
                <w:sz w:val="18"/>
                <w:szCs w:val="18"/>
              </w:rPr>
            </w:pPr>
            <w:r w:rsidRPr="00E26ACD">
              <w:rPr>
                <w:sz w:val="18"/>
                <w:szCs w:val="18"/>
              </w:rPr>
              <w:t>Dr A Poynton</w:t>
            </w:r>
          </w:p>
        </w:tc>
        <w:tc>
          <w:tcPr>
            <w:tcW w:w="807" w:type="dxa"/>
          </w:tcPr>
          <w:p w:rsidR="00C258A6" w:rsidRPr="00E26ACD" w:rsidRDefault="00C258A6" w:rsidP="00C258A6">
            <w:pPr>
              <w:pStyle w:val="FSTableText"/>
              <w:rPr>
                <w:sz w:val="18"/>
                <w:szCs w:val="18"/>
              </w:rPr>
            </w:pPr>
            <w:r w:rsidRPr="00E26ACD">
              <w:rPr>
                <w:sz w:val="18"/>
                <w:szCs w:val="18"/>
              </w:rPr>
              <w:t>56</w:t>
            </w:r>
          </w:p>
        </w:tc>
        <w:tc>
          <w:tcPr>
            <w:tcW w:w="6484" w:type="dxa"/>
          </w:tcPr>
          <w:p w:rsidR="00C258A6" w:rsidRPr="00E26ACD" w:rsidRDefault="00C258A6" w:rsidP="00C258A6">
            <w:pPr>
              <w:pStyle w:val="FSTableText"/>
              <w:rPr>
                <w:sz w:val="18"/>
                <w:szCs w:val="18"/>
              </w:rPr>
            </w:pPr>
            <w:r w:rsidRPr="00E26ACD">
              <w:rPr>
                <w:sz w:val="18"/>
                <w:szCs w:val="18"/>
              </w:rPr>
              <w:t xml:space="preserve">Removing the words ‘made up as directed’ changes the requirement. </w:t>
            </w:r>
          </w:p>
        </w:tc>
        <w:tc>
          <w:tcPr>
            <w:tcW w:w="5277" w:type="dxa"/>
            <w:vMerge w:val="restart"/>
          </w:tcPr>
          <w:p w:rsidR="00C258A6" w:rsidRPr="00E26ACD" w:rsidRDefault="00C258A6" w:rsidP="00363601">
            <w:pPr>
              <w:pStyle w:val="FSTableText"/>
              <w:rPr>
                <w:sz w:val="18"/>
                <w:szCs w:val="18"/>
              </w:rPr>
            </w:pPr>
            <w:r w:rsidRPr="00E26ACD">
              <w:rPr>
                <w:sz w:val="18"/>
                <w:szCs w:val="18"/>
              </w:rPr>
              <w:t xml:space="preserve">Comments noted regarding the accidental change in </w:t>
            </w:r>
            <w:r w:rsidR="006563A8" w:rsidRPr="00E26ACD">
              <w:rPr>
                <w:sz w:val="18"/>
                <w:szCs w:val="18"/>
              </w:rPr>
              <w:lastRenderedPageBreak/>
              <w:t>permission</w:t>
            </w:r>
            <w:r w:rsidR="00324580" w:rsidRPr="00E26ACD">
              <w:rPr>
                <w:sz w:val="18"/>
                <w:szCs w:val="18"/>
              </w:rPr>
              <w:t>, and ‘</w:t>
            </w:r>
            <w:r w:rsidRPr="00E26ACD">
              <w:rPr>
                <w:sz w:val="18"/>
                <w:szCs w:val="18"/>
              </w:rPr>
              <w:t>soup bases</w:t>
            </w:r>
            <w:r w:rsidR="00324580" w:rsidRPr="00E26ACD">
              <w:rPr>
                <w:sz w:val="18"/>
                <w:szCs w:val="18"/>
              </w:rPr>
              <w:t>’</w:t>
            </w:r>
            <w:r w:rsidRPr="00E26ACD">
              <w:rPr>
                <w:sz w:val="18"/>
                <w:szCs w:val="18"/>
              </w:rPr>
              <w:t xml:space="preserve"> to remain as the food category heading, but </w:t>
            </w:r>
            <w:r w:rsidR="006563A8" w:rsidRPr="00E26ACD">
              <w:rPr>
                <w:sz w:val="18"/>
                <w:szCs w:val="18"/>
              </w:rPr>
              <w:t>made clearer</w:t>
            </w:r>
            <w:r w:rsidRPr="00E26ACD">
              <w:rPr>
                <w:sz w:val="18"/>
                <w:szCs w:val="18"/>
              </w:rPr>
              <w:t xml:space="preserve"> that the maximum levels apply to the made-up soup.</w:t>
            </w:r>
          </w:p>
        </w:tc>
      </w:tr>
      <w:tr w:rsidR="00C258A6" w:rsidRPr="009D7805" w:rsidTr="00981869">
        <w:trPr>
          <w:cantSplit/>
        </w:trPr>
        <w:tc>
          <w:tcPr>
            <w:tcW w:w="1606" w:type="dxa"/>
          </w:tcPr>
          <w:p w:rsidR="00C258A6" w:rsidRPr="00E26ACD" w:rsidRDefault="00981869" w:rsidP="00C258A6">
            <w:pPr>
              <w:pStyle w:val="FSTableText"/>
              <w:rPr>
                <w:sz w:val="18"/>
                <w:szCs w:val="18"/>
              </w:rPr>
            </w:pPr>
            <w:r>
              <w:rPr>
                <w:sz w:val="18"/>
                <w:szCs w:val="18"/>
              </w:rPr>
              <w:lastRenderedPageBreak/>
              <w:t>Vic Health</w:t>
            </w:r>
          </w:p>
        </w:tc>
        <w:tc>
          <w:tcPr>
            <w:tcW w:w="807" w:type="dxa"/>
          </w:tcPr>
          <w:p w:rsidR="00C258A6" w:rsidRPr="00E26ACD" w:rsidRDefault="00C258A6" w:rsidP="00C258A6">
            <w:pPr>
              <w:pStyle w:val="FSTableText"/>
              <w:rPr>
                <w:sz w:val="18"/>
                <w:szCs w:val="18"/>
              </w:rPr>
            </w:pPr>
            <w:r w:rsidRPr="00E26ACD">
              <w:rPr>
                <w:sz w:val="18"/>
                <w:szCs w:val="18"/>
              </w:rPr>
              <w:t>56</w:t>
            </w:r>
          </w:p>
        </w:tc>
        <w:tc>
          <w:tcPr>
            <w:tcW w:w="6484" w:type="dxa"/>
          </w:tcPr>
          <w:p w:rsidR="00C258A6" w:rsidRPr="00E26ACD" w:rsidRDefault="00C258A6" w:rsidP="00C258A6">
            <w:pPr>
              <w:pStyle w:val="FSTableText"/>
              <w:rPr>
                <w:sz w:val="18"/>
                <w:szCs w:val="18"/>
              </w:rPr>
            </w:pPr>
            <w:r w:rsidRPr="00E26ACD">
              <w:rPr>
                <w:sz w:val="18"/>
                <w:szCs w:val="18"/>
              </w:rPr>
              <w:t xml:space="preserve">The intense sweetener additive permissions are for soup bases, not soup generally, but the levels are, by necessity, on the product made up as directed due to the variability of moisture content of soup bases. </w:t>
            </w:r>
          </w:p>
          <w:p w:rsidR="00C258A6" w:rsidRPr="00E26ACD" w:rsidRDefault="00C258A6" w:rsidP="00C258A6">
            <w:pPr>
              <w:pStyle w:val="FSTableText"/>
              <w:rPr>
                <w:sz w:val="18"/>
                <w:szCs w:val="18"/>
              </w:rPr>
            </w:pPr>
            <w:r w:rsidRPr="00E26ACD">
              <w:rPr>
                <w:sz w:val="18"/>
                <w:szCs w:val="18"/>
              </w:rPr>
              <w:t xml:space="preserve">Current wording is not considered confusing and the amendment is not supported. </w:t>
            </w:r>
          </w:p>
        </w:tc>
        <w:tc>
          <w:tcPr>
            <w:tcW w:w="5277" w:type="dxa"/>
            <w:vMerge/>
          </w:tcPr>
          <w:p w:rsidR="00C258A6" w:rsidRPr="00E26ACD" w:rsidRDefault="00C258A6" w:rsidP="00C258A6">
            <w:pPr>
              <w:pStyle w:val="FSTableText"/>
              <w:rPr>
                <w:sz w:val="18"/>
                <w:szCs w:val="18"/>
              </w:rPr>
            </w:pP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lastRenderedPageBreak/>
              <w:t>SA Health</w:t>
            </w:r>
          </w:p>
        </w:tc>
        <w:tc>
          <w:tcPr>
            <w:tcW w:w="807" w:type="dxa"/>
          </w:tcPr>
          <w:p w:rsidR="00C258A6" w:rsidRPr="00E26ACD" w:rsidRDefault="00C258A6" w:rsidP="00C258A6">
            <w:pPr>
              <w:pStyle w:val="FSTableText"/>
              <w:rPr>
                <w:sz w:val="18"/>
                <w:szCs w:val="18"/>
              </w:rPr>
            </w:pPr>
            <w:r w:rsidRPr="00E26ACD">
              <w:rPr>
                <w:sz w:val="18"/>
                <w:szCs w:val="18"/>
              </w:rPr>
              <w:t>57 and 58</w:t>
            </w:r>
          </w:p>
        </w:tc>
        <w:tc>
          <w:tcPr>
            <w:tcW w:w="6484" w:type="dxa"/>
          </w:tcPr>
          <w:p w:rsidR="00C258A6" w:rsidRPr="00E26ACD" w:rsidRDefault="00C258A6" w:rsidP="00C258A6">
            <w:pPr>
              <w:pStyle w:val="FSTableText"/>
              <w:rPr>
                <w:sz w:val="18"/>
                <w:szCs w:val="18"/>
              </w:rPr>
            </w:pPr>
            <w:r w:rsidRPr="00E26ACD">
              <w:rPr>
                <w:sz w:val="18"/>
                <w:szCs w:val="18"/>
              </w:rPr>
              <w:t xml:space="preserve">Inappropriate to insert new additives into the Code via an Omnibus Proposal. This is a substantive change and the process requires a full FSANZ consultative process as required by its legislation. </w:t>
            </w:r>
          </w:p>
          <w:p w:rsidR="00C258A6" w:rsidRPr="00E26ACD" w:rsidRDefault="00C258A6" w:rsidP="00C258A6">
            <w:pPr>
              <w:pStyle w:val="FSTableText"/>
              <w:rPr>
                <w:sz w:val="18"/>
                <w:szCs w:val="18"/>
              </w:rPr>
            </w:pPr>
            <w:r w:rsidRPr="00E26ACD">
              <w:rPr>
                <w:sz w:val="18"/>
                <w:szCs w:val="18"/>
              </w:rPr>
              <w:t xml:space="preserve">Although JECFA evaluation supports their safety, there has been no FSANZ evaluation of the technological justification as well as no identity and purity reference provided and no impact analysis. </w:t>
            </w:r>
          </w:p>
        </w:tc>
        <w:tc>
          <w:tcPr>
            <w:tcW w:w="5277" w:type="dxa"/>
          </w:tcPr>
          <w:p w:rsidR="00C258A6" w:rsidRPr="00E26ACD" w:rsidRDefault="00C258A6" w:rsidP="00C258A6">
            <w:pPr>
              <w:pStyle w:val="FSTableText"/>
              <w:rPr>
                <w:sz w:val="18"/>
                <w:szCs w:val="18"/>
              </w:rPr>
            </w:pPr>
            <w:r w:rsidRPr="00E26ACD">
              <w:rPr>
                <w:sz w:val="18"/>
                <w:szCs w:val="18"/>
              </w:rPr>
              <w:t>FSANZ acknowledges that these are new additives, but considers that an appropriate level of risk assessment has been conducted and therefore an Application is not required. This Proposal contains a round of consultation.</w:t>
            </w:r>
          </w:p>
          <w:p w:rsidR="00C258A6" w:rsidRPr="00E26ACD" w:rsidRDefault="00C258A6" w:rsidP="00C258A6">
            <w:pPr>
              <w:pStyle w:val="FSTableText"/>
              <w:rPr>
                <w:sz w:val="18"/>
                <w:szCs w:val="18"/>
              </w:rPr>
            </w:pPr>
            <w:r w:rsidRPr="00E26ACD">
              <w:rPr>
                <w:sz w:val="18"/>
                <w:szCs w:val="18"/>
              </w:rPr>
              <w:t>The risk analysis has included safety (i.e. the JECFA view was considered, not relied on; the relevant ADIs are both group ADIs already including these particular forms; and there is a JECFA specification).</w:t>
            </w:r>
          </w:p>
          <w:p w:rsidR="00C258A6" w:rsidRPr="00E26ACD" w:rsidRDefault="00C258A6" w:rsidP="00C258A6">
            <w:pPr>
              <w:pStyle w:val="FSTableText"/>
              <w:rPr>
                <w:sz w:val="18"/>
                <w:szCs w:val="18"/>
              </w:rPr>
            </w:pPr>
            <w:r w:rsidRPr="00E26ACD">
              <w:rPr>
                <w:sz w:val="18"/>
                <w:szCs w:val="18"/>
              </w:rPr>
              <w:t xml:space="preserve">Regarding issue 57, the food additive has a technological use in confectionery. </w:t>
            </w:r>
          </w:p>
          <w:p w:rsidR="00C258A6" w:rsidRPr="00E26ACD" w:rsidRDefault="00C258A6" w:rsidP="00C258A6">
            <w:pPr>
              <w:pStyle w:val="FSTableText"/>
              <w:rPr>
                <w:sz w:val="18"/>
                <w:szCs w:val="18"/>
              </w:rPr>
            </w:pPr>
            <w:r w:rsidRPr="00E26ACD">
              <w:rPr>
                <w:sz w:val="18"/>
                <w:szCs w:val="18"/>
              </w:rPr>
              <w:t>Regarding issue 58, the food additive is primarily used in salt substitutes, but also has other technological applications.</w:t>
            </w:r>
          </w:p>
          <w:p w:rsidR="00C258A6" w:rsidRPr="00E26ACD" w:rsidRDefault="00C258A6" w:rsidP="00C258A6">
            <w:pPr>
              <w:pStyle w:val="FSTableText"/>
              <w:rPr>
                <w:sz w:val="18"/>
                <w:szCs w:val="18"/>
              </w:rPr>
            </w:pPr>
            <w:r w:rsidRPr="00E26ACD">
              <w:rPr>
                <w:sz w:val="18"/>
                <w:szCs w:val="18"/>
              </w:rPr>
              <w:t>Both will only be used by industry if there is a benefit.</w:t>
            </w:r>
          </w:p>
        </w:tc>
      </w:tr>
      <w:tr w:rsidR="00C258A6" w:rsidTr="00981869">
        <w:trPr>
          <w:cantSplit/>
        </w:trPr>
        <w:tc>
          <w:tcPr>
            <w:tcW w:w="1606" w:type="dxa"/>
          </w:tcPr>
          <w:p w:rsidR="00C258A6" w:rsidRPr="00E26ACD" w:rsidRDefault="00CA74CD"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59</w:t>
            </w:r>
          </w:p>
        </w:tc>
        <w:tc>
          <w:tcPr>
            <w:tcW w:w="6484" w:type="dxa"/>
          </w:tcPr>
          <w:p w:rsidR="00C258A6" w:rsidRPr="00E26ACD" w:rsidRDefault="00C258A6" w:rsidP="00C258A6">
            <w:pPr>
              <w:pStyle w:val="FSTableText"/>
              <w:rPr>
                <w:sz w:val="18"/>
                <w:szCs w:val="18"/>
              </w:rPr>
            </w:pPr>
            <w:r w:rsidRPr="00E26ACD">
              <w:rPr>
                <w:sz w:val="18"/>
                <w:szCs w:val="18"/>
              </w:rPr>
              <w:t xml:space="preserve">[13.17] Flavour enhancers and flavours could enhance both the taste and odour. When both, could apply, this should be specified. </w:t>
            </w:r>
          </w:p>
        </w:tc>
        <w:tc>
          <w:tcPr>
            <w:tcW w:w="5277" w:type="dxa"/>
            <w:vMerge w:val="restart"/>
          </w:tcPr>
          <w:p w:rsidR="00C258A6" w:rsidRPr="00E26ACD" w:rsidRDefault="00C258A6" w:rsidP="00C258A6">
            <w:pPr>
              <w:pStyle w:val="FSTableText"/>
              <w:rPr>
                <w:sz w:val="18"/>
                <w:szCs w:val="18"/>
              </w:rPr>
            </w:pPr>
            <w:r w:rsidRPr="00E26ACD">
              <w:rPr>
                <w:sz w:val="18"/>
                <w:szCs w:val="18"/>
              </w:rPr>
              <w:t>If either the taste or odour is enhanced, the definition has been met.</w:t>
            </w:r>
          </w:p>
          <w:p w:rsidR="00C258A6" w:rsidRPr="00E26ACD" w:rsidRDefault="00C258A6" w:rsidP="00C258A6">
            <w:pPr>
              <w:pStyle w:val="FSTableText"/>
              <w:rPr>
                <w:sz w:val="18"/>
                <w:szCs w:val="18"/>
              </w:rPr>
            </w:pP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NSW Food Authority</w:t>
            </w:r>
          </w:p>
        </w:tc>
        <w:tc>
          <w:tcPr>
            <w:tcW w:w="807" w:type="dxa"/>
          </w:tcPr>
          <w:p w:rsidR="00C258A6" w:rsidRPr="00E26ACD" w:rsidRDefault="00C258A6" w:rsidP="00C258A6">
            <w:pPr>
              <w:pStyle w:val="FSTableText"/>
              <w:rPr>
                <w:sz w:val="18"/>
                <w:szCs w:val="18"/>
              </w:rPr>
            </w:pPr>
            <w:r w:rsidRPr="00E26ACD">
              <w:rPr>
                <w:sz w:val="18"/>
                <w:szCs w:val="18"/>
              </w:rPr>
              <w:t>60</w:t>
            </w:r>
          </w:p>
        </w:tc>
        <w:tc>
          <w:tcPr>
            <w:tcW w:w="6484" w:type="dxa"/>
          </w:tcPr>
          <w:p w:rsidR="00C258A6" w:rsidRPr="00E26ACD" w:rsidRDefault="00C258A6" w:rsidP="00C258A6">
            <w:pPr>
              <w:pStyle w:val="FSTableText"/>
              <w:rPr>
                <w:sz w:val="18"/>
                <w:szCs w:val="18"/>
              </w:rPr>
            </w:pPr>
            <w:r w:rsidRPr="00E26ACD">
              <w:rPr>
                <w:sz w:val="18"/>
                <w:szCs w:val="18"/>
              </w:rPr>
              <w:t xml:space="preserve">It appears the proposed change marginally narrows the substances covered. Suggest retaining the intent of the present wording. </w:t>
            </w:r>
          </w:p>
        </w:tc>
        <w:tc>
          <w:tcPr>
            <w:tcW w:w="5277" w:type="dxa"/>
            <w:vMerge/>
          </w:tcPr>
          <w:p w:rsidR="00C258A6" w:rsidRPr="00E26ACD" w:rsidRDefault="00C258A6" w:rsidP="00C258A6">
            <w:pPr>
              <w:pStyle w:val="FSTableText"/>
              <w:rPr>
                <w:sz w:val="18"/>
                <w:szCs w:val="18"/>
              </w:rPr>
            </w:pPr>
          </w:p>
        </w:tc>
      </w:tr>
      <w:tr w:rsidR="00C258A6" w:rsidTr="00981869">
        <w:trPr>
          <w:cantSplit/>
        </w:trPr>
        <w:tc>
          <w:tcPr>
            <w:tcW w:w="1606" w:type="dxa"/>
          </w:tcPr>
          <w:p w:rsidR="00C258A6" w:rsidRPr="00E26ACD" w:rsidRDefault="00CA74CD"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63</w:t>
            </w:r>
          </w:p>
        </w:tc>
        <w:tc>
          <w:tcPr>
            <w:tcW w:w="6484" w:type="dxa"/>
          </w:tcPr>
          <w:p w:rsidR="00C258A6" w:rsidRPr="00E26ACD" w:rsidRDefault="00C258A6" w:rsidP="00C258A6">
            <w:pPr>
              <w:pStyle w:val="FSTableText"/>
              <w:rPr>
                <w:sz w:val="18"/>
                <w:szCs w:val="18"/>
              </w:rPr>
            </w:pPr>
            <w:r w:rsidRPr="00E26ACD">
              <w:rPr>
                <w:sz w:val="18"/>
                <w:szCs w:val="18"/>
              </w:rPr>
              <w:t xml:space="preserve">[14.4] The removal of ‘and/or’ applies to ‘Fruit and/or vegetable drinks...’. By changing to ‘or’, appears to be no ability to have a fruit and vegetable drink. </w:t>
            </w:r>
          </w:p>
        </w:tc>
        <w:tc>
          <w:tcPr>
            <w:tcW w:w="5277" w:type="dxa"/>
          </w:tcPr>
          <w:p w:rsidR="00C258A6" w:rsidRPr="00E26ACD" w:rsidRDefault="00C258A6" w:rsidP="002C0E7D">
            <w:pPr>
              <w:pStyle w:val="FSTableText"/>
              <w:rPr>
                <w:color w:val="00B050"/>
                <w:sz w:val="18"/>
                <w:szCs w:val="18"/>
              </w:rPr>
            </w:pPr>
            <w:r w:rsidRPr="00E26ACD">
              <w:rPr>
                <w:sz w:val="18"/>
                <w:szCs w:val="18"/>
              </w:rPr>
              <w:t>Agree. Fruit and vegetable drinks added back in</w:t>
            </w:r>
            <w:r w:rsidR="002C0E7D" w:rsidRPr="00E26ACD">
              <w:rPr>
                <w:sz w:val="18"/>
                <w:szCs w:val="18"/>
              </w:rPr>
              <w:t>to the T</w:t>
            </w:r>
            <w:r w:rsidRPr="00E26ACD">
              <w:rPr>
                <w:sz w:val="18"/>
                <w:szCs w:val="18"/>
              </w:rPr>
              <w:t>able to clause 3 of Standard 1.3.2.</w:t>
            </w:r>
            <w:r w:rsidRPr="00E26ACD">
              <w:rPr>
                <w:color w:val="00B050"/>
                <w:sz w:val="18"/>
                <w:szCs w:val="18"/>
              </w:rPr>
              <w:t xml:space="preserve"> </w:t>
            </w:r>
          </w:p>
        </w:tc>
      </w:tr>
      <w:tr w:rsidR="00C258A6" w:rsidRPr="009F2C2B" w:rsidTr="00981869">
        <w:trPr>
          <w:cantSplit/>
        </w:trPr>
        <w:tc>
          <w:tcPr>
            <w:tcW w:w="1606" w:type="dxa"/>
          </w:tcPr>
          <w:p w:rsidR="00C258A6" w:rsidRPr="00E26ACD" w:rsidRDefault="00760AD7" w:rsidP="00C258A6">
            <w:pPr>
              <w:pStyle w:val="FSTableText"/>
              <w:rPr>
                <w:sz w:val="18"/>
                <w:szCs w:val="18"/>
              </w:rPr>
            </w:pPr>
            <w:r>
              <w:rPr>
                <w:sz w:val="18"/>
                <w:szCs w:val="18"/>
              </w:rPr>
              <w:t>Qld Health</w:t>
            </w:r>
          </w:p>
        </w:tc>
        <w:tc>
          <w:tcPr>
            <w:tcW w:w="807" w:type="dxa"/>
          </w:tcPr>
          <w:p w:rsidR="00C258A6" w:rsidRPr="00E26ACD" w:rsidRDefault="00C258A6" w:rsidP="00C258A6">
            <w:pPr>
              <w:pStyle w:val="FSTableText"/>
              <w:rPr>
                <w:sz w:val="18"/>
                <w:szCs w:val="18"/>
              </w:rPr>
            </w:pPr>
            <w:r w:rsidRPr="00E26ACD">
              <w:rPr>
                <w:sz w:val="18"/>
                <w:szCs w:val="18"/>
              </w:rPr>
              <w:t>63</w:t>
            </w:r>
          </w:p>
        </w:tc>
        <w:tc>
          <w:tcPr>
            <w:tcW w:w="6484" w:type="dxa"/>
          </w:tcPr>
          <w:p w:rsidR="00C258A6" w:rsidRPr="00E26ACD" w:rsidRDefault="00C258A6" w:rsidP="00C258A6">
            <w:pPr>
              <w:pStyle w:val="FSTableText"/>
              <w:rPr>
                <w:sz w:val="18"/>
                <w:szCs w:val="18"/>
              </w:rPr>
            </w:pPr>
            <w:r w:rsidRPr="00E26ACD">
              <w:rPr>
                <w:sz w:val="18"/>
                <w:szCs w:val="18"/>
              </w:rPr>
              <w:t xml:space="preserve">It needs to be acknowledged that there can be fruit juice/drink and there can be a combination of vegetable juice/drink and fruit juice/drink. This is a significant change and warrants further consideration. </w:t>
            </w:r>
          </w:p>
        </w:tc>
        <w:tc>
          <w:tcPr>
            <w:tcW w:w="5277" w:type="dxa"/>
          </w:tcPr>
          <w:p w:rsidR="00C258A6" w:rsidRPr="00E26ACD" w:rsidRDefault="00C258A6" w:rsidP="00C258A6">
            <w:pPr>
              <w:pStyle w:val="FSTableText"/>
              <w:rPr>
                <w:sz w:val="18"/>
                <w:szCs w:val="18"/>
              </w:rPr>
            </w:pPr>
            <w:r w:rsidRPr="00E26ACD">
              <w:rPr>
                <w:sz w:val="18"/>
                <w:szCs w:val="18"/>
              </w:rPr>
              <w:t xml:space="preserve">As above for fruit drink. However for fruit juice, the table does not currently mention fruit and vegetable juice, therefore this has not been included. </w:t>
            </w:r>
          </w:p>
        </w:tc>
      </w:tr>
      <w:tr w:rsidR="00C258A6" w:rsidTr="00981869">
        <w:trPr>
          <w:cantSplit/>
        </w:trPr>
        <w:tc>
          <w:tcPr>
            <w:tcW w:w="1606" w:type="dxa"/>
          </w:tcPr>
          <w:p w:rsidR="00C258A6" w:rsidRPr="00E26ACD" w:rsidRDefault="00981869" w:rsidP="00C258A6">
            <w:pPr>
              <w:pStyle w:val="FSTableText"/>
              <w:rPr>
                <w:sz w:val="18"/>
                <w:szCs w:val="18"/>
              </w:rPr>
            </w:pPr>
            <w:r>
              <w:rPr>
                <w:sz w:val="18"/>
                <w:szCs w:val="18"/>
              </w:rPr>
              <w:t>Vic Health</w:t>
            </w:r>
          </w:p>
        </w:tc>
        <w:tc>
          <w:tcPr>
            <w:tcW w:w="807" w:type="dxa"/>
          </w:tcPr>
          <w:p w:rsidR="00C258A6" w:rsidRPr="00E26ACD" w:rsidRDefault="00C258A6" w:rsidP="00C258A6">
            <w:pPr>
              <w:pStyle w:val="FSTableText"/>
              <w:rPr>
                <w:sz w:val="18"/>
                <w:szCs w:val="18"/>
              </w:rPr>
            </w:pPr>
            <w:r w:rsidRPr="00E26ACD">
              <w:rPr>
                <w:sz w:val="18"/>
                <w:szCs w:val="18"/>
              </w:rPr>
              <w:t>66</w:t>
            </w:r>
          </w:p>
        </w:tc>
        <w:tc>
          <w:tcPr>
            <w:tcW w:w="6484" w:type="dxa"/>
          </w:tcPr>
          <w:p w:rsidR="00C258A6" w:rsidRPr="00E26ACD" w:rsidRDefault="00C258A6" w:rsidP="00C258A6">
            <w:pPr>
              <w:pStyle w:val="FSTableText"/>
              <w:rPr>
                <w:sz w:val="18"/>
                <w:szCs w:val="18"/>
              </w:rPr>
            </w:pPr>
            <w:r w:rsidRPr="00E26ACD">
              <w:rPr>
                <w:sz w:val="18"/>
                <w:szCs w:val="18"/>
              </w:rPr>
              <w:t xml:space="preserve">The table already has ‘function’ as the header to the second column so the amendment is not required. </w:t>
            </w:r>
          </w:p>
        </w:tc>
        <w:tc>
          <w:tcPr>
            <w:tcW w:w="5277" w:type="dxa"/>
          </w:tcPr>
          <w:p w:rsidR="00C258A6" w:rsidRPr="00E26ACD" w:rsidRDefault="00C258A6" w:rsidP="00C258A6">
            <w:pPr>
              <w:pStyle w:val="FSTableText"/>
              <w:rPr>
                <w:sz w:val="18"/>
                <w:szCs w:val="18"/>
              </w:rPr>
            </w:pPr>
            <w:r w:rsidRPr="00E26ACD">
              <w:rPr>
                <w:sz w:val="18"/>
                <w:szCs w:val="18"/>
              </w:rPr>
              <w:t xml:space="preserve">Amendment is correct; ‘function’ is not currently used in the heading. </w:t>
            </w:r>
          </w:p>
        </w:tc>
      </w:tr>
      <w:tr w:rsidR="00C258A6" w:rsidTr="00981869">
        <w:trPr>
          <w:cantSplit/>
        </w:trPr>
        <w:tc>
          <w:tcPr>
            <w:tcW w:w="1606" w:type="dxa"/>
          </w:tcPr>
          <w:p w:rsidR="00C258A6" w:rsidRPr="00E26ACD" w:rsidRDefault="00CA74CD"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67</w:t>
            </w:r>
          </w:p>
        </w:tc>
        <w:tc>
          <w:tcPr>
            <w:tcW w:w="6484" w:type="dxa"/>
          </w:tcPr>
          <w:p w:rsidR="00C258A6" w:rsidRPr="00E26ACD" w:rsidRDefault="00C258A6" w:rsidP="00C258A6">
            <w:pPr>
              <w:pStyle w:val="FSTableText"/>
              <w:rPr>
                <w:sz w:val="18"/>
                <w:szCs w:val="18"/>
              </w:rPr>
            </w:pPr>
            <w:r w:rsidRPr="00E26ACD">
              <w:rPr>
                <w:sz w:val="18"/>
                <w:szCs w:val="18"/>
              </w:rPr>
              <w:t xml:space="preserve">[15.5] Lactoperoxidase may reduce and inhibit the bacterial population. The phrase ‘or both’ is required. </w:t>
            </w:r>
          </w:p>
        </w:tc>
        <w:tc>
          <w:tcPr>
            <w:tcW w:w="5277" w:type="dxa"/>
          </w:tcPr>
          <w:p w:rsidR="00C258A6" w:rsidRPr="00E26ACD" w:rsidRDefault="00C258A6" w:rsidP="00C258A6">
            <w:pPr>
              <w:pStyle w:val="FSTableText"/>
              <w:rPr>
                <w:sz w:val="18"/>
                <w:szCs w:val="18"/>
              </w:rPr>
            </w:pPr>
            <w:r w:rsidRPr="00E26ACD">
              <w:rPr>
                <w:sz w:val="18"/>
                <w:szCs w:val="18"/>
              </w:rPr>
              <w:t>If either occurs, the definition has been met.</w:t>
            </w:r>
          </w:p>
        </w:tc>
      </w:tr>
      <w:tr w:rsidR="00C258A6" w:rsidTr="00981869">
        <w:trPr>
          <w:cantSplit/>
        </w:trPr>
        <w:tc>
          <w:tcPr>
            <w:tcW w:w="1606" w:type="dxa"/>
          </w:tcPr>
          <w:p w:rsidR="00C258A6" w:rsidRPr="00E26ACD" w:rsidRDefault="00CA74CD"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68</w:t>
            </w:r>
          </w:p>
        </w:tc>
        <w:tc>
          <w:tcPr>
            <w:tcW w:w="6484" w:type="dxa"/>
          </w:tcPr>
          <w:p w:rsidR="00C258A6" w:rsidRPr="00E26ACD" w:rsidRDefault="00C258A6" w:rsidP="00C258A6">
            <w:pPr>
              <w:pStyle w:val="FSTableText"/>
              <w:rPr>
                <w:sz w:val="18"/>
                <w:szCs w:val="18"/>
              </w:rPr>
            </w:pPr>
            <w:r w:rsidRPr="00E26ACD">
              <w:rPr>
                <w:sz w:val="18"/>
                <w:szCs w:val="18"/>
              </w:rPr>
              <w:t xml:space="preserve">[16.2] Agree the Purpose statement should be amended. Note the amended clause 1 and query the use of the term ‘novel food </w:t>
            </w:r>
            <w:r w:rsidRPr="00E26ACD">
              <w:rPr>
                <w:b/>
                <w:sz w:val="18"/>
                <w:szCs w:val="18"/>
              </w:rPr>
              <w:t>substances</w:t>
            </w:r>
            <w:r w:rsidRPr="00E26ACD">
              <w:rPr>
                <w:sz w:val="18"/>
                <w:szCs w:val="18"/>
              </w:rPr>
              <w:t xml:space="preserve">’. This is not a term defined in the Code. Assume that such a term is intended to reflect the point that not all novel foods need a specification for identify and purity (such as whole foods). </w:t>
            </w:r>
          </w:p>
        </w:tc>
        <w:tc>
          <w:tcPr>
            <w:tcW w:w="5277" w:type="dxa"/>
          </w:tcPr>
          <w:p w:rsidR="00C258A6" w:rsidRPr="00E26ACD" w:rsidRDefault="00C258A6" w:rsidP="00C258A6">
            <w:pPr>
              <w:pStyle w:val="FSTableText"/>
              <w:rPr>
                <w:sz w:val="18"/>
                <w:szCs w:val="18"/>
              </w:rPr>
            </w:pPr>
            <w:r w:rsidRPr="00E26ACD">
              <w:rPr>
                <w:sz w:val="18"/>
                <w:szCs w:val="18"/>
              </w:rPr>
              <w:t>We agree that ‘substances’ are not generally defined in the Code, but the submitter’s point is correct in that not all novel foods require a specification.</w:t>
            </w:r>
          </w:p>
          <w:p w:rsidR="00C258A6" w:rsidRPr="00E26ACD" w:rsidRDefault="00C258A6" w:rsidP="00C258A6">
            <w:pPr>
              <w:pStyle w:val="FSTableText"/>
              <w:rPr>
                <w:sz w:val="18"/>
                <w:szCs w:val="18"/>
              </w:rPr>
            </w:pPr>
            <w:r w:rsidRPr="00E26ACD">
              <w:rPr>
                <w:sz w:val="18"/>
                <w:szCs w:val="18"/>
              </w:rPr>
              <w:t>The term substance is used throughout the Code, and It is expected that the issue of definitions will be included in a specific proposal in the future.</w:t>
            </w: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SA Health</w:t>
            </w:r>
          </w:p>
        </w:tc>
        <w:tc>
          <w:tcPr>
            <w:tcW w:w="807" w:type="dxa"/>
          </w:tcPr>
          <w:p w:rsidR="00C258A6" w:rsidRPr="00E26ACD" w:rsidRDefault="00C258A6" w:rsidP="00C258A6">
            <w:pPr>
              <w:pStyle w:val="FSTableText"/>
              <w:rPr>
                <w:sz w:val="18"/>
                <w:szCs w:val="18"/>
              </w:rPr>
            </w:pPr>
            <w:r w:rsidRPr="00E26ACD">
              <w:rPr>
                <w:sz w:val="18"/>
                <w:szCs w:val="18"/>
              </w:rPr>
              <w:t>68</w:t>
            </w:r>
          </w:p>
        </w:tc>
        <w:tc>
          <w:tcPr>
            <w:tcW w:w="6484" w:type="dxa"/>
          </w:tcPr>
          <w:p w:rsidR="00C258A6" w:rsidRPr="00E26ACD" w:rsidRDefault="00C258A6" w:rsidP="00C258A6">
            <w:pPr>
              <w:pStyle w:val="FSTableText"/>
              <w:rPr>
                <w:sz w:val="18"/>
                <w:szCs w:val="18"/>
              </w:rPr>
            </w:pPr>
            <w:r w:rsidRPr="00E26ACD">
              <w:rPr>
                <w:sz w:val="18"/>
                <w:szCs w:val="18"/>
              </w:rPr>
              <w:t xml:space="preserve">The amendment does not adequately link to the new clause 1 which also refers to ‘novel foods and nutritive substances’. These are not wholly captured by the term ‘nutrients’ in the Purpose. </w:t>
            </w:r>
          </w:p>
        </w:tc>
        <w:tc>
          <w:tcPr>
            <w:tcW w:w="5277" w:type="dxa"/>
          </w:tcPr>
          <w:p w:rsidR="00C258A6" w:rsidRPr="00E26ACD" w:rsidRDefault="00C258A6" w:rsidP="00C258A6">
            <w:pPr>
              <w:pStyle w:val="FSTableText"/>
              <w:rPr>
                <w:sz w:val="18"/>
                <w:szCs w:val="18"/>
              </w:rPr>
            </w:pPr>
            <w:r w:rsidRPr="00E26ACD">
              <w:rPr>
                <w:sz w:val="18"/>
                <w:szCs w:val="18"/>
              </w:rPr>
              <w:t xml:space="preserve">Agree – novel food substances added to this amendment. </w:t>
            </w:r>
          </w:p>
          <w:p w:rsidR="00C258A6" w:rsidRPr="00E26ACD" w:rsidRDefault="00C258A6" w:rsidP="00C258A6">
            <w:pPr>
              <w:pStyle w:val="FSTableText"/>
              <w:rPr>
                <w:sz w:val="18"/>
                <w:szCs w:val="18"/>
              </w:rPr>
            </w:pPr>
          </w:p>
        </w:tc>
      </w:tr>
      <w:tr w:rsidR="00C258A6" w:rsidTr="00981869">
        <w:trPr>
          <w:cantSplit/>
        </w:trPr>
        <w:tc>
          <w:tcPr>
            <w:tcW w:w="1606" w:type="dxa"/>
          </w:tcPr>
          <w:p w:rsidR="00C258A6" w:rsidRPr="00E26ACD" w:rsidRDefault="00981869" w:rsidP="00C258A6">
            <w:pPr>
              <w:pStyle w:val="FSTableText"/>
              <w:rPr>
                <w:sz w:val="18"/>
                <w:szCs w:val="18"/>
              </w:rPr>
            </w:pPr>
            <w:r>
              <w:rPr>
                <w:sz w:val="18"/>
                <w:szCs w:val="18"/>
              </w:rPr>
              <w:lastRenderedPageBreak/>
              <w:t>Vic Health</w:t>
            </w:r>
          </w:p>
        </w:tc>
        <w:tc>
          <w:tcPr>
            <w:tcW w:w="807" w:type="dxa"/>
          </w:tcPr>
          <w:p w:rsidR="00C258A6" w:rsidRPr="00E26ACD" w:rsidRDefault="00C258A6" w:rsidP="00C258A6">
            <w:pPr>
              <w:pStyle w:val="FSTableText"/>
              <w:rPr>
                <w:sz w:val="18"/>
                <w:szCs w:val="18"/>
              </w:rPr>
            </w:pPr>
            <w:r w:rsidRPr="00E26ACD">
              <w:rPr>
                <w:sz w:val="18"/>
                <w:szCs w:val="18"/>
              </w:rPr>
              <w:t>68</w:t>
            </w:r>
          </w:p>
        </w:tc>
        <w:tc>
          <w:tcPr>
            <w:tcW w:w="6484" w:type="dxa"/>
          </w:tcPr>
          <w:p w:rsidR="00C258A6" w:rsidRPr="00E26ACD" w:rsidRDefault="00C258A6" w:rsidP="00C258A6">
            <w:pPr>
              <w:pStyle w:val="FSTableText"/>
              <w:rPr>
                <w:sz w:val="18"/>
                <w:szCs w:val="18"/>
              </w:rPr>
            </w:pPr>
            <w:r w:rsidRPr="00E26ACD">
              <w:rPr>
                <w:sz w:val="18"/>
                <w:szCs w:val="18"/>
              </w:rPr>
              <w:t xml:space="preserve">Are not aware of any enforcement or interpretation difficulties associated with the wording of the current Standard. The word ‘substance’ is well understood and in their view is correctly applied to capture the broad application of the Standard. </w:t>
            </w:r>
          </w:p>
          <w:p w:rsidR="00C258A6" w:rsidRPr="00E26ACD" w:rsidRDefault="00C258A6" w:rsidP="00C258A6">
            <w:pPr>
              <w:pStyle w:val="FSTableText"/>
              <w:rPr>
                <w:sz w:val="18"/>
                <w:szCs w:val="18"/>
              </w:rPr>
            </w:pPr>
            <w:r w:rsidRPr="00E26ACD">
              <w:rPr>
                <w:sz w:val="18"/>
                <w:szCs w:val="18"/>
              </w:rPr>
              <w:t>The amendment to clause 1 narrows the application of the Standard, given the legal status of the Purpose statement is questionable, as ‘biologically active substances’ and ‘other nutrients’ are not listed.</w:t>
            </w:r>
          </w:p>
          <w:p w:rsidR="00C258A6" w:rsidRPr="00E26ACD" w:rsidRDefault="00C258A6" w:rsidP="00C258A6">
            <w:pPr>
              <w:pStyle w:val="FSTableText"/>
              <w:rPr>
                <w:sz w:val="18"/>
                <w:szCs w:val="18"/>
              </w:rPr>
            </w:pPr>
            <w:r w:rsidRPr="00E26ACD">
              <w:rPr>
                <w:sz w:val="18"/>
                <w:szCs w:val="18"/>
              </w:rPr>
              <w:t xml:space="preserve">Strongly suggest the need for this change be considered and if FSANZ remains of the view it should be included, a full explanation of the reason for the change is included. </w:t>
            </w:r>
          </w:p>
          <w:p w:rsidR="00C258A6" w:rsidRPr="00E26ACD" w:rsidRDefault="00C258A6" w:rsidP="00C258A6">
            <w:pPr>
              <w:pStyle w:val="FSTableText"/>
              <w:rPr>
                <w:sz w:val="18"/>
                <w:szCs w:val="18"/>
              </w:rPr>
            </w:pPr>
            <w:r w:rsidRPr="00E26ACD">
              <w:rPr>
                <w:sz w:val="18"/>
                <w:szCs w:val="18"/>
              </w:rPr>
              <w:t xml:space="preserve">Note: ‘nutritive substances’ includes vitamins and minerals so there is no need to list them separately. </w:t>
            </w:r>
          </w:p>
          <w:p w:rsidR="00C258A6" w:rsidRPr="00E26ACD" w:rsidRDefault="00C258A6" w:rsidP="00C258A6">
            <w:pPr>
              <w:pStyle w:val="FSTableText"/>
              <w:rPr>
                <w:sz w:val="18"/>
                <w:szCs w:val="18"/>
              </w:rPr>
            </w:pPr>
            <w:r w:rsidRPr="00E26ACD">
              <w:rPr>
                <w:sz w:val="18"/>
                <w:szCs w:val="18"/>
              </w:rPr>
              <w:t xml:space="preserve">At this stage, as the reason for the change is not apparent the amendment is not supported. </w:t>
            </w:r>
          </w:p>
          <w:p w:rsidR="001A6955" w:rsidRPr="00E26ACD" w:rsidRDefault="00C258A6" w:rsidP="00C258A6">
            <w:pPr>
              <w:pStyle w:val="FSTableText"/>
              <w:rPr>
                <w:sz w:val="18"/>
                <w:szCs w:val="18"/>
              </w:rPr>
            </w:pPr>
            <w:r w:rsidRPr="00E26ACD">
              <w:rPr>
                <w:sz w:val="18"/>
                <w:szCs w:val="18"/>
              </w:rPr>
              <w:t>Question 5: yes.</w:t>
            </w:r>
            <w:r w:rsidR="00C22DF2" w:rsidRPr="00E26ACD">
              <w:rPr>
                <w:sz w:val="18"/>
                <w:szCs w:val="18"/>
              </w:rPr>
              <w:t xml:space="preserve"> </w:t>
            </w:r>
          </w:p>
        </w:tc>
        <w:tc>
          <w:tcPr>
            <w:tcW w:w="5277" w:type="dxa"/>
          </w:tcPr>
          <w:p w:rsidR="00C258A6" w:rsidRPr="00E26ACD" w:rsidRDefault="00C258A6" w:rsidP="00C258A6">
            <w:pPr>
              <w:pStyle w:val="FSTableText"/>
              <w:rPr>
                <w:sz w:val="18"/>
                <w:szCs w:val="18"/>
              </w:rPr>
            </w:pPr>
            <w:r w:rsidRPr="00E26ACD">
              <w:rPr>
                <w:sz w:val="18"/>
                <w:szCs w:val="18"/>
              </w:rPr>
              <w:t>FSANZ w</w:t>
            </w:r>
            <w:r w:rsidR="007A7F5D" w:rsidRPr="00E26ACD">
              <w:rPr>
                <w:sz w:val="18"/>
                <w:szCs w:val="18"/>
              </w:rPr>
              <w:t>as responding to feedback that ‘</w:t>
            </w:r>
            <w:r w:rsidRPr="00E26ACD">
              <w:rPr>
                <w:sz w:val="18"/>
                <w:szCs w:val="18"/>
              </w:rPr>
              <w:t xml:space="preserve">ensures that substances added to food ... meet appropriate specifications for identity </w:t>
            </w:r>
            <w:r w:rsidR="007A7F5D" w:rsidRPr="00E26ACD">
              <w:rPr>
                <w:sz w:val="18"/>
                <w:szCs w:val="18"/>
              </w:rPr>
              <w:t>and purity of food additives...’</w:t>
            </w:r>
            <w:r w:rsidRPr="00E26ACD">
              <w:rPr>
                <w:sz w:val="18"/>
                <w:szCs w:val="18"/>
              </w:rPr>
              <w:t xml:space="preserve"> was ambiguous. This has now been made clear in the summary of the issue.</w:t>
            </w:r>
          </w:p>
          <w:p w:rsidR="00C258A6" w:rsidRPr="00E26ACD" w:rsidRDefault="00C258A6" w:rsidP="00C258A6">
            <w:pPr>
              <w:pStyle w:val="FSTableText"/>
              <w:rPr>
                <w:sz w:val="18"/>
                <w:szCs w:val="18"/>
              </w:rPr>
            </w:pPr>
            <w:r w:rsidRPr="00E26ACD">
              <w:rPr>
                <w:sz w:val="18"/>
                <w:szCs w:val="18"/>
              </w:rPr>
              <w:t>The amendment captures the</w:t>
            </w:r>
            <w:r w:rsidR="002C0E7D" w:rsidRPr="00E26ACD">
              <w:rPr>
                <w:sz w:val="18"/>
                <w:szCs w:val="18"/>
              </w:rPr>
              <w:t xml:space="preserve"> specific existing requirements:</w:t>
            </w:r>
          </w:p>
          <w:p w:rsidR="00C258A6" w:rsidRPr="00E26ACD" w:rsidRDefault="00C258A6" w:rsidP="00E64CEF">
            <w:pPr>
              <w:pStyle w:val="FSTableText"/>
              <w:numPr>
                <w:ilvl w:val="0"/>
                <w:numId w:val="5"/>
              </w:numPr>
              <w:rPr>
                <w:sz w:val="18"/>
                <w:szCs w:val="18"/>
              </w:rPr>
            </w:pPr>
            <w:r w:rsidRPr="00E26ACD">
              <w:rPr>
                <w:sz w:val="18"/>
                <w:szCs w:val="18"/>
              </w:rPr>
              <w:t>‘Other nutrients’ are covered by vitamins and minerals plus nutritive substances.</w:t>
            </w:r>
          </w:p>
          <w:p w:rsidR="00C258A6" w:rsidRPr="00E26ACD" w:rsidRDefault="00C258A6" w:rsidP="00E64CEF">
            <w:pPr>
              <w:pStyle w:val="FSTableText"/>
              <w:numPr>
                <w:ilvl w:val="0"/>
                <w:numId w:val="5"/>
              </w:numPr>
              <w:rPr>
                <w:sz w:val="18"/>
                <w:szCs w:val="18"/>
              </w:rPr>
            </w:pPr>
            <w:r w:rsidRPr="00E26ACD">
              <w:rPr>
                <w:sz w:val="18"/>
                <w:szCs w:val="18"/>
              </w:rPr>
              <w:t>There is no mention of other ‘biologically active substances’ in this clause at present, and it is inappropriate to include them.</w:t>
            </w:r>
          </w:p>
          <w:p w:rsidR="00C258A6" w:rsidRPr="00E26ACD" w:rsidRDefault="00C258A6" w:rsidP="00C258A6">
            <w:pPr>
              <w:pStyle w:val="FSTableText"/>
              <w:rPr>
                <w:sz w:val="18"/>
                <w:szCs w:val="18"/>
              </w:rPr>
            </w:pPr>
            <w:r w:rsidRPr="00E26ACD">
              <w:rPr>
                <w:sz w:val="18"/>
                <w:szCs w:val="18"/>
              </w:rPr>
              <w:t>(Note we are anticipating that in the future there is likely to be a revisiting of this clause.)</w:t>
            </w:r>
          </w:p>
        </w:tc>
      </w:tr>
      <w:tr w:rsidR="00C258A6" w:rsidRPr="006A0816" w:rsidTr="00981869">
        <w:trPr>
          <w:cantSplit/>
        </w:trPr>
        <w:tc>
          <w:tcPr>
            <w:tcW w:w="1606" w:type="dxa"/>
          </w:tcPr>
          <w:p w:rsidR="00C258A6" w:rsidRPr="00E26ACD" w:rsidRDefault="00CA74CD"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69</w:t>
            </w:r>
          </w:p>
        </w:tc>
        <w:tc>
          <w:tcPr>
            <w:tcW w:w="6484" w:type="dxa"/>
          </w:tcPr>
          <w:p w:rsidR="00C258A6" w:rsidRPr="00E26ACD" w:rsidRDefault="00C258A6" w:rsidP="00C258A6">
            <w:pPr>
              <w:pStyle w:val="FSTableText"/>
              <w:rPr>
                <w:sz w:val="18"/>
                <w:szCs w:val="18"/>
              </w:rPr>
            </w:pPr>
            <w:r w:rsidRPr="00E26ACD">
              <w:rPr>
                <w:sz w:val="18"/>
                <w:szCs w:val="18"/>
              </w:rPr>
              <w:t xml:space="preserve">Clause 2 continues to use the phrase </w:t>
            </w:r>
            <w:r w:rsidRPr="00E26ACD">
              <w:rPr>
                <w:i/>
                <w:sz w:val="18"/>
                <w:szCs w:val="18"/>
              </w:rPr>
              <w:t>(if any)</w:t>
            </w:r>
            <w:r w:rsidRPr="00E26ACD">
              <w:rPr>
                <w:sz w:val="18"/>
                <w:szCs w:val="18"/>
              </w:rPr>
              <w:t xml:space="preserve">, in relation to relevant monographs. This appears incorrect, as the effect of clause 2 is that a monograph will apply – either one in the Schedule or from another source. Therefore question continued inclusion of the term ‘if any’. </w:t>
            </w:r>
          </w:p>
        </w:tc>
        <w:tc>
          <w:tcPr>
            <w:tcW w:w="5277" w:type="dxa"/>
          </w:tcPr>
          <w:p w:rsidR="00C258A6" w:rsidRPr="00E26ACD" w:rsidRDefault="00C258A6" w:rsidP="002C0E7D">
            <w:pPr>
              <w:pStyle w:val="FSTableText"/>
              <w:rPr>
                <w:sz w:val="18"/>
                <w:szCs w:val="18"/>
              </w:rPr>
            </w:pPr>
            <w:r w:rsidRPr="00E26ACD">
              <w:rPr>
                <w:sz w:val="18"/>
                <w:szCs w:val="18"/>
              </w:rPr>
              <w:t xml:space="preserve">Agree – ‘(if any)’ is not necessary. </w:t>
            </w:r>
            <w:r w:rsidR="002C0E7D" w:rsidRPr="00E26ACD">
              <w:rPr>
                <w:sz w:val="18"/>
                <w:szCs w:val="18"/>
              </w:rPr>
              <w:t>R</w:t>
            </w:r>
            <w:r w:rsidRPr="00E26ACD">
              <w:rPr>
                <w:sz w:val="18"/>
                <w:szCs w:val="18"/>
              </w:rPr>
              <w:t>eference to ‘if any’ in clause 2 and clause 3 of Standard 1.3.4</w:t>
            </w:r>
            <w:r w:rsidR="002C0E7D" w:rsidRPr="00E26ACD">
              <w:rPr>
                <w:sz w:val="18"/>
                <w:szCs w:val="18"/>
              </w:rPr>
              <w:t xml:space="preserve"> has been removed</w:t>
            </w:r>
            <w:r w:rsidRPr="00E26ACD">
              <w:rPr>
                <w:sz w:val="18"/>
                <w:szCs w:val="18"/>
              </w:rPr>
              <w:t xml:space="preserve">. </w:t>
            </w:r>
          </w:p>
        </w:tc>
      </w:tr>
      <w:tr w:rsidR="00C258A6" w:rsidRPr="006B387F" w:rsidTr="00981869">
        <w:trPr>
          <w:cantSplit/>
        </w:trPr>
        <w:tc>
          <w:tcPr>
            <w:tcW w:w="1606" w:type="dxa"/>
          </w:tcPr>
          <w:p w:rsidR="00C258A6" w:rsidRPr="00E26ACD" w:rsidRDefault="00981869" w:rsidP="00C258A6">
            <w:pPr>
              <w:pStyle w:val="FSTableText"/>
              <w:rPr>
                <w:sz w:val="18"/>
                <w:szCs w:val="18"/>
              </w:rPr>
            </w:pPr>
            <w:r>
              <w:rPr>
                <w:sz w:val="18"/>
                <w:szCs w:val="18"/>
              </w:rPr>
              <w:t>FTA</w:t>
            </w:r>
          </w:p>
        </w:tc>
        <w:tc>
          <w:tcPr>
            <w:tcW w:w="807" w:type="dxa"/>
          </w:tcPr>
          <w:p w:rsidR="00C258A6" w:rsidRPr="00E26ACD" w:rsidRDefault="00C258A6" w:rsidP="00C258A6">
            <w:pPr>
              <w:pStyle w:val="FSTableText"/>
              <w:rPr>
                <w:sz w:val="18"/>
                <w:szCs w:val="18"/>
              </w:rPr>
            </w:pPr>
            <w:r w:rsidRPr="00E26ACD">
              <w:rPr>
                <w:sz w:val="18"/>
                <w:szCs w:val="18"/>
              </w:rPr>
              <w:t>70</w:t>
            </w:r>
          </w:p>
        </w:tc>
        <w:tc>
          <w:tcPr>
            <w:tcW w:w="6484" w:type="dxa"/>
          </w:tcPr>
          <w:p w:rsidR="00C258A6" w:rsidRPr="00E26ACD" w:rsidRDefault="00C258A6" w:rsidP="00C258A6">
            <w:pPr>
              <w:pStyle w:val="FSTableText"/>
              <w:rPr>
                <w:sz w:val="18"/>
                <w:szCs w:val="18"/>
              </w:rPr>
            </w:pPr>
            <w:r w:rsidRPr="00E26ACD">
              <w:rPr>
                <w:sz w:val="18"/>
                <w:szCs w:val="18"/>
              </w:rPr>
              <w:t>Question 5: Yes.</w:t>
            </w:r>
          </w:p>
          <w:p w:rsidR="00C258A6" w:rsidRPr="00E26ACD" w:rsidRDefault="00C258A6" w:rsidP="00C258A6">
            <w:pPr>
              <w:pStyle w:val="FSTableText"/>
              <w:rPr>
                <w:sz w:val="18"/>
                <w:szCs w:val="18"/>
              </w:rPr>
            </w:pPr>
            <w:r w:rsidRPr="00E26ACD">
              <w:rPr>
                <w:sz w:val="18"/>
                <w:szCs w:val="18"/>
              </w:rPr>
              <w:t xml:space="preserve">Preferably if a legal method can be found to write the clauses to allow the latest published version become the recognised reference on the day of publication, it would obviate the current system of references often being out of date. </w:t>
            </w:r>
          </w:p>
          <w:p w:rsidR="00C258A6" w:rsidRPr="00E26ACD" w:rsidRDefault="00C258A6" w:rsidP="00C258A6">
            <w:pPr>
              <w:pStyle w:val="FSTableText"/>
              <w:rPr>
                <w:sz w:val="18"/>
                <w:szCs w:val="18"/>
              </w:rPr>
            </w:pPr>
            <w:r w:rsidRPr="00E26ACD">
              <w:rPr>
                <w:sz w:val="18"/>
                <w:szCs w:val="18"/>
              </w:rPr>
              <w:t xml:space="preserve">Question 6: not aware of any other references that should be included. </w:t>
            </w:r>
          </w:p>
        </w:tc>
        <w:tc>
          <w:tcPr>
            <w:tcW w:w="5277" w:type="dxa"/>
          </w:tcPr>
          <w:p w:rsidR="00C258A6" w:rsidRPr="00E26ACD" w:rsidRDefault="00C258A6" w:rsidP="00170DA7">
            <w:pPr>
              <w:pStyle w:val="FSTableText"/>
              <w:rPr>
                <w:sz w:val="18"/>
                <w:szCs w:val="18"/>
              </w:rPr>
            </w:pPr>
            <w:r w:rsidRPr="00E26ACD">
              <w:rPr>
                <w:sz w:val="18"/>
                <w:szCs w:val="18"/>
              </w:rPr>
              <w:t xml:space="preserve">Acknowledged but </w:t>
            </w:r>
            <w:r w:rsidR="00170DA7" w:rsidRPr="00E26ACD">
              <w:rPr>
                <w:sz w:val="18"/>
                <w:szCs w:val="18"/>
              </w:rPr>
              <w:t xml:space="preserve">this is </w:t>
            </w:r>
            <w:r w:rsidRPr="00E26ACD">
              <w:rPr>
                <w:sz w:val="18"/>
                <w:szCs w:val="18"/>
              </w:rPr>
              <w:t>not possible</w:t>
            </w:r>
            <w:r w:rsidR="006563A8" w:rsidRPr="00E26ACD">
              <w:rPr>
                <w:sz w:val="18"/>
                <w:szCs w:val="18"/>
              </w:rPr>
              <w:t xml:space="preserve"> </w:t>
            </w:r>
            <w:r w:rsidR="00AE1CA0" w:rsidRPr="00E26ACD">
              <w:rPr>
                <w:sz w:val="18"/>
                <w:szCs w:val="18"/>
              </w:rPr>
              <w:t xml:space="preserve">under </w:t>
            </w:r>
            <w:r w:rsidR="00170DA7" w:rsidRPr="00E26ACD">
              <w:rPr>
                <w:sz w:val="18"/>
                <w:szCs w:val="18"/>
              </w:rPr>
              <w:t>14(1)(a) of the Legislative Instruments Act. </w:t>
            </w:r>
          </w:p>
        </w:tc>
      </w:tr>
      <w:tr w:rsidR="00C258A6" w:rsidRPr="006B387F" w:rsidTr="00981869">
        <w:trPr>
          <w:cantSplit/>
        </w:trPr>
        <w:tc>
          <w:tcPr>
            <w:tcW w:w="1606" w:type="dxa"/>
          </w:tcPr>
          <w:p w:rsidR="00C258A6" w:rsidRPr="00E26ACD" w:rsidRDefault="00CA74CD" w:rsidP="00981869">
            <w:pPr>
              <w:pStyle w:val="FSTableText"/>
              <w:rPr>
                <w:sz w:val="18"/>
                <w:szCs w:val="18"/>
              </w:rPr>
            </w:pPr>
            <w:r w:rsidRPr="00E26ACD">
              <w:rPr>
                <w:sz w:val="18"/>
                <w:szCs w:val="18"/>
              </w:rPr>
              <w:t xml:space="preserve">NZ </w:t>
            </w:r>
            <w:r w:rsidR="00981869">
              <w:rPr>
                <w:sz w:val="18"/>
                <w:szCs w:val="18"/>
              </w:rPr>
              <w:t>MAF</w:t>
            </w:r>
            <w:r w:rsidR="00981869" w:rsidRPr="00E26ACD">
              <w:rPr>
                <w:sz w:val="18"/>
                <w:szCs w:val="18"/>
              </w:rPr>
              <w:t xml:space="preserve"> </w:t>
            </w:r>
          </w:p>
        </w:tc>
        <w:tc>
          <w:tcPr>
            <w:tcW w:w="807" w:type="dxa"/>
          </w:tcPr>
          <w:p w:rsidR="00C258A6" w:rsidRPr="00E26ACD" w:rsidRDefault="00C258A6" w:rsidP="00C258A6">
            <w:pPr>
              <w:pStyle w:val="FSTableText"/>
              <w:rPr>
                <w:sz w:val="18"/>
                <w:szCs w:val="18"/>
              </w:rPr>
            </w:pPr>
            <w:r w:rsidRPr="00E26ACD">
              <w:rPr>
                <w:sz w:val="18"/>
                <w:szCs w:val="18"/>
              </w:rPr>
              <w:t>70</w:t>
            </w:r>
          </w:p>
        </w:tc>
        <w:tc>
          <w:tcPr>
            <w:tcW w:w="6484" w:type="dxa"/>
          </w:tcPr>
          <w:p w:rsidR="00C258A6" w:rsidRPr="00E26ACD" w:rsidRDefault="00C258A6" w:rsidP="00C258A6">
            <w:pPr>
              <w:pStyle w:val="FSTableText"/>
              <w:rPr>
                <w:sz w:val="18"/>
                <w:szCs w:val="18"/>
              </w:rPr>
            </w:pPr>
            <w:r w:rsidRPr="00E26ACD">
              <w:rPr>
                <w:sz w:val="18"/>
                <w:szCs w:val="18"/>
              </w:rPr>
              <w:t xml:space="preserve">Question 5: Yes. This will ensure the widest coverage of substances (especially for processing aids, which may not have a JECFA specification). </w:t>
            </w:r>
          </w:p>
        </w:tc>
        <w:tc>
          <w:tcPr>
            <w:tcW w:w="5277" w:type="dxa"/>
          </w:tcPr>
          <w:p w:rsidR="00C258A6" w:rsidRPr="00E26ACD" w:rsidRDefault="00C258A6" w:rsidP="00C258A6">
            <w:pPr>
              <w:pStyle w:val="FSTableText"/>
              <w:rPr>
                <w:sz w:val="18"/>
                <w:szCs w:val="18"/>
              </w:rPr>
            </w:pPr>
            <w:r w:rsidRPr="00E26ACD">
              <w:rPr>
                <w:sz w:val="18"/>
                <w:szCs w:val="18"/>
              </w:rPr>
              <w:t xml:space="preserve">Support noted. </w:t>
            </w:r>
          </w:p>
          <w:p w:rsidR="00C258A6" w:rsidRPr="00E26ACD" w:rsidRDefault="00C258A6" w:rsidP="00C258A6">
            <w:pPr>
              <w:pStyle w:val="FSTableText"/>
              <w:rPr>
                <w:sz w:val="18"/>
                <w:szCs w:val="18"/>
              </w:rPr>
            </w:pP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Bioplus Life Sciences Private Limited</w:t>
            </w:r>
          </w:p>
        </w:tc>
        <w:tc>
          <w:tcPr>
            <w:tcW w:w="807" w:type="dxa"/>
          </w:tcPr>
          <w:p w:rsidR="00C258A6" w:rsidRPr="00E26ACD" w:rsidRDefault="00C258A6" w:rsidP="00C258A6">
            <w:pPr>
              <w:pStyle w:val="FSTableText"/>
              <w:rPr>
                <w:sz w:val="18"/>
                <w:szCs w:val="18"/>
              </w:rPr>
            </w:pPr>
            <w:r w:rsidRPr="00E26ACD">
              <w:rPr>
                <w:sz w:val="18"/>
                <w:szCs w:val="18"/>
              </w:rPr>
              <w:t>72</w:t>
            </w:r>
          </w:p>
        </w:tc>
        <w:tc>
          <w:tcPr>
            <w:tcW w:w="6484" w:type="dxa"/>
          </w:tcPr>
          <w:p w:rsidR="00C258A6" w:rsidRPr="00E26ACD" w:rsidRDefault="00C258A6" w:rsidP="00C258A6">
            <w:pPr>
              <w:pStyle w:val="FSTableText"/>
              <w:rPr>
                <w:sz w:val="18"/>
                <w:szCs w:val="18"/>
              </w:rPr>
            </w:pPr>
            <w:r w:rsidRPr="00E26ACD">
              <w:rPr>
                <w:sz w:val="18"/>
                <w:szCs w:val="18"/>
              </w:rPr>
              <w:t>Support the new specifications for oil derived from marine micro-algae (</w:t>
            </w:r>
            <w:r w:rsidRPr="00E26ACD">
              <w:rPr>
                <w:i/>
                <w:iCs/>
                <w:sz w:val="18"/>
                <w:szCs w:val="18"/>
              </w:rPr>
              <w:t xml:space="preserve">Schizochytrium </w:t>
            </w:r>
            <w:r w:rsidRPr="00E26ACD">
              <w:rPr>
                <w:sz w:val="18"/>
                <w:szCs w:val="18"/>
              </w:rPr>
              <w:t xml:space="preserve">sp) rich in DHA. </w:t>
            </w:r>
          </w:p>
          <w:p w:rsidR="00C258A6" w:rsidRPr="00E26ACD" w:rsidRDefault="00C258A6" w:rsidP="00C258A6">
            <w:pPr>
              <w:pStyle w:val="FSTableText"/>
              <w:rPr>
                <w:sz w:val="18"/>
                <w:szCs w:val="18"/>
              </w:rPr>
            </w:pPr>
            <w:r w:rsidRPr="00E26ACD">
              <w:rPr>
                <w:sz w:val="18"/>
                <w:szCs w:val="18"/>
              </w:rPr>
              <w:t xml:space="preserve">Propose amendments to include free fatty acid content and palmitic acid content </w:t>
            </w:r>
          </w:p>
        </w:tc>
        <w:tc>
          <w:tcPr>
            <w:tcW w:w="5277" w:type="dxa"/>
          </w:tcPr>
          <w:p w:rsidR="00C258A6" w:rsidRPr="00E26ACD" w:rsidRDefault="00C258A6" w:rsidP="00C258A6">
            <w:pPr>
              <w:pStyle w:val="FSTableText"/>
              <w:rPr>
                <w:sz w:val="18"/>
                <w:szCs w:val="18"/>
              </w:rPr>
            </w:pPr>
            <w:r w:rsidRPr="00E26ACD">
              <w:rPr>
                <w:sz w:val="18"/>
                <w:szCs w:val="18"/>
              </w:rPr>
              <w:t>Acknowledge support for the new specifications.</w:t>
            </w:r>
          </w:p>
          <w:p w:rsidR="00C258A6" w:rsidRPr="00E26ACD" w:rsidRDefault="00C258A6" w:rsidP="00C258A6">
            <w:pPr>
              <w:pStyle w:val="FSTableText"/>
              <w:rPr>
                <w:sz w:val="18"/>
                <w:szCs w:val="18"/>
              </w:rPr>
            </w:pPr>
            <w:r w:rsidRPr="00E26ACD">
              <w:rPr>
                <w:sz w:val="18"/>
                <w:szCs w:val="18"/>
              </w:rPr>
              <w:t>FSANZ does not see the need for specifying the levels of free fatty acid content and palmitic acid as these are quality rather than specification issues.</w:t>
            </w:r>
          </w:p>
        </w:tc>
      </w:tr>
      <w:tr w:rsidR="00C258A6" w:rsidRPr="006B387F" w:rsidTr="00981869">
        <w:trPr>
          <w:cantSplit/>
        </w:trPr>
        <w:tc>
          <w:tcPr>
            <w:tcW w:w="1606" w:type="dxa"/>
          </w:tcPr>
          <w:p w:rsidR="00C258A6" w:rsidRPr="00E26ACD" w:rsidRDefault="00CA74CD"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75</w:t>
            </w:r>
          </w:p>
        </w:tc>
        <w:tc>
          <w:tcPr>
            <w:tcW w:w="6484" w:type="dxa"/>
          </w:tcPr>
          <w:p w:rsidR="00C258A6" w:rsidRPr="00E26ACD" w:rsidRDefault="00C258A6" w:rsidP="00C258A6">
            <w:pPr>
              <w:pStyle w:val="FSTableText"/>
              <w:rPr>
                <w:sz w:val="18"/>
                <w:szCs w:val="18"/>
              </w:rPr>
            </w:pPr>
            <w:r w:rsidRPr="00E26ACD">
              <w:rPr>
                <w:sz w:val="18"/>
                <w:szCs w:val="18"/>
              </w:rPr>
              <w:t xml:space="preserve">[17.5] Agree with the clarification for chocolate and cocoa products. </w:t>
            </w:r>
          </w:p>
          <w:p w:rsidR="00C258A6" w:rsidRPr="00E26ACD" w:rsidRDefault="00C258A6" w:rsidP="00C258A6">
            <w:pPr>
              <w:pStyle w:val="FSTableText"/>
              <w:rPr>
                <w:sz w:val="18"/>
                <w:szCs w:val="18"/>
              </w:rPr>
            </w:pPr>
          </w:p>
        </w:tc>
        <w:tc>
          <w:tcPr>
            <w:tcW w:w="5277" w:type="dxa"/>
          </w:tcPr>
          <w:p w:rsidR="00C258A6" w:rsidRPr="00E26ACD" w:rsidRDefault="00C258A6" w:rsidP="00C258A6">
            <w:pPr>
              <w:pStyle w:val="FSTableText"/>
              <w:rPr>
                <w:sz w:val="18"/>
                <w:szCs w:val="18"/>
              </w:rPr>
            </w:pPr>
            <w:r w:rsidRPr="00E26ACD">
              <w:rPr>
                <w:sz w:val="18"/>
                <w:szCs w:val="18"/>
              </w:rPr>
              <w:t xml:space="preserve">Support noted. </w:t>
            </w: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lastRenderedPageBreak/>
              <w:t>The Australian Industry Group, Confectionery Sector</w:t>
            </w:r>
          </w:p>
        </w:tc>
        <w:tc>
          <w:tcPr>
            <w:tcW w:w="807" w:type="dxa"/>
          </w:tcPr>
          <w:p w:rsidR="00C258A6" w:rsidRPr="00E26ACD" w:rsidRDefault="00C258A6" w:rsidP="00C258A6">
            <w:pPr>
              <w:pStyle w:val="FSTableText"/>
              <w:rPr>
                <w:sz w:val="18"/>
                <w:szCs w:val="18"/>
              </w:rPr>
            </w:pPr>
            <w:r w:rsidRPr="00E26ACD">
              <w:rPr>
                <w:sz w:val="18"/>
                <w:szCs w:val="18"/>
              </w:rPr>
              <w:t>75</w:t>
            </w:r>
          </w:p>
        </w:tc>
        <w:tc>
          <w:tcPr>
            <w:tcW w:w="6484" w:type="dxa"/>
          </w:tcPr>
          <w:p w:rsidR="00C258A6" w:rsidRPr="00E26ACD" w:rsidRDefault="00C258A6" w:rsidP="00C258A6">
            <w:pPr>
              <w:pStyle w:val="FSTableText"/>
              <w:rPr>
                <w:sz w:val="18"/>
                <w:szCs w:val="18"/>
              </w:rPr>
            </w:pPr>
            <w:r w:rsidRPr="00E26ACD">
              <w:rPr>
                <w:sz w:val="18"/>
                <w:szCs w:val="18"/>
              </w:rPr>
              <w:t>Supports the need for clarification in the Table to clause 2 of Standard 1.4.1.</w:t>
            </w:r>
          </w:p>
          <w:p w:rsidR="00C258A6" w:rsidRPr="00E26ACD" w:rsidRDefault="00C258A6" w:rsidP="00C258A6">
            <w:pPr>
              <w:pStyle w:val="FSTableText"/>
              <w:rPr>
                <w:sz w:val="18"/>
                <w:szCs w:val="18"/>
              </w:rPr>
            </w:pPr>
            <w:r w:rsidRPr="00E26ACD">
              <w:rPr>
                <w:sz w:val="18"/>
                <w:szCs w:val="18"/>
              </w:rPr>
              <w:t>Proposes that clarification ensures the ML for cadmium apply to the finished products as intended (as consumed or at retail).</w:t>
            </w:r>
          </w:p>
          <w:p w:rsidR="00C258A6" w:rsidRPr="00E26ACD" w:rsidRDefault="00C258A6" w:rsidP="00C258A6">
            <w:pPr>
              <w:pStyle w:val="FSTableText"/>
              <w:rPr>
                <w:sz w:val="18"/>
                <w:szCs w:val="18"/>
              </w:rPr>
            </w:pPr>
          </w:p>
        </w:tc>
        <w:tc>
          <w:tcPr>
            <w:tcW w:w="5277" w:type="dxa"/>
          </w:tcPr>
          <w:p w:rsidR="00C258A6" w:rsidRPr="00E26ACD" w:rsidRDefault="00C258A6" w:rsidP="00C258A6">
            <w:pPr>
              <w:pStyle w:val="FSTableText"/>
              <w:rPr>
                <w:sz w:val="18"/>
                <w:szCs w:val="18"/>
              </w:rPr>
            </w:pPr>
            <w:r w:rsidRPr="00E26ACD">
              <w:rPr>
                <w:sz w:val="18"/>
                <w:szCs w:val="18"/>
              </w:rPr>
              <w:t xml:space="preserve">The principle of this clarification is that the Standard was to only apply to food as sold, however it </w:t>
            </w:r>
            <w:r w:rsidR="00590E78" w:rsidRPr="00E26ACD">
              <w:rPr>
                <w:sz w:val="18"/>
                <w:szCs w:val="18"/>
              </w:rPr>
              <w:t>was</w:t>
            </w:r>
            <w:r w:rsidRPr="00E26ACD">
              <w:rPr>
                <w:sz w:val="18"/>
                <w:szCs w:val="18"/>
              </w:rPr>
              <w:t xml:space="preserve"> not possible to define this precisely.</w:t>
            </w:r>
          </w:p>
          <w:p w:rsidR="00C258A6" w:rsidRPr="00E26ACD" w:rsidRDefault="00590E78" w:rsidP="00C258A6">
            <w:pPr>
              <w:pStyle w:val="FSTableText"/>
              <w:rPr>
                <w:sz w:val="18"/>
                <w:szCs w:val="18"/>
              </w:rPr>
            </w:pPr>
            <w:r w:rsidRPr="00E26ACD">
              <w:rPr>
                <w:sz w:val="18"/>
                <w:szCs w:val="18"/>
              </w:rPr>
              <w:t xml:space="preserve">FSANZ acknowledges </w:t>
            </w:r>
            <w:r w:rsidR="00C258A6" w:rsidRPr="00E26ACD">
              <w:rPr>
                <w:sz w:val="18"/>
                <w:szCs w:val="18"/>
              </w:rPr>
              <w:t xml:space="preserve">that some intermediate products (for example, chocolate crumb) </w:t>
            </w:r>
            <w:r w:rsidRPr="00E26ACD">
              <w:rPr>
                <w:sz w:val="18"/>
                <w:szCs w:val="18"/>
              </w:rPr>
              <w:t>would</w:t>
            </w:r>
            <w:r w:rsidR="00C258A6" w:rsidRPr="00E26ACD">
              <w:rPr>
                <w:sz w:val="18"/>
                <w:szCs w:val="18"/>
              </w:rPr>
              <w:t xml:space="preserve"> need to comply with the </w:t>
            </w:r>
            <w:r w:rsidRPr="00E26ACD">
              <w:rPr>
                <w:sz w:val="18"/>
                <w:szCs w:val="18"/>
              </w:rPr>
              <w:t xml:space="preserve">proposed </w:t>
            </w:r>
            <w:r w:rsidR="00C258A6" w:rsidRPr="00E26ACD">
              <w:rPr>
                <w:sz w:val="18"/>
                <w:szCs w:val="18"/>
              </w:rPr>
              <w:t>Standard.</w:t>
            </w:r>
          </w:p>
          <w:p w:rsidR="00C258A6" w:rsidRPr="00E26ACD" w:rsidRDefault="00C258A6" w:rsidP="00D53538">
            <w:pPr>
              <w:pStyle w:val="FSTableText"/>
              <w:rPr>
                <w:sz w:val="18"/>
                <w:szCs w:val="18"/>
              </w:rPr>
            </w:pPr>
            <w:r w:rsidRPr="00E26ACD">
              <w:rPr>
                <w:sz w:val="18"/>
                <w:szCs w:val="18"/>
              </w:rPr>
              <w:t xml:space="preserve">Conversely, it </w:t>
            </w:r>
            <w:r w:rsidR="00590E78" w:rsidRPr="00E26ACD">
              <w:rPr>
                <w:sz w:val="18"/>
                <w:szCs w:val="18"/>
              </w:rPr>
              <w:t xml:space="preserve">was </w:t>
            </w:r>
            <w:r w:rsidRPr="00E26ACD">
              <w:rPr>
                <w:sz w:val="18"/>
                <w:szCs w:val="18"/>
              </w:rPr>
              <w:t xml:space="preserve">recognised that cocoa powder containing no other ingredients and sold at retail </w:t>
            </w:r>
            <w:r w:rsidR="00590E78" w:rsidRPr="00E26ACD">
              <w:rPr>
                <w:sz w:val="18"/>
                <w:szCs w:val="18"/>
              </w:rPr>
              <w:t xml:space="preserve">would </w:t>
            </w:r>
            <w:r w:rsidRPr="00E26ACD">
              <w:rPr>
                <w:sz w:val="18"/>
                <w:szCs w:val="18"/>
              </w:rPr>
              <w:t xml:space="preserve">not </w:t>
            </w:r>
            <w:r w:rsidR="00590E78" w:rsidRPr="00E26ACD">
              <w:rPr>
                <w:sz w:val="18"/>
                <w:szCs w:val="18"/>
              </w:rPr>
              <w:t xml:space="preserve">be </w:t>
            </w:r>
            <w:r w:rsidRPr="00E26ACD">
              <w:rPr>
                <w:sz w:val="18"/>
                <w:szCs w:val="18"/>
              </w:rPr>
              <w:t>required to meet this Standard.</w:t>
            </w:r>
            <w:r w:rsidR="00590E78" w:rsidRPr="00E26ACD">
              <w:rPr>
                <w:sz w:val="18"/>
                <w:szCs w:val="18"/>
              </w:rPr>
              <w:br/>
              <w:t xml:space="preserve">As the issue has not been satisfactorily resolved, FSANZ </w:t>
            </w:r>
            <w:r w:rsidR="00D53538" w:rsidRPr="00E26ACD">
              <w:rPr>
                <w:sz w:val="18"/>
                <w:szCs w:val="18"/>
              </w:rPr>
              <w:t>has not proceeded</w:t>
            </w:r>
            <w:r w:rsidR="00590E78" w:rsidRPr="00E26ACD">
              <w:rPr>
                <w:sz w:val="18"/>
                <w:szCs w:val="18"/>
              </w:rPr>
              <w:t xml:space="preserve"> with the proposed amendment in this Proposal.</w:t>
            </w:r>
          </w:p>
        </w:tc>
      </w:tr>
      <w:tr w:rsidR="00C258A6" w:rsidTr="00981869">
        <w:trPr>
          <w:cantSplit/>
        </w:trPr>
        <w:tc>
          <w:tcPr>
            <w:tcW w:w="1606" w:type="dxa"/>
          </w:tcPr>
          <w:p w:rsidR="00C258A6" w:rsidRPr="00E26ACD" w:rsidRDefault="00CA74CD"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76</w:t>
            </w:r>
          </w:p>
        </w:tc>
        <w:tc>
          <w:tcPr>
            <w:tcW w:w="6484" w:type="dxa"/>
          </w:tcPr>
          <w:p w:rsidR="00C258A6" w:rsidRPr="00E26ACD" w:rsidRDefault="00C258A6" w:rsidP="00C258A6">
            <w:pPr>
              <w:pStyle w:val="FSTableText"/>
              <w:rPr>
                <w:sz w:val="18"/>
                <w:szCs w:val="18"/>
              </w:rPr>
            </w:pPr>
            <w:r w:rsidRPr="00E26ACD">
              <w:rPr>
                <w:sz w:val="18"/>
                <w:szCs w:val="18"/>
              </w:rPr>
              <w:t xml:space="preserve">[17.17] The units in column 3 in the table to clause 5 are not expressed consistently with the tables in clauses 3 and 4. </w:t>
            </w:r>
          </w:p>
        </w:tc>
        <w:tc>
          <w:tcPr>
            <w:tcW w:w="5277" w:type="dxa"/>
          </w:tcPr>
          <w:p w:rsidR="00C258A6" w:rsidRPr="00E26ACD" w:rsidRDefault="00C258A6" w:rsidP="00B335C7">
            <w:pPr>
              <w:pStyle w:val="FSTableText"/>
              <w:rPr>
                <w:sz w:val="18"/>
                <w:szCs w:val="18"/>
              </w:rPr>
            </w:pPr>
            <w:r w:rsidRPr="00E26ACD">
              <w:rPr>
                <w:sz w:val="18"/>
                <w:szCs w:val="18"/>
              </w:rPr>
              <w:t xml:space="preserve">Agree, amendment </w:t>
            </w:r>
            <w:r w:rsidR="00B335C7" w:rsidRPr="00E26ACD">
              <w:rPr>
                <w:sz w:val="18"/>
                <w:szCs w:val="18"/>
              </w:rPr>
              <w:t>has</w:t>
            </w:r>
            <w:r w:rsidR="004B7F21" w:rsidRPr="00E26ACD">
              <w:rPr>
                <w:sz w:val="18"/>
                <w:szCs w:val="18"/>
              </w:rPr>
              <w:t xml:space="preserve"> be</w:t>
            </w:r>
            <w:r w:rsidR="00B335C7" w:rsidRPr="00E26ACD">
              <w:rPr>
                <w:sz w:val="18"/>
                <w:szCs w:val="18"/>
              </w:rPr>
              <w:t>en</w:t>
            </w:r>
            <w:r w:rsidR="004B7F21" w:rsidRPr="00E26ACD">
              <w:rPr>
                <w:sz w:val="18"/>
                <w:szCs w:val="18"/>
              </w:rPr>
              <w:t xml:space="preserve"> made</w:t>
            </w:r>
            <w:r w:rsidRPr="00E26ACD">
              <w:rPr>
                <w:sz w:val="18"/>
                <w:szCs w:val="18"/>
              </w:rPr>
              <w:t xml:space="preserve"> to provide a consistent approach across the Tables to clauses 2-5. </w:t>
            </w:r>
          </w:p>
        </w:tc>
      </w:tr>
      <w:tr w:rsidR="00C258A6" w:rsidRPr="006A0816" w:rsidTr="00981869">
        <w:trPr>
          <w:cantSplit/>
        </w:trPr>
        <w:tc>
          <w:tcPr>
            <w:tcW w:w="1606" w:type="dxa"/>
          </w:tcPr>
          <w:p w:rsidR="00C258A6" w:rsidRPr="00E26ACD" w:rsidRDefault="00CA74CD"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84</w:t>
            </w:r>
          </w:p>
        </w:tc>
        <w:tc>
          <w:tcPr>
            <w:tcW w:w="6484" w:type="dxa"/>
          </w:tcPr>
          <w:p w:rsidR="00C258A6" w:rsidRPr="00E26ACD" w:rsidRDefault="00C258A6" w:rsidP="00C258A6">
            <w:pPr>
              <w:pStyle w:val="FSTableText"/>
              <w:rPr>
                <w:sz w:val="18"/>
                <w:szCs w:val="18"/>
              </w:rPr>
            </w:pPr>
            <w:r w:rsidRPr="00E26ACD">
              <w:rPr>
                <w:sz w:val="18"/>
                <w:szCs w:val="18"/>
              </w:rPr>
              <w:t xml:space="preserve">[21.3] Agree with the solution concerning the entry for unpasteurised milk however the issue is not fully explained in the document. </w:t>
            </w:r>
          </w:p>
        </w:tc>
        <w:tc>
          <w:tcPr>
            <w:tcW w:w="5277" w:type="dxa"/>
          </w:tcPr>
          <w:p w:rsidR="00C258A6" w:rsidRPr="00E26ACD" w:rsidRDefault="00C258A6" w:rsidP="00C258A6">
            <w:pPr>
              <w:pStyle w:val="FSTableText"/>
              <w:rPr>
                <w:sz w:val="18"/>
                <w:szCs w:val="18"/>
              </w:rPr>
            </w:pPr>
            <w:r w:rsidRPr="00E26ACD">
              <w:rPr>
                <w:sz w:val="18"/>
                <w:szCs w:val="18"/>
              </w:rPr>
              <w:t>Issue rewritten more clearly in Approval Report.</w:t>
            </w:r>
          </w:p>
        </w:tc>
      </w:tr>
      <w:tr w:rsidR="00C258A6" w:rsidRPr="006A0816" w:rsidTr="00981869">
        <w:trPr>
          <w:cantSplit/>
        </w:trPr>
        <w:tc>
          <w:tcPr>
            <w:tcW w:w="1606" w:type="dxa"/>
          </w:tcPr>
          <w:p w:rsidR="00C258A6" w:rsidRPr="00E26ACD" w:rsidRDefault="00981869" w:rsidP="00C258A6">
            <w:pPr>
              <w:pStyle w:val="FSTableText"/>
              <w:rPr>
                <w:sz w:val="18"/>
                <w:szCs w:val="18"/>
              </w:rPr>
            </w:pPr>
            <w:r>
              <w:rPr>
                <w:sz w:val="18"/>
                <w:szCs w:val="18"/>
              </w:rPr>
              <w:t>Vic Health</w:t>
            </w:r>
          </w:p>
        </w:tc>
        <w:tc>
          <w:tcPr>
            <w:tcW w:w="807" w:type="dxa"/>
          </w:tcPr>
          <w:p w:rsidR="00C258A6" w:rsidRPr="00E26ACD" w:rsidRDefault="00C258A6" w:rsidP="00C258A6">
            <w:pPr>
              <w:pStyle w:val="FSTableText"/>
              <w:rPr>
                <w:sz w:val="18"/>
                <w:szCs w:val="18"/>
              </w:rPr>
            </w:pPr>
            <w:r w:rsidRPr="00E26ACD">
              <w:rPr>
                <w:sz w:val="18"/>
                <w:szCs w:val="18"/>
              </w:rPr>
              <w:t>84</w:t>
            </w:r>
          </w:p>
        </w:tc>
        <w:tc>
          <w:tcPr>
            <w:tcW w:w="6484" w:type="dxa"/>
          </w:tcPr>
          <w:p w:rsidR="00C258A6" w:rsidRPr="00E26ACD" w:rsidRDefault="00C258A6" w:rsidP="00C258A6">
            <w:pPr>
              <w:pStyle w:val="FSTableText"/>
              <w:rPr>
                <w:sz w:val="18"/>
                <w:szCs w:val="18"/>
              </w:rPr>
            </w:pPr>
            <w:r w:rsidRPr="00E26ACD">
              <w:rPr>
                <w:sz w:val="18"/>
                <w:szCs w:val="18"/>
              </w:rPr>
              <w:t xml:space="preserve">P1007 will include the consideration of a microbiological standard for unpasteurised milk to be used in the manufacture of raw milk products so any amendments to Standard 1.6.1 should be made when that Proposal is finalised. </w:t>
            </w:r>
          </w:p>
        </w:tc>
        <w:tc>
          <w:tcPr>
            <w:tcW w:w="5277" w:type="dxa"/>
          </w:tcPr>
          <w:p w:rsidR="00C258A6" w:rsidRPr="00E26ACD" w:rsidRDefault="00C258A6" w:rsidP="00C258A6">
            <w:pPr>
              <w:pStyle w:val="FSTableText"/>
              <w:rPr>
                <w:sz w:val="18"/>
                <w:szCs w:val="18"/>
              </w:rPr>
            </w:pPr>
            <w:r w:rsidRPr="00E26ACD">
              <w:rPr>
                <w:sz w:val="18"/>
                <w:szCs w:val="18"/>
              </w:rPr>
              <w:t>This is not a change to the Standard, just a relocation of the existing qualification to a more logical place – i.e. in the Table itself, consistent with Code Audit recommendations.</w:t>
            </w:r>
          </w:p>
        </w:tc>
      </w:tr>
      <w:tr w:rsidR="00C258A6" w:rsidRPr="000C6288" w:rsidTr="00981869">
        <w:trPr>
          <w:cantSplit/>
        </w:trPr>
        <w:tc>
          <w:tcPr>
            <w:tcW w:w="1606" w:type="dxa"/>
          </w:tcPr>
          <w:p w:rsidR="00C258A6" w:rsidRPr="00E26ACD" w:rsidRDefault="00CA74CD"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88</w:t>
            </w:r>
          </w:p>
        </w:tc>
        <w:tc>
          <w:tcPr>
            <w:tcW w:w="6484" w:type="dxa"/>
          </w:tcPr>
          <w:p w:rsidR="00C258A6" w:rsidRPr="00E26ACD" w:rsidRDefault="00C258A6" w:rsidP="00C258A6">
            <w:pPr>
              <w:pStyle w:val="FSTableText"/>
              <w:rPr>
                <w:sz w:val="18"/>
                <w:szCs w:val="18"/>
              </w:rPr>
            </w:pPr>
            <w:r w:rsidRPr="00E26ACD">
              <w:rPr>
                <w:sz w:val="18"/>
                <w:szCs w:val="18"/>
              </w:rPr>
              <w:t xml:space="preserve">[23.2] Concerned that current clause 4(2), which prohibits certain types of offal, does not appear to be reflected in the current drafting. </w:t>
            </w:r>
          </w:p>
        </w:tc>
        <w:tc>
          <w:tcPr>
            <w:tcW w:w="5277" w:type="dxa"/>
          </w:tcPr>
          <w:p w:rsidR="00C258A6" w:rsidRPr="00E26ACD" w:rsidRDefault="00C258A6" w:rsidP="00C258A6">
            <w:pPr>
              <w:pStyle w:val="FSTableText"/>
              <w:rPr>
                <w:sz w:val="18"/>
                <w:szCs w:val="18"/>
              </w:rPr>
            </w:pPr>
            <w:r w:rsidRPr="00E26ACD">
              <w:rPr>
                <w:sz w:val="18"/>
                <w:szCs w:val="18"/>
              </w:rPr>
              <w:t>Discussion with the submitter indicates they no longer have this concern and support the proposed drafting.</w:t>
            </w:r>
          </w:p>
        </w:tc>
      </w:tr>
      <w:tr w:rsidR="00C258A6" w:rsidTr="00981869">
        <w:trPr>
          <w:cantSplit/>
        </w:trPr>
        <w:tc>
          <w:tcPr>
            <w:tcW w:w="1606" w:type="dxa"/>
          </w:tcPr>
          <w:p w:rsidR="00C258A6" w:rsidRPr="00E26ACD" w:rsidRDefault="00CA74CD"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89</w:t>
            </w:r>
          </w:p>
        </w:tc>
        <w:tc>
          <w:tcPr>
            <w:tcW w:w="6484" w:type="dxa"/>
          </w:tcPr>
          <w:p w:rsidR="00C258A6" w:rsidRPr="00E26ACD" w:rsidRDefault="00C258A6" w:rsidP="00C258A6">
            <w:pPr>
              <w:pStyle w:val="FSTableText"/>
              <w:rPr>
                <w:sz w:val="18"/>
                <w:szCs w:val="18"/>
              </w:rPr>
            </w:pPr>
            <w:r w:rsidRPr="00E26ACD">
              <w:rPr>
                <w:sz w:val="18"/>
                <w:szCs w:val="18"/>
              </w:rPr>
              <w:t xml:space="preserve">[15.6] Suggests the permission to brand meat is retained in Standard 2.2.1, as it does not appear to meet the requirements as a processing aid (may be performing a function in the final food). </w:t>
            </w:r>
          </w:p>
        </w:tc>
        <w:tc>
          <w:tcPr>
            <w:tcW w:w="5277" w:type="dxa"/>
          </w:tcPr>
          <w:p w:rsidR="00C258A6" w:rsidRPr="00E26ACD" w:rsidRDefault="00C258A6" w:rsidP="00C258A6">
            <w:pPr>
              <w:pStyle w:val="FSTableText"/>
              <w:rPr>
                <w:sz w:val="18"/>
                <w:szCs w:val="18"/>
              </w:rPr>
            </w:pPr>
            <w:r w:rsidRPr="00E26ACD">
              <w:rPr>
                <w:sz w:val="18"/>
                <w:szCs w:val="18"/>
              </w:rPr>
              <w:t>The primary use is inspection/quality in processing. The fact that it may also perform a function in the final food is not relevant – it is still a processing aid.</w:t>
            </w:r>
          </w:p>
        </w:tc>
      </w:tr>
      <w:tr w:rsidR="00C258A6" w:rsidRPr="000C6288" w:rsidTr="00981869">
        <w:trPr>
          <w:cantSplit/>
        </w:trPr>
        <w:tc>
          <w:tcPr>
            <w:tcW w:w="1606" w:type="dxa"/>
          </w:tcPr>
          <w:p w:rsidR="00C258A6" w:rsidRPr="00E26ACD" w:rsidRDefault="00C258A6" w:rsidP="00C258A6">
            <w:pPr>
              <w:pStyle w:val="FSTableText"/>
              <w:rPr>
                <w:sz w:val="18"/>
                <w:szCs w:val="18"/>
              </w:rPr>
            </w:pPr>
            <w:r w:rsidRPr="00E26ACD">
              <w:rPr>
                <w:sz w:val="18"/>
                <w:szCs w:val="18"/>
              </w:rPr>
              <w:t>SA Health</w:t>
            </w:r>
          </w:p>
        </w:tc>
        <w:tc>
          <w:tcPr>
            <w:tcW w:w="807" w:type="dxa"/>
          </w:tcPr>
          <w:p w:rsidR="00C258A6" w:rsidRPr="00E26ACD" w:rsidRDefault="00C258A6" w:rsidP="00C258A6">
            <w:pPr>
              <w:pStyle w:val="FSTableText"/>
              <w:rPr>
                <w:sz w:val="18"/>
                <w:szCs w:val="18"/>
              </w:rPr>
            </w:pPr>
            <w:r w:rsidRPr="00E26ACD">
              <w:rPr>
                <w:sz w:val="18"/>
                <w:szCs w:val="18"/>
              </w:rPr>
              <w:t>94</w:t>
            </w:r>
          </w:p>
        </w:tc>
        <w:tc>
          <w:tcPr>
            <w:tcW w:w="6484" w:type="dxa"/>
          </w:tcPr>
          <w:p w:rsidR="00C258A6" w:rsidRPr="00E26ACD" w:rsidRDefault="00C258A6" w:rsidP="00C258A6">
            <w:pPr>
              <w:pStyle w:val="FSTableText"/>
              <w:rPr>
                <w:sz w:val="18"/>
                <w:szCs w:val="18"/>
              </w:rPr>
            </w:pPr>
            <w:r w:rsidRPr="00E26ACD">
              <w:rPr>
                <w:sz w:val="18"/>
                <w:szCs w:val="18"/>
              </w:rPr>
              <w:t xml:space="preserve">Clause 2 should not be deleted. Some fish species contain the amino acid histidine, which can convert to histamine. Histamine is not a natural toxin or a contaminant. As histamine is a compositional issue in fish and fish products it should remain in Standard 2.2.3. </w:t>
            </w:r>
          </w:p>
        </w:tc>
        <w:tc>
          <w:tcPr>
            <w:tcW w:w="5277" w:type="dxa"/>
          </w:tcPr>
          <w:p w:rsidR="00C258A6" w:rsidRPr="00E26ACD" w:rsidRDefault="00C258A6" w:rsidP="00C258A6">
            <w:pPr>
              <w:pStyle w:val="FSTableText"/>
              <w:rPr>
                <w:sz w:val="18"/>
                <w:szCs w:val="18"/>
              </w:rPr>
            </w:pPr>
            <w:r w:rsidRPr="00E26ACD">
              <w:rPr>
                <w:sz w:val="18"/>
                <w:szCs w:val="18"/>
              </w:rPr>
              <w:t>We take a different view – while histamine is not accumulated from the environment, it is still a toxin. Therefore it does not seem to be appropriately placed in Standard 2.2.3.</w:t>
            </w:r>
          </w:p>
          <w:p w:rsidR="00C258A6" w:rsidRPr="00E26ACD" w:rsidRDefault="00C258A6" w:rsidP="00C258A6">
            <w:pPr>
              <w:pStyle w:val="FSTableText"/>
              <w:rPr>
                <w:sz w:val="18"/>
                <w:szCs w:val="18"/>
              </w:rPr>
            </w:pPr>
            <w:r w:rsidRPr="00E26ACD">
              <w:rPr>
                <w:sz w:val="18"/>
                <w:szCs w:val="18"/>
              </w:rPr>
              <w:t>Its listing in Standard 1.4.1 is consistent with the other natural toxicants listed.</w:t>
            </w:r>
          </w:p>
          <w:p w:rsidR="00C258A6" w:rsidRPr="00E26ACD" w:rsidRDefault="00C258A6" w:rsidP="00D53538">
            <w:pPr>
              <w:pStyle w:val="FSTableText"/>
              <w:rPr>
                <w:sz w:val="18"/>
                <w:szCs w:val="18"/>
              </w:rPr>
            </w:pPr>
            <w:r w:rsidRPr="00E26ACD">
              <w:rPr>
                <w:sz w:val="18"/>
                <w:szCs w:val="18"/>
              </w:rPr>
              <w:t>However, it is possible that the requirement in Standard 1.4.1 may be overlooked and so a cross-reference in Standard 2.2.3</w:t>
            </w:r>
            <w:r w:rsidR="00D53538" w:rsidRPr="00E26ACD">
              <w:rPr>
                <w:sz w:val="18"/>
                <w:szCs w:val="18"/>
              </w:rPr>
              <w:t xml:space="preserve"> has been made</w:t>
            </w:r>
            <w:r w:rsidRPr="00E26ACD">
              <w:rPr>
                <w:sz w:val="18"/>
                <w:szCs w:val="18"/>
              </w:rPr>
              <w:t xml:space="preserve">. </w:t>
            </w: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SA Health</w:t>
            </w:r>
          </w:p>
        </w:tc>
        <w:tc>
          <w:tcPr>
            <w:tcW w:w="807" w:type="dxa"/>
          </w:tcPr>
          <w:p w:rsidR="00C258A6" w:rsidRPr="00E26ACD" w:rsidRDefault="00C258A6" w:rsidP="00C258A6">
            <w:pPr>
              <w:pStyle w:val="FSTableText"/>
              <w:rPr>
                <w:sz w:val="18"/>
                <w:szCs w:val="18"/>
              </w:rPr>
            </w:pPr>
            <w:r w:rsidRPr="00E26ACD">
              <w:rPr>
                <w:sz w:val="18"/>
                <w:szCs w:val="18"/>
              </w:rPr>
              <w:t>95</w:t>
            </w:r>
          </w:p>
        </w:tc>
        <w:tc>
          <w:tcPr>
            <w:tcW w:w="6484" w:type="dxa"/>
          </w:tcPr>
          <w:p w:rsidR="00C258A6" w:rsidRPr="00E26ACD" w:rsidRDefault="00C258A6" w:rsidP="00C258A6">
            <w:pPr>
              <w:pStyle w:val="FSTableText"/>
              <w:rPr>
                <w:sz w:val="18"/>
                <w:szCs w:val="18"/>
              </w:rPr>
            </w:pPr>
            <w:r w:rsidRPr="00E26ACD">
              <w:rPr>
                <w:sz w:val="18"/>
                <w:szCs w:val="18"/>
              </w:rPr>
              <w:t xml:space="preserve">Changing from ‘and/or’ to ‘or’ changes the meaning. Vegetables can be peeled and cut, not just one or the other. </w:t>
            </w:r>
          </w:p>
          <w:p w:rsidR="00C258A6" w:rsidRPr="00E26ACD" w:rsidRDefault="00C258A6" w:rsidP="00C258A6">
            <w:pPr>
              <w:pStyle w:val="FSTableText"/>
              <w:rPr>
                <w:sz w:val="18"/>
                <w:szCs w:val="18"/>
              </w:rPr>
            </w:pPr>
            <w:r w:rsidRPr="00E26ACD">
              <w:rPr>
                <w:sz w:val="18"/>
                <w:szCs w:val="18"/>
              </w:rPr>
              <w:t xml:space="preserve">A definition of ‘fruit and/or cut vegetables should be retained in Standard 2.3.1 in order for the hierarchy of additive permissions in Standard 1.3.1 to operate. </w:t>
            </w:r>
          </w:p>
        </w:tc>
        <w:tc>
          <w:tcPr>
            <w:tcW w:w="5277" w:type="dxa"/>
          </w:tcPr>
          <w:p w:rsidR="00C258A6" w:rsidRPr="00E26ACD" w:rsidRDefault="00C258A6" w:rsidP="00363601">
            <w:pPr>
              <w:pStyle w:val="FSTableText"/>
              <w:rPr>
                <w:sz w:val="18"/>
                <w:szCs w:val="18"/>
              </w:rPr>
            </w:pPr>
            <w:r w:rsidRPr="00E26ACD">
              <w:rPr>
                <w:sz w:val="18"/>
                <w:szCs w:val="18"/>
              </w:rPr>
              <w:t>This use of certain food additives is permitted if a vegetable is cut, and another set if the vegetable is peeled. If it both peeled and cut then both sets apply.</w:t>
            </w:r>
          </w:p>
        </w:tc>
      </w:tr>
      <w:tr w:rsidR="00C258A6" w:rsidRPr="000C6288" w:rsidTr="00981869">
        <w:trPr>
          <w:cantSplit/>
        </w:trPr>
        <w:tc>
          <w:tcPr>
            <w:tcW w:w="1606" w:type="dxa"/>
          </w:tcPr>
          <w:p w:rsidR="00C258A6" w:rsidRPr="00E26ACD" w:rsidRDefault="00C258A6" w:rsidP="00C258A6">
            <w:pPr>
              <w:pStyle w:val="FSTableText"/>
              <w:rPr>
                <w:sz w:val="18"/>
                <w:szCs w:val="18"/>
              </w:rPr>
            </w:pPr>
            <w:r w:rsidRPr="00E26ACD">
              <w:rPr>
                <w:sz w:val="18"/>
                <w:szCs w:val="18"/>
              </w:rPr>
              <w:lastRenderedPageBreak/>
              <w:t>SA Health</w:t>
            </w:r>
          </w:p>
        </w:tc>
        <w:tc>
          <w:tcPr>
            <w:tcW w:w="807" w:type="dxa"/>
          </w:tcPr>
          <w:p w:rsidR="00C258A6" w:rsidRPr="00E26ACD" w:rsidRDefault="00C258A6" w:rsidP="00C258A6">
            <w:pPr>
              <w:pStyle w:val="FSTableText"/>
              <w:rPr>
                <w:sz w:val="18"/>
                <w:szCs w:val="18"/>
              </w:rPr>
            </w:pPr>
            <w:r w:rsidRPr="00E26ACD">
              <w:rPr>
                <w:sz w:val="18"/>
                <w:szCs w:val="18"/>
              </w:rPr>
              <w:t>96</w:t>
            </w:r>
          </w:p>
        </w:tc>
        <w:tc>
          <w:tcPr>
            <w:tcW w:w="6484" w:type="dxa"/>
          </w:tcPr>
          <w:p w:rsidR="00C258A6" w:rsidRPr="00E26ACD" w:rsidRDefault="00C258A6" w:rsidP="00C258A6">
            <w:pPr>
              <w:pStyle w:val="FSTableText"/>
              <w:rPr>
                <w:sz w:val="18"/>
                <w:szCs w:val="18"/>
              </w:rPr>
            </w:pPr>
            <w:r w:rsidRPr="00E26ACD">
              <w:rPr>
                <w:sz w:val="18"/>
                <w:szCs w:val="18"/>
              </w:rPr>
              <w:t xml:space="preserve">Question whether the effect of changing ‘and/or’ to include ‘triglycerides and diglycerides’ would mean edible oils must be composed of both. </w:t>
            </w:r>
          </w:p>
          <w:p w:rsidR="00C258A6" w:rsidRPr="00E26ACD" w:rsidRDefault="00C258A6" w:rsidP="00C258A6">
            <w:pPr>
              <w:pStyle w:val="FSTableText"/>
              <w:rPr>
                <w:sz w:val="18"/>
                <w:szCs w:val="18"/>
              </w:rPr>
            </w:pPr>
            <w:r w:rsidRPr="00E26ACD">
              <w:rPr>
                <w:sz w:val="18"/>
                <w:szCs w:val="18"/>
              </w:rPr>
              <w:t xml:space="preserve">Most edible oils are triglycerides and may not necessarily contain diglycerides. Assurance is sought that the proposed amendment does not prohibit the sale of edible oils if they do not contain diglycerides. </w:t>
            </w:r>
          </w:p>
        </w:tc>
        <w:tc>
          <w:tcPr>
            <w:tcW w:w="5277" w:type="dxa"/>
          </w:tcPr>
          <w:p w:rsidR="00C258A6" w:rsidRPr="00E26ACD" w:rsidRDefault="00C258A6" w:rsidP="00D53538">
            <w:pPr>
              <w:pStyle w:val="FSTableText"/>
              <w:rPr>
                <w:sz w:val="18"/>
                <w:szCs w:val="18"/>
              </w:rPr>
            </w:pPr>
            <w:r w:rsidRPr="00E26ACD">
              <w:rPr>
                <w:sz w:val="18"/>
                <w:szCs w:val="18"/>
              </w:rPr>
              <w:t xml:space="preserve">Agree that amendment may have had unintended consequences. </w:t>
            </w:r>
            <w:r w:rsidR="00D53538" w:rsidRPr="00E26ACD">
              <w:rPr>
                <w:sz w:val="18"/>
                <w:szCs w:val="18"/>
              </w:rPr>
              <w:t>T</w:t>
            </w:r>
            <w:r w:rsidRPr="00E26ACD">
              <w:rPr>
                <w:sz w:val="18"/>
                <w:szCs w:val="18"/>
              </w:rPr>
              <w:t>he definition of edible oils</w:t>
            </w:r>
            <w:r w:rsidR="00D53538" w:rsidRPr="00E26ACD">
              <w:rPr>
                <w:sz w:val="18"/>
                <w:szCs w:val="18"/>
              </w:rPr>
              <w:t xml:space="preserve"> has been amended</w:t>
            </w:r>
            <w:r w:rsidRPr="00E26ACD">
              <w:rPr>
                <w:sz w:val="18"/>
                <w:szCs w:val="18"/>
              </w:rPr>
              <w:t xml:space="preserve"> </w:t>
            </w:r>
            <w:r w:rsidR="00363601" w:rsidRPr="00E26ACD">
              <w:rPr>
                <w:sz w:val="18"/>
                <w:szCs w:val="18"/>
              </w:rPr>
              <w:t xml:space="preserve">to </w:t>
            </w:r>
            <w:r w:rsidRPr="00E26ACD">
              <w:rPr>
                <w:sz w:val="18"/>
                <w:szCs w:val="18"/>
              </w:rPr>
              <w:t xml:space="preserve">the ‘triglycerides or diglycerides or both the triglycerides and diglycerides...’. </w:t>
            </w: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SA Health</w:t>
            </w:r>
          </w:p>
        </w:tc>
        <w:tc>
          <w:tcPr>
            <w:tcW w:w="807" w:type="dxa"/>
          </w:tcPr>
          <w:p w:rsidR="00C258A6" w:rsidRPr="00E26ACD" w:rsidRDefault="00C258A6" w:rsidP="00C258A6">
            <w:pPr>
              <w:pStyle w:val="FSTableText"/>
              <w:rPr>
                <w:sz w:val="18"/>
                <w:szCs w:val="18"/>
              </w:rPr>
            </w:pPr>
            <w:r w:rsidRPr="00E26ACD">
              <w:rPr>
                <w:sz w:val="18"/>
                <w:szCs w:val="18"/>
              </w:rPr>
              <w:t>98</w:t>
            </w:r>
          </w:p>
        </w:tc>
        <w:tc>
          <w:tcPr>
            <w:tcW w:w="6484" w:type="dxa"/>
          </w:tcPr>
          <w:p w:rsidR="00C258A6" w:rsidRPr="00E26ACD" w:rsidRDefault="00C258A6" w:rsidP="00C258A6">
            <w:pPr>
              <w:pStyle w:val="FSTableText"/>
              <w:rPr>
                <w:sz w:val="18"/>
                <w:szCs w:val="18"/>
              </w:rPr>
            </w:pPr>
            <w:r w:rsidRPr="00E26ACD">
              <w:rPr>
                <w:sz w:val="18"/>
                <w:szCs w:val="18"/>
              </w:rPr>
              <w:t xml:space="preserve">Retain clause 4. Suggest this amendment is considered as a separate proposal as further consideration is needed of the legal implications. </w:t>
            </w:r>
          </w:p>
          <w:p w:rsidR="00C258A6" w:rsidRPr="00E26ACD" w:rsidRDefault="00C258A6" w:rsidP="00C258A6">
            <w:pPr>
              <w:pStyle w:val="FSTableText"/>
              <w:rPr>
                <w:sz w:val="18"/>
                <w:szCs w:val="18"/>
              </w:rPr>
            </w:pPr>
            <w:r w:rsidRPr="00E26ACD">
              <w:rPr>
                <w:sz w:val="18"/>
                <w:szCs w:val="18"/>
              </w:rPr>
              <w:t xml:space="preserve">As Standard 4.2.4 does not apply to retail sale activities, it is not clear whether removal of this provision in Standard 2.5.1 will impact on the requirements for milk sold at retail to be processed in accordance with Standard 4.2.4. </w:t>
            </w:r>
          </w:p>
          <w:p w:rsidR="00C258A6" w:rsidRPr="00E26ACD" w:rsidRDefault="00C258A6" w:rsidP="00C258A6">
            <w:pPr>
              <w:pStyle w:val="FSTableText"/>
              <w:rPr>
                <w:sz w:val="18"/>
                <w:szCs w:val="18"/>
              </w:rPr>
            </w:pPr>
            <w:r w:rsidRPr="00E26ACD">
              <w:rPr>
                <w:sz w:val="18"/>
                <w:szCs w:val="18"/>
              </w:rPr>
              <w:t xml:space="preserve">Retain cross references in Purpose of Standard 2.5.1 to aid interpretation. </w:t>
            </w:r>
          </w:p>
        </w:tc>
        <w:tc>
          <w:tcPr>
            <w:tcW w:w="5277" w:type="dxa"/>
          </w:tcPr>
          <w:p w:rsidR="00C258A6" w:rsidRPr="00E26ACD" w:rsidRDefault="00C258A6" w:rsidP="00C258A6">
            <w:pPr>
              <w:pStyle w:val="FSTableText"/>
              <w:rPr>
                <w:sz w:val="18"/>
                <w:szCs w:val="18"/>
              </w:rPr>
            </w:pPr>
            <w:r w:rsidRPr="00E26ACD">
              <w:rPr>
                <w:sz w:val="18"/>
                <w:szCs w:val="18"/>
              </w:rPr>
              <w:t>We agree that it is not certain that other sections of the Code cover this provision in Standard 4.2.4. Agree to retain clause 4.</w:t>
            </w:r>
          </w:p>
          <w:p w:rsidR="00C258A6" w:rsidRPr="00E26ACD" w:rsidRDefault="00C258A6" w:rsidP="00C258A6">
            <w:pPr>
              <w:pStyle w:val="FSTableText"/>
              <w:rPr>
                <w:sz w:val="18"/>
                <w:szCs w:val="18"/>
              </w:rPr>
            </w:pPr>
          </w:p>
          <w:p w:rsidR="00C258A6" w:rsidRPr="00E26ACD" w:rsidRDefault="00C258A6" w:rsidP="00C258A6">
            <w:pPr>
              <w:pStyle w:val="FSTableText"/>
              <w:rPr>
                <w:sz w:val="18"/>
                <w:szCs w:val="18"/>
              </w:rPr>
            </w:pPr>
          </w:p>
          <w:p w:rsidR="00C258A6" w:rsidRPr="00E26ACD" w:rsidRDefault="00C258A6" w:rsidP="00C258A6">
            <w:pPr>
              <w:pStyle w:val="FSTableText"/>
              <w:rPr>
                <w:sz w:val="18"/>
                <w:szCs w:val="18"/>
              </w:rPr>
            </w:pPr>
          </w:p>
          <w:p w:rsidR="00C258A6" w:rsidRPr="00E26ACD" w:rsidRDefault="00C258A6" w:rsidP="00C258A6">
            <w:pPr>
              <w:pStyle w:val="FSTableText"/>
              <w:rPr>
                <w:sz w:val="18"/>
                <w:szCs w:val="18"/>
              </w:rPr>
            </w:pPr>
            <w:r w:rsidRPr="00E26ACD">
              <w:rPr>
                <w:sz w:val="18"/>
                <w:szCs w:val="18"/>
              </w:rPr>
              <w:t>Cross-references maintained.</w:t>
            </w:r>
          </w:p>
        </w:tc>
      </w:tr>
      <w:tr w:rsidR="00C258A6" w:rsidTr="00981869">
        <w:trPr>
          <w:cantSplit/>
        </w:trPr>
        <w:tc>
          <w:tcPr>
            <w:tcW w:w="1606" w:type="dxa"/>
          </w:tcPr>
          <w:p w:rsidR="00C258A6" w:rsidRPr="00E26ACD" w:rsidRDefault="00981869" w:rsidP="00C258A6">
            <w:pPr>
              <w:pStyle w:val="FSTableText"/>
              <w:rPr>
                <w:sz w:val="18"/>
                <w:szCs w:val="18"/>
              </w:rPr>
            </w:pPr>
            <w:r>
              <w:rPr>
                <w:sz w:val="18"/>
                <w:szCs w:val="18"/>
              </w:rPr>
              <w:t>Vic Health</w:t>
            </w:r>
          </w:p>
        </w:tc>
        <w:tc>
          <w:tcPr>
            <w:tcW w:w="807" w:type="dxa"/>
          </w:tcPr>
          <w:p w:rsidR="00C258A6" w:rsidRPr="00E26ACD" w:rsidRDefault="00C258A6" w:rsidP="00C258A6">
            <w:pPr>
              <w:pStyle w:val="FSTableText"/>
              <w:rPr>
                <w:sz w:val="18"/>
                <w:szCs w:val="18"/>
              </w:rPr>
            </w:pPr>
            <w:r w:rsidRPr="00E26ACD">
              <w:rPr>
                <w:sz w:val="18"/>
                <w:szCs w:val="18"/>
              </w:rPr>
              <w:t>101</w:t>
            </w:r>
          </w:p>
        </w:tc>
        <w:tc>
          <w:tcPr>
            <w:tcW w:w="6484" w:type="dxa"/>
          </w:tcPr>
          <w:p w:rsidR="00C258A6" w:rsidRPr="00E26ACD" w:rsidRDefault="00C258A6" w:rsidP="00C258A6">
            <w:pPr>
              <w:pStyle w:val="FSTableText"/>
              <w:rPr>
                <w:sz w:val="18"/>
                <w:szCs w:val="18"/>
              </w:rPr>
            </w:pPr>
            <w:r w:rsidRPr="00E26ACD">
              <w:rPr>
                <w:sz w:val="18"/>
                <w:szCs w:val="18"/>
              </w:rPr>
              <w:t xml:space="preserve">The term ‘culture’ is well understood by industry and enforcement agencies. Suggest that whether or not it needs to be defined, as it currently is in Standard 4.5.1 clause 3 and 4, requires discussion and should be left to the Code audit working group’s consideration of definitions and interpretation so that issues are dealt with consistently. </w:t>
            </w:r>
          </w:p>
          <w:p w:rsidR="00C258A6" w:rsidRPr="00E26ACD" w:rsidRDefault="00C258A6" w:rsidP="00C258A6">
            <w:pPr>
              <w:pStyle w:val="FSTableText"/>
              <w:rPr>
                <w:sz w:val="18"/>
                <w:szCs w:val="18"/>
              </w:rPr>
            </w:pPr>
            <w:r w:rsidRPr="00E26ACD">
              <w:rPr>
                <w:sz w:val="18"/>
                <w:szCs w:val="18"/>
              </w:rPr>
              <w:t xml:space="preserve">The Table does not need to mention viable organisms as the requirement is written in terms of colony forming units, which can only be formed by viable microorganisms. </w:t>
            </w:r>
          </w:p>
          <w:p w:rsidR="00C258A6" w:rsidRPr="00E26ACD" w:rsidRDefault="00C258A6" w:rsidP="00C258A6">
            <w:pPr>
              <w:pStyle w:val="FSTableText"/>
              <w:rPr>
                <w:sz w:val="18"/>
                <w:szCs w:val="18"/>
              </w:rPr>
            </w:pPr>
          </w:p>
          <w:p w:rsidR="00C258A6" w:rsidRPr="00E26ACD" w:rsidRDefault="00C258A6" w:rsidP="00C258A6">
            <w:pPr>
              <w:pStyle w:val="FSTableText"/>
              <w:rPr>
                <w:sz w:val="18"/>
                <w:szCs w:val="18"/>
              </w:rPr>
            </w:pPr>
            <w:r w:rsidRPr="00E26ACD">
              <w:rPr>
                <w:sz w:val="18"/>
                <w:szCs w:val="18"/>
              </w:rPr>
              <w:t xml:space="preserve">Agree that the term ‘proportion’ does not apply to pH however this raises the greater issue of the lack of consistency in the way compositional requirements are set out across the Code viz some in tabular form, some in text and all with varying terminology. The format for compositional requirements should be standardised as part of the Code audit working groups consideration. </w:t>
            </w:r>
          </w:p>
        </w:tc>
        <w:tc>
          <w:tcPr>
            <w:tcW w:w="5277" w:type="dxa"/>
          </w:tcPr>
          <w:p w:rsidR="00C258A6" w:rsidRPr="00E26ACD" w:rsidRDefault="00C258A6" w:rsidP="00C258A6">
            <w:pPr>
              <w:rPr>
                <w:rFonts w:cs="Arial"/>
                <w:sz w:val="18"/>
                <w:szCs w:val="18"/>
              </w:rPr>
            </w:pPr>
            <w:r w:rsidRPr="00E26ACD">
              <w:rPr>
                <w:rFonts w:cs="Arial"/>
                <w:sz w:val="18"/>
                <w:szCs w:val="18"/>
              </w:rPr>
              <w:t>While the express</w:t>
            </w:r>
            <w:r w:rsidR="00D222C1" w:rsidRPr="00E26ACD">
              <w:rPr>
                <w:rFonts w:cs="Arial"/>
                <w:sz w:val="18"/>
                <w:szCs w:val="18"/>
              </w:rPr>
              <w:t>ions in subclause 2(2) and the T</w:t>
            </w:r>
            <w:r w:rsidRPr="00E26ACD">
              <w:rPr>
                <w:rFonts w:cs="Arial"/>
                <w:sz w:val="18"/>
                <w:szCs w:val="18"/>
              </w:rPr>
              <w:t>able to subclause 2(3) may be regarded as technically equivalent, we are concerned that this is still a legislative risk.</w:t>
            </w:r>
          </w:p>
          <w:p w:rsidR="00C258A6" w:rsidRPr="00E26ACD" w:rsidRDefault="00C258A6" w:rsidP="00C258A6">
            <w:pPr>
              <w:rPr>
                <w:rFonts w:cs="Arial"/>
                <w:sz w:val="18"/>
                <w:szCs w:val="18"/>
              </w:rPr>
            </w:pPr>
          </w:p>
          <w:p w:rsidR="00C258A6" w:rsidRPr="00E26ACD" w:rsidRDefault="00C258A6" w:rsidP="00C258A6">
            <w:pPr>
              <w:rPr>
                <w:rFonts w:cs="Arial"/>
                <w:sz w:val="18"/>
                <w:szCs w:val="18"/>
              </w:rPr>
            </w:pPr>
            <w:r w:rsidRPr="00E26ACD">
              <w:rPr>
                <w:rFonts w:cs="Arial"/>
                <w:sz w:val="18"/>
                <w:szCs w:val="18"/>
              </w:rPr>
              <w:t>The argument regarding measurement is correct – i.e. only live organisms develop into colony forming units.</w:t>
            </w:r>
          </w:p>
          <w:p w:rsidR="00C258A6" w:rsidRPr="00E26ACD" w:rsidRDefault="00C258A6" w:rsidP="00C258A6">
            <w:pPr>
              <w:rPr>
                <w:rFonts w:cs="Arial"/>
                <w:sz w:val="18"/>
                <w:szCs w:val="18"/>
              </w:rPr>
            </w:pPr>
          </w:p>
          <w:p w:rsidR="00C258A6" w:rsidRPr="00E26ACD" w:rsidRDefault="00C258A6" w:rsidP="00C258A6">
            <w:pPr>
              <w:pStyle w:val="FSTableText"/>
              <w:rPr>
                <w:sz w:val="18"/>
                <w:szCs w:val="18"/>
              </w:rPr>
            </w:pPr>
            <w:r w:rsidRPr="00E26ACD">
              <w:rPr>
                <w:sz w:val="18"/>
                <w:szCs w:val="18"/>
              </w:rPr>
              <w:t>Expected to be addressed via other proposals, never the less when considering current proposals FSANZ is addressing issues of clarity and form as appropriate.</w:t>
            </w:r>
          </w:p>
        </w:tc>
      </w:tr>
      <w:tr w:rsidR="00C258A6" w:rsidRPr="000C6288" w:rsidTr="00981869">
        <w:trPr>
          <w:cantSplit/>
        </w:trPr>
        <w:tc>
          <w:tcPr>
            <w:tcW w:w="1606" w:type="dxa"/>
          </w:tcPr>
          <w:p w:rsidR="00C258A6" w:rsidRPr="00E26ACD" w:rsidRDefault="00760AD7" w:rsidP="00C258A6">
            <w:pPr>
              <w:pStyle w:val="FSTableText"/>
              <w:rPr>
                <w:sz w:val="18"/>
                <w:szCs w:val="18"/>
              </w:rPr>
            </w:pPr>
            <w:r>
              <w:rPr>
                <w:sz w:val="18"/>
                <w:szCs w:val="18"/>
              </w:rPr>
              <w:t>Qld Health</w:t>
            </w:r>
          </w:p>
        </w:tc>
        <w:tc>
          <w:tcPr>
            <w:tcW w:w="807" w:type="dxa"/>
          </w:tcPr>
          <w:p w:rsidR="00C258A6" w:rsidRPr="00E26ACD" w:rsidRDefault="00C258A6" w:rsidP="00C258A6">
            <w:pPr>
              <w:pStyle w:val="FSTableText"/>
              <w:rPr>
                <w:sz w:val="18"/>
                <w:szCs w:val="18"/>
              </w:rPr>
            </w:pPr>
            <w:r w:rsidRPr="00E26ACD">
              <w:rPr>
                <w:sz w:val="18"/>
                <w:szCs w:val="18"/>
              </w:rPr>
              <w:t>102</w:t>
            </w:r>
          </w:p>
        </w:tc>
        <w:tc>
          <w:tcPr>
            <w:tcW w:w="6484" w:type="dxa"/>
          </w:tcPr>
          <w:p w:rsidR="00C258A6" w:rsidRPr="00E26ACD" w:rsidRDefault="00C258A6" w:rsidP="00C258A6">
            <w:pPr>
              <w:pStyle w:val="FSTableText"/>
              <w:rPr>
                <w:sz w:val="18"/>
                <w:szCs w:val="18"/>
              </w:rPr>
            </w:pPr>
            <w:r w:rsidRPr="00E26ACD">
              <w:rPr>
                <w:sz w:val="18"/>
                <w:szCs w:val="18"/>
              </w:rPr>
              <w:t xml:space="preserve">Replacing ‘and/or’ with ‘or’ may not accurately reflect current or future practices of making cheese with milk and additional materials derived from milk such as casein. </w:t>
            </w:r>
          </w:p>
        </w:tc>
        <w:tc>
          <w:tcPr>
            <w:tcW w:w="5277" w:type="dxa"/>
          </w:tcPr>
          <w:p w:rsidR="00C258A6" w:rsidRPr="00E26ACD" w:rsidRDefault="00C258A6" w:rsidP="00D53538">
            <w:pPr>
              <w:pStyle w:val="FSTableText"/>
              <w:rPr>
                <w:sz w:val="18"/>
                <w:szCs w:val="18"/>
              </w:rPr>
            </w:pPr>
            <w:r w:rsidRPr="00E26ACD">
              <w:rPr>
                <w:sz w:val="18"/>
                <w:szCs w:val="18"/>
              </w:rPr>
              <w:t xml:space="preserve">Agree. </w:t>
            </w:r>
            <w:r w:rsidR="00D53538" w:rsidRPr="00E26ACD">
              <w:rPr>
                <w:sz w:val="18"/>
                <w:szCs w:val="18"/>
              </w:rPr>
              <w:t>The term</w:t>
            </w:r>
            <w:r w:rsidRPr="00E26ACD">
              <w:rPr>
                <w:sz w:val="18"/>
                <w:szCs w:val="18"/>
              </w:rPr>
              <w:t xml:space="preserve"> ‘both milk and</w:t>
            </w:r>
            <w:r w:rsidR="00D53538" w:rsidRPr="00E26ACD">
              <w:rPr>
                <w:sz w:val="18"/>
                <w:szCs w:val="18"/>
              </w:rPr>
              <w:t xml:space="preserve"> materials obtained from milk’ ha</w:t>
            </w:r>
            <w:r w:rsidRPr="00E26ACD">
              <w:rPr>
                <w:sz w:val="18"/>
                <w:szCs w:val="18"/>
              </w:rPr>
              <w:t xml:space="preserve">s </w:t>
            </w:r>
            <w:r w:rsidR="00D53538" w:rsidRPr="00E26ACD">
              <w:rPr>
                <w:sz w:val="18"/>
                <w:szCs w:val="18"/>
              </w:rPr>
              <w:t xml:space="preserve">been </w:t>
            </w:r>
            <w:r w:rsidRPr="00E26ACD">
              <w:rPr>
                <w:sz w:val="18"/>
                <w:szCs w:val="18"/>
              </w:rPr>
              <w:t xml:space="preserve">added to the definition of cheese in Standard 2.5.4. </w:t>
            </w:r>
          </w:p>
        </w:tc>
      </w:tr>
      <w:tr w:rsidR="00C258A6" w:rsidTr="00981869">
        <w:trPr>
          <w:cantSplit/>
        </w:trPr>
        <w:tc>
          <w:tcPr>
            <w:tcW w:w="1606" w:type="dxa"/>
          </w:tcPr>
          <w:p w:rsidR="00C258A6" w:rsidRPr="00E26ACD" w:rsidRDefault="00981869" w:rsidP="00C258A6">
            <w:pPr>
              <w:pStyle w:val="FSTableText"/>
              <w:rPr>
                <w:sz w:val="18"/>
                <w:szCs w:val="18"/>
              </w:rPr>
            </w:pPr>
            <w:r>
              <w:rPr>
                <w:sz w:val="18"/>
                <w:szCs w:val="18"/>
              </w:rPr>
              <w:t>Vic Health</w:t>
            </w:r>
          </w:p>
        </w:tc>
        <w:tc>
          <w:tcPr>
            <w:tcW w:w="807" w:type="dxa"/>
          </w:tcPr>
          <w:p w:rsidR="00C258A6" w:rsidRPr="00E26ACD" w:rsidRDefault="00C258A6" w:rsidP="00C258A6">
            <w:pPr>
              <w:pStyle w:val="FSTableText"/>
              <w:rPr>
                <w:sz w:val="18"/>
                <w:szCs w:val="18"/>
              </w:rPr>
            </w:pPr>
            <w:r w:rsidRPr="00E26ACD">
              <w:rPr>
                <w:sz w:val="18"/>
                <w:szCs w:val="18"/>
              </w:rPr>
              <w:t>104</w:t>
            </w:r>
          </w:p>
        </w:tc>
        <w:tc>
          <w:tcPr>
            <w:tcW w:w="6484" w:type="dxa"/>
          </w:tcPr>
          <w:p w:rsidR="00C258A6" w:rsidRPr="00E26ACD" w:rsidRDefault="00C258A6" w:rsidP="00C258A6">
            <w:pPr>
              <w:pStyle w:val="FSTableText"/>
              <w:rPr>
                <w:sz w:val="18"/>
                <w:szCs w:val="18"/>
              </w:rPr>
            </w:pPr>
            <w:r w:rsidRPr="00E26ACD">
              <w:rPr>
                <w:sz w:val="18"/>
                <w:szCs w:val="18"/>
              </w:rPr>
              <w:t xml:space="preserve">The proposed amendment could create more uncertainty as the emphasis on ‘permitted ingredients’ implies that the list is comprehensive and therefore fully inclusive of additive permissions. </w:t>
            </w:r>
          </w:p>
          <w:p w:rsidR="00C258A6" w:rsidRPr="00E26ACD" w:rsidRDefault="00C258A6" w:rsidP="00C258A6">
            <w:pPr>
              <w:pStyle w:val="FSTableText"/>
              <w:rPr>
                <w:sz w:val="18"/>
                <w:szCs w:val="18"/>
              </w:rPr>
            </w:pPr>
            <w:r w:rsidRPr="00E26ACD">
              <w:rPr>
                <w:sz w:val="18"/>
                <w:szCs w:val="18"/>
              </w:rPr>
              <w:t xml:space="preserve">The amendment and approach is not supported. </w:t>
            </w:r>
          </w:p>
        </w:tc>
        <w:tc>
          <w:tcPr>
            <w:tcW w:w="5277" w:type="dxa"/>
          </w:tcPr>
          <w:p w:rsidR="00C258A6" w:rsidRPr="00E26ACD" w:rsidRDefault="00C258A6" w:rsidP="00C22DF2">
            <w:pPr>
              <w:pStyle w:val="FSTableText"/>
              <w:rPr>
                <w:sz w:val="18"/>
                <w:szCs w:val="18"/>
              </w:rPr>
            </w:pPr>
            <w:r w:rsidRPr="00E26ACD">
              <w:rPr>
                <w:sz w:val="18"/>
                <w:szCs w:val="18"/>
              </w:rPr>
              <w:t>FSANZ agrees as there was no intention to</w:t>
            </w:r>
            <w:r w:rsidR="00C22DF2" w:rsidRPr="00E26ACD">
              <w:rPr>
                <w:sz w:val="18"/>
                <w:szCs w:val="18"/>
              </w:rPr>
              <w:t xml:space="preserve"> imply a change in permission. ‘Permitted’ and ‘</w:t>
            </w:r>
            <w:r w:rsidR="00D53538" w:rsidRPr="00E26ACD">
              <w:rPr>
                <w:sz w:val="18"/>
                <w:szCs w:val="18"/>
              </w:rPr>
              <w:t>ingredients’ have</w:t>
            </w:r>
            <w:r w:rsidRPr="00E26ACD">
              <w:rPr>
                <w:sz w:val="18"/>
                <w:szCs w:val="18"/>
              </w:rPr>
              <w:t xml:space="preserve"> be</w:t>
            </w:r>
            <w:r w:rsidR="00D53538" w:rsidRPr="00E26ACD">
              <w:rPr>
                <w:sz w:val="18"/>
                <w:szCs w:val="18"/>
              </w:rPr>
              <w:t>en</w:t>
            </w:r>
            <w:r w:rsidRPr="00E26ACD">
              <w:rPr>
                <w:sz w:val="18"/>
                <w:szCs w:val="18"/>
              </w:rPr>
              <w:t xml:space="preserve"> removed from the relevant clauses of </w:t>
            </w:r>
            <w:r w:rsidR="002D5011" w:rsidRPr="00E26ACD">
              <w:rPr>
                <w:sz w:val="18"/>
                <w:szCs w:val="18"/>
              </w:rPr>
              <w:t xml:space="preserve">Standards </w:t>
            </w:r>
            <w:r w:rsidRPr="00E26ACD">
              <w:rPr>
                <w:sz w:val="18"/>
                <w:szCs w:val="18"/>
              </w:rPr>
              <w:t>2.5.4, 2.5.5, 2.7.2, 2.7.3, 2.7.4 and 2.7.5.</w:t>
            </w:r>
          </w:p>
        </w:tc>
      </w:tr>
      <w:tr w:rsidR="00C258A6" w:rsidTr="00981869">
        <w:trPr>
          <w:cantSplit/>
        </w:trPr>
        <w:tc>
          <w:tcPr>
            <w:tcW w:w="1606" w:type="dxa"/>
          </w:tcPr>
          <w:p w:rsidR="001A6955" w:rsidRPr="00E26ACD" w:rsidRDefault="00FE767F" w:rsidP="00C258A6">
            <w:pPr>
              <w:pStyle w:val="FSTableText"/>
              <w:rPr>
                <w:sz w:val="18"/>
                <w:szCs w:val="18"/>
              </w:rPr>
            </w:pPr>
            <w:r w:rsidRPr="00E26ACD">
              <w:rPr>
                <w:sz w:val="18"/>
                <w:szCs w:val="18"/>
              </w:rPr>
              <w:t xml:space="preserve">NZ </w:t>
            </w:r>
            <w:r w:rsidR="00981869">
              <w:rPr>
                <w:sz w:val="18"/>
                <w:szCs w:val="18"/>
              </w:rPr>
              <w:t>MAF</w:t>
            </w:r>
            <w:r w:rsidR="00C258A6" w:rsidRPr="00E26ACD">
              <w:rPr>
                <w:sz w:val="18"/>
                <w:szCs w:val="18"/>
              </w:rPr>
              <w:t xml:space="preserve">, SA Health, </w:t>
            </w:r>
            <w:r w:rsidR="00981869">
              <w:rPr>
                <w:sz w:val="18"/>
                <w:szCs w:val="18"/>
              </w:rPr>
              <w:t>Vic Health</w:t>
            </w:r>
          </w:p>
        </w:tc>
        <w:tc>
          <w:tcPr>
            <w:tcW w:w="807" w:type="dxa"/>
          </w:tcPr>
          <w:p w:rsidR="00C258A6" w:rsidRPr="00E26ACD" w:rsidRDefault="00C258A6" w:rsidP="00C258A6">
            <w:pPr>
              <w:pStyle w:val="FSTableText"/>
              <w:rPr>
                <w:sz w:val="18"/>
                <w:szCs w:val="18"/>
              </w:rPr>
            </w:pPr>
            <w:r w:rsidRPr="00E26ACD">
              <w:rPr>
                <w:sz w:val="18"/>
                <w:szCs w:val="18"/>
              </w:rPr>
              <w:t>107</w:t>
            </w:r>
          </w:p>
        </w:tc>
        <w:tc>
          <w:tcPr>
            <w:tcW w:w="6484" w:type="dxa"/>
          </w:tcPr>
          <w:p w:rsidR="00C258A6" w:rsidRPr="00E26ACD" w:rsidRDefault="00C258A6" w:rsidP="00C258A6">
            <w:pPr>
              <w:pStyle w:val="FSTableText"/>
              <w:rPr>
                <w:sz w:val="18"/>
                <w:szCs w:val="18"/>
              </w:rPr>
            </w:pPr>
            <w:r w:rsidRPr="00E26ACD">
              <w:rPr>
                <w:sz w:val="18"/>
                <w:szCs w:val="18"/>
              </w:rPr>
              <w:t xml:space="preserve">[36.3] Do not support this change. </w:t>
            </w:r>
          </w:p>
          <w:p w:rsidR="00C258A6" w:rsidRPr="00E26ACD" w:rsidRDefault="00C258A6" w:rsidP="00C258A6">
            <w:pPr>
              <w:pStyle w:val="FSTableText"/>
              <w:rPr>
                <w:sz w:val="18"/>
                <w:szCs w:val="18"/>
              </w:rPr>
            </w:pPr>
            <w:r w:rsidRPr="00E26ACD">
              <w:rPr>
                <w:sz w:val="18"/>
                <w:szCs w:val="18"/>
              </w:rPr>
              <w:t xml:space="preserve">Suggest this issue is addressed within Application A1043. </w:t>
            </w:r>
          </w:p>
        </w:tc>
        <w:tc>
          <w:tcPr>
            <w:tcW w:w="5277" w:type="dxa"/>
          </w:tcPr>
          <w:p w:rsidR="00C258A6" w:rsidRPr="00E26ACD" w:rsidRDefault="00C258A6" w:rsidP="00C258A6">
            <w:pPr>
              <w:pStyle w:val="FSTableText"/>
              <w:rPr>
                <w:sz w:val="18"/>
                <w:szCs w:val="18"/>
              </w:rPr>
            </w:pPr>
            <w:r w:rsidRPr="00E26ACD">
              <w:rPr>
                <w:sz w:val="18"/>
                <w:szCs w:val="18"/>
              </w:rPr>
              <w:t>Given the response from these three submitters, and no comments from industry, it is agreed to not proceed with this change under this Proposal</w:t>
            </w:r>
            <w:r w:rsidR="00FE767F" w:rsidRPr="00E26ACD">
              <w:rPr>
                <w:sz w:val="18"/>
                <w:szCs w:val="18"/>
              </w:rPr>
              <w:t xml:space="preserve"> but to proceed with the Application</w:t>
            </w:r>
            <w:r w:rsidR="00D53538" w:rsidRPr="00E26ACD">
              <w:rPr>
                <w:sz w:val="18"/>
                <w:szCs w:val="18"/>
              </w:rPr>
              <w:t>.</w:t>
            </w:r>
          </w:p>
          <w:p w:rsidR="00C258A6" w:rsidRPr="00E26ACD" w:rsidRDefault="00C258A6" w:rsidP="00C258A6">
            <w:pPr>
              <w:pStyle w:val="FSTableText"/>
              <w:rPr>
                <w:color w:val="00B050"/>
                <w:sz w:val="18"/>
                <w:szCs w:val="18"/>
              </w:rPr>
            </w:pPr>
          </w:p>
        </w:tc>
      </w:tr>
      <w:tr w:rsidR="00C258A6" w:rsidRPr="007D73AD" w:rsidTr="00981869">
        <w:trPr>
          <w:cantSplit/>
        </w:trPr>
        <w:tc>
          <w:tcPr>
            <w:tcW w:w="1606" w:type="dxa"/>
          </w:tcPr>
          <w:p w:rsidR="00C258A6" w:rsidRPr="00E26ACD" w:rsidRDefault="00FE767F"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108</w:t>
            </w:r>
          </w:p>
        </w:tc>
        <w:tc>
          <w:tcPr>
            <w:tcW w:w="6484" w:type="dxa"/>
          </w:tcPr>
          <w:p w:rsidR="00C258A6" w:rsidRPr="00E26ACD" w:rsidRDefault="00C258A6" w:rsidP="00C258A6">
            <w:pPr>
              <w:pStyle w:val="FSTableText"/>
              <w:rPr>
                <w:sz w:val="18"/>
                <w:szCs w:val="18"/>
              </w:rPr>
            </w:pPr>
            <w:r w:rsidRPr="00E26ACD">
              <w:rPr>
                <w:sz w:val="18"/>
                <w:szCs w:val="18"/>
              </w:rPr>
              <w:t xml:space="preserve">[37.1] Proposed drafting does not appear to link correctly to the second sentence of the Purpose statement. The labelling requirements in the second sentence do not need to be repeated. </w:t>
            </w:r>
          </w:p>
        </w:tc>
        <w:tc>
          <w:tcPr>
            <w:tcW w:w="5277" w:type="dxa"/>
          </w:tcPr>
          <w:p w:rsidR="00C258A6" w:rsidRPr="00E26ACD" w:rsidRDefault="00C258A6" w:rsidP="00D53538">
            <w:pPr>
              <w:pStyle w:val="FSTableText"/>
              <w:rPr>
                <w:sz w:val="18"/>
                <w:szCs w:val="18"/>
              </w:rPr>
            </w:pPr>
            <w:r w:rsidRPr="00E26ACD">
              <w:rPr>
                <w:sz w:val="18"/>
                <w:szCs w:val="18"/>
              </w:rPr>
              <w:t xml:space="preserve">Agree. </w:t>
            </w:r>
            <w:r w:rsidR="00D53538" w:rsidRPr="00E26ACD">
              <w:rPr>
                <w:sz w:val="18"/>
                <w:szCs w:val="18"/>
              </w:rPr>
              <w:t>T</w:t>
            </w:r>
            <w:r w:rsidRPr="00E26ACD">
              <w:rPr>
                <w:sz w:val="18"/>
                <w:szCs w:val="18"/>
              </w:rPr>
              <w:t xml:space="preserve">he Purpose </w:t>
            </w:r>
            <w:r w:rsidR="00D222C1" w:rsidRPr="00E26ACD">
              <w:rPr>
                <w:sz w:val="18"/>
                <w:szCs w:val="18"/>
              </w:rPr>
              <w:t>has</w:t>
            </w:r>
            <w:r w:rsidR="00D53538" w:rsidRPr="00E26ACD">
              <w:rPr>
                <w:sz w:val="18"/>
                <w:szCs w:val="18"/>
              </w:rPr>
              <w:t xml:space="preserve"> be</w:t>
            </w:r>
            <w:r w:rsidR="00D222C1" w:rsidRPr="00E26ACD">
              <w:rPr>
                <w:sz w:val="18"/>
                <w:szCs w:val="18"/>
              </w:rPr>
              <w:t>en</w:t>
            </w:r>
            <w:r w:rsidR="00D53538" w:rsidRPr="00E26ACD">
              <w:rPr>
                <w:sz w:val="18"/>
                <w:szCs w:val="18"/>
              </w:rPr>
              <w:t xml:space="preserve"> reworded </w:t>
            </w:r>
            <w:r w:rsidRPr="00E26ACD">
              <w:rPr>
                <w:sz w:val="18"/>
                <w:szCs w:val="18"/>
              </w:rPr>
              <w:t>to indicate the Standard regulates the labelling of kava and provides restriction on the parts of the kava plant that can be sold and to remove repetition.</w:t>
            </w:r>
            <w:r w:rsidR="00C22DF2" w:rsidRPr="00E26ACD">
              <w:rPr>
                <w:sz w:val="18"/>
                <w:szCs w:val="18"/>
              </w:rPr>
              <w:t xml:space="preserve"> </w:t>
            </w:r>
          </w:p>
        </w:tc>
      </w:tr>
      <w:tr w:rsidR="00C258A6" w:rsidRPr="007D73AD" w:rsidTr="00981869">
        <w:trPr>
          <w:cantSplit/>
        </w:trPr>
        <w:tc>
          <w:tcPr>
            <w:tcW w:w="1606" w:type="dxa"/>
          </w:tcPr>
          <w:p w:rsidR="00C258A6" w:rsidRPr="00E26ACD" w:rsidRDefault="00FE767F" w:rsidP="00C258A6">
            <w:pPr>
              <w:pStyle w:val="FSTableText"/>
              <w:rPr>
                <w:sz w:val="18"/>
                <w:szCs w:val="18"/>
              </w:rPr>
            </w:pPr>
            <w:r w:rsidRPr="00E26ACD">
              <w:rPr>
                <w:sz w:val="18"/>
                <w:szCs w:val="18"/>
              </w:rPr>
              <w:lastRenderedPageBreak/>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110</w:t>
            </w:r>
          </w:p>
        </w:tc>
        <w:tc>
          <w:tcPr>
            <w:tcW w:w="6484" w:type="dxa"/>
          </w:tcPr>
          <w:p w:rsidR="00C258A6" w:rsidRPr="00E26ACD" w:rsidRDefault="00C258A6" w:rsidP="00C258A6">
            <w:pPr>
              <w:pStyle w:val="FSTableText"/>
              <w:rPr>
                <w:sz w:val="18"/>
                <w:szCs w:val="18"/>
              </w:rPr>
            </w:pPr>
            <w:r w:rsidRPr="00E26ACD">
              <w:rPr>
                <w:sz w:val="18"/>
                <w:szCs w:val="18"/>
              </w:rPr>
              <w:t xml:space="preserve">[38.1] Agree the table should be redrafted. It would be even clearer if the words ‘but less than 1.15% alcohol by volume’ were added after ‘Beverages containing 0.5% or more alcohol by volume’. </w:t>
            </w:r>
          </w:p>
        </w:tc>
        <w:tc>
          <w:tcPr>
            <w:tcW w:w="5277" w:type="dxa"/>
          </w:tcPr>
          <w:p w:rsidR="00C258A6" w:rsidRPr="00E26ACD" w:rsidRDefault="00C258A6" w:rsidP="00D53538">
            <w:pPr>
              <w:pStyle w:val="FSTableText"/>
              <w:rPr>
                <w:sz w:val="18"/>
                <w:szCs w:val="18"/>
              </w:rPr>
            </w:pPr>
            <w:r w:rsidRPr="00E26ACD">
              <w:rPr>
                <w:sz w:val="18"/>
                <w:szCs w:val="18"/>
              </w:rPr>
              <w:t xml:space="preserve">Agree. </w:t>
            </w:r>
            <w:r w:rsidR="00D53538" w:rsidRPr="00E26ACD">
              <w:rPr>
                <w:sz w:val="18"/>
                <w:szCs w:val="18"/>
              </w:rPr>
              <w:t>Reworded</w:t>
            </w:r>
            <w:r w:rsidRPr="00E26ACD">
              <w:rPr>
                <w:sz w:val="18"/>
                <w:szCs w:val="18"/>
              </w:rPr>
              <w:t xml:space="preserve"> as suggested.  </w:t>
            </w:r>
          </w:p>
        </w:tc>
      </w:tr>
      <w:tr w:rsidR="00C258A6" w:rsidTr="00981869">
        <w:trPr>
          <w:cantSplit/>
        </w:trPr>
        <w:tc>
          <w:tcPr>
            <w:tcW w:w="1606" w:type="dxa"/>
          </w:tcPr>
          <w:p w:rsidR="00C258A6" w:rsidRPr="00E26ACD" w:rsidRDefault="00FE767F"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111</w:t>
            </w:r>
          </w:p>
        </w:tc>
        <w:tc>
          <w:tcPr>
            <w:tcW w:w="6484" w:type="dxa"/>
          </w:tcPr>
          <w:p w:rsidR="00C258A6" w:rsidRPr="00E26ACD" w:rsidRDefault="00C258A6" w:rsidP="00C258A6">
            <w:pPr>
              <w:pStyle w:val="FSTableText"/>
              <w:rPr>
                <w:sz w:val="18"/>
                <w:szCs w:val="18"/>
              </w:rPr>
            </w:pPr>
            <w:r w:rsidRPr="00E26ACD">
              <w:rPr>
                <w:sz w:val="18"/>
                <w:szCs w:val="18"/>
              </w:rPr>
              <w:t xml:space="preserve">[39.1] Question whether ‘other foods’ is correct. Should this be ‘other food ingredients’? </w:t>
            </w:r>
          </w:p>
        </w:tc>
        <w:tc>
          <w:tcPr>
            <w:tcW w:w="5277" w:type="dxa"/>
            <w:vMerge w:val="restart"/>
          </w:tcPr>
          <w:p w:rsidR="00C258A6" w:rsidRPr="00E26ACD" w:rsidRDefault="00C258A6" w:rsidP="00C258A6">
            <w:pPr>
              <w:pStyle w:val="FSTableText"/>
              <w:rPr>
                <w:sz w:val="18"/>
                <w:szCs w:val="18"/>
              </w:rPr>
            </w:pPr>
            <w:r w:rsidRPr="00E26ACD">
              <w:rPr>
                <w:sz w:val="18"/>
                <w:szCs w:val="18"/>
              </w:rPr>
              <w:t>See issue 104</w:t>
            </w:r>
            <w:r w:rsidR="00D222C1" w:rsidRPr="00E26ACD">
              <w:rPr>
                <w:sz w:val="18"/>
                <w:szCs w:val="18"/>
              </w:rPr>
              <w:t>.</w:t>
            </w:r>
          </w:p>
        </w:tc>
      </w:tr>
      <w:tr w:rsidR="00C258A6" w:rsidTr="00981869">
        <w:trPr>
          <w:cantSplit/>
        </w:trPr>
        <w:tc>
          <w:tcPr>
            <w:tcW w:w="1606" w:type="dxa"/>
          </w:tcPr>
          <w:p w:rsidR="00C258A6" w:rsidRPr="00E26ACD" w:rsidRDefault="00981869" w:rsidP="00C258A6">
            <w:pPr>
              <w:pStyle w:val="FSTableText"/>
              <w:rPr>
                <w:sz w:val="18"/>
                <w:szCs w:val="18"/>
              </w:rPr>
            </w:pPr>
            <w:r>
              <w:rPr>
                <w:sz w:val="18"/>
                <w:szCs w:val="18"/>
              </w:rPr>
              <w:t>Vic Health</w:t>
            </w:r>
          </w:p>
        </w:tc>
        <w:tc>
          <w:tcPr>
            <w:tcW w:w="807" w:type="dxa"/>
          </w:tcPr>
          <w:p w:rsidR="00C258A6" w:rsidRPr="00E26ACD" w:rsidRDefault="00C258A6" w:rsidP="00C258A6">
            <w:pPr>
              <w:pStyle w:val="FSTableText"/>
              <w:rPr>
                <w:sz w:val="18"/>
                <w:szCs w:val="18"/>
              </w:rPr>
            </w:pPr>
            <w:r w:rsidRPr="00E26ACD">
              <w:rPr>
                <w:sz w:val="18"/>
                <w:szCs w:val="18"/>
              </w:rPr>
              <w:t>111</w:t>
            </w:r>
          </w:p>
        </w:tc>
        <w:tc>
          <w:tcPr>
            <w:tcW w:w="6484" w:type="dxa"/>
          </w:tcPr>
          <w:p w:rsidR="00C258A6" w:rsidRPr="00E26ACD" w:rsidRDefault="00C258A6" w:rsidP="00C258A6">
            <w:pPr>
              <w:pStyle w:val="FSTableText"/>
              <w:rPr>
                <w:sz w:val="18"/>
                <w:szCs w:val="18"/>
              </w:rPr>
            </w:pPr>
            <w:r w:rsidRPr="00E26ACD">
              <w:rPr>
                <w:sz w:val="18"/>
                <w:szCs w:val="18"/>
              </w:rPr>
              <w:t xml:space="preserve">Similar issues as for 104. The drafting of definitions and compositional requirements requires further discussion, to avoid need for further amendment. </w:t>
            </w:r>
          </w:p>
          <w:p w:rsidR="00C258A6" w:rsidRPr="00E26ACD" w:rsidRDefault="00C258A6" w:rsidP="00C258A6">
            <w:pPr>
              <w:pStyle w:val="FSTableText"/>
              <w:rPr>
                <w:sz w:val="18"/>
                <w:szCs w:val="18"/>
              </w:rPr>
            </w:pPr>
            <w:r w:rsidRPr="00E26ACD">
              <w:rPr>
                <w:sz w:val="18"/>
                <w:szCs w:val="18"/>
              </w:rPr>
              <w:t xml:space="preserve">For these reasons, in the absence of further information, the amendment is not supported. </w:t>
            </w:r>
          </w:p>
        </w:tc>
        <w:tc>
          <w:tcPr>
            <w:tcW w:w="5277" w:type="dxa"/>
            <w:vMerge/>
          </w:tcPr>
          <w:p w:rsidR="00C258A6" w:rsidRPr="00E26ACD" w:rsidRDefault="00C258A6" w:rsidP="00C258A6">
            <w:pPr>
              <w:pStyle w:val="FSTableText"/>
              <w:rPr>
                <w:sz w:val="18"/>
                <w:szCs w:val="18"/>
              </w:rPr>
            </w:pPr>
          </w:p>
        </w:tc>
      </w:tr>
      <w:tr w:rsidR="00C258A6" w:rsidTr="00981869">
        <w:trPr>
          <w:cantSplit/>
        </w:trPr>
        <w:tc>
          <w:tcPr>
            <w:tcW w:w="1606" w:type="dxa"/>
          </w:tcPr>
          <w:p w:rsidR="00C258A6" w:rsidRPr="00E26ACD" w:rsidRDefault="00981869" w:rsidP="00C258A6">
            <w:pPr>
              <w:pStyle w:val="FSTableText"/>
              <w:rPr>
                <w:sz w:val="18"/>
                <w:szCs w:val="18"/>
              </w:rPr>
            </w:pPr>
            <w:r>
              <w:rPr>
                <w:sz w:val="18"/>
                <w:szCs w:val="18"/>
              </w:rPr>
              <w:t>FTA</w:t>
            </w:r>
          </w:p>
        </w:tc>
        <w:tc>
          <w:tcPr>
            <w:tcW w:w="807" w:type="dxa"/>
          </w:tcPr>
          <w:p w:rsidR="00C258A6" w:rsidRPr="00E26ACD" w:rsidRDefault="00C258A6" w:rsidP="00C258A6">
            <w:pPr>
              <w:pStyle w:val="FSTableText"/>
              <w:rPr>
                <w:sz w:val="18"/>
                <w:szCs w:val="18"/>
              </w:rPr>
            </w:pPr>
            <w:r w:rsidRPr="00E26ACD">
              <w:rPr>
                <w:sz w:val="18"/>
                <w:szCs w:val="18"/>
              </w:rPr>
              <w:t>117</w:t>
            </w:r>
          </w:p>
        </w:tc>
        <w:tc>
          <w:tcPr>
            <w:tcW w:w="6484" w:type="dxa"/>
          </w:tcPr>
          <w:p w:rsidR="00C258A6" w:rsidRPr="00E26ACD" w:rsidRDefault="00C258A6" w:rsidP="00C258A6">
            <w:pPr>
              <w:pStyle w:val="FSTableText"/>
              <w:rPr>
                <w:sz w:val="18"/>
                <w:szCs w:val="18"/>
              </w:rPr>
            </w:pPr>
            <w:r w:rsidRPr="00E26ACD">
              <w:rPr>
                <w:sz w:val="18"/>
                <w:szCs w:val="18"/>
              </w:rPr>
              <w:t>Considers this matter should not be dealt with via Code Maintenance but should be a full proposal with rational</w:t>
            </w:r>
            <w:r w:rsidR="00FE767F" w:rsidRPr="00E26ACD">
              <w:rPr>
                <w:sz w:val="18"/>
                <w:szCs w:val="18"/>
              </w:rPr>
              <w:t>e</w:t>
            </w:r>
            <w:r w:rsidRPr="00E26ACD">
              <w:rPr>
                <w:sz w:val="18"/>
                <w:szCs w:val="18"/>
              </w:rPr>
              <w:t xml:space="preserve"> provided for the removal of these nucleotides. Many manufacturers have possibly incorporated these nucleotides in their products in the belief they were legal substances and therefore their products would not cause any harm and/or were beneficial. </w:t>
            </w:r>
          </w:p>
          <w:p w:rsidR="00C258A6" w:rsidRPr="00E26ACD" w:rsidRDefault="00C258A6" w:rsidP="00C258A6">
            <w:pPr>
              <w:pStyle w:val="FSTableText"/>
              <w:rPr>
                <w:sz w:val="18"/>
                <w:szCs w:val="18"/>
              </w:rPr>
            </w:pPr>
            <w:r w:rsidRPr="00E26ACD">
              <w:rPr>
                <w:sz w:val="18"/>
                <w:szCs w:val="18"/>
              </w:rPr>
              <w:t xml:space="preserve">Question 9: all infant food manufacturers may be affected as reformulation will be required and pre-printed packaged will have to be destroyed and replaced. </w:t>
            </w:r>
          </w:p>
        </w:tc>
        <w:tc>
          <w:tcPr>
            <w:tcW w:w="5277" w:type="dxa"/>
          </w:tcPr>
          <w:p w:rsidR="00C258A6" w:rsidRPr="00E26ACD" w:rsidRDefault="00C258A6" w:rsidP="00C258A6">
            <w:pPr>
              <w:pStyle w:val="FSTableText"/>
              <w:rPr>
                <w:sz w:val="18"/>
                <w:szCs w:val="18"/>
              </w:rPr>
            </w:pPr>
            <w:r w:rsidRPr="00E26ACD">
              <w:rPr>
                <w:sz w:val="18"/>
                <w:szCs w:val="18"/>
              </w:rPr>
              <w:t>Consultation with the manufacturers has confirmed that these nucleotide forms are not used, and that there is no reason for them to be in the Code.</w:t>
            </w:r>
          </w:p>
        </w:tc>
      </w:tr>
      <w:tr w:rsidR="00C258A6" w:rsidRPr="003672E4" w:rsidTr="00981869">
        <w:trPr>
          <w:cantSplit/>
        </w:trPr>
        <w:tc>
          <w:tcPr>
            <w:tcW w:w="1606" w:type="dxa"/>
          </w:tcPr>
          <w:p w:rsidR="00C258A6" w:rsidRPr="00E26ACD" w:rsidRDefault="00FE767F"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118</w:t>
            </w:r>
          </w:p>
        </w:tc>
        <w:tc>
          <w:tcPr>
            <w:tcW w:w="6484" w:type="dxa"/>
          </w:tcPr>
          <w:p w:rsidR="00C258A6" w:rsidRPr="00E26ACD" w:rsidRDefault="00C258A6" w:rsidP="00C258A6">
            <w:pPr>
              <w:pStyle w:val="FSTableText"/>
              <w:rPr>
                <w:sz w:val="18"/>
                <w:szCs w:val="18"/>
              </w:rPr>
            </w:pPr>
            <w:r w:rsidRPr="00E26ACD">
              <w:rPr>
                <w:sz w:val="18"/>
                <w:szCs w:val="18"/>
              </w:rPr>
              <w:t xml:space="preserve">[44.4] To ensure consistency with clause 16(2)(a) to (d), this could read ‘expressed in weight per 100 ml of infant formula product that has been reconstituted according to directions’. </w:t>
            </w:r>
          </w:p>
        </w:tc>
        <w:tc>
          <w:tcPr>
            <w:tcW w:w="5277" w:type="dxa"/>
          </w:tcPr>
          <w:p w:rsidR="00C258A6" w:rsidRPr="00E26ACD" w:rsidRDefault="00C258A6" w:rsidP="00B335C7">
            <w:pPr>
              <w:pStyle w:val="FSTableText"/>
              <w:rPr>
                <w:sz w:val="18"/>
                <w:szCs w:val="18"/>
              </w:rPr>
            </w:pPr>
            <w:r w:rsidRPr="00E26ACD">
              <w:rPr>
                <w:sz w:val="18"/>
                <w:szCs w:val="18"/>
              </w:rPr>
              <w:t xml:space="preserve">Agree. Standard 2.9.1, paragraph 16(2)(e) should read ‘expressed in weight per 100 mL when </w:t>
            </w:r>
            <w:r w:rsidR="002D5011" w:rsidRPr="00E26ACD">
              <w:rPr>
                <w:sz w:val="18"/>
                <w:szCs w:val="18"/>
              </w:rPr>
              <w:t xml:space="preserve">the product is </w:t>
            </w:r>
            <w:r w:rsidRPr="00E26ACD">
              <w:rPr>
                <w:sz w:val="18"/>
                <w:szCs w:val="18"/>
              </w:rPr>
              <w:t xml:space="preserve">reconstituted according to directions’ and </w:t>
            </w:r>
            <w:r w:rsidR="00B335C7" w:rsidRPr="00E26ACD">
              <w:rPr>
                <w:sz w:val="18"/>
                <w:szCs w:val="18"/>
              </w:rPr>
              <w:t>has been</w:t>
            </w:r>
            <w:r w:rsidRPr="00E26ACD">
              <w:rPr>
                <w:sz w:val="18"/>
                <w:szCs w:val="18"/>
              </w:rPr>
              <w:t xml:space="preserve"> amended. </w:t>
            </w:r>
          </w:p>
        </w:tc>
      </w:tr>
      <w:tr w:rsidR="00C258A6" w:rsidTr="00981869">
        <w:trPr>
          <w:cantSplit/>
        </w:trPr>
        <w:tc>
          <w:tcPr>
            <w:tcW w:w="1606" w:type="dxa"/>
          </w:tcPr>
          <w:p w:rsidR="00C258A6" w:rsidRPr="00E26ACD" w:rsidRDefault="002E6075" w:rsidP="002E6075">
            <w:pPr>
              <w:pStyle w:val="FSTableText"/>
              <w:rPr>
                <w:sz w:val="18"/>
                <w:szCs w:val="18"/>
              </w:rPr>
            </w:pPr>
            <w:r>
              <w:rPr>
                <w:sz w:val="18"/>
                <w:szCs w:val="18"/>
              </w:rPr>
              <w:t>Qld Health</w:t>
            </w:r>
            <w:r w:rsidR="00C258A6" w:rsidRPr="00E26ACD">
              <w:rPr>
                <w:sz w:val="18"/>
                <w:szCs w:val="18"/>
              </w:rPr>
              <w:t>, SA Health</w:t>
            </w:r>
          </w:p>
        </w:tc>
        <w:tc>
          <w:tcPr>
            <w:tcW w:w="807" w:type="dxa"/>
          </w:tcPr>
          <w:p w:rsidR="00C258A6" w:rsidRPr="00E26ACD" w:rsidRDefault="00C258A6" w:rsidP="00C258A6">
            <w:pPr>
              <w:pStyle w:val="FSTableText"/>
              <w:rPr>
                <w:sz w:val="18"/>
                <w:szCs w:val="18"/>
              </w:rPr>
            </w:pPr>
            <w:r w:rsidRPr="00E26ACD">
              <w:rPr>
                <w:sz w:val="18"/>
                <w:szCs w:val="18"/>
              </w:rPr>
              <w:t>124</w:t>
            </w:r>
          </w:p>
        </w:tc>
        <w:tc>
          <w:tcPr>
            <w:tcW w:w="6484" w:type="dxa"/>
          </w:tcPr>
          <w:p w:rsidR="00C258A6" w:rsidRPr="00E26ACD" w:rsidRDefault="00C258A6" w:rsidP="00C258A6">
            <w:pPr>
              <w:pStyle w:val="FSTableText"/>
              <w:rPr>
                <w:sz w:val="18"/>
                <w:szCs w:val="18"/>
              </w:rPr>
            </w:pPr>
            <w:r w:rsidRPr="00E26ACD">
              <w:rPr>
                <w:sz w:val="18"/>
                <w:szCs w:val="18"/>
              </w:rPr>
              <w:t>The replacement sentence is not clear.</w:t>
            </w:r>
          </w:p>
        </w:tc>
        <w:tc>
          <w:tcPr>
            <w:tcW w:w="5277" w:type="dxa"/>
          </w:tcPr>
          <w:p w:rsidR="00C258A6" w:rsidRPr="00E26ACD" w:rsidRDefault="00C258A6" w:rsidP="00B335C7">
            <w:pPr>
              <w:pStyle w:val="FSTableText"/>
              <w:rPr>
                <w:sz w:val="18"/>
                <w:szCs w:val="18"/>
              </w:rPr>
            </w:pPr>
            <w:r w:rsidRPr="00E26ACD">
              <w:rPr>
                <w:sz w:val="18"/>
                <w:szCs w:val="18"/>
              </w:rPr>
              <w:t xml:space="preserve">Due to this concern, FSANZ </w:t>
            </w:r>
            <w:r w:rsidR="00B335C7" w:rsidRPr="00E26ACD">
              <w:rPr>
                <w:sz w:val="18"/>
                <w:szCs w:val="18"/>
              </w:rPr>
              <w:t xml:space="preserve">has simplified </w:t>
            </w:r>
            <w:r w:rsidRPr="00E26ACD">
              <w:rPr>
                <w:sz w:val="18"/>
                <w:szCs w:val="18"/>
              </w:rPr>
              <w:t xml:space="preserve">this sentence. </w:t>
            </w:r>
          </w:p>
        </w:tc>
      </w:tr>
      <w:tr w:rsidR="00C258A6" w:rsidTr="00981869">
        <w:trPr>
          <w:cantSplit/>
        </w:trPr>
        <w:tc>
          <w:tcPr>
            <w:tcW w:w="1606" w:type="dxa"/>
          </w:tcPr>
          <w:p w:rsidR="001A6955" w:rsidRPr="00E26ACD" w:rsidRDefault="00981869" w:rsidP="00C258A6">
            <w:pPr>
              <w:pStyle w:val="FSTableText"/>
              <w:rPr>
                <w:sz w:val="18"/>
                <w:szCs w:val="18"/>
              </w:rPr>
            </w:pPr>
            <w:r>
              <w:rPr>
                <w:sz w:val="18"/>
                <w:szCs w:val="18"/>
              </w:rPr>
              <w:t>FTA</w:t>
            </w:r>
          </w:p>
        </w:tc>
        <w:tc>
          <w:tcPr>
            <w:tcW w:w="807" w:type="dxa"/>
          </w:tcPr>
          <w:p w:rsidR="00C258A6" w:rsidRPr="00E26ACD" w:rsidRDefault="00C258A6" w:rsidP="00C258A6">
            <w:pPr>
              <w:pStyle w:val="FSTableText"/>
              <w:rPr>
                <w:sz w:val="18"/>
                <w:szCs w:val="18"/>
              </w:rPr>
            </w:pPr>
            <w:r w:rsidRPr="00E26ACD">
              <w:rPr>
                <w:sz w:val="18"/>
                <w:szCs w:val="18"/>
              </w:rPr>
              <w:t>128</w:t>
            </w:r>
          </w:p>
        </w:tc>
        <w:tc>
          <w:tcPr>
            <w:tcW w:w="6484" w:type="dxa"/>
          </w:tcPr>
          <w:p w:rsidR="00C258A6" w:rsidRPr="00E26ACD" w:rsidRDefault="00C258A6" w:rsidP="00C258A6">
            <w:pPr>
              <w:pStyle w:val="FSTableText"/>
              <w:rPr>
                <w:sz w:val="18"/>
                <w:szCs w:val="18"/>
              </w:rPr>
            </w:pPr>
            <w:r w:rsidRPr="00E26ACD">
              <w:rPr>
                <w:sz w:val="18"/>
                <w:szCs w:val="18"/>
              </w:rPr>
              <w:t>Consider</w:t>
            </w:r>
            <w:r w:rsidR="00981869">
              <w:rPr>
                <w:sz w:val="18"/>
                <w:szCs w:val="18"/>
              </w:rPr>
              <w:t>s</w:t>
            </w:r>
            <w:r w:rsidRPr="00E26ACD">
              <w:rPr>
                <w:sz w:val="18"/>
                <w:szCs w:val="18"/>
              </w:rPr>
              <w:t xml:space="preserve"> that Standard 4.5.1 should be amended to comply with the requirements in Standard 1.4.1, rather than deleting the incorrect clause from Standard 4.5.1.</w:t>
            </w:r>
          </w:p>
        </w:tc>
        <w:tc>
          <w:tcPr>
            <w:tcW w:w="5277" w:type="dxa"/>
          </w:tcPr>
          <w:p w:rsidR="00C258A6" w:rsidRPr="00E26ACD" w:rsidRDefault="00C258A6" w:rsidP="00C258A6">
            <w:pPr>
              <w:pStyle w:val="FSTableText"/>
              <w:rPr>
                <w:sz w:val="18"/>
                <w:szCs w:val="18"/>
              </w:rPr>
            </w:pPr>
            <w:r w:rsidRPr="00E26ACD">
              <w:rPr>
                <w:sz w:val="18"/>
                <w:szCs w:val="18"/>
              </w:rPr>
              <w:t>The listing in Standard 1.4.1, as well as being in a more appropriate Standard in the Code, also means the limits will apply to domestic and imported wines.</w:t>
            </w:r>
          </w:p>
        </w:tc>
      </w:tr>
      <w:tr w:rsidR="00C258A6" w:rsidTr="00981869">
        <w:trPr>
          <w:cantSplit/>
        </w:trPr>
        <w:tc>
          <w:tcPr>
            <w:tcW w:w="1606" w:type="dxa"/>
          </w:tcPr>
          <w:p w:rsidR="00C258A6" w:rsidRPr="00E26ACD" w:rsidRDefault="00C258A6" w:rsidP="00C258A6">
            <w:pPr>
              <w:pStyle w:val="FSTableText"/>
              <w:rPr>
                <w:sz w:val="18"/>
                <w:szCs w:val="18"/>
              </w:rPr>
            </w:pPr>
            <w:r w:rsidRPr="00E26ACD">
              <w:rPr>
                <w:sz w:val="18"/>
                <w:szCs w:val="18"/>
              </w:rPr>
              <w:t>SA Health</w:t>
            </w:r>
          </w:p>
        </w:tc>
        <w:tc>
          <w:tcPr>
            <w:tcW w:w="807" w:type="dxa"/>
          </w:tcPr>
          <w:p w:rsidR="00C258A6" w:rsidRPr="00E26ACD" w:rsidRDefault="00C258A6" w:rsidP="00C258A6">
            <w:pPr>
              <w:pStyle w:val="FSTableText"/>
              <w:rPr>
                <w:sz w:val="18"/>
                <w:szCs w:val="18"/>
              </w:rPr>
            </w:pPr>
            <w:r w:rsidRPr="00E26ACD">
              <w:rPr>
                <w:sz w:val="18"/>
                <w:szCs w:val="18"/>
              </w:rPr>
              <w:t>128</w:t>
            </w:r>
          </w:p>
        </w:tc>
        <w:tc>
          <w:tcPr>
            <w:tcW w:w="6484" w:type="dxa"/>
          </w:tcPr>
          <w:p w:rsidR="00C258A6" w:rsidRPr="00E26ACD" w:rsidRDefault="00C258A6" w:rsidP="00C258A6">
            <w:pPr>
              <w:pStyle w:val="FSTableText"/>
              <w:rPr>
                <w:sz w:val="18"/>
                <w:szCs w:val="18"/>
              </w:rPr>
            </w:pPr>
            <w:r w:rsidRPr="00E26ACD">
              <w:rPr>
                <w:sz w:val="18"/>
                <w:szCs w:val="18"/>
              </w:rPr>
              <w:t xml:space="preserve">Retain this subclause and align levels. It is helpful from a regulatory perspective to have all relevant compositional limits listed in the one Standard. Alternatively a reference to Standard 1.4.1 could be made. </w:t>
            </w:r>
          </w:p>
        </w:tc>
        <w:tc>
          <w:tcPr>
            <w:tcW w:w="5277" w:type="dxa"/>
          </w:tcPr>
          <w:p w:rsidR="00C258A6" w:rsidRPr="00E26ACD" w:rsidRDefault="00C258A6" w:rsidP="00363601">
            <w:pPr>
              <w:pStyle w:val="FSTableText"/>
              <w:rPr>
                <w:sz w:val="18"/>
                <w:szCs w:val="18"/>
              </w:rPr>
            </w:pPr>
            <w:r w:rsidRPr="00E26ACD">
              <w:rPr>
                <w:sz w:val="18"/>
                <w:szCs w:val="18"/>
              </w:rPr>
              <w:t>FSANZ believes that placing the requirements in Standard 1.4.1 is more appropriate. There is no need to have the requirement in an Australian-only production standard and also a finished product standard.</w:t>
            </w:r>
          </w:p>
        </w:tc>
      </w:tr>
      <w:tr w:rsidR="00C258A6" w:rsidRPr="00EF6C77" w:rsidTr="00981869">
        <w:trPr>
          <w:cantSplit/>
        </w:trPr>
        <w:tc>
          <w:tcPr>
            <w:tcW w:w="1606" w:type="dxa"/>
          </w:tcPr>
          <w:p w:rsidR="00C258A6" w:rsidRPr="00E26ACD" w:rsidRDefault="00981869" w:rsidP="00C258A6">
            <w:pPr>
              <w:pStyle w:val="FSTableText"/>
              <w:rPr>
                <w:sz w:val="18"/>
                <w:szCs w:val="18"/>
              </w:rPr>
            </w:pPr>
            <w:r>
              <w:rPr>
                <w:sz w:val="18"/>
                <w:szCs w:val="18"/>
              </w:rPr>
              <w:t>Vic Health</w:t>
            </w:r>
          </w:p>
        </w:tc>
        <w:tc>
          <w:tcPr>
            <w:tcW w:w="807" w:type="dxa"/>
          </w:tcPr>
          <w:p w:rsidR="00C258A6" w:rsidRPr="00E26ACD" w:rsidRDefault="00C258A6" w:rsidP="00C258A6">
            <w:pPr>
              <w:pStyle w:val="FSTableText"/>
              <w:rPr>
                <w:sz w:val="18"/>
                <w:szCs w:val="18"/>
              </w:rPr>
            </w:pPr>
            <w:r w:rsidRPr="00E26ACD">
              <w:rPr>
                <w:sz w:val="18"/>
                <w:szCs w:val="18"/>
              </w:rPr>
              <w:t>128</w:t>
            </w:r>
          </w:p>
        </w:tc>
        <w:tc>
          <w:tcPr>
            <w:tcW w:w="6484" w:type="dxa"/>
          </w:tcPr>
          <w:p w:rsidR="00C258A6" w:rsidRPr="00E26ACD" w:rsidRDefault="00C258A6" w:rsidP="00C258A6">
            <w:pPr>
              <w:pStyle w:val="FSTableText"/>
              <w:rPr>
                <w:sz w:val="18"/>
                <w:szCs w:val="18"/>
              </w:rPr>
            </w:pPr>
            <w:r w:rsidRPr="00E26ACD">
              <w:rPr>
                <w:sz w:val="18"/>
                <w:szCs w:val="18"/>
              </w:rPr>
              <w:t>Support</w:t>
            </w:r>
            <w:r w:rsidR="00981869">
              <w:rPr>
                <w:sz w:val="18"/>
                <w:szCs w:val="18"/>
              </w:rPr>
              <w:t>s</w:t>
            </w:r>
            <w:r w:rsidRPr="00E26ACD">
              <w:rPr>
                <w:sz w:val="18"/>
                <w:szCs w:val="18"/>
              </w:rPr>
              <w:t xml:space="preserve"> the amendment. </w:t>
            </w:r>
          </w:p>
        </w:tc>
        <w:tc>
          <w:tcPr>
            <w:tcW w:w="5277" w:type="dxa"/>
          </w:tcPr>
          <w:p w:rsidR="00C258A6" w:rsidRPr="00E26ACD" w:rsidRDefault="00C258A6" w:rsidP="00C258A6">
            <w:pPr>
              <w:pStyle w:val="FSTableText"/>
              <w:rPr>
                <w:sz w:val="18"/>
                <w:szCs w:val="18"/>
              </w:rPr>
            </w:pPr>
            <w:r w:rsidRPr="00E26ACD">
              <w:rPr>
                <w:sz w:val="18"/>
                <w:szCs w:val="18"/>
              </w:rPr>
              <w:t xml:space="preserve">Support noted. </w:t>
            </w:r>
          </w:p>
        </w:tc>
      </w:tr>
      <w:tr w:rsidR="00C258A6" w:rsidTr="00981869">
        <w:trPr>
          <w:cantSplit/>
        </w:trPr>
        <w:tc>
          <w:tcPr>
            <w:tcW w:w="1606" w:type="dxa"/>
          </w:tcPr>
          <w:p w:rsidR="00C258A6" w:rsidRPr="00E26ACD" w:rsidRDefault="00FE767F" w:rsidP="00C258A6">
            <w:pPr>
              <w:pStyle w:val="FSTableText"/>
              <w:rPr>
                <w:sz w:val="18"/>
                <w:szCs w:val="18"/>
              </w:rPr>
            </w:pPr>
            <w:r w:rsidRPr="00E26ACD">
              <w:rPr>
                <w:sz w:val="18"/>
                <w:szCs w:val="18"/>
              </w:rPr>
              <w:t xml:space="preserve">NZ </w:t>
            </w:r>
            <w:r w:rsidR="00981869">
              <w:rPr>
                <w:sz w:val="18"/>
                <w:szCs w:val="18"/>
              </w:rPr>
              <w:t>MAF</w:t>
            </w:r>
          </w:p>
        </w:tc>
        <w:tc>
          <w:tcPr>
            <w:tcW w:w="807" w:type="dxa"/>
          </w:tcPr>
          <w:p w:rsidR="00C258A6" w:rsidRPr="00E26ACD" w:rsidRDefault="00C258A6" w:rsidP="00C258A6">
            <w:pPr>
              <w:pStyle w:val="FSTableText"/>
              <w:rPr>
                <w:sz w:val="18"/>
                <w:szCs w:val="18"/>
              </w:rPr>
            </w:pPr>
            <w:r w:rsidRPr="00E26ACD">
              <w:rPr>
                <w:sz w:val="18"/>
                <w:szCs w:val="18"/>
              </w:rPr>
              <w:t>140</w:t>
            </w:r>
          </w:p>
        </w:tc>
        <w:tc>
          <w:tcPr>
            <w:tcW w:w="6484" w:type="dxa"/>
          </w:tcPr>
          <w:p w:rsidR="00C258A6" w:rsidRPr="00E26ACD" w:rsidRDefault="00C258A6" w:rsidP="00C258A6">
            <w:pPr>
              <w:pStyle w:val="FSTableText"/>
              <w:rPr>
                <w:sz w:val="18"/>
                <w:szCs w:val="18"/>
              </w:rPr>
            </w:pPr>
            <w:r w:rsidRPr="00E26ACD">
              <w:rPr>
                <w:sz w:val="18"/>
                <w:szCs w:val="18"/>
              </w:rPr>
              <w:t xml:space="preserve">Suggests the weblink to fish names is updated following NZFSA being absorbed into </w:t>
            </w:r>
            <w:r w:rsidR="000E7F78" w:rsidRPr="00E26ACD">
              <w:rPr>
                <w:sz w:val="18"/>
                <w:szCs w:val="18"/>
              </w:rPr>
              <w:t>the NZ Ministry of Agriculture and Forestry.</w:t>
            </w:r>
          </w:p>
        </w:tc>
        <w:tc>
          <w:tcPr>
            <w:tcW w:w="5277" w:type="dxa"/>
          </w:tcPr>
          <w:p w:rsidR="00C258A6" w:rsidRPr="00E26ACD" w:rsidRDefault="00C258A6" w:rsidP="00C258A6">
            <w:pPr>
              <w:pStyle w:val="FSTableText"/>
              <w:rPr>
                <w:sz w:val="18"/>
                <w:szCs w:val="18"/>
              </w:rPr>
            </w:pPr>
            <w:r w:rsidRPr="00E26ACD">
              <w:rPr>
                <w:sz w:val="18"/>
                <w:szCs w:val="18"/>
              </w:rPr>
              <w:t xml:space="preserve">Updated link as provided. </w:t>
            </w:r>
          </w:p>
          <w:p w:rsidR="00C258A6" w:rsidRPr="00E26ACD" w:rsidRDefault="00C258A6" w:rsidP="00C258A6">
            <w:pPr>
              <w:pStyle w:val="FSTableText"/>
              <w:rPr>
                <w:sz w:val="18"/>
                <w:szCs w:val="18"/>
              </w:rPr>
            </w:pPr>
          </w:p>
        </w:tc>
      </w:tr>
    </w:tbl>
    <w:p w:rsidR="00C258A6" w:rsidRDefault="00C258A6" w:rsidP="00C258A6"/>
    <w:p w:rsidR="003C4969" w:rsidRDefault="003C4969"/>
    <w:sectPr w:rsidR="003C4969" w:rsidSect="00247F66">
      <w:footerReference w:type="default" r:id="rId2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2FE" w:rsidRDefault="003E72FE">
      <w:r>
        <w:separator/>
      </w:r>
    </w:p>
  </w:endnote>
  <w:endnote w:type="continuationSeparator" w:id="0">
    <w:p w:rsidR="003E72FE" w:rsidRDefault="003E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FE" w:rsidRDefault="003E72F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72FE" w:rsidRDefault="003E72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FE" w:rsidRDefault="003E72F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2131">
      <w:rPr>
        <w:rStyle w:val="PageNumber"/>
        <w:noProof/>
      </w:rPr>
      <w:t>58</w:t>
    </w:r>
    <w:r>
      <w:rPr>
        <w:rStyle w:val="PageNumber"/>
      </w:rPr>
      <w:fldChar w:fldCharType="end"/>
    </w:r>
  </w:p>
  <w:p w:rsidR="003E72FE" w:rsidRDefault="003E72F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FE" w:rsidRDefault="003E72F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2131">
      <w:rPr>
        <w:rStyle w:val="PageNumber"/>
        <w:noProof/>
      </w:rPr>
      <w:t>123</w:t>
    </w:r>
    <w:r>
      <w:rPr>
        <w:rStyle w:val="PageNumber"/>
      </w:rPr>
      <w:fldChar w:fldCharType="end"/>
    </w:r>
  </w:p>
  <w:p w:rsidR="003E72FE" w:rsidRDefault="003E72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2FE" w:rsidRDefault="003E72FE">
      <w:r>
        <w:separator/>
      </w:r>
    </w:p>
  </w:footnote>
  <w:footnote w:type="continuationSeparator" w:id="0">
    <w:p w:rsidR="003E72FE" w:rsidRDefault="003E72FE">
      <w:r>
        <w:continuationSeparator/>
      </w:r>
    </w:p>
  </w:footnote>
  <w:footnote w:id="1">
    <w:p w:rsidR="003E72FE" w:rsidRPr="000B72E3" w:rsidRDefault="003E72FE" w:rsidP="00A56F9F">
      <w:pPr>
        <w:pStyle w:val="FootnoteText"/>
        <w:rPr>
          <w:rFonts w:cs="Arial"/>
          <w:sz w:val="18"/>
          <w:szCs w:val="18"/>
          <w:lang w:val="en-AU"/>
        </w:rPr>
      </w:pPr>
      <w:r w:rsidRPr="000B72E3">
        <w:rPr>
          <w:rStyle w:val="FootnoteReference"/>
          <w:rFonts w:cs="Arial"/>
          <w:sz w:val="18"/>
          <w:szCs w:val="18"/>
        </w:rPr>
        <w:footnoteRef/>
      </w:r>
      <w:r w:rsidRPr="000B72E3">
        <w:rPr>
          <w:rFonts w:cs="Arial"/>
          <w:sz w:val="18"/>
          <w:szCs w:val="18"/>
        </w:rPr>
        <w:t xml:space="preserve"> </w:t>
      </w:r>
      <w:r>
        <w:rPr>
          <w:rFonts w:cs="Arial"/>
          <w:bCs/>
          <w:sz w:val="18"/>
          <w:szCs w:val="18"/>
          <w:lang w:val="en-AU" w:eastAsia="en-AU" w:bidi="ar-SA"/>
        </w:rPr>
        <w:t>ADI ‘</w:t>
      </w:r>
      <w:r w:rsidRPr="000B72E3">
        <w:rPr>
          <w:rFonts w:cs="Arial"/>
          <w:bCs/>
          <w:sz w:val="18"/>
          <w:szCs w:val="18"/>
          <w:lang w:val="en-AU" w:eastAsia="en-AU" w:bidi="ar-SA"/>
        </w:rPr>
        <w:t>not specified</w:t>
      </w:r>
      <w:r>
        <w:rPr>
          <w:rFonts w:cs="Arial"/>
          <w:bCs/>
          <w:sz w:val="18"/>
          <w:szCs w:val="18"/>
          <w:lang w:val="en-AU" w:eastAsia="en-AU" w:bidi="ar-SA"/>
        </w:rPr>
        <w:t>’</w:t>
      </w:r>
      <w:r w:rsidRPr="000B72E3">
        <w:rPr>
          <w:rFonts w:cs="Arial"/>
          <w:bCs/>
          <w:sz w:val="18"/>
          <w:szCs w:val="18"/>
          <w:lang w:val="en-AU" w:eastAsia="en-AU" w:bidi="ar-SA"/>
        </w:rPr>
        <w:t xml:space="preserve"> is a</w:t>
      </w:r>
      <w:r w:rsidRPr="000B72E3">
        <w:rPr>
          <w:rFonts w:cs="Arial"/>
          <w:sz w:val="18"/>
          <w:szCs w:val="18"/>
          <w:lang w:val="en-AU" w:eastAsia="en-AU" w:bidi="ar-SA"/>
        </w:rPr>
        <w:t xml:space="preserve"> term applicable to a food substance of very low toxicity which, on the basis of the available data (chemical, biochemical, toxicological, and other), the total dietary intake of the substance arising from its use at the levels necessary to achieve the desired effect and from its acceptable background in food does not, in the opinion of JECFA, represent a hazard to health. For that reason, and for reasons stated in individual evaluations, the establishment of an acceptable daily intake expressed in numerical form is not deemed necessary.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FE" w:rsidRDefault="003E72FE">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687346"/>
    <w:multiLevelType w:val="hybridMultilevel"/>
    <w:tmpl w:val="4006A6A0"/>
    <w:lvl w:ilvl="0" w:tplc="F7E2334A">
      <w:start w:val="1"/>
      <w:numFmt w:val="bullet"/>
      <w:pStyle w:val="Box1"/>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1B7CC8"/>
    <w:multiLevelType w:val="multilevel"/>
    <w:tmpl w:val="B950A3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278511C"/>
    <w:multiLevelType w:val="hybridMultilevel"/>
    <w:tmpl w:val="06FEA0B2"/>
    <w:lvl w:ilvl="0" w:tplc="F9EA314E">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5">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35C87B8C"/>
    <w:multiLevelType w:val="hybridMultilevel"/>
    <w:tmpl w:val="C3FE607C"/>
    <w:lvl w:ilvl="0" w:tplc="0642748C">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7">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CCB520D"/>
    <w:multiLevelType w:val="hybridMultilevel"/>
    <w:tmpl w:val="E5DE0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DAD084E"/>
    <w:multiLevelType w:val="hybridMultilevel"/>
    <w:tmpl w:val="F80EC6F2"/>
    <w:lvl w:ilvl="0" w:tplc="0C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1">
    <w:nsid w:val="60B54945"/>
    <w:multiLevelType w:val="hybridMultilevel"/>
    <w:tmpl w:val="1BFA972E"/>
    <w:lvl w:ilvl="0" w:tplc="47F04936">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2">
    <w:nsid w:val="61C333A4"/>
    <w:multiLevelType w:val="hybridMultilevel"/>
    <w:tmpl w:val="B270F9E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A6B57EA"/>
    <w:multiLevelType w:val="hybridMultilevel"/>
    <w:tmpl w:val="1D688492"/>
    <w:lvl w:ilvl="0" w:tplc="0C0A5AFE">
      <w:start w:val="1"/>
      <w:numFmt w:val="lowerRoman"/>
      <w:lvlText w:val="(%1)"/>
      <w:lvlJc w:val="left"/>
      <w:pPr>
        <w:ind w:left="2430" w:hanging="72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4">
    <w:nsid w:val="6B6F626F"/>
    <w:multiLevelType w:val="hybridMultilevel"/>
    <w:tmpl w:val="3D207BFA"/>
    <w:lvl w:ilvl="0" w:tplc="0122ECF0">
      <w:start w:val="2"/>
      <w:numFmt w:val="decimal"/>
      <w:lvlText w:val="(%1)"/>
      <w:lvlJc w:val="left"/>
      <w:pPr>
        <w:tabs>
          <w:tab w:val="num" w:pos="844"/>
        </w:tabs>
        <w:ind w:left="844" w:hanging="855"/>
      </w:pPr>
      <w:rPr>
        <w:rFonts w:hint="default"/>
      </w:rPr>
    </w:lvl>
    <w:lvl w:ilvl="1" w:tplc="0C090019" w:tentative="1">
      <w:start w:val="1"/>
      <w:numFmt w:val="lowerLetter"/>
      <w:lvlText w:val="%2."/>
      <w:lvlJc w:val="left"/>
      <w:pPr>
        <w:tabs>
          <w:tab w:val="num" w:pos="1069"/>
        </w:tabs>
        <w:ind w:left="1069" w:hanging="360"/>
      </w:pPr>
    </w:lvl>
    <w:lvl w:ilvl="2" w:tplc="0C09001B" w:tentative="1">
      <w:start w:val="1"/>
      <w:numFmt w:val="lowerRoman"/>
      <w:lvlText w:val="%3."/>
      <w:lvlJc w:val="right"/>
      <w:pPr>
        <w:tabs>
          <w:tab w:val="num" w:pos="1789"/>
        </w:tabs>
        <w:ind w:left="1789" w:hanging="180"/>
      </w:pPr>
    </w:lvl>
    <w:lvl w:ilvl="3" w:tplc="0C09000F" w:tentative="1">
      <w:start w:val="1"/>
      <w:numFmt w:val="decimal"/>
      <w:lvlText w:val="%4."/>
      <w:lvlJc w:val="left"/>
      <w:pPr>
        <w:tabs>
          <w:tab w:val="num" w:pos="2509"/>
        </w:tabs>
        <w:ind w:left="2509" w:hanging="360"/>
      </w:pPr>
    </w:lvl>
    <w:lvl w:ilvl="4" w:tplc="0C090019" w:tentative="1">
      <w:start w:val="1"/>
      <w:numFmt w:val="lowerLetter"/>
      <w:lvlText w:val="%5."/>
      <w:lvlJc w:val="left"/>
      <w:pPr>
        <w:tabs>
          <w:tab w:val="num" w:pos="3229"/>
        </w:tabs>
        <w:ind w:left="3229" w:hanging="360"/>
      </w:pPr>
    </w:lvl>
    <w:lvl w:ilvl="5" w:tplc="0C09001B" w:tentative="1">
      <w:start w:val="1"/>
      <w:numFmt w:val="lowerRoman"/>
      <w:lvlText w:val="%6."/>
      <w:lvlJc w:val="right"/>
      <w:pPr>
        <w:tabs>
          <w:tab w:val="num" w:pos="3949"/>
        </w:tabs>
        <w:ind w:left="3949" w:hanging="180"/>
      </w:pPr>
    </w:lvl>
    <w:lvl w:ilvl="6" w:tplc="0C09000F" w:tentative="1">
      <w:start w:val="1"/>
      <w:numFmt w:val="decimal"/>
      <w:lvlText w:val="%7."/>
      <w:lvlJc w:val="left"/>
      <w:pPr>
        <w:tabs>
          <w:tab w:val="num" w:pos="4669"/>
        </w:tabs>
        <w:ind w:left="4669" w:hanging="360"/>
      </w:pPr>
    </w:lvl>
    <w:lvl w:ilvl="7" w:tplc="0C090019" w:tentative="1">
      <w:start w:val="1"/>
      <w:numFmt w:val="lowerLetter"/>
      <w:lvlText w:val="%8."/>
      <w:lvlJc w:val="left"/>
      <w:pPr>
        <w:tabs>
          <w:tab w:val="num" w:pos="5389"/>
        </w:tabs>
        <w:ind w:left="5389" w:hanging="360"/>
      </w:pPr>
    </w:lvl>
    <w:lvl w:ilvl="8" w:tplc="0C09001B" w:tentative="1">
      <w:start w:val="1"/>
      <w:numFmt w:val="lowerRoman"/>
      <w:lvlText w:val="%9."/>
      <w:lvlJc w:val="right"/>
      <w:pPr>
        <w:tabs>
          <w:tab w:val="num" w:pos="6109"/>
        </w:tabs>
        <w:ind w:left="6109" w:hanging="180"/>
      </w:pPr>
    </w:lvl>
  </w:abstractNum>
  <w:abstractNum w:abstractNumId="15">
    <w:nsid w:val="6F7E0620"/>
    <w:multiLevelType w:val="hybridMultilevel"/>
    <w:tmpl w:val="636CB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nsid w:val="7B2D3BA2"/>
    <w:multiLevelType w:val="hybridMultilevel"/>
    <w:tmpl w:val="1396B0B2"/>
    <w:lvl w:ilvl="0" w:tplc="86EA4A48">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8">
    <w:nsid w:val="7B7469A8"/>
    <w:multiLevelType w:val="hybridMultilevel"/>
    <w:tmpl w:val="FBD6D33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18"/>
  </w:num>
  <w:num w:numId="5">
    <w:abstractNumId w:val="8"/>
  </w:num>
  <w:num w:numId="6">
    <w:abstractNumId w:val="12"/>
  </w:num>
  <w:num w:numId="7">
    <w:abstractNumId w:val="17"/>
  </w:num>
  <w:num w:numId="8">
    <w:abstractNumId w:val="6"/>
  </w:num>
  <w:num w:numId="9">
    <w:abstractNumId w:val="13"/>
  </w:num>
  <w:num w:numId="10">
    <w:abstractNumId w:val="3"/>
  </w:num>
  <w:num w:numId="11">
    <w:abstractNumId w:val="11"/>
  </w:num>
  <w:num w:numId="12">
    <w:abstractNumId w:val="4"/>
  </w:num>
  <w:num w:numId="13">
    <w:abstractNumId w:val="15"/>
  </w:num>
  <w:num w:numId="14">
    <w:abstractNumId w:val="10"/>
  </w:num>
  <w:num w:numId="15">
    <w:abstractNumId w:val="14"/>
  </w:num>
  <w:num w:numId="16">
    <w:abstractNumId w:val="10"/>
  </w:num>
  <w:num w:numId="17">
    <w:abstractNumId w:val="16"/>
  </w:num>
  <w:num w:numId="18">
    <w:abstractNumId w:val="7"/>
  </w:num>
  <w:num w:numId="19">
    <w:abstractNumId w:val="9"/>
  </w:num>
  <w:num w:numId="20">
    <w:abstractNumId w:val="5"/>
  </w:num>
  <w:num w:numId="21">
    <w:abstractNumId w:val="16"/>
  </w:num>
  <w:num w:numId="22">
    <w:abstractNumId w:val="7"/>
  </w:num>
  <w:num w:numId="23">
    <w:abstractNumId w:val="9"/>
  </w:num>
  <w:num w:numId="2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247B"/>
    <w:rsid w:val="0000469B"/>
    <w:rsid w:val="00004CC9"/>
    <w:rsid w:val="0001756A"/>
    <w:rsid w:val="00022A5B"/>
    <w:rsid w:val="00024109"/>
    <w:rsid w:val="000324F5"/>
    <w:rsid w:val="00034201"/>
    <w:rsid w:val="0003461A"/>
    <w:rsid w:val="00034D51"/>
    <w:rsid w:val="00036AB8"/>
    <w:rsid w:val="00036BE6"/>
    <w:rsid w:val="000444A2"/>
    <w:rsid w:val="000515B2"/>
    <w:rsid w:val="00064B2D"/>
    <w:rsid w:val="00065F1F"/>
    <w:rsid w:val="000723A4"/>
    <w:rsid w:val="0007534D"/>
    <w:rsid w:val="00076D33"/>
    <w:rsid w:val="00081152"/>
    <w:rsid w:val="00090D29"/>
    <w:rsid w:val="00094BDB"/>
    <w:rsid w:val="00097373"/>
    <w:rsid w:val="000A1C16"/>
    <w:rsid w:val="000A3D8B"/>
    <w:rsid w:val="000A3DE8"/>
    <w:rsid w:val="000A4ABC"/>
    <w:rsid w:val="000A6D2C"/>
    <w:rsid w:val="000A7096"/>
    <w:rsid w:val="000A7A0B"/>
    <w:rsid w:val="000B6035"/>
    <w:rsid w:val="000C14DF"/>
    <w:rsid w:val="000C34B1"/>
    <w:rsid w:val="000C5DC9"/>
    <w:rsid w:val="000D6F3F"/>
    <w:rsid w:val="000D6FD4"/>
    <w:rsid w:val="000D7928"/>
    <w:rsid w:val="000E0AE4"/>
    <w:rsid w:val="000E1033"/>
    <w:rsid w:val="000E3DBC"/>
    <w:rsid w:val="000E7F78"/>
    <w:rsid w:val="000F5A93"/>
    <w:rsid w:val="000F62EB"/>
    <w:rsid w:val="0010117E"/>
    <w:rsid w:val="00102D28"/>
    <w:rsid w:val="00131B26"/>
    <w:rsid w:val="001368FB"/>
    <w:rsid w:val="00141317"/>
    <w:rsid w:val="00145BE8"/>
    <w:rsid w:val="0015021D"/>
    <w:rsid w:val="00152808"/>
    <w:rsid w:val="0015382B"/>
    <w:rsid w:val="00155FB1"/>
    <w:rsid w:val="001602EC"/>
    <w:rsid w:val="00164F80"/>
    <w:rsid w:val="00170DA7"/>
    <w:rsid w:val="00170E61"/>
    <w:rsid w:val="00182C4C"/>
    <w:rsid w:val="00190F23"/>
    <w:rsid w:val="001A1A75"/>
    <w:rsid w:val="001A6955"/>
    <w:rsid w:val="001A7E9A"/>
    <w:rsid w:val="001B5C4C"/>
    <w:rsid w:val="001B6617"/>
    <w:rsid w:val="001B7DD5"/>
    <w:rsid w:val="001C27A3"/>
    <w:rsid w:val="001C6E13"/>
    <w:rsid w:val="001E03F6"/>
    <w:rsid w:val="001E09FA"/>
    <w:rsid w:val="001E3F1E"/>
    <w:rsid w:val="001E4FA3"/>
    <w:rsid w:val="001F048C"/>
    <w:rsid w:val="001F2B4A"/>
    <w:rsid w:val="00203162"/>
    <w:rsid w:val="0020318C"/>
    <w:rsid w:val="00210493"/>
    <w:rsid w:val="00221D07"/>
    <w:rsid w:val="00226F17"/>
    <w:rsid w:val="00227E4A"/>
    <w:rsid w:val="00230FF0"/>
    <w:rsid w:val="00236EAD"/>
    <w:rsid w:val="00246FC0"/>
    <w:rsid w:val="00247D62"/>
    <w:rsid w:val="00247F66"/>
    <w:rsid w:val="0025457F"/>
    <w:rsid w:val="002564D5"/>
    <w:rsid w:val="002601C0"/>
    <w:rsid w:val="00264A26"/>
    <w:rsid w:val="00276806"/>
    <w:rsid w:val="00286C4D"/>
    <w:rsid w:val="002932EE"/>
    <w:rsid w:val="002941E9"/>
    <w:rsid w:val="00297332"/>
    <w:rsid w:val="002A0194"/>
    <w:rsid w:val="002A2841"/>
    <w:rsid w:val="002A6933"/>
    <w:rsid w:val="002B54EA"/>
    <w:rsid w:val="002B6004"/>
    <w:rsid w:val="002B7BF2"/>
    <w:rsid w:val="002B7F5A"/>
    <w:rsid w:val="002C0E7D"/>
    <w:rsid w:val="002C41B3"/>
    <w:rsid w:val="002C4666"/>
    <w:rsid w:val="002C50DF"/>
    <w:rsid w:val="002D398F"/>
    <w:rsid w:val="002D5011"/>
    <w:rsid w:val="002E6075"/>
    <w:rsid w:val="002E7A48"/>
    <w:rsid w:val="002F6488"/>
    <w:rsid w:val="002F7FC2"/>
    <w:rsid w:val="0030055A"/>
    <w:rsid w:val="0030516D"/>
    <w:rsid w:val="00310C79"/>
    <w:rsid w:val="003213F9"/>
    <w:rsid w:val="00323DBF"/>
    <w:rsid w:val="00324580"/>
    <w:rsid w:val="00332B12"/>
    <w:rsid w:val="003375AD"/>
    <w:rsid w:val="003416DC"/>
    <w:rsid w:val="00341AFB"/>
    <w:rsid w:val="00343D13"/>
    <w:rsid w:val="00347E88"/>
    <w:rsid w:val="00353821"/>
    <w:rsid w:val="0035557B"/>
    <w:rsid w:val="00363601"/>
    <w:rsid w:val="003666E9"/>
    <w:rsid w:val="00371B29"/>
    <w:rsid w:val="003768C6"/>
    <w:rsid w:val="00380803"/>
    <w:rsid w:val="00391769"/>
    <w:rsid w:val="00391B0F"/>
    <w:rsid w:val="00391F3A"/>
    <w:rsid w:val="003953E1"/>
    <w:rsid w:val="003956B3"/>
    <w:rsid w:val="0039577D"/>
    <w:rsid w:val="00396506"/>
    <w:rsid w:val="003A5229"/>
    <w:rsid w:val="003A68BE"/>
    <w:rsid w:val="003B14DD"/>
    <w:rsid w:val="003C4969"/>
    <w:rsid w:val="003D21EE"/>
    <w:rsid w:val="003D33AB"/>
    <w:rsid w:val="003D3785"/>
    <w:rsid w:val="003E41D5"/>
    <w:rsid w:val="003E46BA"/>
    <w:rsid w:val="003E72FE"/>
    <w:rsid w:val="003F02F6"/>
    <w:rsid w:val="003F08FA"/>
    <w:rsid w:val="003F511C"/>
    <w:rsid w:val="004007C2"/>
    <w:rsid w:val="00402536"/>
    <w:rsid w:val="00402D14"/>
    <w:rsid w:val="00405B1A"/>
    <w:rsid w:val="00411907"/>
    <w:rsid w:val="00417EE3"/>
    <w:rsid w:val="00420171"/>
    <w:rsid w:val="004263CB"/>
    <w:rsid w:val="004323F3"/>
    <w:rsid w:val="004457B3"/>
    <w:rsid w:val="00446A4B"/>
    <w:rsid w:val="00452244"/>
    <w:rsid w:val="00455A6F"/>
    <w:rsid w:val="00462548"/>
    <w:rsid w:val="00462A71"/>
    <w:rsid w:val="00464643"/>
    <w:rsid w:val="0046528A"/>
    <w:rsid w:val="004703F7"/>
    <w:rsid w:val="00473CDC"/>
    <w:rsid w:val="0047763F"/>
    <w:rsid w:val="0048106F"/>
    <w:rsid w:val="00486793"/>
    <w:rsid w:val="004B5D19"/>
    <w:rsid w:val="004B7F21"/>
    <w:rsid w:val="004D006A"/>
    <w:rsid w:val="004D617C"/>
    <w:rsid w:val="004E53E0"/>
    <w:rsid w:val="004F4F98"/>
    <w:rsid w:val="004F79AC"/>
    <w:rsid w:val="005050FF"/>
    <w:rsid w:val="00512066"/>
    <w:rsid w:val="00516080"/>
    <w:rsid w:val="005207D8"/>
    <w:rsid w:val="0052781B"/>
    <w:rsid w:val="00527B29"/>
    <w:rsid w:val="00530DA4"/>
    <w:rsid w:val="00543E2F"/>
    <w:rsid w:val="00567874"/>
    <w:rsid w:val="0057743E"/>
    <w:rsid w:val="00586228"/>
    <w:rsid w:val="00590E78"/>
    <w:rsid w:val="00592DEA"/>
    <w:rsid w:val="005A3F6F"/>
    <w:rsid w:val="005A6D89"/>
    <w:rsid w:val="005B4F22"/>
    <w:rsid w:val="005B6AF4"/>
    <w:rsid w:val="005C04CB"/>
    <w:rsid w:val="005D0953"/>
    <w:rsid w:val="005D1DB8"/>
    <w:rsid w:val="005D274C"/>
    <w:rsid w:val="005D3D6C"/>
    <w:rsid w:val="005D72E1"/>
    <w:rsid w:val="005E352F"/>
    <w:rsid w:val="005E4F87"/>
    <w:rsid w:val="005F400E"/>
    <w:rsid w:val="005F60EE"/>
    <w:rsid w:val="005F7342"/>
    <w:rsid w:val="00600C8A"/>
    <w:rsid w:val="00600F3F"/>
    <w:rsid w:val="0060751F"/>
    <w:rsid w:val="00610A3C"/>
    <w:rsid w:val="0061579B"/>
    <w:rsid w:val="00621124"/>
    <w:rsid w:val="00621C43"/>
    <w:rsid w:val="006244A5"/>
    <w:rsid w:val="00627F48"/>
    <w:rsid w:val="00637D9A"/>
    <w:rsid w:val="00646B05"/>
    <w:rsid w:val="00650E4D"/>
    <w:rsid w:val="0065633A"/>
    <w:rsid w:val="006563A8"/>
    <w:rsid w:val="00663FCF"/>
    <w:rsid w:val="006652A2"/>
    <w:rsid w:val="00665DE3"/>
    <w:rsid w:val="00681320"/>
    <w:rsid w:val="00681F52"/>
    <w:rsid w:val="00687BA1"/>
    <w:rsid w:val="0069078A"/>
    <w:rsid w:val="0069389D"/>
    <w:rsid w:val="00694BC5"/>
    <w:rsid w:val="00697B99"/>
    <w:rsid w:val="006A48A7"/>
    <w:rsid w:val="006A7043"/>
    <w:rsid w:val="006B6F64"/>
    <w:rsid w:val="006C1A57"/>
    <w:rsid w:val="006C1E1F"/>
    <w:rsid w:val="006C53DA"/>
    <w:rsid w:val="006C5CF5"/>
    <w:rsid w:val="006C6618"/>
    <w:rsid w:val="006D3CB4"/>
    <w:rsid w:val="006D44BE"/>
    <w:rsid w:val="006D5D65"/>
    <w:rsid w:val="006F1DB3"/>
    <w:rsid w:val="006F4A82"/>
    <w:rsid w:val="0071211D"/>
    <w:rsid w:val="007152DE"/>
    <w:rsid w:val="00720361"/>
    <w:rsid w:val="00724FA4"/>
    <w:rsid w:val="00726F51"/>
    <w:rsid w:val="00730800"/>
    <w:rsid w:val="00742C40"/>
    <w:rsid w:val="007466F3"/>
    <w:rsid w:val="00751FE3"/>
    <w:rsid w:val="007602AA"/>
    <w:rsid w:val="00760AD7"/>
    <w:rsid w:val="007652EF"/>
    <w:rsid w:val="00771D46"/>
    <w:rsid w:val="00780792"/>
    <w:rsid w:val="007816F0"/>
    <w:rsid w:val="0078237B"/>
    <w:rsid w:val="00785898"/>
    <w:rsid w:val="00785F64"/>
    <w:rsid w:val="00793296"/>
    <w:rsid w:val="007937B8"/>
    <w:rsid w:val="007938F0"/>
    <w:rsid w:val="00794909"/>
    <w:rsid w:val="00795B68"/>
    <w:rsid w:val="00795FE0"/>
    <w:rsid w:val="007A44B4"/>
    <w:rsid w:val="007A5B36"/>
    <w:rsid w:val="007A5BCC"/>
    <w:rsid w:val="007A79F3"/>
    <w:rsid w:val="007A7D3D"/>
    <w:rsid w:val="007A7F5D"/>
    <w:rsid w:val="007B1E27"/>
    <w:rsid w:val="007B225D"/>
    <w:rsid w:val="007B60C0"/>
    <w:rsid w:val="007B60E7"/>
    <w:rsid w:val="007B7592"/>
    <w:rsid w:val="007B76DA"/>
    <w:rsid w:val="007C1081"/>
    <w:rsid w:val="007C1C64"/>
    <w:rsid w:val="007D2798"/>
    <w:rsid w:val="007D40C7"/>
    <w:rsid w:val="007D4E17"/>
    <w:rsid w:val="007D7DA9"/>
    <w:rsid w:val="007E48BC"/>
    <w:rsid w:val="007E68EA"/>
    <w:rsid w:val="007E79F7"/>
    <w:rsid w:val="007F3630"/>
    <w:rsid w:val="007F4AAA"/>
    <w:rsid w:val="007F6569"/>
    <w:rsid w:val="00801A83"/>
    <w:rsid w:val="00807559"/>
    <w:rsid w:val="0081175D"/>
    <w:rsid w:val="00815624"/>
    <w:rsid w:val="008250DE"/>
    <w:rsid w:val="0083434B"/>
    <w:rsid w:val="008358F1"/>
    <w:rsid w:val="00836479"/>
    <w:rsid w:val="00836C69"/>
    <w:rsid w:val="008450BC"/>
    <w:rsid w:val="00852805"/>
    <w:rsid w:val="00853D54"/>
    <w:rsid w:val="00856B04"/>
    <w:rsid w:val="00857A2E"/>
    <w:rsid w:val="00863F35"/>
    <w:rsid w:val="00870214"/>
    <w:rsid w:val="00882C3B"/>
    <w:rsid w:val="0088493F"/>
    <w:rsid w:val="00894BCA"/>
    <w:rsid w:val="00896B85"/>
    <w:rsid w:val="008973D9"/>
    <w:rsid w:val="008A54C0"/>
    <w:rsid w:val="008C3FF3"/>
    <w:rsid w:val="008D06C6"/>
    <w:rsid w:val="008D1B64"/>
    <w:rsid w:val="008D3049"/>
    <w:rsid w:val="008E16EC"/>
    <w:rsid w:val="008E247D"/>
    <w:rsid w:val="008E5D00"/>
    <w:rsid w:val="008E6250"/>
    <w:rsid w:val="008E678F"/>
    <w:rsid w:val="00915202"/>
    <w:rsid w:val="0091567F"/>
    <w:rsid w:val="00915C9A"/>
    <w:rsid w:val="00920249"/>
    <w:rsid w:val="0093241C"/>
    <w:rsid w:val="00940D2A"/>
    <w:rsid w:val="00942F35"/>
    <w:rsid w:val="00944045"/>
    <w:rsid w:val="00972D06"/>
    <w:rsid w:val="009745BD"/>
    <w:rsid w:val="00981869"/>
    <w:rsid w:val="00987B08"/>
    <w:rsid w:val="0099021B"/>
    <w:rsid w:val="009A391C"/>
    <w:rsid w:val="009B45F7"/>
    <w:rsid w:val="009C3A5C"/>
    <w:rsid w:val="009D2A44"/>
    <w:rsid w:val="009E0A61"/>
    <w:rsid w:val="009E15E3"/>
    <w:rsid w:val="009E3010"/>
    <w:rsid w:val="009E4146"/>
    <w:rsid w:val="009E4A11"/>
    <w:rsid w:val="009E5982"/>
    <w:rsid w:val="009E6B57"/>
    <w:rsid w:val="009F296B"/>
    <w:rsid w:val="009F4714"/>
    <w:rsid w:val="009F5BD9"/>
    <w:rsid w:val="009F7065"/>
    <w:rsid w:val="00A02131"/>
    <w:rsid w:val="00A122F7"/>
    <w:rsid w:val="00A17B16"/>
    <w:rsid w:val="00A36F8D"/>
    <w:rsid w:val="00A45CD2"/>
    <w:rsid w:val="00A506D2"/>
    <w:rsid w:val="00A56DC7"/>
    <w:rsid w:val="00A56F9F"/>
    <w:rsid w:val="00A57377"/>
    <w:rsid w:val="00A66A26"/>
    <w:rsid w:val="00A7104A"/>
    <w:rsid w:val="00A7445D"/>
    <w:rsid w:val="00A74FD1"/>
    <w:rsid w:val="00A8446A"/>
    <w:rsid w:val="00A84A58"/>
    <w:rsid w:val="00A86EC7"/>
    <w:rsid w:val="00AA4ED8"/>
    <w:rsid w:val="00AB04EB"/>
    <w:rsid w:val="00AC597E"/>
    <w:rsid w:val="00AD4875"/>
    <w:rsid w:val="00AD5297"/>
    <w:rsid w:val="00AE1CA0"/>
    <w:rsid w:val="00AE659B"/>
    <w:rsid w:val="00AE7BF2"/>
    <w:rsid w:val="00B00E7F"/>
    <w:rsid w:val="00B13430"/>
    <w:rsid w:val="00B146A2"/>
    <w:rsid w:val="00B157F0"/>
    <w:rsid w:val="00B21DCC"/>
    <w:rsid w:val="00B21DD8"/>
    <w:rsid w:val="00B33298"/>
    <w:rsid w:val="00B335C7"/>
    <w:rsid w:val="00B52764"/>
    <w:rsid w:val="00B53D17"/>
    <w:rsid w:val="00B57412"/>
    <w:rsid w:val="00B7206F"/>
    <w:rsid w:val="00B731D3"/>
    <w:rsid w:val="00B73E07"/>
    <w:rsid w:val="00B76E4A"/>
    <w:rsid w:val="00B839A3"/>
    <w:rsid w:val="00B8695F"/>
    <w:rsid w:val="00B86F59"/>
    <w:rsid w:val="00B902BD"/>
    <w:rsid w:val="00B90C7C"/>
    <w:rsid w:val="00B94A1E"/>
    <w:rsid w:val="00BB463C"/>
    <w:rsid w:val="00BC2FA1"/>
    <w:rsid w:val="00BC5957"/>
    <w:rsid w:val="00BD0844"/>
    <w:rsid w:val="00BD2A39"/>
    <w:rsid w:val="00BD2E80"/>
    <w:rsid w:val="00BE20CC"/>
    <w:rsid w:val="00BE24A0"/>
    <w:rsid w:val="00BE30AC"/>
    <w:rsid w:val="00BF4206"/>
    <w:rsid w:val="00BF7FF0"/>
    <w:rsid w:val="00C028CE"/>
    <w:rsid w:val="00C03215"/>
    <w:rsid w:val="00C10446"/>
    <w:rsid w:val="00C114B2"/>
    <w:rsid w:val="00C12502"/>
    <w:rsid w:val="00C22DF2"/>
    <w:rsid w:val="00C258A6"/>
    <w:rsid w:val="00C25E67"/>
    <w:rsid w:val="00C30D9A"/>
    <w:rsid w:val="00C3377D"/>
    <w:rsid w:val="00C342E0"/>
    <w:rsid w:val="00C44DB8"/>
    <w:rsid w:val="00C456D9"/>
    <w:rsid w:val="00C476D0"/>
    <w:rsid w:val="00C54293"/>
    <w:rsid w:val="00C5667E"/>
    <w:rsid w:val="00C57BA4"/>
    <w:rsid w:val="00C60AA5"/>
    <w:rsid w:val="00C63A84"/>
    <w:rsid w:val="00C64E31"/>
    <w:rsid w:val="00C71F4D"/>
    <w:rsid w:val="00C81A32"/>
    <w:rsid w:val="00C836E3"/>
    <w:rsid w:val="00C860E5"/>
    <w:rsid w:val="00C86577"/>
    <w:rsid w:val="00C91CBB"/>
    <w:rsid w:val="00C92E07"/>
    <w:rsid w:val="00C94963"/>
    <w:rsid w:val="00C96868"/>
    <w:rsid w:val="00CA0416"/>
    <w:rsid w:val="00CA74CD"/>
    <w:rsid w:val="00CB68C5"/>
    <w:rsid w:val="00CB74D3"/>
    <w:rsid w:val="00CB7CC9"/>
    <w:rsid w:val="00CC3FF5"/>
    <w:rsid w:val="00CC75E2"/>
    <w:rsid w:val="00CD46EB"/>
    <w:rsid w:val="00CD7EBF"/>
    <w:rsid w:val="00CE41AB"/>
    <w:rsid w:val="00CE7659"/>
    <w:rsid w:val="00CF5C12"/>
    <w:rsid w:val="00CF5DDD"/>
    <w:rsid w:val="00D03023"/>
    <w:rsid w:val="00D056F1"/>
    <w:rsid w:val="00D1209A"/>
    <w:rsid w:val="00D20067"/>
    <w:rsid w:val="00D222C1"/>
    <w:rsid w:val="00D23DB6"/>
    <w:rsid w:val="00D23FCF"/>
    <w:rsid w:val="00D25D34"/>
    <w:rsid w:val="00D30352"/>
    <w:rsid w:val="00D322C3"/>
    <w:rsid w:val="00D46B97"/>
    <w:rsid w:val="00D502D3"/>
    <w:rsid w:val="00D51340"/>
    <w:rsid w:val="00D5150E"/>
    <w:rsid w:val="00D51A95"/>
    <w:rsid w:val="00D53538"/>
    <w:rsid w:val="00D53890"/>
    <w:rsid w:val="00D578CA"/>
    <w:rsid w:val="00D60568"/>
    <w:rsid w:val="00D70C7A"/>
    <w:rsid w:val="00D72D62"/>
    <w:rsid w:val="00D73AEE"/>
    <w:rsid w:val="00D835D5"/>
    <w:rsid w:val="00D8645E"/>
    <w:rsid w:val="00D8740B"/>
    <w:rsid w:val="00D9052E"/>
    <w:rsid w:val="00D92B17"/>
    <w:rsid w:val="00D94070"/>
    <w:rsid w:val="00DA10A8"/>
    <w:rsid w:val="00DA3132"/>
    <w:rsid w:val="00DB1E08"/>
    <w:rsid w:val="00DB2973"/>
    <w:rsid w:val="00DB5969"/>
    <w:rsid w:val="00DC1D03"/>
    <w:rsid w:val="00DC2129"/>
    <w:rsid w:val="00DC444D"/>
    <w:rsid w:val="00DC60E4"/>
    <w:rsid w:val="00DC6570"/>
    <w:rsid w:val="00DD2A5F"/>
    <w:rsid w:val="00DD79BA"/>
    <w:rsid w:val="00DE1333"/>
    <w:rsid w:val="00DF0C1B"/>
    <w:rsid w:val="00DF1244"/>
    <w:rsid w:val="00DF25C3"/>
    <w:rsid w:val="00E02CC6"/>
    <w:rsid w:val="00E04062"/>
    <w:rsid w:val="00E074B6"/>
    <w:rsid w:val="00E07E40"/>
    <w:rsid w:val="00E163CE"/>
    <w:rsid w:val="00E2003B"/>
    <w:rsid w:val="00E26ACD"/>
    <w:rsid w:val="00E319B1"/>
    <w:rsid w:val="00E35BCD"/>
    <w:rsid w:val="00E42094"/>
    <w:rsid w:val="00E43827"/>
    <w:rsid w:val="00E5508E"/>
    <w:rsid w:val="00E5509A"/>
    <w:rsid w:val="00E64CEF"/>
    <w:rsid w:val="00E76A10"/>
    <w:rsid w:val="00E777EC"/>
    <w:rsid w:val="00E9791A"/>
    <w:rsid w:val="00EA6B9C"/>
    <w:rsid w:val="00EA7F2F"/>
    <w:rsid w:val="00EB3E45"/>
    <w:rsid w:val="00EB5882"/>
    <w:rsid w:val="00EB75F5"/>
    <w:rsid w:val="00EC00DE"/>
    <w:rsid w:val="00EC30E1"/>
    <w:rsid w:val="00EC3542"/>
    <w:rsid w:val="00EC3FDA"/>
    <w:rsid w:val="00ED172A"/>
    <w:rsid w:val="00ED6BA4"/>
    <w:rsid w:val="00EE2001"/>
    <w:rsid w:val="00EE67E9"/>
    <w:rsid w:val="00EF43F7"/>
    <w:rsid w:val="00EF4E96"/>
    <w:rsid w:val="00F003FF"/>
    <w:rsid w:val="00F072AF"/>
    <w:rsid w:val="00F106B1"/>
    <w:rsid w:val="00F1499F"/>
    <w:rsid w:val="00F14BEC"/>
    <w:rsid w:val="00F225C5"/>
    <w:rsid w:val="00F27018"/>
    <w:rsid w:val="00F2737E"/>
    <w:rsid w:val="00F3175D"/>
    <w:rsid w:val="00F3631A"/>
    <w:rsid w:val="00F3715D"/>
    <w:rsid w:val="00F374F4"/>
    <w:rsid w:val="00F420C8"/>
    <w:rsid w:val="00F42533"/>
    <w:rsid w:val="00F42A4C"/>
    <w:rsid w:val="00F46AC1"/>
    <w:rsid w:val="00F47FAC"/>
    <w:rsid w:val="00F55BBE"/>
    <w:rsid w:val="00F60E7C"/>
    <w:rsid w:val="00F618A4"/>
    <w:rsid w:val="00F66F5E"/>
    <w:rsid w:val="00F86884"/>
    <w:rsid w:val="00F90CA6"/>
    <w:rsid w:val="00FA0768"/>
    <w:rsid w:val="00FA5518"/>
    <w:rsid w:val="00FA570A"/>
    <w:rsid w:val="00FA579F"/>
    <w:rsid w:val="00FA6DFD"/>
    <w:rsid w:val="00FB0049"/>
    <w:rsid w:val="00FB34CC"/>
    <w:rsid w:val="00FB365D"/>
    <w:rsid w:val="00FB40FF"/>
    <w:rsid w:val="00FB7512"/>
    <w:rsid w:val="00FC5553"/>
    <w:rsid w:val="00FC6E45"/>
    <w:rsid w:val="00FD2EFD"/>
    <w:rsid w:val="00FD7547"/>
    <w:rsid w:val="00FE1109"/>
    <w:rsid w:val="00FE5A5E"/>
    <w:rsid w:val="00FE767F"/>
    <w:rsid w:val="00FF3206"/>
    <w:rsid w:val="00FF5244"/>
    <w:rsid w:val="00FF58E6"/>
    <w:rsid w:val="00FF5F5C"/>
    <w:rsid w:val="00FF6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qFormat="1"/>
    <w:lsdException w:name="footer" w:uiPriority="99"/>
    <w:lsdException w:name="caption" w:semiHidden="1" w:unhideWhenUsed="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E4F87"/>
    <w:pPr>
      <w:widowControl w:val="0"/>
    </w:pPr>
    <w:rPr>
      <w:rFonts w:ascii="Arial" w:hAnsi="Arial"/>
      <w:sz w:val="22"/>
      <w:szCs w:val="24"/>
      <w:lang w:val="en-GB" w:eastAsia="en-US" w:bidi="en-US"/>
    </w:rPr>
  </w:style>
  <w:style w:type="paragraph" w:styleId="Heading1">
    <w:name w:val="heading 1"/>
    <w:aliases w:val="FS Heading 1,FSHeading 1,Chapter heading"/>
    <w:basedOn w:val="Normal"/>
    <w:next w:val="Normal"/>
    <w:link w:val="Heading1Char"/>
    <w:qFormat/>
    <w:rsid w:val="003E46BA"/>
    <w:pPr>
      <w:keepNext/>
      <w:ind w:left="851" w:hanging="851"/>
      <w:outlineLvl w:val="0"/>
    </w:pPr>
    <w:rPr>
      <w:rFonts w:ascii="Tahoma" w:hAnsi="Tahoma" w:cs="Tahoma"/>
      <w:b/>
      <w:bCs/>
      <w:kern w:val="32"/>
      <w:sz w:val="28"/>
      <w:szCs w:val="32"/>
      <w:u w:val="single"/>
    </w:rPr>
  </w:style>
  <w:style w:type="paragraph" w:styleId="Heading2">
    <w:name w:val="heading 2"/>
    <w:aliases w:val="FS Heading 2,FSHeading 2,Section heading"/>
    <w:basedOn w:val="Normal"/>
    <w:next w:val="Normal"/>
    <w:link w:val="Heading2Char"/>
    <w:unhideWhenUsed/>
    <w:qFormat/>
    <w:rsid w:val="003E46BA"/>
    <w:pPr>
      <w:keepNext/>
      <w:ind w:left="851" w:hanging="851"/>
      <w:outlineLvl w:val="1"/>
    </w:pPr>
    <w:rPr>
      <w:rFonts w:ascii="Arial Bold" w:hAnsi="Arial Bold" w:cs="Arial Unicode MS"/>
      <w:b/>
      <w:bCs/>
      <w:iCs/>
      <w:sz w:val="28"/>
      <w:szCs w:val="28"/>
    </w:rPr>
  </w:style>
  <w:style w:type="paragraph" w:styleId="Heading3">
    <w:name w:val="heading 3"/>
    <w:aliases w:val="FS Heading 3,FSHeading 3,Subheading 1"/>
    <w:basedOn w:val="Normal"/>
    <w:next w:val="Normal"/>
    <w:link w:val="Heading3Char"/>
    <w:unhideWhenUsed/>
    <w:qFormat/>
    <w:rsid w:val="00227E4A"/>
    <w:pPr>
      <w:keepNext/>
      <w:ind w:left="851" w:hanging="851"/>
      <w:outlineLvl w:val="2"/>
    </w:pPr>
    <w:rPr>
      <w:rFonts w:ascii="Arial Bold" w:hAnsi="Arial Bold" w:cs="Arial Unicode MS"/>
      <w:b/>
      <w:bCs/>
      <w:szCs w:val="26"/>
    </w:rPr>
  </w:style>
  <w:style w:type="paragraph" w:styleId="Heading4">
    <w:name w:val="heading 4"/>
    <w:aliases w:val="FS Heading 4,FSHeading 4,Subheading 2"/>
    <w:basedOn w:val="Normal"/>
    <w:next w:val="Normal"/>
    <w:link w:val="Heading4Char"/>
    <w:uiPriority w:val="9"/>
    <w:unhideWhenUsed/>
    <w:qFormat/>
    <w:rsid w:val="00227E4A"/>
    <w:pPr>
      <w:keepNext/>
      <w:ind w:left="851" w:hanging="851"/>
      <w:outlineLvl w:val="3"/>
    </w:pPr>
    <w:rPr>
      <w:bCs/>
      <w:i/>
      <w:szCs w:val="28"/>
    </w:rPr>
  </w:style>
  <w:style w:type="paragraph" w:styleId="Heading5">
    <w:name w:val="heading 5"/>
    <w:aliases w:val="FS Heading 5,FSHeading 5,Subheading 3"/>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nhideWhenUsed/>
    <w:qFormat/>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basedOn w:val="DefaultParagraphFont"/>
    <w:link w:val="Heading1"/>
    <w:rsid w:val="003E46BA"/>
    <w:rPr>
      <w:rFonts w:ascii="Tahoma" w:hAnsi="Tahoma" w:cs="Tahoma"/>
      <w:b/>
      <w:bCs/>
      <w:kern w:val="32"/>
      <w:sz w:val="28"/>
      <w:szCs w:val="32"/>
      <w:u w:val="single"/>
      <w:lang w:val="en-US" w:eastAsia="en-US" w:bidi="en-US"/>
    </w:rPr>
  </w:style>
  <w:style w:type="character" w:customStyle="1" w:styleId="Heading2Char">
    <w:name w:val="Heading 2 Char"/>
    <w:aliases w:val="FS Heading 2 Char,FSHeading 2 Char,Section heading Char"/>
    <w:basedOn w:val="DefaultParagraphFont"/>
    <w:link w:val="Heading2"/>
    <w:rsid w:val="003E46BA"/>
    <w:rPr>
      <w:rFonts w:ascii="Arial Bold" w:hAnsi="Arial Bold" w:cs="Arial Unicode MS"/>
      <w:b/>
      <w:bCs/>
      <w:iCs/>
      <w:sz w:val="28"/>
      <w:szCs w:val="28"/>
      <w:lang w:val="en-US" w:eastAsia="en-US" w:bidi="en-US"/>
    </w:rPr>
  </w:style>
  <w:style w:type="character" w:customStyle="1" w:styleId="Heading3Char">
    <w:name w:val="Heading 3 Char"/>
    <w:aliases w:val="FS Heading 3 Char,FSHeading 3 Char,Subheading 1 Char"/>
    <w:basedOn w:val="DefaultParagraphFont"/>
    <w:link w:val="Heading3"/>
    <w:rsid w:val="00227E4A"/>
    <w:rPr>
      <w:rFonts w:ascii="Arial Bold" w:hAnsi="Arial Bold" w:cs="Arial Unicode MS"/>
      <w:b/>
      <w:bCs/>
      <w:sz w:val="22"/>
      <w:szCs w:val="26"/>
      <w:lang w:val="en-US" w:eastAsia="en-US" w:bidi="en-US"/>
    </w:rPr>
  </w:style>
  <w:style w:type="character" w:customStyle="1" w:styleId="Heading4Char">
    <w:name w:val="Heading 4 Char"/>
    <w:aliases w:val="FS Heading 4 Char,FSHeading 4 Char,Subheading 2 Char"/>
    <w:basedOn w:val="DefaultParagraphFont"/>
    <w:link w:val="Heading4"/>
    <w:uiPriority w:val="9"/>
    <w:rsid w:val="00227E4A"/>
    <w:rPr>
      <w:rFonts w:ascii="Arial" w:hAnsi="Arial"/>
      <w:bCs/>
      <w:i/>
      <w:sz w:val="22"/>
      <w:szCs w:val="28"/>
      <w:lang w:val="en-US" w:eastAsia="en-US" w:bidi="en-US"/>
    </w:rPr>
  </w:style>
  <w:style w:type="character" w:customStyle="1" w:styleId="Heading5Char">
    <w:name w:val="Heading 5 Char"/>
    <w:aliases w:val="FS Heading 5 Char,FSHeading 5 Char,Subheading 3 Char"/>
    <w:basedOn w:val="DefaultParagraphFont"/>
    <w:link w:val="Heading5"/>
    <w:uiPriority w:val="9"/>
    <w:rsid w:val="00227E4A"/>
    <w:rPr>
      <w:rFonts w:ascii="Arial" w:hAnsi="Arial"/>
      <w:bCs/>
      <w:iCs/>
      <w:sz w:val="22"/>
      <w:szCs w:val="26"/>
      <w:u w:val="single"/>
      <w:lang w:val="en-US" w:eastAsia="en-US" w:bidi="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C64E31"/>
    <w:rPr>
      <w:color w:val="auto"/>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7602AA"/>
    <w:pPr>
      <w:numPr>
        <w:numId w:val="2"/>
      </w:numPr>
      <w:ind w:left="1134" w:hanging="567"/>
    </w:pPr>
  </w:style>
  <w:style w:type="paragraph" w:styleId="TOC1">
    <w:name w:val="toc 1"/>
    <w:basedOn w:val="Normal"/>
    <w:next w:val="Normal"/>
    <w:autoRedefine/>
    <w:uiPriority w:val="39"/>
    <w:rsid w:val="00F42A4C"/>
    <w:rPr>
      <w:b/>
      <w:bCs/>
      <w:caps/>
    </w:rPr>
  </w:style>
  <w:style w:type="paragraph" w:styleId="TOC2">
    <w:name w:val="toc 2"/>
    <w:basedOn w:val="Normal"/>
    <w:next w:val="Normal"/>
    <w:autoRedefine/>
    <w:uiPriority w:val="39"/>
    <w:rsid w:val="00C64E31"/>
    <w:pPr>
      <w:ind w:left="240"/>
    </w:pPr>
    <w:rPr>
      <w:smallCaps/>
    </w:rPr>
  </w:style>
  <w:style w:type="paragraph" w:styleId="Footer">
    <w:name w:val="footer"/>
    <w:aliases w:val="FSFooter"/>
    <w:basedOn w:val="Normal"/>
    <w:link w:val="FooterChar"/>
    <w:uiPriority w:val="99"/>
    <w:rsid w:val="00C64E31"/>
    <w:pPr>
      <w:tabs>
        <w:tab w:val="center" w:pos="4153"/>
        <w:tab w:val="right" w:pos="8306"/>
      </w:tabs>
    </w:p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697B99"/>
    <w:pPr>
      <w:tabs>
        <w:tab w:val="left" w:pos="1200"/>
        <w:tab w:val="right" w:leader="dot" w:pos="9016"/>
      </w:tabs>
      <w:ind w:left="1134" w:hanging="708"/>
    </w:pPr>
    <w:rPr>
      <w:i/>
      <w:iCs/>
    </w:rPr>
  </w:style>
  <w:style w:type="paragraph" w:styleId="TOC4">
    <w:name w:val="toc 4"/>
    <w:basedOn w:val="Normal"/>
    <w:next w:val="Normal"/>
    <w:autoRedefine/>
    <w:uiPriority w:val="39"/>
    <w:rsid w:val="00C64E31"/>
    <w:pPr>
      <w:ind w:left="720"/>
    </w:pPr>
    <w:rPr>
      <w:szCs w:val="21"/>
    </w:rPr>
  </w:style>
  <w:style w:type="paragraph" w:styleId="TOC5">
    <w:name w:val="toc 5"/>
    <w:basedOn w:val="Normal"/>
    <w:next w:val="Normal"/>
    <w:autoRedefine/>
    <w:uiPriority w:val="39"/>
    <w:rsid w:val="00C64E31"/>
    <w:pPr>
      <w:ind w:left="960"/>
    </w:pPr>
    <w:rPr>
      <w:szCs w:val="21"/>
    </w:rPr>
  </w:style>
  <w:style w:type="character" w:styleId="FollowedHyperlink">
    <w:name w:val="FollowedHyperlink"/>
    <w:basedOn w:val="DefaultParagraphFont"/>
    <w:rsid w:val="00C64E31"/>
    <w:rPr>
      <w:color w:val="800080"/>
      <w:u w:val="single"/>
    </w:rPr>
  </w:style>
  <w:style w:type="paragraph" w:styleId="TOC6">
    <w:name w:val="toc 6"/>
    <w:basedOn w:val="Normal"/>
    <w:next w:val="Normal"/>
    <w:autoRedefine/>
    <w:uiPriority w:val="39"/>
    <w:rsid w:val="00C64E31"/>
    <w:pPr>
      <w:ind w:left="1200"/>
    </w:pPr>
    <w:rPr>
      <w:szCs w:val="21"/>
    </w:rPr>
  </w:style>
  <w:style w:type="paragraph" w:customStyle="1" w:styleId="142Tableheading2">
    <w:name w:val="1.4.2 Table heading2"/>
    <w:basedOn w:val="Normal"/>
    <w:qFormat/>
    <w:rsid w:val="002C41B3"/>
    <w:pPr>
      <w:keepNext/>
      <w:jc w:val="center"/>
    </w:pPr>
    <w:rPr>
      <w:iCs/>
      <w:smallCaps/>
      <w:sz w:val="18"/>
      <w:szCs w:val="20"/>
    </w:rPr>
  </w:style>
  <w:style w:type="paragraph" w:customStyle="1" w:styleId="Box1">
    <w:name w:val="Box 1"/>
    <w:basedOn w:val="Normal"/>
    <w:rsid w:val="00C64E31"/>
    <w:pPr>
      <w:numPr>
        <w:numId w:val="1"/>
      </w:numPr>
      <w:tabs>
        <w:tab w:val="clear" w:pos="360"/>
        <w:tab w:val="num" w:pos="120"/>
      </w:tabs>
    </w:pPr>
    <w:rPr>
      <w:sz w:val="16"/>
    </w:rPr>
  </w:style>
  <w:style w:type="paragraph" w:customStyle="1" w:styleId="Box2">
    <w:name w:val="Box 2"/>
    <w:basedOn w:val="Normal"/>
    <w:rsid w:val="00C64E31"/>
    <w:pPr>
      <w:tabs>
        <w:tab w:val="left" w:pos="4608"/>
        <w:tab w:val="left" w:pos="9180"/>
        <w:tab w:val="left" w:pos="9216"/>
      </w:tabs>
      <w:jc w:val="center"/>
    </w:pPr>
    <w:rPr>
      <w:b/>
      <w:bCs/>
      <w:i/>
      <w:iCs/>
      <w:color w:val="000000"/>
      <w:sz w:val="16"/>
    </w:rPr>
  </w:style>
  <w:style w:type="paragraph" w:customStyle="1" w:styleId="Box3">
    <w:name w:val="Box 3"/>
    <w:basedOn w:val="Normal"/>
    <w:rsid w:val="00C64E31"/>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qFormat/>
    <w:rsid w:val="002C41B3"/>
    <w:rPr>
      <w:b/>
      <w:bCs/>
      <w:iCs w:val="0"/>
    </w:rPr>
  </w:style>
  <w:style w:type="paragraph" w:customStyle="1" w:styleId="142tabletext1">
    <w:name w:val="1.4.2 table text1"/>
    <w:basedOn w:val="Normal"/>
    <w:link w:val="142tabletext1Char"/>
    <w:qFormat/>
    <w:rsid w:val="002C41B3"/>
    <w:pPr>
      <w:ind w:left="142" w:hanging="142"/>
    </w:pPr>
    <w:rPr>
      <w:smallCaps/>
      <w:sz w:val="18"/>
      <w:szCs w:val="20"/>
    </w:rPr>
  </w:style>
  <w:style w:type="paragraph" w:customStyle="1" w:styleId="142tabletext2">
    <w:name w:val="1.4.2 table text2"/>
    <w:basedOn w:val="142tabletext1"/>
    <w:qFormat/>
    <w:rsid w:val="00C64E31"/>
    <w:pPr>
      <w:jc w:val="right"/>
    </w:pPr>
  </w:style>
  <w:style w:type="paragraph" w:customStyle="1" w:styleId="Clause">
    <w:name w:val="Clause"/>
    <w:basedOn w:val="Normal"/>
    <w:next w:val="Normal"/>
    <w:link w:val="ClauseChar"/>
    <w:qFormat/>
    <w:rsid w:val="002C41B3"/>
    <w:pPr>
      <w:tabs>
        <w:tab w:val="left" w:pos="851"/>
      </w:tabs>
    </w:pPr>
    <w:rPr>
      <w:sz w:val="20"/>
      <w:szCs w:val="20"/>
    </w:rPr>
  </w:style>
  <w:style w:type="paragraph" w:customStyle="1" w:styleId="Clauseheading">
    <w:name w:val="Clause heading"/>
    <w:basedOn w:val="Normal"/>
    <w:next w:val="Normal"/>
    <w:rsid w:val="002C41B3"/>
    <w:pPr>
      <w:tabs>
        <w:tab w:val="left" w:pos="851"/>
      </w:tabs>
    </w:pPr>
    <w:rPr>
      <w:b/>
      <w:sz w:val="20"/>
      <w:szCs w:val="20"/>
    </w:rPr>
  </w:style>
  <w:style w:type="paragraph" w:customStyle="1" w:styleId="ClauseList">
    <w:name w:val="Clause List"/>
    <w:basedOn w:val="Clause"/>
    <w:next w:val="Normal"/>
    <w:rsid w:val="00C64E31"/>
  </w:style>
  <w:style w:type="paragraph" w:customStyle="1" w:styleId="Definition">
    <w:name w:val="Definition"/>
    <w:basedOn w:val="Normal"/>
    <w:next w:val="Normal"/>
    <w:link w:val="DefinitionChar"/>
    <w:rsid w:val="002C41B3"/>
    <w:pPr>
      <w:ind w:left="1701" w:hanging="851"/>
    </w:pPr>
    <w:rPr>
      <w:sz w:val="20"/>
      <w:szCs w:val="20"/>
    </w:rPr>
  </w:style>
  <w:style w:type="paragraph" w:customStyle="1" w:styleId="DivisionHeading">
    <w:name w:val="Division Heading"/>
    <w:basedOn w:val="Normal"/>
    <w:next w:val="Normal"/>
    <w:rsid w:val="00C64E31"/>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2C41B3"/>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sid w:val="00C64E31"/>
    <w:rPr>
      <w:b w:val="0"/>
    </w:rPr>
  </w:style>
  <w:style w:type="paragraph" w:customStyle="1" w:styleId="Footnote">
    <w:name w:val="Footnote"/>
    <w:basedOn w:val="Normal"/>
    <w:rsid w:val="002C41B3"/>
    <w:pPr>
      <w:tabs>
        <w:tab w:val="left" w:pos="851"/>
      </w:tabs>
    </w:pPr>
    <w:rPr>
      <w:sz w:val="16"/>
      <w:szCs w:val="20"/>
    </w:rPr>
  </w:style>
  <w:style w:type="paragraph" w:customStyle="1" w:styleId="MiscellaneousHeading">
    <w:name w:val="Miscellaneous Heading"/>
    <w:basedOn w:val="Normal"/>
    <w:next w:val="Normal"/>
    <w:rsid w:val="00C64E31"/>
    <w:rPr>
      <w:b/>
      <w:szCs w:val="20"/>
    </w:rPr>
  </w:style>
  <w:style w:type="paragraph" w:customStyle="1" w:styleId="Paragraph">
    <w:name w:val="Paragraph"/>
    <w:basedOn w:val="Clause"/>
    <w:next w:val="Normal"/>
    <w:link w:val="ParagraphChar"/>
    <w:rsid w:val="00C64E31"/>
    <w:pPr>
      <w:tabs>
        <w:tab w:val="clear" w:pos="851"/>
      </w:tabs>
      <w:ind w:left="1702" w:hanging="851"/>
    </w:pPr>
  </w:style>
  <w:style w:type="paragraph" w:customStyle="1" w:styleId="ScheduleHeading">
    <w:name w:val="Schedule Heading"/>
    <w:basedOn w:val="Normal"/>
    <w:next w:val="Normal"/>
    <w:rsid w:val="002C41B3"/>
    <w:pPr>
      <w:tabs>
        <w:tab w:val="left" w:pos="851"/>
      </w:tabs>
      <w:jc w:val="center"/>
    </w:pPr>
    <w:rPr>
      <w:b/>
      <w:caps/>
      <w:sz w:val="20"/>
      <w:szCs w:val="20"/>
    </w:rPr>
  </w:style>
  <w:style w:type="paragraph" w:customStyle="1" w:styleId="Standardtitle">
    <w:name w:val="Standard title"/>
    <w:basedOn w:val="Normal"/>
    <w:rsid w:val="00C64E31"/>
    <w:pPr>
      <w:tabs>
        <w:tab w:val="left" w:pos="851"/>
      </w:tabs>
      <w:jc w:val="center"/>
    </w:pPr>
    <w:rPr>
      <w:b/>
      <w:i/>
      <w:iCs/>
      <w:caps/>
      <w:sz w:val="28"/>
      <w:szCs w:val="20"/>
    </w:rPr>
  </w:style>
  <w:style w:type="paragraph" w:customStyle="1" w:styleId="Subclause">
    <w:name w:val="Subclause"/>
    <w:basedOn w:val="Clause"/>
    <w:link w:val="SubclauseChar"/>
    <w:rsid w:val="00C64E31"/>
    <w:pPr>
      <w:ind w:hanging="11"/>
    </w:pPr>
  </w:style>
  <w:style w:type="paragraph" w:customStyle="1" w:styleId="Subparagraph">
    <w:name w:val="Subparagraph"/>
    <w:basedOn w:val="Paragraph"/>
    <w:next w:val="Normal"/>
    <w:link w:val="SubparagraphChar"/>
    <w:rsid w:val="00C64E31"/>
    <w:pPr>
      <w:ind w:left="2553"/>
    </w:pPr>
  </w:style>
  <w:style w:type="paragraph" w:customStyle="1" w:styleId="Table1">
    <w:name w:val="Table 1"/>
    <w:basedOn w:val="Normal"/>
    <w:rsid w:val="002C41B3"/>
    <w:pPr>
      <w:spacing w:after="120"/>
      <w:jc w:val="center"/>
    </w:pPr>
    <w:rPr>
      <w:b/>
      <w:bCs/>
      <w:sz w:val="18"/>
      <w:szCs w:val="20"/>
    </w:rPr>
  </w:style>
  <w:style w:type="paragraph" w:customStyle="1" w:styleId="Table2">
    <w:name w:val="Table 2"/>
    <w:basedOn w:val="Normal"/>
    <w:rsid w:val="002C41B3"/>
    <w:pPr>
      <w:ind w:left="142" w:hanging="142"/>
    </w:pPr>
    <w:rPr>
      <w:bCs/>
      <w:sz w:val="18"/>
      <w:szCs w:val="20"/>
    </w:rPr>
  </w:style>
  <w:style w:type="paragraph" w:customStyle="1" w:styleId="TableHeading">
    <w:name w:val="Table Heading"/>
    <w:basedOn w:val="Normal"/>
    <w:next w:val="Normal"/>
    <w:rsid w:val="00022A5B"/>
    <w:pPr>
      <w:tabs>
        <w:tab w:val="left" w:pos="851"/>
      </w:tabs>
      <w:jc w:val="center"/>
    </w:pPr>
    <w:rPr>
      <w:b/>
      <w:sz w:val="20"/>
      <w:szCs w:val="20"/>
    </w:rPr>
  </w:style>
  <w:style w:type="paragraph" w:customStyle="1" w:styleId="TitleBorder">
    <w:name w:val="TitleBorder"/>
    <w:basedOn w:val="Normal"/>
    <w:link w:val="TitleBorderChar"/>
    <w:rsid w:val="00C64E31"/>
    <w:pPr>
      <w:pBdr>
        <w:bottom w:val="double" w:sz="6" w:space="0" w:color="auto"/>
      </w:pBdr>
      <w:tabs>
        <w:tab w:val="left" w:pos="851"/>
      </w:tabs>
    </w:pPr>
    <w:rPr>
      <w:b/>
      <w:szCs w:val="20"/>
    </w:rPr>
  </w:style>
  <w:style w:type="paragraph" w:styleId="TOC7">
    <w:name w:val="toc 7"/>
    <w:basedOn w:val="Normal"/>
    <w:next w:val="Normal"/>
    <w:autoRedefine/>
    <w:uiPriority w:val="39"/>
    <w:rsid w:val="00C64E31"/>
    <w:pPr>
      <w:ind w:left="1440"/>
    </w:pPr>
    <w:rPr>
      <w:szCs w:val="21"/>
    </w:rPr>
  </w:style>
  <w:style w:type="paragraph" w:styleId="TOC8">
    <w:name w:val="toc 8"/>
    <w:basedOn w:val="Normal"/>
    <w:next w:val="Normal"/>
    <w:autoRedefine/>
    <w:uiPriority w:val="39"/>
    <w:rsid w:val="00C64E31"/>
    <w:pPr>
      <w:ind w:left="1680"/>
    </w:pPr>
    <w:rPr>
      <w:szCs w:val="21"/>
    </w:rPr>
  </w:style>
  <w:style w:type="paragraph" w:styleId="TOC9">
    <w:name w:val="toc 9"/>
    <w:basedOn w:val="Normal"/>
    <w:next w:val="Normal"/>
    <w:autoRedefine/>
    <w:uiPriority w:val="39"/>
    <w:rsid w:val="00C64E31"/>
    <w:pPr>
      <w:ind w:left="1920"/>
    </w:pPr>
    <w:rPr>
      <w:szCs w:val="21"/>
    </w:rPr>
  </w:style>
  <w:style w:type="paragraph" w:styleId="FootnoteText">
    <w:name w:val="footnote text"/>
    <w:aliases w:val="FSFootnote Text"/>
    <w:basedOn w:val="Normal"/>
    <w:link w:val="FootnoteTextChar"/>
    <w:qFormat/>
    <w:rsid w:val="00C64E31"/>
    <w:rPr>
      <w:sz w:val="20"/>
      <w:szCs w:val="20"/>
    </w:rPr>
  </w:style>
  <w:style w:type="character" w:styleId="FootnoteReference">
    <w:name w:val="footnote reference"/>
    <w:basedOn w:val="DefaultParagraphFont"/>
    <w:rsid w:val="00C64E31"/>
    <w:rPr>
      <w:vertAlign w:val="superscript"/>
    </w:rPr>
  </w:style>
  <w:style w:type="paragraph" w:customStyle="1" w:styleId="heading">
    <w:name w:val="heading"/>
    <w:basedOn w:val="Normal"/>
    <w:rsid w:val="00C64E31"/>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5E4F87"/>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qFormat/>
    <w:rsid w:val="00E2003B"/>
    <w:pPr>
      <w:numPr>
        <w:numId w:val="3"/>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val="en-GB"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ListParagraph">
    <w:name w:val="List Paragraph"/>
    <w:basedOn w:val="Normal"/>
    <w:uiPriority w:val="34"/>
    <w:qFormat/>
    <w:rsid w:val="00A56F9F"/>
    <w:pPr>
      <w:ind w:left="720"/>
      <w:contextualSpacing/>
    </w:pPr>
  </w:style>
  <w:style w:type="paragraph" w:customStyle="1" w:styleId="Bullet">
    <w:name w:val="Bullet"/>
    <w:basedOn w:val="Normal"/>
    <w:next w:val="Normal"/>
    <w:link w:val="BulletChar"/>
    <w:qFormat/>
    <w:rsid w:val="00A56F9F"/>
    <w:pPr>
      <w:tabs>
        <w:tab w:val="num" w:pos="720"/>
      </w:tabs>
      <w:ind w:left="567" w:hanging="567"/>
    </w:pPr>
    <w:rPr>
      <w:lang w:bidi="ar-SA"/>
    </w:rPr>
  </w:style>
  <w:style w:type="character" w:customStyle="1" w:styleId="EditorialNoteLine1Char">
    <w:name w:val="Editorial Note Line 1 Char"/>
    <w:basedOn w:val="DefaultParagraphFont"/>
    <w:link w:val="EditorialNoteLine1"/>
    <w:rsid w:val="002C41B3"/>
    <w:rPr>
      <w:rFonts w:ascii="Arial" w:hAnsi="Arial"/>
      <w:b/>
      <w:lang w:val="en-GB" w:eastAsia="en-US" w:bidi="en-US"/>
    </w:rPr>
  </w:style>
  <w:style w:type="character" w:customStyle="1" w:styleId="SubclauseChar">
    <w:name w:val="Subclause Char"/>
    <w:basedOn w:val="DefaultParagraphFont"/>
    <w:link w:val="Subclause"/>
    <w:rsid w:val="00A56F9F"/>
    <w:rPr>
      <w:rFonts w:ascii="Arial" w:hAnsi="Arial"/>
      <w:sz w:val="22"/>
      <w:lang w:val="en-GB" w:eastAsia="en-US" w:bidi="en-US"/>
    </w:rPr>
  </w:style>
  <w:style w:type="paragraph" w:customStyle="1" w:styleId="131Subitemheading">
    <w:name w:val="1.3.1 Subitem heading"/>
    <w:basedOn w:val="Normal"/>
    <w:next w:val="Table2"/>
    <w:rsid w:val="002C41B3"/>
    <w:pPr>
      <w:keepNext/>
      <w:widowControl/>
      <w:tabs>
        <w:tab w:val="left" w:pos="851"/>
      </w:tabs>
      <w:spacing w:after="120"/>
    </w:pPr>
    <w:rPr>
      <w:b/>
      <w:sz w:val="18"/>
      <w:szCs w:val="20"/>
      <w:lang w:bidi="ar-SA"/>
    </w:rPr>
  </w:style>
  <w:style w:type="paragraph" w:customStyle="1" w:styleId="Centeredheadings">
    <w:name w:val="Centered headings"/>
    <w:basedOn w:val="Normal"/>
    <w:rsid w:val="00A56F9F"/>
    <w:pPr>
      <w:tabs>
        <w:tab w:val="left" w:pos="680"/>
        <w:tab w:val="left" w:pos="851"/>
        <w:tab w:val="left" w:pos="1240"/>
        <w:tab w:val="left" w:pos="1880"/>
        <w:tab w:val="left" w:pos="7776"/>
      </w:tabs>
      <w:spacing w:line="240" w:lineRule="atLeast"/>
      <w:jc w:val="center"/>
    </w:pPr>
    <w:rPr>
      <w:rFonts w:ascii="Times" w:hAnsi="Times"/>
      <w:b/>
      <w:sz w:val="24"/>
      <w:szCs w:val="20"/>
      <w:lang w:bidi="ar-SA"/>
    </w:rPr>
  </w:style>
  <w:style w:type="paragraph" w:customStyle="1" w:styleId="Decisionheading">
    <w:name w:val="Decision heading"/>
    <w:basedOn w:val="Normal"/>
    <w:next w:val="Decisiontext"/>
    <w:rsid w:val="00A56F9F"/>
    <w:pPr>
      <w:widowControl/>
      <w:pBdr>
        <w:top w:val="single" w:sz="4" w:space="1" w:color="auto"/>
        <w:left w:val="single" w:sz="4" w:space="4" w:color="auto"/>
        <w:bottom w:val="single" w:sz="4" w:space="1" w:color="auto"/>
        <w:right w:val="single" w:sz="4" w:space="4" w:color="auto"/>
      </w:pBdr>
    </w:pPr>
    <w:rPr>
      <w:b/>
      <w:bCs/>
      <w:sz w:val="28"/>
      <w:lang w:bidi="ar-SA"/>
    </w:rPr>
  </w:style>
  <w:style w:type="paragraph" w:customStyle="1" w:styleId="Decisiontext">
    <w:name w:val="Decision text"/>
    <w:basedOn w:val="Normal"/>
    <w:rsid w:val="00A56F9F"/>
    <w:pPr>
      <w:widowControl/>
      <w:pBdr>
        <w:top w:val="single" w:sz="4" w:space="1" w:color="auto"/>
        <w:left w:val="single" w:sz="4" w:space="4" w:color="auto"/>
        <w:bottom w:val="single" w:sz="4" w:space="1" w:color="auto"/>
        <w:right w:val="single" w:sz="4" w:space="4" w:color="auto"/>
      </w:pBdr>
    </w:pPr>
    <w:rPr>
      <w:lang w:bidi="ar-SA"/>
    </w:rPr>
  </w:style>
  <w:style w:type="paragraph" w:customStyle="1" w:styleId="FSCfooter">
    <w:name w:val="FSCfooter"/>
    <w:basedOn w:val="Normal"/>
    <w:qFormat/>
    <w:rsid w:val="00A56F9F"/>
    <w:pPr>
      <w:tabs>
        <w:tab w:val="left" w:pos="851"/>
        <w:tab w:val="center" w:pos="4536"/>
        <w:tab w:val="right" w:pos="9072"/>
      </w:tabs>
    </w:pPr>
    <w:rPr>
      <w:rFonts w:ascii="Times New Roman" w:hAnsi="Times New Roman"/>
      <w:sz w:val="18"/>
      <w:szCs w:val="20"/>
      <w:lang w:bidi="ar-SA"/>
    </w:rPr>
  </w:style>
  <w:style w:type="paragraph" w:customStyle="1" w:styleId="FSCheader">
    <w:name w:val="FSCheader"/>
    <w:basedOn w:val="Normal"/>
    <w:rsid w:val="00A56F9F"/>
    <w:pPr>
      <w:tabs>
        <w:tab w:val="left" w:pos="851"/>
      </w:tabs>
      <w:jc w:val="center"/>
    </w:pPr>
    <w:rPr>
      <w:rFonts w:ascii="Times New Roman" w:hAnsi="Times New Roman"/>
      <w:sz w:val="20"/>
      <w:szCs w:val="20"/>
      <w:lang w:bidi="ar-SA"/>
    </w:rPr>
  </w:style>
  <w:style w:type="paragraph" w:customStyle="1" w:styleId="Delayedcommencement">
    <w:name w:val="Delayed commencement"/>
    <w:basedOn w:val="EditorialNotetext"/>
    <w:rsid w:val="00A56F9F"/>
    <w:pPr>
      <w:shd w:val="clear" w:color="auto" w:fill="CCCCCC"/>
    </w:pPr>
    <w:rPr>
      <w:rFonts w:ascii="Times New Roman" w:hAnsi="Times New Roman"/>
      <w:sz w:val="24"/>
      <w:lang w:bidi="ar-SA"/>
    </w:rPr>
  </w:style>
  <w:style w:type="paragraph" w:customStyle="1" w:styleId="PartContents">
    <w:name w:val="Part Contents"/>
    <w:basedOn w:val="Normal"/>
    <w:rsid w:val="002C41B3"/>
    <w:pPr>
      <w:widowControl/>
      <w:tabs>
        <w:tab w:val="left" w:pos="851"/>
      </w:tabs>
      <w:spacing w:line="240" w:lineRule="atLeast"/>
      <w:ind w:left="1120" w:hanging="560"/>
    </w:pPr>
    <w:rPr>
      <w:sz w:val="24"/>
      <w:szCs w:val="20"/>
      <w:lang w:bidi="ar-SA"/>
    </w:rPr>
  </w:style>
  <w:style w:type="character" w:customStyle="1" w:styleId="EditorialNotetextChar">
    <w:name w:val="Editorial Note text Char"/>
    <w:basedOn w:val="DefaultParagraphFont"/>
    <w:link w:val="EditorialNotetext"/>
    <w:rsid w:val="00A56F9F"/>
    <w:rPr>
      <w:rFonts w:ascii="Arial" w:hAnsi="Arial"/>
      <w:sz w:val="22"/>
      <w:lang w:val="en-GB" w:eastAsia="en-US" w:bidi="en-US"/>
    </w:rPr>
  </w:style>
  <w:style w:type="character" w:customStyle="1" w:styleId="142tabletext1Char">
    <w:name w:val="1.4.2 table text1 Char"/>
    <w:basedOn w:val="DefaultParagraphFont"/>
    <w:link w:val="142tabletext1"/>
    <w:rsid w:val="002C41B3"/>
    <w:rPr>
      <w:rFonts w:ascii="Arial" w:hAnsi="Arial"/>
      <w:smallCaps/>
      <w:sz w:val="18"/>
      <w:lang w:val="en-GB" w:eastAsia="en-US" w:bidi="en-US"/>
    </w:rPr>
  </w:style>
  <w:style w:type="paragraph" w:customStyle="1" w:styleId="FootnoteText1">
    <w:name w:val="Footnote Text1"/>
    <w:basedOn w:val="Normal"/>
    <w:rsid w:val="00A56F9F"/>
    <w:pPr>
      <w:widowControl/>
      <w:tabs>
        <w:tab w:val="left" w:pos="851"/>
      </w:tabs>
    </w:pPr>
    <w:rPr>
      <w:rFonts w:ascii="Times New Roman" w:hAnsi="Times New Roman"/>
      <w:sz w:val="20"/>
      <w:szCs w:val="20"/>
      <w:lang w:bidi="ar-SA"/>
    </w:rPr>
  </w:style>
  <w:style w:type="character" w:customStyle="1" w:styleId="ClauseChar">
    <w:name w:val="Clause Char"/>
    <w:basedOn w:val="DefaultParagraphFont"/>
    <w:link w:val="Clause"/>
    <w:rsid w:val="002C41B3"/>
    <w:rPr>
      <w:rFonts w:ascii="Arial" w:hAnsi="Arial"/>
      <w:lang w:val="en-GB" w:eastAsia="en-US" w:bidi="en-US"/>
    </w:rPr>
  </w:style>
  <w:style w:type="character" w:customStyle="1" w:styleId="ParagraphChar">
    <w:name w:val="Paragraph Char"/>
    <w:basedOn w:val="ClauseChar"/>
    <w:link w:val="Paragraph"/>
    <w:rsid w:val="00A56F9F"/>
    <w:rPr>
      <w:rFonts w:ascii="Arial" w:hAnsi="Arial"/>
      <w:lang w:val="en-GB" w:eastAsia="en-US" w:bidi="en-US"/>
    </w:rPr>
  </w:style>
  <w:style w:type="paragraph" w:customStyle="1" w:styleId="Scheduleheading0">
    <w:name w:val="Schedule heading"/>
    <w:basedOn w:val="Normal"/>
    <w:rsid w:val="002C41B3"/>
    <w:pPr>
      <w:widowControl/>
      <w:jc w:val="center"/>
    </w:pPr>
    <w:rPr>
      <w:b/>
      <w:caps/>
      <w:sz w:val="20"/>
      <w:lang w:val="en-AU" w:bidi="ar-SA"/>
    </w:rPr>
  </w:style>
  <w:style w:type="character" w:customStyle="1" w:styleId="DefinitionChar">
    <w:name w:val="Definition Char"/>
    <w:basedOn w:val="DefaultParagraphFont"/>
    <w:link w:val="Definition"/>
    <w:rsid w:val="002C41B3"/>
    <w:rPr>
      <w:rFonts w:ascii="Arial" w:hAnsi="Arial"/>
      <w:lang w:val="en-GB" w:eastAsia="en-US" w:bidi="en-US"/>
    </w:rPr>
  </w:style>
  <w:style w:type="numbering" w:customStyle="1" w:styleId="NoList1">
    <w:name w:val="No List1"/>
    <w:next w:val="NoList"/>
    <w:uiPriority w:val="99"/>
    <w:semiHidden/>
    <w:unhideWhenUsed/>
    <w:rsid w:val="00A56F9F"/>
  </w:style>
  <w:style w:type="table" w:customStyle="1" w:styleId="TableGrid1">
    <w:name w:val="Table Grid1"/>
    <w:basedOn w:val="TableNormal"/>
    <w:next w:val="TableGrid"/>
    <w:rsid w:val="00A56F9F"/>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03023"/>
    <w:rPr>
      <w:rFonts w:ascii="Times New Roman" w:hAnsi="Times New Roman"/>
      <w:sz w:val="24"/>
      <w:lang w:val="en-GB" w:eastAsia="en-US"/>
    </w:rPr>
  </w:style>
  <w:style w:type="paragraph" w:customStyle="1" w:styleId="ClauseHeading0">
    <w:name w:val="Clause Heading"/>
    <w:basedOn w:val="Normal"/>
    <w:next w:val="Normal"/>
    <w:rsid w:val="003F511C"/>
    <w:pPr>
      <w:tabs>
        <w:tab w:val="left" w:pos="851"/>
      </w:tabs>
    </w:pPr>
    <w:rPr>
      <w:b/>
      <w:sz w:val="20"/>
      <w:szCs w:val="20"/>
      <w:lang w:bidi="ar-SA"/>
    </w:rPr>
  </w:style>
  <w:style w:type="paragraph" w:customStyle="1" w:styleId="Blankpage">
    <w:name w:val="Blank page"/>
    <w:basedOn w:val="Normal"/>
    <w:next w:val="Normal"/>
    <w:rsid w:val="003F511C"/>
    <w:pPr>
      <w:widowControl/>
      <w:tabs>
        <w:tab w:val="left" w:pos="851"/>
      </w:tabs>
      <w:spacing w:before="4000" w:line="240" w:lineRule="atLeast"/>
      <w:jc w:val="center"/>
    </w:pPr>
    <w:rPr>
      <w:szCs w:val="20"/>
      <w:lang w:bidi="ar-SA"/>
    </w:rPr>
  </w:style>
  <w:style w:type="paragraph" w:customStyle="1" w:styleId="131ItemHeading">
    <w:name w:val="1.3.1 Item Heading"/>
    <w:basedOn w:val="Table2"/>
    <w:next w:val="Table2"/>
    <w:rsid w:val="003F511C"/>
    <w:pPr>
      <w:keepNext/>
      <w:widowControl/>
      <w:tabs>
        <w:tab w:val="left" w:pos="851"/>
      </w:tabs>
      <w:spacing w:after="200"/>
      <w:ind w:left="0" w:firstLine="0"/>
    </w:pPr>
    <w:rPr>
      <w:b/>
      <w:bCs w:val="0"/>
      <w:caps/>
      <w:sz w:val="20"/>
      <w:lang w:bidi="ar-SA"/>
    </w:rPr>
  </w:style>
  <w:style w:type="character" w:customStyle="1" w:styleId="FooterChar">
    <w:name w:val="Footer Char"/>
    <w:aliases w:val="FSFooter Char"/>
    <w:basedOn w:val="DefaultParagraphFont"/>
    <w:link w:val="Footer"/>
    <w:uiPriority w:val="99"/>
    <w:rsid w:val="00FB34CC"/>
    <w:rPr>
      <w:rFonts w:ascii="Arial" w:hAnsi="Arial"/>
      <w:sz w:val="22"/>
      <w:szCs w:val="24"/>
      <w:lang w:val="en-GB" w:eastAsia="en-US" w:bidi="en-US"/>
    </w:rPr>
  </w:style>
  <w:style w:type="character" w:customStyle="1" w:styleId="BalloonTextChar">
    <w:name w:val="Balloon Text Char"/>
    <w:basedOn w:val="DefaultParagraphFont"/>
    <w:link w:val="BalloonText"/>
    <w:rsid w:val="00FB34CC"/>
    <w:rPr>
      <w:rFonts w:ascii="Tahoma" w:hAnsi="Tahoma" w:cs="Tahoma"/>
      <w:sz w:val="16"/>
      <w:szCs w:val="16"/>
      <w:lang w:val="en-GB" w:eastAsia="en-US" w:bidi="en-US"/>
    </w:rPr>
  </w:style>
  <w:style w:type="paragraph" w:customStyle="1" w:styleId="FootnoteText2">
    <w:name w:val="Footnote Text2"/>
    <w:basedOn w:val="Normal"/>
    <w:rsid w:val="00FB34CC"/>
    <w:pPr>
      <w:widowControl/>
      <w:tabs>
        <w:tab w:val="left" w:pos="851"/>
      </w:tabs>
    </w:pPr>
    <w:rPr>
      <w:sz w:val="18"/>
      <w:szCs w:val="20"/>
      <w:lang w:bidi="ar-SA"/>
    </w:rPr>
  </w:style>
  <w:style w:type="character" w:customStyle="1" w:styleId="FootnoteTextChar">
    <w:name w:val="Footnote Text Char"/>
    <w:aliases w:val="FSFootnote Text Char"/>
    <w:link w:val="FootnoteText"/>
    <w:rsid w:val="0057743E"/>
    <w:rPr>
      <w:rFonts w:ascii="Arial" w:hAnsi="Arial"/>
      <w:lang w:val="en-GB" w:eastAsia="en-US" w:bidi="en-US"/>
    </w:rPr>
  </w:style>
  <w:style w:type="paragraph" w:styleId="Title">
    <w:name w:val="Title"/>
    <w:basedOn w:val="Normal"/>
    <w:link w:val="TitleChar"/>
    <w:uiPriority w:val="10"/>
    <w:qFormat/>
    <w:rsid w:val="0057743E"/>
    <w:pPr>
      <w:tabs>
        <w:tab w:val="left" w:pos="851"/>
      </w:tabs>
      <w:jc w:val="center"/>
    </w:pPr>
    <w:rPr>
      <w:b/>
      <w:bCs/>
      <w:sz w:val="20"/>
      <w:lang w:val="en-AU" w:bidi="ar-SA"/>
    </w:rPr>
  </w:style>
  <w:style w:type="character" w:customStyle="1" w:styleId="TitleChar">
    <w:name w:val="Title Char"/>
    <w:basedOn w:val="DefaultParagraphFont"/>
    <w:link w:val="Title"/>
    <w:uiPriority w:val="10"/>
    <w:rsid w:val="0057743E"/>
    <w:rPr>
      <w:rFonts w:ascii="Arial" w:hAnsi="Arial"/>
      <w:b/>
      <w:bCs/>
      <w:szCs w:val="24"/>
      <w:lang w:eastAsia="en-US"/>
    </w:rPr>
  </w:style>
  <w:style w:type="character" w:customStyle="1" w:styleId="DefinitionCharChar">
    <w:name w:val="Definition Char Char"/>
    <w:rsid w:val="0057743E"/>
    <w:rPr>
      <w:rFonts w:ascii="Arial" w:hAnsi="Arial"/>
      <w:sz w:val="22"/>
      <w:lang w:eastAsia="en-US"/>
    </w:rPr>
  </w:style>
  <w:style w:type="character" w:customStyle="1" w:styleId="TitleBorderChar">
    <w:name w:val="TitleBorder Char"/>
    <w:link w:val="TitleBorder"/>
    <w:rsid w:val="0057743E"/>
    <w:rPr>
      <w:rFonts w:ascii="Arial" w:hAnsi="Arial"/>
      <w:b/>
      <w:sz w:val="22"/>
      <w:lang w:val="en-GB" w:eastAsia="en-US" w:bidi="en-US"/>
    </w:rPr>
  </w:style>
  <w:style w:type="paragraph" w:customStyle="1" w:styleId="runheadL">
    <w:name w:val="runheadL"/>
    <w:rsid w:val="0057743E"/>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7743E"/>
    <w:pPr>
      <w:widowControl w:val="0"/>
      <w:tabs>
        <w:tab w:val="left" w:pos="0"/>
      </w:tabs>
      <w:jc w:val="right"/>
    </w:pPr>
    <w:rPr>
      <w:rFonts w:ascii="Arial" w:hAnsi="Arial"/>
      <w:i/>
      <w:snapToGrid w:val="0"/>
      <w:sz w:val="16"/>
      <w:lang w:val="en-GB" w:eastAsia="en-US"/>
    </w:rPr>
  </w:style>
  <w:style w:type="paragraph" w:customStyle="1" w:styleId="Cwealth">
    <w:name w:val="Cwealth"/>
    <w:basedOn w:val="Normal"/>
    <w:rsid w:val="0057743E"/>
    <w:pPr>
      <w:tabs>
        <w:tab w:val="left" w:pos="851"/>
      </w:tabs>
      <w:spacing w:before="120" w:line="360" w:lineRule="exact"/>
    </w:pPr>
    <w:rPr>
      <w:rFonts w:ascii="Arial Narrow" w:hAnsi="Arial Narrow"/>
      <w:sz w:val="36"/>
      <w:szCs w:val="20"/>
      <w:lang w:val="en-US" w:bidi="ar-SA"/>
    </w:rPr>
  </w:style>
  <w:style w:type="paragraph" w:customStyle="1" w:styleId="FSCtitle1">
    <w:name w:val="FSC title 1"/>
    <w:basedOn w:val="Normal"/>
    <w:rsid w:val="0057743E"/>
    <w:pPr>
      <w:tabs>
        <w:tab w:val="left" w:pos="851"/>
      </w:tabs>
      <w:spacing w:before="40"/>
    </w:pPr>
    <w:rPr>
      <w:sz w:val="20"/>
      <w:szCs w:val="20"/>
      <w:lang w:bidi="ar-SA"/>
    </w:rPr>
  </w:style>
  <w:style w:type="paragraph" w:customStyle="1" w:styleId="FSCtitle2">
    <w:name w:val="FSC title 2"/>
    <w:basedOn w:val="Normal"/>
    <w:rsid w:val="0057743E"/>
    <w:pPr>
      <w:tabs>
        <w:tab w:val="left" w:pos="851"/>
      </w:tabs>
    </w:pPr>
    <w:rPr>
      <w:sz w:val="18"/>
      <w:szCs w:val="20"/>
      <w:lang w:bidi="ar-SA"/>
    </w:rPr>
  </w:style>
  <w:style w:type="character" w:customStyle="1" w:styleId="SubparagraphChar">
    <w:name w:val="Subparagraph Char"/>
    <w:basedOn w:val="ParagraphChar"/>
    <w:link w:val="Subparagraph"/>
    <w:rsid w:val="0057743E"/>
    <w:rPr>
      <w:rFonts w:ascii="Arial" w:hAnsi="Arial"/>
      <w:lang w:val="en-GB" w:eastAsia="en-US" w:bidi="en-US"/>
    </w:rPr>
  </w:style>
  <w:style w:type="paragraph" w:styleId="Date">
    <w:name w:val="Date"/>
    <w:basedOn w:val="Normal"/>
    <w:next w:val="Normal"/>
    <w:link w:val="DateChar"/>
    <w:rsid w:val="0057743E"/>
    <w:pPr>
      <w:tabs>
        <w:tab w:val="left" w:pos="851"/>
      </w:tabs>
    </w:pPr>
    <w:rPr>
      <w:sz w:val="20"/>
      <w:szCs w:val="20"/>
      <w:lang w:bidi="ar-SA"/>
    </w:rPr>
  </w:style>
  <w:style w:type="character" w:customStyle="1" w:styleId="DateChar">
    <w:name w:val="Date Char"/>
    <w:basedOn w:val="DefaultParagraphFont"/>
    <w:link w:val="Date"/>
    <w:rsid w:val="0057743E"/>
    <w:rPr>
      <w:rFonts w:ascii="Arial" w:hAnsi="Arial"/>
      <w:lang w:val="en-GB" w:eastAsia="en-US"/>
    </w:rPr>
  </w:style>
  <w:style w:type="character" w:customStyle="1" w:styleId="BulletChar">
    <w:name w:val="Bullet Char"/>
    <w:link w:val="Bullet"/>
    <w:rsid w:val="0057743E"/>
    <w:rPr>
      <w:rFonts w:ascii="Arial" w:hAnsi="Arial"/>
      <w:sz w:val="22"/>
      <w:szCs w:val="24"/>
      <w:lang w:val="en-GB" w:eastAsia="en-US"/>
    </w:rPr>
  </w:style>
  <w:style w:type="paragraph" w:styleId="NormalWeb">
    <w:name w:val="Normal (Web)"/>
    <w:basedOn w:val="Normal"/>
    <w:rsid w:val="0057743E"/>
    <w:pPr>
      <w:widowControl/>
      <w:spacing w:before="100" w:beforeAutospacing="1" w:after="100" w:afterAutospacing="1"/>
    </w:pPr>
    <w:rPr>
      <w:rFonts w:ascii="Times New Roman" w:hAnsi="Times New Roman"/>
      <w:sz w:val="24"/>
      <w:lang w:val="en-AU" w:eastAsia="en-AU" w:bidi="ar-SA"/>
    </w:rPr>
  </w:style>
  <w:style w:type="paragraph" w:styleId="Subtitle">
    <w:name w:val="Subtitle"/>
    <w:basedOn w:val="Normal"/>
    <w:next w:val="Normal"/>
    <w:link w:val="SubtitleChar"/>
    <w:uiPriority w:val="11"/>
    <w:qFormat/>
    <w:rsid w:val="0057743E"/>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57743E"/>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57743E"/>
    <w:rPr>
      <w:i/>
      <w:iCs/>
    </w:rPr>
  </w:style>
  <w:style w:type="paragraph" w:styleId="Quote">
    <w:name w:val="Quote"/>
    <w:basedOn w:val="Normal"/>
    <w:next w:val="Normal"/>
    <w:link w:val="QuoteChar"/>
    <w:uiPriority w:val="29"/>
    <w:qFormat/>
    <w:rsid w:val="0057743E"/>
    <w:rPr>
      <w:i/>
      <w:iCs/>
      <w:color w:val="000000" w:themeColor="text1"/>
    </w:rPr>
  </w:style>
  <w:style w:type="character" w:customStyle="1" w:styleId="QuoteChar">
    <w:name w:val="Quote Char"/>
    <w:basedOn w:val="DefaultParagraphFont"/>
    <w:link w:val="Quote"/>
    <w:uiPriority w:val="29"/>
    <w:rsid w:val="0057743E"/>
    <w:rPr>
      <w:rFonts w:ascii="Arial" w:hAnsi="Arial"/>
      <w:i/>
      <w:iCs/>
      <w:color w:val="000000" w:themeColor="text1"/>
      <w:sz w:val="22"/>
      <w:szCs w:val="24"/>
      <w:lang w:val="en-GB" w:eastAsia="en-US" w:bidi="en-US"/>
    </w:rPr>
  </w:style>
  <w:style w:type="paragraph" w:customStyle="1" w:styleId="142Tableheading10">
    <w:name w:val="1.4.2 Table heading1"/>
    <w:basedOn w:val="Normal"/>
    <w:rsid w:val="0057743E"/>
    <w:pPr>
      <w:keepNext/>
      <w:jc w:val="center"/>
    </w:pPr>
    <w:rPr>
      <w:rFonts w:ascii="Arial Bold" w:hAnsi="Arial Bold"/>
      <w:b/>
      <w:bCs/>
      <w:iCs/>
      <w:sz w:val="18"/>
    </w:rPr>
  </w:style>
  <w:style w:type="paragraph" w:customStyle="1" w:styleId="142Tabletext10">
    <w:name w:val="1.4.2 Table text1"/>
    <w:basedOn w:val="Normal"/>
    <w:link w:val="142Tabletext1Char0"/>
    <w:rsid w:val="0057743E"/>
    <w:pPr>
      <w:ind w:left="142" w:hanging="142"/>
    </w:pPr>
    <w:rPr>
      <w:sz w:val="18"/>
      <w:szCs w:val="20"/>
    </w:rPr>
  </w:style>
  <w:style w:type="character" w:customStyle="1" w:styleId="142Tabletext1Char0">
    <w:name w:val="1.4.2 Table text1 Char"/>
    <w:basedOn w:val="DefaultParagraphFont"/>
    <w:link w:val="142Tabletext10"/>
    <w:rsid w:val="0057743E"/>
    <w:rPr>
      <w:rFonts w:ascii="Arial" w:hAnsi="Arial"/>
      <w:sz w:val="18"/>
      <w:lang w:val="en-GB" w:eastAsia="en-US" w:bidi="en-US"/>
    </w:rPr>
  </w:style>
  <w:style w:type="paragraph" w:customStyle="1" w:styleId="142Tabletext20">
    <w:name w:val="1.4.2 Table text2"/>
    <w:basedOn w:val="142Tabletext10"/>
    <w:rsid w:val="0057743E"/>
    <w:pPr>
      <w:jc w:val="right"/>
    </w:pPr>
  </w:style>
  <w:style w:type="paragraph" w:customStyle="1" w:styleId="FSBullet1">
    <w:name w:val="FSBullet 1"/>
    <w:basedOn w:val="Normal"/>
    <w:next w:val="Normal"/>
    <w:link w:val="FSBullet1Char"/>
    <w:qFormat/>
    <w:rsid w:val="0057743E"/>
    <w:pPr>
      <w:numPr>
        <w:numId w:val="17"/>
      </w:numPr>
    </w:pPr>
    <w:rPr>
      <w:rFonts w:cs="Arial"/>
    </w:rPr>
  </w:style>
  <w:style w:type="character" w:customStyle="1" w:styleId="FSBullet1Char">
    <w:name w:val="FSBullet 1 Char"/>
    <w:basedOn w:val="DefaultParagraphFont"/>
    <w:link w:val="FSBullet1"/>
    <w:rsid w:val="0057743E"/>
    <w:rPr>
      <w:rFonts w:ascii="Arial" w:hAnsi="Arial" w:cs="Arial"/>
      <w:sz w:val="22"/>
      <w:szCs w:val="24"/>
      <w:lang w:val="en-GB" w:eastAsia="en-US" w:bidi="en-US"/>
    </w:rPr>
  </w:style>
  <w:style w:type="paragraph" w:customStyle="1" w:styleId="FSBullet2">
    <w:name w:val="FSBullet 2"/>
    <w:basedOn w:val="Normal"/>
    <w:qFormat/>
    <w:rsid w:val="0057743E"/>
    <w:pPr>
      <w:numPr>
        <w:numId w:val="18"/>
      </w:numPr>
    </w:pPr>
  </w:style>
  <w:style w:type="paragraph" w:customStyle="1" w:styleId="FSBullet3">
    <w:name w:val="FSBullet 3"/>
    <w:basedOn w:val="Normal"/>
    <w:qFormat/>
    <w:rsid w:val="0057743E"/>
    <w:pPr>
      <w:keepNext/>
      <w:numPr>
        <w:numId w:val="19"/>
      </w:numPr>
    </w:pPr>
    <w:rPr>
      <w:b/>
    </w:rPr>
  </w:style>
  <w:style w:type="paragraph" w:customStyle="1" w:styleId="FSCaption">
    <w:name w:val="FSCaption"/>
    <w:basedOn w:val="Normal"/>
    <w:qFormat/>
    <w:rsid w:val="0057743E"/>
    <w:pPr>
      <w:keepNext/>
      <w:keepLines/>
      <w:spacing w:before="120"/>
    </w:pPr>
    <w:rPr>
      <w:i/>
      <w:sz w:val="16"/>
      <w:szCs w:val="16"/>
    </w:rPr>
  </w:style>
  <w:style w:type="paragraph" w:customStyle="1" w:styleId="FSCFooter0">
    <w:name w:val="FSCFooter"/>
    <w:basedOn w:val="Footnote"/>
    <w:qFormat/>
    <w:rsid w:val="0057743E"/>
    <w:pPr>
      <w:tabs>
        <w:tab w:val="clear" w:pos="851"/>
        <w:tab w:val="center" w:pos="4536"/>
        <w:tab w:val="right" w:pos="9070"/>
      </w:tabs>
    </w:pPr>
    <w:rPr>
      <w:sz w:val="18"/>
      <w:szCs w:val="18"/>
    </w:rPr>
  </w:style>
  <w:style w:type="paragraph" w:customStyle="1" w:styleId="FSPagenumber">
    <w:name w:val="FSPage number"/>
    <w:basedOn w:val="Normal"/>
    <w:qFormat/>
    <w:rsid w:val="0057743E"/>
    <w:pPr>
      <w:jc w:val="right"/>
    </w:pPr>
    <w:rPr>
      <w:sz w:val="20"/>
      <w:szCs w:val="20"/>
    </w:rPr>
  </w:style>
  <w:style w:type="paragraph" w:customStyle="1" w:styleId="PartHeading">
    <w:name w:val="Part Heading"/>
    <w:basedOn w:val="Normal"/>
    <w:rsid w:val="0057743E"/>
    <w:pPr>
      <w:tabs>
        <w:tab w:val="left" w:pos="851"/>
      </w:tabs>
      <w:jc w:val="center"/>
    </w:pPr>
    <w:rPr>
      <w:b/>
      <w:i/>
      <w:sz w:val="36"/>
      <w:szCs w:val="20"/>
    </w:rPr>
  </w:style>
  <w:style w:type="numbering" w:customStyle="1" w:styleId="NoList11">
    <w:name w:val="No List11"/>
    <w:next w:val="NoList"/>
    <w:uiPriority w:val="99"/>
    <w:semiHidden/>
    <w:unhideWhenUsed/>
    <w:rsid w:val="0057743E"/>
  </w:style>
  <w:style w:type="table" w:customStyle="1" w:styleId="TableGrid11">
    <w:name w:val="Table Grid11"/>
    <w:basedOn w:val="TableNormal"/>
    <w:next w:val="TableGrid"/>
    <w:rsid w:val="0057743E"/>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7743E"/>
  </w:style>
  <w:style w:type="character" w:styleId="SubtleEmphasis">
    <w:name w:val="Subtle Emphasis"/>
    <w:basedOn w:val="DefaultParagraphFont"/>
    <w:uiPriority w:val="19"/>
    <w:qFormat/>
    <w:rsid w:val="0057743E"/>
    <w:rPr>
      <w:i/>
      <w:iCs/>
      <w:color w:val="808080" w:themeColor="text1" w:themeTint="7F"/>
    </w:rPr>
  </w:style>
  <w:style w:type="paragraph" w:customStyle="1" w:styleId="FSTableColumnRowheading">
    <w:name w:val="FSTable Column/Row heading"/>
    <w:basedOn w:val="Normal"/>
    <w:qFormat/>
    <w:rsid w:val="0057743E"/>
    <w:pPr>
      <w:spacing w:before="120" w:after="120"/>
    </w:pPr>
    <w:rPr>
      <w:b/>
      <w:sz w:val="20"/>
      <w:szCs w:val="20"/>
    </w:rPr>
  </w:style>
  <w:style w:type="paragraph" w:customStyle="1" w:styleId="FSTableFigureHeading">
    <w:name w:val="FSTable/Figure Heading"/>
    <w:basedOn w:val="Normal"/>
    <w:qFormat/>
    <w:rsid w:val="0057743E"/>
    <w:pPr>
      <w:spacing w:before="120" w:after="120"/>
      <w:ind w:left="1134" w:hanging="1134"/>
    </w:pPr>
    <w:rPr>
      <w:b/>
      <w:i/>
      <w:sz w:val="20"/>
    </w:rPr>
  </w:style>
  <w:style w:type="character" w:customStyle="1" w:styleId="HeaderChar">
    <w:name w:val="Header Char"/>
    <w:aliases w:val="FSHeader Char"/>
    <w:basedOn w:val="DefaultParagraphFont"/>
    <w:link w:val="Header"/>
    <w:rsid w:val="0057743E"/>
    <w:rPr>
      <w:rFonts w:ascii="Arial" w:hAnsi="Arial"/>
      <w:sz w:val="22"/>
      <w:szCs w:val="24"/>
      <w:lang w:val="en-GB" w:eastAsia="en-US" w:bidi="en-US"/>
    </w:rPr>
  </w:style>
  <w:style w:type="table" w:customStyle="1" w:styleId="TableGrid2">
    <w:name w:val="Table Grid2"/>
    <w:basedOn w:val="TableNormal"/>
    <w:next w:val="TableGrid"/>
    <w:rsid w:val="005774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57743E"/>
  </w:style>
  <w:style w:type="table" w:customStyle="1" w:styleId="TableGrid12">
    <w:name w:val="Table Grid12"/>
    <w:basedOn w:val="TableNormal"/>
    <w:next w:val="TableGrid"/>
    <w:rsid w:val="0057743E"/>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57743E"/>
    <w:rPr>
      <w:sz w:val="16"/>
      <w:szCs w:val="16"/>
    </w:rPr>
  </w:style>
  <w:style w:type="paragraph" w:styleId="CommentText">
    <w:name w:val="annotation text"/>
    <w:basedOn w:val="Normal"/>
    <w:link w:val="CommentTextChar"/>
    <w:uiPriority w:val="99"/>
    <w:unhideWhenUsed/>
    <w:rsid w:val="0057743E"/>
    <w:rPr>
      <w:sz w:val="20"/>
      <w:szCs w:val="20"/>
    </w:rPr>
  </w:style>
  <w:style w:type="character" w:customStyle="1" w:styleId="CommentTextChar">
    <w:name w:val="Comment Text Char"/>
    <w:basedOn w:val="DefaultParagraphFont"/>
    <w:link w:val="CommentText"/>
    <w:uiPriority w:val="99"/>
    <w:rsid w:val="0057743E"/>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57743E"/>
    <w:rPr>
      <w:b/>
      <w:bCs/>
    </w:rPr>
  </w:style>
  <w:style w:type="character" w:customStyle="1" w:styleId="CommentSubjectChar">
    <w:name w:val="Comment Subject Char"/>
    <w:basedOn w:val="CommentTextChar"/>
    <w:link w:val="CommentSubject"/>
    <w:uiPriority w:val="99"/>
    <w:rsid w:val="0057743E"/>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57743E"/>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57743E"/>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57743E"/>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57743E"/>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57743E"/>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57743E"/>
    <w:rPr>
      <w:rFonts w:ascii="Arial" w:hAnsi="Arial"/>
      <w:lang w:val="en-GB" w:eastAsia="en-US" w:bidi="en-US"/>
    </w:rPr>
  </w:style>
  <w:style w:type="character" w:customStyle="1" w:styleId="HeaderChar1">
    <w:name w:val="Header Char1"/>
    <w:aliases w:val="FSHeader Char1"/>
    <w:basedOn w:val="DefaultParagraphFont"/>
    <w:semiHidden/>
    <w:rsid w:val="0057743E"/>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57743E"/>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57743E"/>
    <w:pPr>
      <w:spacing w:line="276" w:lineRule="auto"/>
    </w:pPr>
    <w:rPr>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qFormat="1"/>
    <w:lsdException w:name="footer" w:uiPriority="99"/>
    <w:lsdException w:name="caption" w:semiHidden="1" w:unhideWhenUsed="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E4F87"/>
    <w:pPr>
      <w:widowControl w:val="0"/>
    </w:pPr>
    <w:rPr>
      <w:rFonts w:ascii="Arial" w:hAnsi="Arial"/>
      <w:sz w:val="22"/>
      <w:szCs w:val="24"/>
      <w:lang w:val="en-GB" w:eastAsia="en-US" w:bidi="en-US"/>
    </w:rPr>
  </w:style>
  <w:style w:type="paragraph" w:styleId="Heading1">
    <w:name w:val="heading 1"/>
    <w:aliases w:val="FS Heading 1,FSHeading 1,Chapter heading"/>
    <w:basedOn w:val="Normal"/>
    <w:next w:val="Normal"/>
    <w:link w:val="Heading1Char"/>
    <w:qFormat/>
    <w:rsid w:val="003E46BA"/>
    <w:pPr>
      <w:keepNext/>
      <w:ind w:left="851" w:hanging="851"/>
      <w:outlineLvl w:val="0"/>
    </w:pPr>
    <w:rPr>
      <w:rFonts w:ascii="Tahoma" w:hAnsi="Tahoma" w:cs="Tahoma"/>
      <w:b/>
      <w:bCs/>
      <w:kern w:val="32"/>
      <w:sz w:val="28"/>
      <w:szCs w:val="32"/>
      <w:u w:val="single"/>
    </w:rPr>
  </w:style>
  <w:style w:type="paragraph" w:styleId="Heading2">
    <w:name w:val="heading 2"/>
    <w:aliases w:val="FS Heading 2,FSHeading 2,Section heading"/>
    <w:basedOn w:val="Normal"/>
    <w:next w:val="Normal"/>
    <w:link w:val="Heading2Char"/>
    <w:unhideWhenUsed/>
    <w:qFormat/>
    <w:rsid w:val="003E46BA"/>
    <w:pPr>
      <w:keepNext/>
      <w:ind w:left="851" w:hanging="851"/>
      <w:outlineLvl w:val="1"/>
    </w:pPr>
    <w:rPr>
      <w:rFonts w:ascii="Arial Bold" w:hAnsi="Arial Bold" w:cs="Arial Unicode MS"/>
      <w:b/>
      <w:bCs/>
      <w:iCs/>
      <w:sz w:val="28"/>
      <w:szCs w:val="28"/>
    </w:rPr>
  </w:style>
  <w:style w:type="paragraph" w:styleId="Heading3">
    <w:name w:val="heading 3"/>
    <w:aliases w:val="FS Heading 3,FSHeading 3,Subheading 1"/>
    <w:basedOn w:val="Normal"/>
    <w:next w:val="Normal"/>
    <w:link w:val="Heading3Char"/>
    <w:unhideWhenUsed/>
    <w:qFormat/>
    <w:rsid w:val="00227E4A"/>
    <w:pPr>
      <w:keepNext/>
      <w:ind w:left="851" w:hanging="851"/>
      <w:outlineLvl w:val="2"/>
    </w:pPr>
    <w:rPr>
      <w:rFonts w:ascii="Arial Bold" w:hAnsi="Arial Bold" w:cs="Arial Unicode MS"/>
      <w:b/>
      <w:bCs/>
      <w:szCs w:val="26"/>
    </w:rPr>
  </w:style>
  <w:style w:type="paragraph" w:styleId="Heading4">
    <w:name w:val="heading 4"/>
    <w:aliases w:val="FS Heading 4,FSHeading 4,Subheading 2"/>
    <w:basedOn w:val="Normal"/>
    <w:next w:val="Normal"/>
    <w:link w:val="Heading4Char"/>
    <w:uiPriority w:val="9"/>
    <w:unhideWhenUsed/>
    <w:qFormat/>
    <w:rsid w:val="00227E4A"/>
    <w:pPr>
      <w:keepNext/>
      <w:ind w:left="851" w:hanging="851"/>
      <w:outlineLvl w:val="3"/>
    </w:pPr>
    <w:rPr>
      <w:bCs/>
      <w:i/>
      <w:szCs w:val="28"/>
    </w:rPr>
  </w:style>
  <w:style w:type="paragraph" w:styleId="Heading5">
    <w:name w:val="heading 5"/>
    <w:aliases w:val="FS Heading 5,FSHeading 5,Subheading 3"/>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nhideWhenUsed/>
    <w:qFormat/>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basedOn w:val="DefaultParagraphFont"/>
    <w:link w:val="Heading1"/>
    <w:rsid w:val="003E46BA"/>
    <w:rPr>
      <w:rFonts w:ascii="Tahoma" w:hAnsi="Tahoma" w:cs="Tahoma"/>
      <w:b/>
      <w:bCs/>
      <w:kern w:val="32"/>
      <w:sz w:val="28"/>
      <w:szCs w:val="32"/>
      <w:u w:val="single"/>
      <w:lang w:val="en-US" w:eastAsia="en-US" w:bidi="en-US"/>
    </w:rPr>
  </w:style>
  <w:style w:type="character" w:customStyle="1" w:styleId="Heading2Char">
    <w:name w:val="Heading 2 Char"/>
    <w:aliases w:val="FS Heading 2 Char,FSHeading 2 Char,Section heading Char"/>
    <w:basedOn w:val="DefaultParagraphFont"/>
    <w:link w:val="Heading2"/>
    <w:rsid w:val="003E46BA"/>
    <w:rPr>
      <w:rFonts w:ascii="Arial Bold" w:hAnsi="Arial Bold" w:cs="Arial Unicode MS"/>
      <w:b/>
      <w:bCs/>
      <w:iCs/>
      <w:sz w:val="28"/>
      <w:szCs w:val="28"/>
      <w:lang w:val="en-US" w:eastAsia="en-US" w:bidi="en-US"/>
    </w:rPr>
  </w:style>
  <w:style w:type="character" w:customStyle="1" w:styleId="Heading3Char">
    <w:name w:val="Heading 3 Char"/>
    <w:aliases w:val="FS Heading 3 Char,FSHeading 3 Char,Subheading 1 Char"/>
    <w:basedOn w:val="DefaultParagraphFont"/>
    <w:link w:val="Heading3"/>
    <w:rsid w:val="00227E4A"/>
    <w:rPr>
      <w:rFonts w:ascii="Arial Bold" w:hAnsi="Arial Bold" w:cs="Arial Unicode MS"/>
      <w:b/>
      <w:bCs/>
      <w:sz w:val="22"/>
      <w:szCs w:val="26"/>
      <w:lang w:val="en-US" w:eastAsia="en-US" w:bidi="en-US"/>
    </w:rPr>
  </w:style>
  <w:style w:type="character" w:customStyle="1" w:styleId="Heading4Char">
    <w:name w:val="Heading 4 Char"/>
    <w:aliases w:val="FS Heading 4 Char,FSHeading 4 Char,Subheading 2 Char"/>
    <w:basedOn w:val="DefaultParagraphFont"/>
    <w:link w:val="Heading4"/>
    <w:uiPriority w:val="9"/>
    <w:rsid w:val="00227E4A"/>
    <w:rPr>
      <w:rFonts w:ascii="Arial" w:hAnsi="Arial"/>
      <w:bCs/>
      <w:i/>
      <w:sz w:val="22"/>
      <w:szCs w:val="28"/>
      <w:lang w:val="en-US" w:eastAsia="en-US" w:bidi="en-US"/>
    </w:rPr>
  </w:style>
  <w:style w:type="character" w:customStyle="1" w:styleId="Heading5Char">
    <w:name w:val="Heading 5 Char"/>
    <w:aliases w:val="FS Heading 5 Char,FSHeading 5 Char,Subheading 3 Char"/>
    <w:basedOn w:val="DefaultParagraphFont"/>
    <w:link w:val="Heading5"/>
    <w:uiPriority w:val="9"/>
    <w:rsid w:val="00227E4A"/>
    <w:rPr>
      <w:rFonts w:ascii="Arial" w:hAnsi="Arial"/>
      <w:bCs/>
      <w:iCs/>
      <w:sz w:val="22"/>
      <w:szCs w:val="26"/>
      <w:u w:val="single"/>
      <w:lang w:val="en-US" w:eastAsia="en-US" w:bidi="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C64E31"/>
    <w:rPr>
      <w:color w:val="auto"/>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7602AA"/>
    <w:pPr>
      <w:numPr>
        <w:numId w:val="2"/>
      </w:numPr>
      <w:ind w:left="1134" w:hanging="567"/>
    </w:pPr>
  </w:style>
  <w:style w:type="paragraph" w:styleId="TOC1">
    <w:name w:val="toc 1"/>
    <w:basedOn w:val="Normal"/>
    <w:next w:val="Normal"/>
    <w:autoRedefine/>
    <w:uiPriority w:val="39"/>
    <w:rsid w:val="00F42A4C"/>
    <w:rPr>
      <w:b/>
      <w:bCs/>
      <w:caps/>
    </w:rPr>
  </w:style>
  <w:style w:type="paragraph" w:styleId="TOC2">
    <w:name w:val="toc 2"/>
    <w:basedOn w:val="Normal"/>
    <w:next w:val="Normal"/>
    <w:autoRedefine/>
    <w:uiPriority w:val="39"/>
    <w:rsid w:val="00C64E31"/>
    <w:pPr>
      <w:ind w:left="240"/>
    </w:pPr>
    <w:rPr>
      <w:smallCaps/>
    </w:rPr>
  </w:style>
  <w:style w:type="paragraph" w:styleId="Footer">
    <w:name w:val="footer"/>
    <w:aliases w:val="FSFooter"/>
    <w:basedOn w:val="Normal"/>
    <w:link w:val="FooterChar"/>
    <w:uiPriority w:val="99"/>
    <w:rsid w:val="00C64E31"/>
    <w:pPr>
      <w:tabs>
        <w:tab w:val="center" w:pos="4153"/>
        <w:tab w:val="right" w:pos="8306"/>
      </w:tabs>
    </w:p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697B99"/>
    <w:pPr>
      <w:tabs>
        <w:tab w:val="left" w:pos="1200"/>
        <w:tab w:val="right" w:leader="dot" w:pos="9016"/>
      </w:tabs>
      <w:ind w:left="1134" w:hanging="708"/>
    </w:pPr>
    <w:rPr>
      <w:i/>
      <w:iCs/>
    </w:rPr>
  </w:style>
  <w:style w:type="paragraph" w:styleId="TOC4">
    <w:name w:val="toc 4"/>
    <w:basedOn w:val="Normal"/>
    <w:next w:val="Normal"/>
    <w:autoRedefine/>
    <w:uiPriority w:val="39"/>
    <w:rsid w:val="00C64E31"/>
    <w:pPr>
      <w:ind w:left="720"/>
    </w:pPr>
    <w:rPr>
      <w:szCs w:val="21"/>
    </w:rPr>
  </w:style>
  <w:style w:type="paragraph" w:styleId="TOC5">
    <w:name w:val="toc 5"/>
    <w:basedOn w:val="Normal"/>
    <w:next w:val="Normal"/>
    <w:autoRedefine/>
    <w:uiPriority w:val="39"/>
    <w:rsid w:val="00C64E31"/>
    <w:pPr>
      <w:ind w:left="960"/>
    </w:pPr>
    <w:rPr>
      <w:szCs w:val="21"/>
    </w:rPr>
  </w:style>
  <w:style w:type="character" w:styleId="FollowedHyperlink">
    <w:name w:val="FollowedHyperlink"/>
    <w:basedOn w:val="DefaultParagraphFont"/>
    <w:rsid w:val="00C64E31"/>
    <w:rPr>
      <w:color w:val="800080"/>
      <w:u w:val="single"/>
    </w:rPr>
  </w:style>
  <w:style w:type="paragraph" w:styleId="TOC6">
    <w:name w:val="toc 6"/>
    <w:basedOn w:val="Normal"/>
    <w:next w:val="Normal"/>
    <w:autoRedefine/>
    <w:uiPriority w:val="39"/>
    <w:rsid w:val="00C64E31"/>
    <w:pPr>
      <w:ind w:left="1200"/>
    </w:pPr>
    <w:rPr>
      <w:szCs w:val="21"/>
    </w:rPr>
  </w:style>
  <w:style w:type="paragraph" w:customStyle="1" w:styleId="142Tableheading2">
    <w:name w:val="1.4.2 Table heading2"/>
    <w:basedOn w:val="Normal"/>
    <w:qFormat/>
    <w:rsid w:val="002C41B3"/>
    <w:pPr>
      <w:keepNext/>
      <w:jc w:val="center"/>
    </w:pPr>
    <w:rPr>
      <w:iCs/>
      <w:smallCaps/>
      <w:sz w:val="18"/>
      <w:szCs w:val="20"/>
    </w:rPr>
  </w:style>
  <w:style w:type="paragraph" w:customStyle="1" w:styleId="Box1">
    <w:name w:val="Box 1"/>
    <w:basedOn w:val="Normal"/>
    <w:rsid w:val="00C64E31"/>
    <w:pPr>
      <w:numPr>
        <w:numId w:val="1"/>
      </w:numPr>
      <w:tabs>
        <w:tab w:val="clear" w:pos="360"/>
        <w:tab w:val="num" w:pos="120"/>
      </w:tabs>
    </w:pPr>
    <w:rPr>
      <w:sz w:val="16"/>
    </w:rPr>
  </w:style>
  <w:style w:type="paragraph" w:customStyle="1" w:styleId="Box2">
    <w:name w:val="Box 2"/>
    <w:basedOn w:val="Normal"/>
    <w:rsid w:val="00C64E31"/>
    <w:pPr>
      <w:tabs>
        <w:tab w:val="left" w:pos="4608"/>
        <w:tab w:val="left" w:pos="9180"/>
        <w:tab w:val="left" w:pos="9216"/>
      </w:tabs>
      <w:jc w:val="center"/>
    </w:pPr>
    <w:rPr>
      <w:b/>
      <w:bCs/>
      <w:i/>
      <w:iCs/>
      <w:color w:val="000000"/>
      <w:sz w:val="16"/>
    </w:rPr>
  </w:style>
  <w:style w:type="paragraph" w:customStyle="1" w:styleId="Box3">
    <w:name w:val="Box 3"/>
    <w:basedOn w:val="Normal"/>
    <w:rsid w:val="00C64E31"/>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qFormat/>
    <w:rsid w:val="002C41B3"/>
    <w:rPr>
      <w:b/>
      <w:bCs/>
      <w:iCs w:val="0"/>
    </w:rPr>
  </w:style>
  <w:style w:type="paragraph" w:customStyle="1" w:styleId="142tabletext1">
    <w:name w:val="1.4.2 table text1"/>
    <w:basedOn w:val="Normal"/>
    <w:link w:val="142tabletext1Char"/>
    <w:qFormat/>
    <w:rsid w:val="002C41B3"/>
    <w:pPr>
      <w:ind w:left="142" w:hanging="142"/>
    </w:pPr>
    <w:rPr>
      <w:smallCaps/>
      <w:sz w:val="18"/>
      <w:szCs w:val="20"/>
    </w:rPr>
  </w:style>
  <w:style w:type="paragraph" w:customStyle="1" w:styleId="142tabletext2">
    <w:name w:val="1.4.2 table text2"/>
    <w:basedOn w:val="142tabletext1"/>
    <w:qFormat/>
    <w:rsid w:val="00C64E31"/>
    <w:pPr>
      <w:jc w:val="right"/>
    </w:pPr>
  </w:style>
  <w:style w:type="paragraph" w:customStyle="1" w:styleId="Clause">
    <w:name w:val="Clause"/>
    <w:basedOn w:val="Normal"/>
    <w:next w:val="Normal"/>
    <w:link w:val="ClauseChar"/>
    <w:qFormat/>
    <w:rsid w:val="002C41B3"/>
    <w:pPr>
      <w:tabs>
        <w:tab w:val="left" w:pos="851"/>
      </w:tabs>
    </w:pPr>
    <w:rPr>
      <w:sz w:val="20"/>
      <w:szCs w:val="20"/>
    </w:rPr>
  </w:style>
  <w:style w:type="paragraph" w:customStyle="1" w:styleId="Clauseheading">
    <w:name w:val="Clause heading"/>
    <w:basedOn w:val="Normal"/>
    <w:next w:val="Normal"/>
    <w:rsid w:val="002C41B3"/>
    <w:pPr>
      <w:tabs>
        <w:tab w:val="left" w:pos="851"/>
      </w:tabs>
    </w:pPr>
    <w:rPr>
      <w:b/>
      <w:sz w:val="20"/>
      <w:szCs w:val="20"/>
    </w:rPr>
  </w:style>
  <w:style w:type="paragraph" w:customStyle="1" w:styleId="ClauseList">
    <w:name w:val="Clause List"/>
    <w:basedOn w:val="Clause"/>
    <w:next w:val="Normal"/>
    <w:rsid w:val="00C64E31"/>
  </w:style>
  <w:style w:type="paragraph" w:customStyle="1" w:styleId="Definition">
    <w:name w:val="Definition"/>
    <w:basedOn w:val="Normal"/>
    <w:next w:val="Normal"/>
    <w:link w:val="DefinitionChar"/>
    <w:rsid w:val="002C41B3"/>
    <w:pPr>
      <w:ind w:left="1701" w:hanging="851"/>
    </w:pPr>
    <w:rPr>
      <w:sz w:val="20"/>
      <w:szCs w:val="20"/>
    </w:rPr>
  </w:style>
  <w:style w:type="paragraph" w:customStyle="1" w:styleId="DivisionHeading">
    <w:name w:val="Division Heading"/>
    <w:basedOn w:val="Normal"/>
    <w:next w:val="Normal"/>
    <w:rsid w:val="00C64E31"/>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2C41B3"/>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sid w:val="00C64E31"/>
    <w:rPr>
      <w:b w:val="0"/>
    </w:rPr>
  </w:style>
  <w:style w:type="paragraph" w:customStyle="1" w:styleId="Footnote">
    <w:name w:val="Footnote"/>
    <w:basedOn w:val="Normal"/>
    <w:rsid w:val="002C41B3"/>
    <w:pPr>
      <w:tabs>
        <w:tab w:val="left" w:pos="851"/>
      </w:tabs>
    </w:pPr>
    <w:rPr>
      <w:sz w:val="16"/>
      <w:szCs w:val="20"/>
    </w:rPr>
  </w:style>
  <w:style w:type="paragraph" w:customStyle="1" w:styleId="MiscellaneousHeading">
    <w:name w:val="Miscellaneous Heading"/>
    <w:basedOn w:val="Normal"/>
    <w:next w:val="Normal"/>
    <w:rsid w:val="00C64E31"/>
    <w:rPr>
      <w:b/>
      <w:szCs w:val="20"/>
    </w:rPr>
  </w:style>
  <w:style w:type="paragraph" w:customStyle="1" w:styleId="Paragraph">
    <w:name w:val="Paragraph"/>
    <w:basedOn w:val="Clause"/>
    <w:next w:val="Normal"/>
    <w:link w:val="ParagraphChar"/>
    <w:rsid w:val="00C64E31"/>
    <w:pPr>
      <w:tabs>
        <w:tab w:val="clear" w:pos="851"/>
      </w:tabs>
      <w:ind w:left="1702" w:hanging="851"/>
    </w:pPr>
  </w:style>
  <w:style w:type="paragraph" w:customStyle="1" w:styleId="ScheduleHeading">
    <w:name w:val="Schedule Heading"/>
    <w:basedOn w:val="Normal"/>
    <w:next w:val="Normal"/>
    <w:rsid w:val="002C41B3"/>
    <w:pPr>
      <w:tabs>
        <w:tab w:val="left" w:pos="851"/>
      </w:tabs>
      <w:jc w:val="center"/>
    </w:pPr>
    <w:rPr>
      <w:b/>
      <w:caps/>
      <w:sz w:val="20"/>
      <w:szCs w:val="20"/>
    </w:rPr>
  </w:style>
  <w:style w:type="paragraph" w:customStyle="1" w:styleId="Standardtitle">
    <w:name w:val="Standard title"/>
    <w:basedOn w:val="Normal"/>
    <w:rsid w:val="00C64E31"/>
    <w:pPr>
      <w:tabs>
        <w:tab w:val="left" w:pos="851"/>
      </w:tabs>
      <w:jc w:val="center"/>
    </w:pPr>
    <w:rPr>
      <w:b/>
      <w:i/>
      <w:iCs/>
      <w:caps/>
      <w:sz w:val="28"/>
      <w:szCs w:val="20"/>
    </w:rPr>
  </w:style>
  <w:style w:type="paragraph" w:customStyle="1" w:styleId="Subclause">
    <w:name w:val="Subclause"/>
    <w:basedOn w:val="Clause"/>
    <w:link w:val="SubclauseChar"/>
    <w:rsid w:val="00C64E31"/>
    <w:pPr>
      <w:ind w:hanging="11"/>
    </w:pPr>
  </w:style>
  <w:style w:type="paragraph" w:customStyle="1" w:styleId="Subparagraph">
    <w:name w:val="Subparagraph"/>
    <w:basedOn w:val="Paragraph"/>
    <w:next w:val="Normal"/>
    <w:link w:val="SubparagraphChar"/>
    <w:rsid w:val="00C64E31"/>
    <w:pPr>
      <w:ind w:left="2553"/>
    </w:pPr>
  </w:style>
  <w:style w:type="paragraph" w:customStyle="1" w:styleId="Table1">
    <w:name w:val="Table 1"/>
    <w:basedOn w:val="Normal"/>
    <w:rsid w:val="002C41B3"/>
    <w:pPr>
      <w:spacing w:after="120"/>
      <w:jc w:val="center"/>
    </w:pPr>
    <w:rPr>
      <w:b/>
      <w:bCs/>
      <w:sz w:val="18"/>
      <w:szCs w:val="20"/>
    </w:rPr>
  </w:style>
  <w:style w:type="paragraph" w:customStyle="1" w:styleId="Table2">
    <w:name w:val="Table 2"/>
    <w:basedOn w:val="Normal"/>
    <w:rsid w:val="002C41B3"/>
    <w:pPr>
      <w:ind w:left="142" w:hanging="142"/>
    </w:pPr>
    <w:rPr>
      <w:bCs/>
      <w:sz w:val="18"/>
      <w:szCs w:val="20"/>
    </w:rPr>
  </w:style>
  <w:style w:type="paragraph" w:customStyle="1" w:styleId="TableHeading">
    <w:name w:val="Table Heading"/>
    <w:basedOn w:val="Normal"/>
    <w:next w:val="Normal"/>
    <w:rsid w:val="00022A5B"/>
    <w:pPr>
      <w:tabs>
        <w:tab w:val="left" w:pos="851"/>
      </w:tabs>
      <w:jc w:val="center"/>
    </w:pPr>
    <w:rPr>
      <w:b/>
      <w:sz w:val="20"/>
      <w:szCs w:val="20"/>
    </w:rPr>
  </w:style>
  <w:style w:type="paragraph" w:customStyle="1" w:styleId="TitleBorder">
    <w:name w:val="TitleBorder"/>
    <w:basedOn w:val="Normal"/>
    <w:link w:val="TitleBorderChar"/>
    <w:rsid w:val="00C64E31"/>
    <w:pPr>
      <w:pBdr>
        <w:bottom w:val="double" w:sz="6" w:space="0" w:color="auto"/>
      </w:pBdr>
      <w:tabs>
        <w:tab w:val="left" w:pos="851"/>
      </w:tabs>
    </w:pPr>
    <w:rPr>
      <w:b/>
      <w:szCs w:val="20"/>
    </w:rPr>
  </w:style>
  <w:style w:type="paragraph" w:styleId="TOC7">
    <w:name w:val="toc 7"/>
    <w:basedOn w:val="Normal"/>
    <w:next w:val="Normal"/>
    <w:autoRedefine/>
    <w:uiPriority w:val="39"/>
    <w:rsid w:val="00C64E31"/>
    <w:pPr>
      <w:ind w:left="1440"/>
    </w:pPr>
    <w:rPr>
      <w:szCs w:val="21"/>
    </w:rPr>
  </w:style>
  <w:style w:type="paragraph" w:styleId="TOC8">
    <w:name w:val="toc 8"/>
    <w:basedOn w:val="Normal"/>
    <w:next w:val="Normal"/>
    <w:autoRedefine/>
    <w:uiPriority w:val="39"/>
    <w:rsid w:val="00C64E31"/>
    <w:pPr>
      <w:ind w:left="1680"/>
    </w:pPr>
    <w:rPr>
      <w:szCs w:val="21"/>
    </w:rPr>
  </w:style>
  <w:style w:type="paragraph" w:styleId="TOC9">
    <w:name w:val="toc 9"/>
    <w:basedOn w:val="Normal"/>
    <w:next w:val="Normal"/>
    <w:autoRedefine/>
    <w:uiPriority w:val="39"/>
    <w:rsid w:val="00C64E31"/>
    <w:pPr>
      <w:ind w:left="1920"/>
    </w:pPr>
    <w:rPr>
      <w:szCs w:val="21"/>
    </w:rPr>
  </w:style>
  <w:style w:type="paragraph" w:styleId="FootnoteText">
    <w:name w:val="footnote text"/>
    <w:aliases w:val="FSFootnote Text"/>
    <w:basedOn w:val="Normal"/>
    <w:link w:val="FootnoteTextChar"/>
    <w:qFormat/>
    <w:rsid w:val="00C64E31"/>
    <w:rPr>
      <w:sz w:val="20"/>
      <w:szCs w:val="20"/>
    </w:rPr>
  </w:style>
  <w:style w:type="character" w:styleId="FootnoteReference">
    <w:name w:val="footnote reference"/>
    <w:basedOn w:val="DefaultParagraphFont"/>
    <w:rsid w:val="00C64E31"/>
    <w:rPr>
      <w:vertAlign w:val="superscript"/>
    </w:rPr>
  </w:style>
  <w:style w:type="paragraph" w:customStyle="1" w:styleId="heading">
    <w:name w:val="heading"/>
    <w:basedOn w:val="Normal"/>
    <w:rsid w:val="00C64E31"/>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5E4F87"/>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qFormat/>
    <w:rsid w:val="00E2003B"/>
    <w:pPr>
      <w:numPr>
        <w:numId w:val="3"/>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val="en-GB"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ListParagraph">
    <w:name w:val="List Paragraph"/>
    <w:basedOn w:val="Normal"/>
    <w:uiPriority w:val="34"/>
    <w:qFormat/>
    <w:rsid w:val="00A56F9F"/>
    <w:pPr>
      <w:ind w:left="720"/>
      <w:contextualSpacing/>
    </w:pPr>
  </w:style>
  <w:style w:type="paragraph" w:customStyle="1" w:styleId="Bullet">
    <w:name w:val="Bullet"/>
    <w:basedOn w:val="Normal"/>
    <w:next w:val="Normal"/>
    <w:link w:val="BulletChar"/>
    <w:qFormat/>
    <w:rsid w:val="00A56F9F"/>
    <w:pPr>
      <w:tabs>
        <w:tab w:val="num" w:pos="720"/>
      </w:tabs>
      <w:ind w:left="567" w:hanging="567"/>
    </w:pPr>
    <w:rPr>
      <w:lang w:bidi="ar-SA"/>
    </w:rPr>
  </w:style>
  <w:style w:type="character" w:customStyle="1" w:styleId="EditorialNoteLine1Char">
    <w:name w:val="Editorial Note Line 1 Char"/>
    <w:basedOn w:val="DefaultParagraphFont"/>
    <w:link w:val="EditorialNoteLine1"/>
    <w:rsid w:val="002C41B3"/>
    <w:rPr>
      <w:rFonts w:ascii="Arial" w:hAnsi="Arial"/>
      <w:b/>
      <w:lang w:val="en-GB" w:eastAsia="en-US" w:bidi="en-US"/>
    </w:rPr>
  </w:style>
  <w:style w:type="character" w:customStyle="1" w:styleId="SubclauseChar">
    <w:name w:val="Subclause Char"/>
    <w:basedOn w:val="DefaultParagraphFont"/>
    <w:link w:val="Subclause"/>
    <w:rsid w:val="00A56F9F"/>
    <w:rPr>
      <w:rFonts w:ascii="Arial" w:hAnsi="Arial"/>
      <w:sz w:val="22"/>
      <w:lang w:val="en-GB" w:eastAsia="en-US" w:bidi="en-US"/>
    </w:rPr>
  </w:style>
  <w:style w:type="paragraph" w:customStyle="1" w:styleId="131Subitemheading">
    <w:name w:val="1.3.1 Subitem heading"/>
    <w:basedOn w:val="Normal"/>
    <w:next w:val="Table2"/>
    <w:rsid w:val="002C41B3"/>
    <w:pPr>
      <w:keepNext/>
      <w:widowControl/>
      <w:tabs>
        <w:tab w:val="left" w:pos="851"/>
      </w:tabs>
      <w:spacing w:after="120"/>
    </w:pPr>
    <w:rPr>
      <w:b/>
      <w:sz w:val="18"/>
      <w:szCs w:val="20"/>
      <w:lang w:bidi="ar-SA"/>
    </w:rPr>
  </w:style>
  <w:style w:type="paragraph" w:customStyle="1" w:styleId="Centeredheadings">
    <w:name w:val="Centered headings"/>
    <w:basedOn w:val="Normal"/>
    <w:rsid w:val="00A56F9F"/>
    <w:pPr>
      <w:tabs>
        <w:tab w:val="left" w:pos="680"/>
        <w:tab w:val="left" w:pos="851"/>
        <w:tab w:val="left" w:pos="1240"/>
        <w:tab w:val="left" w:pos="1880"/>
        <w:tab w:val="left" w:pos="7776"/>
      </w:tabs>
      <w:spacing w:line="240" w:lineRule="atLeast"/>
      <w:jc w:val="center"/>
    </w:pPr>
    <w:rPr>
      <w:rFonts w:ascii="Times" w:hAnsi="Times"/>
      <w:b/>
      <w:sz w:val="24"/>
      <w:szCs w:val="20"/>
      <w:lang w:bidi="ar-SA"/>
    </w:rPr>
  </w:style>
  <w:style w:type="paragraph" w:customStyle="1" w:styleId="Decisionheading">
    <w:name w:val="Decision heading"/>
    <w:basedOn w:val="Normal"/>
    <w:next w:val="Decisiontext"/>
    <w:rsid w:val="00A56F9F"/>
    <w:pPr>
      <w:widowControl/>
      <w:pBdr>
        <w:top w:val="single" w:sz="4" w:space="1" w:color="auto"/>
        <w:left w:val="single" w:sz="4" w:space="4" w:color="auto"/>
        <w:bottom w:val="single" w:sz="4" w:space="1" w:color="auto"/>
        <w:right w:val="single" w:sz="4" w:space="4" w:color="auto"/>
      </w:pBdr>
    </w:pPr>
    <w:rPr>
      <w:b/>
      <w:bCs/>
      <w:sz w:val="28"/>
      <w:lang w:bidi="ar-SA"/>
    </w:rPr>
  </w:style>
  <w:style w:type="paragraph" w:customStyle="1" w:styleId="Decisiontext">
    <w:name w:val="Decision text"/>
    <w:basedOn w:val="Normal"/>
    <w:rsid w:val="00A56F9F"/>
    <w:pPr>
      <w:widowControl/>
      <w:pBdr>
        <w:top w:val="single" w:sz="4" w:space="1" w:color="auto"/>
        <w:left w:val="single" w:sz="4" w:space="4" w:color="auto"/>
        <w:bottom w:val="single" w:sz="4" w:space="1" w:color="auto"/>
        <w:right w:val="single" w:sz="4" w:space="4" w:color="auto"/>
      </w:pBdr>
    </w:pPr>
    <w:rPr>
      <w:lang w:bidi="ar-SA"/>
    </w:rPr>
  </w:style>
  <w:style w:type="paragraph" w:customStyle="1" w:styleId="FSCfooter">
    <w:name w:val="FSCfooter"/>
    <w:basedOn w:val="Normal"/>
    <w:qFormat/>
    <w:rsid w:val="00A56F9F"/>
    <w:pPr>
      <w:tabs>
        <w:tab w:val="left" w:pos="851"/>
        <w:tab w:val="center" w:pos="4536"/>
        <w:tab w:val="right" w:pos="9072"/>
      </w:tabs>
    </w:pPr>
    <w:rPr>
      <w:rFonts w:ascii="Times New Roman" w:hAnsi="Times New Roman"/>
      <w:sz w:val="18"/>
      <w:szCs w:val="20"/>
      <w:lang w:bidi="ar-SA"/>
    </w:rPr>
  </w:style>
  <w:style w:type="paragraph" w:customStyle="1" w:styleId="FSCheader">
    <w:name w:val="FSCheader"/>
    <w:basedOn w:val="Normal"/>
    <w:rsid w:val="00A56F9F"/>
    <w:pPr>
      <w:tabs>
        <w:tab w:val="left" w:pos="851"/>
      </w:tabs>
      <w:jc w:val="center"/>
    </w:pPr>
    <w:rPr>
      <w:rFonts w:ascii="Times New Roman" w:hAnsi="Times New Roman"/>
      <w:sz w:val="20"/>
      <w:szCs w:val="20"/>
      <w:lang w:bidi="ar-SA"/>
    </w:rPr>
  </w:style>
  <w:style w:type="paragraph" w:customStyle="1" w:styleId="Delayedcommencement">
    <w:name w:val="Delayed commencement"/>
    <w:basedOn w:val="EditorialNotetext"/>
    <w:rsid w:val="00A56F9F"/>
    <w:pPr>
      <w:shd w:val="clear" w:color="auto" w:fill="CCCCCC"/>
    </w:pPr>
    <w:rPr>
      <w:rFonts w:ascii="Times New Roman" w:hAnsi="Times New Roman"/>
      <w:sz w:val="24"/>
      <w:lang w:bidi="ar-SA"/>
    </w:rPr>
  </w:style>
  <w:style w:type="paragraph" w:customStyle="1" w:styleId="PartContents">
    <w:name w:val="Part Contents"/>
    <w:basedOn w:val="Normal"/>
    <w:rsid w:val="002C41B3"/>
    <w:pPr>
      <w:widowControl/>
      <w:tabs>
        <w:tab w:val="left" w:pos="851"/>
      </w:tabs>
      <w:spacing w:line="240" w:lineRule="atLeast"/>
      <w:ind w:left="1120" w:hanging="560"/>
    </w:pPr>
    <w:rPr>
      <w:sz w:val="24"/>
      <w:szCs w:val="20"/>
      <w:lang w:bidi="ar-SA"/>
    </w:rPr>
  </w:style>
  <w:style w:type="character" w:customStyle="1" w:styleId="EditorialNotetextChar">
    <w:name w:val="Editorial Note text Char"/>
    <w:basedOn w:val="DefaultParagraphFont"/>
    <w:link w:val="EditorialNotetext"/>
    <w:rsid w:val="00A56F9F"/>
    <w:rPr>
      <w:rFonts w:ascii="Arial" w:hAnsi="Arial"/>
      <w:sz w:val="22"/>
      <w:lang w:val="en-GB" w:eastAsia="en-US" w:bidi="en-US"/>
    </w:rPr>
  </w:style>
  <w:style w:type="character" w:customStyle="1" w:styleId="142tabletext1Char">
    <w:name w:val="1.4.2 table text1 Char"/>
    <w:basedOn w:val="DefaultParagraphFont"/>
    <w:link w:val="142tabletext1"/>
    <w:rsid w:val="002C41B3"/>
    <w:rPr>
      <w:rFonts w:ascii="Arial" w:hAnsi="Arial"/>
      <w:smallCaps/>
      <w:sz w:val="18"/>
      <w:lang w:val="en-GB" w:eastAsia="en-US" w:bidi="en-US"/>
    </w:rPr>
  </w:style>
  <w:style w:type="paragraph" w:customStyle="1" w:styleId="FootnoteText1">
    <w:name w:val="Footnote Text1"/>
    <w:basedOn w:val="Normal"/>
    <w:rsid w:val="00A56F9F"/>
    <w:pPr>
      <w:widowControl/>
      <w:tabs>
        <w:tab w:val="left" w:pos="851"/>
      </w:tabs>
    </w:pPr>
    <w:rPr>
      <w:rFonts w:ascii="Times New Roman" w:hAnsi="Times New Roman"/>
      <w:sz w:val="20"/>
      <w:szCs w:val="20"/>
      <w:lang w:bidi="ar-SA"/>
    </w:rPr>
  </w:style>
  <w:style w:type="character" w:customStyle="1" w:styleId="ClauseChar">
    <w:name w:val="Clause Char"/>
    <w:basedOn w:val="DefaultParagraphFont"/>
    <w:link w:val="Clause"/>
    <w:rsid w:val="002C41B3"/>
    <w:rPr>
      <w:rFonts w:ascii="Arial" w:hAnsi="Arial"/>
      <w:lang w:val="en-GB" w:eastAsia="en-US" w:bidi="en-US"/>
    </w:rPr>
  </w:style>
  <w:style w:type="character" w:customStyle="1" w:styleId="ParagraphChar">
    <w:name w:val="Paragraph Char"/>
    <w:basedOn w:val="ClauseChar"/>
    <w:link w:val="Paragraph"/>
    <w:rsid w:val="00A56F9F"/>
    <w:rPr>
      <w:rFonts w:ascii="Arial" w:hAnsi="Arial"/>
      <w:lang w:val="en-GB" w:eastAsia="en-US" w:bidi="en-US"/>
    </w:rPr>
  </w:style>
  <w:style w:type="paragraph" w:customStyle="1" w:styleId="Scheduleheading0">
    <w:name w:val="Schedule heading"/>
    <w:basedOn w:val="Normal"/>
    <w:rsid w:val="002C41B3"/>
    <w:pPr>
      <w:widowControl/>
      <w:jc w:val="center"/>
    </w:pPr>
    <w:rPr>
      <w:b/>
      <w:caps/>
      <w:sz w:val="20"/>
      <w:lang w:val="en-AU" w:bidi="ar-SA"/>
    </w:rPr>
  </w:style>
  <w:style w:type="character" w:customStyle="1" w:styleId="DefinitionChar">
    <w:name w:val="Definition Char"/>
    <w:basedOn w:val="DefaultParagraphFont"/>
    <w:link w:val="Definition"/>
    <w:rsid w:val="002C41B3"/>
    <w:rPr>
      <w:rFonts w:ascii="Arial" w:hAnsi="Arial"/>
      <w:lang w:val="en-GB" w:eastAsia="en-US" w:bidi="en-US"/>
    </w:rPr>
  </w:style>
  <w:style w:type="numbering" w:customStyle="1" w:styleId="NoList1">
    <w:name w:val="No List1"/>
    <w:next w:val="NoList"/>
    <w:uiPriority w:val="99"/>
    <w:semiHidden/>
    <w:unhideWhenUsed/>
    <w:rsid w:val="00A56F9F"/>
  </w:style>
  <w:style w:type="table" w:customStyle="1" w:styleId="TableGrid1">
    <w:name w:val="Table Grid1"/>
    <w:basedOn w:val="TableNormal"/>
    <w:next w:val="TableGrid"/>
    <w:rsid w:val="00A56F9F"/>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03023"/>
    <w:rPr>
      <w:rFonts w:ascii="Times New Roman" w:hAnsi="Times New Roman"/>
      <w:sz w:val="24"/>
      <w:lang w:val="en-GB" w:eastAsia="en-US"/>
    </w:rPr>
  </w:style>
  <w:style w:type="paragraph" w:customStyle="1" w:styleId="ClauseHeading0">
    <w:name w:val="Clause Heading"/>
    <w:basedOn w:val="Normal"/>
    <w:next w:val="Normal"/>
    <w:rsid w:val="003F511C"/>
    <w:pPr>
      <w:tabs>
        <w:tab w:val="left" w:pos="851"/>
      </w:tabs>
    </w:pPr>
    <w:rPr>
      <w:b/>
      <w:sz w:val="20"/>
      <w:szCs w:val="20"/>
      <w:lang w:bidi="ar-SA"/>
    </w:rPr>
  </w:style>
  <w:style w:type="paragraph" w:customStyle="1" w:styleId="Blankpage">
    <w:name w:val="Blank page"/>
    <w:basedOn w:val="Normal"/>
    <w:next w:val="Normal"/>
    <w:rsid w:val="003F511C"/>
    <w:pPr>
      <w:widowControl/>
      <w:tabs>
        <w:tab w:val="left" w:pos="851"/>
      </w:tabs>
      <w:spacing w:before="4000" w:line="240" w:lineRule="atLeast"/>
      <w:jc w:val="center"/>
    </w:pPr>
    <w:rPr>
      <w:szCs w:val="20"/>
      <w:lang w:bidi="ar-SA"/>
    </w:rPr>
  </w:style>
  <w:style w:type="paragraph" w:customStyle="1" w:styleId="131ItemHeading">
    <w:name w:val="1.3.1 Item Heading"/>
    <w:basedOn w:val="Table2"/>
    <w:next w:val="Table2"/>
    <w:rsid w:val="003F511C"/>
    <w:pPr>
      <w:keepNext/>
      <w:widowControl/>
      <w:tabs>
        <w:tab w:val="left" w:pos="851"/>
      </w:tabs>
      <w:spacing w:after="200"/>
      <w:ind w:left="0" w:firstLine="0"/>
    </w:pPr>
    <w:rPr>
      <w:b/>
      <w:bCs w:val="0"/>
      <w:caps/>
      <w:sz w:val="20"/>
      <w:lang w:bidi="ar-SA"/>
    </w:rPr>
  </w:style>
  <w:style w:type="character" w:customStyle="1" w:styleId="FooterChar">
    <w:name w:val="Footer Char"/>
    <w:aliases w:val="FSFooter Char"/>
    <w:basedOn w:val="DefaultParagraphFont"/>
    <w:link w:val="Footer"/>
    <w:uiPriority w:val="99"/>
    <w:rsid w:val="00FB34CC"/>
    <w:rPr>
      <w:rFonts w:ascii="Arial" w:hAnsi="Arial"/>
      <w:sz w:val="22"/>
      <w:szCs w:val="24"/>
      <w:lang w:val="en-GB" w:eastAsia="en-US" w:bidi="en-US"/>
    </w:rPr>
  </w:style>
  <w:style w:type="character" w:customStyle="1" w:styleId="BalloonTextChar">
    <w:name w:val="Balloon Text Char"/>
    <w:basedOn w:val="DefaultParagraphFont"/>
    <w:link w:val="BalloonText"/>
    <w:rsid w:val="00FB34CC"/>
    <w:rPr>
      <w:rFonts w:ascii="Tahoma" w:hAnsi="Tahoma" w:cs="Tahoma"/>
      <w:sz w:val="16"/>
      <w:szCs w:val="16"/>
      <w:lang w:val="en-GB" w:eastAsia="en-US" w:bidi="en-US"/>
    </w:rPr>
  </w:style>
  <w:style w:type="paragraph" w:customStyle="1" w:styleId="FootnoteText2">
    <w:name w:val="Footnote Text2"/>
    <w:basedOn w:val="Normal"/>
    <w:rsid w:val="00FB34CC"/>
    <w:pPr>
      <w:widowControl/>
      <w:tabs>
        <w:tab w:val="left" w:pos="851"/>
      </w:tabs>
    </w:pPr>
    <w:rPr>
      <w:sz w:val="18"/>
      <w:szCs w:val="20"/>
      <w:lang w:bidi="ar-SA"/>
    </w:rPr>
  </w:style>
  <w:style w:type="character" w:customStyle="1" w:styleId="FootnoteTextChar">
    <w:name w:val="Footnote Text Char"/>
    <w:aliases w:val="FSFootnote Text Char"/>
    <w:link w:val="FootnoteText"/>
    <w:rsid w:val="0057743E"/>
    <w:rPr>
      <w:rFonts w:ascii="Arial" w:hAnsi="Arial"/>
      <w:lang w:val="en-GB" w:eastAsia="en-US" w:bidi="en-US"/>
    </w:rPr>
  </w:style>
  <w:style w:type="paragraph" w:styleId="Title">
    <w:name w:val="Title"/>
    <w:basedOn w:val="Normal"/>
    <w:link w:val="TitleChar"/>
    <w:uiPriority w:val="10"/>
    <w:qFormat/>
    <w:rsid w:val="0057743E"/>
    <w:pPr>
      <w:tabs>
        <w:tab w:val="left" w:pos="851"/>
      </w:tabs>
      <w:jc w:val="center"/>
    </w:pPr>
    <w:rPr>
      <w:b/>
      <w:bCs/>
      <w:sz w:val="20"/>
      <w:lang w:val="en-AU" w:bidi="ar-SA"/>
    </w:rPr>
  </w:style>
  <w:style w:type="character" w:customStyle="1" w:styleId="TitleChar">
    <w:name w:val="Title Char"/>
    <w:basedOn w:val="DefaultParagraphFont"/>
    <w:link w:val="Title"/>
    <w:uiPriority w:val="10"/>
    <w:rsid w:val="0057743E"/>
    <w:rPr>
      <w:rFonts w:ascii="Arial" w:hAnsi="Arial"/>
      <w:b/>
      <w:bCs/>
      <w:szCs w:val="24"/>
      <w:lang w:eastAsia="en-US"/>
    </w:rPr>
  </w:style>
  <w:style w:type="character" w:customStyle="1" w:styleId="DefinitionCharChar">
    <w:name w:val="Definition Char Char"/>
    <w:rsid w:val="0057743E"/>
    <w:rPr>
      <w:rFonts w:ascii="Arial" w:hAnsi="Arial"/>
      <w:sz w:val="22"/>
      <w:lang w:eastAsia="en-US"/>
    </w:rPr>
  </w:style>
  <w:style w:type="character" w:customStyle="1" w:styleId="TitleBorderChar">
    <w:name w:val="TitleBorder Char"/>
    <w:link w:val="TitleBorder"/>
    <w:rsid w:val="0057743E"/>
    <w:rPr>
      <w:rFonts w:ascii="Arial" w:hAnsi="Arial"/>
      <w:b/>
      <w:sz w:val="22"/>
      <w:lang w:val="en-GB" w:eastAsia="en-US" w:bidi="en-US"/>
    </w:rPr>
  </w:style>
  <w:style w:type="paragraph" w:customStyle="1" w:styleId="runheadL">
    <w:name w:val="runheadL"/>
    <w:rsid w:val="0057743E"/>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7743E"/>
    <w:pPr>
      <w:widowControl w:val="0"/>
      <w:tabs>
        <w:tab w:val="left" w:pos="0"/>
      </w:tabs>
      <w:jc w:val="right"/>
    </w:pPr>
    <w:rPr>
      <w:rFonts w:ascii="Arial" w:hAnsi="Arial"/>
      <w:i/>
      <w:snapToGrid w:val="0"/>
      <w:sz w:val="16"/>
      <w:lang w:val="en-GB" w:eastAsia="en-US"/>
    </w:rPr>
  </w:style>
  <w:style w:type="paragraph" w:customStyle="1" w:styleId="Cwealth">
    <w:name w:val="Cwealth"/>
    <w:basedOn w:val="Normal"/>
    <w:rsid w:val="0057743E"/>
    <w:pPr>
      <w:tabs>
        <w:tab w:val="left" w:pos="851"/>
      </w:tabs>
      <w:spacing w:before="120" w:line="360" w:lineRule="exact"/>
    </w:pPr>
    <w:rPr>
      <w:rFonts w:ascii="Arial Narrow" w:hAnsi="Arial Narrow"/>
      <w:sz w:val="36"/>
      <w:szCs w:val="20"/>
      <w:lang w:val="en-US" w:bidi="ar-SA"/>
    </w:rPr>
  </w:style>
  <w:style w:type="paragraph" w:customStyle="1" w:styleId="FSCtitle1">
    <w:name w:val="FSC title 1"/>
    <w:basedOn w:val="Normal"/>
    <w:rsid w:val="0057743E"/>
    <w:pPr>
      <w:tabs>
        <w:tab w:val="left" w:pos="851"/>
      </w:tabs>
      <w:spacing w:before="40"/>
    </w:pPr>
    <w:rPr>
      <w:sz w:val="20"/>
      <w:szCs w:val="20"/>
      <w:lang w:bidi="ar-SA"/>
    </w:rPr>
  </w:style>
  <w:style w:type="paragraph" w:customStyle="1" w:styleId="FSCtitle2">
    <w:name w:val="FSC title 2"/>
    <w:basedOn w:val="Normal"/>
    <w:rsid w:val="0057743E"/>
    <w:pPr>
      <w:tabs>
        <w:tab w:val="left" w:pos="851"/>
      </w:tabs>
    </w:pPr>
    <w:rPr>
      <w:sz w:val="18"/>
      <w:szCs w:val="20"/>
      <w:lang w:bidi="ar-SA"/>
    </w:rPr>
  </w:style>
  <w:style w:type="character" w:customStyle="1" w:styleId="SubparagraphChar">
    <w:name w:val="Subparagraph Char"/>
    <w:basedOn w:val="ParagraphChar"/>
    <w:link w:val="Subparagraph"/>
    <w:rsid w:val="0057743E"/>
    <w:rPr>
      <w:rFonts w:ascii="Arial" w:hAnsi="Arial"/>
      <w:lang w:val="en-GB" w:eastAsia="en-US" w:bidi="en-US"/>
    </w:rPr>
  </w:style>
  <w:style w:type="paragraph" w:styleId="Date">
    <w:name w:val="Date"/>
    <w:basedOn w:val="Normal"/>
    <w:next w:val="Normal"/>
    <w:link w:val="DateChar"/>
    <w:rsid w:val="0057743E"/>
    <w:pPr>
      <w:tabs>
        <w:tab w:val="left" w:pos="851"/>
      </w:tabs>
    </w:pPr>
    <w:rPr>
      <w:sz w:val="20"/>
      <w:szCs w:val="20"/>
      <w:lang w:bidi="ar-SA"/>
    </w:rPr>
  </w:style>
  <w:style w:type="character" w:customStyle="1" w:styleId="DateChar">
    <w:name w:val="Date Char"/>
    <w:basedOn w:val="DefaultParagraphFont"/>
    <w:link w:val="Date"/>
    <w:rsid w:val="0057743E"/>
    <w:rPr>
      <w:rFonts w:ascii="Arial" w:hAnsi="Arial"/>
      <w:lang w:val="en-GB" w:eastAsia="en-US"/>
    </w:rPr>
  </w:style>
  <w:style w:type="character" w:customStyle="1" w:styleId="BulletChar">
    <w:name w:val="Bullet Char"/>
    <w:link w:val="Bullet"/>
    <w:rsid w:val="0057743E"/>
    <w:rPr>
      <w:rFonts w:ascii="Arial" w:hAnsi="Arial"/>
      <w:sz w:val="22"/>
      <w:szCs w:val="24"/>
      <w:lang w:val="en-GB" w:eastAsia="en-US"/>
    </w:rPr>
  </w:style>
  <w:style w:type="paragraph" w:styleId="NormalWeb">
    <w:name w:val="Normal (Web)"/>
    <w:basedOn w:val="Normal"/>
    <w:rsid w:val="0057743E"/>
    <w:pPr>
      <w:widowControl/>
      <w:spacing w:before="100" w:beforeAutospacing="1" w:after="100" w:afterAutospacing="1"/>
    </w:pPr>
    <w:rPr>
      <w:rFonts w:ascii="Times New Roman" w:hAnsi="Times New Roman"/>
      <w:sz w:val="24"/>
      <w:lang w:val="en-AU" w:eastAsia="en-AU" w:bidi="ar-SA"/>
    </w:rPr>
  </w:style>
  <w:style w:type="paragraph" w:styleId="Subtitle">
    <w:name w:val="Subtitle"/>
    <w:basedOn w:val="Normal"/>
    <w:next w:val="Normal"/>
    <w:link w:val="SubtitleChar"/>
    <w:uiPriority w:val="11"/>
    <w:qFormat/>
    <w:rsid w:val="0057743E"/>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57743E"/>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57743E"/>
    <w:rPr>
      <w:i/>
      <w:iCs/>
    </w:rPr>
  </w:style>
  <w:style w:type="paragraph" w:styleId="Quote">
    <w:name w:val="Quote"/>
    <w:basedOn w:val="Normal"/>
    <w:next w:val="Normal"/>
    <w:link w:val="QuoteChar"/>
    <w:uiPriority w:val="29"/>
    <w:qFormat/>
    <w:rsid w:val="0057743E"/>
    <w:rPr>
      <w:i/>
      <w:iCs/>
      <w:color w:val="000000" w:themeColor="text1"/>
    </w:rPr>
  </w:style>
  <w:style w:type="character" w:customStyle="1" w:styleId="QuoteChar">
    <w:name w:val="Quote Char"/>
    <w:basedOn w:val="DefaultParagraphFont"/>
    <w:link w:val="Quote"/>
    <w:uiPriority w:val="29"/>
    <w:rsid w:val="0057743E"/>
    <w:rPr>
      <w:rFonts w:ascii="Arial" w:hAnsi="Arial"/>
      <w:i/>
      <w:iCs/>
      <w:color w:val="000000" w:themeColor="text1"/>
      <w:sz w:val="22"/>
      <w:szCs w:val="24"/>
      <w:lang w:val="en-GB" w:eastAsia="en-US" w:bidi="en-US"/>
    </w:rPr>
  </w:style>
  <w:style w:type="paragraph" w:customStyle="1" w:styleId="142Tableheading10">
    <w:name w:val="1.4.2 Table heading1"/>
    <w:basedOn w:val="Normal"/>
    <w:rsid w:val="0057743E"/>
    <w:pPr>
      <w:keepNext/>
      <w:jc w:val="center"/>
    </w:pPr>
    <w:rPr>
      <w:rFonts w:ascii="Arial Bold" w:hAnsi="Arial Bold"/>
      <w:b/>
      <w:bCs/>
      <w:iCs/>
      <w:sz w:val="18"/>
    </w:rPr>
  </w:style>
  <w:style w:type="paragraph" w:customStyle="1" w:styleId="142Tabletext10">
    <w:name w:val="1.4.2 Table text1"/>
    <w:basedOn w:val="Normal"/>
    <w:link w:val="142Tabletext1Char0"/>
    <w:rsid w:val="0057743E"/>
    <w:pPr>
      <w:ind w:left="142" w:hanging="142"/>
    </w:pPr>
    <w:rPr>
      <w:sz w:val="18"/>
      <w:szCs w:val="20"/>
    </w:rPr>
  </w:style>
  <w:style w:type="character" w:customStyle="1" w:styleId="142Tabletext1Char0">
    <w:name w:val="1.4.2 Table text1 Char"/>
    <w:basedOn w:val="DefaultParagraphFont"/>
    <w:link w:val="142Tabletext10"/>
    <w:rsid w:val="0057743E"/>
    <w:rPr>
      <w:rFonts w:ascii="Arial" w:hAnsi="Arial"/>
      <w:sz w:val="18"/>
      <w:lang w:val="en-GB" w:eastAsia="en-US" w:bidi="en-US"/>
    </w:rPr>
  </w:style>
  <w:style w:type="paragraph" w:customStyle="1" w:styleId="142Tabletext20">
    <w:name w:val="1.4.2 Table text2"/>
    <w:basedOn w:val="142Tabletext10"/>
    <w:rsid w:val="0057743E"/>
    <w:pPr>
      <w:jc w:val="right"/>
    </w:pPr>
  </w:style>
  <w:style w:type="paragraph" w:customStyle="1" w:styleId="FSBullet1">
    <w:name w:val="FSBullet 1"/>
    <w:basedOn w:val="Normal"/>
    <w:next w:val="Normal"/>
    <w:link w:val="FSBullet1Char"/>
    <w:qFormat/>
    <w:rsid w:val="0057743E"/>
    <w:pPr>
      <w:numPr>
        <w:numId w:val="17"/>
      </w:numPr>
    </w:pPr>
    <w:rPr>
      <w:rFonts w:cs="Arial"/>
    </w:rPr>
  </w:style>
  <w:style w:type="character" w:customStyle="1" w:styleId="FSBullet1Char">
    <w:name w:val="FSBullet 1 Char"/>
    <w:basedOn w:val="DefaultParagraphFont"/>
    <w:link w:val="FSBullet1"/>
    <w:rsid w:val="0057743E"/>
    <w:rPr>
      <w:rFonts w:ascii="Arial" w:hAnsi="Arial" w:cs="Arial"/>
      <w:sz w:val="22"/>
      <w:szCs w:val="24"/>
      <w:lang w:val="en-GB" w:eastAsia="en-US" w:bidi="en-US"/>
    </w:rPr>
  </w:style>
  <w:style w:type="paragraph" w:customStyle="1" w:styleId="FSBullet2">
    <w:name w:val="FSBullet 2"/>
    <w:basedOn w:val="Normal"/>
    <w:qFormat/>
    <w:rsid w:val="0057743E"/>
    <w:pPr>
      <w:numPr>
        <w:numId w:val="18"/>
      </w:numPr>
    </w:pPr>
  </w:style>
  <w:style w:type="paragraph" w:customStyle="1" w:styleId="FSBullet3">
    <w:name w:val="FSBullet 3"/>
    <w:basedOn w:val="Normal"/>
    <w:qFormat/>
    <w:rsid w:val="0057743E"/>
    <w:pPr>
      <w:keepNext/>
      <w:numPr>
        <w:numId w:val="19"/>
      </w:numPr>
    </w:pPr>
    <w:rPr>
      <w:b/>
    </w:rPr>
  </w:style>
  <w:style w:type="paragraph" w:customStyle="1" w:styleId="FSCaption">
    <w:name w:val="FSCaption"/>
    <w:basedOn w:val="Normal"/>
    <w:qFormat/>
    <w:rsid w:val="0057743E"/>
    <w:pPr>
      <w:keepNext/>
      <w:keepLines/>
      <w:spacing w:before="120"/>
    </w:pPr>
    <w:rPr>
      <w:i/>
      <w:sz w:val="16"/>
      <w:szCs w:val="16"/>
    </w:rPr>
  </w:style>
  <w:style w:type="paragraph" w:customStyle="1" w:styleId="FSCFooter0">
    <w:name w:val="FSCFooter"/>
    <w:basedOn w:val="Footnote"/>
    <w:qFormat/>
    <w:rsid w:val="0057743E"/>
    <w:pPr>
      <w:tabs>
        <w:tab w:val="clear" w:pos="851"/>
        <w:tab w:val="center" w:pos="4536"/>
        <w:tab w:val="right" w:pos="9070"/>
      </w:tabs>
    </w:pPr>
    <w:rPr>
      <w:sz w:val="18"/>
      <w:szCs w:val="18"/>
    </w:rPr>
  </w:style>
  <w:style w:type="paragraph" w:customStyle="1" w:styleId="FSPagenumber">
    <w:name w:val="FSPage number"/>
    <w:basedOn w:val="Normal"/>
    <w:qFormat/>
    <w:rsid w:val="0057743E"/>
    <w:pPr>
      <w:jc w:val="right"/>
    </w:pPr>
    <w:rPr>
      <w:sz w:val="20"/>
      <w:szCs w:val="20"/>
    </w:rPr>
  </w:style>
  <w:style w:type="paragraph" w:customStyle="1" w:styleId="PartHeading">
    <w:name w:val="Part Heading"/>
    <w:basedOn w:val="Normal"/>
    <w:rsid w:val="0057743E"/>
    <w:pPr>
      <w:tabs>
        <w:tab w:val="left" w:pos="851"/>
      </w:tabs>
      <w:jc w:val="center"/>
    </w:pPr>
    <w:rPr>
      <w:b/>
      <w:i/>
      <w:sz w:val="36"/>
      <w:szCs w:val="20"/>
    </w:rPr>
  </w:style>
  <w:style w:type="numbering" w:customStyle="1" w:styleId="NoList11">
    <w:name w:val="No List11"/>
    <w:next w:val="NoList"/>
    <w:uiPriority w:val="99"/>
    <w:semiHidden/>
    <w:unhideWhenUsed/>
    <w:rsid w:val="0057743E"/>
  </w:style>
  <w:style w:type="table" w:customStyle="1" w:styleId="TableGrid11">
    <w:name w:val="Table Grid11"/>
    <w:basedOn w:val="TableNormal"/>
    <w:next w:val="TableGrid"/>
    <w:rsid w:val="0057743E"/>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7743E"/>
  </w:style>
  <w:style w:type="character" w:styleId="SubtleEmphasis">
    <w:name w:val="Subtle Emphasis"/>
    <w:basedOn w:val="DefaultParagraphFont"/>
    <w:uiPriority w:val="19"/>
    <w:qFormat/>
    <w:rsid w:val="0057743E"/>
    <w:rPr>
      <w:i/>
      <w:iCs/>
      <w:color w:val="808080" w:themeColor="text1" w:themeTint="7F"/>
    </w:rPr>
  </w:style>
  <w:style w:type="paragraph" w:customStyle="1" w:styleId="FSTableColumnRowheading">
    <w:name w:val="FSTable Column/Row heading"/>
    <w:basedOn w:val="Normal"/>
    <w:qFormat/>
    <w:rsid w:val="0057743E"/>
    <w:pPr>
      <w:spacing w:before="120" w:after="120"/>
    </w:pPr>
    <w:rPr>
      <w:b/>
      <w:sz w:val="20"/>
      <w:szCs w:val="20"/>
    </w:rPr>
  </w:style>
  <w:style w:type="paragraph" w:customStyle="1" w:styleId="FSTableFigureHeading">
    <w:name w:val="FSTable/Figure Heading"/>
    <w:basedOn w:val="Normal"/>
    <w:qFormat/>
    <w:rsid w:val="0057743E"/>
    <w:pPr>
      <w:spacing w:before="120" w:after="120"/>
      <w:ind w:left="1134" w:hanging="1134"/>
    </w:pPr>
    <w:rPr>
      <w:b/>
      <w:i/>
      <w:sz w:val="20"/>
    </w:rPr>
  </w:style>
  <w:style w:type="character" w:customStyle="1" w:styleId="HeaderChar">
    <w:name w:val="Header Char"/>
    <w:aliases w:val="FSHeader Char"/>
    <w:basedOn w:val="DefaultParagraphFont"/>
    <w:link w:val="Header"/>
    <w:rsid w:val="0057743E"/>
    <w:rPr>
      <w:rFonts w:ascii="Arial" w:hAnsi="Arial"/>
      <w:sz w:val="22"/>
      <w:szCs w:val="24"/>
      <w:lang w:val="en-GB" w:eastAsia="en-US" w:bidi="en-US"/>
    </w:rPr>
  </w:style>
  <w:style w:type="table" w:customStyle="1" w:styleId="TableGrid2">
    <w:name w:val="Table Grid2"/>
    <w:basedOn w:val="TableNormal"/>
    <w:next w:val="TableGrid"/>
    <w:rsid w:val="005774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57743E"/>
  </w:style>
  <w:style w:type="table" w:customStyle="1" w:styleId="TableGrid12">
    <w:name w:val="Table Grid12"/>
    <w:basedOn w:val="TableNormal"/>
    <w:next w:val="TableGrid"/>
    <w:rsid w:val="0057743E"/>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57743E"/>
    <w:rPr>
      <w:sz w:val="16"/>
      <w:szCs w:val="16"/>
    </w:rPr>
  </w:style>
  <w:style w:type="paragraph" w:styleId="CommentText">
    <w:name w:val="annotation text"/>
    <w:basedOn w:val="Normal"/>
    <w:link w:val="CommentTextChar"/>
    <w:uiPriority w:val="99"/>
    <w:unhideWhenUsed/>
    <w:rsid w:val="0057743E"/>
    <w:rPr>
      <w:sz w:val="20"/>
      <w:szCs w:val="20"/>
    </w:rPr>
  </w:style>
  <w:style w:type="character" w:customStyle="1" w:styleId="CommentTextChar">
    <w:name w:val="Comment Text Char"/>
    <w:basedOn w:val="DefaultParagraphFont"/>
    <w:link w:val="CommentText"/>
    <w:uiPriority w:val="99"/>
    <w:rsid w:val="0057743E"/>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57743E"/>
    <w:rPr>
      <w:b/>
      <w:bCs/>
    </w:rPr>
  </w:style>
  <w:style w:type="character" w:customStyle="1" w:styleId="CommentSubjectChar">
    <w:name w:val="Comment Subject Char"/>
    <w:basedOn w:val="CommentTextChar"/>
    <w:link w:val="CommentSubject"/>
    <w:uiPriority w:val="99"/>
    <w:rsid w:val="0057743E"/>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57743E"/>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57743E"/>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57743E"/>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57743E"/>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57743E"/>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57743E"/>
    <w:rPr>
      <w:rFonts w:ascii="Arial" w:hAnsi="Arial"/>
      <w:lang w:val="en-GB" w:eastAsia="en-US" w:bidi="en-US"/>
    </w:rPr>
  </w:style>
  <w:style w:type="character" w:customStyle="1" w:styleId="HeaderChar1">
    <w:name w:val="Header Char1"/>
    <w:aliases w:val="FSHeader Char1"/>
    <w:basedOn w:val="DefaultParagraphFont"/>
    <w:semiHidden/>
    <w:rsid w:val="0057743E"/>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57743E"/>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57743E"/>
    <w:pPr>
      <w:spacing w:line="276" w:lineRule="auto"/>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4248">
      <w:bodyDiv w:val="1"/>
      <w:marLeft w:val="0"/>
      <w:marRight w:val="0"/>
      <w:marTop w:val="0"/>
      <w:marBottom w:val="0"/>
      <w:divBdr>
        <w:top w:val="none" w:sz="0" w:space="0" w:color="auto"/>
        <w:left w:val="none" w:sz="0" w:space="0" w:color="auto"/>
        <w:bottom w:val="none" w:sz="0" w:space="0" w:color="auto"/>
        <w:right w:val="none" w:sz="0" w:space="0" w:color="auto"/>
      </w:divBdr>
    </w:div>
    <w:div w:id="147137935">
      <w:bodyDiv w:val="1"/>
      <w:marLeft w:val="0"/>
      <w:marRight w:val="0"/>
      <w:marTop w:val="0"/>
      <w:marBottom w:val="0"/>
      <w:divBdr>
        <w:top w:val="none" w:sz="0" w:space="0" w:color="auto"/>
        <w:left w:val="none" w:sz="0" w:space="0" w:color="auto"/>
        <w:bottom w:val="none" w:sz="0" w:space="0" w:color="auto"/>
        <w:right w:val="none" w:sz="0" w:space="0" w:color="auto"/>
      </w:divBdr>
    </w:div>
    <w:div w:id="229778285">
      <w:bodyDiv w:val="1"/>
      <w:marLeft w:val="0"/>
      <w:marRight w:val="0"/>
      <w:marTop w:val="0"/>
      <w:marBottom w:val="0"/>
      <w:divBdr>
        <w:top w:val="none" w:sz="0" w:space="0" w:color="auto"/>
        <w:left w:val="none" w:sz="0" w:space="0" w:color="auto"/>
        <w:bottom w:val="none" w:sz="0" w:space="0" w:color="auto"/>
        <w:right w:val="none" w:sz="0" w:space="0" w:color="auto"/>
      </w:divBdr>
    </w:div>
    <w:div w:id="562760623">
      <w:bodyDiv w:val="1"/>
      <w:marLeft w:val="0"/>
      <w:marRight w:val="0"/>
      <w:marTop w:val="0"/>
      <w:marBottom w:val="0"/>
      <w:divBdr>
        <w:top w:val="none" w:sz="0" w:space="0" w:color="auto"/>
        <w:left w:val="none" w:sz="0" w:space="0" w:color="auto"/>
        <w:bottom w:val="none" w:sz="0" w:space="0" w:color="auto"/>
        <w:right w:val="none" w:sz="0" w:space="0" w:color="auto"/>
      </w:divBdr>
    </w:div>
    <w:div w:id="569385214">
      <w:bodyDiv w:val="1"/>
      <w:marLeft w:val="0"/>
      <w:marRight w:val="0"/>
      <w:marTop w:val="0"/>
      <w:marBottom w:val="0"/>
      <w:divBdr>
        <w:top w:val="none" w:sz="0" w:space="0" w:color="auto"/>
        <w:left w:val="none" w:sz="0" w:space="0" w:color="auto"/>
        <w:bottom w:val="none" w:sz="0" w:space="0" w:color="auto"/>
        <w:right w:val="none" w:sz="0" w:space="0" w:color="auto"/>
      </w:divBdr>
    </w:div>
    <w:div w:id="602809708">
      <w:bodyDiv w:val="1"/>
      <w:marLeft w:val="0"/>
      <w:marRight w:val="0"/>
      <w:marTop w:val="0"/>
      <w:marBottom w:val="0"/>
      <w:divBdr>
        <w:top w:val="none" w:sz="0" w:space="0" w:color="auto"/>
        <w:left w:val="none" w:sz="0" w:space="0" w:color="auto"/>
        <w:bottom w:val="none" w:sz="0" w:space="0" w:color="auto"/>
        <w:right w:val="none" w:sz="0" w:space="0" w:color="auto"/>
      </w:divBdr>
    </w:div>
    <w:div w:id="855656276">
      <w:bodyDiv w:val="1"/>
      <w:marLeft w:val="0"/>
      <w:marRight w:val="0"/>
      <w:marTop w:val="0"/>
      <w:marBottom w:val="0"/>
      <w:divBdr>
        <w:top w:val="none" w:sz="0" w:space="0" w:color="auto"/>
        <w:left w:val="none" w:sz="0" w:space="0" w:color="auto"/>
        <w:bottom w:val="none" w:sz="0" w:space="0" w:color="auto"/>
        <w:right w:val="none" w:sz="0" w:space="0" w:color="auto"/>
      </w:divBdr>
    </w:div>
    <w:div w:id="1376270112">
      <w:bodyDiv w:val="1"/>
      <w:marLeft w:val="0"/>
      <w:marRight w:val="0"/>
      <w:marTop w:val="0"/>
      <w:marBottom w:val="0"/>
      <w:divBdr>
        <w:top w:val="none" w:sz="0" w:space="0" w:color="auto"/>
        <w:left w:val="none" w:sz="0" w:space="0" w:color="auto"/>
        <w:bottom w:val="none" w:sz="0" w:space="0" w:color="auto"/>
        <w:right w:val="none" w:sz="0" w:space="0" w:color="auto"/>
      </w:divBdr>
    </w:div>
    <w:div w:id="1723751985">
      <w:bodyDiv w:val="1"/>
      <w:marLeft w:val="0"/>
      <w:marRight w:val="0"/>
      <w:marTop w:val="0"/>
      <w:marBottom w:val="0"/>
      <w:divBdr>
        <w:top w:val="none" w:sz="0" w:space="0" w:color="auto"/>
        <w:left w:val="none" w:sz="0" w:space="0" w:color="auto"/>
        <w:bottom w:val="none" w:sz="0" w:space="0" w:color="auto"/>
        <w:right w:val="none" w:sz="0" w:space="0" w:color="auto"/>
      </w:divBdr>
    </w:div>
    <w:div w:id="1726905669">
      <w:bodyDiv w:val="1"/>
      <w:marLeft w:val="0"/>
      <w:marRight w:val="0"/>
      <w:marTop w:val="0"/>
      <w:marBottom w:val="0"/>
      <w:divBdr>
        <w:top w:val="none" w:sz="0" w:space="0" w:color="auto"/>
        <w:left w:val="none" w:sz="0" w:space="0" w:color="auto"/>
        <w:bottom w:val="none" w:sz="0" w:space="0" w:color="auto"/>
        <w:right w:val="none" w:sz="0" w:space="0" w:color="auto"/>
      </w:divBdr>
    </w:div>
    <w:div w:id="189172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afood.net.au/shop" TargetMode="External"/><Relationship Id="rId18" Type="http://schemas.openxmlformats.org/officeDocument/2006/relationships/hyperlink" Target="http://www.fishnames.com.au"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www.fishnames.com.au" TargetMode="External"/><Relationship Id="rId7" Type="http://schemas.openxmlformats.org/officeDocument/2006/relationships/endnotes" Target="endnotes.xml"/><Relationship Id="rId12" Type="http://schemas.openxmlformats.org/officeDocument/2006/relationships/hyperlink" Target="http://www.inchem.org/documents/jecfa/jecmono/v042je12.htm" TargetMode="External"/><Relationship Id="rId17" Type="http://schemas.openxmlformats.org/officeDocument/2006/relationships/hyperlink" Target="http://www.seafood.net.au/shop" TargetMode="External"/><Relationship Id="rId25" Type="http://schemas.openxmlformats.org/officeDocument/2006/relationships/hyperlink" Target="http://www.nzfsa.govt.nz/animalproducts/registers-lists/approved-fish-names/"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seafood.net.au/sho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fishnames.com.a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seafood.net.au/shop"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foodsafety.govt.nz/industry/sectors/seafood/fish-names/index.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ishnames.com.au/" TargetMode="External"/><Relationship Id="rId22" Type="http://schemas.openxmlformats.org/officeDocument/2006/relationships/hyperlink" Target="http://www.foodsafety.govt.nz/industry/sectors/seafood/fish-names/index.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125</Pages>
  <Words>43904</Words>
  <Characters>250254</Characters>
  <Application>Microsoft Office Word</Application>
  <DocSecurity>0</DocSecurity>
  <Lines>2085</Lines>
  <Paragraphs>587</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293571</CharactersWithSpaces>
  <SharedDoc>false</SharedDoc>
  <HLinks>
    <vt:vector size="192" baseType="variant">
      <vt:variant>
        <vt:i4>3407978</vt:i4>
      </vt:variant>
      <vt:variant>
        <vt:i4>180</vt:i4>
      </vt:variant>
      <vt:variant>
        <vt:i4>0</vt:i4>
      </vt:variant>
      <vt:variant>
        <vt:i4>5</vt:i4>
      </vt:variant>
      <vt:variant>
        <vt:lpwstr>../../../../Standards Management/WTO/WTO Procedures for staff/WTO Procedures for staff.doc</vt:lpwstr>
      </vt:variant>
      <vt:variant>
        <vt:lpwstr/>
      </vt:variant>
      <vt:variant>
        <vt:i4>1310776</vt:i4>
      </vt:variant>
      <vt:variant>
        <vt:i4>173</vt:i4>
      </vt:variant>
      <vt:variant>
        <vt:i4>0</vt:i4>
      </vt:variant>
      <vt:variant>
        <vt:i4>5</vt:i4>
      </vt:variant>
      <vt:variant>
        <vt:lpwstr/>
      </vt:variant>
      <vt:variant>
        <vt:lpwstr>_Toc175381460</vt:lpwstr>
      </vt:variant>
      <vt:variant>
        <vt:i4>1507384</vt:i4>
      </vt:variant>
      <vt:variant>
        <vt:i4>167</vt:i4>
      </vt:variant>
      <vt:variant>
        <vt:i4>0</vt:i4>
      </vt:variant>
      <vt:variant>
        <vt:i4>5</vt:i4>
      </vt:variant>
      <vt:variant>
        <vt:lpwstr/>
      </vt:variant>
      <vt:variant>
        <vt:lpwstr>_Toc175381459</vt:lpwstr>
      </vt:variant>
      <vt:variant>
        <vt:i4>1507384</vt:i4>
      </vt:variant>
      <vt:variant>
        <vt:i4>164</vt:i4>
      </vt:variant>
      <vt:variant>
        <vt:i4>0</vt:i4>
      </vt:variant>
      <vt:variant>
        <vt:i4>5</vt:i4>
      </vt:variant>
      <vt:variant>
        <vt:lpwstr/>
      </vt:variant>
      <vt:variant>
        <vt:lpwstr>_Toc175381458</vt:lpwstr>
      </vt:variant>
      <vt:variant>
        <vt:i4>1507384</vt:i4>
      </vt:variant>
      <vt:variant>
        <vt:i4>158</vt:i4>
      </vt:variant>
      <vt:variant>
        <vt:i4>0</vt:i4>
      </vt:variant>
      <vt:variant>
        <vt:i4>5</vt:i4>
      </vt:variant>
      <vt:variant>
        <vt:lpwstr/>
      </vt:variant>
      <vt:variant>
        <vt:lpwstr>_Toc175381457</vt:lpwstr>
      </vt:variant>
      <vt:variant>
        <vt:i4>1507384</vt:i4>
      </vt:variant>
      <vt:variant>
        <vt:i4>152</vt:i4>
      </vt:variant>
      <vt:variant>
        <vt:i4>0</vt:i4>
      </vt:variant>
      <vt:variant>
        <vt:i4>5</vt:i4>
      </vt:variant>
      <vt:variant>
        <vt:lpwstr/>
      </vt:variant>
      <vt:variant>
        <vt:lpwstr>_Toc175381456</vt:lpwstr>
      </vt:variant>
      <vt:variant>
        <vt:i4>1507384</vt:i4>
      </vt:variant>
      <vt:variant>
        <vt:i4>146</vt:i4>
      </vt:variant>
      <vt:variant>
        <vt:i4>0</vt:i4>
      </vt:variant>
      <vt:variant>
        <vt:i4>5</vt:i4>
      </vt:variant>
      <vt:variant>
        <vt:lpwstr/>
      </vt:variant>
      <vt:variant>
        <vt:lpwstr>_Toc175381455</vt:lpwstr>
      </vt:variant>
      <vt:variant>
        <vt:i4>1507384</vt:i4>
      </vt:variant>
      <vt:variant>
        <vt:i4>140</vt:i4>
      </vt:variant>
      <vt:variant>
        <vt:i4>0</vt:i4>
      </vt:variant>
      <vt:variant>
        <vt:i4>5</vt:i4>
      </vt:variant>
      <vt:variant>
        <vt:lpwstr/>
      </vt:variant>
      <vt:variant>
        <vt:lpwstr>_Toc175381454</vt:lpwstr>
      </vt:variant>
      <vt:variant>
        <vt:i4>1507384</vt:i4>
      </vt:variant>
      <vt:variant>
        <vt:i4>134</vt:i4>
      </vt:variant>
      <vt:variant>
        <vt:i4>0</vt:i4>
      </vt:variant>
      <vt:variant>
        <vt:i4>5</vt:i4>
      </vt:variant>
      <vt:variant>
        <vt:lpwstr/>
      </vt:variant>
      <vt:variant>
        <vt:lpwstr>_Toc175381453</vt:lpwstr>
      </vt:variant>
      <vt:variant>
        <vt:i4>1507384</vt:i4>
      </vt:variant>
      <vt:variant>
        <vt:i4>128</vt:i4>
      </vt:variant>
      <vt:variant>
        <vt:i4>0</vt:i4>
      </vt:variant>
      <vt:variant>
        <vt:i4>5</vt:i4>
      </vt:variant>
      <vt:variant>
        <vt:lpwstr/>
      </vt:variant>
      <vt:variant>
        <vt:lpwstr>_Toc175381452</vt:lpwstr>
      </vt:variant>
      <vt:variant>
        <vt:i4>1507384</vt:i4>
      </vt:variant>
      <vt:variant>
        <vt:i4>122</vt:i4>
      </vt:variant>
      <vt:variant>
        <vt:i4>0</vt:i4>
      </vt:variant>
      <vt:variant>
        <vt:i4>5</vt:i4>
      </vt:variant>
      <vt:variant>
        <vt:lpwstr/>
      </vt:variant>
      <vt:variant>
        <vt:lpwstr>_Toc175381451</vt:lpwstr>
      </vt:variant>
      <vt:variant>
        <vt:i4>1507384</vt:i4>
      </vt:variant>
      <vt:variant>
        <vt:i4>116</vt:i4>
      </vt:variant>
      <vt:variant>
        <vt:i4>0</vt:i4>
      </vt:variant>
      <vt:variant>
        <vt:i4>5</vt:i4>
      </vt:variant>
      <vt:variant>
        <vt:lpwstr/>
      </vt:variant>
      <vt:variant>
        <vt:lpwstr>_Toc175381450</vt:lpwstr>
      </vt:variant>
      <vt:variant>
        <vt:i4>1441848</vt:i4>
      </vt:variant>
      <vt:variant>
        <vt:i4>110</vt:i4>
      </vt:variant>
      <vt:variant>
        <vt:i4>0</vt:i4>
      </vt:variant>
      <vt:variant>
        <vt:i4>5</vt:i4>
      </vt:variant>
      <vt:variant>
        <vt:lpwstr/>
      </vt:variant>
      <vt:variant>
        <vt:lpwstr>_Toc175381449</vt:lpwstr>
      </vt:variant>
      <vt:variant>
        <vt:i4>1441848</vt:i4>
      </vt:variant>
      <vt:variant>
        <vt:i4>104</vt:i4>
      </vt:variant>
      <vt:variant>
        <vt:i4>0</vt:i4>
      </vt:variant>
      <vt:variant>
        <vt:i4>5</vt:i4>
      </vt:variant>
      <vt:variant>
        <vt:lpwstr/>
      </vt:variant>
      <vt:variant>
        <vt:lpwstr>_Toc175381448</vt:lpwstr>
      </vt:variant>
      <vt:variant>
        <vt:i4>1441848</vt:i4>
      </vt:variant>
      <vt:variant>
        <vt:i4>98</vt:i4>
      </vt:variant>
      <vt:variant>
        <vt:i4>0</vt:i4>
      </vt:variant>
      <vt:variant>
        <vt:i4>5</vt:i4>
      </vt:variant>
      <vt:variant>
        <vt:lpwstr/>
      </vt:variant>
      <vt:variant>
        <vt:lpwstr>_Toc175381447</vt:lpwstr>
      </vt:variant>
      <vt:variant>
        <vt:i4>1441848</vt:i4>
      </vt:variant>
      <vt:variant>
        <vt:i4>92</vt:i4>
      </vt:variant>
      <vt:variant>
        <vt:i4>0</vt:i4>
      </vt:variant>
      <vt:variant>
        <vt:i4>5</vt:i4>
      </vt:variant>
      <vt:variant>
        <vt:lpwstr/>
      </vt:variant>
      <vt:variant>
        <vt:lpwstr>_Toc175381446</vt:lpwstr>
      </vt:variant>
      <vt:variant>
        <vt:i4>1441848</vt:i4>
      </vt:variant>
      <vt:variant>
        <vt:i4>86</vt:i4>
      </vt:variant>
      <vt:variant>
        <vt:i4>0</vt:i4>
      </vt:variant>
      <vt:variant>
        <vt:i4>5</vt:i4>
      </vt:variant>
      <vt:variant>
        <vt:lpwstr/>
      </vt:variant>
      <vt:variant>
        <vt:lpwstr>_Toc175381445</vt:lpwstr>
      </vt:variant>
      <vt:variant>
        <vt:i4>1441848</vt:i4>
      </vt:variant>
      <vt:variant>
        <vt:i4>80</vt:i4>
      </vt:variant>
      <vt:variant>
        <vt:i4>0</vt:i4>
      </vt:variant>
      <vt:variant>
        <vt:i4>5</vt:i4>
      </vt:variant>
      <vt:variant>
        <vt:lpwstr/>
      </vt:variant>
      <vt:variant>
        <vt:lpwstr>_Toc175381444</vt:lpwstr>
      </vt:variant>
      <vt:variant>
        <vt:i4>1441848</vt:i4>
      </vt:variant>
      <vt:variant>
        <vt:i4>74</vt:i4>
      </vt:variant>
      <vt:variant>
        <vt:i4>0</vt:i4>
      </vt:variant>
      <vt:variant>
        <vt:i4>5</vt:i4>
      </vt:variant>
      <vt:variant>
        <vt:lpwstr/>
      </vt:variant>
      <vt:variant>
        <vt:lpwstr>_Toc175381443</vt:lpwstr>
      </vt:variant>
      <vt:variant>
        <vt:i4>1441848</vt:i4>
      </vt:variant>
      <vt:variant>
        <vt:i4>68</vt:i4>
      </vt:variant>
      <vt:variant>
        <vt:i4>0</vt:i4>
      </vt:variant>
      <vt:variant>
        <vt:i4>5</vt:i4>
      </vt:variant>
      <vt:variant>
        <vt:lpwstr/>
      </vt:variant>
      <vt:variant>
        <vt:lpwstr>_Toc175381442</vt:lpwstr>
      </vt:variant>
      <vt:variant>
        <vt:i4>1441848</vt:i4>
      </vt:variant>
      <vt:variant>
        <vt:i4>62</vt:i4>
      </vt:variant>
      <vt:variant>
        <vt:i4>0</vt:i4>
      </vt:variant>
      <vt:variant>
        <vt:i4>5</vt:i4>
      </vt:variant>
      <vt:variant>
        <vt:lpwstr/>
      </vt:variant>
      <vt:variant>
        <vt:lpwstr>_Toc175381441</vt:lpwstr>
      </vt:variant>
      <vt:variant>
        <vt:i4>1441848</vt:i4>
      </vt:variant>
      <vt:variant>
        <vt:i4>56</vt:i4>
      </vt:variant>
      <vt:variant>
        <vt:i4>0</vt:i4>
      </vt:variant>
      <vt:variant>
        <vt:i4>5</vt:i4>
      </vt:variant>
      <vt:variant>
        <vt:lpwstr/>
      </vt:variant>
      <vt:variant>
        <vt:lpwstr>_Toc175381440</vt:lpwstr>
      </vt:variant>
      <vt:variant>
        <vt:i4>1114168</vt:i4>
      </vt:variant>
      <vt:variant>
        <vt:i4>50</vt:i4>
      </vt:variant>
      <vt:variant>
        <vt:i4>0</vt:i4>
      </vt:variant>
      <vt:variant>
        <vt:i4>5</vt:i4>
      </vt:variant>
      <vt:variant>
        <vt:lpwstr/>
      </vt:variant>
      <vt:variant>
        <vt:lpwstr>_Toc175381439</vt:lpwstr>
      </vt:variant>
      <vt:variant>
        <vt:i4>1114168</vt:i4>
      </vt:variant>
      <vt:variant>
        <vt:i4>44</vt:i4>
      </vt:variant>
      <vt:variant>
        <vt:i4>0</vt:i4>
      </vt:variant>
      <vt:variant>
        <vt:i4>5</vt:i4>
      </vt:variant>
      <vt:variant>
        <vt:lpwstr/>
      </vt:variant>
      <vt:variant>
        <vt:lpwstr>_Toc175381438</vt:lpwstr>
      </vt:variant>
      <vt:variant>
        <vt:i4>1114168</vt:i4>
      </vt:variant>
      <vt:variant>
        <vt:i4>38</vt:i4>
      </vt:variant>
      <vt:variant>
        <vt:i4>0</vt:i4>
      </vt:variant>
      <vt:variant>
        <vt:i4>5</vt:i4>
      </vt:variant>
      <vt:variant>
        <vt:lpwstr/>
      </vt:variant>
      <vt:variant>
        <vt:lpwstr>_Toc175381437</vt:lpwstr>
      </vt:variant>
      <vt:variant>
        <vt:i4>1114168</vt:i4>
      </vt:variant>
      <vt:variant>
        <vt:i4>32</vt:i4>
      </vt:variant>
      <vt:variant>
        <vt:i4>0</vt:i4>
      </vt:variant>
      <vt:variant>
        <vt:i4>5</vt:i4>
      </vt:variant>
      <vt:variant>
        <vt:lpwstr/>
      </vt:variant>
      <vt:variant>
        <vt:lpwstr>_Toc175381436</vt:lpwstr>
      </vt:variant>
      <vt:variant>
        <vt:i4>1114168</vt:i4>
      </vt:variant>
      <vt:variant>
        <vt:i4>26</vt:i4>
      </vt:variant>
      <vt:variant>
        <vt:i4>0</vt:i4>
      </vt:variant>
      <vt:variant>
        <vt:i4>5</vt:i4>
      </vt:variant>
      <vt:variant>
        <vt:lpwstr/>
      </vt:variant>
      <vt:variant>
        <vt:lpwstr>_Toc175381435</vt:lpwstr>
      </vt:variant>
      <vt:variant>
        <vt:i4>1114168</vt:i4>
      </vt:variant>
      <vt:variant>
        <vt:i4>20</vt:i4>
      </vt:variant>
      <vt:variant>
        <vt:i4>0</vt:i4>
      </vt:variant>
      <vt:variant>
        <vt:i4>5</vt:i4>
      </vt:variant>
      <vt:variant>
        <vt:lpwstr/>
      </vt:variant>
      <vt:variant>
        <vt:lpwstr>_Toc175381434</vt:lpwstr>
      </vt:variant>
      <vt:variant>
        <vt:i4>1114168</vt:i4>
      </vt:variant>
      <vt:variant>
        <vt:i4>14</vt:i4>
      </vt:variant>
      <vt:variant>
        <vt:i4>0</vt:i4>
      </vt:variant>
      <vt:variant>
        <vt:i4>5</vt:i4>
      </vt:variant>
      <vt:variant>
        <vt:lpwstr/>
      </vt:variant>
      <vt:variant>
        <vt:lpwstr>_Toc175381433</vt:lpwstr>
      </vt:variant>
      <vt:variant>
        <vt:i4>1114168</vt:i4>
      </vt:variant>
      <vt:variant>
        <vt:i4>8</vt:i4>
      </vt:variant>
      <vt:variant>
        <vt:i4>0</vt:i4>
      </vt:variant>
      <vt:variant>
        <vt:i4>5</vt:i4>
      </vt:variant>
      <vt:variant>
        <vt:lpwstr/>
      </vt:variant>
      <vt:variant>
        <vt:lpwstr>_Toc175381432</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Tracey Cridge</dc:creator>
  <cp:lastModifiedBy>Humphries, Cathie</cp:lastModifiedBy>
  <cp:revision>21</cp:revision>
  <cp:lastPrinted>2011-05-06T07:16:00Z</cp:lastPrinted>
  <dcterms:created xsi:type="dcterms:W3CDTF">2011-05-04T04:54:00Z</dcterms:created>
  <dcterms:modified xsi:type="dcterms:W3CDTF">2011-07-04T04:49:00Z</dcterms:modified>
</cp:coreProperties>
</file>