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C2" w:rsidRPr="0000674E" w:rsidRDefault="006E55C2">
      <w:pPr>
        <w:jc w:val="center"/>
      </w:pPr>
    </w:p>
    <w:p w:rsidR="006E55C2" w:rsidRPr="0000674E" w:rsidRDefault="006E55C2">
      <w:pPr>
        <w:jc w:val="center"/>
        <w:rPr>
          <w:b/>
        </w:rPr>
      </w:pPr>
      <w:r w:rsidRPr="0000674E">
        <w:rPr>
          <w:b/>
        </w:rPr>
        <w:t xml:space="preserve">EXPLANATORY STATEMENT </w:t>
      </w:r>
    </w:p>
    <w:p w:rsidR="006E55C2" w:rsidRPr="0000674E" w:rsidRDefault="006E55C2">
      <w:pPr>
        <w:ind w:left="1134" w:hanging="1134"/>
        <w:rPr>
          <w:b/>
        </w:rPr>
      </w:pPr>
    </w:p>
    <w:p w:rsidR="006E55C2" w:rsidRPr="0000674E" w:rsidRDefault="006E55C2">
      <w:pPr>
        <w:ind w:left="1134" w:hanging="1134"/>
        <w:rPr>
          <w:b/>
          <w:i/>
        </w:rPr>
      </w:pPr>
      <w:r w:rsidRPr="0000674E">
        <w:rPr>
          <w:b/>
        </w:rPr>
        <w:t>Subject</w:t>
      </w:r>
      <w:r w:rsidR="00374D4F">
        <w:rPr>
          <w:b/>
        </w:rPr>
        <w:t>:</w:t>
      </w:r>
      <w:r w:rsidR="00374D4F">
        <w:rPr>
          <w:b/>
        </w:rPr>
        <w:tab/>
        <w:t xml:space="preserve">THERAPEUTIC GOODS ORDER NO. </w:t>
      </w:r>
      <w:r w:rsidR="00B15D9F">
        <w:rPr>
          <w:b/>
        </w:rPr>
        <w:t>84</w:t>
      </w:r>
      <w:r w:rsidRPr="0000674E">
        <w:rPr>
          <w:b/>
        </w:rPr>
        <w:t xml:space="preserve"> –</w:t>
      </w:r>
      <w:r w:rsidR="007A6E3F" w:rsidRPr="0000674E">
        <w:rPr>
          <w:b/>
        </w:rPr>
        <w:t xml:space="preserve"> </w:t>
      </w:r>
      <w:r w:rsidRPr="0000674E">
        <w:rPr>
          <w:b/>
          <w:i/>
        </w:rPr>
        <w:t>STANDARDS</w:t>
      </w:r>
      <w:r w:rsidR="007A6E3F" w:rsidRPr="0000674E">
        <w:rPr>
          <w:b/>
          <w:i/>
        </w:rPr>
        <w:t xml:space="preserve"> </w:t>
      </w:r>
      <w:r w:rsidR="001A6FEC">
        <w:rPr>
          <w:b/>
          <w:i/>
        </w:rPr>
        <w:t xml:space="preserve">FOR </w:t>
      </w:r>
      <w:r w:rsidR="00374D4F">
        <w:rPr>
          <w:b/>
          <w:i/>
          <w:szCs w:val="24"/>
        </w:rPr>
        <w:t xml:space="preserve">HUMAN </w:t>
      </w:r>
      <w:r w:rsidR="00F539EA">
        <w:rPr>
          <w:b/>
          <w:i/>
          <w:szCs w:val="24"/>
        </w:rPr>
        <w:t>CARDIOVASCULAR</w:t>
      </w:r>
      <w:r w:rsidR="006F124E">
        <w:rPr>
          <w:b/>
          <w:i/>
          <w:szCs w:val="24"/>
        </w:rPr>
        <w:t xml:space="preserve"> </w:t>
      </w:r>
      <w:r w:rsidR="00640BAD">
        <w:rPr>
          <w:b/>
          <w:i/>
          <w:szCs w:val="24"/>
        </w:rPr>
        <w:t xml:space="preserve">TISSUE </w:t>
      </w:r>
    </w:p>
    <w:p w:rsidR="006E55C2" w:rsidRPr="0000674E" w:rsidRDefault="006E55C2">
      <w:pPr>
        <w:rPr>
          <w:b/>
        </w:rPr>
      </w:pPr>
    </w:p>
    <w:p w:rsidR="006E55C2" w:rsidRPr="0000674E" w:rsidRDefault="006E55C2">
      <w:pPr>
        <w:pStyle w:val="Heading5"/>
      </w:pPr>
      <w:r w:rsidRPr="0000674E">
        <w:t>Section 10, Therapeutic Goods Act 1989</w:t>
      </w:r>
    </w:p>
    <w:p w:rsidR="004D433B" w:rsidRPr="0000674E" w:rsidRDefault="004D433B">
      <w:pPr>
        <w:rPr>
          <w:b/>
        </w:rPr>
      </w:pPr>
    </w:p>
    <w:p w:rsidR="006E55C2" w:rsidRPr="0000674E" w:rsidRDefault="006E55C2">
      <w:pPr>
        <w:pStyle w:val="Heading3"/>
      </w:pPr>
      <w:r w:rsidRPr="0000674E">
        <w:t>OUTLINE</w:t>
      </w:r>
    </w:p>
    <w:p w:rsidR="006E55C2" w:rsidRPr="00826832" w:rsidRDefault="009D4B43">
      <w:r>
        <w:t xml:space="preserve">Therapeutic Goods Order No. </w:t>
      </w:r>
      <w:r w:rsidR="00B15D9F">
        <w:t>84</w:t>
      </w:r>
      <w:r w:rsidR="006E55C2" w:rsidRPr="0000674E">
        <w:t xml:space="preserve"> </w:t>
      </w:r>
      <w:r w:rsidR="006E55C2" w:rsidRPr="0000674E">
        <w:rPr>
          <w:i/>
        </w:rPr>
        <w:t xml:space="preserve">Standards </w:t>
      </w:r>
      <w:r w:rsidR="006E55C2" w:rsidRPr="00374D4F">
        <w:rPr>
          <w:i/>
          <w:szCs w:val="24"/>
        </w:rPr>
        <w:t xml:space="preserve">for </w:t>
      </w:r>
      <w:r w:rsidR="00C02ED8">
        <w:rPr>
          <w:i/>
          <w:szCs w:val="24"/>
        </w:rPr>
        <w:t>h</w:t>
      </w:r>
      <w:r w:rsidR="00374D4F" w:rsidRPr="00374D4F">
        <w:rPr>
          <w:i/>
          <w:szCs w:val="24"/>
        </w:rPr>
        <w:t xml:space="preserve">uman </w:t>
      </w:r>
      <w:r w:rsidR="00C02ED8">
        <w:rPr>
          <w:i/>
          <w:szCs w:val="24"/>
        </w:rPr>
        <w:t>c</w:t>
      </w:r>
      <w:r w:rsidR="00F539EA">
        <w:rPr>
          <w:i/>
          <w:szCs w:val="24"/>
        </w:rPr>
        <w:t>ardiovascular</w:t>
      </w:r>
      <w:r w:rsidR="00374D4F" w:rsidRPr="00374D4F">
        <w:rPr>
          <w:i/>
          <w:szCs w:val="24"/>
        </w:rPr>
        <w:t xml:space="preserve"> </w:t>
      </w:r>
      <w:r w:rsidR="00C02ED8">
        <w:rPr>
          <w:i/>
          <w:szCs w:val="24"/>
        </w:rPr>
        <w:t>t</w:t>
      </w:r>
      <w:r w:rsidR="00374D4F" w:rsidRPr="00374D4F">
        <w:rPr>
          <w:i/>
          <w:szCs w:val="24"/>
        </w:rPr>
        <w:t>issue</w:t>
      </w:r>
      <w:r w:rsidR="00374D4F">
        <w:rPr>
          <w:b/>
          <w:i/>
          <w:szCs w:val="24"/>
        </w:rPr>
        <w:t xml:space="preserve"> </w:t>
      </w:r>
      <w:r>
        <w:t>(</w:t>
      </w:r>
      <w:proofErr w:type="spellStart"/>
      <w:r>
        <w:t>TGO</w:t>
      </w:r>
      <w:proofErr w:type="spellEnd"/>
      <w:r>
        <w:t xml:space="preserve"> </w:t>
      </w:r>
      <w:r w:rsidR="00B15D9F">
        <w:t>84</w:t>
      </w:r>
      <w:r w:rsidR="006E55C2" w:rsidRPr="0000674E">
        <w:t xml:space="preserve">) is an Order made by the delegate of the Minister for Health and Ageing under section 10 of the </w:t>
      </w:r>
      <w:r w:rsidR="006E55C2" w:rsidRPr="0000674E">
        <w:rPr>
          <w:i/>
        </w:rPr>
        <w:t xml:space="preserve">Therapeutic Goods Act 1989 </w:t>
      </w:r>
      <w:r w:rsidR="006E55C2" w:rsidRPr="0000674E">
        <w:t>(the Act)</w:t>
      </w:r>
      <w:r w:rsidR="006E55C2" w:rsidRPr="0000674E">
        <w:rPr>
          <w:i/>
        </w:rPr>
        <w:t>.</w:t>
      </w:r>
    </w:p>
    <w:p w:rsidR="006E55C2" w:rsidRPr="0000674E" w:rsidRDefault="006E55C2">
      <w:pPr>
        <w:rPr>
          <w:i/>
        </w:rPr>
      </w:pPr>
    </w:p>
    <w:p w:rsidR="001A6F34" w:rsidRPr="0000674E" w:rsidRDefault="00374D4F">
      <w:proofErr w:type="spellStart"/>
      <w:r>
        <w:t>TGO</w:t>
      </w:r>
      <w:proofErr w:type="spellEnd"/>
      <w:r>
        <w:t xml:space="preserve"> </w:t>
      </w:r>
      <w:r w:rsidR="00B15D9F">
        <w:t>84</w:t>
      </w:r>
      <w:r w:rsidR="006E55C2" w:rsidRPr="0000674E">
        <w:t xml:space="preserve"> </w:t>
      </w:r>
      <w:r w:rsidR="00F772D1">
        <w:t xml:space="preserve">determines that the matters specified in the instrument constitute the standards applying </w:t>
      </w:r>
      <w:r w:rsidR="00A919BB">
        <w:t xml:space="preserve">to </w:t>
      </w:r>
      <w:r w:rsidR="00640BAD">
        <w:t xml:space="preserve">biologicals that are </w:t>
      </w:r>
      <w:r w:rsidR="00A919BB">
        <w:t xml:space="preserve">human </w:t>
      </w:r>
      <w:r w:rsidR="00F539EA">
        <w:t>cardiovascular</w:t>
      </w:r>
      <w:r w:rsidR="00A919BB">
        <w:t xml:space="preserve"> tissue</w:t>
      </w:r>
      <w:r w:rsidR="00640BAD">
        <w:t xml:space="preserve">.  </w:t>
      </w:r>
      <w:proofErr w:type="spellStart"/>
      <w:r w:rsidR="00640BAD">
        <w:t>TGO</w:t>
      </w:r>
      <w:proofErr w:type="spellEnd"/>
      <w:r w:rsidR="00640BAD">
        <w:t xml:space="preserve"> </w:t>
      </w:r>
      <w:r w:rsidR="00B15D9F">
        <w:t>84</w:t>
      </w:r>
      <w:r w:rsidR="00640BAD">
        <w:t xml:space="preserve"> specifies a number of </w:t>
      </w:r>
      <w:r w:rsidR="005E6B4A">
        <w:t>important</w:t>
      </w:r>
      <w:r w:rsidR="00640BAD">
        <w:t xml:space="preserve"> requirements relating to human </w:t>
      </w:r>
      <w:r w:rsidR="00F539EA">
        <w:t>cardiovascular</w:t>
      </w:r>
      <w:r w:rsidR="00640BAD">
        <w:t xml:space="preserve"> tissue</w:t>
      </w:r>
      <w:r>
        <w:t>.</w:t>
      </w:r>
    </w:p>
    <w:p w:rsidR="006E55C2" w:rsidRPr="0000674E" w:rsidRDefault="006E55C2"/>
    <w:p w:rsidR="006E55C2" w:rsidRPr="0000674E" w:rsidRDefault="009D4B43">
      <w:proofErr w:type="spellStart"/>
      <w:r>
        <w:t>TGO</w:t>
      </w:r>
      <w:proofErr w:type="spellEnd"/>
      <w:r>
        <w:t xml:space="preserve"> </w:t>
      </w:r>
      <w:r w:rsidR="00A618EA">
        <w:t>84</w:t>
      </w:r>
      <w:r w:rsidR="00B4684E">
        <w:t xml:space="preserve"> </w:t>
      </w:r>
      <w:r w:rsidR="006E55C2" w:rsidRPr="0000674E">
        <w:t>comme</w:t>
      </w:r>
      <w:r>
        <w:t>nce</w:t>
      </w:r>
      <w:r w:rsidR="00A77BC5">
        <w:t>s</w:t>
      </w:r>
      <w:r>
        <w:t xml:space="preserve"> on</w:t>
      </w:r>
      <w:r w:rsidR="00A77BC5">
        <w:t xml:space="preserve"> 31 May 2012</w:t>
      </w:r>
      <w:r w:rsidR="00BD26F9">
        <w:t>. This will allow a transition period for manufacturers to achieve compliance with the standards</w:t>
      </w:r>
      <w:r w:rsidR="006E55C2" w:rsidRPr="0000674E">
        <w:t>.</w:t>
      </w:r>
    </w:p>
    <w:p w:rsidR="006E55C2" w:rsidRPr="0000674E" w:rsidRDefault="006E55C2"/>
    <w:p w:rsidR="006E55C2" w:rsidRPr="0000674E" w:rsidRDefault="006E55C2">
      <w:pPr>
        <w:pStyle w:val="Heading3"/>
      </w:pPr>
      <w:r w:rsidRPr="0000674E">
        <w:t>BACKGROUND</w:t>
      </w:r>
    </w:p>
    <w:p w:rsidR="006E55C2" w:rsidRPr="0000674E" w:rsidRDefault="006E55C2">
      <w:r w:rsidRPr="0000674E">
        <w:t>The Act provides for the establishment and maintenance of a national system of controls relating to the quality, safety, efficacy and timely availability of therapeutic goods for use in humans.  The Therapeutic Goods Administration (TGA) is responsible for administering the Act.</w:t>
      </w:r>
    </w:p>
    <w:p w:rsidR="006E55C2" w:rsidRPr="0000674E" w:rsidRDefault="006E55C2"/>
    <w:p w:rsidR="006E55C2" w:rsidRPr="0000674E" w:rsidRDefault="006E55C2">
      <w:r w:rsidRPr="0000674E">
        <w:t xml:space="preserve">Section 10 of the Act </w:t>
      </w:r>
      <w:r w:rsidR="00640BAD">
        <w:t xml:space="preserve">authorises </w:t>
      </w:r>
      <w:r w:rsidRPr="0000674E">
        <w:t>the Minister, or the Minister's delegate,  to determine standards for therapeutic goods, or to amend or revoke existing standards, after consultation with the Therapeutic Goods Committee</w:t>
      </w:r>
      <w:r w:rsidR="006119B5">
        <w:t xml:space="preserve"> (</w:t>
      </w:r>
      <w:proofErr w:type="spellStart"/>
      <w:r w:rsidR="006119B5">
        <w:t>TGC</w:t>
      </w:r>
      <w:proofErr w:type="spellEnd"/>
      <w:r w:rsidR="006119B5">
        <w:t>)</w:t>
      </w:r>
      <w:r w:rsidRPr="0000674E">
        <w:t xml:space="preserve">, a committee established </w:t>
      </w:r>
      <w:r w:rsidR="00057079">
        <w:t>under</w:t>
      </w:r>
      <w:r w:rsidRPr="0000674E">
        <w:t xml:space="preserve"> the </w:t>
      </w:r>
      <w:r w:rsidRPr="001624C1">
        <w:t>Therapeutic Goods Regulations 1990</w:t>
      </w:r>
      <w:r w:rsidRPr="0000674E">
        <w:t xml:space="preserve"> (the Regulations) to advise the Minister on </w:t>
      </w:r>
      <w:r w:rsidR="00640BAD">
        <w:t xml:space="preserve">matters relating to </w:t>
      </w:r>
      <w:r w:rsidRPr="0000674E">
        <w:t>standards.</w:t>
      </w:r>
    </w:p>
    <w:p w:rsidR="006E55C2" w:rsidRDefault="006E55C2"/>
    <w:p w:rsidR="009D4B43" w:rsidRDefault="004D6016">
      <w:r>
        <w:t xml:space="preserve">Unless consent is granted by the Secretary under section 14 </w:t>
      </w:r>
      <w:r w:rsidR="002E72F6">
        <w:t>and</w:t>
      </w:r>
      <w:r>
        <w:t xml:space="preserve"> 14A of the Act, t</w:t>
      </w:r>
      <w:r w:rsidR="009D4B43">
        <w:t>herapeutic goods imported into Australia, supplied in Australia or exported from Australia</w:t>
      </w:r>
      <w:r>
        <w:t xml:space="preserve"> must</w:t>
      </w:r>
      <w:r w:rsidR="009D4B43">
        <w:t xml:space="preserve"> comply with applicable standard</w:t>
      </w:r>
      <w:r w:rsidR="002E72F6">
        <w:t>s</w:t>
      </w:r>
      <w:r w:rsidR="009D4B43">
        <w:t>.</w:t>
      </w:r>
    </w:p>
    <w:p w:rsidR="00C45C42" w:rsidRDefault="00C45C42"/>
    <w:p w:rsidR="0025038C" w:rsidRDefault="0025038C" w:rsidP="0025038C">
      <w:r>
        <w:t xml:space="preserve">A number of new provisions have been added to </w:t>
      </w:r>
      <w:r w:rsidR="00073D83">
        <w:t>t</w:t>
      </w:r>
      <w:r>
        <w:t xml:space="preserve">he </w:t>
      </w:r>
      <w:r w:rsidRPr="00147E8C">
        <w:rPr>
          <w:i/>
        </w:rPr>
        <w:t xml:space="preserve">Therapeutic Goods </w:t>
      </w:r>
      <w:r>
        <w:rPr>
          <w:i/>
        </w:rPr>
        <w:t xml:space="preserve">Act 1989 </w:t>
      </w:r>
      <w:r w:rsidRPr="00DA7AFC">
        <w:t>(the Act)</w:t>
      </w:r>
      <w:r>
        <w:rPr>
          <w:i/>
        </w:rPr>
        <w:t xml:space="preserve"> </w:t>
      </w:r>
      <w:r w:rsidRPr="00DA7AFC">
        <w:t>and the Regulations</w:t>
      </w:r>
      <w:r>
        <w:rPr>
          <w:i/>
        </w:rPr>
        <w:t xml:space="preserve"> </w:t>
      </w:r>
      <w:r>
        <w:t xml:space="preserve">to establish and implement a new regulatory framework for biologicals. </w:t>
      </w:r>
      <w:r w:rsidR="007C314E">
        <w:t xml:space="preserve"> </w:t>
      </w:r>
      <w:r>
        <w:t xml:space="preserve">The new regulatory scheme </w:t>
      </w:r>
      <w:r w:rsidR="007C314E">
        <w:t xml:space="preserve">for biologicals </w:t>
      </w:r>
      <w:r>
        <w:t>commenced on 31 May 2011.</w:t>
      </w:r>
    </w:p>
    <w:p w:rsidR="0025038C" w:rsidRDefault="0025038C" w:rsidP="0025038C"/>
    <w:p w:rsidR="00754653" w:rsidRDefault="005A0C93" w:rsidP="0000674E">
      <w:r>
        <w:t>Human tissue products</w:t>
      </w:r>
      <w:r w:rsidR="006F7ACD">
        <w:t xml:space="preserve">, including human </w:t>
      </w:r>
      <w:r w:rsidR="00F539EA">
        <w:t>cardiovascular</w:t>
      </w:r>
      <w:r w:rsidR="006F7ACD">
        <w:t xml:space="preserve"> tissue,</w:t>
      </w:r>
      <w:r>
        <w:t xml:space="preserve"> are </w:t>
      </w:r>
      <w:r w:rsidR="006F7ACD">
        <w:t>biologicals and are covered</w:t>
      </w:r>
      <w:r>
        <w:t xml:space="preserve"> by the new </w:t>
      </w:r>
      <w:r w:rsidR="006F7ACD">
        <w:t xml:space="preserve">regulatory </w:t>
      </w:r>
      <w:r w:rsidR="00624054">
        <w:t>framework for biologicals</w:t>
      </w:r>
      <w:r>
        <w:t>.</w:t>
      </w:r>
      <w:r w:rsidR="00C43CEE">
        <w:t xml:space="preserve">  </w:t>
      </w:r>
      <w:r w:rsidR="00624054">
        <w:t>Prior to commencement of the biologicals regulatory framework, m</w:t>
      </w:r>
      <w:r w:rsidR="002562E9">
        <w:t xml:space="preserve">anufacturers of human tissue, including </w:t>
      </w:r>
      <w:r w:rsidR="00F539EA">
        <w:t>cardiovascular</w:t>
      </w:r>
      <w:r w:rsidR="002562E9">
        <w:t xml:space="preserve"> tissue, </w:t>
      </w:r>
      <w:r w:rsidR="00624054">
        <w:t>were</w:t>
      </w:r>
      <w:r w:rsidR="002562E9">
        <w:t xml:space="preserve"> required to hold a manufacturing licence</w:t>
      </w:r>
      <w:r w:rsidR="005D626E">
        <w:t>,</w:t>
      </w:r>
      <w:r w:rsidR="002562E9">
        <w:t xml:space="preserve"> but </w:t>
      </w:r>
      <w:r w:rsidR="006F7ACD">
        <w:t xml:space="preserve">such products </w:t>
      </w:r>
      <w:r w:rsidR="00624054">
        <w:t xml:space="preserve">were </w:t>
      </w:r>
      <w:r w:rsidR="002562E9">
        <w:t xml:space="preserve">exempt from the requirement to be included </w:t>
      </w:r>
      <w:r w:rsidR="006F7ACD">
        <w:t>i</w:t>
      </w:r>
      <w:r w:rsidR="002562E9">
        <w:t xml:space="preserve">n the Australian Register of Therapeutic Goods (the Register). </w:t>
      </w:r>
      <w:r w:rsidR="005D626E">
        <w:t xml:space="preserve"> </w:t>
      </w:r>
    </w:p>
    <w:p w:rsidR="00754653" w:rsidRDefault="00754653" w:rsidP="0000674E"/>
    <w:p w:rsidR="002562E9" w:rsidRDefault="00624054" w:rsidP="0000674E">
      <w:r>
        <w:t>Under the new regulatory framework,</w:t>
      </w:r>
      <w:r w:rsidR="00A06BE9">
        <w:t xml:space="preserve"> </w:t>
      </w:r>
      <w:r w:rsidR="00754653">
        <w:t xml:space="preserve">human tissue </w:t>
      </w:r>
      <w:r w:rsidR="00A06BE9">
        <w:t xml:space="preserve">products are required to be included in the Register, </w:t>
      </w:r>
      <w:r w:rsidR="00DE7BCD">
        <w:t>as biologicals.  For those human tissue products (including those that are human cardiovascular tissue) that are classified under the Regulations as being class 2, 3 or 4 biologicals (the Regulations specify and define 4 classes of biologicals),</w:t>
      </w:r>
      <w:r w:rsidR="00B87BE0">
        <w:t xml:space="preserve"> </w:t>
      </w:r>
      <w:r>
        <w:t>c</w:t>
      </w:r>
      <w:r w:rsidRPr="001442EB">
        <w:rPr>
          <w:szCs w:val="24"/>
        </w:rPr>
        <w:t xml:space="preserve">ompliance with </w:t>
      </w:r>
      <w:r w:rsidR="006F7ACD">
        <w:rPr>
          <w:szCs w:val="24"/>
        </w:rPr>
        <w:lastRenderedPageBreak/>
        <w:t>applicable</w:t>
      </w:r>
      <w:r w:rsidRPr="001442EB">
        <w:rPr>
          <w:szCs w:val="24"/>
        </w:rPr>
        <w:t xml:space="preserve"> standards must be demonstrated as part of the evaluation process</w:t>
      </w:r>
      <w:r w:rsidR="00DE7BCD">
        <w:rPr>
          <w:szCs w:val="24"/>
        </w:rPr>
        <w:t xml:space="preserve"> in relation to suitability for inclusion in the Register</w:t>
      </w:r>
      <w:r w:rsidR="00A06BE9">
        <w:rPr>
          <w:szCs w:val="24"/>
        </w:rPr>
        <w:t xml:space="preserve">.  </w:t>
      </w:r>
      <w:r w:rsidR="00F5413E">
        <w:rPr>
          <w:szCs w:val="24"/>
        </w:rPr>
        <w:t>A</w:t>
      </w:r>
      <w:r w:rsidR="001C0464">
        <w:rPr>
          <w:szCs w:val="24"/>
        </w:rPr>
        <w:t>pplicants for inclusion of class 1 biologicals in the Register must certify that the biological conforms to every standard (if any) applicable to it</w:t>
      </w:r>
      <w:r>
        <w:rPr>
          <w:szCs w:val="24"/>
        </w:rPr>
        <w:t>.</w:t>
      </w:r>
    </w:p>
    <w:p w:rsidR="002562E9" w:rsidRDefault="002562E9" w:rsidP="0000674E"/>
    <w:p w:rsidR="001C0464" w:rsidRDefault="00E63C95" w:rsidP="001C0464">
      <w:pPr>
        <w:pStyle w:val="NormalWeb"/>
      </w:pPr>
      <w:proofErr w:type="spellStart"/>
      <w:r>
        <w:t>TGO</w:t>
      </w:r>
      <w:proofErr w:type="spellEnd"/>
      <w:r>
        <w:t xml:space="preserve"> </w:t>
      </w:r>
      <w:r w:rsidR="00DE7BCD">
        <w:t>84</w:t>
      </w:r>
      <w:r>
        <w:t xml:space="preserve"> is a new standard made under section 10 of the Act</w:t>
      </w:r>
      <w:r w:rsidR="001C0464">
        <w:t>,</w:t>
      </w:r>
      <w:r>
        <w:t xml:space="preserve"> and </w:t>
      </w:r>
      <w:r w:rsidRPr="001442EB">
        <w:t xml:space="preserve">applies to human </w:t>
      </w:r>
      <w:r w:rsidR="00F539EA">
        <w:t>cardiovascular</w:t>
      </w:r>
      <w:r w:rsidR="001C0464">
        <w:t xml:space="preserve"> </w:t>
      </w:r>
      <w:r w:rsidRPr="001442EB">
        <w:t xml:space="preserve">tissue </w:t>
      </w:r>
      <w:r w:rsidRPr="00526F17">
        <w:t>such as</w:t>
      </w:r>
      <w:r w:rsidR="00F67594" w:rsidRPr="00526F17">
        <w:t xml:space="preserve"> </w:t>
      </w:r>
      <w:r w:rsidR="0014571F" w:rsidRPr="00526F17">
        <w:t xml:space="preserve">heart valves and vascular tissue grafts </w:t>
      </w:r>
      <w:r w:rsidRPr="00526F17">
        <w:t xml:space="preserve">collected from living and deceased </w:t>
      </w:r>
      <w:r w:rsidR="001C0464" w:rsidRPr="00526F17">
        <w:t xml:space="preserve">human </w:t>
      </w:r>
      <w:r w:rsidRPr="00526F17">
        <w:t>donors.</w:t>
      </w:r>
    </w:p>
    <w:p w:rsidR="00D11C17" w:rsidRDefault="00E63C95" w:rsidP="00571749">
      <w:pPr>
        <w:pStyle w:val="NormalWeb"/>
      </w:pPr>
      <w:proofErr w:type="spellStart"/>
      <w:r>
        <w:t>T</w:t>
      </w:r>
      <w:r w:rsidR="001C0464">
        <w:t>GO</w:t>
      </w:r>
      <w:proofErr w:type="spellEnd"/>
      <w:r w:rsidR="001C0464">
        <w:t xml:space="preserve"> </w:t>
      </w:r>
      <w:r w:rsidR="00E96D08">
        <w:t>84</w:t>
      </w:r>
      <w:r>
        <w:t xml:space="preserve"> specifies the minimum technical requirements </w:t>
      </w:r>
      <w:r w:rsidR="00B6031C">
        <w:t>that are considered necessary in relation</w:t>
      </w:r>
      <w:r>
        <w:t xml:space="preserve"> </w:t>
      </w:r>
      <w:r w:rsidR="00B6031C">
        <w:t xml:space="preserve">to </w:t>
      </w:r>
      <w:r>
        <w:t xml:space="preserve">the safety and quality </w:t>
      </w:r>
      <w:r w:rsidR="00B6031C">
        <w:t>of</w:t>
      </w:r>
      <w:r>
        <w:t xml:space="preserve"> human </w:t>
      </w:r>
      <w:r w:rsidR="00F539EA">
        <w:t>cardiovascular</w:t>
      </w:r>
      <w:r>
        <w:t xml:space="preserve"> tissue</w:t>
      </w:r>
      <w:r w:rsidR="006054A5" w:rsidRPr="0077252A">
        <w:t>.</w:t>
      </w:r>
    </w:p>
    <w:p w:rsidR="00571749" w:rsidRPr="00571749" w:rsidRDefault="00E63C95" w:rsidP="00571749">
      <w:pPr>
        <w:pStyle w:val="NormalWeb"/>
      </w:pPr>
      <w:r w:rsidRPr="0077252A">
        <w:t>The technical requirements s</w:t>
      </w:r>
      <w:r w:rsidR="00344A6C" w:rsidRPr="0077252A">
        <w:t>et out</w:t>
      </w:r>
      <w:r w:rsidRPr="0077252A">
        <w:t xml:space="preserve"> in </w:t>
      </w:r>
      <w:proofErr w:type="spellStart"/>
      <w:r w:rsidR="00D538EB" w:rsidRPr="0077252A">
        <w:t>TGO</w:t>
      </w:r>
      <w:proofErr w:type="spellEnd"/>
      <w:r w:rsidR="00D538EB" w:rsidRPr="0077252A">
        <w:t xml:space="preserve"> </w:t>
      </w:r>
      <w:r w:rsidR="00B218ED">
        <w:t>84</w:t>
      </w:r>
      <w:r w:rsidR="00D538EB" w:rsidRPr="0077252A">
        <w:t xml:space="preserve"> </w:t>
      </w:r>
      <w:r w:rsidRPr="0077252A">
        <w:t xml:space="preserve">include requirements </w:t>
      </w:r>
      <w:r w:rsidR="005F10D8" w:rsidRPr="0077252A">
        <w:t>relating to</w:t>
      </w:r>
      <w:r w:rsidRPr="0077252A">
        <w:t xml:space="preserve"> the</w:t>
      </w:r>
      <w:r>
        <w:t xml:space="preserve"> </w:t>
      </w:r>
      <w:r w:rsidRPr="001442EB">
        <w:t xml:space="preserve">collection, </w:t>
      </w:r>
      <w:r w:rsidR="00C91FB9">
        <w:t>processing</w:t>
      </w:r>
      <w:r w:rsidR="00B218ED">
        <w:t xml:space="preserve"> and </w:t>
      </w:r>
      <w:r w:rsidRPr="001442EB">
        <w:t>storage conditions</w:t>
      </w:r>
      <w:r>
        <w:t xml:space="preserve"> </w:t>
      </w:r>
      <w:r w:rsidR="00D11C17">
        <w:t xml:space="preserve">of </w:t>
      </w:r>
      <w:r w:rsidR="005F10D8">
        <w:t xml:space="preserve">such </w:t>
      </w:r>
      <w:r>
        <w:t>tissues.</w:t>
      </w:r>
      <w:r w:rsidR="00571749">
        <w:t xml:space="preserve"> </w:t>
      </w:r>
      <w:r w:rsidR="00B218ED">
        <w:t xml:space="preserve"> </w:t>
      </w:r>
      <w:r w:rsidR="00571749">
        <w:t xml:space="preserve">In addition, </w:t>
      </w:r>
      <w:proofErr w:type="spellStart"/>
      <w:r w:rsidR="005F10D8" w:rsidRPr="00A62156">
        <w:t>TGO</w:t>
      </w:r>
      <w:proofErr w:type="spellEnd"/>
      <w:r w:rsidR="005F10D8" w:rsidRPr="00A62156">
        <w:t xml:space="preserve"> </w:t>
      </w:r>
      <w:r w:rsidR="00B218ED">
        <w:t>84</w:t>
      </w:r>
      <w:r w:rsidR="005F10D8" w:rsidRPr="00A62156">
        <w:t xml:space="preserve"> </w:t>
      </w:r>
      <w:r w:rsidR="00571749" w:rsidRPr="00571749">
        <w:t xml:space="preserve">specifies the criteria that must be met in terms of microbial testing </w:t>
      </w:r>
      <w:r w:rsidR="00B218ED">
        <w:t>of human cardiovascular tissue</w:t>
      </w:r>
      <w:r w:rsidR="00230EF4" w:rsidRPr="00230EF4">
        <w:t xml:space="preserve"> </w:t>
      </w:r>
      <w:r w:rsidR="00230EF4">
        <w:t>for suitability for use in a recipient</w:t>
      </w:r>
      <w:r w:rsidR="00017A55">
        <w:t xml:space="preserve">. </w:t>
      </w:r>
      <w:r w:rsidR="00752907">
        <w:t xml:space="preserve">For example, </w:t>
      </w:r>
      <w:r w:rsidR="00A700F6">
        <w:t>once removed from a donor, human</w:t>
      </w:r>
      <w:r w:rsidR="00571749">
        <w:t xml:space="preserve"> </w:t>
      </w:r>
      <w:r w:rsidR="00F539EA">
        <w:t>cardiovascular</w:t>
      </w:r>
      <w:r w:rsidR="00571749">
        <w:t xml:space="preserve"> tissue </w:t>
      </w:r>
      <w:r w:rsidR="00017A55">
        <w:t xml:space="preserve">can be </w:t>
      </w:r>
      <w:r w:rsidR="00A700F6">
        <w:t>treated to remove microorganisms (</w:t>
      </w:r>
      <w:proofErr w:type="spellStart"/>
      <w:r w:rsidR="00A700F6">
        <w:t>bioburden</w:t>
      </w:r>
      <w:proofErr w:type="spellEnd"/>
      <w:r w:rsidR="00A700F6">
        <w:t xml:space="preserve"> reduction), such as through irradiation or soaking </w:t>
      </w:r>
      <w:r w:rsidR="00D4154D">
        <w:t xml:space="preserve">in </w:t>
      </w:r>
      <w:r w:rsidR="00A700F6">
        <w:t xml:space="preserve">an </w:t>
      </w:r>
      <w:r w:rsidR="00D4154D">
        <w:t>antibiotic solution</w:t>
      </w:r>
      <w:r w:rsidR="00017A55">
        <w:t xml:space="preserve">, but </w:t>
      </w:r>
      <w:r w:rsidR="00390DB4">
        <w:t xml:space="preserve">it </w:t>
      </w:r>
      <w:r w:rsidR="003307E8">
        <w:t xml:space="preserve">must </w:t>
      </w:r>
      <w:r w:rsidR="00390DB4">
        <w:t xml:space="preserve">always </w:t>
      </w:r>
      <w:r w:rsidR="003307E8">
        <w:t>be free of any microbial growth</w:t>
      </w:r>
      <w:r w:rsidR="00017A55">
        <w:t xml:space="preserve"> before it can be used in a recipient</w:t>
      </w:r>
      <w:r w:rsidR="003307E8">
        <w:t>.</w:t>
      </w:r>
    </w:p>
    <w:p w:rsidR="007A6E3F" w:rsidRDefault="002E1CF5" w:rsidP="002E1CF5">
      <w:proofErr w:type="spellStart"/>
      <w:r>
        <w:t>TGO</w:t>
      </w:r>
      <w:proofErr w:type="spellEnd"/>
      <w:r>
        <w:t xml:space="preserve"> </w:t>
      </w:r>
      <w:r w:rsidR="00DA63BA">
        <w:t>84</w:t>
      </w:r>
      <w:r>
        <w:t xml:space="preserve"> provides </w:t>
      </w:r>
      <w:r w:rsidR="009D7D64">
        <w:t xml:space="preserve">that the following products are </w:t>
      </w:r>
      <w:r>
        <w:t xml:space="preserve">exempt </w:t>
      </w:r>
      <w:r w:rsidR="009D7D64">
        <w:t>from</w:t>
      </w:r>
      <w:r>
        <w:t xml:space="preserve"> the requirements of the Order:</w:t>
      </w:r>
    </w:p>
    <w:p w:rsidR="002E1CF5" w:rsidRDefault="00153E21" w:rsidP="00B42876">
      <w:pPr>
        <w:numPr>
          <w:ilvl w:val="0"/>
          <w:numId w:val="3"/>
        </w:numPr>
        <w:spacing w:before="120"/>
        <w:ind w:left="567" w:hanging="210"/>
      </w:pPr>
      <w:r>
        <w:t xml:space="preserve">human </w:t>
      </w:r>
      <w:r w:rsidR="00F539EA">
        <w:t>cardiovascular</w:t>
      </w:r>
      <w:r w:rsidR="002E1CF5">
        <w:t xml:space="preserve"> </w:t>
      </w:r>
      <w:r>
        <w:t xml:space="preserve">cells and </w:t>
      </w:r>
      <w:r w:rsidR="002E1CF5">
        <w:t xml:space="preserve">tissue </w:t>
      </w:r>
      <w:r>
        <w:t xml:space="preserve">samples </w:t>
      </w:r>
      <w:r w:rsidR="002E1CF5">
        <w:t>collected solely for the purpose of in vitro diagnosis</w:t>
      </w:r>
      <w:r>
        <w:t>;</w:t>
      </w:r>
      <w:r w:rsidR="008B2416">
        <w:t xml:space="preserve"> and</w:t>
      </w:r>
    </w:p>
    <w:p w:rsidR="00BA3CD2" w:rsidRPr="00BA3CD2" w:rsidRDefault="00153E21" w:rsidP="00D8505D">
      <w:pPr>
        <w:numPr>
          <w:ilvl w:val="0"/>
          <w:numId w:val="3"/>
        </w:numPr>
        <w:tabs>
          <w:tab w:val="left" w:pos="567"/>
        </w:tabs>
        <w:spacing w:before="120"/>
        <w:ind w:left="567" w:hanging="210"/>
        <w:rPr>
          <w:b/>
        </w:rPr>
      </w:pPr>
      <w:proofErr w:type="gramStart"/>
      <w:r>
        <w:t>human</w:t>
      </w:r>
      <w:proofErr w:type="gramEnd"/>
      <w:r>
        <w:t xml:space="preserve"> </w:t>
      </w:r>
      <w:r w:rsidR="00F539EA">
        <w:t>cardiovascular</w:t>
      </w:r>
      <w:r w:rsidR="002E1CF5">
        <w:t xml:space="preserve"> tissue that is processed beyond minimal manipulation</w:t>
      </w:r>
      <w:r w:rsidR="008E3D60" w:rsidRPr="00414045">
        <w:t>.</w:t>
      </w:r>
    </w:p>
    <w:p w:rsidR="00BA3CD2" w:rsidRDefault="00DA63BA" w:rsidP="00BA3CD2">
      <w:pPr>
        <w:tabs>
          <w:tab w:val="left" w:pos="567"/>
        </w:tabs>
        <w:spacing w:before="120"/>
      </w:pPr>
      <w:r>
        <w:t xml:space="preserve">Diagnostic </w:t>
      </w:r>
      <w:r w:rsidR="00183F23">
        <w:t xml:space="preserve">human </w:t>
      </w:r>
      <w:r>
        <w:t xml:space="preserve">cardiovascular tissue samples </w:t>
      </w:r>
      <w:r w:rsidR="00183F23">
        <w:t xml:space="preserve">have been exempted from the scope of </w:t>
      </w:r>
      <w:proofErr w:type="spellStart"/>
      <w:r w:rsidR="00183F23">
        <w:t>TGO</w:t>
      </w:r>
      <w:proofErr w:type="spellEnd"/>
      <w:r w:rsidR="00183F23">
        <w:t xml:space="preserve"> 84 as these samples </w:t>
      </w:r>
      <w:r>
        <w:t>are not for use in a recipient</w:t>
      </w:r>
      <w:r w:rsidR="00183F23">
        <w:t>.</w:t>
      </w:r>
    </w:p>
    <w:p w:rsidR="00183F23" w:rsidRDefault="00183F23" w:rsidP="00BA3CD2">
      <w:pPr>
        <w:tabs>
          <w:tab w:val="left" w:pos="567"/>
        </w:tabs>
        <w:spacing w:before="120"/>
      </w:pPr>
      <w:r>
        <w:t xml:space="preserve">Human cardiovascular tissue that is processed beyond minimal manipulation has been exempted from </w:t>
      </w:r>
      <w:proofErr w:type="spellStart"/>
      <w:r>
        <w:t>TGO</w:t>
      </w:r>
      <w:proofErr w:type="spellEnd"/>
      <w:r>
        <w:t xml:space="preserve"> 84 because this Order has been specificall</w:t>
      </w:r>
      <w:r w:rsidR="0083327D">
        <w:t>y developed for tissues that have been processed</w:t>
      </w:r>
      <w:r>
        <w:t xml:space="preserve"> </w:t>
      </w:r>
      <w:r w:rsidR="0083327D">
        <w:t>within the meaning of that term</w:t>
      </w:r>
      <w:r>
        <w:t xml:space="preserve"> as defined in regulation 2 of the Regulations.  Human cardiovascular tissues that are processed beyond minimal manipulation include engineered grafts using</w:t>
      </w:r>
      <w:r w:rsidRPr="00BA3CD2">
        <w:rPr>
          <w:vertAlign w:val="superscript"/>
        </w:rPr>
        <w:t xml:space="preserve"> </w:t>
      </w:r>
      <w:r>
        <w:t>vascular wall cells seeded onto a synthetic biodegradable polymer</w:t>
      </w:r>
      <w:r w:rsidRPr="00BA3CD2">
        <w:rPr>
          <w:vertAlign w:val="superscript"/>
        </w:rPr>
        <w:t xml:space="preserve"> </w:t>
      </w:r>
      <w:r>
        <w:t xml:space="preserve">scaffold.  While such products have been exempted from the requirements of </w:t>
      </w:r>
      <w:proofErr w:type="spellStart"/>
      <w:r>
        <w:t>TGO</w:t>
      </w:r>
      <w:proofErr w:type="spellEnd"/>
      <w:r>
        <w:t xml:space="preserve"> 84, they may be required to meet other regulatory require</w:t>
      </w:r>
      <w:r w:rsidR="00A3330A">
        <w:t>ments including, for example, the proposed Code of Good Manufacturing Practice for Human Blood and Blood Components, Human Tissues and Human Cellular Therapy Products.</w:t>
      </w:r>
    </w:p>
    <w:p w:rsidR="00DA63BA" w:rsidRDefault="00DA63BA" w:rsidP="00BA3CD2">
      <w:pPr>
        <w:tabs>
          <w:tab w:val="left" w:pos="567"/>
        </w:tabs>
        <w:spacing w:before="120"/>
      </w:pPr>
    </w:p>
    <w:p w:rsidR="00D8505D" w:rsidRPr="00BA3CD2" w:rsidRDefault="00D8505D" w:rsidP="00BA3CD2">
      <w:pPr>
        <w:tabs>
          <w:tab w:val="left" w:pos="567"/>
        </w:tabs>
        <w:spacing w:before="120"/>
        <w:rPr>
          <w:b/>
        </w:rPr>
      </w:pPr>
      <w:r w:rsidRPr="00BA3CD2">
        <w:rPr>
          <w:b/>
        </w:rPr>
        <w:t>CONSUL</w:t>
      </w:r>
      <w:r w:rsidR="0052411C" w:rsidRPr="00BA3CD2">
        <w:rPr>
          <w:b/>
        </w:rPr>
        <w:t>T</w:t>
      </w:r>
      <w:r w:rsidRPr="00BA3CD2">
        <w:rPr>
          <w:b/>
        </w:rPr>
        <w:t>ATION</w:t>
      </w:r>
    </w:p>
    <w:p w:rsidR="00C119C7" w:rsidRDefault="00C119C7" w:rsidP="00C119C7">
      <w:r w:rsidRPr="00C119C7">
        <w:t xml:space="preserve">A draft of </w:t>
      </w:r>
      <w:proofErr w:type="spellStart"/>
      <w:r w:rsidRPr="00C119C7">
        <w:t>TGO</w:t>
      </w:r>
      <w:proofErr w:type="spellEnd"/>
      <w:r w:rsidRPr="00C119C7">
        <w:t xml:space="preserve"> </w:t>
      </w:r>
      <w:r w:rsidR="006851A2">
        <w:t>84</w:t>
      </w:r>
      <w:r w:rsidRPr="00C119C7">
        <w:t xml:space="preserve"> was made available </w:t>
      </w:r>
      <w:r w:rsidR="0071648E">
        <w:t xml:space="preserve">by the TGA </w:t>
      </w:r>
      <w:r w:rsidRPr="00C119C7">
        <w:t xml:space="preserve">for public consultation in December 2009. </w:t>
      </w:r>
      <w:r w:rsidR="0071648E">
        <w:t xml:space="preserve"> </w:t>
      </w:r>
      <w:r w:rsidRPr="00C119C7">
        <w:t xml:space="preserve">A substantially revised </w:t>
      </w:r>
      <w:r w:rsidR="0071648E">
        <w:t>version</w:t>
      </w:r>
      <w:r w:rsidR="005D626E">
        <w:t>, which took into account feedback received regarding the first draft,</w:t>
      </w:r>
      <w:r w:rsidRPr="00C119C7">
        <w:t xml:space="preserve"> was published </w:t>
      </w:r>
      <w:r w:rsidR="005D626E">
        <w:t xml:space="preserve">by the TGA </w:t>
      </w:r>
      <w:r w:rsidRPr="00C119C7">
        <w:t>in December 2010 for a second round of public consultation, at which time exclusive meetings were held with</w:t>
      </w:r>
      <w:r w:rsidR="00F67594">
        <w:t xml:space="preserve"> the Australasian Tissue and Biotherapeutics Forum (</w:t>
      </w:r>
      <w:proofErr w:type="spellStart"/>
      <w:r w:rsidR="00F67594">
        <w:t>ATBF</w:t>
      </w:r>
      <w:proofErr w:type="spellEnd"/>
      <w:r w:rsidR="00F67594">
        <w:t xml:space="preserve">) </w:t>
      </w:r>
      <w:r w:rsidRPr="00C119C7">
        <w:t xml:space="preserve">to discuss details of the </w:t>
      </w:r>
      <w:r w:rsidR="005D626E">
        <w:t xml:space="preserve">proposed </w:t>
      </w:r>
      <w:r w:rsidRPr="00C119C7">
        <w:t>standard.</w:t>
      </w:r>
    </w:p>
    <w:p w:rsidR="005D626E" w:rsidRDefault="005D626E" w:rsidP="00C119C7"/>
    <w:p w:rsidR="00574DF9" w:rsidRDefault="005D626E">
      <w:pPr>
        <w:autoSpaceDE w:val="0"/>
        <w:autoSpaceDN w:val="0"/>
        <w:adjustRightInd w:val="0"/>
      </w:pPr>
      <w:r>
        <w:t xml:space="preserve">In addition, </w:t>
      </w:r>
      <w:proofErr w:type="spellStart"/>
      <w:r>
        <w:t>TGO</w:t>
      </w:r>
      <w:proofErr w:type="spellEnd"/>
      <w:r>
        <w:t xml:space="preserve"> </w:t>
      </w:r>
      <w:r w:rsidR="006851A2">
        <w:t>84</w:t>
      </w:r>
      <w:r>
        <w:t xml:space="preserve"> has been </w:t>
      </w:r>
      <w:r w:rsidR="00574DF9">
        <w:t xml:space="preserve">considered and </w:t>
      </w:r>
      <w:r>
        <w:t>endorsed by the Th</w:t>
      </w:r>
      <w:r w:rsidR="00574DF9">
        <w:t xml:space="preserve">erapeutic Goods Committee (the </w:t>
      </w:r>
      <w:proofErr w:type="spellStart"/>
      <w:r w:rsidR="00574DF9">
        <w:t>TGC</w:t>
      </w:r>
      <w:proofErr w:type="spellEnd"/>
      <w:r w:rsidR="00574DF9">
        <w:t xml:space="preserve">) </w:t>
      </w:r>
      <w:r w:rsidR="00F908CC">
        <w:t xml:space="preserve">expert </w:t>
      </w:r>
      <w:r>
        <w:t xml:space="preserve">subcommittee on biologicals, and has been adopted by the </w:t>
      </w:r>
      <w:proofErr w:type="spellStart"/>
      <w:r>
        <w:t>TGC</w:t>
      </w:r>
      <w:proofErr w:type="spellEnd"/>
      <w:r>
        <w:t>.</w:t>
      </w:r>
    </w:p>
    <w:p w:rsidR="00574DF9" w:rsidRDefault="00574DF9"/>
    <w:p w:rsidR="006E55C2" w:rsidRPr="0000674E" w:rsidRDefault="006E55C2">
      <w:pPr>
        <w:pStyle w:val="Heading3"/>
      </w:pPr>
      <w:r w:rsidRPr="0000674E">
        <w:t>REGULATION IMPACT STATEMENT</w:t>
      </w:r>
    </w:p>
    <w:p w:rsidR="00C67857" w:rsidRDefault="000572FE">
      <w:r w:rsidRPr="0000674E">
        <w:t xml:space="preserve">The Office of </w:t>
      </w:r>
      <w:r w:rsidR="00574DF9">
        <w:t xml:space="preserve">Best Practice </w:t>
      </w:r>
      <w:r w:rsidRPr="0000674E">
        <w:t xml:space="preserve">Regulation has agreed that no Regulation Impact Statement is necessary </w:t>
      </w:r>
      <w:r w:rsidR="00574DF9">
        <w:t xml:space="preserve">for </w:t>
      </w:r>
      <w:proofErr w:type="spellStart"/>
      <w:r w:rsidR="00574DF9">
        <w:t>TGO</w:t>
      </w:r>
      <w:proofErr w:type="spellEnd"/>
      <w:r w:rsidR="00574DF9">
        <w:t xml:space="preserve"> </w:t>
      </w:r>
      <w:r w:rsidR="006851A2">
        <w:t>84</w:t>
      </w:r>
      <w:r w:rsidR="00574DF9">
        <w:t xml:space="preserve"> </w:t>
      </w:r>
      <w:r w:rsidRPr="0000674E">
        <w:t xml:space="preserve">(ORR ID number </w:t>
      </w:r>
      <w:r w:rsidR="00E802B2">
        <w:rPr>
          <w:color w:val="000000"/>
        </w:rPr>
        <w:t>12194</w:t>
      </w:r>
      <w:r w:rsidR="00311438">
        <w:t>)</w:t>
      </w:r>
      <w:r w:rsidR="00C67857">
        <w:t>.</w:t>
      </w:r>
    </w:p>
    <w:p w:rsidR="00C67857" w:rsidRDefault="00C67857"/>
    <w:p w:rsidR="00E672BE" w:rsidRDefault="00C67857">
      <w:r>
        <w:lastRenderedPageBreak/>
        <w:t>It is important to note that t</w:t>
      </w:r>
      <w:r w:rsidR="00500C5A">
        <w:t>he ‘Regulatory Impact Statement for the Regulation of Human Cellular and Tissue Therapy Products (biologicals)’</w:t>
      </w:r>
      <w:r w:rsidR="003A5277">
        <w:t xml:space="preserve"> </w:t>
      </w:r>
      <w:r w:rsidR="00500C5A">
        <w:t xml:space="preserve">(ORR ID </w:t>
      </w:r>
      <w:r w:rsidR="00B66540" w:rsidRPr="00B66540">
        <w:t>5066</w:t>
      </w:r>
      <w:r w:rsidR="00B66540" w:rsidRPr="00B66540" w:rsidDel="00B66540">
        <w:t xml:space="preserve"> </w:t>
      </w:r>
      <w:r w:rsidR="00B66540">
        <w:t xml:space="preserve">February </w:t>
      </w:r>
      <w:r w:rsidR="00500C5A">
        <w:t xml:space="preserve">2009) included the requirement for human tissue products, including </w:t>
      </w:r>
      <w:r w:rsidR="006851A2">
        <w:t xml:space="preserve">human </w:t>
      </w:r>
      <w:r w:rsidR="00F539EA">
        <w:t>cardiovascular</w:t>
      </w:r>
      <w:r w:rsidR="00500C5A">
        <w:t xml:space="preserve"> tissue, to comply with standards</w:t>
      </w:r>
      <w:r>
        <w:t xml:space="preserve">.  In addition, </w:t>
      </w:r>
      <w:r w:rsidR="00C83E09" w:rsidRPr="0000674E">
        <w:t xml:space="preserve">the proposed new standards </w:t>
      </w:r>
      <w:r>
        <w:t xml:space="preserve">relating to biologicals (including human </w:t>
      </w:r>
      <w:r w:rsidR="00F539EA">
        <w:t>cardiovascular</w:t>
      </w:r>
      <w:r>
        <w:t xml:space="preserve"> tissue) </w:t>
      </w:r>
      <w:r w:rsidR="00C83E09" w:rsidRPr="0000674E">
        <w:t xml:space="preserve">have been discussed with the Australian </w:t>
      </w:r>
      <w:r w:rsidR="00F67594">
        <w:t>tissue</w:t>
      </w:r>
      <w:r w:rsidR="00E21ADC">
        <w:t xml:space="preserve"> banking </w:t>
      </w:r>
      <w:r w:rsidR="00C83E09" w:rsidRPr="0000674E">
        <w:t>sector and the</w:t>
      </w:r>
      <w:r>
        <w:t xml:space="preserve"> sector</w:t>
      </w:r>
      <w:r w:rsidR="00C83E09" w:rsidRPr="0000674E">
        <w:t xml:space="preserve"> </w:t>
      </w:r>
      <w:r w:rsidR="00311438">
        <w:t>ha</w:t>
      </w:r>
      <w:r>
        <w:t>s</w:t>
      </w:r>
      <w:r w:rsidR="00311438">
        <w:t xml:space="preserve"> indicated that </w:t>
      </w:r>
      <w:r w:rsidR="00E21ADC">
        <w:t xml:space="preserve">the requirements of </w:t>
      </w:r>
      <w:proofErr w:type="spellStart"/>
      <w:r w:rsidR="00E21ADC">
        <w:t>TGO</w:t>
      </w:r>
      <w:proofErr w:type="spellEnd"/>
      <w:r w:rsidR="00E21ADC">
        <w:t xml:space="preserve"> </w:t>
      </w:r>
      <w:r w:rsidR="00782454">
        <w:t>84</w:t>
      </w:r>
      <w:r w:rsidR="00E21ADC">
        <w:t xml:space="preserve"> </w:t>
      </w:r>
      <w:r w:rsidR="00C83E09" w:rsidRPr="0000674E">
        <w:t xml:space="preserve">are not likely to have any significant additional direct or indirect impact on the </w:t>
      </w:r>
      <w:r w:rsidR="00F539EA">
        <w:t>cardiovascular</w:t>
      </w:r>
      <w:r w:rsidR="00F67594">
        <w:t xml:space="preserve"> tissue </w:t>
      </w:r>
      <w:r w:rsidR="00E21ADC">
        <w:t xml:space="preserve">banking </w:t>
      </w:r>
      <w:r w:rsidR="00C83E09" w:rsidRPr="0000674E">
        <w:t>sector</w:t>
      </w:r>
      <w:r>
        <w:t>.</w:t>
      </w:r>
    </w:p>
    <w:p w:rsidR="00574DF9" w:rsidRDefault="00574DF9"/>
    <w:sectPr w:rsidR="00574DF9" w:rsidSect="00E711CB">
      <w:footerReference w:type="default" r:id="rId8"/>
      <w:type w:val="nextColumn"/>
      <w:pgSz w:w="11907" w:h="16840" w:code="9"/>
      <w:pgMar w:top="1276" w:right="1440" w:bottom="1276" w:left="1440"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C9E" w:rsidRDefault="00791C9E">
      <w:r>
        <w:separator/>
      </w:r>
    </w:p>
  </w:endnote>
  <w:endnote w:type="continuationSeparator" w:id="0">
    <w:p w:rsidR="00791C9E" w:rsidRDefault="00791C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30A" w:rsidRDefault="00D8199E">
    <w:pPr>
      <w:pStyle w:val="Footer"/>
      <w:jc w:val="center"/>
      <w:rPr>
        <w:sz w:val="14"/>
      </w:rPr>
    </w:pPr>
    <w:r>
      <w:rPr>
        <w:rStyle w:val="PageNumber"/>
      </w:rPr>
      <w:fldChar w:fldCharType="begin"/>
    </w:r>
    <w:r w:rsidR="00A3330A">
      <w:rPr>
        <w:rStyle w:val="PageNumber"/>
      </w:rPr>
      <w:instrText xml:space="preserve"> PAGE </w:instrText>
    </w:r>
    <w:r>
      <w:rPr>
        <w:rStyle w:val="PageNumber"/>
      </w:rPr>
      <w:fldChar w:fldCharType="separate"/>
    </w:r>
    <w:r w:rsidR="008B2416">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C9E" w:rsidRDefault="00791C9E">
      <w:r>
        <w:separator/>
      </w:r>
    </w:p>
  </w:footnote>
  <w:footnote w:type="continuationSeparator" w:id="0">
    <w:p w:rsidR="00791C9E" w:rsidRDefault="00791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55B"/>
    <w:multiLevelType w:val="hybridMultilevel"/>
    <w:tmpl w:val="87BA6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5E12F8"/>
    <w:multiLevelType w:val="singleLevel"/>
    <w:tmpl w:val="0C09000F"/>
    <w:lvl w:ilvl="0">
      <w:start w:val="1"/>
      <w:numFmt w:val="decimal"/>
      <w:lvlText w:val="%1."/>
      <w:lvlJc w:val="left"/>
      <w:pPr>
        <w:tabs>
          <w:tab w:val="num" w:pos="360"/>
        </w:tabs>
        <w:ind w:left="360" w:hanging="360"/>
      </w:pPr>
    </w:lvl>
  </w:abstractNum>
  <w:abstractNum w:abstractNumId="2">
    <w:nsid w:val="3B0E53F5"/>
    <w:multiLevelType w:val="hybridMultilevel"/>
    <w:tmpl w:val="63809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A120A7"/>
    <w:multiLevelType w:val="hybridMultilevel"/>
    <w:tmpl w:val="D160FE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adObjects" w:val=" "/>
    <w:docVar w:name="lastRangeEnd" w:val="2599"/>
    <w:docVar w:name="lastRangeStart" w:val="2594"/>
    <w:docVar w:name="SelEnd" w:val=" "/>
    <w:docVar w:name="SelStart" w:val=" "/>
  </w:docVars>
  <w:rsids>
    <w:rsidRoot w:val="007A6E3F"/>
    <w:rsid w:val="0000674E"/>
    <w:rsid w:val="00017A55"/>
    <w:rsid w:val="00017C66"/>
    <w:rsid w:val="00025BB5"/>
    <w:rsid w:val="00037345"/>
    <w:rsid w:val="00046F01"/>
    <w:rsid w:val="000547EE"/>
    <w:rsid w:val="000550C7"/>
    <w:rsid w:val="00057079"/>
    <w:rsid w:val="000572FE"/>
    <w:rsid w:val="00070F80"/>
    <w:rsid w:val="00073D83"/>
    <w:rsid w:val="00081298"/>
    <w:rsid w:val="00081A9A"/>
    <w:rsid w:val="00094896"/>
    <w:rsid w:val="000D1D87"/>
    <w:rsid w:val="000E228F"/>
    <w:rsid w:val="000E3E87"/>
    <w:rsid w:val="000F0CF5"/>
    <w:rsid w:val="000F5E62"/>
    <w:rsid w:val="00102722"/>
    <w:rsid w:val="001275C5"/>
    <w:rsid w:val="0014571F"/>
    <w:rsid w:val="00147E8C"/>
    <w:rsid w:val="00153E21"/>
    <w:rsid w:val="001624C1"/>
    <w:rsid w:val="00183F23"/>
    <w:rsid w:val="00196EB9"/>
    <w:rsid w:val="001A6F34"/>
    <w:rsid w:val="001A6FEC"/>
    <w:rsid w:val="001C0464"/>
    <w:rsid w:val="001D6953"/>
    <w:rsid w:val="001F0BFE"/>
    <w:rsid w:val="002301D3"/>
    <w:rsid w:val="00230EF4"/>
    <w:rsid w:val="00231B70"/>
    <w:rsid w:val="0023573F"/>
    <w:rsid w:val="0025038C"/>
    <w:rsid w:val="002562E9"/>
    <w:rsid w:val="002708E4"/>
    <w:rsid w:val="00290E1B"/>
    <w:rsid w:val="002979BF"/>
    <w:rsid w:val="002B6485"/>
    <w:rsid w:val="002C036F"/>
    <w:rsid w:val="002D2F6D"/>
    <w:rsid w:val="002D471D"/>
    <w:rsid w:val="002E1CF5"/>
    <w:rsid w:val="002E437E"/>
    <w:rsid w:val="002E72F6"/>
    <w:rsid w:val="00303DF4"/>
    <w:rsid w:val="00311438"/>
    <w:rsid w:val="00313FDA"/>
    <w:rsid w:val="00316D4F"/>
    <w:rsid w:val="00316E07"/>
    <w:rsid w:val="003307E8"/>
    <w:rsid w:val="00332D72"/>
    <w:rsid w:val="00344A6C"/>
    <w:rsid w:val="0035543E"/>
    <w:rsid w:val="0037017F"/>
    <w:rsid w:val="003726A7"/>
    <w:rsid w:val="00374D4F"/>
    <w:rsid w:val="0037748F"/>
    <w:rsid w:val="00390DB4"/>
    <w:rsid w:val="003A5277"/>
    <w:rsid w:val="003B6E2E"/>
    <w:rsid w:val="003B78C8"/>
    <w:rsid w:val="003D01E9"/>
    <w:rsid w:val="003D5211"/>
    <w:rsid w:val="003E7167"/>
    <w:rsid w:val="00401A26"/>
    <w:rsid w:val="0041124C"/>
    <w:rsid w:val="00440662"/>
    <w:rsid w:val="00443191"/>
    <w:rsid w:val="00446701"/>
    <w:rsid w:val="00452A15"/>
    <w:rsid w:val="004568F3"/>
    <w:rsid w:val="00467DA2"/>
    <w:rsid w:val="004822A2"/>
    <w:rsid w:val="004A6C8E"/>
    <w:rsid w:val="004B18E0"/>
    <w:rsid w:val="004B3915"/>
    <w:rsid w:val="004D433B"/>
    <w:rsid w:val="004D6016"/>
    <w:rsid w:val="004F1C5E"/>
    <w:rsid w:val="00500C5A"/>
    <w:rsid w:val="005061A5"/>
    <w:rsid w:val="00513023"/>
    <w:rsid w:val="0052411C"/>
    <w:rsid w:val="00526F17"/>
    <w:rsid w:val="00553F32"/>
    <w:rsid w:val="00571749"/>
    <w:rsid w:val="00574DF9"/>
    <w:rsid w:val="00575BBD"/>
    <w:rsid w:val="00577B0F"/>
    <w:rsid w:val="00585BE3"/>
    <w:rsid w:val="005932F1"/>
    <w:rsid w:val="005A0C93"/>
    <w:rsid w:val="005A0DC6"/>
    <w:rsid w:val="005A4AF7"/>
    <w:rsid w:val="005C3995"/>
    <w:rsid w:val="005C3DE8"/>
    <w:rsid w:val="005D626E"/>
    <w:rsid w:val="005E6B4A"/>
    <w:rsid w:val="005E71D2"/>
    <w:rsid w:val="005F10D8"/>
    <w:rsid w:val="006054A5"/>
    <w:rsid w:val="006119B5"/>
    <w:rsid w:val="00612FEA"/>
    <w:rsid w:val="00617F8D"/>
    <w:rsid w:val="00620453"/>
    <w:rsid w:val="00624054"/>
    <w:rsid w:val="00640BAD"/>
    <w:rsid w:val="00657F61"/>
    <w:rsid w:val="00664C4D"/>
    <w:rsid w:val="006669AF"/>
    <w:rsid w:val="006851A2"/>
    <w:rsid w:val="0068540F"/>
    <w:rsid w:val="006A595D"/>
    <w:rsid w:val="006B1CDE"/>
    <w:rsid w:val="006B317C"/>
    <w:rsid w:val="006C06E5"/>
    <w:rsid w:val="006D1BBD"/>
    <w:rsid w:val="006E075E"/>
    <w:rsid w:val="006E55C2"/>
    <w:rsid w:val="006F124E"/>
    <w:rsid w:val="006F658A"/>
    <w:rsid w:val="006F7ACD"/>
    <w:rsid w:val="0071648E"/>
    <w:rsid w:val="00737091"/>
    <w:rsid w:val="0073745E"/>
    <w:rsid w:val="00741618"/>
    <w:rsid w:val="00743363"/>
    <w:rsid w:val="00752907"/>
    <w:rsid w:val="00754653"/>
    <w:rsid w:val="0077252A"/>
    <w:rsid w:val="0077727A"/>
    <w:rsid w:val="00782454"/>
    <w:rsid w:val="00790F69"/>
    <w:rsid w:val="00791C9E"/>
    <w:rsid w:val="007A69E8"/>
    <w:rsid w:val="007A6E3F"/>
    <w:rsid w:val="007C1D27"/>
    <w:rsid w:val="007C314E"/>
    <w:rsid w:val="0080433A"/>
    <w:rsid w:val="00825908"/>
    <w:rsid w:val="00826832"/>
    <w:rsid w:val="00827FAE"/>
    <w:rsid w:val="0083327D"/>
    <w:rsid w:val="00846D20"/>
    <w:rsid w:val="0084779B"/>
    <w:rsid w:val="00871C03"/>
    <w:rsid w:val="00892FAF"/>
    <w:rsid w:val="00894C05"/>
    <w:rsid w:val="008A1494"/>
    <w:rsid w:val="008B2416"/>
    <w:rsid w:val="008C69FC"/>
    <w:rsid w:val="008D717A"/>
    <w:rsid w:val="008E0A2B"/>
    <w:rsid w:val="008E3D60"/>
    <w:rsid w:val="008F1114"/>
    <w:rsid w:val="008F568F"/>
    <w:rsid w:val="008F791D"/>
    <w:rsid w:val="00944911"/>
    <w:rsid w:val="009469C3"/>
    <w:rsid w:val="00956605"/>
    <w:rsid w:val="00956AD4"/>
    <w:rsid w:val="00964592"/>
    <w:rsid w:val="00971D07"/>
    <w:rsid w:val="009761E4"/>
    <w:rsid w:val="00997A55"/>
    <w:rsid w:val="009A08BE"/>
    <w:rsid w:val="009C04DA"/>
    <w:rsid w:val="009D4B43"/>
    <w:rsid w:val="009D7D64"/>
    <w:rsid w:val="009F10D2"/>
    <w:rsid w:val="00A06BE9"/>
    <w:rsid w:val="00A30433"/>
    <w:rsid w:val="00A3330A"/>
    <w:rsid w:val="00A618EA"/>
    <w:rsid w:val="00A62156"/>
    <w:rsid w:val="00A651FD"/>
    <w:rsid w:val="00A700F6"/>
    <w:rsid w:val="00A77BC5"/>
    <w:rsid w:val="00A919BB"/>
    <w:rsid w:val="00AD126A"/>
    <w:rsid w:val="00AE0BDD"/>
    <w:rsid w:val="00AE7334"/>
    <w:rsid w:val="00B03252"/>
    <w:rsid w:val="00B06170"/>
    <w:rsid w:val="00B15D9F"/>
    <w:rsid w:val="00B171FA"/>
    <w:rsid w:val="00B218ED"/>
    <w:rsid w:val="00B33092"/>
    <w:rsid w:val="00B42876"/>
    <w:rsid w:val="00B4684E"/>
    <w:rsid w:val="00B50BF9"/>
    <w:rsid w:val="00B6031C"/>
    <w:rsid w:val="00B62571"/>
    <w:rsid w:val="00B66540"/>
    <w:rsid w:val="00B707CB"/>
    <w:rsid w:val="00B71291"/>
    <w:rsid w:val="00B814DA"/>
    <w:rsid w:val="00B86309"/>
    <w:rsid w:val="00B87BE0"/>
    <w:rsid w:val="00BA3CD2"/>
    <w:rsid w:val="00BB723A"/>
    <w:rsid w:val="00BD26F9"/>
    <w:rsid w:val="00BE1661"/>
    <w:rsid w:val="00BE28EF"/>
    <w:rsid w:val="00BE707D"/>
    <w:rsid w:val="00BF110F"/>
    <w:rsid w:val="00BF3262"/>
    <w:rsid w:val="00C02ED8"/>
    <w:rsid w:val="00C119C7"/>
    <w:rsid w:val="00C31418"/>
    <w:rsid w:val="00C36C67"/>
    <w:rsid w:val="00C36EC4"/>
    <w:rsid w:val="00C426C2"/>
    <w:rsid w:val="00C427D4"/>
    <w:rsid w:val="00C43CEE"/>
    <w:rsid w:val="00C45C42"/>
    <w:rsid w:val="00C67857"/>
    <w:rsid w:val="00C7411E"/>
    <w:rsid w:val="00C75D33"/>
    <w:rsid w:val="00C83E09"/>
    <w:rsid w:val="00C91FB9"/>
    <w:rsid w:val="00C968A3"/>
    <w:rsid w:val="00CA1A07"/>
    <w:rsid w:val="00D1136A"/>
    <w:rsid w:val="00D11C17"/>
    <w:rsid w:val="00D36C24"/>
    <w:rsid w:val="00D4154D"/>
    <w:rsid w:val="00D538EB"/>
    <w:rsid w:val="00D7794B"/>
    <w:rsid w:val="00D8199E"/>
    <w:rsid w:val="00D82CC4"/>
    <w:rsid w:val="00D8505D"/>
    <w:rsid w:val="00DA0DF1"/>
    <w:rsid w:val="00DA24FA"/>
    <w:rsid w:val="00DA63BA"/>
    <w:rsid w:val="00DB01B9"/>
    <w:rsid w:val="00DC06AE"/>
    <w:rsid w:val="00DD23FD"/>
    <w:rsid w:val="00DE7BCD"/>
    <w:rsid w:val="00DF61B2"/>
    <w:rsid w:val="00E12268"/>
    <w:rsid w:val="00E21ADC"/>
    <w:rsid w:val="00E42AB7"/>
    <w:rsid w:val="00E53F2E"/>
    <w:rsid w:val="00E63C95"/>
    <w:rsid w:val="00E672BE"/>
    <w:rsid w:val="00E711CB"/>
    <w:rsid w:val="00E72288"/>
    <w:rsid w:val="00E802B2"/>
    <w:rsid w:val="00E96D08"/>
    <w:rsid w:val="00ED1FCD"/>
    <w:rsid w:val="00ED73AA"/>
    <w:rsid w:val="00EE4404"/>
    <w:rsid w:val="00EF25E8"/>
    <w:rsid w:val="00EF39E9"/>
    <w:rsid w:val="00F3068E"/>
    <w:rsid w:val="00F409E9"/>
    <w:rsid w:val="00F5122A"/>
    <w:rsid w:val="00F539EA"/>
    <w:rsid w:val="00F5413E"/>
    <w:rsid w:val="00F6319D"/>
    <w:rsid w:val="00F67594"/>
    <w:rsid w:val="00F73654"/>
    <w:rsid w:val="00F772D1"/>
    <w:rsid w:val="00F801D3"/>
    <w:rsid w:val="00F87C90"/>
    <w:rsid w:val="00F908CC"/>
    <w:rsid w:val="00FA2EC6"/>
    <w:rsid w:val="00FB27E1"/>
    <w:rsid w:val="00FB592B"/>
    <w:rsid w:val="00FD1649"/>
    <w:rsid w:val="00FD569E"/>
    <w:rsid w:val="00FF1A14"/>
    <w:rsid w:val="00FF4237"/>
    <w:rsid w:val="00FF6BC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BFE"/>
    <w:rPr>
      <w:sz w:val="24"/>
    </w:rPr>
  </w:style>
  <w:style w:type="paragraph" w:styleId="Heading1">
    <w:name w:val="heading 1"/>
    <w:basedOn w:val="Normal"/>
    <w:next w:val="Normal"/>
    <w:qFormat/>
    <w:rsid w:val="001F0BFE"/>
    <w:pPr>
      <w:keepNext/>
      <w:outlineLvl w:val="0"/>
    </w:pPr>
    <w:rPr>
      <w:b/>
      <w:sz w:val="28"/>
    </w:rPr>
  </w:style>
  <w:style w:type="paragraph" w:styleId="Heading2">
    <w:name w:val="heading 2"/>
    <w:basedOn w:val="Normal"/>
    <w:next w:val="Normal"/>
    <w:qFormat/>
    <w:rsid w:val="001F0BFE"/>
    <w:pPr>
      <w:keepNext/>
      <w:widowControl w:val="0"/>
      <w:outlineLvl w:val="1"/>
    </w:pPr>
    <w:rPr>
      <w:b/>
      <w:snapToGrid w:val="0"/>
      <w:lang w:eastAsia="en-US"/>
    </w:rPr>
  </w:style>
  <w:style w:type="paragraph" w:styleId="Heading3">
    <w:name w:val="heading 3"/>
    <w:basedOn w:val="Normal"/>
    <w:next w:val="Normal"/>
    <w:qFormat/>
    <w:rsid w:val="001F0BFE"/>
    <w:pPr>
      <w:keepNext/>
      <w:outlineLvl w:val="2"/>
    </w:pPr>
    <w:rPr>
      <w:b/>
    </w:rPr>
  </w:style>
  <w:style w:type="paragraph" w:styleId="Heading4">
    <w:name w:val="heading 4"/>
    <w:basedOn w:val="Normal"/>
    <w:next w:val="Normal"/>
    <w:qFormat/>
    <w:rsid w:val="001F0BFE"/>
    <w:pPr>
      <w:keepNext/>
      <w:outlineLvl w:val="3"/>
    </w:pPr>
    <w:rPr>
      <w:b/>
      <w:i/>
    </w:rPr>
  </w:style>
  <w:style w:type="paragraph" w:styleId="Heading5">
    <w:name w:val="heading 5"/>
    <w:basedOn w:val="Normal"/>
    <w:next w:val="Normal"/>
    <w:qFormat/>
    <w:rsid w:val="001F0BFE"/>
    <w:pPr>
      <w:keepNext/>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BFE"/>
    <w:pPr>
      <w:tabs>
        <w:tab w:val="center" w:pos="4153"/>
        <w:tab w:val="right" w:pos="8306"/>
      </w:tabs>
    </w:pPr>
  </w:style>
  <w:style w:type="paragraph" w:styleId="BlockText">
    <w:name w:val="Block Text"/>
    <w:basedOn w:val="Normal"/>
    <w:rsid w:val="001F0BFE"/>
    <w:pPr>
      <w:widowControl w:val="0"/>
      <w:pBdr>
        <w:top w:val="single" w:sz="4" w:space="12" w:color="auto"/>
        <w:bottom w:val="single" w:sz="4" w:space="12" w:color="auto"/>
      </w:pBdr>
      <w:spacing w:before="120" w:after="120"/>
      <w:ind w:left="1440" w:right="-227" w:hanging="1440"/>
    </w:pPr>
    <w:rPr>
      <w:b/>
      <w:snapToGrid w:val="0"/>
      <w:lang w:val="en-US" w:eastAsia="en-US"/>
    </w:rPr>
  </w:style>
  <w:style w:type="paragraph" w:styleId="BodyTextIndent">
    <w:name w:val="Body Text Indent"/>
    <w:basedOn w:val="Normal"/>
    <w:rsid w:val="001F0BFE"/>
    <w:pPr>
      <w:widowControl w:val="0"/>
      <w:tabs>
        <w:tab w:val="left" w:pos="-1440"/>
        <w:tab w:val="left" w:pos="-720"/>
        <w:tab w:val="left" w:pos="391"/>
      </w:tabs>
      <w:ind w:left="391" w:hanging="391"/>
    </w:pPr>
    <w:rPr>
      <w:b/>
      <w:snapToGrid w:val="0"/>
      <w:lang w:eastAsia="en-US"/>
    </w:rPr>
  </w:style>
  <w:style w:type="character" w:styleId="FootnoteReference">
    <w:name w:val="footnote reference"/>
    <w:basedOn w:val="DefaultParagraphFont"/>
    <w:semiHidden/>
    <w:rsid w:val="001F0BFE"/>
    <w:rPr>
      <w:vertAlign w:val="superscript"/>
    </w:rPr>
  </w:style>
  <w:style w:type="paragraph" w:styleId="TOC1">
    <w:name w:val="toc 1"/>
    <w:basedOn w:val="Normal"/>
    <w:next w:val="Normal"/>
    <w:autoRedefine/>
    <w:semiHidden/>
    <w:rsid w:val="001F0BFE"/>
    <w:pPr>
      <w:spacing w:after="120"/>
    </w:pPr>
    <w:rPr>
      <w:noProof/>
    </w:rPr>
  </w:style>
  <w:style w:type="paragraph" w:customStyle="1" w:styleId="indenta">
    <w:name w:val="indent(a)"/>
    <w:aliases w:val="a"/>
    <w:basedOn w:val="Normal"/>
    <w:rsid w:val="001F0BFE"/>
    <w:pPr>
      <w:tabs>
        <w:tab w:val="right" w:pos="1531"/>
      </w:tabs>
      <w:spacing w:before="40" w:line="240" w:lineRule="atLeast"/>
      <w:ind w:left="1644" w:hanging="1644"/>
    </w:pPr>
    <w:rPr>
      <w:rFonts w:ascii="Times" w:hAnsi="Times"/>
      <w:snapToGrid w:val="0"/>
      <w:sz w:val="22"/>
      <w:lang w:eastAsia="en-US"/>
    </w:rPr>
  </w:style>
  <w:style w:type="paragraph" w:customStyle="1" w:styleId="subsection2">
    <w:name w:val="subsection2"/>
    <w:aliases w:val="ss2"/>
    <w:basedOn w:val="Normal"/>
    <w:next w:val="Normal"/>
    <w:rsid w:val="001F0BFE"/>
    <w:pPr>
      <w:spacing w:before="40" w:line="260" w:lineRule="atLeast"/>
      <w:ind w:left="1134"/>
    </w:pPr>
    <w:rPr>
      <w:rFonts w:ascii="Times" w:hAnsi="Times"/>
      <w:sz w:val="22"/>
      <w:lang w:eastAsia="en-US"/>
    </w:rPr>
  </w:style>
  <w:style w:type="paragraph" w:styleId="BodyTextIndent3">
    <w:name w:val="Body Text Indent 3"/>
    <w:basedOn w:val="Normal"/>
    <w:rsid w:val="001F0BFE"/>
    <w:pPr>
      <w:ind w:left="1644" w:hanging="567"/>
    </w:pPr>
  </w:style>
  <w:style w:type="paragraph" w:styleId="BodyTextIndent2">
    <w:name w:val="Body Text Indent 2"/>
    <w:basedOn w:val="Normal"/>
    <w:rsid w:val="001F0BFE"/>
    <w:pPr>
      <w:ind w:left="1644" w:firstLine="567"/>
    </w:pPr>
  </w:style>
  <w:style w:type="paragraph" w:styleId="CommentText">
    <w:name w:val="annotation text"/>
    <w:basedOn w:val="Normal"/>
    <w:link w:val="CommentTextChar"/>
    <w:semiHidden/>
    <w:rsid w:val="001F0BFE"/>
    <w:rPr>
      <w:sz w:val="20"/>
    </w:rPr>
  </w:style>
  <w:style w:type="paragraph" w:styleId="FootnoteText">
    <w:name w:val="footnote text"/>
    <w:basedOn w:val="Normal"/>
    <w:semiHidden/>
    <w:rsid w:val="001F0BFE"/>
    <w:rPr>
      <w:sz w:val="20"/>
    </w:rPr>
  </w:style>
  <w:style w:type="character" w:styleId="PageNumber">
    <w:name w:val="page number"/>
    <w:basedOn w:val="DefaultParagraphFont"/>
    <w:rsid w:val="001F0BFE"/>
  </w:style>
  <w:style w:type="paragraph" w:styleId="Footer">
    <w:name w:val="footer"/>
    <w:basedOn w:val="Normal"/>
    <w:rsid w:val="001F0BFE"/>
    <w:pPr>
      <w:tabs>
        <w:tab w:val="center" w:pos="4153"/>
        <w:tab w:val="right" w:pos="8306"/>
      </w:tabs>
    </w:pPr>
  </w:style>
  <w:style w:type="paragraph" w:styleId="BodyText">
    <w:name w:val="Body Text"/>
    <w:basedOn w:val="Normal"/>
    <w:rsid w:val="001F0BFE"/>
    <w:pPr>
      <w:jc w:val="both"/>
    </w:pPr>
    <w:rPr>
      <w:b/>
    </w:rPr>
  </w:style>
  <w:style w:type="character" w:customStyle="1" w:styleId="pubtitle">
    <w:name w:val="pubtitle"/>
    <w:basedOn w:val="DefaultParagraphFont"/>
    <w:rsid w:val="00F801D3"/>
  </w:style>
  <w:style w:type="paragraph" w:customStyle="1" w:styleId="Char1">
    <w:name w:val="Char1"/>
    <w:basedOn w:val="Normal"/>
    <w:rsid w:val="00DA0DF1"/>
    <w:rPr>
      <w:rFonts w:ascii="Arial" w:hAnsi="Arial" w:cs="Arial"/>
      <w:sz w:val="22"/>
      <w:szCs w:val="22"/>
      <w:lang w:eastAsia="en-US"/>
    </w:rPr>
  </w:style>
  <w:style w:type="paragraph" w:styleId="EndnoteText">
    <w:name w:val="endnote text"/>
    <w:basedOn w:val="Normal"/>
    <w:link w:val="EndnoteTextChar"/>
    <w:rsid w:val="002E1CF5"/>
    <w:rPr>
      <w:sz w:val="20"/>
    </w:rPr>
  </w:style>
  <w:style w:type="character" w:customStyle="1" w:styleId="EndnoteTextChar">
    <w:name w:val="Endnote Text Char"/>
    <w:basedOn w:val="DefaultParagraphFont"/>
    <w:link w:val="EndnoteText"/>
    <w:rsid w:val="002E1CF5"/>
  </w:style>
  <w:style w:type="character" w:styleId="EndnoteReference">
    <w:name w:val="endnote reference"/>
    <w:basedOn w:val="DefaultParagraphFont"/>
    <w:rsid w:val="002E1CF5"/>
    <w:rPr>
      <w:vertAlign w:val="superscript"/>
    </w:rPr>
  </w:style>
  <w:style w:type="paragraph" w:styleId="NormalWeb">
    <w:name w:val="Normal (Web)"/>
    <w:basedOn w:val="Normal"/>
    <w:uiPriority w:val="99"/>
    <w:unhideWhenUsed/>
    <w:rsid w:val="00E63C95"/>
    <w:pPr>
      <w:spacing w:before="100" w:beforeAutospacing="1" w:after="100" w:afterAutospacing="1"/>
    </w:pPr>
    <w:rPr>
      <w:szCs w:val="24"/>
      <w:lang w:val="en-US" w:eastAsia="en-US"/>
    </w:rPr>
  </w:style>
  <w:style w:type="paragraph" w:styleId="BalloonText">
    <w:name w:val="Balloon Text"/>
    <w:basedOn w:val="Normal"/>
    <w:link w:val="BalloonTextChar"/>
    <w:rsid w:val="00B66540"/>
    <w:rPr>
      <w:rFonts w:ascii="Tahoma" w:hAnsi="Tahoma" w:cs="Tahoma"/>
      <w:sz w:val="16"/>
      <w:szCs w:val="16"/>
    </w:rPr>
  </w:style>
  <w:style w:type="character" w:customStyle="1" w:styleId="BalloonTextChar">
    <w:name w:val="Balloon Text Char"/>
    <w:basedOn w:val="DefaultParagraphFont"/>
    <w:link w:val="BalloonText"/>
    <w:rsid w:val="00B66540"/>
    <w:rPr>
      <w:rFonts w:ascii="Tahoma" w:hAnsi="Tahoma" w:cs="Tahoma"/>
      <w:sz w:val="16"/>
      <w:szCs w:val="16"/>
    </w:rPr>
  </w:style>
  <w:style w:type="character" w:styleId="CommentReference">
    <w:name w:val="annotation reference"/>
    <w:basedOn w:val="DefaultParagraphFont"/>
    <w:rsid w:val="001C0464"/>
    <w:rPr>
      <w:sz w:val="16"/>
      <w:szCs w:val="16"/>
    </w:rPr>
  </w:style>
  <w:style w:type="paragraph" w:styleId="CommentSubject">
    <w:name w:val="annotation subject"/>
    <w:basedOn w:val="CommentText"/>
    <w:next w:val="CommentText"/>
    <w:link w:val="CommentSubjectChar"/>
    <w:rsid w:val="001C0464"/>
    <w:rPr>
      <w:b/>
      <w:bCs/>
    </w:rPr>
  </w:style>
  <w:style w:type="character" w:customStyle="1" w:styleId="CommentTextChar">
    <w:name w:val="Comment Text Char"/>
    <w:basedOn w:val="DefaultParagraphFont"/>
    <w:link w:val="CommentText"/>
    <w:semiHidden/>
    <w:rsid w:val="001C0464"/>
  </w:style>
  <w:style w:type="character" w:customStyle="1" w:styleId="CommentSubjectChar">
    <w:name w:val="Comment Subject Char"/>
    <w:basedOn w:val="CommentTextChar"/>
    <w:link w:val="CommentSubject"/>
    <w:rsid w:val="001C04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0C6D-395B-44BC-ABBA-395D3B8B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977</Words>
  <Characters>5516</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EXPLANATORY STATEMENT</vt:lpstr>
      <vt:lpstr>        OUTLINE</vt:lpstr>
      <vt:lpstr>        BACKGROUND</vt:lpstr>
      <vt:lpstr>        REGULATION IMPACT STATEMENT</vt:lpstr>
    </vt:vector>
  </TitlesOfParts>
  <Company>HFS</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hucksl</dc:creator>
  <cp:lastModifiedBy> LH</cp:lastModifiedBy>
  <cp:revision>44</cp:revision>
  <cp:lastPrinted>2011-04-19T04:10:00Z</cp:lastPrinted>
  <dcterms:created xsi:type="dcterms:W3CDTF">2011-06-14T23:19:00Z</dcterms:created>
  <dcterms:modified xsi:type="dcterms:W3CDTF">2011-07-04T01:15:00Z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