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66" w:rsidRDefault="002A2A66" w:rsidP="002A2A66">
      <w:pPr>
        <w:pStyle w:val="HP"/>
        <w:keepNext w:val="0"/>
        <w:spacing w:before="0"/>
      </w:pPr>
      <w:r>
        <w:t xml:space="preserve">Commonwealth of </w:t>
      </w:r>
      <w:smartTag w:uri="urn:schemas-microsoft-com:office:smarttags" w:element="place">
        <w:smartTag w:uri="urn:schemas-microsoft-com:office:smarttags" w:element="country-region">
          <w:r>
            <w:t>Australia</w:t>
          </w:r>
        </w:smartTag>
      </w:smartTag>
    </w:p>
    <w:p w:rsidR="002A2A66" w:rsidRDefault="002A2A66" w:rsidP="002A2A66">
      <w:pPr>
        <w:jc w:val="center"/>
        <w:rPr>
          <w:b/>
          <w:bCs/>
        </w:rPr>
      </w:pPr>
    </w:p>
    <w:p w:rsidR="002A2A66" w:rsidRPr="00C429BD" w:rsidRDefault="002A2A66" w:rsidP="002A2A66">
      <w:pPr>
        <w:pStyle w:val="Heading6"/>
        <w:numPr>
          <w:ilvl w:val="0"/>
          <w:numId w:val="0"/>
        </w:numPr>
        <w:jc w:val="center"/>
        <w:rPr>
          <w:i/>
        </w:rPr>
      </w:pPr>
      <w:r w:rsidRPr="00C429BD">
        <w:rPr>
          <w:i/>
        </w:rPr>
        <w:t>Telecommunications (Consumer Protection and Service Standards) Act 1999</w:t>
      </w:r>
      <w:r w:rsidR="00183DE6">
        <w:rPr>
          <w:i/>
        </w:rPr>
        <w:t xml:space="preserve"> </w:t>
      </w:r>
    </w:p>
    <w:p w:rsidR="002A2A66" w:rsidRDefault="002A2A66" w:rsidP="002A2A66">
      <w:pPr>
        <w:pStyle w:val="Title"/>
        <w:spacing w:before="0"/>
      </w:pPr>
      <w:bookmarkStart w:id="0" w:name="year"/>
    </w:p>
    <w:bookmarkEnd w:id="0"/>
    <w:p w:rsidR="007F1E27" w:rsidRDefault="002A2A66" w:rsidP="002A2A66">
      <w:pPr>
        <w:pStyle w:val="Title"/>
        <w:spacing w:before="0"/>
      </w:pPr>
      <w:r w:rsidRPr="005133D0">
        <w:t>Telecommunications (Customer Service Guarantee</w:t>
      </w:r>
      <w:r>
        <w:t xml:space="preserve"> – </w:t>
      </w:r>
      <w:r w:rsidRPr="005133D0">
        <w:t>Retail Performance Benchmark</w:t>
      </w:r>
      <w:r>
        <w:t>s) Instrument</w:t>
      </w:r>
      <w:r w:rsidRPr="005133D0">
        <w:t xml:space="preserve"> </w:t>
      </w:r>
    </w:p>
    <w:p w:rsidR="002A2A66" w:rsidRPr="005133D0" w:rsidRDefault="002A2A66" w:rsidP="002A2A66">
      <w:pPr>
        <w:pStyle w:val="Title"/>
        <w:spacing w:before="0"/>
      </w:pPr>
      <w:r w:rsidRPr="005133D0">
        <w:t>(No. 1)</w:t>
      </w:r>
      <w:r w:rsidR="00183DE6">
        <w:t xml:space="preserve"> </w:t>
      </w:r>
      <w:r w:rsidRPr="005133D0">
        <w:t xml:space="preserve">2011 </w:t>
      </w:r>
    </w:p>
    <w:p w:rsidR="002A2A66" w:rsidRDefault="002A2A66" w:rsidP="002A2A66"/>
    <w:p w:rsidR="002A2A66" w:rsidRDefault="002A2A66" w:rsidP="002A2A66">
      <w:pPr>
        <w:spacing w:before="400" w:line="300" w:lineRule="atLeast"/>
      </w:pPr>
      <w:r>
        <w:t>I,</w:t>
      </w:r>
      <w:r>
        <w:rPr>
          <w:caps/>
        </w:rPr>
        <w:t xml:space="preserve"> STEPHEN michael CONROY</w:t>
      </w:r>
      <w:r>
        <w:t xml:space="preserve">, Minister for Broadband, Communications and the Digital Economy, make the following </w:t>
      </w:r>
      <w:r w:rsidRPr="0073456C">
        <w:t>instrument</w:t>
      </w:r>
      <w:r>
        <w:t xml:space="preserve"> under subsection </w:t>
      </w:r>
      <w:proofErr w:type="gramStart"/>
      <w:r>
        <w:t>117B(</w:t>
      </w:r>
      <w:proofErr w:type="gramEnd"/>
      <w:r>
        <w:t xml:space="preserve">1) of the </w:t>
      </w:r>
      <w:r>
        <w:rPr>
          <w:i/>
          <w:iCs/>
        </w:rPr>
        <w:t>Telecommunications (Consumer Protection and Service Standards) Act 1999</w:t>
      </w:r>
      <w:r>
        <w:t>.</w:t>
      </w:r>
    </w:p>
    <w:p w:rsidR="002A2A66" w:rsidRDefault="002A2A66" w:rsidP="002A2A66">
      <w:pPr>
        <w:tabs>
          <w:tab w:val="center" w:pos="3119"/>
        </w:tabs>
        <w:spacing w:before="300" w:after="600" w:line="300" w:lineRule="atLeast"/>
      </w:pPr>
      <w:r>
        <w:t xml:space="preserve">Dated                </w:t>
      </w:r>
      <w:r w:rsidR="001C1DC6">
        <w:t>22 July</w:t>
      </w:r>
      <w:r>
        <w:t xml:space="preserve">               2011</w:t>
      </w:r>
    </w:p>
    <w:p w:rsidR="002A2A66" w:rsidRDefault="002A2A66" w:rsidP="002A2A66">
      <w:pPr>
        <w:pStyle w:val="HP"/>
        <w:keepNext w:val="0"/>
        <w:spacing w:before="0"/>
        <w:rPr>
          <w:b w:val="0"/>
          <w:bCs w:val="0"/>
        </w:rPr>
      </w:pPr>
      <w:r>
        <w:rPr>
          <w:b w:val="0"/>
          <w:bCs w:val="0"/>
        </w:rPr>
        <w:t>STEPHEN CONROY</w:t>
      </w:r>
    </w:p>
    <w:p w:rsidR="002A2A66" w:rsidRDefault="002A2A66" w:rsidP="002A2A66">
      <w:pPr>
        <w:jc w:val="center"/>
      </w:pPr>
      <w:r>
        <w:t>Minister for Broadband, Communications and the Digital Economy _________________________________________________________________</w:t>
      </w:r>
    </w:p>
    <w:p w:rsidR="002A2A66" w:rsidRPr="004B7711" w:rsidRDefault="002A2A66" w:rsidP="002A2A66">
      <w:pPr>
        <w:pStyle w:val="HR"/>
        <w:tabs>
          <w:tab w:val="clear" w:pos="540"/>
          <w:tab w:val="left" w:pos="1985"/>
        </w:tabs>
        <w:spacing w:before="400" w:line="300" w:lineRule="atLeast"/>
        <w:rPr>
          <w:rFonts w:ascii="Arial" w:hAnsi="Arial"/>
          <w:sz w:val="36"/>
          <w:szCs w:val="36"/>
        </w:rPr>
      </w:pPr>
      <w:r w:rsidRPr="004B7711">
        <w:rPr>
          <w:rFonts w:ascii="Arial" w:hAnsi="Arial"/>
          <w:sz w:val="36"/>
          <w:szCs w:val="36"/>
        </w:rPr>
        <w:t>Part 1</w:t>
      </w:r>
      <w:r>
        <w:rPr>
          <w:rFonts w:ascii="Arial" w:hAnsi="Arial"/>
          <w:sz w:val="36"/>
          <w:szCs w:val="36"/>
        </w:rPr>
        <w:tab/>
      </w:r>
      <w:r w:rsidRPr="004B7711">
        <w:rPr>
          <w:rFonts w:ascii="Arial" w:hAnsi="Arial"/>
          <w:sz w:val="36"/>
          <w:szCs w:val="36"/>
        </w:rPr>
        <w:t>Preliminary</w:t>
      </w:r>
    </w:p>
    <w:p w:rsidR="002A2A66" w:rsidRDefault="002A2A66" w:rsidP="002A2A66">
      <w:pPr>
        <w:pStyle w:val="HR"/>
        <w:numPr>
          <w:ilvl w:val="0"/>
          <w:numId w:val="12"/>
        </w:numPr>
        <w:tabs>
          <w:tab w:val="clear" w:pos="540"/>
        </w:tabs>
        <w:spacing w:before="400" w:line="300" w:lineRule="atLeast"/>
        <w:jc w:val="left"/>
        <w:rPr>
          <w:rFonts w:ascii="Arial" w:hAnsi="Arial" w:cs="Arial"/>
        </w:rPr>
      </w:pPr>
      <w:r>
        <w:rPr>
          <w:rFonts w:ascii="Arial" w:hAnsi="Arial" w:cs="Arial"/>
        </w:rPr>
        <w:t>Name of instrument</w:t>
      </w:r>
    </w:p>
    <w:p w:rsidR="002A2A66" w:rsidRDefault="002A2A66" w:rsidP="002A2A66">
      <w:pPr>
        <w:spacing w:before="120" w:line="300" w:lineRule="atLeast"/>
        <w:ind w:left="567"/>
        <w:rPr>
          <w:b/>
          <w:bCs/>
        </w:rPr>
      </w:pPr>
      <w:r>
        <w:t xml:space="preserve">This Instrument is the </w:t>
      </w:r>
      <w:r>
        <w:rPr>
          <w:i/>
          <w:iCs/>
        </w:rPr>
        <w:t xml:space="preserve">Telecommunications (Customer Service Guarantee – Retail Performance Benchmarks) Instrument (No. 1) 2011. </w:t>
      </w:r>
    </w:p>
    <w:p w:rsidR="002A2A66" w:rsidRDefault="002A2A66" w:rsidP="002A2A66">
      <w:pPr>
        <w:pStyle w:val="HR"/>
        <w:numPr>
          <w:ilvl w:val="0"/>
          <w:numId w:val="12"/>
        </w:numPr>
        <w:tabs>
          <w:tab w:val="clear" w:pos="540"/>
        </w:tabs>
        <w:spacing w:before="400" w:line="300" w:lineRule="atLeast"/>
        <w:jc w:val="left"/>
        <w:rPr>
          <w:rFonts w:ascii="Arial" w:hAnsi="Arial" w:cs="Arial"/>
        </w:rPr>
      </w:pPr>
      <w:r>
        <w:rPr>
          <w:rFonts w:ascii="Arial" w:hAnsi="Arial" w:cs="Arial"/>
        </w:rPr>
        <w:t>Commencement</w:t>
      </w:r>
    </w:p>
    <w:p w:rsidR="002A2A66" w:rsidRPr="003F2B22" w:rsidRDefault="002A2A66" w:rsidP="002A2A66">
      <w:pPr>
        <w:spacing w:before="120" w:after="120" w:line="276" w:lineRule="auto"/>
        <w:ind w:left="567"/>
        <w:rPr>
          <w:color w:val="000000"/>
          <w:spacing w:val="-3"/>
          <w:szCs w:val="24"/>
          <w:lang w:val="en-US"/>
        </w:rPr>
      </w:pPr>
      <w:r w:rsidRPr="003F2B22">
        <w:t xml:space="preserve">This </w:t>
      </w:r>
      <w:r>
        <w:t>Instrument</w:t>
      </w:r>
      <w:r w:rsidRPr="003F2B22">
        <w:t xml:space="preserve"> commences on </w:t>
      </w:r>
      <w:r>
        <w:rPr>
          <w:color w:val="000000"/>
          <w:spacing w:val="-3"/>
          <w:szCs w:val="24"/>
          <w:lang w:val="en-US"/>
        </w:rPr>
        <w:t xml:space="preserve">1 </w:t>
      </w:r>
      <w:r w:rsidR="00125E42">
        <w:rPr>
          <w:color w:val="000000"/>
          <w:spacing w:val="-3"/>
          <w:szCs w:val="24"/>
          <w:lang w:val="en-US"/>
        </w:rPr>
        <w:t xml:space="preserve">October </w:t>
      </w:r>
      <w:r>
        <w:rPr>
          <w:color w:val="000000"/>
          <w:spacing w:val="-3"/>
          <w:szCs w:val="24"/>
          <w:lang w:val="en-US"/>
        </w:rPr>
        <w:t>2011.</w:t>
      </w:r>
    </w:p>
    <w:p w:rsidR="002A2A66" w:rsidRDefault="002A2A66" w:rsidP="002A2A66">
      <w:pPr>
        <w:pStyle w:val="HR"/>
        <w:numPr>
          <w:ilvl w:val="0"/>
          <w:numId w:val="12"/>
        </w:numPr>
        <w:tabs>
          <w:tab w:val="clear" w:pos="540"/>
        </w:tabs>
        <w:spacing w:before="400" w:line="300" w:lineRule="atLeast"/>
        <w:jc w:val="left"/>
        <w:rPr>
          <w:rFonts w:ascii="Arial" w:hAnsi="Arial" w:cs="Arial"/>
        </w:rPr>
      </w:pPr>
      <w:r>
        <w:rPr>
          <w:rFonts w:ascii="Arial" w:hAnsi="Arial" w:cs="Arial"/>
        </w:rPr>
        <w:t>Definitions</w:t>
      </w:r>
    </w:p>
    <w:p w:rsidR="002A2A66" w:rsidRPr="00471617" w:rsidRDefault="002A2A66" w:rsidP="002A2A66">
      <w:pPr>
        <w:pStyle w:val="definition"/>
        <w:numPr>
          <w:ilvl w:val="0"/>
          <w:numId w:val="13"/>
        </w:numPr>
        <w:tabs>
          <w:tab w:val="clear" w:pos="1260"/>
          <w:tab w:val="left" w:pos="540"/>
        </w:tabs>
        <w:spacing w:before="120" w:after="120"/>
        <w:jc w:val="left"/>
        <w:rPr>
          <w:rFonts w:ascii="Times New Roman" w:hAnsi="Times New Roman" w:cs="Times New Roman"/>
          <w:sz w:val="24"/>
          <w:szCs w:val="24"/>
        </w:rPr>
      </w:pPr>
      <w:r>
        <w:rPr>
          <w:rFonts w:ascii="Times New Roman" w:hAnsi="Times New Roman" w:cs="Times New Roman"/>
          <w:bCs/>
          <w:iCs/>
          <w:sz w:val="24"/>
          <w:szCs w:val="24"/>
        </w:rPr>
        <w:t>In</w:t>
      </w:r>
      <w:r>
        <w:rPr>
          <w:rFonts w:ascii="Times New Roman" w:hAnsi="Times New Roman" w:cs="Times New Roman"/>
          <w:sz w:val="24"/>
          <w:szCs w:val="24"/>
        </w:rPr>
        <w:t xml:space="preserve"> this Instrument, unless the contrary intention appears:</w:t>
      </w:r>
    </w:p>
    <w:p w:rsidR="002A2A66" w:rsidRDefault="002A2A66" w:rsidP="002A2A66">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bCs/>
          <w:i/>
          <w:iCs/>
          <w:sz w:val="24"/>
          <w:szCs w:val="24"/>
        </w:rPr>
        <w:t xml:space="preserve">Act </w:t>
      </w:r>
      <w:r>
        <w:rPr>
          <w:rFonts w:ascii="Times New Roman" w:hAnsi="Times New Roman" w:cs="Times New Roman"/>
          <w:sz w:val="24"/>
          <w:szCs w:val="24"/>
        </w:rPr>
        <w:t xml:space="preserve">means the </w:t>
      </w:r>
      <w:r>
        <w:rPr>
          <w:rFonts w:ascii="Times New Roman" w:hAnsi="Times New Roman" w:cs="Times New Roman"/>
          <w:i/>
          <w:iCs/>
          <w:sz w:val="24"/>
          <w:szCs w:val="24"/>
        </w:rPr>
        <w:t>Telecommunications (Consumer Protection and Service Standards) Act 1999</w:t>
      </w:r>
      <w:r>
        <w:rPr>
          <w:rFonts w:ascii="Times New Roman" w:hAnsi="Times New Roman" w:cs="Times New Roman"/>
          <w:sz w:val="24"/>
          <w:szCs w:val="24"/>
        </w:rPr>
        <w:t>.</w:t>
      </w:r>
    </w:p>
    <w:p w:rsidR="002A2A66" w:rsidRPr="005D3D14" w:rsidRDefault="002A2A66" w:rsidP="002A2A66">
      <w:pPr>
        <w:pStyle w:val="definition"/>
        <w:tabs>
          <w:tab w:val="clear" w:pos="1260"/>
          <w:tab w:val="left" w:pos="851"/>
        </w:tabs>
        <w:spacing w:before="120" w:after="120"/>
        <w:ind w:left="851"/>
        <w:jc w:val="left"/>
        <w:rPr>
          <w:rFonts w:ascii="Times New Roman" w:hAnsi="Times New Roman" w:cs="Times New Roman"/>
          <w:b/>
          <w:bCs/>
          <w:i/>
          <w:iCs/>
          <w:sz w:val="24"/>
          <w:szCs w:val="24"/>
        </w:rPr>
      </w:pPr>
      <w:proofErr w:type="gramStart"/>
      <w:r w:rsidRPr="0068129B">
        <w:rPr>
          <w:rFonts w:ascii="Times New Roman" w:hAnsi="Times New Roman" w:cs="Times New Roman"/>
          <w:b/>
          <w:bCs/>
          <w:i/>
          <w:iCs/>
          <w:sz w:val="24"/>
          <w:szCs w:val="24"/>
        </w:rPr>
        <w:t>appointment</w:t>
      </w:r>
      <w:r>
        <w:rPr>
          <w:rFonts w:ascii="Times New Roman" w:hAnsi="Times New Roman" w:cs="Times New Roman"/>
          <w:b/>
          <w:bCs/>
          <w:i/>
          <w:iCs/>
          <w:sz w:val="24"/>
          <w:szCs w:val="24"/>
        </w:rPr>
        <w:t>-</w:t>
      </w:r>
      <w:r w:rsidRPr="0068129B">
        <w:rPr>
          <w:rFonts w:ascii="Times New Roman" w:hAnsi="Times New Roman" w:cs="Times New Roman"/>
          <w:b/>
          <w:bCs/>
          <w:i/>
          <w:iCs/>
          <w:sz w:val="24"/>
          <w:szCs w:val="24"/>
        </w:rPr>
        <w:t>keeping</w:t>
      </w:r>
      <w:proofErr w:type="gramEnd"/>
      <w:r w:rsidRPr="0068129B">
        <w:rPr>
          <w:rFonts w:ascii="Times New Roman" w:hAnsi="Times New Roman" w:cs="Times New Roman"/>
          <w:b/>
          <w:bCs/>
          <w:i/>
          <w:iCs/>
          <w:sz w:val="24"/>
          <w:szCs w:val="24"/>
        </w:rPr>
        <w:t xml:space="preserve"> performance standard</w:t>
      </w:r>
      <w:r>
        <w:rPr>
          <w:rFonts w:ascii="Times New Roman" w:hAnsi="Times New Roman" w:cs="Times New Roman"/>
          <w:b/>
          <w:bCs/>
          <w:i/>
          <w:iCs/>
          <w:sz w:val="24"/>
          <w:szCs w:val="24"/>
        </w:rPr>
        <w:t xml:space="preserve"> </w:t>
      </w:r>
      <w:r>
        <w:rPr>
          <w:rFonts w:ascii="Times New Roman" w:hAnsi="Times New Roman" w:cs="Times New Roman"/>
          <w:bCs/>
          <w:iCs/>
          <w:sz w:val="24"/>
          <w:szCs w:val="24"/>
        </w:rPr>
        <w:t xml:space="preserve">has the meaning given by subsection 8(1) of this Instrument. </w:t>
      </w:r>
    </w:p>
    <w:p w:rsidR="002A2A66" w:rsidRPr="00FA4CD7"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connection</w:t>
      </w:r>
      <w:proofErr w:type="gramEnd"/>
      <w:r>
        <w:rPr>
          <w:rFonts w:ascii="Times New Roman" w:hAnsi="Times New Roman" w:cs="Times New Roman"/>
          <w:b/>
          <w:bCs/>
          <w:i/>
          <w:iCs/>
          <w:sz w:val="24"/>
          <w:szCs w:val="24"/>
        </w:rPr>
        <w:t xml:space="preserve"> period performance standard </w:t>
      </w:r>
      <w:r>
        <w:rPr>
          <w:rFonts w:ascii="Times New Roman" w:hAnsi="Times New Roman" w:cs="Times New Roman"/>
          <w:bCs/>
          <w:iCs/>
          <w:sz w:val="24"/>
          <w:szCs w:val="24"/>
        </w:rPr>
        <w:t>has the meaning given by subsection 6(1) of this Instrument.</w:t>
      </w:r>
    </w:p>
    <w:p w:rsidR="002A2A66" w:rsidRDefault="002A2A66" w:rsidP="002A2A66">
      <w:pPr>
        <w:pStyle w:val="definition"/>
        <w:tabs>
          <w:tab w:val="clear" w:pos="1260"/>
          <w:tab w:val="left" w:pos="851"/>
        </w:tabs>
        <w:spacing w:before="120" w:after="120"/>
        <w:ind w:left="851"/>
        <w:jc w:val="left"/>
        <w:rPr>
          <w:rFonts w:ascii="Times New Roman" w:hAnsi="Times New Roman" w:cs="Times New Roman"/>
          <w:bCs/>
          <w:i/>
          <w:iCs/>
          <w:sz w:val="24"/>
          <w:szCs w:val="24"/>
        </w:rPr>
      </w:pPr>
      <w:r>
        <w:rPr>
          <w:rFonts w:ascii="Times New Roman" w:hAnsi="Times New Roman" w:cs="Times New Roman"/>
          <w:b/>
          <w:bCs/>
          <w:i/>
          <w:iCs/>
          <w:sz w:val="24"/>
          <w:szCs w:val="24"/>
        </w:rPr>
        <w:t xml:space="preserve">CSG Standard </w:t>
      </w:r>
      <w:r>
        <w:rPr>
          <w:rFonts w:ascii="Times New Roman" w:hAnsi="Times New Roman" w:cs="Times New Roman"/>
          <w:bCs/>
          <w:iCs/>
          <w:sz w:val="24"/>
          <w:szCs w:val="24"/>
        </w:rPr>
        <w:t xml:space="preserve">means the </w:t>
      </w:r>
      <w:r>
        <w:rPr>
          <w:rFonts w:ascii="Times New Roman" w:hAnsi="Times New Roman" w:cs="Times New Roman"/>
          <w:bCs/>
          <w:i/>
          <w:iCs/>
          <w:sz w:val="24"/>
          <w:szCs w:val="24"/>
        </w:rPr>
        <w:t xml:space="preserve">Telecommunications (Customer Service Guarantee) Standard 2011, </w:t>
      </w:r>
      <w:r w:rsidRPr="00B22685">
        <w:rPr>
          <w:rFonts w:ascii="Times New Roman" w:hAnsi="Times New Roman" w:cs="Times New Roman"/>
          <w:bCs/>
          <w:iCs/>
          <w:sz w:val="24"/>
          <w:szCs w:val="24"/>
        </w:rPr>
        <w:t>as in force from time to time.</w:t>
      </w:r>
    </w:p>
    <w:p w:rsidR="002A2A66" w:rsidRPr="002F6030"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lastRenderedPageBreak/>
        <w:t>in-place</w:t>
      </w:r>
      <w:proofErr w:type="gramEnd"/>
      <w:r>
        <w:rPr>
          <w:rFonts w:ascii="Times New Roman" w:hAnsi="Times New Roman" w:cs="Times New Roman"/>
          <w:b/>
          <w:bCs/>
          <w:i/>
          <w:iCs/>
          <w:sz w:val="24"/>
          <w:szCs w:val="24"/>
        </w:rPr>
        <w:t xml:space="preserve"> connection request </w:t>
      </w:r>
      <w:r>
        <w:rPr>
          <w:rFonts w:ascii="Times New Roman" w:hAnsi="Times New Roman" w:cs="Times New Roman"/>
          <w:bCs/>
          <w:iCs/>
          <w:sz w:val="24"/>
          <w:szCs w:val="24"/>
        </w:rPr>
        <w:t xml:space="preserve">means a request made by a customer to a carriage service provider for connection to a </w:t>
      </w:r>
      <w:r w:rsidR="00C13CE4">
        <w:rPr>
          <w:rFonts w:ascii="Times New Roman" w:hAnsi="Times New Roman" w:cs="Times New Roman"/>
          <w:bCs/>
          <w:iCs/>
          <w:sz w:val="24"/>
          <w:szCs w:val="24"/>
        </w:rPr>
        <w:t xml:space="preserve">CSG </w:t>
      </w:r>
      <w:r>
        <w:rPr>
          <w:rFonts w:ascii="Times New Roman" w:hAnsi="Times New Roman" w:cs="Times New Roman"/>
          <w:bCs/>
          <w:iCs/>
          <w:sz w:val="24"/>
          <w:szCs w:val="24"/>
        </w:rPr>
        <w:t>service where the carriage service provider is required to comply with the request in the guaranteed maximum connection period at item 201 of Schedule 1 to the CSG Standard.</w:t>
      </w:r>
    </w:p>
    <w:p w:rsidR="002A2A66" w:rsidRPr="00087213"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major</w:t>
      </w:r>
      <w:proofErr w:type="gramEnd"/>
      <w:r>
        <w:rPr>
          <w:rFonts w:ascii="Times New Roman" w:hAnsi="Times New Roman" w:cs="Times New Roman"/>
          <w:b/>
          <w:bCs/>
          <w:i/>
          <w:iCs/>
          <w:sz w:val="24"/>
          <w:szCs w:val="24"/>
        </w:rPr>
        <w:t xml:space="preserve"> rural area </w:t>
      </w:r>
      <w:r>
        <w:rPr>
          <w:rFonts w:ascii="Times New Roman" w:hAnsi="Times New Roman" w:cs="Times New Roman"/>
          <w:bCs/>
          <w:iCs/>
          <w:sz w:val="24"/>
          <w:szCs w:val="24"/>
        </w:rPr>
        <w:t xml:space="preserve">means an urban centre or other recognised community grouping with a population greater than 2,500 but less than 10,000 people.  </w:t>
      </w:r>
    </w:p>
    <w:p w:rsidR="002A2A66" w:rsidRPr="003A48C5"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minor</w:t>
      </w:r>
      <w:proofErr w:type="gramEnd"/>
      <w:r>
        <w:rPr>
          <w:rFonts w:ascii="Times New Roman" w:hAnsi="Times New Roman" w:cs="Times New Roman"/>
          <w:b/>
          <w:bCs/>
          <w:i/>
          <w:iCs/>
          <w:sz w:val="24"/>
          <w:szCs w:val="24"/>
        </w:rPr>
        <w:t xml:space="preserve"> rural area </w:t>
      </w:r>
      <w:r>
        <w:rPr>
          <w:rFonts w:ascii="Times New Roman" w:hAnsi="Times New Roman" w:cs="Times New Roman"/>
          <w:bCs/>
          <w:iCs/>
          <w:sz w:val="24"/>
          <w:szCs w:val="24"/>
        </w:rPr>
        <w:t>means an urban centre, locality or other recognised community grouping with a population of greater than 200 but not more than 2,500 people.</w:t>
      </w:r>
    </w:p>
    <w:p w:rsidR="002A2A66" w:rsidRPr="00DB73BE"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new</w:t>
      </w:r>
      <w:proofErr w:type="gramEnd"/>
      <w:r>
        <w:rPr>
          <w:rFonts w:ascii="Times New Roman" w:hAnsi="Times New Roman" w:cs="Times New Roman"/>
          <w:b/>
          <w:bCs/>
          <w:i/>
          <w:iCs/>
          <w:sz w:val="24"/>
          <w:szCs w:val="24"/>
        </w:rPr>
        <w:t xml:space="preserve"> connection request </w:t>
      </w:r>
      <w:r>
        <w:rPr>
          <w:rFonts w:ascii="Times New Roman" w:hAnsi="Times New Roman" w:cs="Times New Roman"/>
          <w:bCs/>
          <w:iCs/>
          <w:sz w:val="24"/>
          <w:szCs w:val="24"/>
        </w:rPr>
        <w:t xml:space="preserve">refers to a request made by a customer to a carriage service provider for connection to a </w:t>
      </w:r>
      <w:r w:rsidR="00C13CE4">
        <w:rPr>
          <w:rFonts w:ascii="Times New Roman" w:hAnsi="Times New Roman" w:cs="Times New Roman"/>
          <w:bCs/>
          <w:iCs/>
          <w:sz w:val="24"/>
          <w:szCs w:val="24"/>
        </w:rPr>
        <w:t xml:space="preserve">CSG </w:t>
      </w:r>
      <w:r>
        <w:rPr>
          <w:rFonts w:ascii="Times New Roman" w:hAnsi="Times New Roman" w:cs="Times New Roman"/>
          <w:bCs/>
          <w:iCs/>
          <w:sz w:val="24"/>
          <w:szCs w:val="24"/>
        </w:rPr>
        <w:t>service where the carriage service provider is required to comply with the request in the guaranteed maximum connection period at item 202 of Schedule 1 to the CSG Standard.</w:t>
      </w:r>
    </w:p>
    <w:p w:rsidR="002A2A66"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qualifying</w:t>
      </w:r>
      <w:proofErr w:type="gramEnd"/>
      <w:r>
        <w:rPr>
          <w:rFonts w:ascii="Times New Roman" w:hAnsi="Times New Roman" w:cs="Times New Roman"/>
          <w:b/>
          <w:bCs/>
          <w:i/>
          <w:iCs/>
          <w:sz w:val="24"/>
          <w:szCs w:val="24"/>
        </w:rPr>
        <w:t xml:space="preserve"> carriage service </w:t>
      </w:r>
      <w:r w:rsidRPr="00000A7B">
        <w:rPr>
          <w:rFonts w:ascii="Times New Roman" w:hAnsi="Times New Roman" w:cs="Times New Roman"/>
          <w:b/>
          <w:bCs/>
          <w:i/>
          <w:iCs/>
          <w:sz w:val="24"/>
          <w:szCs w:val="24"/>
        </w:rPr>
        <w:t>provider</w:t>
      </w:r>
      <w:r>
        <w:rPr>
          <w:rFonts w:ascii="Times New Roman" w:hAnsi="Times New Roman" w:cs="Times New Roman"/>
          <w:bCs/>
          <w:iCs/>
          <w:sz w:val="24"/>
          <w:szCs w:val="24"/>
        </w:rPr>
        <w:t xml:space="preserve"> has the meaning given by section 4 of this Instrument. </w:t>
      </w:r>
    </w:p>
    <w:p w:rsidR="002A2A66" w:rsidRPr="00F72216"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sidRPr="004D2216">
        <w:rPr>
          <w:rFonts w:ascii="Times New Roman" w:hAnsi="Times New Roman" w:cs="Times New Roman"/>
          <w:b/>
          <w:bCs/>
          <w:i/>
          <w:iCs/>
          <w:sz w:val="24"/>
          <w:szCs w:val="24"/>
        </w:rPr>
        <w:t>rectification</w:t>
      </w:r>
      <w:proofErr w:type="gramEnd"/>
      <w:r w:rsidRPr="00F72216">
        <w:rPr>
          <w:rFonts w:ascii="Times New Roman" w:hAnsi="Times New Roman" w:cs="Times New Roman"/>
          <w:b/>
          <w:bCs/>
          <w:i/>
          <w:iCs/>
          <w:sz w:val="24"/>
          <w:szCs w:val="24"/>
        </w:rPr>
        <w:t xml:space="preserve"> period performance standard</w:t>
      </w:r>
      <w:r>
        <w:rPr>
          <w:rFonts w:ascii="Times New Roman" w:hAnsi="Times New Roman" w:cs="Times New Roman"/>
          <w:b/>
          <w:bCs/>
          <w:i/>
          <w:iCs/>
          <w:sz w:val="24"/>
          <w:szCs w:val="24"/>
        </w:rPr>
        <w:t xml:space="preserve"> </w:t>
      </w:r>
      <w:r>
        <w:rPr>
          <w:rFonts w:ascii="Times New Roman" w:hAnsi="Times New Roman" w:cs="Times New Roman"/>
          <w:bCs/>
          <w:iCs/>
          <w:sz w:val="24"/>
          <w:szCs w:val="24"/>
        </w:rPr>
        <w:t>has the meaning given by subsection 7(1) of this Instrument.</w:t>
      </w:r>
    </w:p>
    <w:p w:rsidR="002A2A66" w:rsidRDefault="002A2A66" w:rsidP="002A2A66">
      <w:pPr>
        <w:pStyle w:val="definition"/>
        <w:tabs>
          <w:tab w:val="clear" w:pos="1260"/>
          <w:tab w:val="left" w:pos="851"/>
        </w:tabs>
        <w:spacing w:before="120" w:after="12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remote</w:t>
      </w:r>
      <w:proofErr w:type="gramEnd"/>
      <w:r>
        <w:rPr>
          <w:rFonts w:ascii="Times New Roman" w:hAnsi="Times New Roman" w:cs="Times New Roman"/>
          <w:b/>
          <w:bCs/>
          <w:i/>
          <w:iCs/>
          <w:sz w:val="24"/>
          <w:szCs w:val="24"/>
        </w:rPr>
        <w:t xml:space="preserve"> area </w:t>
      </w:r>
      <w:r>
        <w:rPr>
          <w:rFonts w:ascii="Times New Roman" w:hAnsi="Times New Roman" w:cs="Times New Roman"/>
          <w:bCs/>
          <w:iCs/>
          <w:sz w:val="24"/>
          <w:szCs w:val="24"/>
        </w:rPr>
        <w:t>means a geographic</w:t>
      </w:r>
      <w:r w:rsidRPr="00014E73">
        <w:rPr>
          <w:rFonts w:ascii="Times New Roman" w:hAnsi="Times New Roman" w:cs="Times New Roman"/>
          <w:bCs/>
          <w:iCs/>
          <w:sz w:val="24"/>
          <w:szCs w:val="24"/>
        </w:rPr>
        <w:t xml:space="preserve"> area</w:t>
      </w:r>
      <w:r>
        <w:rPr>
          <w:rFonts w:ascii="Times New Roman" w:hAnsi="Times New Roman" w:cs="Times New Roman"/>
          <w:bCs/>
          <w:iCs/>
          <w:sz w:val="24"/>
          <w:szCs w:val="24"/>
        </w:rPr>
        <w:t xml:space="preserve"> which is not an urban area, major rural area or minor rural area. </w:t>
      </w:r>
      <w:r w:rsidRPr="00014E73">
        <w:rPr>
          <w:rFonts w:ascii="Times New Roman" w:hAnsi="Times New Roman" w:cs="Times New Roman"/>
          <w:bCs/>
          <w:iCs/>
          <w:sz w:val="24"/>
          <w:szCs w:val="24"/>
        </w:rPr>
        <w:t xml:space="preserve"> </w:t>
      </w:r>
    </w:p>
    <w:p w:rsidR="002A2A66" w:rsidRPr="00F72216" w:rsidRDefault="002A2A66" w:rsidP="002A2A66">
      <w:pPr>
        <w:pStyle w:val="definition"/>
        <w:tabs>
          <w:tab w:val="clear" w:pos="1260"/>
          <w:tab w:val="left" w:pos="851"/>
        </w:tabs>
        <w:spacing w:before="120" w:after="120"/>
        <w:ind w:left="851"/>
        <w:jc w:val="left"/>
        <w:rPr>
          <w:rFonts w:ascii="Times New Roman" w:hAnsi="Times New Roman" w:cs="Times New Roman"/>
          <w:b/>
          <w:bCs/>
          <w:iCs/>
          <w:sz w:val="22"/>
          <w:szCs w:val="24"/>
        </w:rPr>
      </w:pPr>
      <w:proofErr w:type="gramStart"/>
      <w:r>
        <w:rPr>
          <w:rFonts w:ascii="Times New Roman" w:hAnsi="Times New Roman" w:cs="Times New Roman"/>
          <w:b/>
          <w:bCs/>
          <w:i/>
          <w:iCs/>
          <w:sz w:val="24"/>
          <w:szCs w:val="24"/>
        </w:rPr>
        <w:t>rural</w:t>
      </w:r>
      <w:proofErr w:type="gramEnd"/>
      <w:r>
        <w:rPr>
          <w:rFonts w:ascii="Times New Roman" w:hAnsi="Times New Roman" w:cs="Times New Roman"/>
          <w:b/>
          <w:bCs/>
          <w:i/>
          <w:iCs/>
          <w:sz w:val="24"/>
          <w:szCs w:val="24"/>
        </w:rPr>
        <w:t xml:space="preserve"> area </w:t>
      </w:r>
      <w:r>
        <w:rPr>
          <w:rFonts w:ascii="Times New Roman" w:hAnsi="Times New Roman" w:cs="Times New Roman"/>
          <w:bCs/>
          <w:iCs/>
          <w:sz w:val="24"/>
          <w:szCs w:val="24"/>
        </w:rPr>
        <w:t xml:space="preserve">means an area that is either </w:t>
      </w:r>
      <w:r w:rsidRPr="00EC298E">
        <w:rPr>
          <w:rFonts w:ascii="Times New Roman" w:hAnsi="Times New Roman" w:cs="Times New Roman"/>
          <w:bCs/>
          <w:iCs/>
          <w:sz w:val="24"/>
          <w:szCs w:val="24"/>
        </w:rPr>
        <w:t xml:space="preserve">a major rural area </w:t>
      </w:r>
      <w:r>
        <w:rPr>
          <w:rFonts w:ascii="Times New Roman" w:hAnsi="Times New Roman" w:cs="Times New Roman"/>
          <w:bCs/>
          <w:iCs/>
          <w:sz w:val="24"/>
          <w:szCs w:val="24"/>
        </w:rPr>
        <w:t xml:space="preserve">or </w:t>
      </w:r>
      <w:r w:rsidRPr="00EC298E">
        <w:rPr>
          <w:rFonts w:ascii="Times New Roman" w:hAnsi="Times New Roman" w:cs="Times New Roman"/>
          <w:bCs/>
          <w:iCs/>
          <w:sz w:val="24"/>
          <w:szCs w:val="24"/>
        </w:rPr>
        <w:t>a minor rural area.</w:t>
      </w:r>
    </w:p>
    <w:p w:rsidR="007207F0" w:rsidRDefault="002A2A66" w:rsidP="007207F0">
      <w:pPr>
        <w:pStyle w:val="definition"/>
        <w:tabs>
          <w:tab w:val="clear" w:pos="1260"/>
          <w:tab w:val="left" w:pos="851"/>
        </w:tabs>
        <w:spacing w:before="0" w:after="200"/>
        <w:ind w:left="851"/>
        <w:jc w:val="left"/>
        <w:rPr>
          <w:rFonts w:ascii="Times New Roman" w:hAnsi="Times New Roman" w:cs="Times New Roman"/>
          <w:bCs/>
          <w:iCs/>
          <w:sz w:val="24"/>
          <w:szCs w:val="24"/>
        </w:rPr>
      </w:pPr>
      <w:proofErr w:type="gramStart"/>
      <w:r>
        <w:rPr>
          <w:rFonts w:ascii="Times New Roman" w:hAnsi="Times New Roman" w:cs="Times New Roman"/>
          <w:b/>
          <w:bCs/>
          <w:i/>
          <w:iCs/>
          <w:sz w:val="24"/>
          <w:szCs w:val="24"/>
        </w:rPr>
        <w:t>urban</w:t>
      </w:r>
      <w:proofErr w:type="gramEnd"/>
      <w:r>
        <w:rPr>
          <w:rFonts w:ascii="Times New Roman" w:hAnsi="Times New Roman" w:cs="Times New Roman"/>
          <w:b/>
          <w:bCs/>
          <w:i/>
          <w:iCs/>
          <w:sz w:val="24"/>
          <w:szCs w:val="24"/>
        </w:rPr>
        <w:t xml:space="preserve"> area </w:t>
      </w:r>
      <w:r>
        <w:rPr>
          <w:rFonts w:ascii="Times New Roman" w:hAnsi="Times New Roman" w:cs="Times New Roman"/>
          <w:bCs/>
          <w:iCs/>
          <w:sz w:val="24"/>
          <w:szCs w:val="24"/>
        </w:rPr>
        <w:t xml:space="preserve">means an urban centre with a population equal to or greater than 10,000 people. </w:t>
      </w:r>
    </w:p>
    <w:p w:rsidR="007207F0" w:rsidRDefault="00C94AAB" w:rsidP="007207F0">
      <w:pPr>
        <w:pStyle w:val="definition"/>
        <w:numPr>
          <w:ilvl w:val="0"/>
          <w:numId w:val="13"/>
        </w:numPr>
        <w:tabs>
          <w:tab w:val="left" w:pos="851"/>
        </w:tabs>
        <w:spacing w:before="0" w:after="200"/>
        <w:ind w:left="794" w:hanging="437"/>
        <w:rPr>
          <w:rFonts w:ascii="Times New Roman" w:hAnsi="Times New Roman" w:cs="Times New Roman"/>
          <w:bCs/>
          <w:iCs/>
          <w:sz w:val="24"/>
          <w:szCs w:val="24"/>
        </w:rPr>
      </w:pPr>
      <w:r w:rsidRPr="00BC488B">
        <w:rPr>
          <w:rFonts w:ascii="Times New Roman" w:hAnsi="Times New Roman" w:cs="Times New Roman"/>
          <w:bCs/>
          <w:iCs/>
          <w:sz w:val="24"/>
          <w:szCs w:val="24"/>
        </w:rPr>
        <w:t xml:space="preserve">Unless the contrary intention appears, </w:t>
      </w:r>
      <w:bookmarkStart w:id="1" w:name="OLE_LINK1"/>
      <w:bookmarkStart w:id="2" w:name="OLE_LINK2"/>
      <w:r w:rsidRPr="00BC488B">
        <w:rPr>
          <w:rFonts w:ascii="Times New Roman" w:hAnsi="Times New Roman" w:cs="Times New Roman"/>
          <w:bCs/>
          <w:iCs/>
          <w:sz w:val="24"/>
          <w:szCs w:val="24"/>
        </w:rPr>
        <w:t>expressions us</w:t>
      </w:r>
      <w:r>
        <w:rPr>
          <w:rFonts w:ascii="Times New Roman" w:hAnsi="Times New Roman" w:cs="Times New Roman"/>
          <w:bCs/>
          <w:iCs/>
          <w:sz w:val="24"/>
          <w:szCs w:val="24"/>
        </w:rPr>
        <w:t xml:space="preserve">ed in this Instrument and </w:t>
      </w:r>
      <w:r w:rsidRPr="00BC488B">
        <w:rPr>
          <w:rFonts w:ascii="Times New Roman" w:hAnsi="Times New Roman" w:cs="Times New Roman"/>
          <w:bCs/>
          <w:iCs/>
          <w:sz w:val="24"/>
          <w:szCs w:val="24"/>
        </w:rPr>
        <w:t>in the CSG Standard</w:t>
      </w:r>
      <w:bookmarkEnd w:id="1"/>
      <w:bookmarkEnd w:id="2"/>
      <w:r w:rsidRPr="00BC488B">
        <w:rPr>
          <w:rFonts w:ascii="Times New Roman" w:hAnsi="Times New Roman" w:cs="Times New Roman"/>
          <w:bCs/>
          <w:iCs/>
          <w:sz w:val="24"/>
          <w:szCs w:val="24"/>
        </w:rPr>
        <w:t xml:space="preserve"> ha</w:t>
      </w:r>
      <w:r>
        <w:rPr>
          <w:rFonts w:ascii="Times New Roman" w:hAnsi="Times New Roman" w:cs="Times New Roman"/>
          <w:bCs/>
          <w:iCs/>
          <w:sz w:val="24"/>
          <w:szCs w:val="24"/>
        </w:rPr>
        <w:t xml:space="preserve">ve </w:t>
      </w:r>
      <w:r w:rsidRPr="00BC488B">
        <w:rPr>
          <w:rFonts w:ascii="Times New Roman" w:hAnsi="Times New Roman" w:cs="Times New Roman"/>
          <w:bCs/>
          <w:iCs/>
          <w:sz w:val="24"/>
          <w:szCs w:val="24"/>
        </w:rPr>
        <w:t xml:space="preserve">the same meaning in this Instrument as in the </w:t>
      </w:r>
      <w:r>
        <w:rPr>
          <w:rFonts w:ascii="Times New Roman" w:hAnsi="Times New Roman" w:cs="Times New Roman"/>
          <w:bCs/>
          <w:iCs/>
          <w:sz w:val="24"/>
          <w:szCs w:val="24"/>
        </w:rPr>
        <w:t>CSG Standard</w:t>
      </w:r>
      <w:r w:rsidRPr="00BC488B">
        <w:rPr>
          <w:rFonts w:ascii="Times New Roman" w:hAnsi="Times New Roman" w:cs="Times New Roman"/>
          <w:bCs/>
          <w:iCs/>
          <w:sz w:val="24"/>
          <w:szCs w:val="24"/>
        </w:rPr>
        <w:t>.</w:t>
      </w:r>
    </w:p>
    <w:p w:rsidR="002A2A66" w:rsidRDefault="002A2A66" w:rsidP="002A2A66">
      <w:pPr>
        <w:pStyle w:val="definition"/>
        <w:numPr>
          <w:ilvl w:val="0"/>
          <w:numId w:val="13"/>
        </w:numPr>
        <w:tabs>
          <w:tab w:val="clear" w:pos="1260"/>
          <w:tab w:val="left" w:pos="851"/>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 xml:space="preserve">For the purposes of this Instrument, a </w:t>
      </w:r>
      <w:r>
        <w:rPr>
          <w:rFonts w:ascii="Times New Roman" w:hAnsi="Times New Roman" w:cs="Times New Roman"/>
          <w:b/>
          <w:bCs/>
          <w:i/>
          <w:iCs/>
          <w:sz w:val="24"/>
          <w:szCs w:val="24"/>
        </w:rPr>
        <w:t xml:space="preserve">benchmark period </w:t>
      </w:r>
      <w:r>
        <w:rPr>
          <w:rFonts w:ascii="Times New Roman" w:hAnsi="Times New Roman" w:cs="Times New Roman"/>
          <w:bCs/>
          <w:iCs/>
          <w:sz w:val="24"/>
          <w:szCs w:val="24"/>
        </w:rPr>
        <w:t>is:</w:t>
      </w:r>
    </w:p>
    <w:p w:rsidR="002A2A66" w:rsidRPr="007A066A" w:rsidRDefault="002A2A66" w:rsidP="002A2A66">
      <w:pPr>
        <w:pStyle w:val="definition"/>
        <w:numPr>
          <w:ilvl w:val="2"/>
          <w:numId w:val="20"/>
        </w:numPr>
        <w:tabs>
          <w:tab w:val="clear" w:pos="1260"/>
          <w:tab w:val="left" w:pos="851"/>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the period from the commencement of this Instrument until the end of the financial year during which this Instrument commences</w:t>
      </w:r>
      <w:r w:rsidRPr="007A066A">
        <w:rPr>
          <w:rFonts w:ascii="Times New Roman" w:hAnsi="Times New Roman" w:cs="Times New Roman"/>
          <w:bCs/>
          <w:iCs/>
          <w:sz w:val="24"/>
          <w:szCs w:val="24"/>
        </w:rPr>
        <w:t>; and</w:t>
      </w:r>
    </w:p>
    <w:p w:rsidR="007207F0" w:rsidRDefault="002A2A66" w:rsidP="007207F0">
      <w:pPr>
        <w:pStyle w:val="definition"/>
        <w:numPr>
          <w:ilvl w:val="2"/>
          <w:numId w:val="20"/>
        </w:numPr>
        <w:tabs>
          <w:tab w:val="clear" w:pos="1260"/>
          <w:tab w:val="left" w:pos="851"/>
        </w:tabs>
        <w:spacing w:before="0" w:after="200"/>
        <w:ind w:hanging="181"/>
        <w:jc w:val="left"/>
        <w:rPr>
          <w:rFonts w:ascii="Times New Roman" w:hAnsi="Times New Roman" w:cs="Times New Roman"/>
          <w:bCs/>
          <w:iCs/>
          <w:sz w:val="24"/>
          <w:szCs w:val="24"/>
        </w:rPr>
      </w:pPr>
      <w:proofErr w:type="gramStart"/>
      <w:r>
        <w:rPr>
          <w:rFonts w:ascii="Times New Roman" w:hAnsi="Times New Roman" w:cs="Times New Roman"/>
          <w:bCs/>
          <w:iCs/>
          <w:sz w:val="24"/>
          <w:szCs w:val="24"/>
        </w:rPr>
        <w:t>each</w:t>
      </w:r>
      <w:proofErr w:type="gramEnd"/>
      <w:r>
        <w:rPr>
          <w:rFonts w:ascii="Times New Roman" w:hAnsi="Times New Roman" w:cs="Times New Roman"/>
          <w:bCs/>
          <w:iCs/>
          <w:sz w:val="24"/>
          <w:szCs w:val="24"/>
        </w:rPr>
        <w:t xml:space="preserve"> later financial year.</w:t>
      </w:r>
    </w:p>
    <w:p w:rsidR="002A2A66" w:rsidRPr="00297917" w:rsidRDefault="002A2A66" w:rsidP="002A2A66">
      <w:pPr>
        <w:pStyle w:val="P1"/>
        <w:ind w:left="916" w:hanging="1276"/>
        <w:rPr>
          <w:rFonts w:ascii="Times New Roman" w:hAnsi="Times New Roman" w:cs="Times New Roman"/>
          <w:bCs/>
          <w:iCs/>
          <w:sz w:val="20"/>
          <w:szCs w:val="20"/>
        </w:rPr>
      </w:pPr>
      <w:r w:rsidRPr="00297917">
        <w:rPr>
          <w:rFonts w:ascii="Times New Roman" w:hAnsi="Times New Roman" w:cs="Times New Roman"/>
          <w:bCs/>
          <w:iCs/>
          <w:sz w:val="20"/>
          <w:szCs w:val="20"/>
        </w:rPr>
        <w:tab/>
      </w:r>
    </w:p>
    <w:p w:rsidR="002A2A66" w:rsidRPr="00297917" w:rsidRDefault="002A2A66" w:rsidP="00297917">
      <w:pPr>
        <w:pStyle w:val="P1"/>
        <w:tabs>
          <w:tab w:val="clear" w:pos="1080"/>
        </w:tabs>
        <w:ind w:left="0" w:firstLine="0"/>
        <w:rPr>
          <w:sz w:val="20"/>
          <w:szCs w:val="20"/>
        </w:rPr>
      </w:pPr>
      <w:r w:rsidRPr="00297917">
        <w:rPr>
          <w:b/>
          <w:i/>
          <w:sz w:val="20"/>
          <w:szCs w:val="20"/>
        </w:rPr>
        <w:t xml:space="preserve">Note </w:t>
      </w:r>
      <w:r w:rsidR="00C94AAB">
        <w:rPr>
          <w:b/>
          <w:i/>
          <w:sz w:val="20"/>
          <w:szCs w:val="20"/>
        </w:rPr>
        <w:t>1</w:t>
      </w:r>
      <w:r w:rsidRPr="00297917">
        <w:rPr>
          <w:sz w:val="20"/>
          <w:szCs w:val="20"/>
        </w:rPr>
        <w:tab/>
        <w:t xml:space="preserve">A number of words and expressions used in this Instrument have the meaning given by the </w:t>
      </w:r>
      <w:r w:rsidRPr="00297917">
        <w:rPr>
          <w:i/>
          <w:sz w:val="20"/>
          <w:szCs w:val="20"/>
        </w:rPr>
        <w:t>Telecommunications Act 1997</w:t>
      </w:r>
      <w:r w:rsidRPr="00297917">
        <w:rPr>
          <w:sz w:val="20"/>
          <w:szCs w:val="20"/>
        </w:rPr>
        <w:t xml:space="preserve">, including: </w:t>
      </w:r>
    </w:p>
    <w:p w:rsidR="002A2A66" w:rsidRPr="00297917" w:rsidRDefault="002A2A66" w:rsidP="00297917">
      <w:pPr>
        <w:pStyle w:val="P1"/>
        <w:numPr>
          <w:ilvl w:val="0"/>
          <w:numId w:val="15"/>
        </w:numPr>
        <w:ind w:left="1134"/>
        <w:rPr>
          <w:sz w:val="20"/>
          <w:szCs w:val="20"/>
        </w:rPr>
      </w:pPr>
      <w:r w:rsidRPr="00297917">
        <w:rPr>
          <w:sz w:val="20"/>
          <w:szCs w:val="20"/>
        </w:rPr>
        <w:t>carriage service provider</w:t>
      </w:r>
    </w:p>
    <w:p w:rsidR="002A2A66" w:rsidRPr="00297917" w:rsidRDefault="002A2A66" w:rsidP="00297917">
      <w:pPr>
        <w:pStyle w:val="P1"/>
        <w:numPr>
          <w:ilvl w:val="0"/>
          <w:numId w:val="15"/>
        </w:numPr>
        <w:ind w:left="1134"/>
        <w:rPr>
          <w:sz w:val="20"/>
          <w:szCs w:val="20"/>
        </w:rPr>
      </w:pPr>
      <w:r w:rsidRPr="00297917">
        <w:rPr>
          <w:sz w:val="20"/>
          <w:szCs w:val="20"/>
        </w:rPr>
        <w:t>wholesale carriage service</w:t>
      </w:r>
    </w:p>
    <w:p w:rsidR="007207F0" w:rsidRDefault="002A2A66" w:rsidP="007207F0">
      <w:pPr>
        <w:pStyle w:val="P1"/>
        <w:numPr>
          <w:ilvl w:val="0"/>
          <w:numId w:val="15"/>
        </w:numPr>
        <w:ind w:left="1134" w:hanging="357"/>
        <w:rPr>
          <w:sz w:val="20"/>
          <w:szCs w:val="20"/>
        </w:rPr>
      </w:pPr>
      <w:r w:rsidRPr="00297917">
        <w:rPr>
          <w:sz w:val="20"/>
          <w:szCs w:val="20"/>
        </w:rPr>
        <w:t>wholesale customer</w:t>
      </w:r>
    </w:p>
    <w:p w:rsidR="002A2A66" w:rsidRDefault="002A2A66" w:rsidP="002A2A66">
      <w:pPr>
        <w:pStyle w:val="HR"/>
        <w:numPr>
          <w:ilvl w:val="0"/>
          <w:numId w:val="12"/>
        </w:numPr>
        <w:tabs>
          <w:tab w:val="clear" w:pos="540"/>
        </w:tabs>
        <w:spacing w:before="400" w:line="300" w:lineRule="atLeast"/>
        <w:jc w:val="left"/>
        <w:rPr>
          <w:rFonts w:ascii="Arial" w:hAnsi="Arial" w:cs="Arial"/>
        </w:rPr>
      </w:pPr>
      <w:r>
        <w:rPr>
          <w:rFonts w:ascii="Arial" w:hAnsi="Arial" w:cs="Arial"/>
        </w:rPr>
        <w:t>Qualifying carriage service providers</w:t>
      </w:r>
      <w:r w:rsidRPr="008D42FC">
        <w:rPr>
          <w:rFonts w:ascii="Arial" w:hAnsi="Arial" w:cs="Arial"/>
        </w:rPr>
        <w:t xml:space="preserve"> </w:t>
      </w:r>
    </w:p>
    <w:p w:rsidR="002A2A66" w:rsidRPr="008D42FC" w:rsidRDefault="002A2A66" w:rsidP="002A2A66">
      <w:pPr>
        <w:pStyle w:val="R1"/>
      </w:pPr>
    </w:p>
    <w:p w:rsidR="002A2A66" w:rsidRDefault="002A2A66" w:rsidP="002A2A66">
      <w:pPr>
        <w:spacing w:after="200" w:line="276" w:lineRule="auto"/>
        <w:ind w:left="360"/>
        <w:rPr>
          <w:szCs w:val="24"/>
        </w:rPr>
      </w:pPr>
      <w:r w:rsidRPr="007B38B5">
        <w:rPr>
          <w:szCs w:val="24"/>
        </w:rPr>
        <w:t xml:space="preserve">A carriage service provider is a </w:t>
      </w:r>
      <w:r w:rsidRPr="007B38B5">
        <w:rPr>
          <w:b/>
          <w:i/>
          <w:szCs w:val="24"/>
        </w:rPr>
        <w:t>qualifying carriage service provider</w:t>
      </w:r>
      <w:r w:rsidRPr="007B38B5">
        <w:rPr>
          <w:szCs w:val="24"/>
        </w:rPr>
        <w:t xml:space="preserve"> for a benchmark period if, on </w:t>
      </w:r>
      <w:r w:rsidR="00125E42">
        <w:rPr>
          <w:szCs w:val="24"/>
        </w:rPr>
        <w:t xml:space="preserve">the last </w:t>
      </w:r>
      <w:r w:rsidRPr="007B38B5">
        <w:rPr>
          <w:szCs w:val="24"/>
        </w:rPr>
        <w:t xml:space="preserve">day of the financial year preceding that </w:t>
      </w:r>
      <w:r w:rsidRPr="007B38B5">
        <w:rPr>
          <w:szCs w:val="24"/>
        </w:rPr>
        <w:lastRenderedPageBreak/>
        <w:t xml:space="preserve">benchmark period, the carriage service provider supplied </w:t>
      </w:r>
      <w:r w:rsidRPr="007F1E27">
        <w:rPr>
          <w:szCs w:val="24"/>
        </w:rPr>
        <w:t>100,000</w:t>
      </w:r>
      <w:r w:rsidRPr="007B38B5">
        <w:rPr>
          <w:szCs w:val="24"/>
        </w:rPr>
        <w:t xml:space="preserve"> CSG services or more where the carriage service provider was obliged to comply with any one or more of the performance standards in respect of the carriage service provider’s supply of those CSG services.</w:t>
      </w:r>
    </w:p>
    <w:p w:rsidR="002A2A66" w:rsidRPr="00DC4AD9" w:rsidRDefault="002A2A66" w:rsidP="002A2A66">
      <w:pPr>
        <w:pStyle w:val="HR"/>
        <w:numPr>
          <w:ilvl w:val="0"/>
          <w:numId w:val="12"/>
        </w:numPr>
        <w:tabs>
          <w:tab w:val="clear" w:pos="540"/>
        </w:tabs>
        <w:spacing w:before="400" w:line="300" w:lineRule="atLeast"/>
        <w:jc w:val="left"/>
        <w:rPr>
          <w:rFonts w:ascii="Arial" w:hAnsi="Arial" w:cs="Arial"/>
        </w:rPr>
      </w:pPr>
      <w:r w:rsidRPr="00DC4AD9">
        <w:rPr>
          <w:rFonts w:ascii="Arial" w:hAnsi="Arial" w:cs="Arial"/>
        </w:rPr>
        <w:t>Location-specific thresholds</w:t>
      </w:r>
    </w:p>
    <w:p w:rsidR="002A2A66" w:rsidRDefault="002A2A66" w:rsidP="002A2A66">
      <w:pPr>
        <w:spacing w:after="200" w:line="276" w:lineRule="auto"/>
        <w:rPr>
          <w:i/>
          <w:szCs w:val="24"/>
        </w:rPr>
      </w:pPr>
    </w:p>
    <w:p w:rsidR="002A2A66" w:rsidRPr="002C2776" w:rsidRDefault="002A2A66" w:rsidP="002A2A66">
      <w:pPr>
        <w:numPr>
          <w:ilvl w:val="0"/>
          <w:numId w:val="16"/>
        </w:numPr>
        <w:spacing w:after="200" w:line="276" w:lineRule="auto"/>
        <w:rPr>
          <w:i/>
          <w:szCs w:val="24"/>
        </w:rPr>
      </w:pPr>
      <w:r w:rsidRPr="00DC4AD9">
        <w:rPr>
          <w:szCs w:val="24"/>
        </w:rPr>
        <w:t xml:space="preserve">For the purposes of this </w:t>
      </w:r>
      <w:r>
        <w:rPr>
          <w:szCs w:val="24"/>
        </w:rPr>
        <w:t>Instrument</w:t>
      </w:r>
      <w:r w:rsidRPr="00DC4AD9">
        <w:rPr>
          <w:szCs w:val="24"/>
        </w:rPr>
        <w:t xml:space="preserve">, a qualifying carriage service provider for a benchmark period </w:t>
      </w:r>
      <w:r w:rsidRPr="00FA4CD7">
        <w:rPr>
          <w:szCs w:val="24"/>
        </w:rPr>
        <w:t>meets the urban area services threshold</w:t>
      </w:r>
      <w:r w:rsidRPr="00DC4AD9">
        <w:rPr>
          <w:szCs w:val="24"/>
        </w:rPr>
        <w:t xml:space="preserve"> for that benchmark period if, on </w:t>
      </w:r>
      <w:r w:rsidR="00125E42">
        <w:rPr>
          <w:szCs w:val="24"/>
        </w:rPr>
        <w:t xml:space="preserve">the last </w:t>
      </w:r>
      <w:r w:rsidRPr="00DC4AD9">
        <w:rPr>
          <w:szCs w:val="24"/>
        </w:rPr>
        <w:t>day of the financial year preceding that benchmark period, the car</w:t>
      </w:r>
      <w:r>
        <w:rPr>
          <w:szCs w:val="24"/>
        </w:rPr>
        <w:t xml:space="preserve">riage service provider supplied </w:t>
      </w:r>
      <w:r w:rsidRPr="007151EB">
        <w:rPr>
          <w:szCs w:val="24"/>
        </w:rPr>
        <w:t>10,000</w:t>
      </w:r>
      <w:r w:rsidRPr="002C2776">
        <w:rPr>
          <w:i/>
          <w:szCs w:val="24"/>
        </w:rPr>
        <w:t xml:space="preserve"> </w:t>
      </w:r>
      <w:r>
        <w:rPr>
          <w:szCs w:val="24"/>
        </w:rPr>
        <w:t>CSG services</w:t>
      </w:r>
      <w:r w:rsidRPr="004D2216">
        <w:rPr>
          <w:szCs w:val="24"/>
        </w:rPr>
        <w:t xml:space="preserve"> or more in urban areas</w:t>
      </w:r>
      <w:r>
        <w:rPr>
          <w:szCs w:val="24"/>
        </w:rPr>
        <w:t xml:space="preserve"> where the carriage service provider was obliged to comply with any one or more of the performance standards in respect of the carriage service provider’s supply of those CSG services. </w:t>
      </w:r>
    </w:p>
    <w:p w:rsidR="002A2A66" w:rsidRPr="00DC4AD9" w:rsidRDefault="002A2A66" w:rsidP="002A2A66">
      <w:pPr>
        <w:numPr>
          <w:ilvl w:val="0"/>
          <w:numId w:val="16"/>
        </w:numPr>
        <w:spacing w:after="200" w:line="276" w:lineRule="auto"/>
        <w:rPr>
          <w:szCs w:val="24"/>
        </w:rPr>
      </w:pPr>
      <w:r w:rsidRPr="00DC4AD9">
        <w:rPr>
          <w:szCs w:val="24"/>
        </w:rPr>
        <w:t xml:space="preserve">For the purposes of this </w:t>
      </w:r>
      <w:r>
        <w:rPr>
          <w:szCs w:val="24"/>
        </w:rPr>
        <w:t>Instrument</w:t>
      </w:r>
      <w:r w:rsidRPr="00DC4AD9">
        <w:rPr>
          <w:szCs w:val="24"/>
        </w:rPr>
        <w:t xml:space="preserve">, a qualifying carriage service provider for a benchmark period </w:t>
      </w:r>
      <w:r w:rsidRPr="00FA4CD7">
        <w:rPr>
          <w:szCs w:val="24"/>
        </w:rPr>
        <w:t>meets the major rural area services threshold</w:t>
      </w:r>
      <w:r w:rsidRPr="00DC4AD9">
        <w:rPr>
          <w:b/>
          <w:i/>
          <w:szCs w:val="24"/>
        </w:rPr>
        <w:t xml:space="preserve"> </w:t>
      </w:r>
      <w:r w:rsidRPr="00000A7B">
        <w:rPr>
          <w:szCs w:val="24"/>
        </w:rPr>
        <w:t xml:space="preserve">for a benchmark period </w:t>
      </w:r>
      <w:r w:rsidRPr="00DC4AD9">
        <w:rPr>
          <w:szCs w:val="24"/>
        </w:rPr>
        <w:t xml:space="preserve">if, on </w:t>
      </w:r>
      <w:r w:rsidR="00125E42">
        <w:rPr>
          <w:szCs w:val="24"/>
        </w:rPr>
        <w:t xml:space="preserve">the last </w:t>
      </w:r>
      <w:r w:rsidRPr="00DC4AD9">
        <w:rPr>
          <w:szCs w:val="24"/>
        </w:rPr>
        <w:t>day of the financial year preceding that benchmark period, the car</w:t>
      </w:r>
      <w:r>
        <w:rPr>
          <w:szCs w:val="24"/>
        </w:rPr>
        <w:t xml:space="preserve">riage service provider supplied </w:t>
      </w:r>
      <w:r w:rsidRPr="007151EB">
        <w:rPr>
          <w:szCs w:val="24"/>
        </w:rPr>
        <w:t>1000</w:t>
      </w:r>
      <w:r>
        <w:rPr>
          <w:i/>
          <w:szCs w:val="24"/>
        </w:rPr>
        <w:t xml:space="preserve"> </w:t>
      </w:r>
      <w:r>
        <w:rPr>
          <w:szCs w:val="24"/>
        </w:rPr>
        <w:t>CSG services</w:t>
      </w:r>
      <w:r w:rsidRPr="004D2216">
        <w:rPr>
          <w:szCs w:val="24"/>
        </w:rPr>
        <w:t xml:space="preserve"> or more in</w:t>
      </w:r>
      <w:r>
        <w:rPr>
          <w:szCs w:val="24"/>
        </w:rPr>
        <w:t xml:space="preserve"> major rural areas where the carriage service provider was obliged to comply with any one or more of the performance standards in respect of the carriage service provider’s supply of those CSG services.</w:t>
      </w:r>
    </w:p>
    <w:p w:rsidR="007207F0" w:rsidRDefault="002A2A66" w:rsidP="007207F0">
      <w:pPr>
        <w:numPr>
          <w:ilvl w:val="0"/>
          <w:numId w:val="16"/>
        </w:numPr>
        <w:spacing w:after="200" w:line="276" w:lineRule="auto"/>
        <w:ind w:left="794" w:hanging="437"/>
        <w:rPr>
          <w:i/>
          <w:szCs w:val="24"/>
        </w:rPr>
      </w:pPr>
      <w:r w:rsidRPr="00DC4AD9">
        <w:rPr>
          <w:szCs w:val="24"/>
        </w:rPr>
        <w:t xml:space="preserve">For the purposes of this </w:t>
      </w:r>
      <w:r>
        <w:rPr>
          <w:szCs w:val="24"/>
        </w:rPr>
        <w:t>Instrument</w:t>
      </w:r>
      <w:r w:rsidRPr="00DC4AD9">
        <w:rPr>
          <w:szCs w:val="24"/>
        </w:rPr>
        <w:t xml:space="preserve">, a qualifying carriage service provider for a benchmark period </w:t>
      </w:r>
      <w:r w:rsidRPr="00FA4CD7">
        <w:rPr>
          <w:szCs w:val="24"/>
        </w:rPr>
        <w:t>meets the minor rural area services threshold</w:t>
      </w:r>
      <w:r w:rsidRPr="00DC4AD9">
        <w:rPr>
          <w:b/>
          <w:i/>
          <w:szCs w:val="24"/>
        </w:rPr>
        <w:t xml:space="preserve"> </w:t>
      </w:r>
      <w:r w:rsidRPr="00DC4AD9">
        <w:rPr>
          <w:szCs w:val="24"/>
        </w:rPr>
        <w:t>for that benchmark period</w:t>
      </w:r>
      <w:r w:rsidRPr="00DC4AD9">
        <w:rPr>
          <w:b/>
          <w:i/>
          <w:szCs w:val="24"/>
        </w:rPr>
        <w:t xml:space="preserve"> </w:t>
      </w:r>
      <w:r w:rsidRPr="00DC4AD9">
        <w:rPr>
          <w:szCs w:val="24"/>
        </w:rPr>
        <w:t xml:space="preserve">if, on </w:t>
      </w:r>
      <w:r w:rsidR="00125E42">
        <w:rPr>
          <w:szCs w:val="24"/>
        </w:rPr>
        <w:t xml:space="preserve">the last </w:t>
      </w:r>
      <w:r w:rsidRPr="00DC4AD9">
        <w:rPr>
          <w:szCs w:val="24"/>
        </w:rPr>
        <w:t>day of the financial year preceding that benchmark period, the carr</w:t>
      </w:r>
      <w:r>
        <w:rPr>
          <w:szCs w:val="24"/>
        </w:rPr>
        <w:t>iage service provider supplied</w:t>
      </w:r>
      <w:r>
        <w:rPr>
          <w:b/>
          <w:szCs w:val="24"/>
        </w:rPr>
        <w:t xml:space="preserve"> </w:t>
      </w:r>
      <w:r w:rsidRPr="007151EB">
        <w:rPr>
          <w:szCs w:val="24"/>
        </w:rPr>
        <w:t xml:space="preserve">1000 </w:t>
      </w:r>
      <w:r>
        <w:rPr>
          <w:szCs w:val="24"/>
        </w:rPr>
        <w:t>CSG services</w:t>
      </w:r>
      <w:r w:rsidRPr="004D2216">
        <w:rPr>
          <w:szCs w:val="24"/>
        </w:rPr>
        <w:t xml:space="preserve"> or more </w:t>
      </w:r>
      <w:r>
        <w:rPr>
          <w:szCs w:val="24"/>
        </w:rPr>
        <w:t>in minor rural areas where the carriage service provider was obliged to comply with any one or more of the performance standards in respect of the carriage service provider’s supply of those CSG services.</w:t>
      </w:r>
    </w:p>
    <w:p w:rsidR="002A2A66" w:rsidRPr="0072074E" w:rsidRDefault="002A2A66" w:rsidP="002A2A66">
      <w:pPr>
        <w:numPr>
          <w:ilvl w:val="0"/>
          <w:numId w:val="16"/>
        </w:numPr>
        <w:spacing w:after="200" w:line="276" w:lineRule="auto"/>
        <w:rPr>
          <w:i/>
          <w:szCs w:val="24"/>
        </w:rPr>
      </w:pPr>
      <w:r w:rsidRPr="00DC4AD9">
        <w:rPr>
          <w:szCs w:val="24"/>
        </w:rPr>
        <w:t xml:space="preserve">For the purposes of this </w:t>
      </w:r>
      <w:r>
        <w:rPr>
          <w:szCs w:val="24"/>
        </w:rPr>
        <w:t>Instrument</w:t>
      </w:r>
      <w:r w:rsidRPr="00DC4AD9">
        <w:rPr>
          <w:szCs w:val="24"/>
        </w:rPr>
        <w:t xml:space="preserve">, a qualifying carriage service provider for a benchmark period </w:t>
      </w:r>
      <w:r w:rsidRPr="00FA4CD7">
        <w:rPr>
          <w:szCs w:val="24"/>
        </w:rPr>
        <w:t>meets the rural area services threshold</w:t>
      </w:r>
      <w:r w:rsidRPr="00DC4AD9">
        <w:rPr>
          <w:b/>
          <w:i/>
          <w:szCs w:val="24"/>
        </w:rPr>
        <w:t xml:space="preserve"> </w:t>
      </w:r>
      <w:r w:rsidRPr="00DC4AD9">
        <w:rPr>
          <w:szCs w:val="24"/>
        </w:rPr>
        <w:t>for that benchmark period</w:t>
      </w:r>
      <w:r w:rsidRPr="00DC4AD9">
        <w:rPr>
          <w:b/>
          <w:i/>
          <w:szCs w:val="24"/>
        </w:rPr>
        <w:t xml:space="preserve"> </w:t>
      </w:r>
      <w:r w:rsidRPr="00DC4AD9">
        <w:rPr>
          <w:szCs w:val="24"/>
        </w:rPr>
        <w:t xml:space="preserve">if, on </w:t>
      </w:r>
      <w:r w:rsidR="00125E42">
        <w:rPr>
          <w:szCs w:val="24"/>
        </w:rPr>
        <w:t xml:space="preserve">the last </w:t>
      </w:r>
      <w:r w:rsidRPr="00DC4AD9">
        <w:rPr>
          <w:szCs w:val="24"/>
        </w:rPr>
        <w:t>day of the financial year preceding that benchmark period, the carr</w:t>
      </w:r>
      <w:r>
        <w:rPr>
          <w:szCs w:val="24"/>
        </w:rPr>
        <w:t>iage service provider supplied</w:t>
      </w:r>
      <w:r>
        <w:rPr>
          <w:b/>
          <w:szCs w:val="24"/>
        </w:rPr>
        <w:t xml:space="preserve"> </w:t>
      </w:r>
      <w:r w:rsidRPr="007151EB">
        <w:rPr>
          <w:szCs w:val="24"/>
        </w:rPr>
        <w:t>1000</w:t>
      </w:r>
      <w:r>
        <w:rPr>
          <w:b/>
          <w:szCs w:val="24"/>
        </w:rPr>
        <w:t xml:space="preserve"> </w:t>
      </w:r>
      <w:r>
        <w:rPr>
          <w:szCs w:val="24"/>
        </w:rPr>
        <w:t xml:space="preserve">CSG services </w:t>
      </w:r>
      <w:r w:rsidRPr="004D2216">
        <w:rPr>
          <w:szCs w:val="24"/>
        </w:rPr>
        <w:t xml:space="preserve">or more </w:t>
      </w:r>
      <w:r>
        <w:rPr>
          <w:szCs w:val="24"/>
        </w:rPr>
        <w:t>in rural areas where the carriage service provider was obliged to comply with any one or more of the performance standards in respect of the carriage service provider’s supply of those CSG services.</w:t>
      </w:r>
      <w:r>
        <w:rPr>
          <w:b/>
          <w:i/>
          <w:szCs w:val="24"/>
          <w:highlight w:val="yellow"/>
        </w:rPr>
        <w:t xml:space="preserve"> </w:t>
      </w:r>
    </w:p>
    <w:p w:rsidR="002A2A66" w:rsidRDefault="002A2A66" w:rsidP="002A2A66">
      <w:pPr>
        <w:numPr>
          <w:ilvl w:val="0"/>
          <w:numId w:val="16"/>
        </w:numPr>
        <w:spacing w:after="200" w:line="276" w:lineRule="auto"/>
        <w:rPr>
          <w:szCs w:val="24"/>
        </w:rPr>
      </w:pPr>
      <w:r w:rsidRPr="00DC4AD9">
        <w:rPr>
          <w:szCs w:val="24"/>
        </w:rPr>
        <w:t xml:space="preserve">For the purposes of this </w:t>
      </w:r>
      <w:r>
        <w:rPr>
          <w:szCs w:val="24"/>
        </w:rPr>
        <w:t>Instrument</w:t>
      </w:r>
      <w:r w:rsidRPr="00DC4AD9">
        <w:rPr>
          <w:szCs w:val="24"/>
        </w:rPr>
        <w:t xml:space="preserve">, a qualifying carriage service provider for a benchmark period </w:t>
      </w:r>
      <w:r w:rsidRPr="00FA4CD7">
        <w:rPr>
          <w:szCs w:val="24"/>
        </w:rPr>
        <w:t>meets the remote area services threshold</w:t>
      </w:r>
      <w:r w:rsidRPr="00DC4AD9">
        <w:rPr>
          <w:b/>
          <w:i/>
          <w:szCs w:val="24"/>
        </w:rPr>
        <w:t xml:space="preserve"> </w:t>
      </w:r>
      <w:r>
        <w:rPr>
          <w:szCs w:val="24"/>
        </w:rPr>
        <w:t>for that</w:t>
      </w:r>
      <w:r w:rsidRPr="00DC4AD9">
        <w:rPr>
          <w:szCs w:val="24"/>
        </w:rPr>
        <w:t xml:space="preserve"> benchmark period if, on </w:t>
      </w:r>
      <w:r w:rsidR="00125E42">
        <w:rPr>
          <w:szCs w:val="24"/>
        </w:rPr>
        <w:t xml:space="preserve">the last </w:t>
      </w:r>
      <w:r w:rsidRPr="00DC4AD9">
        <w:rPr>
          <w:szCs w:val="24"/>
        </w:rPr>
        <w:t>day of the financial year preceding that benchmark period, the car</w:t>
      </w:r>
      <w:r>
        <w:rPr>
          <w:szCs w:val="24"/>
        </w:rPr>
        <w:t>riage service provider supplied</w:t>
      </w:r>
      <w:r>
        <w:rPr>
          <w:b/>
          <w:szCs w:val="24"/>
        </w:rPr>
        <w:t xml:space="preserve"> </w:t>
      </w:r>
      <w:r w:rsidRPr="007151EB">
        <w:rPr>
          <w:szCs w:val="24"/>
        </w:rPr>
        <w:t>500</w:t>
      </w:r>
      <w:r w:rsidRPr="004D2216">
        <w:rPr>
          <w:szCs w:val="24"/>
        </w:rPr>
        <w:t xml:space="preserve"> </w:t>
      </w:r>
      <w:r>
        <w:rPr>
          <w:szCs w:val="24"/>
        </w:rPr>
        <w:t>CSG services</w:t>
      </w:r>
      <w:r w:rsidRPr="004D2216">
        <w:rPr>
          <w:szCs w:val="24"/>
        </w:rPr>
        <w:t xml:space="preserve"> or more </w:t>
      </w:r>
      <w:r>
        <w:rPr>
          <w:szCs w:val="24"/>
        </w:rPr>
        <w:t>in remote areas where the carriage service provider was obliged to comply with any one or more of the performance standards in respect of the carriage service provider’s supply of those CSG services.</w:t>
      </w:r>
    </w:p>
    <w:p w:rsidR="002A2A66" w:rsidRPr="004B7711" w:rsidRDefault="002A2A66" w:rsidP="002A2A66">
      <w:pPr>
        <w:pStyle w:val="HR"/>
        <w:tabs>
          <w:tab w:val="clear" w:pos="540"/>
          <w:tab w:val="left" w:pos="1985"/>
        </w:tabs>
        <w:spacing w:before="400" w:line="300" w:lineRule="atLeast"/>
        <w:rPr>
          <w:rFonts w:ascii="Arial" w:hAnsi="Arial"/>
          <w:sz w:val="36"/>
          <w:szCs w:val="36"/>
        </w:rPr>
      </w:pPr>
      <w:r>
        <w:rPr>
          <w:rFonts w:ascii="Arial" w:hAnsi="Arial"/>
          <w:sz w:val="36"/>
          <w:szCs w:val="36"/>
        </w:rPr>
        <w:t>Part 2</w:t>
      </w:r>
      <w:r>
        <w:rPr>
          <w:rFonts w:ascii="Arial" w:hAnsi="Arial"/>
          <w:sz w:val="36"/>
          <w:szCs w:val="36"/>
        </w:rPr>
        <w:tab/>
        <w:t>Retail Performance Benchmarks</w:t>
      </w:r>
    </w:p>
    <w:p w:rsidR="002A2A66" w:rsidRPr="008C466B" w:rsidRDefault="002A2A66" w:rsidP="002A2A66">
      <w:pPr>
        <w:pStyle w:val="P1"/>
        <w:keepNext/>
        <w:ind w:left="1640"/>
        <w:rPr>
          <w:rFonts w:ascii="Arial" w:hAnsi="Arial" w:cs="Arial"/>
          <w:b/>
          <w:i/>
          <w:sz w:val="24"/>
          <w:szCs w:val="24"/>
        </w:rPr>
      </w:pPr>
    </w:p>
    <w:p w:rsidR="002A2A66" w:rsidRDefault="002A2A66" w:rsidP="002A2A66">
      <w:pPr>
        <w:pStyle w:val="P1"/>
        <w:tabs>
          <w:tab w:val="clear" w:pos="1080"/>
        </w:tabs>
        <w:ind w:left="0" w:firstLine="0"/>
        <w:rPr>
          <w:sz w:val="20"/>
          <w:szCs w:val="20"/>
        </w:rPr>
      </w:pPr>
    </w:p>
    <w:p w:rsidR="002A2A66" w:rsidRDefault="002A2A66" w:rsidP="002A2A66">
      <w:pPr>
        <w:spacing w:after="200" w:line="276" w:lineRule="auto"/>
        <w:rPr>
          <w:sz w:val="20"/>
        </w:rPr>
      </w:pPr>
      <w:r w:rsidRPr="00C227B1">
        <w:rPr>
          <w:b/>
          <w:i/>
          <w:sz w:val="20"/>
        </w:rPr>
        <w:t>Note</w:t>
      </w:r>
      <w:r>
        <w:rPr>
          <w:b/>
          <w:i/>
          <w:sz w:val="20"/>
        </w:rPr>
        <w:t xml:space="preserve"> </w:t>
      </w:r>
      <w:r w:rsidR="00512BBC">
        <w:rPr>
          <w:b/>
          <w:i/>
          <w:sz w:val="20"/>
        </w:rPr>
        <w:t>1</w:t>
      </w:r>
      <w:r w:rsidRPr="00C227B1">
        <w:rPr>
          <w:b/>
          <w:i/>
          <w:sz w:val="20"/>
        </w:rPr>
        <w:tab/>
      </w:r>
      <w:r w:rsidRPr="00C227B1">
        <w:rPr>
          <w:sz w:val="20"/>
        </w:rPr>
        <w:t>Under subsection 115(2A) of the Act the CSG Standard does not apply in relation to a matter concerning the supply, or proposed supply, of a wholesale carriage service. As a consequence, this Instrument does not apply to a carriage service provider to th</w:t>
      </w:r>
      <w:r w:rsidR="00183DE6">
        <w:rPr>
          <w:sz w:val="20"/>
        </w:rPr>
        <w:t>e</w:t>
      </w:r>
      <w:r w:rsidRPr="00C227B1">
        <w:rPr>
          <w:sz w:val="20"/>
        </w:rPr>
        <w:t xml:space="preserve"> extent that </w:t>
      </w:r>
      <w:r w:rsidR="00183DE6">
        <w:rPr>
          <w:sz w:val="20"/>
        </w:rPr>
        <w:t xml:space="preserve">the </w:t>
      </w:r>
      <w:r w:rsidRPr="00C227B1">
        <w:rPr>
          <w:sz w:val="20"/>
        </w:rPr>
        <w:t xml:space="preserve">provider supplies, or proposes to supply, a wholesale carriage service to a wholesale customer. </w:t>
      </w:r>
    </w:p>
    <w:p w:rsidR="005E109F" w:rsidRPr="00C227B1" w:rsidRDefault="005E109F" w:rsidP="002A2A66">
      <w:pPr>
        <w:spacing w:after="200" w:line="276" w:lineRule="auto"/>
        <w:rPr>
          <w:sz w:val="20"/>
        </w:rPr>
      </w:pPr>
      <w:r w:rsidRPr="00C13CE4">
        <w:rPr>
          <w:b/>
          <w:i/>
          <w:sz w:val="20"/>
        </w:rPr>
        <w:t>Note </w:t>
      </w:r>
      <w:r w:rsidR="00512BBC">
        <w:rPr>
          <w:b/>
          <w:i/>
          <w:sz w:val="20"/>
        </w:rPr>
        <w:t>2</w:t>
      </w:r>
      <w:r w:rsidR="00512BBC" w:rsidRPr="00C13CE4">
        <w:rPr>
          <w:sz w:val="20"/>
        </w:rPr>
        <w:t xml:space="preserve">   </w:t>
      </w:r>
      <w:r w:rsidRPr="00C13CE4">
        <w:rPr>
          <w:sz w:val="20"/>
        </w:rPr>
        <w:t>The benchmarks in this Instrument only apply in relation to compliance with a performance standard to the extent that a carriage service provider is required to comply with a performance standard under the CSG Standard.</w:t>
      </w:r>
    </w:p>
    <w:p w:rsidR="002A2A66" w:rsidRDefault="002A2A66" w:rsidP="002A2A66">
      <w:pPr>
        <w:pStyle w:val="HR"/>
        <w:tabs>
          <w:tab w:val="clear" w:pos="540"/>
          <w:tab w:val="left" w:pos="426"/>
        </w:tabs>
        <w:spacing w:before="400"/>
        <w:jc w:val="left"/>
        <w:rPr>
          <w:rFonts w:ascii="Arial" w:hAnsi="Arial" w:cs="Arial"/>
        </w:rPr>
      </w:pPr>
      <w:r>
        <w:rPr>
          <w:rFonts w:ascii="Arial" w:hAnsi="Arial" w:cs="Arial"/>
        </w:rPr>
        <w:t xml:space="preserve">Division 1 </w:t>
      </w:r>
      <w:r>
        <w:rPr>
          <w:rFonts w:ascii="Arial" w:hAnsi="Arial" w:cs="Arial"/>
        </w:rPr>
        <w:tab/>
      </w:r>
      <w:r>
        <w:rPr>
          <w:rFonts w:ascii="Arial" w:hAnsi="Arial" w:cs="Arial"/>
        </w:rPr>
        <w:tab/>
        <w:t>Performance</w:t>
      </w:r>
      <w:r w:rsidRPr="000836EC">
        <w:rPr>
          <w:rFonts w:ascii="Arial" w:hAnsi="Arial" w:cs="Arial"/>
        </w:rPr>
        <w:t xml:space="preserve"> benchmarks</w:t>
      </w:r>
    </w:p>
    <w:p w:rsidR="002A2A66" w:rsidRPr="008D42FC" w:rsidRDefault="002A2A66" w:rsidP="002A2A66">
      <w:pPr>
        <w:pStyle w:val="HR"/>
        <w:numPr>
          <w:ilvl w:val="0"/>
          <w:numId w:val="12"/>
        </w:numPr>
        <w:tabs>
          <w:tab w:val="clear" w:pos="540"/>
        </w:tabs>
        <w:spacing w:before="400" w:line="300" w:lineRule="atLeast"/>
        <w:jc w:val="left"/>
        <w:rPr>
          <w:rFonts w:ascii="Arial" w:hAnsi="Arial" w:cs="Arial"/>
        </w:rPr>
      </w:pPr>
      <w:bookmarkStart w:id="3" w:name="_Ref282527860"/>
      <w:bookmarkStart w:id="4" w:name="_Ref283274568"/>
      <w:r>
        <w:rPr>
          <w:rFonts w:ascii="Arial" w:hAnsi="Arial" w:cs="Arial"/>
        </w:rPr>
        <w:t>Performance</w:t>
      </w:r>
      <w:r w:rsidRPr="008D42FC">
        <w:rPr>
          <w:rFonts w:ascii="Arial" w:hAnsi="Arial" w:cs="Arial"/>
        </w:rPr>
        <w:t xml:space="preserve"> benchmark</w:t>
      </w:r>
      <w:r>
        <w:rPr>
          <w:rFonts w:ascii="Arial" w:hAnsi="Arial" w:cs="Arial"/>
        </w:rPr>
        <w:t>s</w:t>
      </w:r>
      <w:r w:rsidRPr="008D42FC">
        <w:rPr>
          <w:rFonts w:ascii="Arial" w:hAnsi="Arial" w:cs="Arial"/>
        </w:rPr>
        <w:t xml:space="preserve"> for connection period</w:t>
      </w:r>
      <w:bookmarkEnd w:id="3"/>
      <w:r>
        <w:rPr>
          <w:rFonts w:ascii="Arial" w:hAnsi="Arial" w:cs="Arial"/>
        </w:rPr>
        <w:t xml:space="preserve"> performance standard</w:t>
      </w:r>
      <w:bookmarkEnd w:id="4"/>
      <w:r>
        <w:rPr>
          <w:rFonts w:ascii="Arial" w:hAnsi="Arial" w:cs="Arial"/>
        </w:rPr>
        <w:br/>
      </w:r>
    </w:p>
    <w:p w:rsidR="002A2A66" w:rsidRDefault="002A2A66" w:rsidP="002A2A66">
      <w:pPr>
        <w:numPr>
          <w:ilvl w:val="0"/>
          <w:numId w:val="19"/>
        </w:numPr>
        <w:spacing w:after="200" w:line="276" w:lineRule="auto"/>
        <w:rPr>
          <w:szCs w:val="24"/>
        </w:rPr>
      </w:pPr>
      <w:r>
        <w:rPr>
          <w:szCs w:val="24"/>
        </w:rPr>
        <w:t>Each of the benchmarks at subsections (2) and (3) are minimum benchmarks for the purposes of section 117B of the Act in relation to compliance by carriage service providers with the standard at subsection 8(3) of the CSG Standard (</w:t>
      </w:r>
      <w:r>
        <w:rPr>
          <w:b/>
          <w:i/>
          <w:szCs w:val="24"/>
        </w:rPr>
        <w:t>connection period performance standard</w:t>
      </w:r>
      <w:r>
        <w:rPr>
          <w:szCs w:val="24"/>
        </w:rPr>
        <w:t>).</w:t>
      </w:r>
    </w:p>
    <w:p w:rsidR="005E109F" w:rsidRDefault="002A2A66" w:rsidP="002A2A66">
      <w:pPr>
        <w:numPr>
          <w:ilvl w:val="0"/>
          <w:numId w:val="19"/>
        </w:numPr>
        <w:spacing w:after="200" w:line="276" w:lineRule="auto"/>
        <w:rPr>
          <w:szCs w:val="24"/>
        </w:rPr>
      </w:pPr>
      <w:r>
        <w:rPr>
          <w:szCs w:val="24"/>
        </w:rPr>
        <w:t>A qualifying carriage</w:t>
      </w:r>
      <w:r w:rsidRPr="00657844">
        <w:rPr>
          <w:szCs w:val="24"/>
        </w:rPr>
        <w:t xml:space="preserve"> service provider must comply with </w:t>
      </w:r>
      <w:r>
        <w:rPr>
          <w:szCs w:val="24"/>
        </w:rPr>
        <w:t xml:space="preserve">the </w:t>
      </w:r>
      <w:r w:rsidRPr="00C227B1">
        <w:rPr>
          <w:szCs w:val="24"/>
        </w:rPr>
        <w:t>connection period performance standard</w:t>
      </w:r>
      <w:r>
        <w:rPr>
          <w:szCs w:val="24"/>
        </w:rPr>
        <w:t xml:space="preserve"> </w:t>
      </w:r>
      <w:r w:rsidRPr="00E03B56">
        <w:rPr>
          <w:szCs w:val="24"/>
        </w:rPr>
        <w:t>in respect of</w:t>
      </w:r>
      <w:r>
        <w:rPr>
          <w:b/>
          <w:szCs w:val="24"/>
        </w:rPr>
        <w:t xml:space="preserve"> </w:t>
      </w:r>
      <w:r>
        <w:rPr>
          <w:szCs w:val="24"/>
        </w:rPr>
        <w:t>at</w:t>
      </w:r>
      <w:r w:rsidRPr="00657844">
        <w:rPr>
          <w:szCs w:val="24"/>
        </w:rPr>
        <w:t xml:space="preserve"> </w:t>
      </w:r>
      <w:r>
        <w:rPr>
          <w:szCs w:val="24"/>
        </w:rPr>
        <w:t xml:space="preserve">least </w:t>
      </w:r>
      <w:r w:rsidRPr="00657844">
        <w:rPr>
          <w:szCs w:val="24"/>
        </w:rPr>
        <w:t>90 percent of</w:t>
      </w:r>
      <w:r>
        <w:rPr>
          <w:szCs w:val="24"/>
        </w:rPr>
        <w:t xml:space="preserve"> </w:t>
      </w:r>
      <w:r w:rsidRPr="00657844">
        <w:rPr>
          <w:szCs w:val="24"/>
        </w:rPr>
        <w:t xml:space="preserve">the total number of </w:t>
      </w:r>
      <w:r w:rsidRPr="00F73859">
        <w:rPr>
          <w:szCs w:val="24"/>
        </w:rPr>
        <w:t>in-place</w:t>
      </w:r>
      <w:r>
        <w:rPr>
          <w:szCs w:val="24"/>
        </w:rPr>
        <w:t xml:space="preserve"> </w:t>
      </w:r>
      <w:r w:rsidRPr="00657844">
        <w:rPr>
          <w:szCs w:val="24"/>
        </w:rPr>
        <w:t>connection requests</w:t>
      </w:r>
      <w:r>
        <w:rPr>
          <w:szCs w:val="24"/>
        </w:rPr>
        <w:t xml:space="preserve"> </w:t>
      </w:r>
      <w:r w:rsidR="005E109F">
        <w:rPr>
          <w:szCs w:val="24"/>
        </w:rPr>
        <w:t>that:</w:t>
      </w:r>
    </w:p>
    <w:p w:rsidR="007F1E27" w:rsidRDefault="007F1E27" w:rsidP="005E109F">
      <w:pPr>
        <w:numPr>
          <w:ilvl w:val="2"/>
          <w:numId w:val="17"/>
        </w:numPr>
        <w:spacing w:after="200" w:line="276" w:lineRule="auto"/>
        <w:rPr>
          <w:szCs w:val="24"/>
        </w:rPr>
      </w:pPr>
      <w:r w:rsidRPr="00C13CE4">
        <w:rPr>
          <w:szCs w:val="24"/>
        </w:rPr>
        <w:t>are subject to the connection period performance standard</w:t>
      </w:r>
      <w:r>
        <w:rPr>
          <w:szCs w:val="24"/>
        </w:rPr>
        <w:t xml:space="preserve">; and </w:t>
      </w:r>
    </w:p>
    <w:p w:rsidR="002A2A66" w:rsidRPr="007F1E27" w:rsidRDefault="005E109F" w:rsidP="005E109F">
      <w:pPr>
        <w:numPr>
          <w:ilvl w:val="2"/>
          <w:numId w:val="17"/>
        </w:numPr>
        <w:spacing w:after="200" w:line="276" w:lineRule="auto"/>
        <w:rPr>
          <w:szCs w:val="24"/>
        </w:rPr>
      </w:pPr>
      <w:proofErr w:type="gramStart"/>
      <w:r>
        <w:rPr>
          <w:szCs w:val="24"/>
        </w:rPr>
        <w:t>are</w:t>
      </w:r>
      <w:proofErr w:type="gramEnd"/>
      <w:r>
        <w:rPr>
          <w:szCs w:val="24"/>
        </w:rPr>
        <w:t xml:space="preserve"> </w:t>
      </w:r>
      <w:r w:rsidR="0069212F">
        <w:rPr>
          <w:szCs w:val="24"/>
        </w:rPr>
        <w:t xml:space="preserve">required to be </w:t>
      </w:r>
      <w:r w:rsidR="006639DD">
        <w:rPr>
          <w:szCs w:val="24"/>
        </w:rPr>
        <w:t>complied with</w:t>
      </w:r>
      <w:r w:rsidR="006639DD" w:rsidRPr="007151EB">
        <w:rPr>
          <w:szCs w:val="24"/>
        </w:rPr>
        <w:t xml:space="preserve"> </w:t>
      </w:r>
      <w:r w:rsidR="002A2A66" w:rsidRPr="00657844">
        <w:rPr>
          <w:szCs w:val="24"/>
        </w:rPr>
        <w:t>by the</w:t>
      </w:r>
      <w:r w:rsidR="002A2A66">
        <w:rPr>
          <w:szCs w:val="24"/>
        </w:rPr>
        <w:t xml:space="preserve"> carriage</w:t>
      </w:r>
      <w:r w:rsidR="002A2A66" w:rsidRPr="00657844">
        <w:rPr>
          <w:szCs w:val="24"/>
        </w:rPr>
        <w:t xml:space="preserve"> service provider</w:t>
      </w:r>
      <w:r w:rsidR="002A2A66">
        <w:rPr>
          <w:szCs w:val="24"/>
        </w:rPr>
        <w:t xml:space="preserve"> during a benchmark period</w:t>
      </w:r>
      <w:r w:rsidR="002A2A66" w:rsidRPr="007F1E27">
        <w:rPr>
          <w:szCs w:val="24"/>
        </w:rPr>
        <w:t xml:space="preserve">. </w:t>
      </w:r>
    </w:p>
    <w:p w:rsidR="002A2A66" w:rsidRDefault="002A2A66" w:rsidP="002A2A66">
      <w:pPr>
        <w:numPr>
          <w:ilvl w:val="0"/>
          <w:numId w:val="19"/>
        </w:numPr>
        <w:spacing w:after="200" w:line="276" w:lineRule="auto"/>
        <w:rPr>
          <w:szCs w:val="24"/>
        </w:rPr>
      </w:pPr>
      <w:r w:rsidRPr="007F1E27">
        <w:rPr>
          <w:szCs w:val="24"/>
        </w:rPr>
        <w:t>A qualifying carriage service provider must comply with the connection period performance standard in res</w:t>
      </w:r>
      <w:r>
        <w:rPr>
          <w:szCs w:val="24"/>
        </w:rPr>
        <w:t>pect of</w:t>
      </w:r>
      <w:r w:rsidRPr="00657844">
        <w:rPr>
          <w:szCs w:val="24"/>
        </w:rPr>
        <w:t xml:space="preserve"> at least 90 percent of</w:t>
      </w:r>
      <w:r>
        <w:rPr>
          <w:szCs w:val="24"/>
        </w:rPr>
        <w:t>:</w:t>
      </w:r>
    </w:p>
    <w:p w:rsidR="007151EB" w:rsidRDefault="002A2A66" w:rsidP="005E109F">
      <w:pPr>
        <w:numPr>
          <w:ilvl w:val="2"/>
          <w:numId w:val="25"/>
        </w:numPr>
        <w:spacing w:after="200" w:line="276" w:lineRule="auto"/>
        <w:rPr>
          <w:szCs w:val="24"/>
        </w:rPr>
      </w:pPr>
      <w:bookmarkStart w:id="5" w:name="_Ref282527694"/>
      <w:r>
        <w:rPr>
          <w:szCs w:val="24"/>
        </w:rPr>
        <w:t>if the carriage service provider meets the urban area services threshold for a benchmark period—</w:t>
      </w:r>
      <w:r w:rsidRPr="00657844">
        <w:rPr>
          <w:szCs w:val="24"/>
        </w:rPr>
        <w:t xml:space="preserve">the total number of </w:t>
      </w:r>
      <w:r>
        <w:rPr>
          <w:szCs w:val="24"/>
        </w:rPr>
        <w:t xml:space="preserve">new </w:t>
      </w:r>
      <w:r w:rsidRPr="00657844">
        <w:rPr>
          <w:szCs w:val="24"/>
        </w:rPr>
        <w:t>connection requests</w:t>
      </w:r>
      <w:r w:rsidR="007151EB">
        <w:rPr>
          <w:szCs w:val="24"/>
        </w:rPr>
        <w:t xml:space="preserve"> </w:t>
      </w:r>
      <w:r w:rsidR="00CC56F3">
        <w:rPr>
          <w:szCs w:val="24"/>
        </w:rPr>
        <w:t>from</w:t>
      </w:r>
      <w:r w:rsidR="00CC56F3" w:rsidRPr="007151EB">
        <w:rPr>
          <w:szCs w:val="24"/>
        </w:rPr>
        <w:t xml:space="preserve"> customers in urban areas</w:t>
      </w:r>
      <w:r w:rsidR="00CC56F3">
        <w:rPr>
          <w:szCs w:val="24"/>
        </w:rPr>
        <w:t xml:space="preserve"> </w:t>
      </w:r>
      <w:r w:rsidR="007151EB">
        <w:rPr>
          <w:szCs w:val="24"/>
        </w:rPr>
        <w:t>that:</w:t>
      </w:r>
    </w:p>
    <w:p w:rsidR="007F1E27" w:rsidRPr="00C13CE4" w:rsidRDefault="007F1E27" w:rsidP="007F1E27">
      <w:pPr>
        <w:numPr>
          <w:ilvl w:val="3"/>
          <w:numId w:val="17"/>
        </w:numPr>
        <w:spacing w:after="200" w:line="276" w:lineRule="auto"/>
        <w:rPr>
          <w:szCs w:val="24"/>
        </w:rPr>
      </w:pPr>
      <w:r w:rsidRPr="00C13CE4">
        <w:rPr>
          <w:szCs w:val="24"/>
        </w:rPr>
        <w:t>are subject to the connection period performance standard; and</w:t>
      </w:r>
    </w:p>
    <w:p w:rsidR="002A2A66" w:rsidRPr="007151EB" w:rsidRDefault="007151EB" w:rsidP="007151EB">
      <w:pPr>
        <w:numPr>
          <w:ilvl w:val="3"/>
          <w:numId w:val="17"/>
        </w:numPr>
        <w:spacing w:after="200" w:line="276" w:lineRule="auto"/>
        <w:rPr>
          <w:szCs w:val="24"/>
        </w:rPr>
      </w:pPr>
      <w:r>
        <w:rPr>
          <w:szCs w:val="24"/>
        </w:rPr>
        <w:t xml:space="preserve">are </w:t>
      </w:r>
      <w:r w:rsidR="0069212F">
        <w:rPr>
          <w:szCs w:val="24"/>
        </w:rPr>
        <w:t xml:space="preserve">required to be </w:t>
      </w:r>
      <w:r w:rsidR="00491A8F">
        <w:rPr>
          <w:szCs w:val="24"/>
        </w:rPr>
        <w:t>complied with</w:t>
      </w:r>
      <w:r w:rsidR="00C13CE4" w:rsidRPr="007151EB">
        <w:rPr>
          <w:szCs w:val="24"/>
        </w:rPr>
        <w:t xml:space="preserve"> </w:t>
      </w:r>
      <w:r w:rsidR="002A2A66" w:rsidRPr="007151EB">
        <w:rPr>
          <w:szCs w:val="24"/>
        </w:rPr>
        <w:t>by the carriage service provider during th</w:t>
      </w:r>
      <w:r>
        <w:rPr>
          <w:szCs w:val="24"/>
        </w:rPr>
        <w:t>e</w:t>
      </w:r>
      <w:r w:rsidR="002A2A66" w:rsidRPr="007151EB">
        <w:rPr>
          <w:szCs w:val="24"/>
        </w:rPr>
        <w:t xml:space="preserve"> benchmark period; and</w:t>
      </w:r>
    </w:p>
    <w:p w:rsidR="007151EB" w:rsidRDefault="002A2A66" w:rsidP="00C13CE4">
      <w:pPr>
        <w:numPr>
          <w:ilvl w:val="2"/>
          <w:numId w:val="25"/>
        </w:numPr>
        <w:spacing w:after="200" w:line="276" w:lineRule="auto"/>
        <w:rPr>
          <w:szCs w:val="24"/>
        </w:rPr>
      </w:pPr>
      <w:r>
        <w:rPr>
          <w:szCs w:val="24"/>
        </w:rPr>
        <w:t>if the carriage service provider meets the major rural area services threshold for a benchmark period—</w:t>
      </w:r>
      <w:r w:rsidRPr="00657844">
        <w:rPr>
          <w:szCs w:val="24"/>
        </w:rPr>
        <w:t xml:space="preserve">the total number of </w:t>
      </w:r>
      <w:r>
        <w:rPr>
          <w:szCs w:val="24"/>
        </w:rPr>
        <w:t xml:space="preserve">new </w:t>
      </w:r>
      <w:r w:rsidRPr="00657844">
        <w:rPr>
          <w:szCs w:val="24"/>
        </w:rPr>
        <w:t>connection requests</w:t>
      </w:r>
      <w:r w:rsidR="00491A8F">
        <w:rPr>
          <w:szCs w:val="24"/>
        </w:rPr>
        <w:t xml:space="preserve"> from customers in major rural areas</w:t>
      </w:r>
      <w:r w:rsidR="007151EB">
        <w:rPr>
          <w:szCs w:val="24"/>
        </w:rPr>
        <w:t xml:space="preserve"> that:</w:t>
      </w:r>
    </w:p>
    <w:p w:rsidR="007F1E27" w:rsidRPr="00C13CE4" w:rsidRDefault="007F1E27" w:rsidP="007F1E27">
      <w:pPr>
        <w:numPr>
          <w:ilvl w:val="3"/>
          <w:numId w:val="26"/>
        </w:numPr>
        <w:spacing w:after="200" w:line="276" w:lineRule="auto"/>
        <w:rPr>
          <w:szCs w:val="24"/>
        </w:rPr>
      </w:pPr>
      <w:r w:rsidRPr="00C13CE4">
        <w:rPr>
          <w:szCs w:val="24"/>
        </w:rPr>
        <w:t>are subject to the connection period performance standard; and</w:t>
      </w:r>
    </w:p>
    <w:p w:rsidR="002A2A66" w:rsidRDefault="007151EB" w:rsidP="00C13CE4">
      <w:pPr>
        <w:numPr>
          <w:ilvl w:val="3"/>
          <w:numId w:val="26"/>
        </w:numPr>
        <w:spacing w:after="200" w:line="276" w:lineRule="auto"/>
        <w:rPr>
          <w:szCs w:val="24"/>
        </w:rPr>
      </w:pPr>
      <w:r>
        <w:rPr>
          <w:szCs w:val="24"/>
        </w:rPr>
        <w:t>are</w:t>
      </w:r>
      <w:r w:rsidR="002A2A66" w:rsidRPr="00657844">
        <w:rPr>
          <w:szCs w:val="24"/>
        </w:rPr>
        <w:t xml:space="preserve"> </w:t>
      </w:r>
      <w:r w:rsidR="0069212F">
        <w:rPr>
          <w:szCs w:val="24"/>
        </w:rPr>
        <w:t xml:space="preserve">required to be </w:t>
      </w:r>
      <w:r w:rsidR="00491A8F">
        <w:rPr>
          <w:szCs w:val="24"/>
        </w:rPr>
        <w:t>complied with</w:t>
      </w:r>
      <w:r w:rsidR="00C13CE4" w:rsidRPr="00657844">
        <w:rPr>
          <w:szCs w:val="24"/>
        </w:rPr>
        <w:t xml:space="preserve"> </w:t>
      </w:r>
      <w:r w:rsidR="002A2A66" w:rsidRPr="00657844">
        <w:rPr>
          <w:szCs w:val="24"/>
        </w:rPr>
        <w:t>by the</w:t>
      </w:r>
      <w:r w:rsidR="002A2A66">
        <w:rPr>
          <w:szCs w:val="24"/>
        </w:rPr>
        <w:t xml:space="preserve"> carriage</w:t>
      </w:r>
      <w:r w:rsidR="002A2A66" w:rsidRPr="00657844">
        <w:rPr>
          <w:szCs w:val="24"/>
        </w:rPr>
        <w:t xml:space="preserve"> service provider</w:t>
      </w:r>
      <w:r w:rsidR="002A2A66">
        <w:rPr>
          <w:szCs w:val="24"/>
        </w:rPr>
        <w:t xml:space="preserve"> during the benchmark period;</w:t>
      </w:r>
      <w:r w:rsidR="002A2A66" w:rsidRPr="00657844">
        <w:rPr>
          <w:szCs w:val="24"/>
        </w:rPr>
        <w:t xml:space="preserve"> </w:t>
      </w:r>
      <w:r w:rsidR="002A2A66">
        <w:rPr>
          <w:szCs w:val="24"/>
        </w:rPr>
        <w:t>and</w:t>
      </w:r>
    </w:p>
    <w:p w:rsidR="007151EB" w:rsidRDefault="007F1E27" w:rsidP="00C13CE4">
      <w:pPr>
        <w:spacing w:after="200" w:line="276" w:lineRule="auto"/>
        <w:ind w:left="2160" w:hanging="720"/>
        <w:rPr>
          <w:szCs w:val="24"/>
        </w:rPr>
      </w:pPr>
      <w:r w:rsidRPr="00C13CE4" w:rsidDel="007F1E27">
        <w:rPr>
          <w:szCs w:val="24"/>
        </w:rPr>
        <w:t xml:space="preserve"> </w:t>
      </w:r>
      <w:r w:rsidR="00C13CE4">
        <w:rPr>
          <w:szCs w:val="24"/>
        </w:rPr>
        <w:t>(c)</w:t>
      </w:r>
      <w:r w:rsidR="00C13CE4">
        <w:rPr>
          <w:szCs w:val="24"/>
        </w:rPr>
        <w:tab/>
      </w:r>
      <w:proofErr w:type="gramStart"/>
      <w:r w:rsidR="002A2A66">
        <w:rPr>
          <w:szCs w:val="24"/>
        </w:rPr>
        <w:t>if</w:t>
      </w:r>
      <w:proofErr w:type="gramEnd"/>
      <w:r w:rsidR="002A2A66">
        <w:rPr>
          <w:szCs w:val="24"/>
        </w:rPr>
        <w:t xml:space="preserve"> the carriage service provider meets the minor rural area services threshold for a benchmark period—</w:t>
      </w:r>
      <w:r w:rsidR="002A2A66" w:rsidRPr="00657844">
        <w:rPr>
          <w:szCs w:val="24"/>
        </w:rPr>
        <w:t xml:space="preserve">the total number of </w:t>
      </w:r>
      <w:r w:rsidR="002A2A66">
        <w:rPr>
          <w:szCs w:val="24"/>
        </w:rPr>
        <w:t xml:space="preserve">new </w:t>
      </w:r>
      <w:r w:rsidR="002A2A66" w:rsidRPr="00657844">
        <w:rPr>
          <w:szCs w:val="24"/>
        </w:rPr>
        <w:t>connection requests</w:t>
      </w:r>
      <w:r w:rsidR="007151EB">
        <w:rPr>
          <w:szCs w:val="24"/>
        </w:rPr>
        <w:t xml:space="preserve"> </w:t>
      </w:r>
      <w:r w:rsidR="00491A8F">
        <w:rPr>
          <w:szCs w:val="24"/>
        </w:rPr>
        <w:t xml:space="preserve">from customers in minor rural areas </w:t>
      </w:r>
      <w:r w:rsidR="007151EB">
        <w:rPr>
          <w:szCs w:val="24"/>
        </w:rPr>
        <w:t>that:</w:t>
      </w:r>
    </w:p>
    <w:p w:rsidR="007F1E27" w:rsidRPr="00C13CE4" w:rsidRDefault="007F1E27" w:rsidP="007F1E27">
      <w:pPr>
        <w:numPr>
          <w:ilvl w:val="3"/>
          <w:numId w:val="29"/>
        </w:numPr>
        <w:spacing w:after="200" w:line="276" w:lineRule="auto"/>
        <w:rPr>
          <w:szCs w:val="24"/>
        </w:rPr>
      </w:pPr>
      <w:r w:rsidRPr="00C13CE4">
        <w:rPr>
          <w:szCs w:val="24"/>
        </w:rPr>
        <w:t>are subject to the connection period performance standard; and</w:t>
      </w:r>
    </w:p>
    <w:p w:rsidR="002A2A66" w:rsidRDefault="007151EB" w:rsidP="00C13CE4">
      <w:pPr>
        <w:numPr>
          <w:ilvl w:val="3"/>
          <w:numId w:val="29"/>
        </w:numPr>
        <w:spacing w:after="200" w:line="276" w:lineRule="auto"/>
        <w:rPr>
          <w:szCs w:val="24"/>
        </w:rPr>
      </w:pPr>
      <w:r>
        <w:rPr>
          <w:szCs w:val="24"/>
        </w:rPr>
        <w:t>are</w:t>
      </w:r>
      <w:r w:rsidR="002A2A66" w:rsidRPr="00657844">
        <w:rPr>
          <w:szCs w:val="24"/>
        </w:rPr>
        <w:t xml:space="preserve"> </w:t>
      </w:r>
      <w:r w:rsidR="0069212F">
        <w:rPr>
          <w:szCs w:val="24"/>
        </w:rPr>
        <w:t xml:space="preserve">required to be </w:t>
      </w:r>
      <w:r w:rsidR="00491A8F">
        <w:rPr>
          <w:szCs w:val="24"/>
        </w:rPr>
        <w:t>complied with</w:t>
      </w:r>
      <w:r w:rsidR="00C13CE4" w:rsidRPr="00657844">
        <w:rPr>
          <w:szCs w:val="24"/>
        </w:rPr>
        <w:t xml:space="preserve"> </w:t>
      </w:r>
      <w:r w:rsidR="002A2A66" w:rsidRPr="00657844">
        <w:rPr>
          <w:szCs w:val="24"/>
        </w:rPr>
        <w:t>by the</w:t>
      </w:r>
      <w:r w:rsidR="002A2A66">
        <w:rPr>
          <w:szCs w:val="24"/>
        </w:rPr>
        <w:t xml:space="preserve"> carriage</w:t>
      </w:r>
      <w:r w:rsidR="002A2A66" w:rsidRPr="00657844">
        <w:rPr>
          <w:szCs w:val="24"/>
        </w:rPr>
        <w:t xml:space="preserve"> service provider</w:t>
      </w:r>
      <w:r w:rsidR="002A2A66">
        <w:rPr>
          <w:szCs w:val="24"/>
        </w:rPr>
        <w:t xml:space="preserve"> during the benchmark period;</w:t>
      </w:r>
      <w:r w:rsidR="002A2A66" w:rsidRPr="00657844">
        <w:rPr>
          <w:szCs w:val="24"/>
        </w:rPr>
        <w:t xml:space="preserve"> </w:t>
      </w:r>
      <w:r w:rsidR="002A2A66">
        <w:rPr>
          <w:szCs w:val="24"/>
        </w:rPr>
        <w:t>and</w:t>
      </w:r>
    </w:p>
    <w:p w:rsidR="007151EB" w:rsidRDefault="007F1E27" w:rsidP="00C13CE4">
      <w:pPr>
        <w:spacing w:after="200" w:line="276" w:lineRule="auto"/>
        <w:ind w:left="2160" w:hanging="720"/>
        <w:rPr>
          <w:szCs w:val="24"/>
        </w:rPr>
      </w:pPr>
      <w:r w:rsidRPr="00C13CE4" w:rsidDel="007F1E27">
        <w:rPr>
          <w:szCs w:val="24"/>
        </w:rPr>
        <w:t xml:space="preserve"> </w:t>
      </w:r>
      <w:bookmarkEnd w:id="5"/>
      <w:r w:rsidR="00C13CE4">
        <w:rPr>
          <w:szCs w:val="24"/>
        </w:rPr>
        <w:t xml:space="preserve">(d) </w:t>
      </w:r>
      <w:r w:rsidR="00C13CE4">
        <w:rPr>
          <w:szCs w:val="24"/>
        </w:rPr>
        <w:tab/>
      </w:r>
      <w:proofErr w:type="gramStart"/>
      <w:r w:rsidR="002A2A66">
        <w:rPr>
          <w:szCs w:val="24"/>
        </w:rPr>
        <w:t>if</w:t>
      </w:r>
      <w:proofErr w:type="gramEnd"/>
      <w:r w:rsidR="002A2A66">
        <w:rPr>
          <w:szCs w:val="24"/>
        </w:rPr>
        <w:t xml:space="preserve"> the carriage service provider meets the remote area services threshold for a benchmark period—</w:t>
      </w:r>
      <w:r w:rsidR="002A2A66" w:rsidRPr="00657844">
        <w:rPr>
          <w:szCs w:val="24"/>
        </w:rPr>
        <w:t xml:space="preserve">the total number of </w:t>
      </w:r>
      <w:r w:rsidR="002A2A66">
        <w:rPr>
          <w:szCs w:val="24"/>
        </w:rPr>
        <w:t xml:space="preserve">new </w:t>
      </w:r>
      <w:r w:rsidR="002A2A66" w:rsidRPr="00657844">
        <w:rPr>
          <w:szCs w:val="24"/>
        </w:rPr>
        <w:t>connection requests</w:t>
      </w:r>
      <w:r w:rsidR="007151EB">
        <w:rPr>
          <w:szCs w:val="24"/>
        </w:rPr>
        <w:t xml:space="preserve"> </w:t>
      </w:r>
      <w:r w:rsidR="00491A8F">
        <w:rPr>
          <w:szCs w:val="24"/>
        </w:rPr>
        <w:t xml:space="preserve">from customers in remote areas </w:t>
      </w:r>
      <w:r w:rsidR="007151EB">
        <w:rPr>
          <w:szCs w:val="24"/>
        </w:rPr>
        <w:t>that:</w:t>
      </w:r>
    </w:p>
    <w:p w:rsidR="007F1E27" w:rsidRPr="00C13CE4" w:rsidRDefault="007F1E27" w:rsidP="007F1E27">
      <w:pPr>
        <w:numPr>
          <w:ilvl w:val="3"/>
          <w:numId w:val="30"/>
        </w:numPr>
        <w:spacing w:after="200" w:line="276" w:lineRule="auto"/>
        <w:rPr>
          <w:szCs w:val="24"/>
        </w:rPr>
      </w:pPr>
      <w:r w:rsidRPr="00C13CE4">
        <w:rPr>
          <w:szCs w:val="24"/>
        </w:rPr>
        <w:t>are subject to the connection period performance standard; and</w:t>
      </w:r>
    </w:p>
    <w:p w:rsidR="002A2A66" w:rsidRPr="007F1E27" w:rsidRDefault="007151EB" w:rsidP="007151EB">
      <w:pPr>
        <w:numPr>
          <w:ilvl w:val="3"/>
          <w:numId w:val="30"/>
        </w:numPr>
        <w:spacing w:after="200" w:line="276" w:lineRule="auto"/>
        <w:rPr>
          <w:szCs w:val="24"/>
        </w:rPr>
      </w:pPr>
      <w:r>
        <w:rPr>
          <w:szCs w:val="24"/>
        </w:rPr>
        <w:t>are</w:t>
      </w:r>
      <w:r w:rsidR="002A2A66" w:rsidRPr="00657844">
        <w:rPr>
          <w:szCs w:val="24"/>
        </w:rPr>
        <w:t xml:space="preserve"> </w:t>
      </w:r>
      <w:r w:rsidR="0069212F">
        <w:rPr>
          <w:szCs w:val="24"/>
        </w:rPr>
        <w:t xml:space="preserve">required to be </w:t>
      </w:r>
      <w:r w:rsidR="00491A8F">
        <w:rPr>
          <w:szCs w:val="24"/>
        </w:rPr>
        <w:t>complied with</w:t>
      </w:r>
      <w:r w:rsidR="00C13CE4" w:rsidRPr="00657844">
        <w:rPr>
          <w:szCs w:val="24"/>
        </w:rPr>
        <w:t xml:space="preserve"> </w:t>
      </w:r>
      <w:r w:rsidR="002A2A66" w:rsidRPr="00657844">
        <w:rPr>
          <w:szCs w:val="24"/>
        </w:rPr>
        <w:t>by the</w:t>
      </w:r>
      <w:r w:rsidR="002A2A66">
        <w:rPr>
          <w:szCs w:val="24"/>
        </w:rPr>
        <w:t xml:space="preserve"> carriage</w:t>
      </w:r>
      <w:r w:rsidR="002A2A66" w:rsidRPr="00657844">
        <w:rPr>
          <w:szCs w:val="24"/>
        </w:rPr>
        <w:t xml:space="preserve"> service provider</w:t>
      </w:r>
      <w:r w:rsidR="002A2A66">
        <w:rPr>
          <w:szCs w:val="24"/>
        </w:rPr>
        <w:t xml:space="preserve"> during the benchmark period</w:t>
      </w:r>
    </w:p>
    <w:p w:rsidR="002A2A66" w:rsidRPr="007F1E27" w:rsidRDefault="002A2A66" w:rsidP="007F1E27">
      <w:pPr>
        <w:pStyle w:val="HR"/>
        <w:numPr>
          <w:ilvl w:val="0"/>
          <w:numId w:val="12"/>
        </w:numPr>
        <w:tabs>
          <w:tab w:val="clear" w:pos="540"/>
        </w:tabs>
        <w:spacing w:before="400" w:line="300" w:lineRule="atLeast"/>
        <w:ind w:left="357" w:hanging="357"/>
        <w:jc w:val="left"/>
        <w:rPr>
          <w:rFonts w:ascii="Arial" w:hAnsi="Arial" w:cs="Arial"/>
          <w:szCs w:val="24"/>
        </w:rPr>
      </w:pPr>
      <w:bookmarkStart w:id="6" w:name="_Ref283274572"/>
      <w:r w:rsidRPr="007F1E27">
        <w:rPr>
          <w:rFonts w:ascii="Arial" w:hAnsi="Arial" w:cs="Arial"/>
          <w:szCs w:val="24"/>
        </w:rPr>
        <w:t>Minimum benchmarks for rectification period performance standard</w:t>
      </w:r>
      <w:bookmarkEnd w:id="6"/>
    </w:p>
    <w:p w:rsidR="002A2A66" w:rsidRPr="007F1E27" w:rsidRDefault="002A2A66" w:rsidP="007F1E27">
      <w:pPr>
        <w:pStyle w:val="P1"/>
        <w:keepNext/>
        <w:ind w:left="1275" w:hanging="1281"/>
        <w:rPr>
          <w:szCs w:val="24"/>
        </w:rPr>
      </w:pPr>
    </w:p>
    <w:p w:rsidR="002A2A66" w:rsidRDefault="002A2A66" w:rsidP="002A2A66">
      <w:pPr>
        <w:numPr>
          <w:ilvl w:val="0"/>
          <w:numId w:val="21"/>
        </w:numPr>
        <w:spacing w:after="200" w:line="276" w:lineRule="auto"/>
        <w:rPr>
          <w:szCs w:val="24"/>
        </w:rPr>
      </w:pPr>
      <w:r w:rsidRPr="007F1E27">
        <w:rPr>
          <w:szCs w:val="24"/>
        </w:rPr>
        <w:t xml:space="preserve">Each of the benchmarks at subsection (2) are minimum benchmarks for the </w:t>
      </w:r>
      <w:r>
        <w:rPr>
          <w:szCs w:val="24"/>
        </w:rPr>
        <w:t>purposes of section 117B of the Act in relation to compliance by carriage service providers with the standard at subsection 11(5) of the CSG Standard (</w:t>
      </w:r>
      <w:r>
        <w:rPr>
          <w:b/>
          <w:i/>
          <w:szCs w:val="24"/>
        </w:rPr>
        <w:t>rectification period performance standard</w:t>
      </w:r>
      <w:r>
        <w:rPr>
          <w:szCs w:val="24"/>
        </w:rPr>
        <w:t>).</w:t>
      </w:r>
    </w:p>
    <w:p w:rsidR="007151EB" w:rsidRPr="00C227B1" w:rsidRDefault="00512BBC" w:rsidP="007151EB">
      <w:pPr>
        <w:numPr>
          <w:ilvl w:val="0"/>
          <w:numId w:val="21"/>
        </w:numPr>
        <w:spacing w:after="200" w:line="276" w:lineRule="auto"/>
        <w:rPr>
          <w:szCs w:val="24"/>
        </w:rPr>
      </w:pPr>
      <w:r>
        <w:rPr>
          <w:szCs w:val="24"/>
        </w:rPr>
        <w:t xml:space="preserve">Subject to subsection (3), a </w:t>
      </w:r>
      <w:r w:rsidR="007151EB" w:rsidRPr="00C227B1">
        <w:rPr>
          <w:szCs w:val="24"/>
        </w:rPr>
        <w:t>qualifying carriage service provider must comply with the rectification period performance standard in respect of at least 90 percent of:</w:t>
      </w:r>
    </w:p>
    <w:p w:rsidR="007151EB" w:rsidRDefault="007151EB" w:rsidP="007151EB">
      <w:pPr>
        <w:numPr>
          <w:ilvl w:val="2"/>
          <w:numId w:val="23"/>
        </w:numPr>
        <w:spacing w:after="200" w:line="276" w:lineRule="auto"/>
        <w:rPr>
          <w:szCs w:val="24"/>
        </w:rPr>
      </w:pPr>
      <w:r>
        <w:rPr>
          <w:szCs w:val="24"/>
        </w:rPr>
        <w:t>if the carriage service provider meets the urban area services threshold for a benchmark period—</w:t>
      </w:r>
      <w:r w:rsidRPr="00657844">
        <w:rPr>
          <w:szCs w:val="24"/>
        </w:rPr>
        <w:t xml:space="preserve">the total number of </w:t>
      </w:r>
      <w:r>
        <w:rPr>
          <w:szCs w:val="24"/>
        </w:rPr>
        <w:t>faults or service difficulties</w:t>
      </w:r>
      <w:r w:rsidR="00087471">
        <w:rPr>
          <w:szCs w:val="24"/>
        </w:rPr>
        <w:t xml:space="preserve"> reported by customers located in an urban area</w:t>
      </w:r>
      <w:r w:rsidR="0043432B" w:rsidRPr="0043432B">
        <w:rPr>
          <w:szCs w:val="24"/>
        </w:rPr>
        <w:t> </w:t>
      </w:r>
      <w:r>
        <w:rPr>
          <w:szCs w:val="24"/>
        </w:rPr>
        <w:t>that:</w:t>
      </w:r>
    </w:p>
    <w:p w:rsidR="007F1E27" w:rsidRPr="00C13CE4" w:rsidRDefault="007F1E27" w:rsidP="007F1E27">
      <w:pPr>
        <w:numPr>
          <w:ilvl w:val="3"/>
          <w:numId w:val="23"/>
        </w:numPr>
        <w:spacing w:after="200" w:line="276" w:lineRule="auto"/>
        <w:rPr>
          <w:szCs w:val="24"/>
        </w:rPr>
      </w:pPr>
      <w:r w:rsidRPr="00C13CE4">
        <w:rPr>
          <w:szCs w:val="24"/>
        </w:rPr>
        <w:t>are subject to the rectification period performance standard; and</w:t>
      </w:r>
    </w:p>
    <w:p w:rsidR="007151EB" w:rsidRDefault="007151EB" w:rsidP="007151EB">
      <w:pPr>
        <w:numPr>
          <w:ilvl w:val="3"/>
          <w:numId w:val="23"/>
        </w:numPr>
        <w:spacing w:after="200" w:line="276" w:lineRule="auto"/>
        <w:rPr>
          <w:szCs w:val="24"/>
        </w:rPr>
      </w:pPr>
      <w:r>
        <w:rPr>
          <w:szCs w:val="24"/>
        </w:rPr>
        <w:t xml:space="preserve">are </w:t>
      </w:r>
      <w:r w:rsidR="0069212F">
        <w:rPr>
          <w:szCs w:val="24"/>
        </w:rPr>
        <w:t xml:space="preserve">required to be </w:t>
      </w:r>
      <w:r w:rsidR="00C13CE4">
        <w:rPr>
          <w:szCs w:val="24"/>
        </w:rPr>
        <w:t xml:space="preserve">rectified by </w:t>
      </w:r>
      <w:r>
        <w:rPr>
          <w:szCs w:val="24"/>
        </w:rPr>
        <w:t>t</w:t>
      </w:r>
      <w:r w:rsidRPr="00657844">
        <w:rPr>
          <w:szCs w:val="24"/>
        </w:rPr>
        <w:t>he</w:t>
      </w:r>
      <w:r>
        <w:rPr>
          <w:szCs w:val="24"/>
        </w:rPr>
        <w:t xml:space="preserve"> carriage</w:t>
      </w:r>
      <w:r w:rsidRPr="00657844">
        <w:rPr>
          <w:szCs w:val="24"/>
        </w:rPr>
        <w:t xml:space="preserve"> service provider</w:t>
      </w:r>
      <w:r>
        <w:rPr>
          <w:szCs w:val="24"/>
        </w:rPr>
        <w:t xml:space="preserve"> in the benchmark period; and</w:t>
      </w:r>
    </w:p>
    <w:p w:rsidR="007151EB" w:rsidRDefault="007151EB" w:rsidP="007151EB">
      <w:pPr>
        <w:numPr>
          <w:ilvl w:val="2"/>
          <w:numId w:val="23"/>
        </w:numPr>
        <w:spacing w:after="200" w:line="276" w:lineRule="auto"/>
        <w:rPr>
          <w:szCs w:val="24"/>
        </w:rPr>
      </w:pPr>
      <w:r>
        <w:rPr>
          <w:szCs w:val="24"/>
        </w:rPr>
        <w:t>if the carriage service provider meets the rural area services threshold for a benchmark period—</w:t>
      </w:r>
      <w:r w:rsidRPr="00657844">
        <w:rPr>
          <w:szCs w:val="24"/>
        </w:rPr>
        <w:t xml:space="preserve">the total number of </w:t>
      </w:r>
      <w:r>
        <w:rPr>
          <w:szCs w:val="24"/>
        </w:rPr>
        <w:t>faults or service difficulties</w:t>
      </w:r>
      <w:r w:rsidR="00087471" w:rsidRPr="00087471">
        <w:rPr>
          <w:szCs w:val="24"/>
        </w:rPr>
        <w:t xml:space="preserve"> </w:t>
      </w:r>
      <w:r w:rsidR="00087471">
        <w:rPr>
          <w:szCs w:val="24"/>
        </w:rPr>
        <w:t>reported by customers located in a rural area</w:t>
      </w:r>
      <w:r w:rsidR="0043432B" w:rsidRPr="0043432B">
        <w:rPr>
          <w:szCs w:val="24"/>
        </w:rPr>
        <w:t> </w:t>
      </w:r>
      <w:r>
        <w:rPr>
          <w:szCs w:val="24"/>
        </w:rPr>
        <w:t>that:</w:t>
      </w:r>
    </w:p>
    <w:p w:rsidR="007F1E27" w:rsidRPr="00C13CE4" w:rsidRDefault="007F1E27" w:rsidP="007F1E27">
      <w:pPr>
        <w:numPr>
          <w:ilvl w:val="3"/>
          <w:numId w:val="23"/>
        </w:numPr>
        <w:spacing w:after="200" w:line="276" w:lineRule="auto"/>
        <w:rPr>
          <w:szCs w:val="24"/>
        </w:rPr>
      </w:pPr>
      <w:r w:rsidRPr="00C13CE4">
        <w:rPr>
          <w:szCs w:val="24"/>
        </w:rPr>
        <w:t>are subject to the rectification period performance standard; and</w:t>
      </w:r>
    </w:p>
    <w:p w:rsidR="007151EB" w:rsidRDefault="007151EB" w:rsidP="007151EB">
      <w:pPr>
        <w:numPr>
          <w:ilvl w:val="3"/>
          <w:numId w:val="23"/>
        </w:numPr>
        <w:spacing w:after="200" w:line="276" w:lineRule="auto"/>
        <w:rPr>
          <w:szCs w:val="24"/>
        </w:rPr>
      </w:pPr>
      <w:r>
        <w:rPr>
          <w:szCs w:val="24"/>
        </w:rPr>
        <w:t xml:space="preserve">are </w:t>
      </w:r>
      <w:r w:rsidR="0069212F">
        <w:rPr>
          <w:szCs w:val="24"/>
        </w:rPr>
        <w:t xml:space="preserve">required to be </w:t>
      </w:r>
      <w:r w:rsidR="00C13CE4">
        <w:rPr>
          <w:szCs w:val="24"/>
        </w:rPr>
        <w:t>rectified by</w:t>
      </w:r>
      <w:r>
        <w:rPr>
          <w:szCs w:val="24"/>
        </w:rPr>
        <w:t xml:space="preserve"> t</w:t>
      </w:r>
      <w:r w:rsidRPr="00657844">
        <w:rPr>
          <w:szCs w:val="24"/>
        </w:rPr>
        <w:t>he</w:t>
      </w:r>
      <w:r>
        <w:rPr>
          <w:szCs w:val="24"/>
        </w:rPr>
        <w:t xml:space="preserve"> carriage</w:t>
      </w:r>
      <w:r w:rsidRPr="00657844">
        <w:rPr>
          <w:szCs w:val="24"/>
        </w:rPr>
        <w:t xml:space="preserve"> service provider</w:t>
      </w:r>
      <w:r>
        <w:rPr>
          <w:szCs w:val="24"/>
        </w:rPr>
        <w:t xml:space="preserve"> in the benchmark period; and</w:t>
      </w:r>
    </w:p>
    <w:p w:rsidR="007151EB" w:rsidRDefault="007151EB" w:rsidP="007151EB">
      <w:pPr>
        <w:numPr>
          <w:ilvl w:val="2"/>
          <w:numId w:val="23"/>
        </w:numPr>
        <w:spacing w:after="200" w:line="276" w:lineRule="auto"/>
        <w:rPr>
          <w:szCs w:val="24"/>
        </w:rPr>
      </w:pPr>
      <w:r>
        <w:rPr>
          <w:szCs w:val="24"/>
        </w:rPr>
        <w:t>if the carriage service provider meets the remote area services threshold for a benchmark period—</w:t>
      </w:r>
      <w:r w:rsidRPr="00657844">
        <w:rPr>
          <w:szCs w:val="24"/>
        </w:rPr>
        <w:t xml:space="preserve">the total number of </w:t>
      </w:r>
      <w:r>
        <w:rPr>
          <w:szCs w:val="24"/>
        </w:rPr>
        <w:t>faults or service difficulties</w:t>
      </w:r>
      <w:r w:rsidR="00087471">
        <w:rPr>
          <w:szCs w:val="24"/>
        </w:rPr>
        <w:t xml:space="preserve"> reported by customers located in a remote area</w:t>
      </w:r>
      <w:r w:rsidR="0043432B" w:rsidRPr="0043432B">
        <w:rPr>
          <w:szCs w:val="24"/>
        </w:rPr>
        <w:t> </w:t>
      </w:r>
      <w:r>
        <w:rPr>
          <w:szCs w:val="24"/>
        </w:rPr>
        <w:t>that:</w:t>
      </w:r>
    </w:p>
    <w:p w:rsidR="007F1E27" w:rsidRPr="00C13CE4" w:rsidRDefault="007F1E27" w:rsidP="007F1E27">
      <w:pPr>
        <w:numPr>
          <w:ilvl w:val="3"/>
          <w:numId w:val="23"/>
        </w:numPr>
        <w:spacing w:after="200" w:line="276" w:lineRule="auto"/>
        <w:rPr>
          <w:szCs w:val="24"/>
        </w:rPr>
      </w:pPr>
      <w:r w:rsidRPr="00C13CE4">
        <w:rPr>
          <w:szCs w:val="24"/>
        </w:rPr>
        <w:t>are subject to the rectification period performance standard; and</w:t>
      </w:r>
    </w:p>
    <w:p w:rsidR="007151EB" w:rsidRDefault="007151EB" w:rsidP="007151EB">
      <w:pPr>
        <w:numPr>
          <w:ilvl w:val="3"/>
          <w:numId w:val="23"/>
        </w:numPr>
        <w:spacing w:after="200" w:line="276" w:lineRule="auto"/>
        <w:rPr>
          <w:szCs w:val="24"/>
        </w:rPr>
      </w:pPr>
      <w:proofErr w:type="gramStart"/>
      <w:r>
        <w:rPr>
          <w:szCs w:val="24"/>
        </w:rPr>
        <w:t>are</w:t>
      </w:r>
      <w:proofErr w:type="gramEnd"/>
      <w:r>
        <w:rPr>
          <w:szCs w:val="24"/>
        </w:rPr>
        <w:t xml:space="preserve"> </w:t>
      </w:r>
      <w:r w:rsidR="0069212F">
        <w:rPr>
          <w:szCs w:val="24"/>
        </w:rPr>
        <w:t xml:space="preserve">required to be </w:t>
      </w:r>
      <w:r w:rsidR="00C13CE4">
        <w:rPr>
          <w:szCs w:val="24"/>
        </w:rPr>
        <w:t>rectified by</w:t>
      </w:r>
      <w:r>
        <w:rPr>
          <w:szCs w:val="24"/>
        </w:rPr>
        <w:t xml:space="preserve"> t</w:t>
      </w:r>
      <w:r w:rsidRPr="00657844">
        <w:rPr>
          <w:szCs w:val="24"/>
        </w:rPr>
        <w:t>he</w:t>
      </w:r>
      <w:r>
        <w:rPr>
          <w:szCs w:val="24"/>
        </w:rPr>
        <w:t xml:space="preserve"> carriage</w:t>
      </w:r>
      <w:r w:rsidRPr="00657844">
        <w:rPr>
          <w:szCs w:val="24"/>
        </w:rPr>
        <w:t xml:space="preserve"> service provider</w:t>
      </w:r>
      <w:r>
        <w:rPr>
          <w:szCs w:val="24"/>
        </w:rPr>
        <w:t xml:space="preserve"> in the benchmark period</w:t>
      </w:r>
      <w:r w:rsidR="007F1E27">
        <w:rPr>
          <w:szCs w:val="24"/>
        </w:rPr>
        <w:t>.</w:t>
      </w:r>
    </w:p>
    <w:p w:rsidR="00512BBC" w:rsidRDefault="00512BBC" w:rsidP="00512BBC">
      <w:pPr>
        <w:numPr>
          <w:ilvl w:val="0"/>
          <w:numId w:val="21"/>
        </w:numPr>
        <w:spacing w:after="200" w:line="276" w:lineRule="auto"/>
        <w:rPr>
          <w:szCs w:val="24"/>
        </w:rPr>
      </w:pPr>
      <w:r>
        <w:rPr>
          <w:szCs w:val="24"/>
        </w:rPr>
        <w:t>In assessing compliance with the rectification period performance standard at subsections (2</w:t>
      </w:r>
      <w:proofErr w:type="gramStart"/>
      <w:r>
        <w:rPr>
          <w:szCs w:val="24"/>
        </w:rPr>
        <w:t>)(</w:t>
      </w:r>
      <w:proofErr w:type="gramEnd"/>
      <w:r>
        <w:rPr>
          <w:szCs w:val="24"/>
        </w:rPr>
        <w:t xml:space="preserve">a) to (c), </w:t>
      </w:r>
      <w:r w:rsidRPr="005F63ED">
        <w:rPr>
          <w:szCs w:val="24"/>
        </w:rPr>
        <w:t>faults or service difficulties relating to an inoperative enhanced call handling feature on services that include an enhanced call handling feature are</w:t>
      </w:r>
      <w:r>
        <w:rPr>
          <w:szCs w:val="24"/>
        </w:rPr>
        <w:t xml:space="preserve"> to be excluded from calculations required to be undertaken of the total number of faults or service difficulties reported by customers in either an urban, rural or remote area.  </w:t>
      </w:r>
    </w:p>
    <w:p w:rsidR="00140B93" w:rsidRPr="00DA1278" w:rsidRDefault="00140B93" w:rsidP="00140B93">
      <w:pPr>
        <w:spacing w:after="200" w:line="276" w:lineRule="auto"/>
        <w:ind w:left="360"/>
        <w:rPr>
          <w:b/>
          <w:i/>
          <w:sz w:val="20"/>
        </w:rPr>
      </w:pPr>
      <w:r w:rsidRPr="00DA1278">
        <w:rPr>
          <w:b/>
          <w:i/>
          <w:sz w:val="20"/>
        </w:rPr>
        <w:t>Note</w:t>
      </w:r>
      <w:r w:rsidR="00DA1278" w:rsidRPr="00DA1278">
        <w:rPr>
          <w:b/>
          <w:i/>
          <w:sz w:val="20"/>
        </w:rPr>
        <w:tab/>
      </w:r>
      <w:r w:rsidR="00E22E2D">
        <w:rPr>
          <w:sz w:val="20"/>
        </w:rPr>
        <w:t>In calculating a carriage service provider’s compliance</w:t>
      </w:r>
      <w:r w:rsidR="00E22E2D" w:rsidRPr="00DA1278">
        <w:rPr>
          <w:sz w:val="20"/>
        </w:rPr>
        <w:t xml:space="preserve"> with the rectification period performance standard</w:t>
      </w:r>
      <w:r w:rsidR="00E22E2D">
        <w:rPr>
          <w:sz w:val="20"/>
        </w:rPr>
        <w:t xml:space="preserve"> under this section it is not necessary to include a</w:t>
      </w:r>
      <w:r w:rsidR="00DA1278" w:rsidRPr="00DA1278">
        <w:rPr>
          <w:sz w:val="20"/>
        </w:rPr>
        <w:t xml:space="preserve"> fault or service difficulty</w:t>
      </w:r>
      <w:r w:rsidR="00DA1278">
        <w:rPr>
          <w:b/>
          <w:i/>
          <w:sz w:val="20"/>
        </w:rPr>
        <w:t xml:space="preserve"> </w:t>
      </w:r>
      <w:r w:rsidR="00DA1278">
        <w:rPr>
          <w:sz w:val="20"/>
        </w:rPr>
        <w:t xml:space="preserve">relating to an inoperative enhanced call handling feature as referred to in paragraph (f) of the definition of fault or service difficulty </w:t>
      </w:r>
      <w:r w:rsidR="00E22E2D">
        <w:rPr>
          <w:sz w:val="20"/>
        </w:rPr>
        <w:t>at</w:t>
      </w:r>
      <w:r w:rsidR="00DA1278">
        <w:rPr>
          <w:sz w:val="20"/>
        </w:rPr>
        <w:t xml:space="preserve"> section 4 of the CSG Standard. </w:t>
      </w:r>
      <w:r w:rsidRPr="00DA1278">
        <w:rPr>
          <w:b/>
          <w:i/>
          <w:sz w:val="20"/>
        </w:rPr>
        <w:tab/>
      </w:r>
    </w:p>
    <w:p w:rsidR="002A2A66" w:rsidRDefault="002A2A66" w:rsidP="002A2A66">
      <w:pPr>
        <w:pStyle w:val="HR"/>
        <w:numPr>
          <w:ilvl w:val="0"/>
          <w:numId w:val="12"/>
        </w:numPr>
        <w:tabs>
          <w:tab w:val="clear" w:pos="540"/>
        </w:tabs>
        <w:spacing w:before="400" w:line="300" w:lineRule="atLeast"/>
        <w:jc w:val="left"/>
        <w:rPr>
          <w:rFonts w:ascii="Arial" w:hAnsi="Arial" w:cs="Arial"/>
        </w:rPr>
      </w:pPr>
      <w:bookmarkStart w:id="7" w:name="_Ref283274574"/>
      <w:r>
        <w:rPr>
          <w:rFonts w:ascii="Arial" w:hAnsi="Arial" w:cs="Arial"/>
        </w:rPr>
        <w:t>Performance</w:t>
      </w:r>
      <w:r w:rsidRPr="00667F81">
        <w:rPr>
          <w:rFonts w:ascii="Arial" w:hAnsi="Arial" w:cs="Arial"/>
        </w:rPr>
        <w:t xml:space="preserve"> benchmark for appointment</w:t>
      </w:r>
      <w:r>
        <w:rPr>
          <w:rFonts w:ascii="Arial" w:hAnsi="Arial" w:cs="Arial"/>
        </w:rPr>
        <w:t>-</w:t>
      </w:r>
      <w:r w:rsidRPr="00667F81">
        <w:rPr>
          <w:rFonts w:ascii="Arial" w:hAnsi="Arial" w:cs="Arial"/>
        </w:rPr>
        <w:t>keeping</w:t>
      </w:r>
      <w:r>
        <w:rPr>
          <w:rFonts w:ascii="Arial" w:hAnsi="Arial" w:cs="Arial"/>
        </w:rPr>
        <w:t xml:space="preserve"> performance standard</w:t>
      </w:r>
      <w:bookmarkEnd w:id="7"/>
    </w:p>
    <w:p w:rsidR="002A2A66" w:rsidRPr="00667F81" w:rsidRDefault="002A2A66" w:rsidP="002A2A66">
      <w:pPr>
        <w:pStyle w:val="R1"/>
      </w:pPr>
    </w:p>
    <w:p w:rsidR="002A2A66" w:rsidRPr="002B049C" w:rsidRDefault="002A2A66" w:rsidP="002B049C">
      <w:pPr>
        <w:numPr>
          <w:ilvl w:val="0"/>
          <w:numId w:val="22"/>
        </w:numPr>
        <w:spacing w:after="200" w:line="276" w:lineRule="auto"/>
        <w:rPr>
          <w:szCs w:val="24"/>
        </w:rPr>
      </w:pPr>
      <w:r w:rsidRPr="002B049C">
        <w:rPr>
          <w:szCs w:val="24"/>
        </w:rPr>
        <w:t>The benchmark at subsection (2) is a minimum benchmark for the purposes of section 117B of the Act in relation to compliance by carriage service providers with the standard at subsection 16(5) of the CSG Standard (</w:t>
      </w:r>
      <w:r w:rsidRPr="002B049C">
        <w:rPr>
          <w:b/>
          <w:i/>
          <w:szCs w:val="24"/>
        </w:rPr>
        <w:t>appointment</w:t>
      </w:r>
      <w:r w:rsidR="005E109F" w:rsidRPr="002B049C">
        <w:rPr>
          <w:b/>
          <w:i/>
          <w:szCs w:val="24"/>
        </w:rPr>
        <w:t>-</w:t>
      </w:r>
      <w:r w:rsidRPr="002B049C">
        <w:rPr>
          <w:b/>
          <w:i/>
          <w:szCs w:val="24"/>
        </w:rPr>
        <w:t>keeping performance standard</w:t>
      </w:r>
      <w:r w:rsidRPr="002B049C">
        <w:rPr>
          <w:szCs w:val="24"/>
        </w:rPr>
        <w:t>).</w:t>
      </w:r>
    </w:p>
    <w:p w:rsidR="005E109F" w:rsidRPr="002B049C" w:rsidRDefault="002A2A66" w:rsidP="002B049C">
      <w:pPr>
        <w:numPr>
          <w:ilvl w:val="0"/>
          <w:numId w:val="22"/>
        </w:numPr>
        <w:spacing w:after="200" w:line="276" w:lineRule="auto"/>
        <w:rPr>
          <w:szCs w:val="24"/>
        </w:rPr>
      </w:pPr>
      <w:r w:rsidRPr="002B049C">
        <w:rPr>
          <w:szCs w:val="24"/>
        </w:rPr>
        <w:t>A qualifying carriage service provider must comply with the appointment-keeping performance standard in respect of at least 90 percent of the total number of appointments</w:t>
      </w:r>
      <w:r w:rsidR="00140B93" w:rsidRPr="002B049C">
        <w:rPr>
          <w:szCs w:val="24"/>
        </w:rPr>
        <w:t xml:space="preserve"> </w:t>
      </w:r>
      <w:r w:rsidR="005D31DC" w:rsidRPr="002B049C">
        <w:rPr>
          <w:szCs w:val="24"/>
        </w:rPr>
        <w:t xml:space="preserve">to which the carriage service provider is a party </w:t>
      </w:r>
      <w:r w:rsidR="00140B93" w:rsidRPr="002B049C">
        <w:rPr>
          <w:szCs w:val="24"/>
        </w:rPr>
        <w:t>that</w:t>
      </w:r>
      <w:r w:rsidR="005E109F" w:rsidRPr="002B049C">
        <w:rPr>
          <w:szCs w:val="24"/>
        </w:rPr>
        <w:t>:</w:t>
      </w:r>
    </w:p>
    <w:p w:rsidR="007F1E27" w:rsidRDefault="007F1E27" w:rsidP="005E109F">
      <w:pPr>
        <w:numPr>
          <w:ilvl w:val="2"/>
          <w:numId w:val="24"/>
        </w:numPr>
        <w:spacing w:after="200" w:line="276" w:lineRule="auto"/>
        <w:rPr>
          <w:szCs w:val="24"/>
        </w:rPr>
      </w:pPr>
      <w:r w:rsidRPr="00417BE6">
        <w:rPr>
          <w:szCs w:val="24"/>
        </w:rPr>
        <w:t>are subject to the appointment-keeping performance standard</w:t>
      </w:r>
      <w:r w:rsidR="00183DE6">
        <w:rPr>
          <w:szCs w:val="24"/>
        </w:rPr>
        <w:t>; and</w:t>
      </w:r>
      <w:r w:rsidDel="00140B93">
        <w:rPr>
          <w:szCs w:val="24"/>
        </w:rPr>
        <w:t xml:space="preserve"> </w:t>
      </w:r>
    </w:p>
    <w:p w:rsidR="002A2A66" w:rsidRPr="007F1E27" w:rsidRDefault="00140B93" w:rsidP="005E109F">
      <w:pPr>
        <w:numPr>
          <w:ilvl w:val="2"/>
          <w:numId w:val="24"/>
        </w:numPr>
        <w:spacing w:after="200" w:line="276" w:lineRule="auto"/>
        <w:rPr>
          <w:szCs w:val="24"/>
        </w:rPr>
      </w:pPr>
      <w:proofErr w:type="gramStart"/>
      <w:r>
        <w:rPr>
          <w:szCs w:val="24"/>
        </w:rPr>
        <w:t>are</w:t>
      </w:r>
      <w:proofErr w:type="gramEnd"/>
      <w:r>
        <w:rPr>
          <w:szCs w:val="24"/>
        </w:rPr>
        <w:t xml:space="preserve"> </w:t>
      </w:r>
      <w:r w:rsidR="0069212F">
        <w:rPr>
          <w:szCs w:val="24"/>
        </w:rPr>
        <w:t xml:space="preserve">required to be </w:t>
      </w:r>
      <w:r w:rsidR="007F1E27">
        <w:rPr>
          <w:szCs w:val="24"/>
        </w:rPr>
        <w:t>kept</w:t>
      </w:r>
      <w:r>
        <w:rPr>
          <w:szCs w:val="24"/>
        </w:rPr>
        <w:t xml:space="preserve"> by </w:t>
      </w:r>
      <w:r w:rsidR="002A2A66">
        <w:rPr>
          <w:szCs w:val="24"/>
        </w:rPr>
        <w:t>the carriage service provider during a benchmark period</w:t>
      </w:r>
      <w:r w:rsidR="007F1E27">
        <w:rPr>
          <w:szCs w:val="24"/>
        </w:rPr>
        <w:t>.</w:t>
      </w:r>
    </w:p>
    <w:p w:rsidR="002A2A66" w:rsidRPr="007F1E27" w:rsidRDefault="002A2A66" w:rsidP="002A2A66">
      <w:pPr>
        <w:pStyle w:val="HR"/>
        <w:tabs>
          <w:tab w:val="clear" w:pos="540"/>
          <w:tab w:val="left" w:pos="426"/>
        </w:tabs>
        <w:spacing w:before="400"/>
        <w:ind w:left="425" w:hanging="425"/>
        <w:jc w:val="left"/>
        <w:rPr>
          <w:rFonts w:ascii="Arial" w:hAnsi="Arial" w:cs="Arial"/>
          <w:szCs w:val="24"/>
        </w:rPr>
      </w:pPr>
      <w:r w:rsidRPr="007F1E27">
        <w:rPr>
          <w:rFonts w:ascii="Arial" w:hAnsi="Arial" w:cs="Arial"/>
          <w:szCs w:val="24"/>
        </w:rPr>
        <w:t>Division 2</w:t>
      </w:r>
      <w:r w:rsidRPr="007F1E27">
        <w:rPr>
          <w:rFonts w:ascii="Arial" w:hAnsi="Arial" w:cs="Arial"/>
          <w:szCs w:val="24"/>
        </w:rPr>
        <w:tab/>
        <w:t xml:space="preserve">Compliance with performance benchmarks </w:t>
      </w:r>
    </w:p>
    <w:p w:rsidR="002A2A66" w:rsidRPr="007F1E27" w:rsidRDefault="002A2A66" w:rsidP="002A2A66">
      <w:pPr>
        <w:pStyle w:val="HR"/>
        <w:numPr>
          <w:ilvl w:val="0"/>
          <w:numId w:val="12"/>
        </w:numPr>
        <w:tabs>
          <w:tab w:val="clear" w:pos="540"/>
        </w:tabs>
        <w:spacing w:before="400" w:line="300" w:lineRule="atLeast"/>
        <w:jc w:val="left"/>
        <w:rPr>
          <w:rFonts w:ascii="Arial" w:hAnsi="Arial" w:cs="Arial"/>
          <w:szCs w:val="24"/>
        </w:rPr>
      </w:pPr>
      <w:r w:rsidRPr="007F1E27">
        <w:rPr>
          <w:rFonts w:ascii="Arial" w:hAnsi="Arial" w:cs="Arial"/>
          <w:szCs w:val="24"/>
        </w:rPr>
        <w:t>Contravention of a performance benchmark</w:t>
      </w:r>
      <w:r w:rsidRPr="007F1E27">
        <w:rPr>
          <w:rFonts w:ascii="Arial" w:hAnsi="Arial" w:cs="Arial"/>
          <w:szCs w:val="24"/>
        </w:rPr>
        <w:br/>
      </w:r>
    </w:p>
    <w:p w:rsidR="002A2A66" w:rsidRPr="008B5678" w:rsidRDefault="002A2A66" w:rsidP="002A2A66">
      <w:pPr>
        <w:spacing w:after="200" w:line="276" w:lineRule="auto"/>
        <w:ind w:left="426"/>
        <w:rPr>
          <w:szCs w:val="24"/>
        </w:rPr>
      </w:pPr>
      <w:r w:rsidRPr="007F1E27">
        <w:rPr>
          <w:szCs w:val="24"/>
        </w:rPr>
        <w:t>Each instance of a carri</w:t>
      </w:r>
      <w:r w:rsidRPr="008B5678">
        <w:rPr>
          <w:szCs w:val="24"/>
        </w:rPr>
        <w:t xml:space="preserve">age service provider failing to meet or exceed any one of the </w:t>
      </w:r>
      <w:r>
        <w:rPr>
          <w:szCs w:val="24"/>
        </w:rPr>
        <w:t>performance</w:t>
      </w:r>
      <w:r w:rsidRPr="008B5678">
        <w:rPr>
          <w:szCs w:val="24"/>
        </w:rPr>
        <w:t xml:space="preserve"> benchmarks in section</w:t>
      </w:r>
      <w:r>
        <w:rPr>
          <w:szCs w:val="24"/>
        </w:rPr>
        <w:t>s</w:t>
      </w:r>
      <w:r w:rsidRPr="008B5678">
        <w:rPr>
          <w:szCs w:val="24"/>
        </w:rPr>
        <w:t xml:space="preserve"> </w:t>
      </w:r>
      <w:r w:rsidR="00E7091E">
        <w:rPr>
          <w:szCs w:val="24"/>
        </w:rPr>
        <w:fldChar w:fldCharType="begin"/>
      </w:r>
      <w:r>
        <w:rPr>
          <w:szCs w:val="24"/>
        </w:rPr>
        <w:instrText xml:space="preserve"> REF _Ref283274568 \r \h </w:instrText>
      </w:r>
      <w:r w:rsidR="00E7091E">
        <w:rPr>
          <w:szCs w:val="24"/>
        </w:rPr>
      </w:r>
      <w:r w:rsidR="00E7091E">
        <w:rPr>
          <w:szCs w:val="24"/>
        </w:rPr>
        <w:fldChar w:fldCharType="separate"/>
      </w:r>
      <w:r w:rsidR="00806CF5">
        <w:rPr>
          <w:szCs w:val="24"/>
        </w:rPr>
        <w:t>6</w:t>
      </w:r>
      <w:r w:rsidR="00E7091E">
        <w:rPr>
          <w:szCs w:val="24"/>
        </w:rPr>
        <w:fldChar w:fldCharType="end"/>
      </w:r>
      <w:r>
        <w:rPr>
          <w:szCs w:val="24"/>
        </w:rPr>
        <w:t xml:space="preserve">, </w:t>
      </w:r>
      <w:r w:rsidR="00E7091E">
        <w:rPr>
          <w:szCs w:val="24"/>
        </w:rPr>
        <w:fldChar w:fldCharType="begin"/>
      </w:r>
      <w:r>
        <w:rPr>
          <w:szCs w:val="24"/>
        </w:rPr>
        <w:instrText xml:space="preserve"> REF _Ref283274572 \r \h </w:instrText>
      </w:r>
      <w:r w:rsidR="00E7091E">
        <w:rPr>
          <w:szCs w:val="24"/>
        </w:rPr>
      </w:r>
      <w:r w:rsidR="00E7091E">
        <w:rPr>
          <w:szCs w:val="24"/>
        </w:rPr>
        <w:fldChar w:fldCharType="separate"/>
      </w:r>
      <w:r w:rsidR="00806CF5">
        <w:rPr>
          <w:szCs w:val="24"/>
        </w:rPr>
        <w:t>7</w:t>
      </w:r>
      <w:r w:rsidR="00E7091E">
        <w:rPr>
          <w:szCs w:val="24"/>
        </w:rPr>
        <w:fldChar w:fldCharType="end"/>
      </w:r>
      <w:r>
        <w:rPr>
          <w:szCs w:val="24"/>
        </w:rPr>
        <w:t xml:space="preserve"> or </w:t>
      </w:r>
      <w:r w:rsidR="00E7091E">
        <w:rPr>
          <w:szCs w:val="24"/>
        </w:rPr>
        <w:fldChar w:fldCharType="begin"/>
      </w:r>
      <w:r>
        <w:rPr>
          <w:szCs w:val="24"/>
        </w:rPr>
        <w:instrText xml:space="preserve"> REF _Ref283274574 \r \h </w:instrText>
      </w:r>
      <w:r w:rsidR="00E7091E">
        <w:rPr>
          <w:szCs w:val="24"/>
        </w:rPr>
      </w:r>
      <w:r w:rsidR="00E7091E">
        <w:rPr>
          <w:szCs w:val="24"/>
        </w:rPr>
        <w:fldChar w:fldCharType="separate"/>
      </w:r>
      <w:r w:rsidR="00806CF5">
        <w:rPr>
          <w:szCs w:val="24"/>
        </w:rPr>
        <w:t>8</w:t>
      </w:r>
      <w:r w:rsidR="00E7091E">
        <w:rPr>
          <w:szCs w:val="24"/>
        </w:rPr>
        <w:fldChar w:fldCharType="end"/>
      </w:r>
      <w:r>
        <w:rPr>
          <w:szCs w:val="24"/>
        </w:rPr>
        <w:t xml:space="preserve"> </w:t>
      </w:r>
      <w:r w:rsidRPr="008B5678">
        <w:rPr>
          <w:szCs w:val="24"/>
        </w:rPr>
        <w:t xml:space="preserve">constitutes a separate contravention of the relevant </w:t>
      </w:r>
      <w:r>
        <w:rPr>
          <w:szCs w:val="24"/>
        </w:rPr>
        <w:t>performance</w:t>
      </w:r>
      <w:r w:rsidRPr="008B5678">
        <w:rPr>
          <w:szCs w:val="24"/>
        </w:rPr>
        <w:t xml:space="preserve"> benchmark.</w:t>
      </w:r>
    </w:p>
    <w:p w:rsidR="002A2A66" w:rsidRPr="003516AB" w:rsidRDefault="002A2A66" w:rsidP="002A2A66">
      <w:pPr>
        <w:pStyle w:val="P1"/>
        <w:ind w:left="0" w:firstLine="0"/>
      </w:pPr>
    </w:p>
    <w:p w:rsidR="002A2A66" w:rsidRPr="000E4570" w:rsidRDefault="002A2A66" w:rsidP="002A2A66"/>
    <w:p w:rsidR="002A2A66" w:rsidRPr="000E4570" w:rsidRDefault="002A2A66" w:rsidP="002A2A66"/>
    <w:p w:rsidR="004A5235" w:rsidRPr="000E4570" w:rsidRDefault="004A5235" w:rsidP="000E4570"/>
    <w:sectPr w:rsidR="004A5235" w:rsidRPr="000E4570" w:rsidSect="00E22E2D">
      <w:footerReference w:type="even" r:id="rId8"/>
      <w:footerReference w:type="first" r:id="rId9"/>
      <w:pgSz w:w="11906" w:h="16838"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AB" w:rsidRDefault="00C94AAB">
      <w:r>
        <w:separator/>
      </w:r>
    </w:p>
  </w:endnote>
  <w:endnote w:type="continuationSeparator" w:id="0">
    <w:p w:rsidR="00C94AAB" w:rsidRDefault="00C94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AB" w:rsidRPr="009448C5" w:rsidRDefault="00C94AAB">
    <w:pPr>
      <w:pStyle w:val="Footer"/>
      <w:rPr>
        <w:sz w:val="16"/>
      </w:rPr>
    </w:pPr>
    <w:r>
      <w:rPr>
        <w:sz w:val="16"/>
      </w:rPr>
      <w:t>WAS\WAS\32661271\1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AB" w:rsidRPr="009448C5" w:rsidRDefault="00C94AAB">
    <w:pPr>
      <w:pStyle w:val="Footer"/>
      <w:rPr>
        <w:sz w:val="16"/>
      </w:rPr>
    </w:pPr>
    <w:r>
      <w:rPr>
        <w:sz w:val="16"/>
      </w:rPr>
      <w:t>WAS\WAS\32661271\1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AB" w:rsidRDefault="00C94AAB">
      <w:r>
        <w:separator/>
      </w:r>
    </w:p>
  </w:footnote>
  <w:footnote w:type="continuationSeparator" w:id="0">
    <w:p w:rsidR="00C94AAB" w:rsidRDefault="00C94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883"/>
    <w:multiLevelType w:val="multilevel"/>
    <w:tmpl w:val="9DE613D2"/>
    <w:numStyleLink w:val="Style1"/>
  </w:abstractNum>
  <w:abstractNum w:abstractNumId="1">
    <w:nsid w:val="134A20BE"/>
    <w:multiLevelType w:val="multilevel"/>
    <w:tmpl w:val="A2C86AF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834284C"/>
    <w:multiLevelType w:val="multilevel"/>
    <w:tmpl w:val="93222D7A"/>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88A19DC"/>
    <w:multiLevelType w:val="multilevel"/>
    <w:tmpl w:val="9DE613D2"/>
    <w:numStyleLink w:val="Style1"/>
  </w:abstractNum>
  <w:abstractNum w:abstractNumId="4">
    <w:nsid w:val="1F2F128A"/>
    <w:multiLevelType w:val="multilevel"/>
    <w:tmpl w:val="9DE613D2"/>
    <w:styleLink w:val="Style1"/>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F856BE9"/>
    <w:multiLevelType w:val="hybridMultilevel"/>
    <w:tmpl w:val="CD28ED2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FFD6E9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0813315"/>
    <w:multiLevelType w:val="hybridMultilevel"/>
    <w:tmpl w:val="A740D49E"/>
    <w:lvl w:ilvl="0" w:tplc="65AA8960">
      <w:start w:val="1"/>
      <w:numFmt w:val="decimal"/>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16C6CAE"/>
    <w:multiLevelType w:val="multilevel"/>
    <w:tmpl w:val="9DE613D2"/>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AD14C35"/>
    <w:multiLevelType w:val="singleLevel"/>
    <w:tmpl w:val="B22268CC"/>
    <w:lvl w:ilvl="0">
      <w:start w:val="1"/>
      <w:numFmt w:val="bullet"/>
      <w:pStyle w:val="Heading7"/>
      <w:lvlText w:val=""/>
      <w:lvlJc w:val="left"/>
      <w:pPr>
        <w:tabs>
          <w:tab w:val="num" w:pos="2160"/>
        </w:tabs>
        <w:ind w:left="2160" w:hanging="720"/>
      </w:pPr>
      <w:rPr>
        <w:rFonts w:ascii="Symbol" w:hAnsi="Symbol" w:hint="default"/>
        <w:sz w:val="16"/>
      </w:rPr>
    </w:lvl>
  </w:abstractNum>
  <w:abstractNum w:abstractNumId="10">
    <w:nsid w:val="37E459D7"/>
    <w:multiLevelType w:val="hybridMultilevel"/>
    <w:tmpl w:val="965001F4"/>
    <w:lvl w:ilvl="0" w:tplc="637E445A">
      <w:start w:val="1"/>
      <w:numFmt w:val="decimal"/>
      <w:lvlText w:val="(%1)"/>
      <w:lvlJc w:val="left"/>
      <w:pPr>
        <w:tabs>
          <w:tab w:val="num" w:pos="795"/>
        </w:tabs>
        <w:ind w:left="795" w:hanging="435"/>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C2F0AD7"/>
    <w:multiLevelType w:val="multilevel"/>
    <w:tmpl w:val="9DE613D2"/>
    <w:numStyleLink w:val="Style1"/>
  </w:abstractNum>
  <w:abstractNum w:abstractNumId="12">
    <w:nsid w:val="3C361430"/>
    <w:multiLevelType w:val="hybridMultilevel"/>
    <w:tmpl w:val="CAA4A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6F092B"/>
    <w:multiLevelType w:val="singleLevel"/>
    <w:tmpl w:val="AFC4A24E"/>
    <w:lvl w:ilvl="0">
      <w:start w:val="1"/>
      <w:numFmt w:val="upperLetter"/>
      <w:pStyle w:val="Recitals"/>
      <w:lvlText w:val="%1."/>
      <w:lvlJc w:val="left"/>
      <w:pPr>
        <w:tabs>
          <w:tab w:val="num" w:pos="720"/>
        </w:tabs>
        <w:ind w:left="720" w:hanging="720"/>
      </w:pPr>
    </w:lvl>
  </w:abstractNum>
  <w:abstractNum w:abstractNumId="14">
    <w:nsid w:val="3FCF2031"/>
    <w:multiLevelType w:val="multilevel"/>
    <w:tmpl w:val="1664481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1CB49EB"/>
    <w:multiLevelType w:val="hybridMultilevel"/>
    <w:tmpl w:val="B0E60006"/>
    <w:lvl w:ilvl="0" w:tplc="637E445A">
      <w:start w:val="1"/>
      <w:numFmt w:val="decimal"/>
      <w:lvlText w:val="(%1)"/>
      <w:lvlJc w:val="left"/>
      <w:pPr>
        <w:tabs>
          <w:tab w:val="num" w:pos="795"/>
        </w:tabs>
        <w:ind w:left="795" w:hanging="435"/>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0117381"/>
    <w:multiLevelType w:val="multilevel"/>
    <w:tmpl w:val="9DE613D2"/>
    <w:numStyleLink w:val="Style1"/>
  </w:abstractNum>
  <w:abstractNum w:abstractNumId="17">
    <w:nsid w:val="50562A5A"/>
    <w:multiLevelType w:val="multilevel"/>
    <w:tmpl w:val="310C0C90"/>
    <w:lvl w:ilvl="0">
      <w:start w:val="1"/>
      <w:numFmt w:val="decimal"/>
      <w:pStyle w:val="Heading1"/>
      <w:lvlText w:val="%1"/>
      <w:lvlJc w:val="left"/>
      <w:pPr>
        <w:tabs>
          <w:tab w:val="num" w:pos="720"/>
        </w:tabs>
        <w:ind w:left="720" w:hanging="720"/>
      </w:pPr>
      <w:rPr>
        <w:rFonts w:ascii="Times New Roman" w:hAnsi="Times New Roman" w:hint="default"/>
        <w:b/>
        <w:i w:val="0"/>
        <w:sz w:val="24"/>
      </w:rPr>
    </w:lvl>
    <w:lvl w:ilvl="1">
      <w:start w:val="1"/>
      <w:numFmt w:val="decimal"/>
      <w:pStyle w:val="Heading2"/>
      <w:lvlText w:val="%1.%2"/>
      <w:lvlJc w:val="left"/>
      <w:pPr>
        <w:tabs>
          <w:tab w:val="num" w:pos="1440"/>
        </w:tabs>
        <w:ind w:left="1440" w:hanging="720"/>
      </w:pPr>
      <w:rPr>
        <w:rFonts w:ascii="Times New Roman" w:hAnsi="Times New Roman" w:hint="default"/>
        <w:b w:val="0"/>
        <w:i w:val="0"/>
        <w:sz w:val="24"/>
      </w:rPr>
    </w:lvl>
    <w:lvl w:ilvl="2">
      <w:start w:val="1"/>
      <w:numFmt w:val="lowerLetter"/>
      <w:pStyle w:val="Heading3"/>
      <w:lvlText w:val="(%3)"/>
      <w:lvlJc w:val="left"/>
      <w:pPr>
        <w:tabs>
          <w:tab w:val="num" w:pos="2160"/>
        </w:tabs>
        <w:ind w:left="2160" w:hanging="720"/>
      </w:pPr>
      <w:rPr>
        <w:rFonts w:ascii="Times New Roman" w:hAnsi="Times New Roman" w:hint="default"/>
        <w:b w:val="0"/>
        <w:i w:val="0"/>
        <w:sz w:val="24"/>
      </w:rPr>
    </w:lvl>
    <w:lvl w:ilvl="3">
      <w:start w:val="1"/>
      <w:numFmt w:val="decimal"/>
      <w:pStyle w:val="Heading4"/>
      <w:lvlText w:val="(%4)"/>
      <w:lvlJc w:val="left"/>
      <w:pPr>
        <w:tabs>
          <w:tab w:val="num" w:pos="2880"/>
        </w:tabs>
        <w:ind w:left="2880" w:hanging="720"/>
      </w:pPr>
      <w:rPr>
        <w:rFonts w:ascii="Times New Roman" w:hAnsi="Times New Roman" w:hint="default"/>
        <w:b w:val="0"/>
        <w:i w:val="0"/>
        <w:sz w:val="24"/>
      </w:rPr>
    </w:lvl>
    <w:lvl w:ilvl="4">
      <w:start w:val="1"/>
      <w:numFmt w:val="upperLetter"/>
      <w:pStyle w:val="Heading5"/>
      <w:lvlText w:val="(%5)"/>
      <w:lvlJc w:val="left"/>
      <w:pPr>
        <w:tabs>
          <w:tab w:val="num" w:pos="3600"/>
        </w:tabs>
        <w:ind w:left="3600" w:hanging="720"/>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555F72DC"/>
    <w:multiLevelType w:val="hybridMultilevel"/>
    <w:tmpl w:val="75F256A2"/>
    <w:lvl w:ilvl="0" w:tplc="637E445A">
      <w:start w:val="1"/>
      <w:numFmt w:val="decimal"/>
      <w:lvlText w:val="(%1)"/>
      <w:lvlJc w:val="left"/>
      <w:pPr>
        <w:tabs>
          <w:tab w:val="num" w:pos="795"/>
        </w:tabs>
        <w:ind w:left="795" w:hanging="435"/>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6106572"/>
    <w:multiLevelType w:val="hybridMultilevel"/>
    <w:tmpl w:val="4FCE28A0"/>
    <w:lvl w:ilvl="0" w:tplc="6BC0366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21">
    <w:nsid w:val="66E52188"/>
    <w:multiLevelType w:val="hybridMultilevel"/>
    <w:tmpl w:val="2B48EE92"/>
    <w:lvl w:ilvl="0" w:tplc="637E445A">
      <w:start w:val="1"/>
      <w:numFmt w:val="decimal"/>
      <w:lvlText w:val="(%1)"/>
      <w:lvlJc w:val="left"/>
      <w:pPr>
        <w:tabs>
          <w:tab w:val="num" w:pos="795"/>
        </w:tabs>
        <w:ind w:left="795" w:hanging="435"/>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93A1C48"/>
    <w:multiLevelType w:val="multilevel"/>
    <w:tmpl w:val="9DE613D2"/>
    <w:numStyleLink w:val="Style1"/>
  </w:abstractNum>
  <w:abstractNum w:abstractNumId="23">
    <w:nsid w:val="6A837387"/>
    <w:multiLevelType w:val="multilevel"/>
    <w:tmpl w:val="A2C86AF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D720D5F"/>
    <w:multiLevelType w:val="multilevel"/>
    <w:tmpl w:val="A2C86AF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A893E73"/>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BE95FB9"/>
    <w:multiLevelType w:val="multilevel"/>
    <w:tmpl w:val="9DE613D2"/>
    <w:numStyleLink w:val="Style1"/>
  </w:abstractNum>
  <w:num w:numId="1">
    <w:abstractNumId w:val="17"/>
  </w:num>
  <w:num w:numId="2">
    <w:abstractNumId w:val="17"/>
  </w:num>
  <w:num w:numId="3">
    <w:abstractNumId w:val="17"/>
  </w:num>
  <w:num w:numId="4">
    <w:abstractNumId w:val="17"/>
  </w:num>
  <w:num w:numId="5">
    <w:abstractNumId w:val="17"/>
  </w:num>
  <w:num w:numId="6">
    <w:abstractNumId w:val="20"/>
  </w:num>
  <w:num w:numId="7">
    <w:abstractNumId w:val="9"/>
  </w:num>
  <w:num w:numId="8">
    <w:abstractNumId w:val="13"/>
  </w:num>
  <w:num w:numId="9">
    <w:abstractNumId w:val="6"/>
  </w:num>
  <w:num w:numId="10">
    <w:abstractNumId w:val="25"/>
  </w:num>
  <w:num w:numId="11">
    <w:abstractNumId w:val="26"/>
  </w:num>
  <w:num w:numId="12">
    <w:abstractNumId w:val="0"/>
  </w:num>
  <w:num w:numId="13">
    <w:abstractNumId w:val="7"/>
  </w:num>
  <w:num w:numId="14">
    <w:abstractNumId w:val="4"/>
  </w:num>
  <w:num w:numId="15">
    <w:abstractNumId w:val="12"/>
  </w:num>
  <w:num w:numId="16">
    <w:abstractNumId w:val="15"/>
  </w:num>
  <w:num w:numId="17">
    <w:abstractNumId w:val="27"/>
  </w:num>
  <w:num w:numId="18">
    <w:abstractNumId w:val="8"/>
  </w:num>
  <w:num w:numId="19">
    <w:abstractNumId w:val="10"/>
  </w:num>
  <w:num w:numId="20">
    <w:abstractNumId w:val="22"/>
  </w:num>
  <w:num w:numId="21">
    <w:abstractNumId w:val="18"/>
  </w:num>
  <w:num w:numId="22">
    <w:abstractNumId w:val="21"/>
  </w:num>
  <w:num w:numId="23">
    <w:abstractNumId w:val="14"/>
  </w:num>
  <w:num w:numId="24">
    <w:abstractNumId w:val="2"/>
  </w:num>
  <w:num w:numId="25">
    <w:abstractNumId w:val="1"/>
  </w:num>
  <w:num w:numId="26">
    <w:abstractNumId w:val="11"/>
  </w:num>
  <w:num w:numId="27">
    <w:abstractNumId w:val="23"/>
  </w:num>
  <w:num w:numId="28">
    <w:abstractNumId w:val="24"/>
  </w:num>
  <w:num w:numId="29">
    <w:abstractNumId w:val="3"/>
  </w:num>
  <w:num w:numId="30">
    <w:abstractNumId w:val="16"/>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ilename" w:val="WAS\WAS\32661271\1"/>
  </w:docVars>
  <w:rsids>
    <w:rsidRoot w:val="002A2A66"/>
    <w:rsid w:val="000063B4"/>
    <w:rsid w:val="00011A78"/>
    <w:rsid w:val="00030E23"/>
    <w:rsid w:val="000379B9"/>
    <w:rsid w:val="000558FA"/>
    <w:rsid w:val="00064A91"/>
    <w:rsid w:val="00074AF6"/>
    <w:rsid w:val="00087471"/>
    <w:rsid w:val="000A02E0"/>
    <w:rsid w:val="000A1D2B"/>
    <w:rsid w:val="000C7203"/>
    <w:rsid w:val="000E4570"/>
    <w:rsid w:val="000E744F"/>
    <w:rsid w:val="00125E42"/>
    <w:rsid w:val="00140B93"/>
    <w:rsid w:val="00142347"/>
    <w:rsid w:val="0014654E"/>
    <w:rsid w:val="00165197"/>
    <w:rsid w:val="00183DE6"/>
    <w:rsid w:val="001A4487"/>
    <w:rsid w:val="001C1DC6"/>
    <w:rsid w:val="001F4339"/>
    <w:rsid w:val="0021654E"/>
    <w:rsid w:val="00224657"/>
    <w:rsid w:val="00247139"/>
    <w:rsid w:val="00262C39"/>
    <w:rsid w:val="002677B4"/>
    <w:rsid w:val="00287D45"/>
    <w:rsid w:val="00297917"/>
    <w:rsid w:val="002A2A66"/>
    <w:rsid w:val="002A64F7"/>
    <w:rsid w:val="002B049C"/>
    <w:rsid w:val="002B266A"/>
    <w:rsid w:val="002C117E"/>
    <w:rsid w:val="002D571F"/>
    <w:rsid w:val="002E36B8"/>
    <w:rsid w:val="002E5926"/>
    <w:rsid w:val="002F1961"/>
    <w:rsid w:val="0033340B"/>
    <w:rsid w:val="00333A38"/>
    <w:rsid w:val="003546CB"/>
    <w:rsid w:val="00362645"/>
    <w:rsid w:val="00366E52"/>
    <w:rsid w:val="00370AA0"/>
    <w:rsid w:val="003752E8"/>
    <w:rsid w:val="003834F2"/>
    <w:rsid w:val="003B3847"/>
    <w:rsid w:val="003D311C"/>
    <w:rsid w:val="003E64D1"/>
    <w:rsid w:val="0041338A"/>
    <w:rsid w:val="00417BE6"/>
    <w:rsid w:val="00432773"/>
    <w:rsid w:val="0043432B"/>
    <w:rsid w:val="00455287"/>
    <w:rsid w:val="004672D8"/>
    <w:rsid w:val="00470CE6"/>
    <w:rsid w:val="00491A8F"/>
    <w:rsid w:val="004A5235"/>
    <w:rsid w:val="004B37A8"/>
    <w:rsid w:val="004C4700"/>
    <w:rsid w:val="004D1EBC"/>
    <w:rsid w:val="004F4E09"/>
    <w:rsid w:val="005017E5"/>
    <w:rsid w:val="005050B9"/>
    <w:rsid w:val="00511C35"/>
    <w:rsid w:val="00512BBC"/>
    <w:rsid w:val="00521473"/>
    <w:rsid w:val="005409C0"/>
    <w:rsid w:val="00557C55"/>
    <w:rsid w:val="00560F93"/>
    <w:rsid w:val="00596FA5"/>
    <w:rsid w:val="005B0596"/>
    <w:rsid w:val="005C08A9"/>
    <w:rsid w:val="005D31DC"/>
    <w:rsid w:val="005D3598"/>
    <w:rsid w:val="005D3F84"/>
    <w:rsid w:val="005D484B"/>
    <w:rsid w:val="005E0083"/>
    <w:rsid w:val="005E109F"/>
    <w:rsid w:val="005F63ED"/>
    <w:rsid w:val="00603584"/>
    <w:rsid w:val="00627305"/>
    <w:rsid w:val="00640E61"/>
    <w:rsid w:val="00645EB4"/>
    <w:rsid w:val="006639DD"/>
    <w:rsid w:val="006719D2"/>
    <w:rsid w:val="00686477"/>
    <w:rsid w:val="0069212F"/>
    <w:rsid w:val="006A2C78"/>
    <w:rsid w:val="006A5887"/>
    <w:rsid w:val="006B20E7"/>
    <w:rsid w:val="006B51E2"/>
    <w:rsid w:val="006D7190"/>
    <w:rsid w:val="007151EB"/>
    <w:rsid w:val="00715EF6"/>
    <w:rsid w:val="007207F0"/>
    <w:rsid w:val="00732387"/>
    <w:rsid w:val="007366EA"/>
    <w:rsid w:val="007378CA"/>
    <w:rsid w:val="00754021"/>
    <w:rsid w:val="007567B2"/>
    <w:rsid w:val="00760B3B"/>
    <w:rsid w:val="007661F8"/>
    <w:rsid w:val="00785BE3"/>
    <w:rsid w:val="00792836"/>
    <w:rsid w:val="007933F2"/>
    <w:rsid w:val="007B5ADF"/>
    <w:rsid w:val="007C3668"/>
    <w:rsid w:val="007C5DFA"/>
    <w:rsid w:val="007D0B5E"/>
    <w:rsid w:val="007D7562"/>
    <w:rsid w:val="007F1662"/>
    <w:rsid w:val="007F1E27"/>
    <w:rsid w:val="00806CF5"/>
    <w:rsid w:val="00814036"/>
    <w:rsid w:val="008248D2"/>
    <w:rsid w:val="008328F4"/>
    <w:rsid w:val="008465DF"/>
    <w:rsid w:val="008715E4"/>
    <w:rsid w:val="00881332"/>
    <w:rsid w:val="00881BA4"/>
    <w:rsid w:val="008A0948"/>
    <w:rsid w:val="008A612C"/>
    <w:rsid w:val="008A6F1D"/>
    <w:rsid w:val="008B4924"/>
    <w:rsid w:val="008F3D86"/>
    <w:rsid w:val="008F5677"/>
    <w:rsid w:val="008F5815"/>
    <w:rsid w:val="0091049F"/>
    <w:rsid w:val="00913AEA"/>
    <w:rsid w:val="00917DCC"/>
    <w:rsid w:val="00931CC6"/>
    <w:rsid w:val="00942D11"/>
    <w:rsid w:val="009448C5"/>
    <w:rsid w:val="009603B7"/>
    <w:rsid w:val="00962E0E"/>
    <w:rsid w:val="009A693E"/>
    <w:rsid w:val="009B13DF"/>
    <w:rsid w:val="009B6083"/>
    <w:rsid w:val="009B6615"/>
    <w:rsid w:val="009D24E9"/>
    <w:rsid w:val="009F3360"/>
    <w:rsid w:val="00A017DD"/>
    <w:rsid w:val="00A40E76"/>
    <w:rsid w:val="00A673D5"/>
    <w:rsid w:val="00A7101E"/>
    <w:rsid w:val="00A73FF8"/>
    <w:rsid w:val="00A80DE2"/>
    <w:rsid w:val="00A95371"/>
    <w:rsid w:val="00AA4092"/>
    <w:rsid w:val="00AE3638"/>
    <w:rsid w:val="00AF675B"/>
    <w:rsid w:val="00B118B6"/>
    <w:rsid w:val="00B229FC"/>
    <w:rsid w:val="00B51BE4"/>
    <w:rsid w:val="00B63872"/>
    <w:rsid w:val="00BA53B4"/>
    <w:rsid w:val="00BC342B"/>
    <w:rsid w:val="00BF13F9"/>
    <w:rsid w:val="00BF25AA"/>
    <w:rsid w:val="00BF495F"/>
    <w:rsid w:val="00C07C15"/>
    <w:rsid w:val="00C13CE4"/>
    <w:rsid w:val="00C21F87"/>
    <w:rsid w:val="00C4769E"/>
    <w:rsid w:val="00C51A08"/>
    <w:rsid w:val="00C537C6"/>
    <w:rsid w:val="00C54D92"/>
    <w:rsid w:val="00C819EB"/>
    <w:rsid w:val="00C90AA0"/>
    <w:rsid w:val="00C94AAB"/>
    <w:rsid w:val="00CC56F3"/>
    <w:rsid w:val="00CF1015"/>
    <w:rsid w:val="00CF3CA8"/>
    <w:rsid w:val="00D0241F"/>
    <w:rsid w:val="00D06D31"/>
    <w:rsid w:val="00D2644C"/>
    <w:rsid w:val="00D42A43"/>
    <w:rsid w:val="00D61B2F"/>
    <w:rsid w:val="00D66675"/>
    <w:rsid w:val="00DA1278"/>
    <w:rsid w:val="00DB7AE5"/>
    <w:rsid w:val="00DF63A3"/>
    <w:rsid w:val="00E22E2D"/>
    <w:rsid w:val="00E300AE"/>
    <w:rsid w:val="00E30465"/>
    <w:rsid w:val="00E60508"/>
    <w:rsid w:val="00E7091E"/>
    <w:rsid w:val="00E70A43"/>
    <w:rsid w:val="00E76ACB"/>
    <w:rsid w:val="00E90128"/>
    <w:rsid w:val="00E905D4"/>
    <w:rsid w:val="00E96AF8"/>
    <w:rsid w:val="00EC7F1D"/>
    <w:rsid w:val="00ED6A7C"/>
    <w:rsid w:val="00EE10F6"/>
    <w:rsid w:val="00EE409E"/>
    <w:rsid w:val="00F216B1"/>
    <w:rsid w:val="00F22528"/>
    <w:rsid w:val="00F42FB0"/>
    <w:rsid w:val="00F50B39"/>
    <w:rsid w:val="00F67220"/>
    <w:rsid w:val="00F843A5"/>
    <w:rsid w:val="00F87295"/>
    <w:rsid w:val="00F9230A"/>
    <w:rsid w:val="00FC06F5"/>
    <w:rsid w:val="00FC3249"/>
    <w:rsid w:val="00FF73A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A66"/>
    <w:rPr>
      <w:sz w:val="24"/>
      <w:lang w:eastAsia="en-US"/>
    </w:rPr>
  </w:style>
  <w:style w:type="paragraph" w:styleId="Heading1">
    <w:name w:val="heading 1"/>
    <w:aliases w:val="Main Heading"/>
    <w:basedOn w:val="Normal"/>
    <w:next w:val="Normal"/>
    <w:qFormat/>
    <w:rsid w:val="008465DF"/>
    <w:pPr>
      <w:numPr>
        <w:numId w:val="5"/>
      </w:numPr>
      <w:spacing w:before="240" w:after="120"/>
      <w:outlineLvl w:val="0"/>
    </w:pPr>
    <w:rPr>
      <w:b/>
      <w:kern w:val="28"/>
    </w:rPr>
  </w:style>
  <w:style w:type="paragraph" w:styleId="Heading2">
    <w:name w:val="heading 2"/>
    <w:aliases w:val="Sub-heading"/>
    <w:basedOn w:val="Normal"/>
    <w:qFormat/>
    <w:rsid w:val="008465DF"/>
    <w:pPr>
      <w:numPr>
        <w:ilvl w:val="1"/>
        <w:numId w:val="5"/>
      </w:numPr>
      <w:spacing w:before="120" w:after="120"/>
      <w:outlineLvl w:val="1"/>
    </w:pPr>
  </w:style>
  <w:style w:type="paragraph" w:styleId="Heading3">
    <w:name w:val="heading 3"/>
    <w:aliases w:val="1st sub-clause"/>
    <w:basedOn w:val="Normal"/>
    <w:qFormat/>
    <w:rsid w:val="008465DF"/>
    <w:pPr>
      <w:numPr>
        <w:ilvl w:val="2"/>
        <w:numId w:val="5"/>
      </w:numPr>
      <w:spacing w:before="120" w:after="120"/>
      <w:outlineLvl w:val="2"/>
    </w:pPr>
  </w:style>
  <w:style w:type="paragraph" w:styleId="Heading4">
    <w:name w:val="heading 4"/>
    <w:aliases w:val="2nd sub-clause"/>
    <w:basedOn w:val="Normal"/>
    <w:qFormat/>
    <w:rsid w:val="008465DF"/>
    <w:pPr>
      <w:numPr>
        <w:ilvl w:val="3"/>
        <w:numId w:val="5"/>
      </w:numPr>
      <w:spacing w:before="120" w:after="120"/>
      <w:outlineLvl w:val="3"/>
    </w:pPr>
  </w:style>
  <w:style w:type="paragraph" w:styleId="Heading5">
    <w:name w:val="heading 5"/>
    <w:aliases w:val="3rd sub-clause"/>
    <w:basedOn w:val="Normal"/>
    <w:qFormat/>
    <w:rsid w:val="008465DF"/>
    <w:pPr>
      <w:numPr>
        <w:ilvl w:val="4"/>
        <w:numId w:val="5"/>
      </w:numPr>
      <w:tabs>
        <w:tab w:val="left" w:pos="2160"/>
      </w:tabs>
      <w:spacing w:before="120" w:after="120"/>
      <w:outlineLvl w:val="4"/>
    </w:pPr>
    <w:rPr>
      <w:kern w:val="24"/>
    </w:rPr>
  </w:style>
  <w:style w:type="paragraph" w:styleId="Heading6">
    <w:name w:val="heading 6"/>
    <w:aliases w:val="Square Bullet list"/>
    <w:basedOn w:val="Normal"/>
    <w:qFormat/>
    <w:rsid w:val="008465DF"/>
    <w:pPr>
      <w:numPr>
        <w:numId w:val="6"/>
      </w:numPr>
      <w:spacing w:before="120" w:after="120"/>
      <w:outlineLvl w:val="5"/>
    </w:pPr>
    <w:rPr>
      <w:kern w:val="24"/>
    </w:rPr>
  </w:style>
  <w:style w:type="paragraph" w:styleId="Heading7">
    <w:name w:val="heading 7"/>
    <w:aliases w:val="Indented hyphen"/>
    <w:basedOn w:val="Normal"/>
    <w:qFormat/>
    <w:rsid w:val="008465DF"/>
    <w:pPr>
      <w:numPr>
        <w:numId w:val="7"/>
      </w:numPr>
      <w:tabs>
        <w:tab w:val="left" w:pos="720"/>
      </w:tabs>
      <w:spacing w:before="120" w:after="120"/>
      <w:outlineLvl w:val="6"/>
    </w:pPr>
  </w:style>
  <w:style w:type="paragraph" w:styleId="Heading8">
    <w:name w:val="heading 8"/>
    <w:basedOn w:val="Normal"/>
    <w:next w:val="Normal"/>
    <w:qFormat/>
    <w:rsid w:val="008465DF"/>
    <w:pPr>
      <w:keepNext/>
      <w:outlineLvl w:val="7"/>
    </w:pPr>
    <w:rPr>
      <w:b/>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465DF"/>
    <w:rPr>
      <w:color w:val="606420"/>
      <w:u w:val="single"/>
    </w:rPr>
  </w:style>
  <w:style w:type="paragraph" w:styleId="Footer">
    <w:name w:val="footer"/>
    <w:basedOn w:val="Normal"/>
    <w:rsid w:val="008465DF"/>
    <w:pPr>
      <w:tabs>
        <w:tab w:val="center" w:pos="4320"/>
        <w:tab w:val="right" w:pos="8640"/>
      </w:tabs>
    </w:pPr>
  </w:style>
  <w:style w:type="paragraph" w:styleId="Header">
    <w:name w:val="header"/>
    <w:basedOn w:val="Normal"/>
    <w:rsid w:val="008465DF"/>
    <w:pPr>
      <w:tabs>
        <w:tab w:val="center" w:pos="4320"/>
        <w:tab w:val="right" w:pos="8640"/>
      </w:tabs>
    </w:pPr>
  </w:style>
  <w:style w:type="character" w:styleId="Hyperlink">
    <w:name w:val="Hyperlink"/>
    <w:basedOn w:val="DefaultParagraphFont"/>
    <w:rsid w:val="008465DF"/>
    <w:rPr>
      <w:color w:val="0000FF"/>
      <w:u w:val="single"/>
    </w:rPr>
  </w:style>
  <w:style w:type="paragraph" w:customStyle="1" w:styleId="Indent1">
    <w:name w:val="Indent 1"/>
    <w:basedOn w:val="Normal"/>
    <w:rsid w:val="008465DF"/>
    <w:pPr>
      <w:ind w:left="720"/>
    </w:pPr>
  </w:style>
  <w:style w:type="paragraph" w:customStyle="1" w:styleId="Indent2">
    <w:name w:val="Indent 2"/>
    <w:basedOn w:val="Normal"/>
    <w:rsid w:val="008465DF"/>
    <w:pPr>
      <w:ind w:left="1440"/>
    </w:pPr>
  </w:style>
  <w:style w:type="paragraph" w:customStyle="1" w:styleId="Indent3">
    <w:name w:val="Indent 3"/>
    <w:basedOn w:val="Normal"/>
    <w:rsid w:val="008465DF"/>
    <w:pPr>
      <w:ind w:left="2160"/>
    </w:pPr>
  </w:style>
  <w:style w:type="paragraph" w:customStyle="1" w:styleId="Indent4">
    <w:name w:val="Indent 4"/>
    <w:basedOn w:val="Normal"/>
    <w:rsid w:val="008465DF"/>
    <w:pPr>
      <w:ind w:left="2880"/>
    </w:pPr>
  </w:style>
  <w:style w:type="paragraph" w:customStyle="1" w:styleId="Indent5">
    <w:name w:val="Indent 5"/>
    <w:basedOn w:val="Normal"/>
    <w:rsid w:val="008465DF"/>
    <w:pPr>
      <w:ind w:left="3600"/>
    </w:pPr>
  </w:style>
  <w:style w:type="character" w:styleId="PageNumber">
    <w:name w:val="page number"/>
    <w:basedOn w:val="DefaultParagraphFont"/>
    <w:rsid w:val="008465DF"/>
  </w:style>
  <w:style w:type="paragraph" w:customStyle="1" w:styleId="Recitals">
    <w:name w:val="Recitals"/>
    <w:basedOn w:val="Normal"/>
    <w:rsid w:val="008465DF"/>
    <w:pPr>
      <w:numPr>
        <w:numId w:val="8"/>
      </w:numPr>
      <w:spacing w:before="240" w:after="120"/>
    </w:pPr>
  </w:style>
  <w:style w:type="table" w:styleId="TableGrid">
    <w:name w:val="Table Grid"/>
    <w:basedOn w:val="TableNormal"/>
    <w:rsid w:val="0084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R">
    <w:name w:val="HR"/>
    <w:aliases w:val="Regulation Heading"/>
    <w:basedOn w:val="Normal"/>
    <w:next w:val="R1"/>
    <w:rsid w:val="002A2A66"/>
    <w:pPr>
      <w:keepNext/>
      <w:tabs>
        <w:tab w:val="left" w:pos="540"/>
      </w:tabs>
      <w:autoSpaceDE w:val="0"/>
      <w:autoSpaceDN w:val="0"/>
      <w:spacing w:before="480" w:line="240" w:lineRule="atLeast"/>
      <w:jc w:val="both"/>
    </w:pPr>
    <w:rPr>
      <w:rFonts w:ascii="Times" w:hAnsi="Times" w:cs="Times"/>
      <w:b/>
      <w:bCs/>
      <w:sz w:val="26"/>
      <w:szCs w:val="26"/>
      <w:lang w:eastAsia="en-AU"/>
    </w:rPr>
  </w:style>
  <w:style w:type="paragraph" w:customStyle="1" w:styleId="R1">
    <w:name w:val="R1"/>
    <w:aliases w:val="1. or 1.(1)"/>
    <w:basedOn w:val="Normal"/>
    <w:next w:val="P1"/>
    <w:rsid w:val="002A2A66"/>
    <w:pPr>
      <w:tabs>
        <w:tab w:val="right" w:pos="1080"/>
        <w:tab w:val="left" w:pos="1260"/>
        <w:tab w:val="left" w:pos="1800"/>
      </w:tabs>
      <w:autoSpaceDE w:val="0"/>
      <w:autoSpaceDN w:val="0"/>
      <w:spacing w:before="120"/>
      <w:jc w:val="both"/>
    </w:pPr>
    <w:rPr>
      <w:rFonts w:ascii="Times" w:hAnsi="Times" w:cs="Times"/>
      <w:sz w:val="26"/>
      <w:szCs w:val="26"/>
      <w:lang w:eastAsia="en-AU"/>
    </w:rPr>
  </w:style>
  <w:style w:type="paragraph" w:customStyle="1" w:styleId="P1">
    <w:name w:val="P1"/>
    <w:aliases w:val="(a)"/>
    <w:basedOn w:val="Normal"/>
    <w:rsid w:val="002A2A66"/>
    <w:pPr>
      <w:tabs>
        <w:tab w:val="right" w:pos="1080"/>
      </w:tabs>
      <w:autoSpaceDE w:val="0"/>
      <w:autoSpaceDN w:val="0"/>
      <w:spacing w:before="40" w:line="260" w:lineRule="atLeast"/>
      <w:ind w:left="1276" w:hanging="1280"/>
      <w:jc w:val="both"/>
    </w:pPr>
    <w:rPr>
      <w:rFonts w:ascii="Times" w:hAnsi="Times" w:cs="Times"/>
      <w:sz w:val="26"/>
      <w:szCs w:val="26"/>
      <w:lang w:eastAsia="en-AU"/>
    </w:rPr>
  </w:style>
  <w:style w:type="paragraph" w:styleId="Title">
    <w:name w:val="Title"/>
    <w:basedOn w:val="Normal"/>
    <w:next w:val="Normal"/>
    <w:qFormat/>
    <w:rsid w:val="002A2A66"/>
    <w:pPr>
      <w:autoSpaceDE w:val="0"/>
      <w:autoSpaceDN w:val="0"/>
      <w:spacing w:before="480"/>
      <w:jc w:val="center"/>
    </w:pPr>
    <w:rPr>
      <w:rFonts w:ascii="Times" w:hAnsi="Times" w:cs="Times"/>
      <w:b/>
      <w:bCs/>
      <w:sz w:val="36"/>
      <w:szCs w:val="36"/>
      <w:lang w:eastAsia="en-AU"/>
    </w:rPr>
  </w:style>
  <w:style w:type="paragraph" w:customStyle="1" w:styleId="HP">
    <w:name w:val="HP"/>
    <w:aliases w:val="Part Heading"/>
    <w:basedOn w:val="Normal"/>
    <w:next w:val="Normal"/>
    <w:rsid w:val="002A2A66"/>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rsid w:val="002A2A66"/>
    <w:pPr>
      <w:tabs>
        <w:tab w:val="right" w:pos="1080"/>
        <w:tab w:val="left" w:pos="1260"/>
        <w:tab w:val="left" w:pos="1800"/>
      </w:tabs>
      <w:autoSpaceDE w:val="0"/>
      <w:autoSpaceDN w:val="0"/>
      <w:spacing w:before="40"/>
      <w:jc w:val="both"/>
    </w:pPr>
    <w:rPr>
      <w:rFonts w:ascii="Times" w:hAnsi="Times" w:cs="Times"/>
      <w:sz w:val="26"/>
      <w:szCs w:val="26"/>
      <w:lang w:eastAsia="en-AU"/>
    </w:rPr>
  </w:style>
  <w:style w:type="numbering" w:customStyle="1" w:styleId="Style1">
    <w:name w:val="Style1"/>
    <w:rsid w:val="002A2A66"/>
    <w:pPr>
      <w:numPr>
        <w:numId w:val="14"/>
      </w:numPr>
    </w:pPr>
  </w:style>
  <w:style w:type="character" w:styleId="CommentReference">
    <w:name w:val="annotation reference"/>
    <w:basedOn w:val="DefaultParagraphFont"/>
    <w:rsid w:val="007151EB"/>
    <w:rPr>
      <w:sz w:val="16"/>
      <w:szCs w:val="16"/>
    </w:rPr>
  </w:style>
  <w:style w:type="paragraph" w:styleId="CommentText">
    <w:name w:val="annotation text"/>
    <w:basedOn w:val="Normal"/>
    <w:link w:val="CommentTextChar"/>
    <w:rsid w:val="007151EB"/>
    <w:rPr>
      <w:sz w:val="20"/>
    </w:rPr>
  </w:style>
  <w:style w:type="character" w:customStyle="1" w:styleId="CommentTextChar">
    <w:name w:val="Comment Text Char"/>
    <w:basedOn w:val="DefaultParagraphFont"/>
    <w:link w:val="CommentText"/>
    <w:rsid w:val="007151EB"/>
    <w:rPr>
      <w:lang w:eastAsia="en-US"/>
    </w:rPr>
  </w:style>
  <w:style w:type="paragraph" w:styleId="CommentSubject">
    <w:name w:val="annotation subject"/>
    <w:basedOn w:val="CommentText"/>
    <w:next w:val="CommentText"/>
    <w:link w:val="CommentSubjectChar"/>
    <w:rsid w:val="007151EB"/>
    <w:rPr>
      <w:b/>
      <w:bCs/>
    </w:rPr>
  </w:style>
  <w:style w:type="character" w:customStyle="1" w:styleId="CommentSubjectChar">
    <w:name w:val="Comment Subject Char"/>
    <w:basedOn w:val="CommentTextChar"/>
    <w:link w:val="CommentSubject"/>
    <w:rsid w:val="007151EB"/>
    <w:rPr>
      <w:b/>
      <w:bCs/>
    </w:rPr>
  </w:style>
  <w:style w:type="paragraph" w:styleId="BalloonText">
    <w:name w:val="Balloon Text"/>
    <w:basedOn w:val="Normal"/>
    <w:link w:val="BalloonTextChar"/>
    <w:rsid w:val="007151EB"/>
    <w:rPr>
      <w:rFonts w:ascii="Tahoma" w:hAnsi="Tahoma" w:cs="Tahoma"/>
      <w:sz w:val="16"/>
      <w:szCs w:val="16"/>
    </w:rPr>
  </w:style>
  <w:style w:type="character" w:customStyle="1" w:styleId="BalloonTextChar">
    <w:name w:val="Balloon Text Char"/>
    <w:basedOn w:val="DefaultParagraphFont"/>
    <w:link w:val="BalloonText"/>
    <w:rsid w:val="007151EB"/>
    <w:rPr>
      <w:rFonts w:ascii="Tahoma" w:hAnsi="Tahoma" w:cs="Tahoma"/>
      <w:sz w:val="16"/>
      <w:szCs w:val="16"/>
      <w:lang w:eastAsia="en-US"/>
    </w:rPr>
  </w:style>
  <w:style w:type="paragraph" w:styleId="ListParagraph">
    <w:name w:val="List Paragraph"/>
    <w:basedOn w:val="Normal"/>
    <w:uiPriority w:val="34"/>
    <w:qFormat/>
    <w:rsid w:val="000063B4"/>
    <w:pPr>
      <w:ind w:left="720"/>
    </w:pPr>
    <w:rPr>
      <w:rFonts w:ascii="Calibri" w:eastAsiaTheme="minorHAnsi" w:hAnsi="Calibri" w:cs="Calibri"/>
      <w:sz w:val="22"/>
      <w:szCs w:val="22"/>
      <w:lang w:eastAsia="en-AU"/>
    </w:rPr>
  </w:style>
</w:styles>
</file>

<file path=word/webSettings.xml><?xml version="1.0" encoding="utf-8"?>
<w:webSettings xmlns:r="http://schemas.openxmlformats.org/officeDocument/2006/relationships" xmlns:w="http://schemas.openxmlformats.org/wordprocessingml/2006/main">
  <w:divs>
    <w:div w:id="567347587">
      <w:bodyDiv w:val="1"/>
      <w:marLeft w:val="0"/>
      <w:marRight w:val="0"/>
      <w:marTop w:val="0"/>
      <w:marBottom w:val="0"/>
      <w:divBdr>
        <w:top w:val="none" w:sz="0" w:space="0" w:color="auto"/>
        <w:left w:val="none" w:sz="0" w:space="0" w:color="auto"/>
        <w:bottom w:val="none" w:sz="0" w:space="0" w:color="auto"/>
        <w:right w:val="none" w:sz="0" w:space="0" w:color="auto"/>
      </w:divBdr>
    </w:div>
    <w:div w:id="965962891">
      <w:bodyDiv w:val="1"/>
      <w:marLeft w:val="0"/>
      <w:marRight w:val="0"/>
      <w:marTop w:val="0"/>
      <w:marBottom w:val="0"/>
      <w:divBdr>
        <w:top w:val="none" w:sz="0" w:space="0" w:color="auto"/>
        <w:left w:val="none" w:sz="0" w:space="0" w:color="auto"/>
        <w:bottom w:val="none" w:sz="0" w:space="0" w:color="auto"/>
        <w:right w:val="none" w:sz="0" w:space="0" w:color="auto"/>
      </w:divBdr>
    </w:div>
    <w:div w:id="1072855925">
      <w:bodyDiv w:val="1"/>
      <w:marLeft w:val="0"/>
      <w:marRight w:val="0"/>
      <w:marTop w:val="0"/>
      <w:marBottom w:val="0"/>
      <w:divBdr>
        <w:top w:val="none" w:sz="0" w:space="0" w:color="auto"/>
        <w:left w:val="none" w:sz="0" w:space="0" w:color="auto"/>
        <w:bottom w:val="none" w:sz="0" w:space="0" w:color="auto"/>
        <w:right w:val="none" w:sz="0" w:space="0" w:color="auto"/>
      </w:divBdr>
    </w:div>
    <w:div w:id="1292438638">
      <w:bodyDiv w:val="1"/>
      <w:marLeft w:val="0"/>
      <w:marRight w:val="0"/>
      <w:marTop w:val="0"/>
      <w:marBottom w:val="0"/>
      <w:divBdr>
        <w:top w:val="none" w:sz="0" w:space="0" w:color="auto"/>
        <w:left w:val="none" w:sz="0" w:space="0" w:color="auto"/>
        <w:bottom w:val="none" w:sz="0" w:space="0" w:color="auto"/>
        <w:right w:val="none" w:sz="0" w:space="0" w:color="auto"/>
      </w:divBdr>
    </w:div>
    <w:div w:id="16888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3246-30D9-41E9-ADA2-F7DDAC5C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mpowell</dc:creator>
  <cp:lastModifiedBy>jreardon1</cp:lastModifiedBy>
  <cp:revision>3</cp:revision>
  <cp:lastPrinted>2011-07-04T00:52:00Z</cp:lastPrinted>
  <dcterms:created xsi:type="dcterms:W3CDTF">2011-08-01T04:16:00Z</dcterms:created>
  <dcterms:modified xsi:type="dcterms:W3CDTF">2011-08-01T04:33:00Z</dcterms:modified>
</cp:coreProperties>
</file>