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C8" w:rsidRDefault="003729C8">
      <w:pPr>
        <w:jc w:val="center"/>
        <w:rPr>
          <w:b/>
        </w:rPr>
      </w:pPr>
      <w:r w:rsidRPr="007A7E49">
        <w:rPr>
          <w:b/>
        </w:rPr>
        <w:t xml:space="preserve">ASIC CLASS ORDER </w:t>
      </w:r>
      <w:r w:rsidR="00325C41">
        <w:rPr>
          <w:b/>
          <w:bCs/>
        </w:rPr>
        <w:t>[CO 11/</w:t>
      </w:r>
      <w:r w:rsidR="00EE5AB2">
        <w:rPr>
          <w:b/>
          <w:bCs/>
        </w:rPr>
        <w:t>760</w:t>
      </w:r>
      <w:r w:rsidR="00A66648">
        <w:rPr>
          <w:b/>
          <w:bCs/>
        </w:rPr>
        <w:t>]</w:t>
      </w:r>
    </w:p>
    <w:p w:rsidR="003729C8" w:rsidRDefault="003729C8">
      <w:pPr>
        <w:jc w:val="center"/>
        <w:rPr>
          <w:b/>
        </w:rPr>
      </w:pPr>
    </w:p>
    <w:p w:rsidR="003729C8" w:rsidRDefault="003729C8">
      <w:pPr>
        <w:jc w:val="center"/>
        <w:rPr>
          <w:b/>
        </w:rPr>
      </w:pPr>
      <w:r w:rsidRPr="007A7E49">
        <w:rPr>
          <w:b/>
        </w:rPr>
        <w:t>EXPLANATORY STATEMENT</w:t>
      </w:r>
    </w:p>
    <w:p w:rsidR="003729C8" w:rsidRDefault="003729C8">
      <w:pPr>
        <w:jc w:val="center"/>
      </w:pPr>
    </w:p>
    <w:p w:rsidR="003729C8" w:rsidRDefault="003729C8">
      <w:pPr>
        <w:jc w:val="center"/>
      </w:pPr>
      <w:r w:rsidRPr="007A7E49">
        <w:t>Prepared by the Australian Securities and Investments Commission</w:t>
      </w:r>
    </w:p>
    <w:p w:rsidR="003729C8" w:rsidRDefault="003729C8">
      <w:pPr>
        <w:jc w:val="center"/>
      </w:pPr>
    </w:p>
    <w:p w:rsidR="003729C8" w:rsidRDefault="003729C8">
      <w:pPr>
        <w:jc w:val="center"/>
        <w:rPr>
          <w:i/>
        </w:rPr>
      </w:pPr>
      <w:r>
        <w:rPr>
          <w:i/>
        </w:rPr>
        <w:t>National Consumer Credit Protection Act 2009</w:t>
      </w:r>
    </w:p>
    <w:p w:rsidR="003729C8" w:rsidRPr="007A7E49" w:rsidRDefault="003729C8" w:rsidP="007A7E49"/>
    <w:p w:rsidR="003729C8" w:rsidRDefault="003729C8" w:rsidP="007A7E49">
      <w:r w:rsidRPr="007A7E49">
        <w:t>The Australian Securities and Investments Commission (</w:t>
      </w:r>
      <w:r w:rsidRPr="007A7E49">
        <w:rPr>
          <w:b/>
          <w:i/>
        </w:rPr>
        <w:t>ASIC</w:t>
      </w:r>
      <w:r w:rsidRPr="007A7E49">
        <w:t>) makes</w:t>
      </w:r>
      <w:r>
        <w:t xml:space="preserve"> ASIC Class Order </w:t>
      </w:r>
      <w:r w:rsidR="00EE5AB2">
        <w:rPr>
          <w:bCs/>
        </w:rPr>
        <w:t>[CO 11/760</w:t>
      </w:r>
      <w:r w:rsidR="00A66648">
        <w:rPr>
          <w:bCs/>
        </w:rPr>
        <w:t>]</w:t>
      </w:r>
      <w:r w:rsidR="00500748">
        <w:rPr>
          <w:bCs/>
        </w:rPr>
        <w:t xml:space="preserve"> under paragraph 163(3</w:t>
      </w:r>
      <w:proofErr w:type="gramStart"/>
      <w:r w:rsidR="00500748">
        <w:rPr>
          <w:bCs/>
        </w:rPr>
        <w:t>)(</w:t>
      </w:r>
      <w:proofErr w:type="gramEnd"/>
      <w:r w:rsidR="00500748">
        <w:rPr>
          <w:bCs/>
        </w:rPr>
        <w:t>d) of the</w:t>
      </w:r>
      <w:r>
        <w:t xml:space="preserve"> </w:t>
      </w:r>
      <w:r>
        <w:rPr>
          <w:i/>
        </w:rPr>
        <w:t>National Consum</w:t>
      </w:r>
      <w:r w:rsidR="00500748">
        <w:rPr>
          <w:i/>
        </w:rPr>
        <w:t>er Credit Protection</w:t>
      </w:r>
      <w:r>
        <w:rPr>
          <w:i/>
        </w:rPr>
        <w:t xml:space="preserve"> Act 2009 </w:t>
      </w:r>
      <w:r>
        <w:t xml:space="preserve">(the </w:t>
      </w:r>
      <w:r w:rsidRPr="0019298A">
        <w:rPr>
          <w:b/>
          <w:i/>
        </w:rPr>
        <w:t>Act</w:t>
      </w:r>
      <w:r>
        <w:t>).</w:t>
      </w:r>
    </w:p>
    <w:p w:rsidR="00500748" w:rsidRDefault="00500748" w:rsidP="007A7E49"/>
    <w:p w:rsidR="003729C8" w:rsidRDefault="00500748" w:rsidP="00500748">
      <w:r w:rsidRPr="00500748">
        <w:rPr>
          <w:bCs/>
        </w:rPr>
        <w:t>Paragraph 163(3</w:t>
      </w:r>
      <w:proofErr w:type="gramStart"/>
      <w:r w:rsidRPr="00500748">
        <w:rPr>
          <w:bCs/>
        </w:rPr>
        <w:t>)(</w:t>
      </w:r>
      <w:proofErr w:type="gramEnd"/>
      <w:r w:rsidRPr="00500748">
        <w:rPr>
          <w:bCs/>
        </w:rPr>
        <w:t>d) of the Act provides that ASIC may declare the provisions</w:t>
      </w:r>
      <w:r>
        <w:rPr>
          <w:bCs/>
        </w:rPr>
        <w:t xml:space="preserve"> to which Part 3-7 of the Act applies (including Chapter 3 of the Act and instruments made for the purposes of Chapter 3 of the Act)</w:t>
      </w:r>
      <w:r>
        <w:t>, apply</w:t>
      </w:r>
      <w:r w:rsidR="003729C8" w:rsidRPr="00500748">
        <w:t xml:space="preserve"> in relation to a class of persons</w:t>
      </w:r>
      <w:r w:rsidR="00281C8D">
        <w:t xml:space="preserve"> </w:t>
      </w:r>
      <w:r w:rsidR="003729C8" w:rsidRPr="00500748">
        <w:t>as if the provisions were omitted, modified or varied in a specified way.</w:t>
      </w:r>
      <w:r w:rsidR="003729C8">
        <w:t xml:space="preserve"> </w:t>
      </w:r>
    </w:p>
    <w:p w:rsidR="003729C8" w:rsidRPr="007A7E49" w:rsidRDefault="003729C8" w:rsidP="007A7E49"/>
    <w:p w:rsidR="003729C8" w:rsidRDefault="003729C8">
      <w:pPr>
        <w:ind w:left="567" w:hanging="567"/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7A7E49">
        <w:rPr>
          <w:b/>
        </w:rPr>
        <w:t>Background</w:t>
      </w:r>
    </w:p>
    <w:p w:rsidR="003729C8" w:rsidRDefault="003729C8" w:rsidP="007A7E49"/>
    <w:p w:rsidR="00AD1F9E" w:rsidRDefault="00AB22AA" w:rsidP="007A7E49">
      <w:r>
        <w:t>Regulation 28</w:t>
      </w:r>
      <w:r w:rsidR="001F009C">
        <w:t xml:space="preserve">N </w:t>
      </w:r>
      <w:r w:rsidR="00524A33">
        <w:t>of</w:t>
      </w:r>
      <w:r w:rsidR="0072491E">
        <w:t xml:space="preserve"> the </w:t>
      </w:r>
      <w:r w:rsidR="0072491E">
        <w:rPr>
          <w:i/>
        </w:rPr>
        <w:t>National Consumer Credit Protection Regulations 2010</w:t>
      </w:r>
      <w:r w:rsidR="0072491E">
        <w:t xml:space="preserve"> (the </w:t>
      </w:r>
      <w:r w:rsidR="0072491E">
        <w:rPr>
          <w:b/>
          <w:i/>
        </w:rPr>
        <w:t>Regulations</w:t>
      </w:r>
      <w:r w:rsidR="0072491E">
        <w:t xml:space="preserve">) </w:t>
      </w:r>
      <w:r w:rsidR="00DF30EA">
        <w:t>purports to postpone the commencement of</w:t>
      </w:r>
      <w:r w:rsidR="00AD1F9E">
        <w:t xml:space="preserve"> obligations</w:t>
      </w:r>
      <w:r w:rsidR="001F009C">
        <w:t xml:space="preserve"> to provide </w:t>
      </w:r>
      <w:r>
        <w:t>credit guides, propos</w:t>
      </w:r>
      <w:r w:rsidR="000D4EA7">
        <w:t>al document</w:t>
      </w:r>
      <w:r w:rsidR="00AD1F9E">
        <w:t>s</w:t>
      </w:r>
      <w:r w:rsidR="000D4EA7">
        <w:t xml:space="preserve"> and quote</w:t>
      </w:r>
      <w:r w:rsidR="00AD1F9E">
        <w:t xml:space="preserve">s </w:t>
      </w:r>
      <w:r w:rsidR="008A4E85">
        <w:t>under</w:t>
      </w:r>
      <w:r>
        <w:t xml:space="preserve"> Chapter 3 of the Act</w:t>
      </w:r>
      <w:r w:rsidR="000D4EA7">
        <w:t>, subject</w:t>
      </w:r>
      <w:r w:rsidR="001F009C">
        <w:t xml:space="preserve"> to certain requirements </w:t>
      </w:r>
      <w:r w:rsidR="000D4EA7">
        <w:t>be</w:t>
      </w:r>
      <w:r w:rsidR="001F009C">
        <w:t>ing</w:t>
      </w:r>
      <w:r w:rsidR="000D4EA7">
        <w:t xml:space="preserve"> met. </w:t>
      </w:r>
    </w:p>
    <w:p w:rsidR="00AD1F9E" w:rsidRDefault="00AD1F9E" w:rsidP="007A7E49"/>
    <w:p w:rsidR="00831B72" w:rsidRDefault="00AD1F9E" w:rsidP="007A7E49">
      <w:r>
        <w:t>Regu</w:t>
      </w:r>
      <w:r w:rsidR="00264D8C">
        <w:t xml:space="preserve">lation 28N ceased to </w:t>
      </w:r>
      <w:r w:rsidR="00361A07">
        <w:t>have effect</w:t>
      </w:r>
      <w:r w:rsidR="000021FD">
        <w:t xml:space="preserve"> at the end of 1</w:t>
      </w:r>
      <w:r>
        <w:t xml:space="preserve"> August 2011. </w:t>
      </w:r>
    </w:p>
    <w:p w:rsidR="000D4EA7" w:rsidRDefault="000D4EA7" w:rsidP="007A7E49"/>
    <w:p w:rsidR="00660DF9" w:rsidRDefault="001F009C" w:rsidP="007A7E49">
      <w:r>
        <w:t>Schedule 1, item 1 in t</w:t>
      </w:r>
      <w:r w:rsidR="000D4EA7">
        <w:t xml:space="preserve">he </w:t>
      </w:r>
      <w:r w:rsidR="000D4EA7">
        <w:rPr>
          <w:i/>
        </w:rPr>
        <w:t>National Consumer Credit Protection</w:t>
      </w:r>
      <w:r>
        <w:rPr>
          <w:i/>
        </w:rPr>
        <w:t xml:space="preserve"> Amendment</w:t>
      </w:r>
      <w:r w:rsidR="000D4EA7">
        <w:rPr>
          <w:i/>
        </w:rPr>
        <w:t xml:space="preserve"> Regulations 2011</w:t>
      </w:r>
      <w:r>
        <w:rPr>
          <w:i/>
        </w:rPr>
        <w:t xml:space="preserve"> (No.4)</w:t>
      </w:r>
      <w:r>
        <w:t xml:space="preserve"> (</w:t>
      </w:r>
      <w:r w:rsidR="00EE44DF" w:rsidRPr="00EE44DF">
        <w:t>the</w:t>
      </w:r>
      <w:r w:rsidR="00DF30EA">
        <w:rPr>
          <w:b/>
          <w:i/>
        </w:rPr>
        <w:t xml:space="preserve"> amending regulations</w:t>
      </w:r>
      <w:r w:rsidR="000D4EA7">
        <w:t>) purport</w:t>
      </w:r>
      <w:r w:rsidR="00361A07">
        <w:t xml:space="preserve">s to amend subregulation </w:t>
      </w:r>
      <w:proofErr w:type="gramStart"/>
      <w:r w:rsidR="00361A07">
        <w:t>28N(</w:t>
      </w:r>
      <w:proofErr w:type="gramEnd"/>
      <w:r w:rsidR="00361A07">
        <w:t xml:space="preserve">5) so as to </w:t>
      </w:r>
      <w:r w:rsidR="00DF30EA">
        <w:t xml:space="preserve">further </w:t>
      </w:r>
      <w:r w:rsidR="00361A07">
        <w:t>postpone</w:t>
      </w:r>
      <w:r w:rsidR="000D4EA7">
        <w:t xml:space="preserve"> the commenceme</w:t>
      </w:r>
      <w:r>
        <w:t>nt</w:t>
      </w:r>
      <w:r w:rsidR="000021FD">
        <w:t xml:space="preserve"> of the disclosure obligations</w:t>
      </w:r>
      <w:r>
        <w:t xml:space="preserve"> from </w:t>
      </w:r>
      <w:r w:rsidR="00361A07">
        <w:t>2</w:t>
      </w:r>
      <w:r>
        <w:t xml:space="preserve"> August 2011 to </w:t>
      </w:r>
      <w:r w:rsidR="00361A07">
        <w:t>2</w:t>
      </w:r>
      <w:r>
        <w:t> </w:t>
      </w:r>
      <w:r w:rsidR="000D4EA7">
        <w:t xml:space="preserve">October 2011. </w:t>
      </w:r>
      <w:r w:rsidR="00AD1F9E">
        <w:t xml:space="preserve"> </w:t>
      </w:r>
    </w:p>
    <w:p w:rsidR="00660DF9" w:rsidRDefault="00660DF9" w:rsidP="007A7E49"/>
    <w:p w:rsidR="00AD1F9E" w:rsidRDefault="00361A07" w:rsidP="007A7E49">
      <w:r>
        <w:t xml:space="preserve">There is doubt as to whether that amendment took effect, having regard to the fact that the relevant item of the </w:t>
      </w:r>
      <w:r w:rsidR="00DF30EA">
        <w:t>amending regulations</w:t>
      </w:r>
      <w:r>
        <w:t xml:space="preserve"> is stated to commence on the day after the </w:t>
      </w:r>
      <w:r w:rsidR="00DF30EA">
        <w:t>amending regulations</w:t>
      </w:r>
      <w:r>
        <w:t xml:space="preserve"> were registered on the Federal Register of Legislative Instruments (</w:t>
      </w:r>
      <w:r w:rsidR="00EE44DF" w:rsidRPr="00EE44DF">
        <w:rPr>
          <w:b/>
          <w:i/>
        </w:rPr>
        <w:t>FRLI</w:t>
      </w:r>
      <w:r>
        <w:t xml:space="preserve">). The </w:t>
      </w:r>
      <w:r w:rsidR="00DF30EA">
        <w:t>amending regulations</w:t>
      </w:r>
      <w:r>
        <w:t xml:space="preserve"> were registered on FRLI on 2 August 2011. </w:t>
      </w:r>
    </w:p>
    <w:p w:rsidR="00CF4D93" w:rsidRDefault="00CF4D93" w:rsidP="007A7E49"/>
    <w:p w:rsidR="003729C8" w:rsidRDefault="003729C8">
      <w:pPr>
        <w:ind w:left="567" w:hanging="567"/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7A7E49">
        <w:rPr>
          <w:b/>
        </w:rPr>
        <w:t xml:space="preserve">Purpose of the </w:t>
      </w:r>
      <w:r>
        <w:rPr>
          <w:b/>
        </w:rPr>
        <w:t>c</w:t>
      </w:r>
      <w:r w:rsidRPr="007A7E49">
        <w:rPr>
          <w:b/>
        </w:rPr>
        <w:t xml:space="preserve">lass </w:t>
      </w:r>
      <w:r>
        <w:rPr>
          <w:b/>
        </w:rPr>
        <w:t>o</w:t>
      </w:r>
      <w:r w:rsidRPr="007A7E49">
        <w:rPr>
          <w:b/>
        </w:rPr>
        <w:t>rder</w:t>
      </w:r>
    </w:p>
    <w:p w:rsidR="003729C8" w:rsidRPr="007A7E49" w:rsidRDefault="003729C8" w:rsidP="007A7E49">
      <w:pPr>
        <w:rPr>
          <w:b/>
        </w:rPr>
      </w:pPr>
    </w:p>
    <w:p w:rsidR="003729C8" w:rsidRDefault="003729C8" w:rsidP="00885F04">
      <w:r w:rsidRPr="007A7E49">
        <w:t xml:space="preserve">The </w:t>
      </w:r>
      <w:r>
        <w:t>purpose of the class order is to</w:t>
      </w:r>
      <w:r w:rsidRPr="007A7E49">
        <w:t xml:space="preserve"> </w:t>
      </w:r>
      <w:r>
        <w:t>give effect to the intention of</w:t>
      </w:r>
      <w:r w:rsidR="00260126">
        <w:t xml:space="preserve"> regulation 28N</w:t>
      </w:r>
      <w:r w:rsidR="00657D01">
        <w:t xml:space="preserve"> </w:t>
      </w:r>
      <w:r w:rsidR="00260126">
        <w:t>of the Regulations</w:t>
      </w:r>
      <w:r w:rsidR="00264D8C">
        <w:t xml:space="preserve"> and Schedule 1, item 1 of the </w:t>
      </w:r>
      <w:r w:rsidR="00DF30EA">
        <w:t>amending regulations</w:t>
      </w:r>
      <w:r w:rsidR="009D45C4">
        <w:t xml:space="preserve">. </w:t>
      </w:r>
    </w:p>
    <w:p w:rsidR="008D32FA" w:rsidRDefault="008D32FA" w:rsidP="00885F04"/>
    <w:p w:rsidR="003729C8" w:rsidRDefault="003729C8">
      <w:pPr>
        <w:ind w:left="567" w:hanging="567"/>
        <w:rPr>
          <w:b/>
        </w:rPr>
      </w:pPr>
      <w:r w:rsidRPr="0019298A">
        <w:rPr>
          <w:b/>
        </w:rPr>
        <w:t>3.</w:t>
      </w:r>
      <w:r w:rsidRPr="0019298A">
        <w:rPr>
          <w:b/>
        </w:rPr>
        <w:tab/>
        <w:t>Operation of the class order</w:t>
      </w:r>
    </w:p>
    <w:p w:rsidR="003729C8" w:rsidRDefault="003729C8" w:rsidP="00885F04"/>
    <w:p w:rsidR="009D45C4" w:rsidRDefault="009D45C4" w:rsidP="00E276C0">
      <w:pPr>
        <w:rPr>
          <w:bCs/>
        </w:rPr>
      </w:pPr>
      <w:r w:rsidRPr="009D45C4">
        <w:rPr>
          <w:bCs/>
        </w:rPr>
        <w:t xml:space="preserve">This declaration replicates until 1 October 2011 the effect of the exemption under regulation 28N of the Regulations as in force immediately before 2 August 2011 as affected by ASIC Class Order [CO 10/1230].  </w:t>
      </w:r>
    </w:p>
    <w:p w:rsidR="009D45C4" w:rsidRDefault="009D45C4" w:rsidP="00E276C0">
      <w:pPr>
        <w:rPr>
          <w:bCs/>
        </w:rPr>
      </w:pPr>
    </w:p>
    <w:p w:rsidR="00E276C0" w:rsidRDefault="00E276C0" w:rsidP="00E276C0">
      <w:r>
        <w:lastRenderedPageBreak/>
        <w:t>Essentially a licensee</w:t>
      </w:r>
      <w:r w:rsidR="00DF30EA">
        <w:t>’</w:t>
      </w:r>
      <w:r>
        <w:t>s or credit representative</w:t>
      </w:r>
      <w:r w:rsidR="00DF30EA">
        <w:t>’</w:t>
      </w:r>
      <w:r>
        <w:t>s obligation to provide a credit guide, proposal disclosure</w:t>
      </w:r>
      <w:r w:rsidR="008810A8">
        <w:t xml:space="preserve"> document or quote will</w:t>
      </w:r>
      <w:r w:rsidR="000021FD">
        <w:t xml:space="preserve"> not commence until</w:t>
      </w:r>
      <w:r>
        <w:t xml:space="preserve"> </w:t>
      </w:r>
      <w:r w:rsidR="00DF30EA">
        <w:t>2</w:t>
      </w:r>
      <w:r>
        <w:t xml:space="preserve"> October 2011 if they meet certain conditions</w:t>
      </w:r>
      <w:r w:rsidR="00831B72">
        <w:t>.</w:t>
      </w:r>
      <w:r>
        <w:t xml:space="preserve"> </w:t>
      </w:r>
    </w:p>
    <w:p w:rsidR="00E276C0" w:rsidRPr="00E276C0" w:rsidRDefault="00E276C0" w:rsidP="00E276C0">
      <w:pPr>
        <w:ind w:left="360"/>
      </w:pPr>
    </w:p>
    <w:p w:rsidR="003729C8" w:rsidRDefault="003729C8">
      <w:pPr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7A7E49">
        <w:rPr>
          <w:b/>
        </w:rPr>
        <w:t>Consultation</w:t>
      </w:r>
    </w:p>
    <w:p w:rsidR="003729C8" w:rsidRPr="007A7E49" w:rsidRDefault="003729C8" w:rsidP="007A7E49"/>
    <w:p w:rsidR="003729C8" w:rsidRDefault="000021FD">
      <w:r>
        <w:t xml:space="preserve">Before making this class order, </w:t>
      </w:r>
      <w:r w:rsidR="003729C8" w:rsidRPr="007A7E49">
        <w:t xml:space="preserve">ASIC consulted </w:t>
      </w:r>
      <w:r w:rsidR="00260126">
        <w:t xml:space="preserve">with </w:t>
      </w:r>
      <w:r w:rsidR="007C4F74">
        <w:t xml:space="preserve">the </w:t>
      </w:r>
      <w:r w:rsidR="00DF30EA">
        <w:t xml:space="preserve">Department of the </w:t>
      </w:r>
      <w:r w:rsidR="003729C8">
        <w:t>Treasury to</w:t>
      </w:r>
      <w:r w:rsidR="000D4EA7">
        <w:t xml:space="preserve"> confirm that this course of action is consistent </w:t>
      </w:r>
      <w:r w:rsidR="000D4EA7" w:rsidRPr="000D4EA7">
        <w:t>with the policy as evidenced in the</w:t>
      </w:r>
      <w:r w:rsidR="00E276C0">
        <w:t xml:space="preserve"> Regulations and</w:t>
      </w:r>
      <w:r w:rsidR="000D4EA7">
        <w:t xml:space="preserve"> </w:t>
      </w:r>
      <w:r w:rsidR="00DF30EA">
        <w:t>the amending regulations</w:t>
      </w:r>
      <w:r w:rsidR="000D4EA7">
        <w:t xml:space="preserve">. </w:t>
      </w:r>
    </w:p>
    <w:sectPr w:rsidR="003729C8" w:rsidSect="001F2EEE">
      <w:headerReference w:type="default" r:id="rId8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A07" w:rsidRDefault="00361A07" w:rsidP="001F2EEE">
      <w:r>
        <w:separator/>
      </w:r>
    </w:p>
  </w:endnote>
  <w:endnote w:type="continuationSeparator" w:id="0">
    <w:p w:rsidR="00361A07" w:rsidRDefault="00361A07" w:rsidP="001F2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A07" w:rsidRDefault="00361A07" w:rsidP="001F2EEE">
      <w:r>
        <w:separator/>
      </w:r>
    </w:p>
  </w:footnote>
  <w:footnote w:type="continuationSeparator" w:id="0">
    <w:p w:rsidR="00361A07" w:rsidRDefault="00361A07" w:rsidP="001F2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07" w:rsidRDefault="00EE44DF">
    <w:pPr>
      <w:pStyle w:val="Header"/>
      <w:jc w:val="center"/>
    </w:pPr>
    <w:fldSimple w:instr=" PAGE   \* MERGEFORMAT ">
      <w:r w:rsidR="00B07254">
        <w:rPr>
          <w:noProof/>
        </w:rPr>
        <w:t>2</w:t>
      </w:r>
    </w:fldSimple>
  </w:p>
  <w:p w:rsidR="00361A07" w:rsidRDefault="00361A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76E8"/>
    <w:multiLevelType w:val="hybridMultilevel"/>
    <w:tmpl w:val="42B0A97A"/>
    <w:lvl w:ilvl="0" w:tplc="D9E48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49EE"/>
    <w:multiLevelType w:val="hybridMultilevel"/>
    <w:tmpl w:val="E86AE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854"/>
    <w:multiLevelType w:val="hybridMultilevel"/>
    <w:tmpl w:val="65C25740"/>
    <w:lvl w:ilvl="0" w:tplc="F56E420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3C7243"/>
    <w:multiLevelType w:val="hybridMultilevel"/>
    <w:tmpl w:val="7B6AF982"/>
    <w:lvl w:ilvl="0" w:tplc="0C09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8D7247"/>
    <w:multiLevelType w:val="hybridMultilevel"/>
    <w:tmpl w:val="30524992"/>
    <w:lvl w:ilvl="0" w:tplc="EA6EFFBC">
      <w:start w:val="1"/>
      <w:numFmt w:val="lowerLetter"/>
      <w:lvlText w:val="(%1)"/>
      <w:lvlJc w:val="left"/>
      <w:pPr>
        <w:ind w:left="1065" w:hanging="70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650A9"/>
    <w:multiLevelType w:val="hybridMultilevel"/>
    <w:tmpl w:val="FCE68E84"/>
    <w:lvl w:ilvl="0" w:tplc="99D64F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803070"/>
    <w:multiLevelType w:val="hybridMultilevel"/>
    <w:tmpl w:val="42B0A97A"/>
    <w:lvl w:ilvl="0" w:tplc="D9E48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B24B4"/>
    <w:multiLevelType w:val="hybridMultilevel"/>
    <w:tmpl w:val="80C6B95E"/>
    <w:lvl w:ilvl="0" w:tplc="0C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32A52961"/>
    <w:multiLevelType w:val="hybridMultilevel"/>
    <w:tmpl w:val="31028C74"/>
    <w:lvl w:ilvl="0" w:tplc="520C0D0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897DED"/>
    <w:multiLevelType w:val="hybridMultilevel"/>
    <w:tmpl w:val="DE4EDCCC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2E2FCD"/>
    <w:multiLevelType w:val="hybridMultilevel"/>
    <w:tmpl w:val="2E42255A"/>
    <w:lvl w:ilvl="0" w:tplc="0C09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B64417"/>
    <w:multiLevelType w:val="hybridMultilevel"/>
    <w:tmpl w:val="B56EBB6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02D64"/>
    <w:multiLevelType w:val="hybridMultilevel"/>
    <w:tmpl w:val="FAC859FC"/>
    <w:lvl w:ilvl="0" w:tplc="CF603880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5" w:hanging="360"/>
      </w:pPr>
    </w:lvl>
    <w:lvl w:ilvl="2" w:tplc="0C09001B" w:tentative="1">
      <w:start w:val="1"/>
      <w:numFmt w:val="lowerRoman"/>
      <w:lvlText w:val="%3."/>
      <w:lvlJc w:val="right"/>
      <w:pPr>
        <w:ind w:left="3225" w:hanging="180"/>
      </w:pPr>
    </w:lvl>
    <w:lvl w:ilvl="3" w:tplc="0C09000F" w:tentative="1">
      <w:start w:val="1"/>
      <w:numFmt w:val="decimal"/>
      <w:lvlText w:val="%4."/>
      <w:lvlJc w:val="left"/>
      <w:pPr>
        <w:ind w:left="3945" w:hanging="360"/>
      </w:pPr>
    </w:lvl>
    <w:lvl w:ilvl="4" w:tplc="0C090019" w:tentative="1">
      <w:start w:val="1"/>
      <w:numFmt w:val="lowerLetter"/>
      <w:lvlText w:val="%5."/>
      <w:lvlJc w:val="left"/>
      <w:pPr>
        <w:ind w:left="4665" w:hanging="360"/>
      </w:pPr>
    </w:lvl>
    <w:lvl w:ilvl="5" w:tplc="0C09001B" w:tentative="1">
      <w:start w:val="1"/>
      <w:numFmt w:val="lowerRoman"/>
      <w:lvlText w:val="%6."/>
      <w:lvlJc w:val="right"/>
      <w:pPr>
        <w:ind w:left="5385" w:hanging="180"/>
      </w:pPr>
    </w:lvl>
    <w:lvl w:ilvl="6" w:tplc="0C09000F" w:tentative="1">
      <w:start w:val="1"/>
      <w:numFmt w:val="decimal"/>
      <w:lvlText w:val="%7."/>
      <w:lvlJc w:val="left"/>
      <w:pPr>
        <w:ind w:left="6105" w:hanging="360"/>
      </w:pPr>
    </w:lvl>
    <w:lvl w:ilvl="7" w:tplc="0C090019" w:tentative="1">
      <w:start w:val="1"/>
      <w:numFmt w:val="lowerLetter"/>
      <w:lvlText w:val="%8."/>
      <w:lvlJc w:val="left"/>
      <w:pPr>
        <w:ind w:left="6825" w:hanging="360"/>
      </w:pPr>
    </w:lvl>
    <w:lvl w:ilvl="8" w:tplc="0C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4D86171"/>
    <w:multiLevelType w:val="hybridMultilevel"/>
    <w:tmpl w:val="770A34B4"/>
    <w:lvl w:ilvl="0" w:tplc="C10EBFE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664F9B"/>
    <w:multiLevelType w:val="hybridMultilevel"/>
    <w:tmpl w:val="4F9C9D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676863"/>
    <w:multiLevelType w:val="hybridMultilevel"/>
    <w:tmpl w:val="A3B28A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7D09B2"/>
    <w:multiLevelType w:val="hybridMultilevel"/>
    <w:tmpl w:val="C0249F5C"/>
    <w:lvl w:ilvl="0" w:tplc="A3E4FD7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4B7C92"/>
    <w:multiLevelType w:val="hybridMultilevel"/>
    <w:tmpl w:val="8C3EAAA0"/>
    <w:lvl w:ilvl="0" w:tplc="06B80754">
      <w:start w:val="1"/>
      <w:numFmt w:val="lowerLetter"/>
      <w:lvlText w:val="(%1-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855675"/>
    <w:multiLevelType w:val="hybridMultilevel"/>
    <w:tmpl w:val="F5D21722"/>
    <w:lvl w:ilvl="0" w:tplc="FB76759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C6E18"/>
    <w:multiLevelType w:val="hybridMultilevel"/>
    <w:tmpl w:val="F71222C2"/>
    <w:lvl w:ilvl="0" w:tplc="101C61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460D06"/>
    <w:multiLevelType w:val="hybridMultilevel"/>
    <w:tmpl w:val="B9D227B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794EE4"/>
    <w:multiLevelType w:val="hybridMultilevel"/>
    <w:tmpl w:val="215C0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449C4"/>
    <w:multiLevelType w:val="hybridMultilevel"/>
    <w:tmpl w:val="4AF62372"/>
    <w:lvl w:ilvl="0" w:tplc="D9E4886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A270B8"/>
    <w:multiLevelType w:val="hybridMultilevel"/>
    <w:tmpl w:val="42B0A97A"/>
    <w:lvl w:ilvl="0" w:tplc="D9E48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8495B"/>
    <w:multiLevelType w:val="hybridMultilevel"/>
    <w:tmpl w:val="F14C91F4"/>
    <w:lvl w:ilvl="0" w:tplc="631461A8">
      <w:start w:val="1"/>
      <w:numFmt w:val="lowerRoman"/>
      <w:lvlText w:val="(%1)"/>
      <w:lvlJc w:val="left"/>
      <w:pPr>
        <w:ind w:left="178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4"/>
  </w:num>
  <w:num w:numId="5">
    <w:abstractNumId w:val="24"/>
  </w:num>
  <w:num w:numId="6">
    <w:abstractNumId w:val="19"/>
  </w:num>
  <w:num w:numId="7">
    <w:abstractNumId w:val="17"/>
  </w:num>
  <w:num w:numId="8">
    <w:abstractNumId w:val="13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11"/>
  </w:num>
  <w:num w:numId="14">
    <w:abstractNumId w:val="21"/>
  </w:num>
  <w:num w:numId="15">
    <w:abstractNumId w:val="6"/>
  </w:num>
  <w:num w:numId="16">
    <w:abstractNumId w:val="9"/>
  </w:num>
  <w:num w:numId="17">
    <w:abstractNumId w:val="7"/>
  </w:num>
  <w:num w:numId="18">
    <w:abstractNumId w:val="14"/>
  </w:num>
  <w:num w:numId="19">
    <w:abstractNumId w:val="15"/>
  </w:num>
  <w:num w:numId="20">
    <w:abstractNumId w:val="22"/>
  </w:num>
  <w:num w:numId="21">
    <w:abstractNumId w:val="8"/>
  </w:num>
  <w:num w:numId="22">
    <w:abstractNumId w:val="0"/>
  </w:num>
  <w:num w:numId="23">
    <w:abstractNumId w:val="12"/>
  </w:num>
  <w:num w:numId="24">
    <w:abstractNumId w:val="2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A7E49"/>
    <w:rsid w:val="000021FD"/>
    <w:rsid w:val="00010365"/>
    <w:rsid w:val="00072D7A"/>
    <w:rsid w:val="0007405B"/>
    <w:rsid w:val="000740DE"/>
    <w:rsid w:val="000749FD"/>
    <w:rsid w:val="000A0774"/>
    <w:rsid w:val="000D4EA7"/>
    <w:rsid w:val="00102752"/>
    <w:rsid w:val="00130DE5"/>
    <w:rsid w:val="00164D58"/>
    <w:rsid w:val="0019298A"/>
    <w:rsid w:val="001B2579"/>
    <w:rsid w:val="001B79B0"/>
    <w:rsid w:val="001E518B"/>
    <w:rsid w:val="001F009C"/>
    <w:rsid w:val="001F2EEE"/>
    <w:rsid w:val="002327F5"/>
    <w:rsid w:val="00260126"/>
    <w:rsid w:val="002641C4"/>
    <w:rsid w:val="00264D8C"/>
    <w:rsid w:val="00281C8D"/>
    <w:rsid w:val="00286022"/>
    <w:rsid w:val="002934C5"/>
    <w:rsid w:val="002A3B44"/>
    <w:rsid w:val="002B12A6"/>
    <w:rsid w:val="002C67D2"/>
    <w:rsid w:val="002D6BEC"/>
    <w:rsid w:val="00325C41"/>
    <w:rsid w:val="00340A6C"/>
    <w:rsid w:val="00351A09"/>
    <w:rsid w:val="00361A07"/>
    <w:rsid w:val="003729C8"/>
    <w:rsid w:val="0038188E"/>
    <w:rsid w:val="00382F16"/>
    <w:rsid w:val="003A78E2"/>
    <w:rsid w:val="003B3548"/>
    <w:rsid w:val="00403EA3"/>
    <w:rsid w:val="004214E8"/>
    <w:rsid w:val="00450D9F"/>
    <w:rsid w:val="004E34A4"/>
    <w:rsid w:val="004E3A94"/>
    <w:rsid w:val="004F2799"/>
    <w:rsid w:val="00500748"/>
    <w:rsid w:val="00504FE3"/>
    <w:rsid w:val="00517AAC"/>
    <w:rsid w:val="00524A33"/>
    <w:rsid w:val="00551489"/>
    <w:rsid w:val="005558BB"/>
    <w:rsid w:val="00562441"/>
    <w:rsid w:val="005B39FC"/>
    <w:rsid w:val="005D61FC"/>
    <w:rsid w:val="005E5595"/>
    <w:rsid w:val="005F1D77"/>
    <w:rsid w:val="00624C62"/>
    <w:rsid w:val="00657D01"/>
    <w:rsid w:val="00660DF9"/>
    <w:rsid w:val="006B51A1"/>
    <w:rsid w:val="006C4635"/>
    <w:rsid w:val="006D3FB2"/>
    <w:rsid w:val="006F0AE2"/>
    <w:rsid w:val="0072491E"/>
    <w:rsid w:val="007A7E49"/>
    <w:rsid w:val="007C4F74"/>
    <w:rsid w:val="007C5BA6"/>
    <w:rsid w:val="007C7EFA"/>
    <w:rsid w:val="00805631"/>
    <w:rsid w:val="00831B72"/>
    <w:rsid w:val="008751E9"/>
    <w:rsid w:val="008810A8"/>
    <w:rsid w:val="00885F04"/>
    <w:rsid w:val="008A4E85"/>
    <w:rsid w:val="008C2308"/>
    <w:rsid w:val="008D32FA"/>
    <w:rsid w:val="008D4CAB"/>
    <w:rsid w:val="00913F13"/>
    <w:rsid w:val="009260FF"/>
    <w:rsid w:val="00951EB8"/>
    <w:rsid w:val="0096418F"/>
    <w:rsid w:val="00970814"/>
    <w:rsid w:val="00975F42"/>
    <w:rsid w:val="009B0E16"/>
    <w:rsid w:val="009D45C4"/>
    <w:rsid w:val="009E1762"/>
    <w:rsid w:val="00A141B4"/>
    <w:rsid w:val="00A33337"/>
    <w:rsid w:val="00A33A75"/>
    <w:rsid w:val="00A356ED"/>
    <w:rsid w:val="00A47704"/>
    <w:rsid w:val="00A66648"/>
    <w:rsid w:val="00AA6228"/>
    <w:rsid w:val="00AB22AA"/>
    <w:rsid w:val="00AC7A11"/>
    <w:rsid w:val="00AD1F9E"/>
    <w:rsid w:val="00B07254"/>
    <w:rsid w:val="00B358FB"/>
    <w:rsid w:val="00B366CC"/>
    <w:rsid w:val="00BA6581"/>
    <w:rsid w:val="00BE1991"/>
    <w:rsid w:val="00BE5C31"/>
    <w:rsid w:val="00C00F07"/>
    <w:rsid w:val="00C10AFC"/>
    <w:rsid w:val="00C477B0"/>
    <w:rsid w:val="00C54E80"/>
    <w:rsid w:val="00C55AF7"/>
    <w:rsid w:val="00CB2286"/>
    <w:rsid w:val="00CB4090"/>
    <w:rsid w:val="00CB6C6E"/>
    <w:rsid w:val="00CD20AC"/>
    <w:rsid w:val="00CD4695"/>
    <w:rsid w:val="00CE35CE"/>
    <w:rsid w:val="00CF4D93"/>
    <w:rsid w:val="00D214A1"/>
    <w:rsid w:val="00D357CA"/>
    <w:rsid w:val="00D54EC5"/>
    <w:rsid w:val="00DA6574"/>
    <w:rsid w:val="00DD7AA7"/>
    <w:rsid w:val="00DF30EA"/>
    <w:rsid w:val="00E173BD"/>
    <w:rsid w:val="00E247F0"/>
    <w:rsid w:val="00E276C0"/>
    <w:rsid w:val="00E40F40"/>
    <w:rsid w:val="00EA6E3A"/>
    <w:rsid w:val="00EE44DF"/>
    <w:rsid w:val="00EE5372"/>
    <w:rsid w:val="00EE5AB2"/>
    <w:rsid w:val="00F05651"/>
    <w:rsid w:val="00F660D5"/>
    <w:rsid w:val="00F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FB2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4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7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81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F2E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EEE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1F2E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EEE"/>
    <w:rPr>
      <w:rFonts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E98E-74E7-481D-9E50-B2551878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Binnington</dc:creator>
  <cp:keywords/>
  <dc:description/>
  <cp:lastModifiedBy>Rushika Curtis</cp:lastModifiedBy>
  <cp:revision>6</cp:revision>
  <cp:lastPrinted>2010-12-15T01:09:00Z</cp:lastPrinted>
  <dcterms:created xsi:type="dcterms:W3CDTF">2011-08-02T05:48:00Z</dcterms:created>
  <dcterms:modified xsi:type="dcterms:W3CDTF">2011-08-02T05:50:00Z</dcterms:modified>
</cp:coreProperties>
</file>