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D5" w:rsidRPr="00824A97" w:rsidRDefault="002C0CD5" w:rsidP="002C0CD5">
      <w:pPr>
        <w:pStyle w:val="Title"/>
        <w:rPr>
          <w:u w:val="none"/>
        </w:rPr>
      </w:pPr>
      <w:r w:rsidRPr="00824A97">
        <w:rPr>
          <w:u w:val="none"/>
        </w:rPr>
        <w:t xml:space="preserve">Explanatory Statement </w:t>
      </w:r>
    </w:p>
    <w:p w:rsidR="002C0CD5" w:rsidRPr="00824A97" w:rsidRDefault="002C0CD5" w:rsidP="002C0CD5">
      <w:pPr>
        <w:rPr>
          <w:sz w:val="24"/>
        </w:rPr>
      </w:pPr>
    </w:p>
    <w:p w:rsidR="002C0CD5" w:rsidRPr="00824A97" w:rsidRDefault="002C0CD5" w:rsidP="002C0CD5">
      <w:pPr>
        <w:pStyle w:val="Heading1"/>
      </w:pPr>
      <w:r w:rsidRPr="00824A97">
        <w:t>Broadcasting Services Act 1992</w:t>
      </w:r>
    </w:p>
    <w:p w:rsidR="002C0CD5" w:rsidRPr="00824A97" w:rsidRDefault="002C0CD5" w:rsidP="002C0CD5"/>
    <w:p w:rsidR="002C0CD5" w:rsidRPr="00824A97" w:rsidRDefault="002C0CD5" w:rsidP="002C0CD5">
      <w:pPr>
        <w:jc w:val="center"/>
        <w:rPr>
          <w:b/>
          <w:sz w:val="28"/>
          <w:szCs w:val="28"/>
        </w:rPr>
      </w:pPr>
      <w:r w:rsidRPr="00824A97">
        <w:rPr>
          <w:b/>
          <w:sz w:val="28"/>
          <w:szCs w:val="28"/>
        </w:rPr>
        <w:t xml:space="preserve">Broadcasting Services (Events) Notice (No. 1) </w:t>
      </w:r>
      <w:r>
        <w:rPr>
          <w:b/>
          <w:sz w:val="28"/>
          <w:szCs w:val="28"/>
        </w:rPr>
        <w:t>2010</w:t>
      </w:r>
    </w:p>
    <w:p w:rsidR="002C0CD5" w:rsidRPr="00824A97" w:rsidRDefault="002C0CD5" w:rsidP="002C0CD5">
      <w:pPr>
        <w:jc w:val="center"/>
        <w:rPr>
          <w:b/>
          <w:sz w:val="28"/>
          <w:szCs w:val="28"/>
        </w:rPr>
      </w:pPr>
      <w:r w:rsidRPr="00824A97">
        <w:rPr>
          <w:b/>
          <w:sz w:val="28"/>
          <w:szCs w:val="28"/>
        </w:rPr>
        <w:t xml:space="preserve">(Amendment No. </w:t>
      </w:r>
      <w:r w:rsidR="00B54CA5">
        <w:rPr>
          <w:b/>
          <w:sz w:val="28"/>
          <w:szCs w:val="28"/>
        </w:rPr>
        <w:t>10</w:t>
      </w:r>
      <w:r w:rsidR="00E75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2011</w:t>
      </w:r>
      <w:r w:rsidRPr="00824A97">
        <w:rPr>
          <w:b/>
          <w:sz w:val="28"/>
          <w:szCs w:val="28"/>
        </w:rPr>
        <w:t>)</w:t>
      </w:r>
    </w:p>
    <w:p w:rsidR="002C0CD5" w:rsidRPr="00243205" w:rsidRDefault="002C0CD5" w:rsidP="00243205">
      <w:pPr>
        <w:pStyle w:val="BodyText3"/>
        <w:jc w:val="center"/>
        <w:rPr>
          <w:szCs w:val="24"/>
        </w:rPr>
      </w:pPr>
    </w:p>
    <w:p w:rsidR="00243205" w:rsidRPr="00243205" w:rsidRDefault="00243205" w:rsidP="00243205">
      <w:pPr>
        <w:pStyle w:val="BodyText"/>
        <w:rPr>
          <w:szCs w:val="24"/>
        </w:rPr>
      </w:pPr>
      <w:r w:rsidRPr="00243205">
        <w:rPr>
          <w:szCs w:val="24"/>
          <w:lang w:val="en-GB"/>
        </w:rPr>
        <w:t>Issued by the Authority of the Minister for Broadband, Communications</w:t>
      </w:r>
    </w:p>
    <w:p w:rsidR="00243205" w:rsidRPr="00243205" w:rsidRDefault="00243205" w:rsidP="00243205">
      <w:pPr>
        <w:pStyle w:val="BodyText"/>
        <w:rPr>
          <w:szCs w:val="24"/>
        </w:rPr>
      </w:pPr>
      <w:proofErr w:type="gramStart"/>
      <w:r w:rsidRPr="00243205">
        <w:rPr>
          <w:szCs w:val="24"/>
          <w:lang w:val="en-GB"/>
        </w:rPr>
        <w:t>and</w:t>
      </w:r>
      <w:proofErr w:type="gramEnd"/>
      <w:r w:rsidRPr="00243205">
        <w:rPr>
          <w:szCs w:val="24"/>
          <w:lang w:val="en-GB"/>
        </w:rPr>
        <w:t xml:space="preserve"> the Digital Economy</w:t>
      </w:r>
    </w:p>
    <w:p w:rsidR="00243205" w:rsidRPr="00243205" w:rsidRDefault="00243205" w:rsidP="00243205">
      <w:pPr>
        <w:rPr>
          <w:sz w:val="24"/>
          <w:szCs w:val="24"/>
        </w:rPr>
      </w:pPr>
      <w:r w:rsidRPr="00243205">
        <w:rPr>
          <w:sz w:val="24"/>
          <w:szCs w:val="24"/>
          <w:lang w:val="en-GB"/>
        </w:rPr>
        <w:t> </w:t>
      </w:r>
    </w:p>
    <w:p w:rsidR="00243205" w:rsidRPr="0023682E" w:rsidRDefault="00243205" w:rsidP="00243205">
      <w:pPr>
        <w:rPr>
          <w:sz w:val="24"/>
          <w:u w:val="single"/>
        </w:rPr>
      </w:pPr>
      <w:r w:rsidRPr="0023682E">
        <w:rPr>
          <w:sz w:val="24"/>
          <w:u w:val="single"/>
        </w:rPr>
        <w:t>Purpose</w:t>
      </w:r>
    </w:p>
    <w:p w:rsidR="00243205" w:rsidRPr="0023682E" w:rsidRDefault="00243205" w:rsidP="00243205">
      <w:pPr>
        <w:rPr>
          <w:sz w:val="24"/>
          <w:szCs w:val="24"/>
        </w:rPr>
      </w:pPr>
    </w:p>
    <w:p w:rsidR="00243205" w:rsidRPr="0023682E" w:rsidRDefault="00243205" w:rsidP="00243205">
      <w:pPr>
        <w:rPr>
          <w:sz w:val="24"/>
          <w:szCs w:val="24"/>
        </w:rPr>
      </w:pPr>
      <w:r w:rsidRPr="0023682E">
        <w:rPr>
          <w:sz w:val="24"/>
          <w:szCs w:val="24"/>
        </w:rPr>
        <w:t xml:space="preserve">The </w:t>
      </w:r>
      <w:r w:rsidRPr="0023682E">
        <w:rPr>
          <w:i/>
          <w:sz w:val="24"/>
          <w:szCs w:val="24"/>
        </w:rPr>
        <w:t>Broadcasting Services (Events) Noti</w:t>
      </w:r>
      <w:r w:rsidR="0075628D">
        <w:rPr>
          <w:i/>
          <w:sz w:val="24"/>
          <w:szCs w:val="24"/>
        </w:rPr>
        <w:t xml:space="preserve">ce (No. 1) 2010 (Amendment No. </w:t>
      </w:r>
      <w:r w:rsidR="00B54CA5">
        <w:rPr>
          <w:i/>
          <w:sz w:val="24"/>
          <w:szCs w:val="24"/>
        </w:rPr>
        <w:t>10</w:t>
      </w:r>
      <w:r w:rsidR="00E75C43" w:rsidRPr="0023682E">
        <w:rPr>
          <w:i/>
          <w:sz w:val="24"/>
          <w:szCs w:val="24"/>
        </w:rPr>
        <w:t xml:space="preserve"> </w:t>
      </w:r>
      <w:r w:rsidRPr="0023682E">
        <w:rPr>
          <w:i/>
          <w:sz w:val="24"/>
          <w:szCs w:val="24"/>
        </w:rPr>
        <w:t>of 201</w:t>
      </w:r>
      <w:r>
        <w:rPr>
          <w:i/>
          <w:sz w:val="24"/>
          <w:szCs w:val="24"/>
        </w:rPr>
        <w:t>1</w:t>
      </w:r>
      <w:r w:rsidRPr="0023682E">
        <w:rPr>
          <w:i/>
          <w:sz w:val="24"/>
          <w:szCs w:val="24"/>
        </w:rPr>
        <w:t>)</w:t>
      </w:r>
      <w:r w:rsidRPr="0023682E">
        <w:rPr>
          <w:sz w:val="24"/>
          <w:szCs w:val="24"/>
        </w:rPr>
        <w:t xml:space="preserve"> (the Notice) is made by the Minister for Broadband, Communications and the Digital Economy (the Minister) under subsection 115(2) of the </w:t>
      </w:r>
      <w:r w:rsidRPr="0023682E">
        <w:rPr>
          <w:i/>
          <w:sz w:val="24"/>
          <w:szCs w:val="24"/>
        </w:rPr>
        <w:t>Broadcasting Services Act 1992</w:t>
      </w:r>
      <w:r w:rsidRPr="0023682E">
        <w:rPr>
          <w:sz w:val="24"/>
          <w:szCs w:val="24"/>
        </w:rPr>
        <w:t xml:space="preserve"> (the BSA). </w:t>
      </w:r>
    </w:p>
    <w:p w:rsidR="00243205" w:rsidRPr="0023682E" w:rsidRDefault="00243205" w:rsidP="00243205">
      <w:pPr>
        <w:rPr>
          <w:sz w:val="24"/>
          <w:szCs w:val="24"/>
        </w:rPr>
      </w:pPr>
    </w:p>
    <w:p w:rsidR="00243205" w:rsidRPr="0023682E" w:rsidRDefault="00243205" w:rsidP="00243205">
      <w:pPr>
        <w:rPr>
          <w:sz w:val="24"/>
          <w:szCs w:val="24"/>
        </w:rPr>
      </w:pPr>
      <w:r w:rsidRPr="0023682E">
        <w:rPr>
          <w:sz w:val="24"/>
          <w:szCs w:val="24"/>
        </w:rPr>
        <w:t xml:space="preserve">The purpose of this Notice is to amend the </w:t>
      </w:r>
      <w:r w:rsidRPr="0023682E">
        <w:rPr>
          <w:i/>
          <w:sz w:val="24"/>
          <w:szCs w:val="24"/>
        </w:rPr>
        <w:t xml:space="preserve">Broadcasting Services (Events) Notice (No. 1) </w:t>
      </w:r>
      <w:r>
        <w:rPr>
          <w:i/>
          <w:sz w:val="24"/>
          <w:szCs w:val="24"/>
        </w:rPr>
        <w:t>2010</w:t>
      </w:r>
      <w:r w:rsidRPr="0023682E">
        <w:rPr>
          <w:sz w:val="24"/>
          <w:szCs w:val="24"/>
        </w:rPr>
        <w:t xml:space="preserve"> (the Principal Notice) to remove</w:t>
      </w:r>
      <w:r w:rsidR="00CF7217">
        <w:rPr>
          <w:sz w:val="24"/>
          <w:szCs w:val="24"/>
        </w:rPr>
        <w:t xml:space="preserve"> </w:t>
      </w:r>
      <w:r w:rsidR="00380CB0">
        <w:rPr>
          <w:sz w:val="24"/>
          <w:szCs w:val="24"/>
        </w:rPr>
        <w:t>certain event</w:t>
      </w:r>
      <w:r w:rsidR="00CF7217">
        <w:rPr>
          <w:sz w:val="24"/>
          <w:szCs w:val="24"/>
        </w:rPr>
        <w:t>s</w:t>
      </w:r>
      <w:r w:rsidRPr="0023682E">
        <w:rPr>
          <w:sz w:val="24"/>
          <w:szCs w:val="24"/>
        </w:rPr>
        <w:t xml:space="preserve"> from the Princ</w:t>
      </w:r>
      <w:r w:rsidR="00380CB0">
        <w:rPr>
          <w:sz w:val="24"/>
          <w:szCs w:val="24"/>
        </w:rPr>
        <w:t>ipal Notice to permit the</w:t>
      </w:r>
      <w:r w:rsidR="00BD0347">
        <w:rPr>
          <w:sz w:val="24"/>
          <w:szCs w:val="24"/>
        </w:rPr>
        <w:t>se</w:t>
      </w:r>
      <w:r w:rsidR="00380CB0">
        <w:rPr>
          <w:sz w:val="24"/>
          <w:szCs w:val="24"/>
        </w:rPr>
        <w:t xml:space="preserve"> event</w:t>
      </w:r>
      <w:r w:rsidR="00CF7217">
        <w:rPr>
          <w:sz w:val="24"/>
          <w:szCs w:val="24"/>
        </w:rPr>
        <w:t>s</w:t>
      </w:r>
      <w:r w:rsidRPr="0023682E">
        <w:rPr>
          <w:sz w:val="24"/>
          <w:szCs w:val="24"/>
        </w:rPr>
        <w:t xml:space="preserve"> to be premiered on a free-to-air television digital multi-channel</w:t>
      </w:r>
      <w:r>
        <w:rPr>
          <w:sz w:val="24"/>
          <w:szCs w:val="24"/>
        </w:rPr>
        <w:t xml:space="preserve">. </w:t>
      </w:r>
    </w:p>
    <w:p w:rsidR="00243205" w:rsidRPr="0023682E" w:rsidRDefault="00243205" w:rsidP="00243205">
      <w:pPr>
        <w:rPr>
          <w:sz w:val="24"/>
          <w:szCs w:val="24"/>
        </w:rPr>
      </w:pPr>
    </w:p>
    <w:p w:rsidR="00243205" w:rsidRPr="0023682E" w:rsidRDefault="00243205" w:rsidP="00243205">
      <w:pPr>
        <w:rPr>
          <w:sz w:val="24"/>
          <w:szCs w:val="24"/>
        </w:rPr>
      </w:pPr>
      <w:r w:rsidRPr="0023682E">
        <w:rPr>
          <w:sz w:val="24"/>
          <w:szCs w:val="24"/>
        </w:rPr>
        <w:t>This Noti</w:t>
      </w:r>
      <w:r w:rsidR="00380CB0">
        <w:rPr>
          <w:sz w:val="24"/>
          <w:szCs w:val="24"/>
        </w:rPr>
        <w:t xml:space="preserve">ce is a legislative instrument </w:t>
      </w:r>
      <w:r w:rsidRPr="0023682E">
        <w:rPr>
          <w:sz w:val="24"/>
          <w:szCs w:val="24"/>
        </w:rPr>
        <w:t xml:space="preserve">for the purposes of subsection 6(d) of the </w:t>
      </w:r>
      <w:r w:rsidRPr="0023682E">
        <w:rPr>
          <w:i/>
          <w:sz w:val="24"/>
          <w:szCs w:val="24"/>
        </w:rPr>
        <w:t>Legislative Instruments Act 2003</w:t>
      </w:r>
      <w:r w:rsidRPr="0023682E">
        <w:rPr>
          <w:sz w:val="24"/>
          <w:szCs w:val="24"/>
        </w:rPr>
        <w:t>.</w:t>
      </w:r>
    </w:p>
    <w:p w:rsidR="002C0CD5" w:rsidRPr="00BD5DFA" w:rsidRDefault="002C0CD5" w:rsidP="002C0CD5">
      <w:pPr>
        <w:rPr>
          <w:sz w:val="24"/>
          <w:szCs w:val="24"/>
        </w:rPr>
      </w:pPr>
    </w:p>
    <w:p w:rsidR="002C0CD5" w:rsidRPr="0023682E" w:rsidRDefault="002C0CD5" w:rsidP="002C0CD5">
      <w:pPr>
        <w:rPr>
          <w:sz w:val="24"/>
          <w:u w:val="single"/>
        </w:rPr>
      </w:pPr>
      <w:r w:rsidRPr="0023682E">
        <w:rPr>
          <w:sz w:val="24"/>
          <w:u w:val="single"/>
        </w:rPr>
        <w:t>Background</w:t>
      </w:r>
    </w:p>
    <w:p w:rsidR="002C0CD5" w:rsidRPr="0023682E" w:rsidRDefault="002C0CD5" w:rsidP="002C0CD5">
      <w:pPr>
        <w:rPr>
          <w:sz w:val="24"/>
        </w:rPr>
      </w:pPr>
    </w:p>
    <w:p w:rsidR="002C0CD5" w:rsidRPr="0023682E" w:rsidRDefault="002C0CD5" w:rsidP="002C0CD5">
      <w:pPr>
        <w:rPr>
          <w:i/>
          <w:sz w:val="24"/>
        </w:rPr>
      </w:pPr>
      <w:r w:rsidRPr="0023682E">
        <w:rPr>
          <w:i/>
          <w:sz w:val="24"/>
        </w:rPr>
        <w:t xml:space="preserve">Legislative background </w:t>
      </w:r>
    </w:p>
    <w:p w:rsidR="002C0CD5" w:rsidRPr="0023682E" w:rsidRDefault="002C0CD5" w:rsidP="002C0CD5">
      <w:pPr>
        <w:rPr>
          <w:sz w:val="24"/>
        </w:rPr>
      </w:pPr>
    </w:p>
    <w:p w:rsidR="002C0CD5" w:rsidRPr="0023682E" w:rsidRDefault="002C0CD5" w:rsidP="002C0CD5">
      <w:pPr>
        <w:pStyle w:val="Heading1"/>
        <w:jc w:val="left"/>
        <w:rPr>
          <w:i w:val="0"/>
          <w:szCs w:val="24"/>
        </w:rPr>
      </w:pPr>
      <w:r w:rsidRPr="0023682E">
        <w:rPr>
          <w:i w:val="0"/>
          <w:szCs w:val="24"/>
        </w:rPr>
        <w:t xml:space="preserve">Subsection </w:t>
      </w:r>
      <w:r w:rsidRPr="0023682E">
        <w:rPr>
          <w:i w:val="0"/>
        </w:rPr>
        <w:t>115(1)</w:t>
      </w:r>
      <w:r w:rsidRPr="0023682E">
        <w:rPr>
          <w:i w:val="0"/>
          <w:szCs w:val="24"/>
        </w:rPr>
        <w:t xml:space="preserve"> of the BSA provides that the Minister may, by notice in the Gazette, specify events that</w:t>
      </w:r>
      <w:r w:rsidR="006C3AAF">
        <w:rPr>
          <w:i w:val="0"/>
          <w:szCs w:val="24"/>
        </w:rPr>
        <w:t>,</w:t>
      </w:r>
      <w:r w:rsidRPr="0023682E">
        <w:rPr>
          <w:i w:val="0"/>
          <w:szCs w:val="24"/>
        </w:rPr>
        <w:t xml:space="preserve"> in the Minister’s opinion</w:t>
      </w:r>
      <w:r w:rsidR="006C3AAF">
        <w:rPr>
          <w:i w:val="0"/>
          <w:szCs w:val="24"/>
        </w:rPr>
        <w:t>,</w:t>
      </w:r>
      <w:r w:rsidRPr="0023682E">
        <w:rPr>
          <w:i w:val="0"/>
          <w:szCs w:val="24"/>
        </w:rPr>
        <w:t xml:space="preserve"> should be televised free to the </w:t>
      </w:r>
      <w:r w:rsidR="00380CB0">
        <w:rPr>
          <w:i w:val="0"/>
          <w:szCs w:val="24"/>
        </w:rPr>
        <w:t xml:space="preserve">general </w:t>
      </w:r>
      <w:r w:rsidRPr="0023682E">
        <w:rPr>
          <w:i w:val="0"/>
          <w:szCs w:val="24"/>
        </w:rPr>
        <w:t xml:space="preserve">public. Such a notice is commonly known as the anti-siphoning list. </w:t>
      </w:r>
    </w:p>
    <w:p w:rsidR="002C0CD5" w:rsidRPr="0023682E" w:rsidRDefault="002C0CD5" w:rsidP="002C0CD5">
      <w:pPr>
        <w:pStyle w:val="Heading1"/>
        <w:keepNext w:val="0"/>
        <w:jc w:val="left"/>
        <w:rPr>
          <w:i w:val="0"/>
          <w:szCs w:val="24"/>
        </w:rPr>
      </w:pPr>
    </w:p>
    <w:p w:rsidR="002C0CD5" w:rsidRPr="0023682E" w:rsidRDefault="002C0CD5" w:rsidP="002C0CD5">
      <w:pPr>
        <w:pStyle w:val="Heading1"/>
        <w:jc w:val="left"/>
        <w:rPr>
          <w:i w:val="0"/>
          <w:szCs w:val="24"/>
        </w:rPr>
      </w:pPr>
      <w:r w:rsidRPr="0023682E">
        <w:rPr>
          <w:i w:val="0"/>
          <w:szCs w:val="24"/>
        </w:rPr>
        <w:t xml:space="preserve">The inclusion of an event in a subsection 115(1) notice triggers a licence condition </w:t>
      </w:r>
      <w:r>
        <w:rPr>
          <w:i w:val="0"/>
          <w:szCs w:val="24"/>
        </w:rPr>
        <w:t>that</w:t>
      </w:r>
      <w:r w:rsidRPr="0023682E">
        <w:rPr>
          <w:i w:val="0"/>
          <w:szCs w:val="24"/>
        </w:rPr>
        <w:t xml:space="preserve"> prohibits subscription television broadcasters from acquiring rights to televise the event ahead of </w:t>
      </w:r>
      <w:r>
        <w:rPr>
          <w:i w:val="0"/>
          <w:szCs w:val="24"/>
        </w:rPr>
        <w:t xml:space="preserve">commercial television </w:t>
      </w:r>
      <w:r w:rsidRPr="0023682E">
        <w:rPr>
          <w:i w:val="0"/>
          <w:szCs w:val="24"/>
        </w:rPr>
        <w:t xml:space="preserve">broadcasters and </w:t>
      </w:r>
      <w:r>
        <w:rPr>
          <w:i w:val="0"/>
          <w:szCs w:val="24"/>
        </w:rPr>
        <w:t>national</w:t>
      </w:r>
      <w:r w:rsidRPr="0023682E">
        <w:rPr>
          <w:i w:val="0"/>
          <w:szCs w:val="24"/>
        </w:rPr>
        <w:t xml:space="preserve"> broadcasters (see section 99 of the BSA and paragraph 10(1)(e) of Schedule 2 to the BSA). </w:t>
      </w:r>
    </w:p>
    <w:p w:rsidR="002C0CD5" w:rsidRPr="0023682E" w:rsidRDefault="002C0CD5" w:rsidP="002C0CD5">
      <w:pPr>
        <w:rPr>
          <w:sz w:val="24"/>
          <w:szCs w:val="24"/>
        </w:rPr>
      </w:pPr>
    </w:p>
    <w:p w:rsidR="002C0CD5" w:rsidRPr="0023682E" w:rsidRDefault="002C0CD5" w:rsidP="002C0CD5">
      <w:pPr>
        <w:rPr>
          <w:sz w:val="24"/>
          <w:szCs w:val="24"/>
        </w:rPr>
      </w:pPr>
      <w:r w:rsidRPr="0023682E">
        <w:rPr>
          <w:sz w:val="24"/>
          <w:szCs w:val="24"/>
        </w:rPr>
        <w:t>The BSA also imposes restrictions on both commercial television broadcasters and national broadcasters with regard to televising events listed on a subsection 115(1) notice. Such restrictions ensure that ant</w:t>
      </w:r>
      <w:r w:rsidR="00951AE3">
        <w:rPr>
          <w:sz w:val="24"/>
          <w:szCs w:val="24"/>
        </w:rPr>
        <w:t>i</w:t>
      </w:r>
      <w:r w:rsidRPr="0023682E">
        <w:rPr>
          <w:sz w:val="24"/>
          <w:szCs w:val="24"/>
        </w:rPr>
        <w:t xml:space="preserve">-siphoning events (or parts of those events) are not shown on the broadcasters’ standard definition or high definition television digital multi-channels without first being shown, or being shown simultaneously, on the broadcasters’ main channels during the simulcast period (see Part 4A of Schedule 4 to the BSA). </w:t>
      </w:r>
      <w:r w:rsidR="00EE4315" w:rsidRPr="00EE4315">
        <w:rPr>
          <w:sz w:val="24"/>
          <w:szCs w:val="24"/>
        </w:rPr>
        <w:t>Similar restrictions apply after the end of the simulcast period to ensure that events on the anti-siphoning list are shown first, or shown simultaneously, on commercial television and national broadcasters’ primary digital multi-channels.</w:t>
      </w:r>
    </w:p>
    <w:p w:rsidR="002C0CD5" w:rsidRPr="0023682E" w:rsidRDefault="002C0CD5" w:rsidP="002C0CD5">
      <w:pPr>
        <w:rPr>
          <w:sz w:val="24"/>
          <w:szCs w:val="24"/>
        </w:rPr>
      </w:pPr>
    </w:p>
    <w:p w:rsidR="002C0CD5" w:rsidRPr="0023682E" w:rsidRDefault="002C0CD5" w:rsidP="002C0CD5">
      <w:pPr>
        <w:rPr>
          <w:sz w:val="24"/>
          <w:szCs w:val="24"/>
        </w:rPr>
      </w:pPr>
      <w:r w:rsidRPr="0023682E">
        <w:rPr>
          <w:sz w:val="24"/>
          <w:szCs w:val="24"/>
        </w:rPr>
        <w:t xml:space="preserve">Subsection 115(2) of the BSA allows the Minister to amend a notice made under subsection 115(1) </w:t>
      </w:r>
      <w:r>
        <w:rPr>
          <w:sz w:val="24"/>
          <w:szCs w:val="24"/>
        </w:rPr>
        <w:t xml:space="preserve">of the BSA </w:t>
      </w:r>
      <w:r w:rsidRPr="0023682E">
        <w:rPr>
          <w:sz w:val="24"/>
          <w:szCs w:val="24"/>
        </w:rPr>
        <w:t>to remove an event from the notice.</w:t>
      </w:r>
    </w:p>
    <w:p w:rsidR="002C0CD5" w:rsidRPr="0023682E" w:rsidRDefault="002C0CD5" w:rsidP="002C0CD5">
      <w:pPr>
        <w:rPr>
          <w:sz w:val="24"/>
          <w:szCs w:val="24"/>
        </w:rPr>
      </w:pPr>
      <w:r w:rsidRPr="0023682E">
        <w:rPr>
          <w:sz w:val="24"/>
          <w:szCs w:val="24"/>
        </w:rPr>
        <w:t xml:space="preserve"> </w:t>
      </w:r>
    </w:p>
    <w:p w:rsidR="0075628D" w:rsidRDefault="002C0CD5" w:rsidP="002C0CD5">
      <w:pPr>
        <w:rPr>
          <w:sz w:val="24"/>
          <w:szCs w:val="24"/>
        </w:rPr>
      </w:pPr>
      <w:r w:rsidRPr="0023682E">
        <w:rPr>
          <w:sz w:val="24"/>
          <w:szCs w:val="24"/>
        </w:rPr>
        <w:lastRenderedPageBreak/>
        <w:t>The purpose of this Notice is to amend the Principal Notice to remove</w:t>
      </w:r>
      <w:r w:rsidR="00CF7217">
        <w:rPr>
          <w:sz w:val="24"/>
          <w:szCs w:val="24"/>
        </w:rPr>
        <w:t xml:space="preserve"> </w:t>
      </w:r>
      <w:r w:rsidR="0075628D">
        <w:rPr>
          <w:sz w:val="24"/>
          <w:szCs w:val="24"/>
        </w:rPr>
        <w:t xml:space="preserve">from the current anti-siphoning list </w:t>
      </w:r>
      <w:r w:rsidR="0059334E">
        <w:rPr>
          <w:sz w:val="24"/>
          <w:szCs w:val="24"/>
        </w:rPr>
        <w:t>two</w:t>
      </w:r>
      <w:r w:rsidR="0075628D">
        <w:rPr>
          <w:sz w:val="24"/>
          <w:szCs w:val="24"/>
        </w:rPr>
        <w:t xml:space="preserve"> </w:t>
      </w:r>
      <w:r w:rsidR="00852028">
        <w:rPr>
          <w:sz w:val="24"/>
          <w:szCs w:val="24"/>
        </w:rPr>
        <w:t>matches</w:t>
      </w:r>
      <w:r w:rsidR="0075628D">
        <w:rPr>
          <w:sz w:val="24"/>
          <w:szCs w:val="24"/>
        </w:rPr>
        <w:t xml:space="preserve"> to be held as part of the 2011 </w:t>
      </w:r>
      <w:r w:rsidR="0059334E">
        <w:rPr>
          <w:sz w:val="24"/>
          <w:szCs w:val="24"/>
        </w:rPr>
        <w:t>Tri Nations rugby union series</w:t>
      </w:r>
      <w:r w:rsidR="0075628D">
        <w:rPr>
          <w:sz w:val="24"/>
          <w:szCs w:val="24"/>
        </w:rPr>
        <w:t xml:space="preserve">.  </w:t>
      </w:r>
    </w:p>
    <w:p w:rsidR="0075628D" w:rsidRDefault="0075628D" w:rsidP="002C0CD5">
      <w:pPr>
        <w:rPr>
          <w:sz w:val="24"/>
          <w:szCs w:val="24"/>
        </w:rPr>
      </w:pPr>
    </w:p>
    <w:p w:rsidR="00243205" w:rsidRDefault="00243205" w:rsidP="002C0CD5">
      <w:pPr>
        <w:rPr>
          <w:sz w:val="24"/>
          <w:szCs w:val="24"/>
        </w:rPr>
      </w:pPr>
      <w:r>
        <w:rPr>
          <w:sz w:val="24"/>
          <w:szCs w:val="24"/>
        </w:rPr>
        <w:t>The event</w:t>
      </w:r>
      <w:r w:rsidR="00CF7217">
        <w:rPr>
          <w:sz w:val="24"/>
          <w:szCs w:val="24"/>
        </w:rPr>
        <w:t>s</w:t>
      </w:r>
      <w:r>
        <w:rPr>
          <w:sz w:val="24"/>
          <w:szCs w:val="24"/>
        </w:rPr>
        <w:t xml:space="preserve"> to be removed </w:t>
      </w:r>
      <w:r w:rsidR="00CF7217">
        <w:rPr>
          <w:sz w:val="24"/>
          <w:szCs w:val="24"/>
        </w:rPr>
        <w:t>are</w:t>
      </w:r>
      <w:r w:rsidR="00420723">
        <w:rPr>
          <w:sz w:val="24"/>
          <w:szCs w:val="24"/>
        </w:rPr>
        <w:t xml:space="preserve"> specified in Item</w:t>
      </w:r>
      <w:r w:rsidR="0075628D">
        <w:rPr>
          <w:sz w:val="24"/>
          <w:szCs w:val="24"/>
        </w:rPr>
        <w:t xml:space="preserve"> </w:t>
      </w:r>
      <w:r w:rsidR="0059334E">
        <w:rPr>
          <w:sz w:val="24"/>
          <w:szCs w:val="24"/>
        </w:rPr>
        <w:t>6.1</w:t>
      </w:r>
      <w:r w:rsidR="0075628D">
        <w:rPr>
          <w:sz w:val="24"/>
          <w:szCs w:val="24"/>
        </w:rPr>
        <w:t xml:space="preserve"> of the </w:t>
      </w:r>
      <w:r>
        <w:rPr>
          <w:sz w:val="24"/>
          <w:szCs w:val="24"/>
        </w:rPr>
        <w:t>Schedule to the Principal Notice, as amended by this Notice.</w:t>
      </w:r>
    </w:p>
    <w:p w:rsidR="002C0CD5" w:rsidRPr="001E0182" w:rsidRDefault="002C0CD5" w:rsidP="002C0CD5">
      <w:pPr>
        <w:rPr>
          <w:sz w:val="24"/>
          <w:szCs w:val="24"/>
        </w:rPr>
      </w:pPr>
    </w:p>
    <w:p w:rsidR="0075628D" w:rsidRPr="0075628D" w:rsidRDefault="0075628D" w:rsidP="002C0CD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2011 </w:t>
      </w:r>
      <w:r w:rsidR="0059334E">
        <w:rPr>
          <w:i/>
          <w:sz w:val="24"/>
          <w:szCs w:val="24"/>
        </w:rPr>
        <w:t xml:space="preserve">Tri </w:t>
      </w:r>
      <w:proofErr w:type="gramStart"/>
      <w:r w:rsidR="0059334E">
        <w:rPr>
          <w:i/>
          <w:sz w:val="24"/>
          <w:szCs w:val="24"/>
        </w:rPr>
        <w:t>Nations</w:t>
      </w:r>
      <w:proofErr w:type="gramEnd"/>
      <w:r w:rsidR="0059334E">
        <w:rPr>
          <w:i/>
          <w:sz w:val="24"/>
          <w:szCs w:val="24"/>
        </w:rPr>
        <w:t xml:space="preserve"> rugby </w:t>
      </w:r>
      <w:r w:rsidR="008E60EE">
        <w:rPr>
          <w:i/>
          <w:sz w:val="24"/>
          <w:szCs w:val="24"/>
        </w:rPr>
        <w:t>union</w:t>
      </w:r>
      <w:r w:rsidR="0059334E">
        <w:rPr>
          <w:i/>
          <w:sz w:val="24"/>
          <w:szCs w:val="24"/>
        </w:rPr>
        <w:t xml:space="preserve"> series</w:t>
      </w:r>
    </w:p>
    <w:p w:rsidR="0075628D" w:rsidRDefault="0075628D" w:rsidP="002C0CD5">
      <w:pPr>
        <w:rPr>
          <w:sz w:val="24"/>
          <w:szCs w:val="24"/>
        </w:rPr>
      </w:pPr>
    </w:p>
    <w:p w:rsidR="00CC6070" w:rsidRDefault="008E60EE" w:rsidP="002C0CD5">
      <w:pPr>
        <w:rPr>
          <w:sz w:val="24"/>
          <w:szCs w:val="24"/>
        </w:rPr>
      </w:pPr>
      <w:r w:rsidRPr="008E60EE">
        <w:rPr>
          <w:sz w:val="24"/>
          <w:szCs w:val="24"/>
        </w:rPr>
        <w:t xml:space="preserve">The 2011 Tri Nations rugby </w:t>
      </w:r>
      <w:r>
        <w:rPr>
          <w:sz w:val="24"/>
          <w:szCs w:val="24"/>
        </w:rPr>
        <w:t>union</w:t>
      </w:r>
      <w:r w:rsidRPr="008E60EE">
        <w:rPr>
          <w:sz w:val="24"/>
          <w:szCs w:val="24"/>
        </w:rPr>
        <w:t xml:space="preserve"> series, which commenced on 23 July 2011, is being held in various locations across Australia, New Zealand and South Africa until 27 August 2011.</w:t>
      </w:r>
      <w:r>
        <w:rPr>
          <w:sz w:val="24"/>
          <w:szCs w:val="24"/>
        </w:rPr>
        <w:t xml:space="preserve"> </w:t>
      </w:r>
    </w:p>
    <w:p w:rsidR="00CC6070" w:rsidRDefault="00CC6070" w:rsidP="002C0CD5">
      <w:pPr>
        <w:rPr>
          <w:sz w:val="24"/>
          <w:szCs w:val="24"/>
        </w:rPr>
      </w:pPr>
    </w:p>
    <w:p w:rsidR="0046654E" w:rsidRDefault="00E403F9" w:rsidP="002C0CD5">
      <w:pPr>
        <w:rPr>
          <w:sz w:val="24"/>
          <w:szCs w:val="24"/>
        </w:rPr>
      </w:pPr>
      <w:r w:rsidRPr="008E60EE">
        <w:rPr>
          <w:sz w:val="24"/>
          <w:szCs w:val="24"/>
        </w:rPr>
        <w:t xml:space="preserve">This Notice </w:t>
      </w:r>
      <w:r w:rsidR="00CC6070">
        <w:rPr>
          <w:sz w:val="24"/>
          <w:szCs w:val="24"/>
        </w:rPr>
        <w:t xml:space="preserve">will </w:t>
      </w:r>
      <w:r w:rsidR="000522B2">
        <w:rPr>
          <w:sz w:val="24"/>
          <w:szCs w:val="24"/>
        </w:rPr>
        <w:t xml:space="preserve">remove from the Principal Notice </w:t>
      </w:r>
      <w:r w:rsidR="00CC6070">
        <w:rPr>
          <w:sz w:val="24"/>
          <w:szCs w:val="24"/>
        </w:rPr>
        <w:t xml:space="preserve">certain </w:t>
      </w:r>
      <w:r w:rsidR="000522B2">
        <w:rPr>
          <w:sz w:val="24"/>
          <w:szCs w:val="24"/>
        </w:rPr>
        <w:t>matches to be played as part of the 2011 Tri Nation</w:t>
      </w:r>
      <w:r w:rsidR="005B091E">
        <w:rPr>
          <w:sz w:val="24"/>
          <w:szCs w:val="24"/>
        </w:rPr>
        <w:t>s</w:t>
      </w:r>
      <w:r w:rsidR="000522B2">
        <w:rPr>
          <w:sz w:val="24"/>
          <w:szCs w:val="24"/>
        </w:rPr>
        <w:t xml:space="preserve"> </w:t>
      </w:r>
      <w:r w:rsidR="002D7ED7">
        <w:rPr>
          <w:sz w:val="24"/>
          <w:szCs w:val="24"/>
        </w:rPr>
        <w:t xml:space="preserve">rugby union </w:t>
      </w:r>
      <w:r w:rsidR="000522B2">
        <w:rPr>
          <w:sz w:val="24"/>
          <w:szCs w:val="24"/>
        </w:rPr>
        <w:t>series, specifically:</w:t>
      </w:r>
    </w:p>
    <w:p w:rsidR="00E31523" w:rsidRDefault="000522B2" w:rsidP="00E31523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match to be played in New Zealand on 6 August 2011 between Australia and New Zealand; and </w:t>
      </w:r>
    </w:p>
    <w:p w:rsidR="00BF55A0" w:rsidRDefault="000522B2">
      <w:pPr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match to be played in Australia on 27 August 2011 between Australia and New Zealand. </w:t>
      </w:r>
    </w:p>
    <w:p w:rsidR="00BF55A0" w:rsidRDefault="00BF55A0">
      <w:pPr>
        <w:rPr>
          <w:sz w:val="24"/>
          <w:szCs w:val="24"/>
          <w:u w:val="single"/>
        </w:rPr>
      </w:pPr>
    </w:p>
    <w:p w:rsidR="00640CAF" w:rsidRPr="00640CAF" w:rsidRDefault="00E31523" w:rsidP="002C0CD5">
      <w:pPr>
        <w:ind w:right="91"/>
        <w:rPr>
          <w:sz w:val="24"/>
          <w:szCs w:val="24"/>
        </w:rPr>
      </w:pPr>
      <w:r w:rsidRPr="00E31523">
        <w:rPr>
          <w:sz w:val="24"/>
          <w:szCs w:val="24"/>
        </w:rPr>
        <w:t xml:space="preserve">The amendment allows (but does not require) the free-to-air broadcasters that hold the broadcast rights to </w:t>
      </w:r>
      <w:r w:rsidR="00640CAF" w:rsidRPr="00640CAF">
        <w:rPr>
          <w:sz w:val="24"/>
          <w:szCs w:val="24"/>
        </w:rPr>
        <w:t>the matches of the 2011 Tri Nations series featuring the senior Australian representative team</w:t>
      </w:r>
      <w:r w:rsidR="00640CAF" w:rsidRPr="00640CAF" w:rsidDel="00E403F9">
        <w:rPr>
          <w:sz w:val="24"/>
          <w:szCs w:val="24"/>
        </w:rPr>
        <w:t xml:space="preserve"> </w:t>
      </w:r>
      <w:r>
        <w:rPr>
          <w:sz w:val="24"/>
          <w:szCs w:val="24"/>
        </w:rPr>
        <w:t>(the Nine Network and its affiliate stations) to premiere the two matches listed above on a digital multi-channel. It is anticipated that, as a result of this amendment, many television viewers will be able to watch live coverage of matches that would otherwise only be shown on the primary channel after a delay.</w:t>
      </w:r>
    </w:p>
    <w:p w:rsidR="00640CAF" w:rsidRDefault="00640CAF" w:rsidP="002C0CD5">
      <w:pPr>
        <w:ind w:right="91"/>
        <w:rPr>
          <w:sz w:val="24"/>
          <w:szCs w:val="24"/>
          <w:u w:val="single"/>
        </w:rPr>
      </w:pPr>
    </w:p>
    <w:p w:rsidR="002C0CD5" w:rsidRPr="0023682E" w:rsidRDefault="002C0CD5" w:rsidP="002C0CD5">
      <w:pPr>
        <w:ind w:right="91"/>
        <w:rPr>
          <w:sz w:val="24"/>
          <w:szCs w:val="24"/>
          <w:u w:val="single"/>
        </w:rPr>
      </w:pPr>
      <w:r w:rsidRPr="0023682E">
        <w:rPr>
          <w:sz w:val="24"/>
          <w:szCs w:val="24"/>
          <w:u w:val="single"/>
        </w:rPr>
        <w:t>Notes on Clauses</w:t>
      </w:r>
    </w:p>
    <w:p w:rsidR="002C0CD5" w:rsidRPr="0023682E" w:rsidRDefault="002C0CD5" w:rsidP="002C0CD5">
      <w:pPr>
        <w:ind w:right="91"/>
        <w:rPr>
          <w:sz w:val="24"/>
          <w:szCs w:val="24"/>
        </w:rPr>
      </w:pPr>
    </w:p>
    <w:p w:rsidR="002C0CD5" w:rsidRPr="0023682E" w:rsidRDefault="002C0CD5" w:rsidP="002C0CD5">
      <w:pPr>
        <w:ind w:right="91"/>
        <w:rPr>
          <w:sz w:val="24"/>
          <w:szCs w:val="24"/>
        </w:rPr>
      </w:pPr>
      <w:r w:rsidRPr="0023682E">
        <w:rPr>
          <w:sz w:val="24"/>
          <w:szCs w:val="24"/>
          <w:u w:val="single"/>
        </w:rPr>
        <w:t>Clause 1</w:t>
      </w:r>
      <w:r w:rsidRPr="0023682E">
        <w:rPr>
          <w:sz w:val="24"/>
          <w:szCs w:val="24"/>
        </w:rPr>
        <w:t xml:space="preserve"> provides that the name of the Notice is the </w:t>
      </w:r>
      <w:r w:rsidRPr="0023682E">
        <w:rPr>
          <w:iCs/>
          <w:sz w:val="24"/>
          <w:szCs w:val="24"/>
        </w:rPr>
        <w:t xml:space="preserve">Broadcasting Services (Events) Notice (No. 1) </w:t>
      </w:r>
      <w:r>
        <w:rPr>
          <w:iCs/>
          <w:sz w:val="24"/>
          <w:szCs w:val="24"/>
        </w:rPr>
        <w:t>2010</w:t>
      </w:r>
      <w:r w:rsidRPr="0023682E">
        <w:rPr>
          <w:iCs/>
          <w:sz w:val="24"/>
          <w:szCs w:val="24"/>
        </w:rPr>
        <w:t xml:space="preserve"> (Amendment No. </w:t>
      </w:r>
      <w:r w:rsidR="0059334E">
        <w:rPr>
          <w:iCs/>
          <w:sz w:val="24"/>
          <w:szCs w:val="24"/>
        </w:rPr>
        <w:t>10</w:t>
      </w:r>
      <w:r w:rsidRPr="0023682E">
        <w:rPr>
          <w:iCs/>
          <w:sz w:val="24"/>
          <w:szCs w:val="24"/>
        </w:rPr>
        <w:t xml:space="preserve"> of 201</w:t>
      </w:r>
      <w:r w:rsidR="00B1639B">
        <w:rPr>
          <w:iCs/>
          <w:sz w:val="24"/>
          <w:szCs w:val="24"/>
        </w:rPr>
        <w:t>1</w:t>
      </w:r>
      <w:r w:rsidRPr="0023682E">
        <w:rPr>
          <w:iCs/>
          <w:sz w:val="24"/>
          <w:szCs w:val="24"/>
        </w:rPr>
        <w:t>).</w:t>
      </w:r>
    </w:p>
    <w:p w:rsidR="002C0CD5" w:rsidRPr="0023682E" w:rsidRDefault="002C0CD5" w:rsidP="002C0CD5">
      <w:pPr>
        <w:ind w:right="91"/>
        <w:rPr>
          <w:sz w:val="24"/>
          <w:szCs w:val="24"/>
        </w:rPr>
      </w:pPr>
    </w:p>
    <w:p w:rsidR="002C0CD5" w:rsidRPr="0023682E" w:rsidRDefault="002C0CD5" w:rsidP="002C0CD5">
      <w:pPr>
        <w:rPr>
          <w:sz w:val="24"/>
          <w:szCs w:val="24"/>
        </w:rPr>
      </w:pPr>
      <w:r w:rsidRPr="0023682E">
        <w:rPr>
          <w:sz w:val="24"/>
          <w:szCs w:val="24"/>
          <w:u w:val="single"/>
        </w:rPr>
        <w:t>Clause 2</w:t>
      </w:r>
      <w:r w:rsidRPr="0023682E">
        <w:rPr>
          <w:sz w:val="24"/>
          <w:szCs w:val="24"/>
        </w:rPr>
        <w:t xml:space="preserve"> provides that the Notice will commence on the day it is registered on the Federal Register of Legislative Instruments.</w:t>
      </w:r>
    </w:p>
    <w:p w:rsidR="002C0CD5" w:rsidRPr="0023682E" w:rsidRDefault="002C0CD5" w:rsidP="002C0CD5">
      <w:pPr>
        <w:ind w:right="91"/>
        <w:rPr>
          <w:sz w:val="24"/>
          <w:szCs w:val="24"/>
        </w:rPr>
      </w:pPr>
    </w:p>
    <w:p w:rsidR="002C0CD5" w:rsidRPr="0023682E" w:rsidRDefault="002C0CD5" w:rsidP="002C0CD5">
      <w:pPr>
        <w:ind w:right="91"/>
        <w:rPr>
          <w:sz w:val="24"/>
          <w:szCs w:val="24"/>
        </w:rPr>
      </w:pPr>
      <w:r w:rsidRPr="0023682E">
        <w:rPr>
          <w:sz w:val="24"/>
          <w:szCs w:val="24"/>
          <w:u w:val="single"/>
        </w:rPr>
        <w:t>Clause 3</w:t>
      </w:r>
      <w:r w:rsidRPr="0023682E">
        <w:rPr>
          <w:sz w:val="24"/>
          <w:szCs w:val="24"/>
        </w:rPr>
        <w:t xml:space="preserve"> is a definitions clause.</w:t>
      </w:r>
    </w:p>
    <w:p w:rsidR="002C0CD5" w:rsidRPr="0023682E" w:rsidRDefault="002C0CD5" w:rsidP="002C0CD5">
      <w:pPr>
        <w:ind w:right="91"/>
        <w:rPr>
          <w:sz w:val="24"/>
          <w:szCs w:val="24"/>
        </w:rPr>
      </w:pPr>
    </w:p>
    <w:p w:rsidR="00066B3F" w:rsidRDefault="002C0CD5" w:rsidP="00066B3F">
      <w:pPr>
        <w:ind w:right="91"/>
        <w:rPr>
          <w:sz w:val="24"/>
          <w:szCs w:val="24"/>
        </w:rPr>
      </w:pPr>
      <w:r w:rsidRPr="0023682E">
        <w:rPr>
          <w:sz w:val="24"/>
          <w:szCs w:val="24"/>
          <w:u w:val="single"/>
        </w:rPr>
        <w:t>Clause 4</w:t>
      </w:r>
      <w:r w:rsidR="00066B3F">
        <w:rPr>
          <w:sz w:val="24"/>
          <w:szCs w:val="24"/>
        </w:rPr>
        <w:t xml:space="preserve"> is the main operative clause. It provides that the Principal Notice is amended by substituting the existing Item</w:t>
      </w:r>
      <w:r w:rsidR="00407678">
        <w:rPr>
          <w:sz w:val="24"/>
          <w:szCs w:val="24"/>
        </w:rPr>
        <w:t xml:space="preserve"> 6.1</w:t>
      </w:r>
      <w:r w:rsidR="00066B3F">
        <w:rPr>
          <w:sz w:val="24"/>
          <w:szCs w:val="24"/>
        </w:rPr>
        <w:t xml:space="preserve">of the Schedule to the Principal Notice with a new Item </w:t>
      </w:r>
      <w:r w:rsidR="00B73757">
        <w:rPr>
          <w:sz w:val="24"/>
          <w:szCs w:val="24"/>
        </w:rPr>
        <w:t>6.1</w:t>
      </w:r>
      <w:r w:rsidR="00066B3F">
        <w:rPr>
          <w:sz w:val="24"/>
          <w:szCs w:val="24"/>
        </w:rPr>
        <w:t>.</w:t>
      </w:r>
    </w:p>
    <w:p w:rsidR="00D52190" w:rsidRDefault="00D52190" w:rsidP="002C0CD5">
      <w:pPr>
        <w:ind w:right="91"/>
        <w:rPr>
          <w:sz w:val="24"/>
          <w:szCs w:val="24"/>
        </w:rPr>
      </w:pPr>
    </w:p>
    <w:p w:rsidR="005B091E" w:rsidRDefault="002E0224" w:rsidP="002E0224">
      <w:pPr>
        <w:ind w:right="91"/>
        <w:rPr>
          <w:sz w:val="24"/>
          <w:szCs w:val="24"/>
        </w:rPr>
      </w:pPr>
      <w:r w:rsidRPr="00187F4B">
        <w:rPr>
          <w:sz w:val="24"/>
          <w:szCs w:val="24"/>
        </w:rPr>
        <w:t xml:space="preserve">This amendment has the effect of removing </w:t>
      </w:r>
      <w:r>
        <w:rPr>
          <w:sz w:val="24"/>
          <w:szCs w:val="24"/>
        </w:rPr>
        <w:t xml:space="preserve">the specified </w:t>
      </w:r>
      <w:r w:rsidRPr="00187F4B">
        <w:rPr>
          <w:sz w:val="24"/>
          <w:szCs w:val="24"/>
        </w:rPr>
        <w:t>events from the Principal Notice</w:t>
      </w:r>
      <w:r>
        <w:rPr>
          <w:sz w:val="24"/>
          <w:szCs w:val="24"/>
        </w:rPr>
        <w:t>. As amended,</w:t>
      </w:r>
      <w:r w:rsidRPr="00187F4B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B73757">
        <w:rPr>
          <w:sz w:val="24"/>
          <w:szCs w:val="24"/>
        </w:rPr>
        <w:t xml:space="preserve">ll rugby union </w:t>
      </w:r>
      <w:r w:rsidR="000522B2">
        <w:rPr>
          <w:sz w:val="24"/>
          <w:szCs w:val="24"/>
        </w:rPr>
        <w:t xml:space="preserve">international </w:t>
      </w:r>
      <w:r w:rsidR="00B73757">
        <w:rPr>
          <w:sz w:val="24"/>
          <w:szCs w:val="24"/>
        </w:rPr>
        <w:t xml:space="preserve">test matches involving the senior Australian representative team that are played in Australia, New Zealand, South Africa or Europe </w:t>
      </w:r>
      <w:r w:rsidRPr="00187F4B">
        <w:rPr>
          <w:sz w:val="24"/>
          <w:szCs w:val="24"/>
        </w:rPr>
        <w:t xml:space="preserve">will remain listed on the Principal Notice, except for the </w:t>
      </w:r>
      <w:r w:rsidR="00B73757">
        <w:rPr>
          <w:sz w:val="24"/>
          <w:szCs w:val="24"/>
        </w:rPr>
        <w:t xml:space="preserve">matches </w:t>
      </w:r>
      <w:r w:rsidR="00CC6070">
        <w:rPr>
          <w:sz w:val="24"/>
          <w:szCs w:val="24"/>
        </w:rPr>
        <w:t xml:space="preserve">to be </w:t>
      </w:r>
      <w:r w:rsidR="00B73757">
        <w:rPr>
          <w:sz w:val="24"/>
          <w:szCs w:val="24"/>
        </w:rPr>
        <w:t>played between Australia and New Zealand on 6 August 2011 and 27 August 2011</w:t>
      </w:r>
      <w:r>
        <w:rPr>
          <w:sz w:val="24"/>
          <w:szCs w:val="24"/>
        </w:rPr>
        <w:t>.</w:t>
      </w:r>
      <w:r w:rsidR="00CC6070">
        <w:rPr>
          <w:sz w:val="24"/>
          <w:szCs w:val="24"/>
        </w:rPr>
        <w:t xml:space="preserve"> </w:t>
      </w:r>
      <w:r w:rsidR="002D7ED7">
        <w:rPr>
          <w:sz w:val="24"/>
          <w:szCs w:val="24"/>
        </w:rPr>
        <w:t>These matches are scheduled to be played in New Zealand and Australia, respectively.</w:t>
      </w:r>
    </w:p>
    <w:p w:rsidR="005B091E" w:rsidRDefault="005B091E" w:rsidP="002E0224">
      <w:pPr>
        <w:ind w:right="91"/>
        <w:rPr>
          <w:sz w:val="24"/>
          <w:szCs w:val="24"/>
        </w:rPr>
      </w:pPr>
    </w:p>
    <w:p w:rsidR="005B091E" w:rsidRDefault="005B091E" w:rsidP="005B091E">
      <w:pPr>
        <w:ind w:right="91"/>
        <w:rPr>
          <w:sz w:val="24"/>
          <w:szCs w:val="24"/>
          <w:u w:val="single"/>
        </w:rPr>
      </w:pPr>
      <w:r w:rsidRPr="00F90561">
        <w:rPr>
          <w:sz w:val="24"/>
          <w:szCs w:val="24"/>
          <w:u w:val="single"/>
        </w:rPr>
        <w:lastRenderedPageBreak/>
        <w:t>Consultation</w:t>
      </w:r>
    </w:p>
    <w:p w:rsidR="005B091E" w:rsidRDefault="005B091E" w:rsidP="005B091E"/>
    <w:p w:rsidR="002E0224" w:rsidRPr="007E4DD0" w:rsidRDefault="005B091E" w:rsidP="005B091E">
      <w:pPr>
        <w:ind w:right="91"/>
      </w:pPr>
      <w:r w:rsidRPr="002D24E2">
        <w:rPr>
          <w:sz w:val="24"/>
          <w:szCs w:val="24"/>
        </w:rPr>
        <w:t>Consultation</w:t>
      </w:r>
      <w:r>
        <w:rPr>
          <w:sz w:val="24"/>
          <w:szCs w:val="24"/>
        </w:rPr>
        <w:t xml:space="preserve"> </w:t>
      </w:r>
      <w:r w:rsidRPr="002D24E2">
        <w:rPr>
          <w:sz w:val="24"/>
          <w:szCs w:val="24"/>
        </w:rPr>
        <w:t>w</w:t>
      </w:r>
      <w:r>
        <w:rPr>
          <w:sz w:val="24"/>
          <w:szCs w:val="24"/>
        </w:rPr>
        <w:t>as</w:t>
      </w:r>
      <w:r w:rsidRPr="002D24E2">
        <w:rPr>
          <w:sz w:val="24"/>
          <w:szCs w:val="24"/>
        </w:rPr>
        <w:t xml:space="preserve"> undertaken with </w:t>
      </w:r>
      <w:r>
        <w:rPr>
          <w:sz w:val="24"/>
          <w:szCs w:val="24"/>
        </w:rPr>
        <w:t>the Nine Network</w:t>
      </w:r>
      <w:r w:rsidR="00C81668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Foxtel</w:t>
      </w:r>
      <w:proofErr w:type="spellEnd"/>
      <w:r>
        <w:rPr>
          <w:sz w:val="24"/>
          <w:szCs w:val="24"/>
        </w:rPr>
        <w:t xml:space="preserve"> </w:t>
      </w:r>
      <w:r w:rsidRPr="002D24E2">
        <w:rPr>
          <w:sz w:val="24"/>
          <w:szCs w:val="24"/>
        </w:rPr>
        <w:t xml:space="preserve">following </w:t>
      </w:r>
      <w:r>
        <w:rPr>
          <w:sz w:val="24"/>
          <w:szCs w:val="24"/>
        </w:rPr>
        <w:t>the Nine Network’s</w:t>
      </w:r>
      <w:r w:rsidRPr="002D24E2">
        <w:rPr>
          <w:sz w:val="24"/>
          <w:szCs w:val="24"/>
        </w:rPr>
        <w:t xml:space="preserve"> request to the Minister that </w:t>
      </w:r>
      <w:r>
        <w:rPr>
          <w:sz w:val="24"/>
          <w:szCs w:val="24"/>
        </w:rPr>
        <w:t>two matches of the 2011 Tri Nations rugby union series, being held on 6 August 2011 and 27 August 2011,</w:t>
      </w:r>
      <w:r w:rsidRPr="002D24E2">
        <w:rPr>
          <w:sz w:val="24"/>
          <w:szCs w:val="24"/>
        </w:rPr>
        <w:t xml:space="preserve"> be removed from the anti-siphoning list. </w:t>
      </w:r>
      <w:r>
        <w:rPr>
          <w:sz w:val="24"/>
          <w:szCs w:val="24"/>
        </w:rPr>
        <w:t xml:space="preserve">The Nine Network </w:t>
      </w:r>
      <w:r w:rsidRPr="002D24E2">
        <w:rPr>
          <w:sz w:val="24"/>
          <w:szCs w:val="24"/>
        </w:rPr>
        <w:t>holds the free-to</w:t>
      </w:r>
      <w:r>
        <w:rPr>
          <w:sz w:val="24"/>
          <w:szCs w:val="24"/>
        </w:rPr>
        <w:t>-</w:t>
      </w:r>
      <w:r w:rsidRPr="002D24E2">
        <w:rPr>
          <w:sz w:val="24"/>
          <w:szCs w:val="24"/>
        </w:rPr>
        <w:t xml:space="preserve">air broadcast rights to the </w:t>
      </w:r>
      <w:r>
        <w:rPr>
          <w:sz w:val="24"/>
          <w:szCs w:val="24"/>
        </w:rPr>
        <w:t xml:space="preserve">matches of the </w:t>
      </w:r>
      <w:r w:rsidR="00ED0B3C">
        <w:rPr>
          <w:sz w:val="24"/>
          <w:szCs w:val="24"/>
        </w:rPr>
        <w:t xml:space="preserve">2011 </w:t>
      </w:r>
      <w:r>
        <w:rPr>
          <w:sz w:val="24"/>
          <w:szCs w:val="24"/>
        </w:rPr>
        <w:t xml:space="preserve">Tri Nations rugby union series that involve Australia. </w:t>
      </w:r>
    </w:p>
    <w:p w:rsidR="00BF4C72" w:rsidRDefault="00BF4C72"/>
    <w:p w:rsidR="002E0224" w:rsidRDefault="002E0224"/>
    <w:sectPr w:rsidR="002E0224" w:rsidSect="002C0CD5">
      <w:headerReference w:type="default" r:id="rId11"/>
      <w:footerReference w:type="first" r:id="rId12"/>
      <w:pgSz w:w="11906" w:h="16838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3C" w:rsidRDefault="00ED0B3C" w:rsidP="009A5536">
      <w:r>
        <w:separator/>
      </w:r>
    </w:p>
  </w:endnote>
  <w:endnote w:type="continuationSeparator" w:id="0">
    <w:p w:rsidR="00ED0B3C" w:rsidRDefault="00ED0B3C" w:rsidP="009A5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3C" w:rsidRDefault="00ED0B3C">
    <w:pPr>
      <w:pStyle w:val="Footer"/>
      <w:jc w:val="center"/>
    </w:pPr>
  </w:p>
  <w:p w:rsidR="00ED0B3C" w:rsidRDefault="00ED0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3C" w:rsidRDefault="00ED0B3C" w:rsidP="009A5536">
      <w:r>
        <w:separator/>
      </w:r>
    </w:p>
  </w:footnote>
  <w:footnote w:type="continuationSeparator" w:id="0">
    <w:p w:rsidR="00ED0B3C" w:rsidRDefault="00ED0B3C" w:rsidP="009A55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B3C" w:rsidRDefault="00ED0B3C">
    <w:pPr>
      <w:pStyle w:val="Header"/>
    </w:pPr>
    <w:r>
      <w:tab/>
    </w:r>
    <w:r w:rsidR="0018397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83978">
      <w:rPr>
        <w:rStyle w:val="PageNumber"/>
      </w:rPr>
      <w:fldChar w:fldCharType="separate"/>
    </w:r>
    <w:r w:rsidR="00AB6FE8">
      <w:rPr>
        <w:rStyle w:val="PageNumber"/>
        <w:noProof/>
      </w:rPr>
      <w:t>3</w:t>
    </w:r>
    <w:r w:rsidR="00183978"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6F27"/>
    <w:multiLevelType w:val="hybridMultilevel"/>
    <w:tmpl w:val="2452D7B4"/>
    <w:lvl w:ilvl="0" w:tplc="4D7AC2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4958A6"/>
    <w:multiLevelType w:val="hybridMultilevel"/>
    <w:tmpl w:val="4372C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057BE"/>
    <w:multiLevelType w:val="hybridMultilevel"/>
    <w:tmpl w:val="BE344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04922"/>
    <w:multiLevelType w:val="hybridMultilevel"/>
    <w:tmpl w:val="B4EC4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00B76"/>
    <w:multiLevelType w:val="hybridMultilevel"/>
    <w:tmpl w:val="BAFE2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D2FC1"/>
    <w:multiLevelType w:val="hybridMultilevel"/>
    <w:tmpl w:val="940ADF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F3E23"/>
    <w:multiLevelType w:val="hybridMultilevel"/>
    <w:tmpl w:val="FCAAC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CD5"/>
    <w:rsid w:val="00005165"/>
    <w:rsid w:val="000471DC"/>
    <w:rsid w:val="000522B2"/>
    <w:rsid w:val="00052478"/>
    <w:rsid w:val="00057D36"/>
    <w:rsid w:val="00066B3F"/>
    <w:rsid w:val="00085E46"/>
    <w:rsid w:val="00086FE4"/>
    <w:rsid w:val="000932C8"/>
    <w:rsid w:val="0009720F"/>
    <w:rsid w:val="000B5721"/>
    <w:rsid w:val="000C4B8F"/>
    <w:rsid w:val="000C6AF6"/>
    <w:rsid w:val="000D5A37"/>
    <w:rsid w:val="000D6F67"/>
    <w:rsid w:val="000D7D37"/>
    <w:rsid w:val="000E3E3C"/>
    <w:rsid w:val="000F202A"/>
    <w:rsid w:val="000F61AB"/>
    <w:rsid w:val="001013DD"/>
    <w:rsid w:val="00113077"/>
    <w:rsid w:val="0011359F"/>
    <w:rsid w:val="00120A6E"/>
    <w:rsid w:val="00133099"/>
    <w:rsid w:val="00136D23"/>
    <w:rsid w:val="00150FD3"/>
    <w:rsid w:val="00183978"/>
    <w:rsid w:val="001960B6"/>
    <w:rsid w:val="00196E0D"/>
    <w:rsid w:val="001A6693"/>
    <w:rsid w:val="001D2446"/>
    <w:rsid w:val="001E0182"/>
    <w:rsid w:val="001E2866"/>
    <w:rsid w:val="001E6E69"/>
    <w:rsid w:val="00203EBE"/>
    <w:rsid w:val="0021408E"/>
    <w:rsid w:val="00227290"/>
    <w:rsid w:val="00232C65"/>
    <w:rsid w:val="00243205"/>
    <w:rsid w:val="00243A47"/>
    <w:rsid w:val="0025187E"/>
    <w:rsid w:val="0025580C"/>
    <w:rsid w:val="002817A8"/>
    <w:rsid w:val="002A5172"/>
    <w:rsid w:val="002B4408"/>
    <w:rsid w:val="002B72A7"/>
    <w:rsid w:val="002C0CD5"/>
    <w:rsid w:val="002D5B35"/>
    <w:rsid w:val="002D7ED7"/>
    <w:rsid w:val="002E0224"/>
    <w:rsid w:val="002F5B2A"/>
    <w:rsid w:val="00306AC8"/>
    <w:rsid w:val="00354D37"/>
    <w:rsid w:val="00355EC2"/>
    <w:rsid w:val="00380CB0"/>
    <w:rsid w:val="00380F02"/>
    <w:rsid w:val="003A1321"/>
    <w:rsid w:val="003A1A35"/>
    <w:rsid w:val="003B06D9"/>
    <w:rsid w:val="003B1D7E"/>
    <w:rsid w:val="003C5F66"/>
    <w:rsid w:val="003D4BF7"/>
    <w:rsid w:val="003D6A73"/>
    <w:rsid w:val="003E2816"/>
    <w:rsid w:val="00401F89"/>
    <w:rsid w:val="00407678"/>
    <w:rsid w:val="00420723"/>
    <w:rsid w:val="00436CCB"/>
    <w:rsid w:val="0046654E"/>
    <w:rsid w:val="00471A37"/>
    <w:rsid w:val="00474427"/>
    <w:rsid w:val="0047601F"/>
    <w:rsid w:val="00497F62"/>
    <w:rsid w:val="004B75EA"/>
    <w:rsid w:val="004D00E3"/>
    <w:rsid w:val="004E3552"/>
    <w:rsid w:val="004E45EE"/>
    <w:rsid w:val="004F0765"/>
    <w:rsid w:val="004F5484"/>
    <w:rsid w:val="00501EB5"/>
    <w:rsid w:val="00507E7F"/>
    <w:rsid w:val="00513BF9"/>
    <w:rsid w:val="00517442"/>
    <w:rsid w:val="00517B36"/>
    <w:rsid w:val="00530633"/>
    <w:rsid w:val="00542569"/>
    <w:rsid w:val="00555ABE"/>
    <w:rsid w:val="0056237D"/>
    <w:rsid w:val="00562A18"/>
    <w:rsid w:val="00575FE3"/>
    <w:rsid w:val="0059334E"/>
    <w:rsid w:val="005973B5"/>
    <w:rsid w:val="005A03F1"/>
    <w:rsid w:val="005B091E"/>
    <w:rsid w:val="005D011A"/>
    <w:rsid w:val="005D6D6F"/>
    <w:rsid w:val="005E1A22"/>
    <w:rsid w:val="005E26DD"/>
    <w:rsid w:val="005E7185"/>
    <w:rsid w:val="005F7B07"/>
    <w:rsid w:val="00634A5A"/>
    <w:rsid w:val="00640CAF"/>
    <w:rsid w:val="00651357"/>
    <w:rsid w:val="00661507"/>
    <w:rsid w:val="00675C0B"/>
    <w:rsid w:val="00681991"/>
    <w:rsid w:val="0069317C"/>
    <w:rsid w:val="006A7FBA"/>
    <w:rsid w:val="006B0888"/>
    <w:rsid w:val="006B36F2"/>
    <w:rsid w:val="006B7338"/>
    <w:rsid w:val="006C3AAF"/>
    <w:rsid w:val="006D5462"/>
    <w:rsid w:val="006E201C"/>
    <w:rsid w:val="006F2892"/>
    <w:rsid w:val="0073100B"/>
    <w:rsid w:val="00742673"/>
    <w:rsid w:val="0075628D"/>
    <w:rsid w:val="00762008"/>
    <w:rsid w:val="007778EA"/>
    <w:rsid w:val="00793710"/>
    <w:rsid w:val="007D6486"/>
    <w:rsid w:val="007E0BA1"/>
    <w:rsid w:val="007E4DD0"/>
    <w:rsid w:val="00807748"/>
    <w:rsid w:val="008102A8"/>
    <w:rsid w:val="0082585B"/>
    <w:rsid w:val="00852028"/>
    <w:rsid w:val="00863599"/>
    <w:rsid w:val="00870B67"/>
    <w:rsid w:val="008877B0"/>
    <w:rsid w:val="00893980"/>
    <w:rsid w:val="008A07C5"/>
    <w:rsid w:val="008A38DF"/>
    <w:rsid w:val="008B40A8"/>
    <w:rsid w:val="008B4E0B"/>
    <w:rsid w:val="008D4470"/>
    <w:rsid w:val="008E60EE"/>
    <w:rsid w:val="00907575"/>
    <w:rsid w:val="00912B24"/>
    <w:rsid w:val="009223E1"/>
    <w:rsid w:val="00931867"/>
    <w:rsid w:val="00947DD8"/>
    <w:rsid w:val="00951AE3"/>
    <w:rsid w:val="00952E77"/>
    <w:rsid w:val="00960E95"/>
    <w:rsid w:val="00966458"/>
    <w:rsid w:val="0097132D"/>
    <w:rsid w:val="009A3BC2"/>
    <w:rsid w:val="009A5536"/>
    <w:rsid w:val="009A5CA8"/>
    <w:rsid w:val="009C4318"/>
    <w:rsid w:val="009D007F"/>
    <w:rsid w:val="009D3C7F"/>
    <w:rsid w:val="009E4D12"/>
    <w:rsid w:val="009E5D8A"/>
    <w:rsid w:val="009F38BA"/>
    <w:rsid w:val="00A0092F"/>
    <w:rsid w:val="00A0328D"/>
    <w:rsid w:val="00A0392D"/>
    <w:rsid w:val="00A075BB"/>
    <w:rsid w:val="00A07ED5"/>
    <w:rsid w:val="00A220C1"/>
    <w:rsid w:val="00A47D77"/>
    <w:rsid w:val="00A55724"/>
    <w:rsid w:val="00A73F0E"/>
    <w:rsid w:val="00A861A1"/>
    <w:rsid w:val="00A925FB"/>
    <w:rsid w:val="00A93445"/>
    <w:rsid w:val="00A936CD"/>
    <w:rsid w:val="00A94960"/>
    <w:rsid w:val="00A97B6D"/>
    <w:rsid w:val="00AB6FE8"/>
    <w:rsid w:val="00AC06A2"/>
    <w:rsid w:val="00AC09CA"/>
    <w:rsid w:val="00AD6785"/>
    <w:rsid w:val="00AF3DC3"/>
    <w:rsid w:val="00AF5E86"/>
    <w:rsid w:val="00B102EC"/>
    <w:rsid w:val="00B1639B"/>
    <w:rsid w:val="00B17314"/>
    <w:rsid w:val="00B226E1"/>
    <w:rsid w:val="00B33CFF"/>
    <w:rsid w:val="00B435AD"/>
    <w:rsid w:val="00B4492C"/>
    <w:rsid w:val="00B46AED"/>
    <w:rsid w:val="00B5142C"/>
    <w:rsid w:val="00B54CA5"/>
    <w:rsid w:val="00B73757"/>
    <w:rsid w:val="00B8283A"/>
    <w:rsid w:val="00B82944"/>
    <w:rsid w:val="00BA5565"/>
    <w:rsid w:val="00BB3DF2"/>
    <w:rsid w:val="00BC1DB5"/>
    <w:rsid w:val="00BC610B"/>
    <w:rsid w:val="00BD0347"/>
    <w:rsid w:val="00BD3986"/>
    <w:rsid w:val="00BD4974"/>
    <w:rsid w:val="00BD5DFA"/>
    <w:rsid w:val="00BE1648"/>
    <w:rsid w:val="00BF4247"/>
    <w:rsid w:val="00BF4C72"/>
    <w:rsid w:val="00BF55A0"/>
    <w:rsid w:val="00BF788E"/>
    <w:rsid w:val="00C14384"/>
    <w:rsid w:val="00C279CD"/>
    <w:rsid w:val="00C3240B"/>
    <w:rsid w:val="00C47D42"/>
    <w:rsid w:val="00C504EF"/>
    <w:rsid w:val="00C604D8"/>
    <w:rsid w:val="00C77806"/>
    <w:rsid w:val="00C81668"/>
    <w:rsid w:val="00C8679A"/>
    <w:rsid w:val="00CC0F62"/>
    <w:rsid w:val="00CC27D8"/>
    <w:rsid w:val="00CC6070"/>
    <w:rsid w:val="00CD200C"/>
    <w:rsid w:val="00CE21C9"/>
    <w:rsid w:val="00CF00E6"/>
    <w:rsid w:val="00CF585A"/>
    <w:rsid w:val="00CF7217"/>
    <w:rsid w:val="00D143D2"/>
    <w:rsid w:val="00D16CD6"/>
    <w:rsid w:val="00D206B4"/>
    <w:rsid w:val="00D20FD5"/>
    <w:rsid w:val="00D30E0A"/>
    <w:rsid w:val="00D326BF"/>
    <w:rsid w:val="00D33025"/>
    <w:rsid w:val="00D41A96"/>
    <w:rsid w:val="00D4245B"/>
    <w:rsid w:val="00D444B8"/>
    <w:rsid w:val="00D448F9"/>
    <w:rsid w:val="00D52190"/>
    <w:rsid w:val="00D75085"/>
    <w:rsid w:val="00D844B8"/>
    <w:rsid w:val="00DA57E8"/>
    <w:rsid w:val="00DC0F57"/>
    <w:rsid w:val="00DC10F8"/>
    <w:rsid w:val="00DD5771"/>
    <w:rsid w:val="00DE0E14"/>
    <w:rsid w:val="00DE27A0"/>
    <w:rsid w:val="00E02D72"/>
    <w:rsid w:val="00E03460"/>
    <w:rsid w:val="00E13686"/>
    <w:rsid w:val="00E13B12"/>
    <w:rsid w:val="00E15D37"/>
    <w:rsid w:val="00E31523"/>
    <w:rsid w:val="00E33CD3"/>
    <w:rsid w:val="00E403F9"/>
    <w:rsid w:val="00E47933"/>
    <w:rsid w:val="00E569E0"/>
    <w:rsid w:val="00E569FD"/>
    <w:rsid w:val="00E61FD7"/>
    <w:rsid w:val="00E64BF6"/>
    <w:rsid w:val="00E7557B"/>
    <w:rsid w:val="00E75C43"/>
    <w:rsid w:val="00E75E94"/>
    <w:rsid w:val="00E85A7F"/>
    <w:rsid w:val="00EA0098"/>
    <w:rsid w:val="00EA58B4"/>
    <w:rsid w:val="00EA7478"/>
    <w:rsid w:val="00EB258C"/>
    <w:rsid w:val="00ED0B3C"/>
    <w:rsid w:val="00ED1A74"/>
    <w:rsid w:val="00ED6825"/>
    <w:rsid w:val="00EE4315"/>
    <w:rsid w:val="00EF4094"/>
    <w:rsid w:val="00F10D62"/>
    <w:rsid w:val="00F2257C"/>
    <w:rsid w:val="00F40BD8"/>
    <w:rsid w:val="00F554A1"/>
    <w:rsid w:val="00F600C5"/>
    <w:rsid w:val="00F857D7"/>
    <w:rsid w:val="00F87FA7"/>
    <w:rsid w:val="00F90561"/>
    <w:rsid w:val="00F948A9"/>
    <w:rsid w:val="00F96A19"/>
    <w:rsid w:val="00FA2A67"/>
    <w:rsid w:val="00FA7522"/>
    <w:rsid w:val="00FB154A"/>
    <w:rsid w:val="00FB2DAA"/>
    <w:rsid w:val="00FB5B1D"/>
    <w:rsid w:val="00FC1B28"/>
    <w:rsid w:val="00FD18E7"/>
    <w:rsid w:val="00FD5EA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D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2C0CD5"/>
    <w:pPr>
      <w:keepNext/>
      <w:jc w:val="center"/>
      <w:outlineLvl w:val="0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0CD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Title">
    <w:name w:val="Title"/>
    <w:basedOn w:val="Normal"/>
    <w:link w:val="TitleChar"/>
    <w:qFormat/>
    <w:rsid w:val="002C0CD5"/>
    <w:pPr>
      <w:jc w:val="center"/>
    </w:pPr>
    <w:rPr>
      <w:b/>
      <w:sz w:val="24"/>
      <w:u w:val="single"/>
      <w:lang w:val="en-GB" w:eastAsia="en-US"/>
    </w:rPr>
  </w:style>
  <w:style w:type="character" w:customStyle="1" w:styleId="TitleChar">
    <w:name w:val="Title Char"/>
    <w:basedOn w:val="DefaultParagraphFont"/>
    <w:link w:val="Title"/>
    <w:rsid w:val="002C0CD5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BodyText3">
    <w:name w:val="Body Text 3"/>
    <w:basedOn w:val="Normal"/>
    <w:link w:val="BodyText3Char"/>
    <w:rsid w:val="002C0CD5"/>
    <w:rPr>
      <w:sz w:val="24"/>
      <w:u w:val="single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2C0CD5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2C0CD5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2C0CD5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2C0CD5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2C0CD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2C0CD5"/>
  </w:style>
  <w:style w:type="character" w:styleId="CommentReference">
    <w:name w:val="annotation reference"/>
    <w:basedOn w:val="DefaultParagraphFont"/>
    <w:semiHidden/>
    <w:rsid w:val="002C0C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C0CD5"/>
  </w:style>
  <w:style w:type="character" w:customStyle="1" w:styleId="CommentTextChar">
    <w:name w:val="Comment Text Char"/>
    <w:basedOn w:val="DefaultParagraphFont"/>
    <w:link w:val="CommentText"/>
    <w:semiHidden/>
    <w:rsid w:val="002C0CD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D5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3E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EB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AE3"/>
    <w:rPr>
      <w:b/>
      <w:bCs/>
    </w:rPr>
  </w:style>
  <w:style w:type="paragraph" w:styleId="Revision">
    <w:name w:val="Revision"/>
    <w:hidden/>
    <w:uiPriority w:val="99"/>
    <w:semiHidden/>
    <w:rsid w:val="0073100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102A8"/>
    <w:pPr>
      <w:ind w:left="720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119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2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0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5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9FD49122D79478AE590B287CCD506" ma:contentTypeVersion="1" ma:contentTypeDescription="Create a new document." ma:contentTypeScope="" ma:versionID="f197ab032bbaee6cfb51301c3e7a500a">
  <xsd:schema xmlns:xsd="http://www.w3.org/2001/XMLSchema" xmlns:p="http://schemas.microsoft.com/office/2006/metadata/properties" xmlns:ns2="E8E2AD5F-4CF0-4245-B570-FA65401615D1" xmlns:ns3="96495db7-3870-4827-af49-a6fe4996c0ac" targetNamespace="http://schemas.microsoft.com/office/2006/metadata/properties" ma:root="true" ma:fieldsID="fd15b384e3738bfdf4ed5919030b6c67" ns2:_="" ns3:_="">
    <xsd:import namespace="E8E2AD5F-4CF0-4245-B570-FA65401615D1"/>
    <xsd:import namespace="96495db7-3870-4827-af49-a6fe4996c0ac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ATTACHMENT" minOccurs="0"/>
                <xsd:element ref="ns2:CC" minOccurs="0"/>
                <xsd:element ref="ns2:Date_x0020_Received" minOccurs="0"/>
                <xsd:element ref="ns2:Date_x0020_Send" minOccurs="0"/>
                <xsd:element ref="ns2:from" minOccurs="0"/>
                <xsd:element ref="ns2:Subject_x0020_Header" minOccurs="0"/>
                <xsd:element ref="ns2:to" minOccurs="0"/>
                <xsd:element ref="ns3:numb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8E2AD5F-4CF0-4245-B570-FA65401615D1" elementFormDefault="qualified">
    <xsd:import namespace="http://schemas.microsoft.com/office/2006/documentManagement/types"/>
    <xsd:element name="Doc_x0020_Type" ma:index="8" ma:displayName="Doc Type" ma:format="Dropdown" ma:internalName="Doc_x0020_Type">
      <xsd:simpleType>
        <xsd:restriction base="dms:Choice">
          <xsd:enumeration value="Advice"/>
          <xsd:enumeration value="Agreement"/>
          <xsd:enumeration value="Articles"/>
          <xsd:enumeration value="Attachment"/>
          <xsd:enumeration value="Brief"/>
          <xsd:enumeration value="Complaint"/>
          <xsd:enumeration value="Contract"/>
          <xsd:enumeration value="Email"/>
          <xsd:enumeration value="Facsimile"/>
          <xsd:enumeration value="File Note"/>
          <xsd:enumeration value="Guidelines"/>
          <xsd:enumeration value="Invoice"/>
          <xsd:enumeration value="Letter"/>
          <xsd:enumeration value="Legislation bid"/>
          <xsd:enumeration value="Meeting notes"/>
          <xsd:enumeration value="Memo"/>
          <xsd:enumeration value="Minute"/>
          <xsd:enumeration value="Opinion"/>
          <xsd:enumeration value="Plan"/>
          <xsd:enumeration value="QoN"/>
          <xsd:enumeration value="Report"/>
          <xsd:enumeration value="Research"/>
          <xsd:enumeration value="Statement of Reasons"/>
          <xsd:enumeration value="Statutory Instrument"/>
          <xsd:enumeration value="Tender Response"/>
        </xsd:restriction>
      </xsd:simpleType>
    </xsd:element>
    <xsd:element name="ATTACHMENT" ma:index="9" nillable="true" ma:displayName="ATTACHMENT" ma:default="1" ma:internalName="ATTACHMENT">
      <xsd:simpleType>
        <xsd:restriction base="dms:Boolean"/>
      </xsd:simpleType>
    </xsd:element>
    <xsd:element name="CC" ma:index="10" nillable="true" ma:displayName="CC" ma:internalName="CC">
      <xsd:simpleType>
        <xsd:restriction base="dms:Text">
          <xsd:maxLength value="255"/>
        </xsd:restriction>
      </xsd:simpleType>
    </xsd:element>
    <xsd:element name="Date_x0020_Received" ma:index="11" nillable="true" ma:displayName="Date Received" ma:format="DateTime" ma:internalName="Date_x0020_Received">
      <xsd:simpleType>
        <xsd:restriction base="dms:DateTime"/>
      </xsd:simpleType>
    </xsd:element>
    <xsd:element name="Date_x0020_Send" ma:index="12" nillable="true" ma:displayName="Date Sent" ma:format="DateTime" ma:internalName="Date_x0020_Send">
      <xsd:simpleType>
        <xsd:restriction base="dms:DateTime"/>
      </xsd:simpleType>
    </xsd:element>
    <xsd:element name="from" ma:index="13" nillable="true" ma:displayName="from" ma:internalName="from">
      <xsd:simpleType>
        <xsd:restriction base="dms:Text">
          <xsd:maxLength value="255"/>
        </xsd:restriction>
      </xsd:simpleType>
    </xsd:element>
    <xsd:element name="Subject_x0020_Header" ma:index="14" nillable="true" ma:displayName="Subject Header" ma:internalName="Subject_x0020_Header">
      <xsd:simpleType>
        <xsd:restriction base="dms:Text">
          <xsd:maxLength value="255"/>
        </xsd:restriction>
      </xsd:simpleType>
    </xsd:element>
    <xsd:element name="to" ma:index="15" nillable="true" ma:displayName="to" ma:internalName="to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6495db7-3870-4827-af49-a6fe4996c0ac" elementFormDefault="qualified">
    <xsd:import namespace="http://schemas.microsoft.com/office/2006/documentManagement/types"/>
    <xsd:element name="number" ma:index="18" nillable="true" ma:displayName="number" ma:internalName="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o xmlns="E8E2AD5F-4CF0-4245-B570-FA65401615D1" xsi:nil="true"/>
    <from xmlns="E8E2AD5F-4CF0-4245-B570-FA65401615D1" xsi:nil="true"/>
    <CC xmlns="E8E2AD5F-4CF0-4245-B570-FA65401615D1" xsi:nil="true"/>
    <Date_x0020_Received xmlns="E8E2AD5F-4CF0-4245-B570-FA65401615D1" xsi:nil="true"/>
    <Doc_x0020_Type xmlns="E8E2AD5F-4CF0-4245-B570-FA65401615D1">Attachment</Doc_x0020_Type>
    <Date_x0020_Send xmlns="E8E2AD5F-4CF0-4245-B570-FA65401615D1" xsi:nil="true"/>
    <Subject_x0020_Header xmlns="E8E2AD5F-4CF0-4245-B570-FA65401615D1" xsi:nil="true"/>
    <ATTACHMENT xmlns="E8E2AD5F-4CF0-4245-B570-FA65401615D1">true</ATTACHMENT>
    <number xmlns="96495db7-3870-4827-af49-a6fe4996c0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9019-F259-473A-809A-681CC6D2D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2AD5F-4CF0-4245-B570-FA65401615D1"/>
    <ds:schemaRef ds:uri="96495db7-3870-4827-af49-a6fe4996c0a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C1C7434-3CA6-4A96-BBE8-189F62A0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61C44-74BC-4D67-BDC1-2CCEEFB399BB}">
  <ds:schemaRefs>
    <ds:schemaRef ds:uri="http://schemas.microsoft.com/office/2006/metadata/properties"/>
    <ds:schemaRef ds:uri="E8E2AD5F-4CF0-4245-B570-FA65401615D1"/>
    <ds:schemaRef ds:uri="96495db7-3870-4827-af49-a6fe4996c0ac"/>
  </ds:schemaRefs>
</ds:datastoreItem>
</file>

<file path=customXml/itemProps4.xml><?xml version="1.0" encoding="utf-8"?>
<ds:datastoreItem xmlns:ds="http://schemas.openxmlformats.org/officeDocument/2006/customXml" ds:itemID="{D97B8177-F5DC-4EBD-BB9A-8AFFAD2F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/>
  <cp:lastModifiedBy/>
  <cp:revision>1</cp:revision>
  <cp:lastPrinted>2010-12-21T05:58:00Z</cp:lastPrinted>
  <dcterms:created xsi:type="dcterms:W3CDTF">2011-08-02T00:04:00Z</dcterms:created>
  <dcterms:modified xsi:type="dcterms:W3CDTF">2011-08-02T00:04:00Z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-1296788281</vt:i4>
  </property>
  <property fmtid="{D5CDD505-2E9C-101B-9397-08002B2CF9AE}" pid="3" name="_NewReviewCycle">
    <vt:lpwstr/>
  </property>
  <property fmtid="{D5CDD505-2E9C-101B-9397-08002B2CF9AE}" pid="4" name="ContentTypeId">
    <vt:lpwstr>0x010100AE99FD49122D79478AE590B287CCD506</vt:lpwstr>
  </property>
</Properties>
</file>