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794"/>
        <w:gridCol w:w="2438"/>
      </w:tblGrid>
      <w:tr w:rsidR="00090A6F" w:rsidRPr="0000292B">
        <w:tc>
          <w:tcPr>
            <w:tcW w:w="3794" w:type="dxa"/>
          </w:tcPr>
          <w:p w:rsidR="00090A6F" w:rsidRPr="0000292B" w:rsidRDefault="00364B30">
            <w:pPr>
              <w:pStyle w:val="CoverStandard"/>
            </w:pPr>
            <w:r>
              <w:t>AASB</w:t>
            </w:r>
            <w:r w:rsidR="00831497">
              <w:t xml:space="preserve"> Standard</w:t>
            </w:r>
          </w:p>
        </w:tc>
        <w:tc>
          <w:tcPr>
            <w:tcW w:w="2438" w:type="dxa"/>
          </w:tcPr>
          <w:p w:rsidR="00090A6F" w:rsidRPr="0000292B" w:rsidRDefault="00831497">
            <w:pPr>
              <w:pStyle w:val="CoverNumber"/>
            </w:pPr>
            <w:r>
              <w:t>AASB</w:t>
            </w:r>
            <w:r w:rsidR="00090A6F" w:rsidRPr="0000292B">
              <w:t xml:space="preserve"> </w:t>
            </w:r>
            <w:bookmarkStart w:id="0" w:name="DocNo"/>
            <w:r w:rsidR="004F69C3">
              <w:t>2011-6</w:t>
            </w:r>
            <w:bookmarkEnd w:id="0"/>
          </w:p>
          <w:p w:rsidR="00090A6F" w:rsidRPr="0000292B" w:rsidRDefault="006C3DED">
            <w:pPr>
              <w:pStyle w:val="CoverDate"/>
            </w:pPr>
            <w:r>
              <w:t>July 2011</w:t>
            </w:r>
          </w:p>
        </w:tc>
      </w:tr>
    </w:tbl>
    <w:p w:rsidR="00090A6F" w:rsidRPr="0000292B" w:rsidRDefault="00831497" w:rsidP="00F001A5">
      <w:pPr>
        <w:pStyle w:val="CoverTitle"/>
        <w:spacing w:before="720"/>
      </w:pPr>
      <w:r>
        <w:t>Amendments to Australian Accounting Standar</w:t>
      </w:r>
      <w:bookmarkStart w:id="1" w:name="_GoBack"/>
      <w:bookmarkEnd w:id="1"/>
      <w:r>
        <w:t xml:space="preserve">ds </w:t>
      </w:r>
      <w:r w:rsidR="00874A83">
        <w:t>–</w:t>
      </w:r>
      <w:r w:rsidR="00407714">
        <w:t xml:space="preserve"> </w:t>
      </w:r>
      <w:r w:rsidR="00874A83">
        <w:t>Extending Relief from Consolidation, the Equity Method and Proportionate Consolidation</w:t>
      </w:r>
      <w:r w:rsidR="00F36169">
        <w:t xml:space="preserve"> – Reduced Disclosure Requirements</w:t>
      </w:r>
    </w:p>
    <w:p w:rsidR="00737714" w:rsidRDefault="00737714" w:rsidP="00C5022C">
      <w:pPr>
        <w:pStyle w:val="CoverTitle"/>
      </w:pPr>
    </w:p>
    <w:p w:rsidR="00C5022C" w:rsidRPr="00C5022C" w:rsidRDefault="002B7803" w:rsidP="00C5022C">
      <w:pPr>
        <w:pStyle w:val="CoverSubtitle"/>
      </w:pPr>
      <w:r>
        <w:t>[</w:t>
      </w:r>
      <w:bookmarkStart w:id="2" w:name="AmendingNos"/>
      <w:r w:rsidR="00567D2C">
        <w:t>AASB 127, AASB 128 &amp; AASB</w:t>
      </w:r>
      <w:r w:rsidR="00A81DF3">
        <w:t> </w:t>
      </w:r>
      <w:r w:rsidR="00567D2C">
        <w:t>131</w:t>
      </w:r>
      <w:bookmarkEnd w:id="2"/>
      <w:r>
        <w:t>]</w:t>
      </w:r>
    </w:p>
    <w:p w:rsidR="00737714" w:rsidRPr="0000292B" w:rsidRDefault="00737714" w:rsidP="00737714"/>
    <w:p w:rsidR="00090A6F" w:rsidRPr="0000292B" w:rsidRDefault="00FA0303">
      <w:pPr>
        <w:sectPr w:rsidR="00090A6F" w:rsidRPr="0000292B">
          <w:headerReference w:type="even" r:id="rId8"/>
          <w:headerReference w:type="default" r:id="rId9"/>
          <w:footerReference w:type="even" r:id="rId10"/>
          <w:footerReference w:type="default" r:id="rId11"/>
          <w:headerReference w:type="first" r:id="rId12"/>
          <w:footerReference w:type="first" r:id="rId13"/>
          <w:pgSz w:w="11907" w:h="16840"/>
          <w:pgMar w:top="3686" w:right="2835" w:bottom="3686" w:left="2835" w:header="720" w:footer="3255" w:gutter="0"/>
          <w:paperSrc w:first="58" w:other="58"/>
          <w:cols w:space="720"/>
        </w:sectPr>
      </w:pPr>
      <w:r>
        <w:rPr>
          <w:noProof/>
          <w:lang w:eastAsia="en-AU"/>
        </w:rPr>
        <w:drawing>
          <wp:anchor distT="0" distB="0" distL="114300" distR="114300" simplePos="0" relativeHeight="251657728" behindDoc="0" locked="1" layoutInCell="1" allowOverlap="1">
            <wp:simplePos x="0" y="0"/>
            <wp:positionH relativeFrom="page">
              <wp:posOffset>1764030</wp:posOffset>
            </wp:positionH>
            <wp:positionV relativeFrom="page">
              <wp:posOffset>7272655</wp:posOffset>
            </wp:positionV>
            <wp:extent cx="1676400" cy="1333500"/>
            <wp:effectExtent l="0" t="0" r="0" b="0"/>
            <wp:wrapNone/>
            <wp:docPr id="5" name="Picture 5" descr="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333500"/>
                    </a:xfrm>
                    <a:prstGeom prst="rect">
                      <a:avLst/>
                    </a:prstGeom>
                    <a:noFill/>
                    <a:ln>
                      <a:noFill/>
                    </a:ln>
                  </pic:spPr>
                </pic:pic>
              </a:graphicData>
            </a:graphic>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tblPr>
      <w:tblGrid>
        <w:gridCol w:w="3856"/>
        <w:gridCol w:w="1928"/>
      </w:tblGrid>
      <w:tr w:rsidR="00737714" w:rsidRPr="0000292B" w:rsidTr="003D1DD4">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3D1DD4">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7455F0" w:rsidRPr="0000292B" w:rsidRDefault="007455F0" w:rsidP="007455F0">
      <w:pPr>
        <w:framePr w:hSpace="181" w:wrap="notBeside" w:hAnchor="margin" w:yAlign="bottom"/>
      </w:pPr>
      <w:r w:rsidRPr="0000292B">
        <w:t>COPYRIGHT</w:t>
      </w:r>
    </w:p>
    <w:p w:rsidR="007455F0" w:rsidRPr="0000292B" w:rsidRDefault="007455F0" w:rsidP="007455F0">
      <w:pPr>
        <w:framePr w:hSpace="181" w:wrap="notBeside" w:hAnchor="margin" w:yAlign="bottom"/>
      </w:pPr>
    </w:p>
    <w:p w:rsidR="007455F0" w:rsidRDefault="00EC4AFD" w:rsidP="007455F0">
      <w:pPr>
        <w:framePr w:hSpace="181" w:wrap="notBeside" w:hAnchor="margin" w:yAlign="bottom"/>
      </w:pPr>
      <w:r>
        <w:t xml:space="preserve">© </w:t>
      </w:r>
      <w:r w:rsidR="004A417F">
        <w:t>Commonwealth of Australia</w:t>
      </w:r>
      <w:r>
        <w:t xml:space="preserve"> </w:t>
      </w:r>
      <w:bookmarkStart w:id="3" w:name="Year"/>
      <w:r w:rsidR="00395A5F">
        <w:t>2011</w:t>
      </w:r>
      <w:bookmarkEnd w:id="3"/>
    </w:p>
    <w:p w:rsidR="00395A5F" w:rsidRDefault="00395A5F" w:rsidP="00395A5F">
      <w:pPr>
        <w:framePr w:hSpace="181" w:wrap="notBeside" w:hAnchor="margin" w:yAlign="bottom"/>
      </w:pPr>
      <w:bookmarkStart w:id="4" w:name="CopyrightText"/>
    </w:p>
    <w:p w:rsidR="00395A5F" w:rsidRPr="00DE4E67" w:rsidRDefault="00395A5F" w:rsidP="00395A5F">
      <w:pPr>
        <w:pStyle w:val="CoverLeadPara"/>
        <w:framePr w:hSpace="181" w:wrap="notBeside" w:hAnchor="margin" w:yAlign="bottom"/>
      </w:pPr>
      <w:r w:rsidRPr="00DE4E67">
        <w:t xml:space="preserve">This AASB </w:t>
      </w:r>
      <w:bookmarkStart w:id="5" w:name="IASBCopyright"/>
      <w:bookmarkEnd w:id="5"/>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w:t>
      </w:r>
      <w:r w:rsidR="008D5019">
        <w:t> </w:t>
      </w:r>
      <w:r w:rsidRPr="00DE4E67">
        <w:t>8007.</w:t>
      </w:r>
    </w:p>
    <w:p w:rsidR="00395A5F" w:rsidRPr="00DE4E67" w:rsidRDefault="00395A5F" w:rsidP="00395A5F">
      <w:pPr>
        <w:framePr w:hSpace="181" w:wrap="notBeside" w:hAnchor="margin" w:yAlign="bottom"/>
      </w:pPr>
      <w:r w:rsidRPr="00DE4E67">
        <w:t>All existing rights in this material are reserved outside Australia.</w:t>
      </w:r>
    </w:p>
    <w:p w:rsidR="00395A5F" w:rsidRPr="00DE4E67" w:rsidRDefault="00395A5F" w:rsidP="00395A5F">
      <w:pPr>
        <w:framePr w:hSpace="181" w:wrap="notBeside" w:hAnchor="margin" w:yAlign="bottom"/>
      </w:pP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4"/>
    <w:p w:rsidR="00EC4AFD" w:rsidRDefault="00EC4AFD" w:rsidP="00EC4AFD">
      <w:pPr>
        <w:framePr w:hSpace="181" w:wrap="notBeside" w:hAnchor="margin" w:yAlign="bottom"/>
      </w:pPr>
    </w:p>
    <w:p w:rsidR="007455F0" w:rsidRDefault="007455F0" w:rsidP="007455F0">
      <w:pPr>
        <w:framePr w:hSpace="181" w:wrap="notBeside" w:hAnchor="margin" w:yAlign="bottom"/>
      </w:pPr>
      <w:r w:rsidRPr="0000292B">
        <w:t xml:space="preserve">ISSN </w:t>
      </w:r>
      <w:bookmarkStart w:id="6" w:name="ISSN"/>
      <w:r w:rsidR="00567D2C">
        <w:t>1036-4803</w:t>
      </w:r>
      <w:bookmarkEnd w:id="6"/>
    </w:p>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7455F0" w:rsidRPr="0000292B" w:rsidRDefault="007455F0"/>
    <w:p w:rsidR="00090A6F" w:rsidRPr="0000292B" w:rsidRDefault="00090A6F">
      <w:pPr>
        <w:sectPr w:rsidR="00090A6F" w:rsidRPr="0000292B">
          <w:headerReference w:type="default" r:id="rId15"/>
          <w:footerReference w:type="default" r:id="rId16"/>
          <w:pgSz w:w="11907" w:h="16840"/>
          <w:pgMar w:top="3686" w:right="2837" w:bottom="3686" w:left="2837" w:header="706" w:footer="3254" w:gutter="0"/>
          <w:paperSrc w:first="58" w:other="58"/>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CB6151"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CB6151" w:rsidRPr="00BC0D5D">
        <w:rPr>
          <w:iCs/>
        </w:rPr>
        <w:fldChar w:fldCharType="separate"/>
      </w:r>
      <w:r w:rsidR="006C3DED" w:rsidRPr="006C3DED">
        <w:rPr>
          <w:iCs/>
        </w:rPr>
        <w:t>2011-6</w:t>
      </w:r>
      <w:r w:rsidR="00CB6151" w:rsidRPr="00BC0D5D">
        <w:rPr>
          <w:iCs/>
        </w:rPr>
        <w:fldChar w:fldCharType="end"/>
      </w:r>
      <w:r w:rsidRPr="0000292B">
        <w:t xml:space="preserve"> </w:t>
      </w:r>
      <w:r w:rsidR="006D094C" w:rsidRPr="006D094C">
        <w:rPr>
          <w:i/>
        </w:rPr>
        <w:t>Amendments to Australian Accounting Standards –</w:t>
      </w:r>
      <w:r w:rsidR="006154A2">
        <w:rPr>
          <w:i/>
        </w:rPr>
        <w:t xml:space="preserve"> </w:t>
      </w:r>
      <w:r w:rsidR="006D094C" w:rsidRPr="006D094C">
        <w:rPr>
          <w:i/>
        </w:rPr>
        <w:t>Extending Relief from Consolidation, the Equity Method and Proportionate Consolidation</w:t>
      </w:r>
      <w:r w:rsidR="009C2479" w:rsidRPr="009C2479">
        <w:rPr>
          <w:i/>
        </w:rPr>
        <w:t xml:space="preserve"> </w:t>
      </w:r>
      <w:r w:rsidR="00834969">
        <w:rPr>
          <w:i/>
        </w:rPr>
        <w:t>– REDUCED DISCLOSURE REQUIREMENTS</w:t>
      </w:r>
    </w:p>
    <w:p w:rsidR="002B7803" w:rsidRPr="002B7803" w:rsidRDefault="002B7803" w:rsidP="002B7803"/>
    <w:p w:rsidR="00090A6F" w:rsidRPr="0000292B" w:rsidRDefault="00090A6F">
      <w:pPr>
        <w:pStyle w:val="ContentsParaHead"/>
      </w:pPr>
      <w:r w:rsidRPr="0000292B">
        <w:t>Paragraphs</w:t>
      </w:r>
    </w:p>
    <w:p w:rsidR="00090A6F" w:rsidRPr="0000292B" w:rsidRDefault="00090A6F">
      <w:pPr>
        <w:pStyle w:val="ContentsLevel1"/>
      </w:pPr>
      <w:r w:rsidRPr="0000292B">
        <w:t>Objective</w:t>
      </w:r>
      <w:r w:rsidRPr="0000292B">
        <w:tab/>
      </w:r>
      <w:r w:rsidR="00637D74">
        <w:t>1</w:t>
      </w:r>
    </w:p>
    <w:p w:rsidR="00090A6F" w:rsidRDefault="00090A6F">
      <w:pPr>
        <w:pStyle w:val="ContentsLevel1"/>
      </w:pPr>
      <w:r w:rsidRPr="0000292B">
        <w:t>Application</w:t>
      </w:r>
      <w:r w:rsidRPr="0000292B">
        <w:tab/>
      </w:r>
      <w:r w:rsidR="00637D74">
        <w:t xml:space="preserve">2 – </w:t>
      </w:r>
      <w:r w:rsidR="008D5019">
        <w:t>5</w:t>
      </w:r>
    </w:p>
    <w:p w:rsidR="00567D2C" w:rsidRDefault="00567D2C" w:rsidP="00567D2C">
      <w:pPr>
        <w:pStyle w:val="ContentsLevel1"/>
      </w:pPr>
      <w:r>
        <w:t>Amendment</w:t>
      </w:r>
      <w:r w:rsidR="007D6181">
        <w:t>s</w:t>
      </w:r>
      <w:r>
        <w:t xml:space="preserve"> to AASB 127</w:t>
      </w:r>
      <w:r>
        <w:tab/>
      </w:r>
      <w:r w:rsidR="00E773E4">
        <w:t xml:space="preserve">6 – </w:t>
      </w:r>
      <w:r w:rsidR="00E822EB">
        <w:t>7</w:t>
      </w:r>
    </w:p>
    <w:p w:rsidR="00567D2C" w:rsidRDefault="00567D2C" w:rsidP="00567D2C">
      <w:pPr>
        <w:pStyle w:val="ContentsLevel1"/>
      </w:pPr>
      <w:r>
        <w:t>Amendment to AASB 128</w:t>
      </w:r>
      <w:r>
        <w:tab/>
      </w:r>
      <w:r w:rsidR="00E822EB">
        <w:t>8</w:t>
      </w:r>
    </w:p>
    <w:p w:rsidR="00567D2C" w:rsidRDefault="00567D2C" w:rsidP="00567D2C">
      <w:pPr>
        <w:pStyle w:val="ContentsLevel1"/>
      </w:pPr>
      <w:r>
        <w:t>Amendment to AASB 131</w:t>
      </w:r>
      <w:r>
        <w:tab/>
      </w:r>
      <w:r w:rsidR="00E822EB">
        <w:t>9</w:t>
      </w:r>
    </w:p>
    <w:p w:rsidR="00395A5F" w:rsidRDefault="00395A5F" w:rsidP="00567D2C">
      <w:pPr>
        <w:pStyle w:val="ContentsLevel1"/>
      </w:pPr>
    </w:p>
    <w:p w:rsidR="00090A6F" w:rsidRPr="0000292B" w:rsidRDefault="008D5019" w:rsidP="00F001A5">
      <w:pPr>
        <w:pStyle w:val="ContentsLevel1"/>
        <w:spacing w:after="240"/>
      </w:pPr>
      <w:r>
        <w:t>BASIS FOR CONCLUSIONS</w:t>
      </w:r>
      <w:r w:rsidR="00395A5F">
        <w:tab/>
      </w:r>
      <w:r w:rsidR="00395A5F">
        <w:rPr>
          <w:i/>
        </w:rPr>
        <w:t xml:space="preserve">Page </w:t>
      </w:r>
      <w:r w:rsidR="00FC76DE">
        <w:rPr>
          <w:i/>
        </w:rPr>
        <w:t>1</w:t>
      </w:r>
      <w:r w:rsidR="00E822EB">
        <w:rPr>
          <w:i/>
        </w:rPr>
        <w:t>2</w:t>
      </w:r>
      <w:r w:rsidR="00755E40">
        <w:t xml:space="preserve">  </w:t>
      </w:r>
      <w:bookmarkStart w:id="7" w:name="ContentsMarker"/>
      <w:bookmarkEnd w:id="7"/>
    </w:p>
    <w:p w:rsidR="00090A6F" w:rsidRPr="0000292B" w:rsidRDefault="00090A6F">
      <w:pPr>
        <w:pStyle w:val="ContentsBox"/>
      </w:pPr>
      <w:r w:rsidRPr="0000292B">
        <w:t xml:space="preserve">Australian Accounting Standard AASB </w:t>
      </w:r>
      <w:r w:rsidR="00CB6151"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CB6151" w:rsidRPr="00BC0D5D">
        <w:rPr>
          <w:iCs/>
        </w:rPr>
        <w:fldChar w:fldCharType="separate"/>
      </w:r>
      <w:r w:rsidR="006C3DED" w:rsidRPr="006C3DED">
        <w:rPr>
          <w:iCs/>
        </w:rPr>
        <w:t>2011-6</w:t>
      </w:r>
      <w:r w:rsidR="00CB6151" w:rsidRPr="00BC0D5D">
        <w:rPr>
          <w:iCs/>
        </w:rPr>
        <w:fldChar w:fldCharType="end"/>
      </w:r>
      <w:r w:rsidRPr="0000292B">
        <w:t xml:space="preserve"> </w:t>
      </w:r>
      <w:r w:rsidR="009C2479" w:rsidRPr="009C2479">
        <w:rPr>
          <w:i/>
        </w:rPr>
        <w:t xml:space="preserve">Amendments to Australian Accounting Standards </w:t>
      </w:r>
      <w:r w:rsidR="00874A83" w:rsidRPr="00874A83">
        <w:rPr>
          <w:i/>
        </w:rPr>
        <w:t>–</w:t>
      </w:r>
      <w:r w:rsidR="00407714">
        <w:rPr>
          <w:i/>
        </w:rPr>
        <w:t xml:space="preserve"> </w:t>
      </w:r>
      <w:r w:rsidR="00874A83" w:rsidRPr="00874A83">
        <w:rPr>
          <w:i/>
        </w:rPr>
        <w:t>Extending Relief from Consolidation, the Equity Method and Proportionate Consolidation</w:t>
      </w:r>
      <w:r w:rsidR="00D77926">
        <w:rPr>
          <w:i/>
        </w:rPr>
        <w:t xml:space="preserve"> – Reduced Disclosure Requirements</w:t>
      </w:r>
      <w:r w:rsidRPr="0000292B">
        <w:rPr>
          <w:i/>
          <w:iCs/>
        </w:rPr>
        <w:t xml:space="preserve"> </w:t>
      </w:r>
      <w:r w:rsidRPr="0000292B">
        <w:t xml:space="preserve">is set out in paragraphs </w:t>
      </w:r>
      <w:r w:rsidR="004B1C46">
        <w:t>1</w:t>
      </w:r>
      <w:r w:rsidR="00E33D7F">
        <w:t xml:space="preserve"> – </w:t>
      </w:r>
      <w:r w:rsidR="00D77926">
        <w:t>9</w:t>
      </w:r>
      <w:r w:rsidRPr="0000292B">
        <w:t xml:space="preserve">. </w:t>
      </w:r>
      <w:r w:rsidR="006154A2">
        <w:t xml:space="preserve"> </w:t>
      </w:r>
      <w:r w:rsidRPr="0000292B">
        <w:t>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footerReference w:type="default" r:id="rId17"/>
          <w:pgSz w:w="11907" w:h="16840"/>
          <w:pgMar w:top="3686" w:right="2837" w:bottom="3686" w:left="2837" w:header="706" w:footer="3254" w:gutter="0"/>
          <w:paperSrc w:first="58" w:other="58"/>
          <w:cols w:space="720"/>
        </w:sectPr>
      </w:pPr>
    </w:p>
    <w:p w:rsidR="00090A6F" w:rsidRPr="0000292B" w:rsidRDefault="00090A6F">
      <w:pPr>
        <w:pStyle w:val="Heading1"/>
      </w:pPr>
      <w:r w:rsidRPr="0000292B">
        <w:t>Preface</w:t>
      </w:r>
    </w:p>
    <w:p w:rsidR="000F64CC" w:rsidRPr="0000292B" w:rsidRDefault="009C2479">
      <w:pPr>
        <w:pStyle w:val="Heading2"/>
      </w:pPr>
      <w:r>
        <w:t xml:space="preserve">Standards Amended by AASB </w:t>
      </w:r>
      <w:r w:rsidR="00CB6151" w:rsidRPr="00BC0D5D">
        <w:rPr>
          <w:iCs w:val="0"/>
        </w:rPr>
        <w:fldChar w:fldCharType="begin" w:fldLock="1"/>
      </w:r>
      <w:r w:rsidRPr="00BC0D5D">
        <w:rPr>
          <w:iCs w:val="0"/>
        </w:rPr>
        <w:instrText xml:space="preserve"> REF </w:instrText>
      </w:r>
      <w:r>
        <w:rPr>
          <w:iCs w:val="0"/>
        </w:rPr>
        <w:instrText>Doc</w:instrText>
      </w:r>
      <w:r w:rsidRPr="00BC0D5D">
        <w:rPr>
          <w:iCs w:val="0"/>
        </w:rPr>
        <w:instrText xml:space="preserve">No \* charformat </w:instrText>
      </w:r>
      <w:r w:rsidR="00CB6151" w:rsidRPr="00BC0D5D">
        <w:rPr>
          <w:iCs w:val="0"/>
        </w:rPr>
        <w:fldChar w:fldCharType="separate"/>
      </w:r>
      <w:r w:rsidR="006C3DED" w:rsidRPr="006C3DED">
        <w:rPr>
          <w:iCs w:val="0"/>
        </w:rPr>
        <w:t>2011-6</w:t>
      </w:r>
      <w:r w:rsidR="00CB6151" w:rsidRPr="00BC0D5D">
        <w:rPr>
          <w:iCs w:val="0"/>
        </w:rPr>
        <w:fldChar w:fldCharType="end"/>
      </w:r>
    </w:p>
    <w:p w:rsidR="00074133" w:rsidRDefault="009C2479" w:rsidP="00074133">
      <w:pPr>
        <w:pStyle w:val="NoNumPlain1"/>
      </w:pPr>
      <w:r>
        <w:t>Th</w:t>
      </w:r>
      <w:bookmarkStart w:id="8" w:name="PrefaceNos"/>
      <w:bookmarkEnd w:id="8"/>
      <w:r>
        <w:t>is Standard makes amendments to the following Australian Accounting Standards</w:t>
      </w:r>
      <w:r w:rsidR="00074133" w:rsidRPr="0000292B">
        <w:t>:</w:t>
      </w:r>
    </w:p>
    <w:p w:rsidR="00567D2C" w:rsidRDefault="00567D2C" w:rsidP="00567D2C">
      <w:pPr>
        <w:pStyle w:val="NumberedList"/>
      </w:pPr>
      <w:r>
        <w:t xml:space="preserve">AASB 127 </w:t>
      </w:r>
      <w:r w:rsidRPr="00567D2C">
        <w:rPr>
          <w:i/>
        </w:rPr>
        <w:t>Consolidated and Separate Financial Statements</w:t>
      </w:r>
    </w:p>
    <w:p w:rsidR="00567D2C" w:rsidRDefault="00567D2C" w:rsidP="00567D2C">
      <w:pPr>
        <w:pStyle w:val="NumberedList"/>
      </w:pPr>
      <w:r>
        <w:t xml:space="preserve">AASB 128 </w:t>
      </w:r>
      <w:r w:rsidRPr="00567D2C">
        <w:rPr>
          <w:i/>
        </w:rPr>
        <w:t>Investments in Associates</w:t>
      </w:r>
    </w:p>
    <w:p w:rsidR="00567D2C" w:rsidRDefault="00567D2C" w:rsidP="00567D2C">
      <w:pPr>
        <w:pStyle w:val="NumberedList"/>
      </w:pPr>
      <w:r>
        <w:t xml:space="preserve">AASB 131 </w:t>
      </w:r>
      <w:r w:rsidRPr="00567D2C">
        <w:rPr>
          <w:i/>
        </w:rPr>
        <w:t>Interests in Joint Ventures</w:t>
      </w:r>
      <w:r w:rsidR="006F77BF">
        <w:rPr>
          <w:i/>
        </w:rPr>
        <w:t>.</w:t>
      </w:r>
    </w:p>
    <w:p w:rsidR="00B97692" w:rsidRPr="005511AA" w:rsidRDefault="00401ECA" w:rsidP="00BF1909">
      <w:pPr>
        <w:pStyle w:val="NoNumPlain1"/>
      </w:pPr>
      <w:r>
        <w:t xml:space="preserve">These </w:t>
      </w:r>
      <w:r w:rsidR="00460FBB">
        <w:t>a</w:t>
      </w:r>
      <w:r>
        <w:t xml:space="preserve">mendments </w:t>
      </w:r>
      <w:r w:rsidR="00874A83">
        <w:t xml:space="preserve">result from the proposals that were included in Exposure Draft ED 205 </w:t>
      </w:r>
      <w:r w:rsidR="004B1C46" w:rsidRPr="00874A83">
        <w:rPr>
          <w:i/>
        </w:rPr>
        <w:t>Extending Relief from Consolidation, the Equity Method and Proportionate Consolidation</w:t>
      </w:r>
      <w:r w:rsidR="00874A83">
        <w:t>.</w:t>
      </w:r>
    </w:p>
    <w:p w:rsidR="002F703A" w:rsidRDefault="002F703A" w:rsidP="002F703A">
      <w:pPr>
        <w:pStyle w:val="Heading2"/>
      </w:pPr>
      <w:r>
        <w:t>Existing Relief from Consolidation, the Equity Method and Proportionate Consolidation</w:t>
      </w:r>
    </w:p>
    <w:p w:rsidR="00A575E5" w:rsidRDefault="007811C0" w:rsidP="009004BC">
      <w:pPr>
        <w:pStyle w:val="NoNumPlain1"/>
      </w:pPr>
      <w:r>
        <w:t xml:space="preserve">Paragraph 10 of AASB 127 </w:t>
      </w:r>
      <w:r w:rsidR="008D5019">
        <w:t xml:space="preserve">provides </w:t>
      </w:r>
      <w:r>
        <w:t xml:space="preserve">relief from preparing consolidated financial </w:t>
      </w:r>
      <w:r w:rsidR="008D5019">
        <w:t xml:space="preserve">statements </w:t>
      </w:r>
      <w:r>
        <w:t>if</w:t>
      </w:r>
      <w:r w:rsidR="00102339">
        <w:t>,</w:t>
      </w:r>
      <w:r>
        <w:t xml:space="preserve"> and only if</w:t>
      </w:r>
      <w:r w:rsidR="00102339">
        <w:t>,</w:t>
      </w:r>
      <w:r>
        <w:t xml:space="preserve"> the parent entity satisfie</w:t>
      </w:r>
      <w:r w:rsidR="002F703A">
        <w:t>s</w:t>
      </w:r>
      <w:r>
        <w:t xml:space="preserve"> </w:t>
      </w:r>
      <w:r w:rsidR="00A575E5">
        <w:t xml:space="preserve">the following </w:t>
      </w:r>
      <w:r>
        <w:t>criteria</w:t>
      </w:r>
      <w:r w:rsidR="008D5019">
        <w:t>:</w:t>
      </w:r>
    </w:p>
    <w:p w:rsidR="00A575E5" w:rsidRPr="008F6BC7" w:rsidRDefault="002F703A" w:rsidP="002F703A">
      <w:pPr>
        <w:pStyle w:val="PlainHanging0"/>
      </w:pPr>
      <w:r>
        <w:t>(a)</w:t>
      </w:r>
      <w:r>
        <w:tab/>
      </w:r>
      <w:r w:rsidR="00A575E5" w:rsidRPr="008F6BC7">
        <w:t>the parent is itself a wholly-owned subsidiary, or is a partially-owned subsidiary of another entity and its other owners, including those not otherwise entitled to vote, have been informed about, and do not object to, the parent not presenting consolidated financial statements;</w:t>
      </w:r>
    </w:p>
    <w:p w:rsidR="00A575E5" w:rsidRPr="008F6BC7" w:rsidRDefault="002F703A" w:rsidP="002F703A">
      <w:pPr>
        <w:pStyle w:val="PlainHanging0"/>
      </w:pPr>
      <w:r>
        <w:t>(b)</w:t>
      </w:r>
      <w:r>
        <w:tab/>
      </w:r>
      <w:r w:rsidR="00A575E5" w:rsidRPr="008F6BC7">
        <w:t>the parent’s debt or equity instruments are not traded in a public market (a domestic or foreign stock exchange or an over-the-counter market, including local and regional markets);</w:t>
      </w:r>
      <w:r w:rsidR="00A575E5">
        <w:t xml:space="preserve"> </w:t>
      </w:r>
    </w:p>
    <w:p w:rsidR="00A575E5" w:rsidRDefault="002F703A" w:rsidP="002F703A">
      <w:pPr>
        <w:pStyle w:val="PlainHanging0"/>
      </w:pPr>
      <w:r>
        <w:t>(c)</w:t>
      </w:r>
      <w:r>
        <w:tab/>
      </w:r>
      <w:r w:rsidR="00A575E5" w:rsidRPr="008F6BC7">
        <w:t>the parent did not file, nor is it in the process of filing, its financial statements with a securities commission or other regulatory organisation for the purpose of issuing any class of instruments in a public market;</w:t>
      </w:r>
      <w:r w:rsidR="00A575E5">
        <w:t xml:space="preserve"> and</w:t>
      </w:r>
    </w:p>
    <w:p w:rsidR="00B97692" w:rsidRDefault="002F703A" w:rsidP="002F703A">
      <w:pPr>
        <w:pStyle w:val="PlainHanging0"/>
      </w:pPr>
      <w:r>
        <w:t>(d)</w:t>
      </w:r>
      <w:r>
        <w:tab/>
      </w:r>
      <w:r w:rsidR="007811C0">
        <w:t xml:space="preserve">the parent entity’s ultimate </w:t>
      </w:r>
      <w:r w:rsidR="007D6181">
        <w:t xml:space="preserve">parent </w:t>
      </w:r>
      <w:r w:rsidR="007811C0">
        <w:t xml:space="preserve">or an intermediate parent of the parent entity produced consolidated financial statements that </w:t>
      </w:r>
      <w:r w:rsidR="008D5019">
        <w:t xml:space="preserve">are compliant with </w:t>
      </w:r>
      <w:r w:rsidR="007811C0">
        <w:t xml:space="preserve">International Financial Reporting Standards </w:t>
      </w:r>
      <w:r w:rsidR="008D5019">
        <w:t>(IFRS)</w:t>
      </w:r>
      <w:r w:rsidR="007811C0">
        <w:t>.</w:t>
      </w:r>
    </w:p>
    <w:p w:rsidR="00410E95" w:rsidRDefault="00410E95" w:rsidP="009004BC">
      <w:pPr>
        <w:pStyle w:val="NoNumPlain1"/>
      </w:pPr>
      <w:r>
        <w:t xml:space="preserve">A similar </w:t>
      </w:r>
      <w:r w:rsidR="00983996">
        <w:t xml:space="preserve">option </w:t>
      </w:r>
      <w:r w:rsidR="008D5019">
        <w:t xml:space="preserve">is </w:t>
      </w:r>
      <w:r w:rsidR="00983996">
        <w:t xml:space="preserve">available in paragraph 13(c) of AASB 128 for investors </w:t>
      </w:r>
      <w:r w:rsidR="008D5019">
        <w:t xml:space="preserve">to obtain </w:t>
      </w:r>
      <w:r>
        <w:t>relief from applying the equity method of accounting when accounting for</w:t>
      </w:r>
      <w:r w:rsidR="00983996">
        <w:t xml:space="preserve"> investments in associates and in paragraph 2(c) of AASB 131 for venturers </w:t>
      </w:r>
      <w:r w:rsidR="008D5019">
        <w:t xml:space="preserve">to obtain </w:t>
      </w:r>
      <w:r>
        <w:t>relief from the eq</w:t>
      </w:r>
      <w:r w:rsidR="00983996">
        <w:t xml:space="preserve">uity method and proportionate consolidation when accounting for </w:t>
      </w:r>
      <w:r w:rsidR="002F703A">
        <w:t xml:space="preserve">interests </w:t>
      </w:r>
      <w:r w:rsidR="00983996">
        <w:t>in joint ventures.</w:t>
      </w:r>
    </w:p>
    <w:p w:rsidR="007E69D4" w:rsidRDefault="007E69D4" w:rsidP="009004BC">
      <w:pPr>
        <w:pStyle w:val="NoNumPlain1"/>
      </w:pPr>
      <w:r>
        <w:t>AASB 2011-</w:t>
      </w:r>
      <w:r w:rsidR="004F69C3">
        <w:t>5</w:t>
      </w:r>
      <w:r>
        <w:t xml:space="preserve"> </w:t>
      </w:r>
      <w:r w:rsidR="007D6181" w:rsidRPr="009C2479">
        <w:rPr>
          <w:i/>
        </w:rPr>
        <w:t xml:space="preserve">Amendments to Australian Accounting Standards </w:t>
      </w:r>
      <w:r w:rsidR="007D6181" w:rsidRPr="00874A83">
        <w:rPr>
          <w:i/>
        </w:rPr>
        <w:t>–</w:t>
      </w:r>
      <w:r w:rsidR="007D6181">
        <w:rPr>
          <w:i/>
        </w:rPr>
        <w:t xml:space="preserve"> </w:t>
      </w:r>
      <w:r w:rsidR="007D6181" w:rsidRPr="00874A83">
        <w:rPr>
          <w:i/>
        </w:rPr>
        <w:t>Extending Relief from Consolidation, the Equity Method and Proportionate Consolidation</w:t>
      </w:r>
      <w:r w:rsidR="007D6181">
        <w:rPr>
          <w:i/>
        </w:rPr>
        <w:t xml:space="preserve"> </w:t>
      </w:r>
      <w:r>
        <w:t>extended this relief to not-for-profit entities in certain circumstances.</w:t>
      </w:r>
    </w:p>
    <w:p w:rsidR="00983996" w:rsidRDefault="00325051" w:rsidP="009004BC">
      <w:pPr>
        <w:pStyle w:val="NoNumPlain1"/>
      </w:pPr>
      <w:r>
        <w:t>With the introduction of the Australian Accounting Standards – Reduced Disclosure Requirements (RDR), e</w:t>
      </w:r>
      <w:r w:rsidR="007E69D4">
        <w:t xml:space="preserve">ntities applying </w:t>
      </w:r>
      <w:r>
        <w:t>RDR</w:t>
      </w:r>
      <w:r w:rsidR="007E69D4">
        <w:t xml:space="preserve"> are not able to produce </w:t>
      </w:r>
      <w:r w:rsidR="00AF1097">
        <w:t xml:space="preserve">financial </w:t>
      </w:r>
      <w:r w:rsidR="008D5019">
        <w:t xml:space="preserve">statements </w:t>
      </w:r>
      <w:r w:rsidR="00AF1097">
        <w:t>that are</w:t>
      </w:r>
      <w:r w:rsidR="00983996">
        <w:t xml:space="preserve"> IFRS compliant</w:t>
      </w:r>
      <w:r w:rsidR="002F703A">
        <w:t>.</w:t>
      </w:r>
      <w:r w:rsidR="00983996">
        <w:t xml:space="preserve"> </w:t>
      </w:r>
      <w:r w:rsidR="002F703A">
        <w:t xml:space="preserve"> In </w:t>
      </w:r>
      <w:r w:rsidR="007E69D4">
        <w:t>these circumstances</w:t>
      </w:r>
      <w:r w:rsidR="002F703A">
        <w:t xml:space="preserve">, </w:t>
      </w:r>
      <w:r w:rsidR="00983996">
        <w:t xml:space="preserve">relief from consolidation, the equity method and proportionate consolidation </w:t>
      </w:r>
      <w:r w:rsidR="008D5019">
        <w:t xml:space="preserve">is </w:t>
      </w:r>
      <w:r w:rsidR="00983996">
        <w:t>not available</w:t>
      </w:r>
      <w:r w:rsidR="008D5019">
        <w:t xml:space="preserve"> under the existing requirements</w:t>
      </w:r>
      <w:r w:rsidR="00983996">
        <w:t>.</w:t>
      </w:r>
    </w:p>
    <w:p w:rsidR="008D5019" w:rsidRDefault="008D5019" w:rsidP="008D5019">
      <w:pPr>
        <w:pStyle w:val="Heading2"/>
      </w:pPr>
      <w:r>
        <w:t>Main Features of this Standard</w:t>
      </w:r>
    </w:p>
    <w:p w:rsidR="005E426E" w:rsidRDefault="007D6181" w:rsidP="005E426E">
      <w:pPr>
        <w:pStyle w:val="NoNumPlain1"/>
      </w:pPr>
      <w:r>
        <w:t>The a</w:t>
      </w:r>
      <w:r w:rsidR="005E426E">
        <w:t xml:space="preserve">mendments made by </w:t>
      </w:r>
      <w:r>
        <w:t>this Standard (</w:t>
      </w:r>
      <w:r w:rsidR="005E426E">
        <w:t>AASB 2011-</w:t>
      </w:r>
      <w:r w:rsidR="004F69C3">
        <w:t>6</w:t>
      </w:r>
      <w:r>
        <w:t>)</w:t>
      </w:r>
      <w:r w:rsidR="005E426E">
        <w:t xml:space="preserve"> are amendments to AASB 127, AASB 128 and AASB 131 as </w:t>
      </w:r>
      <w:r>
        <w:t xml:space="preserve">already </w:t>
      </w:r>
      <w:r w:rsidR="005E426E">
        <w:t>amended by AASB</w:t>
      </w:r>
      <w:r w:rsidR="00D72918">
        <w:t> </w:t>
      </w:r>
      <w:r w:rsidR="005E426E">
        <w:t>2011</w:t>
      </w:r>
      <w:r>
        <w:noBreakHyphen/>
      </w:r>
      <w:r w:rsidR="004F69C3">
        <w:t>5</w:t>
      </w:r>
      <w:r w:rsidR="005E426E">
        <w:t>.</w:t>
      </w:r>
    </w:p>
    <w:p w:rsidR="008D5019" w:rsidRPr="008D5019" w:rsidRDefault="008D5019" w:rsidP="008D5019">
      <w:pPr>
        <w:pStyle w:val="Heading3"/>
      </w:pPr>
      <w:r>
        <w:t>Extending the Relief</w:t>
      </w:r>
    </w:p>
    <w:p w:rsidR="009004BC" w:rsidRDefault="009004BC" w:rsidP="008D5019">
      <w:pPr>
        <w:pStyle w:val="NoNumPlain1"/>
      </w:pPr>
      <w:r>
        <w:t xml:space="preserve">The AASB considers </w:t>
      </w:r>
      <w:r w:rsidR="00E25548">
        <w:t xml:space="preserve">that the </w:t>
      </w:r>
      <w:r w:rsidRPr="00D351BC">
        <w:t xml:space="preserve">relief </w:t>
      </w:r>
      <w:r>
        <w:t xml:space="preserve">from consolidation, the equity method and proportionate consolidation should </w:t>
      </w:r>
      <w:r w:rsidR="00E25548">
        <w:t xml:space="preserve">also </w:t>
      </w:r>
      <w:r>
        <w:t xml:space="preserve">be available </w:t>
      </w:r>
      <w:r w:rsidR="00E25548">
        <w:t xml:space="preserve">in certain circumstances </w:t>
      </w:r>
      <w:r>
        <w:t>to a parent</w:t>
      </w:r>
      <w:r w:rsidR="00C94A2B">
        <w:t xml:space="preserve"> entity</w:t>
      </w:r>
      <w:r>
        <w:t>, investor or venturer</w:t>
      </w:r>
      <w:r w:rsidR="00B121A5">
        <w:t xml:space="preserve"> where the ultimate </w:t>
      </w:r>
      <w:r w:rsidR="00E25548">
        <w:t xml:space="preserve">or any intermediate </w:t>
      </w:r>
      <w:r w:rsidR="00B121A5">
        <w:t>parent entit</w:t>
      </w:r>
      <w:r w:rsidR="00C94A2B">
        <w:t>y prepares</w:t>
      </w:r>
      <w:r w:rsidR="00B121A5">
        <w:t xml:space="preserve"> consolidated financial statements </w:t>
      </w:r>
      <w:r w:rsidR="00C94A2B">
        <w:t>that are not</w:t>
      </w:r>
      <w:r w:rsidR="00B121A5">
        <w:t xml:space="preserve"> compl</w:t>
      </w:r>
      <w:r w:rsidR="00C94A2B">
        <w:t>iant</w:t>
      </w:r>
      <w:r w:rsidR="00B121A5">
        <w:t xml:space="preserve"> with IFRS</w:t>
      </w:r>
      <w:r w:rsidR="006948D9">
        <w:t xml:space="preserve"> as a result of applying Australian Accounting Standards – Reduced Disclosure Requirements</w:t>
      </w:r>
      <w:r w:rsidR="00B121A5">
        <w:t xml:space="preserve">.  </w:t>
      </w:r>
      <w:r w:rsidR="00E25548">
        <w:t>Therefore, this Standard extends that</w:t>
      </w:r>
      <w:r w:rsidR="00B121A5">
        <w:t xml:space="preserve"> relief provided</w:t>
      </w:r>
      <w:r>
        <w:t xml:space="preserve"> </w:t>
      </w:r>
      <w:r w:rsidR="00E25548">
        <w:t>that</w:t>
      </w:r>
      <w:r w:rsidR="00E25548" w:rsidRPr="00D351BC">
        <w:t xml:space="preserve"> </w:t>
      </w:r>
      <w:r w:rsidR="00B121A5">
        <w:t>the parent entity, investor or venturer</w:t>
      </w:r>
      <w:r>
        <w:t>:</w:t>
      </w:r>
    </w:p>
    <w:p w:rsidR="00B121A5" w:rsidRDefault="009004BC" w:rsidP="002F703A">
      <w:pPr>
        <w:pStyle w:val="PlainHanging0"/>
      </w:pPr>
      <w:r>
        <w:t>(a)</w:t>
      </w:r>
      <w:r>
        <w:tab/>
      </w:r>
      <w:r w:rsidR="00E25548">
        <w:t>is a</w:t>
      </w:r>
      <w:r w:rsidR="007D6181">
        <w:t>n</w:t>
      </w:r>
      <w:r w:rsidR="005E426E">
        <w:t xml:space="preserve"> entity </w:t>
      </w:r>
      <w:r w:rsidR="00B121A5">
        <w:t>complying with Australian Accounting Standards</w:t>
      </w:r>
      <w:r w:rsidR="005E426E">
        <w:t xml:space="preserve"> – Reduced Disclosure Requirements</w:t>
      </w:r>
      <w:r w:rsidR="00B121A5">
        <w:t>;</w:t>
      </w:r>
    </w:p>
    <w:p w:rsidR="009004BC" w:rsidRDefault="00B121A5" w:rsidP="00AE4A0C">
      <w:pPr>
        <w:pStyle w:val="PlainHanging0"/>
      </w:pPr>
      <w:r>
        <w:t>(b)</w:t>
      </w:r>
      <w:r>
        <w:tab/>
      </w:r>
      <w:r w:rsidR="009004BC">
        <w:t>has a</w:t>
      </w:r>
      <w:r w:rsidR="00C94A2B">
        <w:t>n ultimate or intermediate p</w:t>
      </w:r>
      <w:r w:rsidR="009004BC" w:rsidRPr="00D351BC">
        <w:t xml:space="preserve">arent </w:t>
      </w:r>
      <w:r w:rsidR="009004BC">
        <w:t>that</w:t>
      </w:r>
      <w:r>
        <w:t xml:space="preserve"> </w:t>
      </w:r>
      <w:r w:rsidR="009004BC" w:rsidRPr="00D351BC">
        <w:t>prepar</w:t>
      </w:r>
      <w:r w:rsidR="009004BC">
        <w:t>es</w:t>
      </w:r>
      <w:r w:rsidR="009004BC" w:rsidRPr="00D351BC">
        <w:t xml:space="preserve"> consolidated financial statements</w:t>
      </w:r>
      <w:r>
        <w:t xml:space="preserve"> in accordance with Australian Accounting Standards</w:t>
      </w:r>
      <w:r w:rsidR="007D6181">
        <w:t xml:space="preserve"> or Australian Accounting Standards – Reduced Disclosure Requirements</w:t>
      </w:r>
      <w:r w:rsidR="009004BC">
        <w:t xml:space="preserve">; </w:t>
      </w:r>
      <w:r>
        <w:t>and</w:t>
      </w:r>
    </w:p>
    <w:p w:rsidR="009004BC" w:rsidRDefault="009004BC" w:rsidP="002F703A">
      <w:pPr>
        <w:pStyle w:val="PlainHanging0"/>
      </w:pPr>
      <w:r>
        <w:t>(</w:t>
      </w:r>
      <w:r w:rsidR="00B121A5">
        <w:t>c</w:t>
      </w:r>
      <w:r>
        <w:t>)</w:t>
      </w:r>
      <w:r>
        <w:tab/>
        <w:t xml:space="preserve">meets the relevant criteria in paragraphs 10(a) to 10(c) of AASB 127, paragraphs 13(c)(i) to 13(c)(iii) of AASB 128 </w:t>
      </w:r>
      <w:r w:rsidR="00E25548">
        <w:t xml:space="preserve">or </w:t>
      </w:r>
      <w:r>
        <w:t>paragraphs 2(c)(i) to</w:t>
      </w:r>
      <w:r w:rsidR="00B121A5">
        <w:t xml:space="preserve"> 2(c)(iii) of AASB 131.</w:t>
      </w:r>
    </w:p>
    <w:p w:rsidR="00B121A5" w:rsidRDefault="009004BC" w:rsidP="00BF1909">
      <w:pPr>
        <w:pStyle w:val="NoNumPlain1"/>
      </w:pPr>
      <w:r>
        <w:t xml:space="preserve">Accordingly, </w:t>
      </w:r>
      <w:r w:rsidR="00E25548">
        <w:t>t</w:t>
      </w:r>
      <w:r w:rsidR="00102339">
        <w:t xml:space="preserve">his Standard </w:t>
      </w:r>
      <w:r w:rsidR="00E25548">
        <w:t>extends</w:t>
      </w:r>
      <w:r>
        <w:t xml:space="preserve"> the </w:t>
      </w:r>
      <w:r w:rsidRPr="00D351BC">
        <w:t xml:space="preserve">relief </w:t>
      </w:r>
      <w:r>
        <w:t xml:space="preserve">from consolidation, the equity method and proportionate consolidation </w:t>
      </w:r>
      <w:r w:rsidR="00E25548">
        <w:t xml:space="preserve">by removing </w:t>
      </w:r>
      <w:r w:rsidR="00AB3240">
        <w:t xml:space="preserve">the requirement for the consolidated financial statements prepared by the ultimate </w:t>
      </w:r>
      <w:r w:rsidR="002F703A">
        <w:t xml:space="preserve">or any intermediate </w:t>
      </w:r>
      <w:r w:rsidR="00AB3240">
        <w:t>parent entity to be IFRS compliant</w:t>
      </w:r>
      <w:r w:rsidR="00E25548">
        <w:t>, provided that the</w:t>
      </w:r>
      <w:r w:rsidR="00B121A5">
        <w:t xml:space="preserve"> parent entity, investor or venturer and </w:t>
      </w:r>
      <w:r w:rsidR="00F16085">
        <w:t>the ultimate or intermediate parent entit</w:t>
      </w:r>
      <w:r w:rsidR="00F16085" w:rsidRPr="00D72918">
        <w:t xml:space="preserve">y </w:t>
      </w:r>
      <w:r w:rsidR="00B121A5" w:rsidRPr="00D72918">
        <w:t>comply with Australian Accounting Standards</w:t>
      </w:r>
      <w:r w:rsidR="00D72918">
        <w:t xml:space="preserve"> or Australian Accounting Standards – Reduced Disclosure Requirements, as stated above.</w:t>
      </w:r>
    </w:p>
    <w:p w:rsidR="002F1E8E" w:rsidRDefault="002F1E8E" w:rsidP="002F1E8E">
      <w:pPr>
        <w:pStyle w:val="NoNumPlain1"/>
      </w:pPr>
      <w:r>
        <w:t>This approach is based on the view that financial statement users would be able to satisfy their information needs through the consolidated financial statements prepared by the parent higher up in the group.</w:t>
      </w:r>
    </w:p>
    <w:p w:rsidR="008D5019" w:rsidRDefault="008D5019" w:rsidP="008D5019">
      <w:pPr>
        <w:pStyle w:val="Heading3"/>
      </w:pPr>
      <w:r>
        <w:t>Application Date</w:t>
      </w:r>
    </w:p>
    <w:p w:rsidR="008D5019" w:rsidRDefault="008D5019" w:rsidP="008D5019">
      <w:pPr>
        <w:pStyle w:val="NoNumPlain1"/>
      </w:pPr>
      <w:r w:rsidRPr="00027E8B">
        <w:t xml:space="preserve">This Standard applies to annual reporting periods </w:t>
      </w:r>
      <w:r>
        <w:t>beginning</w:t>
      </w:r>
      <w:r w:rsidRPr="00027E8B">
        <w:t xml:space="preserve"> on or after </w:t>
      </w:r>
      <w:r>
        <w:t>1 July 201</w:t>
      </w:r>
      <w:r w:rsidR="00325051">
        <w:t>3</w:t>
      </w:r>
      <w:r>
        <w:t>.</w:t>
      </w:r>
    </w:p>
    <w:p w:rsidR="008D5019" w:rsidRPr="007D6181" w:rsidRDefault="008D5019" w:rsidP="003D471D">
      <w:pPr>
        <w:pStyle w:val="NoNumPlain1"/>
      </w:pPr>
      <w:r>
        <w:t xml:space="preserve">This Standard may be applied to annual reporting periods beginning on or after 1 </w:t>
      </w:r>
      <w:r w:rsidR="00325051">
        <w:t xml:space="preserve">July </w:t>
      </w:r>
      <w:r>
        <w:t>200</w:t>
      </w:r>
      <w:r w:rsidR="00325051">
        <w:t>9</w:t>
      </w:r>
      <w:r>
        <w:t xml:space="preserve"> but before 1 July 201</w:t>
      </w:r>
      <w:r w:rsidR="00325051">
        <w:t>3</w:t>
      </w:r>
      <w:r w:rsidR="009235F2">
        <w:t>,</w:t>
      </w:r>
      <w:r w:rsidR="006948D9">
        <w:t xml:space="preserve"> </w:t>
      </w:r>
      <w:r w:rsidR="009235F2">
        <w:t xml:space="preserve">provided that AASB 1053 </w:t>
      </w:r>
      <w:r w:rsidR="009235F2">
        <w:rPr>
          <w:i/>
        </w:rPr>
        <w:t xml:space="preserve">Application of Tiers of Australian Accounting Standards </w:t>
      </w:r>
      <w:r w:rsidR="009235F2" w:rsidRPr="009235F2">
        <w:t>is also adopted early for the same period</w:t>
      </w:r>
      <w:r w:rsidR="00E92BC0">
        <w:t xml:space="preserve">. </w:t>
      </w:r>
      <w:r w:rsidR="006948D9">
        <w:t xml:space="preserve"> </w:t>
      </w:r>
      <w:r w:rsidR="007D6181">
        <w:t>Th</w:t>
      </w:r>
      <w:r w:rsidR="009235F2">
        <w:t>e date limitation</w:t>
      </w:r>
      <w:r w:rsidR="007D6181">
        <w:t xml:space="preserve"> on early application reflects the limitation on the early application of the reduced disclosure requirements under AASB 1053</w:t>
      </w:r>
      <w:r w:rsidR="007D6181" w:rsidRPr="007D6181">
        <w:t>.</w:t>
      </w:r>
    </w:p>
    <w:p w:rsidR="000D7774" w:rsidRPr="000D7774" w:rsidRDefault="000D7774" w:rsidP="003D471D">
      <w:pPr>
        <w:sectPr w:rsidR="000D7774" w:rsidRPr="000D7774" w:rsidSect="000D7774">
          <w:footerReference w:type="default" r:id="rId18"/>
          <w:pgSz w:w="11907" w:h="16840"/>
          <w:pgMar w:top="3686" w:right="2837" w:bottom="3686" w:left="2837" w:header="706" w:footer="3254" w:gutter="0"/>
          <w:paperSrc w:first="58" w:other="58"/>
          <w:cols w:space="720"/>
        </w:sectPr>
      </w:pPr>
    </w:p>
    <w:p w:rsidR="000D7774" w:rsidRDefault="000D7774" w:rsidP="001662B8">
      <w:pPr>
        <w:pStyle w:val="Heading1"/>
        <w:sectPr w:rsidR="000D7774" w:rsidSect="005854E3">
          <w:headerReference w:type="default" r:id="rId19"/>
          <w:footerReference w:type="default" r:id="rId20"/>
          <w:headerReference w:type="first" r:id="rId21"/>
          <w:footerReference w:type="first" r:id="rId22"/>
          <w:type w:val="continuous"/>
          <w:pgSz w:w="11907" w:h="16840" w:code="9"/>
          <w:pgMar w:top="3686" w:right="2835" w:bottom="3686" w:left="2835" w:header="709" w:footer="3255" w:gutter="0"/>
          <w:paperSrc w:first="58" w:other="58"/>
          <w:cols w:space="720"/>
          <w:docGrid w:linePitch="65"/>
        </w:sectPr>
      </w:pPr>
    </w:p>
    <w:p w:rsidR="001662B8" w:rsidRPr="0000292B" w:rsidRDefault="001662B8" w:rsidP="001662B8">
      <w:pPr>
        <w:pStyle w:val="Heading1"/>
      </w:pPr>
      <w:r w:rsidRPr="0000292B">
        <w:t xml:space="preserve">aCCOUNTING STANDARD AASB </w:t>
      </w:r>
      <w:r w:rsidR="00CB6151"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00CB6151" w:rsidRPr="00BC0D5D">
        <w:rPr>
          <w:iCs/>
        </w:rPr>
        <w:fldChar w:fldCharType="separate"/>
      </w:r>
      <w:r w:rsidR="006C3DED" w:rsidRPr="006C3DED">
        <w:rPr>
          <w:iCs/>
        </w:rPr>
        <w:t>2011-6</w:t>
      </w:r>
      <w:r w:rsidR="00CB6151" w:rsidRPr="00BC0D5D">
        <w:rPr>
          <w:iCs/>
        </w:rPr>
        <w:fldChar w:fldCharType="end"/>
      </w:r>
    </w:p>
    <w:p w:rsidR="001662B8" w:rsidRDefault="001662B8" w:rsidP="001662B8">
      <w:r>
        <w:t>The Australian Accounting Standards Board makes Accounting Standard AASB </w:t>
      </w:r>
      <w:fldSimple w:instr=" REF DocNo  \* charformat " w:fldLock="1">
        <w:r w:rsidR="006C3DED">
          <w:t>2011-6</w:t>
        </w:r>
      </w:fldSimple>
      <w:r>
        <w:t xml:space="preserve"> </w:t>
      </w:r>
      <w:r w:rsidRPr="001662B8">
        <w:rPr>
          <w:i/>
        </w:rPr>
        <w:t>Amendments to Australian Accounting Standards</w:t>
      </w:r>
      <w:r w:rsidR="00874A83">
        <w:rPr>
          <w:i/>
        </w:rPr>
        <w:t xml:space="preserve"> – </w:t>
      </w:r>
      <w:r w:rsidR="006F77BF" w:rsidRPr="00874A83">
        <w:rPr>
          <w:i/>
        </w:rPr>
        <w:t>Extending Relief from Consolidation, the Equity Method and Proportionate Consolidation</w:t>
      </w:r>
      <w:r w:rsidR="00834969">
        <w:rPr>
          <w:i/>
        </w:rPr>
        <w:t xml:space="preserve"> – Reduced Disclosure Requirements</w:t>
      </w:r>
      <w:r w:rsidRPr="001662B8">
        <w:rPr>
          <w:i/>
        </w:rPr>
        <w:t xml:space="preserve"> </w:t>
      </w:r>
      <w:r>
        <w:t xml:space="preserve">under section 334 of the </w:t>
      </w:r>
      <w:r>
        <w:rPr>
          <w:i/>
          <w:iCs/>
        </w:rPr>
        <w:t>Corporations Act 2001</w:t>
      </w:r>
      <w:r>
        <w:t>.</w:t>
      </w:r>
    </w:p>
    <w:p w:rsidR="001662B8" w:rsidRDefault="001662B8" w:rsidP="001662B8"/>
    <w:tbl>
      <w:tblPr>
        <w:tblW w:w="0" w:type="auto"/>
        <w:tblLook w:val="0000"/>
      </w:tblPr>
      <w:tblGrid>
        <w:gridCol w:w="3226"/>
        <w:gridCol w:w="3227"/>
      </w:tblGrid>
      <w:tr w:rsidR="001662B8">
        <w:tc>
          <w:tcPr>
            <w:tcW w:w="3226" w:type="dxa"/>
          </w:tcPr>
          <w:p w:rsidR="001662B8" w:rsidRDefault="001662B8" w:rsidP="007F1D3D"/>
        </w:tc>
        <w:tc>
          <w:tcPr>
            <w:tcW w:w="3227" w:type="dxa"/>
          </w:tcPr>
          <w:p w:rsidR="001662B8" w:rsidRDefault="00812637" w:rsidP="007F1D3D">
            <w:pPr>
              <w:jc w:val="right"/>
            </w:pPr>
            <w:r>
              <w:t>Kevin M</w:t>
            </w:r>
            <w:r w:rsidR="00E25548">
              <w:t>.</w:t>
            </w:r>
            <w:r>
              <w:t xml:space="preserve"> Stevenson</w:t>
            </w:r>
          </w:p>
        </w:tc>
      </w:tr>
      <w:tr w:rsidR="001662B8">
        <w:tc>
          <w:tcPr>
            <w:tcW w:w="3226" w:type="dxa"/>
          </w:tcPr>
          <w:p w:rsidR="001662B8" w:rsidRDefault="001662B8" w:rsidP="007F1D3D">
            <w:r>
              <w:t xml:space="preserve">Dated </w:t>
            </w:r>
            <w:bookmarkStart w:id="9" w:name="DateSigned"/>
            <w:r w:rsidR="00325A29">
              <w:t>20 July 2011</w:t>
            </w:r>
            <w:bookmarkEnd w:id="9"/>
          </w:p>
        </w:tc>
        <w:tc>
          <w:tcPr>
            <w:tcW w:w="3227" w:type="dxa"/>
          </w:tcPr>
          <w:p w:rsidR="001662B8" w:rsidRDefault="001662B8" w:rsidP="007F1D3D">
            <w:pPr>
              <w:jc w:val="right"/>
            </w:pPr>
            <w:r>
              <w:t xml:space="preserve">Chair </w:t>
            </w:r>
            <w:r w:rsidR="00812637">
              <w:t>–</w:t>
            </w:r>
            <w:r>
              <w:t xml:space="preserve"> AASB</w:t>
            </w:r>
          </w:p>
        </w:tc>
      </w:tr>
    </w:tbl>
    <w:p w:rsidR="001662B8" w:rsidRDefault="001662B8" w:rsidP="001662B8"/>
    <w:p w:rsidR="001662B8" w:rsidRDefault="001662B8" w:rsidP="001662B8"/>
    <w:p w:rsidR="00090A6F" w:rsidRPr="0000292B" w:rsidRDefault="00090A6F">
      <w:pPr>
        <w:pStyle w:val="Heading1"/>
      </w:pPr>
      <w:r w:rsidRPr="0000292B">
        <w:t xml:space="preserve">aCCOUNTING STANDARD AASB </w:t>
      </w:r>
      <w:r w:rsidR="00CB6151"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CB6151" w:rsidRPr="00BC0D5D">
        <w:rPr>
          <w:iCs/>
        </w:rPr>
        <w:fldChar w:fldCharType="separate"/>
      </w:r>
      <w:r w:rsidR="006C3DED" w:rsidRPr="006C3DED">
        <w:rPr>
          <w:iCs/>
        </w:rPr>
        <w:t>2011-6</w:t>
      </w:r>
      <w:r w:rsidR="00CB6151" w:rsidRPr="00BC0D5D">
        <w:rPr>
          <w:iCs/>
        </w:rPr>
        <w:fldChar w:fldCharType="end"/>
      </w:r>
    </w:p>
    <w:p w:rsidR="00090A6F" w:rsidRDefault="006D094C">
      <w:pPr>
        <w:pStyle w:val="Heading1Italic"/>
      </w:pPr>
      <w:r>
        <w:t>Amendments to Australian Accounting Standards – Extending Relief from Consolidation, the Equity Method and Proportionate Consolidation</w:t>
      </w:r>
      <w:r w:rsidR="00834969">
        <w:t xml:space="preserve"> – REDUCED DISCLOSURE REQUIREMENTS</w:t>
      </w:r>
    </w:p>
    <w:p w:rsidR="00090A6F" w:rsidRPr="0000292B" w:rsidRDefault="00090A6F">
      <w:pPr>
        <w:pStyle w:val="Heading2"/>
      </w:pPr>
      <w:r w:rsidRPr="0000292B">
        <w:t>Objective</w:t>
      </w:r>
    </w:p>
    <w:p w:rsidR="00090A6F" w:rsidRDefault="001662B8" w:rsidP="008E75A7">
      <w:pPr>
        <w:pStyle w:val="NumPlain1"/>
        <w:numPr>
          <w:ilvl w:val="0"/>
          <w:numId w:val="10"/>
        </w:numPr>
        <w:ind w:left="510" w:hanging="510"/>
      </w:pPr>
      <w:r>
        <w:t xml:space="preserve">The </w:t>
      </w:r>
      <w:r w:rsidR="00460FBB">
        <w:t>o</w:t>
      </w:r>
      <w:r>
        <w:t>bjective of this Standard is to make amendments to:</w:t>
      </w:r>
    </w:p>
    <w:p w:rsidR="00567D2C" w:rsidRDefault="00567D2C" w:rsidP="002F1E8E">
      <w:pPr>
        <w:pStyle w:val="NumPlain2"/>
      </w:pPr>
      <w:r>
        <w:t xml:space="preserve">AASB 127 </w:t>
      </w:r>
      <w:r w:rsidRPr="002F703A">
        <w:rPr>
          <w:i/>
        </w:rPr>
        <w:t>Consolidated and Separate Financial Statements</w:t>
      </w:r>
      <w:r w:rsidR="00EF2AE8" w:rsidRPr="00EF2AE8">
        <w:t>;</w:t>
      </w:r>
    </w:p>
    <w:p w:rsidR="00567D2C" w:rsidRDefault="00567D2C" w:rsidP="002F1E8E">
      <w:pPr>
        <w:pStyle w:val="NumPlain2"/>
      </w:pPr>
      <w:r>
        <w:t xml:space="preserve">AASB 128 </w:t>
      </w:r>
      <w:r w:rsidRPr="002F703A">
        <w:rPr>
          <w:i/>
        </w:rPr>
        <w:t>Investments in Associates</w:t>
      </w:r>
      <w:r w:rsidR="00EF2AE8" w:rsidRPr="00EF2AE8">
        <w:t>;</w:t>
      </w:r>
      <w:r w:rsidR="00EF2AE8">
        <w:t xml:space="preserve"> </w:t>
      </w:r>
      <w:r w:rsidR="00EF2AE8" w:rsidRPr="00EF2AE8">
        <w:t>and</w:t>
      </w:r>
    </w:p>
    <w:p w:rsidR="002F703A" w:rsidRDefault="00567D2C" w:rsidP="002F1E8E">
      <w:pPr>
        <w:pStyle w:val="NumPlain2"/>
      </w:pPr>
      <w:r>
        <w:t xml:space="preserve">AASB 131 </w:t>
      </w:r>
      <w:r w:rsidRPr="002F703A">
        <w:rPr>
          <w:i/>
        </w:rPr>
        <w:t>Interests in Joint Ventures</w:t>
      </w:r>
      <w:r w:rsidR="002F703A">
        <w:t>;</w:t>
      </w:r>
    </w:p>
    <w:p w:rsidR="00567D2C" w:rsidRDefault="002F703A" w:rsidP="002F703A">
      <w:pPr>
        <w:pStyle w:val="NoNumPlain2"/>
      </w:pPr>
      <w:r>
        <w:t>to extend the circumstances in which an entity can obtain relief from consolidation, the equity method or proportionate consolidation</w:t>
      </w:r>
      <w:r w:rsidR="00EF2AE8">
        <w:t>.</w:t>
      </w:r>
    </w:p>
    <w:p w:rsidR="00090A6F" w:rsidRPr="0000292B" w:rsidRDefault="00090A6F">
      <w:pPr>
        <w:pStyle w:val="Heading2"/>
      </w:pPr>
      <w:r w:rsidRPr="0000292B">
        <w:t>Application</w:t>
      </w:r>
    </w:p>
    <w:p w:rsidR="00567D2C" w:rsidRPr="0000292B" w:rsidRDefault="00EC4C86" w:rsidP="00D35279">
      <w:pPr>
        <w:pStyle w:val="NumBold1"/>
      </w:pPr>
      <w:r>
        <w:t>T</w:t>
      </w:r>
      <w:r w:rsidR="00567D2C" w:rsidRPr="0000292B">
        <w:t>his Standard applies to:</w:t>
      </w:r>
    </w:p>
    <w:p w:rsidR="00AF2B6F" w:rsidRPr="00B7218D" w:rsidRDefault="00AF2B6F" w:rsidP="00AF2B6F">
      <w:pPr>
        <w:pStyle w:val="AusBold2"/>
        <w:ind w:left="1020"/>
      </w:pPr>
      <w:r w:rsidRPr="00B7218D">
        <w:t>(a)</w:t>
      </w:r>
      <w:r w:rsidRPr="00B7218D">
        <w:tab/>
        <w:t>each entity that is required to prepare financial reports in accordance with Part 2M.3 of the Corporations Act and that is a reporting entity;</w:t>
      </w:r>
    </w:p>
    <w:p w:rsidR="00AF2B6F" w:rsidRPr="00B7218D" w:rsidRDefault="00AF2B6F" w:rsidP="00AF2B6F">
      <w:pPr>
        <w:pStyle w:val="AusBold2"/>
        <w:ind w:left="1020"/>
      </w:pPr>
      <w:r w:rsidRPr="00B7218D">
        <w:t>(b)</w:t>
      </w:r>
      <w:r w:rsidRPr="00B7218D">
        <w:tab/>
        <w:t>general purpose financial statements of each other reporting entity; and</w:t>
      </w:r>
    </w:p>
    <w:p w:rsidR="00567D2C" w:rsidRPr="0000292B" w:rsidRDefault="00AF2B6F" w:rsidP="00AF2B6F">
      <w:pPr>
        <w:pStyle w:val="AusBold2"/>
        <w:ind w:left="1020"/>
      </w:pPr>
      <w:r w:rsidRPr="00B7218D">
        <w:t>(c)</w:t>
      </w:r>
      <w:r w:rsidRPr="00B7218D">
        <w:tab/>
        <w:t>financial statements that are, or are held out to be, general purpose financial statements.</w:t>
      </w:r>
    </w:p>
    <w:p w:rsidR="00090A6F" w:rsidRPr="00027E8B" w:rsidRDefault="00090A6F" w:rsidP="003D471D">
      <w:pPr>
        <w:pStyle w:val="NumBold1"/>
      </w:pPr>
      <w:r w:rsidRPr="00027E8B">
        <w:t xml:space="preserve">This Standard applies to annual reporting periods </w:t>
      </w:r>
      <w:bookmarkStart w:id="10" w:name="ApplyText"/>
      <w:r w:rsidR="00567D2C">
        <w:t>beginning</w:t>
      </w:r>
      <w:bookmarkEnd w:id="10"/>
      <w:r w:rsidRPr="00027E8B">
        <w:t xml:space="preserve"> on or after </w:t>
      </w:r>
      <w:bookmarkStart w:id="11" w:name="ApplyDate"/>
      <w:r w:rsidR="007E69D4">
        <w:t>1 July 2013</w:t>
      </w:r>
      <w:bookmarkEnd w:id="11"/>
      <w:r w:rsidRPr="00027E8B">
        <w:t>.</w:t>
      </w:r>
    </w:p>
    <w:p w:rsidR="00090A6F" w:rsidRDefault="00EC4C86" w:rsidP="003D471D">
      <w:pPr>
        <w:pStyle w:val="NumBold1"/>
      </w:pPr>
      <w:bookmarkStart w:id="12" w:name="EarlyYesPara"/>
      <w:r>
        <w:t>This Standard may be applied to annual reporting periods beginning on or after 1 </w:t>
      </w:r>
      <w:r w:rsidR="00D72918">
        <w:t>July </w:t>
      </w:r>
      <w:r>
        <w:t>200</w:t>
      </w:r>
      <w:r w:rsidR="00342DFE">
        <w:t>9</w:t>
      </w:r>
      <w:r>
        <w:t xml:space="preserve"> but before 1 July 201</w:t>
      </w:r>
      <w:r w:rsidR="007D6181">
        <w:t>3</w:t>
      </w:r>
      <w:r w:rsidR="009235F2">
        <w:t>,</w:t>
      </w:r>
      <w:r w:rsidR="00095589">
        <w:t xml:space="preserve"> provided that</w:t>
      </w:r>
      <w:r w:rsidR="00E92BC0">
        <w:t xml:space="preserve"> AASB 1053 </w:t>
      </w:r>
      <w:r w:rsidR="00E92BC0">
        <w:rPr>
          <w:i/>
        </w:rPr>
        <w:t xml:space="preserve">Application of Tiers of Australian Accounting Standards </w:t>
      </w:r>
      <w:r w:rsidR="009235F2" w:rsidRPr="009235F2">
        <w:t>is also adopted early for the same period</w:t>
      </w:r>
      <w:r w:rsidR="007D6181">
        <w:t xml:space="preserve">.  </w:t>
      </w:r>
      <w:r>
        <w:t>When an entity applies this Standard to such an annual reporting period, it shall disclose that fact</w:t>
      </w:r>
      <w:r w:rsidR="00AF2B6F">
        <w:t xml:space="preserve">. </w:t>
      </w:r>
    </w:p>
    <w:p w:rsidR="00AF2B6F" w:rsidRPr="0000292B" w:rsidRDefault="00AF2B6F" w:rsidP="003D471D">
      <w:pPr>
        <w:pStyle w:val="NumBold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 other</w:t>
      </w:r>
      <w:r w:rsidR="007C0F73">
        <w:t xml:space="preserve"> typographical material.</w:t>
      </w:r>
    </w:p>
    <w:bookmarkEnd w:id="12"/>
    <w:p w:rsidR="00567D2C" w:rsidRDefault="00567D2C">
      <w:pPr>
        <w:pStyle w:val="Heading2"/>
      </w:pPr>
      <w:r>
        <w:t>Amendments to AASB 127</w:t>
      </w:r>
    </w:p>
    <w:p w:rsidR="00AF4D06" w:rsidRDefault="00753A5F" w:rsidP="002F1E8E">
      <w:pPr>
        <w:pStyle w:val="NumPlain1"/>
      </w:pPr>
      <w:r>
        <w:t>P</w:t>
      </w:r>
      <w:r w:rsidR="00AF4D06">
        <w:t>aragraph Aus10.</w:t>
      </w:r>
      <w:r w:rsidR="00A032B0">
        <w:t>1</w:t>
      </w:r>
      <w:r w:rsidR="00AF4D06">
        <w:t xml:space="preserve"> is </w:t>
      </w:r>
      <w:r>
        <w:t>amended as follows (new text is underlined</w:t>
      </w:r>
      <w:r w:rsidR="002C3739">
        <w:t>)</w:t>
      </w:r>
      <w:r w:rsidR="00AF4D06">
        <w:t>:</w:t>
      </w:r>
    </w:p>
    <w:p w:rsidR="007D6181" w:rsidRDefault="00AF4D06" w:rsidP="00C92128">
      <w:pPr>
        <w:pStyle w:val="AusPlainHanging1"/>
        <w:rPr>
          <w:b/>
        </w:rPr>
      </w:pPr>
      <w:r w:rsidRPr="00D35279">
        <w:rPr>
          <w:b/>
        </w:rPr>
        <w:t>Aus10.</w:t>
      </w:r>
      <w:r w:rsidR="00C92128" w:rsidRPr="00D35279">
        <w:rPr>
          <w:b/>
        </w:rPr>
        <w:t>1</w:t>
      </w:r>
      <w:r w:rsidRPr="00D35279">
        <w:rPr>
          <w:b/>
        </w:rPr>
        <w:tab/>
        <w:t xml:space="preserve">Notwithstanding paragraph 10(d), a parent that meets the criteria in paragraphs 10(a), 10(b) and 10(c) need not present consolidated financial statements if its ultimate or any intermediate parent produces consolidated financial statements available for public use </w:t>
      </w:r>
      <w:r w:rsidR="00A032B0" w:rsidRPr="007D6181">
        <w:rPr>
          <w:b/>
        </w:rPr>
        <w:t>and</w:t>
      </w:r>
      <w:r w:rsidR="007D6181" w:rsidRPr="00E2544F">
        <w:rPr>
          <w:b/>
          <w:u w:val="single"/>
        </w:rPr>
        <w:t>:</w:t>
      </w:r>
    </w:p>
    <w:p w:rsidR="00847FC8" w:rsidRPr="007D6181" w:rsidRDefault="004102CE" w:rsidP="00777B48">
      <w:pPr>
        <w:pStyle w:val="BoldHanging2"/>
        <w:ind w:left="1928"/>
        <w:rPr>
          <w:u w:val="single"/>
        </w:rPr>
      </w:pPr>
      <w:r>
        <w:rPr>
          <w:u w:val="single"/>
        </w:rPr>
        <w:t>(a)</w:t>
      </w:r>
      <w:r w:rsidR="00777B48" w:rsidRPr="00CB6345">
        <w:rPr>
          <w:u w:val="single"/>
        </w:rPr>
        <w:tab/>
      </w:r>
      <w:r w:rsidR="00A032B0" w:rsidRPr="007D6181">
        <w:t xml:space="preserve">the parent </w:t>
      </w:r>
      <w:r w:rsidR="00AF4D06" w:rsidRPr="007D6181">
        <w:t>and its ultimate or intermediate parent</w:t>
      </w:r>
      <w:r w:rsidR="00A87132" w:rsidRPr="007D6181">
        <w:t xml:space="preserve"> are</w:t>
      </w:r>
      <w:r w:rsidR="00847FC8" w:rsidRPr="00D72918">
        <w:rPr>
          <w:u w:val="single"/>
        </w:rPr>
        <w:t>:</w:t>
      </w:r>
    </w:p>
    <w:p w:rsidR="007D6181" w:rsidRDefault="00777B48" w:rsidP="00777B48">
      <w:pPr>
        <w:pStyle w:val="BoldHanging3"/>
        <w:ind w:left="2438"/>
        <w:rPr>
          <w:u w:val="single"/>
        </w:rPr>
      </w:pPr>
      <w:r w:rsidRPr="00CB6345">
        <w:rPr>
          <w:u w:val="single"/>
        </w:rPr>
        <w:t>(i)</w:t>
      </w:r>
      <w:r w:rsidRPr="00CB6345">
        <w:rPr>
          <w:u w:val="single"/>
        </w:rPr>
        <w:tab/>
      </w:r>
      <w:r w:rsidR="007D6181" w:rsidRPr="00E822EB">
        <w:t>both not-for-profit entities complying with Australian Accounting Standards</w:t>
      </w:r>
      <w:r w:rsidR="007D6181" w:rsidRPr="007D6181">
        <w:rPr>
          <w:u w:val="single"/>
        </w:rPr>
        <w:t>; or</w:t>
      </w:r>
    </w:p>
    <w:p w:rsidR="00AF4D06" w:rsidRPr="00777B48" w:rsidRDefault="00777B48" w:rsidP="00777B48">
      <w:pPr>
        <w:pStyle w:val="BoldHanging3"/>
        <w:ind w:left="2438"/>
        <w:rPr>
          <w:u w:val="single"/>
        </w:rPr>
      </w:pPr>
      <w:r>
        <w:rPr>
          <w:u w:val="single"/>
        </w:rPr>
        <w:t>(ii)</w:t>
      </w:r>
      <w:r>
        <w:rPr>
          <w:u w:val="single"/>
        </w:rPr>
        <w:tab/>
      </w:r>
      <w:r w:rsidRPr="005432A1">
        <w:rPr>
          <w:u w:val="single"/>
        </w:rPr>
        <w:t>both</w:t>
      </w:r>
      <w:r w:rsidRPr="00E822EB">
        <w:rPr>
          <w:u w:val="single"/>
        </w:rPr>
        <w:t xml:space="preserve"> entities complying with Australian Accounting Standards – Redu</w:t>
      </w:r>
      <w:r>
        <w:rPr>
          <w:u w:val="single"/>
        </w:rPr>
        <w:t>ced Disclosure Requirements; or</w:t>
      </w:r>
    </w:p>
    <w:p w:rsidR="009A3425" w:rsidRDefault="004102CE" w:rsidP="009A3425">
      <w:pPr>
        <w:pStyle w:val="AusBoldHanging2"/>
        <w:numPr>
          <w:ilvl w:val="0"/>
          <w:numId w:val="0"/>
        </w:numPr>
        <w:ind w:left="1928" w:hanging="510"/>
      </w:pPr>
      <w:r>
        <w:rPr>
          <w:u w:val="single"/>
        </w:rPr>
        <w:t>(b)</w:t>
      </w:r>
      <w:r w:rsidR="00777B48" w:rsidRPr="00777B48">
        <w:rPr>
          <w:u w:val="single"/>
        </w:rPr>
        <w:tab/>
        <w:t>the parent is an entity complying with Australian Accounting</w:t>
      </w:r>
      <w:r w:rsidR="00777B48">
        <w:rPr>
          <w:u w:val="single"/>
        </w:rPr>
        <w:t xml:space="preserve"> Standards – Reduced Disclosure Requirements and its ultimate or intermediate parent i</w:t>
      </w:r>
      <w:r w:rsidR="00BF62B8" w:rsidRPr="00E822EB">
        <w:rPr>
          <w:u w:val="single"/>
        </w:rPr>
        <w:t xml:space="preserve">s a not-for-profit entity complying with </w:t>
      </w:r>
      <w:r w:rsidR="00777B48">
        <w:rPr>
          <w:u w:val="single"/>
        </w:rPr>
        <w:t>Australian Accounting Standards</w:t>
      </w:r>
      <w:r w:rsidR="00BF62B8" w:rsidRPr="00E04048">
        <w:t>.</w:t>
      </w:r>
      <w:r w:rsidR="009A3425">
        <w:t xml:space="preserve"> </w:t>
      </w:r>
    </w:p>
    <w:p w:rsidR="008459EA" w:rsidRDefault="00B23985" w:rsidP="009A3425">
      <w:pPr>
        <w:pStyle w:val="NumPlain1"/>
      </w:pPr>
      <w:r>
        <w:t>In the Australian Application Guidance accompanying AASB 127, t</w:t>
      </w:r>
      <w:r w:rsidR="00277738">
        <w:t xml:space="preserve">he table in paragraph AG1 is </w:t>
      </w:r>
      <w:r w:rsidR="00033701">
        <w:t>deleted</w:t>
      </w:r>
      <w:r w:rsidR="00277738">
        <w:t xml:space="preserve"> and </w:t>
      </w:r>
      <w:r w:rsidR="00033701">
        <w:t xml:space="preserve">the </w:t>
      </w:r>
      <w:r w:rsidR="00277738">
        <w:t>following table</w:t>
      </w:r>
      <w:r w:rsidR="00033701">
        <w:t xml:space="preserve"> inserted</w:t>
      </w:r>
      <w:r w:rsidR="00277738">
        <w:t xml:space="preserve">: </w:t>
      </w: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18"/>
        <w:gridCol w:w="1165"/>
        <w:gridCol w:w="1148"/>
        <w:gridCol w:w="1238"/>
        <w:gridCol w:w="1168"/>
      </w:tblGrid>
      <w:tr w:rsidR="00277738" w:rsidRPr="009F4DDA" w:rsidTr="001A566C">
        <w:trPr>
          <w:trHeight w:val="258"/>
        </w:trPr>
        <w:tc>
          <w:tcPr>
            <w:tcW w:w="5937" w:type="dxa"/>
            <w:gridSpan w:val="5"/>
            <w:shd w:val="clear" w:color="auto" w:fill="auto"/>
          </w:tcPr>
          <w:p w:rsidR="00277738" w:rsidRPr="001A566C" w:rsidRDefault="00277738" w:rsidP="001A566C">
            <w:pPr>
              <w:pStyle w:val="BodyText"/>
              <w:keepNext/>
              <w:spacing w:before="20" w:after="20" w:line="240" w:lineRule="auto"/>
              <w:ind w:left="0"/>
              <w:rPr>
                <w:rFonts w:ascii="Times New Roman" w:hAnsi="Times New Roman"/>
                <w:b/>
                <w:sz w:val="18"/>
                <w:szCs w:val="18"/>
              </w:rPr>
            </w:pPr>
            <w:r w:rsidRPr="001A566C">
              <w:rPr>
                <w:sz w:val="18"/>
                <w:szCs w:val="18"/>
              </w:rPr>
              <w:br w:type="page"/>
            </w:r>
            <w:r w:rsidRPr="001A566C">
              <w:rPr>
                <w:rFonts w:ascii="Times New Roman" w:hAnsi="Times New Roman"/>
                <w:b/>
                <w:sz w:val="18"/>
                <w:szCs w:val="18"/>
              </w:rPr>
              <w:t>Same type of entity – same tier</w:t>
            </w:r>
          </w:p>
        </w:tc>
      </w:tr>
      <w:tr w:rsidR="00277738" w:rsidRPr="00317146" w:rsidTr="001A566C">
        <w:trPr>
          <w:trHeight w:val="258"/>
        </w:trPr>
        <w:tc>
          <w:tcPr>
            <w:tcW w:w="121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sidR="00D72918">
              <w:rPr>
                <w:rFonts w:ascii="Times New Roman" w:hAnsi="Times New Roman"/>
                <w:sz w:val="18"/>
                <w:szCs w:val="18"/>
              </w:rPr>
              <w:t xml:space="preserve"> </w:t>
            </w:r>
            <w:r w:rsidRPr="001A566C">
              <w:rPr>
                <w:rFonts w:ascii="Times New Roman" w:hAnsi="Times New Roman"/>
                <w:sz w:val="18"/>
                <w:szCs w:val="18"/>
              </w:rPr>
              <w:t>Tier 2</w:t>
            </w:r>
          </w:p>
        </w:tc>
      </w:tr>
      <w:tr w:rsidR="00277738" w:rsidRPr="00317146" w:rsidTr="001A566C">
        <w:trPr>
          <w:trHeight w:val="258"/>
        </w:trPr>
        <w:tc>
          <w:tcPr>
            <w:tcW w:w="121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sidR="00D72918">
              <w:rPr>
                <w:rFonts w:ascii="Times New Roman" w:hAnsi="Times New Roman"/>
                <w:sz w:val="18"/>
                <w:szCs w:val="18"/>
              </w:rPr>
              <w:t xml:space="preserve"> </w:t>
            </w:r>
            <w:r w:rsidRPr="001A566C">
              <w:rPr>
                <w:rFonts w:ascii="Times New Roman" w:hAnsi="Times New Roman"/>
                <w:sz w:val="18"/>
                <w:szCs w:val="18"/>
              </w:rPr>
              <w:t>Tier 2</w:t>
            </w:r>
          </w:p>
        </w:tc>
      </w:tr>
      <w:tr w:rsidR="00277738" w:rsidRPr="00317146" w:rsidTr="001A566C">
        <w:trPr>
          <w:trHeight w:val="258"/>
        </w:trPr>
        <w:tc>
          <w:tcPr>
            <w:tcW w:w="1218" w:type="dxa"/>
            <w:tcBorders>
              <w:bottom w:val="single" w:sz="4" w:space="0" w:color="auto"/>
              <w:right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 xml:space="preserve">Exemption </w:t>
            </w:r>
          </w:p>
        </w:tc>
        <w:tc>
          <w:tcPr>
            <w:tcW w:w="1165" w:type="dxa"/>
            <w:tcBorders>
              <w:left w:val="single" w:sz="4" w:space="0" w:color="auto"/>
              <w:bottom w:val="single" w:sz="4" w:space="0" w:color="auto"/>
              <w:right w:val="single" w:sz="4" w:space="0" w:color="auto"/>
            </w:tcBorders>
            <w:shd w:val="clear" w:color="auto" w:fill="auto"/>
          </w:tcPr>
          <w:p w:rsidR="00277738" w:rsidRPr="001A566C" w:rsidRDefault="00277738" w:rsidP="009235F2">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9235F2" w:rsidRPr="006770F9">
              <w:rPr>
                <w:rFonts w:ascii="Times New Roman" w:hAnsi="Times New Roman"/>
                <w:sz w:val="18"/>
                <w:szCs w:val="18"/>
              </w:rPr>
              <w:t>*</w:t>
            </w:r>
          </w:p>
        </w:tc>
        <w:tc>
          <w:tcPr>
            <w:tcW w:w="1148" w:type="dxa"/>
            <w:tcBorders>
              <w:left w:val="single" w:sz="4" w:space="0" w:color="auto"/>
              <w:bottom w:val="single" w:sz="4" w:space="0" w:color="auto"/>
              <w:right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238" w:type="dxa"/>
            <w:tcBorders>
              <w:left w:val="single" w:sz="4" w:space="0" w:color="auto"/>
              <w:bottom w:val="single" w:sz="4" w:space="0" w:color="auto"/>
              <w:right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left w:val="single" w:sz="4" w:space="0" w:color="auto"/>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EF3283" w:rsidRPr="001A566C">
              <w:rPr>
                <w:rFonts w:ascii="Times New Roman" w:hAnsi="Times New Roman"/>
                <w:sz w:val="18"/>
                <w:szCs w:val="18"/>
                <w:vertAlign w:val="superscript"/>
              </w:rPr>
              <w:t xml:space="preserve"> </w:t>
            </w:r>
          </w:p>
        </w:tc>
      </w:tr>
    </w:tbl>
    <w:p w:rsidR="00B23985" w:rsidRPr="00B23985" w:rsidRDefault="00B23985" w:rsidP="00B23985">
      <w:pPr>
        <w:spacing w:line="100" w:lineRule="exact"/>
        <w:rPr>
          <w:sz w:val="10"/>
          <w:szCs w:val="10"/>
        </w:rPr>
      </w:pP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18"/>
        <w:gridCol w:w="1165"/>
        <w:gridCol w:w="1148"/>
        <w:gridCol w:w="1238"/>
        <w:gridCol w:w="1168"/>
      </w:tblGrid>
      <w:tr w:rsidR="00277738" w:rsidRPr="009F4DDA" w:rsidTr="001A566C">
        <w:trPr>
          <w:trHeight w:val="258"/>
        </w:trPr>
        <w:tc>
          <w:tcPr>
            <w:tcW w:w="5937" w:type="dxa"/>
            <w:gridSpan w:val="5"/>
            <w:tcBorders>
              <w:top w:val="single" w:sz="4" w:space="0" w:color="auto"/>
            </w:tcBorders>
            <w:shd w:val="clear" w:color="auto" w:fill="auto"/>
          </w:tcPr>
          <w:p w:rsidR="00277738" w:rsidRPr="001A566C" w:rsidRDefault="00277738" w:rsidP="001A566C">
            <w:pPr>
              <w:pStyle w:val="BodyText"/>
              <w:keepNext/>
              <w:spacing w:before="20" w:after="20" w:line="240" w:lineRule="auto"/>
              <w:ind w:left="0"/>
              <w:rPr>
                <w:rFonts w:ascii="Times New Roman" w:hAnsi="Times New Roman"/>
                <w:b/>
                <w:sz w:val="18"/>
                <w:szCs w:val="18"/>
              </w:rPr>
            </w:pPr>
            <w:r w:rsidRPr="001A566C">
              <w:rPr>
                <w:rFonts w:ascii="Times New Roman" w:hAnsi="Times New Roman"/>
                <w:b/>
                <w:sz w:val="18"/>
                <w:szCs w:val="18"/>
              </w:rPr>
              <w:t>Same type of entity – different tier</w:t>
            </w:r>
          </w:p>
        </w:tc>
      </w:tr>
      <w:tr w:rsidR="00277738" w:rsidRPr="00317146" w:rsidTr="001A566C">
        <w:trPr>
          <w:trHeight w:val="258"/>
        </w:trPr>
        <w:tc>
          <w:tcPr>
            <w:tcW w:w="121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sidR="00D72918">
              <w:rPr>
                <w:rFonts w:ascii="Times New Roman" w:hAnsi="Times New Roman"/>
                <w:sz w:val="18"/>
                <w:szCs w:val="18"/>
              </w:rPr>
              <w:t xml:space="preserve"> </w:t>
            </w:r>
            <w:r w:rsidRPr="001A566C">
              <w:rPr>
                <w:rFonts w:ascii="Times New Roman" w:hAnsi="Times New Roman"/>
                <w:sz w:val="18"/>
                <w:szCs w:val="18"/>
              </w:rPr>
              <w:t>Tier 2</w:t>
            </w:r>
          </w:p>
        </w:tc>
      </w:tr>
      <w:tr w:rsidR="00277738" w:rsidRPr="00317146" w:rsidTr="001A566C">
        <w:trPr>
          <w:trHeight w:val="258"/>
        </w:trPr>
        <w:tc>
          <w:tcPr>
            <w:tcW w:w="121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14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23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16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sidR="00D72918">
              <w:rPr>
                <w:rFonts w:ascii="Times New Roman" w:hAnsi="Times New Roman"/>
                <w:sz w:val="18"/>
                <w:szCs w:val="18"/>
              </w:rPr>
              <w:t xml:space="preserve"> </w:t>
            </w:r>
            <w:r w:rsidRPr="001A566C">
              <w:rPr>
                <w:rFonts w:ascii="Times New Roman" w:hAnsi="Times New Roman"/>
                <w:sz w:val="18"/>
                <w:szCs w:val="18"/>
              </w:rPr>
              <w:t>Tier 1</w:t>
            </w:r>
          </w:p>
        </w:tc>
      </w:tr>
      <w:tr w:rsidR="00277738" w:rsidRPr="00317146" w:rsidTr="001A566C">
        <w:trPr>
          <w:trHeight w:val="258"/>
        </w:trPr>
        <w:tc>
          <w:tcPr>
            <w:tcW w:w="1218" w:type="dxa"/>
            <w:tcBorders>
              <w:bottom w:val="single" w:sz="4" w:space="0" w:color="auto"/>
              <w:right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left w:val="single" w:sz="4" w:space="0" w:color="auto"/>
              <w:bottom w:val="single" w:sz="4" w:space="0" w:color="auto"/>
              <w:right w:val="single" w:sz="4" w:space="0" w:color="auto"/>
            </w:tcBorders>
            <w:shd w:val="clear" w:color="auto" w:fill="auto"/>
          </w:tcPr>
          <w:p w:rsidR="00277738" w:rsidRPr="001A566C" w:rsidRDefault="00277738" w:rsidP="009235F2">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9235F2" w:rsidRPr="006770F9">
              <w:rPr>
                <w:rFonts w:ascii="Times New Roman" w:hAnsi="Times New Roman"/>
                <w:sz w:val="18"/>
                <w:szCs w:val="18"/>
              </w:rPr>
              <w:t>*</w:t>
            </w:r>
          </w:p>
        </w:tc>
        <w:tc>
          <w:tcPr>
            <w:tcW w:w="1148" w:type="dxa"/>
            <w:tcBorders>
              <w:left w:val="single" w:sz="4" w:space="0" w:color="auto"/>
              <w:bottom w:val="single" w:sz="4" w:space="0" w:color="auto"/>
              <w:right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c>
          <w:tcPr>
            <w:tcW w:w="1238" w:type="dxa"/>
            <w:tcBorders>
              <w:left w:val="single" w:sz="4" w:space="0" w:color="auto"/>
              <w:bottom w:val="single" w:sz="4" w:space="0" w:color="auto"/>
              <w:right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left w:val="single" w:sz="4" w:space="0" w:color="auto"/>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r>
    </w:tbl>
    <w:p w:rsidR="00B23985" w:rsidRPr="00B23985" w:rsidRDefault="00B23985" w:rsidP="00B23985">
      <w:pPr>
        <w:spacing w:line="100" w:lineRule="exact"/>
        <w:rPr>
          <w:sz w:val="10"/>
          <w:szCs w:val="10"/>
        </w:rPr>
      </w:pP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18"/>
        <w:gridCol w:w="1165"/>
        <w:gridCol w:w="1148"/>
        <w:gridCol w:w="1238"/>
        <w:gridCol w:w="1168"/>
      </w:tblGrid>
      <w:tr w:rsidR="00277738" w:rsidRPr="009F4DDA" w:rsidTr="001A566C">
        <w:trPr>
          <w:trHeight w:val="258"/>
        </w:trPr>
        <w:tc>
          <w:tcPr>
            <w:tcW w:w="5937" w:type="dxa"/>
            <w:gridSpan w:val="5"/>
            <w:tcBorders>
              <w:top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b/>
                <w:sz w:val="18"/>
                <w:szCs w:val="18"/>
              </w:rPr>
            </w:pPr>
            <w:r w:rsidRPr="001A566C">
              <w:rPr>
                <w:rFonts w:ascii="Times New Roman" w:hAnsi="Times New Roman"/>
                <w:b/>
                <w:sz w:val="18"/>
                <w:szCs w:val="18"/>
              </w:rPr>
              <w:t>Different type of entity – same tier</w:t>
            </w:r>
          </w:p>
        </w:tc>
      </w:tr>
      <w:tr w:rsidR="00277738" w:rsidRPr="00317146" w:rsidTr="001A566C">
        <w:trPr>
          <w:trHeight w:val="258"/>
        </w:trPr>
        <w:tc>
          <w:tcPr>
            <w:tcW w:w="121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sidR="00D72918">
              <w:rPr>
                <w:rFonts w:ascii="Times New Roman" w:hAnsi="Times New Roman"/>
                <w:sz w:val="18"/>
                <w:szCs w:val="18"/>
              </w:rPr>
              <w:t xml:space="preserve"> </w:t>
            </w:r>
            <w:r w:rsidRPr="001A566C">
              <w:rPr>
                <w:rFonts w:ascii="Times New Roman" w:hAnsi="Times New Roman"/>
                <w:sz w:val="18"/>
                <w:szCs w:val="18"/>
              </w:rPr>
              <w:t>Tier 2</w:t>
            </w:r>
          </w:p>
        </w:tc>
      </w:tr>
      <w:tr w:rsidR="00277738" w:rsidRPr="00317146" w:rsidTr="001A566C">
        <w:trPr>
          <w:trHeight w:val="258"/>
        </w:trPr>
        <w:tc>
          <w:tcPr>
            <w:tcW w:w="121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4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23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6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w:t>
            </w:r>
            <w:r w:rsidR="00D72918">
              <w:rPr>
                <w:rFonts w:ascii="Times New Roman" w:hAnsi="Times New Roman"/>
                <w:sz w:val="18"/>
                <w:szCs w:val="18"/>
              </w:rPr>
              <w:t xml:space="preserve"> </w:t>
            </w:r>
            <w:r w:rsidRPr="001A566C">
              <w:rPr>
                <w:rFonts w:ascii="Times New Roman" w:hAnsi="Times New Roman"/>
                <w:sz w:val="18"/>
                <w:szCs w:val="18"/>
              </w:rPr>
              <w:t>Tier 2</w:t>
            </w:r>
          </w:p>
        </w:tc>
      </w:tr>
      <w:tr w:rsidR="00277738" w:rsidRPr="00317146" w:rsidTr="001A566C">
        <w:trPr>
          <w:trHeight w:val="258"/>
        </w:trPr>
        <w:tc>
          <w:tcPr>
            <w:tcW w:w="121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bottom w:val="single" w:sz="4" w:space="0" w:color="auto"/>
            </w:tcBorders>
            <w:shd w:val="clear" w:color="auto" w:fill="auto"/>
          </w:tcPr>
          <w:p w:rsidR="00277738" w:rsidRPr="001A566C" w:rsidRDefault="00277738" w:rsidP="009235F2">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9235F2" w:rsidRPr="006770F9">
              <w:rPr>
                <w:rFonts w:ascii="Times New Roman" w:hAnsi="Times New Roman"/>
                <w:sz w:val="18"/>
                <w:szCs w:val="18"/>
              </w:rPr>
              <w:t>*</w:t>
            </w:r>
          </w:p>
        </w:tc>
        <w:tc>
          <w:tcPr>
            <w:tcW w:w="114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DA3E58" w:rsidRPr="001A566C">
              <w:rPr>
                <w:rFonts w:ascii="Times New Roman" w:hAnsi="Times New Roman"/>
                <w:sz w:val="18"/>
                <w:szCs w:val="18"/>
                <w:vertAlign w:val="superscript"/>
              </w:rPr>
              <w:t xml:space="preserve"> </w:t>
            </w:r>
          </w:p>
        </w:tc>
        <w:tc>
          <w:tcPr>
            <w:tcW w:w="1238" w:type="dxa"/>
            <w:tcBorders>
              <w:bottom w:val="single" w:sz="4" w:space="0" w:color="auto"/>
            </w:tcBorders>
            <w:shd w:val="clear" w:color="auto" w:fill="auto"/>
          </w:tcPr>
          <w:p w:rsidR="00277738" w:rsidRPr="001A566C" w:rsidRDefault="00277738" w:rsidP="006770F9">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r w:rsidR="006770F9" w:rsidRPr="006770F9">
              <w:rPr>
                <w:rFonts w:ascii="Times New Roman" w:hAnsi="Times New Roman"/>
                <w:sz w:val="18"/>
                <w:szCs w:val="18"/>
              </w:rPr>
              <w:t>^</w:t>
            </w:r>
          </w:p>
        </w:tc>
        <w:tc>
          <w:tcPr>
            <w:tcW w:w="116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EF3283" w:rsidRPr="001A566C">
              <w:rPr>
                <w:rFonts w:ascii="Times New Roman" w:hAnsi="Times New Roman"/>
                <w:sz w:val="18"/>
                <w:szCs w:val="18"/>
                <w:vertAlign w:val="superscript"/>
              </w:rPr>
              <w:t xml:space="preserve"> </w:t>
            </w:r>
          </w:p>
        </w:tc>
      </w:tr>
    </w:tbl>
    <w:p w:rsidR="00B23985" w:rsidRPr="00B23985" w:rsidRDefault="00B23985" w:rsidP="00B23985">
      <w:pPr>
        <w:spacing w:line="100" w:lineRule="exact"/>
        <w:rPr>
          <w:sz w:val="10"/>
          <w:szCs w:val="10"/>
        </w:rPr>
      </w:pPr>
    </w:p>
    <w:tbl>
      <w:tblPr>
        <w:tblW w:w="59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18"/>
        <w:gridCol w:w="1165"/>
        <w:gridCol w:w="1148"/>
        <w:gridCol w:w="1238"/>
        <w:gridCol w:w="1168"/>
      </w:tblGrid>
      <w:tr w:rsidR="00277738" w:rsidRPr="009F4DDA" w:rsidTr="001A566C">
        <w:trPr>
          <w:trHeight w:val="258"/>
        </w:trPr>
        <w:tc>
          <w:tcPr>
            <w:tcW w:w="5937" w:type="dxa"/>
            <w:gridSpan w:val="5"/>
            <w:tcBorders>
              <w:top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b/>
                <w:sz w:val="18"/>
                <w:szCs w:val="18"/>
              </w:rPr>
            </w:pPr>
            <w:r w:rsidRPr="001A566C">
              <w:rPr>
                <w:rFonts w:ascii="Times New Roman" w:hAnsi="Times New Roman"/>
                <w:b/>
                <w:sz w:val="18"/>
                <w:szCs w:val="18"/>
              </w:rPr>
              <w:t>Different type of entity – different tier</w:t>
            </w:r>
          </w:p>
        </w:tc>
      </w:tr>
      <w:tr w:rsidR="00277738" w:rsidRPr="00317146" w:rsidTr="001A566C">
        <w:trPr>
          <w:trHeight w:val="258"/>
        </w:trPr>
        <w:tc>
          <w:tcPr>
            <w:tcW w:w="121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Ultimate or Intermediate Parent</w:t>
            </w:r>
          </w:p>
        </w:tc>
        <w:tc>
          <w:tcPr>
            <w:tcW w:w="1165"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1</w:t>
            </w:r>
          </w:p>
        </w:tc>
        <w:tc>
          <w:tcPr>
            <w:tcW w:w="114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23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168" w:type="dxa"/>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w:t>
            </w:r>
            <w:r w:rsidR="00D72918">
              <w:rPr>
                <w:rFonts w:ascii="Times New Roman" w:hAnsi="Times New Roman"/>
                <w:sz w:val="18"/>
                <w:szCs w:val="18"/>
              </w:rPr>
              <w:t xml:space="preserve"> </w:t>
            </w:r>
            <w:r w:rsidRPr="001A566C">
              <w:rPr>
                <w:rFonts w:ascii="Times New Roman" w:hAnsi="Times New Roman"/>
                <w:sz w:val="18"/>
                <w:szCs w:val="18"/>
              </w:rPr>
              <w:t>Tier 2</w:t>
            </w:r>
          </w:p>
        </w:tc>
      </w:tr>
      <w:tr w:rsidR="00277738" w:rsidRPr="00317146" w:rsidTr="001A566C">
        <w:trPr>
          <w:trHeight w:val="258"/>
        </w:trPr>
        <w:tc>
          <w:tcPr>
            <w:tcW w:w="121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Parent</w:t>
            </w:r>
          </w:p>
        </w:tc>
        <w:tc>
          <w:tcPr>
            <w:tcW w:w="1165"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2</w:t>
            </w:r>
          </w:p>
        </w:tc>
        <w:tc>
          <w:tcPr>
            <w:tcW w:w="114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NFP – Tier 1</w:t>
            </w:r>
          </w:p>
        </w:tc>
        <w:tc>
          <w:tcPr>
            <w:tcW w:w="123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 Tier 2</w:t>
            </w:r>
          </w:p>
        </w:tc>
        <w:tc>
          <w:tcPr>
            <w:tcW w:w="116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FP –</w:t>
            </w:r>
            <w:r w:rsidR="00D72918">
              <w:rPr>
                <w:rFonts w:ascii="Times New Roman" w:hAnsi="Times New Roman"/>
                <w:sz w:val="18"/>
                <w:szCs w:val="18"/>
              </w:rPr>
              <w:t xml:space="preserve"> </w:t>
            </w:r>
            <w:r w:rsidRPr="001A566C">
              <w:rPr>
                <w:rFonts w:ascii="Times New Roman" w:hAnsi="Times New Roman"/>
                <w:sz w:val="18"/>
                <w:szCs w:val="18"/>
              </w:rPr>
              <w:t>Tier 1</w:t>
            </w:r>
          </w:p>
        </w:tc>
      </w:tr>
      <w:tr w:rsidR="00277738" w:rsidRPr="00317146" w:rsidTr="001A566C">
        <w:trPr>
          <w:trHeight w:val="258"/>
        </w:trPr>
        <w:tc>
          <w:tcPr>
            <w:tcW w:w="121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Exemption</w:t>
            </w:r>
          </w:p>
        </w:tc>
        <w:tc>
          <w:tcPr>
            <w:tcW w:w="1165" w:type="dxa"/>
            <w:tcBorders>
              <w:bottom w:val="single" w:sz="4" w:space="0" w:color="auto"/>
            </w:tcBorders>
            <w:shd w:val="clear" w:color="auto" w:fill="auto"/>
          </w:tcPr>
          <w:p w:rsidR="00277738" w:rsidRPr="001A566C" w:rsidRDefault="00277738" w:rsidP="009235F2">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r w:rsidR="009235F2" w:rsidRPr="006770F9">
              <w:rPr>
                <w:rFonts w:ascii="Times New Roman" w:hAnsi="Times New Roman"/>
                <w:sz w:val="18"/>
                <w:szCs w:val="18"/>
              </w:rPr>
              <w:t>*</w:t>
            </w:r>
          </w:p>
        </w:tc>
        <w:tc>
          <w:tcPr>
            <w:tcW w:w="114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c>
          <w:tcPr>
            <w:tcW w:w="1238" w:type="dxa"/>
            <w:tcBorders>
              <w:bottom w:val="single" w:sz="4" w:space="0" w:color="auto"/>
            </w:tcBorders>
            <w:shd w:val="clear" w:color="auto" w:fill="auto"/>
          </w:tcPr>
          <w:p w:rsidR="00277738" w:rsidRPr="001A566C" w:rsidRDefault="00277738" w:rsidP="001A566C">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Available</w:t>
            </w:r>
          </w:p>
        </w:tc>
        <w:tc>
          <w:tcPr>
            <w:tcW w:w="1168" w:type="dxa"/>
            <w:tcBorders>
              <w:bottom w:val="single" w:sz="4" w:space="0" w:color="auto"/>
            </w:tcBorders>
            <w:shd w:val="clear" w:color="auto" w:fill="auto"/>
          </w:tcPr>
          <w:p w:rsidR="00277738" w:rsidRPr="001A566C" w:rsidRDefault="00277738" w:rsidP="004236EB">
            <w:pPr>
              <w:pStyle w:val="BodyText"/>
              <w:spacing w:before="20" w:after="20" w:line="240" w:lineRule="auto"/>
              <w:ind w:left="0"/>
              <w:rPr>
                <w:rFonts w:ascii="Times New Roman" w:hAnsi="Times New Roman"/>
                <w:sz w:val="18"/>
                <w:szCs w:val="18"/>
              </w:rPr>
            </w:pPr>
            <w:r w:rsidRPr="001A566C">
              <w:rPr>
                <w:rFonts w:ascii="Times New Roman" w:hAnsi="Times New Roman"/>
                <w:sz w:val="18"/>
                <w:szCs w:val="18"/>
              </w:rPr>
              <w:t>Not available</w:t>
            </w:r>
          </w:p>
        </w:tc>
      </w:tr>
    </w:tbl>
    <w:p w:rsidR="00277738" w:rsidRPr="00596045" w:rsidRDefault="00277738" w:rsidP="00B27DC0">
      <w:pPr>
        <w:pStyle w:val="NoNumPlain1"/>
        <w:spacing w:before="120" w:after="120" w:line="240" w:lineRule="auto"/>
        <w:ind w:left="1435" w:hanging="811"/>
        <w:rPr>
          <w:sz w:val="18"/>
          <w:szCs w:val="18"/>
        </w:rPr>
      </w:pPr>
      <w:r w:rsidRPr="00596045">
        <w:rPr>
          <w:sz w:val="18"/>
          <w:szCs w:val="18"/>
        </w:rPr>
        <w:t>FP</w:t>
      </w:r>
      <w:r>
        <w:rPr>
          <w:sz w:val="18"/>
          <w:szCs w:val="18"/>
        </w:rPr>
        <w:t xml:space="preserve"> = </w:t>
      </w:r>
      <w:r w:rsidRPr="00596045">
        <w:rPr>
          <w:sz w:val="18"/>
          <w:szCs w:val="18"/>
        </w:rPr>
        <w:t>For-profit entity</w:t>
      </w:r>
    </w:p>
    <w:p w:rsidR="009235F2" w:rsidRDefault="00277738" w:rsidP="00277738">
      <w:pPr>
        <w:pStyle w:val="NoNumPlain1"/>
        <w:spacing w:after="120" w:line="240" w:lineRule="auto"/>
        <w:ind w:left="1435" w:hanging="811"/>
        <w:rPr>
          <w:sz w:val="18"/>
          <w:szCs w:val="18"/>
        </w:rPr>
      </w:pPr>
      <w:r w:rsidRPr="00596045">
        <w:rPr>
          <w:sz w:val="18"/>
          <w:szCs w:val="18"/>
        </w:rPr>
        <w:t>NFP</w:t>
      </w:r>
      <w:r>
        <w:rPr>
          <w:sz w:val="18"/>
          <w:szCs w:val="18"/>
        </w:rPr>
        <w:t xml:space="preserve"> = </w:t>
      </w:r>
      <w:r w:rsidRPr="00596045">
        <w:rPr>
          <w:sz w:val="18"/>
          <w:szCs w:val="18"/>
        </w:rPr>
        <w:t>Not-for-profit entit</w:t>
      </w:r>
      <w:r w:rsidR="009235F2">
        <w:rPr>
          <w:sz w:val="18"/>
          <w:szCs w:val="18"/>
        </w:rPr>
        <w:t>y</w:t>
      </w:r>
    </w:p>
    <w:p w:rsidR="00F622D3" w:rsidRDefault="009235F2" w:rsidP="003D471D">
      <w:pPr>
        <w:pStyle w:val="NoNumPlain1"/>
        <w:spacing w:after="120" w:line="240" w:lineRule="auto"/>
        <w:ind w:left="908" w:hanging="284"/>
        <w:rPr>
          <w:sz w:val="18"/>
          <w:szCs w:val="18"/>
        </w:rPr>
      </w:pPr>
      <w:r>
        <w:rPr>
          <w:sz w:val="18"/>
          <w:szCs w:val="18"/>
        </w:rPr>
        <w:t>*</w:t>
      </w:r>
      <w:r>
        <w:rPr>
          <w:sz w:val="18"/>
          <w:szCs w:val="18"/>
        </w:rPr>
        <w:tab/>
        <w:t xml:space="preserve">The exemption would not be available </w:t>
      </w:r>
      <w:r w:rsidR="0072501F">
        <w:rPr>
          <w:sz w:val="18"/>
          <w:szCs w:val="18"/>
        </w:rPr>
        <w:t>by reference to</w:t>
      </w:r>
      <w:r>
        <w:rPr>
          <w:sz w:val="18"/>
          <w:szCs w:val="18"/>
        </w:rPr>
        <w:t xml:space="preserve"> the intermediate parent </w:t>
      </w:r>
      <w:r w:rsidR="0072501F">
        <w:rPr>
          <w:sz w:val="18"/>
          <w:szCs w:val="18"/>
        </w:rPr>
        <w:t xml:space="preserve">when it </w:t>
      </w:r>
      <w:r>
        <w:rPr>
          <w:sz w:val="18"/>
          <w:szCs w:val="18"/>
        </w:rPr>
        <w:t xml:space="preserve">is a for-profit </w:t>
      </w:r>
      <w:r w:rsidR="003E2CA6">
        <w:rPr>
          <w:sz w:val="18"/>
          <w:szCs w:val="18"/>
        </w:rPr>
        <w:t>public sector entity</w:t>
      </w:r>
      <w:r>
        <w:rPr>
          <w:sz w:val="18"/>
          <w:szCs w:val="18"/>
        </w:rPr>
        <w:t xml:space="preserve"> unable to claim compliance with IFRSs – see paragraph Aus16.2 of AASB 101 </w:t>
      </w:r>
      <w:r>
        <w:rPr>
          <w:i/>
          <w:sz w:val="18"/>
          <w:szCs w:val="18"/>
        </w:rPr>
        <w:t>Prese</w:t>
      </w:r>
      <w:r w:rsidR="009F414B">
        <w:rPr>
          <w:i/>
          <w:sz w:val="18"/>
          <w:szCs w:val="18"/>
        </w:rPr>
        <w:t>ntation of Financial Statements</w:t>
      </w:r>
      <w:r w:rsidR="009F414B">
        <w:rPr>
          <w:sz w:val="18"/>
          <w:szCs w:val="18"/>
        </w:rPr>
        <w:t>.</w:t>
      </w:r>
    </w:p>
    <w:p w:rsidR="00277738" w:rsidRDefault="006770F9" w:rsidP="003D471D">
      <w:pPr>
        <w:pStyle w:val="NoNumPlain1"/>
        <w:spacing w:after="120" w:line="240" w:lineRule="auto"/>
        <w:ind w:left="908" w:hanging="284"/>
        <w:rPr>
          <w:sz w:val="18"/>
          <w:szCs w:val="18"/>
        </w:rPr>
      </w:pPr>
      <w:r w:rsidRPr="006770F9">
        <w:rPr>
          <w:sz w:val="18"/>
          <w:szCs w:val="18"/>
        </w:rPr>
        <w:t>^</w:t>
      </w:r>
      <w:r w:rsidR="00277738" w:rsidRPr="00596045">
        <w:rPr>
          <w:sz w:val="18"/>
          <w:szCs w:val="18"/>
        </w:rPr>
        <w:tab/>
        <w:t>Whe</w:t>
      </w:r>
      <w:r w:rsidR="00521E87">
        <w:rPr>
          <w:sz w:val="18"/>
          <w:szCs w:val="18"/>
        </w:rPr>
        <w:t>n</w:t>
      </w:r>
      <w:r w:rsidR="00277738" w:rsidRPr="00596045">
        <w:rPr>
          <w:sz w:val="18"/>
          <w:szCs w:val="18"/>
        </w:rPr>
        <w:t xml:space="preserve"> the</w:t>
      </w:r>
      <w:r w:rsidR="004A4C5C">
        <w:rPr>
          <w:sz w:val="18"/>
          <w:szCs w:val="18"/>
        </w:rPr>
        <w:t xml:space="preserve"> parent </w:t>
      </w:r>
      <w:r w:rsidR="00277738" w:rsidRPr="00596045">
        <w:rPr>
          <w:sz w:val="18"/>
          <w:szCs w:val="18"/>
        </w:rPr>
        <w:t xml:space="preserve">entity’s NFP </w:t>
      </w:r>
      <w:r w:rsidR="004A4C5C">
        <w:rPr>
          <w:sz w:val="18"/>
          <w:szCs w:val="18"/>
        </w:rPr>
        <w:t xml:space="preserve">ultimate or intermediate </w:t>
      </w:r>
      <w:r w:rsidR="00277738" w:rsidRPr="00596045">
        <w:rPr>
          <w:sz w:val="18"/>
          <w:szCs w:val="18"/>
        </w:rPr>
        <w:t>parent is able to claim compliance with IFRSs</w:t>
      </w:r>
      <w:r w:rsidR="00033701">
        <w:rPr>
          <w:sz w:val="18"/>
          <w:szCs w:val="18"/>
        </w:rPr>
        <w:t>,</w:t>
      </w:r>
      <w:r w:rsidR="00277738" w:rsidRPr="00596045">
        <w:rPr>
          <w:sz w:val="18"/>
          <w:szCs w:val="18"/>
        </w:rPr>
        <w:t xml:space="preserve"> the exemption is available</w:t>
      </w:r>
      <w:r w:rsidR="00033701">
        <w:rPr>
          <w:sz w:val="18"/>
          <w:szCs w:val="18"/>
        </w:rPr>
        <w:t>.</w:t>
      </w:r>
    </w:p>
    <w:p w:rsidR="004A4C5C" w:rsidRPr="00B27DC0" w:rsidRDefault="00B27DC0" w:rsidP="00B27DC0">
      <w:pPr>
        <w:pStyle w:val="NoNumPlain1"/>
        <w:spacing w:after="120" w:line="240" w:lineRule="auto"/>
        <w:ind w:left="624"/>
        <w:rPr>
          <w:sz w:val="18"/>
          <w:szCs w:val="18"/>
        </w:rPr>
      </w:pPr>
      <w:r w:rsidRPr="00B27DC0">
        <w:rPr>
          <w:sz w:val="18"/>
          <w:szCs w:val="18"/>
        </w:rPr>
        <w:t>Australian Accounting Standards consist of two tiers of reporting requirements for preparing general purpose financial statements:</w:t>
      </w:r>
    </w:p>
    <w:p w:rsidR="00B27DC0" w:rsidRPr="00D72918" w:rsidRDefault="00B27DC0" w:rsidP="00B27DC0">
      <w:pPr>
        <w:pStyle w:val="NumPlain2"/>
        <w:tabs>
          <w:tab w:val="clear" w:pos="1021"/>
        </w:tabs>
        <w:ind w:left="1134" w:hanging="510"/>
        <w:rPr>
          <w:sz w:val="18"/>
          <w:szCs w:val="18"/>
        </w:rPr>
      </w:pPr>
      <w:r w:rsidRPr="00D72918">
        <w:rPr>
          <w:sz w:val="18"/>
          <w:szCs w:val="18"/>
        </w:rPr>
        <w:t>Tier 1: Australian Accounting Standards; and</w:t>
      </w:r>
    </w:p>
    <w:p w:rsidR="00B27DC0" w:rsidRPr="00D72918" w:rsidRDefault="00B27DC0" w:rsidP="00B27DC0">
      <w:pPr>
        <w:pStyle w:val="NumPlain2"/>
        <w:tabs>
          <w:tab w:val="clear" w:pos="1021"/>
        </w:tabs>
        <w:ind w:left="1134" w:hanging="510"/>
        <w:rPr>
          <w:sz w:val="18"/>
          <w:szCs w:val="18"/>
        </w:rPr>
      </w:pPr>
      <w:r w:rsidRPr="00D72918">
        <w:rPr>
          <w:sz w:val="18"/>
          <w:szCs w:val="18"/>
        </w:rPr>
        <w:t>Tier 2: Australian Accounting Standards – Reduced Disclosure Requirements.</w:t>
      </w:r>
    </w:p>
    <w:p w:rsidR="00567D2C" w:rsidRDefault="00567D2C" w:rsidP="00314D1A">
      <w:pPr>
        <w:pStyle w:val="Heading2"/>
      </w:pPr>
      <w:r>
        <w:t>Amendment to AASB 128</w:t>
      </w:r>
    </w:p>
    <w:p w:rsidR="000B30FC" w:rsidRDefault="000B30FC" w:rsidP="002F1E8E">
      <w:pPr>
        <w:pStyle w:val="NumPlain1"/>
      </w:pPr>
      <w:r>
        <w:t>Paragraph</w:t>
      </w:r>
      <w:r w:rsidR="00D32CDF">
        <w:t xml:space="preserve"> Aus13.1</w:t>
      </w:r>
      <w:r>
        <w:t xml:space="preserve"> </w:t>
      </w:r>
      <w:r w:rsidR="00D32CDF">
        <w:t>is</w:t>
      </w:r>
      <w:r>
        <w:t xml:space="preserve"> amended as follows (new text is underlined):</w:t>
      </w:r>
    </w:p>
    <w:p w:rsidR="00D32CDF" w:rsidRDefault="000B30FC" w:rsidP="00E2544F">
      <w:pPr>
        <w:pStyle w:val="AusPlainHanging1"/>
        <w:rPr>
          <w:u w:val="single"/>
        </w:rPr>
      </w:pPr>
      <w:r w:rsidRPr="004C3080">
        <w:rPr>
          <w:b/>
        </w:rPr>
        <w:t>Aus13.1</w:t>
      </w:r>
      <w:r w:rsidRPr="004C3080">
        <w:rPr>
          <w:b/>
        </w:rPr>
        <w:tab/>
        <w:t xml:space="preserve">Notwithstanding paragraph 13(c)(iv), an investor that meets the criteria in paragraphs 13(c)(i), 13(c)(ii) and 13(c)(iii) need not apply the equity method in accounting for an interest in an associate if its ultimate or any intermediate parent produces consolidated financial statements available for public use </w:t>
      </w:r>
      <w:r w:rsidR="00EF5446" w:rsidRPr="00E2544F">
        <w:rPr>
          <w:b/>
        </w:rPr>
        <w:t>and</w:t>
      </w:r>
      <w:r w:rsidR="00E2544F" w:rsidRPr="00E2544F">
        <w:rPr>
          <w:b/>
          <w:u w:val="single"/>
        </w:rPr>
        <w:t>:</w:t>
      </w:r>
    </w:p>
    <w:p w:rsidR="00E2544F" w:rsidRPr="007D6181" w:rsidRDefault="00E2544F" w:rsidP="00E2544F">
      <w:pPr>
        <w:pStyle w:val="BoldHanging2"/>
        <w:ind w:left="1928"/>
        <w:rPr>
          <w:u w:val="single"/>
        </w:rPr>
      </w:pPr>
      <w:r w:rsidRPr="00D72918">
        <w:rPr>
          <w:u w:val="single"/>
        </w:rPr>
        <w:t>(a)</w:t>
      </w:r>
      <w:r w:rsidRPr="00D72918">
        <w:rPr>
          <w:u w:val="single"/>
        </w:rPr>
        <w:tab/>
      </w:r>
      <w:r w:rsidRPr="007D6181">
        <w:t xml:space="preserve">the </w:t>
      </w:r>
      <w:r w:rsidR="00D72918">
        <w:t>investor</w:t>
      </w:r>
      <w:r w:rsidRPr="007D6181">
        <w:t xml:space="preserve"> and its ultimate or intermediate parent are</w:t>
      </w:r>
      <w:r w:rsidRPr="00D72918">
        <w:rPr>
          <w:u w:val="single"/>
        </w:rPr>
        <w:t>:</w:t>
      </w:r>
    </w:p>
    <w:p w:rsidR="00E2544F" w:rsidRDefault="00E2544F" w:rsidP="00E2544F">
      <w:pPr>
        <w:pStyle w:val="BoldHanging3"/>
        <w:ind w:left="2438"/>
        <w:rPr>
          <w:u w:val="single"/>
        </w:rPr>
      </w:pPr>
      <w:r w:rsidRPr="00CB6345">
        <w:rPr>
          <w:u w:val="single"/>
        </w:rPr>
        <w:t>(i)</w:t>
      </w:r>
      <w:r w:rsidRPr="00CB6345">
        <w:rPr>
          <w:u w:val="single"/>
        </w:rPr>
        <w:tab/>
      </w:r>
      <w:r w:rsidRPr="005432A1">
        <w:t>both</w:t>
      </w:r>
      <w:r>
        <w:t xml:space="preserve"> </w:t>
      </w:r>
      <w:r w:rsidRPr="00D32CDF">
        <w:t>not-for-profit entities complying with Australian Accounting Standards</w:t>
      </w:r>
      <w:r w:rsidRPr="00E822EB">
        <w:rPr>
          <w:u w:val="single"/>
        </w:rPr>
        <w:t>; or</w:t>
      </w:r>
    </w:p>
    <w:p w:rsidR="00E2544F" w:rsidRPr="00777B48" w:rsidRDefault="00E2544F" w:rsidP="00E2544F">
      <w:pPr>
        <w:pStyle w:val="BoldHanging3"/>
        <w:ind w:left="2438"/>
        <w:rPr>
          <w:u w:val="single"/>
        </w:rPr>
      </w:pPr>
      <w:r>
        <w:rPr>
          <w:u w:val="single"/>
        </w:rPr>
        <w:t>(ii)</w:t>
      </w:r>
      <w:r>
        <w:rPr>
          <w:u w:val="single"/>
        </w:rPr>
        <w:tab/>
      </w:r>
      <w:r w:rsidRPr="005432A1">
        <w:rPr>
          <w:u w:val="single"/>
        </w:rPr>
        <w:t>both</w:t>
      </w:r>
      <w:r w:rsidRPr="00E822EB">
        <w:rPr>
          <w:u w:val="single"/>
        </w:rPr>
        <w:t xml:space="preserve"> entities complying with Australian Accounting Standards – Redu</w:t>
      </w:r>
      <w:r>
        <w:rPr>
          <w:u w:val="single"/>
        </w:rPr>
        <w:t>ced Disclosure Requirements; or</w:t>
      </w:r>
    </w:p>
    <w:p w:rsidR="00E2544F" w:rsidRPr="00E2544F" w:rsidRDefault="00E2544F" w:rsidP="00E2544F">
      <w:pPr>
        <w:pStyle w:val="BoldHanging2"/>
        <w:ind w:left="1928"/>
        <w:rPr>
          <w:u w:val="single"/>
        </w:rPr>
      </w:pPr>
      <w:r w:rsidRPr="00777B48">
        <w:rPr>
          <w:u w:val="single"/>
        </w:rPr>
        <w:t>(b)</w:t>
      </w:r>
      <w:r w:rsidRPr="00777B48">
        <w:rPr>
          <w:u w:val="single"/>
        </w:rPr>
        <w:tab/>
        <w:t xml:space="preserve">the </w:t>
      </w:r>
      <w:r>
        <w:rPr>
          <w:u w:val="single"/>
        </w:rPr>
        <w:t>investor</w:t>
      </w:r>
      <w:r w:rsidRPr="00777B48">
        <w:rPr>
          <w:u w:val="single"/>
        </w:rPr>
        <w:t xml:space="preserve"> is an entity complying with Australian Accounting</w:t>
      </w:r>
      <w:r>
        <w:rPr>
          <w:u w:val="single"/>
        </w:rPr>
        <w:t xml:space="preserve"> Standards – Reduced Disclosure Requirements and its ultimate or intermediate parent i</w:t>
      </w:r>
      <w:r w:rsidRPr="00E822EB">
        <w:rPr>
          <w:u w:val="single"/>
        </w:rPr>
        <w:t xml:space="preserve">s a not-for-profit entity complying with </w:t>
      </w:r>
      <w:r>
        <w:rPr>
          <w:u w:val="single"/>
        </w:rPr>
        <w:t>Australian Accounting Standards</w:t>
      </w:r>
      <w:r w:rsidRPr="00E2544F">
        <w:t>.</w:t>
      </w:r>
    </w:p>
    <w:p w:rsidR="00567D2C" w:rsidRDefault="00567D2C">
      <w:pPr>
        <w:pStyle w:val="Heading2"/>
      </w:pPr>
      <w:r>
        <w:t xml:space="preserve">Amendment to </w:t>
      </w:r>
      <w:bookmarkStart w:id="13" w:name="StndNo2"/>
      <w:r>
        <w:t>AASB 131</w:t>
      </w:r>
      <w:bookmarkEnd w:id="13"/>
    </w:p>
    <w:p w:rsidR="000B30FC" w:rsidRDefault="000B30FC" w:rsidP="002F1E8E">
      <w:pPr>
        <w:pStyle w:val="NumPlain1"/>
      </w:pPr>
      <w:r>
        <w:t>Paragraph</w:t>
      </w:r>
      <w:r w:rsidR="00EC1881">
        <w:t xml:space="preserve"> Aus2.1 is</w:t>
      </w:r>
      <w:r>
        <w:t xml:space="preserve"> amended as follows (new text is underlined):</w:t>
      </w:r>
    </w:p>
    <w:p w:rsidR="00CB6345" w:rsidRDefault="000B30FC" w:rsidP="00C92128">
      <w:pPr>
        <w:pStyle w:val="AusPlainHanging1"/>
        <w:rPr>
          <w:b/>
          <w:u w:val="single"/>
        </w:rPr>
      </w:pPr>
      <w:r w:rsidRPr="002C5954">
        <w:rPr>
          <w:b/>
        </w:rPr>
        <w:t>Aus2.1</w:t>
      </w:r>
      <w:r w:rsidRPr="002C5954">
        <w:rPr>
          <w:b/>
        </w:rPr>
        <w:tab/>
        <w:t xml:space="preserve">Notwithstanding paragraph 2(c)(iv), a venturer that meets the criteria in paragraphs 2(c)(i), 2(c)(ii) and 2(c)(iii) need not apply proportionate consolidation or the equity method in accounting for an interest in a jointly controlled entity if its ultimate or any intermediate parent produces consolidated financial statements available for public use </w:t>
      </w:r>
      <w:r w:rsidR="00EF5446" w:rsidRPr="00E2544F">
        <w:rPr>
          <w:b/>
        </w:rPr>
        <w:t>and</w:t>
      </w:r>
      <w:r w:rsidR="00CB6345" w:rsidRPr="00CB6345">
        <w:rPr>
          <w:b/>
          <w:u w:val="single"/>
        </w:rPr>
        <w:t>:</w:t>
      </w:r>
    </w:p>
    <w:p w:rsidR="00EC1881" w:rsidRPr="00CB6345" w:rsidRDefault="00CB6345" w:rsidP="00CB6345">
      <w:pPr>
        <w:pStyle w:val="BoldHanging2"/>
        <w:ind w:left="1928"/>
      </w:pPr>
      <w:r w:rsidRPr="00D72918">
        <w:rPr>
          <w:u w:val="single"/>
        </w:rPr>
        <w:t>(a)</w:t>
      </w:r>
      <w:r w:rsidRPr="00D72918">
        <w:rPr>
          <w:u w:val="single"/>
        </w:rPr>
        <w:tab/>
      </w:r>
      <w:r w:rsidR="00EF5446" w:rsidRPr="00CB6345">
        <w:t xml:space="preserve">the venturer </w:t>
      </w:r>
      <w:r w:rsidR="000B30FC" w:rsidRPr="00CB6345">
        <w:t>and its ultimate or intermediate parent</w:t>
      </w:r>
      <w:r w:rsidR="00D72918">
        <w:t xml:space="preserve"> are</w:t>
      </w:r>
      <w:r w:rsidR="00EC1881" w:rsidRPr="00D72918">
        <w:rPr>
          <w:u w:val="single"/>
        </w:rPr>
        <w:t>:</w:t>
      </w:r>
    </w:p>
    <w:p w:rsidR="00E2544F" w:rsidRDefault="00E2544F" w:rsidP="00CB6345">
      <w:pPr>
        <w:pStyle w:val="BoldHanging3"/>
        <w:ind w:left="2438"/>
        <w:rPr>
          <w:u w:val="single"/>
        </w:rPr>
      </w:pPr>
      <w:r w:rsidRPr="00777B48">
        <w:rPr>
          <w:u w:val="single"/>
        </w:rPr>
        <w:t>(</w:t>
      </w:r>
      <w:r w:rsidR="00CB6345">
        <w:rPr>
          <w:u w:val="single"/>
        </w:rPr>
        <w:t>i</w:t>
      </w:r>
      <w:r w:rsidR="004102CE">
        <w:rPr>
          <w:u w:val="single"/>
        </w:rPr>
        <w:t>)</w:t>
      </w:r>
      <w:r w:rsidRPr="00CB6345">
        <w:rPr>
          <w:u w:val="single"/>
        </w:rPr>
        <w:tab/>
      </w:r>
      <w:r w:rsidRPr="00CB6345">
        <w:t>both not-for-profit entities complying with Australian Accounting Standards</w:t>
      </w:r>
      <w:r w:rsidRPr="00E822EB">
        <w:rPr>
          <w:u w:val="single"/>
        </w:rPr>
        <w:t>; or</w:t>
      </w:r>
    </w:p>
    <w:p w:rsidR="00E2544F" w:rsidRPr="00777B48" w:rsidRDefault="00E2544F" w:rsidP="00E2544F">
      <w:pPr>
        <w:pStyle w:val="BoldHanging3"/>
        <w:ind w:left="2438"/>
        <w:rPr>
          <w:u w:val="single"/>
        </w:rPr>
      </w:pPr>
      <w:r>
        <w:rPr>
          <w:u w:val="single"/>
        </w:rPr>
        <w:t>(ii)</w:t>
      </w:r>
      <w:r>
        <w:rPr>
          <w:u w:val="single"/>
        </w:rPr>
        <w:tab/>
      </w:r>
      <w:r w:rsidRPr="005432A1">
        <w:rPr>
          <w:u w:val="single"/>
        </w:rPr>
        <w:t>both</w:t>
      </w:r>
      <w:r w:rsidRPr="00E822EB">
        <w:rPr>
          <w:u w:val="single"/>
        </w:rPr>
        <w:t xml:space="preserve"> entities complying with Australian Accounting Standards – Redu</w:t>
      </w:r>
      <w:r>
        <w:rPr>
          <w:u w:val="single"/>
        </w:rPr>
        <w:t>ced Disclosure Requirements; or</w:t>
      </w:r>
    </w:p>
    <w:p w:rsidR="00CB6345" w:rsidRDefault="004102CE" w:rsidP="00CB6345">
      <w:pPr>
        <w:pStyle w:val="BoldHanging2"/>
        <w:ind w:left="1928"/>
        <w:rPr>
          <w:u w:val="single"/>
        </w:rPr>
        <w:sectPr w:rsidR="00CB6345" w:rsidSect="000D7774">
          <w:pgSz w:w="11907" w:h="16840" w:code="9"/>
          <w:pgMar w:top="3686" w:right="2835" w:bottom="3686" w:left="2835" w:header="709" w:footer="3255" w:gutter="0"/>
          <w:paperSrc w:first="58" w:other="58"/>
          <w:cols w:space="720"/>
          <w:docGrid w:linePitch="65"/>
        </w:sectPr>
      </w:pPr>
      <w:r>
        <w:rPr>
          <w:u w:val="single"/>
        </w:rPr>
        <w:t>(b)</w:t>
      </w:r>
      <w:r w:rsidR="00E2544F" w:rsidRPr="00777B48">
        <w:rPr>
          <w:u w:val="single"/>
        </w:rPr>
        <w:tab/>
        <w:t xml:space="preserve">the </w:t>
      </w:r>
      <w:r w:rsidR="00D72918">
        <w:rPr>
          <w:u w:val="single"/>
        </w:rPr>
        <w:t>venturer</w:t>
      </w:r>
      <w:r w:rsidR="00E2544F" w:rsidRPr="00777B48">
        <w:rPr>
          <w:u w:val="single"/>
        </w:rPr>
        <w:t xml:space="preserve"> is an entity complying with Australian Accounting</w:t>
      </w:r>
      <w:r w:rsidR="00E2544F">
        <w:rPr>
          <w:u w:val="single"/>
        </w:rPr>
        <w:t xml:space="preserve"> Standards – Reduced Disclosure Requirements and its ultimate or intermediate parent i</w:t>
      </w:r>
      <w:r w:rsidR="00E2544F" w:rsidRPr="00E822EB">
        <w:rPr>
          <w:u w:val="single"/>
        </w:rPr>
        <w:t xml:space="preserve">s a not-for-profit entity complying with </w:t>
      </w:r>
      <w:r w:rsidR="00E2544F">
        <w:rPr>
          <w:u w:val="single"/>
        </w:rPr>
        <w:t>Australian Accounting Standards</w:t>
      </w:r>
      <w:r w:rsidR="00E2544F" w:rsidRPr="00B27DC0">
        <w:t>.</w:t>
      </w:r>
    </w:p>
    <w:p w:rsidR="00395A5F" w:rsidRPr="0000292B" w:rsidRDefault="00395A5F" w:rsidP="00E71919">
      <w:pPr>
        <w:pStyle w:val="AppendixTitle"/>
      </w:pPr>
      <w:r w:rsidRPr="0000292B">
        <w:t>BASIS FOR CONCLUSIONS</w:t>
      </w:r>
    </w:p>
    <w:p w:rsidR="00395A5F" w:rsidRPr="0000292B" w:rsidRDefault="00395A5F" w:rsidP="00395A5F">
      <w:pPr>
        <w:pStyle w:val="AppendixNote"/>
      </w:pPr>
      <w:r w:rsidRPr="0000292B">
        <w:t xml:space="preserve">The Basis for Conclusions accompanies, but is not part of, AASB </w:t>
      </w:r>
      <w:r w:rsidRPr="00395A5F">
        <w:t>2011-</w:t>
      </w:r>
      <w:r w:rsidR="004F69C3">
        <w:t>6</w:t>
      </w:r>
      <w:r w:rsidRPr="0000292B">
        <w:t>.</w:t>
      </w:r>
    </w:p>
    <w:p w:rsidR="00395A5F" w:rsidRPr="0000292B" w:rsidRDefault="000A687B" w:rsidP="00395A5F">
      <w:pPr>
        <w:pStyle w:val="Heading2"/>
      </w:pPr>
      <w:r>
        <w:t>Introduction</w:t>
      </w:r>
    </w:p>
    <w:p w:rsidR="00395A5F" w:rsidRPr="0000292B" w:rsidRDefault="00395A5F" w:rsidP="008E75A7">
      <w:pPr>
        <w:pStyle w:val="NumBC1"/>
        <w:numPr>
          <w:ilvl w:val="0"/>
          <w:numId w:val="9"/>
        </w:numPr>
      </w:pPr>
      <w:r>
        <w:t>This Basis for Conclusions summarises the Australian Accounting Standards Board’s considerations in reaching the conclusions in AASB 2011</w:t>
      </w:r>
      <w:r w:rsidR="001E6159">
        <w:t>-</w:t>
      </w:r>
      <w:r w:rsidR="004F69C3">
        <w:t>5</w:t>
      </w:r>
      <w:r w:rsidR="00CB2D71">
        <w:t xml:space="preserve"> </w:t>
      </w:r>
      <w:r w:rsidRPr="001662B8">
        <w:rPr>
          <w:i/>
        </w:rPr>
        <w:t>Amendments to Australian Accounting Standards</w:t>
      </w:r>
      <w:r>
        <w:rPr>
          <w:i/>
        </w:rPr>
        <w:t xml:space="preserve"> – </w:t>
      </w:r>
      <w:r w:rsidRPr="00874A83">
        <w:rPr>
          <w:i/>
        </w:rPr>
        <w:t>Extending Relief from Consolidation, the Equity Method and Proportionate Consolidation</w:t>
      </w:r>
      <w:r w:rsidR="0087038E">
        <w:t xml:space="preserve"> and AASB 2011-</w:t>
      </w:r>
      <w:r w:rsidR="004F69C3">
        <w:t>6</w:t>
      </w:r>
      <w:r w:rsidR="0087038E">
        <w:t xml:space="preserve"> </w:t>
      </w:r>
      <w:r w:rsidR="0087038E" w:rsidRPr="001662B8">
        <w:rPr>
          <w:i/>
        </w:rPr>
        <w:t>Amendments to Australian Accounting Standards</w:t>
      </w:r>
      <w:r w:rsidR="0087038E">
        <w:rPr>
          <w:i/>
        </w:rPr>
        <w:t xml:space="preserve"> – </w:t>
      </w:r>
      <w:r w:rsidR="0087038E" w:rsidRPr="00874A83">
        <w:rPr>
          <w:i/>
        </w:rPr>
        <w:t>Extending Relief from Consolidation, the Equity Method and Proportionate Consolidation</w:t>
      </w:r>
      <w:r w:rsidR="0087038E">
        <w:rPr>
          <w:i/>
        </w:rPr>
        <w:t xml:space="preserve"> – Reduced Disclosure Requirements</w:t>
      </w:r>
      <w:r>
        <w:t>.  Individual Board members gave greater weight to some factors than to others.</w:t>
      </w:r>
    </w:p>
    <w:p w:rsidR="00395A5F" w:rsidRPr="0000292B" w:rsidRDefault="009C7B20" w:rsidP="00395A5F">
      <w:pPr>
        <w:pStyle w:val="Heading2"/>
      </w:pPr>
      <w:r>
        <w:t>Background</w:t>
      </w:r>
    </w:p>
    <w:p w:rsidR="00395A5F" w:rsidRDefault="00395A5F" w:rsidP="008E75A7">
      <w:pPr>
        <w:pStyle w:val="NumBC1"/>
        <w:numPr>
          <w:ilvl w:val="0"/>
          <w:numId w:val="9"/>
        </w:numPr>
      </w:pPr>
      <w:r w:rsidRPr="008E1764">
        <w:t>Paragraph</w:t>
      </w:r>
      <w:r>
        <w:t xml:space="preserve"> </w:t>
      </w:r>
      <w:r w:rsidRPr="008E1764">
        <w:t>10 of AASB 127</w:t>
      </w:r>
      <w:r>
        <w:t xml:space="preserve"> </w:t>
      </w:r>
      <w:r>
        <w:rPr>
          <w:i/>
        </w:rPr>
        <w:t>Consolidated and Separate Financial Statements</w:t>
      </w:r>
      <w:r w:rsidRPr="008E1764">
        <w:t xml:space="preserve"> (in common with IAS 27</w:t>
      </w:r>
      <w:r>
        <w:t xml:space="preserve"> </w:t>
      </w:r>
      <w:r>
        <w:rPr>
          <w:i/>
        </w:rPr>
        <w:t>Consolidated and Separate Financial Statements</w:t>
      </w:r>
      <w:r w:rsidRPr="008E1764">
        <w:t>) provides relief from preparing consolidated financial statements for parents that meet four criteria, including having an ultimate parent</w:t>
      </w:r>
      <w:r>
        <w:t xml:space="preserve"> or </w:t>
      </w:r>
      <w:r w:rsidR="005854E3">
        <w:t xml:space="preserve">an </w:t>
      </w:r>
      <w:r>
        <w:t>intermediate parent</w:t>
      </w:r>
      <w:r w:rsidRPr="008E1764">
        <w:t xml:space="preserve"> that prepares IFRS</w:t>
      </w:r>
      <w:r>
        <w:t>-</w:t>
      </w:r>
      <w:r w:rsidRPr="008E1764">
        <w:t xml:space="preserve">compliant </w:t>
      </w:r>
      <w:r w:rsidR="005854E3">
        <w:t>consolidated</w:t>
      </w:r>
      <w:r w:rsidR="005854E3" w:rsidRPr="008E1764">
        <w:t xml:space="preserve"> </w:t>
      </w:r>
      <w:r w:rsidRPr="008E1764">
        <w:t>financial statements</w:t>
      </w:r>
      <w:r w:rsidR="005854E3">
        <w:t xml:space="preserve"> (paragraph 10(d))</w:t>
      </w:r>
      <w:r w:rsidRPr="008E1764">
        <w:t>.</w:t>
      </w:r>
    </w:p>
    <w:p w:rsidR="00395A5F" w:rsidRDefault="00395A5F" w:rsidP="008E75A7">
      <w:pPr>
        <w:pStyle w:val="NumBC1"/>
        <w:numPr>
          <w:ilvl w:val="0"/>
          <w:numId w:val="9"/>
        </w:numPr>
      </w:pPr>
      <w:r w:rsidRPr="008E1764">
        <w:t>Due to the addition of Aus paragraphs in</w:t>
      </w:r>
      <w:r>
        <w:t xml:space="preserve"> IFRSs as adopted in Australi</w:t>
      </w:r>
      <w:r w:rsidR="005854E3">
        <w:t>a, the financial statements of</w:t>
      </w:r>
      <w:r>
        <w:t xml:space="preserve"> </w:t>
      </w:r>
      <w:r w:rsidRPr="008E1764">
        <w:t xml:space="preserve">some entities applying Australian Accounting Standards are not IFRS compliant.  This means that a parent </w:t>
      </w:r>
      <w:r>
        <w:t xml:space="preserve">that has an ultimate parent or other intermediate parent </w:t>
      </w:r>
      <w:r w:rsidR="005854E3">
        <w:t>that prepares non-IFRS-compliant consolidated financial statements does not</w:t>
      </w:r>
      <w:r>
        <w:t xml:space="preserve"> have access to </w:t>
      </w:r>
      <w:r w:rsidRPr="008E1764">
        <w:t xml:space="preserve">the </w:t>
      </w:r>
      <w:r w:rsidR="005854E3">
        <w:t>exemption from consolidation</w:t>
      </w:r>
      <w:r w:rsidRPr="008E1764">
        <w:t xml:space="preserve"> provided in paragraph 10 of AASB 127</w:t>
      </w:r>
      <w:r w:rsidR="005854E3">
        <w:t>,</w:t>
      </w:r>
      <w:r>
        <w:t xml:space="preserve"> even </w:t>
      </w:r>
      <w:r w:rsidR="005854E3">
        <w:t>if</w:t>
      </w:r>
      <w:r>
        <w:t xml:space="preserve"> the criteria in paragraphs 10(a) to 10(c) are met</w:t>
      </w:r>
      <w:r w:rsidRPr="008E1764">
        <w:t>.</w:t>
      </w:r>
    </w:p>
    <w:p w:rsidR="00395A5F" w:rsidRDefault="00395A5F" w:rsidP="008E75A7">
      <w:pPr>
        <w:pStyle w:val="NumBC1"/>
        <w:numPr>
          <w:ilvl w:val="0"/>
          <w:numId w:val="9"/>
        </w:numPr>
      </w:pPr>
      <w:r>
        <w:t xml:space="preserve">Similarly, investors need not apply the equity method when they meet the four criteria in paragraph 13(c) of AASB 128 </w:t>
      </w:r>
      <w:r>
        <w:rPr>
          <w:i/>
        </w:rPr>
        <w:t>Investments in Associates</w:t>
      </w:r>
      <w:r>
        <w:t xml:space="preserve"> and venturers need not apply proportionate consolidation or the equity method when they meet the four criteria in paragraph 2(c) of AASB 131 </w:t>
      </w:r>
      <w:r>
        <w:rPr>
          <w:i/>
        </w:rPr>
        <w:t>Interests in Joint Ventures</w:t>
      </w:r>
      <w:r>
        <w:t>.  The criteria in paragraph 10 of AASB 127, paragraph 13(c) of AASB 128 and paragraph 2(c) of AASB 131 are similar.</w:t>
      </w:r>
    </w:p>
    <w:p w:rsidR="005854E3" w:rsidRDefault="005854E3" w:rsidP="008E75A7">
      <w:pPr>
        <w:pStyle w:val="NumBC1"/>
        <w:numPr>
          <w:ilvl w:val="0"/>
          <w:numId w:val="9"/>
        </w:numPr>
      </w:pPr>
      <w:r>
        <w:t xml:space="preserve">Consequently, the exemptions from the equity method and proportionate consolidation are also not available under </w:t>
      </w:r>
      <w:r w:rsidR="0087038E">
        <w:t xml:space="preserve">those </w:t>
      </w:r>
      <w:r>
        <w:t xml:space="preserve">paragraphs to </w:t>
      </w:r>
      <w:r w:rsidR="0087038E">
        <w:t xml:space="preserve">an investor or a venturer </w:t>
      </w:r>
      <w:r>
        <w:t>when its ultimate parent or intermediate parent prepares non-IFRS-compliant consolidated financial statements.</w:t>
      </w:r>
    </w:p>
    <w:p w:rsidR="004D40B7" w:rsidRDefault="00002C98" w:rsidP="008E75A7">
      <w:pPr>
        <w:pStyle w:val="NumBC1"/>
        <w:numPr>
          <w:ilvl w:val="0"/>
          <w:numId w:val="9"/>
        </w:numPr>
      </w:pPr>
      <w:r>
        <w:t xml:space="preserve">The AASB issued Exposure Draft ED 205 </w:t>
      </w:r>
      <w:r>
        <w:rPr>
          <w:i/>
        </w:rPr>
        <w:t>Extending Relief from Consolidation, the Equity Method and Proportionate Consolidation</w:t>
      </w:r>
      <w:r>
        <w:t xml:space="preserve"> in September 2010.  The AASB considered the submissions received from constituents and confirmed the principal approach proposed in the Exposure Draft.</w:t>
      </w:r>
    </w:p>
    <w:p w:rsidR="004D40B7" w:rsidRDefault="004D40B7" w:rsidP="003D471D">
      <w:pPr>
        <w:pStyle w:val="Heading3"/>
      </w:pPr>
      <w:r>
        <w:t>New Zealand Approach</w:t>
      </w:r>
    </w:p>
    <w:p w:rsidR="004D40B7" w:rsidRPr="009C7B20" w:rsidRDefault="004D40B7" w:rsidP="004D40B7">
      <w:pPr>
        <w:pStyle w:val="NumBC1"/>
        <w:numPr>
          <w:ilvl w:val="0"/>
          <w:numId w:val="9"/>
        </w:numPr>
        <w:rPr>
          <w:bCs/>
        </w:rPr>
      </w:pPr>
      <w:r w:rsidRPr="00A5540D">
        <w:t xml:space="preserve">During </w:t>
      </w:r>
      <w:r>
        <w:t xml:space="preserve">its </w:t>
      </w:r>
      <w:r w:rsidR="00D8340F">
        <w:t>development of ED 205</w:t>
      </w:r>
      <w:r w:rsidRPr="00A5540D">
        <w:t xml:space="preserve">, the AASB noted that a </w:t>
      </w:r>
      <w:r>
        <w:t xml:space="preserve">related </w:t>
      </w:r>
      <w:r w:rsidRPr="00A5540D">
        <w:t>issue</w:t>
      </w:r>
      <w:r>
        <w:t xml:space="preserve"> was considered by the Financial Reporting Standards Board (FRSB) of the New Zealand Institute of Chartered Accountants in December 2008.  This concerned the requirement in paragraph 10(d) of </w:t>
      </w:r>
      <w:r w:rsidRPr="00A5540D">
        <w:t xml:space="preserve">NZ IAS 27 </w:t>
      </w:r>
      <w:r w:rsidRPr="009C7B20">
        <w:rPr>
          <w:i/>
        </w:rPr>
        <w:t>Consolidated and Separate Financial Statements</w:t>
      </w:r>
      <w:r>
        <w:t xml:space="preserve"> that the parent’s financial statements must be ‘available for public use’.  Due to the reporting requirements in New Zealand, not all entities are required to file their financial statements with the Companies Office.  Hence, when a parent of a group is not required to submit its financial statements, any intermediate subsidiaries were unable to use the paragraph 10 exemption.  As a result, the FRSB inserted paragraph NZ 3.1 into NZ IAS 27 so that entities</w:t>
      </w:r>
      <w:r>
        <w:rPr>
          <w:bCs/>
        </w:rPr>
        <w:t xml:space="preserve"> that</w:t>
      </w:r>
      <w:r w:rsidRPr="009C7B20">
        <w:rPr>
          <w:bCs/>
        </w:rPr>
        <w:t xml:space="preserve"> qualify for differential reporting concessions </w:t>
      </w:r>
      <w:r>
        <w:rPr>
          <w:bCs/>
        </w:rPr>
        <w:t>were</w:t>
      </w:r>
      <w:r w:rsidRPr="009C7B20">
        <w:rPr>
          <w:bCs/>
        </w:rPr>
        <w:t xml:space="preserve"> not required to comply with paragraph</w:t>
      </w:r>
      <w:r>
        <w:rPr>
          <w:bCs/>
        </w:rPr>
        <w:t> </w:t>
      </w:r>
      <w:r w:rsidRPr="009C7B20">
        <w:rPr>
          <w:bCs/>
        </w:rPr>
        <w:t xml:space="preserve">10(d). </w:t>
      </w:r>
      <w:r>
        <w:rPr>
          <w:bCs/>
        </w:rPr>
        <w:t xml:space="preserve"> </w:t>
      </w:r>
      <w:r w:rsidRPr="009C7B20">
        <w:rPr>
          <w:bCs/>
        </w:rPr>
        <w:t xml:space="preserve">In order to qualify for the exemption not to present consolidated financial statements, qualifying entities </w:t>
      </w:r>
      <w:r>
        <w:rPr>
          <w:bCs/>
        </w:rPr>
        <w:t>were still required to</w:t>
      </w:r>
      <w:r w:rsidRPr="009C7B20">
        <w:rPr>
          <w:bCs/>
        </w:rPr>
        <w:t xml:space="preserve"> comply with all the other conditions in paragraph</w:t>
      </w:r>
      <w:r>
        <w:rPr>
          <w:bCs/>
        </w:rPr>
        <w:t> </w:t>
      </w:r>
      <w:r w:rsidRPr="009C7B20">
        <w:rPr>
          <w:bCs/>
        </w:rPr>
        <w:t>10.</w:t>
      </w:r>
    </w:p>
    <w:p w:rsidR="004D40B7" w:rsidRDefault="004D40B7" w:rsidP="004D40B7">
      <w:pPr>
        <w:pStyle w:val="NumBC1"/>
        <w:numPr>
          <w:ilvl w:val="0"/>
          <w:numId w:val="9"/>
        </w:numPr>
      </w:pPr>
      <w:r>
        <w:t>In addition, the AASB noted that the FRSB had inserted a similar exemption into NZ IAS 28</w:t>
      </w:r>
      <w:r w:rsidRPr="00E24813">
        <w:rPr>
          <w:i/>
        </w:rPr>
        <w:t xml:space="preserve"> </w:t>
      </w:r>
      <w:r>
        <w:rPr>
          <w:i/>
        </w:rPr>
        <w:t xml:space="preserve">Investments in Associates </w:t>
      </w:r>
      <w:r>
        <w:t>(paragraph NZ 1.2) and NZ IAS 31</w:t>
      </w:r>
      <w:r w:rsidRPr="00E24813">
        <w:rPr>
          <w:i/>
        </w:rPr>
        <w:t xml:space="preserve"> </w:t>
      </w:r>
      <w:r>
        <w:rPr>
          <w:i/>
        </w:rPr>
        <w:t>Interests in Joint Ventures</w:t>
      </w:r>
      <w:r>
        <w:t xml:space="preserve"> (paragraph NZ 1.1), extending the relief from application of the equity method by investors and proportionate consolidation or the equity method by venturers.</w:t>
      </w:r>
    </w:p>
    <w:p w:rsidR="00002C98" w:rsidRDefault="004D40B7" w:rsidP="004D40B7">
      <w:pPr>
        <w:pStyle w:val="NumBC1"/>
        <w:numPr>
          <w:ilvl w:val="0"/>
          <w:numId w:val="9"/>
        </w:numPr>
      </w:pPr>
      <w:r>
        <w:t>The AASB did not follow the FRSB’s specific approach for qualifying entities, given the different issues faced by the two Boards and the different financial reporting framework in New Zealand, including its differential reporting framework that involves modifications to the recognition and measurement requirements of IFRSs.</w:t>
      </w:r>
    </w:p>
    <w:p w:rsidR="009C7B20" w:rsidRDefault="009C7B20" w:rsidP="009C7B20">
      <w:pPr>
        <w:pStyle w:val="Heading2"/>
      </w:pPr>
      <w:r>
        <w:t>Extending the Exemptions</w:t>
      </w:r>
    </w:p>
    <w:p w:rsidR="00636EBF" w:rsidRDefault="00636EBF" w:rsidP="00547BFB">
      <w:pPr>
        <w:pStyle w:val="NumBC1"/>
        <w:numPr>
          <w:ilvl w:val="0"/>
          <w:numId w:val="9"/>
        </w:numPr>
      </w:pPr>
      <w:r>
        <w:t xml:space="preserve">The AASB considered </w:t>
      </w:r>
      <w:r w:rsidR="004D40B7">
        <w:t>the</w:t>
      </w:r>
      <w:r>
        <w:t xml:space="preserve"> limitation</w:t>
      </w:r>
      <w:r w:rsidR="004D40B7">
        <w:t>s</w:t>
      </w:r>
      <w:r>
        <w:t xml:space="preserve"> on the exemptions and developed a </w:t>
      </w:r>
      <w:r w:rsidRPr="00547BFB">
        <w:t>view</w:t>
      </w:r>
      <w:r>
        <w:t xml:space="preserve"> that relief from consolidation, the equity method and proportionate consolidation should be </w:t>
      </w:r>
      <w:r w:rsidR="00002C98">
        <w:t>extended</w:t>
      </w:r>
      <w:r>
        <w:t xml:space="preserve"> to a </w:t>
      </w:r>
      <w:r w:rsidR="00002C98">
        <w:t xml:space="preserve">not-for-profit or Tier 2 </w:t>
      </w:r>
      <w:r>
        <w:t>parent, investor or venturer if it:</w:t>
      </w:r>
    </w:p>
    <w:p w:rsidR="00636EBF" w:rsidRDefault="00636EBF" w:rsidP="003D471D">
      <w:pPr>
        <w:pStyle w:val="NumBC2"/>
      </w:pPr>
      <w:r>
        <w:t>has a parent higher up in the group that prepares consolidated financial statements (whether or not IFRS-compliant) that are available for public use and:</w:t>
      </w:r>
    </w:p>
    <w:p w:rsidR="00636EBF" w:rsidRPr="00636EBF" w:rsidRDefault="00636EBF" w:rsidP="003D471D">
      <w:pPr>
        <w:pStyle w:val="NumBC3"/>
        <w:numPr>
          <w:ilvl w:val="2"/>
          <w:numId w:val="17"/>
        </w:numPr>
        <w:tabs>
          <w:tab w:val="clear" w:pos="1871"/>
          <w:tab w:val="num" w:pos="2126"/>
        </w:tabs>
      </w:pPr>
      <w:r w:rsidRPr="00636EBF">
        <w:t>those consolidated financial statements incorporate the information that would otherwise have been presented in the parent’s consolidated financial statements or the investor’s or venturer’s financial statements; or</w:t>
      </w:r>
    </w:p>
    <w:p w:rsidR="00636EBF" w:rsidRPr="00636EBF" w:rsidRDefault="00636EBF" w:rsidP="003D471D">
      <w:pPr>
        <w:pStyle w:val="NumBC3"/>
        <w:numPr>
          <w:ilvl w:val="2"/>
          <w:numId w:val="17"/>
        </w:numPr>
        <w:tabs>
          <w:tab w:val="clear" w:pos="1871"/>
          <w:tab w:val="num" w:pos="2126"/>
        </w:tabs>
      </w:pPr>
      <w:r w:rsidRPr="00636EBF">
        <w:t>the parent, investor or venturer is an entity complying with Australian Accounting Standards – Reduced Disclosure Requirements</w:t>
      </w:r>
      <w:r w:rsidR="00C83785">
        <w:t xml:space="preserve"> (‘Tier 2’)</w:t>
      </w:r>
      <w:r w:rsidRPr="00636EBF">
        <w:t>; and</w:t>
      </w:r>
    </w:p>
    <w:p w:rsidR="00636EBF" w:rsidRDefault="00636EBF" w:rsidP="003D471D">
      <w:pPr>
        <w:pStyle w:val="NumBC2"/>
      </w:pPr>
      <w:r w:rsidRPr="00636EBF">
        <w:t>meets the criteria in paragraphs 10(a) to 10(c) of AASB 127</w:t>
      </w:r>
      <w:r>
        <w:t>, paragraphs 13(c)(i) to 13(c)(iii) of AASB 128 or paragraphs 2(c)(i) to 2(c)(iii) of AASB 131, as relevant.</w:t>
      </w:r>
    </w:p>
    <w:p w:rsidR="009C7B20" w:rsidRDefault="009C7B20" w:rsidP="00547BFB">
      <w:pPr>
        <w:pStyle w:val="NumBC1"/>
        <w:numPr>
          <w:ilvl w:val="0"/>
          <w:numId w:val="9"/>
        </w:numPr>
      </w:pPr>
      <w:r>
        <w:t>This</w:t>
      </w:r>
      <w:r w:rsidR="00395A5F">
        <w:t xml:space="preserve"> view is </w:t>
      </w:r>
      <w:r w:rsidR="00395A5F" w:rsidRPr="00D351BC">
        <w:t xml:space="preserve">based on the principle that </w:t>
      </w:r>
      <w:r w:rsidR="00395A5F">
        <w:t xml:space="preserve">financial statement users would be able to satisfy their information needs through the consolidated financial statements prepared by the parent higher up in the group.  </w:t>
      </w:r>
      <w:r w:rsidR="004D40B7">
        <w:t>However, t</w:t>
      </w:r>
      <w:r w:rsidR="00395A5F">
        <w:t xml:space="preserve">he </w:t>
      </w:r>
      <w:r>
        <w:t xml:space="preserve">AASB </w:t>
      </w:r>
      <w:r w:rsidR="00395A5F">
        <w:t xml:space="preserve">decided that such relief should not be available in relation to the General Government Sector (GGS) of each Federal, State and Territory Government due to the unique circumstances related to the GGS, its relationship to the whole of government and its macro-economic significance.  </w:t>
      </w:r>
      <w:r w:rsidR="0087038E">
        <w:t xml:space="preserve">The AASB also decided that </w:t>
      </w:r>
      <w:r w:rsidR="00395A5F">
        <w:t xml:space="preserve">the partial consolidation basis for GGS financial statements required by AASB 1049 </w:t>
      </w:r>
      <w:r w:rsidR="00395A5F" w:rsidRPr="00DF2FD6">
        <w:rPr>
          <w:i/>
        </w:rPr>
        <w:t>Whole of Government and General Government Sector Financial Reporting</w:t>
      </w:r>
      <w:r w:rsidR="0087038E">
        <w:t xml:space="preserve"> would not be amended</w:t>
      </w:r>
      <w:r w:rsidR="00395A5F" w:rsidRPr="00346670">
        <w:t>.</w:t>
      </w:r>
    </w:p>
    <w:p w:rsidR="00002C98" w:rsidRDefault="00002C98" w:rsidP="00547BFB">
      <w:pPr>
        <w:pStyle w:val="NumBC1"/>
        <w:numPr>
          <w:ilvl w:val="0"/>
          <w:numId w:val="9"/>
        </w:numPr>
      </w:pPr>
      <w:r>
        <w:t xml:space="preserve">Consistent with IAS 27, IAS 28 </w:t>
      </w:r>
      <w:r>
        <w:rPr>
          <w:i/>
        </w:rPr>
        <w:t>Investments in Associates</w:t>
      </w:r>
      <w:r>
        <w:t xml:space="preserve"> and IAS 31 </w:t>
      </w:r>
      <w:r>
        <w:rPr>
          <w:i/>
        </w:rPr>
        <w:t>Interests in Joint Ventures</w:t>
      </w:r>
      <w:r>
        <w:t>, t</w:t>
      </w:r>
      <w:r w:rsidRPr="00D351BC">
        <w:t xml:space="preserve">he AASB </w:t>
      </w:r>
      <w:r>
        <w:t>decided that</w:t>
      </w:r>
      <w:r w:rsidRPr="00D351BC">
        <w:t xml:space="preserve"> the existing relief provided under paragraph 10 of AASB 127</w:t>
      </w:r>
      <w:r>
        <w:t>, paragraph 13(c) of AASB 128 and paragraph 2(c) of AASB 131 should be retained</w:t>
      </w:r>
      <w:r w:rsidRPr="00D351BC">
        <w:t>.</w:t>
      </w:r>
      <w:r>
        <w:t xml:space="preserve">  The extension of relief on the basis set out in paragraph BC</w:t>
      </w:r>
      <w:r w:rsidR="004D40B7">
        <w:t>10</w:t>
      </w:r>
      <w:r>
        <w:t xml:space="preserve"> does not change the present requirement</w:t>
      </w:r>
      <w:r w:rsidR="00C83785">
        <w:t>s</w:t>
      </w:r>
      <w:r>
        <w:t xml:space="preserve"> for relief </w:t>
      </w:r>
      <w:r w:rsidR="00C83785">
        <w:t>when</w:t>
      </w:r>
      <w:r>
        <w:t xml:space="preserve"> the ultimate or intermediate parent is a for-profit Tier 1 entity – that entity is still required to prepare IFRS-compliant consolidated financial statements.</w:t>
      </w:r>
    </w:p>
    <w:p w:rsidR="004D40B7" w:rsidRPr="004D40B7" w:rsidRDefault="004D40B7" w:rsidP="003D471D">
      <w:pPr>
        <w:pStyle w:val="Heading3"/>
      </w:pPr>
      <w:r>
        <w:t>Not-For-Profit Ultimate or Intermediate Parent</w:t>
      </w:r>
    </w:p>
    <w:p w:rsidR="00401176" w:rsidRPr="005546E2" w:rsidRDefault="00F30EB9" w:rsidP="003D471D">
      <w:pPr>
        <w:pStyle w:val="NumBC1"/>
        <w:numPr>
          <w:ilvl w:val="0"/>
          <w:numId w:val="9"/>
        </w:numPr>
      </w:pPr>
      <w:r>
        <w:t>When</w:t>
      </w:r>
      <w:r w:rsidR="00401176">
        <w:t xml:space="preserve"> the ultimate or intermediate parent is a not-for-profit Tier 1 entity, and the parent, investor or venturer is a for-profit Tier 1 entity, the relief </w:t>
      </w:r>
      <w:r w:rsidR="004D40B7">
        <w:t>is</w:t>
      </w:r>
      <w:r w:rsidR="00401176">
        <w:t xml:space="preserve"> not available </w:t>
      </w:r>
      <w:r w:rsidR="004D40B7">
        <w:t xml:space="preserve">where </w:t>
      </w:r>
      <w:r w:rsidR="00A2674D">
        <w:t xml:space="preserve">there </w:t>
      </w:r>
      <w:r w:rsidR="003D471D">
        <w:t>are</w:t>
      </w:r>
      <w:r w:rsidR="00401176">
        <w:t xml:space="preserve"> difference</w:t>
      </w:r>
      <w:r w:rsidR="003D471D">
        <w:t>s</w:t>
      </w:r>
      <w:r w:rsidR="00A2674D">
        <w:t xml:space="preserve"> </w:t>
      </w:r>
      <w:r w:rsidR="003F40B4">
        <w:t xml:space="preserve">in the </w:t>
      </w:r>
      <w:r w:rsidR="00A2674D">
        <w:t>basis of accounting</w:t>
      </w:r>
      <w:r w:rsidR="00401176">
        <w:t xml:space="preserve"> between</w:t>
      </w:r>
      <w:r>
        <w:t xml:space="preserve"> the</w:t>
      </w:r>
      <w:r w:rsidR="00401176">
        <w:t xml:space="preserve"> not-for-profit and for-profit entities as a result of the not-for-profit entity applying</w:t>
      </w:r>
      <w:r>
        <w:t xml:space="preserve"> Standards or</w:t>
      </w:r>
      <w:r w:rsidR="00401176">
        <w:t xml:space="preserve"> Aus paragraphs that contain requirements that are inconsistent with </w:t>
      </w:r>
      <w:r>
        <w:t>IFRS requirements</w:t>
      </w:r>
      <w:r w:rsidR="00401176">
        <w:t xml:space="preserve">. </w:t>
      </w:r>
      <w:r w:rsidR="004D40B7">
        <w:t xml:space="preserve"> </w:t>
      </w:r>
      <w:r w:rsidR="005546E2" w:rsidRPr="005546E2">
        <w:t xml:space="preserve">Extending relief to the for-profit Tier 1 parent, investor or venturer in this case would be beyond the scope of the relief available under IFRSs.  </w:t>
      </w:r>
      <w:r w:rsidR="00C0197E" w:rsidRPr="005546E2">
        <w:t>However</w:t>
      </w:r>
      <w:r w:rsidR="004D40B7" w:rsidRPr="005546E2">
        <w:t xml:space="preserve">, the relief is available </w:t>
      </w:r>
      <w:r w:rsidR="00BB6199" w:rsidRPr="005546E2">
        <w:t xml:space="preserve">when </w:t>
      </w:r>
      <w:r w:rsidR="004D40B7" w:rsidRPr="005546E2">
        <w:t>the not-for-profit entity is not required to apply such inconsistent requirements.  This is indicated by footnote to the table in paragraph</w:t>
      </w:r>
      <w:r w:rsidR="006910DF" w:rsidRPr="005546E2">
        <w:t> </w:t>
      </w:r>
      <w:r w:rsidR="004D40B7" w:rsidRPr="005546E2">
        <w:t xml:space="preserve">AG1 </w:t>
      </w:r>
      <w:r w:rsidRPr="005546E2">
        <w:t>of the Australian application guidance added to AASB 127.</w:t>
      </w:r>
      <w:r w:rsidR="005546E2" w:rsidRPr="005546E2">
        <w:t xml:space="preserve">  In this case, the for-profit Tier 1 entity would be able to claim compliance with IFRSs in that the relief is within the scope of the relief available under IFRSs.</w:t>
      </w:r>
    </w:p>
    <w:p w:rsidR="00401176" w:rsidRDefault="00401176" w:rsidP="003D471D">
      <w:pPr>
        <w:pStyle w:val="NumBC1"/>
        <w:numPr>
          <w:ilvl w:val="0"/>
          <w:numId w:val="9"/>
        </w:numPr>
      </w:pPr>
      <w:r>
        <w:t xml:space="preserve">The </w:t>
      </w:r>
      <w:r w:rsidR="004D40B7">
        <w:t>AASB</w:t>
      </w:r>
      <w:r>
        <w:t xml:space="preserve"> considered the extension of relief to a </w:t>
      </w:r>
      <w:r w:rsidR="00F30EB9">
        <w:t xml:space="preserve">for-profit </w:t>
      </w:r>
      <w:r w:rsidR="00F30EB9" w:rsidRPr="002347E6">
        <w:t xml:space="preserve">Tier 2 </w:t>
      </w:r>
      <w:r>
        <w:t xml:space="preserve">parent, investor or venturer </w:t>
      </w:r>
      <w:r w:rsidRPr="002347E6">
        <w:t xml:space="preserve">that has a not-for-profit ultimate or intermediate parent.  </w:t>
      </w:r>
      <w:r w:rsidR="004D40B7" w:rsidRPr="002347E6">
        <w:t>The table in the Basis for Conclusions in ED 205 proposed that relief should be available to a parent</w:t>
      </w:r>
      <w:r w:rsidR="002347E6" w:rsidRPr="002347E6">
        <w:t>, investor or venturer</w:t>
      </w:r>
      <w:r w:rsidR="004D40B7" w:rsidRPr="002347E6">
        <w:t xml:space="preserve"> </w:t>
      </w:r>
      <w:r w:rsidR="002347E6">
        <w:t>in these circumstances,</w:t>
      </w:r>
      <w:r w:rsidR="002347E6" w:rsidRPr="002347E6">
        <w:t xml:space="preserve"> </w:t>
      </w:r>
      <w:r w:rsidR="00615791" w:rsidRPr="002347E6">
        <w:t>which appears to be inconsistent with the circumstances addressed in paragraph</w:t>
      </w:r>
      <w:r w:rsidR="00615791">
        <w:t xml:space="preserve"> BC13.  </w:t>
      </w:r>
      <w:r w:rsidR="00F133FC">
        <w:t xml:space="preserve">The </w:t>
      </w:r>
      <w:r w:rsidR="00BB6199">
        <w:t xml:space="preserve">AASB </w:t>
      </w:r>
      <w:r w:rsidR="00F133FC">
        <w:t>considered three approaches to address</w:t>
      </w:r>
      <w:r w:rsidR="00F30EB9">
        <w:t>ing</w:t>
      </w:r>
      <w:r w:rsidR="00F133FC">
        <w:t xml:space="preserve"> the apparent inconsistency</w:t>
      </w:r>
      <w:r w:rsidR="00615791">
        <w:t>:</w:t>
      </w:r>
    </w:p>
    <w:p w:rsidR="00F133FC" w:rsidRDefault="00F133FC" w:rsidP="003D471D">
      <w:pPr>
        <w:pStyle w:val="NumBC2"/>
        <w:numPr>
          <w:ilvl w:val="1"/>
          <w:numId w:val="27"/>
        </w:numPr>
      </w:pPr>
      <w:r>
        <w:t xml:space="preserve">amend </w:t>
      </w:r>
      <w:r w:rsidR="005A225D">
        <w:t xml:space="preserve">the </w:t>
      </w:r>
      <w:r>
        <w:t>table</w:t>
      </w:r>
      <w:r w:rsidR="00DF2FD6">
        <w:t xml:space="preserve"> proposed in ED 205 </w:t>
      </w:r>
      <w:r w:rsidR="00615791">
        <w:t>to indicate that the relief would not be available</w:t>
      </w:r>
      <w:r>
        <w:t>;</w:t>
      </w:r>
    </w:p>
    <w:p w:rsidR="00F133FC" w:rsidRDefault="00F133FC" w:rsidP="003D471D">
      <w:pPr>
        <w:pStyle w:val="NumBC2"/>
        <w:numPr>
          <w:ilvl w:val="1"/>
          <w:numId w:val="27"/>
        </w:numPr>
      </w:pPr>
      <w:r>
        <w:t xml:space="preserve">retain the approach </w:t>
      </w:r>
      <w:r w:rsidR="005A225D">
        <w:t xml:space="preserve">proposed </w:t>
      </w:r>
      <w:r>
        <w:t xml:space="preserve">in ED 205, </w:t>
      </w:r>
      <w:r w:rsidR="00615791">
        <w:t>that the</w:t>
      </w:r>
      <w:r>
        <w:t xml:space="preserve"> relief</w:t>
      </w:r>
      <w:r w:rsidR="00615791">
        <w:t xml:space="preserve"> would be available</w:t>
      </w:r>
      <w:r w:rsidR="00F30EB9">
        <w:t>,</w:t>
      </w:r>
      <w:r w:rsidR="00615791">
        <w:t xml:space="preserve"> and</w:t>
      </w:r>
      <w:r>
        <w:t xml:space="preserve"> extend the justification </w:t>
      </w:r>
      <w:r w:rsidR="00DF2FD6">
        <w:t xml:space="preserve">in the Basis for Conclusions </w:t>
      </w:r>
      <w:r w:rsidR="00615791">
        <w:t>for this position</w:t>
      </w:r>
      <w:r>
        <w:t>; or</w:t>
      </w:r>
    </w:p>
    <w:p w:rsidR="00F133FC" w:rsidRDefault="00F133FC" w:rsidP="003D471D">
      <w:pPr>
        <w:pStyle w:val="NumBC2"/>
        <w:numPr>
          <w:ilvl w:val="1"/>
          <w:numId w:val="27"/>
        </w:numPr>
      </w:pPr>
      <w:r>
        <w:t>retain the approach</w:t>
      </w:r>
      <w:r w:rsidR="005A225D">
        <w:t xml:space="preserve"> proposed</w:t>
      </w:r>
      <w:r w:rsidR="00F30EB9">
        <w:t xml:space="preserve"> in ED 205 with no amendment </w:t>
      </w:r>
      <w:r>
        <w:t>to the justification.</w:t>
      </w:r>
    </w:p>
    <w:p w:rsidR="00F133FC" w:rsidRDefault="00F133FC" w:rsidP="003D471D">
      <w:pPr>
        <w:pStyle w:val="NumBC1"/>
        <w:numPr>
          <w:ilvl w:val="0"/>
          <w:numId w:val="9"/>
        </w:numPr>
      </w:pPr>
      <w:r>
        <w:t xml:space="preserve">The </w:t>
      </w:r>
      <w:r w:rsidR="00615791">
        <w:t>AASB</w:t>
      </w:r>
      <w:r>
        <w:t xml:space="preserve"> adopted the approach in paragraph BC1</w:t>
      </w:r>
      <w:r w:rsidR="00F30EB9">
        <w:t>4</w:t>
      </w:r>
      <w:r>
        <w:t>(b)</w:t>
      </w:r>
      <w:r w:rsidR="00DF2FD6">
        <w:t>, extending the relief,</w:t>
      </w:r>
      <w:r>
        <w:t xml:space="preserve"> based on its judgement that the </w:t>
      </w:r>
      <w:r w:rsidR="00F30EB9">
        <w:t>relief</w:t>
      </w:r>
      <w:r>
        <w:t xml:space="preserve"> would be reasonable for Tier 2 parents, investors or venturers despite any differences</w:t>
      </w:r>
      <w:r w:rsidR="005A225D">
        <w:t xml:space="preserve"> </w:t>
      </w:r>
      <w:r w:rsidR="003D471D">
        <w:t xml:space="preserve">in the basis of accounting </w:t>
      </w:r>
      <w:r w:rsidR="005A225D">
        <w:t>in the consolidated financial statements</w:t>
      </w:r>
      <w:r w:rsidR="00615791">
        <w:t xml:space="preserve"> of the ultimate or intermediate parent</w:t>
      </w:r>
      <w:r w:rsidR="005A225D">
        <w:t xml:space="preserve"> that are publicly available.</w:t>
      </w:r>
      <w:r w:rsidR="003D471D">
        <w:t xml:space="preserve">  Typically, the not-for-profit ultimate or intermediate parent would not be able to claim compliance with IFRSs, and the Tier 2 parent, investor or venturer could not do so.</w:t>
      </w:r>
    </w:p>
    <w:p w:rsidR="00615791" w:rsidRDefault="00615791" w:rsidP="003D471D">
      <w:pPr>
        <w:pStyle w:val="Heading3"/>
      </w:pPr>
      <w:r>
        <w:t xml:space="preserve">For-Profit </w:t>
      </w:r>
      <w:r w:rsidR="003E2CA6">
        <w:t xml:space="preserve">Public Sector </w:t>
      </w:r>
      <w:r w:rsidR="003D471D">
        <w:t>Entities</w:t>
      </w:r>
    </w:p>
    <w:p w:rsidR="00615791" w:rsidRDefault="00615791" w:rsidP="003D471D">
      <w:pPr>
        <w:pStyle w:val="NumBC1"/>
        <w:numPr>
          <w:ilvl w:val="0"/>
          <w:numId w:val="9"/>
        </w:numPr>
        <w:autoSpaceDE w:val="0"/>
        <w:autoSpaceDN w:val="0"/>
        <w:adjustRightInd w:val="0"/>
        <w:rPr>
          <w:rFonts w:ascii="TimesNewRomanPSMT" w:hAnsi="TimesNewRomanPSMT" w:cs="TimesNewRomanPSMT"/>
          <w:lang w:eastAsia="en-AU"/>
        </w:rPr>
      </w:pPr>
      <w:r w:rsidRPr="0059392B">
        <w:t xml:space="preserve">The AASB decided </w:t>
      </w:r>
      <w:r w:rsidR="00EA2CF0" w:rsidRPr="0059392B">
        <w:t xml:space="preserve">that </w:t>
      </w:r>
      <w:r w:rsidRPr="0059392B">
        <w:t xml:space="preserve">relief would not be </w:t>
      </w:r>
      <w:r w:rsidR="00C0197E">
        <w:t>available</w:t>
      </w:r>
      <w:r w:rsidR="00C0197E" w:rsidRPr="0059392B">
        <w:t xml:space="preserve"> </w:t>
      </w:r>
      <w:r w:rsidRPr="0059392B">
        <w:t xml:space="preserve">to a parent entity </w:t>
      </w:r>
      <w:r w:rsidR="00EA2CF0" w:rsidRPr="0059392B">
        <w:t xml:space="preserve">merely because </w:t>
      </w:r>
      <w:r w:rsidRPr="0059392B">
        <w:t xml:space="preserve">the intermediate parent </w:t>
      </w:r>
      <w:r w:rsidR="0059392B" w:rsidRPr="0059392B">
        <w:t xml:space="preserve">preparing consolidated financial statements </w:t>
      </w:r>
      <w:r w:rsidRPr="0059392B">
        <w:t>is a for-profit</w:t>
      </w:r>
      <w:r w:rsidR="003D471D">
        <w:t xml:space="preserve"> Tier 1</w:t>
      </w:r>
      <w:r w:rsidRPr="0059392B">
        <w:t xml:space="preserve"> </w:t>
      </w:r>
      <w:r w:rsidR="003E2CA6">
        <w:t>public sector entity</w:t>
      </w:r>
      <w:r w:rsidRPr="0059392B">
        <w:t xml:space="preserve"> unable to claim compliance with IFRSs.  This decision was </w:t>
      </w:r>
      <w:r w:rsidR="0059392B" w:rsidRPr="0059392B">
        <w:t xml:space="preserve">made </w:t>
      </w:r>
      <w:r w:rsidRPr="0059392B">
        <w:t xml:space="preserve">on the basis </w:t>
      </w:r>
      <w:r w:rsidR="00CE4E4D" w:rsidRPr="0059392B">
        <w:t>that</w:t>
      </w:r>
      <w:r w:rsidRPr="0059392B">
        <w:t xml:space="preserve"> </w:t>
      </w:r>
      <w:r w:rsidRPr="0059392B">
        <w:rPr>
          <w:rFonts w:ascii="TimesNewRomanPSMT" w:hAnsi="TimesNewRomanPSMT" w:cs="TimesNewRomanPSMT"/>
          <w:lang w:eastAsia="en-AU"/>
        </w:rPr>
        <w:t xml:space="preserve">a for-profit </w:t>
      </w:r>
      <w:r w:rsidR="003D471D">
        <w:rPr>
          <w:rFonts w:ascii="TimesNewRomanPSMT" w:hAnsi="TimesNewRomanPSMT" w:cs="TimesNewRomanPSMT"/>
          <w:lang w:eastAsia="en-AU"/>
        </w:rPr>
        <w:t>public sector entity</w:t>
      </w:r>
      <w:r w:rsidRPr="0059392B">
        <w:rPr>
          <w:rFonts w:ascii="TimesNewRomanPSMT" w:hAnsi="TimesNewRomanPSMT" w:cs="TimesNewRomanPSMT"/>
          <w:lang w:eastAsia="en-AU"/>
        </w:rPr>
        <w:t xml:space="preserve"> </w:t>
      </w:r>
      <w:r w:rsidR="0059392B">
        <w:rPr>
          <w:rFonts w:ascii="TimesNewRomanPSMT" w:hAnsi="TimesNewRomanPSMT" w:cs="TimesNewRomanPSMT"/>
          <w:lang w:eastAsia="en-AU"/>
        </w:rPr>
        <w:t xml:space="preserve">may apply requirements in </w:t>
      </w:r>
      <w:r w:rsidRPr="0059392B">
        <w:rPr>
          <w:rFonts w:ascii="TimesNewRomanPSMT" w:hAnsi="TimesNewRomanPSMT" w:cs="TimesNewRomanPSMT"/>
          <w:lang w:eastAsia="en-AU"/>
        </w:rPr>
        <w:t>particular Standards, such as</w:t>
      </w:r>
      <w:r w:rsidR="00CE4E4D" w:rsidRPr="0059392B">
        <w:rPr>
          <w:rFonts w:ascii="TimesNewRomanPSMT" w:hAnsi="TimesNewRomanPSMT" w:cs="TimesNewRomanPSMT"/>
          <w:lang w:eastAsia="en-AU"/>
        </w:rPr>
        <w:t xml:space="preserve"> </w:t>
      </w:r>
      <w:r w:rsidRPr="0059392B">
        <w:rPr>
          <w:rFonts w:ascii="TimesNewRomanPSMT" w:hAnsi="TimesNewRomanPSMT" w:cs="TimesNewRomanPSMT"/>
          <w:lang w:eastAsia="en-AU"/>
        </w:rPr>
        <w:t xml:space="preserve">AASB 1004 </w:t>
      </w:r>
      <w:r w:rsidRPr="0059392B">
        <w:rPr>
          <w:i/>
          <w:iCs/>
          <w:lang w:eastAsia="en-AU"/>
        </w:rPr>
        <w:t>Contributions</w:t>
      </w:r>
      <w:r w:rsidRPr="0059392B">
        <w:rPr>
          <w:rFonts w:ascii="TimesNewRomanPSMT" w:hAnsi="TimesNewRomanPSMT" w:cs="TimesNewRomanPSMT"/>
          <w:lang w:eastAsia="en-AU"/>
        </w:rPr>
        <w:t>, and Aus paragraphs in</w:t>
      </w:r>
      <w:r w:rsidR="00CE4E4D" w:rsidRPr="0059392B">
        <w:rPr>
          <w:rFonts w:ascii="TimesNewRomanPSMT" w:hAnsi="TimesNewRomanPSMT" w:cs="TimesNewRomanPSMT"/>
          <w:lang w:eastAsia="en-AU"/>
        </w:rPr>
        <w:t xml:space="preserve"> </w:t>
      </w:r>
      <w:r w:rsidRPr="0059392B">
        <w:rPr>
          <w:rFonts w:ascii="TimesNewRomanPSMT" w:hAnsi="TimesNewRomanPSMT" w:cs="TimesNewRomanPSMT"/>
          <w:lang w:eastAsia="en-AU"/>
        </w:rPr>
        <w:t>other</w:t>
      </w:r>
      <w:r w:rsidRPr="00CE4E4D">
        <w:rPr>
          <w:rFonts w:ascii="TimesNewRomanPSMT" w:hAnsi="TimesNewRomanPSMT" w:cs="TimesNewRomanPSMT"/>
          <w:lang w:eastAsia="en-AU"/>
        </w:rPr>
        <w:t xml:space="preserve"> Australian Accounting Standards that </w:t>
      </w:r>
      <w:r w:rsidR="0059392B">
        <w:rPr>
          <w:rFonts w:ascii="TimesNewRomanPSMT" w:hAnsi="TimesNewRomanPSMT" w:cs="TimesNewRomanPSMT"/>
          <w:lang w:eastAsia="en-AU"/>
        </w:rPr>
        <w:t>are</w:t>
      </w:r>
      <w:r w:rsidRPr="00CE4E4D">
        <w:rPr>
          <w:rFonts w:ascii="TimesNewRomanPSMT" w:hAnsi="TimesNewRomanPSMT" w:cs="TimesNewRomanPSMT"/>
          <w:lang w:eastAsia="en-AU"/>
        </w:rPr>
        <w:t xml:space="preserve"> inconsistent with an IFRS</w:t>
      </w:r>
      <w:r w:rsidR="0059392B">
        <w:rPr>
          <w:rFonts w:ascii="TimesNewRomanPSMT" w:hAnsi="TimesNewRomanPSMT" w:cs="TimesNewRomanPSMT"/>
          <w:lang w:eastAsia="en-AU"/>
        </w:rPr>
        <w:t xml:space="preserve"> requirement</w:t>
      </w:r>
      <w:r w:rsidR="00CE4E4D">
        <w:rPr>
          <w:rFonts w:ascii="TimesNewRomanPSMT" w:hAnsi="TimesNewRomanPSMT" w:cs="TimesNewRomanPSMT"/>
          <w:lang w:eastAsia="en-AU"/>
        </w:rPr>
        <w:t>.</w:t>
      </w:r>
      <w:r w:rsidR="0059392B">
        <w:rPr>
          <w:rFonts w:ascii="TimesNewRomanPSMT" w:hAnsi="TimesNewRomanPSMT" w:cs="TimesNewRomanPSMT"/>
          <w:lang w:eastAsia="en-AU"/>
        </w:rPr>
        <w:t xml:space="preserve">  However, relief may be available to the parent entity on another basis permitted by the Standard.</w:t>
      </w:r>
    </w:p>
    <w:p w:rsidR="00E769A0" w:rsidRPr="00CE4E4D" w:rsidRDefault="00E769A0" w:rsidP="003D471D">
      <w:pPr>
        <w:pStyle w:val="NumBC1"/>
        <w:numPr>
          <w:ilvl w:val="0"/>
          <w:numId w:val="9"/>
        </w:numPr>
        <w:autoSpaceDE w:val="0"/>
        <w:autoSpaceDN w:val="0"/>
        <w:adjustRightInd w:val="0"/>
        <w:rPr>
          <w:rFonts w:ascii="TimesNewRomanPSMT" w:hAnsi="TimesNewRomanPSMT" w:cs="TimesNewRomanPSMT"/>
          <w:lang w:eastAsia="en-AU"/>
        </w:rPr>
      </w:pPr>
      <w:r>
        <w:t xml:space="preserve">Relief </w:t>
      </w:r>
      <w:r w:rsidR="0059392B">
        <w:t>is</w:t>
      </w:r>
      <w:r w:rsidR="00C27E17">
        <w:t xml:space="preserve"> (or is not)</w:t>
      </w:r>
      <w:r>
        <w:t xml:space="preserve"> available to a for-profit </w:t>
      </w:r>
      <w:r w:rsidR="003D471D">
        <w:t>public sector entity</w:t>
      </w:r>
      <w:r>
        <w:t xml:space="preserve"> as the parent, investor or venturer on the same basis as </w:t>
      </w:r>
      <w:r w:rsidR="0059392B">
        <w:t xml:space="preserve">for </w:t>
      </w:r>
      <w:r>
        <w:t>any other for-profit parent, investor or venturer.</w:t>
      </w:r>
    </w:p>
    <w:p w:rsidR="00002C98" w:rsidRDefault="00002C98" w:rsidP="003D471D">
      <w:pPr>
        <w:pStyle w:val="Heading3"/>
      </w:pPr>
      <w:r>
        <w:t>Other Changes</w:t>
      </w:r>
    </w:p>
    <w:p w:rsidR="009A5708" w:rsidRDefault="00395A5F" w:rsidP="008E75A7">
      <w:pPr>
        <w:pStyle w:val="NumBC1"/>
        <w:numPr>
          <w:ilvl w:val="0"/>
          <w:numId w:val="9"/>
        </w:numPr>
      </w:pPr>
      <w:r>
        <w:t xml:space="preserve">The </w:t>
      </w:r>
      <w:r w:rsidR="004166F0">
        <w:t xml:space="preserve">AASB </w:t>
      </w:r>
      <w:r>
        <w:t xml:space="preserve">also </w:t>
      </w:r>
      <w:r w:rsidR="009C7B20">
        <w:t xml:space="preserve">decided </w:t>
      </w:r>
      <w:r>
        <w:t>that, consistent with paragraph 10(d) of AASB 127, the references to ‘Australian equivalents to IFRSs’ in paragraph 13(c)(iv) of AASB 128 and paragraph 2(c)(iv) of AASB 131 should be amended to ‘International Financial Reporting Standards’.</w:t>
      </w:r>
    </w:p>
    <w:p w:rsidR="004166F0" w:rsidRDefault="005F25E1" w:rsidP="008E75A7">
      <w:pPr>
        <w:pStyle w:val="NumBC1"/>
        <w:numPr>
          <w:ilvl w:val="0"/>
          <w:numId w:val="9"/>
        </w:numPr>
      </w:pPr>
      <w:r>
        <w:t>The AASB decided to include the summary table</w:t>
      </w:r>
      <w:r w:rsidR="003373C7">
        <w:t xml:space="preserve"> </w:t>
      </w:r>
      <w:r w:rsidR="004166F0">
        <w:t xml:space="preserve">set out </w:t>
      </w:r>
      <w:r w:rsidR="003373C7">
        <w:t>in</w:t>
      </w:r>
      <w:r>
        <w:t xml:space="preserve"> the </w:t>
      </w:r>
      <w:r w:rsidR="00C82C1F">
        <w:t>B</w:t>
      </w:r>
      <w:r>
        <w:t xml:space="preserve">asis </w:t>
      </w:r>
      <w:r w:rsidR="00C82C1F">
        <w:t>f</w:t>
      </w:r>
      <w:r>
        <w:t xml:space="preserve">or </w:t>
      </w:r>
      <w:r w:rsidR="00C82C1F">
        <w:t>C</w:t>
      </w:r>
      <w:r>
        <w:t xml:space="preserve">onclusions </w:t>
      </w:r>
      <w:r w:rsidR="00E9024D">
        <w:t xml:space="preserve">in </w:t>
      </w:r>
      <w:r w:rsidR="003373C7">
        <w:t xml:space="preserve">the </w:t>
      </w:r>
      <w:r w:rsidR="004166F0">
        <w:t>Exposure Dra</w:t>
      </w:r>
      <w:r w:rsidR="003373C7">
        <w:t>ft</w:t>
      </w:r>
      <w:r>
        <w:t xml:space="preserve"> as</w:t>
      </w:r>
      <w:r w:rsidR="0094797C">
        <w:t xml:space="preserve"> Australian</w:t>
      </w:r>
      <w:r>
        <w:t xml:space="preserve"> </w:t>
      </w:r>
      <w:r w:rsidR="004166F0">
        <w:t xml:space="preserve">application </w:t>
      </w:r>
      <w:r>
        <w:t>guidance accompanying, but not part of, the amended AASB 127</w:t>
      </w:r>
      <w:r w:rsidR="003373C7">
        <w:t>.</w:t>
      </w:r>
      <w:r w:rsidR="0094797C">
        <w:t xml:space="preserve">  </w:t>
      </w:r>
      <w:r w:rsidR="004145E4" w:rsidRPr="004166F0">
        <w:t>Whereas t</w:t>
      </w:r>
      <w:r w:rsidR="0094797C" w:rsidRPr="004166F0">
        <w:t xml:space="preserve">he table in the </w:t>
      </w:r>
      <w:r w:rsidR="004145E4" w:rsidRPr="004166F0">
        <w:t>Exposure D</w:t>
      </w:r>
      <w:r w:rsidR="0094797C" w:rsidRPr="004166F0">
        <w:t xml:space="preserve">raft addressed relief in relation to </w:t>
      </w:r>
      <w:r w:rsidR="004145E4" w:rsidRPr="004166F0">
        <w:t xml:space="preserve">both not-for-profit entities and </w:t>
      </w:r>
      <w:r w:rsidR="0094797C" w:rsidRPr="004166F0">
        <w:t>entities applying reduced disclosure requirements</w:t>
      </w:r>
      <w:r w:rsidR="00DF22A2" w:rsidRPr="004166F0">
        <w:t xml:space="preserve"> under AASB 1053 </w:t>
      </w:r>
      <w:r w:rsidR="00DF22A2" w:rsidRPr="004166F0">
        <w:rPr>
          <w:i/>
        </w:rPr>
        <w:t>Application of Tiers of Australian Accounting Standards</w:t>
      </w:r>
      <w:r w:rsidR="004145E4" w:rsidRPr="004166F0">
        <w:t>,</w:t>
      </w:r>
      <w:r w:rsidR="0094797C" w:rsidRPr="004166F0">
        <w:t xml:space="preserve"> </w:t>
      </w:r>
      <w:r w:rsidR="004145E4" w:rsidRPr="004166F0">
        <w:t>t</w:t>
      </w:r>
      <w:r w:rsidR="0094797C" w:rsidRPr="004166F0">
        <w:t xml:space="preserve">he table </w:t>
      </w:r>
      <w:r w:rsidR="004166F0">
        <w:t xml:space="preserve">added to the </w:t>
      </w:r>
      <w:r w:rsidR="004145E4" w:rsidRPr="004166F0">
        <w:t xml:space="preserve">AASB 127 </w:t>
      </w:r>
      <w:r w:rsidR="004166F0">
        <w:t xml:space="preserve">guidance </w:t>
      </w:r>
      <w:r w:rsidR="004145E4" w:rsidRPr="004166F0">
        <w:t xml:space="preserve">by </w:t>
      </w:r>
      <w:r w:rsidR="004166F0">
        <w:t>AASB 2011-</w:t>
      </w:r>
      <w:r w:rsidR="004F69C3">
        <w:t>5</w:t>
      </w:r>
      <w:r w:rsidR="004166F0">
        <w:t xml:space="preserve"> </w:t>
      </w:r>
      <w:r w:rsidR="004145E4" w:rsidRPr="004166F0">
        <w:t>addresses not-for-profit entities</w:t>
      </w:r>
      <w:r w:rsidR="00E9024D">
        <w:t xml:space="preserve"> but not reduced disclosure requirements</w:t>
      </w:r>
      <w:r w:rsidR="004145E4" w:rsidRPr="004166F0">
        <w:t>.</w:t>
      </w:r>
    </w:p>
    <w:p w:rsidR="009E2F71" w:rsidRDefault="009E2F71" w:rsidP="009E2F71">
      <w:pPr>
        <w:pStyle w:val="Heading3"/>
      </w:pPr>
      <w:r>
        <w:t>Reduced Disclosure Requirements</w:t>
      </w:r>
    </w:p>
    <w:p w:rsidR="009E2F71" w:rsidRDefault="00B40C24" w:rsidP="008E75A7">
      <w:pPr>
        <w:pStyle w:val="NumBC1"/>
        <w:numPr>
          <w:ilvl w:val="0"/>
          <w:numId w:val="9"/>
        </w:numPr>
      </w:pPr>
      <w:r>
        <w:t>Exposure Draft ED 205</w:t>
      </w:r>
      <w:r w:rsidR="00AE3E1D">
        <w:t xml:space="preserve">, in addition to addressing relief </w:t>
      </w:r>
      <w:r w:rsidR="004166F0">
        <w:t xml:space="preserve">for </w:t>
      </w:r>
      <w:r w:rsidR="00AE3E1D">
        <w:t>not-for-profit entities, also</w:t>
      </w:r>
      <w:r>
        <w:t xml:space="preserve"> </w:t>
      </w:r>
      <w:r w:rsidR="0098217E">
        <w:t>proposed</w:t>
      </w:r>
      <w:r>
        <w:t xml:space="preserve"> the extension of relief to entities applying Australian Accounting Standards – Reduced Disclosure Requirements under AASB 1053</w:t>
      </w:r>
      <w:r w:rsidR="00AE3E1D">
        <w:t xml:space="preserve">.  </w:t>
      </w:r>
      <w:r w:rsidR="0098217E">
        <w:t>The AASB decided that relief should be extended to Tier 2 entities</w:t>
      </w:r>
      <w:r w:rsidR="00E9024D">
        <w:t>, either</w:t>
      </w:r>
      <w:r w:rsidR="0098217E">
        <w:t xml:space="preserve"> on the same basis as for not-for-profit entitie</w:t>
      </w:r>
      <w:r w:rsidR="009A5708">
        <w:t>s or</w:t>
      </w:r>
      <w:r w:rsidR="0098217E">
        <w:t xml:space="preserve"> as </w:t>
      </w:r>
      <w:r w:rsidR="009A5708">
        <w:t>addressed in paragraphs BC14 and BC15</w:t>
      </w:r>
      <w:r w:rsidR="006910DF">
        <w:t xml:space="preserve">.  </w:t>
      </w:r>
      <w:r w:rsidR="00FF711F">
        <w:t xml:space="preserve">Accounting Standard </w:t>
      </w:r>
      <w:r w:rsidR="00140C6A">
        <w:t>AASB</w:t>
      </w:r>
      <w:r w:rsidR="00500AF8">
        <w:t> </w:t>
      </w:r>
      <w:r w:rsidR="0098217E" w:rsidRPr="00500AF8">
        <w:t>201</w:t>
      </w:r>
      <w:r w:rsidR="00FF711F" w:rsidRPr="00500AF8">
        <w:t>1</w:t>
      </w:r>
      <w:r w:rsidR="00C209BB">
        <w:noBreakHyphen/>
      </w:r>
      <w:r w:rsidR="004F69C3">
        <w:t>6</w:t>
      </w:r>
      <w:r w:rsidR="00FF711F">
        <w:t xml:space="preserve"> provides this relief.</w:t>
      </w:r>
      <w:r w:rsidR="00500AF8">
        <w:t xml:space="preserve">  That Standard also expands the table in the Australian application guidance accompanying AASB</w:t>
      </w:r>
      <w:r w:rsidR="00C209BB">
        <w:t> </w:t>
      </w:r>
      <w:r w:rsidR="00500AF8">
        <w:t xml:space="preserve">127 to address entities </w:t>
      </w:r>
      <w:r w:rsidR="00500AF8" w:rsidRPr="004166F0">
        <w:t>applying reduced disclosure requirements</w:t>
      </w:r>
      <w:r w:rsidR="00500AF8">
        <w:t>.</w:t>
      </w:r>
    </w:p>
    <w:p w:rsidR="009E2F71" w:rsidRDefault="00500AF8" w:rsidP="00500AF8">
      <w:pPr>
        <w:pStyle w:val="NumBC1"/>
        <w:numPr>
          <w:ilvl w:val="0"/>
          <w:numId w:val="9"/>
        </w:numPr>
      </w:pPr>
      <w:r>
        <w:t>Whereas AASB 2011-</w:t>
      </w:r>
      <w:r w:rsidR="004F69C3">
        <w:t>5</w:t>
      </w:r>
      <w:r>
        <w:t xml:space="preserve"> applies to annual reporting periods beginning on or after 1 July 2011, </w:t>
      </w:r>
      <w:r w:rsidR="00140C6A">
        <w:t>AASB 2011-</w:t>
      </w:r>
      <w:r w:rsidR="004F69C3">
        <w:t>6</w:t>
      </w:r>
      <w:r w:rsidR="00140C6A">
        <w:t xml:space="preserve"> applies to annual reporting periods be</w:t>
      </w:r>
      <w:r w:rsidR="00E33DEA">
        <w:t xml:space="preserve">ginning on or after 1 July 2013, </w:t>
      </w:r>
      <w:r w:rsidR="00D04D64">
        <w:t>being the application date of the reduced disclosure requirements under AASB 1053</w:t>
      </w:r>
      <w:r w:rsidR="000272C0">
        <w:t xml:space="preserve">.  </w:t>
      </w:r>
      <w:r w:rsidR="00D04D64">
        <w:t xml:space="preserve">Accordingly, two amending Standards were prepared to reflect the different application dates.  </w:t>
      </w:r>
      <w:r w:rsidR="000272C0">
        <w:t xml:space="preserve">Early application </w:t>
      </w:r>
      <w:r w:rsidR="00D04D64">
        <w:t xml:space="preserve">of each Standard </w:t>
      </w:r>
      <w:r w:rsidR="000272C0">
        <w:t>is permitted</w:t>
      </w:r>
      <w:r w:rsidR="009235F2">
        <w:t>.  Ea</w:t>
      </w:r>
      <w:r w:rsidR="00636EBF">
        <w:t xml:space="preserve">rly application of </w:t>
      </w:r>
      <w:r w:rsidR="00B42ED7">
        <w:t>AASB </w:t>
      </w:r>
      <w:r w:rsidR="00636EBF">
        <w:t>2011-</w:t>
      </w:r>
      <w:r w:rsidR="004F69C3">
        <w:t>6</w:t>
      </w:r>
      <w:r w:rsidR="00636EBF">
        <w:t xml:space="preserve"> </w:t>
      </w:r>
      <w:r w:rsidR="009235F2">
        <w:t xml:space="preserve">requires early application of </w:t>
      </w:r>
      <w:r w:rsidR="00636EBF">
        <w:t>AASB 1053.</w:t>
      </w:r>
    </w:p>
    <w:sectPr w:rsidR="009E2F71" w:rsidSect="00E71919">
      <w:footerReference w:type="default" r:id="rId23"/>
      <w:pgSz w:w="11907" w:h="16840" w:code="9"/>
      <w:pgMar w:top="3686" w:right="2835" w:bottom="3686" w:left="2835" w:header="709" w:footer="3255" w:gutter="0"/>
      <w:paperSrc w:first="58" w:other="58"/>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29" w:rsidRDefault="00325A29">
      <w:r>
        <w:separator/>
      </w:r>
    </w:p>
  </w:endnote>
  <w:endnote w:type="continuationSeparator" w:id="0">
    <w:p w:rsidR="00325A29" w:rsidRDefault="00325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rsidP="007D6181">
    <w:pPr>
      <w:pStyle w:val="Footer"/>
    </w:pPr>
    <w:r>
      <w:rPr>
        <w:b/>
      </w:rPr>
      <w:t xml:space="preserve">AASB </w:t>
    </w:r>
    <w:r w:rsidR="00CB6151">
      <w:rPr>
        <w:b/>
      </w:rPr>
      <w:fldChar w:fldCharType="begin" w:fldLock="1"/>
    </w:r>
    <w:r>
      <w:rPr>
        <w:b/>
      </w:rPr>
      <w:instrText xml:space="preserve"> REF DocNo  \* charformat </w:instrText>
    </w:r>
    <w:r w:rsidR="00CB6151">
      <w:rPr>
        <w:b/>
      </w:rPr>
      <w:fldChar w:fldCharType="separate"/>
    </w:r>
    <w:r w:rsidR="006C3DED" w:rsidRPr="006C3DED">
      <w:rPr>
        <w:b/>
      </w:rPr>
      <w:t>2011-6</w:t>
    </w:r>
    <w:r w:rsidR="00CB6151">
      <w:rPr>
        <w:b/>
      </w:rPr>
      <w:fldChar w:fldCharType="end"/>
    </w:r>
    <w:r>
      <w:rPr>
        <w:b/>
      </w:rPr>
      <w:tab/>
    </w:r>
    <w:r w:rsidR="00CB6151">
      <w:fldChar w:fldCharType="begin"/>
    </w:r>
    <w:r>
      <w:instrText>PAGE</w:instrText>
    </w:r>
    <w:r w:rsidR="00CB6151">
      <w:fldChar w:fldCharType="separate"/>
    </w:r>
    <w:r w:rsidR="0025524B">
      <w:rPr>
        <w:noProof/>
      </w:rPr>
      <w:t>2</w:t>
    </w:r>
    <w:r w:rsidR="00CB6151">
      <w:fldChar w:fldCharType="end"/>
    </w:r>
    <w:r>
      <w:tab/>
    </w:r>
    <w:r>
      <w:rPr>
        <w:b/>
        <w:bCs/>
      </w:rPr>
      <w:t>COPYRIGHT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Pr="004102CE" w:rsidRDefault="00325A29" w:rsidP="004102CE">
    <w:pPr>
      <w:pStyle w:val="Footer"/>
      <w:rPr>
        <w:b/>
      </w:rPr>
    </w:pPr>
    <w:r>
      <w:rPr>
        <w:b/>
      </w:rPr>
      <w:t xml:space="preserve">AASB </w:t>
    </w:r>
    <w:r w:rsidR="00CB6151">
      <w:rPr>
        <w:b/>
      </w:rPr>
      <w:fldChar w:fldCharType="begin" w:fldLock="1"/>
    </w:r>
    <w:r>
      <w:rPr>
        <w:b/>
      </w:rPr>
      <w:instrText xml:space="preserve"> REF DocNo  \* charformat </w:instrText>
    </w:r>
    <w:r w:rsidR="00CB6151">
      <w:rPr>
        <w:b/>
      </w:rPr>
      <w:fldChar w:fldCharType="separate"/>
    </w:r>
    <w:r w:rsidR="006C3DED" w:rsidRPr="006C3DED">
      <w:rPr>
        <w:b/>
      </w:rPr>
      <w:t>2011-6</w:t>
    </w:r>
    <w:r w:rsidR="00CB6151">
      <w:rPr>
        <w:b/>
      </w:rPr>
      <w:fldChar w:fldCharType="end"/>
    </w:r>
    <w:r>
      <w:rPr>
        <w:b/>
      </w:rPr>
      <w:tab/>
    </w:r>
    <w:r w:rsidR="00CB6151">
      <w:fldChar w:fldCharType="begin"/>
    </w:r>
    <w:r>
      <w:instrText>PAGE</w:instrText>
    </w:r>
    <w:r w:rsidR="00CB6151">
      <w:fldChar w:fldCharType="separate"/>
    </w:r>
    <w:r w:rsidR="0025524B">
      <w:rPr>
        <w:noProof/>
      </w:rPr>
      <w:t>3</w:t>
    </w:r>
    <w:r w:rsidR="00CB6151">
      <w:fldChar w:fldCharType="end"/>
    </w:r>
    <w:r>
      <w:tab/>
    </w:r>
    <w:r>
      <w:rPr>
        <w:b/>
        <w:bCs/>
      </w:rPr>
      <w:t>CONTENTS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rPr>
        <w:b/>
      </w:rPr>
    </w:pPr>
    <w:r>
      <w:rPr>
        <w:b/>
      </w:rPr>
      <w:t xml:space="preserve">AASB </w:t>
    </w:r>
    <w:r w:rsidR="00CB6151">
      <w:rPr>
        <w:b/>
      </w:rPr>
      <w:fldChar w:fldCharType="begin" w:fldLock="1"/>
    </w:r>
    <w:r>
      <w:rPr>
        <w:b/>
      </w:rPr>
      <w:instrText xml:space="preserve"> REF DocNo  \* charformat </w:instrText>
    </w:r>
    <w:r w:rsidR="00CB6151">
      <w:rPr>
        <w:b/>
      </w:rPr>
      <w:fldChar w:fldCharType="separate"/>
    </w:r>
    <w:r w:rsidR="006C3DED" w:rsidRPr="006C3DED">
      <w:rPr>
        <w:b/>
      </w:rPr>
      <w:t>2011-6</w:t>
    </w:r>
    <w:r w:rsidR="00CB6151">
      <w:rPr>
        <w:b/>
      </w:rPr>
      <w:fldChar w:fldCharType="end"/>
    </w:r>
    <w:r>
      <w:rPr>
        <w:b/>
      </w:rPr>
      <w:tab/>
    </w:r>
    <w:r w:rsidR="00CB6151">
      <w:fldChar w:fldCharType="begin"/>
    </w:r>
    <w:r>
      <w:instrText>PAGE</w:instrText>
    </w:r>
    <w:r w:rsidR="00CB6151">
      <w:fldChar w:fldCharType="separate"/>
    </w:r>
    <w:r w:rsidR="0025524B">
      <w:rPr>
        <w:noProof/>
      </w:rPr>
      <w:t>6</w:t>
    </w:r>
    <w:r w:rsidR="00CB6151">
      <w:fldChar w:fldCharType="end"/>
    </w:r>
    <w:r>
      <w:tab/>
    </w:r>
    <w:r>
      <w:rPr>
        <w:b/>
        <w:bCs/>
      </w:rPr>
      <w:t>PREFACE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rPr>
        <w:b/>
      </w:rPr>
    </w:pPr>
    <w:r>
      <w:rPr>
        <w:b/>
      </w:rPr>
      <w:t xml:space="preserve">AASB </w:t>
    </w:r>
    <w:r w:rsidR="00CB6151">
      <w:rPr>
        <w:b/>
      </w:rPr>
      <w:fldChar w:fldCharType="begin" w:fldLock="1"/>
    </w:r>
    <w:r>
      <w:rPr>
        <w:b/>
      </w:rPr>
      <w:instrText xml:space="preserve"> REF DocNo  \* charformat </w:instrText>
    </w:r>
    <w:r w:rsidR="00CB6151">
      <w:rPr>
        <w:b/>
      </w:rPr>
      <w:fldChar w:fldCharType="separate"/>
    </w:r>
    <w:r w:rsidR="006C3DED" w:rsidRPr="006C3DED">
      <w:rPr>
        <w:b/>
      </w:rPr>
      <w:t>2011-6</w:t>
    </w:r>
    <w:r w:rsidR="00CB6151">
      <w:rPr>
        <w:b/>
      </w:rPr>
      <w:fldChar w:fldCharType="end"/>
    </w:r>
    <w:r>
      <w:rPr>
        <w:b/>
      </w:rPr>
      <w:tab/>
    </w:r>
    <w:r w:rsidR="00CB6151">
      <w:fldChar w:fldCharType="begin"/>
    </w:r>
    <w:r>
      <w:instrText>PAGE</w:instrText>
    </w:r>
    <w:r w:rsidR="00CB6151">
      <w:fldChar w:fldCharType="separate"/>
    </w:r>
    <w:r w:rsidR="0025524B">
      <w:rPr>
        <w:noProof/>
      </w:rPr>
      <w:t>8</w:t>
    </w:r>
    <w:r w:rsidR="00CB6151">
      <w:fldChar w:fldCharType="end"/>
    </w:r>
    <w:r>
      <w:tab/>
    </w:r>
    <w:r>
      <w:rPr>
        <w:b/>
        <w:bCs/>
      </w:rPr>
      <w:t>STANDARD</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Footer"/>
      <w:rPr>
        <w:b/>
      </w:rPr>
    </w:pPr>
    <w:r>
      <w:rPr>
        <w:b/>
      </w:rPr>
      <w:t xml:space="preserve">AASB </w:t>
    </w:r>
    <w:r w:rsidR="00CB6151">
      <w:rPr>
        <w:b/>
      </w:rPr>
      <w:fldChar w:fldCharType="begin" w:fldLock="1"/>
    </w:r>
    <w:r>
      <w:rPr>
        <w:b/>
      </w:rPr>
      <w:instrText xml:space="preserve"> REF DocNo  \* charformat </w:instrText>
    </w:r>
    <w:r w:rsidR="00CB6151">
      <w:rPr>
        <w:b/>
      </w:rPr>
      <w:fldChar w:fldCharType="separate"/>
    </w:r>
    <w:r w:rsidR="006C3DED" w:rsidRPr="006C3DED">
      <w:rPr>
        <w:b/>
      </w:rPr>
      <w:t>2011-6</w:t>
    </w:r>
    <w:r w:rsidR="00CB6151">
      <w:rPr>
        <w:b/>
      </w:rPr>
      <w:fldChar w:fldCharType="end"/>
    </w:r>
    <w:r>
      <w:rPr>
        <w:b/>
      </w:rPr>
      <w:tab/>
    </w:r>
    <w:r w:rsidR="00CB6151">
      <w:fldChar w:fldCharType="begin"/>
    </w:r>
    <w:r>
      <w:instrText>PAGE</w:instrText>
    </w:r>
    <w:r w:rsidR="00CB6151">
      <w:fldChar w:fldCharType="separate"/>
    </w:r>
    <w:r w:rsidR="0025524B">
      <w:rPr>
        <w:noProof/>
      </w:rPr>
      <w:t>17</w:t>
    </w:r>
    <w:r w:rsidR="00CB6151">
      <w:fldChar w:fldCharType="end"/>
    </w:r>
    <w:r>
      <w:tab/>
    </w:r>
    <w:r>
      <w:rPr>
        <w:b/>
        <w:bCs/>
      </w:rPr>
      <w:t>BASIS FOR CONCLUSIONS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29" w:rsidRDefault="00325A29">
      <w:r>
        <w:separator/>
      </w:r>
    </w:p>
  </w:footnote>
  <w:footnote w:type="continuationSeparator" w:id="0">
    <w:p w:rsidR="00325A29" w:rsidRDefault="00325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Pr="0012493B" w:rsidRDefault="00325A29" w:rsidP="0012493B">
    <w:pPr>
      <w:pStyle w:val="Header"/>
      <w:jc w:val="right"/>
      <w:rPr>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Pr="00DC2094" w:rsidRDefault="00325A29" w:rsidP="00DC20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Pr="00DC2094" w:rsidRDefault="00325A29" w:rsidP="00DC209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29" w:rsidRDefault="00325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35C2"/>
    <w:multiLevelType w:val="multilevel"/>
    <w:tmpl w:val="E03021DC"/>
    <w:lvl w:ilvl="0">
      <w:start w:val="1"/>
      <w:numFmt w:val="decimal"/>
      <w:pStyle w:val="NumBC1"/>
      <w:lvlText w:val="BC%1"/>
      <w:lvlJc w:val="left"/>
      <w:pPr>
        <w:tabs>
          <w:tab w:val="num" w:pos="624"/>
        </w:tabs>
        <w:ind w:left="624" w:hanging="62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765CF"/>
    <w:multiLevelType w:val="hybridMultilevel"/>
    <w:tmpl w:val="AD0A0914"/>
    <w:lvl w:ilvl="0" w:tplc="4DC4DD76">
      <w:numFmt w:val="bullet"/>
      <w:lvlText w:val=""/>
      <w:lvlJc w:val="left"/>
      <w:pPr>
        <w:ind w:left="984" w:hanging="360"/>
      </w:pPr>
      <w:rPr>
        <w:rFonts w:ascii="Symbol" w:eastAsia="Times New Roman" w:hAnsi="Symbol" w:cs="Times New Roman"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3">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7153DD"/>
    <w:multiLevelType w:val="hybridMultilevel"/>
    <w:tmpl w:val="89E245A2"/>
    <w:lvl w:ilvl="0" w:tplc="6B20321A">
      <w:start w:val="1"/>
      <w:numFmt w:val="lowerLetter"/>
      <w:lvlText w:val="(%1)"/>
      <w:lvlJc w:val="left"/>
      <w:pPr>
        <w:ind w:left="984" w:hanging="360"/>
      </w:pPr>
    </w:lvl>
    <w:lvl w:ilvl="1" w:tplc="0C09001B">
      <w:start w:val="1"/>
      <w:numFmt w:val="lowerRoman"/>
      <w:lvlText w:val="%2."/>
      <w:lvlJc w:val="right"/>
      <w:pPr>
        <w:ind w:left="1704" w:hanging="360"/>
      </w:pPr>
    </w:lvl>
    <w:lvl w:ilvl="2" w:tplc="0C09001B">
      <w:start w:val="1"/>
      <w:numFmt w:val="lowerRoman"/>
      <w:lvlText w:val="%3."/>
      <w:lvlJc w:val="right"/>
      <w:pPr>
        <w:ind w:left="2424" w:hanging="180"/>
      </w:pPr>
    </w:lvl>
    <w:lvl w:ilvl="3" w:tplc="0C09000F">
      <w:start w:val="1"/>
      <w:numFmt w:val="decimal"/>
      <w:lvlText w:val="%4."/>
      <w:lvlJc w:val="left"/>
      <w:pPr>
        <w:ind w:left="3144" w:hanging="360"/>
      </w:pPr>
    </w:lvl>
    <w:lvl w:ilvl="4" w:tplc="0C090019">
      <w:start w:val="1"/>
      <w:numFmt w:val="lowerLetter"/>
      <w:lvlText w:val="%5."/>
      <w:lvlJc w:val="left"/>
      <w:pPr>
        <w:ind w:left="3864" w:hanging="360"/>
      </w:pPr>
    </w:lvl>
    <w:lvl w:ilvl="5" w:tplc="0C09001B">
      <w:start w:val="1"/>
      <w:numFmt w:val="lowerRoman"/>
      <w:lvlText w:val="%6."/>
      <w:lvlJc w:val="right"/>
      <w:pPr>
        <w:ind w:left="4584" w:hanging="180"/>
      </w:pPr>
    </w:lvl>
    <w:lvl w:ilvl="6" w:tplc="0C09000F">
      <w:start w:val="1"/>
      <w:numFmt w:val="decimal"/>
      <w:lvlText w:val="%7."/>
      <w:lvlJc w:val="left"/>
      <w:pPr>
        <w:ind w:left="5304" w:hanging="360"/>
      </w:pPr>
    </w:lvl>
    <w:lvl w:ilvl="7" w:tplc="0C090019">
      <w:start w:val="1"/>
      <w:numFmt w:val="lowerLetter"/>
      <w:lvlText w:val="%8."/>
      <w:lvlJc w:val="left"/>
      <w:pPr>
        <w:ind w:left="6024" w:hanging="360"/>
      </w:pPr>
    </w:lvl>
    <w:lvl w:ilvl="8" w:tplc="0C09001B">
      <w:start w:val="1"/>
      <w:numFmt w:val="lowerRoman"/>
      <w:lvlText w:val="%9."/>
      <w:lvlJc w:val="right"/>
      <w:pPr>
        <w:ind w:left="6744" w:hanging="180"/>
      </w:pPr>
    </w:lvl>
  </w:abstractNum>
  <w:abstractNum w:abstractNumId="5">
    <w:nsid w:val="4A061941"/>
    <w:multiLevelType w:val="multilevel"/>
    <w:tmpl w:val="295C1928"/>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nsid w:val="4B44300B"/>
    <w:multiLevelType w:val="hybridMultilevel"/>
    <w:tmpl w:val="E1F631D6"/>
    <w:lvl w:ilvl="0" w:tplc="4E964882">
      <w:start w:val="1"/>
      <w:numFmt w:val="lowerRoman"/>
      <w:pStyle w:val="AusBoldHanging3"/>
      <w:lvlText w:val="(%1)"/>
      <w:lvlJc w:val="left"/>
      <w:pPr>
        <w:ind w:left="3173" w:hanging="360"/>
      </w:pPr>
      <w:rPr>
        <w:rFonts w:hint="default"/>
      </w:rPr>
    </w:lvl>
    <w:lvl w:ilvl="1" w:tplc="0C090019" w:tentative="1">
      <w:start w:val="1"/>
      <w:numFmt w:val="lowerLetter"/>
      <w:lvlText w:val="%2."/>
      <w:lvlJc w:val="left"/>
      <w:pPr>
        <w:ind w:left="3893" w:hanging="360"/>
      </w:pPr>
    </w:lvl>
    <w:lvl w:ilvl="2" w:tplc="0C09001B" w:tentative="1">
      <w:start w:val="1"/>
      <w:numFmt w:val="lowerRoman"/>
      <w:lvlText w:val="%3."/>
      <w:lvlJc w:val="right"/>
      <w:pPr>
        <w:ind w:left="4613" w:hanging="180"/>
      </w:pPr>
    </w:lvl>
    <w:lvl w:ilvl="3" w:tplc="0C09000F" w:tentative="1">
      <w:start w:val="1"/>
      <w:numFmt w:val="decimal"/>
      <w:lvlText w:val="%4."/>
      <w:lvlJc w:val="left"/>
      <w:pPr>
        <w:ind w:left="5333" w:hanging="360"/>
      </w:pPr>
    </w:lvl>
    <w:lvl w:ilvl="4" w:tplc="0C090019" w:tentative="1">
      <w:start w:val="1"/>
      <w:numFmt w:val="lowerLetter"/>
      <w:lvlText w:val="%5."/>
      <w:lvlJc w:val="left"/>
      <w:pPr>
        <w:ind w:left="6053" w:hanging="360"/>
      </w:pPr>
    </w:lvl>
    <w:lvl w:ilvl="5" w:tplc="0C09001B" w:tentative="1">
      <w:start w:val="1"/>
      <w:numFmt w:val="lowerRoman"/>
      <w:lvlText w:val="%6."/>
      <w:lvlJc w:val="right"/>
      <w:pPr>
        <w:ind w:left="6773" w:hanging="180"/>
      </w:pPr>
    </w:lvl>
    <w:lvl w:ilvl="6" w:tplc="0C09000F" w:tentative="1">
      <w:start w:val="1"/>
      <w:numFmt w:val="decimal"/>
      <w:lvlText w:val="%7."/>
      <w:lvlJc w:val="left"/>
      <w:pPr>
        <w:ind w:left="7493" w:hanging="360"/>
      </w:pPr>
    </w:lvl>
    <w:lvl w:ilvl="7" w:tplc="0C090019" w:tentative="1">
      <w:start w:val="1"/>
      <w:numFmt w:val="lowerLetter"/>
      <w:lvlText w:val="%8."/>
      <w:lvlJc w:val="left"/>
      <w:pPr>
        <w:ind w:left="8213" w:hanging="360"/>
      </w:pPr>
    </w:lvl>
    <w:lvl w:ilvl="8" w:tplc="0C09001B" w:tentative="1">
      <w:start w:val="1"/>
      <w:numFmt w:val="lowerRoman"/>
      <w:lvlText w:val="%9."/>
      <w:lvlJc w:val="right"/>
      <w:pPr>
        <w:ind w:left="8933" w:hanging="180"/>
      </w:pPr>
    </w:lvl>
  </w:abstractNum>
  <w:abstractNum w:abstractNumId="7">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42243"/>
    <w:multiLevelType w:val="multilevel"/>
    <w:tmpl w:val="C6E25196"/>
    <w:lvl w:ilvl="0">
      <w:start w:val="1"/>
      <w:numFmt w:val="decimal"/>
      <w:pStyle w:val="NumPlain1"/>
      <w:lvlText w:val="%1"/>
      <w:lvlJc w:val="left"/>
      <w:pPr>
        <w:ind w:left="36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A41C1B"/>
    <w:multiLevelType w:val="multilevel"/>
    <w:tmpl w:val="370C4172"/>
    <w:lvl w:ilvl="0">
      <w:start w:val="1"/>
      <w:numFmt w:val="lowerLetter"/>
      <w:pStyle w:val="NumPlainA"/>
      <w:lvlText w:val="(%1)"/>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2904C90"/>
    <w:multiLevelType w:val="hybridMultilevel"/>
    <w:tmpl w:val="6CDEFB24"/>
    <w:lvl w:ilvl="0" w:tplc="356496F4">
      <w:start w:val="1"/>
      <w:numFmt w:val="lowerLetter"/>
      <w:pStyle w:val="AusBoldHanging2"/>
      <w:lvlText w:val="(%1)"/>
      <w:lvlJc w:val="left"/>
      <w:pPr>
        <w:ind w:left="1778" w:hanging="360"/>
      </w:pPr>
      <w:rPr>
        <w:rFonts w:ascii="Times New Roman" w:hAnsi="Times New Roman" w:hint="default"/>
        <w:sz w:val="20"/>
      </w:rPr>
    </w:lvl>
    <w:lvl w:ilvl="1" w:tplc="2580F75E">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3"/>
  </w:num>
  <w:num w:numId="2">
    <w:abstractNumId w:val="9"/>
  </w:num>
  <w:num w:numId="3">
    <w:abstractNumId w:val="7"/>
  </w:num>
  <w:num w:numId="4">
    <w:abstractNumId w:val="1"/>
  </w:num>
  <w:num w:numId="5">
    <w:abstractNumId w:val="11"/>
  </w:num>
  <w:num w:numId="6">
    <w:abstractNumId w:val="8"/>
  </w:num>
  <w:num w:numId="7">
    <w:abstractNumId w:val="10"/>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2"/>
    <w:lvlOverride w:ilvl="0">
      <w:startOverride w:val="1"/>
    </w:lvlOverride>
  </w:num>
  <w:num w:numId="14">
    <w:abstractNumId w:val="6"/>
    <w:lvlOverride w:ilvl="0">
      <w:startOverride w:val="1"/>
    </w:lvlOverride>
  </w:num>
  <w:num w:numId="15">
    <w:abstractNumId w:val="12"/>
    <w:lvlOverride w:ilvl="0">
      <w:startOverride w:val="1"/>
    </w:lvlOverride>
  </w:num>
  <w:num w:numId="16">
    <w:abstractNumId w:val="6"/>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0"/>
  </w:num>
  <w:num w:numId="22">
    <w:abstractNumId w:val="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intFractionalCharacterWidth/>
  <w:activeWritingStyle w:appName="MSWord" w:lang="en-AU" w:vendorID="64" w:dllVersion="131078" w:nlCheck="1" w:checkStyle="1"/>
  <w:activeWritingStyle w:appName="MSWord" w:lang="en-US" w:vendorID="64" w:dllVersion="131078" w:nlCheck="1" w:checkStyle="1"/>
  <w:proofState w:spelling="clean"/>
  <w:stylePaneFormatFilter w:val="3001"/>
  <w:doNotTrackFormatting/>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58369">
      <o:colormru v:ext="edit" colors="#ddd,silver,#eaeaea"/>
    </o:shapedefaults>
  </w:hdrShapeDefaults>
  <w:footnotePr>
    <w:footnote w:id="-1"/>
    <w:footnote w:id="0"/>
  </w:footnotePr>
  <w:endnotePr>
    <w:endnote w:id="-1"/>
    <w:endnote w:id="0"/>
  </w:endnotePr>
  <w:compat/>
  <w:rsids>
    <w:rsidRoot w:val="00567D2C"/>
    <w:rsid w:val="000001FE"/>
    <w:rsid w:val="00000F9D"/>
    <w:rsid w:val="0000292B"/>
    <w:rsid w:val="00002C98"/>
    <w:rsid w:val="00021CD4"/>
    <w:rsid w:val="0002534A"/>
    <w:rsid w:val="000272C0"/>
    <w:rsid w:val="00027E8B"/>
    <w:rsid w:val="00032643"/>
    <w:rsid w:val="00033701"/>
    <w:rsid w:val="000358B3"/>
    <w:rsid w:val="000461CE"/>
    <w:rsid w:val="00052C11"/>
    <w:rsid w:val="00061956"/>
    <w:rsid w:val="00074133"/>
    <w:rsid w:val="00090A6F"/>
    <w:rsid w:val="000941E2"/>
    <w:rsid w:val="00095589"/>
    <w:rsid w:val="00096027"/>
    <w:rsid w:val="000A687B"/>
    <w:rsid w:val="000B30FC"/>
    <w:rsid w:val="000C08D9"/>
    <w:rsid w:val="000D7504"/>
    <w:rsid w:val="000D7774"/>
    <w:rsid w:val="000D7B40"/>
    <w:rsid w:val="000E0F16"/>
    <w:rsid w:val="000F64CC"/>
    <w:rsid w:val="00102339"/>
    <w:rsid w:val="00110B96"/>
    <w:rsid w:val="001162C5"/>
    <w:rsid w:val="001206CF"/>
    <w:rsid w:val="0012493B"/>
    <w:rsid w:val="00132274"/>
    <w:rsid w:val="00140C6A"/>
    <w:rsid w:val="001662B8"/>
    <w:rsid w:val="001739CA"/>
    <w:rsid w:val="001761C6"/>
    <w:rsid w:val="001806E9"/>
    <w:rsid w:val="00191845"/>
    <w:rsid w:val="0019286F"/>
    <w:rsid w:val="0019700C"/>
    <w:rsid w:val="001A566C"/>
    <w:rsid w:val="001B2FBF"/>
    <w:rsid w:val="001B33A5"/>
    <w:rsid w:val="001E6159"/>
    <w:rsid w:val="001F2753"/>
    <w:rsid w:val="001F78DF"/>
    <w:rsid w:val="00221915"/>
    <w:rsid w:val="00224405"/>
    <w:rsid w:val="002347E6"/>
    <w:rsid w:val="0025524B"/>
    <w:rsid w:val="00257642"/>
    <w:rsid w:val="00273CE7"/>
    <w:rsid w:val="00277738"/>
    <w:rsid w:val="0028086D"/>
    <w:rsid w:val="00283482"/>
    <w:rsid w:val="0029647E"/>
    <w:rsid w:val="00297B2C"/>
    <w:rsid w:val="002A0ADF"/>
    <w:rsid w:val="002A201D"/>
    <w:rsid w:val="002A2D4C"/>
    <w:rsid w:val="002A38F3"/>
    <w:rsid w:val="002A48FF"/>
    <w:rsid w:val="002B7803"/>
    <w:rsid w:val="002C3739"/>
    <w:rsid w:val="002C5954"/>
    <w:rsid w:val="002C7677"/>
    <w:rsid w:val="002D04C4"/>
    <w:rsid w:val="002D498F"/>
    <w:rsid w:val="002F0E80"/>
    <w:rsid w:val="002F1CD0"/>
    <w:rsid w:val="002F1E8E"/>
    <w:rsid w:val="002F703A"/>
    <w:rsid w:val="00307F26"/>
    <w:rsid w:val="00314D1A"/>
    <w:rsid w:val="003222AF"/>
    <w:rsid w:val="00325051"/>
    <w:rsid w:val="00325A29"/>
    <w:rsid w:val="00334CF0"/>
    <w:rsid w:val="0033581C"/>
    <w:rsid w:val="003373C7"/>
    <w:rsid w:val="00342DFE"/>
    <w:rsid w:val="00354180"/>
    <w:rsid w:val="00360E5D"/>
    <w:rsid w:val="00364B30"/>
    <w:rsid w:val="00365657"/>
    <w:rsid w:val="0036762B"/>
    <w:rsid w:val="00367DC9"/>
    <w:rsid w:val="00377B8D"/>
    <w:rsid w:val="00382796"/>
    <w:rsid w:val="0039009E"/>
    <w:rsid w:val="00395266"/>
    <w:rsid w:val="00395A5F"/>
    <w:rsid w:val="003A488F"/>
    <w:rsid w:val="003B0CAA"/>
    <w:rsid w:val="003B0E71"/>
    <w:rsid w:val="003B4623"/>
    <w:rsid w:val="003D1DD4"/>
    <w:rsid w:val="003D471D"/>
    <w:rsid w:val="003D6C41"/>
    <w:rsid w:val="003E0A68"/>
    <w:rsid w:val="003E2CA6"/>
    <w:rsid w:val="003E463B"/>
    <w:rsid w:val="003F40B4"/>
    <w:rsid w:val="003F5621"/>
    <w:rsid w:val="00401176"/>
    <w:rsid w:val="00401ECA"/>
    <w:rsid w:val="00402A35"/>
    <w:rsid w:val="00407714"/>
    <w:rsid w:val="004102CE"/>
    <w:rsid w:val="00410E95"/>
    <w:rsid w:val="0041148B"/>
    <w:rsid w:val="004145E4"/>
    <w:rsid w:val="004150BD"/>
    <w:rsid w:val="004166F0"/>
    <w:rsid w:val="004236EB"/>
    <w:rsid w:val="00426876"/>
    <w:rsid w:val="0043074F"/>
    <w:rsid w:val="00433E35"/>
    <w:rsid w:val="00436A2D"/>
    <w:rsid w:val="0044702C"/>
    <w:rsid w:val="00460157"/>
    <w:rsid w:val="00460FBB"/>
    <w:rsid w:val="0046252E"/>
    <w:rsid w:val="0047073F"/>
    <w:rsid w:val="00470CE9"/>
    <w:rsid w:val="0047683E"/>
    <w:rsid w:val="004803F3"/>
    <w:rsid w:val="00487CF6"/>
    <w:rsid w:val="004961F8"/>
    <w:rsid w:val="004A417F"/>
    <w:rsid w:val="004A4C5C"/>
    <w:rsid w:val="004B1C46"/>
    <w:rsid w:val="004B736C"/>
    <w:rsid w:val="004B7532"/>
    <w:rsid w:val="004C3080"/>
    <w:rsid w:val="004C5BDE"/>
    <w:rsid w:val="004D3809"/>
    <w:rsid w:val="004D40B7"/>
    <w:rsid w:val="004D471E"/>
    <w:rsid w:val="004D4D1C"/>
    <w:rsid w:val="004E3840"/>
    <w:rsid w:val="004F55FE"/>
    <w:rsid w:val="004F6702"/>
    <w:rsid w:val="004F695F"/>
    <w:rsid w:val="004F69C3"/>
    <w:rsid w:val="00500AF8"/>
    <w:rsid w:val="005014E7"/>
    <w:rsid w:val="0050230B"/>
    <w:rsid w:val="005166B2"/>
    <w:rsid w:val="00516A2F"/>
    <w:rsid w:val="00521E87"/>
    <w:rsid w:val="0053452C"/>
    <w:rsid w:val="00535EC5"/>
    <w:rsid w:val="005432A1"/>
    <w:rsid w:val="00546920"/>
    <w:rsid w:val="005476D5"/>
    <w:rsid w:val="00547BFB"/>
    <w:rsid w:val="00547FF6"/>
    <w:rsid w:val="005511AA"/>
    <w:rsid w:val="005546E2"/>
    <w:rsid w:val="00561309"/>
    <w:rsid w:val="0056274D"/>
    <w:rsid w:val="00567D2C"/>
    <w:rsid w:val="00573E6F"/>
    <w:rsid w:val="0058004D"/>
    <w:rsid w:val="005854E3"/>
    <w:rsid w:val="00590051"/>
    <w:rsid w:val="0059392B"/>
    <w:rsid w:val="005A225D"/>
    <w:rsid w:val="005B146F"/>
    <w:rsid w:val="005B3348"/>
    <w:rsid w:val="005B465E"/>
    <w:rsid w:val="005C0E35"/>
    <w:rsid w:val="005E426E"/>
    <w:rsid w:val="005E6BE4"/>
    <w:rsid w:val="005F0155"/>
    <w:rsid w:val="005F25E1"/>
    <w:rsid w:val="00602261"/>
    <w:rsid w:val="00614FC8"/>
    <w:rsid w:val="006154A2"/>
    <w:rsid w:val="00615791"/>
    <w:rsid w:val="0062102A"/>
    <w:rsid w:val="006219BE"/>
    <w:rsid w:val="00634986"/>
    <w:rsid w:val="00636EBF"/>
    <w:rsid w:val="00637157"/>
    <w:rsid w:val="00637D74"/>
    <w:rsid w:val="00641282"/>
    <w:rsid w:val="00652DB7"/>
    <w:rsid w:val="00652DF8"/>
    <w:rsid w:val="00664415"/>
    <w:rsid w:val="006730F8"/>
    <w:rsid w:val="006770F9"/>
    <w:rsid w:val="006846D8"/>
    <w:rsid w:val="006910DF"/>
    <w:rsid w:val="006948D9"/>
    <w:rsid w:val="00696624"/>
    <w:rsid w:val="006A3AE9"/>
    <w:rsid w:val="006A40E5"/>
    <w:rsid w:val="006B0CD6"/>
    <w:rsid w:val="006C2E37"/>
    <w:rsid w:val="006C3DED"/>
    <w:rsid w:val="006C5E83"/>
    <w:rsid w:val="006D055E"/>
    <w:rsid w:val="006D094C"/>
    <w:rsid w:val="006D134A"/>
    <w:rsid w:val="006D7679"/>
    <w:rsid w:val="006D7EEA"/>
    <w:rsid w:val="006E2C39"/>
    <w:rsid w:val="006F5E0B"/>
    <w:rsid w:val="006F77BF"/>
    <w:rsid w:val="00702082"/>
    <w:rsid w:val="00711EA9"/>
    <w:rsid w:val="00714340"/>
    <w:rsid w:val="0072501F"/>
    <w:rsid w:val="007333C2"/>
    <w:rsid w:val="00737714"/>
    <w:rsid w:val="00742E4B"/>
    <w:rsid w:val="007455F0"/>
    <w:rsid w:val="00750EE4"/>
    <w:rsid w:val="00751F6A"/>
    <w:rsid w:val="00753A5F"/>
    <w:rsid w:val="007554ED"/>
    <w:rsid w:val="00755E40"/>
    <w:rsid w:val="00756FF6"/>
    <w:rsid w:val="0076127E"/>
    <w:rsid w:val="00770E85"/>
    <w:rsid w:val="00773D95"/>
    <w:rsid w:val="00776A54"/>
    <w:rsid w:val="00777B48"/>
    <w:rsid w:val="0078116B"/>
    <w:rsid w:val="007811C0"/>
    <w:rsid w:val="007A6BC3"/>
    <w:rsid w:val="007C0F73"/>
    <w:rsid w:val="007D02BB"/>
    <w:rsid w:val="007D6181"/>
    <w:rsid w:val="007E69D4"/>
    <w:rsid w:val="007F1D3D"/>
    <w:rsid w:val="007F7B82"/>
    <w:rsid w:val="00807427"/>
    <w:rsid w:val="00812637"/>
    <w:rsid w:val="00813227"/>
    <w:rsid w:val="00820794"/>
    <w:rsid w:val="00831497"/>
    <w:rsid w:val="00834969"/>
    <w:rsid w:val="00834D97"/>
    <w:rsid w:val="008459E8"/>
    <w:rsid w:val="008459EA"/>
    <w:rsid w:val="00847FC8"/>
    <w:rsid w:val="00861E02"/>
    <w:rsid w:val="0086323E"/>
    <w:rsid w:val="00864ADE"/>
    <w:rsid w:val="0087038E"/>
    <w:rsid w:val="00871A12"/>
    <w:rsid w:val="00874A83"/>
    <w:rsid w:val="00881BBE"/>
    <w:rsid w:val="008A6182"/>
    <w:rsid w:val="008B1D94"/>
    <w:rsid w:val="008C60B1"/>
    <w:rsid w:val="008C6BD0"/>
    <w:rsid w:val="008C7558"/>
    <w:rsid w:val="008D05C4"/>
    <w:rsid w:val="008D2EBD"/>
    <w:rsid w:val="008D5019"/>
    <w:rsid w:val="008E75A7"/>
    <w:rsid w:val="008F0A79"/>
    <w:rsid w:val="008F0A81"/>
    <w:rsid w:val="008F20B1"/>
    <w:rsid w:val="008F5963"/>
    <w:rsid w:val="008F6BC7"/>
    <w:rsid w:val="009004BC"/>
    <w:rsid w:val="00914F08"/>
    <w:rsid w:val="00923261"/>
    <w:rsid w:val="009235F2"/>
    <w:rsid w:val="009256B7"/>
    <w:rsid w:val="00931269"/>
    <w:rsid w:val="009328AA"/>
    <w:rsid w:val="009337FD"/>
    <w:rsid w:val="00934B62"/>
    <w:rsid w:val="009378BB"/>
    <w:rsid w:val="00942E29"/>
    <w:rsid w:val="0094797C"/>
    <w:rsid w:val="00961294"/>
    <w:rsid w:val="00970C7A"/>
    <w:rsid w:val="009721DB"/>
    <w:rsid w:val="009737B3"/>
    <w:rsid w:val="0098217E"/>
    <w:rsid w:val="00983996"/>
    <w:rsid w:val="00991989"/>
    <w:rsid w:val="009A3425"/>
    <w:rsid w:val="009A5708"/>
    <w:rsid w:val="009C2479"/>
    <w:rsid w:val="009C7B20"/>
    <w:rsid w:val="009D06F8"/>
    <w:rsid w:val="009E2F71"/>
    <w:rsid w:val="009E327C"/>
    <w:rsid w:val="009E6993"/>
    <w:rsid w:val="009F0C79"/>
    <w:rsid w:val="009F414B"/>
    <w:rsid w:val="00A032B0"/>
    <w:rsid w:val="00A05041"/>
    <w:rsid w:val="00A1375F"/>
    <w:rsid w:val="00A13F82"/>
    <w:rsid w:val="00A14091"/>
    <w:rsid w:val="00A161EB"/>
    <w:rsid w:val="00A16664"/>
    <w:rsid w:val="00A2674D"/>
    <w:rsid w:val="00A41ED3"/>
    <w:rsid w:val="00A47FA2"/>
    <w:rsid w:val="00A575E5"/>
    <w:rsid w:val="00A6192C"/>
    <w:rsid w:val="00A66D5E"/>
    <w:rsid w:val="00A748BA"/>
    <w:rsid w:val="00A80F7E"/>
    <w:rsid w:val="00A81DF3"/>
    <w:rsid w:val="00A83862"/>
    <w:rsid w:val="00A8486C"/>
    <w:rsid w:val="00A87132"/>
    <w:rsid w:val="00A97EB2"/>
    <w:rsid w:val="00AA14A9"/>
    <w:rsid w:val="00AB3240"/>
    <w:rsid w:val="00AB780A"/>
    <w:rsid w:val="00AC4315"/>
    <w:rsid w:val="00AD42DA"/>
    <w:rsid w:val="00AE1417"/>
    <w:rsid w:val="00AE3E1D"/>
    <w:rsid w:val="00AE4A0C"/>
    <w:rsid w:val="00AF1097"/>
    <w:rsid w:val="00AF2B6F"/>
    <w:rsid w:val="00AF4D06"/>
    <w:rsid w:val="00AF61B8"/>
    <w:rsid w:val="00AF76A6"/>
    <w:rsid w:val="00B02CF1"/>
    <w:rsid w:val="00B110AD"/>
    <w:rsid w:val="00B121A5"/>
    <w:rsid w:val="00B14F19"/>
    <w:rsid w:val="00B20D7F"/>
    <w:rsid w:val="00B23985"/>
    <w:rsid w:val="00B25882"/>
    <w:rsid w:val="00B271BA"/>
    <w:rsid w:val="00B27DC0"/>
    <w:rsid w:val="00B40855"/>
    <w:rsid w:val="00B40C24"/>
    <w:rsid w:val="00B411A0"/>
    <w:rsid w:val="00B42ED7"/>
    <w:rsid w:val="00B66F1F"/>
    <w:rsid w:val="00B717BE"/>
    <w:rsid w:val="00B71ACD"/>
    <w:rsid w:val="00B74237"/>
    <w:rsid w:val="00B834EA"/>
    <w:rsid w:val="00B85B44"/>
    <w:rsid w:val="00B97537"/>
    <w:rsid w:val="00B97692"/>
    <w:rsid w:val="00BA3AB4"/>
    <w:rsid w:val="00BA4622"/>
    <w:rsid w:val="00BB38A3"/>
    <w:rsid w:val="00BB4C9F"/>
    <w:rsid w:val="00BB6199"/>
    <w:rsid w:val="00BC0794"/>
    <w:rsid w:val="00BC0D5D"/>
    <w:rsid w:val="00BC7291"/>
    <w:rsid w:val="00BD7DF5"/>
    <w:rsid w:val="00BE071C"/>
    <w:rsid w:val="00BE2F68"/>
    <w:rsid w:val="00BE38FC"/>
    <w:rsid w:val="00BE3C17"/>
    <w:rsid w:val="00BE7766"/>
    <w:rsid w:val="00BF1909"/>
    <w:rsid w:val="00BF35B0"/>
    <w:rsid w:val="00BF62B8"/>
    <w:rsid w:val="00C0197E"/>
    <w:rsid w:val="00C049CF"/>
    <w:rsid w:val="00C209BB"/>
    <w:rsid w:val="00C27E17"/>
    <w:rsid w:val="00C3493B"/>
    <w:rsid w:val="00C37458"/>
    <w:rsid w:val="00C438DD"/>
    <w:rsid w:val="00C43CD1"/>
    <w:rsid w:val="00C45020"/>
    <w:rsid w:val="00C5022C"/>
    <w:rsid w:val="00C552FD"/>
    <w:rsid w:val="00C63573"/>
    <w:rsid w:val="00C75BC8"/>
    <w:rsid w:val="00C82C1F"/>
    <w:rsid w:val="00C83785"/>
    <w:rsid w:val="00C85157"/>
    <w:rsid w:val="00C92128"/>
    <w:rsid w:val="00C94A2B"/>
    <w:rsid w:val="00C95D8A"/>
    <w:rsid w:val="00CB2D71"/>
    <w:rsid w:val="00CB3A41"/>
    <w:rsid w:val="00CB6151"/>
    <w:rsid w:val="00CB6345"/>
    <w:rsid w:val="00CB719A"/>
    <w:rsid w:val="00CB733D"/>
    <w:rsid w:val="00CC1FE0"/>
    <w:rsid w:val="00CC6FCD"/>
    <w:rsid w:val="00CD1A26"/>
    <w:rsid w:val="00CD5D1C"/>
    <w:rsid w:val="00CD662B"/>
    <w:rsid w:val="00CE2F8C"/>
    <w:rsid w:val="00CE4E4D"/>
    <w:rsid w:val="00CF75CA"/>
    <w:rsid w:val="00CF7A02"/>
    <w:rsid w:val="00CF7B67"/>
    <w:rsid w:val="00D00FD5"/>
    <w:rsid w:val="00D04D64"/>
    <w:rsid w:val="00D06EA3"/>
    <w:rsid w:val="00D210C7"/>
    <w:rsid w:val="00D32CDF"/>
    <w:rsid w:val="00D35279"/>
    <w:rsid w:val="00D35528"/>
    <w:rsid w:val="00D36490"/>
    <w:rsid w:val="00D43F8B"/>
    <w:rsid w:val="00D52086"/>
    <w:rsid w:val="00D54F5C"/>
    <w:rsid w:val="00D60581"/>
    <w:rsid w:val="00D67336"/>
    <w:rsid w:val="00D72918"/>
    <w:rsid w:val="00D74BA3"/>
    <w:rsid w:val="00D77926"/>
    <w:rsid w:val="00D8340F"/>
    <w:rsid w:val="00D83A1F"/>
    <w:rsid w:val="00D942EB"/>
    <w:rsid w:val="00D96A64"/>
    <w:rsid w:val="00DA2A7B"/>
    <w:rsid w:val="00DA3E58"/>
    <w:rsid w:val="00DB751D"/>
    <w:rsid w:val="00DC1117"/>
    <w:rsid w:val="00DC2094"/>
    <w:rsid w:val="00DC7E1B"/>
    <w:rsid w:val="00DD1DDC"/>
    <w:rsid w:val="00DD2E7B"/>
    <w:rsid w:val="00DD5681"/>
    <w:rsid w:val="00DD7E7A"/>
    <w:rsid w:val="00DF22A2"/>
    <w:rsid w:val="00DF2FD6"/>
    <w:rsid w:val="00DF39E3"/>
    <w:rsid w:val="00E04048"/>
    <w:rsid w:val="00E06C2F"/>
    <w:rsid w:val="00E24399"/>
    <w:rsid w:val="00E2544F"/>
    <w:rsid w:val="00E25548"/>
    <w:rsid w:val="00E274C6"/>
    <w:rsid w:val="00E33D7F"/>
    <w:rsid w:val="00E33DEA"/>
    <w:rsid w:val="00E36D64"/>
    <w:rsid w:val="00E40A77"/>
    <w:rsid w:val="00E41399"/>
    <w:rsid w:val="00E52471"/>
    <w:rsid w:val="00E63279"/>
    <w:rsid w:val="00E6475C"/>
    <w:rsid w:val="00E71919"/>
    <w:rsid w:val="00E74BD5"/>
    <w:rsid w:val="00E7592A"/>
    <w:rsid w:val="00E769A0"/>
    <w:rsid w:val="00E773E4"/>
    <w:rsid w:val="00E822EB"/>
    <w:rsid w:val="00E839DA"/>
    <w:rsid w:val="00E9024D"/>
    <w:rsid w:val="00E90B4F"/>
    <w:rsid w:val="00E915E3"/>
    <w:rsid w:val="00E92BC0"/>
    <w:rsid w:val="00E94DA2"/>
    <w:rsid w:val="00E97B4B"/>
    <w:rsid w:val="00EA2CF0"/>
    <w:rsid w:val="00EA5171"/>
    <w:rsid w:val="00EB1EF7"/>
    <w:rsid w:val="00EB4756"/>
    <w:rsid w:val="00EC1881"/>
    <w:rsid w:val="00EC4AFD"/>
    <w:rsid w:val="00EC4C86"/>
    <w:rsid w:val="00ED06E4"/>
    <w:rsid w:val="00ED7ECA"/>
    <w:rsid w:val="00EE2509"/>
    <w:rsid w:val="00EE3D03"/>
    <w:rsid w:val="00EE740D"/>
    <w:rsid w:val="00EE7D50"/>
    <w:rsid w:val="00EF2AE8"/>
    <w:rsid w:val="00EF3283"/>
    <w:rsid w:val="00EF5446"/>
    <w:rsid w:val="00F001A5"/>
    <w:rsid w:val="00F133FC"/>
    <w:rsid w:val="00F14BDB"/>
    <w:rsid w:val="00F16085"/>
    <w:rsid w:val="00F236B7"/>
    <w:rsid w:val="00F2677A"/>
    <w:rsid w:val="00F30EB9"/>
    <w:rsid w:val="00F36169"/>
    <w:rsid w:val="00F424C9"/>
    <w:rsid w:val="00F622D3"/>
    <w:rsid w:val="00F66B41"/>
    <w:rsid w:val="00F970FB"/>
    <w:rsid w:val="00FA0303"/>
    <w:rsid w:val="00FB39CB"/>
    <w:rsid w:val="00FB5874"/>
    <w:rsid w:val="00FC2254"/>
    <w:rsid w:val="00FC64EE"/>
    <w:rsid w:val="00FC76DE"/>
    <w:rsid w:val="00FE5C85"/>
    <w:rsid w:val="00FF214E"/>
    <w:rsid w:val="00FF711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ddd,silver,#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E9"/>
    <w:pPr>
      <w:spacing w:line="200" w:lineRule="exact"/>
    </w:pPr>
    <w:rPr>
      <w:lang w:eastAsia="en-US"/>
    </w:rPr>
  </w:style>
  <w:style w:type="paragraph" w:styleId="Heading1">
    <w:name w:val="heading 1"/>
    <w:basedOn w:val="Normal"/>
    <w:next w:val="Normal"/>
    <w:qFormat/>
    <w:rsid w:val="00CB6151"/>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CB6151"/>
    <w:pPr>
      <w:jc w:val="left"/>
      <w:outlineLvl w:val="1"/>
    </w:pPr>
    <w:rPr>
      <w:bCs w:val="0"/>
      <w:iCs/>
      <w:caps w:val="0"/>
      <w:szCs w:val="28"/>
    </w:rPr>
  </w:style>
  <w:style w:type="paragraph" w:styleId="Heading3">
    <w:name w:val="heading 3"/>
    <w:basedOn w:val="Heading2"/>
    <w:next w:val="Normal"/>
    <w:qFormat/>
    <w:rsid w:val="00CB6151"/>
    <w:pPr>
      <w:spacing w:line="240" w:lineRule="exact"/>
      <w:outlineLvl w:val="2"/>
    </w:pPr>
    <w:rPr>
      <w:bCs/>
      <w:sz w:val="24"/>
      <w:szCs w:val="26"/>
    </w:rPr>
  </w:style>
  <w:style w:type="paragraph" w:styleId="Heading4">
    <w:name w:val="heading 4"/>
    <w:basedOn w:val="Heading3"/>
    <w:next w:val="Normal"/>
    <w:qFormat/>
    <w:rsid w:val="00CB6151"/>
    <w:pPr>
      <w:spacing w:line="200" w:lineRule="exact"/>
      <w:outlineLvl w:val="3"/>
    </w:pPr>
    <w:rPr>
      <w:bCs w:val="0"/>
      <w:sz w:val="20"/>
      <w:szCs w:val="28"/>
    </w:rPr>
  </w:style>
  <w:style w:type="paragraph" w:styleId="Heading5">
    <w:name w:val="heading 5"/>
    <w:basedOn w:val="Heading4"/>
    <w:next w:val="Normal"/>
    <w:qFormat/>
    <w:rsid w:val="00CB6151"/>
    <w:pPr>
      <w:outlineLvl w:val="4"/>
    </w:pPr>
    <w:rPr>
      <w:bCs/>
      <w:i/>
      <w:iCs w:val="0"/>
      <w:szCs w:val="26"/>
    </w:rPr>
  </w:style>
  <w:style w:type="paragraph" w:styleId="Heading6">
    <w:name w:val="heading 6"/>
    <w:basedOn w:val="Heading5"/>
    <w:next w:val="Normal"/>
    <w:qFormat/>
    <w:rsid w:val="00CB6151"/>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B6151"/>
    <w:pPr>
      <w:spacing w:line="160" w:lineRule="exact"/>
      <w:ind w:left="340" w:hanging="340"/>
    </w:pPr>
    <w:rPr>
      <w:sz w:val="16"/>
    </w:rPr>
  </w:style>
  <w:style w:type="paragraph" w:customStyle="1" w:styleId="Heading1Italic">
    <w:name w:val="Heading 1 Italic"/>
    <w:basedOn w:val="Heading1"/>
    <w:next w:val="Normal"/>
    <w:rsid w:val="00CB6151"/>
    <w:rPr>
      <w:i/>
    </w:rPr>
  </w:style>
  <w:style w:type="paragraph" w:customStyle="1" w:styleId="Heading2Indent1">
    <w:name w:val="Heading 2 Indent1"/>
    <w:basedOn w:val="Heading2"/>
    <w:next w:val="Normal"/>
    <w:rsid w:val="00CB6151"/>
    <w:pPr>
      <w:ind w:left="510"/>
    </w:pPr>
  </w:style>
  <w:style w:type="paragraph" w:customStyle="1" w:styleId="Heading2Indent2">
    <w:name w:val="Heading 2 Indent2"/>
    <w:basedOn w:val="Heading2"/>
    <w:next w:val="Normal"/>
    <w:rsid w:val="00CB6151"/>
    <w:pPr>
      <w:ind w:left="1021"/>
    </w:pPr>
  </w:style>
  <w:style w:type="paragraph" w:customStyle="1" w:styleId="Heading2Indent3">
    <w:name w:val="Heading 2 Indent3"/>
    <w:basedOn w:val="Heading2"/>
    <w:next w:val="Normal"/>
    <w:rsid w:val="00CB6151"/>
    <w:pPr>
      <w:ind w:left="1531"/>
    </w:pPr>
  </w:style>
  <w:style w:type="paragraph" w:customStyle="1" w:styleId="Heading3Indent1">
    <w:name w:val="Heading 3 Indent1"/>
    <w:basedOn w:val="Heading3"/>
    <w:next w:val="Normal"/>
    <w:rsid w:val="00CB6151"/>
    <w:pPr>
      <w:ind w:left="510"/>
    </w:pPr>
  </w:style>
  <w:style w:type="paragraph" w:customStyle="1" w:styleId="Heading3Indent2">
    <w:name w:val="Heading 3 Indent2"/>
    <w:basedOn w:val="Heading3"/>
    <w:next w:val="Normal"/>
    <w:rsid w:val="00CB6151"/>
    <w:pPr>
      <w:ind w:left="1021"/>
    </w:pPr>
  </w:style>
  <w:style w:type="paragraph" w:customStyle="1" w:styleId="Heading3Indent3">
    <w:name w:val="Heading 3 Indent3"/>
    <w:basedOn w:val="Heading3"/>
    <w:next w:val="Normal"/>
    <w:rsid w:val="00CB6151"/>
    <w:pPr>
      <w:ind w:left="1531"/>
    </w:pPr>
  </w:style>
  <w:style w:type="paragraph" w:customStyle="1" w:styleId="Heading4Indent1">
    <w:name w:val="Heading 4 Indent1"/>
    <w:basedOn w:val="Heading4"/>
    <w:next w:val="Normal"/>
    <w:rsid w:val="00CB6151"/>
    <w:pPr>
      <w:ind w:left="510"/>
    </w:pPr>
  </w:style>
  <w:style w:type="paragraph" w:customStyle="1" w:styleId="Heading4Indent2">
    <w:name w:val="Heading 4 Indent2"/>
    <w:basedOn w:val="Heading4"/>
    <w:next w:val="Normal"/>
    <w:rsid w:val="00CB6151"/>
    <w:pPr>
      <w:ind w:left="1021"/>
    </w:pPr>
  </w:style>
  <w:style w:type="paragraph" w:customStyle="1" w:styleId="Heading4Indent3">
    <w:name w:val="Heading 4 Indent3"/>
    <w:basedOn w:val="Heading4"/>
    <w:next w:val="Normal"/>
    <w:rsid w:val="00CB6151"/>
    <w:pPr>
      <w:ind w:left="1531"/>
    </w:pPr>
  </w:style>
  <w:style w:type="paragraph" w:customStyle="1" w:styleId="Heading5Indent1">
    <w:name w:val="Heading 5 Indent1"/>
    <w:basedOn w:val="Heading5"/>
    <w:next w:val="Normal"/>
    <w:rsid w:val="00CB6151"/>
    <w:pPr>
      <w:ind w:left="510"/>
    </w:pPr>
  </w:style>
  <w:style w:type="paragraph" w:customStyle="1" w:styleId="Heading5Indent2">
    <w:name w:val="Heading 5 Indent2"/>
    <w:basedOn w:val="Heading5"/>
    <w:next w:val="Normal"/>
    <w:rsid w:val="00CB6151"/>
    <w:pPr>
      <w:ind w:left="1021"/>
    </w:pPr>
  </w:style>
  <w:style w:type="paragraph" w:customStyle="1" w:styleId="Heading5Indent3">
    <w:name w:val="Heading 5 Indent3"/>
    <w:basedOn w:val="Heading5"/>
    <w:next w:val="Normal"/>
    <w:rsid w:val="00CB6151"/>
    <w:pPr>
      <w:ind w:left="1531"/>
    </w:pPr>
  </w:style>
  <w:style w:type="paragraph" w:customStyle="1" w:styleId="Heading6Indent1">
    <w:name w:val="Heading 6 Indent1"/>
    <w:basedOn w:val="Heading6"/>
    <w:next w:val="Normal"/>
    <w:rsid w:val="00CB6151"/>
    <w:pPr>
      <w:ind w:left="510"/>
    </w:pPr>
  </w:style>
  <w:style w:type="paragraph" w:customStyle="1" w:styleId="Heading6Indent2">
    <w:name w:val="Heading 6 Indent2"/>
    <w:basedOn w:val="Heading6"/>
    <w:next w:val="Normal"/>
    <w:rsid w:val="00CB6151"/>
    <w:pPr>
      <w:ind w:left="1021"/>
    </w:pPr>
  </w:style>
  <w:style w:type="paragraph" w:customStyle="1" w:styleId="Heading6Indent3">
    <w:name w:val="Heading 6 Indent3"/>
    <w:basedOn w:val="Heading6"/>
    <w:next w:val="Normal"/>
    <w:rsid w:val="00CB6151"/>
    <w:pPr>
      <w:ind w:left="1531"/>
    </w:pPr>
  </w:style>
  <w:style w:type="paragraph" w:styleId="Caption">
    <w:name w:val="caption"/>
    <w:basedOn w:val="Normal"/>
    <w:next w:val="Normal"/>
    <w:qFormat/>
    <w:rsid w:val="00CB6151"/>
    <w:pPr>
      <w:spacing w:before="120" w:after="120"/>
    </w:pPr>
    <w:rPr>
      <w:b/>
      <w:bCs/>
    </w:rPr>
  </w:style>
  <w:style w:type="paragraph" w:styleId="Header">
    <w:name w:val="header"/>
    <w:basedOn w:val="Normal"/>
    <w:rsid w:val="00CB6151"/>
    <w:pPr>
      <w:tabs>
        <w:tab w:val="center" w:pos="3119"/>
        <w:tab w:val="right" w:pos="6237"/>
      </w:tabs>
    </w:pPr>
  </w:style>
  <w:style w:type="paragraph" w:styleId="Footer">
    <w:name w:val="footer"/>
    <w:basedOn w:val="Normal"/>
    <w:rsid w:val="00CB6151"/>
    <w:pPr>
      <w:tabs>
        <w:tab w:val="center" w:pos="3119"/>
        <w:tab w:val="right" w:pos="6237"/>
      </w:tabs>
    </w:pPr>
  </w:style>
  <w:style w:type="paragraph" w:customStyle="1" w:styleId="CoverStandard">
    <w:name w:val="Cover Standard"/>
    <w:basedOn w:val="Normal"/>
    <w:next w:val="Normal"/>
    <w:rsid w:val="00CB6151"/>
    <w:pPr>
      <w:spacing w:line="280" w:lineRule="exact"/>
    </w:pPr>
    <w:rPr>
      <w:b/>
      <w:sz w:val="28"/>
    </w:rPr>
  </w:style>
  <w:style w:type="paragraph" w:customStyle="1" w:styleId="CoverNumber">
    <w:name w:val="Cover Number"/>
    <w:basedOn w:val="Normal"/>
    <w:next w:val="Normal"/>
    <w:rsid w:val="00CB6151"/>
    <w:pPr>
      <w:spacing w:line="320" w:lineRule="exact"/>
      <w:jc w:val="right"/>
    </w:pPr>
    <w:rPr>
      <w:b/>
      <w:caps/>
      <w:sz w:val="32"/>
    </w:rPr>
  </w:style>
  <w:style w:type="paragraph" w:customStyle="1" w:styleId="CoverRelease">
    <w:name w:val="Cover Release"/>
    <w:basedOn w:val="Normal"/>
    <w:next w:val="Normal"/>
    <w:rsid w:val="00CB6151"/>
    <w:pPr>
      <w:spacing w:line="240" w:lineRule="exact"/>
    </w:pPr>
    <w:rPr>
      <w:sz w:val="24"/>
    </w:rPr>
  </w:style>
  <w:style w:type="paragraph" w:customStyle="1" w:styleId="CoverDate">
    <w:name w:val="Cover Date"/>
    <w:basedOn w:val="Normal"/>
    <w:next w:val="Normal"/>
    <w:rsid w:val="00CB6151"/>
    <w:pPr>
      <w:spacing w:line="240" w:lineRule="exact"/>
      <w:jc w:val="right"/>
    </w:pPr>
    <w:rPr>
      <w:sz w:val="24"/>
    </w:rPr>
  </w:style>
  <w:style w:type="paragraph" w:customStyle="1" w:styleId="CoverTitle">
    <w:name w:val="Cover Title"/>
    <w:basedOn w:val="Normal"/>
    <w:rsid w:val="00CB6151"/>
    <w:pPr>
      <w:spacing w:line="500" w:lineRule="exact"/>
    </w:pPr>
    <w:rPr>
      <w:b/>
      <w:sz w:val="50"/>
    </w:rPr>
  </w:style>
  <w:style w:type="paragraph" w:customStyle="1" w:styleId="CoverBox">
    <w:name w:val="Cover Box"/>
    <w:basedOn w:val="Normal"/>
    <w:rsid w:val="00CB6151"/>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CB6151"/>
    <w:pPr>
      <w:tabs>
        <w:tab w:val="left" w:pos="907"/>
      </w:tabs>
    </w:pPr>
  </w:style>
  <w:style w:type="paragraph" w:customStyle="1" w:styleId="CoverLeadPara">
    <w:name w:val="Cover LeadPara"/>
    <w:basedOn w:val="Normal"/>
    <w:next w:val="Normal"/>
    <w:rsid w:val="00CB6151"/>
    <w:pPr>
      <w:spacing w:after="100"/>
    </w:pPr>
  </w:style>
  <w:style w:type="paragraph" w:customStyle="1" w:styleId="ContentsCapsPlainPg">
    <w:name w:val="Contents CapsPlainPg"/>
    <w:basedOn w:val="Normal"/>
    <w:next w:val="ContentsLevel1"/>
    <w:rsid w:val="00CB6151"/>
    <w:pPr>
      <w:tabs>
        <w:tab w:val="right" w:pos="6237"/>
      </w:tabs>
      <w:spacing w:after="200"/>
      <w:ind w:left="170" w:right="1134" w:hanging="170"/>
    </w:pPr>
    <w:rPr>
      <w:caps/>
    </w:rPr>
  </w:style>
  <w:style w:type="paragraph" w:customStyle="1" w:styleId="ContentsLevel1">
    <w:name w:val="Contents Level1"/>
    <w:basedOn w:val="Normal"/>
    <w:rsid w:val="00CB6151"/>
    <w:pPr>
      <w:tabs>
        <w:tab w:val="right" w:pos="6237"/>
      </w:tabs>
      <w:spacing w:after="60"/>
      <w:ind w:left="170" w:right="1134" w:hanging="170"/>
    </w:pPr>
  </w:style>
  <w:style w:type="paragraph" w:customStyle="1" w:styleId="ContentsCapsBoldPg">
    <w:name w:val="Contents CapsBoldPg"/>
    <w:basedOn w:val="ContentsCapsPlainPg"/>
    <w:next w:val="ContentsLevel1"/>
    <w:rsid w:val="00CB6151"/>
    <w:rPr>
      <w:b/>
    </w:rPr>
  </w:style>
  <w:style w:type="paragraph" w:customStyle="1" w:styleId="ContentsLevel2">
    <w:name w:val="Contents Level2"/>
    <w:basedOn w:val="ContentsLevel1"/>
    <w:rsid w:val="00CB6151"/>
    <w:pPr>
      <w:ind w:left="510"/>
    </w:pPr>
  </w:style>
  <w:style w:type="paragraph" w:customStyle="1" w:styleId="ContentsLevel3">
    <w:name w:val="Contents Level3"/>
    <w:basedOn w:val="ContentsLevel2"/>
    <w:rsid w:val="00CB6151"/>
    <w:pPr>
      <w:ind w:left="850"/>
    </w:pPr>
  </w:style>
  <w:style w:type="paragraph" w:customStyle="1" w:styleId="ContentsLevel4">
    <w:name w:val="Contents Level4"/>
    <w:basedOn w:val="ContentsLevel3"/>
    <w:rsid w:val="00CB6151"/>
    <w:pPr>
      <w:ind w:left="1191"/>
    </w:pPr>
  </w:style>
  <w:style w:type="paragraph" w:customStyle="1" w:styleId="ContentsBox">
    <w:name w:val="Contents Box"/>
    <w:basedOn w:val="Normal"/>
    <w:rsid w:val="00CB6151"/>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rsid w:val="00737714"/>
    <w:rPr>
      <w:color w:val="0000FF"/>
      <w:u w:val="single"/>
    </w:rPr>
  </w:style>
  <w:style w:type="paragraph" w:customStyle="1" w:styleId="NumPlainA">
    <w:name w:val="Num PlainA"/>
    <w:basedOn w:val="Normal"/>
    <w:rsid w:val="003B0CAA"/>
    <w:pPr>
      <w:numPr>
        <w:numId w:val="5"/>
      </w:numPr>
      <w:spacing w:after="200"/>
    </w:pPr>
  </w:style>
  <w:style w:type="paragraph" w:customStyle="1" w:styleId="NoNumPlain1">
    <w:name w:val="NoNum Plain1"/>
    <w:basedOn w:val="Normal"/>
    <w:link w:val="NoNumPlain1Char"/>
    <w:rsid w:val="00CB6151"/>
    <w:pPr>
      <w:spacing w:after="200"/>
    </w:pPr>
  </w:style>
  <w:style w:type="paragraph" w:customStyle="1" w:styleId="NoNumPlain2">
    <w:name w:val="NoNum Plain2"/>
    <w:basedOn w:val="NoNumPlain1"/>
    <w:link w:val="NoNumPlain2Char"/>
    <w:rsid w:val="00CB6151"/>
    <w:pPr>
      <w:ind w:left="510"/>
    </w:pPr>
  </w:style>
  <w:style w:type="paragraph" w:customStyle="1" w:styleId="NoNumPlain3">
    <w:name w:val="NoNum Plain3"/>
    <w:basedOn w:val="NoNumPlain2"/>
    <w:rsid w:val="00CB6151"/>
    <w:pPr>
      <w:ind w:left="1021"/>
    </w:pPr>
  </w:style>
  <w:style w:type="paragraph" w:customStyle="1" w:styleId="NoNumPlain4">
    <w:name w:val="NoNum Plain4"/>
    <w:basedOn w:val="NoNumPlain3"/>
    <w:rsid w:val="00CB6151"/>
    <w:pPr>
      <w:ind w:left="1531"/>
    </w:pPr>
  </w:style>
  <w:style w:type="paragraph" w:customStyle="1" w:styleId="NoNumBold1">
    <w:name w:val="NoNum Bold1"/>
    <w:basedOn w:val="Normal"/>
    <w:rsid w:val="00CB6151"/>
    <w:pPr>
      <w:spacing w:after="200"/>
    </w:pPr>
    <w:rPr>
      <w:b/>
    </w:rPr>
  </w:style>
  <w:style w:type="paragraph" w:customStyle="1" w:styleId="NoNumBold2">
    <w:name w:val="NoNum Bold2"/>
    <w:basedOn w:val="NoNumBold1"/>
    <w:rsid w:val="00CB6151"/>
    <w:pPr>
      <w:ind w:left="510"/>
    </w:pPr>
  </w:style>
  <w:style w:type="paragraph" w:customStyle="1" w:styleId="NoNumBold3">
    <w:name w:val="NoNum Bold3"/>
    <w:basedOn w:val="NoNumBold2"/>
    <w:rsid w:val="00CB6151"/>
    <w:pPr>
      <w:ind w:left="1021"/>
    </w:pPr>
  </w:style>
  <w:style w:type="paragraph" w:customStyle="1" w:styleId="NoNumBold4">
    <w:name w:val="NoNum Bold4"/>
    <w:basedOn w:val="NoNumBold3"/>
    <w:rsid w:val="00CB6151"/>
    <w:pPr>
      <w:ind w:left="1531"/>
    </w:pPr>
  </w:style>
  <w:style w:type="paragraph" w:customStyle="1" w:styleId="NumPlain1">
    <w:name w:val="Num Plain1"/>
    <w:basedOn w:val="Normal"/>
    <w:link w:val="NumPlain1Char"/>
    <w:rsid w:val="002F1E8E"/>
    <w:pPr>
      <w:numPr>
        <w:numId w:val="6"/>
      </w:numPr>
      <w:spacing w:after="200"/>
      <w:ind w:left="510" w:hanging="51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rsid w:val="00CB6151"/>
    <w:pPr>
      <w:tabs>
        <w:tab w:val="num" w:pos="510"/>
      </w:tabs>
      <w:spacing w:after="200"/>
      <w:ind w:left="510" w:hanging="510"/>
    </w:pPr>
  </w:style>
  <w:style w:type="paragraph" w:customStyle="1" w:styleId="Bullet2">
    <w:name w:val="Bullet2"/>
    <w:basedOn w:val="Normal"/>
    <w:rsid w:val="00CB6151"/>
    <w:pPr>
      <w:tabs>
        <w:tab w:val="num" w:pos="1021"/>
      </w:tabs>
      <w:spacing w:after="200"/>
      <w:ind w:left="1020" w:hanging="510"/>
    </w:pPr>
  </w:style>
  <w:style w:type="paragraph" w:customStyle="1" w:styleId="Bullet3">
    <w:name w:val="Bullet3"/>
    <w:basedOn w:val="Normal"/>
    <w:rsid w:val="00CB6151"/>
    <w:pPr>
      <w:tabs>
        <w:tab w:val="num" w:pos="1531"/>
      </w:tabs>
      <w:spacing w:after="200"/>
      <w:ind w:left="1531" w:hanging="510"/>
    </w:pPr>
  </w:style>
  <w:style w:type="paragraph" w:customStyle="1" w:styleId="CommentsPage">
    <w:name w:val="CommentsPage"/>
    <w:basedOn w:val="Normal"/>
    <w:next w:val="Normal"/>
    <w:rsid w:val="00CB6151"/>
  </w:style>
  <w:style w:type="paragraph" w:customStyle="1" w:styleId="Bullet4">
    <w:name w:val="Bullet4"/>
    <w:basedOn w:val="Normal"/>
    <w:rsid w:val="00CB6151"/>
    <w:pPr>
      <w:tabs>
        <w:tab w:val="num" w:pos="2041"/>
      </w:tabs>
      <w:spacing w:after="200"/>
      <w:ind w:left="2041" w:hanging="510"/>
    </w:pPr>
  </w:style>
  <w:style w:type="paragraph" w:customStyle="1" w:styleId="ContentsCapsPlain">
    <w:name w:val="Contents CapsPlain"/>
    <w:basedOn w:val="Normal"/>
    <w:next w:val="ContentsLevel1"/>
    <w:rsid w:val="00CB6151"/>
    <w:pPr>
      <w:spacing w:after="200"/>
    </w:pPr>
    <w:rPr>
      <w:caps/>
    </w:rPr>
  </w:style>
  <w:style w:type="paragraph" w:customStyle="1" w:styleId="ContentsCapsBold">
    <w:name w:val="Contents CapsBold"/>
    <w:basedOn w:val="ContentsCapsPlain"/>
    <w:next w:val="ContentsLevel1"/>
    <w:rsid w:val="00CB6151"/>
    <w:pPr>
      <w:spacing w:after="0"/>
    </w:pPr>
    <w:rPr>
      <w:b/>
    </w:rPr>
  </w:style>
  <w:style w:type="paragraph" w:customStyle="1" w:styleId="ContentsParaHead">
    <w:name w:val="Contents ParaHead"/>
    <w:basedOn w:val="Normal"/>
    <w:next w:val="Normal"/>
    <w:rsid w:val="00CB6151"/>
    <w:pPr>
      <w:spacing w:after="60"/>
      <w:jc w:val="right"/>
    </w:pPr>
    <w:rPr>
      <w:i/>
    </w:rPr>
  </w:style>
  <w:style w:type="paragraph" w:styleId="DocumentMap">
    <w:name w:val="Document Map"/>
    <w:basedOn w:val="Normal"/>
    <w:semiHidden/>
    <w:rsid w:val="00CB6151"/>
    <w:pPr>
      <w:shd w:val="clear" w:color="auto" w:fill="000080"/>
    </w:pPr>
    <w:rPr>
      <w:rFonts w:ascii="Tahoma" w:hAnsi="Tahoma" w:cs="Tahoma"/>
    </w:rPr>
  </w:style>
  <w:style w:type="paragraph" w:customStyle="1" w:styleId="ContentsLevel1NoIndent">
    <w:name w:val="Contents Level1 NoIndent"/>
    <w:basedOn w:val="ContentsLevel1"/>
    <w:rsid w:val="00CB615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link w:val="NoNumBC2Char"/>
    <w:rsid w:val="0058004D"/>
    <w:pPr>
      <w:ind w:left="624"/>
    </w:pPr>
  </w:style>
  <w:style w:type="paragraph" w:customStyle="1" w:styleId="BCHanging1">
    <w:name w:val="BC Hanging1"/>
    <w:basedOn w:val="NoNumBC2"/>
    <w:link w:val="BCHanging1Char"/>
    <w:rsid w:val="0058004D"/>
    <w:pPr>
      <w:ind w:left="1248" w:hanging="624"/>
    </w:pPr>
  </w:style>
  <w:style w:type="paragraph" w:customStyle="1" w:styleId="BCHanging2">
    <w:name w:val="BC Hanging2"/>
    <w:basedOn w:val="BCHanging1"/>
    <w:link w:val="BCHanging2Char"/>
    <w:rsid w:val="0058004D"/>
    <w:pPr>
      <w:ind w:left="1871"/>
    </w:pPr>
  </w:style>
  <w:style w:type="paragraph" w:customStyle="1" w:styleId="BCHanging3">
    <w:name w:val="BC Hanging3"/>
    <w:basedOn w:val="BCHanging1"/>
    <w:link w:val="BCHanging3Char"/>
    <w:rsid w:val="0058004D"/>
    <w:pPr>
      <w:ind w:left="2495"/>
    </w:pPr>
  </w:style>
  <w:style w:type="paragraph" w:customStyle="1" w:styleId="CoverSubtitle">
    <w:name w:val="Cover Subtitle"/>
    <w:basedOn w:val="CoverTitle"/>
    <w:rsid w:val="00C5022C"/>
    <w:rPr>
      <w:sz w:val="40"/>
      <w:szCs w:val="40"/>
    </w:rPr>
  </w:style>
  <w:style w:type="paragraph" w:customStyle="1" w:styleId="NumberedList">
    <w:name w:val="NumberedList"/>
    <w:basedOn w:val="Normal"/>
    <w:rsid w:val="00401ECA"/>
    <w:pPr>
      <w:numPr>
        <w:numId w:val="7"/>
      </w:numPr>
      <w:spacing w:after="200"/>
    </w:pPr>
  </w:style>
  <w:style w:type="paragraph" w:customStyle="1" w:styleId="NumBold1">
    <w:name w:val="Num Bold1"/>
    <w:basedOn w:val="NumPlain1"/>
    <w:link w:val="NumBold1Char"/>
    <w:rsid w:val="00027E8B"/>
    <w:rPr>
      <w:b/>
    </w:rPr>
  </w:style>
  <w:style w:type="paragraph" w:customStyle="1" w:styleId="NumBold2">
    <w:name w:val="Num Bold2"/>
    <w:basedOn w:val="NumPlain2"/>
    <w:link w:val="NumBold2Char"/>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rsid w:val="003A488F"/>
    <w:pPr>
      <w:ind w:left="510"/>
    </w:pPr>
  </w:style>
  <w:style w:type="paragraph" w:customStyle="1" w:styleId="BoldHanging0">
    <w:name w:val="Bold Hanging0"/>
    <w:basedOn w:val="PlainHanging0"/>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link w:val="NumBC1Char"/>
    <w:rsid w:val="00426876"/>
    <w:pPr>
      <w:numPr>
        <w:numId w:val="8"/>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paragraph" w:customStyle="1" w:styleId="AusBold2">
    <w:name w:val="Aus Bold2"/>
    <w:basedOn w:val="Normal"/>
    <w:rsid w:val="00AF2B6F"/>
    <w:pPr>
      <w:spacing w:after="200"/>
      <w:ind w:left="1531" w:hanging="510"/>
    </w:pPr>
    <w:rPr>
      <w:b/>
    </w:rPr>
  </w:style>
  <w:style w:type="paragraph" w:customStyle="1" w:styleId="Heading2IndentAG1">
    <w:name w:val="Heading 2 IndentAG1"/>
    <w:basedOn w:val="Heading2"/>
    <w:next w:val="Normal"/>
    <w:rsid w:val="00AF2B6F"/>
    <w:pPr>
      <w:ind w:left="737"/>
    </w:pPr>
  </w:style>
  <w:style w:type="character" w:customStyle="1" w:styleId="NumBold2Char">
    <w:name w:val="Num Bold2 Char"/>
    <w:link w:val="NumBold2"/>
    <w:locked/>
    <w:rsid w:val="00AF4D06"/>
    <w:rPr>
      <w:b/>
      <w:lang w:eastAsia="en-US"/>
    </w:rPr>
  </w:style>
  <w:style w:type="character" w:customStyle="1" w:styleId="NumPlain1Char">
    <w:name w:val="Num Plain1 Char"/>
    <w:link w:val="NumPlain1"/>
    <w:rsid w:val="002F1E8E"/>
    <w:rPr>
      <w:lang w:eastAsia="en-US"/>
    </w:rPr>
  </w:style>
  <w:style w:type="character" w:customStyle="1" w:styleId="NumBold1Char">
    <w:name w:val="Num Bold1 Char"/>
    <w:link w:val="NumBold1"/>
    <w:locked/>
    <w:rsid w:val="000B30FC"/>
    <w:rPr>
      <w:b/>
      <w:lang w:eastAsia="en-US"/>
    </w:rPr>
  </w:style>
  <w:style w:type="paragraph" w:styleId="BalloonText">
    <w:name w:val="Balloon Text"/>
    <w:basedOn w:val="Normal"/>
    <w:semiHidden/>
    <w:rsid w:val="002C7677"/>
    <w:rPr>
      <w:rFonts w:ascii="Tahoma" w:hAnsi="Tahoma" w:cs="Tahoma"/>
      <w:sz w:val="16"/>
      <w:szCs w:val="16"/>
    </w:rPr>
  </w:style>
  <w:style w:type="table" w:styleId="TableGrid">
    <w:name w:val="Table Grid"/>
    <w:basedOn w:val="TableNormal"/>
    <w:rsid w:val="00CB3A41"/>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CB3A41"/>
    <w:pPr>
      <w:spacing w:line="360" w:lineRule="auto"/>
      <w:ind w:left="142"/>
    </w:pPr>
    <w:rPr>
      <w:rFonts w:ascii="Arial" w:hAnsi="Arial"/>
      <w:szCs w:val="24"/>
      <w:lang w:eastAsia="en-AU"/>
    </w:rPr>
  </w:style>
  <w:style w:type="character" w:styleId="Emphasis">
    <w:name w:val="Emphasis"/>
    <w:qFormat/>
    <w:rsid w:val="00395A5F"/>
    <w:rPr>
      <w:i/>
      <w:iCs/>
    </w:rPr>
  </w:style>
  <w:style w:type="paragraph" w:customStyle="1" w:styleId="Default">
    <w:name w:val="Default"/>
    <w:rsid w:val="00FE5C85"/>
    <w:pPr>
      <w:autoSpaceDE w:val="0"/>
      <w:autoSpaceDN w:val="0"/>
      <w:adjustRightInd w:val="0"/>
    </w:pPr>
    <w:rPr>
      <w:color w:val="000000"/>
      <w:sz w:val="24"/>
      <w:szCs w:val="24"/>
    </w:rPr>
  </w:style>
  <w:style w:type="paragraph" w:customStyle="1" w:styleId="AG1">
    <w:name w:val="AG 1"/>
    <w:basedOn w:val="NumBC1"/>
    <w:link w:val="AG1Char"/>
    <w:qFormat/>
    <w:rsid w:val="00C92128"/>
    <w:pPr>
      <w:numPr>
        <w:numId w:val="0"/>
      </w:numPr>
      <w:ind w:left="1134" w:hanging="624"/>
    </w:pPr>
  </w:style>
  <w:style w:type="character" w:styleId="FootnoteReference">
    <w:name w:val="footnote reference"/>
    <w:rsid w:val="00A032B0"/>
    <w:rPr>
      <w:vertAlign w:val="superscript"/>
    </w:rPr>
  </w:style>
  <w:style w:type="character" w:customStyle="1" w:styleId="NumBC1Char">
    <w:name w:val="Num BC1 Char"/>
    <w:link w:val="NumBC1"/>
    <w:rsid w:val="00807427"/>
    <w:rPr>
      <w:lang w:eastAsia="en-US"/>
    </w:rPr>
  </w:style>
  <w:style w:type="character" w:customStyle="1" w:styleId="AG1Char">
    <w:name w:val="AG 1 Char"/>
    <w:basedOn w:val="NumBC1Char"/>
    <w:link w:val="AG1"/>
    <w:rsid w:val="00C92128"/>
    <w:rPr>
      <w:lang w:eastAsia="en-US"/>
    </w:rPr>
  </w:style>
  <w:style w:type="paragraph" w:customStyle="1" w:styleId="AusPlainHanging1">
    <w:name w:val="Aus Plain Hanging 1"/>
    <w:basedOn w:val="PlainHanging1"/>
    <w:link w:val="AusPlainHanging1Char"/>
    <w:qFormat/>
    <w:rsid w:val="00C92128"/>
    <w:pPr>
      <w:ind w:left="1361" w:hanging="851"/>
    </w:pPr>
  </w:style>
  <w:style w:type="paragraph" w:customStyle="1" w:styleId="AusBoldHanging2">
    <w:name w:val="Aus Bold Hanging 2"/>
    <w:basedOn w:val="BCHanging2"/>
    <w:link w:val="AusBoldHanging2Char"/>
    <w:qFormat/>
    <w:rsid w:val="00E822EB"/>
    <w:pPr>
      <w:numPr>
        <w:numId w:val="11"/>
      </w:numPr>
      <w:ind w:left="1928" w:hanging="510"/>
    </w:pPr>
    <w:rPr>
      <w:b/>
    </w:rPr>
  </w:style>
  <w:style w:type="character" w:customStyle="1" w:styleId="NoNumPlain1Char">
    <w:name w:val="NoNum Plain1 Char"/>
    <w:link w:val="NoNumPlain1"/>
    <w:rsid w:val="00C92128"/>
    <w:rPr>
      <w:lang w:eastAsia="en-US"/>
    </w:rPr>
  </w:style>
  <w:style w:type="character" w:customStyle="1" w:styleId="NoNumPlain2Char">
    <w:name w:val="NoNum Plain2 Char"/>
    <w:basedOn w:val="NoNumPlain1Char"/>
    <w:link w:val="NoNumPlain2"/>
    <w:rsid w:val="00C92128"/>
    <w:rPr>
      <w:lang w:eastAsia="en-US"/>
    </w:rPr>
  </w:style>
  <w:style w:type="character" w:customStyle="1" w:styleId="PlainHanging1Char">
    <w:name w:val="Plain Hanging1 Char"/>
    <w:basedOn w:val="NoNumPlain2Char"/>
    <w:link w:val="PlainHanging1"/>
    <w:rsid w:val="00C92128"/>
    <w:rPr>
      <w:lang w:eastAsia="en-US"/>
    </w:rPr>
  </w:style>
  <w:style w:type="character" w:customStyle="1" w:styleId="AusPlainHanging1Char">
    <w:name w:val="Aus Plain Hanging 1 Char"/>
    <w:basedOn w:val="PlainHanging1Char"/>
    <w:link w:val="AusPlainHanging1"/>
    <w:rsid w:val="00C92128"/>
    <w:rPr>
      <w:lang w:eastAsia="en-US"/>
    </w:rPr>
  </w:style>
  <w:style w:type="paragraph" w:customStyle="1" w:styleId="AusBoldHanging3">
    <w:name w:val="Aus Bold Hanging 3"/>
    <w:basedOn w:val="BCHanging3"/>
    <w:link w:val="AusBoldHanging3Char"/>
    <w:qFormat/>
    <w:rsid w:val="00E822EB"/>
    <w:pPr>
      <w:numPr>
        <w:numId w:val="12"/>
      </w:numPr>
      <w:ind w:left="2495" w:hanging="510"/>
    </w:pPr>
    <w:rPr>
      <w:b/>
    </w:rPr>
  </w:style>
  <w:style w:type="character" w:customStyle="1" w:styleId="NoNumBC2Char">
    <w:name w:val="NoNum BC2 Char"/>
    <w:basedOn w:val="NoNumPlain1Char"/>
    <w:link w:val="NoNumBC2"/>
    <w:rsid w:val="00847FC8"/>
    <w:rPr>
      <w:lang w:eastAsia="en-US"/>
    </w:rPr>
  </w:style>
  <w:style w:type="character" w:customStyle="1" w:styleId="BCHanging1Char">
    <w:name w:val="BC Hanging1 Char"/>
    <w:basedOn w:val="NoNumBC2Char"/>
    <w:link w:val="BCHanging1"/>
    <w:rsid w:val="00847FC8"/>
    <w:rPr>
      <w:lang w:eastAsia="en-US"/>
    </w:rPr>
  </w:style>
  <w:style w:type="character" w:customStyle="1" w:styleId="BCHanging2Char">
    <w:name w:val="BC Hanging2 Char"/>
    <w:basedOn w:val="BCHanging1Char"/>
    <w:link w:val="BCHanging2"/>
    <w:rsid w:val="00847FC8"/>
    <w:rPr>
      <w:lang w:eastAsia="en-US"/>
    </w:rPr>
  </w:style>
  <w:style w:type="character" w:customStyle="1" w:styleId="AusBoldHanging2Char">
    <w:name w:val="Aus Bold Hanging 2 Char"/>
    <w:link w:val="AusBoldHanging2"/>
    <w:rsid w:val="00E822EB"/>
    <w:rPr>
      <w:b/>
      <w:lang w:eastAsia="en-US"/>
    </w:rPr>
  </w:style>
  <w:style w:type="character" w:customStyle="1" w:styleId="BCHanging3Char">
    <w:name w:val="BC Hanging3 Char"/>
    <w:basedOn w:val="BCHanging1Char"/>
    <w:link w:val="BCHanging3"/>
    <w:rsid w:val="00847FC8"/>
    <w:rPr>
      <w:lang w:eastAsia="en-US"/>
    </w:rPr>
  </w:style>
  <w:style w:type="character" w:customStyle="1" w:styleId="AusBoldHanging3Char">
    <w:name w:val="Aus Bold Hanging 3 Char"/>
    <w:link w:val="AusBoldHanging3"/>
    <w:rsid w:val="00E822EB"/>
    <w:rPr>
      <w:b/>
      <w:lang w:eastAsia="en-US"/>
    </w:rPr>
  </w:style>
  <w:style w:type="character" w:styleId="CommentReference">
    <w:name w:val="annotation reference"/>
    <w:basedOn w:val="DefaultParagraphFont"/>
    <w:rsid w:val="00BB6199"/>
    <w:rPr>
      <w:sz w:val="16"/>
      <w:szCs w:val="16"/>
    </w:rPr>
  </w:style>
  <w:style w:type="paragraph" w:styleId="CommentText">
    <w:name w:val="annotation text"/>
    <w:basedOn w:val="Normal"/>
    <w:link w:val="CommentTextChar"/>
    <w:rsid w:val="00BB6199"/>
    <w:pPr>
      <w:spacing w:line="240" w:lineRule="auto"/>
    </w:pPr>
  </w:style>
  <w:style w:type="character" w:customStyle="1" w:styleId="CommentTextChar">
    <w:name w:val="Comment Text Char"/>
    <w:basedOn w:val="DefaultParagraphFont"/>
    <w:link w:val="CommentText"/>
    <w:rsid w:val="00BB6199"/>
    <w:rPr>
      <w:lang w:eastAsia="en-US"/>
    </w:rPr>
  </w:style>
  <w:style w:type="paragraph" w:styleId="CommentSubject">
    <w:name w:val="annotation subject"/>
    <w:basedOn w:val="CommentText"/>
    <w:next w:val="CommentText"/>
    <w:link w:val="CommentSubjectChar"/>
    <w:rsid w:val="00BB6199"/>
    <w:rPr>
      <w:b/>
      <w:bCs/>
    </w:rPr>
  </w:style>
  <w:style w:type="character" w:customStyle="1" w:styleId="CommentSubjectChar">
    <w:name w:val="Comment Subject Char"/>
    <w:basedOn w:val="CommentTextChar"/>
    <w:link w:val="CommentSubject"/>
    <w:rsid w:val="00BB619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6E9"/>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rsid w:val="00737714"/>
    <w:rPr>
      <w:color w:val="0000FF"/>
      <w:u w:val="single"/>
    </w:rPr>
  </w:style>
  <w:style w:type="paragraph" w:customStyle="1" w:styleId="NumPlainA">
    <w:name w:val="Num PlainA"/>
    <w:basedOn w:val="Normal"/>
    <w:rsid w:val="003B0CAA"/>
    <w:pPr>
      <w:numPr>
        <w:numId w:val="5"/>
      </w:numPr>
      <w:spacing w:after="200"/>
    </w:pPr>
  </w:style>
  <w:style w:type="paragraph" w:customStyle="1" w:styleId="NoNumPlain1">
    <w:name w:val="NoNum Plain1"/>
    <w:basedOn w:val="Normal"/>
    <w:link w:val="NoNumPlain1Char"/>
    <w:pPr>
      <w:spacing w:after="200"/>
    </w:pPr>
  </w:style>
  <w:style w:type="paragraph" w:customStyle="1" w:styleId="NoNumPlain2">
    <w:name w:val="NoNum Plain2"/>
    <w:basedOn w:val="NoNumPlain1"/>
    <w:link w:val="NoNumPlain2Char"/>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rsid w:val="002F1E8E"/>
    <w:pPr>
      <w:numPr>
        <w:numId w:val="6"/>
      </w:numPr>
      <w:spacing w:after="200"/>
      <w:ind w:left="510" w:hanging="51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pPr>
      <w:tabs>
        <w:tab w:val="num" w:pos="510"/>
      </w:tabs>
      <w:spacing w:after="200"/>
      <w:ind w:left="510" w:hanging="510"/>
    </w:pPr>
  </w:style>
  <w:style w:type="paragraph" w:customStyle="1" w:styleId="Bullet2">
    <w:name w:val="Bullet2"/>
    <w:basedOn w:val="Normal"/>
    <w:pPr>
      <w:tabs>
        <w:tab w:val="num" w:pos="1021"/>
      </w:tabs>
      <w:spacing w:after="200"/>
      <w:ind w:left="1020" w:hanging="510"/>
    </w:pPr>
  </w:style>
  <w:style w:type="paragraph" w:customStyle="1" w:styleId="Bullet3">
    <w:name w:val="Bullet3"/>
    <w:basedOn w:val="Normal"/>
    <w:pPr>
      <w:tabs>
        <w:tab w:val="num" w:pos="1531"/>
      </w:tabs>
      <w:spacing w:after="200"/>
      <w:ind w:left="1531" w:hanging="510"/>
    </w:pPr>
  </w:style>
  <w:style w:type="paragraph" w:customStyle="1" w:styleId="CommentsPage">
    <w:name w:val="CommentsPage"/>
    <w:basedOn w:val="Normal"/>
    <w:next w:val="Normal"/>
  </w:style>
  <w:style w:type="paragraph" w:customStyle="1" w:styleId="Bullet4">
    <w:name w:val="Bullet4"/>
    <w:basedOn w:val="Normal"/>
    <w:pPr>
      <w:tabs>
        <w:tab w:val="num" w:pos="2041"/>
      </w:tabs>
      <w:spacing w:after="200"/>
      <w:ind w:left="2041" w:hanging="51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link w:val="NoNumBC2Char"/>
    <w:rsid w:val="0058004D"/>
    <w:pPr>
      <w:ind w:left="624"/>
    </w:pPr>
  </w:style>
  <w:style w:type="paragraph" w:customStyle="1" w:styleId="BCHanging1">
    <w:name w:val="BC Hanging1"/>
    <w:basedOn w:val="NoNumBC2"/>
    <w:link w:val="BCHanging1Char"/>
    <w:rsid w:val="0058004D"/>
    <w:pPr>
      <w:ind w:left="1248" w:hanging="624"/>
    </w:pPr>
  </w:style>
  <w:style w:type="paragraph" w:customStyle="1" w:styleId="BCHanging2">
    <w:name w:val="BC Hanging2"/>
    <w:basedOn w:val="BCHanging1"/>
    <w:link w:val="BCHanging2Char"/>
    <w:rsid w:val="0058004D"/>
    <w:pPr>
      <w:ind w:left="1871"/>
    </w:pPr>
  </w:style>
  <w:style w:type="paragraph" w:customStyle="1" w:styleId="BCHanging3">
    <w:name w:val="BC Hanging3"/>
    <w:basedOn w:val="BCHanging1"/>
    <w:link w:val="BCHanging3Char"/>
    <w:rsid w:val="0058004D"/>
    <w:pPr>
      <w:ind w:left="2495"/>
    </w:pPr>
  </w:style>
  <w:style w:type="paragraph" w:customStyle="1" w:styleId="CoverSubtitle">
    <w:name w:val="Cover Subtitle"/>
    <w:basedOn w:val="CoverTitle"/>
    <w:rsid w:val="00C5022C"/>
    <w:rPr>
      <w:sz w:val="40"/>
      <w:szCs w:val="40"/>
    </w:rPr>
  </w:style>
  <w:style w:type="paragraph" w:customStyle="1" w:styleId="NumberedList">
    <w:name w:val="NumberedList"/>
    <w:basedOn w:val="Normal"/>
    <w:rsid w:val="00401ECA"/>
    <w:pPr>
      <w:numPr>
        <w:numId w:val="7"/>
      </w:numPr>
      <w:spacing w:after="200"/>
    </w:pPr>
  </w:style>
  <w:style w:type="paragraph" w:customStyle="1" w:styleId="NumBold1">
    <w:name w:val="Num Bold1"/>
    <w:basedOn w:val="NumPlain1"/>
    <w:link w:val="NumBold1Char"/>
    <w:rsid w:val="00027E8B"/>
    <w:rPr>
      <w:b/>
    </w:rPr>
  </w:style>
  <w:style w:type="paragraph" w:customStyle="1" w:styleId="NumBold2">
    <w:name w:val="Num Bold2"/>
    <w:basedOn w:val="NumPlain2"/>
    <w:link w:val="NumBold2Char"/>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rsid w:val="003A488F"/>
    <w:pPr>
      <w:ind w:left="510"/>
    </w:pPr>
  </w:style>
  <w:style w:type="paragraph" w:customStyle="1" w:styleId="BoldHanging0">
    <w:name w:val="Bold Hanging0"/>
    <w:basedOn w:val="PlainHanging0"/>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link w:val="NumBC1Char"/>
    <w:rsid w:val="00426876"/>
    <w:pPr>
      <w:numPr>
        <w:numId w:val="8"/>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paragraph" w:customStyle="1" w:styleId="AusBold2">
    <w:name w:val="Aus Bold2"/>
    <w:basedOn w:val="Normal"/>
    <w:rsid w:val="00AF2B6F"/>
    <w:pPr>
      <w:spacing w:after="200"/>
      <w:ind w:left="1531" w:hanging="510"/>
    </w:pPr>
    <w:rPr>
      <w:b/>
    </w:rPr>
  </w:style>
  <w:style w:type="paragraph" w:customStyle="1" w:styleId="Heading2IndentAG1">
    <w:name w:val="Heading 2 IndentAG1"/>
    <w:basedOn w:val="Heading2"/>
    <w:next w:val="Normal"/>
    <w:rsid w:val="00AF2B6F"/>
    <w:pPr>
      <w:ind w:left="737"/>
    </w:pPr>
  </w:style>
  <w:style w:type="character" w:customStyle="1" w:styleId="NumBold2Char">
    <w:name w:val="Num Bold2 Char"/>
    <w:link w:val="NumBold2"/>
    <w:locked/>
    <w:rsid w:val="00AF4D06"/>
    <w:rPr>
      <w:b/>
      <w:lang w:eastAsia="en-US"/>
    </w:rPr>
  </w:style>
  <w:style w:type="character" w:customStyle="1" w:styleId="NumPlain1Char">
    <w:name w:val="Num Plain1 Char"/>
    <w:link w:val="NumPlain1"/>
    <w:rsid w:val="002F1E8E"/>
    <w:rPr>
      <w:lang w:eastAsia="en-US"/>
    </w:rPr>
  </w:style>
  <w:style w:type="character" w:customStyle="1" w:styleId="NumBold1Char">
    <w:name w:val="Num Bold1 Char"/>
    <w:link w:val="NumBold1"/>
    <w:locked/>
    <w:rsid w:val="000B30FC"/>
    <w:rPr>
      <w:b/>
      <w:lang w:eastAsia="en-US"/>
    </w:rPr>
  </w:style>
  <w:style w:type="paragraph" w:styleId="BalloonText">
    <w:name w:val="Balloon Text"/>
    <w:basedOn w:val="Normal"/>
    <w:semiHidden/>
    <w:rsid w:val="002C7677"/>
    <w:rPr>
      <w:rFonts w:ascii="Tahoma" w:hAnsi="Tahoma" w:cs="Tahoma"/>
      <w:sz w:val="16"/>
      <w:szCs w:val="16"/>
    </w:rPr>
  </w:style>
  <w:style w:type="table" w:styleId="TableGrid">
    <w:name w:val="Table Grid"/>
    <w:basedOn w:val="TableNormal"/>
    <w:rsid w:val="00CB3A41"/>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CB3A41"/>
    <w:pPr>
      <w:spacing w:line="360" w:lineRule="auto"/>
      <w:ind w:left="142"/>
    </w:pPr>
    <w:rPr>
      <w:rFonts w:ascii="Arial" w:hAnsi="Arial"/>
      <w:szCs w:val="24"/>
      <w:lang w:eastAsia="en-AU"/>
    </w:rPr>
  </w:style>
  <w:style w:type="character" w:styleId="Emphasis">
    <w:name w:val="Emphasis"/>
    <w:qFormat/>
    <w:rsid w:val="00395A5F"/>
    <w:rPr>
      <w:i/>
      <w:iCs/>
    </w:rPr>
  </w:style>
  <w:style w:type="paragraph" w:customStyle="1" w:styleId="Default">
    <w:name w:val="Default"/>
    <w:rsid w:val="00FE5C85"/>
    <w:pPr>
      <w:autoSpaceDE w:val="0"/>
      <w:autoSpaceDN w:val="0"/>
      <w:adjustRightInd w:val="0"/>
    </w:pPr>
    <w:rPr>
      <w:color w:val="000000"/>
      <w:sz w:val="24"/>
      <w:szCs w:val="24"/>
    </w:rPr>
  </w:style>
  <w:style w:type="paragraph" w:customStyle="1" w:styleId="AG1">
    <w:name w:val="AG 1"/>
    <w:basedOn w:val="NumBC1"/>
    <w:link w:val="AG1Char"/>
    <w:qFormat/>
    <w:rsid w:val="00C92128"/>
    <w:pPr>
      <w:numPr>
        <w:numId w:val="0"/>
      </w:numPr>
      <w:ind w:left="1134" w:hanging="624"/>
    </w:pPr>
  </w:style>
  <w:style w:type="character" w:styleId="FootnoteReference">
    <w:name w:val="footnote reference"/>
    <w:rsid w:val="00A032B0"/>
    <w:rPr>
      <w:vertAlign w:val="superscript"/>
    </w:rPr>
  </w:style>
  <w:style w:type="character" w:customStyle="1" w:styleId="NumBC1Char">
    <w:name w:val="Num BC1 Char"/>
    <w:link w:val="NumBC1"/>
    <w:rsid w:val="00807427"/>
    <w:rPr>
      <w:lang w:eastAsia="en-US"/>
    </w:rPr>
  </w:style>
  <w:style w:type="character" w:customStyle="1" w:styleId="AG1Char">
    <w:name w:val="AG 1 Char"/>
    <w:basedOn w:val="NumBC1Char"/>
    <w:link w:val="AG1"/>
    <w:rsid w:val="00C92128"/>
    <w:rPr>
      <w:lang w:eastAsia="en-US"/>
    </w:rPr>
  </w:style>
  <w:style w:type="paragraph" w:customStyle="1" w:styleId="AusPlainHanging1">
    <w:name w:val="Aus Plain Hanging 1"/>
    <w:basedOn w:val="PlainHanging1"/>
    <w:link w:val="AusPlainHanging1Char"/>
    <w:qFormat/>
    <w:rsid w:val="00C92128"/>
    <w:pPr>
      <w:ind w:left="1361" w:hanging="851"/>
    </w:pPr>
  </w:style>
  <w:style w:type="paragraph" w:customStyle="1" w:styleId="AusBoldHanging2">
    <w:name w:val="Aus Bold Hanging 2"/>
    <w:basedOn w:val="BCHanging2"/>
    <w:link w:val="AusBoldHanging2Char"/>
    <w:qFormat/>
    <w:rsid w:val="00E822EB"/>
    <w:pPr>
      <w:numPr>
        <w:numId w:val="11"/>
      </w:numPr>
      <w:ind w:left="1928" w:hanging="510"/>
    </w:pPr>
    <w:rPr>
      <w:b/>
    </w:rPr>
  </w:style>
  <w:style w:type="character" w:customStyle="1" w:styleId="NoNumPlain1Char">
    <w:name w:val="NoNum Plain1 Char"/>
    <w:link w:val="NoNumPlain1"/>
    <w:rsid w:val="00C92128"/>
    <w:rPr>
      <w:lang w:eastAsia="en-US"/>
    </w:rPr>
  </w:style>
  <w:style w:type="character" w:customStyle="1" w:styleId="NoNumPlain2Char">
    <w:name w:val="NoNum Plain2 Char"/>
    <w:basedOn w:val="NoNumPlain1Char"/>
    <w:link w:val="NoNumPlain2"/>
    <w:rsid w:val="00C92128"/>
    <w:rPr>
      <w:lang w:eastAsia="en-US"/>
    </w:rPr>
  </w:style>
  <w:style w:type="character" w:customStyle="1" w:styleId="PlainHanging1Char">
    <w:name w:val="Plain Hanging1 Char"/>
    <w:basedOn w:val="NoNumPlain2Char"/>
    <w:link w:val="PlainHanging1"/>
    <w:rsid w:val="00C92128"/>
    <w:rPr>
      <w:lang w:eastAsia="en-US"/>
    </w:rPr>
  </w:style>
  <w:style w:type="character" w:customStyle="1" w:styleId="AusPlainHanging1Char">
    <w:name w:val="Aus Plain Hanging 1 Char"/>
    <w:basedOn w:val="PlainHanging1Char"/>
    <w:link w:val="AusPlainHanging1"/>
    <w:rsid w:val="00C92128"/>
    <w:rPr>
      <w:lang w:eastAsia="en-US"/>
    </w:rPr>
  </w:style>
  <w:style w:type="paragraph" w:customStyle="1" w:styleId="AusBoldHanging3">
    <w:name w:val="Aus Bold Hanging 3"/>
    <w:basedOn w:val="BCHanging3"/>
    <w:link w:val="AusBoldHanging3Char"/>
    <w:qFormat/>
    <w:rsid w:val="00E822EB"/>
    <w:pPr>
      <w:numPr>
        <w:numId w:val="12"/>
      </w:numPr>
      <w:ind w:left="2495" w:hanging="510"/>
    </w:pPr>
    <w:rPr>
      <w:b/>
    </w:rPr>
  </w:style>
  <w:style w:type="character" w:customStyle="1" w:styleId="NoNumBC2Char">
    <w:name w:val="NoNum BC2 Char"/>
    <w:basedOn w:val="NoNumPlain1Char"/>
    <w:link w:val="NoNumBC2"/>
    <w:rsid w:val="00847FC8"/>
    <w:rPr>
      <w:lang w:eastAsia="en-US"/>
    </w:rPr>
  </w:style>
  <w:style w:type="character" w:customStyle="1" w:styleId="BCHanging1Char">
    <w:name w:val="BC Hanging1 Char"/>
    <w:basedOn w:val="NoNumBC2Char"/>
    <w:link w:val="BCHanging1"/>
    <w:rsid w:val="00847FC8"/>
    <w:rPr>
      <w:lang w:eastAsia="en-US"/>
    </w:rPr>
  </w:style>
  <w:style w:type="character" w:customStyle="1" w:styleId="BCHanging2Char">
    <w:name w:val="BC Hanging2 Char"/>
    <w:basedOn w:val="BCHanging1Char"/>
    <w:link w:val="BCHanging2"/>
    <w:rsid w:val="00847FC8"/>
    <w:rPr>
      <w:lang w:eastAsia="en-US"/>
    </w:rPr>
  </w:style>
  <w:style w:type="character" w:customStyle="1" w:styleId="AusBoldHanging2Char">
    <w:name w:val="Aus Bold Hanging 2 Char"/>
    <w:link w:val="AusBoldHanging2"/>
    <w:rsid w:val="00E822EB"/>
    <w:rPr>
      <w:b/>
      <w:lang w:eastAsia="en-US"/>
    </w:rPr>
  </w:style>
  <w:style w:type="character" w:customStyle="1" w:styleId="BCHanging3Char">
    <w:name w:val="BC Hanging3 Char"/>
    <w:basedOn w:val="BCHanging1Char"/>
    <w:link w:val="BCHanging3"/>
    <w:rsid w:val="00847FC8"/>
    <w:rPr>
      <w:lang w:eastAsia="en-US"/>
    </w:rPr>
  </w:style>
  <w:style w:type="character" w:customStyle="1" w:styleId="AusBoldHanging3Char">
    <w:name w:val="Aus Bold Hanging 3 Char"/>
    <w:link w:val="AusBoldHanging3"/>
    <w:rsid w:val="00E822EB"/>
    <w:rPr>
      <w:b/>
      <w:lang w:eastAsia="en-US"/>
    </w:rPr>
  </w:style>
  <w:style w:type="character" w:styleId="CommentReference">
    <w:name w:val="annotation reference"/>
    <w:basedOn w:val="DefaultParagraphFont"/>
    <w:rsid w:val="00BB6199"/>
    <w:rPr>
      <w:sz w:val="16"/>
      <w:szCs w:val="16"/>
    </w:rPr>
  </w:style>
  <w:style w:type="paragraph" w:styleId="CommentText">
    <w:name w:val="annotation text"/>
    <w:basedOn w:val="Normal"/>
    <w:link w:val="CommentTextChar"/>
    <w:rsid w:val="00BB6199"/>
    <w:pPr>
      <w:spacing w:line="240" w:lineRule="auto"/>
    </w:pPr>
  </w:style>
  <w:style w:type="character" w:customStyle="1" w:styleId="CommentTextChar">
    <w:name w:val="Comment Text Char"/>
    <w:basedOn w:val="DefaultParagraphFont"/>
    <w:link w:val="CommentText"/>
    <w:rsid w:val="00BB6199"/>
    <w:rPr>
      <w:lang w:eastAsia="en-US"/>
    </w:rPr>
  </w:style>
  <w:style w:type="paragraph" w:styleId="CommentSubject">
    <w:name w:val="annotation subject"/>
    <w:basedOn w:val="CommentText"/>
    <w:next w:val="CommentText"/>
    <w:link w:val="CommentSubjectChar"/>
    <w:rsid w:val="00BB6199"/>
    <w:rPr>
      <w:b/>
      <w:bCs/>
    </w:rPr>
  </w:style>
  <w:style w:type="character" w:customStyle="1" w:styleId="CommentSubjectChar">
    <w:name w:val="Comment Subject Char"/>
    <w:basedOn w:val="CommentTextChar"/>
    <w:link w:val="CommentSubject"/>
    <w:rsid w:val="00BB6199"/>
    <w:rPr>
      <w:b/>
      <w:bCs/>
      <w:lang w:eastAsia="en-US"/>
    </w:rPr>
  </w:style>
</w:styles>
</file>

<file path=word/webSettings.xml><?xml version="1.0" encoding="utf-8"?>
<w:webSettings xmlns:r="http://schemas.openxmlformats.org/officeDocument/2006/relationships" xmlns:w="http://schemas.openxmlformats.org/wordprocessingml/2006/main">
  <w:divs>
    <w:div w:id="1211262818">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A3CB-F5DA-4A1F-84E3-E4AB8446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3731</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AASB 2011-Y</vt:lpstr>
    </vt:vector>
  </TitlesOfParts>
  <Company>AASB</Company>
  <LinksUpToDate>false</LinksUpToDate>
  <CharactersWithSpaces>25401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2011-Y</dc:title>
  <dc:subject>Amending Standard</dc:subject>
  <dc:creator>Panetta</dc:creator>
  <cp:lastModifiedBy>davyga</cp:lastModifiedBy>
  <cp:revision>2</cp:revision>
  <cp:lastPrinted>2011-07-08T06:19:00Z</cp:lastPrinted>
  <dcterms:created xsi:type="dcterms:W3CDTF">2011-08-08T05:29:00Z</dcterms:created>
  <dcterms:modified xsi:type="dcterms:W3CDTF">2011-08-08T05:29:00Z</dcterms:modified>
</cp:coreProperties>
</file>