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92" w:rsidRPr="00A15C3D" w:rsidRDefault="00367792" w:rsidP="00367792">
      <w:pPr>
        <w:pStyle w:val="Heading3"/>
        <w:ind w:left="426" w:right="707"/>
        <w:jc w:val="center"/>
        <w:rPr>
          <w:rFonts w:ascii="Times New Roman" w:hAnsi="Times New Roman" w:cs="Times New Roman"/>
          <w:sz w:val="24"/>
          <w:szCs w:val="24"/>
        </w:rPr>
      </w:pPr>
      <w:r w:rsidRPr="00A15C3D">
        <w:rPr>
          <w:rFonts w:ascii="Times New Roman" w:hAnsi="Times New Roman" w:cs="Times New Roman"/>
          <w:bCs w:val="0"/>
          <w:sz w:val="24"/>
          <w:szCs w:val="24"/>
        </w:rPr>
        <w:t>EXPLANATORY STATEMENT</w:t>
      </w:r>
    </w:p>
    <w:p w:rsidR="00367792" w:rsidRPr="00A15C3D" w:rsidRDefault="00367792" w:rsidP="00367792">
      <w:pPr>
        <w:pStyle w:val="Heading3"/>
        <w:ind w:left="426" w:right="707"/>
        <w:jc w:val="center"/>
        <w:rPr>
          <w:rFonts w:ascii="Times New Roman" w:hAnsi="Times New Roman" w:cs="Times New Roman"/>
          <w:bCs w:val="0"/>
          <w:sz w:val="24"/>
          <w:szCs w:val="24"/>
        </w:rPr>
      </w:pPr>
      <w:r w:rsidRPr="00A15C3D">
        <w:rPr>
          <w:rFonts w:ascii="Times New Roman" w:hAnsi="Times New Roman" w:cs="Times New Roman"/>
          <w:bCs w:val="0"/>
          <w:sz w:val="24"/>
          <w:szCs w:val="24"/>
        </w:rPr>
        <w:t>Child Care Benefit (</w:t>
      </w:r>
      <w:r w:rsidR="009F7AAF">
        <w:rPr>
          <w:rFonts w:ascii="Times New Roman" w:hAnsi="Times New Roman" w:cs="Times New Roman"/>
          <w:bCs w:val="0"/>
          <w:sz w:val="24"/>
          <w:szCs w:val="24"/>
        </w:rPr>
        <w:t>Eligibility of Child Care Services for Approval and Continued Approval</w:t>
      </w:r>
      <w:r w:rsidRPr="00A15C3D">
        <w:rPr>
          <w:rFonts w:ascii="Times New Roman" w:hAnsi="Times New Roman" w:cs="Times New Roman"/>
          <w:bCs w:val="0"/>
          <w:sz w:val="24"/>
          <w:szCs w:val="24"/>
        </w:rPr>
        <w:t>) Amendment Determination 2011 (No.</w:t>
      </w:r>
      <w:r w:rsidR="009F7AAF">
        <w:rPr>
          <w:rFonts w:ascii="Times New Roman" w:hAnsi="Times New Roman" w:cs="Times New Roman"/>
          <w:bCs w:val="0"/>
          <w:sz w:val="24"/>
          <w:szCs w:val="24"/>
        </w:rPr>
        <w:t>1</w:t>
      </w:r>
      <w:r w:rsidRPr="00A15C3D">
        <w:rPr>
          <w:rFonts w:ascii="Times New Roman" w:hAnsi="Times New Roman" w:cs="Times New Roman"/>
          <w:bCs w:val="0"/>
          <w:sz w:val="24"/>
          <w:szCs w:val="24"/>
        </w:rPr>
        <w:t>)</w:t>
      </w:r>
    </w:p>
    <w:p w:rsidR="00367792" w:rsidRDefault="00367792" w:rsidP="00367792">
      <w:pPr>
        <w:pStyle w:val="Heading5"/>
        <w:ind w:left="426" w:right="707"/>
        <w:rPr>
          <w:b/>
          <w:bCs/>
          <w:i w:val="0"/>
          <w:sz w:val="24"/>
          <w:szCs w:val="24"/>
          <w:vertAlign w:val="superscript"/>
        </w:rPr>
      </w:pPr>
      <w:r>
        <w:rPr>
          <w:b/>
          <w:bCs/>
          <w:i w:val="0"/>
          <w:sz w:val="24"/>
          <w:szCs w:val="24"/>
        </w:rPr>
        <w:t>Authority</w:t>
      </w:r>
    </w:p>
    <w:p w:rsidR="00367792" w:rsidRPr="00A15C3D" w:rsidRDefault="00367792" w:rsidP="00367792">
      <w:pPr>
        <w:pStyle w:val="Heading3"/>
        <w:ind w:left="426" w:right="707"/>
        <w:jc w:val="both"/>
        <w:rPr>
          <w:rFonts w:ascii="Times New Roman" w:hAnsi="Times New Roman" w:cs="Times New Roman"/>
          <w:b w:val="0"/>
          <w:bCs w:val="0"/>
          <w:sz w:val="24"/>
          <w:szCs w:val="24"/>
        </w:rPr>
      </w:pPr>
      <w:r w:rsidRPr="00A15C3D">
        <w:rPr>
          <w:rFonts w:ascii="Times New Roman" w:hAnsi="Times New Roman" w:cs="Times New Roman"/>
          <w:b w:val="0"/>
          <w:bCs w:val="0"/>
          <w:sz w:val="24"/>
          <w:szCs w:val="24"/>
        </w:rPr>
        <w:t xml:space="preserve">The </w:t>
      </w:r>
      <w:r w:rsidRPr="00A15C3D">
        <w:rPr>
          <w:rFonts w:ascii="Times New Roman" w:hAnsi="Times New Roman" w:cs="Times New Roman"/>
          <w:b w:val="0"/>
          <w:bCs w:val="0"/>
          <w:i/>
          <w:sz w:val="24"/>
          <w:szCs w:val="24"/>
        </w:rPr>
        <w:t>Child Care Benefit (</w:t>
      </w:r>
      <w:r w:rsidR="009F7AAF">
        <w:rPr>
          <w:rFonts w:ascii="Times New Roman" w:hAnsi="Times New Roman" w:cs="Times New Roman"/>
          <w:b w:val="0"/>
          <w:bCs w:val="0"/>
          <w:i/>
          <w:sz w:val="24"/>
          <w:szCs w:val="24"/>
        </w:rPr>
        <w:t>Eligibility of Child Care Services for Approval and Continued Approval</w:t>
      </w:r>
      <w:r>
        <w:rPr>
          <w:rFonts w:ascii="Times New Roman" w:hAnsi="Times New Roman" w:cs="Times New Roman"/>
          <w:b w:val="0"/>
          <w:bCs w:val="0"/>
          <w:i/>
          <w:sz w:val="24"/>
          <w:szCs w:val="24"/>
        </w:rPr>
        <w:t>) Amendment Determination 2011 (No.</w:t>
      </w:r>
      <w:r w:rsidR="009F7AAF">
        <w:rPr>
          <w:rFonts w:ascii="Times New Roman" w:hAnsi="Times New Roman" w:cs="Times New Roman"/>
          <w:b w:val="0"/>
          <w:bCs w:val="0"/>
          <w:i/>
          <w:sz w:val="24"/>
          <w:szCs w:val="24"/>
        </w:rPr>
        <w:t>1</w:t>
      </w:r>
      <w:r>
        <w:rPr>
          <w:rFonts w:ascii="Times New Roman" w:hAnsi="Times New Roman" w:cs="Times New Roman"/>
          <w:b w:val="0"/>
          <w:bCs w:val="0"/>
          <w:i/>
          <w:sz w:val="24"/>
          <w:szCs w:val="24"/>
        </w:rPr>
        <w:t>)</w:t>
      </w:r>
      <w:r w:rsidRPr="00A15C3D">
        <w:rPr>
          <w:rFonts w:ascii="Times New Roman" w:hAnsi="Times New Roman" w:cs="Times New Roman"/>
          <w:b w:val="0"/>
          <w:bCs w:val="0"/>
          <w:sz w:val="24"/>
          <w:szCs w:val="24"/>
        </w:rPr>
        <w:t xml:space="preserve"> (this Determination) is made under </w:t>
      </w:r>
      <w:r w:rsidR="009F7AAF">
        <w:rPr>
          <w:rFonts w:ascii="Times New Roman" w:hAnsi="Times New Roman" w:cs="Times New Roman"/>
          <w:b w:val="0"/>
          <w:bCs w:val="0"/>
          <w:sz w:val="24"/>
          <w:szCs w:val="24"/>
        </w:rPr>
        <w:t>sub</w:t>
      </w:r>
      <w:r w:rsidRPr="00A15C3D">
        <w:rPr>
          <w:rFonts w:ascii="Times New Roman" w:hAnsi="Times New Roman" w:cs="Times New Roman"/>
          <w:b w:val="0"/>
          <w:bCs w:val="0"/>
          <w:sz w:val="24"/>
          <w:szCs w:val="24"/>
        </w:rPr>
        <w:t xml:space="preserve">section </w:t>
      </w:r>
      <w:r>
        <w:rPr>
          <w:rFonts w:ascii="Times New Roman" w:hAnsi="Times New Roman" w:cs="Times New Roman"/>
          <w:b w:val="0"/>
          <w:bCs w:val="0"/>
          <w:sz w:val="24"/>
          <w:szCs w:val="24"/>
        </w:rPr>
        <w:t>20</w:t>
      </w:r>
      <w:r w:rsidR="009F7AAF">
        <w:rPr>
          <w:rFonts w:ascii="Times New Roman" w:hAnsi="Times New Roman" w:cs="Times New Roman"/>
          <w:b w:val="0"/>
          <w:bCs w:val="0"/>
          <w:sz w:val="24"/>
          <w:szCs w:val="24"/>
        </w:rPr>
        <w:t>5(1)</w:t>
      </w:r>
      <w:r w:rsidRPr="00A15C3D">
        <w:rPr>
          <w:rFonts w:ascii="Times New Roman" w:hAnsi="Times New Roman" w:cs="Times New Roman"/>
          <w:b w:val="0"/>
          <w:bCs w:val="0"/>
          <w:sz w:val="24"/>
          <w:szCs w:val="24"/>
        </w:rPr>
        <w:t xml:space="preserve"> of the </w:t>
      </w:r>
      <w:r w:rsidRPr="00A15C3D">
        <w:rPr>
          <w:rFonts w:ascii="Times New Roman" w:hAnsi="Times New Roman" w:cs="Times New Roman"/>
          <w:b w:val="0"/>
          <w:bCs w:val="0"/>
          <w:i/>
          <w:sz w:val="24"/>
          <w:szCs w:val="24"/>
        </w:rPr>
        <w:t xml:space="preserve">A New Tax System (Family Assistance) </w:t>
      </w:r>
      <w:r>
        <w:rPr>
          <w:rFonts w:ascii="Times New Roman" w:hAnsi="Times New Roman" w:cs="Times New Roman"/>
          <w:b w:val="0"/>
          <w:bCs w:val="0"/>
          <w:i/>
          <w:sz w:val="24"/>
          <w:szCs w:val="24"/>
        </w:rPr>
        <w:t xml:space="preserve">(Administration) </w:t>
      </w:r>
      <w:r w:rsidRPr="00A15C3D">
        <w:rPr>
          <w:rFonts w:ascii="Times New Roman" w:hAnsi="Times New Roman" w:cs="Times New Roman"/>
          <w:b w:val="0"/>
          <w:bCs w:val="0"/>
          <w:i/>
          <w:sz w:val="24"/>
          <w:szCs w:val="24"/>
        </w:rPr>
        <w:t>Act 1999</w:t>
      </w:r>
      <w:r w:rsidRPr="00A15C3D">
        <w:rPr>
          <w:rFonts w:ascii="Times New Roman" w:hAnsi="Times New Roman" w:cs="Times New Roman"/>
          <w:b w:val="0"/>
          <w:bCs w:val="0"/>
          <w:sz w:val="24"/>
          <w:szCs w:val="24"/>
        </w:rPr>
        <w:t xml:space="preserve"> (the Family Assistance </w:t>
      </w:r>
      <w:r>
        <w:rPr>
          <w:rFonts w:ascii="Times New Roman" w:hAnsi="Times New Roman" w:cs="Times New Roman"/>
          <w:b w:val="0"/>
          <w:bCs w:val="0"/>
          <w:sz w:val="24"/>
          <w:szCs w:val="24"/>
        </w:rPr>
        <w:t xml:space="preserve">Administration </w:t>
      </w:r>
      <w:r w:rsidRPr="00A15C3D">
        <w:rPr>
          <w:rFonts w:ascii="Times New Roman" w:hAnsi="Times New Roman" w:cs="Times New Roman"/>
          <w:b w:val="0"/>
          <w:bCs w:val="0"/>
          <w:sz w:val="24"/>
          <w:szCs w:val="24"/>
        </w:rPr>
        <w:t>Act), which forms part of the family assistance law.</w:t>
      </w:r>
    </w:p>
    <w:p w:rsidR="00367792" w:rsidRDefault="00367792" w:rsidP="00367792">
      <w:pPr>
        <w:ind w:left="426" w:right="707"/>
      </w:pPr>
    </w:p>
    <w:p w:rsidR="00367792" w:rsidRDefault="009F7AAF" w:rsidP="00367792">
      <w:pPr>
        <w:ind w:left="426" w:right="707"/>
      </w:pPr>
      <w:r>
        <w:t>Subs</w:t>
      </w:r>
      <w:r w:rsidR="00367792">
        <w:t>ection 20</w:t>
      </w:r>
      <w:r>
        <w:t>5(1)</w:t>
      </w:r>
      <w:r w:rsidR="00367792">
        <w:t xml:space="preserve"> gives the Minister power to determine, by legislative instrument, </w:t>
      </w:r>
      <w:r>
        <w:t>rules relating to the eligibility of child care services to become approved for the purposes of the family assistance law; and rules relating to the eligibility of those services to continue to be so approved.</w:t>
      </w:r>
    </w:p>
    <w:p w:rsidR="00367792" w:rsidRDefault="00367792" w:rsidP="00367792">
      <w:pPr>
        <w:ind w:left="426" w:right="707"/>
      </w:pPr>
    </w:p>
    <w:p w:rsidR="00367792" w:rsidRDefault="00367792" w:rsidP="00367792">
      <w:pPr>
        <w:ind w:left="426" w:right="707"/>
      </w:pPr>
      <w:r>
        <w:t xml:space="preserve">This Determination is a legislative instrument for the purposes of the </w:t>
      </w:r>
      <w:r>
        <w:rPr>
          <w:b/>
          <w:i/>
        </w:rPr>
        <w:t>Legislative Instruments Act 2003</w:t>
      </w:r>
      <w:r>
        <w:t>.</w:t>
      </w:r>
    </w:p>
    <w:p w:rsidR="00367792" w:rsidRDefault="00367792" w:rsidP="00367792">
      <w:pPr>
        <w:ind w:left="426" w:right="707"/>
        <w:rPr>
          <w:b/>
        </w:rPr>
      </w:pPr>
    </w:p>
    <w:p w:rsidR="00367792" w:rsidRDefault="00367792" w:rsidP="00367792">
      <w:pPr>
        <w:ind w:left="426" w:right="707"/>
        <w:rPr>
          <w:b/>
        </w:rPr>
      </w:pPr>
      <w:r>
        <w:rPr>
          <w:b/>
        </w:rPr>
        <w:t>Purpose of this Determination</w:t>
      </w:r>
    </w:p>
    <w:p w:rsidR="00367792" w:rsidRDefault="00367792" w:rsidP="00367792">
      <w:pPr>
        <w:ind w:left="426" w:right="707"/>
      </w:pPr>
    </w:p>
    <w:p w:rsidR="00367792" w:rsidRDefault="00367792" w:rsidP="00E12F8B">
      <w:pPr>
        <w:ind w:left="426" w:right="707"/>
      </w:pPr>
      <w:r>
        <w:t xml:space="preserve">This Determination makes amendments to the </w:t>
      </w:r>
      <w:r>
        <w:rPr>
          <w:i/>
        </w:rPr>
        <w:t>Child Care Benefit (</w:t>
      </w:r>
      <w:r w:rsidR="009F7AAF">
        <w:rPr>
          <w:i/>
        </w:rPr>
        <w:t>Eligibility of Child Care Services for Approval and Continued Approval</w:t>
      </w:r>
      <w:r>
        <w:rPr>
          <w:i/>
        </w:rPr>
        <w:t>) Determination 2000</w:t>
      </w:r>
      <w:r>
        <w:t xml:space="preserve"> (the </w:t>
      </w:r>
      <w:r w:rsidR="009F7AAF">
        <w:t>Eligibility</w:t>
      </w:r>
      <w:r>
        <w:t xml:space="preserve"> Determination)</w:t>
      </w:r>
      <w:r w:rsidR="00884BC4">
        <w:t xml:space="preserve"> to remove the Secretary’s power of delegation in section 4 and to specify the decisions that are reviewable </w:t>
      </w:r>
      <w:r w:rsidR="003137F5">
        <w:t xml:space="preserve">under </w:t>
      </w:r>
      <w:r w:rsidR="00884BC4">
        <w:t xml:space="preserve">section 108 of the Family Assistance Administration Act. These amendments are made as a consequence of the amendments to the Family Assistance Administration Act made by Schedule 3 to the </w:t>
      </w:r>
      <w:r w:rsidR="00884BC4">
        <w:rPr>
          <w:i/>
        </w:rPr>
        <w:t>Family Assistance and Other Legislation Amendment (Child Care and Other Measures) Act 2011</w:t>
      </w:r>
      <w:r w:rsidR="00884BC4">
        <w:t xml:space="preserve"> (the Child Care and Other Measures Act).</w:t>
      </w:r>
      <w:r w:rsidR="002C73F8">
        <w:t xml:space="preserve"> Schedule 3 effectively commences on 22 August 2011.</w:t>
      </w:r>
    </w:p>
    <w:p w:rsidR="00367792" w:rsidRDefault="00367792" w:rsidP="00367792">
      <w:pPr>
        <w:ind w:left="426" w:right="707"/>
      </w:pPr>
    </w:p>
    <w:p w:rsidR="00367792" w:rsidRDefault="00367792" w:rsidP="00367792">
      <w:pPr>
        <w:ind w:left="426" w:right="707"/>
      </w:pPr>
      <w:r>
        <w:t xml:space="preserve">The amendments made by Schedule 3 </w:t>
      </w:r>
      <w:r w:rsidR="00884BC4">
        <w:t>to</w:t>
      </w:r>
      <w:r>
        <w:t xml:space="preserve"> the Child Care and Other Measures Act</w:t>
      </w:r>
      <w:r>
        <w:rPr>
          <w:i/>
        </w:rPr>
        <w:t xml:space="preserve"> </w:t>
      </w:r>
      <w:r>
        <w:t>amend</w:t>
      </w:r>
      <w:r w:rsidR="00C26B2B">
        <w:t>,</w:t>
      </w:r>
      <w:r>
        <w:t xml:space="preserve"> </w:t>
      </w:r>
      <w:r w:rsidR="00C26B2B">
        <w:t>among other things</w:t>
      </w:r>
      <w:r w:rsidR="003137F5">
        <w:t xml:space="preserve">, the definition of </w:t>
      </w:r>
      <w:r w:rsidR="003137F5" w:rsidRPr="003137F5">
        <w:rPr>
          <w:i/>
        </w:rPr>
        <w:t>family assistance law</w:t>
      </w:r>
      <w:r>
        <w:t xml:space="preserve"> in sub-section 3(1) of the Famil</w:t>
      </w:r>
      <w:r w:rsidR="00872CD5">
        <w:t>y Assistance Administration Act</w:t>
      </w:r>
      <w:r w:rsidR="003137F5">
        <w:t xml:space="preserve"> </w:t>
      </w:r>
      <w:r>
        <w:t xml:space="preserve">to include any instrument (including regulations) made under the Family Assistance Administration Act or the </w:t>
      </w:r>
      <w:r w:rsidR="00872CD5">
        <w:rPr>
          <w:i/>
        </w:rPr>
        <w:t xml:space="preserve">A New Tax System (Family Assistance) Act 1999 </w:t>
      </w:r>
      <w:r w:rsidR="00872CD5">
        <w:t>(</w:t>
      </w:r>
      <w:r>
        <w:t>Family Assistance Act</w:t>
      </w:r>
      <w:r w:rsidR="00872CD5">
        <w:t>)</w:t>
      </w:r>
      <w:r>
        <w:t xml:space="preserve">. </w:t>
      </w:r>
    </w:p>
    <w:p w:rsidR="00367792" w:rsidRDefault="00367792" w:rsidP="00872CD5">
      <w:pPr>
        <w:ind w:right="707"/>
      </w:pPr>
    </w:p>
    <w:p w:rsidR="00367792" w:rsidRDefault="00884BC4" w:rsidP="00367792">
      <w:pPr>
        <w:ind w:left="426" w:right="707"/>
      </w:pPr>
      <w:r>
        <w:t>Th</w:t>
      </w:r>
      <w:r w:rsidR="003137F5">
        <w:t>e</w:t>
      </w:r>
      <w:r>
        <w:t xml:space="preserve"> amendment </w:t>
      </w:r>
      <w:r w:rsidR="003137F5">
        <w:t xml:space="preserve">to the definition of </w:t>
      </w:r>
      <w:r w:rsidR="003137F5">
        <w:rPr>
          <w:i/>
        </w:rPr>
        <w:t xml:space="preserve">family assistance law </w:t>
      </w:r>
      <w:r>
        <w:t>affects the operation of subsection 221(1) of the</w:t>
      </w:r>
      <w:r w:rsidR="00872CD5">
        <w:t xml:space="preserve"> </w:t>
      </w:r>
      <w:r w:rsidR="00367792">
        <w:t>Family Assistance Administration Act</w:t>
      </w:r>
      <w:r>
        <w:t>. Subsection 22</w:t>
      </w:r>
      <w:r w:rsidR="00C26B2B">
        <w:t>1</w:t>
      </w:r>
      <w:r>
        <w:t>(1)</w:t>
      </w:r>
      <w:r w:rsidR="00367792">
        <w:t xml:space="preserve"> contains the Secretary’s power of delegation. It provides that the Secretary may delegate to an officer all or any of the powers of the Secretary under the </w:t>
      </w:r>
      <w:r w:rsidR="00367792">
        <w:rPr>
          <w:i/>
        </w:rPr>
        <w:t>family assistance law</w:t>
      </w:r>
      <w:r w:rsidR="00367792">
        <w:t xml:space="preserve">. Prior to the amendments made by the Child Care and Other Measures Act, the definition of </w:t>
      </w:r>
      <w:r w:rsidR="00367792">
        <w:rPr>
          <w:i/>
        </w:rPr>
        <w:t xml:space="preserve">family assistance law </w:t>
      </w:r>
      <w:r w:rsidR="00367792">
        <w:t xml:space="preserve">did not include a reference to instruments and therefore the Secretary’s </w:t>
      </w:r>
      <w:r w:rsidR="00EC26FA">
        <w:t xml:space="preserve">delegation power </w:t>
      </w:r>
      <w:r w:rsidR="003137F5">
        <w:t>in subsection 221(1)</w:t>
      </w:r>
      <w:r w:rsidR="00367792">
        <w:t xml:space="preserve"> did not extend to delegating the Secretary’s powers under instruments. However, as a result of the amendments to the definition of </w:t>
      </w:r>
      <w:r w:rsidR="00367792">
        <w:rPr>
          <w:i/>
        </w:rPr>
        <w:t xml:space="preserve">family assistance law, </w:t>
      </w:r>
      <w:r w:rsidR="00367792">
        <w:t xml:space="preserve">from the commencement </w:t>
      </w:r>
      <w:r>
        <w:t>day</w:t>
      </w:r>
      <w:r w:rsidR="00367792">
        <w:t xml:space="preserve"> of Schedule 3 to the Child Care and Other Measures Act, the Secretary’s power of delegation in subsection 221(1) extends to powers which are exercised by the </w:t>
      </w:r>
      <w:r w:rsidR="00367792">
        <w:lastRenderedPageBreak/>
        <w:t>Secretary under instruments (including regulations) under the Family Assistance Administration Act or the Family Assistance Act.</w:t>
      </w:r>
    </w:p>
    <w:p w:rsidR="00367792" w:rsidRDefault="00367792" w:rsidP="00367792">
      <w:pPr>
        <w:ind w:left="426" w:right="707"/>
      </w:pPr>
    </w:p>
    <w:p w:rsidR="00367792" w:rsidRDefault="00367792" w:rsidP="00367792">
      <w:pPr>
        <w:ind w:left="426" w:right="707"/>
      </w:pPr>
      <w:r>
        <w:t xml:space="preserve">Currently, section 4 of the </w:t>
      </w:r>
      <w:r w:rsidR="00483696">
        <w:t>Eligibility</w:t>
      </w:r>
      <w:r>
        <w:t xml:space="preserve"> Determination contains an express delegation provision which enables the delegation of all or any of the </w:t>
      </w:r>
      <w:r w:rsidR="00483696">
        <w:t xml:space="preserve">Secretary’s </w:t>
      </w:r>
      <w:r>
        <w:t>powers under that Determination</w:t>
      </w:r>
      <w:r w:rsidR="00483696">
        <w:t xml:space="preserve"> to an officer of the agency</w:t>
      </w:r>
      <w:r>
        <w:t>. However, as a result of the amendments made by the Child Care and Other Measures Act and on</w:t>
      </w:r>
      <w:r w:rsidR="00A90246">
        <w:t xml:space="preserve"> the</w:t>
      </w:r>
      <w:r>
        <w:t xml:space="preserve"> commencement </w:t>
      </w:r>
      <w:r w:rsidR="00884BC4">
        <w:t xml:space="preserve">day </w:t>
      </w:r>
      <w:r>
        <w:t xml:space="preserve">of Schedule 3 to that Act, the authority for delegation of powers under the </w:t>
      </w:r>
      <w:r w:rsidR="00483696">
        <w:t>Eligibility</w:t>
      </w:r>
      <w:r>
        <w:t xml:space="preserve"> Determination is in subsection 221(1) of the Family Assistance Administration Act. Section 4 of the </w:t>
      </w:r>
      <w:r w:rsidR="00483696">
        <w:t>Eligibility</w:t>
      </w:r>
      <w:r>
        <w:t xml:space="preserve"> Determination is therefore a redundant provision.</w:t>
      </w:r>
      <w:r w:rsidR="00856670">
        <w:t xml:space="preserve"> This </w:t>
      </w:r>
      <w:r w:rsidR="00C26B2B">
        <w:t xml:space="preserve">Determination </w:t>
      </w:r>
      <w:r w:rsidR="00856670">
        <w:t>removes this section.</w:t>
      </w:r>
    </w:p>
    <w:p w:rsidR="00872CD5" w:rsidRDefault="00872CD5" w:rsidP="00367792">
      <w:pPr>
        <w:ind w:left="426" w:right="707"/>
      </w:pPr>
    </w:p>
    <w:p w:rsidR="005F56FE" w:rsidRDefault="008E076A" w:rsidP="005F56FE">
      <w:pPr>
        <w:ind w:left="426" w:right="707"/>
      </w:pPr>
      <w:r>
        <w:t xml:space="preserve">Schedule 3 </w:t>
      </w:r>
      <w:r w:rsidR="00856670">
        <w:t>to</w:t>
      </w:r>
      <w:r>
        <w:t xml:space="preserve"> the Child Care and Other Measures Act </w:t>
      </w:r>
      <w:r w:rsidR="004A1B53">
        <w:t xml:space="preserve">also </w:t>
      </w:r>
      <w:r>
        <w:t xml:space="preserve">makes amendments </w:t>
      </w:r>
      <w:r w:rsidR="00856670">
        <w:t>to the Family Assistance Administration Act</w:t>
      </w:r>
      <w:r w:rsidR="00C26B2B">
        <w:t>,</w:t>
      </w:r>
      <w:r w:rsidR="00856670">
        <w:t xml:space="preserve"> </w:t>
      </w:r>
      <w:r>
        <w:t xml:space="preserve">which </w:t>
      </w:r>
      <w:r w:rsidR="00154478">
        <w:t>affect</w:t>
      </w:r>
      <w:r>
        <w:t xml:space="preserve"> the review of decisions made under instruments. </w:t>
      </w:r>
      <w:r w:rsidR="00856670">
        <w:t>As a result of th</w:t>
      </w:r>
      <w:r w:rsidR="00154478">
        <w:t>e</w:t>
      </w:r>
      <w:r w:rsidR="00856670">
        <w:t>se amendments</w:t>
      </w:r>
      <w:r w:rsidR="00154478">
        <w:t>, a decision under an instrument</w:t>
      </w:r>
      <w:r w:rsidR="00856670">
        <w:t xml:space="preserve"> </w:t>
      </w:r>
      <w:r w:rsidR="00154478">
        <w:t>is</w:t>
      </w:r>
      <w:r w:rsidR="00856670">
        <w:t xml:space="preserve"> not reviewable under section 108 of the Family Assistance Administration Act (</w:t>
      </w:r>
      <w:r w:rsidR="00154478">
        <w:t>internal review on application</w:t>
      </w:r>
      <w:r w:rsidR="00856670">
        <w:t>)</w:t>
      </w:r>
      <w:r w:rsidR="00C26B2B">
        <w:t>,</w:t>
      </w:r>
      <w:r w:rsidR="00856670">
        <w:t xml:space="preserve"> and therefore </w:t>
      </w:r>
      <w:r w:rsidR="00154478">
        <w:t xml:space="preserve">not </w:t>
      </w:r>
      <w:r w:rsidR="00154478" w:rsidRPr="003B6797">
        <w:t xml:space="preserve">reviewable </w:t>
      </w:r>
      <w:r w:rsidR="00856670" w:rsidRPr="003B6797">
        <w:t xml:space="preserve">by </w:t>
      </w:r>
      <w:r w:rsidR="00E65FE1" w:rsidRPr="00E65FE1">
        <w:t>the Social Security Appeals Tribunal</w:t>
      </w:r>
      <w:r w:rsidR="00446D4A">
        <w:t xml:space="preserve"> (SSAT)</w:t>
      </w:r>
      <w:r w:rsidR="00856670" w:rsidRPr="003B6797">
        <w:t xml:space="preserve"> and </w:t>
      </w:r>
      <w:r w:rsidR="00E65FE1" w:rsidRPr="00E65FE1">
        <w:t xml:space="preserve">the </w:t>
      </w:r>
      <w:r w:rsidR="00856670" w:rsidRPr="003B6797">
        <w:t>A</w:t>
      </w:r>
      <w:r w:rsidR="00E65FE1" w:rsidRPr="00E65FE1">
        <w:t xml:space="preserve">dministrative </w:t>
      </w:r>
      <w:r w:rsidR="00856670" w:rsidRPr="003B6797">
        <w:t>A</w:t>
      </w:r>
      <w:r w:rsidR="00E65FE1" w:rsidRPr="00E65FE1">
        <w:t xml:space="preserve">ppeals </w:t>
      </w:r>
      <w:r w:rsidR="00856670" w:rsidRPr="003B6797">
        <w:t>T</w:t>
      </w:r>
      <w:r w:rsidR="00154478" w:rsidRPr="003B6797">
        <w:t>ribunal</w:t>
      </w:r>
      <w:r w:rsidR="00446D4A">
        <w:t xml:space="preserve"> (AAT)</w:t>
      </w:r>
      <w:r w:rsidR="00856670" w:rsidRPr="003B6797">
        <w:t>, unless</w:t>
      </w:r>
      <w:r w:rsidR="00154478" w:rsidRPr="003B6797">
        <w:t xml:space="preserve"> </w:t>
      </w:r>
      <w:r w:rsidR="00856670" w:rsidRPr="003B6797">
        <w:t xml:space="preserve">the instrument specifies that the </w:t>
      </w:r>
      <w:r w:rsidR="00C26B2B" w:rsidRPr="003B6797">
        <w:t>decision</w:t>
      </w:r>
      <w:r w:rsidR="00856670" w:rsidRPr="003B6797">
        <w:t xml:space="preserve"> is reviewable (</w:t>
      </w:r>
      <w:r w:rsidR="00C26B2B">
        <w:t>paragraph</w:t>
      </w:r>
      <w:r w:rsidR="00856670" w:rsidRPr="003B6797">
        <w:t xml:space="preserve"> 108(2)(h) and</w:t>
      </w:r>
      <w:r w:rsidR="00856670">
        <w:t xml:space="preserve"> </w:t>
      </w:r>
      <w:r w:rsidR="00EC26FA">
        <w:t xml:space="preserve">subsection </w:t>
      </w:r>
      <w:r w:rsidR="00856670">
        <w:t>108(2A) of the Family Assistance Administration Act</w:t>
      </w:r>
      <w:r w:rsidR="00154478">
        <w:t>,</w:t>
      </w:r>
      <w:r w:rsidR="00856670">
        <w:t xml:space="preserve"> inserted by Item</w:t>
      </w:r>
      <w:r w:rsidR="00C26B2B">
        <w:t>s</w:t>
      </w:r>
      <w:r w:rsidR="00856670">
        <w:t xml:space="preserve"> 2 and 3 of </w:t>
      </w:r>
      <w:r w:rsidR="00C26B2B">
        <w:t>Schedule 3 to the</w:t>
      </w:r>
      <w:r w:rsidR="00856670">
        <w:t xml:space="preserve"> Child Care and Other Measures Act</w:t>
      </w:r>
      <w:r w:rsidR="00EC26FA">
        <w:t xml:space="preserve"> refer</w:t>
      </w:r>
      <w:r w:rsidR="00856670">
        <w:t>)</w:t>
      </w:r>
      <w:r w:rsidR="00154478">
        <w:t>.</w:t>
      </w:r>
      <w:r w:rsidR="005F56FE">
        <w:t xml:space="preserve"> </w:t>
      </w:r>
      <w:r w:rsidR="00154478">
        <w:t>Th</w:t>
      </w:r>
      <w:r w:rsidR="00C26B2B">
        <w:t>ese</w:t>
      </w:r>
      <w:r w:rsidR="00154478">
        <w:t xml:space="preserve"> amendment</w:t>
      </w:r>
      <w:r w:rsidR="00C26B2B">
        <w:t>s enable</w:t>
      </w:r>
      <w:r w:rsidR="00154478">
        <w:t xml:space="preserve"> the instrument</w:t>
      </w:r>
      <w:r w:rsidR="00C26B2B">
        <w:t>-maker</w:t>
      </w:r>
      <w:r w:rsidR="00154478">
        <w:t xml:space="preserve"> to specify </w:t>
      </w:r>
      <w:r w:rsidR="00C26B2B">
        <w:t xml:space="preserve">– at the time the instrument is made - </w:t>
      </w:r>
      <w:r w:rsidR="00154478">
        <w:t xml:space="preserve">which decisions are reviewable and to </w:t>
      </w:r>
      <w:r w:rsidR="00C26B2B">
        <w:t xml:space="preserve">leave outside that </w:t>
      </w:r>
      <w:r w:rsidR="00EC26FA">
        <w:t>review</w:t>
      </w:r>
      <w:r w:rsidR="00154478">
        <w:t xml:space="preserve"> those decisions</w:t>
      </w:r>
      <w:r w:rsidR="00EC26FA">
        <w:t>,</w:t>
      </w:r>
      <w:r w:rsidR="00154478">
        <w:t xml:space="preserve"> which, by their nature</w:t>
      </w:r>
      <w:r w:rsidR="00C26B2B">
        <w:t>,</w:t>
      </w:r>
      <w:r w:rsidR="00154478">
        <w:t xml:space="preserve"> are not suitable for merits review</w:t>
      </w:r>
      <w:r w:rsidR="00C26B2B">
        <w:t>. All decisions may be reviewed by the Secretary (delegate) on own initiative, under section 105 of the Family Assistance Administration Act.</w:t>
      </w:r>
    </w:p>
    <w:p w:rsidR="00C11B47" w:rsidRDefault="00C11B47">
      <w:pPr>
        <w:ind w:right="707"/>
      </w:pPr>
    </w:p>
    <w:p w:rsidR="00F86B1B" w:rsidRDefault="00154478" w:rsidP="005F56FE">
      <w:pPr>
        <w:ind w:left="426" w:right="707"/>
      </w:pPr>
      <w:r>
        <w:t>This Determination specifies the decisions in the Eligibility Determination which are reviewable for the purpose</w:t>
      </w:r>
      <w:r w:rsidR="00C26B2B">
        <w:t>s</w:t>
      </w:r>
      <w:r>
        <w:t xml:space="preserve"> of section 108 of the Family Assistance Administration Act.</w:t>
      </w:r>
    </w:p>
    <w:p w:rsidR="00C11B47" w:rsidRDefault="00C11B47">
      <w:pPr>
        <w:ind w:right="707"/>
      </w:pPr>
    </w:p>
    <w:p w:rsidR="009E6C29" w:rsidRDefault="009E6C29" w:rsidP="009E6C29">
      <w:pPr>
        <w:ind w:left="426" w:right="707"/>
      </w:pPr>
      <w:r>
        <w:rPr>
          <w:b/>
        </w:rPr>
        <w:t>Consultation Statement</w:t>
      </w:r>
    </w:p>
    <w:p w:rsidR="009E6C29" w:rsidRDefault="009E6C29" w:rsidP="009E6C29">
      <w:pPr>
        <w:ind w:left="426" w:right="707"/>
      </w:pPr>
    </w:p>
    <w:p w:rsidR="00965F15" w:rsidRPr="00965F15" w:rsidRDefault="00B43D38" w:rsidP="009E6C29">
      <w:pPr>
        <w:ind w:left="426" w:right="707"/>
        <w:rPr>
          <w:b/>
        </w:rPr>
      </w:pPr>
      <w:r w:rsidRPr="00081E5A">
        <w:t xml:space="preserve">The proposed amendment </w:t>
      </w:r>
      <w:r w:rsidR="009E6C29">
        <w:t xml:space="preserve">to section 4 (delegation) </w:t>
      </w:r>
      <w:r w:rsidR="00C26B2B">
        <w:t>was not</w:t>
      </w:r>
      <w:r w:rsidRPr="00081E5A">
        <w:t xml:space="preserve"> consulted. </w:t>
      </w:r>
      <w:r w:rsidR="00C26B2B">
        <w:t>This amendment was</w:t>
      </w:r>
      <w:r w:rsidRPr="00081E5A">
        <w:t xml:space="preserve"> considered unnecessary to consult as the amendment</w:t>
      </w:r>
      <w:r>
        <w:t xml:space="preserve"> to the delegation provision</w:t>
      </w:r>
      <w:r w:rsidRPr="00081E5A">
        <w:t xml:space="preserve"> is minor and machinery in nature.</w:t>
      </w:r>
      <w:r>
        <w:t xml:space="preserve"> </w:t>
      </w:r>
      <w:r w:rsidRPr="00081E5A">
        <w:t>The amendment simply reflects the changes to the source of the Secretary’s delegation power</w:t>
      </w:r>
      <w:r>
        <w:t xml:space="preserve"> as a consequence of the amendments made by the Child Care and Other Measures Act</w:t>
      </w:r>
      <w:r w:rsidRPr="00081E5A">
        <w:t xml:space="preserve">; it does </w:t>
      </w:r>
      <w:r>
        <w:t>not</w:t>
      </w:r>
      <w:r w:rsidRPr="00081E5A">
        <w:t xml:space="preserve"> have any impact on the nature or exercise of that power.</w:t>
      </w:r>
    </w:p>
    <w:p w:rsidR="00965F15" w:rsidRDefault="00965F15" w:rsidP="00B43D38">
      <w:pPr>
        <w:ind w:left="426" w:right="707"/>
      </w:pPr>
    </w:p>
    <w:p w:rsidR="00C26B2B" w:rsidRPr="006624F4" w:rsidRDefault="00C26B2B" w:rsidP="006624F4">
      <w:pPr>
        <w:ind w:left="426" w:right="707"/>
      </w:pPr>
      <w:r>
        <w:t>The</w:t>
      </w:r>
      <w:r w:rsidR="00B43D38">
        <w:t xml:space="preserve"> amendment to </w:t>
      </w:r>
      <w:r>
        <w:t xml:space="preserve">section 5 (review provision) </w:t>
      </w:r>
      <w:r w:rsidR="00EC26FA">
        <w:t>was</w:t>
      </w:r>
      <w:r>
        <w:t xml:space="preserve"> also not</w:t>
      </w:r>
      <w:r w:rsidR="0064774B">
        <w:t xml:space="preserve"> consulted</w:t>
      </w:r>
      <w:r w:rsidR="00B43D38">
        <w:t>.</w:t>
      </w:r>
      <w:r w:rsidR="003B6797">
        <w:t xml:space="preserve"> It </w:t>
      </w:r>
      <w:r>
        <w:t>was</w:t>
      </w:r>
      <w:r w:rsidR="003B6797">
        <w:t xml:space="preserve"> considered unnecessary to consult </w:t>
      </w:r>
      <w:r>
        <w:t>the amendment</w:t>
      </w:r>
      <w:r w:rsidR="003B6797">
        <w:t xml:space="preserve"> to make </w:t>
      </w:r>
      <w:r>
        <w:t xml:space="preserve">certain </w:t>
      </w:r>
      <w:r w:rsidR="003B6797">
        <w:t>decisions under the Eligibility Determination reviewable</w:t>
      </w:r>
      <w:r w:rsidR="00F9132D">
        <w:t>,</w:t>
      </w:r>
      <w:r w:rsidR="003B6797">
        <w:t xml:space="preserve"> as the</w:t>
      </w:r>
      <w:r>
        <w:t>se</w:t>
      </w:r>
      <w:r w:rsidR="003B6797">
        <w:t xml:space="preserve"> decisions</w:t>
      </w:r>
      <w:r>
        <w:t xml:space="preserve"> </w:t>
      </w:r>
      <w:r w:rsidR="00EC26FA">
        <w:t>are of the kind</w:t>
      </w:r>
      <w:r w:rsidR="00A64353">
        <w:t xml:space="preserve"> </w:t>
      </w:r>
      <w:r w:rsidR="00EC26FA">
        <w:t>that</w:t>
      </w:r>
      <w:r w:rsidR="00A64353">
        <w:t xml:space="preserve"> would be reviewable, as a matter of merit</w:t>
      </w:r>
      <w:r w:rsidR="00EC26FA">
        <w:t>s</w:t>
      </w:r>
      <w:r w:rsidR="00A64353">
        <w:t xml:space="preserve"> review policy,</w:t>
      </w:r>
      <w:r w:rsidR="003B6797">
        <w:t xml:space="preserve"> if </w:t>
      </w:r>
      <w:r w:rsidR="00EC26FA">
        <w:t>the powers for making these</w:t>
      </w:r>
      <w:r w:rsidR="003B6797">
        <w:t xml:space="preserve"> decision</w:t>
      </w:r>
      <w:r w:rsidR="00EC26FA">
        <w:t>s</w:t>
      </w:r>
      <w:r w:rsidR="003B6797">
        <w:t xml:space="preserve"> </w:t>
      </w:r>
      <w:r w:rsidR="00A64353">
        <w:t>were included</w:t>
      </w:r>
      <w:r w:rsidR="003B6797">
        <w:t xml:space="preserve"> in the primary legislation. </w:t>
      </w:r>
      <w:r w:rsidR="00A64353">
        <w:t>Further, leaving the three decision</w:t>
      </w:r>
      <w:r w:rsidR="00EC26FA">
        <w:t>-</w:t>
      </w:r>
      <w:r w:rsidR="00A64353">
        <w:t xml:space="preserve">making powers (subsection 12(3), section 21 and section 21A) outside </w:t>
      </w:r>
      <w:r w:rsidR="00EC26FA">
        <w:t xml:space="preserve">merits </w:t>
      </w:r>
      <w:r w:rsidR="00A64353">
        <w:t>review (other than on the Secretary’s own initiative) was also considered unnecessary or inappropriate to consult. These decisions are</w:t>
      </w:r>
      <w:r w:rsidR="00F9132D">
        <w:t xml:space="preserve"> procedural or preliminary decisions</w:t>
      </w:r>
      <w:r w:rsidR="00EC26FA">
        <w:t>,</w:t>
      </w:r>
      <w:r w:rsidR="00F9132D">
        <w:t xml:space="preserve"> which are </w:t>
      </w:r>
      <w:r w:rsidR="00A64353">
        <w:t>considered unsuitable for merits review</w:t>
      </w:r>
      <w:r w:rsidR="00EC26FA">
        <w:t xml:space="preserve"> (the </w:t>
      </w:r>
      <w:r w:rsidR="00A64353">
        <w:t xml:space="preserve">explanation relating to </w:t>
      </w:r>
      <w:r w:rsidR="00A64353">
        <w:rPr>
          <w:b/>
        </w:rPr>
        <w:t>Item 2 of Schedule 1</w:t>
      </w:r>
      <w:r w:rsidR="00EC26FA">
        <w:t xml:space="preserve"> refers).</w:t>
      </w:r>
      <w:r w:rsidR="00A64353">
        <w:t xml:space="preserve"> </w:t>
      </w:r>
      <w:r w:rsidR="002C73F8">
        <w:t>Similar</w:t>
      </w:r>
      <w:r w:rsidR="00A64353">
        <w:t xml:space="preserve"> decisions, made under the primary legislation, </w:t>
      </w:r>
      <w:r w:rsidR="002C73F8">
        <w:t>are</w:t>
      </w:r>
      <w:r w:rsidR="00A64353">
        <w:t xml:space="preserve"> also </w:t>
      </w:r>
      <w:r w:rsidR="00B53160">
        <w:t>not</w:t>
      </w:r>
      <w:r w:rsidR="00A64353">
        <w:t xml:space="preserve"> reviewable.</w:t>
      </w:r>
    </w:p>
    <w:p w:rsidR="00367792" w:rsidRDefault="00367792" w:rsidP="00367792">
      <w:pPr>
        <w:pStyle w:val="Heading5"/>
        <w:ind w:left="426" w:right="707"/>
        <w:rPr>
          <w:b/>
          <w:bCs/>
          <w:i w:val="0"/>
          <w:sz w:val="24"/>
          <w:szCs w:val="24"/>
        </w:rPr>
      </w:pPr>
      <w:r>
        <w:rPr>
          <w:b/>
          <w:bCs/>
          <w:i w:val="0"/>
          <w:sz w:val="24"/>
          <w:szCs w:val="24"/>
        </w:rPr>
        <w:t>Regulation Impact Statement</w:t>
      </w:r>
    </w:p>
    <w:p w:rsidR="00367792" w:rsidRPr="00247DB5" w:rsidRDefault="00367792" w:rsidP="00367792">
      <w:pPr>
        <w:ind w:left="426" w:right="707"/>
      </w:pPr>
    </w:p>
    <w:p w:rsidR="00367792" w:rsidRDefault="00E65FE1" w:rsidP="00367792">
      <w:pPr>
        <w:ind w:left="426" w:right="707"/>
      </w:pPr>
      <w:r w:rsidRPr="00E65FE1">
        <w:t xml:space="preserve">Office of Best Practice Regulation was consulted in the preparation of this Determination and assessed that no Regulation Impact Statement was required </w:t>
      </w:r>
      <w:r w:rsidR="00A64353">
        <w:t>in relation to the amendments included in this Determination.</w:t>
      </w:r>
    </w:p>
    <w:p w:rsidR="00367792" w:rsidRDefault="00367792" w:rsidP="00367792">
      <w:pPr>
        <w:ind w:left="426" w:right="707"/>
        <w:rPr>
          <w:b/>
        </w:rPr>
      </w:pPr>
    </w:p>
    <w:p w:rsidR="00367792" w:rsidRDefault="00367792" w:rsidP="00367792">
      <w:pPr>
        <w:ind w:left="426" w:right="707"/>
        <w:rPr>
          <w:b/>
        </w:rPr>
      </w:pPr>
      <w:r>
        <w:rPr>
          <w:b/>
        </w:rPr>
        <w:t>Explanation of Provisions</w:t>
      </w:r>
    </w:p>
    <w:p w:rsidR="00367792" w:rsidRDefault="00367792" w:rsidP="00367792">
      <w:pPr>
        <w:ind w:left="426" w:right="707"/>
        <w:rPr>
          <w:b/>
        </w:rPr>
      </w:pPr>
    </w:p>
    <w:p w:rsidR="00367792" w:rsidRDefault="00367792" w:rsidP="00367792">
      <w:pPr>
        <w:ind w:left="426" w:right="707"/>
      </w:pPr>
      <w:r>
        <w:rPr>
          <w:b/>
        </w:rPr>
        <w:t>Sections 1, 2 and 3</w:t>
      </w:r>
      <w:r>
        <w:t xml:space="preserve"> of this Determination are functional provisions. </w:t>
      </w:r>
    </w:p>
    <w:p w:rsidR="00367792" w:rsidRDefault="00367792" w:rsidP="00367792">
      <w:pPr>
        <w:ind w:left="426" w:right="707"/>
      </w:pPr>
    </w:p>
    <w:p w:rsidR="00367792" w:rsidRDefault="00367792" w:rsidP="00367792">
      <w:pPr>
        <w:ind w:left="426" w:right="707"/>
      </w:pPr>
      <w:r>
        <w:t xml:space="preserve">Section 1 sets out the name of this Determination. </w:t>
      </w:r>
    </w:p>
    <w:p w:rsidR="00367792" w:rsidRDefault="00367792" w:rsidP="00367792">
      <w:pPr>
        <w:ind w:left="426" w:right="707"/>
      </w:pPr>
    </w:p>
    <w:p w:rsidR="00367792" w:rsidRPr="00247DB5" w:rsidRDefault="00367792" w:rsidP="00367792">
      <w:pPr>
        <w:ind w:left="426" w:right="707"/>
      </w:pPr>
      <w:r>
        <w:t xml:space="preserve">Section 2 specifies that this Determination commences </w:t>
      </w:r>
      <w:r w:rsidR="00BF7E92">
        <w:t>on the day on which</w:t>
      </w:r>
      <w:r>
        <w:t xml:space="preserve"> of Schedule 3 to the </w:t>
      </w:r>
      <w:r>
        <w:rPr>
          <w:i/>
        </w:rPr>
        <w:t xml:space="preserve">Family Assistance and Other Legislation Amendment (Child Care and Other Measures) Act 2011 </w:t>
      </w:r>
      <w:r>
        <w:t>commences</w:t>
      </w:r>
      <w:r>
        <w:rPr>
          <w:i/>
        </w:rPr>
        <w:t xml:space="preserve">. </w:t>
      </w:r>
      <w:r>
        <w:t>Schedule 3 commences on the 28</w:t>
      </w:r>
      <w:r w:rsidRPr="00247DB5">
        <w:rPr>
          <w:vertAlign w:val="superscript"/>
        </w:rPr>
        <w:t>th</w:t>
      </w:r>
      <w:r>
        <w:t xml:space="preserve"> day after </w:t>
      </w:r>
      <w:r w:rsidR="00BF7E92">
        <w:t xml:space="preserve">that </w:t>
      </w:r>
      <w:r>
        <w:t>Act is given Royal Assent. Royal Assent was given on 25 July 2011.</w:t>
      </w:r>
    </w:p>
    <w:p w:rsidR="00367792" w:rsidRDefault="00367792" w:rsidP="00367792">
      <w:pPr>
        <w:ind w:left="426" w:right="707"/>
        <w:rPr>
          <w:i/>
        </w:rPr>
      </w:pPr>
    </w:p>
    <w:p w:rsidR="00367792" w:rsidRDefault="00367792" w:rsidP="00367792">
      <w:pPr>
        <w:ind w:left="426" w:right="707"/>
        <w:rPr>
          <w:i/>
        </w:rPr>
      </w:pPr>
      <w:r>
        <w:t xml:space="preserve">Section 3 states that Schedule 1 amends the </w:t>
      </w:r>
      <w:r>
        <w:rPr>
          <w:i/>
        </w:rPr>
        <w:t>Child Care Benefit (</w:t>
      </w:r>
      <w:r w:rsidR="00AE6E7B">
        <w:rPr>
          <w:i/>
        </w:rPr>
        <w:t>Eligibility</w:t>
      </w:r>
      <w:r>
        <w:rPr>
          <w:i/>
        </w:rPr>
        <w:t xml:space="preserve"> of Child Care </w:t>
      </w:r>
      <w:r w:rsidR="00AE6E7B">
        <w:rPr>
          <w:i/>
        </w:rPr>
        <w:t>Services for Approval and Continued Approval</w:t>
      </w:r>
      <w:r>
        <w:rPr>
          <w:i/>
        </w:rPr>
        <w:t>) Determination 2000.</w:t>
      </w:r>
    </w:p>
    <w:p w:rsidR="00BF7E92" w:rsidRDefault="00BF7E92" w:rsidP="00367792">
      <w:pPr>
        <w:ind w:left="426" w:right="707"/>
        <w:rPr>
          <w:i/>
        </w:rPr>
      </w:pPr>
    </w:p>
    <w:p w:rsidR="00A64353" w:rsidRDefault="00E65FE1" w:rsidP="00367792">
      <w:pPr>
        <w:ind w:left="426" w:right="707"/>
      </w:pPr>
      <w:r w:rsidRPr="00E65FE1">
        <w:rPr>
          <w:b/>
        </w:rPr>
        <w:t>Section 4</w:t>
      </w:r>
      <w:r w:rsidR="00A64353">
        <w:t xml:space="preserve"> of this Determination is an application provision. It states that an amendment made by item 2 of Schedule 1</w:t>
      </w:r>
      <w:r w:rsidR="001D064E">
        <w:t xml:space="preserve"> (to enable review of decisions under the Eligibility Determination)</w:t>
      </w:r>
      <w:r w:rsidR="00A64353">
        <w:t xml:space="preserve"> applies to a decision made under the Eligibility Determination on or after the day on which Schedule 3 to the Child Care and Other Measures Act commences.</w:t>
      </w:r>
      <w:r w:rsidR="006624F4">
        <w:t xml:space="preserve"> </w:t>
      </w:r>
    </w:p>
    <w:p w:rsidR="002C73F8" w:rsidRDefault="002C73F8" w:rsidP="00367792">
      <w:pPr>
        <w:ind w:left="426" w:right="707"/>
      </w:pPr>
    </w:p>
    <w:p w:rsidR="002C73F8" w:rsidRPr="002C73F8" w:rsidRDefault="002C73F8" w:rsidP="00367792">
      <w:pPr>
        <w:ind w:left="426" w:right="707"/>
        <w:rPr>
          <w:u w:val="single"/>
        </w:rPr>
      </w:pPr>
      <w:r>
        <w:rPr>
          <w:u w:val="single"/>
        </w:rPr>
        <w:t>Schedule 1 - Amendments</w:t>
      </w:r>
    </w:p>
    <w:p w:rsidR="00A64353" w:rsidRDefault="00A64353" w:rsidP="00367792">
      <w:pPr>
        <w:ind w:left="426" w:right="707"/>
      </w:pPr>
      <w:r>
        <w:rPr>
          <w:rFonts w:ascii="Arial" w:hAnsi="Arial" w:cs="Arial"/>
          <w:bCs/>
        </w:rPr>
        <w:t xml:space="preserve"> </w:t>
      </w:r>
    </w:p>
    <w:p w:rsidR="00A64353" w:rsidRPr="006624F4" w:rsidRDefault="006624F4" w:rsidP="00367792">
      <w:pPr>
        <w:ind w:left="426" w:right="707"/>
        <w:rPr>
          <w:i/>
        </w:rPr>
      </w:pPr>
      <w:r>
        <w:rPr>
          <w:i/>
        </w:rPr>
        <w:t>Section 4 - Delegation</w:t>
      </w:r>
    </w:p>
    <w:p w:rsidR="00367792" w:rsidRDefault="00367792" w:rsidP="00367792">
      <w:pPr>
        <w:ind w:left="426" w:right="707"/>
      </w:pPr>
    </w:p>
    <w:p w:rsidR="00367792" w:rsidRDefault="00367792" w:rsidP="00367792">
      <w:pPr>
        <w:ind w:left="426" w:right="707"/>
      </w:pPr>
      <w:r>
        <w:t xml:space="preserve">Section 4 of the </w:t>
      </w:r>
      <w:r w:rsidR="00AE6E7B">
        <w:t>Eligibility</w:t>
      </w:r>
      <w:r>
        <w:t xml:space="preserve"> Determination provides for delegation of the Secretary’s powers in that Determination. As a result of the amendments made by the Child Care and Other Measures Act, from the commencement of Schedule 3 to that Act, the power to delegate the Secretary’s powers under the </w:t>
      </w:r>
      <w:r w:rsidR="00AF53B7">
        <w:t xml:space="preserve">Eligibility </w:t>
      </w:r>
      <w:r>
        <w:t xml:space="preserve">Determination is in subsection 221(1) of the Family Assistance Administration Act. Therefore, </w:t>
      </w:r>
      <w:r>
        <w:rPr>
          <w:b/>
        </w:rPr>
        <w:t>Item 1</w:t>
      </w:r>
      <w:r>
        <w:t xml:space="preserve"> </w:t>
      </w:r>
      <w:r>
        <w:rPr>
          <w:b/>
        </w:rPr>
        <w:t>of Schedule 1</w:t>
      </w:r>
      <w:r>
        <w:t xml:space="preserve"> omits the Secretary’s power of delegation in section 4</w:t>
      </w:r>
      <w:r w:rsidR="00B53160">
        <w:t>,</w:t>
      </w:r>
      <w:r w:rsidR="00AF53B7">
        <w:t xml:space="preserve"> </w:t>
      </w:r>
      <w:r>
        <w:t>which</w:t>
      </w:r>
      <w:r w:rsidR="00B53160">
        <w:t>,</w:t>
      </w:r>
      <w:r>
        <w:t xml:space="preserve"> from that date</w:t>
      </w:r>
      <w:r w:rsidR="00B53160">
        <w:t>,</w:t>
      </w:r>
      <w:r>
        <w:t xml:space="preserve"> is a redundant provision.</w:t>
      </w:r>
    </w:p>
    <w:p w:rsidR="006624F4" w:rsidRDefault="006624F4" w:rsidP="00367792">
      <w:pPr>
        <w:ind w:left="426" w:right="707"/>
      </w:pPr>
    </w:p>
    <w:p w:rsidR="006624F4" w:rsidRPr="006624F4" w:rsidRDefault="006624F4" w:rsidP="00367792">
      <w:pPr>
        <w:ind w:left="426" w:right="707"/>
        <w:rPr>
          <w:i/>
          <w:highlight w:val="yellow"/>
        </w:rPr>
      </w:pPr>
      <w:r>
        <w:rPr>
          <w:i/>
        </w:rPr>
        <w:t>Section 5 – Review of decision</w:t>
      </w:r>
    </w:p>
    <w:p w:rsidR="00367792" w:rsidRDefault="00367792" w:rsidP="00367792">
      <w:pPr>
        <w:autoSpaceDE w:val="0"/>
        <w:autoSpaceDN w:val="0"/>
        <w:adjustRightInd w:val="0"/>
        <w:ind w:left="426" w:right="707"/>
      </w:pPr>
    </w:p>
    <w:p w:rsidR="00765094" w:rsidRPr="00115578" w:rsidRDefault="00E65FE1" w:rsidP="00446D4A">
      <w:pPr>
        <w:ind w:left="426" w:right="707"/>
      </w:pPr>
      <w:r w:rsidRPr="00E65FE1">
        <w:t xml:space="preserve">Section 5 of the Eligibility Determination </w:t>
      </w:r>
      <w:r w:rsidR="006624F4">
        <w:t>provides</w:t>
      </w:r>
      <w:r w:rsidRPr="00E65FE1">
        <w:t xml:space="preserve"> that</w:t>
      </w:r>
      <w:r w:rsidR="00B53160">
        <w:t>,</w:t>
      </w:r>
      <w:r w:rsidRPr="00E65FE1">
        <w:t xml:space="preserve"> for Part 5 of the Family Assistance Administration Act</w:t>
      </w:r>
      <w:r w:rsidR="006624F4">
        <w:t xml:space="preserve"> (Review of decisions)</w:t>
      </w:r>
      <w:r w:rsidRPr="00E65FE1">
        <w:t xml:space="preserve">, a decision of an officer under </w:t>
      </w:r>
      <w:r w:rsidR="006624F4">
        <w:t>the Eligibility</w:t>
      </w:r>
      <w:r w:rsidRPr="00E65FE1">
        <w:t xml:space="preserve"> </w:t>
      </w:r>
      <w:r w:rsidR="006624F4">
        <w:t>D</w:t>
      </w:r>
      <w:r w:rsidRPr="00E65FE1">
        <w:t xml:space="preserve">etermination is taken to be a decision of an officer under the family assistance law. Section 5 will become </w:t>
      </w:r>
      <w:r w:rsidR="002C73F8">
        <w:t>ineffective</w:t>
      </w:r>
      <w:r w:rsidRPr="00E65FE1">
        <w:t xml:space="preserve"> from the commencement </w:t>
      </w:r>
      <w:r w:rsidR="006624F4">
        <w:t xml:space="preserve">day </w:t>
      </w:r>
      <w:r w:rsidRPr="00E65FE1">
        <w:t>of Schedule 3 to the Child Care and Other Measures Act (22 August 2011).</w:t>
      </w:r>
    </w:p>
    <w:p w:rsidR="00765094" w:rsidRPr="00115578" w:rsidRDefault="00765094" w:rsidP="00367792">
      <w:pPr>
        <w:ind w:left="426" w:right="707"/>
      </w:pPr>
    </w:p>
    <w:p w:rsidR="00446D4A" w:rsidRPr="00115578" w:rsidRDefault="00E65FE1" w:rsidP="00446D4A">
      <w:pPr>
        <w:ind w:left="426" w:right="707"/>
      </w:pPr>
      <w:r w:rsidRPr="00E65FE1">
        <w:t xml:space="preserve">To make a decision in the Eligibility Determination reviewable under section 108 of the Family Assistance Administration Act (and therefore reviewable by SSAT and AAT), the Eligibility Determination has to specify </w:t>
      </w:r>
      <w:r w:rsidR="00B53160">
        <w:t xml:space="preserve">that </w:t>
      </w:r>
      <w:r w:rsidR="00B242D3">
        <w:t>the decision</w:t>
      </w:r>
      <w:r w:rsidRPr="00E65FE1">
        <w:t xml:space="preserve"> </w:t>
      </w:r>
      <w:r w:rsidR="00B53160">
        <w:t>is</w:t>
      </w:r>
      <w:r w:rsidRPr="00E65FE1">
        <w:t xml:space="preserve"> so reviewable (as provided for by subsection 108(2A) of the Family Assistance Administration Act). </w:t>
      </w:r>
    </w:p>
    <w:p w:rsidR="00C11B47" w:rsidRDefault="00C11B47">
      <w:pPr>
        <w:ind w:right="707"/>
        <w:rPr>
          <w:b/>
        </w:rPr>
      </w:pPr>
    </w:p>
    <w:p w:rsidR="00C11B47" w:rsidRDefault="00AE6E7B">
      <w:pPr>
        <w:ind w:left="426" w:right="707"/>
      </w:pPr>
      <w:r w:rsidRPr="00446D4A">
        <w:rPr>
          <w:b/>
        </w:rPr>
        <w:t xml:space="preserve">Item 2 of Schedule 1 </w:t>
      </w:r>
      <w:r w:rsidR="00E65FE1" w:rsidRPr="00E65FE1">
        <w:t>t</w:t>
      </w:r>
      <w:r w:rsidR="00446D4A" w:rsidRPr="00115578">
        <w:t>herefore replaces section 5 with new section 5, which makes reviewable</w:t>
      </w:r>
      <w:r w:rsidR="00B242D3">
        <w:t xml:space="preserve"> under section 108 of the Family Assistance Administration Act</w:t>
      </w:r>
      <w:r w:rsidR="00446D4A" w:rsidRPr="00115578">
        <w:t xml:space="preserve"> any decision</w:t>
      </w:r>
      <w:r w:rsidR="006624F4">
        <w:t xml:space="preserve"> under the Eligibility Determination</w:t>
      </w:r>
      <w:r w:rsidR="00446D4A" w:rsidRPr="00115578">
        <w:t>, except for decisions made under sub-section 12(3), section 21 or section 21A</w:t>
      </w:r>
      <w:r w:rsidR="006624F4">
        <w:t>.</w:t>
      </w:r>
    </w:p>
    <w:p w:rsidR="00C11B47" w:rsidRDefault="00C11B47">
      <w:pPr>
        <w:ind w:right="707"/>
      </w:pPr>
    </w:p>
    <w:p w:rsidR="00965F15" w:rsidRPr="001F758E" w:rsidRDefault="00E65FE1" w:rsidP="00965F15">
      <w:pPr>
        <w:ind w:left="426" w:right="707"/>
      </w:pPr>
      <w:r w:rsidRPr="00E65FE1">
        <w:t>Under</w:t>
      </w:r>
      <w:r w:rsidR="00965F15" w:rsidRPr="001F758E">
        <w:t xml:space="preserve"> </w:t>
      </w:r>
      <w:r w:rsidRPr="00E65FE1">
        <w:t>s</w:t>
      </w:r>
      <w:r w:rsidR="00965F15" w:rsidRPr="001F758E">
        <w:t xml:space="preserve">ubsection 12(3) </w:t>
      </w:r>
      <w:r w:rsidRPr="00E65FE1">
        <w:t xml:space="preserve">the Secretary </w:t>
      </w:r>
      <w:r w:rsidR="001F758E">
        <w:t>may request a person (</w:t>
      </w:r>
      <w:r w:rsidR="002C73F8">
        <w:t xml:space="preserve">an </w:t>
      </w:r>
      <w:r w:rsidR="001F758E">
        <w:t xml:space="preserve">applicant for approval of a child care service for </w:t>
      </w:r>
      <w:r w:rsidR="005F56FE">
        <w:t xml:space="preserve">the </w:t>
      </w:r>
      <w:r w:rsidR="001F758E">
        <w:t xml:space="preserve">purpose of the family assistance law) </w:t>
      </w:r>
      <w:r w:rsidR="00965F15" w:rsidRPr="001F758E">
        <w:t xml:space="preserve">to provide a copy of any </w:t>
      </w:r>
      <w:r w:rsidR="00C311B4">
        <w:t xml:space="preserve">relevant </w:t>
      </w:r>
      <w:r w:rsidR="00965F15" w:rsidRPr="001F758E">
        <w:t xml:space="preserve">insurance policy and certificate of currency for that insurance. </w:t>
      </w:r>
      <w:r w:rsidR="001F758E">
        <w:t xml:space="preserve">Having </w:t>
      </w:r>
      <w:r w:rsidR="00C311B4">
        <w:t xml:space="preserve">relevant </w:t>
      </w:r>
      <w:r w:rsidR="005F56FE">
        <w:t>insurance</w:t>
      </w:r>
      <w:r w:rsidR="001F758E">
        <w:t xml:space="preserve"> is a condition of approval</w:t>
      </w:r>
      <w:r w:rsidR="00115578">
        <w:t xml:space="preserve"> </w:t>
      </w:r>
      <w:r w:rsidR="002C73F8">
        <w:t xml:space="preserve">and continued approval </w:t>
      </w:r>
      <w:r w:rsidR="006624F4">
        <w:t>of</w:t>
      </w:r>
      <w:r w:rsidR="00115578">
        <w:t xml:space="preserve"> a child care service</w:t>
      </w:r>
      <w:r w:rsidR="001F758E">
        <w:t>. Requesting a copy of the insurance documents is not a decision that is suitable for merits review as it is a preliminary decision</w:t>
      </w:r>
      <w:r w:rsidR="00555774">
        <w:t>,</w:t>
      </w:r>
      <w:r w:rsidR="001F758E">
        <w:t xml:space="preserve"> which </w:t>
      </w:r>
      <w:r w:rsidR="00965F15" w:rsidRPr="001F758E">
        <w:t xml:space="preserve">facilitates the making of the substantive decision </w:t>
      </w:r>
      <w:r w:rsidR="004966FF">
        <w:t>to approve a child care service</w:t>
      </w:r>
      <w:r w:rsidR="002C73F8">
        <w:t>, or to decide whether an approved child care service should be sanctioned (under section 200 of the Family Assistance Administration Act) for breach of the insurance condition. A decision not to approve a service, or to sanction a service, is reviewable under the merit</w:t>
      </w:r>
      <w:r w:rsidR="000B4776">
        <w:t>s</w:t>
      </w:r>
      <w:r w:rsidR="002C73F8">
        <w:t xml:space="preserve"> review provisions of the Family Assistance Administration Act.</w:t>
      </w:r>
    </w:p>
    <w:p w:rsidR="00870857" w:rsidRDefault="00870857" w:rsidP="00965F15">
      <w:pPr>
        <w:ind w:left="426" w:right="707"/>
      </w:pPr>
    </w:p>
    <w:p w:rsidR="001D064E" w:rsidRDefault="00870857" w:rsidP="00965F15">
      <w:pPr>
        <w:ind w:left="426" w:right="707"/>
      </w:pPr>
      <w:r>
        <w:t xml:space="preserve">Section 21 provides that the Secretary may request an approved child care service to provide information for census or survey purposes, or information regarding the operation of the service. Section 21A enables the Secretary to </w:t>
      </w:r>
      <w:r w:rsidR="00B53160">
        <w:t>approve the form, manner or way</w:t>
      </w:r>
      <w:r>
        <w:t xml:space="preserve"> of requesting or giving information under section 21. These are procedural decisions</w:t>
      </w:r>
      <w:r w:rsidR="00555774">
        <w:t>,</w:t>
      </w:r>
      <w:r>
        <w:t xml:space="preserve"> which are not suitable for merits review. </w:t>
      </w:r>
    </w:p>
    <w:p w:rsidR="001D064E" w:rsidRDefault="001D064E" w:rsidP="00965F15">
      <w:pPr>
        <w:ind w:left="426" w:right="707"/>
      </w:pPr>
    </w:p>
    <w:p w:rsidR="00870857" w:rsidRPr="00F86B1B" w:rsidRDefault="00870857" w:rsidP="00965F15">
      <w:pPr>
        <w:ind w:left="426" w:right="707"/>
      </w:pPr>
      <w:r>
        <w:t>While a failure to comply with a request for information or a failure or provide infor</w:t>
      </w:r>
      <w:r w:rsidR="00B53160">
        <w:t>mation to the Secretary in the form, manner or way</w:t>
      </w:r>
      <w:r>
        <w:t xml:space="preserve"> which the Secretary requests, could lead to a sanction </w:t>
      </w:r>
      <w:r w:rsidR="00B53160">
        <w:t>(</w:t>
      </w:r>
      <w:r>
        <w:t>under section 200 of the Family Assistance Administration Act</w:t>
      </w:r>
      <w:r w:rsidR="00B53160">
        <w:t>)</w:t>
      </w:r>
      <w:r>
        <w:t xml:space="preserve"> being imposed</w:t>
      </w:r>
      <w:r w:rsidR="00B53160">
        <w:t xml:space="preserve"> on the service</w:t>
      </w:r>
      <w:r>
        <w:t xml:space="preserve">, the </w:t>
      </w:r>
      <w:r w:rsidR="00C311B4">
        <w:t>reasonableness</w:t>
      </w:r>
      <w:r>
        <w:t xml:space="preserve"> of the Secretary’s request for </w:t>
      </w:r>
      <w:r w:rsidR="00B53160">
        <w:t xml:space="preserve">provision of </w:t>
      </w:r>
      <w:r>
        <w:t>information</w:t>
      </w:r>
      <w:r w:rsidR="00B53160">
        <w:t>, in the particular form,</w:t>
      </w:r>
      <w:r>
        <w:t xml:space="preserve"> could be </w:t>
      </w:r>
      <w:r w:rsidR="00C311B4">
        <w:t>scrutinised</w:t>
      </w:r>
      <w:r>
        <w:t xml:space="preserve"> as part of the </w:t>
      </w:r>
      <w:r w:rsidR="00C311B4">
        <w:t xml:space="preserve">merits </w:t>
      </w:r>
      <w:r>
        <w:t>review of a decision to sanction the service</w:t>
      </w:r>
      <w:r w:rsidR="00C311B4">
        <w:t>.</w:t>
      </w:r>
      <w:r>
        <w:t xml:space="preserve"> </w:t>
      </w:r>
      <w:r w:rsidR="001D064E">
        <w:t xml:space="preserve">The decision to request information and the decision to approve a particular </w:t>
      </w:r>
      <w:r w:rsidR="00B53160">
        <w:t>form, manner or way,</w:t>
      </w:r>
      <w:r w:rsidR="001D064E">
        <w:t xml:space="preserve"> in which to </w:t>
      </w:r>
      <w:r w:rsidR="00B53160">
        <w:t>provide</w:t>
      </w:r>
      <w:r w:rsidR="001D064E">
        <w:t xml:space="preserve"> that information are not decisions</w:t>
      </w:r>
      <w:r w:rsidR="00555774">
        <w:t>,</w:t>
      </w:r>
      <w:r w:rsidR="001D064E">
        <w:t xml:space="preserve"> which affect the substantive rights of an approved child care service. Enabling review of such decisions could mean that the administrative decision-making processes under the Eligibility Determination could be unnecessarily frustrated or delayed.</w:t>
      </w:r>
    </w:p>
    <w:p w:rsidR="00367792" w:rsidRDefault="00367792" w:rsidP="00367792">
      <w:pPr>
        <w:ind w:left="426" w:right="707"/>
      </w:pPr>
    </w:p>
    <w:p w:rsidR="00870857" w:rsidRDefault="00870857" w:rsidP="00367792">
      <w:pPr>
        <w:ind w:left="426" w:right="707"/>
      </w:pPr>
      <w:r>
        <w:t xml:space="preserve">Leaving decisions under subsection 12(3), section 21 and section 21A outside of merits review (except review by the Secretary on own initiative) aligns the review treatment of those decisions with the treatment of </w:t>
      </w:r>
      <w:r w:rsidR="00C311B4">
        <w:t>similar</w:t>
      </w:r>
      <w:r>
        <w:t xml:space="preserve"> decisions under the Family Assistance Administration Act (see subsection 111(2)).</w:t>
      </w:r>
    </w:p>
    <w:p w:rsidR="00367792" w:rsidRDefault="00367792" w:rsidP="00367792">
      <w:pPr>
        <w:ind w:left="426" w:right="707"/>
      </w:pPr>
    </w:p>
    <w:p w:rsidR="00367792" w:rsidRDefault="00B53160" w:rsidP="00367792">
      <w:pPr>
        <w:ind w:left="426" w:right="707"/>
      </w:pPr>
      <w:r>
        <w:t xml:space="preserve">This amendment does not affect the reviewability of decisions </w:t>
      </w:r>
      <w:r w:rsidR="00C311B4">
        <w:t xml:space="preserve">made </w:t>
      </w:r>
      <w:r>
        <w:t>under the Eligibility Determination before 22 August 2011.</w:t>
      </w:r>
    </w:p>
    <w:p w:rsidR="00367792" w:rsidRDefault="00367792" w:rsidP="00367792">
      <w:pPr>
        <w:ind w:left="426" w:right="707"/>
      </w:pPr>
    </w:p>
    <w:p w:rsidR="00C11B47" w:rsidRDefault="00C11B47">
      <w:pPr>
        <w:ind w:left="426" w:right="707"/>
      </w:pPr>
    </w:p>
    <w:sectPr w:rsidR="00C11B47" w:rsidSect="00B4410E">
      <w:pgSz w:w="11906" w:h="16838" w:code="9"/>
      <w:pgMar w:top="1418" w:right="1134" w:bottom="1418"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776" w:rsidRDefault="000B4776" w:rsidP="00F86B1B">
      <w:r>
        <w:separator/>
      </w:r>
    </w:p>
  </w:endnote>
  <w:endnote w:type="continuationSeparator" w:id="0">
    <w:p w:rsidR="000B4776" w:rsidRDefault="000B4776" w:rsidP="00F86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776" w:rsidRDefault="000B4776" w:rsidP="00F86B1B">
      <w:r>
        <w:separator/>
      </w:r>
    </w:p>
  </w:footnote>
  <w:footnote w:type="continuationSeparator" w:id="0">
    <w:p w:rsidR="000B4776" w:rsidRDefault="000B4776" w:rsidP="00F86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5CAB"/>
    <w:multiLevelType w:val="hybridMultilevel"/>
    <w:tmpl w:val="99D06E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nsid w:val="3B514990"/>
    <w:multiLevelType w:val="hybridMultilevel"/>
    <w:tmpl w:val="B32AF44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580D3A3F"/>
    <w:multiLevelType w:val="hybridMultilevel"/>
    <w:tmpl w:val="743215B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367792"/>
    <w:rsid w:val="000B4776"/>
    <w:rsid w:val="000C5DF8"/>
    <w:rsid w:val="00113B75"/>
    <w:rsid w:val="00115578"/>
    <w:rsid w:val="00154478"/>
    <w:rsid w:val="001622E0"/>
    <w:rsid w:val="001D064E"/>
    <w:rsid w:val="001F758E"/>
    <w:rsid w:val="002813DA"/>
    <w:rsid w:val="002C73F8"/>
    <w:rsid w:val="003137F5"/>
    <w:rsid w:val="00367792"/>
    <w:rsid w:val="00397ADD"/>
    <w:rsid w:val="003B6797"/>
    <w:rsid w:val="003D4714"/>
    <w:rsid w:val="003D5653"/>
    <w:rsid w:val="00446D4A"/>
    <w:rsid w:val="00462E92"/>
    <w:rsid w:val="004644ED"/>
    <w:rsid w:val="00477072"/>
    <w:rsid w:val="00483696"/>
    <w:rsid w:val="004966FF"/>
    <w:rsid w:val="004A1B53"/>
    <w:rsid w:val="00531A46"/>
    <w:rsid w:val="00555774"/>
    <w:rsid w:val="005B7500"/>
    <w:rsid w:val="005D236C"/>
    <w:rsid w:val="005F56FE"/>
    <w:rsid w:val="0062641E"/>
    <w:rsid w:val="0064774B"/>
    <w:rsid w:val="006624F4"/>
    <w:rsid w:val="006B5B7A"/>
    <w:rsid w:val="00737AB0"/>
    <w:rsid w:val="00765094"/>
    <w:rsid w:val="00856670"/>
    <w:rsid w:val="00870857"/>
    <w:rsid w:val="00872CD5"/>
    <w:rsid w:val="00882BFC"/>
    <w:rsid w:val="00884BC4"/>
    <w:rsid w:val="008E076A"/>
    <w:rsid w:val="008F4DFD"/>
    <w:rsid w:val="00965F15"/>
    <w:rsid w:val="009E6C29"/>
    <w:rsid w:val="009F7AAF"/>
    <w:rsid w:val="00A35BAC"/>
    <w:rsid w:val="00A64353"/>
    <w:rsid w:val="00A90246"/>
    <w:rsid w:val="00AE6E7B"/>
    <w:rsid w:val="00AF53B7"/>
    <w:rsid w:val="00B242D3"/>
    <w:rsid w:val="00B25688"/>
    <w:rsid w:val="00B43D38"/>
    <w:rsid w:val="00B4410E"/>
    <w:rsid w:val="00B53160"/>
    <w:rsid w:val="00B61993"/>
    <w:rsid w:val="00BA00C8"/>
    <w:rsid w:val="00BF7E92"/>
    <w:rsid w:val="00C11B47"/>
    <w:rsid w:val="00C26B2B"/>
    <w:rsid w:val="00C311B4"/>
    <w:rsid w:val="00CC352A"/>
    <w:rsid w:val="00DB6710"/>
    <w:rsid w:val="00DC1195"/>
    <w:rsid w:val="00DF651F"/>
    <w:rsid w:val="00DF6541"/>
    <w:rsid w:val="00E12F8B"/>
    <w:rsid w:val="00E65DE5"/>
    <w:rsid w:val="00E65FE1"/>
    <w:rsid w:val="00EC26FA"/>
    <w:rsid w:val="00F1454D"/>
    <w:rsid w:val="00F65FB3"/>
    <w:rsid w:val="00F86B1B"/>
    <w:rsid w:val="00F9132D"/>
    <w:rsid w:val="00FD16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92"/>
    <w:pPr>
      <w:jc w:val="both"/>
    </w:pPr>
    <w:rPr>
      <w:sz w:val="24"/>
      <w:szCs w:val="24"/>
    </w:rPr>
  </w:style>
  <w:style w:type="paragraph" w:styleId="Heading1">
    <w:name w:val="heading 1"/>
    <w:basedOn w:val="Normal"/>
    <w:next w:val="Normal"/>
    <w:qFormat/>
    <w:rsid w:val="00FD16BC"/>
    <w:pPr>
      <w:keepNext/>
      <w:spacing w:before="240" w:after="60"/>
      <w:jc w:val="left"/>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jc w:val="left"/>
      <w:outlineLvl w:val="1"/>
    </w:pPr>
    <w:rPr>
      <w:rFonts w:ascii="Arial" w:hAnsi="Arial" w:cs="Arial"/>
      <w:b/>
      <w:bCs/>
      <w:iCs/>
      <w:sz w:val="26"/>
      <w:szCs w:val="28"/>
      <w:lang w:eastAsia="en-US"/>
    </w:rPr>
  </w:style>
  <w:style w:type="paragraph" w:styleId="Heading3">
    <w:name w:val="heading 3"/>
    <w:aliases w:val="h3,d"/>
    <w:basedOn w:val="Normal"/>
    <w:next w:val="Normal"/>
    <w:link w:val="Heading3Char"/>
    <w:qFormat/>
    <w:rsid w:val="00FD16BC"/>
    <w:pPr>
      <w:keepNext/>
      <w:spacing w:before="240" w:after="60"/>
      <w:jc w:val="left"/>
      <w:outlineLvl w:val="2"/>
    </w:pPr>
    <w:rPr>
      <w:rFonts w:ascii="Arial" w:hAnsi="Arial" w:cs="Arial"/>
      <w:b/>
      <w:bCs/>
      <w:sz w:val="22"/>
      <w:szCs w:val="26"/>
      <w:lang w:eastAsia="en-US"/>
    </w:rPr>
  </w:style>
  <w:style w:type="paragraph" w:styleId="Heading5">
    <w:name w:val="heading 5"/>
    <w:aliases w:val="s,ActHead 5"/>
    <w:basedOn w:val="Normal"/>
    <w:next w:val="Normal"/>
    <w:link w:val="Heading5Char"/>
    <w:unhideWhenUsed/>
    <w:qFormat/>
    <w:rsid w:val="00367792"/>
    <w:pPr>
      <w:spacing w:before="240" w:after="60"/>
      <w:outlineLvl w:val="4"/>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rsid w:val="00367792"/>
    <w:rPr>
      <w:i/>
      <w:iCs/>
      <w:sz w:val="26"/>
      <w:szCs w:val="26"/>
    </w:rPr>
  </w:style>
  <w:style w:type="character" w:customStyle="1" w:styleId="Heading3Char">
    <w:name w:val="Heading 3 Char"/>
    <w:aliases w:val="h3 Char,d Char"/>
    <w:basedOn w:val="DefaultParagraphFont"/>
    <w:link w:val="Heading3"/>
    <w:rsid w:val="00367792"/>
    <w:rPr>
      <w:rFonts w:ascii="Arial" w:hAnsi="Arial" w:cs="Arial"/>
      <w:b/>
      <w:bCs/>
      <w:sz w:val="22"/>
      <w:szCs w:val="26"/>
      <w:lang w:eastAsia="en-US"/>
    </w:rPr>
  </w:style>
  <w:style w:type="paragraph" w:styleId="Header">
    <w:name w:val="header"/>
    <w:basedOn w:val="Normal"/>
    <w:link w:val="HeaderChar"/>
    <w:uiPriority w:val="99"/>
    <w:semiHidden/>
    <w:unhideWhenUsed/>
    <w:rsid w:val="00F86B1B"/>
    <w:pPr>
      <w:tabs>
        <w:tab w:val="center" w:pos="4513"/>
        <w:tab w:val="right" w:pos="9026"/>
      </w:tabs>
    </w:pPr>
  </w:style>
  <w:style w:type="character" w:customStyle="1" w:styleId="HeaderChar">
    <w:name w:val="Header Char"/>
    <w:basedOn w:val="DefaultParagraphFont"/>
    <w:link w:val="Header"/>
    <w:uiPriority w:val="99"/>
    <w:semiHidden/>
    <w:rsid w:val="00F86B1B"/>
    <w:rPr>
      <w:sz w:val="24"/>
      <w:szCs w:val="24"/>
    </w:rPr>
  </w:style>
  <w:style w:type="paragraph" w:styleId="Footer">
    <w:name w:val="footer"/>
    <w:basedOn w:val="Normal"/>
    <w:link w:val="FooterChar"/>
    <w:uiPriority w:val="99"/>
    <w:semiHidden/>
    <w:unhideWhenUsed/>
    <w:rsid w:val="00F86B1B"/>
    <w:pPr>
      <w:tabs>
        <w:tab w:val="center" w:pos="4513"/>
        <w:tab w:val="right" w:pos="9026"/>
      </w:tabs>
    </w:pPr>
  </w:style>
  <w:style w:type="character" w:customStyle="1" w:styleId="FooterChar">
    <w:name w:val="Footer Char"/>
    <w:basedOn w:val="DefaultParagraphFont"/>
    <w:link w:val="Footer"/>
    <w:uiPriority w:val="99"/>
    <w:semiHidden/>
    <w:rsid w:val="00F86B1B"/>
    <w:rPr>
      <w:sz w:val="24"/>
      <w:szCs w:val="24"/>
    </w:rPr>
  </w:style>
  <w:style w:type="paragraph" w:styleId="ListParagraph">
    <w:name w:val="List Paragraph"/>
    <w:basedOn w:val="Normal"/>
    <w:uiPriority w:val="34"/>
    <w:qFormat/>
    <w:rsid w:val="00B43D38"/>
    <w:pPr>
      <w:ind w:left="720"/>
      <w:contextualSpacing/>
    </w:pPr>
  </w:style>
  <w:style w:type="paragraph" w:styleId="BalloonText">
    <w:name w:val="Balloon Text"/>
    <w:basedOn w:val="Normal"/>
    <w:link w:val="BalloonTextChar"/>
    <w:uiPriority w:val="99"/>
    <w:semiHidden/>
    <w:unhideWhenUsed/>
    <w:rsid w:val="00856670"/>
    <w:rPr>
      <w:rFonts w:ascii="Tahoma" w:hAnsi="Tahoma" w:cs="Tahoma"/>
      <w:sz w:val="16"/>
      <w:szCs w:val="16"/>
    </w:rPr>
  </w:style>
  <w:style w:type="character" w:customStyle="1" w:styleId="BalloonTextChar">
    <w:name w:val="Balloon Text Char"/>
    <w:basedOn w:val="DefaultParagraphFont"/>
    <w:link w:val="BalloonText"/>
    <w:uiPriority w:val="99"/>
    <w:semiHidden/>
    <w:rsid w:val="00856670"/>
    <w:rPr>
      <w:rFonts w:ascii="Tahoma" w:hAnsi="Tahoma" w:cs="Tahoma"/>
      <w:sz w:val="16"/>
      <w:szCs w:val="16"/>
    </w:rPr>
  </w:style>
  <w:style w:type="character" w:styleId="CommentReference">
    <w:name w:val="annotation reference"/>
    <w:basedOn w:val="DefaultParagraphFont"/>
    <w:uiPriority w:val="99"/>
    <w:semiHidden/>
    <w:unhideWhenUsed/>
    <w:rsid w:val="00F9132D"/>
    <w:rPr>
      <w:sz w:val="16"/>
      <w:szCs w:val="16"/>
    </w:rPr>
  </w:style>
  <w:style w:type="paragraph" w:styleId="CommentText">
    <w:name w:val="annotation text"/>
    <w:basedOn w:val="Normal"/>
    <w:link w:val="CommentTextChar"/>
    <w:uiPriority w:val="99"/>
    <w:semiHidden/>
    <w:unhideWhenUsed/>
    <w:rsid w:val="00F9132D"/>
    <w:rPr>
      <w:sz w:val="20"/>
      <w:szCs w:val="20"/>
    </w:rPr>
  </w:style>
  <w:style w:type="character" w:customStyle="1" w:styleId="CommentTextChar">
    <w:name w:val="Comment Text Char"/>
    <w:basedOn w:val="DefaultParagraphFont"/>
    <w:link w:val="CommentText"/>
    <w:uiPriority w:val="99"/>
    <w:semiHidden/>
    <w:rsid w:val="00F9132D"/>
  </w:style>
  <w:style w:type="paragraph" w:styleId="CommentSubject">
    <w:name w:val="annotation subject"/>
    <w:basedOn w:val="CommentText"/>
    <w:next w:val="CommentText"/>
    <w:link w:val="CommentSubjectChar"/>
    <w:uiPriority w:val="99"/>
    <w:semiHidden/>
    <w:unhideWhenUsed/>
    <w:rsid w:val="00F9132D"/>
    <w:rPr>
      <w:b/>
      <w:bCs/>
    </w:rPr>
  </w:style>
  <w:style w:type="character" w:customStyle="1" w:styleId="CommentSubjectChar">
    <w:name w:val="Comment Subject Char"/>
    <w:basedOn w:val="CommentTextChar"/>
    <w:link w:val="CommentSubject"/>
    <w:uiPriority w:val="99"/>
    <w:semiHidden/>
    <w:rsid w:val="00F9132D"/>
    <w:rPr>
      <w:b/>
      <w:bCs/>
    </w:rPr>
  </w:style>
  <w:style w:type="paragraph" w:styleId="Revision">
    <w:name w:val="Revision"/>
    <w:hidden/>
    <w:uiPriority w:val="99"/>
    <w:semiHidden/>
    <w:rsid w:val="00F9132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37CB-84EF-4BF5-9992-DB2B61F6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1791</Words>
  <Characters>9915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Nicole Pulford</cp:lastModifiedBy>
  <cp:revision>2</cp:revision>
  <cp:lastPrinted>2011-08-11T02:17:00Z</cp:lastPrinted>
  <dcterms:created xsi:type="dcterms:W3CDTF">2011-08-22T05:20:00Z</dcterms:created>
  <dcterms:modified xsi:type="dcterms:W3CDTF">2011-08-22T05:20:00Z</dcterms:modified>
</cp:coreProperties>
</file>