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18" w:rsidRDefault="00A03FEA" w:rsidP="00A03FEA">
      <w:pPr>
        <w:jc w:val="center"/>
        <w:rPr>
          <w:rFonts w:ascii="Arial" w:hAnsi="Arial" w:cs="Arial"/>
          <w:b/>
        </w:rPr>
      </w:pPr>
      <w:r w:rsidRPr="00A03FEA">
        <w:rPr>
          <w:rFonts w:ascii="Arial" w:hAnsi="Arial" w:cs="Arial"/>
          <w:b/>
        </w:rPr>
        <w:t xml:space="preserve">EXPLANATORY STATEMENT </w:t>
      </w:r>
    </w:p>
    <w:p w:rsidR="00CD2118" w:rsidRPr="00CD2118" w:rsidRDefault="00CD2118" w:rsidP="00CD2118">
      <w:pPr>
        <w:pStyle w:val="ACMABodyText"/>
        <w:jc w:val="center"/>
      </w:pPr>
      <w:r w:rsidRPr="00CD2118">
        <w:rPr>
          <w:rFonts w:ascii="Arial" w:hAnsi="Arial" w:cs="Arial"/>
          <w:b/>
          <w:i/>
        </w:rPr>
        <w:t>Legislative Instruments Act 2003</w:t>
      </w:r>
      <w:r w:rsidRPr="00A03FEA">
        <w:rPr>
          <w:rFonts w:ascii="Arial" w:hAnsi="Arial" w:cs="Arial"/>
          <w:b/>
        </w:rPr>
        <w:t xml:space="preserve"> – </w:t>
      </w:r>
      <w:r>
        <w:rPr>
          <w:rFonts w:ascii="Arial" w:hAnsi="Arial" w:cs="Arial"/>
          <w:b/>
        </w:rPr>
        <w:t>Section 26</w:t>
      </w:r>
    </w:p>
    <w:p w:rsidR="00A94BD6" w:rsidRPr="00A94BD6" w:rsidRDefault="00A94BD6" w:rsidP="00DD4E4E">
      <w:pPr>
        <w:jc w:val="center"/>
        <w:rPr>
          <w:rFonts w:ascii="Arial" w:hAnsi="Arial" w:cs="Arial"/>
        </w:rPr>
      </w:pPr>
      <w:r w:rsidRPr="00A94BD6">
        <w:rPr>
          <w:rFonts w:ascii="Arial" w:hAnsi="Arial" w:cs="Arial"/>
        </w:rPr>
        <w:t xml:space="preserve">Guidelines relating to the ACMA’s enforcement powers under the </w:t>
      </w:r>
      <w:r w:rsidRPr="00391219">
        <w:rPr>
          <w:rFonts w:ascii="Arial" w:hAnsi="Arial" w:cs="Arial"/>
          <w:i/>
        </w:rPr>
        <w:t>Broadcasting Services Act 1992</w:t>
      </w:r>
    </w:p>
    <w:p w:rsidR="0084122D" w:rsidRPr="00A03FEA" w:rsidRDefault="0084122D" w:rsidP="00A03FEA">
      <w:pPr>
        <w:jc w:val="center"/>
        <w:rPr>
          <w:rFonts w:ascii="Arial" w:hAnsi="Arial" w:cs="Arial"/>
          <w:b/>
        </w:rPr>
      </w:pPr>
    </w:p>
    <w:p w:rsidR="00A03FEA" w:rsidRPr="00A03FEA" w:rsidRDefault="00A03FEA" w:rsidP="00A03FEA">
      <w:pPr>
        <w:rPr>
          <w:rFonts w:ascii="Arial" w:hAnsi="Arial" w:cs="Arial"/>
          <w:b/>
        </w:rPr>
      </w:pPr>
      <w:bookmarkStart w:id="0" w:name="OLE_LINK1"/>
      <w:bookmarkStart w:id="1" w:name="OLE_LINK2"/>
      <w:r w:rsidRPr="00A03FEA">
        <w:rPr>
          <w:rFonts w:ascii="Arial" w:hAnsi="Arial" w:cs="Arial"/>
          <w:b/>
        </w:rPr>
        <w:t>GUIDELINES RELATING TO THE ACMA’S ENFORCEMENT POWERS UNDER THE B</w:t>
      </w:r>
      <w:r w:rsidR="00376FF3">
        <w:rPr>
          <w:rFonts w:ascii="Arial" w:hAnsi="Arial" w:cs="Arial"/>
          <w:b/>
        </w:rPr>
        <w:t xml:space="preserve">ROADCASTING </w:t>
      </w:r>
      <w:r w:rsidRPr="00A03FEA">
        <w:rPr>
          <w:rFonts w:ascii="Arial" w:hAnsi="Arial" w:cs="Arial"/>
          <w:b/>
        </w:rPr>
        <w:t>S</w:t>
      </w:r>
      <w:r w:rsidR="00376FF3">
        <w:rPr>
          <w:rFonts w:ascii="Arial" w:hAnsi="Arial" w:cs="Arial"/>
          <w:b/>
        </w:rPr>
        <w:t xml:space="preserve">ERVICES </w:t>
      </w:r>
      <w:r w:rsidRPr="00A03FEA">
        <w:rPr>
          <w:rFonts w:ascii="Arial" w:hAnsi="Arial" w:cs="Arial"/>
          <w:b/>
        </w:rPr>
        <w:t>A</w:t>
      </w:r>
      <w:r w:rsidR="00376FF3">
        <w:rPr>
          <w:rFonts w:ascii="Arial" w:hAnsi="Arial" w:cs="Arial"/>
          <w:b/>
        </w:rPr>
        <w:t>CT</w:t>
      </w:r>
      <w:r w:rsidRPr="00A03FEA">
        <w:rPr>
          <w:rFonts w:ascii="Arial" w:hAnsi="Arial" w:cs="Arial"/>
          <w:b/>
        </w:rPr>
        <w:t xml:space="preserve"> 1992</w:t>
      </w:r>
      <w:r w:rsidR="00376FF3">
        <w:rPr>
          <w:rFonts w:ascii="Arial" w:hAnsi="Arial" w:cs="Arial"/>
          <w:b/>
        </w:rPr>
        <w:t xml:space="preserve"> (BSA)</w:t>
      </w:r>
    </w:p>
    <w:p w:rsidR="00A03FEA" w:rsidRPr="00A03FEA" w:rsidRDefault="00A03FEA" w:rsidP="00A03FEA">
      <w:pPr>
        <w:pStyle w:val="ACMABodyText"/>
        <w:rPr>
          <w:rFonts w:ascii="Arial" w:hAnsi="Arial" w:cs="Arial"/>
        </w:rPr>
      </w:pPr>
      <w:r w:rsidRPr="00A03FEA">
        <w:rPr>
          <w:rFonts w:ascii="Arial" w:hAnsi="Arial" w:cs="Arial"/>
        </w:rPr>
        <w:t>On</w:t>
      </w:r>
      <w:r w:rsidRPr="00916053">
        <w:rPr>
          <w:rFonts w:ascii="Arial" w:hAnsi="Arial" w:cs="Arial"/>
        </w:rPr>
        <w:t xml:space="preserve"> </w:t>
      </w:r>
      <w:r w:rsidR="00777FD8">
        <w:rPr>
          <w:rFonts w:ascii="Arial" w:hAnsi="Arial" w:cs="Arial"/>
        </w:rPr>
        <w:t>26</w:t>
      </w:r>
      <w:r w:rsidR="00916053" w:rsidRPr="00916053">
        <w:rPr>
          <w:rFonts w:ascii="Arial" w:hAnsi="Arial" w:cs="Arial"/>
        </w:rPr>
        <w:t xml:space="preserve"> August 2011</w:t>
      </w:r>
      <w:r w:rsidRPr="00916053">
        <w:rPr>
          <w:rFonts w:ascii="Arial" w:hAnsi="Arial" w:cs="Arial"/>
        </w:rPr>
        <w:t xml:space="preserve"> </w:t>
      </w:r>
      <w:r w:rsidRPr="00A03FEA">
        <w:rPr>
          <w:rFonts w:ascii="Arial" w:hAnsi="Arial" w:cs="Arial"/>
        </w:rPr>
        <w:t xml:space="preserve">the Australian Communications and Media Authority (the </w:t>
      </w:r>
      <w:r w:rsidRPr="00916053">
        <w:rPr>
          <w:rFonts w:ascii="Arial" w:hAnsi="Arial" w:cs="Arial"/>
          <w:b/>
        </w:rPr>
        <w:t>ACMA</w:t>
      </w:r>
      <w:r w:rsidRPr="00A03FEA">
        <w:rPr>
          <w:rFonts w:ascii="Arial" w:hAnsi="Arial" w:cs="Arial"/>
        </w:rPr>
        <w:t xml:space="preserve">) made </w:t>
      </w:r>
      <w:r w:rsidRPr="00A94BD6">
        <w:rPr>
          <w:rFonts w:ascii="Arial" w:hAnsi="Arial" w:cs="Arial"/>
        </w:rPr>
        <w:t xml:space="preserve">the </w:t>
      </w:r>
      <w:r w:rsidR="00A94BD6" w:rsidRPr="00A94BD6">
        <w:rPr>
          <w:rFonts w:ascii="Arial" w:hAnsi="Arial" w:cs="Arial"/>
          <w:i/>
        </w:rPr>
        <w:t>Guidelines relating to the ACMA’s enforcement powers under the Broadcasting Services Act 1992</w:t>
      </w:r>
      <w:r w:rsidRPr="00A94BD6">
        <w:rPr>
          <w:rFonts w:ascii="Arial" w:hAnsi="Arial" w:cs="Arial"/>
        </w:rPr>
        <w:t xml:space="preserve"> (</w:t>
      </w:r>
      <w:r w:rsidRPr="00A94BD6">
        <w:rPr>
          <w:rFonts w:ascii="Arial" w:hAnsi="Arial" w:cs="Arial"/>
          <w:b/>
        </w:rPr>
        <w:t>the</w:t>
      </w:r>
      <w:r w:rsidRPr="00CD2118">
        <w:rPr>
          <w:rFonts w:ascii="Arial" w:hAnsi="Arial" w:cs="Arial"/>
          <w:b/>
        </w:rPr>
        <w:t xml:space="preserve"> Guidelines</w:t>
      </w:r>
      <w:r>
        <w:rPr>
          <w:rFonts w:ascii="Arial" w:hAnsi="Arial" w:cs="Arial"/>
        </w:rPr>
        <w:t>)</w:t>
      </w:r>
      <w:r w:rsidRPr="00A03FEA">
        <w:rPr>
          <w:rFonts w:ascii="Arial" w:hAnsi="Arial" w:cs="Arial"/>
        </w:rPr>
        <w:t xml:space="preserve">.  </w:t>
      </w:r>
    </w:p>
    <w:p w:rsidR="00A03FEA" w:rsidRDefault="00A03FEA" w:rsidP="00A03FEA">
      <w:pPr>
        <w:rPr>
          <w:rFonts w:ascii="Arial" w:hAnsi="Arial" w:cs="Arial"/>
        </w:rPr>
      </w:pPr>
      <w:r w:rsidRPr="00A03FEA">
        <w:rPr>
          <w:rFonts w:ascii="Arial" w:hAnsi="Arial" w:cs="Arial"/>
        </w:rPr>
        <w:t xml:space="preserve">The </w:t>
      </w:r>
      <w:r>
        <w:rPr>
          <w:rFonts w:ascii="Arial" w:hAnsi="Arial" w:cs="Arial"/>
        </w:rPr>
        <w:t xml:space="preserve">Guidelines are made for the purposes of </w:t>
      </w:r>
      <w:r w:rsidR="00D34975">
        <w:rPr>
          <w:rFonts w:ascii="Arial" w:hAnsi="Arial" w:cs="Arial"/>
          <w:szCs w:val="20"/>
        </w:rPr>
        <w:t>section</w:t>
      </w:r>
      <w:r w:rsidRPr="00565543">
        <w:rPr>
          <w:rFonts w:ascii="Arial" w:hAnsi="Arial" w:cs="Arial"/>
          <w:szCs w:val="20"/>
        </w:rPr>
        <w:t xml:space="preserve"> 215 of the BSA</w:t>
      </w:r>
      <w:r w:rsidR="006C26D1">
        <w:rPr>
          <w:rFonts w:ascii="Arial" w:hAnsi="Arial" w:cs="Arial"/>
          <w:szCs w:val="20"/>
        </w:rPr>
        <w:t xml:space="preserve">.  The Guidelines commence on the day after </w:t>
      </w:r>
      <w:r w:rsidR="00D34975">
        <w:rPr>
          <w:rFonts w:ascii="Arial" w:hAnsi="Arial" w:cs="Arial"/>
          <w:szCs w:val="20"/>
        </w:rPr>
        <w:t xml:space="preserve">their </w:t>
      </w:r>
      <w:r w:rsidR="006C26D1">
        <w:rPr>
          <w:rFonts w:ascii="Arial" w:hAnsi="Arial" w:cs="Arial"/>
          <w:szCs w:val="20"/>
        </w:rPr>
        <w:t xml:space="preserve">registration on the </w:t>
      </w:r>
      <w:r w:rsidR="00092082">
        <w:rPr>
          <w:rFonts w:ascii="Arial" w:hAnsi="Arial" w:cs="Arial"/>
        </w:rPr>
        <w:t>Federal Register of Legislative Instruments (</w:t>
      </w:r>
      <w:r w:rsidR="006C26D1" w:rsidRPr="00092082">
        <w:rPr>
          <w:rFonts w:ascii="Arial" w:hAnsi="Arial" w:cs="Arial"/>
          <w:b/>
          <w:szCs w:val="20"/>
        </w:rPr>
        <w:t>FRLI</w:t>
      </w:r>
      <w:r w:rsidR="00092082">
        <w:rPr>
          <w:rFonts w:ascii="Arial" w:hAnsi="Arial" w:cs="Arial"/>
          <w:szCs w:val="20"/>
        </w:rPr>
        <w:t>)</w:t>
      </w:r>
      <w:r w:rsidR="003A1D90">
        <w:rPr>
          <w:rFonts w:ascii="Arial" w:hAnsi="Arial" w:cs="Arial"/>
          <w:szCs w:val="20"/>
        </w:rPr>
        <w:t xml:space="preserve"> and replace </w:t>
      </w:r>
      <w:r w:rsidR="003A1D90" w:rsidRPr="002C5427">
        <w:rPr>
          <w:rFonts w:ascii="Arial" w:hAnsi="Arial" w:cs="Arial"/>
          <w:szCs w:val="20"/>
        </w:rPr>
        <w:t xml:space="preserve">the </w:t>
      </w:r>
      <w:r w:rsidR="003A1D90" w:rsidRPr="002C5427">
        <w:rPr>
          <w:rFonts w:ascii="Arial" w:hAnsi="Arial" w:cs="Arial"/>
          <w:i/>
          <w:szCs w:val="20"/>
        </w:rPr>
        <w:t xml:space="preserve">Guidelines relating to ACMA’s enforcement powers under the Broadcasting Services Act 1992 </w:t>
      </w:r>
      <w:r w:rsidR="003A1D90" w:rsidRPr="002C5427">
        <w:rPr>
          <w:rFonts w:ascii="Arial" w:hAnsi="Arial" w:cs="Arial"/>
          <w:szCs w:val="20"/>
        </w:rPr>
        <w:t>dated 25 January 2007</w:t>
      </w:r>
      <w:r w:rsidR="003A1D90">
        <w:rPr>
          <w:rFonts w:ascii="Arial" w:hAnsi="Arial" w:cs="Arial"/>
          <w:szCs w:val="20"/>
        </w:rPr>
        <w:t xml:space="preserve"> (the </w:t>
      </w:r>
      <w:r w:rsidR="00D34975" w:rsidRPr="00D34975">
        <w:rPr>
          <w:rFonts w:ascii="Arial" w:hAnsi="Arial" w:cs="Arial"/>
          <w:b/>
          <w:szCs w:val="20"/>
        </w:rPr>
        <w:t xml:space="preserve">previous </w:t>
      </w:r>
      <w:r w:rsidR="003A1D90" w:rsidRPr="00D34975">
        <w:rPr>
          <w:rFonts w:ascii="Arial" w:hAnsi="Arial" w:cs="Arial"/>
          <w:b/>
          <w:szCs w:val="20"/>
        </w:rPr>
        <w:t>Guidelines</w:t>
      </w:r>
      <w:r w:rsidR="003A1D90">
        <w:rPr>
          <w:rFonts w:ascii="Arial" w:hAnsi="Arial" w:cs="Arial"/>
          <w:szCs w:val="20"/>
        </w:rPr>
        <w:t>)</w:t>
      </w:r>
      <w:r w:rsidR="006C26D1">
        <w:rPr>
          <w:rFonts w:ascii="Arial" w:hAnsi="Arial" w:cs="Arial"/>
          <w:szCs w:val="20"/>
        </w:rPr>
        <w:t>.</w:t>
      </w:r>
    </w:p>
    <w:p w:rsidR="00D96DB0" w:rsidRPr="00565543" w:rsidRDefault="00D96DB0" w:rsidP="00D96DB0">
      <w:pPr>
        <w:rPr>
          <w:rFonts w:ascii="Arial" w:hAnsi="Arial" w:cs="Arial"/>
        </w:rPr>
      </w:pPr>
      <w:r w:rsidRPr="00565543">
        <w:rPr>
          <w:rFonts w:ascii="Arial" w:hAnsi="Arial" w:cs="Arial"/>
        </w:rPr>
        <w:t xml:space="preserve">The </w:t>
      </w:r>
      <w:r w:rsidR="00D34975">
        <w:rPr>
          <w:rFonts w:ascii="Arial" w:hAnsi="Arial" w:cs="Arial"/>
        </w:rPr>
        <w:t>G</w:t>
      </w:r>
      <w:r w:rsidRPr="00565543">
        <w:rPr>
          <w:rFonts w:ascii="Arial" w:hAnsi="Arial" w:cs="Arial"/>
        </w:rPr>
        <w:t>uidelines take into account the objects of the BSA set out in section 3 and the regulatory policy set out in section 4</w:t>
      </w:r>
      <w:r w:rsidR="00D34975">
        <w:rPr>
          <w:rFonts w:ascii="Arial" w:hAnsi="Arial" w:cs="Arial"/>
        </w:rPr>
        <w:t xml:space="preserve"> of the BSA</w:t>
      </w:r>
      <w:r w:rsidRPr="00565543">
        <w:rPr>
          <w:rFonts w:ascii="Arial" w:hAnsi="Arial" w:cs="Arial"/>
        </w:rPr>
        <w:t xml:space="preserve">. </w:t>
      </w:r>
    </w:p>
    <w:p w:rsidR="00A03FEA" w:rsidRPr="006C26D1" w:rsidRDefault="006C26D1" w:rsidP="00A03FEA">
      <w:pPr>
        <w:rPr>
          <w:rFonts w:ascii="Arial" w:hAnsi="Arial" w:cs="Arial"/>
          <w:b/>
        </w:rPr>
      </w:pPr>
      <w:r w:rsidRPr="006C26D1">
        <w:rPr>
          <w:rFonts w:ascii="Arial" w:hAnsi="Arial" w:cs="Arial"/>
          <w:b/>
        </w:rPr>
        <w:t>Guidelines</w:t>
      </w:r>
    </w:p>
    <w:p w:rsidR="006C26D1" w:rsidRDefault="006C26D1" w:rsidP="006C26D1">
      <w:pPr>
        <w:rPr>
          <w:rFonts w:ascii="Arial" w:hAnsi="Arial" w:cs="Arial"/>
          <w:szCs w:val="20"/>
        </w:rPr>
      </w:pPr>
      <w:r w:rsidRPr="006C26D1">
        <w:rPr>
          <w:rFonts w:ascii="Arial" w:hAnsi="Arial" w:cs="Arial"/>
          <w:szCs w:val="20"/>
        </w:rPr>
        <w:t>Under subsections 215(5) and 215(6) of the BSA, the ACMA must ensure that it has guidelines in place relating to the powers conferred on the ACMA by</w:t>
      </w:r>
      <w:r w:rsidR="00D131D7">
        <w:rPr>
          <w:rFonts w:ascii="Arial" w:hAnsi="Arial" w:cs="Arial"/>
          <w:szCs w:val="20"/>
        </w:rPr>
        <w:t xml:space="preserve"> the following provisions of the BSA</w:t>
      </w:r>
      <w:r>
        <w:rPr>
          <w:rFonts w:ascii="Arial" w:hAnsi="Arial" w:cs="Arial"/>
          <w:szCs w:val="20"/>
        </w:rPr>
        <w:t>:</w:t>
      </w:r>
    </w:p>
    <w:p w:rsidR="006C26D1" w:rsidRDefault="00694102" w:rsidP="006C26D1">
      <w:pPr>
        <w:pStyle w:val="ListParagraph"/>
        <w:numPr>
          <w:ilvl w:val="0"/>
          <w:numId w:val="12"/>
        </w:numPr>
        <w:rPr>
          <w:rFonts w:ascii="Arial" w:hAnsi="Arial" w:cs="Arial"/>
          <w:szCs w:val="20"/>
        </w:rPr>
      </w:pPr>
      <w:r>
        <w:rPr>
          <w:rFonts w:ascii="Arial" w:hAnsi="Arial" w:cs="Arial"/>
          <w:szCs w:val="20"/>
        </w:rPr>
        <w:t>Division 4 of Part 8B;</w:t>
      </w:r>
      <w:r w:rsidR="006C26D1" w:rsidRPr="006C26D1">
        <w:rPr>
          <w:rFonts w:ascii="Arial" w:hAnsi="Arial" w:cs="Arial"/>
          <w:szCs w:val="20"/>
        </w:rPr>
        <w:t xml:space="preserve"> </w:t>
      </w:r>
    </w:p>
    <w:p w:rsidR="006C26D1" w:rsidRDefault="006C26D1" w:rsidP="006C26D1">
      <w:pPr>
        <w:pStyle w:val="ListParagraph"/>
        <w:numPr>
          <w:ilvl w:val="0"/>
          <w:numId w:val="12"/>
        </w:numPr>
        <w:rPr>
          <w:rFonts w:ascii="Arial" w:hAnsi="Arial" w:cs="Arial"/>
          <w:szCs w:val="20"/>
        </w:rPr>
      </w:pPr>
      <w:r w:rsidRPr="006C26D1">
        <w:rPr>
          <w:rFonts w:ascii="Arial" w:hAnsi="Arial" w:cs="Arial"/>
          <w:szCs w:val="20"/>
        </w:rPr>
        <w:t>Parts 10,</w:t>
      </w:r>
      <w:r w:rsidR="003A1D90">
        <w:rPr>
          <w:rFonts w:ascii="Arial" w:hAnsi="Arial" w:cs="Arial"/>
          <w:szCs w:val="20"/>
        </w:rPr>
        <w:t xml:space="preserve"> 14B, 14D and 14E</w:t>
      </w:r>
      <w:r w:rsidR="00694102">
        <w:rPr>
          <w:rFonts w:ascii="Arial" w:hAnsi="Arial" w:cs="Arial"/>
          <w:szCs w:val="20"/>
        </w:rPr>
        <w:t>; and</w:t>
      </w:r>
    </w:p>
    <w:p w:rsidR="00694102" w:rsidRDefault="00694102" w:rsidP="006C26D1">
      <w:pPr>
        <w:pStyle w:val="ListParagraph"/>
        <w:numPr>
          <w:ilvl w:val="0"/>
          <w:numId w:val="12"/>
        </w:numPr>
        <w:rPr>
          <w:rFonts w:ascii="Arial" w:hAnsi="Arial" w:cs="Arial"/>
          <w:szCs w:val="20"/>
        </w:rPr>
      </w:pPr>
      <w:r>
        <w:rPr>
          <w:rFonts w:ascii="Arial" w:hAnsi="Arial" w:cs="Arial"/>
          <w:szCs w:val="20"/>
        </w:rPr>
        <w:t>Part 8 of Schedule 6.</w:t>
      </w:r>
    </w:p>
    <w:p w:rsidR="007A094B" w:rsidRPr="007A094B" w:rsidRDefault="00694102" w:rsidP="007A094B">
      <w:pPr>
        <w:pStyle w:val="ListParagraph"/>
        <w:ind w:left="0"/>
        <w:rPr>
          <w:rFonts w:ascii="Arial" w:hAnsi="Arial" w:cs="Arial"/>
          <w:szCs w:val="20"/>
        </w:rPr>
      </w:pPr>
      <w:r>
        <w:rPr>
          <w:rFonts w:ascii="Arial" w:hAnsi="Arial" w:cs="Arial"/>
          <w:szCs w:val="20"/>
        </w:rPr>
        <w:br/>
        <w:t>T</w:t>
      </w:r>
      <w:r w:rsidR="007A094B" w:rsidRPr="007A094B">
        <w:rPr>
          <w:rFonts w:ascii="Arial" w:hAnsi="Arial" w:cs="Arial"/>
          <w:szCs w:val="20"/>
        </w:rPr>
        <w:t xml:space="preserve">he Guidelines have been made to comply with that obligation.  </w:t>
      </w:r>
    </w:p>
    <w:p w:rsidR="00D34975" w:rsidRDefault="006C26D1" w:rsidP="00A03FEA">
      <w:pPr>
        <w:spacing w:after="80"/>
        <w:rPr>
          <w:rFonts w:ascii="Arial" w:hAnsi="Arial" w:cs="Arial"/>
        </w:rPr>
      </w:pPr>
      <w:r>
        <w:rPr>
          <w:rFonts w:ascii="Arial" w:hAnsi="Arial" w:cs="Arial"/>
        </w:rPr>
        <w:t xml:space="preserve">Regard will be had to </w:t>
      </w:r>
      <w:r w:rsidR="00D34975">
        <w:rPr>
          <w:rFonts w:ascii="Arial" w:hAnsi="Arial" w:cs="Arial"/>
        </w:rPr>
        <w:t xml:space="preserve">any of </w:t>
      </w:r>
      <w:r>
        <w:rPr>
          <w:rFonts w:ascii="Arial" w:hAnsi="Arial" w:cs="Arial"/>
        </w:rPr>
        <w:t xml:space="preserve">the Guidelines </w:t>
      </w:r>
      <w:r w:rsidR="00D34975">
        <w:rPr>
          <w:rFonts w:ascii="Arial" w:hAnsi="Arial" w:cs="Arial"/>
        </w:rPr>
        <w:t>that are relevant and in force when the ACMA is exercising an</w:t>
      </w:r>
      <w:r w:rsidR="00376FF3">
        <w:rPr>
          <w:rFonts w:ascii="Arial" w:hAnsi="Arial" w:cs="Arial"/>
        </w:rPr>
        <w:t xml:space="preserve"> enforcement </w:t>
      </w:r>
      <w:r w:rsidR="00D34975">
        <w:rPr>
          <w:rFonts w:ascii="Arial" w:hAnsi="Arial" w:cs="Arial"/>
        </w:rPr>
        <w:t xml:space="preserve">power conferred on the ACMA </w:t>
      </w:r>
      <w:r w:rsidR="00D131D7">
        <w:rPr>
          <w:rFonts w:ascii="Arial" w:hAnsi="Arial" w:cs="Arial"/>
        </w:rPr>
        <w:t>that is</w:t>
      </w:r>
      <w:r w:rsidR="00D34975">
        <w:rPr>
          <w:rFonts w:ascii="Arial" w:hAnsi="Arial" w:cs="Arial"/>
        </w:rPr>
        <w:t xml:space="preserve"> covered by the Guidelines.</w:t>
      </w:r>
      <w:r w:rsidR="00D34975" w:rsidDel="00D34975">
        <w:rPr>
          <w:rFonts w:ascii="Arial" w:hAnsi="Arial" w:cs="Arial"/>
        </w:rPr>
        <w:t xml:space="preserve"> </w:t>
      </w:r>
    </w:p>
    <w:p w:rsidR="00C743A7" w:rsidRPr="0075775A" w:rsidRDefault="00C743A7" w:rsidP="00A03FEA">
      <w:pPr>
        <w:spacing w:after="80"/>
        <w:rPr>
          <w:rFonts w:ascii="Arial" w:hAnsi="Arial" w:cs="Arial"/>
          <w:b/>
        </w:rPr>
      </w:pPr>
      <w:r w:rsidRPr="0075775A">
        <w:rPr>
          <w:rFonts w:ascii="Arial" w:hAnsi="Arial" w:cs="Arial"/>
          <w:b/>
        </w:rPr>
        <w:t>Likely impact and effect of the Guidelines</w:t>
      </w:r>
    </w:p>
    <w:p w:rsidR="00C743A7" w:rsidRPr="00C743A7" w:rsidRDefault="0075775A" w:rsidP="00C743A7">
      <w:pPr>
        <w:pStyle w:val="ACMABodyText"/>
        <w:rPr>
          <w:rFonts w:ascii="Arial" w:hAnsi="Arial" w:cs="Arial"/>
        </w:rPr>
      </w:pPr>
      <w:r w:rsidRPr="0075775A">
        <w:rPr>
          <w:rFonts w:ascii="Arial" w:hAnsi="Arial" w:cs="Arial"/>
        </w:rPr>
        <w:t xml:space="preserve">The Guidelines provide guidance to which the ACMA and its officers must have </w:t>
      </w:r>
      <w:proofErr w:type="gramStart"/>
      <w:r w:rsidRPr="0075775A">
        <w:rPr>
          <w:rFonts w:ascii="Arial" w:hAnsi="Arial" w:cs="Arial"/>
        </w:rPr>
        <w:t>regard</w:t>
      </w:r>
      <w:proofErr w:type="gramEnd"/>
      <w:r w:rsidRPr="0075775A">
        <w:rPr>
          <w:rFonts w:ascii="Arial" w:hAnsi="Arial" w:cs="Arial"/>
        </w:rPr>
        <w:t xml:space="preserve"> when exercising various powers under the BSA.  They are substantively similar to the previous Guidelines with various minor changes to provide more, and more detailed, guidance about the matters which the ACMA will take into consideration in deciding on appropriate enforcement action under the BSA.  </w:t>
      </w:r>
      <w:r>
        <w:rPr>
          <w:rFonts w:ascii="Arial" w:hAnsi="Arial" w:cs="Arial"/>
        </w:rPr>
        <w:t> </w:t>
      </w:r>
      <w:r w:rsidR="00C743A7">
        <w:rPr>
          <w:rFonts w:ascii="Arial" w:hAnsi="Arial" w:cs="Arial"/>
        </w:rPr>
        <w:t xml:space="preserve">  </w:t>
      </w:r>
    </w:p>
    <w:p w:rsidR="006C26D1" w:rsidRPr="006C26D1" w:rsidRDefault="006C26D1" w:rsidP="00A03FEA">
      <w:pPr>
        <w:spacing w:after="80"/>
        <w:rPr>
          <w:rFonts w:ascii="Arial" w:hAnsi="Arial" w:cs="Arial"/>
          <w:b/>
        </w:rPr>
      </w:pPr>
      <w:r w:rsidRPr="006C26D1">
        <w:rPr>
          <w:rFonts w:ascii="Arial" w:hAnsi="Arial" w:cs="Arial"/>
          <w:b/>
        </w:rPr>
        <w:t>Consultation</w:t>
      </w:r>
    </w:p>
    <w:p w:rsidR="006C26D1" w:rsidRDefault="006C26D1" w:rsidP="006C26D1">
      <w:pPr>
        <w:pStyle w:val="ACMABodyText"/>
        <w:rPr>
          <w:rFonts w:ascii="Arial" w:hAnsi="Arial" w:cs="Arial"/>
        </w:rPr>
      </w:pPr>
      <w:r w:rsidRPr="006C26D1">
        <w:rPr>
          <w:rFonts w:ascii="Arial" w:hAnsi="Arial" w:cs="Arial"/>
        </w:rPr>
        <w:t>Before making</w:t>
      </w:r>
      <w:r>
        <w:rPr>
          <w:rFonts w:ascii="Arial" w:hAnsi="Arial" w:cs="Arial"/>
        </w:rPr>
        <w:t xml:space="preserve"> the Guidelines, the ACMA took the following steps by way of consultation:</w:t>
      </w:r>
    </w:p>
    <w:p w:rsidR="006C26D1" w:rsidRPr="008F7DD2" w:rsidRDefault="006C26D1" w:rsidP="006C26D1">
      <w:pPr>
        <w:pStyle w:val="ACMABodyText"/>
        <w:numPr>
          <w:ilvl w:val="0"/>
          <w:numId w:val="13"/>
        </w:numPr>
        <w:rPr>
          <w:rFonts w:ascii="Arial" w:hAnsi="Arial" w:cs="Arial"/>
        </w:rPr>
      </w:pPr>
      <w:r>
        <w:rPr>
          <w:rFonts w:ascii="Arial" w:hAnsi="Arial" w:cs="Arial"/>
        </w:rPr>
        <w:t xml:space="preserve">On </w:t>
      </w:r>
      <w:r w:rsidR="00376FF3" w:rsidRPr="00376FF3">
        <w:rPr>
          <w:rFonts w:ascii="Arial" w:hAnsi="Arial" w:cs="Arial"/>
        </w:rPr>
        <w:t>23 December 2010</w:t>
      </w:r>
      <w:r w:rsidR="00376FF3">
        <w:rPr>
          <w:rFonts w:ascii="Arial" w:hAnsi="Arial" w:cs="Arial"/>
          <w:b/>
        </w:rPr>
        <w:t xml:space="preserve"> </w:t>
      </w:r>
      <w:r>
        <w:rPr>
          <w:rFonts w:ascii="Arial" w:hAnsi="Arial" w:cs="Arial"/>
        </w:rPr>
        <w:t>the ACMA posted on its website a draft of the revised Guidelines together with a discussion paper, inviting public comment.  The period allowed for public consultation was 6 weeks</w:t>
      </w:r>
      <w:r w:rsidR="008B0562">
        <w:rPr>
          <w:rFonts w:ascii="Arial" w:hAnsi="Arial" w:cs="Arial"/>
        </w:rPr>
        <w:t>.</w:t>
      </w:r>
      <w:r w:rsidR="008F7DD2" w:rsidRPr="008F7DD2">
        <w:rPr>
          <w:rFonts w:ascii="Arial" w:hAnsi="Arial" w:cs="Arial"/>
        </w:rPr>
        <w:t xml:space="preserve"> </w:t>
      </w:r>
      <w:r w:rsidR="008F7DD2">
        <w:rPr>
          <w:rFonts w:ascii="Arial" w:hAnsi="Arial" w:cs="Arial"/>
        </w:rPr>
        <w:t>The closing date for submissions was 18 February 2011.</w:t>
      </w:r>
    </w:p>
    <w:p w:rsidR="006C26D1" w:rsidRPr="008F7DD2" w:rsidRDefault="006C26D1" w:rsidP="006C26D1">
      <w:pPr>
        <w:pStyle w:val="ACMABodyText"/>
        <w:numPr>
          <w:ilvl w:val="0"/>
          <w:numId w:val="13"/>
        </w:numPr>
        <w:rPr>
          <w:rFonts w:ascii="Arial" w:hAnsi="Arial" w:cs="Arial"/>
        </w:rPr>
      </w:pPr>
      <w:r w:rsidRPr="008F7DD2">
        <w:rPr>
          <w:rFonts w:ascii="Arial" w:hAnsi="Arial" w:cs="Arial"/>
        </w:rPr>
        <w:t xml:space="preserve">The ACMA </w:t>
      </w:r>
      <w:r w:rsidR="008F7DD2" w:rsidRPr="008F7DD2">
        <w:rPr>
          <w:rFonts w:ascii="Arial" w:hAnsi="Arial" w:cs="Arial"/>
        </w:rPr>
        <w:t xml:space="preserve">also </w:t>
      </w:r>
      <w:r w:rsidRPr="008F7DD2">
        <w:rPr>
          <w:rFonts w:ascii="Arial" w:hAnsi="Arial" w:cs="Arial"/>
        </w:rPr>
        <w:t>wro</w:t>
      </w:r>
      <w:r w:rsidR="007A094B" w:rsidRPr="00D131D7">
        <w:rPr>
          <w:rFonts w:ascii="Arial" w:hAnsi="Arial" w:cs="Arial"/>
        </w:rPr>
        <w:t>t</w:t>
      </w:r>
      <w:r w:rsidRPr="008F7DD2">
        <w:rPr>
          <w:rFonts w:ascii="Arial" w:hAnsi="Arial" w:cs="Arial"/>
        </w:rPr>
        <w:t xml:space="preserve">e </w:t>
      </w:r>
      <w:r w:rsidR="008F7DD2" w:rsidRPr="008F7DD2">
        <w:rPr>
          <w:rFonts w:ascii="Arial" w:hAnsi="Arial" w:cs="Arial"/>
        </w:rPr>
        <w:t xml:space="preserve">to </w:t>
      </w:r>
      <w:r w:rsidR="00D34975">
        <w:rPr>
          <w:rFonts w:ascii="Arial" w:hAnsi="Arial" w:cs="Arial"/>
        </w:rPr>
        <w:t>various</w:t>
      </w:r>
      <w:r w:rsidR="008F7DD2" w:rsidRPr="008F7DD2">
        <w:rPr>
          <w:rFonts w:ascii="Arial" w:hAnsi="Arial" w:cs="Arial"/>
        </w:rPr>
        <w:t xml:space="preserve"> key stakeholders </w:t>
      </w:r>
      <w:r w:rsidR="007A094B" w:rsidRPr="007A094B">
        <w:rPr>
          <w:rFonts w:ascii="Arial" w:hAnsi="Arial" w:cs="Arial"/>
        </w:rPr>
        <w:t xml:space="preserve">with information about the draft revised Guidelines, providing details of how to obtain a copy of the draft revised Guidelines and inviting public comment.  </w:t>
      </w:r>
      <w:r w:rsidRPr="008F7DD2">
        <w:rPr>
          <w:rFonts w:ascii="Arial" w:hAnsi="Arial" w:cs="Arial"/>
        </w:rPr>
        <w:t>The ACMA received three written submissions as a result of public consultation and made some variations to the draft revised Guidelines as a result.</w:t>
      </w:r>
    </w:p>
    <w:p w:rsidR="00D131D7" w:rsidRDefault="001350D0" w:rsidP="006C26D1">
      <w:pPr>
        <w:pStyle w:val="ACMABodyText"/>
        <w:rPr>
          <w:rFonts w:ascii="Arial" w:hAnsi="Arial" w:cs="Arial"/>
          <w:b/>
        </w:rPr>
      </w:pPr>
      <w:r>
        <w:rPr>
          <w:rFonts w:ascii="Arial" w:hAnsi="Arial" w:cs="Arial"/>
          <w:b/>
        </w:rPr>
        <w:t>Regulatory i</w:t>
      </w:r>
      <w:r w:rsidR="00D131D7">
        <w:rPr>
          <w:rFonts w:ascii="Arial" w:hAnsi="Arial" w:cs="Arial"/>
          <w:b/>
        </w:rPr>
        <w:t xml:space="preserve">mpact </w:t>
      </w:r>
    </w:p>
    <w:p w:rsidR="00D131D7" w:rsidRPr="00D131D7" w:rsidRDefault="00D131D7" w:rsidP="006C26D1">
      <w:pPr>
        <w:pStyle w:val="ACMABodyText"/>
        <w:rPr>
          <w:rFonts w:ascii="Arial" w:hAnsi="Arial" w:cs="Arial"/>
        </w:rPr>
      </w:pPr>
      <w:r w:rsidRPr="00D131D7">
        <w:rPr>
          <w:rFonts w:ascii="Arial" w:hAnsi="Arial" w:cs="Arial"/>
        </w:rPr>
        <w:t xml:space="preserve">The </w:t>
      </w:r>
      <w:r>
        <w:rPr>
          <w:rFonts w:ascii="Arial" w:hAnsi="Arial" w:cs="Arial"/>
        </w:rPr>
        <w:t>Office of Best Practice Regulation (</w:t>
      </w:r>
      <w:r w:rsidRPr="00391219">
        <w:rPr>
          <w:rFonts w:ascii="Arial" w:hAnsi="Arial" w:cs="Arial"/>
          <w:b/>
        </w:rPr>
        <w:t>OBPR</w:t>
      </w:r>
      <w:r>
        <w:rPr>
          <w:rFonts w:ascii="Arial" w:hAnsi="Arial" w:cs="Arial"/>
        </w:rPr>
        <w:t xml:space="preserve">) has considered the matter and formed the view that no regulatory impact analysis is required for the Guidelines.  The OBPR reference </w:t>
      </w:r>
      <w:r w:rsidRPr="00D131D7">
        <w:rPr>
          <w:rFonts w:ascii="Arial" w:hAnsi="Arial" w:cs="Arial"/>
        </w:rPr>
        <w:t>number is ID 12849.</w:t>
      </w:r>
    </w:p>
    <w:p w:rsidR="006C26D1" w:rsidRPr="008F7DD2" w:rsidRDefault="007A094B" w:rsidP="006C26D1">
      <w:pPr>
        <w:pStyle w:val="ACMABodyText"/>
        <w:rPr>
          <w:rFonts w:ascii="Arial" w:hAnsi="Arial" w:cs="Arial"/>
          <w:b/>
        </w:rPr>
      </w:pPr>
      <w:r w:rsidRPr="007A094B">
        <w:rPr>
          <w:rFonts w:ascii="Arial" w:hAnsi="Arial" w:cs="Arial"/>
          <w:b/>
        </w:rPr>
        <w:t>Description of the provisions of the Guidelines</w:t>
      </w:r>
    </w:p>
    <w:p w:rsidR="00D96DB0" w:rsidRPr="008F7DD2" w:rsidRDefault="009E2A70" w:rsidP="00D96DB0">
      <w:pPr>
        <w:spacing w:after="80"/>
        <w:rPr>
          <w:rFonts w:ascii="Arial" w:hAnsi="Arial" w:cs="Arial"/>
          <w:b/>
        </w:rPr>
      </w:pPr>
      <w:r>
        <w:rPr>
          <w:rFonts w:ascii="Arial" w:hAnsi="Arial" w:cs="Arial"/>
        </w:rPr>
        <w:t xml:space="preserve">The </w:t>
      </w:r>
      <w:r w:rsidR="008F7DD2">
        <w:rPr>
          <w:rFonts w:ascii="Arial" w:hAnsi="Arial" w:cs="Arial"/>
        </w:rPr>
        <w:t>G</w:t>
      </w:r>
      <w:r w:rsidR="00D96DB0" w:rsidRPr="008F7DD2">
        <w:rPr>
          <w:rFonts w:ascii="Arial" w:hAnsi="Arial" w:cs="Arial"/>
        </w:rPr>
        <w:t>uidelines outline the types of enforcement action available to the ACMA under the following provisions of the BSA:</w:t>
      </w:r>
    </w:p>
    <w:p w:rsidR="00D96DB0" w:rsidRPr="00D96DB0" w:rsidRDefault="007A094B" w:rsidP="00D96DB0">
      <w:pPr>
        <w:pStyle w:val="ListBullet"/>
        <w:rPr>
          <w:rFonts w:ascii="Arial" w:hAnsi="Arial" w:cs="Arial"/>
          <w:b/>
          <w:sz w:val="24"/>
        </w:rPr>
      </w:pPr>
      <w:r>
        <w:rPr>
          <w:rFonts w:ascii="Arial" w:hAnsi="Arial" w:cs="Arial"/>
          <w:sz w:val="24"/>
        </w:rPr>
        <w:t>Division 4 of Part 8B—remedies for breaches of international</w:t>
      </w:r>
      <w:r w:rsidR="00D96DB0" w:rsidRPr="00D96DB0">
        <w:rPr>
          <w:rFonts w:ascii="Arial" w:hAnsi="Arial" w:cs="Arial"/>
          <w:sz w:val="24"/>
        </w:rPr>
        <w:t xml:space="preserve"> broadcasting licence provisions </w:t>
      </w:r>
      <w:r w:rsidR="00D131D7">
        <w:rPr>
          <w:rFonts w:ascii="Arial" w:hAnsi="Arial" w:cs="Arial"/>
          <w:sz w:val="24"/>
        </w:rPr>
        <w:t>;</w:t>
      </w:r>
    </w:p>
    <w:p w:rsidR="00D96DB0" w:rsidRPr="00D96DB0" w:rsidRDefault="00D96DB0" w:rsidP="00D96DB0">
      <w:pPr>
        <w:pStyle w:val="ListBullet"/>
        <w:rPr>
          <w:rFonts w:ascii="Arial" w:hAnsi="Arial" w:cs="Arial"/>
          <w:b/>
          <w:sz w:val="24"/>
        </w:rPr>
      </w:pPr>
      <w:r w:rsidRPr="00D96DB0">
        <w:rPr>
          <w:rFonts w:ascii="Arial" w:hAnsi="Arial" w:cs="Arial"/>
          <w:sz w:val="24"/>
        </w:rPr>
        <w:t>Part 10—action for breaches of broadcasting licensing provisions</w:t>
      </w:r>
      <w:r w:rsidR="00D131D7">
        <w:rPr>
          <w:rFonts w:ascii="Arial" w:hAnsi="Arial" w:cs="Arial"/>
          <w:sz w:val="24"/>
        </w:rPr>
        <w:t>;</w:t>
      </w:r>
    </w:p>
    <w:p w:rsidR="00D96DB0" w:rsidRPr="00D96DB0" w:rsidRDefault="00D96DB0" w:rsidP="00D96DB0">
      <w:pPr>
        <w:pStyle w:val="ListBullet"/>
        <w:rPr>
          <w:rFonts w:ascii="Arial" w:hAnsi="Arial" w:cs="Arial"/>
          <w:b/>
          <w:sz w:val="24"/>
        </w:rPr>
      </w:pPr>
      <w:r w:rsidRPr="00D96DB0">
        <w:rPr>
          <w:rFonts w:ascii="Arial" w:hAnsi="Arial" w:cs="Arial"/>
          <w:sz w:val="24"/>
        </w:rPr>
        <w:t>Part 14B—civil penalty orders</w:t>
      </w:r>
      <w:r w:rsidR="00D131D7">
        <w:rPr>
          <w:rFonts w:ascii="Arial" w:hAnsi="Arial" w:cs="Arial"/>
          <w:sz w:val="24"/>
        </w:rPr>
        <w:t>;</w:t>
      </w:r>
    </w:p>
    <w:p w:rsidR="00D96DB0" w:rsidRPr="00D96DB0" w:rsidRDefault="00D96DB0" w:rsidP="00D96DB0">
      <w:pPr>
        <w:pStyle w:val="ListBullet"/>
        <w:rPr>
          <w:rFonts w:ascii="Arial" w:hAnsi="Arial" w:cs="Arial"/>
          <w:b/>
          <w:sz w:val="24"/>
        </w:rPr>
      </w:pPr>
      <w:r w:rsidRPr="00D96DB0">
        <w:rPr>
          <w:rFonts w:ascii="Arial" w:hAnsi="Arial" w:cs="Arial"/>
          <w:sz w:val="24"/>
        </w:rPr>
        <w:t>Part 14D—enforceable undertakings</w:t>
      </w:r>
      <w:r w:rsidR="00D131D7">
        <w:rPr>
          <w:rFonts w:ascii="Arial" w:hAnsi="Arial" w:cs="Arial"/>
          <w:sz w:val="24"/>
        </w:rPr>
        <w:t>;</w:t>
      </w:r>
    </w:p>
    <w:p w:rsidR="00D96DB0" w:rsidRPr="00D96DB0" w:rsidRDefault="00D96DB0" w:rsidP="00D96DB0">
      <w:pPr>
        <w:pStyle w:val="ListBullet"/>
        <w:rPr>
          <w:rFonts w:ascii="Arial" w:hAnsi="Arial" w:cs="Arial"/>
          <w:b/>
          <w:sz w:val="24"/>
        </w:rPr>
      </w:pPr>
      <w:r w:rsidRPr="00D96DB0">
        <w:rPr>
          <w:rFonts w:ascii="Arial" w:hAnsi="Arial" w:cs="Arial"/>
          <w:sz w:val="24"/>
        </w:rPr>
        <w:t>Part 14E—infringement notices</w:t>
      </w:r>
      <w:r w:rsidR="00D131D7">
        <w:rPr>
          <w:rFonts w:ascii="Arial" w:hAnsi="Arial" w:cs="Arial"/>
          <w:sz w:val="24"/>
        </w:rPr>
        <w:t>; and</w:t>
      </w:r>
    </w:p>
    <w:p w:rsidR="00D96DB0" w:rsidRPr="00D96DB0" w:rsidRDefault="00D96DB0" w:rsidP="00D96DB0">
      <w:pPr>
        <w:pStyle w:val="ListBullet"/>
        <w:spacing w:after="240"/>
        <w:rPr>
          <w:rFonts w:ascii="Arial" w:hAnsi="Arial" w:cs="Arial"/>
          <w:b/>
          <w:sz w:val="24"/>
        </w:rPr>
      </w:pPr>
      <w:r w:rsidRPr="00D96DB0">
        <w:rPr>
          <w:rFonts w:ascii="Arial" w:hAnsi="Arial" w:cs="Arial"/>
          <w:sz w:val="24"/>
        </w:rPr>
        <w:t xml:space="preserve">Part 8 of Schedule 6 of the BSA—remedies for breaches of </w:t>
      </w:r>
      <w:proofErr w:type="spellStart"/>
      <w:r w:rsidRPr="00D96DB0">
        <w:rPr>
          <w:rFonts w:ascii="Arial" w:hAnsi="Arial" w:cs="Arial"/>
          <w:sz w:val="24"/>
        </w:rPr>
        <w:t>datacasting</w:t>
      </w:r>
      <w:proofErr w:type="spellEnd"/>
      <w:r w:rsidRPr="00D96DB0">
        <w:rPr>
          <w:rFonts w:ascii="Arial" w:hAnsi="Arial" w:cs="Arial"/>
          <w:sz w:val="24"/>
        </w:rPr>
        <w:t xml:space="preserve"> licence provisions.</w:t>
      </w:r>
    </w:p>
    <w:p w:rsidR="008F7DD2" w:rsidRDefault="00D96DB0" w:rsidP="00D96DB0">
      <w:pPr>
        <w:rPr>
          <w:rFonts w:ascii="Arial" w:hAnsi="Arial" w:cs="Arial"/>
        </w:rPr>
      </w:pPr>
      <w:r w:rsidRPr="00132FC4">
        <w:rPr>
          <w:rFonts w:ascii="Arial" w:hAnsi="Arial" w:cs="Arial"/>
        </w:rPr>
        <w:t xml:space="preserve">The </w:t>
      </w:r>
      <w:r w:rsidR="008F7DD2">
        <w:rPr>
          <w:rFonts w:ascii="Arial" w:hAnsi="Arial" w:cs="Arial"/>
        </w:rPr>
        <w:t>G</w:t>
      </w:r>
      <w:r w:rsidRPr="00132FC4">
        <w:rPr>
          <w:rFonts w:ascii="Arial" w:hAnsi="Arial" w:cs="Arial"/>
        </w:rPr>
        <w:t xml:space="preserve">uidelines also discuss when the ACMA will refer a matter to the Commonwealth Director of Public Prosecutions (the </w:t>
      </w:r>
      <w:r w:rsidRPr="00376FF3">
        <w:rPr>
          <w:rFonts w:ascii="Arial" w:hAnsi="Arial" w:cs="Arial"/>
          <w:b/>
        </w:rPr>
        <w:t>CDPP</w:t>
      </w:r>
      <w:r w:rsidRPr="00132FC4">
        <w:rPr>
          <w:rFonts w:ascii="Arial" w:hAnsi="Arial" w:cs="Arial"/>
        </w:rPr>
        <w:t xml:space="preserve">). </w:t>
      </w:r>
    </w:p>
    <w:p w:rsidR="00D96DB0" w:rsidRDefault="008F7DD2" w:rsidP="00D96DB0">
      <w:pPr>
        <w:rPr>
          <w:rFonts w:ascii="Arial" w:hAnsi="Arial" w:cs="Arial"/>
          <w:szCs w:val="20"/>
        </w:rPr>
      </w:pPr>
      <w:r>
        <w:rPr>
          <w:rFonts w:ascii="Arial" w:hAnsi="Arial" w:cs="Arial"/>
        </w:rPr>
        <w:t xml:space="preserve">The Guidelines </w:t>
      </w:r>
      <w:r w:rsidRPr="002C5427">
        <w:rPr>
          <w:rFonts w:ascii="Arial" w:hAnsi="Arial" w:cs="Arial"/>
          <w:szCs w:val="20"/>
        </w:rPr>
        <w:t xml:space="preserve">highlight the discretionary factors which the ACMA generally considers in the exercise of </w:t>
      </w:r>
      <w:r>
        <w:rPr>
          <w:rFonts w:ascii="Arial" w:hAnsi="Arial" w:cs="Arial"/>
          <w:szCs w:val="20"/>
        </w:rPr>
        <w:t>these</w:t>
      </w:r>
      <w:r w:rsidRPr="002C5427">
        <w:rPr>
          <w:rFonts w:ascii="Arial" w:hAnsi="Arial" w:cs="Arial"/>
          <w:szCs w:val="20"/>
        </w:rPr>
        <w:t xml:space="preserve"> powers</w:t>
      </w:r>
      <w:r>
        <w:rPr>
          <w:rFonts w:ascii="Arial" w:hAnsi="Arial" w:cs="Arial"/>
          <w:szCs w:val="20"/>
        </w:rPr>
        <w:t xml:space="preserve">. </w:t>
      </w:r>
    </w:p>
    <w:p w:rsidR="00D34975" w:rsidRPr="00D34975" w:rsidRDefault="00D34975" w:rsidP="00D34975">
      <w:pPr>
        <w:pStyle w:val="ACMABodyText"/>
        <w:rPr>
          <w:rFonts w:ascii="Arial" w:hAnsi="Arial" w:cs="Arial"/>
        </w:rPr>
      </w:pPr>
      <w:r w:rsidRPr="00D34975">
        <w:rPr>
          <w:rFonts w:ascii="Arial" w:hAnsi="Arial" w:cs="Arial"/>
        </w:rPr>
        <w:t xml:space="preserve">Further details about the </w:t>
      </w:r>
      <w:r w:rsidR="00D131D7">
        <w:rPr>
          <w:rFonts w:ascii="Arial" w:hAnsi="Arial" w:cs="Arial"/>
        </w:rPr>
        <w:t xml:space="preserve">particular clauses of the </w:t>
      </w:r>
      <w:r w:rsidRPr="00D34975">
        <w:rPr>
          <w:rFonts w:ascii="Arial" w:hAnsi="Arial" w:cs="Arial"/>
        </w:rPr>
        <w:t>Guidelines are set out below.</w:t>
      </w:r>
    </w:p>
    <w:p w:rsidR="006C26D1" w:rsidRPr="00132FC4" w:rsidRDefault="00D96DB0" w:rsidP="006C26D1">
      <w:pPr>
        <w:pStyle w:val="ACMABodyText"/>
        <w:rPr>
          <w:rFonts w:ascii="Arial" w:hAnsi="Arial" w:cs="Arial"/>
          <w:b/>
        </w:rPr>
      </w:pPr>
      <w:r w:rsidRPr="00132FC4">
        <w:rPr>
          <w:rFonts w:ascii="Arial" w:hAnsi="Arial" w:cs="Arial"/>
          <w:b/>
        </w:rPr>
        <w:t xml:space="preserve">Clause 1 </w:t>
      </w:r>
      <w:r w:rsidR="00DD4E4E">
        <w:rPr>
          <w:rFonts w:ascii="Arial" w:hAnsi="Arial" w:cs="Arial"/>
          <w:b/>
        </w:rPr>
        <w:t>–</w:t>
      </w:r>
      <w:r w:rsidRPr="00132FC4">
        <w:rPr>
          <w:rFonts w:ascii="Arial" w:hAnsi="Arial" w:cs="Arial"/>
          <w:b/>
        </w:rPr>
        <w:t xml:space="preserve"> </w:t>
      </w:r>
      <w:r w:rsidR="00DD4E4E">
        <w:rPr>
          <w:rFonts w:ascii="Arial" w:hAnsi="Arial" w:cs="Arial"/>
          <w:b/>
        </w:rPr>
        <w:t>Name of the instrument</w:t>
      </w:r>
      <w:r w:rsidR="006C26D1" w:rsidRPr="00132FC4">
        <w:rPr>
          <w:rFonts w:ascii="Arial" w:hAnsi="Arial" w:cs="Arial"/>
          <w:b/>
        </w:rPr>
        <w:t xml:space="preserve">  </w:t>
      </w:r>
    </w:p>
    <w:bookmarkEnd w:id="0"/>
    <w:bookmarkEnd w:id="1"/>
    <w:p w:rsidR="00A03FEA" w:rsidRPr="00132FC4" w:rsidRDefault="00132FC4" w:rsidP="00A03FEA">
      <w:pPr>
        <w:pStyle w:val="ACMABodyText"/>
        <w:rPr>
          <w:rFonts w:ascii="Arial" w:hAnsi="Arial" w:cs="Arial"/>
        </w:rPr>
      </w:pPr>
      <w:proofErr w:type="gramStart"/>
      <w:r w:rsidRPr="00132FC4">
        <w:rPr>
          <w:rFonts w:ascii="Arial" w:hAnsi="Arial" w:cs="Arial"/>
        </w:rPr>
        <w:t>Sets out the name of the instrument</w:t>
      </w:r>
      <w:r w:rsidR="00DD4E4E">
        <w:rPr>
          <w:rFonts w:ascii="Arial" w:hAnsi="Arial" w:cs="Arial"/>
        </w:rPr>
        <w:t>.</w:t>
      </w:r>
      <w:proofErr w:type="gramEnd"/>
    </w:p>
    <w:p w:rsidR="00132FC4" w:rsidRPr="00132FC4" w:rsidRDefault="00132FC4" w:rsidP="00A03FEA">
      <w:pPr>
        <w:pStyle w:val="ACMABodyText"/>
        <w:rPr>
          <w:rFonts w:ascii="Arial" w:hAnsi="Arial" w:cs="Arial"/>
          <w:b/>
        </w:rPr>
      </w:pPr>
      <w:r w:rsidRPr="00132FC4">
        <w:rPr>
          <w:rFonts w:ascii="Arial" w:hAnsi="Arial" w:cs="Arial"/>
          <w:b/>
        </w:rPr>
        <w:t>Clause 2 – Commencement</w:t>
      </w:r>
    </w:p>
    <w:p w:rsidR="00132FC4" w:rsidRDefault="00132FC4" w:rsidP="00A03FEA">
      <w:pPr>
        <w:pStyle w:val="ACMABodyText"/>
        <w:rPr>
          <w:rFonts w:ascii="Arial" w:hAnsi="Arial" w:cs="Arial"/>
        </w:rPr>
      </w:pPr>
      <w:proofErr w:type="gramStart"/>
      <w:r>
        <w:rPr>
          <w:rFonts w:ascii="Arial" w:hAnsi="Arial" w:cs="Arial"/>
        </w:rPr>
        <w:t xml:space="preserve">States that the Guidelines commence on the day after they are registered on </w:t>
      </w:r>
      <w:r w:rsidR="00DD4E4E">
        <w:rPr>
          <w:rFonts w:ascii="Arial" w:hAnsi="Arial" w:cs="Arial"/>
        </w:rPr>
        <w:t xml:space="preserve">the </w:t>
      </w:r>
      <w:r>
        <w:rPr>
          <w:rFonts w:ascii="Arial" w:hAnsi="Arial" w:cs="Arial"/>
        </w:rPr>
        <w:t>F</w:t>
      </w:r>
      <w:r w:rsidR="00AE6825">
        <w:rPr>
          <w:rFonts w:ascii="Arial" w:hAnsi="Arial" w:cs="Arial"/>
        </w:rPr>
        <w:t>RLI</w:t>
      </w:r>
      <w:r w:rsidR="00DD4E4E">
        <w:rPr>
          <w:rFonts w:ascii="Arial" w:hAnsi="Arial" w:cs="Arial"/>
        </w:rPr>
        <w:t>.</w:t>
      </w:r>
      <w:proofErr w:type="gramEnd"/>
    </w:p>
    <w:p w:rsidR="00132FC4" w:rsidRPr="00132FC4" w:rsidRDefault="00132FC4" w:rsidP="00A03FEA">
      <w:pPr>
        <w:pStyle w:val="ACMABodyText"/>
        <w:rPr>
          <w:rFonts w:ascii="Arial" w:hAnsi="Arial" w:cs="Arial"/>
          <w:b/>
        </w:rPr>
      </w:pPr>
      <w:r w:rsidRPr="00132FC4">
        <w:rPr>
          <w:rFonts w:ascii="Arial" w:hAnsi="Arial" w:cs="Arial"/>
          <w:b/>
        </w:rPr>
        <w:t>Clause 3 – Definitions</w:t>
      </w:r>
    </w:p>
    <w:p w:rsidR="00D34975" w:rsidRDefault="00132FC4" w:rsidP="00A03FEA">
      <w:pPr>
        <w:pStyle w:val="ACMABodyText"/>
        <w:rPr>
          <w:rFonts w:ascii="Arial" w:hAnsi="Arial" w:cs="Arial"/>
        </w:rPr>
      </w:pPr>
      <w:r>
        <w:rPr>
          <w:rFonts w:ascii="Arial" w:hAnsi="Arial" w:cs="Arial"/>
        </w:rPr>
        <w:t>This clause sets out a number of definitions used in the Guidelines</w:t>
      </w:r>
      <w:r w:rsidR="00D34975">
        <w:rPr>
          <w:rFonts w:ascii="Arial" w:hAnsi="Arial" w:cs="Arial"/>
        </w:rPr>
        <w:t>, being for the following terms:</w:t>
      </w:r>
    </w:p>
    <w:p w:rsidR="00D131D7" w:rsidRDefault="00D131D7" w:rsidP="00D131D7">
      <w:pPr>
        <w:pStyle w:val="ACMABodyText"/>
        <w:numPr>
          <w:ilvl w:val="0"/>
          <w:numId w:val="16"/>
        </w:numPr>
        <w:rPr>
          <w:rFonts w:ascii="Arial" w:hAnsi="Arial" w:cs="Arial"/>
        </w:rPr>
      </w:pPr>
      <w:r>
        <w:rPr>
          <w:rFonts w:ascii="Arial" w:hAnsi="Arial" w:cs="Arial"/>
        </w:rPr>
        <w:t>ACCC;</w:t>
      </w:r>
    </w:p>
    <w:p w:rsidR="00D131D7" w:rsidRDefault="00D131D7" w:rsidP="00D131D7">
      <w:pPr>
        <w:pStyle w:val="ACMABodyText"/>
        <w:numPr>
          <w:ilvl w:val="0"/>
          <w:numId w:val="16"/>
        </w:numPr>
        <w:rPr>
          <w:rFonts w:ascii="Arial" w:hAnsi="Arial" w:cs="Arial"/>
        </w:rPr>
      </w:pPr>
      <w:r>
        <w:rPr>
          <w:rFonts w:ascii="Arial" w:hAnsi="Arial" w:cs="Arial"/>
        </w:rPr>
        <w:t>ACMA;</w:t>
      </w:r>
    </w:p>
    <w:p w:rsidR="00D131D7" w:rsidRDefault="00D131D7" w:rsidP="00D131D7">
      <w:pPr>
        <w:pStyle w:val="ACMABodyText"/>
        <w:numPr>
          <w:ilvl w:val="0"/>
          <w:numId w:val="16"/>
        </w:numPr>
        <w:rPr>
          <w:rFonts w:ascii="Arial" w:hAnsi="Arial" w:cs="Arial"/>
        </w:rPr>
      </w:pPr>
      <w:r>
        <w:rPr>
          <w:rFonts w:ascii="Arial" w:hAnsi="Arial" w:cs="Arial"/>
        </w:rPr>
        <w:t>ACMA Act;</w:t>
      </w:r>
    </w:p>
    <w:p w:rsidR="00D131D7" w:rsidRDefault="00D131D7" w:rsidP="00D131D7">
      <w:pPr>
        <w:pStyle w:val="ACMABodyText"/>
        <w:numPr>
          <w:ilvl w:val="0"/>
          <w:numId w:val="16"/>
        </w:numPr>
        <w:rPr>
          <w:rFonts w:ascii="Arial" w:hAnsi="Arial" w:cs="Arial"/>
        </w:rPr>
      </w:pPr>
      <w:r>
        <w:rPr>
          <w:rFonts w:ascii="Arial" w:hAnsi="Arial" w:cs="Arial"/>
        </w:rPr>
        <w:t>BSA;</w:t>
      </w:r>
    </w:p>
    <w:p w:rsidR="00D131D7" w:rsidRDefault="00D131D7" w:rsidP="00D131D7">
      <w:pPr>
        <w:pStyle w:val="ACMABodyText"/>
        <w:numPr>
          <w:ilvl w:val="0"/>
          <w:numId w:val="16"/>
        </w:numPr>
        <w:rPr>
          <w:rFonts w:ascii="Arial" w:hAnsi="Arial" w:cs="Arial"/>
        </w:rPr>
      </w:pPr>
      <w:r>
        <w:rPr>
          <w:rFonts w:ascii="Arial" w:hAnsi="Arial" w:cs="Arial"/>
        </w:rPr>
        <w:t>BSA code; and</w:t>
      </w:r>
    </w:p>
    <w:p w:rsidR="00D131D7" w:rsidRDefault="00D131D7" w:rsidP="00D131D7">
      <w:pPr>
        <w:pStyle w:val="ACMABodyText"/>
        <w:numPr>
          <w:ilvl w:val="0"/>
          <w:numId w:val="16"/>
        </w:numPr>
        <w:rPr>
          <w:rFonts w:ascii="Arial" w:hAnsi="Arial" w:cs="Arial"/>
        </w:rPr>
      </w:pPr>
      <w:r>
        <w:rPr>
          <w:rFonts w:ascii="Arial" w:hAnsi="Arial" w:cs="Arial"/>
        </w:rPr>
        <w:t>CDPP</w:t>
      </w:r>
      <w:r w:rsidR="00FF082D">
        <w:rPr>
          <w:rFonts w:ascii="Arial" w:hAnsi="Arial" w:cs="Arial"/>
        </w:rPr>
        <w:t>.</w:t>
      </w:r>
    </w:p>
    <w:p w:rsidR="00132FC4" w:rsidRPr="00132FC4" w:rsidRDefault="00132FC4" w:rsidP="00A03FEA">
      <w:pPr>
        <w:pStyle w:val="ACMABodyText"/>
        <w:rPr>
          <w:rFonts w:ascii="Arial" w:hAnsi="Arial" w:cs="Arial"/>
          <w:b/>
        </w:rPr>
      </w:pPr>
      <w:r w:rsidRPr="00132FC4">
        <w:rPr>
          <w:rFonts w:ascii="Arial" w:hAnsi="Arial" w:cs="Arial"/>
          <w:b/>
        </w:rPr>
        <w:t xml:space="preserve">Clause 4 – Introduction </w:t>
      </w:r>
    </w:p>
    <w:p w:rsidR="00921AB8" w:rsidRDefault="00132FC4" w:rsidP="008F7DD2">
      <w:pPr>
        <w:pStyle w:val="ACMABodyText"/>
        <w:rPr>
          <w:rFonts w:ascii="Arial" w:hAnsi="Arial" w:cs="Arial"/>
        </w:rPr>
      </w:pPr>
      <w:r>
        <w:rPr>
          <w:rFonts w:ascii="Arial" w:hAnsi="Arial" w:cs="Arial"/>
        </w:rPr>
        <w:t>This section deals with a number of introductory matters</w:t>
      </w:r>
      <w:r w:rsidR="001B74D7">
        <w:rPr>
          <w:rFonts w:ascii="Arial" w:hAnsi="Arial" w:cs="Arial"/>
        </w:rPr>
        <w:t xml:space="preserve"> including </w:t>
      </w:r>
      <w:r>
        <w:rPr>
          <w:rFonts w:ascii="Arial" w:hAnsi="Arial" w:cs="Arial"/>
        </w:rPr>
        <w:t>the functions of the ACMA under the ACMA Act</w:t>
      </w:r>
      <w:r w:rsidR="001B74D7">
        <w:rPr>
          <w:rFonts w:ascii="Arial" w:hAnsi="Arial" w:cs="Arial"/>
        </w:rPr>
        <w:t xml:space="preserve"> and </w:t>
      </w:r>
      <w:r>
        <w:rPr>
          <w:rFonts w:ascii="Arial" w:hAnsi="Arial" w:cs="Arial"/>
        </w:rPr>
        <w:t xml:space="preserve">the ACMA’s regulatory role under the BSA.  </w:t>
      </w:r>
      <w:r w:rsidR="00921AB8">
        <w:rPr>
          <w:rFonts w:ascii="Arial" w:hAnsi="Arial" w:cs="Arial"/>
        </w:rPr>
        <w:t xml:space="preserve">Clause 4.3 notes that </w:t>
      </w:r>
      <w:r w:rsidR="00555DBE">
        <w:rPr>
          <w:rFonts w:ascii="Arial" w:hAnsi="Arial" w:cs="Arial"/>
        </w:rPr>
        <w:t xml:space="preserve">the Guidelines </w:t>
      </w:r>
      <w:r w:rsidR="00921AB8">
        <w:rPr>
          <w:rFonts w:ascii="Arial" w:hAnsi="Arial" w:cs="Arial"/>
        </w:rPr>
        <w:t xml:space="preserve">are made under subsection 215(4) of the BSA </w:t>
      </w:r>
      <w:r w:rsidR="00AE6825">
        <w:rPr>
          <w:rFonts w:ascii="Arial" w:hAnsi="Arial" w:cs="Arial"/>
        </w:rPr>
        <w:t xml:space="preserve">and that they replace the </w:t>
      </w:r>
      <w:r w:rsidR="00FF082D">
        <w:rPr>
          <w:rFonts w:ascii="Arial" w:hAnsi="Arial" w:cs="Arial"/>
        </w:rPr>
        <w:t>pr</w:t>
      </w:r>
      <w:r w:rsidR="00391219">
        <w:rPr>
          <w:rFonts w:ascii="Arial" w:hAnsi="Arial" w:cs="Arial"/>
        </w:rPr>
        <w:t>e</w:t>
      </w:r>
      <w:r w:rsidR="00FF082D">
        <w:rPr>
          <w:rFonts w:ascii="Arial" w:hAnsi="Arial" w:cs="Arial"/>
        </w:rPr>
        <w:t>vious</w:t>
      </w:r>
      <w:r w:rsidR="00AE6825">
        <w:rPr>
          <w:rFonts w:ascii="Arial" w:hAnsi="Arial" w:cs="Arial"/>
        </w:rPr>
        <w:t xml:space="preserve"> Guidelines</w:t>
      </w:r>
      <w:r w:rsidR="004C0BD1">
        <w:rPr>
          <w:rFonts w:ascii="Arial" w:hAnsi="Arial" w:cs="Arial"/>
        </w:rPr>
        <w:t xml:space="preserve"> made in 2007</w:t>
      </w:r>
      <w:r w:rsidR="00AE6825">
        <w:rPr>
          <w:rFonts w:ascii="Arial" w:hAnsi="Arial" w:cs="Arial"/>
        </w:rPr>
        <w:t>.</w:t>
      </w:r>
    </w:p>
    <w:p w:rsidR="00274F4F" w:rsidRDefault="00AE6825" w:rsidP="008F7DD2">
      <w:pPr>
        <w:pStyle w:val="ACMABodyText"/>
        <w:rPr>
          <w:rFonts w:ascii="Arial" w:hAnsi="Arial" w:cs="Arial"/>
        </w:rPr>
      </w:pPr>
      <w:r>
        <w:rPr>
          <w:rFonts w:ascii="Arial" w:hAnsi="Arial" w:cs="Arial"/>
        </w:rPr>
        <w:t xml:space="preserve">Clause 4.4 states that the Guidelines </w:t>
      </w:r>
      <w:r w:rsidR="00274F4F" w:rsidRPr="00274F4F">
        <w:rPr>
          <w:rFonts w:ascii="Arial" w:hAnsi="Arial" w:cs="Arial"/>
        </w:rPr>
        <w:t xml:space="preserve">highlight the discretionary factors which the ACMA generally considers in the exercise </w:t>
      </w:r>
      <w:r w:rsidR="00274F4F">
        <w:rPr>
          <w:rFonts w:ascii="Arial" w:hAnsi="Arial" w:cs="Arial"/>
        </w:rPr>
        <w:t>of its</w:t>
      </w:r>
      <w:r w:rsidR="00274F4F" w:rsidRPr="00274F4F">
        <w:rPr>
          <w:rFonts w:ascii="Arial" w:hAnsi="Arial" w:cs="Arial"/>
        </w:rPr>
        <w:t xml:space="preserve"> powers conferred </w:t>
      </w:r>
      <w:r w:rsidR="00274F4F">
        <w:rPr>
          <w:rFonts w:ascii="Arial" w:hAnsi="Arial" w:cs="Arial"/>
        </w:rPr>
        <w:t>under various provisions of the BSA</w:t>
      </w:r>
      <w:r w:rsidR="004C0BD1">
        <w:rPr>
          <w:rFonts w:ascii="Arial" w:hAnsi="Arial" w:cs="Arial"/>
        </w:rPr>
        <w:t>.  C</w:t>
      </w:r>
      <w:r w:rsidR="00274F4F">
        <w:rPr>
          <w:rFonts w:ascii="Arial" w:hAnsi="Arial" w:cs="Arial"/>
        </w:rPr>
        <w:t>lause 4.5 states that the Guidelines take into account section 3 (objects) and section 4 (regulatory policy) of the BSA.</w:t>
      </w:r>
    </w:p>
    <w:p w:rsidR="00C73AC2" w:rsidRDefault="00274F4F">
      <w:pPr>
        <w:pStyle w:val="ACMABodyText"/>
        <w:rPr>
          <w:rFonts w:ascii="Arial" w:hAnsi="Arial" w:cs="Arial"/>
        </w:rPr>
      </w:pPr>
      <w:r>
        <w:rPr>
          <w:rFonts w:ascii="Arial" w:hAnsi="Arial" w:cs="Arial"/>
        </w:rPr>
        <w:t>Clause 4.6 gives an overview of the ACMA’s role in regulating media diversity. C</w:t>
      </w:r>
      <w:r w:rsidR="00921AB8">
        <w:rPr>
          <w:rFonts w:ascii="Arial" w:hAnsi="Arial" w:cs="Arial"/>
        </w:rPr>
        <w:t xml:space="preserve">lause 4.7 states that </w:t>
      </w:r>
      <w:r w:rsidR="00921AB8" w:rsidRPr="00AE6825">
        <w:rPr>
          <w:rFonts w:ascii="Arial" w:hAnsi="Arial" w:cs="Arial"/>
        </w:rPr>
        <w:t>the ACMA retains the discretion to impose or seek remedies and sanctions which it considers appropriate in the light of the circumstances of each case.</w:t>
      </w:r>
    </w:p>
    <w:p w:rsidR="00C2166A" w:rsidRPr="00EF4C0A" w:rsidRDefault="00C2166A" w:rsidP="00A03FEA">
      <w:pPr>
        <w:pStyle w:val="ACMABodyText"/>
        <w:rPr>
          <w:rFonts w:ascii="Arial" w:hAnsi="Arial" w:cs="Arial"/>
          <w:b/>
        </w:rPr>
      </w:pPr>
      <w:r w:rsidRPr="00EF4C0A">
        <w:rPr>
          <w:rFonts w:ascii="Arial" w:hAnsi="Arial" w:cs="Arial"/>
          <w:b/>
        </w:rPr>
        <w:t>Clause 5 – Types of action available to the ACMA</w:t>
      </w:r>
    </w:p>
    <w:p w:rsidR="00C2166A" w:rsidRDefault="00555DBE" w:rsidP="00A03FEA">
      <w:pPr>
        <w:pStyle w:val="ACMABodyText"/>
        <w:rPr>
          <w:rFonts w:ascii="Arial" w:hAnsi="Arial" w:cs="Arial"/>
        </w:rPr>
      </w:pPr>
      <w:r>
        <w:rPr>
          <w:rFonts w:ascii="Arial" w:hAnsi="Arial" w:cs="Arial"/>
        </w:rPr>
        <w:t xml:space="preserve">Clause 5 </w:t>
      </w:r>
      <w:r w:rsidR="00092082">
        <w:rPr>
          <w:rFonts w:ascii="Arial" w:hAnsi="Arial" w:cs="Arial"/>
        </w:rPr>
        <w:t>refers to</w:t>
      </w:r>
      <w:r>
        <w:rPr>
          <w:rFonts w:ascii="Arial" w:hAnsi="Arial" w:cs="Arial"/>
        </w:rPr>
        <w:t xml:space="preserve"> the ACMA</w:t>
      </w:r>
      <w:r w:rsidR="00092082">
        <w:rPr>
          <w:rFonts w:ascii="Arial" w:hAnsi="Arial" w:cs="Arial"/>
        </w:rPr>
        <w:t>’s</w:t>
      </w:r>
      <w:r>
        <w:rPr>
          <w:rFonts w:ascii="Arial" w:hAnsi="Arial" w:cs="Arial"/>
        </w:rPr>
        <w:t xml:space="preserve"> </w:t>
      </w:r>
      <w:r w:rsidR="00BA1833">
        <w:rPr>
          <w:rFonts w:ascii="Arial" w:hAnsi="Arial" w:cs="Arial"/>
        </w:rPr>
        <w:t>diverse range of responsibilities.  Clause 5.2 sets out the three broad categories of action available to the ACMA</w:t>
      </w:r>
      <w:r w:rsidR="00092082">
        <w:rPr>
          <w:rFonts w:ascii="Arial" w:hAnsi="Arial" w:cs="Arial"/>
        </w:rPr>
        <w:t xml:space="preserve"> in responding to breaches of the BSA</w:t>
      </w:r>
      <w:r w:rsidR="00A94BD6">
        <w:rPr>
          <w:rFonts w:ascii="Arial" w:hAnsi="Arial" w:cs="Arial"/>
        </w:rPr>
        <w:t>,</w:t>
      </w:r>
      <w:r w:rsidR="008F7DD2">
        <w:rPr>
          <w:rFonts w:ascii="Arial" w:hAnsi="Arial" w:cs="Arial"/>
        </w:rPr>
        <w:t xml:space="preserve"> being</w:t>
      </w:r>
      <w:r w:rsidR="00BA1833">
        <w:rPr>
          <w:rFonts w:ascii="Arial" w:hAnsi="Arial" w:cs="Arial"/>
        </w:rPr>
        <w:t xml:space="preserve">: administrative action, civil action and referral </w:t>
      </w:r>
      <w:r w:rsidR="00346715">
        <w:rPr>
          <w:rFonts w:ascii="Arial" w:hAnsi="Arial" w:cs="Arial"/>
        </w:rPr>
        <w:t xml:space="preserve">to </w:t>
      </w:r>
      <w:r w:rsidR="00893504">
        <w:rPr>
          <w:rFonts w:ascii="Arial" w:hAnsi="Arial" w:cs="Arial"/>
        </w:rPr>
        <w:t xml:space="preserve">the </w:t>
      </w:r>
      <w:r w:rsidR="00346715">
        <w:rPr>
          <w:rFonts w:ascii="Arial" w:hAnsi="Arial" w:cs="Arial"/>
        </w:rPr>
        <w:t xml:space="preserve">CDPP </w:t>
      </w:r>
      <w:r w:rsidR="00BA1833">
        <w:rPr>
          <w:rFonts w:ascii="Arial" w:hAnsi="Arial" w:cs="Arial"/>
        </w:rPr>
        <w:t>for prosecution for an offence.</w:t>
      </w:r>
      <w:r w:rsidR="00A148EF">
        <w:rPr>
          <w:rFonts w:ascii="Arial" w:hAnsi="Arial" w:cs="Arial"/>
        </w:rPr>
        <w:t xml:space="preserve">  Clause 5.3 states that not all of the enforcement powers available to the ACMA are able to be used for every contravention of the BSA.  Clause 5.4 describes the circumstances in which the ACMA may consider informal voluntary undertakings as an alternative to formal enforcement action.</w:t>
      </w:r>
    </w:p>
    <w:p w:rsidR="00C2166A" w:rsidRPr="00EF4C0A" w:rsidRDefault="00C2166A" w:rsidP="00A03FEA">
      <w:pPr>
        <w:pStyle w:val="ACMABodyText"/>
        <w:rPr>
          <w:rFonts w:ascii="Arial" w:hAnsi="Arial" w:cs="Arial"/>
          <w:b/>
        </w:rPr>
      </w:pPr>
      <w:r w:rsidRPr="00EF4C0A">
        <w:rPr>
          <w:rFonts w:ascii="Arial" w:hAnsi="Arial" w:cs="Arial"/>
          <w:b/>
        </w:rPr>
        <w:t>Clause 6 – Exercising enforcement powers</w:t>
      </w:r>
    </w:p>
    <w:p w:rsidR="00C73AC2" w:rsidRDefault="00E96D65">
      <w:pPr>
        <w:pStyle w:val="ACMABodyText"/>
        <w:rPr>
          <w:rFonts w:ascii="Arial" w:hAnsi="Arial" w:cs="Arial"/>
        </w:rPr>
      </w:pPr>
      <w:r>
        <w:rPr>
          <w:rFonts w:ascii="Arial" w:hAnsi="Arial" w:cs="Arial"/>
        </w:rPr>
        <w:t>Clause 6</w:t>
      </w:r>
      <w:r w:rsidR="00274F4F">
        <w:rPr>
          <w:rFonts w:ascii="Arial" w:hAnsi="Arial" w:cs="Arial"/>
        </w:rPr>
        <w:t xml:space="preserve"> refers to the</w:t>
      </w:r>
      <w:r>
        <w:rPr>
          <w:rFonts w:ascii="Arial" w:hAnsi="Arial" w:cs="Arial"/>
        </w:rPr>
        <w:t xml:space="preserve"> </w:t>
      </w:r>
      <w:r w:rsidRPr="00E96D65">
        <w:rPr>
          <w:rFonts w:ascii="Arial" w:hAnsi="Arial" w:cs="Arial"/>
        </w:rPr>
        <w:t xml:space="preserve">co-regulatory arrangements </w:t>
      </w:r>
      <w:r w:rsidR="00274F4F">
        <w:rPr>
          <w:rFonts w:ascii="Arial" w:hAnsi="Arial" w:cs="Arial"/>
        </w:rPr>
        <w:t xml:space="preserve">which </w:t>
      </w:r>
      <w:r w:rsidRPr="00E96D65">
        <w:rPr>
          <w:rFonts w:ascii="Arial" w:hAnsi="Arial" w:cs="Arial"/>
        </w:rPr>
        <w:t xml:space="preserve">apply to some industry sectors regulated by </w:t>
      </w:r>
      <w:r w:rsidRPr="0076635B">
        <w:rPr>
          <w:rFonts w:ascii="Arial" w:hAnsi="Arial" w:cs="Arial"/>
        </w:rPr>
        <w:t xml:space="preserve">the BSA and </w:t>
      </w:r>
      <w:r w:rsidR="00274F4F">
        <w:rPr>
          <w:rFonts w:ascii="Arial" w:hAnsi="Arial" w:cs="Arial"/>
        </w:rPr>
        <w:t>states that the</w:t>
      </w:r>
      <w:r w:rsidRPr="0076635B">
        <w:rPr>
          <w:rFonts w:ascii="Arial" w:hAnsi="Arial" w:cs="Arial"/>
        </w:rPr>
        <w:t xml:space="preserve"> </w:t>
      </w:r>
      <w:r w:rsidR="00274F4F">
        <w:rPr>
          <w:rFonts w:ascii="Arial" w:hAnsi="Arial" w:cs="Arial"/>
        </w:rPr>
        <w:t>G</w:t>
      </w:r>
      <w:r w:rsidRPr="0076635B">
        <w:rPr>
          <w:rFonts w:ascii="Arial" w:hAnsi="Arial" w:cs="Arial"/>
        </w:rPr>
        <w:t>uidelines operate in that context</w:t>
      </w:r>
      <w:r w:rsidR="0076635B" w:rsidRPr="0076635B">
        <w:rPr>
          <w:rFonts w:ascii="Arial" w:hAnsi="Arial" w:cs="Arial"/>
        </w:rPr>
        <w:t xml:space="preserve">.  </w:t>
      </w:r>
      <w:r w:rsidR="00274F4F">
        <w:rPr>
          <w:rFonts w:ascii="Arial" w:hAnsi="Arial" w:cs="Arial"/>
        </w:rPr>
        <w:t xml:space="preserve">Clause 6.2 </w:t>
      </w:r>
      <w:r w:rsidR="00612A41">
        <w:rPr>
          <w:rFonts w:ascii="Arial" w:hAnsi="Arial" w:cs="Arial"/>
        </w:rPr>
        <w:t>reiterates t</w:t>
      </w:r>
      <w:r w:rsidR="0076635B" w:rsidRPr="0076635B">
        <w:rPr>
          <w:rFonts w:ascii="Arial" w:hAnsi="Arial" w:cs="Arial"/>
        </w:rPr>
        <w:t>he ACMA</w:t>
      </w:r>
      <w:r w:rsidR="00612A41">
        <w:rPr>
          <w:rFonts w:ascii="Arial" w:hAnsi="Arial" w:cs="Arial"/>
        </w:rPr>
        <w:t xml:space="preserve">’s commitment to engaging with the regulated community to achieve, as far as possible, voluntary compliance.  Clause 6.3 states that the </w:t>
      </w:r>
      <w:r w:rsidR="0076635B" w:rsidRPr="0076635B">
        <w:rPr>
          <w:rFonts w:ascii="Arial" w:hAnsi="Arial" w:cs="Arial"/>
        </w:rPr>
        <w:t>ACMA adopts a graduated and strategic risk-based approach to compliance and enforcement</w:t>
      </w:r>
      <w:r w:rsidR="00612A41">
        <w:rPr>
          <w:rFonts w:ascii="Arial" w:hAnsi="Arial" w:cs="Arial"/>
        </w:rPr>
        <w:t xml:space="preserve"> and notes that decisions by the ACMA will always be made in light of the facts of the case and in accordance with the relevant objects and policy</w:t>
      </w:r>
      <w:r w:rsidR="00FF082D">
        <w:rPr>
          <w:rFonts w:ascii="Arial" w:hAnsi="Arial" w:cs="Arial"/>
        </w:rPr>
        <w:t xml:space="preserve"> of the BSA</w:t>
      </w:r>
      <w:r w:rsidR="00612A41">
        <w:rPr>
          <w:rFonts w:ascii="Arial" w:hAnsi="Arial" w:cs="Arial"/>
        </w:rPr>
        <w:t>.</w:t>
      </w:r>
    </w:p>
    <w:p w:rsidR="00C73AC2" w:rsidRDefault="0076635B">
      <w:pPr>
        <w:pStyle w:val="ACMABodyText"/>
        <w:rPr>
          <w:rFonts w:ascii="Arial" w:hAnsi="Arial" w:cs="Arial"/>
        </w:rPr>
      </w:pPr>
      <w:r w:rsidRPr="0076635B">
        <w:rPr>
          <w:rFonts w:ascii="Arial" w:hAnsi="Arial" w:cs="Arial"/>
        </w:rPr>
        <w:t xml:space="preserve">Clause 6.4 sets out </w:t>
      </w:r>
      <w:r w:rsidR="00612A41">
        <w:rPr>
          <w:rFonts w:ascii="Arial" w:hAnsi="Arial" w:cs="Arial"/>
        </w:rPr>
        <w:t xml:space="preserve">the ACMA’s broad approach to compliance and enforcement, being </w:t>
      </w:r>
      <w:r w:rsidR="00612A41" w:rsidRPr="0076635B">
        <w:rPr>
          <w:rFonts w:ascii="Arial" w:hAnsi="Arial" w:cs="Arial"/>
        </w:rPr>
        <w:t>to take action that is commensurate with the seriousness of the conduct</w:t>
      </w:r>
      <w:r w:rsidR="00612A41">
        <w:rPr>
          <w:rFonts w:ascii="Arial" w:hAnsi="Arial" w:cs="Arial"/>
        </w:rPr>
        <w:t xml:space="preserve">. </w:t>
      </w:r>
      <w:r w:rsidR="00612A41" w:rsidRPr="0076635B">
        <w:rPr>
          <w:rFonts w:ascii="Arial" w:hAnsi="Arial" w:cs="Arial"/>
        </w:rPr>
        <w:t xml:space="preserve"> </w:t>
      </w:r>
      <w:r w:rsidR="00612A41">
        <w:rPr>
          <w:rFonts w:ascii="Arial" w:hAnsi="Arial" w:cs="Arial"/>
        </w:rPr>
        <w:t>This clause also sets out the factors</w:t>
      </w:r>
      <w:r w:rsidRPr="0076635B">
        <w:rPr>
          <w:rFonts w:ascii="Arial" w:hAnsi="Arial" w:cs="Arial"/>
        </w:rPr>
        <w:t xml:space="preserve"> which the ACMA will take into account in determining the appropriate enforcement response.</w:t>
      </w:r>
    </w:p>
    <w:p w:rsidR="00C73AC2" w:rsidRDefault="00612A41">
      <w:pPr>
        <w:pStyle w:val="ACMABodyText"/>
        <w:rPr>
          <w:rFonts w:ascii="Arial" w:hAnsi="Arial" w:cs="Arial"/>
        </w:rPr>
      </w:pPr>
      <w:r>
        <w:rPr>
          <w:rFonts w:ascii="Arial" w:hAnsi="Arial" w:cs="Arial"/>
        </w:rPr>
        <w:t>Clause 6.5 states the ACMA’s commitment to m</w:t>
      </w:r>
      <w:r w:rsidR="00C1353E">
        <w:rPr>
          <w:rFonts w:ascii="Arial" w:hAnsi="Arial" w:cs="Arial"/>
        </w:rPr>
        <w:t>aking enforcement decisions that are not influence</w:t>
      </w:r>
      <w:r w:rsidR="00A94BD6">
        <w:rPr>
          <w:rFonts w:ascii="Arial" w:hAnsi="Arial" w:cs="Arial"/>
        </w:rPr>
        <w:t>d</w:t>
      </w:r>
      <w:r w:rsidR="00C1353E">
        <w:rPr>
          <w:rFonts w:ascii="Arial" w:hAnsi="Arial" w:cs="Arial"/>
        </w:rPr>
        <w:t xml:space="preserve"> by bias, conflicts of interest or irrelevant considerations.</w:t>
      </w:r>
    </w:p>
    <w:p w:rsidR="00C73AC2" w:rsidRDefault="0076635B">
      <w:pPr>
        <w:pStyle w:val="ACMABodyText"/>
        <w:rPr>
          <w:rFonts w:ascii="Arial" w:hAnsi="Arial" w:cs="Arial"/>
        </w:rPr>
      </w:pPr>
      <w:r w:rsidRPr="0076635B">
        <w:rPr>
          <w:rFonts w:ascii="Arial" w:hAnsi="Arial" w:cs="Arial"/>
        </w:rPr>
        <w:t xml:space="preserve">Clause 6.6 </w:t>
      </w:r>
      <w:r w:rsidR="00612A41">
        <w:rPr>
          <w:rFonts w:ascii="Arial" w:hAnsi="Arial" w:cs="Arial"/>
        </w:rPr>
        <w:t>notes that t</w:t>
      </w:r>
      <w:r w:rsidRPr="0076635B">
        <w:rPr>
          <w:rFonts w:ascii="Arial" w:hAnsi="Arial" w:cs="Arial"/>
        </w:rPr>
        <w:t>he action which the ACMA may take to address and redress non-compliance may involve recourse to more than one enforcement option</w:t>
      </w:r>
      <w:r w:rsidR="00612A41">
        <w:rPr>
          <w:rFonts w:ascii="Arial" w:hAnsi="Arial" w:cs="Arial"/>
        </w:rPr>
        <w:t xml:space="preserve"> in appropriate circumstances.</w:t>
      </w:r>
      <w:r w:rsidR="00C1353E">
        <w:rPr>
          <w:rFonts w:ascii="Arial" w:hAnsi="Arial" w:cs="Arial"/>
        </w:rPr>
        <w:t xml:space="preserve"> </w:t>
      </w:r>
    </w:p>
    <w:p w:rsidR="00C2166A" w:rsidRPr="00EF4C0A" w:rsidRDefault="00694102" w:rsidP="00A03FEA">
      <w:pPr>
        <w:pStyle w:val="ACMABodyText"/>
        <w:rPr>
          <w:rFonts w:ascii="Arial" w:hAnsi="Arial" w:cs="Arial"/>
          <w:b/>
        </w:rPr>
      </w:pPr>
      <w:r>
        <w:rPr>
          <w:rFonts w:ascii="Arial" w:hAnsi="Arial" w:cs="Arial"/>
          <w:b/>
        </w:rPr>
        <w:t xml:space="preserve">Clauses 7 to </w:t>
      </w:r>
      <w:r w:rsidR="00C2166A" w:rsidRPr="00EF4C0A">
        <w:rPr>
          <w:rFonts w:ascii="Arial" w:hAnsi="Arial" w:cs="Arial"/>
          <w:b/>
        </w:rPr>
        <w:t>10 – Administrative action</w:t>
      </w:r>
    </w:p>
    <w:p w:rsidR="0076635B" w:rsidRPr="0076635B" w:rsidRDefault="0076635B" w:rsidP="0076635B">
      <w:pPr>
        <w:pStyle w:val="ACMABodyText"/>
        <w:rPr>
          <w:rFonts w:ascii="Arial" w:hAnsi="Arial" w:cs="Arial"/>
          <w:u w:val="single"/>
        </w:rPr>
      </w:pPr>
      <w:r w:rsidRPr="0076635B">
        <w:rPr>
          <w:rFonts w:ascii="Arial" w:hAnsi="Arial" w:cs="Arial"/>
          <w:u w:val="single"/>
        </w:rPr>
        <w:t>Suspension or cancellation of a licence</w:t>
      </w:r>
    </w:p>
    <w:p w:rsidR="00C2166A" w:rsidRPr="0076635B" w:rsidRDefault="00C2166A" w:rsidP="0076635B">
      <w:pPr>
        <w:pStyle w:val="ACMABodyText"/>
        <w:rPr>
          <w:rFonts w:ascii="Arial" w:hAnsi="Arial" w:cs="Arial"/>
        </w:rPr>
      </w:pPr>
      <w:r>
        <w:rPr>
          <w:rFonts w:ascii="Arial" w:hAnsi="Arial" w:cs="Arial"/>
        </w:rPr>
        <w:t>Clause 7 sets out the circumstances in which the ACMA may consider it appropriate to take action to suspend or cancel a licence issued under the BSA and the circumstances in which the ACMA will publicise such action.</w:t>
      </w:r>
      <w:r w:rsidR="0076635B">
        <w:rPr>
          <w:rFonts w:ascii="Arial" w:hAnsi="Arial" w:cs="Arial"/>
        </w:rPr>
        <w:t xml:space="preserve">  The ACMA may also be directed by </w:t>
      </w:r>
      <w:r w:rsidR="0076635B" w:rsidRPr="0076635B">
        <w:rPr>
          <w:rFonts w:ascii="Arial" w:hAnsi="Arial" w:cs="Arial"/>
          <w:szCs w:val="24"/>
        </w:rPr>
        <w:t>the Minister for Foreign Affairs to take specified action concerning international broadcasting licensees</w:t>
      </w:r>
      <w:r w:rsidR="0076635B">
        <w:rPr>
          <w:rFonts w:ascii="Arial" w:hAnsi="Arial" w:cs="Arial"/>
          <w:szCs w:val="24"/>
        </w:rPr>
        <w:t>.  Clause 7.4 explains the ACMA’s approach to publication when it decides to suspend or cancel a licence.</w:t>
      </w:r>
    </w:p>
    <w:p w:rsidR="0076635B" w:rsidRPr="00FE0590" w:rsidRDefault="0076635B" w:rsidP="0076635B">
      <w:pPr>
        <w:pStyle w:val="ACMABodyText"/>
        <w:rPr>
          <w:rFonts w:ascii="Arial" w:hAnsi="Arial" w:cs="Arial"/>
          <w:u w:val="single"/>
        </w:rPr>
      </w:pPr>
      <w:r w:rsidRPr="00FE0590">
        <w:rPr>
          <w:rFonts w:ascii="Arial" w:hAnsi="Arial" w:cs="Arial"/>
          <w:u w:val="single"/>
        </w:rPr>
        <w:t>Remedial direction</w:t>
      </w:r>
      <w:r w:rsidR="00C73AC2">
        <w:rPr>
          <w:rFonts w:ascii="Arial" w:hAnsi="Arial" w:cs="Arial"/>
          <w:u w:val="single"/>
        </w:rPr>
        <w:t>s</w:t>
      </w:r>
    </w:p>
    <w:p w:rsidR="00B32E5C" w:rsidRDefault="00C2166A" w:rsidP="0076635B">
      <w:pPr>
        <w:pStyle w:val="ACMABodyText"/>
        <w:rPr>
          <w:rFonts w:ascii="Arial" w:hAnsi="Arial" w:cs="Arial"/>
          <w:szCs w:val="24"/>
        </w:rPr>
      </w:pPr>
      <w:r>
        <w:rPr>
          <w:rFonts w:ascii="Arial" w:hAnsi="Arial" w:cs="Arial"/>
        </w:rPr>
        <w:t xml:space="preserve">Clause 8 sets out when the ACMA may consider the issue of a </w:t>
      </w:r>
      <w:r w:rsidR="00F30FA4">
        <w:rPr>
          <w:rFonts w:ascii="Arial" w:hAnsi="Arial" w:cs="Arial"/>
        </w:rPr>
        <w:t xml:space="preserve">remedial </w:t>
      </w:r>
      <w:r w:rsidR="00C1353E">
        <w:rPr>
          <w:rFonts w:ascii="Arial" w:hAnsi="Arial" w:cs="Arial"/>
        </w:rPr>
        <w:t>d</w:t>
      </w:r>
      <w:r w:rsidR="0076635B">
        <w:rPr>
          <w:rFonts w:ascii="Arial" w:hAnsi="Arial" w:cs="Arial"/>
        </w:rPr>
        <w:t>irection</w:t>
      </w:r>
      <w:r>
        <w:rPr>
          <w:rFonts w:ascii="Arial" w:hAnsi="Arial" w:cs="Arial"/>
        </w:rPr>
        <w:t xml:space="preserve"> an appropriate </w:t>
      </w:r>
      <w:r w:rsidR="0076635B">
        <w:rPr>
          <w:rFonts w:ascii="Arial" w:hAnsi="Arial" w:cs="Arial"/>
        </w:rPr>
        <w:t>enforcement outcome</w:t>
      </w:r>
      <w:r w:rsidR="00C1353E">
        <w:rPr>
          <w:rFonts w:ascii="Arial" w:hAnsi="Arial" w:cs="Arial"/>
        </w:rPr>
        <w:t xml:space="preserve">, either to </w:t>
      </w:r>
      <w:r w:rsidR="00C1353E" w:rsidRPr="00C1353E">
        <w:rPr>
          <w:rFonts w:ascii="Arial" w:hAnsi="Arial" w:cs="Arial"/>
          <w:szCs w:val="24"/>
        </w:rPr>
        <w:t xml:space="preserve">address all or merely </w:t>
      </w:r>
      <w:r w:rsidR="00C1353E">
        <w:rPr>
          <w:rFonts w:ascii="Arial" w:hAnsi="Arial" w:cs="Arial"/>
          <w:szCs w:val="24"/>
        </w:rPr>
        <w:t xml:space="preserve">some </w:t>
      </w:r>
      <w:r w:rsidR="00C1353E" w:rsidRPr="00C1353E">
        <w:rPr>
          <w:rFonts w:ascii="Arial" w:hAnsi="Arial" w:cs="Arial"/>
          <w:szCs w:val="24"/>
        </w:rPr>
        <w:t>aspects of the conduct</w:t>
      </w:r>
      <w:r w:rsidR="00916053">
        <w:rPr>
          <w:rFonts w:ascii="Arial" w:hAnsi="Arial" w:cs="Arial"/>
          <w:szCs w:val="24"/>
        </w:rPr>
        <w:t>,</w:t>
      </w:r>
      <w:r w:rsidR="00C1353E" w:rsidRPr="00C1353E">
        <w:rPr>
          <w:rFonts w:ascii="Arial" w:hAnsi="Arial" w:cs="Arial"/>
          <w:szCs w:val="24"/>
        </w:rPr>
        <w:t xml:space="preserve"> or issues of concern to the ACMA</w:t>
      </w:r>
      <w:r w:rsidR="000C50A2">
        <w:rPr>
          <w:rFonts w:ascii="Arial" w:hAnsi="Arial" w:cs="Arial"/>
          <w:szCs w:val="24"/>
        </w:rPr>
        <w:t xml:space="preserve">. </w:t>
      </w:r>
      <w:r w:rsidR="00C1353E">
        <w:rPr>
          <w:rFonts w:ascii="Arial" w:hAnsi="Arial" w:cs="Arial"/>
          <w:szCs w:val="24"/>
        </w:rPr>
        <w:t xml:space="preserve"> </w:t>
      </w:r>
      <w:r w:rsidR="0002664E">
        <w:rPr>
          <w:rFonts w:ascii="Arial" w:hAnsi="Arial" w:cs="Arial"/>
          <w:szCs w:val="24"/>
        </w:rPr>
        <w:t xml:space="preserve">Clause 8.2 cross-refers to clause 6 for the factors </w:t>
      </w:r>
      <w:r w:rsidR="00C1353E">
        <w:rPr>
          <w:rFonts w:ascii="Arial" w:hAnsi="Arial" w:cs="Arial"/>
          <w:szCs w:val="24"/>
        </w:rPr>
        <w:t>which the ACMA may consider</w:t>
      </w:r>
      <w:r w:rsidR="0002664E">
        <w:rPr>
          <w:rFonts w:ascii="Arial" w:hAnsi="Arial" w:cs="Arial"/>
          <w:szCs w:val="24"/>
        </w:rPr>
        <w:t xml:space="preserve"> </w:t>
      </w:r>
      <w:r w:rsidR="0002664E" w:rsidRPr="0002664E">
        <w:rPr>
          <w:rFonts w:ascii="Arial" w:hAnsi="Arial" w:cs="Arial"/>
          <w:snapToGrid/>
          <w:color w:val="000000"/>
          <w:szCs w:val="24"/>
          <w:lang w:eastAsia="en-AU"/>
        </w:rPr>
        <w:t>in determining</w:t>
      </w:r>
      <w:r w:rsidR="0002664E" w:rsidRPr="0002664E">
        <w:rPr>
          <w:rFonts w:ascii="Arial" w:hAnsi="Arial" w:cs="Arial"/>
          <w:szCs w:val="24"/>
        </w:rPr>
        <w:t xml:space="preserve"> whether a remedial direction should be issued</w:t>
      </w:r>
      <w:r w:rsidR="00E20FE0">
        <w:rPr>
          <w:rFonts w:ascii="Arial" w:hAnsi="Arial" w:cs="Arial"/>
          <w:szCs w:val="24"/>
        </w:rPr>
        <w:t xml:space="preserve">.  Clause 8.3 states that the </w:t>
      </w:r>
      <w:r w:rsidR="00FF082D">
        <w:rPr>
          <w:rFonts w:ascii="Arial" w:hAnsi="Arial" w:cs="Arial"/>
          <w:szCs w:val="24"/>
        </w:rPr>
        <w:t xml:space="preserve">required </w:t>
      </w:r>
      <w:r w:rsidR="00E20FE0">
        <w:rPr>
          <w:rFonts w:ascii="Arial" w:hAnsi="Arial" w:cs="Arial"/>
          <w:szCs w:val="24"/>
        </w:rPr>
        <w:t xml:space="preserve">action that the ACMA may specify in a remedial direction will turn on the facts of the particular matter.  Clause 8.4 sets out the principles underlying the action that may be specified by the ACMA.  </w:t>
      </w:r>
      <w:r w:rsidR="00B32E5C">
        <w:rPr>
          <w:rFonts w:ascii="Arial" w:hAnsi="Arial" w:cs="Arial"/>
          <w:szCs w:val="24"/>
        </w:rPr>
        <w:t xml:space="preserve">Clauses 8.5 to 8.6 deal with the time for compliance with a remedial direction and the circumstances applying to an application for an extension of time in which to comply with a remedial direction.  Clause 8.9 states that in the event of breach of a remedial direction, the ACMA may commence proceedings in the Federal Court.  Breach of a remedial direction may also be a criminal offence.  </w:t>
      </w:r>
      <w:proofErr w:type="gramStart"/>
      <w:r w:rsidR="00B32E5C">
        <w:rPr>
          <w:rFonts w:ascii="Arial" w:hAnsi="Arial" w:cs="Arial"/>
          <w:szCs w:val="24"/>
        </w:rPr>
        <w:t>Clauses 8.10 and 8.11 deal with publishing the giving of a remedial direction.</w:t>
      </w:r>
      <w:proofErr w:type="gramEnd"/>
      <w:r w:rsidR="00B32E5C">
        <w:rPr>
          <w:rFonts w:ascii="Arial" w:hAnsi="Arial" w:cs="Arial"/>
          <w:szCs w:val="24"/>
        </w:rPr>
        <w:t xml:space="preserve">  Generally, the ACMA will </w:t>
      </w:r>
      <w:r w:rsidR="00B32E5C" w:rsidRPr="00B32E5C">
        <w:rPr>
          <w:rFonts w:ascii="Arial" w:hAnsi="Arial" w:cs="Arial"/>
          <w:szCs w:val="24"/>
        </w:rPr>
        <w:t>publicise the giving of a remedial direction</w:t>
      </w:r>
      <w:r w:rsidR="00B32E5C">
        <w:rPr>
          <w:rFonts w:ascii="Arial" w:hAnsi="Arial" w:cs="Arial"/>
          <w:szCs w:val="24"/>
        </w:rPr>
        <w:t xml:space="preserve">, although, in reaching its view, the ACMA will consider a range of factors (clause 8.11). </w:t>
      </w:r>
    </w:p>
    <w:p w:rsidR="0076635B" w:rsidRPr="0076635B" w:rsidRDefault="0076635B" w:rsidP="0076635B">
      <w:pPr>
        <w:pStyle w:val="ACMABodyText"/>
        <w:rPr>
          <w:rFonts w:ascii="Arial" w:hAnsi="Arial" w:cs="Arial"/>
          <w:u w:val="single"/>
        </w:rPr>
      </w:pPr>
      <w:r w:rsidRPr="0076635B">
        <w:rPr>
          <w:rFonts w:ascii="Arial" w:hAnsi="Arial" w:cs="Arial"/>
          <w:u w:val="single"/>
        </w:rPr>
        <w:t>Enforceable undertakings</w:t>
      </w:r>
    </w:p>
    <w:p w:rsidR="00C2166A" w:rsidRPr="00327082" w:rsidRDefault="00C2166A" w:rsidP="0076635B">
      <w:pPr>
        <w:pStyle w:val="ACMABodyText"/>
        <w:rPr>
          <w:rFonts w:ascii="Arial" w:hAnsi="Arial" w:cs="Arial"/>
        </w:rPr>
      </w:pPr>
      <w:r>
        <w:rPr>
          <w:rFonts w:ascii="Arial" w:hAnsi="Arial" w:cs="Arial"/>
        </w:rPr>
        <w:t xml:space="preserve">Clause 9 deals with </w:t>
      </w:r>
      <w:r w:rsidR="00F30FA4">
        <w:rPr>
          <w:rFonts w:ascii="Arial" w:hAnsi="Arial" w:cs="Arial"/>
        </w:rPr>
        <w:t>e</w:t>
      </w:r>
      <w:r>
        <w:rPr>
          <w:rFonts w:ascii="Arial" w:hAnsi="Arial" w:cs="Arial"/>
        </w:rPr>
        <w:t>nforceable undertakings</w:t>
      </w:r>
      <w:r w:rsidR="004C0BD1">
        <w:rPr>
          <w:rFonts w:ascii="Arial" w:hAnsi="Arial" w:cs="Arial"/>
        </w:rPr>
        <w:t xml:space="preserve"> under section 205W of the BSA.   Clauses 9.1 to 9.7 set out the formal requirements for an undertaking under the BSA.  Clause 9.8 states </w:t>
      </w:r>
      <w:r w:rsidR="004C0BD1" w:rsidRPr="004C0BD1">
        <w:rPr>
          <w:rFonts w:ascii="Arial" w:hAnsi="Arial" w:cs="Arial"/>
        </w:rPr>
        <w:t xml:space="preserve">that </w:t>
      </w:r>
      <w:r w:rsidR="00FF082D">
        <w:rPr>
          <w:rFonts w:ascii="Arial" w:hAnsi="Arial" w:cs="Arial"/>
        </w:rPr>
        <w:t xml:space="preserve">there </w:t>
      </w:r>
      <w:r w:rsidR="004C0BD1" w:rsidRPr="004C0BD1">
        <w:rPr>
          <w:rFonts w:ascii="Arial" w:hAnsi="Arial" w:cs="Arial"/>
          <w:szCs w:val="24"/>
        </w:rPr>
        <w:t xml:space="preserve">is a range of factors which the ACMA may consider in determining whether an enforceable undertaking should be accepted </w:t>
      </w:r>
      <w:r w:rsidR="004C0BD1">
        <w:rPr>
          <w:rFonts w:ascii="Arial" w:hAnsi="Arial" w:cs="Arial"/>
          <w:szCs w:val="24"/>
        </w:rPr>
        <w:t>and cross refers to the factors set out at clause 6</w:t>
      </w:r>
      <w:r w:rsidR="004C0BD1" w:rsidRPr="004C0BD1">
        <w:rPr>
          <w:rFonts w:ascii="Arial" w:hAnsi="Arial" w:cs="Arial"/>
          <w:szCs w:val="24"/>
        </w:rPr>
        <w:t>.</w:t>
      </w:r>
      <w:r w:rsidR="004C0BD1">
        <w:rPr>
          <w:rFonts w:ascii="Arial" w:hAnsi="Arial" w:cs="Arial"/>
          <w:szCs w:val="24"/>
        </w:rPr>
        <w:t xml:space="preserve">  Clauses 9.9 to 9.11 discuss the terms of an undertaking.  Clauses 9.12 to 9.15 </w:t>
      </w:r>
      <w:r w:rsidR="00327082">
        <w:rPr>
          <w:rFonts w:ascii="Arial" w:hAnsi="Arial" w:cs="Arial"/>
          <w:szCs w:val="24"/>
        </w:rPr>
        <w:t xml:space="preserve">discuss the process of offering the ACMA an undertaking.  Clauses 9.16 to 9.17 state the ACMA’s approach to publishing enforceable undertakings and note that </w:t>
      </w:r>
      <w:r w:rsidR="00327082">
        <w:rPr>
          <w:rStyle w:val="DefaultChar"/>
          <w:rFonts w:ascii="Arial" w:hAnsi="Arial" w:cs="Arial"/>
        </w:rPr>
        <w:t xml:space="preserve">it is </w:t>
      </w:r>
      <w:r w:rsidR="00327082" w:rsidRPr="00327082">
        <w:rPr>
          <w:rStyle w:val="DefaultChar"/>
          <w:rFonts w:ascii="Arial" w:hAnsi="Arial" w:cs="Arial"/>
        </w:rPr>
        <w:t>the ACMA’s practice to publish all enforceable undertakings on its website</w:t>
      </w:r>
      <w:r w:rsidR="00327082">
        <w:rPr>
          <w:rStyle w:val="DefaultChar"/>
          <w:rFonts w:ascii="Arial" w:hAnsi="Arial" w:cs="Arial"/>
        </w:rPr>
        <w:t>.</w:t>
      </w:r>
      <w:r w:rsidR="00327082" w:rsidRPr="00327082">
        <w:rPr>
          <w:rFonts w:ascii="Arial" w:hAnsi="Arial" w:cs="Arial"/>
          <w:szCs w:val="24"/>
        </w:rPr>
        <w:t xml:space="preserve"> </w:t>
      </w:r>
    </w:p>
    <w:p w:rsidR="0076635B" w:rsidRPr="0076635B" w:rsidRDefault="0076635B" w:rsidP="0076635B">
      <w:pPr>
        <w:pStyle w:val="ACMABodyText"/>
        <w:rPr>
          <w:rFonts w:ascii="Arial" w:hAnsi="Arial" w:cs="Arial"/>
          <w:u w:val="single"/>
        </w:rPr>
      </w:pPr>
      <w:r w:rsidRPr="0076635B">
        <w:rPr>
          <w:rFonts w:ascii="Arial" w:hAnsi="Arial" w:cs="Arial"/>
          <w:u w:val="single"/>
        </w:rPr>
        <w:t>Infringement notices</w:t>
      </w:r>
    </w:p>
    <w:p w:rsidR="00327082" w:rsidRPr="00327082" w:rsidRDefault="00C2166A" w:rsidP="0076635B">
      <w:pPr>
        <w:pStyle w:val="ACMABodyText"/>
        <w:rPr>
          <w:rFonts w:ascii="Arial" w:hAnsi="Arial" w:cs="Arial"/>
        </w:rPr>
      </w:pPr>
      <w:r>
        <w:rPr>
          <w:rFonts w:ascii="Arial" w:hAnsi="Arial" w:cs="Arial"/>
        </w:rPr>
        <w:t>Clause 10 sets out the circumstances when th</w:t>
      </w:r>
      <w:r w:rsidR="00FF082D">
        <w:rPr>
          <w:rFonts w:ascii="Arial" w:hAnsi="Arial" w:cs="Arial"/>
        </w:rPr>
        <w:t>e ACMA may consider issuing an i</w:t>
      </w:r>
      <w:r w:rsidR="00FE0590">
        <w:rPr>
          <w:rFonts w:ascii="Arial" w:hAnsi="Arial" w:cs="Arial"/>
        </w:rPr>
        <w:t>nfringement notice</w:t>
      </w:r>
      <w:r>
        <w:rPr>
          <w:rFonts w:ascii="Arial" w:hAnsi="Arial" w:cs="Arial"/>
        </w:rPr>
        <w:t>.</w:t>
      </w:r>
      <w:r w:rsidR="00327082">
        <w:rPr>
          <w:rFonts w:ascii="Arial" w:hAnsi="Arial" w:cs="Arial"/>
        </w:rPr>
        <w:t xml:space="preserve">  Only a limited number of provisions in the BSA are designated infringement notice provisions.  The formal requirements for issuing an infringement notice under the BSA are set out in clauses 10.2 to 10.5.  Clause 10.2 </w:t>
      </w:r>
      <w:r w:rsidR="00327082">
        <w:rPr>
          <w:rFonts w:ascii="Arial" w:hAnsi="Arial" w:cs="Arial"/>
          <w:szCs w:val="24"/>
        </w:rPr>
        <w:t>cross refers to the factors set out at clause 6 as relevant to the ACMA’s decision whether to issue an infringement notice.  Clause 10.8 sets out what details an infringement notice will include.  Clause 10 also deals with requests for an extension of time in which to pay the penalty (clauses 10.9 to 10.10), withdrawal of an infringement notice (clauses 10.11 to 10.14), and the effect of withdrawal of an infringement notice (clauses 10.15 to 10.16).  Clauses 10.17 to 10.20 explain the ACMA’s approach to publication of infringement notices</w:t>
      </w:r>
      <w:r w:rsidR="00DA09B7">
        <w:rPr>
          <w:rFonts w:ascii="Arial" w:hAnsi="Arial" w:cs="Arial"/>
          <w:szCs w:val="24"/>
        </w:rPr>
        <w:t>, in particular, the ACMA’s view that generally, there should be no publication of the fact that an infringement notice has been given</w:t>
      </w:r>
      <w:r w:rsidR="00FF082D">
        <w:rPr>
          <w:rFonts w:ascii="Arial" w:hAnsi="Arial" w:cs="Arial"/>
          <w:szCs w:val="24"/>
        </w:rPr>
        <w:t>, but that publication of the fact of compliance with the notice may be appropriate</w:t>
      </w:r>
      <w:r w:rsidR="00DA09B7">
        <w:rPr>
          <w:rFonts w:ascii="Arial" w:hAnsi="Arial" w:cs="Arial"/>
          <w:szCs w:val="24"/>
        </w:rPr>
        <w:t>.</w:t>
      </w:r>
    </w:p>
    <w:p w:rsidR="00C2166A" w:rsidRPr="00EF4C0A" w:rsidRDefault="00C2166A" w:rsidP="00A03FEA">
      <w:pPr>
        <w:pStyle w:val="ACMABodyText"/>
        <w:rPr>
          <w:rFonts w:ascii="Arial" w:hAnsi="Arial" w:cs="Arial"/>
          <w:b/>
        </w:rPr>
      </w:pPr>
      <w:r w:rsidRPr="00EF4C0A">
        <w:rPr>
          <w:rFonts w:ascii="Arial" w:hAnsi="Arial" w:cs="Arial"/>
          <w:b/>
        </w:rPr>
        <w:t>Clause 11 – Civil litigation</w:t>
      </w:r>
    </w:p>
    <w:p w:rsidR="00EF4C0A" w:rsidRPr="00E43220" w:rsidRDefault="00183744" w:rsidP="00A03FEA">
      <w:pPr>
        <w:pStyle w:val="ACMABodyText"/>
        <w:rPr>
          <w:rFonts w:ascii="Arial" w:hAnsi="Arial" w:cs="Arial"/>
        </w:rPr>
      </w:pPr>
      <w:r>
        <w:rPr>
          <w:rFonts w:ascii="Arial" w:hAnsi="Arial" w:cs="Arial"/>
        </w:rPr>
        <w:t>Clause 11 discusses the circumstances in which the ACMA may consider instituting civil proceedings.  Clause 11.1 notes that there is a range of factors the ACMA will consider in deciding whether it is appropriate to commence civil proceedings</w:t>
      </w:r>
      <w:r w:rsidR="00DA09B7">
        <w:rPr>
          <w:rFonts w:ascii="Arial" w:hAnsi="Arial" w:cs="Arial"/>
        </w:rPr>
        <w:t xml:space="preserve"> and cross-refers to clause 6 for those factors</w:t>
      </w:r>
      <w:r w:rsidR="00FE0590">
        <w:rPr>
          <w:rFonts w:ascii="Arial" w:hAnsi="Arial" w:cs="Arial"/>
        </w:rPr>
        <w:t>.  Clause 11.2 states that i</w:t>
      </w:r>
      <w:r>
        <w:rPr>
          <w:rFonts w:ascii="Arial" w:hAnsi="Arial" w:cs="Arial"/>
        </w:rPr>
        <w:t xml:space="preserve">f </w:t>
      </w:r>
      <w:r w:rsidR="00A94BD6">
        <w:rPr>
          <w:rFonts w:ascii="Arial" w:hAnsi="Arial" w:cs="Arial"/>
        </w:rPr>
        <w:t>the ACMA</w:t>
      </w:r>
      <w:r>
        <w:rPr>
          <w:rFonts w:ascii="Arial" w:hAnsi="Arial" w:cs="Arial"/>
        </w:rPr>
        <w:t xml:space="preserve"> consider</w:t>
      </w:r>
      <w:r w:rsidR="00A94BD6">
        <w:rPr>
          <w:rFonts w:ascii="Arial" w:hAnsi="Arial" w:cs="Arial"/>
        </w:rPr>
        <w:t>s</w:t>
      </w:r>
      <w:r>
        <w:rPr>
          <w:rFonts w:ascii="Arial" w:hAnsi="Arial" w:cs="Arial"/>
        </w:rPr>
        <w:t xml:space="preserve"> it appropriate to commence such proceedings</w:t>
      </w:r>
      <w:r w:rsidR="00A94BD6">
        <w:rPr>
          <w:rFonts w:ascii="Arial" w:hAnsi="Arial" w:cs="Arial"/>
        </w:rPr>
        <w:t>,</w:t>
      </w:r>
      <w:r>
        <w:rPr>
          <w:rFonts w:ascii="Arial" w:hAnsi="Arial" w:cs="Arial"/>
        </w:rPr>
        <w:t xml:space="preserve"> the ACMA is bound by the Commonwealth model litigant rules.</w:t>
      </w:r>
      <w:r w:rsidR="00A90555">
        <w:rPr>
          <w:rFonts w:ascii="Arial" w:hAnsi="Arial" w:cs="Arial"/>
        </w:rPr>
        <w:t xml:space="preserve">  Clause 11.4 sets out the ACMA’s approach to publication of the fact of commencing civil proceedings</w:t>
      </w:r>
      <w:r w:rsidR="00E43220">
        <w:rPr>
          <w:rFonts w:ascii="Arial" w:hAnsi="Arial" w:cs="Arial"/>
        </w:rPr>
        <w:t xml:space="preserve"> and notes that the ACMA </w:t>
      </w:r>
      <w:r w:rsidR="00E43220" w:rsidRPr="00E43220">
        <w:rPr>
          <w:rFonts w:ascii="Arial" w:hAnsi="Arial" w:cs="Arial"/>
          <w:szCs w:val="24"/>
        </w:rPr>
        <w:t>will generally publish the outcome of civil proceedings including appeals (if any</w:t>
      </w:r>
      <w:r w:rsidR="00E43220">
        <w:rPr>
          <w:rFonts w:ascii="Arial" w:hAnsi="Arial" w:cs="Arial"/>
          <w:szCs w:val="24"/>
        </w:rPr>
        <w:t>)</w:t>
      </w:r>
      <w:r w:rsidR="00A90555" w:rsidRPr="00E43220">
        <w:rPr>
          <w:rFonts w:ascii="Arial" w:hAnsi="Arial" w:cs="Arial"/>
        </w:rPr>
        <w:t>.</w:t>
      </w:r>
    </w:p>
    <w:p w:rsidR="00C2166A" w:rsidRPr="00EF4C0A" w:rsidRDefault="00C2166A" w:rsidP="00A03FEA">
      <w:pPr>
        <w:pStyle w:val="ACMABodyText"/>
        <w:rPr>
          <w:rFonts w:ascii="Arial" w:hAnsi="Arial" w:cs="Arial"/>
          <w:b/>
        </w:rPr>
      </w:pPr>
      <w:r w:rsidRPr="00EF4C0A">
        <w:rPr>
          <w:rFonts w:ascii="Arial" w:hAnsi="Arial" w:cs="Arial"/>
          <w:b/>
        </w:rPr>
        <w:t xml:space="preserve">Clause 12 – Criminal </w:t>
      </w:r>
    </w:p>
    <w:p w:rsidR="00A03FEA" w:rsidRPr="00753F6E" w:rsidRDefault="00A90555" w:rsidP="00A03FEA">
      <w:pPr>
        <w:pStyle w:val="ACMABodyText"/>
        <w:rPr>
          <w:rFonts w:ascii="Arial" w:hAnsi="Arial" w:cs="Arial"/>
        </w:rPr>
      </w:pPr>
      <w:r>
        <w:rPr>
          <w:rFonts w:ascii="Arial" w:hAnsi="Arial" w:cs="Arial"/>
        </w:rPr>
        <w:t xml:space="preserve">Clause 12 deals with the referral of matters to </w:t>
      </w:r>
      <w:r w:rsidR="00916053">
        <w:rPr>
          <w:rFonts w:ascii="Arial" w:hAnsi="Arial" w:cs="Arial"/>
        </w:rPr>
        <w:t xml:space="preserve">the </w:t>
      </w:r>
      <w:r w:rsidR="007A094B" w:rsidRPr="007A094B">
        <w:rPr>
          <w:rFonts w:ascii="Arial" w:hAnsi="Arial" w:cs="Arial"/>
        </w:rPr>
        <w:t>CDPP</w:t>
      </w:r>
      <w:r>
        <w:rPr>
          <w:rFonts w:ascii="Arial" w:hAnsi="Arial" w:cs="Arial"/>
        </w:rPr>
        <w:t>.</w:t>
      </w:r>
      <w:r w:rsidR="003A0E80">
        <w:rPr>
          <w:rFonts w:ascii="Arial" w:hAnsi="Arial" w:cs="Arial"/>
        </w:rPr>
        <w:t xml:space="preserve">  </w:t>
      </w:r>
      <w:r w:rsidR="003A0E80" w:rsidRPr="003A0E80">
        <w:rPr>
          <w:rFonts w:ascii="Arial" w:hAnsi="Arial" w:cs="Arial"/>
          <w:szCs w:val="24"/>
        </w:rPr>
        <w:t>Not all matters involving an alleged offence will be referred to the CDPP by the ACMA</w:t>
      </w:r>
      <w:r w:rsidR="00753F6E">
        <w:rPr>
          <w:rFonts w:ascii="Arial" w:hAnsi="Arial" w:cs="Arial"/>
          <w:szCs w:val="24"/>
        </w:rPr>
        <w:t xml:space="preserve">.  If, </w:t>
      </w:r>
      <w:r w:rsidR="003A0E80">
        <w:rPr>
          <w:rFonts w:ascii="Arial" w:hAnsi="Arial" w:cs="Arial"/>
          <w:szCs w:val="24"/>
        </w:rPr>
        <w:t xml:space="preserve">however, the ACMA does refer </w:t>
      </w:r>
      <w:r w:rsidR="003A0E80" w:rsidRPr="003A0E80">
        <w:rPr>
          <w:rFonts w:ascii="Arial" w:hAnsi="Arial" w:cs="Arial"/>
          <w:color w:val="000000"/>
        </w:rPr>
        <w:t xml:space="preserve">a matter to the CDPP, the ACMA will act in </w:t>
      </w:r>
      <w:r w:rsidR="003A0E80" w:rsidRPr="003A0E80">
        <w:rPr>
          <w:rFonts w:ascii="Arial" w:hAnsi="Arial" w:cs="Arial"/>
        </w:rPr>
        <w:t>compliance</w:t>
      </w:r>
      <w:r w:rsidR="003A0E80" w:rsidRPr="003A0E80">
        <w:rPr>
          <w:rFonts w:ascii="Arial" w:hAnsi="Arial" w:cs="Arial"/>
          <w:color w:val="000000"/>
        </w:rPr>
        <w:t xml:space="preserve"> with the </w:t>
      </w:r>
      <w:r w:rsidR="003A0E80" w:rsidRPr="003A0E80">
        <w:rPr>
          <w:rFonts w:ascii="Arial" w:hAnsi="Arial" w:cs="Arial"/>
          <w:bCs/>
          <w:kern w:val="36"/>
        </w:rPr>
        <w:t>Prosecution Policy of the Commonwealth</w:t>
      </w:r>
      <w:r w:rsidR="00DA09B7">
        <w:rPr>
          <w:rFonts w:ascii="Arial" w:hAnsi="Arial" w:cs="Arial"/>
          <w:bCs/>
          <w:kern w:val="36"/>
        </w:rPr>
        <w:t xml:space="preserve"> (clause 12.2)</w:t>
      </w:r>
      <w:r w:rsidR="003A0E80">
        <w:rPr>
          <w:rFonts w:ascii="Arial" w:hAnsi="Arial" w:cs="Arial"/>
          <w:bCs/>
          <w:kern w:val="36"/>
        </w:rPr>
        <w:t xml:space="preserve">.  </w:t>
      </w:r>
      <w:r w:rsidR="00DA09B7">
        <w:rPr>
          <w:rFonts w:ascii="Arial" w:hAnsi="Arial" w:cs="Arial"/>
          <w:bCs/>
          <w:kern w:val="36"/>
        </w:rPr>
        <w:t>Clauses 12.4 to 12.5 explain the ACMA’s approach to publication regarding criminal matters.  Generally, t</w:t>
      </w:r>
      <w:r w:rsidR="003A0E80">
        <w:rPr>
          <w:rFonts w:ascii="Arial" w:hAnsi="Arial" w:cs="Arial"/>
          <w:bCs/>
          <w:kern w:val="36"/>
        </w:rPr>
        <w:t>he ACMA will not publicise the referral of a matter to the CDPP</w:t>
      </w:r>
      <w:r w:rsidR="00753F6E">
        <w:rPr>
          <w:rFonts w:ascii="Arial" w:hAnsi="Arial" w:cs="Arial"/>
          <w:bCs/>
          <w:kern w:val="36"/>
        </w:rPr>
        <w:t xml:space="preserve"> but will </w:t>
      </w:r>
      <w:r w:rsidR="00753F6E" w:rsidRPr="00753F6E">
        <w:rPr>
          <w:rFonts w:ascii="Arial" w:hAnsi="Arial" w:cs="Arial"/>
          <w:color w:val="000000"/>
          <w:szCs w:val="24"/>
        </w:rPr>
        <w:t>usually publicise the outcome of any prosecution undertaken by the CDPP</w:t>
      </w:r>
      <w:r w:rsidR="00753F6E">
        <w:rPr>
          <w:rFonts w:ascii="Arial" w:hAnsi="Arial" w:cs="Arial"/>
          <w:color w:val="000000"/>
          <w:szCs w:val="24"/>
        </w:rPr>
        <w:t>.</w:t>
      </w:r>
    </w:p>
    <w:sectPr w:rsidR="00A03FEA" w:rsidRPr="00753F6E" w:rsidSect="004E7B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32125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DC3C40"/>
    <w:multiLevelType w:val="hybridMultilevel"/>
    <w:tmpl w:val="A0661B34"/>
    <w:lvl w:ilvl="0" w:tplc="0C090001">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6D40D8"/>
    <w:multiLevelType w:val="hybridMultilevel"/>
    <w:tmpl w:val="C1F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C0F534F"/>
    <w:multiLevelType w:val="hybridMultilevel"/>
    <w:tmpl w:val="A07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E264F2"/>
    <w:multiLevelType w:val="hybridMultilevel"/>
    <w:tmpl w:val="E2C8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AA4FC0"/>
    <w:multiLevelType w:val="hybridMultilevel"/>
    <w:tmpl w:val="95D6AC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6B056EBF"/>
    <w:multiLevelType w:val="hybridMultilevel"/>
    <w:tmpl w:val="EE34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1"/>
    <w:lvlOverride w:ilvl="0">
      <w:startOverride w:val="1"/>
    </w:lvlOverride>
  </w:num>
  <w:num w:numId="7">
    <w:abstractNumId w:val="1"/>
  </w:num>
  <w:num w:numId="8">
    <w:abstractNumId w:val="1"/>
  </w:num>
  <w:num w:numId="9">
    <w:abstractNumId w:val="1"/>
  </w:num>
  <w:num w:numId="10">
    <w:abstractNumId w:val="0"/>
  </w:num>
  <w:num w:numId="11">
    <w:abstractNumId w:val="12"/>
  </w:num>
  <w:num w:numId="12">
    <w:abstractNumId w:val="11"/>
  </w:num>
  <w:num w:numId="13">
    <w:abstractNumId w:val="10"/>
  </w:num>
  <w:num w:numId="14">
    <w:abstractNumId w:val="7"/>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A03FEA"/>
    <w:rsid w:val="000048FD"/>
    <w:rsid w:val="00013498"/>
    <w:rsid w:val="0002664E"/>
    <w:rsid w:val="00063B24"/>
    <w:rsid w:val="00092082"/>
    <w:rsid w:val="000949A1"/>
    <w:rsid w:val="000A0116"/>
    <w:rsid w:val="000C50A2"/>
    <w:rsid w:val="000E266B"/>
    <w:rsid w:val="000F71DE"/>
    <w:rsid w:val="00111C72"/>
    <w:rsid w:val="00132FC4"/>
    <w:rsid w:val="001350D0"/>
    <w:rsid w:val="001358C6"/>
    <w:rsid w:val="00183744"/>
    <w:rsid w:val="0019237C"/>
    <w:rsid w:val="001B74D7"/>
    <w:rsid w:val="001C05D6"/>
    <w:rsid w:val="001F060A"/>
    <w:rsid w:val="001F0FA5"/>
    <w:rsid w:val="002446F3"/>
    <w:rsid w:val="00274F4F"/>
    <w:rsid w:val="002B5A6B"/>
    <w:rsid w:val="0032051B"/>
    <w:rsid w:val="0032118E"/>
    <w:rsid w:val="00327082"/>
    <w:rsid w:val="00346715"/>
    <w:rsid w:val="00376FF3"/>
    <w:rsid w:val="00391219"/>
    <w:rsid w:val="003A0E80"/>
    <w:rsid w:val="003A1D90"/>
    <w:rsid w:val="004129F6"/>
    <w:rsid w:val="00430949"/>
    <w:rsid w:val="004636E5"/>
    <w:rsid w:val="0047277D"/>
    <w:rsid w:val="004C0BD1"/>
    <w:rsid w:val="004E7B0D"/>
    <w:rsid w:val="00533FBE"/>
    <w:rsid w:val="00555DBE"/>
    <w:rsid w:val="005B6291"/>
    <w:rsid w:val="005E6A30"/>
    <w:rsid w:val="005E7173"/>
    <w:rsid w:val="005F458D"/>
    <w:rsid w:val="00612A41"/>
    <w:rsid w:val="006224D7"/>
    <w:rsid w:val="00630112"/>
    <w:rsid w:val="0066498A"/>
    <w:rsid w:val="006733A1"/>
    <w:rsid w:val="00694102"/>
    <w:rsid w:val="006C26D1"/>
    <w:rsid w:val="006F5B94"/>
    <w:rsid w:val="00753F6E"/>
    <w:rsid w:val="00756B0C"/>
    <w:rsid w:val="0075775A"/>
    <w:rsid w:val="0076635B"/>
    <w:rsid w:val="00777FD8"/>
    <w:rsid w:val="00783C0D"/>
    <w:rsid w:val="007A094B"/>
    <w:rsid w:val="007A2A02"/>
    <w:rsid w:val="007E575A"/>
    <w:rsid w:val="0084122D"/>
    <w:rsid w:val="008725CE"/>
    <w:rsid w:val="00893504"/>
    <w:rsid w:val="008A48CC"/>
    <w:rsid w:val="008B0562"/>
    <w:rsid w:val="008D224B"/>
    <w:rsid w:val="008F7DD2"/>
    <w:rsid w:val="00910756"/>
    <w:rsid w:val="00916053"/>
    <w:rsid w:val="00921AB8"/>
    <w:rsid w:val="009E2A70"/>
    <w:rsid w:val="009F6E33"/>
    <w:rsid w:val="00A03FEA"/>
    <w:rsid w:val="00A132F4"/>
    <w:rsid w:val="00A148EF"/>
    <w:rsid w:val="00A15AD6"/>
    <w:rsid w:val="00A461C0"/>
    <w:rsid w:val="00A750C4"/>
    <w:rsid w:val="00A90555"/>
    <w:rsid w:val="00A94BD6"/>
    <w:rsid w:val="00AD4320"/>
    <w:rsid w:val="00AE233A"/>
    <w:rsid w:val="00AE6825"/>
    <w:rsid w:val="00B21D18"/>
    <w:rsid w:val="00B32E5C"/>
    <w:rsid w:val="00B46DD3"/>
    <w:rsid w:val="00B47402"/>
    <w:rsid w:val="00B53BDA"/>
    <w:rsid w:val="00BA1833"/>
    <w:rsid w:val="00C1353E"/>
    <w:rsid w:val="00C2166A"/>
    <w:rsid w:val="00C73AC2"/>
    <w:rsid w:val="00C743A7"/>
    <w:rsid w:val="00CD2118"/>
    <w:rsid w:val="00D131D7"/>
    <w:rsid w:val="00D31756"/>
    <w:rsid w:val="00D34975"/>
    <w:rsid w:val="00D36435"/>
    <w:rsid w:val="00D54CBB"/>
    <w:rsid w:val="00D96DB0"/>
    <w:rsid w:val="00DA09B7"/>
    <w:rsid w:val="00DD4E4E"/>
    <w:rsid w:val="00E0492B"/>
    <w:rsid w:val="00E17012"/>
    <w:rsid w:val="00E20FE0"/>
    <w:rsid w:val="00E308E2"/>
    <w:rsid w:val="00E43220"/>
    <w:rsid w:val="00E53290"/>
    <w:rsid w:val="00E617E1"/>
    <w:rsid w:val="00E752BE"/>
    <w:rsid w:val="00E96D65"/>
    <w:rsid w:val="00EF3689"/>
    <w:rsid w:val="00EF4C0A"/>
    <w:rsid w:val="00F23B85"/>
    <w:rsid w:val="00F30FA4"/>
    <w:rsid w:val="00FD365B"/>
    <w:rsid w:val="00FE0590"/>
    <w:rsid w:val="00FE0CDC"/>
    <w:rsid w:val="00FF08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CMABodyText"/>
    <w:qFormat/>
    <w:rsid w:val="0084122D"/>
    <w:pPr>
      <w:spacing w:before="80" w:after="120" w:line="280" w:lineRule="atLeast"/>
    </w:pPr>
    <w:rPr>
      <w:sz w:val="24"/>
      <w:szCs w:val="24"/>
      <w:lang w:eastAsia="en-US"/>
    </w:rPr>
  </w:style>
  <w:style w:type="paragraph" w:styleId="Heading1">
    <w:name w:val="heading 1"/>
    <w:basedOn w:val="ACMAHeading1"/>
    <w:next w:val="ACMABodyText"/>
    <w:qFormat/>
    <w:rsid w:val="0084122D"/>
    <w:pPr>
      <w:outlineLvl w:val="0"/>
    </w:pPr>
    <w:rPr>
      <w:rFonts w:cs="Arial"/>
      <w:bCs/>
    </w:rPr>
  </w:style>
  <w:style w:type="paragraph" w:styleId="Heading2">
    <w:name w:val="heading 2"/>
    <w:basedOn w:val="Normal"/>
    <w:next w:val="Normal"/>
    <w:link w:val="Heading2Char"/>
    <w:qFormat/>
    <w:rsid w:val="00A03FEA"/>
    <w:pPr>
      <w:keepNext/>
      <w:spacing w:before="60" w:after="60" w:line="240" w:lineRule="atLeast"/>
      <w:outlineLvl w:val="1"/>
    </w:pPr>
    <w:rPr>
      <w:rFonts w:ascii="HelveticaNeueLT Std" w:hAnsi="HelveticaNeueLT Std"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013498"/>
    <w:pPr>
      <w:spacing w:before="2160" w:after="480"/>
    </w:pPr>
    <w:rPr>
      <w:sz w:val="56"/>
      <w:szCs w:val="56"/>
      <w:lang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013498"/>
    <w:rPr>
      <w:i/>
      <w:lang w:eastAsia="en-US"/>
    </w:rPr>
  </w:style>
  <w:style w:type="paragraph" w:customStyle="1" w:styleId="ACMAHeaderOdd">
    <w:name w:val="ACMA Header (Odd)"/>
    <w:rsid w:val="00013498"/>
    <w:pPr>
      <w:jc w:val="right"/>
    </w:pPr>
    <w:rPr>
      <w:i/>
      <w:lang w:eastAsia="en-US"/>
    </w:rPr>
  </w:style>
  <w:style w:type="paragraph" w:customStyle="1" w:styleId="ACMAHeading1">
    <w:name w:val="ACMA Heading 1"/>
    <w:next w:val="ACMABodyText"/>
    <w:rsid w:val="00013498"/>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013498"/>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rsid w:val="00013498"/>
    <w:pPr>
      <w:keepNext/>
      <w:suppressAutoHyphens/>
      <w:spacing w:before="240"/>
      <w:outlineLvl w:val="3"/>
    </w:pPr>
    <w:rPr>
      <w:rFonts w:ascii="Arial" w:hAnsi="Arial"/>
      <w:b/>
      <w:sz w:val="24"/>
      <w:lang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paragraph" w:styleId="ListBullet">
    <w:name w:val="List Bullet"/>
    <w:basedOn w:val="Normal"/>
    <w:rsid w:val="00A03FEA"/>
    <w:pPr>
      <w:numPr>
        <w:numId w:val="10"/>
      </w:numPr>
      <w:spacing w:before="0" w:after="80" w:line="240" w:lineRule="atLeast"/>
    </w:pPr>
    <w:rPr>
      <w:rFonts w:ascii="HelveticaNeueLT Std Lt" w:hAnsi="HelveticaNeueLT Std Lt"/>
      <w:sz w:val="20"/>
      <w:lang w:eastAsia="en-AU"/>
    </w:rPr>
  </w:style>
  <w:style w:type="character" w:customStyle="1" w:styleId="Heading2Char">
    <w:name w:val="Heading 2 Char"/>
    <w:basedOn w:val="DefaultParagraphFont"/>
    <w:link w:val="Heading2"/>
    <w:rsid w:val="00A03FEA"/>
    <w:rPr>
      <w:rFonts w:ascii="HelveticaNeueLT Std" w:hAnsi="HelveticaNeueLT Std" w:cs="Arial"/>
      <w:b/>
      <w:bCs/>
      <w:iCs/>
      <w:sz w:val="28"/>
      <w:szCs w:val="28"/>
    </w:rPr>
  </w:style>
  <w:style w:type="paragraph" w:styleId="ListParagraph">
    <w:name w:val="List Paragraph"/>
    <w:basedOn w:val="Normal"/>
    <w:uiPriority w:val="34"/>
    <w:qFormat/>
    <w:rsid w:val="006C26D1"/>
    <w:pPr>
      <w:ind w:left="720"/>
      <w:contextualSpacing/>
    </w:pPr>
  </w:style>
  <w:style w:type="paragraph" w:customStyle="1" w:styleId="Default">
    <w:name w:val="Default"/>
    <w:link w:val="DefaultChar"/>
    <w:rsid w:val="00327082"/>
    <w:pPr>
      <w:autoSpaceDE w:val="0"/>
      <w:autoSpaceDN w:val="0"/>
      <w:adjustRightInd w:val="0"/>
    </w:pPr>
    <w:rPr>
      <w:color w:val="000000"/>
      <w:sz w:val="24"/>
      <w:szCs w:val="24"/>
    </w:rPr>
  </w:style>
  <w:style w:type="character" w:customStyle="1" w:styleId="DefaultChar">
    <w:name w:val="Default Char"/>
    <w:basedOn w:val="DefaultParagraphFont"/>
    <w:link w:val="Default"/>
    <w:rsid w:val="00327082"/>
    <w:rPr>
      <w:color w:val="000000"/>
      <w:sz w:val="24"/>
      <w:szCs w:val="24"/>
    </w:rPr>
  </w:style>
  <w:style w:type="paragraph" w:styleId="BalloonText">
    <w:name w:val="Balloon Text"/>
    <w:basedOn w:val="Normal"/>
    <w:link w:val="BalloonTextChar"/>
    <w:rsid w:val="003A1D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D90"/>
    <w:rPr>
      <w:rFonts w:ascii="Tahoma" w:hAnsi="Tahoma" w:cs="Tahoma"/>
      <w:sz w:val="16"/>
      <w:szCs w:val="16"/>
      <w:lang w:eastAsia="en-US"/>
    </w:rPr>
  </w:style>
  <w:style w:type="character" w:styleId="CommentReference">
    <w:name w:val="annotation reference"/>
    <w:basedOn w:val="DefaultParagraphFont"/>
    <w:rsid w:val="00E53290"/>
    <w:rPr>
      <w:sz w:val="16"/>
      <w:szCs w:val="16"/>
    </w:rPr>
  </w:style>
  <w:style w:type="paragraph" w:styleId="CommentText">
    <w:name w:val="annotation text"/>
    <w:basedOn w:val="Normal"/>
    <w:link w:val="CommentTextChar"/>
    <w:rsid w:val="00E53290"/>
    <w:pPr>
      <w:spacing w:line="240" w:lineRule="auto"/>
    </w:pPr>
    <w:rPr>
      <w:sz w:val="20"/>
      <w:szCs w:val="20"/>
    </w:rPr>
  </w:style>
  <w:style w:type="character" w:customStyle="1" w:styleId="CommentTextChar">
    <w:name w:val="Comment Text Char"/>
    <w:basedOn w:val="DefaultParagraphFont"/>
    <w:link w:val="CommentText"/>
    <w:rsid w:val="00E53290"/>
    <w:rPr>
      <w:lang w:eastAsia="en-US"/>
    </w:rPr>
  </w:style>
  <w:style w:type="paragraph" w:styleId="CommentSubject">
    <w:name w:val="annotation subject"/>
    <w:basedOn w:val="CommentText"/>
    <w:next w:val="CommentText"/>
    <w:link w:val="CommentSubjectChar"/>
    <w:rsid w:val="00E53290"/>
    <w:rPr>
      <w:b/>
      <w:bCs/>
    </w:rPr>
  </w:style>
  <w:style w:type="character" w:customStyle="1" w:styleId="CommentSubjectChar">
    <w:name w:val="Comment Subject Char"/>
    <w:basedOn w:val="CommentTextChar"/>
    <w:link w:val="CommentSubject"/>
    <w:rsid w:val="00E53290"/>
    <w:rPr>
      <w:b/>
      <w:bCs/>
    </w:rPr>
  </w:style>
  <w:style w:type="paragraph" w:customStyle="1" w:styleId="A2">
    <w:name w:val="A2"/>
    <w:aliases w:val="1.1 amendment,Instruction amendment"/>
    <w:basedOn w:val="Normal"/>
    <w:next w:val="Normal"/>
    <w:rsid w:val="00A94BD6"/>
    <w:pPr>
      <w:tabs>
        <w:tab w:val="right" w:pos="794"/>
      </w:tabs>
      <w:spacing w:before="120" w:after="0" w:line="260" w:lineRule="exact"/>
      <w:ind w:left="964" w:hanging="964"/>
      <w:jc w:val="both"/>
    </w:pPr>
    <w:rPr>
      <w:lang w:eastAsia="en-AU"/>
    </w:rPr>
  </w:style>
</w:styles>
</file>

<file path=word/webSettings.xml><?xml version="1.0" encoding="utf-8"?>
<w:webSettings xmlns:r="http://schemas.openxmlformats.org/officeDocument/2006/relationships" xmlns:w="http://schemas.openxmlformats.org/wordprocessingml/2006/main">
  <w:divs>
    <w:div w:id="14641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Kerr</dc:creator>
  <cp:lastModifiedBy>Helen Turnbull</cp:lastModifiedBy>
  <cp:revision>4</cp:revision>
  <cp:lastPrinted>2011-07-28T01:45:00Z</cp:lastPrinted>
  <dcterms:created xsi:type="dcterms:W3CDTF">2011-08-17T02:12:00Z</dcterms:created>
  <dcterms:modified xsi:type="dcterms:W3CDTF">2011-08-30T23:51:00Z</dcterms:modified>
</cp:coreProperties>
</file>