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878" w:rsidRDefault="00DB7878" w:rsidP="00DB7878">
      <w:pPr>
        <w:autoSpaceDE w:val="0"/>
        <w:autoSpaceDN w:val="0"/>
        <w:adjustRightInd w:val="0"/>
        <w:spacing w:after="240"/>
        <w:jc w:val="center"/>
        <w:rPr>
          <w:b/>
          <w:u w:val="single"/>
        </w:rPr>
      </w:pPr>
      <w:r w:rsidRPr="00EF6D68">
        <w:rPr>
          <w:b/>
          <w:u w:val="single"/>
        </w:rPr>
        <w:t xml:space="preserve">EXPLANATORY </w:t>
      </w:r>
      <w:r w:rsidR="0030517D">
        <w:rPr>
          <w:b/>
          <w:u w:val="single"/>
        </w:rPr>
        <w:t>STATEMENT</w:t>
      </w:r>
    </w:p>
    <w:p w:rsidR="00A6466D" w:rsidRPr="00947EA5" w:rsidRDefault="001B47CB" w:rsidP="00947EA5">
      <w:pPr>
        <w:autoSpaceDE w:val="0"/>
        <w:autoSpaceDN w:val="0"/>
        <w:adjustRightInd w:val="0"/>
        <w:spacing w:after="240"/>
        <w:jc w:val="center"/>
        <w:rPr>
          <w:b/>
          <w:u w:val="single"/>
        </w:rPr>
      </w:pPr>
      <w:r>
        <w:rPr>
          <w:b/>
          <w:u w:val="single"/>
        </w:rPr>
        <w:t>Select Legislative Instrument 2011 No. 165</w:t>
      </w:r>
    </w:p>
    <w:p w:rsidR="00DB7878" w:rsidRPr="00EF6D68" w:rsidRDefault="00DB7878" w:rsidP="00947EA5">
      <w:pPr>
        <w:spacing w:after="240"/>
        <w:jc w:val="center"/>
        <w:rPr>
          <w:i/>
        </w:rPr>
      </w:pPr>
      <w:r w:rsidRPr="00EF6D68">
        <w:rPr>
          <w:i/>
        </w:rPr>
        <w:t>National Consumer Credit Protection Act 2009</w:t>
      </w:r>
    </w:p>
    <w:p w:rsidR="00EE00D7" w:rsidRPr="00EF6D68" w:rsidRDefault="00DB7878" w:rsidP="0063545F">
      <w:pPr>
        <w:spacing w:after="240"/>
        <w:ind w:left="1440"/>
        <w:rPr>
          <w:i/>
        </w:rPr>
      </w:pPr>
      <w:r w:rsidRPr="00EF6D68">
        <w:rPr>
          <w:i/>
        </w:rPr>
        <w:t xml:space="preserve">National Consumer Credit Protection </w:t>
      </w:r>
      <w:r w:rsidR="00D4579E" w:rsidRPr="00EF6D68">
        <w:rPr>
          <w:i/>
        </w:rPr>
        <w:t>Amendment</w:t>
      </w:r>
      <w:r w:rsidR="00301D2C" w:rsidRPr="00EF6D68">
        <w:rPr>
          <w:i/>
        </w:rPr>
        <w:t xml:space="preserve"> </w:t>
      </w:r>
      <w:r w:rsidRPr="00EF6D68">
        <w:rPr>
          <w:i/>
        </w:rPr>
        <w:t>Regulations 201</w:t>
      </w:r>
      <w:r w:rsidR="006764C1">
        <w:rPr>
          <w:i/>
        </w:rPr>
        <w:t>1</w:t>
      </w:r>
      <w:r w:rsidR="001B47CB">
        <w:rPr>
          <w:i/>
        </w:rPr>
        <w:t xml:space="preserve"> (No. 5</w:t>
      </w:r>
      <w:r w:rsidR="00945CB2" w:rsidRPr="00EF6D68">
        <w:rPr>
          <w:i/>
        </w:rPr>
        <w:t>)</w:t>
      </w:r>
    </w:p>
    <w:p w:rsidR="00F1176D" w:rsidRDefault="00DB7878" w:rsidP="00DB7878">
      <w:pPr>
        <w:spacing w:after="240"/>
      </w:pPr>
      <w:r w:rsidRPr="00EF6D68">
        <w:t xml:space="preserve">The </w:t>
      </w:r>
      <w:r w:rsidRPr="00EF6D68">
        <w:rPr>
          <w:i/>
        </w:rPr>
        <w:t>National Consumer Credit Protection Act 2009</w:t>
      </w:r>
      <w:r w:rsidRPr="00EF6D68">
        <w:t xml:space="preserve"> (Credit Act) applies to the provision of credit for perso</w:t>
      </w:r>
      <w:r w:rsidR="00423DEF">
        <w:t>nal use, and related matters</w:t>
      </w:r>
      <w:r w:rsidRPr="00EF6D68">
        <w:t>.</w:t>
      </w:r>
      <w:r w:rsidR="00423DEF">
        <w:t xml:space="preserve">  </w:t>
      </w:r>
    </w:p>
    <w:p w:rsidR="00EE00D7" w:rsidRDefault="00DB7878" w:rsidP="00DB7878">
      <w:pPr>
        <w:spacing w:after="240"/>
      </w:pPr>
      <w:r w:rsidRPr="00EF6D68">
        <w:t xml:space="preserve">Section </w:t>
      </w:r>
      <w:r w:rsidRPr="00EF6D68">
        <w:rPr>
          <w:bCs/>
        </w:rPr>
        <w:t>329</w:t>
      </w:r>
      <w:r w:rsidRPr="00EF6D68">
        <w:t xml:space="preserve"> of the Credit Act provides that the Governor</w:t>
      </w:r>
      <w:r w:rsidRPr="00EF6D68">
        <w:noBreakHyphen/>
        <w:t xml:space="preserve">General may make regulations prescribing matters required or permitted by </w:t>
      </w:r>
      <w:r w:rsidR="00945CB2" w:rsidRPr="00EF6D68">
        <w:t xml:space="preserve">the Credit </w:t>
      </w:r>
      <w:r w:rsidRPr="00EF6D68">
        <w:t xml:space="preserve">Act to be prescribed, or necessary or convenient to be prescribed for carrying out or giving effect to </w:t>
      </w:r>
      <w:r w:rsidR="00945CB2" w:rsidRPr="00EF6D68">
        <w:t xml:space="preserve">the Credit </w:t>
      </w:r>
      <w:r w:rsidRPr="00EF6D68">
        <w:t>Act.</w:t>
      </w:r>
    </w:p>
    <w:p w:rsidR="00593807" w:rsidRDefault="00593807" w:rsidP="00DB7878">
      <w:pPr>
        <w:spacing w:after="240"/>
      </w:pPr>
      <w:r>
        <w:t xml:space="preserve">The </w:t>
      </w:r>
      <w:r w:rsidRPr="00A14557">
        <w:rPr>
          <w:i/>
        </w:rPr>
        <w:t>National Consumer Credit Protection Amendment (Home Loans and Credit Cards) Act 2011</w:t>
      </w:r>
      <w:r>
        <w:t xml:space="preserve"> </w:t>
      </w:r>
      <w:r w:rsidR="00085CF9">
        <w:t>amended</w:t>
      </w:r>
      <w:r>
        <w:t xml:space="preserve"> the Credit Act </w:t>
      </w:r>
      <w:r w:rsidR="00085CF9">
        <w:t>to</w:t>
      </w:r>
      <w:r>
        <w:t xml:space="preserve"> introduce a requirement for home loan lenders to provide a Key Facts Sheet for standard home loans</w:t>
      </w:r>
      <w:r w:rsidR="00A14557">
        <w:t>.</w:t>
      </w:r>
      <w:r>
        <w:t xml:space="preserve">  </w:t>
      </w:r>
    </w:p>
    <w:p w:rsidR="00DF045D" w:rsidRPr="00EF6D68" w:rsidRDefault="00DF045D" w:rsidP="00DF045D">
      <w:pPr>
        <w:autoSpaceDE w:val="0"/>
        <w:autoSpaceDN w:val="0"/>
        <w:adjustRightInd w:val="0"/>
        <w:spacing w:after="240"/>
        <w:rPr>
          <w:lang w:val="en-AU" w:eastAsia="en-AU"/>
        </w:rPr>
      </w:pPr>
      <w:r w:rsidRPr="00EF6D68">
        <w:t>Th</w:t>
      </w:r>
      <w:r w:rsidR="00732F4A">
        <w:t xml:space="preserve">e </w:t>
      </w:r>
      <w:r w:rsidR="00F1176D">
        <w:t>R</w:t>
      </w:r>
      <w:r w:rsidRPr="00EF6D68">
        <w:t>egulation</w:t>
      </w:r>
      <w:r w:rsidR="00F1176D">
        <w:t>s</w:t>
      </w:r>
      <w:r w:rsidRPr="00EF6D68">
        <w:t xml:space="preserve"> amend the </w:t>
      </w:r>
      <w:r w:rsidRPr="003F7243">
        <w:rPr>
          <w:i/>
          <w:iCs/>
        </w:rPr>
        <w:t>National Consumer Credit Protection Regulations 201</w:t>
      </w:r>
      <w:r>
        <w:rPr>
          <w:i/>
          <w:iCs/>
        </w:rPr>
        <w:t>1</w:t>
      </w:r>
      <w:r w:rsidRPr="003F7243">
        <w:rPr>
          <w:i/>
          <w:iCs/>
        </w:rPr>
        <w:t xml:space="preserve"> </w:t>
      </w:r>
      <w:r>
        <w:t xml:space="preserve">(Principal </w:t>
      </w:r>
      <w:r w:rsidRPr="00EF6D68">
        <w:rPr>
          <w:iCs/>
        </w:rPr>
        <w:t>Credit Regulations</w:t>
      </w:r>
      <w:r>
        <w:rPr>
          <w:iCs/>
        </w:rPr>
        <w:t>) to prescribe the Key Facts Sheet and related items.</w:t>
      </w:r>
    </w:p>
    <w:p w:rsidR="00945CB2" w:rsidRPr="00EF6D68" w:rsidRDefault="00945CB2" w:rsidP="00C45096">
      <w:pPr>
        <w:pStyle w:val="Bullet"/>
        <w:numPr>
          <w:ilvl w:val="0"/>
          <w:numId w:val="0"/>
        </w:numPr>
      </w:pPr>
      <w:r w:rsidRPr="00EF6D68">
        <w:t>Specifically, the Regulations:</w:t>
      </w:r>
    </w:p>
    <w:p w:rsidR="00166B58" w:rsidRDefault="00423DEF" w:rsidP="00C96BEF">
      <w:pPr>
        <w:pStyle w:val="Bullet"/>
      </w:pPr>
      <w:r>
        <w:t>insert definitions of interest rate and lender;</w:t>
      </w:r>
    </w:p>
    <w:p w:rsidR="00423DEF" w:rsidRDefault="00423DEF" w:rsidP="00C96BEF">
      <w:pPr>
        <w:pStyle w:val="Bullet"/>
      </w:pPr>
      <w:r>
        <w:t>define standard home loans to which the Key Facts Sheets requirements apply;</w:t>
      </w:r>
    </w:p>
    <w:p w:rsidR="00423DEF" w:rsidRDefault="00423DEF" w:rsidP="00423DEF">
      <w:pPr>
        <w:pStyle w:val="Bullet"/>
      </w:pPr>
      <w:r>
        <w:t>set out the form and features of the Key Facts Sheet; and</w:t>
      </w:r>
    </w:p>
    <w:p w:rsidR="00423DEF" w:rsidRPr="00EF6D68" w:rsidRDefault="00423DEF" w:rsidP="00423DEF">
      <w:pPr>
        <w:pStyle w:val="Bullet"/>
      </w:pPr>
      <w:r>
        <w:t>provide information about preparing the Key Facts Sheet.</w:t>
      </w:r>
    </w:p>
    <w:p w:rsidR="00DB7878" w:rsidRPr="00EF6D68" w:rsidRDefault="00DB7878" w:rsidP="00306A16">
      <w:pPr>
        <w:spacing w:after="240"/>
        <w:rPr>
          <w:lang w:val="en-AU" w:eastAsia="en-AU"/>
        </w:rPr>
      </w:pPr>
      <w:r w:rsidRPr="00EF6D68">
        <w:rPr>
          <w:lang w:val="en-AU" w:eastAsia="en-AU"/>
        </w:rPr>
        <w:t xml:space="preserve">Details of the </w:t>
      </w:r>
      <w:r w:rsidR="00732F4A">
        <w:rPr>
          <w:lang w:val="en-AU" w:eastAsia="en-AU"/>
        </w:rPr>
        <w:t xml:space="preserve">proposed </w:t>
      </w:r>
      <w:r w:rsidRPr="00EF6D68">
        <w:rPr>
          <w:lang w:val="en-AU" w:eastAsia="en-AU"/>
        </w:rPr>
        <w:t xml:space="preserve">Regulations are set out in the </w:t>
      </w:r>
      <w:r w:rsidRPr="00EF6D68">
        <w:rPr>
          <w:u w:val="single"/>
          <w:lang w:val="en-AU" w:eastAsia="en-AU"/>
        </w:rPr>
        <w:t>Attachment.</w:t>
      </w:r>
    </w:p>
    <w:p w:rsidR="00DB7878" w:rsidRDefault="00DB7878" w:rsidP="00DB7878">
      <w:pPr>
        <w:autoSpaceDE w:val="0"/>
        <w:autoSpaceDN w:val="0"/>
        <w:adjustRightInd w:val="0"/>
        <w:spacing w:after="240"/>
        <w:ind w:right="-262"/>
        <w:rPr>
          <w:lang w:val="en-AU" w:eastAsia="en-AU"/>
        </w:rPr>
      </w:pPr>
      <w:r w:rsidRPr="00EF6D68">
        <w:rPr>
          <w:lang w:val="en-AU" w:eastAsia="en-AU"/>
        </w:rPr>
        <w:t xml:space="preserve">The Regulations </w:t>
      </w:r>
      <w:r w:rsidR="0030517D">
        <w:rPr>
          <w:lang w:val="en-AU" w:eastAsia="en-AU"/>
        </w:rPr>
        <w:t xml:space="preserve">are </w:t>
      </w:r>
      <w:r w:rsidRPr="00EF6D68">
        <w:rPr>
          <w:lang w:val="en-AU" w:eastAsia="en-AU"/>
        </w:rPr>
        <w:t xml:space="preserve">a legislative instrument for the purposes of the </w:t>
      </w:r>
      <w:r w:rsidRPr="00EF6D68">
        <w:rPr>
          <w:i/>
          <w:iCs/>
          <w:lang w:val="en-AU" w:eastAsia="en-AU"/>
        </w:rPr>
        <w:t>Legislative Instruments Act 2003</w:t>
      </w:r>
      <w:r w:rsidRPr="00EF6D68">
        <w:rPr>
          <w:lang w:val="en-AU" w:eastAsia="en-AU"/>
        </w:rPr>
        <w:t>.</w:t>
      </w:r>
    </w:p>
    <w:p w:rsidR="00F1176D" w:rsidRDefault="00F1176D" w:rsidP="00DB7878">
      <w:pPr>
        <w:autoSpaceDE w:val="0"/>
        <w:autoSpaceDN w:val="0"/>
        <w:adjustRightInd w:val="0"/>
        <w:spacing w:after="240"/>
        <w:ind w:right="-262"/>
        <w:rPr>
          <w:lang w:val="en-AU" w:eastAsia="en-AU"/>
        </w:rPr>
      </w:pPr>
      <w:r>
        <w:rPr>
          <w:lang w:val="en-AU" w:eastAsia="en-AU"/>
        </w:rPr>
        <w:t>The Regulations commence on 1 January 2012.</w:t>
      </w:r>
    </w:p>
    <w:p w:rsidR="0030517D" w:rsidRPr="007930FE" w:rsidRDefault="0030517D" w:rsidP="0030517D">
      <w:pPr>
        <w:autoSpaceDE w:val="0"/>
        <w:autoSpaceDN w:val="0"/>
        <w:adjustRightInd w:val="0"/>
        <w:spacing w:after="240"/>
        <w:rPr>
          <w:u w:val="single"/>
        </w:rPr>
      </w:pPr>
      <w:r w:rsidRPr="007930FE">
        <w:rPr>
          <w:u w:val="single"/>
        </w:rPr>
        <w:t>Consultation</w:t>
      </w:r>
    </w:p>
    <w:p w:rsidR="0030517D" w:rsidRPr="00EF6D68" w:rsidRDefault="0030517D" w:rsidP="0030517D">
      <w:pPr>
        <w:autoSpaceDE w:val="0"/>
        <w:autoSpaceDN w:val="0"/>
        <w:adjustRightInd w:val="0"/>
        <w:spacing w:after="240"/>
        <w:rPr>
          <w:lang w:val="en-AU" w:eastAsia="en-AU"/>
        </w:rPr>
      </w:pPr>
      <w:r>
        <w:t>The Regulations are based on draft Key Facts Sheets that have been consumer tested.  Targeted and detailed consultation with industry and consumer stakeholders has been undertaken to ensure these regulations are based on, or operate consistently with, industry practice.</w:t>
      </w:r>
    </w:p>
    <w:p w:rsidR="00F1176D" w:rsidRPr="00EF6D68" w:rsidRDefault="00F1176D" w:rsidP="00DB7878">
      <w:pPr>
        <w:autoSpaceDE w:val="0"/>
        <w:autoSpaceDN w:val="0"/>
        <w:adjustRightInd w:val="0"/>
        <w:spacing w:after="240"/>
        <w:ind w:right="-262"/>
        <w:rPr>
          <w:lang w:val="en-AU" w:eastAsia="en-AU"/>
        </w:rPr>
      </w:pPr>
    </w:p>
    <w:p w:rsidR="0063545F" w:rsidRPr="00EF6D68" w:rsidRDefault="00DB7878" w:rsidP="0063545F">
      <w:pPr>
        <w:autoSpaceDE w:val="0"/>
        <w:autoSpaceDN w:val="0"/>
        <w:adjustRightInd w:val="0"/>
        <w:spacing w:after="240"/>
        <w:ind w:left="6480" w:hanging="1080"/>
      </w:pPr>
      <w:r w:rsidRPr="00EF6D68">
        <w:rPr>
          <w:u w:val="single"/>
        </w:rPr>
        <w:t>Authority</w:t>
      </w:r>
      <w:r w:rsidRPr="00EF6D68">
        <w:t>:</w:t>
      </w:r>
      <w:r w:rsidR="00A336ED" w:rsidRPr="00EF6D68">
        <w:t xml:space="preserve">  Section 329 of the </w:t>
      </w:r>
      <w:r w:rsidR="00A336ED" w:rsidRPr="00EF6D68">
        <w:br/>
      </w:r>
      <w:r w:rsidR="00A336ED" w:rsidRPr="00EF6D68">
        <w:rPr>
          <w:i/>
        </w:rPr>
        <w:t>National Consumer Credit</w:t>
      </w:r>
      <w:r w:rsidR="0063545F" w:rsidRPr="00EF6D68">
        <w:rPr>
          <w:i/>
        </w:rPr>
        <w:t xml:space="preserve"> </w:t>
      </w:r>
      <w:r w:rsidR="00A336ED" w:rsidRPr="00EF6D68">
        <w:rPr>
          <w:i/>
        </w:rPr>
        <w:t>Protection Act 2009</w:t>
      </w:r>
      <w:r w:rsidR="00EE00D7" w:rsidRPr="00EF6D68">
        <w:t xml:space="preserve">  </w:t>
      </w:r>
    </w:p>
    <w:p w:rsidR="00B7245B" w:rsidRDefault="00B7245B" w:rsidP="00DB7878">
      <w:pPr>
        <w:autoSpaceDE w:val="0"/>
        <w:autoSpaceDN w:val="0"/>
        <w:adjustRightInd w:val="0"/>
        <w:spacing w:after="240"/>
        <w:jc w:val="right"/>
        <w:rPr>
          <w:b/>
          <w:lang w:val="en-AU" w:eastAsia="en-AU"/>
        </w:rPr>
      </w:pPr>
    </w:p>
    <w:p w:rsidR="00DB7878" w:rsidRPr="00EF6D68" w:rsidRDefault="00DB7878" w:rsidP="00DB7878">
      <w:pPr>
        <w:autoSpaceDE w:val="0"/>
        <w:autoSpaceDN w:val="0"/>
        <w:adjustRightInd w:val="0"/>
        <w:spacing w:after="240"/>
        <w:jc w:val="right"/>
      </w:pPr>
      <w:r w:rsidRPr="00EF6D68">
        <w:rPr>
          <w:b/>
          <w:lang w:val="en-AU" w:eastAsia="en-AU"/>
        </w:rPr>
        <w:t>ATTACHMENT</w:t>
      </w:r>
    </w:p>
    <w:p w:rsidR="009437FE" w:rsidRPr="003E4BE8" w:rsidRDefault="009437FE" w:rsidP="00DB7878">
      <w:pPr>
        <w:spacing w:after="240"/>
        <w:ind w:right="91"/>
        <w:rPr>
          <w:b/>
          <w:bCs/>
          <w:i/>
          <w:u w:val="single"/>
          <w:lang w:val="en-AU" w:eastAsia="en-AU"/>
        </w:rPr>
      </w:pPr>
      <w:r w:rsidRPr="003E4BE8">
        <w:rPr>
          <w:b/>
          <w:bCs/>
          <w:u w:val="single"/>
          <w:lang w:val="en-AU" w:eastAsia="en-AU"/>
        </w:rPr>
        <w:lastRenderedPageBreak/>
        <w:t>Details of the</w:t>
      </w:r>
      <w:r w:rsidR="00732F4A">
        <w:rPr>
          <w:b/>
          <w:bCs/>
          <w:u w:val="single"/>
          <w:lang w:val="en-AU" w:eastAsia="en-AU"/>
        </w:rPr>
        <w:t xml:space="preserve"> proposed </w:t>
      </w:r>
      <w:r w:rsidRPr="003E4BE8">
        <w:rPr>
          <w:b/>
          <w:bCs/>
          <w:i/>
          <w:u w:val="single"/>
          <w:lang w:val="en-AU" w:eastAsia="en-AU"/>
        </w:rPr>
        <w:t xml:space="preserve">National Consumer Credit Protection Amendment </w:t>
      </w:r>
      <w:r w:rsidR="00F1176D">
        <w:rPr>
          <w:b/>
          <w:bCs/>
          <w:i/>
          <w:u w:val="single"/>
          <w:lang w:val="en-AU" w:eastAsia="en-AU"/>
        </w:rPr>
        <w:t>R</w:t>
      </w:r>
      <w:r w:rsidRPr="003E4BE8">
        <w:rPr>
          <w:b/>
          <w:bCs/>
          <w:i/>
          <w:u w:val="single"/>
          <w:lang w:val="en-AU" w:eastAsia="en-AU"/>
        </w:rPr>
        <w:t>egulations</w:t>
      </w:r>
      <w:r w:rsidR="00DE4EA2" w:rsidRPr="003E4BE8">
        <w:rPr>
          <w:b/>
          <w:bCs/>
          <w:i/>
          <w:u w:val="single"/>
          <w:lang w:val="en-AU" w:eastAsia="en-AU"/>
        </w:rPr>
        <w:t> </w:t>
      </w:r>
      <w:r w:rsidRPr="003E4BE8">
        <w:rPr>
          <w:b/>
          <w:bCs/>
          <w:i/>
          <w:u w:val="single"/>
          <w:lang w:val="en-AU" w:eastAsia="en-AU"/>
        </w:rPr>
        <w:t>201</w:t>
      </w:r>
      <w:r w:rsidR="00A14557">
        <w:rPr>
          <w:b/>
          <w:bCs/>
          <w:i/>
          <w:u w:val="single"/>
          <w:lang w:val="en-AU" w:eastAsia="en-AU"/>
        </w:rPr>
        <w:t>1</w:t>
      </w:r>
      <w:r w:rsidR="00DE4EA2" w:rsidRPr="003E4BE8">
        <w:rPr>
          <w:b/>
          <w:bCs/>
          <w:i/>
          <w:u w:val="single"/>
          <w:lang w:val="en-AU" w:eastAsia="en-AU"/>
        </w:rPr>
        <w:t> </w:t>
      </w:r>
      <w:r w:rsidRPr="003E4BE8">
        <w:rPr>
          <w:b/>
          <w:bCs/>
          <w:i/>
          <w:u w:val="single"/>
          <w:lang w:val="en-AU" w:eastAsia="en-AU"/>
        </w:rPr>
        <w:t xml:space="preserve">(No. </w:t>
      </w:r>
      <w:r w:rsidR="001B47CB">
        <w:rPr>
          <w:b/>
          <w:bCs/>
          <w:i/>
          <w:u w:val="single"/>
          <w:lang w:val="en-AU" w:eastAsia="en-AU"/>
        </w:rPr>
        <w:t>5</w:t>
      </w:r>
      <w:r w:rsidRPr="003E4BE8">
        <w:rPr>
          <w:b/>
          <w:bCs/>
          <w:i/>
          <w:u w:val="single"/>
          <w:lang w:val="en-AU" w:eastAsia="en-AU"/>
        </w:rPr>
        <w:t>)</w:t>
      </w:r>
    </w:p>
    <w:p w:rsidR="00DB7878" w:rsidRPr="00EF6D68" w:rsidRDefault="00DB7878" w:rsidP="00DB7878">
      <w:pPr>
        <w:autoSpaceDE w:val="0"/>
        <w:autoSpaceDN w:val="0"/>
        <w:adjustRightInd w:val="0"/>
        <w:spacing w:after="240"/>
        <w:rPr>
          <w:u w:val="single"/>
          <w:lang w:val="en-AU" w:eastAsia="en-AU"/>
        </w:rPr>
      </w:pPr>
      <w:r w:rsidRPr="00EF6D68">
        <w:rPr>
          <w:u w:val="single"/>
          <w:lang w:val="en-AU" w:eastAsia="en-AU"/>
        </w:rPr>
        <w:t>Regulation 1 – Name of Regulations</w:t>
      </w:r>
    </w:p>
    <w:p w:rsidR="00DB7878" w:rsidRPr="00EF6D68" w:rsidRDefault="00DB7878" w:rsidP="00DB7878">
      <w:pPr>
        <w:autoSpaceDE w:val="0"/>
        <w:autoSpaceDN w:val="0"/>
        <w:adjustRightInd w:val="0"/>
        <w:spacing w:after="240"/>
        <w:rPr>
          <w:lang w:val="en-AU" w:eastAsia="en-AU"/>
        </w:rPr>
      </w:pPr>
      <w:r w:rsidRPr="00EF6D68">
        <w:t xml:space="preserve">This regulation </w:t>
      </w:r>
      <w:r w:rsidR="00732F4A">
        <w:t>provide</w:t>
      </w:r>
      <w:r w:rsidR="00E4022D">
        <w:t>s</w:t>
      </w:r>
      <w:r w:rsidR="00732F4A">
        <w:t xml:space="preserve"> </w:t>
      </w:r>
      <w:r w:rsidRPr="00EF6D68">
        <w:t xml:space="preserve">that the name of the Regulations is the </w:t>
      </w:r>
      <w:r w:rsidRPr="00EF6D68">
        <w:rPr>
          <w:i/>
        </w:rPr>
        <w:t xml:space="preserve">National Consumer Credit Protection </w:t>
      </w:r>
      <w:r w:rsidR="006217E8" w:rsidRPr="00EF6D68">
        <w:rPr>
          <w:i/>
        </w:rPr>
        <w:t>Amendmen</w:t>
      </w:r>
      <w:r w:rsidR="009437FE" w:rsidRPr="00EF6D68">
        <w:rPr>
          <w:i/>
        </w:rPr>
        <w:t>t</w:t>
      </w:r>
      <w:r w:rsidR="006217E8" w:rsidRPr="00EF6D68">
        <w:rPr>
          <w:i/>
        </w:rPr>
        <w:t xml:space="preserve"> </w:t>
      </w:r>
      <w:r w:rsidRPr="00EF6D68">
        <w:rPr>
          <w:i/>
        </w:rPr>
        <w:t>Regulations 201</w:t>
      </w:r>
      <w:r w:rsidR="00A14557">
        <w:rPr>
          <w:i/>
        </w:rPr>
        <w:t>1</w:t>
      </w:r>
      <w:r w:rsidR="001B47CB">
        <w:rPr>
          <w:i/>
        </w:rPr>
        <w:t xml:space="preserve"> (No. 5</w:t>
      </w:r>
      <w:r w:rsidR="002A74E6" w:rsidRPr="00EF6D68">
        <w:rPr>
          <w:i/>
        </w:rPr>
        <w:t>)</w:t>
      </w:r>
      <w:r w:rsidRPr="00EF6D68">
        <w:t>.</w:t>
      </w:r>
    </w:p>
    <w:p w:rsidR="00DB7878" w:rsidRPr="00EF6D68" w:rsidRDefault="00DB7878" w:rsidP="00DB7878">
      <w:pPr>
        <w:autoSpaceDE w:val="0"/>
        <w:autoSpaceDN w:val="0"/>
        <w:adjustRightInd w:val="0"/>
        <w:spacing w:after="240"/>
        <w:rPr>
          <w:u w:val="single"/>
          <w:lang w:val="en-AU" w:eastAsia="en-AU"/>
        </w:rPr>
      </w:pPr>
      <w:r w:rsidRPr="00EF6D68">
        <w:rPr>
          <w:u w:val="single"/>
          <w:lang w:val="en-AU" w:eastAsia="en-AU"/>
        </w:rPr>
        <w:t>Regulation 2 – Commencement</w:t>
      </w:r>
    </w:p>
    <w:p w:rsidR="003E4BE8" w:rsidRPr="00EF6D68" w:rsidRDefault="003E4BE8" w:rsidP="003E4BE8">
      <w:pPr>
        <w:autoSpaceDE w:val="0"/>
        <w:autoSpaceDN w:val="0"/>
        <w:adjustRightInd w:val="0"/>
        <w:spacing w:after="240"/>
      </w:pPr>
      <w:r w:rsidRPr="00EF6D68">
        <w:rPr>
          <w:lang w:val="en-AU" w:eastAsia="en-AU"/>
        </w:rPr>
        <w:t xml:space="preserve">The </w:t>
      </w:r>
      <w:r w:rsidR="00732F4A">
        <w:rPr>
          <w:lang w:val="en-AU" w:eastAsia="en-AU"/>
        </w:rPr>
        <w:t>R</w:t>
      </w:r>
      <w:r w:rsidRPr="00EF6D68">
        <w:rPr>
          <w:lang w:val="en-AU" w:eastAsia="en-AU"/>
        </w:rPr>
        <w:t>egulations commence</w:t>
      </w:r>
      <w:r w:rsidRPr="00EF6D68">
        <w:t xml:space="preserve"> on </w:t>
      </w:r>
      <w:r w:rsidR="00423DEF">
        <w:t>1 January 2012</w:t>
      </w:r>
      <w:r w:rsidRPr="00EF6D68">
        <w:t>.</w:t>
      </w:r>
    </w:p>
    <w:p w:rsidR="00DB7878" w:rsidRPr="00EF6D68" w:rsidRDefault="00DB7878" w:rsidP="00DB7878">
      <w:pPr>
        <w:autoSpaceDE w:val="0"/>
        <w:autoSpaceDN w:val="0"/>
        <w:adjustRightInd w:val="0"/>
        <w:spacing w:after="240"/>
        <w:rPr>
          <w:u w:val="single"/>
          <w:lang w:val="en-AU" w:eastAsia="en-AU"/>
        </w:rPr>
      </w:pPr>
      <w:r w:rsidRPr="00EF6D68">
        <w:rPr>
          <w:u w:val="single"/>
          <w:lang w:val="en-AU" w:eastAsia="en-AU"/>
        </w:rPr>
        <w:t xml:space="preserve">Regulation 3 – </w:t>
      </w:r>
      <w:r w:rsidR="009437FE" w:rsidRPr="00EF6D68">
        <w:rPr>
          <w:u w:val="single"/>
          <w:lang w:val="en-AU" w:eastAsia="en-AU"/>
        </w:rPr>
        <w:t xml:space="preserve">Amendment of </w:t>
      </w:r>
      <w:r w:rsidR="009437FE" w:rsidRPr="00EF6D68">
        <w:rPr>
          <w:i/>
          <w:u w:val="single"/>
          <w:lang w:val="en-AU" w:eastAsia="en-AU"/>
        </w:rPr>
        <w:t>National Consumer Credit Protection Regulations 2010</w:t>
      </w:r>
    </w:p>
    <w:p w:rsidR="00DB7878" w:rsidRPr="00EF6D68" w:rsidRDefault="00DB7878" w:rsidP="00DB7878">
      <w:pPr>
        <w:autoSpaceDE w:val="0"/>
        <w:autoSpaceDN w:val="0"/>
        <w:adjustRightInd w:val="0"/>
        <w:spacing w:after="240"/>
        <w:rPr>
          <w:lang w:val="en-AU" w:eastAsia="en-AU"/>
        </w:rPr>
      </w:pPr>
      <w:r w:rsidRPr="00EF6D68">
        <w:t xml:space="preserve">This regulation </w:t>
      </w:r>
      <w:r w:rsidR="00732F4A">
        <w:t>provide</w:t>
      </w:r>
      <w:r w:rsidR="00E4022D">
        <w:t>s</w:t>
      </w:r>
      <w:r w:rsidRPr="00EF6D68">
        <w:t xml:space="preserve"> </w:t>
      </w:r>
      <w:r w:rsidR="009437FE" w:rsidRPr="00EF6D68">
        <w:t xml:space="preserve">that Schedule 1 amends the </w:t>
      </w:r>
      <w:r w:rsidR="003F7243" w:rsidRPr="003F7243">
        <w:rPr>
          <w:i/>
          <w:iCs/>
        </w:rPr>
        <w:t>National Consumer Credit Protection Regulations 201</w:t>
      </w:r>
      <w:r w:rsidR="00A14557">
        <w:rPr>
          <w:i/>
          <w:iCs/>
        </w:rPr>
        <w:t>1</w:t>
      </w:r>
      <w:r w:rsidR="003F7243" w:rsidRPr="003F7243">
        <w:rPr>
          <w:i/>
          <w:iCs/>
        </w:rPr>
        <w:t xml:space="preserve"> </w:t>
      </w:r>
      <w:r w:rsidR="003F7243">
        <w:t>(</w:t>
      </w:r>
      <w:r w:rsidR="00A14557">
        <w:t xml:space="preserve">Principal </w:t>
      </w:r>
      <w:r w:rsidR="001F4BF1" w:rsidRPr="00EF6D68">
        <w:rPr>
          <w:iCs/>
        </w:rPr>
        <w:t>Credit Regulations</w:t>
      </w:r>
      <w:r w:rsidR="003F7243">
        <w:rPr>
          <w:iCs/>
        </w:rPr>
        <w:t>)</w:t>
      </w:r>
      <w:r w:rsidR="001F4BF1" w:rsidRPr="00EF6D68">
        <w:t>.</w:t>
      </w:r>
      <w:r w:rsidRPr="00EF6D68">
        <w:rPr>
          <w:lang w:val="en-AU" w:eastAsia="en-AU"/>
        </w:rPr>
        <w:t xml:space="preserve"> </w:t>
      </w:r>
    </w:p>
    <w:p w:rsidR="009B0360" w:rsidRPr="00EF6D68" w:rsidRDefault="007D6C2C" w:rsidP="00CA07AE">
      <w:pPr>
        <w:spacing w:after="240"/>
        <w:rPr>
          <w:b/>
        </w:rPr>
      </w:pPr>
      <w:r w:rsidRPr="00EF6D68">
        <w:rPr>
          <w:b/>
        </w:rPr>
        <w:t>Schedule 1 – Amendment</w:t>
      </w:r>
      <w:r w:rsidR="00E66E76" w:rsidRPr="00EF6D68">
        <w:rPr>
          <w:b/>
        </w:rPr>
        <w:t xml:space="preserve"> of </w:t>
      </w:r>
      <w:r w:rsidR="00E66E76" w:rsidRPr="00EF6D68">
        <w:rPr>
          <w:b/>
          <w:i/>
          <w:lang w:val="en-AU" w:eastAsia="en-AU"/>
        </w:rPr>
        <w:t>National Consumer Credit Protection Regulations 2010</w:t>
      </w:r>
    </w:p>
    <w:p w:rsidR="00423DEF" w:rsidRDefault="008B477A" w:rsidP="00166B58">
      <w:pPr>
        <w:spacing w:after="240"/>
      </w:pPr>
      <w:bookmarkStart w:id="0" w:name="OLE_LINK7"/>
      <w:bookmarkStart w:id="1" w:name="OLE_LINK8"/>
      <w:r>
        <w:rPr>
          <w:u w:val="single"/>
        </w:rPr>
        <w:t>Item 1</w:t>
      </w:r>
      <w:r w:rsidR="00BC2A19">
        <w:t xml:space="preserve"> </w:t>
      </w:r>
      <w:r w:rsidR="00732F4A">
        <w:t>insert</w:t>
      </w:r>
      <w:r w:rsidR="00E4022D">
        <w:t>s</w:t>
      </w:r>
      <w:r w:rsidR="00BC2A19">
        <w:t xml:space="preserve"> </w:t>
      </w:r>
      <w:r w:rsidR="00423DEF">
        <w:t xml:space="preserve">definitions for </w:t>
      </w:r>
      <w:r w:rsidR="00423DEF" w:rsidRPr="00674338">
        <w:rPr>
          <w:i/>
        </w:rPr>
        <w:t>interest rate</w:t>
      </w:r>
      <w:r w:rsidR="00423DEF">
        <w:t xml:space="preserve"> and </w:t>
      </w:r>
      <w:r w:rsidR="00423DEF" w:rsidRPr="00674338">
        <w:rPr>
          <w:i/>
        </w:rPr>
        <w:t>lender</w:t>
      </w:r>
      <w:r w:rsidR="00050625">
        <w:t xml:space="preserve"> into the Principal Credit Regulations</w:t>
      </w:r>
      <w:r w:rsidR="005A443C">
        <w:t>.</w:t>
      </w:r>
      <w:r w:rsidR="00423DEF">
        <w:t xml:space="preserve">  An </w:t>
      </w:r>
      <w:r w:rsidR="00423DEF" w:rsidRPr="00674338">
        <w:rPr>
          <w:i/>
        </w:rPr>
        <w:t>interest rate</w:t>
      </w:r>
      <w:r w:rsidR="00423DEF">
        <w:t xml:space="preserve"> is the interest rate or </w:t>
      </w:r>
      <w:r w:rsidR="00674338">
        <w:t xml:space="preserve">rates that apply to a type of </w:t>
      </w:r>
      <w:r w:rsidR="00423DEF">
        <w:t xml:space="preserve">home loan or </w:t>
      </w:r>
      <w:r w:rsidR="00674338">
        <w:t xml:space="preserve">a </w:t>
      </w:r>
      <w:r w:rsidR="00423DEF">
        <w:t xml:space="preserve">home loan chosen by a consumer. </w:t>
      </w:r>
    </w:p>
    <w:p w:rsidR="008B477A" w:rsidRPr="008B477A" w:rsidRDefault="00423DEF" w:rsidP="00166B58">
      <w:pPr>
        <w:spacing w:after="240"/>
      </w:pPr>
      <w:r>
        <w:t xml:space="preserve">A </w:t>
      </w:r>
      <w:r w:rsidRPr="00674338">
        <w:rPr>
          <w:i/>
        </w:rPr>
        <w:t>lender</w:t>
      </w:r>
      <w:r>
        <w:t xml:space="preserve"> is a person who determines the pricing of a standard home loan and produces the Key Facts Sheet for that home loan.  This includes but is not limited to banks, credit unions, mortgage managers and product designers.</w:t>
      </w:r>
    </w:p>
    <w:p w:rsidR="00050625" w:rsidRDefault="008050FD" w:rsidP="00166B58">
      <w:pPr>
        <w:spacing w:after="240"/>
      </w:pPr>
      <w:r w:rsidRPr="00EF6D68">
        <w:rPr>
          <w:u w:val="single"/>
        </w:rPr>
        <w:t xml:space="preserve">Item </w:t>
      </w:r>
      <w:r w:rsidR="008B477A">
        <w:rPr>
          <w:u w:val="single"/>
        </w:rPr>
        <w:t>2</w:t>
      </w:r>
      <w:r w:rsidR="00674338">
        <w:t xml:space="preserve"> </w:t>
      </w:r>
      <w:r w:rsidR="00022DD0">
        <w:t>insert</w:t>
      </w:r>
      <w:r w:rsidR="00E4022D">
        <w:t>s</w:t>
      </w:r>
      <w:r w:rsidR="008C3511">
        <w:t xml:space="preserve"> </w:t>
      </w:r>
      <w:r w:rsidR="00050625">
        <w:t>regulation</w:t>
      </w:r>
      <w:r w:rsidR="00F1176D">
        <w:t>s</w:t>
      </w:r>
      <w:r w:rsidR="008C3511">
        <w:t xml:space="preserve"> 28LA </w:t>
      </w:r>
      <w:r w:rsidR="00050625">
        <w:t xml:space="preserve">and 28LB into the Principal Credit Regulations. </w:t>
      </w:r>
    </w:p>
    <w:p w:rsidR="003E59C9" w:rsidRPr="009E44A9" w:rsidRDefault="00050625" w:rsidP="00166B58">
      <w:pPr>
        <w:spacing w:after="240"/>
      </w:pPr>
      <w:r>
        <w:t>Subregulation 28LA</w:t>
      </w:r>
      <w:r w:rsidR="008C3511">
        <w:t xml:space="preserve"> </w:t>
      </w:r>
      <w:r w:rsidR="00022DD0">
        <w:t>make</w:t>
      </w:r>
      <w:r w:rsidR="00E4022D">
        <w:t>s</w:t>
      </w:r>
      <w:r w:rsidR="00674338">
        <w:t xml:space="preserve"> </w:t>
      </w:r>
      <w:r w:rsidR="00650F93">
        <w:t>provisions that apply to determining whether a credit contract is a standard fo</w:t>
      </w:r>
      <w:r w:rsidR="008C3511">
        <w:t>rm contract and therefore may meet the criteria for a</w:t>
      </w:r>
      <w:r w:rsidR="00650F93">
        <w:t xml:space="preserve"> standard home loan</w:t>
      </w:r>
      <w:r w:rsidR="008C3511">
        <w:t xml:space="preserve"> for which a Key Facts Sheet must be provided under the Credit Act.  A standard form contract </w:t>
      </w:r>
      <w:r>
        <w:t xml:space="preserve">is a contract for a home loan </w:t>
      </w:r>
      <w:r w:rsidR="00046954">
        <w:t>for which</w:t>
      </w:r>
      <w:r>
        <w:t xml:space="preserve"> repayments </w:t>
      </w:r>
      <w:r w:rsidR="006764C1">
        <w:t>of</w:t>
      </w:r>
      <w:r>
        <w:t xml:space="preserve"> the loan repay both principal and interest for the term of the loan.  In addition, a standard form contract must be either a variable rate home loan, fixed rate </w:t>
      </w:r>
      <w:r w:rsidRPr="009E44A9">
        <w:t>home loan, honeymoon rate home loan or a discounting rate home loan.</w:t>
      </w:r>
      <w:r w:rsidR="003E59C9" w:rsidRPr="009E44A9">
        <w:t xml:space="preserve">  </w:t>
      </w:r>
    </w:p>
    <w:p w:rsidR="008050FD" w:rsidRDefault="003E59C9" w:rsidP="00166B58">
      <w:pPr>
        <w:spacing w:after="240"/>
      </w:pPr>
      <w:r w:rsidRPr="009E44A9">
        <w:t xml:space="preserve">The purpose of the Key Facts Sheet is to provide potential home loan customers </w:t>
      </w:r>
      <w:r w:rsidR="009E44A9" w:rsidRPr="009E44A9">
        <w:t xml:space="preserve">with </w:t>
      </w:r>
      <w:r w:rsidRPr="009E44A9">
        <w:t xml:space="preserve">information </w:t>
      </w:r>
      <w:r w:rsidR="009E44A9" w:rsidRPr="009E44A9">
        <w:t xml:space="preserve">about home loans in a consistent format so they can more easily </w:t>
      </w:r>
      <w:r w:rsidRPr="009E44A9">
        <w:t xml:space="preserve">compare different home loans.  ASIC may use its discretionary powers </w:t>
      </w:r>
      <w:r w:rsidR="009E44A9" w:rsidRPr="009E44A9">
        <w:t>under</w:t>
      </w:r>
      <w:r w:rsidRPr="009E44A9">
        <w:t xml:space="preserve"> the Credit Act to exempt, on a case by case basis, home loan products which are not ordinarily available to typical home loan customers when shopping around for a home loan</w:t>
      </w:r>
      <w:r w:rsidR="009E44A9" w:rsidRPr="009E44A9">
        <w:t xml:space="preserve"> (and therefore would be unlikely to be considered by typical home loan customer</w:t>
      </w:r>
      <w:r w:rsidR="00596C4E">
        <w:t>s</w:t>
      </w:r>
      <w:r w:rsidR="009E44A9" w:rsidRPr="009E44A9">
        <w:t xml:space="preserve"> when comparing other home loans)</w:t>
      </w:r>
      <w:r w:rsidRPr="009E44A9">
        <w:t xml:space="preserve"> and where the lender would not be able to produce the home loan due to the specific characteristics of the home loan</w:t>
      </w:r>
      <w:r w:rsidR="009E44A9" w:rsidRPr="009E44A9">
        <w:t>, such as the interest rate could not be determined until a loan application is submitted.</w:t>
      </w:r>
    </w:p>
    <w:p w:rsidR="00050625" w:rsidRPr="00050625" w:rsidRDefault="009B5130" w:rsidP="00166B58">
      <w:pPr>
        <w:spacing w:after="240"/>
      </w:pPr>
      <w:r>
        <w:t xml:space="preserve">Subregulation 28LB </w:t>
      </w:r>
      <w:r w:rsidR="00022DD0">
        <w:t>prescribe</w:t>
      </w:r>
      <w:r w:rsidR="00E4022D">
        <w:t>s</w:t>
      </w:r>
      <w:r>
        <w:t xml:space="preserve"> the requirements for a Key Facts sheet.  It provides that Schedule 5 sets out the Key Facts Sheet and the requirements for how the information in the Key Facts Sheet is to be prepared.  It also outlines the requirements for how the Key Facts Sheet must be presented to a consumer or published online.  </w:t>
      </w:r>
      <w:r w:rsidR="00046954">
        <w:t>W</w:t>
      </w:r>
      <w:r w:rsidR="00872E69">
        <w:t>here a lender is not able to print the Key Facts Sheet in color, it may be printed in black and white.</w:t>
      </w:r>
    </w:p>
    <w:p w:rsidR="00253DFD" w:rsidRDefault="008074D0" w:rsidP="00166B58">
      <w:pPr>
        <w:pStyle w:val="NormalWeb"/>
        <w:shd w:val="clear" w:color="auto" w:fill="FFFFFF"/>
      </w:pPr>
      <w:r w:rsidRPr="00EF6D68">
        <w:rPr>
          <w:u w:val="single"/>
        </w:rPr>
        <w:t>Item</w:t>
      </w:r>
      <w:r w:rsidR="00166B58">
        <w:rPr>
          <w:u w:val="single"/>
        </w:rPr>
        <w:t xml:space="preserve"> </w:t>
      </w:r>
      <w:r w:rsidR="00872E69">
        <w:rPr>
          <w:u w:val="single"/>
        </w:rPr>
        <w:t>3</w:t>
      </w:r>
      <w:r w:rsidR="009D652E" w:rsidRPr="007C6B1E">
        <w:t xml:space="preserve"> </w:t>
      </w:r>
      <w:r w:rsidR="00872E69">
        <w:t>insert</w:t>
      </w:r>
      <w:r w:rsidR="00E4022D">
        <w:t>s</w:t>
      </w:r>
      <w:r w:rsidR="00872E69">
        <w:t xml:space="preserve"> </w:t>
      </w:r>
      <w:r w:rsidR="00F1176D">
        <w:t xml:space="preserve">a new </w:t>
      </w:r>
      <w:r w:rsidR="00872E69">
        <w:t xml:space="preserve">Schedule 5 which contains </w:t>
      </w:r>
      <w:r w:rsidR="006764C1">
        <w:t>two</w:t>
      </w:r>
      <w:r w:rsidR="00872E69">
        <w:t xml:space="preserve"> Parts.  </w:t>
      </w:r>
    </w:p>
    <w:p w:rsidR="00872E69" w:rsidRDefault="00872E69" w:rsidP="00166B58">
      <w:pPr>
        <w:pStyle w:val="NormalWeb"/>
        <w:shd w:val="clear" w:color="auto" w:fill="FFFFFF"/>
      </w:pPr>
      <w:r>
        <w:lastRenderedPageBreak/>
        <w:t xml:space="preserve">Part 1 </w:t>
      </w:r>
      <w:r w:rsidR="00E4022D">
        <w:t>is</w:t>
      </w:r>
      <w:r>
        <w:t xml:space="preserve"> the Model of the Key Facts Sheet.  It outline</w:t>
      </w:r>
      <w:r w:rsidR="00E4022D">
        <w:t>s</w:t>
      </w:r>
      <w:r>
        <w:t xml:space="preserve"> the words that must be present in a Key Facts Sheet and the information that must be given to the consumer.  The Key Facts Sheet is provided to potential consumers to assist them in comparing the cost and other features of home loans.  Key features of the Key Facts Sheet document include:</w:t>
      </w:r>
    </w:p>
    <w:p w:rsidR="00872E69" w:rsidRDefault="00872E69" w:rsidP="00872E69">
      <w:pPr>
        <w:pStyle w:val="Bullet"/>
      </w:pPr>
      <w:r>
        <w:t>the date the Key Facts Sheet is produced and the lender’s logo;</w:t>
      </w:r>
    </w:p>
    <w:p w:rsidR="00872E69" w:rsidRDefault="00872E69" w:rsidP="00872E69">
      <w:pPr>
        <w:pStyle w:val="Bullet"/>
      </w:pPr>
      <w:r>
        <w:t>a disclaimer advising tha</w:t>
      </w:r>
      <w:r w:rsidR="00596C4E">
        <w:t xml:space="preserve">t the Key Facts Sheet is not a formal </w:t>
      </w:r>
      <w:r>
        <w:t>offer of credit from the lender;</w:t>
      </w:r>
    </w:p>
    <w:p w:rsidR="00872E69" w:rsidRDefault="00872E69" w:rsidP="00872E69">
      <w:pPr>
        <w:pStyle w:val="Bullet"/>
      </w:pPr>
      <w:r>
        <w:t>information provided by the consumer such as the preferred loan amount and loan term;</w:t>
      </w:r>
    </w:p>
    <w:p w:rsidR="00872E69" w:rsidRDefault="00872E69" w:rsidP="00872E69">
      <w:pPr>
        <w:pStyle w:val="Bullet"/>
      </w:pPr>
      <w:r>
        <w:t>description of the home loan including the repayment method</w:t>
      </w:r>
      <w:r w:rsidR="00521CFE">
        <w:t>,</w:t>
      </w:r>
      <w:r>
        <w:t xml:space="preserve"> repayment frequency</w:t>
      </w:r>
      <w:r w:rsidR="00521CFE">
        <w:t xml:space="preserve">, interest rate, and the personalised </w:t>
      </w:r>
      <w:r w:rsidR="003D7FF4">
        <w:t>comparison</w:t>
      </w:r>
      <w:r w:rsidR="00521CFE">
        <w:t xml:space="preserve"> rate</w:t>
      </w:r>
      <w:r>
        <w:t>;</w:t>
      </w:r>
    </w:p>
    <w:p w:rsidR="00521CFE" w:rsidRDefault="00521CFE" w:rsidP="00521CFE">
      <w:pPr>
        <w:pStyle w:val="Bullet"/>
      </w:pPr>
      <w:r>
        <w:t>estimated cost of the home loan including the total amount to be paid back, the cost of the loan for each $1 borrowed, establishment and ongoing fees, and mo</w:t>
      </w:r>
      <w:r w:rsidR="00253DFD">
        <w:t xml:space="preserve">nthly and annual repayments; </w:t>
      </w:r>
    </w:p>
    <w:p w:rsidR="00521CFE" w:rsidRDefault="00521CFE" w:rsidP="00521CFE">
      <w:pPr>
        <w:pStyle w:val="Bullet"/>
      </w:pPr>
      <w:r>
        <w:t xml:space="preserve">a paragraph </w:t>
      </w:r>
      <w:r w:rsidR="006764C1">
        <w:t>describing</w:t>
      </w:r>
      <w:r>
        <w:t xml:space="preserve"> how consumers can shop around for the best deals</w:t>
      </w:r>
      <w:r w:rsidR="00253DFD">
        <w:t>; and</w:t>
      </w:r>
    </w:p>
    <w:p w:rsidR="00253DFD" w:rsidRDefault="00253DFD" w:rsidP="00521CFE">
      <w:pPr>
        <w:pStyle w:val="Bullet"/>
      </w:pPr>
      <w:r>
        <w:t>further information about the Key Facts Sheet on the next page including an explanation of the personalised comparison rate.</w:t>
      </w:r>
    </w:p>
    <w:p w:rsidR="00521CFE" w:rsidRDefault="00521CFE" w:rsidP="00521CFE">
      <w:pPr>
        <w:pStyle w:val="Bullet"/>
        <w:numPr>
          <w:ilvl w:val="0"/>
          <w:numId w:val="0"/>
        </w:numPr>
      </w:pPr>
      <w:r>
        <w:t xml:space="preserve">Other information that may be required in the Key Facts Sheet </w:t>
      </w:r>
      <w:r w:rsidR="00E4022D">
        <w:t>are</w:t>
      </w:r>
      <w:r w:rsidR="006764C1">
        <w:t>:</w:t>
      </w:r>
    </w:p>
    <w:p w:rsidR="00253DFD" w:rsidRDefault="00253DFD" w:rsidP="00521CFE">
      <w:pPr>
        <w:pStyle w:val="Bullet"/>
      </w:pPr>
      <w:r>
        <w:t>for loans where the interest rate may vary at any time during the loan contract – information about what happens to repayments when interest rates increase</w:t>
      </w:r>
      <w:r w:rsidR="006764C1">
        <w:t>;</w:t>
      </w:r>
    </w:p>
    <w:p w:rsidR="00521CFE" w:rsidRDefault="00253DFD" w:rsidP="00521CFE">
      <w:pPr>
        <w:pStyle w:val="Bullet"/>
      </w:pPr>
      <w:r>
        <w:t>for fixed rate loans – information about what happens to repayments at the end of a fixed rate period;</w:t>
      </w:r>
      <w:r w:rsidR="006764C1">
        <w:t xml:space="preserve"> and</w:t>
      </w:r>
    </w:p>
    <w:p w:rsidR="00253DFD" w:rsidRDefault="00253DFD" w:rsidP="00521CFE">
      <w:pPr>
        <w:pStyle w:val="Bullet"/>
      </w:pPr>
      <w:r>
        <w:t>for loans where additional repayments may be made – information about how to repay the home loan faster.</w:t>
      </w:r>
    </w:p>
    <w:p w:rsidR="00253DFD" w:rsidRDefault="00253DFD" w:rsidP="00253DFD">
      <w:pPr>
        <w:pStyle w:val="Bullet"/>
        <w:numPr>
          <w:ilvl w:val="0"/>
          <w:numId w:val="0"/>
        </w:numPr>
      </w:pPr>
      <w:r>
        <w:t>Part 2 provide</w:t>
      </w:r>
      <w:r w:rsidR="00E4022D">
        <w:t>s</w:t>
      </w:r>
      <w:r>
        <w:t xml:space="preserve"> information </w:t>
      </w:r>
      <w:r w:rsidR="00046954">
        <w:t>o</w:t>
      </w:r>
      <w:r w:rsidR="0024145A">
        <w:t>n</w:t>
      </w:r>
      <w:r>
        <w:t xml:space="preserve"> preparing a Key Facts Sheet</w:t>
      </w:r>
      <w:r w:rsidR="0024145A">
        <w:t>.</w:t>
      </w:r>
      <w:r w:rsidR="0018410D">
        <w:t xml:space="preserve">  Paragraph 2.1 provide</w:t>
      </w:r>
      <w:r w:rsidR="00596C4E">
        <w:t>s</w:t>
      </w:r>
      <w:r w:rsidR="0018410D">
        <w:t xml:space="preserve"> notes in the model of the Key Facts Sheet.</w:t>
      </w:r>
    </w:p>
    <w:p w:rsidR="0024145A" w:rsidRDefault="0024145A" w:rsidP="00253DFD">
      <w:pPr>
        <w:pStyle w:val="Bullet"/>
        <w:numPr>
          <w:ilvl w:val="0"/>
          <w:numId w:val="0"/>
        </w:numPr>
      </w:pPr>
      <w:r>
        <w:t xml:space="preserve">Note 1 </w:t>
      </w:r>
      <w:r w:rsidR="003D7FF4">
        <w:t>explain</w:t>
      </w:r>
      <w:r w:rsidR="00E4022D">
        <w:t>s</w:t>
      </w:r>
      <w:r>
        <w:t xml:space="preserve"> how the lender’s Australian credit licen</w:t>
      </w:r>
      <w:r w:rsidR="006764C1">
        <w:t xml:space="preserve">ce </w:t>
      </w:r>
      <w:r>
        <w:t xml:space="preserve">number (ACL) is to be disclosed.  If the lender is not an ACL holder, </w:t>
      </w:r>
      <w:r w:rsidR="00046954">
        <w:t>no ACL number is required, however the lender must disclose that the credit provider’s ACL number will be provided in the credit contract.  The lender does not need to disclose their Australian company number or their Australian business number</w:t>
      </w:r>
      <w:r w:rsidR="003D7FF4">
        <w:t>.</w:t>
      </w:r>
    </w:p>
    <w:p w:rsidR="003D7FF4" w:rsidRDefault="003D7FF4" w:rsidP="00253DFD">
      <w:pPr>
        <w:pStyle w:val="Bullet"/>
        <w:numPr>
          <w:ilvl w:val="0"/>
          <w:numId w:val="0"/>
        </w:numPr>
      </w:pPr>
      <w:r>
        <w:t xml:space="preserve">Note 2 </w:t>
      </w:r>
      <w:r w:rsidR="00E4022D">
        <w:t>explains</w:t>
      </w:r>
      <w:r>
        <w:t xml:space="preserve"> that the type of loan must be either a fixed or variable rate home loan.  If a fixed rate loan is specified, then the term of the fixed rate period must also be provided.</w:t>
      </w:r>
    </w:p>
    <w:p w:rsidR="003D7FF4" w:rsidRDefault="003D7FF4" w:rsidP="00253DFD">
      <w:pPr>
        <w:pStyle w:val="Bullet"/>
        <w:numPr>
          <w:ilvl w:val="0"/>
          <w:numId w:val="0"/>
        </w:numPr>
      </w:pPr>
      <w:r>
        <w:t>Note 3 explain</w:t>
      </w:r>
      <w:r w:rsidR="00E4022D">
        <w:t>s</w:t>
      </w:r>
      <w:r>
        <w:t xml:space="preserve"> that repayments must pay off principal and interest.  This is the only repayment method available for loans to which the Key Facts Sheet applies.</w:t>
      </w:r>
    </w:p>
    <w:p w:rsidR="0024145A" w:rsidRDefault="00CC056C" w:rsidP="00253DFD">
      <w:pPr>
        <w:pStyle w:val="Bullet"/>
        <w:numPr>
          <w:ilvl w:val="0"/>
          <w:numId w:val="0"/>
        </w:numPr>
      </w:pPr>
      <w:r>
        <w:t>Note 4 explain</w:t>
      </w:r>
      <w:r w:rsidR="00E4022D">
        <w:t>s</w:t>
      </w:r>
      <w:r>
        <w:t xml:space="preserve"> that the only repayment frequency available on the Key Facts Sheet are monthly repayments.  The product for which the Key Facts Sheet is generated may offer alternative repayment frequencies, such as weekly or fortnightly, but for the purposes of the Key Facts Sheet, calculations will be based on monthly repayments.</w:t>
      </w:r>
    </w:p>
    <w:p w:rsidR="00CC056C" w:rsidRDefault="00CC056C" w:rsidP="00253DFD">
      <w:pPr>
        <w:pStyle w:val="Bullet"/>
        <w:numPr>
          <w:ilvl w:val="0"/>
          <w:numId w:val="0"/>
        </w:numPr>
      </w:pPr>
      <w:r>
        <w:lastRenderedPageBreak/>
        <w:t>Note 5 explain</w:t>
      </w:r>
      <w:r w:rsidR="00E4022D">
        <w:t>s</w:t>
      </w:r>
      <w:r>
        <w:t xml:space="preserve"> how the interest rate is to be disclosed.  </w:t>
      </w:r>
      <w:r w:rsidR="00FF24DE">
        <w:t xml:space="preserve">If the interest rate may change over the term of the loan than this must </w:t>
      </w:r>
      <w:r w:rsidR="00687172">
        <w:t>also be disclosed.  For example</w:t>
      </w:r>
      <w:r w:rsidR="00FF24DE">
        <w:t>:</w:t>
      </w:r>
    </w:p>
    <w:p w:rsidR="00046954" w:rsidRDefault="00FF24DE" w:rsidP="00046954">
      <w:pPr>
        <w:pStyle w:val="Bullet"/>
      </w:pPr>
      <w:r>
        <w:t>For a variable rate loan: 7.09% per annum</w:t>
      </w:r>
      <w:r w:rsidR="00E4022D">
        <w:t>.</w:t>
      </w:r>
    </w:p>
    <w:p w:rsidR="00046954" w:rsidRDefault="00FF24DE" w:rsidP="00046954">
      <w:pPr>
        <w:pStyle w:val="Bullet"/>
      </w:pPr>
      <w:r>
        <w:t>For a fixed rate loan: 7.29% per annum fixed for 3 years, then a variable rate currently 7.09% per annum.</w:t>
      </w:r>
    </w:p>
    <w:p w:rsidR="00046954" w:rsidRDefault="00FF24DE" w:rsidP="00046954">
      <w:pPr>
        <w:pStyle w:val="Bullet"/>
      </w:pPr>
      <w:r>
        <w:t xml:space="preserve">For </w:t>
      </w:r>
      <w:r w:rsidR="00687172">
        <w:t xml:space="preserve">a </w:t>
      </w:r>
      <w:r w:rsidR="00F64747">
        <w:t>discount</w:t>
      </w:r>
      <w:r w:rsidR="00687172">
        <w:t xml:space="preserve"> rate loan</w:t>
      </w:r>
      <w:r w:rsidR="00046954">
        <w:t xml:space="preserve"> which discounts 0.2% per annum after the first year</w:t>
      </w:r>
      <w:r w:rsidR="00687172">
        <w:t xml:space="preserve">: </w:t>
      </w:r>
      <w:r w:rsidR="00F64747">
        <w:t xml:space="preserve">7.09% per annum for </w:t>
      </w:r>
      <w:r w:rsidR="00046954">
        <w:t>1</w:t>
      </w:r>
      <w:r w:rsidR="00F64747">
        <w:t xml:space="preserve"> </w:t>
      </w:r>
      <w:r w:rsidR="00046954">
        <w:t>year</w:t>
      </w:r>
      <w:r w:rsidR="00F64747">
        <w:t xml:space="preserve">, then </w:t>
      </w:r>
      <w:r w:rsidR="00046954">
        <w:t>6.89</w:t>
      </w:r>
      <w:r w:rsidR="00E4022D">
        <w:t>% per annum.</w:t>
      </w:r>
    </w:p>
    <w:p w:rsidR="00046954" w:rsidRDefault="00046954" w:rsidP="00046954">
      <w:pPr>
        <w:pStyle w:val="Bullet"/>
      </w:pPr>
      <w:r>
        <w:t>For a introductory rate loan which gives a 1.0% per annum discount during the first year: 6.09% per annum for 1 year, then a variable rate currently 7.09 per annum</w:t>
      </w:r>
      <w:r w:rsidR="00E4022D">
        <w:t>.</w:t>
      </w:r>
    </w:p>
    <w:p w:rsidR="00F64747" w:rsidRDefault="00F64747" w:rsidP="00F64747">
      <w:pPr>
        <w:pStyle w:val="Bullet"/>
        <w:numPr>
          <w:ilvl w:val="0"/>
          <w:numId w:val="0"/>
        </w:numPr>
      </w:pPr>
      <w:r>
        <w:t>Note 6 explain</w:t>
      </w:r>
      <w:r w:rsidR="00E4022D">
        <w:t>s</w:t>
      </w:r>
      <w:r>
        <w:t xml:space="preserve"> the calculation of the </w:t>
      </w:r>
      <w:r w:rsidRPr="00046954">
        <w:rPr>
          <w:i/>
        </w:rPr>
        <w:t>personalised comparison rate</w:t>
      </w:r>
      <w:r>
        <w:t xml:space="preserve">.  The </w:t>
      </w:r>
      <w:r w:rsidRPr="00046954">
        <w:rPr>
          <w:i/>
        </w:rPr>
        <w:t xml:space="preserve">personalised </w:t>
      </w:r>
      <w:r w:rsidR="00C80F93" w:rsidRPr="00046954">
        <w:rPr>
          <w:i/>
        </w:rPr>
        <w:t>comparison</w:t>
      </w:r>
      <w:r w:rsidRPr="00046954">
        <w:rPr>
          <w:i/>
        </w:rPr>
        <w:t xml:space="preserve"> rate</w:t>
      </w:r>
      <w:r>
        <w:t xml:space="preserve"> is to be calculated </w:t>
      </w:r>
      <w:r w:rsidR="00C80F93">
        <w:t>in accordance</w:t>
      </w:r>
      <w:r>
        <w:t xml:space="preserve"> with the formula in subregulation 100(3) of the Principal Credit Regulations to calculate </w:t>
      </w:r>
      <w:r w:rsidR="00C80F93">
        <w:t>comparison</w:t>
      </w:r>
      <w:r>
        <w:t xml:space="preserve"> rates, but using the designated amounts for </w:t>
      </w:r>
      <w:r w:rsidR="00C80F93">
        <w:t xml:space="preserve">the loan amount and loan term as provided by the consumer.  The fees included in the calculation of the personalised comparison rate are the same as those that would be included in the calculation of a mandatory comparison rate under regulation 100 of the Principal Credit Regulations.  That is fees and charges (other than government fees, charges and duty) that are ascertainable at the time the Key Facts Sheet is provided.  The tolerances and assumptions used for the calculation of the mandatory comparison rate also apply to the </w:t>
      </w:r>
      <w:r w:rsidR="00C80F93" w:rsidRPr="00046954">
        <w:rPr>
          <w:i/>
        </w:rPr>
        <w:t>personalised comparison rate</w:t>
      </w:r>
      <w:r w:rsidR="00C80F93">
        <w:t xml:space="preserve"> in the Key Facts Sheet.</w:t>
      </w:r>
    </w:p>
    <w:p w:rsidR="00C80F93" w:rsidRDefault="00C80F93" w:rsidP="00F64747">
      <w:pPr>
        <w:pStyle w:val="Bullet"/>
        <w:numPr>
          <w:ilvl w:val="0"/>
          <w:numId w:val="0"/>
        </w:numPr>
      </w:pPr>
      <w:r>
        <w:t>Note 7 explain</w:t>
      </w:r>
      <w:r w:rsidR="00E4022D">
        <w:t>s</w:t>
      </w:r>
      <w:r>
        <w:t xml:space="preserve"> the calculation of the total amount to be paid back.  This is the total amount inclusive of all interest and fees to be payable over the life of the loan.  It uses the same tolerances and assumptions as those to calculate the </w:t>
      </w:r>
      <w:r w:rsidRPr="00046954">
        <w:rPr>
          <w:i/>
        </w:rPr>
        <w:t>personalised comparison rate</w:t>
      </w:r>
      <w:r>
        <w:t>.</w:t>
      </w:r>
    </w:p>
    <w:p w:rsidR="00C80F93" w:rsidRDefault="00C80F93" w:rsidP="00F64747">
      <w:pPr>
        <w:pStyle w:val="Bullet"/>
        <w:numPr>
          <w:ilvl w:val="0"/>
          <w:numId w:val="0"/>
        </w:numPr>
      </w:pPr>
      <w:r>
        <w:t>Note 8 explain</w:t>
      </w:r>
      <w:r w:rsidR="00E4022D">
        <w:t>s</w:t>
      </w:r>
      <w:r>
        <w:t xml:space="preserve"> that the field entitled </w:t>
      </w:r>
      <w:r w:rsidR="006764C1">
        <w:t>“</w:t>
      </w:r>
      <w:r>
        <w:t>This means you will pay back</w:t>
      </w:r>
      <w:r w:rsidR="006764C1">
        <w:t>”</w:t>
      </w:r>
      <w:r>
        <w:t xml:space="preserve"> is to provide the total amount to be paid back divided by the loan amount.  This is expressed as a dollar amount for every dollar borrowed.</w:t>
      </w:r>
    </w:p>
    <w:p w:rsidR="00C80F93" w:rsidRDefault="00C80F93" w:rsidP="00F64747">
      <w:pPr>
        <w:pStyle w:val="Bullet"/>
        <w:numPr>
          <w:ilvl w:val="0"/>
          <w:numId w:val="0"/>
        </w:numPr>
      </w:pPr>
      <w:r>
        <w:t>Note 9 explain</w:t>
      </w:r>
      <w:r w:rsidR="00E4022D">
        <w:t>s</w:t>
      </w:r>
      <w:r>
        <w:t xml:space="preserve"> that the establishment </w:t>
      </w:r>
      <w:r w:rsidR="0008105D">
        <w:t xml:space="preserve">fee includes fees and charges that are included in the calculation of the </w:t>
      </w:r>
      <w:r w:rsidR="0008105D" w:rsidRPr="0008105D">
        <w:rPr>
          <w:i/>
        </w:rPr>
        <w:t>personalised comparison rate</w:t>
      </w:r>
      <w:r w:rsidR="0008105D">
        <w:t xml:space="preserve"> (in Note 6) which are paid to the lender on the commencement of the loan.</w:t>
      </w:r>
    </w:p>
    <w:p w:rsidR="0008105D" w:rsidRDefault="0008105D" w:rsidP="00F64747">
      <w:pPr>
        <w:pStyle w:val="Bullet"/>
        <w:numPr>
          <w:ilvl w:val="0"/>
          <w:numId w:val="0"/>
        </w:numPr>
      </w:pPr>
      <w:r>
        <w:t>Note 10 explain</w:t>
      </w:r>
      <w:r w:rsidR="00E4022D">
        <w:t>s</w:t>
      </w:r>
      <w:r>
        <w:t xml:space="preserve"> that for a variable rate loan or a fixed rate loan which expires at the end of the fixed rate period, the repayment per month and the repayment per year need to be disclosed.  For other loans which may have changes in the interest rate written into the credit contract, the repayment per month and repayment per year for the initial period before the change in interest rate must be provided along with the repayment per month and repayment per year for the later period under the changed interest rate.</w:t>
      </w:r>
    </w:p>
    <w:p w:rsidR="0008105D" w:rsidRDefault="0008105D" w:rsidP="00F64747">
      <w:pPr>
        <w:pStyle w:val="Bullet"/>
        <w:numPr>
          <w:ilvl w:val="0"/>
          <w:numId w:val="0"/>
        </w:numPr>
      </w:pPr>
      <w:r>
        <w:t>Note 11 explain</w:t>
      </w:r>
      <w:r w:rsidR="00E4022D">
        <w:t>s</w:t>
      </w:r>
      <w:r>
        <w:t xml:space="preserve"> that the </w:t>
      </w:r>
      <w:r w:rsidRPr="0008105D">
        <w:rPr>
          <w:i/>
        </w:rPr>
        <w:t>monthly repayment</w:t>
      </w:r>
      <w:r>
        <w:t xml:space="preserve"> is to include the repayment for the month and any fees and charges incurred in that month.</w:t>
      </w:r>
    </w:p>
    <w:p w:rsidR="0008105D" w:rsidRDefault="0008105D" w:rsidP="00F64747">
      <w:pPr>
        <w:pStyle w:val="Bullet"/>
        <w:numPr>
          <w:ilvl w:val="0"/>
          <w:numId w:val="0"/>
        </w:numPr>
      </w:pPr>
      <w:r>
        <w:t>Note 12 explain</w:t>
      </w:r>
      <w:r w:rsidR="00E4022D">
        <w:t>s</w:t>
      </w:r>
      <w:r>
        <w:t xml:space="preserve"> that the </w:t>
      </w:r>
      <w:r w:rsidRPr="0008105D">
        <w:rPr>
          <w:i/>
        </w:rPr>
        <w:t xml:space="preserve">yearly repayment </w:t>
      </w:r>
      <w:r>
        <w:t>is to include the total of all repayments made in that year and all fees and charges incurred in the year.</w:t>
      </w:r>
    </w:p>
    <w:p w:rsidR="00E937BB" w:rsidRDefault="00E937BB" w:rsidP="00F64747">
      <w:pPr>
        <w:pStyle w:val="Bullet"/>
        <w:numPr>
          <w:ilvl w:val="0"/>
          <w:numId w:val="0"/>
        </w:numPr>
      </w:pPr>
      <w:r>
        <w:t>Note 13 explain</w:t>
      </w:r>
      <w:r w:rsidR="00E4022D">
        <w:t>s</w:t>
      </w:r>
      <w:r>
        <w:t xml:space="preserve"> that the disclosure provided in Note 10 for where there is a change in the interest rate includes the length of time before the change in interest rate occurs.  For example, </w:t>
      </w:r>
      <w:r w:rsidRPr="00E937BB">
        <w:t xml:space="preserve">Repayment per month for the first </w:t>
      </w:r>
      <w:r w:rsidRPr="00E937BB">
        <w:rPr>
          <w:i/>
        </w:rPr>
        <w:t>3 years</w:t>
      </w:r>
      <w:r>
        <w:t>.</w:t>
      </w:r>
    </w:p>
    <w:p w:rsidR="00E937BB" w:rsidRDefault="00E937BB" w:rsidP="00F64747">
      <w:pPr>
        <w:pStyle w:val="Bullet"/>
        <w:numPr>
          <w:ilvl w:val="0"/>
          <w:numId w:val="0"/>
        </w:numPr>
      </w:pPr>
      <w:r>
        <w:lastRenderedPageBreak/>
        <w:t>Note 14 allow</w:t>
      </w:r>
      <w:r w:rsidR="00E4022D">
        <w:t>s</w:t>
      </w:r>
      <w:r>
        <w:t xml:space="preserve"> the sentence “Additional fees may be payable if you choose to repay your fixed rate home loan early” to be omitted if break fees are not payable under the home loan.</w:t>
      </w:r>
    </w:p>
    <w:p w:rsidR="00E937BB" w:rsidRDefault="00E937BB" w:rsidP="00F64747">
      <w:pPr>
        <w:pStyle w:val="Bullet"/>
        <w:numPr>
          <w:ilvl w:val="0"/>
          <w:numId w:val="0"/>
        </w:numPr>
      </w:pPr>
      <w:r>
        <w:t>Note 15 allow</w:t>
      </w:r>
      <w:r w:rsidR="00E4022D">
        <w:t>s</w:t>
      </w:r>
      <w:r>
        <w:t xml:space="preserve"> the box entitled “What happens at the end of the fixed rate period?” to be omitted if the interest rate is variable or will be fixed for the entire term of the loan.</w:t>
      </w:r>
    </w:p>
    <w:p w:rsidR="00E937BB" w:rsidRDefault="00E937BB" w:rsidP="00F64747">
      <w:pPr>
        <w:pStyle w:val="Bullet"/>
        <w:numPr>
          <w:ilvl w:val="0"/>
          <w:numId w:val="0"/>
        </w:numPr>
      </w:pPr>
      <w:r>
        <w:t xml:space="preserve">Note 16 </w:t>
      </w:r>
      <w:r w:rsidR="003511DB">
        <w:t>explai</w:t>
      </w:r>
      <w:r w:rsidR="00E4022D">
        <w:t>s</w:t>
      </w:r>
      <w:r w:rsidR="003511DB">
        <w:t>n that there are three options to provide the disclosure entitled “How can I repay my loan faster”.  The first is for instances where additional repayments are permitted without charge, where the disclosure must include the impact of making $200 more than the minimum repayment a month.  The second is where additional repayments are permitted but attract a fee.  The third is where no additional repayments are permitted.</w:t>
      </w:r>
    </w:p>
    <w:p w:rsidR="00CC056C" w:rsidRDefault="0018410D" w:rsidP="00253DFD">
      <w:pPr>
        <w:pStyle w:val="Bullet"/>
        <w:numPr>
          <w:ilvl w:val="0"/>
          <w:numId w:val="0"/>
        </w:numPr>
      </w:pPr>
      <w:r>
        <w:t xml:space="preserve">Paragraph 2.2 </w:t>
      </w:r>
      <w:r w:rsidR="00022DD0">
        <w:t>allow</w:t>
      </w:r>
      <w:r w:rsidR="00E4022D">
        <w:t>s</w:t>
      </w:r>
      <w:r>
        <w:t xml:space="preserve"> tolerances and assumptions under section 180 of the </w:t>
      </w:r>
      <w:r w:rsidR="00596C4E">
        <w:t xml:space="preserve">National Credit </w:t>
      </w:r>
      <w:r>
        <w:t>Code to apply to the calculation of amounts for the Key Facts Sheet.</w:t>
      </w:r>
    </w:p>
    <w:p w:rsidR="0018410D" w:rsidRDefault="0018410D" w:rsidP="00253DFD">
      <w:pPr>
        <w:pStyle w:val="Bullet"/>
        <w:numPr>
          <w:ilvl w:val="0"/>
          <w:numId w:val="0"/>
        </w:numPr>
      </w:pPr>
      <w:r>
        <w:t>Paragraph 2.3</w:t>
      </w:r>
      <w:r w:rsidR="00022DD0">
        <w:t xml:space="preserve"> require</w:t>
      </w:r>
      <w:r w:rsidR="00E4022D">
        <w:t>s</w:t>
      </w:r>
      <w:r>
        <w:t xml:space="preserve"> Key Facts Sheets that are generated online to provide working links to websites mentioned in the Key Facts Sheet.</w:t>
      </w:r>
    </w:p>
    <w:p w:rsidR="00046954" w:rsidRDefault="00046954" w:rsidP="00253DFD">
      <w:pPr>
        <w:pStyle w:val="Bullet"/>
        <w:numPr>
          <w:ilvl w:val="0"/>
          <w:numId w:val="0"/>
        </w:numPr>
      </w:pPr>
      <w:r>
        <w:t>Paragraph 2.4 allow</w:t>
      </w:r>
      <w:r w:rsidR="00E4022D">
        <w:t>s</w:t>
      </w:r>
      <w:r>
        <w:t xml:space="preserve"> lenders who are not required to provide a Key Facts Sheet to provide a Key Facts Sheet if they comply, to a reasonable extent, with the requirements for producing the Key Facts Sheet.  Lenders that do so, must omit references to the production of the Key Facts Sheet being an Australian Government requirement.</w:t>
      </w:r>
    </w:p>
    <w:p w:rsidR="00253DFD" w:rsidRDefault="002709A5" w:rsidP="00253DFD">
      <w:pPr>
        <w:pStyle w:val="Bullet"/>
        <w:numPr>
          <w:ilvl w:val="0"/>
          <w:numId w:val="0"/>
        </w:numPr>
      </w:pPr>
      <w:r>
        <w:t>Annexes</w:t>
      </w:r>
      <w:r w:rsidR="0018410D">
        <w:t xml:space="preserve"> A to C provide e</w:t>
      </w:r>
      <w:r w:rsidR="0024145A">
        <w:t>xample</w:t>
      </w:r>
      <w:r w:rsidR="0018410D">
        <w:t>s</w:t>
      </w:r>
      <w:r w:rsidR="0024145A">
        <w:t xml:space="preserve"> </w:t>
      </w:r>
      <w:r w:rsidR="0018410D">
        <w:t xml:space="preserve">of </w:t>
      </w:r>
      <w:r w:rsidR="0024145A">
        <w:t>Key Facts Sheets.</w:t>
      </w:r>
    </w:p>
    <w:p w:rsidR="0024145A" w:rsidRDefault="002709A5" w:rsidP="00253DFD">
      <w:pPr>
        <w:pStyle w:val="Bullet"/>
        <w:numPr>
          <w:ilvl w:val="0"/>
          <w:numId w:val="0"/>
        </w:numPr>
      </w:pPr>
      <w:r>
        <w:rPr>
          <w:u w:val="single"/>
        </w:rPr>
        <w:t>Annex</w:t>
      </w:r>
      <w:r w:rsidR="0024145A" w:rsidRPr="0018410D">
        <w:rPr>
          <w:u w:val="single"/>
        </w:rPr>
        <w:t xml:space="preserve"> A</w:t>
      </w:r>
      <w:r w:rsidR="0024145A">
        <w:t xml:space="preserve"> provides an example of a Key Facts Sheet for a variable loan of $400,000.</w:t>
      </w:r>
    </w:p>
    <w:p w:rsidR="0024145A" w:rsidRDefault="002709A5" w:rsidP="00253DFD">
      <w:pPr>
        <w:pStyle w:val="Bullet"/>
        <w:numPr>
          <w:ilvl w:val="0"/>
          <w:numId w:val="0"/>
        </w:numPr>
      </w:pPr>
      <w:r>
        <w:rPr>
          <w:u w:val="single"/>
        </w:rPr>
        <w:t>Annex</w:t>
      </w:r>
      <w:r w:rsidR="0024145A" w:rsidRPr="0018410D">
        <w:rPr>
          <w:u w:val="single"/>
        </w:rPr>
        <w:t xml:space="preserve"> B</w:t>
      </w:r>
      <w:r w:rsidR="0024145A">
        <w:t xml:space="preserve"> provides an example of a Key Facts Sheet for a fixed loan of $400,000 with a fixed interest rate for 1 year.</w:t>
      </w:r>
    </w:p>
    <w:p w:rsidR="0024145A" w:rsidRDefault="002709A5" w:rsidP="00253DFD">
      <w:pPr>
        <w:pStyle w:val="Bullet"/>
        <w:numPr>
          <w:ilvl w:val="0"/>
          <w:numId w:val="0"/>
        </w:numPr>
      </w:pPr>
      <w:r>
        <w:rPr>
          <w:u w:val="single"/>
        </w:rPr>
        <w:t>Annex</w:t>
      </w:r>
      <w:r w:rsidR="0024145A" w:rsidRPr="0018410D">
        <w:rPr>
          <w:u w:val="single"/>
        </w:rPr>
        <w:t xml:space="preserve"> C</w:t>
      </w:r>
      <w:r w:rsidR="0024145A">
        <w:t xml:space="preserve"> provides an example of the reverse side of a Key Facts Sheet.</w:t>
      </w:r>
    </w:p>
    <w:p w:rsidR="00253DFD" w:rsidRDefault="00253DFD" w:rsidP="00253DFD">
      <w:pPr>
        <w:pStyle w:val="Bullet"/>
        <w:numPr>
          <w:ilvl w:val="0"/>
          <w:numId w:val="0"/>
        </w:numPr>
      </w:pPr>
    </w:p>
    <w:bookmarkEnd w:id="0"/>
    <w:bookmarkEnd w:id="1"/>
    <w:p w:rsidR="00253DFD" w:rsidRPr="00046954" w:rsidRDefault="00DF4A65" w:rsidP="00253DFD">
      <w:pPr>
        <w:pStyle w:val="Bullet"/>
        <w:numPr>
          <w:ilvl w:val="0"/>
          <w:numId w:val="0"/>
        </w:numPr>
        <w:jc w:val="right"/>
        <w:rPr>
          <w:b/>
          <w:szCs w:val="24"/>
        </w:rPr>
      </w:pPr>
      <w:r>
        <w:br w:type="page"/>
      </w:r>
      <w:r w:rsidR="002709A5" w:rsidRPr="00046954">
        <w:rPr>
          <w:b/>
          <w:szCs w:val="24"/>
        </w:rPr>
        <w:lastRenderedPageBreak/>
        <w:t>Annex</w:t>
      </w:r>
      <w:r w:rsidR="00253DFD" w:rsidRPr="00046954">
        <w:rPr>
          <w:b/>
          <w:szCs w:val="24"/>
        </w:rPr>
        <w:t> A</w:t>
      </w:r>
    </w:p>
    <w:p w:rsidR="00046954" w:rsidRDefault="00947EA5" w:rsidP="0024145A">
      <w:pPr>
        <w:pStyle w:val="Bullet"/>
        <w:numPr>
          <w:ilvl w:val="0"/>
          <w:numId w:val="0"/>
        </w:num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3pt;height:684pt">
            <v:imagedata r:id="rId7" o:title=""/>
          </v:shape>
        </w:pict>
      </w:r>
    </w:p>
    <w:p w:rsidR="005262E4" w:rsidRPr="00046954" w:rsidRDefault="00046954" w:rsidP="00046954">
      <w:pPr>
        <w:pStyle w:val="Bullet"/>
        <w:keepNext/>
        <w:numPr>
          <w:ilvl w:val="0"/>
          <w:numId w:val="0"/>
        </w:numPr>
        <w:jc w:val="right"/>
        <w:rPr>
          <w:b/>
        </w:rPr>
      </w:pPr>
      <w:r>
        <w:br w:type="page"/>
      </w:r>
      <w:r w:rsidR="002709A5" w:rsidRPr="00046954">
        <w:rPr>
          <w:b/>
        </w:rPr>
        <w:lastRenderedPageBreak/>
        <w:t>Annex</w:t>
      </w:r>
      <w:r w:rsidR="005262E4" w:rsidRPr="00046954">
        <w:rPr>
          <w:b/>
        </w:rPr>
        <w:t xml:space="preserve"> B</w:t>
      </w:r>
    </w:p>
    <w:p w:rsidR="005262E4" w:rsidRPr="00981600" w:rsidRDefault="00947EA5" w:rsidP="005262E4">
      <w:pPr>
        <w:pStyle w:val="Bullet"/>
        <w:numPr>
          <w:ilvl w:val="0"/>
          <w:numId w:val="0"/>
        </w:numPr>
        <w:jc w:val="right"/>
        <w:rPr>
          <w:b/>
        </w:rPr>
      </w:pPr>
      <w:r>
        <w:pict>
          <v:shape id="_x0000_i1026" type="#_x0000_t75" style="width:468pt;height:694.2pt">
            <v:imagedata r:id="rId8" o:title=""/>
          </v:shape>
        </w:pict>
      </w:r>
      <w:r w:rsidR="00253DFD">
        <w:br w:type="page"/>
      </w:r>
      <w:r w:rsidR="002709A5" w:rsidRPr="00981600">
        <w:rPr>
          <w:b/>
        </w:rPr>
        <w:lastRenderedPageBreak/>
        <w:t>Annex</w:t>
      </w:r>
      <w:r w:rsidR="005262E4" w:rsidRPr="00981600">
        <w:rPr>
          <w:b/>
        </w:rPr>
        <w:t xml:space="preserve"> C </w:t>
      </w:r>
    </w:p>
    <w:p w:rsidR="00702F5B" w:rsidRDefault="00947EA5" w:rsidP="0024145A">
      <w:pPr>
        <w:pStyle w:val="Bullet"/>
        <w:numPr>
          <w:ilvl w:val="0"/>
          <w:numId w:val="0"/>
        </w:numPr>
        <w:jc w:val="center"/>
      </w:pPr>
      <w:r>
        <w:pict>
          <v:shape id="_x0000_i1027" type="#_x0000_t75" style="width:467.3pt;height:632.4pt">
            <v:imagedata r:id="rId9" o:title=""/>
          </v:shape>
        </w:pict>
      </w:r>
    </w:p>
    <w:sectPr w:rsidR="00702F5B" w:rsidSect="00E12885">
      <w:footerReference w:type="even" r:id="rId10"/>
      <w:footerReference w:type="default" r:id="rId11"/>
      <w:pgSz w:w="11906" w:h="16838" w:code="9"/>
      <w:pgMar w:top="1134"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022D" w:rsidRDefault="00E4022D">
      <w:r>
        <w:separator/>
      </w:r>
    </w:p>
  </w:endnote>
  <w:endnote w:type="continuationSeparator" w:id="0">
    <w:p w:rsidR="00E4022D" w:rsidRDefault="00E402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22D" w:rsidRDefault="00CE7C28" w:rsidP="0002558C">
    <w:pPr>
      <w:pStyle w:val="Footer"/>
      <w:framePr w:wrap="around" w:vAnchor="text" w:hAnchor="margin" w:xAlign="right" w:y="1"/>
      <w:rPr>
        <w:rStyle w:val="PageNumber"/>
      </w:rPr>
    </w:pPr>
    <w:r>
      <w:rPr>
        <w:rStyle w:val="PageNumber"/>
      </w:rPr>
      <w:fldChar w:fldCharType="begin"/>
    </w:r>
    <w:r w:rsidR="00E4022D">
      <w:rPr>
        <w:rStyle w:val="PageNumber"/>
      </w:rPr>
      <w:instrText xml:space="preserve">PAGE  </w:instrText>
    </w:r>
    <w:r>
      <w:rPr>
        <w:rStyle w:val="PageNumber"/>
      </w:rPr>
      <w:fldChar w:fldCharType="end"/>
    </w:r>
  </w:p>
  <w:p w:rsidR="00E4022D" w:rsidRDefault="00E4022D" w:rsidP="00DB787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22D" w:rsidRDefault="00CE7C28" w:rsidP="0002558C">
    <w:pPr>
      <w:pStyle w:val="Footer"/>
      <w:framePr w:wrap="around" w:vAnchor="text" w:hAnchor="margin" w:xAlign="right" w:y="1"/>
      <w:rPr>
        <w:rStyle w:val="PageNumber"/>
      </w:rPr>
    </w:pPr>
    <w:r>
      <w:rPr>
        <w:rStyle w:val="PageNumber"/>
      </w:rPr>
      <w:fldChar w:fldCharType="begin"/>
    </w:r>
    <w:r w:rsidR="00E4022D">
      <w:rPr>
        <w:rStyle w:val="PageNumber"/>
      </w:rPr>
      <w:instrText xml:space="preserve">PAGE  </w:instrText>
    </w:r>
    <w:r>
      <w:rPr>
        <w:rStyle w:val="PageNumber"/>
      </w:rPr>
      <w:fldChar w:fldCharType="separate"/>
    </w:r>
    <w:r w:rsidR="00947EA5">
      <w:rPr>
        <w:rStyle w:val="PageNumber"/>
        <w:noProof/>
      </w:rPr>
      <w:t>1</w:t>
    </w:r>
    <w:r>
      <w:rPr>
        <w:rStyle w:val="PageNumber"/>
      </w:rPr>
      <w:fldChar w:fldCharType="end"/>
    </w:r>
  </w:p>
  <w:p w:rsidR="00E4022D" w:rsidRDefault="00E4022D" w:rsidP="00DB787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022D" w:rsidRDefault="00E4022D">
      <w:r>
        <w:separator/>
      </w:r>
    </w:p>
  </w:footnote>
  <w:footnote w:type="continuationSeparator" w:id="0">
    <w:p w:rsidR="00E4022D" w:rsidRDefault="00E402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DA6D7D2"/>
    <w:lvl w:ilvl="0">
      <w:start w:val="1"/>
      <w:numFmt w:val="bullet"/>
      <w:lvlText w:val=""/>
      <w:lvlJc w:val="left"/>
      <w:pPr>
        <w:tabs>
          <w:tab w:val="num" w:pos="360"/>
        </w:tabs>
        <w:ind w:left="360" w:hanging="360"/>
      </w:pPr>
      <w:rPr>
        <w:rFonts w:ascii="Symbol" w:hAnsi="Symbol" w:hint="default"/>
      </w:rPr>
    </w:lvl>
  </w:abstractNum>
  <w:abstractNum w:abstractNumId="1">
    <w:nsid w:val="06256679"/>
    <w:multiLevelType w:val="hybridMultilevel"/>
    <w:tmpl w:val="E098A490"/>
    <w:lvl w:ilvl="0" w:tplc="2ECC8D2C">
      <w:start w:val="1"/>
      <w:numFmt w:val="bullet"/>
      <w:lvlText w:val=""/>
      <w:lvlJc w:val="left"/>
      <w:pPr>
        <w:tabs>
          <w:tab w:val="num" w:pos="720"/>
        </w:tabs>
        <w:ind w:left="720" w:hanging="360"/>
      </w:pPr>
      <w:rPr>
        <w:rFonts w:ascii="Symbol" w:hAnsi="Symbol" w:hint="default"/>
      </w:rPr>
    </w:lvl>
    <w:lvl w:ilvl="1" w:tplc="76FC02F6" w:tentative="1">
      <w:start w:val="1"/>
      <w:numFmt w:val="bullet"/>
      <w:lvlText w:val="o"/>
      <w:lvlJc w:val="left"/>
      <w:pPr>
        <w:tabs>
          <w:tab w:val="num" w:pos="1440"/>
        </w:tabs>
        <w:ind w:left="1440" w:hanging="360"/>
      </w:pPr>
      <w:rPr>
        <w:rFonts w:ascii="Courier New" w:hAnsi="Courier New" w:cs="Courier New" w:hint="default"/>
      </w:rPr>
    </w:lvl>
    <w:lvl w:ilvl="2" w:tplc="FA2861E2" w:tentative="1">
      <w:start w:val="1"/>
      <w:numFmt w:val="bullet"/>
      <w:lvlText w:val=""/>
      <w:lvlJc w:val="left"/>
      <w:pPr>
        <w:tabs>
          <w:tab w:val="num" w:pos="2160"/>
        </w:tabs>
        <w:ind w:left="2160" w:hanging="360"/>
      </w:pPr>
      <w:rPr>
        <w:rFonts w:ascii="Wingdings" w:hAnsi="Wingdings" w:hint="default"/>
      </w:rPr>
    </w:lvl>
    <w:lvl w:ilvl="3" w:tplc="9D4ACE86" w:tentative="1">
      <w:start w:val="1"/>
      <w:numFmt w:val="bullet"/>
      <w:lvlText w:val=""/>
      <w:lvlJc w:val="left"/>
      <w:pPr>
        <w:tabs>
          <w:tab w:val="num" w:pos="2880"/>
        </w:tabs>
        <w:ind w:left="2880" w:hanging="360"/>
      </w:pPr>
      <w:rPr>
        <w:rFonts w:ascii="Symbol" w:hAnsi="Symbol" w:hint="default"/>
      </w:rPr>
    </w:lvl>
    <w:lvl w:ilvl="4" w:tplc="68586752" w:tentative="1">
      <w:start w:val="1"/>
      <w:numFmt w:val="bullet"/>
      <w:lvlText w:val="o"/>
      <w:lvlJc w:val="left"/>
      <w:pPr>
        <w:tabs>
          <w:tab w:val="num" w:pos="3600"/>
        </w:tabs>
        <w:ind w:left="3600" w:hanging="360"/>
      </w:pPr>
      <w:rPr>
        <w:rFonts w:ascii="Courier New" w:hAnsi="Courier New" w:cs="Courier New" w:hint="default"/>
      </w:rPr>
    </w:lvl>
    <w:lvl w:ilvl="5" w:tplc="0E0413E4" w:tentative="1">
      <w:start w:val="1"/>
      <w:numFmt w:val="bullet"/>
      <w:lvlText w:val=""/>
      <w:lvlJc w:val="left"/>
      <w:pPr>
        <w:tabs>
          <w:tab w:val="num" w:pos="4320"/>
        </w:tabs>
        <w:ind w:left="4320" w:hanging="360"/>
      </w:pPr>
      <w:rPr>
        <w:rFonts w:ascii="Wingdings" w:hAnsi="Wingdings" w:hint="default"/>
      </w:rPr>
    </w:lvl>
    <w:lvl w:ilvl="6" w:tplc="6DF239B6" w:tentative="1">
      <w:start w:val="1"/>
      <w:numFmt w:val="bullet"/>
      <w:lvlText w:val=""/>
      <w:lvlJc w:val="left"/>
      <w:pPr>
        <w:tabs>
          <w:tab w:val="num" w:pos="5040"/>
        </w:tabs>
        <w:ind w:left="5040" w:hanging="360"/>
      </w:pPr>
      <w:rPr>
        <w:rFonts w:ascii="Symbol" w:hAnsi="Symbol" w:hint="default"/>
      </w:rPr>
    </w:lvl>
    <w:lvl w:ilvl="7" w:tplc="6E867A9E" w:tentative="1">
      <w:start w:val="1"/>
      <w:numFmt w:val="bullet"/>
      <w:lvlText w:val="o"/>
      <w:lvlJc w:val="left"/>
      <w:pPr>
        <w:tabs>
          <w:tab w:val="num" w:pos="5760"/>
        </w:tabs>
        <w:ind w:left="5760" w:hanging="360"/>
      </w:pPr>
      <w:rPr>
        <w:rFonts w:ascii="Courier New" w:hAnsi="Courier New" w:cs="Courier New" w:hint="default"/>
      </w:rPr>
    </w:lvl>
    <w:lvl w:ilvl="8" w:tplc="7C949D8E" w:tentative="1">
      <w:start w:val="1"/>
      <w:numFmt w:val="bullet"/>
      <w:lvlText w:val=""/>
      <w:lvlJc w:val="left"/>
      <w:pPr>
        <w:tabs>
          <w:tab w:val="num" w:pos="6480"/>
        </w:tabs>
        <w:ind w:left="6480" w:hanging="360"/>
      </w:pPr>
      <w:rPr>
        <w:rFonts w:ascii="Wingdings" w:hAnsi="Wingdings" w:hint="default"/>
      </w:rPr>
    </w:lvl>
  </w:abstractNum>
  <w:abstractNum w:abstractNumId="2">
    <w:nsid w:val="20226E25"/>
    <w:multiLevelType w:val="multilevel"/>
    <w:tmpl w:val="8EB89430"/>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15D2AAD"/>
    <w:multiLevelType w:val="multilevel"/>
    <w:tmpl w:val="DA70A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4A1466"/>
    <w:multiLevelType w:val="multilevel"/>
    <w:tmpl w:val="C7D498AC"/>
    <w:lvl w:ilvl="0">
      <w:start w:val="1"/>
      <w:numFmt w:val="bullet"/>
      <w:lvlText w:val="•"/>
      <w:lvlJc w:val="left"/>
      <w:pPr>
        <w:tabs>
          <w:tab w:val="num" w:pos="567"/>
        </w:tabs>
        <w:ind w:left="567" w:hanging="567"/>
      </w:pPr>
      <w:rPr>
        <w:rFonts w:ascii="Times New Roman" w:hAnsi="Times New Roman"/>
      </w:rPr>
    </w:lvl>
    <w:lvl w:ilvl="1">
      <w:start w:val="1"/>
      <w:numFmt w:val="bullet"/>
      <w:lvlText w:val="–"/>
      <w:lvlJc w:val="left"/>
      <w:pPr>
        <w:tabs>
          <w:tab w:val="num" w:pos="1134"/>
        </w:tabs>
        <w:ind w:left="1134" w:hanging="567"/>
      </w:pPr>
      <w:rPr>
        <w:rFonts w:ascii="Times New Roman" w:hAnsi="Times New Roman"/>
      </w:rPr>
    </w:lvl>
    <w:lvl w:ilvl="2">
      <w:start w:val="1"/>
      <w:numFmt w:val="bullet"/>
      <w:lvlText w:val=":"/>
      <w:lvlJc w:val="left"/>
      <w:pPr>
        <w:tabs>
          <w:tab w:val="num" w:pos="1701"/>
        </w:tabs>
        <w:ind w:left="1701" w:hanging="567"/>
      </w:pPr>
      <w:rPr>
        <w:rFonts w:ascii="Times New Roman" w:hAnsi="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50523081"/>
    <w:multiLevelType w:val="multilevel"/>
    <w:tmpl w:val="8EB89430"/>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56DD1CD6"/>
    <w:multiLevelType w:val="hybridMultilevel"/>
    <w:tmpl w:val="E13C6C7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5A3A32D9"/>
    <w:multiLevelType w:val="hybridMultilevel"/>
    <w:tmpl w:val="DEECA81A"/>
    <w:lvl w:ilvl="0" w:tplc="ECC60392">
      <w:start w:val="1"/>
      <w:numFmt w:val="bullet"/>
      <w:lvlText w:val=""/>
      <w:lvlJc w:val="left"/>
      <w:pPr>
        <w:tabs>
          <w:tab w:val="num" w:pos="720"/>
        </w:tabs>
        <w:ind w:left="720" w:hanging="360"/>
      </w:pPr>
      <w:rPr>
        <w:rFonts w:ascii="Symbol" w:hAnsi="Symbol" w:hint="default"/>
      </w:rPr>
    </w:lvl>
    <w:lvl w:ilvl="1" w:tplc="52503012">
      <w:start w:val="1"/>
      <w:numFmt w:val="bullet"/>
      <w:lvlText w:val="o"/>
      <w:lvlJc w:val="left"/>
      <w:pPr>
        <w:tabs>
          <w:tab w:val="num" w:pos="1440"/>
        </w:tabs>
        <w:ind w:left="1440" w:hanging="360"/>
      </w:pPr>
      <w:rPr>
        <w:rFonts w:ascii="Courier New" w:hAnsi="Courier New" w:cs="Courier New" w:hint="default"/>
      </w:rPr>
    </w:lvl>
    <w:lvl w:ilvl="2" w:tplc="87624C0C" w:tentative="1">
      <w:start w:val="1"/>
      <w:numFmt w:val="bullet"/>
      <w:lvlText w:val=""/>
      <w:lvlJc w:val="left"/>
      <w:pPr>
        <w:tabs>
          <w:tab w:val="num" w:pos="2160"/>
        </w:tabs>
        <w:ind w:left="2160" w:hanging="360"/>
      </w:pPr>
      <w:rPr>
        <w:rFonts w:ascii="Wingdings" w:hAnsi="Wingdings" w:hint="default"/>
      </w:rPr>
    </w:lvl>
    <w:lvl w:ilvl="3" w:tplc="DC10CC2C" w:tentative="1">
      <w:start w:val="1"/>
      <w:numFmt w:val="bullet"/>
      <w:lvlText w:val=""/>
      <w:lvlJc w:val="left"/>
      <w:pPr>
        <w:tabs>
          <w:tab w:val="num" w:pos="2880"/>
        </w:tabs>
        <w:ind w:left="2880" w:hanging="360"/>
      </w:pPr>
      <w:rPr>
        <w:rFonts w:ascii="Symbol" w:hAnsi="Symbol" w:hint="default"/>
      </w:rPr>
    </w:lvl>
    <w:lvl w:ilvl="4" w:tplc="48626B5A" w:tentative="1">
      <w:start w:val="1"/>
      <w:numFmt w:val="bullet"/>
      <w:lvlText w:val="o"/>
      <w:lvlJc w:val="left"/>
      <w:pPr>
        <w:tabs>
          <w:tab w:val="num" w:pos="3600"/>
        </w:tabs>
        <w:ind w:left="3600" w:hanging="360"/>
      </w:pPr>
      <w:rPr>
        <w:rFonts w:ascii="Courier New" w:hAnsi="Courier New" w:cs="Courier New" w:hint="default"/>
      </w:rPr>
    </w:lvl>
    <w:lvl w:ilvl="5" w:tplc="DDF2245E" w:tentative="1">
      <w:start w:val="1"/>
      <w:numFmt w:val="bullet"/>
      <w:lvlText w:val=""/>
      <w:lvlJc w:val="left"/>
      <w:pPr>
        <w:tabs>
          <w:tab w:val="num" w:pos="4320"/>
        </w:tabs>
        <w:ind w:left="4320" w:hanging="360"/>
      </w:pPr>
      <w:rPr>
        <w:rFonts w:ascii="Wingdings" w:hAnsi="Wingdings" w:hint="default"/>
      </w:rPr>
    </w:lvl>
    <w:lvl w:ilvl="6" w:tplc="6B7C1254" w:tentative="1">
      <w:start w:val="1"/>
      <w:numFmt w:val="bullet"/>
      <w:lvlText w:val=""/>
      <w:lvlJc w:val="left"/>
      <w:pPr>
        <w:tabs>
          <w:tab w:val="num" w:pos="5040"/>
        </w:tabs>
        <w:ind w:left="5040" w:hanging="360"/>
      </w:pPr>
      <w:rPr>
        <w:rFonts w:ascii="Symbol" w:hAnsi="Symbol" w:hint="default"/>
      </w:rPr>
    </w:lvl>
    <w:lvl w:ilvl="7" w:tplc="93106150" w:tentative="1">
      <w:start w:val="1"/>
      <w:numFmt w:val="bullet"/>
      <w:lvlText w:val="o"/>
      <w:lvlJc w:val="left"/>
      <w:pPr>
        <w:tabs>
          <w:tab w:val="num" w:pos="5760"/>
        </w:tabs>
        <w:ind w:left="5760" w:hanging="360"/>
      </w:pPr>
      <w:rPr>
        <w:rFonts w:ascii="Courier New" w:hAnsi="Courier New" w:cs="Courier New" w:hint="default"/>
      </w:rPr>
    </w:lvl>
    <w:lvl w:ilvl="8" w:tplc="A6E64C9A" w:tentative="1">
      <w:start w:val="1"/>
      <w:numFmt w:val="bullet"/>
      <w:lvlText w:val=""/>
      <w:lvlJc w:val="left"/>
      <w:pPr>
        <w:tabs>
          <w:tab w:val="num" w:pos="6480"/>
        </w:tabs>
        <w:ind w:left="6480" w:hanging="360"/>
      </w:pPr>
      <w:rPr>
        <w:rFonts w:ascii="Wingdings" w:hAnsi="Wingdings" w:hint="default"/>
      </w:rPr>
    </w:lvl>
  </w:abstractNum>
  <w:abstractNum w:abstractNumId="8">
    <w:nsid w:val="6B8F1125"/>
    <w:multiLevelType w:val="singleLevel"/>
    <w:tmpl w:val="DB4817FE"/>
    <w:lvl w:ilvl="0">
      <w:start w:val="1"/>
      <w:numFmt w:val="bullet"/>
      <w:lvlText w:val=""/>
      <w:lvlJc w:val="left"/>
      <w:pPr>
        <w:tabs>
          <w:tab w:val="num" w:pos="720"/>
        </w:tabs>
        <w:ind w:left="720" w:hanging="360"/>
      </w:pPr>
      <w:rPr>
        <w:rFonts w:ascii="Times New Roman" w:hAnsi="Times New Roman" w:cs="Times New Roman" w:hint="default"/>
        <w:sz w:val="24"/>
        <w:szCs w:val="24"/>
      </w:rPr>
    </w:lvl>
  </w:abstractNum>
  <w:abstractNum w:abstractNumId="9">
    <w:nsid w:val="6DE95BAB"/>
    <w:multiLevelType w:val="multilevel"/>
    <w:tmpl w:val="F9C49036"/>
    <w:lvl w:ilvl="0">
      <w:start w:val="2"/>
      <w:numFmt w:val="decimal"/>
      <w:pStyle w:val="OutlineNumbered1"/>
      <w:lvlText w:val="%1."/>
      <w:lvlJc w:val="left"/>
      <w:pPr>
        <w:tabs>
          <w:tab w:val="num" w:pos="567"/>
        </w:tabs>
        <w:ind w:left="567" w:hanging="567"/>
      </w:pPr>
      <w:rPr>
        <w:rFonts w:hint="default"/>
      </w:rPr>
    </w:lvl>
    <w:lvl w:ilvl="1">
      <w:start w:val="1"/>
      <w:numFmt w:val="decimal"/>
      <w:pStyle w:val="OutlineNumbered2"/>
      <w:lvlText w:val="%1.%2."/>
      <w:lvlJc w:val="left"/>
      <w:pPr>
        <w:tabs>
          <w:tab w:val="num" w:pos="1134"/>
        </w:tabs>
        <w:ind w:left="1134" w:hanging="567"/>
      </w:pPr>
      <w:rPr>
        <w:rFonts w:hint="default"/>
      </w:rPr>
    </w:lvl>
    <w:lvl w:ilvl="2">
      <w:start w:val="1"/>
      <w:numFmt w:val="decimal"/>
      <w:pStyle w:val="OutlineNumbered3"/>
      <w:lvlText w:val="%1.%2.%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73EE4391"/>
    <w:multiLevelType w:val="hybridMultilevel"/>
    <w:tmpl w:val="CDF0F7F6"/>
    <w:lvl w:ilvl="0" w:tplc="9ACE6514">
      <w:start w:val="1"/>
      <w:numFmt w:val="bullet"/>
      <w:lvlText w:val=""/>
      <w:lvlJc w:val="left"/>
      <w:pPr>
        <w:tabs>
          <w:tab w:val="num" w:pos="720"/>
        </w:tabs>
        <w:ind w:left="720" w:hanging="360"/>
      </w:pPr>
      <w:rPr>
        <w:rFonts w:ascii="Symbol" w:hAnsi="Symbol" w:hint="default"/>
      </w:rPr>
    </w:lvl>
    <w:lvl w:ilvl="1" w:tplc="2D684346" w:tentative="1">
      <w:start w:val="1"/>
      <w:numFmt w:val="bullet"/>
      <w:lvlText w:val="o"/>
      <w:lvlJc w:val="left"/>
      <w:pPr>
        <w:tabs>
          <w:tab w:val="num" w:pos="1440"/>
        </w:tabs>
        <w:ind w:left="1440" w:hanging="360"/>
      </w:pPr>
      <w:rPr>
        <w:rFonts w:ascii="Courier New" w:hAnsi="Courier New" w:cs="Courier New" w:hint="default"/>
      </w:rPr>
    </w:lvl>
    <w:lvl w:ilvl="2" w:tplc="66E011FC" w:tentative="1">
      <w:start w:val="1"/>
      <w:numFmt w:val="bullet"/>
      <w:lvlText w:val=""/>
      <w:lvlJc w:val="left"/>
      <w:pPr>
        <w:tabs>
          <w:tab w:val="num" w:pos="2160"/>
        </w:tabs>
        <w:ind w:left="2160" w:hanging="360"/>
      </w:pPr>
      <w:rPr>
        <w:rFonts w:ascii="Wingdings" w:hAnsi="Wingdings" w:hint="default"/>
      </w:rPr>
    </w:lvl>
    <w:lvl w:ilvl="3" w:tplc="4C02706C" w:tentative="1">
      <w:start w:val="1"/>
      <w:numFmt w:val="bullet"/>
      <w:lvlText w:val=""/>
      <w:lvlJc w:val="left"/>
      <w:pPr>
        <w:tabs>
          <w:tab w:val="num" w:pos="2880"/>
        </w:tabs>
        <w:ind w:left="2880" w:hanging="360"/>
      </w:pPr>
      <w:rPr>
        <w:rFonts w:ascii="Symbol" w:hAnsi="Symbol" w:hint="default"/>
      </w:rPr>
    </w:lvl>
    <w:lvl w:ilvl="4" w:tplc="7A6CFDD0" w:tentative="1">
      <w:start w:val="1"/>
      <w:numFmt w:val="bullet"/>
      <w:lvlText w:val="o"/>
      <w:lvlJc w:val="left"/>
      <w:pPr>
        <w:tabs>
          <w:tab w:val="num" w:pos="3600"/>
        </w:tabs>
        <w:ind w:left="3600" w:hanging="360"/>
      </w:pPr>
      <w:rPr>
        <w:rFonts w:ascii="Courier New" w:hAnsi="Courier New" w:cs="Courier New" w:hint="default"/>
      </w:rPr>
    </w:lvl>
    <w:lvl w:ilvl="5" w:tplc="B4107F7E" w:tentative="1">
      <w:start w:val="1"/>
      <w:numFmt w:val="bullet"/>
      <w:lvlText w:val=""/>
      <w:lvlJc w:val="left"/>
      <w:pPr>
        <w:tabs>
          <w:tab w:val="num" w:pos="4320"/>
        </w:tabs>
        <w:ind w:left="4320" w:hanging="360"/>
      </w:pPr>
      <w:rPr>
        <w:rFonts w:ascii="Wingdings" w:hAnsi="Wingdings" w:hint="default"/>
      </w:rPr>
    </w:lvl>
    <w:lvl w:ilvl="6" w:tplc="8E84056C" w:tentative="1">
      <w:start w:val="1"/>
      <w:numFmt w:val="bullet"/>
      <w:lvlText w:val=""/>
      <w:lvlJc w:val="left"/>
      <w:pPr>
        <w:tabs>
          <w:tab w:val="num" w:pos="5040"/>
        </w:tabs>
        <w:ind w:left="5040" w:hanging="360"/>
      </w:pPr>
      <w:rPr>
        <w:rFonts w:ascii="Symbol" w:hAnsi="Symbol" w:hint="default"/>
      </w:rPr>
    </w:lvl>
    <w:lvl w:ilvl="7" w:tplc="57747C1A" w:tentative="1">
      <w:start w:val="1"/>
      <w:numFmt w:val="bullet"/>
      <w:lvlText w:val="o"/>
      <w:lvlJc w:val="left"/>
      <w:pPr>
        <w:tabs>
          <w:tab w:val="num" w:pos="5760"/>
        </w:tabs>
        <w:ind w:left="5760" w:hanging="360"/>
      </w:pPr>
      <w:rPr>
        <w:rFonts w:ascii="Courier New" w:hAnsi="Courier New" w:cs="Courier New" w:hint="default"/>
      </w:rPr>
    </w:lvl>
    <w:lvl w:ilvl="8" w:tplc="7C4A9F1A" w:tentative="1">
      <w:start w:val="1"/>
      <w:numFmt w:val="bullet"/>
      <w:lvlText w:val=""/>
      <w:lvlJc w:val="left"/>
      <w:pPr>
        <w:tabs>
          <w:tab w:val="num" w:pos="6480"/>
        </w:tabs>
        <w:ind w:left="6480" w:hanging="360"/>
      </w:pPr>
      <w:rPr>
        <w:rFonts w:ascii="Wingdings" w:hAnsi="Wingdings" w:hint="default"/>
      </w:rPr>
    </w:lvl>
  </w:abstractNum>
  <w:abstractNum w:abstractNumId="11">
    <w:nsid w:val="77542B4D"/>
    <w:multiLevelType w:val="multilevel"/>
    <w:tmpl w:val="583C6166"/>
    <w:lvl w:ilvl="0">
      <w:start w:val="1"/>
      <w:numFmt w:val="bullet"/>
      <w:lvlText w:val=""/>
      <w:lvlJc w:val="left"/>
      <w:pPr>
        <w:tabs>
          <w:tab w:val="num" w:pos="567"/>
        </w:tabs>
        <w:ind w:left="567" w:hanging="567"/>
      </w:pPr>
      <w:rPr>
        <w:rFonts w:ascii="Symbol" w:hAnsi="Symbol"/>
      </w:rPr>
    </w:lvl>
    <w:lvl w:ilvl="1">
      <w:start w:val="1"/>
      <w:numFmt w:val="bullet"/>
      <w:lvlText w:val="-"/>
      <w:lvlJc w:val="left"/>
      <w:pPr>
        <w:tabs>
          <w:tab w:val="num" w:pos="1134"/>
        </w:tabs>
        <w:ind w:left="1134" w:hanging="567"/>
      </w:pPr>
      <w:rPr>
        <w:rFonts w:ascii="Times New Roman" w:hAnsi="Times New Roman"/>
      </w:rPr>
    </w:lvl>
    <w:lvl w:ilvl="2">
      <w:start w:val="1"/>
      <w:numFmt w:val="bullet"/>
      <w:lvlText w:val=":"/>
      <w:lvlJc w:val="left"/>
      <w:pPr>
        <w:tabs>
          <w:tab w:val="num" w:pos="1701"/>
        </w:tabs>
        <w:ind w:left="1701" w:hanging="567"/>
      </w:pPr>
      <w:rPr>
        <w:rFonts w:ascii="Times New Roman" w:hAnsi="Times New Roman"/>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nsid w:val="7EC64765"/>
    <w:multiLevelType w:val="multilevel"/>
    <w:tmpl w:val="75FA63FE"/>
    <w:lvl w:ilvl="0">
      <w:start w:val="1"/>
      <w:numFmt w:val="decimal"/>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F2B6868"/>
    <w:multiLevelType w:val="multilevel"/>
    <w:tmpl w:val="6E1244E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4"/>
  </w:num>
  <w:num w:numId="3">
    <w:abstractNumId w:val="2"/>
  </w:num>
  <w:num w:numId="4">
    <w:abstractNumId w:val="8"/>
  </w:num>
  <w:num w:numId="5">
    <w:abstractNumId w:val="2"/>
  </w:num>
  <w:num w:numId="6">
    <w:abstractNumId w:val="2"/>
  </w:num>
  <w:num w:numId="7">
    <w:abstractNumId w:val="2"/>
  </w:num>
  <w:num w:numId="8">
    <w:abstractNumId w:val="2"/>
  </w:num>
  <w:num w:numId="9">
    <w:abstractNumId w:val="2"/>
  </w:num>
  <w:num w:numId="10">
    <w:abstractNumId w:val="9"/>
  </w:num>
  <w:num w:numId="11">
    <w:abstractNumId w:val="12"/>
  </w:num>
  <w:num w:numId="12">
    <w:abstractNumId w:val="10"/>
  </w:num>
  <w:num w:numId="13">
    <w:abstractNumId w:val="1"/>
  </w:num>
  <w:num w:numId="14">
    <w:abstractNumId w:val="6"/>
  </w:num>
  <w:num w:numId="15">
    <w:abstractNumId w:val="7"/>
  </w:num>
  <w:num w:numId="16">
    <w:abstractNumId w:val="5"/>
  </w:num>
  <w:num w:numId="17">
    <w:abstractNumId w:val="13"/>
  </w:num>
  <w:num w:numId="18">
    <w:abstractNumId w:val="3"/>
  </w:num>
  <w:num w:numId="19">
    <w:abstractNumId w:val="11"/>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oNotTrackMoves/>
  <w:defaultTabStop w:val="720"/>
  <w:noPunctuationKerning/>
  <w:characterSpacingControl w:val="doNotCompress"/>
  <w:hdrShapeDefaults>
    <o:shapedefaults v:ext="edit" spidmax="35841"/>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B7878"/>
    <w:rsid w:val="00000D1D"/>
    <w:rsid w:val="0000286A"/>
    <w:rsid w:val="0000502F"/>
    <w:rsid w:val="00005826"/>
    <w:rsid w:val="000069E5"/>
    <w:rsid w:val="000114CD"/>
    <w:rsid w:val="00012823"/>
    <w:rsid w:val="00012D5D"/>
    <w:rsid w:val="00015FD5"/>
    <w:rsid w:val="000227BA"/>
    <w:rsid w:val="00022DD0"/>
    <w:rsid w:val="00023CC1"/>
    <w:rsid w:val="0002433B"/>
    <w:rsid w:val="00024418"/>
    <w:rsid w:val="0002558C"/>
    <w:rsid w:val="000256B3"/>
    <w:rsid w:val="00026BDA"/>
    <w:rsid w:val="0002708C"/>
    <w:rsid w:val="00030572"/>
    <w:rsid w:val="000309D9"/>
    <w:rsid w:val="00031675"/>
    <w:rsid w:val="00034C06"/>
    <w:rsid w:val="00046954"/>
    <w:rsid w:val="0004698E"/>
    <w:rsid w:val="00050625"/>
    <w:rsid w:val="00050D79"/>
    <w:rsid w:val="00051775"/>
    <w:rsid w:val="00055CA4"/>
    <w:rsid w:val="0005600E"/>
    <w:rsid w:val="000571DC"/>
    <w:rsid w:val="0006064C"/>
    <w:rsid w:val="00062714"/>
    <w:rsid w:val="00063CE8"/>
    <w:rsid w:val="000663A3"/>
    <w:rsid w:val="00067E1D"/>
    <w:rsid w:val="000725C0"/>
    <w:rsid w:val="0007354A"/>
    <w:rsid w:val="00076F9E"/>
    <w:rsid w:val="0008105D"/>
    <w:rsid w:val="000813D0"/>
    <w:rsid w:val="000823E5"/>
    <w:rsid w:val="00084E52"/>
    <w:rsid w:val="00085CF9"/>
    <w:rsid w:val="000868BB"/>
    <w:rsid w:val="000874B1"/>
    <w:rsid w:val="00087963"/>
    <w:rsid w:val="00090C23"/>
    <w:rsid w:val="00094239"/>
    <w:rsid w:val="00094901"/>
    <w:rsid w:val="0009506D"/>
    <w:rsid w:val="00095283"/>
    <w:rsid w:val="0009785C"/>
    <w:rsid w:val="00097A99"/>
    <w:rsid w:val="00097ED7"/>
    <w:rsid w:val="000A135F"/>
    <w:rsid w:val="000A1CB6"/>
    <w:rsid w:val="000A47B7"/>
    <w:rsid w:val="000A593C"/>
    <w:rsid w:val="000A6DBE"/>
    <w:rsid w:val="000B2453"/>
    <w:rsid w:val="000B27B2"/>
    <w:rsid w:val="000B31F6"/>
    <w:rsid w:val="000B42CD"/>
    <w:rsid w:val="000B441C"/>
    <w:rsid w:val="000B48E0"/>
    <w:rsid w:val="000B4E75"/>
    <w:rsid w:val="000C1A5C"/>
    <w:rsid w:val="000C1BB0"/>
    <w:rsid w:val="000C3FCB"/>
    <w:rsid w:val="000C5620"/>
    <w:rsid w:val="000C58BA"/>
    <w:rsid w:val="000C7173"/>
    <w:rsid w:val="000D0023"/>
    <w:rsid w:val="000D1D6A"/>
    <w:rsid w:val="000D3F6E"/>
    <w:rsid w:val="000D6813"/>
    <w:rsid w:val="000E10AE"/>
    <w:rsid w:val="000E52FD"/>
    <w:rsid w:val="000E7EF2"/>
    <w:rsid w:val="000F1D62"/>
    <w:rsid w:val="000F2E9E"/>
    <w:rsid w:val="0010042A"/>
    <w:rsid w:val="0010292F"/>
    <w:rsid w:val="001062E9"/>
    <w:rsid w:val="0011078C"/>
    <w:rsid w:val="00116746"/>
    <w:rsid w:val="0011746B"/>
    <w:rsid w:val="0012086C"/>
    <w:rsid w:val="00121EB0"/>
    <w:rsid w:val="00123A7C"/>
    <w:rsid w:val="00130D37"/>
    <w:rsid w:val="001336A7"/>
    <w:rsid w:val="001340D1"/>
    <w:rsid w:val="00134658"/>
    <w:rsid w:val="00146D04"/>
    <w:rsid w:val="0015385F"/>
    <w:rsid w:val="00154C95"/>
    <w:rsid w:val="00160981"/>
    <w:rsid w:val="00162BDA"/>
    <w:rsid w:val="00163140"/>
    <w:rsid w:val="00166B58"/>
    <w:rsid w:val="00166B87"/>
    <w:rsid w:val="00170649"/>
    <w:rsid w:val="00171FB0"/>
    <w:rsid w:val="00176106"/>
    <w:rsid w:val="00183C19"/>
    <w:rsid w:val="0018410D"/>
    <w:rsid w:val="0018499C"/>
    <w:rsid w:val="001936E1"/>
    <w:rsid w:val="00194DBA"/>
    <w:rsid w:val="00195380"/>
    <w:rsid w:val="001967BF"/>
    <w:rsid w:val="00196BD2"/>
    <w:rsid w:val="001977E6"/>
    <w:rsid w:val="001A06EE"/>
    <w:rsid w:val="001A0D6B"/>
    <w:rsid w:val="001A3668"/>
    <w:rsid w:val="001A578F"/>
    <w:rsid w:val="001A5A5C"/>
    <w:rsid w:val="001A6515"/>
    <w:rsid w:val="001B1479"/>
    <w:rsid w:val="001B18B8"/>
    <w:rsid w:val="001B2AB0"/>
    <w:rsid w:val="001B2CE5"/>
    <w:rsid w:val="001B30B1"/>
    <w:rsid w:val="001B3973"/>
    <w:rsid w:val="001B47CB"/>
    <w:rsid w:val="001B5DB6"/>
    <w:rsid w:val="001C224C"/>
    <w:rsid w:val="001C4753"/>
    <w:rsid w:val="001C6A1F"/>
    <w:rsid w:val="001C794F"/>
    <w:rsid w:val="001D2677"/>
    <w:rsid w:val="001D307D"/>
    <w:rsid w:val="001D319B"/>
    <w:rsid w:val="001D41D8"/>
    <w:rsid w:val="001D7763"/>
    <w:rsid w:val="001E1616"/>
    <w:rsid w:val="001F05E8"/>
    <w:rsid w:val="001F080D"/>
    <w:rsid w:val="001F1753"/>
    <w:rsid w:val="001F4922"/>
    <w:rsid w:val="001F4BF1"/>
    <w:rsid w:val="001F5E6C"/>
    <w:rsid w:val="00201833"/>
    <w:rsid w:val="002018A8"/>
    <w:rsid w:val="0020379A"/>
    <w:rsid w:val="002056ED"/>
    <w:rsid w:val="00210308"/>
    <w:rsid w:val="0021505D"/>
    <w:rsid w:val="002153FF"/>
    <w:rsid w:val="00216C45"/>
    <w:rsid w:val="00217301"/>
    <w:rsid w:val="00222906"/>
    <w:rsid w:val="0022367A"/>
    <w:rsid w:val="002247C5"/>
    <w:rsid w:val="00226EFD"/>
    <w:rsid w:val="0023122C"/>
    <w:rsid w:val="00233156"/>
    <w:rsid w:val="00233659"/>
    <w:rsid w:val="00237AF7"/>
    <w:rsid w:val="0024145A"/>
    <w:rsid w:val="00243B7A"/>
    <w:rsid w:val="002448F2"/>
    <w:rsid w:val="00250644"/>
    <w:rsid w:val="00253DFD"/>
    <w:rsid w:val="00254086"/>
    <w:rsid w:val="002543AA"/>
    <w:rsid w:val="00257D26"/>
    <w:rsid w:val="00260053"/>
    <w:rsid w:val="0026222B"/>
    <w:rsid w:val="002647FC"/>
    <w:rsid w:val="00266841"/>
    <w:rsid w:val="0026684C"/>
    <w:rsid w:val="002709A5"/>
    <w:rsid w:val="00270B54"/>
    <w:rsid w:val="002719A1"/>
    <w:rsid w:val="00271A81"/>
    <w:rsid w:val="002722F0"/>
    <w:rsid w:val="00275ED0"/>
    <w:rsid w:val="00284BB3"/>
    <w:rsid w:val="002865F0"/>
    <w:rsid w:val="00286882"/>
    <w:rsid w:val="00286A13"/>
    <w:rsid w:val="00290440"/>
    <w:rsid w:val="002915EC"/>
    <w:rsid w:val="002916BA"/>
    <w:rsid w:val="00294992"/>
    <w:rsid w:val="00295A04"/>
    <w:rsid w:val="002A15F6"/>
    <w:rsid w:val="002A192E"/>
    <w:rsid w:val="002A2AB6"/>
    <w:rsid w:val="002A34EC"/>
    <w:rsid w:val="002A3B99"/>
    <w:rsid w:val="002A6A56"/>
    <w:rsid w:val="002A74E6"/>
    <w:rsid w:val="002B03D8"/>
    <w:rsid w:val="002B044A"/>
    <w:rsid w:val="002B1D09"/>
    <w:rsid w:val="002B1F5B"/>
    <w:rsid w:val="002B22D8"/>
    <w:rsid w:val="002B30F7"/>
    <w:rsid w:val="002B389C"/>
    <w:rsid w:val="002B4761"/>
    <w:rsid w:val="002B4792"/>
    <w:rsid w:val="002B678C"/>
    <w:rsid w:val="002B7373"/>
    <w:rsid w:val="002B77C6"/>
    <w:rsid w:val="002B77F0"/>
    <w:rsid w:val="002C59AE"/>
    <w:rsid w:val="002D0D1B"/>
    <w:rsid w:val="002D50F7"/>
    <w:rsid w:val="002D5439"/>
    <w:rsid w:val="002D634E"/>
    <w:rsid w:val="002D6BB3"/>
    <w:rsid w:val="002D73C8"/>
    <w:rsid w:val="002E13AF"/>
    <w:rsid w:val="002E13DF"/>
    <w:rsid w:val="002E18C9"/>
    <w:rsid w:val="002E59BE"/>
    <w:rsid w:val="002F1D26"/>
    <w:rsid w:val="00301D2C"/>
    <w:rsid w:val="0030237E"/>
    <w:rsid w:val="0030517D"/>
    <w:rsid w:val="00305187"/>
    <w:rsid w:val="0030620E"/>
    <w:rsid w:val="00306A16"/>
    <w:rsid w:val="003079BC"/>
    <w:rsid w:val="00310BCD"/>
    <w:rsid w:val="00313B4A"/>
    <w:rsid w:val="0032042A"/>
    <w:rsid w:val="003219A5"/>
    <w:rsid w:val="003226C1"/>
    <w:rsid w:val="003262BB"/>
    <w:rsid w:val="00326E49"/>
    <w:rsid w:val="00330566"/>
    <w:rsid w:val="0033065B"/>
    <w:rsid w:val="00334CBD"/>
    <w:rsid w:val="00336FE5"/>
    <w:rsid w:val="00340FEE"/>
    <w:rsid w:val="00345395"/>
    <w:rsid w:val="00345F67"/>
    <w:rsid w:val="00345F6E"/>
    <w:rsid w:val="00346045"/>
    <w:rsid w:val="00347EDD"/>
    <w:rsid w:val="003511DB"/>
    <w:rsid w:val="0035356F"/>
    <w:rsid w:val="00353B0C"/>
    <w:rsid w:val="00354A71"/>
    <w:rsid w:val="0035500A"/>
    <w:rsid w:val="003557B6"/>
    <w:rsid w:val="0036143C"/>
    <w:rsid w:val="003671AC"/>
    <w:rsid w:val="00371E7C"/>
    <w:rsid w:val="00373A38"/>
    <w:rsid w:val="00381896"/>
    <w:rsid w:val="00384B14"/>
    <w:rsid w:val="00385EB1"/>
    <w:rsid w:val="00385FDD"/>
    <w:rsid w:val="00386A2B"/>
    <w:rsid w:val="003967E9"/>
    <w:rsid w:val="003974F4"/>
    <w:rsid w:val="003977F2"/>
    <w:rsid w:val="003A2FE5"/>
    <w:rsid w:val="003A37CC"/>
    <w:rsid w:val="003B1C0E"/>
    <w:rsid w:val="003B3E01"/>
    <w:rsid w:val="003B419E"/>
    <w:rsid w:val="003B5E7B"/>
    <w:rsid w:val="003C05AC"/>
    <w:rsid w:val="003C126B"/>
    <w:rsid w:val="003C2149"/>
    <w:rsid w:val="003C28C0"/>
    <w:rsid w:val="003C2BF3"/>
    <w:rsid w:val="003C67AB"/>
    <w:rsid w:val="003D46C1"/>
    <w:rsid w:val="003D7FF4"/>
    <w:rsid w:val="003E3D7C"/>
    <w:rsid w:val="003E45FC"/>
    <w:rsid w:val="003E4BE8"/>
    <w:rsid w:val="003E4F47"/>
    <w:rsid w:val="003E59C9"/>
    <w:rsid w:val="003E5EF2"/>
    <w:rsid w:val="003E656C"/>
    <w:rsid w:val="003E67A9"/>
    <w:rsid w:val="003E7DE5"/>
    <w:rsid w:val="003F02A6"/>
    <w:rsid w:val="003F048F"/>
    <w:rsid w:val="003F7243"/>
    <w:rsid w:val="0040182E"/>
    <w:rsid w:val="00401C17"/>
    <w:rsid w:val="00403EBF"/>
    <w:rsid w:val="00406F0B"/>
    <w:rsid w:val="004070D5"/>
    <w:rsid w:val="00410032"/>
    <w:rsid w:val="004109C1"/>
    <w:rsid w:val="004132D9"/>
    <w:rsid w:val="004157AE"/>
    <w:rsid w:val="00416066"/>
    <w:rsid w:val="00417755"/>
    <w:rsid w:val="004218E4"/>
    <w:rsid w:val="004229D8"/>
    <w:rsid w:val="00423DEF"/>
    <w:rsid w:val="0042472B"/>
    <w:rsid w:val="00424D0E"/>
    <w:rsid w:val="0042768B"/>
    <w:rsid w:val="004308F6"/>
    <w:rsid w:val="00432394"/>
    <w:rsid w:val="00435AB3"/>
    <w:rsid w:val="00442C79"/>
    <w:rsid w:val="00442DFA"/>
    <w:rsid w:val="004437E6"/>
    <w:rsid w:val="00446CEF"/>
    <w:rsid w:val="00450708"/>
    <w:rsid w:val="0045353E"/>
    <w:rsid w:val="00454392"/>
    <w:rsid w:val="0045742E"/>
    <w:rsid w:val="00457BC3"/>
    <w:rsid w:val="0046101A"/>
    <w:rsid w:val="00461CE5"/>
    <w:rsid w:val="0046651C"/>
    <w:rsid w:val="00470D45"/>
    <w:rsid w:val="00471547"/>
    <w:rsid w:val="004720DF"/>
    <w:rsid w:val="0047237D"/>
    <w:rsid w:val="0047369C"/>
    <w:rsid w:val="00475546"/>
    <w:rsid w:val="00476108"/>
    <w:rsid w:val="00476498"/>
    <w:rsid w:val="004777BD"/>
    <w:rsid w:val="00480BB0"/>
    <w:rsid w:val="0048116B"/>
    <w:rsid w:val="00481E47"/>
    <w:rsid w:val="00484A41"/>
    <w:rsid w:val="004856CC"/>
    <w:rsid w:val="00485B63"/>
    <w:rsid w:val="00491818"/>
    <w:rsid w:val="004937C6"/>
    <w:rsid w:val="00493C2C"/>
    <w:rsid w:val="004940D1"/>
    <w:rsid w:val="00495B48"/>
    <w:rsid w:val="0049676D"/>
    <w:rsid w:val="00497A70"/>
    <w:rsid w:val="004A1D29"/>
    <w:rsid w:val="004A3988"/>
    <w:rsid w:val="004A5D23"/>
    <w:rsid w:val="004A64F1"/>
    <w:rsid w:val="004B31DD"/>
    <w:rsid w:val="004B329E"/>
    <w:rsid w:val="004B32FA"/>
    <w:rsid w:val="004B37B5"/>
    <w:rsid w:val="004B3F21"/>
    <w:rsid w:val="004B78AC"/>
    <w:rsid w:val="004C2D7A"/>
    <w:rsid w:val="004C336E"/>
    <w:rsid w:val="004C619C"/>
    <w:rsid w:val="004C6A09"/>
    <w:rsid w:val="004D4717"/>
    <w:rsid w:val="004D63D4"/>
    <w:rsid w:val="004E005B"/>
    <w:rsid w:val="004E02EA"/>
    <w:rsid w:val="004E271E"/>
    <w:rsid w:val="004E6344"/>
    <w:rsid w:val="004F7459"/>
    <w:rsid w:val="0050151E"/>
    <w:rsid w:val="00505509"/>
    <w:rsid w:val="005059ED"/>
    <w:rsid w:val="00506FCE"/>
    <w:rsid w:val="00512338"/>
    <w:rsid w:val="00512CC6"/>
    <w:rsid w:val="00516B31"/>
    <w:rsid w:val="00521CFE"/>
    <w:rsid w:val="00521F5B"/>
    <w:rsid w:val="00522D64"/>
    <w:rsid w:val="0052469F"/>
    <w:rsid w:val="005262E4"/>
    <w:rsid w:val="00535E0C"/>
    <w:rsid w:val="0053619F"/>
    <w:rsid w:val="00537F80"/>
    <w:rsid w:val="005400E7"/>
    <w:rsid w:val="00540246"/>
    <w:rsid w:val="0054052F"/>
    <w:rsid w:val="00540E59"/>
    <w:rsid w:val="00541980"/>
    <w:rsid w:val="005419F1"/>
    <w:rsid w:val="005445EB"/>
    <w:rsid w:val="00545478"/>
    <w:rsid w:val="0054549E"/>
    <w:rsid w:val="005470E2"/>
    <w:rsid w:val="00547C3A"/>
    <w:rsid w:val="00550C88"/>
    <w:rsid w:val="00552F2D"/>
    <w:rsid w:val="00552FB4"/>
    <w:rsid w:val="00554D62"/>
    <w:rsid w:val="00557972"/>
    <w:rsid w:val="00557AD4"/>
    <w:rsid w:val="0056649D"/>
    <w:rsid w:val="005667BA"/>
    <w:rsid w:val="0056697B"/>
    <w:rsid w:val="0057126E"/>
    <w:rsid w:val="00572767"/>
    <w:rsid w:val="00574040"/>
    <w:rsid w:val="00574793"/>
    <w:rsid w:val="005817EA"/>
    <w:rsid w:val="00582682"/>
    <w:rsid w:val="0058444F"/>
    <w:rsid w:val="00586927"/>
    <w:rsid w:val="00587EDB"/>
    <w:rsid w:val="00593807"/>
    <w:rsid w:val="0059512C"/>
    <w:rsid w:val="00596C4E"/>
    <w:rsid w:val="00596E09"/>
    <w:rsid w:val="00597436"/>
    <w:rsid w:val="005A12B7"/>
    <w:rsid w:val="005A1423"/>
    <w:rsid w:val="005A1A6A"/>
    <w:rsid w:val="005A1AD3"/>
    <w:rsid w:val="005A2592"/>
    <w:rsid w:val="005A443C"/>
    <w:rsid w:val="005A4674"/>
    <w:rsid w:val="005A6647"/>
    <w:rsid w:val="005A7633"/>
    <w:rsid w:val="005A7F38"/>
    <w:rsid w:val="005B15B6"/>
    <w:rsid w:val="005B353C"/>
    <w:rsid w:val="005B4DB3"/>
    <w:rsid w:val="005B5C4C"/>
    <w:rsid w:val="005B6FCD"/>
    <w:rsid w:val="005B7B28"/>
    <w:rsid w:val="005C0475"/>
    <w:rsid w:val="005C2235"/>
    <w:rsid w:val="005C36EE"/>
    <w:rsid w:val="005C38C3"/>
    <w:rsid w:val="005C47C7"/>
    <w:rsid w:val="005C58AA"/>
    <w:rsid w:val="005C61DC"/>
    <w:rsid w:val="005C72F1"/>
    <w:rsid w:val="005C75D5"/>
    <w:rsid w:val="005D0785"/>
    <w:rsid w:val="005D0B33"/>
    <w:rsid w:val="005D32EE"/>
    <w:rsid w:val="005D3A5C"/>
    <w:rsid w:val="005D43F0"/>
    <w:rsid w:val="005D57D3"/>
    <w:rsid w:val="005D6012"/>
    <w:rsid w:val="005E4367"/>
    <w:rsid w:val="005E462E"/>
    <w:rsid w:val="005E519C"/>
    <w:rsid w:val="005E70A0"/>
    <w:rsid w:val="005E7F8F"/>
    <w:rsid w:val="005F109A"/>
    <w:rsid w:val="005F2319"/>
    <w:rsid w:val="005F2881"/>
    <w:rsid w:val="005F4010"/>
    <w:rsid w:val="005F4C2E"/>
    <w:rsid w:val="005F5851"/>
    <w:rsid w:val="005F6B57"/>
    <w:rsid w:val="00602464"/>
    <w:rsid w:val="006060C1"/>
    <w:rsid w:val="00606DBC"/>
    <w:rsid w:val="006108F0"/>
    <w:rsid w:val="00617074"/>
    <w:rsid w:val="00620F97"/>
    <w:rsid w:val="006217E8"/>
    <w:rsid w:val="00621D73"/>
    <w:rsid w:val="006227A4"/>
    <w:rsid w:val="00623EA7"/>
    <w:rsid w:val="006244A2"/>
    <w:rsid w:val="00624F31"/>
    <w:rsid w:val="00626274"/>
    <w:rsid w:val="00630236"/>
    <w:rsid w:val="00631024"/>
    <w:rsid w:val="006326F2"/>
    <w:rsid w:val="00632C6A"/>
    <w:rsid w:val="0063545F"/>
    <w:rsid w:val="0063699C"/>
    <w:rsid w:val="006373E9"/>
    <w:rsid w:val="006377C2"/>
    <w:rsid w:val="0064129F"/>
    <w:rsid w:val="00644442"/>
    <w:rsid w:val="00644E1A"/>
    <w:rsid w:val="00645493"/>
    <w:rsid w:val="0064570A"/>
    <w:rsid w:val="00647F39"/>
    <w:rsid w:val="00650F93"/>
    <w:rsid w:val="006517E1"/>
    <w:rsid w:val="00652297"/>
    <w:rsid w:val="00652894"/>
    <w:rsid w:val="00652F0B"/>
    <w:rsid w:val="006537D9"/>
    <w:rsid w:val="006556EC"/>
    <w:rsid w:val="00660368"/>
    <w:rsid w:val="006621DE"/>
    <w:rsid w:val="0066245C"/>
    <w:rsid w:val="0066361B"/>
    <w:rsid w:val="00664A41"/>
    <w:rsid w:val="00664EFC"/>
    <w:rsid w:val="00665176"/>
    <w:rsid w:val="0066555E"/>
    <w:rsid w:val="006730D0"/>
    <w:rsid w:val="00674338"/>
    <w:rsid w:val="006764C1"/>
    <w:rsid w:val="006768DC"/>
    <w:rsid w:val="00681EF7"/>
    <w:rsid w:val="00687172"/>
    <w:rsid w:val="00687CE9"/>
    <w:rsid w:val="006928E0"/>
    <w:rsid w:val="006938DD"/>
    <w:rsid w:val="00693AC9"/>
    <w:rsid w:val="006949B3"/>
    <w:rsid w:val="00695E51"/>
    <w:rsid w:val="006960F0"/>
    <w:rsid w:val="006964E6"/>
    <w:rsid w:val="00696A62"/>
    <w:rsid w:val="006A336A"/>
    <w:rsid w:val="006A377B"/>
    <w:rsid w:val="006A70B8"/>
    <w:rsid w:val="006B38AE"/>
    <w:rsid w:val="006B714F"/>
    <w:rsid w:val="006B775B"/>
    <w:rsid w:val="006C12E5"/>
    <w:rsid w:val="006C1DCD"/>
    <w:rsid w:val="006D25A5"/>
    <w:rsid w:val="006D356C"/>
    <w:rsid w:val="006D482E"/>
    <w:rsid w:val="006D7D60"/>
    <w:rsid w:val="006D7EC0"/>
    <w:rsid w:val="006E00BF"/>
    <w:rsid w:val="006E10F0"/>
    <w:rsid w:val="006E1CD7"/>
    <w:rsid w:val="006E3391"/>
    <w:rsid w:val="006E4483"/>
    <w:rsid w:val="006E7506"/>
    <w:rsid w:val="006F3000"/>
    <w:rsid w:val="006F5EFF"/>
    <w:rsid w:val="007001D0"/>
    <w:rsid w:val="00702F5B"/>
    <w:rsid w:val="00710A90"/>
    <w:rsid w:val="0072006D"/>
    <w:rsid w:val="00721756"/>
    <w:rsid w:val="00722EF0"/>
    <w:rsid w:val="00723B07"/>
    <w:rsid w:val="00724A73"/>
    <w:rsid w:val="007259BB"/>
    <w:rsid w:val="007261F1"/>
    <w:rsid w:val="007309F9"/>
    <w:rsid w:val="007311CE"/>
    <w:rsid w:val="00731563"/>
    <w:rsid w:val="00732F4A"/>
    <w:rsid w:val="0074001A"/>
    <w:rsid w:val="00740697"/>
    <w:rsid w:val="00745A9B"/>
    <w:rsid w:val="00746820"/>
    <w:rsid w:val="0075296A"/>
    <w:rsid w:val="00756EAC"/>
    <w:rsid w:val="00757297"/>
    <w:rsid w:val="00763039"/>
    <w:rsid w:val="0077097A"/>
    <w:rsid w:val="0077285E"/>
    <w:rsid w:val="00777F04"/>
    <w:rsid w:val="00786235"/>
    <w:rsid w:val="00787993"/>
    <w:rsid w:val="007927B4"/>
    <w:rsid w:val="00794013"/>
    <w:rsid w:val="00796F38"/>
    <w:rsid w:val="007A0450"/>
    <w:rsid w:val="007A0C26"/>
    <w:rsid w:val="007A1208"/>
    <w:rsid w:val="007A4F0E"/>
    <w:rsid w:val="007A5751"/>
    <w:rsid w:val="007A5C3D"/>
    <w:rsid w:val="007A776B"/>
    <w:rsid w:val="007B0B75"/>
    <w:rsid w:val="007B175F"/>
    <w:rsid w:val="007B274B"/>
    <w:rsid w:val="007B2898"/>
    <w:rsid w:val="007B40E3"/>
    <w:rsid w:val="007B5A07"/>
    <w:rsid w:val="007B6DF1"/>
    <w:rsid w:val="007C14E1"/>
    <w:rsid w:val="007C180B"/>
    <w:rsid w:val="007C199C"/>
    <w:rsid w:val="007C2BB4"/>
    <w:rsid w:val="007C493D"/>
    <w:rsid w:val="007C687E"/>
    <w:rsid w:val="007C6B1E"/>
    <w:rsid w:val="007D16FC"/>
    <w:rsid w:val="007D596B"/>
    <w:rsid w:val="007D6C2C"/>
    <w:rsid w:val="007D734F"/>
    <w:rsid w:val="007E09E2"/>
    <w:rsid w:val="007E1BFC"/>
    <w:rsid w:val="007E2216"/>
    <w:rsid w:val="007E25C3"/>
    <w:rsid w:val="007E5A20"/>
    <w:rsid w:val="007F001F"/>
    <w:rsid w:val="007F0E1E"/>
    <w:rsid w:val="007F5672"/>
    <w:rsid w:val="007F704A"/>
    <w:rsid w:val="0080067F"/>
    <w:rsid w:val="00802062"/>
    <w:rsid w:val="00803FC9"/>
    <w:rsid w:val="008050FD"/>
    <w:rsid w:val="008074D0"/>
    <w:rsid w:val="008110B8"/>
    <w:rsid w:val="00813873"/>
    <w:rsid w:val="0081611A"/>
    <w:rsid w:val="008173AC"/>
    <w:rsid w:val="00823E14"/>
    <w:rsid w:val="00825347"/>
    <w:rsid w:val="008255F0"/>
    <w:rsid w:val="00825667"/>
    <w:rsid w:val="00825D7D"/>
    <w:rsid w:val="00825FD4"/>
    <w:rsid w:val="008279F9"/>
    <w:rsid w:val="00830780"/>
    <w:rsid w:val="00837968"/>
    <w:rsid w:val="008420D8"/>
    <w:rsid w:val="00844C13"/>
    <w:rsid w:val="008475D1"/>
    <w:rsid w:val="0085334D"/>
    <w:rsid w:val="00855985"/>
    <w:rsid w:val="00857835"/>
    <w:rsid w:val="008610EF"/>
    <w:rsid w:val="008642AE"/>
    <w:rsid w:val="0086467A"/>
    <w:rsid w:val="008670DE"/>
    <w:rsid w:val="00872E69"/>
    <w:rsid w:val="008734D3"/>
    <w:rsid w:val="00874420"/>
    <w:rsid w:val="0087780A"/>
    <w:rsid w:val="00881096"/>
    <w:rsid w:val="00886280"/>
    <w:rsid w:val="00887432"/>
    <w:rsid w:val="00887667"/>
    <w:rsid w:val="00890849"/>
    <w:rsid w:val="008921E7"/>
    <w:rsid w:val="008969EA"/>
    <w:rsid w:val="008979CD"/>
    <w:rsid w:val="008A042D"/>
    <w:rsid w:val="008A0C18"/>
    <w:rsid w:val="008A6CD9"/>
    <w:rsid w:val="008A7B55"/>
    <w:rsid w:val="008B2F66"/>
    <w:rsid w:val="008B4172"/>
    <w:rsid w:val="008B4430"/>
    <w:rsid w:val="008B477A"/>
    <w:rsid w:val="008B5609"/>
    <w:rsid w:val="008B5B2A"/>
    <w:rsid w:val="008B628B"/>
    <w:rsid w:val="008B6B7C"/>
    <w:rsid w:val="008C3511"/>
    <w:rsid w:val="008C56CC"/>
    <w:rsid w:val="008C627E"/>
    <w:rsid w:val="008D0AE4"/>
    <w:rsid w:val="008D14D5"/>
    <w:rsid w:val="008D28A4"/>
    <w:rsid w:val="008D38A9"/>
    <w:rsid w:val="008D4DC6"/>
    <w:rsid w:val="008D5FF9"/>
    <w:rsid w:val="008D6123"/>
    <w:rsid w:val="008E0633"/>
    <w:rsid w:val="008E111B"/>
    <w:rsid w:val="008E1725"/>
    <w:rsid w:val="008E3BD1"/>
    <w:rsid w:val="008E43D7"/>
    <w:rsid w:val="008E4CC3"/>
    <w:rsid w:val="008E6662"/>
    <w:rsid w:val="008E77D1"/>
    <w:rsid w:val="008F02DC"/>
    <w:rsid w:val="008F4049"/>
    <w:rsid w:val="008F5473"/>
    <w:rsid w:val="0090192E"/>
    <w:rsid w:val="00904183"/>
    <w:rsid w:val="009200C6"/>
    <w:rsid w:val="0092166A"/>
    <w:rsid w:val="00922410"/>
    <w:rsid w:val="00922539"/>
    <w:rsid w:val="00924622"/>
    <w:rsid w:val="00931693"/>
    <w:rsid w:val="0093261C"/>
    <w:rsid w:val="009338C8"/>
    <w:rsid w:val="00934A05"/>
    <w:rsid w:val="0093549F"/>
    <w:rsid w:val="00941917"/>
    <w:rsid w:val="00941A68"/>
    <w:rsid w:val="00941AAF"/>
    <w:rsid w:val="009437FE"/>
    <w:rsid w:val="00943822"/>
    <w:rsid w:val="009438FF"/>
    <w:rsid w:val="00944850"/>
    <w:rsid w:val="00944AC8"/>
    <w:rsid w:val="00945BDA"/>
    <w:rsid w:val="00945CB2"/>
    <w:rsid w:val="00947EA5"/>
    <w:rsid w:val="00950760"/>
    <w:rsid w:val="00951E84"/>
    <w:rsid w:val="00952826"/>
    <w:rsid w:val="00955F51"/>
    <w:rsid w:val="00956F27"/>
    <w:rsid w:val="00961B9F"/>
    <w:rsid w:val="00964C28"/>
    <w:rsid w:val="0096772B"/>
    <w:rsid w:val="00967DFC"/>
    <w:rsid w:val="009709FC"/>
    <w:rsid w:val="00975B2D"/>
    <w:rsid w:val="00981600"/>
    <w:rsid w:val="0098228F"/>
    <w:rsid w:val="00985B03"/>
    <w:rsid w:val="00986750"/>
    <w:rsid w:val="009933E4"/>
    <w:rsid w:val="009949C9"/>
    <w:rsid w:val="00994C21"/>
    <w:rsid w:val="009A0925"/>
    <w:rsid w:val="009A41E0"/>
    <w:rsid w:val="009A49F4"/>
    <w:rsid w:val="009A4CCB"/>
    <w:rsid w:val="009A5459"/>
    <w:rsid w:val="009B0360"/>
    <w:rsid w:val="009B1948"/>
    <w:rsid w:val="009B4884"/>
    <w:rsid w:val="009B4D1F"/>
    <w:rsid w:val="009B5130"/>
    <w:rsid w:val="009C03AD"/>
    <w:rsid w:val="009C064E"/>
    <w:rsid w:val="009C065C"/>
    <w:rsid w:val="009C1BC3"/>
    <w:rsid w:val="009C2315"/>
    <w:rsid w:val="009C3D63"/>
    <w:rsid w:val="009C719B"/>
    <w:rsid w:val="009D1C50"/>
    <w:rsid w:val="009D522B"/>
    <w:rsid w:val="009D652E"/>
    <w:rsid w:val="009D770E"/>
    <w:rsid w:val="009E02E9"/>
    <w:rsid w:val="009E0E69"/>
    <w:rsid w:val="009E1ABC"/>
    <w:rsid w:val="009E44A9"/>
    <w:rsid w:val="009E44B0"/>
    <w:rsid w:val="009E4D65"/>
    <w:rsid w:val="009E5139"/>
    <w:rsid w:val="009E6CD4"/>
    <w:rsid w:val="009F15E7"/>
    <w:rsid w:val="00A01300"/>
    <w:rsid w:val="00A014EF"/>
    <w:rsid w:val="00A016DB"/>
    <w:rsid w:val="00A042EB"/>
    <w:rsid w:val="00A04821"/>
    <w:rsid w:val="00A064EB"/>
    <w:rsid w:val="00A103D0"/>
    <w:rsid w:val="00A10761"/>
    <w:rsid w:val="00A136F9"/>
    <w:rsid w:val="00A14557"/>
    <w:rsid w:val="00A15070"/>
    <w:rsid w:val="00A25451"/>
    <w:rsid w:val="00A2714B"/>
    <w:rsid w:val="00A300D2"/>
    <w:rsid w:val="00A3012E"/>
    <w:rsid w:val="00A314C2"/>
    <w:rsid w:val="00A33046"/>
    <w:rsid w:val="00A336ED"/>
    <w:rsid w:val="00A33BD2"/>
    <w:rsid w:val="00A33D90"/>
    <w:rsid w:val="00A366EE"/>
    <w:rsid w:val="00A41DF7"/>
    <w:rsid w:val="00A41E37"/>
    <w:rsid w:val="00A429E4"/>
    <w:rsid w:val="00A454EF"/>
    <w:rsid w:val="00A5322A"/>
    <w:rsid w:val="00A533F7"/>
    <w:rsid w:val="00A6466D"/>
    <w:rsid w:val="00A647E9"/>
    <w:rsid w:val="00A64F34"/>
    <w:rsid w:val="00A668E3"/>
    <w:rsid w:val="00A67667"/>
    <w:rsid w:val="00A67864"/>
    <w:rsid w:val="00A67901"/>
    <w:rsid w:val="00A67982"/>
    <w:rsid w:val="00A70669"/>
    <w:rsid w:val="00A7310E"/>
    <w:rsid w:val="00A7334A"/>
    <w:rsid w:val="00A73A45"/>
    <w:rsid w:val="00A74EFA"/>
    <w:rsid w:val="00A80F8B"/>
    <w:rsid w:val="00A81EE7"/>
    <w:rsid w:val="00A84CC6"/>
    <w:rsid w:val="00A854EC"/>
    <w:rsid w:val="00A8727F"/>
    <w:rsid w:val="00A906AC"/>
    <w:rsid w:val="00A94406"/>
    <w:rsid w:val="00A94DE7"/>
    <w:rsid w:val="00A96864"/>
    <w:rsid w:val="00AA0359"/>
    <w:rsid w:val="00AA195B"/>
    <w:rsid w:val="00AA23D5"/>
    <w:rsid w:val="00AA40C9"/>
    <w:rsid w:val="00AA6B67"/>
    <w:rsid w:val="00AB02B7"/>
    <w:rsid w:val="00AB2831"/>
    <w:rsid w:val="00AB4DB8"/>
    <w:rsid w:val="00AB5665"/>
    <w:rsid w:val="00AB5DB4"/>
    <w:rsid w:val="00AB62BE"/>
    <w:rsid w:val="00AB64B2"/>
    <w:rsid w:val="00AC357A"/>
    <w:rsid w:val="00AC4141"/>
    <w:rsid w:val="00AC6C4B"/>
    <w:rsid w:val="00AD2280"/>
    <w:rsid w:val="00AD286E"/>
    <w:rsid w:val="00AD4B59"/>
    <w:rsid w:val="00AD4ED6"/>
    <w:rsid w:val="00AD6018"/>
    <w:rsid w:val="00AE3F8E"/>
    <w:rsid w:val="00AE3F93"/>
    <w:rsid w:val="00AE417F"/>
    <w:rsid w:val="00AF0EB2"/>
    <w:rsid w:val="00AF56EA"/>
    <w:rsid w:val="00B0535B"/>
    <w:rsid w:val="00B069CA"/>
    <w:rsid w:val="00B1203B"/>
    <w:rsid w:val="00B12201"/>
    <w:rsid w:val="00B12923"/>
    <w:rsid w:val="00B1493E"/>
    <w:rsid w:val="00B15814"/>
    <w:rsid w:val="00B16F30"/>
    <w:rsid w:val="00B16F9A"/>
    <w:rsid w:val="00B17CE6"/>
    <w:rsid w:val="00B2096C"/>
    <w:rsid w:val="00B21175"/>
    <w:rsid w:val="00B221ED"/>
    <w:rsid w:val="00B2303D"/>
    <w:rsid w:val="00B31C2E"/>
    <w:rsid w:val="00B34665"/>
    <w:rsid w:val="00B34B91"/>
    <w:rsid w:val="00B34CD8"/>
    <w:rsid w:val="00B34FE5"/>
    <w:rsid w:val="00B353F3"/>
    <w:rsid w:val="00B36690"/>
    <w:rsid w:val="00B36ED6"/>
    <w:rsid w:val="00B41125"/>
    <w:rsid w:val="00B428A7"/>
    <w:rsid w:val="00B4581B"/>
    <w:rsid w:val="00B45C6F"/>
    <w:rsid w:val="00B45F00"/>
    <w:rsid w:val="00B47857"/>
    <w:rsid w:val="00B52729"/>
    <w:rsid w:val="00B5280A"/>
    <w:rsid w:val="00B537FD"/>
    <w:rsid w:val="00B57AD3"/>
    <w:rsid w:val="00B57EEA"/>
    <w:rsid w:val="00B632F0"/>
    <w:rsid w:val="00B64318"/>
    <w:rsid w:val="00B66C04"/>
    <w:rsid w:val="00B66C08"/>
    <w:rsid w:val="00B70520"/>
    <w:rsid w:val="00B7188F"/>
    <w:rsid w:val="00B7245B"/>
    <w:rsid w:val="00B72AC9"/>
    <w:rsid w:val="00B7388C"/>
    <w:rsid w:val="00B7392B"/>
    <w:rsid w:val="00B75AAA"/>
    <w:rsid w:val="00B75EC9"/>
    <w:rsid w:val="00B76F32"/>
    <w:rsid w:val="00B7747E"/>
    <w:rsid w:val="00B81657"/>
    <w:rsid w:val="00B81FF9"/>
    <w:rsid w:val="00B825AA"/>
    <w:rsid w:val="00B83621"/>
    <w:rsid w:val="00B848D8"/>
    <w:rsid w:val="00B85FE8"/>
    <w:rsid w:val="00B86AE5"/>
    <w:rsid w:val="00B86DE1"/>
    <w:rsid w:val="00B87FDE"/>
    <w:rsid w:val="00B90174"/>
    <w:rsid w:val="00B92BBE"/>
    <w:rsid w:val="00B92DD2"/>
    <w:rsid w:val="00B92EE7"/>
    <w:rsid w:val="00B94054"/>
    <w:rsid w:val="00B94FB4"/>
    <w:rsid w:val="00B96520"/>
    <w:rsid w:val="00B96685"/>
    <w:rsid w:val="00BA1CE9"/>
    <w:rsid w:val="00BB2529"/>
    <w:rsid w:val="00BB3A35"/>
    <w:rsid w:val="00BB42B2"/>
    <w:rsid w:val="00BB4779"/>
    <w:rsid w:val="00BB5A4B"/>
    <w:rsid w:val="00BC11D3"/>
    <w:rsid w:val="00BC2A19"/>
    <w:rsid w:val="00BC34EF"/>
    <w:rsid w:val="00BC42BD"/>
    <w:rsid w:val="00BC43A2"/>
    <w:rsid w:val="00BC5365"/>
    <w:rsid w:val="00BC56F2"/>
    <w:rsid w:val="00BC6A1E"/>
    <w:rsid w:val="00BD129E"/>
    <w:rsid w:val="00BD2F03"/>
    <w:rsid w:val="00BD5E3B"/>
    <w:rsid w:val="00BE01CD"/>
    <w:rsid w:val="00BE071E"/>
    <w:rsid w:val="00BE1555"/>
    <w:rsid w:val="00BE1CBE"/>
    <w:rsid w:val="00BE26DC"/>
    <w:rsid w:val="00BE3314"/>
    <w:rsid w:val="00BE3DEE"/>
    <w:rsid w:val="00BE60B5"/>
    <w:rsid w:val="00BE7AF1"/>
    <w:rsid w:val="00BF0EF9"/>
    <w:rsid w:val="00BF3FE0"/>
    <w:rsid w:val="00BF4303"/>
    <w:rsid w:val="00BF5100"/>
    <w:rsid w:val="00C00E64"/>
    <w:rsid w:val="00C01F1C"/>
    <w:rsid w:val="00C01FDD"/>
    <w:rsid w:val="00C02EAF"/>
    <w:rsid w:val="00C03308"/>
    <w:rsid w:val="00C05564"/>
    <w:rsid w:val="00C05AB1"/>
    <w:rsid w:val="00C05D42"/>
    <w:rsid w:val="00C1384D"/>
    <w:rsid w:val="00C14A45"/>
    <w:rsid w:val="00C213CA"/>
    <w:rsid w:val="00C230DA"/>
    <w:rsid w:val="00C26A3D"/>
    <w:rsid w:val="00C27ADF"/>
    <w:rsid w:val="00C27DA0"/>
    <w:rsid w:val="00C27F17"/>
    <w:rsid w:val="00C30AB2"/>
    <w:rsid w:val="00C31FCB"/>
    <w:rsid w:val="00C338ED"/>
    <w:rsid w:val="00C34B5F"/>
    <w:rsid w:val="00C34CDB"/>
    <w:rsid w:val="00C419A1"/>
    <w:rsid w:val="00C420F7"/>
    <w:rsid w:val="00C45096"/>
    <w:rsid w:val="00C51A2A"/>
    <w:rsid w:val="00C5262B"/>
    <w:rsid w:val="00C545A8"/>
    <w:rsid w:val="00C6163A"/>
    <w:rsid w:val="00C61E67"/>
    <w:rsid w:val="00C627F4"/>
    <w:rsid w:val="00C64994"/>
    <w:rsid w:val="00C65409"/>
    <w:rsid w:val="00C726C1"/>
    <w:rsid w:val="00C76CA7"/>
    <w:rsid w:val="00C80F93"/>
    <w:rsid w:val="00C818B5"/>
    <w:rsid w:val="00C854AF"/>
    <w:rsid w:val="00C92F17"/>
    <w:rsid w:val="00C94493"/>
    <w:rsid w:val="00C95698"/>
    <w:rsid w:val="00C96537"/>
    <w:rsid w:val="00C96BEF"/>
    <w:rsid w:val="00CA07AE"/>
    <w:rsid w:val="00CA1A16"/>
    <w:rsid w:val="00CA261D"/>
    <w:rsid w:val="00CA5A4E"/>
    <w:rsid w:val="00CA7E56"/>
    <w:rsid w:val="00CB1EB9"/>
    <w:rsid w:val="00CB26E3"/>
    <w:rsid w:val="00CB473B"/>
    <w:rsid w:val="00CB5229"/>
    <w:rsid w:val="00CB7CDC"/>
    <w:rsid w:val="00CC056C"/>
    <w:rsid w:val="00CC651C"/>
    <w:rsid w:val="00CD2FEA"/>
    <w:rsid w:val="00CD3F67"/>
    <w:rsid w:val="00CD4ECF"/>
    <w:rsid w:val="00CD52DA"/>
    <w:rsid w:val="00CD71DA"/>
    <w:rsid w:val="00CE09F1"/>
    <w:rsid w:val="00CE3D42"/>
    <w:rsid w:val="00CE7C28"/>
    <w:rsid w:val="00CF283A"/>
    <w:rsid w:val="00CF47E4"/>
    <w:rsid w:val="00CF4A3C"/>
    <w:rsid w:val="00CF5656"/>
    <w:rsid w:val="00CF69AE"/>
    <w:rsid w:val="00D02B2E"/>
    <w:rsid w:val="00D0301A"/>
    <w:rsid w:val="00D11425"/>
    <w:rsid w:val="00D11F00"/>
    <w:rsid w:val="00D13391"/>
    <w:rsid w:val="00D156B1"/>
    <w:rsid w:val="00D166DC"/>
    <w:rsid w:val="00D16D56"/>
    <w:rsid w:val="00D1725A"/>
    <w:rsid w:val="00D22699"/>
    <w:rsid w:val="00D23F7C"/>
    <w:rsid w:val="00D25F1B"/>
    <w:rsid w:val="00D275C8"/>
    <w:rsid w:val="00D30FB5"/>
    <w:rsid w:val="00D31E12"/>
    <w:rsid w:val="00D32FF6"/>
    <w:rsid w:val="00D3312A"/>
    <w:rsid w:val="00D339B2"/>
    <w:rsid w:val="00D3512B"/>
    <w:rsid w:val="00D419F5"/>
    <w:rsid w:val="00D4268C"/>
    <w:rsid w:val="00D43C2F"/>
    <w:rsid w:val="00D443ED"/>
    <w:rsid w:val="00D45634"/>
    <w:rsid w:val="00D4579E"/>
    <w:rsid w:val="00D519D2"/>
    <w:rsid w:val="00D5255F"/>
    <w:rsid w:val="00D52E77"/>
    <w:rsid w:val="00D57B70"/>
    <w:rsid w:val="00D61CD0"/>
    <w:rsid w:val="00D63E70"/>
    <w:rsid w:val="00D65DD7"/>
    <w:rsid w:val="00D6774B"/>
    <w:rsid w:val="00D72625"/>
    <w:rsid w:val="00D7283D"/>
    <w:rsid w:val="00D73850"/>
    <w:rsid w:val="00D73C75"/>
    <w:rsid w:val="00D75DE1"/>
    <w:rsid w:val="00D769E5"/>
    <w:rsid w:val="00D76FA0"/>
    <w:rsid w:val="00D77B75"/>
    <w:rsid w:val="00D81C2D"/>
    <w:rsid w:val="00D81F83"/>
    <w:rsid w:val="00D82DA3"/>
    <w:rsid w:val="00D860F0"/>
    <w:rsid w:val="00D87EF5"/>
    <w:rsid w:val="00D913A6"/>
    <w:rsid w:val="00DA2138"/>
    <w:rsid w:val="00DA4A73"/>
    <w:rsid w:val="00DA78E9"/>
    <w:rsid w:val="00DA7EC5"/>
    <w:rsid w:val="00DB194B"/>
    <w:rsid w:val="00DB1C80"/>
    <w:rsid w:val="00DB7878"/>
    <w:rsid w:val="00DB78C9"/>
    <w:rsid w:val="00DC069B"/>
    <w:rsid w:val="00DC3BAF"/>
    <w:rsid w:val="00DC6A88"/>
    <w:rsid w:val="00DD1928"/>
    <w:rsid w:val="00DD4F6B"/>
    <w:rsid w:val="00DD7F49"/>
    <w:rsid w:val="00DE0C53"/>
    <w:rsid w:val="00DE1D83"/>
    <w:rsid w:val="00DE2EDD"/>
    <w:rsid w:val="00DE3ED6"/>
    <w:rsid w:val="00DE4EA2"/>
    <w:rsid w:val="00DE5319"/>
    <w:rsid w:val="00DF03AE"/>
    <w:rsid w:val="00DF045D"/>
    <w:rsid w:val="00DF0509"/>
    <w:rsid w:val="00DF4A65"/>
    <w:rsid w:val="00E03A7C"/>
    <w:rsid w:val="00E05A2D"/>
    <w:rsid w:val="00E117FF"/>
    <w:rsid w:val="00E12885"/>
    <w:rsid w:val="00E12973"/>
    <w:rsid w:val="00E1553C"/>
    <w:rsid w:val="00E15A58"/>
    <w:rsid w:val="00E17398"/>
    <w:rsid w:val="00E1770E"/>
    <w:rsid w:val="00E23FB1"/>
    <w:rsid w:val="00E24346"/>
    <w:rsid w:val="00E244A8"/>
    <w:rsid w:val="00E248A9"/>
    <w:rsid w:val="00E256D2"/>
    <w:rsid w:val="00E26E18"/>
    <w:rsid w:val="00E27017"/>
    <w:rsid w:val="00E275AB"/>
    <w:rsid w:val="00E31CC1"/>
    <w:rsid w:val="00E32838"/>
    <w:rsid w:val="00E334D9"/>
    <w:rsid w:val="00E336DD"/>
    <w:rsid w:val="00E35938"/>
    <w:rsid w:val="00E4022D"/>
    <w:rsid w:val="00E4318D"/>
    <w:rsid w:val="00E43493"/>
    <w:rsid w:val="00E43DA0"/>
    <w:rsid w:val="00E4585A"/>
    <w:rsid w:val="00E51963"/>
    <w:rsid w:val="00E54185"/>
    <w:rsid w:val="00E552B8"/>
    <w:rsid w:val="00E60518"/>
    <w:rsid w:val="00E614B9"/>
    <w:rsid w:val="00E63C1B"/>
    <w:rsid w:val="00E66E76"/>
    <w:rsid w:val="00E72D99"/>
    <w:rsid w:val="00E72FF8"/>
    <w:rsid w:val="00E737CA"/>
    <w:rsid w:val="00E73C47"/>
    <w:rsid w:val="00E74C39"/>
    <w:rsid w:val="00E75FDA"/>
    <w:rsid w:val="00E76958"/>
    <w:rsid w:val="00E77B4F"/>
    <w:rsid w:val="00E81725"/>
    <w:rsid w:val="00E8351A"/>
    <w:rsid w:val="00E85B8D"/>
    <w:rsid w:val="00E8611A"/>
    <w:rsid w:val="00E87A66"/>
    <w:rsid w:val="00E91604"/>
    <w:rsid w:val="00E91C1E"/>
    <w:rsid w:val="00E928DE"/>
    <w:rsid w:val="00E937BB"/>
    <w:rsid w:val="00EA0B7F"/>
    <w:rsid w:val="00EA12D1"/>
    <w:rsid w:val="00EA49F4"/>
    <w:rsid w:val="00EA6E1A"/>
    <w:rsid w:val="00EA7647"/>
    <w:rsid w:val="00EA7CF8"/>
    <w:rsid w:val="00EB10AB"/>
    <w:rsid w:val="00EB3E9F"/>
    <w:rsid w:val="00EB44D6"/>
    <w:rsid w:val="00EB5A2B"/>
    <w:rsid w:val="00EB7071"/>
    <w:rsid w:val="00EB7E97"/>
    <w:rsid w:val="00EC289B"/>
    <w:rsid w:val="00EC630B"/>
    <w:rsid w:val="00EC76B5"/>
    <w:rsid w:val="00EC7817"/>
    <w:rsid w:val="00ED00E7"/>
    <w:rsid w:val="00ED0E77"/>
    <w:rsid w:val="00ED114B"/>
    <w:rsid w:val="00ED169D"/>
    <w:rsid w:val="00ED179D"/>
    <w:rsid w:val="00ED417B"/>
    <w:rsid w:val="00ED4205"/>
    <w:rsid w:val="00ED4821"/>
    <w:rsid w:val="00EE00D7"/>
    <w:rsid w:val="00EE09F1"/>
    <w:rsid w:val="00EE1209"/>
    <w:rsid w:val="00EE1A17"/>
    <w:rsid w:val="00EE28C4"/>
    <w:rsid w:val="00EE2D0B"/>
    <w:rsid w:val="00EE3323"/>
    <w:rsid w:val="00EE336A"/>
    <w:rsid w:val="00EF014E"/>
    <w:rsid w:val="00EF1AE2"/>
    <w:rsid w:val="00EF37A2"/>
    <w:rsid w:val="00EF43BC"/>
    <w:rsid w:val="00EF6232"/>
    <w:rsid w:val="00EF6D68"/>
    <w:rsid w:val="00F04B03"/>
    <w:rsid w:val="00F1176D"/>
    <w:rsid w:val="00F11DE6"/>
    <w:rsid w:val="00F156AA"/>
    <w:rsid w:val="00F20114"/>
    <w:rsid w:val="00F203A6"/>
    <w:rsid w:val="00F22F3A"/>
    <w:rsid w:val="00F23FD7"/>
    <w:rsid w:val="00F30BCE"/>
    <w:rsid w:val="00F34BD1"/>
    <w:rsid w:val="00F363B2"/>
    <w:rsid w:val="00F41368"/>
    <w:rsid w:val="00F41941"/>
    <w:rsid w:val="00F5079B"/>
    <w:rsid w:val="00F54629"/>
    <w:rsid w:val="00F56DE5"/>
    <w:rsid w:val="00F57783"/>
    <w:rsid w:val="00F60920"/>
    <w:rsid w:val="00F628A0"/>
    <w:rsid w:val="00F64747"/>
    <w:rsid w:val="00F65F3E"/>
    <w:rsid w:val="00F7325E"/>
    <w:rsid w:val="00F73939"/>
    <w:rsid w:val="00F75FE1"/>
    <w:rsid w:val="00F770E0"/>
    <w:rsid w:val="00F82560"/>
    <w:rsid w:val="00F84A1B"/>
    <w:rsid w:val="00F86B0A"/>
    <w:rsid w:val="00F91B01"/>
    <w:rsid w:val="00F92F1E"/>
    <w:rsid w:val="00F94222"/>
    <w:rsid w:val="00F95068"/>
    <w:rsid w:val="00F95768"/>
    <w:rsid w:val="00F96BCA"/>
    <w:rsid w:val="00F9751F"/>
    <w:rsid w:val="00FA251B"/>
    <w:rsid w:val="00FA4C56"/>
    <w:rsid w:val="00FA4ED6"/>
    <w:rsid w:val="00FA6BF1"/>
    <w:rsid w:val="00FB4278"/>
    <w:rsid w:val="00FB5A54"/>
    <w:rsid w:val="00FB6535"/>
    <w:rsid w:val="00FB6C2D"/>
    <w:rsid w:val="00FC1429"/>
    <w:rsid w:val="00FC1ADF"/>
    <w:rsid w:val="00FC5251"/>
    <w:rsid w:val="00FC6FDE"/>
    <w:rsid w:val="00FD041E"/>
    <w:rsid w:val="00FD2B28"/>
    <w:rsid w:val="00FE18A1"/>
    <w:rsid w:val="00FE3EB1"/>
    <w:rsid w:val="00FE42A1"/>
    <w:rsid w:val="00FE4479"/>
    <w:rsid w:val="00FE4531"/>
    <w:rsid w:val="00FE5527"/>
    <w:rsid w:val="00FF24DE"/>
    <w:rsid w:val="00FF2B32"/>
    <w:rsid w:val="00FF76C4"/>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7878"/>
    <w:rPr>
      <w:sz w:val="24"/>
      <w:szCs w:val="24"/>
      <w:lang w:val="en-US" w:eastAsia="en-US"/>
    </w:rPr>
  </w:style>
  <w:style w:type="paragraph" w:styleId="Heading1">
    <w:name w:val="heading 1"/>
    <w:basedOn w:val="Normal"/>
    <w:next w:val="Normal"/>
    <w:qFormat/>
    <w:rsid w:val="00B94FB4"/>
    <w:pPr>
      <w:keepNext/>
      <w:spacing w:before="240" w:after="360"/>
      <w:outlineLvl w:val="0"/>
    </w:pPr>
    <w:rPr>
      <w:b/>
      <w:caps/>
      <w:sz w:val="28"/>
    </w:rPr>
  </w:style>
  <w:style w:type="paragraph" w:styleId="Heading2">
    <w:name w:val="heading 2"/>
    <w:basedOn w:val="Normal"/>
    <w:next w:val="Normal"/>
    <w:qFormat/>
    <w:rsid w:val="00B94FB4"/>
    <w:pPr>
      <w:keepNext/>
      <w:spacing w:before="120"/>
      <w:outlineLvl w:val="1"/>
    </w:pPr>
    <w:rPr>
      <w:b/>
      <w:caps/>
    </w:rPr>
  </w:style>
  <w:style w:type="paragraph" w:styleId="Heading3">
    <w:name w:val="heading 3"/>
    <w:basedOn w:val="Normal"/>
    <w:next w:val="Normal"/>
    <w:qFormat/>
    <w:rsid w:val="00B94FB4"/>
    <w:pPr>
      <w:keepNext/>
      <w:spacing w:before="60"/>
      <w:outlineLvl w:val="2"/>
    </w:pPr>
    <w:rPr>
      <w:b/>
    </w:rPr>
  </w:style>
  <w:style w:type="paragraph" w:styleId="Heading4">
    <w:name w:val="heading 4"/>
    <w:basedOn w:val="Normal"/>
    <w:next w:val="Normal"/>
    <w:qFormat/>
    <w:rsid w:val="00E54185"/>
    <w:pPr>
      <w:keepNext/>
      <w:outlineLvl w:val="3"/>
    </w:pPr>
    <w:rPr>
      <w:b/>
      <w:i/>
    </w:rPr>
  </w:style>
  <w:style w:type="paragraph" w:styleId="Heading5">
    <w:name w:val="heading 5"/>
    <w:basedOn w:val="Normal"/>
    <w:next w:val="Normal"/>
    <w:qFormat/>
    <w:rsid w:val="00E54185"/>
    <w:pPr>
      <w:spacing w:before="240" w:after="60"/>
      <w:outlineLvl w:val="4"/>
    </w:pPr>
    <w:rPr>
      <w:bCs/>
      <w:i/>
      <w:iCs/>
      <w:szCs w:val="26"/>
    </w:rPr>
  </w:style>
  <w:style w:type="paragraph" w:styleId="Heading6">
    <w:name w:val="heading 6"/>
    <w:basedOn w:val="Normal"/>
    <w:next w:val="Normal"/>
    <w:qFormat/>
    <w:rsid w:val="00E54185"/>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style>
  <w:style w:type="paragraph" w:customStyle="1" w:styleId="ChartMainHeading">
    <w:name w:val="Chart Main Heading"/>
    <w:basedOn w:val="SingleParagraph"/>
    <w:next w:val="Normal"/>
    <w:rsid w:val="00B94FB4"/>
    <w:pPr>
      <w:jc w:val="center"/>
    </w:pPr>
    <w:rPr>
      <w:b/>
      <w:caps/>
    </w:rPr>
  </w:style>
  <w:style w:type="paragraph" w:customStyle="1" w:styleId="ChartSecondHeading">
    <w:name w:val="Chart Second Heading"/>
    <w:basedOn w:val="SingleParagraph"/>
    <w:next w:val="Normal"/>
    <w:rsid w:val="00B94FB4"/>
    <w:pPr>
      <w:jc w:val="center"/>
    </w:pPr>
    <w:rPr>
      <w:b/>
    </w:rPr>
  </w:style>
  <w:style w:type="paragraph" w:customStyle="1" w:styleId="TableMainHeading">
    <w:name w:val="Table Main Heading"/>
    <w:basedOn w:val="ChartMainHeading"/>
    <w:rsid w:val="00121EB0"/>
  </w:style>
  <w:style w:type="paragraph" w:styleId="Header">
    <w:name w:val="header"/>
    <w:basedOn w:val="Normal"/>
    <w:rsid w:val="00DB7878"/>
    <w:pPr>
      <w:tabs>
        <w:tab w:val="center" w:pos="4153"/>
        <w:tab w:val="right" w:pos="8306"/>
      </w:tabs>
    </w:pPr>
  </w:style>
  <w:style w:type="paragraph" w:styleId="Footer">
    <w:name w:val="footer"/>
    <w:basedOn w:val="Normal"/>
    <w:rsid w:val="00DB7878"/>
    <w:pPr>
      <w:tabs>
        <w:tab w:val="center" w:pos="4153"/>
        <w:tab w:val="right" w:pos="8306"/>
      </w:tabs>
    </w:pPr>
  </w:style>
  <w:style w:type="paragraph" w:customStyle="1" w:styleId="Bullet">
    <w:name w:val="Bullet"/>
    <w:aliases w:val="b"/>
    <w:basedOn w:val="Normal"/>
    <w:link w:val="BulletChar"/>
    <w:rsid w:val="00DB7878"/>
    <w:pPr>
      <w:numPr>
        <w:numId w:val="3"/>
      </w:numPr>
      <w:spacing w:after="240"/>
    </w:pPr>
    <w:rPr>
      <w:szCs w:val="20"/>
      <w:lang w:val="en-AU" w:eastAsia="en-AU"/>
    </w:rPr>
  </w:style>
  <w:style w:type="paragraph" w:customStyle="1" w:styleId="Dash">
    <w:name w:val="Dash"/>
    <w:basedOn w:val="Normal"/>
    <w:rsid w:val="00DB7878"/>
    <w:pPr>
      <w:numPr>
        <w:ilvl w:val="1"/>
        <w:numId w:val="3"/>
      </w:numPr>
      <w:spacing w:after="240"/>
    </w:pPr>
    <w:rPr>
      <w:szCs w:val="20"/>
      <w:lang w:val="en-AU" w:eastAsia="en-AU"/>
    </w:rPr>
  </w:style>
  <w:style w:type="character" w:styleId="PageNumber">
    <w:name w:val="page number"/>
    <w:basedOn w:val="DefaultParagraphFont"/>
    <w:rsid w:val="00DB7878"/>
    <w:rPr>
      <w:rFonts w:cs="Times New Roman"/>
    </w:rPr>
  </w:style>
  <w:style w:type="paragraph" w:styleId="FootnoteText">
    <w:name w:val="footnote text"/>
    <w:basedOn w:val="Normal"/>
    <w:semiHidden/>
    <w:rsid w:val="00DB7878"/>
    <w:rPr>
      <w:sz w:val="20"/>
      <w:szCs w:val="20"/>
    </w:rPr>
  </w:style>
  <w:style w:type="character" w:styleId="FootnoteReference">
    <w:name w:val="footnote reference"/>
    <w:basedOn w:val="DefaultParagraphFont"/>
    <w:semiHidden/>
    <w:rsid w:val="00DB7878"/>
    <w:rPr>
      <w:rFonts w:cs="Times New Roman"/>
      <w:vertAlign w:val="superscript"/>
    </w:rPr>
  </w:style>
  <w:style w:type="paragraph" w:styleId="NormalWeb">
    <w:name w:val="Normal (Web)"/>
    <w:basedOn w:val="Normal"/>
    <w:rsid w:val="00DB7878"/>
    <w:pPr>
      <w:spacing w:before="100" w:beforeAutospacing="1" w:after="100" w:afterAutospacing="1"/>
    </w:pPr>
    <w:rPr>
      <w:color w:val="000000"/>
      <w:lang w:val="en-AU" w:eastAsia="en-AU"/>
    </w:rPr>
  </w:style>
  <w:style w:type="paragraph" w:styleId="BalloonText">
    <w:name w:val="Balloon Text"/>
    <w:basedOn w:val="Normal"/>
    <w:semiHidden/>
    <w:rsid w:val="00416066"/>
    <w:rPr>
      <w:rFonts w:ascii="Tahoma" w:hAnsi="Tahoma" w:cs="Tahoma"/>
      <w:sz w:val="16"/>
      <w:szCs w:val="16"/>
    </w:rPr>
  </w:style>
  <w:style w:type="paragraph" w:customStyle="1" w:styleId="DoubleDot">
    <w:name w:val="Double Dot"/>
    <w:basedOn w:val="Normal"/>
    <w:rsid w:val="00A854EC"/>
    <w:pPr>
      <w:numPr>
        <w:ilvl w:val="2"/>
        <w:numId w:val="3"/>
      </w:numPr>
      <w:spacing w:after="240"/>
    </w:pPr>
  </w:style>
  <w:style w:type="character" w:styleId="CommentReference">
    <w:name w:val="annotation reference"/>
    <w:basedOn w:val="DefaultParagraphFont"/>
    <w:semiHidden/>
    <w:rsid w:val="00BC5365"/>
    <w:rPr>
      <w:sz w:val="16"/>
      <w:szCs w:val="16"/>
    </w:rPr>
  </w:style>
  <w:style w:type="paragraph" w:styleId="CommentText">
    <w:name w:val="annotation text"/>
    <w:basedOn w:val="Normal"/>
    <w:semiHidden/>
    <w:rsid w:val="00BC5365"/>
    <w:rPr>
      <w:sz w:val="20"/>
      <w:szCs w:val="20"/>
    </w:rPr>
  </w:style>
  <w:style w:type="paragraph" w:styleId="CommentSubject">
    <w:name w:val="annotation subject"/>
    <w:basedOn w:val="CommentText"/>
    <w:next w:val="CommentText"/>
    <w:semiHidden/>
    <w:rsid w:val="00BC5365"/>
    <w:rPr>
      <w:b/>
      <w:bCs/>
    </w:rPr>
  </w:style>
  <w:style w:type="character" w:customStyle="1" w:styleId="BulletChar">
    <w:name w:val="Bullet Char"/>
    <w:basedOn w:val="DefaultParagraphFont"/>
    <w:link w:val="Bullet"/>
    <w:locked/>
    <w:rsid w:val="00257D26"/>
    <w:rPr>
      <w:sz w:val="24"/>
    </w:rPr>
  </w:style>
  <w:style w:type="paragraph" w:customStyle="1" w:styleId="OutlineNumbered1">
    <w:name w:val="Outline Numbered 1"/>
    <w:basedOn w:val="Normal"/>
    <w:rsid w:val="00825FD4"/>
    <w:pPr>
      <w:numPr>
        <w:numId w:val="10"/>
      </w:numPr>
      <w:spacing w:after="240"/>
    </w:pPr>
  </w:style>
  <w:style w:type="paragraph" w:customStyle="1" w:styleId="OutlineNumbered2">
    <w:name w:val="Outline Numbered 2"/>
    <w:basedOn w:val="Normal"/>
    <w:rsid w:val="00825FD4"/>
    <w:pPr>
      <w:numPr>
        <w:ilvl w:val="1"/>
        <w:numId w:val="10"/>
      </w:numPr>
      <w:spacing w:after="240"/>
    </w:pPr>
  </w:style>
  <w:style w:type="paragraph" w:customStyle="1" w:styleId="OutlineNumbered3">
    <w:name w:val="Outline Numbered 3"/>
    <w:basedOn w:val="Normal"/>
    <w:rsid w:val="00825FD4"/>
    <w:pPr>
      <w:numPr>
        <w:ilvl w:val="2"/>
        <w:numId w:val="10"/>
      </w:numPr>
      <w:spacing w:after="240"/>
    </w:pPr>
  </w:style>
  <w:style w:type="paragraph" w:customStyle="1" w:styleId="Default">
    <w:name w:val="Default"/>
    <w:rsid w:val="00023CC1"/>
    <w:pPr>
      <w:autoSpaceDE w:val="0"/>
      <w:autoSpaceDN w:val="0"/>
      <w:adjustRightInd w:val="0"/>
    </w:pPr>
    <w:rPr>
      <w:color w:val="000000"/>
      <w:sz w:val="24"/>
      <w:szCs w:val="24"/>
    </w:rPr>
  </w:style>
  <w:style w:type="paragraph" w:customStyle="1" w:styleId="bullet0">
    <w:name w:val="bullet"/>
    <w:basedOn w:val="Normal"/>
    <w:rsid w:val="00346045"/>
    <w:pPr>
      <w:spacing w:before="100" w:beforeAutospacing="1" w:after="100" w:afterAutospacing="1"/>
    </w:pPr>
    <w:rPr>
      <w:lang w:val="en-AU" w:eastAsia="en-AU"/>
    </w:rPr>
  </w:style>
  <w:style w:type="table" w:styleId="TableGrid">
    <w:name w:val="Table Grid"/>
    <w:basedOn w:val="TableNormal"/>
    <w:rsid w:val="00D43C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Indent">
    <w:name w:val="Normal Indent"/>
    <w:basedOn w:val="Normal"/>
    <w:rsid w:val="00886280"/>
    <w:pPr>
      <w:spacing w:after="240"/>
      <w:ind w:left="720"/>
    </w:pPr>
    <w:rPr>
      <w:szCs w:val="20"/>
      <w:lang w:val="en-AU" w:eastAsia="en-AU"/>
    </w:rPr>
  </w:style>
  <w:style w:type="paragraph" w:customStyle="1" w:styleId="SinglePara">
    <w:name w:val="Single Para"/>
    <w:basedOn w:val="Normal"/>
    <w:rsid w:val="00886280"/>
    <w:rPr>
      <w:sz w:val="20"/>
      <w:szCs w:val="20"/>
      <w:lang w:val="en-AU" w:eastAsia="en-AU"/>
    </w:rPr>
  </w:style>
  <w:style w:type="paragraph" w:customStyle="1" w:styleId="Style">
    <w:name w:val="Style"/>
    <w:basedOn w:val="Normal"/>
    <w:rsid w:val="00740697"/>
    <w:pPr>
      <w:spacing w:after="160" w:line="240" w:lineRule="exact"/>
    </w:pPr>
    <w:rPr>
      <w:rFonts w:ascii="Verdana" w:hAnsi="Verdana"/>
      <w:sz w:val="20"/>
    </w:rPr>
  </w:style>
</w:styles>
</file>

<file path=word/webSettings.xml><?xml version="1.0" encoding="utf-8"?>
<w:webSettings xmlns:r="http://schemas.openxmlformats.org/officeDocument/2006/relationships" xmlns:w="http://schemas.openxmlformats.org/wordprocessingml/2006/main">
  <w:divs>
    <w:div w:id="61684105">
      <w:bodyDiv w:val="1"/>
      <w:marLeft w:val="0"/>
      <w:marRight w:val="0"/>
      <w:marTop w:val="0"/>
      <w:marBottom w:val="0"/>
      <w:divBdr>
        <w:top w:val="none" w:sz="0" w:space="0" w:color="auto"/>
        <w:left w:val="none" w:sz="0" w:space="0" w:color="auto"/>
        <w:bottom w:val="none" w:sz="0" w:space="0" w:color="auto"/>
        <w:right w:val="none" w:sz="0" w:space="0" w:color="auto"/>
      </w:divBdr>
    </w:div>
    <w:div w:id="429932385">
      <w:bodyDiv w:val="1"/>
      <w:marLeft w:val="0"/>
      <w:marRight w:val="0"/>
      <w:marTop w:val="0"/>
      <w:marBottom w:val="0"/>
      <w:divBdr>
        <w:top w:val="none" w:sz="0" w:space="0" w:color="auto"/>
        <w:left w:val="none" w:sz="0" w:space="0" w:color="auto"/>
        <w:bottom w:val="none" w:sz="0" w:space="0" w:color="auto"/>
        <w:right w:val="none" w:sz="0" w:space="0" w:color="auto"/>
      </w:divBdr>
    </w:div>
    <w:div w:id="793600094">
      <w:bodyDiv w:val="1"/>
      <w:marLeft w:val="0"/>
      <w:marRight w:val="0"/>
      <w:marTop w:val="0"/>
      <w:marBottom w:val="0"/>
      <w:divBdr>
        <w:top w:val="none" w:sz="0" w:space="0" w:color="auto"/>
        <w:left w:val="none" w:sz="0" w:space="0" w:color="auto"/>
        <w:bottom w:val="none" w:sz="0" w:space="0" w:color="auto"/>
        <w:right w:val="none" w:sz="0" w:space="0" w:color="auto"/>
      </w:divBdr>
      <w:divsChild>
        <w:div w:id="558174517">
          <w:marLeft w:val="0"/>
          <w:marRight w:val="0"/>
          <w:marTop w:val="0"/>
          <w:marBottom w:val="0"/>
          <w:divBdr>
            <w:top w:val="none" w:sz="0" w:space="0" w:color="auto"/>
            <w:left w:val="none" w:sz="0" w:space="0" w:color="auto"/>
            <w:bottom w:val="none" w:sz="0" w:space="0" w:color="auto"/>
            <w:right w:val="none" w:sz="0" w:space="0" w:color="auto"/>
          </w:divBdr>
        </w:div>
      </w:divsChild>
    </w:div>
    <w:div w:id="1099065546">
      <w:bodyDiv w:val="1"/>
      <w:marLeft w:val="0"/>
      <w:marRight w:val="0"/>
      <w:marTop w:val="0"/>
      <w:marBottom w:val="0"/>
      <w:divBdr>
        <w:top w:val="none" w:sz="0" w:space="0" w:color="auto"/>
        <w:left w:val="none" w:sz="0" w:space="0" w:color="auto"/>
        <w:bottom w:val="none" w:sz="0" w:space="0" w:color="auto"/>
        <w:right w:val="none" w:sz="0" w:space="0" w:color="auto"/>
      </w:divBdr>
      <w:divsChild>
        <w:div w:id="1635989893">
          <w:marLeft w:val="0"/>
          <w:marRight w:val="0"/>
          <w:marTop w:val="0"/>
          <w:marBottom w:val="0"/>
          <w:divBdr>
            <w:top w:val="none" w:sz="0" w:space="0" w:color="auto"/>
            <w:left w:val="none" w:sz="0" w:space="0" w:color="auto"/>
            <w:bottom w:val="none" w:sz="0" w:space="0" w:color="auto"/>
            <w:right w:val="none" w:sz="0" w:space="0" w:color="auto"/>
          </w:divBdr>
        </w:div>
      </w:divsChild>
    </w:div>
    <w:div w:id="1190876860">
      <w:bodyDiv w:val="1"/>
      <w:marLeft w:val="0"/>
      <w:marRight w:val="0"/>
      <w:marTop w:val="0"/>
      <w:marBottom w:val="0"/>
      <w:divBdr>
        <w:top w:val="none" w:sz="0" w:space="0" w:color="auto"/>
        <w:left w:val="none" w:sz="0" w:space="0" w:color="auto"/>
        <w:bottom w:val="none" w:sz="0" w:space="0" w:color="auto"/>
        <w:right w:val="none" w:sz="0" w:space="0" w:color="auto"/>
      </w:divBdr>
      <w:divsChild>
        <w:div w:id="627007900">
          <w:marLeft w:val="0"/>
          <w:marRight w:val="0"/>
          <w:marTop w:val="0"/>
          <w:marBottom w:val="0"/>
          <w:divBdr>
            <w:top w:val="none" w:sz="0" w:space="0" w:color="auto"/>
            <w:left w:val="none" w:sz="0" w:space="0" w:color="auto"/>
            <w:bottom w:val="none" w:sz="0" w:space="0" w:color="auto"/>
            <w:right w:val="none" w:sz="0" w:space="0" w:color="auto"/>
          </w:divBdr>
        </w:div>
      </w:divsChild>
    </w:div>
    <w:div w:id="1303998637">
      <w:bodyDiv w:val="1"/>
      <w:marLeft w:val="0"/>
      <w:marRight w:val="0"/>
      <w:marTop w:val="0"/>
      <w:marBottom w:val="0"/>
      <w:divBdr>
        <w:top w:val="none" w:sz="0" w:space="0" w:color="auto"/>
        <w:left w:val="none" w:sz="0" w:space="0" w:color="auto"/>
        <w:bottom w:val="none" w:sz="0" w:space="0" w:color="auto"/>
        <w:right w:val="none" w:sz="0" w:space="0" w:color="auto"/>
      </w:divBdr>
      <w:divsChild>
        <w:div w:id="1883051545">
          <w:marLeft w:val="0"/>
          <w:marRight w:val="0"/>
          <w:marTop w:val="0"/>
          <w:marBottom w:val="0"/>
          <w:divBdr>
            <w:top w:val="none" w:sz="0" w:space="0" w:color="auto"/>
            <w:left w:val="none" w:sz="0" w:space="0" w:color="auto"/>
            <w:bottom w:val="none" w:sz="0" w:space="0" w:color="auto"/>
            <w:right w:val="none" w:sz="0" w:space="0" w:color="auto"/>
          </w:divBdr>
        </w:div>
      </w:divsChild>
    </w:div>
    <w:div w:id="1746298528">
      <w:bodyDiv w:val="1"/>
      <w:marLeft w:val="0"/>
      <w:marRight w:val="0"/>
      <w:marTop w:val="0"/>
      <w:marBottom w:val="0"/>
      <w:divBdr>
        <w:top w:val="none" w:sz="0" w:space="0" w:color="auto"/>
        <w:left w:val="none" w:sz="0" w:space="0" w:color="auto"/>
        <w:bottom w:val="none" w:sz="0" w:space="0" w:color="auto"/>
        <w:right w:val="none" w:sz="0" w:space="0" w:color="auto"/>
      </w:divBdr>
      <w:divsChild>
        <w:div w:id="2005350019">
          <w:marLeft w:val="0"/>
          <w:marRight w:val="0"/>
          <w:marTop w:val="0"/>
          <w:marBottom w:val="0"/>
          <w:divBdr>
            <w:top w:val="none" w:sz="0" w:space="0" w:color="auto"/>
            <w:left w:val="none" w:sz="0" w:space="0" w:color="auto"/>
            <w:bottom w:val="none" w:sz="0" w:space="0" w:color="auto"/>
            <w:right w:val="none" w:sz="0" w:space="0" w:color="auto"/>
          </w:divBdr>
        </w:div>
      </w:divsChild>
    </w:div>
    <w:div w:id="2117674675">
      <w:bodyDiv w:val="1"/>
      <w:marLeft w:val="0"/>
      <w:marRight w:val="0"/>
      <w:marTop w:val="0"/>
      <w:marBottom w:val="0"/>
      <w:divBdr>
        <w:top w:val="none" w:sz="0" w:space="0" w:color="auto"/>
        <w:left w:val="none" w:sz="0" w:space="0" w:color="auto"/>
        <w:bottom w:val="none" w:sz="0" w:space="0" w:color="auto"/>
        <w:right w:val="none" w:sz="0" w:space="0" w:color="auto"/>
      </w:divBdr>
      <w:divsChild>
        <w:div w:id="336732439">
          <w:marLeft w:val="0"/>
          <w:marRight w:val="0"/>
          <w:marTop w:val="0"/>
          <w:marBottom w:val="0"/>
          <w:divBdr>
            <w:top w:val="none" w:sz="0" w:space="0" w:color="auto"/>
            <w:left w:val="none" w:sz="0" w:space="0" w:color="auto"/>
            <w:bottom w:val="none" w:sz="0" w:space="0" w:color="auto"/>
            <w:right w:val="none" w:sz="0" w:space="0" w:color="auto"/>
          </w:divBdr>
          <w:divsChild>
            <w:div w:id="373965978">
              <w:marLeft w:val="0"/>
              <w:marRight w:val="0"/>
              <w:marTop w:val="0"/>
              <w:marBottom w:val="240"/>
              <w:divBdr>
                <w:top w:val="none" w:sz="0" w:space="0" w:color="auto"/>
                <w:left w:val="none" w:sz="0" w:space="0" w:color="auto"/>
                <w:bottom w:val="none" w:sz="0" w:space="0" w:color="auto"/>
                <w:right w:val="none" w:sz="0" w:space="0" w:color="auto"/>
              </w:divBdr>
            </w:div>
            <w:div w:id="140413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2188</Words>
  <Characters>10308</Characters>
  <Application>Microsoft Office Word</Application>
  <DocSecurity>0</DocSecurity>
  <Lines>312</Lines>
  <Paragraphs>171</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The Treasury</Company>
  <LinksUpToDate>false</LinksUpToDate>
  <CharactersWithSpaces>12325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Sutcliffe, Ward</dc:creator>
  <cp:lastModifiedBy>adamsd</cp:lastModifiedBy>
  <cp:revision>4</cp:revision>
  <cp:lastPrinted>2011-08-09T05:49:00Z</cp:lastPrinted>
  <dcterms:created xsi:type="dcterms:W3CDTF">2011-08-29T03:08:00Z</dcterms:created>
  <dcterms:modified xsi:type="dcterms:W3CDTF">2011-08-30T04:27:00Z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1150727081</vt:i4>
  </property>
  <property fmtid="{D5CDD505-2E9C-101B-9397-08002B2CF9AE}" pid="4" name="_EmailSubject">
    <vt:lpwstr>Home Loan Regs [SEC=UNCLASSIFIED]</vt:lpwstr>
  </property>
  <property fmtid="{D5CDD505-2E9C-101B-9397-08002B2CF9AE}" pid="5" name="_AuthorEmail">
    <vt:lpwstr>Joel.Tu@TREASURY.GOV.AU</vt:lpwstr>
  </property>
  <property fmtid="{D5CDD505-2E9C-101B-9397-08002B2CF9AE}" pid="6" name="_AuthorEmailDisplayName">
    <vt:lpwstr>Tu, Joel</vt:lpwstr>
  </property>
  <property fmtid="{D5CDD505-2E9C-101B-9397-08002B2CF9AE}" pid="7" name="_ReviewingToolsShownOnce">
    <vt:lpwstr/>
  </property>
</Properties>
</file>