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6F1" w:rsidRPr="007476BD" w:rsidRDefault="003D512B" w:rsidP="00D056F1">
      <w:r w:rsidRPr="007476BD">
        <w:rPr>
          <w:noProof/>
          <w:lang w:val="en-AU" w:eastAsia="en-AU" w:bidi="ar-SA"/>
        </w:rPr>
        <w:drawing>
          <wp:inline distT="0" distB="0" distL="0" distR="0" wp14:anchorId="5A82DA0B" wp14:editId="68F3B92D">
            <wp:extent cx="3962400" cy="695325"/>
            <wp:effectExtent l="19050" t="0" r="0" b="0"/>
            <wp:docPr id="4" name="Picture 1" descr="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_Logo_K"/>
                    <pic:cNvPicPr>
                      <a:picLocks noChangeAspect="1" noChangeArrowheads="1"/>
                    </pic:cNvPicPr>
                  </pic:nvPicPr>
                  <pic:blipFill>
                    <a:blip r:embed="rId9" cstate="print"/>
                    <a:srcRect/>
                    <a:stretch>
                      <a:fillRect/>
                    </a:stretch>
                  </pic:blipFill>
                  <pic:spPr bwMode="auto">
                    <a:xfrm>
                      <a:off x="0" y="0"/>
                      <a:ext cx="3962400" cy="695325"/>
                    </a:xfrm>
                    <a:prstGeom prst="rect">
                      <a:avLst/>
                    </a:prstGeom>
                    <a:noFill/>
                    <a:ln w="9525">
                      <a:noFill/>
                      <a:miter lim="800000"/>
                      <a:headEnd/>
                      <a:tailEnd/>
                    </a:ln>
                  </pic:spPr>
                </pic:pic>
              </a:graphicData>
            </a:graphic>
          </wp:inline>
        </w:drawing>
      </w:r>
    </w:p>
    <w:p w:rsidR="00935337" w:rsidRPr="007476BD" w:rsidRDefault="00935337" w:rsidP="00935337"/>
    <w:p w:rsidR="00935337" w:rsidRDefault="00935337" w:rsidP="00935337">
      <w:pPr>
        <w:rPr>
          <w:b/>
          <w:sz w:val="28"/>
          <w:szCs w:val="28"/>
        </w:rPr>
      </w:pPr>
    </w:p>
    <w:p w:rsidR="004A4F1D" w:rsidRDefault="004A4F1D" w:rsidP="00935337">
      <w:pPr>
        <w:rPr>
          <w:b/>
          <w:sz w:val="28"/>
          <w:szCs w:val="28"/>
        </w:rPr>
      </w:pPr>
    </w:p>
    <w:p w:rsidR="004A4F1D" w:rsidRPr="007476BD" w:rsidRDefault="004A4F1D" w:rsidP="00935337"/>
    <w:p w:rsidR="005E00BF" w:rsidRPr="007476BD" w:rsidRDefault="00A90115" w:rsidP="00A90115">
      <w:pPr>
        <w:pStyle w:val="FSTitle"/>
      </w:pPr>
      <w:r w:rsidRPr="007476BD">
        <w:t xml:space="preserve">APPLICATION </w:t>
      </w:r>
      <w:r w:rsidR="00D056F1" w:rsidRPr="007476BD">
        <w:t>A</w:t>
      </w:r>
      <w:r w:rsidRPr="007476BD">
        <w:t xml:space="preserve">1034 </w:t>
      </w:r>
    </w:p>
    <w:p w:rsidR="00D056F1" w:rsidRPr="007476BD" w:rsidRDefault="00276EDB" w:rsidP="00A90115">
      <w:pPr>
        <w:pStyle w:val="FSTitle"/>
        <w:rPr>
          <w:caps/>
        </w:rPr>
      </w:pPr>
      <w:r w:rsidRPr="007476BD">
        <w:rPr>
          <w:caps/>
        </w:rPr>
        <w:t>Advantame</w:t>
      </w:r>
      <w:r w:rsidR="00853D30" w:rsidRPr="007476BD">
        <w:rPr>
          <w:caps/>
        </w:rPr>
        <w:t xml:space="preserve"> as a H</w:t>
      </w:r>
      <w:r w:rsidR="00A90115" w:rsidRPr="007476BD">
        <w:rPr>
          <w:caps/>
        </w:rPr>
        <w:t>igh</w:t>
      </w:r>
      <w:r w:rsidR="00853D30" w:rsidRPr="007476BD">
        <w:rPr>
          <w:caps/>
        </w:rPr>
        <w:t xml:space="preserve"> Intensity S</w:t>
      </w:r>
      <w:r w:rsidR="00A90115" w:rsidRPr="007476BD">
        <w:rPr>
          <w:caps/>
        </w:rPr>
        <w:t>weetener</w:t>
      </w:r>
    </w:p>
    <w:p w:rsidR="002A0194" w:rsidRPr="007476BD" w:rsidRDefault="004A4F1D" w:rsidP="00DB2973">
      <w:pPr>
        <w:pStyle w:val="FSTitle"/>
      </w:pPr>
      <w:r>
        <w:t>EXPLANATORY STATEMENT</w:t>
      </w:r>
    </w:p>
    <w:p w:rsidR="002A0194" w:rsidRPr="007476BD" w:rsidRDefault="002A0194" w:rsidP="00D056F1">
      <w:pPr>
        <w:pBdr>
          <w:bottom w:val="single" w:sz="12" w:space="1" w:color="auto"/>
        </w:pBdr>
        <w:rPr>
          <w:rFonts w:ascii="Tahoma" w:hAnsi="Tahoma" w:cs="Tahoma"/>
          <w:b/>
          <w:bCs/>
        </w:rPr>
      </w:pPr>
    </w:p>
    <w:p w:rsidR="002A0194" w:rsidRPr="007476BD" w:rsidRDefault="002A0194">
      <w:pPr>
        <w:rPr>
          <w:rFonts w:cs="Arial"/>
        </w:rPr>
      </w:pPr>
    </w:p>
    <w:p w:rsidR="002A0194" w:rsidRPr="007476BD" w:rsidRDefault="002A0194" w:rsidP="002A0194">
      <w:pPr>
        <w:rPr>
          <w:rFonts w:ascii="Tahoma" w:hAnsi="Tahoma" w:cs="Tahoma"/>
          <w:b/>
          <w:bCs/>
          <w:sz w:val="28"/>
          <w:u w:val="single"/>
        </w:rPr>
      </w:pPr>
      <w:bookmarkStart w:id="0" w:name="_Toc11735626"/>
      <w:bookmarkStart w:id="1" w:name="_Toc29883108"/>
      <w:bookmarkStart w:id="2" w:name="_Toc41906795"/>
      <w:bookmarkStart w:id="3" w:name="_Toc41907543"/>
      <w:bookmarkStart w:id="4" w:name="_Toc120090537"/>
      <w:bookmarkStart w:id="5" w:name="_Toc120358570"/>
      <w:bookmarkStart w:id="6" w:name="_Toc120358612"/>
      <w:r w:rsidRPr="007476BD">
        <w:rPr>
          <w:rFonts w:ascii="Tahoma" w:hAnsi="Tahoma" w:cs="Tahoma"/>
          <w:b/>
          <w:bCs/>
          <w:sz w:val="28"/>
          <w:u w:val="single"/>
        </w:rPr>
        <w:t>Executive Summary</w:t>
      </w:r>
      <w:bookmarkEnd w:id="0"/>
      <w:bookmarkEnd w:id="1"/>
      <w:bookmarkEnd w:id="2"/>
      <w:bookmarkEnd w:id="3"/>
      <w:bookmarkEnd w:id="4"/>
      <w:bookmarkEnd w:id="5"/>
      <w:bookmarkEnd w:id="6"/>
    </w:p>
    <w:p w:rsidR="00FC1C92" w:rsidRPr="007476BD" w:rsidRDefault="00FC1C92" w:rsidP="005F400E">
      <w:pPr>
        <w:rPr>
          <w:rFonts w:cs="Arial"/>
          <w:b/>
          <w:bCs/>
        </w:rPr>
      </w:pPr>
      <w:bookmarkStart w:id="7" w:name="_Toc120090538"/>
      <w:bookmarkStart w:id="8" w:name="_Toc120358571"/>
      <w:bookmarkStart w:id="9" w:name="_Toc120358613"/>
    </w:p>
    <w:p w:rsidR="005F400E" w:rsidRPr="007476BD" w:rsidRDefault="005F400E" w:rsidP="005F400E">
      <w:pPr>
        <w:rPr>
          <w:rFonts w:cs="Arial"/>
          <w:b/>
          <w:bCs/>
        </w:rPr>
      </w:pPr>
      <w:r w:rsidRPr="007476BD">
        <w:rPr>
          <w:rFonts w:cs="Arial"/>
          <w:b/>
          <w:bCs/>
        </w:rPr>
        <w:t>Purpose</w:t>
      </w:r>
      <w:bookmarkEnd w:id="7"/>
      <w:bookmarkEnd w:id="8"/>
      <w:bookmarkEnd w:id="9"/>
    </w:p>
    <w:p w:rsidR="00B479FA" w:rsidRPr="007476BD" w:rsidRDefault="00B479FA" w:rsidP="005F400E">
      <w:pPr>
        <w:rPr>
          <w:rFonts w:cs="Arial"/>
          <w:b/>
          <w:bCs/>
        </w:rPr>
      </w:pPr>
    </w:p>
    <w:p w:rsidR="00B479FA" w:rsidRPr="007476BD" w:rsidRDefault="00B479FA" w:rsidP="00B479FA">
      <w:pPr>
        <w:rPr>
          <w:rFonts w:cs="Arial"/>
        </w:rPr>
      </w:pPr>
      <w:r w:rsidRPr="007476BD">
        <w:rPr>
          <w:rFonts w:cs="Arial"/>
        </w:rPr>
        <w:t>A</w:t>
      </w:r>
      <w:r w:rsidR="00C44DA3" w:rsidRPr="007476BD">
        <w:rPr>
          <w:rFonts w:cs="Arial"/>
        </w:rPr>
        <w:t>n</w:t>
      </w:r>
      <w:r w:rsidRPr="007476BD">
        <w:rPr>
          <w:rFonts w:cs="Arial"/>
        </w:rPr>
        <w:t xml:space="preserve"> Application was received from Ajinomoto Co </w:t>
      </w:r>
      <w:r w:rsidR="00931D08" w:rsidRPr="007476BD">
        <w:rPr>
          <w:rFonts w:cs="Arial"/>
        </w:rPr>
        <w:t>Inc.</w:t>
      </w:r>
      <w:r w:rsidRPr="007476BD">
        <w:rPr>
          <w:rFonts w:cs="Arial"/>
          <w:sz w:val="20"/>
          <w:lang w:bidi="ar-SA"/>
        </w:rPr>
        <w:t xml:space="preserve"> </w:t>
      </w:r>
      <w:r w:rsidRPr="007476BD">
        <w:t xml:space="preserve">to amend Standard </w:t>
      </w:r>
      <w:r w:rsidR="00935337" w:rsidRPr="007476BD">
        <w:t>1.3.1 – Food Additives in</w:t>
      </w:r>
      <w:r w:rsidRPr="007476BD">
        <w:t xml:space="preserve"> the </w:t>
      </w:r>
      <w:r w:rsidRPr="007476BD">
        <w:rPr>
          <w:i/>
          <w:iCs/>
        </w:rPr>
        <w:t>Australia New Zealand Food Standards Code</w:t>
      </w:r>
      <w:r w:rsidRPr="007476BD">
        <w:t xml:space="preserve"> (the Code) to approve the use of </w:t>
      </w:r>
      <w:r w:rsidRPr="007476BD">
        <w:rPr>
          <w:rFonts w:cs="Arial"/>
        </w:rPr>
        <w:t>a n</w:t>
      </w:r>
      <w:r w:rsidR="009E1B62" w:rsidRPr="007476BD">
        <w:rPr>
          <w:rFonts w:cs="Arial"/>
        </w:rPr>
        <w:t>ew intense sweetener</w:t>
      </w:r>
      <w:r w:rsidR="007626FF" w:rsidRPr="007476BD">
        <w:rPr>
          <w:rFonts w:cs="Arial"/>
        </w:rPr>
        <w:t>,</w:t>
      </w:r>
      <w:r w:rsidR="009E1B62" w:rsidRPr="007476BD">
        <w:rPr>
          <w:rFonts w:cs="Arial"/>
        </w:rPr>
        <w:t xml:space="preserve"> </w:t>
      </w:r>
      <w:r w:rsidR="00276EDB" w:rsidRPr="007476BD">
        <w:rPr>
          <w:rFonts w:cs="Arial"/>
        </w:rPr>
        <w:t>Advantame</w:t>
      </w:r>
      <w:r w:rsidR="007626FF" w:rsidRPr="007476BD">
        <w:rPr>
          <w:rFonts w:cs="Arial"/>
        </w:rPr>
        <w:t>,</w:t>
      </w:r>
      <w:r w:rsidR="009E1B62" w:rsidRPr="007476BD">
        <w:rPr>
          <w:rFonts w:cs="Arial"/>
        </w:rPr>
        <w:t xml:space="preserve"> </w:t>
      </w:r>
      <w:r w:rsidRPr="007476BD">
        <w:rPr>
          <w:rFonts w:cs="Arial"/>
        </w:rPr>
        <w:t>for use in a range of foods.</w:t>
      </w:r>
    </w:p>
    <w:p w:rsidR="00B479FA" w:rsidRPr="007476BD" w:rsidRDefault="00B479FA" w:rsidP="00B479FA">
      <w:pPr>
        <w:rPr>
          <w:rFonts w:cs="Arial"/>
        </w:rPr>
      </w:pPr>
    </w:p>
    <w:p w:rsidR="00B479FA" w:rsidRPr="007476BD" w:rsidRDefault="00B479FA" w:rsidP="00B479FA">
      <w:pPr>
        <w:rPr>
          <w:rFonts w:cs="Arial"/>
          <w:szCs w:val="22"/>
        </w:rPr>
      </w:pPr>
      <w:r w:rsidRPr="007476BD">
        <w:rPr>
          <w:rFonts w:cs="Arial"/>
          <w:szCs w:val="22"/>
        </w:rPr>
        <w:t>This App</w:t>
      </w:r>
      <w:r w:rsidR="005E00BF" w:rsidRPr="007476BD">
        <w:rPr>
          <w:rFonts w:cs="Arial"/>
          <w:szCs w:val="22"/>
        </w:rPr>
        <w:t xml:space="preserve">lication is being assessed under the </w:t>
      </w:r>
      <w:r w:rsidRPr="007476BD">
        <w:rPr>
          <w:rFonts w:cs="Arial"/>
          <w:color w:val="000000"/>
          <w:szCs w:val="22"/>
        </w:rPr>
        <w:t>Major</w:t>
      </w:r>
      <w:r w:rsidRPr="007476BD">
        <w:rPr>
          <w:rFonts w:cs="Arial"/>
          <w:szCs w:val="22"/>
        </w:rPr>
        <w:t xml:space="preserve"> Procedure</w:t>
      </w:r>
      <w:r w:rsidR="002B3377" w:rsidRPr="007476BD">
        <w:rPr>
          <w:rFonts w:cs="Arial"/>
          <w:szCs w:val="22"/>
        </w:rPr>
        <w:t xml:space="preserve"> and </w:t>
      </w:r>
      <w:r w:rsidRPr="007476BD">
        <w:rPr>
          <w:rFonts w:cs="Arial"/>
          <w:szCs w:val="22"/>
        </w:rPr>
        <w:t>two rounds of public consultation</w:t>
      </w:r>
      <w:r w:rsidR="00945D1F" w:rsidRPr="007476BD">
        <w:rPr>
          <w:rFonts w:cs="Arial"/>
          <w:szCs w:val="22"/>
        </w:rPr>
        <w:t xml:space="preserve"> have been conducted</w:t>
      </w:r>
      <w:r w:rsidR="002B3377" w:rsidRPr="007476BD">
        <w:rPr>
          <w:rFonts w:cs="Arial"/>
          <w:szCs w:val="22"/>
        </w:rPr>
        <w:t xml:space="preserve">. </w:t>
      </w:r>
    </w:p>
    <w:p w:rsidR="00B479FA" w:rsidRPr="007476BD" w:rsidRDefault="00B479FA" w:rsidP="00B479FA">
      <w:pPr>
        <w:rPr>
          <w:rFonts w:cs="Arial"/>
        </w:rPr>
      </w:pPr>
    </w:p>
    <w:p w:rsidR="00E831AD" w:rsidRPr="007476BD" w:rsidRDefault="00E831AD" w:rsidP="00E831AD">
      <w:r w:rsidRPr="007476BD">
        <w:t>The specific objectives in considering this Application are to:</w:t>
      </w:r>
    </w:p>
    <w:p w:rsidR="00E831AD" w:rsidRPr="007476BD" w:rsidRDefault="00E831AD" w:rsidP="00E831AD"/>
    <w:p w:rsidR="00E831AD" w:rsidRPr="007476BD" w:rsidRDefault="00E831AD" w:rsidP="00503CC3">
      <w:pPr>
        <w:pStyle w:val="FSBullet"/>
      </w:pPr>
      <w:r w:rsidRPr="007476BD">
        <w:t xml:space="preserve">protect public health and safety in relation to the proposed addition of </w:t>
      </w:r>
      <w:r w:rsidR="00276EDB" w:rsidRPr="007476BD">
        <w:t>Advantame</w:t>
      </w:r>
      <w:r w:rsidRPr="007476BD">
        <w:t xml:space="preserve"> to a range of foods</w:t>
      </w:r>
    </w:p>
    <w:p w:rsidR="00E831AD" w:rsidRPr="007476BD" w:rsidRDefault="00E831AD" w:rsidP="00E831AD">
      <w:pPr>
        <w:pStyle w:val="Bullet"/>
        <w:tabs>
          <w:tab w:val="clear" w:pos="577"/>
        </w:tabs>
        <w:ind w:firstLine="0"/>
      </w:pPr>
    </w:p>
    <w:p w:rsidR="00E831AD" w:rsidRPr="007476BD" w:rsidRDefault="00E831AD" w:rsidP="00503CC3">
      <w:pPr>
        <w:pStyle w:val="FSBullet"/>
      </w:pPr>
      <w:r w:rsidRPr="007476BD">
        <w:t xml:space="preserve">ensure adequate information relating to </w:t>
      </w:r>
      <w:r w:rsidR="00276EDB" w:rsidRPr="007476BD">
        <w:t>Advantame</w:t>
      </w:r>
      <w:r w:rsidRPr="007476BD">
        <w:t xml:space="preserve"> is provided to consumers to enable informed choice</w:t>
      </w:r>
    </w:p>
    <w:p w:rsidR="00E831AD" w:rsidRPr="007476BD" w:rsidRDefault="00E831AD" w:rsidP="00E831AD">
      <w:pPr>
        <w:pStyle w:val="Bullet"/>
        <w:tabs>
          <w:tab w:val="clear" w:pos="577"/>
        </w:tabs>
        <w:ind w:firstLine="0"/>
      </w:pPr>
    </w:p>
    <w:p w:rsidR="00DD2B0A" w:rsidRPr="007476BD" w:rsidRDefault="00DD2B0A" w:rsidP="00DD2B0A">
      <w:pPr>
        <w:rPr>
          <w:rFonts w:cs="Arial"/>
        </w:rPr>
      </w:pPr>
      <w:r w:rsidRPr="007476BD">
        <w:rPr>
          <w:rFonts w:cs="Arial"/>
        </w:rPr>
        <w:t>FSANZ has independently evaluated the submitted toxicity studies on Advantame including studies on kinetics, metabolism, acute toxicity, repeat-dose toxicity, genotoxicity, immunotoxicity, reproductive toxicity and developmental toxicity. Four human studies were also evaluated.</w:t>
      </w:r>
    </w:p>
    <w:p w:rsidR="00756F16" w:rsidRPr="007476BD" w:rsidRDefault="00756F16" w:rsidP="00DD2B0A">
      <w:pPr>
        <w:rPr>
          <w:rFonts w:cs="Arial"/>
        </w:rPr>
      </w:pPr>
    </w:p>
    <w:p w:rsidR="00401440" w:rsidRPr="007476BD" w:rsidRDefault="00DD2B0A" w:rsidP="00401440">
      <w:r w:rsidRPr="007476BD">
        <w:rPr>
          <w:rFonts w:cs="Arial"/>
        </w:rPr>
        <w:t xml:space="preserve">The acute toxicity in rats was </w:t>
      </w:r>
      <w:r w:rsidR="00663956" w:rsidRPr="007476BD">
        <w:rPr>
          <w:rFonts w:cs="Arial"/>
        </w:rPr>
        <w:t xml:space="preserve">assessed as </w:t>
      </w:r>
      <w:r w:rsidRPr="007476BD">
        <w:rPr>
          <w:rFonts w:cs="Arial"/>
        </w:rPr>
        <w:t>very low</w:t>
      </w:r>
      <w:r w:rsidR="00336F94" w:rsidRPr="007476BD">
        <w:rPr>
          <w:rFonts w:cs="Arial"/>
        </w:rPr>
        <w:t xml:space="preserve">. </w:t>
      </w:r>
      <w:r w:rsidRPr="007476BD">
        <w:rPr>
          <w:rFonts w:cs="Arial"/>
        </w:rPr>
        <w:t>There was no evidence that Advantame was genotoxic or carcinogenic</w:t>
      </w:r>
      <w:r w:rsidR="00C174E1" w:rsidRPr="007476BD">
        <w:rPr>
          <w:rFonts w:cs="Arial"/>
        </w:rPr>
        <w:t xml:space="preserve">. </w:t>
      </w:r>
      <w:r w:rsidRPr="007476BD">
        <w:rPr>
          <w:rFonts w:cs="Arial"/>
        </w:rPr>
        <w:t>In human studies, doses up to 0.5 mg/kg bw were well</w:t>
      </w:r>
      <w:r w:rsidR="00945D1F" w:rsidRPr="007476BD">
        <w:rPr>
          <w:rFonts w:cs="Arial"/>
        </w:rPr>
        <w:t xml:space="preserve"> </w:t>
      </w:r>
      <w:r w:rsidRPr="007476BD">
        <w:rPr>
          <w:rFonts w:cs="Arial"/>
        </w:rPr>
        <w:t>tolerated by volunteers with and without type-2 diabetes following a single dose or repe</w:t>
      </w:r>
      <w:r w:rsidR="00C174E1" w:rsidRPr="007476BD">
        <w:rPr>
          <w:rFonts w:cs="Arial"/>
        </w:rPr>
        <w:t xml:space="preserve">ated dosing for up to 12 weeks. </w:t>
      </w:r>
      <w:r w:rsidRPr="007476BD">
        <w:rPr>
          <w:rFonts w:cs="Arial"/>
        </w:rPr>
        <w:t xml:space="preserve">An </w:t>
      </w:r>
      <w:r w:rsidR="00945D1F" w:rsidRPr="007476BD">
        <w:rPr>
          <w:rFonts w:cs="Arial"/>
        </w:rPr>
        <w:t>Acceptable Daily Intake (</w:t>
      </w:r>
      <w:r w:rsidRPr="007476BD">
        <w:rPr>
          <w:rFonts w:cs="Arial"/>
        </w:rPr>
        <w:t>ADI</w:t>
      </w:r>
      <w:r w:rsidR="00945D1F" w:rsidRPr="007476BD">
        <w:rPr>
          <w:rFonts w:cs="Arial"/>
        </w:rPr>
        <w:t>)</w:t>
      </w:r>
      <w:r w:rsidRPr="007476BD">
        <w:rPr>
          <w:rFonts w:cs="Arial"/>
        </w:rPr>
        <w:t xml:space="preserve"> has been set at 5 mg/kg bw/day, by applying a 100-fold safety factor to the no observed adverse effect level (NOAEL) of 500 mg/kg bw/day in a rabbit developmental toxicity study. The NOAEL was based on maternotoxicity at the next higher dose of 1000 mg/kg bw/day. </w:t>
      </w:r>
    </w:p>
    <w:p w:rsidR="00DD2B0A" w:rsidRPr="007476BD" w:rsidRDefault="00DD2B0A" w:rsidP="00DD2B0A">
      <w:pPr>
        <w:rPr>
          <w:rFonts w:cs="Arial"/>
        </w:rPr>
      </w:pPr>
    </w:p>
    <w:p w:rsidR="00401440" w:rsidRPr="007476BD" w:rsidRDefault="00DD2B0A" w:rsidP="00935337">
      <w:pPr>
        <w:ind w:right="-330"/>
      </w:pPr>
      <w:r w:rsidRPr="007476BD">
        <w:t xml:space="preserve">Comparisons of the </w:t>
      </w:r>
      <w:r w:rsidR="00945D1F" w:rsidRPr="007476BD">
        <w:t xml:space="preserve">modelled </w:t>
      </w:r>
      <w:r w:rsidRPr="007476BD">
        <w:t>dietary exposure</w:t>
      </w:r>
      <w:r w:rsidR="00136807" w:rsidRPr="007476BD">
        <w:t xml:space="preserve"> to Advantame with the ADI of </w:t>
      </w:r>
      <w:r w:rsidRPr="007476BD">
        <w:t>5 mg/kg bw indicated that for all groups of Australian and New Zealand consumers assessed (including children), estimated dietary exposures were well below this safe level of exposure. On this basis, there are no public health and safety issues associated with the propose</w:t>
      </w:r>
      <w:r w:rsidR="00401440" w:rsidRPr="007476BD">
        <w:t xml:space="preserve">d addition of Advantame to food. The key risk assessment findings are detailed in </w:t>
      </w:r>
      <w:r w:rsidR="00401440" w:rsidRPr="007476BD">
        <w:rPr>
          <w:b/>
        </w:rPr>
        <w:t>Supporting Document 1</w:t>
      </w:r>
      <w:r w:rsidR="00401440" w:rsidRPr="007476BD">
        <w:t xml:space="preserve">. </w:t>
      </w:r>
    </w:p>
    <w:p w:rsidR="00935337" w:rsidRPr="007476BD" w:rsidRDefault="00935337" w:rsidP="00DD2B0A">
      <w:pPr>
        <w:rPr>
          <w:rFonts w:cs="Arial"/>
        </w:rPr>
      </w:pPr>
      <w:r w:rsidRPr="007476BD">
        <w:rPr>
          <w:rFonts w:cs="Arial"/>
        </w:rPr>
        <w:br w:type="page"/>
      </w:r>
    </w:p>
    <w:p w:rsidR="00DD2B0A" w:rsidRPr="007476BD" w:rsidRDefault="00DD2B0A" w:rsidP="00DD2B0A">
      <w:r w:rsidRPr="007476BD">
        <w:rPr>
          <w:rFonts w:cs="Arial"/>
        </w:rPr>
        <w:lastRenderedPageBreak/>
        <w:t xml:space="preserve">FSANZ concludes that approval of Advantame </w:t>
      </w:r>
      <w:r w:rsidR="00177EBA" w:rsidRPr="007476BD">
        <w:t xml:space="preserve">as an intense sweetener </w:t>
      </w:r>
      <w:r w:rsidRPr="007476BD">
        <w:t xml:space="preserve">does not </w:t>
      </w:r>
      <w:r w:rsidR="0089656D" w:rsidRPr="007476BD">
        <w:t>raise</w:t>
      </w:r>
      <w:r w:rsidRPr="007476BD">
        <w:t xml:space="preserve"> a</w:t>
      </w:r>
      <w:r w:rsidR="0089656D" w:rsidRPr="007476BD">
        <w:t>ny public health and safety issues</w:t>
      </w:r>
      <w:r w:rsidRPr="007476BD">
        <w:t xml:space="preserve"> </w:t>
      </w:r>
      <w:r w:rsidRPr="007476BD">
        <w:rPr>
          <w:rFonts w:cs="Arial"/>
        </w:rPr>
        <w:t>for Australian or New Zealand consumers. Furthermore, Advantame is technologically justified as it provides the function of an intense sweetener</w:t>
      </w:r>
      <w:r w:rsidRPr="007476BD">
        <w:rPr>
          <w:rStyle w:val="FootnoteReference"/>
          <w:rFonts w:cs="Arial"/>
        </w:rPr>
        <w:footnoteReference w:id="1"/>
      </w:r>
      <w:r w:rsidRPr="007476BD">
        <w:rPr>
          <w:rFonts w:cs="Arial"/>
        </w:rPr>
        <w:t xml:space="preserve"> in foods. </w:t>
      </w:r>
    </w:p>
    <w:p w:rsidR="00DD2B0A" w:rsidRPr="007476BD" w:rsidRDefault="00DD2B0A" w:rsidP="00E951A5"/>
    <w:p w:rsidR="00374F8C" w:rsidRPr="007476BD" w:rsidRDefault="00374F8C" w:rsidP="00374F8C">
      <w:pPr>
        <w:widowControl/>
        <w:rPr>
          <w:szCs w:val="22"/>
        </w:rPr>
      </w:pPr>
      <w:r w:rsidRPr="007476BD">
        <w:rPr>
          <w:szCs w:val="22"/>
        </w:rPr>
        <w:t xml:space="preserve">In order to ensure appropriate use of Advantame FSANZ has considered two options. Firstly, establishing maximum limits (MLs) in Schedule 1 of the Code, or secondly giving approval for use according to Good Manufacturing Practice (GMP) in Schedule 2 of Standard 1.3.1. </w:t>
      </w:r>
    </w:p>
    <w:p w:rsidR="00374F8C" w:rsidRPr="007476BD" w:rsidRDefault="00374F8C" w:rsidP="00E951A5"/>
    <w:p w:rsidR="00E670C6" w:rsidRPr="007476BD" w:rsidRDefault="00E670C6" w:rsidP="00E670C6">
      <w:pPr>
        <w:widowControl/>
        <w:rPr>
          <w:szCs w:val="22"/>
          <w:lang w:bidi="ar-SA"/>
        </w:rPr>
      </w:pPr>
      <w:r w:rsidRPr="007476BD">
        <w:rPr>
          <w:szCs w:val="22"/>
          <w:lang w:bidi="ar-SA"/>
        </w:rPr>
        <w:t xml:space="preserve">FSANZ has considered </w:t>
      </w:r>
      <w:r w:rsidRPr="007476BD">
        <w:rPr>
          <w:rFonts w:cs="Arial"/>
          <w:szCs w:val="20"/>
          <w:lang w:bidi="ar-SA"/>
        </w:rPr>
        <w:t xml:space="preserve">that it is appropriate that Advantame is included in Schedule 2 of Standard 1.3.1 for the following reasons: </w:t>
      </w:r>
    </w:p>
    <w:p w:rsidR="00E670C6" w:rsidRPr="007476BD" w:rsidRDefault="00E670C6" w:rsidP="00E670C6">
      <w:pPr>
        <w:widowControl/>
        <w:rPr>
          <w:rFonts w:cs="Arial"/>
          <w:szCs w:val="20"/>
          <w:lang w:bidi="ar-SA"/>
        </w:rPr>
      </w:pPr>
    </w:p>
    <w:p w:rsidR="00E670C6" w:rsidRPr="007476BD" w:rsidRDefault="00E670C6" w:rsidP="00E670C6">
      <w:pPr>
        <w:pStyle w:val="FSBullet"/>
      </w:pPr>
      <w:r w:rsidRPr="007476BD">
        <w:t>There is no specific risk that needs to be managed by setting a maximum permitted level in foods.</w:t>
      </w:r>
    </w:p>
    <w:p w:rsidR="008128B5" w:rsidRPr="007476BD" w:rsidRDefault="00E670C6" w:rsidP="00B630E0">
      <w:pPr>
        <w:pStyle w:val="FSBullet"/>
      </w:pPr>
      <w:r w:rsidRPr="007476BD">
        <w:t xml:space="preserve">It allows </w:t>
      </w:r>
      <w:r w:rsidR="00CB7BF9" w:rsidRPr="007476BD">
        <w:t>a</w:t>
      </w:r>
      <w:r w:rsidR="008128B5" w:rsidRPr="007476BD">
        <w:t xml:space="preserve"> wider variety of foods to use A</w:t>
      </w:r>
      <w:r w:rsidR="00CB7BF9" w:rsidRPr="007476BD">
        <w:t>dvantame</w:t>
      </w:r>
      <w:r w:rsidR="002C4CB5" w:rsidRPr="007476BD">
        <w:t xml:space="preserve"> to formulate food preparations that suit a variety of broader food applications</w:t>
      </w:r>
      <w:r w:rsidR="00064122" w:rsidRPr="007476BD">
        <w:t>.</w:t>
      </w:r>
    </w:p>
    <w:p w:rsidR="00D61D13" w:rsidRPr="007476BD" w:rsidRDefault="00E670C6" w:rsidP="00E670C6">
      <w:pPr>
        <w:pStyle w:val="FSBullet"/>
      </w:pPr>
      <w:r w:rsidRPr="007476BD">
        <w:t>Due to the intense sweetness of Advantame and minimal amounts needed to sweeten foods, the use of Advantame is self-limiting</w:t>
      </w:r>
      <w:r w:rsidR="00064122" w:rsidRPr="007476BD">
        <w:t>.</w:t>
      </w:r>
    </w:p>
    <w:p w:rsidR="002C4CB5" w:rsidRPr="007476BD" w:rsidRDefault="00064122" w:rsidP="00E670C6">
      <w:pPr>
        <w:pStyle w:val="FSBullet"/>
      </w:pPr>
      <w:r w:rsidRPr="007476BD">
        <w:t>Even when used at the levels proposed by the Applicant, the d</w:t>
      </w:r>
      <w:r w:rsidR="002C4CB5" w:rsidRPr="007476BD">
        <w:t>ietary exposure</w:t>
      </w:r>
      <w:r w:rsidRPr="007476BD">
        <w:t xml:space="preserve"> </w:t>
      </w:r>
      <w:r w:rsidR="002C4CB5" w:rsidRPr="007476BD">
        <w:t>for the highest consumer is well below the ADI</w:t>
      </w:r>
      <w:r w:rsidRPr="007476BD">
        <w:t xml:space="preserve">. </w:t>
      </w:r>
    </w:p>
    <w:p w:rsidR="00E670C6" w:rsidRPr="007476BD" w:rsidRDefault="00E670C6" w:rsidP="00E951A5"/>
    <w:p w:rsidR="00E973CF" w:rsidRPr="007476BD" w:rsidRDefault="00E973CF" w:rsidP="00E951A5">
      <w:r w:rsidRPr="007476BD">
        <w:t>The general labelling requirements of the Code</w:t>
      </w:r>
      <w:r w:rsidR="00EE01AD" w:rsidRPr="007476BD">
        <w:t>,</w:t>
      </w:r>
      <w:r w:rsidRPr="007476BD">
        <w:t xml:space="preserve"> </w:t>
      </w:r>
      <w:r w:rsidR="00EE01AD" w:rsidRPr="007476BD">
        <w:rPr>
          <w:lang w:eastAsia="en-AU"/>
        </w:rPr>
        <w:t>including</w:t>
      </w:r>
      <w:r w:rsidR="00EE01AD" w:rsidRPr="007476BD">
        <w:t xml:space="preserve"> </w:t>
      </w:r>
      <w:r w:rsidR="00EE01AD" w:rsidRPr="007476BD">
        <w:rPr>
          <w:lang w:eastAsia="en-AU"/>
        </w:rPr>
        <w:t>the mandatory declaration of food additives</w:t>
      </w:r>
      <w:r w:rsidR="001B7EE5" w:rsidRPr="007476BD">
        <w:rPr>
          <w:lang w:eastAsia="en-AU"/>
        </w:rPr>
        <w:t>,</w:t>
      </w:r>
      <w:r w:rsidR="00EE01AD" w:rsidRPr="007476BD">
        <w:t xml:space="preserve"> </w:t>
      </w:r>
      <w:r w:rsidRPr="007476BD">
        <w:t xml:space="preserve">will provide adequate information to consumers regarding foods containing </w:t>
      </w:r>
      <w:r w:rsidR="00276EDB" w:rsidRPr="007476BD">
        <w:t>Advantame</w:t>
      </w:r>
      <w:r w:rsidR="00F143A9" w:rsidRPr="007476BD">
        <w:rPr>
          <w:lang w:eastAsia="en-AU"/>
        </w:rPr>
        <w:t xml:space="preserve">. Advantame must be declared in the ingredient list </w:t>
      </w:r>
      <w:r w:rsidR="00F143A9" w:rsidRPr="007476BD">
        <w:t xml:space="preserve">by its class name ‘sweetener’ followed by its specific name ‘Advantame’. </w:t>
      </w:r>
      <w:r w:rsidRPr="007476BD">
        <w:t xml:space="preserve">Based on the risk assessment findings, no additional mandatory labelling is proposed. </w:t>
      </w:r>
    </w:p>
    <w:p w:rsidR="00F02254" w:rsidRPr="007476BD" w:rsidRDefault="00F02254" w:rsidP="003B5608">
      <w:pPr>
        <w:widowControl/>
        <w:rPr>
          <w:rFonts w:cs="Arial"/>
          <w:b/>
        </w:rPr>
      </w:pPr>
    </w:p>
    <w:p w:rsidR="002A0194" w:rsidRPr="007476BD" w:rsidRDefault="00371B29" w:rsidP="003B5608">
      <w:pPr>
        <w:widowControl/>
        <w:rPr>
          <w:rFonts w:cs="Arial"/>
          <w:b/>
        </w:rPr>
      </w:pPr>
      <w:r w:rsidRPr="007476BD">
        <w:rPr>
          <w:rFonts w:cs="Arial"/>
          <w:b/>
        </w:rPr>
        <w:t>Assessing the Application</w:t>
      </w:r>
    </w:p>
    <w:p w:rsidR="002A0194" w:rsidRPr="007476BD" w:rsidRDefault="002A0194" w:rsidP="002A0194">
      <w:pPr>
        <w:rPr>
          <w:rFonts w:cs="Arial"/>
        </w:rPr>
      </w:pPr>
    </w:p>
    <w:p w:rsidR="00064B2D" w:rsidRPr="007476BD" w:rsidRDefault="00064B2D" w:rsidP="002A0194">
      <w:pPr>
        <w:rPr>
          <w:rFonts w:cs="Arial"/>
        </w:rPr>
      </w:pPr>
      <w:r w:rsidRPr="007476BD">
        <w:rPr>
          <w:rFonts w:cs="Arial"/>
        </w:rPr>
        <w:t>In as</w:t>
      </w:r>
      <w:r w:rsidR="007E4A3D" w:rsidRPr="007476BD">
        <w:rPr>
          <w:rFonts w:cs="Arial"/>
        </w:rPr>
        <w:t>sessing the Application</w:t>
      </w:r>
      <w:r w:rsidR="007626FF" w:rsidRPr="007476BD">
        <w:rPr>
          <w:rFonts w:cs="Arial"/>
        </w:rPr>
        <w:t>,</w:t>
      </w:r>
      <w:r w:rsidR="007E4A3D" w:rsidRPr="007476BD">
        <w:rPr>
          <w:rFonts w:cs="Arial"/>
        </w:rPr>
        <w:t xml:space="preserve"> </w:t>
      </w:r>
      <w:r w:rsidRPr="007476BD">
        <w:rPr>
          <w:rFonts w:cs="Arial"/>
        </w:rPr>
        <w:t>FSANZ has had regard to the following matters as prescribed in section 29</w:t>
      </w:r>
      <w:r w:rsidR="001507E8" w:rsidRPr="007476BD">
        <w:rPr>
          <w:rFonts w:cs="Arial"/>
        </w:rPr>
        <w:t xml:space="preserve"> </w:t>
      </w:r>
      <w:r w:rsidRPr="007476BD">
        <w:rPr>
          <w:rFonts w:cs="Arial"/>
        </w:rPr>
        <w:t xml:space="preserve">of the </w:t>
      </w:r>
      <w:r w:rsidRPr="007476BD">
        <w:rPr>
          <w:rFonts w:cs="Arial"/>
          <w:i/>
        </w:rPr>
        <w:t>Food Standards Australia New Zealand Act 1991</w:t>
      </w:r>
      <w:r w:rsidRPr="007476BD">
        <w:rPr>
          <w:rFonts w:cs="Arial"/>
        </w:rPr>
        <w:t xml:space="preserve"> (FSANZ Act):</w:t>
      </w:r>
    </w:p>
    <w:p w:rsidR="00064B2D" w:rsidRPr="007476BD" w:rsidRDefault="00064B2D" w:rsidP="002A0194">
      <w:pPr>
        <w:rPr>
          <w:rFonts w:cs="Arial"/>
        </w:rPr>
      </w:pPr>
    </w:p>
    <w:p w:rsidR="002A0194" w:rsidRPr="007476BD" w:rsidRDefault="009C6F9B" w:rsidP="00DB2973">
      <w:pPr>
        <w:pStyle w:val="FSBullet"/>
      </w:pPr>
      <w:r w:rsidRPr="007476BD">
        <w:t>w</w:t>
      </w:r>
      <w:r w:rsidR="00064B2D" w:rsidRPr="007476BD">
        <w:t xml:space="preserve">hether costs that would </w:t>
      </w:r>
      <w:r w:rsidR="00EC30E1" w:rsidRPr="007476BD">
        <w:t>arise</w:t>
      </w:r>
      <w:r w:rsidR="00064B2D" w:rsidRPr="007476BD">
        <w:t xml:space="preserve"> from a food regulatory measure developed or varied as a res</w:t>
      </w:r>
      <w:r w:rsidR="001507E8" w:rsidRPr="007476BD">
        <w:t xml:space="preserve">ult of the Application </w:t>
      </w:r>
      <w:r w:rsidR="00EC30E1" w:rsidRPr="007476BD">
        <w:t>outweigh</w:t>
      </w:r>
      <w:r w:rsidR="00064B2D" w:rsidRPr="007476BD">
        <w:t xml:space="preserve"> the direct and indirect </w:t>
      </w:r>
      <w:r w:rsidR="00EC30E1" w:rsidRPr="007476BD">
        <w:t>benefits</w:t>
      </w:r>
      <w:r w:rsidR="00064B2D" w:rsidRPr="007476BD">
        <w:t xml:space="preserve"> to the community, Government or industry that would arise from the development or variation of the food </w:t>
      </w:r>
      <w:r w:rsidR="001507E8" w:rsidRPr="007476BD">
        <w:t>regulatory measure</w:t>
      </w:r>
    </w:p>
    <w:p w:rsidR="002A0194" w:rsidRPr="007476BD" w:rsidRDefault="002A0194" w:rsidP="002A0194">
      <w:pPr>
        <w:rPr>
          <w:rFonts w:cs="Arial"/>
        </w:rPr>
      </w:pPr>
    </w:p>
    <w:p w:rsidR="002A0194" w:rsidRPr="007476BD" w:rsidRDefault="009C6F9B" w:rsidP="00DB2973">
      <w:pPr>
        <w:pStyle w:val="FSBullet"/>
      </w:pPr>
      <w:r w:rsidRPr="007476BD">
        <w:t>t</w:t>
      </w:r>
      <w:r w:rsidR="002A0194" w:rsidRPr="007476BD">
        <w:t>here are no other measures that would be more cost-effective than a variation to Stand</w:t>
      </w:r>
      <w:r w:rsidR="001507E8" w:rsidRPr="007476BD">
        <w:t xml:space="preserve">ard 1.3.1 </w:t>
      </w:r>
      <w:r w:rsidR="00ED08AC" w:rsidRPr="007476BD">
        <w:t>that could achieve the same end</w:t>
      </w:r>
    </w:p>
    <w:p w:rsidR="00064B2D" w:rsidRPr="007476BD" w:rsidRDefault="00064B2D" w:rsidP="00064B2D">
      <w:pPr>
        <w:rPr>
          <w:rFonts w:cs="Arial"/>
        </w:rPr>
      </w:pPr>
    </w:p>
    <w:p w:rsidR="002A0194" w:rsidRPr="007476BD" w:rsidRDefault="009C6F9B" w:rsidP="00DB2973">
      <w:pPr>
        <w:pStyle w:val="FSBullet"/>
      </w:pPr>
      <w:r w:rsidRPr="007476BD">
        <w:t>a</w:t>
      </w:r>
      <w:r w:rsidR="00064B2D" w:rsidRPr="007476BD">
        <w:t>ny relevant New Zealand</w:t>
      </w:r>
      <w:r w:rsidR="001507E8" w:rsidRPr="007476BD">
        <w:t xml:space="preserve"> standards</w:t>
      </w:r>
    </w:p>
    <w:p w:rsidR="00064B2D" w:rsidRPr="007476BD" w:rsidRDefault="00064B2D" w:rsidP="00064B2D">
      <w:pPr>
        <w:rPr>
          <w:rFonts w:cs="Arial"/>
        </w:rPr>
      </w:pPr>
    </w:p>
    <w:p w:rsidR="002A0194" w:rsidRPr="007476BD" w:rsidRDefault="009C6F9B" w:rsidP="00DB2973">
      <w:pPr>
        <w:pStyle w:val="FSBullet"/>
      </w:pPr>
      <w:proofErr w:type="gramStart"/>
      <w:r w:rsidRPr="007476BD">
        <w:t>a</w:t>
      </w:r>
      <w:r w:rsidR="001507E8" w:rsidRPr="007476BD">
        <w:t>ny</w:t>
      </w:r>
      <w:proofErr w:type="gramEnd"/>
      <w:r w:rsidR="001507E8" w:rsidRPr="007476BD">
        <w:t xml:space="preserve"> other relevant matters</w:t>
      </w:r>
      <w:r w:rsidR="00AB178C" w:rsidRPr="007476BD">
        <w:t>.</w:t>
      </w:r>
    </w:p>
    <w:p w:rsidR="00935337" w:rsidRPr="007476BD" w:rsidRDefault="00935337">
      <w:pPr>
        <w:widowControl/>
      </w:pPr>
    </w:p>
    <w:p w:rsidR="002A0194" w:rsidRPr="007476BD" w:rsidRDefault="00D26A7A" w:rsidP="003213F9">
      <w:pPr>
        <w:pStyle w:val="FSDecisionHeading"/>
      </w:pPr>
      <w:r w:rsidRPr="007476BD">
        <w:t>Decision</w:t>
      </w:r>
    </w:p>
    <w:p w:rsidR="002A0194" w:rsidRPr="007476BD" w:rsidRDefault="002A0194" w:rsidP="002A0194">
      <w:pPr>
        <w:pStyle w:val="FSDecisiontext"/>
        <w:rPr>
          <w:rFonts w:cs="Arial"/>
        </w:rPr>
      </w:pPr>
    </w:p>
    <w:p w:rsidR="00F97914" w:rsidRPr="007476BD" w:rsidRDefault="00616AB1" w:rsidP="001507E8">
      <w:pPr>
        <w:pStyle w:val="Decisiontext"/>
        <w:rPr>
          <w:rFonts w:ascii="Arial Bold" w:hAnsi="Arial Bold"/>
          <w:b/>
          <w:strike/>
          <w:szCs w:val="22"/>
        </w:rPr>
      </w:pPr>
      <w:r w:rsidRPr="007476BD">
        <w:rPr>
          <w:b/>
          <w:szCs w:val="22"/>
        </w:rPr>
        <w:t xml:space="preserve">To approve the </w:t>
      </w:r>
      <w:r w:rsidR="001356D7" w:rsidRPr="007476BD">
        <w:rPr>
          <w:b/>
          <w:szCs w:val="22"/>
        </w:rPr>
        <w:t xml:space="preserve">draft variations </w:t>
      </w:r>
      <w:r w:rsidR="00935337" w:rsidRPr="007476BD">
        <w:rPr>
          <w:b/>
          <w:szCs w:val="22"/>
        </w:rPr>
        <w:t xml:space="preserve">to Standard 1.3.1 </w:t>
      </w:r>
      <w:r w:rsidR="00655989" w:rsidRPr="007476BD">
        <w:rPr>
          <w:b/>
          <w:szCs w:val="22"/>
        </w:rPr>
        <w:t xml:space="preserve">to permit the use of </w:t>
      </w:r>
      <w:r w:rsidR="00276EDB" w:rsidRPr="007476BD">
        <w:rPr>
          <w:b/>
          <w:szCs w:val="22"/>
        </w:rPr>
        <w:t>Advantame</w:t>
      </w:r>
      <w:r w:rsidR="00DC0D78" w:rsidRPr="007476BD">
        <w:rPr>
          <w:b/>
          <w:szCs w:val="22"/>
        </w:rPr>
        <w:t xml:space="preserve"> </w:t>
      </w:r>
      <w:r w:rsidR="00443104" w:rsidRPr="007476BD">
        <w:rPr>
          <w:b/>
          <w:szCs w:val="22"/>
        </w:rPr>
        <w:t xml:space="preserve">as </w:t>
      </w:r>
      <w:r w:rsidR="00F97914" w:rsidRPr="007476BD">
        <w:rPr>
          <w:b/>
          <w:szCs w:val="22"/>
        </w:rPr>
        <w:t xml:space="preserve">a Schedule 2 food additive </w:t>
      </w:r>
      <w:r w:rsidR="00C44DA3" w:rsidRPr="007476BD">
        <w:rPr>
          <w:b/>
          <w:szCs w:val="22"/>
        </w:rPr>
        <w:t xml:space="preserve">according </w:t>
      </w:r>
      <w:r w:rsidR="00443104" w:rsidRPr="007476BD">
        <w:rPr>
          <w:b/>
          <w:szCs w:val="22"/>
        </w:rPr>
        <w:t xml:space="preserve">to Good Manufacturing Practice (GMP) </w:t>
      </w:r>
      <w:r w:rsidR="00970838" w:rsidRPr="007476BD">
        <w:rPr>
          <w:b/>
          <w:szCs w:val="22"/>
        </w:rPr>
        <w:t xml:space="preserve">in </w:t>
      </w:r>
      <w:r w:rsidR="00F97914" w:rsidRPr="007476BD">
        <w:rPr>
          <w:b/>
          <w:szCs w:val="22"/>
        </w:rPr>
        <w:t xml:space="preserve">foods specified in Schedule 1. </w:t>
      </w:r>
    </w:p>
    <w:p w:rsidR="002A0194" w:rsidRPr="007476BD" w:rsidRDefault="002A0194" w:rsidP="002A0194">
      <w:pPr>
        <w:rPr>
          <w:rFonts w:cs="Arial"/>
        </w:rPr>
      </w:pPr>
    </w:p>
    <w:p w:rsidR="00935337" w:rsidRPr="007476BD" w:rsidRDefault="00935337" w:rsidP="00AF5198">
      <w:pPr>
        <w:widowControl/>
        <w:rPr>
          <w:rFonts w:cs="Arial"/>
          <w:b/>
          <w:bCs/>
        </w:rPr>
      </w:pPr>
      <w:bookmarkStart w:id="10" w:name="_Toc120090541"/>
      <w:bookmarkStart w:id="11" w:name="_Toc120358573"/>
      <w:bookmarkStart w:id="12" w:name="_Toc120358615"/>
      <w:r w:rsidRPr="007476BD">
        <w:rPr>
          <w:rFonts w:cs="Arial"/>
          <w:b/>
          <w:bCs/>
        </w:rPr>
        <w:br w:type="page"/>
      </w:r>
    </w:p>
    <w:p w:rsidR="002A0194" w:rsidRPr="007476BD" w:rsidRDefault="002A0194" w:rsidP="00AF5198">
      <w:pPr>
        <w:widowControl/>
        <w:rPr>
          <w:rFonts w:cs="Arial"/>
          <w:b/>
          <w:bCs/>
        </w:rPr>
      </w:pPr>
      <w:r w:rsidRPr="007476BD">
        <w:rPr>
          <w:rFonts w:cs="Arial"/>
          <w:b/>
          <w:bCs/>
        </w:rPr>
        <w:lastRenderedPageBreak/>
        <w:t xml:space="preserve">Reasons for </w:t>
      </w:r>
      <w:bookmarkEnd w:id="10"/>
      <w:bookmarkEnd w:id="11"/>
      <w:bookmarkEnd w:id="12"/>
      <w:r w:rsidR="00D26A7A" w:rsidRPr="007476BD">
        <w:rPr>
          <w:rFonts w:cs="Arial"/>
          <w:b/>
          <w:bCs/>
        </w:rPr>
        <w:t>Decision</w:t>
      </w:r>
    </w:p>
    <w:p w:rsidR="00006E82" w:rsidRPr="007476BD" w:rsidRDefault="00006E82" w:rsidP="00006E82">
      <w:pPr>
        <w:pStyle w:val="Header"/>
        <w:tabs>
          <w:tab w:val="left" w:pos="567"/>
        </w:tabs>
        <w:rPr>
          <w:color w:val="000000"/>
          <w:szCs w:val="22"/>
        </w:rPr>
      </w:pPr>
    </w:p>
    <w:p w:rsidR="00006E82" w:rsidRPr="007476BD" w:rsidRDefault="00945D1F" w:rsidP="00006E82">
      <w:pPr>
        <w:pStyle w:val="Header"/>
        <w:tabs>
          <w:tab w:val="left" w:pos="567"/>
        </w:tabs>
        <w:rPr>
          <w:szCs w:val="22"/>
        </w:rPr>
      </w:pPr>
      <w:r w:rsidRPr="007476BD">
        <w:rPr>
          <w:color w:val="000000"/>
          <w:szCs w:val="22"/>
        </w:rPr>
        <w:t>A</w:t>
      </w:r>
      <w:r w:rsidR="00006E82" w:rsidRPr="007476BD">
        <w:rPr>
          <w:color w:val="000000"/>
          <w:szCs w:val="22"/>
        </w:rPr>
        <w:t xml:space="preserve">n amendment to the Code to give approval to the sale and use of food </w:t>
      </w:r>
      <w:r w:rsidR="00C96367" w:rsidRPr="007476BD">
        <w:rPr>
          <w:color w:val="000000"/>
          <w:szCs w:val="22"/>
        </w:rPr>
        <w:t xml:space="preserve">with added </w:t>
      </w:r>
      <w:r w:rsidR="00276EDB" w:rsidRPr="007476BD">
        <w:rPr>
          <w:color w:val="000000"/>
          <w:szCs w:val="22"/>
        </w:rPr>
        <w:t>Advantame</w:t>
      </w:r>
      <w:r w:rsidR="004A54F5" w:rsidRPr="007476BD">
        <w:rPr>
          <w:color w:val="000000"/>
          <w:szCs w:val="22"/>
        </w:rPr>
        <w:t xml:space="preserve"> </w:t>
      </w:r>
      <w:r w:rsidR="00006E82" w:rsidRPr="007476BD">
        <w:rPr>
          <w:color w:val="000000"/>
          <w:szCs w:val="22"/>
        </w:rPr>
        <w:t xml:space="preserve">in Australia and New Zealand is </w:t>
      </w:r>
      <w:r w:rsidR="00006E82" w:rsidRPr="007476BD">
        <w:rPr>
          <w:szCs w:val="22"/>
        </w:rPr>
        <w:t xml:space="preserve">proposed on the basis of the available scientific evidence, for the following reasons: </w:t>
      </w:r>
    </w:p>
    <w:p w:rsidR="00F1363F" w:rsidRPr="007476BD" w:rsidRDefault="00F1363F" w:rsidP="00006E82">
      <w:pPr>
        <w:pStyle w:val="Header"/>
        <w:tabs>
          <w:tab w:val="left" w:pos="567"/>
        </w:tabs>
        <w:rPr>
          <w:szCs w:val="22"/>
        </w:rPr>
      </w:pPr>
    </w:p>
    <w:p w:rsidR="00F1363F" w:rsidRPr="007476BD" w:rsidRDefault="00374F8C" w:rsidP="006A37B4">
      <w:pPr>
        <w:pStyle w:val="FSBullet"/>
      </w:pPr>
      <w:r w:rsidRPr="007476BD">
        <w:t>T</w:t>
      </w:r>
      <w:r w:rsidR="00F1363F" w:rsidRPr="007476BD">
        <w:t xml:space="preserve">he safety assessment did not identify any public health and safety </w:t>
      </w:r>
      <w:r w:rsidR="008713A5" w:rsidRPr="007476BD">
        <w:t>issues</w:t>
      </w:r>
      <w:r w:rsidRPr="007476BD">
        <w:t>.</w:t>
      </w:r>
    </w:p>
    <w:p w:rsidR="009C1E5B" w:rsidRPr="007476BD" w:rsidRDefault="009C1E5B" w:rsidP="009C1E5B">
      <w:pPr>
        <w:pStyle w:val="FSBullet"/>
        <w:numPr>
          <w:ilvl w:val="0"/>
          <w:numId w:val="0"/>
        </w:numPr>
        <w:ind w:left="567"/>
      </w:pPr>
    </w:p>
    <w:p w:rsidR="00F1363F" w:rsidRPr="007476BD" w:rsidRDefault="00374F8C" w:rsidP="006A37B4">
      <w:pPr>
        <w:pStyle w:val="FSBullet"/>
      </w:pPr>
      <w:r w:rsidRPr="007476BD">
        <w:t>U</w:t>
      </w:r>
      <w:r w:rsidR="00C96367" w:rsidRPr="007476BD">
        <w:t xml:space="preserve">se of </w:t>
      </w:r>
      <w:r w:rsidR="00276EDB" w:rsidRPr="007476BD">
        <w:t>Advantame</w:t>
      </w:r>
      <w:r w:rsidR="00F1363F" w:rsidRPr="007476BD">
        <w:t xml:space="preserve"> is technologically justified</w:t>
      </w:r>
      <w:r w:rsidRPr="007476BD">
        <w:t>.</w:t>
      </w:r>
    </w:p>
    <w:p w:rsidR="009C1E5B" w:rsidRPr="007476BD" w:rsidRDefault="009C1E5B" w:rsidP="00E70140">
      <w:pPr>
        <w:pStyle w:val="FSBullet"/>
        <w:numPr>
          <w:ilvl w:val="0"/>
          <w:numId w:val="0"/>
        </w:numPr>
      </w:pPr>
    </w:p>
    <w:p w:rsidR="00F1363F" w:rsidRPr="007476BD" w:rsidRDefault="00374F8C" w:rsidP="006A37B4">
      <w:pPr>
        <w:pStyle w:val="FSBullet"/>
      </w:pPr>
      <w:r w:rsidRPr="007476BD">
        <w:t>A</w:t>
      </w:r>
      <w:r w:rsidR="00C96367" w:rsidRPr="007476BD">
        <w:t xml:space="preserve">pproval for addition of </w:t>
      </w:r>
      <w:r w:rsidR="00276EDB" w:rsidRPr="007476BD">
        <w:t>Advantame</w:t>
      </w:r>
      <w:r w:rsidR="00F1363F" w:rsidRPr="007476BD">
        <w:t xml:space="preserve"> to food is consistent with Ministerial policy guidance on the </w:t>
      </w:r>
      <w:r w:rsidR="00F1363F" w:rsidRPr="007476BD">
        <w:rPr>
          <w:i/>
        </w:rPr>
        <w:t>Addition to Food of Substances other than Vitamins and Minerals</w:t>
      </w:r>
      <w:r w:rsidRPr="007476BD">
        <w:rPr>
          <w:i/>
        </w:rPr>
        <w:t>.</w:t>
      </w:r>
      <w:r w:rsidR="00C469AC" w:rsidRPr="007476BD">
        <w:rPr>
          <w:rStyle w:val="FootnoteReference"/>
          <w:i/>
        </w:rPr>
        <w:footnoteReference w:id="2"/>
      </w:r>
    </w:p>
    <w:p w:rsidR="009C1E5B" w:rsidRPr="007476BD" w:rsidRDefault="009C1E5B" w:rsidP="009C1E5B">
      <w:pPr>
        <w:pStyle w:val="FSBullet"/>
        <w:numPr>
          <w:ilvl w:val="0"/>
          <w:numId w:val="0"/>
        </w:numPr>
        <w:ind w:left="567"/>
      </w:pPr>
    </w:p>
    <w:p w:rsidR="00182222" w:rsidRPr="007476BD" w:rsidRDefault="00374F8C" w:rsidP="00182222">
      <w:pPr>
        <w:pStyle w:val="FSBullet"/>
      </w:pPr>
      <w:r w:rsidRPr="007476BD">
        <w:t>A</w:t>
      </w:r>
      <w:r w:rsidR="00182222" w:rsidRPr="007476BD">
        <w:t xml:space="preserve"> regulation impact assessment process has been undertaken that fulfils the requirement in Australia and New Zealand for an assessment of compliance costs</w:t>
      </w:r>
      <w:r w:rsidR="00503CC3" w:rsidRPr="007476BD">
        <w:t xml:space="preserve">. </w:t>
      </w:r>
      <w:r w:rsidR="00182222" w:rsidRPr="007476BD">
        <w:t xml:space="preserve">The assessment concluded that the </w:t>
      </w:r>
      <w:r w:rsidR="00C25330" w:rsidRPr="007476BD">
        <w:t xml:space="preserve">approval </w:t>
      </w:r>
      <w:r w:rsidR="00182222" w:rsidRPr="007476BD">
        <w:t>of Advantame as an intense sweeten</w:t>
      </w:r>
      <w:r w:rsidR="00C53BA6" w:rsidRPr="007476BD">
        <w:t xml:space="preserve">er in </w:t>
      </w:r>
      <w:r w:rsidR="00EE01AD" w:rsidRPr="007476BD">
        <w:t xml:space="preserve">Schedule </w:t>
      </w:r>
      <w:r w:rsidR="00182222" w:rsidRPr="007476BD">
        <w:t>2 of Standard 1.3.1</w:t>
      </w:r>
      <w:r w:rsidR="00C25330" w:rsidRPr="007476BD">
        <w:t xml:space="preserve"> provides a net benefit</w:t>
      </w:r>
      <w:r w:rsidRPr="007476BD">
        <w:t>.</w:t>
      </w:r>
    </w:p>
    <w:p w:rsidR="0016041E" w:rsidRPr="007476BD" w:rsidRDefault="0016041E" w:rsidP="0016041E">
      <w:pPr>
        <w:pStyle w:val="ListParagraph"/>
      </w:pPr>
    </w:p>
    <w:p w:rsidR="00F1363F" w:rsidRPr="007476BD" w:rsidRDefault="00374F8C" w:rsidP="006A37B4">
      <w:pPr>
        <w:pStyle w:val="FSBullet"/>
      </w:pPr>
      <w:r w:rsidRPr="007476BD">
        <w:t>T</w:t>
      </w:r>
      <w:r w:rsidR="00F1363F" w:rsidRPr="007476BD">
        <w:t>here are no other measures that would be more cost-effective than a variation to Standard 1.3.1 that could achieve the same end.</w:t>
      </w:r>
    </w:p>
    <w:p w:rsidR="009C1E5B" w:rsidRPr="007476BD" w:rsidRDefault="009C1E5B" w:rsidP="002A0194">
      <w:pPr>
        <w:rPr>
          <w:rFonts w:cs="Arial"/>
        </w:rPr>
      </w:pPr>
    </w:p>
    <w:p w:rsidR="002A0194" w:rsidRPr="007476BD" w:rsidRDefault="002A0194" w:rsidP="002A0194">
      <w:pPr>
        <w:rPr>
          <w:rFonts w:cs="Arial"/>
          <w:b/>
          <w:bCs/>
        </w:rPr>
      </w:pPr>
      <w:bookmarkStart w:id="13" w:name="_Toc120090542"/>
      <w:bookmarkStart w:id="14" w:name="_Toc120358574"/>
      <w:bookmarkStart w:id="15" w:name="_Toc120358616"/>
      <w:r w:rsidRPr="007476BD">
        <w:rPr>
          <w:rFonts w:cs="Arial"/>
          <w:b/>
          <w:bCs/>
        </w:rPr>
        <w:t>Consultation</w:t>
      </w:r>
      <w:bookmarkEnd w:id="13"/>
      <w:bookmarkEnd w:id="14"/>
      <w:bookmarkEnd w:id="15"/>
    </w:p>
    <w:p w:rsidR="00A142BD" w:rsidRPr="007476BD" w:rsidRDefault="00A142BD" w:rsidP="00A142BD">
      <w:pPr>
        <w:rPr>
          <w:szCs w:val="22"/>
        </w:rPr>
      </w:pPr>
    </w:p>
    <w:p w:rsidR="00CA705F" w:rsidRPr="007476BD" w:rsidRDefault="00417B25" w:rsidP="00853D30">
      <w:pPr>
        <w:rPr>
          <w:szCs w:val="22"/>
        </w:rPr>
      </w:pPr>
      <w:r w:rsidRPr="007476BD">
        <w:rPr>
          <w:szCs w:val="22"/>
        </w:rPr>
        <w:t>Cons</w:t>
      </w:r>
      <w:r w:rsidR="008F19E1" w:rsidRPr="007476BD">
        <w:rPr>
          <w:szCs w:val="22"/>
        </w:rPr>
        <w:t>ultation on the 1</w:t>
      </w:r>
      <w:r w:rsidR="008F19E1" w:rsidRPr="007476BD">
        <w:rPr>
          <w:szCs w:val="22"/>
          <w:vertAlign w:val="superscript"/>
        </w:rPr>
        <w:t>st</w:t>
      </w:r>
      <w:r w:rsidR="008F19E1" w:rsidRPr="007476BD">
        <w:rPr>
          <w:szCs w:val="22"/>
        </w:rPr>
        <w:t xml:space="preserve"> Assessment</w:t>
      </w:r>
      <w:r w:rsidRPr="007476BD">
        <w:rPr>
          <w:szCs w:val="22"/>
        </w:rPr>
        <w:t xml:space="preserve"> was conducted </w:t>
      </w:r>
      <w:r w:rsidR="00BE56E1" w:rsidRPr="007476BD">
        <w:rPr>
          <w:szCs w:val="22"/>
        </w:rPr>
        <w:t>over a</w:t>
      </w:r>
      <w:r w:rsidR="006C6013" w:rsidRPr="007476BD">
        <w:rPr>
          <w:szCs w:val="22"/>
        </w:rPr>
        <w:t xml:space="preserve"> period of six weeks; </w:t>
      </w:r>
      <w:r w:rsidR="00BE56E1" w:rsidRPr="007476BD">
        <w:rPr>
          <w:szCs w:val="22"/>
        </w:rPr>
        <w:t>eleven</w:t>
      </w:r>
      <w:r w:rsidRPr="007476BD">
        <w:rPr>
          <w:szCs w:val="22"/>
        </w:rPr>
        <w:t xml:space="preserve"> submissions were received. </w:t>
      </w:r>
      <w:r w:rsidR="00935337" w:rsidRPr="007476BD">
        <w:rPr>
          <w:szCs w:val="22"/>
        </w:rPr>
        <w:t>Consultation on the 2</w:t>
      </w:r>
      <w:r w:rsidR="00935337" w:rsidRPr="007476BD">
        <w:rPr>
          <w:szCs w:val="22"/>
          <w:vertAlign w:val="superscript"/>
        </w:rPr>
        <w:t>nd</w:t>
      </w:r>
      <w:r w:rsidR="00935337" w:rsidRPr="007476BD">
        <w:rPr>
          <w:szCs w:val="22"/>
        </w:rPr>
        <w:t xml:space="preserve"> </w:t>
      </w:r>
      <w:r w:rsidR="00CA705F" w:rsidRPr="007476BD">
        <w:rPr>
          <w:szCs w:val="22"/>
        </w:rPr>
        <w:t xml:space="preserve">Assessment </w:t>
      </w:r>
      <w:r w:rsidR="00935337" w:rsidRPr="007476BD">
        <w:rPr>
          <w:szCs w:val="22"/>
        </w:rPr>
        <w:t xml:space="preserve">Report </w:t>
      </w:r>
      <w:r w:rsidR="00CA705F" w:rsidRPr="007476BD">
        <w:rPr>
          <w:szCs w:val="22"/>
        </w:rPr>
        <w:t>was conduct</w:t>
      </w:r>
      <w:r w:rsidR="0025667C" w:rsidRPr="007476BD">
        <w:rPr>
          <w:szCs w:val="22"/>
        </w:rPr>
        <w:t xml:space="preserve">ed over a period of four weeks with eight submissions received. </w:t>
      </w:r>
    </w:p>
    <w:p w:rsidR="00CA705F" w:rsidRPr="007476BD" w:rsidRDefault="00CA705F" w:rsidP="00853D30">
      <w:pPr>
        <w:rPr>
          <w:szCs w:val="22"/>
        </w:rPr>
      </w:pPr>
    </w:p>
    <w:p w:rsidR="00853D30" w:rsidRPr="007476BD" w:rsidRDefault="00417B25" w:rsidP="00853D30">
      <w:pPr>
        <w:rPr>
          <w:rFonts w:cs="Arial"/>
          <w:b/>
        </w:rPr>
      </w:pPr>
      <w:r w:rsidRPr="007476BD">
        <w:rPr>
          <w:szCs w:val="22"/>
        </w:rPr>
        <w:t xml:space="preserve">Summaries of these are in </w:t>
      </w:r>
      <w:r w:rsidRPr="007476BD">
        <w:rPr>
          <w:b/>
          <w:szCs w:val="22"/>
        </w:rPr>
        <w:t xml:space="preserve">Attachment </w:t>
      </w:r>
      <w:r w:rsidR="00AB178C" w:rsidRPr="007476BD">
        <w:rPr>
          <w:b/>
          <w:szCs w:val="22"/>
        </w:rPr>
        <w:t>2</w:t>
      </w:r>
      <w:r w:rsidR="00935337" w:rsidRPr="007476BD">
        <w:rPr>
          <w:szCs w:val="22"/>
        </w:rPr>
        <w:t xml:space="preserve"> of this R</w:t>
      </w:r>
      <w:r w:rsidRPr="007476BD">
        <w:rPr>
          <w:szCs w:val="22"/>
        </w:rPr>
        <w:t>eport. FSANZ has taken all submitters’ comments into consideration in c</w:t>
      </w:r>
      <w:r w:rsidR="00CA705F" w:rsidRPr="007476BD">
        <w:rPr>
          <w:szCs w:val="22"/>
        </w:rPr>
        <w:t xml:space="preserve">ompleting the Approval </w:t>
      </w:r>
      <w:r w:rsidRPr="007476BD">
        <w:rPr>
          <w:szCs w:val="22"/>
        </w:rPr>
        <w:t xml:space="preserve">Report. </w:t>
      </w:r>
      <w:bookmarkStart w:id="16" w:name="_Toc134581767"/>
    </w:p>
    <w:p w:rsidR="003C4969" w:rsidRPr="007476BD" w:rsidRDefault="003C4969">
      <w:pPr>
        <w:pStyle w:val="DivisionHeading"/>
        <w:rPr>
          <w:rFonts w:cs="Arial"/>
        </w:rPr>
        <w:sectPr w:rsidR="003C4969" w:rsidRPr="007476BD" w:rsidSect="001C27A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pgNumType w:fmt="lowerRoman"/>
          <w:cols w:space="708"/>
          <w:docGrid w:linePitch="360"/>
        </w:sectPr>
      </w:pPr>
      <w:bookmarkStart w:id="17" w:name="_Toc11735627"/>
      <w:bookmarkEnd w:id="16"/>
    </w:p>
    <w:p w:rsidR="003C4969" w:rsidRPr="007476BD" w:rsidRDefault="003C4969">
      <w:pPr>
        <w:pStyle w:val="DivisionHeading"/>
        <w:rPr>
          <w:rFonts w:cs="Arial"/>
        </w:rPr>
      </w:pPr>
      <w:r w:rsidRPr="007476BD">
        <w:rPr>
          <w:rFonts w:cs="Arial"/>
        </w:rPr>
        <w:lastRenderedPageBreak/>
        <w:t>CONTENTS</w:t>
      </w:r>
    </w:p>
    <w:p w:rsidR="003C4969" w:rsidRPr="007476BD" w:rsidRDefault="003C4969">
      <w:pPr>
        <w:rPr>
          <w:rFonts w:cs="Arial"/>
        </w:rPr>
      </w:pPr>
    </w:p>
    <w:p w:rsidR="00935337" w:rsidRPr="007476BD" w:rsidRDefault="00DD5E94">
      <w:pPr>
        <w:pStyle w:val="TOC1"/>
        <w:tabs>
          <w:tab w:val="right" w:leader="dot" w:pos="9016"/>
        </w:tabs>
        <w:rPr>
          <w:rFonts w:asciiTheme="minorHAnsi" w:eastAsiaTheme="minorEastAsia" w:hAnsiTheme="minorHAnsi" w:cstheme="minorBidi"/>
          <w:b w:val="0"/>
          <w:bCs w:val="0"/>
          <w:caps w:val="0"/>
          <w:noProof/>
          <w:szCs w:val="22"/>
          <w:lang w:eastAsia="en-AU" w:bidi="ar-SA"/>
        </w:rPr>
      </w:pPr>
      <w:r w:rsidRPr="007476BD">
        <w:rPr>
          <w:rFonts w:cs="Arial"/>
        </w:rPr>
        <w:fldChar w:fldCharType="begin"/>
      </w:r>
      <w:r w:rsidR="003C4969" w:rsidRPr="007476BD">
        <w:rPr>
          <w:rFonts w:cs="Arial"/>
        </w:rPr>
        <w:instrText xml:space="preserve"> TOC \o "1-3" \h \z </w:instrText>
      </w:r>
      <w:r w:rsidRPr="007476BD">
        <w:rPr>
          <w:rFonts w:cs="Arial"/>
        </w:rPr>
        <w:fldChar w:fldCharType="separate"/>
      </w:r>
      <w:hyperlink w:anchor="_Toc296958596" w:history="1">
        <w:r w:rsidR="00935337" w:rsidRPr="007476BD">
          <w:rPr>
            <w:rStyle w:val="Hyperlink"/>
            <w:noProof/>
          </w:rPr>
          <w:t>Introduction</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_Toc296958596 \h </w:instrText>
        </w:r>
        <w:r w:rsidR="00935337" w:rsidRPr="007476BD">
          <w:rPr>
            <w:noProof/>
            <w:webHidden/>
          </w:rPr>
        </w:r>
        <w:r w:rsidR="00935337" w:rsidRPr="007476BD">
          <w:rPr>
            <w:noProof/>
            <w:webHidden/>
          </w:rPr>
          <w:fldChar w:fldCharType="separate"/>
        </w:r>
        <w:r w:rsidR="007476BD">
          <w:rPr>
            <w:noProof/>
            <w:webHidden/>
          </w:rPr>
          <w:t>2</w:t>
        </w:r>
        <w:r w:rsidR="00935337" w:rsidRPr="007476BD">
          <w:rPr>
            <w:noProof/>
            <w:webHidden/>
          </w:rPr>
          <w:fldChar w:fldCharType="end"/>
        </w:r>
      </w:hyperlink>
    </w:p>
    <w:p w:rsidR="00935337" w:rsidRPr="007476BD" w:rsidRDefault="00C80E0E">
      <w:pPr>
        <w:pStyle w:val="TOC2"/>
        <w:tabs>
          <w:tab w:val="left" w:pos="720"/>
          <w:tab w:val="right" w:leader="dot" w:pos="9016"/>
        </w:tabs>
        <w:rPr>
          <w:rFonts w:asciiTheme="minorHAnsi" w:eastAsiaTheme="minorEastAsia" w:hAnsiTheme="minorHAnsi" w:cstheme="minorBidi"/>
          <w:smallCaps w:val="0"/>
          <w:noProof/>
          <w:szCs w:val="22"/>
          <w:lang w:eastAsia="en-AU" w:bidi="ar-SA"/>
        </w:rPr>
      </w:pPr>
      <w:hyperlink w:anchor="_Toc296958597" w:history="1">
        <w:r w:rsidR="00935337" w:rsidRPr="007476BD">
          <w:rPr>
            <w:rStyle w:val="Hyperlink"/>
            <w:rFonts w:cs="Arial"/>
            <w:noProof/>
          </w:rPr>
          <w:t>1.</w:t>
        </w:r>
        <w:r w:rsidR="00935337" w:rsidRPr="007476BD">
          <w:rPr>
            <w:rFonts w:asciiTheme="minorHAnsi" w:eastAsiaTheme="minorEastAsia" w:hAnsiTheme="minorHAnsi" w:cstheme="minorBidi"/>
            <w:smallCaps w:val="0"/>
            <w:noProof/>
            <w:szCs w:val="22"/>
            <w:lang w:eastAsia="en-AU" w:bidi="ar-SA"/>
          </w:rPr>
          <w:tab/>
        </w:r>
        <w:r w:rsidR="00935337" w:rsidRPr="007476BD">
          <w:rPr>
            <w:rStyle w:val="Hyperlink"/>
            <w:rFonts w:cs="Arial"/>
            <w:noProof/>
          </w:rPr>
          <w:t>The Issue</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_Toc296958597 \h </w:instrText>
        </w:r>
        <w:r w:rsidR="00935337" w:rsidRPr="007476BD">
          <w:rPr>
            <w:noProof/>
            <w:webHidden/>
          </w:rPr>
        </w:r>
        <w:r w:rsidR="00935337" w:rsidRPr="007476BD">
          <w:rPr>
            <w:noProof/>
            <w:webHidden/>
          </w:rPr>
          <w:fldChar w:fldCharType="separate"/>
        </w:r>
        <w:r w:rsidR="007476BD">
          <w:rPr>
            <w:noProof/>
            <w:webHidden/>
          </w:rPr>
          <w:t>2</w:t>
        </w:r>
        <w:r w:rsidR="00935337" w:rsidRPr="007476BD">
          <w:rPr>
            <w:noProof/>
            <w:webHidden/>
          </w:rPr>
          <w:fldChar w:fldCharType="end"/>
        </w:r>
      </w:hyperlink>
    </w:p>
    <w:p w:rsidR="00935337" w:rsidRPr="007476BD" w:rsidRDefault="00C80E0E">
      <w:pPr>
        <w:pStyle w:val="TOC2"/>
        <w:tabs>
          <w:tab w:val="left" w:pos="720"/>
          <w:tab w:val="right" w:leader="dot" w:pos="9016"/>
        </w:tabs>
        <w:rPr>
          <w:rFonts w:asciiTheme="minorHAnsi" w:eastAsiaTheme="minorEastAsia" w:hAnsiTheme="minorHAnsi" w:cstheme="minorBidi"/>
          <w:smallCaps w:val="0"/>
          <w:noProof/>
          <w:szCs w:val="22"/>
          <w:lang w:eastAsia="en-AU" w:bidi="ar-SA"/>
        </w:rPr>
      </w:pPr>
      <w:hyperlink w:anchor="_Toc296958598" w:history="1">
        <w:r w:rsidR="00935337" w:rsidRPr="007476BD">
          <w:rPr>
            <w:rStyle w:val="Hyperlink"/>
            <w:noProof/>
          </w:rPr>
          <w:t>2.</w:t>
        </w:r>
        <w:r w:rsidR="00935337" w:rsidRPr="007476BD">
          <w:rPr>
            <w:rFonts w:asciiTheme="minorHAnsi" w:eastAsiaTheme="minorEastAsia" w:hAnsiTheme="minorHAnsi" w:cstheme="minorBidi"/>
            <w:smallCaps w:val="0"/>
            <w:noProof/>
            <w:szCs w:val="22"/>
            <w:lang w:eastAsia="en-AU" w:bidi="ar-SA"/>
          </w:rPr>
          <w:tab/>
        </w:r>
        <w:r w:rsidR="00935337" w:rsidRPr="007476BD">
          <w:rPr>
            <w:rStyle w:val="Hyperlink"/>
            <w:noProof/>
          </w:rPr>
          <w:t>Current Standard</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_Toc296958598 \h </w:instrText>
        </w:r>
        <w:r w:rsidR="00935337" w:rsidRPr="007476BD">
          <w:rPr>
            <w:noProof/>
            <w:webHidden/>
          </w:rPr>
        </w:r>
        <w:r w:rsidR="00935337" w:rsidRPr="007476BD">
          <w:rPr>
            <w:noProof/>
            <w:webHidden/>
          </w:rPr>
          <w:fldChar w:fldCharType="separate"/>
        </w:r>
        <w:r w:rsidR="007476BD">
          <w:rPr>
            <w:noProof/>
            <w:webHidden/>
          </w:rPr>
          <w:t>2</w:t>
        </w:r>
        <w:r w:rsidR="00935337" w:rsidRPr="007476BD">
          <w:rPr>
            <w:noProof/>
            <w:webHidden/>
          </w:rPr>
          <w:fldChar w:fldCharType="end"/>
        </w:r>
      </w:hyperlink>
    </w:p>
    <w:p w:rsidR="00935337" w:rsidRPr="007476BD" w:rsidRDefault="00C80E0E">
      <w:pPr>
        <w:pStyle w:val="TOC3"/>
        <w:tabs>
          <w:tab w:val="left" w:pos="1200"/>
          <w:tab w:val="right" w:leader="dot" w:pos="9016"/>
        </w:tabs>
        <w:rPr>
          <w:rFonts w:asciiTheme="minorHAnsi" w:eastAsiaTheme="minorEastAsia" w:hAnsiTheme="minorHAnsi" w:cstheme="minorBidi"/>
          <w:i w:val="0"/>
          <w:iCs w:val="0"/>
          <w:noProof/>
          <w:szCs w:val="22"/>
          <w:lang w:eastAsia="en-AU" w:bidi="ar-SA"/>
        </w:rPr>
      </w:pPr>
      <w:hyperlink w:anchor="_Toc296958599" w:history="1">
        <w:r w:rsidR="00935337" w:rsidRPr="007476BD">
          <w:rPr>
            <w:rStyle w:val="Hyperlink"/>
            <w:rFonts w:cs="Arial"/>
            <w:noProof/>
          </w:rPr>
          <w:t>2.1</w:t>
        </w:r>
        <w:r w:rsidR="00935337" w:rsidRPr="007476BD">
          <w:rPr>
            <w:rFonts w:asciiTheme="minorHAnsi" w:eastAsiaTheme="minorEastAsia" w:hAnsiTheme="minorHAnsi" w:cstheme="minorBidi"/>
            <w:i w:val="0"/>
            <w:iCs w:val="0"/>
            <w:noProof/>
            <w:szCs w:val="22"/>
            <w:lang w:eastAsia="en-AU" w:bidi="ar-SA"/>
          </w:rPr>
          <w:tab/>
        </w:r>
        <w:r w:rsidR="00935337" w:rsidRPr="007476BD">
          <w:rPr>
            <w:rStyle w:val="Hyperlink"/>
            <w:rFonts w:cs="Arial"/>
            <w:noProof/>
          </w:rPr>
          <w:t>Background</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_Toc296958599 \h </w:instrText>
        </w:r>
        <w:r w:rsidR="00935337" w:rsidRPr="007476BD">
          <w:rPr>
            <w:noProof/>
            <w:webHidden/>
          </w:rPr>
        </w:r>
        <w:r w:rsidR="00935337" w:rsidRPr="007476BD">
          <w:rPr>
            <w:noProof/>
            <w:webHidden/>
          </w:rPr>
          <w:fldChar w:fldCharType="separate"/>
        </w:r>
        <w:r w:rsidR="007476BD">
          <w:rPr>
            <w:noProof/>
            <w:webHidden/>
          </w:rPr>
          <w:t>2</w:t>
        </w:r>
        <w:r w:rsidR="00935337" w:rsidRPr="007476BD">
          <w:rPr>
            <w:noProof/>
            <w:webHidden/>
          </w:rPr>
          <w:fldChar w:fldCharType="end"/>
        </w:r>
      </w:hyperlink>
    </w:p>
    <w:p w:rsidR="00935337" w:rsidRPr="007476BD" w:rsidRDefault="00C80E0E">
      <w:pPr>
        <w:pStyle w:val="TOC2"/>
        <w:tabs>
          <w:tab w:val="left" w:pos="720"/>
          <w:tab w:val="right" w:leader="dot" w:pos="9016"/>
        </w:tabs>
        <w:rPr>
          <w:rFonts w:asciiTheme="minorHAnsi" w:eastAsiaTheme="minorEastAsia" w:hAnsiTheme="minorHAnsi" w:cstheme="minorBidi"/>
          <w:smallCaps w:val="0"/>
          <w:noProof/>
          <w:szCs w:val="22"/>
          <w:lang w:eastAsia="en-AU" w:bidi="ar-SA"/>
        </w:rPr>
      </w:pPr>
      <w:hyperlink w:anchor="_Toc296958600" w:history="1">
        <w:r w:rsidR="00935337" w:rsidRPr="007476BD">
          <w:rPr>
            <w:rStyle w:val="Hyperlink"/>
            <w:rFonts w:cs="Arial"/>
            <w:noProof/>
          </w:rPr>
          <w:t>3.</w:t>
        </w:r>
        <w:r w:rsidR="00935337" w:rsidRPr="007476BD">
          <w:rPr>
            <w:rFonts w:asciiTheme="minorHAnsi" w:eastAsiaTheme="minorEastAsia" w:hAnsiTheme="minorHAnsi" w:cstheme="minorBidi"/>
            <w:smallCaps w:val="0"/>
            <w:noProof/>
            <w:szCs w:val="22"/>
            <w:lang w:eastAsia="en-AU" w:bidi="ar-SA"/>
          </w:rPr>
          <w:tab/>
        </w:r>
        <w:r w:rsidR="00935337" w:rsidRPr="007476BD">
          <w:rPr>
            <w:rStyle w:val="Hyperlink"/>
            <w:rFonts w:cs="Arial"/>
            <w:noProof/>
          </w:rPr>
          <w:t>Objectives</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_Toc296958600 \h </w:instrText>
        </w:r>
        <w:r w:rsidR="00935337" w:rsidRPr="007476BD">
          <w:rPr>
            <w:noProof/>
            <w:webHidden/>
          </w:rPr>
        </w:r>
        <w:r w:rsidR="00935337" w:rsidRPr="007476BD">
          <w:rPr>
            <w:noProof/>
            <w:webHidden/>
          </w:rPr>
          <w:fldChar w:fldCharType="separate"/>
        </w:r>
        <w:r w:rsidR="007476BD">
          <w:rPr>
            <w:noProof/>
            <w:webHidden/>
          </w:rPr>
          <w:t>3</w:t>
        </w:r>
        <w:r w:rsidR="00935337" w:rsidRPr="007476BD">
          <w:rPr>
            <w:noProof/>
            <w:webHidden/>
          </w:rPr>
          <w:fldChar w:fldCharType="end"/>
        </w:r>
      </w:hyperlink>
    </w:p>
    <w:p w:rsidR="00935337" w:rsidRPr="007476BD" w:rsidRDefault="00C80E0E">
      <w:pPr>
        <w:pStyle w:val="TOC3"/>
        <w:tabs>
          <w:tab w:val="left" w:pos="1200"/>
          <w:tab w:val="right" w:leader="dot" w:pos="9016"/>
        </w:tabs>
        <w:rPr>
          <w:rFonts w:asciiTheme="minorHAnsi" w:eastAsiaTheme="minorEastAsia" w:hAnsiTheme="minorHAnsi" w:cstheme="minorBidi"/>
          <w:i w:val="0"/>
          <w:iCs w:val="0"/>
          <w:noProof/>
          <w:szCs w:val="22"/>
          <w:lang w:eastAsia="en-AU" w:bidi="ar-SA"/>
        </w:rPr>
      </w:pPr>
      <w:hyperlink w:anchor="_Toc296958601" w:history="1">
        <w:r w:rsidR="00935337" w:rsidRPr="007476BD">
          <w:rPr>
            <w:rStyle w:val="Hyperlink"/>
            <w:noProof/>
          </w:rPr>
          <w:t>3.1</w:t>
        </w:r>
        <w:r w:rsidR="00935337" w:rsidRPr="007476BD">
          <w:rPr>
            <w:rFonts w:asciiTheme="minorHAnsi" w:eastAsiaTheme="minorEastAsia" w:hAnsiTheme="minorHAnsi" w:cstheme="minorBidi"/>
            <w:i w:val="0"/>
            <w:iCs w:val="0"/>
            <w:noProof/>
            <w:szCs w:val="22"/>
            <w:lang w:eastAsia="en-AU" w:bidi="ar-SA"/>
          </w:rPr>
          <w:tab/>
        </w:r>
        <w:r w:rsidR="00935337" w:rsidRPr="007476BD">
          <w:rPr>
            <w:rStyle w:val="Hyperlink"/>
            <w:noProof/>
          </w:rPr>
          <w:t>Policy Guideline on Addition to Food of Substances other than Vitamins and Minerals</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_Toc296958601 \h </w:instrText>
        </w:r>
        <w:r w:rsidR="00935337" w:rsidRPr="007476BD">
          <w:rPr>
            <w:noProof/>
            <w:webHidden/>
          </w:rPr>
        </w:r>
        <w:r w:rsidR="00935337" w:rsidRPr="007476BD">
          <w:rPr>
            <w:noProof/>
            <w:webHidden/>
          </w:rPr>
          <w:fldChar w:fldCharType="separate"/>
        </w:r>
        <w:r w:rsidR="007476BD">
          <w:rPr>
            <w:noProof/>
            <w:webHidden/>
          </w:rPr>
          <w:t>3</w:t>
        </w:r>
        <w:r w:rsidR="00935337" w:rsidRPr="007476BD">
          <w:rPr>
            <w:noProof/>
            <w:webHidden/>
          </w:rPr>
          <w:fldChar w:fldCharType="end"/>
        </w:r>
      </w:hyperlink>
    </w:p>
    <w:p w:rsidR="00935337" w:rsidRPr="007476BD" w:rsidRDefault="00C80E0E">
      <w:pPr>
        <w:pStyle w:val="TOC2"/>
        <w:tabs>
          <w:tab w:val="left" w:pos="720"/>
          <w:tab w:val="right" w:leader="dot" w:pos="9016"/>
        </w:tabs>
        <w:rPr>
          <w:rFonts w:asciiTheme="minorHAnsi" w:eastAsiaTheme="minorEastAsia" w:hAnsiTheme="minorHAnsi" w:cstheme="minorBidi"/>
          <w:smallCaps w:val="0"/>
          <w:noProof/>
          <w:szCs w:val="22"/>
          <w:lang w:eastAsia="en-AU" w:bidi="ar-SA"/>
        </w:rPr>
      </w:pPr>
      <w:hyperlink w:anchor="_Toc296958602" w:history="1">
        <w:r w:rsidR="00935337" w:rsidRPr="007476BD">
          <w:rPr>
            <w:rStyle w:val="Hyperlink"/>
            <w:rFonts w:cs="Arial"/>
            <w:noProof/>
          </w:rPr>
          <w:t>4.</w:t>
        </w:r>
        <w:r w:rsidR="00935337" w:rsidRPr="007476BD">
          <w:rPr>
            <w:rFonts w:asciiTheme="minorHAnsi" w:eastAsiaTheme="minorEastAsia" w:hAnsiTheme="minorHAnsi" w:cstheme="minorBidi"/>
            <w:smallCaps w:val="0"/>
            <w:noProof/>
            <w:szCs w:val="22"/>
            <w:lang w:eastAsia="en-AU" w:bidi="ar-SA"/>
          </w:rPr>
          <w:tab/>
        </w:r>
        <w:r w:rsidR="00935337" w:rsidRPr="007476BD">
          <w:rPr>
            <w:rStyle w:val="Hyperlink"/>
            <w:rFonts w:cs="Arial"/>
            <w:noProof/>
          </w:rPr>
          <w:t>Questions to be answered</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_Toc296958602 \h </w:instrText>
        </w:r>
        <w:r w:rsidR="00935337" w:rsidRPr="007476BD">
          <w:rPr>
            <w:noProof/>
            <w:webHidden/>
          </w:rPr>
        </w:r>
        <w:r w:rsidR="00935337" w:rsidRPr="007476BD">
          <w:rPr>
            <w:noProof/>
            <w:webHidden/>
          </w:rPr>
          <w:fldChar w:fldCharType="separate"/>
        </w:r>
        <w:r w:rsidR="007476BD">
          <w:rPr>
            <w:noProof/>
            <w:webHidden/>
          </w:rPr>
          <w:t>4</w:t>
        </w:r>
        <w:r w:rsidR="00935337" w:rsidRPr="007476BD">
          <w:rPr>
            <w:noProof/>
            <w:webHidden/>
          </w:rPr>
          <w:fldChar w:fldCharType="end"/>
        </w:r>
      </w:hyperlink>
    </w:p>
    <w:p w:rsidR="00935337" w:rsidRPr="007476BD" w:rsidRDefault="00C80E0E">
      <w:pPr>
        <w:pStyle w:val="TOC1"/>
        <w:tabs>
          <w:tab w:val="right" w:leader="dot" w:pos="9016"/>
        </w:tabs>
        <w:rPr>
          <w:rFonts w:asciiTheme="minorHAnsi" w:eastAsiaTheme="minorEastAsia" w:hAnsiTheme="minorHAnsi" w:cstheme="minorBidi"/>
          <w:b w:val="0"/>
          <w:bCs w:val="0"/>
          <w:caps w:val="0"/>
          <w:noProof/>
          <w:szCs w:val="22"/>
          <w:lang w:eastAsia="en-AU" w:bidi="ar-SA"/>
        </w:rPr>
      </w:pPr>
      <w:hyperlink w:anchor="_Toc296958603" w:history="1">
        <w:r w:rsidR="00935337" w:rsidRPr="007476BD">
          <w:rPr>
            <w:rStyle w:val="Hyperlink"/>
            <w:rFonts w:cs="Arial"/>
            <w:noProof/>
          </w:rPr>
          <w:t>RISK ASSESSMENT</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_Toc296958603 \h </w:instrText>
        </w:r>
        <w:r w:rsidR="00935337" w:rsidRPr="007476BD">
          <w:rPr>
            <w:noProof/>
            <w:webHidden/>
          </w:rPr>
        </w:r>
        <w:r w:rsidR="00935337" w:rsidRPr="007476BD">
          <w:rPr>
            <w:noProof/>
            <w:webHidden/>
          </w:rPr>
          <w:fldChar w:fldCharType="separate"/>
        </w:r>
        <w:r w:rsidR="007476BD">
          <w:rPr>
            <w:noProof/>
            <w:webHidden/>
          </w:rPr>
          <w:t>4</w:t>
        </w:r>
        <w:r w:rsidR="00935337" w:rsidRPr="007476BD">
          <w:rPr>
            <w:noProof/>
            <w:webHidden/>
          </w:rPr>
          <w:fldChar w:fldCharType="end"/>
        </w:r>
      </w:hyperlink>
    </w:p>
    <w:p w:rsidR="00935337" w:rsidRPr="007476BD" w:rsidRDefault="00C80E0E">
      <w:pPr>
        <w:pStyle w:val="TOC2"/>
        <w:tabs>
          <w:tab w:val="left" w:pos="720"/>
          <w:tab w:val="right" w:leader="dot" w:pos="9016"/>
        </w:tabs>
        <w:rPr>
          <w:rFonts w:asciiTheme="minorHAnsi" w:eastAsiaTheme="minorEastAsia" w:hAnsiTheme="minorHAnsi" w:cstheme="minorBidi"/>
          <w:smallCaps w:val="0"/>
          <w:noProof/>
          <w:szCs w:val="22"/>
          <w:lang w:eastAsia="en-AU" w:bidi="ar-SA"/>
        </w:rPr>
      </w:pPr>
      <w:hyperlink w:anchor="_Toc296958604" w:history="1">
        <w:r w:rsidR="00935337" w:rsidRPr="007476BD">
          <w:rPr>
            <w:rStyle w:val="Hyperlink"/>
            <w:noProof/>
          </w:rPr>
          <w:t>5.</w:t>
        </w:r>
        <w:r w:rsidR="00935337" w:rsidRPr="007476BD">
          <w:rPr>
            <w:rFonts w:asciiTheme="minorHAnsi" w:eastAsiaTheme="minorEastAsia" w:hAnsiTheme="minorHAnsi" w:cstheme="minorBidi"/>
            <w:smallCaps w:val="0"/>
            <w:noProof/>
            <w:szCs w:val="22"/>
            <w:lang w:eastAsia="en-AU" w:bidi="ar-SA"/>
          </w:rPr>
          <w:tab/>
        </w:r>
        <w:r w:rsidR="00935337" w:rsidRPr="007476BD">
          <w:rPr>
            <w:rStyle w:val="Hyperlink"/>
            <w:noProof/>
          </w:rPr>
          <w:t>Risk &amp; Technical Assessment Summary</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_Toc296958604 \h </w:instrText>
        </w:r>
        <w:r w:rsidR="00935337" w:rsidRPr="007476BD">
          <w:rPr>
            <w:noProof/>
            <w:webHidden/>
          </w:rPr>
        </w:r>
        <w:r w:rsidR="00935337" w:rsidRPr="007476BD">
          <w:rPr>
            <w:noProof/>
            <w:webHidden/>
          </w:rPr>
          <w:fldChar w:fldCharType="separate"/>
        </w:r>
        <w:r w:rsidR="007476BD">
          <w:rPr>
            <w:noProof/>
            <w:webHidden/>
          </w:rPr>
          <w:t>4</w:t>
        </w:r>
        <w:r w:rsidR="00935337" w:rsidRPr="007476BD">
          <w:rPr>
            <w:noProof/>
            <w:webHidden/>
          </w:rPr>
          <w:fldChar w:fldCharType="end"/>
        </w:r>
      </w:hyperlink>
    </w:p>
    <w:p w:rsidR="00935337" w:rsidRPr="007476BD" w:rsidRDefault="00C80E0E">
      <w:pPr>
        <w:pStyle w:val="TOC1"/>
        <w:tabs>
          <w:tab w:val="right" w:leader="dot" w:pos="9016"/>
        </w:tabs>
        <w:rPr>
          <w:rFonts w:asciiTheme="minorHAnsi" w:eastAsiaTheme="minorEastAsia" w:hAnsiTheme="minorHAnsi" w:cstheme="minorBidi"/>
          <w:b w:val="0"/>
          <w:bCs w:val="0"/>
          <w:caps w:val="0"/>
          <w:noProof/>
          <w:szCs w:val="22"/>
          <w:lang w:eastAsia="en-AU" w:bidi="ar-SA"/>
        </w:rPr>
      </w:pPr>
      <w:hyperlink w:anchor="_Toc296958605" w:history="1">
        <w:r w:rsidR="00935337" w:rsidRPr="007476BD">
          <w:rPr>
            <w:rStyle w:val="Hyperlink"/>
            <w:rFonts w:cs="Arial"/>
            <w:noProof/>
          </w:rPr>
          <w:t>Risk Management</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_Toc296958605 \h </w:instrText>
        </w:r>
        <w:r w:rsidR="00935337" w:rsidRPr="007476BD">
          <w:rPr>
            <w:noProof/>
            <w:webHidden/>
          </w:rPr>
        </w:r>
        <w:r w:rsidR="00935337" w:rsidRPr="007476BD">
          <w:rPr>
            <w:noProof/>
            <w:webHidden/>
          </w:rPr>
          <w:fldChar w:fldCharType="separate"/>
        </w:r>
        <w:r w:rsidR="007476BD">
          <w:rPr>
            <w:noProof/>
            <w:webHidden/>
          </w:rPr>
          <w:t>4</w:t>
        </w:r>
        <w:r w:rsidR="00935337" w:rsidRPr="007476BD">
          <w:rPr>
            <w:noProof/>
            <w:webHidden/>
          </w:rPr>
          <w:fldChar w:fldCharType="end"/>
        </w:r>
      </w:hyperlink>
    </w:p>
    <w:p w:rsidR="00935337" w:rsidRPr="007476BD" w:rsidRDefault="00C80E0E">
      <w:pPr>
        <w:pStyle w:val="TOC2"/>
        <w:tabs>
          <w:tab w:val="left" w:pos="720"/>
          <w:tab w:val="right" w:leader="dot" w:pos="9016"/>
        </w:tabs>
        <w:rPr>
          <w:rFonts w:asciiTheme="minorHAnsi" w:eastAsiaTheme="minorEastAsia" w:hAnsiTheme="minorHAnsi" w:cstheme="minorBidi"/>
          <w:smallCaps w:val="0"/>
          <w:noProof/>
          <w:szCs w:val="22"/>
          <w:lang w:eastAsia="en-AU" w:bidi="ar-SA"/>
        </w:rPr>
      </w:pPr>
      <w:hyperlink w:anchor="_Toc296958606" w:history="1">
        <w:r w:rsidR="00935337" w:rsidRPr="007476BD">
          <w:rPr>
            <w:rStyle w:val="Hyperlink"/>
            <w:noProof/>
          </w:rPr>
          <w:t>6.</w:t>
        </w:r>
        <w:r w:rsidR="00935337" w:rsidRPr="007476BD">
          <w:rPr>
            <w:rFonts w:asciiTheme="minorHAnsi" w:eastAsiaTheme="minorEastAsia" w:hAnsiTheme="minorHAnsi" w:cstheme="minorBidi"/>
            <w:smallCaps w:val="0"/>
            <w:noProof/>
            <w:szCs w:val="22"/>
            <w:lang w:eastAsia="en-AU" w:bidi="ar-SA"/>
          </w:rPr>
          <w:tab/>
        </w:r>
        <w:r w:rsidR="00935337" w:rsidRPr="007476BD">
          <w:rPr>
            <w:rStyle w:val="Hyperlink"/>
            <w:noProof/>
          </w:rPr>
          <w:t>Risk Management Issues</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_Toc296958606 \h </w:instrText>
        </w:r>
        <w:r w:rsidR="00935337" w:rsidRPr="007476BD">
          <w:rPr>
            <w:noProof/>
            <w:webHidden/>
          </w:rPr>
        </w:r>
        <w:r w:rsidR="00935337" w:rsidRPr="007476BD">
          <w:rPr>
            <w:noProof/>
            <w:webHidden/>
          </w:rPr>
          <w:fldChar w:fldCharType="separate"/>
        </w:r>
        <w:r w:rsidR="007476BD">
          <w:rPr>
            <w:noProof/>
            <w:webHidden/>
          </w:rPr>
          <w:t>4</w:t>
        </w:r>
        <w:r w:rsidR="00935337" w:rsidRPr="007476BD">
          <w:rPr>
            <w:noProof/>
            <w:webHidden/>
          </w:rPr>
          <w:fldChar w:fldCharType="end"/>
        </w:r>
      </w:hyperlink>
    </w:p>
    <w:p w:rsidR="00935337" w:rsidRPr="007476BD" w:rsidRDefault="00C80E0E">
      <w:pPr>
        <w:pStyle w:val="TOC3"/>
        <w:tabs>
          <w:tab w:val="left" w:pos="1200"/>
          <w:tab w:val="right" w:leader="dot" w:pos="9016"/>
        </w:tabs>
        <w:rPr>
          <w:rFonts w:asciiTheme="minorHAnsi" w:eastAsiaTheme="minorEastAsia" w:hAnsiTheme="minorHAnsi" w:cstheme="minorBidi"/>
          <w:i w:val="0"/>
          <w:iCs w:val="0"/>
          <w:noProof/>
          <w:szCs w:val="22"/>
          <w:lang w:eastAsia="en-AU" w:bidi="ar-SA"/>
        </w:rPr>
      </w:pPr>
      <w:hyperlink w:anchor="_Toc296958607" w:history="1">
        <w:r w:rsidR="00935337" w:rsidRPr="007476BD">
          <w:rPr>
            <w:rStyle w:val="Hyperlink"/>
            <w:noProof/>
          </w:rPr>
          <w:t>6.1</w:t>
        </w:r>
        <w:r w:rsidR="00935337" w:rsidRPr="007476BD">
          <w:rPr>
            <w:rFonts w:asciiTheme="minorHAnsi" w:eastAsiaTheme="minorEastAsia" w:hAnsiTheme="minorHAnsi" w:cstheme="minorBidi"/>
            <w:i w:val="0"/>
            <w:iCs w:val="0"/>
            <w:noProof/>
            <w:szCs w:val="22"/>
            <w:lang w:eastAsia="en-AU" w:bidi="ar-SA"/>
          </w:rPr>
          <w:tab/>
        </w:r>
        <w:r w:rsidR="00935337" w:rsidRPr="007476BD">
          <w:rPr>
            <w:rStyle w:val="Hyperlink"/>
            <w:noProof/>
          </w:rPr>
          <w:t>Addressing the objectives</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_Toc296958607 \h </w:instrText>
        </w:r>
        <w:r w:rsidR="00935337" w:rsidRPr="007476BD">
          <w:rPr>
            <w:noProof/>
            <w:webHidden/>
          </w:rPr>
        </w:r>
        <w:r w:rsidR="00935337" w:rsidRPr="007476BD">
          <w:rPr>
            <w:noProof/>
            <w:webHidden/>
          </w:rPr>
          <w:fldChar w:fldCharType="separate"/>
        </w:r>
        <w:r w:rsidR="007476BD">
          <w:rPr>
            <w:noProof/>
            <w:webHidden/>
          </w:rPr>
          <w:t>5</w:t>
        </w:r>
        <w:r w:rsidR="00935337" w:rsidRPr="007476BD">
          <w:rPr>
            <w:noProof/>
            <w:webHidden/>
          </w:rPr>
          <w:fldChar w:fldCharType="end"/>
        </w:r>
      </w:hyperlink>
    </w:p>
    <w:p w:rsidR="00935337" w:rsidRPr="007476BD" w:rsidRDefault="00C80E0E">
      <w:pPr>
        <w:pStyle w:val="TOC3"/>
        <w:tabs>
          <w:tab w:val="left" w:pos="1200"/>
          <w:tab w:val="right" w:leader="dot" w:pos="9016"/>
        </w:tabs>
        <w:rPr>
          <w:rFonts w:asciiTheme="minorHAnsi" w:eastAsiaTheme="minorEastAsia" w:hAnsiTheme="minorHAnsi" w:cstheme="minorBidi"/>
          <w:i w:val="0"/>
          <w:iCs w:val="0"/>
          <w:noProof/>
          <w:szCs w:val="22"/>
          <w:lang w:eastAsia="en-AU" w:bidi="ar-SA"/>
        </w:rPr>
      </w:pPr>
      <w:hyperlink w:anchor="_Toc296958608" w:history="1">
        <w:r w:rsidR="00935337" w:rsidRPr="007476BD">
          <w:rPr>
            <w:rStyle w:val="Hyperlink"/>
            <w:noProof/>
          </w:rPr>
          <w:t>6.2</w:t>
        </w:r>
        <w:r w:rsidR="00935337" w:rsidRPr="007476BD">
          <w:rPr>
            <w:rFonts w:asciiTheme="minorHAnsi" w:eastAsiaTheme="minorEastAsia" w:hAnsiTheme="minorHAnsi" w:cstheme="minorBidi"/>
            <w:i w:val="0"/>
            <w:iCs w:val="0"/>
            <w:noProof/>
            <w:szCs w:val="22"/>
            <w:lang w:eastAsia="en-AU" w:bidi="ar-SA"/>
          </w:rPr>
          <w:tab/>
        </w:r>
        <w:r w:rsidR="00935337" w:rsidRPr="007476BD">
          <w:rPr>
            <w:rStyle w:val="Hyperlink"/>
            <w:noProof/>
          </w:rPr>
          <w:t>Risk to public health and safety</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_Toc296958608 \h </w:instrText>
        </w:r>
        <w:r w:rsidR="00935337" w:rsidRPr="007476BD">
          <w:rPr>
            <w:noProof/>
            <w:webHidden/>
          </w:rPr>
        </w:r>
        <w:r w:rsidR="00935337" w:rsidRPr="007476BD">
          <w:rPr>
            <w:noProof/>
            <w:webHidden/>
          </w:rPr>
          <w:fldChar w:fldCharType="separate"/>
        </w:r>
        <w:r w:rsidR="007476BD">
          <w:rPr>
            <w:noProof/>
            <w:webHidden/>
          </w:rPr>
          <w:t>5</w:t>
        </w:r>
        <w:r w:rsidR="00935337" w:rsidRPr="007476BD">
          <w:rPr>
            <w:noProof/>
            <w:webHidden/>
          </w:rPr>
          <w:fldChar w:fldCharType="end"/>
        </w:r>
      </w:hyperlink>
    </w:p>
    <w:p w:rsidR="00935337" w:rsidRPr="007476BD" w:rsidRDefault="00C80E0E">
      <w:pPr>
        <w:pStyle w:val="TOC3"/>
        <w:tabs>
          <w:tab w:val="left" w:pos="1200"/>
          <w:tab w:val="right" w:leader="dot" w:pos="9016"/>
        </w:tabs>
        <w:rPr>
          <w:rFonts w:asciiTheme="minorHAnsi" w:eastAsiaTheme="minorEastAsia" w:hAnsiTheme="minorHAnsi" w:cstheme="minorBidi"/>
          <w:i w:val="0"/>
          <w:iCs w:val="0"/>
          <w:noProof/>
          <w:szCs w:val="22"/>
          <w:lang w:eastAsia="en-AU" w:bidi="ar-SA"/>
        </w:rPr>
      </w:pPr>
      <w:hyperlink w:anchor="_Toc296958609" w:history="1">
        <w:r w:rsidR="00935337" w:rsidRPr="007476BD">
          <w:rPr>
            <w:rStyle w:val="Hyperlink"/>
            <w:noProof/>
          </w:rPr>
          <w:t>6.3</w:t>
        </w:r>
        <w:r w:rsidR="00935337" w:rsidRPr="007476BD">
          <w:rPr>
            <w:rFonts w:asciiTheme="minorHAnsi" w:eastAsiaTheme="minorEastAsia" w:hAnsiTheme="minorHAnsi" w:cstheme="minorBidi"/>
            <w:i w:val="0"/>
            <w:iCs w:val="0"/>
            <w:noProof/>
            <w:szCs w:val="22"/>
            <w:lang w:eastAsia="en-AU" w:bidi="ar-SA"/>
          </w:rPr>
          <w:tab/>
        </w:r>
        <w:r w:rsidR="00935337" w:rsidRPr="007476BD">
          <w:rPr>
            <w:rStyle w:val="Hyperlink"/>
            <w:noProof/>
          </w:rPr>
          <w:t>Labelling of Advantame-containing products</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_Toc296958609 \h </w:instrText>
        </w:r>
        <w:r w:rsidR="00935337" w:rsidRPr="007476BD">
          <w:rPr>
            <w:noProof/>
            <w:webHidden/>
          </w:rPr>
        </w:r>
        <w:r w:rsidR="00935337" w:rsidRPr="007476BD">
          <w:rPr>
            <w:noProof/>
            <w:webHidden/>
          </w:rPr>
          <w:fldChar w:fldCharType="separate"/>
        </w:r>
        <w:r w:rsidR="007476BD">
          <w:rPr>
            <w:noProof/>
            <w:webHidden/>
          </w:rPr>
          <w:t>5</w:t>
        </w:r>
        <w:r w:rsidR="00935337" w:rsidRPr="007476BD">
          <w:rPr>
            <w:noProof/>
            <w:webHidden/>
          </w:rPr>
          <w:fldChar w:fldCharType="end"/>
        </w:r>
      </w:hyperlink>
    </w:p>
    <w:p w:rsidR="00935337" w:rsidRPr="007476BD" w:rsidRDefault="00C80E0E">
      <w:pPr>
        <w:pStyle w:val="TOC3"/>
        <w:tabs>
          <w:tab w:val="left" w:pos="1200"/>
          <w:tab w:val="right" w:leader="dot" w:pos="9016"/>
        </w:tabs>
        <w:rPr>
          <w:rFonts w:asciiTheme="minorHAnsi" w:eastAsiaTheme="minorEastAsia" w:hAnsiTheme="minorHAnsi" w:cstheme="minorBidi"/>
          <w:i w:val="0"/>
          <w:iCs w:val="0"/>
          <w:noProof/>
          <w:szCs w:val="22"/>
          <w:lang w:eastAsia="en-AU" w:bidi="ar-SA"/>
        </w:rPr>
      </w:pPr>
      <w:hyperlink w:anchor="_Toc296958610" w:history="1">
        <w:r w:rsidR="00935337" w:rsidRPr="007476BD">
          <w:rPr>
            <w:rStyle w:val="Hyperlink"/>
            <w:noProof/>
          </w:rPr>
          <w:t>6.4</w:t>
        </w:r>
        <w:r w:rsidR="00935337" w:rsidRPr="007476BD">
          <w:rPr>
            <w:rFonts w:asciiTheme="minorHAnsi" w:eastAsiaTheme="minorEastAsia" w:hAnsiTheme="minorHAnsi" w:cstheme="minorBidi"/>
            <w:i w:val="0"/>
            <w:iCs w:val="0"/>
            <w:noProof/>
            <w:szCs w:val="22"/>
            <w:lang w:eastAsia="en-AU" w:bidi="ar-SA"/>
          </w:rPr>
          <w:tab/>
        </w:r>
        <w:r w:rsidR="00935337" w:rsidRPr="007476BD">
          <w:rPr>
            <w:rStyle w:val="Hyperlink"/>
            <w:noProof/>
          </w:rPr>
          <w:t>Prevention of misleading and deceptive conduct</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_Toc296958610 \h </w:instrText>
        </w:r>
        <w:r w:rsidR="00935337" w:rsidRPr="007476BD">
          <w:rPr>
            <w:noProof/>
            <w:webHidden/>
          </w:rPr>
        </w:r>
        <w:r w:rsidR="00935337" w:rsidRPr="007476BD">
          <w:rPr>
            <w:noProof/>
            <w:webHidden/>
          </w:rPr>
          <w:fldChar w:fldCharType="separate"/>
        </w:r>
        <w:r w:rsidR="007476BD">
          <w:rPr>
            <w:noProof/>
            <w:webHidden/>
          </w:rPr>
          <w:t>7</w:t>
        </w:r>
        <w:r w:rsidR="00935337" w:rsidRPr="007476BD">
          <w:rPr>
            <w:noProof/>
            <w:webHidden/>
          </w:rPr>
          <w:fldChar w:fldCharType="end"/>
        </w:r>
      </w:hyperlink>
    </w:p>
    <w:p w:rsidR="00935337" w:rsidRPr="007476BD" w:rsidRDefault="00C80E0E">
      <w:pPr>
        <w:pStyle w:val="TOC3"/>
        <w:tabs>
          <w:tab w:val="left" w:pos="1200"/>
          <w:tab w:val="right" w:leader="dot" w:pos="9016"/>
        </w:tabs>
        <w:rPr>
          <w:rFonts w:asciiTheme="minorHAnsi" w:eastAsiaTheme="minorEastAsia" w:hAnsiTheme="minorHAnsi" w:cstheme="minorBidi"/>
          <w:i w:val="0"/>
          <w:iCs w:val="0"/>
          <w:noProof/>
          <w:szCs w:val="22"/>
          <w:lang w:eastAsia="en-AU" w:bidi="ar-SA"/>
        </w:rPr>
      </w:pPr>
      <w:hyperlink w:anchor="_Toc296958611" w:history="1">
        <w:r w:rsidR="00935337" w:rsidRPr="007476BD">
          <w:rPr>
            <w:rStyle w:val="Hyperlink"/>
            <w:noProof/>
          </w:rPr>
          <w:t>6.5</w:t>
        </w:r>
        <w:r w:rsidR="00935337" w:rsidRPr="007476BD">
          <w:rPr>
            <w:rFonts w:asciiTheme="minorHAnsi" w:eastAsiaTheme="minorEastAsia" w:hAnsiTheme="minorHAnsi" w:cstheme="minorBidi"/>
            <w:i w:val="0"/>
            <w:iCs w:val="0"/>
            <w:noProof/>
            <w:szCs w:val="22"/>
            <w:lang w:eastAsia="en-AU" w:bidi="ar-SA"/>
          </w:rPr>
          <w:tab/>
        </w:r>
        <w:r w:rsidR="00935337" w:rsidRPr="007476BD">
          <w:rPr>
            <w:rStyle w:val="Hyperlink"/>
            <w:noProof/>
          </w:rPr>
          <w:t>Consistency with Policy Guidelines</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_Toc296958611 \h </w:instrText>
        </w:r>
        <w:r w:rsidR="00935337" w:rsidRPr="007476BD">
          <w:rPr>
            <w:noProof/>
            <w:webHidden/>
          </w:rPr>
        </w:r>
        <w:r w:rsidR="00935337" w:rsidRPr="007476BD">
          <w:rPr>
            <w:noProof/>
            <w:webHidden/>
          </w:rPr>
          <w:fldChar w:fldCharType="separate"/>
        </w:r>
        <w:r w:rsidR="007476BD">
          <w:rPr>
            <w:noProof/>
            <w:webHidden/>
          </w:rPr>
          <w:t>7</w:t>
        </w:r>
        <w:r w:rsidR="00935337" w:rsidRPr="007476BD">
          <w:rPr>
            <w:noProof/>
            <w:webHidden/>
          </w:rPr>
          <w:fldChar w:fldCharType="end"/>
        </w:r>
      </w:hyperlink>
    </w:p>
    <w:p w:rsidR="00935337" w:rsidRPr="007476BD" w:rsidRDefault="00C80E0E">
      <w:pPr>
        <w:pStyle w:val="TOC3"/>
        <w:tabs>
          <w:tab w:val="left" w:pos="1200"/>
          <w:tab w:val="right" w:leader="dot" w:pos="9016"/>
        </w:tabs>
        <w:rPr>
          <w:rFonts w:asciiTheme="minorHAnsi" w:eastAsiaTheme="minorEastAsia" w:hAnsiTheme="minorHAnsi" w:cstheme="minorBidi"/>
          <w:i w:val="0"/>
          <w:iCs w:val="0"/>
          <w:noProof/>
          <w:szCs w:val="22"/>
          <w:lang w:eastAsia="en-AU" w:bidi="ar-SA"/>
        </w:rPr>
      </w:pPr>
      <w:hyperlink w:anchor="_Toc296958612" w:history="1">
        <w:r w:rsidR="00935337" w:rsidRPr="007476BD">
          <w:rPr>
            <w:rStyle w:val="Hyperlink"/>
            <w:noProof/>
          </w:rPr>
          <w:t>6.6</w:t>
        </w:r>
        <w:r w:rsidR="00935337" w:rsidRPr="007476BD">
          <w:rPr>
            <w:rFonts w:asciiTheme="minorHAnsi" w:eastAsiaTheme="minorEastAsia" w:hAnsiTheme="minorHAnsi" w:cstheme="minorBidi"/>
            <w:i w:val="0"/>
            <w:iCs w:val="0"/>
            <w:noProof/>
            <w:szCs w:val="22"/>
            <w:lang w:eastAsia="en-AU" w:bidi="ar-SA"/>
          </w:rPr>
          <w:tab/>
        </w:r>
        <w:r w:rsidR="00935337" w:rsidRPr="007476BD">
          <w:rPr>
            <w:rStyle w:val="Hyperlink"/>
            <w:noProof/>
          </w:rPr>
          <w:t>Specifications for Advantame</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_Toc296958612 \h </w:instrText>
        </w:r>
        <w:r w:rsidR="00935337" w:rsidRPr="007476BD">
          <w:rPr>
            <w:noProof/>
            <w:webHidden/>
          </w:rPr>
        </w:r>
        <w:r w:rsidR="00935337" w:rsidRPr="007476BD">
          <w:rPr>
            <w:noProof/>
            <w:webHidden/>
          </w:rPr>
          <w:fldChar w:fldCharType="separate"/>
        </w:r>
        <w:r w:rsidR="007476BD">
          <w:rPr>
            <w:noProof/>
            <w:webHidden/>
          </w:rPr>
          <w:t>8</w:t>
        </w:r>
        <w:r w:rsidR="00935337" w:rsidRPr="007476BD">
          <w:rPr>
            <w:noProof/>
            <w:webHidden/>
          </w:rPr>
          <w:fldChar w:fldCharType="end"/>
        </w:r>
      </w:hyperlink>
    </w:p>
    <w:p w:rsidR="00935337" w:rsidRPr="007476BD" w:rsidRDefault="00C80E0E">
      <w:pPr>
        <w:pStyle w:val="TOC3"/>
        <w:tabs>
          <w:tab w:val="left" w:pos="1200"/>
          <w:tab w:val="right" w:leader="dot" w:pos="9016"/>
        </w:tabs>
        <w:rPr>
          <w:rFonts w:asciiTheme="minorHAnsi" w:eastAsiaTheme="minorEastAsia" w:hAnsiTheme="minorHAnsi" w:cstheme="minorBidi"/>
          <w:i w:val="0"/>
          <w:iCs w:val="0"/>
          <w:noProof/>
          <w:szCs w:val="22"/>
          <w:lang w:eastAsia="en-AU" w:bidi="ar-SA"/>
        </w:rPr>
      </w:pPr>
      <w:hyperlink w:anchor="_Toc296958613" w:history="1">
        <w:r w:rsidR="00935337" w:rsidRPr="007476BD">
          <w:rPr>
            <w:rStyle w:val="Hyperlink"/>
            <w:noProof/>
          </w:rPr>
          <w:t>6.7</w:t>
        </w:r>
        <w:r w:rsidR="00935337" w:rsidRPr="007476BD">
          <w:rPr>
            <w:rFonts w:asciiTheme="minorHAnsi" w:eastAsiaTheme="minorEastAsia" w:hAnsiTheme="minorHAnsi" w:cstheme="minorBidi"/>
            <w:i w:val="0"/>
            <w:iCs w:val="0"/>
            <w:noProof/>
            <w:szCs w:val="22"/>
            <w:lang w:eastAsia="en-AU" w:bidi="ar-SA"/>
          </w:rPr>
          <w:tab/>
        </w:r>
        <w:r w:rsidR="00935337" w:rsidRPr="007476BD">
          <w:rPr>
            <w:rStyle w:val="Hyperlink"/>
            <w:noProof/>
          </w:rPr>
          <w:t>Methods of analysis</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_Toc296958613 \h </w:instrText>
        </w:r>
        <w:r w:rsidR="00935337" w:rsidRPr="007476BD">
          <w:rPr>
            <w:noProof/>
            <w:webHidden/>
          </w:rPr>
        </w:r>
        <w:r w:rsidR="00935337" w:rsidRPr="007476BD">
          <w:rPr>
            <w:noProof/>
            <w:webHidden/>
          </w:rPr>
          <w:fldChar w:fldCharType="separate"/>
        </w:r>
        <w:r w:rsidR="007476BD">
          <w:rPr>
            <w:noProof/>
            <w:webHidden/>
          </w:rPr>
          <w:t>9</w:t>
        </w:r>
        <w:r w:rsidR="00935337" w:rsidRPr="007476BD">
          <w:rPr>
            <w:noProof/>
            <w:webHidden/>
          </w:rPr>
          <w:fldChar w:fldCharType="end"/>
        </w:r>
      </w:hyperlink>
    </w:p>
    <w:p w:rsidR="00935337" w:rsidRPr="007476BD" w:rsidRDefault="00C80E0E">
      <w:pPr>
        <w:pStyle w:val="TOC3"/>
        <w:tabs>
          <w:tab w:val="left" w:pos="1200"/>
          <w:tab w:val="right" w:leader="dot" w:pos="9016"/>
        </w:tabs>
        <w:rPr>
          <w:rFonts w:asciiTheme="minorHAnsi" w:eastAsiaTheme="minorEastAsia" w:hAnsiTheme="minorHAnsi" w:cstheme="minorBidi"/>
          <w:i w:val="0"/>
          <w:iCs w:val="0"/>
          <w:noProof/>
          <w:szCs w:val="22"/>
          <w:lang w:eastAsia="en-AU" w:bidi="ar-SA"/>
        </w:rPr>
      </w:pPr>
      <w:hyperlink w:anchor="_Toc296958614" w:history="1">
        <w:r w:rsidR="00935337" w:rsidRPr="007476BD">
          <w:rPr>
            <w:rStyle w:val="Hyperlink"/>
            <w:noProof/>
          </w:rPr>
          <w:t>6.8</w:t>
        </w:r>
        <w:r w:rsidR="00935337" w:rsidRPr="007476BD">
          <w:rPr>
            <w:rFonts w:asciiTheme="minorHAnsi" w:eastAsiaTheme="minorEastAsia" w:hAnsiTheme="minorHAnsi" w:cstheme="minorBidi"/>
            <w:i w:val="0"/>
            <w:iCs w:val="0"/>
            <w:noProof/>
            <w:szCs w:val="22"/>
            <w:lang w:eastAsia="en-AU" w:bidi="ar-SA"/>
          </w:rPr>
          <w:tab/>
        </w:r>
        <w:r w:rsidR="00935337" w:rsidRPr="007476BD">
          <w:rPr>
            <w:rStyle w:val="Hyperlink"/>
            <w:noProof/>
          </w:rPr>
          <w:t>Risk Management Strategy</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_Toc296958614 \h </w:instrText>
        </w:r>
        <w:r w:rsidR="00935337" w:rsidRPr="007476BD">
          <w:rPr>
            <w:noProof/>
            <w:webHidden/>
          </w:rPr>
        </w:r>
        <w:r w:rsidR="00935337" w:rsidRPr="007476BD">
          <w:rPr>
            <w:noProof/>
            <w:webHidden/>
          </w:rPr>
          <w:fldChar w:fldCharType="separate"/>
        </w:r>
        <w:r w:rsidR="007476BD">
          <w:rPr>
            <w:noProof/>
            <w:webHidden/>
          </w:rPr>
          <w:t>9</w:t>
        </w:r>
        <w:r w:rsidR="00935337" w:rsidRPr="007476BD">
          <w:rPr>
            <w:noProof/>
            <w:webHidden/>
          </w:rPr>
          <w:fldChar w:fldCharType="end"/>
        </w:r>
      </w:hyperlink>
    </w:p>
    <w:p w:rsidR="00935337" w:rsidRPr="007476BD" w:rsidRDefault="00C80E0E">
      <w:pPr>
        <w:pStyle w:val="TOC2"/>
        <w:tabs>
          <w:tab w:val="left" w:pos="720"/>
          <w:tab w:val="right" w:leader="dot" w:pos="9016"/>
        </w:tabs>
        <w:rPr>
          <w:rFonts w:asciiTheme="minorHAnsi" w:eastAsiaTheme="minorEastAsia" w:hAnsiTheme="minorHAnsi" w:cstheme="minorBidi"/>
          <w:smallCaps w:val="0"/>
          <w:noProof/>
          <w:szCs w:val="22"/>
          <w:lang w:eastAsia="en-AU" w:bidi="ar-SA"/>
        </w:rPr>
      </w:pPr>
      <w:hyperlink w:anchor="_Toc296958615" w:history="1">
        <w:r w:rsidR="00935337" w:rsidRPr="007476BD">
          <w:rPr>
            <w:rStyle w:val="Hyperlink"/>
            <w:noProof/>
          </w:rPr>
          <w:t>7.</w:t>
        </w:r>
        <w:r w:rsidR="00935337" w:rsidRPr="007476BD">
          <w:rPr>
            <w:rFonts w:asciiTheme="minorHAnsi" w:eastAsiaTheme="minorEastAsia" w:hAnsiTheme="minorHAnsi" w:cstheme="minorBidi"/>
            <w:smallCaps w:val="0"/>
            <w:noProof/>
            <w:szCs w:val="22"/>
            <w:lang w:eastAsia="en-AU" w:bidi="ar-SA"/>
          </w:rPr>
          <w:tab/>
        </w:r>
        <w:r w:rsidR="00935337" w:rsidRPr="007476BD">
          <w:rPr>
            <w:rStyle w:val="Hyperlink"/>
            <w:noProof/>
          </w:rPr>
          <w:t>Options</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_Toc296958615 \h </w:instrText>
        </w:r>
        <w:r w:rsidR="00935337" w:rsidRPr="007476BD">
          <w:rPr>
            <w:noProof/>
            <w:webHidden/>
          </w:rPr>
        </w:r>
        <w:r w:rsidR="00935337" w:rsidRPr="007476BD">
          <w:rPr>
            <w:noProof/>
            <w:webHidden/>
          </w:rPr>
          <w:fldChar w:fldCharType="separate"/>
        </w:r>
        <w:r w:rsidR="007476BD">
          <w:rPr>
            <w:noProof/>
            <w:webHidden/>
          </w:rPr>
          <w:t>10</w:t>
        </w:r>
        <w:r w:rsidR="00935337" w:rsidRPr="007476BD">
          <w:rPr>
            <w:noProof/>
            <w:webHidden/>
          </w:rPr>
          <w:fldChar w:fldCharType="end"/>
        </w:r>
      </w:hyperlink>
    </w:p>
    <w:p w:rsidR="00935337" w:rsidRPr="007476BD" w:rsidRDefault="00C80E0E">
      <w:pPr>
        <w:pStyle w:val="TOC2"/>
        <w:tabs>
          <w:tab w:val="left" w:pos="720"/>
          <w:tab w:val="right" w:leader="dot" w:pos="9016"/>
        </w:tabs>
        <w:rPr>
          <w:rFonts w:asciiTheme="minorHAnsi" w:eastAsiaTheme="minorEastAsia" w:hAnsiTheme="minorHAnsi" w:cstheme="minorBidi"/>
          <w:smallCaps w:val="0"/>
          <w:noProof/>
          <w:szCs w:val="22"/>
          <w:lang w:eastAsia="en-AU" w:bidi="ar-SA"/>
        </w:rPr>
      </w:pPr>
      <w:hyperlink w:anchor="_Toc296958616" w:history="1">
        <w:r w:rsidR="00935337" w:rsidRPr="007476BD">
          <w:rPr>
            <w:rStyle w:val="Hyperlink"/>
            <w:noProof/>
          </w:rPr>
          <w:t>8.</w:t>
        </w:r>
        <w:r w:rsidR="00935337" w:rsidRPr="007476BD">
          <w:rPr>
            <w:rFonts w:asciiTheme="minorHAnsi" w:eastAsiaTheme="minorEastAsia" w:hAnsiTheme="minorHAnsi" w:cstheme="minorBidi"/>
            <w:smallCaps w:val="0"/>
            <w:noProof/>
            <w:szCs w:val="22"/>
            <w:lang w:eastAsia="en-AU" w:bidi="ar-SA"/>
          </w:rPr>
          <w:tab/>
        </w:r>
        <w:r w:rsidR="00935337" w:rsidRPr="007476BD">
          <w:rPr>
            <w:rStyle w:val="Hyperlink"/>
            <w:noProof/>
          </w:rPr>
          <w:t>Impact Analysis</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_Toc296958616 \h </w:instrText>
        </w:r>
        <w:r w:rsidR="00935337" w:rsidRPr="007476BD">
          <w:rPr>
            <w:noProof/>
            <w:webHidden/>
          </w:rPr>
        </w:r>
        <w:r w:rsidR="00935337" w:rsidRPr="007476BD">
          <w:rPr>
            <w:noProof/>
            <w:webHidden/>
          </w:rPr>
          <w:fldChar w:fldCharType="separate"/>
        </w:r>
        <w:r w:rsidR="007476BD">
          <w:rPr>
            <w:noProof/>
            <w:webHidden/>
          </w:rPr>
          <w:t>10</w:t>
        </w:r>
        <w:r w:rsidR="00935337" w:rsidRPr="007476BD">
          <w:rPr>
            <w:noProof/>
            <w:webHidden/>
          </w:rPr>
          <w:fldChar w:fldCharType="end"/>
        </w:r>
      </w:hyperlink>
    </w:p>
    <w:p w:rsidR="00935337" w:rsidRPr="007476BD" w:rsidRDefault="00C80E0E">
      <w:pPr>
        <w:pStyle w:val="TOC3"/>
        <w:tabs>
          <w:tab w:val="left" w:pos="1200"/>
          <w:tab w:val="right" w:leader="dot" w:pos="9016"/>
        </w:tabs>
        <w:rPr>
          <w:rFonts w:asciiTheme="minorHAnsi" w:eastAsiaTheme="minorEastAsia" w:hAnsiTheme="minorHAnsi" w:cstheme="minorBidi"/>
          <w:i w:val="0"/>
          <w:iCs w:val="0"/>
          <w:noProof/>
          <w:szCs w:val="22"/>
          <w:lang w:eastAsia="en-AU" w:bidi="ar-SA"/>
        </w:rPr>
      </w:pPr>
      <w:hyperlink w:anchor="_Toc296958617" w:history="1">
        <w:r w:rsidR="00935337" w:rsidRPr="007476BD">
          <w:rPr>
            <w:rStyle w:val="Hyperlink"/>
            <w:noProof/>
          </w:rPr>
          <w:t>8.1</w:t>
        </w:r>
        <w:r w:rsidR="00935337" w:rsidRPr="007476BD">
          <w:rPr>
            <w:rFonts w:asciiTheme="minorHAnsi" w:eastAsiaTheme="minorEastAsia" w:hAnsiTheme="minorHAnsi" w:cstheme="minorBidi"/>
            <w:i w:val="0"/>
            <w:iCs w:val="0"/>
            <w:noProof/>
            <w:szCs w:val="22"/>
            <w:lang w:eastAsia="en-AU" w:bidi="ar-SA"/>
          </w:rPr>
          <w:tab/>
        </w:r>
        <w:r w:rsidR="00935337" w:rsidRPr="007476BD">
          <w:rPr>
            <w:rStyle w:val="Hyperlink"/>
            <w:noProof/>
          </w:rPr>
          <w:t>Affected Parties</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_Toc296958617 \h </w:instrText>
        </w:r>
        <w:r w:rsidR="00935337" w:rsidRPr="007476BD">
          <w:rPr>
            <w:noProof/>
            <w:webHidden/>
          </w:rPr>
        </w:r>
        <w:r w:rsidR="00935337" w:rsidRPr="007476BD">
          <w:rPr>
            <w:noProof/>
            <w:webHidden/>
          </w:rPr>
          <w:fldChar w:fldCharType="separate"/>
        </w:r>
        <w:r w:rsidR="007476BD">
          <w:rPr>
            <w:noProof/>
            <w:webHidden/>
          </w:rPr>
          <w:t>10</w:t>
        </w:r>
        <w:r w:rsidR="00935337" w:rsidRPr="007476BD">
          <w:rPr>
            <w:noProof/>
            <w:webHidden/>
          </w:rPr>
          <w:fldChar w:fldCharType="end"/>
        </w:r>
      </w:hyperlink>
    </w:p>
    <w:p w:rsidR="00935337" w:rsidRPr="007476BD" w:rsidRDefault="00C80E0E">
      <w:pPr>
        <w:pStyle w:val="TOC3"/>
        <w:tabs>
          <w:tab w:val="left" w:pos="1200"/>
          <w:tab w:val="right" w:leader="dot" w:pos="9016"/>
        </w:tabs>
        <w:rPr>
          <w:rFonts w:asciiTheme="minorHAnsi" w:eastAsiaTheme="minorEastAsia" w:hAnsiTheme="minorHAnsi" w:cstheme="minorBidi"/>
          <w:i w:val="0"/>
          <w:iCs w:val="0"/>
          <w:noProof/>
          <w:szCs w:val="22"/>
          <w:lang w:eastAsia="en-AU" w:bidi="ar-SA"/>
        </w:rPr>
      </w:pPr>
      <w:hyperlink w:anchor="_Toc296958618" w:history="1">
        <w:r w:rsidR="00935337" w:rsidRPr="007476BD">
          <w:rPr>
            <w:rStyle w:val="Hyperlink"/>
            <w:noProof/>
          </w:rPr>
          <w:t>8.2</w:t>
        </w:r>
        <w:r w:rsidR="00935337" w:rsidRPr="007476BD">
          <w:rPr>
            <w:rFonts w:asciiTheme="minorHAnsi" w:eastAsiaTheme="minorEastAsia" w:hAnsiTheme="minorHAnsi" w:cstheme="minorBidi"/>
            <w:i w:val="0"/>
            <w:iCs w:val="0"/>
            <w:noProof/>
            <w:szCs w:val="22"/>
            <w:lang w:eastAsia="en-AU" w:bidi="ar-SA"/>
          </w:rPr>
          <w:tab/>
        </w:r>
        <w:r w:rsidR="00935337" w:rsidRPr="007476BD">
          <w:rPr>
            <w:rStyle w:val="Hyperlink"/>
            <w:noProof/>
          </w:rPr>
          <w:t>Benefit Cost Analysis (RIS Number: 10838)</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_Toc296958618 \h </w:instrText>
        </w:r>
        <w:r w:rsidR="00935337" w:rsidRPr="007476BD">
          <w:rPr>
            <w:noProof/>
            <w:webHidden/>
          </w:rPr>
        </w:r>
        <w:r w:rsidR="00935337" w:rsidRPr="007476BD">
          <w:rPr>
            <w:noProof/>
            <w:webHidden/>
          </w:rPr>
          <w:fldChar w:fldCharType="separate"/>
        </w:r>
        <w:r w:rsidR="007476BD">
          <w:rPr>
            <w:noProof/>
            <w:webHidden/>
          </w:rPr>
          <w:t>11</w:t>
        </w:r>
        <w:r w:rsidR="00935337" w:rsidRPr="007476BD">
          <w:rPr>
            <w:noProof/>
            <w:webHidden/>
          </w:rPr>
          <w:fldChar w:fldCharType="end"/>
        </w:r>
      </w:hyperlink>
    </w:p>
    <w:p w:rsidR="00935337" w:rsidRPr="007476BD" w:rsidRDefault="00C80E0E">
      <w:pPr>
        <w:pStyle w:val="TOC3"/>
        <w:tabs>
          <w:tab w:val="left" w:pos="1200"/>
          <w:tab w:val="right" w:leader="dot" w:pos="9016"/>
        </w:tabs>
        <w:rPr>
          <w:rFonts w:asciiTheme="minorHAnsi" w:eastAsiaTheme="minorEastAsia" w:hAnsiTheme="minorHAnsi" w:cstheme="minorBidi"/>
          <w:i w:val="0"/>
          <w:iCs w:val="0"/>
          <w:noProof/>
          <w:szCs w:val="22"/>
          <w:lang w:eastAsia="en-AU" w:bidi="ar-SA"/>
        </w:rPr>
      </w:pPr>
      <w:hyperlink w:anchor="_Toc296958619" w:history="1">
        <w:r w:rsidR="00935337" w:rsidRPr="007476BD">
          <w:rPr>
            <w:rStyle w:val="Hyperlink"/>
            <w:rFonts w:cs="Arial"/>
            <w:noProof/>
          </w:rPr>
          <w:t>8.3</w:t>
        </w:r>
        <w:r w:rsidR="00935337" w:rsidRPr="007476BD">
          <w:rPr>
            <w:rFonts w:asciiTheme="minorHAnsi" w:eastAsiaTheme="minorEastAsia" w:hAnsiTheme="minorHAnsi" w:cstheme="minorBidi"/>
            <w:i w:val="0"/>
            <w:iCs w:val="0"/>
            <w:noProof/>
            <w:szCs w:val="22"/>
            <w:lang w:eastAsia="en-AU" w:bidi="ar-SA"/>
          </w:rPr>
          <w:tab/>
        </w:r>
        <w:r w:rsidR="00935337" w:rsidRPr="007476BD">
          <w:rPr>
            <w:rStyle w:val="Hyperlink"/>
            <w:rFonts w:cs="Arial"/>
            <w:noProof/>
          </w:rPr>
          <w:t>Comparison of Options</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_Toc296958619 \h </w:instrText>
        </w:r>
        <w:r w:rsidR="00935337" w:rsidRPr="007476BD">
          <w:rPr>
            <w:noProof/>
            <w:webHidden/>
          </w:rPr>
        </w:r>
        <w:r w:rsidR="00935337" w:rsidRPr="007476BD">
          <w:rPr>
            <w:noProof/>
            <w:webHidden/>
          </w:rPr>
          <w:fldChar w:fldCharType="separate"/>
        </w:r>
        <w:r w:rsidR="007476BD">
          <w:rPr>
            <w:noProof/>
            <w:webHidden/>
          </w:rPr>
          <w:t>12</w:t>
        </w:r>
        <w:r w:rsidR="00935337" w:rsidRPr="007476BD">
          <w:rPr>
            <w:noProof/>
            <w:webHidden/>
          </w:rPr>
          <w:fldChar w:fldCharType="end"/>
        </w:r>
      </w:hyperlink>
    </w:p>
    <w:p w:rsidR="00935337" w:rsidRPr="007476BD" w:rsidRDefault="00C80E0E">
      <w:pPr>
        <w:pStyle w:val="TOC1"/>
        <w:tabs>
          <w:tab w:val="right" w:leader="dot" w:pos="9016"/>
        </w:tabs>
        <w:rPr>
          <w:rFonts w:asciiTheme="minorHAnsi" w:eastAsiaTheme="minorEastAsia" w:hAnsiTheme="minorHAnsi" w:cstheme="minorBidi"/>
          <w:b w:val="0"/>
          <w:bCs w:val="0"/>
          <w:caps w:val="0"/>
          <w:noProof/>
          <w:szCs w:val="22"/>
          <w:lang w:eastAsia="en-AU" w:bidi="ar-SA"/>
        </w:rPr>
      </w:pPr>
      <w:hyperlink w:anchor="_Toc296958620" w:history="1">
        <w:r w:rsidR="00935337" w:rsidRPr="007476BD">
          <w:rPr>
            <w:rStyle w:val="Hyperlink"/>
            <w:noProof/>
          </w:rPr>
          <w:t>Communication and Consultation Strategy</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_Toc296958620 \h </w:instrText>
        </w:r>
        <w:r w:rsidR="00935337" w:rsidRPr="007476BD">
          <w:rPr>
            <w:noProof/>
            <w:webHidden/>
          </w:rPr>
        </w:r>
        <w:r w:rsidR="00935337" w:rsidRPr="007476BD">
          <w:rPr>
            <w:noProof/>
            <w:webHidden/>
          </w:rPr>
          <w:fldChar w:fldCharType="separate"/>
        </w:r>
        <w:r w:rsidR="007476BD">
          <w:rPr>
            <w:noProof/>
            <w:webHidden/>
          </w:rPr>
          <w:t>13</w:t>
        </w:r>
        <w:r w:rsidR="00935337" w:rsidRPr="007476BD">
          <w:rPr>
            <w:noProof/>
            <w:webHidden/>
          </w:rPr>
          <w:fldChar w:fldCharType="end"/>
        </w:r>
      </w:hyperlink>
    </w:p>
    <w:p w:rsidR="00935337" w:rsidRPr="007476BD" w:rsidRDefault="00C80E0E">
      <w:pPr>
        <w:pStyle w:val="TOC2"/>
        <w:tabs>
          <w:tab w:val="left" w:pos="720"/>
          <w:tab w:val="right" w:leader="dot" w:pos="9016"/>
        </w:tabs>
        <w:rPr>
          <w:rFonts w:asciiTheme="minorHAnsi" w:eastAsiaTheme="minorEastAsia" w:hAnsiTheme="minorHAnsi" w:cstheme="minorBidi"/>
          <w:smallCaps w:val="0"/>
          <w:noProof/>
          <w:szCs w:val="22"/>
          <w:lang w:eastAsia="en-AU" w:bidi="ar-SA"/>
        </w:rPr>
      </w:pPr>
      <w:hyperlink w:anchor="_Toc296958621" w:history="1">
        <w:r w:rsidR="00935337" w:rsidRPr="007476BD">
          <w:rPr>
            <w:rStyle w:val="Hyperlink"/>
            <w:noProof/>
          </w:rPr>
          <w:t>9.</w:t>
        </w:r>
        <w:r w:rsidR="00935337" w:rsidRPr="007476BD">
          <w:rPr>
            <w:rFonts w:asciiTheme="minorHAnsi" w:eastAsiaTheme="minorEastAsia" w:hAnsiTheme="minorHAnsi" w:cstheme="minorBidi"/>
            <w:smallCaps w:val="0"/>
            <w:noProof/>
            <w:szCs w:val="22"/>
            <w:lang w:eastAsia="en-AU" w:bidi="ar-SA"/>
          </w:rPr>
          <w:tab/>
        </w:r>
        <w:r w:rsidR="00935337" w:rsidRPr="007476BD">
          <w:rPr>
            <w:rStyle w:val="Hyperlink"/>
            <w:noProof/>
          </w:rPr>
          <w:t>Communication</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_Toc296958621 \h </w:instrText>
        </w:r>
        <w:r w:rsidR="00935337" w:rsidRPr="007476BD">
          <w:rPr>
            <w:noProof/>
            <w:webHidden/>
          </w:rPr>
        </w:r>
        <w:r w:rsidR="00935337" w:rsidRPr="007476BD">
          <w:rPr>
            <w:noProof/>
            <w:webHidden/>
          </w:rPr>
          <w:fldChar w:fldCharType="separate"/>
        </w:r>
        <w:r w:rsidR="007476BD">
          <w:rPr>
            <w:noProof/>
            <w:webHidden/>
          </w:rPr>
          <w:t>13</w:t>
        </w:r>
        <w:r w:rsidR="00935337" w:rsidRPr="007476BD">
          <w:rPr>
            <w:noProof/>
            <w:webHidden/>
          </w:rPr>
          <w:fldChar w:fldCharType="end"/>
        </w:r>
      </w:hyperlink>
    </w:p>
    <w:p w:rsidR="00935337" w:rsidRPr="007476BD" w:rsidRDefault="00C80E0E">
      <w:pPr>
        <w:pStyle w:val="TOC3"/>
        <w:tabs>
          <w:tab w:val="left" w:pos="1200"/>
          <w:tab w:val="right" w:leader="dot" w:pos="9016"/>
        </w:tabs>
        <w:rPr>
          <w:rFonts w:asciiTheme="minorHAnsi" w:eastAsiaTheme="minorEastAsia" w:hAnsiTheme="minorHAnsi" w:cstheme="minorBidi"/>
          <w:i w:val="0"/>
          <w:iCs w:val="0"/>
          <w:noProof/>
          <w:szCs w:val="22"/>
          <w:lang w:eastAsia="en-AU" w:bidi="ar-SA"/>
        </w:rPr>
      </w:pPr>
      <w:hyperlink w:anchor="_Toc296958622" w:history="1">
        <w:r w:rsidR="00935337" w:rsidRPr="007476BD">
          <w:rPr>
            <w:rStyle w:val="Hyperlink"/>
            <w:noProof/>
          </w:rPr>
          <w:t xml:space="preserve">9.1 </w:t>
        </w:r>
        <w:r w:rsidR="00935337" w:rsidRPr="007476BD">
          <w:rPr>
            <w:rFonts w:asciiTheme="minorHAnsi" w:eastAsiaTheme="minorEastAsia" w:hAnsiTheme="minorHAnsi" w:cstheme="minorBidi"/>
            <w:i w:val="0"/>
            <w:iCs w:val="0"/>
            <w:noProof/>
            <w:szCs w:val="22"/>
            <w:lang w:eastAsia="en-AU" w:bidi="ar-SA"/>
          </w:rPr>
          <w:tab/>
        </w:r>
        <w:r w:rsidR="00935337" w:rsidRPr="007476BD">
          <w:rPr>
            <w:rStyle w:val="Hyperlink"/>
            <w:noProof/>
          </w:rPr>
          <w:t>Response to public consultation</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_Toc296958622 \h </w:instrText>
        </w:r>
        <w:r w:rsidR="00935337" w:rsidRPr="007476BD">
          <w:rPr>
            <w:noProof/>
            <w:webHidden/>
          </w:rPr>
        </w:r>
        <w:r w:rsidR="00935337" w:rsidRPr="007476BD">
          <w:rPr>
            <w:noProof/>
            <w:webHidden/>
          </w:rPr>
          <w:fldChar w:fldCharType="separate"/>
        </w:r>
        <w:r w:rsidR="007476BD">
          <w:rPr>
            <w:noProof/>
            <w:webHidden/>
          </w:rPr>
          <w:t>13</w:t>
        </w:r>
        <w:r w:rsidR="00935337" w:rsidRPr="007476BD">
          <w:rPr>
            <w:noProof/>
            <w:webHidden/>
          </w:rPr>
          <w:fldChar w:fldCharType="end"/>
        </w:r>
      </w:hyperlink>
    </w:p>
    <w:p w:rsidR="00935337" w:rsidRPr="007476BD" w:rsidRDefault="00C80E0E">
      <w:pPr>
        <w:pStyle w:val="TOC2"/>
        <w:tabs>
          <w:tab w:val="left" w:pos="960"/>
          <w:tab w:val="right" w:leader="dot" w:pos="9016"/>
        </w:tabs>
        <w:rPr>
          <w:rFonts w:asciiTheme="minorHAnsi" w:eastAsiaTheme="minorEastAsia" w:hAnsiTheme="minorHAnsi" w:cstheme="minorBidi"/>
          <w:smallCaps w:val="0"/>
          <w:noProof/>
          <w:szCs w:val="22"/>
          <w:lang w:eastAsia="en-AU" w:bidi="ar-SA"/>
        </w:rPr>
      </w:pPr>
      <w:hyperlink w:anchor="_Toc296958623" w:history="1">
        <w:r w:rsidR="00935337" w:rsidRPr="007476BD">
          <w:rPr>
            <w:rStyle w:val="Hyperlink"/>
            <w:noProof/>
          </w:rPr>
          <w:t>10.</w:t>
        </w:r>
        <w:r w:rsidR="00935337" w:rsidRPr="007476BD">
          <w:rPr>
            <w:rFonts w:asciiTheme="minorHAnsi" w:eastAsiaTheme="minorEastAsia" w:hAnsiTheme="minorHAnsi" w:cstheme="minorBidi"/>
            <w:smallCaps w:val="0"/>
            <w:noProof/>
            <w:szCs w:val="22"/>
            <w:lang w:eastAsia="en-AU" w:bidi="ar-SA"/>
          </w:rPr>
          <w:tab/>
        </w:r>
        <w:r w:rsidR="00935337" w:rsidRPr="007476BD">
          <w:rPr>
            <w:rStyle w:val="Hyperlink"/>
            <w:noProof/>
          </w:rPr>
          <w:t>Consultation</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_Toc296958623 \h </w:instrText>
        </w:r>
        <w:r w:rsidR="00935337" w:rsidRPr="007476BD">
          <w:rPr>
            <w:noProof/>
            <w:webHidden/>
          </w:rPr>
        </w:r>
        <w:r w:rsidR="00935337" w:rsidRPr="007476BD">
          <w:rPr>
            <w:noProof/>
            <w:webHidden/>
          </w:rPr>
          <w:fldChar w:fldCharType="separate"/>
        </w:r>
        <w:r w:rsidR="007476BD">
          <w:rPr>
            <w:noProof/>
            <w:webHidden/>
          </w:rPr>
          <w:t>22</w:t>
        </w:r>
        <w:r w:rsidR="00935337" w:rsidRPr="007476BD">
          <w:rPr>
            <w:noProof/>
            <w:webHidden/>
          </w:rPr>
          <w:fldChar w:fldCharType="end"/>
        </w:r>
      </w:hyperlink>
    </w:p>
    <w:p w:rsidR="00935337" w:rsidRPr="007476BD" w:rsidRDefault="00C80E0E">
      <w:pPr>
        <w:pStyle w:val="TOC3"/>
        <w:tabs>
          <w:tab w:val="left" w:pos="1200"/>
          <w:tab w:val="right" w:leader="dot" w:pos="9016"/>
        </w:tabs>
        <w:rPr>
          <w:rFonts w:asciiTheme="minorHAnsi" w:eastAsiaTheme="minorEastAsia" w:hAnsiTheme="minorHAnsi" w:cstheme="minorBidi"/>
          <w:i w:val="0"/>
          <w:iCs w:val="0"/>
          <w:noProof/>
          <w:szCs w:val="22"/>
          <w:lang w:eastAsia="en-AU" w:bidi="ar-SA"/>
        </w:rPr>
      </w:pPr>
      <w:hyperlink w:anchor="_Toc296958624" w:history="1">
        <w:r w:rsidR="00935337" w:rsidRPr="007476BD">
          <w:rPr>
            <w:rStyle w:val="Hyperlink"/>
            <w:noProof/>
          </w:rPr>
          <w:t>10.1</w:t>
        </w:r>
        <w:r w:rsidR="00935337" w:rsidRPr="007476BD">
          <w:rPr>
            <w:rFonts w:asciiTheme="minorHAnsi" w:eastAsiaTheme="minorEastAsia" w:hAnsiTheme="minorHAnsi" w:cstheme="minorBidi"/>
            <w:i w:val="0"/>
            <w:iCs w:val="0"/>
            <w:noProof/>
            <w:szCs w:val="22"/>
            <w:lang w:eastAsia="en-AU" w:bidi="ar-SA"/>
          </w:rPr>
          <w:tab/>
        </w:r>
        <w:r w:rsidR="00935337" w:rsidRPr="007476BD">
          <w:rPr>
            <w:rStyle w:val="Hyperlink"/>
            <w:noProof/>
          </w:rPr>
          <w:t>World Trade Organization (WTO)</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_Toc296958624 \h </w:instrText>
        </w:r>
        <w:r w:rsidR="00935337" w:rsidRPr="007476BD">
          <w:rPr>
            <w:noProof/>
            <w:webHidden/>
          </w:rPr>
        </w:r>
        <w:r w:rsidR="00935337" w:rsidRPr="007476BD">
          <w:rPr>
            <w:noProof/>
            <w:webHidden/>
          </w:rPr>
          <w:fldChar w:fldCharType="separate"/>
        </w:r>
        <w:r w:rsidR="007476BD">
          <w:rPr>
            <w:noProof/>
            <w:webHidden/>
          </w:rPr>
          <w:t>22</w:t>
        </w:r>
        <w:r w:rsidR="00935337" w:rsidRPr="007476BD">
          <w:rPr>
            <w:noProof/>
            <w:webHidden/>
          </w:rPr>
          <w:fldChar w:fldCharType="end"/>
        </w:r>
      </w:hyperlink>
    </w:p>
    <w:p w:rsidR="00935337" w:rsidRPr="007476BD" w:rsidRDefault="00C80E0E">
      <w:pPr>
        <w:pStyle w:val="TOC1"/>
        <w:tabs>
          <w:tab w:val="right" w:leader="dot" w:pos="9016"/>
        </w:tabs>
        <w:rPr>
          <w:rFonts w:asciiTheme="minorHAnsi" w:eastAsiaTheme="minorEastAsia" w:hAnsiTheme="minorHAnsi" w:cstheme="minorBidi"/>
          <w:b w:val="0"/>
          <w:bCs w:val="0"/>
          <w:caps w:val="0"/>
          <w:noProof/>
          <w:szCs w:val="22"/>
          <w:lang w:eastAsia="en-AU" w:bidi="ar-SA"/>
        </w:rPr>
      </w:pPr>
      <w:hyperlink w:anchor="_Toc296958625" w:history="1">
        <w:r w:rsidR="00935337" w:rsidRPr="007476BD">
          <w:rPr>
            <w:rStyle w:val="Hyperlink"/>
            <w:noProof/>
          </w:rPr>
          <w:t>Conclusion</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_Toc296958625 \h </w:instrText>
        </w:r>
        <w:r w:rsidR="00935337" w:rsidRPr="007476BD">
          <w:rPr>
            <w:noProof/>
            <w:webHidden/>
          </w:rPr>
        </w:r>
        <w:r w:rsidR="00935337" w:rsidRPr="007476BD">
          <w:rPr>
            <w:noProof/>
            <w:webHidden/>
          </w:rPr>
          <w:fldChar w:fldCharType="separate"/>
        </w:r>
        <w:r w:rsidR="007476BD">
          <w:rPr>
            <w:noProof/>
            <w:webHidden/>
          </w:rPr>
          <w:t>22</w:t>
        </w:r>
        <w:r w:rsidR="00935337" w:rsidRPr="007476BD">
          <w:rPr>
            <w:noProof/>
            <w:webHidden/>
          </w:rPr>
          <w:fldChar w:fldCharType="end"/>
        </w:r>
      </w:hyperlink>
    </w:p>
    <w:p w:rsidR="00935337" w:rsidRPr="007476BD" w:rsidRDefault="00C80E0E">
      <w:pPr>
        <w:pStyle w:val="TOC2"/>
        <w:tabs>
          <w:tab w:val="left" w:pos="960"/>
          <w:tab w:val="right" w:leader="dot" w:pos="9016"/>
        </w:tabs>
        <w:rPr>
          <w:rFonts w:asciiTheme="minorHAnsi" w:eastAsiaTheme="minorEastAsia" w:hAnsiTheme="minorHAnsi" w:cstheme="minorBidi"/>
          <w:smallCaps w:val="0"/>
          <w:noProof/>
          <w:szCs w:val="22"/>
          <w:lang w:eastAsia="en-AU" w:bidi="ar-SA"/>
        </w:rPr>
      </w:pPr>
      <w:hyperlink w:anchor="_Toc296958626" w:history="1">
        <w:r w:rsidR="00935337" w:rsidRPr="007476BD">
          <w:rPr>
            <w:rStyle w:val="Hyperlink"/>
            <w:noProof/>
          </w:rPr>
          <w:t>11.</w:t>
        </w:r>
        <w:r w:rsidR="00935337" w:rsidRPr="007476BD">
          <w:rPr>
            <w:rFonts w:asciiTheme="minorHAnsi" w:eastAsiaTheme="minorEastAsia" w:hAnsiTheme="minorHAnsi" w:cstheme="minorBidi"/>
            <w:smallCaps w:val="0"/>
            <w:noProof/>
            <w:szCs w:val="22"/>
            <w:lang w:eastAsia="en-AU" w:bidi="ar-SA"/>
          </w:rPr>
          <w:tab/>
        </w:r>
        <w:r w:rsidR="00935337" w:rsidRPr="007476BD">
          <w:rPr>
            <w:rStyle w:val="Hyperlink"/>
            <w:noProof/>
          </w:rPr>
          <w:t>Conclusion and Decision</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_Toc296958626 \h </w:instrText>
        </w:r>
        <w:r w:rsidR="00935337" w:rsidRPr="007476BD">
          <w:rPr>
            <w:noProof/>
            <w:webHidden/>
          </w:rPr>
        </w:r>
        <w:r w:rsidR="00935337" w:rsidRPr="007476BD">
          <w:rPr>
            <w:noProof/>
            <w:webHidden/>
          </w:rPr>
          <w:fldChar w:fldCharType="separate"/>
        </w:r>
        <w:r w:rsidR="007476BD">
          <w:rPr>
            <w:noProof/>
            <w:webHidden/>
          </w:rPr>
          <w:t>22</w:t>
        </w:r>
        <w:r w:rsidR="00935337" w:rsidRPr="007476BD">
          <w:rPr>
            <w:noProof/>
            <w:webHidden/>
          </w:rPr>
          <w:fldChar w:fldCharType="end"/>
        </w:r>
      </w:hyperlink>
    </w:p>
    <w:p w:rsidR="00935337" w:rsidRPr="007476BD" w:rsidRDefault="00C80E0E">
      <w:pPr>
        <w:pStyle w:val="TOC2"/>
        <w:tabs>
          <w:tab w:val="left" w:pos="960"/>
          <w:tab w:val="right" w:leader="dot" w:pos="9016"/>
        </w:tabs>
        <w:rPr>
          <w:rFonts w:asciiTheme="minorHAnsi" w:eastAsiaTheme="minorEastAsia" w:hAnsiTheme="minorHAnsi" w:cstheme="minorBidi"/>
          <w:smallCaps w:val="0"/>
          <w:noProof/>
          <w:szCs w:val="22"/>
          <w:lang w:eastAsia="en-AU" w:bidi="ar-SA"/>
        </w:rPr>
      </w:pPr>
      <w:hyperlink w:anchor="_Toc296958627" w:history="1">
        <w:r w:rsidR="00935337" w:rsidRPr="007476BD">
          <w:rPr>
            <w:rStyle w:val="Hyperlink"/>
            <w:noProof/>
          </w:rPr>
          <w:t>12.</w:t>
        </w:r>
        <w:r w:rsidR="00935337" w:rsidRPr="007476BD">
          <w:rPr>
            <w:rFonts w:asciiTheme="minorHAnsi" w:eastAsiaTheme="minorEastAsia" w:hAnsiTheme="minorHAnsi" w:cstheme="minorBidi"/>
            <w:smallCaps w:val="0"/>
            <w:noProof/>
            <w:szCs w:val="22"/>
            <w:lang w:eastAsia="en-AU" w:bidi="ar-SA"/>
          </w:rPr>
          <w:tab/>
        </w:r>
        <w:r w:rsidR="00935337" w:rsidRPr="007476BD">
          <w:rPr>
            <w:rStyle w:val="Hyperlink"/>
            <w:noProof/>
          </w:rPr>
          <w:t>Implementation and Review</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_Toc296958627 \h </w:instrText>
        </w:r>
        <w:r w:rsidR="00935337" w:rsidRPr="007476BD">
          <w:rPr>
            <w:noProof/>
            <w:webHidden/>
          </w:rPr>
        </w:r>
        <w:r w:rsidR="00935337" w:rsidRPr="007476BD">
          <w:rPr>
            <w:noProof/>
            <w:webHidden/>
          </w:rPr>
          <w:fldChar w:fldCharType="separate"/>
        </w:r>
        <w:r w:rsidR="007476BD">
          <w:rPr>
            <w:noProof/>
            <w:webHidden/>
          </w:rPr>
          <w:t>23</w:t>
        </w:r>
        <w:r w:rsidR="00935337" w:rsidRPr="007476BD">
          <w:rPr>
            <w:noProof/>
            <w:webHidden/>
          </w:rPr>
          <w:fldChar w:fldCharType="end"/>
        </w:r>
      </w:hyperlink>
    </w:p>
    <w:p w:rsidR="00935337" w:rsidRPr="007476BD" w:rsidRDefault="00C80E0E">
      <w:pPr>
        <w:pStyle w:val="TOC2"/>
        <w:tabs>
          <w:tab w:val="right" w:leader="dot" w:pos="9016"/>
        </w:tabs>
        <w:rPr>
          <w:rFonts w:asciiTheme="minorHAnsi" w:eastAsiaTheme="minorEastAsia" w:hAnsiTheme="minorHAnsi" w:cstheme="minorBidi"/>
          <w:smallCaps w:val="0"/>
          <w:noProof/>
          <w:szCs w:val="22"/>
          <w:lang w:eastAsia="en-AU" w:bidi="ar-SA"/>
        </w:rPr>
      </w:pPr>
      <w:hyperlink w:anchor="_Toc296958628" w:history="1">
        <w:r w:rsidR="00935337" w:rsidRPr="007476BD">
          <w:rPr>
            <w:rStyle w:val="Hyperlink"/>
            <w:noProof/>
          </w:rPr>
          <w:t xml:space="preserve">Attachment 1 - </w:t>
        </w:r>
      </w:hyperlink>
      <w:hyperlink w:anchor="_Toc296958629" w:history="1">
        <w:r w:rsidR="00935337" w:rsidRPr="007476BD">
          <w:rPr>
            <w:rStyle w:val="Hyperlink"/>
            <w:noProof/>
          </w:rPr>
          <w:t xml:space="preserve">Draft variations to the </w:t>
        </w:r>
        <w:r w:rsidR="00935337" w:rsidRPr="007476BD">
          <w:rPr>
            <w:rStyle w:val="Hyperlink"/>
            <w:i/>
            <w:noProof/>
          </w:rPr>
          <w:t>Australia New Zealand Food Standards Code</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_Toc296958629 \h </w:instrText>
        </w:r>
        <w:r w:rsidR="00935337" w:rsidRPr="007476BD">
          <w:rPr>
            <w:noProof/>
            <w:webHidden/>
          </w:rPr>
        </w:r>
        <w:r w:rsidR="00935337" w:rsidRPr="007476BD">
          <w:rPr>
            <w:noProof/>
            <w:webHidden/>
          </w:rPr>
          <w:fldChar w:fldCharType="separate"/>
        </w:r>
        <w:r w:rsidR="007476BD">
          <w:rPr>
            <w:noProof/>
            <w:webHidden/>
          </w:rPr>
          <w:t>25</w:t>
        </w:r>
        <w:r w:rsidR="00935337" w:rsidRPr="007476BD">
          <w:rPr>
            <w:noProof/>
            <w:webHidden/>
          </w:rPr>
          <w:fldChar w:fldCharType="end"/>
        </w:r>
      </w:hyperlink>
    </w:p>
    <w:p w:rsidR="00935337" w:rsidRPr="007476BD" w:rsidRDefault="00C80E0E">
      <w:pPr>
        <w:pStyle w:val="TOC2"/>
        <w:tabs>
          <w:tab w:val="right" w:leader="dot" w:pos="9016"/>
        </w:tabs>
        <w:rPr>
          <w:rFonts w:asciiTheme="minorHAnsi" w:eastAsiaTheme="minorEastAsia" w:hAnsiTheme="minorHAnsi" w:cstheme="minorBidi"/>
          <w:smallCaps w:val="0"/>
          <w:noProof/>
          <w:szCs w:val="22"/>
          <w:lang w:eastAsia="en-AU" w:bidi="ar-SA"/>
        </w:rPr>
      </w:pPr>
      <w:hyperlink w:anchor="_Toc296958630" w:history="1">
        <w:r w:rsidR="00935337" w:rsidRPr="007476BD">
          <w:rPr>
            <w:rStyle w:val="Hyperlink"/>
            <w:noProof/>
          </w:rPr>
          <w:t xml:space="preserve">Attachment 2 - </w:t>
        </w:r>
      </w:hyperlink>
      <w:hyperlink w:anchor="_Toc296958631" w:history="1">
        <w:r w:rsidR="00935337" w:rsidRPr="007476BD">
          <w:rPr>
            <w:rStyle w:val="Hyperlink"/>
            <w:noProof/>
          </w:rPr>
          <w:t>Submissions Summary</w:t>
        </w:r>
        <w:r w:rsidR="00935337" w:rsidRPr="007476BD">
          <w:rPr>
            <w:noProof/>
            <w:webHidden/>
          </w:rPr>
          <w:tab/>
        </w:r>
        <w:r w:rsidR="00935337" w:rsidRPr="007476BD">
          <w:rPr>
            <w:noProof/>
            <w:webHidden/>
          </w:rPr>
          <w:fldChar w:fldCharType="begin"/>
        </w:r>
        <w:r w:rsidR="00935337" w:rsidRPr="007476BD">
          <w:rPr>
            <w:noProof/>
            <w:webHidden/>
          </w:rPr>
          <w:instrText xml:space="preserve"> PAGEREF _Toc296958631 \h </w:instrText>
        </w:r>
        <w:r w:rsidR="00935337" w:rsidRPr="007476BD">
          <w:rPr>
            <w:noProof/>
            <w:webHidden/>
          </w:rPr>
        </w:r>
        <w:r w:rsidR="00935337" w:rsidRPr="007476BD">
          <w:rPr>
            <w:noProof/>
            <w:webHidden/>
          </w:rPr>
          <w:fldChar w:fldCharType="separate"/>
        </w:r>
        <w:r w:rsidR="007476BD">
          <w:rPr>
            <w:noProof/>
            <w:webHidden/>
          </w:rPr>
          <w:t>27</w:t>
        </w:r>
        <w:r w:rsidR="00935337" w:rsidRPr="007476BD">
          <w:rPr>
            <w:noProof/>
            <w:webHidden/>
          </w:rPr>
          <w:fldChar w:fldCharType="end"/>
        </w:r>
      </w:hyperlink>
    </w:p>
    <w:p w:rsidR="003C4969" w:rsidRPr="007476BD" w:rsidRDefault="00DD5E94">
      <w:pPr>
        <w:rPr>
          <w:rFonts w:cs="Arial"/>
        </w:rPr>
      </w:pPr>
      <w:r w:rsidRPr="007476BD">
        <w:rPr>
          <w:rFonts w:cs="Arial"/>
        </w:rPr>
        <w:fldChar w:fldCharType="end"/>
      </w:r>
    </w:p>
    <w:p w:rsidR="00B52695" w:rsidRPr="007476BD" w:rsidRDefault="00B52695" w:rsidP="00B52695">
      <w:pPr>
        <w:pStyle w:val="TOC1"/>
        <w:rPr>
          <w:rStyle w:val="Hyperlink"/>
        </w:rPr>
      </w:pPr>
      <w:r w:rsidRPr="007476BD">
        <w:rPr>
          <w:rStyle w:val="Hyperlink"/>
        </w:rPr>
        <w:t>SUPPORTING DOCUMENT</w:t>
      </w:r>
      <w:r w:rsidR="00935337" w:rsidRPr="007476BD">
        <w:rPr>
          <w:rStyle w:val="Hyperlink"/>
        </w:rPr>
        <w:t>S</w:t>
      </w:r>
    </w:p>
    <w:p w:rsidR="001B6284" w:rsidRPr="007476BD" w:rsidRDefault="00B52695" w:rsidP="00B52695">
      <w:pPr>
        <w:rPr>
          <w:szCs w:val="22"/>
        </w:rPr>
      </w:pPr>
      <w:r w:rsidRPr="007476BD">
        <w:rPr>
          <w:szCs w:val="22"/>
        </w:rPr>
        <w:t>The following</w:t>
      </w:r>
      <w:r w:rsidR="00E670C6" w:rsidRPr="007476BD">
        <w:rPr>
          <w:szCs w:val="22"/>
        </w:rPr>
        <w:t xml:space="preserve"> </w:t>
      </w:r>
      <w:r w:rsidR="00374F8C" w:rsidRPr="007476BD">
        <w:rPr>
          <w:szCs w:val="22"/>
        </w:rPr>
        <w:t>document</w:t>
      </w:r>
      <w:r w:rsidR="00935337" w:rsidRPr="007476BD">
        <w:rPr>
          <w:szCs w:val="22"/>
        </w:rPr>
        <w:t>s</w:t>
      </w:r>
      <w:r w:rsidRPr="007476BD">
        <w:rPr>
          <w:szCs w:val="22"/>
        </w:rPr>
        <w:t>, which w</w:t>
      </w:r>
      <w:r w:rsidR="00935337" w:rsidRPr="007476BD">
        <w:rPr>
          <w:szCs w:val="22"/>
        </w:rPr>
        <w:t>ere</w:t>
      </w:r>
      <w:r w:rsidRPr="007476BD">
        <w:rPr>
          <w:szCs w:val="22"/>
        </w:rPr>
        <w:t xml:space="preserve"> used in the preparation of this A</w:t>
      </w:r>
      <w:r w:rsidR="00935337" w:rsidRPr="007476BD">
        <w:rPr>
          <w:szCs w:val="22"/>
        </w:rPr>
        <w:t xml:space="preserve">pproval </w:t>
      </w:r>
      <w:r w:rsidRPr="007476BD">
        <w:rPr>
          <w:szCs w:val="22"/>
        </w:rPr>
        <w:t xml:space="preserve">Report, </w:t>
      </w:r>
      <w:r w:rsidR="00374F8C" w:rsidRPr="007476BD">
        <w:rPr>
          <w:szCs w:val="22"/>
        </w:rPr>
        <w:t>is</w:t>
      </w:r>
      <w:r w:rsidRPr="007476BD">
        <w:rPr>
          <w:szCs w:val="22"/>
        </w:rPr>
        <w:t xml:space="preserve"> av</w:t>
      </w:r>
      <w:r w:rsidR="00935337" w:rsidRPr="007476BD">
        <w:rPr>
          <w:szCs w:val="22"/>
        </w:rPr>
        <w:t xml:space="preserve">ailable on the FSANZ website at </w:t>
      </w:r>
      <w:hyperlink r:id="rId16" w:history="1">
        <w:r w:rsidR="00837121" w:rsidRPr="007476BD">
          <w:rPr>
            <w:rStyle w:val="Hyperlink"/>
            <w:color w:val="3333FF"/>
            <w:szCs w:val="22"/>
          </w:rPr>
          <w:t>http://www.foodstandards.gov.au/foodstandards/applications/applicationa1034adva4493.cfm</w:t>
        </w:r>
      </w:hyperlink>
    </w:p>
    <w:p w:rsidR="00B52695" w:rsidRPr="007476BD" w:rsidRDefault="00B52695" w:rsidP="00B52695">
      <w:pPr>
        <w:rPr>
          <w:szCs w:val="22"/>
        </w:rPr>
      </w:pPr>
    </w:p>
    <w:p w:rsidR="00935337" w:rsidRPr="007476BD" w:rsidRDefault="00935337" w:rsidP="00935337">
      <w:pPr>
        <w:pStyle w:val="FootnoteText"/>
        <w:rPr>
          <w:sz w:val="22"/>
          <w:szCs w:val="22"/>
        </w:rPr>
      </w:pPr>
      <w:r w:rsidRPr="007476BD">
        <w:rPr>
          <w:sz w:val="22"/>
          <w:szCs w:val="22"/>
        </w:rPr>
        <w:t>SD1:</w:t>
      </w:r>
      <w:r w:rsidRPr="007476BD">
        <w:rPr>
          <w:sz w:val="22"/>
          <w:szCs w:val="22"/>
        </w:rPr>
        <w:tab/>
        <w:t>Risk Assessment Report (Approval)</w:t>
      </w:r>
    </w:p>
    <w:p w:rsidR="00935337" w:rsidRPr="007476BD" w:rsidRDefault="00935337" w:rsidP="00935337">
      <w:pPr>
        <w:pStyle w:val="FootnoteText"/>
        <w:rPr>
          <w:bCs/>
          <w:iCs/>
          <w:sz w:val="22"/>
          <w:szCs w:val="22"/>
        </w:rPr>
      </w:pPr>
      <w:r w:rsidRPr="007476BD">
        <w:rPr>
          <w:sz w:val="22"/>
          <w:szCs w:val="22"/>
        </w:rPr>
        <w:t>SD2:</w:t>
      </w:r>
      <w:r w:rsidRPr="007476BD">
        <w:rPr>
          <w:sz w:val="22"/>
          <w:szCs w:val="22"/>
        </w:rPr>
        <w:tab/>
      </w:r>
      <w:r w:rsidRPr="007476BD">
        <w:rPr>
          <w:bCs/>
          <w:iCs/>
          <w:sz w:val="22"/>
          <w:szCs w:val="22"/>
        </w:rPr>
        <w:t>Overview of the food irradiation process and a glossary of technical terms (Approval)</w:t>
      </w:r>
    </w:p>
    <w:p w:rsidR="00935337" w:rsidRPr="007476BD" w:rsidRDefault="00935337" w:rsidP="00935337">
      <w:pPr>
        <w:pStyle w:val="FootnoteText"/>
        <w:rPr>
          <w:sz w:val="22"/>
          <w:szCs w:val="22"/>
        </w:rPr>
      </w:pPr>
      <w:r w:rsidRPr="007476BD">
        <w:rPr>
          <w:sz w:val="22"/>
          <w:szCs w:val="22"/>
        </w:rPr>
        <w:t>SD3:</w:t>
      </w:r>
      <w:r w:rsidRPr="007476BD">
        <w:rPr>
          <w:sz w:val="22"/>
          <w:szCs w:val="22"/>
        </w:rPr>
        <w:tab/>
        <w:t>Summary of literature on consumers and food irradiation (</w:t>
      </w:r>
      <w:r w:rsidR="007476BD" w:rsidRPr="007476BD">
        <w:rPr>
          <w:sz w:val="22"/>
          <w:szCs w:val="22"/>
        </w:rPr>
        <w:t>Assessment</w:t>
      </w:r>
      <w:r w:rsidRPr="007476BD">
        <w:rPr>
          <w:sz w:val="22"/>
          <w:szCs w:val="22"/>
        </w:rPr>
        <w:t>)</w:t>
      </w:r>
    </w:p>
    <w:p w:rsidR="003C4969" w:rsidRPr="007476BD" w:rsidRDefault="00935337" w:rsidP="00935337">
      <w:pPr>
        <w:pStyle w:val="FootnoteText"/>
        <w:rPr>
          <w:rFonts w:cs="Arial"/>
          <w:color w:val="FF0000"/>
        </w:rPr>
      </w:pPr>
      <w:r w:rsidRPr="007476BD">
        <w:rPr>
          <w:sz w:val="22"/>
          <w:szCs w:val="22"/>
        </w:rPr>
        <w:t>SD4:</w:t>
      </w:r>
      <w:r w:rsidRPr="007476BD">
        <w:rPr>
          <w:sz w:val="22"/>
          <w:szCs w:val="22"/>
        </w:rPr>
        <w:tab/>
        <w:t>Proposed amendments to Standard 1.5.3 (marked up) (Approval)</w:t>
      </w:r>
    </w:p>
    <w:p w:rsidR="003C4969" w:rsidRPr="007476BD" w:rsidRDefault="003C4969" w:rsidP="003E46BA">
      <w:pPr>
        <w:pStyle w:val="Heading1"/>
      </w:pPr>
      <w:bookmarkStart w:id="18" w:name="_Toc29883110"/>
      <w:bookmarkStart w:id="19" w:name="_Toc41906797"/>
      <w:bookmarkStart w:id="20" w:name="_Toc41907544"/>
      <w:bookmarkStart w:id="21" w:name="_Toc120358575"/>
      <w:r w:rsidRPr="007476BD">
        <w:br w:type="page"/>
      </w:r>
      <w:bookmarkStart w:id="22" w:name="_Toc296958596"/>
      <w:r w:rsidRPr="007476BD">
        <w:lastRenderedPageBreak/>
        <w:t>Introduction</w:t>
      </w:r>
      <w:bookmarkEnd w:id="17"/>
      <w:bookmarkEnd w:id="18"/>
      <w:bookmarkEnd w:id="19"/>
      <w:bookmarkEnd w:id="20"/>
      <w:bookmarkEnd w:id="21"/>
      <w:bookmarkEnd w:id="22"/>
    </w:p>
    <w:p w:rsidR="00713669" w:rsidRPr="007476BD" w:rsidRDefault="00713669">
      <w:pPr>
        <w:rPr>
          <w:rFonts w:cs="Arial"/>
        </w:rPr>
      </w:pPr>
    </w:p>
    <w:p w:rsidR="00DE176A" w:rsidRPr="007476BD" w:rsidRDefault="00C22D2A" w:rsidP="00713669">
      <w:r w:rsidRPr="007476BD">
        <w:rPr>
          <w:rFonts w:cs="Arial"/>
        </w:rPr>
        <w:t>A</w:t>
      </w:r>
      <w:r w:rsidR="00AE67AD" w:rsidRPr="007476BD">
        <w:rPr>
          <w:rFonts w:cs="Arial"/>
        </w:rPr>
        <w:t>n</w:t>
      </w:r>
      <w:r w:rsidR="00C2544B" w:rsidRPr="007476BD">
        <w:rPr>
          <w:rFonts w:cs="Arial"/>
        </w:rPr>
        <w:t xml:space="preserve"> </w:t>
      </w:r>
      <w:r w:rsidRPr="007476BD">
        <w:rPr>
          <w:rFonts w:cs="Arial"/>
        </w:rPr>
        <w:t xml:space="preserve">Application was received from Ajinomoto </w:t>
      </w:r>
      <w:r w:rsidR="00A015BE" w:rsidRPr="007476BD">
        <w:rPr>
          <w:rFonts w:cs="Arial"/>
        </w:rPr>
        <w:t>Company</w:t>
      </w:r>
      <w:r w:rsidRPr="007476BD">
        <w:rPr>
          <w:rFonts w:cs="Arial"/>
        </w:rPr>
        <w:t xml:space="preserve"> </w:t>
      </w:r>
      <w:r w:rsidR="00A015BE" w:rsidRPr="007476BD">
        <w:rPr>
          <w:rFonts w:cs="Arial"/>
        </w:rPr>
        <w:t>Incorporated</w:t>
      </w:r>
      <w:r w:rsidR="00B572A5" w:rsidRPr="007476BD">
        <w:rPr>
          <w:rFonts w:cs="Arial"/>
          <w:sz w:val="20"/>
          <w:lang w:bidi="ar-SA"/>
        </w:rPr>
        <w:t xml:space="preserve"> </w:t>
      </w:r>
      <w:r w:rsidR="00477818" w:rsidRPr="007476BD">
        <w:rPr>
          <w:rFonts w:cs="Arial"/>
          <w:szCs w:val="22"/>
          <w:lang w:bidi="ar-SA"/>
        </w:rPr>
        <w:t>on 18 August 2009</w:t>
      </w:r>
      <w:r w:rsidR="00477818" w:rsidRPr="007476BD">
        <w:rPr>
          <w:rFonts w:cs="Arial"/>
          <w:sz w:val="20"/>
          <w:lang w:bidi="ar-SA"/>
        </w:rPr>
        <w:t xml:space="preserve"> </w:t>
      </w:r>
      <w:r w:rsidR="00E45829" w:rsidRPr="007476BD">
        <w:t xml:space="preserve">to amend Standard 1.3.1 – Food Additives </w:t>
      </w:r>
      <w:r w:rsidR="00935337" w:rsidRPr="007476BD">
        <w:t>in</w:t>
      </w:r>
      <w:r w:rsidR="00E45829" w:rsidRPr="007476BD">
        <w:t xml:space="preserve"> the </w:t>
      </w:r>
      <w:r w:rsidR="00E45829" w:rsidRPr="007476BD">
        <w:rPr>
          <w:i/>
          <w:iCs/>
        </w:rPr>
        <w:t>Australia New Zealand Food Standards Code</w:t>
      </w:r>
      <w:r w:rsidR="00E45829" w:rsidRPr="007476BD">
        <w:t xml:space="preserve"> (th</w:t>
      </w:r>
      <w:r w:rsidR="00DE176A" w:rsidRPr="007476BD">
        <w:t xml:space="preserve">e Code). The Applicant is seeking approval for </w:t>
      </w:r>
      <w:r w:rsidR="00C430FB" w:rsidRPr="007476BD">
        <w:t xml:space="preserve">the use of </w:t>
      </w:r>
      <w:r w:rsidR="00D2750F" w:rsidRPr="007476BD">
        <w:t>Advantame</w:t>
      </w:r>
      <w:r w:rsidR="001B7EE5" w:rsidRPr="007476BD">
        <w:t>,</w:t>
      </w:r>
      <w:r w:rsidR="00D2750F" w:rsidRPr="007476BD">
        <w:t xml:space="preserve"> </w:t>
      </w:r>
      <w:r w:rsidR="00D2750F" w:rsidRPr="007476BD">
        <w:rPr>
          <w:rFonts w:cs="Arial"/>
        </w:rPr>
        <w:t>a new intense sweetener</w:t>
      </w:r>
      <w:r w:rsidR="008064C6" w:rsidRPr="007476BD">
        <w:rPr>
          <w:rFonts w:cs="Arial"/>
        </w:rPr>
        <w:t>,</w:t>
      </w:r>
      <w:r w:rsidR="00D2750F" w:rsidRPr="007476BD">
        <w:rPr>
          <w:rFonts w:cs="Arial"/>
        </w:rPr>
        <w:t xml:space="preserve"> </w:t>
      </w:r>
      <w:r w:rsidR="00AE4D99" w:rsidRPr="007476BD">
        <w:rPr>
          <w:rFonts w:cs="Arial"/>
        </w:rPr>
        <w:t>in a range o</w:t>
      </w:r>
      <w:r w:rsidR="00E45829" w:rsidRPr="007476BD">
        <w:rPr>
          <w:rFonts w:cs="Arial"/>
        </w:rPr>
        <w:t xml:space="preserve">f foods. </w:t>
      </w:r>
      <w:r w:rsidR="00A821EF" w:rsidRPr="007476BD">
        <w:t xml:space="preserve">This Application is being </w:t>
      </w:r>
      <w:r w:rsidR="00676B30" w:rsidRPr="007476BD">
        <w:t xml:space="preserve">assessed under the major procedure </w:t>
      </w:r>
      <w:r w:rsidR="00642872" w:rsidRPr="007476BD">
        <w:t>due to the</w:t>
      </w:r>
      <w:r w:rsidR="00E670C6" w:rsidRPr="007476BD">
        <w:t xml:space="preserve"> substantial data base of toxicological data that needed to be assessed</w:t>
      </w:r>
      <w:r w:rsidR="00477B0F" w:rsidRPr="007476BD">
        <w:t xml:space="preserve">. </w:t>
      </w:r>
    </w:p>
    <w:p w:rsidR="00E670C6" w:rsidRPr="007476BD" w:rsidRDefault="00E670C6" w:rsidP="00713669"/>
    <w:p w:rsidR="002F65B2" w:rsidRPr="007476BD" w:rsidRDefault="002F65B2" w:rsidP="002F65B2">
      <w:r w:rsidRPr="007476BD">
        <w:t>The Applicant supplied an extensive toxicological data set that required a detailed review</w:t>
      </w:r>
      <w:r w:rsidR="00503CC3" w:rsidRPr="007476BD">
        <w:t xml:space="preserve">. </w:t>
      </w:r>
      <w:r w:rsidRPr="007476BD">
        <w:t>There were over 50 detailed studies, many unpublished, to assess</w:t>
      </w:r>
      <w:r w:rsidR="00945D1F" w:rsidRPr="007476BD">
        <w:t>.</w:t>
      </w:r>
      <w:r w:rsidRPr="007476BD">
        <w:t xml:space="preserve"> </w:t>
      </w:r>
      <w:r w:rsidR="001B7EE5" w:rsidRPr="007476BD">
        <w:t>No other country in the world has yet completed a toxicological assessment and established an acceptable daily intake (ADI) for Advantame</w:t>
      </w:r>
      <w:r w:rsidR="00477B0F" w:rsidRPr="007476BD">
        <w:t xml:space="preserve">. </w:t>
      </w:r>
    </w:p>
    <w:p w:rsidR="002F65B2" w:rsidRPr="007476BD" w:rsidRDefault="002F65B2" w:rsidP="00713669"/>
    <w:p w:rsidR="007223FF" w:rsidRPr="007476BD" w:rsidRDefault="00A10306" w:rsidP="007223FF">
      <w:r w:rsidRPr="007476BD">
        <w:t>The Applicant</w:t>
      </w:r>
      <w:r w:rsidR="00CE39DC" w:rsidRPr="007476BD">
        <w:t xml:space="preserve"> </w:t>
      </w:r>
      <w:r w:rsidR="000A5F8F" w:rsidRPr="007476BD">
        <w:t xml:space="preserve">advised FSANZ that the </w:t>
      </w:r>
      <w:r w:rsidR="00713669" w:rsidRPr="007476BD">
        <w:t>purpose of u</w:t>
      </w:r>
      <w:r w:rsidR="0071687A" w:rsidRPr="007476BD">
        <w:t xml:space="preserve">sing </w:t>
      </w:r>
      <w:r w:rsidR="00276EDB" w:rsidRPr="007476BD">
        <w:t>Advantame</w:t>
      </w:r>
      <w:r w:rsidR="0071687A" w:rsidRPr="007476BD">
        <w:t xml:space="preserve"> as a food additive </w:t>
      </w:r>
      <w:r w:rsidR="00713669" w:rsidRPr="007476BD">
        <w:t>is to provide assistance to people as part of their weight management or weight loss regime by lowering the caloric value o</w:t>
      </w:r>
      <w:r w:rsidR="0071687A" w:rsidRPr="007476BD">
        <w:t xml:space="preserve">f foods while maintaining the </w:t>
      </w:r>
      <w:r w:rsidR="00713669" w:rsidRPr="007476BD">
        <w:t xml:space="preserve">flavour </w:t>
      </w:r>
      <w:r w:rsidR="0071687A" w:rsidRPr="007476BD">
        <w:t>of the foods</w:t>
      </w:r>
      <w:r w:rsidR="001907BA" w:rsidRPr="007476BD">
        <w:t xml:space="preserve">. </w:t>
      </w:r>
      <w:r w:rsidRPr="007476BD">
        <w:t xml:space="preserve">Advantame is </w:t>
      </w:r>
      <w:r w:rsidR="002B1977" w:rsidRPr="007476BD">
        <w:t xml:space="preserve">initially </w:t>
      </w:r>
      <w:r w:rsidR="00713669" w:rsidRPr="007476BD">
        <w:t xml:space="preserve">proposed for use in Australia and New Zealand in table top sugar substitutes </w:t>
      </w:r>
      <w:r w:rsidR="009F029C" w:rsidRPr="007476BD">
        <w:t xml:space="preserve">(powdered only) </w:t>
      </w:r>
      <w:r w:rsidR="00713669" w:rsidRPr="007476BD">
        <w:t xml:space="preserve">and a range of powdered beverages including fruit </w:t>
      </w:r>
      <w:r w:rsidR="00275117" w:rsidRPr="007476BD">
        <w:t xml:space="preserve">flavoured </w:t>
      </w:r>
      <w:r w:rsidR="00713669" w:rsidRPr="007476BD">
        <w:t xml:space="preserve">drinks, milks and </w:t>
      </w:r>
      <w:r w:rsidR="008B531D" w:rsidRPr="007476BD">
        <w:t xml:space="preserve">flavoured </w:t>
      </w:r>
      <w:r w:rsidR="00713669" w:rsidRPr="007476BD">
        <w:t>milk drinks, instant tea and coffee, and protein drinks</w:t>
      </w:r>
      <w:r w:rsidR="00503CC3" w:rsidRPr="007476BD">
        <w:t xml:space="preserve">. </w:t>
      </w:r>
      <w:r w:rsidR="00C17796" w:rsidRPr="007476BD">
        <w:t xml:space="preserve">The Applicant </w:t>
      </w:r>
      <w:r w:rsidR="007223FF" w:rsidRPr="007476BD">
        <w:t xml:space="preserve">provided data to estimate the maximum </w:t>
      </w:r>
      <w:r w:rsidR="002F032F" w:rsidRPr="007476BD">
        <w:t xml:space="preserve">levels </w:t>
      </w:r>
      <w:r w:rsidR="007223FF" w:rsidRPr="007476BD">
        <w:t xml:space="preserve">of </w:t>
      </w:r>
      <w:r w:rsidR="00276EDB" w:rsidRPr="007476BD">
        <w:t>Advantame</w:t>
      </w:r>
      <w:r w:rsidR="007223FF" w:rsidRPr="007476BD">
        <w:t xml:space="preserve"> likely to be used as a sugar replacement in a range of common food products. </w:t>
      </w:r>
    </w:p>
    <w:p w:rsidR="00D139C5" w:rsidRPr="007476BD" w:rsidRDefault="00D139C5" w:rsidP="00807559">
      <w:pPr>
        <w:rPr>
          <w:rFonts w:cs="Arial"/>
        </w:rPr>
      </w:pPr>
    </w:p>
    <w:p w:rsidR="003C4969" w:rsidRPr="007476BD" w:rsidRDefault="00807559">
      <w:pPr>
        <w:pStyle w:val="Heading2"/>
        <w:rPr>
          <w:rFonts w:cs="Arial"/>
        </w:rPr>
      </w:pPr>
      <w:bookmarkStart w:id="23" w:name="_Toc296958597"/>
      <w:r w:rsidRPr="007476BD">
        <w:rPr>
          <w:rFonts w:cs="Arial"/>
        </w:rPr>
        <w:t>1</w:t>
      </w:r>
      <w:r w:rsidR="003C4969" w:rsidRPr="007476BD">
        <w:rPr>
          <w:rFonts w:cs="Arial"/>
        </w:rPr>
        <w:t>.</w:t>
      </w:r>
      <w:r w:rsidR="003C4969" w:rsidRPr="007476BD">
        <w:rPr>
          <w:rFonts w:cs="Arial"/>
        </w:rPr>
        <w:tab/>
        <w:t>The Issue</w:t>
      </w:r>
      <w:bookmarkEnd w:id="23"/>
    </w:p>
    <w:p w:rsidR="007602AA" w:rsidRPr="007476BD" w:rsidRDefault="007602AA" w:rsidP="007602AA"/>
    <w:p w:rsidR="00C23610" w:rsidRPr="007476BD" w:rsidRDefault="00C23610" w:rsidP="00C23610">
      <w:pPr>
        <w:rPr>
          <w:rFonts w:cs="Arial"/>
        </w:rPr>
      </w:pPr>
      <w:r w:rsidRPr="007476BD">
        <w:rPr>
          <w:rFonts w:cs="Arial"/>
        </w:rPr>
        <w:t>The Applicant i</w:t>
      </w:r>
      <w:r w:rsidR="0079742B" w:rsidRPr="007476BD">
        <w:rPr>
          <w:rFonts w:cs="Arial"/>
        </w:rPr>
        <w:t xml:space="preserve">s requesting permission to add </w:t>
      </w:r>
      <w:r w:rsidR="00276EDB" w:rsidRPr="007476BD">
        <w:rPr>
          <w:rFonts w:cs="Arial"/>
        </w:rPr>
        <w:t>Advantame</w:t>
      </w:r>
      <w:r w:rsidRPr="007476BD">
        <w:rPr>
          <w:rFonts w:cs="Arial"/>
        </w:rPr>
        <w:t xml:space="preserve"> to a range of foods</w:t>
      </w:r>
      <w:r w:rsidR="00E670C6" w:rsidRPr="007476BD">
        <w:rPr>
          <w:rFonts w:cs="Arial"/>
        </w:rPr>
        <w:t xml:space="preserve">. </w:t>
      </w:r>
      <w:r w:rsidRPr="007476BD">
        <w:rPr>
          <w:rFonts w:cs="Arial"/>
        </w:rPr>
        <w:t>The use of</w:t>
      </w:r>
      <w:r w:rsidR="00150610" w:rsidRPr="007476BD">
        <w:rPr>
          <w:rFonts w:cs="Arial"/>
        </w:rPr>
        <w:t xml:space="preserve"> </w:t>
      </w:r>
      <w:r w:rsidR="00276EDB" w:rsidRPr="007476BD">
        <w:rPr>
          <w:rFonts w:cs="Arial"/>
        </w:rPr>
        <w:t>Advantame</w:t>
      </w:r>
      <w:r w:rsidR="00150610" w:rsidRPr="007476BD">
        <w:rPr>
          <w:rFonts w:cs="Arial"/>
        </w:rPr>
        <w:t xml:space="preserve"> </w:t>
      </w:r>
      <w:r w:rsidRPr="007476BD">
        <w:rPr>
          <w:rFonts w:cs="Arial"/>
        </w:rPr>
        <w:t xml:space="preserve">in food is not currently permitted in the Code. </w:t>
      </w:r>
      <w:r w:rsidR="009C3E3C" w:rsidRPr="007476BD">
        <w:rPr>
          <w:rFonts w:cs="Arial"/>
        </w:rPr>
        <w:t>Therefore</w:t>
      </w:r>
      <w:r w:rsidR="007626FF" w:rsidRPr="007476BD">
        <w:rPr>
          <w:rFonts w:cs="Arial"/>
        </w:rPr>
        <w:t>,</w:t>
      </w:r>
      <w:r w:rsidR="00AB60DA" w:rsidRPr="007476BD">
        <w:rPr>
          <w:rFonts w:cs="Arial"/>
        </w:rPr>
        <w:t xml:space="preserve"> </w:t>
      </w:r>
      <w:r w:rsidR="00276EDB" w:rsidRPr="007476BD">
        <w:rPr>
          <w:rFonts w:cs="Arial"/>
        </w:rPr>
        <w:t>Advantame</w:t>
      </w:r>
      <w:r w:rsidR="00AB60DA" w:rsidRPr="007476BD">
        <w:rPr>
          <w:rFonts w:cs="Arial"/>
        </w:rPr>
        <w:t xml:space="preserve"> </w:t>
      </w:r>
      <w:r w:rsidRPr="007476BD">
        <w:rPr>
          <w:rFonts w:cs="Arial"/>
        </w:rPr>
        <w:t xml:space="preserve">requires a pre-market safety assessment </w:t>
      </w:r>
      <w:r w:rsidR="003F496F" w:rsidRPr="007476BD">
        <w:rPr>
          <w:rFonts w:cs="Arial"/>
        </w:rPr>
        <w:t>under Standard 1.3.1</w:t>
      </w:r>
      <w:r w:rsidR="00935337" w:rsidRPr="007476BD">
        <w:rPr>
          <w:rFonts w:cs="Arial"/>
        </w:rPr>
        <w:t>,</w:t>
      </w:r>
      <w:r w:rsidR="003F496F" w:rsidRPr="007476BD">
        <w:rPr>
          <w:rFonts w:cs="Arial"/>
        </w:rPr>
        <w:t xml:space="preserve"> </w:t>
      </w:r>
      <w:r w:rsidRPr="007476BD">
        <w:rPr>
          <w:rFonts w:cs="Arial"/>
        </w:rPr>
        <w:t>before this product can be sold in Australia or New Zealand</w:t>
      </w:r>
      <w:r w:rsidR="00503CC3" w:rsidRPr="007476BD">
        <w:rPr>
          <w:rFonts w:cs="Arial"/>
        </w:rPr>
        <w:t xml:space="preserve">. </w:t>
      </w:r>
    </w:p>
    <w:p w:rsidR="003C4969" w:rsidRPr="007476BD" w:rsidRDefault="003C4969">
      <w:pPr>
        <w:rPr>
          <w:rFonts w:cs="Arial"/>
        </w:rPr>
      </w:pPr>
    </w:p>
    <w:p w:rsidR="00807559" w:rsidRPr="007476BD" w:rsidRDefault="00807559" w:rsidP="006A48A7">
      <w:pPr>
        <w:pStyle w:val="Heading2"/>
      </w:pPr>
      <w:bookmarkStart w:id="24" w:name="_Toc11735630"/>
      <w:bookmarkStart w:id="25" w:name="_Toc29883114"/>
      <w:bookmarkStart w:id="26" w:name="_Toc41906801"/>
      <w:bookmarkStart w:id="27" w:name="_Toc41907548"/>
      <w:bookmarkStart w:id="28" w:name="_Toc120358578"/>
      <w:bookmarkStart w:id="29" w:name="_Toc296958598"/>
      <w:r w:rsidRPr="007476BD">
        <w:t>2.</w:t>
      </w:r>
      <w:r w:rsidRPr="007476BD">
        <w:tab/>
      </w:r>
      <w:bookmarkEnd w:id="24"/>
      <w:bookmarkEnd w:id="25"/>
      <w:bookmarkEnd w:id="26"/>
      <w:bookmarkEnd w:id="27"/>
      <w:bookmarkEnd w:id="28"/>
      <w:r w:rsidRPr="007476BD">
        <w:t>Current Standard</w:t>
      </w:r>
      <w:bookmarkEnd w:id="29"/>
    </w:p>
    <w:p w:rsidR="00807559" w:rsidRPr="007476BD" w:rsidRDefault="00807559" w:rsidP="00807559">
      <w:pPr>
        <w:rPr>
          <w:rFonts w:cs="Arial"/>
        </w:rPr>
      </w:pPr>
    </w:p>
    <w:p w:rsidR="00807559" w:rsidRPr="007476BD" w:rsidRDefault="00807559" w:rsidP="00807559">
      <w:pPr>
        <w:pStyle w:val="Heading3"/>
        <w:rPr>
          <w:rFonts w:cs="Arial"/>
        </w:rPr>
      </w:pPr>
      <w:bookmarkStart w:id="30" w:name="_Toc11735631"/>
      <w:bookmarkStart w:id="31" w:name="_Toc29883115"/>
      <w:bookmarkStart w:id="32" w:name="_Toc41906802"/>
      <w:bookmarkStart w:id="33" w:name="_Toc41907549"/>
      <w:bookmarkStart w:id="34" w:name="_Toc120358579"/>
      <w:bookmarkStart w:id="35" w:name="_Toc296958599"/>
      <w:r w:rsidRPr="007476BD">
        <w:rPr>
          <w:rFonts w:cs="Arial"/>
        </w:rPr>
        <w:t>2.1</w:t>
      </w:r>
      <w:r w:rsidRPr="007476BD">
        <w:rPr>
          <w:rFonts w:cs="Arial"/>
        </w:rPr>
        <w:tab/>
      </w:r>
      <w:bookmarkEnd w:id="30"/>
      <w:bookmarkEnd w:id="31"/>
      <w:bookmarkEnd w:id="32"/>
      <w:bookmarkEnd w:id="33"/>
      <w:bookmarkEnd w:id="34"/>
      <w:r w:rsidRPr="007476BD">
        <w:rPr>
          <w:rFonts w:cs="Arial"/>
        </w:rPr>
        <w:t>Background</w:t>
      </w:r>
      <w:bookmarkEnd w:id="35"/>
    </w:p>
    <w:p w:rsidR="00807559" w:rsidRPr="007476BD" w:rsidRDefault="00807559" w:rsidP="00807559">
      <w:pPr>
        <w:rPr>
          <w:rFonts w:cs="Arial"/>
        </w:rPr>
      </w:pPr>
      <w:r w:rsidRPr="007476BD">
        <w:rPr>
          <w:rFonts w:cs="Arial"/>
          <w:color w:val="FF0000"/>
        </w:rPr>
        <w:t> </w:t>
      </w:r>
    </w:p>
    <w:p w:rsidR="00F86A63" w:rsidRPr="007476BD" w:rsidRDefault="00714F39" w:rsidP="00CF26DF">
      <w:pPr>
        <w:widowControl/>
        <w:autoSpaceDE w:val="0"/>
        <w:autoSpaceDN w:val="0"/>
        <w:adjustRightInd w:val="0"/>
        <w:rPr>
          <w:rFonts w:cs="Arial"/>
          <w:szCs w:val="22"/>
          <w:lang w:eastAsia="en-GB" w:bidi="ar-SA"/>
        </w:rPr>
      </w:pPr>
      <w:r w:rsidRPr="007476BD">
        <w:rPr>
          <w:rFonts w:cs="Arial"/>
          <w:szCs w:val="22"/>
          <w:lang w:eastAsia="en-GB" w:bidi="ar-SA"/>
        </w:rPr>
        <w:t>A food additive is any substance not</w:t>
      </w:r>
      <w:r w:rsidR="00CF26DF" w:rsidRPr="007476BD">
        <w:rPr>
          <w:rFonts w:cs="Arial"/>
          <w:szCs w:val="22"/>
          <w:lang w:eastAsia="en-GB" w:bidi="ar-SA"/>
        </w:rPr>
        <w:t xml:space="preserve"> normally consumed as a food in </w:t>
      </w:r>
      <w:proofErr w:type="gramStart"/>
      <w:r w:rsidRPr="007476BD">
        <w:rPr>
          <w:rFonts w:cs="Arial"/>
          <w:szCs w:val="22"/>
          <w:lang w:eastAsia="en-GB" w:bidi="ar-SA"/>
        </w:rPr>
        <w:t>itself</w:t>
      </w:r>
      <w:proofErr w:type="gramEnd"/>
      <w:r w:rsidRPr="007476BD">
        <w:rPr>
          <w:rFonts w:cs="Arial"/>
          <w:szCs w:val="22"/>
          <w:lang w:eastAsia="en-GB" w:bidi="ar-SA"/>
        </w:rPr>
        <w:t xml:space="preserve"> and not normally</w:t>
      </w:r>
      <w:r w:rsidR="00CF26DF" w:rsidRPr="007476BD">
        <w:rPr>
          <w:rFonts w:cs="Arial"/>
          <w:szCs w:val="22"/>
          <w:lang w:eastAsia="en-GB" w:bidi="ar-SA"/>
        </w:rPr>
        <w:t xml:space="preserve"> </w:t>
      </w:r>
      <w:r w:rsidRPr="007476BD">
        <w:rPr>
          <w:rFonts w:cs="Arial"/>
          <w:szCs w:val="22"/>
          <w:lang w:eastAsia="en-GB" w:bidi="ar-SA"/>
        </w:rPr>
        <w:t>used as an ingredient of food, but which is intentionally added to a food to achieve one or</w:t>
      </w:r>
      <w:r w:rsidR="00CF26DF" w:rsidRPr="007476BD">
        <w:rPr>
          <w:rFonts w:cs="Arial"/>
          <w:szCs w:val="22"/>
          <w:lang w:eastAsia="en-GB" w:bidi="ar-SA"/>
        </w:rPr>
        <w:t xml:space="preserve"> </w:t>
      </w:r>
      <w:r w:rsidRPr="007476BD">
        <w:rPr>
          <w:rFonts w:cs="Arial"/>
          <w:szCs w:val="22"/>
          <w:lang w:eastAsia="en-GB" w:bidi="ar-SA"/>
        </w:rPr>
        <w:t>more of the technological functions</w:t>
      </w:r>
      <w:r w:rsidR="00111748" w:rsidRPr="007476BD">
        <w:rPr>
          <w:rFonts w:cs="Arial"/>
          <w:szCs w:val="22"/>
          <w:lang w:eastAsia="en-GB" w:bidi="ar-SA"/>
        </w:rPr>
        <w:t xml:space="preserve"> </w:t>
      </w:r>
      <w:r w:rsidR="00F74AD7" w:rsidRPr="007476BD">
        <w:rPr>
          <w:rFonts w:cs="Arial"/>
          <w:szCs w:val="22"/>
          <w:lang w:eastAsia="en-GB" w:bidi="ar-SA"/>
        </w:rPr>
        <w:t xml:space="preserve">specified in Schedule 5 of Standard 1.3.1 </w:t>
      </w:r>
      <w:r w:rsidR="00111748" w:rsidRPr="007476BD">
        <w:rPr>
          <w:rFonts w:cs="Arial"/>
          <w:szCs w:val="22"/>
          <w:lang w:eastAsia="en-GB" w:bidi="ar-SA"/>
        </w:rPr>
        <w:t xml:space="preserve">(e.g. a sweetener). </w:t>
      </w:r>
    </w:p>
    <w:p w:rsidR="00F86A63" w:rsidRPr="007476BD" w:rsidRDefault="00F86A63" w:rsidP="00C23610">
      <w:pPr>
        <w:rPr>
          <w:rFonts w:cs="Arial"/>
          <w:szCs w:val="22"/>
          <w:lang w:eastAsia="en-GB" w:bidi="ar-SA"/>
        </w:rPr>
      </w:pPr>
    </w:p>
    <w:p w:rsidR="001A7EB2" w:rsidRPr="007476BD" w:rsidRDefault="005E64B0" w:rsidP="001A7EB2">
      <w:pPr>
        <w:widowControl/>
        <w:rPr>
          <w:rFonts w:cs="Arial"/>
          <w:szCs w:val="22"/>
          <w:lang w:eastAsia="en-GB" w:bidi="ar-SA"/>
        </w:rPr>
      </w:pPr>
      <w:r w:rsidRPr="007476BD">
        <w:rPr>
          <w:rFonts w:cs="Arial"/>
          <w:szCs w:val="22"/>
          <w:lang w:eastAsia="en-GB" w:bidi="ar-SA"/>
        </w:rPr>
        <w:t xml:space="preserve">Standard 1.3.1 </w:t>
      </w:r>
      <w:r w:rsidR="00FA11A9" w:rsidRPr="007476BD">
        <w:rPr>
          <w:rFonts w:cs="Arial"/>
          <w:szCs w:val="22"/>
          <w:lang w:eastAsia="en-GB" w:bidi="ar-SA"/>
        </w:rPr>
        <w:t>regulates the use of food additives in the production and processing of food. A food additive may only be added to food where expressly permitted in this standard. Additives can only be added to food in order to achieve an identified technological function according to Good Manufacturing Practice.</w:t>
      </w:r>
    </w:p>
    <w:p w:rsidR="001A7EB2" w:rsidRPr="007476BD" w:rsidRDefault="001A7EB2" w:rsidP="001A7EB2">
      <w:pPr>
        <w:widowControl/>
        <w:rPr>
          <w:rFonts w:cs="Arial"/>
          <w:szCs w:val="22"/>
          <w:lang w:eastAsia="en-GB" w:bidi="ar-SA"/>
        </w:rPr>
      </w:pPr>
    </w:p>
    <w:p w:rsidR="00F86A63" w:rsidRPr="007476BD" w:rsidRDefault="00FA11A9" w:rsidP="001A7EB2">
      <w:pPr>
        <w:widowControl/>
        <w:rPr>
          <w:rFonts w:cs="Arial"/>
          <w:szCs w:val="22"/>
          <w:lang w:eastAsia="en-GB" w:bidi="ar-SA"/>
        </w:rPr>
      </w:pPr>
      <w:r w:rsidRPr="007476BD">
        <w:rPr>
          <w:rFonts w:cs="Arial"/>
          <w:szCs w:val="22"/>
          <w:lang w:eastAsia="en-GB" w:bidi="ar-SA"/>
        </w:rPr>
        <w:t xml:space="preserve">Standard </w:t>
      </w:r>
      <w:r w:rsidR="005E64B0" w:rsidRPr="007476BD">
        <w:t>1.3.</w:t>
      </w:r>
      <w:r w:rsidR="00D40C3D" w:rsidRPr="007476BD">
        <w:t>4</w:t>
      </w:r>
      <w:r w:rsidR="005E64B0" w:rsidRPr="007476BD">
        <w:t xml:space="preserve"> – </w:t>
      </w:r>
      <w:r w:rsidRPr="007476BD">
        <w:rPr>
          <w:rFonts w:cs="Arial"/>
          <w:szCs w:val="22"/>
          <w:lang w:eastAsia="en-GB" w:bidi="ar-SA"/>
        </w:rPr>
        <w:t>Identity and Purity prescribes standards for the identity and purity of food additives.</w:t>
      </w:r>
    </w:p>
    <w:p w:rsidR="00F86A63" w:rsidRPr="007476BD" w:rsidRDefault="00F86A63" w:rsidP="00C23610">
      <w:pPr>
        <w:rPr>
          <w:rFonts w:cs="Arial"/>
          <w:szCs w:val="22"/>
          <w:lang w:eastAsia="en-GB" w:bidi="ar-SA"/>
        </w:rPr>
      </w:pPr>
    </w:p>
    <w:p w:rsidR="0030688F" w:rsidRPr="007476BD" w:rsidRDefault="00276EDB" w:rsidP="0030688F">
      <w:pPr>
        <w:rPr>
          <w:rFonts w:eastAsiaTheme="minorHAnsi" w:cs="Arial"/>
        </w:rPr>
      </w:pPr>
      <w:r w:rsidRPr="007476BD">
        <w:rPr>
          <w:rFonts w:eastAsiaTheme="minorHAnsi" w:cs="Arial"/>
        </w:rPr>
        <w:t>Advantame</w:t>
      </w:r>
      <w:r w:rsidR="0030688F" w:rsidRPr="007476BD">
        <w:rPr>
          <w:rFonts w:eastAsiaTheme="minorHAnsi" w:cs="Arial"/>
        </w:rPr>
        <w:t xml:space="preserve"> is a novel sweetener that has yet to reach the market and no international standards that are relevant to the use of </w:t>
      </w:r>
      <w:r w:rsidRPr="007476BD">
        <w:rPr>
          <w:rFonts w:eastAsiaTheme="minorHAnsi" w:cs="Arial"/>
        </w:rPr>
        <w:t>Advantame</w:t>
      </w:r>
      <w:r w:rsidR="00B8734D" w:rsidRPr="007476BD">
        <w:rPr>
          <w:rFonts w:eastAsiaTheme="minorHAnsi" w:cs="Arial"/>
        </w:rPr>
        <w:t xml:space="preserve"> have</w:t>
      </w:r>
      <w:r w:rsidR="0030688F" w:rsidRPr="007476BD">
        <w:rPr>
          <w:rFonts w:eastAsiaTheme="minorHAnsi" w:cs="Arial"/>
        </w:rPr>
        <w:t xml:space="preserve"> been identified. </w:t>
      </w:r>
      <w:r w:rsidR="00660AD2" w:rsidRPr="007476BD">
        <w:rPr>
          <w:rFonts w:eastAsiaTheme="minorHAnsi" w:cs="Arial"/>
        </w:rPr>
        <w:t xml:space="preserve">A </w:t>
      </w:r>
      <w:r w:rsidR="00751A44" w:rsidRPr="007476BD">
        <w:rPr>
          <w:rFonts w:eastAsiaTheme="minorHAnsi" w:cs="Arial"/>
        </w:rPr>
        <w:t>Petition for</w:t>
      </w:r>
      <w:r w:rsidR="0030688F" w:rsidRPr="007476BD">
        <w:rPr>
          <w:rFonts w:eastAsiaTheme="minorHAnsi" w:cs="Arial"/>
        </w:rPr>
        <w:t xml:space="preserve"> use of </w:t>
      </w:r>
      <w:r w:rsidRPr="007476BD">
        <w:rPr>
          <w:rFonts w:eastAsiaTheme="minorHAnsi" w:cs="Arial"/>
        </w:rPr>
        <w:t>Advantame</w:t>
      </w:r>
      <w:r w:rsidR="0030688F" w:rsidRPr="007476BD">
        <w:rPr>
          <w:rFonts w:eastAsiaTheme="minorHAnsi" w:cs="Arial"/>
        </w:rPr>
        <w:t xml:space="preserve"> as a food additive is currently under review by the United States Food and Drug Administration.</w:t>
      </w:r>
    </w:p>
    <w:p w:rsidR="00F008D5" w:rsidRPr="007476BD" w:rsidRDefault="00F008D5" w:rsidP="0030688F">
      <w:pPr>
        <w:rPr>
          <w:rFonts w:eastAsiaTheme="minorHAnsi" w:cs="Arial"/>
        </w:rPr>
      </w:pPr>
    </w:p>
    <w:p w:rsidR="00935337" w:rsidRPr="007476BD" w:rsidRDefault="00E2701B" w:rsidP="00935337">
      <w:pPr>
        <w:widowControl/>
        <w:autoSpaceDE w:val="0"/>
        <w:autoSpaceDN w:val="0"/>
        <w:adjustRightInd w:val="0"/>
        <w:rPr>
          <w:rFonts w:cs="Arial"/>
        </w:rPr>
      </w:pPr>
      <w:r w:rsidRPr="007476BD">
        <w:rPr>
          <w:rFonts w:ascii="ArialMT" w:hAnsi="ArialMT" w:cs="ArialMT"/>
          <w:szCs w:val="22"/>
          <w:lang w:eastAsia="en-GB" w:bidi="ar-SA"/>
        </w:rPr>
        <w:t xml:space="preserve">Of the technological functions listed in Schedule 5 of </w:t>
      </w:r>
      <w:r w:rsidR="00E71E0F" w:rsidRPr="007476BD">
        <w:rPr>
          <w:rFonts w:ascii="ArialMT" w:hAnsi="ArialMT" w:cs="ArialMT"/>
          <w:szCs w:val="22"/>
          <w:lang w:eastAsia="en-GB" w:bidi="ar-SA"/>
        </w:rPr>
        <w:t>S</w:t>
      </w:r>
      <w:r w:rsidR="002C027A" w:rsidRPr="007476BD">
        <w:rPr>
          <w:rFonts w:ascii="ArialMT" w:hAnsi="ArialMT" w:cs="ArialMT"/>
          <w:szCs w:val="22"/>
          <w:lang w:eastAsia="en-GB" w:bidi="ar-SA"/>
        </w:rPr>
        <w:t xml:space="preserve">tandard 1.3.1, </w:t>
      </w:r>
      <w:r w:rsidR="00276EDB" w:rsidRPr="007476BD">
        <w:rPr>
          <w:rFonts w:ascii="ArialMT" w:hAnsi="ArialMT" w:cs="ArialMT"/>
          <w:szCs w:val="22"/>
          <w:lang w:eastAsia="en-GB" w:bidi="ar-SA"/>
        </w:rPr>
        <w:t>Advantame</w:t>
      </w:r>
      <w:r w:rsidR="00CB2787" w:rsidRPr="007476BD">
        <w:rPr>
          <w:rFonts w:ascii="ArialMT" w:hAnsi="ArialMT" w:cs="ArialMT"/>
          <w:szCs w:val="22"/>
          <w:lang w:eastAsia="en-GB" w:bidi="ar-SA"/>
        </w:rPr>
        <w:t xml:space="preserve"> </w:t>
      </w:r>
      <w:r w:rsidRPr="007476BD">
        <w:rPr>
          <w:rFonts w:ascii="ArialMT" w:hAnsi="ArialMT" w:cs="ArialMT"/>
          <w:szCs w:val="22"/>
          <w:lang w:eastAsia="en-GB" w:bidi="ar-SA"/>
        </w:rPr>
        <w:t>is classified as</w:t>
      </w:r>
      <w:r w:rsidR="00D65DE5" w:rsidRPr="007476BD">
        <w:rPr>
          <w:rFonts w:ascii="ArialMT" w:hAnsi="ArialMT" w:cs="ArialMT"/>
          <w:szCs w:val="22"/>
          <w:lang w:eastAsia="en-GB" w:bidi="ar-SA"/>
        </w:rPr>
        <w:t xml:space="preserve"> an intense sweetener as it ‘</w:t>
      </w:r>
      <w:r w:rsidRPr="007476BD">
        <w:rPr>
          <w:rFonts w:ascii="ArialMT" w:hAnsi="ArialMT" w:cs="ArialMT"/>
          <w:szCs w:val="22"/>
          <w:lang w:eastAsia="en-GB" w:bidi="ar-SA"/>
        </w:rPr>
        <w:t>replaces the sweetness normally provided by sugars in foods</w:t>
      </w:r>
      <w:r w:rsidR="00D65DE5" w:rsidRPr="007476BD">
        <w:rPr>
          <w:rFonts w:ascii="ArialMT" w:hAnsi="ArialMT" w:cs="ArialMT"/>
          <w:szCs w:val="22"/>
          <w:lang w:eastAsia="en-GB" w:bidi="ar-SA"/>
        </w:rPr>
        <w:t xml:space="preserve"> </w:t>
      </w:r>
      <w:r w:rsidRPr="007476BD">
        <w:rPr>
          <w:rFonts w:ascii="ArialMT" w:hAnsi="ArialMT" w:cs="ArialMT"/>
          <w:szCs w:val="22"/>
          <w:lang w:eastAsia="en-GB" w:bidi="ar-SA"/>
        </w:rPr>
        <w:t>without contributing signific</w:t>
      </w:r>
      <w:r w:rsidR="00D65DE5" w:rsidRPr="007476BD">
        <w:rPr>
          <w:rFonts w:ascii="ArialMT" w:hAnsi="ArialMT" w:cs="ArialMT"/>
          <w:szCs w:val="22"/>
          <w:lang w:eastAsia="en-GB" w:bidi="ar-SA"/>
        </w:rPr>
        <w:t>antly to the available energy</w:t>
      </w:r>
      <w:r w:rsidR="00506C36" w:rsidRPr="007476BD">
        <w:rPr>
          <w:rFonts w:ascii="ArialMT" w:hAnsi="ArialMT" w:cs="ArialMT"/>
          <w:szCs w:val="22"/>
          <w:lang w:eastAsia="en-GB" w:bidi="ar-SA"/>
        </w:rPr>
        <w:t xml:space="preserve"> of the food</w:t>
      </w:r>
      <w:r w:rsidR="00D65DE5" w:rsidRPr="007476BD">
        <w:rPr>
          <w:rFonts w:ascii="ArialMT" w:hAnsi="ArialMT" w:cs="ArialMT"/>
          <w:szCs w:val="22"/>
          <w:lang w:eastAsia="en-GB" w:bidi="ar-SA"/>
        </w:rPr>
        <w:t>’</w:t>
      </w:r>
      <w:r w:rsidRPr="007476BD">
        <w:rPr>
          <w:rFonts w:ascii="ArialMT" w:hAnsi="ArialMT" w:cs="ArialMT"/>
          <w:szCs w:val="22"/>
          <w:lang w:eastAsia="en-GB" w:bidi="ar-SA"/>
        </w:rPr>
        <w:t xml:space="preserve">. </w:t>
      </w:r>
      <w:bookmarkStart w:id="36" w:name="_Toc120358585"/>
      <w:bookmarkStart w:id="37" w:name="_Toc296958600"/>
      <w:r w:rsidR="00935337" w:rsidRPr="007476BD">
        <w:rPr>
          <w:rFonts w:cs="Arial"/>
        </w:rPr>
        <w:br w:type="page"/>
      </w:r>
    </w:p>
    <w:p w:rsidR="003C4969" w:rsidRPr="007476BD" w:rsidRDefault="00D51A95">
      <w:pPr>
        <w:pStyle w:val="Heading2"/>
        <w:rPr>
          <w:rFonts w:cs="Arial"/>
        </w:rPr>
      </w:pPr>
      <w:r w:rsidRPr="007476BD">
        <w:rPr>
          <w:rFonts w:cs="Arial"/>
        </w:rPr>
        <w:lastRenderedPageBreak/>
        <w:t>3</w:t>
      </w:r>
      <w:r w:rsidR="003C4969" w:rsidRPr="007476BD">
        <w:rPr>
          <w:rFonts w:cs="Arial"/>
        </w:rPr>
        <w:t>.</w:t>
      </w:r>
      <w:r w:rsidR="003C4969" w:rsidRPr="007476BD">
        <w:rPr>
          <w:rFonts w:cs="Arial"/>
        </w:rPr>
        <w:tab/>
        <w:t>Objectives</w:t>
      </w:r>
      <w:bookmarkEnd w:id="36"/>
      <w:bookmarkEnd w:id="37"/>
    </w:p>
    <w:p w:rsidR="003C4969" w:rsidRPr="007476BD" w:rsidRDefault="003C4969">
      <w:pPr>
        <w:rPr>
          <w:rFonts w:cs="Arial"/>
        </w:rPr>
      </w:pPr>
    </w:p>
    <w:p w:rsidR="00F7516B" w:rsidRPr="007476BD" w:rsidRDefault="00F7516B" w:rsidP="00F7516B">
      <w:r w:rsidRPr="007476BD">
        <w:t>The specific objectives in considering this Application are to:</w:t>
      </w:r>
    </w:p>
    <w:p w:rsidR="00F7516B" w:rsidRPr="007476BD" w:rsidRDefault="00F7516B" w:rsidP="00F7516B"/>
    <w:p w:rsidR="00F7516B" w:rsidRPr="007476BD" w:rsidRDefault="00F7516B" w:rsidP="00A86849">
      <w:pPr>
        <w:pStyle w:val="FSBullet"/>
      </w:pPr>
      <w:r w:rsidRPr="007476BD">
        <w:t>protect public health and safety in relation to the proposed ad</w:t>
      </w:r>
      <w:r w:rsidR="00F77887" w:rsidRPr="007476BD">
        <w:t xml:space="preserve">dition of </w:t>
      </w:r>
      <w:r w:rsidR="00276EDB" w:rsidRPr="007476BD">
        <w:t>Advantame</w:t>
      </w:r>
      <w:r w:rsidR="00F77887" w:rsidRPr="007476BD">
        <w:t xml:space="preserve"> to a </w:t>
      </w:r>
      <w:r w:rsidR="00443FE1" w:rsidRPr="007476BD">
        <w:t>range</w:t>
      </w:r>
      <w:r w:rsidR="00F77887" w:rsidRPr="007476BD">
        <w:t xml:space="preserve"> of foods</w:t>
      </w:r>
    </w:p>
    <w:p w:rsidR="00F7516B" w:rsidRPr="007476BD" w:rsidRDefault="00F7516B" w:rsidP="00A86849">
      <w:pPr>
        <w:pStyle w:val="FSBullet"/>
        <w:numPr>
          <w:ilvl w:val="0"/>
          <w:numId w:val="0"/>
        </w:numPr>
      </w:pPr>
    </w:p>
    <w:p w:rsidR="00F7516B" w:rsidRPr="007476BD" w:rsidRDefault="00F7516B" w:rsidP="00A86849">
      <w:pPr>
        <w:pStyle w:val="FSBullet"/>
      </w:pPr>
      <w:r w:rsidRPr="007476BD">
        <w:t>ensure a</w:t>
      </w:r>
      <w:r w:rsidR="00F77887" w:rsidRPr="007476BD">
        <w:t>dequate information relating to</w:t>
      </w:r>
      <w:r w:rsidR="00443FE1" w:rsidRPr="007476BD">
        <w:t xml:space="preserve"> </w:t>
      </w:r>
      <w:r w:rsidR="00276EDB" w:rsidRPr="007476BD">
        <w:t>Advantame</w:t>
      </w:r>
      <w:r w:rsidR="00F77887" w:rsidRPr="007476BD">
        <w:t xml:space="preserve"> </w:t>
      </w:r>
      <w:r w:rsidRPr="007476BD">
        <w:t>is provided to consumers to enable informed choice</w:t>
      </w:r>
      <w:r w:rsidR="00D40C3D" w:rsidRPr="007476BD">
        <w:t>.</w:t>
      </w:r>
    </w:p>
    <w:p w:rsidR="00F7516B" w:rsidRPr="007476BD" w:rsidRDefault="00F7516B" w:rsidP="00F7516B">
      <w:pPr>
        <w:pStyle w:val="Bullet"/>
        <w:tabs>
          <w:tab w:val="clear" w:pos="577"/>
        </w:tabs>
        <w:ind w:firstLine="0"/>
      </w:pPr>
    </w:p>
    <w:p w:rsidR="003C4969" w:rsidRPr="007476BD" w:rsidRDefault="003C4969">
      <w:pPr>
        <w:rPr>
          <w:rFonts w:cs="Arial"/>
        </w:rPr>
      </w:pPr>
      <w:r w:rsidRPr="007476BD">
        <w:rPr>
          <w:rFonts w:cs="Arial"/>
        </w:rPr>
        <w:t>In developing or varying a food standard, FSANZ is required by its legislation to meet three primary objectives</w:t>
      </w:r>
      <w:r w:rsidR="005D72E1" w:rsidRPr="007476BD">
        <w:rPr>
          <w:rFonts w:cs="Arial"/>
        </w:rPr>
        <w:t xml:space="preserve"> which are set out in section 18</w:t>
      </w:r>
      <w:r w:rsidRPr="007476BD">
        <w:rPr>
          <w:rFonts w:cs="Arial"/>
        </w:rPr>
        <w:t xml:space="preserve"> of the FSANZ Act</w:t>
      </w:r>
      <w:r w:rsidR="00503CC3" w:rsidRPr="007476BD">
        <w:rPr>
          <w:rFonts w:cs="Arial"/>
        </w:rPr>
        <w:t xml:space="preserve">. </w:t>
      </w:r>
      <w:r w:rsidRPr="007476BD">
        <w:rPr>
          <w:rFonts w:cs="Arial"/>
        </w:rPr>
        <w:t>These are:</w:t>
      </w:r>
    </w:p>
    <w:p w:rsidR="003C4969" w:rsidRPr="007476BD" w:rsidRDefault="003C4969">
      <w:pPr>
        <w:rPr>
          <w:rFonts w:cs="Arial"/>
        </w:rPr>
      </w:pPr>
    </w:p>
    <w:p w:rsidR="00D40C3D" w:rsidRPr="007476BD" w:rsidRDefault="00D40C3D" w:rsidP="00D40C3D">
      <w:pPr>
        <w:pStyle w:val="FSBullet"/>
      </w:pPr>
      <w:r w:rsidRPr="007476BD">
        <w:t>the protection of public health and safety; and</w:t>
      </w:r>
    </w:p>
    <w:p w:rsidR="00D40C3D" w:rsidRPr="007476BD" w:rsidRDefault="00D40C3D" w:rsidP="00D40C3D"/>
    <w:p w:rsidR="00D40C3D" w:rsidRPr="007476BD" w:rsidRDefault="00D40C3D" w:rsidP="00D40C3D">
      <w:pPr>
        <w:pStyle w:val="FSBullet"/>
      </w:pPr>
      <w:r w:rsidRPr="007476BD">
        <w:t>the provision of adequate information relating to food to enable consumers to make informed choices; and</w:t>
      </w:r>
    </w:p>
    <w:p w:rsidR="00D40C3D" w:rsidRPr="007476BD" w:rsidRDefault="00D40C3D" w:rsidP="00D40C3D"/>
    <w:p w:rsidR="00D40C3D" w:rsidRPr="007476BD" w:rsidRDefault="00D40C3D" w:rsidP="00D40C3D">
      <w:pPr>
        <w:pStyle w:val="FSBullet"/>
      </w:pPr>
      <w:r w:rsidRPr="007476BD">
        <w:t>the prevention of misleading or deceptive conduct.</w:t>
      </w:r>
    </w:p>
    <w:p w:rsidR="00D40C3D" w:rsidRPr="007476BD" w:rsidRDefault="00D40C3D" w:rsidP="00D40C3D">
      <w:pPr>
        <w:rPr>
          <w:rFonts w:cs="Arial"/>
        </w:rPr>
      </w:pPr>
    </w:p>
    <w:p w:rsidR="00D40C3D" w:rsidRPr="007476BD" w:rsidRDefault="00D40C3D" w:rsidP="00D40C3D">
      <w:pPr>
        <w:rPr>
          <w:rFonts w:cs="Arial"/>
        </w:rPr>
      </w:pPr>
      <w:r w:rsidRPr="007476BD">
        <w:rPr>
          <w:rFonts w:cs="Arial"/>
        </w:rPr>
        <w:t>In developing and varying standards, FSANZ must also have regard to:</w:t>
      </w:r>
    </w:p>
    <w:p w:rsidR="00D40C3D" w:rsidRPr="007476BD" w:rsidRDefault="00D40C3D" w:rsidP="00D40C3D">
      <w:pPr>
        <w:rPr>
          <w:rFonts w:cs="Arial"/>
        </w:rPr>
      </w:pPr>
    </w:p>
    <w:p w:rsidR="00D40C3D" w:rsidRPr="007476BD" w:rsidRDefault="00D40C3D" w:rsidP="00D40C3D">
      <w:pPr>
        <w:pStyle w:val="FSBullet"/>
      </w:pPr>
      <w:r w:rsidRPr="007476BD">
        <w:t>the need for standards to be based on risk analysis using the best available scientific evidence;</w:t>
      </w:r>
    </w:p>
    <w:p w:rsidR="00D40C3D" w:rsidRPr="007476BD" w:rsidRDefault="00D40C3D" w:rsidP="00D40C3D"/>
    <w:p w:rsidR="00D40C3D" w:rsidRPr="007476BD" w:rsidRDefault="00D40C3D" w:rsidP="00D40C3D">
      <w:pPr>
        <w:pStyle w:val="FSBullet"/>
      </w:pPr>
      <w:r w:rsidRPr="007476BD">
        <w:t>the promotion of consistency between domestic and international food standards;</w:t>
      </w:r>
    </w:p>
    <w:p w:rsidR="00D40C3D" w:rsidRPr="007476BD" w:rsidRDefault="00D40C3D" w:rsidP="00D40C3D"/>
    <w:p w:rsidR="00D40C3D" w:rsidRPr="007476BD" w:rsidRDefault="00D40C3D" w:rsidP="00D40C3D">
      <w:pPr>
        <w:pStyle w:val="FSBullet"/>
      </w:pPr>
      <w:r w:rsidRPr="007476BD">
        <w:t>the desirability of an efficient and internationally competitive food industry;</w:t>
      </w:r>
    </w:p>
    <w:p w:rsidR="00D40C3D" w:rsidRPr="007476BD" w:rsidRDefault="00D40C3D" w:rsidP="00D40C3D"/>
    <w:p w:rsidR="00D40C3D" w:rsidRPr="007476BD" w:rsidRDefault="00D40C3D" w:rsidP="00D40C3D">
      <w:pPr>
        <w:pStyle w:val="FSBullet"/>
      </w:pPr>
      <w:r w:rsidRPr="007476BD">
        <w:t>the promotion of fair trading in food; and</w:t>
      </w:r>
    </w:p>
    <w:p w:rsidR="00D40C3D" w:rsidRPr="007476BD" w:rsidRDefault="00D40C3D" w:rsidP="00D40C3D"/>
    <w:p w:rsidR="00D40C3D" w:rsidRPr="007476BD" w:rsidRDefault="00D40C3D" w:rsidP="00D40C3D">
      <w:pPr>
        <w:pStyle w:val="FSBullet"/>
      </w:pPr>
      <w:r w:rsidRPr="007476BD">
        <w:t>any written policy guidelines formulated by the Ministerial Council.</w:t>
      </w:r>
    </w:p>
    <w:p w:rsidR="00D40C3D" w:rsidRPr="007476BD" w:rsidRDefault="00D40C3D" w:rsidP="00A86849">
      <w:pPr>
        <w:widowControl/>
      </w:pPr>
    </w:p>
    <w:p w:rsidR="001665F8" w:rsidRPr="007476BD" w:rsidRDefault="001665F8" w:rsidP="00603FA8">
      <w:pPr>
        <w:pStyle w:val="StyleHeading3FSHeading3Left0cmFirstline0cm"/>
      </w:pPr>
      <w:bookmarkStart w:id="38" w:name="_Toc227663684"/>
      <w:bookmarkStart w:id="39" w:name="_Toc239150672"/>
      <w:bookmarkStart w:id="40" w:name="_Toc296958601"/>
      <w:r w:rsidRPr="007476BD">
        <w:t>3.1</w:t>
      </w:r>
      <w:r w:rsidRPr="007476BD">
        <w:tab/>
        <w:t>Policy Guideline on Addition to Food of Substances other than Vitamins and Minerals</w:t>
      </w:r>
      <w:bookmarkEnd w:id="38"/>
      <w:bookmarkEnd w:id="39"/>
      <w:bookmarkEnd w:id="40"/>
    </w:p>
    <w:p w:rsidR="001665F8" w:rsidRPr="007476BD" w:rsidRDefault="001665F8" w:rsidP="001665F8"/>
    <w:p w:rsidR="001665F8" w:rsidRPr="007476BD" w:rsidRDefault="001665F8" w:rsidP="001665F8">
      <w:pPr>
        <w:rPr>
          <w:b/>
        </w:rPr>
      </w:pPr>
      <w:r w:rsidRPr="007476BD">
        <w:t>Under its section 18 objectives, FSANZ must have regard to any written policy guidelines formulated by the Australia and New Zealand Food Regulation Ministerial Council (Ministerial Council)</w:t>
      </w:r>
      <w:r w:rsidR="00503CC3" w:rsidRPr="007476BD">
        <w:t xml:space="preserve">. </w:t>
      </w:r>
      <w:r w:rsidRPr="007476BD">
        <w:t xml:space="preserve">The Ministerial Council has provided a Policy Guideline on the </w:t>
      </w:r>
      <w:r w:rsidRPr="007476BD">
        <w:rPr>
          <w:i/>
        </w:rPr>
        <w:t>Addition to Food of Substances other than Vitamins and Minerals</w:t>
      </w:r>
      <w:r w:rsidRPr="007476BD">
        <w:t>.</w:t>
      </w:r>
    </w:p>
    <w:p w:rsidR="001665F8" w:rsidRPr="007476BD" w:rsidRDefault="001665F8" w:rsidP="001665F8"/>
    <w:p w:rsidR="001665F8" w:rsidRPr="007476BD" w:rsidRDefault="001665F8" w:rsidP="001A7EB2">
      <w:pPr>
        <w:widowControl/>
      </w:pPr>
      <w:r w:rsidRPr="007476BD">
        <w:t>The Policy Guideline provides ‘high order’ and ‘specific order’ policy principles and additional guidelines for the addition of substances other than vitamins and minerals to food</w:t>
      </w:r>
      <w:r w:rsidR="00503CC3" w:rsidRPr="007476BD">
        <w:t xml:space="preserve">. </w:t>
      </w:r>
      <w:r w:rsidRPr="007476BD">
        <w:t>The ‘high order’ principles reflect FSANZ’s statutory objectives described above</w:t>
      </w:r>
      <w:r w:rsidR="00503CC3" w:rsidRPr="007476BD">
        <w:t xml:space="preserve">. </w:t>
      </w:r>
    </w:p>
    <w:p w:rsidR="001665F8" w:rsidRPr="007476BD" w:rsidRDefault="001665F8" w:rsidP="001665F8"/>
    <w:p w:rsidR="001665F8" w:rsidRPr="007476BD" w:rsidRDefault="001665F8" w:rsidP="001665F8">
      <w:r w:rsidRPr="007476BD">
        <w:rPr>
          <w:szCs w:val="22"/>
        </w:rPr>
        <w:t xml:space="preserve">‘Specific order’ policy principles are provided </w:t>
      </w:r>
      <w:r w:rsidR="006914EC" w:rsidRPr="007476BD">
        <w:rPr>
          <w:szCs w:val="22"/>
        </w:rPr>
        <w:t xml:space="preserve">both </w:t>
      </w:r>
      <w:r w:rsidRPr="007476BD">
        <w:rPr>
          <w:szCs w:val="22"/>
        </w:rPr>
        <w:t xml:space="preserve">for substances added for a </w:t>
      </w:r>
      <w:r w:rsidR="00150002" w:rsidRPr="007476BD">
        <w:rPr>
          <w:szCs w:val="22"/>
        </w:rPr>
        <w:t>‘</w:t>
      </w:r>
      <w:r w:rsidR="009A5D52" w:rsidRPr="007476BD">
        <w:rPr>
          <w:szCs w:val="22"/>
        </w:rPr>
        <w:t>T</w:t>
      </w:r>
      <w:r w:rsidRPr="007476BD">
        <w:rPr>
          <w:szCs w:val="22"/>
        </w:rPr>
        <w:t xml:space="preserve">echnological </w:t>
      </w:r>
      <w:r w:rsidR="009A5D52" w:rsidRPr="007476BD">
        <w:rPr>
          <w:szCs w:val="22"/>
        </w:rPr>
        <w:t>F</w:t>
      </w:r>
      <w:r w:rsidRPr="007476BD">
        <w:rPr>
          <w:szCs w:val="22"/>
        </w:rPr>
        <w:t>unction</w:t>
      </w:r>
      <w:r w:rsidR="00150002" w:rsidRPr="007476BD">
        <w:rPr>
          <w:szCs w:val="22"/>
        </w:rPr>
        <w:t>’</w:t>
      </w:r>
      <w:r w:rsidRPr="007476BD">
        <w:rPr>
          <w:szCs w:val="22"/>
        </w:rPr>
        <w:t xml:space="preserve"> as well as for ‘Any Other Purpose’</w:t>
      </w:r>
      <w:r w:rsidR="00503CC3" w:rsidRPr="007476BD">
        <w:rPr>
          <w:szCs w:val="22"/>
        </w:rPr>
        <w:t xml:space="preserve">. </w:t>
      </w:r>
      <w:r w:rsidRPr="007476BD">
        <w:rPr>
          <w:szCs w:val="22"/>
        </w:rPr>
        <w:t xml:space="preserve">The purpose for addition of </w:t>
      </w:r>
      <w:r w:rsidR="00276EDB" w:rsidRPr="007476BD">
        <w:rPr>
          <w:szCs w:val="22"/>
        </w:rPr>
        <w:t>Advantame</w:t>
      </w:r>
      <w:r w:rsidR="00041615" w:rsidRPr="007476BD">
        <w:rPr>
          <w:szCs w:val="22"/>
        </w:rPr>
        <w:t xml:space="preserve"> </w:t>
      </w:r>
      <w:r w:rsidR="00135F0C" w:rsidRPr="007476BD">
        <w:t xml:space="preserve">to food falls under ‘Technological Function’ and therefore regard </w:t>
      </w:r>
      <w:r w:rsidR="002F032F" w:rsidRPr="007476BD">
        <w:t>has been</w:t>
      </w:r>
      <w:r w:rsidR="00135F0C" w:rsidRPr="007476BD">
        <w:t xml:space="preserve"> given to the policy guidance in the assessment of this Application</w:t>
      </w:r>
      <w:r w:rsidR="00503CC3" w:rsidRPr="007476BD">
        <w:t xml:space="preserve">. </w:t>
      </w:r>
      <w:r w:rsidR="00135F0C" w:rsidRPr="007476BD">
        <w:t>The relevant specific order policy principles are stated below</w:t>
      </w:r>
      <w:r w:rsidR="006914EC" w:rsidRPr="007476BD">
        <w:t>:</w:t>
      </w:r>
      <w:r w:rsidR="00135F0C" w:rsidRPr="007476BD">
        <w:t xml:space="preserve"> </w:t>
      </w:r>
    </w:p>
    <w:p w:rsidR="001665F8" w:rsidRPr="007476BD" w:rsidRDefault="001665F8" w:rsidP="001665F8"/>
    <w:p w:rsidR="00935337" w:rsidRPr="007476BD" w:rsidRDefault="001665F8" w:rsidP="00935337">
      <w:pPr>
        <w:ind w:left="567"/>
        <w:rPr>
          <w:i/>
        </w:rPr>
      </w:pPr>
      <w:r w:rsidRPr="007476BD">
        <w:rPr>
          <w:i/>
        </w:rPr>
        <w:t xml:space="preserve">The addition of substances other than vitamins and minerals to food where </w:t>
      </w:r>
      <w:r w:rsidR="00041615" w:rsidRPr="007476BD">
        <w:rPr>
          <w:i/>
        </w:rPr>
        <w:t xml:space="preserve">the purpose of the addition is to achieve a </w:t>
      </w:r>
      <w:r w:rsidR="00EE0ED4" w:rsidRPr="007476BD">
        <w:rPr>
          <w:i/>
        </w:rPr>
        <w:t xml:space="preserve">solely </w:t>
      </w:r>
      <w:r w:rsidRPr="007476BD">
        <w:rPr>
          <w:i/>
        </w:rPr>
        <w:t>technological function should be permitted where:</w:t>
      </w:r>
      <w:r w:rsidR="00935337" w:rsidRPr="007476BD">
        <w:rPr>
          <w:i/>
        </w:rPr>
        <w:br w:type="page"/>
      </w:r>
    </w:p>
    <w:p w:rsidR="001665F8" w:rsidRPr="007476BD" w:rsidRDefault="001665F8" w:rsidP="00935337">
      <w:pPr>
        <w:pStyle w:val="ListParagraph"/>
        <w:widowControl/>
        <w:numPr>
          <w:ilvl w:val="0"/>
          <w:numId w:val="4"/>
        </w:numPr>
        <w:ind w:left="1134" w:hanging="567"/>
        <w:rPr>
          <w:i/>
        </w:rPr>
      </w:pPr>
      <w:r w:rsidRPr="007476BD">
        <w:rPr>
          <w:i/>
        </w:rPr>
        <w:lastRenderedPageBreak/>
        <w:t>the purpose for addition can be articulate</w:t>
      </w:r>
      <w:r w:rsidR="006914EC" w:rsidRPr="007476BD">
        <w:rPr>
          <w:i/>
        </w:rPr>
        <w:t>d</w:t>
      </w:r>
      <w:r w:rsidRPr="007476BD">
        <w:rPr>
          <w:i/>
        </w:rPr>
        <w:t xml:space="preserve"> clearly by the manufacturer (i.e. the stated purpose); and</w:t>
      </w:r>
    </w:p>
    <w:p w:rsidR="001665F8" w:rsidRPr="007476BD" w:rsidRDefault="001665F8" w:rsidP="00935337">
      <w:pPr>
        <w:pStyle w:val="ListParagraph"/>
        <w:widowControl/>
        <w:numPr>
          <w:ilvl w:val="0"/>
          <w:numId w:val="4"/>
        </w:numPr>
        <w:ind w:left="1134" w:hanging="567"/>
        <w:rPr>
          <w:i/>
        </w:rPr>
      </w:pPr>
      <w:r w:rsidRPr="007476BD">
        <w:rPr>
          <w:i/>
        </w:rPr>
        <w:t>the addition of the substance to food is safe for human consumption; and</w:t>
      </w:r>
    </w:p>
    <w:p w:rsidR="001665F8" w:rsidRPr="007476BD" w:rsidRDefault="00EE0ED4" w:rsidP="00935337">
      <w:pPr>
        <w:pStyle w:val="ListParagraph"/>
        <w:widowControl/>
        <w:numPr>
          <w:ilvl w:val="0"/>
          <w:numId w:val="4"/>
        </w:numPr>
        <w:ind w:left="1134" w:hanging="567"/>
        <w:rPr>
          <w:i/>
        </w:rPr>
      </w:pPr>
      <w:r w:rsidRPr="007476BD">
        <w:rPr>
          <w:i/>
        </w:rPr>
        <w:t>the amounts added are consistent with achieving the technological function</w:t>
      </w:r>
      <w:r w:rsidR="001665F8" w:rsidRPr="007476BD">
        <w:rPr>
          <w:i/>
        </w:rPr>
        <w:t xml:space="preserve">; and </w:t>
      </w:r>
    </w:p>
    <w:p w:rsidR="001665F8" w:rsidRPr="007476BD" w:rsidRDefault="00EE0ED4" w:rsidP="00935337">
      <w:pPr>
        <w:pStyle w:val="ListParagraph"/>
        <w:widowControl/>
        <w:numPr>
          <w:ilvl w:val="0"/>
          <w:numId w:val="4"/>
        </w:numPr>
        <w:ind w:left="1134" w:hanging="567"/>
        <w:rPr>
          <w:i/>
        </w:rPr>
      </w:pPr>
      <w:r w:rsidRPr="007476BD">
        <w:rPr>
          <w:i/>
        </w:rPr>
        <w:t>the substance is added in a quantity and a form which is consistent with delivering the stated purpose</w:t>
      </w:r>
      <w:r w:rsidR="001665F8" w:rsidRPr="007476BD">
        <w:rPr>
          <w:i/>
        </w:rPr>
        <w:t>; and</w:t>
      </w:r>
    </w:p>
    <w:p w:rsidR="001665F8" w:rsidRPr="007476BD" w:rsidRDefault="00EE0ED4" w:rsidP="00935337">
      <w:pPr>
        <w:pStyle w:val="ListParagraph"/>
        <w:widowControl/>
        <w:numPr>
          <w:ilvl w:val="0"/>
          <w:numId w:val="4"/>
        </w:numPr>
        <w:ind w:left="1134" w:hanging="567"/>
        <w:rPr>
          <w:i/>
        </w:rPr>
      </w:pPr>
      <w:r w:rsidRPr="007476BD">
        <w:rPr>
          <w:i/>
        </w:rPr>
        <w:t>no nutrition</w:t>
      </w:r>
      <w:r w:rsidR="006914EC" w:rsidRPr="007476BD">
        <w:rPr>
          <w:i/>
        </w:rPr>
        <w:t>,</w:t>
      </w:r>
      <w:r w:rsidRPr="007476BD">
        <w:rPr>
          <w:i/>
        </w:rPr>
        <w:t xml:space="preserve"> health or related claims are to be made in regard to the substance</w:t>
      </w:r>
      <w:r w:rsidR="001665F8" w:rsidRPr="007476BD">
        <w:rPr>
          <w:i/>
        </w:rPr>
        <w:t>.</w:t>
      </w:r>
    </w:p>
    <w:p w:rsidR="00111748" w:rsidRPr="007476BD" w:rsidRDefault="00111748" w:rsidP="00603FA8"/>
    <w:p w:rsidR="00D51A95" w:rsidRPr="007476BD" w:rsidRDefault="00D51A95" w:rsidP="00D51A95">
      <w:pPr>
        <w:pStyle w:val="Heading2"/>
        <w:rPr>
          <w:rFonts w:cs="Arial"/>
        </w:rPr>
      </w:pPr>
      <w:bookmarkStart w:id="41" w:name="_Toc296958602"/>
      <w:r w:rsidRPr="007476BD">
        <w:rPr>
          <w:rFonts w:cs="Arial"/>
        </w:rPr>
        <w:t>4.</w:t>
      </w:r>
      <w:r w:rsidRPr="007476BD">
        <w:rPr>
          <w:rFonts w:cs="Arial"/>
        </w:rPr>
        <w:tab/>
        <w:t>Questions</w:t>
      </w:r>
      <w:r w:rsidR="000E3DBC" w:rsidRPr="007476BD">
        <w:rPr>
          <w:rFonts w:cs="Arial"/>
        </w:rPr>
        <w:t xml:space="preserve"> to be answered</w:t>
      </w:r>
      <w:bookmarkEnd w:id="41"/>
    </w:p>
    <w:p w:rsidR="000460B8" w:rsidRPr="007476BD" w:rsidRDefault="000460B8" w:rsidP="000460B8"/>
    <w:p w:rsidR="000460B8" w:rsidRPr="007476BD" w:rsidRDefault="000460B8" w:rsidP="000460B8">
      <w:r w:rsidRPr="007476BD">
        <w:t>The key questions which FSANZ has considered as part of this assessment are:</w:t>
      </w:r>
    </w:p>
    <w:p w:rsidR="00F27015" w:rsidRPr="007476BD" w:rsidRDefault="00F27015" w:rsidP="00F27015"/>
    <w:p w:rsidR="003F00FF" w:rsidRPr="007476BD" w:rsidRDefault="00801054" w:rsidP="00241FDC">
      <w:pPr>
        <w:pStyle w:val="FSBullet"/>
      </w:pPr>
      <w:r w:rsidRPr="007476BD">
        <w:t>Has</w:t>
      </w:r>
      <w:r w:rsidR="003F00FF" w:rsidRPr="007476BD">
        <w:t xml:space="preserve"> the stated purpose for adding </w:t>
      </w:r>
      <w:r w:rsidR="00276EDB" w:rsidRPr="007476BD">
        <w:t>Advantame</w:t>
      </w:r>
      <w:r w:rsidR="003F00FF" w:rsidRPr="007476BD">
        <w:t xml:space="preserve"> been articulated clearly?</w:t>
      </w:r>
    </w:p>
    <w:p w:rsidR="003F00FF" w:rsidRPr="007476BD" w:rsidRDefault="003F00FF" w:rsidP="00241FDC">
      <w:pPr>
        <w:pStyle w:val="FSBullet"/>
      </w:pPr>
      <w:r w:rsidRPr="007476BD">
        <w:t xml:space="preserve">Is </w:t>
      </w:r>
      <w:r w:rsidR="00276EDB" w:rsidRPr="007476BD">
        <w:t>Advantame</w:t>
      </w:r>
      <w:r w:rsidRPr="007476BD">
        <w:t xml:space="preserve"> proposed to be added in a quantity and form which is consistent with achieving the stated purpose</w:t>
      </w:r>
      <w:r w:rsidR="008765DF" w:rsidRPr="007476BD">
        <w:t xml:space="preserve"> and technological functions</w:t>
      </w:r>
      <w:r w:rsidRPr="007476BD">
        <w:t>?</w:t>
      </w:r>
    </w:p>
    <w:p w:rsidR="003F00FF" w:rsidRPr="007476BD" w:rsidRDefault="003F00FF" w:rsidP="00241FDC">
      <w:pPr>
        <w:pStyle w:val="FSBullet"/>
      </w:pPr>
      <w:r w:rsidRPr="007476BD">
        <w:t xml:space="preserve">Is there a need to establish a reference health standard for </w:t>
      </w:r>
      <w:r w:rsidR="00276EDB" w:rsidRPr="007476BD">
        <w:t>Advantame</w:t>
      </w:r>
      <w:r w:rsidRPr="007476BD">
        <w:t xml:space="preserve"> in order to protect public health and safety?</w:t>
      </w:r>
    </w:p>
    <w:p w:rsidR="009B5FC0" w:rsidRPr="007476BD" w:rsidRDefault="003F00FF" w:rsidP="00241FDC">
      <w:pPr>
        <w:pStyle w:val="FSBullet"/>
      </w:pPr>
      <w:r w:rsidRPr="007476BD">
        <w:t xml:space="preserve">If </w:t>
      </w:r>
      <w:r w:rsidR="00276EDB" w:rsidRPr="007476BD">
        <w:t>Advantame</w:t>
      </w:r>
      <w:r w:rsidRPr="007476BD">
        <w:t xml:space="preserve"> enters the food supply</w:t>
      </w:r>
      <w:r w:rsidR="007626FF" w:rsidRPr="007476BD">
        <w:t>,</w:t>
      </w:r>
      <w:r w:rsidRPr="007476BD">
        <w:t xml:space="preserve"> would the resulting exposure pose an unacceptable risk for public health and safety</w:t>
      </w:r>
      <w:r w:rsidR="00945D1F" w:rsidRPr="007476BD">
        <w:t xml:space="preserve"> for any consumer group</w:t>
      </w:r>
      <w:r w:rsidRPr="007476BD">
        <w:t>?</w:t>
      </w:r>
    </w:p>
    <w:p w:rsidR="009B5FC0" w:rsidRPr="007476BD" w:rsidRDefault="009B5FC0" w:rsidP="00111748"/>
    <w:p w:rsidR="003C4969" w:rsidRPr="007476BD" w:rsidRDefault="00807559" w:rsidP="001C27A3">
      <w:pPr>
        <w:pStyle w:val="Heading1"/>
        <w:rPr>
          <w:rFonts w:ascii="Arial" w:hAnsi="Arial" w:cs="Arial"/>
        </w:rPr>
      </w:pPr>
      <w:bookmarkStart w:id="42" w:name="_Toc296958603"/>
      <w:r w:rsidRPr="007476BD">
        <w:rPr>
          <w:rFonts w:ascii="Arial" w:hAnsi="Arial" w:cs="Arial"/>
        </w:rPr>
        <w:t>RISK ASSESSMENT</w:t>
      </w:r>
      <w:bookmarkEnd w:id="42"/>
    </w:p>
    <w:p w:rsidR="003C4969" w:rsidRPr="007476BD" w:rsidRDefault="003C4969">
      <w:pPr>
        <w:rPr>
          <w:rFonts w:cs="Arial"/>
        </w:rPr>
      </w:pPr>
      <w:bookmarkStart w:id="43" w:name="_Toc11735632"/>
      <w:bookmarkStart w:id="44" w:name="_Toc29883116"/>
      <w:bookmarkStart w:id="45" w:name="_Toc41906803"/>
      <w:bookmarkStart w:id="46" w:name="_Toc41907550"/>
      <w:bookmarkStart w:id="47" w:name="_Toc120358581"/>
    </w:p>
    <w:p w:rsidR="003C4969" w:rsidRPr="007476BD" w:rsidRDefault="00D51A95" w:rsidP="001C27A3">
      <w:pPr>
        <w:pStyle w:val="Heading2"/>
      </w:pPr>
      <w:bookmarkStart w:id="48" w:name="_Toc120358583"/>
      <w:bookmarkStart w:id="49" w:name="_Toc296958604"/>
      <w:bookmarkEnd w:id="43"/>
      <w:bookmarkEnd w:id="44"/>
      <w:bookmarkEnd w:id="45"/>
      <w:bookmarkEnd w:id="46"/>
      <w:bookmarkEnd w:id="47"/>
      <w:r w:rsidRPr="007476BD">
        <w:t>5</w:t>
      </w:r>
      <w:r w:rsidR="001C27A3" w:rsidRPr="007476BD">
        <w:t>.</w:t>
      </w:r>
      <w:r w:rsidR="003C4969" w:rsidRPr="007476BD">
        <w:tab/>
        <w:t xml:space="preserve">Risk </w:t>
      </w:r>
      <w:r w:rsidR="00AB06DB" w:rsidRPr="007476BD">
        <w:t xml:space="preserve">&amp; Technical </w:t>
      </w:r>
      <w:r w:rsidR="003C4969" w:rsidRPr="007476BD">
        <w:t>Assessment Summary</w:t>
      </w:r>
      <w:bookmarkEnd w:id="48"/>
      <w:bookmarkEnd w:id="49"/>
    </w:p>
    <w:p w:rsidR="003E7ACD" w:rsidRPr="007476BD" w:rsidRDefault="003E7ACD" w:rsidP="00C85C1E">
      <w:pPr>
        <w:rPr>
          <w:rFonts w:cs="Arial"/>
        </w:rPr>
      </w:pPr>
    </w:p>
    <w:p w:rsidR="005235E9" w:rsidRPr="007476BD" w:rsidRDefault="00A10306" w:rsidP="003371B4">
      <w:pPr>
        <w:widowControl/>
        <w:rPr>
          <w:rFonts w:cs="Arial"/>
        </w:rPr>
      </w:pPr>
      <w:r w:rsidRPr="007476BD">
        <w:rPr>
          <w:rFonts w:cs="Arial"/>
        </w:rPr>
        <w:t xml:space="preserve">A comprehensive </w:t>
      </w:r>
      <w:r w:rsidR="005235E9" w:rsidRPr="007476BD">
        <w:rPr>
          <w:rFonts w:cs="Arial"/>
        </w:rPr>
        <w:t xml:space="preserve">risk and technical </w:t>
      </w:r>
      <w:r w:rsidR="00B63425" w:rsidRPr="007476BD">
        <w:rPr>
          <w:rFonts w:cs="Arial"/>
        </w:rPr>
        <w:t>a</w:t>
      </w:r>
      <w:r w:rsidR="005235E9" w:rsidRPr="007476BD">
        <w:rPr>
          <w:rFonts w:cs="Arial"/>
        </w:rPr>
        <w:t xml:space="preserve">ssessment was undertaken to: (1) determine whether Advantame can deliver the intended technological function in the final food; (2) evaluate the toxicity of Advantame and establish an acceptable daily intake (ADI); and (3) compare the estimated levels of intake of Advantame with the ADI to ascertain the </w:t>
      </w:r>
      <w:r w:rsidR="000F18F7" w:rsidRPr="007476BD">
        <w:rPr>
          <w:rFonts w:cs="Arial"/>
        </w:rPr>
        <w:t xml:space="preserve">potential </w:t>
      </w:r>
      <w:r w:rsidR="000661D1" w:rsidRPr="007476BD">
        <w:rPr>
          <w:rFonts w:cs="Arial"/>
        </w:rPr>
        <w:t>dietary risk to consumers (</w:t>
      </w:r>
      <w:r w:rsidRPr="007476BD">
        <w:rPr>
          <w:rFonts w:cs="Arial"/>
          <w:b/>
        </w:rPr>
        <w:t>Supporting Document 1</w:t>
      </w:r>
      <w:r w:rsidR="000661D1" w:rsidRPr="007476BD">
        <w:rPr>
          <w:rFonts w:cs="Arial"/>
        </w:rPr>
        <w:t>)</w:t>
      </w:r>
      <w:r w:rsidRPr="007476BD">
        <w:rPr>
          <w:rFonts w:cs="Arial"/>
        </w:rPr>
        <w:t>.</w:t>
      </w:r>
    </w:p>
    <w:p w:rsidR="005235E9" w:rsidRPr="007476BD" w:rsidRDefault="005235E9" w:rsidP="00C85C1E">
      <w:pPr>
        <w:rPr>
          <w:rFonts w:cs="Arial"/>
        </w:rPr>
      </w:pPr>
    </w:p>
    <w:p w:rsidR="004F0D8E" w:rsidRPr="007476BD" w:rsidRDefault="005235E9" w:rsidP="00C85C1E">
      <w:pPr>
        <w:rPr>
          <w:rFonts w:cs="Arial"/>
        </w:rPr>
      </w:pPr>
      <w:r w:rsidRPr="007476BD">
        <w:rPr>
          <w:rFonts w:cs="Arial"/>
        </w:rPr>
        <w:t xml:space="preserve">Following this detailed assessment, </w:t>
      </w:r>
      <w:r w:rsidR="002F032F" w:rsidRPr="007476BD">
        <w:rPr>
          <w:rFonts w:cs="Arial"/>
        </w:rPr>
        <w:t xml:space="preserve">it </w:t>
      </w:r>
      <w:r w:rsidR="003E7ACD" w:rsidRPr="007476BD">
        <w:rPr>
          <w:rFonts w:cs="Arial"/>
        </w:rPr>
        <w:t>was concluded:</w:t>
      </w:r>
    </w:p>
    <w:p w:rsidR="005E64B0" w:rsidRPr="007476BD" w:rsidRDefault="005E64B0" w:rsidP="00C85C1E">
      <w:pPr>
        <w:rPr>
          <w:rFonts w:cs="Arial"/>
        </w:rPr>
      </w:pPr>
    </w:p>
    <w:p w:rsidR="004F0D8E" w:rsidRPr="007476BD" w:rsidRDefault="002F032F" w:rsidP="004F0D8E">
      <w:pPr>
        <w:pStyle w:val="FSBullet"/>
      </w:pPr>
      <w:r w:rsidRPr="007476BD">
        <w:t>T</w:t>
      </w:r>
      <w:r w:rsidR="00C85C1E" w:rsidRPr="007476BD">
        <w:t>he proposed use of Advantame as an intense sweeten</w:t>
      </w:r>
      <w:r w:rsidR="003E7ACD" w:rsidRPr="007476BD">
        <w:t>er is technologically justified</w:t>
      </w:r>
      <w:r w:rsidR="0004077E" w:rsidRPr="007476BD">
        <w:t>.</w:t>
      </w:r>
    </w:p>
    <w:p w:rsidR="004F0D8E" w:rsidRPr="007476BD" w:rsidRDefault="0004077E" w:rsidP="004F0D8E">
      <w:pPr>
        <w:pStyle w:val="FSBullet"/>
      </w:pPr>
      <w:r w:rsidRPr="007476BD">
        <w:t>The</w:t>
      </w:r>
      <w:r w:rsidR="00C85C1E" w:rsidRPr="007476BD">
        <w:t xml:space="preserve"> toxicity of Advantame has been well</w:t>
      </w:r>
      <w:r w:rsidR="00935337" w:rsidRPr="007476BD">
        <w:t>-</w:t>
      </w:r>
      <w:r w:rsidR="00C85C1E" w:rsidRPr="007476BD">
        <w:t>characterised based on an extensive</w:t>
      </w:r>
      <w:r w:rsidR="002F032F" w:rsidRPr="007476BD">
        <w:t>.</w:t>
      </w:r>
      <w:r w:rsidR="00C85C1E" w:rsidRPr="007476BD">
        <w:t xml:space="preserve"> database. Th</w:t>
      </w:r>
      <w:r w:rsidR="00326325" w:rsidRPr="007476BD">
        <w:t xml:space="preserve">e ADI for Advantame is set at </w:t>
      </w:r>
      <w:r w:rsidR="00C85C1E" w:rsidRPr="007476BD">
        <w:t>5 mg/kg bw</w:t>
      </w:r>
      <w:r w:rsidR="00640D86" w:rsidRPr="007476BD">
        <w:t>/day</w:t>
      </w:r>
      <w:r w:rsidRPr="007476BD">
        <w:t>.</w:t>
      </w:r>
    </w:p>
    <w:p w:rsidR="004F0D8E" w:rsidRPr="007476BD" w:rsidRDefault="0004077E" w:rsidP="004F0D8E">
      <w:pPr>
        <w:pStyle w:val="FSBullet"/>
      </w:pPr>
      <w:r w:rsidRPr="007476BD">
        <w:t>F</w:t>
      </w:r>
      <w:r w:rsidR="00C85C1E" w:rsidRPr="007476BD">
        <w:t>or all groups of Australian and New Zealand consumers assessed (including children), estimated dietary exposures were well below the ADI</w:t>
      </w:r>
      <w:r w:rsidRPr="007476BD">
        <w:t>.</w:t>
      </w:r>
    </w:p>
    <w:p w:rsidR="00603FA8" w:rsidRPr="007476BD" w:rsidRDefault="0004077E" w:rsidP="00603FA8">
      <w:pPr>
        <w:pStyle w:val="FSBullet"/>
      </w:pPr>
      <w:r w:rsidRPr="007476BD">
        <w:t>There</w:t>
      </w:r>
      <w:r w:rsidR="00C85C1E" w:rsidRPr="007476BD">
        <w:t xml:space="preserve"> are no public health and safety issues associated with the proposed addition of Advantame to food.</w:t>
      </w:r>
    </w:p>
    <w:p w:rsidR="001A7EB2" w:rsidRPr="007476BD" w:rsidRDefault="001A7EB2" w:rsidP="001A7EB2">
      <w:pPr>
        <w:widowControl/>
      </w:pPr>
    </w:p>
    <w:p w:rsidR="008A4BCA" w:rsidRPr="007476BD" w:rsidRDefault="008A4BCA" w:rsidP="001A7EB2">
      <w:pPr>
        <w:widowControl/>
        <w:rPr>
          <w:rFonts w:cs="Arial"/>
        </w:rPr>
      </w:pPr>
      <w:r w:rsidRPr="007476BD">
        <w:t>FSANZ sought an external peer review of the toxicology report in parallel with the public consultation for the 1</w:t>
      </w:r>
      <w:r w:rsidRPr="007476BD">
        <w:rPr>
          <w:vertAlign w:val="superscript"/>
        </w:rPr>
        <w:t>st</w:t>
      </w:r>
      <w:r w:rsidRPr="007476BD">
        <w:t xml:space="preserve"> Assessment Report. The reviewer concurred with the conclusions drawn by FSANZ in the Hazard Assessment Report and commented that FSANZ’s evaluation was scientifically defensible. A </w:t>
      </w:r>
      <w:r w:rsidR="002F032F" w:rsidRPr="007476BD">
        <w:t>few</w:t>
      </w:r>
      <w:r w:rsidRPr="007476BD">
        <w:t xml:space="preserve"> suggestions were made to improve the clarity of the report, which w</w:t>
      </w:r>
      <w:r w:rsidR="002F032F" w:rsidRPr="007476BD">
        <w:t>ere</w:t>
      </w:r>
      <w:r w:rsidRPr="007476BD">
        <w:t xml:space="preserve"> adopted in the final version of the Risk and Technical Assessment Report. </w:t>
      </w:r>
    </w:p>
    <w:p w:rsidR="001A7EB2" w:rsidRPr="007476BD" w:rsidRDefault="001A7EB2" w:rsidP="001A7EB2"/>
    <w:p w:rsidR="003C4969" w:rsidRPr="007476BD" w:rsidRDefault="00807559" w:rsidP="001C27A3">
      <w:pPr>
        <w:pStyle w:val="Heading1"/>
        <w:rPr>
          <w:rFonts w:ascii="Arial" w:hAnsi="Arial" w:cs="Arial"/>
        </w:rPr>
      </w:pPr>
      <w:bookmarkStart w:id="50" w:name="_Toc296958605"/>
      <w:r w:rsidRPr="007476BD">
        <w:rPr>
          <w:rFonts w:ascii="Arial" w:hAnsi="Arial" w:cs="Arial"/>
        </w:rPr>
        <w:t>Risk M</w:t>
      </w:r>
      <w:r w:rsidR="003C4969" w:rsidRPr="007476BD">
        <w:rPr>
          <w:rFonts w:ascii="Arial" w:hAnsi="Arial" w:cs="Arial"/>
        </w:rPr>
        <w:t>anagement</w:t>
      </w:r>
      <w:bookmarkEnd w:id="50"/>
    </w:p>
    <w:p w:rsidR="00D60568" w:rsidRPr="007476BD" w:rsidRDefault="00D60568" w:rsidP="00D60568">
      <w:pPr>
        <w:rPr>
          <w:rFonts w:cs="Arial"/>
        </w:rPr>
      </w:pPr>
    </w:p>
    <w:p w:rsidR="00D60568" w:rsidRPr="007476BD" w:rsidRDefault="001C27A3" w:rsidP="001C27A3">
      <w:pPr>
        <w:pStyle w:val="Heading2"/>
      </w:pPr>
      <w:bookmarkStart w:id="51" w:name="_Toc296958606"/>
      <w:r w:rsidRPr="007476BD">
        <w:t>6</w:t>
      </w:r>
      <w:r w:rsidR="00D60568" w:rsidRPr="007476BD">
        <w:t>.</w:t>
      </w:r>
      <w:r w:rsidRPr="007476BD">
        <w:tab/>
      </w:r>
      <w:r w:rsidR="00A852F4" w:rsidRPr="007476BD">
        <w:t xml:space="preserve">Risk Management </w:t>
      </w:r>
      <w:r w:rsidR="00D60568" w:rsidRPr="007476BD">
        <w:t>Issues</w:t>
      </w:r>
      <w:bookmarkEnd w:id="51"/>
    </w:p>
    <w:p w:rsidR="009C1B0D" w:rsidRPr="007476BD" w:rsidRDefault="009C1B0D" w:rsidP="009C1B0D"/>
    <w:p w:rsidR="00935337" w:rsidRPr="007476BD" w:rsidRDefault="00D23EB7" w:rsidP="00935337">
      <w:r w:rsidRPr="007476BD">
        <w:t>FSANZ’s regulatory approach differs depending on the nature of the risks identified and there are a number of approaches used to manage identified risks</w:t>
      </w:r>
      <w:r w:rsidR="00503CC3" w:rsidRPr="007476BD">
        <w:t xml:space="preserve">. </w:t>
      </w:r>
      <w:r w:rsidR="00935337" w:rsidRPr="007476BD">
        <w:br w:type="page"/>
      </w:r>
    </w:p>
    <w:p w:rsidR="0000191E" w:rsidRPr="007476BD" w:rsidRDefault="00B06074" w:rsidP="00935337">
      <w:pPr>
        <w:rPr>
          <w:rFonts w:cs="Arial"/>
          <w:szCs w:val="22"/>
          <w:lang w:eastAsia="en-GB"/>
        </w:rPr>
      </w:pPr>
      <w:r w:rsidRPr="007476BD">
        <w:lastRenderedPageBreak/>
        <w:t xml:space="preserve">These may </w:t>
      </w:r>
      <w:r w:rsidR="00D23EB7" w:rsidRPr="007476BD">
        <w:t xml:space="preserve">include </w:t>
      </w:r>
      <w:r w:rsidRPr="007476BD">
        <w:t xml:space="preserve">prescribing </w:t>
      </w:r>
      <w:r w:rsidR="00D23EB7" w:rsidRPr="007476BD">
        <w:t>specification</w:t>
      </w:r>
      <w:r w:rsidR="00182222" w:rsidRPr="007476BD">
        <w:t>s for the identity and purity of the substance</w:t>
      </w:r>
      <w:r w:rsidR="00D23EB7" w:rsidRPr="007476BD">
        <w:t>, compositional and/or labelling requirements, and where necessary, restriction or prohibition</w:t>
      </w:r>
      <w:r w:rsidR="00503CC3" w:rsidRPr="007476BD">
        <w:t xml:space="preserve">. </w:t>
      </w:r>
      <w:r w:rsidR="00D23EB7" w:rsidRPr="007476BD">
        <w:rPr>
          <w:rFonts w:cs="Arial"/>
          <w:szCs w:val="22"/>
          <w:lang w:eastAsia="en-GB"/>
        </w:rPr>
        <w:t>Drawing on the conclusions from the risk assessment, the following sections discuss approaches to managing any identified public health and safety risks and other broader issues requiring consideration in the development of regulations for</w:t>
      </w:r>
      <w:r w:rsidR="004710F4" w:rsidRPr="007476BD">
        <w:rPr>
          <w:rFonts w:cs="Arial"/>
          <w:szCs w:val="22"/>
          <w:lang w:eastAsia="en-GB"/>
        </w:rPr>
        <w:t xml:space="preserve"> addition of </w:t>
      </w:r>
      <w:r w:rsidR="00276EDB" w:rsidRPr="007476BD">
        <w:rPr>
          <w:rFonts w:cs="Arial"/>
          <w:szCs w:val="22"/>
          <w:lang w:eastAsia="en-GB"/>
        </w:rPr>
        <w:t>Advantame</w:t>
      </w:r>
      <w:r w:rsidR="00D24575" w:rsidRPr="007476BD">
        <w:rPr>
          <w:rFonts w:cs="Arial"/>
          <w:szCs w:val="22"/>
          <w:lang w:eastAsia="en-GB"/>
        </w:rPr>
        <w:t xml:space="preserve"> to specific foods. </w:t>
      </w:r>
    </w:p>
    <w:p w:rsidR="0000191E" w:rsidRPr="007476BD" w:rsidRDefault="0000191E" w:rsidP="0000191E">
      <w:pPr>
        <w:rPr>
          <w:rFonts w:cs="Arial"/>
        </w:rPr>
      </w:pPr>
    </w:p>
    <w:p w:rsidR="0000191E" w:rsidRPr="007476BD" w:rsidRDefault="0000191E" w:rsidP="0000191E">
      <w:pPr>
        <w:pStyle w:val="Heading3"/>
        <w:keepLines/>
      </w:pPr>
      <w:bookmarkStart w:id="52" w:name="_Toc289938357"/>
      <w:bookmarkStart w:id="53" w:name="_Toc290980589"/>
      <w:bookmarkStart w:id="54" w:name="_Toc296958607"/>
      <w:r w:rsidRPr="007476BD">
        <w:t>6.1</w:t>
      </w:r>
      <w:r w:rsidRPr="007476BD">
        <w:tab/>
        <w:t>Addressing the objectives</w:t>
      </w:r>
      <w:bookmarkEnd w:id="52"/>
      <w:bookmarkEnd w:id="53"/>
      <w:bookmarkEnd w:id="54"/>
    </w:p>
    <w:p w:rsidR="0000191E" w:rsidRPr="007476BD" w:rsidRDefault="0000191E" w:rsidP="0000191E"/>
    <w:p w:rsidR="0000191E" w:rsidRPr="007476BD" w:rsidRDefault="0000191E" w:rsidP="0000191E">
      <w:r w:rsidRPr="007476BD">
        <w:t>The legislative objectives that FSANZ is required to meet when developing or varying a food standard are noted in section 3. FSANZ considers the primary objective</w:t>
      </w:r>
      <w:r w:rsidR="0011067C" w:rsidRPr="007476BD">
        <w:t>s</w:t>
      </w:r>
      <w:r w:rsidRPr="007476BD">
        <w:t xml:space="preserve"> of most relevance to this Application is </w:t>
      </w:r>
      <w:r w:rsidR="00BB38B1" w:rsidRPr="007476BD">
        <w:rPr>
          <w:szCs w:val="20"/>
          <w:lang w:bidi="ar-SA"/>
        </w:rPr>
        <w:t>protecting public health and safety and the provision of adequate information relating to food to enable consumers to make informed choices. The</w:t>
      </w:r>
      <w:r w:rsidR="00BB38B1" w:rsidRPr="007476BD">
        <w:rPr>
          <w:rFonts w:cs="Arial"/>
          <w:szCs w:val="20"/>
          <w:lang w:bidi="ar-SA"/>
        </w:rPr>
        <w:t xml:space="preserve"> other objective of prevention of misleading and deceptive conduct has less direct relevance but </w:t>
      </w:r>
      <w:r w:rsidR="004F3834" w:rsidRPr="007476BD">
        <w:rPr>
          <w:rFonts w:cs="Arial"/>
          <w:szCs w:val="20"/>
          <w:lang w:bidi="ar-SA"/>
        </w:rPr>
        <w:t xml:space="preserve">was </w:t>
      </w:r>
      <w:r w:rsidR="00BB38B1" w:rsidRPr="007476BD">
        <w:rPr>
          <w:rFonts w:cs="Arial"/>
          <w:szCs w:val="20"/>
          <w:lang w:bidi="ar-SA"/>
        </w:rPr>
        <w:t>also taken into consideration</w:t>
      </w:r>
      <w:r w:rsidR="00477B0F" w:rsidRPr="007476BD">
        <w:rPr>
          <w:szCs w:val="20"/>
          <w:lang w:bidi="ar-SA"/>
        </w:rPr>
        <w:t xml:space="preserve">. </w:t>
      </w:r>
      <w:r w:rsidR="00B56993" w:rsidRPr="007476BD">
        <w:t>The</w:t>
      </w:r>
      <w:r w:rsidR="00B33CF2" w:rsidRPr="007476BD">
        <w:t xml:space="preserve">se are addressed in </w:t>
      </w:r>
      <w:r w:rsidR="00F86CE0" w:rsidRPr="007476BD">
        <w:t xml:space="preserve">sections </w:t>
      </w:r>
      <w:r w:rsidR="00B33CF2" w:rsidRPr="007476BD">
        <w:t xml:space="preserve">6.2 to 6.4. </w:t>
      </w:r>
    </w:p>
    <w:p w:rsidR="009C1B0D" w:rsidRPr="007476BD" w:rsidRDefault="009C1B0D" w:rsidP="009C1B0D"/>
    <w:p w:rsidR="00D23EB7" w:rsidRPr="007476BD" w:rsidRDefault="00D23EB7" w:rsidP="00D23EB7">
      <w:pPr>
        <w:pStyle w:val="Heading3"/>
      </w:pPr>
      <w:bookmarkStart w:id="55" w:name="_Toc239150677"/>
      <w:bookmarkStart w:id="56" w:name="_Toc296958608"/>
      <w:r w:rsidRPr="007476BD">
        <w:t>6.</w:t>
      </w:r>
      <w:r w:rsidR="00B33CF2" w:rsidRPr="007476BD">
        <w:t>2</w:t>
      </w:r>
      <w:r w:rsidRPr="007476BD">
        <w:tab/>
        <w:t>Risk to public health and safety</w:t>
      </w:r>
      <w:bookmarkEnd w:id="55"/>
      <w:bookmarkEnd w:id="56"/>
    </w:p>
    <w:p w:rsidR="009C1B0D" w:rsidRPr="007476BD" w:rsidRDefault="009C1B0D" w:rsidP="009C1B0D"/>
    <w:p w:rsidR="00C37E13" w:rsidRPr="007476BD" w:rsidDel="00B56993" w:rsidRDefault="00687F1D" w:rsidP="00D23EB7">
      <w:r w:rsidRPr="007476BD" w:rsidDel="00B56993">
        <w:rPr>
          <w:rFonts w:cs="Arial"/>
        </w:rPr>
        <w:t xml:space="preserve">FSANZ concludes that approval of Advantame </w:t>
      </w:r>
      <w:r w:rsidR="00166342" w:rsidRPr="007476BD" w:rsidDel="00B56993">
        <w:rPr>
          <w:rFonts w:cs="Arial"/>
        </w:rPr>
        <w:t xml:space="preserve">as a Schedule 2 food additive in Standard 1.3.1 poses negligible risk to public health and safety for Australian or New Zealand consumers. </w:t>
      </w:r>
      <w:r w:rsidR="00561AD5" w:rsidRPr="007476BD" w:rsidDel="00B56993">
        <w:rPr>
          <w:rFonts w:cs="Arial"/>
        </w:rPr>
        <w:t>Initially</w:t>
      </w:r>
      <w:r w:rsidR="00603FA8" w:rsidRPr="007476BD" w:rsidDel="00B56993">
        <w:rPr>
          <w:rFonts w:cs="Arial"/>
        </w:rPr>
        <w:t>,</w:t>
      </w:r>
      <w:r w:rsidR="00A86F7A" w:rsidRPr="007476BD" w:rsidDel="00B56993">
        <w:rPr>
          <w:rFonts w:cs="Arial"/>
        </w:rPr>
        <w:t xml:space="preserve"> p</w:t>
      </w:r>
      <w:r w:rsidR="00166342" w:rsidRPr="007476BD" w:rsidDel="00B56993">
        <w:rPr>
          <w:rFonts w:cs="Arial"/>
        </w:rPr>
        <w:t>roposed uses are i</w:t>
      </w:r>
      <w:r w:rsidRPr="007476BD" w:rsidDel="00B56993">
        <w:rPr>
          <w:rFonts w:cs="Arial"/>
        </w:rPr>
        <w:t>n</w:t>
      </w:r>
      <w:r w:rsidRPr="007476BD" w:rsidDel="00B56993">
        <w:t xml:space="preserve"> table top sugar substitutes (powdered only) and a range of powdered beverages including fruit </w:t>
      </w:r>
      <w:r w:rsidR="0086575E" w:rsidRPr="007476BD" w:rsidDel="00B56993">
        <w:t xml:space="preserve">flavoured </w:t>
      </w:r>
      <w:r w:rsidRPr="007476BD" w:rsidDel="00B56993">
        <w:t xml:space="preserve">drinks, milks and </w:t>
      </w:r>
      <w:r w:rsidR="00A47F61" w:rsidRPr="007476BD" w:rsidDel="00B56993">
        <w:t>f</w:t>
      </w:r>
      <w:r w:rsidR="00E71E0F" w:rsidRPr="007476BD" w:rsidDel="00B56993">
        <w:t xml:space="preserve">lavoured </w:t>
      </w:r>
      <w:r w:rsidRPr="007476BD" w:rsidDel="00B56993">
        <w:t>milk drinks, instant tea a</w:t>
      </w:r>
      <w:r w:rsidR="00166342" w:rsidRPr="007476BD" w:rsidDel="00B56993">
        <w:t>nd coffee, and protein drinks.</w:t>
      </w:r>
    </w:p>
    <w:p w:rsidR="00166342" w:rsidRPr="007476BD" w:rsidRDefault="00166342" w:rsidP="00D23EB7">
      <w:pPr>
        <w:rPr>
          <w:rFonts w:cs="Arial"/>
        </w:rPr>
      </w:pPr>
    </w:p>
    <w:p w:rsidR="00790050" w:rsidRPr="007476BD" w:rsidRDefault="00B33CF2" w:rsidP="00790050">
      <w:pPr>
        <w:pStyle w:val="Heading3"/>
      </w:pPr>
      <w:bookmarkStart w:id="57" w:name="_Toc296958609"/>
      <w:bookmarkStart w:id="58" w:name="_Toc239150678"/>
      <w:r w:rsidRPr="007476BD">
        <w:t>6.3</w:t>
      </w:r>
      <w:r w:rsidR="00790050" w:rsidRPr="007476BD">
        <w:tab/>
        <w:t>Labelling of Advantame-containing products</w:t>
      </w:r>
      <w:bookmarkEnd w:id="57"/>
      <w:r w:rsidR="00790050" w:rsidRPr="007476BD">
        <w:t xml:space="preserve"> </w:t>
      </w:r>
    </w:p>
    <w:p w:rsidR="00790050" w:rsidRPr="007476BD" w:rsidRDefault="00790050" w:rsidP="00790050"/>
    <w:p w:rsidR="00790050" w:rsidRPr="007476BD" w:rsidRDefault="00B33CF2" w:rsidP="00790050">
      <w:r w:rsidRPr="007476BD">
        <w:t xml:space="preserve">Labelling addresses the objective set out in section 18(1)(b) of the FSANZ Act; the provision of adequate information relating to food to enable consumers to make informed choices. </w:t>
      </w:r>
      <w:r w:rsidR="00790050" w:rsidRPr="007476BD">
        <w:t xml:space="preserve">Labelling provisions are included within the Code to protect public health and safety and to provide adequate information to enable consumers to make informed choices. </w:t>
      </w:r>
    </w:p>
    <w:p w:rsidR="00790050" w:rsidRPr="007476BD" w:rsidRDefault="00790050" w:rsidP="00790050"/>
    <w:p w:rsidR="00790050" w:rsidRPr="007476BD" w:rsidRDefault="00B33CF2" w:rsidP="00B33CF2">
      <w:pPr>
        <w:pStyle w:val="Heading4"/>
      </w:pPr>
      <w:r w:rsidRPr="007476BD">
        <w:t>6.3</w:t>
      </w:r>
      <w:r w:rsidR="00790050" w:rsidRPr="007476BD">
        <w:t xml:space="preserve">.1 </w:t>
      </w:r>
      <w:r w:rsidR="00790050" w:rsidRPr="007476BD">
        <w:tab/>
        <w:t>Mandatory advisory statements</w:t>
      </w:r>
    </w:p>
    <w:p w:rsidR="00790050" w:rsidRPr="007476BD" w:rsidRDefault="00790050" w:rsidP="00790050">
      <w:pPr>
        <w:autoSpaceDE w:val="0"/>
        <w:autoSpaceDN w:val="0"/>
        <w:adjustRightInd w:val="0"/>
      </w:pPr>
    </w:p>
    <w:p w:rsidR="00790050" w:rsidRPr="007476BD" w:rsidRDefault="00790050" w:rsidP="00790050">
      <w:pPr>
        <w:spacing w:line="240" w:lineRule="atLeast"/>
        <w:ind w:right="100"/>
        <w:rPr>
          <w:rFonts w:cs="Arial"/>
          <w:color w:val="000000"/>
        </w:rPr>
      </w:pPr>
      <w:r w:rsidRPr="007476BD">
        <w:rPr>
          <w:rFonts w:cs="Arial"/>
          <w:color w:val="000000"/>
        </w:rPr>
        <w:t xml:space="preserve">Standard 1.2.3 – Mandatory Warning and Advisory Statements and Declarations requires foods containing aspartame or aspartame-acesulphame salt to be labelled with an advisory statement to the effect that the food contains phenylalanine for consumers with phenylketonuria. The risk assessment has determined that while there is no phenylalanine in food products containing Advantame, or formed in the digestive tract prior to absorption (similar to </w:t>
      </w:r>
      <w:r w:rsidR="00A848BB" w:rsidRPr="007476BD">
        <w:rPr>
          <w:rFonts w:cs="Arial"/>
          <w:color w:val="000000"/>
        </w:rPr>
        <w:t>aspartame</w:t>
      </w:r>
      <w:r w:rsidRPr="007476BD">
        <w:rPr>
          <w:rStyle w:val="FootnoteReference"/>
          <w:rFonts w:cs="Arial"/>
          <w:color w:val="000000"/>
        </w:rPr>
        <w:footnoteReference w:id="3"/>
      </w:r>
      <w:r w:rsidRPr="007476BD">
        <w:rPr>
          <w:rFonts w:cs="Arial"/>
          <w:color w:val="000000"/>
        </w:rPr>
        <w:t xml:space="preserve">), phenylalanine is likely to be formed </w:t>
      </w:r>
      <w:r w:rsidRPr="007476BD">
        <w:rPr>
          <w:rFonts w:cs="Arial"/>
          <w:i/>
          <w:color w:val="000000"/>
        </w:rPr>
        <w:t>in vivo</w:t>
      </w:r>
      <w:r w:rsidRPr="007476BD">
        <w:rPr>
          <w:rFonts w:cs="Arial"/>
          <w:color w:val="000000"/>
        </w:rPr>
        <w:t xml:space="preserve"> (after absorption) similar to Neotame (refer to SD1). In considering </w:t>
      </w:r>
      <w:r w:rsidRPr="007476BD">
        <w:rPr>
          <w:rFonts w:cs="Arial"/>
        </w:rPr>
        <w:t>Neotame, the Joint FAO/WHO Expert Committee on Food Additives (JECFA) concluded that with regard to phenylketonuria, the formation of phenylalanine from the normal use of Neotame ‘would not be significant in relation to this condition’ (WHO 2004). Based on the similarity in metabolism, FSANZ has concluded that this is also true for Advantame.</w:t>
      </w:r>
      <w:r w:rsidRPr="007476BD">
        <w:rPr>
          <w:rFonts w:cs="Arial"/>
          <w:color w:val="000000"/>
        </w:rPr>
        <w:t xml:space="preserve"> Therefore, an advisory statement for consumers with phenylketonuria in the Code is not required. </w:t>
      </w:r>
    </w:p>
    <w:p w:rsidR="00790050" w:rsidRPr="007476BD" w:rsidRDefault="00790050" w:rsidP="00790050">
      <w:pPr>
        <w:spacing w:line="240" w:lineRule="atLeast"/>
        <w:ind w:right="100"/>
        <w:rPr>
          <w:rFonts w:cs="Arial"/>
          <w:color w:val="000000"/>
        </w:rPr>
      </w:pPr>
    </w:p>
    <w:p w:rsidR="00790050" w:rsidRPr="007476BD" w:rsidRDefault="00790050" w:rsidP="00790050">
      <w:pPr>
        <w:pStyle w:val="Heading4"/>
        <w:rPr>
          <w:lang w:eastAsia="en-AU"/>
        </w:rPr>
      </w:pPr>
      <w:r w:rsidRPr="007476BD">
        <w:rPr>
          <w:lang w:eastAsia="en-AU"/>
        </w:rPr>
        <w:t>6.</w:t>
      </w:r>
      <w:r w:rsidR="00B33CF2" w:rsidRPr="007476BD">
        <w:rPr>
          <w:lang w:eastAsia="en-AU"/>
        </w:rPr>
        <w:t>3</w:t>
      </w:r>
      <w:r w:rsidRPr="007476BD">
        <w:rPr>
          <w:lang w:eastAsia="en-AU"/>
        </w:rPr>
        <w:t>.2</w:t>
      </w:r>
      <w:r w:rsidRPr="007476BD">
        <w:rPr>
          <w:lang w:eastAsia="en-AU"/>
        </w:rPr>
        <w:tab/>
        <w:t xml:space="preserve">Labelling of ingredients </w:t>
      </w:r>
    </w:p>
    <w:p w:rsidR="00790050" w:rsidRPr="007476BD" w:rsidRDefault="00790050" w:rsidP="00790050">
      <w:pPr>
        <w:autoSpaceDE w:val="0"/>
        <w:autoSpaceDN w:val="0"/>
        <w:adjustRightInd w:val="0"/>
        <w:rPr>
          <w:lang w:eastAsia="en-AU"/>
        </w:rPr>
      </w:pPr>
    </w:p>
    <w:p w:rsidR="00935337" w:rsidRPr="007476BD" w:rsidRDefault="00790050" w:rsidP="00790050">
      <w:pPr>
        <w:autoSpaceDE w:val="0"/>
        <w:autoSpaceDN w:val="0"/>
        <w:adjustRightInd w:val="0"/>
        <w:rPr>
          <w:lang w:eastAsia="en-AU"/>
        </w:rPr>
      </w:pPr>
      <w:r w:rsidRPr="007476BD">
        <w:rPr>
          <w:lang w:eastAsia="en-AU"/>
        </w:rPr>
        <w:t xml:space="preserve">It is proposed that the general labelling requirements in the Code, applicable to foods for retail sale required to bear a label, including the mandatory declaration of food additives (Standard 1.2.4 – Labelling of Ingredients) would apply. </w:t>
      </w:r>
      <w:r w:rsidR="00935337" w:rsidRPr="007476BD">
        <w:rPr>
          <w:lang w:eastAsia="en-AU"/>
        </w:rPr>
        <w:br w:type="page"/>
      </w:r>
    </w:p>
    <w:p w:rsidR="00790050" w:rsidRPr="007476BD" w:rsidRDefault="00790050" w:rsidP="00790050">
      <w:pPr>
        <w:autoSpaceDE w:val="0"/>
        <w:autoSpaceDN w:val="0"/>
        <w:adjustRightInd w:val="0"/>
        <w:rPr>
          <w:lang w:eastAsia="en-AU"/>
        </w:rPr>
      </w:pPr>
      <w:r w:rsidRPr="007476BD">
        <w:rPr>
          <w:lang w:eastAsia="en-AU"/>
        </w:rPr>
        <w:lastRenderedPageBreak/>
        <w:t xml:space="preserve">In accordance with these existing requirements, where a food for retail sale is required to bear a label and contains Advantame, the sweetener would be declared in the ingredient list </w:t>
      </w:r>
      <w:r w:rsidRPr="007476BD">
        <w:t>by its class name ‘sweetener’ followed by its specific name ‘Advantame’. There is currently no international additive number for Advantame.</w:t>
      </w:r>
      <w:r w:rsidRPr="007476BD">
        <w:rPr>
          <w:rStyle w:val="FootnoteReference"/>
        </w:rPr>
        <w:footnoteReference w:id="4"/>
      </w:r>
      <w:r w:rsidRPr="007476BD">
        <w:rPr>
          <w:lang w:eastAsia="en-AU"/>
        </w:rPr>
        <w:t xml:space="preserve"> Until a code number is established, the specific name Advantame must be used in the ingredients list. However, when a number is assigned and placed into the Code</w:t>
      </w:r>
      <w:r w:rsidRPr="007476BD">
        <w:rPr>
          <w:rStyle w:val="FootnoteReference"/>
          <w:lang w:eastAsia="en-AU"/>
        </w:rPr>
        <w:footnoteReference w:id="5"/>
      </w:r>
      <w:r w:rsidRPr="007476BD">
        <w:rPr>
          <w:lang w:eastAsia="en-AU"/>
        </w:rPr>
        <w:t>,</w:t>
      </w:r>
      <w:r w:rsidR="00796388" w:rsidRPr="007476BD">
        <w:rPr>
          <w:lang w:eastAsia="en-AU"/>
        </w:rPr>
        <w:t xml:space="preserve"> then declaration of Advantame </w:t>
      </w:r>
      <w:r w:rsidRPr="007476BD">
        <w:rPr>
          <w:lang w:eastAsia="en-AU"/>
        </w:rPr>
        <w:t xml:space="preserve">as a food additive would then be possible by name or number. This requirement will also apply to the retail sale of table top sugar substitute formulations containing Advantame. The declaration of Advantame on the label of a food will therefore alert consumers to its presence and may be used by consumers to choose or avoid foods containing Advantame if they so wish. </w:t>
      </w:r>
    </w:p>
    <w:p w:rsidR="00790050" w:rsidRPr="007476BD" w:rsidRDefault="00790050" w:rsidP="00790050">
      <w:pPr>
        <w:autoSpaceDE w:val="0"/>
        <w:autoSpaceDN w:val="0"/>
        <w:adjustRightInd w:val="0"/>
        <w:rPr>
          <w:lang w:eastAsia="en-AU"/>
        </w:rPr>
      </w:pPr>
    </w:p>
    <w:p w:rsidR="00790050" w:rsidRPr="007476BD" w:rsidRDefault="00790050" w:rsidP="00790050">
      <w:pPr>
        <w:autoSpaceDE w:val="0"/>
        <w:autoSpaceDN w:val="0"/>
        <w:adjustRightInd w:val="0"/>
      </w:pPr>
      <w:r w:rsidRPr="007476BD">
        <w:rPr>
          <w:lang w:eastAsia="en-AU"/>
        </w:rPr>
        <w:t xml:space="preserve">Where foods for retail sale are exempt from the requirement to bear a label, such as unpackaged foods, the Code does not require the presence of non-allergenic food additives to be declared. </w:t>
      </w:r>
      <w:r w:rsidRPr="007476BD">
        <w:t>As the risk assessment concludes that the use of Advantame does not raise any public health and safety issues, FSANZ considers the current food additive declaration requirements in Standard 1.2.4 are appropriate for all foods permitted to contain Advantame.</w:t>
      </w:r>
    </w:p>
    <w:p w:rsidR="00790050" w:rsidRPr="007476BD" w:rsidRDefault="00790050" w:rsidP="00790050"/>
    <w:p w:rsidR="00790050" w:rsidRPr="007476BD" w:rsidRDefault="00790050" w:rsidP="00790050">
      <w:pPr>
        <w:rPr>
          <w:rFonts w:cs="Arial"/>
          <w:color w:val="000000"/>
        </w:rPr>
      </w:pPr>
      <w:r w:rsidRPr="007476BD">
        <w:rPr>
          <w:rFonts w:cs="Arial"/>
          <w:color w:val="000000"/>
        </w:rPr>
        <w:t xml:space="preserve">Consumers who wish to avoid Advantame in foods that are not required to bear a label may request information from the food retailer about its presence or otherwise, although provision of this information is not mandated by the Code. </w:t>
      </w:r>
    </w:p>
    <w:p w:rsidR="00790050" w:rsidRPr="007476BD" w:rsidRDefault="00790050" w:rsidP="00790050">
      <w:pPr>
        <w:rPr>
          <w:rFonts w:cs="Arial"/>
          <w:color w:val="000000"/>
        </w:rPr>
      </w:pPr>
    </w:p>
    <w:p w:rsidR="00790050" w:rsidRPr="007476BD" w:rsidRDefault="00790050" w:rsidP="00790050">
      <w:pPr>
        <w:rPr>
          <w:rFonts w:cs="Arial"/>
          <w:color w:val="000000"/>
        </w:rPr>
      </w:pPr>
      <w:r w:rsidRPr="007476BD">
        <w:rPr>
          <w:rFonts w:cs="Arial"/>
          <w:color w:val="000000"/>
        </w:rPr>
        <w:t xml:space="preserve">This approach is consistent in the Code for the use of all permissible non-allergenic food additives in foods that are not required to bear a label. </w:t>
      </w:r>
    </w:p>
    <w:p w:rsidR="00790050" w:rsidRPr="007476BD" w:rsidRDefault="00790050" w:rsidP="00790050">
      <w:pPr>
        <w:rPr>
          <w:rFonts w:cs="Arial"/>
          <w:color w:val="000000"/>
        </w:rPr>
      </w:pPr>
    </w:p>
    <w:p w:rsidR="00790050" w:rsidRPr="007476BD" w:rsidRDefault="00B33CF2" w:rsidP="00B33CF2">
      <w:pPr>
        <w:pStyle w:val="Heading4"/>
        <w:rPr>
          <w:lang w:eastAsia="en-AU"/>
        </w:rPr>
      </w:pPr>
      <w:r w:rsidRPr="007476BD">
        <w:rPr>
          <w:lang w:eastAsia="en-AU"/>
        </w:rPr>
        <w:t>6.3</w:t>
      </w:r>
      <w:r w:rsidR="00790050" w:rsidRPr="007476BD">
        <w:rPr>
          <w:lang w:eastAsia="en-AU"/>
        </w:rPr>
        <w:t>.3</w:t>
      </w:r>
      <w:r w:rsidR="00790050" w:rsidRPr="007476BD">
        <w:rPr>
          <w:lang w:eastAsia="en-AU"/>
        </w:rPr>
        <w:tab/>
        <w:t xml:space="preserve">Nutrition, health and related claims </w:t>
      </w:r>
    </w:p>
    <w:p w:rsidR="00790050" w:rsidRPr="007476BD" w:rsidRDefault="00790050" w:rsidP="00790050">
      <w:pPr>
        <w:rPr>
          <w:rFonts w:cs="Arial"/>
          <w:color w:val="000000"/>
          <w:szCs w:val="22"/>
        </w:rPr>
      </w:pPr>
    </w:p>
    <w:p w:rsidR="00790050" w:rsidRPr="007476BD" w:rsidRDefault="00790050" w:rsidP="00790050">
      <w:pPr>
        <w:widowControl/>
        <w:rPr>
          <w:rFonts w:cs="Arial"/>
          <w:szCs w:val="22"/>
        </w:rPr>
      </w:pPr>
      <w:r w:rsidRPr="007476BD">
        <w:rPr>
          <w:rFonts w:cs="Arial"/>
          <w:szCs w:val="22"/>
        </w:rPr>
        <w:t xml:space="preserve">It is proposed that similar to other intense sweeteners that are currently in the market place, claims in accordance with the requirements in Standards 1.1A.2 – Transitional Standard – Health Claims and 1.2.8 – Nutrition Information Requirements may be made about foods containing Advantame. </w:t>
      </w:r>
    </w:p>
    <w:p w:rsidR="00790050" w:rsidRPr="007476BD" w:rsidRDefault="00790050" w:rsidP="00790050">
      <w:pPr>
        <w:widowControl/>
        <w:rPr>
          <w:rFonts w:cs="Arial"/>
          <w:szCs w:val="22"/>
        </w:rPr>
      </w:pPr>
    </w:p>
    <w:p w:rsidR="00790050" w:rsidRPr="007476BD" w:rsidRDefault="00790050" w:rsidP="00790050">
      <w:pPr>
        <w:widowControl/>
        <w:rPr>
          <w:rFonts w:cs="Arial"/>
          <w:color w:val="000000"/>
          <w:szCs w:val="22"/>
          <w:lang w:eastAsia="en-GB" w:bidi="ar-SA"/>
        </w:rPr>
      </w:pPr>
      <w:r w:rsidRPr="007476BD">
        <w:rPr>
          <w:rFonts w:cs="Arial"/>
          <w:szCs w:val="22"/>
        </w:rPr>
        <w:t>Other claims in accordance with the conditions specified in</w:t>
      </w:r>
      <w:r w:rsidR="00A848BB" w:rsidRPr="007476BD">
        <w:rPr>
          <w:rFonts w:cs="Arial"/>
          <w:szCs w:val="22"/>
        </w:rPr>
        <w:t xml:space="preserve"> </w:t>
      </w:r>
      <w:r w:rsidR="00A848BB" w:rsidRPr="007476BD">
        <w:rPr>
          <w:rFonts w:cs="Arial"/>
          <w:i/>
          <w:szCs w:val="22"/>
        </w:rPr>
        <w:t xml:space="preserve">The Code of Practice on Nutrient Claims in Food Labels and in Advertisements </w:t>
      </w:r>
      <w:r w:rsidR="00A848BB" w:rsidRPr="007476BD">
        <w:rPr>
          <w:rFonts w:cs="Arial"/>
          <w:szCs w:val="22"/>
        </w:rPr>
        <w:t>(</w:t>
      </w:r>
      <w:r w:rsidRPr="007476BD">
        <w:rPr>
          <w:rFonts w:cs="Arial"/>
          <w:szCs w:val="22"/>
        </w:rPr>
        <w:t xml:space="preserve"> CoPoNC</w:t>
      </w:r>
      <w:r w:rsidR="00A848BB" w:rsidRPr="007476BD">
        <w:rPr>
          <w:rFonts w:cs="Arial"/>
          <w:szCs w:val="22"/>
        </w:rPr>
        <w:t>)</w:t>
      </w:r>
      <w:r w:rsidR="00A848BB" w:rsidRPr="007476BD">
        <w:rPr>
          <w:rStyle w:val="FootnoteReference"/>
          <w:rFonts w:cs="Arial"/>
          <w:szCs w:val="22"/>
        </w:rPr>
        <w:footnoteReference w:id="6"/>
      </w:r>
      <w:r w:rsidRPr="007476BD">
        <w:rPr>
          <w:rFonts w:cs="Arial"/>
          <w:szCs w:val="22"/>
        </w:rPr>
        <w:t xml:space="preserve"> may also be applicable for foods containing Advantame. For all claims, the requirements of </w:t>
      </w:r>
      <w:r w:rsidRPr="007476BD">
        <w:rPr>
          <w:rFonts w:cs="Arial"/>
          <w:iCs/>
          <w:szCs w:val="22"/>
        </w:rPr>
        <w:t xml:space="preserve">fair trade legislation (i.e. </w:t>
      </w:r>
      <w:r w:rsidRPr="007476BD">
        <w:rPr>
          <w:rFonts w:cs="Arial"/>
          <w:szCs w:val="22"/>
        </w:rPr>
        <w:t xml:space="preserve">representations about food must not mislead, deceive or be false) must also be met. </w:t>
      </w:r>
    </w:p>
    <w:p w:rsidR="00790050" w:rsidRPr="007476BD" w:rsidRDefault="00790050" w:rsidP="00790050">
      <w:pPr>
        <w:pStyle w:val="Default"/>
        <w:rPr>
          <w:rFonts w:ascii="Arial" w:hAnsi="Arial" w:cs="Arial"/>
          <w:sz w:val="22"/>
          <w:szCs w:val="22"/>
          <w:lang w:val="en-GB"/>
        </w:rPr>
      </w:pPr>
    </w:p>
    <w:p w:rsidR="00790050" w:rsidRPr="007476BD" w:rsidRDefault="00790050" w:rsidP="00790050">
      <w:r w:rsidRPr="007476BD">
        <w:t>FSANZ has proposed a draft Standard – Standard 1.2.7 – Nutrition, Health and Related Claims, under Proposal P293 – Nutrition, Health &amp; Related Claims</w:t>
      </w:r>
      <w:r w:rsidR="00935337" w:rsidRPr="007476BD">
        <w:t>,</w:t>
      </w:r>
      <w:r w:rsidRPr="007476BD">
        <w:t xml:space="preserve"> which includes requirements for a number of nutrition, health and related claims. However, draft Standard 1.2.7 is currently under review due for </w:t>
      </w:r>
      <w:r w:rsidR="00935337" w:rsidRPr="007476BD">
        <w:t xml:space="preserve">further consideration by Ministers. </w:t>
      </w:r>
      <w:r w:rsidRPr="007476BD">
        <w:t xml:space="preserve">For further information about Proposal P293, refer to </w:t>
      </w:r>
      <w:hyperlink r:id="rId17" w:history="1">
        <w:r w:rsidRPr="007476BD">
          <w:rPr>
            <w:rStyle w:val="Hyperlink"/>
            <w:color w:val="0000FF"/>
          </w:rPr>
          <w:t>http://www.foodstandards.gov.au/foodstandards/proposals/proposalp293nutritionhealthandrelatedclaims/index.cfm</w:t>
        </w:r>
      </w:hyperlink>
      <w:r w:rsidRPr="007476BD">
        <w:rPr>
          <w:color w:val="0000FF"/>
        </w:rPr>
        <w:t xml:space="preserve">. </w:t>
      </w:r>
    </w:p>
    <w:p w:rsidR="00B33CF2" w:rsidRPr="007476BD" w:rsidRDefault="00B33CF2" w:rsidP="00790050"/>
    <w:p w:rsidR="00790050" w:rsidRPr="007476BD" w:rsidRDefault="00790050" w:rsidP="0049502B">
      <w:pPr>
        <w:pStyle w:val="Heading4"/>
      </w:pPr>
      <w:r w:rsidRPr="007476BD">
        <w:t>6.</w:t>
      </w:r>
      <w:r w:rsidR="00B33CF2" w:rsidRPr="007476BD">
        <w:t>3</w:t>
      </w:r>
      <w:r w:rsidRPr="007476BD">
        <w:t xml:space="preserve">.4 </w:t>
      </w:r>
      <w:r w:rsidRPr="007476BD">
        <w:tab/>
        <w:t>Labelling for food intolerances</w:t>
      </w:r>
    </w:p>
    <w:p w:rsidR="00790050" w:rsidRPr="007476BD" w:rsidRDefault="00790050" w:rsidP="00790050">
      <w:pPr>
        <w:autoSpaceDE w:val="0"/>
        <w:autoSpaceDN w:val="0"/>
        <w:adjustRightInd w:val="0"/>
      </w:pPr>
    </w:p>
    <w:p w:rsidR="00790050" w:rsidRPr="007476BD" w:rsidRDefault="00790050" w:rsidP="00790050">
      <w:pPr>
        <w:autoSpaceDE w:val="0"/>
        <w:autoSpaceDN w:val="0"/>
        <w:adjustRightInd w:val="0"/>
      </w:pPr>
      <w:r w:rsidRPr="007476BD">
        <w:t>In regard to Advantame, the evidence indicates that intolerance reactions are highly unlikely for the following reasons:</w:t>
      </w:r>
    </w:p>
    <w:p w:rsidR="00790050" w:rsidRPr="007476BD" w:rsidRDefault="00790050" w:rsidP="00790050">
      <w:pPr>
        <w:autoSpaceDE w:val="0"/>
        <w:autoSpaceDN w:val="0"/>
        <w:adjustRightInd w:val="0"/>
      </w:pPr>
    </w:p>
    <w:p w:rsidR="00AF3F30" w:rsidRPr="007476BD" w:rsidRDefault="00AF3F30" w:rsidP="00790050">
      <w:pPr>
        <w:pStyle w:val="FSBullet"/>
      </w:pPr>
      <w:r w:rsidRPr="007476BD">
        <w:br w:type="page"/>
      </w:r>
    </w:p>
    <w:p w:rsidR="00790050" w:rsidRPr="007476BD" w:rsidRDefault="00790050" w:rsidP="00790050">
      <w:pPr>
        <w:pStyle w:val="FSBullet"/>
        <w:rPr>
          <w:szCs w:val="22"/>
        </w:rPr>
      </w:pPr>
      <w:r w:rsidRPr="007476BD">
        <w:lastRenderedPageBreak/>
        <w:t>The human studies conducted on Advantame, at doses much higher than consumers would be exposed to, provided no suggestion of intolerance.</w:t>
      </w:r>
    </w:p>
    <w:p w:rsidR="00790050" w:rsidRPr="007476BD" w:rsidRDefault="00790050" w:rsidP="00790050">
      <w:pPr>
        <w:pStyle w:val="FSBullet"/>
        <w:rPr>
          <w:szCs w:val="22"/>
        </w:rPr>
      </w:pPr>
      <w:r w:rsidRPr="007476BD">
        <w:t>The conclusion of the hazard assessment is that Advantame is well tolerated by humans.</w:t>
      </w:r>
    </w:p>
    <w:p w:rsidR="00790050" w:rsidRPr="007476BD" w:rsidRDefault="00790050" w:rsidP="00790050">
      <w:pPr>
        <w:pStyle w:val="FSBullet"/>
        <w:rPr>
          <w:szCs w:val="22"/>
        </w:rPr>
      </w:pPr>
      <w:r w:rsidRPr="007476BD">
        <w:t>This conclusion for humans is supported by numerous laboratory animal studies using very high doses of Advantame.</w:t>
      </w:r>
    </w:p>
    <w:p w:rsidR="00790050" w:rsidRPr="007476BD" w:rsidRDefault="00790050" w:rsidP="00790050">
      <w:pPr>
        <w:pStyle w:val="FSBullet"/>
        <w:rPr>
          <w:szCs w:val="22"/>
        </w:rPr>
      </w:pPr>
      <w:r w:rsidRPr="007476BD">
        <w:t xml:space="preserve">Although intolerance reactions have been reported with </w:t>
      </w:r>
      <w:r w:rsidR="00A848BB" w:rsidRPr="007476BD">
        <w:t>aspartame</w:t>
      </w:r>
      <w:r w:rsidRPr="007476BD">
        <w:t xml:space="preserve">, this is not a useful surrogate for Advantame because it is metabolised differently. </w:t>
      </w:r>
    </w:p>
    <w:p w:rsidR="00790050" w:rsidRPr="007476BD" w:rsidRDefault="00790050" w:rsidP="00790050">
      <w:pPr>
        <w:pStyle w:val="FSBullet"/>
        <w:rPr>
          <w:szCs w:val="22"/>
        </w:rPr>
      </w:pPr>
      <w:r w:rsidRPr="007476BD">
        <w:t>There are no reports in the scientific literature of intolerance reactions to Neotame, which is chemically and metabolically similar to Advantame.</w:t>
      </w:r>
    </w:p>
    <w:p w:rsidR="00790050" w:rsidRPr="007476BD" w:rsidRDefault="00790050" w:rsidP="00790050">
      <w:pPr>
        <w:autoSpaceDE w:val="0"/>
        <w:autoSpaceDN w:val="0"/>
        <w:adjustRightInd w:val="0"/>
      </w:pPr>
    </w:p>
    <w:p w:rsidR="00790050" w:rsidRPr="007476BD" w:rsidRDefault="00790050" w:rsidP="00790050">
      <w:pPr>
        <w:pStyle w:val="Heading4"/>
        <w:ind w:left="0" w:firstLine="0"/>
        <w:rPr>
          <w:i w:val="0"/>
        </w:rPr>
      </w:pPr>
      <w:r w:rsidRPr="007476BD">
        <w:rPr>
          <w:i w:val="0"/>
        </w:rPr>
        <w:t xml:space="preserve">There is no evidence to indicate any additional labelling requirements in order to alert consumers of possible intolerances to Advantame. </w:t>
      </w:r>
    </w:p>
    <w:p w:rsidR="00790050" w:rsidRPr="007476BD" w:rsidRDefault="00790050" w:rsidP="00790050"/>
    <w:p w:rsidR="00790050" w:rsidRPr="007476BD" w:rsidRDefault="00B33CF2" w:rsidP="00790050">
      <w:pPr>
        <w:pStyle w:val="Heading4"/>
      </w:pPr>
      <w:r w:rsidRPr="007476BD">
        <w:t>6.3</w:t>
      </w:r>
      <w:r w:rsidR="00790050" w:rsidRPr="007476BD">
        <w:t>.5</w:t>
      </w:r>
      <w:r w:rsidR="00790050" w:rsidRPr="007476BD">
        <w:tab/>
        <w:t>Labelling summary</w:t>
      </w:r>
    </w:p>
    <w:p w:rsidR="00790050" w:rsidRPr="007476BD" w:rsidRDefault="00790050" w:rsidP="00790050">
      <w:pPr>
        <w:rPr>
          <w:lang w:eastAsia="en-AU"/>
        </w:rPr>
      </w:pPr>
    </w:p>
    <w:p w:rsidR="00790050" w:rsidRPr="007476BD" w:rsidRDefault="00790050" w:rsidP="00B33CF2">
      <w:pPr>
        <w:rPr>
          <w:lang w:eastAsia="en-AU"/>
        </w:rPr>
      </w:pPr>
      <w:r w:rsidRPr="007476BD">
        <w:rPr>
          <w:lang w:eastAsia="en-AU"/>
        </w:rPr>
        <w:t xml:space="preserve">On the basis of the risk assessment, FSANZ considers the current general labelling requirements of the Code are appropriate for all foods, including table top sugar substitutes, should the use of Advantame be permitted in foods. No additional mandatory labelling </w:t>
      </w:r>
      <w:r w:rsidR="00B82C8D" w:rsidRPr="007476BD">
        <w:rPr>
          <w:lang w:eastAsia="en-AU"/>
        </w:rPr>
        <w:t xml:space="preserve">or information requirements are </w:t>
      </w:r>
      <w:r w:rsidRPr="007476BD">
        <w:rPr>
          <w:lang w:eastAsia="en-AU"/>
        </w:rPr>
        <w:t>proposed</w:t>
      </w:r>
      <w:r w:rsidR="00B82C8D" w:rsidRPr="007476BD">
        <w:rPr>
          <w:lang w:eastAsia="en-AU"/>
        </w:rPr>
        <w:t xml:space="preserve"> for Advantame</w:t>
      </w:r>
      <w:r w:rsidRPr="007476BD">
        <w:rPr>
          <w:lang w:eastAsia="en-AU"/>
        </w:rPr>
        <w:t>.</w:t>
      </w:r>
    </w:p>
    <w:p w:rsidR="00790050" w:rsidRPr="007476BD" w:rsidRDefault="00790050" w:rsidP="00B76969">
      <w:pPr>
        <w:pStyle w:val="Heading3"/>
      </w:pPr>
    </w:p>
    <w:p w:rsidR="00790050" w:rsidRPr="007476BD" w:rsidRDefault="00B33CF2" w:rsidP="00B33CF2">
      <w:pPr>
        <w:pStyle w:val="Heading3"/>
      </w:pPr>
      <w:bookmarkStart w:id="59" w:name="_Toc296958610"/>
      <w:r w:rsidRPr="007476BD">
        <w:t>6.4</w:t>
      </w:r>
      <w:r w:rsidR="00790050" w:rsidRPr="007476BD">
        <w:tab/>
        <w:t>Prevention of misleading and deceptive conduct</w:t>
      </w:r>
      <w:bookmarkEnd w:id="59"/>
    </w:p>
    <w:p w:rsidR="00790050" w:rsidRPr="007476BD" w:rsidRDefault="00790050" w:rsidP="00790050"/>
    <w:p w:rsidR="00790050" w:rsidRPr="007476BD" w:rsidRDefault="00790050" w:rsidP="00790050">
      <w:pPr>
        <w:keepNext/>
        <w:keepLines/>
        <w:widowControl/>
        <w:rPr>
          <w:rFonts w:cs="Arial"/>
        </w:rPr>
      </w:pPr>
      <w:r w:rsidRPr="007476BD">
        <w:rPr>
          <w:rFonts w:cs="Arial"/>
        </w:rPr>
        <w:t>FSANZ has considered this objective and concludes there are no misleading or deceptive conduct aspects to this assessment.</w:t>
      </w:r>
    </w:p>
    <w:p w:rsidR="00790050" w:rsidRPr="007476BD" w:rsidRDefault="00790050" w:rsidP="00B33CF2">
      <w:pPr>
        <w:pStyle w:val="Heading3"/>
        <w:ind w:left="0" w:firstLine="0"/>
      </w:pPr>
    </w:p>
    <w:p w:rsidR="00B76969" w:rsidRPr="007476BD" w:rsidRDefault="00B76969" w:rsidP="00B76969">
      <w:pPr>
        <w:pStyle w:val="Heading3"/>
      </w:pPr>
      <w:bookmarkStart w:id="60" w:name="_Toc296958611"/>
      <w:r w:rsidRPr="007476BD">
        <w:t>6.</w:t>
      </w:r>
      <w:r w:rsidR="00B33CF2" w:rsidRPr="007476BD">
        <w:t>5</w:t>
      </w:r>
      <w:r w:rsidRPr="007476BD">
        <w:tab/>
        <w:t>Consistency with Policy Guidelines</w:t>
      </w:r>
      <w:bookmarkEnd w:id="58"/>
      <w:bookmarkEnd w:id="60"/>
      <w:r w:rsidRPr="007476BD">
        <w:t xml:space="preserve"> </w:t>
      </w:r>
    </w:p>
    <w:p w:rsidR="00B76969" w:rsidRPr="007476BD" w:rsidRDefault="00B76969" w:rsidP="00B76969">
      <w:pPr>
        <w:rPr>
          <w:rFonts w:cs="Arial"/>
        </w:rPr>
      </w:pPr>
    </w:p>
    <w:p w:rsidR="00B76969" w:rsidRPr="007476BD" w:rsidRDefault="00B76969" w:rsidP="00B76969">
      <w:r w:rsidRPr="007476BD">
        <w:t xml:space="preserve">As noted in Section 3.1, FSANZ is required to have regard to the Policy Guideline on the Addition of Substances other than Vitamins and Minerals to foods. </w:t>
      </w:r>
      <w:r w:rsidRPr="007476BD">
        <w:rPr>
          <w:szCs w:val="22"/>
        </w:rPr>
        <w:t xml:space="preserve">Since the purpose for addition of </w:t>
      </w:r>
      <w:r w:rsidR="00276EDB" w:rsidRPr="007476BD">
        <w:rPr>
          <w:szCs w:val="22"/>
        </w:rPr>
        <w:t>Advantame</w:t>
      </w:r>
      <w:r w:rsidRPr="007476BD">
        <w:rPr>
          <w:szCs w:val="22"/>
        </w:rPr>
        <w:t xml:space="preserve"> </w:t>
      </w:r>
      <w:r w:rsidRPr="007476BD">
        <w:t>to food falls under ‘Technological Function’</w:t>
      </w:r>
      <w:r w:rsidR="000F1C84" w:rsidRPr="007476BD">
        <w:t>,</w:t>
      </w:r>
      <w:r w:rsidRPr="007476BD">
        <w:t xml:space="preserve"> regard has been given particularly to the specific order policy principles for ‘Technological Function’.</w:t>
      </w:r>
    </w:p>
    <w:p w:rsidR="009B5FC0" w:rsidRPr="007476BD" w:rsidRDefault="009B5FC0" w:rsidP="00B76969">
      <w:pPr>
        <w:rPr>
          <w:rFonts w:cs="Arial"/>
        </w:rPr>
      </w:pPr>
    </w:p>
    <w:p w:rsidR="00B76969" w:rsidRPr="007476BD" w:rsidRDefault="00B76969" w:rsidP="00B76969">
      <w:r w:rsidRPr="007476BD">
        <w:t>It has been determined that the</w:t>
      </w:r>
      <w:r w:rsidR="00B63425" w:rsidRPr="007476BD">
        <w:t xml:space="preserve"> Applicant provided </w:t>
      </w:r>
      <w:r w:rsidRPr="007476BD">
        <w:t>a clear stated purpose</w:t>
      </w:r>
      <w:r w:rsidR="00E00EBA" w:rsidRPr="007476BD">
        <w:t xml:space="preserve">, </w:t>
      </w:r>
      <w:r w:rsidR="00276EDB" w:rsidRPr="007476BD">
        <w:t>Advantame</w:t>
      </w:r>
      <w:r w:rsidRPr="007476BD">
        <w:t xml:space="preserve"> is safe for human consumption, there is </w:t>
      </w:r>
      <w:r w:rsidR="00E00EBA" w:rsidRPr="007476BD">
        <w:t xml:space="preserve">a clear technological </w:t>
      </w:r>
      <w:r w:rsidR="009B5FC0" w:rsidRPr="007476BD">
        <w:t xml:space="preserve">function </w:t>
      </w:r>
      <w:r w:rsidR="00E00EBA" w:rsidRPr="007476BD">
        <w:t xml:space="preserve">and </w:t>
      </w:r>
      <w:r w:rsidR="00276EDB" w:rsidRPr="007476BD">
        <w:t>Advantame</w:t>
      </w:r>
      <w:r w:rsidRPr="007476BD">
        <w:t xml:space="preserve"> is added in a quantity and form which is consistent with delivering the stated purpose. Therefore, FSANZ concludes that the addition of </w:t>
      </w:r>
      <w:r w:rsidR="00276EDB" w:rsidRPr="007476BD">
        <w:t>Advantame</w:t>
      </w:r>
      <w:r w:rsidRPr="007476BD">
        <w:t xml:space="preserve"> to a range of foods is consistent with the first four of the specific order policy principles for ‘Technological Function’</w:t>
      </w:r>
      <w:r w:rsidR="00660AD2" w:rsidRPr="007476BD">
        <w:t xml:space="preserve">. </w:t>
      </w:r>
    </w:p>
    <w:p w:rsidR="00B76969" w:rsidRPr="007476BD" w:rsidRDefault="00B76969" w:rsidP="00B76969"/>
    <w:p w:rsidR="00623451" w:rsidRPr="007476BD" w:rsidRDefault="007A56BC" w:rsidP="00623451">
      <w:pPr>
        <w:widowControl/>
        <w:rPr>
          <w:rFonts w:cs="Arial"/>
          <w:szCs w:val="22"/>
        </w:rPr>
      </w:pPr>
      <w:r w:rsidRPr="007476BD">
        <w:rPr>
          <w:rFonts w:cs="Arial"/>
          <w:szCs w:val="22"/>
        </w:rPr>
        <w:t xml:space="preserve">In regard to Policy principle </w:t>
      </w:r>
      <w:r w:rsidR="00247D4A" w:rsidRPr="007476BD">
        <w:rPr>
          <w:rFonts w:cs="Arial"/>
          <w:szCs w:val="22"/>
        </w:rPr>
        <w:t xml:space="preserve">sec.18 </w:t>
      </w:r>
      <w:r w:rsidRPr="007476BD">
        <w:rPr>
          <w:rFonts w:cs="Arial"/>
          <w:szCs w:val="22"/>
        </w:rPr>
        <w:t>(e), t</w:t>
      </w:r>
      <w:r w:rsidR="00B76969" w:rsidRPr="007476BD">
        <w:t xml:space="preserve">he Applicant has stated that </w:t>
      </w:r>
      <w:r w:rsidR="00B76969" w:rsidRPr="007476BD">
        <w:rPr>
          <w:rFonts w:cs="Arial"/>
          <w:szCs w:val="22"/>
        </w:rPr>
        <w:t xml:space="preserve">the purpose of using </w:t>
      </w:r>
      <w:r w:rsidR="00276EDB" w:rsidRPr="007476BD">
        <w:rPr>
          <w:rFonts w:cs="Arial"/>
          <w:szCs w:val="22"/>
        </w:rPr>
        <w:t>Advantame</w:t>
      </w:r>
      <w:r w:rsidR="00B76969" w:rsidRPr="007476BD">
        <w:rPr>
          <w:rFonts w:cs="Arial"/>
          <w:szCs w:val="22"/>
        </w:rPr>
        <w:t xml:space="preserve"> as an additive is also to provide assistance to people as part of their weight</w:t>
      </w:r>
      <w:r w:rsidR="0099225F" w:rsidRPr="007476BD">
        <w:rPr>
          <w:rFonts w:cs="Arial"/>
          <w:szCs w:val="22"/>
        </w:rPr>
        <w:t xml:space="preserve"> </w:t>
      </w:r>
      <w:r w:rsidR="00B76969" w:rsidRPr="007476BD">
        <w:rPr>
          <w:rFonts w:cs="Arial"/>
          <w:szCs w:val="22"/>
        </w:rPr>
        <w:t xml:space="preserve">management or weight loss regime by lowering the caloric value of foods. Therefore, </w:t>
      </w:r>
      <w:r w:rsidR="00EB52E5" w:rsidRPr="007476BD">
        <w:rPr>
          <w:rFonts w:cs="Arial"/>
          <w:szCs w:val="22"/>
        </w:rPr>
        <w:t>products containing Advantame may seek to make claims potentially causing inconsistency with this policy principle</w:t>
      </w:r>
      <w:r w:rsidR="00503CC3" w:rsidRPr="007476BD">
        <w:rPr>
          <w:rFonts w:cs="Arial"/>
          <w:szCs w:val="22"/>
        </w:rPr>
        <w:t xml:space="preserve">. </w:t>
      </w:r>
      <w:r w:rsidR="00BE3AD1" w:rsidRPr="007476BD">
        <w:rPr>
          <w:rFonts w:cs="Arial"/>
          <w:szCs w:val="22"/>
        </w:rPr>
        <w:t xml:space="preserve">However, </w:t>
      </w:r>
      <w:r w:rsidR="00B76969" w:rsidRPr="007476BD">
        <w:rPr>
          <w:rFonts w:cs="Arial"/>
          <w:szCs w:val="22"/>
        </w:rPr>
        <w:t xml:space="preserve">FSANZ considers that as long as the </w:t>
      </w:r>
      <w:r w:rsidR="00EB52E5" w:rsidRPr="007476BD">
        <w:rPr>
          <w:rFonts w:cs="Arial"/>
          <w:szCs w:val="22"/>
        </w:rPr>
        <w:t>claims made are in accordance with the requirements and conditions set out in Standard 1.1A.2 (Transitional Standard – Health Claims), and Standard 1.2.8 (Nutrition Information Requirements)</w:t>
      </w:r>
      <w:r w:rsidR="00B76969" w:rsidRPr="007476BD">
        <w:rPr>
          <w:rFonts w:cs="Arial"/>
          <w:szCs w:val="22"/>
        </w:rPr>
        <w:t xml:space="preserve">, there are no reasons to </w:t>
      </w:r>
      <w:r w:rsidR="00EE01AD" w:rsidRPr="007476BD">
        <w:rPr>
          <w:rFonts w:cs="Arial"/>
          <w:szCs w:val="22"/>
        </w:rPr>
        <w:t xml:space="preserve">apply additional requirements for </w:t>
      </w:r>
      <w:r w:rsidR="00B76969" w:rsidRPr="007476BD">
        <w:rPr>
          <w:rFonts w:cs="Arial"/>
          <w:szCs w:val="22"/>
        </w:rPr>
        <w:t>such claims</w:t>
      </w:r>
      <w:r w:rsidR="00503CC3" w:rsidRPr="007476BD">
        <w:rPr>
          <w:rFonts w:cs="Arial"/>
          <w:szCs w:val="22"/>
        </w:rPr>
        <w:t xml:space="preserve">. </w:t>
      </w:r>
      <w:r w:rsidR="0020150E" w:rsidRPr="007476BD">
        <w:rPr>
          <w:rFonts w:cs="Arial"/>
          <w:szCs w:val="22"/>
        </w:rPr>
        <w:t xml:space="preserve">This is consistent with </w:t>
      </w:r>
      <w:r w:rsidR="00560B39" w:rsidRPr="007476BD">
        <w:rPr>
          <w:rFonts w:cs="Arial"/>
          <w:szCs w:val="22"/>
        </w:rPr>
        <w:t xml:space="preserve">permitted </w:t>
      </w:r>
      <w:r w:rsidR="0020150E" w:rsidRPr="007476BD">
        <w:rPr>
          <w:rFonts w:cs="Arial"/>
          <w:szCs w:val="22"/>
        </w:rPr>
        <w:t xml:space="preserve">claims on products containing </w:t>
      </w:r>
      <w:r w:rsidR="00BE3AD1" w:rsidRPr="007476BD">
        <w:rPr>
          <w:rFonts w:cs="Arial"/>
          <w:szCs w:val="22"/>
        </w:rPr>
        <w:t xml:space="preserve">other </w:t>
      </w:r>
      <w:r w:rsidR="0020150E" w:rsidRPr="007476BD">
        <w:rPr>
          <w:rFonts w:cs="Arial"/>
          <w:szCs w:val="22"/>
        </w:rPr>
        <w:t>intense sweet</w:t>
      </w:r>
      <w:r w:rsidR="00D23E27" w:rsidRPr="007476BD">
        <w:rPr>
          <w:rFonts w:cs="Arial"/>
          <w:szCs w:val="22"/>
        </w:rPr>
        <w:t>e</w:t>
      </w:r>
      <w:r w:rsidR="0020150E" w:rsidRPr="007476BD">
        <w:rPr>
          <w:rFonts w:cs="Arial"/>
          <w:szCs w:val="22"/>
        </w:rPr>
        <w:t>ners</w:t>
      </w:r>
      <w:r w:rsidR="00EB52E5" w:rsidRPr="007476BD">
        <w:rPr>
          <w:rFonts w:cs="Arial"/>
          <w:szCs w:val="22"/>
        </w:rPr>
        <w:t>.</w:t>
      </w:r>
    </w:p>
    <w:p w:rsidR="00AF3F30" w:rsidRPr="007476BD" w:rsidRDefault="00B76969" w:rsidP="00623451">
      <w:pPr>
        <w:widowControl/>
        <w:rPr>
          <w:rFonts w:cs="Arial"/>
          <w:szCs w:val="22"/>
        </w:rPr>
      </w:pPr>
      <w:r w:rsidRPr="007476BD">
        <w:rPr>
          <w:rFonts w:cs="Arial"/>
          <w:szCs w:val="22"/>
        </w:rPr>
        <w:t xml:space="preserve">Although it relates to the addition of substances other than for a technological purpose, FSANZ has also given regard to the last policy principle related to the addition of substances other than vitamins and minerals to food where the purpose of the addition is for other than to achieve a solely technological function (‘Any Other Purpose’). This principle states that </w:t>
      </w:r>
      <w:r w:rsidRPr="007476BD">
        <w:rPr>
          <w:rFonts w:cs="Arial"/>
          <w:i/>
          <w:szCs w:val="22"/>
        </w:rPr>
        <w:t>the presence of the substance does not mislead the consumer as to the nutritional quality of the food</w:t>
      </w:r>
      <w:r w:rsidRPr="007476BD">
        <w:rPr>
          <w:rFonts w:cs="Arial"/>
          <w:szCs w:val="22"/>
        </w:rPr>
        <w:t xml:space="preserve">. </w:t>
      </w:r>
      <w:r w:rsidR="00AF3F30" w:rsidRPr="007476BD">
        <w:rPr>
          <w:rFonts w:cs="Arial"/>
          <w:szCs w:val="22"/>
        </w:rPr>
        <w:br w:type="page"/>
      </w:r>
    </w:p>
    <w:p w:rsidR="00877611" w:rsidRPr="007476BD" w:rsidRDefault="00C137FA" w:rsidP="00877611">
      <w:pPr>
        <w:widowControl/>
      </w:pPr>
      <w:r w:rsidRPr="007476BD">
        <w:lastRenderedPageBreak/>
        <w:t>Nutrition information requirements are specified in Standard 1.</w:t>
      </w:r>
      <w:r w:rsidR="005F799C" w:rsidRPr="007476BD">
        <w:t>2.8. This S</w:t>
      </w:r>
      <w:r w:rsidRPr="007476BD">
        <w:t>tandard requires the declarati</w:t>
      </w:r>
      <w:r w:rsidR="005F799C" w:rsidRPr="007476BD">
        <w:t>on of certain nutrients in the nutrition information p</w:t>
      </w:r>
      <w:r w:rsidRPr="007476BD">
        <w:t>anel (NIP) on packaged foods</w:t>
      </w:r>
      <w:r w:rsidR="00EE49EE" w:rsidRPr="007476BD">
        <w:t>, subject to certain exemptions</w:t>
      </w:r>
      <w:r w:rsidR="00503CC3" w:rsidRPr="007476BD">
        <w:t xml:space="preserve">. </w:t>
      </w:r>
      <w:r w:rsidRPr="007476BD">
        <w:t>In general, the NIP must include the energy, protein, carbohydrate, sugars, total fat, saturated fat a</w:t>
      </w:r>
      <w:r w:rsidR="003F28EA" w:rsidRPr="007476BD">
        <w:t>nd sodium content of the food. </w:t>
      </w:r>
    </w:p>
    <w:p w:rsidR="00877611" w:rsidRPr="007476BD" w:rsidRDefault="00877611" w:rsidP="00877611">
      <w:pPr>
        <w:widowControl/>
      </w:pPr>
    </w:p>
    <w:p w:rsidR="00A252AA" w:rsidRPr="007476BD" w:rsidRDefault="00A252AA" w:rsidP="00877611">
      <w:pPr>
        <w:widowControl/>
      </w:pPr>
      <w:r w:rsidRPr="007476BD">
        <w:t xml:space="preserve">The total energy content declared in the NIP captures the energy content of all the ingredients used in </w:t>
      </w:r>
      <w:r w:rsidR="00465E3B" w:rsidRPr="007476BD">
        <w:t>that</w:t>
      </w:r>
      <w:r w:rsidRPr="007476BD">
        <w:t xml:space="preserve"> food. Any lowering of the </w:t>
      </w:r>
      <w:r w:rsidR="00182222" w:rsidRPr="007476BD">
        <w:t>energy</w:t>
      </w:r>
      <w:r w:rsidR="001B5287" w:rsidRPr="007476BD">
        <w:t xml:space="preserve"> </w:t>
      </w:r>
      <w:r w:rsidRPr="007476BD">
        <w:t>valu</w:t>
      </w:r>
      <w:r w:rsidR="00192458" w:rsidRPr="007476BD">
        <w:t xml:space="preserve">e of a food as a result </w:t>
      </w:r>
      <w:r w:rsidR="00560B39" w:rsidRPr="007476BD">
        <w:t xml:space="preserve">of </w:t>
      </w:r>
      <w:r w:rsidR="00192458" w:rsidRPr="007476BD">
        <w:t xml:space="preserve">replacing ingredients such as </w:t>
      </w:r>
      <w:r w:rsidR="00560B39" w:rsidRPr="007476BD">
        <w:t xml:space="preserve">sugars </w:t>
      </w:r>
      <w:r w:rsidR="00192458" w:rsidRPr="007476BD">
        <w:t xml:space="preserve">with </w:t>
      </w:r>
      <w:r w:rsidRPr="007476BD">
        <w:t xml:space="preserve">Advantame will be reflected in the total energy </w:t>
      </w:r>
      <w:r w:rsidR="00192458" w:rsidRPr="007476BD">
        <w:t>content</w:t>
      </w:r>
      <w:r w:rsidR="00560B39" w:rsidRPr="007476BD">
        <w:t xml:space="preserve"> </w:t>
      </w:r>
      <w:r w:rsidR="006A733F" w:rsidRPr="007476BD">
        <w:t>declared</w:t>
      </w:r>
      <w:r w:rsidR="00B06074" w:rsidRPr="007476BD">
        <w:t xml:space="preserve"> in the NIP</w:t>
      </w:r>
      <w:r w:rsidR="001B5287" w:rsidRPr="007476BD">
        <w:t xml:space="preserve"> </w:t>
      </w:r>
      <w:r w:rsidR="00560B39" w:rsidRPr="007476BD">
        <w:t>and thereby provide consumers with nutrition information to assist their food choice</w:t>
      </w:r>
      <w:r w:rsidR="00192458" w:rsidRPr="007476BD">
        <w:t>.</w:t>
      </w:r>
    </w:p>
    <w:p w:rsidR="00192458" w:rsidRPr="007476BD" w:rsidRDefault="00192458" w:rsidP="00B76969"/>
    <w:p w:rsidR="00B76969" w:rsidRPr="007476BD" w:rsidRDefault="00B76969" w:rsidP="00B76969">
      <w:pPr>
        <w:rPr>
          <w:rFonts w:cs="Arial"/>
          <w:color w:val="000000" w:themeColor="text1"/>
          <w:szCs w:val="22"/>
        </w:rPr>
      </w:pPr>
      <w:r w:rsidRPr="007476BD">
        <w:rPr>
          <w:rFonts w:cs="Arial"/>
          <w:color w:val="000000" w:themeColor="text1"/>
          <w:szCs w:val="22"/>
        </w:rPr>
        <w:t>The</w:t>
      </w:r>
      <w:r w:rsidR="00517B58" w:rsidRPr="007476BD">
        <w:rPr>
          <w:rFonts w:cs="Arial"/>
          <w:color w:val="000000" w:themeColor="text1"/>
          <w:szCs w:val="22"/>
        </w:rPr>
        <w:t xml:space="preserve"> Code also specifies conditions that should be met for </w:t>
      </w:r>
      <w:r w:rsidR="00DD5AED" w:rsidRPr="007476BD">
        <w:rPr>
          <w:rFonts w:cs="Arial"/>
          <w:color w:val="000000" w:themeColor="text1"/>
          <w:szCs w:val="22"/>
        </w:rPr>
        <w:t xml:space="preserve">certain </w:t>
      </w:r>
      <w:r w:rsidR="00517B58" w:rsidRPr="007476BD">
        <w:rPr>
          <w:rFonts w:cs="Arial"/>
          <w:color w:val="000000" w:themeColor="text1"/>
          <w:szCs w:val="22"/>
        </w:rPr>
        <w:t>nutrition claims</w:t>
      </w:r>
      <w:r w:rsidR="00560B39" w:rsidRPr="007476BD">
        <w:rPr>
          <w:rFonts w:cs="Arial"/>
          <w:color w:val="000000" w:themeColor="text1"/>
          <w:szCs w:val="22"/>
        </w:rPr>
        <w:t xml:space="preserve"> which </w:t>
      </w:r>
      <w:r w:rsidR="00DD5AED" w:rsidRPr="007476BD">
        <w:rPr>
          <w:rFonts w:cs="Arial"/>
          <w:color w:val="000000" w:themeColor="text1"/>
          <w:szCs w:val="22"/>
        </w:rPr>
        <w:t>may be</w:t>
      </w:r>
      <w:r w:rsidR="00560B39" w:rsidRPr="007476BD">
        <w:rPr>
          <w:rFonts w:cs="Arial"/>
          <w:color w:val="000000" w:themeColor="text1"/>
          <w:szCs w:val="22"/>
        </w:rPr>
        <w:t xml:space="preserve"> relevant to foods containing intense sweeteners like Advantame</w:t>
      </w:r>
      <w:r w:rsidR="00517B58" w:rsidRPr="007476BD">
        <w:rPr>
          <w:rFonts w:cs="Arial"/>
          <w:color w:val="000000" w:themeColor="text1"/>
          <w:szCs w:val="22"/>
        </w:rPr>
        <w:t>. For example</w:t>
      </w:r>
      <w:r w:rsidR="003369B1" w:rsidRPr="007476BD">
        <w:rPr>
          <w:rFonts w:cs="Arial"/>
          <w:color w:val="000000" w:themeColor="text1"/>
          <w:szCs w:val="22"/>
        </w:rPr>
        <w:t>,</w:t>
      </w:r>
      <w:r w:rsidR="00517B58" w:rsidRPr="007476BD">
        <w:rPr>
          <w:rFonts w:cs="Arial"/>
          <w:color w:val="000000" w:themeColor="text1"/>
          <w:szCs w:val="22"/>
        </w:rPr>
        <w:t xml:space="preserve"> clause 14 of Standard 1.2.8 contains requirements that must be met for low joule claims</w:t>
      </w:r>
      <w:r w:rsidR="00503CC3" w:rsidRPr="007476BD">
        <w:rPr>
          <w:rFonts w:cs="Arial"/>
          <w:color w:val="000000" w:themeColor="text1"/>
          <w:szCs w:val="22"/>
        </w:rPr>
        <w:t xml:space="preserve">. </w:t>
      </w:r>
      <w:r w:rsidRPr="007476BD">
        <w:rPr>
          <w:rFonts w:cs="Arial"/>
          <w:color w:val="000000" w:themeColor="text1"/>
          <w:szCs w:val="22"/>
        </w:rPr>
        <w:t xml:space="preserve">Standard 1.1A.2 prohibits the presence of a claim or statement in a label or an advertisement that </w:t>
      </w:r>
      <w:r w:rsidRPr="007476BD">
        <w:rPr>
          <w:rFonts w:cs="Arial"/>
          <w:i/>
          <w:color w:val="000000" w:themeColor="text1"/>
          <w:szCs w:val="22"/>
        </w:rPr>
        <w:t>the food is a slimming food or has intrinsic weigh</w:t>
      </w:r>
      <w:r w:rsidR="00B63425" w:rsidRPr="007476BD">
        <w:rPr>
          <w:rFonts w:cs="Arial"/>
          <w:i/>
          <w:color w:val="000000" w:themeColor="text1"/>
          <w:szCs w:val="22"/>
        </w:rPr>
        <w:t>t</w:t>
      </w:r>
      <w:r w:rsidRPr="007476BD">
        <w:rPr>
          <w:rFonts w:cs="Arial"/>
          <w:i/>
          <w:color w:val="000000" w:themeColor="text1"/>
          <w:szCs w:val="22"/>
        </w:rPr>
        <w:t xml:space="preserve"> reducing properties.</w:t>
      </w:r>
      <w:r w:rsidRPr="007476BD">
        <w:rPr>
          <w:rFonts w:cs="Arial"/>
          <w:color w:val="000000" w:themeColor="text1"/>
          <w:szCs w:val="22"/>
        </w:rPr>
        <w:t xml:space="preserve"> </w:t>
      </w:r>
    </w:p>
    <w:p w:rsidR="00B76969" w:rsidRPr="007476BD" w:rsidRDefault="00B76969" w:rsidP="00B76969">
      <w:pPr>
        <w:rPr>
          <w:rFonts w:cs="Arial"/>
          <w:szCs w:val="22"/>
        </w:rPr>
      </w:pPr>
    </w:p>
    <w:p w:rsidR="00CA4A2F" w:rsidRPr="007476BD" w:rsidRDefault="00B76969" w:rsidP="00B76969">
      <w:pPr>
        <w:pStyle w:val="Default"/>
        <w:rPr>
          <w:rFonts w:ascii="Arial" w:hAnsi="Arial" w:cs="Arial"/>
          <w:sz w:val="22"/>
          <w:szCs w:val="22"/>
          <w:lang w:val="en-GB"/>
        </w:rPr>
      </w:pPr>
      <w:r w:rsidRPr="007476BD">
        <w:rPr>
          <w:rFonts w:ascii="Arial" w:hAnsi="Arial" w:cs="Arial"/>
          <w:sz w:val="22"/>
          <w:szCs w:val="22"/>
          <w:lang w:val="en-GB"/>
        </w:rPr>
        <w:t>CoPoNC specifies certain conditions for claims, such as ‘low sugar’, which may be a</w:t>
      </w:r>
      <w:r w:rsidR="00656E1C" w:rsidRPr="007476BD">
        <w:rPr>
          <w:rFonts w:ascii="Arial" w:hAnsi="Arial" w:cs="Arial"/>
          <w:sz w:val="22"/>
          <w:szCs w:val="22"/>
          <w:lang w:val="en-GB"/>
        </w:rPr>
        <w:t xml:space="preserve">pplicable for foods containing </w:t>
      </w:r>
      <w:r w:rsidR="00276EDB" w:rsidRPr="007476BD">
        <w:rPr>
          <w:rFonts w:ascii="Arial" w:hAnsi="Arial" w:cs="Arial"/>
          <w:sz w:val="22"/>
          <w:szCs w:val="22"/>
          <w:lang w:val="en-GB"/>
        </w:rPr>
        <w:t>Advantame</w:t>
      </w:r>
      <w:r w:rsidRPr="007476BD">
        <w:rPr>
          <w:rFonts w:ascii="Arial" w:hAnsi="Arial" w:cs="Arial"/>
          <w:sz w:val="22"/>
          <w:szCs w:val="22"/>
          <w:lang w:val="en-GB"/>
        </w:rPr>
        <w:t xml:space="preserve">. </w:t>
      </w:r>
    </w:p>
    <w:p w:rsidR="00CA4A2F" w:rsidRPr="007476BD" w:rsidRDefault="00CA4A2F" w:rsidP="00B76969">
      <w:pPr>
        <w:pStyle w:val="Default"/>
        <w:rPr>
          <w:rFonts w:ascii="Arial" w:hAnsi="Arial" w:cs="Arial"/>
          <w:sz w:val="22"/>
          <w:szCs w:val="22"/>
          <w:lang w:val="en-GB"/>
        </w:rPr>
      </w:pPr>
    </w:p>
    <w:p w:rsidR="005C7B13" w:rsidRPr="007476BD" w:rsidRDefault="00B76969" w:rsidP="00B76969">
      <w:pPr>
        <w:pStyle w:val="Default"/>
        <w:rPr>
          <w:rFonts w:ascii="Arial" w:hAnsi="Arial" w:cs="Arial"/>
          <w:sz w:val="22"/>
          <w:szCs w:val="22"/>
          <w:lang w:val="en-GB"/>
        </w:rPr>
      </w:pPr>
      <w:r w:rsidRPr="007476BD">
        <w:rPr>
          <w:rFonts w:ascii="Arial" w:hAnsi="Arial" w:cs="Arial"/>
          <w:sz w:val="22"/>
          <w:szCs w:val="22"/>
          <w:lang w:val="en-GB"/>
        </w:rPr>
        <w:t xml:space="preserve">Should a manufacturer in Australia or New Zealand choose </w:t>
      </w:r>
      <w:r w:rsidR="00A13756" w:rsidRPr="007476BD">
        <w:rPr>
          <w:rFonts w:ascii="Arial" w:hAnsi="Arial" w:cs="Arial"/>
          <w:sz w:val="22"/>
          <w:szCs w:val="22"/>
          <w:lang w:val="en-GB"/>
        </w:rPr>
        <w:t>to make low energy, low sugar or similar claims, o</w:t>
      </w:r>
      <w:r w:rsidRPr="007476BD">
        <w:rPr>
          <w:rFonts w:ascii="Arial" w:hAnsi="Arial" w:cs="Arial"/>
          <w:sz w:val="22"/>
          <w:szCs w:val="22"/>
          <w:lang w:val="en-GB"/>
        </w:rPr>
        <w:t xml:space="preserve">n food labels or advertisements, the </w:t>
      </w:r>
      <w:r w:rsidRPr="007476BD">
        <w:rPr>
          <w:rFonts w:ascii="Arial" w:hAnsi="Arial" w:cs="Arial"/>
          <w:iCs/>
          <w:sz w:val="22"/>
          <w:szCs w:val="22"/>
          <w:lang w:val="en-GB"/>
        </w:rPr>
        <w:t>fair trade legislation</w:t>
      </w:r>
      <w:r w:rsidRPr="007476BD">
        <w:rPr>
          <w:rFonts w:ascii="Arial" w:hAnsi="Arial" w:cs="Arial"/>
          <w:i/>
          <w:iCs/>
          <w:sz w:val="22"/>
          <w:szCs w:val="22"/>
          <w:lang w:val="en-GB"/>
        </w:rPr>
        <w:t xml:space="preserve"> </w:t>
      </w:r>
      <w:r w:rsidRPr="007476BD">
        <w:rPr>
          <w:rFonts w:ascii="Arial" w:hAnsi="Arial" w:cs="Arial"/>
          <w:sz w:val="22"/>
          <w:szCs w:val="22"/>
          <w:lang w:val="en-GB"/>
        </w:rPr>
        <w:t xml:space="preserve">requires that such representations about food must not mislead, deceive or be false. </w:t>
      </w:r>
    </w:p>
    <w:p w:rsidR="00B76969" w:rsidRPr="007476BD" w:rsidRDefault="00B76969" w:rsidP="00B76969">
      <w:pPr>
        <w:pStyle w:val="Default"/>
        <w:rPr>
          <w:rFonts w:ascii="Arial" w:hAnsi="Arial" w:cs="Arial"/>
          <w:sz w:val="20"/>
          <w:szCs w:val="20"/>
          <w:lang w:val="en-GB"/>
        </w:rPr>
      </w:pPr>
    </w:p>
    <w:p w:rsidR="007119C8" w:rsidRPr="007476BD" w:rsidRDefault="00B76969" w:rsidP="00B76969">
      <w:pPr>
        <w:rPr>
          <w:rFonts w:cs="Arial"/>
          <w:color w:val="000000" w:themeColor="text1"/>
          <w:szCs w:val="22"/>
        </w:rPr>
      </w:pPr>
      <w:r w:rsidRPr="007476BD">
        <w:rPr>
          <w:rFonts w:cs="Arial"/>
          <w:color w:val="000000" w:themeColor="text1"/>
          <w:szCs w:val="22"/>
        </w:rPr>
        <w:t xml:space="preserve">Therefore, FSANZ considers that there are sufficient requirements in the Code </w:t>
      </w:r>
      <w:r w:rsidR="00C86061" w:rsidRPr="007476BD">
        <w:rPr>
          <w:rFonts w:cs="Arial"/>
          <w:color w:val="000000" w:themeColor="text1"/>
          <w:szCs w:val="22"/>
        </w:rPr>
        <w:t xml:space="preserve">and fair trade legislation </w:t>
      </w:r>
      <w:r w:rsidRPr="007476BD">
        <w:rPr>
          <w:rFonts w:cs="Arial"/>
          <w:color w:val="000000" w:themeColor="text1"/>
          <w:szCs w:val="22"/>
        </w:rPr>
        <w:t>that</w:t>
      </w:r>
      <w:r w:rsidR="009C3E3C" w:rsidRPr="007476BD">
        <w:rPr>
          <w:rFonts w:cs="Arial"/>
          <w:color w:val="000000" w:themeColor="text1"/>
          <w:szCs w:val="22"/>
        </w:rPr>
        <w:t>,</w:t>
      </w:r>
      <w:r w:rsidRPr="007476BD">
        <w:rPr>
          <w:rFonts w:cs="Arial"/>
          <w:color w:val="000000" w:themeColor="text1"/>
          <w:szCs w:val="22"/>
        </w:rPr>
        <w:t xml:space="preserve"> when adhered to, would </w:t>
      </w:r>
      <w:r w:rsidR="002319D3" w:rsidRPr="007476BD">
        <w:rPr>
          <w:rFonts w:cs="Arial"/>
          <w:color w:val="000000" w:themeColor="text1"/>
          <w:szCs w:val="22"/>
        </w:rPr>
        <w:t>provide adequate</w:t>
      </w:r>
      <w:r w:rsidR="00A53EA2" w:rsidRPr="007476BD">
        <w:rPr>
          <w:rFonts w:cs="Arial"/>
          <w:color w:val="000000" w:themeColor="text1"/>
          <w:szCs w:val="22"/>
        </w:rPr>
        <w:t xml:space="preserve"> information to </w:t>
      </w:r>
      <w:r w:rsidR="00C541B0" w:rsidRPr="007476BD">
        <w:rPr>
          <w:rFonts w:cs="Arial"/>
          <w:color w:val="000000" w:themeColor="text1"/>
          <w:szCs w:val="22"/>
        </w:rPr>
        <w:t xml:space="preserve">enable consumers to make an informed choice </w:t>
      </w:r>
      <w:r w:rsidR="00A53EA2" w:rsidRPr="007476BD">
        <w:rPr>
          <w:rFonts w:cs="Arial"/>
          <w:color w:val="000000" w:themeColor="text1"/>
          <w:szCs w:val="22"/>
        </w:rPr>
        <w:t>in relation</w:t>
      </w:r>
      <w:r w:rsidRPr="007476BD">
        <w:rPr>
          <w:rFonts w:cs="Arial"/>
          <w:color w:val="000000" w:themeColor="text1"/>
          <w:szCs w:val="22"/>
        </w:rPr>
        <w:t xml:space="preserve"> to the nutritional quality of </w:t>
      </w:r>
      <w:r w:rsidR="00276EDB" w:rsidRPr="007476BD">
        <w:rPr>
          <w:rFonts w:cs="Arial"/>
          <w:color w:val="000000" w:themeColor="text1"/>
          <w:szCs w:val="22"/>
        </w:rPr>
        <w:t>Advantame</w:t>
      </w:r>
      <w:r w:rsidRPr="007476BD">
        <w:rPr>
          <w:rFonts w:cs="Arial"/>
          <w:color w:val="000000" w:themeColor="text1"/>
          <w:szCs w:val="22"/>
        </w:rPr>
        <w:t xml:space="preserve"> containing foods</w:t>
      </w:r>
      <w:r w:rsidR="0092148C" w:rsidRPr="007476BD">
        <w:rPr>
          <w:rFonts w:cs="Arial"/>
          <w:color w:val="000000" w:themeColor="text1"/>
          <w:szCs w:val="22"/>
        </w:rPr>
        <w:t>.</w:t>
      </w:r>
    </w:p>
    <w:p w:rsidR="00CA03CA" w:rsidRPr="007476BD" w:rsidRDefault="00CA03CA" w:rsidP="00B76969">
      <w:pPr>
        <w:rPr>
          <w:rFonts w:cs="Arial"/>
          <w:szCs w:val="22"/>
        </w:rPr>
      </w:pPr>
    </w:p>
    <w:p w:rsidR="00B76969" w:rsidRPr="007476BD" w:rsidRDefault="00B76969" w:rsidP="00EC790D">
      <w:pPr>
        <w:widowControl/>
        <w:rPr>
          <w:rFonts w:cs="Arial"/>
          <w:szCs w:val="22"/>
        </w:rPr>
      </w:pPr>
      <w:r w:rsidRPr="007476BD">
        <w:rPr>
          <w:rFonts w:cs="Arial"/>
          <w:szCs w:val="22"/>
        </w:rPr>
        <w:t xml:space="preserve">Having given regard to </w:t>
      </w:r>
      <w:r w:rsidR="00843C08" w:rsidRPr="007476BD">
        <w:rPr>
          <w:rFonts w:cs="Arial"/>
          <w:szCs w:val="22"/>
        </w:rPr>
        <w:t>policy guidance</w:t>
      </w:r>
      <w:r w:rsidRPr="007476BD">
        <w:rPr>
          <w:rFonts w:cs="Arial"/>
          <w:szCs w:val="22"/>
        </w:rPr>
        <w:t xml:space="preserve">, FSANZ concluded that the addition of </w:t>
      </w:r>
      <w:r w:rsidR="00276EDB" w:rsidRPr="007476BD">
        <w:rPr>
          <w:rFonts w:cs="Arial"/>
          <w:szCs w:val="22"/>
        </w:rPr>
        <w:t>Advantame</w:t>
      </w:r>
      <w:r w:rsidRPr="007476BD">
        <w:rPr>
          <w:rFonts w:cs="Arial"/>
          <w:szCs w:val="22"/>
        </w:rPr>
        <w:t xml:space="preserve"> </w:t>
      </w:r>
      <w:r w:rsidR="00843C08" w:rsidRPr="007476BD">
        <w:rPr>
          <w:rFonts w:cs="Arial"/>
          <w:szCs w:val="22"/>
        </w:rPr>
        <w:t xml:space="preserve">can </w:t>
      </w:r>
      <w:r w:rsidRPr="007476BD">
        <w:rPr>
          <w:rFonts w:cs="Arial"/>
          <w:szCs w:val="22"/>
        </w:rPr>
        <w:t>be permitted as proposed for the following reasons:</w:t>
      </w:r>
    </w:p>
    <w:p w:rsidR="00B76969" w:rsidRPr="007476BD" w:rsidRDefault="00B76969" w:rsidP="00B76969">
      <w:pPr>
        <w:rPr>
          <w:rFonts w:cs="Arial"/>
          <w:szCs w:val="22"/>
        </w:rPr>
      </w:pPr>
    </w:p>
    <w:p w:rsidR="00B76969" w:rsidRPr="007476BD" w:rsidRDefault="002F032F" w:rsidP="00B76969">
      <w:pPr>
        <w:pStyle w:val="FSBullet"/>
        <w:rPr>
          <w:szCs w:val="22"/>
        </w:rPr>
      </w:pPr>
      <w:r w:rsidRPr="007476BD">
        <w:rPr>
          <w:szCs w:val="22"/>
        </w:rPr>
        <w:t>T</w:t>
      </w:r>
      <w:r w:rsidR="00B76969" w:rsidRPr="007476BD">
        <w:rPr>
          <w:szCs w:val="22"/>
        </w:rPr>
        <w:t xml:space="preserve">he purpose for adding </w:t>
      </w:r>
      <w:r w:rsidR="00276EDB" w:rsidRPr="007476BD">
        <w:rPr>
          <w:szCs w:val="22"/>
        </w:rPr>
        <w:t>Advantame</w:t>
      </w:r>
      <w:r w:rsidR="00B76969" w:rsidRPr="007476BD">
        <w:rPr>
          <w:szCs w:val="22"/>
        </w:rPr>
        <w:t xml:space="preserve"> to food as proposed has been articulated clearly by the manufacturer as achieving a technological function of a food</w:t>
      </w:r>
      <w:r w:rsidR="002C6FE8" w:rsidRPr="007476BD">
        <w:rPr>
          <w:szCs w:val="22"/>
        </w:rPr>
        <w:t xml:space="preserve"> sweetener (</w:t>
      </w:r>
      <w:r w:rsidR="00B76969" w:rsidRPr="007476BD">
        <w:rPr>
          <w:szCs w:val="22"/>
        </w:rPr>
        <w:t>S</w:t>
      </w:r>
      <w:r w:rsidR="00AF3F30" w:rsidRPr="007476BD">
        <w:rPr>
          <w:szCs w:val="22"/>
        </w:rPr>
        <w:t>D</w:t>
      </w:r>
      <w:r w:rsidR="00B76969" w:rsidRPr="007476BD">
        <w:rPr>
          <w:szCs w:val="22"/>
        </w:rPr>
        <w:t>1)</w:t>
      </w:r>
      <w:r w:rsidR="0004077E" w:rsidRPr="007476BD">
        <w:rPr>
          <w:szCs w:val="22"/>
        </w:rPr>
        <w:t>.</w:t>
      </w:r>
    </w:p>
    <w:p w:rsidR="00B76969" w:rsidRPr="007476BD" w:rsidRDefault="00B76969" w:rsidP="00B76969">
      <w:pPr>
        <w:rPr>
          <w:rFonts w:cs="Arial"/>
          <w:szCs w:val="22"/>
        </w:rPr>
      </w:pPr>
    </w:p>
    <w:p w:rsidR="00B76969" w:rsidRPr="007476BD" w:rsidRDefault="0004077E" w:rsidP="00B76969">
      <w:pPr>
        <w:pStyle w:val="FSBullet"/>
        <w:rPr>
          <w:szCs w:val="22"/>
        </w:rPr>
      </w:pPr>
      <w:r w:rsidRPr="007476BD">
        <w:rPr>
          <w:szCs w:val="22"/>
        </w:rPr>
        <w:t>T</w:t>
      </w:r>
      <w:r w:rsidR="00B76969" w:rsidRPr="007476BD">
        <w:rPr>
          <w:szCs w:val="22"/>
        </w:rPr>
        <w:t xml:space="preserve">he proposed addition of </w:t>
      </w:r>
      <w:r w:rsidR="00276EDB" w:rsidRPr="007476BD">
        <w:rPr>
          <w:szCs w:val="22"/>
        </w:rPr>
        <w:t>Advantame</w:t>
      </w:r>
      <w:r w:rsidR="00B76969" w:rsidRPr="007476BD">
        <w:rPr>
          <w:szCs w:val="22"/>
        </w:rPr>
        <w:t xml:space="preserve"> to food is safe for human co</w:t>
      </w:r>
      <w:r w:rsidR="002C6FE8" w:rsidRPr="007476BD">
        <w:rPr>
          <w:szCs w:val="22"/>
        </w:rPr>
        <w:t>nsumption (</w:t>
      </w:r>
      <w:r w:rsidR="00B76969" w:rsidRPr="007476BD">
        <w:rPr>
          <w:szCs w:val="22"/>
        </w:rPr>
        <w:t>S</w:t>
      </w:r>
      <w:r w:rsidR="00AF3F30" w:rsidRPr="007476BD">
        <w:rPr>
          <w:szCs w:val="22"/>
        </w:rPr>
        <w:t>D</w:t>
      </w:r>
      <w:r w:rsidR="00B76969" w:rsidRPr="007476BD">
        <w:rPr>
          <w:szCs w:val="22"/>
        </w:rPr>
        <w:t>1)</w:t>
      </w:r>
      <w:r w:rsidRPr="007476BD">
        <w:rPr>
          <w:szCs w:val="22"/>
        </w:rPr>
        <w:t>.</w:t>
      </w:r>
    </w:p>
    <w:p w:rsidR="00B76969" w:rsidRPr="007476BD" w:rsidRDefault="00B76969" w:rsidP="00B76969">
      <w:pPr>
        <w:rPr>
          <w:rFonts w:cs="Arial"/>
          <w:szCs w:val="22"/>
        </w:rPr>
      </w:pPr>
    </w:p>
    <w:p w:rsidR="00B76969" w:rsidRPr="007476BD" w:rsidRDefault="0004077E" w:rsidP="00B76969">
      <w:pPr>
        <w:pStyle w:val="FSBullet"/>
        <w:rPr>
          <w:szCs w:val="22"/>
        </w:rPr>
      </w:pPr>
      <w:r w:rsidRPr="007476BD">
        <w:rPr>
          <w:szCs w:val="22"/>
        </w:rPr>
        <w:t>T</w:t>
      </w:r>
      <w:r w:rsidR="00B76969" w:rsidRPr="007476BD">
        <w:rPr>
          <w:szCs w:val="22"/>
        </w:rPr>
        <w:t xml:space="preserve">he proposed amounts of </w:t>
      </w:r>
      <w:r w:rsidR="00276EDB" w:rsidRPr="007476BD">
        <w:rPr>
          <w:szCs w:val="22"/>
        </w:rPr>
        <w:t>Advantame</w:t>
      </w:r>
      <w:r w:rsidR="00B76969" w:rsidRPr="007476BD">
        <w:rPr>
          <w:szCs w:val="22"/>
        </w:rPr>
        <w:t xml:space="preserve"> added are consistent with achieving the technologica</w:t>
      </w:r>
      <w:r w:rsidR="002C6FE8" w:rsidRPr="007476BD">
        <w:rPr>
          <w:szCs w:val="22"/>
        </w:rPr>
        <w:t xml:space="preserve">l function </w:t>
      </w:r>
      <w:r w:rsidR="005B6139" w:rsidRPr="007476BD">
        <w:rPr>
          <w:szCs w:val="22"/>
        </w:rPr>
        <w:t xml:space="preserve">and Advantame would be added in a quantity and a form which is consistent with delivering the stated purpose of sweetening the food </w:t>
      </w:r>
      <w:r w:rsidR="002C6FE8" w:rsidRPr="007476BD">
        <w:rPr>
          <w:szCs w:val="22"/>
        </w:rPr>
        <w:t>(</w:t>
      </w:r>
      <w:r w:rsidR="00B76969" w:rsidRPr="007476BD">
        <w:rPr>
          <w:szCs w:val="22"/>
        </w:rPr>
        <w:t>S</w:t>
      </w:r>
      <w:r w:rsidR="00AF3F30" w:rsidRPr="007476BD">
        <w:rPr>
          <w:szCs w:val="22"/>
        </w:rPr>
        <w:t>D</w:t>
      </w:r>
      <w:r w:rsidR="00B76969" w:rsidRPr="007476BD">
        <w:rPr>
          <w:szCs w:val="22"/>
        </w:rPr>
        <w:t>1)</w:t>
      </w:r>
      <w:r w:rsidRPr="007476BD">
        <w:rPr>
          <w:szCs w:val="22"/>
        </w:rPr>
        <w:t>.</w:t>
      </w:r>
    </w:p>
    <w:p w:rsidR="00B76969" w:rsidRPr="007476BD" w:rsidRDefault="00B76969" w:rsidP="00B76969">
      <w:pPr>
        <w:pStyle w:val="ListParagraph"/>
        <w:rPr>
          <w:szCs w:val="22"/>
        </w:rPr>
      </w:pPr>
    </w:p>
    <w:p w:rsidR="00B76969" w:rsidRPr="007476BD" w:rsidRDefault="0004077E" w:rsidP="00B76969">
      <w:pPr>
        <w:pStyle w:val="FSBullet"/>
        <w:rPr>
          <w:szCs w:val="22"/>
        </w:rPr>
      </w:pPr>
      <w:r w:rsidRPr="007476BD">
        <w:rPr>
          <w:szCs w:val="22"/>
        </w:rPr>
        <w:t>The</w:t>
      </w:r>
      <w:r w:rsidR="00B76969" w:rsidRPr="007476BD">
        <w:rPr>
          <w:szCs w:val="22"/>
        </w:rPr>
        <w:t xml:space="preserve"> </w:t>
      </w:r>
      <w:r w:rsidR="009C6954" w:rsidRPr="007476BD">
        <w:rPr>
          <w:szCs w:val="22"/>
        </w:rPr>
        <w:t xml:space="preserve">existing </w:t>
      </w:r>
      <w:r w:rsidR="00F74245" w:rsidRPr="007476BD">
        <w:rPr>
          <w:szCs w:val="22"/>
        </w:rPr>
        <w:t xml:space="preserve">labelling </w:t>
      </w:r>
      <w:r w:rsidR="006C5EE7" w:rsidRPr="007476BD">
        <w:rPr>
          <w:szCs w:val="22"/>
        </w:rPr>
        <w:t>requirements in the Code,</w:t>
      </w:r>
      <w:r w:rsidR="00B35E7D" w:rsidRPr="007476BD">
        <w:rPr>
          <w:szCs w:val="22"/>
        </w:rPr>
        <w:t xml:space="preserve"> </w:t>
      </w:r>
      <w:r w:rsidR="00843C08" w:rsidRPr="007476BD">
        <w:rPr>
          <w:szCs w:val="22"/>
        </w:rPr>
        <w:t>including those for nutrition and health claims,</w:t>
      </w:r>
      <w:r w:rsidR="006C5EE7" w:rsidRPr="007476BD">
        <w:rPr>
          <w:szCs w:val="22"/>
        </w:rPr>
        <w:t xml:space="preserve"> enable</w:t>
      </w:r>
      <w:r w:rsidR="0092148C" w:rsidRPr="007476BD">
        <w:rPr>
          <w:szCs w:val="22"/>
        </w:rPr>
        <w:t xml:space="preserve"> </w:t>
      </w:r>
      <w:r w:rsidR="00D23E27" w:rsidRPr="007476BD">
        <w:rPr>
          <w:szCs w:val="22"/>
        </w:rPr>
        <w:t xml:space="preserve">consumers </w:t>
      </w:r>
      <w:r w:rsidR="00B96F83" w:rsidRPr="007476BD">
        <w:rPr>
          <w:szCs w:val="22"/>
        </w:rPr>
        <w:t>to make an informed choice</w:t>
      </w:r>
      <w:r w:rsidR="00065388" w:rsidRPr="007476BD">
        <w:rPr>
          <w:szCs w:val="22"/>
        </w:rPr>
        <w:t xml:space="preserve"> </w:t>
      </w:r>
      <w:r w:rsidR="00D23E27" w:rsidRPr="007476BD">
        <w:rPr>
          <w:color w:val="000000" w:themeColor="text1"/>
          <w:szCs w:val="22"/>
        </w:rPr>
        <w:t>in relation</w:t>
      </w:r>
      <w:r w:rsidR="00B76969" w:rsidRPr="007476BD">
        <w:rPr>
          <w:color w:val="000000" w:themeColor="text1"/>
          <w:szCs w:val="22"/>
        </w:rPr>
        <w:t xml:space="preserve"> to the nutritional quality of </w:t>
      </w:r>
      <w:r w:rsidR="00276EDB" w:rsidRPr="007476BD">
        <w:rPr>
          <w:color w:val="000000" w:themeColor="text1"/>
          <w:szCs w:val="22"/>
        </w:rPr>
        <w:t>Advantame</w:t>
      </w:r>
      <w:r w:rsidR="00B76969" w:rsidRPr="007476BD">
        <w:rPr>
          <w:color w:val="000000" w:themeColor="text1"/>
          <w:szCs w:val="22"/>
        </w:rPr>
        <w:t xml:space="preserve"> containing foods.</w:t>
      </w:r>
    </w:p>
    <w:p w:rsidR="00B56993" w:rsidRPr="007476BD" w:rsidRDefault="00B56993" w:rsidP="009C1B0D">
      <w:pPr>
        <w:rPr>
          <w:lang w:eastAsia="en-AU"/>
        </w:rPr>
      </w:pPr>
    </w:p>
    <w:p w:rsidR="00C0288A" w:rsidRPr="007476BD" w:rsidRDefault="00B7158F" w:rsidP="00C0288A">
      <w:pPr>
        <w:pStyle w:val="Heading3"/>
        <w:keepLines/>
      </w:pPr>
      <w:bookmarkStart w:id="61" w:name="_Toc296958612"/>
      <w:r w:rsidRPr="007476BD">
        <w:t>6.</w:t>
      </w:r>
      <w:r w:rsidR="00B33CF2" w:rsidRPr="007476BD">
        <w:t>6</w:t>
      </w:r>
      <w:r w:rsidR="00C0288A" w:rsidRPr="007476BD">
        <w:tab/>
        <w:t xml:space="preserve">Specifications </w:t>
      </w:r>
      <w:r w:rsidR="00153A96" w:rsidRPr="007476BD">
        <w:t xml:space="preserve">for </w:t>
      </w:r>
      <w:r w:rsidR="00276EDB" w:rsidRPr="007476BD">
        <w:t>Advantame</w:t>
      </w:r>
      <w:bookmarkEnd w:id="61"/>
    </w:p>
    <w:p w:rsidR="009C1B0D" w:rsidRPr="007476BD" w:rsidRDefault="009C1B0D" w:rsidP="009C1B0D"/>
    <w:p w:rsidR="00877611" w:rsidRPr="007476BD" w:rsidRDefault="00D7070F" w:rsidP="00D7070F">
      <w:r w:rsidRPr="007476BD">
        <w:t xml:space="preserve">Standard 1.3.4 </w:t>
      </w:r>
      <w:r w:rsidR="00AF3F30" w:rsidRPr="007476BD">
        <w:t xml:space="preserve">includes </w:t>
      </w:r>
      <w:r w:rsidRPr="007476BD">
        <w:t xml:space="preserve">specifications for food additives (and other substances in foods) by reference to specific sources, including </w:t>
      </w:r>
      <w:r w:rsidR="00385AFD" w:rsidRPr="007476BD">
        <w:t xml:space="preserve">specifications established by </w:t>
      </w:r>
      <w:r w:rsidRPr="007476BD">
        <w:t>JECFA</w:t>
      </w:r>
      <w:r w:rsidR="00503CC3" w:rsidRPr="007476BD">
        <w:t xml:space="preserve">. </w:t>
      </w:r>
    </w:p>
    <w:p w:rsidR="001A7EB2" w:rsidRPr="007476BD" w:rsidRDefault="001A7EB2" w:rsidP="001A7EB2">
      <w:pPr>
        <w:widowControl/>
      </w:pPr>
    </w:p>
    <w:p w:rsidR="00D7070F" w:rsidRPr="007476BD" w:rsidRDefault="00D7070F" w:rsidP="001A7EB2">
      <w:pPr>
        <w:widowControl/>
      </w:pPr>
      <w:r w:rsidRPr="007476BD">
        <w:t xml:space="preserve">Standard 1.3.4 also contains distinct specifications for some ingredients and substances where there is not a suitable specification included in the sources referenced in </w:t>
      </w:r>
      <w:r w:rsidR="009B68A3" w:rsidRPr="007476BD">
        <w:t xml:space="preserve">that </w:t>
      </w:r>
      <w:r w:rsidRPr="007476BD">
        <w:t>Standard</w:t>
      </w:r>
      <w:r w:rsidR="00503CC3" w:rsidRPr="007476BD">
        <w:t xml:space="preserve">. </w:t>
      </w:r>
    </w:p>
    <w:p w:rsidR="002D668E" w:rsidRPr="007476BD" w:rsidRDefault="002D668E" w:rsidP="00D7070F"/>
    <w:p w:rsidR="00AF3F30" w:rsidRPr="007476BD" w:rsidRDefault="001569F6" w:rsidP="00D7070F">
      <w:r w:rsidRPr="007476BD">
        <w:t xml:space="preserve">The </w:t>
      </w:r>
      <w:r w:rsidR="002F032F" w:rsidRPr="007476BD">
        <w:t>p</w:t>
      </w:r>
      <w:r w:rsidRPr="007476BD">
        <w:t xml:space="preserve">urpose </w:t>
      </w:r>
      <w:r w:rsidR="009B68A3" w:rsidRPr="007476BD">
        <w:t>of</w:t>
      </w:r>
      <w:r w:rsidRPr="007476BD">
        <w:t xml:space="preserve"> Standard 1.3.4 </w:t>
      </w:r>
      <w:r w:rsidR="00D7070F" w:rsidRPr="007476BD">
        <w:t>is to regulate the identity and purity of substances</w:t>
      </w:r>
      <w:r w:rsidR="002F7A2F" w:rsidRPr="007476BD">
        <w:t>.</w:t>
      </w:r>
      <w:r w:rsidR="00AD64C9" w:rsidRPr="007476BD">
        <w:t xml:space="preserve"> </w:t>
      </w:r>
      <w:r w:rsidR="00AF3F30" w:rsidRPr="007476BD">
        <w:br w:type="page"/>
      </w:r>
    </w:p>
    <w:p w:rsidR="005331CF" w:rsidRPr="007476BD" w:rsidRDefault="00276EDB" w:rsidP="005331CF">
      <w:pPr>
        <w:rPr>
          <w:rFonts w:cs="Arial"/>
        </w:rPr>
      </w:pPr>
      <w:r w:rsidRPr="007476BD">
        <w:rPr>
          <w:rFonts w:cs="Arial"/>
        </w:rPr>
        <w:lastRenderedPageBreak/>
        <w:t>Advantame</w:t>
      </w:r>
      <w:r w:rsidR="005331CF" w:rsidRPr="007476BD">
        <w:rPr>
          <w:rFonts w:cs="Arial"/>
        </w:rPr>
        <w:t xml:space="preserve"> is not covered by a specification from one of the published source</w:t>
      </w:r>
      <w:r w:rsidR="00AF3F30" w:rsidRPr="007476BD">
        <w:rPr>
          <w:rFonts w:cs="Arial"/>
        </w:rPr>
        <w:t xml:space="preserve">s identified in Standard 1.3.4 </w:t>
      </w:r>
      <w:r w:rsidR="005331CF" w:rsidRPr="007476BD">
        <w:rPr>
          <w:rFonts w:cs="Arial"/>
        </w:rPr>
        <w:t xml:space="preserve">or in any of the primary or secondary specification sources approved for use by FSANZ. In the absence of an appropriate published monograph, a detailed specification is provided in SD1. </w:t>
      </w:r>
      <w:r w:rsidR="000544DC" w:rsidRPr="007476BD">
        <w:rPr>
          <w:rFonts w:cs="Arial"/>
        </w:rPr>
        <w:t xml:space="preserve">This specification is included in the </w:t>
      </w:r>
      <w:r w:rsidR="00AF3F30" w:rsidRPr="007476BD">
        <w:rPr>
          <w:rFonts w:cs="Arial"/>
        </w:rPr>
        <w:t>draft variations arising from</w:t>
      </w:r>
      <w:r w:rsidR="001233D0" w:rsidRPr="007476BD">
        <w:rPr>
          <w:rFonts w:cs="Arial"/>
        </w:rPr>
        <w:t xml:space="preserve"> this Application</w:t>
      </w:r>
      <w:r w:rsidR="000544DC" w:rsidRPr="007476BD">
        <w:rPr>
          <w:rFonts w:cs="Arial"/>
        </w:rPr>
        <w:t xml:space="preserve"> (</w:t>
      </w:r>
      <w:r w:rsidR="000544DC" w:rsidRPr="007476BD">
        <w:rPr>
          <w:rFonts w:cs="Arial"/>
          <w:b/>
        </w:rPr>
        <w:t>Attachment 1</w:t>
      </w:r>
      <w:r w:rsidR="000544DC" w:rsidRPr="007476BD">
        <w:rPr>
          <w:rFonts w:cs="Arial"/>
        </w:rPr>
        <w:t xml:space="preserve">). </w:t>
      </w:r>
    </w:p>
    <w:p w:rsidR="00877611" w:rsidRPr="007476BD" w:rsidRDefault="00877611" w:rsidP="00877611">
      <w:pPr>
        <w:widowControl/>
      </w:pPr>
    </w:p>
    <w:p w:rsidR="00D7070F" w:rsidRPr="007476BD" w:rsidRDefault="00B7158F" w:rsidP="00877611">
      <w:pPr>
        <w:pStyle w:val="Heading3"/>
      </w:pPr>
      <w:bookmarkStart w:id="62" w:name="_Toc296958613"/>
      <w:r w:rsidRPr="007476BD">
        <w:t>6.</w:t>
      </w:r>
      <w:r w:rsidR="00B33CF2" w:rsidRPr="007476BD">
        <w:t>7</w:t>
      </w:r>
      <w:r w:rsidR="00D7070F" w:rsidRPr="007476BD">
        <w:tab/>
        <w:t>Methods of analysis</w:t>
      </w:r>
      <w:bookmarkEnd w:id="62"/>
    </w:p>
    <w:p w:rsidR="00147BA9" w:rsidRPr="007476BD" w:rsidRDefault="00147BA9" w:rsidP="00877611">
      <w:pPr>
        <w:pStyle w:val="Heading3"/>
        <w:rPr>
          <w:rFonts w:cs="Arial"/>
        </w:rPr>
      </w:pPr>
    </w:p>
    <w:p w:rsidR="00AA65D3" w:rsidRPr="007476BD" w:rsidRDefault="003C4ED8" w:rsidP="00AA65D3">
      <w:pPr>
        <w:rPr>
          <w:rFonts w:cs="Arial"/>
        </w:rPr>
      </w:pPr>
      <w:r w:rsidRPr="007476BD">
        <w:rPr>
          <w:rFonts w:cs="Arial"/>
        </w:rPr>
        <w:t>T</w:t>
      </w:r>
      <w:r w:rsidR="00AA65D3" w:rsidRPr="007476BD">
        <w:rPr>
          <w:rFonts w:cs="Arial"/>
        </w:rPr>
        <w:t xml:space="preserve">he assay for Advantame and the validation of this method is presented in full detail in the Application. </w:t>
      </w:r>
      <w:r w:rsidR="00D85A7D" w:rsidRPr="007476BD">
        <w:rPr>
          <w:rFonts w:cs="Arial"/>
        </w:rPr>
        <w:t xml:space="preserve">This can be viewed by interested parties as part of the public register. </w:t>
      </w:r>
      <w:r w:rsidR="00AA65D3" w:rsidRPr="007476BD">
        <w:rPr>
          <w:rFonts w:cs="Arial"/>
        </w:rPr>
        <w:t xml:space="preserve">This method employs </w:t>
      </w:r>
      <w:r w:rsidR="00267163" w:rsidRPr="007476BD">
        <w:rPr>
          <w:rFonts w:cs="Arial"/>
        </w:rPr>
        <w:t>high-performance liquid chromatography (</w:t>
      </w:r>
      <w:r w:rsidR="00AA65D3" w:rsidRPr="007476BD">
        <w:rPr>
          <w:rFonts w:cs="Arial"/>
        </w:rPr>
        <w:t>HPLC</w:t>
      </w:r>
      <w:r w:rsidR="00267163" w:rsidRPr="007476BD">
        <w:rPr>
          <w:rFonts w:cs="Arial"/>
        </w:rPr>
        <w:t>)</w:t>
      </w:r>
      <w:r w:rsidR="00AA65D3" w:rsidRPr="007476BD">
        <w:rPr>
          <w:rFonts w:cs="Arial"/>
        </w:rPr>
        <w:t xml:space="preserve"> coupled with an ultraviolet absorption detector</w:t>
      </w:r>
      <w:r w:rsidR="00451C55" w:rsidRPr="007476BD">
        <w:rPr>
          <w:rFonts w:cs="Arial"/>
        </w:rPr>
        <w:t xml:space="preserve"> </w:t>
      </w:r>
      <w:r w:rsidR="0049422C" w:rsidRPr="007476BD">
        <w:rPr>
          <w:rFonts w:cs="Arial"/>
        </w:rPr>
        <w:t>(</w:t>
      </w:r>
      <w:r w:rsidR="00A13756" w:rsidRPr="007476BD">
        <w:rPr>
          <w:rFonts w:cs="Arial"/>
        </w:rPr>
        <w:t>r</w:t>
      </w:r>
      <w:r w:rsidR="0049422C" w:rsidRPr="007476BD">
        <w:rPr>
          <w:rFonts w:cs="Arial"/>
        </w:rPr>
        <w:t xml:space="preserve">efer to Section </w:t>
      </w:r>
      <w:r w:rsidR="009573DE" w:rsidRPr="007476BD">
        <w:rPr>
          <w:rFonts w:cs="Arial"/>
        </w:rPr>
        <w:t>2.1.3 of SD1)</w:t>
      </w:r>
      <w:r w:rsidR="00A13756" w:rsidRPr="007476BD">
        <w:rPr>
          <w:rFonts w:cs="Arial"/>
        </w:rPr>
        <w:t>.</w:t>
      </w:r>
    </w:p>
    <w:p w:rsidR="00AA65D3" w:rsidRPr="007476BD" w:rsidRDefault="00AA65D3" w:rsidP="00AA65D3">
      <w:pPr>
        <w:rPr>
          <w:rFonts w:cs="Arial"/>
        </w:rPr>
      </w:pPr>
    </w:p>
    <w:p w:rsidR="00AA65D3" w:rsidRPr="007476BD" w:rsidRDefault="00AA65D3" w:rsidP="00AA65D3">
      <w:pPr>
        <w:rPr>
          <w:rFonts w:cs="Arial"/>
        </w:rPr>
      </w:pPr>
      <w:r w:rsidRPr="007476BD">
        <w:rPr>
          <w:rFonts w:cs="Arial"/>
        </w:rPr>
        <w:t xml:space="preserve">The HPLC method employed in the analysis of the Advantame also quantifies </w:t>
      </w:r>
      <w:r w:rsidR="008F5D3E" w:rsidRPr="007476BD">
        <w:rPr>
          <w:rFonts w:cs="Arial"/>
        </w:rPr>
        <w:t xml:space="preserve">Advantame-acid </w:t>
      </w:r>
      <w:r w:rsidRPr="007476BD">
        <w:rPr>
          <w:rFonts w:cs="Arial"/>
        </w:rPr>
        <w:t>(a breakdown produ</w:t>
      </w:r>
      <w:r w:rsidR="00267163" w:rsidRPr="007476BD">
        <w:rPr>
          <w:rFonts w:cs="Arial"/>
        </w:rPr>
        <w:t xml:space="preserve">ct of Advantame) </w:t>
      </w:r>
      <w:r w:rsidRPr="007476BD">
        <w:rPr>
          <w:rFonts w:cs="Arial"/>
        </w:rPr>
        <w:t>and other relat</w:t>
      </w:r>
      <w:r w:rsidR="00267163" w:rsidRPr="007476BD">
        <w:rPr>
          <w:rFonts w:cs="Arial"/>
        </w:rPr>
        <w:t xml:space="preserve">ed substances </w:t>
      </w:r>
      <w:r w:rsidRPr="007476BD">
        <w:rPr>
          <w:rFonts w:cs="Arial"/>
        </w:rPr>
        <w:t>in table</w:t>
      </w:r>
      <w:r w:rsidR="002F032F" w:rsidRPr="007476BD">
        <w:rPr>
          <w:rFonts w:cs="Arial"/>
        </w:rPr>
        <w:t xml:space="preserve"> </w:t>
      </w:r>
      <w:r w:rsidRPr="007476BD">
        <w:rPr>
          <w:rFonts w:cs="Arial"/>
        </w:rPr>
        <w:t>top sweeteners and powdered beverages. A calibration curve based on standard Advantame or</w:t>
      </w:r>
      <w:r w:rsidR="008F5D3E" w:rsidRPr="007476BD">
        <w:rPr>
          <w:rFonts w:cs="Arial"/>
        </w:rPr>
        <w:t xml:space="preserve"> Advantame-acid</w:t>
      </w:r>
      <w:r w:rsidRPr="007476BD">
        <w:rPr>
          <w:rFonts w:cs="Arial"/>
        </w:rPr>
        <w:t xml:space="preserve"> solutions is used</w:t>
      </w:r>
      <w:r w:rsidR="00503CC3" w:rsidRPr="007476BD">
        <w:rPr>
          <w:rFonts w:cs="Arial"/>
        </w:rPr>
        <w:t xml:space="preserve">. </w:t>
      </w:r>
    </w:p>
    <w:p w:rsidR="00AA65D3" w:rsidRPr="007476BD" w:rsidRDefault="00AA65D3" w:rsidP="007763DF">
      <w:pPr>
        <w:rPr>
          <w:rFonts w:cs="Arial"/>
        </w:rPr>
      </w:pPr>
    </w:p>
    <w:p w:rsidR="00D60568" w:rsidRPr="007476BD" w:rsidRDefault="00C0288A" w:rsidP="001C27A3">
      <w:pPr>
        <w:pStyle w:val="Heading3"/>
      </w:pPr>
      <w:bookmarkStart w:id="63" w:name="_Toc296958614"/>
      <w:r w:rsidRPr="007476BD">
        <w:t>6.</w:t>
      </w:r>
      <w:r w:rsidR="00B33CF2" w:rsidRPr="007476BD">
        <w:t>8</w:t>
      </w:r>
      <w:r w:rsidR="001C27A3" w:rsidRPr="007476BD">
        <w:tab/>
      </w:r>
      <w:r w:rsidR="00D60568" w:rsidRPr="007476BD">
        <w:t>Risk Management Strategy</w:t>
      </w:r>
      <w:bookmarkEnd w:id="63"/>
    </w:p>
    <w:p w:rsidR="000F66D9" w:rsidRPr="007476BD" w:rsidRDefault="000F66D9" w:rsidP="007A2DC5">
      <w:pPr>
        <w:rPr>
          <w:rFonts w:cs="Arial"/>
          <w:color w:val="000000"/>
        </w:rPr>
      </w:pPr>
    </w:p>
    <w:p w:rsidR="007A2DC5" w:rsidRPr="007476BD" w:rsidRDefault="004A0B82" w:rsidP="007A2DC5">
      <w:r w:rsidRPr="007476BD">
        <w:rPr>
          <w:rFonts w:cs="Arial"/>
          <w:color w:val="000000"/>
        </w:rPr>
        <w:t xml:space="preserve">The risk assessment </w:t>
      </w:r>
      <w:r w:rsidR="00F76268" w:rsidRPr="007476BD">
        <w:rPr>
          <w:rFonts w:cs="Arial"/>
          <w:color w:val="000000"/>
        </w:rPr>
        <w:t>concluded tha</w:t>
      </w:r>
      <w:r w:rsidR="001C2F82" w:rsidRPr="007476BD">
        <w:rPr>
          <w:rFonts w:cs="Arial"/>
          <w:color w:val="000000"/>
        </w:rPr>
        <w:t xml:space="preserve">t permitting the use of </w:t>
      </w:r>
      <w:r w:rsidR="00276EDB" w:rsidRPr="007476BD">
        <w:rPr>
          <w:rFonts w:cs="Arial"/>
          <w:color w:val="000000"/>
        </w:rPr>
        <w:t>Advantame</w:t>
      </w:r>
      <w:r w:rsidR="001C2F82" w:rsidRPr="007476BD">
        <w:rPr>
          <w:rFonts w:cs="Arial"/>
          <w:color w:val="000000"/>
        </w:rPr>
        <w:t xml:space="preserve"> </w:t>
      </w:r>
      <w:r w:rsidR="00F76268" w:rsidRPr="007476BD">
        <w:rPr>
          <w:rFonts w:cs="Arial"/>
          <w:color w:val="000000"/>
        </w:rPr>
        <w:t>as an intense</w:t>
      </w:r>
      <w:r w:rsidR="001C2F82" w:rsidRPr="007476BD">
        <w:rPr>
          <w:rFonts w:cs="Arial"/>
          <w:color w:val="000000"/>
        </w:rPr>
        <w:t xml:space="preserve"> sweetener </w:t>
      </w:r>
      <w:r w:rsidR="00F76268" w:rsidRPr="007476BD">
        <w:rPr>
          <w:rFonts w:cs="Arial"/>
          <w:color w:val="000000"/>
        </w:rPr>
        <w:t xml:space="preserve">is technologically justified and poses no significant risk to public health and safety. </w:t>
      </w:r>
      <w:r w:rsidR="007A2DC5" w:rsidRPr="007476BD">
        <w:t xml:space="preserve">The general labelling requirements of the Code will provide adequate information to consumers regarding foods containing </w:t>
      </w:r>
      <w:r w:rsidR="00276EDB" w:rsidRPr="007476BD">
        <w:t>Advantame</w:t>
      </w:r>
      <w:r w:rsidR="007A2DC5" w:rsidRPr="007476BD">
        <w:t xml:space="preserve">. </w:t>
      </w:r>
      <w:r w:rsidR="00CB7563" w:rsidRPr="007476BD">
        <w:t>Based on the risk assessment findings, n</w:t>
      </w:r>
      <w:r w:rsidR="007A2DC5" w:rsidRPr="007476BD">
        <w:t xml:space="preserve">o additional mandatory labelling is proposed. </w:t>
      </w:r>
    </w:p>
    <w:p w:rsidR="00F53803" w:rsidRPr="007476BD" w:rsidRDefault="00276EDB" w:rsidP="00557A5E">
      <w:pPr>
        <w:spacing w:before="240" w:line="240" w:lineRule="atLeast"/>
        <w:ind w:right="-140"/>
        <w:rPr>
          <w:rFonts w:cs="Arial"/>
          <w:color w:val="000000"/>
        </w:rPr>
      </w:pPr>
      <w:r w:rsidRPr="007476BD">
        <w:rPr>
          <w:rFonts w:cs="Arial"/>
          <w:color w:val="000000"/>
        </w:rPr>
        <w:t>Advantame</w:t>
      </w:r>
      <w:r w:rsidR="00F76268" w:rsidRPr="007476BD">
        <w:rPr>
          <w:rFonts w:cs="Arial"/>
          <w:color w:val="000000"/>
        </w:rPr>
        <w:t xml:space="preserve"> could </w:t>
      </w:r>
      <w:r w:rsidR="00140F89" w:rsidRPr="007476BD">
        <w:rPr>
          <w:rFonts w:cs="Arial"/>
          <w:color w:val="000000"/>
        </w:rPr>
        <w:t xml:space="preserve">be regulated in </w:t>
      </w:r>
      <w:r w:rsidR="00224E4C" w:rsidRPr="007476BD">
        <w:rPr>
          <w:rFonts w:cs="Arial"/>
          <w:color w:val="000000"/>
        </w:rPr>
        <w:t xml:space="preserve">Standard 1.3.1 in either </w:t>
      </w:r>
      <w:r w:rsidR="00140F89" w:rsidRPr="007476BD">
        <w:rPr>
          <w:rFonts w:cs="Arial"/>
          <w:color w:val="000000"/>
        </w:rPr>
        <w:t xml:space="preserve">Schedule 1 with specific maximum limits or </w:t>
      </w:r>
      <w:r w:rsidR="00F76268" w:rsidRPr="007476BD">
        <w:rPr>
          <w:rFonts w:cs="Arial"/>
          <w:color w:val="000000"/>
        </w:rPr>
        <w:t xml:space="preserve">be generally permitted in </w:t>
      </w:r>
      <w:r w:rsidR="00224E4C" w:rsidRPr="007476BD">
        <w:rPr>
          <w:rFonts w:cs="Arial"/>
          <w:color w:val="000000"/>
        </w:rPr>
        <w:t xml:space="preserve">Schedule 2 </w:t>
      </w:r>
      <w:r w:rsidR="00557A5E" w:rsidRPr="007476BD">
        <w:rPr>
          <w:rFonts w:cs="Arial"/>
          <w:color w:val="000000"/>
        </w:rPr>
        <w:t>under GMP</w:t>
      </w:r>
      <w:r w:rsidR="00224E4C" w:rsidRPr="007476BD">
        <w:rPr>
          <w:rStyle w:val="CommentReference"/>
        </w:rPr>
        <w:t xml:space="preserve">. </w:t>
      </w:r>
    </w:p>
    <w:p w:rsidR="00280D2F" w:rsidRPr="007476BD" w:rsidRDefault="00280D2F" w:rsidP="0083533D">
      <w:pPr>
        <w:rPr>
          <w:rFonts w:cs="Arial"/>
        </w:rPr>
      </w:pPr>
    </w:p>
    <w:p w:rsidR="0083533D" w:rsidRPr="007476BD" w:rsidRDefault="0083533D" w:rsidP="006B3AAC">
      <w:pPr>
        <w:widowControl/>
        <w:rPr>
          <w:rFonts w:cs="Arial"/>
        </w:rPr>
      </w:pPr>
      <w:r w:rsidRPr="007476BD">
        <w:rPr>
          <w:rFonts w:cs="Arial"/>
        </w:rPr>
        <w:t>Schedule 1 permissions usually apply when the risk assessment determines that an exceedance of the reference health level, namely the ADI</w:t>
      </w:r>
      <w:r w:rsidR="009B68A3" w:rsidRPr="007476BD">
        <w:rPr>
          <w:rFonts w:cs="Arial"/>
        </w:rPr>
        <w:t>,</w:t>
      </w:r>
      <w:r w:rsidRPr="007476BD">
        <w:rPr>
          <w:rFonts w:cs="Arial"/>
        </w:rPr>
        <w:t xml:space="preserve"> would be possible for any population group </w:t>
      </w:r>
      <w:r w:rsidR="009C3E3C" w:rsidRPr="007476BD">
        <w:rPr>
          <w:rFonts w:cs="Arial"/>
        </w:rPr>
        <w:t xml:space="preserve">and </w:t>
      </w:r>
      <w:r w:rsidRPr="007476BD">
        <w:rPr>
          <w:rFonts w:cs="Arial"/>
        </w:rPr>
        <w:t xml:space="preserve">it would be appropriate to restrict levels of </w:t>
      </w:r>
      <w:r w:rsidR="002F032F" w:rsidRPr="007476BD">
        <w:rPr>
          <w:rFonts w:cs="Arial"/>
        </w:rPr>
        <w:t xml:space="preserve">the food additive </w:t>
      </w:r>
      <w:r w:rsidRPr="007476BD">
        <w:rPr>
          <w:rFonts w:cs="Arial"/>
        </w:rPr>
        <w:t xml:space="preserve">in foods. </w:t>
      </w:r>
    </w:p>
    <w:p w:rsidR="0083533D" w:rsidRPr="007476BD" w:rsidRDefault="0083533D" w:rsidP="0083533D">
      <w:pPr>
        <w:rPr>
          <w:rFonts w:cs="Arial"/>
        </w:rPr>
      </w:pPr>
    </w:p>
    <w:p w:rsidR="0083533D" w:rsidRPr="007476BD" w:rsidRDefault="0083533D" w:rsidP="0083533D">
      <w:pPr>
        <w:rPr>
          <w:rFonts w:cs="Arial"/>
        </w:rPr>
      </w:pPr>
      <w:r w:rsidRPr="007476BD">
        <w:rPr>
          <w:rFonts w:cs="Arial"/>
        </w:rPr>
        <w:t>FSANZ has calculated that a 60 kg person would have to consume 300 mg Advan</w:t>
      </w:r>
      <w:r w:rsidR="00326325" w:rsidRPr="007476BD">
        <w:rPr>
          <w:rFonts w:cs="Arial"/>
        </w:rPr>
        <w:t xml:space="preserve">tame/day to exceed the ADI of </w:t>
      </w:r>
      <w:r w:rsidRPr="007476BD">
        <w:rPr>
          <w:rFonts w:cs="Arial"/>
        </w:rPr>
        <w:t xml:space="preserve">5 mg/kg bw/day. </w:t>
      </w:r>
      <w:r w:rsidR="000413E3" w:rsidRPr="007476BD">
        <w:rPr>
          <w:rFonts w:cs="Arial"/>
        </w:rPr>
        <w:t xml:space="preserve">As </w:t>
      </w:r>
      <w:r w:rsidRPr="007476BD">
        <w:rPr>
          <w:rFonts w:cs="Arial"/>
        </w:rPr>
        <w:t>Advantame is 20</w:t>
      </w:r>
      <w:r w:rsidR="000413E3" w:rsidRPr="007476BD">
        <w:rPr>
          <w:rFonts w:cs="Arial"/>
        </w:rPr>
        <w:t>,</w:t>
      </w:r>
      <w:r w:rsidRPr="007476BD">
        <w:rPr>
          <w:rFonts w:cs="Arial"/>
        </w:rPr>
        <w:t xml:space="preserve">000 times sweeter than sucrose, 300 mg </w:t>
      </w:r>
      <w:r w:rsidR="00800785" w:rsidRPr="007476BD">
        <w:rPr>
          <w:rFonts w:cs="Arial"/>
        </w:rPr>
        <w:t>A</w:t>
      </w:r>
      <w:r w:rsidRPr="007476BD">
        <w:rPr>
          <w:rFonts w:cs="Arial"/>
        </w:rPr>
        <w:t>dvantame is equivalent to a</w:t>
      </w:r>
      <w:r w:rsidR="00CB2EA4" w:rsidRPr="007476BD">
        <w:rPr>
          <w:rFonts w:cs="Arial"/>
        </w:rPr>
        <w:t xml:space="preserve"> consumption of </w:t>
      </w:r>
      <w:r w:rsidRPr="007476BD">
        <w:rPr>
          <w:rFonts w:cs="Arial"/>
        </w:rPr>
        <w:t>6 kg sugar</w:t>
      </w:r>
      <w:r w:rsidR="00477B0F" w:rsidRPr="007476BD">
        <w:rPr>
          <w:rFonts w:cs="Arial"/>
        </w:rPr>
        <w:t xml:space="preserve">. </w:t>
      </w:r>
      <w:r w:rsidRPr="007476BD">
        <w:rPr>
          <w:rFonts w:cs="Arial"/>
        </w:rPr>
        <w:t xml:space="preserve">Similarly, a 19 kg child would have to consume the equivalent of about 1.9 kg sugar. </w:t>
      </w:r>
    </w:p>
    <w:p w:rsidR="00603FA8" w:rsidRPr="007476BD" w:rsidRDefault="00603FA8">
      <w:pPr>
        <w:widowControl/>
        <w:rPr>
          <w:rFonts w:cs="Arial"/>
          <w:color w:val="000000"/>
        </w:rPr>
      </w:pPr>
    </w:p>
    <w:p w:rsidR="004B74D1" w:rsidRPr="007476BD" w:rsidRDefault="00CB2EA4" w:rsidP="00224E4C">
      <w:pPr>
        <w:widowControl/>
      </w:pPr>
      <w:r w:rsidRPr="007476BD">
        <w:t xml:space="preserve">Therefore, </w:t>
      </w:r>
      <w:r w:rsidR="00CE7FD5" w:rsidRPr="007476BD">
        <w:t xml:space="preserve">FSANZ has concluded that </w:t>
      </w:r>
      <w:r w:rsidR="0083533D" w:rsidRPr="007476BD">
        <w:t xml:space="preserve">the second option </w:t>
      </w:r>
      <w:r w:rsidR="00E8090B" w:rsidRPr="007476BD">
        <w:t xml:space="preserve">to </w:t>
      </w:r>
      <w:r w:rsidR="00B07FBD" w:rsidRPr="007476BD">
        <w:t xml:space="preserve">recommend </w:t>
      </w:r>
      <w:r w:rsidR="009B5FC0" w:rsidRPr="007476BD">
        <w:t xml:space="preserve">GMP permissions </w:t>
      </w:r>
      <w:r w:rsidR="00C55545" w:rsidRPr="007476BD">
        <w:t xml:space="preserve">for Advantame </w:t>
      </w:r>
      <w:r w:rsidR="009B5FC0" w:rsidRPr="007476BD">
        <w:t xml:space="preserve">in </w:t>
      </w:r>
      <w:r w:rsidR="00F53803" w:rsidRPr="007476BD">
        <w:t>Schedule</w:t>
      </w:r>
      <w:r w:rsidR="0083533D" w:rsidRPr="007476BD">
        <w:t xml:space="preserve"> 2 is the most appropriate for the following reasons: </w:t>
      </w:r>
    </w:p>
    <w:p w:rsidR="00CE7FD5" w:rsidRPr="007476BD" w:rsidRDefault="00CE7FD5" w:rsidP="00CE7FD5">
      <w:pPr>
        <w:rPr>
          <w:rFonts w:cs="Arial"/>
        </w:rPr>
      </w:pPr>
    </w:p>
    <w:p w:rsidR="00375FD1" w:rsidRPr="007476BD" w:rsidRDefault="00375FD1" w:rsidP="00375FD1">
      <w:pPr>
        <w:pStyle w:val="FSBullet"/>
      </w:pPr>
      <w:r w:rsidRPr="007476BD">
        <w:t>There is no specific risk that needs to be managed by setting a maximum permitted level in foods.</w:t>
      </w:r>
    </w:p>
    <w:p w:rsidR="00375FD1" w:rsidRPr="007476BD" w:rsidRDefault="00375FD1" w:rsidP="00623451">
      <w:pPr>
        <w:pStyle w:val="FSBullet"/>
      </w:pPr>
      <w:r w:rsidRPr="007476BD">
        <w:t>It allows a wider variety of foods to use Advantame to formulate food preparations that suit a variety of broader food applications.</w:t>
      </w:r>
    </w:p>
    <w:p w:rsidR="00375FD1" w:rsidRPr="007476BD" w:rsidRDefault="00375FD1" w:rsidP="00375FD1">
      <w:pPr>
        <w:pStyle w:val="FSBullet"/>
      </w:pPr>
      <w:r w:rsidRPr="007476BD">
        <w:t>Due to the intense sweetness of Advantame and minimal amounts needed to sweeten foods, the use of Advantame is self-limiting.</w:t>
      </w:r>
    </w:p>
    <w:p w:rsidR="00375FD1" w:rsidRPr="007476BD" w:rsidRDefault="00375FD1" w:rsidP="00375FD1">
      <w:pPr>
        <w:pStyle w:val="FSBullet"/>
      </w:pPr>
      <w:r w:rsidRPr="007476BD">
        <w:t xml:space="preserve">Even when used at the levels proposed by the Applicant, the dietary exposure for the highest consumer is well below the ADI. </w:t>
      </w:r>
    </w:p>
    <w:p w:rsidR="00147BA9" w:rsidRPr="007476BD" w:rsidRDefault="00147BA9">
      <w:pPr>
        <w:rPr>
          <w:rFonts w:cs="Arial"/>
        </w:rPr>
      </w:pPr>
    </w:p>
    <w:p w:rsidR="00AF3F30" w:rsidRPr="007476BD" w:rsidRDefault="00AF3F30" w:rsidP="00B33CF2">
      <w:pPr>
        <w:pStyle w:val="Heading2"/>
      </w:pPr>
      <w:bookmarkStart w:id="64" w:name="_Toc11735636"/>
      <w:bookmarkStart w:id="65" w:name="_Toc29883121"/>
      <w:bookmarkStart w:id="66" w:name="_Toc41906808"/>
      <w:bookmarkStart w:id="67" w:name="_Toc41907555"/>
      <w:bookmarkStart w:id="68" w:name="_Toc120358586"/>
      <w:bookmarkStart w:id="69" w:name="_Toc296958615"/>
      <w:r w:rsidRPr="007476BD">
        <w:br w:type="page"/>
      </w:r>
    </w:p>
    <w:p w:rsidR="003C4969" w:rsidRPr="007476BD" w:rsidRDefault="001C27A3" w:rsidP="00B33CF2">
      <w:pPr>
        <w:pStyle w:val="Heading2"/>
      </w:pPr>
      <w:r w:rsidRPr="007476BD">
        <w:lastRenderedPageBreak/>
        <w:t>7.</w:t>
      </w:r>
      <w:r w:rsidR="003C4969" w:rsidRPr="007476BD">
        <w:tab/>
        <w:t>Options</w:t>
      </w:r>
      <w:bookmarkEnd w:id="64"/>
      <w:bookmarkEnd w:id="65"/>
      <w:bookmarkEnd w:id="66"/>
      <w:bookmarkEnd w:id="67"/>
      <w:bookmarkEnd w:id="68"/>
      <w:bookmarkEnd w:id="69"/>
      <w:r w:rsidR="003C4969" w:rsidRPr="007476BD">
        <w:t xml:space="preserve"> </w:t>
      </w:r>
    </w:p>
    <w:p w:rsidR="00676B8E" w:rsidRPr="007476BD" w:rsidRDefault="00676B8E">
      <w:pPr>
        <w:rPr>
          <w:rFonts w:cs="Arial"/>
        </w:rPr>
      </w:pPr>
    </w:p>
    <w:p w:rsidR="00877611" w:rsidRPr="007476BD" w:rsidRDefault="002325B4" w:rsidP="00AF3F30">
      <w:r w:rsidRPr="007476BD">
        <w:t>FSANZ is required to consider the impact of various regulatory (and non-regulatory) options on all sectors of the community, which includes consumers, food industries and governments in Australia and New Zealand</w:t>
      </w:r>
      <w:r w:rsidR="00503CC3" w:rsidRPr="007476BD">
        <w:t xml:space="preserve">. </w:t>
      </w:r>
    </w:p>
    <w:p w:rsidR="00877611" w:rsidRPr="007476BD" w:rsidRDefault="00877611" w:rsidP="00877611">
      <w:pPr>
        <w:widowControl/>
        <w:rPr>
          <w:rFonts w:cs="Arial"/>
        </w:rPr>
      </w:pPr>
    </w:p>
    <w:p w:rsidR="002325B4" w:rsidRPr="007476BD" w:rsidRDefault="002325B4" w:rsidP="00877611">
      <w:pPr>
        <w:widowControl/>
        <w:rPr>
          <w:rFonts w:cs="Arial"/>
        </w:rPr>
      </w:pPr>
      <w:r w:rsidRPr="007476BD">
        <w:t xml:space="preserve">Food additives used in Australia and New Zealand are required to be listed in </w:t>
      </w:r>
      <w:r w:rsidR="00EF4F47" w:rsidRPr="007476BD">
        <w:t>Standard 1.3.1</w:t>
      </w:r>
      <w:r w:rsidR="00800785" w:rsidRPr="007476BD">
        <w:t xml:space="preserve">. </w:t>
      </w:r>
      <w:r w:rsidRPr="007476BD">
        <w:t xml:space="preserve">As </w:t>
      </w:r>
      <w:r w:rsidR="00276EDB" w:rsidRPr="007476BD">
        <w:t>Advantame</w:t>
      </w:r>
      <w:r w:rsidRPr="007476BD">
        <w:t xml:space="preserve"> is considered </w:t>
      </w:r>
      <w:r w:rsidR="009260E1" w:rsidRPr="007476BD">
        <w:t>a food additive</w:t>
      </w:r>
      <w:r w:rsidRPr="007476BD">
        <w:t xml:space="preserve"> and requires a pre-market approval under Standard 1.3.1, it is not appropriate to consider non-regulatory options to address this Application.</w:t>
      </w:r>
    </w:p>
    <w:p w:rsidR="00676B8E" w:rsidRPr="007476BD" w:rsidRDefault="00676B8E">
      <w:pPr>
        <w:rPr>
          <w:rFonts w:cs="Arial"/>
        </w:rPr>
      </w:pPr>
    </w:p>
    <w:p w:rsidR="002325B4" w:rsidRPr="007476BD" w:rsidRDefault="002325B4" w:rsidP="002325B4">
      <w:pPr>
        <w:keepNext/>
        <w:keepLines/>
        <w:rPr>
          <w:rFonts w:cs="Arial"/>
        </w:rPr>
      </w:pPr>
      <w:r w:rsidRPr="007476BD">
        <w:rPr>
          <w:rFonts w:cs="Arial"/>
        </w:rPr>
        <w:t>T</w:t>
      </w:r>
      <w:r w:rsidR="00B7158F" w:rsidRPr="007476BD">
        <w:rPr>
          <w:rFonts w:cs="Arial"/>
        </w:rPr>
        <w:t xml:space="preserve">hree </w:t>
      </w:r>
      <w:r w:rsidRPr="007476BD">
        <w:rPr>
          <w:rFonts w:cs="Arial"/>
        </w:rPr>
        <w:t xml:space="preserve">regulatory options </w:t>
      </w:r>
      <w:r w:rsidR="00AF3F30" w:rsidRPr="007476BD">
        <w:rPr>
          <w:rFonts w:cs="Arial"/>
        </w:rPr>
        <w:t>were</w:t>
      </w:r>
      <w:r w:rsidRPr="007476BD">
        <w:rPr>
          <w:rFonts w:cs="Arial"/>
        </w:rPr>
        <w:t xml:space="preserve"> identified for this Application: </w:t>
      </w:r>
    </w:p>
    <w:p w:rsidR="002325B4" w:rsidRPr="007476BD" w:rsidRDefault="002325B4" w:rsidP="002325B4">
      <w:pPr>
        <w:keepNext/>
        <w:keepLines/>
        <w:rPr>
          <w:rFonts w:cs="Arial"/>
        </w:rPr>
      </w:pPr>
    </w:p>
    <w:p w:rsidR="003371B4" w:rsidRPr="007476BD" w:rsidRDefault="002325B4">
      <w:pPr>
        <w:keepNext/>
        <w:keepLines/>
        <w:ind w:left="1695" w:hanging="1695"/>
        <w:rPr>
          <w:rFonts w:cs="Arial"/>
        </w:rPr>
      </w:pPr>
      <w:r w:rsidRPr="007476BD">
        <w:rPr>
          <w:rFonts w:cs="Arial"/>
          <w:b/>
        </w:rPr>
        <w:t>Option 1:</w:t>
      </w:r>
      <w:r w:rsidRPr="007476BD">
        <w:rPr>
          <w:rFonts w:cs="Arial"/>
        </w:rPr>
        <w:t xml:space="preserve"> </w:t>
      </w:r>
      <w:r w:rsidRPr="007476BD">
        <w:rPr>
          <w:rFonts w:cs="Arial"/>
        </w:rPr>
        <w:tab/>
      </w:r>
      <w:r w:rsidR="00A10306" w:rsidRPr="007476BD">
        <w:rPr>
          <w:rFonts w:cs="Arial"/>
        </w:rPr>
        <w:tab/>
      </w:r>
      <w:r w:rsidRPr="007476BD">
        <w:rPr>
          <w:rFonts w:cs="Arial"/>
        </w:rPr>
        <w:t xml:space="preserve">Reject </w:t>
      </w:r>
      <w:r w:rsidR="002F032F" w:rsidRPr="007476BD">
        <w:rPr>
          <w:rFonts w:cs="Arial"/>
        </w:rPr>
        <w:t xml:space="preserve">the </w:t>
      </w:r>
      <w:r w:rsidR="00AF3F30" w:rsidRPr="007476BD">
        <w:rPr>
          <w:rFonts w:cs="Arial"/>
        </w:rPr>
        <w:t>draft variations</w:t>
      </w:r>
      <w:r w:rsidRPr="007476BD">
        <w:rPr>
          <w:rFonts w:cs="Arial"/>
        </w:rPr>
        <w:t>, t</w:t>
      </w:r>
      <w:r w:rsidR="00E0470A" w:rsidRPr="007476BD">
        <w:rPr>
          <w:rFonts w:cs="Arial"/>
        </w:rPr>
        <w:t xml:space="preserve">hus not approving the </w:t>
      </w:r>
      <w:r w:rsidR="009F7F73" w:rsidRPr="007476BD">
        <w:rPr>
          <w:rFonts w:cs="Arial"/>
        </w:rPr>
        <w:t xml:space="preserve">use of </w:t>
      </w:r>
      <w:r w:rsidR="00276EDB" w:rsidRPr="007476BD">
        <w:rPr>
          <w:rFonts w:cs="Arial"/>
        </w:rPr>
        <w:t>Advantame</w:t>
      </w:r>
      <w:r w:rsidRPr="007476BD">
        <w:rPr>
          <w:rFonts w:cs="Arial"/>
        </w:rPr>
        <w:t xml:space="preserve"> </w:t>
      </w:r>
      <w:r w:rsidR="00E84D89" w:rsidRPr="007476BD">
        <w:rPr>
          <w:rFonts w:cs="Arial"/>
        </w:rPr>
        <w:t>as an intense sweetener</w:t>
      </w:r>
    </w:p>
    <w:p w:rsidR="002325B4" w:rsidRPr="007476BD" w:rsidRDefault="002325B4" w:rsidP="002325B4">
      <w:pPr>
        <w:keepNext/>
        <w:keepLines/>
        <w:ind w:left="567" w:hanging="567"/>
        <w:rPr>
          <w:rFonts w:cs="Arial"/>
        </w:rPr>
      </w:pPr>
    </w:p>
    <w:p w:rsidR="00E76BF6" w:rsidRPr="007476BD" w:rsidRDefault="0001563F" w:rsidP="00AF3D37">
      <w:r w:rsidRPr="007476BD">
        <w:t xml:space="preserve">This option maintains the </w:t>
      </w:r>
      <w:r w:rsidRPr="007476BD">
        <w:rPr>
          <w:i/>
        </w:rPr>
        <w:t>status quo</w:t>
      </w:r>
      <w:r w:rsidRPr="007476BD">
        <w:t xml:space="preserve"> by not permitting th</w:t>
      </w:r>
      <w:r w:rsidR="009F7F73" w:rsidRPr="007476BD">
        <w:t xml:space="preserve">e use of </w:t>
      </w:r>
      <w:r w:rsidR="00276EDB" w:rsidRPr="007476BD">
        <w:t>Advantame</w:t>
      </w:r>
      <w:r w:rsidRPr="007476BD">
        <w:t xml:space="preserve"> as a food additive in Standard 1.3.1</w:t>
      </w:r>
      <w:r w:rsidR="00503CC3" w:rsidRPr="007476BD">
        <w:t xml:space="preserve">. </w:t>
      </w:r>
    </w:p>
    <w:p w:rsidR="00E76BF6" w:rsidRPr="007476BD" w:rsidRDefault="00E76BF6" w:rsidP="002325B4">
      <w:pPr>
        <w:keepNext/>
        <w:keepLines/>
        <w:ind w:left="567" w:hanging="567"/>
        <w:rPr>
          <w:rFonts w:cs="Arial"/>
        </w:rPr>
      </w:pPr>
    </w:p>
    <w:p w:rsidR="00E84D89" w:rsidRPr="007476BD" w:rsidRDefault="002325B4" w:rsidP="00C52A10">
      <w:pPr>
        <w:keepNext/>
        <w:keepLines/>
        <w:ind w:left="1695" w:hanging="1695"/>
        <w:rPr>
          <w:rFonts w:cs="Arial"/>
        </w:rPr>
      </w:pPr>
      <w:r w:rsidRPr="007476BD">
        <w:rPr>
          <w:rFonts w:cs="Arial"/>
          <w:b/>
        </w:rPr>
        <w:t>Option 2</w:t>
      </w:r>
      <w:r w:rsidR="00C52A10" w:rsidRPr="007476BD">
        <w:rPr>
          <w:rFonts w:cs="Arial"/>
          <w:b/>
        </w:rPr>
        <w:t>A</w:t>
      </w:r>
      <w:r w:rsidRPr="007476BD">
        <w:rPr>
          <w:rFonts w:cs="Arial"/>
          <w:b/>
        </w:rPr>
        <w:t>:</w:t>
      </w:r>
      <w:r w:rsidRPr="007476BD">
        <w:rPr>
          <w:rFonts w:cs="Arial"/>
        </w:rPr>
        <w:t xml:space="preserve"> </w:t>
      </w:r>
      <w:r w:rsidRPr="007476BD">
        <w:rPr>
          <w:rFonts w:cs="Arial"/>
        </w:rPr>
        <w:tab/>
        <w:t xml:space="preserve">Approve the use </w:t>
      </w:r>
      <w:r w:rsidR="00BF6EC9" w:rsidRPr="007476BD">
        <w:rPr>
          <w:rFonts w:cs="Arial"/>
        </w:rPr>
        <w:t xml:space="preserve">of </w:t>
      </w:r>
      <w:r w:rsidR="00276EDB" w:rsidRPr="007476BD">
        <w:rPr>
          <w:rFonts w:cs="Arial"/>
        </w:rPr>
        <w:t>Advantame</w:t>
      </w:r>
      <w:r w:rsidRPr="007476BD">
        <w:rPr>
          <w:rFonts w:cs="Arial"/>
        </w:rPr>
        <w:t xml:space="preserve"> </w:t>
      </w:r>
      <w:r w:rsidR="00E84D89" w:rsidRPr="007476BD">
        <w:rPr>
          <w:rFonts w:cs="Arial"/>
        </w:rPr>
        <w:t>as an intense sweetener</w:t>
      </w:r>
      <w:r w:rsidR="00E76BF6" w:rsidRPr="007476BD">
        <w:rPr>
          <w:rFonts w:cs="Arial"/>
        </w:rPr>
        <w:t xml:space="preserve"> in </w:t>
      </w:r>
      <w:r w:rsidR="005170DE" w:rsidRPr="007476BD">
        <w:rPr>
          <w:rFonts w:cs="Arial"/>
        </w:rPr>
        <w:t xml:space="preserve">Schedule </w:t>
      </w:r>
      <w:r w:rsidR="00E76BF6" w:rsidRPr="007476BD">
        <w:rPr>
          <w:rFonts w:cs="Arial"/>
        </w:rPr>
        <w:t>1 of Standard 1.3.1</w:t>
      </w:r>
    </w:p>
    <w:p w:rsidR="00676B8E" w:rsidRPr="007476BD" w:rsidRDefault="00676B8E">
      <w:pPr>
        <w:rPr>
          <w:rFonts w:cs="Arial"/>
        </w:rPr>
      </w:pPr>
    </w:p>
    <w:p w:rsidR="00E76BF6" w:rsidRPr="007476BD" w:rsidRDefault="0001563F">
      <w:r w:rsidRPr="007476BD">
        <w:t>This option will result in an amendment to Schedule 1 of Standard 1.3.1 to permi</w:t>
      </w:r>
      <w:r w:rsidR="00BE4E17" w:rsidRPr="007476BD">
        <w:t xml:space="preserve">t the use of </w:t>
      </w:r>
      <w:r w:rsidR="00276EDB" w:rsidRPr="007476BD">
        <w:t>Advantame</w:t>
      </w:r>
      <w:r w:rsidR="00BE4E17" w:rsidRPr="007476BD">
        <w:t xml:space="preserve"> </w:t>
      </w:r>
      <w:r w:rsidRPr="007476BD">
        <w:t xml:space="preserve">as a food additive in a specified range of foods at restricted </w:t>
      </w:r>
      <w:r w:rsidR="00AF3D37" w:rsidRPr="007476BD">
        <w:t xml:space="preserve">maximum </w:t>
      </w:r>
      <w:r w:rsidRPr="007476BD">
        <w:t>levels</w:t>
      </w:r>
      <w:r w:rsidR="00503CC3" w:rsidRPr="007476BD">
        <w:t xml:space="preserve">. </w:t>
      </w:r>
      <w:r w:rsidRPr="007476BD">
        <w:t>This option will also result in a subsequent amendment to Standard 1.2.</w:t>
      </w:r>
      <w:r w:rsidR="00BE4E17" w:rsidRPr="007476BD">
        <w:t xml:space="preserve">4 to include </w:t>
      </w:r>
      <w:r w:rsidR="00276EDB" w:rsidRPr="007476BD">
        <w:t>Advantame</w:t>
      </w:r>
      <w:r w:rsidRPr="007476BD">
        <w:t xml:space="preserve"> in the list of food additives in Schedule 2.</w:t>
      </w:r>
    </w:p>
    <w:p w:rsidR="003C4969" w:rsidRPr="007476BD" w:rsidRDefault="003C4969">
      <w:pPr>
        <w:pStyle w:val="Header"/>
        <w:rPr>
          <w:rFonts w:cs="Arial"/>
        </w:rPr>
      </w:pPr>
    </w:p>
    <w:p w:rsidR="00E76BF6" w:rsidRPr="007476BD" w:rsidRDefault="00C52A10" w:rsidP="00C52A10">
      <w:pPr>
        <w:keepNext/>
        <w:keepLines/>
        <w:ind w:left="1695" w:hanging="1695"/>
        <w:rPr>
          <w:rFonts w:cs="Arial"/>
        </w:rPr>
      </w:pPr>
      <w:r w:rsidRPr="007476BD">
        <w:rPr>
          <w:rFonts w:cs="Arial"/>
          <w:b/>
        </w:rPr>
        <w:t>Option 2B</w:t>
      </w:r>
      <w:r w:rsidR="00E76BF6" w:rsidRPr="007476BD">
        <w:rPr>
          <w:rFonts w:cs="Arial"/>
          <w:b/>
        </w:rPr>
        <w:t>:</w:t>
      </w:r>
      <w:r w:rsidR="00BE4E17" w:rsidRPr="007476BD">
        <w:rPr>
          <w:rFonts w:cs="Arial"/>
        </w:rPr>
        <w:t xml:space="preserve"> </w:t>
      </w:r>
      <w:r w:rsidR="00BE4E17" w:rsidRPr="007476BD">
        <w:rPr>
          <w:rFonts w:cs="Arial"/>
        </w:rPr>
        <w:tab/>
        <w:t xml:space="preserve">Approve the use of </w:t>
      </w:r>
      <w:r w:rsidR="00276EDB" w:rsidRPr="007476BD">
        <w:rPr>
          <w:rFonts w:cs="Arial"/>
        </w:rPr>
        <w:t>Advantame</w:t>
      </w:r>
      <w:r w:rsidR="00E76BF6" w:rsidRPr="007476BD">
        <w:rPr>
          <w:rFonts w:cs="Arial"/>
        </w:rPr>
        <w:t xml:space="preserve"> as an intense sweetener in </w:t>
      </w:r>
      <w:r w:rsidR="00C37044" w:rsidRPr="007476BD">
        <w:rPr>
          <w:rFonts w:cs="Arial"/>
        </w:rPr>
        <w:t>S</w:t>
      </w:r>
      <w:r w:rsidR="00E76BF6" w:rsidRPr="007476BD">
        <w:rPr>
          <w:rFonts w:cs="Arial"/>
        </w:rPr>
        <w:t>chedule 2 of Standard 1.3.1</w:t>
      </w:r>
    </w:p>
    <w:p w:rsidR="00E76BF6" w:rsidRPr="007476BD" w:rsidRDefault="00E76BF6">
      <w:pPr>
        <w:pStyle w:val="Header"/>
        <w:rPr>
          <w:rFonts w:cs="Arial"/>
        </w:rPr>
      </w:pPr>
    </w:p>
    <w:p w:rsidR="00BF6EC9" w:rsidRPr="007476BD" w:rsidRDefault="0001563F" w:rsidP="0001563F">
      <w:r w:rsidRPr="007476BD">
        <w:t xml:space="preserve">This option will result in an amendment to Schedule 2 of Standard 1.3.1 </w:t>
      </w:r>
      <w:r w:rsidR="001C245F" w:rsidRPr="007476BD">
        <w:t>to permit the use of A</w:t>
      </w:r>
      <w:r w:rsidR="00FF746D" w:rsidRPr="007476BD">
        <w:t xml:space="preserve">dvantame </w:t>
      </w:r>
      <w:r w:rsidRPr="007476BD">
        <w:t>as a food additive at levels according</w:t>
      </w:r>
      <w:r w:rsidR="00AF3D37" w:rsidRPr="007476BD">
        <w:t xml:space="preserve"> to GMP </w:t>
      </w:r>
      <w:r w:rsidR="002B03EE" w:rsidRPr="007476BD">
        <w:t>in foods</w:t>
      </w:r>
      <w:r w:rsidRPr="007476BD">
        <w:t xml:space="preserve"> specified in Schedule 1 of Standard 1.3.1</w:t>
      </w:r>
      <w:r w:rsidR="00503CC3" w:rsidRPr="007476BD">
        <w:t xml:space="preserve">. </w:t>
      </w:r>
      <w:r w:rsidRPr="007476BD">
        <w:t xml:space="preserve">This </w:t>
      </w:r>
      <w:r w:rsidR="00B07FBD" w:rsidRPr="007476BD">
        <w:t>o</w:t>
      </w:r>
      <w:r w:rsidRPr="007476BD">
        <w:t xml:space="preserve">ption would result in a wider range of foods being permitted to </w:t>
      </w:r>
      <w:r w:rsidR="00AF3D37" w:rsidRPr="007476BD">
        <w:t xml:space="preserve">contain added </w:t>
      </w:r>
      <w:r w:rsidR="00276EDB" w:rsidRPr="007476BD">
        <w:t>Advantame</w:t>
      </w:r>
      <w:r w:rsidR="00AF3D37" w:rsidRPr="007476BD">
        <w:t xml:space="preserve"> </w:t>
      </w:r>
      <w:r w:rsidRPr="007476BD">
        <w:t>than for Option 2</w:t>
      </w:r>
      <w:r w:rsidR="00503CC3" w:rsidRPr="007476BD">
        <w:t xml:space="preserve">. </w:t>
      </w:r>
      <w:r w:rsidRPr="007476BD">
        <w:t>This option will also result in a subsequent amendment to Standard 1.2.</w:t>
      </w:r>
      <w:r w:rsidR="001C245F" w:rsidRPr="007476BD">
        <w:t xml:space="preserve">4 to include </w:t>
      </w:r>
      <w:r w:rsidR="00276EDB" w:rsidRPr="007476BD">
        <w:t>Advantame</w:t>
      </w:r>
      <w:r w:rsidRPr="007476BD">
        <w:t xml:space="preserve"> in the list of food additives in Schedule 2.</w:t>
      </w:r>
    </w:p>
    <w:p w:rsidR="001869AD" w:rsidRPr="007476BD" w:rsidRDefault="001869AD">
      <w:pPr>
        <w:pStyle w:val="Header"/>
        <w:rPr>
          <w:rFonts w:cs="Arial"/>
        </w:rPr>
      </w:pPr>
    </w:p>
    <w:p w:rsidR="003C4969" w:rsidRPr="007476BD" w:rsidRDefault="001C27A3" w:rsidP="00224E4C">
      <w:pPr>
        <w:pStyle w:val="Heading2"/>
      </w:pPr>
      <w:bookmarkStart w:id="70" w:name="_Toc11735637"/>
      <w:bookmarkStart w:id="71" w:name="_Toc29883122"/>
      <w:bookmarkStart w:id="72" w:name="_Toc41906809"/>
      <w:bookmarkStart w:id="73" w:name="_Toc41907556"/>
      <w:bookmarkStart w:id="74" w:name="_Toc120358587"/>
      <w:bookmarkStart w:id="75" w:name="_Toc296958616"/>
      <w:r w:rsidRPr="007476BD">
        <w:t>8.</w:t>
      </w:r>
      <w:r w:rsidR="003C4969" w:rsidRPr="007476BD">
        <w:tab/>
        <w:t>Impact Analysis</w:t>
      </w:r>
      <w:bookmarkEnd w:id="70"/>
      <w:bookmarkEnd w:id="71"/>
      <w:bookmarkEnd w:id="72"/>
      <w:bookmarkEnd w:id="73"/>
      <w:bookmarkEnd w:id="74"/>
      <w:bookmarkEnd w:id="75"/>
      <w:r w:rsidR="00486793" w:rsidRPr="007476BD">
        <w:t xml:space="preserve"> </w:t>
      </w:r>
    </w:p>
    <w:p w:rsidR="003C4969" w:rsidRPr="007476BD" w:rsidRDefault="003C4969">
      <w:pPr>
        <w:rPr>
          <w:rFonts w:cs="Arial"/>
        </w:rPr>
      </w:pPr>
    </w:p>
    <w:p w:rsidR="003C4969" w:rsidRPr="007476BD" w:rsidRDefault="007A44B4" w:rsidP="007A44B4">
      <w:pPr>
        <w:pStyle w:val="Heading3"/>
      </w:pPr>
      <w:bookmarkStart w:id="76" w:name="_Toc120358588"/>
      <w:bookmarkStart w:id="77" w:name="_Toc296958617"/>
      <w:r w:rsidRPr="007476BD">
        <w:t>8.1</w:t>
      </w:r>
      <w:r w:rsidR="003C4969" w:rsidRPr="007476BD">
        <w:tab/>
        <w:t>Affected Parties</w:t>
      </w:r>
      <w:bookmarkEnd w:id="76"/>
      <w:bookmarkEnd w:id="77"/>
    </w:p>
    <w:p w:rsidR="003C4969" w:rsidRPr="007476BD" w:rsidRDefault="003C4969">
      <w:pPr>
        <w:rPr>
          <w:rFonts w:cs="Arial"/>
        </w:rPr>
      </w:pPr>
    </w:p>
    <w:p w:rsidR="00B52E71" w:rsidRPr="007476BD" w:rsidRDefault="00B52E71" w:rsidP="009260E1">
      <w:pPr>
        <w:pStyle w:val="Bullet"/>
        <w:tabs>
          <w:tab w:val="clear" w:pos="577"/>
        </w:tabs>
      </w:pPr>
      <w:r w:rsidRPr="007476BD">
        <w:t>Parties possibly affected by the regulatory options outlined above include:</w:t>
      </w:r>
    </w:p>
    <w:p w:rsidR="00B52E71" w:rsidRPr="007476BD" w:rsidRDefault="00B52E71" w:rsidP="00F32644">
      <w:pPr>
        <w:pStyle w:val="FSBullet"/>
        <w:numPr>
          <w:ilvl w:val="0"/>
          <w:numId w:val="0"/>
        </w:numPr>
        <w:ind w:left="567" w:hanging="567"/>
      </w:pPr>
    </w:p>
    <w:p w:rsidR="00B52E71" w:rsidRPr="007476BD" w:rsidRDefault="003A6C7A" w:rsidP="00F32644">
      <w:pPr>
        <w:pStyle w:val="FSBullet"/>
      </w:pPr>
      <w:r w:rsidRPr="007476BD">
        <w:t>c</w:t>
      </w:r>
      <w:r w:rsidR="00B52E71" w:rsidRPr="007476BD">
        <w:t>onsumers who may be affected by new produc</w:t>
      </w:r>
      <w:r w:rsidR="0040558C" w:rsidRPr="007476BD">
        <w:t xml:space="preserve">ts containing </w:t>
      </w:r>
      <w:r w:rsidR="00276EDB" w:rsidRPr="007476BD">
        <w:t>Advantame</w:t>
      </w:r>
    </w:p>
    <w:p w:rsidR="00B52E71" w:rsidRPr="007476BD" w:rsidRDefault="00B52E71" w:rsidP="00F32644">
      <w:pPr>
        <w:pStyle w:val="FSBullet"/>
        <w:numPr>
          <w:ilvl w:val="0"/>
          <w:numId w:val="0"/>
        </w:numPr>
      </w:pPr>
    </w:p>
    <w:p w:rsidR="00B52E71" w:rsidRPr="007476BD" w:rsidRDefault="003A6C7A" w:rsidP="00F32644">
      <w:pPr>
        <w:pStyle w:val="FSBullet"/>
      </w:pPr>
      <w:r w:rsidRPr="007476BD">
        <w:t>p</w:t>
      </w:r>
      <w:r w:rsidR="00B52E71" w:rsidRPr="007476BD">
        <w:t xml:space="preserve">ublic health professionals because of the </w:t>
      </w:r>
      <w:r w:rsidR="00AA5932" w:rsidRPr="007476BD">
        <w:t xml:space="preserve">potential </w:t>
      </w:r>
      <w:r w:rsidR="00B52E71" w:rsidRPr="007476BD">
        <w:t>ro</w:t>
      </w:r>
      <w:r w:rsidR="00AF3D37" w:rsidRPr="007476BD">
        <w:t xml:space="preserve">le of </w:t>
      </w:r>
      <w:r w:rsidR="00276EDB" w:rsidRPr="007476BD">
        <w:t>Advantame</w:t>
      </w:r>
      <w:r w:rsidR="00B52E71" w:rsidRPr="007476BD">
        <w:t xml:space="preserve"> </w:t>
      </w:r>
      <w:r w:rsidR="00377E86" w:rsidRPr="007476BD">
        <w:t>in</w:t>
      </w:r>
      <w:r w:rsidR="00B33CF2" w:rsidRPr="007476BD">
        <w:t xml:space="preserve"> managing energy intake</w:t>
      </w:r>
    </w:p>
    <w:p w:rsidR="00B52E71" w:rsidRPr="007476BD" w:rsidRDefault="00B52E71" w:rsidP="00F32644">
      <w:pPr>
        <w:pStyle w:val="FSBullet"/>
        <w:numPr>
          <w:ilvl w:val="0"/>
          <w:numId w:val="0"/>
        </w:numPr>
      </w:pPr>
    </w:p>
    <w:p w:rsidR="00B52E71" w:rsidRPr="007476BD" w:rsidRDefault="003A6C7A" w:rsidP="00F32644">
      <w:pPr>
        <w:pStyle w:val="FSBullet"/>
      </w:pPr>
      <w:r w:rsidRPr="007476BD">
        <w:t>t</w:t>
      </w:r>
      <w:r w:rsidR="00B52E71" w:rsidRPr="007476BD">
        <w:t>hose sectors of the food industry wish</w:t>
      </w:r>
      <w:r w:rsidR="0040558C" w:rsidRPr="007476BD">
        <w:t xml:space="preserve">ing to market foods containing </w:t>
      </w:r>
      <w:r w:rsidR="00276EDB" w:rsidRPr="007476BD">
        <w:t>Advantame</w:t>
      </w:r>
      <w:r w:rsidR="00B52E71" w:rsidRPr="007476BD">
        <w:t>, including potential importers, man</w:t>
      </w:r>
      <w:r w:rsidR="0040558C" w:rsidRPr="007476BD">
        <w:t xml:space="preserve">ufacturers of </w:t>
      </w:r>
      <w:r w:rsidR="00276EDB" w:rsidRPr="007476BD">
        <w:t>Advantame</w:t>
      </w:r>
      <w:r w:rsidR="00B52E71" w:rsidRPr="007476BD">
        <w:t xml:space="preserve"> and manufacturers of foods that may potent</w:t>
      </w:r>
      <w:r w:rsidR="0040558C" w:rsidRPr="007476BD">
        <w:t xml:space="preserve">ially contain </w:t>
      </w:r>
      <w:r w:rsidR="00276EDB" w:rsidRPr="007476BD">
        <w:t>Advantame</w:t>
      </w:r>
    </w:p>
    <w:p w:rsidR="003C4969" w:rsidRPr="007476BD" w:rsidRDefault="003C4969" w:rsidP="00F32644">
      <w:pPr>
        <w:pStyle w:val="FSBullet"/>
        <w:numPr>
          <w:ilvl w:val="0"/>
          <w:numId w:val="0"/>
        </w:numPr>
      </w:pPr>
    </w:p>
    <w:p w:rsidR="00AF3F30" w:rsidRPr="007476BD" w:rsidRDefault="00931D08" w:rsidP="00F32644">
      <w:pPr>
        <w:pStyle w:val="FSBullet"/>
      </w:pPr>
      <w:r w:rsidRPr="007476BD">
        <w:t>Government</w:t>
      </w:r>
      <w:r w:rsidR="00965EF9" w:rsidRPr="007476BD">
        <w:t xml:space="preserve"> generally, where a regulatory decision may impact on trade or World Trade Organization (WTO) obligations, and State, Territory and New Zealand enforcement agencies</w:t>
      </w:r>
      <w:r w:rsidR="009260E1" w:rsidRPr="007476BD">
        <w:t>.</w:t>
      </w:r>
      <w:r w:rsidR="00AF3F30" w:rsidRPr="007476BD">
        <w:br w:type="page"/>
      </w:r>
    </w:p>
    <w:p w:rsidR="003C4969" w:rsidRPr="007476BD" w:rsidRDefault="007A44B4" w:rsidP="007A44B4">
      <w:pPr>
        <w:pStyle w:val="Heading3"/>
      </w:pPr>
      <w:bookmarkStart w:id="78" w:name="_Toc11735638"/>
      <w:bookmarkStart w:id="79" w:name="_Toc29883123"/>
      <w:bookmarkStart w:id="80" w:name="_Toc41906810"/>
      <w:bookmarkStart w:id="81" w:name="_Toc41907557"/>
      <w:bookmarkStart w:id="82" w:name="_Toc120358589"/>
      <w:bookmarkStart w:id="83" w:name="_Toc296958618"/>
      <w:r w:rsidRPr="007476BD">
        <w:lastRenderedPageBreak/>
        <w:t>8.2</w:t>
      </w:r>
      <w:r w:rsidR="003C4969" w:rsidRPr="007476BD">
        <w:tab/>
        <w:t>Benefit Cost Analysis</w:t>
      </w:r>
      <w:bookmarkEnd w:id="78"/>
      <w:bookmarkEnd w:id="79"/>
      <w:bookmarkEnd w:id="80"/>
      <w:bookmarkEnd w:id="81"/>
      <w:bookmarkEnd w:id="82"/>
      <w:r w:rsidR="00C96F0B" w:rsidRPr="007476BD">
        <w:t xml:space="preserve"> (RIS Number: 10838)</w:t>
      </w:r>
      <w:bookmarkEnd w:id="83"/>
    </w:p>
    <w:p w:rsidR="002C1A3C" w:rsidRPr="007476BD" w:rsidRDefault="002C1A3C">
      <w:pPr>
        <w:rPr>
          <w:rFonts w:cs="Arial"/>
        </w:rPr>
      </w:pPr>
    </w:p>
    <w:p w:rsidR="00877611" w:rsidRPr="007476BD" w:rsidRDefault="002C1A3C" w:rsidP="00877611">
      <w:pPr>
        <w:widowControl/>
      </w:pPr>
      <w:r w:rsidRPr="007476BD">
        <w:t>In developing food regulatory measures for adoption in Australia and New Zealand, FSANZ is required to consider the impact of all options on all sectors of the community, including consumers, the relevant food industries and governments</w:t>
      </w:r>
      <w:r w:rsidR="00503CC3" w:rsidRPr="007476BD">
        <w:t xml:space="preserve">. </w:t>
      </w:r>
    </w:p>
    <w:p w:rsidR="00877611" w:rsidRPr="007476BD" w:rsidRDefault="00877611" w:rsidP="00877611">
      <w:pPr>
        <w:widowControl/>
      </w:pPr>
    </w:p>
    <w:p w:rsidR="002C1A3C" w:rsidRPr="007476BD" w:rsidRDefault="002C1A3C" w:rsidP="00877611">
      <w:pPr>
        <w:widowControl/>
      </w:pPr>
      <w:r w:rsidRPr="007476BD">
        <w:t>The regulatory impact assessment identifies and evaluates, though is not limited to, the costs and benefits arising from the regulation and its health, economic and social impacts</w:t>
      </w:r>
      <w:r w:rsidR="00503CC3" w:rsidRPr="007476BD">
        <w:t xml:space="preserve">. </w:t>
      </w:r>
    </w:p>
    <w:p w:rsidR="002C1A3C" w:rsidRPr="007476BD" w:rsidRDefault="002C1A3C" w:rsidP="002C1A3C"/>
    <w:p w:rsidR="002C1A3C" w:rsidRPr="007476BD" w:rsidRDefault="002C1A3C" w:rsidP="002C1A3C">
      <w:r w:rsidRPr="007476BD">
        <w:t>The regulatory impact analysis is designed to assist in the process of identifying the affected parties and the likely or potential impacts the regulatory provisions will have on each affected party</w:t>
      </w:r>
      <w:r w:rsidR="00503CC3" w:rsidRPr="007476BD">
        <w:t xml:space="preserve">. </w:t>
      </w:r>
      <w:r w:rsidRPr="007476BD">
        <w:t>Where medium to significant competitive impacts or compliance costs are likely, FSANZ has sought advice from the Office of Best Practice Regulation (OBPR) to estimate compliance costs of regulatory options</w:t>
      </w:r>
      <w:r w:rsidR="00503CC3" w:rsidRPr="007476BD">
        <w:t xml:space="preserve">. </w:t>
      </w:r>
    </w:p>
    <w:p w:rsidR="002C1A3C" w:rsidRPr="007476BD" w:rsidRDefault="002C1A3C" w:rsidP="002C1A3C"/>
    <w:p w:rsidR="00BD3C77" w:rsidRPr="007476BD" w:rsidRDefault="005170DE" w:rsidP="00BD3C77">
      <w:r w:rsidRPr="007476BD">
        <w:t>T</w:t>
      </w:r>
      <w:r w:rsidR="002C1A3C" w:rsidRPr="007476BD">
        <w:t xml:space="preserve">he OBPR </w:t>
      </w:r>
      <w:r w:rsidRPr="007476BD">
        <w:t>has</w:t>
      </w:r>
      <w:r w:rsidR="006E4F94" w:rsidRPr="007476BD">
        <w:t xml:space="preserve"> </w:t>
      </w:r>
      <w:r w:rsidR="002C1A3C" w:rsidRPr="007476BD">
        <w:t>approv</w:t>
      </w:r>
      <w:r w:rsidRPr="007476BD">
        <w:t>ed</w:t>
      </w:r>
      <w:r w:rsidR="002C1A3C" w:rsidRPr="007476BD">
        <w:t xml:space="preserve"> a preliminary assessment of this Application which concluded that there were no business compliance costs involved and/or minimal impact and consequently a detailed Regulation Impact Statement (RIS) is not required.</w:t>
      </w:r>
    </w:p>
    <w:p w:rsidR="001A25D3" w:rsidRPr="007476BD" w:rsidRDefault="001A25D3" w:rsidP="00BD3C77"/>
    <w:p w:rsidR="004A7621" w:rsidRPr="007476BD" w:rsidRDefault="00AF3F30" w:rsidP="00AF3F30">
      <w:pPr>
        <w:pStyle w:val="Heading4"/>
      </w:pPr>
      <w:r w:rsidRPr="007476BD">
        <w:t>8.2.1</w:t>
      </w:r>
      <w:r w:rsidRPr="007476BD">
        <w:tab/>
      </w:r>
      <w:r w:rsidR="004A7621" w:rsidRPr="007476BD">
        <w:t xml:space="preserve">Option 1: Reject </w:t>
      </w:r>
      <w:r w:rsidRPr="007476BD">
        <w:t>the draft variations</w:t>
      </w:r>
    </w:p>
    <w:p w:rsidR="004A7621" w:rsidRPr="007476BD" w:rsidRDefault="004A7621" w:rsidP="00931D2A">
      <w:pPr>
        <w:rPr>
          <w:u w:val="single"/>
        </w:rPr>
      </w:pPr>
    </w:p>
    <w:p w:rsidR="004A7621" w:rsidRPr="007476BD" w:rsidRDefault="00AF3F30" w:rsidP="00AF3F30">
      <w:pPr>
        <w:pStyle w:val="Heading5"/>
      </w:pPr>
      <w:r w:rsidRPr="007476BD">
        <w:t>8.2.1.1</w:t>
      </w:r>
      <w:r w:rsidRPr="007476BD">
        <w:tab/>
      </w:r>
      <w:r w:rsidR="004A7621" w:rsidRPr="007476BD">
        <w:t>Consumers</w:t>
      </w:r>
    </w:p>
    <w:p w:rsidR="004A7621" w:rsidRPr="007476BD" w:rsidRDefault="004A7621" w:rsidP="004A7621"/>
    <w:p w:rsidR="00233568" w:rsidRPr="007476BD" w:rsidRDefault="00012DFB" w:rsidP="00754668">
      <w:r w:rsidRPr="007476BD">
        <w:t xml:space="preserve">FSANZ was </w:t>
      </w:r>
      <w:r w:rsidR="007037E2" w:rsidRPr="007476BD">
        <w:t xml:space="preserve">initially </w:t>
      </w:r>
      <w:r w:rsidRPr="007476BD">
        <w:t>of the understanding that t</w:t>
      </w:r>
      <w:r w:rsidR="004A7621" w:rsidRPr="007476BD">
        <w:t xml:space="preserve">here is </w:t>
      </w:r>
      <w:r w:rsidRPr="007476BD">
        <w:t xml:space="preserve">either </w:t>
      </w:r>
      <w:r w:rsidR="004A7621" w:rsidRPr="007476BD">
        <w:t xml:space="preserve">no </w:t>
      </w:r>
      <w:r w:rsidRPr="007476BD">
        <w:t xml:space="preserve">or limited </w:t>
      </w:r>
      <w:r w:rsidR="004A7621" w:rsidRPr="007476BD">
        <w:t xml:space="preserve">research from consumers as to whether they are satisfied with the current range of </w:t>
      </w:r>
      <w:r w:rsidR="00A0491A" w:rsidRPr="007476BD">
        <w:t xml:space="preserve">intense sweeteners </w:t>
      </w:r>
      <w:r w:rsidR="004A7621" w:rsidRPr="007476BD">
        <w:t>or whether those consumers currently cons</w:t>
      </w:r>
      <w:r w:rsidR="00A0491A" w:rsidRPr="007476BD">
        <w:t xml:space="preserve">uming approved sweeteners </w:t>
      </w:r>
      <w:r w:rsidR="004A7621" w:rsidRPr="007476BD">
        <w:t>would prefer additio</w:t>
      </w:r>
      <w:r w:rsidR="00A0491A" w:rsidRPr="007476BD">
        <w:t xml:space="preserve">nal food choices. </w:t>
      </w:r>
    </w:p>
    <w:p w:rsidR="00233568" w:rsidRPr="007476BD" w:rsidRDefault="00233568" w:rsidP="00233568">
      <w:pPr>
        <w:pStyle w:val="Bullet"/>
        <w:tabs>
          <w:tab w:val="clear" w:pos="577"/>
        </w:tabs>
        <w:ind w:left="0" w:firstLine="0"/>
      </w:pPr>
    </w:p>
    <w:p w:rsidR="00623451" w:rsidRPr="007476BD" w:rsidRDefault="003440F0" w:rsidP="00754668">
      <w:r w:rsidRPr="007476BD">
        <w:t xml:space="preserve">At </w:t>
      </w:r>
      <w:r w:rsidR="007037E2" w:rsidRPr="007476BD">
        <w:t>1</w:t>
      </w:r>
      <w:r w:rsidR="007037E2" w:rsidRPr="007476BD">
        <w:rPr>
          <w:vertAlign w:val="superscript"/>
        </w:rPr>
        <w:t>st</w:t>
      </w:r>
      <w:r w:rsidR="007037E2" w:rsidRPr="007476BD">
        <w:t xml:space="preserve"> Assessment, t</w:t>
      </w:r>
      <w:r w:rsidR="00012DFB" w:rsidRPr="007476BD">
        <w:t xml:space="preserve">he </w:t>
      </w:r>
      <w:r w:rsidR="004A4EA3" w:rsidRPr="007476BD">
        <w:t>Calorie Control Council</w:t>
      </w:r>
      <w:r w:rsidR="00233568" w:rsidRPr="007476BD">
        <w:rPr>
          <w:rStyle w:val="FootnoteReference"/>
        </w:rPr>
        <w:footnoteReference w:id="7"/>
      </w:r>
      <w:r w:rsidR="004A4EA3" w:rsidRPr="007476BD">
        <w:t xml:space="preserve"> </w:t>
      </w:r>
      <w:r w:rsidRPr="007476BD">
        <w:t xml:space="preserve">(CCC) </w:t>
      </w:r>
      <w:r w:rsidR="007037E2" w:rsidRPr="007476BD">
        <w:t xml:space="preserve">indicated that it </w:t>
      </w:r>
      <w:r w:rsidR="004A4EA3" w:rsidRPr="007476BD">
        <w:t>has been conducting nationally projectable</w:t>
      </w:r>
      <w:r w:rsidR="00233568" w:rsidRPr="007476BD">
        <w:t xml:space="preserve"> </w:t>
      </w:r>
      <w:r w:rsidR="004A4EA3" w:rsidRPr="007476BD">
        <w:t xml:space="preserve">consumer research in the United States for over 20 years. </w:t>
      </w:r>
      <w:r w:rsidRPr="007476BD">
        <w:t xml:space="preserve">The CCC </w:t>
      </w:r>
      <w:r w:rsidR="00D6489B" w:rsidRPr="007476BD">
        <w:t>claims</w:t>
      </w:r>
      <w:r w:rsidRPr="007476BD">
        <w:t xml:space="preserve"> that, </w:t>
      </w:r>
      <w:r w:rsidR="00233568" w:rsidRPr="007476BD">
        <w:t xml:space="preserve">even </w:t>
      </w:r>
      <w:r w:rsidR="004A4EA3" w:rsidRPr="007476BD">
        <w:t>with the availability of a wide range of intense sweeteners and products containing</w:t>
      </w:r>
      <w:r w:rsidR="00233568" w:rsidRPr="007476BD">
        <w:t xml:space="preserve"> them, consumers have indicated that </w:t>
      </w:r>
      <w:r w:rsidR="004A4EA3" w:rsidRPr="007476BD">
        <w:t xml:space="preserve">they would like more products available. </w:t>
      </w:r>
    </w:p>
    <w:p w:rsidR="00AF3F30" w:rsidRPr="007476BD" w:rsidRDefault="00AF3F30" w:rsidP="00754668"/>
    <w:p w:rsidR="004A4EA3" w:rsidRPr="007476BD" w:rsidRDefault="004A4EA3" w:rsidP="00754668">
      <w:r w:rsidRPr="007476BD">
        <w:t>Of the consumers using</w:t>
      </w:r>
      <w:r w:rsidR="00233568" w:rsidRPr="007476BD">
        <w:t xml:space="preserve"> </w:t>
      </w:r>
      <w:r w:rsidRPr="007476BD">
        <w:t>low-calorie, reduced sugar and sugar free products (86% of the US</w:t>
      </w:r>
      <w:r w:rsidR="00993867" w:rsidRPr="007476BD">
        <w:t>A</w:t>
      </w:r>
      <w:r w:rsidRPr="007476BD">
        <w:t xml:space="preserve"> population over 18</w:t>
      </w:r>
      <w:r w:rsidR="00233568" w:rsidRPr="007476BD">
        <w:t xml:space="preserve"> </w:t>
      </w:r>
      <w:r w:rsidRPr="007476BD">
        <w:t>years of age) responding to the C</w:t>
      </w:r>
      <w:r w:rsidR="00993867" w:rsidRPr="007476BD">
        <w:t>CC</w:t>
      </w:r>
      <w:r w:rsidRPr="007476BD">
        <w:t>’s</w:t>
      </w:r>
      <w:r w:rsidR="00271CC4" w:rsidRPr="007476BD">
        <w:t xml:space="preserve"> most recent survey, 87% </w:t>
      </w:r>
      <w:r w:rsidRPr="007476BD">
        <w:t>are interested in</w:t>
      </w:r>
      <w:r w:rsidR="00233568" w:rsidRPr="007476BD">
        <w:t xml:space="preserve"> </w:t>
      </w:r>
      <w:r w:rsidRPr="007476BD">
        <w:t>being offered additional low-calorie products. Of</w:t>
      </w:r>
      <w:r w:rsidR="00271CC4" w:rsidRPr="007476BD">
        <w:t xml:space="preserve"> the products listed, 61%</w:t>
      </w:r>
      <w:r w:rsidR="005A133B" w:rsidRPr="007476BD">
        <w:t xml:space="preserve"> </w:t>
      </w:r>
      <w:r w:rsidRPr="007476BD">
        <w:t>would</w:t>
      </w:r>
      <w:r w:rsidR="00233568" w:rsidRPr="007476BD">
        <w:t xml:space="preserve"> </w:t>
      </w:r>
      <w:r w:rsidRPr="007476BD">
        <w:t>like mor</w:t>
      </w:r>
      <w:r w:rsidR="00271CC4" w:rsidRPr="007476BD">
        <w:t>e low-calorie snacks, 57%</w:t>
      </w:r>
      <w:r w:rsidRPr="007476BD">
        <w:t xml:space="preserve"> low-calorie</w:t>
      </w:r>
      <w:r w:rsidR="00271CC4" w:rsidRPr="007476BD">
        <w:t xml:space="preserve"> cereals, 56%</w:t>
      </w:r>
      <w:r w:rsidR="009C3E3C" w:rsidRPr="007476BD">
        <w:t xml:space="preserve"> </w:t>
      </w:r>
      <w:r w:rsidRPr="007476BD">
        <w:t>low-calorie ice</w:t>
      </w:r>
      <w:r w:rsidR="00233568" w:rsidRPr="007476BD">
        <w:t xml:space="preserve"> </w:t>
      </w:r>
      <w:r w:rsidR="00271CC4" w:rsidRPr="007476BD">
        <w:t>cream/frozen yogurt, 52% cakes/pies, 46% candy, 41%</w:t>
      </w:r>
      <w:r w:rsidRPr="007476BD">
        <w:t xml:space="preserve"> yogurt, 39</w:t>
      </w:r>
      <w:r w:rsidR="00271CC4" w:rsidRPr="007476BD">
        <w:t>%</w:t>
      </w:r>
      <w:r w:rsidR="009C3E3C" w:rsidRPr="007476BD">
        <w:t xml:space="preserve"> </w:t>
      </w:r>
      <w:r w:rsidR="00271CC4" w:rsidRPr="007476BD">
        <w:t>soft drinks, 36%</w:t>
      </w:r>
      <w:r w:rsidR="009C3E3C" w:rsidRPr="007476BD">
        <w:t xml:space="preserve"> </w:t>
      </w:r>
      <w:r w:rsidRPr="007476BD">
        <w:t>jam/j</w:t>
      </w:r>
      <w:r w:rsidR="00271CC4" w:rsidRPr="007476BD">
        <w:t>ellies/preserves, and 36%</w:t>
      </w:r>
      <w:r w:rsidRPr="007476BD">
        <w:t xml:space="preserve"> puddings and</w:t>
      </w:r>
      <w:r w:rsidR="00233568" w:rsidRPr="007476BD">
        <w:t xml:space="preserve"> </w:t>
      </w:r>
      <w:r w:rsidRPr="007476BD">
        <w:t>gelatins.</w:t>
      </w:r>
      <w:r w:rsidR="001B60F6" w:rsidRPr="007476BD">
        <w:t xml:space="preserve"> FSANZ requested a copy of this survey from the CCC in order that it can be evaluated. However, the CCC has not responded to FSANZ’s requests; therefore, FSANZ cannot provide an </w:t>
      </w:r>
      <w:r w:rsidR="00E974D3" w:rsidRPr="007476BD">
        <w:t xml:space="preserve">independent </w:t>
      </w:r>
      <w:r w:rsidR="001B60F6" w:rsidRPr="007476BD">
        <w:t xml:space="preserve">opinion on conclusions from that report. </w:t>
      </w:r>
    </w:p>
    <w:p w:rsidR="004A4EA3" w:rsidRPr="007476BD" w:rsidRDefault="004A4EA3" w:rsidP="004A4EA3">
      <w:pPr>
        <w:rPr>
          <w:lang w:bidi="ar-SA"/>
        </w:rPr>
      </w:pPr>
    </w:p>
    <w:p w:rsidR="004A7621" w:rsidRPr="007476BD" w:rsidRDefault="005170DE" w:rsidP="004A7621">
      <w:r w:rsidRPr="007476BD">
        <w:t>T</w:t>
      </w:r>
      <w:r w:rsidR="004A7621" w:rsidRPr="007476BD">
        <w:t xml:space="preserve">here is a potential cost to consumers with this option in terms of the lack of availability </w:t>
      </w:r>
      <w:r w:rsidR="001C3680" w:rsidRPr="007476BD">
        <w:t>of a newer product with ability to lower energy values in food</w:t>
      </w:r>
      <w:r w:rsidR="00F47484" w:rsidRPr="007476BD">
        <w:t xml:space="preserve"> and </w:t>
      </w:r>
      <w:r w:rsidR="00FB65C0" w:rsidRPr="007476BD">
        <w:t xml:space="preserve">potentially </w:t>
      </w:r>
      <w:r w:rsidR="00F47484" w:rsidRPr="007476BD">
        <w:t xml:space="preserve">assist in weight </w:t>
      </w:r>
      <w:r w:rsidR="00FB65C0" w:rsidRPr="007476BD">
        <w:t>management</w:t>
      </w:r>
      <w:r w:rsidR="001C3680" w:rsidRPr="007476BD">
        <w:t xml:space="preserve">. </w:t>
      </w:r>
    </w:p>
    <w:p w:rsidR="00096BB7" w:rsidRPr="007476BD" w:rsidRDefault="00096BB7" w:rsidP="004A7621">
      <w:pPr>
        <w:rPr>
          <w:rFonts w:cs="Arial"/>
        </w:rPr>
      </w:pPr>
    </w:p>
    <w:p w:rsidR="006B3AAC" w:rsidRPr="007476BD" w:rsidRDefault="005170DE" w:rsidP="004A7621">
      <w:r w:rsidRPr="007476BD">
        <w:rPr>
          <w:rFonts w:cs="Arial"/>
        </w:rPr>
        <w:t xml:space="preserve">Since </w:t>
      </w:r>
      <w:r w:rsidR="004A7621" w:rsidRPr="007476BD">
        <w:rPr>
          <w:rFonts w:cs="Arial"/>
        </w:rPr>
        <w:t xml:space="preserve">there are no public health and safety risks from consumption of </w:t>
      </w:r>
      <w:r w:rsidR="00276EDB" w:rsidRPr="007476BD">
        <w:t>Advantame</w:t>
      </w:r>
      <w:r w:rsidR="00096BB7" w:rsidRPr="007476BD">
        <w:t>-containing</w:t>
      </w:r>
      <w:r w:rsidR="004A7621" w:rsidRPr="007476BD">
        <w:t xml:space="preserve"> </w:t>
      </w:r>
      <w:r w:rsidR="004A7621" w:rsidRPr="007476BD">
        <w:rPr>
          <w:rFonts w:cs="Arial"/>
        </w:rPr>
        <w:t>products</w:t>
      </w:r>
      <w:r w:rsidR="00AF3F30" w:rsidRPr="007476BD">
        <w:rPr>
          <w:rFonts w:cs="Arial"/>
        </w:rPr>
        <w:t xml:space="preserve">, </w:t>
      </w:r>
      <w:r w:rsidRPr="007476BD">
        <w:rPr>
          <w:rFonts w:cs="Arial"/>
        </w:rPr>
        <w:t xml:space="preserve">there </w:t>
      </w:r>
      <w:r w:rsidR="003369B1" w:rsidRPr="007476BD">
        <w:rPr>
          <w:rFonts w:cs="Arial"/>
        </w:rPr>
        <w:t>would not appear to be any</w:t>
      </w:r>
      <w:r w:rsidRPr="007476BD">
        <w:rPr>
          <w:rFonts w:cs="Arial"/>
        </w:rPr>
        <w:t xml:space="preserve"> benefits to consumers from </w:t>
      </w:r>
      <w:r w:rsidR="00C37044" w:rsidRPr="007476BD">
        <w:rPr>
          <w:rFonts w:cs="Arial"/>
        </w:rPr>
        <w:t xml:space="preserve">rejection </w:t>
      </w:r>
      <w:r w:rsidRPr="007476BD">
        <w:rPr>
          <w:rFonts w:cs="Arial"/>
        </w:rPr>
        <w:t>of th</w:t>
      </w:r>
      <w:r w:rsidR="00AF3F30" w:rsidRPr="007476BD">
        <w:rPr>
          <w:rFonts w:cs="Arial"/>
        </w:rPr>
        <w:t>e draft variations</w:t>
      </w:r>
      <w:r w:rsidR="004A7621" w:rsidRPr="007476BD">
        <w:rPr>
          <w:rFonts w:cs="Arial"/>
        </w:rPr>
        <w:t xml:space="preserve">. </w:t>
      </w:r>
    </w:p>
    <w:p w:rsidR="006B3AAC" w:rsidRPr="007476BD" w:rsidRDefault="006B3AAC" w:rsidP="004A7621"/>
    <w:p w:rsidR="00AF3F30" w:rsidRPr="007476BD" w:rsidRDefault="00AF3F30" w:rsidP="00AF3F30">
      <w:pPr>
        <w:pStyle w:val="Heading5"/>
      </w:pPr>
      <w:r w:rsidRPr="007476BD">
        <w:br w:type="page"/>
      </w:r>
    </w:p>
    <w:p w:rsidR="004A7621" w:rsidRPr="007476BD" w:rsidRDefault="00AF3F30" w:rsidP="00AF3F30">
      <w:pPr>
        <w:pStyle w:val="Heading5"/>
      </w:pPr>
      <w:r w:rsidRPr="007476BD">
        <w:lastRenderedPageBreak/>
        <w:t>8.2.1.2</w:t>
      </w:r>
      <w:r w:rsidRPr="007476BD">
        <w:tab/>
      </w:r>
      <w:r w:rsidR="004A7621" w:rsidRPr="007476BD">
        <w:t>Industry</w:t>
      </w:r>
    </w:p>
    <w:p w:rsidR="004A7621" w:rsidRPr="007476BD" w:rsidRDefault="004A7621" w:rsidP="004A7621">
      <w:pPr>
        <w:rPr>
          <w:u w:val="single"/>
        </w:rPr>
      </w:pPr>
    </w:p>
    <w:p w:rsidR="004A7621" w:rsidRPr="007476BD" w:rsidRDefault="004A7621" w:rsidP="004A7621">
      <w:r w:rsidRPr="007476BD">
        <w:t xml:space="preserve">There is an identifiable opportunity cost to the food industry in terms of a loss of product range and marketing opportunities. </w:t>
      </w:r>
    </w:p>
    <w:p w:rsidR="004A7621" w:rsidRPr="007476BD" w:rsidRDefault="004A7621" w:rsidP="004A7621"/>
    <w:p w:rsidR="00A47C3E" w:rsidRPr="007476BD" w:rsidRDefault="00C0288A" w:rsidP="00A61B89">
      <w:pPr>
        <w:widowControl/>
        <w:rPr>
          <w:rFonts w:cs="Arial"/>
        </w:rPr>
      </w:pPr>
      <w:r w:rsidRPr="007476BD">
        <w:rPr>
          <w:rFonts w:cs="Arial"/>
        </w:rPr>
        <w:t>There are other intense sweeten</w:t>
      </w:r>
      <w:r w:rsidR="00DB7D65" w:rsidRPr="007476BD">
        <w:rPr>
          <w:rFonts w:cs="Arial"/>
        </w:rPr>
        <w:t xml:space="preserve">ers </w:t>
      </w:r>
      <w:r w:rsidRPr="007476BD">
        <w:rPr>
          <w:rFonts w:cs="Arial"/>
        </w:rPr>
        <w:t xml:space="preserve">permitted for use, such as </w:t>
      </w:r>
      <w:r w:rsidR="00DD04A3" w:rsidRPr="007476BD">
        <w:rPr>
          <w:rFonts w:cs="Arial"/>
        </w:rPr>
        <w:t xml:space="preserve">steviol glycosides, </w:t>
      </w:r>
      <w:r w:rsidRPr="007476BD">
        <w:rPr>
          <w:rFonts w:cs="Arial"/>
          <w:bCs/>
        </w:rPr>
        <w:t xml:space="preserve">saccharin, cyclamate, aspartame, acesulphame potassium, thaumatin, sucralose, and alitame </w:t>
      </w:r>
      <w:r w:rsidRPr="007476BD">
        <w:rPr>
          <w:rFonts w:cs="Arial"/>
        </w:rPr>
        <w:t>which industry can</w:t>
      </w:r>
      <w:r w:rsidR="005906D0" w:rsidRPr="007476BD">
        <w:rPr>
          <w:rFonts w:cs="Arial"/>
        </w:rPr>
        <w:t xml:space="preserve"> currently use. The use of </w:t>
      </w:r>
      <w:r w:rsidR="00276EDB" w:rsidRPr="007476BD">
        <w:rPr>
          <w:rFonts w:cs="Arial"/>
        </w:rPr>
        <w:t>Advantame</w:t>
      </w:r>
      <w:r w:rsidRPr="007476BD">
        <w:rPr>
          <w:rFonts w:cs="Arial"/>
        </w:rPr>
        <w:t xml:space="preserve"> compared to aspartame however, may result in lower costs and improved function in specific foods because of its stability. Maintaining the status quo would deny industry any </w:t>
      </w:r>
      <w:r w:rsidR="00FB65C0" w:rsidRPr="007476BD">
        <w:rPr>
          <w:rFonts w:cs="Arial"/>
        </w:rPr>
        <w:t xml:space="preserve">potential </w:t>
      </w:r>
      <w:r w:rsidRPr="007476BD">
        <w:rPr>
          <w:rFonts w:cs="Arial"/>
        </w:rPr>
        <w:t>adv</w:t>
      </w:r>
      <w:r w:rsidR="005906D0" w:rsidRPr="007476BD">
        <w:rPr>
          <w:rFonts w:cs="Arial"/>
        </w:rPr>
        <w:t xml:space="preserve">antages that the use of </w:t>
      </w:r>
      <w:r w:rsidR="00276EDB" w:rsidRPr="007476BD">
        <w:rPr>
          <w:rFonts w:cs="Arial"/>
        </w:rPr>
        <w:t>Advantame</w:t>
      </w:r>
      <w:r w:rsidRPr="007476BD">
        <w:rPr>
          <w:rFonts w:cs="Arial"/>
        </w:rPr>
        <w:t xml:space="preserve"> may give.</w:t>
      </w:r>
    </w:p>
    <w:p w:rsidR="00A47C3E" w:rsidRPr="007476BD" w:rsidRDefault="00A47C3E" w:rsidP="00A61B89">
      <w:pPr>
        <w:widowControl/>
        <w:rPr>
          <w:rFonts w:cs="Arial"/>
        </w:rPr>
      </w:pPr>
    </w:p>
    <w:p w:rsidR="004A7621" w:rsidRPr="007476BD" w:rsidRDefault="00AF3F30" w:rsidP="00AF3F30">
      <w:pPr>
        <w:pStyle w:val="Heading5"/>
        <w:rPr>
          <w:rFonts w:cs="Arial"/>
        </w:rPr>
      </w:pPr>
      <w:r w:rsidRPr="007476BD">
        <w:t>8.2.1.3</w:t>
      </w:r>
      <w:r w:rsidRPr="007476BD">
        <w:tab/>
      </w:r>
      <w:r w:rsidR="004A7621" w:rsidRPr="007476BD">
        <w:t>Government</w:t>
      </w:r>
      <w:r w:rsidR="00A61B89" w:rsidRPr="007476BD">
        <w:t xml:space="preserve"> </w:t>
      </w:r>
    </w:p>
    <w:p w:rsidR="004A7621" w:rsidRPr="007476BD" w:rsidRDefault="004A7621" w:rsidP="004A7621"/>
    <w:p w:rsidR="00BA771C" w:rsidRPr="007476BD" w:rsidRDefault="004A7621" w:rsidP="004A7621">
      <w:r w:rsidRPr="007476BD">
        <w:t xml:space="preserve">There would be no impact on </w:t>
      </w:r>
      <w:r w:rsidR="00FB65C0" w:rsidRPr="007476BD">
        <w:t xml:space="preserve">jurisdictional authorities if </w:t>
      </w:r>
      <w:r w:rsidR="00DE00CF" w:rsidRPr="007476BD">
        <w:t xml:space="preserve">the current situation remained. </w:t>
      </w:r>
      <w:r w:rsidR="00FB65C0" w:rsidRPr="007476BD">
        <w:rPr>
          <w:rFonts w:cs="Arial"/>
        </w:rPr>
        <w:t>At an international level, l</w:t>
      </w:r>
      <w:r w:rsidR="00BA771C" w:rsidRPr="007476BD">
        <w:t>ack of approval may be regarded as trade restrictive.</w:t>
      </w:r>
    </w:p>
    <w:p w:rsidR="00A32FB9" w:rsidRPr="007476BD" w:rsidRDefault="00A32FB9" w:rsidP="004A7621"/>
    <w:p w:rsidR="004A7621" w:rsidRPr="007476BD" w:rsidRDefault="00AF3F30" w:rsidP="00AF3F30">
      <w:pPr>
        <w:pStyle w:val="Heading4"/>
      </w:pPr>
      <w:r w:rsidRPr="007476BD">
        <w:t>8.2.2</w:t>
      </w:r>
      <w:r w:rsidRPr="007476BD">
        <w:tab/>
      </w:r>
      <w:r w:rsidR="004A7621" w:rsidRPr="007476BD">
        <w:t>Option 2</w:t>
      </w:r>
      <w:r w:rsidR="00C52A10" w:rsidRPr="007476BD">
        <w:t>A</w:t>
      </w:r>
      <w:r w:rsidR="004A7621" w:rsidRPr="007476BD">
        <w:t>: Ap</w:t>
      </w:r>
      <w:r w:rsidR="007B58BE" w:rsidRPr="007476BD">
        <w:t xml:space="preserve">prove the use of </w:t>
      </w:r>
      <w:r w:rsidR="00276EDB" w:rsidRPr="007476BD">
        <w:t>Advantame</w:t>
      </w:r>
      <w:r w:rsidR="00A0748B" w:rsidRPr="007476BD">
        <w:t xml:space="preserve"> as an intense sweetener</w:t>
      </w:r>
      <w:r w:rsidR="000D720D" w:rsidRPr="007476BD">
        <w:t xml:space="preserve"> in </w:t>
      </w:r>
      <w:r w:rsidR="00F84FAD" w:rsidRPr="007476BD">
        <w:t>S</w:t>
      </w:r>
      <w:r w:rsidR="000D720D" w:rsidRPr="007476BD">
        <w:t>chedule 1 of Standard 1.3.1</w:t>
      </w:r>
    </w:p>
    <w:p w:rsidR="004A7621" w:rsidRPr="007476BD" w:rsidRDefault="004A7621" w:rsidP="004A7621">
      <w:pPr>
        <w:rPr>
          <w:u w:val="single"/>
        </w:rPr>
      </w:pPr>
    </w:p>
    <w:p w:rsidR="004A7621" w:rsidRPr="007476BD" w:rsidRDefault="00AF3F30" w:rsidP="00AF3F30">
      <w:pPr>
        <w:pStyle w:val="Heading5"/>
      </w:pPr>
      <w:r w:rsidRPr="007476BD">
        <w:t>8.2.2.1</w:t>
      </w:r>
      <w:r w:rsidRPr="007476BD">
        <w:tab/>
      </w:r>
      <w:r w:rsidR="004A7621" w:rsidRPr="007476BD">
        <w:t>Consumers</w:t>
      </w:r>
    </w:p>
    <w:p w:rsidR="004A7621" w:rsidRPr="007476BD" w:rsidRDefault="004A7621" w:rsidP="004A7621"/>
    <w:p w:rsidR="00A0748B" w:rsidRPr="007476BD" w:rsidRDefault="00A0748B" w:rsidP="002A1714">
      <w:r w:rsidRPr="007476BD">
        <w:t>Consumers may benefit from foo</w:t>
      </w:r>
      <w:r w:rsidR="007B58BE" w:rsidRPr="007476BD">
        <w:t xml:space="preserve">ds containing </w:t>
      </w:r>
      <w:r w:rsidR="00276EDB" w:rsidRPr="007476BD">
        <w:t>Advantame</w:t>
      </w:r>
      <w:r w:rsidRPr="007476BD">
        <w:t xml:space="preserve"> as this would provide an alternative intense s</w:t>
      </w:r>
      <w:r w:rsidR="00156EA6" w:rsidRPr="007476BD">
        <w:t xml:space="preserve">weetener </w:t>
      </w:r>
      <w:r w:rsidR="00E87CAF" w:rsidRPr="007476BD">
        <w:t>on the market</w:t>
      </w:r>
      <w:r w:rsidR="00DC5320" w:rsidRPr="007476BD">
        <w:t>,</w:t>
      </w:r>
      <w:r w:rsidR="00E87CAF" w:rsidRPr="007476BD">
        <w:t xml:space="preserve"> possibly with a preferred taste profile. </w:t>
      </w:r>
    </w:p>
    <w:p w:rsidR="00BD3C77" w:rsidRPr="007476BD" w:rsidRDefault="00BD3C77" w:rsidP="00BD3C77"/>
    <w:p w:rsidR="004A7621" w:rsidRPr="007476BD" w:rsidRDefault="00AF3F30" w:rsidP="00AF3F30">
      <w:pPr>
        <w:pStyle w:val="Heading5"/>
      </w:pPr>
      <w:r w:rsidRPr="007476BD">
        <w:t>8.2.2.2</w:t>
      </w:r>
      <w:r w:rsidRPr="007476BD">
        <w:tab/>
      </w:r>
      <w:r w:rsidR="004A7621" w:rsidRPr="007476BD">
        <w:t>Industry</w:t>
      </w:r>
    </w:p>
    <w:p w:rsidR="004A7621" w:rsidRPr="007476BD" w:rsidRDefault="004A7621" w:rsidP="004A7621"/>
    <w:p w:rsidR="00B17440" w:rsidRPr="007476BD" w:rsidRDefault="004A7621" w:rsidP="004A7621">
      <w:pPr>
        <w:rPr>
          <w:rFonts w:cs="Arial"/>
          <w:szCs w:val="20"/>
        </w:rPr>
      </w:pPr>
      <w:r w:rsidRPr="007476BD">
        <w:rPr>
          <w:rFonts w:cs="Arial"/>
          <w:szCs w:val="20"/>
        </w:rPr>
        <w:t>This option would provide an al</w:t>
      </w:r>
      <w:r w:rsidR="00A0748B" w:rsidRPr="007476BD">
        <w:rPr>
          <w:rFonts w:cs="Arial"/>
          <w:szCs w:val="20"/>
        </w:rPr>
        <w:t xml:space="preserve">ternative sweetener </w:t>
      </w:r>
      <w:r w:rsidRPr="007476BD">
        <w:rPr>
          <w:rFonts w:cs="Arial"/>
          <w:szCs w:val="20"/>
        </w:rPr>
        <w:t xml:space="preserve">and would increase market </w:t>
      </w:r>
      <w:r w:rsidR="004E737E" w:rsidRPr="007476BD">
        <w:rPr>
          <w:rFonts w:cs="Arial"/>
          <w:szCs w:val="20"/>
        </w:rPr>
        <w:t xml:space="preserve">and product </w:t>
      </w:r>
      <w:r w:rsidRPr="007476BD">
        <w:rPr>
          <w:rFonts w:cs="Arial"/>
          <w:szCs w:val="20"/>
        </w:rPr>
        <w:t xml:space="preserve">opportunities for </w:t>
      </w:r>
      <w:r w:rsidR="00B52B92" w:rsidRPr="007476BD">
        <w:rPr>
          <w:rFonts w:cs="Arial"/>
          <w:szCs w:val="20"/>
        </w:rPr>
        <w:t>t</w:t>
      </w:r>
      <w:r w:rsidR="0012196A" w:rsidRPr="007476BD">
        <w:rPr>
          <w:rFonts w:cs="Arial"/>
          <w:szCs w:val="20"/>
        </w:rPr>
        <w:t>he food industry</w:t>
      </w:r>
      <w:r w:rsidR="00A0748B" w:rsidRPr="007476BD">
        <w:rPr>
          <w:rFonts w:cs="Arial"/>
          <w:szCs w:val="20"/>
        </w:rPr>
        <w:t xml:space="preserve">. </w:t>
      </w:r>
      <w:r w:rsidR="00B82C8D" w:rsidRPr="007476BD">
        <w:rPr>
          <w:rFonts w:cs="Arial"/>
          <w:szCs w:val="20"/>
        </w:rPr>
        <w:t>It is noted that this is a voluntary permission and industry can elect to use Advantame if it provide</w:t>
      </w:r>
      <w:r w:rsidR="00AB0F54" w:rsidRPr="007476BD">
        <w:rPr>
          <w:rFonts w:cs="Arial"/>
          <w:szCs w:val="20"/>
        </w:rPr>
        <w:t>s</w:t>
      </w:r>
      <w:r w:rsidR="00B82C8D" w:rsidRPr="007476BD">
        <w:rPr>
          <w:rFonts w:cs="Arial"/>
          <w:szCs w:val="20"/>
        </w:rPr>
        <w:t xml:space="preserve"> an overall benefit to the company. </w:t>
      </w:r>
    </w:p>
    <w:p w:rsidR="006B3AAC" w:rsidRPr="007476BD" w:rsidRDefault="006B3AAC" w:rsidP="006B3AAC">
      <w:pPr>
        <w:widowControl/>
        <w:rPr>
          <w:rFonts w:cs="Arial"/>
          <w:szCs w:val="20"/>
        </w:rPr>
      </w:pPr>
    </w:p>
    <w:p w:rsidR="004A7621" w:rsidRPr="007476BD" w:rsidRDefault="00AF3F30" w:rsidP="00AF3F30">
      <w:pPr>
        <w:pStyle w:val="Heading5"/>
      </w:pPr>
      <w:r w:rsidRPr="007476BD">
        <w:t>8.2.2.3</w:t>
      </w:r>
      <w:r w:rsidRPr="007476BD">
        <w:tab/>
      </w:r>
      <w:r w:rsidR="004A7621" w:rsidRPr="007476BD">
        <w:t>Government</w:t>
      </w:r>
    </w:p>
    <w:p w:rsidR="004A7621" w:rsidRPr="007476BD" w:rsidRDefault="004A7621" w:rsidP="004A7621"/>
    <w:p w:rsidR="00877611" w:rsidRPr="007476BD" w:rsidRDefault="00A0748B" w:rsidP="00EA71A0">
      <w:pPr>
        <w:pStyle w:val="CommentText"/>
        <w:rPr>
          <w:sz w:val="22"/>
          <w:szCs w:val="22"/>
        </w:rPr>
      </w:pPr>
      <w:r w:rsidRPr="007476BD">
        <w:rPr>
          <w:sz w:val="22"/>
          <w:szCs w:val="22"/>
        </w:rPr>
        <w:t>T</w:t>
      </w:r>
      <w:r w:rsidR="004A15D4" w:rsidRPr="007476BD">
        <w:rPr>
          <w:sz w:val="22"/>
          <w:szCs w:val="22"/>
        </w:rPr>
        <w:t xml:space="preserve">here </w:t>
      </w:r>
      <w:r w:rsidR="00C37044" w:rsidRPr="007476BD">
        <w:rPr>
          <w:sz w:val="22"/>
          <w:szCs w:val="22"/>
        </w:rPr>
        <w:t xml:space="preserve">may be a small cost to </w:t>
      </w:r>
      <w:r w:rsidR="00D94F4B" w:rsidRPr="007476BD">
        <w:rPr>
          <w:sz w:val="22"/>
          <w:szCs w:val="22"/>
        </w:rPr>
        <w:t>g</w:t>
      </w:r>
      <w:r w:rsidR="00C37044" w:rsidRPr="007476BD">
        <w:rPr>
          <w:sz w:val="22"/>
          <w:szCs w:val="22"/>
        </w:rPr>
        <w:t xml:space="preserve">overnment agencies that enforce the regulations to validate the analytical method of </w:t>
      </w:r>
      <w:r w:rsidR="002A3DD2" w:rsidRPr="007476BD">
        <w:rPr>
          <w:sz w:val="22"/>
          <w:szCs w:val="22"/>
        </w:rPr>
        <w:t>analysis</w:t>
      </w:r>
      <w:r w:rsidR="00C37044" w:rsidRPr="007476BD">
        <w:rPr>
          <w:sz w:val="22"/>
          <w:szCs w:val="22"/>
        </w:rPr>
        <w:t xml:space="preserve"> for Advantame. There may also be </w:t>
      </w:r>
      <w:r w:rsidR="002A3DD2" w:rsidRPr="007476BD">
        <w:rPr>
          <w:sz w:val="22"/>
          <w:szCs w:val="22"/>
        </w:rPr>
        <w:t>further</w:t>
      </w:r>
      <w:r w:rsidR="00C37044" w:rsidRPr="007476BD">
        <w:rPr>
          <w:sz w:val="22"/>
          <w:szCs w:val="22"/>
        </w:rPr>
        <w:t xml:space="preserve"> costs if </w:t>
      </w:r>
      <w:r w:rsidR="004E737E" w:rsidRPr="007476BD">
        <w:rPr>
          <w:sz w:val="22"/>
          <w:szCs w:val="22"/>
        </w:rPr>
        <w:t xml:space="preserve">they choose to analyse for the presence of this sweetener at a higher rate than they are currently doing for existing </w:t>
      </w:r>
      <w:r w:rsidR="00DD162A" w:rsidRPr="007476BD">
        <w:rPr>
          <w:sz w:val="22"/>
          <w:szCs w:val="22"/>
        </w:rPr>
        <w:t xml:space="preserve">intense </w:t>
      </w:r>
      <w:r w:rsidR="004E737E" w:rsidRPr="007476BD">
        <w:rPr>
          <w:sz w:val="22"/>
          <w:szCs w:val="22"/>
        </w:rPr>
        <w:t>sweeteners</w:t>
      </w:r>
      <w:r w:rsidR="00B81E1E" w:rsidRPr="007476BD">
        <w:rPr>
          <w:sz w:val="22"/>
          <w:szCs w:val="22"/>
        </w:rPr>
        <w:t>.</w:t>
      </w:r>
    </w:p>
    <w:p w:rsidR="001A7EB2" w:rsidRPr="007476BD" w:rsidRDefault="001A7EB2" w:rsidP="001A7EB2">
      <w:pPr>
        <w:widowControl/>
      </w:pPr>
    </w:p>
    <w:p w:rsidR="000D720D" w:rsidRPr="007476BD" w:rsidRDefault="00AF3F30" w:rsidP="00AF3F30">
      <w:pPr>
        <w:pStyle w:val="Heading4"/>
      </w:pPr>
      <w:r w:rsidRPr="007476BD">
        <w:t>8.2.3</w:t>
      </w:r>
      <w:r w:rsidRPr="007476BD">
        <w:tab/>
      </w:r>
      <w:r w:rsidR="000D720D" w:rsidRPr="007476BD">
        <w:t xml:space="preserve">Option </w:t>
      </w:r>
      <w:r w:rsidR="00C52A10" w:rsidRPr="007476BD">
        <w:t>2B</w:t>
      </w:r>
      <w:r w:rsidR="000D720D" w:rsidRPr="007476BD">
        <w:t>: Ap</w:t>
      </w:r>
      <w:r w:rsidR="004A15D4" w:rsidRPr="007476BD">
        <w:t xml:space="preserve">prove the use of </w:t>
      </w:r>
      <w:r w:rsidR="00276EDB" w:rsidRPr="007476BD">
        <w:t>Advantame</w:t>
      </w:r>
      <w:r w:rsidR="000D720D" w:rsidRPr="007476BD">
        <w:t xml:space="preserve"> as an intense sweetener in </w:t>
      </w:r>
      <w:r w:rsidR="00F84FAD" w:rsidRPr="007476BD">
        <w:t>S</w:t>
      </w:r>
      <w:r w:rsidR="000D720D" w:rsidRPr="007476BD">
        <w:t>chedule 2 of Standard 1.3.1</w:t>
      </w:r>
    </w:p>
    <w:p w:rsidR="000D720D" w:rsidRPr="007476BD" w:rsidRDefault="000D720D" w:rsidP="00A61EC3"/>
    <w:p w:rsidR="005B2893" w:rsidRPr="007476BD" w:rsidRDefault="001A54F3">
      <w:pPr>
        <w:rPr>
          <w:rFonts w:cs="Arial"/>
        </w:rPr>
      </w:pPr>
      <w:r w:rsidRPr="007476BD">
        <w:t>The costs and benefits for consumers</w:t>
      </w:r>
      <w:r w:rsidR="002B3A3C" w:rsidRPr="007476BD">
        <w:t xml:space="preserve"> and </w:t>
      </w:r>
      <w:r w:rsidRPr="007476BD">
        <w:t>industry are expected to be the same as for option 2A</w:t>
      </w:r>
      <w:r w:rsidR="002B3A3C" w:rsidRPr="007476BD">
        <w:t>. However, the costs may be less for jurisdictions if they do not need to analyse Advantame due to permissions being granted at GMP levels</w:t>
      </w:r>
      <w:r w:rsidR="00477B0F" w:rsidRPr="007476BD">
        <w:t xml:space="preserve">. </w:t>
      </w:r>
      <w:r w:rsidR="002B3A3C" w:rsidRPr="007476BD">
        <w:t>A</w:t>
      </w:r>
      <w:r w:rsidRPr="007476BD">
        <w:t>dditionally</w:t>
      </w:r>
      <w:r w:rsidR="00D94F4B" w:rsidRPr="007476BD">
        <w:t>,</w:t>
      </w:r>
      <w:r w:rsidRPr="007476BD">
        <w:t xml:space="preserve"> </w:t>
      </w:r>
      <w:r w:rsidR="00945F6C" w:rsidRPr="007476BD">
        <w:t xml:space="preserve">this option provides a </w:t>
      </w:r>
      <w:r w:rsidRPr="007476BD">
        <w:t xml:space="preserve">greater innovation </w:t>
      </w:r>
      <w:r w:rsidR="00945F6C" w:rsidRPr="007476BD">
        <w:t xml:space="preserve">potential </w:t>
      </w:r>
      <w:r w:rsidR="00846EB0" w:rsidRPr="007476BD">
        <w:t xml:space="preserve">for industry. It may also lead to increased </w:t>
      </w:r>
      <w:r w:rsidR="00C70FEE" w:rsidRPr="007476BD">
        <w:t xml:space="preserve">efficiency for </w:t>
      </w:r>
      <w:r w:rsidR="00846EB0" w:rsidRPr="007476BD">
        <w:rPr>
          <w:rFonts w:cs="Arial"/>
        </w:rPr>
        <w:t xml:space="preserve">FSANZ and other regulators as there would </w:t>
      </w:r>
      <w:r w:rsidR="00CE59E5" w:rsidRPr="007476BD">
        <w:rPr>
          <w:rFonts w:cs="Arial"/>
        </w:rPr>
        <w:t>n</w:t>
      </w:r>
      <w:r w:rsidR="004A15D4" w:rsidRPr="007476BD">
        <w:rPr>
          <w:rFonts w:cs="Arial"/>
        </w:rPr>
        <w:t>ot ne</w:t>
      </w:r>
      <w:r w:rsidR="00846EB0" w:rsidRPr="007476BD">
        <w:rPr>
          <w:rFonts w:cs="Arial"/>
        </w:rPr>
        <w:t xml:space="preserve">ed to be </w:t>
      </w:r>
      <w:r w:rsidR="004A15D4" w:rsidRPr="007476BD">
        <w:rPr>
          <w:rFonts w:cs="Arial"/>
        </w:rPr>
        <w:t xml:space="preserve">a case-by-case </w:t>
      </w:r>
      <w:r w:rsidR="00CE59E5" w:rsidRPr="007476BD">
        <w:rPr>
          <w:rFonts w:cs="Arial"/>
        </w:rPr>
        <w:t xml:space="preserve">assessment of each new </w:t>
      </w:r>
      <w:r w:rsidR="00DD162A" w:rsidRPr="007476BD">
        <w:rPr>
          <w:rFonts w:cs="Arial"/>
        </w:rPr>
        <w:t>food type.</w:t>
      </w:r>
      <w:r w:rsidR="00ED659A" w:rsidRPr="007476BD">
        <w:rPr>
          <w:rFonts w:cs="Arial"/>
        </w:rPr>
        <w:t xml:space="preserve"> </w:t>
      </w:r>
      <w:r w:rsidR="00CE59E5" w:rsidRPr="007476BD">
        <w:rPr>
          <w:rFonts w:cs="Arial"/>
        </w:rPr>
        <w:t>Therefore, this option would be efficient in the long-term i</w:t>
      </w:r>
      <w:r w:rsidR="003413C0" w:rsidRPr="007476BD">
        <w:rPr>
          <w:rFonts w:cs="Arial"/>
        </w:rPr>
        <w:t>n</w:t>
      </w:r>
      <w:r w:rsidR="00CE59E5" w:rsidRPr="007476BD">
        <w:rPr>
          <w:rFonts w:cs="Arial"/>
        </w:rPr>
        <w:t xml:space="preserve"> regard to approval of more foods containing </w:t>
      </w:r>
      <w:r w:rsidR="00276EDB" w:rsidRPr="007476BD">
        <w:rPr>
          <w:rFonts w:cs="Arial"/>
        </w:rPr>
        <w:t>Advantame</w:t>
      </w:r>
      <w:r w:rsidR="00CE59E5" w:rsidRPr="007476BD">
        <w:rPr>
          <w:rFonts w:cs="Arial"/>
        </w:rPr>
        <w:t xml:space="preserve">. </w:t>
      </w:r>
    </w:p>
    <w:p w:rsidR="000D720D" w:rsidRPr="007476BD" w:rsidRDefault="000D720D">
      <w:pPr>
        <w:rPr>
          <w:rFonts w:cs="Arial"/>
        </w:rPr>
      </w:pPr>
    </w:p>
    <w:p w:rsidR="003C4969" w:rsidRPr="007476BD" w:rsidRDefault="007A44B4">
      <w:pPr>
        <w:pStyle w:val="Heading3"/>
        <w:rPr>
          <w:rFonts w:cs="Arial"/>
        </w:rPr>
      </w:pPr>
      <w:bookmarkStart w:id="84" w:name="_Toc120358590"/>
      <w:bookmarkStart w:id="85" w:name="_Toc296958619"/>
      <w:r w:rsidRPr="007476BD">
        <w:rPr>
          <w:rFonts w:cs="Arial"/>
        </w:rPr>
        <w:t>8.3</w:t>
      </w:r>
      <w:r w:rsidR="003C4969" w:rsidRPr="007476BD">
        <w:rPr>
          <w:rFonts w:cs="Arial"/>
        </w:rPr>
        <w:tab/>
        <w:t>Comparison of Options</w:t>
      </w:r>
      <w:bookmarkEnd w:id="84"/>
      <w:bookmarkEnd w:id="85"/>
    </w:p>
    <w:p w:rsidR="00A32FB9" w:rsidRPr="007476BD" w:rsidRDefault="00A32FB9">
      <w:pPr>
        <w:rPr>
          <w:rFonts w:cs="Arial"/>
        </w:rPr>
      </w:pPr>
    </w:p>
    <w:p w:rsidR="00AF3F30" w:rsidRPr="007476BD" w:rsidRDefault="00C37044" w:rsidP="00C37044">
      <w:pPr>
        <w:widowControl/>
        <w:autoSpaceDE w:val="0"/>
        <w:autoSpaceDN w:val="0"/>
        <w:adjustRightInd w:val="0"/>
        <w:rPr>
          <w:rFonts w:cs="Arial"/>
          <w:szCs w:val="22"/>
          <w:lang w:eastAsia="en-GB" w:bidi="ar-SA"/>
        </w:rPr>
      </w:pPr>
      <w:r w:rsidRPr="007476BD">
        <w:rPr>
          <w:rFonts w:cs="Arial"/>
          <w:szCs w:val="22"/>
          <w:lang w:eastAsia="en-GB" w:bidi="ar-SA"/>
        </w:rPr>
        <w:t xml:space="preserve">It is anticipated that the introduction of a range of food products containing Advantame would provide greater opportunities for innovation by manufacturers and allow them to benefit from increased market development both domestically and </w:t>
      </w:r>
      <w:r w:rsidR="0017777C" w:rsidRPr="007476BD">
        <w:rPr>
          <w:rFonts w:cs="Arial"/>
          <w:szCs w:val="22"/>
          <w:lang w:eastAsia="en-GB" w:bidi="ar-SA"/>
        </w:rPr>
        <w:t xml:space="preserve">when approved </w:t>
      </w:r>
      <w:r w:rsidRPr="007476BD">
        <w:rPr>
          <w:rFonts w:cs="Arial"/>
          <w:szCs w:val="22"/>
          <w:lang w:eastAsia="en-GB" w:bidi="ar-SA"/>
        </w:rPr>
        <w:t xml:space="preserve">overseas. </w:t>
      </w:r>
      <w:r w:rsidR="00AF3F30" w:rsidRPr="007476BD">
        <w:rPr>
          <w:rFonts w:cs="Arial"/>
          <w:szCs w:val="22"/>
          <w:lang w:eastAsia="en-GB" w:bidi="ar-SA"/>
        </w:rPr>
        <w:br w:type="page"/>
      </w:r>
    </w:p>
    <w:p w:rsidR="00C37044" w:rsidRPr="007476BD" w:rsidRDefault="00C37044" w:rsidP="00C37044">
      <w:pPr>
        <w:widowControl/>
        <w:autoSpaceDE w:val="0"/>
        <w:autoSpaceDN w:val="0"/>
        <w:adjustRightInd w:val="0"/>
        <w:rPr>
          <w:rFonts w:cs="Arial"/>
          <w:szCs w:val="22"/>
          <w:lang w:eastAsia="en-GB" w:bidi="ar-SA"/>
        </w:rPr>
      </w:pPr>
      <w:r w:rsidRPr="007476BD">
        <w:rPr>
          <w:rFonts w:cs="Arial"/>
          <w:szCs w:val="22"/>
          <w:lang w:eastAsia="en-GB" w:bidi="ar-SA"/>
        </w:rPr>
        <w:lastRenderedPageBreak/>
        <w:t>Consumers would be provided with an increased choice of products with the potential to aid weight management</w:t>
      </w:r>
      <w:r w:rsidR="0024440E" w:rsidRPr="007476BD">
        <w:rPr>
          <w:rFonts w:cs="Arial"/>
          <w:szCs w:val="22"/>
          <w:lang w:eastAsia="en-GB" w:bidi="ar-SA"/>
        </w:rPr>
        <w:t xml:space="preserve"> programs</w:t>
      </w:r>
      <w:r w:rsidR="002A3DD2" w:rsidRPr="007476BD">
        <w:rPr>
          <w:rFonts w:cs="Arial"/>
          <w:szCs w:val="22"/>
          <w:lang w:eastAsia="en-GB" w:bidi="ar-SA"/>
        </w:rPr>
        <w:t xml:space="preserve">. There are </w:t>
      </w:r>
      <w:r w:rsidRPr="007476BD">
        <w:rPr>
          <w:rFonts w:cs="Arial"/>
          <w:szCs w:val="22"/>
          <w:lang w:eastAsia="en-GB" w:bidi="ar-SA"/>
        </w:rPr>
        <w:t>no</w:t>
      </w:r>
      <w:r w:rsidR="00B84028" w:rsidRPr="007476BD">
        <w:rPr>
          <w:rFonts w:cs="Arial"/>
          <w:szCs w:val="22"/>
          <w:lang w:eastAsia="en-GB" w:bidi="ar-SA"/>
        </w:rPr>
        <w:t xml:space="preserve"> significant </w:t>
      </w:r>
      <w:r w:rsidRPr="007476BD">
        <w:rPr>
          <w:rFonts w:cs="Arial"/>
          <w:szCs w:val="22"/>
          <w:lang w:eastAsia="en-GB" w:bidi="ar-SA"/>
        </w:rPr>
        <w:t>impact</w:t>
      </w:r>
      <w:r w:rsidR="002A3DD2" w:rsidRPr="007476BD">
        <w:rPr>
          <w:rFonts w:cs="Arial"/>
          <w:szCs w:val="22"/>
          <w:lang w:eastAsia="en-GB" w:bidi="ar-SA"/>
        </w:rPr>
        <w:t>s</w:t>
      </w:r>
      <w:r w:rsidRPr="007476BD">
        <w:rPr>
          <w:rFonts w:cs="Arial"/>
          <w:szCs w:val="22"/>
          <w:lang w:eastAsia="en-GB" w:bidi="ar-SA"/>
        </w:rPr>
        <w:t xml:space="preserve"> on government </w:t>
      </w:r>
      <w:r w:rsidR="00B84028" w:rsidRPr="007476BD">
        <w:rPr>
          <w:rFonts w:cs="Arial"/>
          <w:szCs w:val="22"/>
          <w:lang w:eastAsia="en-GB" w:bidi="ar-SA"/>
        </w:rPr>
        <w:t xml:space="preserve">enforcement </w:t>
      </w:r>
      <w:r w:rsidR="00990331" w:rsidRPr="007476BD">
        <w:rPr>
          <w:rFonts w:cs="Arial"/>
          <w:szCs w:val="22"/>
          <w:lang w:eastAsia="en-GB" w:bidi="ar-SA"/>
        </w:rPr>
        <w:t xml:space="preserve">agencies by the </w:t>
      </w:r>
      <w:r w:rsidRPr="007476BD">
        <w:rPr>
          <w:rFonts w:cs="Arial"/>
          <w:szCs w:val="22"/>
          <w:lang w:eastAsia="en-GB" w:bidi="ar-SA"/>
        </w:rPr>
        <w:t xml:space="preserve">addition of Advantame as an ingredient to </w:t>
      </w:r>
      <w:r w:rsidR="00990331" w:rsidRPr="007476BD">
        <w:rPr>
          <w:rFonts w:cs="Arial"/>
          <w:szCs w:val="22"/>
          <w:lang w:eastAsia="en-GB" w:bidi="ar-SA"/>
        </w:rPr>
        <w:t>foods;</w:t>
      </w:r>
      <w:r w:rsidR="00B84028" w:rsidRPr="007476BD">
        <w:rPr>
          <w:rFonts w:cs="Arial"/>
          <w:szCs w:val="22"/>
          <w:lang w:eastAsia="en-GB" w:bidi="ar-SA"/>
        </w:rPr>
        <w:t xml:space="preserve"> although it is acknowledged that there may be </w:t>
      </w:r>
      <w:r w:rsidR="00ED659A" w:rsidRPr="007476BD">
        <w:rPr>
          <w:rFonts w:cs="Arial"/>
          <w:szCs w:val="22"/>
          <w:lang w:eastAsia="en-GB" w:bidi="ar-SA"/>
        </w:rPr>
        <w:t>costs to validate the method of analysis for Advantame should these agencies elect</w:t>
      </w:r>
      <w:r w:rsidR="00DD162A" w:rsidRPr="007476BD">
        <w:rPr>
          <w:rFonts w:cs="Arial"/>
          <w:szCs w:val="22"/>
          <w:lang w:eastAsia="en-GB" w:bidi="ar-SA"/>
        </w:rPr>
        <w:t xml:space="preserve"> to test for the presence or level of Advantame.</w:t>
      </w:r>
    </w:p>
    <w:p w:rsidR="00C37044" w:rsidRPr="007476BD" w:rsidRDefault="00C37044" w:rsidP="00A32FB9"/>
    <w:p w:rsidR="00A32FB9" w:rsidRPr="007476BD" w:rsidRDefault="00A32FB9" w:rsidP="00A32FB9">
      <w:r w:rsidRPr="007476BD">
        <w:t>Option 1 appears to provide no benefits to industry, consume</w:t>
      </w:r>
      <w:r w:rsidR="00441FF4" w:rsidRPr="007476BD">
        <w:t xml:space="preserve">rs </w:t>
      </w:r>
      <w:r w:rsidRPr="007476BD">
        <w:t>or government</w:t>
      </w:r>
      <w:r w:rsidR="00503CC3" w:rsidRPr="007476BD">
        <w:t xml:space="preserve">. </w:t>
      </w:r>
      <w:r w:rsidRPr="007476BD">
        <w:t>Option 1 denies industry access to a new food additive which has been assessed as safe</w:t>
      </w:r>
      <w:r w:rsidR="00503CC3" w:rsidRPr="007476BD">
        <w:t xml:space="preserve">. </w:t>
      </w:r>
      <w:r w:rsidRPr="007476BD">
        <w:t>It also denies consumers access to foo</w:t>
      </w:r>
      <w:r w:rsidR="00F75DF8" w:rsidRPr="007476BD">
        <w:t xml:space="preserve">ds containing </w:t>
      </w:r>
      <w:r w:rsidR="00276EDB" w:rsidRPr="007476BD">
        <w:t>Advantame</w:t>
      </w:r>
      <w:r w:rsidR="00F75DF8" w:rsidRPr="007476BD">
        <w:t xml:space="preserve"> </w:t>
      </w:r>
      <w:r w:rsidRPr="007476BD">
        <w:t xml:space="preserve">and any associated benefits. </w:t>
      </w:r>
    </w:p>
    <w:p w:rsidR="00A61B89" w:rsidRPr="007476BD" w:rsidRDefault="00A61B89" w:rsidP="00A61B89">
      <w:pPr>
        <w:widowControl/>
      </w:pPr>
    </w:p>
    <w:p w:rsidR="00A32FB9" w:rsidRPr="007476BD" w:rsidRDefault="00F006E1" w:rsidP="00A61B89">
      <w:pPr>
        <w:widowControl/>
      </w:pPr>
      <w:r w:rsidRPr="007476BD">
        <w:t>Option 2</w:t>
      </w:r>
      <w:r w:rsidR="00C52A10" w:rsidRPr="007476BD">
        <w:t>A</w:t>
      </w:r>
      <w:r w:rsidRPr="007476BD">
        <w:t xml:space="preserve"> </w:t>
      </w:r>
      <w:r w:rsidR="00A32FB9" w:rsidRPr="007476BD">
        <w:t>do</w:t>
      </w:r>
      <w:r w:rsidRPr="007476BD">
        <w:t>es</w:t>
      </w:r>
      <w:r w:rsidR="00A32FB9" w:rsidRPr="007476BD">
        <w:t xml:space="preserve"> not appear to impose any significant costs on industry, </w:t>
      </w:r>
      <w:r w:rsidR="00441FF4" w:rsidRPr="007476BD">
        <w:t xml:space="preserve">consumers, public </w:t>
      </w:r>
      <w:r w:rsidR="00F75DF8" w:rsidRPr="007476BD">
        <w:t xml:space="preserve">or </w:t>
      </w:r>
      <w:r w:rsidR="00D94F4B" w:rsidRPr="007476BD">
        <w:t>g</w:t>
      </w:r>
      <w:r w:rsidRPr="007476BD">
        <w:t>overnment</w:t>
      </w:r>
      <w:r w:rsidR="00503CC3" w:rsidRPr="007476BD">
        <w:t xml:space="preserve">. </w:t>
      </w:r>
      <w:r w:rsidRPr="007476BD">
        <w:t xml:space="preserve">Option 2 </w:t>
      </w:r>
      <w:r w:rsidR="00A32FB9" w:rsidRPr="007476BD">
        <w:t>provide</w:t>
      </w:r>
      <w:r w:rsidR="004173FF" w:rsidRPr="007476BD">
        <w:t>s</w:t>
      </w:r>
      <w:r w:rsidR="00A32FB9" w:rsidRPr="007476BD">
        <w:t xml:space="preserve"> benefits to industry in terms of product innovation and development and potential sales of foo</w:t>
      </w:r>
      <w:r w:rsidR="00F75DF8" w:rsidRPr="007476BD">
        <w:t xml:space="preserve">ds containing </w:t>
      </w:r>
      <w:r w:rsidR="00276EDB" w:rsidRPr="007476BD">
        <w:t>Advantame</w:t>
      </w:r>
      <w:r w:rsidR="00A32FB9" w:rsidRPr="007476BD">
        <w:t>, while consumers may benefit from possible improved flavour/taste profiles</w:t>
      </w:r>
      <w:r w:rsidR="00477B0F" w:rsidRPr="007476BD">
        <w:t xml:space="preserve">. </w:t>
      </w:r>
    </w:p>
    <w:p w:rsidR="00A61EC3" w:rsidRPr="007476BD" w:rsidRDefault="00A61EC3" w:rsidP="003A36DD"/>
    <w:p w:rsidR="003A36DD" w:rsidRPr="007476BD" w:rsidRDefault="00C52A10" w:rsidP="003A36DD">
      <w:r w:rsidRPr="007476BD">
        <w:t>Option 2B</w:t>
      </w:r>
      <w:r w:rsidR="003A36DD" w:rsidRPr="007476BD">
        <w:t xml:space="preserve"> would provide industry with a greater potential for innovation due to a wider range of foods being permitted to conta</w:t>
      </w:r>
      <w:r w:rsidR="00F75DF8" w:rsidRPr="007476BD">
        <w:t xml:space="preserve">in added </w:t>
      </w:r>
      <w:r w:rsidR="00276EDB" w:rsidRPr="007476BD">
        <w:t>Advantame</w:t>
      </w:r>
      <w:r w:rsidR="003A36DD" w:rsidRPr="007476BD">
        <w:t xml:space="preserve"> than would be permitted under Option 2</w:t>
      </w:r>
      <w:r w:rsidRPr="007476BD">
        <w:t>A</w:t>
      </w:r>
      <w:r w:rsidR="00410926" w:rsidRPr="007476BD">
        <w:t xml:space="preserve"> and lower costs associat</w:t>
      </w:r>
      <w:r w:rsidR="00AA5932" w:rsidRPr="007476BD">
        <w:t>ed</w:t>
      </w:r>
      <w:r w:rsidR="00410926" w:rsidRPr="007476BD">
        <w:t xml:space="preserve"> with avoiding the need for further applications to extend the range of permitted food types</w:t>
      </w:r>
      <w:r w:rsidR="00503CC3" w:rsidRPr="007476BD">
        <w:t xml:space="preserve">. </w:t>
      </w:r>
    </w:p>
    <w:p w:rsidR="003A36DD" w:rsidRPr="007476BD" w:rsidRDefault="003A36DD" w:rsidP="003A36DD"/>
    <w:p w:rsidR="00C37044" w:rsidRPr="007476BD" w:rsidRDefault="003A36DD" w:rsidP="007E558D">
      <w:r w:rsidRPr="007476BD">
        <w:t xml:space="preserve">An assessment of the costs and benefits of the three </w:t>
      </w:r>
      <w:r w:rsidR="00945F6C" w:rsidRPr="007476BD">
        <w:t>o</w:t>
      </w:r>
      <w:r w:rsidRPr="007476BD">
        <w:t>ptions indicates that there would be a net benefit in permitti</w:t>
      </w:r>
      <w:r w:rsidR="00F75DF8" w:rsidRPr="007476BD">
        <w:t xml:space="preserve">ng the use of </w:t>
      </w:r>
      <w:r w:rsidR="00276EDB" w:rsidRPr="007476BD">
        <w:t>Advantame</w:t>
      </w:r>
      <w:r w:rsidR="00635ACF" w:rsidRPr="007476BD">
        <w:t xml:space="preserve"> </w:t>
      </w:r>
      <w:r w:rsidR="006678FE" w:rsidRPr="007476BD">
        <w:t xml:space="preserve">as a </w:t>
      </w:r>
      <w:r w:rsidR="00635ACF" w:rsidRPr="007476BD">
        <w:t xml:space="preserve">Schedule 2 </w:t>
      </w:r>
      <w:r w:rsidR="006678FE" w:rsidRPr="007476BD">
        <w:t>additive</w:t>
      </w:r>
      <w:r w:rsidR="00635ACF" w:rsidRPr="007476BD">
        <w:t xml:space="preserve"> (Option </w:t>
      </w:r>
      <w:r w:rsidR="0094103B" w:rsidRPr="007476BD">
        <w:t>2</w:t>
      </w:r>
      <w:r w:rsidR="00C52A10" w:rsidRPr="007476BD">
        <w:t>B</w:t>
      </w:r>
      <w:r w:rsidRPr="007476BD">
        <w:t xml:space="preserve">). </w:t>
      </w:r>
    </w:p>
    <w:p w:rsidR="002A3DD2" w:rsidRPr="007476BD" w:rsidRDefault="002A3DD2" w:rsidP="006B3AAC">
      <w:pPr>
        <w:widowControl/>
      </w:pPr>
    </w:p>
    <w:p w:rsidR="003C4969" w:rsidRPr="007476BD" w:rsidRDefault="00807559" w:rsidP="00B04889">
      <w:pPr>
        <w:pStyle w:val="Heading1"/>
        <w:ind w:left="0" w:firstLine="0"/>
      </w:pPr>
      <w:bookmarkStart w:id="86" w:name="_Toc296958620"/>
      <w:r w:rsidRPr="007476BD">
        <w:t>C</w:t>
      </w:r>
      <w:r w:rsidR="003C4969" w:rsidRPr="007476BD">
        <w:t>ommunication</w:t>
      </w:r>
      <w:r w:rsidR="00A74FD1" w:rsidRPr="007476BD">
        <w:t xml:space="preserve"> and Consultation Strategy</w:t>
      </w:r>
      <w:bookmarkEnd w:id="86"/>
    </w:p>
    <w:p w:rsidR="003C4969" w:rsidRPr="007476BD" w:rsidRDefault="003C4969">
      <w:pPr>
        <w:rPr>
          <w:rFonts w:cs="Arial"/>
        </w:rPr>
      </w:pPr>
    </w:p>
    <w:p w:rsidR="00DF5C69" w:rsidRPr="007476BD" w:rsidRDefault="007A44B4" w:rsidP="00A61EC3">
      <w:pPr>
        <w:pStyle w:val="Heading2"/>
      </w:pPr>
      <w:bookmarkStart w:id="87" w:name="_Toc120358592"/>
      <w:bookmarkStart w:id="88" w:name="_Toc296958621"/>
      <w:r w:rsidRPr="007476BD">
        <w:t>9.</w:t>
      </w:r>
      <w:r w:rsidR="003C4969" w:rsidRPr="007476BD">
        <w:tab/>
        <w:t>Communication</w:t>
      </w:r>
      <w:bookmarkEnd w:id="87"/>
      <w:bookmarkEnd w:id="88"/>
    </w:p>
    <w:p w:rsidR="003F481D" w:rsidRPr="007476BD" w:rsidRDefault="003F481D" w:rsidP="003F481D"/>
    <w:p w:rsidR="000F3608" w:rsidRPr="007476BD" w:rsidRDefault="000F3608" w:rsidP="00A61EC3">
      <w:pPr>
        <w:pStyle w:val="Heading3"/>
      </w:pPr>
      <w:bookmarkStart w:id="89" w:name="_Toc238629450"/>
      <w:bookmarkStart w:id="90" w:name="_Toc296958622"/>
      <w:r w:rsidRPr="007476BD">
        <w:t xml:space="preserve">9.1 </w:t>
      </w:r>
      <w:r w:rsidRPr="007476BD">
        <w:tab/>
      </w:r>
      <w:r w:rsidR="006318E2" w:rsidRPr="007476BD">
        <w:t>Response to p</w:t>
      </w:r>
      <w:r w:rsidRPr="007476BD">
        <w:t>ublic consultation</w:t>
      </w:r>
      <w:bookmarkEnd w:id="89"/>
      <w:bookmarkEnd w:id="90"/>
    </w:p>
    <w:p w:rsidR="000F3608" w:rsidRPr="007476BD" w:rsidRDefault="000F3608" w:rsidP="000F3608">
      <w:pPr>
        <w:rPr>
          <w:highlight w:val="yellow"/>
        </w:rPr>
      </w:pPr>
    </w:p>
    <w:p w:rsidR="00EF7325" w:rsidRPr="007476BD" w:rsidRDefault="008F19E1" w:rsidP="00CD0C3A">
      <w:pPr>
        <w:rPr>
          <w:szCs w:val="22"/>
        </w:rPr>
      </w:pPr>
      <w:r w:rsidRPr="007476BD">
        <w:rPr>
          <w:szCs w:val="22"/>
        </w:rPr>
        <w:t>Consultation on the 1</w:t>
      </w:r>
      <w:r w:rsidRPr="007476BD">
        <w:rPr>
          <w:szCs w:val="22"/>
          <w:vertAlign w:val="superscript"/>
        </w:rPr>
        <w:t>st</w:t>
      </w:r>
      <w:r w:rsidRPr="007476BD">
        <w:rPr>
          <w:szCs w:val="22"/>
        </w:rPr>
        <w:t xml:space="preserve"> </w:t>
      </w:r>
      <w:r w:rsidR="00CD0C3A" w:rsidRPr="007476BD">
        <w:rPr>
          <w:szCs w:val="22"/>
        </w:rPr>
        <w:t>Assessment was conducted over a period of six weeks</w:t>
      </w:r>
      <w:r w:rsidR="00945F6C" w:rsidRPr="007476BD">
        <w:rPr>
          <w:szCs w:val="22"/>
        </w:rPr>
        <w:t>.</w:t>
      </w:r>
      <w:r w:rsidR="00CD0C3A" w:rsidRPr="007476BD">
        <w:rPr>
          <w:szCs w:val="22"/>
        </w:rPr>
        <w:t xml:space="preserve"> </w:t>
      </w:r>
      <w:r w:rsidR="00945F6C" w:rsidRPr="007476BD">
        <w:rPr>
          <w:szCs w:val="22"/>
        </w:rPr>
        <w:t>E</w:t>
      </w:r>
      <w:r w:rsidR="00CD0C3A" w:rsidRPr="007476BD">
        <w:rPr>
          <w:szCs w:val="22"/>
        </w:rPr>
        <w:t xml:space="preserve">leven submissions were received. </w:t>
      </w:r>
      <w:r w:rsidR="00EF7325" w:rsidRPr="007476BD">
        <w:rPr>
          <w:szCs w:val="22"/>
        </w:rPr>
        <w:t>A second round of consultation was condu</w:t>
      </w:r>
      <w:r w:rsidR="005662E0" w:rsidRPr="007476BD">
        <w:rPr>
          <w:szCs w:val="22"/>
        </w:rPr>
        <w:t>cted over a period of 4 weeks</w:t>
      </w:r>
      <w:r w:rsidR="00F84FAD" w:rsidRPr="007476BD">
        <w:rPr>
          <w:szCs w:val="22"/>
        </w:rPr>
        <w:t>.</w:t>
      </w:r>
      <w:r w:rsidR="00550644" w:rsidRPr="007476BD">
        <w:rPr>
          <w:szCs w:val="22"/>
        </w:rPr>
        <w:t xml:space="preserve"> </w:t>
      </w:r>
      <w:r w:rsidR="00F84FAD" w:rsidRPr="007476BD">
        <w:rPr>
          <w:szCs w:val="22"/>
        </w:rPr>
        <w:t>E</w:t>
      </w:r>
      <w:r w:rsidR="005662E0" w:rsidRPr="007476BD">
        <w:rPr>
          <w:szCs w:val="22"/>
        </w:rPr>
        <w:t>ight submissions</w:t>
      </w:r>
      <w:r w:rsidR="00EF7325" w:rsidRPr="007476BD">
        <w:rPr>
          <w:szCs w:val="22"/>
        </w:rPr>
        <w:t xml:space="preserve"> were rec</w:t>
      </w:r>
      <w:r w:rsidR="005662E0" w:rsidRPr="007476BD">
        <w:rPr>
          <w:szCs w:val="22"/>
        </w:rPr>
        <w:t>eived</w:t>
      </w:r>
      <w:r w:rsidR="00F84FAD" w:rsidRPr="007476BD">
        <w:rPr>
          <w:szCs w:val="22"/>
        </w:rPr>
        <w:t>.</w:t>
      </w:r>
    </w:p>
    <w:p w:rsidR="00EF7325" w:rsidRPr="007476BD" w:rsidRDefault="00EF7325" w:rsidP="00CD0C3A">
      <w:pPr>
        <w:rPr>
          <w:szCs w:val="22"/>
        </w:rPr>
      </w:pPr>
    </w:p>
    <w:p w:rsidR="00CD0C3A" w:rsidRPr="007476BD" w:rsidRDefault="00CD0C3A" w:rsidP="00CD0C3A">
      <w:pPr>
        <w:rPr>
          <w:szCs w:val="22"/>
        </w:rPr>
      </w:pPr>
      <w:r w:rsidRPr="007476BD">
        <w:rPr>
          <w:szCs w:val="22"/>
        </w:rPr>
        <w:t xml:space="preserve">Summaries of these are in </w:t>
      </w:r>
      <w:r w:rsidRPr="007476BD">
        <w:rPr>
          <w:b/>
          <w:szCs w:val="22"/>
        </w:rPr>
        <w:t>Attachment 2</w:t>
      </w:r>
      <w:r w:rsidRPr="007476BD">
        <w:rPr>
          <w:szCs w:val="22"/>
        </w:rPr>
        <w:t xml:space="preserve"> of this report. </w:t>
      </w:r>
      <w:r w:rsidR="00F7450E" w:rsidRPr="007476BD">
        <w:rPr>
          <w:szCs w:val="22"/>
        </w:rPr>
        <w:t>FSANZ has taken all submitters’ comments into consideration in c</w:t>
      </w:r>
      <w:r w:rsidR="00EF7325" w:rsidRPr="007476BD">
        <w:rPr>
          <w:szCs w:val="22"/>
        </w:rPr>
        <w:t xml:space="preserve">ompleting the Approval </w:t>
      </w:r>
      <w:r w:rsidR="008128B5" w:rsidRPr="007476BD">
        <w:rPr>
          <w:szCs w:val="22"/>
        </w:rPr>
        <w:t xml:space="preserve">Report. </w:t>
      </w:r>
      <w:r w:rsidR="00F7450E" w:rsidRPr="007476BD">
        <w:rPr>
          <w:szCs w:val="22"/>
        </w:rPr>
        <w:t xml:space="preserve">The key issues </w:t>
      </w:r>
      <w:r w:rsidR="00530262" w:rsidRPr="007476BD">
        <w:rPr>
          <w:szCs w:val="22"/>
        </w:rPr>
        <w:t xml:space="preserve">raised </w:t>
      </w:r>
      <w:r w:rsidR="007E1A6F" w:rsidRPr="007476BD">
        <w:rPr>
          <w:szCs w:val="22"/>
        </w:rPr>
        <w:t xml:space="preserve">in both submission periods </w:t>
      </w:r>
      <w:r w:rsidR="00F7450E" w:rsidRPr="007476BD">
        <w:rPr>
          <w:szCs w:val="22"/>
        </w:rPr>
        <w:t>are addressed below.</w:t>
      </w:r>
    </w:p>
    <w:p w:rsidR="00246C55" w:rsidRPr="007476BD" w:rsidRDefault="00246C55" w:rsidP="00CD0C3A">
      <w:pPr>
        <w:rPr>
          <w:szCs w:val="22"/>
          <w:highlight w:val="yellow"/>
        </w:rPr>
      </w:pPr>
    </w:p>
    <w:p w:rsidR="00246C55" w:rsidRPr="007476BD" w:rsidRDefault="00246C55" w:rsidP="00E634F9">
      <w:pPr>
        <w:pStyle w:val="Heading4"/>
      </w:pPr>
      <w:r w:rsidRPr="007476BD">
        <w:t>9.1.1</w:t>
      </w:r>
      <w:r w:rsidRPr="007476BD">
        <w:tab/>
      </w:r>
      <w:r w:rsidR="008E1557" w:rsidRPr="007476BD">
        <w:t>Approval of Advantame as either a Schedule 1 or 2 food additive</w:t>
      </w:r>
    </w:p>
    <w:p w:rsidR="008E1557" w:rsidRPr="007476BD" w:rsidRDefault="008E1557" w:rsidP="008E1557"/>
    <w:p w:rsidR="005662E0" w:rsidRPr="007476BD" w:rsidRDefault="00AF3F30" w:rsidP="005662E0">
      <w:pPr>
        <w:rPr>
          <w:bCs/>
        </w:rPr>
      </w:pPr>
      <w:r w:rsidRPr="007476BD">
        <w:t xml:space="preserve">Approval of Advantame as either a Schedule 1 or 2 food additive </w:t>
      </w:r>
      <w:r w:rsidR="00974BA3" w:rsidRPr="007476BD">
        <w:t xml:space="preserve">has </w:t>
      </w:r>
      <w:r w:rsidR="004603B5" w:rsidRPr="007476BD">
        <w:t xml:space="preserve">also </w:t>
      </w:r>
      <w:r w:rsidR="00CA36AA" w:rsidRPr="007476BD">
        <w:t>been addressed in Section 6.8</w:t>
      </w:r>
      <w:r w:rsidR="00974BA3" w:rsidRPr="007476BD">
        <w:t xml:space="preserve"> Risk Management Strategy. It was suggested </w:t>
      </w:r>
      <w:r w:rsidR="00124414" w:rsidRPr="007476BD">
        <w:t xml:space="preserve">by some submitters </w:t>
      </w:r>
      <w:r w:rsidR="00D30FA6" w:rsidRPr="007476BD">
        <w:t>that FSANZ should take a S</w:t>
      </w:r>
      <w:r w:rsidR="00974BA3" w:rsidRPr="007476BD">
        <w:t xml:space="preserve">chedule 1 approach and </w:t>
      </w:r>
      <w:r w:rsidR="00974BA3" w:rsidRPr="007476BD">
        <w:rPr>
          <w:bCs/>
        </w:rPr>
        <w:t>incorporate in the Code restricted maximum limits in table top sugar substitutes (powdered only), a range of powdered beverages including fruit flavoured drinks, milks and flavoured milk drinks, instant tea and coffee, and protein drinks. This was suggested as more appropriate than a Schedule 2 GMP approach on the basis of the following:</w:t>
      </w:r>
    </w:p>
    <w:p w:rsidR="006640D5" w:rsidRPr="007476BD" w:rsidRDefault="006640D5" w:rsidP="005662E0"/>
    <w:p w:rsidR="005662E0" w:rsidRPr="007476BD" w:rsidRDefault="00AA5932" w:rsidP="006640D5">
      <w:pPr>
        <w:pStyle w:val="FSBullet"/>
      </w:pPr>
      <w:r w:rsidRPr="007476BD">
        <w:t>T</w:t>
      </w:r>
      <w:r w:rsidR="00974BA3" w:rsidRPr="007476BD">
        <w:t>he technological function in foods other than those originally proposed by the Applicant has not been demonstrated</w:t>
      </w:r>
      <w:r w:rsidR="00F84FAD" w:rsidRPr="007476BD">
        <w:t>.</w:t>
      </w:r>
    </w:p>
    <w:p w:rsidR="005662E0" w:rsidRPr="007476BD" w:rsidRDefault="0004077E" w:rsidP="006640D5">
      <w:pPr>
        <w:pStyle w:val="FSBullet"/>
      </w:pPr>
      <w:r w:rsidRPr="007476BD">
        <w:t>A</w:t>
      </w:r>
      <w:r w:rsidR="00974BA3" w:rsidRPr="007476BD">
        <w:t xml:space="preserve"> dietary exposure assessment has not been undertaken on permissions in other foods</w:t>
      </w:r>
      <w:r w:rsidRPr="007476BD">
        <w:t>.</w:t>
      </w:r>
    </w:p>
    <w:p w:rsidR="005662E0" w:rsidRPr="007476BD" w:rsidRDefault="0004077E" w:rsidP="006640D5">
      <w:pPr>
        <w:pStyle w:val="FSBullet"/>
      </w:pPr>
      <w:r w:rsidRPr="007476BD">
        <w:t>A</w:t>
      </w:r>
      <w:r w:rsidR="00974BA3" w:rsidRPr="007476BD">
        <w:t xml:space="preserve"> robust method of detection is not available for all food matrices. </w:t>
      </w:r>
    </w:p>
    <w:p w:rsidR="005662E0" w:rsidRPr="007476BD" w:rsidRDefault="005662E0" w:rsidP="008E1557"/>
    <w:p w:rsidR="00EC4E1C" w:rsidRPr="007476BD" w:rsidRDefault="00EC4E1C" w:rsidP="00932B05">
      <w:r w:rsidRPr="007476BD">
        <w:br w:type="page"/>
      </w:r>
    </w:p>
    <w:p w:rsidR="00857208" w:rsidRPr="007476BD" w:rsidRDefault="00974BA3" w:rsidP="00932B05">
      <w:r w:rsidRPr="007476BD">
        <w:lastRenderedPageBreak/>
        <w:t xml:space="preserve">FSANZ has assessed that the proposed use of Advantame as an intense sweetener is technologically justified in the foods that were proposed for permission by the Applicant. It is likely that if Advantame performs the function of sweetening these foods, that it would also do so in other food matrices. Furthermore, manufacturers are not likely to use Advantame in foods where it does not perform that function. </w:t>
      </w:r>
    </w:p>
    <w:p w:rsidR="00550644" w:rsidRPr="007476BD" w:rsidRDefault="00550644" w:rsidP="00932B05"/>
    <w:p w:rsidR="00932B05" w:rsidRPr="007476BD" w:rsidRDefault="00974BA3" w:rsidP="00932B05">
      <w:r w:rsidRPr="007476BD">
        <w:t xml:space="preserve">FSANZ reiterates its conclusion that GMP permissions for Advantame in Schedule 2 </w:t>
      </w:r>
      <w:r w:rsidR="00812507" w:rsidRPr="007476BD">
        <w:t>are</w:t>
      </w:r>
      <w:r w:rsidRPr="007476BD">
        <w:t xml:space="preserve"> the most appropriate for the following reasons: </w:t>
      </w:r>
    </w:p>
    <w:p w:rsidR="00932B05" w:rsidRPr="007476BD" w:rsidRDefault="00932B05" w:rsidP="00932B05">
      <w:pPr>
        <w:rPr>
          <w:rFonts w:cs="Arial"/>
        </w:rPr>
      </w:pPr>
    </w:p>
    <w:p w:rsidR="00932B05" w:rsidRPr="007476BD" w:rsidRDefault="00F84FAD" w:rsidP="00932B05">
      <w:pPr>
        <w:pStyle w:val="FSBullet"/>
      </w:pPr>
      <w:r w:rsidRPr="007476BD">
        <w:t>T</w:t>
      </w:r>
      <w:r w:rsidR="00974BA3" w:rsidRPr="007476BD">
        <w:t>here is no specific risk that needs to be managed by setting a maximum permitted level in foods</w:t>
      </w:r>
      <w:r w:rsidRPr="007476BD">
        <w:t>.</w:t>
      </w:r>
    </w:p>
    <w:p w:rsidR="00E130B5" w:rsidRPr="007476BD" w:rsidRDefault="00E130B5" w:rsidP="00E130B5">
      <w:pPr>
        <w:pStyle w:val="FSBullet"/>
      </w:pPr>
      <w:r w:rsidRPr="007476BD">
        <w:t>It allows a wider variety of foods to use Advantame.</w:t>
      </w:r>
    </w:p>
    <w:p w:rsidR="00932B05" w:rsidRPr="007476BD" w:rsidRDefault="00F84FAD" w:rsidP="00932B05">
      <w:pPr>
        <w:pStyle w:val="FSBullet"/>
      </w:pPr>
      <w:r w:rsidRPr="007476BD">
        <w:t>D</w:t>
      </w:r>
      <w:r w:rsidR="00974BA3" w:rsidRPr="007476BD">
        <w:t>ue to the intense sweetness of Advantame and minimal amounts needed to sweeten foods, the use of Advantame is self-limiting.</w:t>
      </w:r>
    </w:p>
    <w:p w:rsidR="005662E0" w:rsidRPr="007476BD" w:rsidRDefault="005662E0" w:rsidP="008E1557"/>
    <w:p w:rsidR="00733C26" w:rsidRPr="007476BD" w:rsidRDefault="00587309" w:rsidP="00932B05">
      <w:pPr>
        <w:rPr>
          <w:rFonts w:cs="Arial"/>
        </w:rPr>
      </w:pPr>
      <w:r w:rsidRPr="007476BD">
        <w:rPr>
          <w:rFonts w:cs="Arial"/>
        </w:rPr>
        <w:t>D</w:t>
      </w:r>
      <w:r w:rsidR="00974BA3" w:rsidRPr="007476BD">
        <w:rPr>
          <w:rFonts w:cs="Arial"/>
        </w:rPr>
        <w:t>ietary exposure calculations have not been undertaken</w:t>
      </w:r>
      <w:r w:rsidRPr="007476BD">
        <w:rPr>
          <w:rFonts w:cs="Arial"/>
        </w:rPr>
        <w:t xml:space="preserve"> on permissions in other foods, </w:t>
      </w:r>
      <w:r w:rsidR="00974BA3" w:rsidRPr="007476BD">
        <w:rPr>
          <w:rFonts w:cs="Arial"/>
        </w:rPr>
        <w:t>as the dietary exposure assessment that has been conducted made very</w:t>
      </w:r>
      <w:r w:rsidR="00B24B6C" w:rsidRPr="007476BD">
        <w:rPr>
          <w:rFonts w:cs="Arial"/>
        </w:rPr>
        <w:t xml:space="preserve"> conservative</w:t>
      </w:r>
      <w:r w:rsidR="00974BA3" w:rsidRPr="007476BD">
        <w:rPr>
          <w:rFonts w:cs="Arial"/>
        </w:rPr>
        <w:t xml:space="preserve"> assumptions about the foods that were likely</w:t>
      </w:r>
      <w:r w:rsidRPr="007476BD">
        <w:rPr>
          <w:rFonts w:cs="Arial"/>
        </w:rPr>
        <w:t xml:space="preserve"> to contain Advantame. In particular, dietary exposure assessment was modelled on the very conservative assumption that all of the foods that the Applicant proposed would </w:t>
      </w:r>
      <w:r w:rsidR="00974BA3" w:rsidRPr="007476BD">
        <w:rPr>
          <w:rFonts w:cs="Arial"/>
        </w:rPr>
        <w:t>contain Advantame at the maximum proposed level</w:t>
      </w:r>
      <w:r w:rsidR="00477B0F" w:rsidRPr="007476BD">
        <w:rPr>
          <w:rFonts w:cs="Arial"/>
        </w:rPr>
        <w:t xml:space="preserve">. </w:t>
      </w:r>
    </w:p>
    <w:p w:rsidR="00733C26" w:rsidRPr="007476BD" w:rsidRDefault="00733C26" w:rsidP="00932B05">
      <w:pPr>
        <w:rPr>
          <w:rFonts w:cs="Arial"/>
        </w:rPr>
      </w:pPr>
    </w:p>
    <w:p w:rsidR="00326325" w:rsidRPr="007476BD" w:rsidRDefault="00974BA3" w:rsidP="00932B05">
      <w:pPr>
        <w:rPr>
          <w:rFonts w:cs="Arial"/>
        </w:rPr>
      </w:pPr>
      <w:r w:rsidRPr="007476BD">
        <w:rPr>
          <w:rFonts w:cs="Arial"/>
        </w:rPr>
        <w:t>Despite these very broad assumptions, the assessment indicated that estimated exposures to Advantame would be very low (less than 3% of the ADI for all population groups assessed, at the 90</w:t>
      </w:r>
      <w:r w:rsidRPr="007476BD">
        <w:rPr>
          <w:rFonts w:cs="Arial"/>
          <w:vertAlign w:val="superscript"/>
        </w:rPr>
        <w:t>th</w:t>
      </w:r>
      <w:r w:rsidRPr="007476BD">
        <w:rPr>
          <w:rFonts w:cs="Arial"/>
        </w:rPr>
        <w:t xml:space="preserve"> percentile). Additionally, a simple calculation indicates that a 60 kg person would have to consume more than 300 mg Advan</w:t>
      </w:r>
      <w:r w:rsidR="00326325" w:rsidRPr="007476BD">
        <w:rPr>
          <w:rFonts w:cs="Arial"/>
        </w:rPr>
        <w:t xml:space="preserve">tame/day to exceed the ADI of </w:t>
      </w:r>
    </w:p>
    <w:p w:rsidR="00932B05" w:rsidRPr="007476BD" w:rsidRDefault="00974BA3" w:rsidP="00932B05">
      <w:pPr>
        <w:rPr>
          <w:rFonts w:cs="Arial"/>
        </w:rPr>
      </w:pPr>
      <w:r w:rsidRPr="007476BD">
        <w:rPr>
          <w:rFonts w:cs="Arial"/>
        </w:rPr>
        <w:t>5 mg/kg bw/day. As Advantame is 20,000 times sweeter than sucrose, then 300 mg Advantame is equivalent to a consumption of approximately 6 kg sugar</w:t>
      </w:r>
      <w:r w:rsidR="00477B0F" w:rsidRPr="007476BD">
        <w:rPr>
          <w:rFonts w:cs="Arial"/>
        </w:rPr>
        <w:t xml:space="preserve">. </w:t>
      </w:r>
      <w:r w:rsidRPr="007476BD">
        <w:rPr>
          <w:rFonts w:cs="Arial"/>
        </w:rPr>
        <w:t xml:space="preserve">Similarly, a 19 kg child would have to consume the equivalent of about 1.9 kg sugar on a daily basis to exceed the ADI. </w:t>
      </w:r>
    </w:p>
    <w:p w:rsidR="005662E0" w:rsidRPr="007476BD" w:rsidRDefault="005662E0" w:rsidP="008E1557"/>
    <w:p w:rsidR="00550644" w:rsidRPr="007476BD" w:rsidRDefault="00974BA3" w:rsidP="00550644">
      <w:pPr>
        <w:widowControl/>
      </w:pPr>
      <w:r w:rsidRPr="007476BD">
        <w:t xml:space="preserve">The third issue raised </w:t>
      </w:r>
      <w:r w:rsidR="00550644" w:rsidRPr="007476BD">
        <w:t xml:space="preserve">was </w:t>
      </w:r>
      <w:r w:rsidRPr="007476BD">
        <w:t xml:space="preserve">in relation to a need to have robust method of detection available for </w:t>
      </w:r>
      <w:r w:rsidR="00AA5932" w:rsidRPr="007476BD">
        <w:t xml:space="preserve">a broader range of </w:t>
      </w:r>
      <w:r w:rsidRPr="007476BD">
        <w:t xml:space="preserve">food matrices </w:t>
      </w:r>
      <w:r w:rsidR="00AA5932" w:rsidRPr="007476BD">
        <w:t>if approved as a Schedule 2 additive</w:t>
      </w:r>
      <w:r w:rsidR="00550644" w:rsidRPr="007476BD">
        <w:t xml:space="preserve">. </w:t>
      </w:r>
      <w:r w:rsidR="00550644" w:rsidRPr="007476BD">
        <w:rPr>
          <w:rFonts w:cs="Arial"/>
          <w:szCs w:val="22"/>
        </w:rPr>
        <w:t>FSANZ was satisfied that the analytical method supplied by the Applicant was suitable for the food types requested – which included powdered dairy products. At this stage</w:t>
      </w:r>
      <w:r w:rsidR="00D94F4B" w:rsidRPr="007476BD">
        <w:rPr>
          <w:rFonts w:cs="Arial"/>
          <w:szCs w:val="22"/>
        </w:rPr>
        <w:t>,</w:t>
      </w:r>
      <w:r w:rsidR="00550644" w:rsidRPr="007476BD">
        <w:rPr>
          <w:rFonts w:cs="Arial"/>
          <w:szCs w:val="22"/>
        </w:rPr>
        <w:t xml:space="preserve"> Advantame will be added only to table top sweeteners and powdered beverages; therefore, the current analytical method is sufficient for these uses. </w:t>
      </w:r>
    </w:p>
    <w:p w:rsidR="00550644" w:rsidRPr="007476BD" w:rsidRDefault="00550644" w:rsidP="00550644">
      <w:pPr>
        <w:rPr>
          <w:rFonts w:cs="Arial"/>
          <w:szCs w:val="22"/>
        </w:rPr>
      </w:pPr>
    </w:p>
    <w:p w:rsidR="00550644" w:rsidRPr="007476BD" w:rsidRDefault="00550644" w:rsidP="00550644">
      <w:pPr>
        <w:rPr>
          <w:rFonts w:cs="Arial"/>
          <w:szCs w:val="22"/>
        </w:rPr>
      </w:pPr>
      <w:r w:rsidRPr="007476BD">
        <w:rPr>
          <w:rFonts w:cs="Arial"/>
          <w:szCs w:val="22"/>
        </w:rPr>
        <w:t xml:space="preserve">FSANZ understands that it is usual that manufacturers in their quality control schemes ensure that a method of analysis is available for newly developed foods. This allows them to analyse the precise level needed to sweeten the proposed foods. It also serves to restrict costs to the manufacturers by only using the amounts needed in the foods. </w:t>
      </w:r>
    </w:p>
    <w:p w:rsidR="00550644" w:rsidRPr="007476BD" w:rsidRDefault="00550644" w:rsidP="00550644">
      <w:pPr>
        <w:rPr>
          <w:rFonts w:cs="Arial"/>
          <w:szCs w:val="22"/>
        </w:rPr>
      </w:pPr>
    </w:p>
    <w:p w:rsidR="00550644" w:rsidRPr="007476BD" w:rsidRDefault="00550644" w:rsidP="00550644">
      <w:pPr>
        <w:rPr>
          <w:rFonts w:cs="Arial"/>
          <w:szCs w:val="22"/>
        </w:rPr>
      </w:pPr>
      <w:r w:rsidRPr="007476BD">
        <w:rPr>
          <w:rFonts w:cs="Arial"/>
          <w:szCs w:val="22"/>
        </w:rPr>
        <w:t>While the requirement for analytical methods for applications has been longstanding, FSANZ has agreed at a recent meeting of the Implementation Sub-Committee</w:t>
      </w:r>
      <w:r w:rsidRPr="007476BD">
        <w:rPr>
          <w:rStyle w:val="FootnoteReference"/>
          <w:rFonts w:cs="Arial"/>
          <w:szCs w:val="22"/>
        </w:rPr>
        <w:footnoteReference w:id="8"/>
      </w:r>
      <w:r w:rsidRPr="007476BD">
        <w:rPr>
          <w:rFonts w:cs="Arial"/>
          <w:szCs w:val="22"/>
        </w:rPr>
        <w:t xml:space="preserve"> (ISC), to be more stringent on this requirement, ensuring that the methods of analysis section is adequately addressed in all new applications. </w:t>
      </w:r>
    </w:p>
    <w:p w:rsidR="00550644" w:rsidRPr="007476BD" w:rsidRDefault="00550644" w:rsidP="00550644">
      <w:pPr>
        <w:rPr>
          <w:rFonts w:cs="Arial"/>
          <w:szCs w:val="22"/>
        </w:rPr>
      </w:pPr>
    </w:p>
    <w:p w:rsidR="00550644" w:rsidRPr="007476BD" w:rsidRDefault="00550644" w:rsidP="00550644">
      <w:pPr>
        <w:rPr>
          <w:rFonts w:cs="Arial"/>
          <w:szCs w:val="22"/>
        </w:rPr>
      </w:pPr>
      <w:r w:rsidRPr="007476BD">
        <w:rPr>
          <w:rFonts w:cs="Arial"/>
          <w:szCs w:val="22"/>
        </w:rPr>
        <w:t>For applications that do not adequately address this requirement, FSANZ will either request additional information from the applicant to ensure this is addressed within the administrative assessment period of 15 working days, or reject the application</w:t>
      </w:r>
      <w:r w:rsidR="00477B0F" w:rsidRPr="007476BD">
        <w:rPr>
          <w:rFonts w:cs="Arial"/>
          <w:szCs w:val="22"/>
        </w:rPr>
        <w:t xml:space="preserve">. </w:t>
      </w:r>
      <w:r w:rsidRPr="007476BD">
        <w:rPr>
          <w:rFonts w:cs="Arial"/>
          <w:szCs w:val="22"/>
        </w:rPr>
        <w:t>This decision will be made on a case-by-case basis and remains at the discretion of FSANZ.</w:t>
      </w:r>
    </w:p>
    <w:p w:rsidR="00EC4E1C" w:rsidRPr="007476BD" w:rsidRDefault="00EC4E1C" w:rsidP="00550644">
      <w:pPr>
        <w:rPr>
          <w:rFonts w:cs="Arial"/>
          <w:szCs w:val="22"/>
        </w:rPr>
      </w:pPr>
      <w:r w:rsidRPr="007476BD">
        <w:rPr>
          <w:rFonts w:cs="Arial"/>
          <w:szCs w:val="22"/>
        </w:rPr>
        <w:br w:type="page"/>
      </w:r>
    </w:p>
    <w:p w:rsidR="00550644" w:rsidRPr="007476BD" w:rsidRDefault="00550644" w:rsidP="00550644">
      <w:pPr>
        <w:rPr>
          <w:rFonts w:cs="Arial"/>
          <w:szCs w:val="22"/>
        </w:rPr>
      </w:pPr>
      <w:r w:rsidRPr="007476BD">
        <w:rPr>
          <w:rFonts w:cs="Arial"/>
          <w:szCs w:val="22"/>
        </w:rPr>
        <w:lastRenderedPageBreak/>
        <w:t>However, it should be noted that the provision of an analytical method may not be required in all circumstances. For example, if a processing aid such as an enzyme is used in the production of a food but is not present or is denatured in the final product, or where processing aids and food additives are requested to be permitted according to GMP as is the case with Advantame, the provision of an analytical method is not necessary. In these cases, a short explanation or statement from the applicant regarding this is sufficient.</w:t>
      </w:r>
    </w:p>
    <w:p w:rsidR="00550644" w:rsidRPr="007476BD" w:rsidRDefault="00550644" w:rsidP="00550644">
      <w:pPr>
        <w:rPr>
          <w:rFonts w:cs="Arial"/>
          <w:szCs w:val="22"/>
        </w:rPr>
      </w:pPr>
    </w:p>
    <w:p w:rsidR="00550644" w:rsidRPr="007476BD" w:rsidRDefault="00550644" w:rsidP="00550644">
      <w:pPr>
        <w:rPr>
          <w:rFonts w:cs="Arial"/>
          <w:szCs w:val="22"/>
        </w:rPr>
      </w:pPr>
      <w:r w:rsidRPr="007476BD">
        <w:rPr>
          <w:rFonts w:cs="Arial"/>
          <w:szCs w:val="22"/>
        </w:rPr>
        <w:t>ISC is currently considering the establishment of an Expert Advisory Group (EAG) to provide expert advice on analytical methodology as required during the standards development process. It is envisaged that the EAG would work alongside the standards development process to provide expert advice on analytical methodology as required. This advice could then be incorporated into the assessment reports so it is clear to jurisdictions what methods are fit-for-purpose and are available for enforcement purposes. If needed, this may be an area where advice is sought from the EAG by FSANZ, when the ISC EAG is established.</w:t>
      </w:r>
    </w:p>
    <w:p w:rsidR="00550644" w:rsidRPr="007476BD" w:rsidRDefault="00550644" w:rsidP="00550644">
      <w:pPr>
        <w:pStyle w:val="Heading4"/>
        <w:ind w:left="0" w:firstLine="0"/>
      </w:pPr>
    </w:p>
    <w:p w:rsidR="002B6D6D" w:rsidRPr="007476BD" w:rsidRDefault="00E473CD" w:rsidP="00E473CD">
      <w:pPr>
        <w:pStyle w:val="Heading4"/>
      </w:pPr>
      <w:r w:rsidRPr="007476BD">
        <w:t>9.1.2</w:t>
      </w:r>
      <w:r w:rsidRPr="007476BD">
        <w:tab/>
      </w:r>
      <w:r w:rsidR="002B6D6D" w:rsidRPr="007476BD">
        <w:t xml:space="preserve">Risk to public health and safety from addition of Advantame to foods </w:t>
      </w:r>
    </w:p>
    <w:p w:rsidR="002B6D6D" w:rsidRPr="007476BD" w:rsidRDefault="002B6D6D" w:rsidP="00E473CD">
      <w:pPr>
        <w:pStyle w:val="Heading4"/>
      </w:pPr>
    </w:p>
    <w:p w:rsidR="002B6D6D" w:rsidRPr="007476BD" w:rsidRDefault="002B6D6D" w:rsidP="000B3D8B">
      <w:r w:rsidRPr="007476BD">
        <w:t>Submitters</w:t>
      </w:r>
      <w:r w:rsidR="000B3D8B" w:rsidRPr="007476BD">
        <w:t xml:space="preserve"> raised </w:t>
      </w:r>
      <w:r w:rsidRPr="007476BD">
        <w:t>a</w:t>
      </w:r>
      <w:r w:rsidR="000B3D8B" w:rsidRPr="007476BD">
        <w:t xml:space="preserve"> </w:t>
      </w:r>
      <w:r w:rsidRPr="007476BD">
        <w:t xml:space="preserve">number of issues in </w:t>
      </w:r>
      <w:r w:rsidR="000B3D8B" w:rsidRPr="007476BD">
        <w:t>relation</w:t>
      </w:r>
      <w:r w:rsidRPr="007476BD">
        <w:t xml:space="preserve"> to the safety of Advantame. These have been addressed below. </w:t>
      </w:r>
    </w:p>
    <w:p w:rsidR="002B6D6D" w:rsidRPr="007476BD" w:rsidRDefault="002B6D6D" w:rsidP="000B3D8B">
      <w:pPr>
        <w:rPr>
          <w:u w:val="single"/>
        </w:rPr>
      </w:pPr>
    </w:p>
    <w:p w:rsidR="00E473CD" w:rsidRPr="007476BD" w:rsidRDefault="00EC4E1C" w:rsidP="00EC4E1C">
      <w:pPr>
        <w:pStyle w:val="Heading5"/>
      </w:pPr>
      <w:r w:rsidRPr="007476BD">
        <w:t>9.1.2.1</w:t>
      </w:r>
      <w:r w:rsidRPr="007476BD">
        <w:tab/>
      </w:r>
      <w:r w:rsidR="00E473CD" w:rsidRPr="007476BD">
        <w:t>Establishing an acceptable daily intake (ADI) of 5 mg/kg bw/day</w:t>
      </w:r>
    </w:p>
    <w:p w:rsidR="00E473CD" w:rsidRPr="007476BD" w:rsidRDefault="00E473CD" w:rsidP="00CD0C3A">
      <w:pPr>
        <w:rPr>
          <w:szCs w:val="22"/>
          <w:highlight w:val="yellow"/>
        </w:rPr>
      </w:pPr>
    </w:p>
    <w:p w:rsidR="005B5488" w:rsidRPr="007476BD" w:rsidRDefault="00286874" w:rsidP="005B5488">
      <w:r w:rsidRPr="007476BD">
        <w:t>FSANZ has set an ADI of 5 mg/kg bw/day, by applying a 100-fold safety factor to the no observed adverse effect level (NOAEL) of 500 mg/kg bw/day in a rabbit developmental toxicity study</w:t>
      </w:r>
      <w:r w:rsidR="005B5488" w:rsidRPr="007476BD">
        <w:t xml:space="preserve"> (Fulcher et al 2003)</w:t>
      </w:r>
      <w:r w:rsidRPr="007476BD">
        <w:t xml:space="preserve">. The NOAEL was based on </w:t>
      </w:r>
      <w:r w:rsidR="00B82C8D" w:rsidRPr="007476BD">
        <w:t xml:space="preserve">observed </w:t>
      </w:r>
      <w:r w:rsidRPr="007476BD">
        <w:t>maternotoxicity at the next higher dose of 1000 mg/kg bw/day.</w:t>
      </w:r>
      <w:r w:rsidR="00C5653E" w:rsidRPr="007476BD">
        <w:t xml:space="preserve"> The Applicant does not </w:t>
      </w:r>
      <w:r w:rsidR="005B5488" w:rsidRPr="007476BD">
        <w:t>consider</w:t>
      </w:r>
      <w:r w:rsidR="00C5653E" w:rsidRPr="007476BD">
        <w:t xml:space="preserve"> that the ADI should be based on this study</w:t>
      </w:r>
      <w:r w:rsidR="005B5488" w:rsidRPr="007476BD">
        <w:t xml:space="preserve"> because it believes that the maternotoxicity was not due to a systemic effect of Advantame ‘but a result of inappetence and gastrointestinal tract distress associated with oral ingestion of large amounts of poorly absorbed material.’ </w:t>
      </w:r>
    </w:p>
    <w:p w:rsidR="005B5488" w:rsidRPr="007476BD" w:rsidRDefault="005B5488" w:rsidP="00E473CD"/>
    <w:p w:rsidR="00877611" w:rsidRPr="007476BD" w:rsidRDefault="00E473CD" w:rsidP="00877611">
      <w:pPr>
        <w:widowControl/>
      </w:pPr>
      <w:r w:rsidRPr="007476BD">
        <w:t>Since Advantame has limited absorption from the gastrointestinal tract (GIT) in rats, dogs and humans, coupled with the known sensitivity of rabbits to gastrointestinal disturbances, the hypothesis may seem plausible. In support of this hypothesis, the Applicant cited another rabbit developmental toxicity study in which marked gastrointestinal irritation occurred following gavage dosing with sucralose (another intense sweetener) at 700 mg/kg bw/day (Kille et al 2000</w:t>
      </w:r>
      <w:r w:rsidR="00477B0F" w:rsidRPr="007476BD">
        <w:t xml:space="preserve">). </w:t>
      </w:r>
      <w:r w:rsidRPr="007476BD">
        <w:t>In 2000, the European Commission’s Scientific Committee on Food (SCF)</w:t>
      </w:r>
      <w:r w:rsidRPr="007476BD">
        <w:rPr>
          <w:rStyle w:val="FootnoteReference"/>
        </w:rPr>
        <w:footnoteReference w:id="9"/>
      </w:r>
      <w:r w:rsidRPr="007476BD">
        <w:t xml:space="preserve"> considered that these gastrointestinal effects were not toxicologically relevant and therefore could not serve as the basis to set an ADI for sucralose. The rationale given by the SCF was the sensitivity of rabbits to GIT distress resulting from a poorly digestible substance exerting an osmotic effect in the GIT.</w:t>
      </w:r>
    </w:p>
    <w:p w:rsidR="00877611" w:rsidRPr="007476BD" w:rsidRDefault="00877611" w:rsidP="00877611">
      <w:pPr>
        <w:widowControl/>
      </w:pPr>
    </w:p>
    <w:p w:rsidR="00EC4E1C" w:rsidRPr="007476BD" w:rsidRDefault="00F84FAD" w:rsidP="00877611">
      <w:pPr>
        <w:widowControl/>
      </w:pPr>
      <w:r w:rsidRPr="007476BD">
        <w:t>T</w:t>
      </w:r>
      <w:r w:rsidR="00E473CD" w:rsidRPr="007476BD">
        <w:t xml:space="preserve">he Kille et al study cited by the Applicant to support their hypothesis regarding a possible osmotic effect for Advantame is not applicable because of key differences in physicochemical properties between sucralose and Advantame. In order for an ingested compound to be osmotically active in the GIT it needs to possess two important characteristics, i.e. it must be water soluble and undergo limited absorption. Whilst high water solubility is common to many ingested compounds it is rarely coupled with poor absorption from the GIT. Sucralose is very soluble in water and undergoes around 35% absorption from the GIT in pregnant rabbits, albeit very slowly over 5 days. </w:t>
      </w:r>
      <w:r w:rsidR="00410926" w:rsidRPr="007476BD">
        <w:t>U</w:t>
      </w:r>
      <w:r w:rsidR="00E473CD" w:rsidRPr="007476BD">
        <w:t>nlike Advantame, sucralose has been shown to cause peri-anal soiling, scouring and caecal enlargement in rats and rabbits</w:t>
      </w:r>
      <w:r w:rsidR="009968ED" w:rsidRPr="007476BD">
        <w:t>.</w:t>
      </w:r>
      <w:r w:rsidR="00E473CD" w:rsidRPr="007476BD">
        <w:t xml:space="preserve"> </w:t>
      </w:r>
      <w:r w:rsidR="00EC4E1C" w:rsidRPr="007476BD">
        <w:br w:type="page"/>
      </w:r>
    </w:p>
    <w:p w:rsidR="00E473CD" w:rsidRPr="007476BD" w:rsidRDefault="009968ED" w:rsidP="00877611">
      <w:pPr>
        <w:widowControl/>
      </w:pPr>
      <w:r w:rsidRPr="007476BD">
        <w:lastRenderedPageBreak/>
        <w:t>This</w:t>
      </w:r>
      <w:r w:rsidR="00E473CD" w:rsidRPr="007476BD">
        <w:t xml:space="preserve"> suggests that if sucralose is osmotically active then it needs to either undergo extensive enterohepatic re-circulation or be efficiently secreted into the GI tract (Kille et al 2000). John et al (2000) have suggested a third possibility for prolonged GIT exposure to sucralose in rabbits, namely their pronounced coprophagic</w:t>
      </w:r>
      <w:r w:rsidR="00130438" w:rsidRPr="007476BD">
        <w:rPr>
          <w:rStyle w:val="FootnoteReference"/>
        </w:rPr>
        <w:footnoteReference w:id="10"/>
      </w:r>
      <w:r w:rsidR="00E473CD" w:rsidRPr="007476BD">
        <w:t xml:space="preserve"> behaviour. While these three possibilities also exist for Advantame</w:t>
      </w:r>
      <w:r w:rsidR="00D94F4B" w:rsidRPr="007476BD">
        <w:t>,</w:t>
      </w:r>
      <w:r w:rsidR="00E473CD" w:rsidRPr="007476BD">
        <w:t xml:space="preserve"> there is no kinetic information available on the rate of Advantame excretion in the pregnant rabbit. </w:t>
      </w:r>
    </w:p>
    <w:p w:rsidR="00E473CD" w:rsidRPr="007476BD" w:rsidRDefault="00E473CD" w:rsidP="00E473CD"/>
    <w:p w:rsidR="000353EB" w:rsidRPr="007476BD" w:rsidRDefault="00E473CD" w:rsidP="000353EB">
      <w:r w:rsidRPr="007476BD">
        <w:t xml:space="preserve">In contrast to the high water solubility of sucralose (283 g/L at 20°C), Advantame has relatively poor water solubility (0.76 g/L at 15°C) and consequently is not particularly osmotically active. A physicochemically-related intense sweetener, </w:t>
      </w:r>
      <w:r w:rsidR="00C46CAE" w:rsidRPr="007476BD">
        <w:t>Neotame</w:t>
      </w:r>
      <w:r w:rsidR="009968ED" w:rsidRPr="007476BD">
        <w:t>,</w:t>
      </w:r>
      <w:r w:rsidRPr="007476BD">
        <w:t xml:space="preserve"> is more water soluble (12.5 g/L at 20°C) and, like Advantame, around 10% of an ingested amount is absorbed. </w:t>
      </w:r>
      <w:r w:rsidR="00C46CAE" w:rsidRPr="007476BD">
        <w:t>Neotame</w:t>
      </w:r>
      <w:r w:rsidRPr="007476BD">
        <w:t xml:space="preserve"> did not cause GIT disturbances in rabbits up to the highest tested dose (1000 mg/kg bw/day). </w:t>
      </w:r>
    </w:p>
    <w:p w:rsidR="000353EB" w:rsidRPr="007476BD" w:rsidRDefault="000353EB" w:rsidP="000353EB"/>
    <w:p w:rsidR="000353EB" w:rsidRPr="007476BD" w:rsidRDefault="000353EB" w:rsidP="000353EB">
      <w:r w:rsidRPr="007476BD">
        <w:t xml:space="preserve">FSANZ </w:t>
      </w:r>
      <w:r w:rsidR="00CA728D" w:rsidRPr="007476BD">
        <w:t xml:space="preserve">maintains </w:t>
      </w:r>
      <w:r w:rsidRPr="007476BD">
        <w:t xml:space="preserve">that the adverse, treatment-related findings observed in rabbits cannot be discounted without additional data to show that the findings are not toxicologically </w:t>
      </w:r>
      <w:r w:rsidR="00CA728D" w:rsidRPr="007476BD">
        <w:t>relevant</w:t>
      </w:r>
      <w:r w:rsidRPr="007476BD">
        <w:t>.</w:t>
      </w:r>
      <w:r w:rsidR="00CA728D" w:rsidRPr="007476BD">
        <w:t xml:space="preserve"> Hence t</w:t>
      </w:r>
      <w:r w:rsidRPr="007476BD">
        <w:t xml:space="preserve">he hypothesis proposed by the Applicant is not considered to be supported by the available data on Advantame. </w:t>
      </w:r>
    </w:p>
    <w:p w:rsidR="00E473CD" w:rsidRPr="007476BD" w:rsidRDefault="00E473CD" w:rsidP="00E473CD"/>
    <w:p w:rsidR="00E473CD" w:rsidRPr="007476BD" w:rsidRDefault="00E473CD" w:rsidP="00603FA8">
      <w:r w:rsidRPr="007476BD">
        <w:t xml:space="preserve">In </w:t>
      </w:r>
      <w:r w:rsidR="000353EB" w:rsidRPr="007476BD">
        <w:t>summary</w:t>
      </w:r>
      <w:r w:rsidRPr="007476BD">
        <w:t xml:space="preserve">, FSANZ does not agree that the adverse effects observed in rabbits dosed with Advantame can be </w:t>
      </w:r>
      <w:r w:rsidR="00CA728D" w:rsidRPr="007476BD">
        <w:t>discounted</w:t>
      </w:r>
      <w:r w:rsidR="00A60893" w:rsidRPr="007476BD">
        <w:t xml:space="preserve"> as:</w:t>
      </w:r>
    </w:p>
    <w:p w:rsidR="00603FA8" w:rsidRPr="007476BD" w:rsidRDefault="00603FA8" w:rsidP="00603FA8"/>
    <w:p w:rsidR="00E473CD" w:rsidRPr="007476BD" w:rsidRDefault="00EC4E1C" w:rsidP="00603FA8">
      <w:pPr>
        <w:pStyle w:val="FSBullet"/>
      </w:pPr>
      <w:r w:rsidRPr="007476BD">
        <w:t>t</w:t>
      </w:r>
      <w:r w:rsidR="00E473CD" w:rsidRPr="007476BD">
        <w:t>here</w:t>
      </w:r>
      <w:r w:rsidR="0004077E" w:rsidRPr="007476BD">
        <w:t xml:space="preserve"> is no adequate scientific</w:t>
      </w:r>
      <w:r w:rsidR="00E473CD" w:rsidRPr="007476BD">
        <w:t xml:space="preserve"> justification to </w:t>
      </w:r>
      <w:r w:rsidR="005416B7" w:rsidRPr="007476BD">
        <w:t>do so</w:t>
      </w:r>
    </w:p>
    <w:p w:rsidR="00E473CD" w:rsidRPr="007476BD" w:rsidRDefault="00EC4E1C" w:rsidP="00603FA8">
      <w:pPr>
        <w:pStyle w:val="FSBullet"/>
      </w:pPr>
      <w:r w:rsidRPr="007476BD">
        <w:t>d</w:t>
      </w:r>
      <w:r w:rsidR="005416B7" w:rsidRPr="007476BD">
        <w:t xml:space="preserve">iscoloured </w:t>
      </w:r>
      <w:r w:rsidR="00E473CD" w:rsidRPr="007476BD">
        <w:t>urine observed in rabbits suggests systemic exposure to a metabolite or metabolites either not present in rats and dogs, o</w:t>
      </w:r>
      <w:r w:rsidR="00271E3D" w:rsidRPr="007476BD">
        <w:t>r present at much lower levels</w:t>
      </w:r>
    </w:p>
    <w:p w:rsidR="00E473CD" w:rsidRPr="007476BD" w:rsidRDefault="00EC4E1C" w:rsidP="00603FA8">
      <w:pPr>
        <w:pStyle w:val="FSBullet"/>
      </w:pPr>
      <w:r w:rsidRPr="007476BD">
        <w:t>t</w:t>
      </w:r>
      <w:r w:rsidR="0004077E" w:rsidRPr="007476BD">
        <w:t>he</w:t>
      </w:r>
      <w:r w:rsidR="00E473CD" w:rsidRPr="007476BD">
        <w:t xml:space="preserve"> maternotoxicity observed in rabbits cannot be attributed to a localised irritant effect on the GIT without any histopathological confirmation of irritation</w:t>
      </w:r>
      <w:r w:rsidR="00271E3D" w:rsidRPr="007476BD">
        <w:t>.</w:t>
      </w:r>
    </w:p>
    <w:p w:rsidR="00CB5CF6" w:rsidRPr="007476BD" w:rsidRDefault="00CB5CF6" w:rsidP="00CB5CF6">
      <w:pPr>
        <w:pStyle w:val="FSBullet"/>
        <w:numPr>
          <w:ilvl w:val="0"/>
          <w:numId w:val="0"/>
        </w:numPr>
        <w:ind w:left="567" w:hanging="567"/>
      </w:pPr>
    </w:p>
    <w:p w:rsidR="00CB5CF6" w:rsidRPr="007476BD" w:rsidRDefault="00A62034" w:rsidP="00CB5CF6">
      <w:r w:rsidRPr="007476BD">
        <w:t xml:space="preserve">GE Free </w:t>
      </w:r>
      <w:r w:rsidR="00E761EE" w:rsidRPr="007476BD">
        <w:t>N</w:t>
      </w:r>
      <w:r w:rsidRPr="007476BD">
        <w:t xml:space="preserve">ew </w:t>
      </w:r>
      <w:r w:rsidR="00DB141A" w:rsidRPr="007476BD">
        <w:t>Zealand also</w:t>
      </w:r>
      <w:r w:rsidR="00CB5CF6" w:rsidRPr="007476BD">
        <w:t xml:space="preserve"> suggested that the submission from the New Zealand Food Safety Authority (NZFSA) was ignored by FSANZ. However, </w:t>
      </w:r>
      <w:r w:rsidR="00CB5CF6" w:rsidRPr="007476BD">
        <w:rPr>
          <w:rFonts w:cs="Arial"/>
          <w:szCs w:val="22"/>
        </w:rPr>
        <w:t>the submission received from the NZFSA noted that the approach taken by FSANZ in using the adverse findings in rabbits as the basis of the ADI was conservative. The Applicant was given the opportunity to provide additional data to show that the rabbit findings were not relevant to humans, such as evidence that the metabolism in rabbits is different to humans. However, no such data has been provided to FSANZ. As discussed in the 2</w:t>
      </w:r>
      <w:r w:rsidR="00CB5CF6" w:rsidRPr="007476BD">
        <w:rPr>
          <w:rFonts w:cs="Arial"/>
          <w:szCs w:val="22"/>
          <w:vertAlign w:val="superscript"/>
        </w:rPr>
        <w:t>nd</w:t>
      </w:r>
      <w:r w:rsidR="00CB5CF6" w:rsidRPr="007476BD">
        <w:rPr>
          <w:rFonts w:cs="Arial"/>
          <w:szCs w:val="22"/>
        </w:rPr>
        <w:t xml:space="preserve"> Assessment Report prepared in relation to this Application, FSANZ maintains that the adverse, treatment-related findings observed in rabbits cannot be discounted without additional data to show that the findings are not toxicologically relevant to humans. The adverse effects observed in rabbits are currently the most appropriate basis to establish an ADI for Advantame.</w:t>
      </w:r>
    </w:p>
    <w:p w:rsidR="00A4057E" w:rsidRPr="007476BD" w:rsidRDefault="00A4057E" w:rsidP="000353EB">
      <w:pPr>
        <w:rPr>
          <w:szCs w:val="22"/>
        </w:rPr>
      </w:pPr>
    </w:p>
    <w:p w:rsidR="00A4057E" w:rsidRPr="007476BD" w:rsidRDefault="00EC4E1C" w:rsidP="00EC4E1C">
      <w:pPr>
        <w:pStyle w:val="Heading5"/>
      </w:pPr>
      <w:r w:rsidRPr="007476BD">
        <w:t>9.1.2.2</w:t>
      </w:r>
      <w:r w:rsidRPr="007476BD">
        <w:tab/>
      </w:r>
      <w:r w:rsidR="00CB720C" w:rsidRPr="007476BD">
        <w:t xml:space="preserve">Clarification on specific </w:t>
      </w:r>
      <w:r w:rsidR="00FA7FE4" w:rsidRPr="007476BD">
        <w:t xml:space="preserve">technical </w:t>
      </w:r>
      <w:r w:rsidR="00CB720C" w:rsidRPr="007476BD">
        <w:t>aspects of the toxicological data</w:t>
      </w:r>
    </w:p>
    <w:p w:rsidR="00C9260F" w:rsidRPr="007476BD" w:rsidRDefault="00C9260F" w:rsidP="00C9260F">
      <w:pPr>
        <w:rPr>
          <w:szCs w:val="22"/>
        </w:rPr>
      </w:pPr>
    </w:p>
    <w:p w:rsidR="00B16F30" w:rsidRPr="007476BD" w:rsidRDefault="00FC2005" w:rsidP="00603FA8">
      <w:r w:rsidRPr="007476BD">
        <w:t xml:space="preserve">A submitter raised an issue that Advantame and Neotame were </w:t>
      </w:r>
      <w:r w:rsidR="00603FA8" w:rsidRPr="007476BD">
        <w:t>chemically similar and metabolis</w:t>
      </w:r>
      <w:r w:rsidRPr="007476BD">
        <w:t>ed similarly</w:t>
      </w:r>
      <w:r w:rsidR="00603FA8" w:rsidRPr="007476BD">
        <w:t>,</w:t>
      </w:r>
      <w:r w:rsidRPr="007476BD">
        <w:t xml:space="preserve"> but that there were differences in their effects e.g. on serum lactate dehydrogenase (LDH)</w:t>
      </w:r>
      <w:r w:rsidR="00BE0009" w:rsidRPr="007476BD">
        <w:t xml:space="preserve">. </w:t>
      </w:r>
      <w:r w:rsidR="00B16F30" w:rsidRPr="007476BD">
        <w:t>FSANZ discussed thes</w:t>
      </w:r>
      <w:r w:rsidRPr="007476BD">
        <w:t xml:space="preserve">e issues with the submitter </w:t>
      </w:r>
      <w:r w:rsidR="005A2383" w:rsidRPr="007476BD">
        <w:t xml:space="preserve">and they were satisfied with FSANZ’s response. </w:t>
      </w:r>
      <w:r w:rsidR="00E50374" w:rsidRPr="007476BD">
        <w:rPr>
          <w:szCs w:val="22"/>
        </w:rPr>
        <w:t>T</w:t>
      </w:r>
      <w:r w:rsidR="00B16F30" w:rsidRPr="007476BD">
        <w:t xml:space="preserve">he issues raised </w:t>
      </w:r>
      <w:r w:rsidR="00C72B31" w:rsidRPr="007476BD">
        <w:t xml:space="preserve">by the submitter </w:t>
      </w:r>
      <w:r w:rsidR="00B16F30" w:rsidRPr="007476BD">
        <w:t>at 1</w:t>
      </w:r>
      <w:r w:rsidR="009D50A7" w:rsidRPr="007476BD">
        <w:rPr>
          <w:vertAlign w:val="superscript"/>
        </w:rPr>
        <w:t>st</w:t>
      </w:r>
      <w:r w:rsidR="00E50374" w:rsidRPr="007476BD">
        <w:t xml:space="preserve"> Assessment are addressed below. </w:t>
      </w:r>
    </w:p>
    <w:p w:rsidR="001A7EB2" w:rsidRPr="007476BD" w:rsidRDefault="001A7EB2" w:rsidP="00603FA8"/>
    <w:p w:rsidR="00550644" w:rsidRPr="007476BD" w:rsidRDefault="00550644" w:rsidP="00550644">
      <w:pPr>
        <w:rPr>
          <w:b/>
          <w:bCs/>
          <w:i/>
          <w:iCs/>
        </w:rPr>
      </w:pPr>
      <w:r w:rsidRPr="007476BD">
        <w:rPr>
          <w:b/>
          <w:bCs/>
          <w:i/>
          <w:iCs/>
        </w:rPr>
        <w:t>Issue 1</w:t>
      </w:r>
    </w:p>
    <w:p w:rsidR="00550644" w:rsidRPr="007476BD" w:rsidRDefault="00550644" w:rsidP="00550644">
      <w:pPr>
        <w:rPr>
          <w:b/>
          <w:bCs/>
          <w:iCs/>
        </w:rPr>
      </w:pPr>
    </w:p>
    <w:p w:rsidR="00E473CD" w:rsidRPr="007476BD" w:rsidRDefault="00E473CD" w:rsidP="00550644">
      <w:pPr>
        <w:rPr>
          <w:i/>
        </w:rPr>
      </w:pPr>
      <w:r w:rsidRPr="007476BD">
        <w:rPr>
          <w:i/>
        </w:rPr>
        <w:t>FSANZ had identified some problems with the pharmacokinetic studies</w:t>
      </w:r>
      <w:r w:rsidR="00603FA8" w:rsidRPr="007476BD">
        <w:rPr>
          <w:i/>
        </w:rPr>
        <w:t>,</w:t>
      </w:r>
      <w:r w:rsidRPr="007476BD">
        <w:rPr>
          <w:i/>
        </w:rPr>
        <w:t xml:space="preserve"> but had addressed these independently without seeking c</w:t>
      </w:r>
      <w:r w:rsidR="00062715" w:rsidRPr="007476BD">
        <w:rPr>
          <w:i/>
        </w:rPr>
        <w:t>larification from the Applica</w:t>
      </w:r>
      <w:r w:rsidRPr="007476BD">
        <w:rPr>
          <w:i/>
        </w:rPr>
        <w:t>n</w:t>
      </w:r>
      <w:r w:rsidR="00062715" w:rsidRPr="007476BD">
        <w:rPr>
          <w:i/>
        </w:rPr>
        <w:t>t</w:t>
      </w:r>
      <w:r w:rsidRPr="007476BD">
        <w:rPr>
          <w:i/>
        </w:rPr>
        <w:t>.</w:t>
      </w:r>
    </w:p>
    <w:p w:rsidR="00EC4E1C" w:rsidRPr="007476BD" w:rsidRDefault="00EC4E1C" w:rsidP="00E473CD">
      <w:pPr>
        <w:pStyle w:val="ListParagraph"/>
        <w:ind w:left="0"/>
      </w:pPr>
      <w:r w:rsidRPr="007476BD">
        <w:br w:type="page"/>
      </w:r>
    </w:p>
    <w:p w:rsidR="00877611" w:rsidRPr="007476BD" w:rsidRDefault="00E473CD" w:rsidP="00877611">
      <w:pPr>
        <w:widowControl/>
      </w:pPr>
      <w:r w:rsidRPr="007476BD">
        <w:lastRenderedPageBreak/>
        <w:t xml:space="preserve">FSANZ did not consider it necessary to clarify any aspects of the pharmacokinetic studies because the Applicant had clearly identified the limitations to the method of analysis of Advantame in plasma and excreta during the product development process, and as a result developed a ‘new’ method to address these limitations. </w:t>
      </w:r>
    </w:p>
    <w:p w:rsidR="00877611" w:rsidRPr="007476BD" w:rsidRDefault="00877611" w:rsidP="00877611">
      <w:pPr>
        <w:widowControl/>
      </w:pPr>
    </w:p>
    <w:p w:rsidR="006B3AAC" w:rsidRPr="007476BD" w:rsidRDefault="00E473CD" w:rsidP="00877611">
      <w:pPr>
        <w:widowControl/>
      </w:pPr>
      <w:r w:rsidRPr="007476BD">
        <w:t>The ‘old’ method had the potential to overestimate the concentration of Advantame by a maximum of 5%, with a corresponding underestimation of the concentration of Advantame-acid. The Application therefore included data generated using both the ‘old’ and the ‘new’ analytical methods, which are identified in the Risk and Technical Assessment Report (SD1). Collectively, the data provided by the Applicant were considered adequate to characterise the a</w:t>
      </w:r>
      <w:r w:rsidR="00410926" w:rsidRPr="007476BD">
        <w:t>b</w:t>
      </w:r>
      <w:r w:rsidRPr="007476BD">
        <w:t xml:space="preserve">sorption, distribution, metabolism and elimination of Advantame in rats and dogs. </w:t>
      </w:r>
    </w:p>
    <w:p w:rsidR="00E473CD" w:rsidRPr="007476BD" w:rsidRDefault="00E473CD" w:rsidP="00E473CD">
      <w:pPr>
        <w:pStyle w:val="ListParagraph"/>
        <w:ind w:left="0"/>
      </w:pPr>
    </w:p>
    <w:p w:rsidR="00550644" w:rsidRPr="007476BD" w:rsidRDefault="00550644" w:rsidP="00550644">
      <w:pPr>
        <w:rPr>
          <w:b/>
          <w:i/>
        </w:rPr>
      </w:pPr>
      <w:r w:rsidRPr="007476BD">
        <w:rPr>
          <w:b/>
          <w:i/>
        </w:rPr>
        <w:t>Issue 2</w:t>
      </w:r>
    </w:p>
    <w:p w:rsidR="00550644" w:rsidRPr="007476BD" w:rsidRDefault="00550644" w:rsidP="00550644">
      <w:pPr>
        <w:rPr>
          <w:b/>
        </w:rPr>
      </w:pPr>
    </w:p>
    <w:p w:rsidR="00E473CD" w:rsidRPr="007476BD" w:rsidRDefault="00603FA8" w:rsidP="00550644">
      <w:pPr>
        <w:rPr>
          <w:i/>
        </w:rPr>
      </w:pPr>
      <w:r w:rsidRPr="007476BD">
        <w:rPr>
          <w:i/>
        </w:rPr>
        <w:t>T</w:t>
      </w:r>
      <w:r w:rsidR="00E473CD" w:rsidRPr="007476BD">
        <w:rPr>
          <w:i/>
        </w:rPr>
        <w:t>he Application relie</w:t>
      </w:r>
      <w:r w:rsidR="001D4E36" w:rsidRPr="007476BD">
        <w:rPr>
          <w:i/>
        </w:rPr>
        <w:t>d</w:t>
      </w:r>
      <w:r w:rsidR="00E473CD" w:rsidRPr="007476BD">
        <w:rPr>
          <w:i/>
        </w:rPr>
        <w:t xml:space="preserve"> upon comparisons between Advantame and </w:t>
      </w:r>
      <w:r w:rsidR="00C46CAE" w:rsidRPr="007476BD">
        <w:rPr>
          <w:i/>
        </w:rPr>
        <w:t>Neotame</w:t>
      </w:r>
      <w:r w:rsidR="00E473CD" w:rsidRPr="007476BD">
        <w:rPr>
          <w:i/>
        </w:rPr>
        <w:t xml:space="preserve">, without any comparative data being provided. It was suggested that details on the relative propensity to metabolise Advantame to methanol and phenylalanine would be useful. </w:t>
      </w:r>
    </w:p>
    <w:p w:rsidR="00E473CD" w:rsidRPr="007476BD" w:rsidRDefault="00E473CD" w:rsidP="00E473CD">
      <w:pPr>
        <w:pStyle w:val="ListParagraph"/>
        <w:ind w:left="0"/>
        <w:rPr>
          <w:i/>
        </w:rPr>
      </w:pPr>
    </w:p>
    <w:p w:rsidR="00A1330E" w:rsidRPr="007476BD" w:rsidRDefault="00E473CD" w:rsidP="00E473CD">
      <w:pPr>
        <w:pStyle w:val="ListParagraph"/>
        <w:ind w:left="0"/>
      </w:pPr>
      <w:r w:rsidRPr="007476BD">
        <w:t>A comprehensive toxicological database on Advantame was submitted by the Applicant and independently assess</w:t>
      </w:r>
      <w:r w:rsidR="00410926" w:rsidRPr="007476BD">
        <w:t>ed</w:t>
      </w:r>
      <w:r w:rsidRPr="007476BD">
        <w:t xml:space="preserve"> by FSANZ. The Hazard Assessment (see Section 3 of SD1) was based on this Advantame-specific data and does not rely on data on other intense sweeteners, including </w:t>
      </w:r>
      <w:r w:rsidR="00C46CAE" w:rsidRPr="007476BD">
        <w:t>Neotame</w:t>
      </w:r>
      <w:r w:rsidRPr="007476BD">
        <w:t xml:space="preserve">. Some general comparisons were made with </w:t>
      </w:r>
      <w:r w:rsidR="00C46CAE" w:rsidRPr="007476BD">
        <w:t>Neotame</w:t>
      </w:r>
      <w:r w:rsidRPr="007476BD">
        <w:t xml:space="preserve"> and </w:t>
      </w:r>
      <w:r w:rsidR="00A848BB" w:rsidRPr="007476BD">
        <w:t>aspartame</w:t>
      </w:r>
      <w:r w:rsidRPr="007476BD">
        <w:t xml:space="preserve"> in the discussion (see Section 3.3 of SD1) because Advantame is a derivative of </w:t>
      </w:r>
      <w:r w:rsidR="00A848BB" w:rsidRPr="007476BD">
        <w:t>aspartame</w:t>
      </w:r>
      <w:r w:rsidRPr="007476BD">
        <w:t xml:space="preserve">, and is chemically and metabolically similar to </w:t>
      </w:r>
      <w:r w:rsidR="00C46CAE" w:rsidRPr="007476BD">
        <w:t>Neotame</w:t>
      </w:r>
      <w:r w:rsidRPr="007476BD">
        <w:t xml:space="preserve">. </w:t>
      </w:r>
      <w:r w:rsidR="00A1330E" w:rsidRPr="007476BD">
        <w:t>FSANZ d</w:t>
      </w:r>
      <w:r w:rsidR="00A25AA4" w:rsidRPr="007476BD">
        <w:t>id</w:t>
      </w:r>
      <w:r w:rsidR="00A1330E" w:rsidRPr="007476BD">
        <w:t xml:space="preserve"> not consider it necessary to obtain any further details on the metabolism of Advantame to methanol and phenylalanine</w:t>
      </w:r>
      <w:r w:rsidR="00A25AA4" w:rsidRPr="007476BD">
        <w:t xml:space="preserve"> because: (1) these compounds are naturally-occurring food compounds; (2) oral dosing studies in laboratory animals and humans (in which these compounds would have been formed) found no evidence of toxicity; and (3) such details would not inform the risk assessment.</w:t>
      </w:r>
    </w:p>
    <w:p w:rsidR="00E473CD" w:rsidRPr="007476BD" w:rsidRDefault="00E473CD" w:rsidP="00E473CD"/>
    <w:p w:rsidR="00550644" w:rsidRPr="007476BD" w:rsidRDefault="00550644" w:rsidP="00B15330">
      <w:pPr>
        <w:widowControl/>
        <w:rPr>
          <w:b/>
          <w:i/>
        </w:rPr>
      </w:pPr>
      <w:r w:rsidRPr="007476BD">
        <w:rPr>
          <w:b/>
          <w:i/>
        </w:rPr>
        <w:t>Issue 3</w:t>
      </w:r>
    </w:p>
    <w:p w:rsidR="00550644" w:rsidRPr="007476BD" w:rsidRDefault="00550644" w:rsidP="00550644">
      <w:pPr>
        <w:rPr>
          <w:b/>
        </w:rPr>
      </w:pPr>
    </w:p>
    <w:p w:rsidR="00E473CD" w:rsidRPr="007476BD" w:rsidRDefault="00603FA8" w:rsidP="00550644">
      <w:pPr>
        <w:rPr>
          <w:i/>
        </w:rPr>
      </w:pPr>
      <w:r w:rsidRPr="007476BD">
        <w:rPr>
          <w:i/>
        </w:rPr>
        <w:t>T</w:t>
      </w:r>
      <w:r w:rsidR="00E473CD" w:rsidRPr="007476BD">
        <w:rPr>
          <w:i/>
        </w:rPr>
        <w:t xml:space="preserve">he ADI for </w:t>
      </w:r>
      <w:r w:rsidR="00C46CAE" w:rsidRPr="007476BD">
        <w:rPr>
          <w:i/>
        </w:rPr>
        <w:t>Neotame</w:t>
      </w:r>
      <w:r w:rsidR="00E473CD" w:rsidRPr="007476BD">
        <w:rPr>
          <w:i/>
        </w:rPr>
        <w:t xml:space="preserve"> is based on impacts on LDH </w:t>
      </w:r>
      <w:r w:rsidR="00865E36" w:rsidRPr="007476BD">
        <w:rPr>
          <w:i/>
        </w:rPr>
        <w:t>(</w:t>
      </w:r>
      <w:r w:rsidR="00865E36" w:rsidRPr="007476BD">
        <w:t xml:space="preserve">lactate </w:t>
      </w:r>
      <w:r w:rsidR="00931D08" w:rsidRPr="007476BD">
        <w:t>dehydrogenase)</w:t>
      </w:r>
      <w:r w:rsidR="00865E36" w:rsidRPr="007476BD">
        <w:t xml:space="preserve"> </w:t>
      </w:r>
      <w:r w:rsidR="00E473CD" w:rsidRPr="007476BD">
        <w:rPr>
          <w:i/>
        </w:rPr>
        <w:t>and it seems that there is no evidence that Advantame caused a similar impact, but SD1 includes no LDH results.</w:t>
      </w:r>
    </w:p>
    <w:p w:rsidR="00E473CD" w:rsidRPr="007476BD" w:rsidRDefault="00E473CD" w:rsidP="00E473CD">
      <w:pPr>
        <w:pStyle w:val="ListParagraph"/>
        <w:ind w:left="0"/>
      </w:pPr>
    </w:p>
    <w:p w:rsidR="00B96CB3" w:rsidRPr="007476BD" w:rsidRDefault="00E473CD" w:rsidP="00B96CB3">
      <w:pPr>
        <w:pStyle w:val="ListParagraph"/>
        <w:ind w:left="0"/>
      </w:pPr>
      <w:r w:rsidRPr="007476BD">
        <w:t xml:space="preserve">Advantame did not increase serum lactate dehydrogenase (LDH) in rats, dogs or humans as previously observed for </w:t>
      </w:r>
      <w:r w:rsidR="00C46CAE" w:rsidRPr="007476BD">
        <w:t>Neotame</w:t>
      </w:r>
      <w:r w:rsidRPr="007476BD">
        <w:t xml:space="preserve"> in dogs. In all repeat-dose toxicity studies on Advantame in rats, dogs and humans, LDH was analysed as a standard toxicological endpoint consistent with international test guidelines (see Appendix 1 of SD1). Where a toxicological endpoint shows no change relative to the control group or pre-treatment baseline value, it would not</w:t>
      </w:r>
      <w:r w:rsidR="00B96CB3" w:rsidRPr="007476BD">
        <w:t xml:space="preserve"> </w:t>
      </w:r>
      <w:r w:rsidRPr="007476BD">
        <w:t xml:space="preserve">normally be specifically reported; that is, results are reported by exception. The general statement </w:t>
      </w:r>
      <w:r w:rsidR="00980EA0" w:rsidRPr="007476BD">
        <w:t>‘</w:t>
      </w:r>
      <w:r w:rsidRPr="007476BD">
        <w:t>there was no treatment-related effect on any clinical chemistry parameter</w:t>
      </w:r>
      <w:r w:rsidR="00980EA0" w:rsidRPr="007476BD">
        <w:t>’</w:t>
      </w:r>
      <w:r w:rsidRPr="007476BD">
        <w:t xml:space="preserve"> used throughout the Hazard Assessment Report (Section 3 of SD1) is intended to cover the absence of any perturbation of LDH or any other standard clinical chemistry endpoint.</w:t>
      </w:r>
    </w:p>
    <w:p w:rsidR="00993923" w:rsidRPr="007476BD" w:rsidRDefault="00993923" w:rsidP="00636E17">
      <w:pPr>
        <w:rPr>
          <w:rFonts w:cs="Arial"/>
          <w:szCs w:val="22"/>
        </w:rPr>
      </w:pPr>
    </w:p>
    <w:p w:rsidR="00457BA9" w:rsidRPr="007476BD" w:rsidRDefault="00EC4E1C" w:rsidP="00EC4E1C">
      <w:pPr>
        <w:pStyle w:val="Heading5"/>
      </w:pPr>
      <w:r w:rsidRPr="007476BD">
        <w:t>9.1.2.3</w:t>
      </w:r>
      <w:r w:rsidRPr="007476BD">
        <w:tab/>
      </w:r>
      <w:r w:rsidR="00457BA9" w:rsidRPr="007476BD">
        <w:t xml:space="preserve">Implications for public health and safety associated with the proposed addition of Advantame to food. </w:t>
      </w:r>
    </w:p>
    <w:p w:rsidR="002B6D6D" w:rsidRPr="007476BD" w:rsidRDefault="002B6D6D" w:rsidP="002B6D6D">
      <w:pPr>
        <w:rPr>
          <w:b/>
        </w:rPr>
      </w:pPr>
    </w:p>
    <w:p w:rsidR="002B6D6D" w:rsidRPr="007476BD" w:rsidRDefault="00457BA9" w:rsidP="00457BA9">
      <w:pPr>
        <w:rPr>
          <w:lang w:eastAsia="en-GB" w:bidi="ar-SA"/>
        </w:rPr>
      </w:pPr>
      <w:r w:rsidRPr="007476BD">
        <w:t xml:space="preserve">One submitter claimed that there are </w:t>
      </w:r>
      <w:r w:rsidRPr="007476BD">
        <w:rPr>
          <w:lang w:eastAsia="en-GB" w:bidi="ar-SA"/>
        </w:rPr>
        <w:t xml:space="preserve">serious implications for public health and safety issues associated with the proposed addition of Advantame to food. The submitter raised a number of issues which have been addressed below. </w:t>
      </w:r>
    </w:p>
    <w:p w:rsidR="00457BA9" w:rsidRPr="007476BD" w:rsidRDefault="00457BA9" w:rsidP="00457BA9">
      <w:pPr>
        <w:rPr>
          <w:lang w:eastAsia="en-GB" w:bidi="ar-SA"/>
        </w:rPr>
      </w:pPr>
    </w:p>
    <w:p w:rsidR="00EC4E1C" w:rsidRPr="007476BD" w:rsidRDefault="00EC4E1C" w:rsidP="00457BA9">
      <w:pPr>
        <w:rPr>
          <w:b/>
          <w:lang w:eastAsia="en-GB" w:bidi="ar-SA"/>
        </w:rPr>
      </w:pPr>
      <w:r w:rsidRPr="007476BD">
        <w:rPr>
          <w:b/>
          <w:lang w:eastAsia="en-GB" w:bidi="ar-SA"/>
        </w:rPr>
        <w:br w:type="page"/>
      </w:r>
    </w:p>
    <w:p w:rsidR="00457BA9" w:rsidRPr="007476BD" w:rsidRDefault="00457BA9" w:rsidP="00457BA9">
      <w:pPr>
        <w:rPr>
          <w:b/>
          <w:i/>
          <w:lang w:eastAsia="en-GB" w:bidi="ar-SA"/>
        </w:rPr>
      </w:pPr>
      <w:r w:rsidRPr="007476BD">
        <w:rPr>
          <w:b/>
          <w:i/>
          <w:lang w:eastAsia="en-GB" w:bidi="ar-SA"/>
        </w:rPr>
        <w:lastRenderedPageBreak/>
        <w:t xml:space="preserve">Issue </w:t>
      </w:r>
      <w:r w:rsidR="00AC7DD3" w:rsidRPr="007476BD">
        <w:rPr>
          <w:b/>
          <w:i/>
          <w:lang w:eastAsia="en-GB" w:bidi="ar-SA"/>
        </w:rPr>
        <w:t>4</w:t>
      </w:r>
    </w:p>
    <w:p w:rsidR="002B6D6D" w:rsidRPr="007476BD" w:rsidRDefault="002B6D6D" w:rsidP="002B6D6D">
      <w:pPr>
        <w:rPr>
          <w:b/>
        </w:rPr>
      </w:pPr>
    </w:p>
    <w:p w:rsidR="002B6D6D" w:rsidRPr="007476BD" w:rsidRDefault="002B6D6D" w:rsidP="002B6D6D">
      <w:pPr>
        <w:rPr>
          <w:i/>
        </w:rPr>
      </w:pPr>
      <w:r w:rsidRPr="007476BD">
        <w:rPr>
          <w:i/>
        </w:rPr>
        <w:t xml:space="preserve">FSANZ has relied on unpublished industry data </w:t>
      </w:r>
    </w:p>
    <w:p w:rsidR="002B6D6D" w:rsidRPr="007476BD" w:rsidRDefault="002B6D6D" w:rsidP="002B6D6D">
      <w:pPr>
        <w:rPr>
          <w:rFonts w:cs="Arial"/>
          <w:b/>
          <w:sz w:val="20"/>
          <w:szCs w:val="20"/>
        </w:rPr>
      </w:pPr>
    </w:p>
    <w:p w:rsidR="00A62034" w:rsidRPr="007476BD" w:rsidRDefault="002B6D6D" w:rsidP="00A62034">
      <w:pPr>
        <w:rPr>
          <w:szCs w:val="20"/>
          <w:lang w:bidi="ar-SA"/>
        </w:rPr>
      </w:pPr>
      <w:r w:rsidRPr="007476BD">
        <w:rPr>
          <w:rFonts w:cs="Arial"/>
          <w:szCs w:val="22"/>
        </w:rPr>
        <w:t>Concern was expressed that FSANZ’s assessment of Advantame is based on unpublished industry data.</w:t>
      </w:r>
      <w:r w:rsidR="000532B3" w:rsidRPr="007476BD">
        <w:rPr>
          <w:rFonts w:cs="Arial"/>
          <w:szCs w:val="22"/>
        </w:rPr>
        <w:t xml:space="preserve"> </w:t>
      </w:r>
      <w:r w:rsidR="00641F7B" w:rsidRPr="007476BD">
        <w:rPr>
          <w:rFonts w:cs="Arial"/>
          <w:szCs w:val="22"/>
        </w:rPr>
        <w:t xml:space="preserve">However, the studies assessed for this Application were </w:t>
      </w:r>
      <w:r w:rsidR="00865E36" w:rsidRPr="007476BD">
        <w:rPr>
          <w:rFonts w:cs="Arial"/>
          <w:szCs w:val="22"/>
        </w:rPr>
        <w:t xml:space="preserve">conducted </w:t>
      </w:r>
      <w:r w:rsidR="00641F7B" w:rsidRPr="007476BD">
        <w:rPr>
          <w:rFonts w:cs="Arial"/>
          <w:szCs w:val="22"/>
        </w:rPr>
        <w:t xml:space="preserve">according to Good Laboratory Practice (GLP) and international guidelines for toxicological </w:t>
      </w:r>
      <w:r w:rsidR="00A62034" w:rsidRPr="007476BD">
        <w:rPr>
          <w:rFonts w:cs="Arial"/>
          <w:szCs w:val="22"/>
        </w:rPr>
        <w:t xml:space="preserve">testing. The studies were also </w:t>
      </w:r>
      <w:r w:rsidR="00A62034" w:rsidRPr="007476BD">
        <w:t xml:space="preserve">peered reviewed by </w:t>
      </w:r>
      <w:r w:rsidR="00A62034" w:rsidRPr="007476BD">
        <w:rPr>
          <w:szCs w:val="20"/>
          <w:lang w:bidi="ar-SA"/>
        </w:rPr>
        <w:t xml:space="preserve">an independent expert in toxicology who concurred with FSANZ’s interpretation of the data and conclusions on the safety of Advantame. </w:t>
      </w:r>
    </w:p>
    <w:p w:rsidR="00457BA9" w:rsidRPr="007476BD" w:rsidRDefault="00457BA9" w:rsidP="002B6D6D">
      <w:pPr>
        <w:rPr>
          <w:rFonts w:cs="Arial"/>
          <w:szCs w:val="22"/>
        </w:rPr>
      </w:pPr>
    </w:p>
    <w:p w:rsidR="00457BA9" w:rsidRPr="007476BD" w:rsidRDefault="00AC7DD3" w:rsidP="002B6D6D">
      <w:pPr>
        <w:rPr>
          <w:rFonts w:cs="Arial"/>
          <w:b/>
          <w:i/>
          <w:szCs w:val="22"/>
        </w:rPr>
      </w:pPr>
      <w:r w:rsidRPr="007476BD">
        <w:rPr>
          <w:rFonts w:cs="Arial"/>
          <w:b/>
          <w:i/>
          <w:szCs w:val="22"/>
        </w:rPr>
        <w:t>Issue 5</w:t>
      </w:r>
    </w:p>
    <w:p w:rsidR="002B6D6D" w:rsidRPr="007476BD" w:rsidRDefault="002B6D6D" w:rsidP="002B6D6D">
      <w:pPr>
        <w:rPr>
          <w:rFonts w:cs="Arial"/>
          <w:sz w:val="20"/>
          <w:szCs w:val="20"/>
        </w:rPr>
      </w:pPr>
    </w:p>
    <w:p w:rsidR="002B6D6D" w:rsidRPr="007476BD" w:rsidRDefault="002B6D6D" w:rsidP="00457BA9">
      <w:pPr>
        <w:rPr>
          <w:i/>
        </w:rPr>
      </w:pPr>
      <w:r w:rsidRPr="007476BD">
        <w:rPr>
          <w:i/>
        </w:rPr>
        <w:t>There are no data on the new metabolite Advantame-acid</w:t>
      </w:r>
    </w:p>
    <w:p w:rsidR="002B6D6D" w:rsidRPr="007476BD" w:rsidRDefault="002B6D6D" w:rsidP="002B6D6D">
      <w:pPr>
        <w:rPr>
          <w:rFonts w:cs="Arial"/>
          <w:sz w:val="20"/>
          <w:szCs w:val="20"/>
        </w:rPr>
      </w:pPr>
    </w:p>
    <w:p w:rsidR="002B6D6D" w:rsidRPr="007476BD" w:rsidRDefault="002B6D6D" w:rsidP="002B6D6D">
      <w:pPr>
        <w:rPr>
          <w:rFonts w:cs="Arial"/>
          <w:szCs w:val="22"/>
        </w:rPr>
      </w:pPr>
      <w:r w:rsidRPr="007476BD">
        <w:rPr>
          <w:rFonts w:cs="Arial"/>
          <w:szCs w:val="22"/>
        </w:rPr>
        <w:t xml:space="preserve">Standard toxicity studies cover the effects due to all metabolites formed following ingestion of a particular compound. </w:t>
      </w:r>
    </w:p>
    <w:p w:rsidR="002B6D6D" w:rsidRPr="007476BD" w:rsidRDefault="002B6D6D" w:rsidP="002B6D6D">
      <w:pPr>
        <w:rPr>
          <w:rFonts w:cs="Arial"/>
          <w:szCs w:val="22"/>
        </w:rPr>
      </w:pPr>
    </w:p>
    <w:p w:rsidR="002B6D6D" w:rsidRPr="007476BD" w:rsidRDefault="002B6D6D" w:rsidP="002B6D6D">
      <w:pPr>
        <w:rPr>
          <w:rFonts w:cs="Arial"/>
          <w:szCs w:val="22"/>
        </w:rPr>
      </w:pPr>
      <w:r w:rsidRPr="007476BD">
        <w:rPr>
          <w:rFonts w:cs="Arial"/>
          <w:szCs w:val="22"/>
        </w:rPr>
        <w:t xml:space="preserve">There is an extensive toxicological database for Advantame, which is directly applicable to Advantame-acid and any other metabolites formed following ingestion. While the starting material added to the diet and then fed to laboratory animals or humans was Advantame, it is not the form which animals or humans are systemically exposed to. In all species examined, Advantame is converted to Advantame-acid in the digestive tract prior to absorption, with virtually no systemic exposure to the parent compound. The majority of systemic exposure is to Advantame-acid and other related metabolites. </w:t>
      </w:r>
    </w:p>
    <w:p w:rsidR="002B6D6D" w:rsidRPr="007476BD" w:rsidRDefault="002B6D6D" w:rsidP="002B6D6D">
      <w:pPr>
        <w:rPr>
          <w:rFonts w:cs="Arial"/>
          <w:sz w:val="20"/>
          <w:szCs w:val="20"/>
        </w:rPr>
      </w:pPr>
    </w:p>
    <w:p w:rsidR="002B6D6D" w:rsidRPr="007476BD" w:rsidRDefault="00AC7DD3" w:rsidP="00457BA9">
      <w:pPr>
        <w:rPr>
          <w:b/>
          <w:i/>
        </w:rPr>
      </w:pPr>
      <w:r w:rsidRPr="007476BD">
        <w:rPr>
          <w:b/>
          <w:i/>
        </w:rPr>
        <w:t>Issue 6</w:t>
      </w:r>
    </w:p>
    <w:p w:rsidR="002B6D6D" w:rsidRPr="007476BD" w:rsidRDefault="002B6D6D" w:rsidP="002B6D6D">
      <w:pPr>
        <w:pStyle w:val="Heading5"/>
      </w:pPr>
    </w:p>
    <w:p w:rsidR="002B6D6D" w:rsidRPr="007476BD" w:rsidRDefault="002B6D6D" w:rsidP="00457BA9">
      <w:pPr>
        <w:rPr>
          <w:i/>
        </w:rPr>
      </w:pPr>
      <w:r w:rsidRPr="007476BD">
        <w:rPr>
          <w:i/>
        </w:rPr>
        <w:t>Animals that died or were sacrificed in a moribund condition were not reported in any studies</w:t>
      </w:r>
    </w:p>
    <w:p w:rsidR="002B6D6D" w:rsidRPr="007476BD" w:rsidRDefault="002B6D6D" w:rsidP="00457BA9">
      <w:pPr>
        <w:rPr>
          <w:rFonts w:cs="Arial"/>
          <w:i/>
          <w:sz w:val="20"/>
          <w:szCs w:val="20"/>
        </w:rPr>
      </w:pPr>
    </w:p>
    <w:p w:rsidR="000C25A3" w:rsidRPr="007476BD" w:rsidRDefault="002B6D6D" w:rsidP="002B6D6D">
      <w:pPr>
        <w:rPr>
          <w:rFonts w:cs="Arial"/>
          <w:szCs w:val="22"/>
        </w:rPr>
      </w:pPr>
      <w:r w:rsidRPr="007476BD">
        <w:rPr>
          <w:rFonts w:cs="Arial"/>
          <w:szCs w:val="22"/>
        </w:rPr>
        <w:t xml:space="preserve">The purpose of a Hazard Assessment is not to reproduce original study reports but to evaluate the data in these reports and describe results by exception. </w:t>
      </w:r>
    </w:p>
    <w:p w:rsidR="00B15330" w:rsidRPr="007476BD" w:rsidRDefault="00B15330" w:rsidP="00B15330">
      <w:pPr>
        <w:widowControl/>
        <w:rPr>
          <w:rFonts w:cs="Arial"/>
          <w:szCs w:val="22"/>
        </w:rPr>
      </w:pPr>
    </w:p>
    <w:p w:rsidR="002B6D6D" w:rsidRPr="007476BD" w:rsidRDefault="002B6D6D" w:rsidP="00B15330">
      <w:pPr>
        <w:widowControl/>
        <w:rPr>
          <w:rFonts w:cs="Arial"/>
          <w:szCs w:val="22"/>
        </w:rPr>
      </w:pPr>
      <w:r w:rsidRPr="007476BD">
        <w:rPr>
          <w:rFonts w:cs="Arial"/>
          <w:szCs w:val="22"/>
        </w:rPr>
        <w:t xml:space="preserve">Stating that there were no treatment-related mortalities or clinical signs or effects on haematology parameters </w:t>
      </w:r>
      <w:r w:rsidR="00931D08" w:rsidRPr="007476BD">
        <w:rPr>
          <w:rFonts w:cs="Arial"/>
          <w:szCs w:val="22"/>
        </w:rPr>
        <w:t>etc.</w:t>
      </w:r>
      <w:r w:rsidRPr="007476BD">
        <w:rPr>
          <w:rFonts w:cs="Arial"/>
          <w:szCs w:val="22"/>
        </w:rPr>
        <w:t xml:space="preserve"> indicates that the endpoints were not biologically different from the concurrent control group. </w:t>
      </w:r>
    </w:p>
    <w:p w:rsidR="002B6D6D" w:rsidRPr="007476BD" w:rsidRDefault="002B6D6D" w:rsidP="002B6D6D">
      <w:pPr>
        <w:rPr>
          <w:rFonts w:cs="Arial"/>
          <w:szCs w:val="22"/>
        </w:rPr>
      </w:pPr>
    </w:p>
    <w:p w:rsidR="002B6D6D" w:rsidRPr="007476BD" w:rsidRDefault="002B6D6D" w:rsidP="002B6D6D">
      <w:pPr>
        <w:rPr>
          <w:rFonts w:cs="Arial"/>
          <w:szCs w:val="22"/>
        </w:rPr>
      </w:pPr>
      <w:r w:rsidRPr="007476BD">
        <w:rPr>
          <w:rFonts w:cs="Arial"/>
          <w:szCs w:val="22"/>
        </w:rPr>
        <w:t>Mortalities and clinical signs are standard toxicological endpoints reported in all studies. In nearly all studies conducted on Advantame, the number of deaths occurring in groups of laboratory animals treated with Advantame occurred at no greater frequency than the concurrent control group. The only study where treatment-related clinical signs and sacrifices occurred was in the rabbit developmental study. The results of the study have formed the basis of the ADI.</w:t>
      </w:r>
    </w:p>
    <w:p w:rsidR="00457BA9" w:rsidRPr="007476BD" w:rsidRDefault="00457BA9" w:rsidP="002B6D6D">
      <w:pPr>
        <w:rPr>
          <w:rFonts w:cs="Arial"/>
          <w:szCs w:val="22"/>
        </w:rPr>
      </w:pPr>
    </w:p>
    <w:p w:rsidR="00457BA9" w:rsidRPr="007476BD" w:rsidRDefault="00AC7DD3" w:rsidP="00130866">
      <w:pPr>
        <w:widowControl/>
        <w:rPr>
          <w:rFonts w:cs="Arial"/>
          <w:b/>
          <w:i/>
          <w:szCs w:val="22"/>
        </w:rPr>
      </w:pPr>
      <w:r w:rsidRPr="007476BD">
        <w:rPr>
          <w:rFonts w:cs="Arial"/>
          <w:b/>
          <w:i/>
          <w:szCs w:val="22"/>
        </w:rPr>
        <w:t>Issue 7</w:t>
      </w:r>
    </w:p>
    <w:p w:rsidR="00457BA9" w:rsidRPr="007476BD" w:rsidRDefault="00457BA9" w:rsidP="00457BA9">
      <w:pPr>
        <w:pStyle w:val="Heading5"/>
        <w:ind w:left="0" w:firstLine="0"/>
        <w:rPr>
          <w:rFonts w:cs="Arial"/>
          <w:bCs w:val="0"/>
          <w:iCs w:val="0"/>
          <w:szCs w:val="22"/>
          <w:u w:val="none"/>
        </w:rPr>
      </w:pPr>
    </w:p>
    <w:p w:rsidR="002B6D6D" w:rsidRPr="007476BD" w:rsidRDefault="002B6D6D" w:rsidP="00457BA9">
      <w:pPr>
        <w:rPr>
          <w:i/>
        </w:rPr>
      </w:pPr>
      <w:r w:rsidRPr="007476BD">
        <w:rPr>
          <w:i/>
        </w:rPr>
        <w:t>Lack of data on the sulphate conjugate of Advantame</w:t>
      </w:r>
    </w:p>
    <w:p w:rsidR="002B6D6D" w:rsidRPr="007476BD" w:rsidRDefault="002B6D6D" w:rsidP="002B6D6D">
      <w:pPr>
        <w:rPr>
          <w:rFonts w:cs="Arial"/>
          <w:sz w:val="20"/>
          <w:szCs w:val="20"/>
        </w:rPr>
      </w:pPr>
    </w:p>
    <w:p w:rsidR="002B6D6D" w:rsidRPr="007476BD" w:rsidRDefault="002B6D6D" w:rsidP="002B6D6D">
      <w:pPr>
        <w:rPr>
          <w:rFonts w:cs="Arial"/>
          <w:szCs w:val="22"/>
        </w:rPr>
      </w:pPr>
      <w:r w:rsidRPr="007476BD">
        <w:rPr>
          <w:rFonts w:cs="Arial"/>
          <w:szCs w:val="22"/>
        </w:rPr>
        <w:t>The lack of data to corroborate the presence of a sulphate conjugate of Advantame-acid in dogs is of no toxicological relevance. As mentioned above, the toxicity studies cover the adverse effects occurring following exposure to all metabolites formed following ingestion.</w:t>
      </w:r>
    </w:p>
    <w:p w:rsidR="002B6D6D" w:rsidRPr="007476BD" w:rsidRDefault="002B6D6D" w:rsidP="002B6D6D">
      <w:pPr>
        <w:rPr>
          <w:rFonts w:cs="Arial"/>
          <w:sz w:val="20"/>
          <w:szCs w:val="20"/>
        </w:rPr>
      </w:pPr>
    </w:p>
    <w:p w:rsidR="00457BA9" w:rsidRPr="007476BD" w:rsidRDefault="00AC7DD3" w:rsidP="002B6D6D">
      <w:pPr>
        <w:pStyle w:val="Heading5"/>
        <w:rPr>
          <w:b/>
          <w:i/>
          <w:u w:val="none"/>
        </w:rPr>
      </w:pPr>
      <w:r w:rsidRPr="007476BD">
        <w:rPr>
          <w:b/>
          <w:i/>
          <w:u w:val="none"/>
        </w:rPr>
        <w:t>Issue 8</w:t>
      </w:r>
    </w:p>
    <w:p w:rsidR="00457BA9" w:rsidRPr="007476BD" w:rsidRDefault="00457BA9" w:rsidP="002B6D6D">
      <w:pPr>
        <w:pStyle w:val="Heading5"/>
      </w:pPr>
    </w:p>
    <w:p w:rsidR="00EC4E1C" w:rsidRPr="007476BD" w:rsidRDefault="002B6D6D" w:rsidP="00457BA9">
      <w:pPr>
        <w:rPr>
          <w:i/>
        </w:rPr>
      </w:pPr>
      <w:r w:rsidRPr="007476BD">
        <w:rPr>
          <w:i/>
        </w:rPr>
        <w:t>Loose, green or pale stools could be indicative of irritable bowel, abnormal liver function or over-production of bile</w:t>
      </w:r>
      <w:r w:rsidR="00EC4E1C" w:rsidRPr="007476BD">
        <w:rPr>
          <w:i/>
        </w:rPr>
        <w:br w:type="page"/>
      </w:r>
    </w:p>
    <w:p w:rsidR="002B6D6D" w:rsidRPr="007476BD" w:rsidRDefault="002B6D6D" w:rsidP="002B6D6D">
      <w:pPr>
        <w:rPr>
          <w:rFonts w:cs="Arial"/>
          <w:szCs w:val="22"/>
        </w:rPr>
      </w:pPr>
      <w:r w:rsidRPr="007476BD">
        <w:rPr>
          <w:rFonts w:cs="Arial"/>
          <w:szCs w:val="22"/>
        </w:rPr>
        <w:lastRenderedPageBreak/>
        <w:t>There is no evidence including any histopathology of the digestive tract or liver/gall bladder, to support this hypothesis or any suggestion of liver dysfunction including any perturbations of clinical chemistry parameters. As discussed in the Risk and Technical Assessment Report (Supporting Document 1), the occurrence of pale faeces in laboratory animals was attributable to the high concentration of unabsorbed Advantame/Advantame-acid in the digestive tract, both of which are white substances. The green or purple faeces that were observed in rats are most likely attributable to coloured metabolites. The occurrences of discoloured faeces without evidence of systemic toxicity indicate that the findings are not adverse.</w:t>
      </w:r>
    </w:p>
    <w:p w:rsidR="002B6D6D" w:rsidRPr="007476BD" w:rsidRDefault="002B6D6D" w:rsidP="002B6D6D">
      <w:pPr>
        <w:rPr>
          <w:rFonts w:cs="Arial"/>
          <w:sz w:val="20"/>
          <w:szCs w:val="20"/>
        </w:rPr>
      </w:pPr>
    </w:p>
    <w:p w:rsidR="00457BA9" w:rsidRPr="007476BD" w:rsidRDefault="00AC7DD3" w:rsidP="00457BA9">
      <w:pPr>
        <w:rPr>
          <w:b/>
          <w:i/>
        </w:rPr>
      </w:pPr>
      <w:r w:rsidRPr="007476BD">
        <w:rPr>
          <w:b/>
          <w:i/>
        </w:rPr>
        <w:t>Issue 9</w:t>
      </w:r>
    </w:p>
    <w:p w:rsidR="00457BA9" w:rsidRPr="007476BD" w:rsidRDefault="00457BA9" w:rsidP="002B6D6D">
      <w:pPr>
        <w:pStyle w:val="Heading5"/>
      </w:pPr>
    </w:p>
    <w:p w:rsidR="002B6D6D" w:rsidRPr="007476BD" w:rsidRDefault="002B6D6D" w:rsidP="00457BA9">
      <w:pPr>
        <w:rPr>
          <w:i/>
        </w:rPr>
      </w:pPr>
      <w:r w:rsidRPr="007476BD">
        <w:rPr>
          <w:i/>
        </w:rPr>
        <w:t xml:space="preserve">Statistically significant differences in the occurrence of benign mammary tumours, </w:t>
      </w:r>
    </w:p>
    <w:p w:rsidR="002B6D6D" w:rsidRPr="007476BD" w:rsidRDefault="002B6D6D" w:rsidP="00457BA9">
      <w:pPr>
        <w:rPr>
          <w:i/>
        </w:rPr>
      </w:pPr>
      <w:r w:rsidRPr="007476BD">
        <w:rPr>
          <w:i/>
        </w:rPr>
        <w:t xml:space="preserve">lower uterine weight and ovary weights </w:t>
      </w:r>
      <w:r w:rsidR="00931D08" w:rsidRPr="007476BD">
        <w:rPr>
          <w:i/>
        </w:rPr>
        <w:t>in female</w:t>
      </w:r>
      <w:r w:rsidRPr="007476BD">
        <w:rPr>
          <w:i/>
        </w:rPr>
        <w:t xml:space="preserve"> rats, and increased pancreatic islet cell </w:t>
      </w:r>
    </w:p>
    <w:p w:rsidR="002B6D6D" w:rsidRPr="007476BD" w:rsidRDefault="002B6D6D" w:rsidP="00457BA9">
      <w:pPr>
        <w:rPr>
          <w:i/>
        </w:rPr>
      </w:pPr>
      <w:r w:rsidRPr="007476BD">
        <w:rPr>
          <w:i/>
        </w:rPr>
        <w:t>carcinoma, renal and bladder cell changes in males need to be studied further.</w:t>
      </w:r>
    </w:p>
    <w:p w:rsidR="002B6D6D" w:rsidRPr="007476BD" w:rsidRDefault="002B6D6D" w:rsidP="002B6D6D">
      <w:pPr>
        <w:rPr>
          <w:rFonts w:cs="Arial"/>
          <w:sz w:val="20"/>
          <w:szCs w:val="20"/>
        </w:rPr>
      </w:pPr>
    </w:p>
    <w:p w:rsidR="002B6D6D" w:rsidRPr="007476BD" w:rsidRDefault="002B6D6D" w:rsidP="002B6D6D">
      <w:pPr>
        <w:rPr>
          <w:rFonts w:cs="Arial"/>
          <w:szCs w:val="22"/>
        </w:rPr>
      </w:pPr>
      <w:r w:rsidRPr="007476BD">
        <w:rPr>
          <w:rFonts w:cs="Arial"/>
          <w:szCs w:val="22"/>
        </w:rPr>
        <w:t>Whether differences between a treated and control group are statistically significant (or not) does not determine whether a finding is treatment-related. There are a range of factors taken into consideration in evaluating whether an observed difference is treatment-related (and potentially adverse) or reflects normal biological variability. In the case of the selected differences cited by the submitter and which were reported in the FSANZ evaluation of the 2-year rat study, all were within the normal range of biological variability for the particular rat strain, showed no dose-response relationship and/or were not corroborated by other toxicological endpoints.</w:t>
      </w:r>
    </w:p>
    <w:p w:rsidR="002B6D6D" w:rsidRPr="007476BD" w:rsidRDefault="002B6D6D" w:rsidP="002B6D6D">
      <w:pPr>
        <w:rPr>
          <w:rFonts w:cs="Arial"/>
          <w:sz w:val="20"/>
          <w:szCs w:val="20"/>
        </w:rPr>
      </w:pPr>
    </w:p>
    <w:p w:rsidR="002B6D6D" w:rsidRPr="007476BD" w:rsidRDefault="00AC7DD3" w:rsidP="00B15330">
      <w:pPr>
        <w:widowControl/>
        <w:rPr>
          <w:rFonts w:cs="Arial"/>
          <w:b/>
          <w:i/>
          <w:szCs w:val="22"/>
        </w:rPr>
      </w:pPr>
      <w:r w:rsidRPr="007476BD">
        <w:rPr>
          <w:rFonts w:cs="Arial"/>
          <w:b/>
          <w:i/>
          <w:szCs w:val="22"/>
        </w:rPr>
        <w:t>Issue 10</w:t>
      </w:r>
    </w:p>
    <w:p w:rsidR="00457BA9" w:rsidRPr="007476BD" w:rsidRDefault="00457BA9" w:rsidP="002B6D6D">
      <w:pPr>
        <w:pStyle w:val="Heading5"/>
      </w:pPr>
    </w:p>
    <w:p w:rsidR="002B6D6D" w:rsidRPr="007476BD" w:rsidRDefault="002B6D6D" w:rsidP="00457BA9">
      <w:pPr>
        <w:rPr>
          <w:i/>
        </w:rPr>
      </w:pPr>
      <w:r w:rsidRPr="007476BD">
        <w:rPr>
          <w:i/>
        </w:rPr>
        <w:t>Adverse effects in humans have been disregarded by FSANZ. Longer term studies</w:t>
      </w:r>
      <w:r w:rsidR="00457BA9" w:rsidRPr="007476BD">
        <w:rPr>
          <w:i/>
        </w:rPr>
        <w:t xml:space="preserve"> </w:t>
      </w:r>
      <w:r w:rsidRPr="007476BD">
        <w:rPr>
          <w:i/>
        </w:rPr>
        <w:t>with larger trial numbers should be conducted before Advantame is approved.</w:t>
      </w:r>
    </w:p>
    <w:p w:rsidR="002B6D6D" w:rsidRPr="007476BD" w:rsidRDefault="002B6D6D" w:rsidP="002B6D6D">
      <w:pPr>
        <w:rPr>
          <w:rFonts w:cs="Arial"/>
          <w:sz w:val="20"/>
          <w:szCs w:val="20"/>
        </w:rPr>
      </w:pPr>
    </w:p>
    <w:p w:rsidR="002B6D6D" w:rsidRPr="007476BD" w:rsidRDefault="002B6D6D" w:rsidP="002B6D6D">
      <w:pPr>
        <w:rPr>
          <w:rFonts w:cs="Arial"/>
          <w:szCs w:val="22"/>
        </w:rPr>
      </w:pPr>
      <w:r w:rsidRPr="007476BD">
        <w:rPr>
          <w:rFonts w:cs="Arial"/>
          <w:szCs w:val="22"/>
        </w:rPr>
        <w:t>FSANZ has evaluated all the adverse events reported in the 4 human studies and concluded that none are attributable to Advantame. The rationale for this conclusion is provided in the respective evaluation reports for each of the studies, which can be found in Section 3.2.10 of Supporting Document 1. FSANZ considers that the toxicological database for Advantame is extensive and includes studies conducted with adequate numbers of subjects and of sufficient duration.</w:t>
      </w:r>
    </w:p>
    <w:p w:rsidR="002B6D6D" w:rsidRPr="007476BD" w:rsidRDefault="002B6D6D" w:rsidP="002B6D6D">
      <w:pPr>
        <w:rPr>
          <w:rFonts w:cs="Arial"/>
          <w:sz w:val="20"/>
          <w:szCs w:val="20"/>
        </w:rPr>
      </w:pPr>
    </w:p>
    <w:p w:rsidR="002B6D6D" w:rsidRPr="007476BD" w:rsidRDefault="002B6D6D" w:rsidP="002B6D6D">
      <w:pPr>
        <w:rPr>
          <w:rFonts w:cs="Arial"/>
          <w:szCs w:val="22"/>
        </w:rPr>
      </w:pPr>
      <w:r w:rsidRPr="007476BD">
        <w:rPr>
          <w:rFonts w:cs="Arial"/>
          <w:szCs w:val="22"/>
        </w:rPr>
        <w:t>A number of other issues were raised in relation to the human studies.</w:t>
      </w:r>
    </w:p>
    <w:p w:rsidR="002B6D6D" w:rsidRPr="007476BD" w:rsidRDefault="002B6D6D" w:rsidP="002B6D6D">
      <w:pPr>
        <w:rPr>
          <w:rFonts w:cs="Arial"/>
          <w:sz w:val="20"/>
          <w:szCs w:val="20"/>
        </w:rPr>
      </w:pPr>
    </w:p>
    <w:p w:rsidR="00EC4E1C" w:rsidRPr="007476BD" w:rsidRDefault="002B6D6D" w:rsidP="002B6D6D">
      <w:pPr>
        <w:pStyle w:val="FSBullet"/>
      </w:pPr>
      <w:r w:rsidRPr="007476BD">
        <w:t>It was stated that there were no records of how many people undertook the f</w:t>
      </w:r>
      <w:r w:rsidR="007D02DE" w:rsidRPr="007476BD">
        <w:t xml:space="preserve">irst study (by Warrington </w:t>
      </w:r>
      <w:r w:rsidRPr="007476BD">
        <w:t xml:space="preserve">2004) and 3 subjects experienced 5 adverse effects. It was claimed that the </w:t>
      </w:r>
      <w:r w:rsidR="007476BD">
        <w:t>‘</w:t>
      </w:r>
      <w:r w:rsidRPr="007476BD">
        <w:t>adverse effects point to hypersensitivity reactions affecting blood pressure, namely respiratory distress and headache and dizziness</w:t>
      </w:r>
      <w:r w:rsidR="007476BD">
        <w:t>’</w:t>
      </w:r>
      <w:r w:rsidRPr="007476BD">
        <w:t>. The number of subjects participating in each of the 4 human studies was provided in each of the respective evaluation reports in Section 3.2.10 of Supporting Document 1. I</w:t>
      </w:r>
      <w:r w:rsidR="007D02DE" w:rsidRPr="007476BD">
        <w:t xml:space="preserve">n the study of Warrington </w:t>
      </w:r>
      <w:r w:rsidRPr="007476BD">
        <w:t xml:space="preserve">(2004), Advantame was administered to </w:t>
      </w:r>
      <w:r w:rsidR="007476BD">
        <w:t>‘</w:t>
      </w:r>
      <w:r w:rsidRPr="007476BD">
        <w:t>groups of eight fasted male volunteers at 0.1, 0.25 or 0.5 mg/kg bw</w:t>
      </w:r>
      <w:r w:rsidR="007476BD">
        <w:t>’</w:t>
      </w:r>
      <w:r w:rsidRPr="007476BD">
        <w:t xml:space="preserve">. There was no effect on blood pressure and no evidence of respiratory distress, which argues against </w:t>
      </w:r>
      <w:r w:rsidR="007476BD">
        <w:t>‘</w:t>
      </w:r>
      <w:r w:rsidRPr="007476BD">
        <w:t>hypersensitivity reactions</w:t>
      </w:r>
      <w:r w:rsidR="007476BD">
        <w:t>’</w:t>
      </w:r>
      <w:r w:rsidRPr="007476BD">
        <w:t xml:space="preserve">. In this study, adverse events were self-reported by 3 of the 24 subjects; 1 at the mid-dose (headache) and 2 subjects at the top dose (dizziness/light headedness or headache followed by either an upper respiratory tract infection or pharyngitis several days later). None of these findings were considered treatment-related predominantly because dizziness/light headedness or a headache were not reported in any of the other 3 human studies conducted on larger groups of subjects over longer periods of time (up to 12 weeks). </w:t>
      </w:r>
      <w:r w:rsidR="00EC4E1C" w:rsidRPr="007476BD">
        <w:br w:type="page"/>
      </w:r>
    </w:p>
    <w:p w:rsidR="002B6D6D" w:rsidRPr="007476BD" w:rsidRDefault="002B6D6D" w:rsidP="00D81AE4">
      <w:pPr>
        <w:pStyle w:val="FSBullet"/>
      </w:pPr>
      <w:r w:rsidRPr="007476BD">
        <w:lastRenderedPageBreak/>
        <w:t>It was stated that in the second oral dosing study (Warrington 2005), 8 adverse events were recorded in 5 subjects treated with Advantame, which were dismissed by FSANZ. In this study, 6 subjects were dosed with Advantame (0.25 mg/kg bw) once. No control group was included because, similar to Warrington et al (2004), the study was designed to examine the metabolism of Advantame. Five of the 6 subjects experienced mild adverse events; 4 reported dental injury (broken teeth, lost dental filling) attributed to the consumption of hard, crusty bread rolls and the fifth experienced back pain. One of the subjects with dental injury also had insect bites (classified as mild), pain at the cannula site (where blood was withdrawn for testing) and rectal haemorrhage (classified as moderate), with the latter commencing six days after dosing</w:t>
      </w:r>
      <w:r w:rsidR="00056BF1" w:rsidRPr="007476BD">
        <w:t>,</w:t>
      </w:r>
      <w:r w:rsidRPr="007476BD">
        <w:t xml:space="preserve"> </w:t>
      </w:r>
      <w:r w:rsidR="00BA1B5D" w:rsidRPr="007476BD">
        <w:t>when no Advantame is detectable</w:t>
      </w:r>
      <w:r w:rsidR="00056BF1" w:rsidRPr="007476BD">
        <w:t>,</w:t>
      </w:r>
      <w:r w:rsidR="00BA1B5D" w:rsidRPr="007476BD">
        <w:t xml:space="preserve"> </w:t>
      </w:r>
      <w:r w:rsidRPr="007476BD">
        <w:t>and therefore not associated with treatment. None of these findings are attributable to Advantame because their cause has already been established.</w:t>
      </w:r>
    </w:p>
    <w:p w:rsidR="002B6D6D" w:rsidRPr="007476BD" w:rsidRDefault="002B6D6D" w:rsidP="002B6D6D">
      <w:pPr>
        <w:pStyle w:val="FSBullet"/>
        <w:numPr>
          <w:ilvl w:val="0"/>
          <w:numId w:val="0"/>
        </w:numPr>
      </w:pPr>
    </w:p>
    <w:p w:rsidR="002B6D6D" w:rsidRPr="007476BD" w:rsidRDefault="002B6D6D" w:rsidP="002B6D6D">
      <w:pPr>
        <w:pStyle w:val="FSBullet"/>
      </w:pPr>
      <w:r w:rsidRPr="007476BD">
        <w:t xml:space="preserve">It was stated that the metabolites, HF-1 and HU-1, could cause parathyroid effects (due to high vitamin D conversion) or inhibit the uptake of vitamins and minerals. As no treatment-related effects were determined in a large number of studies conducted in laboratory animals and humans, including studies conducted over long durations at the maximum practical dietary concentration, such a statement is not substantiated by the data. </w:t>
      </w:r>
    </w:p>
    <w:p w:rsidR="002B6D6D" w:rsidRPr="007476BD" w:rsidRDefault="002B6D6D" w:rsidP="002B6D6D">
      <w:pPr>
        <w:pStyle w:val="FSBullet"/>
        <w:numPr>
          <w:ilvl w:val="0"/>
          <w:numId w:val="0"/>
        </w:numPr>
      </w:pPr>
    </w:p>
    <w:p w:rsidR="008C4388" w:rsidRPr="007476BD" w:rsidRDefault="002B6D6D" w:rsidP="00F448F1">
      <w:pPr>
        <w:pStyle w:val="FSBullet"/>
      </w:pPr>
      <w:r w:rsidRPr="007476BD">
        <w:t>It was stated that in the</w:t>
      </w:r>
      <w:r w:rsidR="007D02DE" w:rsidRPr="007476BD">
        <w:t xml:space="preserve"> 12-week study (by Pirage </w:t>
      </w:r>
      <w:r w:rsidRPr="007476BD">
        <w:t xml:space="preserve">2006), </w:t>
      </w:r>
      <w:r w:rsidR="00FE489A" w:rsidRPr="007476BD">
        <w:t xml:space="preserve">which was conducted in type II diabetics, </w:t>
      </w:r>
      <w:r w:rsidRPr="007476BD">
        <w:t xml:space="preserve">there were no records of whether the </w:t>
      </w:r>
      <w:r w:rsidR="00130154" w:rsidRPr="007476BD">
        <w:t xml:space="preserve">control or test </w:t>
      </w:r>
      <w:r w:rsidRPr="007476BD">
        <w:t xml:space="preserve">subjects </w:t>
      </w:r>
      <w:r w:rsidR="00130154" w:rsidRPr="007476BD">
        <w:t>cons</w:t>
      </w:r>
      <w:r w:rsidR="00A67BC5" w:rsidRPr="007476BD">
        <w:t>u</w:t>
      </w:r>
      <w:r w:rsidR="00130154" w:rsidRPr="007476BD">
        <w:t xml:space="preserve">med </w:t>
      </w:r>
      <w:r w:rsidR="008C4388" w:rsidRPr="007476BD">
        <w:t xml:space="preserve">other </w:t>
      </w:r>
      <w:r w:rsidRPr="007476BD">
        <w:t>artificial sweeteners</w:t>
      </w:r>
      <w:r w:rsidR="00792AD2" w:rsidRPr="007476BD">
        <w:t xml:space="preserve">. </w:t>
      </w:r>
      <w:r w:rsidR="00A67BC5" w:rsidRPr="007476BD">
        <w:t xml:space="preserve">It was implied that such exposure could confound </w:t>
      </w:r>
      <w:r w:rsidR="00FE489A" w:rsidRPr="007476BD">
        <w:t>the study</w:t>
      </w:r>
      <w:r w:rsidR="00A67BC5" w:rsidRPr="007476BD">
        <w:t xml:space="preserve"> </w:t>
      </w:r>
      <w:r w:rsidR="00D55469" w:rsidRPr="007476BD">
        <w:t>results</w:t>
      </w:r>
      <w:r w:rsidR="00FE489A" w:rsidRPr="007476BD">
        <w:t xml:space="preserve"> </w:t>
      </w:r>
      <w:r w:rsidR="00A67BC5" w:rsidRPr="007476BD">
        <w:t xml:space="preserve">particularly as </w:t>
      </w:r>
      <w:r w:rsidR="00103841" w:rsidRPr="007476BD">
        <w:t>some</w:t>
      </w:r>
      <w:r w:rsidR="00130154" w:rsidRPr="007476BD">
        <w:t xml:space="preserve"> </w:t>
      </w:r>
      <w:r w:rsidR="00A67BC5" w:rsidRPr="007476BD">
        <w:t>Advantame-tre</w:t>
      </w:r>
      <w:r w:rsidR="000C25A3" w:rsidRPr="007476BD">
        <w:t xml:space="preserve">ated </w:t>
      </w:r>
      <w:r w:rsidR="00130154" w:rsidRPr="007476BD">
        <w:t>subjects experienced adverse events</w:t>
      </w:r>
      <w:r w:rsidR="00E169D8" w:rsidRPr="007476BD">
        <w:t xml:space="preserve">. </w:t>
      </w:r>
      <w:r w:rsidR="00FF6FEC" w:rsidRPr="007476BD">
        <w:t>FSANZ consider</w:t>
      </w:r>
      <w:r w:rsidR="00B60720" w:rsidRPr="007476BD">
        <w:t>s</w:t>
      </w:r>
      <w:r w:rsidR="00FF6FEC" w:rsidRPr="007476BD">
        <w:t xml:space="preserve"> that there are no grounds to support this suggestion on the basis of the following:</w:t>
      </w:r>
    </w:p>
    <w:p w:rsidR="00130866" w:rsidRPr="007476BD" w:rsidRDefault="00130866" w:rsidP="00130866">
      <w:pPr>
        <w:pStyle w:val="FSBullet"/>
        <w:numPr>
          <w:ilvl w:val="0"/>
          <w:numId w:val="0"/>
        </w:numPr>
      </w:pPr>
    </w:p>
    <w:p w:rsidR="008C4388" w:rsidRPr="007476BD" w:rsidRDefault="00EC4E1C" w:rsidP="00EC4E1C">
      <w:pPr>
        <w:pStyle w:val="FSDash"/>
      </w:pPr>
      <w:r w:rsidRPr="007476BD">
        <w:t>T</w:t>
      </w:r>
      <w:r w:rsidR="00E169D8" w:rsidRPr="007476BD">
        <w:t xml:space="preserve">he number of control subjects reporting adverse events actually outweighed the number for Advantame-treated subjects (9 </w:t>
      </w:r>
      <w:r w:rsidR="00E169D8" w:rsidRPr="007476BD">
        <w:rPr>
          <w:i/>
        </w:rPr>
        <w:t>versus</w:t>
      </w:r>
      <w:r w:rsidR="00E169D8" w:rsidRPr="007476BD">
        <w:t xml:space="preserve"> 5). Such a finding illustrates the variability in background events occurring within a study group.</w:t>
      </w:r>
    </w:p>
    <w:p w:rsidR="000F2B9B" w:rsidRPr="007476BD" w:rsidRDefault="00B60720" w:rsidP="00EC4E1C">
      <w:pPr>
        <w:pStyle w:val="FSDash"/>
      </w:pPr>
      <w:r w:rsidRPr="007476BD">
        <w:t>F</w:t>
      </w:r>
      <w:r w:rsidR="009D0497" w:rsidRPr="007476BD">
        <w:t>rom a biological perspective, n</w:t>
      </w:r>
      <w:r w:rsidR="00FA478B" w:rsidRPr="007476BD">
        <w:t>o rationale was provided to illustrate how</w:t>
      </w:r>
      <w:r w:rsidR="009D0497" w:rsidRPr="007476BD">
        <w:t xml:space="preserve"> </w:t>
      </w:r>
      <w:r w:rsidRPr="007476BD">
        <w:t>backgro</w:t>
      </w:r>
      <w:r w:rsidR="00E221F9" w:rsidRPr="007476BD">
        <w:t xml:space="preserve">und exposure to </w:t>
      </w:r>
      <w:r w:rsidR="00D55469" w:rsidRPr="007476BD">
        <w:t xml:space="preserve">non-caloric </w:t>
      </w:r>
      <w:r w:rsidR="00E221F9" w:rsidRPr="007476BD">
        <w:t>sweetener</w:t>
      </w:r>
      <w:r w:rsidR="00FE489A" w:rsidRPr="007476BD">
        <w:t>s</w:t>
      </w:r>
      <w:r w:rsidR="00E221F9" w:rsidRPr="007476BD">
        <w:t xml:space="preserve"> already permitted in food</w:t>
      </w:r>
      <w:r w:rsidRPr="007476BD">
        <w:t xml:space="preserve"> could interfere with </w:t>
      </w:r>
      <w:r w:rsidR="00D55469" w:rsidRPr="007476BD">
        <w:t>any effects of Advantame</w:t>
      </w:r>
      <w:r w:rsidRPr="007476BD">
        <w:t>.</w:t>
      </w:r>
      <w:r w:rsidR="00FE489A" w:rsidRPr="007476BD">
        <w:t xml:space="preserve"> Indeed, a comprehensive physiological and biochemical assessment of all subjects prior to and during the study indicated that </w:t>
      </w:r>
      <w:r w:rsidR="008D4E91" w:rsidRPr="007476BD">
        <w:t xml:space="preserve">apart from </w:t>
      </w:r>
      <w:r w:rsidR="00FE489A" w:rsidRPr="007476BD">
        <w:t xml:space="preserve">their diabetes, all subjects were </w:t>
      </w:r>
      <w:r w:rsidR="00B81E46" w:rsidRPr="007476BD">
        <w:t>of sound</w:t>
      </w:r>
      <w:r w:rsidR="00FE489A" w:rsidRPr="007476BD">
        <w:t xml:space="preserve"> health.</w:t>
      </w:r>
    </w:p>
    <w:p w:rsidR="00EC4E1C" w:rsidRPr="007476BD" w:rsidRDefault="00EC4E1C" w:rsidP="00EC4E1C">
      <w:pPr>
        <w:pStyle w:val="ListParagraph"/>
        <w:ind w:left="851"/>
      </w:pPr>
    </w:p>
    <w:p w:rsidR="00457BA9" w:rsidRPr="007476BD" w:rsidRDefault="00457BA9" w:rsidP="000F2B9B">
      <w:pPr>
        <w:rPr>
          <w:i/>
          <w:szCs w:val="22"/>
        </w:rPr>
      </w:pPr>
      <w:r w:rsidRPr="007476BD">
        <w:rPr>
          <w:b/>
          <w:i/>
          <w:szCs w:val="22"/>
        </w:rPr>
        <w:t xml:space="preserve">Issue </w:t>
      </w:r>
      <w:r w:rsidR="00AC7DD3" w:rsidRPr="007476BD">
        <w:rPr>
          <w:b/>
          <w:i/>
          <w:szCs w:val="22"/>
        </w:rPr>
        <w:t>11</w:t>
      </w:r>
    </w:p>
    <w:p w:rsidR="00457BA9" w:rsidRPr="007476BD" w:rsidRDefault="00457BA9" w:rsidP="00457BA9">
      <w:pPr>
        <w:pStyle w:val="FSBullet"/>
        <w:numPr>
          <w:ilvl w:val="0"/>
          <w:numId w:val="0"/>
        </w:numPr>
        <w:ind w:left="567" w:hanging="567"/>
      </w:pPr>
    </w:p>
    <w:p w:rsidR="002B6D6D" w:rsidRPr="007476BD" w:rsidRDefault="002B6D6D" w:rsidP="00457BA9">
      <w:pPr>
        <w:rPr>
          <w:i/>
        </w:rPr>
      </w:pPr>
      <w:r w:rsidRPr="007476BD">
        <w:rPr>
          <w:i/>
        </w:rPr>
        <w:t>Methanol produced from the metabolism of Advantame is of concern because it is metabolised to produce formaldehyde and formic acid, which are highly toxic.</w:t>
      </w:r>
    </w:p>
    <w:p w:rsidR="002B6D6D" w:rsidRPr="007476BD" w:rsidRDefault="002B6D6D" w:rsidP="002B6D6D">
      <w:pPr>
        <w:rPr>
          <w:rFonts w:cs="Arial"/>
          <w:sz w:val="20"/>
          <w:szCs w:val="20"/>
        </w:rPr>
      </w:pPr>
    </w:p>
    <w:p w:rsidR="008128B5" w:rsidRPr="007476BD" w:rsidRDefault="002B6D6D" w:rsidP="002B6D6D">
      <w:pPr>
        <w:rPr>
          <w:rFonts w:cs="Arial"/>
          <w:szCs w:val="22"/>
        </w:rPr>
      </w:pPr>
      <w:r w:rsidRPr="007476BD">
        <w:rPr>
          <w:rFonts w:cs="Arial"/>
          <w:szCs w:val="22"/>
        </w:rPr>
        <w:t>Humans are already exposed to methanol in the diet by virtue of its natural occurrence in a wide range of foods (including fruits and vegetables) and as a by-product of protein synthesis. The amount of methanol released during GIT hydrolysis of Advantame would be of a lesser magnitude than exposure via these other sources. The toxicological consequence of such dietary exposure to methanol has been assessed by various food regulatory authorities.</w:t>
      </w:r>
    </w:p>
    <w:p w:rsidR="008128B5" w:rsidRPr="007476BD" w:rsidRDefault="008128B5" w:rsidP="002B6D6D">
      <w:pPr>
        <w:rPr>
          <w:rFonts w:cs="Arial"/>
          <w:szCs w:val="22"/>
        </w:rPr>
      </w:pPr>
    </w:p>
    <w:p w:rsidR="00EC4E1C" w:rsidRPr="007476BD" w:rsidRDefault="002B6D6D" w:rsidP="002B6D6D">
      <w:pPr>
        <w:rPr>
          <w:rFonts w:cs="Arial"/>
          <w:szCs w:val="22"/>
        </w:rPr>
      </w:pPr>
      <w:r w:rsidRPr="007476BD">
        <w:rPr>
          <w:rFonts w:cs="Arial"/>
          <w:szCs w:val="22"/>
        </w:rPr>
        <w:t>For example, the UK’s Committee on Toxicity (COT) has recently concluded that exposure to methanol in food, including that resulting from the consumption of aspartame, is unlikely to be harmful to human health</w:t>
      </w:r>
      <w:r w:rsidR="006E350B" w:rsidRPr="007476BD">
        <w:rPr>
          <w:rStyle w:val="FootnoteReference"/>
          <w:rFonts w:cs="Arial"/>
          <w:szCs w:val="22"/>
        </w:rPr>
        <w:footnoteReference w:id="11"/>
      </w:r>
      <w:r w:rsidR="006E350B" w:rsidRPr="007476BD">
        <w:rPr>
          <w:rFonts w:cs="Arial"/>
          <w:szCs w:val="22"/>
        </w:rPr>
        <w:t xml:space="preserve">. </w:t>
      </w:r>
      <w:r w:rsidR="00EC4E1C" w:rsidRPr="007476BD">
        <w:rPr>
          <w:rFonts w:cs="Arial"/>
          <w:szCs w:val="22"/>
        </w:rPr>
        <w:br w:type="page"/>
      </w:r>
    </w:p>
    <w:p w:rsidR="00977FD0" w:rsidRPr="007476BD" w:rsidRDefault="00672E35" w:rsidP="00977FD0">
      <w:pPr>
        <w:pStyle w:val="Heading4"/>
      </w:pPr>
      <w:r w:rsidRPr="007476BD">
        <w:lastRenderedPageBreak/>
        <w:t>9.1.</w:t>
      </w:r>
      <w:r w:rsidR="002B6D6D" w:rsidRPr="007476BD">
        <w:t>3</w:t>
      </w:r>
      <w:r w:rsidR="002872CD" w:rsidRPr="007476BD">
        <w:tab/>
        <w:t>FSANZ and its obligations under the FSANZ Act</w:t>
      </w:r>
    </w:p>
    <w:p w:rsidR="00977FD0" w:rsidRPr="007476BD" w:rsidRDefault="00977FD0">
      <w:pPr>
        <w:widowControl/>
        <w:rPr>
          <w:rFonts w:cs="Arial"/>
          <w:szCs w:val="22"/>
        </w:rPr>
      </w:pPr>
    </w:p>
    <w:p w:rsidR="003804F4" w:rsidRPr="007476BD" w:rsidRDefault="002872CD">
      <w:pPr>
        <w:widowControl/>
        <w:rPr>
          <w:rFonts w:cs="Arial"/>
          <w:szCs w:val="22"/>
        </w:rPr>
      </w:pPr>
      <w:r w:rsidRPr="007476BD">
        <w:rPr>
          <w:rFonts w:cs="Arial"/>
          <w:szCs w:val="22"/>
        </w:rPr>
        <w:t>A submitter suggested that FSANZ had breached its obligations under the FSANZ Act by misleading consumers in two key areas:</w:t>
      </w:r>
    </w:p>
    <w:p w:rsidR="00C303DF" w:rsidRPr="007476BD" w:rsidRDefault="00C303DF">
      <w:pPr>
        <w:widowControl/>
        <w:rPr>
          <w:rFonts w:cs="Arial"/>
          <w:szCs w:val="22"/>
        </w:rPr>
      </w:pPr>
    </w:p>
    <w:p w:rsidR="00C303DF" w:rsidRPr="007476BD" w:rsidRDefault="002872CD" w:rsidP="004735D8">
      <w:pPr>
        <w:pStyle w:val="FSBullet"/>
        <w:rPr>
          <w:rFonts w:ascii="Helvetica" w:hAnsi="Helvetica" w:cs="Helvetica"/>
          <w:sz w:val="21"/>
          <w:szCs w:val="21"/>
          <w:lang w:eastAsia="en-GB" w:bidi="ar-SA"/>
        </w:rPr>
      </w:pPr>
      <w:r w:rsidRPr="007476BD">
        <w:t>not informing consumers tha</w:t>
      </w:r>
      <w:r w:rsidR="004735D8" w:rsidRPr="007476BD">
        <w:t xml:space="preserve">t </w:t>
      </w:r>
      <w:r w:rsidRPr="007476BD">
        <w:t>aspartame is made from genetically engineered bacteria</w:t>
      </w:r>
    </w:p>
    <w:p w:rsidR="003804F4" w:rsidRPr="007476BD" w:rsidRDefault="002872CD" w:rsidP="00B24B6C">
      <w:pPr>
        <w:pStyle w:val="FSBullet"/>
        <w:widowControl/>
        <w:rPr>
          <w:szCs w:val="22"/>
        </w:rPr>
      </w:pPr>
      <w:r w:rsidRPr="007476BD">
        <w:t xml:space="preserve">the serious public health and safety issues </w:t>
      </w:r>
      <w:r w:rsidR="00931D08" w:rsidRPr="007476BD">
        <w:t>that is</w:t>
      </w:r>
      <w:r w:rsidRPr="007476BD">
        <w:t xml:space="preserve"> evident in the data on Advantame</w:t>
      </w:r>
      <w:r w:rsidR="00430335" w:rsidRPr="007476BD">
        <w:t xml:space="preserve">. </w:t>
      </w:r>
    </w:p>
    <w:p w:rsidR="00B24B6C" w:rsidRPr="007476BD" w:rsidRDefault="00B24B6C" w:rsidP="00126AD4">
      <w:pPr>
        <w:rPr>
          <w:rFonts w:cs="Arial"/>
          <w:szCs w:val="22"/>
        </w:rPr>
      </w:pPr>
    </w:p>
    <w:p w:rsidR="001A7EB2" w:rsidRPr="007476BD" w:rsidRDefault="00126AD4" w:rsidP="00126AD4">
      <w:pPr>
        <w:rPr>
          <w:rFonts w:cs="Arial"/>
          <w:szCs w:val="22"/>
        </w:rPr>
      </w:pPr>
      <w:r w:rsidRPr="007476BD">
        <w:rPr>
          <w:rFonts w:cs="Arial"/>
          <w:szCs w:val="22"/>
        </w:rPr>
        <w:t xml:space="preserve">FSANZ does not have any data or information </w:t>
      </w:r>
      <w:r w:rsidR="00C140EF" w:rsidRPr="007476BD">
        <w:rPr>
          <w:rFonts w:cs="Arial"/>
          <w:szCs w:val="22"/>
        </w:rPr>
        <w:t xml:space="preserve">from the Application </w:t>
      </w:r>
      <w:r w:rsidRPr="007476BD">
        <w:rPr>
          <w:rFonts w:cs="Arial"/>
          <w:szCs w:val="22"/>
        </w:rPr>
        <w:t xml:space="preserve">that shows that there is any use of genetic engineering in the production of aspartame or Advantame. Advantame is synthesised from </w:t>
      </w:r>
      <w:r w:rsidR="00A848BB" w:rsidRPr="007476BD">
        <w:rPr>
          <w:rFonts w:cs="Arial"/>
          <w:szCs w:val="22"/>
        </w:rPr>
        <w:t>aspartame</w:t>
      </w:r>
      <w:r w:rsidRPr="007476BD">
        <w:rPr>
          <w:rFonts w:cs="Arial"/>
          <w:szCs w:val="22"/>
        </w:rPr>
        <w:t xml:space="preserve"> and a chemical named 3-(3-hydroxy-4-methoxyphenyl)-propionaldehyde (HMPA) in a one step process summarised below:</w:t>
      </w:r>
    </w:p>
    <w:p w:rsidR="00126AD4" w:rsidRPr="007476BD" w:rsidRDefault="00126AD4" w:rsidP="00126AD4">
      <w:pPr>
        <w:rPr>
          <w:rFonts w:cs="Arial"/>
          <w:szCs w:val="22"/>
        </w:rPr>
      </w:pPr>
      <w:r w:rsidRPr="007476BD">
        <w:rPr>
          <w:rFonts w:cs="Arial"/>
          <w:noProof/>
          <w:szCs w:val="22"/>
          <w:lang w:val="en-AU" w:eastAsia="en-AU" w:bidi="ar-SA"/>
        </w:rPr>
        <w:drawing>
          <wp:inline distT="0" distB="0" distL="0" distR="0" wp14:anchorId="6913E3BD" wp14:editId="3B14B52F">
            <wp:extent cx="5736590" cy="1535430"/>
            <wp:effectExtent l="19050" t="0" r="0" b="0"/>
            <wp:docPr id="1" name="Picture 1" descr="cid:image002.png@01CBF465.C2776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CBF465.C2776570"/>
                    <pic:cNvPicPr>
                      <a:picLocks noChangeAspect="1" noChangeArrowheads="1"/>
                    </pic:cNvPicPr>
                  </pic:nvPicPr>
                  <pic:blipFill>
                    <a:blip r:embed="rId18" r:link="rId19" cstate="print"/>
                    <a:srcRect/>
                    <a:stretch>
                      <a:fillRect/>
                    </a:stretch>
                  </pic:blipFill>
                  <pic:spPr bwMode="auto">
                    <a:xfrm>
                      <a:off x="0" y="0"/>
                      <a:ext cx="5736590" cy="1535430"/>
                    </a:xfrm>
                    <a:prstGeom prst="rect">
                      <a:avLst/>
                    </a:prstGeom>
                    <a:noFill/>
                    <a:ln w="9525">
                      <a:noFill/>
                      <a:miter lim="800000"/>
                      <a:headEnd/>
                      <a:tailEnd/>
                    </a:ln>
                  </pic:spPr>
                </pic:pic>
              </a:graphicData>
            </a:graphic>
          </wp:inline>
        </w:drawing>
      </w:r>
    </w:p>
    <w:p w:rsidR="00126AD4" w:rsidRPr="007476BD" w:rsidRDefault="00126AD4" w:rsidP="00126AD4">
      <w:pPr>
        <w:rPr>
          <w:rFonts w:cs="Arial"/>
          <w:szCs w:val="22"/>
        </w:rPr>
      </w:pPr>
      <w:r w:rsidRPr="007476BD">
        <w:rPr>
          <w:rFonts w:cs="Arial"/>
          <w:szCs w:val="22"/>
        </w:rPr>
        <w:t>For further information on this process, refer to Supporting Document 1 Risk and Technical Assessment repor</w:t>
      </w:r>
      <w:r w:rsidR="001C48D6" w:rsidRPr="007476BD">
        <w:rPr>
          <w:rFonts w:cs="Arial"/>
          <w:szCs w:val="22"/>
        </w:rPr>
        <w:t>t</w:t>
      </w:r>
      <w:r w:rsidR="007D24A3" w:rsidRPr="007476BD">
        <w:rPr>
          <w:rStyle w:val="FootnoteReference"/>
          <w:rFonts w:cs="Arial"/>
          <w:szCs w:val="22"/>
        </w:rPr>
        <w:footnoteReference w:id="12"/>
      </w:r>
      <w:r w:rsidR="007D24A3" w:rsidRPr="007476BD">
        <w:rPr>
          <w:rFonts w:cs="Arial"/>
          <w:szCs w:val="22"/>
        </w:rPr>
        <w:t>.</w:t>
      </w:r>
    </w:p>
    <w:p w:rsidR="007D24A3" w:rsidRPr="007476BD" w:rsidRDefault="007D24A3" w:rsidP="00126AD4">
      <w:pPr>
        <w:rPr>
          <w:rFonts w:cs="Arial"/>
          <w:szCs w:val="22"/>
        </w:rPr>
      </w:pPr>
    </w:p>
    <w:p w:rsidR="00AA5932" w:rsidRPr="007476BD" w:rsidRDefault="00AA5932" w:rsidP="00AA5932">
      <w:pPr>
        <w:rPr>
          <w:rFonts w:cs="Arial"/>
          <w:szCs w:val="22"/>
        </w:rPr>
      </w:pPr>
      <w:r w:rsidRPr="007476BD">
        <w:rPr>
          <w:rFonts w:cs="Arial"/>
          <w:szCs w:val="22"/>
        </w:rPr>
        <w:t xml:space="preserve">Under the current requirements of Standard 1.5.2 </w:t>
      </w:r>
      <w:r w:rsidR="00EC4E1C" w:rsidRPr="007476BD">
        <w:rPr>
          <w:rFonts w:cs="Arial"/>
          <w:szCs w:val="22"/>
        </w:rPr>
        <w:t xml:space="preserve">– </w:t>
      </w:r>
      <w:r w:rsidRPr="007476BD">
        <w:rPr>
          <w:rFonts w:cs="Arial"/>
          <w:szCs w:val="22"/>
        </w:rPr>
        <w:t xml:space="preserve">Food </w:t>
      </w:r>
      <w:r w:rsidR="00EC4E1C" w:rsidRPr="007476BD">
        <w:rPr>
          <w:rFonts w:cs="Arial"/>
          <w:szCs w:val="22"/>
        </w:rPr>
        <w:t>produced u</w:t>
      </w:r>
      <w:r w:rsidRPr="007476BD">
        <w:rPr>
          <w:rFonts w:cs="Arial"/>
          <w:szCs w:val="22"/>
        </w:rPr>
        <w:t xml:space="preserve">sing Gene Technology, there is a mandatory requirement that food products must be labelled as ‘genetically modified’ where novel DNA and novel protein is present in the final food. The Applicant provided a statement to the effect that Advantame ‘does not fall under the definitions of products consisting of products consisting of, nor containing genetically modified organisms (GM) and genetically modified microorganisms’. Since there are no genetically modified organisms or novel protein in Advantame-containing food products, there is no requirement for labelling under Standard 1.5.2. </w:t>
      </w:r>
    </w:p>
    <w:p w:rsidR="00D26235" w:rsidRPr="007476BD" w:rsidRDefault="00D26235">
      <w:pPr>
        <w:widowControl/>
        <w:rPr>
          <w:rFonts w:cs="Arial"/>
          <w:szCs w:val="22"/>
        </w:rPr>
      </w:pPr>
    </w:p>
    <w:p w:rsidR="00126AD4" w:rsidRPr="007476BD" w:rsidRDefault="00126AD4" w:rsidP="00126AD4">
      <w:pPr>
        <w:rPr>
          <w:rFonts w:cs="Arial"/>
          <w:szCs w:val="22"/>
        </w:rPr>
      </w:pPr>
      <w:r w:rsidRPr="007476BD">
        <w:rPr>
          <w:rFonts w:cs="Arial"/>
          <w:szCs w:val="22"/>
        </w:rPr>
        <w:t>In Australia and New Zealand</w:t>
      </w:r>
      <w:r w:rsidR="000529BC" w:rsidRPr="007476BD">
        <w:rPr>
          <w:rFonts w:cs="Arial"/>
          <w:szCs w:val="22"/>
        </w:rPr>
        <w:t>,</w:t>
      </w:r>
      <w:r w:rsidRPr="007476BD">
        <w:rPr>
          <w:rFonts w:cs="Arial"/>
          <w:szCs w:val="22"/>
        </w:rPr>
        <w:t xml:space="preserve"> aspartame is permitted for use as an intense sweetener in a range of foods to specified levels. The safety of aspartame has been the subject of comprehensive reviews by FSANZ, the FAO/WHO Joint Expert Committee on Food Additives (JECFA), the European Food Safety Authority (EFSA) and the US Food and Drug Administration (USFDA). Scientific evidence to date supports the safety of aspartame for use as a sweetener in food.</w:t>
      </w:r>
    </w:p>
    <w:p w:rsidR="00126AD4" w:rsidRPr="007476BD" w:rsidRDefault="00126AD4" w:rsidP="00126AD4">
      <w:pPr>
        <w:rPr>
          <w:rFonts w:cs="Arial"/>
          <w:szCs w:val="22"/>
        </w:rPr>
      </w:pPr>
    </w:p>
    <w:p w:rsidR="00F448F1" w:rsidRPr="007476BD" w:rsidRDefault="008B51A8" w:rsidP="00F448F1">
      <w:r w:rsidRPr="007476BD">
        <w:t xml:space="preserve">In regard to </w:t>
      </w:r>
      <w:r w:rsidR="000E0B38" w:rsidRPr="007476BD">
        <w:t xml:space="preserve">the suggestion </w:t>
      </w:r>
      <w:r w:rsidRPr="007476BD">
        <w:t>that there are serious public health and safety issues that are evident in the data on Advantame</w:t>
      </w:r>
      <w:r w:rsidR="002B6D6D" w:rsidRPr="007476BD">
        <w:t xml:space="preserve">, FSANZ </w:t>
      </w:r>
      <w:r w:rsidR="00110BB8" w:rsidRPr="007476BD">
        <w:t xml:space="preserve">concludes that Advantame does not </w:t>
      </w:r>
      <w:r w:rsidR="0089656D" w:rsidRPr="007476BD">
        <w:t>raise</w:t>
      </w:r>
      <w:r w:rsidR="00110BB8" w:rsidRPr="007476BD">
        <w:t xml:space="preserve"> </w:t>
      </w:r>
      <w:r w:rsidR="0089656D" w:rsidRPr="007476BD">
        <w:t>any public health and safety issues</w:t>
      </w:r>
      <w:r w:rsidR="00110BB8" w:rsidRPr="007476BD">
        <w:t xml:space="preserve"> for any age group at expected levels of dietary exposure</w:t>
      </w:r>
      <w:r w:rsidR="002B6D6D" w:rsidRPr="007476BD">
        <w:t xml:space="preserve"> (see Section </w:t>
      </w:r>
      <w:r w:rsidR="004E4424" w:rsidRPr="007476BD">
        <w:t xml:space="preserve">9.1.2). </w:t>
      </w:r>
    </w:p>
    <w:p w:rsidR="00F448F1" w:rsidRPr="007476BD" w:rsidRDefault="00F448F1" w:rsidP="00F448F1"/>
    <w:p w:rsidR="00E90556" w:rsidRPr="007476BD" w:rsidRDefault="00CB5CF6" w:rsidP="000C25A3">
      <w:pPr>
        <w:pStyle w:val="Heading4"/>
      </w:pPr>
      <w:r w:rsidRPr="007476BD">
        <w:t>9.1.</w:t>
      </w:r>
      <w:r w:rsidR="002B6D6D" w:rsidRPr="007476BD">
        <w:t>4</w:t>
      </w:r>
      <w:r w:rsidR="00E90556" w:rsidRPr="007476BD">
        <w:tab/>
        <w:t>Advantame and trademark</w:t>
      </w:r>
    </w:p>
    <w:p w:rsidR="00E90556" w:rsidRPr="007476BD" w:rsidRDefault="00E90556" w:rsidP="00E90556"/>
    <w:p w:rsidR="00F523EF" w:rsidRPr="007476BD" w:rsidRDefault="001B1406" w:rsidP="001B1406">
      <w:r w:rsidRPr="007476BD">
        <w:t>One of the submitters raised an issue around the status of Advantame as a trademark. Advantame is listed as a trademarked name for the chemical preparation</w:t>
      </w:r>
      <w:r w:rsidR="00F523EF" w:rsidRPr="007476BD">
        <w:t xml:space="preserve">. </w:t>
      </w:r>
    </w:p>
    <w:p w:rsidR="00F523EF" w:rsidRPr="007476BD" w:rsidRDefault="00F523EF" w:rsidP="001B1406">
      <w:r w:rsidRPr="007476BD">
        <w:t>H</w:t>
      </w:r>
      <w:r w:rsidR="001B1406" w:rsidRPr="007476BD">
        <w:t xml:space="preserve">owever, the submitter has claimed that information on their website states that it is a generic name for the sweetener, not a registered brand name. </w:t>
      </w:r>
      <w:r w:rsidRPr="007476BD">
        <w:br w:type="page"/>
      </w:r>
    </w:p>
    <w:p w:rsidR="00E90556" w:rsidRPr="007476BD" w:rsidRDefault="002872CD" w:rsidP="00E90556">
      <w:r w:rsidRPr="007476BD">
        <w:lastRenderedPageBreak/>
        <w:t xml:space="preserve">FSANZ liaised with the Applicant who indicated that they assigned Advantame to their new sweetener as a generic name, and do not intend to use this name as </w:t>
      </w:r>
      <w:r w:rsidR="006217BF" w:rsidRPr="007476BD">
        <w:t xml:space="preserve">a </w:t>
      </w:r>
      <w:r w:rsidRPr="007476BD">
        <w:t xml:space="preserve">trademarked name. However, they submitted an application for a trademark because Advantame is quite a new name and there was a possibility that a third party would register Advantame as a trademarked name and this would cause </w:t>
      </w:r>
      <w:r w:rsidR="004C4651" w:rsidRPr="007476BD">
        <w:t>issues</w:t>
      </w:r>
      <w:r w:rsidRPr="007476BD">
        <w:t xml:space="preserve"> </w:t>
      </w:r>
      <w:r w:rsidR="004C4651" w:rsidRPr="007476BD">
        <w:t>with</w:t>
      </w:r>
      <w:r w:rsidRPr="007476BD">
        <w:t xml:space="preserve"> using Advantame as </w:t>
      </w:r>
      <w:r w:rsidR="00802467" w:rsidRPr="007476BD">
        <w:t xml:space="preserve">a </w:t>
      </w:r>
      <w:r w:rsidRPr="007476BD">
        <w:t xml:space="preserve">generic name. Their application and registration aims to allow the Applicant or a customer to use this name as </w:t>
      </w:r>
      <w:r w:rsidR="00650014" w:rsidRPr="007476BD">
        <w:t xml:space="preserve">a </w:t>
      </w:r>
      <w:r w:rsidRPr="007476BD">
        <w:t>generic n</w:t>
      </w:r>
      <w:r w:rsidR="00CE0B9B" w:rsidRPr="007476BD">
        <w:t xml:space="preserve">ame without any problems. The Applicant </w:t>
      </w:r>
      <w:r w:rsidRPr="007476BD">
        <w:t xml:space="preserve">indicated that they would not claim infringement of trademark, </w:t>
      </w:r>
      <w:r w:rsidR="00650014" w:rsidRPr="007476BD">
        <w:t xml:space="preserve">if </w:t>
      </w:r>
      <w:r w:rsidRPr="007476BD">
        <w:t xml:space="preserve">Advantame is used as generic name for </w:t>
      </w:r>
      <w:r w:rsidR="004C4651" w:rsidRPr="007476BD">
        <w:t>their</w:t>
      </w:r>
      <w:r w:rsidR="002508F7" w:rsidRPr="007476BD">
        <w:t xml:space="preserve"> </w:t>
      </w:r>
      <w:r w:rsidRPr="007476BD">
        <w:t>new sweetener by third parties.</w:t>
      </w:r>
      <w:r w:rsidR="001B1406" w:rsidRPr="007476BD">
        <w:t xml:space="preserve"> </w:t>
      </w:r>
    </w:p>
    <w:p w:rsidR="007C3ABC" w:rsidRPr="007476BD" w:rsidRDefault="007C3ABC" w:rsidP="00E90556"/>
    <w:p w:rsidR="007C3ABC" w:rsidRPr="007476BD" w:rsidRDefault="00CB5CF6" w:rsidP="007C3ABC">
      <w:pPr>
        <w:pStyle w:val="Heading4"/>
      </w:pPr>
      <w:r w:rsidRPr="007476BD">
        <w:t>9.1.</w:t>
      </w:r>
      <w:r w:rsidR="002B6D6D" w:rsidRPr="007476BD">
        <w:t>5</w:t>
      </w:r>
      <w:r w:rsidR="007C3ABC" w:rsidRPr="007476BD">
        <w:tab/>
        <w:t>FSANZ and the peer-review process</w:t>
      </w:r>
    </w:p>
    <w:p w:rsidR="007C3ABC" w:rsidRPr="007476BD" w:rsidRDefault="007C3ABC" w:rsidP="00E90556"/>
    <w:p w:rsidR="007C3ABC" w:rsidRPr="007476BD" w:rsidRDefault="007C3ABC" w:rsidP="00E90556">
      <w:r w:rsidRPr="007476BD">
        <w:rPr>
          <w:rFonts w:cs="Arial"/>
          <w:szCs w:val="18"/>
        </w:rPr>
        <w:t>One submitter suggested that FSANZ considers reviewing its approach to toxicological assessments, in particular, the external peer review process. They suggest a panel review process similar to the European Food Safety Authority (EFSA).</w:t>
      </w:r>
    </w:p>
    <w:p w:rsidR="007C3ABC" w:rsidRPr="007476BD" w:rsidRDefault="007C3ABC" w:rsidP="00E90556"/>
    <w:p w:rsidR="00DE7EFC" w:rsidRPr="007476BD" w:rsidRDefault="00126AD4" w:rsidP="00DE7EFC">
      <w:r w:rsidRPr="007476BD">
        <w:t xml:space="preserve">FSANZ </w:t>
      </w:r>
      <w:r w:rsidR="00DE7EFC" w:rsidRPr="007476BD">
        <w:t>thank</w:t>
      </w:r>
      <w:r w:rsidR="00966286" w:rsidRPr="007476BD">
        <w:t>s</w:t>
      </w:r>
      <w:r w:rsidR="00DE7EFC" w:rsidRPr="007476BD">
        <w:t xml:space="preserve"> the submitter </w:t>
      </w:r>
      <w:r w:rsidR="00695D57" w:rsidRPr="007476BD">
        <w:t>for the</w:t>
      </w:r>
      <w:r w:rsidR="00DE7EFC" w:rsidRPr="007476BD">
        <w:t>ir suggestion but notes that a system is already in place for expert peer review when needed that works well on a case-by-case basis.</w:t>
      </w:r>
    </w:p>
    <w:p w:rsidR="00966286" w:rsidRPr="007476BD" w:rsidRDefault="00966286" w:rsidP="00DE7EFC"/>
    <w:p w:rsidR="000C25A3" w:rsidRPr="007476BD" w:rsidRDefault="00DE7EFC" w:rsidP="00DE7EFC">
      <w:r w:rsidRPr="007476BD">
        <w:t xml:space="preserve">FSANZ has given consideration to the development of a scientific committee before; however, given the size of the Australian </w:t>
      </w:r>
      <w:r w:rsidR="00687F5F" w:rsidRPr="007476BD">
        <w:t xml:space="preserve">and New Zealand </w:t>
      </w:r>
      <w:r w:rsidRPr="007476BD">
        <w:t xml:space="preserve">community, and the number of qualified people in regulatory toxicology and risk assessment, </w:t>
      </w:r>
      <w:r w:rsidR="00687F5F" w:rsidRPr="007476BD">
        <w:t xml:space="preserve">the </w:t>
      </w:r>
      <w:r w:rsidRPr="007476BD">
        <w:t xml:space="preserve">cost </w:t>
      </w:r>
      <w:r w:rsidR="00687F5F" w:rsidRPr="007476BD">
        <w:t xml:space="preserve">of that approach </w:t>
      </w:r>
      <w:r w:rsidR="00650014" w:rsidRPr="007476BD">
        <w:t xml:space="preserve">would need to be weighed up against </w:t>
      </w:r>
      <w:r w:rsidR="00687F5F" w:rsidRPr="007476BD">
        <w:t xml:space="preserve">any specific </w:t>
      </w:r>
      <w:r w:rsidRPr="007476BD">
        <w:t>benefit</w:t>
      </w:r>
      <w:r w:rsidR="00687F5F" w:rsidRPr="007476BD">
        <w:t>s</w:t>
      </w:r>
      <w:r w:rsidR="00C046BF" w:rsidRPr="007476BD">
        <w:t xml:space="preserve">. </w:t>
      </w:r>
      <w:r w:rsidRPr="007476BD">
        <w:t>Where a particularly complex or critical issue is involved FSANZ will set up a panel</w:t>
      </w:r>
      <w:r w:rsidR="006F3BE4" w:rsidRPr="007476BD">
        <w:t xml:space="preserve"> to address specific issues </w:t>
      </w:r>
      <w:r w:rsidRPr="007476BD">
        <w:t xml:space="preserve">but to do so routinely would have significant time and resource costs for FSANZ. </w:t>
      </w:r>
    </w:p>
    <w:p w:rsidR="00B15330" w:rsidRPr="007476BD" w:rsidRDefault="00B15330" w:rsidP="00B15330">
      <w:pPr>
        <w:widowControl/>
      </w:pPr>
    </w:p>
    <w:p w:rsidR="00DE7EFC" w:rsidRPr="007476BD" w:rsidRDefault="00DE7EFC" w:rsidP="00B15330">
      <w:pPr>
        <w:widowControl/>
      </w:pPr>
      <w:r w:rsidRPr="007476BD">
        <w:t>With A</w:t>
      </w:r>
      <w:r w:rsidR="002945F1" w:rsidRPr="007476BD">
        <w:t xml:space="preserve">dvantame the issues were </w:t>
      </w:r>
      <w:r w:rsidRPr="007476BD">
        <w:t>not particularly diffi</w:t>
      </w:r>
      <w:r w:rsidR="00687F5F" w:rsidRPr="007476BD">
        <w:t xml:space="preserve">cult and </w:t>
      </w:r>
      <w:r w:rsidRPr="007476BD">
        <w:t>the peer review sought was adequate, sufficie</w:t>
      </w:r>
      <w:r w:rsidR="00636A0F" w:rsidRPr="007476BD">
        <w:t xml:space="preserve">nt and appropriate for the </w:t>
      </w:r>
      <w:r w:rsidR="00687F5F" w:rsidRPr="007476BD">
        <w:t xml:space="preserve">assessment of </w:t>
      </w:r>
      <w:r w:rsidR="000529BC" w:rsidRPr="007476BD">
        <w:t>this Application</w:t>
      </w:r>
      <w:r w:rsidRPr="007476BD">
        <w:t>.</w:t>
      </w:r>
    </w:p>
    <w:p w:rsidR="00BC73EE" w:rsidRPr="007476BD" w:rsidRDefault="00BC73EE" w:rsidP="00BC73EE">
      <w:pPr>
        <w:widowControl/>
        <w:rPr>
          <w:rFonts w:cs="Arial"/>
          <w:szCs w:val="22"/>
        </w:rPr>
      </w:pPr>
      <w:bookmarkStart w:id="91" w:name="_Toc11735640"/>
      <w:bookmarkStart w:id="92" w:name="_Toc29883125"/>
      <w:bookmarkStart w:id="93" w:name="_Toc41906812"/>
      <w:bookmarkStart w:id="94" w:name="_Toc41907559"/>
      <w:bookmarkStart w:id="95" w:name="_Toc120358593"/>
    </w:p>
    <w:p w:rsidR="003C4969" w:rsidRPr="007476BD" w:rsidRDefault="007A44B4" w:rsidP="00224E4C">
      <w:pPr>
        <w:pStyle w:val="Heading2"/>
        <w:rPr>
          <w:rFonts w:cs="Arial"/>
          <w:szCs w:val="22"/>
        </w:rPr>
      </w:pPr>
      <w:bookmarkStart w:id="96" w:name="_Toc296958623"/>
      <w:r w:rsidRPr="007476BD">
        <w:t>10.</w:t>
      </w:r>
      <w:r w:rsidR="003C4969" w:rsidRPr="007476BD">
        <w:tab/>
        <w:t>Consultation</w:t>
      </w:r>
      <w:bookmarkEnd w:id="91"/>
      <w:bookmarkEnd w:id="92"/>
      <w:bookmarkEnd w:id="93"/>
      <w:bookmarkEnd w:id="94"/>
      <w:bookmarkEnd w:id="95"/>
      <w:bookmarkEnd w:id="96"/>
    </w:p>
    <w:p w:rsidR="00207F59" w:rsidRPr="007476BD" w:rsidRDefault="00207F59" w:rsidP="00207F59">
      <w:pPr>
        <w:rPr>
          <w:szCs w:val="22"/>
        </w:rPr>
      </w:pPr>
    </w:p>
    <w:p w:rsidR="006B3AAC" w:rsidRPr="007476BD" w:rsidRDefault="00207F59" w:rsidP="006B3AAC">
      <w:r w:rsidRPr="007476BD">
        <w:rPr>
          <w:szCs w:val="22"/>
        </w:rPr>
        <w:t>Comments received in the sec</w:t>
      </w:r>
      <w:r w:rsidR="003804F4" w:rsidRPr="007476BD">
        <w:rPr>
          <w:szCs w:val="22"/>
        </w:rPr>
        <w:t xml:space="preserve">ond consultation period were </w:t>
      </w:r>
      <w:r w:rsidRPr="007476BD">
        <w:rPr>
          <w:szCs w:val="22"/>
        </w:rPr>
        <w:t>used to assist in preparing the Approval Report, to complete the Application.</w:t>
      </w:r>
      <w:bookmarkStart w:id="97" w:name="_Toc15456903"/>
      <w:bookmarkStart w:id="98" w:name="_Toc20727764"/>
      <w:bookmarkStart w:id="99" w:name="_Toc29727729"/>
      <w:bookmarkStart w:id="100" w:name="_Toc29883126"/>
      <w:bookmarkStart w:id="101" w:name="_Toc41906813"/>
      <w:bookmarkStart w:id="102" w:name="_Toc41907560"/>
      <w:bookmarkStart w:id="103" w:name="_Toc120358594"/>
    </w:p>
    <w:p w:rsidR="006B3AAC" w:rsidRPr="007476BD" w:rsidRDefault="006B3AAC" w:rsidP="006B3AAC">
      <w:pPr>
        <w:pStyle w:val="Heading4"/>
      </w:pPr>
    </w:p>
    <w:p w:rsidR="003C4969" w:rsidRPr="007476BD" w:rsidRDefault="007A44B4" w:rsidP="00224E4C">
      <w:pPr>
        <w:pStyle w:val="Heading3"/>
      </w:pPr>
      <w:bookmarkStart w:id="104" w:name="_Toc296958624"/>
      <w:r w:rsidRPr="007476BD">
        <w:t>10.1</w:t>
      </w:r>
      <w:r w:rsidR="003C4969" w:rsidRPr="007476BD">
        <w:tab/>
        <w:t>World Trade Organization (WTO)</w:t>
      </w:r>
      <w:bookmarkEnd w:id="97"/>
      <w:bookmarkEnd w:id="98"/>
      <w:bookmarkEnd w:id="99"/>
      <w:bookmarkEnd w:id="100"/>
      <w:bookmarkEnd w:id="101"/>
      <w:bookmarkEnd w:id="102"/>
      <w:bookmarkEnd w:id="103"/>
      <w:bookmarkEnd w:id="104"/>
    </w:p>
    <w:p w:rsidR="0001051D" w:rsidRPr="007476BD" w:rsidRDefault="0001051D">
      <w:pPr>
        <w:rPr>
          <w:rFonts w:cs="Arial"/>
          <w:bCs/>
        </w:rPr>
      </w:pPr>
    </w:p>
    <w:p w:rsidR="00F448F1" w:rsidRPr="007476BD" w:rsidRDefault="0001051D" w:rsidP="00F448F1">
      <w:pPr>
        <w:tabs>
          <w:tab w:val="left" w:pos="8222"/>
        </w:tabs>
        <w:rPr>
          <w:szCs w:val="21"/>
        </w:rPr>
      </w:pPr>
      <w:r w:rsidRPr="007476BD">
        <w:rPr>
          <w:color w:val="000000"/>
          <w:szCs w:val="22"/>
        </w:rPr>
        <w:t>As members of the WTO, Australia and New Zealand are obligated to notify WTO member nations where proposed mandatory regulatory measures are inconsistent with any existing or imminent international standards and the proposed measure may have a significant effect on trade.</w:t>
      </w:r>
      <w:r w:rsidR="00F448F1" w:rsidRPr="007476BD">
        <w:rPr>
          <w:color w:val="000000"/>
          <w:szCs w:val="22"/>
        </w:rPr>
        <w:t xml:space="preserve"> </w:t>
      </w:r>
      <w:r w:rsidRPr="007476BD">
        <w:rPr>
          <w:szCs w:val="22"/>
        </w:rPr>
        <w:t xml:space="preserve">The inclusion </w:t>
      </w:r>
      <w:r w:rsidR="00F75DF8" w:rsidRPr="007476BD">
        <w:rPr>
          <w:szCs w:val="22"/>
        </w:rPr>
        <w:t xml:space="preserve">of </w:t>
      </w:r>
      <w:r w:rsidR="00276EDB" w:rsidRPr="007476BD">
        <w:rPr>
          <w:szCs w:val="22"/>
        </w:rPr>
        <w:t>Advantame</w:t>
      </w:r>
      <w:r w:rsidRPr="007476BD">
        <w:rPr>
          <w:szCs w:val="22"/>
        </w:rPr>
        <w:t xml:space="preserve"> would have a trade enabling effect as it would permit specific foods containing </w:t>
      </w:r>
      <w:r w:rsidR="00276EDB" w:rsidRPr="007476BD">
        <w:rPr>
          <w:szCs w:val="22"/>
        </w:rPr>
        <w:t>Advantame</w:t>
      </w:r>
      <w:r w:rsidRPr="007476BD">
        <w:rPr>
          <w:szCs w:val="22"/>
        </w:rPr>
        <w:t xml:space="preserve"> to be imported into Australia and New Zealand and sold, where currently they would be prohibited</w:t>
      </w:r>
      <w:r w:rsidR="00503CC3" w:rsidRPr="007476BD">
        <w:rPr>
          <w:szCs w:val="22"/>
        </w:rPr>
        <w:t xml:space="preserve">. </w:t>
      </w:r>
      <w:r w:rsidR="00F523EF" w:rsidRPr="007476BD">
        <w:rPr>
          <w:szCs w:val="21"/>
        </w:rPr>
        <w:t>For this reason, there wa</w:t>
      </w:r>
      <w:r w:rsidR="00EC790D" w:rsidRPr="007476BD">
        <w:rPr>
          <w:szCs w:val="21"/>
        </w:rPr>
        <w:t xml:space="preserve">s </w:t>
      </w:r>
      <w:r w:rsidR="007A541C" w:rsidRPr="007476BD">
        <w:rPr>
          <w:szCs w:val="21"/>
        </w:rPr>
        <w:t xml:space="preserve">no need to notify this Application under the Sanitary or Phytosanitary Measures (SPS) Agreement. </w:t>
      </w:r>
    </w:p>
    <w:p w:rsidR="00F448F1" w:rsidRPr="007476BD" w:rsidRDefault="00F448F1" w:rsidP="00F448F1">
      <w:pPr>
        <w:tabs>
          <w:tab w:val="left" w:pos="8222"/>
        </w:tabs>
      </w:pPr>
    </w:p>
    <w:p w:rsidR="005F7342" w:rsidRPr="007476BD" w:rsidRDefault="005F7342" w:rsidP="000C25A3">
      <w:pPr>
        <w:pStyle w:val="Heading1"/>
      </w:pPr>
      <w:bookmarkStart w:id="105" w:name="_Toc296958625"/>
      <w:r w:rsidRPr="007476BD">
        <w:t>Conclusion</w:t>
      </w:r>
      <w:bookmarkEnd w:id="105"/>
    </w:p>
    <w:p w:rsidR="005F7342" w:rsidRPr="007476BD" w:rsidRDefault="005F7342" w:rsidP="005F7342">
      <w:pPr>
        <w:rPr>
          <w:rFonts w:cs="Arial"/>
        </w:rPr>
      </w:pPr>
    </w:p>
    <w:p w:rsidR="005F7342" w:rsidRPr="007476BD" w:rsidRDefault="007A44B4" w:rsidP="006A48A7">
      <w:pPr>
        <w:pStyle w:val="Heading2"/>
      </w:pPr>
      <w:bookmarkStart w:id="106" w:name="_Toc296958626"/>
      <w:r w:rsidRPr="007476BD">
        <w:t>11</w:t>
      </w:r>
      <w:r w:rsidR="005F7342" w:rsidRPr="007476BD">
        <w:t>.</w:t>
      </w:r>
      <w:r w:rsidR="005F7342" w:rsidRPr="007476BD">
        <w:tab/>
        <w:t xml:space="preserve">Conclusion and </w:t>
      </w:r>
      <w:r w:rsidR="00390D23" w:rsidRPr="007476BD">
        <w:t>Decision</w:t>
      </w:r>
      <w:bookmarkEnd w:id="106"/>
    </w:p>
    <w:p w:rsidR="00E7330A" w:rsidRPr="007476BD" w:rsidRDefault="00E7330A" w:rsidP="00E04062">
      <w:pPr>
        <w:rPr>
          <w:rFonts w:cs="Arial"/>
        </w:rPr>
      </w:pPr>
    </w:p>
    <w:p w:rsidR="00F75DF8" w:rsidRPr="007476BD" w:rsidRDefault="007C6C4E" w:rsidP="007C6C4E">
      <w:pPr>
        <w:rPr>
          <w:rFonts w:cs="Arial"/>
        </w:rPr>
      </w:pPr>
      <w:r w:rsidRPr="007476BD">
        <w:rPr>
          <w:rFonts w:cs="Arial"/>
        </w:rPr>
        <w:t>It is concluded that approval for the use of</w:t>
      </w:r>
      <w:r w:rsidR="00F75DF8" w:rsidRPr="007476BD">
        <w:rPr>
          <w:rFonts w:cs="Arial"/>
        </w:rPr>
        <w:t xml:space="preserve"> </w:t>
      </w:r>
      <w:r w:rsidR="00276EDB" w:rsidRPr="007476BD">
        <w:rPr>
          <w:rFonts w:cs="Arial"/>
        </w:rPr>
        <w:t>Advantame</w:t>
      </w:r>
      <w:r w:rsidRPr="007476BD">
        <w:rPr>
          <w:rFonts w:cs="Arial"/>
        </w:rPr>
        <w:t xml:space="preserve"> as a food additive does not </w:t>
      </w:r>
      <w:r w:rsidR="0089656D" w:rsidRPr="007476BD">
        <w:t>raise</w:t>
      </w:r>
      <w:r w:rsidR="00E246B2" w:rsidRPr="007476BD">
        <w:t xml:space="preserve"> </w:t>
      </w:r>
      <w:r w:rsidR="0089656D" w:rsidRPr="007476BD">
        <w:t xml:space="preserve">any public health and safety issues </w:t>
      </w:r>
      <w:r w:rsidR="00BC1F84" w:rsidRPr="007476BD">
        <w:t>for Australian or New Zealand consumers</w:t>
      </w:r>
      <w:r w:rsidRPr="007476BD">
        <w:rPr>
          <w:rFonts w:cs="Arial"/>
        </w:rPr>
        <w:t xml:space="preserve"> and satisfies the requirements in the FSANZ Act. </w:t>
      </w:r>
    </w:p>
    <w:p w:rsidR="0055593E" w:rsidRPr="007476BD" w:rsidRDefault="0055593E" w:rsidP="007C6C4E">
      <w:pPr>
        <w:rPr>
          <w:rFonts w:cs="Arial"/>
        </w:rPr>
      </w:pPr>
    </w:p>
    <w:p w:rsidR="00F523EF" w:rsidRPr="007476BD" w:rsidRDefault="0055593E" w:rsidP="007C6C4E">
      <w:r w:rsidRPr="007476BD">
        <w:t>FSANZ has considered the primary objective of protection of public health and safety and has concluded that safety assessment did not identify any public health</w:t>
      </w:r>
      <w:r w:rsidR="00E827A7" w:rsidRPr="007476BD">
        <w:t xml:space="preserve"> concerns</w:t>
      </w:r>
      <w:r w:rsidRPr="007476BD">
        <w:t xml:space="preserve">. </w:t>
      </w:r>
      <w:r w:rsidR="00F523EF" w:rsidRPr="007476BD">
        <w:br w:type="page"/>
      </w:r>
    </w:p>
    <w:p w:rsidR="0055593E" w:rsidRPr="007476BD" w:rsidRDefault="0055593E" w:rsidP="007C6C4E">
      <w:pPr>
        <w:rPr>
          <w:rFonts w:cs="Arial"/>
        </w:rPr>
      </w:pPr>
      <w:r w:rsidRPr="007476BD">
        <w:lastRenderedPageBreak/>
        <w:t>FSANZ considers that current labelling requirements meet the</w:t>
      </w:r>
      <w:r w:rsidRPr="007476BD">
        <w:rPr>
          <w:rFonts w:cs="Arial"/>
        </w:rPr>
        <w:t xml:space="preserve"> objective of providing adequate information to enable informed choice, and that prevention of misleading and deceptive conduct is not directly relevant to this application. </w:t>
      </w:r>
    </w:p>
    <w:p w:rsidR="007E4D74" w:rsidRPr="007476BD" w:rsidRDefault="007E4D74" w:rsidP="007E4D74"/>
    <w:p w:rsidR="00935337" w:rsidRPr="007476BD" w:rsidRDefault="00935337" w:rsidP="00935337">
      <w:pPr>
        <w:pStyle w:val="FSDecisionHeading"/>
      </w:pPr>
      <w:r w:rsidRPr="007476BD">
        <w:t>Decision</w:t>
      </w:r>
    </w:p>
    <w:p w:rsidR="00935337" w:rsidRPr="007476BD" w:rsidRDefault="00935337" w:rsidP="00935337">
      <w:pPr>
        <w:pStyle w:val="FSDecisiontext"/>
        <w:rPr>
          <w:rFonts w:cs="Arial"/>
        </w:rPr>
      </w:pPr>
    </w:p>
    <w:p w:rsidR="00935337" w:rsidRPr="007476BD" w:rsidRDefault="00935337" w:rsidP="00935337">
      <w:pPr>
        <w:pStyle w:val="Decisiontext"/>
        <w:rPr>
          <w:rFonts w:ascii="Arial Bold" w:hAnsi="Arial Bold"/>
          <w:b/>
          <w:strike/>
          <w:szCs w:val="22"/>
        </w:rPr>
      </w:pPr>
      <w:r w:rsidRPr="007476BD">
        <w:rPr>
          <w:b/>
          <w:szCs w:val="22"/>
        </w:rPr>
        <w:t xml:space="preserve">To approve the draft variations to Standard 1.3.1 to permit the use of Advantame as a Schedule 2 food additive according to Good Manufacturing Practice (GMP) in foods specified in Schedule 1. </w:t>
      </w:r>
    </w:p>
    <w:p w:rsidR="007E4D74" w:rsidRPr="007476BD" w:rsidRDefault="007E4D74" w:rsidP="007E4D74">
      <w:pPr>
        <w:rPr>
          <w:rFonts w:cs="Arial"/>
        </w:rPr>
      </w:pPr>
    </w:p>
    <w:p w:rsidR="007E4D74" w:rsidRPr="007476BD" w:rsidRDefault="007E4D74" w:rsidP="007E4D74">
      <w:pPr>
        <w:rPr>
          <w:rFonts w:cs="Arial"/>
        </w:rPr>
      </w:pPr>
      <w:r w:rsidRPr="007476BD">
        <w:rPr>
          <w:rFonts w:cs="Arial"/>
          <w:b/>
          <w:bCs/>
        </w:rPr>
        <w:t xml:space="preserve">Reasons for </w:t>
      </w:r>
      <w:r w:rsidR="00390D23" w:rsidRPr="007476BD">
        <w:rPr>
          <w:rFonts w:cs="Arial"/>
          <w:b/>
          <w:bCs/>
        </w:rPr>
        <w:t>Decision</w:t>
      </w:r>
    </w:p>
    <w:p w:rsidR="007E4D74" w:rsidRPr="007476BD" w:rsidRDefault="007E4D74" w:rsidP="007E4D74">
      <w:pPr>
        <w:pStyle w:val="Header"/>
        <w:tabs>
          <w:tab w:val="left" w:pos="567"/>
        </w:tabs>
        <w:rPr>
          <w:color w:val="000000"/>
          <w:szCs w:val="22"/>
        </w:rPr>
      </w:pPr>
    </w:p>
    <w:p w:rsidR="007E4D74" w:rsidRPr="007476BD" w:rsidRDefault="007E4D74" w:rsidP="007E4D74">
      <w:pPr>
        <w:pStyle w:val="Header"/>
        <w:tabs>
          <w:tab w:val="left" w:pos="567"/>
        </w:tabs>
        <w:rPr>
          <w:szCs w:val="22"/>
        </w:rPr>
      </w:pPr>
      <w:r w:rsidRPr="007476BD">
        <w:rPr>
          <w:color w:val="000000"/>
          <w:szCs w:val="22"/>
        </w:rPr>
        <w:t xml:space="preserve">The development of an amendment to the Code to give approval to the sale and use of food with added Advantame in Australia and New Zealand is </w:t>
      </w:r>
      <w:r w:rsidRPr="007476BD">
        <w:rPr>
          <w:szCs w:val="22"/>
        </w:rPr>
        <w:t xml:space="preserve">proposed on the basis of the available scientific evidence, for the following reasons: </w:t>
      </w:r>
    </w:p>
    <w:p w:rsidR="007E4D74" w:rsidRPr="007476BD" w:rsidRDefault="007E4D74" w:rsidP="007E4D74">
      <w:pPr>
        <w:pStyle w:val="Header"/>
        <w:tabs>
          <w:tab w:val="left" w:pos="567"/>
        </w:tabs>
        <w:rPr>
          <w:szCs w:val="22"/>
        </w:rPr>
      </w:pPr>
    </w:p>
    <w:p w:rsidR="007E4D74" w:rsidRPr="007476BD" w:rsidRDefault="00650014" w:rsidP="007E4D74">
      <w:pPr>
        <w:pStyle w:val="FSBullet"/>
      </w:pPr>
      <w:r w:rsidRPr="007476BD">
        <w:t>T</w:t>
      </w:r>
      <w:r w:rsidR="007E4D74" w:rsidRPr="007476BD">
        <w:t xml:space="preserve">he safety assessment did not identify any public health and safety </w:t>
      </w:r>
      <w:r w:rsidR="00FB35D9" w:rsidRPr="007476BD">
        <w:t>issues</w:t>
      </w:r>
      <w:r w:rsidR="0004077E" w:rsidRPr="007476BD">
        <w:t>.</w:t>
      </w:r>
    </w:p>
    <w:p w:rsidR="007E4D74" w:rsidRPr="007476BD" w:rsidRDefault="007E4D74" w:rsidP="007E4D74">
      <w:pPr>
        <w:pStyle w:val="FSBullet"/>
        <w:numPr>
          <w:ilvl w:val="0"/>
          <w:numId w:val="0"/>
        </w:numPr>
        <w:ind w:left="567"/>
      </w:pPr>
    </w:p>
    <w:p w:rsidR="007E4D74" w:rsidRPr="007476BD" w:rsidRDefault="0004077E" w:rsidP="007E4D74">
      <w:pPr>
        <w:pStyle w:val="FSBullet"/>
      </w:pPr>
      <w:r w:rsidRPr="007476BD">
        <w:t>U</w:t>
      </w:r>
      <w:r w:rsidR="007E4D74" w:rsidRPr="007476BD">
        <w:t>se of Advantame is technologically justified</w:t>
      </w:r>
      <w:r w:rsidRPr="007476BD">
        <w:t>.</w:t>
      </w:r>
    </w:p>
    <w:p w:rsidR="007E4D74" w:rsidRPr="007476BD" w:rsidRDefault="007E4D74" w:rsidP="007E4D74">
      <w:pPr>
        <w:pStyle w:val="FSBullet"/>
        <w:numPr>
          <w:ilvl w:val="0"/>
          <w:numId w:val="0"/>
        </w:numPr>
      </w:pPr>
    </w:p>
    <w:p w:rsidR="007E4D74" w:rsidRPr="007476BD" w:rsidRDefault="0004077E" w:rsidP="007E4D74">
      <w:pPr>
        <w:pStyle w:val="FSBullet"/>
      </w:pPr>
      <w:r w:rsidRPr="007476BD">
        <w:t>A</w:t>
      </w:r>
      <w:r w:rsidR="007E4D74" w:rsidRPr="007476BD">
        <w:t xml:space="preserve">pproval for addition of Advantame to food is consistent with Ministerial </w:t>
      </w:r>
      <w:r w:rsidR="000529BC" w:rsidRPr="007476BD">
        <w:t xml:space="preserve">Council </w:t>
      </w:r>
      <w:r w:rsidR="007E4D74" w:rsidRPr="007476BD">
        <w:t xml:space="preserve">policy guidance on the </w:t>
      </w:r>
      <w:r w:rsidR="007E4D74" w:rsidRPr="007476BD">
        <w:rPr>
          <w:i/>
        </w:rPr>
        <w:t>Addition to Food of Substances other than Vitamins and Minerals</w:t>
      </w:r>
      <w:r w:rsidR="007E4D74" w:rsidRPr="007476BD">
        <w:rPr>
          <w:rStyle w:val="FootnoteReference"/>
          <w:i/>
        </w:rPr>
        <w:footnoteReference w:id="13"/>
      </w:r>
      <w:r w:rsidRPr="007476BD">
        <w:rPr>
          <w:i/>
        </w:rPr>
        <w:t>.</w:t>
      </w:r>
    </w:p>
    <w:p w:rsidR="007E4D74" w:rsidRPr="007476BD" w:rsidRDefault="007E4D74" w:rsidP="007E4D74">
      <w:pPr>
        <w:pStyle w:val="FSBullet"/>
        <w:numPr>
          <w:ilvl w:val="0"/>
          <w:numId w:val="0"/>
        </w:numPr>
        <w:ind w:left="567"/>
      </w:pPr>
    </w:p>
    <w:p w:rsidR="007E4D74" w:rsidRPr="007476BD" w:rsidRDefault="0004077E" w:rsidP="007E4D74">
      <w:pPr>
        <w:pStyle w:val="FSBullet"/>
      </w:pPr>
      <w:r w:rsidRPr="007476BD">
        <w:t>A</w:t>
      </w:r>
      <w:r w:rsidR="007E4D74" w:rsidRPr="007476BD">
        <w:t xml:space="preserve"> regulation impact assessment process has been undertaken that fulfils the requirement in Australia and New Zealand for an assessment of compliance costs. The assessment concluded that the approval of Advantame as an intense sweetener in schedule 2 of Standard 1.3.1 </w:t>
      </w:r>
      <w:r w:rsidR="00D96FC1" w:rsidRPr="007476BD">
        <w:t xml:space="preserve">(Option 2B) </w:t>
      </w:r>
      <w:r w:rsidR="007E4D74" w:rsidRPr="007476BD">
        <w:t>provides a net benefit</w:t>
      </w:r>
      <w:r w:rsidRPr="007476BD">
        <w:t>.</w:t>
      </w:r>
    </w:p>
    <w:p w:rsidR="007E4D74" w:rsidRPr="007476BD" w:rsidRDefault="007E4D74" w:rsidP="008128B5"/>
    <w:p w:rsidR="00BC73EE" w:rsidRPr="007476BD" w:rsidRDefault="0004077E" w:rsidP="00BC73EE">
      <w:pPr>
        <w:pStyle w:val="FSBullet"/>
      </w:pPr>
      <w:r w:rsidRPr="007476BD">
        <w:t>There</w:t>
      </w:r>
      <w:r w:rsidR="007E4D74" w:rsidRPr="007476BD">
        <w:t xml:space="preserve"> are no other measures that would be more cost-effective than a variation to Standard 1.3.1 that could achieve the same end.</w:t>
      </w:r>
      <w:bookmarkStart w:id="107" w:name="_Toc11735642"/>
      <w:bookmarkStart w:id="108" w:name="_Toc29883129"/>
      <w:bookmarkStart w:id="109" w:name="_Toc41906816"/>
      <w:bookmarkStart w:id="110" w:name="_Toc41907563"/>
      <w:bookmarkStart w:id="111" w:name="_Toc120358595"/>
    </w:p>
    <w:p w:rsidR="00BC73EE" w:rsidRPr="007476BD" w:rsidRDefault="00BC73EE" w:rsidP="00BC73EE">
      <w:pPr>
        <w:pStyle w:val="ListParagraph"/>
      </w:pPr>
    </w:p>
    <w:p w:rsidR="003C4969" w:rsidRPr="007476BD" w:rsidRDefault="007A44B4" w:rsidP="00D26235">
      <w:pPr>
        <w:pStyle w:val="Heading2"/>
      </w:pPr>
      <w:bookmarkStart w:id="112" w:name="_Toc296958627"/>
      <w:r w:rsidRPr="007476BD">
        <w:t>12</w:t>
      </w:r>
      <w:r w:rsidR="003C4969" w:rsidRPr="007476BD">
        <w:t>.</w:t>
      </w:r>
      <w:r w:rsidR="003C4969" w:rsidRPr="007476BD">
        <w:tab/>
        <w:t>Implementation and Review</w:t>
      </w:r>
      <w:bookmarkEnd w:id="107"/>
      <w:bookmarkEnd w:id="108"/>
      <w:bookmarkEnd w:id="109"/>
      <w:bookmarkEnd w:id="110"/>
      <w:bookmarkEnd w:id="111"/>
      <w:bookmarkEnd w:id="112"/>
    </w:p>
    <w:p w:rsidR="003C4969" w:rsidRPr="007476BD" w:rsidRDefault="003C4969">
      <w:pPr>
        <w:pStyle w:val="Header"/>
        <w:rPr>
          <w:rFonts w:cs="Arial"/>
        </w:rPr>
      </w:pPr>
    </w:p>
    <w:p w:rsidR="00314FB6" w:rsidRPr="007476BD" w:rsidRDefault="00314FB6" w:rsidP="00314FB6">
      <w:r w:rsidRPr="007476BD">
        <w:t>The FSANZ Board’s decision will be notified to the Ministerial Council. Following notification, the proposed draft variation to the Code is expected to come into effect on gazettal, subject to any request from the Ministerial Council for a review of FSANZ’s decision.</w:t>
      </w:r>
    </w:p>
    <w:p w:rsidR="00752F7F" w:rsidRPr="007476BD" w:rsidRDefault="00752F7F" w:rsidP="00752F7F">
      <w:pPr>
        <w:pStyle w:val="Header"/>
        <w:rPr>
          <w:rFonts w:cs="Arial"/>
          <w:b/>
          <w:u w:val="single"/>
        </w:rPr>
      </w:pPr>
      <w:bookmarkStart w:id="113" w:name="_Toc238629456"/>
    </w:p>
    <w:p w:rsidR="00477B0F" w:rsidRPr="007476BD" w:rsidRDefault="00477B0F" w:rsidP="00477B0F">
      <w:pPr>
        <w:pStyle w:val="Header"/>
        <w:rPr>
          <w:rFonts w:cs="Arial"/>
          <w:b/>
          <w:u w:val="single"/>
        </w:rPr>
      </w:pPr>
      <w:r w:rsidRPr="007476BD">
        <w:rPr>
          <w:rFonts w:cs="Arial"/>
          <w:b/>
          <w:u w:val="single"/>
        </w:rPr>
        <w:t>REFERENCES</w:t>
      </w:r>
    </w:p>
    <w:p w:rsidR="00477B0F" w:rsidRPr="007476BD" w:rsidRDefault="00477B0F" w:rsidP="00752F7F">
      <w:pPr>
        <w:pStyle w:val="Header"/>
        <w:rPr>
          <w:rFonts w:cs="Arial"/>
          <w:b/>
          <w:u w:val="single"/>
        </w:rPr>
      </w:pPr>
    </w:p>
    <w:p w:rsidR="00477B0F" w:rsidRPr="007476BD" w:rsidRDefault="00477B0F" w:rsidP="00477B0F">
      <w:pPr>
        <w:rPr>
          <w:rFonts w:cs="Arial"/>
          <w:sz w:val="20"/>
          <w:szCs w:val="20"/>
        </w:rPr>
      </w:pPr>
      <w:r w:rsidRPr="007476BD">
        <w:rPr>
          <w:rFonts w:cs="Arial"/>
          <w:sz w:val="20"/>
          <w:szCs w:val="20"/>
        </w:rPr>
        <w:t xml:space="preserve">Fulcher SM, Renaut SD &amp; Bottomly AM (2003) ANS9801: Study of effect on embryo-fetal toxicity in the rabbit by gavage administration. Report No. AJO 190/022479. Lab: Huntingdon Life Sciences Ltd, Huntingdon, Cambridgeshire, England. Sponsor: Ajinomoto Co Inc, Tokyo, Japan. </w:t>
      </w:r>
      <w:r w:rsidRPr="007476BD">
        <w:rPr>
          <w:rFonts w:cs="Arial"/>
          <w:i/>
          <w:sz w:val="20"/>
          <w:szCs w:val="20"/>
        </w:rPr>
        <w:t>Unpublished</w:t>
      </w:r>
      <w:r w:rsidRPr="007476BD">
        <w:rPr>
          <w:rFonts w:cs="Arial"/>
          <w:sz w:val="20"/>
          <w:szCs w:val="20"/>
        </w:rPr>
        <w:t>.</w:t>
      </w:r>
    </w:p>
    <w:p w:rsidR="00477B0F" w:rsidRPr="007476BD" w:rsidRDefault="00477B0F" w:rsidP="00752F7F">
      <w:pPr>
        <w:pStyle w:val="Header"/>
        <w:rPr>
          <w:rFonts w:cs="Arial"/>
          <w:b/>
          <w:sz w:val="20"/>
          <w:szCs w:val="20"/>
          <w:u w:val="single"/>
        </w:rPr>
      </w:pPr>
    </w:p>
    <w:p w:rsidR="00621F8F" w:rsidRPr="007476BD" w:rsidRDefault="00621F8F" w:rsidP="00621F8F">
      <w:pPr>
        <w:pStyle w:val="FootnoteText"/>
      </w:pPr>
      <w:r w:rsidRPr="007476BD">
        <w:t xml:space="preserve">John BA et al (2000) The pharmacokinetics and metabolism of sucralose in the rabbit. Food &amp; Chemical Toxicology </w:t>
      </w:r>
      <w:r w:rsidRPr="007476BD">
        <w:rPr>
          <w:b/>
        </w:rPr>
        <w:t>38</w:t>
      </w:r>
      <w:r w:rsidRPr="007476BD">
        <w:t xml:space="preserve"> (Suppl. 2): S111-S113</w:t>
      </w:r>
      <w:r w:rsidR="000F2B9B" w:rsidRPr="007476BD">
        <w:t>.</w:t>
      </w:r>
    </w:p>
    <w:p w:rsidR="00621F8F" w:rsidRPr="007476BD" w:rsidRDefault="00621F8F" w:rsidP="00477B0F">
      <w:pPr>
        <w:pStyle w:val="FootnoteText"/>
      </w:pPr>
    </w:p>
    <w:p w:rsidR="00477B0F" w:rsidRPr="007476BD" w:rsidRDefault="00477B0F" w:rsidP="00477B0F">
      <w:pPr>
        <w:pStyle w:val="FootnoteText"/>
      </w:pPr>
      <w:r w:rsidRPr="007476BD">
        <w:t xml:space="preserve">Kille JW et al (2000) Sucralose: Assessment of teratogenic potential in the rat and rabbit. Food &amp; Chemical Toxicology </w:t>
      </w:r>
      <w:r w:rsidRPr="007476BD">
        <w:rPr>
          <w:b/>
        </w:rPr>
        <w:t>38</w:t>
      </w:r>
      <w:r w:rsidRPr="007476BD">
        <w:t xml:space="preserve"> (Suppl. 2): S43-S52</w:t>
      </w:r>
      <w:r w:rsidR="000F2B9B" w:rsidRPr="007476BD">
        <w:t>.</w:t>
      </w:r>
    </w:p>
    <w:p w:rsidR="00477B0F" w:rsidRPr="007476BD" w:rsidRDefault="00477B0F" w:rsidP="00752F7F">
      <w:pPr>
        <w:pStyle w:val="Header"/>
        <w:rPr>
          <w:rFonts w:cs="Arial"/>
          <w:b/>
          <w:sz w:val="20"/>
          <w:szCs w:val="20"/>
          <w:u w:val="single"/>
        </w:rPr>
      </w:pPr>
    </w:p>
    <w:p w:rsidR="00A53C3F" w:rsidRPr="007476BD" w:rsidRDefault="00A53C3F" w:rsidP="00A53C3F">
      <w:pPr>
        <w:rPr>
          <w:rFonts w:cs="Arial"/>
          <w:sz w:val="20"/>
          <w:szCs w:val="20"/>
        </w:rPr>
      </w:pPr>
      <w:r w:rsidRPr="007476BD">
        <w:rPr>
          <w:rFonts w:cs="Arial"/>
          <w:sz w:val="20"/>
          <w:szCs w:val="20"/>
        </w:rPr>
        <w:t xml:space="preserve">Pirage V (2006) Safety and tolerability assessment of multiple daily doses of ANS9801: Part 2 – A 12-week safety study of ANS9801 administered to subjects with type 2 diabetes. Study No. ANSE-103b. Lab: Stradins Clinical University Hospital, Riga, Latvia. Sponsor: Ajinomoto Co Inc, Tokyo, Japan. </w:t>
      </w:r>
      <w:r w:rsidRPr="007476BD">
        <w:rPr>
          <w:rFonts w:cs="Arial"/>
          <w:i/>
          <w:sz w:val="20"/>
          <w:szCs w:val="20"/>
        </w:rPr>
        <w:t>Unpublished</w:t>
      </w:r>
      <w:r w:rsidRPr="007476BD">
        <w:rPr>
          <w:rFonts w:cs="Arial"/>
          <w:sz w:val="20"/>
          <w:szCs w:val="20"/>
        </w:rPr>
        <w:t>.</w:t>
      </w:r>
    </w:p>
    <w:p w:rsidR="00A53C3F" w:rsidRPr="007476BD" w:rsidRDefault="00A53C3F" w:rsidP="00B21962">
      <w:pPr>
        <w:rPr>
          <w:rFonts w:cs="Arial"/>
          <w:sz w:val="20"/>
          <w:szCs w:val="20"/>
        </w:rPr>
      </w:pPr>
    </w:p>
    <w:p w:rsidR="00B21962" w:rsidRPr="007476BD" w:rsidRDefault="00B21962" w:rsidP="00B21962">
      <w:pPr>
        <w:rPr>
          <w:rFonts w:cs="Arial"/>
          <w:sz w:val="20"/>
          <w:szCs w:val="20"/>
        </w:rPr>
      </w:pPr>
      <w:r w:rsidRPr="007476BD">
        <w:rPr>
          <w:rFonts w:cs="Arial"/>
          <w:sz w:val="20"/>
          <w:szCs w:val="20"/>
        </w:rPr>
        <w:t xml:space="preserve">Warrington S (2004) An open, dose escalating study to determine the safety, tolerability and pharmacokinetic profile of ANS9801 in health male volunteers. Study No. ANSE-101. Lab: Hammersmith Medicines Research Ltd, Central Middlesex Hospital, London, UK. Sponsor: Ajinomoto Co Inc, Tokyo, Japan. </w:t>
      </w:r>
      <w:r w:rsidRPr="007476BD">
        <w:rPr>
          <w:rFonts w:cs="Arial"/>
          <w:i/>
          <w:sz w:val="20"/>
          <w:szCs w:val="20"/>
        </w:rPr>
        <w:t>Unpublished</w:t>
      </w:r>
      <w:r w:rsidRPr="007476BD">
        <w:rPr>
          <w:rFonts w:cs="Arial"/>
          <w:sz w:val="20"/>
          <w:szCs w:val="20"/>
        </w:rPr>
        <w:t xml:space="preserve">. </w:t>
      </w:r>
    </w:p>
    <w:p w:rsidR="00925302" w:rsidRPr="007476BD" w:rsidRDefault="00925302" w:rsidP="00B21962">
      <w:pPr>
        <w:rPr>
          <w:rFonts w:cs="Arial"/>
          <w:sz w:val="20"/>
          <w:szCs w:val="20"/>
        </w:rPr>
      </w:pPr>
    </w:p>
    <w:p w:rsidR="00925302" w:rsidRPr="007476BD" w:rsidRDefault="00925302" w:rsidP="00925302">
      <w:pPr>
        <w:rPr>
          <w:rFonts w:cs="Arial"/>
          <w:i/>
          <w:sz w:val="20"/>
          <w:szCs w:val="20"/>
        </w:rPr>
      </w:pPr>
      <w:r w:rsidRPr="007476BD">
        <w:rPr>
          <w:rFonts w:cs="Arial"/>
          <w:sz w:val="20"/>
          <w:szCs w:val="20"/>
        </w:rPr>
        <w:t xml:space="preserve">Warrington S (2005) An open label study to investigate the adsorption, pharmacokinetics, metabolism and excretion of a single oral dose of </w:t>
      </w:r>
      <w:r w:rsidRPr="007476BD">
        <w:rPr>
          <w:rFonts w:cs="Arial"/>
          <w:sz w:val="20"/>
          <w:szCs w:val="20"/>
          <w:vertAlign w:val="superscript"/>
        </w:rPr>
        <w:t>14</w:t>
      </w:r>
      <w:r w:rsidRPr="007476BD">
        <w:rPr>
          <w:rFonts w:cs="Arial"/>
          <w:sz w:val="20"/>
          <w:szCs w:val="20"/>
        </w:rPr>
        <w:t xml:space="preserve">C-ANS9801 in healthy male volunteers. Study No. ANSE-102. Lab: Hammersmith Medicines Research Ltd, Central Middlesex Hospital, London, UK. Sponsor: Ajinomoto Co Inc, Tokyo, Japan. </w:t>
      </w:r>
      <w:r w:rsidRPr="007476BD">
        <w:rPr>
          <w:rFonts w:cs="Arial"/>
          <w:i/>
          <w:sz w:val="20"/>
          <w:szCs w:val="20"/>
        </w:rPr>
        <w:t>Unpublished.</w:t>
      </w:r>
    </w:p>
    <w:p w:rsidR="00925302" w:rsidRPr="007476BD" w:rsidRDefault="00925302" w:rsidP="00B21962">
      <w:pPr>
        <w:rPr>
          <w:rFonts w:cs="Arial"/>
          <w:szCs w:val="22"/>
        </w:rPr>
      </w:pPr>
    </w:p>
    <w:p w:rsidR="00752F7F" w:rsidRPr="007476BD" w:rsidRDefault="00752F7F" w:rsidP="00752F7F">
      <w:pPr>
        <w:pStyle w:val="Header"/>
        <w:rPr>
          <w:rFonts w:cs="Arial"/>
          <w:b/>
          <w:sz w:val="28"/>
          <w:szCs w:val="28"/>
          <w:u w:val="single"/>
        </w:rPr>
      </w:pPr>
      <w:r w:rsidRPr="007476BD">
        <w:rPr>
          <w:rFonts w:cs="Arial"/>
          <w:b/>
          <w:sz w:val="28"/>
          <w:szCs w:val="28"/>
          <w:u w:val="single"/>
        </w:rPr>
        <w:t>ATTACHMENTS</w:t>
      </w:r>
      <w:bookmarkEnd w:id="113"/>
    </w:p>
    <w:p w:rsidR="0035397F" w:rsidRPr="007476BD" w:rsidRDefault="0035397F" w:rsidP="00752F7F">
      <w:pPr>
        <w:pStyle w:val="Header"/>
        <w:rPr>
          <w:rFonts w:cs="Arial"/>
          <w:b/>
          <w:u w:val="single"/>
        </w:rPr>
      </w:pPr>
    </w:p>
    <w:p w:rsidR="0035397F" w:rsidRPr="007476BD" w:rsidRDefault="0035397F" w:rsidP="0035397F">
      <w:pPr>
        <w:ind w:left="567" w:hanging="567"/>
        <w:rPr>
          <w:rFonts w:cs="Arial"/>
          <w:szCs w:val="22"/>
        </w:rPr>
      </w:pPr>
      <w:r w:rsidRPr="007476BD">
        <w:rPr>
          <w:rFonts w:cs="Arial"/>
          <w:szCs w:val="22"/>
        </w:rPr>
        <w:t>1.</w:t>
      </w:r>
      <w:r w:rsidRPr="007476BD">
        <w:rPr>
          <w:rFonts w:cs="Arial"/>
          <w:szCs w:val="22"/>
        </w:rPr>
        <w:tab/>
        <w:t xml:space="preserve">Draft variations to the </w:t>
      </w:r>
      <w:r w:rsidRPr="007476BD">
        <w:rPr>
          <w:rFonts w:cs="Arial"/>
          <w:i/>
          <w:szCs w:val="22"/>
        </w:rPr>
        <w:t>Australia New Zealand Food Standards Code</w:t>
      </w:r>
    </w:p>
    <w:p w:rsidR="00A44F6A" w:rsidRPr="007476BD" w:rsidRDefault="007A541C">
      <w:pPr>
        <w:ind w:left="567" w:hanging="567"/>
        <w:rPr>
          <w:highlight w:val="yellow"/>
        </w:rPr>
      </w:pPr>
      <w:r w:rsidRPr="007476BD">
        <w:rPr>
          <w:rFonts w:cs="Arial"/>
          <w:szCs w:val="22"/>
        </w:rPr>
        <w:t>2.</w:t>
      </w:r>
      <w:r w:rsidRPr="007476BD">
        <w:rPr>
          <w:rFonts w:cs="Arial"/>
          <w:szCs w:val="22"/>
        </w:rPr>
        <w:tab/>
      </w:r>
      <w:r w:rsidR="0035397F" w:rsidRPr="007476BD">
        <w:rPr>
          <w:szCs w:val="22"/>
        </w:rPr>
        <w:t>Summary of submissions</w:t>
      </w:r>
    </w:p>
    <w:p w:rsidR="00A33A0C" w:rsidRPr="007476BD" w:rsidRDefault="00A33A0C">
      <w:pPr>
        <w:widowControl/>
        <w:rPr>
          <w:rFonts w:ascii="Arial Bold" w:hAnsi="Arial Bold" w:cs="Arial Unicode MS"/>
          <w:b/>
          <w:bCs/>
          <w:iCs/>
          <w:sz w:val="28"/>
          <w:szCs w:val="28"/>
          <w:highlight w:val="yellow"/>
        </w:rPr>
      </w:pPr>
      <w:bookmarkStart w:id="114" w:name="_Toc238629457"/>
      <w:bookmarkStart w:id="115" w:name="_Toc231092614"/>
      <w:bookmarkStart w:id="116" w:name="_Toc175381459"/>
      <w:bookmarkStart w:id="117" w:name="_Toc120358597"/>
    </w:p>
    <w:p w:rsidR="000C25A3" w:rsidRPr="007476BD" w:rsidRDefault="000C25A3">
      <w:pPr>
        <w:widowControl/>
        <w:rPr>
          <w:rFonts w:ascii="Arial Bold" w:hAnsi="Arial Bold" w:cs="Arial Unicode MS"/>
          <w:b/>
          <w:bCs/>
          <w:iCs/>
          <w:sz w:val="28"/>
          <w:szCs w:val="28"/>
        </w:rPr>
      </w:pPr>
      <w:r w:rsidRPr="007476BD">
        <w:br w:type="page"/>
      </w:r>
    </w:p>
    <w:p w:rsidR="00752F7F" w:rsidRPr="007476BD" w:rsidRDefault="00752F7F" w:rsidP="00752F7F">
      <w:pPr>
        <w:pStyle w:val="Heading2"/>
        <w:tabs>
          <w:tab w:val="right" w:pos="9070"/>
        </w:tabs>
        <w:ind w:left="0" w:firstLine="0"/>
        <w:jc w:val="right"/>
      </w:pPr>
      <w:bookmarkStart w:id="118" w:name="_Toc296958628"/>
      <w:r w:rsidRPr="007476BD">
        <w:lastRenderedPageBreak/>
        <w:t>Attachment 1</w:t>
      </w:r>
      <w:bookmarkEnd w:id="114"/>
      <w:bookmarkEnd w:id="118"/>
    </w:p>
    <w:p w:rsidR="00752F7F" w:rsidRPr="007476BD" w:rsidRDefault="00752F7F" w:rsidP="00053BCB"/>
    <w:p w:rsidR="00752F7F" w:rsidRPr="007476BD" w:rsidRDefault="00752F7F" w:rsidP="00796388">
      <w:pPr>
        <w:pStyle w:val="Heading2"/>
        <w:ind w:left="0" w:firstLine="0"/>
      </w:pPr>
      <w:bookmarkStart w:id="119" w:name="_Toc238629458"/>
      <w:bookmarkStart w:id="120" w:name="_Toc296958629"/>
      <w:r w:rsidRPr="007476BD">
        <w:t xml:space="preserve">Draft variations to the </w:t>
      </w:r>
      <w:r w:rsidRPr="007476BD">
        <w:rPr>
          <w:i/>
        </w:rPr>
        <w:t>Australia New Zealand Food Standards Code</w:t>
      </w:r>
      <w:bookmarkEnd w:id="115"/>
      <w:bookmarkEnd w:id="116"/>
      <w:bookmarkEnd w:id="117"/>
      <w:bookmarkEnd w:id="119"/>
      <w:bookmarkEnd w:id="120"/>
    </w:p>
    <w:p w:rsidR="00752F7F" w:rsidRPr="007476BD" w:rsidRDefault="00752F7F" w:rsidP="00752F7F"/>
    <w:p w:rsidR="00F523EF" w:rsidRPr="00F523EF" w:rsidRDefault="00F523EF" w:rsidP="00F523EF">
      <w:pPr>
        <w:rPr>
          <w:noProof/>
          <w:lang w:eastAsia="en-AU"/>
        </w:rPr>
      </w:pPr>
      <w:r w:rsidRPr="00F523EF">
        <w:rPr>
          <w:noProof/>
          <w:sz w:val="26"/>
          <w:lang w:val="en-AU" w:eastAsia="en-AU" w:bidi="ar-SA"/>
        </w:rPr>
        <w:drawing>
          <wp:inline distT="0" distB="0" distL="0" distR="0" wp14:anchorId="247798A7" wp14:editId="1B280A93">
            <wp:extent cx="2657475" cy="438150"/>
            <wp:effectExtent l="0" t="0" r="9525" b="0"/>
            <wp:docPr id="2"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F523EF" w:rsidRPr="00F523EF" w:rsidRDefault="00F523EF" w:rsidP="00F523EF">
      <w:pPr>
        <w:pBdr>
          <w:bottom w:val="single" w:sz="4" w:space="3" w:color="auto"/>
        </w:pBdr>
        <w:tabs>
          <w:tab w:val="left" w:pos="851"/>
        </w:tabs>
        <w:jc w:val="center"/>
        <w:rPr>
          <w:sz w:val="20"/>
          <w:szCs w:val="20"/>
          <w:lang w:bidi="ar-SA"/>
        </w:rPr>
      </w:pPr>
    </w:p>
    <w:p w:rsidR="00F523EF" w:rsidRPr="00F523EF" w:rsidRDefault="00F523EF" w:rsidP="00F523EF">
      <w:pPr>
        <w:pBdr>
          <w:bottom w:val="single" w:sz="4" w:space="3" w:color="auto"/>
        </w:pBdr>
        <w:tabs>
          <w:tab w:val="left" w:pos="851"/>
        </w:tabs>
        <w:rPr>
          <w:b/>
          <w:bCs/>
          <w:sz w:val="20"/>
          <w:szCs w:val="20"/>
          <w:lang w:bidi="ar-SA"/>
        </w:rPr>
      </w:pPr>
      <w:r w:rsidRPr="00F523EF">
        <w:rPr>
          <w:b/>
          <w:bCs/>
          <w:sz w:val="20"/>
          <w:szCs w:val="20"/>
          <w:lang w:bidi="ar-SA"/>
        </w:rPr>
        <w:t xml:space="preserve">Food Standards </w:t>
      </w:r>
      <w:bookmarkStart w:id="121" w:name="_GoBack"/>
      <w:bookmarkEnd w:id="121"/>
      <w:r w:rsidRPr="00F523EF">
        <w:rPr>
          <w:b/>
          <w:sz w:val="20"/>
          <w:szCs w:val="20"/>
        </w:rPr>
        <w:t>(Application A10</w:t>
      </w:r>
      <w:r w:rsidRPr="007476BD">
        <w:rPr>
          <w:b/>
          <w:sz w:val="20"/>
          <w:szCs w:val="20"/>
        </w:rPr>
        <w:t>34</w:t>
      </w:r>
      <w:r w:rsidRPr="00F523EF">
        <w:rPr>
          <w:b/>
          <w:sz w:val="20"/>
          <w:szCs w:val="20"/>
        </w:rPr>
        <w:t xml:space="preserve"> – </w:t>
      </w:r>
      <w:r w:rsidRPr="007476BD">
        <w:rPr>
          <w:b/>
          <w:sz w:val="20"/>
          <w:szCs w:val="20"/>
        </w:rPr>
        <w:t>Advantame as a High Intensity Sweetener</w:t>
      </w:r>
      <w:r w:rsidRPr="00F523EF">
        <w:rPr>
          <w:b/>
          <w:sz w:val="20"/>
          <w:szCs w:val="20"/>
        </w:rPr>
        <w:t>) Variation</w:t>
      </w:r>
    </w:p>
    <w:p w:rsidR="00F523EF" w:rsidRPr="00F523EF" w:rsidRDefault="00F523EF" w:rsidP="00F523EF">
      <w:pPr>
        <w:rPr>
          <w:sz w:val="20"/>
          <w:szCs w:val="20"/>
        </w:rPr>
      </w:pPr>
    </w:p>
    <w:p w:rsidR="00F523EF" w:rsidRPr="00F523EF" w:rsidRDefault="00F523EF" w:rsidP="00F523EF">
      <w:pPr>
        <w:rPr>
          <w:sz w:val="20"/>
          <w:szCs w:val="20"/>
        </w:rPr>
      </w:pPr>
      <w:r w:rsidRPr="00F523EF">
        <w:rPr>
          <w:sz w:val="20"/>
          <w:szCs w:val="20"/>
        </w:rPr>
        <w:t xml:space="preserve">The Board of Food Standards Australia New Zealand gives notice of the making of this variation under section 92 of the </w:t>
      </w:r>
      <w:r w:rsidRPr="00F523EF">
        <w:rPr>
          <w:i/>
          <w:sz w:val="20"/>
          <w:szCs w:val="20"/>
        </w:rPr>
        <w:t>Food Standards Australia New Zealand Act 1991</w:t>
      </w:r>
      <w:r w:rsidRPr="00F523EF">
        <w:rPr>
          <w:sz w:val="20"/>
          <w:szCs w:val="20"/>
        </w:rPr>
        <w:t>.  The Standard commences on the date specified in clause 3 of this variation.</w:t>
      </w:r>
    </w:p>
    <w:p w:rsidR="00F523EF" w:rsidRPr="00F523EF" w:rsidRDefault="00F523EF" w:rsidP="00F523EF">
      <w:pPr>
        <w:rPr>
          <w:sz w:val="20"/>
          <w:szCs w:val="20"/>
        </w:rPr>
      </w:pPr>
    </w:p>
    <w:p w:rsidR="00F523EF" w:rsidRPr="00F523EF" w:rsidRDefault="00F523EF" w:rsidP="00F523EF">
      <w:pPr>
        <w:rPr>
          <w:sz w:val="20"/>
          <w:szCs w:val="20"/>
        </w:rPr>
      </w:pPr>
      <w:r w:rsidRPr="00F523EF">
        <w:rPr>
          <w:sz w:val="20"/>
          <w:szCs w:val="20"/>
        </w:rPr>
        <w:t>Dated DATE OF GAZETTAL</w:t>
      </w:r>
    </w:p>
    <w:p w:rsidR="00F523EF" w:rsidRPr="00F523EF" w:rsidRDefault="00F523EF" w:rsidP="00F523EF">
      <w:pPr>
        <w:rPr>
          <w:sz w:val="20"/>
          <w:szCs w:val="20"/>
        </w:rPr>
      </w:pPr>
    </w:p>
    <w:p w:rsidR="00F523EF" w:rsidRPr="00F523EF" w:rsidRDefault="00F523EF" w:rsidP="00F523EF">
      <w:pPr>
        <w:rPr>
          <w:sz w:val="20"/>
          <w:szCs w:val="20"/>
        </w:rPr>
      </w:pPr>
    </w:p>
    <w:p w:rsidR="00F523EF" w:rsidRPr="00F523EF" w:rsidRDefault="00F523EF" w:rsidP="00F523EF">
      <w:pPr>
        <w:rPr>
          <w:sz w:val="20"/>
          <w:szCs w:val="20"/>
        </w:rPr>
      </w:pPr>
    </w:p>
    <w:p w:rsidR="00F523EF" w:rsidRPr="00F523EF" w:rsidRDefault="00F523EF" w:rsidP="00F523EF">
      <w:pPr>
        <w:rPr>
          <w:sz w:val="20"/>
          <w:szCs w:val="20"/>
        </w:rPr>
      </w:pPr>
      <w:r w:rsidRPr="00F523EF">
        <w:rPr>
          <w:sz w:val="20"/>
          <w:szCs w:val="20"/>
        </w:rPr>
        <w:t>Standards Management Officer</w:t>
      </w:r>
    </w:p>
    <w:p w:rsidR="00F523EF" w:rsidRPr="00F523EF" w:rsidRDefault="00F523EF" w:rsidP="00F523EF">
      <w:pPr>
        <w:rPr>
          <w:sz w:val="20"/>
          <w:szCs w:val="20"/>
        </w:rPr>
      </w:pPr>
      <w:r w:rsidRPr="00F523EF">
        <w:rPr>
          <w:sz w:val="20"/>
          <w:szCs w:val="20"/>
        </w:rPr>
        <w:t>Delegate of the Board of Food Standards Australia New Zealand</w:t>
      </w:r>
    </w:p>
    <w:p w:rsidR="00F523EF" w:rsidRPr="00F523EF" w:rsidRDefault="00F523EF" w:rsidP="00F523EF">
      <w:pPr>
        <w:rPr>
          <w:sz w:val="20"/>
          <w:szCs w:val="20"/>
        </w:rPr>
      </w:pPr>
    </w:p>
    <w:p w:rsidR="00F523EF" w:rsidRPr="00F523EF" w:rsidRDefault="00F523EF" w:rsidP="00F523EF">
      <w:pPr>
        <w:rPr>
          <w:sz w:val="20"/>
          <w:szCs w:val="20"/>
        </w:rPr>
      </w:pPr>
    </w:p>
    <w:p w:rsidR="00F523EF" w:rsidRPr="00F523EF" w:rsidRDefault="00F523EF" w:rsidP="00F523EF">
      <w:pPr>
        <w:tabs>
          <w:tab w:val="left" w:pos="851"/>
        </w:tabs>
        <w:rPr>
          <w:b/>
          <w:sz w:val="20"/>
          <w:szCs w:val="20"/>
        </w:rPr>
      </w:pPr>
      <w:r w:rsidRPr="00F523EF">
        <w:rPr>
          <w:b/>
          <w:color w:val="7030A0"/>
          <w:sz w:val="20"/>
          <w:szCs w:val="20"/>
        </w:rPr>
        <w:br w:type="page"/>
      </w:r>
      <w:r w:rsidRPr="00F523EF">
        <w:rPr>
          <w:b/>
          <w:sz w:val="20"/>
          <w:szCs w:val="20"/>
        </w:rPr>
        <w:lastRenderedPageBreak/>
        <w:t>1</w:t>
      </w:r>
      <w:r w:rsidRPr="00F523EF">
        <w:rPr>
          <w:b/>
          <w:sz w:val="20"/>
          <w:szCs w:val="20"/>
        </w:rPr>
        <w:tab/>
        <w:t>Name</w:t>
      </w:r>
    </w:p>
    <w:p w:rsidR="00F523EF" w:rsidRPr="00F523EF" w:rsidRDefault="00F523EF" w:rsidP="00F523EF">
      <w:pPr>
        <w:tabs>
          <w:tab w:val="left" w:pos="851"/>
        </w:tabs>
        <w:rPr>
          <w:sz w:val="20"/>
          <w:szCs w:val="20"/>
        </w:rPr>
      </w:pPr>
    </w:p>
    <w:p w:rsidR="00F523EF" w:rsidRPr="00F523EF" w:rsidRDefault="00F523EF" w:rsidP="00F523EF">
      <w:pPr>
        <w:tabs>
          <w:tab w:val="left" w:pos="851"/>
        </w:tabs>
        <w:rPr>
          <w:sz w:val="20"/>
          <w:szCs w:val="20"/>
        </w:rPr>
      </w:pPr>
      <w:r w:rsidRPr="00F523EF">
        <w:rPr>
          <w:sz w:val="20"/>
          <w:szCs w:val="20"/>
        </w:rPr>
        <w:t>This instrument is the</w:t>
      </w:r>
      <w:r w:rsidRPr="00F523EF">
        <w:rPr>
          <w:i/>
          <w:sz w:val="20"/>
          <w:szCs w:val="20"/>
        </w:rPr>
        <w:t xml:space="preserve"> Food Standards (Application A10</w:t>
      </w:r>
      <w:r w:rsidRPr="007476BD">
        <w:rPr>
          <w:i/>
          <w:sz w:val="20"/>
          <w:szCs w:val="20"/>
        </w:rPr>
        <w:t>34</w:t>
      </w:r>
      <w:r w:rsidRPr="00F523EF">
        <w:rPr>
          <w:i/>
          <w:sz w:val="20"/>
          <w:szCs w:val="20"/>
        </w:rPr>
        <w:t xml:space="preserve"> – </w:t>
      </w:r>
      <w:r w:rsidRPr="007476BD">
        <w:rPr>
          <w:i/>
          <w:sz w:val="20"/>
          <w:szCs w:val="20"/>
        </w:rPr>
        <w:t>Advantame as a High Intensity Sweetener</w:t>
      </w:r>
      <w:r w:rsidRPr="00F523EF">
        <w:rPr>
          <w:i/>
          <w:sz w:val="20"/>
          <w:szCs w:val="20"/>
        </w:rPr>
        <w:t>) Variation</w:t>
      </w:r>
      <w:r w:rsidRPr="00F523EF">
        <w:rPr>
          <w:sz w:val="20"/>
          <w:szCs w:val="20"/>
        </w:rPr>
        <w:t>.</w:t>
      </w:r>
    </w:p>
    <w:p w:rsidR="00F523EF" w:rsidRPr="00F523EF" w:rsidRDefault="00F523EF" w:rsidP="00F523EF">
      <w:pPr>
        <w:rPr>
          <w:sz w:val="20"/>
          <w:szCs w:val="20"/>
        </w:rPr>
      </w:pPr>
    </w:p>
    <w:p w:rsidR="00F523EF" w:rsidRPr="00F523EF" w:rsidRDefault="00F523EF" w:rsidP="00F523EF">
      <w:pPr>
        <w:tabs>
          <w:tab w:val="left" w:pos="851"/>
        </w:tabs>
        <w:rPr>
          <w:b/>
          <w:sz w:val="20"/>
          <w:szCs w:val="20"/>
        </w:rPr>
      </w:pPr>
      <w:r w:rsidRPr="00F523EF">
        <w:rPr>
          <w:b/>
          <w:sz w:val="20"/>
          <w:szCs w:val="20"/>
        </w:rPr>
        <w:t>2</w:t>
      </w:r>
      <w:r w:rsidRPr="00F523EF">
        <w:rPr>
          <w:b/>
          <w:sz w:val="20"/>
          <w:szCs w:val="20"/>
        </w:rPr>
        <w:tab/>
        <w:t xml:space="preserve">Variation to Standards in the </w:t>
      </w:r>
      <w:r w:rsidRPr="00F523EF">
        <w:rPr>
          <w:b/>
          <w:i/>
          <w:sz w:val="20"/>
          <w:szCs w:val="20"/>
        </w:rPr>
        <w:t>Australia New Zealand Food Standards Code</w:t>
      </w:r>
    </w:p>
    <w:p w:rsidR="00F523EF" w:rsidRPr="00F523EF" w:rsidRDefault="00F523EF" w:rsidP="00F523EF">
      <w:pPr>
        <w:tabs>
          <w:tab w:val="left" w:pos="851"/>
        </w:tabs>
        <w:rPr>
          <w:sz w:val="20"/>
          <w:szCs w:val="20"/>
        </w:rPr>
      </w:pPr>
    </w:p>
    <w:p w:rsidR="00F523EF" w:rsidRPr="00F523EF" w:rsidRDefault="00F523EF" w:rsidP="00F523EF">
      <w:pPr>
        <w:tabs>
          <w:tab w:val="left" w:pos="851"/>
        </w:tabs>
        <w:rPr>
          <w:sz w:val="20"/>
          <w:szCs w:val="20"/>
        </w:rPr>
      </w:pPr>
      <w:r w:rsidRPr="00F523EF">
        <w:rPr>
          <w:sz w:val="20"/>
          <w:szCs w:val="20"/>
        </w:rPr>
        <w:t xml:space="preserve">The Schedule varies the Standards in the </w:t>
      </w:r>
      <w:r w:rsidRPr="00F523EF">
        <w:rPr>
          <w:i/>
          <w:sz w:val="20"/>
          <w:szCs w:val="20"/>
        </w:rPr>
        <w:t>Australia New Zealand Food Standards Code</w:t>
      </w:r>
      <w:r w:rsidRPr="00F523EF">
        <w:rPr>
          <w:sz w:val="20"/>
          <w:szCs w:val="20"/>
        </w:rPr>
        <w:t>.</w:t>
      </w:r>
    </w:p>
    <w:p w:rsidR="00F523EF" w:rsidRPr="00F523EF" w:rsidRDefault="00F523EF" w:rsidP="00F523EF">
      <w:pPr>
        <w:rPr>
          <w:sz w:val="20"/>
          <w:szCs w:val="20"/>
        </w:rPr>
      </w:pPr>
    </w:p>
    <w:p w:rsidR="00F523EF" w:rsidRPr="00F523EF" w:rsidRDefault="00F523EF" w:rsidP="00F523EF">
      <w:pPr>
        <w:tabs>
          <w:tab w:val="left" w:pos="851"/>
        </w:tabs>
        <w:rPr>
          <w:b/>
          <w:sz w:val="20"/>
          <w:szCs w:val="20"/>
        </w:rPr>
      </w:pPr>
      <w:r w:rsidRPr="00F523EF">
        <w:rPr>
          <w:b/>
          <w:sz w:val="20"/>
          <w:szCs w:val="20"/>
        </w:rPr>
        <w:t>3</w:t>
      </w:r>
      <w:r w:rsidRPr="00F523EF">
        <w:rPr>
          <w:b/>
          <w:sz w:val="20"/>
          <w:szCs w:val="20"/>
        </w:rPr>
        <w:tab/>
        <w:t>Commencement</w:t>
      </w:r>
    </w:p>
    <w:p w:rsidR="00F523EF" w:rsidRPr="00F523EF" w:rsidRDefault="00F523EF" w:rsidP="00F523EF">
      <w:pPr>
        <w:tabs>
          <w:tab w:val="left" w:pos="851"/>
        </w:tabs>
        <w:rPr>
          <w:sz w:val="20"/>
          <w:szCs w:val="20"/>
        </w:rPr>
      </w:pPr>
    </w:p>
    <w:p w:rsidR="00F523EF" w:rsidRPr="00F523EF" w:rsidRDefault="00F523EF" w:rsidP="00F523EF">
      <w:pPr>
        <w:tabs>
          <w:tab w:val="left" w:pos="851"/>
        </w:tabs>
        <w:rPr>
          <w:sz w:val="20"/>
          <w:szCs w:val="20"/>
        </w:rPr>
      </w:pPr>
      <w:r w:rsidRPr="00F523EF">
        <w:rPr>
          <w:sz w:val="20"/>
          <w:szCs w:val="20"/>
        </w:rPr>
        <w:t xml:space="preserve">These variations commence on </w:t>
      </w:r>
      <w:r w:rsidRPr="00F523EF">
        <w:rPr>
          <w:b/>
          <w:sz w:val="20"/>
          <w:szCs w:val="20"/>
        </w:rPr>
        <w:t>DATE OF GAZETTAL</w:t>
      </w:r>
      <w:r w:rsidRPr="00F523EF">
        <w:rPr>
          <w:sz w:val="20"/>
          <w:szCs w:val="20"/>
        </w:rPr>
        <w:t>.</w:t>
      </w:r>
    </w:p>
    <w:p w:rsidR="00F523EF" w:rsidRPr="00F523EF" w:rsidRDefault="00F523EF" w:rsidP="00F523EF">
      <w:pPr>
        <w:rPr>
          <w:sz w:val="20"/>
          <w:szCs w:val="20"/>
        </w:rPr>
      </w:pPr>
    </w:p>
    <w:p w:rsidR="00F523EF" w:rsidRPr="00F523EF" w:rsidRDefault="00F523EF" w:rsidP="00F523EF">
      <w:pPr>
        <w:tabs>
          <w:tab w:val="left" w:pos="851"/>
        </w:tabs>
        <w:jc w:val="center"/>
        <w:rPr>
          <w:b/>
          <w:caps/>
          <w:szCs w:val="20"/>
        </w:rPr>
      </w:pPr>
      <w:r w:rsidRPr="00F523EF">
        <w:rPr>
          <w:b/>
          <w:caps/>
          <w:szCs w:val="20"/>
        </w:rPr>
        <w:t>SCHEDULE</w:t>
      </w:r>
    </w:p>
    <w:p w:rsidR="00F523EF" w:rsidRPr="007476BD" w:rsidRDefault="00F523EF" w:rsidP="00DB358D">
      <w:pPr>
        <w:pStyle w:val="Clause"/>
        <w:rPr>
          <w:rFonts w:cs="Arial"/>
          <w:b/>
          <w:bCs/>
        </w:rPr>
      </w:pPr>
    </w:p>
    <w:p w:rsidR="006D7874" w:rsidRPr="00290285" w:rsidRDefault="006D7874" w:rsidP="006D7874">
      <w:pPr>
        <w:pStyle w:val="Clause"/>
      </w:pPr>
      <w:r w:rsidRPr="00290285">
        <w:rPr>
          <w:b/>
        </w:rPr>
        <w:t>[1]</w:t>
      </w:r>
      <w:r w:rsidRPr="00290285">
        <w:rPr>
          <w:b/>
        </w:rPr>
        <w:tab/>
      </w:r>
      <w:r w:rsidRPr="00290285">
        <w:rPr>
          <w:b/>
          <w:i/>
        </w:rPr>
        <w:t>Standard 1.2.4</w:t>
      </w:r>
      <w:r w:rsidRPr="00290285">
        <w:rPr>
          <w:i/>
        </w:rPr>
        <w:t xml:space="preserve"> is varied by</w:t>
      </w:r>
      <w:r w:rsidRPr="00290285">
        <w:t xml:space="preserve"> </w:t>
      </w:r>
      <w:r w:rsidRPr="00290285">
        <w:rPr>
          <w:i/>
        </w:rPr>
        <w:t xml:space="preserve">inserting in </w:t>
      </w:r>
      <w:r w:rsidRPr="0096241D">
        <w:t>Parts 1 and 2</w:t>
      </w:r>
      <w:r>
        <w:t xml:space="preserve"> </w:t>
      </w:r>
      <w:r w:rsidRPr="00290285">
        <w:rPr>
          <w:i/>
        </w:rPr>
        <w:t>of</w:t>
      </w:r>
      <w:r w:rsidRPr="00290285">
        <w:t xml:space="preserve"> Schedule 2 – </w:t>
      </w:r>
    </w:p>
    <w:p w:rsidR="006D7874" w:rsidRPr="00290285" w:rsidRDefault="006D7874" w:rsidP="006D7874">
      <w:pPr>
        <w:rPr>
          <w:rFonts w:cs="Arial"/>
        </w:rPr>
      </w:pPr>
    </w:p>
    <w:tbl>
      <w:tblPr>
        <w:tblW w:w="4111" w:type="dxa"/>
        <w:tblInd w:w="108"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3119"/>
        <w:gridCol w:w="992"/>
      </w:tblGrid>
      <w:tr w:rsidR="006D7874" w:rsidRPr="00290285" w:rsidTr="00363F45">
        <w:tc>
          <w:tcPr>
            <w:tcW w:w="3119" w:type="dxa"/>
          </w:tcPr>
          <w:p w:rsidR="006D7874" w:rsidRPr="00290285" w:rsidRDefault="006D7874" w:rsidP="00363F45">
            <w:pPr>
              <w:pStyle w:val="Table2"/>
            </w:pPr>
            <w:r w:rsidRPr="00290285">
              <w:t>Advantame</w:t>
            </w:r>
          </w:p>
        </w:tc>
        <w:tc>
          <w:tcPr>
            <w:tcW w:w="992" w:type="dxa"/>
          </w:tcPr>
          <w:p w:rsidR="006D7874" w:rsidRPr="00290285" w:rsidRDefault="006D7874" w:rsidP="00363F45">
            <w:pPr>
              <w:pStyle w:val="Table2"/>
              <w:jc w:val="center"/>
            </w:pPr>
            <w:r w:rsidRPr="00290285">
              <w:t>–</w:t>
            </w:r>
          </w:p>
        </w:tc>
      </w:tr>
    </w:tbl>
    <w:p w:rsidR="006D7874" w:rsidRPr="005F40A2" w:rsidRDefault="006D7874" w:rsidP="006D7874">
      <w:pPr>
        <w:rPr>
          <w:rFonts w:cs="Arial"/>
          <w:strike/>
        </w:rPr>
      </w:pPr>
    </w:p>
    <w:p w:rsidR="006D7874" w:rsidRPr="00290285" w:rsidRDefault="006D7874" w:rsidP="006D7874">
      <w:pPr>
        <w:pStyle w:val="Clause"/>
      </w:pPr>
      <w:r w:rsidRPr="00290285">
        <w:rPr>
          <w:b/>
        </w:rPr>
        <w:t>[2]</w:t>
      </w:r>
      <w:r w:rsidRPr="00290285">
        <w:rPr>
          <w:b/>
        </w:rPr>
        <w:tab/>
      </w:r>
      <w:r w:rsidRPr="00290285">
        <w:rPr>
          <w:b/>
          <w:i/>
        </w:rPr>
        <w:t>Standard 1.3.1</w:t>
      </w:r>
      <w:r w:rsidRPr="00290285">
        <w:rPr>
          <w:i/>
        </w:rPr>
        <w:t xml:space="preserve"> is varied by</w:t>
      </w:r>
      <w:r>
        <w:rPr>
          <w:i/>
        </w:rPr>
        <w:t xml:space="preserve"> </w:t>
      </w:r>
      <w:r w:rsidRPr="00290285">
        <w:rPr>
          <w:i/>
        </w:rPr>
        <w:t xml:space="preserve">inserting in </w:t>
      </w:r>
      <w:r w:rsidRPr="00290285">
        <w:t xml:space="preserve">Schedule 2 </w:t>
      </w:r>
      <w:r w:rsidRPr="00290285">
        <w:rPr>
          <w:i/>
        </w:rPr>
        <w:t>in</w:t>
      </w:r>
      <w:r w:rsidRPr="00290285">
        <w:t xml:space="preserve"> Alphabetical Listing </w:t>
      </w:r>
      <w:r w:rsidRPr="00290285">
        <w:rPr>
          <w:i/>
        </w:rPr>
        <w:t>and</w:t>
      </w:r>
      <w:r w:rsidRPr="00290285">
        <w:t xml:space="preserve"> Numeric Listing –</w:t>
      </w:r>
    </w:p>
    <w:p w:rsidR="006D7874" w:rsidRPr="00290285" w:rsidRDefault="006D7874" w:rsidP="006D7874">
      <w:pPr>
        <w:rPr>
          <w:rFonts w:cs="Arial"/>
        </w:rPr>
      </w:pPr>
    </w:p>
    <w:tbl>
      <w:tblPr>
        <w:tblW w:w="4475" w:type="dxa"/>
        <w:tblLayout w:type="fixed"/>
        <w:tblCellMar>
          <w:left w:w="80" w:type="dxa"/>
          <w:right w:w="80" w:type="dxa"/>
        </w:tblCellMar>
        <w:tblLook w:val="0000" w:firstRow="0" w:lastRow="0" w:firstColumn="0" w:lastColumn="0" w:noHBand="0" w:noVBand="0"/>
      </w:tblPr>
      <w:tblGrid>
        <w:gridCol w:w="1073"/>
        <w:gridCol w:w="3402"/>
      </w:tblGrid>
      <w:tr w:rsidR="006D7874" w:rsidRPr="00290285" w:rsidTr="00363F45">
        <w:tc>
          <w:tcPr>
            <w:tcW w:w="1073" w:type="dxa"/>
          </w:tcPr>
          <w:p w:rsidR="006D7874" w:rsidRPr="00290285" w:rsidRDefault="006D7874" w:rsidP="00363F45">
            <w:pPr>
              <w:pStyle w:val="Table2"/>
            </w:pPr>
            <w:r w:rsidRPr="00290285">
              <w:t>–</w:t>
            </w:r>
          </w:p>
        </w:tc>
        <w:tc>
          <w:tcPr>
            <w:tcW w:w="3402" w:type="dxa"/>
          </w:tcPr>
          <w:p w:rsidR="006D7874" w:rsidRPr="00290285" w:rsidRDefault="006D7874" w:rsidP="00363F45">
            <w:pPr>
              <w:pStyle w:val="Table2"/>
            </w:pPr>
            <w:r w:rsidRPr="00290285">
              <w:t>Advantame</w:t>
            </w:r>
          </w:p>
        </w:tc>
      </w:tr>
    </w:tbl>
    <w:p w:rsidR="006D7874" w:rsidRPr="00290285" w:rsidRDefault="006D7874" w:rsidP="006D7874">
      <w:pPr>
        <w:rPr>
          <w:rFonts w:cs="Arial"/>
        </w:rPr>
      </w:pPr>
    </w:p>
    <w:p w:rsidR="006D7874" w:rsidRPr="00290285" w:rsidRDefault="006D7874" w:rsidP="006D7874">
      <w:pPr>
        <w:pStyle w:val="Clause"/>
      </w:pPr>
      <w:r w:rsidRPr="00290285">
        <w:rPr>
          <w:b/>
        </w:rPr>
        <w:t>[3]</w:t>
      </w:r>
      <w:r w:rsidRPr="00290285">
        <w:tab/>
      </w:r>
      <w:r w:rsidRPr="00290285">
        <w:rPr>
          <w:b/>
          <w:i/>
        </w:rPr>
        <w:t>Standard 1.3.4</w:t>
      </w:r>
      <w:r w:rsidRPr="00290285">
        <w:rPr>
          <w:i/>
        </w:rPr>
        <w:t xml:space="preserve"> is varied by</w:t>
      </w:r>
      <w:r>
        <w:rPr>
          <w:i/>
        </w:rPr>
        <w:t xml:space="preserve"> </w:t>
      </w:r>
      <w:r w:rsidRPr="00290285">
        <w:rPr>
          <w:i/>
        </w:rPr>
        <w:t>inserting in the</w:t>
      </w:r>
      <w:r w:rsidRPr="00290285">
        <w:t xml:space="preserve"> Schedule – </w:t>
      </w:r>
    </w:p>
    <w:p w:rsidR="00DB358D" w:rsidRPr="007476BD" w:rsidRDefault="00DB358D" w:rsidP="00DB358D">
      <w:pPr>
        <w:rPr>
          <w:rFonts w:cs="Arial"/>
          <w:sz w:val="20"/>
          <w:szCs w:val="20"/>
        </w:rPr>
      </w:pPr>
    </w:p>
    <w:p w:rsidR="00DB358D" w:rsidRPr="007476BD" w:rsidRDefault="00DB358D" w:rsidP="00F523EF">
      <w:pPr>
        <w:pStyle w:val="Clauseheading"/>
        <w:rPr>
          <w:rFonts w:cs="Arial"/>
        </w:rPr>
      </w:pPr>
      <w:r w:rsidRPr="007476BD">
        <w:rPr>
          <w:rFonts w:cs="Arial"/>
        </w:rPr>
        <w:t>Specifications for Advantame</w:t>
      </w:r>
    </w:p>
    <w:p w:rsidR="00DB358D" w:rsidRPr="007476BD" w:rsidRDefault="00DB358D" w:rsidP="00DB358D">
      <w:pPr>
        <w:rPr>
          <w:rFonts w:cs="Arial"/>
          <w:sz w:val="20"/>
          <w:szCs w:val="20"/>
        </w:rPr>
      </w:pPr>
    </w:p>
    <w:p w:rsidR="00DB358D" w:rsidRPr="007476BD" w:rsidRDefault="00DB358D" w:rsidP="00F523EF">
      <w:pPr>
        <w:pStyle w:val="Clause"/>
        <w:rPr>
          <w:rFonts w:cs="Arial"/>
        </w:rPr>
      </w:pPr>
      <w:r w:rsidRPr="007476BD">
        <w:rPr>
          <w:rFonts w:cs="Arial"/>
        </w:rPr>
        <w:t>1.</w:t>
      </w:r>
      <w:r w:rsidRPr="007476BD">
        <w:rPr>
          <w:rFonts w:cs="Arial"/>
        </w:rPr>
        <w:tab/>
        <w:t>Purity</w:t>
      </w:r>
    </w:p>
    <w:p w:rsidR="00DB358D" w:rsidRPr="007476BD" w:rsidRDefault="00DB358D" w:rsidP="00DB358D">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6"/>
        <w:gridCol w:w="3076"/>
        <w:gridCol w:w="3090"/>
      </w:tblGrid>
      <w:tr w:rsidR="00DB358D" w:rsidRPr="007476BD" w:rsidTr="009C3E3C">
        <w:tc>
          <w:tcPr>
            <w:tcW w:w="3207" w:type="dxa"/>
          </w:tcPr>
          <w:p w:rsidR="00DB358D" w:rsidRPr="007476BD" w:rsidRDefault="00DB358D" w:rsidP="009C3E3C">
            <w:pPr>
              <w:pStyle w:val="Table1"/>
            </w:pPr>
            <w:r w:rsidRPr="007476BD">
              <w:t>Specification Parameter</w:t>
            </w:r>
          </w:p>
        </w:tc>
        <w:tc>
          <w:tcPr>
            <w:tcW w:w="3207" w:type="dxa"/>
          </w:tcPr>
          <w:p w:rsidR="00DB358D" w:rsidRPr="007476BD" w:rsidRDefault="00DB358D" w:rsidP="009C3E3C">
            <w:pPr>
              <w:pStyle w:val="Table1"/>
            </w:pPr>
            <w:r w:rsidRPr="007476BD">
              <w:t>Specification Value</w:t>
            </w:r>
          </w:p>
        </w:tc>
        <w:tc>
          <w:tcPr>
            <w:tcW w:w="3208" w:type="dxa"/>
          </w:tcPr>
          <w:p w:rsidR="00DB358D" w:rsidRPr="007476BD" w:rsidRDefault="00DB358D" w:rsidP="009C3E3C">
            <w:pPr>
              <w:pStyle w:val="Table1"/>
            </w:pPr>
            <w:r w:rsidRPr="007476BD">
              <w:t>Analytical Methodology</w:t>
            </w:r>
          </w:p>
        </w:tc>
      </w:tr>
      <w:tr w:rsidR="00DB358D" w:rsidRPr="007476BD" w:rsidTr="009C3E3C">
        <w:tc>
          <w:tcPr>
            <w:tcW w:w="3207" w:type="dxa"/>
          </w:tcPr>
          <w:p w:rsidR="00DB358D" w:rsidRPr="007476BD" w:rsidRDefault="00DB358D" w:rsidP="009C3E3C">
            <w:pPr>
              <w:pStyle w:val="Table2"/>
            </w:pPr>
            <w:r w:rsidRPr="007476BD">
              <w:t>Assay</w:t>
            </w:r>
          </w:p>
        </w:tc>
        <w:tc>
          <w:tcPr>
            <w:tcW w:w="3207" w:type="dxa"/>
          </w:tcPr>
          <w:p w:rsidR="00DB358D" w:rsidRPr="007476BD" w:rsidRDefault="00DB358D" w:rsidP="009C3E3C">
            <w:pPr>
              <w:pStyle w:val="Table2"/>
            </w:pPr>
            <w:r w:rsidRPr="007476BD">
              <w:rPr>
                <w:rFonts w:cs="Arial"/>
              </w:rPr>
              <w:t>Not less than 97.0% and not more than 102.0% on anhydrous basis</w:t>
            </w:r>
          </w:p>
        </w:tc>
        <w:tc>
          <w:tcPr>
            <w:tcW w:w="3208" w:type="dxa"/>
          </w:tcPr>
          <w:p w:rsidR="00DB358D" w:rsidRPr="007476BD" w:rsidRDefault="00DB358D" w:rsidP="009C3E3C">
            <w:pPr>
              <w:pStyle w:val="Table2"/>
            </w:pPr>
            <w:r w:rsidRPr="007476BD">
              <w:rPr>
                <w:rFonts w:cs="Arial"/>
              </w:rPr>
              <w:t xml:space="preserve">High pressure liquid chromatography (HPLC) </w:t>
            </w:r>
          </w:p>
        </w:tc>
      </w:tr>
      <w:tr w:rsidR="00DB358D" w:rsidRPr="007476BD" w:rsidTr="009C3E3C">
        <w:tc>
          <w:tcPr>
            <w:tcW w:w="3207" w:type="dxa"/>
          </w:tcPr>
          <w:p w:rsidR="00DB358D" w:rsidRPr="007476BD" w:rsidRDefault="00DB358D" w:rsidP="009C3E3C">
            <w:pPr>
              <w:pStyle w:val="Table2"/>
            </w:pPr>
            <w:r w:rsidRPr="007476BD">
              <w:rPr>
                <w:rFonts w:cs="Arial"/>
              </w:rPr>
              <w:t>Specific rotation [</w:t>
            </w:r>
            <w:r w:rsidRPr="007476BD">
              <w:rPr>
                <w:rFonts w:cs="Arial"/>
              </w:rPr>
              <w:sym w:font="Symbol" w:char="0061"/>
            </w:r>
            <w:r w:rsidRPr="007476BD">
              <w:rPr>
                <w:rFonts w:cs="Arial"/>
              </w:rPr>
              <w:t xml:space="preserve">] </w:t>
            </w:r>
            <w:r w:rsidRPr="007476BD">
              <w:rPr>
                <w:rFonts w:cs="Arial"/>
                <w:vertAlign w:val="superscript"/>
              </w:rPr>
              <w:t>20</w:t>
            </w:r>
            <w:r w:rsidRPr="007476BD">
              <w:rPr>
                <w:rFonts w:cs="Arial"/>
              </w:rPr>
              <w:t xml:space="preserve"> D</w:t>
            </w:r>
          </w:p>
        </w:tc>
        <w:tc>
          <w:tcPr>
            <w:tcW w:w="3207" w:type="dxa"/>
          </w:tcPr>
          <w:p w:rsidR="00DB358D" w:rsidRPr="007476BD" w:rsidRDefault="00DB358D" w:rsidP="009C3E3C">
            <w:pPr>
              <w:pStyle w:val="Table2"/>
            </w:pPr>
            <w:r w:rsidRPr="007476BD">
              <w:rPr>
                <w:rFonts w:cs="Arial"/>
              </w:rPr>
              <w:t>Between -45</w:t>
            </w:r>
            <w:r w:rsidRPr="007476BD">
              <w:rPr>
                <w:rFonts w:cs="Arial"/>
                <w:vertAlign w:val="superscript"/>
              </w:rPr>
              <w:t>0</w:t>
            </w:r>
            <w:r w:rsidRPr="007476BD">
              <w:rPr>
                <w:rFonts w:cs="Arial"/>
              </w:rPr>
              <w:t xml:space="preserve"> and -38</w:t>
            </w:r>
            <w:r w:rsidRPr="007476BD">
              <w:rPr>
                <w:rFonts w:cs="Arial"/>
                <w:vertAlign w:val="superscript"/>
              </w:rPr>
              <w:t>0</w:t>
            </w:r>
          </w:p>
        </w:tc>
        <w:tc>
          <w:tcPr>
            <w:tcW w:w="3208" w:type="dxa"/>
          </w:tcPr>
          <w:p w:rsidR="00DB358D" w:rsidRPr="007476BD" w:rsidRDefault="00DB358D" w:rsidP="009C3E3C">
            <w:pPr>
              <w:pStyle w:val="Table2"/>
            </w:pPr>
            <w:r w:rsidRPr="007476BD">
              <w:rPr>
                <w:rFonts w:cs="Arial"/>
              </w:rPr>
              <w:t>Japanese Pharmacopeia</w:t>
            </w:r>
          </w:p>
        </w:tc>
      </w:tr>
      <w:tr w:rsidR="00DB358D" w:rsidRPr="007476BD" w:rsidTr="009C3E3C">
        <w:tc>
          <w:tcPr>
            <w:tcW w:w="3207" w:type="dxa"/>
          </w:tcPr>
          <w:p w:rsidR="00DB358D" w:rsidRPr="007476BD" w:rsidRDefault="00DB358D" w:rsidP="009C3E3C">
            <w:pPr>
              <w:pStyle w:val="Table2"/>
            </w:pPr>
            <w:r w:rsidRPr="007476BD">
              <w:rPr>
                <w:rFonts w:cs="Arial"/>
              </w:rPr>
              <w:t>Advantame-acid</w:t>
            </w:r>
          </w:p>
        </w:tc>
        <w:tc>
          <w:tcPr>
            <w:tcW w:w="3207" w:type="dxa"/>
          </w:tcPr>
          <w:p w:rsidR="00DB358D" w:rsidRPr="007476BD" w:rsidRDefault="00DB358D" w:rsidP="009C3E3C">
            <w:pPr>
              <w:pStyle w:val="Table2"/>
            </w:pPr>
            <w:r w:rsidRPr="007476BD">
              <w:rPr>
                <w:rFonts w:cs="Arial"/>
              </w:rPr>
              <w:t>Not more than 1.0%</w:t>
            </w:r>
          </w:p>
        </w:tc>
        <w:tc>
          <w:tcPr>
            <w:tcW w:w="3208" w:type="dxa"/>
          </w:tcPr>
          <w:p w:rsidR="00DB358D" w:rsidRPr="007476BD" w:rsidRDefault="00DB358D" w:rsidP="009C3E3C">
            <w:pPr>
              <w:pStyle w:val="Table2"/>
            </w:pPr>
            <w:r w:rsidRPr="007476BD">
              <w:t>HPLC</w:t>
            </w:r>
          </w:p>
        </w:tc>
      </w:tr>
      <w:tr w:rsidR="00DB358D" w:rsidRPr="007476BD" w:rsidTr="009C3E3C">
        <w:tc>
          <w:tcPr>
            <w:tcW w:w="3207" w:type="dxa"/>
          </w:tcPr>
          <w:p w:rsidR="00DB358D" w:rsidRPr="007476BD" w:rsidRDefault="00DB358D" w:rsidP="009C3E3C">
            <w:pPr>
              <w:pStyle w:val="Table2"/>
            </w:pPr>
            <w:r w:rsidRPr="007476BD">
              <w:rPr>
                <w:rFonts w:cs="Arial"/>
              </w:rPr>
              <w:t>Total other related substances</w:t>
            </w:r>
          </w:p>
        </w:tc>
        <w:tc>
          <w:tcPr>
            <w:tcW w:w="3207" w:type="dxa"/>
          </w:tcPr>
          <w:p w:rsidR="00DB358D" w:rsidRPr="007476BD" w:rsidRDefault="00DB358D" w:rsidP="009C3E3C">
            <w:pPr>
              <w:pStyle w:val="Table2"/>
            </w:pPr>
            <w:r w:rsidRPr="007476BD">
              <w:rPr>
                <w:rFonts w:cs="Arial"/>
              </w:rPr>
              <w:t>Not more than 1.5%</w:t>
            </w:r>
          </w:p>
        </w:tc>
        <w:tc>
          <w:tcPr>
            <w:tcW w:w="3208" w:type="dxa"/>
          </w:tcPr>
          <w:p w:rsidR="00DB358D" w:rsidRPr="007476BD" w:rsidRDefault="00DB358D" w:rsidP="009C3E3C">
            <w:pPr>
              <w:pStyle w:val="Table2"/>
            </w:pPr>
            <w:r w:rsidRPr="007476BD">
              <w:t>HPLC</w:t>
            </w:r>
          </w:p>
        </w:tc>
      </w:tr>
      <w:tr w:rsidR="00DB358D" w:rsidRPr="007476BD" w:rsidTr="009C3E3C">
        <w:tc>
          <w:tcPr>
            <w:tcW w:w="3207" w:type="dxa"/>
          </w:tcPr>
          <w:p w:rsidR="00DB358D" w:rsidRPr="007476BD" w:rsidRDefault="00DB358D" w:rsidP="009C3E3C">
            <w:pPr>
              <w:pStyle w:val="Table2"/>
            </w:pPr>
            <w:r w:rsidRPr="007476BD">
              <w:t>Water</w:t>
            </w:r>
          </w:p>
        </w:tc>
        <w:tc>
          <w:tcPr>
            <w:tcW w:w="3207" w:type="dxa"/>
          </w:tcPr>
          <w:p w:rsidR="00DB358D" w:rsidRPr="007476BD" w:rsidRDefault="00DB358D" w:rsidP="009C3E3C">
            <w:pPr>
              <w:pStyle w:val="Table2"/>
            </w:pPr>
            <w:r w:rsidRPr="007476BD">
              <w:rPr>
                <w:rFonts w:cs="Arial"/>
              </w:rPr>
              <w:t>Not more than 5.0%</w:t>
            </w:r>
          </w:p>
        </w:tc>
        <w:tc>
          <w:tcPr>
            <w:tcW w:w="3208" w:type="dxa"/>
          </w:tcPr>
          <w:p w:rsidR="00DB358D" w:rsidRPr="007476BD" w:rsidRDefault="00DB358D" w:rsidP="009C3E3C">
            <w:pPr>
              <w:pStyle w:val="Table2"/>
            </w:pPr>
            <w:r w:rsidRPr="007476BD">
              <w:rPr>
                <w:rFonts w:cs="Arial"/>
              </w:rPr>
              <w:t>Karl Fischer coulometric titration</w:t>
            </w:r>
          </w:p>
        </w:tc>
      </w:tr>
      <w:tr w:rsidR="00DB358D" w:rsidRPr="007476BD" w:rsidTr="009C3E3C">
        <w:tc>
          <w:tcPr>
            <w:tcW w:w="3207" w:type="dxa"/>
          </w:tcPr>
          <w:p w:rsidR="00DB358D" w:rsidRPr="007476BD" w:rsidRDefault="00DB358D" w:rsidP="009C3E3C">
            <w:pPr>
              <w:pStyle w:val="Table2"/>
            </w:pPr>
            <w:r w:rsidRPr="007476BD">
              <w:t>Residue on ignition</w:t>
            </w:r>
          </w:p>
        </w:tc>
        <w:tc>
          <w:tcPr>
            <w:tcW w:w="3207" w:type="dxa"/>
          </w:tcPr>
          <w:p w:rsidR="00DB358D" w:rsidRPr="007476BD" w:rsidRDefault="00DB358D" w:rsidP="009C3E3C">
            <w:pPr>
              <w:pStyle w:val="Table2"/>
            </w:pPr>
            <w:r w:rsidRPr="007476BD">
              <w:t>No more than 0.2%</w:t>
            </w:r>
          </w:p>
        </w:tc>
        <w:tc>
          <w:tcPr>
            <w:tcW w:w="3208" w:type="dxa"/>
          </w:tcPr>
          <w:p w:rsidR="00DB358D" w:rsidRPr="007476BD" w:rsidRDefault="00DB358D" w:rsidP="009C3E3C">
            <w:pPr>
              <w:pStyle w:val="Table2"/>
            </w:pPr>
            <w:r w:rsidRPr="007476BD">
              <w:rPr>
                <w:rFonts w:cs="Arial"/>
              </w:rPr>
              <w:t>Japanese Pharmacopeia</w:t>
            </w:r>
          </w:p>
        </w:tc>
      </w:tr>
    </w:tbl>
    <w:p w:rsidR="00DB358D" w:rsidRPr="007476BD" w:rsidRDefault="00DB358D" w:rsidP="00DB358D">
      <w:pPr>
        <w:rPr>
          <w:sz w:val="20"/>
          <w:szCs w:val="20"/>
        </w:rPr>
      </w:pPr>
    </w:p>
    <w:p w:rsidR="00DB358D" w:rsidRPr="007476BD" w:rsidRDefault="00DB358D" w:rsidP="00F523EF">
      <w:pPr>
        <w:pStyle w:val="Clause"/>
      </w:pPr>
      <w:r w:rsidRPr="007476BD">
        <w:t>2.</w:t>
      </w:r>
      <w:r w:rsidRPr="007476BD">
        <w:tab/>
        <w:t>Residual Solvents</w:t>
      </w:r>
    </w:p>
    <w:p w:rsidR="00DB358D" w:rsidRPr="007476BD" w:rsidRDefault="00DB358D" w:rsidP="00DB358D">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74"/>
        <w:gridCol w:w="3073"/>
        <w:gridCol w:w="3089"/>
      </w:tblGrid>
      <w:tr w:rsidR="00DB358D" w:rsidRPr="007476BD" w:rsidTr="009C3E3C">
        <w:tc>
          <w:tcPr>
            <w:tcW w:w="3074" w:type="dxa"/>
          </w:tcPr>
          <w:p w:rsidR="00DB358D" w:rsidRPr="007476BD" w:rsidRDefault="00DB358D" w:rsidP="009C3E3C">
            <w:pPr>
              <w:pStyle w:val="Table1"/>
            </w:pPr>
            <w:r w:rsidRPr="007476BD">
              <w:t>Specification Parameter</w:t>
            </w:r>
          </w:p>
        </w:tc>
        <w:tc>
          <w:tcPr>
            <w:tcW w:w="3073" w:type="dxa"/>
          </w:tcPr>
          <w:p w:rsidR="00DB358D" w:rsidRPr="007476BD" w:rsidRDefault="00DB358D" w:rsidP="009C3E3C">
            <w:pPr>
              <w:pStyle w:val="Table1"/>
            </w:pPr>
            <w:r w:rsidRPr="007476BD">
              <w:t>Specification Value</w:t>
            </w:r>
          </w:p>
        </w:tc>
        <w:tc>
          <w:tcPr>
            <w:tcW w:w="3089" w:type="dxa"/>
          </w:tcPr>
          <w:p w:rsidR="00DB358D" w:rsidRPr="007476BD" w:rsidRDefault="00DB358D" w:rsidP="009C3E3C">
            <w:pPr>
              <w:pStyle w:val="Table1"/>
            </w:pPr>
            <w:r w:rsidRPr="007476BD">
              <w:t>Analytical Methodology</w:t>
            </w:r>
          </w:p>
        </w:tc>
      </w:tr>
      <w:tr w:rsidR="00DB358D" w:rsidRPr="007476BD" w:rsidTr="009C3E3C">
        <w:tc>
          <w:tcPr>
            <w:tcW w:w="3074" w:type="dxa"/>
          </w:tcPr>
          <w:p w:rsidR="00DB358D" w:rsidRPr="007476BD" w:rsidRDefault="009968ED" w:rsidP="009C3E3C">
            <w:pPr>
              <w:pStyle w:val="Table2"/>
            </w:pPr>
            <w:r w:rsidRPr="007476BD">
              <w:t>Methyl</w:t>
            </w:r>
            <w:r w:rsidR="00DB358D" w:rsidRPr="007476BD">
              <w:t xml:space="preserve"> Acetate</w:t>
            </w:r>
          </w:p>
        </w:tc>
        <w:tc>
          <w:tcPr>
            <w:tcW w:w="3073" w:type="dxa"/>
          </w:tcPr>
          <w:p w:rsidR="00DB358D" w:rsidRPr="007476BD" w:rsidRDefault="00DB358D" w:rsidP="009C3E3C">
            <w:pPr>
              <w:pStyle w:val="Table2"/>
            </w:pPr>
            <w:r w:rsidRPr="007476BD">
              <w:t>No more than 500 mg/kg</w:t>
            </w:r>
          </w:p>
        </w:tc>
        <w:tc>
          <w:tcPr>
            <w:tcW w:w="3089" w:type="dxa"/>
          </w:tcPr>
          <w:p w:rsidR="00DB358D" w:rsidRPr="007476BD" w:rsidRDefault="00DB358D" w:rsidP="009C3E3C">
            <w:pPr>
              <w:pStyle w:val="Table2"/>
            </w:pPr>
            <w:r w:rsidRPr="007476BD">
              <w:rPr>
                <w:rFonts w:cs="Arial"/>
              </w:rPr>
              <w:t>Gas chromatography</w:t>
            </w:r>
          </w:p>
        </w:tc>
      </w:tr>
      <w:tr w:rsidR="00DB358D" w:rsidRPr="007476BD" w:rsidTr="009C3E3C">
        <w:tc>
          <w:tcPr>
            <w:tcW w:w="3074" w:type="dxa"/>
          </w:tcPr>
          <w:p w:rsidR="00DB358D" w:rsidRPr="007476BD" w:rsidRDefault="00DB358D" w:rsidP="009C3E3C">
            <w:pPr>
              <w:pStyle w:val="Table2"/>
            </w:pPr>
            <w:r w:rsidRPr="007476BD">
              <w:t>Isopropyl Acetate</w:t>
            </w:r>
          </w:p>
        </w:tc>
        <w:tc>
          <w:tcPr>
            <w:tcW w:w="3073" w:type="dxa"/>
          </w:tcPr>
          <w:p w:rsidR="00DB358D" w:rsidRPr="007476BD" w:rsidRDefault="00053BCB" w:rsidP="009C3E3C">
            <w:pPr>
              <w:pStyle w:val="Table2"/>
            </w:pPr>
            <w:r w:rsidRPr="007476BD">
              <w:t>No more than 2</w:t>
            </w:r>
            <w:r w:rsidR="00DB358D" w:rsidRPr="007476BD">
              <w:t>000 mg/kg</w:t>
            </w:r>
          </w:p>
        </w:tc>
        <w:tc>
          <w:tcPr>
            <w:tcW w:w="3089" w:type="dxa"/>
          </w:tcPr>
          <w:p w:rsidR="00DB358D" w:rsidRPr="007476BD" w:rsidRDefault="00DB358D" w:rsidP="009C3E3C">
            <w:pPr>
              <w:pStyle w:val="Table2"/>
            </w:pPr>
            <w:r w:rsidRPr="007476BD">
              <w:rPr>
                <w:rFonts w:cs="Arial"/>
              </w:rPr>
              <w:t>Gas chromatography</w:t>
            </w:r>
          </w:p>
        </w:tc>
      </w:tr>
      <w:tr w:rsidR="00DB358D" w:rsidRPr="007476BD" w:rsidTr="009C3E3C">
        <w:tc>
          <w:tcPr>
            <w:tcW w:w="3074" w:type="dxa"/>
          </w:tcPr>
          <w:p w:rsidR="00DB358D" w:rsidRPr="007476BD" w:rsidRDefault="00DB358D" w:rsidP="009C3E3C">
            <w:pPr>
              <w:pStyle w:val="Table2"/>
            </w:pPr>
            <w:r w:rsidRPr="007476BD">
              <w:t>Methanol</w:t>
            </w:r>
          </w:p>
        </w:tc>
        <w:tc>
          <w:tcPr>
            <w:tcW w:w="3073" w:type="dxa"/>
          </w:tcPr>
          <w:p w:rsidR="00DB358D" w:rsidRPr="007476BD" w:rsidRDefault="00DB358D" w:rsidP="009C3E3C">
            <w:pPr>
              <w:pStyle w:val="Table2"/>
            </w:pPr>
            <w:r w:rsidRPr="007476BD">
              <w:t>No more than 500 mg/kg</w:t>
            </w:r>
          </w:p>
        </w:tc>
        <w:tc>
          <w:tcPr>
            <w:tcW w:w="3089" w:type="dxa"/>
          </w:tcPr>
          <w:p w:rsidR="00DB358D" w:rsidRPr="007476BD" w:rsidRDefault="00DB358D" w:rsidP="009C3E3C">
            <w:pPr>
              <w:pStyle w:val="Table2"/>
            </w:pPr>
            <w:r w:rsidRPr="007476BD">
              <w:rPr>
                <w:rFonts w:cs="Arial"/>
              </w:rPr>
              <w:t>Gas chromatography</w:t>
            </w:r>
          </w:p>
        </w:tc>
      </w:tr>
      <w:tr w:rsidR="00DB358D" w:rsidRPr="007476BD" w:rsidTr="009C3E3C">
        <w:tc>
          <w:tcPr>
            <w:tcW w:w="3074" w:type="dxa"/>
          </w:tcPr>
          <w:p w:rsidR="00DB358D" w:rsidRPr="007476BD" w:rsidRDefault="00DB358D" w:rsidP="009C3E3C">
            <w:pPr>
              <w:pStyle w:val="Table2"/>
            </w:pPr>
            <w:r w:rsidRPr="007476BD">
              <w:t>2-Propanol</w:t>
            </w:r>
          </w:p>
        </w:tc>
        <w:tc>
          <w:tcPr>
            <w:tcW w:w="3073" w:type="dxa"/>
          </w:tcPr>
          <w:p w:rsidR="00DB358D" w:rsidRPr="007476BD" w:rsidRDefault="00DB358D" w:rsidP="009C3E3C">
            <w:pPr>
              <w:pStyle w:val="Table2"/>
            </w:pPr>
            <w:r w:rsidRPr="007476BD">
              <w:t>No more than 500 mg/kg</w:t>
            </w:r>
          </w:p>
        </w:tc>
        <w:tc>
          <w:tcPr>
            <w:tcW w:w="3089" w:type="dxa"/>
          </w:tcPr>
          <w:p w:rsidR="00DB358D" w:rsidRPr="007476BD" w:rsidRDefault="00DB358D" w:rsidP="009C3E3C">
            <w:pPr>
              <w:pStyle w:val="Table2"/>
            </w:pPr>
            <w:r w:rsidRPr="007476BD">
              <w:rPr>
                <w:rFonts w:cs="Arial"/>
              </w:rPr>
              <w:t>Gas chromatography</w:t>
            </w:r>
          </w:p>
        </w:tc>
      </w:tr>
    </w:tbl>
    <w:p w:rsidR="00DB358D" w:rsidRPr="007476BD" w:rsidRDefault="00DB358D" w:rsidP="00DB358D"/>
    <w:p w:rsidR="00536188" w:rsidRPr="007476BD" w:rsidRDefault="00536188">
      <w:pPr>
        <w:widowControl/>
        <w:rPr>
          <w:rFonts w:cs="Arial"/>
        </w:rPr>
      </w:pPr>
      <w:r w:rsidRPr="007476BD">
        <w:rPr>
          <w:rFonts w:cs="Arial"/>
        </w:rPr>
        <w:br w:type="page"/>
      </w:r>
    </w:p>
    <w:p w:rsidR="00536188" w:rsidRPr="007476BD" w:rsidRDefault="00536188" w:rsidP="006C6013">
      <w:pPr>
        <w:pStyle w:val="Heading2"/>
        <w:jc w:val="right"/>
      </w:pPr>
      <w:bookmarkStart w:id="122" w:name="_Toc296958630"/>
      <w:r w:rsidRPr="007476BD">
        <w:lastRenderedPageBreak/>
        <w:t>Attachment 2</w:t>
      </w:r>
      <w:bookmarkEnd w:id="122"/>
    </w:p>
    <w:p w:rsidR="00935337" w:rsidRPr="007476BD" w:rsidRDefault="00935337" w:rsidP="00935337"/>
    <w:p w:rsidR="00536188" w:rsidRPr="007476BD" w:rsidRDefault="00935337" w:rsidP="00935337">
      <w:pPr>
        <w:pStyle w:val="Heading2"/>
      </w:pPr>
      <w:bookmarkStart w:id="123" w:name="_Toc296958631"/>
      <w:r w:rsidRPr="007476BD">
        <w:t>S</w:t>
      </w:r>
      <w:r w:rsidR="00D414BF" w:rsidRPr="007476BD">
        <w:t>ubmissions</w:t>
      </w:r>
      <w:r w:rsidRPr="007476BD">
        <w:t xml:space="preserve"> Summary</w:t>
      </w:r>
      <w:bookmarkEnd w:id="123"/>
    </w:p>
    <w:p w:rsidR="00935337" w:rsidRPr="007476BD" w:rsidRDefault="00935337" w:rsidP="00935337"/>
    <w:p w:rsidR="00935337" w:rsidRPr="007476BD" w:rsidRDefault="00935337" w:rsidP="00935337">
      <w:pPr>
        <w:pStyle w:val="Heading3"/>
        <w:jc w:val="center"/>
      </w:pPr>
      <w:bookmarkStart w:id="124" w:name="_Toc296958632"/>
      <w:r w:rsidRPr="007476BD">
        <w:t>1</w:t>
      </w:r>
      <w:r w:rsidRPr="007476BD">
        <w:rPr>
          <w:vertAlign w:val="superscript"/>
        </w:rPr>
        <w:t>st</w:t>
      </w:r>
      <w:r w:rsidRPr="007476BD">
        <w:t xml:space="preserve"> Assessment</w:t>
      </w:r>
      <w:bookmarkEnd w:id="124"/>
    </w:p>
    <w:p w:rsidR="00D414BF" w:rsidRPr="007476BD" w:rsidRDefault="00D414BF" w:rsidP="00536188">
      <w:pPr>
        <w:rPr>
          <w:highlight w:val="yellow"/>
        </w:rPr>
      </w:pPr>
    </w:p>
    <w:tbl>
      <w:tblPr>
        <w:tblStyle w:val="TableGrid"/>
        <w:tblW w:w="9464" w:type="dxa"/>
        <w:tblLook w:val="04A0" w:firstRow="1" w:lastRow="0" w:firstColumn="1" w:lastColumn="0" w:noHBand="0" w:noVBand="1"/>
      </w:tblPr>
      <w:tblGrid>
        <w:gridCol w:w="2235"/>
        <w:gridCol w:w="7229"/>
      </w:tblGrid>
      <w:tr w:rsidR="00536188" w:rsidRPr="007476BD" w:rsidTr="00980EA0">
        <w:trPr>
          <w:tblHeader/>
        </w:trPr>
        <w:tc>
          <w:tcPr>
            <w:tcW w:w="2235" w:type="dxa"/>
            <w:shd w:val="clear" w:color="auto" w:fill="D6E3BC" w:themeFill="accent3" w:themeFillTint="66"/>
          </w:tcPr>
          <w:p w:rsidR="00536188" w:rsidRPr="007476BD" w:rsidRDefault="00536188" w:rsidP="00980EA0">
            <w:pPr>
              <w:pStyle w:val="Table1"/>
              <w:rPr>
                <w:sz w:val="20"/>
              </w:rPr>
            </w:pPr>
            <w:r w:rsidRPr="007476BD">
              <w:rPr>
                <w:sz w:val="20"/>
              </w:rPr>
              <w:t>Submitter</w:t>
            </w:r>
          </w:p>
        </w:tc>
        <w:tc>
          <w:tcPr>
            <w:tcW w:w="7229" w:type="dxa"/>
            <w:shd w:val="clear" w:color="auto" w:fill="D6E3BC" w:themeFill="accent3" w:themeFillTint="66"/>
          </w:tcPr>
          <w:p w:rsidR="00536188" w:rsidRPr="007476BD" w:rsidRDefault="00536188" w:rsidP="00980EA0">
            <w:pPr>
              <w:pStyle w:val="Table1"/>
              <w:rPr>
                <w:rFonts w:cs="Arial"/>
                <w:sz w:val="20"/>
              </w:rPr>
            </w:pPr>
            <w:r w:rsidRPr="007476BD">
              <w:rPr>
                <w:rFonts w:cs="Arial"/>
                <w:sz w:val="20"/>
              </w:rPr>
              <w:t>Comment</w:t>
            </w:r>
          </w:p>
        </w:tc>
      </w:tr>
      <w:tr w:rsidR="00536188" w:rsidRPr="007476BD" w:rsidTr="004735D8">
        <w:tc>
          <w:tcPr>
            <w:tcW w:w="2235" w:type="dxa"/>
          </w:tcPr>
          <w:p w:rsidR="00536188" w:rsidRPr="007476BD" w:rsidRDefault="00536188" w:rsidP="00611B92">
            <w:pPr>
              <w:pStyle w:val="Table2"/>
              <w:ind w:left="0" w:firstLine="0"/>
              <w:rPr>
                <w:rFonts w:cs="Arial"/>
                <w:szCs w:val="18"/>
              </w:rPr>
            </w:pPr>
            <w:r w:rsidRPr="007476BD">
              <w:rPr>
                <w:rFonts w:cs="Arial"/>
                <w:szCs w:val="18"/>
              </w:rPr>
              <w:t>The Australian Food and Grocery Council (AFGC)</w:t>
            </w:r>
          </w:p>
        </w:tc>
        <w:tc>
          <w:tcPr>
            <w:tcW w:w="7229" w:type="dxa"/>
          </w:tcPr>
          <w:p w:rsidR="00980EA0" w:rsidRPr="007476BD" w:rsidRDefault="00980EA0" w:rsidP="00CA705F">
            <w:pPr>
              <w:pStyle w:val="Table2"/>
              <w:ind w:left="0" w:firstLine="0"/>
              <w:rPr>
                <w:rFonts w:eastAsiaTheme="minorHAnsi" w:cs="Arial"/>
                <w:szCs w:val="18"/>
              </w:rPr>
            </w:pPr>
            <w:r w:rsidRPr="007476BD">
              <w:rPr>
                <w:rFonts w:eastAsiaTheme="minorHAnsi" w:cs="Arial"/>
                <w:szCs w:val="18"/>
              </w:rPr>
              <w:t>S</w:t>
            </w:r>
            <w:r w:rsidR="00536188" w:rsidRPr="007476BD">
              <w:rPr>
                <w:rFonts w:eastAsiaTheme="minorHAnsi" w:cs="Arial"/>
                <w:szCs w:val="18"/>
              </w:rPr>
              <w:t xml:space="preserve">upports on the basis that there is no identified risk to public health and safety, and that the intense sweetener performs a technological function, as intended. </w:t>
            </w:r>
          </w:p>
          <w:p w:rsidR="00980EA0" w:rsidRPr="007476BD" w:rsidRDefault="00980EA0" w:rsidP="00980EA0">
            <w:pPr>
              <w:pStyle w:val="Table2"/>
              <w:rPr>
                <w:rFonts w:eastAsiaTheme="minorHAnsi" w:cs="Arial"/>
                <w:szCs w:val="18"/>
              </w:rPr>
            </w:pPr>
          </w:p>
          <w:p w:rsidR="00536188" w:rsidRPr="007476BD" w:rsidRDefault="00980EA0" w:rsidP="00CA705F">
            <w:pPr>
              <w:pStyle w:val="Table2"/>
              <w:ind w:left="0" w:firstLine="0"/>
              <w:rPr>
                <w:rFonts w:eastAsiaTheme="minorHAnsi" w:cs="Arial"/>
                <w:szCs w:val="18"/>
              </w:rPr>
            </w:pPr>
            <w:r w:rsidRPr="007476BD">
              <w:rPr>
                <w:rFonts w:eastAsiaTheme="minorHAnsi" w:cs="Arial"/>
                <w:szCs w:val="18"/>
              </w:rPr>
              <w:t>C</w:t>
            </w:r>
            <w:r w:rsidR="00536188" w:rsidRPr="007476BD">
              <w:rPr>
                <w:rFonts w:eastAsiaTheme="minorHAnsi" w:cs="Arial"/>
                <w:szCs w:val="18"/>
              </w:rPr>
              <w:t>onsiders that the availability of this sweetener to the food industry will provide significant opportunities for product development, and significant potential benefit to consumers in the greater availability and choice of foods that may help assist in the management of energy consumption, and therefore weight management.</w:t>
            </w:r>
          </w:p>
          <w:p w:rsidR="00980EA0" w:rsidRPr="007476BD" w:rsidRDefault="00980EA0" w:rsidP="00980EA0">
            <w:pPr>
              <w:pStyle w:val="Table2"/>
              <w:rPr>
                <w:rFonts w:eastAsiaTheme="minorHAnsi" w:cs="Arial"/>
                <w:szCs w:val="18"/>
              </w:rPr>
            </w:pPr>
          </w:p>
          <w:p w:rsidR="00536188" w:rsidRPr="007476BD" w:rsidRDefault="00980EA0" w:rsidP="00CA705F">
            <w:pPr>
              <w:pStyle w:val="Table2"/>
              <w:ind w:left="0" w:firstLine="0"/>
              <w:rPr>
                <w:rFonts w:eastAsiaTheme="minorHAnsi" w:cs="Arial"/>
                <w:szCs w:val="18"/>
              </w:rPr>
            </w:pPr>
            <w:r w:rsidRPr="007476BD">
              <w:rPr>
                <w:rFonts w:eastAsiaTheme="minorHAnsi" w:cs="Arial"/>
                <w:szCs w:val="18"/>
              </w:rPr>
              <w:t>S</w:t>
            </w:r>
            <w:r w:rsidR="00536188" w:rsidRPr="007476BD">
              <w:rPr>
                <w:rFonts w:eastAsiaTheme="minorHAnsi" w:cs="Arial"/>
                <w:szCs w:val="18"/>
              </w:rPr>
              <w:t xml:space="preserve">upports Option 2B to approve the use of Advantame as an intense sweetener in Schedule 2 of Standard 1.3.1 on the basis of efficiency in amending the Code to provide the broadest possible permission for use and to avoid having to make further application to extend the range of foods permitted to add Advantame. However, also supports option 2A as a schedule 1 additive if that approach is more appropriate. </w:t>
            </w:r>
          </w:p>
        </w:tc>
      </w:tr>
      <w:tr w:rsidR="00536188" w:rsidRPr="007476BD" w:rsidTr="004735D8">
        <w:tc>
          <w:tcPr>
            <w:tcW w:w="2235" w:type="dxa"/>
          </w:tcPr>
          <w:p w:rsidR="00536188" w:rsidRPr="007476BD" w:rsidRDefault="00536188" w:rsidP="00611B92">
            <w:pPr>
              <w:pStyle w:val="Table2"/>
              <w:ind w:left="0" w:firstLine="0"/>
              <w:rPr>
                <w:rFonts w:cs="Arial"/>
                <w:szCs w:val="18"/>
              </w:rPr>
            </w:pPr>
            <w:r w:rsidRPr="007476BD">
              <w:rPr>
                <w:rFonts w:cs="Arial"/>
                <w:szCs w:val="18"/>
              </w:rPr>
              <w:t>The NSW Food Authority</w:t>
            </w:r>
          </w:p>
        </w:tc>
        <w:tc>
          <w:tcPr>
            <w:tcW w:w="7229" w:type="dxa"/>
          </w:tcPr>
          <w:p w:rsidR="00214EAE" w:rsidRPr="007476BD" w:rsidRDefault="00536188" w:rsidP="00214EAE">
            <w:pPr>
              <w:pStyle w:val="Table2"/>
              <w:ind w:left="0" w:firstLine="0"/>
              <w:rPr>
                <w:rFonts w:cs="Arial"/>
                <w:szCs w:val="18"/>
              </w:rPr>
            </w:pPr>
            <w:r w:rsidRPr="007476BD">
              <w:rPr>
                <w:rFonts w:cs="Arial"/>
                <w:szCs w:val="18"/>
              </w:rPr>
              <w:t>Seeks clarification about some of the toxicological studies referred to in the Risk Assessmen</w:t>
            </w:r>
            <w:r w:rsidR="00214EAE" w:rsidRPr="007476BD">
              <w:rPr>
                <w:rFonts w:cs="Arial"/>
                <w:szCs w:val="18"/>
              </w:rPr>
              <w:t xml:space="preserve">t report: </w:t>
            </w:r>
          </w:p>
          <w:p w:rsidR="00214EAE" w:rsidRPr="007476BD" w:rsidRDefault="00214EAE" w:rsidP="00214EAE">
            <w:pPr>
              <w:pStyle w:val="Table2"/>
              <w:ind w:left="0" w:firstLine="0"/>
              <w:rPr>
                <w:rFonts w:cs="Arial"/>
                <w:szCs w:val="18"/>
              </w:rPr>
            </w:pPr>
          </w:p>
          <w:p w:rsidR="00611B92" w:rsidRPr="007476BD" w:rsidRDefault="00010FE6" w:rsidP="00214EAE">
            <w:pPr>
              <w:pStyle w:val="Table2"/>
              <w:ind w:left="0" w:firstLine="0"/>
              <w:rPr>
                <w:rFonts w:cs="Arial"/>
                <w:szCs w:val="18"/>
              </w:rPr>
            </w:pPr>
            <w:r w:rsidRPr="007476BD">
              <w:rPr>
                <w:rFonts w:cs="Arial"/>
                <w:szCs w:val="18"/>
              </w:rPr>
              <w:t xml:space="preserve">Pharmacokinetics (SD1: </w:t>
            </w:r>
            <w:r w:rsidR="004E4424" w:rsidRPr="007476BD">
              <w:rPr>
                <w:rFonts w:cs="Arial"/>
                <w:szCs w:val="18"/>
              </w:rPr>
              <w:t xml:space="preserve">pages </w:t>
            </w:r>
            <w:r w:rsidRPr="007476BD">
              <w:rPr>
                <w:rFonts w:cs="Arial"/>
                <w:szCs w:val="18"/>
              </w:rPr>
              <w:t>29 - 31)</w:t>
            </w:r>
          </w:p>
          <w:p w:rsidR="00214EAE" w:rsidRPr="007476BD" w:rsidRDefault="00214EAE" w:rsidP="00214EAE">
            <w:pPr>
              <w:pStyle w:val="Table2"/>
              <w:ind w:left="0" w:firstLine="0"/>
              <w:rPr>
                <w:rFonts w:cs="Arial"/>
                <w:szCs w:val="18"/>
              </w:rPr>
            </w:pPr>
          </w:p>
          <w:p w:rsidR="00010FE6" w:rsidRPr="007476BD" w:rsidRDefault="00010FE6" w:rsidP="00214EAE">
            <w:pPr>
              <w:pStyle w:val="FSBullet"/>
              <w:rPr>
                <w:sz w:val="18"/>
                <w:szCs w:val="18"/>
              </w:rPr>
            </w:pPr>
            <w:r w:rsidRPr="007476BD">
              <w:rPr>
                <w:sz w:val="18"/>
                <w:szCs w:val="18"/>
              </w:rPr>
              <w:t>FSANZ has identified some problems with the studies but appears to have provided alternative explanations rather than seeking clarification from the applicant.</w:t>
            </w:r>
          </w:p>
          <w:p w:rsidR="00010FE6" w:rsidRPr="007476BD" w:rsidRDefault="00010FE6" w:rsidP="00980EA0">
            <w:pPr>
              <w:pStyle w:val="Table2"/>
              <w:rPr>
                <w:rFonts w:cs="Arial"/>
                <w:szCs w:val="18"/>
              </w:rPr>
            </w:pPr>
          </w:p>
          <w:p w:rsidR="00010FE6" w:rsidRPr="007476BD" w:rsidRDefault="00010FE6" w:rsidP="00980EA0">
            <w:pPr>
              <w:pStyle w:val="Table2"/>
              <w:rPr>
                <w:rFonts w:cs="Arial"/>
                <w:szCs w:val="18"/>
              </w:rPr>
            </w:pPr>
            <w:r w:rsidRPr="007476BD">
              <w:rPr>
                <w:rFonts w:cs="Arial"/>
                <w:szCs w:val="18"/>
              </w:rPr>
              <w:t xml:space="preserve">Comparison with other intense sweeteners (SD1: </w:t>
            </w:r>
            <w:r w:rsidR="004E4424" w:rsidRPr="007476BD">
              <w:rPr>
                <w:rFonts w:cs="Arial"/>
                <w:szCs w:val="18"/>
              </w:rPr>
              <w:t xml:space="preserve">pages </w:t>
            </w:r>
            <w:r w:rsidRPr="007476BD">
              <w:rPr>
                <w:rFonts w:cs="Arial"/>
                <w:szCs w:val="18"/>
              </w:rPr>
              <w:t>93 - 94)</w:t>
            </w:r>
          </w:p>
          <w:p w:rsidR="00214EAE" w:rsidRPr="007476BD" w:rsidRDefault="00214EAE" w:rsidP="00980EA0">
            <w:pPr>
              <w:pStyle w:val="Table2"/>
              <w:rPr>
                <w:rFonts w:cs="Arial"/>
                <w:szCs w:val="18"/>
              </w:rPr>
            </w:pPr>
          </w:p>
          <w:p w:rsidR="00650014" w:rsidRPr="007476BD" w:rsidRDefault="00010FE6" w:rsidP="00214EAE">
            <w:pPr>
              <w:pStyle w:val="FSBullet"/>
              <w:rPr>
                <w:sz w:val="18"/>
                <w:szCs w:val="18"/>
              </w:rPr>
            </w:pPr>
            <w:r w:rsidRPr="007476BD">
              <w:rPr>
                <w:sz w:val="18"/>
                <w:szCs w:val="18"/>
              </w:rPr>
              <w:t xml:space="preserve">The application relies upon comparisons between Advantame to </w:t>
            </w:r>
            <w:r w:rsidR="00C46CAE" w:rsidRPr="007476BD">
              <w:rPr>
                <w:sz w:val="18"/>
                <w:szCs w:val="18"/>
              </w:rPr>
              <w:t>Neotame</w:t>
            </w:r>
            <w:r w:rsidRPr="007476BD">
              <w:rPr>
                <w:sz w:val="18"/>
                <w:szCs w:val="18"/>
              </w:rPr>
              <w:t xml:space="preserve"> but comparative data are not provided. For example, some details about relative propensity to metabolise to methanol and phenylalanine would be useful.</w:t>
            </w:r>
            <w:r w:rsidR="000573BF" w:rsidRPr="007476BD">
              <w:rPr>
                <w:sz w:val="18"/>
                <w:szCs w:val="18"/>
              </w:rPr>
              <w:t xml:space="preserve"> </w:t>
            </w:r>
          </w:p>
          <w:p w:rsidR="00010FE6" w:rsidRPr="007476BD" w:rsidRDefault="00010FE6" w:rsidP="00214EAE">
            <w:pPr>
              <w:pStyle w:val="FSBullet"/>
              <w:rPr>
                <w:sz w:val="18"/>
                <w:szCs w:val="18"/>
              </w:rPr>
            </w:pPr>
            <w:r w:rsidRPr="007476BD">
              <w:rPr>
                <w:sz w:val="18"/>
                <w:szCs w:val="18"/>
              </w:rPr>
              <w:t xml:space="preserve">The ADI for </w:t>
            </w:r>
            <w:r w:rsidR="00C46CAE" w:rsidRPr="007476BD">
              <w:rPr>
                <w:sz w:val="18"/>
                <w:szCs w:val="18"/>
              </w:rPr>
              <w:t>Neotame</w:t>
            </w:r>
            <w:r w:rsidRPr="007476BD">
              <w:rPr>
                <w:sz w:val="18"/>
                <w:szCs w:val="18"/>
              </w:rPr>
              <w:t xml:space="preserve"> is apparently based on impacts on LDH and it seems that there is no evidence that Advantame caused a similar impact, but SD1 includes no LDH results.</w:t>
            </w:r>
          </w:p>
        </w:tc>
      </w:tr>
      <w:tr w:rsidR="00536188" w:rsidRPr="007476BD" w:rsidTr="004735D8">
        <w:tc>
          <w:tcPr>
            <w:tcW w:w="2235" w:type="dxa"/>
          </w:tcPr>
          <w:p w:rsidR="00536188" w:rsidRPr="007476BD" w:rsidRDefault="00536188" w:rsidP="00611B92">
            <w:pPr>
              <w:pStyle w:val="Table2"/>
              <w:ind w:left="0" w:firstLine="0"/>
              <w:rPr>
                <w:rFonts w:cs="Arial"/>
                <w:szCs w:val="18"/>
              </w:rPr>
            </w:pPr>
            <w:r w:rsidRPr="007476BD">
              <w:rPr>
                <w:rFonts w:eastAsiaTheme="minorHAnsi" w:cs="Arial"/>
                <w:szCs w:val="18"/>
              </w:rPr>
              <w:t xml:space="preserve">The Victorian Department of Health </w:t>
            </w:r>
          </w:p>
          <w:p w:rsidR="00536188" w:rsidRPr="007476BD" w:rsidRDefault="00536188" w:rsidP="00650014">
            <w:pPr>
              <w:pStyle w:val="Table2"/>
              <w:rPr>
                <w:rFonts w:cs="Arial"/>
                <w:szCs w:val="18"/>
              </w:rPr>
            </w:pPr>
          </w:p>
        </w:tc>
        <w:tc>
          <w:tcPr>
            <w:tcW w:w="7229" w:type="dxa"/>
          </w:tcPr>
          <w:p w:rsidR="00980EA0" w:rsidRPr="007476BD" w:rsidRDefault="00536188" w:rsidP="00CA705F">
            <w:pPr>
              <w:pStyle w:val="Table2"/>
              <w:ind w:left="0" w:firstLine="0"/>
              <w:rPr>
                <w:rFonts w:eastAsiaTheme="minorHAnsi" w:cs="Arial"/>
                <w:szCs w:val="18"/>
              </w:rPr>
            </w:pPr>
            <w:r w:rsidRPr="007476BD">
              <w:rPr>
                <w:rFonts w:eastAsiaTheme="minorHAnsi" w:cs="Arial"/>
                <w:szCs w:val="18"/>
              </w:rPr>
              <w:t>No concerns at this time relating to the use of Advantame as a table</w:t>
            </w:r>
            <w:r w:rsidR="00650014" w:rsidRPr="007476BD">
              <w:rPr>
                <w:rFonts w:eastAsiaTheme="minorHAnsi" w:cs="Arial"/>
                <w:szCs w:val="18"/>
              </w:rPr>
              <w:t xml:space="preserve"> </w:t>
            </w:r>
            <w:r w:rsidRPr="007476BD">
              <w:rPr>
                <w:rFonts w:eastAsiaTheme="minorHAnsi" w:cs="Arial"/>
                <w:szCs w:val="18"/>
              </w:rPr>
              <w:t>top sweetener and added to a range of powdered beverages and protein drinks (conditional on support of the toxicology report by the external peer reviewers). There are no nutritional issues identified a</w:t>
            </w:r>
            <w:r w:rsidR="00650014" w:rsidRPr="007476BD">
              <w:rPr>
                <w:rFonts w:eastAsiaTheme="minorHAnsi" w:cs="Arial"/>
                <w:szCs w:val="18"/>
              </w:rPr>
              <w:t>t</w:t>
            </w:r>
            <w:r w:rsidRPr="007476BD">
              <w:rPr>
                <w:rFonts w:eastAsiaTheme="minorHAnsi" w:cs="Arial"/>
                <w:szCs w:val="18"/>
              </w:rPr>
              <w:t xml:space="preserve"> this time. </w:t>
            </w:r>
          </w:p>
          <w:p w:rsidR="00980EA0" w:rsidRPr="007476BD" w:rsidRDefault="00980EA0" w:rsidP="00980EA0">
            <w:pPr>
              <w:pStyle w:val="Table2"/>
              <w:rPr>
                <w:rFonts w:eastAsiaTheme="minorHAnsi" w:cs="Arial"/>
                <w:szCs w:val="18"/>
              </w:rPr>
            </w:pPr>
          </w:p>
          <w:p w:rsidR="00536188" w:rsidRPr="007476BD" w:rsidRDefault="00536188" w:rsidP="00CA705F">
            <w:pPr>
              <w:pStyle w:val="Table2"/>
              <w:ind w:left="0" w:firstLine="0"/>
              <w:rPr>
                <w:rFonts w:eastAsiaTheme="minorHAnsi" w:cs="Arial"/>
                <w:szCs w:val="18"/>
              </w:rPr>
            </w:pPr>
            <w:r w:rsidRPr="007476BD">
              <w:rPr>
                <w:rFonts w:eastAsiaTheme="minorHAnsi" w:cs="Arial"/>
                <w:szCs w:val="18"/>
              </w:rPr>
              <w:t>Support</w:t>
            </w:r>
            <w:r w:rsidR="00980EA0" w:rsidRPr="007476BD">
              <w:rPr>
                <w:rFonts w:eastAsiaTheme="minorHAnsi" w:cs="Arial"/>
                <w:szCs w:val="18"/>
              </w:rPr>
              <w:t>s</w:t>
            </w:r>
            <w:r w:rsidRPr="007476BD">
              <w:rPr>
                <w:rFonts w:eastAsiaTheme="minorHAnsi" w:cs="Arial"/>
                <w:szCs w:val="18"/>
              </w:rPr>
              <w:t xml:space="preserve"> Option 2A: to approve the use of Advantame as an intense sweetener in schedule 1 of Standard 1.3.1 at restricted maximum levels to prevent the potential widespread uptake of this new intense sweetener into a wide range of foods that might occur if it were listed under Schedule 2 (Option 2B).</w:t>
            </w:r>
          </w:p>
        </w:tc>
      </w:tr>
      <w:tr w:rsidR="00536188" w:rsidRPr="007476BD" w:rsidTr="004735D8">
        <w:tc>
          <w:tcPr>
            <w:tcW w:w="2235" w:type="dxa"/>
          </w:tcPr>
          <w:p w:rsidR="00536188" w:rsidRPr="007476BD" w:rsidRDefault="00536188" w:rsidP="00611B92">
            <w:pPr>
              <w:pStyle w:val="Table2"/>
              <w:ind w:left="0" w:firstLine="0"/>
              <w:rPr>
                <w:rFonts w:cs="Arial"/>
                <w:sz w:val="20"/>
              </w:rPr>
            </w:pPr>
            <w:r w:rsidRPr="007476BD">
              <w:rPr>
                <w:rFonts w:cs="Arial"/>
                <w:sz w:val="20"/>
              </w:rPr>
              <w:t>The New Zealand Food Safety</w:t>
            </w:r>
          </w:p>
          <w:p w:rsidR="00536188" w:rsidRPr="007476BD" w:rsidRDefault="00536188" w:rsidP="00611B92">
            <w:pPr>
              <w:pStyle w:val="Table2"/>
              <w:ind w:left="0" w:firstLine="0"/>
              <w:rPr>
                <w:rFonts w:cs="Arial"/>
                <w:sz w:val="20"/>
              </w:rPr>
            </w:pPr>
            <w:r w:rsidRPr="007476BD">
              <w:rPr>
                <w:rFonts w:cs="Arial"/>
                <w:sz w:val="20"/>
              </w:rPr>
              <w:t>Authority (NZFSA)</w:t>
            </w:r>
          </w:p>
        </w:tc>
        <w:tc>
          <w:tcPr>
            <w:tcW w:w="7229" w:type="dxa"/>
          </w:tcPr>
          <w:p w:rsidR="000474F7" w:rsidRPr="007476BD" w:rsidRDefault="00536188" w:rsidP="00CA705F">
            <w:pPr>
              <w:pStyle w:val="Table2"/>
              <w:ind w:left="0" w:firstLine="0"/>
              <w:rPr>
                <w:rFonts w:eastAsiaTheme="minorHAnsi" w:cs="Arial"/>
                <w:sz w:val="20"/>
              </w:rPr>
            </w:pPr>
            <w:r w:rsidRPr="007476BD">
              <w:rPr>
                <w:rFonts w:eastAsiaTheme="minorHAnsi" w:cs="Arial"/>
                <w:sz w:val="20"/>
              </w:rPr>
              <w:t>Based on the data presented and subject to further exposure assessment, supports, in principle, Option 2B to list Advantame in Schedule 2 of Standard 1.3.1.</w:t>
            </w:r>
            <w:r w:rsidR="000474F7" w:rsidRPr="007476BD">
              <w:rPr>
                <w:rFonts w:eastAsiaTheme="minorHAnsi" w:cs="Arial"/>
                <w:sz w:val="20"/>
              </w:rPr>
              <w:t xml:space="preserve"> Questioned whether the rabbit is an appropriate model for humans and that </w:t>
            </w:r>
            <w:r w:rsidR="00EA2AD3" w:rsidRPr="007476BD">
              <w:rPr>
                <w:rFonts w:eastAsiaTheme="minorHAnsi" w:cs="Arial"/>
                <w:sz w:val="20"/>
              </w:rPr>
              <w:t xml:space="preserve">a higher </w:t>
            </w:r>
            <w:r w:rsidR="00EA2AD3" w:rsidRPr="007476BD">
              <w:rPr>
                <w:rFonts w:ascii="Helvetica" w:hAnsi="Helvetica" w:cs="Helvetica"/>
                <w:sz w:val="20"/>
                <w:lang w:eastAsia="en-GB" w:bidi="ar-SA"/>
              </w:rPr>
              <w:t>ADI may have been justifiable if the rabbit is found not to be a good surrogate for humans.</w:t>
            </w:r>
          </w:p>
        </w:tc>
      </w:tr>
      <w:tr w:rsidR="00536188" w:rsidRPr="007476BD" w:rsidTr="004735D8">
        <w:tc>
          <w:tcPr>
            <w:tcW w:w="2235" w:type="dxa"/>
          </w:tcPr>
          <w:p w:rsidR="00536188" w:rsidRPr="007476BD" w:rsidRDefault="00536188" w:rsidP="00650014">
            <w:pPr>
              <w:pStyle w:val="Table2"/>
              <w:rPr>
                <w:rFonts w:cs="Arial"/>
                <w:szCs w:val="18"/>
              </w:rPr>
            </w:pPr>
            <w:r w:rsidRPr="007476BD">
              <w:rPr>
                <w:rFonts w:eastAsiaTheme="minorHAnsi" w:cs="Arial"/>
                <w:szCs w:val="18"/>
              </w:rPr>
              <w:t>Ajinomoto Co., Inc.</w:t>
            </w:r>
          </w:p>
        </w:tc>
        <w:tc>
          <w:tcPr>
            <w:tcW w:w="7229" w:type="dxa"/>
          </w:tcPr>
          <w:p w:rsidR="00536188" w:rsidRPr="007476BD" w:rsidRDefault="00980EA0" w:rsidP="00CA705F">
            <w:pPr>
              <w:pStyle w:val="Table2"/>
              <w:ind w:left="0" w:firstLine="0"/>
              <w:rPr>
                <w:rFonts w:eastAsiaTheme="minorHAnsi" w:cs="Arial"/>
                <w:szCs w:val="18"/>
              </w:rPr>
            </w:pPr>
            <w:r w:rsidRPr="007476BD">
              <w:rPr>
                <w:rFonts w:eastAsiaTheme="minorHAnsi" w:cs="Arial"/>
                <w:szCs w:val="18"/>
              </w:rPr>
              <w:t>T</w:t>
            </w:r>
            <w:r w:rsidR="00536188" w:rsidRPr="007476BD">
              <w:rPr>
                <w:rFonts w:eastAsiaTheme="minorHAnsi" w:cs="Arial"/>
                <w:szCs w:val="18"/>
              </w:rPr>
              <w:t xml:space="preserve">he ADI should be established on the basis of the NOAEL values obtained from the long-term rat study, as is customary, given that no species-specific toxicity (systemic) is present. In the case of Advantame, given that the NOAEL in the long-term rat study and in the other toxicity studies in rats and dogs was the highest dietary concentration tested of 50,000 ppm, the data support an ADI of </w:t>
            </w:r>
            <w:r w:rsidRPr="007476BD">
              <w:rPr>
                <w:rFonts w:eastAsiaTheme="minorHAnsi" w:cs="Arial"/>
                <w:szCs w:val="18"/>
              </w:rPr>
              <w:t>‘</w:t>
            </w:r>
            <w:r w:rsidR="00536188" w:rsidRPr="007476BD">
              <w:rPr>
                <w:rFonts w:eastAsiaTheme="minorHAnsi" w:cs="Arial"/>
                <w:szCs w:val="18"/>
              </w:rPr>
              <w:t>not specified</w:t>
            </w:r>
            <w:r w:rsidRPr="007476BD">
              <w:rPr>
                <w:rFonts w:eastAsiaTheme="minorHAnsi" w:cs="Arial"/>
                <w:szCs w:val="18"/>
              </w:rPr>
              <w:t>’</w:t>
            </w:r>
            <w:r w:rsidR="00536188" w:rsidRPr="007476BD">
              <w:rPr>
                <w:rFonts w:eastAsiaTheme="minorHAnsi" w:cs="Arial"/>
                <w:szCs w:val="18"/>
              </w:rPr>
              <w:t>.</w:t>
            </w:r>
          </w:p>
          <w:p w:rsidR="00536188" w:rsidRPr="007476BD" w:rsidRDefault="00536188" w:rsidP="00980EA0">
            <w:pPr>
              <w:pStyle w:val="Table2"/>
              <w:rPr>
                <w:rFonts w:cs="Arial"/>
                <w:szCs w:val="18"/>
              </w:rPr>
            </w:pPr>
          </w:p>
          <w:p w:rsidR="00536188" w:rsidRPr="007476BD" w:rsidRDefault="00536188" w:rsidP="00CA705F">
            <w:pPr>
              <w:pStyle w:val="Table2"/>
              <w:ind w:left="0" w:firstLine="0"/>
              <w:rPr>
                <w:rFonts w:eastAsiaTheme="minorHAnsi" w:cs="Arial"/>
                <w:szCs w:val="18"/>
              </w:rPr>
            </w:pPr>
            <w:r w:rsidRPr="007476BD">
              <w:rPr>
                <w:rFonts w:eastAsiaTheme="minorHAnsi" w:cs="Arial"/>
                <w:szCs w:val="18"/>
              </w:rPr>
              <w:t xml:space="preserve">Advantame should be included in Schedule 2 of Standard </w:t>
            </w:r>
            <w:r w:rsidR="00931D08" w:rsidRPr="007476BD">
              <w:rPr>
                <w:rFonts w:eastAsiaTheme="minorHAnsi" w:cs="Arial"/>
                <w:szCs w:val="18"/>
              </w:rPr>
              <w:t>1.3.1 which</w:t>
            </w:r>
            <w:r w:rsidRPr="007476BD">
              <w:rPr>
                <w:rFonts w:eastAsiaTheme="minorHAnsi" w:cs="Arial"/>
                <w:szCs w:val="18"/>
              </w:rPr>
              <w:t xml:space="preserve"> would enable it to be used in a wide range of foods in accordance with GMP.</w:t>
            </w:r>
            <w:r w:rsidR="00980EA0" w:rsidRPr="007476BD">
              <w:rPr>
                <w:rFonts w:eastAsiaTheme="minorHAnsi" w:cs="Arial"/>
                <w:szCs w:val="18"/>
              </w:rPr>
              <w:t xml:space="preserve"> </w:t>
            </w:r>
            <w:r w:rsidRPr="007476BD">
              <w:rPr>
                <w:rFonts w:eastAsiaTheme="minorHAnsi" w:cs="Arial"/>
                <w:szCs w:val="18"/>
              </w:rPr>
              <w:t xml:space="preserve">The appropriate wording for the Schedule 2 entry would be: </w:t>
            </w:r>
            <w:r w:rsidR="00980EA0" w:rsidRPr="007476BD">
              <w:rPr>
                <w:rFonts w:eastAsiaTheme="minorHAnsi" w:cs="Arial"/>
                <w:szCs w:val="18"/>
              </w:rPr>
              <w:t>‘</w:t>
            </w:r>
            <w:r w:rsidRPr="007476BD">
              <w:rPr>
                <w:rFonts w:eastAsiaTheme="minorHAnsi" w:cs="Arial"/>
                <w:szCs w:val="18"/>
              </w:rPr>
              <w:t>Advantame (technological use consistent with clause 4)</w:t>
            </w:r>
            <w:r w:rsidR="00980EA0" w:rsidRPr="007476BD">
              <w:rPr>
                <w:rFonts w:eastAsiaTheme="minorHAnsi" w:cs="Arial"/>
                <w:szCs w:val="18"/>
              </w:rPr>
              <w:t>’</w:t>
            </w:r>
            <w:r w:rsidRPr="007476BD">
              <w:rPr>
                <w:rFonts w:eastAsiaTheme="minorHAnsi" w:cs="Arial"/>
                <w:szCs w:val="18"/>
              </w:rPr>
              <w:t xml:space="preserve"> which is consistent with the use of other similar high intensity sweeteners.</w:t>
            </w:r>
          </w:p>
          <w:p w:rsidR="001C4A76" w:rsidRPr="007476BD" w:rsidRDefault="001C4A76" w:rsidP="00980EA0">
            <w:pPr>
              <w:pStyle w:val="Table2"/>
              <w:rPr>
                <w:rFonts w:eastAsiaTheme="minorHAnsi" w:cs="Arial"/>
                <w:szCs w:val="18"/>
              </w:rPr>
            </w:pPr>
          </w:p>
          <w:p w:rsidR="00F523EF" w:rsidRPr="007476BD" w:rsidRDefault="00F523EF" w:rsidP="00980EA0">
            <w:pPr>
              <w:pStyle w:val="Table2"/>
              <w:rPr>
                <w:rFonts w:eastAsiaTheme="minorHAnsi" w:cs="Arial"/>
                <w:szCs w:val="18"/>
              </w:rPr>
            </w:pPr>
          </w:p>
          <w:p w:rsidR="00536188" w:rsidRPr="007476BD" w:rsidRDefault="00536188" w:rsidP="00CA705F">
            <w:pPr>
              <w:pStyle w:val="Table2"/>
              <w:ind w:left="0" w:firstLine="0"/>
              <w:rPr>
                <w:rFonts w:eastAsiaTheme="minorHAnsi" w:cs="Arial"/>
                <w:szCs w:val="18"/>
              </w:rPr>
            </w:pPr>
            <w:r w:rsidRPr="007476BD">
              <w:rPr>
                <w:rFonts w:eastAsiaTheme="minorHAnsi" w:cs="Arial"/>
                <w:szCs w:val="18"/>
              </w:rPr>
              <w:lastRenderedPageBreak/>
              <w:t xml:space="preserve">In order to be consistent with the specifications proposed in the USFDA petition, Ajinomoto, Inc. would like the specification value for water content to be changed from </w:t>
            </w:r>
            <w:r w:rsidR="00980EA0" w:rsidRPr="007476BD">
              <w:rPr>
                <w:rFonts w:eastAsiaTheme="minorHAnsi" w:cs="Arial"/>
                <w:szCs w:val="18"/>
              </w:rPr>
              <w:t>‘</w:t>
            </w:r>
            <w:r w:rsidRPr="007476BD">
              <w:rPr>
                <w:rFonts w:eastAsiaTheme="minorHAnsi" w:cs="Arial"/>
                <w:szCs w:val="18"/>
              </w:rPr>
              <w:t>2.5 to 5.0%</w:t>
            </w:r>
            <w:r w:rsidR="00980EA0" w:rsidRPr="007476BD">
              <w:rPr>
                <w:rFonts w:eastAsiaTheme="minorHAnsi" w:cs="Arial"/>
                <w:szCs w:val="18"/>
              </w:rPr>
              <w:t>’</w:t>
            </w:r>
            <w:r w:rsidRPr="007476BD">
              <w:rPr>
                <w:rFonts w:eastAsiaTheme="minorHAnsi" w:cs="Arial"/>
                <w:szCs w:val="18"/>
              </w:rPr>
              <w:t xml:space="preserve"> to </w:t>
            </w:r>
            <w:r w:rsidR="00980EA0" w:rsidRPr="007476BD">
              <w:rPr>
                <w:rFonts w:eastAsiaTheme="minorHAnsi" w:cs="Arial"/>
                <w:szCs w:val="18"/>
              </w:rPr>
              <w:t>‘</w:t>
            </w:r>
            <w:r w:rsidRPr="007476BD">
              <w:rPr>
                <w:rFonts w:eastAsiaTheme="minorHAnsi" w:cs="Arial"/>
                <w:szCs w:val="18"/>
              </w:rPr>
              <w:t>not more than 5%</w:t>
            </w:r>
            <w:r w:rsidR="00980EA0" w:rsidRPr="007476BD">
              <w:rPr>
                <w:rFonts w:eastAsiaTheme="minorHAnsi" w:cs="Arial"/>
                <w:szCs w:val="18"/>
              </w:rPr>
              <w:t>’</w:t>
            </w:r>
            <w:r w:rsidRPr="007476BD">
              <w:rPr>
                <w:rFonts w:eastAsiaTheme="minorHAnsi" w:cs="Arial"/>
                <w:szCs w:val="18"/>
              </w:rPr>
              <w:t>.</w:t>
            </w:r>
          </w:p>
        </w:tc>
      </w:tr>
      <w:tr w:rsidR="00536188" w:rsidRPr="007476BD" w:rsidTr="004735D8">
        <w:tc>
          <w:tcPr>
            <w:tcW w:w="2235" w:type="dxa"/>
          </w:tcPr>
          <w:p w:rsidR="00536188" w:rsidRPr="007476BD" w:rsidRDefault="00353473" w:rsidP="00650014">
            <w:pPr>
              <w:pStyle w:val="Table2"/>
              <w:rPr>
                <w:rFonts w:eastAsiaTheme="minorHAnsi" w:cs="Arial"/>
                <w:szCs w:val="18"/>
              </w:rPr>
            </w:pPr>
            <w:r w:rsidRPr="007476BD">
              <w:rPr>
                <w:rFonts w:eastAsiaTheme="minorHAnsi" w:cs="Arial"/>
                <w:szCs w:val="18"/>
              </w:rPr>
              <w:lastRenderedPageBreak/>
              <w:t>Queensland Health</w:t>
            </w:r>
          </w:p>
        </w:tc>
        <w:tc>
          <w:tcPr>
            <w:tcW w:w="7229" w:type="dxa"/>
          </w:tcPr>
          <w:p w:rsidR="00536188" w:rsidRPr="007476BD" w:rsidRDefault="00980EA0" w:rsidP="00CA705F">
            <w:pPr>
              <w:pStyle w:val="Table2"/>
              <w:ind w:left="0" w:firstLine="0"/>
              <w:rPr>
                <w:rFonts w:eastAsiaTheme="minorHAnsi" w:cs="Arial"/>
                <w:szCs w:val="18"/>
              </w:rPr>
            </w:pPr>
            <w:r w:rsidRPr="007476BD">
              <w:rPr>
                <w:rFonts w:eastAsiaTheme="minorHAnsi" w:cs="Arial"/>
                <w:szCs w:val="18"/>
              </w:rPr>
              <w:t>S</w:t>
            </w:r>
            <w:r w:rsidR="00353473" w:rsidRPr="007476BD">
              <w:rPr>
                <w:rFonts w:eastAsiaTheme="minorHAnsi" w:cs="Arial"/>
                <w:szCs w:val="18"/>
              </w:rPr>
              <w:t>upports the preferred approach – To proceed to develop a food regulatory measure, to amend Standard 1.3.1 – Food Additives, to permit the use of Advantame in specified foods at specified levels or, alternatively, consider the use of Advantame as an additive according to GMP in Schedule 2 of Standard 1.3.1.</w:t>
            </w:r>
          </w:p>
          <w:p w:rsidR="00536188" w:rsidRPr="007476BD" w:rsidRDefault="00536188" w:rsidP="00980EA0">
            <w:pPr>
              <w:pStyle w:val="Table2"/>
              <w:rPr>
                <w:rFonts w:eastAsiaTheme="minorHAnsi" w:cs="Arial"/>
                <w:szCs w:val="18"/>
              </w:rPr>
            </w:pPr>
          </w:p>
          <w:p w:rsidR="00980EA0" w:rsidRPr="007476BD" w:rsidRDefault="00353473" w:rsidP="00CA705F">
            <w:pPr>
              <w:pStyle w:val="Table2"/>
              <w:ind w:left="0" w:firstLine="0"/>
              <w:rPr>
                <w:rFonts w:eastAsiaTheme="minorHAnsi" w:cs="Arial"/>
                <w:szCs w:val="18"/>
              </w:rPr>
            </w:pPr>
            <w:r w:rsidRPr="007476BD">
              <w:rPr>
                <w:rFonts w:eastAsiaTheme="minorHAnsi" w:cs="Arial"/>
                <w:szCs w:val="18"/>
              </w:rPr>
              <w:t>The analytical procedure described in the 1st Assessment report may be appropriate for some food matrices such as soft drinks and table</w:t>
            </w:r>
            <w:r w:rsidR="00650014" w:rsidRPr="007476BD">
              <w:rPr>
                <w:rFonts w:eastAsiaTheme="minorHAnsi" w:cs="Arial"/>
                <w:szCs w:val="18"/>
              </w:rPr>
              <w:t xml:space="preserve"> </w:t>
            </w:r>
            <w:r w:rsidRPr="007476BD">
              <w:rPr>
                <w:rFonts w:eastAsiaTheme="minorHAnsi" w:cs="Arial"/>
                <w:szCs w:val="18"/>
              </w:rPr>
              <w:t xml:space="preserve">top sweeteners, but might not be adequate for more complex matrices like dairy-based products and meal replacements. These might require an extraction and purification step. </w:t>
            </w:r>
          </w:p>
          <w:p w:rsidR="00443F29" w:rsidRPr="007476BD" w:rsidRDefault="00443F29" w:rsidP="00CA705F">
            <w:pPr>
              <w:pStyle w:val="Table2"/>
              <w:ind w:left="0" w:firstLine="0"/>
              <w:rPr>
                <w:rFonts w:eastAsiaTheme="minorHAnsi" w:cs="Arial"/>
                <w:szCs w:val="18"/>
              </w:rPr>
            </w:pPr>
          </w:p>
          <w:p w:rsidR="00536188" w:rsidRPr="007476BD" w:rsidRDefault="00353473" w:rsidP="00CA705F">
            <w:pPr>
              <w:pStyle w:val="Table2"/>
              <w:ind w:left="0" w:firstLine="0"/>
              <w:rPr>
                <w:rFonts w:eastAsiaTheme="minorHAnsi" w:cs="Arial"/>
                <w:szCs w:val="18"/>
              </w:rPr>
            </w:pPr>
            <w:r w:rsidRPr="007476BD">
              <w:rPr>
                <w:rFonts w:eastAsiaTheme="minorHAnsi" w:cs="Arial"/>
                <w:szCs w:val="18"/>
              </w:rPr>
              <w:t xml:space="preserve">If </w:t>
            </w:r>
            <w:r w:rsidR="00980EA0" w:rsidRPr="007476BD">
              <w:rPr>
                <w:rFonts w:eastAsiaTheme="minorHAnsi" w:cs="Arial"/>
                <w:szCs w:val="18"/>
              </w:rPr>
              <w:t xml:space="preserve">FSANZ </w:t>
            </w:r>
            <w:r w:rsidRPr="007476BD">
              <w:rPr>
                <w:rFonts w:eastAsiaTheme="minorHAnsi" w:cs="Arial"/>
                <w:szCs w:val="18"/>
              </w:rPr>
              <w:t>decides to proceed to the second stage of the assessment, Queensland would appreciate the provision of full analytical method details so that Queensland Health</w:t>
            </w:r>
            <w:r w:rsidR="00980EA0" w:rsidRPr="007476BD">
              <w:rPr>
                <w:rFonts w:eastAsiaTheme="minorHAnsi" w:cs="Arial"/>
                <w:szCs w:val="18"/>
              </w:rPr>
              <w:t xml:space="preserve"> </w:t>
            </w:r>
            <w:r w:rsidRPr="007476BD">
              <w:rPr>
                <w:rFonts w:eastAsiaTheme="minorHAnsi" w:cs="Arial"/>
                <w:szCs w:val="18"/>
              </w:rPr>
              <w:t>Forensic and Scientific Services can comment on it.</w:t>
            </w:r>
          </w:p>
        </w:tc>
      </w:tr>
      <w:tr w:rsidR="00536188" w:rsidRPr="007476BD" w:rsidTr="004735D8">
        <w:tc>
          <w:tcPr>
            <w:tcW w:w="2235" w:type="dxa"/>
          </w:tcPr>
          <w:p w:rsidR="00536188" w:rsidRPr="007476BD" w:rsidRDefault="00536188" w:rsidP="00C9016E">
            <w:pPr>
              <w:pStyle w:val="Table2"/>
              <w:ind w:left="0" w:firstLine="0"/>
              <w:rPr>
                <w:rFonts w:cs="Arial"/>
                <w:szCs w:val="18"/>
              </w:rPr>
            </w:pPr>
            <w:r w:rsidRPr="007476BD">
              <w:rPr>
                <w:rFonts w:cs="Arial"/>
                <w:szCs w:val="18"/>
              </w:rPr>
              <w:t xml:space="preserve">International Sweeteners Association </w:t>
            </w:r>
          </w:p>
        </w:tc>
        <w:tc>
          <w:tcPr>
            <w:tcW w:w="7229" w:type="dxa"/>
          </w:tcPr>
          <w:p w:rsidR="00536188" w:rsidRPr="007476BD" w:rsidRDefault="00536188" w:rsidP="00CA705F">
            <w:pPr>
              <w:pStyle w:val="Table2"/>
              <w:ind w:left="0" w:firstLine="0"/>
              <w:rPr>
                <w:rFonts w:cs="Arial"/>
                <w:szCs w:val="18"/>
              </w:rPr>
            </w:pPr>
            <w:r w:rsidRPr="007476BD">
              <w:rPr>
                <w:rFonts w:cs="Arial"/>
                <w:szCs w:val="18"/>
              </w:rPr>
              <w:t xml:space="preserve">Supports approval. </w:t>
            </w:r>
          </w:p>
        </w:tc>
      </w:tr>
      <w:tr w:rsidR="00536188" w:rsidRPr="007476BD" w:rsidTr="004735D8">
        <w:tc>
          <w:tcPr>
            <w:tcW w:w="2235" w:type="dxa"/>
          </w:tcPr>
          <w:p w:rsidR="00536188" w:rsidRPr="007476BD" w:rsidRDefault="00536188" w:rsidP="00C9016E">
            <w:pPr>
              <w:pStyle w:val="Table2"/>
              <w:ind w:left="0" w:firstLine="0"/>
              <w:rPr>
                <w:rFonts w:cs="Arial"/>
                <w:szCs w:val="18"/>
              </w:rPr>
            </w:pPr>
            <w:r w:rsidRPr="007476BD">
              <w:rPr>
                <w:rFonts w:cs="Arial"/>
                <w:szCs w:val="18"/>
              </w:rPr>
              <w:t xml:space="preserve">The Calorie Control Council </w:t>
            </w:r>
          </w:p>
        </w:tc>
        <w:tc>
          <w:tcPr>
            <w:tcW w:w="7229" w:type="dxa"/>
          </w:tcPr>
          <w:p w:rsidR="00980EA0" w:rsidRPr="007476BD" w:rsidRDefault="00980EA0" w:rsidP="00CA705F">
            <w:pPr>
              <w:pStyle w:val="Table2"/>
              <w:ind w:left="0" w:firstLine="0"/>
              <w:rPr>
                <w:rFonts w:cs="Arial"/>
                <w:szCs w:val="18"/>
              </w:rPr>
            </w:pPr>
            <w:r w:rsidRPr="007476BD">
              <w:rPr>
                <w:rFonts w:cs="Arial"/>
                <w:szCs w:val="18"/>
              </w:rPr>
              <w:t>S</w:t>
            </w:r>
            <w:r w:rsidR="00536188" w:rsidRPr="007476BD">
              <w:rPr>
                <w:rFonts w:cs="Arial"/>
                <w:szCs w:val="18"/>
              </w:rPr>
              <w:t xml:space="preserve">upports the use of Advantame as an additive according to GMP in Schedule 2 of Standard 1.3.1, Option 2B. Use in accordance with GMP is a good option for intense sweeteners as their use is </w:t>
            </w:r>
            <w:r w:rsidR="00931D08" w:rsidRPr="007476BD">
              <w:rPr>
                <w:rFonts w:cs="Arial"/>
                <w:szCs w:val="18"/>
              </w:rPr>
              <w:t>self-limiting</w:t>
            </w:r>
            <w:r w:rsidR="00536188" w:rsidRPr="007476BD">
              <w:rPr>
                <w:rFonts w:cs="Arial"/>
                <w:szCs w:val="18"/>
              </w:rPr>
              <w:t xml:space="preserve">, that is off tastes may develop if too much intense sweetener is used in a food or beverage product. </w:t>
            </w:r>
          </w:p>
          <w:p w:rsidR="00980EA0" w:rsidRPr="007476BD" w:rsidRDefault="00980EA0" w:rsidP="00980EA0">
            <w:pPr>
              <w:pStyle w:val="Table2"/>
              <w:rPr>
                <w:rFonts w:cs="Arial"/>
                <w:szCs w:val="18"/>
              </w:rPr>
            </w:pPr>
          </w:p>
          <w:p w:rsidR="00536188" w:rsidRPr="007476BD" w:rsidRDefault="00536188" w:rsidP="00CA705F">
            <w:pPr>
              <w:pStyle w:val="Table2"/>
              <w:ind w:left="0" w:firstLine="0"/>
              <w:rPr>
                <w:rFonts w:cs="Arial"/>
                <w:szCs w:val="18"/>
              </w:rPr>
            </w:pPr>
            <w:r w:rsidRPr="007476BD">
              <w:rPr>
                <w:rFonts w:cs="Arial"/>
                <w:szCs w:val="18"/>
              </w:rPr>
              <w:t>In addition, for cost reasons food manufacturers would not use more of an intense sweetener than necessary and they are more and more frequently using sweetener blends which decreases the overall amount of sweetener needed as most sweeteners are synergistic when combined.</w:t>
            </w:r>
          </w:p>
        </w:tc>
      </w:tr>
      <w:tr w:rsidR="00536188" w:rsidRPr="007476BD" w:rsidTr="004735D8">
        <w:tc>
          <w:tcPr>
            <w:tcW w:w="2235" w:type="dxa"/>
          </w:tcPr>
          <w:p w:rsidR="00536188" w:rsidRPr="007476BD" w:rsidRDefault="00536188" w:rsidP="00650014">
            <w:pPr>
              <w:pStyle w:val="Table2"/>
              <w:rPr>
                <w:rFonts w:cs="Arial"/>
                <w:szCs w:val="18"/>
              </w:rPr>
            </w:pPr>
            <w:r w:rsidRPr="007476BD">
              <w:rPr>
                <w:rFonts w:cs="Arial"/>
                <w:szCs w:val="18"/>
              </w:rPr>
              <w:t>Leo Adler (NZ)</w:t>
            </w:r>
          </w:p>
        </w:tc>
        <w:tc>
          <w:tcPr>
            <w:tcW w:w="7229" w:type="dxa"/>
          </w:tcPr>
          <w:p w:rsidR="00536188" w:rsidRPr="007476BD" w:rsidRDefault="00536188" w:rsidP="00650014">
            <w:pPr>
              <w:pStyle w:val="Table2"/>
              <w:ind w:left="0" w:firstLine="0"/>
              <w:rPr>
                <w:rFonts w:cs="Arial"/>
                <w:szCs w:val="18"/>
              </w:rPr>
            </w:pPr>
            <w:r w:rsidRPr="007476BD">
              <w:rPr>
                <w:rFonts w:cs="Arial"/>
                <w:szCs w:val="18"/>
              </w:rPr>
              <w:t xml:space="preserve">Does not support the Application. </w:t>
            </w:r>
            <w:r w:rsidRPr="007476BD">
              <w:rPr>
                <w:rFonts w:eastAsiaTheme="minorHAnsi" w:cs="Arial"/>
                <w:szCs w:val="18"/>
              </w:rPr>
              <w:t>Artificial sweeteners are commonly associated with consumer health risk factors and the alternative of pure natural</w:t>
            </w:r>
            <w:r w:rsidRPr="007476BD">
              <w:rPr>
                <w:rFonts w:cs="Arial"/>
                <w:szCs w:val="18"/>
              </w:rPr>
              <w:t xml:space="preserve"> </w:t>
            </w:r>
            <w:r w:rsidRPr="007476BD">
              <w:rPr>
                <w:rFonts w:eastAsiaTheme="minorHAnsi" w:cs="Arial"/>
                <w:szCs w:val="18"/>
              </w:rPr>
              <w:t xml:space="preserve">sugar or stevia are already very suitable </w:t>
            </w:r>
            <w:r w:rsidR="00006B36" w:rsidRPr="007476BD">
              <w:rPr>
                <w:rFonts w:eastAsiaTheme="minorHAnsi" w:cs="Arial"/>
                <w:szCs w:val="18"/>
              </w:rPr>
              <w:t>f</w:t>
            </w:r>
            <w:r w:rsidR="00D96FC1" w:rsidRPr="007476BD">
              <w:rPr>
                <w:rFonts w:eastAsiaTheme="minorHAnsi" w:cs="Arial"/>
                <w:szCs w:val="18"/>
              </w:rPr>
              <w:t>or</w:t>
            </w:r>
            <w:r w:rsidRPr="007476BD">
              <w:rPr>
                <w:rFonts w:eastAsiaTheme="minorHAnsi" w:cs="Arial"/>
                <w:szCs w:val="18"/>
              </w:rPr>
              <w:t xml:space="preserve"> all food and drink products. </w:t>
            </w:r>
            <w:r w:rsidR="00650014" w:rsidRPr="007476BD">
              <w:rPr>
                <w:rFonts w:eastAsiaTheme="minorHAnsi" w:cs="Arial"/>
                <w:szCs w:val="18"/>
              </w:rPr>
              <w:t>W</w:t>
            </w:r>
            <w:r w:rsidRPr="007476BD">
              <w:rPr>
                <w:rFonts w:eastAsiaTheme="minorHAnsi" w:cs="Arial"/>
                <w:szCs w:val="18"/>
              </w:rPr>
              <w:t>ould prefer all artificial sweeteners to be removed from all products and Advantame is no exception.</w:t>
            </w:r>
          </w:p>
        </w:tc>
      </w:tr>
      <w:tr w:rsidR="00536188" w:rsidRPr="007476BD" w:rsidTr="004735D8">
        <w:tc>
          <w:tcPr>
            <w:tcW w:w="2235" w:type="dxa"/>
          </w:tcPr>
          <w:p w:rsidR="00536188" w:rsidRPr="007476BD" w:rsidRDefault="00536188" w:rsidP="00C9016E">
            <w:pPr>
              <w:pStyle w:val="Table2"/>
              <w:ind w:left="0" w:firstLine="0"/>
              <w:rPr>
                <w:rFonts w:cs="Arial"/>
                <w:szCs w:val="18"/>
              </w:rPr>
            </w:pPr>
            <w:r w:rsidRPr="007476BD">
              <w:rPr>
                <w:rFonts w:cs="Arial"/>
                <w:szCs w:val="18"/>
              </w:rPr>
              <w:t xml:space="preserve">Food Technology Association of Australia </w:t>
            </w:r>
          </w:p>
        </w:tc>
        <w:tc>
          <w:tcPr>
            <w:tcW w:w="7229" w:type="dxa"/>
          </w:tcPr>
          <w:p w:rsidR="00536188" w:rsidRPr="007476BD" w:rsidRDefault="00980EA0" w:rsidP="00CA705F">
            <w:pPr>
              <w:pStyle w:val="Table2"/>
              <w:ind w:left="0" w:firstLine="0"/>
              <w:rPr>
                <w:rFonts w:eastAsiaTheme="minorHAnsi" w:cs="Arial"/>
                <w:szCs w:val="18"/>
              </w:rPr>
            </w:pPr>
            <w:r w:rsidRPr="007476BD">
              <w:rPr>
                <w:rFonts w:eastAsiaTheme="minorHAnsi" w:cs="Arial"/>
                <w:szCs w:val="18"/>
              </w:rPr>
              <w:t xml:space="preserve">Agrees </w:t>
            </w:r>
            <w:r w:rsidR="00536188" w:rsidRPr="007476BD">
              <w:rPr>
                <w:rFonts w:eastAsiaTheme="minorHAnsi" w:cs="Arial"/>
                <w:szCs w:val="18"/>
              </w:rPr>
              <w:t>with Option 2A</w:t>
            </w:r>
            <w:r w:rsidR="00006B36" w:rsidRPr="007476BD">
              <w:rPr>
                <w:rFonts w:eastAsiaTheme="minorHAnsi" w:cs="Arial"/>
                <w:szCs w:val="18"/>
              </w:rPr>
              <w:t xml:space="preserve"> </w:t>
            </w:r>
            <w:r w:rsidR="00536188" w:rsidRPr="007476BD">
              <w:rPr>
                <w:rFonts w:eastAsiaTheme="minorHAnsi" w:cs="Arial"/>
                <w:szCs w:val="18"/>
              </w:rPr>
              <w:t>– to approve the use of Advantame as an Intense Sweetener in Schedule 1 of Standard 1.3.1.</w:t>
            </w:r>
            <w:r w:rsidRPr="007476BD">
              <w:rPr>
                <w:rFonts w:eastAsiaTheme="minorHAnsi" w:cs="Arial"/>
                <w:szCs w:val="18"/>
              </w:rPr>
              <w:t xml:space="preserve"> N</w:t>
            </w:r>
            <w:r w:rsidR="00AE6BF9" w:rsidRPr="007476BD">
              <w:rPr>
                <w:rFonts w:eastAsiaTheme="minorHAnsi" w:cs="Arial"/>
                <w:szCs w:val="18"/>
              </w:rPr>
              <w:t xml:space="preserve">o reason </w:t>
            </w:r>
            <w:r w:rsidRPr="007476BD">
              <w:rPr>
                <w:rFonts w:eastAsiaTheme="minorHAnsi" w:cs="Arial"/>
                <w:szCs w:val="18"/>
              </w:rPr>
              <w:t>provided as</w:t>
            </w:r>
            <w:r w:rsidR="00AE6BF9" w:rsidRPr="007476BD">
              <w:rPr>
                <w:rFonts w:eastAsiaTheme="minorHAnsi" w:cs="Arial"/>
                <w:szCs w:val="18"/>
              </w:rPr>
              <w:t xml:space="preserve"> to why </w:t>
            </w:r>
            <w:r w:rsidRPr="007476BD">
              <w:rPr>
                <w:rFonts w:eastAsiaTheme="minorHAnsi" w:cs="Arial"/>
                <w:szCs w:val="18"/>
              </w:rPr>
              <w:t>it</w:t>
            </w:r>
            <w:r w:rsidR="00AE6BF9" w:rsidRPr="007476BD">
              <w:rPr>
                <w:rFonts w:eastAsiaTheme="minorHAnsi" w:cs="Arial"/>
                <w:szCs w:val="18"/>
              </w:rPr>
              <w:t xml:space="preserve"> specifically preferred </w:t>
            </w:r>
            <w:proofErr w:type="gramStart"/>
            <w:r w:rsidR="00AE6BF9" w:rsidRPr="007476BD">
              <w:rPr>
                <w:rFonts w:eastAsiaTheme="minorHAnsi" w:cs="Arial"/>
                <w:szCs w:val="18"/>
              </w:rPr>
              <w:t>a Schedule</w:t>
            </w:r>
            <w:proofErr w:type="gramEnd"/>
            <w:r w:rsidR="00AE6BF9" w:rsidRPr="007476BD">
              <w:rPr>
                <w:rFonts w:eastAsiaTheme="minorHAnsi" w:cs="Arial"/>
                <w:szCs w:val="18"/>
              </w:rPr>
              <w:t xml:space="preserve"> 1 permission over a more broader Schedule 2. </w:t>
            </w:r>
          </w:p>
        </w:tc>
      </w:tr>
      <w:tr w:rsidR="00536188" w:rsidRPr="007476BD" w:rsidTr="004735D8">
        <w:tc>
          <w:tcPr>
            <w:tcW w:w="2235" w:type="dxa"/>
          </w:tcPr>
          <w:p w:rsidR="00536188" w:rsidRPr="007476BD" w:rsidRDefault="00536188" w:rsidP="00C9016E">
            <w:pPr>
              <w:pStyle w:val="Table2"/>
              <w:ind w:left="0" w:firstLine="0"/>
              <w:rPr>
                <w:rFonts w:cs="Arial"/>
                <w:szCs w:val="18"/>
              </w:rPr>
            </w:pPr>
            <w:r w:rsidRPr="007476BD">
              <w:rPr>
                <w:rFonts w:cs="Arial"/>
                <w:szCs w:val="18"/>
              </w:rPr>
              <w:t>New Zealand Food &amp; Grocery Council (FGC)</w:t>
            </w:r>
          </w:p>
          <w:p w:rsidR="00536188" w:rsidRPr="007476BD" w:rsidRDefault="00536188" w:rsidP="00650014">
            <w:pPr>
              <w:pStyle w:val="Table2"/>
              <w:rPr>
                <w:rFonts w:cs="Arial"/>
                <w:szCs w:val="18"/>
              </w:rPr>
            </w:pPr>
          </w:p>
          <w:p w:rsidR="00536188" w:rsidRPr="007476BD" w:rsidRDefault="00536188" w:rsidP="00650014">
            <w:pPr>
              <w:pStyle w:val="Table2"/>
              <w:rPr>
                <w:rFonts w:cs="Arial"/>
                <w:szCs w:val="18"/>
              </w:rPr>
            </w:pPr>
          </w:p>
          <w:p w:rsidR="00536188" w:rsidRPr="007476BD" w:rsidRDefault="00536188" w:rsidP="00650014">
            <w:pPr>
              <w:pStyle w:val="Table2"/>
              <w:rPr>
                <w:rFonts w:cs="Arial"/>
                <w:szCs w:val="18"/>
              </w:rPr>
            </w:pPr>
          </w:p>
        </w:tc>
        <w:tc>
          <w:tcPr>
            <w:tcW w:w="7229" w:type="dxa"/>
          </w:tcPr>
          <w:p w:rsidR="00536188" w:rsidRPr="007476BD" w:rsidRDefault="00980EA0" w:rsidP="00CA705F">
            <w:pPr>
              <w:pStyle w:val="Table2"/>
              <w:ind w:left="0" w:firstLine="0"/>
              <w:rPr>
                <w:rFonts w:eastAsiaTheme="minorHAnsi" w:cs="Arial"/>
                <w:szCs w:val="18"/>
              </w:rPr>
            </w:pPr>
            <w:r w:rsidRPr="007476BD">
              <w:rPr>
                <w:rFonts w:eastAsiaTheme="minorHAnsi" w:cs="Arial"/>
                <w:szCs w:val="18"/>
              </w:rPr>
              <w:t>S</w:t>
            </w:r>
            <w:r w:rsidR="00536188" w:rsidRPr="007476BD">
              <w:rPr>
                <w:rFonts w:eastAsiaTheme="minorHAnsi" w:cs="Arial"/>
                <w:szCs w:val="18"/>
              </w:rPr>
              <w:t xml:space="preserve">upportive of the Application and </w:t>
            </w:r>
            <w:r w:rsidRPr="007476BD">
              <w:rPr>
                <w:rFonts w:eastAsiaTheme="minorHAnsi" w:cs="Arial"/>
                <w:szCs w:val="18"/>
              </w:rPr>
              <w:t>the</w:t>
            </w:r>
            <w:r w:rsidR="00536188" w:rsidRPr="007476BD">
              <w:rPr>
                <w:rFonts w:eastAsiaTheme="minorHAnsi" w:cs="Arial"/>
                <w:szCs w:val="18"/>
              </w:rPr>
              <w:t xml:space="preserve"> Code should be amended to enable its use. This is primarily because the safety assessment did not identify any public health or safety concerns with use of Advantame. Furthermore, enabling the use of Advantame is an opportunity for members to perhaps extend or improve their product range, thus fostering innovation.</w:t>
            </w:r>
          </w:p>
        </w:tc>
      </w:tr>
    </w:tbl>
    <w:p w:rsidR="00536188" w:rsidRPr="007476BD" w:rsidRDefault="00536188" w:rsidP="00536188">
      <w:pPr>
        <w:rPr>
          <w:rFonts w:cs="Arial"/>
          <w:sz w:val="20"/>
          <w:szCs w:val="20"/>
        </w:rPr>
      </w:pPr>
    </w:p>
    <w:p w:rsidR="00CA705F" w:rsidRPr="007476BD" w:rsidRDefault="00935337" w:rsidP="00935337">
      <w:pPr>
        <w:pStyle w:val="Heading3"/>
        <w:jc w:val="center"/>
      </w:pPr>
      <w:bookmarkStart w:id="125" w:name="_Toc296958633"/>
      <w:r w:rsidRPr="007476BD">
        <w:t>2</w:t>
      </w:r>
      <w:r w:rsidRPr="007476BD">
        <w:rPr>
          <w:vertAlign w:val="superscript"/>
        </w:rPr>
        <w:t>nd</w:t>
      </w:r>
      <w:r w:rsidRPr="007476BD">
        <w:t xml:space="preserve"> A</w:t>
      </w:r>
      <w:r w:rsidR="00CA705F" w:rsidRPr="007476BD">
        <w:t>ssessment</w:t>
      </w:r>
      <w:bookmarkEnd w:id="125"/>
    </w:p>
    <w:p w:rsidR="00CA705F" w:rsidRPr="007476BD" w:rsidRDefault="00CA705F" w:rsidP="00CA705F">
      <w:pPr>
        <w:rPr>
          <w:rFonts w:cs="Arial"/>
          <w:sz w:val="20"/>
          <w:szCs w:val="20"/>
          <w:highlight w:val="yellow"/>
        </w:rPr>
      </w:pPr>
    </w:p>
    <w:tbl>
      <w:tblPr>
        <w:tblStyle w:val="TableGrid"/>
        <w:tblW w:w="9464" w:type="dxa"/>
        <w:tblLook w:val="04A0" w:firstRow="1" w:lastRow="0" w:firstColumn="1" w:lastColumn="0" w:noHBand="0" w:noVBand="1"/>
      </w:tblPr>
      <w:tblGrid>
        <w:gridCol w:w="2235"/>
        <w:gridCol w:w="7229"/>
      </w:tblGrid>
      <w:tr w:rsidR="00CA705F" w:rsidRPr="007476BD" w:rsidTr="00F523EF">
        <w:trPr>
          <w:tblHeader/>
        </w:trPr>
        <w:tc>
          <w:tcPr>
            <w:tcW w:w="2235" w:type="dxa"/>
            <w:shd w:val="clear" w:color="auto" w:fill="E5B8B7" w:themeFill="accent2" w:themeFillTint="66"/>
          </w:tcPr>
          <w:p w:rsidR="00CA705F" w:rsidRPr="007476BD" w:rsidRDefault="00CA705F" w:rsidP="00FC16C1">
            <w:pPr>
              <w:pStyle w:val="Table1"/>
              <w:rPr>
                <w:rFonts w:cs="Arial"/>
                <w:sz w:val="20"/>
              </w:rPr>
            </w:pPr>
            <w:r w:rsidRPr="007476BD">
              <w:rPr>
                <w:rFonts w:cs="Arial"/>
                <w:sz w:val="20"/>
              </w:rPr>
              <w:t>Submitter</w:t>
            </w:r>
          </w:p>
        </w:tc>
        <w:tc>
          <w:tcPr>
            <w:tcW w:w="7229" w:type="dxa"/>
            <w:shd w:val="clear" w:color="auto" w:fill="E5B8B7" w:themeFill="accent2" w:themeFillTint="66"/>
          </w:tcPr>
          <w:p w:rsidR="00CA705F" w:rsidRPr="007476BD" w:rsidRDefault="00CA705F" w:rsidP="00FC16C1">
            <w:pPr>
              <w:pStyle w:val="Table1"/>
              <w:rPr>
                <w:rFonts w:cs="Arial"/>
                <w:sz w:val="20"/>
              </w:rPr>
            </w:pPr>
            <w:r w:rsidRPr="007476BD">
              <w:rPr>
                <w:rFonts w:cs="Arial"/>
                <w:sz w:val="20"/>
              </w:rPr>
              <w:t>Comment</w:t>
            </w:r>
          </w:p>
        </w:tc>
      </w:tr>
      <w:tr w:rsidR="00CC6097" w:rsidRPr="007476BD" w:rsidTr="00FC16C1">
        <w:tc>
          <w:tcPr>
            <w:tcW w:w="2235" w:type="dxa"/>
          </w:tcPr>
          <w:p w:rsidR="00CC6097" w:rsidRPr="007476BD" w:rsidRDefault="00CC6097" w:rsidP="00C9016E">
            <w:pPr>
              <w:pStyle w:val="Table2"/>
              <w:ind w:left="0" w:firstLine="0"/>
              <w:rPr>
                <w:rFonts w:cs="Arial"/>
                <w:szCs w:val="18"/>
              </w:rPr>
            </w:pPr>
            <w:r w:rsidRPr="007476BD">
              <w:rPr>
                <w:rFonts w:cs="Arial"/>
                <w:szCs w:val="18"/>
              </w:rPr>
              <w:t>GE Free NZ</w:t>
            </w:r>
          </w:p>
        </w:tc>
        <w:tc>
          <w:tcPr>
            <w:tcW w:w="7229" w:type="dxa"/>
          </w:tcPr>
          <w:p w:rsidR="00A25433" w:rsidRPr="007476BD" w:rsidRDefault="00A25433" w:rsidP="00EE034A">
            <w:pPr>
              <w:pStyle w:val="Table2"/>
              <w:rPr>
                <w:rFonts w:cs="Arial"/>
                <w:szCs w:val="18"/>
              </w:rPr>
            </w:pPr>
            <w:r w:rsidRPr="007476BD">
              <w:rPr>
                <w:rFonts w:cs="Arial"/>
                <w:szCs w:val="18"/>
              </w:rPr>
              <w:t>Opposes the approval on the following grounds:</w:t>
            </w:r>
          </w:p>
          <w:p w:rsidR="00A25433" w:rsidRPr="007476BD" w:rsidRDefault="005D4455" w:rsidP="006E00FC">
            <w:pPr>
              <w:pStyle w:val="FSBullet"/>
              <w:rPr>
                <w:sz w:val="18"/>
                <w:szCs w:val="18"/>
              </w:rPr>
            </w:pPr>
            <w:r w:rsidRPr="007476BD">
              <w:rPr>
                <w:sz w:val="18"/>
                <w:szCs w:val="18"/>
              </w:rPr>
              <w:t xml:space="preserve">FSANZ has breached its obligations under the </w:t>
            </w:r>
            <w:r w:rsidR="00426955" w:rsidRPr="007476BD">
              <w:rPr>
                <w:sz w:val="18"/>
                <w:szCs w:val="18"/>
              </w:rPr>
              <w:t>FSANZ Act</w:t>
            </w:r>
          </w:p>
          <w:p w:rsidR="004735D8" w:rsidRPr="007476BD" w:rsidRDefault="004735D8" w:rsidP="004735D8">
            <w:pPr>
              <w:pStyle w:val="FSBullet"/>
              <w:rPr>
                <w:sz w:val="18"/>
                <w:szCs w:val="18"/>
                <w:lang w:eastAsia="en-GB" w:bidi="ar-SA"/>
              </w:rPr>
            </w:pPr>
            <w:r w:rsidRPr="007476BD">
              <w:rPr>
                <w:sz w:val="18"/>
                <w:szCs w:val="18"/>
              </w:rPr>
              <w:t>not informing consumers that aspartame is made from genetically engineered bacteria</w:t>
            </w:r>
          </w:p>
          <w:p w:rsidR="00A25433" w:rsidRPr="007476BD" w:rsidRDefault="00802467" w:rsidP="00426955">
            <w:pPr>
              <w:pStyle w:val="FSBullet"/>
              <w:rPr>
                <w:sz w:val="18"/>
                <w:szCs w:val="18"/>
              </w:rPr>
            </w:pPr>
            <w:r w:rsidRPr="007476BD">
              <w:rPr>
                <w:sz w:val="18"/>
                <w:szCs w:val="18"/>
              </w:rPr>
              <w:t>d</w:t>
            </w:r>
            <w:r w:rsidR="005D4455" w:rsidRPr="007476BD">
              <w:rPr>
                <w:sz w:val="18"/>
                <w:szCs w:val="18"/>
              </w:rPr>
              <w:t>ata do not support the safety of Advantame</w:t>
            </w:r>
          </w:p>
          <w:p w:rsidR="001642EC" w:rsidRPr="007476BD" w:rsidRDefault="00A62034" w:rsidP="00426955">
            <w:pPr>
              <w:pStyle w:val="FSBullet"/>
              <w:rPr>
                <w:sz w:val="18"/>
                <w:szCs w:val="18"/>
              </w:rPr>
            </w:pPr>
            <w:r w:rsidRPr="007476BD">
              <w:rPr>
                <w:sz w:val="18"/>
                <w:szCs w:val="18"/>
              </w:rPr>
              <w:t xml:space="preserve">FSANZ ignored the submission by the NZFSA </w:t>
            </w:r>
          </w:p>
        </w:tc>
      </w:tr>
      <w:tr w:rsidR="00CA705F" w:rsidRPr="007476BD" w:rsidTr="00FC16C1">
        <w:tc>
          <w:tcPr>
            <w:tcW w:w="2235" w:type="dxa"/>
          </w:tcPr>
          <w:p w:rsidR="00AB6B1D" w:rsidRPr="007476BD" w:rsidRDefault="0024122C">
            <w:pPr>
              <w:pStyle w:val="Table2"/>
              <w:ind w:left="0" w:firstLine="0"/>
              <w:rPr>
                <w:rFonts w:cs="Arial"/>
                <w:szCs w:val="18"/>
              </w:rPr>
            </w:pPr>
            <w:r w:rsidRPr="007476BD">
              <w:rPr>
                <w:rFonts w:cs="Arial"/>
                <w:szCs w:val="18"/>
              </w:rPr>
              <w:t>Ministry of Agriculture and Forestry N</w:t>
            </w:r>
            <w:r w:rsidR="00783D0B" w:rsidRPr="007476BD">
              <w:rPr>
                <w:rFonts w:cs="Arial"/>
                <w:szCs w:val="18"/>
              </w:rPr>
              <w:t xml:space="preserve">ew </w:t>
            </w:r>
            <w:r w:rsidRPr="007476BD">
              <w:rPr>
                <w:rFonts w:cs="Arial"/>
                <w:szCs w:val="18"/>
              </w:rPr>
              <w:t>Z</w:t>
            </w:r>
            <w:r w:rsidR="00783D0B" w:rsidRPr="007476BD">
              <w:rPr>
                <w:rFonts w:cs="Arial"/>
                <w:szCs w:val="18"/>
              </w:rPr>
              <w:t>ealand</w:t>
            </w:r>
            <w:r w:rsidR="00611B92" w:rsidRPr="007476BD">
              <w:rPr>
                <w:rStyle w:val="FootnoteReference"/>
                <w:rFonts w:cs="Arial"/>
                <w:szCs w:val="18"/>
              </w:rPr>
              <w:footnoteReference w:id="14"/>
            </w:r>
          </w:p>
        </w:tc>
        <w:tc>
          <w:tcPr>
            <w:tcW w:w="7229" w:type="dxa"/>
          </w:tcPr>
          <w:p w:rsidR="00CA705F" w:rsidRPr="007476BD" w:rsidRDefault="0024122C" w:rsidP="00426955">
            <w:pPr>
              <w:pStyle w:val="Table2"/>
              <w:ind w:left="0" w:firstLine="0"/>
              <w:rPr>
                <w:rFonts w:eastAsiaTheme="minorHAnsi" w:cs="Arial"/>
                <w:szCs w:val="18"/>
              </w:rPr>
            </w:pPr>
            <w:r w:rsidRPr="007476BD">
              <w:rPr>
                <w:rFonts w:cs="Arial"/>
                <w:szCs w:val="18"/>
              </w:rPr>
              <w:t>Supports the use of Advantame as an additive according to GMP in Schedule 2 of Standard 1.3.1, Option 2B.</w:t>
            </w:r>
          </w:p>
        </w:tc>
      </w:tr>
      <w:tr w:rsidR="00CA705F" w:rsidRPr="007476BD" w:rsidTr="00FC16C1">
        <w:tc>
          <w:tcPr>
            <w:tcW w:w="2235" w:type="dxa"/>
          </w:tcPr>
          <w:p w:rsidR="00AB6B1D" w:rsidRPr="007476BD" w:rsidRDefault="00CA705F">
            <w:pPr>
              <w:pStyle w:val="Table2"/>
              <w:ind w:left="0" w:firstLine="0"/>
              <w:rPr>
                <w:rFonts w:eastAsiaTheme="minorHAnsi" w:cs="Arial"/>
                <w:szCs w:val="18"/>
              </w:rPr>
            </w:pPr>
            <w:r w:rsidRPr="007476BD">
              <w:rPr>
                <w:rFonts w:eastAsiaTheme="minorHAnsi" w:cs="Arial"/>
                <w:szCs w:val="18"/>
              </w:rPr>
              <w:t>Queensland Health</w:t>
            </w:r>
          </w:p>
        </w:tc>
        <w:tc>
          <w:tcPr>
            <w:tcW w:w="7229" w:type="dxa"/>
          </w:tcPr>
          <w:p w:rsidR="00CA705F" w:rsidRPr="007476BD" w:rsidRDefault="00D069B7" w:rsidP="00D069B7">
            <w:pPr>
              <w:pStyle w:val="Table2"/>
              <w:ind w:left="0" w:firstLine="0"/>
              <w:rPr>
                <w:rFonts w:eastAsiaTheme="minorHAnsi" w:cs="Arial"/>
                <w:szCs w:val="18"/>
              </w:rPr>
            </w:pPr>
            <w:r w:rsidRPr="007476BD">
              <w:rPr>
                <w:rFonts w:cs="Arial"/>
                <w:szCs w:val="18"/>
              </w:rPr>
              <w:t xml:space="preserve">Supports Option 2A at restricted maximum limits to prevent widespread uptake of this new sweetener if it was approved according to GMP in Schedule 2 of Standard 1.3.1, Option 2B. Have concerns over approval in additional foods with no methods of analysis </w:t>
            </w:r>
            <w:r w:rsidR="00FC16C1" w:rsidRPr="007476BD">
              <w:rPr>
                <w:rFonts w:cs="Arial"/>
                <w:szCs w:val="18"/>
              </w:rPr>
              <w:t xml:space="preserve">available </w:t>
            </w:r>
            <w:r w:rsidRPr="007476BD">
              <w:rPr>
                <w:rFonts w:cs="Arial"/>
                <w:szCs w:val="18"/>
              </w:rPr>
              <w:t>for determining the levels of Advantame in these foods.</w:t>
            </w:r>
          </w:p>
        </w:tc>
      </w:tr>
      <w:tr w:rsidR="00CA705F" w:rsidRPr="007476BD" w:rsidTr="00FC16C1">
        <w:tc>
          <w:tcPr>
            <w:tcW w:w="2235" w:type="dxa"/>
          </w:tcPr>
          <w:p w:rsidR="00AB6B1D" w:rsidRPr="007476BD" w:rsidRDefault="00DA7C22">
            <w:pPr>
              <w:pStyle w:val="Table2"/>
              <w:ind w:left="0" w:firstLine="0"/>
              <w:rPr>
                <w:rFonts w:cs="Arial"/>
                <w:szCs w:val="18"/>
              </w:rPr>
            </w:pPr>
            <w:r w:rsidRPr="007476BD">
              <w:rPr>
                <w:rFonts w:cs="Arial"/>
                <w:szCs w:val="18"/>
              </w:rPr>
              <w:t>Dietitians Association of Australia</w:t>
            </w:r>
            <w:r w:rsidR="00CA705F" w:rsidRPr="007476BD">
              <w:rPr>
                <w:rFonts w:cs="Arial"/>
                <w:szCs w:val="18"/>
              </w:rPr>
              <w:t xml:space="preserve"> </w:t>
            </w:r>
          </w:p>
        </w:tc>
        <w:tc>
          <w:tcPr>
            <w:tcW w:w="7229" w:type="dxa"/>
          </w:tcPr>
          <w:p w:rsidR="00CA705F" w:rsidRPr="007476BD" w:rsidRDefault="00DA7C22" w:rsidP="00FC16C1">
            <w:pPr>
              <w:pStyle w:val="Table2"/>
              <w:rPr>
                <w:rFonts w:cs="Arial"/>
                <w:szCs w:val="18"/>
              </w:rPr>
            </w:pPr>
            <w:r w:rsidRPr="007476BD">
              <w:rPr>
                <w:rFonts w:cs="Arial"/>
                <w:szCs w:val="18"/>
              </w:rPr>
              <w:t>Supports the approval of Advantame</w:t>
            </w:r>
          </w:p>
        </w:tc>
      </w:tr>
      <w:tr w:rsidR="00CA705F" w:rsidRPr="007476BD" w:rsidTr="00FC16C1">
        <w:tc>
          <w:tcPr>
            <w:tcW w:w="2235" w:type="dxa"/>
          </w:tcPr>
          <w:p w:rsidR="00AB6B1D" w:rsidRPr="007476BD" w:rsidRDefault="00CA705F">
            <w:pPr>
              <w:pStyle w:val="Table2"/>
              <w:ind w:left="0" w:firstLine="0"/>
              <w:rPr>
                <w:rFonts w:cs="Arial"/>
                <w:szCs w:val="18"/>
              </w:rPr>
            </w:pPr>
            <w:r w:rsidRPr="007476BD">
              <w:rPr>
                <w:rFonts w:cs="Arial"/>
                <w:szCs w:val="18"/>
              </w:rPr>
              <w:t xml:space="preserve">The Calorie Control Council </w:t>
            </w:r>
          </w:p>
        </w:tc>
        <w:tc>
          <w:tcPr>
            <w:tcW w:w="7229" w:type="dxa"/>
          </w:tcPr>
          <w:p w:rsidR="00CA705F" w:rsidRPr="007476BD" w:rsidRDefault="007103C5" w:rsidP="007103C5">
            <w:pPr>
              <w:pStyle w:val="Table2"/>
              <w:ind w:left="0" w:firstLine="0"/>
              <w:rPr>
                <w:rFonts w:cs="Arial"/>
                <w:szCs w:val="18"/>
              </w:rPr>
            </w:pPr>
            <w:r w:rsidRPr="007476BD">
              <w:rPr>
                <w:rFonts w:cs="Arial"/>
                <w:szCs w:val="18"/>
              </w:rPr>
              <w:t>Supports the use of Advantame as an additive according to GMP in Schedule 2 of Standard 1.3.1, Option 2B.</w:t>
            </w:r>
          </w:p>
        </w:tc>
      </w:tr>
      <w:tr w:rsidR="00CA705F" w:rsidRPr="007476BD" w:rsidTr="00FC16C1">
        <w:tc>
          <w:tcPr>
            <w:tcW w:w="2235" w:type="dxa"/>
          </w:tcPr>
          <w:p w:rsidR="00CA705F" w:rsidRPr="007476BD" w:rsidRDefault="00C25EEC" w:rsidP="00FC16C1">
            <w:pPr>
              <w:pStyle w:val="Table2"/>
              <w:rPr>
                <w:rFonts w:cs="Arial"/>
                <w:szCs w:val="18"/>
              </w:rPr>
            </w:pPr>
            <w:r w:rsidRPr="007476BD">
              <w:rPr>
                <w:rFonts w:cs="Arial"/>
                <w:szCs w:val="18"/>
              </w:rPr>
              <w:lastRenderedPageBreak/>
              <w:t>South Australia Health</w:t>
            </w:r>
          </w:p>
        </w:tc>
        <w:tc>
          <w:tcPr>
            <w:tcW w:w="7229" w:type="dxa"/>
          </w:tcPr>
          <w:p w:rsidR="00CA705F" w:rsidRPr="007476BD" w:rsidRDefault="00C25EEC" w:rsidP="00C25EEC">
            <w:pPr>
              <w:pStyle w:val="Table2"/>
              <w:ind w:left="0" w:firstLine="0"/>
              <w:rPr>
                <w:rFonts w:cs="Arial"/>
                <w:szCs w:val="18"/>
              </w:rPr>
            </w:pPr>
            <w:r w:rsidRPr="007476BD">
              <w:rPr>
                <w:rFonts w:cs="Arial"/>
                <w:szCs w:val="18"/>
              </w:rPr>
              <w:t xml:space="preserve">Supports Option 2A as they are concerned over Option 2B that there is no evidence to support the suitability of Advantame in other food matrices and no methods of analysis </w:t>
            </w:r>
            <w:r w:rsidR="00FC16C1" w:rsidRPr="007476BD">
              <w:rPr>
                <w:rFonts w:cs="Arial"/>
                <w:szCs w:val="18"/>
              </w:rPr>
              <w:t xml:space="preserve">available </w:t>
            </w:r>
            <w:r w:rsidRPr="007476BD">
              <w:rPr>
                <w:rFonts w:cs="Arial"/>
                <w:szCs w:val="18"/>
              </w:rPr>
              <w:t xml:space="preserve">for determining the levels of Advantame in these foods. </w:t>
            </w:r>
          </w:p>
          <w:p w:rsidR="00AD244E" w:rsidRPr="007476BD" w:rsidRDefault="00AD244E" w:rsidP="00C25EEC">
            <w:pPr>
              <w:pStyle w:val="Table2"/>
              <w:ind w:left="0" w:firstLine="0"/>
              <w:rPr>
                <w:rFonts w:cs="Arial"/>
                <w:szCs w:val="18"/>
              </w:rPr>
            </w:pPr>
          </w:p>
          <w:p w:rsidR="00AD244E" w:rsidRPr="007476BD" w:rsidRDefault="00AD244E" w:rsidP="00C25EEC">
            <w:pPr>
              <w:pStyle w:val="Table2"/>
              <w:ind w:left="0" w:firstLine="0"/>
              <w:rPr>
                <w:rFonts w:cs="Arial"/>
                <w:szCs w:val="18"/>
              </w:rPr>
            </w:pPr>
            <w:r w:rsidRPr="007476BD">
              <w:rPr>
                <w:rFonts w:cs="Arial"/>
                <w:szCs w:val="18"/>
              </w:rPr>
              <w:t xml:space="preserve">Required clarification of the status of Advantame as a trademark. </w:t>
            </w:r>
          </w:p>
        </w:tc>
      </w:tr>
      <w:tr w:rsidR="00CA705F" w:rsidRPr="007476BD" w:rsidTr="00FC16C1">
        <w:tc>
          <w:tcPr>
            <w:tcW w:w="2235" w:type="dxa"/>
          </w:tcPr>
          <w:p w:rsidR="00AB6B1D" w:rsidRPr="007476BD" w:rsidRDefault="00B94F55">
            <w:pPr>
              <w:pStyle w:val="Table2"/>
              <w:ind w:left="0" w:firstLine="0"/>
              <w:rPr>
                <w:rFonts w:cs="Arial"/>
                <w:szCs w:val="18"/>
              </w:rPr>
            </w:pPr>
            <w:r w:rsidRPr="007476BD">
              <w:rPr>
                <w:rFonts w:cs="Arial"/>
                <w:szCs w:val="18"/>
              </w:rPr>
              <w:t>Department of Health Victoria</w:t>
            </w:r>
            <w:r w:rsidR="00CA705F" w:rsidRPr="007476BD">
              <w:rPr>
                <w:rFonts w:cs="Arial"/>
                <w:szCs w:val="18"/>
              </w:rPr>
              <w:t xml:space="preserve"> </w:t>
            </w:r>
          </w:p>
        </w:tc>
        <w:tc>
          <w:tcPr>
            <w:tcW w:w="7229" w:type="dxa"/>
          </w:tcPr>
          <w:p w:rsidR="00CA705F" w:rsidRPr="007476BD" w:rsidRDefault="00B94F55" w:rsidP="00B94F55">
            <w:pPr>
              <w:pStyle w:val="Table2"/>
              <w:ind w:left="0" w:firstLine="0"/>
              <w:rPr>
                <w:rFonts w:cs="Arial"/>
                <w:szCs w:val="18"/>
              </w:rPr>
            </w:pPr>
            <w:r w:rsidRPr="007476BD">
              <w:rPr>
                <w:rFonts w:cs="Arial"/>
                <w:szCs w:val="18"/>
              </w:rPr>
              <w:t>Supports Option 2A at restricted maximum limits in table top sugar substitutes (powdered only) and a range of powdered beverages including fruit flavoured drinks, milks and flavoured milk drinks, instant tea and coffee, and protein drinks.</w:t>
            </w:r>
          </w:p>
          <w:p w:rsidR="006E00FC" w:rsidRPr="007476BD" w:rsidRDefault="00B218E7" w:rsidP="006E00FC">
            <w:pPr>
              <w:pStyle w:val="Table2"/>
              <w:ind w:left="0" w:firstLine="0"/>
              <w:rPr>
                <w:rFonts w:cs="Arial"/>
                <w:szCs w:val="18"/>
              </w:rPr>
            </w:pPr>
            <w:r w:rsidRPr="007476BD">
              <w:rPr>
                <w:rFonts w:cs="Arial"/>
                <w:szCs w:val="18"/>
              </w:rPr>
              <w:t xml:space="preserve">Believe that seeking a </w:t>
            </w:r>
            <w:r w:rsidR="00802467" w:rsidRPr="007476BD">
              <w:rPr>
                <w:rFonts w:cs="Arial"/>
                <w:szCs w:val="18"/>
              </w:rPr>
              <w:t>S</w:t>
            </w:r>
            <w:r w:rsidRPr="007476BD">
              <w:rPr>
                <w:rFonts w:cs="Arial"/>
                <w:szCs w:val="18"/>
              </w:rPr>
              <w:t>chedule 2 permission (</w:t>
            </w:r>
            <w:r w:rsidR="00802467" w:rsidRPr="007476BD">
              <w:rPr>
                <w:rFonts w:cs="Arial"/>
                <w:szCs w:val="18"/>
              </w:rPr>
              <w:t>O</w:t>
            </w:r>
            <w:r w:rsidRPr="007476BD">
              <w:rPr>
                <w:rFonts w:cs="Arial"/>
                <w:szCs w:val="18"/>
              </w:rPr>
              <w:t>ption 2B) is not supported on three main grounds:</w:t>
            </w:r>
          </w:p>
          <w:p w:rsidR="00644442" w:rsidRPr="007476BD" w:rsidRDefault="00644442" w:rsidP="006E00FC">
            <w:pPr>
              <w:pStyle w:val="Table2"/>
              <w:ind w:left="0" w:firstLine="0"/>
              <w:rPr>
                <w:rFonts w:cs="Arial"/>
                <w:szCs w:val="18"/>
              </w:rPr>
            </w:pPr>
          </w:p>
          <w:p w:rsidR="00B218E7" w:rsidRPr="007476BD" w:rsidRDefault="00443F29" w:rsidP="006E00FC">
            <w:pPr>
              <w:pStyle w:val="FSBullet"/>
              <w:rPr>
                <w:sz w:val="18"/>
                <w:szCs w:val="18"/>
              </w:rPr>
            </w:pPr>
            <w:r w:rsidRPr="007476BD">
              <w:rPr>
                <w:sz w:val="18"/>
                <w:szCs w:val="18"/>
              </w:rPr>
              <w:t>T</w:t>
            </w:r>
            <w:r w:rsidR="00357F1F" w:rsidRPr="007476BD">
              <w:rPr>
                <w:sz w:val="18"/>
                <w:szCs w:val="18"/>
              </w:rPr>
              <w:t>he technological function in foods other than those originally proposed by the Applicant has not been demonstrated</w:t>
            </w:r>
            <w:r w:rsidRPr="007476BD">
              <w:rPr>
                <w:sz w:val="18"/>
                <w:szCs w:val="18"/>
              </w:rPr>
              <w:t>.</w:t>
            </w:r>
          </w:p>
          <w:p w:rsidR="00357F1F" w:rsidRPr="007476BD" w:rsidRDefault="00443F29" w:rsidP="006E00FC">
            <w:pPr>
              <w:pStyle w:val="FSBullet"/>
              <w:rPr>
                <w:sz w:val="18"/>
                <w:szCs w:val="18"/>
              </w:rPr>
            </w:pPr>
            <w:r w:rsidRPr="007476BD">
              <w:rPr>
                <w:sz w:val="18"/>
                <w:szCs w:val="18"/>
              </w:rPr>
              <w:t>A</w:t>
            </w:r>
            <w:r w:rsidR="00357F1F" w:rsidRPr="007476BD">
              <w:rPr>
                <w:sz w:val="18"/>
                <w:szCs w:val="18"/>
              </w:rPr>
              <w:t xml:space="preserve"> dietary exposure assessment has not been undertaken on permissions in other foods</w:t>
            </w:r>
            <w:r w:rsidRPr="007476BD">
              <w:rPr>
                <w:sz w:val="18"/>
                <w:szCs w:val="18"/>
              </w:rPr>
              <w:t>.</w:t>
            </w:r>
          </w:p>
          <w:p w:rsidR="00EE034A" w:rsidRPr="007476BD" w:rsidRDefault="00443F29" w:rsidP="00644442">
            <w:pPr>
              <w:pStyle w:val="FSBullet"/>
              <w:rPr>
                <w:sz w:val="18"/>
                <w:szCs w:val="18"/>
              </w:rPr>
            </w:pPr>
            <w:r w:rsidRPr="007476BD">
              <w:rPr>
                <w:sz w:val="18"/>
                <w:szCs w:val="18"/>
              </w:rPr>
              <w:t>A</w:t>
            </w:r>
            <w:r w:rsidR="00BB2195" w:rsidRPr="007476BD">
              <w:rPr>
                <w:sz w:val="18"/>
                <w:szCs w:val="18"/>
              </w:rPr>
              <w:t xml:space="preserve"> robust method of detection is not available for all food matrices. </w:t>
            </w:r>
          </w:p>
          <w:p w:rsidR="00BB2195" w:rsidRPr="007476BD" w:rsidRDefault="00BB2195" w:rsidP="00BB2195">
            <w:pPr>
              <w:pStyle w:val="Table2"/>
              <w:ind w:left="0" w:firstLine="0"/>
              <w:rPr>
                <w:rFonts w:cs="Arial"/>
                <w:szCs w:val="18"/>
              </w:rPr>
            </w:pPr>
            <w:r w:rsidRPr="007476BD">
              <w:rPr>
                <w:rFonts w:cs="Arial"/>
                <w:szCs w:val="18"/>
              </w:rPr>
              <w:t>Suggest</w:t>
            </w:r>
            <w:r w:rsidR="00CF47BB" w:rsidRPr="007476BD">
              <w:rPr>
                <w:rFonts w:cs="Arial"/>
                <w:szCs w:val="18"/>
              </w:rPr>
              <w:t>s</w:t>
            </w:r>
            <w:r w:rsidRPr="007476BD">
              <w:rPr>
                <w:rFonts w:cs="Arial"/>
                <w:szCs w:val="18"/>
              </w:rPr>
              <w:t xml:space="preserve"> that FSANZ considers reviewing </w:t>
            </w:r>
            <w:r w:rsidR="00EE034A" w:rsidRPr="007476BD">
              <w:rPr>
                <w:rFonts w:cs="Arial"/>
                <w:szCs w:val="18"/>
              </w:rPr>
              <w:t>its</w:t>
            </w:r>
            <w:r w:rsidRPr="007476BD">
              <w:rPr>
                <w:rFonts w:cs="Arial"/>
                <w:szCs w:val="18"/>
              </w:rPr>
              <w:t xml:space="preserve"> approach to toxicological assessments, in particular, the external peer review process. They suggest a panel review process similar to the European Food Safety Authority (EFSA). </w:t>
            </w:r>
          </w:p>
        </w:tc>
      </w:tr>
      <w:tr w:rsidR="00CA705F" w:rsidRPr="007476BD" w:rsidTr="00FC16C1">
        <w:tc>
          <w:tcPr>
            <w:tcW w:w="2235" w:type="dxa"/>
          </w:tcPr>
          <w:p w:rsidR="00AB6B1D" w:rsidRPr="007476BD" w:rsidRDefault="00CA705F">
            <w:pPr>
              <w:pStyle w:val="Table2"/>
              <w:ind w:left="0" w:firstLine="0"/>
              <w:rPr>
                <w:rFonts w:cs="Arial"/>
                <w:szCs w:val="18"/>
              </w:rPr>
            </w:pPr>
            <w:r w:rsidRPr="007476BD">
              <w:rPr>
                <w:rFonts w:cs="Arial"/>
                <w:szCs w:val="18"/>
              </w:rPr>
              <w:t>New Zealand Food &amp; Grocery Council (FGC)</w:t>
            </w:r>
          </w:p>
        </w:tc>
        <w:tc>
          <w:tcPr>
            <w:tcW w:w="7229" w:type="dxa"/>
          </w:tcPr>
          <w:p w:rsidR="00CA705F" w:rsidRPr="007476BD" w:rsidRDefault="00CA705F" w:rsidP="00F523EF">
            <w:pPr>
              <w:pStyle w:val="Table2"/>
              <w:ind w:left="0" w:firstLine="0"/>
              <w:rPr>
                <w:rFonts w:eastAsiaTheme="minorHAnsi" w:cs="Arial"/>
                <w:szCs w:val="18"/>
              </w:rPr>
            </w:pPr>
            <w:r w:rsidRPr="007476BD">
              <w:rPr>
                <w:rFonts w:eastAsiaTheme="minorHAnsi" w:cs="Arial"/>
                <w:szCs w:val="18"/>
              </w:rPr>
              <w:t>Suppor</w:t>
            </w:r>
            <w:r w:rsidR="00F523EF" w:rsidRPr="007476BD">
              <w:rPr>
                <w:rFonts w:eastAsiaTheme="minorHAnsi" w:cs="Arial"/>
                <w:szCs w:val="18"/>
              </w:rPr>
              <w:t xml:space="preserve">ts </w:t>
            </w:r>
            <w:r w:rsidRPr="007476BD">
              <w:rPr>
                <w:rFonts w:eastAsiaTheme="minorHAnsi" w:cs="Arial"/>
                <w:szCs w:val="18"/>
              </w:rPr>
              <w:t xml:space="preserve">the Application and the </w:t>
            </w:r>
            <w:r w:rsidR="00793E9F" w:rsidRPr="007476BD">
              <w:rPr>
                <w:rFonts w:eastAsiaTheme="minorHAnsi" w:cs="Arial"/>
                <w:szCs w:val="18"/>
              </w:rPr>
              <w:t xml:space="preserve">preferred approach to permit the use of Advantame as a </w:t>
            </w:r>
            <w:r w:rsidR="00650014" w:rsidRPr="007476BD">
              <w:rPr>
                <w:rFonts w:eastAsiaTheme="minorHAnsi" w:cs="Arial"/>
                <w:szCs w:val="18"/>
              </w:rPr>
              <w:t>S</w:t>
            </w:r>
            <w:r w:rsidR="00793E9F" w:rsidRPr="007476BD">
              <w:rPr>
                <w:rFonts w:eastAsiaTheme="minorHAnsi" w:cs="Arial"/>
                <w:szCs w:val="18"/>
              </w:rPr>
              <w:t xml:space="preserve">chedule 2 food additive. </w:t>
            </w:r>
          </w:p>
        </w:tc>
      </w:tr>
    </w:tbl>
    <w:p w:rsidR="00CA705F" w:rsidRPr="007476BD" w:rsidRDefault="00CA705F" w:rsidP="00CA705F">
      <w:pPr>
        <w:rPr>
          <w:rFonts w:cs="Arial"/>
          <w:sz w:val="20"/>
          <w:szCs w:val="20"/>
        </w:rPr>
      </w:pPr>
    </w:p>
    <w:p w:rsidR="00CA705F" w:rsidRPr="007476BD" w:rsidRDefault="00CA705F" w:rsidP="00536188">
      <w:pPr>
        <w:rPr>
          <w:rFonts w:cs="Arial"/>
          <w:sz w:val="20"/>
          <w:szCs w:val="20"/>
        </w:rPr>
      </w:pPr>
    </w:p>
    <w:sectPr w:rsidR="00CA705F" w:rsidRPr="007476BD" w:rsidSect="0039582B">
      <w:pgSz w:w="11906" w:h="16838"/>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E1C" w:rsidRDefault="00EC4E1C">
      <w:r>
        <w:separator/>
      </w:r>
    </w:p>
  </w:endnote>
  <w:endnote w:type="continuationSeparator" w:id="0">
    <w:p w:rsidR="00EC4E1C" w:rsidRDefault="00EC4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1C" w:rsidRDefault="00EC4E1C" w:rsidP="001C27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C4E1C" w:rsidRDefault="00EC4E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1C" w:rsidRPr="00603FA8" w:rsidRDefault="00EC4E1C" w:rsidP="001C27A3">
    <w:pPr>
      <w:pStyle w:val="Footer"/>
      <w:framePr w:wrap="around" w:vAnchor="text" w:hAnchor="margin" w:xAlign="center" w:y="1"/>
      <w:rPr>
        <w:rStyle w:val="PageNumber"/>
        <w:sz w:val="20"/>
        <w:szCs w:val="20"/>
      </w:rPr>
    </w:pPr>
    <w:r w:rsidRPr="00603FA8">
      <w:rPr>
        <w:rStyle w:val="PageNumber"/>
        <w:sz w:val="20"/>
        <w:szCs w:val="20"/>
      </w:rPr>
      <w:fldChar w:fldCharType="begin"/>
    </w:r>
    <w:r w:rsidRPr="00603FA8">
      <w:rPr>
        <w:rStyle w:val="PageNumber"/>
        <w:sz w:val="20"/>
        <w:szCs w:val="20"/>
      </w:rPr>
      <w:instrText xml:space="preserve">PAGE  </w:instrText>
    </w:r>
    <w:r w:rsidRPr="00603FA8">
      <w:rPr>
        <w:rStyle w:val="PageNumber"/>
        <w:sz w:val="20"/>
        <w:szCs w:val="20"/>
      </w:rPr>
      <w:fldChar w:fldCharType="separate"/>
    </w:r>
    <w:r w:rsidR="00C80E0E">
      <w:rPr>
        <w:rStyle w:val="PageNumber"/>
        <w:noProof/>
        <w:sz w:val="20"/>
        <w:szCs w:val="20"/>
      </w:rPr>
      <w:t>25</w:t>
    </w:r>
    <w:r w:rsidRPr="00603FA8">
      <w:rPr>
        <w:rStyle w:val="PageNumber"/>
        <w:sz w:val="20"/>
        <w:szCs w:val="20"/>
      </w:rPr>
      <w:fldChar w:fldCharType="end"/>
    </w:r>
  </w:p>
  <w:p w:rsidR="00EC4E1C" w:rsidRDefault="00EC4E1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1C" w:rsidRDefault="00EC4E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E1C" w:rsidRDefault="00EC4E1C">
      <w:r>
        <w:separator/>
      </w:r>
    </w:p>
  </w:footnote>
  <w:footnote w:type="continuationSeparator" w:id="0">
    <w:p w:rsidR="00EC4E1C" w:rsidRDefault="00EC4E1C">
      <w:r>
        <w:continuationSeparator/>
      </w:r>
    </w:p>
  </w:footnote>
  <w:footnote w:id="1">
    <w:p w:rsidR="00EC4E1C" w:rsidRPr="0003514B" w:rsidRDefault="00EC4E1C" w:rsidP="00DD2B0A">
      <w:pPr>
        <w:pStyle w:val="FootnoteText"/>
        <w:rPr>
          <w:sz w:val="18"/>
          <w:szCs w:val="18"/>
        </w:rPr>
      </w:pPr>
      <w:r w:rsidRPr="0003514B">
        <w:rPr>
          <w:rStyle w:val="FootnoteReference"/>
          <w:sz w:val="18"/>
          <w:szCs w:val="18"/>
        </w:rPr>
        <w:footnoteRef/>
      </w:r>
      <w:r w:rsidRPr="0003514B">
        <w:rPr>
          <w:sz w:val="18"/>
          <w:szCs w:val="18"/>
        </w:rPr>
        <w:t xml:space="preserve"> replaces the sweetness normally provided by sugars in foods without contributing significantly to their available energy</w:t>
      </w:r>
    </w:p>
  </w:footnote>
  <w:footnote w:id="2">
    <w:p w:rsidR="00EC4E1C" w:rsidRPr="000F2B9B" w:rsidRDefault="00EC4E1C">
      <w:pPr>
        <w:pStyle w:val="FootnoteText"/>
        <w:rPr>
          <w:color w:val="3333FF"/>
          <w:sz w:val="18"/>
          <w:szCs w:val="18"/>
        </w:rPr>
      </w:pPr>
      <w:r w:rsidRPr="000F2B9B">
        <w:rPr>
          <w:rStyle w:val="FootnoteReference"/>
          <w:sz w:val="18"/>
          <w:szCs w:val="18"/>
        </w:rPr>
        <w:footnoteRef/>
      </w:r>
      <w:r w:rsidRPr="000F2B9B">
        <w:rPr>
          <w:sz w:val="18"/>
          <w:szCs w:val="18"/>
        </w:rPr>
        <w:t xml:space="preserve"> </w:t>
      </w:r>
      <w:hyperlink r:id="rId1" w:history="1">
        <w:r w:rsidRPr="000F2B9B">
          <w:rPr>
            <w:rStyle w:val="Hyperlink"/>
            <w:color w:val="3333FF"/>
            <w:sz w:val="18"/>
            <w:szCs w:val="18"/>
          </w:rPr>
          <w:t>http://www.foodstandards.gov.au/foodstandards/changingthecode/ministerialcouncilpolicyguidelines/</w:t>
        </w:r>
      </w:hyperlink>
    </w:p>
  </w:footnote>
  <w:footnote w:id="3">
    <w:p w:rsidR="00EC4E1C" w:rsidRPr="000F2B9B" w:rsidRDefault="00EC4E1C" w:rsidP="00790050">
      <w:pPr>
        <w:pStyle w:val="FootnoteText"/>
        <w:rPr>
          <w:sz w:val="18"/>
          <w:szCs w:val="18"/>
        </w:rPr>
      </w:pPr>
      <w:r w:rsidRPr="000F2B9B">
        <w:rPr>
          <w:rStyle w:val="FootnoteReference"/>
          <w:color w:val="00B0F0"/>
          <w:sz w:val="18"/>
          <w:szCs w:val="18"/>
        </w:rPr>
        <w:footnoteRef/>
      </w:r>
      <w:hyperlink r:id="rId2" w:history="1">
        <w:r w:rsidRPr="000F2B9B">
          <w:rPr>
            <w:rStyle w:val="Hyperlink"/>
            <w:color w:val="3333FF"/>
            <w:sz w:val="18"/>
            <w:szCs w:val="18"/>
          </w:rPr>
          <w:t>http://www.foodstandards.gov.au/scienceandeducation/factsheets/factsheets2009/aspartamejuly2009.cfm</w:t>
        </w:r>
      </w:hyperlink>
    </w:p>
  </w:footnote>
  <w:footnote w:id="4">
    <w:p w:rsidR="00EC4E1C" w:rsidRPr="00F32644" w:rsidRDefault="00EC4E1C" w:rsidP="00790050">
      <w:pPr>
        <w:pStyle w:val="FootnoteText"/>
        <w:rPr>
          <w:sz w:val="18"/>
          <w:szCs w:val="18"/>
        </w:rPr>
      </w:pPr>
      <w:r>
        <w:rPr>
          <w:rStyle w:val="FootnoteReference"/>
          <w:sz w:val="18"/>
          <w:szCs w:val="18"/>
        </w:rPr>
        <w:footnoteRef/>
      </w:r>
      <w:r w:rsidRPr="003E5C61">
        <w:rPr>
          <w:sz w:val="18"/>
          <w:szCs w:val="18"/>
        </w:rPr>
        <w:t xml:space="preserve"> To date there is no international Code for Advantame established. This will be considered by the Codex</w:t>
      </w:r>
      <w:r w:rsidRPr="00F32644">
        <w:rPr>
          <w:sz w:val="18"/>
          <w:szCs w:val="18"/>
        </w:rPr>
        <w:t xml:space="preserve"> Alimentarius in due course. </w:t>
      </w:r>
    </w:p>
  </w:footnote>
  <w:footnote w:id="5">
    <w:p w:rsidR="00EC4E1C" w:rsidRPr="006B72CB" w:rsidRDefault="00EC4E1C" w:rsidP="00790050">
      <w:pPr>
        <w:pStyle w:val="FootnoteText"/>
        <w:rPr>
          <w:sz w:val="18"/>
          <w:szCs w:val="18"/>
          <w:lang w:val="en-AU"/>
        </w:rPr>
      </w:pPr>
      <w:r w:rsidRPr="006B72CB">
        <w:rPr>
          <w:rStyle w:val="FootnoteReference"/>
          <w:sz w:val="18"/>
          <w:szCs w:val="18"/>
        </w:rPr>
        <w:footnoteRef/>
      </w:r>
      <w:r w:rsidRPr="006B72CB">
        <w:rPr>
          <w:sz w:val="18"/>
          <w:szCs w:val="18"/>
        </w:rPr>
        <w:t xml:space="preserve"> </w:t>
      </w:r>
      <w:r>
        <w:rPr>
          <w:sz w:val="18"/>
          <w:szCs w:val="18"/>
          <w:lang w:val="en-AU"/>
        </w:rPr>
        <w:t>Via a Code M</w:t>
      </w:r>
      <w:r w:rsidRPr="006B72CB">
        <w:rPr>
          <w:sz w:val="18"/>
          <w:szCs w:val="18"/>
          <w:lang w:val="en-AU"/>
        </w:rPr>
        <w:t>aintenance Proposal</w:t>
      </w:r>
    </w:p>
  </w:footnote>
  <w:footnote w:id="6">
    <w:p w:rsidR="00EC4E1C" w:rsidRPr="00F7414D" w:rsidRDefault="00EC4E1C">
      <w:pPr>
        <w:pStyle w:val="FootnoteText"/>
        <w:rPr>
          <w:sz w:val="18"/>
          <w:szCs w:val="18"/>
        </w:rPr>
      </w:pPr>
      <w:r w:rsidRPr="00F7414D">
        <w:rPr>
          <w:sz w:val="18"/>
          <w:szCs w:val="18"/>
        </w:rPr>
        <w:footnoteRef/>
      </w:r>
      <w:r w:rsidRPr="00F7414D">
        <w:rPr>
          <w:sz w:val="18"/>
          <w:szCs w:val="18"/>
        </w:rPr>
        <w:t xml:space="preserve"> CoPoNC is a voluntary code of practice for food suppliers in Australia and is used by some manufacturers in New Zealand.</w:t>
      </w:r>
    </w:p>
  </w:footnote>
  <w:footnote w:id="7">
    <w:p w:rsidR="00EC4E1C" w:rsidRPr="00233568" w:rsidRDefault="00EC4E1C" w:rsidP="00233568">
      <w:pPr>
        <w:pStyle w:val="FootnoteText"/>
        <w:rPr>
          <w:sz w:val="18"/>
          <w:szCs w:val="18"/>
        </w:rPr>
      </w:pPr>
      <w:r w:rsidRPr="00233568">
        <w:rPr>
          <w:rStyle w:val="FootnoteReference"/>
          <w:sz w:val="18"/>
          <w:szCs w:val="18"/>
        </w:rPr>
        <w:footnoteRef/>
      </w:r>
      <w:r w:rsidRPr="00233568">
        <w:rPr>
          <w:sz w:val="18"/>
          <w:szCs w:val="18"/>
        </w:rPr>
        <w:t xml:space="preserve"> The Calorie Control Council </w:t>
      </w:r>
      <w:r>
        <w:rPr>
          <w:sz w:val="18"/>
          <w:szCs w:val="18"/>
        </w:rPr>
        <w:t>i</w:t>
      </w:r>
      <w:r w:rsidRPr="00233568">
        <w:rPr>
          <w:sz w:val="18"/>
          <w:szCs w:val="18"/>
        </w:rPr>
        <w:t>s an interna</w:t>
      </w:r>
      <w:r>
        <w:rPr>
          <w:sz w:val="18"/>
          <w:szCs w:val="18"/>
        </w:rPr>
        <w:t xml:space="preserve">tional association representing </w:t>
      </w:r>
      <w:r w:rsidRPr="00233568">
        <w:rPr>
          <w:sz w:val="18"/>
          <w:szCs w:val="18"/>
        </w:rPr>
        <w:t>companies that make and use intense sweeteners.</w:t>
      </w:r>
    </w:p>
  </w:footnote>
  <w:footnote w:id="8">
    <w:p w:rsidR="00EC4E1C" w:rsidRPr="00EC4E1C" w:rsidRDefault="00EC4E1C" w:rsidP="00550644">
      <w:pPr>
        <w:pStyle w:val="FootnoteText"/>
        <w:rPr>
          <w:color w:val="3333FF"/>
          <w:sz w:val="18"/>
          <w:szCs w:val="18"/>
          <w:u w:val="single"/>
        </w:rPr>
      </w:pPr>
      <w:r w:rsidRPr="000F2B9B">
        <w:rPr>
          <w:rStyle w:val="FootnoteReference"/>
          <w:sz w:val="18"/>
          <w:szCs w:val="18"/>
        </w:rPr>
        <w:footnoteRef/>
      </w:r>
      <w:r w:rsidRPr="000F2B9B">
        <w:rPr>
          <w:sz w:val="18"/>
          <w:szCs w:val="18"/>
        </w:rPr>
        <w:t xml:space="preserve"> </w:t>
      </w:r>
      <w:hyperlink r:id="rId3" w:history="1">
        <w:r w:rsidRPr="000F2B9B">
          <w:rPr>
            <w:rStyle w:val="Hyperlink"/>
            <w:color w:val="3333FF"/>
            <w:sz w:val="18"/>
            <w:szCs w:val="18"/>
          </w:rPr>
          <w:t>http://www.health.gov.au/internet/main/publishing.nsf/content/foodsecretariat-isc.htm</w:t>
        </w:r>
      </w:hyperlink>
    </w:p>
  </w:footnote>
  <w:footnote w:id="9">
    <w:p w:rsidR="00EC4E1C" w:rsidRPr="000F2B9B" w:rsidRDefault="00EC4E1C" w:rsidP="00E473CD">
      <w:pPr>
        <w:pStyle w:val="FootnoteText"/>
        <w:rPr>
          <w:sz w:val="18"/>
          <w:szCs w:val="18"/>
          <w:lang w:val="en-AU"/>
        </w:rPr>
      </w:pPr>
      <w:r w:rsidRPr="000F2B9B">
        <w:rPr>
          <w:rStyle w:val="FootnoteReference"/>
          <w:sz w:val="18"/>
          <w:szCs w:val="18"/>
        </w:rPr>
        <w:footnoteRef/>
      </w:r>
      <w:r w:rsidRPr="000F2B9B">
        <w:rPr>
          <w:sz w:val="18"/>
          <w:szCs w:val="18"/>
        </w:rPr>
        <w:t xml:space="preserve"> </w:t>
      </w:r>
      <w:proofErr w:type="gramStart"/>
      <w:r w:rsidRPr="000F2B9B">
        <w:rPr>
          <w:sz w:val="18"/>
          <w:szCs w:val="18"/>
          <w:lang w:val="en-AU"/>
        </w:rPr>
        <w:t>European Commission (2000) Opinion of the Scientific Committee on Food on sucralose SCF/CS/ADDS/EDUL/190 Final.</w:t>
      </w:r>
      <w:proofErr w:type="gramEnd"/>
      <w:r w:rsidRPr="000F2B9B">
        <w:rPr>
          <w:sz w:val="18"/>
          <w:szCs w:val="18"/>
          <w:lang w:val="en-AU"/>
        </w:rPr>
        <w:t xml:space="preserve"> Available at: </w:t>
      </w:r>
      <w:hyperlink r:id="rId4" w:history="1">
        <w:r w:rsidRPr="000F2B9B">
          <w:rPr>
            <w:rStyle w:val="Hyperlink"/>
            <w:color w:val="0000FF"/>
            <w:sz w:val="18"/>
            <w:szCs w:val="18"/>
            <w:lang w:val="en-AU"/>
          </w:rPr>
          <w:t>http://ec.europa.eu/food/fs/sc/scf/out68_en.pdf</w:t>
        </w:r>
      </w:hyperlink>
    </w:p>
  </w:footnote>
  <w:footnote w:id="10">
    <w:p w:rsidR="00EC4E1C" w:rsidRPr="000F2B9B" w:rsidRDefault="00EC4E1C">
      <w:pPr>
        <w:pStyle w:val="FootnoteText"/>
        <w:rPr>
          <w:sz w:val="18"/>
          <w:szCs w:val="18"/>
          <w:lang w:val="en-AU"/>
        </w:rPr>
      </w:pPr>
      <w:r w:rsidRPr="000F2B9B">
        <w:rPr>
          <w:rStyle w:val="FootnoteReference"/>
          <w:sz w:val="18"/>
          <w:szCs w:val="18"/>
        </w:rPr>
        <w:footnoteRef/>
      </w:r>
      <w:r w:rsidRPr="000F2B9B">
        <w:rPr>
          <w:sz w:val="18"/>
          <w:szCs w:val="18"/>
        </w:rPr>
        <w:t xml:space="preserve"> </w:t>
      </w:r>
      <w:r w:rsidRPr="000F2B9B">
        <w:rPr>
          <w:bCs/>
          <w:sz w:val="18"/>
          <w:szCs w:val="18"/>
        </w:rPr>
        <w:t>Coprophagia</w:t>
      </w:r>
      <w:r w:rsidRPr="000F2B9B">
        <w:rPr>
          <w:sz w:val="18"/>
          <w:szCs w:val="18"/>
        </w:rPr>
        <w:t xml:space="preserve"> is the consumption of </w:t>
      </w:r>
      <w:hyperlink r:id="rId5" w:tooltip="Feces" w:history="1">
        <w:r w:rsidRPr="000F2B9B">
          <w:rPr>
            <w:rStyle w:val="Hyperlink"/>
            <w:sz w:val="18"/>
            <w:szCs w:val="18"/>
            <w:u w:val="none"/>
          </w:rPr>
          <w:t>faeces</w:t>
        </w:r>
      </w:hyperlink>
      <w:r w:rsidRPr="000F2B9B">
        <w:rPr>
          <w:sz w:val="18"/>
          <w:szCs w:val="18"/>
        </w:rPr>
        <w:t xml:space="preserve">. </w:t>
      </w:r>
    </w:p>
  </w:footnote>
  <w:footnote w:id="11">
    <w:p w:rsidR="00EC4E1C" w:rsidRPr="007D24A3" w:rsidRDefault="00EC4E1C">
      <w:pPr>
        <w:pStyle w:val="FootnoteText"/>
        <w:rPr>
          <w:color w:val="3333FF"/>
          <w:sz w:val="18"/>
          <w:szCs w:val="18"/>
          <w:lang w:val="en-AU"/>
        </w:rPr>
      </w:pPr>
      <w:r w:rsidRPr="007D24A3">
        <w:rPr>
          <w:rStyle w:val="FootnoteReference"/>
          <w:color w:val="3333FF"/>
          <w:sz w:val="18"/>
          <w:szCs w:val="18"/>
        </w:rPr>
        <w:footnoteRef/>
      </w:r>
      <w:r w:rsidRPr="007D24A3">
        <w:rPr>
          <w:color w:val="3333FF"/>
          <w:sz w:val="18"/>
          <w:szCs w:val="18"/>
        </w:rPr>
        <w:t xml:space="preserve"> </w:t>
      </w:r>
      <w:hyperlink r:id="rId6" w:history="1">
        <w:r w:rsidRPr="007D24A3">
          <w:rPr>
            <w:rStyle w:val="Hyperlink"/>
            <w:rFonts w:cs="Arial"/>
            <w:color w:val="3333FF"/>
            <w:sz w:val="18"/>
            <w:szCs w:val="18"/>
          </w:rPr>
          <w:t>http://cot.food.gov.uk/pdfs/cotstatementmethanol201102.pdf</w:t>
        </w:r>
      </w:hyperlink>
    </w:p>
  </w:footnote>
  <w:footnote w:id="12">
    <w:p w:rsidR="00EC4E1C" w:rsidRPr="00F523EF" w:rsidRDefault="00EC4E1C" w:rsidP="00F523EF">
      <w:pPr>
        <w:rPr>
          <w:rFonts w:cs="Arial"/>
          <w:color w:val="0000FF"/>
          <w:sz w:val="18"/>
          <w:szCs w:val="18"/>
        </w:rPr>
      </w:pPr>
      <w:r w:rsidRPr="007D24A3">
        <w:rPr>
          <w:rStyle w:val="FootnoteReference"/>
          <w:sz w:val="18"/>
          <w:szCs w:val="18"/>
        </w:rPr>
        <w:footnoteRef/>
      </w:r>
      <w:hyperlink r:id="rId7" w:history="1">
        <w:r w:rsidRPr="007D24A3">
          <w:rPr>
            <w:rStyle w:val="Hyperlink"/>
            <w:rFonts w:cs="Arial"/>
            <w:color w:val="0000FF"/>
            <w:sz w:val="18"/>
            <w:szCs w:val="18"/>
          </w:rPr>
          <w:t>http://www.foodstandards.gov.au/_srcfiles/A1034%20Advantame%202AR%20SD1%20Risk%20Assess%20AMENDED.pdf</w:t>
        </w:r>
      </w:hyperlink>
      <w:r w:rsidRPr="007D24A3">
        <w:rPr>
          <w:rStyle w:val="Hyperlink"/>
          <w:rFonts w:cs="Arial"/>
          <w:color w:val="0000FF"/>
          <w:sz w:val="18"/>
          <w:szCs w:val="18"/>
        </w:rPr>
        <w:t>.</w:t>
      </w:r>
    </w:p>
  </w:footnote>
  <w:footnote w:id="13">
    <w:p w:rsidR="00EC4E1C" w:rsidRPr="00053BCB" w:rsidRDefault="00EC4E1C" w:rsidP="007E4D74">
      <w:pPr>
        <w:pStyle w:val="FootnoteText"/>
        <w:rPr>
          <w:sz w:val="18"/>
          <w:szCs w:val="18"/>
        </w:rPr>
      </w:pPr>
      <w:r>
        <w:rPr>
          <w:rStyle w:val="FootnoteReference"/>
        </w:rPr>
        <w:footnoteRef/>
      </w:r>
      <w:r>
        <w:t xml:space="preserve"> </w:t>
      </w:r>
      <w:hyperlink r:id="rId8" w:history="1">
        <w:r w:rsidRPr="00053BCB">
          <w:rPr>
            <w:rStyle w:val="Hyperlink"/>
            <w:color w:val="3333FF"/>
            <w:sz w:val="18"/>
            <w:szCs w:val="18"/>
          </w:rPr>
          <w:t>http://www.foodstandards.gov.au/foodstandards/changingthecode/ministerialcouncilpolicyguidelines/</w:t>
        </w:r>
      </w:hyperlink>
    </w:p>
  </w:footnote>
  <w:footnote w:id="14">
    <w:p w:rsidR="00EC4E1C" w:rsidRPr="00611B92" w:rsidRDefault="00EC4E1C">
      <w:pPr>
        <w:pStyle w:val="FootnoteText"/>
        <w:rPr>
          <w:lang w:val="en-AU"/>
        </w:rPr>
      </w:pPr>
      <w:r>
        <w:rPr>
          <w:rStyle w:val="FootnoteReference"/>
        </w:rPr>
        <w:footnoteRef/>
      </w:r>
      <w:r>
        <w:t xml:space="preserve"> </w:t>
      </w:r>
      <w:r>
        <w:rPr>
          <w:lang w:val="en-AU"/>
        </w:rPr>
        <w:t xml:space="preserve">Previously the New Zealand Food Safety Authority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1C" w:rsidRDefault="00EC4E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1C" w:rsidRDefault="00EC4E1C">
    <w:pPr>
      <w:pStyle w:val="Header"/>
      <w:jc w:val="center"/>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1C" w:rsidRDefault="00EC4E1C">
    <w:pPr>
      <w:pStyle w:val="Header"/>
      <w:jc w:val="center"/>
      <w:rPr>
        <w:b/>
        <w:bCs/>
      </w:rPr>
    </w:pPr>
    <w:r>
      <w:rPr>
        <w:b/>
        <w:bCs/>
      </w:rPr>
      <w:t>BOARD-IN-CONFIDENCE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6C3"/>
    <w:multiLevelType w:val="hybridMultilevel"/>
    <w:tmpl w:val="DA40736C"/>
    <w:lvl w:ilvl="0" w:tplc="6B5AB52C">
      <w:start w:val="1"/>
      <w:numFmt w:val="bullet"/>
      <w:pStyle w:val="FS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5B08E9"/>
    <w:multiLevelType w:val="hybridMultilevel"/>
    <w:tmpl w:val="19CAB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3686407"/>
    <w:multiLevelType w:val="hybridMultilevel"/>
    <w:tmpl w:val="C1AC7A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8F67F7A"/>
    <w:multiLevelType w:val="hybridMultilevel"/>
    <w:tmpl w:val="0C72E040"/>
    <w:lvl w:ilvl="0" w:tplc="56D6B5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A66181B"/>
    <w:multiLevelType w:val="hybridMultilevel"/>
    <w:tmpl w:val="067C0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B751FE"/>
    <w:multiLevelType w:val="hybridMultilevel"/>
    <w:tmpl w:val="B9FC735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0CBE0364"/>
    <w:multiLevelType w:val="hybridMultilevel"/>
    <w:tmpl w:val="A59A6F0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16C1108F"/>
    <w:multiLevelType w:val="hybridMultilevel"/>
    <w:tmpl w:val="7FE6FDD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9125D75"/>
    <w:multiLevelType w:val="hybridMultilevel"/>
    <w:tmpl w:val="376A2A26"/>
    <w:lvl w:ilvl="0" w:tplc="08090001">
      <w:start w:val="1"/>
      <w:numFmt w:val="bullet"/>
      <w:lvlText w:val=""/>
      <w:lvlJc w:val="left"/>
      <w:pPr>
        <w:ind w:left="787"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nsid w:val="35040698"/>
    <w:multiLevelType w:val="hybridMultilevel"/>
    <w:tmpl w:val="5D367C1C"/>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0">
    <w:nsid w:val="35746ABF"/>
    <w:multiLevelType w:val="hybridMultilevel"/>
    <w:tmpl w:val="11CC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6650794"/>
    <w:multiLevelType w:val="hybridMultilevel"/>
    <w:tmpl w:val="D73E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D13F5A"/>
    <w:multiLevelType w:val="hybridMultilevel"/>
    <w:tmpl w:val="71229652"/>
    <w:lvl w:ilvl="0" w:tplc="53A673D6">
      <w:numFmt w:val="bullet"/>
      <w:lvlText w:val="-"/>
      <w:lvlJc w:val="left"/>
      <w:pPr>
        <w:ind w:left="1497" w:hanging="360"/>
      </w:pPr>
      <w:rPr>
        <w:rFonts w:ascii="Arial" w:eastAsia="Times New Roman" w:hAnsi="Arial" w:cs="Arial" w:hint="default"/>
      </w:rPr>
    </w:lvl>
    <w:lvl w:ilvl="1" w:tplc="0C090003" w:tentative="1">
      <w:start w:val="1"/>
      <w:numFmt w:val="bullet"/>
      <w:lvlText w:val="o"/>
      <w:lvlJc w:val="left"/>
      <w:pPr>
        <w:ind w:left="2217" w:hanging="360"/>
      </w:pPr>
      <w:rPr>
        <w:rFonts w:ascii="Courier New" w:hAnsi="Courier New" w:cs="Courier New" w:hint="default"/>
      </w:rPr>
    </w:lvl>
    <w:lvl w:ilvl="2" w:tplc="0C090005" w:tentative="1">
      <w:start w:val="1"/>
      <w:numFmt w:val="bullet"/>
      <w:lvlText w:val=""/>
      <w:lvlJc w:val="left"/>
      <w:pPr>
        <w:ind w:left="2937" w:hanging="360"/>
      </w:pPr>
      <w:rPr>
        <w:rFonts w:ascii="Wingdings" w:hAnsi="Wingdings" w:hint="default"/>
      </w:rPr>
    </w:lvl>
    <w:lvl w:ilvl="3" w:tplc="0C090001" w:tentative="1">
      <w:start w:val="1"/>
      <w:numFmt w:val="bullet"/>
      <w:lvlText w:val=""/>
      <w:lvlJc w:val="left"/>
      <w:pPr>
        <w:ind w:left="3657" w:hanging="360"/>
      </w:pPr>
      <w:rPr>
        <w:rFonts w:ascii="Symbol" w:hAnsi="Symbol" w:hint="default"/>
      </w:rPr>
    </w:lvl>
    <w:lvl w:ilvl="4" w:tplc="0C090003" w:tentative="1">
      <w:start w:val="1"/>
      <w:numFmt w:val="bullet"/>
      <w:lvlText w:val="o"/>
      <w:lvlJc w:val="left"/>
      <w:pPr>
        <w:ind w:left="4377" w:hanging="360"/>
      </w:pPr>
      <w:rPr>
        <w:rFonts w:ascii="Courier New" w:hAnsi="Courier New" w:cs="Courier New" w:hint="default"/>
      </w:rPr>
    </w:lvl>
    <w:lvl w:ilvl="5" w:tplc="0C090005" w:tentative="1">
      <w:start w:val="1"/>
      <w:numFmt w:val="bullet"/>
      <w:lvlText w:val=""/>
      <w:lvlJc w:val="left"/>
      <w:pPr>
        <w:ind w:left="5097" w:hanging="360"/>
      </w:pPr>
      <w:rPr>
        <w:rFonts w:ascii="Wingdings" w:hAnsi="Wingdings" w:hint="default"/>
      </w:rPr>
    </w:lvl>
    <w:lvl w:ilvl="6" w:tplc="0C090001" w:tentative="1">
      <w:start w:val="1"/>
      <w:numFmt w:val="bullet"/>
      <w:lvlText w:val=""/>
      <w:lvlJc w:val="left"/>
      <w:pPr>
        <w:ind w:left="5817" w:hanging="360"/>
      </w:pPr>
      <w:rPr>
        <w:rFonts w:ascii="Symbol" w:hAnsi="Symbol" w:hint="default"/>
      </w:rPr>
    </w:lvl>
    <w:lvl w:ilvl="7" w:tplc="0C090003" w:tentative="1">
      <w:start w:val="1"/>
      <w:numFmt w:val="bullet"/>
      <w:lvlText w:val="o"/>
      <w:lvlJc w:val="left"/>
      <w:pPr>
        <w:ind w:left="6537" w:hanging="360"/>
      </w:pPr>
      <w:rPr>
        <w:rFonts w:ascii="Courier New" w:hAnsi="Courier New" w:cs="Courier New" w:hint="default"/>
      </w:rPr>
    </w:lvl>
    <w:lvl w:ilvl="8" w:tplc="0C090005" w:tentative="1">
      <w:start w:val="1"/>
      <w:numFmt w:val="bullet"/>
      <w:lvlText w:val=""/>
      <w:lvlJc w:val="left"/>
      <w:pPr>
        <w:ind w:left="7257" w:hanging="360"/>
      </w:pPr>
      <w:rPr>
        <w:rFonts w:ascii="Wingdings" w:hAnsi="Wingdings" w:hint="default"/>
      </w:rPr>
    </w:lvl>
  </w:abstractNum>
  <w:abstractNum w:abstractNumId="13">
    <w:nsid w:val="3C804C9B"/>
    <w:multiLevelType w:val="hybridMultilevel"/>
    <w:tmpl w:val="210AEECA"/>
    <w:lvl w:ilvl="0" w:tplc="B7B41A4E">
      <w:start w:val="1"/>
      <w:numFmt w:val="bullet"/>
      <w:pStyle w:val="FSDash"/>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nsid w:val="4163421A"/>
    <w:multiLevelType w:val="hybridMultilevel"/>
    <w:tmpl w:val="5E1487A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5">
    <w:nsid w:val="41940C94"/>
    <w:multiLevelType w:val="hybridMultilevel"/>
    <w:tmpl w:val="5C1E752C"/>
    <w:lvl w:ilvl="0" w:tplc="9886F1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27E280D"/>
    <w:multiLevelType w:val="multilevel"/>
    <w:tmpl w:val="59A6981C"/>
    <w:lvl w:ilvl="0">
      <w:start w:val="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855076D"/>
    <w:multiLevelType w:val="multilevel"/>
    <w:tmpl w:val="1C6229B8"/>
    <w:lvl w:ilvl="0">
      <w:start w:val="8"/>
      <w:numFmt w:val="decimal"/>
      <w:lvlText w:val="%1"/>
      <w:lvlJc w:val="left"/>
      <w:pPr>
        <w:tabs>
          <w:tab w:val="num" w:pos="540"/>
        </w:tabs>
        <w:ind w:left="540" w:hanging="540"/>
      </w:pPr>
      <w:rPr>
        <w:rFonts w:cs="Times New Roman" w:hint="default"/>
        <w:b/>
      </w:rPr>
    </w:lvl>
    <w:lvl w:ilvl="1">
      <w:start w:val="2"/>
      <w:numFmt w:val="decimal"/>
      <w:lvlText w:val="%1.%2"/>
      <w:lvlJc w:val="left"/>
      <w:pPr>
        <w:tabs>
          <w:tab w:val="num" w:pos="540"/>
        </w:tabs>
        <w:ind w:left="540" w:hanging="540"/>
      </w:pPr>
      <w:rPr>
        <w:rFonts w:cs="Times New Roman" w:hint="default"/>
        <w:b/>
      </w:rPr>
    </w:lvl>
    <w:lvl w:ilvl="2">
      <w:start w:val="2"/>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8">
    <w:nsid w:val="5CC70450"/>
    <w:multiLevelType w:val="hybridMultilevel"/>
    <w:tmpl w:val="C5D2C324"/>
    <w:lvl w:ilvl="0" w:tplc="7F764C3A">
      <w:numFmt w:val="bullet"/>
      <w:lvlText w:val="-"/>
      <w:lvlJc w:val="left"/>
      <w:pPr>
        <w:ind w:left="1497" w:hanging="360"/>
      </w:pPr>
      <w:rPr>
        <w:rFonts w:ascii="Arial" w:eastAsia="Times New Roman" w:hAnsi="Arial" w:cs="Arial" w:hint="default"/>
      </w:rPr>
    </w:lvl>
    <w:lvl w:ilvl="1" w:tplc="0C090003" w:tentative="1">
      <w:start w:val="1"/>
      <w:numFmt w:val="bullet"/>
      <w:lvlText w:val="o"/>
      <w:lvlJc w:val="left"/>
      <w:pPr>
        <w:ind w:left="2217" w:hanging="360"/>
      </w:pPr>
      <w:rPr>
        <w:rFonts w:ascii="Courier New" w:hAnsi="Courier New" w:cs="Courier New" w:hint="default"/>
      </w:rPr>
    </w:lvl>
    <w:lvl w:ilvl="2" w:tplc="0C090005" w:tentative="1">
      <w:start w:val="1"/>
      <w:numFmt w:val="bullet"/>
      <w:lvlText w:val=""/>
      <w:lvlJc w:val="left"/>
      <w:pPr>
        <w:ind w:left="2937" w:hanging="360"/>
      </w:pPr>
      <w:rPr>
        <w:rFonts w:ascii="Wingdings" w:hAnsi="Wingdings" w:hint="default"/>
      </w:rPr>
    </w:lvl>
    <w:lvl w:ilvl="3" w:tplc="0C090001" w:tentative="1">
      <w:start w:val="1"/>
      <w:numFmt w:val="bullet"/>
      <w:lvlText w:val=""/>
      <w:lvlJc w:val="left"/>
      <w:pPr>
        <w:ind w:left="3657" w:hanging="360"/>
      </w:pPr>
      <w:rPr>
        <w:rFonts w:ascii="Symbol" w:hAnsi="Symbol" w:hint="default"/>
      </w:rPr>
    </w:lvl>
    <w:lvl w:ilvl="4" w:tplc="0C090003" w:tentative="1">
      <w:start w:val="1"/>
      <w:numFmt w:val="bullet"/>
      <w:lvlText w:val="o"/>
      <w:lvlJc w:val="left"/>
      <w:pPr>
        <w:ind w:left="4377" w:hanging="360"/>
      </w:pPr>
      <w:rPr>
        <w:rFonts w:ascii="Courier New" w:hAnsi="Courier New" w:cs="Courier New" w:hint="default"/>
      </w:rPr>
    </w:lvl>
    <w:lvl w:ilvl="5" w:tplc="0C090005" w:tentative="1">
      <w:start w:val="1"/>
      <w:numFmt w:val="bullet"/>
      <w:lvlText w:val=""/>
      <w:lvlJc w:val="left"/>
      <w:pPr>
        <w:ind w:left="5097" w:hanging="360"/>
      </w:pPr>
      <w:rPr>
        <w:rFonts w:ascii="Wingdings" w:hAnsi="Wingdings" w:hint="default"/>
      </w:rPr>
    </w:lvl>
    <w:lvl w:ilvl="6" w:tplc="0C090001" w:tentative="1">
      <w:start w:val="1"/>
      <w:numFmt w:val="bullet"/>
      <w:lvlText w:val=""/>
      <w:lvlJc w:val="left"/>
      <w:pPr>
        <w:ind w:left="5817" w:hanging="360"/>
      </w:pPr>
      <w:rPr>
        <w:rFonts w:ascii="Symbol" w:hAnsi="Symbol" w:hint="default"/>
      </w:rPr>
    </w:lvl>
    <w:lvl w:ilvl="7" w:tplc="0C090003" w:tentative="1">
      <w:start w:val="1"/>
      <w:numFmt w:val="bullet"/>
      <w:lvlText w:val="o"/>
      <w:lvlJc w:val="left"/>
      <w:pPr>
        <w:ind w:left="6537" w:hanging="360"/>
      </w:pPr>
      <w:rPr>
        <w:rFonts w:ascii="Courier New" w:hAnsi="Courier New" w:cs="Courier New" w:hint="default"/>
      </w:rPr>
    </w:lvl>
    <w:lvl w:ilvl="8" w:tplc="0C090005" w:tentative="1">
      <w:start w:val="1"/>
      <w:numFmt w:val="bullet"/>
      <w:lvlText w:val=""/>
      <w:lvlJc w:val="left"/>
      <w:pPr>
        <w:ind w:left="7257" w:hanging="360"/>
      </w:pPr>
      <w:rPr>
        <w:rFonts w:ascii="Wingdings" w:hAnsi="Wingdings" w:hint="default"/>
      </w:rPr>
    </w:lvl>
  </w:abstractNum>
  <w:abstractNum w:abstractNumId="19">
    <w:nsid w:val="5DDB6171"/>
    <w:multiLevelType w:val="hybridMultilevel"/>
    <w:tmpl w:val="5C1E752C"/>
    <w:lvl w:ilvl="0" w:tplc="D9AC17F6">
      <w:start w:val="1"/>
      <w:numFmt w:val="lowerLetter"/>
      <w:lvlText w:val="%1)"/>
      <w:lvlJc w:val="left"/>
      <w:pPr>
        <w:ind w:left="720" w:hanging="360"/>
      </w:pPr>
      <w:rPr>
        <w:rFonts w:hint="default"/>
      </w:rPr>
    </w:lvl>
    <w:lvl w:ilvl="1" w:tplc="8D22C380" w:tentative="1">
      <w:start w:val="1"/>
      <w:numFmt w:val="lowerLetter"/>
      <w:lvlText w:val="%2."/>
      <w:lvlJc w:val="left"/>
      <w:pPr>
        <w:ind w:left="1440" w:hanging="360"/>
      </w:pPr>
    </w:lvl>
    <w:lvl w:ilvl="2" w:tplc="99FE0A84" w:tentative="1">
      <w:start w:val="1"/>
      <w:numFmt w:val="lowerRoman"/>
      <w:lvlText w:val="%3."/>
      <w:lvlJc w:val="right"/>
      <w:pPr>
        <w:ind w:left="2160" w:hanging="180"/>
      </w:pPr>
    </w:lvl>
    <w:lvl w:ilvl="3" w:tplc="B922E4B8" w:tentative="1">
      <w:start w:val="1"/>
      <w:numFmt w:val="decimal"/>
      <w:lvlText w:val="%4."/>
      <w:lvlJc w:val="left"/>
      <w:pPr>
        <w:ind w:left="2880" w:hanging="360"/>
      </w:pPr>
    </w:lvl>
    <w:lvl w:ilvl="4" w:tplc="E81AF5B8" w:tentative="1">
      <w:start w:val="1"/>
      <w:numFmt w:val="lowerLetter"/>
      <w:lvlText w:val="%5."/>
      <w:lvlJc w:val="left"/>
      <w:pPr>
        <w:ind w:left="3600" w:hanging="360"/>
      </w:pPr>
    </w:lvl>
    <w:lvl w:ilvl="5" w:tplc="16A89BD2" w:tentative="1">
      <w:start w:val="1"/>
      <w:numFmt w:val="lowerRoman"/>
      <w:lvlText w:val="%6."/>
      <w:lvlJc w:val="right"/>
      <w:pPr>
        <w:ind w:left="4320" w:hanging="180"/>
      </w:pPr>
    </w:lvl>
    <w:lvl w:ilvl="6" w:tplc="7012C724" w:tentative="1">
      <w:start w:val="1"/>
      <w:numFmt w:val="decimal"/>
      <w:lvlText w:val="%7."/>
      <w:lvlJc w:val="left"/>
      <w:pPr>
        <w:ind w:left="5040" w:hanging="360"/>
      </w:pPr>
    </w:lvl>
    <w:lvl w:ilvl="7" w:tplc="5D96B72A" w:tentative="1">
      <w:start w:val="1"/>
      <w:numFmt w:val="lowerLetter"/>
      <w:lvlText w:val="%8."/>
      <w:lvlJc w:val="left"/>
      <w:pPr>
        <w:ind w:left="5760" w:hanging="360"/>
      </w:pPr>
    </w:lvl>
    <w:lvl w:ilvl="8" w:tplc="35289D38" w:tentative="1">
      <w:start w:val="1"/>
      <w:numFmt w:val="lowerRoman"/>
      <w:lvlText w:val="%9."/>
      <w:lvlJc w:val="right"/>
      <w:pPr>
        <w:ind w:left="6480" w:hanging="180"/>
      </w:pPr>
    </w:lvl>
  </w:abstractNum>
  <w:abstractNum w:abstractNumId="20">
    <w:nsid w:val="6AA75F67"/>
    <w:multiLevelType w:val="hybridMultilevel"/>
    <w:tmpl w:val="9AC06152"/>
    <w:lvl w:ilvl="0" w:tplc="0C09000F">
      <w:start w:val="1"/>
      <w:numFmt w:val="decimal"/>
      <w:lvlText w:val="%1."/>
      <w:lvlJc w:val="left"/>
      <w:pPr>
        <w:ind w:left="36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nsid w:val="7B7469A8"/>
    <w:multiLevelType w:val="hybridMultilevel"/>
    <w:tmpl w:val="DFFC68AC"/>
    <w:lvl w:ilvl="0" w:tplc="757A50B4">
      <w:start w:val="1"/>
      <w:numFmt w:val="bullet"/>
      <w:lvlText w:val=""/>
      <w:lvlJc w:val="left"/>
      <w:pPr>
        <w:tabs>
          <w:tab w:val="num" w:pos="577"/>
        </w:tabs>
        <w:ind w:left="577" w:hanging="510"/>
      </w:pPr>
      <w:rPr>
        <w:rFonts w:ascii="Symbol" w:hAnsi="Symbol" w:hint="default"/>
      </w:rPr>
    </w:lvl>
    <w:lvl w:ilvl="1" w:tplc="04090003">
      <w:start w:val="1"/>
      <w:numFmt w:val="bullet"/>
      <w:lvlText w:val=""/>
      <w:lvlJc w:val="left"/>
      <w:pPr>
        <w:tabs>
          <w:tab w:val="num" w:pos="1601"/>
        </w:tabs>
        <w:ind w:left="1601" w:hanging="454"/>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E695E08"/>
    <w:multiLevelType w:val="hybridMultilevel"/>
    <w:tmpl w:val="6CA8C03A"/>
    <w:lvl w:ilvl="0" w:tplc="04C42A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15"/>
  </w:num>
  <w:num w:numId="6">
    <w:abstractNumId w:val="14"/>
  </w:num>
  <w:num w:numId="7">
    <w:abstractNumId w:val="17"/>
  </w:num>
  <w:num w:numId="8">
    <w:abstractNumId w:val="16"/>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11"/>
  </w:num>
  <w:num w:numId="14">
    <w:abstractNumId w:val="7"/>
  </w:num>
  <w:num w:numId="15">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2"/>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20"/>
  </w:num>
  <w:num w:numId="22">
    <w:abstractNumId w:val="9"/>
  </w:num>
  <w:num w:numId="23">
    <w:abstractNumId w:val="2"/>
  </w:num>
  <w:num w:numId="24">
    <w:abstractNumId w:val="0"/>
  </w:num>
  <w:num w:numId="25">
    <w:abstractNumId w:val="12"/>
  </w:num>
  <w:num w:numId="26">
    <w:abstractNumId w:val="18"/>
  </w:num>
  <w:num w:numId="2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F7342"/>
    <w:rsid w:val="0000191E"/>
    <w:rsid w:val="0000247B"/>
    <w:rsid w:val="00002A38"/>
    <w:rsid w:val="000036F6"/>
    <w:rsid w:val="0000469B"/>
    <w:rsid w:val="00006B36"/>
    <w:rsid w:val="00006E82"/>
    <w:rsid w:val="0001051D"/>
    <w:rsid w:val="00010FE6"/>
    <w:rsid w:val="00012DFB"/>
    <w:rsid w:val="0001563F"/>
    <w:rsid w:val="00015EDD"/>
    <w:rsid w:val="000176AA"/>
    <w:rsid w:val="000209EE"/>
    <w:rsid w:val="0002339A"/>
    <w:rsid w:val="000234AE"/>
    <w:rsid w:val="0002455D"/>
    <w:rsid w:val="00032114"/>
    <w:rsid w:val="0003514B"/>
    <w:rsid w:val="000353EB"/>
    <w:rsid w:val="00036AA6"/>
    <w:rsid w:val="0004077E"/>
    <w:rsid w:val="00040C4A"/>
    <w:rsid w:val="000413E3"/>
    <w:rsid w:val="00041615"/>
    <w:rsid w:val="0004265B"/>
    <w:rsid w:val="00044CC2"/>
    <w:rsid w:val="000460B8"/>
    <w:rsid w:val="00046839"/>
    <w:rsid w:val="000474F7"/>
    <w:rsid w:val="00050C5D"/>
    <w:rsid w:val="000529BC"/>
    <w:rsid w:val="00052A80"/>
    <w:rsid w:val="000532B3"/>
    <w:rsid w:val="00053BCB"/>
    <w:rsid w:val="000544DC"/>
    <w:rsid w:val="00054B71"/>
    <w:rsid w:val="00055880"/>
    <w:rsid w:val="00056BF1"/>
    <w:rsid w:val="000573BF"/>
    <w:rsid w:val="0006245A"/>
    <w:rsid w:val="00062715"/>
    <w:rsid w:val="00064122"/>
    <w:rsid w:val="00064B2D"/>
    <w:rsid w:val="00065388"/>
    <w:rsid w:val="00065F1F"/>
    <w:rsid w:val="000661D1"/>
    <w:rsid w:val="000662CA"/>
    <w:rsid w:val="0007086C"/>
    <w:rsid w:val="00070A59"/>
    <w:rsid w:val="00072C58"/>
    <w:rsid w:val="00073E6B"/>
    <w:rsid w:val="00075BC7"/>
    <w:rsid w:val="00076209"/>
    <w:rsid w:val="00077AF7"/>
    <w:rsid w:val="000806B1"/>
    <w:rsid w:val="0008574D"/>
    <w:rsid w:val="0008609E"/>
    <w:rsid w:val="00087B3A"/>
    <w:rsid w:val="00092462"/>
    <w:rsid w:val="00096B05"/>
    <w:rsid w:val="00096BB7"/>
    <w:rsid w:val="00097BE9"/>
    <w:rsid w:val="000A18E8"/>
    <w:rsid w:val="000A2C02"/>
    <w:rsid w:val="000A3DA8"/>
    <w:rsid w:val="000A5D23"/>
    <w:rsid w:val="000A5F8F"/>
    <w:rsid w:val="000A7D9B"/>
    <w:rsid w:val="000B1DC0"/>
    <w:rsid w:val="000B3C11"/>
    <w:rsid w:val="000B3D8B"/>
    <w:rsid w:val="000B745A"/>
    <w:rsid w:val="000B7474"/>
    <w:rsid w:val="000C0774"/>
    <w:rsid w:val="000C25A3"/>
    <w:rsid w:val="000C2FFB"/>
    <w:rsid w:val="000C542E"/>
    <w:rsid w:val="000C5B2B"/>
    <w:rsid w:val="000C6657"/>
    <w:rsid w:val="000D01AE"/>
    <w:rsid w:val="000D138A"/>
    <w:rsid w:val="000D2FED"/>
    <w:rsid w:val="000D4BEF"/>
    <w:rsid w:val="000D5FE7"/>
    <w:rsid w:val="000D6FD4"/>
    <w:rsid w:val="000D720D"/>
    <w:rsid w:val="000E0AE4"/>
    <w:rsid w:val="000E0B38"/>
    <w:rsid w:val="000E3DBC"/>
    <w:rsid w:val="000E52A3"/>
    <w:rsid w:val="000E5D2F"/>
    <w:rsid w:val="000E6EEB"/>
    <w:rsid w:val="000F1451"/>
    <w:rsid w:val="000F18F7"/>
    <w:rsid w:val="000F1C84"/>
    <w:rsid w:val="000F238A"/>
    <w:rsid w:val="000F2B9B"/>
    <w:rsid w:val="000F3608"/>
    <w:rsid w:val="000F383A"/>
    <w:rsid w:val="000F66D9"/>
    <w:rsid w:val="000F7D5B"/>
    <w:rsid w:val="00101537"/>
    <w:rsid w:val="00103841"/>
    <w:rsid w:val="00105984"/>
    <w:rsid w:val="0011067C"/>
    <w:rsid w:val="00110BB8"/>
    <w:rsid w:val="00111748"/>
    <w:rsid w:val="00111D07"/>
    <w:rsid w:val="001129F6"/>
    <w:rsid w:val="001157C8"/>
    <w:rsid w:val="00120D30"/>
    <w:rsid w:val="0012196A"/>
    <w:rsid w:val="001233D0"/>
    <w:rsid w:val="00123DD3"/>
    <w:rsid w:val="00124414"/>
    <w:rsid w:val="00124BC7"/>
    <w:rsid w:val="00126549"/>
    <w:rsid w:val="00126AD4"/>
    <w:rsid w:val="00130154"/>
    <w:rsid w:val="00130438"/>
    <w:rsid w:val="00130866"/>
    <w:rsid w:val="001347F4"/>
    <w:rsid w:val="001356D7"/>
    <w:rsid w:val="00135F0C"/>
    <w:rsid w:val="00136807"/>
    <w:rsid w:val="00136E0E"/>
    <w:rsid w:val="00140F89"/>
    <w:rsid w:val="00143271"/>
    <w:rsid w:val="001452E5"/>
    <w:rsid w:val="00146DD5"/>
    <w:rsid w:val="00147712"/>
    <w:rsid w:val="00147BA9"/>
    <w:rsid w:val="00150002"/>
    <w:rsid w:val="00150610"/>
    <w:rsid w:val="001507E8"/>
    <w:rsid w:val="00151704"/>
    <w:rsid w:val="0015212A"/>
    <w:rsid w:val="00152CC5"/>
    <w:rsid w:val="00153A96"/>
    <w:rsid w:val="00155582"/>
    <w:rsid w:val="001569F6"/>
    <w:rsid w:val="00156EA6"/>
    <w:rsid w:val="0016041E"/>
    <w:rsid w:val="0016315E"/>
    <w:rsid w:val="001642EC"/>
    <w:rsid w:val="00164630"/>
    <w:rsid w:val="0016543C"/>
    <w:rsid w:val="00166342"/>
    <w:rsid w:val="001665F8"/>
    <w:rsid w:val="001673C3"/>
    <w:rsid w:val="00167F85"/>
    <w:rsid w:val="00171602"/>
    <w:rsid w:val="00172B16"/>
    <w:rsid w:val="00175101"/>
    <w:rsid w:val="00175E66"/>
    <w:rsid w:val="0017777C"/>
    <w:rsid w:val="00177EBA"/>
    <w:rsid w:val="001801EF"/>
    <w:rsid w:val="00182222"/>
    <w:rsid w:val="00182C4C"/>
    <w:rsid w:val="001852F8"/>
    <w:rsid w:val="00185A33"/>
    <w:rsid w:val="001869AD"/>
    <w:rsid w:val="00187F1D"/>
    <w:rsid w:val="001907BA"/>
    <w:rsid w:val="00192458"/>
    <w:rsid w:val="00195401"/>
    <w:rsid w:val="00195B79"/>
    <w:rsid w:val="00195E9E"/>
    <w:rsid w:val="001A00A0"/>
    <w:rsid w:val="001A12F7"/>
    <w:rsid w:val="001A1A75"/>
    <w:rsid w:val="001A25D3"/>
    <w:rsid w:val="001A5415"/>
    <w:rsid w:val="001A54F3"/>
    <w:rsid w:val="001A5E36"/>
    <w:rsid w:val="001A7EB2"/>
    <w:rsid w:val="001B1406"/>
    <w:rsid w:val="001B268D"/>
    <w:rsid w:val="001B5287"/>
    <w:rsid w:val="001B60F6"/>
    <w:rsid w:val="001B6284"/>
    <w:rsid w:val="001B6E95"/>
    <w:rsid w:val="001B7EE5"/>
    <w:rsid w:val="001C129E"/>
    <w:rsid w:val="001C245F"/>
    <w:rsid w:val="001C27A3"/>
    <w:rsid w:val="001C2F82"/>
    <w:rsid w:val="001C3680"/>
    <w:rsid w:val="001C48D6"/>
    <w:rsid w:val="001C4A76"/>
    <w:rsid w:val="001C7C08"/>
    <w:rsid w:val="001D1931"/>
    <w:rsid w:val="001D32A3"/>
    <w:rsid w:val="001D4B36"/>
    <w:rsid w:val="001D4E36"/>
    <w:rsid w:val="001E09FA"/>
    <w:rsid w:val="001E0F37"/>
    <w:rsid w:val="001E2891"/>
    <w:rsid w:val="001E3F00"/>
    <w:rsid w:val="001E42C5"/>
    <w:rsid w:val="001E4E19"/>
    <w:rsid w:val="001E6DE0"/>
    <w:rsid w:val="001E77E5"/>
    <w:rsid w:val="001F4D97"/>
    <w:rsid w:val="001F53A6"/>
    <w:rsid w:val="001F5AE5"/>
    <w:rsid w:val="001F6875"/>
    <w:rsid w:val="001F6ABC"/>
    <w:rsid w:val="0020051A"/>
    <w:rsid w:val="00200CA3"/>
    <w:rsid w:val="0020150E"/>
    <w:rsid w:val="00202634"/>
    <w:rsid w:val="00207F59"/>
    <w:rsid w:val="00210FA4"/>
    <w:rsid w:val="00211D6A"/>
    <w:rsid w:val="00214DED"/>
    <w:rsid w:val="00214EAE"/>
    <w:rsid w:val="00221D07"/>
    <w:rsid w:val="00224E4C"/>
    <w:rsid w:val="00224EE9"/>
    <w:rsid w:val="00225E87"/>
    <w:rsid w:val="00227E4A"/>
    <w:rsid w:val="00230A92"/>
    <w:rsid w:val="00230DD4"/>
    <w:rsid w:val="002319D3"/>
    <w:rsid w:val="00232487"/>
    <w:rsid w:val="002325B4"/>
    <w:rsid w:val="00232EFD"/>
    <w:rsid w:val="00233568"/>
    <w:rsid w:val="0023375B"/>
    <w:rsid w:val="00236DBC"/>
    <w:rsid w:val="002371E3"/>
    <w:rsid w:val="00240159"/>
    <w:rsid w:val="0024122C"/>
    <w:rsid w:val="00241FDC"/>
    <w:rsid w:val="00243BCB"/>
    <w:rsid w:val="0024440E"/>
    <w:rsid w:val="0024553A"/>
    <w:rsid w:val="002468B1"/>
    <w:rsid w:val="00246C55"/>
    <w:rsid w:val="00247221"/>
    <w:rsid w:val="0024775F"/>
    <w:rsid w:val="00247D4A"/>
    <w:rsid w:val="002508F7"/>
    <w:rsid w:val="00250ED2"/>
    <w:rsid w:val="00253BFC"/>
    <w:rsid w:val="00254D15"/>
    <w:rsid w:val="0025667C"/>
    <w:rsid w:val="002622B6"/>
    <w:rsid w:val="00266B28"/>
    <w:rsid w:val="00266C35"/>
    <w:rsid w:val="00267159"/>
    <w:rsid w:val="00267163"/>
    <w:rsid w:val="00270BEC"/>
    <w:rsid w:val="00270FED"/>
    <w:rsid w:val="0027123D"/>
    <w:rsid w:val="00271CC4"/>
    <w:rsid w:val="00271E3D"/>
    <w:rsid w:val="0027253D"/>
    <w:rsid w:val="00272ADF"/>
    <w:rsid w:val="0027351E"/>
    <w:rsid w:val="00273CBF"/>
    <w:rsid w:val="00275117"/>
    <w:rsid w:val="002763AE"/>
    <w:rsid w:val="00276EDB"/>
    <w:rsid w:val="00277D36"/>
    <w:rsid w:val="002800B7"/>
    <w:rsid w:val="00280396"/>
    <w:rsid w:val="00280D2F"/>
    <w:rsid w:val="00285B07"/>
    <w:rsid w:val="00286874"/>
    <w:rsid w:val="002872CD"/>
    <w:rsid w:val="00290811"/>
    <w:rsid w:val="002945F1"/>
    <w:rsid w:val="00296560"/>
    <w:rsid w:val="002A0194"/>
    <w:rsid w:val="002A1664"/>
    <w:rsid w:val="002A1714"/>
    <w:rsid w:val="002A3DD2"/>
    <w:rsid w:val="002A4C69"/>
    <w:rsid w:val="002A4F86"/>
    <w:rsid w:val="002A5718"/>
    <w:rsid w:val="002B03EE"/>
    <w:rsid w:val="002B1977"/>
    <w:rsid w:val="002B2DA2"/>
    <w:rsid w:val="002B3377"/>
    <w:rsid w:val="002B3A3C"/>
    <w:rsid w:val="002B3CC5"/>
    <w:rsid w:val="002B6D6D"/>
    <w:rsid w:val="002B6E62"/>
    <w:rsid w:val="002C027A"/>
    <w:rsid w:val="002C15B2"/>
    <w:rsid w:val="002C1A3C"/>
    <w:rsid w:val="002C4CB5"/>
    <w:rsid w:val="002C6C76"/>
    <w:rsid w:val="002C6FE8"/>
    <w:rsid w:val="002D4944"/>
    <w:rsid w:val="002D668E"/>
    <w:rsid w:val="002E197D"/>
    <w:rsid w:val="002E2D97"/>
    <w:rsid w:val="002E6208"/>
    <w:rsid w:val="002F032F"/>
    <w:rsid w:val="002F294C"/>
    <w:rsid w:val="002F4046"/>
    <w:rsid w:val="002F5993"/>
    <w:rsid w:val="002F6488"/>
    <w:rsid w:val="002F65B2"/>
    <w:rsid w:val="002F67BB"/>
    <w:rsid w:val="002F7A2F"/>
    <w:rsid w:val="002F7BB7"/>
    <w:rsid w:val="0030065F"/>
    <w:rsid w:val="00302FED"/>
    <w:rsid w:val="0030688F"/>
    <w:rsid w:val="00310684"/>
    <w:rsid w:val="00311936"/>
    <w:rsid w:val="00314FB6"/>
    <w:rsid w:val="00316B9F"/>
    <w:rsid w:val="00317729"/>
    <w:rsid w:val="00317921"/>
    <w:rsid w:val="00320840"/>
    <w:rsid w:val="003213F9"/>
    <w:rsid w:val="00323694"/>
    <w:rsid w:val="00323DBF"/>
    <w:rsid w:val="00326078"/>
    <w:rsid w:val="003260A8"/>
    <w:rsid w:val="00326325"/>
    <w:rsid w:val="00326FC4"/>
    <w:rsid w:val="00330611"/>
    <w:rsid w:val="00332462"/>
    <w:rsid w:val="00332B12"/>
    <w:rsid w:val="00333024"/>
    <w:rsid w:val="00334B75"/>
    <w:rsid w:val="003369B1"/>
    <w:rsid w:val="00336F94"/>
    <w:rsid w:val="003371B4"/>
    <w:rsid w:val="00340354"/>
    <w:rsid w:val="003413C0"/>
    <w:rsid w:val="003440F0"/>
    <w:rsid w:val="00344BC0"/>
    <w:rsid w:val="00351150"/>
    <w:rsid w:val="00353473"/>
    <w:rsid w:val="0035397F"/>
    <w:rsid w:val="00357A0F"/>
    <w:rsid w:val="00357F1F"/>
    <w:rsid w:val="00365F6D"/>
    <w:rsid w:val="00370DC4"/>
    <w:rsid w:val="00371B29"/>
    <w:rsid w:val="00374F8C"/>
    <w:rsid w:val="0037516F"/>
    <w:rsid w:val="003753EE"/>
    <w:rsid w:val="00375FD1"/>
    <w:rsid w:val="00376464"/>
    <w:rsid w:val="00376883"/>
    <w:rsid w:val="003771A5"/>
    <w:rsid w:val="00377E86"/>
    <w:rsid w:val="003804F4"/>
    <w:rsid w:val="00385381"/>
    <w:rsid w:val="00385AFD"/>
    <w:rsid w:val="00386A39"/>
    <w:rsid w:val="00386F83"/>
    <w:rsid w:val="00390D23"/>
    <w:rsid w:val="00391769"/>
    <w:rsid w:val="00393273"/>
    <w:rsid w:val="003950EC"/>
    <w:rsid w:val="003953E1"/>
    <w:rsid w:val="0039582B"/>
    <w:rsid w:val="003A1F3A"/>
    <w:rsid w:val="003A36DD"/>
    <w:rsid w:val="003A4091"/>
    <w:rsid w:val="003A4C62"/>
    <w:rsid w:val="003A68BE"/>
    <w:rsid w:val="003A6C13"/>
    <w:rsid w:val="003A6C7A"/>
    <w:rsid w:val="003A6EF4"/>
    <w:rsid w:val="003B0FEA"/>
    <w:rsid w:val="003B45DA"/>
    <w:rsid w:val="003B53CD"/>
    <w:rsid w:val="003B5608"/>
    <w:rsid w:val="003B76A7"/>
    <w:rsid w:val="003C1587"/>
    <w:rsid w:val="003C450E"/>
    <w:rsid w:val="003C4969"/>
    <w:rsid w:val="003C4ED8"/>
    <w:rsid w:val="003C6FDB"/>
    <w:rsid w:val="003D0BD4"/>
    <w:rsid w:val="003D2AB9"/>
    <w:rsid w:val="003D3E07"/>
    <w:rsid w:val="003D512B"/>
    <w:rsid w:val="003D63BB"/>
    <w:rsid w:val="003E202A"/>
    <w:rsid w:val="003E41D5"/>
    <w:rsid w:val="003E46BA"/>
    <w:rsid w:val="003E5C61"/>
    <w:rsid w:val="003E6948"/>
    <w:rsid w:val="003E7969"/>
    <w:rsid w:val="003E7ACD"/>
    <w:rsid w:val="003F00FF"/>
    <w:rsid w:val="003F28EA"/>
    <w:rsid w:val="003F33ED"/>
    <w:rsid w:val="003F481D"/>
    <w:rsid w:val="003F496F"/>
    <w:rsid w:val="00401440"/>
    <w:rsid w:val="0040558C"/>
    <w:rsid w:val="00405B1A"/>
    <w:rsid w:val="00410926"/>
    <w:rsid w:val="00414650"/>
    <w:rsid w:val="004173FF"/>
    <w:rsid w:val="00417B25"/>
    <w:rsid w:val="0042007A"/>
    <w:rsid w:val="00422F94"/>
    <w:rsid w:val="00426955"/>
    <w:rsid w:val="00426C4D"/>
    <w:rsid w:val="004277CA"/>
    <w:rsid w:val="00430335"/>
    <w:rsid w:val="004347D3"/>
    <w:rsid w:val="00434DCC"/>
    <w:rsid w:val="00435C76"/>
    <w:rsid w:val="004370BB"/>
    <w:rsid w:val="00437938"/>
    <w:rsid w:val="00440BA5"/>
    <w:rsid w:val="00441FF4"/>
    <w:rsid w:val="00443104"/>
    <w:rsid w:val="0044322F"/>
    <w:rsid w:val="00443F29"/>
    <w:rsid w:val="00443FE1"/>
    <w:rsid w:val="004446C1"/>
    <w:rsid w:val="004450D8"/>
    <w:rsid w:val="0044693D"/>
    <w:rsid w:val="00451791"/>
    <w:rsid w:val="00451C55"/>
    <w:rsid w:val="0045483E"/>
    <w:rsid w:val="00455A42"/>
    <w:rsid w:val="00457BA9"/>
    <w:rsid w:val="004603B5"/>
    <w:rsid w:val="00464643"/>
    <w:rsid w:val="00464EA2"/>
    <w:rsid w:val="00465E3B"/>
    <w:rsid w:val="004710F4"/>
    <w:rsid w:val="004716CF"/>
    <w:rsid w:val="0047223F"/>
    <w:rsid w:val="004735D8"/>
    <w:rsid w:val="00477818"/>
    <w:rsid w:val="00477B0F"/>
    <w:rsid w:val="00480E91"/>
    <w:rsid w:val="00481AD2"/>
    <w:rsid w:val="00486601"/>
    <w:rsid w:val="00486793"/>
    <w:rsid w:val="00491153"/>
    <w:rsid w:val="00491856"/>
    <w:rsid w:val="0049422C"/>
    <w:rsid w:val="0049502B"/>
    <w:rsid w:val="00495B77"/>
    <w:rsid w:val="00495C1B"/>
    <w:rsid w:val="004966E8"/>
    <w:rsid w:val="004976F8"/>
    <w:rsid w:val="004A0B82"/>
    <w:rsid w:val="004A0EB0"/>
    <w:rsid w:val="004A15D4"/>
    <w:rsid w:val="004A4EA3"/>
    <w:rsid w:val="004A4F1D"/>
    <w:rsid w:val="004A54F5"/>
    <w:rsid w:val="004A6BEF"/>
    <w:rsid w:val="004A6D84"/>
    <w:rsid w:val="004A7621"/>
    <w:rsid w:val="004A7966"/>
    <w:rsid w:val="004B2B1C"/>
    <w:rsid w:val="004B5AD7"/>
    <w:rsid w:val="004B74D1"/>
    <w:rsid w:val="004B7678"/>
    <w:rsid w:val="004C06F5"/>
    <w:rsid w:val="004C4651"/>
    <w:rsid w:val="004C701D"/>
    <w:rsid w:val="004D472A"/>
    <w:rsid w:val="004D6B31"/>
    <w:rsid w:val="004E3885"/>
    <w:rsid w:val="004E39A0"/>
    <w:rsid w:val="004E4424"/>
    <w:rsid w:val="004E58E7"/>
    <w:rsid w:val="004E58FD"/>
    <w:rsid w:val="004E737E"/>
    <w:rsid w:val="004F0D8E"/>
    <w:rsid w:val="004F3834"/>
    <w:rsid w:val="004F4F98"/>
    <w:rsid w:val="004F537A"/>
    <w:rsid w:val="004F6F02"/>
    <w:rsid w:val="00500B50"/>
    <w:rsid w:val="005012E9"/>
    <w:rsid w:val="00503CC3"/>
    <w:rsid w:val="0050446B"/>
    <w:rsid w:val="00506C36"/>
    <w:rsid w:val="0051168F"/>
    <w:rsid w:val="00516231"/>
    <w:rsid w:val="005170DE"/>
    <w:rsid w:val="00517B58"/>
    <w:rsid w:val="005207D8"/>
    <w:rsid w:val="005227DC"/>
    <w:rsid w:val="005235E9"/>
    <w:rsid w:val="00523653"/>
    <w:rsid w:val="0052513E"/>
    <w:rsid w:val="00526D79"/>
    <w:rsid w:val="00530262"/>
    <w:rsid w:val="00530B6C"/>
    <w:rsid w:val="00531B75"/>
    <w:rsid w:val="005331CF"/>
    <w:rsid w:val="005353E7"/>
    <w:rsid w:val="00536188"/>
    <w:rsid w:val="005416B7"/>
    <w:rsid w:val="00542F22"/>
    <w:rsid w:val="0054596A"/>
    <w:rsid w:val="00545EAA"/>
    <w:rsid w:val="00550644"/>
    <w:rsid w:val="005527E7"/>
    <w:rsid w:val="0055593E"/>
    <w:rsid w:val="00556442"/>
    <w:rsid w:val="00557A5E"/>
    <w:rsid w:val="005605DC"/>
    <w:rsid w:val="00560B39"/>
    <w:rsid w:val="00560E95"/>
    <w:rsid w:val="00561437"/>
    <w:rsid w:val="00561AD5"/>
    <w:rsid w:val="00563C32"/>
    <w:rsid w:val="005648B7"/>
    <w:rsid w:val="005662E0"/>
    <w:rsid w:val="00570B24"/>
    <w:rsid w:val="00577137"/>
    <w:rsid w:val="00580C00"/>
    <w:rsid w:val="00581CCE"/>
    <w:rsid w:val="00581E0F"/>
    <w:rsid w:val="00587309"/>
    <w:rsid w:val="005906D0"/>
    <w:rsid w:val="00590785"/>
    <w:rsid w:val="00596761"/>
    <w:rsid w:val="00596D09"/>
    <w:rsid w:val="0059730B"/>
    <w:rsid w:val="005A133B"/>
    <w:rsid w:val="005A2383"/>
    <w:rsid w:val="005B284D"/>
    <w:rsid w:val="005B2893"/>
    <w:rsid w:val="005B5488"/>
    <w:rsid w:val="005B5C4C"/>
    <w:rsid w:val="005B60D7"/>
    <w:rsid w:val="005B6139"/>
    <w:rsid w:val="005B6AF4"/>
    <w:rsid w:val="005C47CA"/>
    <w:rsid w:val="005C7B13"/>
    <w:rsid w:val="005D2A24"/>
    <w:rsid w:val="005D407F"/>
    <w:rsid w:val="005D4455"/>
    <w:rsid w:val="005D51A9"/>
    <w:rsid w:val="005D72E1"/>
    <w:rsid w:val="005E00BF"/>
    <w:rsid w:val="005E1781"/>
    <w:rsid w:val="005E1D6C"/>
    <w:rsid w:val="005E20DC"/>
    <w:rsid w:val="005E587E"/>
    <w:rsid w:val="005E64B0"/>
    <w:rsid w:val="005F400E"/>
    <w:rsid w:val="005F46AE"/>
    <w:rsid w:val="005F7342"/>
    <w:rsid w:val="005F799C"/>
    <w:rsid w:val="0060034E"/>
    <w:rsid w:val="00602E73"/>
    <w:rsid w:val="00603FA8"/>
    <w:rsid w:val="0060559B"/>
    <w:rsid w:val="00606087"/>
    <w:rsid w:val="00607C51"/>
    <w:rsid w:val="00610A3C"/>
    <w:rsid w:val="00611B92"/>
    <w:rsid w:val="00614047"/>
    <w:rsid w:val="00616AB1"/>
    <w:rsid w:val="00616E1F"/>
    <w:rsid w:val="0062159A"/>
    <w:rsid w:val="006217BF"/>
    <w:rsid w:val="00621F8F"/>
    <w:rsid w:val="00622BBC"/>
    <w:rsid w:val="00622C7B"/>
    <w:rsid w:val="00623451"/>
    <w:rsid w:val="00624400"/>
    <w:rsid w:val="0062563F"/>
    <w:rsid w:val="006258AD"/>
    <w:rsid w:val="00627F48"/>
    <w:rsid w:val="00630FDA"/>
    <w:rsid w:val="006318E2"/>
    <w:rsid w:val="006339E3"/>
    <w:rsid w:val="00635ACF"/>
    <w:rsid w:val="00636A0F"/>
    <w:rsid w:val="00636E17"/>
    <w:rsid w:val="00640D86"/>
    <w:rsid w:val="00641B36"/>
    <w:rsid w:val="00641F7B"/>
    <w:rsid w:val="00642872"/>
    <w:rsid w:val="00644442"/>
    <w:rsid w:val="00650014"/>
    <w:rsid w:val="006502E2"/>
    <w:rsid w:val="006510DC"/>
    <w:rsid w:val="006558E1"/>
    <w:rsid w:val="00655989"/>
    <w:rsid w:val="00656E1C"/>
    <w:rsid w:val="00660AD2"/>
    <w:rsid w:val="0066140E"/>
    <w:rsid w:val="00662CF1"/>
    <w:rsid w:val="00663956"/>
    <w:rsid w:val="006640D5"/>
    <w:rsid w:val="006652A2"/>
    <w:rsid w:val="006671A8"/>
    <w:rsid w:val="006678FE"/>
    <w:rsid w:val="00667CAD"/>
    <w:rsid w:val="00672E35"/>
    <w:rsid w:val="00673AE1"/>
    <w:rsid w:val="00676B30"/>
    <w:rsid w:val="00676B8E"/>
    <w:rsid w:val="00681B5F"/>
    <w:rsid w:val="006863AE"/>
    <w:rsid w:val="0068721E"/>
    <w:rsid w:val="00687EDE"/>
    <w:rsid w:val="00687F1D"/>
    <w:rsid w:val="00687F5F"/>
    <w:rsid w:val="00690228"/>
    <w:rsid w:val="006910C5"/>
    <w:rsid w:val="006914EC"/>
    <w:rsid w:val="00695D57"/>
    <w:rsid w:val="00697580"/>
    <w:rsid w:val="00697CFA"/>
    <w:rsid w:val="006A084E"/>
    <w:rsid w:val="006A37B4"/>
    <w:rsid w:val="006A48A7"/>
    <w:rsid w:val="006A5251"/>
    <w:rsid w:val="006A733F"/>
    <w:rsid w:val="006A745C"/>
    <w:rsid w:val="006B3AAC"/>
    <w:rsid w:val="006B72CB"/>
    <w:rsid w:val="006C30B7"/>
    <w:rsid w:val="006C4CC0"/>
    <w:rsid w:val="006C5EE7"/>
    <w:rsid w:val="006C6013"/>
    <w:rsid w:val="006C6224"/>
    <w:rsid w:val="006C74A6"/>
    <w:rsid w:val="006D0785"/>
    <w:rsid w:val="006D0A49"/>
    <w:rsid w:val="006D23CC"/>
    <w:rsid w:val="006D5A9C"/>
    <w:rsid w:val="006D7874"/>
    <w:rsid w:val="006E00FC"/>
    <w:rsid w:val="006E2A7E"/>
    <w:rsid w:val="006E350B"/>
    <w:rsid w:val="006E4666"/>
    <w:rsid w:val="006E4F94"/>
    <w:rsid w:val="006F10F0"/>
    <w:rsid w:val="006F2FA4"/>
    <w:rsid w:val="006F3BE4"/>
    <w:rsid w:val="006F4A82"/>
    <w:rsid w:val="006F69C9"/>
    <w:rsid w:val="00700665"/>
    <w:rsid w:val="007037E2"/>
    <w:rsid w:val="0070413E"/>
    <w:rsid w:val="007103C5"/>
    <w:rsid w:val="007119C8"/>
    <w:rsid w:val="007135A5"/>
    <w:rsid w:val="00713669"/>
    <w:rsid w:val="00714F39"/>
    <w:rsid w:val="00715FAD"/>
    <w:rsid w:val="0071687A"/>
    <w:rsid w:val="00721E4C"/>
    <w:rsid w:val="007223FF"/>
    <w:rsid w:val="0072277D"/>
    <w:rsid w:val="00722868"/>
    <w:rsid w:val="00724FA4"/>
    <w:rsid w:val="0072538C"/>
    <w:rsid w:val="007260AC"/>
    <w:rsid w:val="00726A1A"/>
    <w:rsid w:val="00730800"/>
    <w:rsid w:val="00730C84"/>
    <w:rsid w:val="00731884"/>
    <w:rsid w:val="007318BA"/>
    <w:rsid w:val="00733C26"/>
    <w:rsid w:val="0073505F"/>
    <w:rsid w:val="007362C7"/>
    <w:rsid w:val="007404E2"/>
    <w:rsid w:val="007418FD"/>
    <w:rsid w:val="007420D8"/>
    <w:rsid w:val="0074344B"/>
    <w:rsid w:val="00744860"/>
    <w:rsid w:val="007476BD"/>
    <w:rsid w:val="00747F7E"/>
    <w:rsid w:val="00751A44"/>
    <w:rsid w:val="00752F7F"/>
    <w:rsid w:val="00753016"/>
    <w:rsid w:val="00753361"/>
    <w:rsid w:val="00754668"/>
    <w:rsid w:val="00756F16"/>
    <w:rsid w:val="00757074"/>
    <w:rsid w:val="007602AA"/>
    <w:rsid w:val="007626FF"/>
    <w:rsid w:val="00764660"/>
    <w:rsid w:val="0076621B"/>
    <w:rsid w:val="007673BB"/>
    <w:rsid w:val="0077283D"/>
    <w:rsid w:val="00773893"/>
    <w:rsid w:val="00774B15"/>
    <w:rsid w:val="007763DF"/>
    <w:rsid w:val="0077779E"/>
    <w:rsid w:val="00780792"/>
    <w:rsid w:val="00783D0B"/>
    <w:rsid w:val="0078710B"/>
    <w:rsid w:val="00790050"/>
    <w:rsid w:val="0079249A"/>
    <w:rsid w:val="00792ABE"/>
    <w:rsid w:val="00792AD2"/>
    <w:rsid w:val="00793E9F"/>
    <w:rsid w:val="007958A6"/>
    <w:rsid w:val="00796388"/>
    <w:rsid w:val="0079742B"/>
    <w:rsid w:val="007A22E6"/>
    <w:rsid w:val="007A2DC5"/>
    <w:rsid w:val="007A3CD4"/>
    <w:rsid w:val="007A44B4"/>
    <w:rsid w:val="007A541C"/>
    <w:rsid w:val="007A56BC"/>
    <w:rsid w:val="007A74C3"/>
    <w:rsid w:val="007A7D3D"/>
    <w:rsid w:val="007B067C"/>
    <w:rsid w:val="007B225D"/>
    <w:rsid w:val="007B437E"/>
    <w:rsid w:val="007B5204"/>
    <w:rsid w:val="007B58BE"/>
    <w:rsid w:val="007C1C64"/>
    <w:rsid w:val="007C39A1"/>
    <w:rsid w:val="007C3ABC"/>
    <w:rsid w:val="007C3D4E"/>
    <w:rsid w:val="007C41BF"/>
    <w:rsid w:val="007C6C4E"/>
    <w:rsid w:val="007C7067"/>
    <w:rsid w:val="007D02DE"/>
    <w:rsid w:val="007D24A3"/>
    <w:rsid w:val="007D29E0"/>
    <w:rsid w:val="007D442C"/>
    <w:rsid w:val="007D52A9"/>
    <w:rsid w:val="007E0A45"/>
    <w:rsid w:val="007E1A6F"/>
    <w:rsid w:val="007E48BC"/>
    <w:rsid w:val="007E4A3D"/>
    <w:rsid w:val="007E4D74"/>
    <w:rsid w:val="007E558D"/>
    <w:rsid w:val="007E634E"/>
    <w:rsid w:val="007E79F7"/>
    <w:rsid w:val="007F0A11"/>
    <w:rsid w:val="007F3630"/>
    <w:rsid w:val="007F4A70"/>
    <w:rsid w:val="007F6434"/>
    <w:rsid w:val="00800785"/>
    <w:rsid w:val="00800897"/>
    <w:rsid w:val="00801054"/>
    <w:rsid w:val="00802467"/>
    <w:rsid w:val="00804620"/>
    <w:rsid w:val="00804922"/>
    <w:rsid w:val="008064C6"/>
    <w:rsid w:val="00806A5F"/>
    <w:rsid w:val="00807559"/>
    <w:rsid w:val="00812507"/>
    <w:rsid w:val="008128B5"/>
    <w:rsid w:val="008128C9"/>
    <w:rsid w:val="00813789"/>
    <w:rsid w:val="00821D20"/>
    <w:rsid w:val="008267BC"/>
    <w:rsid w:val="0082744F"/>
    <w:rsid w:val="008301F0"/>
    <w:rsid w:val="008325B7"/>
    <w:rsid w:val="00833D2C"/>
    <w:rsid w:val="0083533D"/>
    <w:rsid w:val="00835744"/>
    <w:rsid w:val="00836146"/>
    <w:rsid w:val="00837121"/>
    <w:rsid w:val="008378A5"/>
    <w:rsid w:val="0084118D"/>
    <w:rsid w:val="00843C08"/>
    <w:rsid w:val="008450BC"/>
    <w:rsid w:val="00845CFC"/>
    <w:rsid w:val="00846211"/>
    <w:rsid w:val="00846B1F"/>
    <w:rsid w:val="00846EB0"/>
    <w:rsid w:val="0084769C"/>
    <w:rsid w:val="00847D4A"/>
    <w:rsid w:val="008528CE"/>
    <w:rsid w:val="00853D30"/>
    <w:rsid w:val="0085437D"/>
    <w:rsid w:val="00854F33"/>
    <w:rsid w:val="00857208"/>
    <w:rsid w:val="00862024"/>
    <w:rsid w:val="0086575E"/>
    <w:rsid w:val="00865E36"/>
    <w:rsid w:val="00870214"/>
    <w:rsid w:val="008713A5"/>
    <w:rsid w:val="00872489"/>
    <w:rsid w:val="00872FDB"/>
    <w:rsid w:val="00873426"/>
    <w:rsid w:val="00874F06"/>
    <w:rsid w:val="008765DF"/>
    <w:rsid w:val="008767C8"/>
    <w:rsid w:val="00877611"/>
    <w:rsid w:val="00886737"/>
    <w:rsid w:val="008869EE"/>
    <w:rsid w:val="008909A6"/>
    <w:rsid w:val="008937EA"/>
    <w:rsid w:val="0089656D"/>
    <w:rsid w:val="008A4038"/>
    <w:rsid w:val="008A4BCA"/>
    <w:rsid w:val="008A596C"/>
    <w:rsid w:val="008A63D0"/>
    <w:rsid w:val="008A7ADF"/>
    <w:rsid w:val="008B1CFF"/>
    <w:rsid w:val="008B51A8"/>
    <w:rsid w:val="008B5317"/>
    <w:rsid w:val="008B531D"/>
    <w:rsid w:val="008C2B6B"/>
    <w:rsid w:val="008C4388"/>
    <w:rsid w:val="008D025D"/>
    <w:rsid w:val="008D0544"/>
    <w:rsid w:val="008D06C6"/>
    <w:rsid w:val="008D4E91"/>
    <w:rsid w:val="008D6973"/>
    <w:rsid w:val="008E1557"/>
    <w:rsid w:val="008E6250"/>
    <w:rsid w:val="008F19E1"/>
    <w:rsid w:val="008F24DB"/>
    <w:rsid w:val="008F26C3"/>
    <w:rsid w:val="008F2F4D"/>
    <w:rsid w:val="008F3B2C"/>
    <w:rsid w:val="008F5D3E"/>
    <w:rsid w:val="00900A92"/>
    <w:rsid w:val="009057D7"/>
    <w:rsid w:val="0091787D"/>
    <w:rsid w:val="00920249"/>
    <w:rsid w:val="00920DEC"/>
    <w:rsid w:val="0092148C"/>
    <w:rsid w:val="009216AB"/>
    <w:rsid w:val="00921B3B"/>
    <w:rsid w:val="00922AE7"/>
    <w:rsid w:val="009236F6"/>
    <w:rsid w:val="00925302"/>
    <w:rsid w:val="009260E1"/>
    <w:rsid w:val="00926776"/>
    <w:rsid w:val="00931BC1"/>
    <w:rsid w:val="00931D08"/>
    <w:rsid w:val="00931D2A"/>
    <w:rsid w:val="009323BC"/>
    <w:rsid w:val="00932B05"/>
    <w:rsid w:val="009351C6"/>
    <w:rsid w:val="00935337"/>
    <w:rsid w:val="00935757"/>
    <w:rsid w:val="0094103B"/>
    <w:rsid w:val="00945D1F"/>
    <w:rsid w:val="00945F6C"/>
    <w:rsid w:val="00946A0B"/>
    <w:rsid w:val="009473C5"/>
    <w:rsid w:val="00947E29"/>
    <w:rsid w:val="0095001E"/>
    <w:rsid w:val="00952EE3"/>
    <w:rsid w:val="00955B50"/>
    <w:rsid w:val="009573DE"/>
    <w:rsid w:val="00957C6B"/>
    <w:rsid w:val="00961C39"/>
    <w:rsid w:val="00961CBA"/>
    <w:rsid w:val="00961D28"/>
    <w:rsid w:val="00965C44"/>
    <w:rsid w:val="00965EF9"/>
    <w:rsid w:val="00966286"/>
    <w:rsid w:val="00970838"/>
    <w:rsid w:val="00971E2E"/>
    <w:rsid w:val="009722A6"/>
    <w:rsid w:val="00972D06"/>
    <w:rsid w:val="00974B44"/>
    <w:rsid w:val="00974BA3"/>
    <w:rsid w:val="00976667"/>
    <w:rsid w:val="00976A3F"/>
    <w:rsid w:val="00977FD0"/>
    <w:rsid w:val="00980EA0"/>
    <w:rsid w:val="009815FD"/>
    <w:rsid w:val="00981890"/>
    <w:rsid w:val="00987C3C"/>
    <w:rsid w:val="00990331"/>
    <w:rsid w:val="00990656"/>
    <w:rsid w:val="0099225F"/>
    <w:rsid w:val="00993867"/>
    <w:rsid w:val="00993923"/>
    <w:rsid w:val="009968ED"/>
    <w:rsid w:val="00996C6F"/>
    <w:rsid w:val="009A148F"/>
    <w:rsid w:val="009A30FD"/>
    <w:rsid w:val="009A391C"/>
    <w:rsid w:val="009A5D52"/>
    <w:rsid w:val="009B1547"/>
    <w:rsid w:val="009B5FC0"/>
    <w:rsid w:val="009B68A3"/>
    <w:rsid w:val="009B7472"/>
    <w:rsid w:val="009C0063"/>
    <w:rsid w:val="009C067C"/>
    <w:rsid w:val="009C1B0D"/>
    <w:rsid w:val="009C1E5B"/>
    <w:rsid w:val="009C3E3C"/>
    <w:rsid w:val="009C4170"/>
    <w:rsid w:val="009C6954"/>
    <w:rsid w:val="009C6F9B"/>
    <w:rsid w:val="009D0497"/>
    <w:rsid w:val="009D3F70"/>
    <w:rsid w:val="009D4A3B"/>
    <w:rsid w:val="009D4D9D"/>
    <w:rsid w:val="009D50A7"/>
    <w:rsid w:val="009D6825"/>
    <w:rsid w:val="009E0FCD"/>
    <w:rsid w:val="009E1B62"/>
    <w:rsid w:val="009E27E5"/>
    <w:rsid w:val="009E408D"/>
    <w:rsid w:val="009E668A"/>
    <w:rsid w:val="009E6D91"/>
    <w:rsid w:val="009E6ECF"/>
    <w:rsid w:val="009F029C"/>
    <w:rsid w:val="009F45E5"/>
    <w:rsid w:val="009F6D95"/>
    <w:rsid w:val="009F7065"/>
    <w:rsid w:val="009F7F73"/>
    <w:rsid w:val="00A015BE"/>
    <w:rsid w:val="00A03500"/>
    <w:rsid w:val="00A03505"/>
    <w:rsid w:val="00A03E32"/>
    <w:rsid w:val="00A0491A"/>
    <w:rsid w:val="00A0748B"/>
    <w:rsid w:val="00A07EA4"/>
    <w:rsid w:val="00A10306"/>
    <w:rsid w:val="00A10CCC"/>
    <w:rsid w:val="00A11818"/>
    <w:rsid w:val="00A1330E"/>
    <w:rsid w:val="00A13756"/>
    <w:rsid w:val="00A142BD"/>
    <w:rsid w:val="00A14C29"/>
    <w:rsid w:val="00A1743F"/>
    <w:rsid w:val="00A2054A"/>
    <w:rsid w:val="00A2117B"/>
    <w:rsid w:val="00A24790"/>
    <w:rsid w:val="00A252AA"/>
    <w:rsid w:val="00A25433"/>
    <w:rsid w:val="00A25AA4"/>
    <w:rsid w:val="00A32FB9"/>
    <w:rsid w:val="00A33A0C"/>
    <w:rsid w:val="00A4057E"/>
    <w:rsid w:val="00A446D0"/>
    <w:rsid w:val="00A44F6A"/>
    <w:rsid w:val="00A44F96"/>
    <w:rsid w:val="00A45619"/>
    <w:rsid w:val="00A466EA"/>
    <w:rsid w:val="00A468D8"/>
    <w:rsid w:val="00A47C3E"/>
    <w:rsid w:val="00A47F61"/>
    <w:rsid w:val="00A50C97"/>
    <w:rsid w:val="00A52B3A"/>
    <w:rsid w:val="00A53C3F"/>
    <w:rsid w:val="00A53EA2"/>
    <w:rsid w:val="00A542A1"/>
    <w:rsid w:val="00A543E9"/>
    <w:rsid w:val="00A54EE3"/>
    <w:rsid w:val="00A56DC7"/>
    <w:rsid w:val="00A606FA"/>
    <w:rsid w:val="00A60893"/>
    <w:rsid w:val="00A60C13"/>
    <w:rsid w:val="00A61B89"/>
    <w:rsid w:val="00A61EC3"/>
    <w:rsid w:val="00A62034"/>
    <w:rsid w:val="00A6483B"/>
    <w:rsid w:val="00A67077"/>
    <w:rsid w:val="00A67B76"/>
    <w:rsid w:val="00A67BC5"/>
    <w:rsid w:val="00A67CB9"/>
    <w:rsid w:val="00A73470"/>
    <w:rsid w:val="00A74921"/>
    <w:rsid w:val="00A74FD1"/>
    <w:rsid w:val="00A821EF"/>
    <w:rsid w:val="00A848BB"/>
    <w:rsid w:val="00A84A58"/>
    <w:rsid w:val="00A84EE0"/>
    <w:rsid w:val="00A84F48"/>
    <w:rsid w:val="00A852F4"/>
    <w:rsid w:val="00A86849"/>
    <w:rsid w:val="00A86E9A"/>
    <w:rsid w:val="00A86F7A"/>
    <w:rsid w:val="00A90115"/>
    <w:rsid w:val="00A922C3"/>
    <w:rsid w:val="00A967D9"/>
    <w:rsid w:val="00A96ED7"/>
    <w:rsid w:val="00AA4544"/>
    <w:rsid w:val="00AA5932"/>
    <w:rsid w:val="00AA65D3"/>
    <w:rsid w:val="00AB06DB"/>
    <w:rsid w:val="00AB0F54"/>
    <w:rsid w:val="00AB178C"/>
    <w:rsid w:val="00AB21D0"/>
    <w:rsid w:val="00AB2755"/>
    <w:rsid w:val="00AB3580"/>
    <w:rsid w:val="00AB55B8"/>
    <w:rsid w:val="00AB60DA"/>
    <w:rsid w:val="00AB6B1D"/>
    <w:rsid w:val="00AB7854"/>
    <w:rsid w:val="00AC1ACC"/>
    <w:rsid w:val="00AC23A1"/>
    <w:rsid w:val="00AC383F"/>
    <w:rsid w:val="00AC69AA"/>
    <w:rsid w:val="00AC6F0B"/>
    <w:rsid w:val="00AC7DD3"/>
    <w:rsid w:val="00AD244E"/>
    <w:rsid w:val="00AD248E"/>
    <w:rsid w:val="00AD2DE9"/>
    <w:rsid w:val="00AD64C9"/>
    <w:rsid w:val="00AD6E33"/>
    <w:rsid w:val="00AE0394"/>
    <w:rsid w:val="00AE13A4"/>
    <w:rsid w:val="00AE2BAF"/>
    <w:rsid w:val="00AE32EC"/>
    <w:rsid w:val="00AE3D6C"/>
    <w:rsid w:val="00AE4456"/>
    <w:rsid w:val="00AE4D99"/>
    <w:rsid w:val="00AE652E"/>
    <w:rsid w:val="00AE67AD"/>
    <w:rsid w:val="00AE6BF9"/>
    <w:rsid w:val="00AF15A8"/>
    <w:rsid w:val="00AF1AEC"/>
    <w:rsid w:val="00AF1C3C"/>
    <w:rsid w:val="00AF3D37"/>
    <w:rsid w:val="00AF3F30"/>
    <w:rsid w:val="00AF4217"/>
    <w:rsid w:val="00AF5198"/>
    <w:rsid w:val="00B00E7F"/>
    <w:rsid w:val="00B02E59"/>
    <w:rsid w:val="00B04889"/>
    <w:rsid w:val="00B04B24"/>
    <w:rsid w:val="00B06074"/>
    <w:rsid w:val="00B07FBD"/>
    <w:rsid w:val="00B1196D"/>
    <w:rsid w:val="00B129FE"/>
    <w:rsid w:val="00B12B38"/>
    <w:rsid w:val="00B1472B"/>
    <w:rsid w:val="00B15330"/>
    <w:rsid w:val="00B16F30"/>
    <w:rsid w:val="00B17440"/>
    <w:rsid w:val="00B20ECA"/>
    <w:rsid w:val="00B218E7"/>
    <w:rsid w:val="00B21962"/>
    <w:rsid w:val="00B21DCC"/>
    <w:rsid w:val="00B24B6C"/>
    <w:rsid w:val="00B25169"/>
    <w:rsid w:val="00B265C1"/>
    <w:rsid w:val="00B30C30"/>
    <w:rsid w:val="00B325A1"/>
    <w:rsid w:val="00B333BB"/>
    <w:rsid w:val="00B33B63"/>
    <w:rsid w:val="00B33CF2"/>
    <w:rsid w:val="00B3492D"/>
    <w:rsid w:val="00B35E7D"/>
    <w:rsid w:val="00B45DC7"/>
    <w:rsid w:val="00B47594"/>
    <w:rsid w:val="00B479FA"/>
    <w:rsid w:val="00B5099E"/>
    <w:rsid w:val="00B52159"/>
    <w:rsid w:val="00B52695"/>
    <w:rsid w:val="00B52B92"/>
    <w:rsid w:val="00B52E71"/>
    <w:rsid w:val="00B5313E"/>
    <w:rsid w:val="00B531B7"/>
    <w:rsid w:val="00B56993"/>
    <w:rsid w:val="00B572A5"/>
    <w:rsid w:val="00B5780D"/>
    <w:rsid w:val="00B60720"/>
    <w:rsid w:val="00B60FE2"/>
    <w:rsid w:val="00B630E0"/>
    <w:rsid w:val="00B63425"/>
    <w:rsid w:val="00B65C0D"/>
    <w:rsid w:val="00B6634F"/>
    <w:rsid w:val="00B67B00"/>
    <w:rsid w:val="00B7158F"/>
    <w:rsid w:val="00B72CAB"/>
    <w:rsid w:val="00B731D3"/>
    <w:rsid w:val="00B74E33"/>
    <w:rsid w:val="00B76140"/>
    <w:rsid w:val="00B76969"/>
    <w:rsid w:val="00B7701A"/>
    <w:rsid w:val="00B77139"/>
    <w:rsid w:val="00B8080E"/>
    <w:rsid w:val="00B81E1E"/>
    <w:rsid w:val="00B81E46"/>
    <w:rsid w:val="00B82C8D"/>
    <w:rsid w:val="00B83050"/>
    <w:rsid w:val="00B839A3"/>
    <w:rsid w:val="00B84028"/>
    <w:rsid w:val="00B86E8E"/>
    <w:rsid w:val="00B8734D"/>
    <w:rsid w:val="00B902BD"/>
    <w:rsid w:val="00B904F8"/>
    <w:rsid w:val="00B91029"/>
    <w:rsid w:val="00B94F55"/>
    <w:rsid w:val="00B96CB3"/>
    <w:rsid w:val="00B96F83"/>
    <w:rsid w:val="00BA1A02"/>
    <w:rsid w:val="00BA1B5D"/>
    <w:rsid w:val="00BA2299"/>
    <w:rsid w:val="00BA22E7"/>
    <w:rsid w:val="00BA28E5"/>
    <w:rsid w:val="00BA771C"/>
    <w:rsid w:val="00BA7FD0"/>
    <w:rsid w:val="00BB0740"/>
    <w:rsid w:val="00BB0B09"/>
    <w:rsid w:val="00BB2195"/>
    <w:rsid w:val="00BB2AA0"/>
    <w:rsid w:val="00BB30F5"/>
    <w:rsid w:val="00BB38B1"/>
    <w:rsid w:val="00BB4925"/>
    <w:rsid w:val="00BB52F4"/>
    <w:rsid w:val="00BB5698"/>
    <w:rsid w:val="00BC02FF"/>
    <w:rsid w:val="00BC1F84"/>
    <w:rsid w:val="00BC21BF"/>
    <w:rsid w:val="00BC21EF"/>
    <w:rsid w:val="00BC572D"/>
    <w:rsid w:val="00BC73EE"/>
    <w:rsid w:val="00BC7FFA"/>
    <w:rsid w:val="00BD0A09"/>
    <w:rsid w:val="00BD10BC"/>
    <w:rsid w:val="00BD1A62"/>
    <w:rsid w:val="00BD2A39"/>
    <w:rsid w:val="00BD2E80"/>
    <w:rsid w:val="00BD2E9C"/>
    <w:rsid w:val="00BD3BCD"/>
    <w:rsid w:val="00BD3C77"/>
    <w:rsid w:val="00BD3CE1"/>
    <w:rsid w:val="00BD4532"/>
    <w:rsid w:val="00BD67A9"/>
    <w:rsid w:val="00BE0009"/>
    <w:rsid w:val="00BE279A"/>
    <w:rsid w:val="00BE3AD1"/>
    <w:rsid w:val="00BE48A9"/>
    <w:rsid w:val="00BE4E17"/>
    <w:rsid w:val="00BE56E1"/>
    <w:rsid w:val="00BF6EC9"/>
    <w:rsid w:val="00BF7FF0"/>
    <w:rsid w:val="00C01D98"/>
    <w:rsid w:val="00C0288A"/>
    <w:rsid w:val="00C046BF"/>
    <w:rsid w:val="00C04C9B"/>
    <w:rsid w:val="00C04D25"/>
    <w:rsid w:val="00C05760"/>
    <w:rsid w:val="00C12502"/>
    <w:rsid w:val="00C12F2A"/>
    <w:rsid w:val="00C133B1"/>
    <w:rsid w:val="00C137FA"/>
    <w:rsid w:val="00C140EF"/>
    <w:rsid w:val="00C142DE"/>
    <w:rsid w:val="00C143B4"/>
    <w:rsid w:val="00C15817"/>
    <w:rsid w:val="00C17458"/>
    <w:rsid w:val="00C174E1"/>
    <w:rsid w:val="00C17796"/>
    <w:rsid w:val="00C22D2A"/>
    <w:rsid w:val="00C234F0"/>
    <w:rsid w:val="00C23610"/>
    <w:rsid w:val="00C237D5"/>
    <w:rsid w:val="00C25330"/>
    <w:rsid w:val="00C2544B"/>
    <w:rsid w:val="00C25EEC"/>
    <w:rsid w:val="00C26461"/>
    <w:rsid w:val="00C303DF"/>
    <w:rsid w:val="00C30BD0"/>
    <w:rsid w:val="00C318A8"/>
    <w:rsid w:val="00C33BAE"/>
    <w:rsid w:val="00C34EFD"/>
    <w:rsid w:val="00C36BF1"/>
    <w:rsid w:val="00C37044"/>
    <w:rsid w:val="00C37E13"/>
    <w:rsid w:val="00C430FB"/>
    <w:rsid w:val="00C43401"/>
    <w:rsid w:val="00C44DA3"/>
    <w:rsid w:val="00C469AC"/>
    <w:rsid w:val="00C46CAE"/>
    <w:rsid w:val="00C51B21"/>
    <w:rsid w:val="00C52A10"/>
    <w:rsid w:val="00C53A88"/>
    <w:rsid w:val="00C53BA6"/>
    <w:rsid w:val="00C541B0"/>
    <w:rsid w:val="00C54D54"/>
    <w:rsid w:val="00C55545"/>
    <w:rsid w:val="00C5653E"/>
    <w:rsid w:val="00C5773E"/>
    <w:rsid w:val="00C6073E"/>
    <w:rsid w:val="00C60EBA"/>
    <w:rsid w:val="00C62E83"/>
    <w:rsid w:val="00C66823"/>
    <w:rsid w:val="00C70FEE"/>
    <w:rsid w:val="00C72B31"/>
    <w:rsid w:val="00C758EC"/>
    <w:rsid w:val="00C80E0E"/>
    <w:rsid w:val="00C82E3E"/>
    <w:rsid w:val="00C836E3"/>
    <w:rsid w:val="00C849E9"/>
    <w:rsid w:val="00C85C1E"/>
    <w:rsid w:val="00C85E27"/>
    <w:rsid w:val="00C86061"/>
    <w:rsid w:val="00C86577"/>
    <w:rsid w:val="00C86E91"/>
    <w:rsid w:val="00C87208"/>
    <w:rsid w:val="00C9016E"/>
    <w:rsid w:val="00C9260F"/>
    <w:rsid w:val="00C92E07"/>
    <w:rsid w:val="00C9543B"/>
    <w:rsid w:val="00C96367"/>
    <w:rsid w:val="00C96868"/>
    <w:rsid w:val="00C96D14"/>
    <w:rsid w:val="00C96F0B"/>
    <w:rsid w:val="00CA03CA"/>
    <w:rsid w:val="00CA2D59"/>
    <w:rsid w:val="00CA346A"/>
    <w:rsid w:val="00CA36AA"/>
    <w:rsid w:val="00CA4A2F"/>
    <w:rsid w:val="00CA5DC2"/>
    <w:rsid w:val="00CA705F"/>
    <w:rsid w:val="00CA728D"/>
    <w:rsid w:val="00CB1F2A"/>
    <w:rsid w:val="00CB2787"/>
    <w:rsid w:val="00CB2EA4"/>
    <w:rsid w:val="00CB5CF6"/>
    <w:rsid w:val="00CB5DAB"/>
    <w:rsid w:val="00CB720C"/>
    <w:rsid w:val="00CB7563"/>
    <w:rsid w:val="00CB7BF9"/>
    <w:rsid w:val="00CC1E13"/>
    <w:rsid w:val="00CC3EFF"/>
    <w:rsid w:val="00CC5872"/>
    <w:rsid w:val="00CC5EFE"/>
    <w:rsid w:val="00CC6097"/>
    <w:rsid w:val="00CC6E67"/>
    <w:rsid w:val="00CC75E2"/>
    <w:rsid w:val="00CC7823"/>
    <w:rsid w:val="00CD0C3A"/>
    <w:rsid w:val="00CD140F"/>
    <w:rsid w:val="00CD2135"/>
    <w:rsid w:val="00CD46EB"/>
    <w:rsid w:val="00CD77A1"/>
    <w:rsid w:val="00CD7EBF"/>
    <w:rsid w:val="00CE0B9B"/>
    <w:rsid w:val="00CE2236"/>
    <w:rsid w:val="00CE242C"/>
    <w:rsid w:val="00CE39DC"/>
    <w:rsid w:val="00CE5133"/>
    <w:rsid w:val="00CE59E5"/>
    <w:rsid w:val="00CE7FD5"/>
    <w:rsid w:val="00CF009C"/>
    <w:rsid w:val="00CF0B54"/>
    <w:rsid w:val="00CF26DF"/>
    <w:rsid w:val="00CF32C7"/>
    <w:rsid w:val="00CF47BB"/>
    <w:rsid w:val="00D0296F"/>
    <w:rsid w:val="00D056F1"/>
    <w:rsid w:val="00D069B7"/>
    <w:rsid w:val="00D139C5"/>
    <w:rsid w:val="00D148FF"/>
    <w:rsid w:val="00D14985"/>
    <w:rsid w:val="00D15954"/>
    <w:rsid w:val="00D16478"/>
    <w:rsid w:val="00D20464"/>
    <w:rsid w:val="00D22C11"/>
    <w:rsid w:val="00D23E27"/>
    <w:rsid w:val="00D23EB7"/>
    <w:rsid w:val="00D24502"/>
    <w:rsid w:val="00D24575"/>
    <w:rsid w:val="00D26235"/>
    <w:rsid w:val="00D26A7A"/>
    <w:rsid w:val="00D2750F"/>
    <w:rsid w:val="00D30FA6"/>
    <w:rsid w:val="00D33553"/>
    <w:rsid w:val="00D34114"/>
    <w:rsid w:val="00D37842"/>
    <w:rsid w:val="00D4079D"/>
    <w:rsid w:val="00D40C3D"/>
    <w:rsid w:val="00D414BF"/>
    <w:rsid w:val="00D43368"/>
    <w:rsid w:val="00D45504"/>
    <w:rsid w:val="00D47E5B"/>
    <w:rsid w:val="00D51A95"/>
    <w:rsid w:val="00D51FF6"/>
    <w:rsid w:val="00D527F3"/>
    <w:rsid w:val="00D55109"/>
    <w:rsid w:val="00D55469"/>
    <w:rsid w:val="00D556EA"/>
    <w:rsid w:val="00D60568"/>
    <w:rsid w:val="00D60E16"/>
    <w:rsid w:val="00D61D13"/>
    <w:rsid w:val="00D6489B"/>
    <w:rsid w:val="00D65C71"/>
    <w:rsid w:val="00D65DE5"/>
    <w:rsid w:val="00D7070F"/>
    <w:rsid w:val="00D70C7A"/>
    <w:rsid w:val="00D77D16"/>
    <w:rsid w:val="00D81AE4"/>
    <w:rsid w:val="00D82709"/>
    <w:rsid w:val="00D847F7"/>
    <w:rsid w:val="00D85A7D"/>
    <w:rsid w:val="00D86A41"/>
    <w:rsid w:val="00D878BC"/>
    <w:rsid w:val="00D901C4"/>
    <w:rsid w:val="00D94F4B"/>
    <w:rsid w:val="00D96FC1"/>
    <w:rsid w:val="00D97EE8"/>
    <w:rsid w:val="00DA09D7"/>
    <w:rsid w:val="00DA10A8"/>
    <w:rsid w:val="00DA142F"/>
    <w:rsid w:val="00DA1CED"/>
    <w:rsid w:val="00DA228E"/>
    <w:rsid w:val="00DA4DC8"/>
    <w:rsid w:val="00DA7C22"/>
    <w:rsid w:val="00DA7C8A"/>
    <w:rsid w:val="00DB141A"/>
    <w:rsid w:val="00DB1E08"/>
    <w:rsid w:val="00DB2973"/>
    <w:rsid w:val="00DB358D"/>
    <w:rsid w:val="00DB3B14"/>
    <w:rsid w:val="00DB3B8A"/>
    <w:rsid w:val="00DB7D65"/>
    <w:rsid w:val="00DC0D78"/>
    <w:rsid w:val="00DC2129"/>
    <w:rsid w:val="00DC2243"/>
    <w:rsid w:val="00DC5320"/>
    <w:rsid w:val="00DC6570"/>
    <w:rsid w:val="00DD04A3"/>
    <w:rsid w:val="00DD162A"/>
    <w:rsid w:val="00DD282B"/>
    <w:rsid w:val="00DD2B0A"/>
    <w:rsid w:val="00DD4748"/>
    <w:rsid w:val="00DD5AED"/>
    <w:rsid w:val="00DD5E94"/>
    <w:rsid w:val="00DD6DB1"/>
    <w:rsid w:val="00DE00CF"/>
    <w:rsid w:val="00DE176A"/>
    <w:rsid w:val="00DE1974"/>
    <w:rsid w:val="00DE19BB"/>
    <w:rsid w:val="00DE7EFC"/>
    <w:rsid w:val="00DF00AD"/>
    <w:rsid w:val="00DF02D7"/>
    <w:rsid w:val="00DF25C3"/>
    <w:rsid w:val="00DF46F1"/>
    <w:rsid w:val="00DF5C69"/>
    <w:rsid w:val="00DF65BE"/>
    <w:rsid w:val="00DF69B0"/>
    <w:rsid w:val="00DF77A2"/>
    <w:rsid w:val="00E00EBA"/>
    <w:rsid w:val="00E022B7"/>
    <w:rsid w:val="00E03A94"/>
    <w:rsid w:val="00E04062"/>
    <w:rsid w:val="00E0470A"/>
    <w:rsid w:val="00E078A0"/>
    <w:rsid w:val="00E079B7"/>
    <w:rsid w:val="00E1215E"/>
    <w:rsid w:val="00E125FB"/>
    <w:rsid w:val="00E130B5"/>
    <w:rsid w:val="00E14ADE"/>
    <w:rsid w:val="00E157CE"/>
    <w:rsid w:val="00E169D8"/>
    <w:rsid w:val="00E2003B"/>
    <w:rsid w:val="00E21185"/>
    <w:rsid w:val="00E221F9"/>
    <w:rsid w:val="00E22D04"/>
    <w:rsid w:val="00E246B2"/>
    <w:rsid w:val="00E2701B"/>
    <w:rsid w:val="00E30A79"/>
    <w:rsid w:val="00E319B1"/>
    <w:rsid w:val="00E32072"/>
    <w:rsid w:val="00E32785"/>
    <w:rsid w:val="00E33B81"/>
    <w:rsid w:val="00E352B3"/>
    <w:rsid w:val="00E37A4A"/>
    <w:rsid w:val="00E41B99"/>
    <w:rsid w:val="00E45829"/>
    <w:rsid w:val="00E471F4"/>
    <w:rsid w:val="00E473CD"/>
    <w:rsid w:val="00E50374"/>
    <w:rsid w:val="00E52302"/>
    <w:rsid w:val="00E56784"/>
    <w:rsid w:val="00E56B4C"/>
    <w:rsid w:val="00E56B7B"/>
    <w:rsid w:val="00E57918"/>
    <w:rsid w:val="00E604E1"/>
    <w:rsid w:val="00E634F9"/>
    <w:rsid w:val="00E63F02"/>
    <w:rsid w:val="00E670C6"/>
    <w:rsid w:val="00E70140"/>
    <w:rsid w:val="00E71E0F"/>
    <w:rsid w:val="00E7330A"/>
    <w:rsid w:val="00E73645"/>
    <w:rsid w:val="00E75A0F"/>
    <w:rsid w:val="00E761EE"/>
    <w:rsid w:val="00E76BF6"/>
    <w:rsid w:val="00E773E6"/>
    <w:rsid w:val="00E777EC"/>
    <w:rsid w:val="00E8090B"/>
    <w:rsid w:val="00E80A17"/>
    <w:rsid w:val="00E827A7"/>
    <w:rsid w:val="00E828FF"/>
    <w:rsid w:val="00E831AD"/>
    <w:rsid w:val="00E831FE"/>
    <w:rsid w:val="00E84D89"/>
    <w:rsid w:val="00E87344"/>
    <w:rsid w:val="00E87CAF"/>
    <w:rsid w:val="00E90556"/>
    <w:rsid w:val="00E91350"/>
    <w:rsid w:val="00E92393"/>
    <w:rsid w:val="00E92C6E"/>
    <w:rsid w:val="00E951A5"/>
    <w:rsid w:val="00E973CF"/>
    <w:rsid w:val="00E974D3"/>
    <w:rsid w:val="00E975CF"/>
    <w:rsid w:val="00EA1618"/>
    <w:rsid w:val="00EA21D1"/>
    <w:rsid w:val="00EA2AD3"/>
    <w:rsid w:val="00EA6B8B"/>
    <w:rsid w:val="00EA71A0"/>
    <w:rsid w:val="00EA7F2F"/>
    <w:rsid w:val="00EB1BEE"/>
    <w:rsid w:val="00EB4540"/>
    <w:rsid w:val="00EB4764"/>
    <w:rsid w:val="00EB48FA"/>
    <w:rsid w:val="00EB52E5"/>
    <w:rsid w:val="00EB6FCD"/>
    <w:rsid w:val="00EB7D19"/>
    <w:rsid w:val="00EC1253"/>
    <w:rsid w:val="00EC30E1"/>
    <w:rsid w:val="00EC40E9"/>
    <w:rsid w:val="00EC4E1C"/>
    <w:rsid w:val="00EC5303"/>
    <w:rsid w:val="00EC5F47"/>
    <w:rsid w:val="00EC6FE7"/>
    <w:rsid w:val="00EC790D"/>
    <w:rsid w:val="00ED08AC"/>
    <w:rsid w:val="00ED172A"/>
    <w:rsid w:val="00ED2BA0"/>
    <w:rsid w:val="00ED3FBA"/>
    <w:rsid w:val="00ED3FC0"/>
    <w:rsid w:val="00ED659A"/>
    <w:rsid w:val="00EE01AD"/>
    <w:rsid w:val="00EE034A"/>
    <w:rsid w:val="00EE0ED4"/>
    <w:rsid w:val="00EE16A1"/>
    <w:rsid w:val="00EE3C7D"/>
    <w:rsid w:val="00EE49EE"/>
    <w:rsid w:val="00EF213E"/>
    <w:rsid w:val="00EF2E7E"/>
    <w:rsid w:val="00EF2F38"/>
    <w:rsid w:val="00EF4903"/>
    <w:rsid w:val="00EF4F47"/>
    <w:rsid w:val="00EF5E24"/>
    <w:rsid w:val="00EF7325"/>
    <w:rsid w:val="00F006E1"/>
    <w:rsid w:val="00F008D5"/>
    <w:rsid w:val="00F008DF"/>
    <w:rsid w:val="00F00EEA"/>
    <w:rsid w:val="00F02254"/>
    <w:rsid w:val="00F03C71"/>
    <w:rsid w:val="00F04F8E"/>
    <w:rsid w:val="00F05401"/>
    <w:rsid w:val="00F1150C"/>
    <w:rsid w:val="00F1363F"/>
    <w:rsid w:val="00F143A9"/>
    <w:rsid w:val="00F145C9"/>
    <w:rsid w:val="00F14BEC"/>
    <w:rsid w:val="00F1514C"/>
    <w:rsid w:val="00F17211"/>
    <w:rsid w:val="00F206A7"/>
    <w:rsid w:val="00F221C6"/>
    <w:rsid w:val="00F225C5"/>
    <w:rsid w:val="00F233D5"/>
    <w:rsid w:val="00F2459E"/>
    <w:rsid w:val="00F27015"/>
    <w:rsid w:val="00F310B5"/>
    <w:rsid w:val="00F32644"/>
    <w:rsid w:val="00F3368A"/>
    <w:rsid w:val="00F369FF"/>
    <w:rsid w:val="00F3715D"/>
    <w:rsid w:val="00F40C64"/>
    <w:rsid w:val="00F410DF"/>
    <w:rsid w:val="00F420C8"/>
    <w:rsid w:val="00F42B4F"/>
    <w:rsid w:val="00F448F1"/>
    <w:rsid w:val="00F45B89"/>
    <w:rsid w:val="00F45F96"/>
    <w:rsid w:val="00F47484"/>
    <w:rsid w:val="00F50865"/>
    <w:rsid w:val="00F52142"/>
    <w:rsid w:val="00F523EF"/>
    <w:rsid w:val="00F53803"/>
    <w:rsid w:val="00F54DD0"/>
    <w:rsid w:val="00F57836"/>
    <w:rsid w:val="00F60BAB"/>
    <w:rsid w:val="00F631F5"/>
    <w:rsid w:val="00F7414D"/>
    <w:rsid w:val="00F74245"/>
    <w:rsid w:val="00F7450E"/>
    <w:rsid w:val="00F74AD7"/>
    <w:rsid w:val="00F7516B"/>
    <w:rsid w:val="00F75B44"/>
    <w:rsid w:val="00F75DF8"/>
    <w:rsid w:val="00F76268"/>
    <w:rsid w:val="00F77887"/>
    <w:rsid w:val="00F808B3"/>
    <w:rsid w:val="00F81679"/>
    <w:rsid w:val="00F82335"/>
    <w:rsid w:val="00F843D0"/>
    <w:rsid w:val="00F847E0"/>
    <w:rsid w:val="00F84FAD"/>
    <w:rsid w:val="00F86A63"/>
    <w:rsid w:val="00F86CE0"/>
    <w:rsid w:val="00F9105A"/>
    <w:rsid w:val="00F93266"/>
    <w:rsid w:val="00F97914"/>
    <w:rsid w:val="00FA11A9"/>
    <w:rsid w:val="00FA36AA"/>
    <w:rsid w:val="00FA478B"/>
    <w:rsid w:val="00FA7FE4"/>
    <w:rsid w:val="00FB1649"/>
    <w:rsid w:val="00FB2740"/>
    <w:rsid w:val="00FB35D9"/>
    <w:rsid w:val="00FB65C0"/>
    <w:rsid w:val="00FB7512"/>
    <w:rsid w:val="00FC0D75"/>
    <w:rsid w:val="00FC1545"/>
    <w:rsid w:val="00FC16C1"/>
    <w:rsid w:val="00FC1C92"/>
    <w:rsid w:val="00FC1FF9"/>
    <w:rsid w:val="00FC2005"/>
    <w:rsid w:val="00FC2EA7"/>
    <w:rsid w:val="00FC43E9"/>
    <w:rsid w:val="00FC5619"/>
    <w:rsid w:val="00FD012E"/>
    <w:rsid w:val="00FD0F1F"/>
    <w:rsid w:val="00FD6435"/>
    <w:rsid w:val="00FD6F11"/>
    <w:rsid w:val="00FD7547"/>
    <w:rsid w:val="00FE01BB"/>
    <w:rsid w:val="00FE0260"/>
    <w:rsid w:val="00FE489A"/>
    <w:rsid w:val="00FE5BDC"/>
    <w:rsid w:val="00FE7122"/>
    <w:rsid w:val="00FE7DC7"/>
    <w:rsid w:val="00FF2C0F"/>
    <w:rsid w:val="00FF4ABE"/>
    <w:rsid w:val="00FF596E"/>
    <w:rsid w:val="00FF5F5C"/>
    <w:rsid w:val="00FF6FEC"/>
    <w:rsid w:val="00FF7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footnote text" w:uiPriority="99"/>
    <w:lsdException w:name="caption" w:semiHidden="1" w:unhideWhenUsed="1"/>
    <w:lsdException w:name="footnote reference" w:uiPriority="99"/>
    <w:lsdException w:name="Title" w:uiPriority="10"/>
    <w:lsdException w:name="Subtitle" w:uiPriority="11"/>
    <w:lsdException w:name="Hyperlink" w:uiPriority="99"/>
    <w:lsdException w:name="Strong" w:uiPriority="22"/>
    <w:lsdException w:name="Emphasis" w:uiPriority="20"/>
    <w:lsdException w:name="Normal (Web)" w:uiPriority="99"/>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053BCB"/>
    <w:pPr>
      <w:widowControl w:val="0"/>
    </w:pPr>
    <w:rPr>
      <w:rFonts w:ascii="Arial" w:hAnsi="Arial"/>
      <w:sz w:val="22"/>
      <w:szCs w:val="24"/>
      <w:lang w:eastAsia="en-US" w:bidi="en-US"/>
    </w:rPr>
  </w:style>
  <w:style w:type="paragraph" w:styleId="Heading1">
    <w:name w:val="heading 1"/>
    <w:aliases w:val="FS Heading 1"/>
    <w:basedOn w:val="Normal"/>
    <w:next w:val="Normal"/>
    <w:link w:val="Heading1Char"/>
    <w:uiPriority w:val="9"/>
    <w:qFormat/>
    <w:rsid w:val="003E46BA"/>
    <w:pPr>
      <w:keepNext/>
      <w:ind w:left="851" w:hanging="851"/>
      <w:outlineLvl w:val="0"/>
    </w:pPr>
    <w:rPr>
      <w:rFonts w:ascii="Tahoma" w:hAnsi="Tahoma" w:cs="Tahoma"/>
      <w:b/>
      <w:bCs/>
      <w:kern w:val="32"/>
      <w:sz w:val="28"/>
      <w:szCs w:val="32"/>
      <w:u w:val="single"/>
    </w:rPr>
  </w:style>
  <w:style w:type="paragraph" w:styleId="Heading2">
    <w:name w:val="heading 2"/>
    <w:aliases w:val="FS Heading 2"/>
    <w:basedOn w:val="Normal"/>
    <w:next w:val="Normal"/>
    <w:link w:val="Heading2Char"/>
    <w:uiPriority w:val="9"/>
    <w:unhideWhenUsed/>
    <w:qFormat/>
    <w:rsid w:val="003E46BA"/>
    <w:pPr>
      <w:keepNext/>
      <w:ind w:left="851" w:hanging="851"/>
      <w:outlineLvl w:val="1"/>
    </w:pPr>
    <w:rPr>
      <w:rFonts w:ascii="Arial Bold" w:hAnsi="Arial Bold" w:cs="Arial Unicode MS"/>
      <w:b/>
      <w:bCs/>
      <w:iCs/>
      <w:sz w:val="28"/>
      <w:szCs w:val="28"/>
    </w:rPr>
  </w:style>
  <w:style w:type="paragraph" w:styleId="Heading3">
    <w:name w:val="heading 3"/>
    <w:aliases w:val="FS Heading 3"/>
    <w:basedOn w:val="Normal"/>
    <w:next w:val="Normal"/>
    <w:link w:val="Heading3Char"/>
    <w:uiPriority w:val="9"/>
    <w:unhideWhenUsed/>
    <w:qFormat/>
    <w:rsid w:val="00227E4A"/>
    <w:pPr>
      <w:keepNext/>
      <w:ind w:left="851" w:hanging="851"/>
      <w:outlineLvl w:val="2"/>
    </w:pPr>
    <w:rPr>
      <w:rFonts w:ascii="Arial Bold" w:hAnsi="Arial Bold" w:cs="Arial Unicode MS"/>
      <w:b/>
      <w:bCs/>
      <w:szCs w:val="26"/>
    </w:rPr>
  </w:style>
  <w:style w:type="paragraph" w:styleId="Heading4">
    <w:name w:val="heading 4"/>
    <w:aliases w:val="FS Heading 4"/>
    <w:basedOn w:val="Normal"/>
    <w:next w:val="Normal"/>
    <w:link w:val="Heading4Char"/>
    <w:uiPriority w:val="9"/>
    <w:unhideWhenUsed/>
    <w:qFormat/>
    <w:rsid w:val="00227E4A"/>
    <w:pPr>
      <w:keepNext/>
      <w:ind w:left="851" w:hanging="851"/>
      <w:outlineLvl w:val="3"/>
    </w:pPr>
    <w:rPr>
      <w:bCs/>
      <w:i/>
      <w:szCs w:val="28"/>
    </w:rPr>
  </w:style>
  <w:style w:type="paragraph" w:styleId="Heading5">
    <w:name w:val="heading 5"/>
    <w:aliases w:val="FS Heading 5"/>
    <w:basedOn w:val="Normal"/>
    <w:next w:val="Normal"/>
    <w:link w:val="Heading5Char"/>
    <w:uiPriority w:val="9"/>
    <w:unhideWhenUsed/>
    <w:qFormat/>
    <w:rsid w:val="00227E4A"/>
    <w:pPr>
      <w:ind w:left="851" w:hanging="851"/>
      <w:outlineLvl w:val="4"/>
    </w:pPr>
    <w:rPr>
      <w:bCs/>
      <w:iCs/>
      <w:szCs w:val="26"/>
      <w:u w:val="single"/>
    </w:rPr>
  </w:style>
  <w:style w:type="paragraph" w:styleId="Heading6">
    <w:name w:val="heading 6"/>
    <w:basedOn w:val="Normal"/>
    <w:next w:val="Normal"/>
    <w:link w:val="Heading6Char"/>
    <w:uiPriority w:val="9"/>
    <w:unhideWhenUsed/>
    <w:rsid w:val="00B731D3"/>
    <w:pPr>
      <w:spacing w:before="240" w:after="60"/>
      <w:outlineLvl w:val="5"/>
    </w:pPr>
    <w:rPr>
      <w:rFonts w:cs="Arial Unicode MS"/>
      <w:b/>
      <w:bCs/>
      <w:szCs w:val="22"/>
    </w:rPr>
  </w:style>
  <w:style w:type="paragraph" w:styleId="Heading7">
    <w:name w:val="heading 7"/>
    <w:basedOn w:val="Normal"/>
    <w:next w:val="Normal"/>
    <w:link w:val="Heading7Char"/>
    <w:uiPriority w:val="9"/>
    <w:unhideWhenUsed/>
    <w:rsid w:val="00B731D3"/>
    <w:pPr>
      <w:spacing w:before="240" w:after="60"/>
      <w:outlineLvl w:val="6"/>
    </w:pPr>
  </w:style>
  <w:style w:type="paragraph" w:styleId="Heading8">
    <w:name w:val="heading 8"/>
    <w:basedOn w:val="Normal"/>
    <w:next w:val="Normal"/>
    <w:link w:val="Heading8Char"/>
    <w:uiPriority w:val="9"/>
    <w:unhideWhenUsed/>
    <w:rsid w:val="00B731D3"/>
    <w:pPr>
      <w:spacing w:before="240" w:after="60"/>
      <w:outlineLvl w:val="7"/>
    </w:pPr>
    <w:rPr>
      <w:i/>
      <w:iCs/>
    </w:rPr>
  </w:style>
  <w:style w:type="paragraph" w:styleId="Heading9">
    <w:name w:val="heading 9"/>
    <w:basedOn w:val="Normal"/>
    <w:next w:val="Normal"/>
    <w:link w:val="Heading9Char"/>
    <w:uiPriority w:val="9"/>
    <w:unhideWhenUsed/>
    <w:rsid w:val="00B731D3"/>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 Heading 1 Char"/>
    <w:basedOn w:val="DefaultParagraphFont"/>
    <w:link w:val="Heading1"/>
    <w:uiPriority w:val="9"/>
    <w:rsid w:val="003E46BA"/>
    <w:rPr>
      <w:rFonts w:ascii="Tahoma" w:hAnsi="Tahoma" w:cs="Tahoma"/>
      <w:b/>
      <w:bCs/>
      <w:kern w:val="32"/>
      <w:sz w:val="28"/>
      <w:szCs w:val="32"/>
      <w:u w:val="single"/>
      <w:lang w:val="en-US" w:eastAsia="en-US" w:bidi="en-US"/>
    </w:rPr>
  </w:style>
  <w:style w:type="character" w:customStyle="1" w:styleId="Heading2Char">
    <w:name w:val="Heading 2 Char"/>
    <w:aliases w:val="FS Heading 2 Char"/>
    <w:basedOn w:val="DefaultParagraphFont"/>
    <w:link w:val="Heading2"/>
    <w:uiPriority w:val="9"/>
    <w:rsid w:val="003E46BA"/>
    <w:rPr>
      <w:rFonts w:ascii="Arial Bold" w:hAnsi="Arial Bold" w:cs="Arial Unicode MS"/>
      <w:b/>
      <w:bCs/>
      <w:iCs/>
      <w:sz w:val="28"/>
      <w:szCs w:val="28"/>
      <w:lang w:val="en-US" w:eastAsia="en-US" w:bidi="en-US"/>
    </w:rPr>
  </w:style>
  <w:style w:type="character" w:customStyle="1" w:styleId="Heading3Char">
    <w:name w:val="Heading 3 Char"/>
    <w:aliases w:val="FS Heading 3 Char"/>
    <w:basedOn w:val="DefaultParagraphFont"/>
    <w:link w:val="Heading3"/>
    <w:uiPriority w:val="9"/>
    <w:rsid w:val="00227E4A"/>
    <w:rPr>
      <w:rFonts w:ascii="Arial Bold" w:hAnsi="Arial Bold" w:cs="Arial Unicode MS"/>
      <w:b/>
      <w:bCs/>
      <w:sz w:val="22"/>
      <w:szCs w:val="26"/>
      <w:lang w:val="en-US" w:eastAsia="en-US" w:bidi="en-US"/>
    </w:rPr>
  </w:style>
  <w:style w:type="character" w:customStyle="1" w:styleId="Heading4Char">
    <w:name w:val="Heading 4 Char"/>
    <w:aliases w:val="FS Heading 4 Char"/>
    <w:basedOn w:val="DefaultParagraphFont"/>
    <w:link w:val="Heading4"/>
    <w:uiPriority w:val="9"/>
    <w:rsid w:val="00227E4A"/>
    <w:rPr>
      <w:rFonts w:ascii="Arial" w:hAnsi="Arial"/>
      <w:bCs/>
      <w:i/>
      <w:sz w:val="22"/>
      <w:szCs w:val="28"/>
      <w:lang w:val="en-US" w:eastAsia="en-US" w:bidi="en-US"/>
    </w:rPr>
  </w:style>
  <w:style w:type="character" w:customStyle="1" w:styleId="Heading5Char">
    <w:name w:val="Heading 5 Char"/>
    <w:aliases w:val="FS Heading 5 Char"/>
    <w:basedOn w:val="DefaultParagraphFont"/>
    <w:link w:val="Heading5"/>
    <w:uiPriority w:val="9"/>
    <w:rsid w:val="00227E4A"/>
    <w:rPr>
      <w:rFonts w:ascii="Arial" w:hAnsi="Arial"/>
      <w:bCs/>
      <w:iCs/>
      <w:sz w:val="22"/>
      <w:szCs w:val="26"/>
      <w:u w:val="single"/>
      <w:lang w:val="en-US" w:eastAsia="en-US" w:bidi="en-US"/>
    </w:rPr>
  </w:style>
  <w:style w:type="character" w:customStyle="1" w:styleId="Heading6Char">
    <w:name w:val="Heading 6 Char"/>
    <w:basedOn w:val="DefaultParagraphFont"/>
    <w:link w:val="Heading6"/>
    <w:uiPriority w:val="9"/>
    <w:rsid w:val="00B731D3"/>
    <w:rPr>
      <w:rFonts w:cs="Arial Unicode MS"/>
      <w:b/>
      <w:bCs/>
    </w:rPr>
  </w:style>
  <w:style w:type="character" w:customStyle="1" w:styleId="Heading7Char">
    <w:name w:val="Heading 7 Char"/>
    <w:basedOn w:val="DefaultParagraphFont"/>
    <w:link w:val="Heading7"/>
    <w:uiPriority w:val="9"/>
    <w:rsid w:val="00B731D3"/>
    <w:rPr>
      <w:sz w:val="24"/>
      <w:szCs w:val="24"/>
    </w:rPr>
  </w:style>
  <w:style w:type="character" w:customStyle="1" w:styleId="Heading8Char">
    <w:name w:val="Heading 8 Char"/>
    <w:basedOn w:val="DefaultParagraphFont"/>
    <w:link w:val="Heading8"/>
    <w:uiPriority w:val="9"/>
    <w:rsid w:val="00B731D3"/>
    <w:rPr>
      <w:i/>
      <w:iCs/>
      <w:sz w:val="24"/>
      <w:szCs w:val="24"/>
    </w:rPr>
  </w:style>
  <w:style w:type="character" w:customStyle="1" w:styleId="Heading9Char">
    <w:name w:val="Heading 9 Char"/>
    <w:basedOn w:val="DefaultParagraphFont"/>
    <w:link w:val="Heading9"/>
    <w:uiPriority w:val="9"/>
    <w:rsid w:val="00B731D3"/>
    <w:rPr>
      <w:rFonts w:ascii="Cambria" w:eastAsia="Times New Roman" w:hAnsi="Cambria"/>
    </w:rPr>
  </w:style>
  <w:style w:type="character" w:styleId="Hyperlink">
    <w:name w:val="Hyperlink"/>
    <w:basedOn w:val="DefaultParagraphFont"/>
    <w:uiPriority w:val="99"/>
    <w:rsid w:val="0039582B"/>
    <w:rPr>
      <w:color w:val="auto"/>
      <w:u w:val="single"/>
    </w:rPr>
  </w:style>
  <w:style w:type="paragraph" w:styleId="Header">
    <w:name w:val="header"/>
    <w:aliases w:val="Header Char,header protocols"/>
    <w:basedOn w:val="Normal"/>
    <w:rsid w:val="00E777EC"/>
  </w:style>
  <w:style w:type="paragraph" w:customStyle="1" w:styleId="FSTitle">
    <w:name w:val="FS Title"/>
    <w:basedOn w:val="Normal"/>
    <w:qFormat/>
    <w:rsid w:val="00DB2973"/>
    <w:rPr>
      <w:rFonts w:ascii="Tahoma" w:hAnsi="Tahoma" w:cs="Tahoma"/>
      <w:b/>
      <w:bCs/>
      <w:sz w:val="36"/>
    </w:rPr>
  </w:style>
  <w:style w:type="paragraph" w:customStyle="1" w:styleId="FSDash">
    <w:name w:val="FS Dash"/>
    <w:basedOn w:val="Normal"/>
    <w:qFormat/>
    <w:rsid w:val="00EC4E1C"/>
    <w:pPr>
      <w:numPr>
        <w:numId w:val="27"/>
      </w:numPr>
      <w:ind w:left="1134" w:hanging="567"/>
    </w:pPr>
  </w:style>
  <w:style w:type="paragraph" w:styleId="TOC1">
    <w:name w:val="toc 1"/>
    <w:basedOn w:val="Normal"/>
    <w:next w:val="Normal"/>
    <w:autoRedefine/>
    <w:uiPriority w:val="39"/>
    <w:rsid w:val="0039582B"/>
    <w:pPr>
      <w:spacing w:before="120" w:after="120"/>
    </w:pPr>
    <w:rPr>
      <w:b/>
      <w:bCs/>
      <w:caps/>
    </w:rPr>
  </w:style>
  <w:style w:type="paragraph" w:styleId="TOC2">
    <w:name w:val="toc 2"/>
    <w:basedOn w:val="Normal"/>
    <w:next w:val="Normal"/>
    <w:autoRedefine/>
    <w:uiPriority w:val="39"/>
    <w:rsid w:val="0039582B"/>
    <w:pPr>
      <w:ind w:left="240"/>
    </w:pPr>
    <w:rPr>
      <w:smallCaps/>
    </w:rPr>
  </w:style>
  <w:style w:type="paragraph" w:styleId="Footer">
    <w:name w:val="footer"/>
    <w:basedOn w:val="Normal"/>
    <w:rsid w:val="0039582B"/>
    <w:pPr>
      <w:tabs>
        <w:tab w:val="center" w:pos="4153"/>
        <w:tab w:val="right" w:pos="8306"/>
      </w:tabs>
    </w:pPr>
  </w:style>
  <w:style w:type="character" w:styleId="PageNumber">
    <w:name w:val="page number"/>
    <w:basedOn w:val="DefaultParagraphFont"/>
    <w:rsid w:val="006A48A7"/>
    <w:rPr>
      <w:rFonts w:ascii="Arial" w:hAnsi="Arial"/>
    </w:rPr>
  </w:style>
  <w:style w:type="paragraph" w:styleId="TOC3">
    <w:name w:val="toc 3"/>
    <w:basedOn w:val="Normal"/>
    <w:next w:val="Normal"/>
    <w:autoRedefine/>
    <w:uiPriority w:val="39"/>
    <w:rsid w:val="0039582B"/>
    <w:pPr>
      <w:ind w:left="480"/>
    </w:pPr>
    <w:rPr>
      <w:i/>
      <w:iCs/>
    </w:rPr>
  </w:style>
  <w:style w:type="paragraph" w:styleId="TOC4">
    <w:name w:val="toc 4"/>
    <w:basedOn w:val="Normal"/>
    <w:next w:val="Normal"/>
    <w:autoRedefine/>
    <w:semiHidden/>
    <w:rsid w:val="0039582B"/>
    <w:pPr>
      <w:ind w:left="720"/>
    </w:pPr>
    <w:rPr>
      <w:szCs w:val="21"/>
    </w:rPr>
  </w:style>
  <w:style w:type="paragraph" w:styleId="TOC5">
    <w:name w:val="toc 5"/>
    <w:basedOn w:val="Normal"/>
    <w:next w:val="Normal"/>
    <w:autoRedefine/>
    <w:semiHidden/>
    <w:rsid w:val="0039582B"/>
    <w:pPr>
      <w:ind w:left="960"/>
    </w:pPr>
    <w:rPr>
      <w:szCs w:val="21"/>
    </w:rPr>
  </w:style>
  <w:style w:type="character" w:styleId="FollowedHyperlink">
    <w:name w:val="FollowedHyperlink"/>
    <w:basedOn w:val="DefaultParagraphFont"/>
    <w:rsid w:val="0039582B"/>
    <w:rPr>
      <w:color w:val="800080"/>
      <w:u w:val="single"/>
    </w:rPr>
  </w:style>
  <w:style w:type="paragraph" w:styleId="TOC6">
    <w:name w:val="toc 6"/>
    <w:basedOn w:val="Normal"/>
    <w:next w:val="Normal"/>
    <w:autoRedefine/>
    <w:semiHidden/>
    <w:rsid w:val="0039582B"/>
    <w:pPr>
      <w:ind w:left="1200"/>
    </w:pPr>
    <w:rPr>
      <w:szCs w:val="21"/>
    </w:rPr>
  </w:style>
  <w:style w:type="paragraph" w:customStyle="1" w:styleId="142Tableheading2">
    <w:name w:val="1.4.2 Table heading2"/>
    <w:basedOn w:val="Normal"/>
    <w:rsid w:val="0039582B"/>
    <w:pPr>
      <w:keepNext/>
      <w:jc w:val="center"/>
    </w:pPr>
    <w:rPr>
      <w:iCs/>
      <w:smallCaps/>
      <w:sz w:val="20"/>
      <w:szCs w:val="20"/>
    </w:rPr>
  </w:style>
  <w:style w:type="paragraph" w:customStyle="1" w:styleId="Box1">
    <w:name w:val="Box 1"/>
    <w:basedOn w:val="Normal"/>
    <w:rsid w:val="0039582B"/>
    <w:pPr>
      <w:tabs>
        <w:tab w:val="num" w:pos="120"/>
      </w:tabs>
      <w:ind w:left="113" w:hanging="113"/>
    </w:pPr>
    <w:rPr>
      <w:sz w:val="16"/>
    </w:rPr>
  </w:style>
  <w:style w:type="paragraph" w:customStyle="1" w:styleId="Box2">
    <w:name w:val="Box 2"/>
    <w:basedOn w:val="Normal"/>
    <w:rsid w:val="0039582B"/>
    <w:pPr>
      <w:tabs>
        <w:tab w:val="left" w:pos="4608"/>
        <w:tab w:val="left" w:pos="9180"/>
        <w:tab w:val="left" w:pos="9216"/>
      </w:tabs>
      <w:jc w:val="center"/>
    </w:pPr>
    <w:rPr>
      <w:b/>
      <w:bCs/>
      <w:i/>
      <w:iCs/>
      <w:color w:val="000000"/>
      <w:sz w:val="16"/>
    </w:rPr>
  </w:style>
  <w:style w:type="paragraph" w:customStyle="1" w:styleId="Box3">
    <w:name w:val="Box 3"/>
    <w:basedOn w:val="Normal"/>
    <w:rsid w:val="0039582B"/>
    <w:pPr>
      <w:tabs>
        <w:tab w:val="left" w:pos="4608"/>
        <w:tab w:val="left" w:pos="9180"/>
        <w:tab w:val="left" w:pos="9216"/>
      </w:tabs>
      <w:jc w:val="center"/>
    </w:pPr>
    <w:rPr>
      <w:b/>
      <w:bCs/>
      <w:i/>
      <w:iCs/>
      <w:color w:val="000000"/>
      <w:sz w:val="16"/>
    </w:rPr>
  </w:style>
  <w:style w:type="paragraph" w:customStyle="1" w:styleId="142tableheading1">
    <w:name w:val="1.4.2 table heading1"/>
    <w:basedOn w:val="142Tableheading2"/>
    <w:rsid w:val="0039582B"/>
    <w:rPr>
      <w:b/>
      <w:bCs/>
      <w:iCs w:val="0"/>
    </w:rPr>
  </w:style>
  <w:style w:type="paragraph" w:customStyle="1" w:styleId="142tabletext1">
    <w:name w:val="1.4.2 table text1"/>
    <w:basedOn w:val="Normal"/>
    <w:rsid w:val="0039582B"/>
    <w:pPr>
      <w:ind w:left="142" w:hanging="142"/>
    </w:pPr>
    <w:rPr>
      <w:smallCaps/>
      <w:sz w:val="20"/>
      <w:szCs w:val="20"/>
    </w:rPr>
  </w:style>
  <w:style w:type="paragraph" w:customStyle="1" w:styleId="142tabletext2">
    <w:name w:val="1.4.2 table text2"/>
    <w:basedOn w:val="142tabletext1"/>
    <w:rsid w:val="0039582B"/>
    <w:pPr>
      <w:jc w:val="right"/>
    </w:pPr>
  </w:style>
  <w:style w:type="paragraph" w:customStyle="1" w:styleId="Clause">
    <w:name w:val="Clause"/>
    <w:basedOn w:val="Normal"/>
    <w:next w:val="Normal"/>
    <w:link w:val="ClauseChar"/>
    <w:qFormat/>
    <w:rsid w:val="009323BC"/>
    <w:pPr>
      <w:tabs>
        <w:tab w:val="left" w:pos="851"/>
      </w:tabs>
    </w:pPr>
    <w:rPr>
      <w:sz w:val="20"/>
      <w:szCs w:val="20"/>
    </w:rPr>
  </w:style>
  <w:style w:type="paragraph" w:customStyle="1" w:styleId="Clauseheading">
    <w:name w:val="Clause heading"/>
    <w:basedOn w:val="Normal"/>
    <w:next w:val="Normal"/>
    <w:rsid w:val="00F523EF"/>
    <w:pPr>
      <w:tabs>
        <w:tab w:val="left" w:pos="851"/>
      </w:tabs>
    </w:pPr>
    <w:rPr>
      <w:b/>
      <w:sz w:val="20"/>
      <w:szCs w:val="20"/>
    </w:rPr>
  </w:style>
  <w:style w:type="paragraph" w:customStyle="1" w:styleId="ClauseList">
    <w:name w:val="Clause List"/>
    <w:basedOn w:val="Clause"/>
    <w:next w:val="Normal"/>
    <w:rsid w:val="0039582B"/>
  </w:style>
  <w:style w:type="paragraph" w:customStyle="1" w:styleId="Definition">
    <w:name w:val="Definition"/>
    <w:basedOn w:val="Normal"/>
    <w:next w:val="Normal"/>
    <w:rsid w:val="0039582B"/>
    <w:pPr>
      <w:ind w:left="1701" w:hanging="851"/>
    </w:pPr>
    <w:rPr>
      <w:szCs w:val="20"/>
    </w:rPr>
  </w:style>
  <w:style w:type="paragraph" w:customStyle="1" w:styleId="DivisionHeading">
    <w:name w:val="Division Heading"/>
    <w:basedOn w:val="Normal"/>
    <w:next w:val="Normal"/>
    <w:rsid w:val="0039582B"/>
    <w:pPr>
      <w:tabs>
        <w:tab w:val="left" w:pos="851"/>
      </w:tabs>
      <w:jc w:val="center"/>
    </w:pPr>
    <w:rPr>
      <w:b/>
      <w:sz w:val="28"/>
      <w:szCs w:val="20"/>
    </w:rPr>
  </w:style>
  <w:style w:type="paragraph" w:customStyle="1" w:styleId="EditorialNoteLine1">
    <w:name w:val="Editorial Note Line 1"/>
    <w:basedOn w:val="Normal"/>
    <w:next w:val="Normal"/>
    <w:rsid w:val="0039582B"/>
    <w:pPr>
      <w:pBdr>
        <w:top w:val="single" w:sz="6" w:space="0" w:color="auto"/>
        <w:left w:val="single" w:sz="6" w:space="0" w:color="auto"/>
        <w:bottom w:val="single" w:sz="6" w:space="0" w:color="auto"/>
        <w:right w:val="single" w:sz="6" w:space="0" w:color="auto"/>
      </w:pBdr>
      <w:tabs>
        <w:tab w:val="left" w:pos="851"/>
      </w:tabs>
    </w:pPr>
    <w:rPr>
      <w:b/>
      <w:szCs w:val="20"/>
    </w:rPr>
  </w:style>
  <w:style w:type="paragraph" w:customStyle="1" w:styleId="EditorialNotetext">
    <w:name w:val="Editorial Note text"/>
    <w:basedOn w:val="EditorialNoteLine1"/>
    <w:rsid w:val="0039582B"/>
    <w:rPr>
      <w:b w:val="0"/>
    </w:rPr>
  </w:style>
  <w:style w:type="paragraph" w:customStyle="1" w:styleId="Footnote">
    <w:name w:val="Footnote"/>
    <w:basedOn w:val="Normal"/>
    <w:rsid w:val="0039582B"/>
    <w:pPr>
      <w:tabs>
        <w:tab w:val="left" w:pos="851"/>
      </w:tabs>
    </w:pPr>
    <w:rPr>
      <w:sz w:val="20"/>
      <w:szCs w:val="20"/>
    </w:rPr>
  </w:style>
  <w:style w:type="paragraph" w:customStyle="1" w:styleId="MiscellaneousHeading">
    <w:name w:val="Miscellaneous Heading"/>
    <w:basedOn w:val="Normal"/>
    <w:next w:val="Normal"/>
    <w:rsid w:val="0039582B"/>
    <w:rPr>
      <w:b/>
      <w:szCs w:val="20"/>
    </w:rPr>
  </w:style>
  <w:style w:type="paragraph" w:customStyle="1" w:styleId="Paragraph">
    <w:name w:val="Paragraph"/>
    <w:basedOn w:val="Clause"/>
    <w:next w:val="Normal"/>
    <w:rsid w:val="0039582B"/>
    <w:pPr>
      <w:tabs>
        <w:tab w:val="clear" w:pos="851"/>
      </w:tabs>
      <w:ind w:left="1702" w:hanging="851"/>
    </w:pPr>
  </w:style>
  <w:style w:type="paragraph" w:customStyle="1" w:styleId="ScheduleHeading">
    <w:name w:val="Schedule Heading"/>
    <w:basedOn w:val="Normal"/>
    <w:next w:val="Normal"/>
    <w:rsid w:val="0039582B"/>
    <w:pPr>
      <w:tabs>
        <w:tab w:val="left" w:pos="851"/>
      </w:tabs>
      <w:jc w:val="center"/>
    </w:pPr>
    <w:rPr>
      <w:b/>
      <w:caps/>
      <w:szCs w:val="20"/>
    </w:rPr>
  </w:style>
  <w:style w:type="paragraph" w:customStyle="1" w:styleId="Standardtitle">
    <w:name w:val="Standard title"/>
    <w:basedOn w:val="Normal"/>
    <w:rsid w:val="0039582B"/>
    <w:pPr>
      <w:tabs>
        <w:tab w:val="left" w:pos="851"/>
      </w:tabs>
      <w:jc w:val="center"/>
    </w:pPr>
    <w:rPr>
      <w:b/>
      <w:i/>
      <w:iCs/>
      <w:caps/>
      <w:sz w:val="28"/>
      <w:szCs w:val="20"/>
    </w:rPr>
  </w:style>
  <w:style w:type="paragraph" w:customStyle="1" w:styleId="Subclause">
    <w:name w:val="Subclause"/>
    <w:basedOn w:val="Clause"/>
    <w:rsid w:val="0039582B"/>
    <w:pPr>
      <w:ind w:hanging="11"/>
    </w:pPr>
  </w:style>
  <w:style w:type="paragraph" w:customStyle="1" w:styleId="Subparagraph">
    <w:name w:val="Subparagraph"/>
    <w:basedOn w:val="Paragraph"/>
    <w:next w:val="Normal"/>
    <w:rsid w:val="0039582B"/>
    <w:pPr>
      <w:ind w:left="2553"/>
    </w:pPr>
  </w:style>
  <w:style w:type="paragraph" w:customStyle="1" w:styleId="Table1">
    <w:name w:val="Table 1"/>
    <w:basedOn w:val="Normal"/>
    <w:rsid w:val="009323BC"/>
    <w:pPr>
      <w:spacing w:after="120"/>
      <w:jc w:val="center"/>
    </w:pPr>
    <w:rPr>
      <w:b/>
      <w:bCs/>
      <w:sz w:val="18"/>
      <w:szCs w:val="20"/>
    </w:rPr>
  </w:style>
  <w:style w:type="paragraph" w:customStyle="1" w:styleId="Table2">
    <w:name w:val="Table 2"/>
    <w:basedOn w:val="Normal"/>
    <w:rsid w:val="00053BCB"/>
    <w:pPr>
      <w:ind w:left="142" w:hanging="142"/>
    </w:pPr>
    <w:rPr>
      <w:bCs/>
      <w:sz w:val="18"/>
      <w:szCs w:val="20"/>
    </w:rPr>
  </w:style>
  <w:style w:type="paragraph" w:customStyle="1" w:styleId="TableHeading">
    <w:name w:val="Table Heading"/>
    <w:basedOn w:val="Normal"/>
    <w:next w:val="Normal"/>
    <w:rsid w:val="0039582B"/>
    <w:pPr>
      <w:tabs>
        <w:tab w:val="left" w:pos="851"/>
      </w:tabs>
      <w:jc w:val="center"/>
    </w:pPr>
    <w:rPr>
      <w:b/>
      <w:szCs w:val="20"/>
    </w:rPr>
  </w:style>
  <w:style w:type="paragraph" w:customStyle="1" w:styleId="TitleBorder">
    <w:name w:val="TitleBorder"/>
    <w:basedOn w:val="Normal"/>
    <w:rsid w:val="0039582B"/>
    <w:pPr>
      <w:pBdr>
        <w:bottom w:val="double" w:sz="6" w:space="0" w:color="auto"/>
      </w:pBdr>
      <w:tabs>
        <w:tab w:val="left" w:pos="851"/>
      </w:tabs>
    </w:pPr>
    <w:rPr>
      <w:b/>
      <w:szCs w:val="20"/>
    </w:rPr>
  </w:style>
  <w:style w:type="paragraph" w:styleId="TOC7">
    <w:name w:val="toc 7"/>
    <w:basedOn w:val="Normal"/>
    <w:next w:val="Normal"/>
    <w:autoRedefine/>
    <w:semiHidden/>
    <w:rsid w:val="0039582B"/>
    <w:pPr>
      <w:ind w:left="1440"/>
    </w:pPr>
    <w:rPr>
      <w:szCs w:val="21"/>
    </w:rPr>
  </w:style>
  <w:style w:type="paragraph" w:styleId="TOC8">
    <w:name w:val="toc 8"/>
    <w:basedOn w:val="Normal"/>
    <w:next w:val="Normal"/>
    <w:autoRedefine/>
    <w:semiHidden/>
    <w:rsid w:val="0039582B"/>
    <w:pPr>
      <w:ind w:left="1680"/>
    </w:pPr>
    <w:rPr>
      <w:szCs w:val="21"/>
    </w:rPr>
  </w:style>
  <w:style w:type="paragraph" w:styleId="TOC9">
    <w:name w:val="toc 9"/>
    <w:basedOn w:val="Normal"/>
    <w:next w:val="Normal"/>
    <w:autoRedefine/>
    <w:semiHidden/>
    <w:rsid w:val="0039582B"/>
    <w:pPr>
      <w:ind w:left="1920"/>
    </w:pPr>
    <w:rPr>
      <w:szCs w:val="21"/>
    </w:rPr>
  </w:style>
  <w:style w:type="paragraph" w:styleId="FootnoteText">
    <w:name w:val="footnote text"/>
    <w:basedOn w:val="Normal"/>
    <w:link w:val="FootnoteTextChar"/>
    <w:uiPriority w:val="99"/>
    <w:semiHidden/>
    <w:rsid w:val="0039582B"/>
    <w:rPr>
      <w:sz w:val="20"/>
      <w:szCs w:val="20"/>
    </w:rPr>
  </w:style>
  <w:style w:type="character" w:styleId="FootnoteReference">
    <w:name w:val="footnote reference"/>
    <w:basedOn w:val="DefaultParagraphFont"/>
    <w:uiPriority w:val="99"/>
    <w:semiHidden/>
    <w:rsid w:val="0039582B"/>
    <w:rPr>
      <w:vertAlign w:val="superscript"/>
    </w:rPr>
  </w:style>
  <w:style w:type="paragraph" w:customStyle="1" w:styleId="heading">
    <w:name w:val="heading"/>
    <w:basedOn w:val="Normal"/>
    <w:rsid w:val="0039582B"/>
    <w:pPr>
      <w:tabs>
        <w:tab w:val="left" w:pos="840"/>
      </w:tabs>
      <w:ind w:left="851" w:hanging="851"/>
    </w:pPr>
    <w:rPr>
      <w:b/>
      <w:caps/>
      <w:szCs w:val="20"/>
    </w:rPr>
  </w:style>
  <w:style w:type="paragraph" w:customStyle="1" w:styleId="FSDecisionHeading">
    <w:name w:val="FS Decision Heading"/>
    <w:basedOn w:val="Normal"/>
    <w:next w:val="FSDecisiontext"/>
    <w:qFormat/>
    <w:rsid w:val="003213F9"/>
    <w:pPr>
      <w:pBdr>
        <w:top w:val="single" w:sz="4" w:space="1" w:color="auto"/>
        <w:left w:val="single" w:sz="4" w:space="4" w:color="auto"/>
        <w:bottom w:val="single" w:sz="4" w:space="1" w:color="auto"/>
        <w:right w:val="single" w:sz="4" w:space="4" w:color="auto"/>
      </w:pBdr>
    </w:pPr>
    <w:rPr>
      <w:rFonts w:ascii="Arial Bold" w:hAnsi="Arial Bold"/>
      <w:b/>
      <w:bCs/>
    </w:rPr>
  </w:style>
  <w:style w:type="paragraph" w:customStyle="1" w:styleId="FSDecisiontext">
    <w:name w:val="FS Decision text"/>
    <w:basedOn w:val="Normal"/>
    <w:qFormat/>
    <w:rsid w:val="007602AA"/>
    <w:pPr>
      <w:pBdr>
        <w:top w:val="single" w:sz="4" w:space="1" w:color="auto"/>
        <w:left w:val="single" w:sz="4" w:space="4" w:color="auto"/>
        <w:bottom w:val="single" w:sz="4" w:space="1" w:color="auto"/>
        <w:right w:val="single" w:sz="4" w:space="4" w:color="auto"/>
      </w:pBdr>
    </w:pPr>
    <w:rPr>
      <w:rFonts w:ascii="Arial Bold" w:hAnsi="Arial Bold"/>
      <w:b/>
    </w:rPr>
  </w:style>
  <w:style w:type="paragraph" w:styleId="BalloonText">
    <w:name w:val="Balloon Text"/>
    <w:basedOn w:val="Normal"/>
    <w:semiHidden/>
    <w:rsid w:val="00BD2A39"/>
    <w:rPr>
      <w:rFonts w:ascii="Tahoma" w:hAnsi="Tahoma" w:cs="Tahoma"/>
      <w:sz w:val="16"/>
      <w:szCs w:val="16"/>
    </w:rPr>
  </w:style>
  <w:style w:type="paragraph" w:styleId="TOCHeading">
    <w:name w:val="TOC Heading"/>
    <w:basedOn w:val="Heading1"/>
    <w:next w:val="Normal"/>
    <w:uiPriority w:val="39"/>
    <w:semiHidden/>
    <w:unhideWhenUsed/>
    <w:qFormat/>
    <w:rsid w:val="00B731D3"/>
    <w:pPr>
      <w:outlineLvl w:val="9"/>
    </w:pPr>
    <w:rPr>
      <w:rFonts w:cs="Times New Roman"/>
    </w:rPr>
  </w:style>
  <w:style w:type="paragraph" w:customStyle="1" w:styleId="FSBullet">
    <w:name w:val="FS Bullet"/>
    <w:basedOn w:val="Normal"/>
    <w:link w:val="FSBulletChar"/>
    <w:qFormat/>
    <w:rsid w:val="00E2003B"/>
    <w:pPr>
      <w:numPr>
        <w:numId w:val="2"/>
      </w:numPr>
      <w:ind w:left="567" w:hanging="567"/>
    </w:pPr>
    <w:rPr>
      <w:rFonts w:cs="Arial"/>
    </w:rPr>
  </w:style>
  <w:style w:type="character" w:customStyle="1" w:styleId="FSBulletChar">
    <w:name w:val="FS Bullet Char"/>
    <w:basedOn w:val="DefaultParagraphFont"/>
    <w:link w:val="FSBullet"/>
    <w:rsid w:val="00E2003B"/>
    <w:rPr>
      <w:rFonts w:ascii="Arial" w:hAnsi="Arial" w:cs="Arial"/>
      <w:sz w:val="22"/>
      <w:szCs w:val="24"/>
      <w:lang w:eastAsia="en-US" w:bidi="en-US"/>
    </w:rPr>
  </w:style>
  <w:style w:type="table" w:styleId="TableGrid">
    <w:name w:val="Table Grid"/>
    <w:basedOn w:val="TableNormal"/>
    <w:uiPriority w:val="59"/>
    <w:rsid w:val="00E777E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STableTitle">
    <w:name w:val="FS Table Title"/>
    <w:basedOn w:val="Normal"/>
    <w:next w:val="Normal"/>
    <w:qFormat/>
    <w:rsid w:val="005B6AF4"/>
    <w:rPr>
      <w:rFonts w:cs="Arial"/>
      <w:b/>
    </w:rPr>
  </w:style>
  <w:style w:type="paragraph" w:customStyle="1" w:styleId="FSTableHeading">
    <w:name w:val="FS Table Heading"/>
    <w:basedOn w:val="Normal"/>
    <w:qFormat/>
    <w:rsid w:val="005B6AF4"/>
    <w:pPr>
      <w:jc w:val="center"/>
    </w:pPr>
    <w:rPr>
      <w:rFonts w:ascii="Arial Bold" w:hAnsi="Arial Bold" w:cs="Arial"/>
      <w:b/>
      <w:sz w:val="20"/>
      <w:szCs w:val="20"/>
    </w:rPr>
  </w:style>
  <w:style w:type="paragraph" w:customStyle="1" w:styleId="FSTableText">
    <w:name w:val="FS Table Text"/>
    <w:basedOn w:val="Normal"/>
    <w:qFormat/>
    <w:rsid w:val="005B6AF4"/>
    <w:rPr>
      <w:rFonts w:cs="Arial"/>
      <w:sz w:val="20"/>
      <w:szCs w:val="20"/>
    </w:rPr>
  </w:style>
  <w:style w:type="paragraph" w:customStyle="1" w:styleId="FSFigureTitle">
    <w:name w:val="FS Figure Title"/>
    <w:basedOn w:val="Normal"/>
    <w:next w:val="Normal"/>
    <w:qFormat/>
    <w:rsid w:val="005B6AF4"/>
    <w:rPr>
      <w:rFonts w:cs="Arial"/>
      <w:i/>
    </w:rPr>
  </w:style>
  <w:style w:type="paragraph" w:styleId="BodyText3">
    <w:name w:val="Body Text 3"/>
    <w:basedOn w:val="Normal"/>
    <w:link w:val="BodyText3Char"/>
    <w:rsid w:val="00C22D2A"/>
    <w:pPr>
      <w:spacing w:after="120"/>
    </w:pPr>
    <w:rPr>
      <w:sz w:val="16"/>
      <w:szCs w:val="16"/>
    </w:rPr>
  </w:style>
  <w:style w:type="character" w:customStyle="1" w:styleId="BodyText3Char">
    <w:name w:val="Body Text 3 Char"/>
    <w:basedOn w:val="DefaultParagraphFont"/>
    <w:link w:val="BodyText3"/>
    <w:rsid w:val="00C22D2A"/>
    <w:rPr>
      <w:rFonts w:ascii="Arial" w:hAnsi="Arial"/>
      <w:sz w:val="16"/>
      <w:szCs w:val="16"/>
      <w:lang w:eastAsia="en-US" w:bidi="en-US"/>
    </w:rPr>
  </w:style>
  <w:style w:type="paragraph" w:styleId="ListParagraph">
    <w:name w:val="List Paragraph"/>
    <w:basedOn w:val="Normal"/>
    <w:uiPriority w:val="34"/>
    <w:qFormat/>
    <w:rsid w:val="001B268D"/>
    <w:pPr>
      <w:ind w:left="720"/>
      <w:contextualSpacing/>
    </w:pPr>
  </w:style>
  <w:style w:type="paragraph" w:customStyle="1" w:styleId="Bullet">
    <w:name w:val="Bullet"/>
    <w:basedOn w:val="Normal"/>
    <w:next w:val="Normal"/>
    <w:link w:val="BulletChar"/>
    <w:rsid w:val="000B745A"/>
    <w:pPr>
      <w:tabs>
        <w:tab w:val="num" w:pos="577"/>
      </w:tabs>
      <w:ind w:left="577" w:hanging="510"/>
    </w:pPr>
    <w:rPr>
      <w:lang w:bidi="ar-SA"/>
    </w:rPr>
  </w:style>
  <w:style w:type="character" w:customStyle="1" w:styleId="BulletChar">
    <w:name w:val="Bullet Char"/>
    <w:basedOn w:val="DefaultParagraphFont"/>
    <w:link w:val="Bullet"/>
    <w:locked/>
    <w:rsid w:val="000B745A"/>
    <w:rPr>
      <w:rFonts w:ascii="Arial" w:hAnsi="Arial"/>
      <w:sz w:val="22"/>
      <w:szCs w:val="24"/>
      <w:lang w:eastAsia="en-US"/>
    </w:rPr>
  </w:style>
  <w:style w:type="character" w:customStyle="1" w:styleId="FootnoteTextChar">
    <w:name w:val="Footnote Text Char"/>
    <w:basedOn w:val="DefaultParagraphFont"/>
    <w:link w:val="FootnoteText"/>
    <w:uiPriority w:val="99"/>
    <w:semiHidden/>
    <w:rsid w:val="00B52695"/>
    <w:rPr>
      <w:rFonts w:ascii="Arial" w:hAnsi="Arial"/>
      <w:lang w:eastAsia="en-US" w:bidi="en-US"/>
    </w:rPr>
  </w:style>
  <w:style w:type="paragraph" w:customStyle="1" w:styleId="Decisiontext">
    <w:name w:val="Decision text"/>
    <w:basedOn w:val="Normal"/>
    <w:rsid w:val="001507E8"/>
    <w:pPr>
      <w:widowControl/>
      <w:pBdr>
        <w:top w:val="single" w:sz="4" w:space="1" w:color="auto"/>
        <w:left w:val="single" w:sz="4" w:space="4" w:color="auto"/>
        <w:bottom w:val="single" w:sz="4" w:space="1" w:color="auto"/>
        <w:right w:val="single" w:sz="4" w:space="4" w:color="auto"/>
      </w:pBdr>
    </w:pPr>
    <w:rPr>
      <w:lang w:bidi="ar-SA"/>
    </w:rPr>
  </w:style>
  <w:style w:type="paragraph" w:styleId="BodyTextIndent2">
    <w:name w:val="Body Text Indent 2"/>
    <w:basedOn w:val="Normal"/>
    <w:link w:val="BodyTextIndent2Char"/>
    <w:rsid w:val="00676B8E"/>
    <w:pPr>
      <w:widowControl/>
      <w:spacing w:after="120" w:line="480" w:lineRule="auto"/>
      <w:ind w:left="283"/>
    </w:pPr>
    <w:rPr>
      <w:rFonts w:ascii="Times New Roman" w:hAnsi="Times New Roman"/>
      <w:lang w:bidi="ar-SA"/>
    </w:rPr>
  </w:style>
  <w:style w:type="character" w:customStyle="1" w:styleId="BodyTextIndent2Char">
    <w:name w:val="Body Text Indent 2 Char"/>
    <w:basedOn w:val="DefaultParagraphFont"/>
    <w:link w:val="BodyTextIndent2"/>
    <w:rsid w:val="00676B8E"/>
    <w:rPr>
      <w:rFonts w:ascii="Times New Roman" w:hAnsi="Times New Roman"/>
      <w:sz w:val="22"/>
      <w:szCs w:val="24"/>
      <w:lang w:eastAsia="en-US"/>
    </w:rPr>
  </w:style>
  <w:style w:type="character" w:styleId="CommentReference">
    <w:name w:val="annotation reference"/>
    <w:basedOn w:val="DefaultParagraphFont"/>
    <w:rsid w:val="002C1A3C"/>
    <w:rPr>
      <w:sz w:val="16"/>
      <w:szCs w:val="16"/>
    </w:rPr>
  </w:style>
  <w:style w:type="paragraph" w:styleId="CommentText">
    <w:name w:val="annotation text"/>
    <w:basedOn w:val="Normal"/>
    <w:link w:val="CommentTextChar"/>
    <w:rsid w:val="002C1A3C"/>
    <w:rPr>
      <w:sz w:val="20"/>
      <w:szCs w:val="20"/>
    </w:rPr>
  </w:style>
  <w:style w:type="character" w:customStyle="1" w:styleId="CommentTextChar">
    <w:name w:val="Comment Text Char"/>
    <w:basedOn w:val="DefaultParagraphFont"/>
    <w:link w:val="CommentText"/>
    <w:rsid w:val="002C1A3C"/>
    <w:rPr>
      <w:rFonts w:ascii="Arial" w:hAnsi="Arial"/>
      <w:lang w:eastAsia="en-US" w:bidi="en-US"/>
    </w:rPr>
  </w:style>
  <w:style w:type="paragraph" w:styleId="CommentSubject">
    <w:name w:val="annotation subject"/>
    <w:basedOn w:val="CommentText"/>
    <w:next w:val="CommentText"/>
    <w:link w:val="CommentSubjectChar"/>
    <w:rsid w:val="002C1A3C"/>
    <w:rPr>
      <w:b/>
      <w:bCs/>
    </w:rPr>
  </w:style>
  <w:style w:type="character" w:customStyle="1" w:styleId="CommentSubjectChar">
    <w:name w:val="Comment Subject Char"/>
    <w:basedOn w:val="CommentTextChar"/>
    <w:link w:val="CommentSubject"/>
    <w:rsid w:val="002C1A3C"/>
    <w:rPr>
      <w:rFonts w:ascii="Arial" w:hAnsi="Arial"/>
      <w:b/>
      <w:bCs/>
      <w:lang w:eastAsia="en-US" w:bidi="en-US"/>
    </w:rPr>
  </w:style>
  <w:style w:type="paragraph" w:customStyle="1" w:styleId="Default">
    <w:name w:val="Default"/>
    <w:rsid w:val="00195401"/>
    <w:pPr>
      <w:autoSpaceDE w:val="0"/>
      <w:autoSpaceDN w:val="0"/>
      <w:adjustRightInd w:val="0"/>
    </w:pPr>
    <w:rPr>
      <w:rFonts w:ascii="Times New Roman" w:hAnsi="Times New Roman"/>
      <w:color w:val="000000"/>
      <w:sz w:val="24"/>
      <w:szCs w:val="24"/>
      <w:lang w:val="en-AU"/>
    </w:rPr>
  </w:style>
  <w:style w:type="paragraph" w:customStyle="1" w:styleId="Dashpoint">
    <w:name w:val="Dash point"/>
    <w:basedOn w:val="Normal"/>
    <w:rsid w:val="00E973CF"/>
    <w:pPr>
      <w:tabs>
        <w:tab w:val="num" w:pos="1134"/>
      </w:tabs>
      <w:ind w:left="1134" w:hanging="567"/>
    </w:pPr>
    <w:rPr>
      <w:lang w:bidi="ar-SA"/>
    </w:rPr>
  </w:style>
  <w:style w:type="paragraph" w:styleId="NormalWeb">
    <w:name w:val="Normal (Web)"/>
    <w:basedOn w:val="Normal"/>
    <w:uiPriority w:val="99"/>
    <w:unhideWhenUsed/>
    <w:rsid w:val="00E87CAF"/>
    <w:pPr>
      <w:widowControl/>
      <w:spacing w:before="100" w:beforeAutospacing="1" w:after="100" w:afterAutospacing="1"/>
    </w:pPr>
    <w:rPr>
      <w:rFonts w:ascii="Times New Roman" w:hAnsi="Times New Roman"/>
      <w:sz w:val="24"/>
      <w:lang w:eastAsia="en-GB" w:bidi="ar-SA"/>
    </w:rPr>
  </w:style>
  <w:style w:type="paragraph" w:customStyle="1" w:styleId="Decisionheading">
    <w:name w:val="Decision heading"/>
    <w:basedOn w:val="Normal"/>
    <w:next w:val="Decisiontext"/>
    <w:rsid w:val="002F4046"/>
    <w:pPr>
      <w:widowControl/>
      <w:pBdr>
        <w:top w:val="single" w:sz="4" w:space="1" w:color="auto"/>
        <w:left w:val="single" w:sz="4" w:space="4" w:color="auto"/>
        <w:bottom w:val="single" w:sz="4" w:space="1" w:color="auto"/>
        <w:right w:val="single" w:sz="4" w:space="4" w:color="auto"/>
      </w:pBdr>
    </w:pPr>
    <w:rPr>
      <w:b/>
      <w:bCs/>
      <w:sz w:val="28"/>
      <w:lang w:bidi="ar-SA"/>
    </w:rPr>
  </w:style>
  <w:style w:type="character" w:customStyle="1" w:styleId="ClauseChar">
    <w:name w:val="Clause Char"/>
    <w:basedOn w:val="DefaultParagraphFont"/>
    <w:link w:val="Clause"/>
    <w:rsid w:val="009323BC"/>
    <w:rPr>
      <w:rFonts w:ascii="Arial" w:hAnsi="Arial"/>
      <w:lang w:eastAsia="en-US" w:bidi="en-US"/>
    </w:rPr>
  </w:style>
  <w:style w:type="paragraph" w:customStyle="1" w:styleId="Table20">
    <w:name w:val="*Table 2"/>
    <w:basedOn w:val="Normal"/>
    <w:rsid w:val="00DB358D"/>
    <w:pPr>
      <w:widowControl/>
      <w:tabs>
        <w:tab w:val="left" w:pos="851"/>
      </w:tabs>
      <w:ind w:left="142" w:hanging="142"/>
    </w:pPr>
    <w:rPr>
      <w:rFonts w:ascii="Times New Roman" w:hAnsi="Times New Roman"/>
      <w:bCs/>
      <w:sz w:val="20"/>
      <w:szCs w:val="20"/>
      <w:lang w:bidi="ar-SA"/>
    </w:rPr>
  </w:style>
  <w:style w:type="paragraph" w:customStyle="1" w:styleId="StyleHeading3FSHeading3Left0cmFirstline0cm">
    <w:name w:val="Style Heading 3FS Heading 3 + Left:  0 cm First line:  0 cm"/>
    <w:basedOn w:val="Heading3"/>
    <w:rsid w:val="00603FA8"/>
    <w:rPr>
      <w:rFonts w:cs="Times New Roman"/>
      <w:szCs w:val="20"/>
    </w:rPr>
  </w:style>
  <w:style w:type="paragraph" w:styleId="Revision">
    <w:name w:val="Revision"/>
    <w:hidden/>
    <w:uiPriority w:val="99"/>
    <w:semiHidden/>
    <w:rsid w:val="00336F94"/>
    <w:rPr>
      <w:rFonts w:ascii="Arial" w:hAnsi="Arial"/>
      <w:sz w:val="22"/>
      <w:szCs w:val="24"/>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8251">
      <w:bodyDiv w:val="1"/>
      <w:marLeft w:val="0"/>
      <w:marRight w:val="0"/>
      <w:marTop w:val="0"/>
      <w:marBottom w:val="0"/>
      <w:divBdr>
        <w:top w:val="none" w:sz="0" w:space="0" w:color="auto"/>
        <w:left w:val="none" w:sz="0" w:space="0" w:color="auto"/>
        <w:bottom w:val="none" w:sz="0" w:space="0" w:color="auto"/>
        <w:right w:val="none" w:sz="0" w:space="0" w:color="auto"/>
      </w:divBdr>
    </w:div>
    <w:div w:id="94719390">
      <w:bodyDiv w:val="1"/>
      <w:marLeft w:val="0"/>
      <w:marRight w:val="0"/>
      <w:marTop w:val="0"/>
      <w:marBottom w:val="0"/>
      <w:divBdr>
        <w:top w:val="none" w:sz="0" w:space="0" w:color="auto"/>
        <w:left w:val="none" w:sz="0" w:space="0" w:color="auto"/>
        <w:bottom w:val="none" w:sz="0" w:space="0" w:color="auto"/>
        <w:right w:val="none" w:sz="0" w:space="0" w:color="auto"/>
      </w:divBdr>
    </w:div>
    <w:div w:id="143549473">
      <w:bodyDiv w:val="1"/>
      <w:marLeft w:val="0"/>
      <w:marRight w:val="0"/>
      <w:marTop w:val="0"/>
      <w:marBottom w:val="0"/>
      <w:divBdr>
        <w:top w:val="none" w:sz="0" w:space="0" w:color="auto"/>
        <w:left w:val="none" w:sz="0" w:space="0" w:color="auto"/>
        <w:bottom w:val="none" w:sz="0" w:space="0" w:color="auto"/>
        <w:right w:val="none" w:sz="0" w:space="0" w:color="auto"/>
      </w:divBdr>
      <w:divsChild>
        <w:div w:id="1706325467">
          <w:marLeft w:val="0"/>
          <w:marRight w:val="0"/>
          <w:marTop w:val="0"/>
          <w:marBottom w:val="0"/>
          <w:divBdr>
            <w:top w:val="none" w:sz="0" w:space="0" w:color="auto"/>
            <w:left w:val="none" w:sz="0" w:space="0" w:color="auto"/>
            <w:bottom w:val="none" w:sz="0" w:space="0" w:color="auto"/>
            <w:right w:val="none" w:sz="0" w:space="0" w:color="auto"/>
          </w:divBdr>
          <w:divsChild>
            <w:div w:id="1449201284">
              <w:marLeft w:val="0"/>
              <w:marRight w:val="0"/>
              <w:marTop w:val="0"/>
              <w:marBottom w:val="0"/>
              <w:divBdr>
                <w:top w:val="single" w:sz="2" w:space="0" w:color="9D9487"/>
                <w:left w:val="single" w:sz="2" w:space="0" w:color="9D9487"/>
                <w:bottom w:val="none" w:sz="0" w:space="0" w:color="auto"/>
                <w:right w:val="single" w:sz="2" w:space="0" w:color="9D9487"/>
              </w:divBdr>
              <w:divsChild>
                <w:div w:id="502822045">
                  <w:marLeft w:val="0"/>
                  <w:marRight w:val="0"/>
                  <w:marTop w:val="66"/>
                  <w:marBottom w:val="0"/>
                  <w:divBdr>
                    <w:top w:val="none" w:sz="0" w:space="0" w:color="auto"/>
                    <w:left w:val="none" w:sz="0" w:space="0" w:color="auto"/>
                    <w:bottom w:val="none" w:sz="0" w:space="0" w:color="auto"/>
                    <w:right w:val="none" w:sz="0" w:space="0" w:color="auto"/>
                  </w:divBdr>
                  <w:divsChild>
                    <w:div w:id="1017078872">
                      <w:marLeft w:val="0"/>
                      <w:marRight w:val="0"/>
                      <w:marTop w:val="0"/>
                      <w:marBottom w:val="0"/>
                      <w:divBdr>
                        <w:top w:val="none" w:sz="0" w:space="0" w:color="auto"/>
                        <w:left w:val="none" w:sz="0" w:space="0" w:color="auto"/>
                        <w:bottom w:val="none" w:sz="0" w:space="0" w:color="auto"/>
                        <w:right w:val="none" w:sz="0" w:space="0" w:color="auto"/>
                      </w:divBdr>
                      <w:divsChild>
                        <w:div w:id="42403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47221">
      <w:bodyDiv w:val="1"/>
      <w:marLeft w:val="0"/>
      <w:marRight w:val="0"/>
      <w:marTop w:val="0"/>
      <w:marBottom w:val="0"/>
      <w:divBdr>
        <w:top w:val="none" w:sz="0" w:space="0" w:color="auto"/>
        <w:left w:val="none" w:sz="0" w:space="0" w:color="auto"/>
        <w:bottom w:val="none" w:sz="0" w:space="0" w:color="auto"/>
        <w:right w:val="none" w:sz="0" w:space="0" w:color="auto"/>
      </w:divBdr>
    </w:div>
    <w:div w:id="237634173">
      <w:bodyDiv w:val="1"/>
      <w:marLeft w:val="0"/>
      <w:marRight w:val="0"/>
      <w:marTop w:val="0"/>
      <w:marBottom w:val="0"/>
      <w:divBdr>
        <w:top w:val="none" w:sz="0" w:space="0" w:color="auto"/>
        <w:left w:val="none" w:sz="0" w:space="0" w:color="auto"/>
        <w:bottom w:val="none" w:sz="0" w:space="0" w:color="auto"/>
        <w:right w:val="none" w:sz="0" w:space="0" w:color="auto"/>
      </w:divBdr>
    </w:div>
    <w:div w:id="240022141">
      <w:bodyDiv w:val="1"/>
      <w:marLeft w:val="0"/>
      <w:marRight w:val="0"/>
      <w:marTop w:val="0"/>
      <w:marBottom w:val="0"/>
      <w:divBdr>
        <w:top w:val="none" w:sz="0" w:space="0" w:color="auto"/>
        <w:left w:val="none" w:sz="0" w:space="0" w:color="auto"/>
        <w:bottom w:val="none" w:sz="0" w:space="0" w:color="auto"/>
        <w:right w:val="none" w:sz="0" w:space="0" w:color="auto"/>
      </w:divBdr>
      <w:divsChild>
        <w:div w:id="1835484722">
          <w:marLeft w:val="0"/>
          <w:marRight w:val="0"/>
          <w:marTop w:val="0"/>
          <w:marBottom w:val="0"/>
          <w:divBdr>
            <w:top w:val="none" w:sz="0" w:space="0" w:color="auto"/>
            <w:left w:val="none" w:sz="0" w:space="0" w:color="auto"/>
            <w:bottom w:val="none" w:sz="0" w:space="0" w:color="auto"/>
            <w:right w:val="none" w:sz="0" w:space="0" w:color="auto"/>
          </w:divBdr>
          <w:divsChild>
            <w:div w:id="2985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2641">
      <w:bodyDiv w:val="1"/>
      <w:marLeft w:val="0"/>
      <w:marRight w:val="0"/>
      <w:marTop w:val="0"/>
      <w:marBottom w:val="0"/>
      <w:divBdr>
        <w:top w:val="none" w:sz="0" w:space="0" w:color="auto"/>
        <w:left w:val="none" w:sz="0" w:space="0" w:color="auto"/>
        <w:bottom w:val="none" w:sz="0" w:space="0" w:color="auto"/>
        <w:right w:val="none" w:sz="0" w:space="0" w:color="auto"/>
      </w:divBdr>
    </w:div>
    <w:div w:id="418911584">
      <w:bodyDiv w:val="1"/>
      <w:marLeft w:val="0"/>
      <w:marRight w:val="0"/>
      <w:marTop w:val="0"/>
      <w:marBottom w:val="0"/>
      <w:divBdr>
        <w:top w:val="none" w:sz="0" w:space="0" w:color="auto"/>
        <w:left w:val="none" w:sz="0" w:space="0" w:color="auto"/>
        <w:bottom w:val="none" w:sz="0" w:space="0" w:color="auto"/>
        <w:right w:val="none" w:sz="0" w:space="0" w:color="auto"/>
      </w:divBdr>
    </w:div>
    <w:div w:id="530337199">
      <w:bodyDiv w:val="1"/>
      <w:marLeft w:val="0"/>
      <w:marRight w:val="0"/>
      <w:marTop w:val="0"/>
      <w:marBottom w:val="0"/>
      <w:divBdr>
        <w:top w:val="none" w:sz="0" w:space="0" w:color="auto"/>
        <w:left w:val="none" w:sz="0" w:space="0" w:color="auto"/>
        <w:bottom w:val="none" w:sz="0" w:space="0" w:color="auto"/>
        <w:right w:val="none" w:sz="0" w:space="0" w:color="auto"/>
      </w:divBdr>
    </w:div>
    <w:div w:id="540553652">
      <w:bodyDiv w:val="1"/>
      <w:marLeft w:val="0"/>
      <w:marRight w:val="0"/>
      <w:marTop w:val="0"/>
      <w:marBottom w:val="0"/>
      <w:divBdr>
        <w:top w:val="none" w:sz="0" w:space="0" w:color="auto"/>
        <w:left w:val="none" w:sz="0" w:space="0" w:color="auto"/>
        <w:bottom w:val="none" w:sz="0" w:space="0" w:color="auto"/>
        <w:right w:val="none" w:sz="0" w:space="0" w:color="auto"/>
      </w:divBdr>
      <w:divsChild>
        <w:div w:id="2137135210">
          <w:marLeft w:val="0"/>
          <w:marRight w:val="0"/>
          <w:marTop w:val="0"/>
          <w:marBottom w:val="0"/>
          <w:divBdr>
            <w:top w:val="none" w:sz="0" w:space="0" w:color="auto"/>
            <w:left w:val="none" w:sz="0" w:space="0" w:color="auto"/>
            <w:bottom w:val="none" w:sz="0" w:space="0" w:color="auto"/>
            <w:right w:val="none" w:sz="0" w:space="0" w:color="auto"/>
          </w:divBdr>
          <w:divsChild>
            <w:div w:id="364987774">
              <w:marLeft w:val="0"/>
              <w:marRight w:val="0"/>
              <w:marTop w:val="0"/>
              <w:marBottom w:val="0"/>
              <w:divBdr>
                <w:top w:val="single" w:sz="2" w:space="0" w:color="9D9487"/>
                <w:left w:val="single" w:sz="2" w:space="0" w:color="9D9487"/>
                <w:bottom w:val="none" w:sz="0" w:space="0" w:color="auto"/>
                <w:right w:val="single" w:sz="2" w:space="0" w:color="9D9487"/>
              </w:divBdr>
              <w:divsChild>
                <w:div w:id="1970891270">
                  <w:marLeft w:val="0"/>
                  <w:marRight w:val="0"/>
                  <w:marTop w:val="66"/>
                  <w:marBottom w:val="0"/>
                  <w:divBdr>
                    <w:top w:val="none" w:sz="0" w:space="0" w:color="auto"/>
                    <w:left w:val="none" w:sz="0" w:space="0" w:color="auto"/>
                    <w:bottom w:val="none" w:sz="0" w:space="0" w:color="auto"/>
                    <w:right w:val="none" w:sz="0" w:space="0" w:color="auto"/>
                  </w:divBdr>
                  <w:divsChild>
                    <w:div w:id="606277396">
                      <w:marLeft w:val="0"/>
                      <w:marRight w:val="0"/>
                      <w:marTop w:val="0"/>
                      <w:marBottom w:val="0"/>
                      <w:divBdr>
                        <w:top w:val="none" w:sz="0" w:space="0" w:color="auto"/>
                        <w:left w:val="none" w:sz="0" w:space="0" w:color="auto"/>
                        <w:bottom w:val="none" w:sz="0" w:space="0" w:color="auto"/>
                        <w:right w:val="none" w:sz="0" w:space="0" w:color="auto"/>
                      </w:divBdr>
                      <w:divsChild>
                        <w:div w:id="185915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208579">
      <w:bodyDiv w:val="1"/>
      <w:marLeft w:val="0"/>
      <w:marRight w:val="0"/>
      <w:marTop w:val="0"/>
      <w:marBottom w:val="0"/>
      <w:divBdr>
        <w:top w:val="none" w:sz="0" w:space="0" w:color="auto"/>
        <w:left w:val="none" w:sz="0" w:space="0" w:color="auto"/>
        <w:bottom w:val="none" w:sz="0" w:space="0" w:color="auto"/>
        <w:right w:val="none" w:sz="0" w:space="0" w:color="auto"/>
      </w:divBdr>
    </w:div>
    <w:div w:id="773208400">
      <w:bodyDiv w:val="1"/>
      <w:marLeft w:val="0"/>
      <w:marRight w:val="0"/>
      <w:marTop w:val="0"/>
      <w:marBottom w:val="0"/>
      <w:divBdr>
        <w:top w:val="none" w:sz="0" w:space="0" w:color="auto"/>
        <w:left w:val="none" w:sz="0" w:space="0" w:color="auto"/>
        <w:bottom w:val="none" w:sz="0" w:space="0" w:color="auto"/>
        <w:right w:val="none" w:sz="0" w:space="0" w:color="auto"/>
      </w:divBdr>
    </w:div>
    <w:div w:id="801269165">
      <w:bodyDiv w:val="1"/>
      <w:marLeft w:val="0"/>
      <w:marRight w:val="0"/>
      <w:marTop w:val="0"/>
      <w:marBottom w:val="0"/>
      <w:divBdr>
        <w:top w:val="none" w:sz="0" w:space="0" w:color="auto"/>
        <w:left w:val="none" w:sz="0" w:space="0" w:color="auto"/>
        <w:bottom w:val="none" w:sz="0" w:space="0" w:color="auto"/>
        <w:right w:val="none" w:sz="0" w:space="0" w:color="auto"/>
      </w:divBdr>
    </w:div>
    <w:div w:id="854920788">
      <w:bodyDiv w:val="1"/>
      <w:marLeft w:val="0"/>
      <w:marRight w:val="0"/>
      <w:marTop w:val="0"/>
      <w:marBottom w:val="0"/>
      <w:divBdr>
        <w:top w:val="none" w:sz="0" w:space="0" w:color="auto"/>
        <w:left w:val="none" w:sz="0" w:space="0" w:color="auto"/>
        <w:bottom w:val="none" w:sz="0" w:space="0" w:color="auto"/>
        <w:right w:val="none" w:sz="0" w:space="0" w:color="auto"/>
      </w:divBdr>
      <w:divsChild>
        <w:div w:id="826945881">
          <w:marLeft w:val="0"/>
          <w:marRight w:val="0"/>
          <w:marTop w:val="0"/>
          <w:marBottom w:val="0"/>
          <w:divBdr>
            <w:top w:val="none" w:sz="0" w:space="0" w:color="auto"/>
            <w:left w:val="none" w:sz="0" w:space="0" w:color="auto"/>
            <w:bottom w:val="none" w:sz="0" w:space="0" w:color="auto"/>
            <w:right w:val="none" w:sz="0" w:space="0" w:color="auto"/>
          </w:divBdr>
          <w:divsChild>
            <w:div w:id="157928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47348">
      <w:bodyDiv w:val="1"/>
      <w:marLeft w:val="0"/>
      <w:marRight w:val="0"/>
      <w:marTop w:val="0"/>
      <w:marBottom w:val="0"/>
      <w:divBdr>
        <w:top w:val="none" w:sz="0" w:space="0" w:color="auto"/>
        <w:left w:val="none" w:sz="0" w:space="0" w:color="auto"/>
        <w:bottom w:val="none" w:sz="0" w:space="0" w:color="auto"/>
        <w:right w:val="none" w:sz="0" w:space="0" w:color="auto"/>
      </w:divBdr>
    </w:div>
    <w:div w:id="900948861">
      <w:bodyDiv w:val="1"/>
      <w:marLeft w:val="0"/>
      <w:marRight w:val="0"/>
      <w:marTop w:val="0"/>
      <w:marBottom w:val="0"/>
      <w:divBdr>
        <w:top w:val="none" w:sz="0" w:space="0" w:color="auto"/>
        <w:left w:val="none" w:sz="0" w:space="0" w:color="auto"/>
        <w:bottom w:val="none" w:sz="0" w:space="0" w:color="auto"/>
        <w:right w:val="none" w:sz="0" w:space="0" w:color="auto"/>
      </w:divBdr>
      <w:divsChild>
        <w:div w:id="964384372">
          <w:marLeft w:val="0"/>
          <w:marRight w:val="0"/>
          <w:marTop w:val="0"/>
          <w:marBottom w:val="0"/>
          <w:divBdr>
            <w:top w:val="none" w:sz="0" w:space="0" w:color="auto"/>
            <w:left w:val="none" w:sz="0" w:space="0" w:color="auto"/>
            <w:bottom w:val="none" w:sz="0" w:space="0" w:color="auto"/>
            <w:right w:val="none" w:sz="0" w:space="0" w:color="auto"/>
          </w:divBdr>
          <w:divsChild>
            <w:div w:id="1022825181">
              <w:marLeft w:val="0"/>
              <w:marRight w:val="0"/>
              <w:marTop w:val="0"/>
              <w:marBottom w:val="0"/>
              <w:divBdr>
                <w:top w:val="single" w:sz="2" w:space="0" w:color="9D9487"/>
                <w:left w:val="single" w:sz="2" w:space="0" w:color="9D9487"/>
                <w:bottom w:val="none" w:sz="0" w:space="0" w:color="auto"/>
                <w:right w:val="single" w:sz="2" w:space="0" w:color="9D9487"/>
              </w:divBdr>
              <w:divsChild>
                <w:div w:id="1957789346">
                  <w:marLeft w:val="0"/>
                  <w:marRight w:val="0"/>
                  <w:marTop w:val="66"/>
                  <w:marBottom w:val="0"/>
                  <w:divBdr>
                    <w:top w:val="none" w:sz="0" w:space="0" w:color="auto"/>
                    <w:left w:val="none" w:sz="0" w:space="0" w:color="auto"/>
                    <w:bottom w:val="none" w:sz="0" w:space="0" w:color="auto"/>
                    <w:right w:val="none" w:sz="0" w:space="0" w:color="auto"/>
                  </w:divBdr>
                  <w:divsChild>
                    <w:div w:id="1294403721">
                      <w:marLeft w:val="0"/>
                      <w:marRight w:val="0"/>
                      <w:marTop w:val="0"/>
                      <w:marBottom w:val="0"/>
                      <w:divBdr>
                        <w:top w:val="none" w:sz="0" w:space="0" w:color="auto"/>
                        <w:left w:val="none" w:sz="0" w:space="0" w:color="auto"/>
                        <w:bottom w:val="none" w:sz="0" w:space="0" w:color="auto"/>
                        <w:right w:val="none" w:sz="0" w:space="0" w:color="auto"/>
                      </w:divBdr>
                      <w:divsChild>
                        <w:div w:id="18317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7398203">
      <w:bodyDiv w:val="1"/>
      <w:marLeft w:val="0"/>
      <w:marRight w:val="0"/>
      <w:marTop w:val="0"/>
      <w:marBottom w:val="0"/>
      <w:divBdr>
        <w:top w:val="none" w:sz="0" w:space="0" w:color="auto"/>
        <w:left w:val="none" w:sz="0" w:space="0" w:color="auto"/>
        <w:bottom w:val="none" w:sz="0" w:space="0" w:color="auto"/>
        <w:right w:val="none" w:sz="0" w:space="0" w:color="auto"/>
      </w:divBdr>
      <w:divsChild>
        <w:div w:id="1967813631">
          <w:marLeft w:val="0"/>
          <w:marRight w:val="0"/>
          <w:marTop w:val="0"/>
          <w:marBottom w:val="0"/>
          <w:divBdr>
            <w:top w:val="none" w:sz="0" w:space="0" w:color="auto"/>
            <w:left w:val="none" w:sz="0" w:space="0" w:color="auto"/>
            <w:bottom w:val="none" w:sz="0" w:space="0" w:color="auto"/>
            <w:right w:val="none" w:sz="0" w:space="0" w:color="auto"/>
          </w:divBdr>
          <w:divsChild>
            <w:div w:id="1163161587">
              <w:marLeft w:val="0"/>
              <w:marRight w:val="0"/>
              <w:marTop w:val="0"/>
              <w:marBottom w:val="0"/>
              <w:divBdr>
                <w:top w:val="single" w:sz="2" w:space="0" w:color="9D9487"/>
                <w:left w:val="single" w:sz="2" w:space="0" w:color="9D9487"/>
                <w:bottom w:val="none" w:sz="0" w:space="0" w:color="auto"/>
                <w:right w:val="single" w:sz="2" w:space="0" w:color="9D9487"/>
              </w:divBdr>
              <w:divsChild>
                <w:div w:id="1591767390">
                  <w:marLeft w:val="0"/>
                  <w:marRight w:val="0"/>
                  <w:marTop w:val="66"/>
                  <w:marBottom w:val="0"/>
                  <w:divBdr>
                    <w:top w:val="none" w:sz="0" w:space="0" w:color="auto"/>
                    <w:left w:val="none" w:sz="0" w:space="0" w:color="auto"/>
                    <w:bottom w:val="none" w:sz="0" w:space="0" w:color="auto"/>
                    <w:right w:val="none" w:sz="0" w:space="0" w:color="auto"/>
                  </w:divBdr>
                  <w:divsChild>
                    <w:div w:id="921984613">
                      <w:marLeft w:val="0"/>
                      <w:marRight w:val="0"/>
                      <w:marTop w:val="0"/>
                      <w:marBottom w:val="0"/>
                      <w:divBdr>
                        <w:top w:val="none" w:sz="0" w:space="0" w:color="auto"/>
                        <w:left w:val="none" w:sz="0" w:space="0" w:color="auto"/>
                        <w:bottom w:val="none" w:sz="0" w:space="0" w:color="auto"/>
                        <w:right w:val="none" w:sz="0" w:space="0" w:color="auto"/>
                      </w:divBdr>
                      <w:divsChild>
                        <w:div w:id="10734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325401">
      <w:bodyDiv w:val="1"/>
      <w:marLeft w:val="0"/>
      <w:marRight w:val="0"/>
      <w:marTop w:val="0"/>
      <w:marBottom w:val="0"/>
      <w:divBdr>
        <w:top w:val="none" w:sz="0" w:space="0" w:color="auto"/>
        <w:left w:val="none" w:sz="0" w:space="0" w:color="auto"/>
        <w:bottom w:val="none" w:sz="0" w:space="0" w:color="auto"/>
        <w:right w:val="none" w:sz="0" w:space="0" w:color="auto"/>
      </w:divBdr>
      <w:divsChild>
        <w:div w:id="1084033657">
          <w:marLeft w:val="0"/>
          <w:marRight w:val="0"/>
          <w:marTop w:val="0"/>
          <w:marBottom w:val="0"/>
          <w:divBdr>
            <w:top w:val="none" w:sz="0" w:space="0" w:color="auto"/>
            <w:left w:val="none" w:sz="0" w:space="0" w:color="auto"/>
            <w:bottom w:val="none" w:sz="0" w:space="0" w:color="auto"/>
            <w:right w:val="none" w:sz="0" w:space="0" w:color="auto"/>
          </w:divBdr>
          <w:divsChild>
            <w:div w:id="1819959047">
              <w:marLeft w:val="0"/>
              <w:marRight w:val="0"/>
              <w:marTop w:val="0"/>
              <w:marBottom w:val="0"/>
              <w:divBdr>
                <w:top w:val="single" w:sz="2" w:space="0" w:color="9D9487"/>
                <w:left w:val="single" w:sz="2" w:space="0" w:color="9D9487"/>
                <w:bottom w:val="none" w:sz="0" w:space="0" w:color="auto"/>
                <w:right w:val="single" w:sz="2" w:space="0" w:color="9D9487"/>
              </w:divBdr>
              <w:divsChild>
                <w:div w:id="1106657978">
                  <w:marLeft w:val="0"/>
                  <w:marRight w:val="0"/>
                  <w:marTop w:val="66"/>
                  <w:marBottom w:val="0"/>
                  <w:divBdr>
                    <w:top w:val="none" w:sz="0" w:space="0" w:color="auto"/>
                    <w:left w:val="none" w:sz="0" w:space="0" w:color="auto"/>
                    <w:bottom w:val="none" w:sz="0" w:space="0" w:color="auto"/>
                    <w:right w:val="none" w:sz="0" w:space="0" w:color="auto"/>
                  </w:divBdr>
                  <w:divsChild>
                    <w:div w:id="1672952851">
                      <w:marLeft w:val="0"/>
                      <w:marRight w:val="0"/>
                      <w:marTop w:val="0"/>
                      <w:marBottom w:val="0"/>
                      <w:divBdr>
                        <w:top w:val="none" w:sz="0" w:space="0" w:color="auto"/>
                        <w:left w:val="none" w:sz="0" w:space="0" w:color="auto"/>
                        <w:bottom w:val="none" w:sz="0" w:space="0" w:color="auto"/>
                        <w:right w:val="none" w:sz="0" w:space="0" w:color="auto"/>
                      </w:divBdr>
                      <w:divsChild>
                        <w:div w:id="188343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69741">
      <w:bodyDiv w:val="1"/>
      <w:marLeft w:val="0"/>
      <w:marRight w:val="0"/>
      <w:marTop w:val="0"/>
      <w:marBottom w:val="0"/>
      <w:divBdr>
        <w:top w:val="none" w:sz="0" w:space="0" w:color="auto"/>
        <w:left w:val="none" w:sz="0" w:space="0" w:color="auto"/>
        <w:bottom w:val="none" w:sz="0" w:space="0" w:color="auto"/>
        <w:right w:val="none" w:sz="0" w:space="0" w:color="auto"/>
      </w:divBdr>
    </w:div>
    <w:div w:id="1061708266">
      <w:bodyDiv w:val="1"/>
      <w:marLeft w:val="0"/>
      <w:marRight w:val="0"/>
      <w:marTop w:val="0"/>
      <w:marBottom w:val="0"/>
      <w:divBdr>
        <w:top w:val="none" w:sz="0" w:space="0" w:color="auto"/>
        <w:left w:val="none" w:sz="0" w:space="0" w:color="auto"/>
        <w:bottom w:val="none" w:sz="0" w:space="0" w:color="auto"/>
        <w:right w:val="none" w:sz="0" w:space="0" w:color="auto"/>
      </w:divBdr>
    </w:div>
    <w:div w:id="1161896428">
      <w:bodyDiv w:val="1"/>
      <w:marLeft w:val="0"/>
      <w:marRight w:val="0"/>
      <w:marTop w:val="0"/>
      <w:marBottom w:val="0"/>
      <w:divBdr>
        <w:top w:val="none" w:sz="0" w:space="0" w:color="auto"/>
        <w:left w:val="none" w:sz="0" w:space="0" w:color="auto"/>
        <w:bottom w:val="none" w:sz="0" w:space="0" w:color="auto"/>
        <w:right w:val="none" w:sz="0" w:space="0" w:color="auto"/>
      </w:divBdr>
    </w:div>
    <w:div w:id="1187524592">
      <w:bodyDiv w:val="1"/>
      <w:marLeft w:val="0"/>
      <w:marRight w:val="0"/>
      <w:marTop w:val="0"/>
      <w:marBottom w:val="0"/>
      <w:divBdr>
        <w:top w:val="none" w:sz="0" w:space="0" w:color="auto"/>
        <w:left w:val="none" w:sz="0" w:space="0" w:color="auto"/>
        <w:bottom w:val="none" w:sz="0" w:space="0" w:color="auto"/>
        <w:right w:val="none" w:sz="0" w:space="0" w:color="auto"/>
      </w:divBdr>
    </w:div>
    <w:div w:id="1218197986">
      <w:bodyDiv w:val="1"/>
      <w:marLeft w:val="0"/>
      <w:marRight w:val="0"/>
      <w:marTop w:val="0"/>
      <w:marBottom w:val="0"/>
      <w:divBdr>
        <w:top w:val="none" w:sz="0" w:space="0" w:color="auto"/>
        <w:left w:val="none" w:sz="0" w:space="0" w:color="auto"/>
        <w:bottom w:val="none" w:sz="0" w:space="0" w:color="auto"/>
        <w:right w:val="none" w:sz="0" w:space="0" w:color="auto"/>
      </w:divBdr>
    </w:div>
    <w:div w:id="1306736732">
      <w:bodyDiv w:val="1"/>
      <w:marLeft w:val="0"/>
      <w:marRight w:val="0"/>
      <w:marTop w:val="0"/>
      <w:marBottom w:val="0"/>
      <w:divBdr>
        <w:top w:val="none" w:sz="0" w:space="0" w:color="auto"/>
        <w:left w:val="none" w:sz="0" w:space="0" w:color="auto"/>
        <w:bottom w:val="none" w:sz="0" w:space="0" w:color="auto"/>
        <w:right w:val="none" w:sz="0" w:space="0" w:color="auto"/>
      </w:divBdr>
    </w:div>
    <w:div w:id="1573347834">
      <w:bodyDiv w:val="1"/>
      <w:marLeft w:val="0"/>
      <w:marRight w:val="0"/>
      <w:marTop w:val="0"/>
      <w:marBottom w:val="0"/>
      <w:divBdr>
        <w:top w:val="none" w:sz="0" w:space="0" w:color="auto"/>
        <w:left w:val="none" w:sz="0" w:space="0" w:color="auto"/>
        <w:bottom w:val="none" w:sz="0" w:space="0" w:color="auto"/>
        <w:right w:val="none" w:sz="0" w:space="0" w:color="auto"/>
      </w:divBdr>
    </w:div>
    <w:div w:id="1642418352">
      <w:bodyDiv w:val="1"/>
      <w:marLeft w:val="0"/>
      <w:marRight w:val="0"/>
      <w:marTop w:val="0"/>
      <w:marBottom w:val="0"/>
      <w:divBdr>
        <w:top w:val="none" w:sz="0" w:space="0" w:color="auto"/>
        <w:left w:val="none" w:sz="0" w:space="0" w:color="auto"/>
        <w:bottom w:val="none" w:sz="0" w:space="0" w:color="auto"/>
        <w:right w:val="none" w:sz="0" w:space="0" w:color="auto"/>
      </w:divBdr>
    </w:div>
    <w:div w:id="1701273998">
      <w:bodyDiv w:val="1"/>
      <w:marLeft w:val="0"/>
      <w:marRight w:val="0"/>
      <w:marTop w:val="0"/>
      <w:marBottom w:val="0"/>
      <w:divBdr>
        <w:top w:val="none" w:sz="0" w:space="0" w:color="auto"/>
        <w:left w:val="none" w:sz="0" w:space="0" w:color="auto"/>
        <w:bottom w:val="none" w:sz="0" w:space="0" w:color="auto"/>
        <w:right w:val="none" w:sz="0" w:space="0" w:color="auto"/>
      </w:divBdr>
    </w:div>
    <w:div w:id="1723400913">
      <w:bodyDiv w:val="1"/>
      <w:marLeft w:val="0"/>
      <w:marRight w:val="0"/>
      <w:marTop w:val="0"/>
      <w:marBottom w:val="0"/>
      <w:divBdr>
        <w:top w:val="none" w:sz="0" w:space="0" w:color="auto"/>
        <w:left w:val="none" w:sz="0" w:space="0" w:color="auto"/>
        <w:bottom w:val="none" w:sz="0" w:space="0" w:color="auto"/>
        <w:right w:val="none" w:sz="0" w:space="0" w:color="auto"/>
      </w:divBdr>
    </w:div>
    <w:div w:id="1743019773">
      <w:bodyDiv w:val="1"/>
      <w:marLeft w:val="0"/>
      <w:marRight w:val="0"/>
      <w:marTop w:val="0"/>
      <w:marBottom w:val="0"/>
      <w:divBdr>
        <w:top w:val="none" w:sz="0" w:space="0" w:color="auto"/>
        <w:left w:val="none" w:sz="0" w:space="0" w:color="auto"/>
        <w:bottom w:val="none" w:sz="0" w:space="0" w:color="auto"/>
        <w:right w:val="none" w:sz="0" w:space="0" w:color="auto"/>
      </w:divBdr>
    </w:div>
    <w:div w:id="1761097113">
      <w:bodyDiv w:val="1"/>
      <w:marLeft w:val="0"/>
      <w:marRight w:val="0"/>
      <w:marTop w:val="0"/>
      <w:marBottom w:val="0"/>
      <w:divBdr>
        <w:top w:val="none" w:sz="0" w:space="0" w:color="auto"/>
        <w:left w:val="none" w:sz="0" w:space="0" w:color="auto"/>
        <w:bottom w:val="none" w:sz="0" w:space="0" w:color="auto"/>
        <w:right w:val="none" w:sz="0" w:space="0" w:color="auto"/>
      </w:divBdr>
      <w:divsChild>
        <w:div w:id="902253779">
          <w:marLeft w:val="0"/>
          <w:marRight w:val="0"/>
          <w:marTop w:val="0"/>
          <w:marBottom w:val="0"/>
          <w:divBdr>
            <w:top w:val="none" w:sz="0" w:space="0" w:color="auto"/>
            <w:left w:val="none" w:sz="0" w:space="0" w:color="auto"/>
            <w:bottom w:val="none" w:sz="0" w:space="0" w:color="auto"/>
            <w:right w:val="none" w:sz="0" w:space="0" w:color="auto"/>
          </w:divBdr>
          <w:divsChild>
            <w:div w:id="6565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39965">
      <w:bodyDiv w:val="1"/>
      <w:marLeft w:val="0"/>
      <w:marRight w:val="0"/>
      <w:marTop w:val="0"/>
      <w:marBottom w:val="0"/>
      <w:divBdr>
        <w:top w:val="none" w:sz="0" w:space="0" w:color="auto"/>
        <w:left w:val="none" w:sz="0" w:space="0" w:color="auto"/>
        <w:bottom w:val="none" w:sz="0" w:space="0" w:color="auto"/>
        <w:right w:val="none" w:sz="0" w:space="0" w:color="auto"/>
      </w:divBdr>
      <w:divsChild>
        <w:div w:id="425853127">
          <w:marLeft w:val="0"/>
          <w:marRight w:val="0"/>
          <w:marTop w:val="0"/>
          <w:marBottom w:val="0"/>
          <w:divBdr>
            <w:top w:val="none" w:sz="0" w:space="0" w:color="auto"/>
            <w:left w:val="none" w:sz="0" w:space="0" w:color="auto"/>
            <w:bottom w:val="none" w:sz="0" w:space="0" w:color="auto"/>
            <w:right w:val="none" w:sz="0" w:space="0" w:color="auto"/>
          </w:divBdr>
          <w:divsChild>
            <w:div w:id="1307206140">
              <w:marLeft w:val="0"/>
              <w:marRight w:val="0"/>
              <w:marTop w:val="0"/>
              <w:marBottom w:val="0"/>
              <w:divBdr>
                <w:top w:val="none" w:sz="0" w:space="0" w:color="auto"/>
                <w:left w:val="none" w:sz="0" w:space="0" w:color="auto"/>
                <w:bottom w:val="none" w:sz="0" w:space="0" w:color="auto"/>
                <w:right w:val="none" w:sz="0" w:space="0" w:color="auto"/>
              </w:divBdr>
              <w:divsChild>
                <w:div w:id="1912962692">
                  <w:marLeft w:val="0"/>
                  <w:marRight w:val="0"/>
                  <w:marTop w:val="0"/>
                  <w:marBottom w:val="0"/>
                  <w:divBdr>
                    <w:top w:val="none" w:sz="0" w:space="0" w:color="auto"/>
                    <w:left w:val="none" w:sz="0" w:space="0" w:color="auto"/>
                    <w:bottom w:val="none" w:sz="0" w:space="0" w:color="auto"/>
                    <w:right w:val="none" w:sz="0" w:space="0" w:color="auto"/>
                  </w:divBdr>
                  <w:divsChild>
                    <w:div w:id="2006782396">
                      <w:marLeft w:val="1464"/>
                      <w:marRight w:val="0"/>
                      <w:marTop w:val="0"/>
                      <w:marBottom w:val="0"/>
                      <w:divBdr>
                        <w:top w:val="none" w:sz="0" w:space="0" w:color="auto"/>
                        <w:left w:val="none" w:sz="0" w:space="0" w:color="auto"/>
                        <w:bottom w:val="none" w:sz="0" w:space="0" w:color="auto"/>
                        <w:right w:val="none" w:sz="0" w:space="0" w:color="auto"/>
                      </w:divBdr>
                      <w:divsChild>
                        <w:div w:id="934171136">
                          <w:marLeft w:val="0"/>
                          <w:marRight w:val="0"/>
                          <w:marTop w:val="0"/>
                          <w:marBottom w:val="0"/>
                          <w:divBdr>
                            <w:top w:val="none" w:sz="0" w:space="0" w:color="auto"/>
                            <w:left w:val="none" w:sz="0" w:space="0" w:color="auto"/>
                            <w:bottom w:val="none" w:sz="0" w:space="0" w:color="auto"/>
                            <w:right w:val="none" w:sz="0" w:space="0" w:color="auto"/>
                          </w:divBdr>
                          <w:divsChild>
                            <w:div w:id="750352267">
                              <w:marLeft w:val="0"/>
                              <w:marRight w:val="0"/>
                              <w:marTop w:val="0"/>
                              <w:marBottom w:val="0"/>
                              <w:divBdr>
                                <w:top w:val="none" w:sz="0" w:space="0" w:color="auto"/>
                                <w:left w:val="none" w:sz="0" w:space="0" w:color="auto"/>
                                <w:bottom w:val="none" w:sz="0" w:space="0" w:color="auto"/>
                                <w:right w:val="none" w:sz="0" w:space="0" w:color="auto"/>
                              </w:divBdr>
                              <w:divsChild>
                                <w:div w:id="164176332">
                                  <w:marLeft w:val="0"/>
                                  <w:marRight w:val="0"/>
                                  <w:marTop w:val="0"/>
                                  <w:marBottom w:val="0"/>
                                  <w:divBdr>
                                    <w:top w:val="none" w:sz="0" w:space="0" w:color="auto"/>
                                    <w:left w:val="none" w:sz="0" w:space="0" w:color="auto"/>
                                    <w:bottom w:val="none" w:sz="0" w:space="0" w:color="auto"/>
                                    <w:right w:val="none" w:sz="0" w:space="0" w:color="auto"/>
                                  </w:divBdr>
                                  <w:divsChild>
                                    <w:div w:id="1868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0197189">
      <w:bodyDiv w:val="1"/>
      <w:marLeft w:val="0"/>
      <w:marRight w:val="0"/>
      <w:marTop w:val="0"/>
      <w:marBottom w:val="0"/>
      <w:divBdr>
        <w:top w:val="none" w:sz="0" w:space="0" w:color="auto"/>
        <w:left w:val="none" w:sz="0" w:space="0" w:color="auto"/>
        <w:bottom w:val="none" w:sz="0" w:space="0" w:color="auto"/>
        <w:right w:val="none" w:sz="0" w:space="0" w:color="auto"/>
      </w:divBdr>
    </w:div>
    <w:div w:id="1797139838">
      <w:bodyDiv w:val="1"/>
      <w:marLeft w:val="0"/>
      <w:marRight w:val="0"/>
      <w:marTop w:val="0"/>
      <w:marBottom w:val="0"/>
      <w:divBdr>
        <w:top w:val="none" w:sz="0" w:space="0" w:color="auto"/>
        <w:left w:val="none" w:sz="0" w:space="0" w:color="auto"/>
        <w:bottom w:val="none" w:sz="0" w:space="0" w:color="auto"/>
        <w:right w:val="none" w:sz="0" w:space="0" w:color="auto"/>
      </w:divBdr>
      <w:divsChild>
        <w:div w:id="895898436">
          <w:marLeft w:val="0"/>
          <w:marRight w:val="0"/>
          <w:marTop w:val="0"/>
          <w:marBottom w:val="0"/>
          <w:divBdr>
            <w:top w:val="none" w:sz="0" w:space="0" w:color="auto"/>
            <w:left w:val="none" w:sz="0" w:space="0" w:color="auto"/>
            <w:bottom w:val="none" w:sz="0" w:space="0" w:color="auto"/>
            <w:right w:val="none" w:sz="0" w:space="0" w:color="auto"/>
          </w:divBdr>
          <w:divsChild>
            <w:div w:id="153750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57509">
      <w:bodyDiv w:val="1"/>
      <w:marLeft w:val="0"/>
      <w:marRight w:val="0"/>
      <w:marTop w:val="0"/>
      <w:marBottom w:val="0"/>
      <w:divBdr>
        <w:top w:val="none" w:sz="0" w:space="0" w:color="auto"/>
        <w:left w:val="none" w:sz="0" w:space="0" w:color="auto"/>
        <w:bottom w:val="none" w:sz="0" w:space="0" w:color="auto"/>
        <w:right w:val="none" w:sz="0" w:space="0" w:color="auto"/>
      </w:divBdr>
    </w:div>
    <w:div w:id="1839735722">
      <w:bodyDiv w:val="1"/>
      <w:marLeft w:val="0"/>
      <w:marRight w:val="0"/>
      <w:marTop w:val="0"/>
      <w:marBottom w:val="0"/>
      <w:divBdr>
        <w:top w:val="none" w:sz="0" w:space="0" w:color="auto"/>
        <w:left w:val="none" w:sz="0" w:space="0" w:color="auto"/>
        <w:bottom w:val="none" w:sz="0" w:space="0" w:color="auto"/>
        <w:right w:val="none" w:sz="0" w:space="0" w:color="auto"/>
      </w:divBdr>
    </w:div>
    <w:div w:id="1850096798">
      <w:bodyDiv w:val="1"/>
      <w:marLeft w:val="0"/>
      <w:marRight w:val="0"/>
      <w:marTop w:val="0"/>
      <w:marBottom w:val="0"/>
      <w:divBdr>
        <w:top w:val="none" w:sz="0" w:space="0" w:color="auto"/>
        <w:left w:val="none" w:sz="0" w:space="0" w:color="auto"/>
        <w:bottom w:val="none" w:sz="0" w:space="0" w:color="auto"/>
        <w:right w:val="none" w:sz="0" w:space="0" w:color="auto"/>
      </w:divBdr>
    </w:div>
    <w:div w:id="1860730745">
      <w:bodyDiv w:val="1"/>
      <w:marLeft w:val="0"/>
      <w:marRight w:val="0"/>
      <w:marTop w:val="0"/>
      <w:marBottom w:val="0"/>
      <w:divBdr>
        <w:top w:val="none" w:sz="0" w:space="0" w:color="auto"/>
        <w:left w:val="none" w:sz="0" w:space="0" w:color="auto"/>
        <w:bottom w:val="none" w:sz="0" w:space="0" w:color="auto"/>
        <w:right w:val="none" w:sz="0" w:space="0" w:color="auto"/>
      </w:divBdr>
    </w:div>
    <w:div w:id="1863203632">
      <w:bodyDiv w:val="1"/>
      <w:marLeft w:val="0"/>
      <w:marRight w:val="0"/>
      <w:marTop w:val="0"/>
      <w:marBottom w:val="0"/>
      <w:divBdr>
        <w:top w:val="none" w:sz="0" w:space="0" w:color="auto"/>
        <w:left w:val="none" w:sz="0" w:space="0" w:color="auto"/>
        <w:bottom w:val="none" w:sz="0" w:space="0" w:color="auto"/>
        <w:right w:val="none" w:sz="0" w:space="0" w:color="auto"/>
      </w:divBdr>
    </w:div>
    <w:div w:id="214692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foodstandards.gov.au/foodstandards/proposals/proposalp293nutritionhealthandrelatedclaims/index.cfm" TargetMode="External"/><Relationship Id="rId2" Type="http://schemas.openxmlformats.org/officeDocument/2006/relationships/numbering" Target="numbering.xml"/><Relationship Id="rId16" Type="http://schemas.openxmlformats.org/officeDocument/2006/relationships/hyperlink" Target="http://www.foodstandards.gov.au/foodstandards/applications/applicationa1034adva4493.cfm"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cid:image001.png@01CBF53D.EBA5E88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foodstandards.gov.au/foodstandards/changingthecode/ministerialcouncilpolicyguidelines/" TargetMode="External"/><Relationship Id="rId3" Type="http://schemas.openxmlformats.org/officeDocument/2006/relationships/hyperlink" Target="http://www.health.gov.au/internet/main/publishing.nsf/content/foodsecretariat-isc.htm" TargetMode="External"/><Relationship Id="rId7" Type="http://schemas.openxmlformats.org/officeDocument/2006/relationships/hyperlink" Target="http://www.foodstandards.gov.au/_srcfiles/A1034%20Advantame%202AR%20SD1%20Risk%20Assess%20AMENDED.pdf" TargetMode="External"/><Relationship Id="rId2" Type="http://schemas.openxmlformats.org/officeDocument/2006/relationships/hyperlink" Target="http://www.foodstandards.gov.au/scienceandeducation/factsheets/factsheets2009/aspartamejuly2009.cfm" TargetMode="External"/><Relationship Id="rId1" Type="http://schemas.openxmlformats.org/officeDocument/2006/relationships/hyperlink" Target="http://www.foodstandards.gov.au/foodstandards/changingthecode/ministerialcouncilpolicyguidelines/" TargetMode="External"/><Relationship Id="rId6" Type="http://schemas.openxmlformats.org/officeDocument/2006/relationships/hyperlink" Target="http://cot.food.gov.uk/pdfs/cotstatementmethanol201102.pdf" TargetMode="External"/><Relationship Id="rId5" Type="http://schemas.openxmlformats.org/officeDocument/2006/relationships/hyperlink" Target="http://en.wikipedia.org/wiki/Feces" TargetMode="External"/><Relationship Id="rId4" Type="http://schemas.openxmlformats.org/officeDocument/2006/relationships/hyperlink" Target="http://ec.europa.eu/food/fs/sc/scf/out68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2FC82-7CD7-463E-B62C-A5486D08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32</Pages>
  <Words>13111</Words>
  <Characters>74631</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PLEASE REFER TO ANZFA’S GUIDE TO APPLICATIONS AND PROPOSALS FOR A MORE DETAILED EXPLANATION OF THE PROCESS ON HOW TO UNDERTAKE</vt:lpstr>
    </vt:vector>
  </TitlesOfParts>
  <Company>ANZFA</Company>
  <LinksUpToDate>false</LinksUpToDate>
  <CharactersWithSpaces>87567</CharactersWithSpaces>
  <SharedDoc>false</SharedDoc>
  <HLinks>
    <vt:vector size="192" baseType="variant">
      <vt:variant>
        <vt:i4>3407978</vt:i4>
      </vt:variant>
      <vt:variant>
        <vt:i4>180</vt:i4>
      </vt:variant>
      <vt:variant>
        <vt:i4>0</vt:i4>
      </vt:variant>
      <vt:variant>
        <vt:i4>5</vt:i4>
      </vt:variant>
      <vt:variant>
        <vt:lpwstr>../../../../Standards Management/WTO/WTO Procedures for staff/WTO Procedures for staff.doc</vt:lpwstr>
      </vt:variant>
      <vt:variant>
        <vt:lpwstr/>
      </vt:variant>
      <vt:variant>
        <vt:i4>1310776</vt:i4>
      </vt:variant>
      <vt:variant>
        <vt:i4>173</vt:i4>
      </vt:variant>
      <vt:variant>
        <vt:i4>0</vt:i4>
      </vt:variant>
      <vt:variant>
        <vt:i4>5</vt:i4>
      </vt:variant>
      <vt:variant>
        <vt:lpwstr/>
      </vt:variant>
      <vt:variant>
        <vt:lpwstr>_Toc175381460</vt:lpwstr>
      </vt:variant>
      <vt:variant>
        <vt:i4>1507384</vt:i4>
      </vt:variant>
      <vt:variant>
        <vt:i4>167</vt:i4>
      </vt:variant>
      <vt:variant>
        <vt:i4>0</vt:i4>
      </vt:variant>
      <vt:variant>
        <vt:i4>5</vt:i4>
      </vt:variant>
      <vt:variant>
        <vt:lpwstr/>
      </vt:variant>
      <vt:variant>
        <vt:lpwstr>_Toc175381459</vt:lpwstr>
      </vt:variant>
      <vt:variant>
        <vt:i4>1507384</vt:i4>
      </vt:variant>
      <vt:variant>
        <vt:i4>164</vt:i4>
      </vt:variant>
      <vt:variant>
        <vt:i4>0</vt:i4>
      </vt:variant>
      <vt:variant>
        <vt:i4>5</vt:i4>
      </vt:variant>
      <vt:variant>
        <vt:lpwstr/>
      </vt:variant>
      <vt:variant>
        <vt:lpwstr>_Toc175381458</vt:lpwstr>
      </vt:variant>
      <vt:variant>
        <vt:i4>1507384</vt:i4>
      </vt:variant>
      <vt:variant>
        <vt:i4>158</vt:i4>
      </vt:variant>
      <vt:variant>
        <vt:i4>0</vt:i4>
      </vt:variant>
      <vt:variant>
        <vt:i4>5</vt:i4>
      </vt:variant>
      <vt:variant>
        <vt:lpwstr/>
      </vt:variant>
      <vt:variant>
        <vt:lpwstr>_Toc175381457</vt:lpwstr>
      </vt:variant>
      <vt:variant>
        <vt:i4>1507384</vt:i4>
      </vt:variant>
      <vt:variant>
        <vt:i4>152</vt:i4>
      </vt:variant>
      <vt:variant>
        <vt:i4>0</vt:i4>
      </vt:variant>
      <vt:variant>
        <vt:i4>5</vt:i4>
      </vt:variant>
      <vt:variant>
        <vt:lpwstr/>
      </vt:variant>
      <vt:variant>
        <vt:lpwstr>_Toc175381456</vt:lpwstr>
      </vt:variant>
      <vt:variant>
        <vt:i4>1507384</vt:i4>
      </vt:variant>
      <vt:variant>
        <vt:i4>146</vt:i4>
      </vt:variant>
      <vt:variant>
        <vt:i4>0</vt:i4>
      </vt:variant>
      <vt:variant>
        <vt:i4>5</vt:i4>
      </vt:variant>
      <vt:variant>
        <vt:lpwstr/>
      </vt:variant>
      <vt:variant>
        <vt:lpwstr>_Toc175381455</vt:lpwstr>
      </vt:variant>
      <vt:variant>
        <vt:i4>1507384</vt:i4>
      </vt:variant>
      <vt:variant>
        <vt:i4>140</vt:i4>
      </vt:variant>
      <vt:variant>
        <vt:i4>0</vt:i4>
      </vt:variant>
      <vt:variant>
        <vt:i4>5</vt:i4>
      </vt:variant>
      <vt:variant>
        <vt:lpwstr/>
      </vt:variant>
      <vt:variant>
        <vt:lpwstr>_Toc175381454</vt:lpwstr>
      </vt:variant>
      <vt:variant>
        <vt:i4>1507384</vt:i4>
      </vt:variant>
      <vt:variant>
        <vt:i4>134</vt:i4>
      </vt:variant>
      <vt:variant>
        <vt:i4>0</vt:i4>
      </vt:variant>
      <vt:variant>
        <vt:i4>5</vt:i4>
      </vt:variant>
      <vt:variant>
        <vt:lpwstr/>
      </vt:variant>
      <vt:variant>
        <vt:lpwstr>_Toc175381453</vt:lpwstr>
      </vt:variant>
      <vt:variant>
        <vt:i4>1507384</vt:i4>
      </vt:variant>
      <vt:variant>
        <vt:i4>128</vt:i4>
      </vt:variant>
      <vt:variant>
        <vt:i4>0</vt:i4>
      </vt:variant>
      <vt:variant>
        <vt:i4>5</vt:i4>
      </vt:variant>
      <vt:variant>
        <vt:lpwstr/>
      </vt:variant>
      <vt:variant>
        <vt:lpwstr>_Toc175381452</vt:lpwstr>
      </vt:variant>
      <vt:variant>
        <vt:i4>1507384</vt:i4>
      </vt:variant>
      <vt:variant>
        <vt:i4>122</vt:i4>
      </vt:variant>
      <vt:variant>
        <vt:i4>0</vt:i4>
      </vt:variant>
      <vt:variant>
        <vt:i4>5</vt:i4>
      </vt:variant>
      <vt:variant>
        <vt:lpwstr/>
      </vt:variant>
      <vt:variant>
        <vt:lpwstr>_Toc175381451</vt:lpwstr>
      </vt:variant>
      <vt:variant>
        <vt:i4>1507384</vt:i4>
      </vt:variant>
      <vt:variant>
        <vt:i4>116</vt:i4>
      </vt:variant>
      <vt:variant>
        <vt:i4>0</vt:i4>
      </vt:variant>
      <vt:variant>
        <vt:i4>5</vt:i4>
      </vt:variant>
      <vt:variant>
        <vt:lpwstr/>
      </vt:variant>
      <vt:variant>
        <vt:lpwstr>_Toc175381450</vt:lpwstr>
      </vt:variant>
      <vt:variant>
        <vt:i4>1441848</vt:i4>
      </vt:variant>
      <vt:variant>
        <vt:i4>110</vt:i4>
      </vt:variant>
      <vt:variant>
        <vt:i4>0</vt:i4>
      </vt:variant>
      <vt:variant>
        <vt:i4>5</vt:i4>
      </vt:variant>
      <vt:variant>
        <vt:lpwstr/>
      </vt:variant>
      <vt:variant>
        <vt:lpwstr>_Toc175381449</vt:lpwstr>
      </vt:variant>
      <vt:variant>
        <vt:i4>1441848</vt:i4>
      </vt:variant>
      <vt:variant>
        <vt:i4>104</vt:i4>
      </vt:variant>
      <vt:variant>
        <vt:i4>0</vt:i4>
      </vt:variant>
      <vt:variant>
        <vt:i4>5</vt:i4>
      </vt:variant>
      <vt:variant>
        <vt:lpwstr/>
      </vt:variant>
      <vt:variant>
        <vt:lpwstr>_Toc175381448</vt:lpwstr>
      </vt:variant>
      <vt:variant>
        <vt:i4>1441848</vt:i4>
      </vt:variant>
      <vt:variant>
        <vt:i4>98</vt:i4>
      </vt:variant>
      <vt:variant>
        <vt:i4>0</vt:i4>
      </vt:variant>
      <vt:variant>
        <vt:i4>5</vt:i4>
      </vt:variant>
      <vt:variant>
        <vt:lpwstr/>
      </vt:variant>
      <vt:variant>
        <vt:lpwstr>_Toc175381447</vt:lpwstr>
      </vt:variant>
      <vt:variant>
        <vt:i4>1441848</vt:i4>
      </vt:variant>
      <vt:variant>
        <vt:i4>92</vt:i4>
      </vt:variant>
      <vt:variant>
        <vt:i4>0</vt:i4>
      </vt:variant>
      <vt:variant>
        <vt:i4>5</vt:i4>
      </vt:variant>
      <vt:variant>
        <vt:lpwstr/>
      </vt:variant>
      <vt:variant>
        <vt:lpwstr>_Toc175381446</vt:lpwstr>
      </vt:variant>
      <vt:variant>
        <vt:i4>1441848</vt:i4>
      </vt:variant>
      <vt:variant>
        <vt:i4>86</vt:i4>
      </vt:variant>
      <vt:variant>
        <vt:i4>0</vt:i4>
      </vt:variant>
      <vt:variant>
        <vt:i4>5</vt:i4>
      </vt:variant>
      <vt:variant>
        <vt:lpwstr/>
      </vt:variant>
      <vt:variant>
        <vt:lpwstr>_Toc175381445</vt:lpwstr>
      </vt:variant>
      <vt:variant>
        <vt:i4>1441848</vt:i4>
      </vt:variant>
      <vt:variant>
        <vt:i4>80</vt:i4>
      </vt:variant>
      <vt:variant>
        <vt:i4>0</vt:i4>
      </vt:variant>
      <vt:variant>
        <vt:i4>5</vt:i4>
      </vt:variant>
      <vt:variant>
        <vt:lpwstr/>
      </vt:variant>
      <vt:variant>
        <vt:lpwstr>_Toc175381444</vt:lpwstr>
      </vt:variant>
      <vt:variant>
        <vt:i4>1441848</vt:i4>
      </vt:variant>
      <vt:variant>
        <vt:i4>74</vt:i4>
      </vt:variant>
      <vt:variant>
        <vt:i4>0</vt:i4>
      </vt:variant>
      <vt:variant>
        <vt:i4>5</vt:i4>
      </vt:variant>
      <vt:variant>
        <vt:lpwstr/>
      </vt:variant>
      <vt:variant>
        <vt:lpwstr>_Toc175381443</vt:lpwstr>
      </vt:variant>
      <vt:variant>
        <vt:i4>1441848</vt:i4>
      </vt:variant>
      <vt:variant>
        <vt:i4>68</vt:i4>
      </vt:variant>
      <vt:variant>
        <vt:i4>0</vt:i4>
      </vt:variant>
      <vt:variant>
        <vt:i4>5</vt:i4>
      </vt:variant>
      <vt:variant>
        <vt:lpwstr/>
      </vt:variant>
      <vt:variant>
        <vt:lpwstr>_Toc175381442</vt:lpwstr>
      </vt:variant>
      <vt:variant>
        <vt:i4>1441848</vt:i4>
      </vt:variant>
      <vt:variant>
        <vt:i4>62</vt:i4>
      </vt:variant>
      <vt:variant>
        <vt:i4>0</vt:i4>
      </vt:variant>
      <vt:variant>
        <vt:i4>5</vt:i4>
      </vt:variant>
      <vt:variant>
        <vt:lpwstr/>
      </vt:variant>
      <vt:variant>
        <vt:lpwstr>_Toc175381441</vt:lpwstr>
      </vt:variant>
      <vt:variant>
        <vt:i4>1441848</vt:i4>
      </vt:variant>
      <vt:variant>
        <vt:i4>56</vt:i4>
      </vt:variant>
      <vt:variant>
        <vt:i4>0</vt:i4>
      </vt:variant>
      <vt:variant>
        <vt:i4>5</vt:i4>
      </vt:variant>
      <vt:variant>
        <vt:lpwstr/>
      </vt:variant>
      <vt:variant>
        <vt:lpwstr>_Toc175381440</vt:lpwstr>
      </vt:variant>
      <vt:variant>
        <vt:i4>1114168</vt:i4>
      </vt:variant>
      <vt:variant>
        <vt:i4>50</vt:i4>
      </vt:variant>
      <vt:variant>
        <vt:i4>0</vt:i4>
      </vt:variant>
      <vt:variant>
        <vt:i4>5</vt:i4>
      </vt:variant>
      <vt:variant>
        <vt:lpwstr/>
      </vt:variant>
      <vt:variant>
        <vt:lpwstr>_Toc175381439</vt:lpwstr>
      </vt:variant>
      <vt:variant>
        <vt:i4>1114168</vt:i4>
      </vt:variant>
      <vt:variant>
        <vt:i4>44</vt:i4>
      </vt:variant>
      <vt:variant>
        <vt:i4>0</vt:i4>
      </vt:variant>
      <vt:variant>
        <vt:i4>5</vt:i4>
      </vt:variant>
      <vt:variant>
        <vt:lpwstr/>
      </vt:variant>
      <vt:variant>
        <vt:lpwstr>_Toc175381438</vt:lpwstr>
      </vt:variant>
      <vt:variant>
        <vt:i4>1114168</vt:i4>
      </vt:variant>
      <vt:variant>
        <vt:i4>38</vt:i4>
      </vt:variant>
      <vt:variant>
        <vt:i4>0</vt:i4>
      </vt:variant>
      <vt:variant>
        <vt:i4>5</vt:i4>
      </vt:variant>
      <vt:variant>
        <vt:lpwstr/>
      </vt:variant>
      <vt:variant>
        <vt:lpwstr>_Toc175381437</vt:lpwstr>
      </vt:variant>
      <vt:variant>
        <vt:i4>1114168</vt:i4>
      </vt:variant>
      <vt:variant>
        <vt:i4>32</vt:i4>
      </vt:variant>
      <vt:variant>
        <vt:i4>0</vt:i4>
      </vt:variant>
      <vt:variant>
        <vt:i4>5</vt:i4>
      </vt:variant>
      <vt:variant>
        <vt:lpwstr/>
      </vt:variant>
      <vt:variant>
        <vt:lpwstr>_Toc175381436</vt:lpwstr>
      </vt:variant>
      <vt:variant>
        <vt:i4>1114168</vt:i4>
      </vt:variant>
      <vt:variant>
        <vt:i4>26</vt:i4>
      </vt:variant>
      <vt:variant>
        <vt:i4>0</vt:i4>
      </vt:variant>
      <vt:variant>
        <vt:i4>5</vt:i4>
      </vt:variant>
      <vt:variant>
        <vt:lpwstr/>
      </vt:variant>
      <vt:variant>
        <vt:lpwstr>_Toc175381435</vt:lpwstr>
      </vt:variant>
      <vt:variant>
        <vt:i4>1114168</vt:i4>
      </vt:variant>
      <vt:variant>
        <vt:i4>20</vt:i4>
      </vt:variant>
      <vt:variant>
        <vt:i4>0</vt:i4>
      </vt:variant>
      <vt:variant>
        <vt:i4>5</vt:i4>
      </vt:variant>
      <vt:variant>
        <vt:lpwstr/>
      </vt:variant>
      <vt:variant>
        <vt:lpwstr>_Toc175381434</vt:lpwstr>
      </vt:variant>
      <vt:variant>
        <vt:i4>1114168</vt:i4>
      </vt:variant>
      <vt:variant>
        <vt:i4>14</vt:i4>
      </vt:variant>
      <vt:variant>
        <vt:i4>0</vt:i4>
      </vt:variant>
      <vt:variant>
        <vt:i4>5</vt:i4>
      </vt:variant>
      <vt:variant>
        <vt:lpwstr/>
      </vt:variant>
      <vt:variant>
        <vt:lpwstr>_Toc175381433</vt:lpwstr>
      </vt:variant>
      <vt:variant>
        <vt:i4>1114168</vt:i4>
      </vt:variant>
      <vt:variant>
        <vt:i4>8</vt:i4>
      </vt:variant>
      <vt:variant>
        <vt:i4>0</vt:i4>
      </vt:variant>
      <vt:variant>
        <vt:i4>5</vt:i4>
      </vt:variant>
      <vt:variant>
        <vt:lpwstr/>
      </vt:variant>
      <vt:variant>
        <vt:lpwstr>_Toc175381432</vt:lpwstr>
      </vt:variant>
      <vt:variant>
        <vt:i4>3932161</vt:i4>
      </vt:variant>
      <vt:variant>
        <vt:i4>3</vt:i4>
      </vt:variant>
      <vt:variant>
        <vt:i4>0</vt:i4>
      </vt:variant>
      <vt:variant>
        <vt:i4>5</vt:i4>
      </vt:variant>
      <vt:variant>
        <vt:lpwstr>mailto:standards.management@foodstandards.gov.au</vt:lpwstr>
      </vt:variant>
      <vt:variant>
        <vt:lpwstr/>
      </vt:variant>
      <vt:variant>
        <vt:i4>8060957</vt:i4>
      </vt:variant>
      <vt:variant>
        <vt:i4>0</vt:i4>
      </vt:variant>
      <vt:variant>
        <vt:i4>0</vt:i4>
      </vt:variant>
      <vt:variant>
        <vt:i4>5</vt:i4>
      </vt:variant>
      <vt:variant>
        <vt:lpwstr>mailto:submissions@foodstandards.gov.au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REFER TO ANZFA’S GUIDE TO APPLICATIONS AND PROPOSALS FOR A MORE DETAILED EXPLANATION OF THE PROCESS ON HOW TO UNDERTAKE</dc:title>
  <dc:creator>stanlg</dc:creator>
  <cp:lastModifiedBy>Humphries, Cathie</cp:lastModifiedBy>
  <cp:revision>14</cp:revision>
  <cp:lastPrinted>2011-06-27T07:44:00Z</cp:lastPrinted>
  <dcterms:created xsi:type="dcterms:W3CDTF">2011-06-21T21:29:00Z</dcterms:created>
  <dcterms:modified xsi:type="dcterms:W3CDTF">2011-09-05T02:51:00Z</dcterms:modified>
</cp:coreProperties>
</file>