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06F" w:rsidRDefault="0073506F" w:rsidP="0073506F">
      <w:r>
        <w:rPr>
          <w:noProof/>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73506F" w:rsidRDefault="00180D19" w:rsidP="0073506F">
      <w:pPr>
        <w:pStyle w:val="Title"/>
      </w:pPr>
      <w:bookmarkStart w:id="0" w:name="Citation"/>
      <w:r w:rsidRPr="00180D19">
        <w:t>Telecommunications (Customer Service Guarantee</w:t>
      </w:r>
      <w:r w:rsidR="00825CA6">
        <w:t>)</w:t>
      </w:r>
      <w:r w:rsidRPr="00180D19">
        <w:t xml:space="preserve"> Re</w:t>
      </w:r>
      <w:r>
        <w:t>cord-</w:t>
      </w:r>
      <w:r w:rsidR="00825CA6">
        <w:t>K</w:t>
      </w:r>
      <w:r>
        <w:t xml:space="preserve">eeping Rules 2011 </w:t>
      </w:r>
      <w:bookmarkEnd w:id="0"/>
    </w:p>
    <w:p w:rsidR="00505EC1" w:rsidRDefault="00505EC1" w:rsidP="0073506F">
      <w:pPr>
        <w:pStyle w:val="CoverAct"/>
        <w:rPr>
          <w:lang w:val="en-US"/>
        </w:rPr>
      </w:pPr>
    </w:p>
    <w:p w:rsidR="0073506F" w:rsidRDefault="0073506F" w:rsidP="0073506F">
      <w:pPr>
        <w:pStyle w:val="CoverAct"/>
        <w:rPr>
          <w:lang w:val="en-US"/>
        </w:rPr>
      </w:pPr>
      <w:bookmarkStart w:id="1" w:name="Act"/>
      <w:r>
        <w:t>Telecommunications Act 1997</w:t>
      </w:r>
      <w:bookmarkEnd w:id="1"/>
    </w:p>
    <w:p w:rsidR="00505EC1" w:rsidRPr="00E22869" w:rsidRDefault="00505EC1" w:rsidP="00505EC1">
      <w:pPr>
        <w:spacing w:before="360"/>
        <w:jc w:val="both"/>
      </w:pPr>
      <w:r>
        <w:t xml:space="preserve">The AUSTRALIAN COMMUNICATIONS AND MEDIA AUTHORITY makes these Rules under section 529 of the </w:t>
      </w:r>
      <w:r>
        <w:rPr>
          <w:i/>
        </w:rPr>
        <w:t>Telecommunications Act 1997</w:t>
      </w:r>
      <w:r>
        <w:t>.</w:t>
      </w:r>
    </w:p>
    <w:p w:rsidR="00505EC1" w:rsidRDefault="00505EC1" w:rsidP="00505EC1">
      <w:pPr>
        <w:tabs>
          <w:tab w:val="left" w:pos="3119"/>
        </w:tabs>
        <w:spacing w:before="300" w:after="600" w:line="300" w:lineRule="atLeast"/>
      </w:pPr>
      <w:r>
        <w:t xml:space="preserve">Dated </w:t>
      </w:r>
      <w:bookmarkStart w:id="2" w:name="MadeByDate"/>
      <w:r w:rsidR="009D2591" w:rsidRPr="009D2591">
        <w:rPr>
          <w:i/>
        </w:rPr>
        <w:t>26 September</w:t>
      </w:r>
      <w:r w:rsidR="009D2591">
        <w:t xml:space="preserve"> </w:t>
      </w:r>
      <w:bookmarkStart w:id="3" w:name="Year"/>
      <w:bookmarkEnd w:id="2"/>
      <w:r>
        <w:t>2011</w:t>
      </w:r>
      <w:bookmarkEnd w:id="3"/>
    </w:p>
    <w:p w:rsidR="00505EC1" w:rsidRDefault="00505EC1" w:rsidP="00505EC1">
      <w:pPr>
        <w:tabs>
          <w:tab w:val="left" w:pos="3119"/>
        </w:tabs>
        <w:spacing w:after="600" w:line="300" w:lineRule="atLeast"/>
        <w:jc w:val="right"/>
      </w:pPr>
    </w:p>
    <w:p w:rsidR="00505EC1" w:rsidRPr="00F07809" w:rsidRDefault="009D2591" w:rsidP="00505EC1">
      <w:pPr>
        <w:tabs>
          <w:tab w:val="left" w:pos="3119"/>
        </w:tabs>
        <w:spacing w:after="600" w:line="300" w:lineRule="atLeast"/>
        <w:jc w:val="right"/>
      </w:pPr>
      <w:r w:rsidRPr="009D2591">
        <w:rPr>
          <w:i/>
        </w:rPr>
        <w:t>Chris Chapman</w:t>
      </w:r>
      <w:r>
        <w:t xml:space="preserve"> </w:t>
      </w:r>
      <w:r>
        <w:br/>
        <w:t>[signed</w:t>
      </w:r>
      <w:proofErr w:type="gramStart"/>
      <w:r>
        <w:t>]</w:t>
      </w:r>
      <w:proofErr w:type="gramEnd"/>
      <w:r>
        <w:br/>
      </w:r>
      <w:r w:rsidR="00505EC1" w:rsidRPr="00F07809">
        <w:t>Member</w:t>
      </w:r>
    </w:p>
    <w:p w:rsidR="00505EC1" w:rsidRDefault="00505EC1" w:rsidP="00505EC1">
      <w:pPr>
        <w:tabs>
          <w:tab w:val="left" w:pos="3119"/>
        </w:tabs>
        <w:spacing w:after="600" w:line="300" w:lineRule="atLeast"/>
        <w:jc w:val="right"/>
      </w:pPr>
    </w:p>
    <w:p w:rsidR="00505EC1" w:rsidRDefault="009D2591" w:rsidP="00505EC1">
      <w:pPr>
        <w:tabs>
          <w:tab w:val="left" w:pos="3119"/>
        </w:tabs>
        <w:spacing w:after="600" w:line="300" w:lineRule="atLeast"/>
        <w:jc w:val="right"/>
      </w:pPr>
      <w:r w:rsidRPr="009D2591">
        <w:rPr>
          <w:i/>
        </w:rPr>
        <w:t>Brendan Byrne</w:t>
      </w:r>
      <w:r w:rsidRPr="009D2591">
        <w:t xml:space="preserve"> </w:t>
      </w:r>
      <w:r>
        <w:br/>
      </w:r>
      <w:r w:rsidRPr="009D2591">
        <w:t>[signed</w:t>
      </w:r>
      <w:proofErr w:type="gramStart"/>
      <w:r w:rsidRPr="009D2591">
        <w:t>]</w:t>
      </w:r>
      <w:proofErr w:type="gramEnd"/>
      <w:r>
        <w:br/>
      </w:r>
      <w:r w:rsidR="00505EC1" w:rsidRPr="009D2591">
        <w:rPr>
          <w:strike/>
        </w:rPr>
        <w:t>Member/</w:t>
      </w:r>
      <w:r w:rsidR="00505EC1" w:rsidRPr="00F07809">
        <w:t>General Manager</w:t>
      </w:r>
    </w:p>
    <w:p w:rsidR="00505EC1" w:rsidRDefault="00505EC1" w:rsidP="00505EC1">
      <w:pPr>
        <w:pBdr>
          <w:bottom w:val="single" w:sz="4" w:space="12" w:color="auto"/>
        </w:pBdr>
        <w:tabs>
          <w:tab w:val="left" w:pos="3119"/>
        </w:tabs>
        <w:spacing w:after="240" w:line="300" w:lineRule="atLeast"/>
      </w:pPr>
      <w:bookmarkStart w:id="4" w:name="Minister"/>
      <w:r>
        <w:t>Australian Communications and Media Authority</w:t>
      </w:r>
      <w:bookmarkEnd w:id="4"/>
    </w:p>
    <w:p w:rsidR="00043B0B" w:rsidRDefault="00043B0B" w:rsidP="00505EC1">
      <w:pPr>
        <w:rPr>
          <w:lang w:eastAsia="en-US"/>
        </w:rPr>
        <w:sectPr w:rsidR="00043B0B" w:rsidSect="00140A51">
          <w:headerReference w:type="even" r:id="rId9"/>
          <w:headerReference w:type="default" r:id="rId10"/>
          <w:footerReference w:type="even" r:id="rId11"/>
          <w:footerReference w:type="default" r:id="rId12"/>
          <w:pgSz w:w="11907" w:h="16839" w:code="9"/>
          <w:pgMar w:top="1440" w:right="1797" w:bottom="1440" w:left="1797" w:header="709" w:footer="709" w:gutter="0"/>
          <w:cols w:space="708"/>
          <w:titlePg/>
          <w:docGrid w:linePitch="360"/>
        </w:sectPr>
      </w:pPr>
    </w:p>
    <w:p w:rsidR="0073506F" w:rsidRDefault="0073506F" w:rsidP="0073506F">
      <w:pPr>
        <w:pStyle w:val="ContentsHead"/>
      </w:pPr>
      <w:r>
        <w:lastRenderedPageBreak/>
        <w:t>Contents</w:t>
      </w:r>
    </w:p>
    <w:p w:rsidR="009743ED" w:rsidRDefault="003E1ED0">
      <w:pPr>
        <w:pStyle w:val="TOC2"/>
        <w:rPr>
          <w:rFonts w:asciiTheme="minorHAnsi" w:eastAsiaTheme="minorEastAsia" w:hAnsiTheme="minorHAnsi" w:cstheme="minorBidi"/>
          <w:b w:val="0"/>
          <w:noProof/>
          <w:sz w:val="22"/>
          <w:szCs w:val="22"/>
          <w:lang w:eastAsia="en-AU"/>
        </w:rPr>
      </w:pPr>
      <w:r w:rsidRPr="003E1ED0">
        <w:fldChar w:fldCharType="begin"/>
      </w:r>
      <w:r w:rsidR="0073506F">
        <w:instrText xml:space="preserve"> TOC \o "1-9" \t "HC,1, HP,2, HD,3, HS,4, HR,5, RGHead,7, Schedule title,6, Schedule part,8,Schedule Division,8, RX.SC,8, Dictionary Heading,9, Note Heading,9" </w:instrText>
      </w:r>
      <w:r w:rsidRPr="003E1ED0">
        <w:fldChar w:fldCharType="separate"/>
      </w:r>
      <w:r w:rsidR="009743ED" w:rsidRPr="00FC6C2B">
        <w:rPr>
          <w:rFonts w:cs="Arial"/>
          <w:noProof/>
        </w:rPr>
        <w:t>Part 1</w:t>
      </w:r>
      <w:r w:rsidR="009743ED">
        <w:rPr>
          <w:rFonts w:asciiTheme="minorHAnsi" w:eastAsiaTheme="minorEastAsia" w:hAnsiTheme="minorHAnsi" w:cstheme="minorBidi"/>
          <w:b w:val="0"/>
          <w:noProof/>
          <w:sz w:val="22"/>
          <w:szCs w:val="22"/>
          <w:lang w:eastAsia="en-AU"/>
        </w:rPr>
        <w:tab/>
      </w:r>
      <w:r w:rsidR="009743ED" w:rsidRPr="00FC6C2B">
        <w:rPr>
          <w:rFonts w:cs="Arial"/>
          <w:noProof/>
        </w:rPr>
        <w:t>Introduction</w:t>
      </w:r>
      <w:r w:rsidR="009743ED">
        <w:rPr>
          <w:noProof/>
        </w:rPr>
        <w:tab/>
      </w:r>
      <w:r>
        <w:rPr>
          <w:noProof/>
        </w:rPr>
        <w:fldChar w:fldCharType="begin"/>
      </w:r>
      <w:r w:rsidR="009743ED">
        <w:rPr>
          <w:noProof/>
        </w:rPr>
        <w:instrText xml:space="preserve"> PAGEREF _Toc303869422 \h </w:instrText>
      </w:r>
      <w:r>
        <w:rPr>
          <w:noProof/>
        </w:rPr>
      </w:r>
      <w:r>
        <w:rPr>
          <w:noProof/>
        </w:rPr>
        <w:fldChar w:fldCharType="separate"/>
      </w:r>
      <w:r w:rsidR="00A0712F">
        <w:rPr>
          <w:noProof/>
        </w:rPr>
        <w:t>3</w:t>
      </w:r>
      <w:r>
        <w:rPr>
          <w:noProof/>
        </w:rPr>
        <w:fldChar w:fldCharType="end"/>
      </w:r>
    </w:p>
    <w:p w:rsidR="009743ED" w:rsidRDefault="009743ED">
      <w:pPr>
        <w:pStyle w:val="TOC5"/>
        <w:rPr>
          <w:rFonts w:asciiTheme="minorHAnsi" w:eastAsiaTheme="minorEastAsia" w:hAnsiTheme="minorHAnsi" w:cstheme="minorBidi"/>
          <w:sz w:val="22"/>
          <w:szCs w:val="22"/>
          <w:lang w:eastAsia="en-AU"/>
        </w:rPr>
      </w:pPr>
      <w:r>
        <w:rPr>
          <w:rFonts w:cs="Arial"/>
        </w:rPr>
        <w:tab/>
      </w:r>
      <w:r w:rsidRPr="00FC6C2B">
        <w:rPr>
          <w:rFonts w:cs="Arial"/>
        </w:rPr>
        <w:t>1</w:t>
      </w:r>
      <w:r>
        <w:rPr>
          <w:rFonts w:asciiTheme="minorHAnsi" w:eastAsiaTheme="minorEastAsia" w:hAnsiTheme="minorHAnsi" w:cstheme="minorBidi"/>
          <w:sz w:val="22"/>
          <w:szCs w:val="22"/>
          <w:lang w:eastAsia="en-AU"/>
        </w:rPr>
        <w:tab/>
      </w:r>
      <w:r w:rsidRPr="00FC6C2B">
        <w:rPr>
          <w:rFonts w:cs="Arial"/>
        </w:rPr>
        <w:t>Name of Rules</w:t>
      </w:r>
      <w:r>
        <w:tab/>
      </w:r>
      <w:r w:rsidR="003E1ED0">
        <w:fldChar w:fldCharType="begin"/>
      </w:r>
      <w:r>
        <w:instrText xml:space="preserve"> PAGEREF _Toc303869423 \h </w:instrText>
      </w:r>
      <w:r w:rsidR="003E1ED0">
        <w:fldChar w:fldCharType="separate"/>
      </w:r>
      <w:r w:rsidR="00A0712F">
        <w:t>3</w:t>
      </w:r>
      <w:r w:rsidR="003E1ED0">
        <w:fldChar w:fldCharType="end"/>
      </w:r>
    </w:p>
    <w:p w:rsidR="009743ED" w:rsidRDefault="009743ED">
      <w:pPr>
        <w:pStyle w:val="TOC5"/>
        <w:rPr>
          <w:rFonts w:asciiTheme="minorHAnsi" w:eastAsiaTheme="minorEastAsia" w:hAnsiTheme="minorHAnsi" w:cstheme="minorBidi"/>
          <w:sz w:val="22"/>
          <w:szCs w:val="22"/>
          <w:lang w:eastAsia="en-AU"/>
        </w:rPr>
      </w:pPr>
      <w:r>
        <w:rPr>
          <w:rFonts w:cs="Arial"/>
        </w:rPr>
        <w:tab/>
      </w:r>
      <w:r w:rsidRPr="00FC6C2B">
        <w:rPr>
          <w:rFonts w:cs="Arial"/>
        </w:rPr>
        <w:t>2</w:t>
      </w:r>
      <w:r>
        <w:rPr>
          <w:rFonts w:asciiTheme="minorHAnsi" w:eastAsiaTheme="minorEastAsia" w:hAnsiTheme="minorHAnsi" w:cstheme="minorBidi"/>
          <w:sz w:val="22"/>
          <w:szCs w:val="22"/>
          <w:lang w:eastAsia="en-AU"/>
        </w:rPr>
        <w:tab/>
      </w:r>
      <w:r w:rsidRPr="00FC6C2B">
        <w:rPr>
          <w:rFonts w:cs="Arial"/>
        </w:rPr>
        <w:t>Commencement</w:t>
      </w:r>
      <w:r>
        <w:tab/>
      </w:r>
      <w:r w:rsidR="003E1ED0">
        <w:fldChar w:fldCharType="begin"/>
      </w:r>
      <w:r>
        <w:instrText xml:space="preserve"> PAGEREF _Toc303869424 \h </w:instrText>
      </w:r>
      <w:r w:rsidR="003E1ED0">
        <w:fldChar w:fldCharType="separate"/>
      </w:r>
      <w:r w:rsidR="00A0712F">
        <w:t>3</w:t>
      </w:r>
      <w:r w:rsidR="003E1ED0">
        <w:fldChar w:fldCharType="end"/>
      </w:r>
    </w:p>
    <w:p w:rsidR="009743ED" w:rsidRDefault="009743ED">
      <w:pPr>
        <w:pStyle w:val="TOC5"/>
        <w:rPr>
          <w:rFonts w:asciiTheme="minorHAnsi" w:eastAsiaTheme="minorEastAsia" w:hAnsiTheme="minorHAnsi" w:cstheme="minorBidi"/>
          <w:sz w:val="22"/>
          <w:szCs w:val="22"/>
          <w:lang w:eastAsia="en-AU"/>
        </w:rPr>
      </w:pPr>
      <w:r>
        <w:rPr>
          <w:rFonts w:cs="Arial"/>
        </w:rPr>
        <w:tab/>
      </w:r>
      <w:r w:rsidRPr="00FC6C2B">
        <w:rPr>
          <w:rFonts w:cs="Arial"/>
        </w:rPr>
        <w:t>3</w:t>
      </w:r>
      <w:r>
        <w:rPr>
          <w:rFonts w:asciiTheme="minorHAnsi" w:eastAsiaTheme="minorEastAsia" w:hAnsiTheme="minorHAnsi" w:cstheme="minorBidi"/>
          <w:sz w:val="22"/>
          <w:szCs w:val="22"/>
          <w:lang w:eastAsia="en-AU"/>
        </w:rPr>
        <w:tab/>
      </w:r>
      <w:r w:rsidRPr="00FC6C2B">
        <w:rPr>
          <w:rFonts w:cs="Arial"/>
        </w:rPr>
        <w:t>Definitions</w:t>
      </w:r>
      <w:r>
        <w:tab/>
      </w:r>
      <w:r w:rsidR="003E1ED0">
        <w:fldChar w:fldCharType="begin"/>
      </w:r>
      <w:r>
        <w:instrText xml:space="preserve"> PAGEREF _Toc303869425 \h </w:instrText>
      </w:r>
      <w:r w:rsidR="003E1ED0">
        <w:fldChar w:fldCharType="separate"/>
      </w:r>
      <w:r w:rsidR="00A0712F">
        <w:t>3</w:t>
      </w:r>
      <w:r w:rsidR="003E1ED0">
        <w:fldChar w:fldCharType="end"/>
      </w:r>
    </w:p>
    <w:p w:rsidR="009743ED" w:rsidRDefault="009743ED">
      <w:pPr>
        <w:pStyle w:val="TOC5"/>
        <w:rPr>
          <w:rFonts w:asciiTheme="minorHAnsi" w:eastAsiaTheme="minorEastAsia" w:hAnsiTheme="minorHAnsi" w:cstheme="minorBidi"/>
          <w:sz w:val="22"/>
          <w:szCs w:val="22"/>
          <w:lang w:eastAsia="en-AU"/>
        </w:rPr>
      </w:pPr>
      <w:r>
        <w:rPr>
          <w:rFonts w:cs="Arial"/>
        </w:rPr>
        <w:tab/>
      </w:r>
      <w:r w:rsidRPr="00FC6C2B">
        <w:rPr>
          <w:rFonts w:cs="Arial"/>
        </w:rPr>
        <w:t>4</w:t>
      </w:r>
      <w:r>
        <w:rPr>
          <w:rFonts w:asciiTheme="minorHAnsi" w:eastAsiaTheme="minorEastAsia" w:hAnsiTheme="minorHAnsi" w:cstheme="minorBidi"/>
          <w:sz w:val="22"/>
          <w:szCs w:val="22"/>
          <w:lang w:eastAsia="en-AU"/>
        </w:rPr>
        <w:tab/>
      </w:r>
      <w:r w:rsidRPr="00FC6C2B">
        <w:rPr>
          <w:rFonts w:cs="Arial"/>
        </w:rPr>
        <w:t>Qualifying carriage service providers</w:t>
      </w:r>
      <w:r>
        <w:tab/>
      </w:r>
      <w:r w:rsidR="003E1ED0">
        <w:fldChar w:fldCharType="begin"/>
      </w:r>
      <w:r>
        <w:instrText xml:space="preserve"> PAGEREF _Toc303869426 \h </w:instrText>
      </w:r>
      <w:r w:rsidR="003E1ED0">
        <w:fldChar w:fldCharType="separate"/>
      </w:r>
      <w:r w:rsidR="00A0712F">
        <w:t>4</w:t>
      </w:r>
      <w:r w:rsidR="003E1ED0">
        <w:fldChar w:fldCharType="end"/>
      </w:r>
    </w:p>
    <w:p w:rsidR="009743ED" w:rsidRDefault="009743ED">
      <w:pPr>
        <w:pStyle w:val="TOC5"/>
        <w:rPr>
          <w:rFonts w:asciiTheme="minorHAnsi" w:eastAsiaTheme="minorEastAsia" w:hAnsiTheme="minorHAnsi" w:cstheme="minorBidi"/>
          <w:sz w:val="22"/>
          <w:szCs w:val="22"/>
          <w:lang w:eastAsia="en-AU"/>
        </w:rPr>
      </w:pPr>
      <w:r>
        <w:rPr>
          <w:rFonts w:cs="Arial"/>
        </w:rPr>
        <w:tab/>
      </w:r>
      <w:r w:rsidRPr="00FC6C2B">
        <w:rPr>
          <w:rFonts w:cs="Arial"/>
        </w:rPr>
        <w:t>5</w:t>
      </w:r>
      <w:r>
        <w:rPr>
          <w:rFonts w:asciiTheme="minorHAnsi" w:eastAsiaTheme="minorEastAsia" w:hAnsiTheme="minorHAnsi" w:cstheme="minorBidi"/>
          <w:sz w:val="22"/>
          <w:szCs w:val="22"/>
          <w:lang w:eastAsia="en-AU"/>
        </w:rPr>
        <w:tab/>
      </w:r>
      <w:r w:rsidRPr="00FC6C2B">
        <w:rPr>
          <w:rFonts w:cs="Arial"/>
        </w:rPr>
        <w:t>Nominated areas</w:t>
      </w:r>
      <w:r>
        <w:tab/>
      </w:r>
      <w:r w:rsidR="003E1ED0">
        <w:fldChar w:fldCharType="begin"/>
      </w:r>
      <w:r>
        <w:instrText xml:space="preserve"> PAGEREF _Toc303869427 \h </w:instrText>
      </w:r>
      <w:r w:rsidR="003E1ED0">
        <w:fldChar w:fldCharType="separate"/>
      </w:r>
      <w:r w:rsidR="00A0712F">
        <w:t>4</w:t>
      </w:r>
      <w:r w:rsidR="003E1ED0">
        <w:fldChar w:fldCharType="end"/>
      </w:r>
    </w:p>
    <w:p w:rsidR="009743ED" w:rsidRPr="009743ED" w:rsidRDefault="009743ED" w:rsidP="009743ED">
      <w:pPr>
        <w:pStyle w:val="TOC2"/>
        <w:rPr>
          <w:rFonts w:cs="Arial"/>
          <w:noProof/>
        </w:rPr>
      </w:pPr>
      <w:r w:rsidRPr="009743ED">
        <w:rPr>
          <w:rFonts w:cs="Arial"/>
          <w:noProof/>
        </w:rPr>
        <w:t>Part 2</w:t>
      </w:r>
      <w:r w:rsidRPr="009743ED">
        <w:rPr>
          <w:rFonts w:cs="Arial"/>
          <w:noProof/>
        </w:rPr>
        <w:tab/>
        <w:t xml:space="preserve"> Keeping of Records</w:t>
      </w:r>
      <w:r w:rsidRPr="009743ED">
        <w:rPr>
          <w:rFonts w:cs="Arial"/>
          <w:noProof/>
        </w:rPr>
        <w:tab/>
      </w:r>
      <w:r w:rsidR="003E1ED0" w:rsidRPr="009743ED">
        <w:rPr>
          <w:rFonts w:cs="Arial"/>
          <w:noProof/>
        </w:rPr>
        <w:fldChar w:fldCharType="begin"/>
      </w:r>
      <w:r w:rsidRPr="009743ED">
        <w:rPr>
          <w:rFonts w:cs="Arial"/>
          <w:noProof/>
        </w:rPr>
        <w:instrText xml:space="preserve"> PAGEREF _Toc303869428 \h </w:instrText>
      </w:r>
      <w:r w:rsidR="003E1ED0" w:rsidRPr="009743ED">
        <w:rPr>
          <w:rFonts w:cs="Arial"/>
          <w:noProof/>
        </w:rPr>
      </w:r>
      <w:r w:rsidR="003E1ED0" w:rsidRPr="009743ED">
        <w:rPr>
          <w:rFonts w:cs="Arial"/>
          <w:noProof/>
        </w:rPr>
        <w:fldChar w:fldCharType="separate"/>
      </w:r>
      <w:r w:rsidR="00A0712F">
        <w:rPr>
          <w:rFonts w:cs="Arial"/>
          <w:noProof/>
        </w:rPr>
        <w:t>5</w:t>
      </w:r>
      <w:r w:rsidR="003E1ED0" w:rsidRPr="009743ED">
        <w:rPr>
          <w:rFonts w:cs="Arial"/>
          <w:noProof/>
        </w:rPr>
        <w:fldChar w:fldCharType="end"/>
      </w:r>
    </w:p>
    <w:p w:rsidR="009743ED" w:rsidRDefault="009743ED">
      <w:pPr>
        <w:pStyle w:val="TOC5"/>
        <w:rPr>
          <w:rFonts w:asciiTheme="minorHAnsi" w:eastAsiaTheme="minorEastAsia" w:hAnsiTheme="minorHAnsi" w:cstheme="minorBidi"/>
          <w:sz w:val="22"/>
          <w:szCs w:val="22"/>
          <w:lang w:eastAsia="en-AU"/>
        </w:rPr>
      </w:pPr>
      <w:r>
        <w:tab/>
        <w:t>6</w:t>
      </w:r>
      <w:r>
        <w:rPr>
          <w:rFonts w:asciiTheme="minorHAnsi" w:eastAsiaTheme="minorEastAsia" w:hAnsiTheme="minorHAnsi" w:cstheme="minorBidi"/>
          <w:sz w:val="22"/>
          <w:szCs w:val="22"/>
          <w:lang w:eastAsia="en-AU"/>
        </w:rPr>
        <w:tab/>
      </w:r>
      <w:r>
        <w:t>Records relating to the number of CSG services supplied</w:t>
      </w:r>
      <w:r>
        <w:tab/>
      </w:r>
      <w:r w:rsidR="003E1ED0">
        <w:fldChar w:fldCharType="begin"/>
      </w:r>
      <w:r>
        <w:instrText xml:space="preserve"> PAGEREF _Toc303869429 \h </w:instrText>
      </w:r>
      <w:r w:rsidR="003E1ED0">
        <w:fldChar w:fldCharType="separate"/>
      </w:r>
      <w:r w:rsidR="00A0712F">
        <w:t>5</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7</w:t>
      </w:r>
      <w:r>
        <w:rPr>
          <w:rFonts w:asciiTheme="minorHAnsi" w:eastAsiaTheme="minorEastAsia" w:hAnsiTheme="minorHAnsi" w:cstheme="minorBidi"/>
          <w:sz w:val="22"/>
          <w:szCs w:val="22"/>
          <w:lang w:eastAsia="en-AU"/>
        </w:rPr>
        <w:tab/>
      </w:r>
      <w:r>
        <w:t>Records relating to location-specific thresholds</w:t>
      </w:r>
      <w:r>
        <w:tab/>
      </w:r>
      <w:r w:rsidR="003E1ED0">
        <w:fldChar w:fldCharType="begin"/>
      </w:r>
      <w:r>
        <w:instrText xml:space="preserve"> PAGEREF _Toc303869430 \h </w:instrText>
      </w:r>
      <w:r w:rsidR="003E1ED0">
        <w:fldChar w:fldCharType="separate"/>
      </w:r>
      <w:r w:rsidR="00A0712F">
        <w:t>5</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8</w:t>
      </w:r>
      <w:r>
        <w:rPr>
          <w:rFonts w:asciiTheme="minorHAnsi" w:eastAsiaTheme="minorEastAsia" w:hAnsiTheme="minorHAnsi" w:cstheme="minorBidi"/>
          <w:sz w:val="22"/>
          <w:szCs w:val="22"/>
          <w:lang w:eastAsia="en-AU"/>
        </w:rPr>
        <w:tab/>
      </w:r>
      <w:r>
        <w:t>Records relating to in-place connections</w:t>
      </w:r>
      <w:r>
        <w:tab/>
      </w:r>
      <w:r w:rsidR="003E1ED0">
        <w:fldChar w:fldCharType="begin"/>
      </w:r>
      <w:r>
        <w:instrText xml:space="preserve"> PAGEREF _Toc303869431 \h </w:instrText>
      </w:r>
      <w:r w:rsidR="003E1ED0">
        <w:fldChar w:fldCharType="separate"/>
      </w:r>
      <w:r w:rsidR="00A0712F">
        <w:t>6</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9</w:t>
      </w:r>
      <w:r>
        <w:rPr>
          <w:rFonts w:asciiTheme="minorHAnsi" w:eastAsiaTheme="minorEastAsia" w:hAnsiTheme="minorHAnsi" w:cstheme="minorBidi"/>
          <w:sz w:val="22"/>
          <w:szCs w:val="22"/>
          <w:lang w:eastAsia="en-AU"/>
        </w:rPr>
        <w:tab/>
      </w:r>
      <w:r>
        <w:t>Records relating to new connections</w:t>
      </w:r>
      <w:r>
        <w:tab/>
      </w:r>
      <w:r w:rsidR="003E1ED0">
        <w:fldChar w:fldCharType="begin"/>
      </w:r>
      <w:r>
        <w:instrText xml:space="preserve"> PAGEREF _Toc303869432 \h </w:instrText>
      </w:r>
      <w:r w:rsidR="003E1ED0">
        <w:fldChar w:fldCharType="separate"/>
      </w:r>
      <w:r w:rsidR="00A0712F">
        <w:t>6</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10</w:t>
      </w:r>
      <w:r>
        <w:rPr>
          <w:rFonts w:asciiTheme="minorHAnsi" w:eastAsiaTheme="minorEastAsia" w:hAnsiTheme="minorHAnsi" w:cstheme="minorBidi"/>
          <w:sz w:val="22"/>
          <w:szCs w:val="22"/>
          <w:lang w:eastAsia="en-AU"/>
        </w:rPr>
        <w:tab/>
      </w:r>
      <w:r w:rsidRPr="00FC6C2B">
        <w:rPr>
          <w:rFonts w:cs="Arial"/>
        </w:rPr>
        <w:t xml:space="preserve"> Records relating to reports of faults or service difficulties</w:t>
      </w:r>
      <w:r>
        <w:tab/>
      </w:r>
      <w:r w:rsidR="003E1ED0">
        <w:fldChar w:fldCharType="begin"/>
      </w:r>
      <w:r>
        <w:instrText xml:space="preserve"> PAGEREF _Toc303869433 \h </w:instrText>
      </w:r>
      <w:r w:rsidR="003E1ED0">
        <w:fldChar w:fldCharType="separate"/>
      </w:r>
      <w:r w:rsidR="00A0712F">
        <w:t>7</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11</w:t>
      </w:r>
      <w:r>
        <w:rPr>
          <w:rFonts w:asciiTheme="minorHAnsi" w:eastAsiaTheme="minorEastAsia" w:hAnsiTheme="minorHAnsi" w:cstheme="minorBidi"/>
          <w:sz w:val="22"/>
          <w:szCs w:val="22"/>
          <w:lang w:eastAsia="en-AU"/>
        </w:rPr>
        <w:tab/>
      </w:r>
      <w:r>
        <w:t xml:space="preserve"> Records relating to the keeping of appointments</w:t>
      </w:r>
      <w:r>
        <w:tab/>
      </w:r>
      <w:r w:rsidR="003E1ED0">
        <w:fldChar w:fldCharType="begin"/>
      </w:r>
      <w:r>
        <w:instrText xml:space="preserve"> PAGEREF _Toc303869434 \h </w:instrText>
      </w:r>
      <w:r w:rsidR="003E1ED0">
        <w:fldChar w:fldCharType="separate"/>
      </w:r>
      <w:r w:rsidR="00A0712F">
        <w:t>8</w:t>
      </w:r>
      <w:r w:rsidR="003E1ED0">
        <w:fldChar w:fldCharType="end"/>
      </w:r>
    </w:p>
    <w:p w:rsidR="009743ED" w:rsidRPr="009743ED" w:rsidRDefault="009743ED" w:rsidP="009743ED">
      <w:pPr>
        <w:pStyle w:val="TOC2"/>
        <w:rPr>
          <w:rFonts w:cs="Arial"/>
          <w:noProof/>
        </w:rPr>
      </w:pPr>
      <w:r w:rsidRPr="00FC6C2B">
        <w:rPr>
          <w:rFonts w:cs="Arial"/>
          <w:noProof/>
        </w:rPr>
        <w:t>Part 3</w:t>
      </w:r>
      <w:r w:rsidRPr="009743ED">
        <w:rPr>
          <w:rFonts w:cs="Arial"/>
          <w:noProof/>
        </w:rPr>
        <w:tab/>
      </w:r>
      <w:r w:rsidRPr="00FC6C2B">
        <w:rPr>
          <w:rFonts w:cs="Arial"/>
          <w:noProof/>
        </w:rPr>
        <w:t xml:space="preserve"> Retention of Records</w:t>
      </w:r>
      <w:r w:rsidRPr="009743ED">
        <w:rPr>
          <w:rFonts w:cs="Arial"/>
          <w:noProof/>
        </w:rPr>
        <w:tab/>
      </w:r>
      <w:r w:rsidR="003E1ED0" w:rsidRPr="009743ED">
        <w:rPr>
          <w:rFonts w:cs="Arial"/>
          <w:noProof/>
        </w:rPr>
        <w:fldChar w:fldCharType="begin"/>
      </w:r>
      <w:r w:rsidRPr="009743ED">
        <w:rPr>
          <w:rFonts w:cs="Arial"/>
          <w:noProof/>
        </w:rPr>
        <w:instrText xml:space="preserve"> PAGEREF _Toc303869435 \h </w:instrText>
      </w:r>
      <w:r w:rsidR="003E1ED0" w:rsidRPr="009743ED">
        <w:rPr>
          <w:rFonts w:cs="Arial"/>
          <w:noProof/>
        </w:rPr>
      </w:r>
      <w:r w:rsidR="003E1ED0" w:rsidRPr="009743ED">
        <w:rPr>
          <w:rFonts w:cs="Arial"/>
          <w:noProof/>
        </w:rPr>
        <w:fldChar w:fldCharType="separate"/>
      </w:r>
      <w:r w:rsidR="00A0712F">
        <w:rPr>
          <w:rFonts w:cs="Arial"/>
          <w:noProof/>
        </w:rPr>
        <w:t>9</w:t>
      </w:r>
      <w:r w:rsidR="003E1ED0" w:rsidRPr="009743ED">
        <w:rPr>
          <w:rFonts w:cs="Arial"/>
          <w:noProof/>
        </w:rPr>
        <w:fldChar w:fldCharType="end"/>
      </w:r>
    </w:p>
    <w:p w:rsidR="009743ED" w:rsidRDefault="009743ED">
      <w:pPr>
        <w:pStyle w:val="TOC5"/>
        <w:rPr>
          <w:rFonts w:asciiTheme="minorHAnsi" w:eastAsiaTheme="minorEastAsia" w:hAnsiTheme="minorHAnsi" w:cstheme="minorBidi"/>
          <w:sz w:val="22"/>
          <w:szCs w:val="22"/>
          <w:lang w:eastAsia="en-AU"/>
        </w:rPr>
      </w:pPr>
      <w:r>
        <w:tab/>
        <w:t>12</w:t>
      </w:r>
      <w:r>
        <w:rPr>
          <w:rFonts w:asciiTheme="minorHAnsi" w:eastAsiaTheme="minorEastAsia" w:hAnsiTheme="minorHAnsi" w:cstheme="minorBidi"/>
          <w:sz w:val="22"/>
          <w:szCs w:val="22"/>
          <w:lang w:eastAsia="en-AU"/>
        </w:rPr>
        <w:tab/>
      </w:r>
      <w:r>
        <w:t>Period for retention of records</w:t>
      </w:r>
      <w:r>
        <w:tab/>
      </w:r>
      <w:r w:rsidR="003E1ED0">
        <w:fldChar w:fldCharType="begin"/>
      </w:r>
      <w:r>
        <w:instrText xml:space="preserve"> PAGEREF _Toc303869436 \h </w:instrText>
      </w:r>
      <w:r w:rsidR="003E1ED0">
        <w:fldChar w:fldCharType="separate"/>
      </w:r>
      <w:r w:rsidR="00A0712F">
        <w:t>9</w:t>
      </w:r>
      <w:r w:rsidR="003E1ED0">
        <w:fldChar w:fldCharType="end"/>
      </w:r>
    </w:p>
    <w:p w:rsidR="009743ED" w:rsidRDefault="009743ED" w:rsidP="009743ED">
      <w:pPr>
        <w:pStyle w:val="TOC2"/>
        <w:rPr>
          <w:rFonts w:asciiTheme="minorHAnsi" w:eastAsiaTheme="minorEastAsia" w:hAnsiTheme="minorHAnsi" w:cstheme="minorBidi"/>
          <w:noProof/>
          <w:sz w:val="22"/>
          <w:szCs w:val="22"/>
          <w:lang w:eastAsia="en-AU"/>
        </w:rPr>
      </w:pPr>
      <w:r w:rsidRPr="009743ED">
        <w:rPr>
          <w:rFonts w:cs="Arial"/>
          <w:noProof/>
        </w:rPr>
        <w:t>Part 4</w:t>
      </w:r>
      <w:r w:rsidRPr="009743ED">
        <w:rPr>
          <w:rFonts w:cs="Arial"/>
          <w:noProof/>
        </w:rPr>
        <w:tab/>
        <w:t xml:space="preserve"> Reporting</w:t>
      </w:r>
      <w:r w:rsidRPr="009743ED">
        <w:rPr>
          <w:rFonts w:cs="Arial"/>
          <w:noProof/>
        </w:rPr>
        <w:tab/>
      </w:r>
      <w:r w:rsidR="003E1ED0" w:rsidRPr="009743ED">
        <w:rPr>
          <w:rFonts w:cs="Arial"/>
          <w:noProof/>
        </w:rPr>
        <w:fldChar w:fldCharType="begin"/>
      </w:r>
      <w:r w:rsidRPr="009743ED">
        <w:rPr>
          <w:rFonts w:cs="Arial"/>
          <w:noProof/>
        </w:rPr>
        <w:instrText xml:space="preserve"> PAGEREF _Toc303869437 \h </w:instrText>
      </w:r>
      <w:r w:rsidR="003E1ED0" w:rsidRPr="009743ED">
        <w:rPr>
          <w:rFonts w:cs="Arial"/>
          <w:noProof/>
        </w:rPr>
      </w:r>
      <w:r w:rsidR="003E1ED0" w:rsidRPr="009743ED">
        <w:rPr>
          <w:rFonts w:cs="Arial"/>
          <w:noProof/>
        </w:rPr>
        <w:fldChar w:fldCharType="separate"/>
      </w:r>
      <w:r w:rsidR="00A0712F">
        <w:rPr>
          <w:rFonts w:cs="Arial"/>
          <w:noProof/>
        </w:rPr>
        <w:t>10</w:t>
      </w:r>
      <w:r w:rsidR="003E1ED0" w:rsidRPr="009743ED">
        <w:rPr>
          <w:rFonts w:cs="Arial"/>
          <w:noProof/>
        </w:rPr>
        <w:fldChar w:fldCharType="end"/>
      </w:r>
    </w:p>
    <w:p w:rsidR="009743ED" w:rsidRDefault="009743ED">
      <w:pPr>
        <w:pStyle w:val="TOC5"/>
        <w:rPr>
          <w:rFonts w:asciiTheme="minorHAnsi" w:eastAsiaTheme="minorEastAsia" w:hAnsiTheme="minorHAnsi" w:cstheme="minorBidi"/>
          <w:sz w:val="22"/>
          <w:szCs w:val="22"/>
          <w:lang w:eastAsia="en-AU"/>
        </w:rPr>
      </w:pPr>
      <w:r>
        <w:tab/>
        <w:t>13</w:t>
      </w:r>
      <w:r>
        <w:rPr>
          <w:rFonts w:asciiTheme="minorHAnsi" w:eastAsiaTheme="minorEastAsia" w:hAnsiTheme="minorHAnsi" w:cstheme="minorBidi"/>
          <w:sz w:val="22"/>
          <w:szCs w:val="22"/>
          <w:lang w:eastAsia="en-AU"/>
        </w:rPr>
        <w:tab/>
      </w:r>
      <w:r>
        <w:t>Requirement to prepare compliance reports</w:t>
      </w:r>
      <w:r>
        <w:tab/>
      </w:r>
      <w:r w:rsidR="003E1ED0">
        <w:fldChar w:fldCharType="begin"/>
      </w:r>
      <w:r>
        <w:instrText xml:space="preserve"> PAGEREF _Toc303869438 \h </w:instrText>
      </w:r>
      <w:r w:rsidR="003E1ED0">
        <w:fldChar w:fldCharType="separate"/>
      </w:r>
      <w:r w:rsidR="00A0712F">
        <w:t>10</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14</w:t>
      </w:r>
      <w:r>
        <w:rPr>
          <w:rFonts w:asciiTheme="minorHAnsi" w:eastAsiaTheme="minorEastAsia" w:hAnsiTheme="minorHAnsi" w:cstheme="minorBidi"/>
          <w:sz w:val="22"/>
          <w:szCs w:val="22"/>
          <w:lang w:eastAsia="en-AU"/>
        </w:rPr>
        <w:tab/>
      </w:r>
      <w:r>
        <w:t>Requirement to give compliance reports to the ACMA</w:t>
      </w:r>
      <w:r>
        <w:tab/>
      </w:r>
      <w:r w:rsidR="003E1ED0">
        <w:fldChar w:fldCharType="begin"/>
      </w:r>
      <w:r>
        <w:instrText xml:space="preserve"> PAGEREF _Toc303869439 \h </w:instrText>
      </w:r>
      <w:r w:rsidR="003E1ED0">
        <w:fldChar w:fldCharType="separate"/>
      </w:r>
      <w:r w:rsidR="00A0712F">
        <w:t>10</w:t>
      </w:r>
      <w:r w:rsidR="003E1ED0">
        <w:fldChar w:fldCharType="end"/>
      </w:r>
    </w:p>
    <w:p w:rsidR="009743ED" w:rsidRPr="009743ED" w:rsidRDefault="009743ED" w:rsidP="009743ED">
      <w:pPr>
        <w:pStyle w:val="TOC2"/>
        <w:rPr>
          <w:rFonts w:cs="Arial"/>
          <w:noProof/>
        </w:rPr>
      </w:pPr>
      <w:r w:rsidRPr="009743ED">
        <w:rPr>
          <w:rFonts w:cs="Arial"/>
          <w:noProof/>
        </w:rPr>
        <w:t>Part 5</w:t>
      </w:r>
      <w:r w:rsidRPr="009743ED">
        <w:rPr>
          <w:rFonts w:cs="Arial"/>
          <w:noProof/>
        </w:rPr>
        <w:tab/>
        <w:t xml:space="preserve"> Audit</w:t>
      </w:r>
      <w:r w:rsidRPr="009743ED">
        <w:rPr>
          <w:rFonts w:cs="Arial"/>
          <w:noProof/>
        </w:rPr>
        <w:tab/>
      </w:r>
      <w:r w:rsidR="003E1ED0" w:rsidRPr="009743ED">
        <w:rPr>
          <w:rFonts w:cs="Arial"/>
          <w:noProof/>
        </w:rPr>
        <w:fldChar w:fldCharType="begin"/>
      </w:r>
      <w:r w:rsidRPr="009743ED">
        <w:rPr>
          <w:rFonts w:cs="Arial"/>
          <w:noProof/>
        </w:rPr>
        <w:instrText xml:space="preserve"> PAGEREF _Toc303869440 \h </w:instrText>
      </w:r>
      <w:r w:rsidR="003E1ED0" w:rsidRPr="009743ED">
        <w:rPr>
          <w:rFonts w:cs="Arial"/>
          <w:noProof/>
        </w:rPr>
      </w:r>
      <w:r w:rsidR="003E1ED0" w:rsidRPr="009743ED">
        <w:rPr>
          <w:rFonts w:cs="Arial"/>
          <w:noProof/>
        </w:rPr>
        <w:fldChar w:fldCharType="separate"/>
      </w:r>
      <w:r w:rsidR="00A0712F">
        <w:rPr>
          <w:rFonts w:cs="Arial"/>
          <w:noProof/>
        </w:rPr>
        <w:t>10</w:t>
      </w:r>
      <w:r w:rsidR="003E1ED0" w:rsidRPr="009743ED">
        <w:rPr>
          <w:rFonts w:cs="Arial"/>
          <w:noProof/>
        </w:rPr>
        <w:fldChar w:fldCharType="end"/>
      </w:r>
    </w:p>
    <w:p w:rsidR="009743ED" w:rsidRDefault="009743ED">
      <w:pPr>
        <w:pStyle w:val="TOC5"/>
        <w:rPr>
          <w:rFonts w:asciiTheme="minorHAnsi" w:eastAsiaTheme="minorEastAsia" w:hAnsiTheme="minorHAnsi" w:cstheme="minorBidi"/>
          <w:sz w:val="22"/>
          <w:szCs w:val="22"/>
          <w:lang w:eastAsia="en-AU"/>
        </w:rPr>
      </w:pPr>
      <w:r>
        <w:tab/>
        <w:t>15</w:t>
      </w:r>
      <w:r>
        <w:rPr>
          <w:rFonts w:asciiTheme="minorHAnsi" w:eastAsiaTheme="minorEastAsia" w:hAnsiTheme="minorHAnsi" w:cstheme="minorBidi"/>
          <w:sz w:val="22"/>
          <w:szCs w:val="22"/>
          <w:lang w:eastAsia="en-AU"/>
        </w:rPr>
        <w:tab/>
      </w:r>
      <w:r>
        <w:t>Auditing of compliance with these Rules</w:t>
      </w:r>
      <w:r>
        <w:tab/>
      </w:r>
      <w:r w:rsidR="003E1ED0">
        <w:fldChar w:fldCharType="begin"/>
      </w:r>
      <w:r>
        <w:instrText xml:space="preserve"> PAGEREF _Toc303869441 \h </w:instrText>
      </w:r>
      <w:r w:rsidR="003E1ED0">
        <w:fldChar w:fldCharType="separate"/>
      </w:r>
      <w:r w:rsidR="00A0712F">
        <w:t>10</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16</w:t>
      </w:r>
      <w:r>
        <w:rPr>
          <w:rFonts w:asciiTheme="minorHAnsi" w:eastAsiaTheme="minorEastAsia" w:hAnsiTheme="minorHAnsi" w:cstheme="minorBidi"/>
          <w:sz w:val="22"/>
          <w:szCs w:val="22"/>
          <w:lang w:eastAsia="en-AU"/>
        </w:rPr>
        <w:tab/>
      </w:r>
      <w:r>
        <w:t>Audit terms of reference</w:t>
      </w:r>
      <w:r>
        <w:tab/>
      </w:r>
      <w:r w:rsidR="003E1ED0">
        <w:fldChar w:fldCharType="begin"/>
      </w:r>
      <w:r>
        <w:instrText xml:space="preserve"> PAGEREF _Toc303869442 \h </w:instrText>
      </w:r>
      <w:r w:rsidR="003E1ED0">
        <w:fldChar w:fldCharType="separate"/>
      </w:r>
      <w:r w:rsidR="00A0712F">
        <w:t>11</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17</w:t>
      </w:r>
      <w:r>
        <w:rPr>
          <w:rFonts w:asciiTheme="minorHAnsi" w:eastAsiaTheme="minorEastAsia" w:hAnsiTheme="minorHAnsi" w:cstheme="minorBidi"/>
          <w:sz w:val="22"/>
          <w:szCs w:val="22"/>
          <w:lang w:eastAsia="en-AU"/>
        </w:rPr>
        <w:tab/>
      </w:r>
      <w:r>
        <w:t>Nomination of auditor</w:t>
      </w:r>
      <w:r>
        <w:tab/>
      </w:r>
      <w:r w:rsidR="003E1ED0">
        <w:fldChar w:fldCharType="begin"/>
      </w:r>
      <w:r>
        <w:instrText xml:space="preserve"> PAGEREF _Toc303869443 \h </w:instrText>
      </w:r>
      <w:r w:rsidR="003E1ED0">
        <w:fldChar w:fldCharType="separate"/>
      </w:r>
      <w:r w:rsidR="00A0712F">
        <w:t>12</w:t>
      </w:r>
      <w:r w:rsidR="003E1ED0">
        <w:fldChar w:fldCharType="end"/>
      </w:r>
    </w:p>
    <w:p w:rsidR="009743ED" w:rsidRDefault="009743ED">
      <w:pPr>
        <w:pStyle w:val="TOC5"/>
        <w:rPr>
          <w:rFonts w:asciiTheme="minorHAnsi" w:eastAsiaTheme="minorEastAsia" w:hAnsiTheme="minorHAnsi" w:cstheme="minorBidi"/>
          <w:sz w:val="22"/>
          <w:szCs w:val="22"/>
          <w:lang w:eastAsia="en-AU"/>
        </w:rPr>
      </w:pPr>
      <w:r>
        <w:tab/>
        <w:t>18</w:t>
      </w:r>
      <w:r>
        <w:rPr>
          <w:rFonts w:asciiTheme="minorHAnsi" w:eastAsiaTheme="minorEastAsia" w:hAnsiTheme="minorHAnsi" w:cstheme="minorBidi"/>
          <w:sz w:val="22"/>
          <w:szCs w:val="22"/>
          <w:lang w:eastAsia="en-AU"/>
        </w:rPr>
        <w:tab/>
      </w:r>
      <w:r>
        <w:t>Requirement to provide audit report to the ACMA</w:t>
      </w:r>
      <w:r>
        <w:tab/>
      </w:r>
      <w:r w:rsidR="003E1ED0">
        <w:fldChar w:fldCharType="begin"/>
      </w:r>
      <w:r>
        <w:instrText xml:space="preserve"> PAGEREF _Toc303869444 \h </w:instrText>
      </w:r>
      <w:r w:rsidR="003E1ED0">
        <w:fldChar w:fldCharType="separate"/>
      </w:r>
      <w:r w:rsidR="00A0712F">
        <w:t>13</w:t>
      </w:r>
      <w:r w:rsidR="003E1ED0">
        <w:fldChar w:fldCharType="end"/>
      </w:r>
    </w:p>
    <w:p w:rsidR="009743ED" w:rsidRPr="00713E42" w:rsidRDefault="009743ED" w:rsidP="00713E42">
      <w:pPr>
        <w:pStyle w:val="TOC2"/>
        <w:rPr>
          <w:rFonts w:cs="Arial"/>
          <w:noProof/>
        </w:rPr>
      </w:pPr>
      <w:r w:rsidRPr="00713E42">
        <w:rPr>
          <w:rFonts w:cs="Arial"/>
          <w:noProof/>
        </w:rPr>
        <w:t>Schedule 1</w:t>
      </w:r>
      <w:r w:rsidRPr="00713E42">
        <w:rPr>
          <w:rFonts w:cs="Arial"/>
          <w:noProof/>
        </w:rPr>
        <w:tab/>
        <w:t>Information to be included in a compliance report</w:t>
      </w:r>
      <w:r w:rsidRPr="00713E42">
        <w:rPr>
          <w:rFonts w:cs="Arial"/>
          <w:noProof/>
        </w:rPr>
        <w:tab/>
      </w:r>
      <w:r w:rsidR="003E1ED0" w:rsidRPr="00713E42">
        <w:rPr>
          <w:rFonts w:cs="Arial"/>
          <w:noProof/>
        </w:rPr>
        <w:fldChar w:fldCharType="begin"/>
      </w:r>
      <w:r w:rsidRPr="00713E42">
        <w:rPr>
          <w:rFonts w:cs="Arial"/>
          <w:noProof/>
        </w:rPr>
        <w:instrText xml:space="preserve"> PAGEREF _Toc303869445 \h </w:instrText>
      </w:r>
      <w:r w:rsidR="003E1ED0" w:rsidRPr="00713E42">
        <w:rPr>
          <w:rFonts w:cs="Arial"/>
          <w:noProof/>
        </w:rPr>
      </w:r>
      <w:r w:rsidR="003E1ED0" w:rsidRPr="00713E42">
        <w:rPr>
          <w:rFonts w:cs="Arial"/>
          <w:noProof/>
        </w:rPr>
        <w:fldChar w:fldCharType="separate"/>
      </w:r>
      <w:r w:rsidR="00A0712F">
        <w:rPr>
          <w:rFonts w:cs="Arial"/>
          <w:noProof/>
        </w:rPr>
        <w:t>14</w:t>
      </w:r>
      <w:r w:rsidR="003E1ED0" w:rsidRPr="00713E42">
        <w:rPr>
          <w:rFonts w:cs="Arial"/>
          <w:noProof/>
        </w:rPr>
        <w:fldChar w:fldCharType="end"/>
      </w:r>
    </w:p>
    <w:p w:rsidR="009743ED" w:rsidRPr="00713E42" w:rsidRDefault="009743ED" w:rsidP="00713E42">
      <w:pPr>
        <w:pStyle w:val="TOC2"/>
        <w:rPr>
          <w:rFonts w:cs="Arial"/>
          <w:noProof/>
        </w:rPr>
      </w:pPr>
      <w:r w:rsidRPr="00713E42">
        <w:rPr>
          <w:rFonts w:cs="Arial"/>
          <w:noProof/>
        </w:rPr>
        <w:t>Schedule 2</w:t>
      </w:r>
      <w:r w:rsidRPr="00713E42">
        <w:rPr>
          <w:rFonts w:cs="Arial"/>
          <w:noProof/>
        </w:rPr>
        <w:tab/>
        <w:t>Form of Compliance Report</w:t>
      </w:r>
      <w:r w:rsidRPr="00713E42">
        <w:rPr>
          <w:rFonts w:cs="Arial"/>
          <w:noProof/>
        </w:rPr>
        <w:tab/>
      </w:r>
      <w:r w:rsidR="003E1ED0" w:rsidRPr="00713E42">
        <w:rPr>
          <w:rFonts w:cs="Arial"/>
          <w:noProof/>
        </w:rPr>
        <w:fldChar w:fldCharType="begin"/>
      </w:r>
      <w:r w:rsidRPr="00713E42">
        <w:rPr>
          <w:rFonts w:cs="Arial"/>
          <w:noProof/>
        </w:rPr>
        <w:instrText xml:space="preserve"> PAGEREF _Toc303869446 \h </w:instrText>
      </w:r>
      <w:r w:rsidR="003E1ED0" w:rsidRPr="00713E42">
        <w:rPr>
          <w:rFonts w:cs="Arial"/>
          <w:noProof/>
        </w:rPr>
      </w:r>
      <w:r w:rsidR="003E1ED0" w:rsidRPr="00713E42">
        <w:rPr>
          <w:rFonts w:cs="Arial"/>
          <w:noProof/>
        </w:rPr>
        <w:fldChar w:fldCharType="separate"/>
      </w:r>
      <w:r w:rsidR="00A0712F">
        <w:rPr>
          <w:rFonts w:cs="Arial"/>
          <w:noProof/>
        </w:rPr>
        <w:t>18</w:t>
      </w:r>
      <w:r w:rsidR="003E1ED0" w:rsidRPr="00713E42">
        <w:rPr>
          <w:rFonts w:cs="Arial"/>
          <w:noProof/>
        </w:rPr>
        <w:fldChar w:fldCharType="end"/>
      </w:r>
    </w:p>
    <w:p w:rsidR="0073506F" w:rsidRDefault="003E1ED0" w:rsidP="0073506F">
      <w:pPr>
        <w:pStyle w:val="TOC"/>
      </w:pPr>
      <w:r>
        <w:fldChar w:fldCharType="end"/>
      </w:r>
    </w:p>
    <w:p w:rsidR="0073506F" w:rsidRPr="00793E24" w:rsidRDefault="0073506F" w:rsidP="0073506F">
      <w:pPr>
        <w:rPr>
          <w:lang w:val="en-US"/>
        </w:rPr>
      </w:pPr>
    </w:p>
    <w:p w:rsidR="0073506F" w:rsidRDefault="0073506F" w:rsidP="0073506F">
      <w:pPr>
        <w:pStyle w:val="ContentsSectionBreak"/>
        <w:sectPr w:rsidR="0073506F">
          <w:headerReference w:type="even" r:id="rId13"/>
          <w:headerReference w:type="default" r:id="rId14"/>
          <w:footerReference w:type="even" r:id="rId15"/>
          <w:footerReference w:type="default" r:id="rId16"/>
          <w:headerReference w:type="first" r:id="rId17"/>
          <w:footerReference w:type="first" r:id="rId18"/>
          <w:pgSz w:w="11907" w:h="16839" w:code="9"/>
          <w:pgMar w:top="1440" w:right="1797" w:bottom="1440" w:left="1797" w:header="709" w:footer="709" w:gutter="0"/>
          <w:cols w:space="708"/>
          <w:docGrid w:linePitch="360"/>
        </w:sectPr>
      </w:pPr>
    </w:p>
    <w:p w:rsidR="0073506F" w:rsidRPr="00EE4C48" w:rsidRDefault="0008507C" w:rsidP="0073506F">
      <w:pPr>
        <w:pStyle w:val="HP"/>
        <w:pageBreakBefore/>
        <w:rPr>
          <w:rFonts w:cs="Arial"/>
          <w:sz w:val="36"/>
          <w:szCs w:val="36"/>
        </w:rPr>
      </w:pPr>
      <w:bookmarkStart w:id="5" w:name="_Toc242765847"/>
      <w:bookmarkStart w:id="6" w:name="_Toc303869422"/>
      <w:r w:rsidRPr="0008507C">
        <w:rPr>
          <w:rStyle w:val="CharPartNo"/>
          <w:rFonts w:cs="Arial"/>
          <w:sz w:val="36"/>
          <w:szCs w:val="36"/>
        </w:rPr>
        <w:lastRenderedPageBreak/>
        <w:t>Part 1</w:t>
      </w:r>
      <w:r w:rsidR="00583178">
        <w:rPr>
          <w:rFonts w:cs="Arial"/>
          <w:sz w:val="36"/>
          <w:szCs w:val="36"/>
        </w:rPr>
        <w:tab/>
      </w:r>
      <w:bookmarkEnd w:id="5"/>
      <w:r w:rsidRPr="0008507C">
        <w:rPr>
          <w:rStyle w:val="CharPartText"/>
          <w:rFonts w:cs="Arial"/>
          <w:sz w:val="36"/>
          <w:szCs w:val="36"/>
        </w:rPr>
        <w:t>Introduction</w:t>
      </w:r>
      <w:bookmarkEnd w:id="6"/>
    </w:p>
    <w:p w:rsidR="0073506F" w:rsidRPr="00930B48" w:rsidRDefault="0073506F" w:rsidP="0073506F">
      <w:pPr>
        <w:pStyle w:val="Header"/>
        <w:rPr>
          <w:rFonts w:ascii="Times New Roman" w:hAnsi="Times New Roman"/>
        </w:rPr>
      </w:pPr>
      <w:r w:rsidRPr="00930B48">
        <w:rPr>
          <w:rStyle w:val="CharDivNo"/>
          <w:rFonts w:ascii="Times New Roman" w:hAnsi="Times New Roman"/>
        </w:rPr>
        <w:t xml:space="preserve"> </w:t>
      </w:r>
      <w:r w:rsidRPr="00930B48">
        <w:rPr>
          <w:rStyle w:val="CharDivText"/>
          <w:rFonts w:ascii="Times New Roman" w:hAnsi="Times New Roman"/>
        </w:rPr>
        <w:t xml:space="preserve"> </w:t>
      </w:r>
    </w:p>
    <w:p w:rsidR="0073506F" w:rsidRPr="00FB4F1E" w:rsidRDefault="006B7A79" w:rsidP="00423137">
      <w:pPr>
        <w:pStyle w:val="HR"/>
        <w:ind w:left="426" w:hanging="426"/>
        <w:rPr>
          <w:rFonts w:cs="Arial"/>
        </w:rPr>
      </w:pPr>
      <w:bookmarkStart w:id="7" w:name="_Toc303869423"/>
      <w:r w:rsidRPr="006B7A79">
        <w:rPr>
          <w:rFonts w:cs="Arial"/>
        </w:rPr>
        <w:t>1</w:t>
      </w:r>
      <w:r w:rsidRPr="006B7A79">
        <w:rPr>
          <w:rFonts w:cs="Arial"/>
        </w:rPr>
        <w:tab/>
        <w:t>Name of Rules</w:t>
      </w:r>
      <w:bookmarkEnd w:id="7"/>
    </w:p>
    <w:p w:rsidR="00586F8E" w:rsidRDefault="00F16A1A">
      <w:pPr>
        <w:pStyle w:val="R1"/>
        <w:ind w:left="425" w:firstLine="0"/>
        <w:rPr>
          <w:i/>
          <w:iCs/>
        </w:rPr>
      </w:pPr>
      <w:r>
        <w:tab/>
      </w:r>
      <w:r w:rsidR="0073506F" w:rsidRPr="00930B48">
        <w:t xml:space="preserve">These </w:t>
      </w:r>
      <w:r w:rsidR="00521973">
        <w:t>R</w:t>
      </w:r>
      <w:r w:rsidR="0073506F" w:rsidRPr="00930B48">
        <w:t xml:space="preserve">ules are the </w:t>
      </w:r>
      <w:r w:rsidR="003376C1" w:rsidRPr="00930B48">
        <w:rPr>
          <w:i/>
          <w:iCs/>
        </w:rPr>
        <w:t>Telecommunications (Customer Service Guarantee</w:t>
      </w:r>
      <w:r w:rsidR="00521973">
        <w:rPr>
          <w:i/>
          <w:iCs/>
        </w:rPr>
        <w:t>)</w:t>
      </w:r>
      <w:r w:rsidR="003376C1" w:rsidRPr="00930B48">
        <w:rPr>
          <w:i/>
          <w:iCs/>
        </w:rPr>
        <w:t xml:space="preserve"> Record-</w:t>
      </w:r>
      <w:r w:rsidR="00521973">
        <w:rPr>
          <w:i/>
          <w:iCs/>
        </w:rPr>
        <w:t>K</w:t>
      </w:r>
      <w:r w:rsidR="003376C1" w:rsidRPr="00930B48">
        <w:rPr>
          <w:i/>
          <w:iCs/>
        </w:rPr>
        <w:t>eeping Rules 2011</w:t>
      </w:r>
      <w:r w:rsidR="0073506F" w:rsidRPr="00930B48">
        <w:t>.</w:t>
      </w:r>
    </w:p>
    <w:p w:rsidR="0073506F" w:rsidRPr="00930B48" w:rsidRDefault="006B7A79" w:rsidP="00423137">
      <w:pPr>
        <w:pStyle w:val="HR"/>
        <w:ind w:left="426" w:hanging="426"/>
        <w:rPr>
          <w:rStyle w:val="CharSectno"/>
          <w:rFonts w:ascii="Times New Roman" w:hAnsi="Times New Roman"/>
        </w:rPr>
      </w:pPr>
      <w:bookmarkStart w:id="8" w:name="_Toc303869424"/>
      <w:r w:rsidRPr="006B7A79">
        <w:rPr>
          <w:rFonts w:cs="Arial"/>
        </w:rPr>
        <w:t>2</w:t>
      </w:r>
      <w:r w:rsidRPr="006B7A79">
        <w:rPr>
          <w:rFonts w:cs="Arial"/>
        </w:rPr>
        <w:tab/>
        <w:t>Commencement</w:t>
      </w:r>
      <w:bookmarkEnd w:id="8"/>
    </w:p>
    <w:p w:rsidR="00FA2FF9" w:rsidRDefault="0073506F">
      <w:pPr>
        <w:pStyle w:val="R1"/>
        <w:ind w:left="1390"/>
      </w:pPr>
      <w:r w:rsidRPr="00930B48">
        <w:tab/>
        <w:t>These Rules commence on</w:t>
      </w:r>
      <w:r w:rsidR="00FA2FF9">
        <w:t>:</w:t>
      </w:r>
    </w:p>
    <w:p w:rsidR="00FA2FF9" w:rsidRDefault="00907EE7" w:rsidP="00FA2FF9">
      <w:pPr>
        <w:pStyle w:val="ZR1"/>
        <w:numPr>
          <w:ilvl w:val="0"/>
          <w:numId w:val="4"/>
        </w:numPr>
      </w:pPr>
      <w:r w:rsidRPr="00930B48">
        <w:t xml:space="preserve">1 </w:t>
      </w:r>
      <w:r w:rsidR="0073506F" w:rsidRPr="00930B48">
        <w:t xml:space="preserve">October </w:t>
      </w:r>
      <w:r w:rsidRPr="00930B48">
        <w:t>2011</w:t>
      </w:r>
      <w:r w:rsidR="00FA2FF9">
        <w:t>; or</w:t>
      </w:r>
    </w:p>
    <w:p w:rsidR="00FA2FF9" w:rsidRDefault="00FA2FF9" w:rsidP="00FA2FF9">
      <w:pPr>
        <w:pStyle w:val="ZR1"/>
        <w:numPr>
          <w:ilvl w:val="0"/>
          <w:numId w:val="4"/>
        </w:numPr>
      </w:pPr>
      <w:r>
        <w:t xml:space="preserve">the day after </w:t>
      </w:r>
      <w:r w:rsidR="009E1124">
        <w:t>they are</w:t>
      </w:r>
      <w:r>
        <w:t xml:space="preserve"> registered,</w:t>
      </w:r>
    </w:p>
    <w:p w:rsidR="00586F8E" w:rsidRDefault="00FA2FF9" w:rsidP="00FA2FF9">
      <w:pPr>
        <w:pStyle w:val="R1"/>
        <w:ind w:left="1390"/>
      </w:pPr>
      <w:proofErr w:type="gramStart"/>
      <w:r>
        <w:t>whichever</w:t>
      </w:r>
      <w:proofErr w:type="gramEnd"/>
      <w:r>
        <w:t xml:space="preserve"> last occurs</w:t>
      </w:r>
      <w:r w:rsidR="0073506F" w:rsidRPr="00930B48">
        <w:t>.</w:t>
      </w:r>
    </w:p>
    <w:p w:rsidR="00142689" w:rsidRDefault="00FA2FF9">
      <w:pPr>
        <w:pStyle w:val="ZR1"/>
        <w:ind w:left="1220" w:hanging="794"/>
        <w:rPr>
          <w:sz w:val="20"/>
          <w:szCs w:val="20"/>
        </w:rPr>
      </w:pPr>
      <w:r>
        <w:rPr>
          <w:i/>
          <w:sz w:val="20"/>
          <w:szCs w:val="20"/>
        </w:rPr>
        <w:t>Note 1:</w:t>
      </w:r>
      <w:r>
        <w:rPr>
          <w:i/>
          <w:sz w:val="20"/>
          <w:szCs w:val="20"/>
        </w:rPr>
        <w:tab/>
      </w:r>
      <w:r>
        <w:rPr>
          <w:sz w:val="20"/>
          <w:szCs w:val="20"/>
        </w:rPr>
        <w:t xml:space="preserve">Both events must occur before these Rules commence. </w:t>
      </w:r>
    </w:p>
    <w:p w:rsidR="00142689" w:rsidRDefault="00FA2FF9">
      <w:pPr>
        <w:pStyle w:val="ZR1"/>
        <w:ind w:left="1220" w:hanging="794"/>
        <w:rPr>
          <w:sz w:val="20"/>
          <w:szCs w:val="20"/>
        </w:rPr>
      </w:pPr>
      <w:r w:rsidRPr="0071032B">
        <w:rPr>
          <w:i/>
          <w:sz w:val="20"/>
          <w:szCs w:val="20"/>
        </w:rPr>
        <w:t>Note</w:t>
      </w:r>
      <w:r>
        <w:rPr>
          <w:i/>
          <w:sz w:val="20"/>
          <w:szCs w:val="20"/>
        </w:rPr>
        <w:t xml:space="preserve"> 2</w:t>
      </w:r>
      <w:r w:rsidRPr="0071032B">
        <w:rPr>
          <w:i/>
          <w:sz w:val="20"/>
          <w:szCs w:val="20"/>
        </w:rPr>
        <w:t>:</w:t>
      </w:r>
      <w:r>
        <w:rPr>
          <w:i/>
          <w:sz w:val="20"/>
          <w:szCs w:val="20"/>
        </w:rPr>
        <w:tab/>
      </w:r>
      <w:r>
        <w:rPr>
          <w:sz w:val="20"/>
          <w:szCs w:val="20"/>
        </w:rPr>
        <w:t xml:space="preserve">All legislative instruments and compilations are registered on the Federal Register of Legislative Instruments kept under the </w:t>
      </w:r>
      <w:r w:rsidRPr="00FA2FF9">
        <w:rPr>
          <w:i/>
          <w:sz w:val="20"/>
          <w:szCs w:val="20"/>
        </w:rPr>
        <w:t>Legislative Instruments Act 2003</w:t>
      </w:r>
      <w:r>
        <w:rPr>
          <w:sz w:val="20"/>
          <w:szCs w:val="20"/>
        </w:rPr>
        <w:t xml:space="preserve">. See </w:t>
      </w:r>
      <w:hyperlink r:id="rId19" w:history="1">
        <w:r w:rsidRPr="004C29E1">
          <w:rPr>
            <w:rStyle w:val="Hyperlink"/>
            <w:sz w:val="20"/>
            <w:szCs w:val="20"/>
          </w:rPr>
          <w:t>http://www.frli.gov.au</w:t>
        </w:r>
      </w:hyperlink>
      <w:r>
        <w:rPr>
          <w:sz w:val="20"/>
          <w:szCs w:val="20"/>
        </w:rPr>
        <w:t xml:space="preserve">. </w:t>
      </w:r>
    </w:p>
    <w:p w:rsidR="0073506F" w:rsidRPr="00FB4F1E" w:rsidRDefault="006B7A79" w:rsidP="00423137">
      <w:pPr>
        <w:pStyle w:val="HR"/>
        <w:ind w:left="426" w:hanging="426"/>
        <w:rPr>
          <w:rFonts w:cs="Arial"/>
        </w:rPr>
      </w:pPr>
      <w:bookmarkStart w:id="9" w:name="_Toc303869425"/>
      <w:r w:rsidRPr="006B7A79">
        <w:rPr>
          <w:rFonts w:cs="Arial"/>
        </w:rPr>
        <w:t>3</w:t>
      </w:r>
      <w:r w:rsidRPr="006B7A79">
        <w:rPr>
          <w:rFonts w:cs="Arial"/>
        </w:rPr>
        <w:tab/>
        <w:t>Definitions</w:t>
      </w:r>
      <w:bookmarkEnd w:id="9"/>
    </w:p>
    <w:p w:rsidR="00586F8E" w:rsidRDefault="0073506F" w:rsidP="00872257">
      <w:pPr>
        <w:pStyle w:val="ZR1"/>
        <w:numPr>
          <w:ilvl w:val="0"/>
          <w:numId w:val="3"/>
        </w:numPr>
      </w:pPr>
      <w:r w:rsidRPr="00930B48">
        <w:t>In these Rules</w:t>
      </w:r>
      <w:r w:rsidR="00533893">
        <w:t>, unless the contrary intention appears:</w:t>
      </w:r>
    </w:p>
    <w:p w:rsidR="00E33397" w:rsidRDefault="00E33397" w:rsidP="00E33397">
      <w:pPr>
        <w:pStyle w:val="definition"/>
        <w:ind w:left="786"/>
        <w:rPr>
          <w:bCs/>
          <w:iCs/>
        </w:rPr>
      </w:pPr>
      <w:r>
        <w:rPr>
          <w:b/>
          <w:bCs/>
          <w:i/>
          <w:iCs/>
        </w:rPr>
        <w:t>ABN</w:t>
      </w:r>
      <w:r w:rsidR="00FA5022">
        <w:rPr>
          <w:bCs/>
          <w:iCs/>
        </w:rPr>
        <w:t xml:space="preserve"> has the</w:t>
      </w:r>
      <w:r>
        <w:rPr>
          <w:bCs/>
          <w:iCs/>
        </w:rPr>
        <w:t xml:space="preserve"> meaning given by the </w:t>
      </w:r>
      <w:r w:rsidR="00FA5022" w:rsidRPr="00FA5022">
        <w:rPr>
          <w:bCs/>
          <w:i/>
          <w:iCs/>
        </w:rPr>
        <w:t>A New Tax System (Australian Business Number) Act 1999</w:t>
      </w:r>
      <w:r>
        <w:rPr>
          <w:bCs/>
          <w:iCs/>
        </w:rPr>
        <w:t>.</w:t>
      </w:r>
    </w:p>
    <w:p w:rsidR="002B4D11" w:rsidRPr="00562CAB" w:rsidRDefault="002B4D11" w:rsidP="002B4D11">
      <w:pPr>
        <w:pStyle w:val="definition"/>
        <w:ind w:left="786"/>
        <w:rPr>
          <w:bCs/>
          <w:iCs/>
        </w:rPr>
      </w:pPr>
      <w:r>
        <w:rPr>
          <w:b/>
          <w:bCs/>
          <w:i/>
          <w:iCs/>
        </w:rPr>
        <w:t>Act</w:t>
      </w:r>
      <w:r>
        <w:rPr>
          <w:bCs/>
          <w:iCs/>
        </w:rPr>
        <w:t xml:space="preserve"> means the </w:t>
      </w:r>
      <w:r w:rsidRPr="00562CAB">
        <w:rPr>
          <w:bCs/>
          <w:i/>
          <w:iCs/>
        </w:rPr>
        <w:t>Telecommunications Act 1997</w:t>
      </w:r>
      <w:r>
        <w:rPr>
          <w:bCs/>
          <w:iCs/>
        </w:rPr>
        <w:t>.</w:t>
      </w:r>
    </w:p>
    <w:p w:rsidR="00586F8E" w:rsidRDefault="00E30524">
      <w:pPr>
        <w:pStyle w:val="definition"/>
        <w:ind w:left="786"/>
        <w:rPr>
          <w:bCs/>
          <w:iCs/>
        </w:rPr>
      </w:pPr>
      <w:proofErr w:type="gramStart"/>
      <w:r w:rsidRPr="00930B48">
        <w:rPr>
          <w:b/>
          <w:bCs/>
          <w:i/>
          <w:iCs/>
        </w:rPr>
        <w:t>appointment</w:t>
      </w:r>
      <w:proofErr w:type="gramEnd"/>
      <w:r w:rsidRPr="00930B48">
        <w:rPr>
          <w:bCs/>
          <w:iCs/>
        </w:rPr>
        <w:t xml:space="preserve"> </w:t>
      </w:r>
      <w:r w:rsidR="00B71C17" w:rsidRPr="00930B48">
        <w:rPr>
          <w:bCs/>
          <w:iCs/>
        </w:rPr>
        <w:t xml:space="preserve">has </w:t>
      </w:r>
      <w:r w:rsidR="004D374E">
        <w:rPr>
          <w:bCs/>
          <w:iCs/>
        </w:rPr>
        <w:t>a</w:t>
      </w:r>
      <w:r w:rsidR="004D374E" w:rsidRPr="00930B48">
        <w:rPr>
          <w:bCs/>
          <w:iCs/>
        </w:rPr>
        <w:t xml:space="preserve"> </w:t>
      </w:r>
      <w:r w:rsidR="00B71C17" w:rsidRPr="00930B48">
        <w:rPr>
          <w:bCs/>
          <w:iCs/>
        </w:rPr>
        <w:t xml:space="preserve">meaning </w:t>
      </w:r>
      <w:r w:rsidR="004D374E">
        <w:rPr>
          <w:bCs/>
          <w:iCs/>
        </w:rPr>
        <w:t>affected by</w:t>
      </w:r>
      <w:r w:rsidR="00B71C17" w:rsidRPr="00930B48">
        <w:rPr>
          <w:bCs/>
          <w:iCs/>
        </w:rPr>
        <w:t xml:space="preserve"> </w:t>
      </w:r>
      <w:r w:rsidR="004164E2" w:rsidRPr="00930B48">
        <w:rPr>
          <w:bCs/>
          <w:iCs/>
        </w:rPr>
        <w:t xml:space="preserve">Division 4 </w:t>
      </w:r>
      <w:r w:rsidR="004164E2">
        <w:rPr>
          <w:bCs/>
          <w:iCs/>
        </w:rPr>
        <w:t xml:space="preserve">of </w:t>
      </w:r>
      <w:r w:rsidR="00CB3B22" w:rsidRPr="00930B48">
        <w:rPr>
          <w:bCs/>
          <w:iCs/>
        </w:rPr>
        <w:t xml:space="preserve">Part 2 of </w:t>
      </w:r>
      <w:r w:rsidR="00B71C17" w:rsidRPr="00930B48">
        <w:rPr>
          <w:bCs/>
          <w:iCs/>
        </w:rPr>
        <w:t xml:space="preserve">the </w:t>
      </w:r>
      <w:r w:rsidR="002D56F6">
        <w:rPr>
          <w:bCs/>
          <w:iCs/>
        </w:rPr>
        <w:t xml:space="preserve">CSG </w:t>
      </w:r>
      <w:r w:rsidR="00B71C17" w:rsidRPr="00930B48">
        <w:rPr>
          <w:bCs/>
          <w:iCs/>
        </w:rPr>
        <w:t>Standard</w:t>
      </w:r>
      <w:r w:rsidR="008747F5" w:rsidRPr="00930B48">
        <w:rPr>
          <w:bCs/>
          <w:iCs/>
        </w:rPr>
        <w:t>.</w:t>
      </w:r>
    </w:p>
    <w:p w:rsidR="00702325" w:rsidRDefault="00702325">
      <w:pPr>
        <w:pStyle w:val="definition"/>
        <w:ind w:left="786"/>
        <w:rPr>
          <w:bCs/>
          <w:iCs/>
        </w:rPr>
      </w:pPr>
      <w:proofErr w:type="gramStart"/>
      <w:r w:rsidRPr="00930B48">
        <w:rPr>
          <w:b/>
          <w:bCs/>
          <w:i/>
          <w:iCs/>
        </w:rPr>
        <w:t>a</w:t>
      </w:r>
      <w:r>
        <w:rPr>
          <w:b/>
          <w:bCs/>
          <w:i/>
          <w:iCs/>
        </w:rPr>
        <w:t>udit</w:t>
      </w:r>
      <w:proofErr w:type="gramEnd"/>
      <w:r>
        <w:rPr>
          <w:b/>
          <w:bCs/>
          <w:i/>
          <w:iCs/>
        </w:rPr>
        <w:t xml:space="preserve"> report</w:t>
      </w:r>
      <w:r w:rsidRPr="00702325">
        <w:rPr>
          <w:bCs/>
          <w:iCs/>
        </w:rPr>
        <w:t xml:space="preserve"> has the </w:t>
      </w:r>
      <w:r>
        <w:rPr>
          <w:bCs/>
          <w:iCs/>
        </w:rPr>
        <w:t>meaning given in subsection 18(4).</w:t>
      </w:r>
    </w:p>
    <w:p w:rsidR="002B4D11" w:rsidRDefault="002B4D11" w:rsidP="002B4D11">
      <w:pPr>
        <w:pStyle w:val="definition"/>
        <w:ind w:left="786"/>
      </w:pPr>
      <w:r>
        <w:rPr>
          <w:b/>
          <w:bCs/>
          <w:i/>
          <w:iCs/>
        </w:rPr>
        <w:t xml:space="preserve">Benchmarks </w:t>
      </w:r>
      <w:r w:rsidRPr="00930B48">
        <w:rPr>
          <w:b/>
          <w:bCs/>
          <w:i/>
          <w:iCs/>
        </w:rPr>
        <w:t xml:space="preserve">Instrument </w:t>
      </w:r>
      <w:r w:rsidRPr="00930B48">
        <w:rPr>
          <w:bCs/>
          <w:iCs/>
        </w:rPr>
        <w:t xml:space="preserve">means the </w:t>
      </w:r>
      <w:r w:rsidRPr="00930B48">
        <w:rPr>
          <w:bCs/>
          <w:i/>
          <w:iCs/>
        </w:rPr>
        <w:t>Telecommunications (Customer Service Guarantee – Retail Performance Benchmarks) Instrument (No. 1) 2011.</w:t>
      </w:r>
    </w:p>
    <w:p w:rsidR="00B754FA" w:rsidRPr="00627344" w:rsidRDefault="00B754FA" w:rsidP="00B754FA">
      <w:pPr>
        <w:pStyle w:val="definition"/>
        <w:ind w:left="786"/>
        <w:rPr>
          <w:bCs/>
          <w:iCs/>
        </w:rPr>
      </w:pPr>
      <w:proofErr w:type="gramStart"/>
      <w:r>
        <w:rPr>
          <w:b/>
          <w:bCs/>
          <w:i/>
          <w:iCs/>
        </w:rPr>
        <w:t>compliance</w:t>
      </w:r>
      <w:proofErr w:type="gramEnd"/>
      <w:r>
        <w:rPr>
          <w:b/>
          <w:bCs/>
          <w:i/>
          <w:iCs/>
        </w:rPr>
        <w:t xml:space="preserve"> report</w:t>
      </w:r>
      <w:r>
        <w:rPr>
          <w:bCs/>
          <w:iCs/>
        </w:rPr>
        <w:t xml:space="preserve"> means a report under section 13.</w:t>
      </w:r>
    </w:p>
    <w:p w:rsidR="00674308" w:rsidRPr="00674308" w:rsidRDefault="00674308">
      <w:pPr>
        <w:pStyle w:val="definition"/>
        <w:ind w:left="786"/>
        <w:rPr>
          <w:bCs/>
          <w:iCs/>
        </w:rPr>
      </w:pPr>
      <w:proofErr w:type="gramStart"/>
      <w:r w:rsidRPr="008C7463">
        <w:rPr>
          <w:b/>
          <w:i/>
        </w:rPr>
        <w:t>connection</w:t>
      </w:r>
      <w:proofErr w:type="gramEnd"/>
      <w:r w:rsidRPr="008C7463">
        <w:rPr>
          <w:b/>
          <w:i/>
        </w:rPr>
        <w:t xml:space="preserve"> or rectification</w:t>
      </w:r>
      <w:r w:rsidRPr="006B7A79">
        <w:rPr>
          <w:b/>
          <w:i/>
        </w:rPr>
        <w:t xml:space="preserve"> </w:t>
      </w:r>
      <w:r w:rsidRPr="008C7463">
        <w:rPr>
          <w:b/>
          <w:i/>
        </w:rPr>
        <w:t>appointment</w:t>
      </w:r>
      <w:r>
        <w:t xml:space="preserve"> has the meaning given in subsection </w:t>
      </w:r>
      <w:r w:rsidR="00F41454">
        <w:t>11</w:t>
      </w:r>
      <w:r>
        <w:t>(2).</w:t>
      </w:r>
    </w:p>
    <w:p w:rsidR="00586F8E" w:rsidRDefault="00A4179F">
      <w:pPr>
        <w:pStyle w:val="definition"/>
        <w:ind w:left="786"/>
        <w:rPr>
          <w:bCs/>
          <w:i/>
          <w:iCs/>
        </w:rPr>
      </w:pPr>
      <w:r>
        <w:rPr>
          <w:b/>
          <w:bCs/>
          <w:i/>
          <w:iCs/>
        </w:rPr>
        <w:t xml:space="preserve">CSG </w:t>
      </w:r>
      <w:r w:rsidR="00DC597D" w:rsidRPr="00930B48">
        <w:rPr>
          <w:b/>
          <w:bCs/>
          <w:i/>
          <w:iCs/>
        </w:rPr>
        <w:t xml:space="preserve">Standard </w:t>
      </w:r>
      <w:r w:rsidR="00DC597D" w:rsidRPr="00930B48">
        <w:rPr>
          <w:bCs/>
          <w:iCs/>
        </w:rPr>
        <w:t>means</w:t>
      </w:r>
      <w:r w:rsidR="00B71C17" w:rsidRPr="00930B48">
        <w:rPr>
          <w:bCs/>
          <w:iCs/>
        </w:rPr>
        <w:t xml:space="preserve"> the </w:t>
      </w:r>
      <w:r w:rsidR="00B71C17" w:rsidRPr="00930B48">
        <w:rPr>
          <w:bCs/>
          <w:i/>
          <w:iCs/>
        </w:rPr>
        <w:t>Telecommunications (Customer Service Guarantee) Standard 2011.</w:t>
      </w:r>
    </w:p>
    <w:p w:rsidR="00AE5E6B" w:rsidRPr="00AE5E6B" w:rsidRDefault="00AE5E6B">
      <w:pPr>
        <w:pStyle w:val="definition"/>
        <w:ind w:left="786"/>
        <w:rPr>
          <w:bCs/>
          <w:iCs/>
        </w:rPr>
      </w:pPr>
      <w:proofErr w:type="gramStart"/>
      <w:r w:rsidRPr="008C7463">
        <w:rPr>
          <w:b/>
          <w:i/>
        </w:rPr>
        <w:t>fault</w:t>
      </w:r>
      <w:proofErr w:type="gramEnd"/>
      <w:r w:rsidRPr="008C7463">
        <w:rPr>
          <w:b/>
          <w:i/>
        </w:rPr>
        <w:t xml:space="preserve"> or service difficulty report</w:t>
      </w:r>
      <w:r>
        <w:t xml:space="preserve"> has the meaning given in </w:t>
      </w:r>
      <w:r w:rsidR="00AE4D62">
        <w:t xml:space="preserve">subsection </w:t>
      </w:r>
      <w:r w:rsidR="00B664DB">
        <w:t>10</w:t>
      </w:r>
      <w:r>
        <w:t>(2).</w:t>
      </w:r>
    </w:p>
    <w:p w:rsidR="00BC3042" w:rsidRPr="00BC3042" w:rsidRDefault="00B30E56">
      <w:pPr>
        <w:pStyle w:val="definition"/>
        <w:ind w:left="786"/>
        <w:rPr>
          <w:bCs/>
          <w:iCs/>
        </w:rPr>
      </w:pPr>
      <w:proofErr w:type="gramStart"/>
      <w:r>
        <w:rPr>
          <w:b/>
          <w:bCs/>
          <w:i/>
          <w:iCs/>
        </w:rPr>
        <w:t>nominated</w:t>
      </w:r>
      <w:proofErr w:type="gramEnd"/>
      <w:r w:rsidR="00BC3042">
        <w:rPr>
          <w:b/>
          <w:bCs/>
          <w:i/>
          <w:iCs/>
        </w:rPr>
        <w:t xml:space="preserve"> area</w:t>
      </w:r>
      <w:r w:rsidR="00BC3042">
        <w:rPr>
          <w:bCs/>
          <w:iCs/>
        </w:rPr>
        <w:t xml:space="preserve"> has the meaning given in section 5.</w:t>
      </w:r>
    </w:p>
    <w:p w:rsidR="00586F8E" w:rsidRDefault="00E435AA">
      <w:pPr>
        <w:pStyle w:val="definition"/>
        <w:ind w:left="786"/>
        <w:rPr>
          <w:bCs/>
          <w:iCs/>
        </w:rPr>
      </w:pPr>
      <w:proofErr w:type="gramStart"/>
      <w:r w:rsidRPr="00930B48">
        <w:rPr>
          <w:b/>
          <w:bCs/>
          <w:i/>
          <w:iCs/>
        </w:rPr>
        <w:t>qualifying</w:t>
      </w:r>
      <w:proofErr w:type="gramEnd"/>
      <w:r w:rsidRPr="00930B48">
        <w:rPr>
          <w:b/>
          <w:bCs/>
          <w:i/>
          <w:iCs/>
        </w:rPr>
        <w:t xml:space="preserve"> carriage service provider </w:t>
      </w:r>
      <w:r w:rsidR="00E45010">
        <w:rPr>
          <w:b/>
          <w:bCs/>
          <w:i/>
          <w:iCs/>
        </w:rPr>
        <w:t xml:space="preserve">for a benchmark period </w:t>
      </w:r>
      <w:r w:rsidRPr="00930B48">
        <w:rPr>
          <w:bCs/>
          <w:iCs/>
        </w:rPr>
        <w:t xml:space="preserve">has </w:t>
      </w:r>
      <w:r w:rsidR="004164E2">
        <w:rPr>
          <w:bCs/>
          <w:iCs/>
        </w:rPr>
        <w:t xml:space="preserve">the </w:t>
      </w:r>
      <w:r w:rsidR="002D56F6">
        <w:rPr>
          <w:bCs/>
          <w:iCs/>
        </w:rPr>
        <w:t xml:space="preserve">meaning given </w:t>
      </w:r>
      <w:r w:rsidR="0093362A">
        <w:rPr>
          <w:bCs/>
          <w:iCs/>
        </w:rPr>
        <w:t>in</w:t>
      </w:r>
      <w:r w:rsidR="002D56F6">
        <w:rPr>
          <w:bCs/>
          <w:iCs/>
        </w:rPr>
        <w:t xml:space="preserve"> section</w:t>
      </w:r>
      <w:r w:rsidR="00903429">
        <w:rPr>
          <w:bCs/>
          <w:iCs/>
        </w:rPr>
        <w:t xml:space="preserve"> 4</w:t>
      </w:r>
      <w:r w:rsidRPr="00930B48">
        <w:rPr>
          <w:bCs/>
          <w:iCs/>
        </w:rPr>
        <w:t>.</w:t>
      </w:r>
    </w:p>
    <w:p w:rsidR="004A017E" w:rsidRDefault="004A017E">
      <w:pPr>
        <w:pStyle w:val="definition"/>
        <w:ind w:left="786"/>
        <w:rPr>
          <w:b/>
          <w:bCs/>
          <w:i/>
          <w:iCs/>
        </w:rPr>
      </w:pPr>
      <w:proofErr w:type="gramStart"/>
      <w:r>
        <w:rPr>
          <w:b/>
          <w:i/>
        </w:rPr>
        <w:t>quarter</w:t>
      </w:r>
      <w:proofErr w:type="gramEnd"/>
      <w:r>
        <w:t xml:space="preserve"> means a period of 3 months ending on 30 September, 31 December, 31 March or 30 June.</w:t>
      </w:r>
    </w:p>
    <w:p w:rsidR="00882625" w:rsidRPr="00882625" w:rsidRDefault="00882625">
      <w:pPr>
        <w:pStyle w:val="definition"/>
        <w:ind w:left="786"/>
      </w:pPr>
      <w:proofErr w:type="gramStart"/>
      <w:r>
        <w:rPr>
          <w:b/>
          <w:bCs/>
          <w:i/>
          <w:iCs/>
        </w:rPr>
        <w:t>reporting</w:t>
      </w:r>
      <w:proofErr w:type="gramEnd"/>
      <w:r>
        <w:rPr>
          <w:b/>
          <w:bCs/>
          <w:i/>
          <w:iCs/>
        </w:rPr>
        <w:t xml:space="preserve"> period</w:t>
      </w:r>
      <w:r>
        <w:rPr>
          <w:bCs/>
          <w:iCs/>
        </w:rPr>
        <w:t xml:space="preserve"> has the meaning given </w:t>
      </w:r>
      <w:r w:rsidR="0093362A">
        <w:rPr>
          <w:bCs/>
          <w:iCs/>
        </w:rPr>
        <w:t>in</w:t>
      </w:r>
      <w:r>
        <w:rPr>
          <w:bCs/>
          <w:iCs/>
        </w:rPr>
        <w:t xml:space="preserve"> </w:t>
      </w:r>
      <w:r w:rsidR="0093362A">
        <w:rPr>
          <w:bCs/>
          <w:iCs/>
        </w:rPr>
        <w:t>sub</w:t>
      </w:r>
      <w:r>
        <w:rPr>
          <w:bCs/>
          <w:iCs/>
        </w:rPr>
        <w:t>section 1</w:t>
      </w:r>
      <w:r w:rsidR="00B664DB">
        <w:rPr>
          <w:bCs/>
          <w:iCs/>
        </w:rPr>
        <w:t>3</w:t>
      </w:r>
      <w:r w:rsidR="0093362A">
        <w:rPr>
          <w:bCs/>
          <w:iCs/>
        </w:rPr>
        <w:t>(</w:t>
      </w:r>
      <w:r w:rsidR="00B664DB">
        <w:rPr>
          <w:bCs/>
          <w:iCs/>
        </w:rPr>
        <w:t>3</w:t>
      </w:r>
      <w:r w:rsidR="0093362A">
        <w:rPr>
          <w:bCs/>
          <w:iCs/>
        </w:rPr>
        <w:t>)</w:t>
      </w:r>
      <w:r>
        <w:rPr>
          <w:bCs/>
          <w:iCs/>
        </w:rPr>
        <w:t>.</w:t>
      </w:r>
    </w:p>
    <w:p w:rsidR="00586F8E" w:rsidRDefault="00EE4C48">
      <w:pPr>
        <w:pStyle w:val="definition"/>
        <w:ind w:left="788"/>
      </w:pPr>
      <w:r w:rsidRPr="006B7A79" w:rsidDel="00EE4C48">
        <w:rPr>
          <w:b/>
          <w:bCs/>
          <w:i/>
          <w:iCs/>
          <w:highlight w:val="yellow"/>
        </w:rPr>
        <w:t xml:space="preserve"> </w:t>
      </w:r>
    </w:p>
    <w:p w:rsidR="0008507C" w:rsidRDefault="00C64256" w:rsidP="00872257">
      <w:pPr>
        <w:pStyle w:val="ZR1"/>
        <w:numPr>
          <w:ilvl w:val="0"/>
          <w:numId w:val="3"/>
        </w:numPr>
      </w:pPr>
      <w:r>
        <w:t>In these Rules, u</w:t>
      </w:r>
      <w:r w:rsidR="001A7F0D">
        <w:t xml:space="preserve">nless the contrary intention appears, </w:t>
      </w:r>
      <w:r w:rsidR="00357587">
        <w:t xml:space="preserve">the following </w:t>
      </w:r>
      <w:r w:rsidR="001A7F0D">
        <w:t>terms have the meaning given to them in the Benchmarks Instrument</w:t>
      </w:r>
      <w:r w:rsidR="00F16A1A">
        <w:t>:</w:t>
      </w:r>
    </w:p>
    <w:p w:rsidR="00586F8E" w:rsidRDefault="006B7A79" w:rsidP="00FA2FF9">
      <w:pPr>
        <w:pStyle w:val="ZR1"/>
        <w:numPr>
          <w:ilvl w:val="0"/>
          <w:numId w:val="38"/>
        </w:numPr>
      </w:pPr>
      <w:r w:rsidRPr="006B7A79">
        <w:t>benchmark period</w:t>
      </w:r>
      <w:r w:rsidR="00357587">
        <w:t>;</w:t>
      </w:r>
      <w:r w:rsidRPr="006B7A79">
        <w:t xml:space="preserve"> </w:t>
      </w:r>
    </w:p>
    <w:p w:rsidR="00586F8E" w:rsidRDefault="006B7A79" w:rsidP="00FA2FF9">
      <w:pPr>
        <w:pStyle w:val="ZR1"/>
        <w:numPr>
          <w:ilvl w:val="0"/>
          <w:numId w:val="38"/>
        </w:numPr>
      </w:pPr>
      <w:r w:rsidRPr="006B7A79">
        <w:rPr>
          <w:bCs/>
          <w:iCs/>
        </w:rPr>
        <w:t>major rural area</w:t>
      </w:r>
      <w:r w:rsidR="00357587">
        <w:rPr>
          <w:bCs/>
          <w:iCs/>
        </w:rPr>
        <w:t>;</w:t>
      </w:r>
    </w:p>
    <w:p w:rsidR="00586F8E" w:rsidRDefault="006B7A79" w:rsidP="00FA2FF9">
      <w:pPr>
        <w:pStyle w:val="ZR1"/>
        <w:numPr>
          <w:ilvl w:val="0"/>
          <w:numId w:val="38"/>
        </w:numPr>
      </w:pPr>
      <w:r w:rsidRPr="006B7A79">
        <w:rPr>
          <w:bCs/>
          <w:iCs/>
        </w:rPr>
        <w:t>minor rural area</w:t>
      </w:r>
      <w:r w:rsidR="00357587">
        <w:t>;</w:t>
      </w:r>
    </w:p>
    <w:p w:rsidR="00586F8E" w:rsidRDefault="006B7A79" w:rsidP="00FA2FF9">
      <w:pPr>
        <w:pStyle w:val="ZR1"/>
        <w:numPr>
          <w:ilvl w:val="0"/>
          <w:numId w:val="38"/>
        </w:numPr>
      </w:pPr>
      <w:r w:rsidRPr="006B7A79">
        <w:rPr>
          <w:bCs/>
          <w:iCs/>
        </w:rPr>
        <w:t>remote area</w:t>
      </w:r>
      <w:r w:rsidR="00357587">
        <w:rPr>
          <w:bCs/>
          <w:iCs/>
        </w:rPr>
        <w:t>;</w:t>
      </w:r>
    </w:p>
    <w:p w:rsidR="00586F8E" w:rsidRDefault="006B7A79" w:rsidP="00FA2FF9">
      <w:pPr>
        <w:pStyle w:val="ZR1"/>
        <w:numPr>
          <w:ilvl w:val="0"/>
          <w:numId w:val="38"/>
        </w:numPr>
      </w:pPr>
      <w:r w:rsidRPr="006B7A79">
        <w:rPr>
          <w:bCs/>
          <w:iCs/>
        </w:rPr>
        <w:t>rural area</w:t>
      </w:r>
      <w:r w:rsidR="00357587">
        <w:rPr>
          <w:bCs/>
          <w:iCs/>
        </w:rPr>
        <w:t>; and</w:t>
      </w:r>
    </w:p>
    <w:p w:rsidR="00586F8E" w:rsidRDefault="006B7A79" w:rsidP="00FA2FF9">
      <w:pPr>
        <w:pStyle w:val="ZR1"/>
        <w:numPr>
          <w:ilvl w:val="0"/>
          <w:numId w:val="38"/>
        </w:numPr>
      </w:pPr>
      <w:proofErr w:type="gramStart"/>
      <w:r w:rsidRPr="006B7A79">
        <w:rPr>
          <w:bCs/>
          <w:iCs/>
        </w:rPr>
        <w:t>urban</w:t>
      </w:r>
      <w:proofErr w:type="gramEnd"/>
      <w:r w:rsidRPr="006B7A79">
        <w:rPr>
          <w:bCs/>
          <w:iCs/>
        </w:rPr>
        <w:t xml:space="preserve"> area</w:t>
      </w:r>
      <w:r w:rsidR="00357587">
        <w:rPr>
          <w:bCs/>
          <w:iCs/>
        </w:rPr>
        <w:t>.</w:t>
      </w:r>
    </w:p>
    <w:p w:rsidR="00C64256" w:rsidRDefault="00DB755C" w:rsidP="00872257">
      <w:pPr>
        <w:pStyle w:val="ZR1"/>
        <w:numPr>
          <w:ilvl w:val="0"/>
          <w:numId w:val="3"/>
        </w:numPr>
      </w:pPr>
      <w:r>
        <w:t>In these Rules, u</w:t>
      </w:r>
      <w:r w:rsidR="00C64256">
        <w:t xml:space="preserve">nless the contrary intention appears, </w:t>
      </w:r>
      <w:r>
        <w:t xml:space="preserve">the following </w:t>
      </w:r>
      <w:r w:rsidR="00C64256">
        <w:t xml:space="preserve">terms have the meaning given to them in </w:t>
      </w:r>
      <w:r w:rsidR="006D0AF5">
        <w:t>the CSG Standard:</w:t>
      </w:r>
    </w:p>
    <w:p w:rsidR="00586F8E" w:rsidRDefault="006B7A79" w:rsidP="00872257">
      <w:pPr>
        <w:pStyle w:val="ZR1"/>
        <w:numPr>
          <w:ilvl w:val="0"/>
          <w:numId w:val="5"/>
        </w:numPr>
      </w:pPr>
      <w:r w:rsidRPr="006B7A79">
        <w:t>connection period</w:t>
      </w:r>
      <w:r w:rsidR="006D0AF5">
        <w:t>;</w:t>
      </w:r>
    </w:p>
    <w:p w:rsidR="00586F8E" w:rsidRDefault="006B7A79" w:rsidP="00872257">
      <w:pPr>
        <w:pStyle w:val="ZR1"/>
        <w:numPr>
          <w:ilvl w:val="0"/>
          <w:numId w:val="5"/>
        </w:numPr>
      </w:pPr>
      <w:r w:rsidRPr="006B7A79">
        <w:t>CSG service</w:t>
      </w:r>
      <w:r w:rsidR="006D0AF5">
        <w:t>;</w:t>
      </w:r>
    </w:p>
    <w:p w:rsidR="00586F8E" w:rsidRDefault="006D0AF5" w:rsidP="00872257">
      <w:pPr>
        <w:pStyle w:val="ZR1"/>
        <w:numPr>
          <w:ilvl w:val="0"/>
          <w:numId w:val="5"/>
        </w:numPr>
      </w:pPr>
      <w:r>
        <w:t>c</w:t>
      </w:r>
      <w:r w:rsidR="006B7A79" w:rsidRPr="006B7A79">
        <w:t>ustomer</w:t>
      </w:r>
      <w:r>
        <w:t>;</w:t>
      </w:r>
    </w:p>
    <w:p w:rsidR="00927D8B" w:rsidRDefault="00927D8B" w:rsidP="00872257">
      <w:pPr>
        <w:pStyle w:val="ZR1"/>
        <w:numPr>
          <w:ilvl w:val="0"/>
          <w:numId w:val="5"/>
        </w:numPr>
      </w:pPr>
      <w:r>
        <w:t>enhanced call handling feature;</w:t>
      </w:r>
    </w:p>
    <w:p w:rsidR="00927D8B" w:rsidRDefault="00927D8B" w:rsidP="00872257">
      <w:pPr>
        <w:pStyle w:val="ZR1"/>
        <w:numPr>
          <w:ilvl w:val="0"/>
          <w:numId w:val="5"/>
        </w:numPr>
      </w:pPr>
      <w:r>
        <w:t>fault or service difficulty;</w:t>
      </w:r>
    </w:p>
    <w:p w:rsidR="00586F8E" w:rsidRDefault="006B7A79" w:rsidP="00872257">
      <w:pPr>
        <w:pStyle w:val="ZR1"/>
        <w:numPr>
          <w:ilvl w:val="0"/>
          <w:numId w:val="5"/>
        </w:numPr>
      </w:pPr>
      <w:r w:rsidRPr="006B7A79">
        <w:t>guaranteed maximum connection period</w:t>
      </w:r>
      <w:r w:rsidR="006D0AF5">
        <w:t>;</w:t>
      </w:r>
    </w:p>
    <w:p w:rsidR="00586F8E" w:rsidRDefault="006B7A79" w:rsidP="00872257">
      <w:pPr>
        <w:pStyle w:val="ZR1"/>
        <w:numPr>
          <w:ilvl w:val="0"/>
          <w:numId w:val="5"/>
        </w:numPr>
      </w:pPr>
      <w:r w:rsidRPr="006B7A79">
        <w:t>guaranteed maximum rectification period</w:t>
      </w:r>
      <w:r w:rsidR="006D0AF5">
        <w:t>;</w:t>
      </w:r>
    </w:p>
    <w:p w:rsidR="0071032B" w:rsidRDefault="0071032B" w:rsidP="00872257">
      <w:pPr>
        <w:pStyle w:val="ZR1"/>
        <w:numPr>
          <w:ilvl w:val="0"/>
          <w:numId w:val="5"/>
        </w:numPr>
      </w:pPr>
      <w:r>
        <w:t>performance standard;</w:t>
      </w:r>
    </w:p>
    <w:p w:rsidR="00927D8B" w:rsidRDefault="006D0AF5" w:rsidP="00872257">
      <w:pPr>
        <w:pStyle w:val="ZR1"/>
        <w:numPr>
          <w:ilvl w:val="0"/>
          <w:numId w:val="5"/>
        </w:numPr>
      </w:pPr>
      <w:r>
        <w:t xml:space="preserve">rectification period; </w:t>
      </w:r>
    </w:p>
    <w:p w:rsidR="00586F8E" w:rsidRDefault="00927D8B" w:rsidP="00872257">
      <w:pPr>
        <w:pStyle w:val="ZR1"/>
        <w:numPr>
          <w:ilvl w:val="0"/>
          <w:numId w:val="5"/>
        </w:numPr>
      </w:pPr>
      <w:r>
        <w:t>site;</w:t>
      </w:r>
    </w:p>
    <w:p w:rsidR="00927D8B" w:rsidRDefault="006B7A79" w:rsidP="00872257">
      <w:pPr>
        <w:pStyle w:val="ZR1"/>
        <w:numPr>
          <w:ilvl w:val="0"/>
          <w:numId w:val="5"/>
        </w:numPr>
      </w:pPr>
      <w:r w:rsidRPr="006B7A79">
        <w:t>specified service</w:t>
      </w:r>
      <w:r w:rsidR="00927D8B">
        <w:t>; and</w:t>
      </w:r>
    </w:p>
    <w:p w:rsidR="00586F8E" w:rsidRDefault="00927D8B" w:rsidP="00872257">
      <w:pPr>
        <w:pStyle w:val="ZR1"/>
        <w:numPr>
          <w:ilvl w:val="0"/>
          <w:numId w:val="5"/>
        </w:numPr>
      </w:pPr>
      <w:proofErr w:type="gramStart"/>
      <w:r>
        <w:t>working</w:t>
      </w:r>
      <w:proofErr w:type="gramEnd"/>
      <w:r>
        <w:t xml:space="preserve"> day</w:t>
      </w:r>
      <w:r w:rsidR="006D0AF5">
        <w:t>.</w:t>
      </w:r>
    </w:p>
    <w:p w:rsidR="00586F8E" w:rsidRDefault="006B7A79">
      <w:pPr>
        <w:pStyle w:val="ZR1"/>
        <w:ind w:left="1588" w:hanging="794"/>
        <w:rPr>
          <w:sz w:val="20"/>
          <w:szCs w:val="20"/>
        </w:rPr>
      </w:pPr>
      <w:r w:rsidRPr="006B7A79">
        <w:rPr>
          <w:i/>
          <w:sz w:val="20"/>
          <w:szCs w:val="20"/>
        </w:rPr>
        <w:t>Note</w:t>
      </w:r>
      <w:r w:rsidR="00416265">
        <w:rPr>
          <w:i/>
          <w:sz w:val="20"/>
          <w:szCs w:val="20"/>
        </w:rPr>
        <w:t>:</w:t>
      </w:r>
      <w:r w:rsidRPr="006B7A79">
        <w:rPr>
          <w:i/>
          <w:sz w:val="20"/>
          <w:szCs w:val="20"/>
        </w:rPr>
        <w:tab/>
      </w:r>
      <w:r w:rsidR="009C1757">
        <w:rPr>
          <w:sz w:val="20"/>
          <w:szCs w:val="20"/>
        </w:rPr>
        <w:t>Some of the terms used in these Rules, such as</w:t>
      </w:r>
      <w:r w:rsidR="00EC568D">
        <w:rPr>
          <w:sz w:val="20"/>
          <w:szCs w:val="20"/>
        </w:rPr>
        <w:t xml:space="preserve"> the </w:t>
      </w:r>
      <w:r w:rsidR="00EC568D">
        <w:rPr>
          <w:b/>
          <w:i/>
          <w:sz w:val="20"/>
          <w:szCs w:val="20"/>
        </w:rPr>
        <w:t>ACMA</w:t>
      </w:r>
      <w:r w:rsidR="00EC568D">
        <w:rPr>
          <w:i/>
          <w:sz w:val="20"/>
          <w:szCs w:val="20"/>
        </w:rPr>
        <w:t xml:space="preserve"> and</w:t>
      </w:r>
      <w:r w:rsidR="009C1757">
        <w:rPr>
          <w:sz w:val="20"/>
          <w:szCs w:val="20"/>
        </w:rPr>
        <w:t xml:space="preserve"> </w:t>
      </w:r>
      <w:r w:rsidR="009C1757">
        <w:rPr>
          <w:b/>
          <w:i/>
          <w:sz w:val="20"/>
          <w:szCs w:val="20"/>
        </w:rPr>
        <w:t>carriage service provider</w:t>
      </w:r>
      <w:r w:rsidR="00EE4C48">
        <w:rPr>
          <w:sz w:val="20"/>
          <w:szCs w:val="20"/>
        </w:rPr>
        <w:t>,</w:t>
      </w:r>
      <w:r w:rsidR="009C1757">
        <w:rPr>
          <w:sz w:val="20"/>
          <w:szCs w:val="20"/>
        </w:rPr>
        <w:t xml:space="preserve"> have the meaning given </w:t>
      </w:r>
      <w:r w:rsidR="0002315B">
        <w:rPr>
          <w:sz w:val="20"/>
          <w:szCs w:val="20"/>
        </w:rPr>
        <w:t xml:space="preserve">in </w:t>
      </w:r>
      <w:r w:rsidR="009C1757">
        <w:rPr>
          <w:sz w:val="20"/>
          <w:szCs w:val="20"/>
        </w:rPr>
        <w:t>the</w:t>
      </w:r>
      <w:r w:rsidR="0002315B">
        <w:rPr>
          <w:sz w:val="20"/>
          <w:szCs w:val="20"/>
        </w:rPr>
        <w:t xml:space="preserve"> Act</w:t>
      </w:r>
      <w:r w:rsidR="009C1757">
        <w:rPr>
          <w:sz w:val="20"/>
          <w:szCs w:val="20"/>
        </w:rPr>
        <w:t>.</w:t>
      </w:r>
    </w:p>
    <w:p w:rsidR="002D56F6" w:rsidRDefault="006B7A79" w:rsidP="002D56F6">
      <w:pPr>
        <w:pStyle w:val="HR"/>
        <w:ind w:left="426" w:hanging="426"/>
        <w:rPr>
          <w:rStyle w:val="CharSectno"/>
          <w:rFonts w:ascii="Times New Roman" w:hAnsi="Times New Roman"/>
        </w:rPr>
      </w:pPr>
      <w:bookmarkStart w:id="10" w:name="_Toc303869426"/>
      <w:r w:rsidRPr="006B7A79">
        <w:rPr>
          <w:rStyle w:val="CharSectno"/>
          <w:rFonts w:cs="Arial"/>
        </w:rPr>
        <w:t>4</w:t>
      </w:r>
      <w:r w:rsidRPr="006B7A79">
        <w:rPr>
          <w:rStyle w:val="CharSectno"/>
          <w:rFonts w:cs="Arial"/>
        </w:rPr>
        <w:tab/>
        <w:t>Qualifying carriage service providers</w:t>
      </w:r>
      <w:bookmarkEnd w:id="10"/>
    </w:p>
    <w:p w:rsidR="00142689" w:rsidRDefault="00F16A1A">
      <w:pPr>
        <w:spacing w:before="120" w:after="200" w:line="276" w:lineRule="auto"/>
        <w:ind w:left="426"/>
      </w:pPr>
      <w:r>
        <w:rPr>
          <w:lang w:eastAsia="en-US"/>
        </w:rPr>
        <w:t xml:space="preserve">A carriage service provider is a </w:t>
      </w:r>
      <w:r w:rsidR="006B7A79" w:rsidRPr="006B7A79">
        <w:rPr>
          <w:b/>
          <w:i/>
          <w:lang w:eastAsia="en-US"/>
        </w:rPr>
        <w:t>qualifying carriage service provider for a</w:t>
      </w:r>
      <w:r w:rsidR="006B7A79" w:rsidRPr="006B7A79">
        <w:rPr>
          <w:b/>
          <w:i/>
        </w:rPr>
        <w:t xml:space="preserve"> benchmark period</w:t>
      </w:r>
      <w:r>
        <w:t xml:space="preserve"> if, on the last day of the financial year preceding that benchmark period, the carriage service provider supplied 100,000 CSG services or more where the carriage service provider was obliged to comply with any one or more of the performance standards in respect of the carriage service provider’s supply of those CSG services.</w:t>
      </w:r>
    </w:p>
    <w:p w:rsidR="00142689" w:rsidRDefault="0071032B">
      <w:pPr>
        <w:pStyle w:val="ZR1"/>
        <w:ind w:left="1220" w:hanging="794"/>
        <w:rPr>
          <w:sz w:val="20"/>
          <w:szCs w:val="20"/>
        </w:rPr>
      </w:pPr>
      <w:r w:rsidRPr="0071032B">
        <w:rPr>
          <w:i/>
          <w:sz w:val="20"/>
          <w:szCs w:val="20"/>
        </w:rPr>
        <w:t>Note:</w:t>
      </w:r>
      <w:r>
        <w:rPr>
          <w:i/>
          <w:sz w:val="20"/>
          <w:szCs w:val="20"/>
        </w:rPr>
        <w:tab/>
      </w:r>
      <w:r>
        <w:rPr>
          <w:sz w:val="20"/>
          <w:szCs w:val="20"/>
        </w:rPr>
        <w:t>This definition corresponds with section 4 of the Benchmarks Instrument.</w:t>
      </w:r>
    </w:p>
    <w:p w:rsidR="00C61F77" w:rsidRDefault="002C1D4B" w:rsidP="00C61F77">
      <w:pPr>
        <w:pStyle w:val="HR"/>
        <w:ind w:left="426" w:hanging="426"/>
        <w:rPr>
          <w:rStyle w:val="CharSectno"/>
          <w:rFonts w:ascii="Times New Roman" w:hAnsi="Times New Roman"/>
        </w:rPr>
      </w:pPr>
      <w:bookmarkStart w:id="11" w:name="_Toc303869427"/>
      <w:r>
        <w:rPr>
          <w:rStyle w:val="CharSectno"/>
          <w:rFonts w:cs="Arial"/>
        </w:rPr>
        <w:t>5</w:t>
      </w:r>
      <w:r w:rsidR="00C61F77" w:rsidRPr="006B7A79">
        <w:rPr>
          <w:rStyle w:val="CharSectno"/>
          <w:rFonts w:cs="Arial"/>
        </w:rPr>
        <w:tab/>
      </w:r>
      <w:r w:rsidR="00C61F77">
        <w:rPr>
          <w:rStyle w:val="CharSectno"/>
          <w:rFonts w:cs="Arial"/>
        </w:rPr>
        <w:t>Nominated areas</w:t>
      </w:r>
      <w:bookmarkEnd w:id="11"/>
    </w:p>
    <w:p w:rsidR="00142689" w:rsidRDefault="00C61F77">
      <w:pPr>
        <w:spacing w:before="120" w:line="276" w:lineRule="auto"/>
        <w:ind w:left="426"/>
        <w:rPr>
          <w:lang w:eastAsia="en-US"/>
        </w:rPr>
      </w:pPr>
      <w:r>
        <w:rPr>
          <w:lang w:eastAsia="en-US"/>
        </w:rPr>
        <w:t>Each of the following geographic areas is a nominated area:</w:t>
      </w:r>
    </w:p>
    <w:p w:rsidR="00C61F77" w:rsidRDefault="00C61F77" w:rsidP="00C61F77">
      <w:pPr>
        <w:pStyle w:val="ListParagraph"/>
        <w:numPr>
          <w:ilvl w:val="0"/>
          <w:numId w:val="25"/>
        </w:numPr>
        <w:spacing w:before="120"/>
        <w:contextualSpacing w:val="0"/>
        <w:rPr>
          <w:lang w:eastAsia="en-US"/>
        </w:rPr>
      </w:pPr>
      <w:r>
        <w:t>Australia;</w:t>
      </w:r>
    </w:p>
    <w:p w:rsidR="00C61F77" w:rsidRDefault="00C61F77" w:rsidP="00C61F77">
      <w:pPr>
        <w:pStyle w:val="ListParagraph"/>
        <w:numPr>
          <w:ilvl w:val="0"/>
          <w:numId w:val="25"/>
        </w:numPr>
        <w:spacing w:before="120"/>
        <w:contextualSpacing w:val="0"/>
        <w:rPr>
          <w:lang w:eastAsia="en-US"/>
        </w:rPr>
      </w:pPr>
      <w:r>
        <w:t>together - the Australian Capital Territory and New South Wales;</w:t>
      </w:r>
    </w:p>
    <w:p w:rsidR="00C61F77" w:rsidRDefault="00C61F77" w:rsidP="00C61F77">
      <w:pPr>
        <w:pStyle w:val="ListParagraph"/>
        <w:numPr>
          <w:ilvl w:val="0"/>
          <w:numId w:val="25"/>
        </w:numPr>
        <w:spacing w:before="120"/>
        <w:contextualSpacing w:val="0"/>
        <w:rPr>
          <w:lang w:eastAsia="en-US"/>
        </w:rPr>
      </w:pPr>
      <w:r>
        <w:t xml:space="preserve">the Northern Territory; </w:t>
      </w:r>
    </w:p>
    <w:p w:rsidR="00C61F77" w:rsidRDefault="00C61F77" w:rsidP="00C61F77">
      <w:pPr>
        <w:pStyle w:val="ListParagraph"/>
        <w:numPr>
          <w:ilvl w:val="0"/>
          <w:numId w:val="25"/>
        </w:numPr>
        <w:spacing w:before="120"/>
        <w:contextualSpacing w:val="0"/>
        <w:rPr>
          <w:lang w:eastAsia="en-US"/>
        </w:rPr>
      </w:pPr>
      <w:r>
        <w:t xml:space="preserve">Queensland; </w:t>
      </w:r>
    </w:p>
    <w:p w:rsidR="00C61F77" w:rsidRDefault="00C61F77" w:rsidP="00C61F77">
      <w:pPr>
        <w:pStyle w:val="ListParagraph"/>
        <w:numPr>
          <w:ilvl w:val="0"/>
          <w:numId w:val="25"/>
        </w:numPr>
        <w:spacing w:before="120"/>
        <w:contextualSpacing w:val="0"/>
        <w:rPr>
          <w:lang w:eastAsia="en-US"/>
        </w:rPr>
      </w:pPr>
      <w:r>
        <w:t xml:space="preserve">South Australia; </w:t>
      </w:r>
    </w:p>
    <w:p w:rsidR="00C61F77" w:rsidRDefault="00C61F77" w:rsidP="00C61F77">
      <w:pPr>
        <w:pStyle w:val="ListParagraph"/>
        <w:numPr>
          <w:ilvl w:val="0"/>
          <w:numId w:val="25"/>
        </w:numPr>
        <w:spacing w:before="120"/>
        <w:contextualSpacing w:val="0"/>
        <w:rPr>
          <w:lang w:eastAsia="en-US"/>
        </w:rPr>
      </w:pPr>
      <w:r>
        <w:t xml:space="preserve">Tasmania; </w:t>
      </w:r>
    </w:p>
    <w:p w:rsidR="00C61F77" w:rsidRDefault="00C61F77" w:rsidP="00C61F77">
      <w:pPr>
        <w:pStyle w:val="ListParagraph"/>
        <w:numPr>
          <w:ilvl w:val="0"/>
          <w:numId w:val="25"/>
        </w:numPr>
        <w:spacing w:before="120"/>
        <w:contextualSpacing w:val="0"/>
        <w:rPr>
          <w:lang w:eastAsia="en-US"/>
        </w:rPr>
      </w:pPr>
      <w:r>
        <w:t xml:space="preserve">Victoria; and </w:t>
      </w:r>
    </w:p>
    <w:p w:rsidR="00C61F77" w:rsidRDefault="00C61F77" w:rsidP="00C61F77">
      <w:pPr>
        <w:pStyle w:val="ListParagraph"/>
        <w:numPr>
          <w:ilvl w:val="0"/>
          <w:numId w:val="25"/>
        </w:numPr>
        <w:spacing w:before="120"/>
        <w:contextualSpacing w:val="0"/>
        <w:rPr>
          <w:lang w:eastAsia="en-US"/>
        </w:rPr>
      </w:pPr>
      <w:r>
        <w:t>Western Australia.</w:t>
      </w:r>
    </w:p>
    <w:p w:rsidR="00142689" w:rsidRDefault="00C61F77">
      <w:pPr>
        <w:pStyle w:val="ZR1"/>
        <w:ind w:left="1220" w:hanging="794"/>
        <w:rPr>
          <w:sz w:val="20"/>
          <w:szCs w:val="20"/>
        </w:rPr>
      </w:pPr>
      <w:r w:rsidRPr="0071032B">
        <w:rPr>
          <w:i/>
          <w:sz w:val="20"/>
          <w:szCs w:val="20"/>
        </w:rPr>
        <w:t>Note:</w:t>
      </w:r>
      <w:r>
        <w:rPr>
          <w:i/>
          <w:sz w:val="20"/>
          <w:szCs w:val="20"/>
        </w:rPr>
        <w:tab/>
      </w:r>
      <w:r>
        <w:rPr>
          <w:sz w:val="20"/>
          <w:szCs w:val="20"/>
        </w:rPr>
        <w:t>Th</w:t>
      </w:r>
      <w:r w:rsidR="00EC568D">
        <w:rPr>
          <w:sz w:val="20"/>
          <w:szCs w:val="20"/>
        </w:rPr>
        <w:t>e</w:t>
      </w:r>
      <w:r>
        <w:rPr>
          <w:sz w:val="20"/>
          <w:szCs w:val="20"/>
        </w:rPr>
        <w:t xml:space="preserve"> term</w:t>
      </w:r>
      <w:r w:rsidR="00EC568D">
        <w:rPr>
          <w:sz w:val="20"/>
          <w:szCs w:val="20"/>
        </w:rPr>
        <w:t xml:space="preserve"> </w:t>
      </w:r>
      <w:r w:rsidR="00EC568D">
        <w:rPr>
          <w:b/>
          <w:i/>
          <w:sz w:val="20"/>
          <w:szCs w:val="20"/>
        </w:rPr>
        <w:t>nominated area</w:t>
      </w:r>
      <w:r>
        <w:rPr>
          <w:sz w:val="20"/>
          <w:szCs w:val="20"/>
        </w:rPr>
        <w:t xml:space="preserve"> is used in Schedule 1.</w:t>
      </w:r>
    </w:p>
    <w:p w:rsidR="0073506F" w:rsidRPr="00930B48" w:rsidRDefault="0073506F" w:rsidP="0073506F">
      <w:pPr>
        <w:pStyle w:val="PageBreak"/>
      </w:pPr>
    </w:p>
    <w:p w:rsidR="00586F8E" w:rsidRPr="00EE4C48" w:rsidRDefault="0008507C">
      <w:pPr>
        <w:pStyle w:val="HR"/>
        <w:ind w:left="426" w:hanging="426"/>
        <w:rPr>
          <w:sz w:val="36"/>
          <w:szCs w:val="36"/>
        </w:rPr>
      </w:pPr>
      <w:bookmarkStart w:id="12" w:name="_Toc303869428"/>
      <w:bookmarkStart w:id="13" w:name="_Toc242765853"/>
      <w:r w:rsidRPr="0008507C">
        <w:rPr>
          <w:sz w:val="36"/>
          <w:szCs w:val="36"/>
        </w:rPr>
        <w:t>Part 2</w:t>
      </w:r>
      <w:r w:rsidRPr="0008507C">
        <w:rPr>
          <w:sz w:val="36"/>
          <w:szCs w:val="36"/>
        </w:rPr>
        <w:tab/>
      </w:r>
      <w:r w:rsidR="00EC568D">
        <w:rPr>
          <w:sz w:val="36"/>
          <w:szCs w:val="36"/>
        </w:rPr>
        <w:tab/>
      </w:r>
      <w:r w:rsidRPr="0008507C">
        <w:rPr>
          <w:sz w:val="36"/>
          <w:szCs w:val="36"/>
        </w:rPr>
        <w:t>Keeping of Records</w:t>
      </w:r>
      <w:bookmarkEnd w:id="12"/>
    </w:p>
    <w:p w:rsidR="00586F8E" w:rsidRDefault="00AE4D62">
      <w:pPr>
        <w:pStyle w:val="HR"/>
        <w:ind w:left="426" w:hanging="426"/>
      </w:pPr>
      <w:bookmarkStart w:id="14" w:name="_Toc303869429"/>
      <w:r>
        <w:t>6</w:t>
      </w:r>
      <w:r w:rsidR="00FB4F1E" w:rsidRPr="00D13AA4">
        <w:tab/>
        <w:t xml:space="preserve">Records relating to </w:t>
      </w:r>
      <w:r w:rsidR="00FB4F1E">
        <w:t>the number of CSG services supplied</w:t>
      </w:r>
      <w:bookmarkEnd w:id="14"/>
    </w:p>
    <w:p w:rsidR="00142689" w:rsidRDefault="00FB4F1E">
      <w:pPr>
        <w:spacing w:before="120" w:line="276" w:lineRule="auto"/>
        <w:ind w:left="426"/>
        <w:rPr>
          <w:lang w:eastAsia="en-US"/>
        </w:rPr>
      </w:pPr>
      <w:r>
        <w:rPr>
          <w:lang w:eastAsia="en-US"/>
        </w:rPr>
        <w:t>A qualifying carriage service provider for a benchmark period must keep a record of the number of CSG services that were supplied by the carriage service provider on the last day of the financial year preceding the benchmark period where the carriage service provider was obliged to comply with one or more performance standards in respect of the carriage service provider’s supply of those CSG services.</w:t>
      </w:r>
    </w:p>
    <w:p w:rsidR="00142689" w:rsidRDefault="006B7A79">
      <w:pPr>
        <w:pStyle w:val="ZR1"/>
        <w:ind w:left="1390"/>
        <w:rPr>
          <w:sz w:val="20"/>
          <w:szCs w:val="20"/>
        </w:rPr>
      </w:pPr>
      <w:r w:rsidRPr="006B7A79">
        <w:rPr>
          <w:i/>
          <w:sz w:val="20"/>
          <w:szCs w:val="20"/>
        </w:rPr>
        <w:t>Note</w:t>
      </w:r>
      <w:r w:rsidR="00B22339">
        <w:rPr>
          <w:i/>
          <w:sz w:val="20"/>
          <w:szCs w:val="20"/>
        </w:rPr>
        <w:t>:</w:t>
      </w:r>
      <w:r w:rsidRPr="006B7A79">
        <w:rPr>
          <w:i/>
          <w:sz w:val="20"/>
          <w:szCs w:val="20"/>
        </w:rPr>
        <w:tab/>
      </w:r>
      <w:r w:rsidRPr="006B7A79">
        <w:rPr>
          <w:i/>
          <w:sz w:val="20"/>
          <w:szCs w:val="20"/>
        </w:rPr>
        <w:tab/>
      </w:r>
      <w:r w:rsidRPr="006B7A79">
        <w:rPr>
          <w:sz w:val="20"/>
          <w:szCs w:val="20"/>
        </w:rPr>
        <w:t xml:space="preserve">These are the services referred to in section 4 of the Benchmarks Instrument.  </w:t>
      </w:r>
      <w:r w:rsidRPr="006B7A79">
        <w:rPr>
          <w:sz w:val="20"/>
          <w:szCs w:val="20"/>
        </w:rPr>
        <w:tab/>
      </w:r>
    </w:p>
    <w:p w:rsidR="00586F8E" w:rsidRDefault="00AE4D62">
      <w:pPr>
        <w:pStyle w:val="HR"/>
        <w:ind w:left="426" w:hanging="426"/>
      </w:pPr>
      <w:bookmarkStart w:id="15" w:name="_Toc303869430"/>
      <w:r>
        <w:t>7</w:t>
      </w:r>
      <w:r w:rsidR="00FB4F1E">
        <w:tab/>
        <w:t>Records relating to location-specific thresholds</w:t>
      </w:r>
      <w:bookmarkEnd w:id="15"/>
    </w:p>
    <w:p w:rsidR="00142689" w:rsidRDefault="00FB4F1E">
      <w:pPr>
        <w:spacing w:before="120" w:line="276" w:lineRule="auto"/>
        <w:ind w:left="426"/>
        <w:rPr>
          <w:lang w:eastAsia="en-US"/>
        </w:rPr>
      </w:pPr>
      <w:r>
        <w:rPr>
          <w:lang w:eastAsia="en-US"/>
        </w:rPr>
        <w:t xml:space="preserve">A qualifying carriage service provider for a benchmark period must keep a record of the number of CSG services that were supplied by the carriage service provider on the last day of the financial year </w:t>
      </w:r>
      <w:proofErr w:type="gramStart"/>
      <w:r>
        <w:rPr>
          <w:lang w:eastAsia="en-US"/>
        </w:rPr>
        <w:t>preceding</w:t>
      </w:r>
      <w:proofErr w:type="gramEnd"/>
      <w:r>
        <w:rPr>
          <w:lang w:eastAsia="en-US"/>
        </w:rPr>
        <w:t xml:space="preserve"> the benchmark period, in each of the following areas:</w:t>
      </w:r>
    </w:p>
    <w:p w:rsidR="00142689" w:rsidRDefault="00FB4F1E">
      <w:pPr>
        <w:pStyle w:val="ZR1"/>
        <w:numPr>
          <w:ilvl w:val="0"/>
          <w:numId w:val="6"/>
        </w:numPr>
        <w:ind w:left="786"/>
      </w:pPr>
      <w:r>
        <w:t>urban areas;</w:t>
      </w:r>
    </w:p>
    <w:p w:rsidR="00142689" w:rsidRDefault="00FB4F1E">
      <w:pPr>
        <w:pStyle w:val="ZR1"/>
        <w:numPr>
          <w:ilvl w:val="0"/>
          <w:numId w:val="6"/>
        </w:numPr>
        <w:ind w:left="786"/>
      </w:pPr>
      <w:r>
        <w:t>major rural areas;</w:t>
      </w:r>
    </w:p>
    <w:p w:rsidR="00142689" w:rsidRDefault="00FB4F1E">
      <w:pPr>
        <w:pStyle w:val="ZR1"/>
        <w:numPr>
          <w:ilvl w:val="0"/>
          <w:numId w:val="6"/>
        </w:numPr>
        <w:ind w:left="786"/>
      </w:pPr>
      <w:r>
        <w:t>minor rural areas;</w:t>
      </w:r>
    </w:p>
    <w:p w:rsidR="00142689" w:rsidRDefault="00FB4F1E">
      <w:pPr>
        <w:pStyle w:val="ZR1"/>
        <w:numPr>
          <w:ilvl w:val="0"/>
          <w:numId w:val="6"/>
        </w:numPr>
        <w:ind w:left="786"/>
      </w:pPr>
      <w:r>
        <w:t>rural areas; and</w:t>
      </w:r>
    </w:p>
    <w:p w:rsidR="00142689" w:rsidRDefault="00FB4F1E">
      <w:pPr>
        <w:pStyle w:val="ZR1"/>
        <w:numPr>
          <w:ilvl w:val="0"/>
          <w:numId w:val="6"/>
        </w:numPr>
        <w:ind w:left="786"/>
      </w:pPr>
      <w:r>
        <w:t>remote areas</w:t>
      </w:r>
      <w:r w:rsidR="00EE4C48">
        <w:t>,</w:t>
      </w:r>
    </w:p>
    <w:p w:rsidR="00142689" w:rsidRDefault="00FB4F1E">
      <w:pPr>
        <w:spacing w:before="120" w:line="276" w:lineRule="auto"/>
        <w:ind w:left="426"/>
        <w:rPr>
          <w:lang w:eastAsia="en-US"/>
        </w:rPr>
      </w:pPr>
      <w:proofErr w:type="gramStart"/>
      <w:r>
        <w:rPr>
          <w:lang w:eastAsia="en-US"/>
        </w:rPr>
        <w:t>where</w:t>
      </w:r>
      <w:proofErr w:type="gramEnd"/>
      <w:r>
        <w:rPr>
          <w:lang w:eastAsia="en-US"/>
        </w:rPr>
        <w:t xml:space="preserve"> the carriage service provider was obliged to comply with one or more performance standards in respect of the carriage service provider’s supply of those CSG services.</w:t>
      </w:r>
    </w:p>
    <w:p w:rsidR="00142689" w:rsidRDefault="00FB4F1E">
      <w:pPr>
        <w:spacing w:before="120" w:after="200" w:line="276" w:lineRule="auto"/>
        <w:ind w:left="1146" w:hanging="720"/>
        <w:rPr>
          <w:i/>
          <w:sz w:val="18"/>
          <w:szCs w:val="18"/>
        </w:rPr>
      </w:pPr>
      <w:r>
        <w:rPr>
          <w:i/>
          <w:sz w:val="18"/>
          <w:szCs w:val="18"/>
        </w:rPr>
        <w:t>Note</w:t>
      </w:r>
      <w:r w:rsidR="00B22339">
        <w:rPr>
          <w:i/>
          <w:sz w:val="18"/>
          <w:szCs w:val="18"/>
        </w:rPr>
        <w:t>:</w:t>
      </w:r>
      <w:r>
        <w:rPr>
          <w:i/>
          <w:sz w:val="18"/>
          <w:szCs w:val="18"/>
        </w:rPr>
        <w:tab/>
      </w:r>
      <w:r w:rsidR="006B7A79" w:rsidRPr="006B7A79">
        <w:rPr>
          <w:sz w:val="18"/>
          <w:szCs w:val="18"/>
        </w:rPr>
        <w:t xml:space="preserve">These are the services referred to in connection with the thresholds </w:t>
      </w:r>
      <w:r w:rsidR="00EC568D">
        <w:rPr>
          <w:sz w:val="18"/>
          <w:szCs w:val="18"/>
        </w:rPr>
        <w:t>referred to</w:t>
      </w:r>
      <w:r w:rsidR="00EC568D" w:rsidRPr="006B7A79">
        <w:rPr>
          <w:sz w:val="18"/>
          <w:szCs w:val="18"/>
        </w:rPr>
        <w:t xml:space="preserve"> </w:t>
      </w:r>
      <w:r w:rsidR="006B7A79" w:rsidRPr="006B7A79">
        <w:rPr>
          <w:sz w:val="18"/>
          <w:szCs w:val="18"/>
        </w:rPr>
        <w:t>in section 5 of the Benchmarks Instrument.</w:t>
      </w:r>
      <w:r>
        <w:rPr>
          <w:i/>
          <w:sz w:val="18"/>
          <w:szCs w:val="18"/>
        </w:rPr>
        <w:t xml:space="preserve">  </w:t>
      </w:r>
      <w:r w:rsidRPr="00237A5C">
        <w:rPr>
          <w:i/>
          <w:sz w:val="18"/>
          <w:szCs w:val="18"/>
        </w:rPr>
        <w:tab/>
      </w:r>
    </w:p>
    <w:p w:rsidR="003C4CD3" w:rsidRDefault="003C4CD3" w:rsidP="003C4CD3">
      <w:pPr>
        <w:pStyle w:val="HR"/>
        <w:ind w:left="426" w:hanging="426"/>
      </w:pPr>
      <w:bookmarkStart w:id="16" w:name="_Toc303869431"/>
      <w:r>
        <w:t>8</w:t>
      </w:r>
      <w:r>
        <w:tab/>
        <w:t>Records relating to in-place connections</w:t>
      </w:r>
      <w:bookmarkEnd w:id="16"/>
    </w:p>
    <w:p w:rsidR="00586F8E" w:rsidRDefault="00FB4F1E" w:rsidP="004C14CA">
      <w:pPr>
        <w:pStyle w:val="ZR1"/>
        <w:keepNext w:val="0"/>
        <w:numPr>
          <w:ilvl w:val="0"/>
          <w:numId w:val="7"/>
        </w:numPr>
        <w:tabs>
          <w:tab w:val="clear" w:pos="794"/>
        </w:tabs>
        <w:ind w:left="851" w:hanging="425"/>
      </w:pPr>
      <w:r>
        <w:t xml:space="preserve">A qualifying carriage service provider for a benchmark period must, in relation to </w:t>
      </w:r>
      <w:r w:rsidR="005607F0">
        <w:t xml:space="preserve">each request </w:t>
      </w:r>
      <w:r>
        <w:t xml:space="preserve">that is: </w:t>
      </w:r>
    </w:p>
    <w:p w:rsidR="00586F8E" w:rsidRDefault="00FB4F1E" w:rsidP="004C14CA">
      <w:pPr>
        <w:pStyle w:val="ZR1"/>
        <w:keepNext w:val="0"/>
        <w:numPr>
          <w:ilvl w:val="0"/>
          <w:numId w:val="8"/>
        </w:numPr>
        <w:tabs>
          <w:tab w:val="clear" w:pos="794"/>
        </w:tabs>
        <w:ind w:left="1276" w:hanging="425"/>
      </w:pPr>
      <w:r>
        <w:t>made by a customer to the carriage service provider</w:t>
      </w:r>
      <w:r w:rsidR="00CC383C">
        <w:t xml:space="preserve"> </w:t>
      </w:r>
      <w:r w:rsidR="0024724C">
        <w:t>for a CSG service to be connected at a site that has an in-place connection</w:t>
      </w:r>
      <w:r w:rsidR="005331C9">
        <w:t>;</w:t>
      </w:r>
      <w:r w:rsidR="0024724C">
        <w:t xml:space="preserve"> </w:t>
      </w:r>
      <w:r>
        <w:t>and</w:t>
      </w:r>
    </w:p>
    <w:p w:rsidR="00586F8E" w:rsidRDefault="00FB4F1E" w:rsidP="004C14CA">
      <w:pPr>
        <w:pStyle w:val="ZR1"/>
        <w:keepNext w:val="0"/>
        <w:numPr>
          <w:ilvl w:val="0"/>
          <w:numId w:val="8"/>
        </w:numPr>
        <w:tabs>
          <w:tab w:val="clear" w:pos="794"/>
        </w:tabs>
        <w:ind w:left="1276" w:hanging="425"/>
      </w:pPr>
      <w:r w:rsidRPr="00592662">
        <w:t>relevant to the benchmark period</w:t>
      </w:r>
      <w:r>
        <w:t xml:space="preserve">,  </w:t>
      </w:r>
    </w:p>
    <w:p w:rsidR="00586F8E" w:rsidRDefault="00FB4F1E" w:rsidP="004C14CA">
      <w:pPr>
        <w:pStyle w:val="ZR1"/>
        <w:keepNext w:val="0"/>
        <w:tabs>
          <w:tab w:val="clear" w:pos="794"/>
        </w:tabs>
        <w:ind w:left="851" w:firstLine="0"/>
      </w:pPr>
      <w:proofErr w:type="gramStart"/>
      <w:r>
        <w:t>keep</w:t>
      </w:r>
      <w:proofErr w:type="gramEnd"/>
      <w:r>
        <w:t xml:space="preserve"> a record of:</w:t>
      </w:r>
    </w:p>
    <w:p w:rsidR="00586F8E" w:rsidRDefault="00FB4F1E" w:rsidP="004C14CA">
      <w:pPr>
        <w:pStyle w:val="ZR1"/>
        <w:keepNext w:val="0"/>
        <w:numPr>
          <w:ilvl w:val="0"/>
          <w:numId w:val="8"/>
        </w:numPr>
        <w:ind w:left="1276" w:hanging="425"/>
      </w:pPr>
      <w:r>
        <w:t>the name of the customer;</w:t>
      </w:r>
    </w:p>
    <w:p w:rsidR="00586F8E" w:rsidRDefault="00FB4F1E" w:rsidP="004C14CA">
      <w:pPr>
        <w:pStyle w:val="ZR1"/>
        <w:keepNext w:val="0"/>
        <w:numPr>
          <w:ilvl w:val="0"/>
          <w:numId w:val="8"/>
        </w:numPr>
        <w:ind w:left="1276" w:hanging="425"/>
      </w:pPr>
      <w:r>
        <w:t xml:space="preserve">the address of the site to which the customer requests </w:t>
      </w:r>
      <w:r w:rsidR="00DF734E">
        <w:t xml:space="preserve">the </w:t>
      </w:r>
      <w:r>
        <w:t>CSG service be connected;</w:t>
      </w:r>
    </w:p>
    <w:p w:rsidR="00586F8E" w:rsidRDefault="00FB4F1E" w:rsidP="004C14CA">
      <w:pPr>
        <w:pStyle w:val="ZR1"/>
        <w:keepNext w:val="0"/>
        <w:numPr>
          <w:ilvl w:val="0"/>
          <w:numId w:val="8"/>
        </w:numPr>
        <w:ind w:left="1276" w:hanging="425"/>
      </w:pPr>
      <w:r>
        <w:t xml:space="preserve">the date and time </w:t>
      </w:r>
      <w:r w:rsidR="00790712">
        <w:t>at</w:t>
      </w:r>
      <w:r>
        <w:t xml:space="preserve"> which the carriage service provider received the request from the customer;</w:t>
      </w:r>
    </w:p>
    <w:p w:rsidR="00586F8E" w:rsidRDefault="00FB4F1E" w:rsidP="007449E0">
      <w:pPr>
        <w:pStyle w:val="ZR1"/>
        <w:keepNext w:val="0"/>
        <w:numPr>
          <w:ilvl w:val="0"/>
          <w:numId w:val="8"/>
        </w:numPr>
        <w:ind w:left="1276" w:hanging="425"/>
      </w:pPr>
      <w:r>
        <w:t xml:space="preserve">the </w:t>
      </w:r>
      <w:r w:rsidR="00790712">
        <w:t xml:space="preserve">date and time at which the </w:t>
      </w:r>
      <w:r>
        <w:t xml:space="preserve">guaranteed maximum connection period </w:t>
      </w:r>
      <w:r w:rsidR="00790712">
        <w:t>expires</w:t>
      </w:r>
      <w:r>
        <w:t xml:space="preserve"> in relation to the request;</w:t>
      </w:r>
    </w:p>
    <w:p w:rsidR="00F476E6" w:rsidRDefault="00A43E6A" w:rsidP="00F476E6">
      <w:pPr>
        <w:pStyle w:val="ZR1"/>
        <w:keepNext w:val="0"/>
        <w:ind w:left="1996" w:hanging="720"/>
        <w:rPr>
          <w:sz w:val="20"/>
          <w:szCs w:val="20"/>
        </w:rPr>
      </w:pPr>
      <w:r>
        <w:rPr>
          <w:i/>
          <w:sz w:val="20"/>
          <w:szCs w:val="20"/>
        </w:rPr>
        <w:t>Note</w:t>
      </w:r>
      <w:r w:rsidR="00B22339">
        <w:rPr>
          <w:i/>
          <w:sz w:val="20"/>
          <w:szCs w:val="20"/>
        </w:rPr>
        <w:t>:</w:t>
      </w:r>
      <w:r>
        <w:rPr>
          <w:i/>
          <w:sz w:val="20"/>
          <w:szCs w:val="20"/>
        </w:rPr>
        <w:tab/>
      </w:r>
      <w:r w:rsidR="006B7A79" w:rsidRPr="006B7A79">
        <w:rPr>
          <w:sz w:val="20"/>
          <w:szCs w:val="20"/>
        </w:rPr>
        <w:t xml:space="preserve">The guaranteed maximum connection period that applies in relation to a request is ascertained by having regard to subsections 8(1) and (2) of, and item 201 of Schedule 1 to, the CSG Standard.  </w:t>
      </w:r>
    </w:p>
    <w:p w:rsidR="00586F8E" w:rsidRDefault="00FB4F1E" w:rsidP="007449E0">
      <w:pPr>
        <w:pStyle w:val="ZR1"/>
        <w:keepNext w:val="0"/>
        <w:numPr>
          <w:ilvl w:val="0"/>
          <w:numId w:val="8"/>
        </w:numPr>
        <w:ind w:left="1276" w:hanging="425"/>
      </w:pPr>
      <w:r>
        <w:t xml:space="preserve">if the carriage service provider and the customer made an arrangement of a kind mentioned in section 9 of the CSG Standard for connection in a period shorter or longer than the guaranteed maximum connection period – </w:t>
      </w:r>
      <w:r w:rsidR="00790712">
        <w:t xml:space="preserve">the date and time at which </w:t>
      </w:r>
      <w:r>
        <w:t>that period</w:t>
      </w:r>
      <w:r w:rsidR="00790712">
        <w:t xml:space="preserve"> expires</w:t>
      </w:r>
      <w:r>
        <w:t>;</w:t>
      </w:r>
    </w:p>
    <w:p w:rsidR="00586F8E" w:rsidRDefault="00FB4F1E" w:rsidP="007449E0">
      <w:pPr>
        <w:pStyle w:val="ZR1"/>
        <w:keepNext w:val="0"/>
        <w:numPr>
          <w:ilvl w:val="0"/>
          <w:numId w:val="8"/>
        </w:numPr>
        <w:ind w:left="1276" w:hanging="425"/>
      </w:pPr>
      <w:r>
        <w:t>the date and time at which the carriage service provider complied with the request;</w:t>
      </w:r>
    </w:p>
    <w:p w:rsidR="00586F8E" w:rsidRDefault="00FB4F1E" w:rsidP="007449E0">
      <w:pPr>
        <w:pStyle w:val="ZR1"/>
        <w:keepNext w:val="0"/>
        <w:numPr>
          <w:ilvl w:val="0"/>
          <w:numId w:val="8"/>
        </w:numPr>
        <w:ind w:left="1276" w:hanging="425"/>
      </w:pPr>
      <w:r>
        <w:t>the connection period</w:t>
      </w:r>
      <w:r w:rsidR="00B22339">
        <w:t xml:space="preserve"> in working days</w:t>
      </w:r>
      <w:r>
        <w:t>; and</w:t>
      </w:r>
    </w:p>
    <w:p w:rsidR="00586F8E" w:rsidRDefault="00FB4F1E" w:rsidP="007449E0">
      <w:pPr>
        <w:pStyle w:val="ZR1"/>
        <w:keepNext w:val="0"/>
        <w:numPr>
          <w:ilvl w:val="0"/>
          <w:numId w:val="8"/>
        </w:numPr>
        <w:ind w:left="1276" w:hanging="425"/>
      </w:pPr>
      <w:r>
        <w:t>if the carriage service provider failed to comply with the request in the guaranteed maximum connection period or a period arranged under section 9 of the CSG Standard, and that failure is wholly or partly attributable to one or more acts or omissions by another carriage service provider – the name of the other carriage service provider and a description of those acts or omissions.</w:t>
      </w:r>
    </w:p>
    <w:p w:rsidR="00586F8E" w:rsidRDefault="00FB4F1E" w:rsidP="004C14CA">
      <w:pPr>
        <w:spacing w:before="120"/>
        <w:ind w:left="851" w:hanging="425"/>
        <w:rPr>
          <w:lang w:eastAsia="en-US"/>
        </w:rPr>
      </w:pPr>
      <w:r>
        <w:rPr>
          <w:lang w:eastAsia="en-US"/>
        </w:rPr>
        <w:t>(2)</w:t>
      </w:r>
      <w:r>
        <w:rPr>
          <w:lang w:eastAsia="en-US"/>
        </w:rPr>
        <w:tab/>
        <w:t xml:space="preserve">For the purposes of this section, a request is </w:t>
      </w:r>
      <w:r w:rsidR="00F476E6" w:rsidRPr="00F476E6">
        <w:rPr>
          <w:b/>
          <w:i/>
          <w:lang w:eastAsia="en-US"/>
        </w:rPr>
        <w:t>relevant to the benchmark period</w:t>
      </w:r>
      <w:r>
        <w:rPr>
          <w:lang w:eastAsia="en-US"/>
        </w:rPr>
        <w:t xml:space="preserve"> if the carriage service provider that received the request is required to comply with the request during the benchmark period.</w:t>
      </w:r>
    </w:p>
    <w:p w:rsidR="003C4CD3" w:rsidRDefault="003C4CD3" w:rsidP="003C4CD3">
      <w:pPr>
        <w:pStyle w:val="HR"/>
        <w:ind w:left="426" w:hanging="426"/>
      </w:pPr>
      <w:bookmarkStart w:id="17" w:name="_Toc303869432"/>
      <w:r>
        <w:t>9</w:t>
      </w:r>
      <w:r>
        <w:tab/>
        <w:t>Records relating to new connections</w:t>
      </w:r>
      <w:bookmarkEnd w:id="17"/>
    </w:p>
    <w:p w:rsidR="00586F8E" w:rsidRDefault="00FB4F1E" w:rsidP="004C14CA">
      <w:pPr>
        <w:pStyle w:val="ZR1"/>
        <w:numPr>
          <w:ilvl w:val="0"/>
          <w:numId w:val="10"/>
        </w:numPr>
        <w:tabs>
          <w:tab w:val="clear" w:pos="794"/>
        </w:tabs>
        <w:ind w:left="851" w:hanging="425"/>
      </w:pPr>
      <w:r>
        <w:t>A qualifying carriage service provider for a benchmark period must, in relation to each request that is:</w:t>
      </w:r>
    </w:p>
    <w:p w:rsidR="00586F8E" w:rsidRDefault="00FB4F1E" w:rsidP="007449E0">
      <w:pPr>
        <w:pStyle w:val="ListParagraph"/>
        <w:numPr>
          <w:ilvl w:val="0"/>
          <w:numId w:val="11"/>
        </w:numPr>
        <w:spacing w:before="120"/>
        <w:ind w:left="1276" w:hanging="425"/>
        <w:contextualSpacing w:val="0"/>
      </w:pPr>
      <w:r>
        <w:t>made by a customer to the carriage service provider</w:t>
      </w:r>
      <w:r w:rsidR="000A7A27">
        <w:t xml:space="preserve"> for a CSG service to be connected at a site that does not have an in-place connection</w:t>
      </w:r>
      <w:r>
        <w:t xml:space="preserve">; and </w:t>
      </w:r>
    </w:p>
    <w:p w:rsidR="00586F8E" w:rsidRDefault="00FB4F1E" w:rsidP="007449E0">
      <w:pPr>
        <w:pStyle w:val="ListParagraph"/>
        <w:numPr>
          <w:ilvl w:val="0"/>
          <w:numId w:val="11"/>
        </w:numPr>
        <w:spacing w:before="120"/>
        <w:ind w:left="1276" w:hanging="425"/>
        <w:contextualSpacing w:val="0"/>
      </w:pPr>
      <w:r>
        <w:t>relevant to the benchmark period</w:t>
      </w:r>
      <w:r w:rsidRPr="005F53D3">
        <w:t>,</w:t>
      </w:r>
      <w:r>
        <w:t xml:space="preserve"> </w:t>
      </w:r>
    </w:p>
    <w:p w:rsidR="00586F8E" w:rsidRDefault="00FB4F1E" w:rsidP="007449E0">
      <w:pPr>
        <w:spacing w:before="120"/>
        <w:ind w:left="851"/>
      </w:pPr>
      <w:proofErr w:type="gramStart"/>
      <w:r>
        <w:t>keep</w:t>
      </w:r>
      <w:proofErr w:type="gramEnd"/>
      <w:r>
        <w:t xml:space="preserve"> a record of:</w:t>
      </w:r>
    </w:p>
    <w:p w:rsidR="00586F8E" w:rsidRDefault="00FB4F1E" w:rsidP="007449E0">
      <w:pPr>
        <w:pStyle w:val="ListParagraph"/>
        <w:numPr>
          <w:ilvl w:val="0"/>
          <w:numId w:val="11"/>
        </w:numPr>
        <w:spacing w:before="120"/>
        <w:ind w:left="1276" w:hanging="425"/>
        <w:contextualSpacing w:val="0"/>
      </w:pPr>
      <w:r>
        <w:t>the name of the customer;</w:t>
      </w:r>
    </w:p>
    <w:p w:rsidR="00586F8E" w:rsidRDefault="00FB4F1E" w:rsidP="007449E0">
      <w:pPr>
        <w:pStyle w:val="ListParagraph"/>
        <w:numPr>
          <w:ilvl w:val="0"/>
          <w:numId w:val="11"/>
        </w:numPr>
        <w:spacing w:before="120"/>
        <w:ind w:left="1276" w:hanging="425"/>
        <w:contextualSpacing w:val="0"/>
      </w:pPr>
      <w:r>
        <w:t xml:space="preserve">the address of the site to which the customer requests </w:t>
      </w:r>
      <w:r w:rsidR="00DF734E">
        <w:t xml:space="preserve">the </w:t>
      </w:r>
      <w:r>
        <w:t>CSG service be connected;</w:t>
      </w:r>
    </w:p>
    <w:p w:rsidR="00586F8E" w:rsidRDefault="00FB4F1E" w:rsidP="007449E0">
      <w:pPr>
        <w:pStyle w:val="ListParagraph"/>
        <w:numPr>
          <w:ilvl w:val="0"/>
          <w:numId w:val="11"/>
        </w:numPr>
        <w:spacing w:before="120"/>
        <w:ind w:left="1276" w:hanging="425"/>
        <w:contextualSpacing w:val="0"/>
      </w:pPr>
      <w:r>
        <w:t>the date and time at which the carriage service provider received the request from the customer;</w:t>
      </w:r>
    </w:p>
    <w:p w:rsidR="00586F8E" w:rsidRDefault="00CA3E10" w:rsidP="007449E0">
      <w:pPr>
        <w:pStyle w:val="ListParagraph"/>
        <w:numPr>
          <w:ilvl w:val="0"/>
          <w:numId w:val="11"/>
        </w:numPr>
        <w:spacing w:before="120"/>
        <w:ind w:left="1276" w:hanging="425"/>
        <w:contextualSpacing w:val="0"/>
      </w:pPr>
      <w:r>
        <w:t xml:space="preserve">the date and time at which </w:t>
      </w:r>
      <w:r w:rsidR="00FB4F1E">
        <w:t xml:space="preserve">the guaranteed maximum connection period </w:t>
      </w:r>
      <w:r>
        <w:t>expires</w:t>
      </w:r>
      <w:r w:rsidR="00FB4F1E">
        <w:t xml:space="preserve"> in relation to the request;</w:t>
      </w:r>
    </w:p>
    <w:p w:rsidR="00F476E6" w:rsidRDefault="00A43E6A" w:rsidP="00F476E6">
      <w:pPr>
        <w:spacing w:before="120"/>
        <w:ind w:left="1996" w:hanging="720"/>
        <w:rPr>
          <w:sz w:val="20"/>
          <w:szCs w:val="20"/>
        </w:rPr>
      </w:pPr>
      <w:r>
        <w:rPr>
          <w:i/>
          <w:sz w:val="20"/>
          <w:szCs w:val="20"/>
        </w:rPr>
        <w:t>Note</w:t>
      </w:r>
      <w:r w:rsidR="00B22339">
        <w:rPr>
          <w:i/>
          <w:sz w:val="20"/>
          <w:szCs w:val="20"/>
        </w:rPr>
        <w:t>:</w:t>
      </w:r>
      <w:r>
        <w:rPr>
          <w:i/>
          <w:sz w:val="20"/>
          <w:szCs w:val="20"/>
        </w:rPr>
        <w:tab/>
      </w:r>
      <w:r w:rsidR="006B7A79" w:rsidRPr="006B7A79">
        <w:rPr>
          <w:sz w:val="20"/>
          <w:szCs w:val="20"/>
        </w:rPr>
        <w:t xml:space="preserve">The guaranteed maximum connection period that applies in relation to a new connection request is ascertained by having regard to subsections 8(1) and (2) of, and item 202 of Schedule 1 to, the CSG Standard.  </w:t>
      </w:r>
    </w:p>
    <w:p w:rsidR="00586F8E" w:rsidRDefault="00FB4F1E" w:rsidP="007449E0">
      <w:pPr>
        <w:pStyle w:val="ListParagraph"/>
        <w:numPr>
          <w:ilvl w:val="0"/>
          <w:numId w:val="11"/>
        </w:numPr>
        <w:spacing w:before="120"/>
        <w:ind w:left="1276" w:hanging="425"/>
        <w:contextualSpacing w:val="0"/>
      </w:pPr>
      <w:r>
        <w:t xml:space="preserve">if the carriage service provider and the customer made an arrangement of a kind mentioned in section 9 of the CSG Standard for connection in a period shorter or longer than the guaranteed maximum connection period – </w:t>
      </w:r>
      <w:r w:rsidR="00CA3E10">
        <w:t xml:space="preserve">the date and time at which </w:t>
      </w:r>
      <w:r>
        <w:t>that period</w:t>
      </w:r>
      <w:r w:rsidR="00CA3E10">
        <w:t xml:space="preserve"> expires</w:t>
      </w:r>
      <w:r>
        <w:t xml:space="preserve">; </w:t>
      </w:r>
    </w:p>
    <w:p w:rsidR="00586F8E" w:rsidRDefault="00FB4F1E" w:rsidP="007449E0">
      <w:pPr>
        <w:pStyle w:val="ListParagraph"/>
        <w:numPr>
          <w:ilvl w:val="0"/>
          <w:numId w:val="11"/>
        </w:numPr>
        <w:spacing w:before="120"/>
        <w:ind w:left="1276" w:hanging="425"/>
        <w:contextualSpacing w:val="0"/>
      </w:pPr>
      <w:r>
        <w:t>the date and time at which the carriage service provider complied with the request;</w:t>
      </w:r>
    </w:p>
    <w:p w:rsidR="00586F8E" w:rsidRDefault="00FB4F1E" w:rsidP="007449E0">
      <w:pPr>
        <w:pStyle w:val="ListParagraph"/>
        <w:numPr>
          <w:ilvl w:val="0"/>
          <w:numId w:val="11"/>
        </w:numPr>
        <w:spacing w:before="120"/>
        <w:ind w:left="1276" w:hanging="425"/>
        <w:contextualSpacing w:val="0"/>
      </w:pPr>
      <w:r>
        <w:t>the connection period</w:t>
      </w:r>
      <w:r w:rsidR="00B22339">
        <w:t xml:space="preserve"> in working days</w:t>
      </w:r>
      <w:r>
        <w:t>;</w:t>
      </w:r>
    </w:p>
    <w:p w:rsidR="00586F8E" w:rsidRDefault="00FB4F1E" w:rsidP="007449E0">
      <w:pPr>
        <w:pStyle w:val="ListParagraph"/>
        <w:numPr>
          <w:ilvl w:val="0"/>
          <w:numId w:val="11"/>
        </w:numPr>
        <w:spacing w:before="120"/>
        <w:ind w:left="1276" w:hanging="425"/>
        <w:contextualSpacing w:val="0"/>
      </w:pPr>
      <w:r>
        <w:t>if the carriage service provider failed to comply with the request in the guaranteed maximum connection period or a period arranged under section 9 of the CSG Standard, and that failure is wholly or partly attributable to one or more acts or omissions by another carriage service provider – the name of the other carriage service provider and a description of those acts or omissions; and</w:t>
      </w:r>
    </w:p>
    <w:p w:rsidR="00586F8E" w:rsidRDefault="00FB4F1E" w:rsidP="007449E0">
      <w:pPr>
        <w:pStyle w:val="ListParagraph"/>
        <w:numPr>
          <w:ilvl w:val="0"/>
          <w:numId w:val="11"/>
        </w:numPr>
        <w:spacing w:before="120"/>
        <w:ind w:left="1276" w:hanging="425"/>
        <w:contextualSpacing w:val="0"/>
      </w:pPr>
      <w:r>
        <w:t>whether the site to which the customer requests a CSG service be connected, is located in:</w:t>
      </w:r>
    </w:p>
    <w:p w:rsidR="00586F8E" w:rsidRDefault="00FB4F1E" w:rsidP="007449E0">
      <w:pPr>
        <w:pStyle w:val="ListParagraph"/>
        <w:numPr>
          <w:ilvl w:val="0"/>
          <w:numId w:val="90"/>
        </w:numPr>
        <w:spacing w:before="120"/>
        <w:ind w:left="1985" w:hanging="709"/>
        <w:contextualSpacing w:val="0"/>
      </w:pPr>
      <w:r>
        <w:t>an urban area;</w:t>
      </w:r>
    </w:p>
    <w:p w:rsidR="00586F8E" w:rsidRDefault="00FB4F1E" w:rsidP="007449E0">
      <w:pPr>
        <w:pStyle w:val="ListParagraph"/>
        <w:numPr>
          <w:ilvl w:val="0"/>
          <w:numId w:val="90"/>
        </w:numPr>
        <w:spacing w:before="120"/>
        <w:ind w:left="1985" w:hanging="709"/>
        <w:contextualSpacing w:val="0"/>
      </w:pPr>
      <w:r>
        <w:t>a major rural area;</w:t>
      </w:r>
    </w:p>
    <w:p w:rsidR="00586F8E" w:rsidRDefault="00FB4F1E" w:rsidP="007449E0">
      <w:pPr>
        <w:pStyle w:val="ListParagraph"/>
        <w:numPr>
          <w:ilvl w:val="0"/>
          <w:numId w:val="90"/>
        </w:numPr>
        <w:spacing w:before="120"/>
        <w:ind w:left="1985" w:hanging="709"/>
        <w:contextualSpacing w:val="0"/>
      </w:pPr>
      <w:r>
        <w:t xml:space="preserve">a minor rural area; or </w:t>
      </w:r>
    </w:p>
    <w:p w:rsidR="00586F8E" w:rsidRDefault="00FB4F1E" w:rsidP="007449E0">
      <w:pPr>
        <w:pStyle w:val="ListParagraph"/>
        <w:numPr>
          <w:ilvl w:val="0"/>
          <w:numId w:val="90"/>
        </w:numPr>
        <w:spacing w:before="120"/>
        <w:ind w:left="1985" w:hanging="709"/>
        <w:contextualSpacing w:val="0"/>
      </w:pPr>
      <w:proofErr w:type="gramStart"/>
      <w:r>
        <w:t>a</w:t>
      </w:r>
      <w:proofErr w:type="gramEnd"/>
      <w:r>
        <w:t xml:space="preserve"> remote area.</w:t>
      </w:r>
    </w:p>
    <w:p w:rsidR="00586F8E" w:rsidRDefault="00FB4F1E" w:rsidP="007449E0">
      <w:pPr>
        <w:spacing w:before="120"/>
        <w:ind w:left="851" w:hanging="425"/>
      </w:pPr>
      <w:r>
        <w:t>(2)</w:t>
      </w:r>
      <w:r>
        <w:tab/>
        <w:t xml:space="preserve">For the purposes of this section, a request is </w:t>
      </w:r>
      <w:r w:rsidRPr="00E32407">
        <w:rPr>
          <w:b/>
          <w:i/>
        </w:rPr>
        <w:t xml:space="preserve">relevant to </w:t>
      </w:r>
      <w:r w:rsidR="002B0282">
        <w:rPr>
          <w:b/>
          <w:i/>
        </w:rPr>
        <w:t>the</w:t>
      </w:r>
      <w:r w:rsidR="002B0282" w:rsidRPr="00E32407">
        <w:rPr>
          <w:b/>
          <w:i/>
        </w:rPr>
        <w:t xml:space="preserve"> </w:t>
      </w:r>
      <w:r w:rsidRPr="00E32407">
        <w:rPr>
          <w:b/>
          <w:i/>
        </w:rPr>
        <w:t>benchmark period</w:t>
      </w:r>
      <w:r>
        <w:t xml:space="preserve"> if the carriage service provider that received the request is required to comply with the request during the benchmark period.</w:t>
      </w:r>
    </w:p>
    <w:p w:rsidR="00586F8E" w:rsidRPr="007449E0" w:rsidRDefault="00070A47">
      <w:pPr>
        <w:pStyle w:val="HR"/>
        <w:ind w:left="426" w:hanging="426"/>
      </w:pPr>
      <w:bookmarkStart w:id="18" w:name="_Toc303869433"/>
      <w:r>
        <w:t>10</w:t>
      </w:r>
      <w:r w:rsidR="007449E0">
        <w:tab/>
      </w:r>
      <w:r w:rsidR="00FB4F1E" w:rsidRPr="007449E0">
        <w:t>Records relating to reports of faults or service difficulties</w:t>
      </w:r>
      <w:bookmarkEnd w:id="18"/>
    </w:p>
    <w:p w:rsidR="00586F8E" w:rsidRDefault="00FB4F1E" w:rsidP="007449E0">
      <w:pPr>
        <w:spacing w:before="120"/>
        <w:ind w:left="851" w:hanging="425"/>
      </w:pPr>
      <w:r>
        <w:t>(1)</w:t>
      </w:r>
      <w:r>
        <w:tab/>
        <w:t>A qualifying carriage service provider for a benchmark period must, in relation to each fault or service difficulty report that is:</w:t>
      </w:r>
    </w:p>
    <w:p w:rsidR="00586F8E" w:rsidRDefault="00FB4F1E" w:rsidP="007449E0">
      <w:pPr>
        <w:pStyle w:val="ListParagraph"/>
        <w:numPr>
          <w:ilvl w:val="0"/>
          <w:numId w:val="12"/>
        </w:numPr>
        <w:spacing w:before="120"/>
        <w:ind w:left="1276" w:hanging="425"/>
        <w:contextualSpacing w:val="0"/>
      </w:pPr>
      <w:r>
        <w:t>made by a customer to the carriage service provider; and</w:t>
      </w:r>
    </w:p>
    <w:p w:rsidR="00586F8E" w:rsidRDefault="00FB4F1E" w:rsidP="007449E0">
      <w:pPr>
        <w:pStyle w:val="ListParagraph"/>
        <w:numPr>
          <w:ilvl w:val="0"/>
          <w:numId w:val="12"/>
        </w:numPr>
        <w:spacing w:before="120"/>
        <w:ind w:left="1276" w:hanging="425"/>
        <w:contextualSpacing w:val="0"/>
      </w:pPr>
      <w:r>
        <w:t xml:space="preserve">relevant to the benchmark period, </w:t>
      </w:r>
    </w:p>
    <w:p w:rsidR="00586F8E" w:rsidRDefault="00FB4F1E" w:rsidP="007449E0">
      <w:pPr>
        <w:spacing w:before="120"/>
        <w:ind w:left="851"/>
      </w:pPr>
      <w:proofErr w:type="gramStart"/>
      <w:r>
        <w:t>keep</w:t>
      </w:r>
      <w:proofErr w:type="gramEnd"/>
      <w:r>
        <w:t xml:space="preserve"> a record of:</w:t>
      </w:r>
    </w:p>
    <w:p w:rsidR="00586F8E" w:rsidRDefault="00FB4F1E" w:rsidP="007449E0">
      <w:pPr>
        <w:pStyle w:val="ListParagraph"/>
        <w:numPr>
          <w:ilvl w:val="0"/>
          <w:numId w:val="12"/>
        </w:numPr>
        <w:spacing w:before="120"/>
        <w:ind w:left="1276" w:hanging="425"/>
        <w:contextualSpacing w:val="0"/>
      </w:pPr>
      <w:r>
        <w:t>the name of the customer;</w:t>
      </w:r>
    </w:p>
    <w:p w:rsidR="00586F8E" w:rsidRDefault="00FB4F1E" w:rsidP="007449E0">
      <w:pPr>
        <w:pStyle w:val="ListParagraph"/>
        <w:numPr>
          <w:ilvl w:val="0"/>
          <w:numId w:val="12"/>
        </w:numPr>
        <w:spacing w:before="120"/>
        <w:ind w:left="1276" w:hanging="425"/>
        <w:contextualSpacing w:val="0"/>
      </w:pPr>
      <w:r>
        <w:t>the address of the site at which the specified service is supplied;</w:t>
      </w:r>
    </w:p>
    <w:p w:rsidR="00586F8E" w:rsidRDefault="00FB4F1E" w:rsidP="007449E0">
      <w:pPr>
        <w:pStyle w:val="ListParagraph"/>
        <w:numPr>
          <w:ilvl w:val="0"/>
          <w:numId w:val="12"/>
        </w:numPr>
        <w:spacing w:before="120"/>
        <w:ind w:left="1276" w:hanging="425"/>
        <w:contextualSpacing w:val="0"/>
      </w:pPr>
      <w:r>
        <w:t>the date and time at which the carriage service provider received the fault or service difficulty report from the customer;</w:t>
      </w:r>
    </w:p>
    <w:p w:rsidR="00586F8E" w:rsidRDefault="00FB4F1E" w:rsidP="007449E0">
      <w:pPr>
        <w:pStyle w:val="ListParagraph"/>
        <w:numPr>
          <w:ilvl w:val="0"/>
          <w:numId w:val="12"/>
        </w:numPr>
        <w:spacing w:before="120"/>
        <w:ind w:left="1276" w:hanging="425"/>
        <w:contextualSpacing w:val="0"/>
      </w:pPr>
      <w:r>
        <w:t xml:space="preserve">the </w:t>
      </w:r>
      <w:r w:rsidR="00BE6FE9">
        <w:t xml:space="preserve">date and time at which the </w:t>
      </w:r>
      <w:r>
        <w:t>guaranteed maximum rectification period</w:t>
      </w:r>
      <w:r w:rsidR="00BE6FE9">
        <w:t xml:space="preserve"> expires</w:t>
      </w:r>
      <w:r>
        <w:t xml:space="preserve"> in relation to the fault or service difficulty report;</w:t>
      </w:r>
    </w:p>
    <w:p w:rsidR="006919BE" w:rsidRDefault="006B7A79">
      <w:pPr>
        <w:spacing w:before="120"/>
        <w:ind w:left="1996" w:hanging="720"/>
        <w:rPr>
          <w:sz w:val="20"/>
          <w:szCs w:val="20"/>
        </w:rPr>
      </w:pPr>
      <w:r w:rsidRPr="006B7A79">
        <w:rPr>
          <w:i/>
          <w:sz w:val="20"/>
          <w:szCs w:val="20"/>
        </w:rPr>
        <w:t>Note</w:t>
      </w:r>
      <w:r w:rsidR="00B22339">
        <w:rPr>
          <w:i/>
          <w:sz w:val="20"/>
          <w:szCs w:val="20"/>
        </w:rPr>
        <w:t>:</w:t>
      </w:r>
      <w:r w:rsidRPr="006B7A79">
        <w:rPr>
          <w:i/>
          <w:sz w:val="20"/>
          <w:szCs w:val="20"/>
        </w:rPr>
        <w:tab/>
      </w:r>
      <w:r w:rsidRPr="006B7A79">
        <w:rPr>
          <w:sz w:val="20"/>
          <w:szCs w:val="20"/>
        </w:rPr>
        <w:t xml:space="preserve">The guaranteed maximum rectification period that applies in relation to a fault or service difficulty report is ascertained by having regard to sections 11 and 12 of the CSG Standard. </w:t>
      </w:r>
    </w:p>
    <w:p w:rsidR="00586F8E" w:rsidRDefault="00FB4F1E" w:rsidP="007449E0">
      <w:pPr>
        <w:pStyle w:val="ListParagraph"/>
        <w:numPr>
          <w:ilvl w:val="0"/>
          <w:numId w:val="12"/>
        </w:numPr>
        <w:spacing w:before="120"/>
        <w:ind w:left="1276" w:hanging="425"/>
        <w:contextualSpacing w:val="0"/>
      </w:pPr>
      <w:r>
        <w:t xml:space="preserve"> if the carriage service provider and the customer made an arrangement of a kind mentioned in section 14 of the CSG Standard for rectification of the fault or service difficulty in a period shorter or longer than the guaranteed maximum rectification period – </w:t>
      </w:r>
      <w:r w:rsidR="00BE6FE9">
        <w:t xml:space="preserve">the date and time at which </w:t>
      </w:r>
      <w:r>
        <w:t>that period</w:t>
      </w:r>
      <w:r w:rsidR="00BE6FE9">
        <w:t xml:space="preserve"> expires</w:t>
      </w:r>
      <w:r>
        <w:t>;</w:t>
      </w:r>
    </w:p>
    <w:p w:rsidR="00586F8E" w:rsidRDefault="00FB4F1E" w:rsidP="007449E0">
      <w:pPr>
        <w:pStyle w:val="ListParagraph"/>
        <w:numPr>
          <w:ilvl w:val="0"/>
          <w:numId w:val="12"/>
        </w:numPr>
        <w:spacing w:before="120"/>
        <w:ind w:left="1276" w:hanging="425"/>
        <w:contextualSpacing w:val="0"/>
      </w:pPr>
      <w:r>
        <w:t>the date and time at which the carriage service provider rectified the fault or service difficulty;</w:t>
      </w:r>
    </w:p>
    <w:p w:rsidR="00586F8E" w:rsidRDefault="00FB4F1E" w:rsidP="007449E0">
      <w:pPr>
        <w:pStyle w:val="ListParagraph"/>
        <w:numPr>
          <w:ilvl w:val="0"/>
          <w:numId w:val="12"/>
        </w:numPr>
        <w:spacing w:before="120"/>
        <w:ind w:left="1276" w:hanging="425"/>
        <w:contextualSpacing w:val="0"/>
      </w:pPr>
      <w:r>
        <w:t>the rectification period</w:t>
      </w:r>
      <w:r w:rsidR="00B22339">
        <w:t xml:space="preserve"> in working days</w:t>
      </w:r>
      <w:r>
        <w:t>;</w:t>
      </w:r>
    </w:p>
    <w:p w:rsidR="00586F8E" w:rsidRDefault="00FB4F1E" w:rsidP="007449E0">
      <w:pPr>
        <w:pStyle w:val="ListParagraph"/>
        <w:numPr>
          <w:ilvl w:val="0"/>
          <w:numId w:val="12"/>
        </w:numPr>
        <w:spacing w:before="120"/>
        <w:ind w:left="1276" w:hanging="425"/>
        <w:contextualSpacing w:val="0"/>
      </w:pPr>
      <w:r>
        <w:t>if the carriage service provider failed to comply with the guaranteed maximum rectification period or a period arranged under section 14 of the CSG Standard</w:t>
      </w:r>
      <w:r w:rsidR="00EE4C48">
        <w:t>,</w:t>
      </w:r>
      <w:r>
        <w:t xml:space="preserve"> and that failure is wholly or partly attributable to one or more acts or omissions by another carriage service prov</w:t>
      </w:r>
      <w:r w:rsidR="00070A47">
        <w:t>ider </w:t>
      </w:r>
      <w:r>
        <w:t>– the name of the other carriage service provider and a description of those acts or omissions; and</w:t>
      </w:r>
    </w:p>
    <w:p w:rsidR="00586F8E" w:rsidRDefault="00FB4F1E" w:rsidP="007449E0">
      <w:pPr>
        <w:pStyle w:val="ListParagraph"/>
        <w:numPr>
          <w:ilvl w:val="0"/>
          <w:numId w:val="12"/>
        </w:numPr>
        <w:spacing w:before="120"/>
        <w:ind w:left="1276" w:hanging="425"/>
        <w:contextualSpacing w:val="0"/>
      </w:pPr>
      <w:r>
        <w:t>whether the site at which the specified service is supplied, is located in:</w:t>
      </w:r>
    </w:p>
    <w:p w:rsidR="00586F8E" w:rsidRDefault="00FB4F1E" w:rsidP="007449E0">
      <w:pPr>
        <w:pStyle w:val="ListParagraph"/>
        <w:numPr>
          <w:ilvl w:val="0"/>
          <w:numId w:val="91"/>
        </w:numPr>
        <w:spacing w:before="120"/>
        <w:ind w:left="1985" w:hanging="709"/>
        <w:contextualSpacing w:val="0"/>
      </w:pPr>
      <w:r>
        <w:t>an urban area;</w:t>
      </w:r>
    </w:p>
    <w:p w:rsidR="00586F8E" w:rsidRDefault="00FB4F1E" w:rsidP="007449E0">
      <w:pPr>
        <w:pStyle w:val="ListParagraph"/>
        <w:numPr>
          <w:ilvl w:val="0"/>
          <w:numId w:val="91"/>
        </w:numPr>
        <w:spacing w:before="120"/>
        <w:ind w:left="1985" w:hanging="709"/>
        <w:contextualSpacing w:val="0"/>
      </w:pPr>
      <w:r>
        <w:t>a rural area; or</w:t>
      </w:r>
    </w:p>
    <w:p w:rsidR="00586F8E" w:rsidRDefault="00FB4F1E" w:rsidP="007449E0">
      <w:pPr>
        <w:pStyle w:val="ListParagraph"/>
        <w:numPr>
          <w:ilvl w:val="0"/>
          <w:numId w:val="91"/>
        </w:numPr>
        <w:spacing w:before="120"/>
        <w:ind w:left="1985" w:hanging="709"/>
        <w:contextualSpacing w:val="0"/>
      </w:pPr>
      <w:proofErr w:type="gramStart"/>
      <w:r>
        <w:t>a</w:t>
      </w:r>
      <w:proofErr w:type="gramEnd"/>
      <w:r>
        <w:t xml:space="preserve"> remote area.</w:t>
      </w:r>
    </w:p>
    <w:p w:rsidR="00586F8E" w:rsidRDefault="00335E21" w:rsidP="00335E21">
      <w:pPr>
        <w:spacing w:before="120"/>
        <w:ind w:left="851" w:hanging="425"/>
      </w:pPr>
      <w:r>
        <w:t>(2)</w:t>
      </w:r>
      <w:r w:rsidR="00FB4F1E">
        <w:tab/>
      </w:r>
      <w:r w:rsidR="00AE5E6B">
        <w:t>A</w:t>
      </w:r>
      <w:r w:rsidR="00FB4F1E">
        <w:t xml:space="preserve"> </w:t>
      </w:r>
      <w:r w:rsidR="00FB4F1E" w:rsidRPr="008C7463">
        <w:rPr>
          <w:b/>
          <w:i/>
        </w:rPr>
        <w:t>fault or service difficulty report</w:t>
      </w:r>
      <w:r w:rsidR="006B7A79" w:rsidRPr="006B7A79">
        <w:rPr>
          <w:b/>
          <w:i/>
        </w:rPr>
        <w:t xml:space="preserve"> </w:t>
      </w:r>
      <w:r w:rsidR="00FB4F1E">
        <w:t xml:space="preserve">means a report made by a customer to a carriage service provider of a fault or service difficulty in respect of a specified service supplied by the carriage service provider to the customer other than a </w:t>
      </w:r>
      <w:r w:rsidR="00FB4F1E" w:rsidRPr="00C92277">
        <w:t>fault or service difficulty relating to an inoperative enhanced call handling feature on a specified service that includes an enhanced call handling feature</w:t>
      </w:r>
      <w:r w:rsidR="00FB4F1E">
        <w:t>.</w:t>
      </w:r>
    </w:p>
    <w:p w:rsidR="00586F8E" w:rsidRDefault="00FB4F1E" w:rsidP="00335E21">
      <w:pPr>
        <w:spacing w:before="120"/>
        <w:ind w:left="851" w:hanging="425"/>
      </w:pPr>
      <w:r>
        <w:t>(3)</w:t>
      </w:r>
      <w:r>
        <w:tab/>
        <w:t xml:space="preserve">For the purposes of this section, a fault or service difficulty report is </w:t>
      </w:r>
      <w:r w:rsidRPr="008C7463">
        <w:rPr>
          <w:b/>
          <w:i/>
        </w:rPr>
        <w:t xml:space="preserve">relevant to </w:t>
      </w:r>
      <w:r w:rsidR="002B0282">
        <w:rPr>
          <w:b/>
          <w:i/>
        </w:rPr>
        <w:t>the</w:t>
      </w:r>
      <w:r w:rsidR="002B0282" w:rsidRPr="008C7463">
        <w:rPr>
          <w:b/>
          <w:i/>
        </w:rPr>
        <w:t xml:space="preserve"> </w:t>
      </w:r>
      <w:r w:rsidRPr="008C7463">
        <w:rPr>
          <w:b/>
          <w:i/>
        </w:rPr>
        <w:t>benchmark period</w:t>
      </w:r>
      <w:r>
        <w:t xml:space="preserve"> if the carriage service provider that received the report is required to rectify the fault or service difficulty in the benchmark period.</w:t>
      </w:r>
    </w:p>
    <w:p w:rsidR="00586F8E" w:rsidRDefault="00151A13">
      <w:pPr>
        <w:pStyle w:val="HR"/>
        <w:ind w:left="426" w:hanging="426"/>
      </w:pPr>
      <w:bookmarkStart w:id="19" w:name="_Toc303869434"/>
      <w:r>
        <w:t>11</w:t>
      </w:r>
      <w:r w:rsidR="00335E21">
        <w:tab/>
      </w:r>
      <w:r w:rsidR="00FB4F1E" w:rsidRPr="008C7463">
        <w:t>Records relating to the keeping of appointments</w:t>
      </w:r>
      <w:bookmarkEnd w:id="19"/>
    </w:p>
    <w:p w:rsidR="00586F8E" w:rsidRDefault="00FB4F1E" w:rsidP="00335E21">
      <w:pPr>
        <w:pStyle w:val="ListParagraph"/>
        <w:numPr>
          <w:ilvl w:val="0"/>
          <w:numId w:val="14"/>
        </w:numPr>
        <w:spacing w:before="120"/>
        <w:ind w:left="851" w:hanging="425"/>
        <w:contextualSpacing w:val="0"/>
      </w:pPr>
      <w:r>
        <w:t>A qualifying carriage service provider for a benchmark period must, in relation to each connection or rectification appointment:</w:t>
      </w:r>
    </w:p>
    <w:p w:rsidR="00586F8E" w:rsidRDefault="00FB4F1E" w:rsidP="00335E21">
      <w:pPr>
        <w:pStyle w:val="ListParagraph"/>
        <w:numPr>
          <w:ilvl w:val="0"/>
          <w:numId w:val="15"/>
        </w:numPr>
        <w:spacing w:before="120"/>
        <w:ind w:left="1276" w:hanging="425"/>
        <w:contextualSpacing w:val="0"/>
      </w:pPr>
      <w:r>
        <w:t xml:space="preserve">to which the carriage service provider is a party; and </w:t>
      </w:r>
    </w:p>
    <w:p w:rsidR="00586F8E" w:rsidRDefault="00FB4F1E" w:rsidP="00335E21">
      <w:pPr>
        <w:pStyle w:val="ListParagraph"/>
        <w:numPr>
          <w:ilvl w:val="0"/>
          <w:numId w:val="15"/>
        </w:numPr>
        <w:spacing w:before="120"/>
        <w:ind w:left="1276" w:hanging="425"/>
        <w:contextualSpacing w:val="0"/>
      </w:pPr>
      <w:r>
        <w:t xml:space="preserve">that is relevant to the benchmark period, </w:t>
      </w:r>
    </w:p>
    <w:p w:rsidR="00586F8E" w:rsidRDefault="00FB4F1E" w:rsidP="00335E21">
      <w:pPr>
        <w:spacing w:before="120"/>
        <w:ind w:left="1276" w:hanging="425"/>
      </w:pPr>
      <w:proofErr w:type="gramStart"/>
      <w:r>
        <w:t>keep</w:t>
      </w:r>
      <w:proofErr w:type="gramEnd"/>
      <w:r>
        <w:t xml:space="preserve"> a record of:</w:t>
      </w:r>
    </w:p>
    <w:p w:rsidR="00586F8E" w:rsidRDefault="00FB4F1E" w:rsidP="00335E21">
      <w:pPr>
        <w:pStyle w:val="ListParagraph"/>
        <w:numPr>
          <w:ilvl w:val="0"/>
          <w:numId w:val="15"/>
        </w:numPr>
        <w:spacing w:before="120"/>
        <w:ind w:left="1276" w:hanging="425"/>
        <w:contextualSpacing w:val="0"/>
      </w:pPr>
      <w:r>
        <w:t>the name of the customer that is a party to the appointment;</w:t>
      </w:r>
    </w:p>
    <w:p w:rsidR="00586F8E" w:rsidRDefault="00FB4F1E" w:rsidP="00335E21">
      <w:pPr>
        <w:pStyle w:val="ListParagraph"/>
        <w:numPr>
          <w:ilvl w:val="0"/>
          <w:numId w:val="15"/>
        </w:numPr>
        <w:spacing w:before="120"/>
        <w:ind w:left="1276" w:hanging="425"/>
        <w:contextualSpacing w:val="0"/>
      </w:pPr>
      <w:r>
        <w:t>the address of the site of the appointment;</w:t>
      </w:r>
    </w:p>
    <w:p w:rsidR="00586F8E" w:rsidRDefault="00FB4F1E" w:rsidP="00335E21">
      <w:pPr>
        <w:pStyle w:val="ListParagraph"/>
        <w:numPr>
          <w:ilvl w:val="0"/>
          <w:numId w:val="15"/>
        </w:numPr>
        <w:spacing w:before="120"/>
        <w:ind w:left="1276" w:hanging="425"/>
        <w:contextualSpacing w:val="0"/>
      </w:pPr>
      <w:r>
        <w:t>the date of the appointment;</w:t>
      </w:r>
    </w:p>
    <w:p w:rsidR="00586F8E" w:rsidRDefault="00FB4F1E" w:rsidP="00335E21">
      <w:pPr>
        <w:pStyle w:val="ListParagraph"/>
        <w:numPr>
          <w:ilvl w:val="0"/>
          <w:numId w:val="15"/>
        </w:numPr>
        <w:spacing w:before="120"/>
        <w:ind w:left="1276" w:hanging="425"/>
        <w:contextualSpacing w:val="0"/>
      </w:pPr>
      <w:r>
        <w:t>the time of the appointment or, if an appointment is in the period between two particular times of the day, those two particular times;</w:t>
      </w:r>
    </w:p>
    <w:p w:rsidR="006919BE" w:rsidRDefault="006B7A79">
      <w:pPr>
        <w:spacing w:before="120"/>
        <w:ind w:left="1996" w:hanging="720"/>
        <w:rPr>
          <w:sz w:val="20"/>
          <w:szCs w:val="20"/>
        </w:rPr>
      </w:pPr>
      <w:r w:rsidRPr="006B7A79">
        <w:rPr>
          <w:i/>
          <w:sz w:val="20"/>
          <w:szCs w:val="20"/>
        </w:rPr>
        <w:t>Note</w:t>
      </w:r>
      <w:r w:rsidR="00B22339">
        <w:rPr>
          <w:i/>
          <w:sz w:val="20"/>
          <w:szCs w:val="20"/>
        </w:rPr>
        <w:t>:</w:t>
      </w:r>
      <w:r w:rsidR="008C7463">
        <w:rPr>
          <w:sz w:val="20"/>
          <w:szCs w:val="20"/>
        </w:rPr>
        <w:tab/>
      </w:r>
      <w:r w:rsidRPr="006B7A79">
        <w:rPr>
          <w:sz w:val="20"/>
          <w:szCs w:val="20"/>
        </w:rPr>
        <w:t xml:space="preserve">Subsection 16(3) of the CSG Standard provides that an appointment may be in the period between two particular times of the day. </w:t>
      </w:r>
    </w:p>
    <w:p w:rsidR="00586F8E" w:rsidRDefault="00FB4F1E" w:rsidP="00335E21">
      <w:pPr>
        <w:pStyle w:val="ListParagraph"/>
        <w:numPr>
          <w:ilvl w:val="0"/>
          <w:numId w:val="15"/>
        </w:numPr>
        <w:spacing w:before="120"/>
        <w:ind w:left="1276" w:hanging="425"/>
        <w:contextualSpacing w:val="0"/>
      </w:pPr>
      <w:r>
        <w:t xml:space="preserve">any changes made to the date, time or location of the appointment;  </w:t>
      </w:r>
    </w:p>
    <w:p w:rsidR="00586F8E" w:rsidRDefault="00FB4F1E" w:rsidP="00335E21">
      <w:pPr>
        <w:pStyle w:val="ListParagraph"/>
        <w:numPr>
          <w:ilvl w:val="0"/>
          <w:numId w:val="15"/>
        </w:numPr>
        <w:spacing w:before="120"/>
        <w:ind w:left="1276" w:hanging="425"/>
        <w:contextualSpacing w:val="0"/>
      </w:pPr>
      <w:r>
        <w:t xml:space="preserve">the latest date and time by which the carriage service provider must be present at the site in order to be taken to have kept the appointment in accordance with section 17 of the CSG Standard; </w:t>
      </w:r>
    </w:p>
    <w:p w:rsidR="00F476E6" w:rsidRDefault="006B7A79" w:rsidP="00F476E6">
      <w:pPr>
        <w:spacing w:before="120"/>
        <w:ind w:left="1996" w:hanging="720"/>
        <w:rPr>
          <w:sz w:val="20"/>
          <w:szCs w:val="20"/>
        </w:rPr>
      </w:pPr>
      <w:r w:rsidRPr="006B7A79">
        <w:rPr>
          <w:i/>
          <w:sz w:val="20"/>
          <w:szCs w:val="20"/>
        </w:rPr>
        <w:t>Note</w:t>
      </w:r>
      <w:r w:rsidR="00B22339">
        <w:rPr>
          <w:i/>
          <w:sz w:val="20"/>
          <w:szCs w:val="20"/>
        </w:rPr>
        <w:t>:</w:t>
      </w:r>
      <w:r w:rsidR="008C7463">
        <w:rPr>
          <w:i/>
          <w:sz w:val="20"/>
          <w:szCs w:val="20"/>
        </w:rPr>
        <w:tab/>
      </w:r>
      <w:r w:rsidRPr="006B7A79">
        <w:rPr>
          <w:sz w:val="20"/>
          <w:szCs w:val="20"/>
        </w:rPr>
        <w:t xml:space="preserve">Section 17 of the CSG Standard sets out the criteria for determining whether an appointment is kept. </w:t>
      </w:r>
    </w:p>
    <w:p w:rsidR="00586F8E" w:rsidRDefault="00FB4F1E" w:rsidP="00335E21">
      <w:pPr>
        <w:pStyle w:val="ListParagraph"/>
        <w:numPr>
          <w:ilvl w:val="0"/>
          <w:numId w:val="15"/>
        </w:numPr>
        <w:spacing w:before="120"/>
        <w:ind w:left="1276" w:hanging="425"/>
        <w:contextualSpacing w:val="0"/>
      </w:pPr>
      <w:r>
        <w:t>the date and time at which the carriage service provider is present at the site; and</w:t>
      </w:r>
    </w:p>
    <w:p w:rsidR="00586F8E" w:rsidRDefault="00FB4F1E" w:rsidP="00335E21">
      <w:pPr>
        <w:pStyle w:val="ListParagraph"/>
        <w:numPr>
          <w:ilvl w:val="0"/>
          <w:numId w:val="15"/>
        </w:numPr>
        <w:spacing w:before="120" w:after="120"/>
        <w:ind w:left="1276" w:hanging="425"/>
        <w:contextualSpacing w:val="0"/>
      </w:pPr>
      <w:proofErr w:type="gramStart"/>
      <w:r w:rsidRPr="001360AC">
        <w:t>if</w:t>
      </w:r>
      <w:proofErr w:type="gramEnd"/>
      <w:r w:rsidRPr="001360AC">
        <w:t xml:space="preserve"> the carriage service provider </w:t>
      </w:r>
      <w:r>
        <w:t>failed to keep the appointment in accordance with section 17 of the CSG Standard</w:t>
      </w:r>
      <w:r w:rsidR="00EE4C48">
        <w:t>,</w:t>
      </w:r>
      <w:r>
        <w:t xml:space="preserve"> </w:t>
      </w:r>
      <w:r w:rsidRPr="001360AC">
        <w:t>and that failure is wholly or partly attributable to one or more acts or omissions by another carriage service provider – the name of the other carriage service provider and a description of those acts or o</w:t>
      </w:r>
      <w:r w:rsidR="008C7463">
        <w:t>missions.</w:t>
      </w:r>
    </w:p>
    <w:p w:rsidR="00586F8E" w:rsidRDefault="00674308" w:rsidP="00335E21">
      <w:pPr>
        <w:pStyle w:val="ListParagraph"/>
        <w:numPr>
          <w:ilvl w:val="0"/>
          <w:numId w:val="14"/>
        </w:numPr>
        <w:spacing w:before="120"/>
        <w:ind w:left="851" w:hanging="425"/>
        <w:contextualSpacing w:val="0"/>
      </w:pPr>
      <w:r>
        <w:t>A</w:t>
      </w:r>
      <w:r w:rsidR="00FB4F1E">
        <w:t xml:space="preserve"> </w:t>
      </w:r>
      <w:r w:rsidR="00FB4F1E" w:rsidRPr="008C7463">
        <w:rPr>
          <w:b/>
          <w:i/>
        </w:rPr>
        <w:t>connection or rectification</w:t>
      </w:r>
      <w:r w:rsidR="006B7A79" w:rsidRPr="006B7A79">
        <w:rPr>
          <w:b/>
          <w:i/>
        </w:rPr>
        <w:t xml:space="preserve"> </w:t>
      </w:r>
      <w:r w:rsidR="00FB4F1E" w:rsidRPr="008C7463">
        <w:rPr>
          <w:b/>
          <w:i/>
        </w:rPr>
        <w:t>appointment</w:t>
      </w:r>
      <w:r w:rsidR="00FB4F1E">
        <w:t xml:space="preserve"> means an appointment for the purpose of a carriage service provider connecting a specified service or rectifying a fault or service difficulty in respect of a specified service supplied by the carriage service provider. </w:t>
      </w:r>
    </w:p>
    <w:p w:rsidR="00586F8E" w:rsidRDefault="00FB4F1E" w:rsidP="00335E21">
      <w:pPr>
        <w:pStyle w:val="ListParagraph"/>
        <w:numPr>
          <w:ilvl w:val="0"/>
          <w:numId w:val="14"/>
        </w:numPr>
        <w:spacing w:before="120"/>
        <w:ind w:left="851" w:hanging="425"/>
        <w:contextualSpacing w:val="0"/>
      </w:pPr>
      <w:r>
        <w:t xml:space="preserve">For the purposes of this section, a connection or rectification appointment is </w:t>
      </w:r>
      <w:r w:rsidR="006B7A79" w:rsidRPr="006B7A79">
        <w:rPr>
          <w:b/>
          <w:i/>
        </w:rPr>
        <w:t xml:space="preserve">relevant to </w:t>
      </w:r>
      <w:r w:rsidR="002B0282">
        <w:rPr>
          <w:b/>
          <w:i/>
        </w:rPr>
        <w:t>the</w:t>
      </w:r>
      <w:r w:rsidR="002B0282" w:rsidRPr="006B7A79">
        <w:rPr>
          <w:b/>
          <w:i/>
        </w:rPr>
        <w:t xml:space="preserve"> </w:t>
      </w:r>
      <w:r w:rsidR="006B7A79" w:rsidRPr="006B7A79">
        <w:rPr>
          <w:b/>
          <w:i/>
        </w:rPr>
        <w:t>benchmark period</w:t>
      </w:r>
      <w:r>
        <w:t xml:space="preserve"> if the carriage service provider that is a party to that appointment is required to keep that appointment during the benchmark period.</w:t>
      </w:r>
    </w:p>
    <w:p w:rsidR="00586F8E" w:rsidRDefault="00FB4F1E" w:rsidP="00335E21">
      <w:pPr>
        <w:pStyle w:val="ListParagraph"/>
        <w:numPr>
          <w:ilvl w:val="0"/>
          <w:numId w:val="14"/>
        </w:numPr>
        <w:spacing w:before="120"/>
        <w:ind w:left="851" w:hanging="425"/>
        <w:contextualSpacing w:val="0"/>
      </w:pPr>
      <w:r w:rsidRPr="008C7463">
        <w:t xml:space="preserve">For the purposes of this section, a </w:t>
      </w:r>
      <w:r w:rsidR="006B7A79" w:rsidRPr="006B7A79">
        <w:rPr>
          <w:b/>
          <w:i/>
        </w:rPr>
        <w:t>customer</w:t>
      </w:r>
      <w:r w:rsidRPr="008C7463">
        <w:t xml:space="preserve"> of a carriage service provider includes a reference to a person who represents the customer.</w:t>
      </w:r>
    </w:p>
    <w:p w:rsidR="00586F8E" w:rsidRPr="00EE4C48" w:rsidRDefault="0008507C">
      <w:pPr>
        <w:pStyle w:val="HR"/>
        <w:ind w:left="426" w:hanging="426"/>
        <w:rPr>
          <w:rFonts w:cs="Arial"/>
          <w:sz w:val="36"/>
          <w:szCs w:val="36"/>
        </w:rPr>
      </w:pPr>
      <w:bookmarkStart w:id="20" w:name="_Toc242765858"/>
      <w:bookmarkStart w:id="21" w:name="_Toc303869435"/>
      <w:bookmarkEnd w:id="13"/>
      <w:r w:rsidRPr="0008507C">
        <w:rPr>
          <w:rFonts w:cs="Arial"/>
          <w:sz w:val="36"/>
          <w:szCs w:val="36"/>
        </w:rPr>
        <w:t>Part 3</w:t>
      </w:r>
      <w:r w:rsidRPr="0008507C">
        <w:rPr>
          <w:rFonts w:cs="Arial"/>
          <w:sz w:val="36"/>
          <w:szCs w:val="36"/>
        </w:rPr>
        <w:tab/>
      </w:r>
      <w:bookmarkEnd w:id="20"/>
      <w:r w:rsidR="00EC568D">
        <w:rPr>
          <w:rFonts w:cs="Arial"/>
          <w:sz w:val="36"/>
          <w:szCs w:val="36"/>
        </w:rPr>
        <w:tab/>
      </w:r>
      <w:r w:rsidRPr="0008507C">
        <w:rPr>
          <w:rFonts w:cs="Arial"/>
          <w:sz w:val="36"/>
          <w:szCs w:val="36"/>
        </w:rPr>
        <w:t>Retention of Records</w:t>
      </w:r>
      <w:bookmarkEnd w:id="21"/>
    </w:p>
    <w:p w:rsidR="0073506F" w:rsidRPr="00A43E6A" w:rsidRDefault="0073506F" w:rsidP="0073506F">
      <w:pPr>
        <w:pStyle w:val="Header"/>
        <w:rPr>
          <w:rFonts w:ascii="Times New Roman" w:hAnsi="Times New Roman"/>
          <w:b/>
          <w:sz w:val="32"/>
          <w:szCs w:val="32"/>
        </w:rPr>
      </w:pPr>
    </w:p>
    <w:p w:rsidR="00586F8E" w:rsidRDefault="00754F2B" w:rsidP="00335E21">
      <w:pPr>
        <w:pStyle w:val="HR"/>
        <w:spacing w:before="120"/>
        <w:ind w:left="426" w:hanging="426"/>
      </w:pPr>
      <w:bookmarkStart w:id="22" w:name="_Toc303869436"/>
      <w:r>
        <w:t>1</w:t>
      </w:r>
      <w:r w:rsidR="00151A13">
        <w:t>2</w:t>
      </w:r>
      <w:r w:rsidR="00335E21">
        <w:tab/>
      </w:r>
      <w:r w:rsidR="006B7A79" w:rsidRPr="006B7A79">
        <w:t>Period</w:t>
      </w:r>
      <w:r w:rsidR="00A51400">
        <w:t xml:space="preserve"> for retention of records</w:t>
      </w:r>
      <w:bookmarkEnd w:id="22"/>
    </w:p>
    <w:p w:rsidR="00586F8E" w:rsidRDefault="00026B8B" w:rsidP="00335E21">
      <w:pPr>
        <w:pStyle w:val="R2"/>
        <w:tabs>
          <w:tab w:val="clear" w:pos="794"/>
        </w:tabs>
        <w:ind w:left="426" w:firstLine="0"/>
      </w:pPr>
      <w:r>
        <w:t>If</w:t>
      </w:r>
      <w:r w:rsidR="00FE7EED">
        <w:t>, in a benchmark period,</w:t>
      </w:r>
      <w:r>
        <w:t xml:space="preserve"> a carriage service provider </w:t>
      </w:r>
      <w:r w:rsidR="00B27B98">
        <w:t xml:space="preserve">is required to keep </w:t>
      </w:r>
      <w:r>
        <w:t xml:space="preserve">a record of a </w:t>
      </w:r>
      <w:r w:rsidR="00D205D7">
        <w:t>matter</w:t>
      </w:r>
      <w:r>
        <w:t xml:space="preserve"> described in Part</w:t>
      </w:r>
      <w:r w:rsidR="002C085F">
        <w:t xml:space="preserve"> 2, the carriage</w:t>
      </w:r>
      <w:r w:rsidR="00A51400">
        <w:t xml:space="preserve"> </w:t>
      </w:r>
      <w:r w:rsidR="002C085F">
        <w:t>service provider must retain that record for</w:t>
      </w:r>
      <w:r w:rsidR="0049248A">
        <w:t xml:space="preserve"> </w:t>
      </w:r>
      <w:r w:rsidR="00D205D7">
        <w:t>a period that expires</w:t>
      </w:r>
      <w:r w:rsidR="00DF734E">
        <w:t xml:space="preserve"> no earlier than</w:t>
      </w:r>
      <w:r w:rsidR="00D205D7">
        <w:t xml:space="preserve"> </w:t>
      </w:r>
      <w:r w:rsidR="0049248A">
        <w:t xml:space="preserve">two years after the end of </w:t>
      </w:r>
      <w:r w:rsidR="00FE7EED">
        <w:t xml:space="preserve">that </w:t>
      </w:r>
      <w:r w:rsidR="0049248A">
        <w:t>benchmark period.</w:t>
      </w:r>
      <w:r w:rsidR="002C085F">
        <w:t xml:space="preserve">  </w:t>
      </w:r>
      <w:r>
        <w:t xml:space="preserve">  </w:t>
      </w:r>
    </w:p>
    <w:p w:rsidR="00F476E6" w:rsidRDefault="00930B48" w:rsidP="00F476E6">
      <w:pPr>
        <w:pStyle w:val="R2"/>
        <w:spacing w:before="120"/>
        <w:ind w:left="1219" w:hanging="794"/>
        <w:rPr>
          <w:sz w:val="20"/>
          <w:szCs w:val="20"/>
        </w:rPr>
      </w:pPr>
      <w:r w:rsidRPr="00930B48">
        <w:tab/>
      </w:r>
      <w:r w:rsidR="006B7A79" w:rsidRPr="006B7A79">
        <w:rPr>
          <w:i/>
          <w:sz w:val="20"/>
          <w:szCs w:val="20"/>
        </w:rPr>
        <w:t>Note</w:t>
      </w:r>
      <w:r w:rsidR="00B22339">
        <w:rPr>
          <w:i/>
          <w:sz w:val="20"/>
          <w:szCs w:val="20"/>
        </w:rPr>
        <w:t>:</w:t>
      </w:r>
      <w:r w:rsidR="007D0139">
        <w:rPr>
          <w:sz w:val="20"/>
          <w:szCs w:val="20"/>
        </w:rPr>
        <w:tab/>
      </w:r>
      <w:r w:rsidR="00026B8B">
        <w:rPr>
          <w:sz w:val="20"/>
          <w:szCs w:val="20"/>
        </w:rPr>
        <w:t>F</w:t>
      </w:r>
      <w:r w:rsidR="001C6E0E" w:rsidRPr="00930B48">
        <w:rPr>
          <w:sz w:val="20"/>
          <w:szCs w:val="20"/>
        </w:rPr>
        <w:t xml:space="preserve">or example, </w:t>
      </w:r>
      <w:r w:rsidR="00FE7EED">
        <w:rPr>
          <w:sz w:val="20"/>
          <w:szCs w:val="20"/>
        </w:rPr>
        <w:t xml:space="preserve">if </w:t>
      </w:r>
      <w:r w:rsidR="00151A13">
        <w:rPr>
          <w:sz w:val="20"/>
          <w:szCs w:val="20"/>
        </w:rPr>
        <w:t xml:space="preserve">in accordance with </w:t>
      </w:r>
      <w:r w:rsidR="00FE7EED">
        <w:rPr>
          <w:sz w:val="20"/>
          <w:szCs w:val="20"/>
        </w:rPr>
        <w:t>Part 2, a carriage service provider keep</w:t>
      </w:r>
      <w:r w:rsidR="00151A13">
        <w:rPr>
          <w:sz w:val="20"/>
          <w:szCs w:val="20"/>
        </w:rPr>
        <w:t>s</w:t>
      </w:r>
      <w:r w:rsidR="00FE7EED">
        <w:rPr>
          <w:sz w:val="20"/>
          <w:szCs w:val="20"/>
        </w:rPr>
        <w:t xml:space="preserve"> a </w:t>
      </w:r>
      <w:r w:rsidR="001C6E0E" w:rsidRPr="00930B48">
        <w:rPr>
          <w:sz w:val="20"/>
          <w:szCs w:val="20"/>
        </w:rPr>
        <w:t xml:space="preserve">record </w:t>
      </w:r>
      <w:r w:rsidR="00151A13">
        <w:rPr>
          <w:sz w:val="20"/>
          <w:szCs w:val="20"/>
        </w:rPr>
        <w:t xml:space="preserve">of a matter </w:t>
      </w:r>
      <w:r w:rsidR="00FE7EED">
        <w:rPr>
          <w:sz w:val="20"/>
          <w:szCs w:val="20"/>
        </w:rPr>
        <w:t>in</w:t>
      </w:r>
      <w:r w:rsidR="00FE7EED" w:rsidRPr="00930B48">
        <w:rPr>
          <w:sz w:val="20"/>
          <w:szCs w:val="20"/>
        </w:rPr>
        <w:t xml:space="preserve"> </w:t>
      </w:r>
      <w:r w:rsidR="001C6E0E" w:rsidRPr="00930B48">
        <w:rPr>
          <w:sz w:val="20"/>
          <w:szCs w:val="20"/>
        </w:rPr>
        <w:t xml:space="preserve">the </w:t>
      </w:r>
      <w:r w:rsidR="0046376F">
        <w:rPr>
          <w:sz w:val="20"/>
          <w:szCs w:val="20"/>
        </w:rPr>
        <w:t xml:space="preserve">benchmark </w:t>
      </w:r>
      <w:r w:rsidR="001C6E0E" w:rsidRPr="00930B48">
        <w:rPr>
          <w:sz w:val="20"/>
          <w:szCs w:val="20"/>
        </w:rPr>
        <w:t xml:space="preserve">period </w:t>
      </w:r>
      <w:r w:rsidR="0046376F">
        <w:rPr>
          <w:sz w:val="20"/>
          <w:szCs w:val="20"/>
        </w:rPr>
        <w:t>commencing</w:t>
      </w:r>
      <w:r w:rsidR="0046376F" w:rsidRPr="00930B48">
        <w:rPr>
          <w:sz w:val="20"/>
          <w:szCs w:val="20"/>
        </w:rPr>
        <w:t xml:space="preserve"> </w:t>
      </w:r>
      <w:r w:rsidR="001C6E0E" w:rsidRPr="00930B48">
        <w:rPr>
          <w:sz w:val="20"/>
          <w:szCs w:val="20"/>
        </w:rPr>
        <w:t xml:space="preserve">1 October 2011 </w:t>
      </w:r>
      <w:r w:rsidR="0046376F">
        <w:rPr>
          <w:sz w:val="20"/>
          <w:szCs w:val="20"/>
        </w:rPr>
        <w:t>and ending</w:t>
      </w:r>
      <w:r w:rsidR="0046376F" w:rsidRPr="00930B48">
        <w:rPr>
          <w:sz w:val="20"/>
          <w:szCs w:val="20"/>
        </w:rPr>
        <w:t xml:space="preserve"> </w:t>
      </w:r>
      <w:r w:rsidR="001C6E0E" w:rsidRPr="00930B48">
        <w:rPr>
          <w:sz w:val="20"/>
          <w:szCs w:val="20"/>
        </w:rPr>
        <w:t>30 June 2012</w:t>
      </w:r>
      <w:r w:rsidR="00FE7EED">
        <w:rPr>
          <w:sz w:val="20"/>
          <w:szCs w:val="20"/>
        </w:rPr>
        <w:t>, that record</w:t>
      </w:r>
      <w:r w:rsidR="001C6E0E" w:rsidRPr="00930B48">
        <w:rPr>
          <w:sz w:val="20"/>
          <w:szCs w:val="20"/>
        </w:rPr>
        <w:t xml:space="preserve"> must be </w:t>
      </w:r>
      <w:r w:rsidR="006759AD">
        <w:rPr>
          <w:sz w:val="20"/>
          <w:szCs w:val="20"/>
        </w:rPr>
        <w:t>retained</w:t>
      </w:r>
      <w:r w:rsidR="001C6E0E" w:rsidRPr="00930B48">
        <w:rPr>
          <w:sz w:val="20"/>
          <w:szCs w:val="20"/>
        </w:rPr>
        <w:t xml:space="preserve"> until </w:t>
      </w:r>
      <w:r w:rsidR="00F95BE1">
        <w:rPr>
          <w:sz w:val="20"/>
          <w:szCs w:val="20"/>
        </w:rPr>
        <w:t xml:space="preserve">at least </w:t>
      </w:r>
      <w:r w:rsidR="001C6E0E" w:rsidRPr="00930B48">
        <w:rPr>
          <w:sz w:val="20"/>
          <w:szCs w:val="20"/>
        </w:rPr>
        <w:t>30 June 2014.</w:t>
      </w:r>
    </w:p>
    <w:p w:rsidR="00586F8E" w:rsidRPr="003A5556" w:rsidRDefault="0008507C">
      <w:pPr>
        <w:pStyle w:val="HR"/>
        <w:ind w:left="426" w:hanging="426"/>
        <w:rPr>
          <w:sz w:val="36"/>
          <w:szCs w:val="36"/>
        </w:rPr>
      </w:pPr>
      <w:bookmarkStart w:id="23" w:name="_Toc303869437"/>
      <w:r w:rsidRPr="0008507C">
        <w:rPr>
          <w:sz w:val="36"/>
          <w:szCs w:val="36"/>
        </w:rPr>
        <w:t>Part 4</w:t>
      </w:r>
      <w:r w:rsidRPr="0008507C">
        <w:rPr>
          <w:sz w:val="36"/>
          <w:szCs w:val="36"/>
        </w:rPr>
        <w:tab/>
      </w:r>
      <w:r w:rsidR="00722B5E">
        <w:rPr>
          <w:sz w:val="36"/>
          <w:szCs w:val="36"/>
        </w:rPr>
        <w:tab/>
      </w:r>
      <w:r w:rsidRPr="0008507C">
        <w:rPr>
          <w:sz w:val="36"/>
          <w:szCs w:val="36"/>
        </w:rPr>
        <w:t>Reporting</w:t>
      </w:r>
      <w:bookmarkEnd w:id="23"/>
    </w:p>
    <w:p w:rsidR="00DE341C" w:rsidRPr="00930B48" w:rsidRDefault="00DE341C" w:rsidP="00DE341C">
      <w:pPr>
        <w:pStyle w:val="Header"/>
        <w:rPr>
          <w:rFonts w:ascii="Times New Roman" w:hAnsi="Times New Roman"/>
        </w:rPr>
      </w:pPr>
      <w:r w:rsidRPr="00930B48">
        <w:rPr>
          <w:rStyle w:val="CharDivNo"/>
          <w:rFonts w:ascii="Times New Roman" w:hAnsi="Times New Roman"/>
        </w:rPr>
        <w:t xml:space="preserve"> </w:t>
      </w:r>
      <w:r w:rsidRPr="00930B48">
        <w:rPr>
          <w:rStyle w:val="CharDivText"/>
          <w:rFonts w:ascii="Times New Roman" w:hAnsi="Times New Roman"/>
        </w:rPr>
        <w:t xml:space="preserve"> </w:t>
      </w:r>
    </w:p>
    <w:p w:rsidR="00586F8E" w:rsidRDefault="00D21C2C" w:rsidP="00335E21">
      <w:pPr>
        <w:pStyle w:val="HR"/>
        <w:spacing w:before="120"/>
        <w:ind w:left="426" w:hanging="426"/>
      </w:pPr>
      <w:bookmarkStart w:id="24" w:name="_Toc303869438"/>
      <w:r>
        <w:t>1</w:t>
      </w:r>
      <w:r w:rsidR="00E47BCD">
        <w:t>3</w:t>
      </w:r>
      <w:r w:rsidR="006B7A79" w:rsidRPr="006B7A79">
        <w:tab/>
      </w:r>
      <w:r w:rsidR="00EE14A0">
        <w:t xml:space="preserve">Requirement to </w:t>
      </w:r>
      <w:r w:rsidR="00E542CF">
        <w:t xml:space="preserve">prepare </w:t>
      </w:r>
      <w:r w:rsidR="00EE14A0">
        <w:t>compliance reports</w:t>
      </w:r>
      <w:bookmarkEnd w:id="24"/>
    </w:p>
    <w:p w:rsidR="00627344" w:rsidRDefault="003E2D62" w:rsidP="00335E21">
      <w:pPr>
        <w:pStyle w:val="ListParagraph"/>
        <w:numPr>
          <w:ilvl w:val="0"/>
          <w:numId w:val="16"/>
        </w:numPr>
        <w:spacing w:before="120"/>
        <w:ind w:left="851" w:hanging="425"/>
        <w:contextualSpacing w:val="0"/>
      </w:pPr>
      <w:r>
        <w:t xml:space="preserve">A </w:t>
      </w:r>
      <w:r w:rsidR="00627344">
        <w:t xml:space="preserve">carriage service provider that is or was a </w:t>
      </w:r>
      <w:r>
        <w:t>qualifying carriage service provider for a benchmark period must</w:t>
      </w:r>
      <w:r w:rsidR="00E11FF5">
        <w:t xml:space="preserve">, in accordance with </w:t>
      </w:r>
      <w:r w:rsidR="003F0FE3">
        <w:t xml:space="preserve">this </w:t>
      </w:r>
      <w:r w:rsidR="00E11FF5">
        <w:t>section,</w:t>
      </w:r>
      <w:r>
        <w:t xml:space="preserve"> prepare a </w:t>
      </w:r>
      <w:r w:rsidR="00E542CF">
        <w:t xml:space="preserve">compliance </w:t>
      </w:r>
      <w:r>
        <w:t>report</w:t>
      </w:r>
      <w:r w:rsidR="00627344">
        <w:t xml:space="preserve"> in respect of each</w:t>
      </w:r>
      <w:r w:rsidR="00F32832">
        <w:t xml:space="preserve"> reporting period </w:t>
      </w:r>
      <w:r w:rsidR="00627344">
        <w:t xml:space="preserve">that </w:t>
      </w:r>
      <w:r w:rsidR="00365C4E">
        <w:t>includes part of that</w:t>
      </w:r>
      <w:r w:rsidR="00627344">
        <w:t xml:space="preserve"> benchmark period. </w:t>
      </w:r>
    </w:p>
    <w:p w:rsidR="003F0FE3" w:rsidRDefault="001D78F0" w:rsidP="00335E21">
      <w:pPr>
        <w:pStyle w:val="ListParagraph"/>
        <w:numPr>
          <w:ilvl w:val="0"/>
          <w:numId w:val="16"/>
        </w:numPr>
        <w:spacing w:before="120"/>
        <w:ind w:left="851" w:hanging="425"/>
        <w:contextualSpacing w:val="0"/>
      </w:pPr>
      <w:r w:rsidRPr="007954D7">
        <w:t>A compliance report must</w:t>
      </w:r>
      <w:r w:rsidR="003F0FE3">
        <w:t>:</w:t>
      </w:r>
    </w:p>
    <w:p w:rsidR="003F0FE3" w:rsidRDefault="001D78F0" w:rsidP="00335E21">
      <w:pPr>
        <w:pStyle w:val="ListParagraph"/>
        <w:numPr>
          <w:ilvl w:val="0"/>
          <w:numId w:val="19"/>
        </w:numPr>
        <w:spacing w:before="120"/>
        <w:ind w:left="1276" w:hanging="425"/>
        <w:contextualSpacing w:val="0"/>
      </w:pPr>
      <w:r w:rsidRPr="007954D7">
        <w:t>include</w:t>
      </w:r>
      <w:r w:rsidR="007954D7" w:rsidRPr="007954D7">
        <w:t xml:space="preserve"> the information specified in Schedule 1</w:t>
      </w:r>
      <w:r w:rsidR="003F0FE3">
        <w:t>; and</w:t>
      </w:r>
    </w:p>
    <w:p w:rsidR="00586F8E" w:rsidRPr="007954D7" w:rsidRDefault="003F0FE3" w:rsidP="00335E21">
      <w:pPr>
        <w:pStyle w:val="ListParagraph"/>
        <w:numPr>
          <w:ilvl w:val="0"/>
          <w:numId w:val="19"/>
        </w:numPr>
        <w:spacing w:before="120"/>
        <w:ind w:left="1276" w:hanging="425"/>
        <w:contextualSpacing w:val="0"/>
      </w:pPr>
      <w:proofErr w:type="gramStart"/>
      <w:r>
        <w:t>be</w:t>
      </w:r>
      <w:proofErr w:type="gramEnd"/>
      <w:r>
        <w:t xml:space="preserve"> in the form specified in Schedule 2</w:t>
      </w:r>
      <w:r w:rsidR="00AE764D">
        <w:t>.</w:t>
      </w:r>
      <w:r w:rsidR="007954D7" w:rsidRPr="007954D7">
        <w:t xml:space="preserve"> </w:t>
      </w:r>
    </w:p>
    <w:p w:rsidR="005A18E8" w:rsidRDefault="00DF734E" w:rsidP="00335E21">
      <w:pPr>
        <w:pStyle w:val="ListParagraph"/>
        <w:numPr>
          <w:ilvl w:val="0"/>
          <w:numId w:val="16"/>
        </w:numPr>
        <w:spacing w:before="120"/>
        <w:ind w:left="851" w:hanging="425"/>
        <w:contextualSpacing w:val="0"/>
      </w:pPr>
      <w:r>
        <w:t xml:space="preserve">A </w:t>
      </w:r>
      <w:r w:rsidR="00F476E6" w:rsidRPr="00F476E6">
        <w:rPr>
          <w:b/>
          <w:i/>
        </w:rPr>
        <w:t>reporting period</w:t>
      </w:r>
      <w:r w:rsidR="00627344">
        <w:t xml:space="preserve"> means</w:t>
      </w:r>
      <w:r w:rsidR="005A18E8">
        <w:t>:</w:t>
      </w:r>
    </w:p>
    <w:p w:rsidR="005A18E8" w:rsidRDefault="005A18E8" w:rsidP="00335E21">
      <w:pPr>
        <w:pStyle w:val="ListParagraph"/>
        <w:numPr>
          <w:ilvl w:val="0"/>
          <w:numId w:val="37"/>
        </w:numPr>
        <w:spacing w:before="120"/>
        <w:ind w:left="1276" w:hanging="425"/>
        <w:contextualSpacing w:val="0"/>
      </w:pPr>
      <w:r>
        <w:t>the period commencing on 1 October 2011 and ending on 31 December 2011; and</w:t>
      </w:r>
    </w:p>
    <w:p w:rsidR="00627344" w:rsidRDefault="005A18E8" w:rsidP="00335E21">
      <w:pPr>
        <w:pStyle w:val="ListParagraph"/>
        <w:numPr>
          <w:ilvl w:val="0"/>
          <w:numId w:val="37"/>
        </w:numPr>
        <w:spacing w:before="120"/>
        <w:ind w:left="1276" w:hanging="425"/>
        <w:contextualSpacing w:val="0"/>
      </w:pPr>
      <w:proofErr w:type="gramStart"/>
      <w:r>
        <w:t>thereafter</w:t>
      </w:r>
      <w:proofErr w:type="gramEnd"/>
      <w:r>
        <w:t xml:space="preserve"> – each period of six months ending on 30 June or 31 December, as the case may be. </w:t>
      </w:r>
      <w:r w:rsidR="00627344">
        <w:t xml:space="preserve"> </w:t>
      </w:r>
    </w:p>
    <w:p w:rsidR="00DA3D55" w:rsidRDefault="00DA3D55" w:rsidP="00335E21">
      <w:pPr>
        <w:pStyle w:val="HR"/>
        <w:ind w:left="426" w:hanging="426"/>
      </w:pPr>
      <w:bookmarkStart w:id="25" w:name="_Toc303869439"/>
      <w:r>
        <w:t>1</w:t>
      </w:r>
      <w:r w:rsidR="00E47BCD">
        <w:t>4</w:t>
      </w:r>
      <w:r>
        <w:tab/>
        <w:t>Requirement to give compliance reports to the ACMA</w:t>
      </w:r>
      <w:bookmarkEnd w:id="25"/>
    </w:p>
    <w:p w:rsidR="000A4F49" w:rsidRDefault="002A4AFC" w:rsidP="00335E21">
      <w:pPr>
        <w:pStyle w:val="ListParagraph"/>
        <w:numPr>
          <w:ilvl w:val="0"/>
          <w:numId w:val="18"/>
        </w:numPr>
        <w:spacing w:before="120"/>
        <w:ind w:left="851" w:hanging="425"/>
        <w:contextualSpacing w:val="0"/>
      </w:pPr>
      <w:r>
        <w:t>A</w:t>
      </w:r>
      <w:r w:rsidR="00E47BCD">
        <w:t xml:space="preserve"> carriage service provider that is or was a</w:t>
      </w:r>
      <w:r w:rsidR="00DA3D55">
        <w:t xml:space="preserve"> qualifying carriage service provider for a benchmark period must</w:t>
      </w:r>
      <w:r w:rsidR="001D26EA">
        <w:t xml:space="preserve"> give </w:t>
      </w:r>
      <w:r w:rsidR="007B188C">
        <w:t xml:space="preserve">to </w:t>
      </w:r>
      <w:r w:rsidR="003078FE">
        <w:t>the ACMA a compliance report</w:t>
      </w:r>
      <w:r w:rsidR="00F32832">
        <w:t xml:space="preserve"> in respect of a reporting period</w:t>
      </w:r>
      <w:r w:rsidR="000A4F49">
        <w:t xml:space="preserve"> that includes part of that benchmark period no later than </w:t>
      </w:r>
      <w:r w:rsidR="00643166">
        <w:t xml:space="preserve">40 working </w:t>
      </w:r>
      <w:r w:rsidR="000A4F49">
        <w:t>days after the end of that reporting period</w:t>
      </w:r>
      <w:r>
        <w:t>, or such later time as agreed in writing by the ACMA</w:t>
      </w:r>
      <w:r w:rsidR="000A4F49">
        <w:t>.</w:t>
      </w:r>
    </w:p>
    <w:p w:rsidR="006918E6" w:rsidRDefault="006918E6" w:rsidP="00335E21">
      <w:pPr>
        <w:pStyle w:val="ListParagraph"/>
        <w:numPr>
          <w:ilvl w:val="0"/>
          <w:numId w:val="18"/>
        </w:numPr>
        <w:spacing w:before="120"/>
        <w:ind w:left="851" w:hanging="425"/>
        <w:contextualSpacing w:val="0"/>
      </w:pPr>
      <w:r>
        <w:t>A compliance report must be given to the ACMA by</w:t>
      </w:r>
      <w:r w:rsidR="001A4DD9">
        <w:t xml:space="preserve"> </w:t>
      </w:r>
      <w:r w:rsidR="00C756D8">
        <w:t xml:space="preserve">both of the following </w:t>
      </w:r>
      <w:r w:rsidR="001A4DD9">
        <w:t>means</w:t>
      </w:r>
      <w:r>
        <w:t>:</w:t>
      </w:r>
    </w:p>
    <w:p w:rsidR="006918E6" w:rsidRPr="0008507C" w:rsidRDefault="00E441B8" w:rsidP="00335E21">
      <w:pPr>
        <w:pStyle w:val="ListParagraph"/>
        <w:numPr>
          <w:ilvl w:val="0"/>
          <w:numId w:val="17"/>
        </w:numPr>
        <w:spacing w:before="120"/>
        <w:ind w:left="1276" w:hanging="425"/>
        <w:contextualSpacing w:val="0"/>
      </w:pPr>
      <w:r>
        <w:t xml:space="preserve">electronic transmission to the </w:t>
      </w:r>
      <w:r w:rsidR="006918E6">
        <w:t xml:space="preserve">email address </w:t>
      </w:r>
      <w:r>
        <w:t xml:space="preserve">published </w:t>
      </w:r>
      <w:r w:rsidR="0092753A">
        <w:t xml:space="preserve">for the purposes of this paragraph </w:t>
      </w:r>
      <w:r>
        <w:t>from time to time on the ACMA website</w:t>
      </w:r>
      <w:r w:rsidR="006918E6">
        <w:rPr>
          <w:color w:val="000000" w:themeColor="text1"/>
        </w:rPr>
        <w:t>; and</w:t>
      </w:r>
    </w:p>
    <w:p w:rsidR="006918E6" w:rsidRPr="00A842D1" w:rsidRDefault="00A842D1" w:rsidP="00335E21">
      <w:pPr>
        <w:pStyle w:val="ListParagraph"/>
        <w:numPr>
          <w:ilvl w:val="0"/>
          <w:numId w:val="17"/>
        </w:numPr>
        <w:spacing w:before="120"/>
        <w:ind w:left="1276" w:hanging="425"/>
        <w:contextualSpacing w:val="0"/>
      </w:pPr>
      <w:proofErr w:type="gramStart"/>
      <w:r w:rsidRPr="00A842D1">
        <w:t>delivery</w:t>
      </w:r>
      <w:proofErr w:type="gramEnd"/>
      <w:r w:rsidRPr="00A842D1">
        <w:t xml:space="preserve">, by hand or </w:t>
      </w:r>
      <w:r w:rsidR="006918E6" w:rsidRPr="00A842D1">
        <w:t>registered</w:t>
      </w:r>
      <w:r w:rsidRPr="00A842D1">
        <w:t xml:space="preserve"> </w:t>
      </w:r>
      <w:r w:rsidR="006918E6" w:rsidRPr="00A842D1">
        <w:t>post</w:t>
      </w:r>
      <w:r w:rsidRPr="00A842D1">
        <w:t>,</w:t>
      </w:r>
      <w:r w:rsidR="006918E6" w:rsidRPr="00A842D1">
        <w:t xml:space="preserve"> to </w:t>
      </w:r>
      <w:r w:rsidRPr="00A842D1">
        <w:t xml:space="preserve">an office of </w:t>
      </w:r>
      <w:r w:rsidR="006918E6" w:rsidRPr="00A842D1">
        <w:t xml:space="preserve">the </w:t>
      </w:r>
      <w:r w:rsidRPr="00A842D1">
        <w:t>ACMA</w:t>
      </w:r>
      <w:r w:rsidR="006918E6" w:rsidRPr="00A842D1">
        <w:t>.</w:t>
      </w:r>
    </w:p>
    <w:p w:rsidR="00DE341C" w:rsidRPr="00235690" w:rsidRDefault="00AD43B0" w:rsidP="00335E21">
      <w:pPr>
        <w:pStyle w:val="ListParagraph"/>
        <w:numPr>
          <w:ilvl w:val="0"/>
          <w:numId w:val="18"/>
        </w:numPr>
        <w:spacing w:before="120"/>
        <w:ind w:left="851" w:hanging="425"/>
        <w:contextualSpacing w:val="0"/>
      </w:pPr>
      <w:r>
        <w:t>A compliance report delivered under paragraph 14(2</w:t>
      </w:r>
      <w:proofErr w:type="gramStart"/>
      <w:r>
        <w:t>)(</w:t>
      </w:r>
      <w:proofErr w:type="gramEnd"/>
      <w:r>
        <w:t xml:space="preserve">b) may be in an electronic format of a kind agreed </w:t>
      </w:r>
      <w:r w:rsidR="000C5768">
        <w:t xml:space="preserve">in writing </w:t>
      </w:r>
      <w:r>
        <w:t xml:space="preserve">by the ACMA. </w:t>
      </w:r>
    </w:p>
    <w:p w:rsidR="00C85EC5" w:rsidRPr="003A5556" w:rsidRDefault="00C85EC5" w:rsidP="00C85EC5">
      <w:pPr>
        <w:pStyle w:val="HR"/>
        <w:ind w:left="426" w:hanging="426"/>
        <w:rPr>
          <w:sz w:val="36"/>
          <w:szCs w:val="36"/>
        </w:rPr>
      </w:pPr>
      <w:bookmarkStart w:id="26" w:name="_Toc303846869"/>
      <w:bookmarkStart w:id="27" w:name="_Toc303869440"/>
      <w:r w:rsidRPr="0008507C">
        <w:rPr>
          <w:sz w:val="36"/>
          <w:szCs w:val="36"/>
        </w:rPr>
        <w:t xml:space="preserve">Part </w:t>
      </w:r>
      <w:r>
        <w:rPr>
          <w:sz w:val="36"/>
          <w:szCs w:val="36"/>
        </w:rPr>
        <w:t>5</w:t>
      </w:r>
      <w:r w:rsidRPr="0008507C">
        <w:rPr>
          <w:sz w:val="36"/>
          <w:szCs w:val="36"/>
        </w:rPr>
        <w:tab/>
      </w:r>
      <w:r w:rsidR="000231F7">
        <w:rPr>
          <w:sz w:val="36"/>
          <w:szCs w:val="36"/>
        </w:rPr>
        <w:tab/>
      </w:r>
      <w:r>
        <w:rPr>
          <w:sz w:val="36"/>
          <w:szCs w:val="36"/>
        </w:rPr>
        <w:t>Audit</w:t>
      </w:r>
      <w:bookmarkEnd w:id="26"/>
      <w:bookmarkEnd w:id="27"/>
    </w:p>
    <w:p w:rsidR="00C85EC5" w:rsidRDefault="00C85EC5" w:rsidP="00335E21">
      <w:pPr>
        <w:pStyle w:val="HR"/>
        <w:ind w:left="426" w:hanging="426"/>
      </w:pPr>
      <w:bookmarkStart w:id="28" w:name="_Toc303846870"/>
      <w:bookmarkStart w:id="29" w:name="_Toc303869441"/>
      <w:r>
        <w:t>15</w:t>
      </w:r>
      <w:r>
        <w:tab/>
        <w:t>Auditing of compliance with these Rules</w:t>
      </w:r>
      <w:bookmarkEnd w:id="28"/>
      <w:bookmarkEnd w:id="29"/>
    </w:p>
    <w:p w:rsidR="00CF0335" w:rsidRDefault="000231F7" w:rsidP="00335E21">
      <w:pPr>
        <w:pStyle w:val="ListParagraph"/>
        <w:numPr>
          <w:ilvl w:val="0"/>
          <w:numId w:val="41"/>
        </w:numPr>
        <w:spacing w:before="120"/>
        <w:ind w:left="851" w:hanging="425"/>
        <w:contextualSpacing w:val="0"/>
        <w:rPr>
          <w:color w:val="000000" w:themeColor="text1"/>
        </w:rPr>
      </w:pPr>
      <w:r>
        <w:rPr>
          <w:lang w:eastAsia="en-US"/>
        </w:rPr>
        <w:t xml:space="preserve">This section applies to a carriage service provider that </w:t>
      </w:r>
      <w:r w:rsidRPr="0013733B">
        <w:rPr>
          <w:color w:val="000000" w:themeColor="text1"/>
        </w:rPr>
        <w:t>is or was a qualifying carriage service provider for a benchmark period</w:t>
      </w:r>
      <w:r>
        <w:rPr>
          <w:color w:val="000000" w:themeColor="text1"/>
        </w:rPr>
        <w:t>.</w:t>
      </w:r>
      <w:r w:rsidRPr="00471239" w:rsidDel="001F4CB9">
        <w:rPr>
          <w:color w:val="000000" w:themeColor="text1"/>
        </w:rPr>
        <w:t xml:space="preserve"> </w:t>
      </w:r>
    </w:p>
    <w:p w:rsidR="00CF0335" w:rsidRPr="00335E21" w:rsidRDefault="001F4CB9" w:rsidP="00335E21">
      <w:pPr>
        <w:pStyle w:val="ListParagraph"/>
        <w:numPr>
          <w:ilvl w:val="0"/>
          <w:numId w:val="41"/>
        </w:numPr>
        <w:spacing w:before="120"/>
        <w:ind w:left="851" w:hanging="425"/>
        <w:contextualSpacing w:val="0"/>
        <w:rPr>
          <w:lang w:eastAsia="en-US"/>
        </w:rPr>
      </w:pPr>
      <w:r w:rsidRPr="00335E21">
        <w:rPr>
          <w:lang w:eastAsia="en-US"/>
        </w:rPr>
        <w:t xml:space="preserve">Subject to subsection </w:t>
      </w:r>
      <w:r w:rsidR="002B0282" w:rsidRPr="00335E21">
        <w:rPr>
          <w:lang w:eastAsia="en-US"/>
        </w:rPr>
        <w:t>(5)</w:t>
      </w:r>
      <w:r w:rsidRPr="00335E21">
        <w:rPr>
          <w:lang w:eastAsia="en-US"/>
        </w:rPr>
        <w:t>, the ACMA may,</w:t>
      </w:r>
      <w:r w:rsidR="00DF734E">
        <w:rPr>
          <w:lang w:eastAsia="en-US"/>
        </w:rPr>
        <w:t xml:space="preserve"> in accordance with subsection</w:t>
      </w:r>
      <w:r w:rsidR="00900B4C">
        <w:rPr>
          <w:lang w:eastAsia="en-US"/>
        </w:rPr>
        <w:t>s</w:t>
      </w:r>
      <w:r w:rsidR="00DF734E">
        <w:rPr>
          <w:lang w:eastAsia="en-US"/>
        </w:rPr>
        <w:t xml:space="preserve"> (3) or (4),</w:t>
      </w:r>
      <w:r w:rsidRPr="00335E21">
        <w:rPr>
          <w:lang w:eastAsia="en-US"/>
        </w:rPr>
        <w:t xml:space="preserve"> by written notice given to the </w:t>
      </w:r>
      <w:r w:rsidR="000231F7" w:rsidRPr="00335E21">
        <w:rPr>
          <w:lang w:eastAsia="en-US"/>
        </w:rPr>
        <w:t xml:space="preserve">carriage service </w:t>
      </w:r>
      <w:r w:rsidRPr="00335E21">
        <w:rPr>
          <w:lang w:eastAsia="en-US"/>
        </w:rPr>
        <w:t>provider, require the</w:t>
      </w:r>
      <w:r w:rsidR="002B0282" w:rsidRPr="00335E21">
        <w:rPr>
          <w:lang w:eastAsia="en-US"/>
        </w:rPr>
        <w:t xml:space="preserve"> carriage service</w:t>
      </w:r>
      <w:r w:rsidRPr="00335E21">
        <w:rPr>
          <w:lang w:eastAsia="en-US"/>
        </w:rPr>
        <w:t xml:space="preserve"> provider to engage, at its own cost, an external auditor to audit the compliance of the </w:t>
      </w:r>
      <w:r w:rsidR="002B0282" w:rsidRPr="00335E21">
        <w:rPr>
          <w:lang w:eastAsia="en-US"/>
        </w:rPr>
        <w:t xml:space="preserve">carriage service </w:t>
      </w:r>
      <w:r w:rsidRPr="00335E21">
        <w:rPr>
          <w:lang w:eastAsia="en-US"/>
        </w:rPr>
        <w:t>provider with these Rules.</w:t>
      </w:r>
    </w:p>
    <w:p w:rsidR="00CF0335" w:rsidRPr="00335E21" w:rsidRDefault="00C85EC5" w:rsidP="00335E21">
      <w:pPr>
        <w:pStyle w:val="ListParagraph"/>
        <w:numPr>
          <w:ilvl w:val="0"/>
          <w:numId w:val="41"/>
        </w:numPr>
        <w:spacing w:before="120"/>
        <w:ind w:left="851" w:hanging="425"/>
        <w:contextualSpacing w:val="0"/>
        <w:rPr>
          <w:lang w:eastAsia="en-US"/>
        </w:rPr>
      </w:pPr>
      <w:r w:rsidRPr="00335E21">
        <w:rPr>
          <w:lang w:eastAsia="en-US"/>
        </w:rPr>
        <w:t xml:space="preserve">The ACMA may require </w:t>
      </w:r>
      <w:r w:rsidR="0029249D" w:rsidRPr="00335E21">
        <w:rPr>
          <w:lang w:eastAsia="en-US"/>
        </w:rPr>
        <w:t xml:space="preserve">the </w:t>
      </w:r>
      <w:r w:rsidRPr="00335E21">
        <w:rPr>
          <w:lang w:eastAsia="en-US"/>
        </w:rPr>
        <w:t xml:space="preserve">carriage service provider to obtain one initial audit in respect of each compliance report which the </w:t>
      </w:r>
      <w:r w:rsidR="002B0282" w:rsidRPr="00335E21">
        <w:rPr>
          <w:lang w:eastAsia="en-US"/>
        </w:rPr>
        <w:t xml:space="preserve">carriage service </w:t>
      </w:r>
      <w:r w:rsidRPr="00335E21">
        <w:rPr>
          <w:lang w:eastAsia="en-US"/>
        </w:rPr>
        <w:t xml:space="preserve">provider is required to </w:t>
      </w:r>
      <w:r w:rsidR="00DF734E">
        <w:rPr>
          <w:lang w:eastAsia="en-US"/>
        </w:rPr>
        <w:t>give</w:t>
      </w:r>
      <w:r w:rsidR="00DF734E" w:rsidRPr="00335E21">
        <w:rPr>
          <w:lang w:eastAsia="en-US"/>
        </w:rPr>
        <w:t xml:space="preserve"> </w:t>
      </w:r>
      <w:r w:rsidRPr="00335E21">
        <w:rPr>
          <w:lang w:eastAsia="en-US"/>
        </w:rPr>
        <w:t xml:space="preserve">to the ACMA </w:t>
      </w:r>
      <w:r w:rsidR="001F4CB9" w:rsidRPr="00335E21">
        <w:rPr>
          <w:lang w:eastAsia="en-US"/>
        </w:rPr>
        <w:t>under</w:t>
      </w:r>
      <w:r w:rsidRPr="00335E21">
        <w:rPr>
          <w:lang w:eastAsia="en-US"/>
        </w:rPr>
        <w:t xml:space="preserve"> subsection 14(1).</w:t>
      </w:r>
    </w:p>
    <w:p w:rsidR="00CF0335" w:rsidRPr="00335E21" w:rsidRDefault="00C85EC5" w:rsidP="00335E21">
      <w:pPr>
        <w:pStyle w:val="ListParagraph"/>
        <w:numPr>
          <w:ilvl w:val="0"/>
          <w:numId w:val="41"/>
        </w:numPr>
        <w:spacing w:before="120"/>
        <w:ind w:left="851" w:hanging="425"/>
        <w:contextualSpacing w:val="0"/>
        <w:rPr>
          <w:lang w:eastAsia="en-US"/>
        </w:rPr>
      </w:pPr>
      <w:r w:rsidRPr="00335E21">
        <w:rPr>
          <w:lang w:eastAsia="en-US"/>
        </w:rPr>
        <w:t xml:space="preserve">The ACMA may require </w:t>
      </w:r>
      <w:r w:rsidR="0029249D" w:rsidRPr="00335E21">
        <w:rPr>
          <w:lang w:eastAsia="en-US"/>
        </w:rPr>
        <w:t xml:space="preserve">the </w:t>
      </w:r>
      <w:r w:rsidRPr="00335E21">
        <w:rPr>
          <w:lang w:eastAsia="en-US"/>
        </w:rPr>
        <w:t xml:space="preserve">carriage service provider to obtain one follow-up audit in respect of each initial audit required </w:t>
      </w:r>
      <w:r w:rsidR="00DF734E">
        <w:rPr>
          <w:lang w:eastAsia="en-US"/>
        </w:rPr>
        <w:t>under</w:t>
      </w:r>
      <w:r w:rsidRPr="00335E21">
        <w:rPr>
          <w:lang w:eastAsia="en-US"/>
        </w:rPr>
        <w:t xml:space="preserve"> subsection (</w:t>
      </w:r>
      <w:r w:rsidR="001F4CB9" w:rsidRPr="00335E21">
        <w:rPr>
          <w:lang w:eastAsia="en-US"/>
        </w:rPr>
        <w:t>3</w:t>
      </w:r>
      <w:r w:rsidRPr="00335E21">
        <w:rPr>
          <w:lang w:eastAsia="en-US"/>
        </w:rPr>
        <w:t>) if the ACMA forms a view on reasonable grounds that the initial audit is inadequate.</w:t>
      </w:r>
    </w:p>
    <w:p w:rsidR="00CF0335" w:rsidRPr="00335E21" w:rsidRDefault="00C85EC5" w:rsidP="00335E21">
      <w:pPr>
        <w:pStyle w:val="ListParagraph"/>
        <w:numPr>
          <w:ilvl w:val="0"/>
          <w:numId w:val="41"/>
        </w:numPr>
        <w:spacing w:before="120"/>
        <w:ind w:left="851" w:hanging="425"/>
        <w:contextualSpacing w:val="0"/>
        <w:rPr>
          <w:lang w:eastAsia="en-US"/>
        </w:rPr>
      </w:pPr>
      <w:r w:rsidRPr="00335E21">
        <w:rPr>
          <w:lang w:eastAsia="en-US"/>
        </w:rPr>
        <w:t xml:space="preserve">The ACMA may only require an audit </w:t>
      </w:r>
      <w:r w:rsidR="00DF734E">
        <w:rPr>
          <w:lang w:eastAsia="en-US"/>
        </w:rPr>
        <w:t>under</w:t>
      </w:r>
      <w:r w:rsidRPr="00335E21">
        <w:rPr>
          <w:lang w:eastAsia="en-US"/>
        </w:rPr>
        <w:t xml:space="preserve"> subsection (</w:t>
      </w:r>
      <w:r w:rsidR="002B0282" w:rsidRPr="00335E21">
        <w:rPr>
          <w:lang w:eastAsia="en-US"/>
        </w:rPr>
        <w:t>2</w:t>
      </w:r>
      <w:r w:rsidRPr="00335E21">
        <w:rPr>
          <w:lang w:eastAsia="en-US"/>
        </w:rPr>
        <w:t>) if it forms a view on reasonable grounds that an audit is necessary.</w:t>
      </w:r>
    </w:p>
    <w:p w:rsidR="00C85EC5" w:rsidRDefault="00C85EC5" w:rsidP="00335E21">
      <w:pPr>
        <w:pStyle w:val="HR"/>
        <w:ind w:left="426" w:hanging="426"/>
      </w:pPr>
      <w:bookmarkStart w:id="30" w:name="_Toc303846871"/>
      <w:bookmarkStart w:id="31" w:name="_Toc303869442"/>
      <w:r>
        <w:t>16</w:t>
      </w:r>
      <w:r>
        <w:tab/>
        <w:t>Audit terms of reference</w:t>
      </w:r>
      <w:bookmarkEnd w:id="30"/>
      <w:bookmarkEnd w:id="31"/>
    </w:p>
    <w:p w:rsidR="00CF0335" w:rsidRPr="00335E21" w:rsidRDefault="00A203C3" w:rsidP="00335E21">
      <w:pPr>
        <w:pStyle w:val="ListParagraph"/>
        <w:numPr>
          <w:ilvl w:val="0"/>
          <w:numId w:val="92"/>
        </w:numPr>
        <w:spacing w:before="120"/>
        <w:ind w:left="851" w:hanging="425"/>
        <w:contextualSpacing w:val="0"/>
        <w:rPr>
          <w:lang w:eastAsia="en-US"/>
        </w:rPr>
      </w:pPr>
      <w:r w:rsidRPr="00335E21">
        <w:rPr>
          <w:lang w:eastAsia="en-US"/>
        </w:rPr>
        <w:t>This section applies to a carriage service provider that has received a notice given under subsection 15(</w:t>
      </w:r>
      <w:r w:rsidR="00DF734E">
        <w:rPr>
          <w:lang w:eastAsia="en-US"/>
        </w:rPr>
        <w:t>2</w:t>
      </w:r>
      <w:r w:rsidRPr="00335E21">
        <w:rPr>
          <w:lang w:eastAsia="en-US"/>
        </w:rPr>
        <w:t>).</w:t>
      </w:r>
    </w:p>
    <w:p w:rsidR="00CF0335" w:rsidRPr="00335E21" w:rsidRDefault="00A203C3" w:rsidP="00335E21">
      <w:pPr>
        <w:pStyle w:val="ListParagraph"/>
        <w:numPr>
          <w:ilvl w:val="0"/>
          <w:numId w:val="92"/>
        </w:numPr>
        <w:spacing w:before="120"/>
        <w:ind w:left="851" w:hanging="425"/>
        <w:contextualSpacing w:val="0"/>
        <w:rPr>
          <w:lang w:eastAsia="en-US"/>
        </w:rPr>
      </w:pPr>
      <w:r w:rsidRPr="00335E21">
        <w:rPr>
          <w:lang w:eastAsia="en-US"/>
        </w:rPr>
        <w:t>The</w:t>
      </w:r>
      <w:r w:rsidR="00533DFF" w:rsidRPr="00335E21">
        <w:rPr>
          <w:lang w:eastAsia="en-US"/>
        </w:rPr>
        <w:t xml:space="preserve"> carriage service provider must, </w:t>
      </w:r>
      <w:r w:rsidRPr="00335E21">
        <w:rPr>
          <w:lang w:eastAsia="en-US"/>
        </w:rPr>
        <w:t>no later than 21 days after receipt of the notice, or such longer period as the ACMA may agree in writing, give to the ACMA draft terms of reference of the audit.</w:t>
      </w:r>
    </w:p>
    <w:p w:rsidR="000231F7" w:rsidRPr="00335E21" w:rsidRDefault="000231F7" w:rsidP="00335E21">
      <w:pPr>
        <w:pStyle w:val="ListParagraph"/>
        <w:numPr>
          <w:ilvl w:val="0"/>
          <w:numId w:val="92"/>
        </w:numPr>
        <w:spacing w:before="120"/>
        <w:ind w:left="851" w:hanging="425"/>
        <w:contextualSpacing w:val="0"/>
        <w:rPr>
          <w:lang w:eastAsia="en-US"/>
        </w:rPr>
      </w:pPr>
      <w:r w:rsidRPr="00335E21">
        <w:rPr>
          <w:lang w:eastAsia="en-US"/>
        </w:rPr>
        <w:t>The ACMA</w:t>
      </w:r>
      <w:r w:rsidR="00533DFF" w:rsidRPr="00335E21">
        <w:rPr>
          <w:lang w:eastAsia="en-US"/>
        </w:rPr>
        <w:t xml:space="preserve"> may, by written notice given to </w:t>
      </w:r>
      <w:r w:rsidRPr="00335E21">
        <w:rPr>
          <w:lang w:eastAsia="en-US"/>
        </w:rPr>
        <w:t>the carriage service provider</w:t>
      </w:r>
      <w:r w:rsidR="00533DFF" w:rsidRPr="00335E21">
        <w:rPr>
          <w:lang w:eastAsia="en-US"/>
        </w:rPr>
        <w:t>:</w:t>
      </w:r>
    </w:p>
    <w:p w:rsidR="00CF0335" w:rsidRPr="00CF0335" w:rsidRDefault="00CF0335" w:rsidP="0020773A">
      <w:pPr>
        <w:pStyle w:val="ListParagraph"/>
        <w:numPr>
          <w:ilvl w:val="0"/>
          <w:numId w:val="97"/>
        </w:numPr>
        <w:spacing w:before="120"/>
        <w:ind w:left="1276" w:hanging="425"/>
        <w:contextualSpacing w:val="0"/>
        <w:rPr>
          <w:lang w:eastAsia="en-US"/>
        </w:rPr>
      </w:pPr>
      <w:r w:rsidRPr="00CF0335">
        <w:rPr>
          <w:lang w:eastAsia="en-US"/>
        </w:rPr>
        <w:t xml:space="preserve">approve the draft terms of reference; or </w:t>
      </w:r>
    </w:p>
    <w:p w:rsidR="00CF0335" w:rsidRDefault="00CF0335" w:rsidP="0020773A">
      <w:pPr>
        <w:pStyle w:val="ListParagraph"/>
        <w:numPr>
          <w:ilvl w:val="0"/>
          <w:numId w:val="97"/>
        </w:numPr>
        <w:spacing w:before="120"/>
        <w:ind w:left="1276" w:hanging="425"/>
        <w:contextualSpacing w:val="0"/>
        <w:rPr>
          <w:lang w:eastAsia="en-US"/>
        </w:rPr>
      </w:pPr>
      <w:proofErr w:type="gramStart"/>
      <w:r w:rsidRPr="00CF0335">
        <w:rPr>
          <w:lang w:eastAsia="en-US"/>
        </w:rPr>
        <w:t>require</w:t>
      </w:r>
      <w:proofErr w:type="gramEnd"/>
      <w:r w:rsidRPr="00CF0335">
        <w:rPr>
          <w:lang w:eastAsia="en-US"/>
        </w:rPr>
        <w:t xml:space="preserve"> the </w:t>
      </w:r>
      <w:r w:rsidR="002B0282" w:rsidRPr="00335E21">
        <w:rPr>
          <w:lang w:eastAsia="en-US"/>
        </w:rPr>
        <w:t xml:space="preserve">carriage service </w:t>
      </w:r>
      <w:r w:rsidRPr="00CF0335">
        <w:rPr>
          <w:lang w:eastAsia="en-US"/>
        </w:rPr>
        <w:t>provider to make changes to the draft terms of reference.</w:t>
      </w:r>
    </w:p>
    <w:p w:rsidR="00CF0335" w:rsidRPr="00335E21" w:rsidRDefault="00533DFF" w:rsidP="00335E21">
      <w:pPr>
        <w:pStyle w:val="ListParagraph"/>
        <w:numPr>
          <w:ilvl w:val="0"/>
          <w:numId w:val="92"/>
        </w:numPr>
        <w:spacing w:before="120"/>
        <w:ind w:left="851" w:hanging="425"/>
        <w:contextualSpacing w:val="0"/>
        <w:rPr>
          <w:lang w:eastAsia="en-US"/>
        </w:rPr>
      </w:pPr>
      <w:r w:rsidRPr="00335E21">
        <w:rPr>
          <w:lang w:eastAsia="en-US"/>
        </w:rPr>
        <w:t>W</w:t>
      </w:r>
      <w:r w:rsidR="00C85EC5" w:rsidRPr="00335E21">
        <w:rPr>
          <w:lang w:eastAsia="en-US"/>
        </w:rPr>
        <w:t xml:space="preserve">ithin 14 days </w:t>
      </w:r>
      <w:r w:rsidR="00DF734E">
        <w:rPr>
          <w:lang w:eastAsia="en-US"/>
        </w:rPr>
        <w:t>after</w:t>
      </w:r>
      <w:r w:rsidR="00DF734E" w:rsidRPr="00335E21">
        <w:rPr>
          <w:lang w:eastAsia="en-US"/>
        </w:rPr>
        <w:t xml:space="preserve"> </w:t>
      </w:r>
      <w:r w:rsidR="00C85EC5" w:rsidRPr="00335E21">
        <w:rPr>
          <w:lang w:eastAsia="en-US"/>
        </w:rPr>
        <w:t xml:space="preserve">receipt of a notice </w:t>
      </w:r>
      <w:r w:rsidR="00A203C3" w:rsidRPr="00335E21">
        <w:rPr>
          <w:lang w:eastAsia="en-US"/>
        </w:rPr>
        <w:t>given under paragraph (3)(</w:t>
      </w:r>
      <w:r w:rsidR="00AF0BC9" w:rsidRPr="00335E21">
        <w:rPr>
          <w:lang w:eastAsia="en-US"/>
        </w:rPr>
        <w:t>b</w:t>
      </w:r>
      <w:r w:rsidR="00A203C3" w:rsidRPr="00335E21">
        <w:rPr>
          <w:lang w:eastAsia="en-US"/>
        </w:rPr>
        <w:t xml:space="preserve">), </w:t>
      </w:r>
      <w:r w:rsidR="00C85EC5" w:rsidRPr="00335E21">
        <w:rPr>
          <w:lang w:eastAsia="en-US"/>
        </w:rPr>
        <w:t xml:space="preserve">or such longer period as the ACMA may </w:t>
      </w:r>
      <w:r w:rsidR="00BF7004" w:rsidRPr="00335E21">
        <w:rPr>
          <w:lang w:eastAsia="en-US"/>
        </w:rPr>
        <w:t>agree in writing</w:t>
      </w:r>
      <w:r w:rsidR="00C85EC5" w:rsidRPr="00335E21">
        <w:rPr>
          <w:lang w:eastAsia="en-US"/>
        </w:rPr>
        <w:t xml:space="preserve">, </w:t>
      </w:r>
      <w:r w:rsidR="0029249D" w:rsidRPr="00335E21">
        <w:rPr>
          <w:lang w:eastAsia="en-US"/>
        </w:rPr>
        <w:t xml:space="preserve">the </w:t>
      </w:r>
      <w:r w:rsidR="00C85EC5" w:rsidRPr="00335E21">
        <w:rPr>
          <w:lang w:eastAsia="en-US"/>
        </w:rPr>
        <w:t xml:space="preserve">carriage service provider must provide </w:t>
      </w:r>
      <w:r w:rsidR="00443C1A" w:rsidRPr="00335E21">
        <w:rPr>
          <w:lang w:eastAsia="en-US"/>
        </w:rPr>
        <w:t xml:space="preserve">to </w:t>
      </w:r>
      <w:r w:rsidR="00C85EC5" w:rsidRPr="00335E21">
        <w:rPr>
          <w:lang w:eastAsia="en-US"/>
        </w:rPr>
        <w:t>the ACMA revised terms of reference.</w:t>
      </w:r>
    </w:p>
    <w:p w:rsidR="00AF0BC9" w:rsidRPr="00335E21" w:rsidRDefault="00AF0BC9" w:rsidP="00335E21">
      <w:pPr>
        <w:pStyle w:val="ListParagraph"/>
        <w:numPr>
          <w:ilvl w:val="0"/>
          <w:numId w:val="92"/>
        </w:numPr>
        <w:spacing w:before="120"/>
        <w:ind w:left="851" w:hanging="425"/>
        <w:contextualSpacing w:val="0"/>
        <w:rPr>
          <w:lang w:eastAsia="en-US"/>
        </w:rPr>
      </w:pPr>
      <w:r w:rsidRPr="00335E21">
        <w:rPr>
          <w:lang w:eastAsia="en-US"/>
        </w:rPr>
        <w:t>The ACMA may</w:t>
      </w:r>
      <w:r w:rsidR="002B0282" w:rsidRPr="00335E21">
        <w:rPr>
          <w:lang w:eastAsia="en-US"/>
        </w:rPr>
        <w:t>, by written notice given to the carriage service provider</w:t>
      </w:r>
      <w:r w:rsidRPr="00335E21">
        <w:rPr>
          <w:lang w:eastAsia="en-US"/>
        </w:rPr>
        <w:t>:</w:t>
      </w:r>
    </w:p>
    <w:p w:rsidR="00CF0335" w:rsidRDefault="00AF0BC9" w:rsidP="00335E21">
      <w:pPr>
        <w:pStyle w:val="ListParagraph"/>
        <w:numPr>
          <w:ilvl w:val="0"/>
          <w:numId w:val="46"/>
        </w:numPr>
        <w:spacing w:before="120"/>
        <w:ind w:left="1276" w:hanging="425"/>
        <w:contextualSpacing w:val="0"/>
      </w:pPr>
      <w:r w:rsidRPr="00533DFF">
        <w:t xml:space="preserve">approve the </w:t>
      </w:r>
      <w:r>
        <w:t xml:space="preserve">revised </w:t>
      </w:r>
      <w:r w:rsidRPr="00533DFF">
        <w:t xml:space="preserve">terms of reference; </w:t>
      </w:r>
      <w:r>
        <w:t>or</w:t>
      </w:r>
    </w:p>
    <w:p w:rsidR="002B0282" w:rsidRPr="001B6154" w:rsidDel="002B0282" w:rsidRDefault="00AA32C6" w:rsidP="00335E21">
      <w:pPr>
        <w:pStyle w:val="ListParagraph"/>
        <w:numPr>
          <w:ilvl w:val="0"/>
          <w:numId w:val="46"/>
        </w:numPr>
        <w:spacing w:before="120"/>
        <w:ind w:left="1276" w:hanging="425"/>
        <w:contextualSpacing w:val="0"/>
      </w:pPr>
      <w:r>
        <w:rPr>
          <w:color w:val="000000" w:themeColor="text1"/>
        </w:rPr>
        <w:t>specify the terms of reference of the audit</w:t>
      </w:r>
      <w:r w:rsidR="001B6154">
        <w:rPr>
          <w:color w:val="000000" w:themeColor="text1"/>
        </w:rPr>
        <w:t>,</w:t>
      </w:r>
      <w:r w:rsidR="002B0282">
        <w:rPr>
          <w:color w:val="000000" w:themeColor="text1"/>
        </w:rPr>
        <w:t xml:space="preserve"> provided that it has formed the view on reasonable grounds that</w:t>
      </w:r>
      <w:r w:rsidR="00DF734E">
        <w:rPr>
          <w:color w:val="000000" w:themeColor="text1"/>
        </w:rPr>
        <w:t xml:space="preserve"> the</w:t>
      </w:r>
      <w:r w:rsidR="002B0282">
        <w:rPr>
          <w:color w:val="000000" w:themeColor="text1"/>
        </w:rPr>
        <w:t xml:space="preserve"> revised terms of reference do not give effect to the changes notified under paragraph (3)(b).</w:t>
      </w:r>
    </w:p>
    <w:p w:rsidR="00CF0335" w:rsidRDefault="00C85EC5" w:rsidP="00335E21">
      <w:pPr>
        <w:pStyle w:val="R2"/>
        <w:keepNext/>
        <w:numPr>
          <w:ilvl w:val="0"/>
          <w:numId w:val="92"/>
        </w:numPr>
        <w:tabs>
          <w:tab w:val="clear" w:pos="794"/>
          <w:tab w:val="right" w:pos="851"/>
        </w:tabs>
        <w:ind w:left="851" w:hanging="425"/>
        <w:rPr>
          <w:color w:val="000000" w:themeColor="text1"/>
        </w:rPr>
      </w:pPr>
      <w:r w:rsidRPr="00471239">
        <w:rPr>
          <w:color w:val="000000" w:themeColor="text1"/>
        </w:rPr>
        <w:t xml:space="preserve">The terms of reference of </w:t>
      </w:r>
      <w:r>
        <w:rPr>
          <w:color w:val="000000" w:themeColor="text1"/>
        </w:rPr>
        <w:t>the</w:t>
      </w:r>
      <w:r w:rsidRPr="00471239">
        <w:rPr>
          <w:color w:val="000000" w:themeColor="text1"/>
        </w:rPr>
        <w:t xml:space="preserve"> audit </w:t>
      </w:r>
      <w:r>
        <w:rPr>
          <w:color w:val="000000" w:themeColor="text1"/>
        </w:rPr>
        <w:t>must</w:t>
      </w:r>
      <w:r w:rsidRPr="00471239">
        <w:rPr>
          <w:color w:val="000000" w:themeColor="text1"/>
        </w:rPr>
        <w:t xml:space="preserve"> include:</w:t>
      </w:r>
    </w:p>
    <w:p w:rsidR="00CF0335" w:rsidRPr="00CF0335" w:rsidRDefault="00CF0335" w:rsidP="00335E21">
      <w:pPr>
        <w:pStyle w:val="ListParagraph"/>
        <w:numPr>
          <w:ilvl w:val="0"/>
          <w:numId w:val="43"/>
        </w:numPr>
        <w:spacing w:before="120"/>
        <w:ind w:left="1276" w:hanging="425"/>
        <w:contextualSpacing w:val="0"/>
      </w:pPr>
      <w:r w:rsidRPr="00CF0335">
        <w:t>the objectives of the audit;</w:t>
      </w:r>
    </w:p>
    <w:p w:rsidR="00CF0335" w:rsidRPr="00CF0335" w:rsidRDefault="00CF0335" w:rsidP="00335E21">
      <w:pPr>
        <w:pStyle w:val="ListParagraph"/>
        <w:numPr>
          <w:ilvl w:val="0"/>
          <w:numId w:val="43"/>
        </w:numPr>
        <w:spacing w:before="120"/>
        <w:ind w:left="1276" w:hanging="425"/>
        <w:contextualSpacing w:val="0"/>
      </w:pPr>
      <w:r w:rsidRPr="00CF0335">
        <w:t>the format of the auditor's opinion;</w:t>
      </w:r>
    </w:p>
    <w:p w:rsidR="00CF0335" w:rsidRPr="00CF0335" w:rsidRDefault="00CF0335" w:rsidP="00335E21">
      <w:pPr>
        <w:pStyle w:val="ListParagraph"/>
        <w:numPr>
          <w:ilvl w:val="0"/>
          <w:numId w:val="43"/>
        </w:numPr>
        <w:spacing w:before="120"/>
        <w:ind w:left="1276" w:hanging="425"/>
        <w:contextualSpacing w:val="0"/>
      </w:pPr>
      <w:r w:rsidRPr="00CF0335">
        <w:t>the auditing standard or standards in accordance with which the audit must be conducted;</w:t>
      </w:r>
      <w:r w:rsidR="00DF734E">
        <w:t xml:space="preserve"> and</w:t>
      </w:r>
    </w:p>
    <w:p w:rsidR="006919BE" w:rsidRDefault="00DF734E">
      <w:pPr>
        <w:pStyle w:val="ListParagraph"/>
        <w:keepNext/>
        <w:numPr>
          <w:ilvl w:val="0"/>
          <w:numId w:val="43"/>
        </w:numPr>
        <w:spacing w:before="120"/>
        <w:ind w:left="1276" w:hanging="425"/>
        <w:contextualSpacing w:val="0"/>
      </w:pPr>
      <w:proofErr w:type="gramStart"/>
      <w:r>
        <w:t>a</w:t>
      </w:r>
      <w:proofErr w:type="gramEnd"/>
      <w:r>
        <w:t xml:space="preserve"> timetable for the conduct of the audit, including the date by which the audit report </w:t>
      </w:r>
      <w:r w:rsidR="00D71CC1">
        <w:t>is to be provided by the auditor to the carriage service provider.</w:t>
      </w:r>
    </w:p>
    <w:p w:rsidR="00F476E6" w:rsidRDefault="0032332E" w:rsidP="00F476E6">
      <w:pPr>
        <w:pStyle w:val="ListParagraph"/>
        <w:spacing w:before="120"/>
        <w:ind w:left="1996" w:hanging="720"/>
        <w:contextualSpacing w:val="0"/>
        <w:rPr>
          <w:sz w:val="20"/>
          <w:szCs w:val="20"/>
        </w:rPr>
      </w:pPr>
      <w:r>
        <w:rPr>
          <w:i/>
          <w:sz w:val="20"/>
          <w:szCs w:val="20"/>
        </w:rPr>
        <w:t>Note</w:t>
      </w:r>
      <w:r w:rsidR="00D71CC1">
        <w:rPr>
          <w:i/>
          <w:sz w:val="20"/>
          <w:szCs w:val="20"/>
        </w:rPr>
        <w:t>:</w:t>
      </w:r>
      <w:r>
        <w:rPr>
          <w:sz w:val="20"/>
          <w:szCs w:val="20"/>
        </w:rPr>
        <w:tab/>
        <w:t>S</w:t>
      </w:r>
      <w:r w:rsidR="004015F0">
        <w:rPr>
          <w:sz w:val="20"/>
          <w:szCs w:val="20"/>
        </w:rPr>
        <w:t xml:space="preserve">ection </w:t>
      </w:r>
      <w:r w:rsidR="00F629CD">
        <w:rPr>
          <w:sz w:val="20"/>
          <w:szCs w:val="20"/>
        </w:rPr>
        <w:t>18</w:t>
      </w:r>
      <w:r>
        <w:rPr>
          <w:sz w:val="20"/>
          <w:szCs w:val="20"/>
        </w:rPr>
        <w:t xml:space="preserve"> sets out </w:t>
      </w:r>
      <w:r w:rsidR="00CE1AA5">
        <w:rPr>
          <w:sz w:val="20"/>
          <w:szCs w:val="20"/>
        </w:rPr>
        <w:t>requirement</w:t>
      </w:r>
      <w:r w:rsidR="004015F0">
        <w:rPr>
          <w:sz w:val="20"/>
          <w:szCs w:val="20"/>
        </w:rPr>
        <w:t>s relating to the</w:t>
      </w:r>
      <w:r>
        <w:rPr>
          <w:sz w:val="20"/>
          <w:szCs w:val="20"/>
        </w:rPr>
        <w:t xml:space="preserve"> </w:t>
      </w:r>
      <w:r w:rsidR="00CE1AA5">
        <w:rPr>
          <w:sz w:val="20"/>
          <w:szCs w:val="20"/>
        </w:rPr>
        <w:t>provi</w:t>
      </w:r>
      <w:r w:rsidR="004015F0">
        <w:rPr>
          <w:sz w:val="20"/>
          <w:szCs w:val="20"/>
        </w:rPr>
        <w:t>sion</w:t>
      </w:r>
      <w:r w:rsidR="00CE1AA5">
        <w:rPr>
          <w:sz w:val="20"/>
          <w:szCs w:val="20"/>
        </w:rPr>
        <w:t xml:space="preserve"> </w:t>
      </w:r>
      <w:r w:rsidR="004015F0">
        <w:rPr>
          <w:sz w:val="20"/>
          <w:szCs w:val="20"/>
        </w:rPr>
        <w:t xml:space="preserve">of </w:t>
      </w:r>
      <w:r>
        <w:rPr>
          <w:sz w:val="20"/>
          <w:szCs w:val="20"/>
        </w:rPr>
        <w:t>audit report</w:t>
      </w:r>
      <w:r w:rsidR="00FC717B">
        <w:rPr>
          <w:sz w:val="20"/>
          <w:szCs w:val="20"/>
        </w:rPr>
        <w:t>s</w:t>
      </w:r>
      <w:r>
        <w:rPr>
          <w:sz w:val="20"/>
          <w:szCs w:val="20"/>
        </w:rPr>
        <w:t xml:space="preserve"> </w:t>
      </w:r>
      <w:r w:rsidR="00CE1AA5">
        <w:rPr>
          <w:sz w:val="20"/>
          <w:szCs w:val="20"/>
        </w:rPr>
        <w:t>to the ACMA</w:t>
      </w:r>
      <w:r>
        <w:rPr>
          <w:sz w:val="20"/>
          <w:szCs w:val="20"/>
        </w:rPr>
        <w:t>.</w:t>
      </w:r>
    </w:p>
    <w:p w:rsidR="00CF0335" w:rsidRDefault="00C85EC5" w:rsidP="004616F6">
      <w:pPr>
        <w:pStyle w:val="R2"/>
        <w:keepNext/>
        <w:numPr>
          <w:ilvl w:val="0"/>
          <w:numId w:val="92"/>
        </w:numPr>
        <w:tabs>
          <w:tab w:val="clear" w:pos="794"/>
        </w:tabs>
        <w:ind w:left="851" w:hanging="425"/>
        <w:rPr>
          <w:color w:val="000000" w:themeColor="text1"/>
        </w:rPr>
      </w:pPr>
      <w:r>
        <w:rPr>
          <w:color w:val="000000" w:themeColor="text1"/>
        </w:rPr>
        <w:t>The objectives of the audit must</w:t>
      </w:r>
      <w:r w:rsidRPr="00471239">
        <w:rPr>
          <w:color w:val="000000" w:themeColor="text1"/>
        </w:rPr>
        <w:t xml:space="preserve"> include determining whether</w:t>
      </w:r>
      <w:r w:rsidR="0029249D" w:rsidRPr="0029249D">
        <w:rPr>
          <w:lang w:eastAsia="en-AU"/>
        </w:rPr>
        <w:t xml:space="preserve"> </w:t>
      </w:r>
      <w:r w:rsidR="0029249D" w:rsidRPr="00E90949">
        <w:rPr>
          <w:lang w:eastAsia="en-AU"/>
        </w:rPr>
        <w:t>the carriage service provider</w:t>
      </w:r>
      <w:r w:rsidRPr="00471239">
        <w:rPr>
          <w:color w:val="000000" w:themeColor="text1"/>
        </w:rPr>
        <w:t>:</w:t>
      </w:r>
    </w:p>
    <w:p w:rsidR="00CF0335" w:rsidRPr="00CF0335" w:rsidRDefault="00CF0335" w:rsidP="004616F6">
      <w:pPr>
        <w:pStyle w:val="ListParagraph"/>
        <w:numPr>
          <w:ilvl w:val="0"/>
          <w:numId w:val="44"/>
        </w:numPr>
        <w:spacing w:before="120"/>
        <w:ind w:left="1276" w:hanging="425"/>
        <w:contextualSpacing w:val="0"/>
      </w:pPr>
      <w:r w:rsidRPr="00CF0335">
        <w:t>has prepared any compliance reports required under section 13; and</w:t>
      </w:r>
    </w:p>
    <w:p w:rsidR="00CF0335" w:rsidRPr="00CF0335" w:rsidRDefault="00CF0335" w:rsidP="004616F6">
      <w:pPr>
        <w:pStyle w:val="ListParagraph"/>
        <w:numPr>
          <w:ilvl w:val="0"/>
          <w:numId w:val="44"/>
        </w:numPr>
        <w:spacing w:before="120"/>
        <w:ind w:left="1276" w:hanging="425"/>
        <w:contextualSpacing w:val="0"/>
      </w:pPr>
      <w:r w:rsidRPr="00CF0335">
        <w:t>kept any records of a kind described in Part 2 required under these Rules,</w:t>
      </w:r>
    </w:p>
    <w:p w:rsidR="00CF0335" w:rsidRDefault="00C85EC5" w:rsidP="004616F6">
      <w:pPr>
        <w:pStyle w:val="R2"/>
        <w:tabs>
          <w:tab w:val="clear" w:pos="794"/>
        </w:tabs>
        <w:spacing w:before="0"/>
        <w:ind w:left="1219" w:hanging="368"/>
        <w:rPr>
          <w:color w:val="000000" w:themeColor="text1"/>
        </w:rPr>
      </w:pPr>
      <w:proofErr w:type="gramStart"/>
      <w:r w:rsidRPr="00471239">
        <w:rPr>
          <w:color w:val="000000" w:themeColor="text1"/>
        </w:rPr>
        <w:t>in</w:t>
      </w:r>
      <w:proofErr w:type="gramEnd"/>
      <w:r w:rsidRPr="00471239">
        <w:rPr>
          <w:color w:val="000000" w:themeColor="text1"/>
        </w:rPr>
        <w:t xml:space="preserve"> accordance with</w:t>
      </w:r>
      <w:r>
        <w:rPr>
          <w:color w:val="000000" w:themeColor="text1"/>
        </w:rPr>
        <w:t xml:space="preserve"> </w:t>
      </w:r>
      <w:r w:rsidRPr="00471239">
        <w:rPr>
          <w:color w:val="000000" w:themeColor="text1"/>
        </w:rPr>
        <w:t>the requirements of the</w:t>
      </w:r>
      <w:r w:rsidR="00AE0F19">
        <w:rPr>
          <w:color w:val="000000" w:themeColor="text1"/>
        </w:rPr>
        <w:t>se</w:t>
      </w:r>
      <w:r w:rsidRPr="00471239">
        <w:rPr>
          <w:color w:val="000000" w:themeColor="text1"/>
        </w:rPr>
        <w:t xml:space="preserve"> Rules</w:t>
      </w:r>
      <w:r>
        <w:rPr>
          <w:color w:val="000000" w:themeColor="text1"/>
        </w:rPr>
        <w:t>.</w:t>
      </w:r>
    </w:p>
    <w:p w:rsidR="002B0282" w:rsidRDefault="004616F6" w:rsidP="004616F6">
      <w:pPr>
        <w:pStyle w:val="HR"/>
        <w:keepNext w:val="0"/>
        <w:ind w:left="426" w:hanging="426"/>
      </w:pPr>
      <w:bookmarkStart w:id="32" w:name="_Toc303846872"/>
      <w:bookmarkStart w:id="33" w:name="_Toc303869443"/>
      <w:r>
        <w:t>17</w:t>
      </w:r>
      <w:r>
        <w:tab/>
      </w:r>
      <w:r w:rsidR="00C85EC5">
        <w:t>Nomination of auditor</w:t>
      </w:r>
      <w:bookmarkEnd w:id="32"/>
      <w:bookmarkEnd w:id="33"/>
    </w:p>
    <w:p w:rsidR="002B0282" w:rsidRDefault="00A46EAB" w:rsidP="004616F6">
      <w:pPr>
        <w:pStyle w:val="R2"/>
        <w:numPr>
          <w:ilvl w:val="0"/>
          <w:numId w:val="45"/>
        </w:numPr>
        <w:tabs>
          <w:tab w:val="clear" w:pos="794"/>
        </w:tabs>
        <w:ind w:left="851" w:hanging="425"/>
        <w:rPr>
          <w:color w:val="000000" w:themeColor="text1"/>
        </w:rPr>
      </w:pPr>
      <w:r>
        <w:rPr>
          <w:color w:val="000000" w:themeColor="text1"/>
        </w:rPr>
        <w:t xml:space="preserve">This section applies to a carriage service provider that has received a notice under </w:t>
      </w:r>
      <w:r w:rsidR="0081134B">
        <w:rPr>
          <w:color w:val="000000" w:themeColor="text1"/>
        </w:rPr>
        <w:t xml:space="preserve">paragraph </w:t>
      </w:r>
      <w:r w:rsidR="0081134B" w:rsidRPr="00F970FF">
        <w:rPr>
          <w:color w:val="000000" w:themeColor="text1"/>
        </w:rPr>
        <w:t>16</w:t>
      </w:r>
      <w:r w:rsidR="0081134B">
        <w:rPr>
          <w:color w:val="000000" w:themeColor="text1"/>
        </w:rPr>
        <w:t>(3</w:t>
      </w:r>
      <w:proofErr w:type="gramStart"/>
      <w:r w:rsidR="0081134B">
        <w:rPr>
          <w:color w:val="000000" w:themeColor="text1"/>
        </w:rPr>
        <w:t>)(</w:t>
      </w:r>
      <w:proofErr w:type="gramEnd"/>
      <w:r w:rsidR="0081134B">
        <w:rPr>
          <w:color w:val="000000" w:themeColor="text1"/>
        </w:rPr>
        <w:t>a), 16(5)(a) or 16(5)(b)</w:t>
      </w:r>
      <w:r w:rsidR="0029249D">
        <w:rPr>
          <w:color w:val="000000" w:themeColor="text1"/>
        </w:rPr>
        <w:t>, as the case may be</w:t>
      </w:r>
      <w:r w:rsidR="0081134B">
        <w:rPr>
          <w:color w:val="000000" w:themeColor="text1"/>
        </w:rPr>
        <w:t>.</w:t>
      </w:r>
    </w:p>
    <w:p w:rsidR="002B0282" w:rsidRDefault="0081134B" w:rsidP="004616F6">
      <w:pPr>
        <w:pStyle w:val="R2"/>
        <w:numPr>
          <w:ilvl w:val="0"/>
          <w:numId w:val="45"/>
        </w:numPr>
        <w:tabs>
          <w:tab w:val="clear" w:pos="794"/>
        </w:tabs>
        <w:ind w:left="851" w:hanging="425"/>
        <w:rPr>
          <w:color w:val="000000" w:themeColor="text1"/>
        </w:rPr>
      </w:pPr>
      <w:r>
        <w:rPr>
          <w:color w:val="000000" w:themeColor="text1"/>
        </w:rPr>
        <w:t>The carriage service provider must, no later than 21 days after receipt of the notice, or such longer period as the ACMA may agree in writing, notify the ACMA</w:t>
      </w:r>
      <w:r w:rsidR="007557A1">
        <w:rPr>
          <w:color w:val="000000" w:themeColor="text1"/>
        </w:rPr>
        <w:t xml:space="preserve"> in writing</w:t>
      </w:r>
      <w:r>
        <w:rPr>
          <w:color w:val="000000" w:themeColor="text1"/>
        </w:rPr>
        <w:t xml:space="preserve"> of its choice of auditor.</w:t>
      </w:r>
    </w:p>
    <w:p w:rsidR="002B0282" w:rsidRDefault="00AA32C6" w:rsidP="004616F6">
      <w:pPr>
        <w:pStyle w:val="R2"/>
        <w:numPr>
          <w:ilvl w:val="0"/>
          <w:numId w:val="45"/>
        </w:numPr>
        <w:tabs>
          <w:tab w:val="clear" w:pos="794"/>
        </w:tabs>
        <w:ind w:left="851" w:hanging="425"/>
        <w:rPr>
          <w:color w:val="000000" w:themeColor="text1"/>
          <w:lang w:eastAsia="en-AU"/>
        </w:rPr>
      </w:pPr>
      <w:r>
        <w:rPr>
          <w:color w:val="000000" w:themeColor="text1"/>
        </w:rPr>
        <w:t xml:space="preserve">The ACMA </w:t>
      </w:r>
      <w:r>
        <w:rPr>
          <w:color w:val="000000" w:themeColor="text1"/>
          <w:lang w:eastAsia="en-AU"/>
        </w:rPr>
        <w:t>may, by written notice given to the carriage service provider:</w:t>
      </w:r>
    </w:p>
    <w:p w:rsidR="00CF0335" w:rsidRDefault="00AA32C6" w:rsidP="004616F6">
      <w:pPr>
        <w:pStyle w:val="ListParagraph"/>
        <w:numPr>
          <w:ilvl w:val="0"/>
          <w:numId w:val="49"/>
        </w:numPr>
        <w:spacing w:before="120"/>
        <w:ind w:left="1276" w:hanging="425"/>
        <w:contextualSpacing w:val="0"/>
        <w:rPr>
          <w:color w:val="000000" w:themeColor="text1"/>
        </w:rPr>
      </w:pPr>
      <w:r>
        <w:rPr>
          <w:color w:val="000000" w:themeColor="text1"/>
        </w:rPr>
        <w:t>approve the choice of auditor; or</w:t>
      </w:r>
    </w:p>
    <w:p w:rsidR="00CF0335" w:rsidRDefault="00AA32C6" w:rsidP="004616F6">
      <w:pPr>
        <w:pStyle w:val="ListParagraph"/>
        <w:numPr>
          <w:ilvl w:val="0"/>
          <w:numId w:val="49"/>
        </w:numPr>
        <w:spacing w:before="120"/>
        <w:ind w:left="1276" w:hanging="425"/>
        <w:contextualSpacing w:val="0"/>
        <w:rPr>
          <w:color w:val="000000" w:themeColor="text1"/>
        </w:rPr>
      </w:pPr>
      <w:proofErr w:type="gramStart"/>
      <w:r>
        <w:rPr>
          <w:color w:val="000000" w:themeColor="text1"/>
        </w:rPr>
        <w:t>reject</w:t>
      </w:r>
      <w:proofErr w:type="gramEnd"/>
      <w:r>
        <w:rPr>
          <w:color w:val="000000" w:themeColor="text1"/>
        </w:rPr>
        <w:t xml:space="preserve"> the choice of auditor.</w:t>
      </w:r>
    </w:p>
    <w:p w:rsidR="002B0282" w:rsidRDefault="00A46EAB" w:rsidP="004616F6">
      <w:pPr>
        <w:pStyle w:val="R2"/>
        <w:numPr>
          <w:ilvl w:val="0"/>
          <w:numId w:val="45"/>
        </w:numPr>
        <w:tabs>
          <w:tab w:val="clear" w:pos="794"/>
        </w:tabs>
        <w:ind w:left="851" w:hanging="425"/>
        <w:rPr>
          <w:color w:val="000000" w:themeColor="text1"/>
        </w:rPr>
      </w:pPr>
      <w:r>
        <w:rPr>
          <w:color w:val="000000" w:themeColor="text1"/>
        </w:rPr>
        <w:t>W</w:t>
      </w:r>
      <w:r w:rsidRPr="004D2883">
        <w:rPr>
          <w:color w:val="000000" w:themeColor="text1"/>
        </w:rPr>
        <w:t xml:space="preserve">ithin </w:t>
      </w:r>
      <w:r w:rsidRPr="007C031A">
        <w:rPr>
          <w:color w:val="000000" w:themeColor="text1"/>
        </w:rPr>
        <w:t>14 days</w:t>
      </w:r>
      <w:r w:rsidRPr="004D2883">
        <w:rPr>
          <w:color w:val="000000" w:themeColor="text1"/>
        </w:rPr>
        <w:t xml:space="preserve"> </w:t>
      </w:r>
      <w:r w:rsidR="00D71CC1">
        <w:rPr>
          <w:color w:val="000000" w:themeColor="text1"/>
        </w:rPr>
        <w:t>after</w:t>
      </w:r>
      <w:r w:rsidR="00D71CC1" w:rsidRPr="004D2883">
        <w:rPr>
          <w:color w:val="000000" w:themeColor="text1"/>
        </w:rPr>
        <w:t xml:space="preserve"> </w:t>
      </w:r>
      <w:r w:rsidRPr="004D2883">
        <w:rPr>
          <w:color w:val="000000" w:themeColor="text1"/>
        </w:rPr>
        <w:t xml:space="preserve">receipt of a notice </w:t>
      </w:r>
      <w:r>
        <w:rPr>
          <w:color w:val="000000" w:themeColor="text1"/>
        </w:rPr>
        <w:t>given under paragraph (</w:t>
      </w:r>
      <w:r w:rsidR="00B66B15">
        <w:rPr>
          <w:color w:val="000000" w:themeColor="text1"/>
        </w:rPr>
        <w:t>3</w:t>
      </w:r>
      <w:proofErr w:type="gramStart"/>
      <w:r>
        <w:rPr>
          <w:color w:val="000000" w:themeColor="text1"/>
        </w:rPr>
        <w:t>)(</w:t>
      </w:r>
      <w:proofErr w:type="gramEnd"/>
      <w:r>
        <w:rPr>
          <w:color w:val="000000" w:themeColor="text1"/>
        </w:rPr>
        <w:t>b), or such longer period as the ACMA may agree in writing</w:t>
      </w:r>
      <w:r w:rsidRPr="004D2883">
        <w:rPr>
          <w:color w:val="000000" w:themeColor="text1"/>
        </w:rPr>
        <w:t>,</w:t>
      </w:r>
      <w:r>
        <w:rPr>
          <w:color w:val="000000" w:themeColor="text1"/>
        </w:rPr>
        <w:t xml:space="preserve"> </w:t>
      </w:r>
      <w:r w:rsidR="007557A1">
        <w:rPr>
          <w:color w:val="000000" w:themeColor="text1"/>
        </w:rPr>
        <w:t>the</w:t>
      </w:r>
      <w:r>
        <w:rPr>
          <w:color w:val="000000" w:themeColor="text1"/>
        </w:rPr>
        <w:t xml:space="preserve"> carriage service provider must notify the ACMA</w:t>
      </w:r>
      <w:r w:rsidR="007557A1">
        <w:rPr>
          <w:color w:val="000000" w:themeColor="text1"/>
        </w:rPr>
        <w:t xml:space="preserve"> in writing</w:t>
      </w:r>
      <w:r>
        <w:rPr>
          <w:color w:val="000000" w:themeColor="text1"/>
        </w:rPr>
        <w:t xml:space="preserve"> of a new choice of auditor.</w:t>
      </w:r>
    </w:p>
    <w:p w:rsidR="002B0282" w:rsidRDefault="00A46EAB" w:rsidP="004616F6">
      <w:pPr>
        <w:pStyle w:val="R2"/>
        <w:numPr>
          <w:ilvl w:val="0"/>
          <w:numId w:val="45"/>
        </w:numPr>
        <w:tabs>
          <w:tab w:val="clear" w:pos="794"/>
        </w:tabs>
        <w:ind w:left="851" w:hanging="425"/>
        <w:rPr>
          <w:color w:val="000000" w:themeColor="text1"/>
          <w:lang w:eastAsia="en-AU"/>
        </w:rPr>
      </w:pPr>
      <w:r>
        <w:rPr>
          <w:color w:val="000000" w:themeColor="text1"/>
        </w:rPr>
        <w:t xml:space="preserve">The ACMA </w:t>
      </w:r>
      <w:r>
        <w:rPr>
          <w:color w:val="000000" w:themeColor="text1"/>
          <w:lang w:eastAsia="en-AU"/>
        </w:rPr>
        <w:t>may, by written notice given to the carriage service provider:</w:t>
      </w:r>
    </w:p>
    <w:p w:rsidR="00CF0335" w:rsidRDefault="00A46EAB" w:rsidP="004616F6">
      <w:pPr>
        <w:pStyle w:val="ListParagraph"/>
        <w:numPr>
          <w:ilvl w:val="0"/>
          <w:numId w:val="93"/>
        </w:numPr>
        <w:spacing w:before="120"/>
        <w:ind w:left="1276" w:hanging="425"/>
        <w:contextualSpacing w:val="0"/>
        <w:rPr>
          <w:color w:val="000000" w:themeColor="text1"/>
        </w:rPr>
      </w:pPr>
      <w:r>
        <w:rPr>
          <w:color w:val="000000" w:themeColor="text1"/>
        </w:rPr>
        <w:t>approve the new choice of auditor; or</w:t>
      </w:r>
    </w:p>
    <w:p w:rsidR="00CF0335" w:rsidRDefault="00A46EAB" w:rsidP="004616F6">
      <w:pPr>
        <w:pStyle w:val="ListParagraph"/>
        <w:numPr>
          <w:ilvl w:val="0"/>
          <w:numId w:val="93"/>
        </w:numPr>
        <w:spacing w:before="120"/>
        <w:ind w:left="1276" w:hanging="425"/>
        <w:contextualSpacing w:val="0"/>
        <w:rPr>
          <w:color w:val="000000" w:themeColor="text1"/>
        </w:rPr>
      </w:pPr>
      <w:proofErr w:type="gramStart"/>
      <w:r>
        <w:rPr>
          <w:color w:val="000000" w:themeColor="text1"/>
        </w:rPr>
        <w:t>require</w:t>
      </w:r>
      <w:proofErr w:type="gramEnd"/>
      <w:r>
        <w:rPr>
          <w:color w:val="000000" w:themeColor="text1"/>
        </w:rPr>
        <w:t xml:space="preserve"> the carriage service provider</w:t>
      </w:r>
      <w:r w:rsidRPr="00471239">
        <w:rPr>
          <w:color w:val="000000" w:themeColor="text1"/>
        </w:rPr>
        <w:t xml:space="preserve"> </w:t>
      </w:r>
      <w:r>
        <w:rPr>
          <w:color w:val="000000" w:themeColor="text1"/>
        </w:rPr>
        <w:t xml:space="preserve">to </w:t>
      </w:r>
      <w:r w:rsidRPr="00471239">
        <w:rPr>
          <w:color w:val="000000" w:themeColor="text1"/>
        </w:rPr>
        <w:t xml:space="preserve">contract with a </w:t>
      </w:r>
      <w:r>
        <w:rPr>
          <w:color w:val="000000" w:themeColor="text1"/>
        </w:rPr>
        <w:t>specified</w:t>
      </w:r>
      <w:r w:rsidRPr="00471239">
        <w:rPr>
          <w:color w:val="000000" w:themeColor="text1"/>
        </w:rPr>
        <w:t xml:space="preserve"> auditor or </w:t>
      </w:r>
      <w:r>
        <w:rPr>
          <w:color w:val="000000" w:themeColor="text1"/>
        </w:rPr>
        <w:t xml:space="preserve">any auditor from a specified </w:t>
      </w:r>
      <w:r w:rsidRPr="00471239">
        <w:rPr>
          <w:color w:val="000000" w:themeColor="text1"/>
        </w:rPr>
        <w:t>group of auditors</w:t>
      </w:r>
      <w:r>
        <w:rPr>
          <w:color w:val="000000" w:themeColor="text1"/>
        </w:rPr>
        <w:t>.</w:t>
      </w:r>
    </w:p>
    <w:p w:rsidR="002B0282" w:rsidRDefault="00CE1AA5" w:rsidP="004616F6">
      <w:pPr>
        <w:pStyle w:val="R2"/>
        <w:numPr>
          <w:ilvl w:val="0"/>
          <w:numId w:val="45"/>
        </w:numPr>
        <w:tabs>
          <w:tab w:val="clear" w:pos="794"/>
        </w:tabs>
        <w:ind w:left="851" w:hanging="425"/>
        <w:rPr>
          <w:color w:val="000000" w:themeColor="text1"/>
        </w:rPr>
      </w:pPr>
      <w:r w:rsidRPr="00471239">
        <w:rPr>
          <w:color w:val="000000" w:themeColor="text1"/>
        </w:rPr>
        <w:t xml:space="preserve">The </w:t>
      </w:r>
      <w:r>
        <w:rPr>
          <w:color w:val="000000" w:themeColor="text1"/>
        </w:rPr>
        <w:t>carriage service provider</w:t>
      </w:r>
      <w:r w:rsidRPr="00471239">
        <w:rPr>
          <w:color w:val="000000" w:themeColor="text1"/>
        </w:rPr>
        <w:t xml:space="preserve"> must take all necessary steps to ensure</w:t>
      </w:r>
      <w:r>
        <w:rPr>
          <w:color w:val="000000" w:themeColor="text1"/>
        </w:rPr>
        <w:t xml:space="preserve"> </w:t>
      </w:r>
      <w:r w:rsidRPr="00471239">
        <w:rPr>
          <w:color w:val="000000" w:themeColor="text1"/>
        </w:rPr>
        <w:t>that the auditor:</w:t>
      </w:r>
    </w:p>
    <w:p w:rsidR="00CE1AA5" w:rsidRDefault="00CE1AA5" w:rsidP="004616F6">
      <w:pPr>
        <w:pStyle w:val="ListParagraph"/>
        <w:numPr>
          <w:ilvl w:val="0"/>
          <w:numId w:val="57"/>
        </w:numPr>
        <w:spacing w:before="120"/>
        <w:ind w:left="1276" w:hanging="425"/>
        <w:contextualSpacing w:val="0"/>
        <w:rPr>
          <w:color w:val="000000" w:themeColor="text1"/>
        </w:rPr>
      </w:pPr>
      <w:r w:rsidRPr="00471239">
        <w:rPr>
          <w:color w:val="000000" w:themeColor="text1"/>
        </w:rPr>
        <w:t xml:space="preserve">complies with </w:t>
      </w:r>
      <w:r>
        <w:rPr>
          <w:color w:val="000000" w:themeColor="text1"/>
        </w:rPr>
        <w:t>the applicable</w:t>
      </w:r>
      <w:r w:rsidRPr="00471239">
        <w:rPr>
          <w:color w:val="000000" w:themeColor="text1"/>
        </w:rPr>
        <w:t xml:space="preserve"> terms of reference </w:t>
      </w:r>
      <w:r w:rsidR="00D71CC1">
        <w:rPr>
          <w:color w:val="000000" w:themeColor="text1"/>
        </w:rPr>
        <w:t>under</w:t>
      </w:r>
      <w:r w:rsidRPr="00471239">
        <w:rPr>
          <w:color w:val="000000" w:themeColor="text1"/>
        </w:rPr>
        <w:t xml:space="preserve"> </w:t>
      </w:r>
      <w:r>
        <w:rPr>
          <w:color w:val="000000" w:themeColor="text1"/>
        </w:rPr>
        <w:t xml:space="preserve">section </w:t>
      </w:r>
      <w:r w:rsidRPr="00F970FF">
        <w:rPr>
          <w:color w:val="000000" w:themeColor="text1"/>
        </w:rPr>
        <w:t>16</w:t>
      </w:r>
      <w:r w:rsidRPr="00471239">
        <w:rPr>
          <w:color w:val="000000" w:themeColor="text1"/>
        </w:rPr>
        <w:t>;</w:t>
      </w:r>
      <w:r>
        <w:rPr>
          <w:color w:val="000000" w:themeColor="text1"/>
        </w:rPr>
        <w:t xml:space="preserve"> and</w:t>
      </w:r>
    </w:p>
    <w:p w:rsidR="00CE1AA5" w:rsidRDefault="00CE1AA5" w:rsidP="004616F6">
      <w:pPr>
        <w:pStyle w:val="ListParagraph"/>
        <w:numPr>
          <w:ilvl w:val="0"/>
          <w:numId w:val="57"/>
        </w:numPr>
        <w:spacing w:before="120"/>
        <w:ind w:left="1276" w:hanging="425"/>
        <w:contextualSpacing w:val="0"/>
        <w:rPr>
          <w:color w:val="000000" w:themeColor="text1"/>
        </w:rPr>
      </w:pPr>
      <w:proofErr w:type="gramStart"/>
      <w:r w:rsidRPr="00471239">
        <w:rPr>
          <w:color w:val="000000" w:themeColor="text1"/>
        </w:rPr>
        <w:t>is</w:t>
      </w:r>
      <w:proofErr w:type="gramEnd"/>
      <w:r w:rsidRPr="00471239">
        <w:rPr>
          <w:color w:val="000000" w:themeColor="text1"/>
        </w:rPr>
        <w:t xml:space="preserve"> able to form an opinion in relation to the achievement of the objectives</w:t>
      </w:r>
      <w:r>
        <w:rPr>
          <w:color w:val="000000" w:themeColor="text1"/>
        </w:rPr>
        <w:t xml:space="preserve"> of the audit referred to in subsection 16(7)</w:t>
      </w:r>
      <w:r w:rsidRPr="00471239">
        <w:rPr>
          <w:color w:val="000000" w:themeColor="text1"/>
        </w:rPr>
        <w:t>.</w:t>
      </w:r>
    </w:p>
    <w:p w:rsidR="00C85EC5" w:rsidRDefault="00C85EC5" w:rsidP="004616F6">
      <w:pPr>
        <w:pStyle w:val="HR"/>
        <w:ind w:left="426" w:hanging="426"/>
      </w:pPr>
      <w:bookmarkStart w:id="34" w:name="_Toc303846874"/>
      <w:bookmarkStart w:id="35" w:name="_Toc303869444"/>
      <w:r>
        <w:t>1</w:t>
      </w:r>
      <w:r w:rsidR="007D6C1E">
        <w:t>8</w:t>
      </w:r>
      <w:r>
        <w:tab/>
      </w:r>
      <w:r w:rsidR="007557A1">
        <w:t>R</w:t>
      </w:r>
      <w:r>
        <w:t>equirement to</w:t>
      </w:r>
      <w:r w:rsidR="007557A1">
        <w:t xml:space="preserve"> provide audit report to</w:t>
      </w:r>
      <w:r>
        <w:t xml:space="preserve"> the ACMA</w:t>
      </w:r>
      <w:bookmarkEnd w:id="34"/>
      <w:bookmarkEnd w:id="35"/>
    </w:p>
    <w:p w:rsidR="00CF0335" w:rsidRDefault="003D5467" w:rsidP="004616F6">
      <w:pPr>
        <w:pStyle w:val="R2"/>
        <w:keepNext/>
        <w:numPr>
          <w:ilvl w:val="0"/>
          <w:numId w:val="59"/>
        </w:numPr>
        <w:tabs>
          <w:tab w:val="clear" w:pos="794"/>
        </w:tabs>
        <w:ind w:left="851" w:hanging="425"/>
        <w:rPr>
          <w:color w:val="000000" w:themeColor="text1"/>
        </w:rPr>
      </w:pPr>
      <w:r>
        <w:rPr>
          <w:color w:val="000000" w:themeColor="text1"/>
        </w:rPr>
        <w:t>This section applies to a carriage service provider if sections 15, 16 and 17 apply to the provider.</w:t>
      </w:r>
    </w:p>
    <w:p w:rsidR="00F42A5D" w:rsidRDefault="00E24746" w:rsidP="004616F6">
      <w:pPr>
        <w:pStyle w:val="R2"/>
        <w:keepNext/>
        <w:numPr>
          <w:ilvl w:val="0"/>
          <w:numId w:val="59"/>
        </w:numPr>
        <w:tabs>
          <w:tab w:val="clear" w:pos="794"/>
        </w:tabs>
        <w:ind w:left="851" w:hanging="425"/>
        <w:rPr>
          <w:color w:val="000000" w:themeColor="text1"/>
        </w:rPr>
      </w:pPr>
      <w:r>
        <w:rPr>
          <w:color w:val="000000" w:themeColor="text1"/>
        </w:rPr>
        <w:t>Upon receipt by the carriage service provider of the audit report from the auditor, the provider must:</w:t>
      </w:r>
    </w:p>
    <w:p w:rsidR="00F42A5D" w:rsidRDefault="00E24746" w:rsidP="004616F6">
      <w:pPr>
        <w:pStyle w:val="ListParagraph"/>
        <w:numPr>
          <w:ilvl w:val="0"/>
          <w:numId w:val="58"/>
        </w:numPr>
        <w:spacing w:before="120"/>
        <w:ind w:left="1276" w:hanging="425"/>
        <w:contextualSpacing w:val="0"/>
        <w:rPr>
          <w:color w:val="000000" w:themeColor="text1"/>
        </w:rPr>
      </w:pPr>
      <w:r>
        <w:rPr>
          <w:color w:val="000000" w:themeColor="text1"/>
        </w:rPr>
        <w:t>within 14 days; or</w:t>
      </w:r>
    </w:p>
    <w:p w:rsidR="00F42A5D" w:rsidRDefault="00E24746" w:rsidP="004616F6">
      <w:pPr>
        <w:pStyle w:val="ListParagraph"/>
        <w:numPr>
          <w:ilvl w:val="0"/>
          <w:numId w:val="58"/>
        </w:numPr>
        <w:spacing w:before="120"/>
        <w:ind w:left="1276" w:hanging="425"/>
        <w:contextualSpacing w:val="0"/>
        <w:rPr>
          <w:color w:val="000000" w:themeColor="text1"/>
        </w:rPr>
      </w:pPr>
      <w:r>
        <w:rPr>
          <w:color w:val="000000" w:themeColor="text1"/>
        </w:rPr>
        <w:t>or such longer period as the ACMA may agree in writing,</w:t>
      </w:r>
    </w:p>
    <w:p w:rsidR="00F42A5D" w:rsidRDefault="00E24746" w:rsidP="004616F6">
      <w:pPr>
        <w:spacing w:before="120"/>
        <w:ind w:left="1276" w:hanging="425"/>
        <w:rPr>
          <w:color w:val="000000" w:themeColor="text1"/>
        </w:rPr>
      </w:pPr>
      <w:proofErr w:type="gramStart"/>
      <w:r>
        <w:rPr>
          <w:color w:val="000000" w:themeColor="text1"/>
        </w:rPr>
        <w:t>give</w:t>
      </w:r>
      <w:proofErr w:type="gramEnd"/>
      <w:r>
        <w:rPr>
          <w:color w:val="000000" w:themeColor="text1"/>
        </w:rPr>
        <w:t xml:space="preserve"> the audit report to the ACMA.</w:t>
      </w:r>
    </w:p>
    <w:p w:rsidR="00CF0335" w:rsidRDefault="00082BF0" w:rsidP="004616F6">
      <w:pPr>
        <w:pStyle w:val="R2"/>
        <w:keepNext/>
        <w:numPr>
          <w:ilvl w:val="0"/>
          <w:numId w:val="59"/>
        </w:numPr>
        <w:tabs>
          <w:tab w:val="clear" w:pos="794"/>
        </w:tabs>
        <w:ind w:left="851" w:hanging="425"/>
        <w:rPr>
          <w:color w:val="000000" w:themeColor="text1"/>
        </w:rPr>
      </w:pPr>
      <w:r w:rsidRPr="00471239">
        <w:rPr>
          <w:color w:val="000000" w:themeColor="text1"/>
        </w:rPr>
        <w:t xml:space="preserve">The </w:t>
      </w:r>
      <w:r>
        <w:rPr>
          <w:color w:val="000000" w:themeColor="text1"/>
        </w:rPr>
        <w:t>carriage service provider</w:t>
      </w:r>
      <w:r w:rsidRPr="00471239">
        <w:rPr>
          <w:color w:val="000000" w:themeColor="text1"/>
        </w:rPr>
        <w:t xml:space="preserve"> must take all necessary steps to ensure</w:t>
      </w:r>
      <w:r>
        <w:rPr>
          <w:color w:val="000000" w:themeColor="text1"/>
        </w:rPr>
        <w:t xml:space="preserve"> </w:t>
      </w:r>
      <w:r w:rsidRPr="00471239">
        <w:rPr>
          <w:color w:val="000000" w:themeColor="text1"/>
        </w:rPr>
        <w:t>that the auditor</w:t>
      </w:r>
      <w:r w:rsidR="00CE1AA5">
        <w:rPr>
          <w:color w:val="000000" w:themeColor="text1"/>
        </w:rPr>
        <w:t xml:space="preserve"> </w:t>
      </w:r>
      <w:r w:rsidR="00CE1AA5" w:rsidRPr="00471239">
        <w:rPr>
          <w:color w:val="000000" w:themeColor="text1"/>
        </w:rPr>
        <w:t xml:space="preserve">provides an audit report </w:t>
      </w:r>
      <w:r w:rsidR="00CE1AA5">
        <w:rPr>
          <w:color w:val="000000" w:themeColor="text1"/>
        </w:rPr>
        <w:t>meeting the description in</w:t>
      </w:r>
      <w:r w:rsidR="00CE1AA5" w:rsidRPr="00471239">
        <w:rPr>
          <w:color w:val="000000" w:themeColor="text1"/>
        </w:rPr>
        <w:t xml:space="preserve"> </w:t>
      </w:r>
      <w:r w:rsidR="00CE1AA5">
        <w:rPr>
          <w:color w:val="000000" w:themeColor="text1"/>
        </w:rPr>
        <w:t>subsection</w:t>
      </w:r>
      <w:r w:rsidR="00CE1AA5" w:rsidRPr="00471239">
        <w:rPr>
          <w:color w:val="000000" w:themeColor="text1"/>
        </w:rPr>
        <w:t xml:space="preserve"> (</w:t>
      </w:r>
      <w:r w:rsidR="00CE1AA5">
        <w:rPr>
          <w:color w:val="000000" w:themeColor="text1"/>
        </w:rPr>
        <w:t>4).</w:t>
      </w:r>
    </w:p>
    <w:p w:rsidR="00F42A5D" w:rsidRDefault="00082BF0" w:rsidP="004616F6">
      <w:pPr>
        <w:pStyle w:val="R2"/>
        <w:keepNext/>
        <w:numPr>
          <w:ilvl w:val="0"/>
          <w:numId w:val="59"/>
        </w:numPr>
        <w:tabs>
          <w:tab w:val="clear" w:pos="794"/>
        </w:tabs>
        <w:ind w:left="851" w:hanging="425"/>
        <w:rPr>
          <w:color w:val="000000" w:themeColor="text1"/>
        </w:rPr>
      </w:pPr>
      <w:r>
        <w:rPr>
          <w:color w:val="000000" w:themeColor="text1"/>
        </w:rPr>
        <w:t xml:space="preserve">For the purposes of this section, an </w:t>
      </w:r>
      <w:r>
        <w:rPr>
          <w:b/>
          <w:i/>
          <w:color w:val="000000" w:themeColor="text1"/>
        </w:rPr>
        <w:t xml:space="preserve">audit report </w:t>
      </w:r>
      <w:r w:rsidRPr="00471239">
        <w:rPr>
          <w:color w:val="000000" w:themeColor="text1"/>
        </w:rPr>
        <w:t>must include:</w:t>
      </w:r>
    </w:p>
    <w:p w:rsidR="00CF0335" w:rsidRDefault="00082BF0" w:rsidP="004616F6">
      <w:pPr>
        <w:pStyle w:val="ListParagraph"/>
        <w:numPr>
          <w:ilvl w:val="0"/>
          <w:numId w:val="56"/>
        </w:numPr>
        <w:spacing w:before="120"/>
        <w:ind w:left="1276" w:hanging="425"/>
        <w:contextualSpacing w:val="0"/>
        <w:rPr>
          <w:color w:val="000000" w:themeColor="text1"/>
        </w:rPr>
      </w:pPr>
      <w:r w:rsidRPr="00471239">
        <w:rPr>
          <w:color w:val="000000" w:themeColor="text1"/>
        </w:rPr>
        <w:t>an audit plan outlining the scope and coverage of the audit;</w:t>
      </w:r>
    </w:p>
    <w:p w:rsidR="00CF0335" w:rsidRDefault="00082BF0" w:rsidP="004616F6">
      <w:pPr>
        <w:pStyle w:val="ListParagraph"/>
        <w:numPr>
          <w:ilvl w:val="0"/>
          <w:numId w:val="56"/>
        </w:numPr>
        <w:spacing w:before="120"/>
        <w:ind w:left="1276" w:hanging="425"/>
        <w:contextualSpacing w:val="0"/>
        <w:rPr>
          <w:color w:val="000000" w:themeColor="text1"/>
        </w:rPr>
      </w:pPr>
      <w:r w:rsidRPr="00471239">
        <w:rPr>
          <w:color w:val="000000" w:themeColor="text1"/>
        </w:rPr>
        <w:t>an audit memorandum stating how the audit scope and objectives have</w:t>
      </w:r>
      <w:r>
        <w:rPr>
          <w:color w:val="000000" w:themeColor="text1"/>
        </w:rPr>
        <w:t xml:space="preserve"> </w:t>
      </w:r>
      <w:r w:rsidRPr="00471239">
        <w:rPr>
          <w:color w:val="000000" w:themeColor="text1"/>
        </w:rPr>
        <w:t>been applied; and</w:t>
      </w:r>
    </w:p>
    <w:p w:rsidR="00CF0335" w:rsidRDefault="00082BF0" w:rsidP="004616F6">
      <w:pPr>
        <w:pStyle w:val="ListParagraph"/>
        <w:numPr>
          <w:ilvl w:val="0"/>
          <w:numId w:val="56"/>
        </w:numPr>
        <w:spacing w:before="120"/>
        <w:ind w:left="1276" w:hanging="425"/>
        <w:contextualSpacing w:val="0"/>
        <w:rPr>
          <w:color w:val="000000" w:themeColor="text1"/>
        </w:rPr>
      </w:pPr>
      <w:r w:rsidRPr="00471239">
        <w:rPr>
          <w:color w:val="000000" w:themeColor="text1"/>
        </w:rPr>
        <w:t xml:space="preserve">an expression of opinion as to whether the </w:t>
      </w:r>
      <w:r>
        <w:rPr>
          <w:color w:val="000000" w:themeColor="text1"/>
        </w:rPr>
        <w:t>carriage service provider</w:t>
      </w:r>
      <w:r w:rsidRPr="00471239">
        <w:rPr>
          <w:color w:val="000000" w:themeColor="text1"/>
        </w:rPr>
        <w:t xml:space="preserve"> has</w:t>
      </w:r>
      <w:r>
        <w:rPr>
          <w:color w:val="000000" w:themeColor="text1"/>
        </w:rPr>
        <w:t>:</w:t>
      </w:r>
    </w:p>
    <w:p w:rsidR="00CF0335" w:rsidRDefault="00082BF0" w:rsidP="004616F6">
      <w:pPr>
        <w:pStyle w:val="ListParagraph"/>
        <w:numPr>
          <w:ilvl w:val="1"/>
          <w:numId w:val="94"/>
        </w:numPr>
        <w:spacing w:before="120"/>
        <w:ind w:left="1985" w:hanging="709"/>
        <w:contextualSpacing w:val="0"/>
      </w:pPr>
      <w:r w:rsidRPr="00AE0F19">
        <w:t>prepared any compliance reports required under section 13; and</w:t>
      </w:r>
    </w:p>
    <w:p w:rsidR="00CF0335" w:rsidRDefault="00082BF0" w:rsidP="004616F6">
      <w:pPr>
        <w:pStyle w:val="ListParagraph"/>
        <w:numPr>
          <w:ilvl w:val="1"/>
          <w:numId w:val="94"/>
        </w:numPr>
        <w:spacing w:before="120"/>
        <w:ind w:left="1985" w:hanging="709"/>
        <w:contextualSpacing w:val="0"/>
      </w:pPr>
      <w:r w:rsidRPr="00AE0F19">
        <w:t>kept any records of a kind described in Part 2 required under these Rules,</w:t>
      </w:r>
    </w:p>
    <w:p w:rsidR="00082BF0" w:rsidRPr="003D5467" w:rsidRDefault="00082BF0" w:rsidP="004616F6">
      <w:pPr>
        <w:pStyle w:val="R2"/>
        <w:spacing w:before="0"/>
        <w:ind w:left="1701" w:hanging="425"/>
        <w:rPr>
          <w:color w:val="000000" w:themeColor="text1"/>
        </w:rPr>
      </w:pPr>
      <w:proofErr w:type="gramStart"/>
      <w:r w:rsidRPr="00471239">
        <w:rPr>
          <w:color w:val="000000" w:themeColor="text1"/>
        </w:rPr>
        <w:t>in</w:t>
      </w:r>
      <w:proofErr w:type="gramEnd"/>
      <w:r w:rsidRPr="00471239">
        <w:rPr>
          <w:color w:val="000000" w:themeColor="text1"/>
        </w:rPr>
        <w:t xml:space="preserve"> accordance with</w:t>
      </w:r>
      <w:r>
        <w:rPr>
          <w:color w:val="000000" w:themeColor="text1"/>
        </w:rPr>
        <w:t xml:space="preserve"> </w:t>
      </w:r>
      <w:r w:rsidRPr="00471239">
        <w:rPr>
          <w:color w:val="000000" w:themeColor="text1"/>
        </w:rPr>
        <w:t>the requirements of the</w:t>
      </w:r>
      <w:r>
        <w:rPr>
          <w:color w:val="000000" w:themeColor="text1"/>
        </w:rPr>
        <w:t>se</w:t>
      </w:r>
      <w:r w:rsidRPr="00471239">
        <w:rPr>
          <w:color w:val="000000" w:themeColor="text1"/>
        </w:rPr>
        <w:t xml:space="preserve"> Rules</w:t>
      </w:r>
      <w:r>
        <w:rPr>
          <w:color w:val="000000" w:themeColor="text1"/>
        </w:rPr>
        <w:t>.</w:t>
      </w:r>
    </w:p>
    <w:p w:rsidR="00640CF4" w:rsidRDefault="00640CF4">
      <w:pPr>
        <w:spacing w:after="200" w:line="276" w:lineRule="auto"/>
        <w:rPr>
          <w:lang w:eastAsia="en-US"/>
        </w:rPr>
      </w:pPr>
      <w:r>
        <w:br w:type="page"/>
      </w:r>
    </w:p>
    <w:p w:rsidR="002273B5" w:rsidRDefault="002273B5" w:rsidP="002273B5">
      <w:pPr>
        <w:pStyle w:val="HR"/>
        <w:ind w:left="0" w:firstLine="0"/>
        <w:rPr>
          <w:sz w:val="36"/>
          <w:szCs w:val="36"/>
        </w:rPr>
      </w:pPr>
      <w:bookmarkStart w:id="36" w:name="_Toc303869445"/>
      <w:r>
        <w:rPr>
          <w:sz w:val="36"/>
          <w:szCs w:val="36"/>
        </w:rPr>
        <w:t>Schedule 1</w:t>
      </w:r>
      <w:r w:rsidRPr="0008507C">
        <w:rPr>
          <w:sz w:val="36"/>
          <w:szCs w:val="36"/>
        </w:rPr>
        <w:tab/>
      </w:r>
      <w:r>
        <w:rPr>
          <w:sz w:val="36"/>
          <w:szCs w:val="36"/>
        </w:rPr>
        <w:t>Information to be included in a compliance report</w:t>
      </w:r>
      <w:bookmarkEnd w:id="36"/>
    </w:p>
    <w:p w:rsidR="002273B5" w:rsidRPr="002273B5" w:rsidRDefault="002273B5" w:rsidP="002273B5">
      <w:pPr>
        <w:rPr>
          <w:lang w:eastAsia="en-US"/>
        </w:rPr>
      </w:pPr>
    </w:p>
    <w:p w:rsidR="00D737BC" w:rsidRPr="004616F6" w:rsidRDefault="009D5A53" w:rsidP="004616F6">
      <w:pPr>
        <w:pStyle w:val="ListParagraph"/>
        <w:numPr>
          <w:ilvl w:val="0"/>
          <w:numId w:val="20"/>
        </w:numPr>
        <w:spacing w:before="360"/>
        <w:ind w:left="426" w:hanging="426"/>
        <w:contextualSpacing w:val="0"/>
        <w:rPr>
          <w:rFonts w:ascii="Arial" w:hAnsi="Arial" w:cs="Arial"/>
          <w:b/>
        </w:rPr>
      </w:pPr>
      <w:r w:rsidRPr="004616F6">
        <w:rPr>
          <w:rFonts w:ascii="Arial" w:hAnsi="Arial" w:cs="Arial"/>
          <w:b/>
        </w:rPr>
        <w:t xml:space="preserve">Information </w:t>
      </w:r>
      <w:r w:rsidR="00041871" w:rsidRPr="004616F6">
        <w:rPr>
          <w:rFonts w:ascii="Arial" w:hAnsi="Arial" w:cs="Arial"/>
          <w:b/>
        </w:rPr>
        <w:t>relating to</w:t>
      </w:r>
      <w:r w:rsidRPr="004616F6">
        <w:rPr>
          <w:rFonts w:ascii="Arial" w:hAnsi="Arial" w:cs="Arial"/>
          <w:b/>
        </w:rPr>
        <w:t xml:space="preserve"> the c</w:t>
      </w:r>
      <w:r w:rsidR="00D737BC" w:rsidRPr="004616F6">
        <w:rPr>
          <w:rFonts w:ascii="Arial" w:hAnsi="Arial" w:cs="Arial"/>
          <w:b/>
        </w:rPr>
        <w:t xml:space="preserve">arriage service provider </w:t>
      </w:r>
      <w:r w:rsidRPr="004616F6">
        <w:rPr>
          <w:rFonts w:ascii="Arial" w:hAnsi="Arial" w:cs="Arial"/>
          <w:b/>
        </w:rPr>
        <w:t xml:space="preserve">and </w:t>
      </w:r>
      <w:r w:rsidR="00D737BC" w:rsidRPr="004616F6">
        <w:rPr>
          <w:rFonts w:ascii="Arial" w:hAnsi="Arial" w:cs="Arial"/>
          <w:b/>
        </w:rPr>
        <w:t xml:space="preserve">reporting </w:t>
      </w:r>
      <w:r w:rsidRPr="004616F6">
        <w:rPr>
          <w:rFonts w:ascii="Arial" w:hAnsi="Arial" w:cs="Arial"/>
          <w:b/>
        </w:rPr>
        <w:t>period</w:t>
      </w:r>
    </w:p>
    <w:p w:rsidR="00D737BC" w:rsidRDefault="009D5A53" w:rsidP="004616F6">
      <w:pPr>
        <w:pStyle w:val="ListParagraph"/>
        <w:spacing w:before="120"/>
        <w:ind w:left="426"/>
        <w:contextualSpacing w:val="0"/>
        <w:rPr>
          <w:lang w:eastAsia="en-US"/>
        </w:rPr>
      </w:pPr>
      <w:r>
        <w:rPr>
          <w:lang w:eastAsia="en-US"/>
        </w:rPr>
        <w:t>A compliance report must include</w:t>
      </w:r>
      <w:r w:rsidR="00D737BC">
        <w:rPr>
          <w:lang w:eastAsia="en-US"/>
        </w:rPr>
        <w:t>:</w:t>
      </w:r>
    </w:p>
    <w:p w:rsidR="00D737BC" w:rsidRDefault="00D737BC" w:rsidP="004616F6">
      <w:pPr>
        <w:pStyle w:val="ListParagraph"/>
        <w:numPr>
          <w:ilvl w:val="0"/>
          <w:numId w:val="21"/>
        </w:numPr>
        <w:spacing w:before="120"/>
        <w:ind w:left="851" w:hanging="425"/>
        <w:contextualSpacing w:val="0"/>
      </w:pPr>
      <w:r>
        <w:t>the name of the carriage service provider;</w:t>
      </w:r>
    </w:p>
    <w:p w:rsidR="009D5A53" w:rsidRDefault="009D5A53" w:rsidP="004616F6">
      <w:pPr>
        <w:pStyle w:val="ListParagraph"/>
        <w:numPr>
          <w:ilvl w:val="0"/>
          <w:numId w:val="21"/>
        </w:numPr>
        <w:spacing w:before="120"/>
        <w:ind w:left="851" w:hanging="425"/>
        <w:contextualSpacing w:val="0"/>
      </w:pPr>
      <w:r>
        <w:t>the ABN of the carriage service provider;</w:t>
      </w:r>
    </w:p>
    <w:p w:rsidR="00D737BC" w:rsidRDefault="00D737BC" w:rsidP="004616F6">
      <w:pPr>
        <w:pStyle w:val="ListParagraph"/>
        <w:numPr>
          <w:ilvl w:val="0"/>
          <w:numId w:val="21"/>
        </w:numPr>
        <w:spacing w:before="120"/>
        <w:ind w:left="851" w:hanging="425"/>
        <w:contextualSpacing w:val="0"/>
      </w:pPr>
      <w:r>
        <w:t xml:space="preserve">the date </w:t>
      </w:r>
      <w:r w:rsidR="009D5A53">
        <w:t>on</w:t>
      </w:r>
      <w:r>
        <w:t xml:space="preserve"> which the compliance report</w:t>
      </w:r>
      <w:r w:rsidR="009D5A53">
        <w:t xml:space="preserve"> is prepared</w:t>
      </w:r>
      <w:r>
        <w:t>;</w:t>
      </w:r>
      <w:r w:rsidR="009D5A53">
        <w:t xml:space="preserve"> </w:t>
      </w:r>
    </w:p>
    <w:p w:rsidR="00D04D8D" w:rsidRDefault="00D737BC" w:rsidP="004616F6">
      <w:pPr>
        <w:pStyle w:val="ListParagraph"/>
        <w:numPr>
          <w:ilvl w:val="0"/>
          <w:numId w:val="21"/>
        </w:numPr>
        <w:spacing w:before="120"/>
        <w:ind w:left="851" w:hanging="425"/>
        <w:contextualSpacing w:val="0"/>
      </w:pPr>
      <w:r>
        <w:t>the</w:t>
      </w:r>
      <w:r w:rsidR="009D5A53">
        <w:t xml:space="preserve"> </w:t>
      </w:r>
      <w:r w:rsidR="00F3633D">
        <w:t xml:space="preserve">start and end </w:t>
      </w:r>
      <w:r w:rsidR="009D5A53">
        <w:t xml:space="preserve">dates </w:t>
      </w:r>
      <w:r w:rsidR="00F3633D">
        <w:t>of</w:t>
      </w:r>
      <w:r w:rsidR="009D5A53">
        <w:t xml:space="preserve"> the reporting period</w:t>
      </w:r>
      <w:r w:rsidR="00D04D8D">
        <w:t>; and</w:t>
      </w:r>
    </w:p>
    <w:p w:rsidR="009D5A53" w:rsidRDefault="00D04D8D" w:rsidP="004616F6">
      <w:pPr>
        <w:pStyle w:val="ListParagraph"/>
        <w:numPr>
          <w:ilvl w:val="0"/>
          <w:numId w:val="21"/>
        </w:numPr>
        <w:spacing w:before="120"/>
        <w:ind w:left="851" w:hanging="425"/>
        <w:contextualSpacing w:val="0"/>
      </w:pPr>
      <w:proofErr w:type="gramStart"/>
      <w:r>
        <w:t>the</w:t>
      </w:r>
      <w:proofErr w:type="gramEnd"/>
      <w:r>
        <w:t xml:space="preserve"> </w:t>
      </w:r>
      <w:r w:rsidR="00F3633D">
        <w:t xml:space="preserve">start and end </w:t>
      </w:r>
      <w:r w:rsidR="008A3AD6">
        <w:t xml:space="preserve">dates </w:t>
      </w:r>
      <w:r w:rsidR="00F3633D">
        <w:t>of</w:t>
      </w:r>
      <w:r w:rsidR="008A3AD6">
        <w:t xml:space="preserve"> the </w:t>
      </w:r>
      <w:r>
        <w:t>benchmark period</w:t>
      </w:r>
      <w:r w:rsidR="009D5A53">
        <w:t>.</w:t>
      </w:r>
    </w:p>
    <w:p w:rsidR="00142689" w:rsidRDefault="00C771F6" w:rsidP="004616F6">
      <w:pPr>
        <w:pStyle w:val="ListParagraph"/>
        <w:numPr>
          <w:ilvl w:val="0"/>
          <w:numId w:val="20"/>
        </w:numPr>
        <w:spacing w:before="360"/>
        <w:ind w:left="426" w:hanging="426"/>
        <w:contextualSpacing w:val="0"/>
        <w:rPr>
          <w:rFonts w:ascii="Arial" w:hAnsi="Arial" w:cs="Arial"/>
          <w:b/>
        </w:rPr>
      </w:pPr>
      <w:r w:rsidRPr="00D74117">
        <w:rPr>
          <w:rFonts w:ascii="Arial" w:hAnsi="Arial" w:cs="Arial"/>
          <w:b/>
        </w:rPr>
        <w:t xml:space="preserve">Information </w:t>
      </w:r>
      <w:r w:rsidR="00041871" w:rsidRPr="00D74117">
        <w:rPr>
          <w:rFonts w:ascii="Arial" w:hAnsi="Arial" w:cs="Arial"/>
          <w:b/>
        </w:rPr>
        <w:t>relating to</w:t>
      </w:r>
      <w:r w:rsidRPr="00D74117">
        <w:rPr>
          <w:rFonts w:ascii="Arial" w:hAnsi="Arial" w:cs="Arial"/>
          <w:b/>
        </w:rPr>
        <w:t xml:space="preserve"> the supply of CSG services</w:t>
      </w:r>
    </w:p>
    <w:p w:rsidR="00C771F6" w:rsidRDefault="00C771F6" w:rsidP="004616F6">
      <w:pPr>
        <w:pStyle w:val="ListParagraph"/>
        <w:spacing w:before="120"/>
        <w:ind w:left="426"/>
        <w:contextualSpacing w:val="0"/>
        <w:rPr>
          <w:lang w:eastAsia="en-US"/>
        </w:rPr>
      </w:pPr>
      <w:r>
        <w:rPr>
          <w:lang w:eastAsia="en-US"/>
        </w:rPr>
        <w:t xml:space="preserve">If a compliance report is in respect of a reporting period </w:t>
      </w:r>
      <w:r w:rsidR="005D2318">
        <w:rPr>
          <w:lang w:eastAsia="en-US"/>
        </w:rPr>
        <w:t>that ends</w:t>
      </w:r>
      <w:r>
        <w:rPr>
          <w:lang w:eastAsia="en-US"/>
        </w:rPr>
        <w:t xml:space="preserve"> on 31 December, the compliance report must include:</w:t>
      </w:r>
    </w:p>
    <w:p w:rsidR="00C771F6" w:rsidRDefault="00D04D8D" w:rsidP="004616F6">
      <w:pPr>
        <w:pStyle w:val="ListParagraph"/>
        <w:numPr>
          <w:ilvl w:val="0"/>
          <w:numId w:val="96"/>
        </w:numPr>
        <w:spacing w:before="120"/>
        <w:ind w:left="851" w:hanging="425"/>
        <w:contextualSpacing w:val="0"/>
      </w:pPr>
      <w:r>
        <w:t>the number of CSG services supplied by the carriage service provider on the last day of the financial year preceding the benchmark period where the carriage service provider was obliged to comply with one or more performance standards in respect of the carriage service provider’s supply of those CSG services</w:t>
      </w:r>
      <w:r w:rsidR="00463091">
        <w:t>;</w:t>
      </w:r>
      <w:r w:rsidR="00DE4AA8">
        <w:t xml:space="preserve"> and</w:t>
      </w:r>
    </w:p>
    <w:p w:rsidR="00463091" w:rsidRDefault="00463091" w:rsidP="004616F6">
      <w:pPr>
        <w:pStyle w:val="ListParagraph"/>
        <w:numPr>
          <w:ilvl w:val="0"/>
          <w:numId w:val="96"/>
        </w:numPr>
        <w:spacing w:before="120"/>
        <w:ind w:left="851" w:hanging="425"/>
        <w:contextualSpacing w:val="0"/>
      </w:pPr>
      <w:r>
        <w:t>the number of CSG services supplied by the carriage service provider on the last day of the financial year preceding the benchmark period, in each of the following areas:</w:t>
      </w:r>
    </w:p>
    <w:p w:rsidR="00E54ADD" w:rsidRDefault="00E54ADD" w:rsidP="004616F6">
      <w:pPr>
        <w:pStyle w:val="ListParagraph"/>
        <w:numPr>
          <w:ilvl w:val="1"/>
          <w:numId w:val="95"/>
        </w:numPr>
        <w:spacing w:before="120"/>
        <w:ind w:left="1276" w:hanging="425"/>
        <w:contextualSpacing w:val="0"/>
      </w:pPr>
      <w:r>
        <w:t>urban areas;</w:t>
      </w:r>
    </w:p>
    <w:p w:rsidR="00E54ADD" w:rsidRDefault="00E54ADD" w:rsidP="004616F6">
      <w:pPr>
        <w:pStyle w:val="ListParagraph"/>
        <w:numPr>
          <w:ilvl w:val="1"/>
          <w:numId w:val="95"/>
        </w:numPr>
        <w:spacing w:before="120"/>
        <w:ind w:left="1276" w:hanging="425"/>
        <w:contextualSpacing w:val="0"/>
      </w:pPr>
      <w:r>
        <w:t>major rural areas;</w:t>
      </w:r>
    </w:p>
    <w:p w:rsidR="00E54ADD" w:rsidRDefault="00E54ADD" w:rsidP="004616F6">
      <w:pPr>
        <w:pStyle w:val="ListParagraph"/>
        <w:numPr>
          <w:ilvl w:val="1"/>
          <w:numId w:val="95"/>
        </w:numPr>
        <w:spacing w:before="120"/>
        <w:ind w:left="1276" w:hanging="425"/>
        <w:contextualSpacing w:val="0"/>
      </w:pPr>
      <w:r>
        <w:t>minor rural areas;</w:t>
      </w:r>
    </w:p>
    <w:p w:rsidR="00E54ADD" w:rsidRDefault="00E54ADD" w:rsidP="004616F6">
      <w:pPr>
        <w:pStyle w:val="ListParagraph"/>
        <w:numPr>
          <w:ilvl w:val="1"/>
          <w:numId w:val="95"/>
        </w:numPr>
        <w:spacing w:before="120"/>
        <w:ind w:left="1276" w:hanging="425"/>
        <w:contextualSpacing w:val="0"/>
      </w:pPr>
      <w:r>
        <w:t>rural areas; and</w:t>
      </w:r>
    </w:p>
    <w:p w:rsidR="00E54ADD" w:rsidRDefault="00E54ADD" w:rsidP="004616F6">
      <w:pPr>
        <w:pStyle w:val="ListParagraph"/>
        <w:numPr>
          <w:ilvl w:val="1"/>
          <w:numId w:val="95"/>
        </w:numPr>
        <w:spacing w:before="120"/>
        <w:ind w:left="1276" w:hanging="425"/>
        <w:contextualSpacing w:val="0"/>
      </w:pPr>
      <w:r>
        <w:t xml:space="preserve">remote </w:t>
      </w:r>
      <w:r w:rsidR="007E2855">
        <w:t>areas,</w:t>
      </w:r>
    </w:p>
    <w:p w:rsidR="007E2855" w:rsidRDefault="007E2855" w:rsidP="004616F6">
      <w:pPr>
        <w:spacing w:before="120"/>
        <w:ind w:left="851"/>
      </w:pPr>
      <w:proofErr w:type="gramStart"/>
      <w:r>
        <w:rPr>
          <w:lang w:eastAsia="en-US"/>
        </w:rPr>
        <w:t>where</w:t>
      </w:r>
      <w:proofErr w:type="gramEnd"/>
      <w:r>
        <w:rPr>
          <w:lang w:eastAsia="en-US"/>
        </w:rPr>
        <w:t xml:space="preserve"> the carriage service provider was obliged to comply with one or more performance standards in respect of the carriage service provider’s supply of those CSG services.</w:t>
      </w:r>
    </w:p>
    <w:p w:rsidR="00F476E6" w:rsidRDefault="00A20C14" w:rsidP="00F476E6">
      <w:pPr>
        <w:pStyle w:val="ListParagraph"/>
        <w:spacing w:before="120"/>
        <w:ind w:left="1571" w:hanging="720"/>
        <w:contextualSpacing w:val="0"/>
        <w:rPr>
          <w:sz w:val="20"/>
          <w:szCs w:val="20"/>
        </w:rPr>
      </w:pPr>
      <w:r w:rsidRPr="00A20C14">
        <w:rPr>
          <w:i/>
          <w:sz w:val="20"/>
          <w:szCs w:val="20"/>
        </w:rPr>
        <w:t>Note:</w:t>
      </w:r>
      <w:r w:rsidR="00F476E6" w:rsidRPr="00F476E6">
        <w:rPr>
          <w:i/>
          <w:sz w:val="20"/>
          <w:szCs w:val="20"/>
        </w:rPr>
        <w:tab/>
      </w:r>
      <w:r w:rsidR="00A969B7" w:rsidRPr="00147324">
        <w:rPr>
          <w:sz w:val="20"/>
          <w:szCs w:val="20"/>
        </w:rPr>
        <w:t xml:space="preserve">The </w:t>
      </w:r>
      <w:r w:rsidR="000B6E0F">
        <w:rPr>
          <w:sz w:val="20"/>
          <w:szCs w:val="20"/>
        </w:rPr>
        <w:t xml:space="preserve">information specified in item 2 is for the purpose of applying sections 4 and 5 of the Benchmark Instrument. </w:t>
      </w:r>
    </w:p>
    <w:p w:rsidR="00142689" w:rsidRDefault="00041871" w:rsidP="004616F6">
      <w:pPr>
        <w:pStyle w:val="ListParagraph"/>
        <w:numPr>
          <w:ilvl w:val="0"/>
          <w:numId w:val="20"/>
        </w:numPr>
        <w:spacing w:before="360"/>
        <w:ind w:left="426" w:hanging="426"/>
        <w:contextualSpacing w:val="0"/>
        <w:rPr>
          <w:rFonts w:ascii="Arial" w:hAnsi="Arial" w:cs="Arial"/>
          <w:b/>
        </w:rPr>
      </w:pPr>
      <w:r>
        <w:rPr>
          <w:rFonts w:ascii="Arial" w:hAnsi="Arial" w:cs="Arial"/>
          <w:b/>
        </w:rPr>
        <w:t>Performance information relating to in-place connection</w:t>
      </w:r>
      <w:r w:rsidR="0046273A">
        <w:rPr>
          <w:rFonts w:ascii="Arial" w:hAnsi="Arial" w:cs="Arial"/>
          <w:b/>
        </w:rPr>
        <w:t>s</w:t>
      </w:r>
      <w:r>
        <w:rPr>
          <w:rFonts w:ascii="Arial" w:hAnsi="Arial" w:cs="Arial"/>
          <w:b/>
        </w:rPr>
        <w:t xml:space="preserve"> </w:t>
      </w:r>
    </w:p>
    <w:p w:rsidR="00041871" w:rsidRDefault="004616F6" w:rsidP="004616F6">
      <w:pPr>
        <w:pStyle w:val="ListParagraph"/>
        <w:spacing w:before="120"/>
        <w:ind w:left="851" w:hanging="425"/>
        <w:contextualSpacing w:val="0"/>
      </w:pPr>
      <w:r>
        <w:rPr>
          <w:lang w:eastAsia="en-US"/>
        </w:rPr>
        <w:t>(1)</w:t>
      </w:r>
      <w:r w:rsidR="0046273A">
        <w:rPr>
          <w:lang w:eastAsia="en-US"/>
        </w:rPr>
        <w:tab/>
      </w:r>
      <w:r w:rsidR="003458F9">
        <w:rPr>
          <w:lang w:eastAsia="en-US"/>
        </w:rPr>
        <w:t>A</w:t>
      </w:r>
      <w:r w:rsidR="00041871">
        <w:rPr>
          <w:lang w:eastAsia="en-US"/>
        </w:rPr>
        <w:t xml:space="preserve"> compliance report must include</w:t>
      </w:r>
      <w:r w:rsidR="008654A5">
        <w:t xml:space="preserve">, in respect of each quarter covered by the report, the following information in relation to each </w:t>
      </w:r>
      <w:r w:rsidR="00614E78">
        <w:t>nominated</w:t>
      </w:r>
      <w:r w:rsidR="008654A5">
        <w:t xml:space="preserve"> area:</w:t>
      </w:r>
    </w:p>
    <w:p w:rsidR="00FA2511" w:rsidRDefault="00FA2511" w:rsidP="004616F6">
      <w:pPr>
        <w:pStyle w:val="ListParagraph"/>
        <w:numPr>
          <w:ilvl w:val="0"/>
          <w:numId w:val="23"/>
        </w:numPr>
        <w:spacing w:before="120"/>
        <w:ind w:left="1418" w:hanging="567"/>
        <w:contextualSpacing w:val="0"/>
      </w:pPr>
      <w:r>
        <w:t>the number of requests that were required to be complied with by the carriage service provider during the quarter;</w:t>
      </w:r>
    </w:p>
    <w:p w:rsidR="00FA2511" w:rsidRDefault="00FA2511" w:rsidP="004616F6">
      <w:pPr>
        <w:pStyle w:val="ListParagraph"/>
        <w:numPr>
          <w:ilvl w:val="0"/>
          <w:numId w:val="23"/>
        </w:numPr>
        <w:spacing w:before="120"/>
        <w:ind w:left="1418" w:hanging="567"/>
        <w:contextualSpacing w:val="0"/>
      </w:pPr>
      <w:r>
        <w:t xml:space="preserve">of those requests that were required to be complied with by the carriage service provider during the quarter </w:t>
      </w:r>
      <w:r w:rsidR="008A270A">
        <w:t xml:space="preserve">in a guaranteed maximum connection period </w:t>
      </w:r>
      <w:r>
        <w:t>–</w:t>
      </w:r>
    </w:p>
    <w:p w:rsidR="00A62546" w:rsidRDefault="00A62546" w:rsidP="00872257">
      <w:pPr>
        <w:pStyle w:val="ListParagraph"/>
        <w:numPr>
          <w:ilvl w:val="1"/>
          <w:numId w:val="23"/>
        </w:numPr>
        <w:spacing w:before="120"/>
        <w:contextualSpacing w:val="0"/>
      </w:pPr>
      <w:r>
        <w:t xml:space="preserve">the number that were complied with in </w:t>
      </w:r>
      <w:r w:rsidR="008A270A">
        <w:t>that</w:t>
      </w:r>
      <w:r>
        <w:t xml:space="preserve"> period; and</w:t>
      </w:r>
    </w:p>
    <w:p w:rsidR="008A270A" w:rsidRDefault="00A62546" w:rsidP="00872257">
      <w:pPr>
        <w:pStyle w:val="ListParagraph"/>
        <w:numPr>
          <w:ilvl w:val="1"/>
          <w:numId w:val="23"/>
        </w:numPr>
        <w:spacing w:before="120"/>
        <w:contextualSpacing w:val="0"/>
      </w:pPr>
      <w:r>
        <w:t xml:space="preserve">the number that were not complied with in </w:t>
      </w:r>
      <w:r w:rsidR="008A270A">
        <w:t>that period</w:t>
      </w:r>
      <w:r>
        <w:t xml:space="preserve">; </w:t>
      </w:r>
    </w:p>
    <w:p w:rsidR="00A62546" w:rsidRDefault="008A270A" w:rsidP="004616F6">
      <w:pPr>
        <w:pStyle w:val="ListParagraph"/>
        <w:numPr>
          <w:ilvl w:val="0"/>
          <w:numId w:val="23"/>
        </w:numPr>
        <w:spacing w:before="120"/>
        <w:ind w:left="1418" w:hanging="567"/>
        <w:contextualSpacing w:val="0"/>
      </w:pPr>
      <w:r>
        <w:t xml:space="preserve">of those requests that were required to be complied with by the carriage service provider during the quarter in a period arranged under section 9 of the CSG Standard </w:t>
      </w:r>
      <w:r w:rsidR="001D5A24">
        <w:t xml:space="preserve">– </w:t>
      </w:r>
    </w:p>
    <w:p w:rsidR="00EC72CF" w:rsidRDefault="00EC72CF" w:rsidP="00872257">
      <w:pPr>
        <w:pStyle w:val="ListParagraph"/>
        <w:numPr>
          <w:ilvl w:val="1"/>
          <w:numId w:val="23"/>
        </w:numPr>
        <w:spacing w:before="120"/>
        <w:contextualSpacing w:val="0"/>
      </w:pPr>
      <w:r>
        <w:t>the num</w:t>
      </w:r>
      <w:r w:rsidR="008A270A">
        <w:t>ber that were complied with in that</w:t>
      </w:r>
      <w:r>
        <w:t xml:space="preserve"> period; and</w:t>
      </w:r>
    </w:p>
    <w:p w:rsidR="00EC72CF" w:rsidRDefault="00EC72CF" w:rsidP="00872257">
      <w:pPr>
        <w:pStyle w:val="ListParagraph"/>
        <w:numPr>
          <w:ilvl w:val="1"/>
          <w:numId w:val="23"/>
        </w:numPr>
        <w:spacing w:before="120"/>
        <w:contextualSpacing w:val="0"/>
      </w:pPr>
      <w:r>
        <w:t xml:space="preserve">the number </w:t>
      </w:r>
      <w:r w:rsidR="008A270A">
        <w:t>that were not complied with in that</w:t>
      </w:r>
      <w:r>
        <w:t xml:space="preserve"> period; and</w:t>
      </w:r>
    </w:p>
    <w:p w:rsidR="00B815B7" w:rsidRDefault="00B815B7" w:rsidP="004616F6">
      <w:pPr>
        <w:pStyle w:val="ListParagraph"/>
        <w:numPr>
          <w:ilvl w:val="0"/>
          <w:numId w:val="23"/>
        </w:numPr>
        <w:spacing w:before="120"/>
        <w:ind w:left="1418" w:hanging="567"/>
        <w:contextualSpacing w:val="0"/>
      </w:pPr>
      <w:r>
        <w:t xml:space="preserve">of those requests that were required to be complied with by the carriage service provider during the quarter </w:t>
      </w:r>
      <w:r w:rsidR="006205E1">
        <w:t xml:space="preserve">in a guaranteed maximum connection period </w:t>
      </w:r>
      <w:r>
        <w:t xml:space="preserve">– the number that were not complied with in the guaranteed maximum connection period, where the carriage service provider’s </w:t>
      </w:r>
      <w:r w:rsidR="008E3415">
        <w:t>failure to do so wa</w:t>
      </w:r>
      <w:r>
        <w:t>s wholly or partly attributable to one or more acts or omissions by another carriage service provider.</w:t>
      </w:r>
    </w:p>
    <w:p w:rsidR="0046273A" w:rsidRDefault="004616F6" w:rsidP="004616F6">
      <w:pPr>
        <w:pStyle w:val="ListParagraph"/>
        <w:spacing w:before="120"/>
        <w:ind w:left="851" w:hanging="425"/>
        <w:contextualSpacing w:val="0"/>
      </w:pPr>
      <w:r>
        <w:rPr>
          <w:lang w:eastAsia="en-US"/>
        </w:rPr>
        <w:t>(2)</w:t>
      </w:r>
      <w:r>
        <w:rPr>
          <w:lang w:eastAsia="en-US"/>
        </w:rPr>
        <w:tab/>
      </w:r>
      <w:r w:rsidR="0046273A">
        <w:rPr>
          <w:lang w:eastAsia="en-US"/>
        </w:rPr>
        <w:t xml:space="preserve">For the purposes of </w:t>
      </w:r>
      <w:proofErr w:type="spellStart"/>
      <w:r w:rsidR="0046273A">
        <w:rPr>
          <w:lang w:eastAsia="en-US"/>
        </w:rPr>
        <w:t>subitem</w:t>
      </w:r>
      <w:proofErr w:type="spellEnd"/>
      <w:r w:rsidR="0046273A">
        <w:rPr>
          <w:lang w:eastAsia="en-US"/>
        </w:rPr>
        <w:t xml:space="preserve"> (1), </w:t>
      </w:r>
      <w:r w:rsidR="0046273A" w:rsidRPr="0046273A">
        <w:rPr>
          <w:b/>
          <w:i/>
          <w:lang w:eastAsia="en-US"/>
        </w:rPr>
        <w:t>request</w:t>
      </w:r>
      <w:r w:rsidR="0046273A">
        <w:rPr>
          <w:lang w:eastAsia="en-US"/>
        </w:rPr>
        <w:t xml:space="preserve"> means a request made by a customer to a carriage service provider for a CSG service to be connected at a site that has an in-place connection.</w:t>
      </w:r>
    </w:p>
    <w:p w:rsidR="00142689" w:rsidRDefault="00EA1563" w:rsidP="004616F6">
      <w:pPr>
        <w:pStyle w:val="ListParagraph"/>
        <w:numPr>
          <w:ilvl w:val="0"/>
          <w:numId w:val="20"/>
        </w:numPr>
        <w:spacing w:before="360"/>
        <w:ind w:left="426" w:hanging="357"/>
        <w:contextualSpacing w:val="0"/>
        <w:rPr>
          <w:rFonts w:ascii="Arial" w:hAnsi="Arial" w:cs="Arial"/>
          <w:b/>
        </w:rPr>
      </w:pPr>
      <w:r>
        <w:rPr>
          <w:rFonts w:ascii="Arial" w:hAnsi="Arial" w:cs="Arial"/>
          <w:b/>
        </w:rPr>
        <w:t>Performance information relating to new connection</w:t>
      </w:r>
      <w:r w:rsidR="00F43059">
        <w:rPr>
          <w:rFonts w:ascii="Arial" w:hAnsi="Arial" w:cs="Arial"/>
          <w:b/>
        </w:rPr>
        <w:t>s</w:t>
      </w:r>
      <w:r>
        <w:rPr>
          <w:rFonts w:ascii="Arial" w:hAnsi="Arial" w:cs="Arial"/>
          <w:b/>
        </w:rPr>
        <w:t xml:space="preserve"> </w:t>
      </w:r>
    </w:p>
    <w:p w:rsidR="00EA1563" w:rsidRDefault="00EA1563" w:rsidP="004616F6">
      <w:pPr>
        <w:pStyle w:val="ListParagraph"/>
        <w:numPr>
          <w:ilvl w:val="0"/>
          <w:numId w:val="26"/>
        </w:numPr>
        <w:spacing w:before="120"/>
        <w:ind w:left="851" w:hanging="425"/>
        <w:contextualSpacing w:val="0"/>
      </w:pPr>
      <w:r>
        <w:rPr>
          <w:lang w:eastAsia="en-US"/>
        </w:rPr>
        <w:t>A compliance report must include</w:t>
      </w:r>
      <w:r>
        <w:t xml:space="preserve">, in respect of each quarter covered by the report, the following information in relation to each area described in </w:t>
      </w:r>
      <w:proofErr w:type="spellStart"/>
      <w:r>
        <w:t>subitem</w:t>
      </w:r>
      <w:proofErr w:type="spellEnd"/>
      <w:r>
        <w:t xml:space="preserve"> (2):</w:t>
      </w:r>
    </w:p>
    <w:p w:rsidR="00BC4792" w:rsidRDefault="008C3236" w:rsidP="004616F6">
      <w:pPr>
        <w:pStyle w:val="ListParagraph"/>
        <w:numPr>
          <w:ilvl w:val="0"/>
          <w:numId w:val="27"/>
        </w:numPr>
        <w:spacing w:before="120"/>
        <w:ind w:left="1418" w:hanging="567"/>
        <w:contextualSpacing w:val="0"/>
      </w:pPr>
      <w:r>
        <w:t>the number of requests that were required to be complied with by the carriage service provider during the quarter;</w:t>
      </w:r>
    </w:p>
    <w:p w:rsidR="008E3415" w:rsidRDefault="008E3415" w:rsidP="004616F6">
      <w:pPr>
        <w:pStyle w:val="ListParagraph"/>
        <w:numPr>
          <w:ilvl w:val="0"/>
          <w:numId w:val="27"/>
        </w:numPr>
        <w:spacing w:before="120"/>
        <w:ind w:left="1418" w:hanging="567"/>
        <w:contextualSpacing w:val="0"/>
      </w:pPr>
      <w:r>
        <w:t xml:space="preserve">of those requests that were required to be complied with by the carriage service provider during the quarter </w:t>
      </w:r>
      <w:r w:rsidR="00764E1B">
        <w:t xml:space="preserve">in a guaranteed maximum connection period </w:t>
      </w:r>
      <w:r>
        <w:t>–</w:t>
      </w:r>
    </w:p>
    <w:p w:rsidR="008E3415" w:rsidRDefault="008E3415" w:rsidP="00872257">
      <w:pPr>
        <w:pStyle w:val="ListParagraph"/>
        <w:numPr>
          <w:ilvl w:val="1"/>
          <w:numId w:val="23"/>
        </w:numPr>
        <w:spacing w:before="120"/>
        <w:contextualSpacing w:val="0"/>
      </w:pPr>
      <w:r>
        <w:t xml:space="preserve"> the number that were complied with in </w:t>
      </w:r>
      <w:r w:rsidR="00764E1B">
        <w:t>that</w:t>
      </w:r>
      <w:r>
        <w:t xml:space="preserve"> period; and</w:t>
      </w:r>
    </w:p>
    <w:p w:rsidR="008E3415" w:rsidRDefault="008E3415" w:rsidP="00872257">
      <w:pPr>
        <w:pStyle w:val="ListParagraph"/>
        <w:numPr>
          <w:ilvl w:val="1"/>
          <w:numId w:val="23"/>
        </w:numPr>
        <w:spacing w:before="120"/>
        <w:contextualSpacing w:val="0"/>
      </w:pPr>
      <w:r>
        <w:t xml:space="preserve">the number that were not complied with in </w:t>
      </w:r>
      <w:r w:rsidR="00764E1B">
        <w:t>that</w:t>
      </w:r>
      <w:r>
        <w:t xml:space="preserve"> period; </w:t>
      </w:r>
    </w:p>
    <w:p w:rsidR="00E4210D" w:rsidRDefault="00E4210D" w:rsidP="004616F6">
      <w:pPr>
        <w:pStyle w:val="ListParagraph"/>
        <w:numPr>
          <w:ilvl w:val="0"/>
          <w:numId w:val="27"/>
        </w:numPr>
        <w:spacing w:before="120"/>
        <w:ind w:left="1418" w:hanging="567"/>
        <w:contextualSpacing w:val="0"/>
      </w:pPr>
      <w:r>
        <w:t>of those requests that were required to be complied with by the carriage service provider during the quarter in a period arranged under section 9 of the CSG Standard –</w:t>
      </w:r>
    </w:p>
    <w:p w:rsidR="00E4210D" w:rsidRDefault="00E4210D" w:rsidP="00E4210D">
      <w:pPr>
        <w:pStyle w:val="ListParagraph"/>
        <w:numPr>
          <w:ilvl w:val="1"/>
          <w:numId w:val="27"/>
        </w:numPr>
        <w:spacing w:before="120"/>
        <w:contextualSpacing w:val="0"/>
      </w:pPr>
      <w:r>
        <w:t>the number that were complied with in that period; and</w:t>
      </w:r>
    </w:p>
    <w:p w:rsidR="00E4210D" w:rsidRDefault="00E4210D" w:rsidP="00E4210D">
      <w:pPr>
        <w:pStyle w:val="ListParagraph"/>
        <w:numPr>
          <w:ilvl w:val="1"/>
          <w:numId w:val="27"/>
        </w:numPr>
        <w:spacing w:before="120"/>
        <w:contextualSpacing w:val="0"/>
      </w:pPr>
      <w:r>
        <w:t>the number that were not complied with in that period; and</w:t>
      </w:r>
    </w:p>
    <w:p w:rsidR="008C3236" w:rsidRDefault="008E3415" w:rsidP="00213324">
      <w:pPr>
        <w:pStyle w:val="ListParagraph"/>
        <w:numPr>
          <w:ilvl w:val="0"/>
          <w:numId w:val="27"/>
        </w:numPr>
        <w:spacing w:before="120"/>
        <w:ind w:left="1418" w:hanging="567"/>
        <w:contextualSpacing w:val="0"/>
      </w:pPr>
      <w:r>
        <w:t>of those requests that were required to be complied with by the carriage service provider during the quarter</w:t>
      </w:r>
      <w:r w:rsidR="006205E1">
        <w:t xml:space="preserve"> in a guaranteed maximum connection period</w:t>
      </w:r>
      <w:r>
        <w:t xml:space="preserve"> – the number that were not complied with</w:t>
      </w:r>
      <w:r w:rsidR="006205E1">
        <w:t xml:space="preserve"> </w:t>
      </w:r>
      <w:r>
        <w:t>in the guaranteed maximum connection period, where the carriage service provider’s failure to do so was wholly or partly attributable to one or more acts or omissions by another carriage service provider.</w:t>
      </w:r>
    </w:p>
    <w:p w:rsidR="00183EC1" w:rsidRDefault="00183EC1" w:rsidP="00213324">
      <w:pPr>
        <w:pStyle w:val="ListParagraph"/>
        <w:numPr>
          <w:ilvl w:val="0"/>
          <w:numId w:val="26"/>
        </w:numPr>
        <w:spacing w:before="120"/>
        <w:ind w:left="851" w:hanging="425"/>
        <w:contextualSpacing w:val="0"/>
        <w:rPr>
          <w:lang w:eastAsia="en-US"/>
        </w:rPr>
      </w:pPr>
      <w:r>
        <w:t xml:space="preserve">For the purposes of </w:t>
      </w:r>
      <w:proofErr w:type="spellStart"/>
      <w:r>
        <w:t>subitem</w:t>
      </w:r>
      <w:proofErr w:type="spellEnd"/>
      <w:r>
        <w:t xml:space="preserve"> (1), the areas are:</w:t>
      </w:r>
    </w:p>
    <w:p w:rsidR="00183EC1" w:rsidRDefault="000665F0" w:rsidP="00213324">
      <w:pPr>
        <w:pStyle w:val="ListParagraph"/>
        <w:numPr>
          <w:ilvl w:val="0"/>
          <w:numId w:val="28"/>
        </w:numPr>
        <w:spacing w:before="120"/>
        <w:ind w:left="1418" w:hanging="567"/>
        <w:contextualSpacing w:val="0"/>
        <w:rPr>
          <w:lang w:eastAsia="en-US"/>
        </w:rPr>
      </w:pPr>
      <w:r>
        <w:t>each nominated area</w:t>
      </w:r>
      <w:r w:rsidR="00183EC1">
        <w:t>;</w:t>
      </w:r>
      <w:r w:rsidR="00950CB8">
        <w:t xml:space="preserve"> and</w:t>
      </w:r>
    </w:p>
    <w:p w:rsidR="00950CB8" w:rsidRDefault="00950CB8" w:rsidP="00213324">
      <w:pPr>
        <w:pStyle w:val="ListParagraph"/>
        <w:numPr>
          <w:ilvl w:val="0"/>
          <w:numId w:val="28"/>
        </w:numPr>
        <w:spacing w:before="120"/>
        <w:ind w:left="1418" w:hanging="567"/>
        <w:contextualSpacing w:val="0"/>
        <w:rPr>
          <w:lang w:eastAsia="en-US"/>
        </w:rPr>
      </w:pPr>
      <w:r>
        <w:t>each of the following areas within each nominated area:</w:t>
      </w:r>
    </w:p>
    <w:p w:rsidR="000665F0" w:rsidRDefault="000665F0" w:rsidP="00213324">
      <w:pPr>
        <w:pStyle w:val="ListParagraph"/>
        <w:numPr>
          <w:ilvl w:val="1"/>
          <w:numId w:val="28"/>
        </w:numPr>
        <w:spacing w:before="120"/>
        <w:ind w:left="1843" w:hanging="425"/>
        <w:contextualSpacing w:val="0"/>
        <w:rPr>
          <w:lang w:eastAsia="en-US"/>
        </w:rPr>
      </w:pPr>
      <w:r>
        <w:rPr>
          <w:lang w:eastAsia="en-US"/>
        </w:rPr>
        <w:t>major rural areas;</w:t>
      </w:r>
    </w:p>
    <w:p w:rsidR="000665F0" w:rsidRDefault="000665F0" w:rsidP="00213324">
      <w:pPr>
        <w:pStyle w:val="ListParagraph"/>
        <w:numPr>
          <w:ilvl w:val="1"/>
          <w:numId w:val="28"/>
        </w:numPr>
        <w:spacing w:before="120"/>
        <w:ind w:left="1843" w:hanging="425"/>
        <w:contextualSpacing w:val="0"/>
        <w:rPr>
          <w:lang w:eastAsia="en-US"/>
        </w:rPr>
      </w:pPr>
      <w:r>
        <w:rPr>
          <w:lang w:eastAsia="en-US"/>
        </w:rPr>
        <w:t xml:space="preserve">minor rural areas; </w:t>
      </w:r>
    </w:p>
    <w:p w:rsidR="000665F0" w:rsidRDefault="000665F0" w:rsidP="00213324">
      <w:pPr>
        <w:pStyle w:val="ListParagraph"/>
        <w:numPr>
          <w:ilvl w:val="1"/>
          <w:numId w:val="28"/>
        </w:numPr>
        <w:spacing w:before="120"/>
        <w:ind w:left="1843" w:hanging="425"/>
        <w:contextualSpacing w:val="0"/>
        <w:rPr>
          <w:lang w:eastAsia="en-US"/>
        </w:rPr>
      </w:pPr>
      <w:r>
        <w:rPr>
          <w:lang w:eastAsia="en-US"/>
        </w:rPr>
        <w:t>remote areas; and</w:t>
      </w:r>
    </w:p>
    <w:p w:rsidR="00E47F44" w:rsidRDefault="00E47F44" w:rsidP="00213324">
      <w:pPr>
        <w:pStyle w:val="ListParagraph"/>
        <w:numPr>
          <w:ilvl w:val="1"/>
          <w:numId w:val="28"/>
        </w:numPr>
        <w:spacing w:before="120"/>
        <w:ind w:left="1843" w:hanging="425"/>
        <w:contextualSpacing w:val="0"/>
        <w:rPr>
          <w:lang w:eastAsia="en-US"/>
        </w:rPr>
      </w:pPr>
      <w:proofErr w:type="gramStart"/>
      <w:r>
        <w:rPr>
          <w:lang w:eastAsia="en-US"/>
        </w:rPr>
        <w:t>urban</w:t>
      </w:r>
      <w:proofErr w:type="gramEnd"/>
      <w:r>
        <w:rPr>
          <w:lang w:eastAsia="en-US"/>
        </w:rPr>
        <w:t xml:space="preserve"> </w:t>
      </w:r>
      <w:r w:rsidR="000665F0">
        <w:rPr>
          <w:lang w:eastAsia="en-US"/>
        </w:rPr>
        <w:t>areas.</w:t>
      </w:r>
    </w:p>
    <w:p w:rsidR="002B7DCF" w:rsidRDefault="002B7DCF" w:rsidP="00213324">
      <w:pPr>
        <w:pStyle w:val="ListParagraph"/>
        <w:numPr>
          <w:ilvl w:val="0"/>
          <w:numId w:val="26"/>
        </w:numPr>
        <w:spacing w:before="120"/>
        <w:ind w:left="851" w:hanging="425"/>
        <w:contextualSpacing w:val="0"/>
      </w:pPr>
      <w:r>
        <w:t xml:space="preserve">For the purposes of </w:t>
      </w:r>
      <w:proofErr w:type="spellStart"/>
      <w:r>
        <w:t>subitem</w:t>
      </w:r>
      <w:proofErr w:type="spellEnd"/>
      <w:r>
        <w:t xml:space="preserve"> (1), </w:t>
      </w:r>
      <w:r w:rsidRPr="002B7DCF">
        <w:rPr>
          <w:b/>
          <w:i/>
        </w:rPr>
        <w:t>request</w:t>
      </w:r>
      <w:r>
        <w:t xml:space="preserve"> means a request made by a customer</w:t>
      </w:r>
      <w:r>
        <w:rPr>
          <w:lang w:eastAsia="en-US"/>
        </w:rPr>
        <w:t xml:space="preserve"> to a carriage service provider for a CSG service to be connected at a site that does not have an in-place connection.</w:t>
      </w:r>
    </w:p>
    <w:p w:rsidR="00142689" w:rsidRDefault="00DD6AEB" w:rsidP="00213324">
      <w:pPr>
        <w:pStyle w:val="ListParagraph"/>
        <w:numPr>
          <w:ilvl w:val="0"/>
          <w:numId w:val="20"/>
        </w:numPr>
        <w:spacing w:before="360"/>
        <w:ind w:left="426" w:hanging="426"/>
        <w:contextualSpacing w:val="0"/>
        <w:rPr>
          <w:rFonts w:ascii="Arial" w:hAnsi="Arial" w:cs="Arial"/>
          <w:b/>
        </w:rPr>
      </w:pPr>
      <w:r>
        <w:rPr>
          <w:rFonts w:ascii="Arial" w:hAnsi="Arial" w:cs="Arial"/>
          <w:b/>
        </w:rPr>
        <w:t xml:space="preserve">Performance information relating to </w:t>
      </w:r>
      <w:r w:rsidR="008553B0">
        <w:rPr>
          <w:rFonts w:ascii="Arial" w:hAnsi="Arial" w:cs="Arial"/>
          <w:b/>
        </w:rPr>
        <w:t>fault</w:t>
      </w:r>
      <w:r w:rsidR="00950CB8">
        <w:rPr>
          <w:rFonts w:ascii="Arial" w:hAnsi="Arial" w:cs="Arial"/>
          <w:b/>
        </w:rPr>
        <w:t>s</w:t>
      </w:r>
      <w:r w:rsidR="008553B0">
        <w:rPr>
          <w:rFonts w:ascii="Arial" w:hAnsi="Arial" w:cs="Arial"/>
          <w:b/>
        </w:rPr>
        <w:t xml:space="preserve"> or service difficult</w:t>
      </w:r>
      <w:r w:rsidR="00950CB8">
        <w:rPr>
          <w:rFonts w:ascii="Arial" w:hAnsi="Arial" w:cs="Arial"/>
          <w:b/>
        </w:rPr>
        <w:t>ies</w:t>
      </w:r>
      <w:r>
        <w:rPr>
          <w:rFonts w:ascii="Arial" w:hAnsi="Arial" w:cs="Arial"/>
          <w:b/>
        </w:rPr>
        <w:t xml:space="preserve"> </w:t>
      </w:r>
    </w:p>
    <w:p w:rsidR="00DD6AEB" w:rsidRDefault="00DD6AEB" w:rsidP="00213324">
      <w:pPr>
        <w:pStyle w:val="ListParagraph"/>
        <w:numPr>
          <w:ilvl w:val="0"/>
          <w:numId w:val="29"/>
        </w:numPr>
        <w:spacing w:before="120"/>
        <w:ind w:left="851" w:hanging="425"/>
        <w:contextualSpacing w:val="0"/>
      </w:pPr>
      <w:r>
        <w:rPr>
          <w:lang w:eastAsia="en-US"/>
        </w:rPr>
        <w:t>A compliance report must include</w:t>
      </w:r>
      <w:r>
        <w:t xml:space="preserve">, in respect of each quarter covered by the report, the following information in relation to each area described in </w:t>
      </w:r>
      <w:proofErr w:type="spellStart"/>
      <w:r>
        <w:t>subitem</w:t>
      </w:r>
      <w:proofErr w:type="spellEnd"/>
      <w:r w:rsidR="00213324">
        <w:t xml:space="preserve"> </w:t>
      </w:r>
      <w:r>
        <w:t>(</w:t>
      </w:r>
      <w:r w:rsidR="00950CB8">
        <w:t>3</w:t>
      </w:r>
      <w:r>
        <w:t>):</w:t>
      </w:r>
    </w:p>
    <w:p w:rsidR="00DF1856" w:rsidRDefault="00AE5E6B" w:rsidP="00213324">
      <w:pPr>
        <w:pStyle w:val="ListParagraph"/>
        <w:numPr>
          <w:ilvl w:val="0"/>
          <w:numId w:val="30"/>
        </w:numPr>
        <w:spacing w:before="120"/>
        <w:ind w:left="1418" w:hanging="567"/>
        <w:contextualSpacing w:val="0"/>
      </w:pPr>
      <w:r>
        <w:t xml:space="preserve">the number of </w:t>
      </w:r>
      <w:r w:rsidR="008553B0">
        <w:t>fault</w:t>
      </w:r>
      <w:r w:rsidR="00950CB8">
        <w:t>s</w:t>
      </w:r>
      <w:r>
        <w:t xml:space="preserve"> or service diffi</w:t>
      </w:r>
      <w:r w:rsidR="008553B0">
        <w:t>cult</w:t>
      </w:r>
      <w:r w:rsidR="00950CB8">
        <w:t>ies</w:t>
      </w:r>
      <w:r w:rsidR="008553B0">
        <w:t xml:space="preserve"> report</w:t>
      </w:r>
      <w:r w:rsidR="00950CB8">
        <w:t>ed</w:t>
      </w:r>
      <w:r>
        <w:t xml:space="preserve"> that </w:t>
      </w:r>
      <w:r w:rsidR="00950CB8">
        <w:t>we</w:t>
      </w:r>
      <w:r>
        <w:t>re required to be rectified by the carriage service provider in the quarter;</w:t>
      </w:r>
    </w:p>
    <w:p w:rsidR="006919BE" w:rsidRDefault="00AF16C7" w:rsidP="004A7718">
      <w:pPr>
        <w:pStyle w:val="ListParagraph"/>
        <w:spacing w:before="120"/>
        <w:ind w:left="2138" w:hanging="720"/>
        <w:contextualSpacing w:val="0"/>
      </w:pPr>
      <w:r w:rsidRPr="00950CB8">
        <w:rPr>
          <w:i/>
          <w:sz w:val="20"/>
          <w:szCs w:val="20"/>
        </w:rPr>
        <w:t>Note</w:t>
      </w:r>
      <w:r w:rsidR="00213324">
        <w:rPr>
          <w:sz w:val="20"/>
          <w:szCs w:val="20"/>
        </w:rPr>
        <w:t>:</w:t>
      </w:r>
      <w:r w:rsidR="00213324">
        <w:rPr>
          <w:sz w:val="20"/>
          <w:szCs w:val="20"/>
        </w:rPr>
        <w:tab/>
      </w:r>
      <w:r w:rsidRPr="00FA2511">
        <w:rPr>
          <w:sz w:val="20"/>
          <w:szCs w:val="20"/>
        </w:rPr>
        <w:t>“</w:t>
      </w:r>
      <w:r w:rsidR="00702742">
        <w:rPr>
          <w:b/>
          <w:i/>
          <w:sz w:val="20"/>
          <w:szCs w:val="20"/>
        </w:rPr>
        <w:t>F</w:t>
      </w:r>
      <w:r>
        <w:rPr>
          <w:b/>
          <w:i/>
          <w:sz w:val="20"/>
          <w:szCs w:val="20"/>
        </w:rPr>
        <w:t>ault or service difficulty</w:t>
      </w:r>
      <w:r>
        <w:rPr>
          <w:sz w:val="20"/>
          <w:szCs w:val="20"/>
        </w:rPr>
        <w:t xml:space="preserve">” does not include </w:t>
      </w:r>
      <w:r w:rsidR="00702742">
        <w:rPr>
          <w:sz w:val="20"/>
          <w:szCs w:val="20"/>
        </w:rPr>
        <w:t xml:space="preserve">an </w:t>
      </w:r>
      <w:r>
        <w:rPr>
          <w:sz w:val="20"/>
          <w:szCs w:val="20"/>
        </w:rPr>
        <w:t>inop</w:t>
      </w:r>
      <w:r w:rsidR="00702742">
        <w:rPr>
          <w:sz w:val="20"/>
          <w:szCs w:val="20"/>
        </w:rPr>
        <w:t xml:space="preserve">erative </w:t>
      </w:r>
      <w:r w:rsidR="002B0282">
        <w:rPr>
          <w:sz w:val="20"/>
          <w:szCs w:val="20"/>
        </w:rPr>
        <w:t xml:space="preserve">enhanced </w:t>
      </w:r>
      <w:r w:rsidR="00702742">
        <w:rPr>
          <w:sz w:val="20"/>
          <w:szCs w:val="20"/>
        </w:rPr>
        <w:t>call handling feature</w:t>
      </w:r>
      <w:r>
        <w:rPr>
          <w:sz w:val="20"/>
          <w:szCs w:val="20"/>
        </w:rPr>
        <w:t xml:space="preserve"> (see </w:t>
      </w:r>
      <w:proofErr w:type="spellStart"/>
      <w:r w:rsidR="00950CB8">
        <w:rPr>
          <w:sz w:val="20"/>
          <w:szCs w:val="20"/>
        </w:rPr>
        <w:t>subitem</w:t>
      </w:r>
      <w:proofErr w:type="spellEnd"/>
      <w:r w:rsidR="00950CB8">
        <w:rPr>
          <w:sz w:val="20"/>
          <w:szCs w:val="20"/>
        </w:rPr>
        <w:t xml:space="preserve"> 5(2) </w:t>
      </w:r>
      <w:r>
        <w:rPr>
          <w:sz w:val="20"/>
          <w:szCs w:val="20"/>
        </w:rPr>
        <w:t xml:space="preserve">of </w:t>
      </w:r>
      <w:r w:rsidR="00637874">
        <w:rPr>
          <w:sz w:val="20"/>
          <w:szCs w:val="20"/>
        </w:rPr>
        <w:t xml:space="preserve">this </w:t>
      </w:r>
      <w:r w:rsidR="002B0282">
        <w:rPr>
          <w:sz w:val="20"/>
          <w:szCs w:val="20"/>
        </w:rPr>
        <w:t>S</w:t>
      </w:r>
      <w:r w:rsidR="00637874">
        <w:rPr>
          <w:sz w:val="20"/>
          <w:szCs w:val="20"/>
        </w:rPr>
        <w:t>chedule</w:t>
      </w:r>
      <w:r>
        <w:rPr>
          <w:sz w:val="20"/>
          <w:szCs w:val="20"/>
        </w:rPr>
        <w:t xml:space="preserve"> and </w:t>
      </w:r>
      <w:r w:rsidR="005359E2">
        <w:rPr>
          <w:sz w:val="20"/>
          <w:szCs w:val="20"/>
        </w:rPr>
        <w:t xml:space="preserve">also </w:t>
      </w:r>
      <w:r>
        <w:rPr>
          <w:sz w:val="20"/>
          <w:szCs w:val="20"/>
        </w:rPr>
        <w:t xml:space="preserve">subsection 7(3) of the Benchmarks Instrument).  </w:t>
      </w:r>
      <w:r w:rsidR="00950CB8">
        <w:rPr>
          <w:sz w:val="20"/>
          <w:szCs w:val="20"/>
        </w:rPr>
        <w:t xml:space="preserve">Reports relating to inoperative </w:t>
      </w:r>
      <w:r w:rsidR="00093303">
        <w:rPr>
          <w:sz w:val="20"/>
          <w:szCs w:val="20"/>
        </w:rPr>
        <w:t xml:space="preserve">enhanced </w:t>
      </w:r>
      <w:r w:rsidR="00950CB8">
        <w:rPr>
          <w:sz w:val="20"/>
          <w:szCs w:val="20"/>
        </w:rPr>
        <w:t xml:space="preserve">call handling features are also excluded from the record-keeping rules in Part 2 (see subsection 10(2) of these Rules). </w:t>
      </w:r>
      <w:r>
        <w:rPr>
          <w:sz w:val="20"/>
          <w:szCs w:val="20"/>
        </w:rPr>
        <w:t xml:space="preserve"> </w:t>
      </w:r>
      <w:r w:rsidR="00702742">
        <w:rPr>
          <w:sz w:val="20"/>
          <w:szCs w:val="20"/>
        </w:rPr>
        <w:t>Consequently, a compliance report will not include reports of faults or service difficulties of that kind.</w:t>
      </w:r>
    </w:p>
    <w:p w:rsidR="00AE5E6B" w:rsidRDefault="00EE57A0" w:rsidP="00213324">
      <w:pPr>
        <w:pStyle w:val="ListParagraph"/>
        <w:numPr>
          <w:ilvl w:val="0"/>
          <w:numId w:val="30"/>
        </w:numPr>
        <w:spacing w:before="120"/>
        <w:ind w:left="1418" w:hanging="567"/>
        <w:contextualSpacing w:val="0"/>
      </w:pPr>
      <w:r>
        <w:t>of those fault</w:t>
      </w:r>
      <w:r w:rsidR="00BE47FC">
        <w:t>s</w:t>
      </w:r>
      <w:r>
        <w:t xml:space="preserve"> or service difficult</w:t>
      </w:r>
      <w:r w:rsidR="00BE47FC">
        <w:t>ies</w:t>
      </w:r>
      <w:r>
        <w:t xml:space="preserve"> report</w:t>
      </w:r>
      <w:r w:rsidR="00BE47FC">
        <w:t>ed</w:t>
      </w:r>
      <w:r>
        <w:t xml:space="preserve"> that were required to be rectified by the carriage service provider in the quarter </w:t>
      </w:r>
      <w:r w:rsidR="005359E2">
        <w:t>in a guaranteed maximum rectification period</w:t>
      </w:r>
      <w:r w:rsidR="00147C1C">
        <w:t xml:space="preserve"> </w:t>
      </w:r>
      <w:r>
        <w:t xml:space="preserve">– </w:t>
      </w:r>
    </w:p>
    <w:p w:rsidR="00EE57A0" w:rsidRDefault="00EE57A0" w:rsidP="00213324">
      <w:pPr>
        <w:pStyle w:val="ListParagraph"/>
        <w:numPr>
          <w:ilvl w:val="1"/>
          <w:numId w:val="30"/>
        </w:numPr>
        <w:spacing w:before="120"/>
        <w:ind w:left="1843" w:hanging="403"/>
        <w:contextualSpacing w:val="0"/>
      </w:pPr>
      <w:r>
        <w:t xml:space="preserve">the number that were rectified in </w:t>
      </w:r>
      <w:r w:rsidR="005359E2">
        <w:t>that</w:t>
      </w:r>
      <w:r>
        <w:t xml:space="preserve"> period; and</w:t>
      </w:r>
    </w:p>
    <w:p w:rsidR="00EE57A0" w:rsidRDefault="00EE57A0" w:rsidP="00213324">
      <w:pPr>
        <w:pStyle w:val="ListParagraph"/>
        <w:numPr>
          <w:ilvl w:val="1"/>
          <w:numId w:val="30"/>
        </w:numPr>
        <w:spacing w:before="120"/>
        <w:ind w:left="1843" w:hanging="403"/>
        <w:contextualSpacing w:val="0"/>
      </w:pPr>
      <w:r>
        <w:t xml:space="preserve">the number that were not rectified in </w:t>
      </w:r>
      <w:r w:rsidR="005359E2">
        <w:t>that</w:t>
      </w:r>
      <w:r>
        <w:t xml:space="preserve"> period; and</w:t>
      </w:r>
    </w:p>
    <w:p w:rsidR="00EE57A0" w:rsidRDefault="00A43993" w:rsidP="00213324">
      <w:pPr>
        <w:pStyle w:val="ListParagraph"/>
        <w:numPr>
          <w:ilvl w:val="0"/>
          <w:numId w:val="30"/>
        </w:numPr>
        <w:spacing w:before="120"/>
        <w:ind w:left="1418" w:hanging="567"/>
        <w:contextualSpacing w:val="0"/>
      </w:pPr>
      <w:r>
        <w:t>of those fault</w:t>
      </w:r>
      <w:r w:rsidR="00BE47FC">
        <w:t>s</w:t>
      </w:r>
      <w:r>
        <w:t xml:space="preserve"> or service difficult</w:t>
      </w:r>
      <w:r w:rsidR="00BE47FC">
        <w:t>ies</w:t>
      </w:r>
      <w:r>
        <w:t xml:space="preserve"> report</w:t>
      </w:r>
      <w:r w:rsidR="00BE47FC">
        <w:t>ed</w:t>
      </w:r>
      <w:r>
        <w:t xml:space="preserve"> that were required to be rectified by the carriage service provider in the quarter </w:t>
      </w:r>
      <w:r w:rsidR="001251A3">
        <w:t xml:space="preserve">in a guaranteed maximum rectification period </w:t>
      </w:r>
      <w:r>
        <w:t xml:space="preserve">– the number that were not rectified in </w:t>
      </w:r>
      <w:r w:rsidR="001251A3">
        <w:t>that</w:t>
      </w:r>
      <w:r>
        <w:t xml:space="preserve"> period, where the carriage service provider’s failure to do so was wholly or partly attributable to one or more acts or omissions by another carriage service provider.</w:t>
      </w:r>
    </w:p>
    <w:p w:rsidR="00BE47FC" w:rsidRDefault="00BE47FC" w:rsidP="00213324">
      <w:pPr>
        <w:pStyle w:val="ListParagraph"/>
        <w:numPr>
          <w:ilvl w:val="0"/>
          <w:numId w:val="32"/>
        </w:numPr>
        <w:spacing w:before="120"/>
        <w:ind w:left="851" w:hanging="425"/>
        <w:contextualSpacing w:val="0"/>
        <w:rPr>
          <w:lang w:eastAsia="en-US"/>
        </w:rPr>
      </w:pPr>
      <w:r>
        <w:rPr>
          <w:lang w:eastAsia="en-US"/>
        </w:rPr>
        <w:t xml:space="preserve">In this item, </w:t>
      </w:r>
      <w:r w:rsidRPr="00930EEB">
        <w:rPr>
          <w:b/>
          <w:i/>
          <w:lang w:eastAsia="en-US"/>
        </w:rPr>
        <w:t>fault or service difficulty</w:t>
      </w:r>
      <w:r>
        <w:rPr>
          <w:lang w:eastAsia="en-US"/>
        </w:rPr>
        <w:t xml:space="preserve"> does not include a fault or service difficulty relating to an inoperative </w:t>
      </w:r>
      <w:r w:rsidR="00093303">
        <w:rPr>
          <w:lang w:eastAsia="en-US"/>
        </w:rPr>
        <w:t xml:space="preserve">enhanced </w:t>
      </w:r>
      <w:r>
        <w:rPr>
          <w:lang w:eastAsia="en-US"/>
        </w:rPr>
        <w:t>call handling feature on a specified service that includes an enhanced call handling feature.</w:t>
      </w:r>
    </w:p>
    <w:p w:rsidR="008F24BD" w:rsidRDefault="008F24BD" w:rsidP="00213324">
      <w:pPr>
        <w:pStyle w:val="ListParagraph"/>
        <w:numPr>
          <w:ilvl w:val="0"/>
          <w:numId w:val="32"/>
        </w:numPr>
        <w:spacing w:before="120"/>
        <w:ind w:left="851" w:hanging="425"/>
        <w:contextualSpacing w:val="0"/>
        <w:rPr>
          <w:lang w:eastAsia="en-US"/>
        </w:rPr>
      </w:pPr>
      <w:r>
        <w:t xml:space="preserve">For the purposes of </w:t>
      </w:r>
      <w:proofErr w:type="spellStart"/>
      <w:r>
        <w:t>subitem</w:t>
      </w:r>
      <w:proofErr w:type="spellEnd"/>
      <w:r>
        <w:t xml:space="preserve"> (1), the areas are:</w:t>
      </w:r>
    </w:p>
    <w:p w:rsidR="008F24BD" w:rsidRDefault="008F24BD" w:rsidP="00213324">
      <w:pPr>
        <w:pStyle w:val="ListParagraph"/>
        <w:numPr>
          <w:ilvl w:val="0"/>
          <w:numId w:val="33"/>
        </w:numPr>
        <w:spacing w:before="120"/>
        <w:ind w:left="1418" w:hanging="567"/>
        <w:contextualSpacing w:val="0"/>
        <w:rPr>
          <w:lang w:eastAsia="en-US"/>
        </w:rPr>
      </w:pPr>
      <w:r>
        <w:t>each nominated area;</w:t>
      </w:r>
      <w:r w:rsidR="003B4FFF">
        <w:t xml:space="preserve"> and</w:t>
      </w:r>
    </w:p>
    <w:p w:rsidR="003B4FFF" w:rsidRDefault="003B4FFF" w:rsidP="00213324">
      <w:pPr>
        <w:pStyle w:val="ListParagraph"/>
        <w:numPr>
          <w:ilvl w:val="0"/>
          <w:numId w:val="33"/>
        </w:numPr>
        <w:spacing w:before="120"/>
        <w:ind w:left="1418" w:hanging="567"/>
        <w:contextualSpacing w:val="0"/>
        <w:rPr>
          <w:lang w:eastAsia="en-US"/>
        </w:rPr>
      </w:pPr>
      <w:r>
        <w:t>each of the following areas within each nominated area:</w:t>
      </w:r>
    </w:p>
    <w:p w:rsidR="00685328" w:rsidRDefault="008F24BD" w:rsidP="00213324">
      <w:pPr>
        <w:pStyle w:val="ListParagraph"/>
        <w:numPr>
          <w:ilvl w:val="1"/>
          <w:numId w:val="33"/>
        </w:numPr>
        <w:spacing w:before="120"/>
        <w:ind w:left="1843" w:hanging="425"/>
        <w:contextualSpacing w:val="0"/>
        <w:rPr>
          <w:lang w:eastAsia="en-US"/>
        </w:rPr>
      </w:pPr>
      <w:r>
        <w:rPr>
          <w:lang w:eastAsia="en-US"/>
        </w:rPr>
        <w:t>remote areas;</w:t>
      </w:r>
    </w:p>
    <w:p w:rsidR="008F24BD" w:rsidRDefault="00685328" w:rsidP="00213324">
      <w:pPr>
        <w:pStyle w:val="ListParagraph"/>
        <w:numPr>
          <w:ilvl w:val="1"/>
          <w:numId w:val="33"/>
        </w:numPr>
        <w:spacing w:before="120"/>
        <w:ind w:left="1843" w:hanging="425"/>
        <w:contextualSpacing w:val="0"/>
        <w:rPr>
          <w:lang w:eastAsia="en-US"/>
        </w:rPr>
      </w:pPr>
      <w:r>
        <w:rPr>
          <w:lang w:eastAsia="en-US"/>
        </w:rPr>
        <w:t>rural areas; and</w:t>
      </w:r>
      <w:r w:rsidR="008F24BD">
        <w:rPr>
          <w:lang w:eastAsia="en-US"/>
        </w:rPr>
        <w:t xml:space="preserve"> </w:t>
      </w:r>
    </w:p>
    <w:p w:rsidR="008F24BD" w:rsidRDefault="008F24BD" w:rsidP="00213324">
      <w:pPr>
        <w:pStyle w:val="ListParagraph"/>
        <w:numPr>
          <w:ilvl w:val="1"/>
          <w:numId w:val="33"/>
        </w:numPr>
        <w:spacing w:before="120"/>
        <w:ind w:left="1843" w:hanging="425"/>
        <w:contextualSpacing w:val="0"/>
        <w:rPr>
          <w:lang w:eastAsia="en-US"/>
        </w:rPr>
      </w:pPr>
      <w:proofErr w:type="gramStart"/>
      <w:r>
        <w:rPr>
          <w:lang w:eastAsia="en-US"/>
        </w:rPr>
        <w:t>urban</w:t>
      </w:r>
      <w:proofErr w:type="gramEnd"/>
      <w:r>
        <w:rPr>
          <w:lang w:eastAsia="en-US"/>
        </w:rPr>
        <w:t xml:space="preserve"> areas.</w:t>
      </w:r>
    </w:p>
    <w:p w:rsidR="00142689" w:rsidRDefault="004A139F" w:rsidP="00213324">
      <w:pPr>
        <w:pStyle w:val="ListParagraph"/>
        <w:numPr>
          <w:ilvl w:val="0"/>
          <w:numId w:val="20"/>
        </w:numPr>
        <w:spacing w:before="360"/>
        <w:ind w:left="426" w:hanging="426"/>
        <w:contextualSpacing w:val="0"/>
        <w:rPr>
          <w:rFonts w:ascii="Arial" w:hAnsi="Arial" w:cs="Arial"/>
          <w:b/>
        </w:rPr>
      </w:pPr>
      <w:r>
        <w:rPr>
          <w:rFonts w:ascii="Arial" w:hAnsi="Arial" w:cs="Arial"/>
          <w:b/>
        </w:rPr>
        <w:t xml:space="preserve">Performance information relating to </w:t>
      </w:r>
      <w:r w:rsidR="00494FD7">
        <w:rPr>
          <w:rFonts w:ascii="Arial" w:hAnsi="Arial" w:cs="Arial"/>
          <w:b/>
        </w:rPr>
        <w:t>the keeping of appointments</w:t>
      </w:r>
      <w:r>
        <w:rPr>
          <w:rFonts w:ascii="Arial" w:hAnsi="Arial" w:cs="Arial"/>
          <w:b/>
        </w:rPr>
        <w:t xml:space="preserve"> </w:t>
      </w:r>
    </w:p>
    <w:p w:rsidR="004A139F" w:rsidRDefault="004A139F" w:rsidP="00213324">
      <w:pPr>
        <w:pStyle w:val="ListParagraph"/>
        <w:spacing w:before="120"/>
        <w:ind w:left="426"/>
        <w:contextualSpacing w:val="0"/>
      </w:pPr>
      <w:r>
        <w:rPr>
          <w:lang w:eastAsia="en-US"/>
        </w:rPr>
        <w:t>A compliance report must include</w:t>
      </w:r>
      <w:r>
        <w:t xml:space="preserve">, in respect of each quarter covered by the report, the following information in relation to each </w:t>
      </w:r>
      <w:r w:rsidR="0025472B">
        <w:t xml:space="preserve">nominated </w:t>
      </w:r>
      <w:r>
        <w:t>area:</w:t>
      </w:r>
    </w:p>
    <w:p w:rsidR="004A139F" w:rsidRDefault="004A139F" w:rsidP="00213324">
      <w:pPr>
        <w:pStyle w:val="ListParagraph"/>
        <w:numPr>
          <w:ilvl w:val="0"/>
          <w:numId w:val="35"/>
        </w:numPr>
        <w:spacing w:before="120"/>
        <w:ind w:left="851" w:hanging="425"/>
        <w:contextualSpacing w:val="0"/>
      </w:pPr>
      <w:r>
        <w:t xml:space="preserve">the number of </w:t>
      </w:r>
      <w:r w:rsidR="001F48FE">
        <w:t>connection or rectification appointments</w:t>
      </w:r>
      <w:r>
        <w:t xml:space="preserve"> that </w:t>
      </w:r>
      <w:r w:rsidR="006C7053">
        <w:t>we</w:t>
      </w:r>
      <w:r>
        <w:t xml:space="preserve">re required to be </w:t>
      </w:r>
      <w:r w:rsidR="001F48FE">
        <w:t>kept</w:t>
      </w:r>
      <w:r>
        <w:t xml:space="preserve"> by the carriage service provider </w:t>
      </w:r>
      <w:r w:rsidR="001F48FE">
        <w:t>during</w:t>
      </w:r>
      <w:r>
        <w:t xml:space="preserve"> the quarter;</w:t>
      </w:r>
    </w:p>
    <w:p w:rsidR="004A139F" w:rsidRDefault="004A139F" w:rsidP="00213324">
      <w:pPr>
        <w:pStyle w:val="ListParagraph"/>
        <w:numPr>
          <w:ilvl w:val="0"/>
          <w:numId w:val="35"/>
        </w:numPr>
        <w:spacing w:before="120"/>
        <w:ind w:left="851" w:hanging="425"/>
        <w:contextualSpacing w:val="0"/>
      </w:pPr>
      <w:r>
        <w:t xml:space="preserve">of those </w:t>
      </w:r>
      <w:r w:rsidR="006B188D">
        <w:t>connection or rectification appointments</w:t>
      </w:r>
      <w:r>
        <w:t xml:space="preserve"> that were required to be </w:t>
      </w:r>
      <w:r w:rsidR="006B188D">
        <w:t>kept</w:t>
      </w:r>
      <w:r>
        <w:t xml:space="preserve"> by the carriage service provider </w:t>
      </w:r>
      <w:r w:rsidR="006B188D">
        <w:t>during</w:t>
      </w:r>
      <w:r>
        <w:t xml:space="preserve"> the quarter – </w:t>
      </w:r>
    </w:p>
    <w:p w:rsidR="004A139F" w:rsidRDefault="004A139F" w:rsidP="00213324">
      <w:pPr>
        <w:pStyle w:val="ListParagraph"/>
        <w:numPr>
          <w:ilvl w:val="1"/>
          <w:numId w:val="35"/>
        </w:numPr>
        <w:spacing w:before="120"/>
        <w:ind w:left="1418" w:hanging="567"/>
        <w:contextualSpacing w:val="0"/>
      </w:pPr>
      <w:r>
        <w:t xml:space="preserve">the number that </w:t>
      </w:r>
      <w:r w:rsidR="006C7053">
        <w:t>are taken, under</w:t>
      </w:r>
      <w:r w:rsidR="009006F1">
        <w:t xml:space="preserve"> section 17 of the CSG Standard</w:t>
      </w:r>
      <w:r w:rsidR="006C7053">
        <w:t>, to have been kept</w:t>
      </w:r>
      <w:r>
        <w:t>; and</w:t>
      </w:r>
    </w:p>
    <w:p w:rsidR="004A139F" w:rsidRDefault="004A139F" w:rsidP="00213324">
      <w:pPr>
        <w:pStyle w:val="ListParagraph"/>
        <w:numPr>
          <w:ilvl w:val="1"/>
          <w:numId w:val="35"/>
        </w:numPr>
        <w:spacing w:before="120"/>
        <w:ind w:left="1418" w:hanging="567"/>
        <w:contextualSpacing w:val="0"/>
      </w:pPr>
      <w:r>
        <w:t xml:space="preserve">the number that </w:t>
      </w:r>
      <w:r w:rsidR="009006F1">
        <w:t>are taken, under section 17 of the CSG Standard, to have been missed</w:t>
      </w:r>
      <w:r>
        <w:t>; and</w:t>
      </w:r>
    </w:p>
    <w:p w:rsidR="009E1124" w:rsidRDefault="004A139F" w:rsidP="00213324">
      <w:pPr>
        <w:pStyle w:val="ListParagraph"/>
        <w:numPr>
          <w:ilvl w:val="0"/>
          <w:numId w:val="35"/>
        </w:numPr>
        <w:spacing w:before="120"/>
        <w:ind w:left="851" w:hanging="425"/>
        <w:contextualSpacing w:val="0"/>
      </w:pPr>
      <w:r>
        <w:t xml:space="preserve">of those </w:t>
      </w:r>
      <w:r w:rsidR="006F0A8B">
        <w:t>connection or rectification appointments</w:t>
      </w:r>
      <w:r>
        <w:t xml:space="preserve"> that were required to be </w:t>
      </w:r>
      <w:r w:rsidR="006F0A8B">
        <w:t>kept</w:t>
      </w:r>
      <w:r>
        <w:t xml:space="preserve"> by the carriage service provider </w:t>
      </w:r>
      <w:r w:rsidR="006F0A8B">
        <w:t>during</w:t>
      </w:r>
      <w:r>
        <w:t xml:space="preserve"> the quarter – the number that </w:t>
      </w:r>
      <w:r w:rsidR="006F0A8B">
        <w:t>are taken to have been missed</w:t>
      </w:r>
      <w:r>
        <w:t xml:space="preserve">, where the carriage service provider’s failure to </w:t>
      </w:r>
      <w:r w:rsidR="006F0A8B">
        <w:t xml:space="preserve">keep the appointment </w:t>
      </w:r>
      <w:r>
        <w:t>was wholly or partly attributable to one or more acts or omissions by another carriage service provider.</w:t>
      </w:r>
    </w:p>
    <w:p w:rsidR="009E1124" w:rsidRDefault="009E1124">
      <w:pPr>
        <w:spacing w:after="200" w:line="276" w:lineRule="auto"/>
      </w:pPr>
      <w:r>
        <w:br w:type="page"/>
      </w:r>
    </w:p>
    <w:p w:rsidR="009743ED" w:rsidRDefault="009743ED" w:rsidP="009E1124">
      <w:pPr>
        <w:pStyle w:val="HR"/>
        <w:ind w:left="0" w:firstLine="0"/>
        <w:rPr>
          <w:sz w:val="36"/>
          <w:szCs w:val="36"/>
        </w:rPr>
      </w:pPr>
      <w:bookmarkStart w:id="37" w:name="_Toc303869446"/>
      <w:r>
        <w:rPr>
          <w:sz w:val="36"/>
          <w:szCs w:val="36"/>
        </w:rPr>
        <w:t>Schedule 2</w:t>
      </w:r>
      <w:r w:rsidRPr="0008507C">
        <w:rPr>
          <w:sz w:val="36"/>
          <w:szCs w:val="36"/>
        </w:rPr>
        <w:tab/>
      </w:r>
      <w:r>
        <w:rPr>
          <w:sz w:val="36"/>
          <w:szCs w:val="36"/>
        </w:rPr>
        <w:t>Form of Compliance Report</w:t>
      </w:r>
      <w:bookmarkEnd w:id="37"/>
    </w:p>
    <w:p w:rsidR="002B0282" w:rsidRDefault="009E1124">
      <w:pPr>
        <w:pStyle w:val="HR"/>
        <w:ind w:left="0" w:firstLine="0"/>
      </w:pPr>
      <w:bookmarkStart w:id="38" w:name="_Toc303869447"/>
      <w:r>
        <w:t>Instructions for completion of this form</w:t>
      </w:r>
      <w:r w:rsidR="00246447">
        <w:t xml:space="preserve"> </w:t>
      </w:r>
      <w:r>
        <w:t>-</w:t>
      </w:r>
      <w:bookmarkEnd w:id="38"/>
    </w:p>
    <w:p w:rsidR="009E1124" w:rsidRDefault="009E1124" w:rsidP="00F156D3">
      <w:pPr>
        <w:pStyle w:val="ListParagraph"/>
        <w:numPr>
          <w:ilvl w:val="0"/>
          <w:numId w:val="89"/>
        </w:numPr>
        <w:spacing w:before="120"/>
        <w:ind w:left="426" w:hanging="426"/>
      </w:pPr>
      <w:r>
        <w:t xml:space="preserve">All fields in the tables must be completed (nil returns </w:t>
      </w:r>
      <w:r w:rsidR="003801C3">
        <w:t xml:space="preserve">must </w:t>
      </w:r>
      <w:r>
        <w:t xml:space="preserve">be specified </w:t>
      </w:r>
      <w:r w:rsidR="003801C3">
        <w:t xml:space="preserve">where </w:t>
      </w:r>
      <w:r>
        <w:t>appropriate).</w:t>
      </w:r>
    </w:p>
    <w:p w:rsidR="009E1124" w:rsidRDefault="009E1124" w:rsidP="00F156D3">
      <w:pPr>
        <w:pStyle w:val="ListParagraph"/>
        <w:numPr>
          <w:ilvl w:val="0"/>
          <w:numId w:val="89"/>
        </w:numPr>
        <w:spacing w:before="120"/>
        <w:ind w:left="426" w:hanging="426"/>
      </w:pPr>
      <w:r>
        <w:t>Tables 3 to 6 require insertion of the end date of the relevant quarters to which the information in those tables relates.</w:t>
      </w:r>
    </w:p>
    <w:p w:rsidR="009E1124" w:rsidRDefault="009E1124" w:rsidP="00F156D3">
      <w:pPr>
        <w:spacing w:before="240" w:after="240"/>
        <w:ind w:left="426"/>
        <w:rPr>
          <w:b/>
        </w:rPr>
      </w:pPr>
      <w:r>
        <w:rPr>
          <w:b/>
        </w:rPr>
        <w:t>Table 1 – Information relating to the c</w:t>
      </w:r>
      <w:r w:rsidRPr="007E3EBD">
        <w:rPr>
          <w:b/>
        </w:rPr>
        <w:t xml:space="preserve">arriage service provider </w:t>
      </w:r>
      <w:r>
        <w:rPr>
          <w:b/>
        </w:rPr>
        <w:t xml:space="preserve">and the </w:t>
      </w:r>
      <w:r w:rsidRPr="007E3EBD">
        <w:rPr>
          <w:b/>
        </w:rPr>
        <w:t>reporting</w:t>
      </w:r>
      <w:r>
        <w:rPr>
          <w:b/>
        </w:rPr>
        <w:t xml:space="preserve"> period </w:t>
      </w:r>
    </w:p>
    <w:tbl>
      <w:tblPr>
        <w:tblStyle w:val="TableGrid"/>
        <w:tblW w:w="0" w:type="auto"/>
        <w:tblInd w:w="720" w:type="dxa"/>
        <w:tblLook w:val="04A0"/>
      </w:tblPr>
      <w:tblGrid>
        <w:gridCol w:w="4261"/>
        <w:gridCol w:w="2924"/>
      </w:tblGrid>
      <w:tr w:rsidR="009E1124" w:rsidTr="00BB167C">
        <w:tc>
          <w:tcPr>
            <w:tcW w:w="4261" w:type="dxa"/>
            <w:vAlign w:val="center"/>
          </w:tcPr>
          <w:p w:rsidR="009E1124" w:rsidRDefault="009E1124" w:rsidP="00BB167C">
            <w:pPr>
              <w:spacing w:before="120"/>
              <w:rPr>
                <w:b/>
                <w:sz w:val="20"/>
                <w:szCs w:val="20"/>
              </w:rPr>
            </w:pPr>
            <w:r w:rsidRPr="007E3EBD">
              <w:rPr>
                <w:sz w:val="20"/>
                <w:szCs w:val="20"/>
              </w:rPr>
              <w:t>Name of carriage service provider</w:t>
            </w:r>
          </w:p>
        </w:tc>
        <w:tc>
          <w:tcPr>
            <w:tcW w:w="2924" w:type="dxa"/>
            <w:vAlign w:val="center"/>
          </w:tcPr>
          <w:p w:rsidR="009E1124" w:rsidRDefault="009E1124" w:rsidP="00BB167C">
            <w:pPr>
              <w:spacing w:before="120"/>
              <w:rPr>
                <w:b/>
                <w:sz w:val="20"/>
                <w:szCs w:val="20"/>
              </w:rPr>
            </w:pPr>
          </w:p>
        </w:tc>
      </w:tr>
      <w:tr w:rsidR="009E1124" w:rsidTr="00BB167C">
        <w:tc>
          <w:tcPr>
            <w:tcW w:w="4261" w:type="dxa"/>
            <w:vAlign w:val="center"/>
          </w:tcPr>
          <w:p w:rsidR="009E1124" w:rsidRDefault="009E1124" w:rsidP="00BB167C">
            <w:pPr>
              <w:spacing w:before="120"/>
              <w:rPr>
                <w:sz w:val="20"/>
                <w:szCs w:val="20"/>
              </w:rPr>
            </w:pPr>
            <w:r w:rsidRPr="007E3EBD">
              <w:rPr>
                <w:sz w:val="20"/>
                <w:szCs w:val="20"/>
              </w:rPr>
              <w:t>ABN</w:t>
            </w:r>
            <w:r>
              <w:rPr>
                <w:sz w:val="20"/>
                <w:szCs w:val="20"/>
              </w:rPr>
              <w:t xml:space="preserve"> of </w:t>
            </w:r>
            <w:r w:rsidRPr="007E3EBD">
              <w:rPr>
                <w:sz w:val="20"/>
                <w:szCs w:val="20"/>
              </w:rPr>
              <w:t>carriage service provider</w:t>
            </w:r>
          </w:p>
        </w:tc>
        <w:tc>
          <w:tcPr>
            <w:tcW w:w="2924" w:type="dxa"/>
            <w:vAlign w:val="center"/>
          </w:tcPr>
          <w:p w:rsidR="009E1124" w:rsidRDefault="009E1124" w:rsidP="00BB167C">
            <w:pPr>
              <w:spacing w:before="120"/>
              <w:rPr>
                <w:sz w:val="20"/>
                <w:szCs w:val="20"/>
              </w:rPr>
            </w:pPr>
          </w:p>
        </w:tc>
      </w:tr>
      <w:tr w:rsidR="009E1124" w:rsidTr="00BB167C">
        <w:tc>
          <w:tcPr>
            <w:tcW w:w="4261" w:type="dxa"/>
            <w:vAlign w:val="center"/>
          </w:tcPr>
          <w:p w:rsidR="009E1124" w:rsidRDefault="009E1124" w:rsidP="00BB167C">
            <w:pPr>
              <w:spacing w:before="120"/>
              <w:rPr>
                <w:sz w:val="20"/>
                <w:szCs w:val="20"/>
              </w:rPr>
            </w:pPr>
            <w:r w:rsidRPr="007E3EBD">
              <w:rPr>
                <w:sz w:val="20"/>
                <w:szCs w:val="20"/>
              </w:rPr>
              <w:t xml:space="preserve">Date </w:t>
            </w:r>
            <w:r>
              <w:rPr>
                <w:sz w:val="20"/>
                <w:szCs w:val="20"/>
              </w:rPr>
              <w:t>on</w:t>
            </w:r>
            <w:r w:rsidRPr="007E3EBD">
              <w:rPr>
                <w:sz w:val="20"/>
                <w:szCs w:val="20"/>
              </w:rPr>
              <w:t xml:space="preserve"> which compliance report </w:t>
            </w:r>
            <w:r>
              <w:rPr>
                <w:sz w:val="20"/>
                <w:szCs w:val="20"/>
              </w:rPr>
              <w:t>was prepared</w:t>
            </w:r>
          </w:p>
        </w:tc>
        <w:tc>
          <w:tcPr>
            <w:tcW w:w="2924" w:type="dxa"/>
            <w:vAlign w:val="center"/>
          </w:tcPr>
          <w:p w:rsidR="009E1124" w:rsidRPr="00D51D99" w:rsidRDefault="009E1124" w:rsidP="00BB167C">
            <w:pPr>
              <w:spacing w:before="120" w:after="200" w:line="276" w:lineRule="auto"/>
              <w:rPr>
                <w:sz w:val="20"/>
                <w:szCs w:val="20"/>
              </w:rPr>
            </w:pPr>
          </w:p>
        </w:tc>
      </w:tr>
      <w:tr w:rsidR="009E1124" w:rsidTr="00BB167C">
        <w:tc>
          <w:tcPr>
            <w:tcW w:w="4261" w:type="dxa"/>
            <w:vAlign w:val="center"/>
          </w:tcPr>
          <w:p w:rsidR="009E1124" w:rsidRPr="00D51D99" w:rsidRDefault="009E1124" w:rsidP="00BB167C">
            <w:pPr>
              <w:spacing w:before="120" w:after="200" w:line="276" w:lineRule="auto"/>
              <w:rPr>
                <w:sz w:val="20"/>
                <w:szCs w:val="20"/>
              </w:rPr>
            </w:pPr>
            <w:r>
              <w:rPr>
                <w:sz w:val="20"/>
                <w:szCs w:val="20"/>
              </w:rPr>
              <w:t>Start and end d</w:t>
            </w:r>
            <w:r w:rsidRPr="000D0B8F">
              <w:rPr>
                <w:sz w:val="20"/>
                <w:szCs w:val="20"/>
              </w:rPr>
              <w:t xml:space="preserve">ates </w:t>
            </w:r>
            <w:r>
              <w:rPr>
                <w:sz w:val="20"/>
                <w:szCs w:val="20"/>
              </w:rPr>
              <w:t>for the</w:t>
            </w:r>
            <w:r w:rsidRPr="000D0B8F">
              <w:rPr>
                <w:sz w:val="20"/>
                <w:szCs w:val="20"/>
              </w:rPr>
              <w:t xml:space="preserve"> reporting period </w:t>
            </w:r>
          </w:p>
        </w:tc>
        <w:tc>
          <w:tcPr>
            <w:tcW w:w="2924" w:type="dxa"/>
            <w:vAlign w:val="center"/>
          </w:tcPr>
          <w:p w:rsidR="009E1124" w:rsidRPr="00D51D99" w:rsidRDefault="009E1124" w:rsidP="00BB167C">
            <w:pPr>
              <w:spacing w:before="120" w:after="200" w:line="276" w:lineRule="auto"/>
              <w:rPr>
                <w:sz w:val="20"/>
                <w:szCs w:val="20"/>
              </w:rPr>
            </w:pPr>
          </w:p>
        </w:tc>
      </w:tr>
      <w:tr w:rsidR="009E1124" w:rsidTr="00BB167C">
        <w:tc>
          <w:tcPr>
            <w:tcW w:w="4261" w:type="dxa"/>
            <w:vAlign w:val="center"/>
          </w:tcPr>
          <w:p w:rsidR="009E1124" w:rsidRDefault="009E1124" w:rsidP="00BB167C">
            <w:pPr>
              <w:spacing w:before="120"/>
              <w:rPr>
                <w:sz w:val="20"/>
                <w:szCs w:val="20"/>
              </w:rPr>
            </w:pPr>
            <w:r>
              <w:rPr>
                <w:sz w:val="20"/>
                <w:szCs w:val="20"/>
              </w:rPr>
              <w:t>Start and end dates for the benchmark period</w:t>
            </w:r>
          </w:p>
        </w:tc>
        <w:tc>
          <w:tcPr>
            <w:tcW w:w="2924" w:type="dxa"/>
            <w:vAlign w:val="center"/>
          </w:tcPr>
          <w:p w:rsidR="009E1124" w:rsidRPr="00D51D99" w:rsidRDefault="009E1124" w:rsidP="00BB167C">
            <w:pPr>
              <w:spacing w:before="120"/>
              <w:rPr>
                <w:sz w:val="20"/>
                <w:szCs w:val="20"/>
              </w:rPr>
            </w:pPr>
          </w:p>
        </w:tc>
      </w:tr>
    </w:tbl>
    <w:p w:rsidR="009E1124" w:rsidRDefault="009E1124" w:rsidP="00F156D3">
      <w:pPr>
        <w:spacing w:before="240"/>
        <w:ind w:left="1418" w:hanging="992"/>
        <w:rPr>
          <w:sz w:val="20"/>
          <w:szCs w:val="20"/>
        </w:rPr>
      </w:pPr>
      <w:proofErr w:type="gramStart"/>
      <w:r w:rsidRPr="007E3EBD">
        <w:rPr>
          <w:i/>
          <w:sz w:val="20"/>
          <w:szCs w:val="20"/>
        </w:rPr>
        <w:t>Note</w:t>
      </w:r>
      <w:r>
        <w:rPr>
          <w:i/>
          <w:sz w:val="20"/>
          <w:szCs w:val="20"/>
        </w:rPr>
        <w:t xml:space="preserve"> :</w:t>
      </w:r>
      <w:proofErr w:type="gramEnd"/>
      <w:r w:rsidRPr="007E3EBD">
        <w:rPr>
          <w:sz w:val="20"/>
          <w:szCs w:val="20"/>
        </w:rPr>
        <w:tab/>
      </w:r>
      <w:r>
        <w:rPr>
          <w:sz w:val="20"/>
          <w:szCs w:val="20"/>
        </w:rPr>
        <w:t>The information to be included in Table 1 is the information referred to in item 1 of Schedule 1.</w:t>
      </w:r>
    </w:p>
    <w:p w:rsidR="009E1124" w:rsidRDefault="009E1124" w:rsidP="009E1124">
      <w:pPr>
        <w:spacing w:before="240" w:after="240"/>
        <w:ind w:left="425"/>
        <w:rPr>
          <w:b/>
        </w:rPr>
      </w:pPr>
      <w:r>
        <w:rPr>
          <w:b/>
        </w:rPr>
        <w:t xml:space="preserve">Table 2 – Information relating to the supply of CSG services </w:t>
      </w:r>
    </w:p>
    <w:tbl>
      <w:tblPr>
        <w:tblStyle w:val="TableGrid"/>
        <w:tblW w:w="0" w:type="auto"/>
        <w:tblInd w:w="720" w:type="dxa"/>
        <w:tblLook w:val="04A0"/>
      </w:tblPr>
      <w:tblGrid>
        <w:gridCol w:w="1861"/>
        <w:gridCol w:w="977"/>
        <w:gridCol w:w="974"/>
        <w:gridCol w:w="978"/>
        <w:gridCol w:w="968"/>
        <w:gridCol w:w="1010"/>
        <w:gridCol w:w="1041"/>
      </w:tblGrid>
      <w:tr w:rsidR="009E1124" w:rsidTr="00BB167C">
        <w:tc>
          <w:tcPr>
            <w:tcW w:w="2082" w:type="dxa"/>
            <w:tcBorders>
              <w:bottom w:val="nil"/>
            </w:tcBorders>
          </w:tcPr>
          <w:p w:rsidR="009E1124" w:rsidRPr="00AB6910" w:rsidRDefault="009E1124" w:rsidP="00BB167C">
            <w:pPr>
              <w:spacing w:before="120" w:after="200" w:line="276" w:lineRule="auto"/>
              <w:rPr>
                <w:b/>
                <w:sz w:val="20"/>
                <w:szCs w:val="20"/>
              </w:rPr>
            </w:pPr>
            <w:r>
              <w:rPr>
                <w:b/>
                <w:sz w:val="20"/>
                <w:szCs w:val="20"/>
              </w:rPr>
              <w:t>Information relating to CSG Services</w:t>
            </w:r>
          </w:p>
        </w:tc>
        <w:tc>
          <w:tcPr>
            <w:tcW w:w="6440" w:type="dxa"/>
            <w:gridSpan w:val="6"/>
          </w:tcPr>
          <w:p w:rsidR="009E1124" w:rsidRDefault="009E1124" w:rsidP="00BB167C">
            <w:pPr>
              <w:spacing w:before="120"/>
              <w:jc w:val="center"/>
              <w:rPr>
                <w:b/>
                <w:sz w:val="20"/>
                <w:szCs w:val="20"/>
              </w:rPr>
            </w:pPr>
            <w:r>
              <w:rPr>
                <w:b/>
                <w:sz w:val="20"/>
                <w:szCs w:val="20"/>
              </w:rPr>
              <w:t xml:space="preserve">For </w:t>
            </w:r>
            <w:r w:rsidRPr="00DE5A73">
              <w:rPr>
                <w:b/>
                <w:sz w:val="20"/>
                <w:szCs w:val="20"/>
              </w:rPr>
              <w:t>[insert (last day of financial year preceding the benchmark period)]</w:t>
            </w:r>
          </w:p>
        </w:tc>
      </w:tr>
      <w:tr w:rsidR="009E1124" w:rsidTr="00BB167C">
        <w:tc>
          <w:tcPr>
            <w:tcW w:w="2082" w:type="dxa"/>
            <w:tcBorders>
              <w:top w:val="nil"/>
            </w:tcBorders>
          </w:tcPr>
          <w:p w:rsidR="009E1124" w:rsidRPr="009B690A" w:rsidRDefault="009E1124" w:rsidP="00BB167C">
            <w:pPr>
              <w:spacing w:before="120" w:after="200" w:line="276" w:lineRule="auto"/>
              <w:rPr>
                <w:b/>
                <w:sz w:val="20"/>
                <w:szCs w:val="20"/>
              </w:rPr>
            </w:pPr>
          </w:p>
        </w:tc>
        <w:tc>
          <w:tcPr>
            <w:tcW w:w="1073" w:type="dxa"/>
          </w:tcPr>
          <w:p w:rsidR="009E1124" w:rsidRPr="009B690A" w:rsidRDefault="009E1124" w:rsidP="00BB167C">
            <w:pPr>
              <w:spacing w:before="120" w:after="200" w:line="276" w:lineRule="auto"/>
              <w:rPr>
                <w:sz w:val="20"/>
                <w:szCs w:val="20"/>
              </w:rPr>
            </w:pPr>
            <w:r>
              <w:rPr>
                <w:sz w:val="20"/>
                <w:szCs w:val="20"/>
              </w:rPr>
              <w:t>Urban Areas</w:t>
            </w:r>
          </w:p>
        </w:tc>
        <w:tc>
          <w:tcPr>
            <w:tcW w:w="1073" w:type="dxa"/>
          </w:tcPr>
          <w:p w:rsidR="009E1124" w:rsidRPr="009B690A" w:rsidRDefault="009E1124" w:rsidP="00BB167C">
            <w:pPr>
              <w:spacing w:before="120" w:after="200" w:line="276" w:lineRule="auto"/>
              <w:rPr>
                <w:sz w:val="20"/>
                <w:szCs w:val="20"/>
              </w:rPr>
            </w:pPr>
            <w:r>
              <w:rPr>
                <w:sz w:val="20"/>
                <w:szCs w:val="20"/>
              </w:rPr>
              <w:t>Major Rural Areas</w:t>
            </w:r>
          </w:p>
        </w:tc>
        <w:tc>
          <w:tcPr>
            <w:tcW w:w="1074" w:type="dxa"/>
          </w:tcPr>
          <w:p w:rsidR="009E1124" w:rsidRPr="009B690A" w:rsidRDefault="009E1124" w:rsidP="00BB167C">
            <w:pPr>
              <w:spacing w:before="120" w:after="200" w:line="276" w:lineRule="auto"/>
              <w:rPr>
                <w:sz w:val="20"/>
                <w:szCs w:val="20"/>
              </w:rPr>
            </w:pPr>
            <w:r>
              <w:rPr>
                <w:sz w:val="20"/>
                <w:szCs w:val="20"/>
              </w:rPr>
              <w:t>Minor Rural Areas</w:t>
            </w:r>
          </w:p>
        </w:tc>
        <w:tc>
          <w:tcPr>
            <w:tcW w:w="1073" w:type="dxa"/>
          </w:tcPr>
          <w:p w:rsidR="009E1124" w:rsidRPr="009B690A" w:rsidRDefault="009E1124" w:rsidP="00BB167C">
            <w:pPr>
              <w:spacing w:before="120" w:after="200" w:line="276" w:lineRule="auto"/>
              <w:rPr>
                <w:sz w:val="20"/>
                <w:szCs w:val="20"/>
              </w:rPr>
            </w:pPr>
            <w:r>
              <w:rPr>
                <w:sz w:val="20"/>
                <w:szCs w:val="20"/>
              </w:rPr>
              <w:t>Rural Areas</w:t>
            </w:r>
          </w:p>
        </w:tc>
        <w:tc>
          <w:tcPr>
            <w:tcW w:w="1073" w:type="dxa"/>
          </w:tcPr>
          <w:p w:rsidR="009E1124" w:rsidRPr="009B690A" w:rsidRDefault="009E1124" w:rsidP="00BB167C">
            <w:pPr>
              <w:spacing w:before="120" w:after="200" w:line="276" w:lineRule="auto"/>
              <w:rPr>
                <w:sz w:val="20"/>
                <w:szCs w:val="20"/>
              </w:rPr>
            </w:pPr>
            <w:r>
              <w:rPr>
                <w:sz w:val="20"/>
                <w:szCs w:val="20"/>
              </w:rPr>
              <w:t>Remote Areas</w:t>
            </w:r>
          </w:p>
        </w:tc>
        <w:tc>
          <w:tcPr>
            <w:tcW w:w="1074" w:type="dxa"/>
          </w:tcPr>
          <w:p w:rsidR="009E1124" w:rsidRPr="009B690A" w:rsidRDefault="009E1124" w:rsidP="00BB167C">
            <w:pPr>
              <w:spacing w:before="120" w:after="200" w:line="276" w:lineRule="auto"/>
              <w:rPr>
                <w:sz w:val="20"/>
                <w:szCs w:val="20"/>
              </w:rPr>
            </w:pPr>
            <w:r>
              <w:rPr>
                <w:sz w:val="20"/>
                <w:szCs w:val="20"/>
              </w:rPr>
              <w:t>Australia</w:t>
            </w:r>
          </w:p>
        </w:tc>
      </w:tr>
      <w:tr w:rsidR="009E1124" w:rsidTr="00BB167C">
        <w:tc>
          <w:tcPr>
            <w:tcW w:w="2082" w:type="dxa"/>
          </w:tcPr>
          <w:p w:rsidR="009E1124" w:rsidRDefault="009E1124" w:rsidP="00BB167C">
            <w:pPr>
              <w:spacing w:before="120"/>
              <w:rPr>
                <w:sz w:val="20"/>
                <w:szCs w:val="20"/>
              </w:rPr>
            </w:pPr>
            <w:r>
              <w:rPr>
                <w:sz w:val="20"/>
                <w:szCs w:val="20"/>
              </w:rPr>
              <w:t xml:space="preserve">Number </w:t>
            </w:r>
            <w:r w:rsidRPr="00BE1DD9">
              <w:rPr>
                <w:sz w:val="20"/>
                <w:szCs w:val="20"/>
              </w:rPr>
              <w:t>of CSG services</w:t>
            </w:r>
          </w:p>
        </w:tc>
        <w:tc>
          <w:tcPr>
            <w:tcW w:w="1073" w:type="dxa"/>
          </w:tcPr>
          <w:p w:rsidR="009E1124" w:rsidRDefault="009E1124" w:rsidP="00BB167C">
            <w:pPr>
              <w:spacing w:before="120"/>
              <w:rPr>
                <w:sz w:val="20"/>
                <w:szCs w:val="20"/>
              </w:rPr>
            </w:pPr>
          </w:p>
        </w:tc>
        <w:tc>
          <w:tcPr>
            <w:tcW w:w="1073" w:type="dxa"/>
          </w:tcPr>
          <w:p w:rsidR="009E1124" w:rsidRDefault="009E1124" w:rsidP="00BB167C">
            <w:pPr>
              <w:spacing w:before="120"/>
              <w:rPr>
                <w:sz w:val="20"/>
                <w:szCs w:val="20"/>
              </w:rPr>
            </w:pPr>
          </w:p>
        </w:tc>
        <w:tc>
          <w:tcPr>
            <w:tcW w:w="1074" w:type="dxa"/>
          </w:tcPr>
          <w:p w:rsidR="009E1124" w:rsidRDefault="009E1124" w:rsidP="00BB167C">
            <w:pPr>
              <w:spacing w:before="120"/>
              <w:rPr>
                <w:sz w:val="20"/>
                <w:szCs w:val="20"/>
              </w:rPr>
            </w:pPr>
          </w:p>
        </w:tc>
        <w:tc>
          <w:tcPr>
            <w:tcW w:w="1073" w:type="dxa"/>
          </w:tcPr>
          <w:p w:rsidR="009E1124" w:rsidRDefault="009E1124" w:rsidP="00BB167C">
            <w:pPr>
              <w:spacing w:before="120"/>
              <w:rPr>
                <w:sz w:val="20"/>
                <w:szCs w:val="20"/>
              </w:rPr>
            </w:pPr>
          </w:p>
        </w:tc>
        <w:tc>
          <w:tcPr>
            <w:tcW w:w="1073" w:type="dxa"/>
          </w:tcPr>
          <w:p w:rsidR="009E1124" w:rsidRDefault="009E1124" w:rsidP="00BB167C">
            <w:pPr>
              <w:spacing w:before="120"/>
              <w:rPr>
                <w:sz w:val="20"/>
                <w:szCs w:val="20"/>
              </w:rPr>
            </w:pPr>
          </w:p>
        </w:tc>
        <w:tc>
          <w:tcPr>
            <w:tcW w:w="1074" w:type="dxa"/>
          </w:tcPr>
          <w:p w:rsidR="009E1124" w:rsidRDefault="009E1124" w:rsidP="00BB167C">
            <w:pPr>
              <w:spacing w:before="120"/>
              <w:rPr>
                <w:sz w:val="20"/>
                <w:szCs w:val="20"/>
              </w:rPr>
            </w:pPr>
          </w:p>
        </w:tc>
      </w:tr>
    </w:tbl>
    <w:p w:rsidR="009E1124" w:rsidRDefault="009E1124" w:rsidP="00F156D3">
      <w:pPr>
        <w:spacing w:before="120"/>
        <w:ind w:left="1418" w:hanging="992"/>
        <w:rPr>
          <w:sz w:val="20"/>
          <w:szCs w:val="20"/>
        </w:rPr>
      </w:pPr>
      <w:r>
        <w:rPr>
          <w:i/>
          <w:sz w:val="20"/>
          <w:szCs w:val="20"/>
        </w:rPr>
        <w:t>Note 1:</w:t>
      </w:r>
      <w:r>
        <w:rPr>
          <w:i/>
          <w:sz w:val="20"/>
          <w:szCs w:val="20"/>
        </w:rPr>
        <w:tab/>
      </w:r>
      <w:r w:rsidRPr="00F135E0">
        <w:rPr>
          <w:sz w:val="20"/>
          <w:szCs w:val="20"/>
        </w:rPr>
        <w:t>The i</w:t>
      </w:r>
      <w:r>
        <w:rPr>
          <w:sz w:val="20"/>
          <w:szCs w:val="20"/>
        </w:rPr>
        <w:t>nformation in Table 2 is only required in relation to reporting periods ending on 31 December.</w:t>
      </w:r>
    </w:p>
    <w:p w:rsidR="009E1124" w:rsidRDefault="009E1124" w:rsidP="00F156D3">
      <w:pPr>
        <w:spacing w:before="120"/>
        <w:ind w:left="1418" w:hanging="992"/>
        <w:rPr>
          <w:i/>
          <w:sz w:val="20"/>
          <w:szCs w:val="20"/>
        </w:rPr>
      </w:pPr>
      <w:r w:rsidRPr="007E3EBD">
        <w:rPr>
          <w:i/>
          <w:sz w:val="20"/>
          <w:szCs w:val="20"/>
        </w:rPr>
        <w:t>Note</w:t>
      </w:r>
      <w:r>
        <w:rPr>
          <w:i/>
          <w:sz w:val="20"/>
          <w:szCs w:val="20"/>
        </w:rPr>
        <w:t xml:space="preserve"> 2:</w:t>
      </w:r>
      <w:r>
        <w:rPr>
          <w:i/>
          <w:sz w:val="20"/>
          <w:szCs w:val="20"/>
        </w:rPr>
        <w:tab/>
      </w:r>
      <w:r>
        <w:rPr>
          <w:sz w:val="20"/>
          <w:szCs w:val="20"/>
        </w:rPr>
        <w:t xml:space="preserve">The information to be included in Table 2 is the information referred to in item 2 of Schedule 1. </w:t>
      </w:r>
      <w:r>
        <w:rPr>
          <w:i/>
          <w:sz w:val="20"/>
          <w:szCs w:val="20"/>
        </w:rPr>
        <w:tab/>
      </w:r>
    </w:p>
    <w:p w:rsidR="002B0282" w:rsidRDefault="009E1124">
      <w:pPr>
        <w:keepNext/>
        <w:spacing w:before="240" w:after="240"/>
        <w:ind w:left="425"/>
        <w:rPr>
          <w:b/>
        </w:rPr>
      </w:pPr>
      <w:r w:rsidRPr="00013DF8">
        <w:rPr>
          <w:b/>
        </w:rPr>
        <w:t xml:space="preserve">Table </w:t>
      </w:r>
      <w:r>
        <w:rPr>
          <w:b/>
        </w:rPr>
        <w:t>3</w:t>
      </w:r>
      <w:r w:rsidRPr="00013DF8">
        <w:rPr>
          <w:b/>
        </w:rPr>
        <w:t xml:space="preserve"> – </w:t>
      </w:r>
      <w:r>
        <w:rPr>
          <w:b/>
        </w:rPr>
        <w:t xml:space="preserve">Performance information relating to in-place connections </w:t>
      </w:r>
    </w:p>
    <w:tbl>
      <w:tblPr>
        <w:tblStyle w:val="TableGrid"/>
        <w:tblW w:w="0" w:type="auto"/>
        <w:tblInd w:w="720" w:type="dxa"/>
        <w:tblLook w:val="04A0"/>
      </w:tblPr>
      <w:tblGrid>
        <w:gridCol w:w="950"/>
        <w:gridCol w:w="800"/>
        <w:gridCol w:w="3263"/>
        <w:gridCol w:w="1493"/>
        <w:gridCol w:w="1303"/>
      </w:tblGrid>
      <w:tr w:rsidR="009E1124" w:rsidRPr="00D51D99" w:rsidTr="00F156D3">
        <w:tc>
          <w:tcPr>
            <w:tcW w:w="1750" w:type="dxa"/>
            <w:gridSpan w:val="2"/>
          </w:tcPr>
          <w:p w:rsidR="002B0282" w:rsidRDefault="009E1124">
            <w:pPr>
              <w:keepNext/>
              <w:spacing w:before="120"/>
              <w:rPr>
                <w:b/>
                <w:sz w:val="20"/>
                <w:szCs w:val="20"/>
              </w:rPr>
            </w:pPr>
            <w:r>
              <w:rPr>
                <w:b/>
                <w:sz w:val="20"/>
                <w:szCs w:val="20"/>
              </w:rPr>
              <w:t>Nominated</w:t>
            </w:r>
            <w:r w:rsidRPr="00D51D99">
              <w:rPr>
                <w:b/>
                <w:sz w:val="20"/>
                <w:szCs w:val="20"/>
              </w:rPr>
              <w:t xml:space="preserve"> </w:t>
            </w:r>
            <w:r>
              <w:rPr>
                <w:b/>
                <w:sz w:val="20"/>
                <w:szCs w:val="20"/>
              </w:rPr>
              <w:t>area</w:t>
            </w:r>
          </w:p>
        </w:tc>
        <w:tc>
          <w:tcPr>
            <w:tcW w:w="3263" w:type="dxa"/>
          </w:tcPr>
          <w:p w:rsidR="002B0282" w:rsidRDefault="009E1124">
            <w:pPr>
              <w:keepNext/>
              <w:spacing w:before="120"/>
              <w:rPr>
                <w:b/>
                <w:sz w:val="20"/>
                <w:szCs w:val="20"/>
              </w:rPr>
            </w:pPr>
            <w:r>
              <w:rPr>
                <w:b/>
                <w:sz w:val="20"/>
                <w:szCs w:val="20"/>
              </w:rPr>
              <w:t xml:space="preserve">In-place connections </w:t>
            </w:r>
          </w:p>
        </w:tc>
        <w:tc>
          <w:tcPr>
            <w:tcW w:w="1493" w:type="dxa"/>
          </w:tcPr>
          <w:p w:rsidR="002B0282" w:rsidRDefault="009E1124">
            <w:pPr>
              <w:keepNext/>
              <w:spacing w:before="120"/>
              <w:rPr>
                <w:b/>
                <w:i/>
                <w:sz w:val="20"/>
                <w:szCs w:val="20"/>
              </w:rPr>
            </w:pPr>
            <w:r>
              <w:rPr>
                <w:b/>
                <w:sz w:val="20"/>
                <w:szCs w:val="20"/>
              </w:rPr>
              <w:t xml:space="preserve">For quarter ending </w:t>
            </w:r>
            <w:r w:rsidRPr="00DE5A73">
              <w:rPr>
                <w:b/>
                <w:sz w:val="20"/>
                <w:szCs w:val="20"/>
              </w:rPr>
              <w:t>[insert]</w:t>
            </w:r>
          </w:p>
        </w:tc>
        <w:tc>
          <w:tcPr>
            <w:tcW w:w="1303" w:type="dxa"/>
          </w:tcPr>
          <w:p w:rsidR="002B0282" w:rsidRDefault="009E1124">
            <w:pPr>
              <w:keepNext/>
              <w:spacing w:before="120"/>
              <w:rPr>
                <w:b/>
                <w:i/>
                <w:sz w:val="20"/>
                <w:szCs w:val="20"/>
              </w:rPr>
            </w:pPr>
            <w:r>
              <w:rPr>
                <w:b/>
                <w:sz w:val="20"/>
                <w:szCs w:val="20"/>
              </w:rPr>
              <w:t xml:space="preserve">For quarter ending </w:t>
            </w:r>
            <w:r w:rsidRPr="00DE5A73">
              <w:rPr>
                <w:b/>
                <w:sz w:val="20"/>
                <w:szCs w:val="20"/>
              </w:rPr>
              <w:t>[insert]</w:t>
            </w:r>
          </w:p>
        </w:tc>
      </w:tr>
      <w:tr w:rsidR="009E1124" w:rsidRPr="00D51D99" w:rsidTr="00F156D3">
        <w:trPr>
          <w:trHeight w:val="67"/>
        </w:trPr>
        <w:tc>
          <w:tcPr>
            <w:tcW w:w="1750" w:type="dxa"/>
            <w:gridSpan w:val="2"/>
            <w:vMerge w:val="restart"/>
          </w:tcPr>
          <w:p w:rsidR="002B0282" w:rsidRDefault="009E1124">
            <w:pPr>
              <w:keepNext/>
              <w:spacing w:before="120"/>
              <w:rPr>
                <w:i/>
                <w:sz w:val="20"/>
                <w:szCs w:val="20"/>
              </w:rPr>
            </w:pPr>
            <w:r w:rsidRPr="00D51D99">
              <w:rPr>
                <w:sz w:val="20"/>
                <w:szCs w:val="20"/>
              </w:rPr>
              <w:t>N</w:t>
            </w:r>
            <w:r>
              <w:rPr>
                <w:sz w:val="20"/>
                <w:szCs w:val="20"/>
              </w:rPr>
              <w:t xml:space="preserve">ew </w:t>
            </w:r>
            <w:r w:rsidRPr="00D51D99">
              <w:rPr>
                <w:sz w:val="20"/>
                <w:szCs w:val="20"/>
              </w:rPr>
              <w:t>S</w:t>
            </w:r>
            <w:r>
              <w:rPr>
                <w:sz w:val="20"/>
                <w:szCs w:val="20"/>
              </w:rPr>
              <w:t xml:space="preserve">outh </w:t>
            </w:r>
            <w:r w:rsidRPr="00D51D99">
              <w:rPr>
                <w:sz w:val="20"/>
                <w:szCs w:val="20"/>
              </w:rPr>
              <w:t>W</w:t>
            </w:r>
            <w:r>
              <w:rPr>
                <w:sz w:val="20"/>
                <w:szCs w:val="20"/>
              </w:rPr>
              <w:t>ales</w:t>
            </w:r>
            <w:r w:rsidRPr="00D51D99">
              <w:rPr>
                <w:sz w:val="20"/>
                <w:szCs w:val="20"/>
              </w:rPr>
              <w:t xml:space="preserve"> and the A</w:t>
            </w:r>
            <w:r>
              <w:rPr>
                <w:sz w:val="20"/>
                <w:szCs w:val="20"/>
              </w:rPr>
              <w:t>ustralian Capital Territory</w:t>
            </w:r>
          </w:p>
        </w:tc>
        <w:tc>
          <w:tcPr>
            <w:tcW w:w="3263" w:type="dxa"/>
            <w:vAlign w:val="center"/>
          </w:tcPr>
          <w:p w:rsidR="002B0282" w:rsidRDefault="009E1124">
            <w:pPr>
              <w:keepNext/>
              <w:spacing w:before="120"/>
              <w:rPr>
                <w:i/>
                <w:sz w:val="20"/>
                <w:szCs w:val="20"/>
              </w:rPr>
            </w:pPr>
            <w:r w:rsidRPr="00D51D99">
              <w:rPr>
                <w:sz w:val="20"/>
                <w:szCs w:val="20"/>
              </w:rPr>
              <w:t>Number of requests</w:t>
            </w:r>
          </w:p>
        </w:tc>
        <w:tc>
          <w:tcPr>
            <w:tcW w:w="1493" w:type="dxa"/>
          </w:tcPr>
          <w:p w:rsidR="002B0282" w:rsidRDefault="002B0282">
            <w:pPr>
              <w:keepNext/>
              <w:spacing w:before="120"/>
              <w:rPr>
                <w:sz w:val="20"/>
                <w:szCs w:val="20"/>
              </w:rPr>
            </w:pPr>
          </w:p>
        </w:tc>
        <w:tc>
          <w:tcPr>
            <w:tcW w:w="1303" w:type="dxa"/>
          </w:tcPr>
          <w:p w:rsidR="002B0282" w:rsidRDefault="002B0282">
            <w:pPr>
              <w:keepNext/>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E22F5D">
              <w:rPr>
                <w:sz w:val="20"/>
                <w:szCs w:val="20"/>
              </w:rPr>
              <w:t xml:space="preserve"> – GMCP</w:t>
            </w:r>
            <w:r>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E22F5D">
              <w:rPr>
                <w:sz w:val="20"/>
                <w:szCs w:val="20"/>
              </w:rPr>
              <w:t xml:space="preserve"> – GMCP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E22F5D">
              <w:rPr>
                <w:sz w:val="20"/>
                <w:szCs w:val="20"/>
              </w:rPr>
              <w:t xml:space="preserve"> – GMCP</w:t>
            </w:r>
            <w:r w:rsidRPr="00C56EF7">
              <w:rPr>
                <w:sz w:val="20"/>
                <w:szCs w:val="20"/>
              </w:rPr>
              <w:t xml:space="preserve"> – other CSP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7"/>
        </w:trPr>
        <w:tc>
          <w:tcPr>
            <w:tcW w:w="1750" w:type="dxa"/>
            <w:gridSpan w:val="2"/>
            <w:vMerge w:val="restart"/>
          </w:tcPr>
          <w:p w:rsidR="009E1124" w:rsidRPr="00D51D99" w:rsidRDefault="009E1124" w:rsidP="00BB167C">
            <w:pPr>
              <w:spacing w:before="120"/>
              <w:rPr>
                <w:sz w:val="20"/>
                <w:szCs w:val="20"/>
              </w:rPr>
            </w:pPr>
            <w:r w:rsidRPr="00D51D99">
              <w:rPr>
                <w:sz w:val="20"/>
                <w:szCs w:val="20"/>
              </w:rPr>
              <w:t>V</w:t>
            </w:r>
            <w:r>
              <w:rPr>
                <w:sz w:val="20"/>
                <w:szCs w:val="20"/>
              </w:rPr>
              <w:t>ictoria</w:t>
            </w:r>
          </w:p>
        </w:tc>
        <w:tc>
          <w:tcPr>
            <w:tcW w:w="3263" w:type="dxa"/>
            <w:vAlign w:val="center"/>
          </w:tcPr>
          <w:p w:rsidR="009E1124" w:rsidRPr="00D51D99" w:rsidRDefault="009E1124" w:rsidP="00BB167C">
            <w:pPr>
              <w:spacing w:before="120"/>
              <w:rPr>
                <w:sz w:val="20"/>
                <w:szCs w:val="20"/>
              </w:rPr>
            </w:pPr>
            <w:r w:rsidRPr="00D51D99">
              <w:rPr>
                <w:sz w:val="20"/>
                <w:szCs w:val="20"/>
              </w:rPr>
              <w:t>Number of requests</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E22F5D">
              <w:rPr>
                <w:sz w:val="20"/>
                <w:szCs w:val="20"/>
              </w:rPr>
              <w:t xml:space="preserve"> – GMCP</w:t>
            </w:r>
            <w:r>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E22F5D">
              <w:rPr>
                <w:sz w:val="20"/>
                <w:szCs w:val="20"/>
              </w:rPr>
              <w:t xml:space="preserve"> – GMCP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E22F5D">
              <w:rPr>
                <w:sz w:val="20"/>
                <w:szCs w:val="20"/>
              </w:rPr>
              <w:t xml:space="preserve"> – GMCP</w:t>
            </w:r>
            <w:r w:rsidRPr="00C56EF7">
              <w:rPr>
                <w:sz w:val="20"/>
                <w:szCs w:val="20"/>
              </w:rPr>
              <w:t xml:space="preserve"> – other CSP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7"/>
        </w:trPr>
        <w:tc>
          <w:tcPr>
            <w:tcW w:w="1750" w:type="dxa"/>
            <w:gridSpan w:val="2"/>
            <w:vMerge w:val="restart"/>
          </w:tcPr>
          <w:p w:rsidR="009E1124" w:rsidRPr="00D51D99" w:rsidRDefault="009E1124" w:rsidP="00BB167C">
            <w:pPr>
              <w:spacing w:before="120"/>
              <w:rPr>
                <w:sz w:val="20"/>
                <w:szCs w:val="20"/>
              </w:rPr>
            </w:pPr>
            <w:r w:rsidRPr="00D51D99">
              <w:rPr>
                <w:sz w:val="20"/>
                <w:szCs w:val="20"/>
              </w:rPr>
              <w:t>Q</w:t>
            </w:r>
            <w:r>
              <w:rPr>
                <w:sz w:val="20"/>
                <w:szCs w:val="20"/>
              </w:rPr>
              <w:t>ueensland</w:t>
            </w:r>
          </w:p>
        </w:tc>
        <w:tc>
          <w:tcPr>
            <w:tcW w:w="3263" w:type="dxa"/>
            <w:vAlign w:val="center"/>
          </w:tcPr>
          <w:p w:rsidR="009E1124" w:rsidRPr="00D51D99" w:rsidRDefault="009E1124" w:rsidP="00BB167C">
            <w:pPr>
              <w:spacing w:before="120"/>
              <w:rPr>
                <w:sz w:val="20"/>
                <w:szCs w:val="20"/>
              </w:rPr>
            </w:pPr>
            <w:r w:rsidRPr="00D51D99">
              <w:rPr>
                <w:sz w:val="20"/>
                <w:szCs w:val="20"/>
              </w:rPr>
              <w:t>Number of requests</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E22F5D">
              <w:rPr>
                <w:sz w:val="20"/>
                <w:szCs w:val="20"/>
              </w:rPr>
              <w:t xml:space="preserve"> – GMCP</w:t>
            </w:r>
            <w:r>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E22F5D">
              <w:rPr>
                <w:sz w:val="20"/>
                <w:szCs w:val="20"/>
              </w:rPr>
              <w:t xml:space="preserve"> – GMCP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E22F5D">
              <w:rPr>
                <w:sz w:val="20"/>
                <w:szCs w:val="20"/>
              </w:rPr>
              <w:t xml:space="preserve"> – GMCP</w:t>
            </w:r>
            <w:r w:rsidRPr="00C56EF7">
              <w:rPr>
                <w:sz w:val="20"/>
                <w:szCs w:val="20"/>
              </w:rPr>
              <w:t xml:space="preserve"> – other CSP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7"/>
        </w:trPr>
        <w:tc>
          <w:tcPr>
            <w:tcW w:w="1750" w:type="dxa"/>
            <w:gridSpan w:val="2"/>
            <w:vMerge w:val="restart"/>
          </w:tcPr>
          <w:p w:rsidR="009E1124" w:rsidRPr="00D51D99" w:rsidRDefault="009E1124" w:rsidP="00BB167C">
            <w:pPr>
              <w:spacing w:before="120"/>
              <w:rPr>
                <w:sz w:val="20"/>
                <w:szCs w:val="20"/>
              </w:rPr>
            </w:pPr>
            <w:r>
              <w:rPr>
                <w:sz w:val="20"/>
                <w:szCs w:val="20"/>
              </w:rPr>
              <w:t>Western Australia</w:t>
            </w:r>
          </w:p>
        </w:tc>
        <w:tc>
          <w:tcPr>
            <w:tcW w:w="3263" w:type="dxa"/>
            <w:vAlign w:val="center"/>
          </w:tcPr>
          <w:p w:rsidR="009E1124" w:rsidRPr="00D51D99" w:rsidRDefault="009E1124" w:rsidP="00BB167C">
            <w:pPr>
              <w:spacing w:before="120"/>
              <w:rPr>
                <w:sz w:val="20"/>
                <w:szCs w:val="20"/>
              </w:rPr>
            </w:pPr>
            <w:r w:rsidRPr="00D51D99">
              <w:rPr>
                <w:sz w:val="20"/>
                <w:szCs w:val="20"/>
              </w:rPr>
              <w:t>Number of requests</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E22F5D">
              <w:rPr>
                <w:sz w:val="20"/>
                <w:szCs w:val="20"/>
              </w:rPr>
              <w:t xml:space="preserve"> – GMCP</w:t>
            </w:r>
            <w:r>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E22F5D">
              <w:rPr>
                <w:sz w:val="20"/>
                <w:szCs w:val="20"/>
              </w:rPr>
              <w:t xml:space="preserve"> – GMCP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Borders>
              <w:bottom w:val="single" w:sz="4" w:space="0" w:color="000000" w:themeColor="text1"/>
            </w:tcBorders>
          </w:tcPr>
          <w:p w:rsidR="009E1124" w:rsidRPr="00D51D99" w:rsidRDefault="009E1124" w:rsidP="00BB167C">
            <w:pPr>
              <w:spacing w:before="120"/>
              <w:rPr>
                <w:sz w:val="20"/>
                <w:szCs w:val="20"/>
              </w:rPr>
            </w:pPr>
          </w:p>
        </w:tc>
        <w:tc>
          <w:tcPr>
            <w:tcW w:w="3263"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E22F5D">
              <w:rPr>
                <w:sz w:val="20"/>
                <w:szCs w:val="20"/>
              </w:rPr>
              <w:t xml:space="preserve"> – GMCP</w:t>
            </w:r>
            <w:r w:rsidRPr="00C56EF7">
              <w:rPr>
                <w:sz w:val="20"/>
                <w:szCs w:val="20"/>
              </w:rPr>
              <w:t xml:space="preserve"> – other CSP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F156D3" w:rsidRPr="00D51D99" w:rsidTr="00F156D3">
        <w:trPr>
          <w:trHeight w:val="67"/>
        </w:trPr>
        <w:tc>
          <w:tcPr>
            <w:tcW w:w="1750" w:type="dxa"/>
            <w:gridSpan w:val="2"/>
            <w:tcBorders>
              <w:bottom w:val="single" w:sz="4" w:space="0" w:color="000000" w:themeColor="text1"/>
            </w:tcBorders>
          </w:tcPr>
          <w:p w:rsidR="00F156D3" w:rsidRPr="00D51D99" w:rsidRDefault="00F156D3" w:rsidP="00BB167C">
            <w:pPr>
              <w:spacing w:before="120"/>
              <w:rPr>
                <w:sz w:val="20"/>
                <w:szCs w:val="20"/>
              </w:rPr>
            </w:pPr>
            <w:r>
              <w:rPr>
                <w:sz w:val="20"/>
                <w:szCs w:val="20"/>
              </w:rPr>
              <w:t>South Australia</w:t>
            </w:r>
          </w:p>
        </w:tc>
        <w:tc>
          <w:tcPr>
            <w:tcW w:w="3263" w:type="dxa"/>
            <w:vAlign w:val="center"/>
          </w:tcPr>
          <w:p w:rsidR="00F156D3" w:rsidRPr="00D51D99" w:rsidRDefault="00F156D3" w:rsidP="00BB167C">
            <w:pPr>
              <w:spacing w:before="120"/>
              <w:rPr>
                <w:sz w:val="20"/>
                <w:szCs w:val="20"/>
              </w:rPr>
            </w:pPr>
            <w:r w:rsidRPr="00D51D99">
              <w:rPr>
                <w:sz w:val="20"/>
                <w:szCs w:val="20"/>
              </w:rPr>
              <w:t>Number of requests</w:t>
            </w:r>
          </w:p>
        </w:tc>
        <w:tc>
          <w:tcPr>
            <w:tcW w:w="1493" w:type="dxa"/>
          </w:tcPr>
          <w:p w:rsidR="00F156D3" w:rsidRPr="00D51D99" w:rsidRDefault="00F156D3" w:rsidP="00BB167C">
            <w:pPr>
              <w:spacing w:before="120"/>
              <w:rPr>
                <w:sz w:val="20"/>
                <w:szCs w:val="20"/>
              </w:rPr>
            </w:pPr>
          </w:p>
        </w:tc>
        <w:tc>
          <w:tcPr>
            <w:tcW w:w="1303" w:type="dxa"/>
          </w:tcPr>
          <w:p w:rsidR="00F156D3" w:rsidRPr="00D51D99" w:rsidRDefault="00F156D3" w:rsidP="00BB167C">
            <w:pPr>
              <w:spacing w:before="120"/>
              <w:rPr>
                <w:sz w:val="20"/>
                <w:szCs w:val="20"/>
              </w:rPr>
            </w:pPr>
          </w:p>
        </w:tc>
      </w:tr>
      <w:tr w:rsidR="00F156D3" w:rsidRPr="00D51D99" w:rsidTr="00F156D3">
        <w:trPr>
          <w:trHeight w:val="66"/>
        </w:trPr>
        <w:tc>
          <w:tcPr>
            <w:tcW w:w="950" w:type="dxa"/>
            <w:tcBorders>
              <w:top w:val="single" w:sz="4" w:space="0" w:color="000000" w:themeColor="text1"/>
              <w:bottom w:val="nil"/>
              <w:right w:val="nil"/>
            </w:tcBorders>
          </w:tcPr>
          <w:p w:rsidR="00F156D3" w:rsidRPr="00D51D99" w:rsidRDefault="00F156D3" w:rsidP="00BB167C">
            <w:pPr>
              <w:spacing w:before="120"/>
              <w:rPr>
                <w:sz w:val="20"/>
                <w:szCs w:val="20"/>
              </w:rPr>
            </w:pPr>
          </w:p>
        </w:tc>
        <w:tc>
          <w:tcPr>
            <w:tcW w:w="800" w:type="dxa"/>
            <w:tcBorders>
              <w:top w:val="single" w:sz="4" w:space="0" w:color="000000" w:themeColor="text1"/>
              <w:left w:val="nil"/>
              <w:bottom w:val="nil"/>
            </w:tcBorders>
          </w:tcPr>
          <w:p w:rsidR="00F156D3" w:rsidRPr="00D51D99" w:rsidRDefault="00F156D3" w:rsidP="00BB167C">
            <w:pPr>
              <w:spacing w:before="120"/>
              <w:rPr>
                <w:sz w:val="20"/>
                <w:szCs w:val="20"/>
              </w:rPr>
            </w:pPr>
          </w:p>
        </w:tc>
        <w:tc>
          <w:tcPr>
            <w:tcW w:w="3263" w:type="dxa"/>
            <w:vAlign w:val="center"/>
          </w:tcPr>
          <w:p w:rsidR="00F156D3" w:rsidRPr="00D51D99" w:rsidRDefault="00F156D3" w:rsidP="00BB167C">
            <w:pPr>
              <w:spacing w:before="120"/>
              <w:rPr>
                <w:sz w:val="20"/>
                <w:szCs w:val="20"/>
              </w:rPr>
            </w:pPr>
            <w:r w:rsidRPr="00D51D99">
              <w:rPr>
                <w:sz w:val="20"/>
                <w:szCs w:val="20"/>
              </w:rPr>
              <w:t xml:space="preserve">Number </w:t>
            </w:r>
            <w:r>
              <w:rPr>
                <w:sz w:val="20"/>
                <w:szCs w:val="20"/>
              </w:rPr>
              <w:t>(complied – GMCP)</w:t>
            </w:r>
          </w:p>
        </w:tc>
        <w:tc>
          <w:tcPr>
            <w:tcW w:w="1493" w:type="dxa"/>
          </w:tcPr>
          <w:p w:rsidR="00F156D3" w:rsidRPr="00D51D99" w:rsidRDefault="00F156D3" w:rsidP="00BB167C">
            <w:pPr>
              <w:spacing w:before="120"/>
              <w:rPr>
                <w:sz w:val="20"/>
                <w:szCs w:val="20"/>
              </w:rPr>
            </w:pPr>
          </w:p>
        </w:tc>
        <w:tc>
          <w:tcPr>
            <w:tcW w:w="1303" w:type="dxa"/>
          </w:tcPr>
          <w:p w:rsidR="00F156D3" w:rsidRPr="00D51D99" w:rsidRDefault="00F156D3" w:rsidP="00BB167C">
            <w:pPr>
              <w:spacing w:before="120"/>
              <w:rPr>
                <w:sz w:val="20"/>
                <w:szCs w:val="20"/>
              </w:rPr>
            </w:pPr>
          </w:p>
        </w:tc>
      </w:tr>
      <w:tr w:rsidR="00F156D3" w:rsidRPr="00D51D99" w:rsidTr="00F156D3">
        <w:trPr>
          <w:trHeight w:val="66"/>
        </w:trPr>
        <w:tc>
          <w:tcPr>
            <w:tcW w:w="950" w:type="dxa"/>
            <w:tcBorders>
              <w:top w:val="nil"/>
              <w:bottom w:val="nil"/>
              <w:right w:val="nil"/>
            </w:tcBorders>
          </w:tcPr>
          <w:p w:rsidR="00F156D3" w:rsidRPr="00D51D99" w:rsidRDefault="00F156D3" w:rsidP="00BB167C">
            <w:pPr>
              <w:spacing w:before="120"/>
              <w:rPr>
                <w:sz w:val="20"/>
                <w:szCs w:val="20"/>
              </w:rPr>
            </w:pPr>
          </w:p>
        </w:tc>
        <w:tc>
          <w:tcPr>
            <w:tcW w:w="800" w:type="dxa"/>
            <w:tcBorders>
              <w:top w:val="nil"/>
              <w:left w:val="nil"/>
              <w:bottom w:val="nil"/>
            </w:tcBorders>
          </w:tcPr>
          <w:p w:rsidR="00F156D3" w:rsidRPr="00D51D99" w:rsidRDefault="00F156D3" w:rsidP="00BB167C">
            <w:pPr>
              <w:spacing w:before="120"/>
              <w:rPr>
                <w:sz w:val="20"/>
                <w:szCs w:val="20"/>
              </w:rPr>
            </w:pPr>
          </w:p>
        </w:tc>
        <w:tc>
          <w:tcPr>
            <w:tcW w:w="3263" w:type="dxa"/>
            <w:vAlign w:val="center"/>
          </w:tcPr>
          <w:p w:rsidR="00F156D3" w:rsidRPr="00D51D99" w:rsidRDefault="00F156D3"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GMCP</w:t>
            </w:r>
            <w:r w:rsidRPr="00D51D99">
              <w:rPr>
                <w:sz w:val="20"/>
                <w:szCs w:val="20"/>
              </w:rPr>
              <w:t>)</w:t>
            </w:r>
          </w:p>
        </w:tc>
        <w:tc>
          <w:tcPr>
            <w:tcW w:w="1493" w:type="dxa"/>
          </w:tcPr>
          <w:p w:rsidR="00F156D3" w:rsidRPr="00D51D99" w:rsidRDefault="00F156D3" w:rsidP="00BB167C">
            <w:pPr>
              <w:spacing w:before="120"/>
              <w:rPr>
                <w:sz w:val="20"/>
                <w:szCs w:val="20"/>
              </w:rPr>
            </w:pPr>
          </w:p>
        </w:tc>
        <w:tc>
          <w:tcPr>
            <w:tcW w:w="1303" w:type="dxa"/>
          </w:tcPr>
          <w:p w:rsidR="00F156D3" w:rsidRPr="00D51D99" w:rsidRDefault="00F156D3" w:rsidP="00BB167C">
            <w:pPr>
              <w:spacing w:before="120"/>
              <w:rPr>
                <w:sz w:val="20"/>
                <w:szCs w:val="20"/>
              </w:rPr>
            </w:pPr>
          </w:p>
        </w:tc>
      </w:tr>
      <w:tr w:rsidR="00F156D3" w:rsidRPr="00D51D99" w:rsidTr="00F156D3">
        <w:trPr>
          <w:trHeight w:val="66"/>
        </w:trPr>
        <w:tc>
          <w:tcPr>
            <w:tcW w:w="950" w:type="dxa"/>
            <w:tcBorders>
              <w:top w:val="nil"/>
              <w:bottom w:val="nil"/>
              <w:right w:val="nil"/>
            </w:tcBorders>
          </w:tcPr>
          <w:p w:rsidR="00F156D3" w:rsidRPr="00D51D99" w:rsidRDefault="00F156D3" w:rsidP="00BB167C">
            <w:pPr>
              <w:spacing w:before="120"/>
              <w:rPr>
                <w:sz w:val="20"/>
                <w:szCs w:val="20"/>
              </w:rPr>
            </w:pPr>
          </w:p>
        </w:tc>
        <w:tc>
          <w:tcPr>
            <w:tcW w:w="800" w:type="dxa"/>
            <w:tcBorders>
              <w:top w:val="nil"/>
              <w:left w:val="nil"/>
              <w:bottom w:val="nil"/>
            </w:tcBorders>
          </w:tcPr>
          <w:p w:rsidR="00F156D3" w:rsidRPr="00D51D99" w:rsidRDefault="00F156D3" w:rsidP="00BB167C">
            <w:pPr>
              <w:spacing w:before="120"/>
              <w:rPr>
                <w:sz w:val="20"/>
                <w:szCs w:val="20"/>
              </w:rPr>
            </w:pPr>
          </w:p>
        </w:tc>
        <w:tc>
          <w:tcPr>
            <w:tcW w:w="3263" w:type="dxa"/>
            <w:vAlign w:val="center"/>
          </w:tcPr>
          <w:p w:rsidR="00F156D3" w:rsidRPr="00D51D99" w:rsidRDefault="00F156D3" w:rsidP="00BB167C">
            <w:pPr>
              <w:spacing w:before="120"/>
              <w:rPr>
                <w:sz w:val="20"/>
                <w:szCs w:val="20"/>
              </w:rPr>
            </w:pPr>
            <w:r>
              <w:rPr>
                <w:sz w:val="20"/>
                <w:szCs w:val="20"/>
              </w:rPr>
              <w:t>Number (complied – CSG Standard (section 9) arrangement)</w:t>
            </w:r>
          </w:p>
        </w:tc>
        <w:tc>
          <w:tcPr>
            <w:tcW w:w="1493" w:type="dxa"/>
          </w:tcPr>
          <w:p w:rsidR="00F156D3" w:rsidRPr="00D51D99" w:rsidRDefault="00F156D3" w:rsidP="00BB167C">
            <w:pPr>
              <w:spacing w:before="120"/>
              <w:rPr>
                <w:sz w:val="20"/>
                <w:szCs w:val="20"/>
              </w:rPr>
            </w:pPr>
          </w:p>
        </w:tc>
        <w:tc>
          <w:tcPr>
            <w:tcW w:w="1303" w:type="dxa"/>
          </w:tcPr>
          <w:p w:rsidR="00F156D3" w:rsidRPr="00D51D99" w:rsidRDefault="00F156D3" w:rsidP="00BB167C">
            <w:pPr>
              <w:spacing w:before="120"/>
              <w:rPr>
                <w:sz w:val="20"/>
                <w:szCs w:val="20"/>
              </w:rPr>
            </w:pPr>
          </w:p>
        </w:tc>
      </w:tr>
      <w:tr w:rsidR="00F156D3" w:rsidRPr="00D51D99" w:rsidTr="00F156D3">
        <w:trPr>
          <w:trHeight w:val="66"/>
        </w:trPr>
        <w:tc>
          <w:tcPr>
            <w:tcW w:w="950" w:type="dxa"/>
            <w:tcBorders>
              <w:top w:val="nil"/>
              <w:bottom w:val="nil"/>
              <w:right w:val="nil"/>
            </w:tcBorders>
          </w:tcPr>
          <w:p w:rsidR="00F156D3" w:rsidRPr="00D51D99" w:rsidRDefault="00F156D3" w:rsidP="00BB167C">
            <w:pPr>
              <w:spacing w:before="120"/>
              <w:rPr>
                <w:sz w:val="20"/>
                <w:szCs w:val="20"/>
              </w:rPr>
            </w:pPr>
          </w:p>
        </w:tc>
        <w:tc>
          <w:tcPr>
            <w:tcW w:w="800" w:type="dxa"/>
            <w:tcBorders>
              <w:top w:val="nil"/>
              <w:left w:val="nil"/>
              <w:bottom w:val="nil"/>
            </w:tcBorders>
          </w:tcPr>
          <w:p w:rsidR="00F156D3" w:rsidRPr="00D51D99" w:rsidRDefault="00F156D3" w:rsidP="00BB167C">
            <w:pPr>
              <w:spacing w:before="120"/>
              <w:rPr>
                <w:sz w:val="20"/>
                <w:szCs w:val="20"/>
              </w:rPr>
            </w:pPr>
          </w:p>
        </w:tc>
        <w:tc>
          <w:tcPr>
            <w:tcW w:w="3263" w:type="dxa"/>
            <w:vAlign w:val="center"/>
          </w:tcPr>
          <w:p w:rsidR="00F156D3" w:rsidRPr="00D51D99" w:rsidRDefault="00F156D3" w:rsidP="00BB167C">
            <w:pPr>
              <w:spacing w:before="120"/>
              <w:rPr>
                <w:sz w:val="20"/>
                <w:szCs w:val="20"/>
              </w:rPr>
            </w:pPr>
            <w:r>
              <w:rPr>
                <w:sz w:val="20"/>
                <w:szCs w:val="20"/>
              </w:rPr>
              <w:t>Number (did not comply – CSG Standard (section 9) arrangement)</w:t>
            </w:r>
          </w:p>
        </w:tc>
        <w:tc>
          <w:tcPr>
            <w:tcW w:w="1493" w:type="dxa"/>
          </w:tcPr>
          <w:p w:rsidR="00F156D3" w:rsidRPr="00D51D99" w:rsidRDefault="00F156D3" w:rsidP="00BB167C">
            <w:pPr>
              <w:spacing w:before="120"/>
              <w:rPr>
                <w:sz w:val="20"/>
                <w:szCs w:val="20"/>
              </w:rPr>
            </w:pPr>
          </w:p>
        </w:tc>
        <w:tc>
          <w:tcPr>
            <w:tcW w:w="1303" w:type="dxa"/>
          </w:tcPr>
          <w:p w:rsidR="00F156D3" w:rsidRPr="00D51D99" w:rsidRDefault="00F156D3" w:rsidP="00BB167C">
            <w:pPr>
              <w:spacing w:before="120"/>
              <w:rPr>
                <w:sz w:val="20"/>
                <w:szCs w:val="20"/>
              </w:rPr>
            </w:pPr>
          </w:p>
        </w:tc>
      </w:tr>
      <w:tr w:rsidR="00F156D3" w:rsidRPr="00D51D99" w:rsidTr="00F156D3">
        <w:trPr>
          <w:trHeight w:val="66"/>
        </w:trPr>
        <w:tc>
          <w:tcPr>
            <w:tcW w:w="950" w:type="dxa"/>
            <w:tcBorders>
              <w:top w:val="nil"/>
              <w:bottom w:val="single" w:sz="4" w:space="0" w:color="000000" w:themeColor="text1"/>
              <w:right w:val="nil"/>
            </w:tcBorders>
          </w:tcPr>
          <w:p w:rsidR="00F156D3" w:rsidRPr="00D51D99" w:rsidRDefault="00F156D3" w:rsidP="00BB167C">
            <w:pPr>
              <w:spacing w:before="120"/>
              <w:rPr>
                <w:sz w:val="20"/>
                <w:szCs w:val="20"/>
              </w:rPr>
            </w:pPr>
          </w:p>
        </w:tc>
        <w:tc>
          <w:tcPr>
            <w:tcW w:w="800" w:type="dxa"/>
            <w:tcBorders>
              <w:top w:val="nil"/>
              <w:left w:val="nil"/>
              <w:bottom w:val="single" w:sz="4" w:space="0" w:color="000000" w:themeColor="text1"/>
            </w:tcBorders>
          </w:tcPr>
          <w:p w:rsidR="00F156D3" w:rsidRPr="00D51D99" w:rsidRDefault="00F156D3" w:rsidP="00BB167C">
            <w:pPr>
              <w:spacing w:before="120"/>
              <w:rPr>
                <w:sz w:val="20"/>
                <w:szCs w:val="20"/>
              </w:rPr>
            </w:pPr>
          </w:p>
        </w:tc>
        <w:tc>
          <w:tcPr>
            <w:tcW w:w="3263" w:type="dxa"/>
            <w:vAlign w:val="center"/>
          </w:tcPr>
          <w:p w:rsidR="00F156D3" w:rsidRDefault="00F156D3" w:rsidP="00BB167C">
            <w:pPr>
              <w:spacing w:before="120"/>
              <w:rPr>
                <w:sz w:val="20"/>
                <w:szCs w:val="20"/>
              </w:rPr>
            </w:pPr>
            <w:r w:rsidRPr="00D51D99">
              <w:rPr>
                <w:sz w:val="20"/>
                <w:szCs w:val="20"/>
              </w:rPr>
              <w:t>Number (</w:t>
            </w:r>
            <w:r w:rsidRPr="00C56EF7">
              <w:rPr>
                <w:sz w:val="20"/>
                <w:szCs w:val="20"/>
              </w:rPr>
              <w:t xml:space="preserve">did not comply </w:t>
            </w:r>
            <w:r>
              <w:rPr>
                <w:sz w:val="20"/>
                <w:szCs w:val="20"/>
              </w:rPr>
              <w:t xml:space="preserve"> – GMCP</w:t>
            </w:r>
            <w:r w:rsidRPr="00C56EF7">
              <w:rPr>
                <w:sz w:val="20"/>
                <w:szCs w:val="20"/>
              </w:rPr>
              <w:t xml:space="preserve"> – other CSP</w:t>
            </w:r>
            <w:r w:rsidRPr="00D51D99">
              <w:rPr>
                <w:sz w:val="20"/>
                <w:szCs w:val="20"/>
              </w:rPr>
              <w:t>)</w:t>
            </w:r>
          </w:p>
        </w:tc>
        <w:tc>
          <w:tcPr>
            <w:tcW w:w="1493" w:type="dxa"/>
          </w:tcPr>
          <w:p w:rsidR="00F156D3" w:rsidRPr="00D51D99" w:rsidRDefault="00F156D3" w:rsidP="00BB167C">
            <w:pPr>
              <w:spacing w:before="120"/>
              <w:rPr>
                <w:sz w:val="20"/>
                <w:szCs w:val="20"/>
              </w:rPr>
            </w:pPr>
          </w:p>
        </w:tc>
        <w:tc>
          <w:tcPr>
            <w:tcW w:w="1303" w:type="dxa"/>
          </w:tcPr>
          <w:p w:rsidR="00F156D3" w:rsidRPr="00D51D99" w:rsidRDefault="00F156D3" w:rsidP="00BB167C">
            <w:pPr>
              <w:spacing w:before="120"/>
              <w:rPr>
                <w:sz w:val="20"/>
                <w:szCs w:val="20"/>
              </w:rPr>
            </w:pPr>
          </w:p>
        </w:tc>
      </w:tr>
      <w:tr w:rsidR="009E1124" w:rsidRPr="00D51D99" w:rsidTr="00F156D3">
        <w:trPr>
          <w:trHeight w:val="67"/>
        </w:trPr>
        <w:tc>
          <w:tcPr>
            <w:tcW w:w="1750" w:type="dxa"/>
            <w:gridSpan w:val="2"/>
            <w:vMerge w:val="restart"/>
            <w:tcBorders>
              <w:top w:val="single" w:sz="4" w:space="0" w:color="000000" w:themeColor="text1"/>
            </w:tcBorders>
          </w:tcPr>
          <w:p w:rsidR="009E1124" w:rsidRPr="00D51D99" w:rsidRDefault="009E1124" w:rsidP="00BB167C">
            <w:pPr>
              <w:spacing w:before="120"/>
              <w:rPr>
                <w:sz w:val="20"/>
                <w:szCs w:val="20"/>
              </w:rPr>
            </w:pPr>
            <w:r w:rsidRPr="00D51D99">
              <w:rPr>
                <w:sz w:val="20"/>
                <w:szCs w:val="20"/>
              </w:rPr>
              <w:t>T</w:t>
            </w:r>
            <w:r>
              <w:rPr>
                <w:sz w:val="20"/>
                <w:szCs w:val="20"/>
              </w:rPr>
              <w:t>asmania</w:t>
            </w:r>
          </w:p>
        </w:tc>
        <w:tc>
          <w:tcPr>
            <w:tcW w:w="3263" w:type="dxa"/>
            <w:vAlign w:val="center"/>
          </w:tcPr>
          <w:p w:rsidR="009E1124" w:rsidRPr="00D51D99" w:rsidRDefault="009E1124" w:rsidP="00BB167C">
            <w:pPr>
              <w:spacing w:before="120"/>
              <w:rPr>
                <w:sz w:val="20"/>
                <w:szCs w:val="20"/>
              </w:rPr>
            </w:pPr>
            <w:r w:rsidRPr="00D51D99">
              <w:rPr>
                <w:sz w:val="20"/>
                <w:szCs w:val="20"/>
              </w:rPr>
              <w:t>Number of requests</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E22F5D">
              <w:rPr>
                <w:sz w:val="20"/>
                <w:szCs w:val="20"/>
              </w:rPr>
              <w:t xml:space="preserve"> – GMCP</w:t>
            </w:r>
            <w:r>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E22F5D">
              <w:rPr>
                <w:sz w:val="20"/>
                <w:szCs w:val="20"/>
              </w:rPr>
              <w:t xml:space="preserve"> – GMCP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E22F5D">
              <w:rPr>
                <w:sz w:val="20"/>
                <w:szCs w:val="20"/>
              </w:rPr>
              <w:t xml:space="preserve"> – GMCP</w:t>
            </w:r>
            <w:r w:rsidRPr="00C56EF7">
              <w:rPr>
                <w:sz w:val="20"/>
                <w:szCs w:val="20"/>
              </w:rPr>
              <w:t xml:space="preserve"> – other CSP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7"/>
        </w:trPr>
        <w:tc>
          <w:tcPr>
            <w:tcW w:w="1750" w:type="dxa"/>
            <w:gridSpan w:val="2"/>
            <w:vMerge w:val="restart"/>
          </w:tcPr>
          <w:p w:rsidR="009E1124" w:rsidRPr="00D51D99" w:rsidRDefault="009E1124" w:rsidP="00BB167C">
            <w:pPr>
              <w:spacing w:before="120"/>
              <w:rPr>
                <w:sz w:val="20"/>
                <w:szCs w:val="20"/>
              </w:rPr>
            </w:pPr>
            <w:r w:rsidRPr="00D51D99">
              <w:rPr>
                <w:sz w:val="20"/>
                <w:szCs w:val="20"/>
              </w:rPr>
              <w:t>N</w:t>
            </w:r>
            <w:r>
              <w:rPr>
                <w:sz w:val="20"/>
                <w:szCs w:val="20"/>
              </w:rPr>
              <w:t>orthern Territory</w:t>
            </w:r>
          </w:p>
        </w:tc>
        <w:tc>
          <w:tcPr>
            <w:tcW w:w="3263" w:type="dxa"/>
            <w:vAlign w:val="center"/>
          </w:tcPr>
          <w:p w:rsidR="009E1124" w:rsidRPr="00D51D99" w:rsidRDefault="009E1124" w:rsidP="00BB167C">
            <w:pPr>
              <w:spacing w:before="120"/>
              <w:rPr>
                <w:sz w:val="20"/>
                <w:szCs w:val="20"/>
              </w:rPr>
            </w:pPr>
            <w:r w:rsidRPr="00D51D99">
              <w:rPr>
                <w:sz w:val="20"/>
                <w:szCs w:val="20"/>
              </w:rPr>
              <w:t>Number of requests</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E22F5D">
              <w:rPr>
                <w:sz w:val="20"/>
                <w:szCs w:val="20"/>
              </w:rPr>
              <w:t xml:space="preserve"> – GMCP</w:t>
            </w:r>
            <w:r>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E22F5D">
              <w:rPr>
                <w:sz w:val="20"/>
                <w:szCs w:val="20"/>
              </w:rPr>
              <w:t xml:space="preserve"> – GMCP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E22F5D">
              <w:rPr>
                <w:sz w:val="20"/>
                <w:szCs w:val="20"/>
              </w:rPr>
              <w:t xml:space="preserve"> – GMCP</w:t>
            </w:r>
            <w:r w:rsidRPr="00C56EF7">
              <w:rPr>
                <w:sz w:val="20"/>
                <w:szCs w:val="20"/>
              </w:rPr>
              <w:t xml:space="preserve"> – other CSP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7"/>
        </w:trPr>
        <w:tc>
          <w:tcPr>
            <w:tcW w:w="1750" w:type="dxa"/>
            <w:gridSpan w:val="2"/>
            <w:vMerge w:val="restart"/>
          </w:tcPr>
          <w:p w:rsidR="009E1124" w:rsidRPr="00D51D99" w:rsidRDefault="009E1124" w:rsidP="00BB167C">
            <w:pPr>
              <w:spacing w:before="120"/>
              <w:rPr>
                <w:sz w:val="20"/>
                <w:szCs w:val="20"/>
              </w:rPr>
            </w:pPr>
            <w:r>
              <w:rPr>
                <w:sz w:val="20"/>
                <w:szCs w:val="20"/>
              </w:rPr>
              <w:t>Australia</w:t>
            </w:r>
          </w:p>
        </w:tc>
        <w:tc>
          <w:tcPr>
            <w:tcW w:w="3263" w:type="dxa"/>
            <w:vAlign w:val="center"/>
          </w:tcPr>
          <w:p w:rsidR="009E1124" w:rsidRPr="00D51D99" w:rsidRDefault="009E1124" w:rsidP="00BB167C">
            <w:pPr>
              <w:spacing w:before="120"/>
              <w:rPr>
                <w:sz w:val="20"/>
                <w:szCs w:val="20"/>
              </w:rPr>
            </w:pPr>
            <w:r w:rsidRPr="00D51D99">
              <w:rPr>
                <w:sz w:val="20"/>
                <w:szCs w:val="20"/>
              </w:rPr>
              <w:t>Number of requests</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E22F5D">
              <w:rPr>
                <w:sz w:val="20"/>
                <w:szCs w:val="20"/>
              </w:rPr>
              <w:t xml:space="preserve"> – GMCP</w:t>
            </w:r>
            <w:r>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E22F5D">
              <w:rPr>
                <w:sz w:val="20"/>
                <w:szCs w:val="20"/>
              </w:rPr>
              <w:t xml:space="preserve"> – GMCP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r w:rsidR="009E1124" w:rsidRPr="00D51D99" w:rsidTr="00F156D3">
        <w:trPr>
          <w:trHeight w:val="66"/>
        </w:trPr>
        <w:tc>
          <w:tcPr>
            <w:tcW w:w="1750" w:type="dxa"/>
            <w:gridSpan w:val="2"/>
            <w:vMerge/>
          </w:tcPr>
          <w:p w:rsidR="009E1124" w:rsidRPr="00D51D99" w:rsidRDefault="009E1124" w:rsidP="00BB167C">
            <w:pPr>
              <w:spacing w:before="120"/>
              <w:rPr>
                <w:sz w:val="20"/>
                <w:szCs w:val="20"/>
              </w:rPr>
            </w:pPr>
          </w:p>
        </w:tc>
        <w:tc>
          <w:tcPr>
            <w:tcW w:w="3263"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E22F5D">
              <w:rPr>
                <w:sz w:val="20"/>
                <w:szCs w:val="20"/>
              </w:rPr>
              <w:t xml:space="preserve"> – GMCP</w:t>
            </w:r>
            <w:r w:rsidRPr="00C56EF7">
              <w:rPr>
                <w:sz w:val="20"/>
                <w:szCs w:val="20"/>
              </w:rPr>
              <w:t xml:space="preserve"> – other CSP</w:t>
            </w:r>
            <w:r w:rsidRPr="00D51D99">
              <w:rPr>
                <w:sz w:val="20"/>
                <w:szCs w:val="20"/>
              </w:rPr>
              <w:t>)</w:t>
            </w:r>
          </w:p>
        </w:tc>
        <w:tc>
          <w:tcPr>
            <w:tcW w:w="1493" w:type="dxa"/>
          </w:tcPr>
          <w:p w:rsidR="009E1124" w:rsidRPr="00D51D99" w:rsidRDefault="009E1124" w:rsidP="00BB167C">
            <w:pPr>
              <w:spacing w:before="120"/>
              <w:rPr>
                <w:sz w:val="20"/>
                <w:szCs w:val="20"/>
              </w:rPr>
            </w:pPr>
          </w:p>
        </w:tc>
        <w:tc>
          <w:tcPr>
            <w:tcW w:w="1303" w:type="dxa"/>
          </w:tcPr>
          <w:p w:rsidR="009E1124" w:rsidRPr="00D51D99" w:rsidRDefault="009E1124" w:rsidP="00BB167C">
            <w:pPr>
              <w:spacing w:before="120"/>
              <w:rPr>
                <w:sz w:val="20"/>
                <w:szCs w:val="20"/>
              </w:rPr>
            </w:pPr>
          </w:p>
        </w:tc>
      </w:tr>
    </w:tbl>
    <w:p w:rsidR="009E1124" w:rsidRDefault="009E1124" w:rsidP="00F156D3">
      <w:pPr>
        <w:spacing w:before="120"/>
        <w:ind w:left="1440" w:hanging="1014"/>
        <w:rPr>
          <w:sz w:val="20"/>
          <w:szCs w:val="20"/>
        </w:rPr>
      </w:pPr>
      <w:r w:rsidRPr="004B4366">
        <w:rPr>
          <w:i/>
          <w:sz w:val="20"/>
          <w:szCs w:val="20"/>
        </w:rPr>
        <w:t>Note</w:t>
      </w:r>
      <w:r w:rsidR="00AD7C3F">
        <w:rPr>
          <w:i/>
          <w:sz w:val="20"/>
          <w:szCs w:val="20"/>
        </w:rPr>
        <w:t xml:space="preserve"> 1</w:t>
      </w:r>
      <w:r>
        <w:rPr>
          <w:i/>
          <w:sz w:val="20"/>
          <w:szCs w:val="20"/>
        </w:rPr>
        <w:t>:</w:t>
      </w:r>
      <w:r w:rsidRPr="004B4366">
        <w:rPr>
          <w:sz w:val="20"/>
          <w:szCs w:val="20"/>
        </w:rPr>
        <w:tab/>
      </w:r>
      <w:r>
        <w:rPr>
          <w:sz w:val="20"/>
          <w:szCs w:val="20"/>
        </w:rPr>
        <w:t>The information to be included in Table 3 is the information referred to in item 3 of Schedule 1.</w:t>
      </w:r>
    </w:p>
    <w:p w:rsidR="00AD7C3F" w:rsidRDefault="00AD7C3F" w:rsidP="00F156D3">
      <w:pPr>
        <w:spacing w:before="120"/>
        <w:ind w:left="1440" w:hanging="1014"/>
        <w:rPr>
          <w:sz w:val="20"/>
          <w:szCs w:val="20"/>
        </w:rPr>
      </w:pPr>
      <w:r>
        <w:rPr>
          <w:i/>
          <w:sz w:val="20"/>
          <w:szCs w:val="20"/>
        </w:rPr>
        <w:t>Note 2:</w:t>
      </w:r>
      <w:r>
        <w:rPr>
          <w:sz w:val="20"/>
          <w:szCs w:val="20"/>
        </w:rPr>
        <w:tab/>
        <w:t xml:space="preserve">In Table 3, </w:t>
      </w:r>
      <w:r w:rsidRPr="00AD7C3F">
        <w:rPr>
          <w:b/>
          <w:i/>
          <w:sz w:val="20"/>
          <w:szCs w:val="20"/>
        </w:rPr>
        <w:t>GMCP</w:t>
      </w:r>
      <w:r>
        <w:rPr>
          <w:sz w:val="20"/>
          <w:szCs w:val="20"/>
        </w:rPr>
        <w:t xml:space="preserve"> means guaranteed maximum connection period</w:t>
      </w:r>
      <w:r w:rsidR="0009512E">
        <w:rPr>
          <w:sz w:val="20"/>
          <w:szCs w:val="20"/>
        </w:rPr>
        <w:t xml:space="preserve"> and </w:t>
      </w:r>
      <w:r w:rsidR="0009512E" w:rsidRPr="0009512E">
        <w:rPr>
          <w:b/>
          <w:i/>
          <w:sz w:val="20"/>
          <w:szCs w:val="20"/>
        </w:rPr>
        <w:t>CSP</w:t>
      </w:r>
      <w:r w:rsidR="0009512E">
        <w:rPr>
          <w:sz w:val="20"/>
          <w:szCs w:val="20"/>
        </w:rPr>
        <w:t xml:space="preserve"> means carriage service provider</w:t>
      </w:r>
      <w:r>
        <w:rPr>
          <w:sz w:val="20"/>
          <w:szCs w:val="20"/>
        </w:rPr>
        <w:t>.</w:t>
      </w:r>
    </w:p>
    <w:p w:rsidR="00AD7C3F" w:rsidRDefault="00AD7C3F" w:rsidP="00F156D3">
      <w:pPr>
        <w:spacing w:before="120"/>
        <w:ind w:left="1440" w:hanging="1014"/>
        <w:rPr>
          <w:sz w:val="20"/>
          <w:szCs w:val="20"/>
        </w:rPr>
      </w:pPr>
      <w:r>
        <w:rPr>
          <w:i/>
          <w:sz w:val="20"/>
          <w:szCs w:val="20"/>
        </w:rPr>
        <w:t>Note 3:</w:t>
      </w:r>
      <w:r>
        <w:rPr>
          <w:sz w:val="20"/>
          <w:szCs w:val="20"/>
        </w:rPr>
        <w:tab/>
      </w:r>
      <w:r w:rsidR="0009512E">
        <w:rPr>
          <w:sz w:val="20"/>
          <w:szCs w:val="20"/>
        </w:rPr>
        <w:t>In Table 3, entries in the rows marked “Number (did not comply – GMCP)” must comprise all requests that were</w:t>
      </w:r>
      <w:r w:rsidR="007449E0">
        <w:rPr>
          <w:sz w:val="20"/>
          <w:szCs w:val="20"/>
        </w:rPr>
        <w:t xml:space="preserve"> subject to, but were</w:t>
      </w:r>
      <w:r w:rsidR="0009512E">
        <w:rPr>
          <w:sz w:val="20"/>
          <w:szCs w:val="20"/>
        </w:rPr>
        <w:t xml:space="preserve"> not complied with in</w:t>
      </w:r>
      <w:r w:rsidR="007449E0">
        <w:rPr>
          <w:sz w:val="20"/>
          <w:szCs w:val="20"/>
        </w:rPr>
        <w:t>,</w:t>
      </w:r>
      <w:r w:rsidR="0009512E">
        <w:rPr>
          <w:sz w:val="20"/>
          <w:szCs w:val="20"/>
        </w:rPr>
        <w:t xml:space="preserve"> the guaranteed maximum connection period, including those that were not complied </w:t>
      </w:r>
      <w:r w:rsidR="007D0C4D">
        <w:rPr>
          <w:sz w:val="20"/>
          <w:szCs w:val="20"/>
        </w:rPr>
        <w:t xml:space="preserve">with </w:t>
      </w:r>
      <w:r w:rsidR="0009512E">
        <w:rPr>
          <w:sz w:val="20"/>
          <w:szCs w:val="20"/>
        </w:rPr>
        <w:t xml:space="preserve">due to acts or omissions by another carriage service provider. </w:t>
      </w:r>
      <w:r>
        <w:rPr>
          <w:sz w:val="20"/>
          <w:szCs w:val="20"/>
        </w:rPr>
        <w:t xml:space="preserve"> </w:t>
      </w:r>
    </w:p>
    <w:p w:rsidR="009E1124" w:rsidRDefault="009E1124" w:rsidP="009E1124">
      <w:pPr>
        <w:spacing w:before="240" w:after="240"/>
        <w:ind w:left="425"/>
        <w:rPr>
          <w:b/>
        </w:rPr>
      </w:pPr>
      <w:r w:rsidRPr="00013DF8">
        <w:rPr>
          <w:b/>
        </w:rPr>
        <w:t xml:space="preserve">Table </w:t>
      </w:r>
      <w:r>
        <w:rPr>
          <w:b/>
        </w:rPr>
        <w:t>4</w:t>
      </w:r>
      <w:r w:rsidRPr="00013DF8">
        <w:rPr>
          <w:b/>
        </w:rPr>
        <w:t xml:space="preserve"> – </w:t>
      </w:r>
      <w:r>
        <w:rPr>
          <w:b/>
        </w:rPr>
        <w:t xml:space="preserve">Performance information relating to new connections </w:t>
      </w:r>
    </w:p>
    <w:tbl>
      <w:tblPr>
        <w:tblStyle w:val="TableGrid"/>
        <w:tblW w:w="0" w:type="auto"/>
        <w:tblInd w:w="720" w:type="dxa"/>
        <w:tblLook w:val="04A0"/>
      </w:tblPr>
      <w:tblGrid>
        <w:gridCol w:w="1493"/>
        <w:gridCol w:w="2214"/>
        <w:gridCol w:w="960"/>
        <w:gridCol w:w="807"/>
        <w:gridCol w:w="811"/>
        <w:gridCol w:w="850"/>
        <w:gridCol w:w="674"/>
      </w:tblGrid>
      <w:tr w:rsidR="009E1124" w:rsidRPr="00D51D99" w:rsidTr="006709EE">
        <w:trPr>
          <w:trHeight w:val="225"/>
        </w:trPr>
        <w:tc>
          <w:tcPr>
            <w:tcW w:w="1493" w:type="dxa"/>
            <w:tcBorders>
              <w:bottom w:val="nil"/>
            </w:tcBorders>
          </w:tcPr>
          <w:p w:rsidR="009E1124" w:rsidRPr="00D51D99" w:rsidRDefault="009E1124" w:rsidP="00BB167C">
            <w:pPr>
              <w:spacing w:before="120"/>
              <w:rPr>
                <w:b/>
                <w:sz w:val="20"/>
                <w:szCs w:val="20"/>
              </w:rPr>
            </w:pPr>
            <w:r>
              <w:rPr>
                <w:b/>
                <w:sz w:val="20"/>
                <w:szCs w:val="20"/>
              </w:rPr>
              <w:t>Nominated area</w:t>
            </w:r>
          </w:p>
        </w:tc>
        <w:tc>
          <w:tcPr>
            <w:tcW w:w="2214" w:type="dxa"/>
            <w:tcBorders>
              <w:bottom w:val="nil"/>
            </w:tcBorders>
          </w:tcPr>
          <w:p w:rsidR="009E1124" w:rsidRPr="00D51D99" w:rsidRDefault="009E1124" w:rsidP="00BB167C">
            <w:pPr>
              <w:spacing w:before="120"/>
              <w:rPr>
                <w:b/>
                <w:sz w:val="20"/>
                <w:szCs w:val="20"/>
              </w:rPr>
            </w:pPr>
            <w:r>
              <w:rPr>
                <w:b/>
                <w:sz w:val="20"/>
                <w:szCs w:val="20"/>
              </w:rPr>
              <w:t xml:space="preserve">New connections </w:t>
            </w:r>
          </w:p>
        </w:tc>
        <w:tc>
          <w:tcPr>
            <w:tcW w:w="4102" w:type="dxa"/>
            <w:gridSpan w:val="5"/>
          </w:tcPr>
          <w:p w:rsidR="009E1124" w:rsidRPr="00D51D99" w:rsidRDefault="009E1124" w:rsidP="00BB167C">
            <w:pPr>
              <w:spacing w:before="120"/>
              <w:jc w:val="center"/>
              <w:rPr>
                <w:b/>
                <w:sz w:val="20"/>
                <w:szCs w:val="20"/>
              </w:rPr>
            </w:pPr>
            <w:r>
              <w:rPr>
                <w:b/>
                <w:sz w:val="20"/>
                <w:szCs w:val="20"/>
              </w:rPr>
              <w:t xml:space="preserve">For quarter ending </w:t>
            </w:r>
            <w:r w:rsidRPr="00DE5A73">
              <w:rPr>
                <w:b/>
                <w:sz w:val="20"/>
                <w:szCs w:val="20"/>
              </w:rPr>
              <w:t>[insert]</w:t>
            </w:r>
          </w:p>
        </w:tc>
      </w:tr>
      <w:tr w:rsidR="009E1124" w:rsidRPr="00D51D99" w:rsidTr="006709EE">
        <w:trPr>
          <w:trHeight w:val="67"/>
        </w:trPr>
        <w:tc>
          <w:tcPr>
            <w:tcW w:w="1493" w:type="dxa"/>
            <w:tcBorders>
              <w:top w:val="nil"/>
            </w:tcBorders>
          </w:tcPr>
          <w:p w:rsidR="009E1124" w:rsidRPr="00D51D99" w:rsidRDefault="009E1124" w:rsidP="00BB167C">
            <w:pPr>
              <w:spacing w:before="120"/>
              <w:rPr>
                <w:sz w:val="20"/>
                <w:szCs w:val="20"/>
              </w:rPr>
            </w:pPr>
          </w:p>
        </w:tc>
        <w:tc>
          <w:tcPr>
            <w:tcW w:w="2214" w:type="dxa"/>
            <w:tcBorders>
              <w:top w:val="nil"/>
            </w:tcBorders>
            <w:vAlign w:val="center"/>
          </w:tcPr>
          <w:p w:rsidR="009E1124" w:rsidRPr="00D51D99" w:rsidRDefault="009E1124" w:rsidP="00BB167C">
            <w:pPr>
              <w:spacing w:before="120"/>
              <w:rPr>
                <w:sz w:val="20"/>
                <w:szCs w:val="20"/>
              </w:rPr>
            </w:pPr>
          </w:p>
        </w:tc>
        <w:tc>
          <w:tcPr>
            <w:tcW w:w="960" w:type="dxa"/>
          </w:tcPr>
          <w:p w:rsidR="009E1124" w:rsidRPr="00D51D99" w:rsidRDefault="009E1124" w:rsidP="00BB167C">
            <w:pPr>
              <w:spacing w:before="120"/>
              <w:rPr>
                <w:sz w:val="20"/>
                <w:szCs w:val="20"/>
              </w:rPr>
            </w:pPr>
            <w:r>
              <w:rPr>
                <w:sz w:val="20"/>
                <w:szCs w:val="20"/>
              </w:rPr>
              <w:t>Urban Areas</w:t>
            </w:r>
          </w:p>
        </w:tc>
        <w:tc>
          <w:tcPr>
            <w:tcW w:w="807" w:type="dxa"/>
          </w:tcPr>
          <w:p w:rsidR="009E1124" w:rsidRPr="00D51D99" w:rsidRDefault="009E1124" w:rsidP="00BB167C">
            <w:pPr>
              <w:spacing w:before="120"/>
              <w:rPr>
                <w:sz w:val="20"/>
                <w:szCs w:val="20"/>
              </w:rPr>
            </w:pPr>
            <w:r>
              <w:rPr>
                <w:sz w:val="20"/>
                <w:szCs w:val="20"/>
              </w:rPr>
              <w:t>Major Rural Areas</w:t>
            </w:r>
          </w:p>
        </w:tc>
        <w:tc>
          <w:tcPr>
            <w:tcW w:w="811" w:type="dxa"/>
          </w:tcPr>
          <w:p w:rsidR="009E1124" w:rsidRPr="00D51D99" w:rsidRDefault="009E1124" w:rsidP="00BB167C">
            <w:pPr>
              <w:spacing w:before="120"/>
              <w:rPr>
                <w:sz w:val="20"/>
                <w:szCs w:val="20"/>
              </w:rPr>
            </w:pPr>
            <w:r>
              <w:rPr>
                <w:sz w:val="20"/>
                <w:szCs w:val="20"/>
              </w:rPr>
              <w:t>Minor Rural Areas</w:t>
            </w:r>
          </w:p>
        </w:tc>
        <w:tc>
          <w:tcPr>
            <w:tcW w:w="850" w:type="dxa"/>
          </w:tcPr>
          <w:p w:rsidR="009E1124" w:rsidRPr="00D51D99" w:rsidRDefault="009E1124" w:rsidP="00BB167C">
            <w:pPr>
              <w:spacing w:before="120"/>
              <w:rPr>
                <w:sz w:val="20"/>
                <w:szCs w:val="20"/>
              </w:rPr>
            </w:pPr>
            <w:r>
              <w:rPr>
                <w:sz w:val="20"/>
                <w:szCs w:val="20"/>
              </w:rPr>
              <w:t>Remote Areas</w:t>
            </w:r>
          </w:p>
        </w:tc>
        <w:tc>
          <w:tcPr>
            <w:tcW w:w="674" w:type="dxa"/>
          </w:tcPr>
          <w:p w:rsidR="009E1124" w:rsidRDefault="009E1124" w:rsidP="00BB167C">
            <w:pPr>
              <w:spacing w:before="120"/>
              <w:rPr>
                <w:sz w:val="20"/>
                <w:szCs w:val="20"/>
              </w:rPr>
            </w:pPr>
            <w:r>
              <w:rPr>
                <w:sz w:val="20"/>
                <w:szCs w:val="20"/>
              </w:rPr>
              <w:t>Total</w:t>
            </w:r>
          </w:p>
        </w:tc>
      </w:tr>
      <w:tr w:rsidR="009E1124" w:rsidRPr="00D51D99" w:rsidTr="006709EE">
        <w:trPr>
          <w:trHeight w:val="67"/>
        </w:trPr>
        <w:tc>
          <w:tcPr>
            <w:tcW w:w="1493" w:type="dxa"/>
            <w:vMerge w:val="restart"/>
          </w:tcPr>
          <w:p w:rsidR="009E1124" w:rsidRPr="00D51D99" w:rsidRDefault="009E1124" w:rsidP="00BB167C">
            <w:pPr>
              <w:spacing w:before="120"/>
              <w:rPr>
                <w:sz w:val="20"/>
                <w:szCs w:val="20"/>
              </w:rPr>
            </w:pPr>
            <w:r w:rsidRPr="00D51D99">
              <w:rPr>
                <w:sz w:val="20"/>
                <w:szCs w:val="20"/>
              </w:rPr>
              <w:t>N</w:t>
            </w:r>
            <w:r>
              <w:rPr>
                <w:sz w:val="20"/>
                <w:szCs w:val="20"/>
              </w:rPr>
              <w:t xml:space="preserve">ew </w:t>
            </w:r>
            <w:r w:rsidRPr="00D51D99">
              <w:rPr>
                <w:sz w:val="20"/>
                <w:szCs w:val="20"/>
              </w:rPr>
              <w:t>S</w:t>
            </w:r>
            <w:r>
              <w:rPr>
                <w:sz w:val="20"/>
                <w:szCs w:val="20"/>
              </w:rPr>
              <w:t xml:space="preserve">outh </w:t>
            </w:r>
            <w:r w:rsidRPr="00D51D99">
              <w:rPr>
                <w:sz w:val="20"/>
                <w:szCs w:val="20"/>
              </w:rPr>
              <w:t>W</w:t>
            </w:r>
            <w:r>
              <w:rPr>
                <w:sz w:val="20"/>
                <w:szCs w:val="20"/>
              </w:rPr>
              <w:t>ales</w:t>
            </w:r>
            <w:r w:rsidRPr="00D51D99">
              <w:rPr>
                <w:sz w:val="20"/>
                <w:szCs w:val="20"/>
              </w:rPr>
              <w:t xml:space="preserve"> and the A</w:t>
            </w:r>
            <w:r>
              <w:rPr>
                <w:sz w:val="20"/>
                <w:szCs w:val="20"/>
              </w:rPr>
              <w:t xml:space="preserve">ustralian Capital Territory </w:t>
            </w:r>
          </w:p>
        </w:tc>
        <w:tc>
          <w:tcPr>
            <w:tcW w:w="2214" w:type="dxa"/>
            <w:vAlign w:val="center"/>
          </w:tcPr>
          <w:p w:rsidR="009E1124" w:rsidRPr="00D51D99" w:rsidRDefault="009E1124" w:rsidP="00BB167C">
            <w:pPr>
              <w:spacing w:before="120"/>
              <w:rPr>
                <w:sz w:val="20"/>
                <w:szCs w:val="20"/>
              </w:rPr>
            </w:pPr>
            <w:r w:rsidRPr="00D51D99">
              <w:rPr>
                <w:sz w:val="20"/>
                <w:szCs w:val="20"/>
              </w:rPr>
              <w:t>Number of requests</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B60A32">
              <w:rPr>
                <w:sz w:val="20"/>
                <w:szCs w:val="20"/>
              </w:rPr>
              <w:t xml:space="preserve"> – GMCP</w:t>
            </w:r>
            <w:r>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D06A43">
              <w:rPr>
                <w:sz w:val="20"/>
                <w:szCs w:val="20"/>
              </w:rPr>
              <w:t xml:space="preserve"> </w:t>
            </w:r>
            <w:r w:rsidR="00B60A32">
              <w:rPr>
                <w:sz w:val="20"/>
                <w:szCs w:val="20"/>
              </w:rPr>
              <w:t>– GMCP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Default="009E1124" w:rsidP="00BB167C">
            <w:pPr>
              <w:spacing w:before="120"/>
              <w:rPr>
                <w:sz w:val="20"/>
                <w:szCs w:val="20"/>
              </w:rPr>
            </w:pPr>
            <w:r w:rsidRPr="00D51D99">
              <w:rPr>
                <w:sz w:val="20"/>
                <w:szCs w:val="20"/>
              </w:rPr>
              <w:t>Number (</w:t>
            </w:r>
            <w:r w:rsidRPr="00C56EF7">
              <w:rPr>
                <w:sz w:val="20"/>
                <w:szCs w:val="20"/>
              </w:rPr>
              <w:t xml:space="preserve">did not comply </w:t>
            </w:r>
            <w:r w:rsidR="00AB5CC6">
              <w:rPr>
                <w:sz w:val="20"/>
                <w:szCs w:val="20"/>
              </w:rPr>
              <w:t>– GMCP</w:t>
            </w:r>
            <w:r w:rsidR="00AB5CC6" w:rsidRPr="00C56EF7">
              <w:rPr>
                <w:sz w:val="20"/>
                <w:szCs w:val="20"/>
              </w:rPr>
              <w:t xml:space="preserve"> </w:t>
            </w:r>
            <w:r w:rsidRPr="00C56EF7">
              <w:rPr>
                <w:sz w:val="20"/>
                <w:szCs w:val="20"/>
              </w:rPr>
              <w:t>– other CSP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7"/>
        </w:trPr>
        <w:tc>
          <w:tcPr>
            <w:tcW w:w="1493" w:type="dxa"/>
            <w:vMerge w:val="restart"/>
          </w:tcPr>
          <w:p w:rsidR="009E1124" w:rsidRPr="00D51D99" w:rsidRDefault="009E1124" w:rsidP="00BB167C">
            <w:pPr>
              <w:spacing w:before="120"/>
              <w:rPr>
                <w:sz w:val="20"/>
                <w:szCs w:val="20"/>
              </w:rPr>
            </w:pPr>
            <w:r w:rsidRPr="00D51D99">
              <w:rPr>
                <w:sz w:val="20"/>
                <w:szCs w:val="20"/>
              </w:rPr>
              <w:t>V</w:t>
            </w:r>
            <w:r>
              <w:rPr>
                <w:sz w:val="20"/>
                <w:szCs w:val="20"/>
              </w:rPr>
              <w:t>ictoria</w:t>
            </w:r>
          </w:p>
        </w:tc>
        <w:tc>
          <w:tcPr>
            <w:tcW w:w="2214" w:type="dxa"/>
            <w:vAlign w:val="center"/>
          </w:tcPr>
          <w:p w:rsidR="009E1124" w:rsidRPr="00D51D99" w:rsidRDefault="009E1124" w:rsidP="00BB167C">
            <w:pPr>
              <w:spacing w:before="120"/>
              <w:rPr>
                <w:sz w:val="20"/>
                <w:szCs w:val="20"/>
              </w:rPr>
            </w:pPr>
            <w:r w:rsidRPr="00D51D99">
              <w:rPr>
                <w:sz w:val="20"/>
                <w:szCs w:val="20"/>
              </w:rPr>
              <w:t>Number of requests</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AB5CC6">
              <w:rPr>
                <w:sz w:val="20"/>
                <w:szCs w:val="20"/>
              </w:rPr>
              <w:t xml:space="preserve"> – GMCP</w:t>
            </w:r>
            <w:r>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D06A43">
              <w:rPr>
                <w:sz w:val="20"/>
                <w:szCs w:val="20"/>
              </w:rPr>
              <w:t xml:space="preserve"> </w:t>
            </w:r>
            <w:r w:rsidR="00AB5CC6">
              <w:rPr>
                <w:sz w:val="20"/>
                <w:szCs w:val="20"/>
              </w:rPr>
              <w:t>– GMCP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Default="009E1124" w:rsidP="00BB167C">
            <w:pPr>
              <w:spacing w:before="120"/>
              <w:rPr>
                <w:sz w:val="20"/>
                <w:szCs w:val="20"/>
              </w:rPr>
            </w:pPr>
            <w:r w:rsidRPr="00D51D99">
              <w:rPr>
                <w:sz w:val="20"/>
                <w:szCs w:val="20"/>
              </w:rPr>
              <w:t>Number (</w:t>
            </w:r>
            <w:r w:rsidRPr="00C56EF7">
              <w:rPr>
                <w:sz w:val="20"/>
                <w:szCs w:val="20"/>
              </w:rPr>
              <w:t xml:space="preserve">did not comply </w:t>
            </w:r>
            <w:r w:rsidR="00AB5CC6">
              <w:rPr>
                <w:sz w:val="20"/>
                <w:szCs w:val="20"/>
              </w:rPr>
              <w:t>– GMCP</w:t>
            </w:r>
            <w:r w:rsidR="00AB5CC6" w:rsidRPr="00C56EF7">
              <w:rPr>
                <w:sz w:val="20"/>
                <w:szCs w:val="20"/>
              </w:rPr>
              <w:t xml:space="preserve"> </w:t>
            </w:r>
            <w:r w:rsidRPr="00C56EF7">
              <w:rPr>
                <w:sz w:val="20"/>
                <w:szCs w:val="20"/>
              </w:rPr>
              <w:t>– other CSP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7"/>
        </w:trPr>
        <w:tc>
          <w:tcPr>
            <w:tcW w:w="1493" w:type="dxa"/>
            <w:vMerge w:val="restart"/>
          </w:tcPr>
          <w:p w:rsidR="009E1124" w:rsidRPr="00D51D99" w:rsidRDefault="009E1124" w:rsidP="00BB167C">
            <w:pPr>
              <w:spacing w:before="120"/>
              <w:rPr>
                <w:sz w:val="20"/>
                <w:szCs w:val="20"/>
              </w:rPr>
            </w:pPr>
            <w:r w:rsidRPr="00D51D99">
              <w:rPr>
                <w:sz w:val="20"/>
                <w:szCs w:val="20"/>
              </w:rPr>
              <w:t>Q</w:t>
            </w:r>
            <w:r>
              <w:rPr>
                <w:sz w:val="20"/>
                <w:szCs w:val="20"/>
              </w:rPr>
              <w:t>ueensland</w:t>
            </w:r>
          </w:p>
        </w:tc>
        <w:tc>
          <w:tcPr>
            <w:tcW w:w="2214" w:type="dxa"/>
            <w:vAlign w:val="center"/>
          </w:tcPr>
          <w:p w:rsidR="009E1124" w:rsidRPr="00D51D99" w:rsidRDefault="009E1124" w:rsidP="00BB167C">
            <w:pPr>
              <w:spacing w:before="120"/>
              <w:rPr>
                <w:sz w:val="20"/>
                <w:szCs w:val="20"/>
              </w:rPr>
            </w:pPr>
            <w:r w:rsidRPr="00D51D99">
              <w:rPr>
                <w:sz w:val="20"/>
                <w:szCs w:val="20"/>
              </w:rPr>
              <w:t>Number of requests</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AB5CC6">
              <w:rPr>
                <w:sz w:val="20"/>
                <w:szCs w:val="20"/>
              </w:rPr>
              <w:t> – GMCP</w:t>
            </w:r>
            <w:r>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AB5CC6">
              <w:rPr>
                <w:sz w:val="20"/>
                <w:szCs w:val="20"/>
              </w:rPr>
              <w:t xml:space="preserve"> – GMCP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Default="009E1124" w:rsidP="00BB167C">
            <w:pPr>
              <w:spacing w:before="120"/>
              <w:rPr>
                <w:sz w:val="20"/>
                <w:szCs w:val="20"/>
              </w:rPr>
            </w:pPr>
            <w:r w:rsidRPr="00D51D99">
              <w:rPr>
                <w:sz w:val="20"/>
                <w:szCs w:val="20"/>
              </w:rPr>
              <w:t>Number (</w:t>
            </w:r>
            <w:r w:rsidRPr="00C56EF7">
              <w:rPr>
                <w:sz w:val="20"/>
                <w:szCs w:val="20"/>
              </w:rPr>
              <w:t>did not comply</w:t>
            </w:r>
            <w:r w:rsidR="00AB5CC6">
              <w:rPr>
                <w:sz w:val="20"/>
                <w:szCs w:val="20"/>
              </w:rPr>
              <w:t xml:space="preserve"> – GMCP</w:t>
            </w:r>
            <w:r w:rsidRPr="00C56EF7">
              <w:rPr>
                <w:sz w:val="20"/>
                <w:szCs w:val="20"/>
              </w:rPr>
              <w:t xml:space="preserve"> – other CSP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7"/>
        </w:trPr>
        <w:tc>
          <w:tcPr>
            <w:tcW w:w="1493" w:type="dxa"/>
            <w:vMerge w:val="restart"/>
          </w:tcPr>
          <w:p w:rsidR="009E1124" w:rsidRPr="00D51D99" w:rsidRDefault="009E1124" w:rsidP="00BB167C">
            <w:pPr>
              <w:spacing w:before="120"/>
              <w:rPr>
                <w:sz w:val="20"/>
                <w:szCs w:val="20"/>
              </w:rPr>
            </w:pPr>
            <w:r>
              <w:rPr>
                <w:sz w:val="20"/>
                <w:szCs w:val="20"/>
              </w:rPr>
              <w:t>Western Australia</w:t>
            </w:r>
          </w:p>
        </w:tc>
        <w:tc>
          <w:tcPr>
            <w:tcW w:w="2214" w:type="dxa"/>
            <w:vAlign w:val="center"/>
          </w:tcPr>
          <w:p w:rsidR="009E1124" w:rsidRPr="00D51D99" w:rsidRDefault="009E1124" w:rsidP="00BB167C">
            <w:pPr>
              <w:spacing w:before="120"/>
              <w:rPr>
                <w:sz w:val="20"/>
                <w:szCs w:val="20"/>
              </w:rPr>
            </w:pPr>
            <w:r w:rsidRPr="00D51D99">
              <w:rPr>
                <w:sz w:val="20"/>
                <w:szCs w:val="20"/>
              </w:rPr>
              <w:t>Number of requests</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AB5CC6">
              <w:rPr>
                <w:sz w:val="20"/>
                <w:szCs w:val="20"/>
              </w:rPr>
              <w:t xml:space="preserve"> – GMCP</w:t>
            </w:r>
            <w:r>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AB5CC6">
              <w:rPr>
                <w:sz w:val="20"/>
                <w:szCs w:val="20"/>
              </w:rPr>
              <w:t xml:space="preserve"> – GMCP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Default="009E1124" w:rsidP="00BB167C">
            <w:pPr>
              <w:spacing w:before="120"/>
              <w:rPr>
                <w:sz w:val="20"/>
                <w:szCs w:val="20"/>
              </w:rPr>
            </w:pPr>
            <w:r w:rsidRPr="00D51D99">
              <w:rPr>
                <w:sz w:val="20"/>
                <w:szCs w:val="20"/>
              </w:rPr>
              <w:t>Number (</w:t>
            </w:r>
            <w:r w:rsidRPr="00C56EF7">
              <w:rPr>
                <w:sz w:val="20"/>
                <w:szCs w:val="20"/>
              </w:rPr>
              <w:t xml:space="preserve">did not comply </w:t>
            </w:r>
            <w:r w:rsidR="00AB5CC6">
              <w:rPr>
                <w:sz w:val="20"/>
                <w:szCs w:val="20"/>
              </w:rPr>
              <w:t>– GMCP</w:t>
            </w:r>
            <w:r w:rsidR="00AB5CC6" w:rsidRPr="00C56EF7">
              <w:rPr>
                <w:sz w:val="20"/>
                <w:szCs w:val="20"/>
              </w:rPr>
              <w:t xml:space="preserve"> </w:t>
            </w:r>
            <w:r w:rsidRPr="00C56EF7">
              <w:rPr>
                <w:sz w:val="20"/>
                <w:szCs w:val="20"/>
              </w:rPr>
              <w:t>– other CSP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7"/>
        </w:trPr>
        <w:tc>
          <w:tcPr>
            <w:tcW w:w="1493" w:type="dxa"/>
            <w:vMerge w:val="restart"/>
          </w:tcPr>
          <w:p w:rsidR="009E1124" w:rsidRPr="00D51D99" w:rsidRDefault="009E1124" w:rsidP="00BB167C">
            <w:pPr>
              <w:spacing w:before="120"/>
              <w:rPr>
                <w:sz w:val="20"/>
                <w:szCs w:val="20"/>
              </w:rPr>
            </w:pPr>
            <w:r>
              <w:rPr>
                <w:sz w:val="20"/>
                <w:szCs w:val="20"/>
              </w:rPr>
              <w:t>South Australia</w:t>
            </w:r>
          </w:p>
        </w:tc>
        <w:tc>
          <w:tcPr>
            <w:tcW w:w="2214" w:type="dxa"/>
            <w:vAlign w:val="center"/>
          </w:tcPr>
          <w:p w:rsidR="009E1124" w:rsidRPr="00D51D99" w:rsidRDefault="009E1124" w:rsidP="00BB167C">
            <w:pPr>
              <w:spacing w:before="120"/>
              <w:rPr>
                <w:sz w:val="20"/>
                <w:szCs w:val="20"/>
              </w:rPr>
            </w:pPr>
            <w:r w:rsidRPr="00D51D99">
              <w:rPr>
                <w:sz w:val="20"/>
                <w:szCs w:val="20"/>
              </w:rPr>
              <w:t>Number of requests</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AB5CC6">
              <w:rPr>
                <w:sz w:val="20"/>
                <w:szCs w:val="20"/>
              </w:rPr>
              <w:t xml:space="preserve"> – GMCP</w:t>
            </w:r>
            <w:r>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AB5CC6">
              <w:rPr>
                <w:sz w:val="20"/>
                <w:szCs w:val="20"/>
              </w:rPr>
              <w:t xml:space="preserve"> – GMCP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Default="009E1124" w:rsidP="00BB167C">
            <w:pPr>
              <w:spacing w:before="120"/>
              <w:rPr>
                <w:sz w:val="20"/>
                <w:szCs w:val="20"/>
              </w:rPr>
            </w:pPr>
            <w:r w:rsidRPr="00D51D99">
              <w:rPr>
                <w:sz w:val="20"/>
                <w:szCs w:val="20"/>
              </w:rPr>
              <w:t>Number (</w:t>
            </w:r>
            <w:r w:rsidRPr="00C56EF7">
              <w:rPr>
                <w:sz w:val="20"/>
                <w:szCs w:val="20"/>
              </w:rPr>
              <w:t xml:space="preserve">did not comply </w:t>
            </w:r>
            <w:r w:rsidR="00AB5CC6">
              <w:rPr>
                <w:sz w:val="20"/>
                <w:szCs w:val="20"/>
              </w:rPr>
              <w:t>– GMCP</w:t>
            </w:r>
            <w:r w:rsidR="00AB5CC6" w:rsidRPr="00C56EF7">
              <w:rPr>
                <w:sz w:val="20"/>
                <w:szCs w:val="20"/>
              </w:rPr>
              <w:t xml:space="preserve"> </w:t>
            </w:r>
            <w:r w:rsidRPr="00C56EF7">
              <w:rPr>
                <w:sz w:val="20"/>
                <w:szCs w:val="20"/>
              </w:rPr>
              <w:t>– other CSP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7"/>
        </w:trPr>
        <w:tc>
          <w:tcPr>
            <w:tcW w:w="1493" w:type="dxa"/>
            <w:vMerge w:val="restart"/>
          </w:tcPr>
          <w:p w:rsidR="009E1124" w:rsidRPr="00D51D99" w:rsidRDefault="009E1124" w:rsidP="00BB167C">
            <w:pPr>
              <w:spacing w:before="120"/>
              <w:rPr>
                <w:sz w:val="20"/>
                <w:szCs w:val="20"/>
              </w:rPr>
            </w:pPr>
            <w:r w:rsidRPr="00D51D99">
              <w:rPr>
                <w:sz w:val="20"/>
                <w:szCs w:val="20"/>
              </w:rPr>
              <w:t>T</w:t>
            </w:r>
            <w:r>
              <w:rPr>
                <w:sz w:val="20"/>
                <w:szCs w:val="20"/>
              </w:rPr>
              <w:t>asmania</w:t>
            </w:r>
          </w:p>
        </w:tc>
        <w:tc>
          <w:tcPr>
            <w:tcW w:w="2214" w:type="dxa"/>
            <w:vAlign w:val="center"/>
          </w:tcPr>
          <w:p w:rsidR="009E1124" w:rsidRPr="00D51D99" w:rsidRDefault="009E1124" w:rsidP="00BB167C">
            <w:pPr>
              <w:spacing w:before="120"/>
              <w:rPr>
                <w:sz w:val="20"/>
                <w:szCs w:val="20"/>
              </w:rPr>
            </w:pPr>
            <w:r w:rsidRPr="00D51D99">
              <w:rPr>
                <w:sz w:val="20"/>
                <w:szCs w:val="20"/>
              </w:rPr>
              <w:t>Number of requests</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AB5CC6">
              <w:rPr>
                <w:sz w:val="20"/>
                <w:szCs w:val="20"/>
              </w:rPr>
              <w:t xml:space="preserve"> – GMCP</w:t>
            </w:r>
            <w:r>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AB5CC6">
              <w:rPr>
                <w:sz w:val="20"/>
                <w:szCs w:val="20"/>
              </w:rPr>
              <w:t xml:space="preserve"> – GMCP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Borders>
              <w:bottom w:val="single" w:sz="4" w:space="0" w:color="000000" w:themeColor="text1"/>
            </w:tcBorders>
          </w:tcPr>
          <w:p w:rsidR="009E1124" w:rsidRPr="00D51D99" w:rsidRDefault="009E1124" w:rsidP="00BB167C">
            <w:pPr>
              <w:spacing w:before="120"/>
              <w:rPr>
                <w:sz w:val="20"/>
                <w:szCs w:val="20"/>
              </w:rPr>
            </w:pPr>
          </w:p>
        </w:tc>
        <w:tc>
          <w:tcPr>
            <w:tcW w:w="2214" w:type="dxa"/>
            <w:vAlign w:val="center"/>
          </w:tcPr>
          <w:p w:rsidR="009E1124" w:rsidRDefault="009E1124" w:rsidP="00BB167C">
            <w:pPr>
              <w:spacing w:before="120"/>
              <w:rPr>
                <w:sz w:val="20"/>
                <w:szCs w:val="20"/>
              </w:rPr>
            </w:pPr>
            <w:r w:rsidRPr="00D51D99">
              <w:rPr>
                <w:sz w:val="20"/>
                <w:szCs w:val="20"/>
              </w:rPr>
              <w:t>Number (</w:t>
            </w:r>
            <w:r w:rsidRPr="00C56EF7">
              <w:rPr>
                <w:sz w:val="20"/>
                <w:szCs w:val="20"/>
              </w:rPr>
              <w:t xml:space="preserve">did not comply </w:t>
            </w:r>
            <w:r w:rsidR="00AB5CC6">
              <w:rPr>
                <w:sz w:val="20"/>
                <w:szCs w:val="20"/>
              </w:rPr>
              <w:t>– GMCP</w:t>
            </w:r>
            <w:r w:rsidR="00AB5CC6" w:rsidRPr="00C56EF7">
              <w:rPr>
                <w:sz w:val="20"/>
                <w:szCs w:val="20"/>
              </w:rPr>
              <w:t xml:space="preserve"> </w:t>
            </w:r>
            <w:r w:rsidRPr="00C56EF7">
              <w:rPr>
                <w:sz w:val="20"/>
                <w:szCs w:val="20"/>
              </w:rPr>
              <w:t>– other CSP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6709EE" w:rsidRPr="00D51D99" w:rsidTr="006709EE">
        <w:trPr>
          <w:trHeight w:val="67"/>
        </w:trPr>
        <w:tc>
          <w:tcPr>
            <w:tcW w:w="1493" w:type="dxa"/>
            <w:tcBorders>
              <w:bottom w:val="nil"/>
            </w:tcBorders>
          </w:tcPr>
          <w:p w:rsidR="006709EE" w:rsidRPr="00D51D99" w:rsidRDefault="006709EE" w:rsidP="00BB167C">
            <w:pPr>
              <w:spacing w:before="120"/>
              <w:rPr>
                <w:sz w:val="20"/>
                <w:szCs w:val="20"/>
              </w:rPr>
            </w:pPr>
            <w:r w:rsidRPr="00D51D99">
              <w:rPr>
                <w:sz w:val="20"/>
                <w:szCs w:val="20"/>
              </w:rPr>
              <w:t>N</w:t>
            </w:r>
            <w:r>
              <w:rPr>
                <w:sz w:val="20"/>
                <w:szCs w:val="20"/>
              </w:rPr>
              <w:t>orthern Territory</w:t>
            </w:r>
          </w:p>
        </w:tc>
        <w:tc>
          <w:tcPr>
            <w:tcW w:w="2214" w:type="dxa"/>
            <w:vAlign w:val="center"/>
          </w:tcPr>
          <w:p w:rsidR="006709EE" w:rsidRPr="00D51D99" w:rsidRDefault="006709EE" w:rsidP="00BB167C">
            <w:pPr>
              <w:spacing w:before="120"/>
              <w:rPr>
                <w:sz w:val="20"/>
                <w:szCs w:val="20"/>
              </w:rPr>
            </w:pPr>
            <w:r w:rsidRPr="00D51D99">
              <w:rPr>
                <w:sz w:val="20"/>
                <w:szCs w:val="20"/>
              </w:rPr>
              <w:t>Number of requests</w:t>
            </w:r>
          </w:p>
        </w:tc>
        <w:tc>
          <w:tcPr>
            <w:tcW w:w="960" w:type="dxa"/>
          </w:tcPr>
          <w:p w:rsidR="006709EE" w:rsidRPr="00D51D99" w:rsidRDefault="006709EE" w:rsidP="00BB167C">
            <w:pPr>
              <w:spacing w:before="120"/>
              <w:rPr>
                <w:sz w:val="20"/>
                <w:szCs w:val="20"/>
              </w:rPr>
            </w:pPr>
          </w:p>
        </w:tc>
        <w:tc>
          <w:tcPr>
            <w:tcW w:w="807" w:type="dxa"/>
          </w:tcPr>
          <w:p w:rsidR="006709EE" w:rsidRPr="00D51D99" w:rsidRDefault="006709EE" w:rsidP="00BB167C">
            <w:pPr>
              <w:spacing w:before="120"/>
              <w:rPr>
                <w:sz w:val="20"/>
                <w:szCs w:val="20"/>
              </w:rPr>
            </w:pPr>
          </w:p>
        </w:tc>
        <w:tc>
          <w:tcPr>
            <w:tcW w:w="811" w:type="dxa"/>
          </w:tcPr>
          <w:p w:rsidR="006709EE" w:rsidRPr="00D51D99" w:rsidRDefault="006709EE" w:rsidP="00BB167C">
            <w:pPr>
              <w:spacing w:before="120"/>
              <w:rPr>
                <w:sz w:val="20"/>
                <w:szCs w:val="20"/>
              </w:rPr>
            </w:pPr>
          </w:p>
        </w:tc>
        <w:tc>
          <w:tcPr>
            <w:tcW w:w="850" w:type="dxa"/>
          </w:tcPr>
          <w:p w:rsidR="006709EE" w:rsidRPr="00D51D99" w:rsidRDefault="006709EE" w:rsidP="00BB167C">
            <w:pPr>
              <w:spacing w:before="120"/>
              <w:rPr>
                <w:sz w:val="20"/>
                <w:szCs w:val="20"/>
              </w:rPr>
            </w:pPr>
          </w:p>
        </w:tc>
        <w:tc>
          <w:tcPr>
            <w:tcW w:w="674" w:type="dxa"/>
          </w:tcPr>
          <w:p w:rsidR="006709EE" w:rsidRPr="00D51D99" w:rsidRDefault="006709EE" w:rsidP="00BB167C">
            <w:pPr>
              <w:spacing w:before="120"/>
              <w:rPr>
                <w:sz w:val="20"/>
                <w:szCs w:val="20"/>
              </w:rPr>
            </w:pPr>
          </w:p>
        </w:tc>
      </w:tr>
      <w:tr w:rsidR="006709EE" w:rsidRPr="00D51D99" w:rsidTr="006709EE">
        <w:trPr>
          <w:trHeight w:val="66"/>
        </w:trPr>
        <w:tc>
          <w:tcPr>
            <w:tcW w:w="1493" w:type="dxa"/>
            <w:tcBorders>
              <w:top w:val="nil"/>
              <w:bottom w:val="nil"/>
            </w:tcBorders>
          </w:tcPr>
          <w:p w:rsidR="006709EE" w:rsidRPr="00D51D99" w:rsidRDefault="006709EE" w:rsidP="00BB167C">
            <w:pPr>
              <w:spacing w:before="120"/>
              <w:rPr>
                <w:sz w:val="20"/>
                <w:szCs w:val="20"/>
              </w:rPr>
            </w:pPr>
          </w:p>
        </w:tc>
        <w:tc>
          <w:tcPr>
            <w:tcW w:w="2214" w:type="dxa"/>
            <w:vAlign w:val="center"/>
          </w:tcPr>
          <w:p w:rsidR="006709EE" w:rsidRPr="00D51D99" w:rsidRDefault="006709EE" w:rsidP="00BB167C">
            <w:pPr>
              <w:spacing w:before="120"/>
              <w:rPr>
                <w:sz w:val="20"/>
                <w:szCs w:val="20"/>
              </w:rPr>
            </w:pPr>
            <w:r w:rsidRPr="00D51D99">
              <w:rPr>
                <w:sz w:val="20"/>
                <w:szCs w:val="20"/>
              </w:rPr>
              <w:t xml:space="preserve">Number </w:t>
            </w:r>
            <w:r>
              <w:rPr>
                <w:sz w:val="20"/>
                <w:szCs w:val="20"/>
              </w:rPr>
              <w:t>(complied – GMCP)</w:t>
            </w:r>
          </w:p>
        </w:tc>
        <w:tc>
          <w:tcPr>
            <w:tcW w:w="960" w:type="dxa"/>
          </w:tcPr>
          <w:p w:rsidR="006709EE" w:rsidRPr="00D51D99" w:rsidRDefault="006709EE" w:rsidP="00BB167C">
            <w:pPr>
              <w:spacing w:before="120"/>
              <w:rPr>
                <w:sz w:val="20"/>
                <w:szCs w:val="20"/>
              </w:rPr>
            </w:pPr>
          </w:p>
        </w:tc>
        <w:tc>
          <w:tcPr>
            <w:tcW w:w="807" w:type="dxa"/>
          </w:tcPr>
          <w:p w:rsidR="006709EE" w:rsidRPr="00D51D99" w:rsidRDefault="006709EE" w:rsidP="00BB167C">
            <w:pPr>
              <w:spacing w:before="120"/>
              <w:rPr>
                <w:sz w:val="20"/>
                <w:szCs w:val="20"/>
              </w:rPr>
            </w:pPr>
          </w:p>
        </w:tc>
        <w:tc>
          <w:tcPr>
            <w:tcW w:w="811" w:type="dxa"/>
          </w:tcPr>
          <w:p w:rsidR="006709EE" w:rsidRPr="00D51D99" w:rsidRDefault="006709EE" w:rsidP="00BB167C">
            <w:pPr>
              <w:spacing w:before="120"/>
              <w:rPr>
                <w:sz w:val="20"/>
                <w:szCs w:val="20"/>
              </w:rPr>
            </w:pPr>
          </w:p>
        </w:tc>
        <w:tc>
          <w:tcPr>
            <w:tcW w:w="850" w:type="dxa"/>
          </w:tcPr>
          <w:p w:rsidR="006709EE" w:rsidRPr="00D51D99" w:rsidRDefault="006709EE" w:rsidP="00BB167C">
            <w:pPr>
              <w:spacing w:before="120"/>
              <w:rPr>
                <w:sz w:val="20"/>
                <w:szCs w:val="20"/>
              </w:rPr>
            </w:pPr>
          </w:p>
        </w:tc>
        <w:tc>
          <w:tcPr>
            <w:tcW w:w="674" w:type="dxa"/>
          </w:tcPr>
          <w:p w:rsidR="006709EE" w:rsidRPr="00D51D99" w:rsidRDefault="006709EE" w:rsidP="00BB167C">
            <w:pPr>
              <w:spacing w:before="120"/>
              <w:rPr>
                <w:sz w:val="20"/>
                <w:szCs w:val="20"/>
              </w:rPr>
            </w:pPr>
          </w:p>
        </w:tc>
      </w:tr>
      <w:tr w:rsidR="006709EE" w:rsidRPr="00D51D99" w:rsidTr="006709EE">
        <w:trPr>
          <w:trHeight w:val="66"/>
        </w:trPr>
        <w:tc>
          <w:tcPr>
            <w:tcW w:w="1493" w:type="dxa"/>
            <w:tcBorders>
              <w:top w:val="nil"/>
              <w:bottom w:val="single" w:sz="4" w:space="0" w:color="000000" w:themeColor="text1"/>
            </w:tcBorders>
          </w:tcPr>
          <w:p w:rsidR="006709EE" w:rsidRPr="00D51D99" w:rsidRDefault="006709EE" w:rsidP="00BB167C">
            <w:pPr>
              <w:spacing w:before="120"/>
              <w:rPr>
                <w:sz w:val="20"/>
                <w:szCs w:val="20"/>
              </w:rPr>
            </w:pPr>
          </w:p>
        </w:tc>
        <w:tc>
          <w:tcPr>
            <w:tcW w:w="2214" w:type="dxa"/>
            <w:vAlign w:val="center"/>
          </w:tcPr>
          <w:p w:rsidR="006709EE" w:rsidRPr="00D51D99" w:rsidRDefault="006709EE"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GMCP</w:t>
            </w:r>
            <w:r w:rsidRPr="00D51D99">
              <w:rPr>
                <w:sz w:val="20"/>
                <w:szCs w:val="20"/>
              </w:rPr>
              <w:t>)</w:t>
            </w:r>
          </w:p>
        </w:tc>
        <w:tc>
          <w:tcPr>
            <w:tcW w:w="960" w:type="dxa"/>
          </w:tcPr>
          <w:p w:rsidR="006709EE" w:rsidRPr="00D51D99" w:rsidRDefault="006709EE" w:rsidP="00BB167C">
            <w:pPr>
              <w:spacing w:before="120"/>
              <w:rPr>
                <w:sz w:val="20"/>
                <w:szCs w:val="20"/>
              </w:rPr>
            </w:pPr>
          </w:p>
        </w:tc>
        <w:tc>
          <w:tcPr>
            <w:tcW w:w="807" w:type="dxa"/>
          </w:tcPr>
          <w:p w:rsidR="006709EE" w:rsidRPr="00D51D99" w:rsidRDefault="006709EE" w:rsidP="00BB167C">
            <w:pPr>
              <w:spacing w:before="120"/>
              <w:rPr>
                <w:sz w:val="20"/>
                <w:szCs w:val="20"/>
              </w:rPr>
            </w:pPr>
          </w:p>
        </w:tc>
        <w:tc>
          <w:tcPr>
            <w:tcW w:w="811" w:type="dxa"/>
          </w:tcPr>
          <w:p w:rsidR="006709EE" w:rsidRPr="00D51D99" w:rsidRDefault="006709EE" w:rsidP="00BB167C">
            <w:pPr>
              <w:spacing w:before="120"/>
              <w:rPr>
                <w:sz w:val="20"/>
                <w:szCs w:val="20"/>
              </w:rPr>
            </w:pPr>
          </w:p>
        </w:tc>
        <w:tc>
          <w:tcPr>
            <w:tcW w:w="850" w:type="dxa"/>
          </w:tcPr>
          <w:p w:rsidR="006709EE" w:rsidRPr="00D51D99" w:rsidRDefault="006709EE" w:rsidP="00BB167C">
            <w:pPr>
              <w:spacing w:before="120"/>
              <w:rPr>
                <w:sz w:val="20"/>
                <w:szCs w:val="20"/>
              </w:rPr>
            </w:pPr>
          </w:p>
        </w:tc>
        <w:tc>
          <w:tcPr>
            <w:tcW w:w="674" w:type="dxa"/>
          </w:tcPr>
          <w:p w:rsidR="006709EE" w:rsidRPr="00D51D99" w:rsidRDefault="006709EE" w:rsidP="00BB167C">
            <w:pPr>
              <w:spacing w:before="120"/>
              <w:rPr>
                <w:sz w:val="20"/>
                <w:szCs w:val="20"/>
              </w:rPr>
            </w:pPr>
          </w:p>
        </w:tc>
      </w:tr>
      <w:tr w:rsidR="006709EE" w:rsidRPr="00D51D99" w:rsidTr="006709EE">
        <w:trPr>
          <w:trHeight w:val="66"/>
        </w:trPr>
        <w:tc>
          <w:tcPr>
            <w:tcW w:w="1493" w:type="dxa"/>
            <w:tcBorders>
              <w:top w:val="single" w:sz="4" w:space="0" w:color="000000" w:themeColor="text1"/>
              <w:bottom w:val="nil"/>
            </w:tcBorders>
          </w:tcPr>
          <w:p w:rsidR="006709EE" w:rsidRPr="00D51D99" w:rsidRDefault="006709EE" w:rsidP="00BB167C">
            <w:pPr>
              <w:spacing w:before="120"/>
              <w:rPr>
                <w:sz w:val="20"/>
                <w:szCs w:val="20"/>
              </w:rPr>
            </w:pPr>
          </w:p>
        </w:tc>
        <w:tc>
          <w:tcPr>
            <w:tcW w:w="2214" w:type="dxa"/>
            <w:vAlign w:val="center"/>
          </w:tcPr>
          <w:p w:rsidR="006709EE" w:rsidRPr="00D51D99" w:rsidRDefault="006709EE" w:rsidP="00BB167C">
            <w:pPr>
              <w:spacing w:before="120"/>
              <w:rPr>
                <w:sz w:val="20"/>
                <w:szCs w:val="20"/>
              </w:rPr>
            </w:pPr>
            <w:r>
              <w:rPr>
                <w:sz w:val="20"/>
                <w:szCs w:val="20"/>
              </w:rPr>
              <w:t>Number (complied – CSG Standard (section 9) arrangement)</w:t>
            </w:r>
          </w:p>
        </w:tc>
        <w:tc>
          <w:tcPr>
            <w:tcW w:w="960" w:type="dxa"/>
          </w:tcPr>
          <w:p w:rsidR="006709EE" w:rsidRPr="00D51D99" w:rsidRDefault="006709EE" w:rsidP="00BB167C">
            <w:pPr>
              <w:spacing w:before="120"/>
              <w:rPr>
                <w:sz w:val="20"/>
                <w:szCs w:val="20"/>
              </w:rPr>
            </w:pPr>
          </w:p>
        </w:tc>
        <w:tc>
          <w:tcPr>
            <w:tcW w:w="807" w:type="dxa"/>
          </w:tcPr>
          <w:p w:rsidR="006709EE" w:rsidRPr="00D51D99" w:rsidRDefault="006709EE" w:rsidP="00BB167C">
            <w:pPr>
              <w:spacing w:before="120"/>
              <w:rPr>
                <w:sz w:val="20"/>
                <w:szCs w:val="20"/>
              </w:rPr>
            </w:pPr>
          </w:p>
        </w:tc>
        <w:tc>
          <w:tcPr>
            <w:tcW w:w="811" w:type="dxa"/>
          </w:tcPr>
          <w:p w:rsidR="006709EE" w:rsidRPr="00D51D99" w:rsidRDefault="006709EE" w:rsidP="00BB167C">
            <w:pPr>
              <w:spacing w:before="120"/>
              <w:rPr>
                <w:sz w:val="20"/>
                <w:szCs w:val="20"/>
              </w:rPr>
            </w:pPr>
          </w:p>
        </w:tc>
        <w:tc>
          <w:tcPr>
            <w:tcW w:w="850" w:type="dxa"/>
          </w:tcPr>
          <w:p w:rsidR="006709EE" w:rsidRPr="00D51D99" w:rsidRDefault="006709EE" w:rsidP="00BB167C">
            <w:pPr>
              <w:spacing w:before="120"/>
              <w:rPr>
                <w:sz w:val="20"/>
                <w:szCs w:val="20"/>
              </w:rPr>
            </w:pPr>
          </w:p>
        </w:tc>
        <w:tc>
          <w:tcPr>
            <w:tcW w:w="674" w:type="dxa"/>
          </w:tcPr>
          <w:p w:rsidR="006709EE" w:rsidRPr="00D51D99" w:rsidRDefault="006709EE" w:rsidP="00BB167C">
            <w:pPr>
              <w:spacing w:before="120"/>
              <w:rPr>
                <w:sz w:val="20"/>
                <w:szCs w:val="20"/>
              </w:rPr>
            </w:pPr>
          </w:p>
        </w:tc>
      </w:tr>
      <w:tr w:rsidR="006709EE" w:rsidRPr="00D51D99" w:rsidTr="006709EE">
        <w:trPr>
          <w:trHeight w:val="66"/>
        </w:trPr>
        <w:tc>
          <w:tcPr>
            <w:tcW w:w="1493" w:type="dxa"/>
            <w:tcBorders>
              <w:top w:val="nil"/>
              <w:bottom w:val="nil"/>
            </w:tcBorders>
          </w:tcPr>
          <w:p w:rsidR="006709EE" w:rsidRPr="00D51D99" w:rsidRDefault="006709EE" w:rsidP="00BB167C">
            <w:pPr>
              <w:spacing w:before="120"/>
              <w:rPr>
                <w:sz w:val="20"/>
                <w:szCs w:val="20"/>
              </w:rPr>
            </w:pPr>
          </w:p>
        </w:tc>
        <w:tc>
          <w:tcPr>
            <w:tcW w:w="2214" w:type="dxa"/>
            <w:vAlign w:val="center"/>
          </w:tcPr>
          <w:p w:rsidR="006709EE" w:rsidRPr="00D51D99" w:rsidRDefault="006709EE" w:rsidP="00BB167C">
            <w:pPr>
              <w:spacing w:before="120"/>
              <w:rPr>
                <w:sz w:val="20"/>
                <w:szCs w:val="20"/>
              </w:rPr>
            </w:pPr>
            <w:r>
              <w:rPr>
                <w:sz w:val="20"/>
                <w:szCs w:val="20"/>
              </w:rPr>
              <w:t>Number (did not comply – CSG Standard (section 9) arrangement)</w:t>
            </w:r>
          </w:p>
        </w:tc>
        <w:tc>
          <w:tcPr>
            <w:tcW w:w="960" w:type="dxa"/>
          </w:tcPr>
          <w:p w:rsidR="006709EE" w:rsidRPr="00D51D99" w:rsidRDefault="006709EE" w:rsidP="00BB167C">
            <w:pPr>
              <w:spacing w:before="120"/>
              <w:rPr>
                <w:sz w:val="20"/>
                <w:szCs w:val="20"/>
              </w:rPr>
            </w:pPr>
          </w:p>
        </w:tc>
        <w:tc>
          <w:tcPr>
            <w:tcW w:w="807" w:type="dxa"/>
          </w:tcPr>
          <w:p w:rsidR="006709EE" w:rsidRPr="00D51D99" w:rsidRDefault="006709EE" w:rsidP="00BB167C">
            <w:pPr>
              <w:spacing w:before="120"/>
              <w:rPr>
                <w:sz w:val="20"/>
                <w:szCs w:val="20"/>
              </w:rPr>
            </w:pPr>
          </w:p>
        </w:tc>
        <w:tc>
          <w:tcPr>
            <w:tcW w:w="811" w:type="dxa"/>
          </w:tcPr>
          <w:p w:rsidR="006709EE" w:rsidRPr="00D51D99" w:rsidRDefault="006709EE" w:rsidP="00BB167C">
            <w:pPr>
              <w:spacing w:before="120"/>
              <w:rPr>
                <w:sz w:val="20"/>
                <w:szCs w:val="20"/>
              </w:rPr>
            </w:pPr>
          </w:p>
        </w:tc>
        <w:tc>
          <w:tcPr>
            <w:tcW w:w="850" w:type="dxa"/>
          </w:tcPr>
          <w:p w:rsidR="006709EE" w:rsidRPr="00D51D99" w:rsidRDefault="006709EE" w:rsidP="00BB167C">
            <w:pPr>
              <w:spacing w:before="120"/>
              <w:rPr>
                <w:sz w:val="20"/>
                <w:szCs w:val="20"/>
              </w:rPr>
            </w:pPr>
          </w:p>
        </w:tc>
        <w:tc>
          <w:tcPr>
            <w:tcW w:w="674" w:type="dxa"/>
          </w:tcPr>
          <w:p w:rsidR="006709EE" w:rsidRPr="00D51D99" w:rsidRDefault="006709EE" w:rsidP="00BB167C">
            <w:pPr>
              <w:spacing w:before="120"/>
              <w:rPr>
                <w:sz w:val="20"/>
                <w:szCs w:val="20"/>
              </w:rPr>
            </w:pPr>
          </w:p>
        </w:tc>
      </w:tr>
      <w:tr w:rsidR="006709EE" w:rsidRPr="00D51D99" w:rsidTr="006709EE">
        <w:trPr>
          <w:trHeight w:val="66"/>
        </w:trPr>
        <w:tc>
          <w:tcPr>
            <w:tcW w:w="1493" w:type="dxa"/>
            <w:tcBorders>
              <w:top w:val="nil"/>
            </w:tcBorders>
          </w:tcPr>
          <w:p w:rsidR="006709EE" w:rsidRPr="00D51D99" w:rsidRDefault="006709EE" w:rsidP="00BB167C">
            <w:pPr>
              <w:spacing w:before="120"/>
              <w:rPr>
                <w:sz w:val="20"/>
                <w:szCs w:val="20"/>
              </w:rPr>
            </w:pPr>
          </w:p>
        </w:tc>
        <w:tc>
          <w:tcPr>
            <w:tcW w:w="2214" w:type="dxa"/>
            <w:vAlign w:val="center"/>
          </w:tcPr>
          <w:p w:rsidR="006709EE" w:rsidRDefault="006709EE" w:rsidP="00BB167C">
            <w:pPr>
              <w:spacing w:before="120"/>
              <w:rPr>
                <w:sz w:val="20"/>
                <w:szCs w:val="20"/>
              </w:rPr>
            </w:pPr>
            <w:r w:rsidRPr="00D51D99">
              <w:rPr>
                <w:sz w:val="20"/>
                <w:szCs w:val="20"/>
              </w:rPr>
              <w:t>Number (</w:t>
            </w:r>
            <w:r w:rsidRPr="00C56EF7">
              <w:rPr>
                <w:sz w:val="20"/>
                <w:szCs w:val="20"/>
              </w:rPr>
              <w:t xml:space="preserve">did not comply </w:t>
            </w:r>
            <w:r>
              <w:rPr>
                <w:sz w:val="20"/>
                <w:szCs w:val="20"/>
              </w:rPr>
              <w:t>– GMCP</w:t>
            </w:r>
            <w:r w:rsidRPr="00C56EF7">
              <w:rPr>
                <w:sz w:val="20"/>
                <w:szCs w:val="20"/>
              </w:rPr>
              <w:t xml:space="preserve"> – other CSP</w:t>
            </w:r>
            <w:r w:rsidRPr="00D51D99">
              <w:rPr>
                <w:sz w:val="20"/>
                <w:szCs w:val="20"/>
              </w:rPr>
              <w:t>)</w:t>
            </w:r>
          </w:p>
        </w:tc>
        <w:tc>
          <w:tcPr>
            <w:tcW w:w="960" w:type="dxa"/>
          </w:tcPr>
          <w:p w:rsidR="006709EE" w:rsidRPr="00D51D99" w:rsidRDefault="006709EE" w:rsidP="00BB167C">
            <w:pPr>
              <w:spacing w:before="120"/>
              <w:rPr>
                <w:sz w:val="20"/>
                <w:szCs w:val="20"/>
              </w:rPr>
            </w:pPr>
          </w:p>
        </w:tc>
        <w:tc>
          <w:tcPr>
            <w:tcW w:w="807" w:type="dxa"/>
          </w:tcPr>
          <w:p w:rsidR="006709EE" w:rsidRPr="00D51D99" w:rsidRDefault="006709EE" w:rsidP="00BB167C">
            <w:pPr>
              <w:spacing w:before="120"/>
              <w:rPr>
                <w:sz w:val="20"/>
                <w:szCs w:val="20"/>
              </w:rPr>
            </w:pPr>
          </w:p>
        </w:tc>
        <w:tc>
          <w:tcPr>
            <w:tcW w:w="811" w:type="dxa"/>
          </w:tcPr>
          <w:p w:rsidR="006709EE" w:rsidRPr="00D51D99" w:rsidRDefault="006709EE" w:rsidP="00BB167C">
            <w:pPr>
              <w:spacing w:before="120"/>
              <w:rPr>
                <w:sz w:val="20"/>
                <w:szCs w:val="20"/>
              </w:rPr>
            </w:pPr>
          </w:p>
        </w:tc>
        <w:tc>
          <w:tcPr>
            <w:tcW w:w="850" w:type="dxa"/>
          </w:tcPr>
          <w:p w:rsidR="006709EE" w:rsidRPr="00D51D99" w:rsidRDefault="006709EE" w:rsidP="00BB167C">
            <w:pPr>
              <w:spacing w:before="120"/>
              <w:rPr>
                <w:sz w:val="20"/>
                <w:szCs w:val="20"/>
              </w:rPr>
            </w:pPr>
          </w:p>
        </w:tc>
        <w:tc>
          <w:tcPr>
            <w:tcW w:w="674" w:type="dxa"/>
          </w:tcPr>
          <w:p w:rsidR="006709EE" w:rsidRPr="00D51D99" w:rsidRDefault="006709EE" w:rsidP="00BB167C">
            <w:pPr>
              <w:spacing w:before="120"/>
              <w:rPr>
                <w:sz w:val="20"/>
                <w:szCs w:val="20"/>
              </w:rPr>
            </w:pPr>
          </w:p>
        </w:tc>
      </w:tr>
      <w:tr w:rsidR="009E1124" w:rsidRPr="00D51D99" w:rsidTr="006709EE">
        <w:trPr>
          <w:trHeight w:val="67"/>
        </w:trPr>
        <w:tc>
          <w:tcPr>
            <w:tcW w:w="1493" w:type="dxa"/>
            <w:vMerge w:val="restart"/>
          </w:tcPr>
          <w:p w:rsidR="009E1124" w:rsidRDefault="009E1124" w:rsidP="00BB167C">
            <w:pPr>
              <w:spacing w:before="120"/>
              <w:rPr>
                <w:sz w:val="20"/>
                <w:szCs w:val="20"/>
              </w:rPr>
            </w:pPr>
            <w:r>
              <w:rPr>
                <w:sz w:val="20"/>
                <w:szCs w:val="20"/>
              </w:rPr>
              <w:t xml:space="preserve">Australia </w:t>
            </w:r>
          </w:p>
        </w:tc>
        <w:tc>
          <w:tcPr>
            <w:tcW w:w="2214" w:type="dxa"/>
            <w:vAlign w:val="center"/>
          </w:tcPr>
          <w:p w:rsidR="009E1124" w:rsidRPr="00D51D99" w:rsidRDefault="009E1124" w:rsidP="00BB167C">
            <w:pPr>
              <w:spacing w:before="120"/>
              <w:rPr>
                <w:sz w:val="20"/>
                <w:szCs w:val="20"/>
              </w:rPr>
            </w:pPr>
            <w:r w:rsidRPr="00D51D99">
              <w:rPr>
                <w:sz w:val="20"/>
                <w:szCs w:val="20"/>
              </w:rPr>
              <w:t>Number of requests</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AB5CC6">
              <w:rPr>
                <w:sz w:val="20"/>
                <w:szCs w:val="20"/>
              </w:rPr>
              <w:t xml:space="preserve"> – GMCP</w:t>
            </w:r>
            <w:r>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sidR="00AB5CC6">
              <w:rPr>
                <w:sz w:val="20"/>
                <w:szCs w:val="20"/>
              </w:rPr>
              <w:t xml:space="preserve"> – GMCP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(complied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Pr="00D51D99" w:rsidRDefault="009E1124" w:rsidP="00BB167C">
            <w:pPr>
              <w:spacing w:before="120"/>
              <w:rPr>
                <w:sz w:val="20"/>
                <w:szCs w:val="20"/>
              </w:rPr>
            </w:pPr>
            <w:r>
              <w:rPr>
                <w:sz w:val="20"/>
                <w:szCs w:val="20"/>
              </w:rPr>
              <w:t>Number (did not comply – CSG Standard (section 9) arrangement)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r w:rsidR="009E1124" w:rsidRPr="00D51D99" w:rsidTr="006709EE">
        <w:trPr>
          <w:trHeight w:val="66"/>
        </w:trPr>
        <w:tc>
          <w:tcPr>
            <w:tcW w:w="1493" w:type="dxa"/>
            <w:vMerge/>
          </w:tcPr>
          <w:p w:rsidR="009E1124" w:rsidRPr="00D51D99" w:rsidRDefault="009E1124" w:rsidP="00BB167C">
            <w:pPr>
              <w:spacing w:before="120"/>
              <w:rPr>
                <w:sz w:val="20"/>
                <w:szCs w:val="20"/>
              </w:rPr>
            </w:pPr>
          </w:p>
        </w:tc>
        <w:tc>
          <w:tcPr>
            <w:tcW w:w="2214" w:type="dxa"/>
            <w:vAlign w:val="center"/>
          </w:tcPr>
          <w:p w:rsidR="009E1124" w:rsidRDefault="009E1124" w:rsidP="00BB167C">
            <w:pPr>
              <w:spacing w:before="120"/>
              <w:rPr>
                <w:sz w:val="20"/>
                <w:szCs w:val="20"/>
              </w:rPr>
            </w:pPr>
            <w:r w:rsidRPr="00D51D99">
              <w:rPr>
                <w:sz w:val="20"/>
                <w:szCs w:val="20"/>
              </w:rPr>
              <w:t>Number (</w:t>
            </w:r>
            <w:r w:rsidRPr="00C56EF7">
              <w:rPr>
                <w:sz w:val="20"/>
                <w:szCs w:val="20"/>
              </w:rPr>
              <w:t xml:space="preserve">did not comply </w:t>
            </w:r>
            <w:r w:rsidR="00AB5CC6">
              <w:rPr>
                <w:sz w:val="20"/>
                <w:szCs w:val="20"/>
              </w:rPr>
              <w:t>– GMCP</w:t>
            </w:r>
            <w:r w:rsidR="00AB5CC6" w:rsidRPr="00C56EF7">
              <w:rPr>
                <w:sz w:val="20"/>
                <w:szCs w:val="20"/>
              </w:rPr>
              <w:t xml:space="preserve"> </w:t>
            </w:r>
            <w:r w:rsidRPr="00C56EF7">
              <w:rPr>
                <w:sz w:val="20"/>
                <w:szCs w:val="20"/>
              </w:rPr>
              <w:t>– other CSP</w:t>
            </w:r>
            <w:r w:rsidRPr="00D51D99">
              <w:rPr>
                <w:sz w:val="20"/>
                <w:szCs w:val="20"/>
              </w:rPr>
              <w:t>)</w:t>
            </w:r>
          </w:p>
        </w:tc>
        <w:tc>
          <w:tcPr>
            <w:tcW w:w="960" w:type="dxa"/>
          </w:tcPr>
          <w:p w:rsidR="009E1124" w:rsidRPr="00D51D99" w:rsidRDefault="009E1124" w:rsidP="00BB167C">
            <w:pPr>
              <w:spacing w:before="120"/>
              <w:rPr>
                <w:sz w:val="20"/>
                <w:szCs w:val="20"/>
              </w:rPr>
            </w:pPr>
          </w:p>
        </w:tc>
        <w:tc>
          <w:tcPr>
            <w:tcW w:w="807" w:type="dxa"/>
          </w:tcPr>
          <w:p w:rsidR="009E1124" w:rsidRPr="00D51D99" w:rsidRDefault="009E1124" w:rsidP="00BB167C">
            <w:pPr>
              <w:spacing w:before="120"/>
              <w:rPr>
                <w:sz w:val="20"/>
                <w:szCs w:val="20"/>
              </w:rPr>
            </w:pPr>
          </w:p>
        </w:tc>
        <w:tc>
          <w:tcPr>
            <w:tcW w:w="811" w:type="dxa"/>
          </w:tcPr>
          <w:p w:rsidR="009E1124" w:rsidRPr="00D51D99" w:rsidRDefault="009E1124" w:rsidP="00BB167C">
            <w:pPr>
              <w:spacing w:before="120"/>
              <w:rPr>
                <w:sz w:val="20"/>
                <w:szCs w:val="20"/>
              </w:rPr>
            </w:pPr>
          </w:p>
        </w:tc>
        <w:tc>
          <w:tcPr>
            <w:tcW w:w="850" w:type="dxa"/>
          </w:tcPr>
          <w:p w:rsidR="009E1124" w:rsidRPr="00D51D99" w:rsidRDefault="009E1124" w:rsidP="00BB167C">
            <w:pPr>
              <w:spacing w:before="120"/>
              <w:rPr>
                <w:sz w:val="20"/>
                <w:szCs w:val="20"/>
              </w:rPr>
            </w:pPr>
          </w:p>
        </w:tc>
        <w:tc>
          <w:tcPr>
            <w:tcW w:w="674" w:type="dxa"/>
          </w:tcPr>
          <w:p w:rsidR="009E1124" w:rsidRPr="00D51D99" w:rsidRDefault="009E1124" w:rsidP="00BB167C">
            <w:pPr>
              <w:spacing w:before="120"/>
              <w:rPr>
                <w:sz w:val="20"/>
                <w:szCs w:val="20"/>
              </w:rPr>
            </w:pPr>
          </w:p>
        </w:tc>
      </w:tr>
    </w:tbl>
    <w:p w:rsidR="009E1124" w:rsidRDefault="009E1124" w:rsidP="00F156D3">
      <w:pPr>
        <w:spacing w:before="120"/>
        <w:ind w:left="1440" w:hanging="1014"/>
        <w:rPr>
          <w:sz w:val="20"/>
          <w:szCs w:val="20"/>
        </w:rPr>
      </w:pPr>
      <w:r w:rsidRPr="004B4366">
        <w:rPr>
          <w:i/>
          <w:sz w:val="20"/>
          <w:szCs w:val="20"/>
        </w:rPr>
        <w:t>Note</w:t>
      </w:r>
      <w:r>
        <w:rPr>
          <w:i/>
          <w:sz w:val="20"/>
          <w:szCs w:val="20"/>
        </w:rPr>
        <w:t xml:space="preserve"> 1:</w:t>
      </w:r>
      <w:r w:rsidRPr="004B4366">
        <w:rPr>
          <w:sz w:val="20"/>
          <w:szCs w:val="20"/>
        </w:rPr>
        <w:tab/>
      </w:r>
      <w:r>
        <w:rPr>
          <w:sz w:val="20"/>
          <w:szCs w:val="20"/>
        </w:rPr>
        <w:t xml:space="preserve">The information to be included in Table 4 is the information referred to in </w:t>
      </w:r>
      <w:r w:rsidRPr="00E666B2">
        <w:rPr>
          <w:sz w:val="20"/>
          <w:szCs w:val="20"/>
        </w:rPr>
        <w:t xml:space="preserve">item </w:t>
      </w:r>
      <w:r>
        <w:rPr>
          <w:sz w:val="20"/>
          <w:szCs w:val="20"/>
        </w:rPr>
        <w:t>4 of Schedule </w:t>
      </w:r>
      <w:r w:rsidRPr="00E666B2">
        <w:rPr>
          <w:sz w:val="20"/>
          <w:szCs w:val="20"/>
        </w:rPr>
        <w:t>1.</w:t>
      </w:r>
    </w:p>
    <w:p w:rsidR="007D0C4D" w:rsidRDefault="007D0C4D" w:rsidP="00F156D3">
      <w:pPr>
        <w:spacing w:before="120"/>
        <w:ind w:left="1440" w:hanging="1014"/>
        <w:rPr>
          <w:sz w:val="20"/>
          <w:szCs w:val="20"/>
        </w:rPr>
      </w:pPr>
      <w:r>
        <w:rPr>
          <w:i/>
          <w:sz w:val="20"/>
          <w:szCs w:val="20"/>
        </w:rPr>
        <w:t>Note 2:</w:t>
      </w:r>
      <w:r>
        <w:rPr>
          <w:sz w:val="20"/>
          <w:szCs w:val="20"/>
        </w:rPr>
        <w:tab/>
        <w:t xml:space="preserve">In Table 4, </w:t>
      </w:r>
      <w:r w:rsidRPr="00AD7C3F">
        <w:rPr>
          <w:b/>
          <w:i/>
          <w:sz w:val="20"/>
          <w:szCs w:val="20"/>
        </w:rPr>
        <w:t>GMCP</w:t>
      </w:r>
      <w:r>
        <w:rPr>
          <w:sz w:val="20"/>
          <w:szCs w:val="20"/>
        </w:rPr>
        <w:t xml:space="preserve"> means guaranteed maximum connection period and </w:t>
      </w:r>
      <w:r w:rsidRPr="0009512E">
        <w:rPr>
          <w:b/>
          <w:i/>
          <w:sz w:val="20"/>
          <w:szCs w:val="20"/>
        </w:rPr>
        <w:t>CSP</w:t>
      </w:r>
      <w:r>
        <w:rPr>
          <w:sz w:val="20"/>
          <w:szCs w:val="20"/>
        </w:rPr>
        <w:t xml:space="preserve"> means carriage service provider.</w:t>
      </w:r>
    </w:p>
    <w:p w:rsidR="007D0C4D" w:rsidRDefault="007D0C4D" w:rsidP="00F156D3">
      <w:pPr>
        <w:spacing w:before="120"/>
        <w:ind w:left="1440" w:hanging="1014"/>
        <w:rPr>
          <w:sz w:val="20"/>
          <w:szCs w:val="20"/>
        </w:rPr>
      </w:pPr>
      <w:r>
        <w:rPr>
          <w:i/>
          <w:sz w:val="20"/>
          <w:szCs w:val="20"/>
        </w:rPr>
        <w:t>Note 3:</w:t>
      </w:r>
      <w:r>
        <w:rPr>
          <w:sz w:val="20"/>
          <w:szCs w:val="20"/>
        </w:rPr>
        <w:tab/>
        <w:t>In Table 4, entries in the rows marked “Number (did not comply – GMCP)” must comprise all requests that were</w:t>
      </w:r>
      <w:r w:rsidR="007449E0" w:rsidRPr="007449E0">
        <w:rPr>
          <w:sz w:val="20"/>
          <w:szCs w:val="20"/>
        </w:rPr>
        <w:t xml:space="preserve"> </w:t>
      </w:r>
      <w:r w:rsidR="007449E0">
        <w:rPr>
          <w:sz w:val="20"/>
          <w:szCs w:val="20"/>
        </w:rPr>
        <w:t xml:space="preserve">subject to, but were not complied with in, </w:t>
      </w:r>
      <w:r>
        <w:rPr>
          <w:sz w:val="20"/>
          <w:szCs w:val="20"/>
        </w:rPr>
        <w:t xml:space="preserve">the guaranteed maximum connection period, including those that were not complied with due to acts or omissions by another carriage service provider.  </w:t>
      </w:r>
    </w:p>
    <w:p w:rsidR="009E1124" w:rsidRDefault="009E1124" w:rsidP="00F156D3">
      <w:pPr>
        <w:spacing w:before="120"/>
        <w:ind w:left="1440" w:hanging="1014"/>
        <w:rPr>
          <w:sz w:val="20"/>
          <w:szCs w:val="20"/>
        </w:rPr>
      </w:pPr>
      <w:r>
        <w:rPr>
          <w:i/>
          <w:sz w:val="20"/>
          <w:szCs w:val="20"/>
        </w:rPr>
        <w:t xml:space="preserve">Note </w:t>
      </w:r>
      <w:r w:rsidR="007D0C4D">
        <w:rPr>
          <w:i/>
          <w:sz w:val="20"/>
          <w:szCs w:val="20"/>
        </w:rPr>
        <w:t>4</w:t>
      </w:r>
      <w:r>
        <w:rPr>
          <w:i/>
          <w:sz w:val="20"/>
          <w:szCs w:val="20"/>
        </w:rPr>
        <w:t>:</w:t>
      </w:r>
      <w:r>
        <w:rPr>
          <w:sz w:val="20"/>
          <w:szCs w:val="20"/>
        </w:rPr>
        <w:tab/>
        <w:t>If more than one quarter is covered by the report, a table in the form of Table 4 must be included in relation to each quarter.</w:t>
      </w:r>
    </w:p>
    <w:p w:rsidR="009E1124" w:rsidRDefault="009E1124" w:rsidP="009E1124">
      <w:pPr>
        <w:spacing w:before="240" w:after="240"/>
        <w:ind w:left="425"/>
        <w:rPr>
          <w:b/>
        </w:rPr>
      </w:pPr>
      <w:r w:rsidRPr="00013DF8">
        <w:rPr>
          <w:b/>
        </w:rPr>
        <w:t xml:space="preserve">Table </w:t>
      </w:r>
      <w:r>
        <w:rPr>
          <w:b/>
        </w:rPr>
        <w:t>5</w:t>
      </w:r>
      <w:r w:rsidRPr="00013DF8">
        <w:rPr>
          <w:b/>
        </w:rPr>
        <w:t xml:space="preserve"> – </w:t>
      </w:r>
      <w:r>
        <w:rPr>
          <w:b/>
        </w:rPr>
        <w:t xml:space="preserve">Performance information relating to faults or service difficulties </w:t>
      </w:r>
    </w:p>
    <w:tbl>
      <w:tblPr>
        <w:tblStyle w:val="TableGrid"/>
        <w:tblW w:w="0" w:type="auto"/>
        <w:tblInd w:w="720" w:type="dxa"/>
        <w:tblLook w:val="04A0"/>
      </w:tblPr>
      <w:tblGrid>
        <w:gridCol w:w="1437"/>
        <w:gridCol w:w="1623"/>
        <w:gridCol w:w="1230"/>
        <w:gridCol w:w="1209"/>
        <w:gridCol w:w="1267"/>
        <w:gridCol w:w="1043"/>
      </w:tblGrid>
      <w:tr w:rsidR="009E1124" w:rsidRPr="00D51D99" w:rsidTr="00BB167C">
        <w:trPr>
          <w:trHeight w:val="67"/>
        </w:trPr>
        <w:tc>
          <w:tcPr>
            <w:tcW w:w="1448" w:type="dxa"/>
            <w:vMerge w:val="restart"/>
          </w:tcPr>
          <w:p w:rsidR="009E1124" w:rsidRPr="00410070" w:rsidRDefault="009E1124" w:rsidP="00BB167C">
            <w:pPr>
              <w:spacing w:before="120" w:after="200" w:line="276" w:lineRule="auto"/>
              <w:rPr>
                <w:b/>
                <w:sz w:val="20"/>
                <w:szCs w:val="20"/>
              </w:rPr>
            </w:pPr>
            <w:r w:rsidRPr="00997E12">
              <w:rPr>
                <w:b/>
                <w:sz w:val="20"/>
                <w:szCs w:val="20"/>
              </w:rPr>
              <w:t>Nominated area</w:t>
            </w:r>
          </w:p>
        </w:tc>
        <w:tc>
          <w:tcPr>
            <w:tcW w:w="1642" w:type="dxa"/>
            <w:vMerge w:val="restart"/>
            <w:vAlign w:val="center"/>
          </w:tcPr>
          <w:p w:rsidR="009E1124" w:rsidRDefault="009E1124" w:rsidP="00BB167C">
            <w:pPr>
              <w:spacing w:before="120"/>
              <w:rPr>
                <w:b/>
                <w:sz w:val="20"/>
                <w:szCs w:val="20"/>
              </w:rPr>
            </w:pPr>
            <w:r w:rsidRPr="00997E12">
              <w:rPr>
                <w:b/>
                <w:sz w:val="20"/>
                <w:szCs w:val="20"/>
              </w:rPr>
              <w:t>Faults or service difficulties</w:t>
            </w:r>
          </w:p>
        </w:tc>
        <w:tc>
          <w:tcPr>
            <w:tcW w:w="4815" w:type="dxa"/>
            <w:gridSpan w:val="4"/>
          </w:tcPr>
          <w:p w:rsidR="009E1124" w:rsidRDefault="009E1124" w:rsidP="00BB167C">
            <w:pPr>
              <w:spacing w:before="120"/>
              <w:jc w:val="center"/>
              <w:rPr>
                <w:b/>
                <w:sz w:val="20"/>
                <w:szCs w:val="20"/>
              </w:rPr>
            </w:pPr>
            <w:r>
              <w:rPr>
                <w:b/>
                <w:sz w:val="20"/>
                <w:szCs w:val="20"/>
              </w:rPr>
              <w:t xml:space="preserve">For quarter ending </w:t>
            </w:r>
            <w:r w:rsidRPr="00DE5A73">
              <w:rPr>
                <w:b/>
                <w:sz w:val="20"/>
                <w:szCs w:val="20"/>
              </w:rPr>
              <w:t>[insert]</w:t>
            </w:r>
          </w:p>
          <w:p w:rsidR="009E1124" w:rsidRPr="00410070" w:rsidRDefault="009E1124" w:rsidP="00BB167C">
            <w:pPr>
              <w:spacing w:before="120" w:after="200" w:line="276" w:lineRule="auto"/>
              <w:rPr>
                <w:b/>
                <w:sz w:val="20"/>
                <w:szCs w:val="20"/>
              </w:rPr>
            </w:pPr>
          </w:p>
        </w:tc>
      </w:tr>
      <w:tr w:rsidR="009E1124" w:rsidRPr="00D51D99" w:rsidTr="00BB167C">
        <w:trPr>
          <w:trHeight w:val="67"/>
        </w:trPr>
        <w:tc>
          <w:tcPr>
            <w:tcW w:w="1448" w:type="dxa"/>
            <w:vMerge/>
          </w:tcPr>
          <w:p w:rsidR="009E1124" w:rsidRPr="00D51D99" w:rsidRDefault="009E1124" w:rsidP="00BB167C">
            <w:pPr>
              <w:spacing w:before="120"/>
              <w:rPr>
                <w:sz w:val="20"/>
                <w:szCs w:val="20"/>
              </w:rPr>
            </w:pPr>
          </w:p>
        </w:tc>
        <w:tc>
          <w:tcPr>
            <w:tcW w:w="1642" w:type="dxa"/>
            <w:vMerge/>
            <w:vAlign w:val="center"/>
          </w:tcPr>
          <w:p w:rsidR="009E1124" w:rsidRPr="00D51D99" w:rsidRDefault="009E1124" w:rsidP="00BB167C">
            <w:pPr>
              <w:spacing w:before="120"/>
              <w:rPr>
                <w:sz w:val="20"/>
                <w:szCs w:val="20"/>
              </w:rPr>
            </w:pPr>
          </w:p>
        </w:tc>
        <w:tc>
          <w:tcPr>
            <w:tcW w:w="1248" w:type="dxa"/>
          </w:tcPr>
          <w:p w:rsidR="009E1124" w:rsidRPr="00D51D99" w:rsidRDefault="009E1124" w:rsidP="00BB167C">
            <w:pPr>
              <w:spacing w:before="120"/>
              <w:rPr>
                <w:sz w:val="20"/>
                <w:szCs w:val="20"/>
              </w:rPr>
            </w:pPr>
            <w:r>
              <w:rPr>
                <w:b/>
                <w:sz w:val="20"/>
                <w:szCs w:val="20"/>
              </w:rPr>
              <w:t>Urban Areas</w:t>
            </w:r>
          </w:p>
        </w:tc>
        <w:tc>
          <w:tcPr>
            <w:tcW w:w="1228" w:type="dxa"/>
          </w:tcPr>
          <w:p w:rsidR="009E1124" w:rsidRPr="00D51D99" w:rsidRDefault="009E1124" w:rsidP="00BB167C">
            <w:pPr>
              <w:spacing w:before="120"/>
              <w:rPr>
                <w:sz w:val="20"/>
                <w:szCs w:val="20"/>
              </w:rPr>
            </w:pPr>
            <w:r>
              <w:rPr>
                <w:b/>
                <w:sz w:val="20"/>
                <w:szCs w:val="20"/>
              </w:rPr>
              <w:t>Rural Areas</w:t>
            </w:r>
          </w:p>
        </w:tc>
        <w:tc>
          <w:tcPr>
            <w:tcW w:w="1282" w:type="dxa"/>
          </w:tcPr>
          <w:p w:rsidR="009E1124" w:rsidRPr="00D51D99" w:rsidRDefault="009E1124" w:rsidP="00BB167C">
            <w:pPr>
              <w:spacing w:before="120"/>
              <w:rPr>
                <w:sz w:val="20"/>
                <w:szCs w:val="20"/>
              </w:rPr>
            </w:pPr>
            <w:r>
              <w:rPr>
                <w:b/>
                <w:sz w:val="20"/>
                <w:szCs w:val="20"/>
              </w:rPr>
              <w:t>Remote Areas</w:t>
            </w:r>
          </w:p>
        </w:tc>
        <w:tc>
          <w:tcPr>
            <w:tcW w:w="1057" w:type="dxa"/>
          </w:tcPr>
          <w:p w:rsidR="009E1124" w:rsidRPr="00D51D99" w:rsidRDefault="009E1124" w:rsidP="00BB167C">
            <w:pPr>
              <w:spacing w:before="120"/>
              <w:rPr>
                <w:sz w:val="20"/>
                <w:szCs w:val="20"/>
              </w:rPr>
            </w:pPr>
            <w:r>
              <w:rPr>
                <w:b/>
                <w:sz w:val="20"/>
                <w:szCs w:val="20"/>
              </w:rPr>
              <w:t>Total</w:t>
            </w:r>
          </w:p>
        </w:tc>
      </w:tr>
      <w:tr w:rsidR="009E1124" w:rsidRPr="00D51D99" w:rsidTr="00BB167C">
        <w:trPr>
          <w:trHeight w:val="67"/>
        </w:trPr>
        <w:tc>
          <w:tcPr>
            <w:tcW w:w="1448" w:type="dxa"/>
            <w:vMerge w:val="restart"/>
          </w:tcPr>
          <w:p w:rsidR="009E1124" w:rsidRPr="00D51D99" w:rsidRDefault="009E1124" w:rsidP="00BB167C">
            <w:pPr>
              <w:spacing w:before="120"/>
              <w:rPr>
                <w:sz w:val="20"/>
                <w:szCs w:val="20"/>
              </w:rPr>
            </w:pPr>
            <w:r w:rsidRPr="00D51D99">
              <w:rPr>
                <w:sz w:val="20"/>
                <w:szCs w:val="20"/>
              </w:rPr>
              <w:t>N</w:t>
            </w:r>
            <w:r>
              <w:rPr>
                <w:sz w:val="20"/>
                <w:szCs w:val="20"/>
              </w:rPr>
              <w:t xml:space="preserve">ew </w:t>
            </w:r>
            <w:r w:rsidRPr="00D51D99">
              <w:rPr>
                <w:sz w:val="20"/>
                <w:szCs w:val="20"/>
              </w:rPr>
              <w:t>S</w:t>
            </w:r>
            <w:r>
              <w:rPr>
                <w:sz w:val="20"/>
                <w:szCs w:val="20"/>
              </w:rPr>
              <w:t xml:space="preserve">outh </w:t>
            </w:r>
            <w:r w:rsidRPr="00D51D99">
              <w:rPr>
                <w:sz w:val="20"/>
                <w:szCs w:val="20"/>
              </w:rPr>
              <w:t>W</w:t>
            </w:r>
            <w:r>
              <w:rPr>
                <w:sz w:val="20"/>
                <w:szCs w:val="20"/>
              </w:rPr>
              <w:t>ales</w:t>
            </w:r>
            <w:r w:rsidRPr="00D51D99">
              <w:rPr>
                <w:sz w:val="20"/>
                <w:szCs w:val="20"/>
              </w:rPr>
              <w:t xml:space="preserve"> and the A</w:t>
            </w:r>
            <w:r>
              <w:rPr>
                <w:sz w:val="20"/>
                <w:szCs w:val="20"/>
              </w:rPr>
              <w:t>ustralian Capital Territory</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147324">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147324">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7"/>
        </w:trPr>
        <w:tc>
          <w:tcPr>
            <w:tcW w:w="1448" w:type="dxa"/>
            <w:vMerge w:val="restart"/>
          </w:tcPr>
          <w:p w:rsidR="009E1124" w:rsidRPr="00D51D99" w:rsidRDefault="009E1124" w:rsidP="00BB167C">
            <w:pPr>
              <w:spacing w:before="120"/>
              <w:rPr>
                <w:sz w:val="20"/>
                <w:szCs w:val="20"/>
              </w:rPr>
            </w:pPr>
            <w:r w:rsidRPr="00D51D99">
              <w:rPr>
                <w:sz w:val="20"/>
                <w:szCs w:val="20"/>
              </w:rPr>
              <w:t>V</w:t>
            </w:r>
            <w:r>
              <w:rPr>
                <w:sz w:val="20"/>
                <w:szCs w:val="20"/>
              </w:rPr>
              <w:t>ictoria</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7"/>
        </w:trPr>
        <w:tc>
          <w:tcPr>
            <w:tcW w:w="1448" w:type="dxa"/>
            <w:vMerge w:val="restart"/>
          </w:tcPr>
          <w:p w:rsidR="009E1124" w:rsidRPr="00D51D99" w:rsidRDefault="009E1124" w:rsidP="00BB167C">
            <w:pPr>
              <w:spacing w:before="120"/>
              <w:rPr>
                <w:sz w:val="20"/>
                <w:szCs w:val="20"/>
              </w:rPr>
            </w:pPr>
            <w:r w:rsidRPr="00D51D99">
              <w:rPr>
                <w:sz w:val="20"/>
                <w:szCs w:val="20"/>
              </w:rPr>
              <w:t>Q</w:t>
            </w:r>
            <w:r>
              <w:rPr>
                <w:sz w:val="20"/>
                <w:szCs w:val="20"/>
              </w:rPr>
              <w:t>ueensland</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7"/>
        </w:trPr>
        <w:tc>
          <w:tcPr>
            <w:tcW w:w="1448" w:type="dxa"/>
            <w:vMerge w:val="restart"/>
          </w:tcPr>
          <w:p w:rsidR="009E1124" w:rsidRPr="00D51D99" w:rsidRDefault="009E1124" w:rsidP="00BB167C">
            <w:pPr>
              <w:spacing w:before="120"/>
              <w:rPr>
                <w:sz w:val="20"/>
                <w:szCs w:val="20"/>
              </w:rPr>
            </w:pPr>
            <w:r>
              <w:rPr>
                <w:sz w:val="20"/>
                <w:szCs w:val="20"/>
              </w:rPr>
              <w:t>Western Australia</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7"/>
        </w:trPr>
        <w:tc>
          <w:tcPr>
            <w:tcW w:w="1448" w:type="dxa"/>
            <w:vMerge w:val="restart"/>
          </w:tcPr>
          <w:p w:rsidR="009E1124" w:rsidRPr="00D51D99" w:rsidRDefault="009E1124" w:rsidP="00BB167C">
            <w:pPr>
              <w:spacing w:before="120"/>
              <w:rPr>
                <w:sz w:val="20"/>
                <w:szCs w:val="20"/>
              </w:rPr>
            </w:pPr>
            <w:r>
              <w:rPr>
                <w:sz w:val="20"/>
                <w:szCs w:val="20"/>
              </w:rPr>
              <w:t>South Australia</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7"/>
        </w:trPr>
        <w:tc>
          <w:tcPr>
            <w:tcW w:w="1448" w:type="dxa"/>
            <w:vMerge w:val="restart"/>
          </w:tcPr>
          <w:p w:rsidR="009E1124" w:rsidRPr="00D51D99" w:rsidRDefault="009E1124" w:rsidP="00BB167C">
            <w:pPr>
              <w:spacing w:before="120"/>
              <w:rPr>
                <w:sz w:val="20"/>
                <w:szCs w:val="20"/>
              </w:rPr>
            </w:pPr>
            <w:r w:rsidRPr="00D51D99">
              <w:rPr>
                <w:sz w:val="20"/>
                <w:szCs w:val="20"/>
              </w:rPr>
              <w:t>T</w:t>
            </w:r>
            <w:r>
              <w:rPr>
                <w:sz w:val="20"/>
                <w:szCs w:val="20"/>
              </w:rPr>
              <w:t>asmania</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7"/>
        </w:trPr>
        <w:tc>
          <w:tcPr>
            <w:tcW w:w="1448" w:type="dxa"/>
            <w:vMerge w:val="restart"/>
          </w:tcPr>
          <w:p w:rsidR="009E1124" w:rsidRPr="00D51D99" w:rsidRDefault="009E1124" w:rsidP="00BB167C">
            <w:pPr>
              <w:spacing w:before="120"/>
              <w:rPr>
                <w:sz w:val="20"/>
                <w:szCs w:val="20"/>
              </w:rPr>
            </w:pPr>
            <w:r w:rsidRPr="00D51D99">
              <w:rPr>
                <w:sz w:val="20"/>
                <w:szCs w:val="20"/>
              </w:rPr>
              <w:t>N</w:t>
            </w:r>
            <w:r>
              <w:rPr>
                <w:sz w:val="20"/>
                <w:szCs w:val="20"/>
              </w:rPr>
              <w:t>orthern Territory</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7"/>
        </w:trPr>
        <w:tc>
          <w:tcPr>
            <w:tcW w:w="1448" w:type="dxa"/>
            <w:vMerge w:val="restart"/>
          </w:tcPr>
          <w:p w:rsidR="009E1124" w:rsidRDefault="009E1124" w:rsidP="00BB167C">
            <w:pPr>
              <w:spacing w:before="120"/>
              <w:rPr>
                <w:sz w:val="20"/>
                <w:szCs w:val="20"/>
              </w:rPr>
            </w:pPr>
            <w:r>
              <w:rPr>
                <w:sz w:val="20"/>
                <w:szCs w:val="20"/>
              </w:rPr>
              <w:t xml:space="preserve">Australia </w:t>
            </w:r>
          </w:p>
        </w:tc>
        <w:tc>
          <w:tcPr>
            <w:tcW w:w="1642" w:type="dxa"/>
            <w:vAlign w:val="center"/>
          </w:tcPr>
          <w:p w:rsidR="009E1124" w:rsidRDefault="009E1124" w:rsidP="00BB167C">
            <w:pPr>
              <w:spacing w:before="120"/>
              <w:rPr>
                <w:sz w:val="20"/>
                <w:szCs w:val="20"/>
              </w:rPr>
            </w:pPr>
            <w:r w:rsidRPr="00D51D99">
              <w:rPr>
                <w:sz w:val="20"/>
                <w:szCs w:val="20"/>
              </w:rPr>
              <w:t xml:space="preserve">Number of </w:t>
            </w:r>
            <w:r>
              <w:rPr>
                <w:sz w:val="20"/>
                <w:szCs w:val="20"/>
              </w:rPr>
              <w:t>reports</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(complied</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(did not comply</w:t>
            </w:r>
            <w:r w:rsidR="00C209D0">
              <w:rPr>
                <w:sz w:val="20"/>
                <w:szCs w:val="20"/>
              </w:rPr>
              <w:t xml:space="preserve"> – GMRP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r w:rsidR="009E1124" w:rsidRPr="00D51D99" w:rsidTr="00BB167C">
        <w:trPr>
          <w:trHeight w:val="66"/>
        </w:trPr>
        <w:tc>
          <w:tcPr>
            <w:tcW w:w="1448" w:type="dxa"/>
            <w:vMerge/>
          </w:tcPr>
          <w:p w:rsidR="009E1124" w:rsidRPr="00D51D99" w:rsidRDefault="009E1124" w:rsidP="00BB167C">
            <w:pPr>
              <w:spacing w:before="120"/>
              <w:rPr>
                <w:sz w:val="20"/>
                <w:szCs w:val="20"/>
              </w:rPr>
            </w:pPr>
          </w:p>
        </w:tc>
        <w:tc>
          <w:tcPr>
            <w:tcW w:w="1642" w:type="dxa"/>
            <w:vAlign w:val="center"/>
          </w:tcPr>
          <w:p w:rsidR="009E1124" w:rsidRPr="00D51D99" w:rsidRDefault="009E1124" w:rsidP="00BB167C">
            <w:pPr>
              <w:spacing w:before="120"/>
              <w:rPr>
                <w:sz w:val="20"/>
                <w:szCs w:val="20"/>
              </w:rPr>
            </w:pPr>
            <w:r w:rsidRPr="00D51D99">
              <w:rPr>
                <w:sz w:val="20"/>
                <w:szCs w:val="20"/>
              </w:rPr>
              <w:t xml:space="preserve">Number </w:t>
            </w:r>
            <w:r>
              <w:rPr>
                <w:sz w:val="20"/>
                <w:szCs w:val="20"/>
              </w:rPr>
              <w:t>(</w:t>
            </w:r>
            <w:r w:rsidRPr="00C959DD">
              <w:rPr>
                <w:sz w:val="20"/>
                <w:szCs w:val="20"/>
              </w:rPr>
              <w:t>did not comply</w:t>
            </w:r>
            <w:r w:rsidR="00C209D0">
              <w:rPr>
                <w:sz w:val="20"/>
                <w:szCs w:val="20"/>
              </w:rPr>
              <w:t xml:space="preserve"> – GMRP</w:t>
            </w:r>
            <w:r w:rsidRPr="00C959DD">
              <w:rPr>
                <w:sz w:val="20"/>
                <w:szCs w:val="20"/>
              </w:rPr>
              <w:t xml:space="preserve"> – other CSP</w:t>
            </w:r>
            <w:r>
              <w:rPr>
                <w:sz w:val="20"/>
                <w:szCs w:val="20"/>
              </w:rPr>
              <w:t>)</w:t>
            </w:r>
          </w:p>
        </w:tc>
        <w:tc>
          <w:tcPr>
            <w:tcW w:w="1248" w:type="dxa"/>
          </w:tcPr>
          <w:p w:rsidR="009E1124" w:rsidRPr="00D51D99" w:rsidRDefault="009E1124" w:rsidP="00BB167C">
            <w:pPr>
              <w:spacing w:before="120"/>
              <w:rPr>
                <w:sz w:val="20"/>
                <w:szCs w:val="20"/>
              </w:rPr>
            </w:pPr>
          </w:p>
        </w:tc>
        <w:tc>
          <w:tcPr>
            <w:tcW w:w="1228" w:type="dxa"/>
          </w:tcPr>
          <w:p w:rsidR="009E1124" w:rsidRPr="00D51D99" w:rsidRDefault="009E1124" w:rsidP="00BB167C">
            <w:pPr>
              <w:spacing w:before="120"/>
              <w:rPr>
                <w:sz w:val="20"/>
                <w:szCs w:val="20"/>
              </w:rPr>
            </w:pPr>
          </w:p>
        </w:tc>
        <w:tc>
          <w:tcPr>
            <w:tcW w:w="1282" w:type="dxa"/>
          </w:tcPr>
          <w:p w:rsidR="009E1124" w:rsidRPr="00D51D99" w:rsidRDefault="009E1124" w:rsidP="00BB167C">
            <w:pPr>
              <w:spacing w:before="120"/>
              <w:rPr>
                <w:sz w:val="20"/>
                <w:szCs w:val="20"/>
              </w:rPr>
            </w:pPr>
          </w:p>
        </w:tc>
        <w:tc>
          <w:tcPr>
            <w:tcW w:w="1057" w:type="dxa"/>
          </w:tcPr>
          <w:p w:rsidR="009E1124" w:rsidRPr="00D51D99" w:rsidRDefault="009E1124" w:rsidP="00BB167C">
            <w:pPr>
              <w:spacing w:before="120"/>
              <w:rPr>
                <w:sz w:val="20"/>
                <w:szCs w:val="20"/>
              </w:rPr>
            </w:pPr>
          </w:p>
        </w:tc>
      </w:tr>
    </w:tbl>
    <w:p w:rsidR="009E1124" w:rsidRDefault="009E1124" w:rsidP="006709EE">
      <w:pPr>
        <w:spacing w:before="120"/>
        <w:ind w:left="1440" w:hanging="1014"/>
        <w:rPr>
          <w:sz w:val="20"/>
          <w:szCs w:val="20"/>
        </w:rPr>
      </w:pPr>
      <w:r w:rsidRPr="004B4366">
        <w:rPr>
          <w:i/>
          <w:sz w:val="20"/>
          <w:szCs w:val="20"/>
        </w:rPr>
        <w:t>Note</w:t>
      </w:r>
      <w:r>
        <w:rPr>
          <w:i/>
          <w:sz w:val="20"/>
          <w:szCs w:val="20"/>
        </w:rPr>
        <w:t xml:space="preserve"> 1:</w:t>
      </w:r>
      <w:r w:rsidRPr="004B4366">
        <w:rPr>
          <w:sz w:val="20"/>
          <w:szCs w:val="20"/>
        </w:rPr>
        <w:tab/>
      </w:r>
      <w:r>
        <w:rPr>
          <w:sz w:val="20"/>
          <w:szCs w:val="20"/>
        </w:rPr>
        <w:t xml:space="preserve">The information to be included in Table 5 is the information referred to in </w:t>
      </w:r>
      <w:r w:rsidRPr="00E666B2">
        <w:rPr>
          <w:sz w:val="20"/>
          <w:szCs w:val="20"/>
        </w:rPr>
        <w:t xml:space="preserve">item </w:t>
      </w:r>
      <w:r>
        <w:rPr>
          <w:sz w:val="20"/>
          <w:szCs w:val="20"/>
        </w:rPr>
        <w:t>5 of Schedule </w:t>
      </w:r>
      <w:r w:rsidRPr="00E666B2">
        <w:rPr>
          <w:sz w:val="20"/>
          <w:szCs w:val="20"/>
        </w:rPr>
        <w:t>1.</w:t>
      </w:r>
    </w:p>
    <w:p w:rsidR="007D0C4D" w:rsidRDefault="007D0C4D" w:rsidP="006709EE">
      <w:pPr>
        <w:spacing w:before="120"/>
        <w:ind w:left="1440" w:hanging="1014"/>
        <w:rPr>
          <w:sz w:val="20"/>
          <w:szCs w:val="20"/>
        </w:rPr>
      </w:pPr>
      <w:r>
        <w:rPr>
          <w:i/>
          <w:sz w:val="20"/>
          <w:szCs w:val="20"/>
        </w:rPr>
        <w:t>Note 2:</w:t>
      </w:r>
      <w:r>
        <w:rPr>
          <w:sz w:val="20"/>
          <w:szCs w:val="20"/>
        </w:rPr>
        <w:tab/>
        <w:t>In Table 5,</w:t>
      </w:r>
      <w:r w:rsidR="00147324" w:rsidRPr="00147324">
        <w:rPr>
          <w:sz w:val="20"/>
          <w:szCs w:val="20"/>
        </w:rPr>
        <w:t xml:space="preserve"> </w:t>
      </w:r>
      <w:r w:rsidR="00147324" w:rsidRPr="00AD7C3F">
        <w:rPr>
          <w:b/>
          <w:i/>
          <w:sz w:val="20"/>
          <w:szCs w:val="20"/>
        </w:rPr>
        <w:t>GM</w:t>
      </w:r>
      <w:r w:rsidR="00147324">
        <w:rPr>
          <w:b/>
          <w:i/>
          <w:sz w:val="20"/>
          <w:szCs w:val="20"/>
        </w:rPr>
        <w:t>R</w:t>
      </w:r>
      <w:r w:rsidR="00147324" w:rsidRPr="00AD7C3F">
        <w:rPr>
          <w:b/>
          <w:i/>
          <w:sz w:val="20"/>
          <w:szCs w:val="20"/>
        </w:rPr>
        <w:t>P</w:t>
      </w:r>
      <w:r w:rsidR="00147324">
        <w:rPr>
          <w:sz w:val="20"/>
          <w:szCs w:val="20"/>
        </w:rPr>
        <w:t xml:space="preserve"> means guaranteed maximum rectification period and</w:t>
      </w:r>
      <w:r>
        <w:rPr>
          <w:sz w:val="20"/>
          <w:szCs w:val="20"/>
        </w:rPr>
        <w:t xml:space="preserve"> </w:t>
      </w:r>
      <w:r w:rsidRPr="0009512E">
        <w:rPr>
          <w:b/>
          <w:i/>
          <w:sz w:val="20"/>
          <w:szCs w:val="20"/>
        </w:rPr>
        <w:t>CSP</w:t>
      </w:r>
      <w:r>
        <w:rPr>
          <w:sz w:val="20"/>
          <w:szCs w:val="20"/>
        </w:rPr>
        <w:t xml:space="preserve"> means carriage service provider.</w:t>
      </w:r>
    </w:p>
    <w:p w:rsidR="00A15CA2" w:rsidRDefault="00A15CA2" w:rsidP="00A15CA2">
      <w:pPr>
        <w:spacing w:before="120"/>
        <w:ind w:left="1440" w:hanging="1014"/>
        <w:rPr>
          <w:sz w:val="20"/>
          <w:szCs w:val="20"/>
        </w:rPr>
      </w:pPr>
      <w:r>
        <w:rPr>
          <w:i/>
          <w:sz w:val="20"/>
          <w:szCs w:val="20"/>
        </w:rPr>
        <w:t>Note 3:</w:t>
      </w:r>
      <w:r>
        <w:rPr>
          <w:sz w:val="20"/>
          <w:szCs w:val="20"/>
        </w:rPr>
        <w:tab/>
        <w:t>In Table 5, entries in the rows marked “Number (did not comply – GMRP)” must comprise all faults or service difficulties reported that were</w:t>
      </w:r>
      <w:r w:rsidRPr="007449E0">
        <w:rPr>
          <w:sz w:val="20"/>
          <w:szCs w:val="20"/>
        </w:rPr>
        <w:t xml:space="preserve"> </w:t>
      </w:r>
      <w:r>
        <w:rPr>
          <w:sz w:val="20"/>
          <w:szCs w:val="20"/>
        </w:rPr>
        <w:t xml:space="preserve">subject to, but were not </w:t>
      </w:r>
      <w:r w:rsidR="00FA51C4">
        <w:rPr>
          <w:sz w:val="20"/>
          <w:szCs w:val="20"/>
        </w:rPr>
        <w:t>rectified</w:t>
      </w:r>
      <w:r>
        <w:rPr>
          <w:sz w:val="20"/>
          <w:szCs w:val="20"/>
        </w:rPr>
        <w:t xml:space="preserve"> in, the guaranteed maximum rectification period, including those that were not </w:t>
      </w:r>
      <w:r w:rsidR="00AD4A38">
        <w:rPr>
          <w:sz w:val="20"/>
          <w:szCs w:val="20"/>
        </w:rPr>
        <w:t>rectified in that period</w:t>
      </w:r>
      <w:r>
        <w:rPr>
          <w:sz w:val="20"/>
          <w:szCs w:val="20"/>
        </w:rPr>
        <w:t xml:space="preserve"> due to acts or omissions by another carriage service provider.  </w:t>
      </w:r>
    </w:p>
    <w:p w:rsidR="009E1124" w:rsidRDefault="009E1124" w:rsidP="006709EE">
      <w:pPr>
        <w:spacing w:before="120"/>
        <w:ind w:left="1440" w:hanging="1014"/>
        <w:rPr>
          <w:sz w:val="20"/>
          <w:szCs w:val="20"/>
        </w:rPr>
      </w:pPr>
      <w:r>
        <w:rPr>
          <w:i/>
          <w:sz w:val="20"/>
          <w:szCs w:val="20"/>
        </w:rPr>
        <w:t xml:space="preserve">Note </w:t>
      </w:r>
      <w:r w:rsidR="00A15CA2">
        <w:rPr>
          <w:i/>
          <w:sz w:val="20"/>
          <w:szCs w:val="20"/>
        </w:rPr>
        <w:t>4</w:t>
      </w:r>
      <w:r>
        <w:rPr>
          <w:i/>
          <w:sz w:val="20"/>
          <w:szCs w:val="20"/>
        </w:rPr>
        <w:t>:</w:t>
      </w:r>
      <w:r>
        <w:rPr>
          <w:sz w:val="20"/>
          <w:szCs w:val="20"/>
        </w:rPr>
        <w:tab/>
        <w:t>If more than one quarter is covered by the report, a table in the form of Table 5 must be included in relation to each quarter.</w:t>
      </w:r>
    </w:p>
    <w:p w:rsidR="002B0282" w:rsidRDefault="009E1124">
      <w:pPr>
        <w:keepNext/>
        <w:spacing w:before="240" w:after="240"/>
        <w:ind w:left="425"/>
        <w:rPr>
          <w:b/>
        </w:rPr>
      </w:pPr>
      <w:r w:rsidRPr="00013DF8">
        <w:rPr>
          <w:b/>
        </w:rPr>
        <w:t xml:space="preserve">Table </w:t>
      </w:r>
      <w:r>
        <w:rPr>
          <w:b/>
        </w:rPr>
        <w:t>6</w:t>
      </w:r>
      <w:r w:rsidRPr="00013DF8">
        <w:rPr>
          <w:b/>
        </w:rPr>
        <w:t xml:space="preserve"> – </w:t>
      </w:r>
      <w:r>
        <w:rPr>
          <w:b/>
        </w:rPr>
        <w:t xml:space="preserve">Performance information relating to the keeping of appointments </w:t>
      </w:r>
    </w:p>
    <w:tbl>
      <w:tblPr>
        <w:tblStyle w:val="TableGrid"/>
        <w:tblW w:w="0" w:type="auto"/>
        <w:tblInd w:w="720" w:type="dxa"/>
        <w:tblLook w:val="04A0"/>
      </w:tblPr>
      <w:tblGrid>
        <w:gridCol w:w="1426"/>
        <w:gridCol w:w="3491"/>
        <w:gridCol w:w="1417"/>
        <w:gridCol w:w="1418"/>
      </w:tblGrid>
      <w:tr w:rsidR="00E26049" w:rsidRPr="00D51D99" w:rsidTr="00E26049">
        <w:tc>
          <w:tcPr>
            <w:tcW w:w="1426" w:type="dxa"/>
          </w:tcPr>
          <w:p w:rsidR="002B0282" w:rsidRDefault="00E26049">
            <w:pPr>
              <w:keepNext/>
              <w:spacing w:before="120"/>
              <w:rPr>
                <w:b/>
                <w:sz w:val="20"/>
                <w:szCs w:val="20"/>
              </w:rPr>
            </w:pPr>
            <w:r>
              <w:rPr>
                <w:b/>
                <w:sz w:val="20"/>
                <w:szCs w:val="20"/>
              </w:rPr>
              <w:t>Nominated area</w:t>
            </w:r>
          </w:p>
        </w:tc>
        <w:tc>
          <w:tcPr>
            <w:tcW w:w="3491" w:type="dxa"/>
          </w:tcPr>
          <w:p w:rsidR="002B0282" w:rsidRDefault="00E26049">
            <w:pPr>
              <w:keepNext/>
              <w:spacing w:before="120"/>
              <w:rPr>
                <w:b/>
                <w:sz w:val="20"/>
                <w:szCs w:val="20"/>
              </w:rPr>
            </w:pPr>
            <w:r>
              <w:rPr>
                <w:b/>
                <w:sz w:val="20"/>
                <w:szCs w:val="20"/>
              </w:rPr>
              <w:t>Appointment keeping</w:t>
            </w:r>
          </w:p>
        </w:tc>
        <w:tc>
          <w:tcPr>
            <w:tcW w:w="1417" w:type="dxa"/>
          </w:tcPr>
          <w:p w:rsidR="002B0282" w:rsidRDefault="00E26049">
            <w:pPr>
              <w:keepNext/>
              <w:spacing w:before="120"/>
              <w:rPr>
                <w:b/>
                <w:sz w:val="20"/>
                <w:szCs w:val="20"/>
              </w:rPr>
            </w:pPr>
            <w:r>
              <w:rPr>
                <w:b/>
                <w:sz w:val="20"/>
                <w:szCs w:val="20"/>
              </w:rPr>
              <w:t xml:space="preserve">Quarter ending </w:t>
            </w:r>
            <w:r w:rsidRPr="00DE5A73">
              <w:rPr>
                <w:b/>
                <w:sz w:val="20"/>
                <w:szCs w:val="20"/>
              </w:rPr>
              <w:t>[insert]</w:t>
            </w:r>
          </w:p>
        </w:tc>
        <w:tc>
          <w:tcPr>
            <w:tcW w:w="1418" w:type="dxa"/>
          </w:tcPr>
          <w:p w:rsidR="002B0282" w:rsidRDefault="00E26049">
            <w:pPr>
              <w:keepNext/>
              <w:spacing w:before="120"/>
              <w:rPr>
                <w:b/>
                <w:sz w:val="20"/>
                <w:szCs w:val="20"/>
              </w:rPr>
            </w:pPr>
            <w:r>
              <w:rPr>
                <w:b/>
                <w:sz w:val="20"/>
                <w:szCs w:val="20"/>
              </w:rPr>
              <w:t xml:space="preserve">Quarter ending </w:t>
            </w:r>
            <w:r w:rsidRPr="00DE5A73">
              <w:rPr>
                <w:b/>
                <w:sz w:val="20"/>
                <w:szCs w:val="20"/>
              </w:rPr>
              <w:t>[insert]</w:t>
            </w:r>
          </w:p>
        </w:tc>
      </w:tr>
      <w:tr w:rsidR="00E26049" w:rsidRPr="00D51D99" w:rsidTr="00E26049">
        <w:trPr>
          <w:trHeight w:val="67"/>
        </w:trPr>
        <w:tc>
          <w:tcPr>
            <w:tcW w:w="1426" w:type="dxa"/>
            <w:vMerge w:val="restart"/>
          </w:tcPr>
          <w:p w:rsidR="002B0282" w:rsidRDefault="00E26049">
            <w:pPr>
              <w:keepNext/>
              <w:spacing w:before="120"/>
              <w:rPr>
                <w:sz w:val="20"/>
                <w:szCs w:val="20"/>
              </w:rPr>
            </w:pPr>
            <w:r>
              <w:rPr>
                <w:sz w:val="20"/>
                <w:szCs w:val="20"/>
              </w:rPr>
              <w:t>New South Wales and the Australian Capital Territory</w:t>
            </w:r>
          </w:p>
        </w:tc>
        <w:tc>
          <w:tcPr>
            <w:tcW w:w="3491" w:type="dxa"/>
            <w:vAlign w:val="center"/>
          </w:tcPr>
          <w:p w:rsidR="002B0282" w:rsidRDefault="00E26049">
            <w:pPr>
              <w:keepNext/>
              <w:spacing w:before="120"/>
              <w:rPr>
                <w:sz w:val="20"/>
                <w:szCs w:val="20"/>
              </w:rPr>
            </w:pPr>
            <w:r w:rsidRPr="00D51D99">
              <w:rPr>
                <w:sz w:val="20"/>
                <w:szCs w:val="20"/>
              </w:rPr>
              <w:t xml:space="preserve">Number of </w:t>
            </w:r>
            <w:r>
              <w:rPr>
                <w:sz w:val="20"/>
                <w:szCs w:val="20"/>
              </w:rPr>
              <w:t>appointments</w:t>
            </w:r>
          </w:p>
        </w:tc>
        <w:tc>
          <w:tcPr>
            <w:tcW w:w="1417" w:type="dxa"/>
          </w:tcPr>
          <w:p w:rsidR="002B0282" w:rsidRDefault="002B0282">
            <w:pPr>
              <w:keepNext/>
              <w:spacing w:before="120"/>
              <w:rPr>
                <w:sz w:val="20"/>
                <w:szCs w:val="20"/>
              </w:rPr>
            </w:pPr>
          </w:p>
        </w:tc>
        <w:tc>
          <w:tcPr>
            <w:tcW w:w="1418" w:type="dxa"/>
          </w:tcPr>
          <w:p w:rsidR="002B0282" w:rsidRDefault="002B0282">
            <w:pPr>
              <w:keepNext/>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7"/>
        </w:trPr>
        <w:tc>
          <w:tcPr>
            <w:tcW w:w="1426" w:type="dxa"/>
            <w:vMerge w:val="restart"/>
          </w:tcPr>
          <w:p w:rsidR="00E26049" w:rsidRPr="00D51D99" w:rsidRDefault="00E26049" w:rsidP="00BB167C">
            <w:pPr>
              <w:spacing w:before="120"/>
              <w:rPr>
                <w:sz w:val="20"/>
                <w:szCs w:val="20"/>
              </w:rPr>
            </w:pPr>
            <w:r>
              <w:rPr>
                <w:sz w:val="20"/>
                <w:szCs w:val="20"/>
              </w:rPr>
              <w:t>Victoria</w:t>
            </w: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of </w:t>
            </w:r>
            <w:r>
              <w:rPr>
                <w:sz w:val="20"/>
                <w:szCs w:val="20"/>
              </w:rPr>
              <w:t>appointments</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7"/>
        </w:trPr>
        <w:tc>
          <w:tcPr>
            <w:tcW w:w="1426" w:type="dxa"/>
            <w:vMerge w:val="restart"/>
          </w:tcPr>
          <w:p w:rsidR="00E26049" w:rsidRPr="00D51D99" w:rsidRDefault="00E26049" w:rsidP="00BB167C">
            <w:pPr>
              <w:spacing w:before="120"/>
              <w:rPr>
                <w:sz w:val="20"/>
                <w:szCs w:val="20"/>
              </w:rPr>
            </w:pPr>
            <w:r>
              <w:rPr>
                <w:sz w:val="20"/>
                <w:szCs w:val="20"/>
              </w:rPr>
              <w:t>Queensland</w:t>
            </w: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of </w:t>
            </w:r>
            <w:r>
              <w:rPr>
                <w:sz w:val="20"/>
                <w:szCs w:val="20"/>
              </w:rPr>
              <w:t>appointments</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7"/>
        </w:trPr>
        <w:tc>
          <w:tcPr>
            <w:tcW w:w="1426" w:type="dxa"/>
            <w:vMerge w:val="restart"/>
          </w:tcPr>
          <w:p w:rsidR="00E26049" w:rsidRPr="00D51D99" w:rsidRDefault="00E26049" w:rsidP="00BB167C">
            <w:pPr>
              <w:spacing w:before="120"/>
              <w:rPr>
                <w:sz w:val="20"/>
                <w:szCs w:val="20"/>
              </w:rPr>
            </w:pPr>
            <w:r>
              <w:rPr>
                <w:sz w:val="20"/>
                <w:szCs w:val="20"/>
              </w:rPr>
              <w:t>Western Australia</w:t>
            </w: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of </w:t>
            </w:r>
            <w:r>
              <w:rPr>
                <w:sz w:val="20"/>
                <w:szCs w:val="20"/>
              </w:rPr>
              <w:t>appointments</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7"/>
        </w:trPr>
        <w:tc>
          <w:tcPr>
            <w:tcW w:w="1426" w:type="dxa"/>
            <w:vMerge w:val="restart"/>
          </w:tcPr>
          <w:p w:rsidR="00E26049" w:rsidRPr="00D51D99" w:rsidRDefault="00E26049" w:rsidP="00BB167C">
            <w:pPr>
              <w:spacing w:before="120"/>
              <w:rPr>
                <w:sz w:val="20"/>
                <w:szCs w:val="20"/>
              </w:rPr>
            </w:pPr>
            <w:r>
              <w:rPr>
                <w:sz w:val="20"/>
                <w:szCs w:val="20"/>
              </w:rPr>
              <w:t>South Australia</w:t>
            </w: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of </w:t>
            </w:r>
            <w:r>
              <w:rPr>
                <w:sz w:val="20"/>
                <w:szCs w:val="20"/>
              </w:rPr>
              <w:t>appointments</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7"/>
        </w:trPr>
        <w:tc>
          <w:tcPr>
            <w:tcW w:w="1426" w:type="dxa"/>
            <w:vMerge w:val="restart"/>
          </w:tcPr>
          <w:p w:rsidR="00E26049" w:rsidRPr="00D51D99" w:rsidRDefault="00E26049" w:rsidP="00BB167C">
            <w:pPr>
              <w:spacing w:before="120"/>
              <w:rPr>
                <w:sz w:val="20"/>
                <w:szCs w:val="20"/>
              </w:rPr>
            </w:pPr>
            <w:r>
              <w:rPr>
                <w:sz w:val="20"/>
                <w:szCs w:val="20"/>
              </w:rPr>
              <w:t>Tasmania</w:t>
            </w: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of </w:t>
            </w:r>
            <w:r>
              <w:rPr>
                <w:sz w:val="20"/>
                <w:szCs w:val="20"/>
              </w:rPr>
              <w:t>appointments</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7"/>
        </w:trPr>
        <w:tc>
          <w:tcPr>
            <w:tcW w:w="1426" w:type="dxa"/>
            <w:vMerge w:val="restart"/>
          </w:tcPr>
          <w:p w:rsidR="00E26049" w:rsidRPr="00D51D99" w:rsidRDefault="00E26049" w:rsidP="00BB167C">
            <w:pPr>
              <w:spacing w:before="120"/>
              <w:rPr>
                <w:sz w:val="20"/>
                <w:szCs w:val="20"/>
              </w:rPr>
            </w:pPr>
            <w:r>
              <w:rPr>
                <w:sz w:val="20"/>
                <w:szCs w:val="20"/>
              </w:rPr>
              <w:t>Northern Territory</w:t>
            </w: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of </w:t>
            </w:r>
            <w:r>
              <w:rPr>
                <w:sz w:val="20"/>
                <w:szCs w:val="20"/>
              </w:rPr>
              <w:t>appointments</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7"/>
        </w:trPr>
        <w:tc>
          <w:tcPr>
            <w:tcW w:w="1426" w:type="dxa"/>
            <w:vMerge w:val="restart"/>
          </w:tcPr>
          <w:p w:rsidR="00E26049" w:rsidRPr="00D51D99" w:rsidRDefault="00E26049" w:rsidP="00BB167C">
            <w:pPr>
              <w:spacing w:before="120"/>
              <w:rPr>
                <w:sz w:val="20"/>
                <w:szCs w:val="20"/>
              </w:rPr>
            </w:pPr>
            <w:r>
              <w:rPr>
                <w:sz w:val="20"/>
                <w:szCs w:val="20"/>
              </w:rPr>
              <w:t>Australia</w:t>
            </w: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of </w:t>
            </w:r>
            <w:r>
              <w:rPr>
                <w:sz w:val="20"/>
                <w:szCs w:val="20"/>
              </w:rPr>
              <w:t>appointments</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 xml:space="preserve">Number </w:t>
            </w:r>
            <w:r>
              <w:rPr>
                <w:sz w:val="20"/>
                <w:szCs w:val="20"/>
              </w:rPr>
              <w:t>(complied)</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r w:rsidR="00E26049" w:rsidRPr="00D51D99" w:rsidTr="00E26049">
        <w:trPr>
          <w:trHeight w:val="66"/>
        </w:trPr>
        <w:tc>
          <w:tcPr>
            <w:tcW w:w="1426" w:type="dxa"/>
            <w:vMerge/>
          </w:tcPr>
          <w:p w:rsidR="00E26049" w:rsidRPr="00D51D99" w:rsidRDefault="00E26049" w:rsidP="00BB167C">
            <w:pPr>
              <w:spacing w:before="120"/>
              <w:rPr>
                <w:sz w:val="20"/>
                <w:szCs w:val="20"/>
              </w:rPr>
            </w:pPr>
          </w:p>
        </w:tc>
        <w:tc>
          <w:tcPr>
            <w:tcW w:w="3491" w:type="dxa"/>
            <w:vAlign w:val="center"/>
          </w:tcPr>
          <w:p w:rsidR="00E26049" w:rsidRPr="00D51D99" w:rsidRDefault="00E26049" w:rsidP="00BB167C">
            <w:pPr>
              <w:spacing w:before="120"/>
              <w:rPr>
                <w:sz w:val="20"/>
                <w:szCs w:val="20"/>
              </w:rPr>
            </w:pPr>
            <w:r w:rsidRPr="00D51D99">
              <w:rPr>
                <w:sz w:val="20"/>
                <w:szCs w:val="20"/>
              </w:rPr>
              <w:t>Number (</w:t>
            </w:r>
            <w:r>
              <w:rPr>
                <w:sz w:val="20"/>
                <w:szCs w:val="20"/>
              </w:rPr>
              <w:t>did not</w:t>
            </w:r>
            <w:r w:rsidRPr="00D51D99">
              <w:rPr>
                <w:sz w:val="20"/>
                <w:szCs w:val="20"/>
              </w:rPr>
              <w:t xml:space="preserve"> comply</w:t>
            </w:r>
            <w:r>
              <w:rPr>
                <w:sz w:val="20"/>
                <w:szCs w:val="20"/>
              </w:rPr>
              <w:t xml:space="preserve"> – other CSP</w:t>
            </w:r>
            <w:r w:rsidRPr="00D51D99">
              <w:rPr>
                <w:sz w:val="20"/>
                <w:szCs w:val="20"/>
              </w:rPr>
              <w:t>)</w:t>
            </w:r>
          </w:p>
        </w:tc>
        <w:tc>
          <w:tcPr>
            <w:tcW w:w="1417" w:type="dxa"/>
          </w:tcPr>
          <w:p w:rsidR="00E26049" w:rsidRPr="00D51D99" w:rsidRDefault="00E26049" w:rsidP="00BB167C">
            <w:pPr>
              <w:spacing w:before="120"/>
              <w:rPr>
                <w:sz w:val="20"/>
                <w:szCs w:val="20"/>
              </w:rPr>
            </w:pPr>
          </w:p>
        </w:tc>
        <w:tc>
          <w:tcPr>
            <w:tcW w:w="1418" w:type="dxa"/>
          </w:tcPr>
          <w:p w:rsidR="00E26049" w:rsidRPr="00D51D99" w:rsidRDefault="00E26049" w:rsidP="00BB167C">
            <w:pPr>
              <w:spacing w:before="120"/>
              <w:rPr>
                <w:sz w:val="20"/>
                <w:szCs w:val="20"/>
              </w:rPr>
            </w:pPr>
          </w:p>
        </w:tc>
      </w:tr>
    </w:tbl>
    <w:p w:rsidR="002B0282" w:rsidRDefault="009E1124" w:rsidP="006709EE">
      <w:pPr>
        <w:spacing w:before="120"/>
        <w:ind w:left="1440" w:hanging="1014"/>
        <w:rPr>
          <w:sz w:val="20"/>
          <w:szCs w:val="20"/>
        </w:rPr>
      </w:pPr>
      <w:r w:rsidRPr="004B4366">
        <w:rPr>
          <w:i/>
          <w:sz w:val="20"/>
          <w:szCs w:val="20"/>
        </w:rPr>
        <w:t>Note</w:t>
      </w:r>
      <w:r w:rsidR="007D0C4D">
        <w:rPr>
          <w:i/>
          <w:sz w:val="20"/>
          <w:szCs w:val="20"/>
        </w:rPr>
        <w:t xml:space="preserve"> 1</w:t>
      </w:r>
      <w:r>
        <w:rPr>
          <w:i/>
          <w:sz w:val="20"/>
          <w:szCs w:val="20"/>
        </w:rPr>
        <w:t>:</w:t>
      </w:r>
      <w:r w:rsidRPr="004B4366">
        <w:rPr>
          <w:sz w:val="20"/>
          <w:szCs w:val="20"/>
        </w:rPr>
        <w:tab/>
      </w:r>
      <w:r>
        <w:rPr>
          <w:sz w:val="20"/>
          <w:szCs w:val="20"/>
        </w:rPr>
        <w:t xml:space="preserve">The information to be included in Table 6 is the information referred to in </w:t>
      </w:r>
      <w:r w:rsidRPr="00E666B2">
        <w:rPr>
          <w:sz w:val="20"/>
          <w:szCs w:val="20"/>
        </w:rPr>
        <w:t xml:space="preserve">item </w:t>
      </w:r>
      <w:r>
        <w:rPr>
          <w:sz w:val="20"/>
          <w:szCs w:val="20"/>
        </w:rPr>
        <w:t>6 of Schedule </w:t>
      </w:r>
      <w:r w:rsidRPr="00E666B2">
        <w:rPr>
          <w:sz w:val="20"/>
          <w:szCs w:val="20"/>
        </w:rPr>
        <w:t>1.</w:t>
      </w:r>
    </w:p>
    <w:p w:rsidR="007D0C4D" w:rsidRDefault="007D0C4D" w:rsidP="006709EE">
      <w:pPr>
        <w:spacing w:before="120"/>
        <w:ind w:left="1440" w:hanging="1014"/>
        <w:rPr>
          <w:sz w:val="20"/>
          <w:szCs w:val="20"/>
        </w:rPr>
      </w:pPr>
      <w:r>
        <w:rPr>
          <w:i/>
          <w:sz w:val="20"/>
          <w:szCs w:val="20"/>
        </w:rPr>
        <w:t>Note 2:</w:t>
      </w:r>
      <w:r>
        <w:rPr>
          <w:sz w:val="20"/>
          <w:szCs w:val="20"/>
        </w:rPr>
        <w:tab/>
        <w:t xml:space="preserve">In Table 6, </w:t>
      </w:r>
      <w:r w:rsidRPr="0009512E">
        <w:rPr>
          <w:b/>
          <w:i/>
          <w:sz w:val="20"/>
          <w:szCs w:val="20"/>
        </w:rPr>
        <w:t>CSP</w:t>
      </w:r>
      <w:r>
        <w:rPr>
          <w:sz w:val="20"/>
          <w:szCs w:val="20"/>
        </w:rPr>
        <w:t xml:space="preserve"> means carriage service provider.</w:t>
      </w:r>
    </w:p>
    <w:p w:rsidR="007D0C4D" w:rsidRDefault="007D0C4D" w:rsidP="00C36905">
      <w:pPr>
        <w:spacing w:before="120"/>
        <w:ind w:left="1440" w:hanging="720"/>
      </w:pPr>
    </w:p>
    <w:sectPr w:rsidR="007D0C4D" w:rsidSect="004A543C">
      <w:headerReference w:type="even" r:id="rId20"/>
      <w:headerReference w:type="default" r:id="rId21"/>
      <w:footerReference w:type="even" r:id="rId22"/>
      <w:footerReference w:type="default" r:id="rId23"/>
      <w:headerReference w:type="first" r:id="rId24"/>
      <w:footerReference w:type="first" r:id="rId25"/>
      <w:pgSz w:w="11907" w:h="16839" w:code="9"/>
      <w:pgMar w:top="1440"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34E" w:rsidRDefault="00DF734E" w:rsidP="002A7035">
      <w:r>
        <w:separator/>
      </w:r>
    </w:p>
  </w:endnote>
  <w:endnote w:type="continuationSeparator" w:id="0">
    <w:p w:rsidR="00DF734E" w:rsidRDefault="00DF734E" w:rsidP="002A7035">
      <w:r>
        <w:continuationSeparator/>
      </w:r>
    </w:p>
  </w:endnote>
</w:endnotes>
</file>

<file path=word/fontTable.xml><?xml version="1.0" encoding="utf-8"?>
<w:fonts xmlns:r="http://schemas.openxmlformats.org/officeDocument/2006/relationships" xmlns:w="http://schemas.openxmlformats.org/wordprocessingml/2006/main">
  <w:font w:name="HelveticaNeueLT Std L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F10D43" w:rsidRDefault="00DF734E">
    <w:pPr>
      <w:pStyle w:val="Footerinfo"/>
    </w:pPr>
  </w:p>
  <w:tbl>
    <w:tblPr>
      <w:tblW w:w="0" w:type="auto"/>
      <w:tblBorders>
        <w:top w:val="single" w:sz="4" w:space="0" w:color="auto"/>
      </w:tblBorders>
      <w:tblLayout w:type="fixed"/>
      <w:tblLook w:val="01E0"/>
    </w:tblPr>
    <w:tblGrid>
      <w:gridCol w:w="1701"/>
      <w:gridCol w:w="4933"/>
      <w:gridCol w:w="1701"/>
    </w:tblGrid>
    <w:tr w:rsidR="00DF734E" w:rsidRPr="008C43B2">
      <w:tc>
        <w:tcPr>
          <w:tcW w:w="1701" w:type="dxa"/>
        </w:tcPr>
        <w:p w:rsidR="00DF734E" w:rsidRPr="008C43B2" w:rsidRDefault="003E1ED0">
          <w:pPr>
            <w:pStyle w:val="FooterPageEven"/>
          </w:pPr>
          <w:fldSimple w:instr=" PAGE ">
            <w:r w:rsidR="00DF734E">
              <w:rPr>
                <w:noProof/>
              </w:rPr>
              <w:t>6</w:t>
            </w:r>
          </w:fldSimple>
        </w:p>
      </w:tc>
      <w:tc>
        <w:tcPr>
          <w:tcW w:w="4933" w:type="dxa"/>
        </w:tcPr>
        <w:p w:rsidR="00DF734E" w:rsidRPr="008C43B2" w:rsidRDefault="003E1ED0">
          <w:pPr>
            <w:pStyle w:val="FooterCitation"/>
          </w:pPr>
          <w:fldSimple w:instr=" STYLEREF  Title ">
            <w:r w:rsidR="00A0712F">
              <w:rPr>
                <w:noProof/>
              </w:rPr>
              <w:t>Telecommunications (Customer Service Guarantee) Record-Keeping Rules 2011</w:t>
            </w:r>
          </w:fldSimple>
        </w:p>
      </w:tc>
      <w:tc>
        <w:tcPr>
          <w:tcW w:w="1701" w:type="dxa"/>
        </w:tcPr>
        <w:p w:rsidR="00DF734E" w:rsidRPr="008C43B2" w:rsidRDefault="00DF734E">
          <w:pPr>
            <w:pStyle w:val="FooterPageOdd"/>
          </w:pPr>
        </w:p>
      </w:tc>
    </w:tr>
  </w:tbl>
  <w:p w:rsidR="00DF734E" w:rsidRPr="00F10D43" w:rsidRDefault="00DF734E">
    <w:pPr>
      <w:pStyle w:val="Footerinf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F10D43" w:rsidRDefault="00DF734E">
    <w:pPr>
      <w:pStyle w:val="Footerinfo"/>
    </w:pPr>
  </w:p>
  <w:tbl>
    <w:tblPr>
      <w:tblW w:w="0" w:type="auto"/>
      <w:tblBorders>
        <w:top w:val="single" w:sz="4" w:space="0" w:color="auto"/>
      </w:tblBorders>
      <w:tblLayout w:type="fixed"/>
      <w:tblLook w:val="01E0"/>
    </w:tblPr>
    <w:tblGrid>
      <w:gridCol w:w="1701"/>
      <w:gridCol w:w="4933"/>
      <w:gridCol w:w="1701"/>
    </w:tblGrid>
    <w:tr w:rsidR="00DF734E" w:rsidRPr="008C43B2">
      <w:tc>
        <w:tcPr>
          <w:tcW w:w="1701" w:type="dxa"/>
        </w:tcPr>
        <w:p w:rsidR="00DF734E" w:rsidRPr="008C43B2" w:rsidRDefault="00DF734E">
          <w:pPr>
            <w:pStyle w:val="FooterPageOdd"/>
          </w:pPr>
        </w:p>
      </w:tc>
      <w:tc>
        <w:tcPr>
          <w:tcW w:w="4933" w:type="dxa"/>
        </w:tcPr>
        <w:p w:rsidR="00DF734E" w:rsidRPr="008C43B2" w:rsidRDefault="003E1ED0">
          <w:pPr>
            <w:pStyle w:val="FooterCitation"/>
          </w:pPr>
          <w:fldSimple w:instr=" STYLEREF  Title ">
            <w:r w:rsidR="00A0712F">
              <w:rPr>
                <w:noProof/>
              </w:rPr>
              <w:t>Telecommunications (Customer Service Guarantee) Record-Keeping Rules 2011</w:t>
            </w:r>
          </w:fldSimple>
        </w:p>
      </w:tc>
      <w:tc>
        <w:tcPr>
          <w:tcW w:w="1701" w:type="dxa"/>
        </w:tcPr>
        <w:p w:rsidR="00DF734E" w:rsidRPr="008C43B2" w:rsidRDefault="003E1ED0">
          <w:pPr>
            <w:pStyle w:val="FooterPageOdd"/>
          </w:pPr>
          <w:fldSimple w:instr=" PAGE ">
            <w:r w:rsidR="00DF734E">
              <w:rPr>
                <w:noProof/>
              </w:rPr>
              <w:t>1</w:t>
            </w:r>
          </w:fldSimple>
        </w:p>
      </w:tc>
    </w:tr>
  </w:tbl>
  <w:p w:rsidR="00DF734E" w:rsidRPr="00F10D43" w:rsidRDefault="00DF734E">
    <w:pPr>
      <w:pStyle w:val="Footerinf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F10D43" w:rsidRDefault="00DF734E">
    <w:pPr>
      <w:pStyle w:val="Footerinfo"/>
    </w:pPr>
  </w:p>
  <w:tbl>
    <w:tblPr>
      <w:tblW w:w="0" w:type="auto"/>
      <w:tblBorders>
        <w:top w:val="single" w:sz="4" w:space="0" w:color="auto"/>
      </w:tblBorders>
      <w:tblLayout w:type="fixed"/>
      <w:tblLook w:val="01E0"/>
    </w:tblPr>
    <w:tblGrid>
      <w:gridCol w:w="1701"/>
      <w:gridCol w:w="4933"/>
      <w:gridCol w:w="1701"/>
    </w:tblGrid>
    <w:tr w:rsidR="00DF734E" w:rsidRPr="008C43B2">
      <w:tc>
        <w:tcPr>
          <w:tcW w:w="1701" w:type="dxa"/>
        </w:tcPr>
        <w:p w:rsidR="00DF734E" w:rsidRPr="008C43B2" w:rsidRDefault="003E1ED0">
          <w:pPr>
            <w:pStyle w:val="FooterPageEven"/>
          </w:pPr>
          <w:fldSimple w:instr=" PAGE ">
            <w:r w:rsidR="00DF734E">
              <w:rPr>
                <w:noProof/>
              </w:rPr>
              <w:t>2</w:t>
            </w:r>
          </w:fldSimple>
        </w:p>
      </w:tc>
      <w:tc>
        <w:tcPr>
          <w:tcW w:w="4933" w:type="dxa"/>
        </w:tcPr>
        <w:p w:rsidR="00DF734E" w:rsidRPr="008C43B2" w:rsidRDefault="003E1ED0">
          <w:pPr>
            <w:pStyle w:val="FooterCitation"/>
          </w:pPr>
          <w:fldSimple w:instr=" STYLEREF  Title ">
            <w:r w:rsidR="00A0712F">
              <w:rPr>
                <w:noProof/>
              </w:rPr>
              <w:t>Telecommunications (Customer Service Guarantee) Record-Keeping Rules 2011</w:t>
            </w:r>
          </w:fldSimple>
        </w:p>
      </w:tc>
      <w:tc>
        <w:tcPr>
          <w:tcW w:w="1701" w:type="dxa"/>
        </w:tcPr>
        <w:p w:rsidR="00DF734E" w:rsidRPr="008C43B2" w:rsidRDefault="00DF734E">
          <w:pPr>
            <w:pStyle w:val="FooterPageOdd"/>
          </w:pPr>
        </w:p>
      </w:tc>
    </w:tr>
  </w:tbl>
  <w:p w:rsidR="00DF734E" w:rsidRPr="00F10D43" w:rsidRDefault="00DF734E">
    <w:pPr>
      <w:pStyle w:val="Footerinf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F10D43" w:rsidRDefault="00DF734E">
    <w:pPr>
      <w:pStyle w:val="Footerinfo"/>
    </w:pPr>
  </w:p>
  <w:tbl>
    <w:tblPr>
      <w:tblW w:w="0" w:type="auto"/>
      <w:tblBorders>
        <w:top w:val="single" w:sz="4" w:space="0" w:color="auto"/>
      </w:tblBorders>
      <w:tblLayout w:type="fixed"/>
      <w:tblLook w:val="01E0"/>
    </w:tblPr>
    <w:tblGrid>
      <w:gridCol w:w="1701"/>
      <w:gridCol w:w="4933"/>
      <w:gridCol w:w="1701"/>
    </w:tblGrid>
    <w:tr w:rsidR="00DF734E" w:rsidRPr="008C43B2">
      <w:tc>
        <w:tcPr>
          <w:tcW w:w="1701" w:type="dxa"/>
        </w:tcPr>
        <w:p w:rsidR="00DF734E" w:rsidRPr="008C43B2" w:rsidRDefault="00DF734E">
          <w:pPr>
            <w:pStyle w:val="FooterPageOdd"/>
          </w:pPr>
        </w:p>
      </w:tc>
      <w:tc>
        <w:tcPr>
          <w:tcW w:w="4933" w:type="dxa"/>
        </w:tcPr>
        <w:p w:rsidR="00DF734E" w:rsidRPr="008C43B2" w:rsidRDefault="003E1ED0">
          <w:pPr>
            <w:pStyle w:val="FooterCitation"/>
          </w:pPr>
          <w:fldSimple w:instr=" STYLEREF  Title ">
            <w:r w:rsidR="009D2591">
              <w:rPr>
                <w:noProof/>
              </w:rPr>
              <w:t>Telecommunications (Customer Service Guarantee) Record-Keeping Rules 2011</w:t>
            </w:r>
          </w:fldSimple>
        </w:p>
      </w:tc>
      <w:tc>
        <w:tcPr>
          <w:tcW w:w="1701" w:type="dxa"/>
        </w:tcPr>
        <w:p w:rsidR="00DF734E" w:rsidRPr="008C43B2" w:rsidRDefault="003E1ED0">
          <w:pPr>
            <w:pStyle w:val="FooterPageOdd"/>
          </w:pPr>
          <w:fldSimple w:instr=" PAGE ">
            <w:r w:rsidR="009D2591">
              <w:rPr>
                <w:noProof/>
              </w:rPr>
              <w:t>2</w:t>
            </w:r>
          </w:fldSimple>
        </w:p>
      </w:tc>
    </w:tr>
  </w:tbl>
  <w:p w:rsidR="00DF734E" w:rsidRPr="00F10D43" w:rsidRDefault="00DF734E">
    <w:pPr>
      <w:pStyle w:val="Footerinf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556EB9" w:rsidRDefault="00DF734E">
    <w:pPr>
      <w:pStyle w:val="FooterCitation"/>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F10D43" w:rsidRDefault="00DF734E" w:rsidP="00140A51">
    <w:pPr>
      <w:pStyle w:val="Footerinfo"/>
    </w:pPr>
  </w:p>
  <w:tbl>
    <w:tblPr>
      <w:tblW w:w="0" w:type="auto"/>
      <w:tblBorders>
        <w:top w:val="single" w:sz="4" w:space="0" w:color="auto"/>
      </w:tblBorders>
      <w:tblLayout w:type="fixed"/>
      <w:tblLook w:val="01E0"/>
    </w:tblPr>
    <w:tblGrid>
      <w:gridCol w:w="1701"/>
      <w:gridCol w:w="4933"/>
      <w:gridCol w:w="1701"/>
    </w:tblGrid>
    <w:tr w:rsidR="00DF734E" w:rsidRPr="008C43B2">
      <w:tc>
        <w:tcPr>
          <w:tcW w:w="1701" w:type="dxa"/>
        </w:tcPr>
        <w:p w:rsidR="00DF734E" w:rsidRPr="008C43B2" w:rsidRDefault="003E1ED0" w:rsidP="00140A51">
          <w:pPr>
            <w:pStyle w:val="FooterPageEven"/>
          </w:pPr>
          <w:fldSimple w:instr=" PAGE ">
            <w:r w:rsidR="00DF734E">
              <w:rPr>
                <w:noProof/>
              </w:rPr>
              <w:t>14</w:t>
            </w:r>
          </w:fldSimple>
        </w:p>
      </w:tc>
      <w:tc>
        <w:tcPr>
          <w:tcW w:w="4933" w:type="dxa"/>
        </w:tcPr>
        <w:p w:rsidR="00DF734E" w:rsidRPr="008C43B2" w:rsidRDefault="003E1ED0" w:rsidP="00140A51">
          <w:pPr>
            <w:pStyle w:val="FooterCitation"/>
          </w:pPr>
          <w:fldSimple w:instr=" STYLEREF  Title ">
            <w:r w:rsidR="00A0712F">
              <w:rPr>
                <w:noProof/>
              </w:rPr>
              <w:t>Telecommunications (Customer Service Guarantee) Record-Keeping Rules 2011</w:t>
            </w:r>
          </w:fldSimple>
        </w:p>
      </w:tc>
      <w:tc>
        <w:tcPr>
          <w:tcW w:w="1701" w:type="dxa"/>
        </w:tcPr>
        <w:p w:rsidR="00DF734E" w:rsidRPr="008C43B2" w:rsidRDefault="00DF734E" w:rsidP="00140A51">
          <w:pPr>
            <w:pStyle w:val="FooterPageOdd"/>
          </w:pPr>
        </w:p>
      </w:tc>
    </w:tr>
  </w:tbl>
  <w:p w:rsidR="00DF734E" w:rsidRPr="00F10D43" w:rsidRDefault="00DF734E" w:rsidP="00140A51">
    <w:pPr>
      <w:pStyle w:val="Footerinf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F10D43" w:rsidRDefault="00DF734E" w:rsidP="00140A51">
    <w:pPr>
      <w:pStyle w:val="Footerinfo"/>
    </w:pPr>
  </w:p>
  <w:tbl>
    <w:tblPr>
      <w:tblW w:w="0" w:type="auto"/>
      <w:tblBorders>
        <w:top w:val="single" w:sz="4" w:space="0" w:color="auto"/>
      </w:tblBorders>
      <w:tblLayout w:type="fixed"/>
      <w:tblLook w:val="01E0"/>
    </w:tblPr>
    <w:tblGrid>
      <w:gridCol w:w="1701"/>
      <w:gridCol w:w="4933"/>
      <w:gridCol w:w="1701"/>
    </w:tblGrid>
    <w:tr w:rsidR="00DF734E" w:rsidRPr="008C43B2">
      <w:tc>
        <w:tcPr>
          <w:tcW w:w="1701" w:type="dxa"/>
        </w:tcPr>
        <w:p w:rsidR="00DF734E" w:rsidRPr="008C43B2" w:rsidRDefault="00DF734E" w:rsidP="00140A51">
          <w:pPr>
            <w:pStyle w:val="FooterPageOdd"/>
          </w:pPr>
        </w:p>
      </w:tc>
      <w:tc>
        <w:tcPr>
          <w:tcW w:w="4933" w:type="dxa"/>
        </w:tcPr>
        <w:p w:rsidR="00DF734E" w:rsidRPr="008C43B2" w:rsidRDefault="003E1ED0" w:rsidP="00140A51">
          <w:pPr>
            <w:pStyle w:val="FooterCitation"/>
          </w:pPr>
          <w:fldSimple w:instr=" STYLEREF  Title ">
            <w:r w:rsidR="009D2591">
              <w:rPr>
                <w:noProof/>
              </w:rPr>
              <w:t>Telecommunications (Customer Service Guarantee) Record-Keeping Rules 2011</w:t>
            </w:r>
          </w:fldSimple>
        </w:p>
      </w:tc>
      <w:tc>
        <w:tcPr>
          <w:tcW w:w="1701" w:type="dxa"/>
        </w:tcPr>
        <w:p w:rsidR="00DF734E" w:rsidRPr="008C43B2" w:rsidRDefault="003E1ED0" w:rsidP="00140A51">
          <w:pPr>
            <w:pStyle w:val="FooterPageOdd"/>
          </w:pPr>
          <w:fldSimple w:instr=" PAGE ">
            <w:r w:rsidR="009D2591">
              <w:rPr>
                <w:noProof/>
              </w:rPr>
              <w:t>26</w:t>
            </w:r>
          </w:fldSimple>
        </w:p>
      </w:tc>
    </w:tr>
  </w:tbl>
  <w:p w:rsidR="00DF734E" w:rsidRPr="00F10D43" w:rsidRDefault="00DF734E" w:rsidP="00140A51">
    <w:pPr>
      <w:pStyle w:val="Footerinf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Pr="00556EB9" w:rsidRDefault="00DF734E" w:rsidP="00140A51">
    <w:pPr>
      <w:pStyle w:val="FooterCitation"/>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34E" w:rsidRDefault="00DF734E" w:rsidP="002A7035">
      <w:r>
        <w:separator/>
      </w:r>
    </w:p>
  </w:footnote>
  <w:footnote w:type="continuationSeparator" w:id="0">
    <w:p w:rsidR="00DF734E" w:rsidRDefault="00DF734E" w:rsidP="002A7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tblBorders>
        <w:bottom w:val="single" w:sz="4" w:space="0" w:color="auto"/>
      </w:tblBorders>
      <w:tblLook w:val="01E0"/>
    </w:tblPr>
    <w:tblGrid>
      <w:gridCol w:w="1546"/>
      <w:gridCol w:w="6811"/>
    </w:tblGrid>
    <w:tr w:rsidR="00DF734E">
      <w:tc>
        <w:tcPr>
          <w:tcW w:w="1546" w:type="dxa"/>
        </w:tcPr>
        <w:p w:rsidR="00DF734E" w:rsidRPr="000774FD" w:rsidRDefault="00DF734E">
          <w:pPr>
            <w:pStyle w:val="HeaderLiteEven"/>
            <w:rPr>
              <w:rFonts w:cs="Arial"/>
              <w:b/>
              <w:bCs/>
            </w:rPr>
          </w:pPr>
        </w:p>
      </w:tc>
      <w:tc>
        <w:tcPr>
          <w:tcW w:w="6811" w:type="dxa"/>
          <w:vAlign w:val="bottom"/>
        </w:tcPr>
        <w:p w:rsidR="00DF734E" w:rsidRPr="000774FD" w:rsidRDefault="00DF734E">
          <w:pPr>
            <w:pStyle w:val="HeaderLiteEven"/>
            <w:rPr>
              <w:rFonts w:cs="Arial"/>
              <w:b/>
              <w:bCs/>
            </w:rPr>
          </w:pPr>
        </w:p>
      </w:tc>
    </w:tr>
    <w:tr w:rsidR="00DF734E">
      <w:tc>
        <w:tcPr>
          <w:tcW w:w="1546" w:type="dxa"/>
        </w:tcPr>
        <w:p w:rsidR="00DF734E" w:rsidRPr="000774FD" w:rsidRDefault="00DF734E">
          <w:pPr>
            <w:pStyle w:val="HeaderLiteEven"/>
            <w:rPr>
              <w:rFonts w:cs="Arial"/>
              <w:b/>
              <w:bCs/>
            </w:rPr>
          </w:pPr>
        </w:p>
      </w:tc>
      <w:tc>
        <w:tcPr>
          <w:tcW w:w="6811" w:type="dxa"/>
          <w:vAlign w:val="bottom"/>
        </w:tcPr>
        <w:p w:rsidR="00DF734E" w:rsidRPr="000774FD" w:rsidRDefault="00DF734E">
          <w:pPr>
            <w:pStyle w:val="HeaderLiteEven"/>
            <w:rPr>
              <w:rFonts w:cs="Arial"/>
              <w:b/>
              <w:bCs/>
            </w:rPr>
          </w:pPr>
        </w:p>
      </w:tc>
    </w:tr>
    <w:tr w:rsidR="00DF734E">
      <w:tc>
        <w:tcPr>
          <w:tcW w:w="8357" w:type="dxa"/>
          <w:gridSpan w:val="2"/>
        </w:tcPr>
        <w:p w:rsidR="00DF734E" w:rsidRPr="000774FD" w:rsidRDefault="00DF734E" w:rsidP="00140A51">
          <w:pPr>
            <w:pStyle w:val="HeaderLiteEven"/>
            <w:spacing w:before="120" w:after="60"/>
            <w:ind w:right="-108"/>
            <w:rPr>
              <w:rFonts w:cs="Arial"/>
              <w:b/>
              <w:bCs/>
            </w:rPr>
          </w:pPr>
        </w:p>
      </w:tc>
    </w:tr>
  </w:tbl>
  <w:p w:rsidR="00DF734E" w:rsidRDefault="00DF734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57" w:type="dxa"/>
      <w:jc w:val="right"/>
      <w:tblBorders>
        <w:bottom w:val="single" w:sz="4" w:space="0" w:color="auto"/>
      </w:tblBorders>
      <w:tblLook w:val="01E0"/>
    </w:tblPr>
    <w:tblGrid>
      <w:gridCol w:w="6789"/>
      <w:gridCol w:w="1568"/>
    </w:tblGrid>
    <w:tr w:rsidR="00DF734E">
      <w:trPr>
        <w:jc w:val="right"/>
      </w:trPr>
      <w:tc>
        <w:tcPr>
          <w:tcW w:w="6789" w:type="dxa"/>
          <w:vAlign w:val="bottom"/>
        </w:tcPr>
        <w:p w:rsidR="00DF734E" w:rsidRDefault="00DF734E">
          <w:pPr>
            <w:pStyle w:val="HeaderLiteEven"/>
          </w:pPr>
        </w:p>
      </w:tc>
      <w:tc>
        <w:tcPr>
          <w:tcW w:w="1568" w:type="dxa"/>
        </w:tcPr>
        <w:p w:rsidR="00DF734E" w:rsidRDefault="00DF734E">
          <w:pPr>
            <w:pStyle w:val="HeaderLiteEven"/>
          </w:pPr>
        </w:p>
      </w:tc>
    </w:tr>
    <w:tr w:rsidR="00DF734E">
      <w:trPr>
        <w:jc w:val="right"/>
      </w:trPr>
      <w:tc>
        <w:tcPr>
          <w:tcW w:w="6789" w:type="dxa"/>
          <w:vAlign w:val="bottom"/>
        </w:tcPr>
        <w:p w:rsidR="00DF734E" w:rsidRDefault="00DF734E">
          <w:pPr>
            <w:pStyle w:val="HeaderLiteEven"/>
          </w:pPr>
        </w:p>
      </w:tc>
      <w:tc>
        <w:tcPr>
          <w:tcW w:w="1568" w:type="dxa"/>
        </w:tcPr>
        <w:p w:rsidR="00DF734E" w:rsidRDefault="00DF734E">
          <w:pPr>
            <w:pStyle w:val="HeaderLiteEven"/>
          </w:pPr>
        </w:p>
      </w:tc>
    </w:tr>
    <w:tr w:rsidR="00DF734E">
      <w:trPr>
        <w:jc w:val="right"/>
      </w:trPr>
      <w:tc>
        <w:tcPr>
          <w:tcW w:w="8357" w:type="dxa"/>
          <w:gridSpan w:val="2"/>
          <w:vAlign w:val="bottom"/>
        </w:tcPr>
        <w:p w:rsidR="00DF734E" w:rsidRDefault="00DF734E" w:rsidP="00140A51">
          <w:pPr>
            <w:pStyle w:val="HeaderLiteEven"/>
            <w:spacing w:before="120" w:after="60"/>
            <w:ind w:right="-108"/>
          </w:pPr>
        </w:p>
      </w:tc>
    </w:tr>
  </w:tbl>
  <w:p w:rsidR="00DF734E" w:rsidRDefault="00DF734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43" w:type="dxa"/>
      <w:tblBorders>
        <w:bottom w:val="single" w:sz="4" w:space="0" w:color="auto"/>
      </w:tblBorders>
      <w:tblLook w:val="01E0"/>
    </w:tblPr>
    <w:tblGrid>
      <w:gridCol w:w="1546"/>
      <w:gridCol w:w="6797"/>
    </w:tblGrid>
    <w:tr w:rsidR="00DF734E">
      <w:tc>
        <w:tcPr>
          <w:tcW w:w="8343" w:type="dxa"/>
          <w:gridSpan w:val="2"/>
        </w:tcPr>
        <w:p w:rsidR="00DF734E" w:rsidRDefault="00DF734E" w:rsidP="00140A51">
          <w:pPr>
            <w:pStyle w:val="HeaderLiteEven"/>
            <w:ind w:right="-108"/>
          </w:pPr>
          <w:r>
            <w:t>Contents</w:t>
          </w:r>
        </w:p>
      </w:tc>
    </w:tr>
    <w:tr w:rsidR="00DF734E">
      <w:tc>
        <w:tcPr>
          <w:tcW w:w="1546" w:type="dxa"/>
        </w:tcPr>
        <w:p w:rsidR="00DF734E" w:rsidRDefault="00DF734E" w:rsidP="00140A51">
          <w:pPr>
            <w:pStyle w:val="HeaderLiteEven"/>
            <w:ind w:right="-108"/>
          </w:pPr>
        </w:p>
      </w:tc>
      <w:tc>
        <w:tcPr>
          <w:tcW w:w="6797" w:type="dxa"/>
          <w:vAlign w:val="bottom"/>
        </w:tcPr>
        <w:p w:rsidR="00DF734E" w:rsidRDefault="00DF734E" w:rsidP="00140A51">
          <w:pPr>
            <w:pStyle w:val="HeaderLiteEven"/>
            <w:ind w:right="-108"/>
          </w:pPr>
        </w:p>
      </w:tc>
    </w:tr>
    <w:tr w:rsidR="00DF734E">
      <w:tc>
        <w:tcPr>
          <w:tcW w:w="1546" w:type="dxa"/>
        </w:tcPr>
        <w:p w:rsidR="00DF734E" w:rsidRDefault="00DF734E" w:rsidP="00140A51">
          <w:pPr>
            <w:pStyle w:val="HeaderLiteEven"/>
            <w:spacing w:before="120" w:after="60"/>
            <w:ind w:right="-108"/>
          </w:pPr>
        </w:p>
      </w:tc>
      <w:tc>
        <w:tcPr>
          <w:tcW w:w="6797" w:type="dxa"/>
          <w:vAlign w:val="bottom"/>
        </w:tcPr>
        <w:p w:rsidR="00DF734E" w:rsidRDefault="00DF734E" w:rsidP="00140A51">
          <w:pPr>
            <w:pStyle w:val="HeaderLiteEven"/>
            <w:spacing w:before="120" w:after="60"/>
            <w:ind w:right="-108"/>
          </w:pPr>
        </w:p>
      </w:tc>
    </w:tr>
  </w:tbl>
  <w:p w:rsidR="00DF734E" w:rsidRPr="001269B3" w:rsidRDefault="00DF734E">
    <w:pPr>
      <w:pStyle w:val="HeaderContentsPage"/>
    </w:pPr>
    <w:r>
      <w:t>Page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43" w:type="dxa"/>
      <w:jc w:val="right"/>
      <w:tblBorders>
        <w:bottom w:val="single" w:sz="4" w:space="0" w:color="auto"/>
      </w:tblBorders>
      <w:tblLook w:val="01E0"/>
    </w:tblPr>
    <w:tblGrid>
      <w:gridCol w:w="6868"/>
      <w:gridCol w:w="1475"/>
    </w:tblGrid>
    <w:tr w:rsidR="00DF734E">
      <w:trPr>
        <w:jc w:val="right"/>
      </w:trPr>
      <w:tc>
        <w:tcPr>
          <w:tcW w:w="8343" w:type="dxa"/>
          <w:gridSpan w:val="2"/>
          <w:vAlign w:val="bottom"/>
        </w:tcPr>
        <w:p w:rsidR="00DF734E" w:rsidRDefault="00DF734E" w:rsidP="004C14CA">
          <w:pPr>
            <w:pStyle w:val="HeaderLiteOdd"/>
          </w:pPr>
        </w:p>
      </w:tc>
    </w:tr>
    <w:tr w:rsidR="00DF734E">
      <w:trPr>
        <w:jc w:val="right"/>
      </w:trPr>
      <w:tc>
        <w:tcPr>
          <w:tcW w:w="6868" w:type="dxa"/>
          <w:vAlign w:val="bottom"/>
        </w:tcPr>
        <w:p w:rsidR="00DF734E" w:rsidRDefault="00DF734E">
          <w:pPr>
            <w:pStyle w:val="HeaderLiteOdd"/>
          </w:pPr>
        </w:p>
      </w:tc>
      <w:tc>
        <w:tcPr>
          <w:tcW w:w="1475" w:type="dxa"/>
        </w:tcPr>
        <w:p w:rsidR="00DF734E" w:rsidRDefault="00DF734E">
          <w:pPr>
            <w:pStyle w:val="HeaderLiteOdd"/>
          </w:pPr>
        </w:p>
      </w:tc>
    </w:tr>
    <w:tr w:rsidR="00DF734E">
      <w:trPr>
        <w:jc w:val="right"/>
      </w:trPr>
      <w:tc>
        <w:tcPr>
          <w:tcW w:w="6868" w:type="dxa"/>
          <w:vAlign w:val="bottom"/>
        </w:tcPr>
        <w:p w:rsidR="00DF734E" w:rsidRDefault="00DF734E" w:rsidP="00140A51">
          <w:pPr>
            <w:pStyle w:val="HeaderLiteOdd"/>
            <w:spacing w:before="120" w:after="60"/>
          </w:pPr>
        </w:p>
      </w:tc>
      <w:tc>
        <w:tcPr>
          <w:tcW w:w="1475" w:type="dxa"/>
        </w:tcPr>
        <w:p w:rsidR="00DF734E" w:rsidRDefault="00DF734E" w:rsidP="00140A51">
          <w:pPr>
            <w:pStyle w:val="HeaderLiteOdd"/>
            <w:spacing w:before="120" w:after="60"/>
          </w:pPr>
        </w:p>
      </w:tc>
    </w:tr>
  </w:tbl>
  <w:p w:rsidR="00DF734E" w:rsidRDefault="00DF734E">
    <w:pPr>
      <w:pStyle w:val="HeaderContentsPag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Default="00DF734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14" w:type="dxa"/>
      <w:tblBorders>
        <w:bottom w:val="single" w:sz="4" w:space="0" w:color="auto"/>
      </w:tblBorders>
      <w:tblLook w:val="01E0"/>
    </w:tblPr>
    <w:tblGrid>
      <w:gridCol w:w="8414"/>
    </w:tblGrid>
    <w:tr w:rsidR="00DF734E">
      <w:tc>
        <w:tcPr>
          <w:tcW w:w="8414" w:type="dxa"/>
        </w:tcPr>
        <w:p w:rsidR="00DF734E" w:rsidRDefault="00DF734E" w:rsidP="00140A51">
          <w:pPr>
            <w:pStyle w:val="HeaderLiteEven"/>
          </w:pPr>
          <w:r>
            <w:t>Notes to the</w:t>
          </w:r>
          <w:r w:rsidRPr="000D4CDA">
            <w:t xml:space="preserve"> </w:t>
          </w:r>
          <w:r w:rsidR="003E1ED0" w:rsidRPr="000774FD">
            <w:rPr>
              <w:i/>
            </w:rPr>
            <w:fldChar w:fldCharType="begin"/>
          </w:r>
          <w:r w:rsidRPr="000774FD">
            <w:rPr>
              <w:i/>
            </w:rPr>
            <w:instrText xml:space="preserve"> STYLEREF  Title </w:instrText>
          </w:r>
          <w:r w:rsidR="003E1ED0" w:rsidRPr="000774FD">
            <w:rPr>
              <w:i/>
            </w:rPr>
            <w:fldChar w:fldCharType="separate"/>
          </w:r>
          <w:r w:rsidR="00A0712F">
            <w:rPr>
              <w:i/>
              <w:noProof/>
            </w:rPr>
            <w:t>Telecommunications (Customer Service Guarantee) Record-Keeping Rules 2011</w:t>
          </w:r>
          <w:r w:rsidR="003E1ED0" w:rsidRPr="000774FD">
            <w:rPr>
              <w:i/>
            </w:rPr>
            <w:fldChar w:fldCharType="end"/>
          </w:r>
        </w:p>
      </w:tc>
    </w:tr>
    <w:tr w:rsidR="00DF734E">
      <w:tc>
        <w:tcPr>
          <w:tcW w:w="8414" w:type="dxa"/>
        </w:tcPr>
        <w:p w:rsidR="00DF734E" w:rsidRDefault="00DF734E" w:rsidP="00140A51">
          <w:pPr>
            <w:pStyle w:val="HeaderLiteEven"/>
          </w:pPr>
        </w:p>
      </w:tc>
    </w:tr>
    <w:tr w:rsidR="00DF734E">
      <w:tc>
        <w:tcPr>
          <w:tcW w:w="8414" w:type="dxa"/>
        </w:tcPr>
        <w:p w:rsidR="00DF734E" w:rsidRPr="000D4CDA" w:rsidRDefault="003E1ED0" w:rsidP="00140A51">
          <w:pPr>
            <w:pStyle w:val="HeaderBoldEven"/>
          </w:pPr>
          <w:r>
            <w:fldChar w:fldCharType="begin"/>
          </w:r>
          <w:r w:rsidR="00DF734E">
            <w:instrText xml:space="preserve"> STYLEREF  CharENotesHeading  \* CHARFORMAT </w:instrText>
          </w:r>
          <w:r>
            <w:fldChar w:fldCharType="separate"/>
          </w:r>
          <w:r w:rsidR="00A0712F">
            <w:rPr>
              <w:b w:val="0"/>
              <w:bCs/>
              <w:noProof/>
              <w:lang w:val="en-US"/>
            </w:rPr>
            <w:t>Error! No text of specified style in document.</w:t>
          </w:r>
          <w:r>
            <w:fldChar w:fldCharType="end"/>
          </w:r>
        </w:p>
      </w:tc>
    </w:tr>
  </w:tbl>
  <w:p w:rsidR="00DF734E" w:rsidRDefault="00DF734E" w:rsidP="00140A5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460" w:type="dxa"/>
      <w:jc w:val="right"/>
      <w:tblBorders>
        <w:bottom w:val="single" w:sz="4" w:space="0" w:color="auto"/>
      </w:tblBorders>
      <w:tblLook w:val="01E0"/>
    </w:tblPr>
    <w:tblGrid>
      <w:gridCol w:w="8460"/>
    </w:tblGrid>
    <w:tr w:rsidR="00DF734E">
      <w:trPr>
        <w:jc w:val="right"/>
      </w:trPr>
      <w:tc>
        <w:tcPr>
          <w:tcW w:w="8460" w:type="dxa"/>
          <w:vAlign w:val="bottom"/>
        </w:tcPr>
        <w:p w:rsidR="00DF734E" w:rsidRDefault="00DF734E" w:rsidP="00930B48">
          <w:pPr>
            <w:pStyle w:val="HeaderLiteOdd"/>
          </w:pPr>
        </w:p>
      </w:tc>
    </w:tr>
    <w:tr w:rsidR="00DF734E">
      <w:trPr>
        <w:jc w:val="right"/>
      </w:trPr>
      <w:tc>
        <w:tcPr>
          <w:tcW w:w="8460" w:type="dxa"/>
          <w:vAlign w:val="bottom"/>
        </w:tcPr>
        <w:p w:rsidR="00DF734E" w:rsidRDefault="00DF734E" w:rsidP="00140A51">
          <w:pPr>
            <w:pStyle w:val="HeaderLiteOdd"/>
          </w:pPr>
        </w:p>
      </w:tc>
    </w:tr>
    <w:tr w:rsidR="00DF734E">
      <w:trPr>
        <w:jc w:val="right"/>
      </w:trPr>
      <w:tc>
        <w:tcPr>
          <w:tcW w:w="8460" w:type="dxa"/>
          <w:vAlign w:val="bottom"/>
        </w:tcPr>
        <w:p w:rsidR="00DF734E" w:rsidRPr="000D4CDA" w:rsidRDefault="00DF734E" w:rsidP="00140A51">
          <w:pPr>
            <w:pStyle w:val="HeaderBoldOdd"/>
          </w:pPr>
        </w:p>
      </w:tc>
    </w:tr>
  </w:tbl>
  <w:p w:rsidR="00DF734E" w:rsidRDefault="00DF734E" w:rsidP="00140A51"/>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34E" w:rsidRDefault="00DF734E" w:rsidP="00140A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BD0473A"/>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1">
    <w:nsid w:val="FFFFFF89"/>
    <w:multiLevelType w:val="singleLevel"/>
    <w:tmpl w:val="E5ACA792"/>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2">
    <w:nsid w:val="003F14B4"/>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27A3499"/>
    <w:multiLevelType w:val="hybridMultilevel"/>
    <w:tmpl w:val="E23A5844"/>
    <w:lvl w:ilvl="0" w:tplc="08447B60">
      <w:start w:val="1"/>
      <w:numFmt w:val="lowerLetter"/>
      <w:lvlText w:val="(%1)"/>
      <w:lvlJc w:val="left"/>
      <w:pPr>
        <w:ind w:left="717" w:hanging="360"/>
      </w:pPr>
      <w:rPr>
        <w:rFont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
    <w:nsid w:val="033A70D2"/>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3E6429A"/>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06290A85"/>
    <w:multiLevelType w:val="hybridMultilevel"/>
    <w:tmpl w:val="9A86AAA4"/>
    <w:lvl w:ilvl="0" w:tplc="08447B60">
      <w:start w:val="1"/>
      <w:numFmt w:val="lowerLetter"/>
      <w:lvlText w:val="(%1)"/>
      <w:lvlJc w:val="left"/>
      <w:pPr>
        <w:ind w:left="360" w:hanging="360"/>
      </w:pPr>
      <w:rPr>
        <w:rFonts w:hint="default"/>
      </w:rPr>
    </w:lvl>
    <w:lvl w:ilvl="1" w:tplc="905A3B42">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08F70B6E"/>
    <w:multiLevelType w:val="hybridMultilevel"/>
    <w:tmpl w:val="E23A5844"/>
    <w:lvl w:ilvl="0" w:tplc="08447B60">
      <w:start w:val="1"/>
      <w:numFmt w:val="lowerLetter"/>
      <w:lvlText w:val="(%1)"/>
      <w:lvlJc w:val="left"/>
      <w:pPr>
        <w:ind w:left="1154" w:hanging="360"/>
      </w:pPr>
      <w:rPr>
        <w:rFonts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8">
    <w:nsid w:val="0A8C3CC9"/>
    <w:multiLevelType w:val="hybridMultilevel"/>
    <w:tmpl w:val="E23A5844"/>
    <w:lvl w:ilvl="0" w:tplc="08447B60">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0CAA7F98"/>
    <w:multiLevelType w:val="hybridMultilevel"/>
    <w:tmpl w:val="9148F552"/>
    <w:lvl w:ilvl="0" w:tplc="08447B60">
      <w:start w:val="1"/>
      <w:numFmt w:val="lowerLetter"/>
      <w:lvlText w:val="(%1)"/>
      <w:lvlJc w:val="left"/>
      <w:pPr>
        <w:ind w:left="107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3801EE"/>
    <w:multiLevelType w:val="hybridMultilevel"/>
    <w:tmpl w:val="EF9271F6"/>
    <w:lvl w:ilvl="0" w:tplc="C19C326E">
      <w:start w:val="1"/>
      <w:numFmt w:val="decimal"/>
      <w:lvlText w:val="(%1)"/>
      <w:lvlJc w:val="left"/>
      <w:pPr>
        <w:ind w:left="1080" w:hanging="360"/>
      </w:pPr>
      <w:rPr>
        <w:rFonts w:hint="default"/>
      </w:rPr>
    </w:lvl>
    <w:lvl w:ilvl="1" w:tplc="5C86137A">
      <w:start w:val="1"/>
      <w:numFmt w:val="lowerLetter"/>
      <w:lvlText w:val="(%2)"/>
      <w:lvlJc w:val="left"/>
      <w:pPr>
        <w:ind w:left="1995" w:hanging="555"/>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0C0454F"/>
    <w:multiLevelType w:val="hybridMultilevel"/>
    <w:tmpl w:val="625A76E2"/>
    <w:lvl w:ilvl="0" w:tplc="C19C326E">
      <w:start w:val="1"/>
      <w:numFmt w:val="decimal"/>
      <w:lvlText w:val="(%1)"/>
      <w:lvlJc w:val="left"/>
      <w:pPr>
        <w:ind w:left="360" w:hanging="360"/>
      </w:pPr>
      <w:rPr>
        <w:rFonts w:hint="default"/>
      </w:rPr>
    </w:lvl>
    <w:lvl w:ilvl="1" w:tplc="905A3B42">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1AD5320"/>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2E920E3"/>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135F4A94"/>
    <w:multiLevelType w:val="hybridMultilevel"/>
    <w:tmpl w:val="E23A5844"/>
    <w:lvl w:ilvl="0" w:tplc="08447B60">
      <w:start w:val="1"/>
      <w:numFmt w:val="lowerLetter"/>
      <w:lvlText w:val="(%1)"/>
      <w:lvlJc w:val="left"/>
      <w:pPr>
        <w:ind w:left="1154" w:hanging="360"/>
      </w:pPr>
      <w:rPr>
        <w:rFonts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5">
    <w:nsid w:val="13653B9C"/>
    <w:multiLevelType w:val="hybridMultilevel"/>
    <w:tmpl w:val="3E6E7D12"/>
    <w:lvl w:ilvl="0" w:tplc="C19C3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B7FEC"/>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180F2E08"/>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1A0856D4"/>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1AF71D26"/>
    <w:multiLevelType w:val="hybridMultilevel"/>
    <w:tmpl w:val="E23A5844"/>
    <w:lvl w:ilvl="0" w:tplc="08447B60">
      <w:start w:val="1"/>
      <w:numFmt w:val="lowerLetter"/>
      <w:lvlText w:val="(%1)"/>
      <w:lvlJc w:val="left"/>
      <w:pPr>
        <w:ind w:left="786" w:hanging="360"/>
      </w:pPr>
      <w:rPr>
        <w:rFont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0">
    <w:nsid w:val="1CCE4610"/>
    <w:multiLevelType w:val="hybridMultilevel"/>
    <w:tmpl w:val="3E6E7D12"/>
    <w:lvl w:ilvl="0" w:tplc="C19C3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CF576F"/>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1D9503CF"/>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201A3A4A"/>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206B4FCC"/>
    <w:multiLevelType w:val="hybridMultilevel"/>
    <w:tmpl w:val="36E69BCA"/>
    <w:lvl w:ilvl="0" w:tplc="08447B60">
      <w:start w:val="1"/>
      <w:numFmt w:val="lowerLetter"/>
      <w:lvlText w:val="(%1)"/>
      <w:lvlJc w:val="left"/>
      <w:pPr>
        <w:ind w:left="1854" w:hanging="360"/>
      </w:pPr>
      <w:rPr>
        <w:rFonts w:hint="default"/>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5">
    <w:nsid w:val="22315DDE"/>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23CB5E83"/>
    <w:multiLevelType w:val="hybridMultilevel"/>
    <w:tmpl w:val="E23A5844"/>
    <w:lvl w:ilvl="0" w:tplc="08447B60">
      <w:start w:val="1"/>
      <w:numFmt w:val="lowerLetter"/>
      <w:lvlText w:val="(%1)"/>
      <w:lvlJc w:val="left"/>
      <w:pPr>
        <w:ind w:left="717" w:hanging="360"/>
      </w:pPr>
      <w:rPr>
        <w:rFont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7">
    <w:nsid w:val="25F43B9D"/>
    <w:multiLevelType w:val="hybridMultilevel"/>
    <w:tmpl w:val="723CC104"/>
    <w:lvl w:ilvl="0" w:tplc="08447B60">
      <w:start w:val="1"/>
      <w:numFmt w:val="lowerLetter"/>
      <w:lvlText w:val="(%1)"/>
      <w:lvlJc w:val="left"/>
      <w:pPr>
        <w:ind w:left="720" w:hanging="360"/>
      </w:pPr>
      <w:rPr>
        <w:rFonts w:hint="default"/>
      </w:rPr>
    </w:lvl>
    <w:lvl w:ilvl="1" w:tplc="C19C326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26BF1869"/>
    <w:multiLevelType w:val="hybridMultilevel"/>
    <w:tmpl w:val="6DE69B60"/>
    <w:lvl w:ilvl="0" w:tplc="AE2EA16A">
      <w:start w:val="1"/>
      <w:numFmt w:val="lowerRoman"/>
      <w:lvlText w:val="(%1)"/>
      <w:lvlJc w:val="lef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29">
    <w:nsid w:val="28A50141"/>
    <w:multiLevelType w:val="hybridMultilevel"/>
    <w:tmpl w:val="84F05A9C"/>
    <w:lvl w:ilvl="0" w:tplc="08447B60">
      <w:start w:val="1"/>
      <w:numFmt w:val="lowerLetter"/>
      <w:lvlText w:val="(%1)"/>
      <w:lvlJc w:val="left"/>
      <w:pPr>
        <w:ind w:left="1440" w:hanging="360"/>
      </w:pPr>
      <w:rPr>
        <w:rFonts w:hint="default"/>
      </w:rPr>
    </w:lvl>
    <w:lvl w:ilvl="1" w:tplc="AE2EA16A">
      <w:start w:val="1"/>
      <w:numFmt w:val="lowerRoman"/>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297B13ED"/>
    <w:multiLevelType w:val="hybridMultilevel"/>
    <w:tmpl w:val="6FCE89CE"/>
    <w:lvl w:ilvl="0" w:tplc="08447B60">
      <w:start w:val="1"/>
      <w:numFmt w:val="lowerLetter"/>
      <w:lvlText w:val="(%1)"/>
      <w:lvlJc w:val="left"/>
      <w:pPr>
        <w:ind w:left="786" w:hanging="360"/>
      </w:pPr>
      <w:rPr>
        <w:rFonts w:hint="default"/>
      </w:rPr>
    </w:lvl>
    <w:lvl w:ilvl="1" w:tplc="401A9104">
      <w:start w:val="1"/>
      <w:numFmt w:val="lowerRoman"/>
      <w:lvlText w:val="(%2)"/>
      <w:lvlJc w:val="left"/>
      <w:pPr>
        <w:ind w:left="1506" w:hanging="360"/>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nsid w:val="2A8A36AD"/>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2C42237A"/>
    <w:multiLevelType w:val="hybridMultilevel"/>
    <w:tmpl w:val="FC14204A"/>
    <w:lvl w:ilvl="0" w:tplc="0F9E8F56">
      <w:start w:val="1"/>
      <w:numFmt w:val="decimal"/>
      <w:lvlText w:val="%1"/>
      <w:lvlJc w:val="left"/>
      <w:pPr>
        <w:ind w:left="360" w:hanging="360"/>
      </w:pPr>
      <w:rPr>
        <w:rFonts w:ascii="Arial" w:eastAsiaTheme="minorHAnsi" w:hAnsi="Arial" w:cs="Arial" w:hint="default"/>
      </w:rPr>
    </w:lvl>
    <w:lvl w:ilvl="1" w:tplc="C19C326E">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2CC53BC1"/>
    <w:multiLevelType w:val="hybridMultilevel"/>
    <w:tmpl w:val="5842440A"/>
    <w:lvl w:ilvl="0" w:tplc="C39A6DF0">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2DC178FE"/>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2E373C79"/>
    <w:multiLevelType w:val="hybridMultilevel"/>
    <w:tmpl w:val="42042220"/>
    <w:lvl w:ilvl="0" w:tplc="C19C326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nsid w:val="2FF45795"/>
    <w:multiLevelType w:val="hybridMultilevel"/>
    <w:tmpl w:val="790C41BE"/>
    <w:lvl w:ilvl="0" w:tplc="08447B60">
      <w:start w:val="1"/>
      <w:numFmt w:val="lowerLetter"/>
      <w:lvlText w:val="(%1)"/>
      <w:lvlJc w:val="left"/>
      <w:pPr>
        <w:ind w:left="1440" w:hanging="360"/>
      </w:pPr>
      <w:rPr>
        <w:rFonts w:hint="default"/>
      </w:rPr>
    </w:lvl>
    <w:lvl w:ilvl="1" w:tplc="5C86137A">
      <w:start w:val="1"/>
      <w:numFmt w:val="lowerLetter"/>
      <w:lvlText w:val="(%2)"/>
      <w:lvlJc w:val="left"/>
      <w:pPr>
        <w:ind w:left="2355" w:hanging="555"/>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31BB7DE4"/>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nsid w:val="33B73C71"/>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35B7770C"/>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361F00EA"/>
    <w:multiLevelType w:val="hybridMultilevel"/>
    <w:tmpl w:val="EF9271F6"/>
    <w:lvl w:ilvl="0" w:tplc="C19C326E">
      <w:start w:val="1"/>
      <w:numFmt w:val="decimal"/>
      <w:lvlText w:val="(%1)"/>
      <w:lvlJc w:val="left"/>
      <w:pPr>
        <w:ind w:left="786" w:hanging="360"/>
      </w:pPr>
      <w:rPr>
        <w:rFonts w:hint="default"/>
      </w:rPr>
    </w:lvl>
    <w:lvl w:ilvl="1" w:tplc="5C86137A">
      <w:start w:val="1"/>
      <w:numFmt w:val="lowerLetter"/>
      <w:lvlText w:val="(%2)"/>
      <w:lvlJc w:val="left"/>
      <w:pPr>
        <w:ind w:left="1701" w:hanging="555"/>
      </w:pPr>
      <w:rPr>
        <w:rFonts w:hint="default"/>
      </w:r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1">
    <w:nsid w:val="366E5F4E"/>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36801B0D"/>
    <w:multiLevelType w:val="hybridMultilevel"/>
    <w:tmpl w:val="FD6A832A"/>
    <w:lvl w:ilvl="0" w:tplc="08447B60">
      <w:start w:val="1"/>
      <w:numFmt w:val="lowerLetter"/>
      <w:lvlText w:val="(%1)"/>
      <w:lvlJc w:val="left"/>
      <w:pPr>
        <w:ind w:left="720" w:hanging="360"/>
      </w:pPr>
      <w:rPr>
        <w:rFonts w:hint="default"/>
      </w:rPr>
    </w:lvl>
    <w:lvl w:ilvl="1" w:tplc="AE2EA16A">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36A22ED4"/>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nsid w:val="36EC430A"/>
    <w:multiLevelType w:val="hybridMultilevel"/>
    <w:tmpl w:val="45D2F6C8"/>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37FE5CAF"/>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nsid w:val="3A5749E7"/>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nsid w:val="3C177734"/>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nsid w:val="3D301797"/>
    <w:multiLevelType w:val="hybridMultilevel"/>
    <w:tmpl w:val="7B2A5B36"/>
    <w:lvl w:ilvl="0" w:tplc="573850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3E823BD8"/>
    <w:multiLevelType w:val="hybridMultilevel"/>
    <w:tmpl w:val="7DBE5080"/>
    <w:lvl w:ilvl="0" w:tplc="67D4A50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4179100D"/>
    <w:multiLevelType w:val="hybridMultilevel"/>
    <w:tmpl w:val="E04C513C"/>
    <w:lvl w:ilvl="0" w:tplc="905A3B42">
      <w:start w:val="1"/>
      <w:numFmt w:val="lowerRoman"/>
      <w:lvlText w:val="(%1)"/>
      <w:lvlJc w:val="right"/>
      <w:pPr>
        <w:ind w:left="2771" w:hanging="360"/>
      </w:pPr>
      <w:rPr>
        <w:rFonts w:hint="default"/>
      </w:rPr>
    </w:lvl>
    <w:lvl w:ilvl="1" w:tplc="0C090019" w:tentative="1">
      <w:start w:val="1"/>
      <w:numFmt w:val="lowerLetter"/>
      <w:lvlText w:val="%2."/>
      <w:lvlJc w:val="left"/>
      <w:pPr>
        <w:ind w:left="3491" w:hanging="360"/>
      </w:pPr>
    </w:lvl>
    <w:lvl w:ilvl="2" w:tplc="0C09001B" w:tentative="1">
      <w:start w:val="1"/>
      <w:numFmt w:val="lowerRoman"/>
      <w:lvlText w:val="%3."/>
      <w:lvlJc w:val="right"/>
      <w:pPr>
        <w:ind w:left="4211" w:hanging="180"/>
      </w:pPr>
    </w:lvl>
    <w:lvl w:ilvl="3" w:tplc="0C09000F" w:tentative="1">
      <w:start w:val="1"/>
      <w:numFmt w:val="decimal"/>
      <w:lvlText w:val="%4."/>
      <w:lvlJc w:val="left"/>
      <w:pPr>
        <w:ind w:left="4931" w:hanging="360"/>
      </w:pPr>
    </w:lvl>
    <w:lvl w:ilvl="4" w:tplc="0C090019" w:tentative="1">
      <w:start w:val="1"/>
      <w:numFmt w:val="lowerLetter"/>
      <w:lvlText w:val="%5."/>
      <w:lvlJc w:val="left"/>
      <w:pPr>
        <w:ind w:left="5651" w:hanging="360"/>
      </w:pPr>
    </w:lvl>
    <w:lvl w:ilvl="5" w:tplc="0C09001B" w:tentative="1">
      <w:start w:val="1"/>
      <w:numFmt w:val="lowerRoman"/>
      <w:lvlText w:val="%6."/>
      <w:lvlJc w:val="right"/>
      <w:pPr>
        <w:ind w:left="6371" w:hanging="180"/>
      </w:pPr>
    </w:lvl>
    <w:lvl w:ilvl="6" w:tplc="0C09000F" w:tentative="1">
      <w:start w:val="1"/>
      <w:numFmt w:val="decimal"/>
      <w:lvlText w:val="%7."/>
      <w:lvlJc w:val="left"/>
      <w:pPr>
        <w:ind w:left="7091" w:hanging="360"/>
      </w:pPr>
    </w:lvl>
    <w:lvl w:ilvl="7" w:tplc="0C090019" w:tentative="1">
      <w:start w:val="1"/>
      <w:numFmt w:val="lowerLetter"/>
      <w:lvlText w:val="%8."/>
      <w:lvlJc w:val="left"/>
      <w:pPr>
        <w:ind w:left="7811" w:hanging="360"/>
      </w:pPr>
    </w:lvl>
    <w:lvl w:ilvl="8" w:tplc="0C09001B" w:tentative="1">
      <w:start w:val="1"/>
      <w:numFmt w:val="lowerRoman"/>
      <w:lvlText w:val="%9."/>
      <w:lvlJc w:val="right"/>
      <w:pPr>
        <w:ind w:left="8531" w:hanging="180"/>
      </w:pPr>
    </w:lvl>
  </w:abstractNum>
  <w:abstractNum w:abstractNumId="51">
    <w:nsid w:val="44280812"/>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nsid w:val="45005560"/>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nsid w:val="45190881"/>
    <w:multiLevelType w:val="hybridMultilevel"/>
    <w:tmpl w:val="766A546A"/>
    <w:lvl w:ilvl="0" w:tplc="08447B60">
      <w:start w:val="1"/>
      <w:numFmt w:val="lowerLetter"/>
      <w:lvlText w:val="(%1)"/>
      <w:lvlJc w:val="left"/>
      <w:pPr>
        <w:ind w:left="720" w:hanging="360"/>
      </w:pPr>
      <w:rPr>
        <w:rFonts w:hint="default"/>
      </w:rPr>
    </w:lvl>
    <w:lvl w:ilvl="1" w:tplc="905A3B4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52F6CA0"/>
    <w:multiLevelType w:val="hybridMultilevel"/>
    <w:tmpl w:val="3E6E7D12"/>
    <w:lvl w:ilvl="0" w:tplc="C19C3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584212A"/>
    <w:multiLevelType w:val="hybridMultilevel"/>
    <w:tmpl w:val="3E6E7D12"/>
    <w:lvl w:ilvl="0" w:tplc="C19C3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496CE4"/>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nsid w:val="48977B7B"/>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49730BF0"/>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nsid w:val="4BF377DE"/>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nsid w:val="4C0D50B3"/>
    <w:multiLevelType w:val="hybridMultilevel"/>
    <w:tmpl w:val="40102BD8"/>
    <w:lvl w:ilvl="0" w:tplc="0C090019">
      <w:start w:val="1"/>
      <w:numFmt w:val="lowerLetter"/>
      <w:lvlText w:val="%1."/>
      <w:lvlJc w:val="left"/>
      <w:pPr>
        <w:ind w:left="661" w:hanging="360"/>
      </w:pPr>
    </w:lvl>
    <w:lvl w:ilvl="1" w:tplc="0C090019" w:tentative="1">
      <w:start w:val="1"/>
      <w:numFmt w:val="lowerLetter"/>
      <w:lvlText w:val="%2."/>
      <w:lvlJc w:val="left"/>
      <w:pPr>
        <w:ind w:left="1381" w:hanging="360"/>
      </w:pPr>
    </w:lvl>
    <w:lvl w:ilvl="2" w:tplc="0C09001B" w:tentative="1">
      <w:start w:val="1"/>
      <w:numFmt w:val="lowerRoman"/>
      <w:lvlText w:val="%3."/>
      <w:lvlJc w:val="right"/>
      <w:pPr>
        <w:ind w:left="2101" w:hanging="180"/>
      </w:pPr>
    </w:lvl>
    <w:lvl w:ilvl="3" w:tplc="0C09000F" w:tentative="1">
      <w:start w:val="1"/>
      <w:numFmt w:val="decimal"/>
      <w:lvlText w:val="%4."/>
      <w:lvlJc w:val="left"/>
      <w:pPr>
        <w:ind w:left="2821" w:hanging="360"/>
      </w:pPr>
    </w:lvl>
    <w:lvl w:ilvl="4" w:tplc="0C090019" w:tentative="1">
      <w:start w:val="1"/>
      <w:numFmt w:val="lowerLetter"/>
      <w:lvlText w:val="%5."/>
      <w:lvlJc w:val="left"/>
      <w:pPr>
        <w:ind w:left="3541" w:hanging="360"/>
      </w:pPr>
    </w:lvl>
    <w:lvl w:ilvl="5" w:tplc="0C09001B" w:tentative="1">
      <w:start w:val="1"/>
      <w:numFmt w:val="lowerRoman"/>
      <w:lvlText w:val="%6."/>
      <w:lvlJc w:val="right"/>
      <w:pPr>
        <w:ind w:left="4261" w:hanging="180"/>
      </w:pPr>
    </w:lvl>
    <w:lvl w:ilvl="6" w:tplc="0C09000F" w:tentative="1">
      <w:start w:val="1"/>
      <w:numFmt w:val="decimal"/>
      <w:lvlText w:val="%7."/>
      <w:lvlJc w:val="left"/>
      <w:pPr>
        <w:ind w:left="4981" w:hanging="360"/>
      </w:pPr>
    </w:lvl>
    <w:lvl w:ilvl="7" w:tplc="0C090019" w:tentative="1">
      <w:start w:val="1"/>
      <w:numFmt w:val="lowerLetter"/>
      <w:lvlText w:val="%8."/>
      <w:lvlJc w:val="left"/>
      <w:pPr>
        <w:ind w:left="5701" w:hanging="360"/>
      </w:pPr>
    </w:lvl>
    <w:lvl w:ilvl="8" w:tplc="0C09001B" w:tentative="1">
      <w:start w:val="1"/>
      <w:numFmt w:val="lowerRoman"/>
      <w:lvlText w:val="%9."/>
      <w:lvlJc w:val="right"/>
      <w:pPr>
        <w:ind w:left="6421" w:hanging="180"/>
      </w:pPr>
    </w:lvl>
  </w:abstractNum>
  <w:abstractNum w:abstractNumId="61">
    <w:nsid w:val="4C1E4CE5"/>
    <w:multiLevelType w:val="hybridMultilevel"/>
    <w:tmpl w:val="43C682DE"/>
    <w:lvl w:ilvl="0" w:tplc="0C09000F">
      <w:start w:val="1"/>
      <w:numFmt w:val="decimal"/>
      <w:lvlText w:val="%1."/>
      <w:lvlJc w:val="left"/>
      <w:pPr>
        <w:ind w:left="360" w:hanging="360"/>
      </w:pPr>
      <w:rPr>
        <w:rFonts w:hint="default"/>
      </w:rPr>
    </w:lvl>
    <w:lvl w:ilvl="1" w:tplc="905A3B42">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nsid w:val="4C1F13E9"/>
    <w:multiLevelType w:val="hybridMultilevel"/>
    <w:tmpl w:val="E23A5844"/>
    <w:lvl w:ilvl="0" w:tplc="08447B60">
      <w:start w:val="1"/>
      <w:numFmt w:val="lowerLetter"/>
      <w:lvlText w:val="(%1)"/>
      <w:lvlJc w:val="left"/>
      <w:pPr>
        <w:ind w:left="717" w:hanging="360"/>
      </w:pPr>
      <w:rPr>
        <w:rFonts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3">
    <w:nsid w:val="4C9E0643"/>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nsid w:val="4CA80056"/>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nsid w:val="4D934ABA"/>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nsid w:val="515E3F51"/>
    <w:multiLevelType w:val="hybridMultilevel"/>
    <w:tmpl w:val="B3F8B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542D021F"/>
    <w:multiLevelType w:val="hybridMultilevel"/>
    <w:tmpl w:val="3E6E7D12"/>
    <w:lvl w:ilvl="0" w:tplc="C19C326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3F1EF9"/>
    <w:multiLevelType w:val="hybridMultilevel"/>
    <w:tmpl w:val="C486E49C"/>
    <w:lvl w:ilvl="0" w:tplc="08447B6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5B9521DA"/>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nsid w:val="5DEB422F"/>
    <w:multiLevelType w:val="hybridMultilevel"/>
    <w:tmpl w:val="E23A5844"/>
    <w:lvl w:ilvl="0" w:tplc="08447B60">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nsid w:val="5E6F0384"/>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2">
    <w:nsid w:val="5F4073D8"/>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nsid w:val="60F57076"/>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4">
    <w:nsid w:val="6196767F"/>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5">
    <w:nsid w:val="61D446FA"/>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nsid w:val="627E4AF3"/>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nsid w:val="632A1975"/>
    <w:multiLevelType w:val="hybridMultilevel"/>
    <w:tmpl w:val="8416E42E"/>
    <w:lvl w:ilvl="0" w:tplc="AE2EA16A">
      <w:start w:val="1"/>
      <w:numFmt w:val="lowerRoman"/>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8">
    <w:nsid w:val="63FA3F56"/>
    <w:multiLevelType w:val="hybridMultilevel"/>
    <w:tmpl w:val="FF4C91F4"/>
    <w:lvl w:ilvl="0" w:tplc="B35EC61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650A6BF3"/>
    <w:multiLevelType w:val="hybridMultilevel"/>
    <w:tmpl w:val="42042220"/>
    <w:lvl w:ilvl="0" w:tplc="C19C326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6582685D"/>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1">
    <w:nsid w:val="67A857DB"/>
    <w:multiLevelType w:val="hybridMultilevel"/>
    <w:tmpl w:val="42042220"/>
    <w:lvl w:ilvl="0" w:tplc="C19C326E">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2">
    <w:nsid w:val="67D77A24"/>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3">
    <w:nsid w:val="6A14412E"/>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nsid w:val="6D3D12BB"/>
    <w:multiLevelType w:val="hybridMultilevel"/>
    <w:tmpl w:val="E23A5844"/>
    <w:lvl w:ilvl="0" w:tplc="08447B60">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nsid w:val="6DFE68E4"/>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6">
    <w:nsid w:val="6FEB66E7"/>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7">
    <w:nsid w:val="701D48CD"/>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8">
    <w:nsid w:val="741C2C7B"/>
    <w:multiLevelType w:val="hybridMultilevel"/>
    <w:tmpl w:val="FF4C91F4"/>
    <w:lvl w:ilvl="0" w:tplc="B35EC61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74331E3F"/>
    <w:multiLevelType w:val="hybridMultilevel"/>
    <w:tmpl w:val="FE800D9A"/>
    <w:lvl w:ilvl="0" w:tplc="905A3B42">
      <w:start w:val="1"/>
      <w:numFmt w:val="lowerRoman"/>
      <w:lvlText w:val="(%1)"/>
      <w:lvlJc w:val="righ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90">
    <w:nsid w:val="746649FA"/>
    <w:multiLevelType w:val="hybridMultilevel"/>
    <w:tmpl w:val="E23A5844"/>
    <w:lvl w:ilvl="0" w:tplc="08447B60">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nsid w:val="754E04B9"/>
    <w:multiLevelType w:val="hybridMultilevel"/>
    <w:tmpl w:val="3318A7D2"/>
    <w:lvl w:ilvl="0" w:tplc="C19C326E">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2">
    <w:nsid w:val="76572663"/>
    <w:multiLevelType w:val="hybridMultilevel"/>
    <w:tmpl w:val="AEE03D8C"/>
    <w:lvl w:ilvl="0" w:tplc="08447B6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77A471B"/>
    <w:multiLevelType w:val="hybridMultilevel"/>
    <w:tmpl w:val="6FCE89CE"/>
    <w:lvl w:ilvl="0" w:tplc="08447B60">
      <w:start w:val="1"/>
      <w:numFmt w:val="lowerLetter"/>
      <w:lvlText w:val="(%1)"/>
      <w:lvlJc w:val="left"/>
      <w:pPr>
        <w:ind w:left="1080" w:hanging="360"/>
      </w:pPr>
      <w:rPr>
        <w:rFonts w:hint="default"/>
      </w:rPr>
    </w:lvl>
    <w:lvl w:ilvl="1" w:tplc="401A9104">
      <w:start w:val="1"/>
      <w:numFmt w:val="lowerRoman"/>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nsid w:val="78C62846"/>
    <w:multiLevelType w:val="hybridMultilevel"/>
    <w:tmpl w:val="723CC104"/>
    <w:lvl w:ilvl="0" w:tplc="08447B60">
      <w:start w:val="1"/>
      <w:numFmt w:val="lowerLetter"/>
      <w:lvlText w:val="(%1)"/>
      <w:lvlJc w:val="left"/>
      <w:pPr>
        <w:ind w:left="720" w:hanging="360"/>
      </w:pPr>
      <w:rPr>
        <w:rFonts w:hint="default"/>
      </w:rPr>
    </w:lvl>
    <w:lvl w:ilvl="1" w:tplc="C19C326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7A387F17"/>
    <w:multiLevelType w:val="hybridMultilevel"/>
    <w:tmpl w:val="9A86AAA4"/>
    <w:lvl w:ilvl="0" w:tplc="08447B60">
      <w:start w:val="1"/>
      <w:numFmt w:val="lowerLetter"/>
      <w:lvlText w:val="(%1)"/>
      <w:lvlJc w:val="left"/>
      <w:pPr>
        <w:ind w:left="1440" w:hanging="360"/>
      </w:pPr>
      <w:rPr>
        <w:rFonts w:hint="default"/>
      </w:rPr>
    </w:lvl>
    <w:lvl w:ilvl="1" w:tplc="905A3B42">
      <w:start w:val="1"/>
      <w:numFmt w:val="lowerRoman"/>
      <w:lvlText w:val="(%2)"/>
      <w:lvlJc w:val="righ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6">
    <w:nsid w:val="7DC129FF"/>
    <w:multiLevelType w:val="hybridMultilevel"/>
    <w:tmpl w:val="C596B60C"/>
    <w:lvl w:ilvl="0" w:tplc="C19C326E">
      <w:start w:val="1"/>
      <w:numFmt w:val="decimal"/>
      <w:lvlText w:val="(%1)"/>
      <w:lvlJc w:val="left"/>
      <w:pPr>
        <w:ind w:left="720" w:hanging="360"/>
      </w:pPr>
      <w:rPr>
        <w:rFonts w:hint="default"/>
      </w:rPr>
    </w:lvl>
    <w:lvl w:ilvl="1" w:tplc="C19C326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91"/>
  </w:num>
  <w:num w:numId="4">
    <w:abstractNumId w:val="19"/>
  </w:num>
  <w:num w:numId="5">
    <w:abstractNumId w:val="14"/>
  </w:num>
  <w:num w:numId="6">
    <w:abstractNumId w:val="26"/>
  </w:num>
  <w:num w:numId="7">
    <w:abstractNumId w:val="40"/>
  </w:num>
  <w:num w:numId="8">
    <w:abstractNumId w:val="41"/>
  </w:num>
  <w:num w:numId="9">
    <w:abstractNumId w:val="50"/>
  </w:num>
  <w:num w:numId="10">
    <w:abstractNumId w:val="10"/>
  </w:num>
  <w:num w:numId="11">
    <w:abstractNumId w:val="36"/>
  </w:num>
  <w:num w:numId="12">
    <w:abstractNumId w:val="68"/>
  </w:num>
  <w:num w:numId="13">
    <w:abstractNumId w:val="89"/>
  </w:num>
  <w:num w:numId="14">
    <w:abstractNumId w:val="35"/>
  </w:num>
  <w:num w:numId="15">
    <w:abstractNumId w:val="24"/>
  </w:num>
  <w:num w:numId="16">
    <w:abstractNumId w:val="72"/>
  </w:num>
  <w:num w:numId="17">
    <w:abstractNumId w:val="95"/>
  </w:num>
  <w:num w:numId="18">
    <w:abstractNumId w:val="13"/>
  </w:num>
  <w:num w:numId="19">
    <w:abstractNumId w:val="87"/>
  </w:num>
  <w:num w:numId="20">
    <w:abstractNumId w:val="32"/>
  </w:num>
  <w:num w:numId="21">
    <w:abstractNumId w:val="27"/>
  </w:num>
  <w:num w:numId="22">
    <w:abstractNumId w:val="53"/>
  </w:num>
  <w:num w:numId="23">
    <w:abstractNumId w:val="51"/>
  </w:num>
  <w:num w:numId="24">
    <w:abstractNumId w:val="79"/>
  </w:num>
  <w:num w:numId="25">
    <w:abstractNumId w:val="30"/>
  </w:num>
  <w:num w:numId="26">
    <w:abstractNumId w:val="49"/>
  </w:num>
  <w:num w:numId="27">
    <w:abstractNumId w:val="56"/>
  </w:num>
  <w:num w:numId="28">
    <w:abstractNumId w:val="63"/>
  </w:num>
  <w:num w:numId="29">
    <w:abstractNumId w:val="88"/>
  </w:num>
  <w:num w:numId="30">
    <w:abstractNumId w:val="38"/>
  </w:num>
  <w:num w:numId="31">
    <w:abstractNumId w:val="21"/>
  </w:num>
  <w:num w:numId="32">
    <w:abstractNumId w:val="48"/>
  </w:num>
  <w:num w:numId="33">
    <w:abstractNumId w:val="73"/>
  </w:num>
  <w:num w:numId="34">
    <w:abstractNumId w:val="78"/>
  </w:num>
  <w:num w:numId="35">
    <w:abstractNumId w:val="93"/>
  </w:num>
  <w:num w:numId="36">
    <w:abstractNumId w:val="31"/>
  </w:num>
  <w:num w:numId="37">
    <w:abstractNumId w:val="34"/>
  </w:num>
  <w:num w:numId="38">
    <w:abstractNumId w:val="7"/>
  </w:num>
  <w:num w:numId="39">
    <w:abstractNumId w:val="18"/>
  </w:num>
  <w:num w:numId="40">
    <w:abstractNumId w:val="57"/>
  </w:num>
  <w:num w:numId="41">
    <w:abstractNumId w:val="75"/>
  </w:num>
  <w:num w:numId="42">
    <w:abstractNumId w:val="85"/>
  </w:num>
  <w:num w:numId="43">
    <w:abstractNumId w:val="76"/>
  </w:num>
  <w:num w:numId="44">
    <w:abstractNumId w:val="64"/>
  </w:num>
  <w:num w:numId="45">
    <w:abstractNumId w:val="46"/>
  </w:num>
  <w:num w:numId="46">
    <w:abstractNumId w:val="65"/>
  </w:num>
  <w:num w:numId="47">
    <w:abstractNumId w:val="12"/>
  </w:num>
  <w:num w:numId="48">
    <w:abstractNumId w:val="23"/>
  </w:num>
  <w:num w:numId="49">
    <w:abstractNumId w:val="5"/>
  </w:num>
  <w:num w:numId="50">
    <w:abstractNumId w:val="86"/>
  </w:num>
  <w:num w:numId="51">
    <w:abstractNumId w:val="22"/>
  </w:num>
  <w:num w:numId="52">
    <w:abstractNumId w:val="25"/>
  </w:num>
  <w:num w:numId="53">
    <w:abstractNumId w:val="45"/>
  </w:num>
  <w:num w:numId="54">
    <w:abstractNumId w:val="80"/>
  </w:num>
  <w:num w:numId="55">
    <w:abstractNumId w:val="2"/>
  </w:num>
  <w:num w:numId="56">
    <w:abstractNumId w:val="16"/>
  </w:num>
  <w:num w:numId="57">
    <w:abstractNumId w:val="17"/>
  </w:num>
  <w:num w:numId="58">
    <w:abstractNumId w:val="69"/>
  </w:num>
  <w:num w:numId="59">
    <w:abstractNumId w:val="81"/>
  </w:num>
  <w:num w:numId="60">
    <w:abstractNumId w:val="6"/>
  </w:num>
  <w:num w:numId="61">
    <w:abstractNumId w:val="61"/>
  </w:num>
  <w:num w:numId="62">
    <w:abstractNumId w:val="11"/>
  </w:num>
  <w:num w:numId="63">
    <w:abstractNumId w:val="60"/>
  </w:num>
  <w:num w:numId="64">
    <w:abstractNumId w:val="70"/>
  </w:num>
  <w:num w:numId="65">
    <w:abstractNumId w:val="3"/>
  </w:num>
  <w:num w:numId="66">
    <w:abstractNumId w:val="62"/>
  </w:num>
  <w:num w:numId="67">
    <w:abstractNumId w:val="96"/>
  </w:num>
  <w:num w:numId="68">
    <w:abstractNumId w:val="15"/>
  </w:num>
  <w:num w:numId="69">
    <w:abstractNumId w:val="58"/>
  </w:num>
  <w:num w:numId="70">
    <w:abstractNumId w:val="39"/>
  </w:num>
  <w:num w:numId="71">
    <w:abstractNumId w:val="90"/>
  </w:num>
  <w:num w:numId="72">
    <w:abstractNumId w:val="9"/>
  </w:num>
  <w:num w:numId="73">
    <w:abstractNumId w:val="54"/>
  </w:num>
  <w:num w:numId="74">
    <w:abstractNumId w:val="59"/>
  </w:num>
  <w:num w:numId="75">
    <w:abstractNumId w:val="4"/>
  </w:num>
  <w:num w:numId="76">
    <w:abstractNumId w:val="55"/>
  </w:num>
  <w:num w:numId="77">
    <w:abstractNumId w:val="71"/>
  </w:num>
  <w:num w:numId="78">
    <w:abstractNumId w:val="37"/>
  </w:num>
  <w:num w:numId="79">
    <w:abstractNumId w:val="84"/>
  </w:num>
  <w:num w:numId="80">
    <w:abstractNumId w:val="67"/>
  </w:num>
  <w:num w:numId="81">
    <w:abstractNumId w:val="83"/>
  </w:num>
  <w:num w:numId="82">
    <w:abstractNumId w:val="52"/>
  </w:num>
  <w:num w:numId="83">
    <w:abstractNumId w:val="20"/>
  </w:num>
  <w:num w:numId="84">
    <w:abstractNumId w:val="92"/>
  </w:num>
  <w:num w:numId="85">
    <w:abstractNumId w:val="74"/>
  </w:num>
  <w:num w:numId="86">
    <w:abstractNumId w:val="47"/>
  </w:num>
  <w:num w:numId="87">
    <w:abstractNumId w:val="8"/>
  </w:num>
  <w:num w:numId="88">
    <w:abstractNumId w:val="43"/>
  </w:num>
  <w:num w:numId="89">
    <w:abstractNumId w:val="66"/>
  </w:num>
  <w:num w:numId="90">
    <w:abstractNumId w:val="28"/>
  </w:num>
  <w:num w:numId="91">
    <w:abstractNumId w:val="77"/>
  </w:num>
  <w:num w:numId="92">
    <w:abstractNumId w:val="44"/>
  </w:num>
  <w:num w:numId="93">
    <w:abstractNumId w:val="82"/>
  </w:num>
  <w:num w:numId="94">
    <w:abstractNumId w:val="29"/>
  </w:num>
  <w:num w:numId="95">
    <w:abstractNumId w:val="42"/>
  </w:num>
  <w:num w:numId="96">
    <w:abstractNumId w:val="94"/>
  </w:num>
  <w:num w:numId="97">
    <w:abstractNumId w:val="33"/>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3506F"/>
    <w:rsid w:val="00004340"/>
    <w:rsid w:val="00004B03"/>
    <w:rsid w:val="00011B0A"/>
    <w:rsid w:val="000128C0"/>
    <w:rsid w:val="00012D4D"/>
    <w:rsid w:val="00013BDA"/>
    <w:rsid w:val="00015460"/>
    <w:rsid w:val="00021ADA"/>
    <w:rsid w:val="0002315B"/>
    <w:rsid w:val="000231F7"/>
    <w:rsid w:val="00024D46"/>
    <w:rsid w:val="000259B0"/>
    <w:rsid w:val="00026B8B"/>
    <w:rsid w:val="00036CCB"/>
    <w:rsid w:val="00040491"/>
    <w:rsid w:val="000417A6"/>
    <w:rsid w:val="00041871"/>
    <w:rsid w:val="00043B0B"/>
    <w:rsid w:val="00051634"/>
    <w:rsid w:val="00052524"/>
    <w:rsid w:val="00052A0E"/>
    <w:rsid w:val="000545CE"/>
    <w:rsid w:val="00054E8C"/>
    <w:rsid w:val="00056727"/>
    <w:rsid w:val="00057A1A"/>
    <w:rsid w:val="00062D5C"/>
    <w:rsid w:val="000665F0"/>
    <w:rsid w:val="00070A47"/>
    <w:rsid w:val="00070FE3"/>
    <w:rsid w:val="00074BA4"/>
    <w:rsid w:val="0008202B"/>
    <w:rsid w:val="00082BF0"/>
    <w:rsid w:val="00083507"/>
    <w:rsid w:val="0008507C"/>
    <w:rsid w:val="000909D5"/>
    <w:rsid w:val="00093018"/>
    <w:rsid w:val="00093167"/>
    <w:rsid w:val="00093303"/>
    <w:rsid w:val="0009512E"/>
    <w:rsid w:val="00096B52"/>
    <w:rsid w:val="00097EE2"/>
    <w:rsid w:val="000A179B"/>
    <w:rsid w:val="000A4F49"/>
    <w:rsid w:val="000A71B3"/>
    <w:rsid w:val="000A7A27"/>
    <w:rsid w:val="000B6E0F"/>
    <w:rsid w:val="000B7D7A"/>
    <w:rsid w:val="000C2A2F"/>
    <w:rsid w:val="000C41B4"/>
    <w:rsid w:val="000C4629"/>
    <w:rsid w:val="000C5768"/>
    <w:rsid w:val="000C7E24"/>
    <w:rsid w:val="000D53EA"/>
    <w:rsid w:val="000D5696"/>
    <w:rsid w:val="000D77DE"/>
    <w:rsid w:val="000E6142"/>
    <w:rsid w:val="000F01E9"/>
    <w:rsid w:val="000F12EA"/>
    <w:rsid w:val="000F6D72"/>
    <w:rsid w:val="00100F34"/>
    <w:rsid w:val="0010154D"/>
    <w:rsid w:val="001016FE"/>
    <w:rsid w:val="00105B92"/>
    <w:rsid w:val="00106BCF"/>
    <w:rsid w:val="00113EB3"/>
    <w:rsid w:val="0011456C"/>
    <w:rsid w:val="001150EC"/>
    <w:rsid w:val="00120320"/>
    <w:rsid w:val="00124E76"/>
    <w:rsid w:val="001251A3"/>
    <w:rsid w:val="00127FA6"/>
    <w:rsid w:val="0013170C"/>
    <w:rsid w:val="00133DD5"/>
    <w:rsid w:val="00136473"/>
    <w:rsid w:val="00140A51"/>
    <w:rsid w:val="00142689"/>
    <w:rsid w:val="0014456E"/>
    <w:rsid w:val="00147324"/>
    <w:rsid w:val="0014756D"/>
    <w:rsid w:val="00147C1C"/>
    <w:rsid w:val="00150107"/>
    <w:rsid w:val="00151A13"/>
    <w:rsid w:val="00152CE9"/>
    <w:rsid w:val="00161D02"/>
    <w:rsid w:val="00162012"/>
    <w:rsid w:val="001650B8"/>
    <w:rsid w:val="00171B3F"/>
    <w:rsid w:val="00171F7D"/>
    <w:rsid w:val="001749A1"/>
    <w:rsid w:val="00174B4A"/>
    <w:rsid w:val="001778B6"/>
    <w:rsid w:val="00180D19"/>
    <w:rsid w:val="00182525"/>
    <w:rsid w:val="00183EC1"/>
    <w:rsid w:val="00191B22"/>
    <w:rsid w:val="0019673E"/>
    <w:rsid w:val="001A131A"/>
    <w:rsid w:val="001A1CB0"/>
    <w:rsid w:val="001A1E5C"/>
    <w:rsid w:val="001A4DD9"/>
    <w:rsid w:val="001A7F0D"/>
    <w:rsid w:val="001B0E76"/>
    <w:rsid w:val="001B221F"/>
    <w:rsid w:val="001B399B"/>
    <w:rsid w:val="001B6154"/>
    <w:rsid w:val="001B65DC"/>
    <w:rsid w:val="001B732B"/>
    <w:rsid w:val="001C090E"/>
    <w:rsid w:val="001C3EDE"/>
    <w:rsid w:val="001C46A0"/>
    <w:rsid w:val="001C6E0E"/>
    <w:rsid w:val="001D1595"/>
    <w:rsid w:val="001D26EA"/>
    <w:rsid w:val="001D5A24"/>
    <w:rsid w:val="001D78F0"/>
    <w:rsid w:val="001E07D1"/>
    <w:rsid w:val="001E355C"/>
    <w:rsid w:val="001E4B05"/>
    <w:rsid w:val="001F1AFF"/>
    <w:rsid w:val="001F48FE"/>
    <w:rsid w:val="001F4CB9"/>
    <w:rsid w:val="0020515F"/>
    <w:rsid w:val="00205F65"/>
    <w:rsid w:val="0020773A"/>
    <w:rsid w:val="00213324"/>
    <w:rsid w:val="002273B5"/>
    <w:rsid w:val="00227459"/>
    <w:rsid w:val="0023220A"/>
    <w:rsid w:val="00235690"/>
    <w:rsid w:val="00245351"/>
    <w:rsid w:val="00246447"/>
    <w:rsid w:val="0024724C"/>
    <w:rsid w:val="002538A9"/>
    <w:rsid w:val="0025472B"/>
    <w:rsid w:val="00254B84"/>
    <w:rsid w:val="00254F79"/>
    <w:rsid w:val="0026067D"/>
    <w:rsid w:val="00263737"/>
    <w:rsid w:val="0027339D"/>
    <w:rsid w:val="002736D9"/>
    <w:rsid w:val="002800D4"/>
    <w:rsid w:val="002823CD"/>
    <w:rsid w:val="00282D25"/>
    <w:rsid w:val="0028322B"/>
    <w:rsid w:val="002840C8"/>
    <w:rsid w:val="00290387"/>
    <w:rsid w:val="0029249D"/>
    <w:rsid w:val="0029756F"/>
    <w:rsid w:val="002A0F41"/>
    <w:rsid w:val="002A3337"/>
    <w:rsid w:val="002A4AFC"/>
    <w:rsid w:val="002A6DB9"/>
    <w:rsid w:val="002A7035"/>
    <w:rsid w:val="002B0282"/>
    <w:rsid w:val="002B4D11"/>
    <w:rsid w:val="002B510B"/>
    <w:rsid w:val="002B621E"/>
    <w:rsid w:val="002B6EA1"/>
    <w:rsid w:val="002B7DCF"/>
    <w:rsid w:val="002C0094"/>
    <w:rsid w:val="002C085F"/>
    <w:rsid w:val="002C1190"/>
    <w:rsid w:val="002C11B9"/>
    <w:rsid w:val="002C1D4B"/>
    <w:rsid w:val="002D11C6"/>
    <w:rsid w:val="002D55C7"/>
    <w:rsid w:val="002D56F6"/>
    <w:rsid w:val="002E0EE4"/>
    <w:rsid w:val="002E195E"/>
    <w:rsid w:val="002E4276"/>
    <w:rsid w:val="002E483E"/>
    <w:rsid w:val="002F4CD3"/>
    <w:rsid w:val="00303368"/>
    <w:rsid w:val="003035A9"/>
    <w:rsid w:val="003078FE"/>
    <w:rsid w:val="00312C94"/>
    <w:rsid w:val="00313C99"/>
    <w:rsid w:val="0032332E"/>
    <w:rsid w:val="00323C03"/>
    <w:rsid w:val="0032572E"/>
    <w:rsid w:val="00334BB1"/>
    <w:rsid w:val="00335169"/>
    <w:rsid w:val="00335E21"/>
    <w:rsid w:val="003376C1"/>
    <w:rsid w:val="00337935"/>
    <w:rsid w:val="003400D4"/>
    <w:rsid w:val="0034199F"/>
    <w:rsid w:val="0034517D"/>
    <w:rsid w:val="003458F9"/>
    <w:rsid w:val="00350BCE"/>
    <w:rsid w:val="003527ED"/>
    <w:rsid w:val="00352C02"/>
    <w:rsid w:val="00353325"/>
    <w:rsid w:val="00353E9B"/>
    <w:rsid w:val="00355FEB"/>
    <w:rsid w:val="003560BF"/>
    <w:rsid w:val="00357587"/>
    <w:rsid w:val="003620C5"/>
    <w:rsid w:val="0036435A"/>
    <w:rsid w:val="00365C4E"/>
    <w:rsid w:val="00366A91"/>
    <w:rsid w:val="00367586"/>
    <w:rsid w:val="0037184A"/>
    <w:rsid w:val="00376755"/>
    <w:rsid w:val="003801C3"/>
    <w:rsid w:val="003845CB"/>
    <w:rsid w:val="00384A9B"/>
    <w:rsid w:val="00385CBD"/>
    <w:rsid w:val="00385E48"/>
    <w:rsid w:val="00386738"/>
    <w:rsid w:val="00386B23"/>
    <w:rsid w:val="003938C5"/>
    <w:rsid w:val="003978E8"/>
    <w:rsid w:val="003A5556"/>
    <w:rsid w:val="003A5569"/>
    <w:rsid w:val="003B2851"/>
    <w:rsid w:val="003B3107"/>
    <w:rsid w:val="003B48CA"/>
    <w:rsid w:val="003B4FFF"/>
    <w:rsid w:val="003C3D3E"/>
    <w:rsid w:val="003C4CD3"/>
    <w:rsid w:val="003D41D4"/>
    <w:rsid w:val="003D5467"/>
    <w:rsid w:val="003E1ED0"/>
    <w:rsid w:val="003E2D62"/>
    <w:rsid w:val="003E482A"/>
    <w:rsid w:val="003E652E"/>
    <w:rsid w:val="003F0FE3"/>
    <w:rsid w:val="003F13A9"/>
    <w:rsid w:val="003F1694"/>
    <w:rsid w:val="003F4FFA"/>
    <w:rsid w:val="004015F0"/>
    <w:rsid w:val="00403056"/>
    <w:rsid w:val="00410BB7"/>
    <w:rsid w:val="0041309E"/>
    <w:rsid w:val="00416265"/>
    <w:rsid w:val="0041639F"/>
    <w:rsid w:val="004164E2"/>
    <w:rsid w:val="004166A2"/>
    <w:rsid w:val="00416D1E"/>
    <w:rsid w:val="004176B7"/>
    <w:rsid w:val="00423137"/>
    <w:rsid w:val="004312BE"/>
    <w:rsid w:val="004331DD"/>
    <w:rsid w:val="00434E36"/>
    <w:rsid w:val="00435CD1"/>
    <w:rsid w:val="00443C1A"/>
    <w:rsid w:val="00444D7F"/>
    <w:rsid w:val="004616F6"/>
    <w:rsid w:val="0046273A"/>
    <w:rsid w:val="00463091"/>
    <w:rsid w:val="0046376F"/>
    <w:rsid w:val="004663DA"/>
    <w:rsid w:val="0046658F"/>
    <w:rsid w:val="00467271"/>
    <w:rsid w:val="004835E2"/>
    <w:rsid w:val="004839F7"/>
    <w:rsid w:val="00486C79"/>
    <w:rsid w:val="004923D9"/>
    <w:rsid w:val="0049248A"/>
    <w:rsid w:val="00494FD7"/>
    <w:rsid w:val="00495FEA"/>
    <w:rsid w:val="004A017E"/>
    <w:rsid w:val="004A139F"/>
    <w:rsid w:val="004A364F"/>
    <w:rsid w:val="004A543C"/>
    <w:rsid w:val="004A7718"/>
    <w:rsid w:val="004B69AB"/>
    <w:rsid w:val="004C14CA"/>
    <w:rsid w:val="004C3883"/>
    <w:rsid w:val="004C4766"/>
    <w:rsid w:val="004C75A8"/>
    <w:rsid w:val="004D374E"/>
    <w:rsid w:val="004D65CA"/>
    <w:rsid w:val="004D771A"/>
    <w:rsid w:val="004E0E2B"/>
    <w:rsid w:val="004E64D8"/>
    <w:rsid w:val="004F0D4C"/>
    <w:rsid w:val="004F2D67"/>
    <w:rsid w:val="004F5398"/>
    <w:rsid w:val="00505EC1"/>
    <w:rsid w:val="005071D1"/>
    <w:rsid w:val="00507205"/>
    <w:rsid w:val="00507B33"/>
    <w:rsid w:val="005120C8"/>
    <w:rsid w:val="00512AAB"/>
    <w:rsid w:val="00517F04"/>
    <w:rsid w:val="00521577"/>
    <w:rsid w:val="00521973"/>
    <w:rsid w:val="00524FEF"/>
    <w:rsid w:val="005331C9"/>
    <w:rsid w:val="00533893"/>
    <w:rsid w:val="00533DFF"/>
    <w:rsid w:val="00534EF3"/>
    <w:rsid w:val="005359E2"/>
    <w:rsid w:val="005406C2"/>
    <w:rsid w:val="005425E3"/>
    <w:rsid w:val="00544D31"/>
    <w:rsid w:val="00554177"/>
    <w:rsid w:val="005567F3"/>
    <w:rsid w:val="00557C61"/>
    <w:rsid w:val="005606FF"/>
    <w:rsid w:val="005607F0"/>
    <w:rsid w:val="005609C8"/>
    <w:rsid w:val="00562CAB"/>
    <w:rsid w:val="00563B52"/>
    <w:rsid w:val="005662C9"/>
    <w:rsid w:val="00570A4C"/>
    <w:rsid w:val="00573791"/>
    <w:rsid w:val="00574078"/>
    <w:rsid w:val="00577B2F"/>
    <w:rsid w:val="00577E7F"/>
    <w:rsid w:val="00583178"/>
    <w:rsid w:val="005844AA"/>
    <w:rsid w:val="00586F8E"/>
    <w:rsid w:val="005918C5"/>
    <w:rsid w:val="00592662"/>
    <w:rsid w:val="00597F52"/>
    <w:rsid w:val="005A18E8"/>
    <w:rsid w:val="005A40D9"/>
    <w:rsid w:val="005A4DE4"/>
    <w:rsid w:val="005B25FB"/>
    <w:rsid w:val="005B4F44"/>
    <w:rsid w:val="005B7EAF"/>
    <w:rsid w:val="005C24DF"/>
    <w:rsid w:val="005C5ADE"/>
    <w:rsid w:val="005C7DBA"/>
    <w:rsid w:val="005D076C"/>
    <w:rsid w:val="005D16BE"/>
    <w:rsid w:val="005D2318"/>
    <w:rsid w:val="005D3709"/>
    <w:rsid w:val="005D712E"/>
    <w:rsid w:val="005D7937"/>
    <w:rsid w:val="005E1DCE"/>
    <w:rsid w:val="005E56B2"/>
    <w:rsid w:val="005F0847"/>
    <w:rsid w:val="005F0AC9"/>
    <w:rsid w:val="005F1256"/>
    <w:rsid w:val="005F189C"/>
    <w:rsid w:val="005F1A49"/>
    <w:rsid w:val="005F2802"/>
    <w:rsid w:val="005F5966"/>
    <w:rsid w:val="00604927"/>
    <w:rsid w:val="0060692D"/>
    <w:rsid w:val="00607723"/>
    <w:rsid w:val="006125CC"/>
    <w:rsid w:val="00614E78"/>
    <w:rsid w:val="006205E1"/>
    <w:rsid w:val="00624CAD"/>
    <w:rsid w:val="00627344"/>
    <w:rsid w:val="00631123"/>
    <w:rsid w:val="0063129D"/>
    <w:rsid w:val="00631F1E"/>
    <w:rsid w:val="006327A0"/>
    <w:rsid w:val="00633E27"/>
    <w:rsid w:val="006347FD"/>
    <w:rsid w:val="00637874"/>
    <w:rsid w:val="00640CF4"/>
    <w:rsid w:val="00643166"/>
    <w:rsid w:val="00643500"/>
    <w:rsid w:val="006469B6"/>
    <w:rsid w:val="00650405"/>
    <w:rsid w:val="0065257D"/>
    <w:rsid w:val="00652C48"/>
    <w:rsid w:val="00656FDF"/>
    <w:rsid w:val="00664232"/>
    <w:rsid w:val="006709EE"/>
    <w:rsid w:val="00671F0E"/>
    <w:rsid w:val="00674308"/>
    <w:rsid w:val="006759AD"/>
    <w:rsid w:val="00677A6E"/>
    <w:rsid w:val="00680E66"/>
    <w:rsid w:val="00685328"/>
    <w:rsid w:val="0068757C"/>
    <w:rsid w:val="006918E6"/>
    <w:rsid w:val="006919BE"/>
    <w:rsid w:val="00693284"/>
    <w:rsid w:val="006936B6"/>
    <w:rsid w:val="0069454B"/>
    <w:rsid w:val="00694E6B"/>
    <w:rsid w:val="00696D3A"/>
    <w:rsid w:val="006A08A5"/>
    <w:rsid w:val="006B188D"/>
    <w:rsid w:val="006B4092"/>
    <w:rsid w:val="006B60BB"/>
    <w:rsid w:val="006B7A79"/>
    <w:rsid w:val="006B7B14"/>
    <w:rsid w:val="006C01DD"/>
    <w:rsid w:val="006C2ADC"/>
    <w:rsid w:val="006C42FD"/>
    <w:rsid w:val="006C63C6"/>
    <w:rsid w:val="006C7053"/>
    <w:rsid w:val="006D0581"/>
    <w:rsid w:val="006D0AF5"/>
    <w:rsid w:val="006D399C"/>
    <w:rsid w:val="006D39A4"/>
    <w:rsid w:val="006D3AC4"/>
    <w:rsid w:val="006E0BC5"/>
    <w:rsid w:val="006E1A32"/>
    <w:rsid w:val="006E4228"/>
    <w:rsid w:val="006E5711"/>
    <w:rsid w:val="006F0A8B"/>
    <w:rsid w:val="00700DEC"/>
    <w:rsid w:val="007020CA"/>
    <w:rsid w:val="00702325"/>
    <w:rsid w:val="00702742"/>
    <w:rsid w:val="0071032B"/>
    <w:rsid w:val="00713E42"/>
    <w:rsid w:val="00716EB2"/>
    <w:rsid w:val="00722B5E"/>
    <w:rsid w:val="00723286"/>
    <w:rsid w:val="00730889"/>
    <w:rsid w:val="00731FA0"/>
    <w:rsid w:val="0073463D"/>
    <w:rsid w:val="0073506F"/>
    <w:rsid w:val="0073596A"/>
    <w:rsid w:val="007449E0"/>
    <w:rsid w:val="00745143"/>
    <w:rsid w:val="00751F32"/>
    <w:rsid w:val="0075344F"/>
    <w:rsid w:val="00754F2B"/>
    <w:rsid w:val="00755406"/>
    <w:rsid w:val="007557A1"/>
    <w:rsid w:val="00757E0B"/>
    <w:rsid w:val="00764E1B"/>
    <w:rsid w:val="00776BC8"/>
    <w:rsid w:val="0077740E"/>
    <w:rsid w:val="00780F3C"/>
    <w:rsid w:val="007857F3"/>
    <w:rsid w:val="00790712"/>
    <w:rsid w:val="007915F9"/>
    <w:rsid w:val="00792F10"/>
    <w:rsid w:val="007954D7"/>
    <w:rsid w:val="0079764C"/>
    <w:rsid w:val="007A6D60"/>
    <w:rsid w:val="007A7A00"/>
    <w:rsid w:val="007B06F3"/>
    <w:rsid w:val="007B149D"/>
    <w:rsid w:val="007B188C"/>
    <w:rsid w:val="007B43A9"/>
    <w:rsid w:val="007B6F43"/>
    <w:rsid w:val="007C23CE"/>
    <w:rsid w:val="007C2742"/>
    <w:rsid w:val="007D0139"/>
    <w:rsid w:val="007D0C4D"/>
    <w:rsid w:val="007D3702"/>
    <w:rsid w:val="007D6C1E"/>
    <w:rsid w:val="007D7295"/>
    <w:rsid w:val="007E2855"/>
    <w:rsid w:val="007E6678"/>
    <w:rsid w:val="007F26E5"/>
    <w:rsid w:val="007F5FF7"/>
    <w:rsid w:val="007F7BB0"/>
    <w:rsid w:val="007F7BF1"/>
    <w:rsid w:val="0080247D"/>
    <w:rsid w:val="00803AE5"/>
    <w:rsid w:val="008057A7"/>
    <w:rsid w:val="0081134B"/>
    <w:rsid w:val="00811500"/>
    <w:rsid w:val="00821574"/>
    <w:rsid w:val="00825CA6"/>
    <w:rsid w:val="008346F7"/>
    <w:rsid w:val="00842445"/>
    <w:rsid w:val="0084261E"/>
    <w:rsid w:val="00850D89"/>
    <w:rsid w:val="008553B0"/>
    <w:rsid w:val="00863C50"/>
    <w:rsid w:val="008654A5"/>
    <w:rsid w:val="00865E41"/>
    <w:rsid w:val="00866AEF"/>
    <w:rsid w:val="00872257"/>
    <w:rsid w:val="008747F5"/>
    <w:rsid w:val="00874C62"/>
    <w:rsid w:val="00875E5D"/>
    <w:rsid w:val="00882625"/>
    <w:rsid w:val="008864A1"/>
    <w:rsid w:val="00886963"/>
    <w:rsid w:val="00892653"/>
    <w:rsid w:val="008941A3"/>
    <w:rsid w:val="0089630B"/>
    <w:rsid w:val="008A270A"/>
    <w:rsid w:val="008A3AD6"/>
    <w:rsid w:val="008A3E9D"/>
    <w:rsid w:val="008A43CA"/>
    <w:rsid w:val="008B6BB2"/>
    <w:rsid w:val="008C13F4"/>
    <w:rsid w:val="008C3236"/>
    <w:rsid w:val="008C7463"/>
    <w:rsid w:val="008C7B95"/>
    <w:rsid w:val="008E3415"/>
    <w:rsid w:val="008F24BD"/>
    <w:rsid w:val="008F2AAB"/>
    <w:rsid w:val="008F47C3"/>
    <w:rsid w:val="008F7340"/>
    <w:rsid w:val="009006F1"/>
    <w:rsid w:val="00900B4C"/>
    <w:rsid w:val="00903429"/>
    <w:rsid w:val="00907EE7"/>
    <w:rsid w:val="009113BA"/>
    <w:rsid w:val="00913A57"/>
    <w:rsid w:val="009155CE"/>
    <w:rsid w:val="00915A40"/>
    <w:rsid w:val="00917FFE"/>
    <w:rsid w:val="009201FC"/>
    <w:rsid w:val="0092753A"/>
    <w:rsid w:val="00927D8B"/>
    <w:rsid w:val="00927EA8"/>
    <w:rsid w:val="00927F1C"/>
    <w:rsid w:val="00930B48"/>
    <w:rsid w:val="00930EEB"/>
    <w:rsid w:val="00932B64"/>
    <w:rsid w:val="0093362A"/>
    <w:rsid w:val="009430B8"/>
    <w:rsid w:val="00950CB8"/>
    <w:rsid w:val="0095200E"/>
    <w:rsid w:val="00953D31"/>
    <w:rsid w:val="00954165"/>
    <w:rsid w:val="00962663"/>
    <w:rsid w:val="009743ED"/>
    <w:rsid w:val="00975B6D"/>
    <w:rsid w:val="00986054"/>
    <w:rsid w:val="00990AE3"/>
    <w:rsid w:val="009943E9"/>
    <w:rsid w:val="00994EB6"/>
    <w:rsid w:val="00996BA8"/>
    <w:rsid w:val="009A3E3C"/>
    <w:rsid w:val="009A6B2F"/>
    <w:rsid w:val="009C1757"/>
    <w:rsid w:val="009C47A9"/>
    <w:rsid w:val="009D07CE"/>
    <w:rsid w:val="009D2591"/>
    <w:rsid w:val="009D5843"/>
    <w:rsid w:val="009D5A53"/>
    <w:rsid w:val="009E1124"/>
    <w:rsid w:val="009E3B58"/>
    <w:rsid w:val="009E5ABF"/>
    <w:rsid w:val="009E5F37"/>
    <w:rsid w:val="009E6193"/>
    <w:rsid w:val="009E6C50"/>
    <w:rsid w:val="009F11FA"/>
    <w:rsid w:val="009F1BE3"/>
    <w:rsid w:val="009F420B"/>
    <w:rsid w:val="009F7B6F"/>
    <w:rsid w:val="00A012B2"/>
    <w:rsid w:val="00A0463C"/>
    <w:rsid w:val="00A0712F"/>
    <w:rsid w:val="00A123D0"/>
    <w:rsid w:val="00A15CA2"/>
    <w:rsid w:val="00A203C3"/>
    <w:rsid w:val="00A20C14"/>
    <w:rsid w:val="00A20C6F"/>
    <w:rsid w:val="00A21099"/>
    <w:rsid w:val="00A225E6"/>
    <w:rsid w:val="00A23F4E"/>
    <w:rsid w:val="00A4179F"/>
    <w:rsid w:val="00A43993"/>
    <w:rsid w:val="00A43E6A"/>
    <w:rsid w:val="00A46EAB"/>
    <w:rsid w:val="00A47526"/>
    <w:rsid w:val="00A51400"/>
    <w:rsid w:val="00A52723"/>
    <w:rsid w:val="00A52CA5"/>
    <w:rsid w:val="00A53A03"/>
    <w:rsid w:val="00A53BC6"/>
    <w:rsid w:val="00A53DCA"/>
    <w:rsid w:val="00A569DD"/>
    <w:rsid w:val="00A57F25"/>
    <w:rsid w:val="00A61BB4"/>
    <w:rsid w:val="00A62546"/>
    <w:rsid w:val="00A637C6"/>
    <w:rsid w:val="00A63C79"/>
    <w:rsid w:val="00A64407"/>
    <w:rsid w:val="00A66DE0"/>
    <w:rsid w:val="00A70955"/>
    <w:rsid w:val="00A73F33"/>
    <w:rsid w:val="00A74261"/>
    <w:rsid w:val="00A77F4A"/>
    <w:rsid w:val="00A77FA3"/>
    <w:rsid w:val="00A83600"/>
    <w:rsid w:val="00A842D1"/>
    <w:rsid w:val="00A84846"/>
    <w:rsid w:val="00A90982"/>
    <w:rsid w:val="00A90B4B"/>
    <w:rsid w:val="00A969B7"/>
    <w:rsid w:val="00AA3043"/>
    <w:rsid w:val="00AA32C6"/>
    <w:rsid w:val="00AA6D1C"/>
    <w:rsid w:val="00AA7A1B"/>
    <w:rsid w:val="00AA7DF3"/>
    <w:rsid w:val="00AB1944"/>
    <w:rsid w:val="00AB44FE"/>
    <w:rsid w:val="00AB5CC6"/>
    <w:rsid w:val="00AC477E"/>
    <w:rsid w:val="00AC6482"/>
    <w:rsid w:val="00AD3728"/>
    <w:rsid w:val="00AD3FA2"/>
    <w:rsid w:val="00AD43B0"/>
    <w:rsid w:val="00AD4A38"/>
    <w:rsid w:val="00AD7C3F"/>
    <w:rsid w:val="00AD7CA0"/>
    <w:rsid w:val="00AE0680"/>
    <w:rsid w:val="00AE0F19"/>
    <w:rsid w:val="00AE1290"/>
    <w:rsid w:val="00AE28C8"/>
    <w:rsid w:val="00AE448A"/>
    <w:rsid w:val="00AE4D62"/>
    <w:rsid w:val="00AE5E6B"/>
    <w:rsid w:val="00AE764D"/>
    <w:rsid w:val="00AF0467"/>
    <w:rsid w:val="00AF0BC9"/>
    <w:rsid w:val="00AF16C7"/>
    <w:rsid w:val="00AF260C"/>
    <w:rsid w:val="00AF4672"/>
    <w:rsid w:val="00AF6E63"/>
    <w:rsid w:val="00AF7766"/>
    <w:rsid w:val="00B01175"/>
    <w:rsid w:val="00B01841"/>
    <w:rsid w:val="00B01EBD"/>
    <w:rsid w:val="00B054E2"/>
    <w:rsid w:val="00B05583"/>
    <w:rsid w:val="00B22339"/>
    <w:rsid w:val="00B26F9D"/>
    <w:rsid w:val="00B27227"/>
    <w:rsid w:val="00B27B98"/>
    <w:rsid w:val="00B30E56"/>
    <w:rsid w:val="00B3611C"/>
    <w:rsid w:val="00B478A1"/>
    <w:rsid w:val="00B55C9C"/>
    <w:rsid w:val="00B60A32"/>
    <w:rsid w:val="00B62D21"/>
    <w:rsid w:val="00B64435"/>
    <w:rsid w:val="00B664DB"/>
    <w:rsid w:val="00B66B15"/>
    <w:rsid w:val="00B715D7"/>
    <w:rsid w:val="00B71C17"/>
    <w:rsid w:val="00B71EAA"/>
    <w:rsid w:val="00B754FA"/>
    <w:rsid w:val="00B77DBE"/>
    <w:rsid w:val="00B815B7"/>
    <w:rsid w:val="00B86B8B"/>
    <w:rsid w:val="00B906F7"/>
    <w:rsid w:val="00B908E6"/>
    <w:rsid w:val="00B90E63"/>
    <w:rsid w:val="00B947E9"/>
    <w:rsid w:val="00B94EE7"/>
    <w:rsid w:val="00B9509E"/>
    <w:rsid w:val="00B95207"/>
    <w:rsid w:val="00BA125B"/>
    <w:rsid w:val="00BA18ED"/>
    <w:rsid w:val="00BB167C"/>
    <w:rsid w:val="00BB211F"/>
    <w:rsid w:val="00BB567B"/>
    <w:rsid w:val="00BB5A32"/>
    <w:rsid w:val="00BB5FD8"/>
    <w:rsid w:val="00BC0942"/>
    <w:rsid w:val="00BC18E1"/>
    <w:rsid w:val="00BC3042"/>
    <w:rsid w:val="00BC4792"/>
    <w:rsid w:val="00BC4B1A"/>
    <w:rsid w:val="00BC564A"/>
    <w:rsid w:val="00BC62A6"/>
    <w:rsid w:val="00BC62DA"/>
    <w:rsid w:val="00BC682C"/>
    <w:rsid w:val="00BD02A6"/>
    <w:rsid w:val="00BD624B"/>
    <w:rsid w:val="00BD7A9E"/>
    <w:rsid w:val="00BE1D68"/>
    <w:rsid w:val="00BE47FC"/>
    <w:rsid w:val="00BE607B"/>
    <w:rsid w:val="00BE6FE9"/>
    <w:rsid w:val="00BF40E9"/>
    <w:rsid w:val="00BF5990"/>
    <w:rsid w:val="00BF7004"/>
    <w:rsid w:val="00C0631D"/>
    <w:rsid w:val="00C10F56"/>
    <w:rsid w:val="00C209D0"/>
    <w:rsid w:val="00C2314E"/>
    <w:rsid w:val="00C234E8"/>
    <w:rsid w:val="00C23C33"/>
    <w:rsid w:val="00C24032"/>
    <w:rsid w:val="00C252C0"/>
    <w:rsid w:val="00C273F7"/>
    <w:rsid w:val="00C274E4"/>
    <w:rsid w:val="00C27EA0"/>
    <w:rsid w:val="00C353A7"/>
    <w:rsid w:val="00C36905"/>
    <w:rsid w:val="00C400BE"/>
    <w:rsid w:val="00C42F01"/>
    <w:rsid w:val="00C46311"/>
    <w:rsid w:val="00C50E5A"/>
    <w:rsid w:val="00C57CF1"/>
    <w:rsid w:val="00C61F77"/>
    <w:rsid w:val="00C64256"/>
    <w:rsid w:val="00C643C9"/>
    <w:rsid w:val="00C65204"/>
    <w:rsid w:val="00C65FA6"/>
    <w:rsid w:val="00C749B8"/>
    <w:rsid w:val="00C74B3A"/>
    <w:rsid w:val="00C756D8"/>
    <w:rsid w:val="00C771F6"/>
    <w:rsid w:val="00C85EC5"/>
    <w:rsid w:val="00C93927"/>
    <w:rsid w:val="00C94062"/>
    <w:rsid w:val="00CA0550"/>
    <w:rsid w:val="00CA0FAC"/>
    <w:rsid w:val="00CA3E10"/>
    <w:rsid w:val="00CA5BEB"/>
    <w:rsid w:val="00CB3B22"/>
    <w:rsid w:val="00CB479E"/>
    <w:rsid w:val="00CB54DE"/>
    <w:rsid w:val="00CC0479"/>
    <w:rsid w:val="00CC0C29"/>
    <w:rsid w:val="00CC383C"/>
    <w:rsid w:val="00CC4FE1"/>
    <w:rsid w:val="00CD0702"/>
    <w:rsid w:val="00CD1C49"/>
    <w:rsid w:val="00CD1E73"/>
    <w:rsid w:val="00CD4F7D"/>
    <w:rsid w:val="00CE1AA5"/>
    <w:rsid w:val="00CE3A86"/>
    <w:rsid w:val="00CE4153"/>
    <w:rsid w:val="00CF0335"/>
    <w:rsid w:val="00CF2EBB"/>
    <w:rsid w:val="00CF747F"/>
    <w:rsid w:val="00D04AFF"/>
    <w:rsid w:val="00D04D8D"/>
    <w:rsid w:val="00D06A43"/>
    <w:rsid w:val="00D07C90"/>
    <w:rsid w:val="00D10092"/>
    <w:rsid w:val="00D12590"/>
    <w:rsid w:val="00D205D7"/>
    <w:rsid w:val="00D21C2C"/>
    <w:rsid w:val="00D22FFF"/>
    <w:rsid w:val="00D240E8"/>
    <w:rsid w:val="00D27CFD"/>
    <w:rsid w:val="00D309C8"/>
    <w:rsid w:val="00D36AC7"/>
    <w:rsid w:val="00D4094F"/>
    <w:rsid w:val="00D4160D"/>
    <w:rsid w:val="00D442E4"/>
    <w:rsid w:val="00D45CC8"/>
    <w:rsid w:val="00D46B9E"/>
    <w:rsid w:val="00D553E9"/>
    <w:rsid w:val="00D60481"/>
    <w:rsid w:val="00D63918"/>
    <w:rsid w:val="00D653B0"/>
    <w:rsid w:val="00D65DCD"/>
    <w:rsid w:val="00D70675"/>
    <w:rsid w:val="00D71CC1"/>
    <w:rsid w:val="00D737BC"/>
    <w:rsid w:val="00D74117"/>
    <w:rsid w:val="00D800C4"/>
    <w:rsid w:val="00D808B9"/>
    <w:rsid w:val="00D85AA7"/>
    <w:rsid w:val="00D866F7"/>
    <w:rsid w:val="00D96A31"/>
    <w:rsid w:val="00DA3D55"/>
    <w:rsid w:val="00DA61F0"/>
    <w:rsid w:val="00DA6A4A"/>
    <w:rsid w:val="00DA76CF"/>
    <w:rsid w:val="00DB5DFE"/>
    <w:rsid w:val="00DB755C"/>
    <w:rsid w:val="00DC4F7E"/>
    <w:rsid w:val="00DC597D"/>
    <w:rsid w:val="00DC6C57"/>
    <w:rsid w:val="00DD5451"/>
    <w:rsid w:val="00DD5576"/>
    <w:rsid w:val="00DD6AEB"/>
    <w:rsid w:val="00DD79CB"/>
    <w:rsid w:val="00DE1E74"/>
    <w:rsid w:val="00DE341C"/>
    <w:rsid w:val="00DE40A0"/>
    <w:rsid w:val="00DE4103"/>
    <w:rsid w:val="00DE4AA8"/>
    <w:rsid w:val="00DE56EC"/>
    <w:rsid w:val="00DE6556"/>
    <w:rsid w:val="00DF1856"/>
    <w:rsid w:val="00DF6A74"/>
    <w:rsid w:val="00DF6EA9"/>
    <w:rsid w:val="00DF734E"/>
    <w:rsid w:val="00E02F9B"/>
    <w:rsid w:val="00E03922"/>
    <w:rsid w:val="00E065E7"/>
    <w:rsid w:val="00E06B0F"/>
    <w:rsid w:val="00E074EE"/>
    <w:rsid w:val="00E116E2"/>
    <w:rsid w:val="00E11FF5"/>
    <w:rsid w:val="00E13688"/>
    <w:rsid w:val="00E14A7E"/>
    <w:rsid w:val="00E17ED4"/>
    <w:rsid w:val="00E22F5D"/>
    <w:rsid w:val="00E2461F"/>
    <w:rsid w:val="00E24746"/>
    <w:rsid w:val="00E26049"/>
    <w:rsid w:val="00E30524"/>
    <w:rsid w:val="00E32518"/>
    <w:rsid w:val="00E33397"/>
    <w:rsid w:val="00E4210D"/>
    <w:rsid w:val="00E42DDA"/>
    <w:rsid w:val="00E435AA"/>
    <w:rsid w:val="00E441B8"/>
    <w:rsid w:val="00E45010"/>
    <w:rsid w:val="00E47005"/>
    <w:rsid w:val="00E47BCD"/>
    <w:rsid w:val="00E47ED8"/>
    <w:rsid w:val="00E47F44"/>
    <w:rsid w:val="00E51BCE"/>
    <w:rsid w:val="00E51BD5"/>
    <w:rsid w:val="00E542CF"/>
    <w:rsid w:val="00E54ADD"/>
    <w:rsid w:val="00E55CD5"/>
    <w:rsid w:val="00E702A5"/>
    <w:rsid w:val="00E74D5A"/>
    <w:rsid w:val="00E800FE"/>
    <w:rsid w:val="00E82CDF"/>
    <w:rsid w:val="00E847C6"/>
    <w:rsid w:val="00E90949"/>
    <w:rsid w:val="00E949D3"/>
    <w:rsid w:val="00E953B4"/>
    <w:rsid w:val="00E95B09"/>
    <w:rsid w:val="00EA1563"/>
    <w:rsid w:val="00EA7345"/>
    <w:rsid w:val="00EB1DA5"/>
    <w:rsid w:val="00EB3770"/>
    <w:rsid w:val="00EB4D85"/>
    <w:rsid w:val="00EC4D82"/>
    <w:rsid w:val="00EC568D"/>
    <w:rsid w:val="00EC689F"/>
    <w:rsid w:val="00EC72CF"/>
    <w:rsid w:val="00EC7D31"/>
    <w:rsid w:val="00ED2339"/>
    <w:rsid w:val="00ED778C"/>
    <w:rsid w:val="00EE136E"/>
    <w:rsid w:val="00EE14A0"/>
    <w:rsid w:val="00EE4C48"/>
    <w:rsid w:val="00EE57A0"/>
    <w:rsid w:val="00EF1C05"/>
    <w:rsid w:val="00EF1E43"/>
    <w:rsid w:val="00EF32DA"/>
    <w:rsid w:val="00EF408C"/>
    <w:rsid w:val="00F012E2"/>
    <w:rsid w:val="00F032AA"/>
    <w:rsid w:val="00F0507A"/>
    <w:rsid w:val="00F055DF"/>
    <w:rsid w:val="00F079CF"/>
    <w:rsid w:val="00F156D3"/>
    <w:rsid w:val="00F16A1A"/>
    <w:rsid w:val="00F21321"/>
    <w:rsid w:val="00F24543"/>
    <w:rsid w:val="00F254E8"/>
    <w:rsid w:val="00F32832"/>
    <w:rsid w:val="00F34CCD"/>
    <w:rsid w:val="00F36067"/>
    <w:rsid w:val="00F3633D"/>
    <w:rsid w:val="00F41454"/>
    <w:rsid w:val="00F41939"/>
    <w:rsid w:val="00F42A5D"/>
    <w:rsid w:val="00F43059"/>
    <w:rsid w:val="00F43AD0"/>
    <w:rsid w:val="00F476E6"/>
    <w:rsid w:val="00F54835"/>
    <w:rsid w:val="00F629CD"/>
    <w:rsid w:val="00F63A5B"/>
    <w:rsid w:val="00F75AC5"/>
    <w:rsid w:val="00F864D0"/>
    <w:rsid w:val="00F87877"/>
    <w:rsid w:val="00F9134C"/>
    <w:rsid w:val="00F9319F"/>
    <w:rsid w:val="00F95BE1"/>
    <w:rsid w:val="00F970FF"/>
    <w:rsid w:val="00F9724C"/>
    <w:rsid w:val="00FA2511"/>
    <w:rsid w:val="00FA2FF9"/>
    <w:rsid w:val="00FA5022"/>
    <w:rsid w:val="00FA51C4"/>
    <w:rsid w:val="00FA6109"/>
    <w:rsid w:val="00FA7946"/>
    <w:rsid w:val="00FB031C"/>
    <w:rsid w:val="00FB1EF3"/>
    <w:rsid w:val="00FB46E6"/>
    <w:rsid w:val="00FB4AF4"/>
    <w:rsid w:val="00FB4F1E"/>
    <w:rsid w:val="00FC0079"/>
    <w:rsid w:val="00FC1E79"/>
    <w:rsid w:val="00FC2244"/>
    <w:rsid w:val="00FC3463"/>
    <w:rsid w:val="00FC717B"/>
    <w:rsid w:val="00FD0DD1"/>
    <w:rsid w:val="00FD6C59"/>
    <w:rsid w:val="00FE2A3A"/>
    <w:rsid w:val="00FE7E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06F"/>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73506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3506F"/>
    <w:rPr>
      <w:lang w:eastAsia="en-US"/>
    </w:rPr>
  </w:style>
  <w:style w:type="paragraph" w:styleId="Footer">
    <w:name w:val="footer"/>
    <w:basedOn w:val="Normal"/>
    <w:link w:val="FooterChar"/>
    <w:uiPriority w:val="99"/>
    <w:rsid w:val="0073506F"/>
    <w:pPr>
      <w:tabs>
        <w:tab w:val="center" w:pos="4153"/>
        <w:tab w:val="right" w:pos="8306"/>
      </w:tabs>
    </w:pPr>
    <w:rPr>
      <w:rFonts w:ascii="Arial" w:hAnsi="Arial"/>
      <w:sz w:val="18"/>
    </w:rPr>
  </w:style>
  <w:style w:type="character" w:customStyle="1" w:styleId="FooterChar">
    <w:name w:val="Footer Char"/>
    <w:basedOn w:val="DefaultParagraphFont"/>
    <w:link w:val="Footer"/>
    <w:uiPriority w:val="99"/>
    <w:rsid w:val="0073506F"/>
    <w:rPr>
      <w:rFonts w:ascii="Arial" w:eastAsia="Times New Roman" w:hAnsi="Arial" w:cs="Times New Roman"/>
      <w:sz w:val="18"/>
      <w:szCs w:val="24"/>
      <w:lang w:eastAsia="en-AU"/>
    </w:rPr>
  </w:style>
  <w:style w:type="paragraph" w:customStyle="1" w:styleId="FooterCitation">
    <w:name w:val="FooterCitation"/>
    <w:basedOn w:val="Footer"/>
    <w:rsid w:val="0073506F"/>
    <w:pPr>
      <w:spacing w:before="20"/>
      <w:jc w:val="center"/>
    </w:pPr>
    <w:rPr>
      <w:i/>
    </w:rPr>
  </w:style>
  <w:style w:type="paragraph" w:customStyle="1" w:styleId="HeaderBoldEven">
    <w:name w:val="HeaderBoldEven"/>
    <w:basedOn w:val="Normal"/>
    <w:rsid w:val="0073506F"/>
    <w:pPr>
      <w:spacing w:before="120" w:after="60"/>
    </w:pPr>
    <w:rPr>
      <w:rFonts w:ascii="Arial" w:hAnsi="Arial"/>
      <w:b/>
      <w:sz w:val="20"/>
      <w:lang w:eastAsia="en-US"/>
    </w:rPr>
  </w:style>
  <w:style w:type="paragraph" w:customStyle="1" w:styleId="HeaderBoldOdd">
    <w:name w:val="HeaderBoldOdd"/>
    <w:basedOn w:val="Normal"/>
    <w:rsid w:val="0073506F"/>
    <w:pPr>
      <w:spacing w:before="120" w:after="60"/>
      <w:jc w:val="right"/>
    </w:pPr>
    <w:rPr>
      <w:rFonts w:ascii="Arial" w:hAnsi="Arial"/>
      <w:b/>
      <w:sz w:val="20"/>
      <w:lang w:eastAsia="en-US"/>
    </w:rPr>
  </w:style>
  <w:style w:type="paragraph" w:customStyle="1" w:styleId="HeaderContentsPage">
    <w:name w:val="HeaderContents&quot;Page&quot;"/>
    <w:basedOn w:val="Normal"/>
    <w:rsid w:val="0073506F"/>
    <w:pPr>
      <w:spacing w:before="120" w:after="120"/>
      <w:jc w:val="right"/>
    </w:pPr>
    <w:rPr>
      <w:rFonts w:ascii="Arial" w:hAnsi="Arial"/>
      <w:sz w:val="20"/>
      <w:lang w:eastAsia="en-US"/>
    </w:rPr>
  </w:style>
  <w:style w:type="paragraph" w:customStyle="1" w:styleId="HeaderLiteEven">
    <w:name w:val="HeaderLiteEven"/>
    <w:basedOn w:val="Normal"/>
    <w:rsid w:val="0073506F"/>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3506F"/>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3506F"/>
    <w:rPr>
      <w:lang w:eastAsia="en-US"/>
    </w:rPr>
  </w:style>
  <w:style w:type="paragraph" w:customStyle="1" w:styleId="NotesSectionBreak">
    <w:name w:val="NotesSectionBreak"/>
    <w:basedOn w:val="Normal"/>
    <w:next w:val="Normal"/>
    <w:rsid w:val="0073506F"/>
    <w:rPr>
      <w:lang w:eastAsia="en-US"/>
    </w:rPr>
  </w:style>
  <w:style w:type="paragraph" w:customStyle="1" w:styleId="SchedSectionBreak">
    <w:name w:val="SchedSectionBreak"/>
    <w:basedOn w:val="Normal"/>
    <w:next w:val="Normal"/>
    <w:rsid w:val="0073506F"/>
    <w:rPr>
      <w:lang w:eastAsia="en-US"/>
    </w:rPr>
  </w:style>
  <w:style w:type="paragraph" w:customStyle="1" w:styleId="SigningPageBreak">
    <w:name w:val="SigningPageBreak"/>
    <w:basedOn w:val="Normal"/>
    <w:next w:val="Normal"/>
    <w:rsid w:val="0073506F"/>
    <w:rPr>
      <w:lang w:eastAsia="en-US"/>
    </w:rPr>
  </w:style>
  <w:style w:type="paragraph" w:styleId="Header">
    <w:name w:val="header"/>
    <w:basedOn w:val="Normal"/>
    <w:link w:val="HeaderChar"/>
    <w:rsid w:val="0073506F"/>
    <w:pPr>
      <w:tabs>
        <w:tab w:val="center" w:pos="4153"/>
        <w:tab w:val="right" w:pos="8306"/>
      </w:tabs>
    </w:pPr>
    <w:rPr>
      <w:rFonts w:ascii="Arial" w:hAnsi="Arial"/>
      <w:sz w:val="16"/>
    </w:rPr>
  </w:style>
  <w:style w:type="character" w:customStyle="1" w:styleId="HeaderChar">
    <w:name w:val="Header Char"/>
    <w:basedOn w:val="DefaultParagraphFont"/>
    <w:link w:val="Header"/>
    <w:rsid w:val="0073506F"/>
    <w:rPr>
      <w:rFonts w:ascii="Arial" w:eastAsia="Times New Roman" w:hAnsi="Arial" w:cs="Times New Roman"/>
      <w:sz w:val="16"/>
      <w:szCs w:val="24"/>
      <w:lang w:eastAsia="en-AU"/>
    </w:rPr>
  </w:style>
  <w:style w:type="paragraph" w:styleId="NoteHeading">
    <w:name w:val="Note Heading"/>
    <w:aliases w:val="HN"/>
    <w:basedOn w:val="Normal"/>
    <w:next w:val="Normal"/>
    <w:link w:val="NoteHeadingChar"/>
    <w:rsid w:val="0073506F"/>
    <w:pPr>
      <w:keepNext/>
      <w:keepLines/>
      <w:tabs>
        <w:tab w:val="left" w:pos="1559"/>
      </w:tabs>
      <w:spacing w:before="120" w:line="240" w:lineRule="atLeast"/>
    </w:pPr>
    <w:rPr>
      <w:rFonts w:ascii="Arial" w:hAnsi="Arial"/>
      <w:b/>
      <w:sz w:val="32"/>
    </w:rPr>
  </w:style>
  <w:style w:type="character" w:customStyle="1" w:styleId="NoteHeadingChar">
    <w:name w:val="Note Heading Char"/>
    <w:aliases w:val="HN Char"/>
    <w:basedOn w:val="DefaultParagraphFont"/>
    <w:link w:val="NoteHeading"/>
    <w:rsid w:val="0073506F"/>
    <w:rPr>
      <w:rFonts w:ascii="Arial" w:eastAsia="Times New Roman" w:hAnsi="Arial" w:cs="Times New Roman"/>
      <w:b/>
      <w:sz w:val="32"/>
      <w:szCs w:val="24"/>
      <w:lang w:eastAsia="en-AU"/>
    </w:rPr>
  </w:style>
  <w:style w:type="paragraph" w:customStyle="1" w:styleId="TableENotesHeading">
    <w:name w:val="TableENotesHeading"/>
    <w:basedOn w:val="Normal"/>
    <w:next w:val="Normal"/>
    <w:rsid w:val="0073506F"/>
    <w:pPr>
      <w:spacing w:before="240" w:after="240" w:line="300" w:lineRule="exact"/>
      <w:ind w:left="2410" w:hanging="2410"/>
    </w:pPr>
    <w:rPr>
      <w:rFonts w:ascii="Arial" w:hAnsi="Arial"/>
      <w:b/>
      <w:sz w:val="28"/>
    </w:rPr>
  </w:style>
  <w:style w:type="paragraph" w:styleId="Title">
    <w:name w:val="Title"/>
    <w:basedOn w:val="Normal"/>
    <w:link w:val="TitleChar"/>
    <w:qFormat/>
    <w:rsid w:val="0073506F"/>
    <w:pPr>
      <w:spacing w:before="240" w:after="60"/>
    </w:pPr>
    <w:rPr>
      <w:rFonts w:ascii="Arial" w:hAnsi="Arial" w:cs="Arial"/>
      <w:b/>
      <w:bCs/>
      <w:sz w:val="40"/>
      <w:szCs w:val="40"/>
    </w:rPr>
  </w:style>
  <w:style w:type="character" w:customStyle="1" w:styleId="TitleChar">
    <w:name w:val="Title Char"/>
    <w:basedOn w:val="DefaultParagraphFont"/>
    <w:link w:val="Title"/>
    <w:rsid w:val="0073506F"/>
    <w:rPr>
      <w:rFonts w:ascii="Arial" w:eastAsia="Times New Roman" w:hAnsi="Arial" w:cs="Arial"/>
      <w:b/>
      <w:bCs/>
      <w:sz w:val="40"/>
      <w:szCs w:val="40"/>
      <w:lang w:eastAsia="en-AU"/>
    </w:rPr>
  </w:style>
  <w:style w:type="character" w:customStyle="1" w:styleId="CharAmSchNo">
    <w:name w:val="CharAmSchNo"/>
    <w:basedOn w:val="DefaultParagraphFont"/>
    <w:rsid w:val="0073506F"/>
  </w:style>
  <w:style w:type="character" w:customStyle="1" w:styleId="CharAmSchText">
    <w:name w:val="CharAmSchText"/>
    <w:basedOn w:val="DefaultParagraphFont"/>
    <w:rsid w:val="0073506F"/>
  </w:style>
  <w:style w:type="character" w:customStyle="1" w:styleId="CharDivNo">
    <w:name w:val="CharDivNo"/>
    <w:basedOn w:val="DefaultParagraphFont"/>
    <w:rsid w:val="0073506F"/>
  </w:style>
  <w:style w:type="character" w:customStyle="1" w:styleId="CharDivText">
    <w:name w:val="CharDivText"/>
    <w:basedOn w:val="DefaultParagraphFont"/>
    <w:rsid w:val="0073506F"/>
  </w:style>
  <w:style w:type="character" w:customStyle="1" w:styleId="CharPartNo">
    <w:name w:val="CharPartNo"/>
    <w:basedOn w:val="DefaultParagraphFont"/>
    <w:rsid w:val="0073506F"/>
  </w:style>
  <w:style w:type="character" w:customStyle="1" w:styleId="CharPartText">
    <w:name w:val="CharPartText"/>
    <w:basedOn w:val="DefaultParagraphFont"/>
    <w:rsid w:val="0073506F"/>
  </w:style>
  <w:style w:type="character" w:customStyle="1" w:styleId="CharSchPTNo">
    <w:name w:val="CharSchPTNo"/>
    <w:basedOn w:val="DefaultParagraphFont"/>
    <w:rsid w:val="0073506F"/>
  </w:style>
  <w:style w:type="character" w:customStyle="1" w:styleId="CharSchPTText">
    <w:name w:val="CharSchPTText"/>
    <w:basedOn w:val="DefaultParagraphFont"/>
    <w:rsid w:val="0073506F"/>
  </w:style>
  <w:style w:type="character" w:customStyle="1" w:styleId="CharSectno">
    <w:name w:val="CharSectno"/>
    <w:basedOn w:val="DefaultParagraphFont"/>
    <w:rsid w:val="0073506F"/>
  </w:style>
  <w:style w:type="character" w:customStyle="1" w:styleId="CharENotesHeading">
    <w:name w:val="CharENotesHeading"/>
    <w:basedOn w:val="DefaultParagraphFont"/>
    <w:rsid w:val="0073506F"/>
  </w:style>
  <w:style w:type="paragraph" w:customStyle="1" w:styleId="ContentsHead">
    <w:name w:val="ContentsHead"/>
    <w:basedOn w:val="Normal"/>
    <w:next w:val="Normal"/>
    <w:rsid w:val="0073506F"/>
    <w:pPr>
      <w:keepNext/>
      <w:pageBreakBefore/>
      <w:spacing w:before="240" w:after="240"/>
    </w:pPr>
    <w:rPr>
      <w:rFonts w:ascii="Arial" w:hAnsi="Arial"/>
      <w:b/>
      <w:sz w:val="28"/>
      <w:lang w:eastAsia="en-US"/>
    </w:rPr>
  </w:style>
  <w:style w:type="paragraph" w:customStyle="1" w:styleId="definition">
    <w:name w:val="definition"/>
    <w:basedOn w:val="Normal"/>
    <w:rsid w:val="0073506F"/>
    <w:pPr>
      <w:spacing w:before="80" w:line="260" w:lineRule="exact"/>
      <w:ind w:left="964"/>
      <w:jc w:val="both"/>
    </w:pPr>
    <w:rPr>
      <w:lang w:eastAsia="en-US"/>
    </w:rPr>
  </w:style>
  <w:style w:type="paragraph" w:customStyle="1" w:styleId="ExampleBody">
    <w:name w:val="Example Body"/>
    <w:basedOn w:val="Normal"/>
    <w:rsid w:val="0073506F"/>
    <w:pPr>
      <w:spacing w:before="60" w:line="220" w:lineRule="exact"/>
      <w:ind w:left="964"/>
      <w:jc w:val="both"/>
    </w:pPr>
    <w:rPr>
      <w:sz w:val="20"/>
      <w:lang w:eastAsia="en-US"/>
    </w:rPr>
  </w:style>
  <w:style w:type="paragraph" w:customStyle="1" w:styleId="HE">
    <w:name w:val="HE"/>
    <w:aliases w:val="Example heading"/>
    <w:basedOn w:val="Normal"/>
    <w:next w:val="ExampleBody"/>
    <w:rsid w:val="0073506F"/>
    <w:pPr>
      <w:keepNext/>
      <w:spacing w:before="120" w:line="220" w:lineRule="exact"/>
      <w:ind w:left="964"/>
    </w:pPr>
    <w:rPr>
      <w:i/>
      <w:sz w:val="20"/>
      <w:lang w:eastAsia="en-US"/>
    </w:rPr>
  </w:style>
  <w:style w:type="paragraph" w:customStyle="1" w:styleId="HP">
    <w:name w:val="HP"/>
    <w:aliases w:val="Part Heading"/>
    <w:basedOn w:val="Normal"/>
    <w:next w:val="Normal"/>
    <w:rsid w:val="0073506F"/>
    <w:pPr>
      <w:keepNext/>
      <w:spacing w:before="360"/>
      <w:ind w:left="2410" w:hanging="2410"/>
    </w:pPr>
    <w:rPr>
      <w:rFonts w:ascii="Arial" w:hAnsi="Arial"/>
      <w:b/>
      <w:sz w:val="32"/>
      <w:lang w:eastAsia="en-US"/>
    </w:rPr>
  </w:style>
  <w:style w:type="paragraph" w:customStyle="1" w:styleId="HR">
    <w:name w:val="HR"/>
    <w:aliases w:val="Regulation Heading"/>
    <w:basedOn w:val="Normal"/>
    <w:next w:val="Normal"/>
    <w:rsid w:val="0073506F"/>
    <w:pPr>
      <w:keepNext/>
      <w:spacing w:before="360"/>
      <w:ind w:left="964" w:hanging="964"/>
    </w:pPr>
    <w:rPr>
      <w:rFonts w:ascii="Arial" w:hAnsi="Arial"/>
      <w:b/>
      <w:lang w:eastAsia="en-US"/>
    </w:rPr>
  </w:style>
  <w:style w:type="paragraph" w:customStyle="1" w:styleId="Note">
    <w:name w:val="Note"/>
    <w:rsid w:val="0073506F"/>
    <w:pPr>
      <w:spacing w:before="120" w:after="0" w:line="220" w:lineRule="exact"/>
      <w:ind w:left="964"/>
      <w:jc w:val="both"/>
    </w:pPr>
    <w:rPr>
      <w:rFonts w:ascii="Times New Roman" w:eastAsia="Times New Roman" w:hAnsi="Times New Roman" w:cs="Times New Roman"/>
      <w:sz w:val="20"/>
      <w:szCs w:val="24"/>
      <w:lang w:eastAsia="en-AU"/>
    </w:rPr>
  </w:style>
  <w:style w:type="paragraph" w:customStyle="1" w:styleId="P1">
    <w:name w:val="P1"/>
    <w:aliases w:val="(a)"/>
    <w:basedOn w:val="Normal"/>
    <w:rsid w:val="0073506F"/>
    <w:pPr>
      <w:tabs>
        <w:tab w:val="right" w:pos="1191"/>
      </w:tabs>
      <w:spacing w:before="60" w:line="260" w:lineRule="exact"/>
      <w:ind w:left="1418" w:hanging="1418"/>
      <w:jc w:val="both"/>
    </w:pPr>
    <w:rPr>
      <w:lang w:eastAsia="en-US"/>
    </w:rPr>
  </w:style>
  <w:style w:type="paragraph" w:customStyle="1" w:styleId="P2">
    <w:name w:val="P2"/>
    <w:aliases w:val="(i)"/>
    <w:basedOn w:val="Normal"/>
    <w:rsid w:val="0073506F"/>
    <w:pPr>
      <w:tabs>
        <w:tab w:val="right" w:pos="1758"/>
        <w:tab w:val="left" w:pos="2155"/>
      </w:tabs>
      <w:spacing w:before="60" w:line="260" w:lineRule="exact"/>
      <w:ind w:left="1985" w:hanging="1985"/>
      <w:jc w:val="both"/>
    </w:pPr>
    <w:rPr>
      <w:lang w:eastAsia="en-US"/>
    </w:rPr>
  </w:style>
  <w:style w:type="paragraph" w:customStyle="1" w:styleId="R1">
    <w:name w:val="R1"/>
    <w:aliases w:val="1. or 1.(1)"/>
    <w:basedOn w:val="Normal"/>
    <w:next w:val="Normal"/>
    <w:rsid w:val="0073506F"/>
    <w:pPr>
      <w:tabs>
        <w:tab w:val="right" w:pos="794"/>
      </w:tabs>
      <w:spacing w:before="120" w:line="260" w:lineRule="exact"/>
      <w:ind w:left="964" w:hanging="964"/>
      <w:jc w:val="both"/>
    </w:pPr>
    <w:rPr>
      <w:lang w:eastAsia="en-US"/>
    </w:rPr>
  </w:style>
  <w:style w:type="paragraph" w:customStyle="1" w:styleId="R2">
    <w:name w:val="R2"/>
    <w:aliases w:val="(2)"/>
    <w:basedOn w:val="Normal"/>
    <w:rsid w:val="0073506F"/>
    <w:pPr>
      <w:tabs>
        <w:tab w:val="right" w:pos="794"/>
      </w:tabs>
      <w:spacing w:before="180" w:line="260" w:lineRule="exact"/>
      <w:ind w:left="964" w:hanging="964"/>
      <w:jc w:val="both"/>
    </w:pPr>
    <w:rPr>
      <w:lang w:eastAsia="en-US"/>
    </w:rPr>
  </w:style>
  <w:style w:type="paragraph" w:customStyle="1" w:styleId="Schedulepara">
    <w:name w:val="Schedule para"/>
    <w:basedOn w:val="Normal"/>
    <w:rsid w:val="0073506F"/>
    <w:pPr>
      <w:tabs>
        <w:tab w:val="right" w:pos="567"/>
      </w:tabs>
      <w:spacing w:before="180" w:line="260" w:lineRule="exact"/>
      <w:ind w:left="964" w:hanging="964"/>
      <w:jc w:val="both"/>
    </w:pPr>
    <w:rPr>
      <w:lang w:eastAsia="en-US"/>
    </w:rPr>
  </w:style>
  <w:style w:type="paragraph" w:customStyle="1" w:styleId="Schedulereference">
    <w:name w:val="Schedule reference"/>
    <w:basedOn w:val="Normal"/>
    <w:next w:val="Normal"/>
    <w:rsid w:val="0073506F"/>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73506F"/>
    <w:pPr>
      <w:keepNext/>
      <w:keepLines/>
      <w:spacing w:before="480"/>
      <w:ind w:left="2410" w:hanging="2410"/>
    </w:pPr>
    <w:rPr>
      <w:rFonts w:ascii="Arial" w:hAnsi="Arial"/>
      <w:b/>
      <w:sz w:val="32"/>
      <w:lang w:eastAsia="en-US"/>
    </w:rPr>
  </w:style>
  <w:style w:type="paragraph" w:customStyle="1" w:styleId="TableColHead">
    <w:name w:val="TableColHead"/>
    <w:basedOn w:val="Normal"/>
    <w:rsid w:val="0073506F"/>
    <w:pPr>
      <w:keepNext/>
      <w:spacing w:before="120" w:after="60" w:line="200" w:lineRule="exact"/>
    </w:pPr>
    <w:rPr>
      <w:rFonts w:ascii="Arial" w:hAnsi="Arial"/>
      <w:b/>
      <w:sz w:val="18"/>
      <w:lang w:eastAsia="en-US"/>
    </w:rPr>
  </w:style>
  <w:style w:type="paragraph" w:customStyle="1" w:styleId="TOC">
    <w:name w:val="TOC"/>
    <w:basedOn w:val="Normal"/>
    <w:next w:val="Normal"/>
    <w:rsid w:val="0073506F"/>
    <w:pPr>
      <w:tabs>
        <w:tab w:val="right" w:pos="7088"/>
      </w:tabs>
      <w:spacing w:after="120"/>
    </w:pPr>
    <w:rPr>
      <w:rFonts w:ascii="Arial" w:hAnsi="Arial"/>
      <w:sz w:val="20"/>
      <w:lang w:eastAsia="en-US"/>
    </w:rPr>
  </w:style>
  <w:style w:type="paragraph" w:styleId="TOC2">
    <w:name w:val="toc 2"/>
    <w:basedOn w:val="Normal"/>
    <w:next w:val="Normal"/>
    <w:uiPriority w:val="39"/>
    <w:rsid w:val="0073506F"/>
    <w:pPr>
      <w:keepNext/>
      <w:tabs>
        <w:tab w:val="right" w:pos="8278"/>
      </w:tabs>
      <w:spacing w:before="240" w:after="120"/>
      <w:ind w:left="1843" w:right="714" w:hanging="1843"/>
    </w:pPr>
    <w:rPr>
      <w:rFonts w:ascii="Arial" w:hAnsi="Arial"/>
      <w:b/>
      <w:lang w:eastAsia="en-US"/>
    </w:rPr>
  </w:style>
  <w:style w:type="paragraph" w:styleId="TOC5">
    <w:name w:val="toc 5"/>
    <w:basedOn w:val="Normal"/>
    <w:next w:val="Normal"/>
    <w:uiPriority w:val="39"/>
    <w:rsid w:val="0073506F"/>
    <w:pPr>
      <w:tabs>
        <w:tab w:val="right" w:pos="1559"/>
        <w:tab w:val="right" w:pos="8278"/>
      </w:tabs>
      <w:spacing w:before="40"/>
      <w:ind w:left="1843" w:right="714" w:hanging="1843"/>
    </w:pPr>
    <w:rPr>
      <w:rFonts w:ascii="Arial" w:hAnsi="Arial"/>
      <w:noProof/>
      <w:sz w:val="20"/>
      <w:lang w:eastAsia="en-US"/>
    </w:rPr>
  </w:style>
  <w:style w:type="paragraph" w:styleId="TOC6">
    <w:name w:val="toc 6"/>
    <w:basedOn w:val="Normal"/>
    <w:next w:val="Normal"/>
    <w:uiPriority w:val="39"/>
    <w:rsid w:val="0073506F"/>
    <w:pPr>
      <w:keepNext/>
      <w:tabs>
        <w:tab w:val="right" w:pos="8278"/>
      </w:tabs>
      <w:spacing w:before="120"/>
      <w:ind w:left="1843" w:right="561" w:hanging="1843"/>
    </w:pPr>
    <w:rPr>
      <w:rFonts w:ascii="Arial" w:hAnsi="Arial"/>
      <w:b/>
      <w:sz w:val="20"/>
      <w:lang w:eastAsia="en-US"/>
    </w:rPr>
  </w:style>
  <w:style w:type="paragraph" w:styleId="TOC9">
    <w:name w:val="toc 9"/>
    <w:basedOn w:val="Normal"/>
    <w:next w:val="Normal"/>
    <w:uiPriority w:val="39"/>
    <w:rsid w:val="0073506F"/>
    <w:pPr>
      <w:tabs>
        <w:tab w:val="right" w:pos="8278"/>
      </w:tabs>
      <w:spacing w:before="240" w:after="120"/>
      <w:ind w:left="1843" w:hanging="1843"/>
    </w:pPr>
    <w:rPr>
      <w:rFonts w:ascii="Arial" w:hAnsi="Arial"/>
      <w:b/>
      <w:sz w:val="20"/>
      <w:lang w:eastAsia="en-US"/>
    </w:rPr>
  </w:style>
  <w:style w:type="paragraph" w:customStyle="1" w:styleId="ZP1">
    <w:name w:val="ZP1"/>
    <w:basedOn w:val="P1"/>
    <w:rsid w:val="0073506F"/>
    <w:pPr>
      <w:keepNext/>
    </w:pPr>
  </w:style>
  <w:style w:type="paragraph" w:customStyle="1" w:styleId="ZR1">
    <w:name w:val="ZR1"/>
    <w:basedOn w:val="R1"/>
    <w:rsid w:val="0073506F"/>
    <w:pPr>
      <w:keepNext/>
    </w:pPr>
  </w:style>
  <w:style w:type="paragraph" w:customStyle="1" w:styleId="ZR2">
    <w:name w:val="ZR2"/>
    <w:basedOn w:val="R2"/>
    <w:rsid w:val="0073506F"/>
    <w:pPr>
      <w:keepNext/>
    </w:pPr>
  </w:style>
  <w:style w:type="paragraph" w:customStyle="1" w:styleId="TableOfAmend">
    <w:name w:val="TableOfAmend"/>
    <w:basedOn w:val="Normal"/>
    <w:rsid w:val="0073506F"/>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3506F"/>
    <w:pPr>
      <w:spacing w:before="0"/>
    </w:pPr>
  </w:style>
  <w:style w:type="paragraph" w:customStyle="1" w:styleId="TableOfAmendHead">
    <w:name w:val="TableOfAmendHead"/>
    <w:basedOn w:val="TableOfAmend"/>
    <w:next w:val="Normal"/>
    <w:rsid w:val="0073506F"/>
    <w:pPr>
      <w:spacing w:after="60"/>
    </w:pPr>
    <w:rPr>
      <w:sz w:val="16"/>
    </w:rPr>
  </w:style>
  <w:style w:type="paragraph" w:customStyle="1" w:styleId="EndNotes">
    <w:name w:val="EndNotes"/>
    <w:basedOn w:val="Normal"/>
    <w:rsid w:val="0073506F"/>
    <w:pPr>
      <w:spacing w:before="120" w:line="260" w:lineRule="exact"/>
      <w:jc w:val="both"/>
    </w:pPr>
  </w:style>
  <w:style w:type="paragraph" w:customStyle="1" w:styleId="ENoteNo">
    <w:name w:val="ENoteNo"/>
    <w:basedOn w:val="EndNotes"/>
    <w:rsid w:val="0073506F"/>
    <w:pPr>
      <w:ind w:left="357" w:hanging="357"/>
    </w:pPr>
    <w:rPr>
      <w:rFonts w:ascii="Arial" w:hAnsi="Arial"/>
      <w:b/>
    </w:rPr>
  </w:style>
  <w:style w:type="paragraph" w:customStyle="1" w:styleId="CoverUpdate">
    <w:name w:val="CoverUpdate"/>
    <w:basedOn w:val="Normal"/>
    <w:rsid w:val="0073506F"/>
    <w:pPr>
      <w:spacing w:before="240"/>
    </w:pPr>
  </w:style>
  <w:style w:type="paragraph" w:customStyle="1" w:styleId="CoverAct">
    <w:name w:val="CoverAct"/>
    <w:basedOn w:val="Normal"/>
    <w:next w:val="CoverUpdate"/>
    <w:rsid w:val="0073506F"/>
    <w:pPr>
      <w:pBdr>
        <w:bottom w:val="single" w:sz="4" w:space="3" w:color="auto"/>
      </w:pBdr>
    </w:pPr>
    <w:rPr>
      <w:rFonts w:ascii="Arial" w:hAnsi="Arial"/>
      <w:i/>
      <w:sz w:val="28"/>
    </w:rPr>
  </w:style>
  <w:style w:type="paragraph" w:customStyle="1" w:styleId="CoverMade">
    <w:name w:val="CoverMade"/>
    <w:basedOn w:val="Normal"/>
    <w:rsid w:val="0073506F"/>
    <w:pPr>
      <w:spacing w:before="240" w:after="240"/>
    </w:pPr>
    <w:rPr>
      <w:rFonts w:ascii="Arial" w:hAnsi="Arial"/>
    </w:rPr>
  </w:style>
  <w:style w:type="paragraph" w:customStyle="1" w:styleId="CoverStatRule">
    <w:name w:val="CoverStatRule"/>
    <w:basedOn w:val="Normal"/>
    <w:next w:val="Normal"/>
    <w:rsid w:val="0073506F"/>
    <w:pPr>
      <w:spacing w:before="240"/>
    </w:pPr>
    <w:rPr>
      <w:rFonts w:ascii="Arial" w:hAnsi="Arial"/>
      <w:b/>
    </w:rPr>
  </w:style>
  <w:style w:type="paragraph" w:customStyle="1" w:styleId="PageBreak">
    <w:name w:val="PageBreak"/>
    <w:aliases w:val="pb"/>
    <w:basedOn w:val="Normal"/>
    <w:next w:val="Heading2"/>
    <w:rsid w:val="0073506F"/>
    <w:rPr>
      <w:sz w:val="16"/>
      <w:szCs w:val="20"/>
    </w:rPr>
  </w:style>
  <w:style w:type="paragraph" w:customStyle="1" w:styleId="TableENotesHeadingAmdt">
    <w:name w:val="TableENotesHeadingAmdt"/>
    <w:basedOn w:val="Normal"/>
    <w:rsid w:val="0073506F"/>
    <w:pPr>
      <w:pageBreakBefore/>
      <w:spacing w:before="240" w:after="240" w:line="300" w:lineRule="exact"/>
      <w:ind w:left="2410" w:hanging="2410"/>
    </w:pPr>
    <w:rPr>
      <w:rFonts w:ascii="Arial" w:hAnsi="Arial"/>
      <w:b/>
      <w:sz w:val="28"/>
    </w:rPr>
  </w:style>
  <w:style w:type="paragraph" w:customStyle="1" w:styleId="ZDefinition">
    <w:name w:val="ZDefinition"/>
    <w:basedOn w:val="definition"/>
    <w:rsid w:val="0073506F"/>
    <w:pPr>
      <w:keepNext/>
    </w:pPr>
  </w:style>
  <w:style w:type="paragraph" w:customStyle="1" w:styleId="FooterPageOdd">
    <w:name w:val="FooterPageOdd"/>
    <w:basedOn w:val="Footer"/>
    <w:rsid w:val="0073506F"/>
    <w:pPr>
      <w:tabs>
        <w:tab w:val="clear" w:pos="4153"/>
        <w:tab w:val="clear" w:pos="8306"/>
        <w:tab w:val="center" w:pos="3600"/>
        <w:tab w:val="right" w:pos="7201"/>
      </w:tabs>
      <w:jc w:val="right"/>
    </w:pPr>
    <w:rPr>
      <w:sz w:val="22"/>
      <w:szCs w:val="18"/>
      <w:lang w:eastAsia="en-US"/>
    </w:rPr>
  </w:style>
  <w:style w:type="paragraph" w:customStyle="1" w:styleId="FooterPageEven">
    <w:name w:val="FooterPageEven"/>
    <w:basedOn w:val="FooterPageOdd"/>
    <w:rsid w:val="0073506F"/>
    <w:pPr>
      <w:jc w:val="left"/>
    </w:pPr>
  </w:style>
  <w:style w:type="paragraph" w:customStyle="1" w:styleId="Footerinfo">
    <w:name w:val="Footerinfo"/>
    <w:basedOn w:val="Footer"/>
    <w:rsid w:val="0073506F"/>
    <w:pPr>
      <w:tabs>
        <w:tab w:val="clear" w:pos="4153"/>
        <w:tab w:val="clear" w:pos="8306"/>
        <w:tab w:val="center" w:pos="3600"/>
        <w:tab w:val="right" w:pos="7201"/>
      </w:tabs>
    </w:pPr>
    <w:rPr>
      <w:sz w:val="12"/>
      <w:szCs w:val="18"/>
      <w:lang w:eastAsia="en-US"/>
    </w:rPr>
  </w:style>
  <w:style w:type="paragraph" w:customStyle="1" w:styleId="TableOfStatRules">
    <w:name w:val="TableOfStatRules"/>
    <w:basedOn w:val="Normal"/>
    <w:rsid w:val="0073506F"/>
    <w:pPr>
      <w:spacing w:before="60" w:line="200" w:lineRule="exact"/>
    </w:pPr>
    <w:rPr>
      <w:rFonts w:ascii="Arial" w:hAnsi="Arial"/>
      <w:sz w:val="18"/>
    </w:rPr>
  </w:style>
  <w:style w:type="character" w:customStyle="1" w:styleId="Heading2Char">
    <w:name w:val="Heading 2 Char"/>
    <w:basedOn w:val="DefaultParagraphFont"/>
    <w:link w:val="Heading2"/>
    <w:uiPriority w:val="9"/>
    <w:semiHidden/>
    <w:rsid w:val="0073506F"/>
    <w:rPr>
      <w:rFonts w:asciiTheme="majorHAnsi" w:eastAsiaTheme="majorEastAsia" w:hAnsiTheme="majorHAnsi" w:cstheme="majorBidi"/>
      <w:b/>
      <w:bCs/>
      <w:color w:val="4F81BD" w:themeColor="accent1"/>
      <w:sz w:val="26"/>
      <w:szCs w:val="26"/>
      <w:lang w:eastAsia="en-AU"/>
    </w:rPr>
  </w:style>
  <w:style w:type="character" w:styleId="CommentReference">
    <w:name w:val="annotation reference"/>
    <w:basedOn w:val="DefaultParagraphFont"/>
    <w:uiPriority w:val="99"/>
    <w:semiHidden/>
    <w:unhideWhenUsed/>
    <w:rsid w:val="0034517D"/>
    <w:rPr>
      <w:sz w:val="16"/>
      <w:szCs w:val="16"/>
    </w:rPr>
  </w:style>
  <w:style w:type="paragraph" w:styleId="CommentText">
    <w:name w:val="annotation text"/>
    <w:basedOn w:val="Normal"/>
    <w:link w:val="CommentTextChar"/>
    <w:uiPriority w:val="99"/>
    <w:semiHidden/>
    <w:unhideWhenUsed/>
    <w:rsid w:val="0034517D"/>
    <w:rPr>
      <w:sz w:val="20"/>
      <w:szCs w:val="20"/>
    </w:rPr>
  </w:style>
  <w:style w:type="character" w:customStyle="1" w:styleId="CommentTextChar">
    <w:name w:val="Comment Text Char"/>
    <w:basedOn w:val="DefaultParagraphFont"/>
    <w:link w:val="CommentText"/>
    <w:uiPriority w:val="99"/>
    <w:semiHidden/>
    <w:rsid w:val="0034517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4517D"/>
    <w:rPr>
      <w:b/>
      <w:bCs/>
    </w:rPr>
  </w:style>
  <w:style w:type="character" w:customStyle="1" w:styleId="CommentSubjectChar">
    <w:name w:val="Comment Subject Char"/>
    <w:basedOn w:val="CommentTextChar"/>
    <w:link w:val="CommentSubject"/>
    <w:uiPriority w:val="99"/>
    <w:semiHidden/>
    <w:rsid w:val="0034517D"/>
    <w:rPr>
      <w:b/>
      <w:bCs/>
    </w:rPr>
  </w:style>
  <w:style w:type="paragraph" w:styleId="Revision">
    <w:name w:val="Revision"/>
    <w:hidden/>
    <w:uiPriority w:val="99"/>
    <w:semiHidden/>
    <w:rsid w:val="0034517D"/>
    <w:pPr>
      <w:spacing w:after="0"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34517D"/>
    <w:rPr>
      <w:rFonts w:ascii="Tahoma" w:hAnsi="Tahoma" w:cs="Tahoma"/>
      <w:sz w:val="16"/>
      <w:szCs w:val="16"/>
    </w:rPr>
  </w:style>
  <w:style w:type="character" w:customStyle="1" w:styleId="BalloonTextChar">
    <w:name w:val="Balloon Text Char"/>
    <w:basedOn w:val="DefaultParagraphFont"/>
    <w:link w:val="BalloonText"/>
    <w:uiPriority w:val="99"/>
    <w:semiHidden/>
    <w:rsid w:val="0034517D"/>
    <w:rPr>
      <w:rFonts w:ascii="Tahoma" w:eastAsia="Times New Roman" w:hAnsi="Tahoma" w:cs="Tahoma"/>
      <w:sz w:val="16"/>
      <w:szCs w:val="16"/>
      <w:lang w:eastAsia="en-AU"/>
    </w:rPr>
  </w:style>
  <w:style w:type="paragraph" w:customStyle="1" w:styleId="acthead5">
    <w:name w:val="acthead5"/>
    <w:basedOn w:val="Normal"/>
    <w:rsid w:val="0034517D"/>
    <w:pPr>
      <w:spacing w:before="100" w:beforeAutospacing="1" w:after="100" w:afterAutospacing="1"/>
    </w:pPr>
  </w:style>
  <w:style w:type="character" w:customStyle="1" w:styleId="charsectno0">
    <w:name w:val="charsectno"/>
    <w:basedOn w:val="DefaultParagraphFont"/>
    <w:rsid w:val="0034517D"/>
  </w:style>
  <w:style w:type="paragraph" w:customStyle="1" w:styleId="subsection">
    <w:name w:val="subsection"/>
    <w:basedOn w:val="Normal"/>
    <w:rsid w:val="0034517D"/>
    <w:pPr>
      <w:spacing w:before="100" w:beforeAutospacing="1" w:after="100" w:afterAutospacing="1"/>
    </w:pPr>
  </w:style>
  <w:style w:type="paragraph" w:customStyle="1" w:styleId="notetext">
    <w:name w:val="notetext"/>
    <w:basedOn w:val="Normal"/>
    <w:rsid w:val="0034517D"/>
    <w:pPr>
      <w:spacing w:before="100" w:beforeAutospacing="1" w:after="100" w:afterAutospacing="1"/>
    </w:pPr>
  </w:style>
  <w:style w:type="paragraph" w:customStyle="1" w:styleId="paragraph">
    <w:name w:val="paragraph"/>
    <w:basedOn w:val="Normal"/>
    <w:rsid w:val="0034517D"/>
    <w:pPr>
      <w:spacing w:before="100" w:beforeAutospacing="1" w:after="100" w:afterAutospacing="1"/>
    </w:pPr>
  </w:style>
  <w:style w:type="paragraph" w:styleId="ListBullet">
    <w:name w:val="List Bullet"/>
    <w:basedOn w:val="Normal"/>
    <w:rsid w:val="001E355C"/>
    <w:pPr>
      <w:numPr>
        <w:numId w:val="1"/>
      </w:numPr>
      <w:spacing w:after="80" w:line="240" w:lineRule="atLeast"/>
    </w:pPr>
    <w:rPr>
      <w:rFonts w:ascii="HelveticaNeueLT Std Lt" w:hAnsi="HelveticaNeueLT Std Lt"/>
      <w:sz w:val="20"/>
    </w:rPr>
  </w:style>
  <w:style w:type="paragraph" w:styleId="ListBullet2">
    <w:name w:val="List Bullet 2"/>
    <w:basedOn w:val="Normal"/>
    <w:rsid w:val="001E355C"/>
    <w:pPr>
      <w:numPr>
        <w:numId w:val="2"/>
      </w:numPr>
      <w:spacing w:after="80" w:line="240" w:lineRule="atLeast"/>
    </w:pPr>
    <w:rPr>
      <w:rFonts w:ascii="HelveticaNeueLT Std Lt" w:hAnsi="HelveticaNeueLT Std Lt"/>
      <w:sz w:val="20"/>
    </w:rPr>
  </w:style>
  <w:style w:type="character" w:styleId="Hyperlink">
    <w:name w:val="Hyperlink"/>
    <w:basedOn w:val="DefaultParagraphFont"/>
    <w:uiPriority w:val="99"/>
    <w:rsid w:val="003B48CA"/>
    <w:rPr>
      <w:color w:val="0000FF"/>
      <w:u w:val="single"/>
    </w:rPr>
  </w:style>
  <w:style w:type="paragraph" w:customStyle="1" w:styleId="FooterDraft">
    <w:name w:val="FooterDraft"/>
    <w:basedOn w:val="Normal"/>
    <w:rsid w:val="00505EC1"/>
    <w:pPr>
      <w:jc w:val="center"/>
    </w:pPr>
    <w:rPr>
      <w:rFonts w:ascii="Arial" w:hAnsi="Arial"/>
      <w:b/>
      <w:sz w:val="40"/>
    </w:rPr>
  </w:style>
  <w:style w:type="paragraph" w:customStyle="1" w:styleId="FooterInfo0">
    <w:name w:val="FooterInfo"/>
    <w:basedOn w:val="Normal"/>
    <w:rsid w:val="00505EC1"/>
    <w:rPr>
      <w:rFonts w:ascii="Arial" w:hAnsi="Arial"/>
      <w:sz w:val="12"/>
    </w:rPr>
  </w:style>
  <w:style w:type="character" w:styleId="PageNumber">
    <w:name w:val="page number"/>
    <w:basedOn w:val="DefaultParagraphFont"/>
    <w:rsid w:val="00505EC1"/>
    <w:rPr>
      <w:rFonts w:ascii="Arial" w:hAnsi="Arial"/>
      <w:sz w:val="22"/>
    </w:rPr>
  </w:style>
  <w:style w:type="paragraph" w:styleId="ListParagraph">
    <w:name w:val="List Paragraph"/>
    <w:basedOn w:val="Normal"/>
    <w:uiPriority w:val="34"/>
    <w:qFormat/>
    <w:rsid w:val="00FB4F1E"/>
    <w:pPr>
      <w:ind w:left="720"/>
      <w:contextualSpacing/>
    </w:pPr>
  </w:style>
  <w:style w:type="table" w:styleId="TableGrid">
    <w:name w:val="Table Grid"/>
    <w:basedOn w:val="TableNormal"/>
    <w:uiPriority w:val="59"/>
    <w:rsid w:val="009E11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E112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E1124"/>
    <w:rPr>
      <w:sz w:val="20"/>
      <w:szCs w:val="20"/>
    </w:rPr>
  </w:style>
  <w:style w:type="character" w:styleId="FootnoteReference">
    <w:name w:val="footnote reference"/>
    <w:basedOn w:val="DefaultParagraphFont"/>
    <w:uiPriority w:val="99"/>
    <w:semiHidden/>
    <w:unhideWhenUsed/>
    <w:rsid w:val="009E1124"/>
    <w:rPr>
      <w:vertAlign w:val="superscript"/>
    </w:rPr>
  </w:style>
</w:styles>
</file>

<file path=word/webSettings.xml><?xml version="1.0" encoding="utf-8"?>
<w:webSettings xmlns:r="http://schemas.openxmlformats.org/officeDocument/2006/relationships" xmlns:w="http://schemas.openxmlformats.org/wordprocessingml/2006/main">
  <w:divs>
    <w:div w:id="88084163">
      <w:bodyDiv w:val="1"/>
      <w:marLeft w:val="0"/>
      <w:marRight w:val="0"/>
      <w:marTop w:val="0"/>
      <w:marBottom w:val="0"/>
      <w:divBdr>
        <w:top w:val="none" w:sz="0" w:space="0" w:color="auto"/>
        <w:left w:val="none" w:sz="0" w:space="0" w:color="auto"/>
        <w:bottom w:val="none" w:sz="0" w:space="0" w:color="auto"/>
        <w:right w:val="none" w:sz="0" w:space="0" w:color="auto"/>
      </w:divBdr>
    </w:div>
    <w:div w:id="341468004">
      <w:bodyDiv w:val="1"/>
      <w:marLeft w:val="0"/>
      <w:marRight w:val="0"/>
      <w:marTop w:val="0"/>
      <w:marBottom w:val="0"/>
      <w:divBdr>
        <w:top w:val="none" w:sz="0" w:space="0" w:color="auto"/>
        <w:left w:val="none" w:sz="0" w:space="0" w:color="auto"/>
        <w:bottom w:val="none" w:sz="0" w:space="0" w:color="auto"/>
        <w:right w:val="none" w:sz="0" w:space="0" w:color="auto"/>
      </w:divBdr>
      <w:divsChild>
        <w:div w:id="1615476664">
          <w:marLeft w:val="0"/>
          <w:marRight w:val="0"/>
          <w:marTop w:val="0"/>
          <w:marBottom w:val="0"/>
          <w:divBdr>
            <w:top w:val="none" w:sz="0" w:space="0" w:color="auto"/>
            <w:left w:val="none" w:sz="0" w:space="0" w:color="auto"/>
            <w:bottom w:val="none" w:sz="0" w:space="0" w:color="auto"/>
            <w:right w:val="none" w:sz="0" w:space="0" w:color="auto"/>
          </w:divBdr>
          <w:divsChild>
            <w:div w:id="1103889140">
              <w:marLeft w:val="0"/>
              <w:marRight w:val="0"/>
              <w:marTop w:val="0"/>
              <w:marBottom w:val="0"/>
              <w:divBdr>
                <w:top w:val="none" w:sz="0" w:space="0" w:color="auto"/>
                <w:left w:val="none" w:sz="0" w:space="0" w:color="auto"/>
                <w:bottom w:val="none" w:sz="0" w:space="0" w:color="auto"/>
                <w:right w:val="none" w:sz="0" w:space="0" w:color="auto"/>
              </w:divBdr>
              <w:divsChild>
                <w:div w:id="244344681">
                  <w:marLeft w:val="0"/>
                  <w:marRight w:val="0"/>
                  <w:marTop w:val="0"/>
                  <w:marBottom w:val="0"/>
                  <w:divBdr>
                    <w:top w:val="none" w:sz="0" w:space="0" w:color="auto"/>
                    <w:left w:val="none" w:sz="0" w:space="0" w:color="auto"/>
                    <w:bottom w:val="none" w:sz="0" w:space="0" w:color="auto"/>
                    <w:right w:val="none" w:sz="0" w:space="0" w:color="auto"/>
                  </w:divBdr>
                  <w:divsChild>
                    <w:div w:id="803816113">
                      <w:marLeft w:val="0"/>
                      <w:marRight w:val="0"/>
                      <w:marTop w:val="0"/>
                      <w:marBottom w:val="0"/>
                      <w:divBdr>
                        <w:top w:val="none" w:sz="0" w:space="0" w:color="auto"/>
                        <w:left w:val="none" w:sz="0" w:space="0" w:color="auto"/>
                        <w:bottom w:val="none" w:sz="0" w:space="0" w:color="auto"/>
                        <w:right w:val="none" w:sz="0" w:space="0" w:color="auto"/>
                      </w:divBdr>
                      <w:divsChild>
                        <w:div w:id="425466720">
                          <w:marLeft w:val="0"/>
                          <w:marRight w:val="0"/>
                          <w:marTop w:val="0"/>
                          <w:marBottom w:val="0"/>
                          <w:divBdr>
                            <w:top w:val="single" w:sz="4" w:space="0" w:color="828282"/>
                            <w:left w:val="single" w:sz="4" w:space="0" w:color="828282"/>
                            <w:bottom w:val="single" w:sz="4" w:space="0" w:color="828282"/>
                            <w:right w:val="single" w:sz="4" w:space="0" w:color="828282"/>
                          </w:divBdr>
                          <w:divsChild>
                            <w:div w:id="730661525">
                              <w:marLeft w:val="0"/>
                              <w:marRight w:val="0"/>
                              <w:marTop w:val="0"/>
                              <w:marBottom w:val="0"/>
                              <w:divBdr>
                                <w:top w:val="none" w:sz="0" w:space="0" w:color="auto"/>
                                <w:left w:val="none" w:sz="0" w:space="0" w:color="auto"/>
                                <w:bottom w:val="none" w:sz="0" w:space="0" w:color="auto"/>
                                <w:right w:val="none" w:sz="0" w:space="0" w:color="auto"/>
                              </w:divBdr>
                              <w:divsChild>
                                <w:div w:id="1024401852">
                                  <w:marLeft w:val="0"/>
                                  <w:marRight w:val="0"/>
                                  <w:marTop w:val="0"/>
                                  <w:marBottom w:val="0"/>
                                  <w:divBdr>
                                    <w:top w:val="none" w:sz="0" w:space="0" w:color="auto"/>
                                    <w:left w:val="none" w:sz="0" w:space="0" w:color="auto"/>
                                    <w:bottom w:val="none" w:sz="0" w:space="0" w:color="auto"/>
                                    <w:right w:val="none" w:sz="0" w:space="0" w:color="auto"/>
                                  </w:divBdr>
                                  <w:divsChild>
                                    <w:div w:id="690452830">
                                      <w:marLeft w:val="0"/>
                                      <w:marRight w:val="0"/>
                                      <w:marTop w:val="0"/>
                                      <w:marBottom w:val="0"/>
                                      <w:divBdr>
                                        <w:top w:val="none" w:sz="0" w:space="0" w:color="auto"/>
                                        <w:left w:val="none" w:sz="0" w:space="0" w:color="auto"/>
                                        <w:bottom w:val="none" w:sz="0" w:space="0" w:color="auto"/>
                                        <w:right w:val="none" w:sz="0" w:space="0" w:color="auto"/>
                                      </w:divBdr>
                                      <w:divsChild>
                                        <w:div w:id="125661370">
                                          <w:marLeft w:val="0"/>
                                          <w:marRight w:val="0"/>
                                          <w:marTop w:val="0"/>
                                          <w:marBottom w:val="0"/>
                                          <w:divBdr>
                                            <w:top w:val="none" w:sz="0" w:space="0" w:color="auto"/>
                                            <w:left w:val="none" w:sz="0" w:space="0" w:color="auto"/>
                                            <w:bottom w:val="none" w:sz="0" w:space="0" w:color="auto"/>
                                            <w:right w:val="none" w:sz="0" w:space="0" w:color="auto"/>
                                          </w:divBdr>
                                          <w:divsChild>
                                            <w:div w:id="569853006">
                                              <w:marLeft w:val="0"/>
                                              <w:marRight w:val="0"/>
                                              <w:marTop w:val="0"/>
                                              <w:marBottom w:val="0"/>
                                              <w:divBdr>
                                                <w:top w:val="none" w:sz="0" w:space="0" w:color="auto"/>
                                                <w:left w:val="none" w:sz="0" w:space="0" w:color="auto"/>
                                                <w:bottom w:val="none" w:sz="0" w:space="0" w:color="auto"/>
                                                <w:right w:val="none" w:sz="0" w:space="0" w:color="auto"/>
                                              </w:divBdr>
                                              <w:divsChild>
                                                <w:div w:id="19084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624920">
      <w:bodyDiv w:val="1"/>
      <w:marLeft w:val="0"/>
      <w:marRight w:val="0"/>
      <w:marTop w:val="0"/>
      <w:marBottom w:val="0"/>
      <w:divBdr>
        <w:top w:val="none" w:sz="0" w:space="0" w:color="auto"/>
        <w:left w:val="none" w:sz="0" w:space="0" w:color="auto"/>
        <w:bottom w:val="none" w:sz="0" w:space="0" w:color="auto"/>
        <w:right w:val="none" w:sz="0" w:space="0" w:color="auto"/>
      </w:divBdr>
      <w:divsChild>
        <w:div w:id="405685684">
          <w:marLeft w:val="0"/>
          <w:marRight w:val="0"/>
          <w:marTop w:val="0"/>
          <w:marBottom w:val="0"/>
          <w:divBdr>
            <w:top w:val="none" w:sz="0" w:space="0" w:color="auto"/>
            <w:left w:val="none" w:sz="0" w:space="0" w:color="auto"/>
            <w:bottom w:val="none" w:sz="0" w:space="0" w:color="auto"/>
            <w:right w:val="none" w:sz="0" w:space="0" w:color="auto"/>
          </w:divBdr>
          <w:divsChild>
            <w:div w:id="613363209">
              <w:marLeft w:val="0"/>
              <w:marRight w:val="0"/>
              <w:marTop w:val="0"/>
              <w:marBottom w:val="0"/>
              <w:divBdr>
                <w:top w:val="none" w:sz="0" w:space="0" w:color="auto"/>
                <w:left w:val="none" w:sz="0" w:space="0" w:color="auto"/>
                <w:bottom w:val="none" w:sz="0" w:space="0" w:color="auto"/>
                <w:right w:val="none" w:sz="0" w:space="0" w:color="auto"/>
              </w:divBdr>
              <w:divsChild>
                <w:div w:id="1327856956">
                  <w:marLeft w:val="0"/>
                  <w:marRight w:val="0"/>
                  <w:marTop w:val="0"/>
                  <w:marBottom w:val="0"/>
                  <w:divBdr>
                    <w:top w:val="none" w:sz="0" w:space="0" w:color="auto"/>
                    <w:left w:val="none" w:sz="0" w:space="0" w:color="auto"/>
                    <w:bottom w:val="none" w:sz="0" w:space="0" w:color="auto"/>
                    <w:right w:val="none" w:sz="0" w:space="0" w:color="auto"/>
                  </w:divBdr>
                  <w:divsChild>
                    <w:div w:id="1327974203">
                      <w:marLeft w:val="0"/>
                      <w:marRight w:val="0"/>
                      <w:marTop w:val="0"/>
                      <w:marBottom w:val="0"/>
                      <w:divBdr>
                        <w:top w:val="none" w:sz="0" w:space="0" w:color="auto"/>
                        <w:left w:val="none" w:sz="0" w:space="0" w:color="auto"/>
                        <w:bottom w:val="none" w:sz="0" w:space="0" w:color="auto"/>
                        <w:right w:val="none" w:sz="0" w:space="0" w:color="auto"/>
                      </w:divBdr>
                      <w:divsChild>
                        <w:div w:id="461265605">
                          <w:marLeft w:val="0"/>
                          <w:marRight w:val="0"/>
                          <w:marTop w:val="0"/>
                          <w:marBottom w:val="0"/>
                          <w:divBdr>
                            <w:top w:val="single" w:sz="4" w:space="0" w:color="828282"/>
                            <w:left w:val="single" w:sz="4" w:space="0" w:color="828282"/>
                            <w:bottom w:val="single" w:sz="4" w:space="0" w:color="828282"/>
                            <w:right w:val="single" w:sz="4" w:space="0" w:color="828282"/>
                          </w:divBdr>
                          <w:divsChild>
                            <w:div w:id="1626883224">
                              <w:marLeft w:val="0"/>
                              <w:marRight w:val="0"/>
                              <w:marTop w:val="0"/>
                              <w:marBottom w:val="0"/>
                              <w:divBdr>
                                <w:top w:val="none" w:sz="0" w:space="0" w:color="auto"/>
                                <w:left w:val="none" w:sz="0" w:space="0" w:color="auto"/>
                                <w:bottom w:val="none" w:sz="0" w:space="0" w:color="auto"/>
                                <w:right w:val="none" w:sz="0" w:space="0" w:color="auto"/>
                              </w:divBdr>
                              <w:divsChild>
                                <w:div w:id="623195923">
                                  <w:marLeft w:val="0"/>
                                  <w:marRight w:val="0"/>
                                  <w:marTop w:val="0"/>
                                  <w:marBottom w:val="0"/>
                                  <w:divBdr>
                                    <w:top w:val="none" w:sz="0" w:space="0" w:color="auto"/>
                                    <w:left w:val="none" w:sz="0" w:space="0" w:color="auto"/>
                                    <w:bottom w:val="none" w:sz="0" w:space="0" w:color="auto"/>
                                    <w:right w:val="none" w:sz="0" w:space="0" w:color="auto"/>
                                  </w:divBdr>
                                  <w:divsChild>
                                    <w:div w:id="1190727792">
                                      <w:marLeft w:val="0"/>
                                      <w:marRight w:val="0"/>
                                      <w:marTop w:val="0"/>
                                      <w:marBottom w:val="0"/>
                                      <w:divBdr>
                                        <w:top w:val="none" w:sz="0" w:space="0" w:color="auto"/>
                                        <w:left w:val="none" w:sz="0" w:space="0" w:color="auto"/>
                                        <w:bottom w:val="none" w:sz="0" w:space="0" w:color="auto"/>
                                        <w:right w:val="none" w:sz="0" w:space="0" w:color="auto"/>
                                      </w:divBdr>
                                      <w:divsChild>
                                        <w:div w:id="356545542">
                                          <w:marLeft w:val="0"/>
                                          <w:marRight w:val="0"/>
                                          <w:marTop w:val="0"/>
                                          <w:marBottom w:val="0"/>
                                          <w:divBdr>
                                            <w:top w:val="none" w:sz="0" w:space="0" w:color="auto"/>
                                            <w:left w:val="none" w:sz="0" w:space="0" w:color="auto"/>
                                            <w:bottom w:val="none" w:sz="0" w:space="0" w:color="auto"/>
                                            <w:right w:val="none" w:sz="0" w:space="0" w:color="auto"/>
                                          </w:divBdr>
                                          <w:divsChild>
                                            <w:div w:id="119346902">
                                              <w:marLeft w:val="0"/>
                                              <w:marRight w:val="0"/>
                                              <w:marTop w:val="0"/>
                                              <w:marBottom w:val="0"/>
                                              <w:divBdr>
                                                <w:top w:val="none" w:sz="0" w:space="0" w:color="auto"/>
                                                <w:left w:val="none" w:sz="0" w:space="0" w:color="auto"/>
                                                <w:bottom w:val="none" w:sz="0" w:space="0" w:color="auto"/>
                                                <w:right w:val="none" w:sz="0" w:space="0" w:color="auto"/>
                                              </w:divBdr>
                                              <w:divsChild>
                                                <w:div w:id="2916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565237">
      <w:bodyDiv w:val="1"/>
      <w:marLeft w:val="0"/>
      <w:marRight w:val="0"/>
      <w:marTop w:val="0"/>
      <w:marBottom w:val="0"/>
      <w:divBdr>
        <w:top w:val="none" w:sz="0" w:space="0" w:color="auto"/>
        <w:left w:val="none" w:sz="0" w:space="0" w:color="auto"/>
        <w:bottom w:val="none" w:sz="0" w:space="0" w:color="auto"/>
        <w:right w:val="none" w:sz="0" w:space="0" w:color="auto"/>
      </w:divBdr>
      <w:divsChild>
        <w:div w:id="110513827">
          <w:marLeft w:val="0"/>
          <w:marRight w:val="0"/>
          <w:marTop w:val="0"/>
          <w:marBottom w:val="0"/>
          <w:divBdr>
            <w:top w:val="none" w:sz="0" w:space="0" w:color="auto"/>
            <w:left w:val="none" w:sz="0" w:space="0" w:color="auto"/>
            <w:bottom w:val="none" w:sz="0" w:space="0" w:color="auto"/>
            <w:right w:val="none" w:sz="0" w:space="0" w:color="auto"/>
          </w:divBdr>
          <w:divsChild>
            <w:div w:id="744569647">
              <w:marLeft w:val="0"/>
              <w:marRight w:val="0"/>
              <w:marTop w:val="0"/>
              <w:marBottom w:val="0"/>
              <w:divBdr>
                <w:top w:val="none" w:sz="0" w:space="0" w:color="auto"/>
                <w:left w:val="none" w:sz="0" w:space="0" w:color="auto"/>
                <w:bottom w:val="none" w:sz="0" w:space="0" w:color="auto"/>
                <w:right w:val="none" w:sz="0" w:space="0" w:color="auto"/>
              </w:divBdr>
              <w:divsChild>
                <w:div w:id="1092625945">
                  <w:marLeft w:val="0"/>
                  <w:marRight w:val="0"/>
                  <w:marTop w:val="0"/>
                  <w:marBottom w:val="0"/>
                  <w:divBdr>
                    <w:top w:val="none" w:sz="0" w:space="0" w:color="auto"/>
                    <w:left w:val="none" w:sz="0" w:space="0" w:color="auto"/>
                    <w:bottom w:val="none" w:sz="0" w:space="0" w:color="auto"/>
                    <w:right w:val="none" w:sz="0" w:space="0" w:color="auto"/>
                  </w:divBdr>
                  <w:divsChild>
                    <w:div w:id="1543440199">
                      <w:marLeft w:val="0"/>
                      <w:marRight w:val="0"/>
                      <w:marTop w:val="0"/>
                      <w:marBottom w:val="0"/>
                      <w:divBdr>
                        <w:top w:val="none" w:sz="0" w:space="0" w:color="auto"/>
                        <w:left w:val="none" w:sz="0" w:space="0" w:color="auto"/>
                        <w:bottom w:val="none" w:sz="0" w:space="0" w:color="auto"/>
                        <w:right w:val="none" w:sz="0" w:space="0" w:color="auto"/>
                      </w:divBdr>
                      <w:divsChild>
                        <w:div w:id="319846704">
                          <w:marLeft w:val="0"/>
                          <w:marRight w:val="0"/>
                          <w:marTop w:val="0"/>
                          <w:marBottom w:val="0"/>
                          <w:divBdr>
                            <w:top w:val="single" w:sz="4" w:space="0" w:color="828282"/>
                            <w:left w:val="single" w:sz="4" w:space="0" w:color="828282"/>
                            <w:bottom w:val="single" w:sz="4" w:space="0" w:color="828282"/>
                            <w:right w:val="single" w:sz="4" w:space="0" w:color="828282"/>
                          </w:divBdr>
                          <w:divsChild>
                            <w:div w:id="130024379">
                              <w:marLeft w:val="0"/>
                              <w:marRight w:val="0"/>
                              <w:marTop w:val="0"/>
                              <w:marBottom w:val="0"/>
                              <w:divBdr>
                                <w:top w:val="none" w:sz="0" w:space="0" w:color="auto"/>
                                <w:left w:val="none" w:sz="0" w:space="0" w:color="auto"/>
                                <w:bottom w:val="none" w:sz="0" w:space="0" w:color="auto"/>
                                <w:right w:val="none" w:sz="0" w:space="0" w:color="auto"/>
                              </w:divBdr>
                              <w:divsChild>
                                <w:div w:id="1902786250">
                                  <w:marLeft w:val="0"/>
                                  <w:marRight w:val="0"/>
                                  <w:marTop w:val="0"/>
                                  <w:marBottom w:val="0"/>
                                  <w:divBdr>
                                    <w:top w:val="none" w:sz="0" w:space="0" w:color="auto"/>
                                    <w:left w:val="none" w:sz="0" w:space="0" w:color="auto"/>
                                    <w:bottom w:val="none" w:sz="0" w:space="0" w:color="auto"/>
                                    <w:right w:val="none" w:sz="0" w:space="0" w:color="auto"/>
                                  </w:divBdr>
                                  <w:divsChild>
                                    <w:div w:id="289674408">
                                      <w:marLeft w:val="0"/>
                                      <w:marRight w:val="0"/>
                                      <w:marTop w:val="0"/>
                                      <w:marBottom w:val="0"/>
                                      <w:divBdr>
                                        <w:top w:val="none" w:sz="0" w:space="0" w:color="auto"/>
                                        <w:left w:val="none" w:sz="0" w:space="0" w:color="auto"/>
                                        <w:bottom w:val="none" w:sz="0" w:space="0" w:color="auto"/>
                                        <w:right w:val="none" w:sz="0" w:space="0" w:color="auto"/>
                                      </w:divBdr>
                                      <w:divsChild>
                                        <w:div w:id="330449828">
                                          <w:marLeft w:val="0"/>
                                          <w:marRight w:val="0"/>
                                          <w:marTop w:val="0"/>
                                          <w:marBottom w:val="0"/>
                                          <w:divBdr>
                                            <w:top w:val="none" w:sz="0" w:space="0" w:color="auto"/>
                                            <w:left w:val="none" w:sz="0" w:space="0" w:color="auto"/>
                                            <w:bottom w:val="none" w:sz="0" w:space="0" w:color="auto"/>
                                            <w:right w:val="none" w:sz="0" w:space="0" w:color="auto"/>
                                          </w:divBdr>
                                          <w:divsChild>
                                            <w:div w:id="230359234">
                                              <w:marLeft w:val="0"/>
                                              <w:marRight w:val="0"/>
                                              <w:marTop w:val="0"/>
                                              <w:marBottom w:val="0"/>
                                              <w:divBdr>
                                                <w:top w:val="none" w:sz="0" w:space="0" w:color="auto"/>
                                                <w:left w:val="none" w:sz="0" w:space="0" w:color="auto"/>
                                                <w:bottom w:val="none" w:sz="0" w:space="0" w:color="auto"/>
                                                <w:right w:val="none" w:sz="0" w:space="0" w:color="auto"/>
                                              </w:divBdr>
                                              <w:divsChild>
                                                <w:div w:id="4458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8571">
      <w:bodyDiv w:val="1"/>
      <w:marLeft w:val="0"/>
      <w:marRight w:val="0"/>
      <w:marTop w:val="0"/>
      <w:marBottom w:val="0"/>
      <w:divBdr>
        <w:top w:val="none" w:sz="0" w:space="0" w:color="auto"/>
        <w:left w:val="none" w:sz="0" w:space="0" w:color="auto"/>
        <w:bottom w:val="none" w:sz="0" w:space="0" w:color="auto"/>
        <w:right w:val="none" w:sz="0" w:space="0" w:color="auto"/>
      </w:divBdr>
      <w:divsChild>
        <w:div w:id="1217202883">
          <w:marLeft w:val="0"/>
          <w:marRight w:val="0"/>
          <w:marTop w:val="0"/>
          <w:marBottom w:val="0"/>
          <w:divBdr>
            <w:top w:val="none" w:sz="0" w:space="0" w:color="auto"/>
            <w:left w:val="none" w:sz="0" w:space="0" w:color="auto"/>
            <w:bottom w:val="none" w:sz="0" w:space="0" w:color="auto"/>
            <w:right w:val="none" w:sz="0" w:space="0" w:color="auto"/>
          </w:divBdr>
          <w:divsChild>
            <w:div w:id="545877348">
              <w:marLeft w:val="0"/>
              <w:marRight w:val="0"/>
              <w:marTop w:val="0"/>
              <w:marBottom w:val="0"/>
              <w:divBdr>
                <w:top w:val="none" w:sz="0" w:space="0" w:color="auto"/>
                <w:left w:val="none" w:sz="0" w:space="0" w:color="auto"/>
                <w:bottom w:val="none" w:sz="0" w:space="0" w:color="auto"/>
                <w:right w:val="none" w:sz="0" w:space="0" w:color="auto"/>
              </w:divBdr>
              <w:divsChild>
                <w:div w:id="238173983">
                  <w:marLeft w:val="0"/>
                  <w:marRight w:val="0"/>
                  <w:marTop w:val="0"/>
                  <w:marBottom w:val="0"/>
                  <w:divBdr>
                    <w:top w:val="none" w:sz="0" w:space="0" w:color="auto"/>
                    <w:left w:val="none" w:sz="0" w:space="0" w:color="auto"/>
                    <w:bottom w:val="none" w:sz="0" w:space="0" w:color="auto"/>
                    <w:right w:val="none" w:sz="0" w:space="0" w:color="auto"/>
                  </w:divBdr>
                  <w:divsChild>
                    <w:div w:id="1961303689">
                      <w:marLeft w:val="0"/>
                      <w:marRight w:val="0"/>
                      <w:marTop w:val="0"/>
                      <w:marBottom w:val="0"/>
                      <w:divBdr>
                        <w:top w:val="none" w:sz="0" w:space="0" w:color="auto"/>
                        <w:left w:val="none" w:sz="0" w:space="0" w:color="auto"/>
                        <w:bottom w:val="none" w:sz="0" w:space="0" w:color="auto"/>
                        <w:right w:val="none" w:sz="0" w:space="0" w:color="auto"/>
                      </w:divBdr>
                      <w:divsChild>
                        <w:div w:id="691955752">
                          <w:marLeft w:val="0"/>
                          <w:marRight w:val="0"/>
                          <w:marTop w:val="0"/>
                          <w:marBottom w:val="0"/>
                          <w:divBdr>
                            <w:top w:val="single" w:sz="6" w:space="0" w:color="828282"/>
                            <w:left w:val="single" w:sz="6" w:space="0" w:color="828282"/>
                            <w:bottom w:val="single" w:sz="6" w:space="0" w:color="828282"/>
                            <w:right w:val="single" w:sz="6" w:space="0" w:color="828282"/>
                          </w:divBdr>
                          <w:divsChild>
                            <w:div w:id="1166868501">
                              <w:marLeft w:val="0"/>
                              <w:marRight w:val="0"/>
                              <w:marTop w:val="0"/>
                              <w:marBottom w:val="0"/>
                              <w:divBdr>
                                <w:top w:val="none" w:sz="0" w:space="0" w:color="auto"/>
                                <w:left w:val="none" w:sz="0" w:space="0" w:color="auto"/>
                                <w:bottom w:val="none" w:sz="0" w:space="0" w:color="auto"/>
                                <w:right w:val="none" w:sz="0" w:space="0" w:color="auto"/>
                              </w:divBdr>
                              <w:divsChild>
                                <w:div w:id="1850677542">
                                  <w:marLeft w:val="0"/>
                                  <w:marRight w:val="0"/>
                                  <w:marTop w:val="0"/>
                                  <w:marBottom w:val="0"/>
                                  <w:divBdr>
                                    <w:top w:val="none" w:sz="0" w:space="0" w:color="auto"/>
                                    <w:left w:val="none" w:sz="0" w:space="0" w:color="auto"/>
                                    <w:bottom w:val="none" w:sz="0" w:space="0" w:color="auto"/>
                                    <w:right w:val="none" w:sz="0" w:space="0" w:color="auto"/>
                                  </w:divBdr>
                                  <w:divsChild>
                                    <w:div w:id="454644194">
                                      <w:marLeft w:val="0"/>
                                      <w:marRight w:val="0"/>
                                      <w:marTop w:val="0"/>
                                      <w:marBottom w:val="0"/>
                                      <w:divBdr>
                                        <w:top w:val="none" w:sz="0" w:space="0" w:color="auto"/>
                                        <w:left w:val="none" w:sz="0" w:space="0" w:color="auto"/>
                                        <w:bottom w:val="none" w:sz="0" w:space="0" w:color="auto"/>
                                        <w:right w:val="none" w:sz="0" w:space="0" w:color="auto"/>
                                      </w:divBdr>
                                      <w:divsChild>
                                        <w:div w:id="1963341702">
                                          <w:marLeft w:val="0"/>
                                          <w:marRight w:val="0"/>
                                          <w:marTop w:val="0"/>
                                          <w:marBottom w:val="0"/>
                                          <w:divBdr>
                                            <w:top w:val="none" w:sz="0" w:space="0" w:color="auto"/>
                                            <w:left w:val="none" w:sz="0" w:space="0" w:color="auto"/>
                                            <w:bottom w:val="none" w:sz="0" w:space="0" w:color="auto"/>
                                            <w:right w:val="none" w:sz="0" w:space="0" w:color="auto"/>
                                          </w:divBdr>
                                          <w:divsChild>
                                            <w:div w:id="1187524397">
                                              <w:marLeft w:val="0"/>
                                              <w:marRight w:val="0"/>
                                              <w:marTop w:val="0"/>
                                              <w:marBottom w:val="0"/>
                                              <w:divBdr>
                                                <w:top w:val="none" w:sz="0" w:space="0" w:color="auto"/>
                                                <w:left w:val="none" w:sz="0" w:space="0" w:color="auto"/>
                                                <w:bottom w:val="none" w:sz="0" w:space="0" w:color="auto"/>
                                                <w:right w:val="none" w:sz="0" w:space="0" w:color="auto"/>
                                              </w:divBdr>
                                              <w:divsChild>
                                                <w:div w:id="12331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yperlink" Target="http://www.frli.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9C436-7CC8-4056-B959-F4F2A020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6084</Words>
  <Characters>34683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40686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Isaac - ACMA</dc:creator>
  <cp:lastModifiedBy>Helen Turnbull</cp:lastModifiedBy>
  <cp:revision>8</cp:revision>
  <cp:lastPrinted>2011-09-22T00:03:00Z</cp:lastPrinted>
  <dcterms:created xsi:type="dcterms:W3CDTF">2011-09-21T23:49:00Z</dcterms:created>
  <dcterms:modified xsi:type="dcterms:W3CDTF">2011-09-26T23:36:00Z</dcterms:modified>
</cp:coreProperties>
</file>