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2A" w:rsidRDefault="00CA732A" w:rsidP="00CA732A">
      <w:pPr>
        <w:rPr>
          <w:sz w:val="26"/>
        </w:rPr>
      </w:pPr>
      <w:bookmarkStart w:id="0" w:name="_GoBack"/>
      <w:bookmarkEnd w:id="0"/>
      <w:r w:rsidRPr="00CA732A">
        <w:rPr>
          <w:noProof/>
          <w:sz w:val="26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2pt;height:86.65pt;visibility:visible">
            <v:imagedata r:id="rId8" o:title=""/>
          </v:shape>
        </w:pict>
      </w:r>
    </w:p>
    <w:p w:rsidR="00CA732A" w:rsidRPr="009E1903" w:rsidRDefault="00CA732A" w:rsidP="00CA732A">
      <w:pPr>
        <w:pStyle w:val="Title"/>
        <w:rPr>
          <w:rFonts w:ascii="Helvetica" w:hAnsi="Helvetica"/>
        </w:rPr>
      </w:pPr>
      <w:bookmarkStart w:id="1" w:name="Citation"/>
      <w:r>
        <w:t>Vehicle Standard (Australian Design Rule 79/0</w:t>
      </w:r>
      <w:r w:rsidR="000105D7">
        <w:t>4</w:t>
      </w:r>
      <w:r>
        <w:t xml:space="preserve"> — </w:t>
      </w:r>
      <w:bookmarkEnd w:id="1"/>
      <w:r>
        <w:t>Emission Control for Light Vehicles) 2011</w:t>
      </w:r>
    </w:p>
    <w:p w:rsidR="00CA732A" w:rsidRDefault="00CA732A" w:rsidP="00CA732A"/>
    <w:p w:rsidR="00CA732A" w:rsidRPr="008A16DC" w:rsidRDefault="00CA732A" w:rsidP="00CA732A">
      <w:r w:rsidRPr="008A16DC">
        <w:t xml:space="preserve">I, </w:t>
      </w:r>
      <w:r>
        <w:t>ANTHONY NORMAN ALBANESE, Minister for Infrastructure and Transport,</w:t>
      </w:r>
      <w:r w:rsidRPr="008A16DC">
        <w:t xml:space="preserve"> determine this vehicle </w:t>
      </w:r>
      <w:r>
        <w:t xml:space="preserve">standard under subsection 7 </w:t>
      </w:r>
      <w:r w:rsidRPr="008A16DC">
        <w:t xml:space="preserve">of the </w:t>
      </w:r>
      <w:r w:rsidRPr="007A731E">
        <w:rPr>
          <w:i/>
        </w:rPr>
        <w:t>Motor Vehicle Standards Act 1989</w:t>
      </w:r>
      <w:r w:rsidRPr="008A16DC">
        <w:t>.</w:t>
      </w:r>
    </w:p>
    <w:p w:rsidR="00CA732A" w:rsidRPr="004B29DE" w:rsidRDefault="00CA732A" w:rsidP="00CA732A">
      <w:pPr>
        <w:spacing w:before="360"/>
        <w:jc w:val="both"/>
      </w:pPr>
    </w:p>
    <w:p w:rsidR="00CA732A" w:rsidRDefault="00CA732A" w:rsidP="008B0756">
      <w:pPr>
        <w:tabs>
          <w:tab w:val="left" w:pos="1134"/>
        </w:tabs>
        <w:spacing w:before="300" w:after="600" w:line="300" w:lineRule="atLeast"/>
      </w:pPr>
      <w:r>
        <w:t>Dated</w:t>
      </w:r>
      <w:r w:rsidR="00B44D49">
        <w:tab/>
      </w:r>
      <w:r w:rsidR="008B0756">
        <w:t xml:space="preserve">14 September </w:t>
      </w:r>
      <w:r>
        <w:t>2011</w:t>
      </w:r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ANTHONY NORMAN ALBANESE </w:t>
      </w:r>
    </w:p>
    <w:p w:rsidR="00CA732A" w:rsidRDefault="00CA732A" w:rsidP="00CA732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Minister for </w:t>
      </w:r>
      <w:bookmarkEnd w:id="2"/>
      <w:r>
        <w:t>Infrastructure and Transport</w:t>
      </w:r>
    </w:p>
    <w:p w:rsidR="00CA732A" w:rsidRDefault="00CA732A" w:rsidP="00CA732A">
      <w:pPr>
        <w:pStyle w:val="SigningPageBreak"/>
      </w:pPr>
    </w:p>
    <w:p w:rsidR="00CA732A" w:rsidRDefault="00CA732A">
      <w:r>
        <w:br w:type="page"/>
      </w:r>
    </w:p>
    <w:p w:rsidR="00CA732A" w:rsidRPr="00DB4504" w:rsidRDefault="00CA732A" w:rsidP="00CA732A">
      <w:pPr>
        <w:pStyle w:val="TOC1"/>
      </w:pPr>
      <w:r w:rsidRPr="00DB4504">
        <w:t>CONTENTS</w:t>
      </w:r>
    </w:p>
    <w:p w:rsidR="00CA732A" w:rsidRPr="00B04112" w:rsidRDefault="00CA732A" w:rsidP="00CA732A"/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TOC \o "1-1" \u </w:instrText>
      </w:r>
      <w:r w:rsidRPr="003848AE">
        <w:rPr>
          <w:sz w:val="20"/>
          <w:szCs w:val="20"/>
        </w:rPr>
        <w:fldChar w:fldCharType="separate"/>
      </w:r>
      <w:r w:rsidRPr="003848AE">
        <w:rPr>
          <w:sz w:val="20"/>
          <w:szCs w:val="20"/>
        </w:rPr>
        <w:t>0.1</w:t>
      </w:r>
      <w:r w:rsidRPr="003848AE">
        <w:rPr>
          <w:sz w:val="20"/>
          <w:szCs w:val="20"/>
        </w:rPr>
        <w:tab/>
        <w:t>NAME OF STANDARD</w:t>
      </w:r>
      <w:r>
        <w:rPr>
          <w:b w:val="0"/>
          <w:sz w:val="20"/>
          <w:szCs w:val="20"/>
        </w:rPr>
        <w:t xml:space="preserve"> 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_Toc121706033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0C2112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0.2</w:t>
      </w:r>
      <w:r w:rsidRPr="003848AE">
        <w:rPr>
          <w:sz w:val="20"/>
          <w:szCs w:val="20"/>
        </w:rPr>
        <w:tab/>
        <w:t>COMMENCEMENT</w:t>
      </w:r>
      <w:r>
        <w:rPr>
          <w:b w:val="0"/>
          <w:sz w:val="20"/>
          <w:szCs w:val="20"/>
        </w:rPr>
        <w:t xml:space="preserve"> 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_Toc121706034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0C2112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1</w:t>
      </w:r>
      <w:r w:rsidRPr="003848AE">
        <w:rPr>
          <w:sz w:val="20"/>
          <w:szCs w:val="20"/>
        </w:rPr>
        <w:tab/>
        <w:t>SCOPE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_Toc121706036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0C2112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2</w:t>
      </w:r>
      <w:r w:rsidRPr="003848AE">
        <w:rPr>
          <w:sz w:val="20"/>
          <w:szCs w:val="20"/>
        </w:rPr>
        <w:tab/>
        <w:t>APPLICABILITY AND IMPLEMENTATION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_Toc121706037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0C2112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3</w:t>
      </w:r>
      <w:r w:rsidRPr="003848AE">
        <w:rPr>
          <w:sz w:val="20"/>
          <w:szCs w:val="20"/>
        </w:rPr>
        <w:tab/>
        <w:t>DEFINITIONS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_Toc121706038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0C2112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4</w:t>
      </w:r>
      <w:r w:rsidRPr="003848AE">
        <w:rPr>
          <w:sz w:val="20"/>
          <w:szCs w:val="20"/>
        </w:rPr>
        <w:tab/>
        <w:t>REQUIREMENTS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_Toc121706039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0C2112">
        <w:rPr>
          <w:sz w:val="20"/>
          <w:szCs w:val="20"/>
        </w:rPr>
        <w:t>2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5</w:t>
      </w:r>
      <w:r w:rsidRPr="003848AE">
        <w:rPr>
          <w:sz w:val="20"/>
          <w:szCs w:val="20"/>
        </w:rPr>
        <w:tab/>
        <w:t>EXEMPTIONS AND ALTERNATIVE PROCEDURES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_Toc121706040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0C2112">
        <w:rPr>
          <w:sz w:val="20"/>
          <w:szCs w:val="20"/>
        </w:rPr>
        <w:t>3</w:t>
      </w:r>
      <w:r w:rsidRPr="003848AE">
        <w:rPr>
          <w:sz w:val="20"/>
          <w:szCs w:val="20"/>
        </w:rPr>
        <w:fldChar w:fldCharType="end"/>
      </w:r>
    </w:p>
    <w:p w:rsidR="00CA732A" w:rsidRPr="003848AE" w:rsidRDefault="00CA732A" w:rsidP="00CA732A">
      <w:pPr>
        <w:pStyle w:val="TOC1"/>
        <w:rPr>
          <w:sz w:val="20"/>
          <w:szCs w:val="20"/>
        </w:rPr>
      </w:pPr>
      <w:r w:rsidRPr="003848AE">
        <w:rPr>
          <w:sz w:val="20"/>
          <w:szCs w:val="20"/>
        </w:rPr>
        <w:t>6</w:t>
      </w:r>
      <w:r w:rsidRPr="003848AE">
        <w:rPr>
          <w:sz w:val="20"/>
          <w:szCs w:val="20"/>
        </w:rPr>
        <w:tab/>
        <w:t>ALTERNATIVE STANDARDS</w:t>
      </w:r>
      <w:r w:rsidRPr="003848AE">
        <w:rPr>
          <w:sz w:val="20"/>
          <w:szCs w:val="20"/>
        </w:rPr>
        <w:tab/>
      </w:r>
      <w:r w:rsidRPr="003848AE">
        <w:rPr>
          <w:sz w:val="20"/>
          <w:szCs w:val="20"/>
        </w:rPr>
        <w:fldChar w:fldCharType="begin"/>
      </w:r>
      <w:r w:rsidRPr="003848AE">
        <w:rPr>
          <w:sz w:val="20"/>
          <w:szCs w:val="20"/>
        </w:rPr>
        <w:instrText xml:space="preserve"> PAGEREF _Toc121706041 \h </w:instrText>
      </w:r>
      <w:r w:rsidRPr="003848AE">
        <w:rPr>
          <w:sz w:val="20"/>
          <w:szCs w:val="20"/>
        </w:rPr>
      </w:r>
      <w:r w:rsidRPr="003848AE">
        <w:rPr>
          <w:sz w:val="20"/>
          <w:szCs w:val="20"/>
        </w:rPr>
        <w:fldChar w:fldCharType="separate"/>
      </w:r>
      <w:r w:rsidR="000C2112">
        <w:rPr>
          <w:sz w:val="20"/>
          <w:szCs w:val="20"/>
        </w:rPr>
        <w:t>3</w:t>
      </w:r>
      <w:r w:rsidRPr="003848AE">
        <w:rPr>
          <w:sz w:val="20"/>
          <w:szCs w:val="20"/>
        </w:rPr>
        <w:fldChar w:fldCharType="end"/>
      </w:r>
    </w:p>
    <w:p w:rsidR="00CA732A" w:rsidRPr="00982762" w:rsidRDefault="00CA732A" w:rsidP="00CA732A">
      <w:pPr>
        <w:pStyle w:val="TOC1"/>
      </w:pPr>
      <w:r w:rsidRPr="003848AE">
        <w:rPr>
          <w:sz w:val="20"/>
          <w:szCs w:val="20"/>
        </w:rPr>
        <w:fldChar w:fldCharType="end"/>
      </w:r>
    </w:p>
    <w:p w:rsidR="00CA732A" w:rsidRPr="007E345A" w:rsidRDefault="00CA732A" w:rsidP="00CA732A">
      <w:pPr>
        <w:pStyle w:val="Heading1"/>
        <w:spacing w:beforeLines="80" w:before="192"/>
        <w:ind w:left="709" w:hanging="709"/>
        <w:jc w:val="both"/>
        <w:rPr>
          <w:b w:val="0"/>
          <w:sz w:val="18"/>
        </w:rPr>
      </w:pPr>
      <w:bookmarkStart w:id="3" w:name="_Toc120945092"/>
      <w:bookmarkStart w:id="4" w:name="_Toc121706033"/>
      <w:r w:rsidRPr="00982762">
        <w:rPr>
          <w:bCs w:val="0"/>
          <w:kern w:val="28"/>
          <w:sz w:val="24"/>
          <w:szCs w:val="24"/>
        </w:rPr>
        <w:t>0.1</w:t>
      </w:r>
      <w:r w:rsidRPr="00982762">
        <w:rPr>
          <w:bCs w:val="0"/>
          <w:kern w:val="28"/>
          <w:sz w:val="24"/>
          <w:szCs w:val="24"/>
        </w:rPr>
        <w:tab/>
        <w:t>NAME OF STANDARD</w:t>
      </w:r>
      <w:bookmarkEnd w:id="3"/>
      <w:bookmarkEnd w:id="4"/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0.1.1</w:t>
      </w:r>
      <w:r>
        <w:tab/>
        <w:t xml:space="preserve">This Standard is the </w:t>
      </w:r>
      <w:r w:rsidRPr="00895D40">
        <w:rPr>
          <w:i/>
        </w:rPr>
        <w:t>Vehicle Standa</w:t>
      </w:r>
      <w:r>
        <w:rPr>
          <w:i/>
        </w:rPr>
        <w:t>rd (Australian Design Rule 79/0</w:t>
      </w:r>
      <w:r w:rsidR="000105D7">
        <w:rPr>
          <w:i/>
        </w:rPr>
        <w:t>4</w:t>
      </w:r>
      <w:r w:rsidRPr="00895D40">
        <w:rPr>
          <w:i/>
        </w:rPr>
        <w:t> — Emission Control for Light Vehicles) 20</w:t>
      </w:r>
      <w:r>
        <w:rPr>
          <w:i/>
        </w:rPr>
        <w:t>11</w:t>
      </w:r>
      <w:r>
        <w:t>.</w:t>
      </w:r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0.1.2</w:t>
      </w:r>
      <w:r>
        <w:tab/>
        <w:t>This Standard may also be cited as ADR 79/0</w:t>
      </w:r>
      <w:r w:rsidR="000105D7">
        <w:t>4</w:t>
      </w:r>
      <w:r>
        <w:t>.</w:t>
      </w:r>
    </w:p>
    <w:p w:rsidR="00CA732A" w:rsidRPr="007E345A" w:rsidRDefault="00CA732A" w:rsidP="00CA732A">
      <w:pPr>
        <w:pStyle w:val="Heading1"/>
        <w:spacing w:beforeLines="80" w:before="192"/>
        <w:ind w:left="709" w:hanging="709"/>
        <w:jc w:val="both"/>
        <w:rPr>
          <w:b w:val="0"/>
          <w:sz w:val="18"/>
        </w:rPr>
      </w:pPr>
      <w:bookmarkStart w:id="5" w:name="_Toc120945093"/>
      <w:bookmarkStart w:id="6" w:name="_Toc121706034"/>
      <w:r w:rsidRPr="00982762">
        <w:rPr>
          <w:bCs w:val="0"/>
          <w:kern w:val="28"/>
          <w:sz w:val="24"/>
          <w:szCs w:val="24"/>
        </w:rPr>
        <w:t>0.2</w:t>
      </w:r>
      <w:r w:rsidRPr="00982762">
        <w:rPr>
          <w:bCs w:val="0"/>
          <w:kern w:val="28"/>
          <w:sz w:val="24"/>
          <w:szCs w:val="24"/>
        </w:rPr>
        <w:tab/>
        <w:t>COMMENCEMENT</w:t>
      </w:r>
      <w:bookmarkEnd w:id="5"/>
      <w:bookmarkEnd w:id="6"/>
    </w:p>
    <w:p w:rsidR="00CA732A" w:rsidRPr="004B29DE" w:rsidRDefault="00CA732A" w:rsidP="00CA732A">
      <w:pPr>
        <w:pStyle w:val="R1"/>
        <w:tabs>
          <w:tab w:val="clear" w:pos="794"/>
        </w:tabs>
        <w:ind w:left="720" w:hanging="720"/>
      </w:pPr>
      <w:r>
        <w:t>0.2.1</w:t>
      </w:r>
      <w:r>
        <w:tab/>
        <w:t>This Standard commences on the day after it is registered.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7" w:name="_Toc120945095"/>
      <w:bookmarkStart w:id="8" w:name="_Toc121706036"/>
      <w:r w:rsidRPr="00982762">
        <w:rPr>
          <w:bCs w:val="0"/>
          <w:kern w:val="28"/>
          <w:sz w:val="24"/>
          <w:szCs w:val="24"/>
        </w:rPr>
        <w:t>1</w:t>
      </w:r>
      <w:r w:rsidRPr="00982762">
        <w:rPr>
          <w:bCs w:val="0"/>
          <w:kern w:val="28"/>
          <w:sz w:val="24"/>
          <w:szCs w:val="24"/>
        </w:rPr>
        <w:tab/>
        <w:t>SCOPE</w:t>
      </w:r>
      <w:bookmarkEnd w:id="7"/>
      <w:bookmarkEnd w:id="8"/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1.1</w:t>
      </w:r>
      <w:r>
        <w:tab/>
        <w:t>This vehicle standard prescribes the exhaust and evaporative emissions requirements for light vehicles in order to reduce air pollution.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9" w:name="_Toc120945096"/>
      <w:bookmarkStart w:id="10" w:name="_Toc121706037"/>
      <w:r w:rsidRPr="00982762">
        <w:rPr>
          <w:bCs w:val="0"/>
          <w:kern w:val="28"/>
          <w:sz w:val="24"/>
          <w:szCs w:val="24"/>
        </w:rPr>
        <w:t>2</w:t>
      </w:r>
      <w:r w:rsidRPr="00982762">
        <w:rPr>
          <w:bCs w:val="0"/>
          <w:kern w:val="28"/>
          <w:sz w:val="24"/>
          <w:szCs w:val="24"/>
        </w:rPr>
        <w:tab/>
        <w:t>APPLICABILITY AND IMPLEMENTATION</w:t>
      </w:r>
      <w:bookmarkEnd w:id="9"/>
      <w:bookmarkEnd w:id="10"/>
    </w:p>
    <w:p w:rsidR="00CA732A" w:rsidRPr="002B6738" w:rsidRDefault="00CA732A" w:rsidP="00CA732A">
      <w:pPr>
        <w:pStyle w:val="R1"/>
        <w:tabs>
          <w:tab w:val="clear" w:pos="794"/>
        </w:tabs>
        <w:ind w:left="720" w:hanging="720"/>
      </w:pPr>
      <w:r>
        <w:t>2.1</w:t>
      </w:r>
      <w:r>
        <w:tab/>
        <w:t>This vehicle standard is applicable to all M and N category vehicles with a G</w:t>
      </w:r>
      <w:r w:rsidR="00515FEA">
        <w:t>ross </w:t>
      </w:r>
      <w:r>
        <w:t>V</w:t>
      </w:r>
      <w:r w:rsidR="00515FEA">
        <w:t xml:space="preserve">ehicle </w:t>
      </w:r>
      <w:r>
        <w:t>M</w:t>
      </w:r>
      <w:r w:rsidR="00515FEA">
        <w:t>ass</w:t>
      </w:r>
      <w:r>
        <w:t xml:space="preserve"> less tha</w:t>
      </w:r>
      <w:r w:rsidR="00BC7B71">
        <w:t>n or equal to 3.5 tonnes, notwithstanding the reference mass provisions of</w:t>
      </w:r>
      <w:r>
        <w:t xml:space="preserve"> </w:t>
      </w:r>
      <w:r w:rsidR="007A53A4">
        <w:t>paragraph</w:t>
      </w:r>
      <w:r>
        <w:t xml:space="preserve"> 1.1 of Appendix A</w:t>
      </w:r>
      <w:r w:rsidR="00686F75">
        <w:t>.</w:t>
      </w:r>
    </w:p>
    <w:p w:rsidR="00CA732A" w:rsidRDefault="00CA732A" w:rsidP="000105D7">
      <w:pPr>
        <w:pStyle w:val="R1"/>
        <w:tabs>
          <w:tab w:val="clear" w:pos="794"/>
        </w:tabs>
        <w:ind w:left="720" w:hanging="720"/>
      </w:pPr>
      <w:r>
        <w:t>2.2</w:t>
      </w:r>
      <w:r>
        <w:tab/>
      </w:r>
      <w:r w:rsidRPr="00BC0D7B">
        <w:t>This vehicle standard applies</w:t>
      </w:r>
      <w:r w:rsidR="007A53A4">
        <w:t xml:space="preserve"> </w:t>
      </w:r>
      <w:r>
        <w:t>from 1 November 201</w:t>
      </w:r>
      <w:r w:rsidR="000105D7">
        <w:t>6</w:t>
      </w:r>
      <w:r>
        <w:t xml:space="preserve"> in relation to vehicles produced </w:t>
      </w:r>
      <w:r w:rsidR="000105D7">
        <w:t xml:space="preserve">with a </w:t>
      </w:r>
      <w:r w:rsidR="000105D7">
        <w:rPr>
          <w:i/>
        </w:rPr>
        <w:t>‘Date of Manufacture’</w:t>
      </w:r>
      <w:r w:rsidR="000105D7">
        <w:t xml:space="preserve"> on or after 1 November 2016</w:t>
      </w:r>
      <w:r w:rsidR="006D1421">
        <w:t>.</w:t>
      </w:r>
    </w:p>
    <w:p w:rsidR="00642C68" w:rsidRPr="00642C68" w:rsidRDefault="00CA732A" w:rsidP="00686F75">
      <w:pPr>
        <w:pStyle w:val="R1"/>
        <w:tabs>
          <w:tab w:val="clear" w:pos="794"/>
        </w:tabs>
        <w:ind w:left="720" w:hanging="720"/>
      </w:pPr>
      <w:r>
        <w:t>2.</w:t>
      </w:r>
      <w:r w:rsidR="000105D7">
        <w:t>3</w:t>
      </w:r>
      <w:r>
        <w:tab/>
      </w:r>
      <w:r w:rsidRPr="00BC0D7B">
        <w:t>To the extent of any inconsistency,</w:t>
      </w:r>
      <w:r w:rsidRPr="00BC0D7B">
        <w:rPr>
          <w:b/>
        </w:rPr>
        <w:t xml:space="preserve"> </w:t>
      </w:r>
      <w:r w:rsidR="00515FEA">
        <w:t>the applicability date</w:t>
      </w:r>
      <w:r w:rsidRPr="00BC0D7B">
        <w:t xml:space="preserve"> specified in clause 2.2</w:t>
      </w:r>
      <w:r w:rsidR="00816701">
        <w:t xml:space="preserve"> </w:t>
      </w:r>
      <w:r w:rsidR="00515FEA">
        <w:t>applies</w:t>
      </w:r>
      <w:r w:rsidRPr="00BC0D7B">
        <w:t xml:space="preserve"> in lieu of any dates specified in Appendix A.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11" w:name="_Toc120945097"/>
      <w:bookmarkStart w:id="12" w:name="_Toc121706038"/>
      <w:r w:rsidRPr="00982762">
        <w:rPr>
          <w:bCs w:val="0"/>
          <w:kern w:val="28"/>
          <w:sz w:val="24"/>
          <w:szCs w:val="24"/>
        </w:rPr>
        <w:t>3</w:t>
      </w:r>
      <w:r w:rsidRPr="00982762">
        <w:rPr>
          <w:bCs w:val="0"/>
          <w:kern w:val="28"/>
          <w:sz w:val="24"/>
          <w:szCs w:val="24"/>
        </w:rPr>
        <w:tab/>
        <w:t>DEFINITIONS</w:t>
      </w:r>
      <w:bookmarkEnd w:id="11"/>
      <w:bookmarkEnd w:id="12"/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3.1</w:t>
      </w:r>
      <w:r>
        <w:tab/>
      </w:r>
      <w:r w:rsidRPr="00A37F3D">
        <w:t>For the purposes of clause 2.</w:t>
      </w:r>
      <w:r w:rsidR="000105D7">
        <w:t>2</w:t>
      </w:r>
      <w:r w:rsidRPr="00A37F3D">
        <w:t>, “d</w:t>
      </w:r>
      <w:r>
        <w:t>ate of manufacture”</w:t>
      </w:r>
      <w:r w:rsidRPr="00942AB5">
        <w:t xml:space="preserve"> means the date the vehicle is available in </w:t>
      </w:r>
      <w:r>
        <w:t>Australia in</w:t>
      </w:r>
      <w:r w:rsidRPr="00942AB5">
        <w:t xml:space="preserve"> a condition which will enable a</w:t>
      </w:r>
      <w:r>
        <w:t>n</w:t>
      </w:r>
      <w:r w:rsidRPr="00942AB5">
        <w:t xml:space="preserve"> identification plate to</w:t>
      </w:r>
      <w:r>
        <w:t xml:space="preserve"> be lawfully affixed to the vehicle.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13" w:name="_Toc120945098"/>
      <w:bookmarkStart w:id="14" w:name="_Toc121706039"/>
      <w:r w:rsidRPr="00982762">
        <w:rPr>
          <w:bCs w:val="0"/>
          <w:kern w:val="28"/>
          <w:sz w:val="24"/>
          <w:szCs w:val="24"/>
        </w:rPr>
        <w:t>4</w:t>
      </w:r>
      <w:r w:rsidRPr="00982762">
        <w:rPr>
          <w:bCs w:val="0"/>
          <w:kern w:val="28"/>
          <w:sz w:val="24"/>
          <w:szCs w:val="24"/>
        </w:rPr>
        <w:tab/>
        <w:t>REQUIREMENTS</w:t>
      </w:r>
      <w:bookmarkEnd w:id="13"/>
      <w:bookmarkEnd w:id="14"/>
    </w:p>
    <w:p w:rsidR="00CA732A" w:rsidRDefault="00CA732A" w:rsidP="00C27B3E">
      <w:pPr>
        <w:pStyle w:val="R1"/>
        <w:tabs>
          <w:tab w:val="clear" w:pos="794"/>
        </w:tabs>
        <w:ind w:left="720" w:hanging="720"/>
      </w:pPr>
      <w:r>
        <w:rPr>
          <w:snapToGrid w:val="0"/>
        </w:rPr>
        <w:t>4.1</w:t>
      </w:r>
      <w:r>
        <w:rPr>
          <w:snapToGrid w:val="0"/>
        </w:rPr>
        <w:tab/>
      </w:r>
      <w:r w:rsidR="00163F2F">
        <w:rPr>
          <w:snapToGrid w:val="0"/>
        </w:rPr>
        <w:t>V</w:t>
      </w:r>
      <w:r>
        <w:rPr>
          <w:snapToGrid w:val="0"/>
        </w:rPr>
        <w:t xml:space="preserve">ehicles which </w:t>
      </w:r>
      <w:r>
        <w:t xml:space="preserve">comply with the </w:t>
      </w:r>
      <w:r w:rsidR="00C27B3E">
        <w:t xml:space="preserve">emissions limits and </w:t>
      </w:r>
      <w:r>
        <w:t>technical requirements of Appendix A, including all the applicable tests specified in paragraph 5.2 of Appendix</w:t>
      </w:r>
      <w:r w:rsidR="00620E23">
        <w:t> </w:t>
      </w:r>
      <w:r>
        <w:t>A, and as varied by Part 5 of this vehicle standard, will be accepted as complying with this vehicle standard.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15" w:name="_Toc120945099"/>
      <w:bookmarkStart w:id="16" w:name="_Toc121706040"/>
      <w:r w:rsidRPr="00982762">
        <w:rPr>
          <w:bCs w:val="0"/>
          <w:kern w:val="28"/>
          <w:sz w:val="24"/>
          <w:szCs w:val="24"/>
        </w:rPr>
        <w:lastRenderedPageBreak/>
        <w:t>5</w:t>
      </w:r>
      <w:r w:rsidRPr="00982762">
        <w:rPr>
          <w:bCs w:val="0"/>
          <w:kern w:val="28"/>
          <w:sz w:val="24"/>
          <w:szCs w:val="24"/>
        </w:rPr>
        <w:tab/>
        <w:t>EXEMPTIONS AND ALTERNATIVE PROCEDURES</w:t>
      </w:r>
      <w:bookmarkEnd w:id="15"/>
      <w:bookmarkEnd w:id="16"/>
    </w:p>
    <w:p w:rsidR="00CA732A" w:rsidRDefault="00CA732A" w:rsidP="00CA732A">
      <w:pPr>
        <w:pStyle w:val="R1"/>
        <w:tabs>
          <w:tab w:val="clear" w:pos="794"/>
        </w:tabs>
        <w:ind w:left="720" w:hanging="720"/>
      </w:pPr>
      <w:r>
        <w:t>5.1</w:t>
      </w:r>
      <w:r>
        <w:tab/>
        <w:t>The following provisions of Appendix A</w:t>
      </w:r>
      <w:r w:rsidR="000105D7">
        <w:t xml:space="preserve"> </w:t>
      </w:r>
      <w:r>
        <w:t>do not apply to this vehicle standard: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Section 3</w:t>
      </w:r>
      <w:r>
        <w:tab/>
        <w:t>Application for Approval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Section 4</w:t>
      </w:r>
      <w:r>
        <w:tab/>
        <w:t>Approval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Section 6</w:t>
      </w:r>
      <w:r>
        <w:tab/>
        <w:t>Modifications of the vehicle type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Section 8</w:t>
      </w:r>
      <w:r>
        <w:tab/>
        <w:t>Conformity of production</w:t>
      </w:r>
    </w:p>
    <w:p w:rsidR="00F44A6F" w:rsidRDefault="00F44A6F" w:rsidP="00CA732A">
      <w:pPr>
        <w:pStyle w:val="R2"/>
        <w:tabs>
          <w:tab w:val="clear" w:pos="794"/>
        </w:tabs>
        <w:ind w:left="2160" w:hanging="1440"/>
      </w:pPr>
      <w:r>
        <w:t>Section 9</w:t>
      </w:r>
      <w:r>
        <w:tab/>
        <w:t>In-service conformity</w:t>
      </w:r>
    </w:p>
    <w:p w:rsidR="00CA732A" w:rsidRDefault="00426FCD" w:rsidP="00CA732A">
      <w:pPr>
        <w:pStyle w:val="R2"/>
        <w:tabs>
          <w:tab w:val="clear" w:pos="794"/>
        </w:tabs>
        <w:ind w:left="2160" w:hanging="1440"/>
      </w:pPr>
      <w:r>
        <w:t>Section 10</w:t>
      </w:r>
      <w:r w:rsidR="00CA732A">
        <w:tab/>
        <w:t>Penalties for non-conformity of production</w:t>
      </w:r>
    </w:p>
    <w:p w:rsidR="00CA732A" w:rsidRDefault="00426FCD" w:rsidP="00CA732A">
      <w:pPr>
        <w:pStyle w:val="R2"/>
        <w:tabs>
          <w:tab w:val="clear" w:pos="794"/>
        </w:tabs>
        <w:ind w:left="2160" w:hanging="1440"/>
      </w:pPr>
      <w:r>
        <w:t>Section 11</w:t>
      </w:r>
      <w:r w:rsidR="00CA732A">
        <w:tab/>
        <w:t>Production definitely discontinued</w:t>
      </w:r>
    </w:p>
    <w:p w:rsidR="00CA732A" w:rsidRDefault="00F44A6F" w:rsidP="00CA732A">
      <w:pPr>
        <w:pStyle w:val="R2"/>
        <w:tabs>
          <w:tab w:val="clear" w:pos="794"/>
        </w:tabs>
        <w:ind w:left="2160" w:hanging="1440"/>
      </w:pPr>
      <w:r>
        <w:t>Section 12</w:t>
      </w:r>
      <w:r w:rsidR="00CA732A">
        <w:tab/>
        <w:t>Transitional provisions</w:t>
      </w:r>
    </w:p>
    <w:p w:rsidR="00CA732A" w:rsidRDefault="00F44A6F" w:rsidP="00CA732A">
      <w:pPr>
        <w:pStyle w:val="R2"/>
        <w:tabs>
          <w:tab w:val="clear" w:pos="794"/>
        </w:tabs>
        <w:ind w:left="2160" w:hanging="1440"/>
      </w:pPr>
      <w:r>
        <w:t>Section 13</w:t>
      </w:r>
      <w:r w:rsidR="00CA732A">
        <w:tab/>
        <w:t>Names and addresses of technical services responsible for conducting approval tests, and of administrative departments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Appendix 1</w:t>
      </w:r>
      <w:r>
        <w:tab/>
        <w:t>Procedure for verifying the conformity of production requirements if the production standard deviation given by the manufacturer is satisfactory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Appendix 2</w:t>
      </w:r>
      <w:r>
        <w:tab/>
        <w:t>Procedure for verifying the conformity of production requirements if the production standard deviation given by the manufacturer is either not satisfactory or not available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Appendix 3</w:t>
      </w:r>
      <w:r>
        <w:tab/>
        <w:t>In-service conformity check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Appendix 4</w:t>
      </w:r>
      <w:r>
        <w:tab/>
        <w:t>Statistical procedure for in-service conformity check</w:t>
      </w:r>
    </w:p>
    <w:p w:rsidR="00F44A6F" w:rsidRDefault="00F44A6F" w:rsidP="00CA732A">
      <w:pPr>
        <w:pStyle w:val="R2"/>
        <w:tabs>
          <w:tab w:val="clear" w:pos="794"/>
        </w:tabs>
        <w:ind w:left="2160" w:hanging="1440"/>
      </w:pPr>
      <w:r>
        <w:t>Appendix 5</w:t>
      </w:r>
      <w:r>
        <w:tab/>
        <w:t>Responsibilities for in service conformity</w:t>
      </w:r>
    </w:p>
    <w:p w:rsidR="00CA732A" w:rsidRDefault="00F44A6F" w:rsidP="00CA732A">
      <w:pPr>
        <w:pStyle w:val="R2"/>
        <w:tabs>
          <w:tab w:val="clear" w:pos="794"/>
        </w:tabs>
        <w:ind w:left="2160" w:hanging="1440"/>
      </w:pPr>
      <w:r>
        <w:t>Annex 1</w:t>
      </w:r>
      <w:r>
        <w:tab/>
        <w:t>Engine and vehicle c</w:t>
      </w:r>
      <w:r w:rsidR="00CA732A">
        <w:t>haracteristics</w:t>
      </w:r>
      <w:r>
        <w:t xml:space="preserve"> and information concerning the conduct of tests</w:t>
      </w:r>
    </w:p>
    <w:p w:rsidR="00CA732A" w:rsidRDefault="00CA732A" w:rsidP="00CA732A">
      <w:pPr>
        <w:pStyle w:val="R2"/>
        <w:tabs>
          <w:tab w:val="clear" w:pos="794"/>
        </w:tabs>
        <w:ind w:left="2160" w:hanging="1440"/>
      </w:pPr>
      <w:r>
        <w:t>Annex 2</w:t>
      </w:r>
      <w:r>
        <w:tab/>
        <w:t>Communication</w:t>
      </w:r>
    </w:p>
    <w:p w:rsidR="00C27B3E" w:rsidRDefault="00CA732A" w:rsidP="00C27B3E">
      <w:pPr>
        <w:pStyle w:val="R2"/>
        <w:tabs>
          <w:tab w:val="clear" w:pos="794"/>
        </w:tabs>
        <w:ind w:left="2160" w:hanging="1440"/>
      </w:pPr>
      <w:r>
        <w:t>Annex 3</w:t>
      </w:r>
      <w:r>
        <w:tab/>
        <w:t>Arrangements of the Approval Mark</w:t>
      </w:r>
    </w:p>
    <w:p w:rsidR="00CA732A" w:rsidRDefault="00265850" w:rsidP="00CA732A">
      <w:pPr>
        <w:pStyle w:val="R1"/>
        <w:tabs>
          <w:tab w:val="clear" w:pos="794"/>
        </w:tabs>
        <w:ind w:left="720" w:hanging="720"/>
      </w:pPr>
      <w:r>
        <w:t>5.2</w:t>
      </w:r>
      <w:r w:rsidR="00CA732A">
        <w:tab/>
        <w:t xml:space="preserve">In section 5 of Appendix A, the entire </w:t>
      </w:r>
      <w:r w:rsidR="00C27B3E">
        <w:t>text</w:t>
      </w:r>
      <w:r w:rsidR="00CA732A">
        <w:t xml:space="preserve"> </w:t>
      </w:r>
      <w:r w:rsidR="00C27B3E">
        <w:t xml:space="preserve">regarding small volume manufacturers </w:t>
      </w:r>
      <w:r w:rsidR="00CA732A">
        <w:t>immediately following the heading “5.  S</w:t>
      </w:r>
      <w:r w:rsidR="00B44D49">
        <w:t>pecifications and tests</w:t>
      </w:r>
      <w:r w:rsidR="00CA732A">
        <w:t>”</w:t>
      </w:r>
      <w:r w:rsidR="00C27B3E">
        <w:t xml:space="preserve"> is deleted</w:t>
      </w:r>
      <w:r w:rsidR="00CA732A">
        <w:t>.</w:t>
      </w:r>
    </w:p>
    <w:p w:rsidR="00E42C7B" w:rsidRDefault="00265850" w:rsidP="000105D7">
      <w:pPr>
        <w:pStyle w:val="R1"/>
        <w:tabs>
          <w:tab w:val="clear" w:pos="794"/>
        </w:tabs>
        <w:ind w:left="720" w:hanging="720"/>
      </w:pPr>
      <w:r>
        <w:t>5.3</w:t>
      </w:r>
      <w:r w:rsidR="00CA732A">
        <w:tab/>
        <w:t>Notwithstanding that Section 8</w:t>
      </w:r>
      <w:r w:rsidR="00BB025C">
        <w:t xml:space="preserve"> and 9</w:t>
      </w:r>
      <w:r w:rsidR="00CA732A">
        <w:t xml:space="preserve"> and Appendices 1, 2, 3</w:t>
      </w:r>
      <w:r>
        <w:t>, 4 and 5</w:t>
      </w:r>
      <w:r w:rsidR="00CA732A">
        <w:t xml:space="preserve"> of Appendix A have been declared not applicable in </w:t>
      </w:r>
      <w:r w:rsidR="000B4FDF">
        <w:t xml:space="preserve">clause </w:t>
      </w:r>
      <w:r w:rsidR="00CA732A">
        <w:t xml:space="preserve">5.1 </w:t>
      </w:r>
      <w:r w:rsidR="000105D7">
        <w:t xml:space="preserve">of </w:t>
      </w:r>
      <w:r w:rsidR="008828AE">
        <w:t>this vehicle standard</w:t>
      </w:r>
      <w:r w:rsidR="00CA732A">
        <w:t xml:space="preserve">, the requirements and procedures set out in these appendices are </w:t>
      </w:r>
      <w:r w:rsidR="000B4FDF">
        <w:t xml:space="preserve">deemed </w:t>
      </w:r>
      <w:r w:rsidR="00CA732A">
        <w:t>acceptable for the purposes of demonstrati</w:t>
      </w:r>
      <w:r w:rsidR="00FC0105">
        <w:t>ng compliance with the conformity</w:t>
      </w:r>
      <w:r w:rsidR="00CA732A">
        <w:t xml:space="preserve"> requir</w:t>
      </w:r>
      <w:r w:rsidR="00BB025C">
        <w:t>ements of this vehicle standard</w:t>
      </w:r>
      <w:r w:rsidR="00DF42CE">
        <w:t>.</w:t>
      </w:r>
    </w:p>
    <w:p w:rsidR="00CA732A" w:rsidRPr="00982762" w:rsidRDefault="00CA732A" w:rsidP="00CA732A">
      <w:pPr>
        <w:pStyle w:val="Heading1"/>
        <w:spacing w:beforeLines="80" w:before="192"/>
        <w:ind w:left="709" w:hanging="709"/>
        <w:jc w:val="both"/>
        <w:rPr>
          <w:bCs w:val="0"/>
          <w:kern w:val="28"/>
          <w:sz w:val="24"/>
          <w:szCs w:val="24"/>
        </w:rPr>
      </w:pPr>
      <w:bookmarkStart w:id="17" w:name="_Toc120945100"/>
      <w:bookmarkStart w:id="18" w:name="_Toc121706041"/>
      <w:r w:rsidRPr="00982762">
        <w:rPr>
          <w:bCs w:val="0"/>
          <w:kern w:val="28"/>
          <w:sz w:val="24"/>
          <w:szCs w:val="24"/>
        </w:rPr>
        <w:t>6</w:t>
      </w:r>
      <w:r w:rsidRPr="00982762">
        <w:rPr>
          <w:bCs w:val="0"/>
          <w:kern w:val="28"/>
          <w:sz w:val="24"/>
          <w:szCs w:val="24"/>
        </w:rPr>
        <w:tab/>
        <w:t>ALTERNATIVE STANDARDS</w:t>
      </w:r>
      <w:bookmarkEnd w:id="17"/>
      <w:bookmarkEnd w:id="18"/>
    </w:p>
    <w:p w:rsidR="00163F2F" w:rsidRDefault="00CA732A" w:rsidP="00E01DBD">
      <w:pPr>
        <w:pStyle w:val="R1"/>
        <w:tabs>
          <w:tab w:val="clear" w:pos="794"/>
        </w:tabs>
        <w:ind w:left="720" w:hanging="720"/>
      </w:pPr>
      <w:r>
        <w:t>6.1</w:t>
      </w:r>
      <w:r>
        <w:tab/>
      </w:r>
      <w:r w:rsidR="00FC10AB">
        <w:t>T</w:t>
      </w:r>
      <w:r w:rsidRPr="006634F9">
        <w:t xml:space="preserve">he technical requirements of United Nations Economic Commission for Europe Regulation No. 83 </w:t>
      </w:r>
      <w:r w:rsidRPr="00B44D49">
        <w:rPr>
          <w:i/>
        </w:rPr>
        <w:t xml:space="preserve">Uniform </w:t>
      </w:r>
      <w:r w:rsidR="00B44D49" w:rsidRPr="00B44D49">
        <w:rPr>
          <w:i/>
        </w:rPr>
        <w:t>p</w:t>
      </w:r>
      <w:r w:rsidRPr="00B44D49">
        <w:rPr>
          <w:i/>
        </w:rPr>
        <w:t xml:space="preserve">rovisions </w:t>
      </w:r>
      <w:r w:rsidR="00B44D49" w:rsidRPr="00B44D49">
        <w:rPr>
          <w:i/>
        </w:rPr>
        <w:t>c</w:t>
      </w:r>
      <w:r w:rsidRPr="00B44D49">
        <w:rPr>
          <w:i/>
        </w:rPr>
        <w:t xml:space="preserve">oncerning the </w:t>
      </w:r>
      <w:r w:rsidR="00B44D49" w:rsidRPr="00B44D49">
        <w:rPr>
          <w:i/>
        </w:rPr>
        <w:t>a</w:t>
      </w:r>
      <w:r w:rsidRPr="00B44D49">
        <w:rPr>
          <w:i/>
        </w:rPr>
        <w:t xml:space="preserve">pproval of </w:t>
      </w:r>
      <w:r w:rsidR="00B44D49" w:rsidRPr="00B44D49">
        <w:rPr>
          <w:i/>
        </w:rPr>
        <w:t>v</w:t>
      </w:r>
      <w:r w:rsidRPr="00B44D49">
        <w:rPr>
          <w:i/>
        </w:rPr>
        <w:t xml:space="preserve">ehicles with </w:t>
      </w:r>
      <w:r w:rsidR="00EE1EBA">
        <w:rPr>
          <w:i/>
        </w:rPr>
        <w:t>r</w:t>
      </w:r>
      <w:r w:rsidRPr="00B44D49">
        <w:rPr>
          <w:i/>
        </w:rPr>
        <w:t xml:space="preserve">egard to the </w:t>
      </w:r>
      <w:r w:rsidR="00EE1EBA">
        <w:rPr>
          <w:i/>
        </w:rPr>
        <w:t>e</w:t>
      </w:r>
      <w:r w:rsidRPr="00B44D49">
        <w:rPr>
          <w:i/>
        </w:rPr>
        <w:t xml:space="preserve">missions of </w:t>
      </w:r>
      <w:r w:rsidR="00B44D49" w:rsidRPr="00B44D49">
        <w:rPr>
          <w:i/>
        </w:rPr>
        <w:t>p</w:t>
      </w:r>
      <w:r w:rsidRPr="00B44D49">
        <w:rPr>
          <w:i/>
        </w:rPr>
        <w:t xml:space="preserve">ollutants </w:t>
      </w:r>
      <w:r w:rsidR="00B44D49" w:rsidRPr="00B44D49">
        <w:rPr>
          <w:i/>
        </w:rPr>
        <w:t>a</w:t>
      </w:r>
      <w:r w:rsidRPr="00B44D49">
        <w:rPr>
          <w:i/>
        </w:rPr>
        <w:t xml:space="preserve">ccording to </w:t>
      </w:r>
      <w:r w:rsidR="00B44D49" w:rsidRPr="00B44D49">
        <w:rPr>
          <w:i/>
        </w:rPr>
        <w:t>e</w:t>
      </w:r>
      <w:r w:rsidRPr="00B44D49">
        <w:rPr>
          <w:i/>
        </w:rPr>
        <w:t>ngi</w:t>
      </w:r>
      <w:r w:rsidR="00265850" w:rsidRPr="00B44D49">
        <w:rPr>
          <w:i/>
        </w:rPr>
        <w:t xml:space="preserve">ne </w:t>
      </w:r>
      <w:r w:rsidR="00B44D49" w:rsidRPr="00B44D49">
        <w:rPr>
          <w:i/>
        </w:rPr>
        <w:t>f</w:t>
      </w:r>
      <w:r w:rsidR="00265850" w:rsidRPr="00B44D49">
        <w:rPr>
          <w:i/>
        </w:rPr>
        <w:t xml:space="preserve">uel </w:t>
      </w:r>
      <w:r w:rsidR="00B44D49" w:rsidRPr="00B44D49">
        <w:rPr>
          <w:i/>
        </w:rPr>
        <w:t>r</w:t>
      </w:r>
      <w:r w:rsidR="00265850" w:rsidRPr="00B44D49">
        <w:rPr>
          <w:i/>
        </w:rPr>
        <w:t>equirements</w:t>
      </w:r>
      <w:r w:rsidR="00265850">
        <w:t>, Revision</w:t>
      </w:r>
      <w:r w:rsidR="00EE1EBA">
        <w:t> </w:t>
      </w:r>
      <w:r w:rsidR="00265850">
        <w:t>4</w:t>
      </w:r>
      <w:r w:rsidRPr="006634F9">
        <w:t>, incorporati</w:t>
      </w:r>
      <w:r w:rsidR="00265850">
        <w:t>ng the 06</w:t>
      </w:r>
      <w:r w:rsidRPr="006634F9">
        <w:t xml:space="preserve"> series of Amendments, are deemed to be equivalent to the technical requirements of this vehicle standard.</w:t>
      </w:r>
    </w:p>
    <w:sectPr w:rsidR="00163F2F" w:rsidSect="00170028"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8C" w:rsidRDefault="00BF518C" w:rsidP="00B44D49">
      <w:r>
        <w:separator/>
      </w:r>
    </w:p>
  </w:endnote>
  <w:endnote w:type="continuationSeparator" w:id="0">
    <w:p w:rsidR="00BF518C" w:rsidRDefault="00BF518C" w:rsidP="00B4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86"/>
    </w:tblGrid>
    <w:tr w:rsidR="004E234B" w:rsidRPr="001C5392" w:rsidTr="002F270B">
      <w:trPr>
        <w:jc w:val="center"/>
      </w:trPr>
      <w:tc>
        <w:tcPr>
          <w:tcW w:w="1134" w:type="dxa"/>
        </w:tcPr>
        <w:p w:rsidR="004E234B" w:rsidRPr="000B139E" w:rsidRDefault="004E234B" w:rsidP="00DE52A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067048">
            <w:rPr>
              <w:rStyle w:val="PageNumber"/>
              <w:rFonts w:ascii="Arial" w:hAnsi="Arial" w:cs="Arial"/>
              <w:noProof/>
              <w:sz w:val="22"/>
              <w:szCs w:val="22"/>
            </w:rPr>
            <w:t>1</w:t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5886" w:type="dxa"/>
        </w:tcPr>
        <w:p w:rsidR="004E234B" w:rsidRPr="001C5392" w:rsidRDefault="004E234B" w:rsidP="00DE52A7">
          <w:pPr>
            <w:pStyle w:val="Footer"/>
            <w:spacing w:before="20" w:line="240" w:lineRule="exact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1C5392">
            <w:rPr>
              <w:rFonts w:ascii="Arial" w:hAnsi="Arial" w:cs="Arial"/>
              <w:i/>
              <w:sz w:val="18"/>
              <w:szCs w:val="18"/>
            </w:rPr>
            <w:t>Vehicle Standa</w:t>
          </w:r>
          <w:r>
            <w:rPr>
              <w:rFonts w:ascii="Arial" w:hAnsi="Arial" w:cs="Arial"/>
              <w:i/>
              <w:sz w:val="18"/>
              <w:szCs w:val="18"/>
            </w:rPr>
            <w:t>rd (Australian Design Rule 79/04</w:t>
          </w:r>
          <w:r w:rsidRPr="001C5392">
            <w:rPr>
              <w:rFonts w:ascii="Arial" w:hAnsi="Arial" w:cs="Arial"/>
              <w:i/>
              <w:sz w:val="18"/>
              <w:szCs w:val="18"/>
            </w:rPr>
            <w:t xml:space="preserve"> – Emission Control for </w:t>
          </w:r>
          <w:r>
            <w:rPr>
              <w:rFonts w:ascii="Arial" w:hAnsi="Arial" w:cs="Arial"/>
              <w:i/>
              <w:sz w:val="18"/>
              <w:szCs w:val="18"/>
            </w:rPr>
            <w:t>Light Vehicles) 2011</w:t>
          </w:r>
        </w:p>
      </w:tc>
    </w:tr>
  </w:tbl>
  <w:p w:rsidR="004E234B" w:rsidRDefault="004E2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8C" w:rsidRDefault="00BF518C" w:rsidP="00B44D49">
      <w:r>
        <w:separator/>
      </w:r>
    </w:p>
  </w:footnote>
  <w:footnote w:type="continuationSeparator" w:id="0">
    <w:p w:rsidR="00BF518C" w:rsidRDefault="00BF518C" w:rsidP="00B4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4B" w:rsidRDefault="004E234B">
    <w:pPr>
      <w:pStyle w:val="Header"/>
    </w:pPr>
    <w:r>
      <w:t>[Type text]</w:t>
    </w:r>
  </w:p>
  <w:p w:rsidR="004E234B" w:rsidRDefault="004E2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45E"/>
    <w:multiLevelType w:val="multilevel"/>
    <w:tmpl w:val="99B2F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A7266D5"/>
    <w:multiLevelType w:val="hybridMultilevel"/>
    <w:tmpl w:val="610A1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7506F"/>
    <w:multiLevelType w:val="multilevel"/>
    <w:tmpl w:val="4B86E370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598"/>
        </w:tabs>
        <w:ind w:left="1598" w:hanging="1418"/>
      </w:pPr>
      <w:rPr>
        <w:rFonts w:hint="default"/>
        <w:b w:val="0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4">
      <w:start w:val="1"/>
      <w:numFmt w:val="decimal"/>
      <w:pStyle w:val="subx4clause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32A"/>
    <w:rsid w:val="000105D7"/>
    <w:rsid w:val="00017EE0"/>
    <w:rsid w:val="000541BA"/>
    <w:rsid w:val="00067048"/>
    <w:rsid w:val="00085CA9"/>
    <w:rsid w:val="000877F0"/>
    <w:rsid w:val="000B4FDF"/>
    <w:rsid w:val="000C2112"/>
    <w:rsid w:val="000E701E"/>
    <w:rsid w:val="001074B8"/>
    <w:rsid w:val="00153033"/>
    <w:rsid w:val="001551EA"/>
    <w:rsid w:val="00163D08"/>
    <w:rsid w:val="00163F2F"/>
    <w:rsid w:val="00170028"/>
    <w:rsid w:val="0019611F"/>
    <w:rsid w:val="001A6709"/>
    <w:rsid w:val="001B14D1"/>
    <w:rsid w:val="001C5AD5"/>
    <w:rsid w:val="001E7A1B"/>
    <w:rsid w:val="001F7218"/>
    <w:rsid w:val="002649E0"/>
    <w:rsid w:val="00265850"/>
    <w:rsid w:val="0028711F"/>
    <w:rsid w:val="002B5DF6"/>
    <w:rsid w:val="002C0E7B"/>
    <w:rsid w:val="002E0BDA"/>
    <w:rsid w:val="002F270B"/>
    <w:rsid w:val="00332B79"/>
    <w:rsid w:val="0034023B"/>
    <w:rsid w:val="00383A99"/>
    <w:rsid w:val="00396E55"/>
    <w:rsid w:val="003E0F94"/>
    <w:rsid w:val="0041302E"/>
    <w:rsid w:val="00426FCD"/>
    <w:rsid w:val="00450BB4"/>
    <w:rsid w:val="004518A1"/>
    <w:rsid w:val="00456AA4"/>
    <w:rsid w:val="0048164A"/>
    <w:rsid w:val="004E234B"/>
    <w:rsid w:val="004F4A14"/>
    <w:rsid w:val="00515FEA"/>
    <w:rsid w:val="00590629"/>
    <w:rsid w:val="00595438"/>
    <w:rsid w:val="005C5D44"/>
    <w:rsid w:val="005D0779"/>
    <w:rsid w:val="006004D5"/>
    <w:rsid w:val="00620E23"/>
    <w:rsid w:val="00640CD0"/>
    <w:rsid w:val="00642C68"/>
    <w:rsid w:val="00686F75"/>
    <w:rsid w:val="006D1421"/>
    <w:rsid w:val="006E70C7"/>
    <w:rsid w:val="007753B5"/>
    <w:rsid w:val="00790674"/>
    <w:rsid w:val="007A53A4"/>
    <w:rsid w:val="007B25E4"/>
    <w:rsid w:val="007C09DB"/>
    <w:rsid w:val="007F4618"/>
    <w:rsid w:val="00815DE8"/>
    <w:rsid w:val="00816701"/>
    <w:rsid w:val="00826587"/>
    <w:rsid w:val="008616C4"/>
    <w:rsid w:val="00872789"/>
    <w:rsid w:val="008828AE"/>
    <w:rsid w:val="008852DE"/>
    <w:rsid w:val="008B0756"/>
    <w:rsid w:val="008E03A8"/>
    <w:rsid w:val="009077BE"/>
    <w:rsid w:val="00915819"/>
    <w:rsid w:val="00960CFD"/>
    <w:rsid w:val="00980DB8"/>
    <w:rsid w:val="009A752B"/>
    <w:rsid w:val="009E7231"/>
    <w:rsid w:val="00A01F0A"/>
    <w:rsid w:val="00A0487A"/>
    <w:rsid w:val="00A42F45"/>
    <w:rsid w:val="00A564B0"/>
    <w:rsid w:val="00A86ACA"/>
    <w:rsid w:val="00A951B9"/>
    <w:rsid w:val="00AA63A4"/>
    <w:rsid w:val="00AF585F"/>
    <w:rsid w:val="00B249A5"/>
    <w:rsid w:val="00B27585"/>
    <w:rsid w:val="00B44D49"/>
    <w:rsid w:val="00B82A5B"/>
    <w:rsid w:val="00BA3F78"/>
    <w:rsid w:val="00BA4A0B"/>
    <w:rsid w:val="00BB025C"/>
    <w:rsid w:val="00BB116A"/>
    <w:rsid w:val="00BC7B71"/>
    <w:rsid w:val="00BE048A"/>
    <w:rsid w:val="00BF518C"/>
    <w:rsid w:val="00BF62FD"/>
    <w:rsid w:val="00C020F4"/>
    <w:rsid w:val="00C04136"/>
    <w:rsid w:val="00C15EF0"/>
    <w:rsid w:val="00C27B3E"/>
    <w:rsid w:val="00C36EC9"/>
    <w:rsid w:val="00C72A47"/>
    <w:rsid w:val="00C76AF7"/>
    <w:rsid w:val="00CA732A"/>
    <w:rsid w:val="00CD20A3"/>
    <w:rsid w:val="00CF6572"/>
    <w:rsid w:val="00D00F95"/>
    <w:rsid w:val="00D10EA6"/>
    <w:rsid w:val="00D11933"/>
    <w:rsid w:val="00D14BBB"/>
    <w:rsid w:val="00D2347A"/>
    <w:rsid w:val="00D5458E"/>
    <w:rsid w:val="00D80E69"/>
    <w:rsid w:val="00D860F1"/>
    <w:rsid w:val="00DE52A7"/>
    <w:rsid w:val="00DF28CE"/>
    <w:rsid w:val="00DF42CE"/>
    <w:rsid w:val="00E014B8"/>
    <w:rsid w:val="00E01DBD"/>
    <w:rsid w:val="00E20BC1"/>
    <w:rsid w:val="00E26531"/>
    <w:rsid w:val="00E27678"/>
    <w:rsid w:val="00E33199"/>
    <w:rsid w:val="00E42C7B"/>
    <w:rsid w:val="00E75D87"/>
    <w:rsid w:val="00E95E8F"/>
    <w:rsid w:val="00EE1EBA"/>
    <w:rsid w:val="00F23D1A"/>
    <w:rsid w:val="00F44A6F"/>
    <w:rsid w:val="00F541EF"/>
    <w:rsid w:val="00F76197"/>
    <w:rsid w:val="00FB2604"/>
    <w:rsid w:val="00FC0105"/>
    <w:rsid w:val="00FC10AB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2A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73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A732A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732A"/>
    <w:rPr>
      <w:rFonts w:ascii="Arial" w:eastAsia="Times New Roman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CA732A"/>
  </w:style>
  <w:style w:type="paragraph" w:styleId="BalloonText">
    <w:name w:val="Balloon Text"/>
    <w:basedOn w:val="Normal"/>
    <w:link w:val="BalloonTextChar"/>
    <w:uiPriority w:val="99"/>
    <w:semiHidden/>
    <w:unhideWhenUsed/>
    <w:rsid w:val="00CA7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2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A732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CA732A"/>
    <w:pPr>
      <w:tabs>
        <w:tab w:val="left" w:pos="480"/>
        <w:tab w:val="left" w:pos="720"/>
        <w:tab w:val="right" w:leader="hyphen" w:pos="8494"/>
        <w:tab w:val="right" w:leader="dot" w:pos="8640"/>
      </w:tabs>
      <w:spacing w:before="120"/>
      <w:ind w:right="902"/>
    </w:pPr>
    <w:rPr>
      <w:rFonts w:ascii="Arial" w:hAnsi="Arial" w:cs="Arial"/>
      <w:b/>
      <w:bCs/>
      <w:noProof/>
      <w:kern w:val="28"/>
      <w:lang w:val="en-US"/>
    </w:rPr>
  </w:style>
  <w:style w:type="paragraph" w:customStyle="1" w:styleId="P1">
    <w:name w:val="P1"/>
    <w:aliases w:val="(a)"/>
    <w:basedOn w:val="Normal"/>
    <w:rsid w:val="00CA732A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R2"/>
    <w:rsid w:val="00CA732A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CA732A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BoswellMediaHeader">
    <w:name w:val="BoswellMediaHeader"/>
    <w:rsid w:val="002649E0"/>
    <w:pPr>
      <w:jc w:val="right"/>
    </w:pPr>
    <w:rPr>
      <w:rFonts w:ascii="Arial" w:eastAsia="Times New Roman" w:hAnsi="Arial"/>
      <w:noProof/>
      <w:sz w:val="23"/>
    </w:rPr>
  </w:style>
  <w:style w:type="paragraph" w:styleId="ListParagraph">
    <w:name w:val="List Paragraph"/>
    <w:basedOn w:val="Normal"/>
    <w:uiPriority w:val="34"/>
    <w:qFormat/>
    <w:rsid w:val="002649E0"/>
    <w:pPr>
      <w:spacing w:before="240"/>
      <w:ind w:left="72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B79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B79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44D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49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B44D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D49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B44D49"/>
  </w:style>
  <w:style w:type="paragraph" w:customStyle="1" w:styleId="ENoteNo">
    <w:name w:val="ENoteNo"/>
    <w:basedOn w:val="Normal"/>
    <w:rsid w:val="00163F2F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styleId="NoteHeading">
    <w:name w:val="Note Heading"/>
    <w:aliases w:val="HN"/>
    <w:basedOn w:val="Normal"/>
    <w:next w:val="Normal"/>
    <w:link w:val="NoteHeadingChar"/>
    <w:rsid w:val="00163F2F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noProof/>
      <w:sz w:val="32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163F2F"/>
    <w:rPr>
      <w:rFonts w:ascii="Arial" w:eastAsia="Times New Roman" w:hAnsi="Arial"/>
      <w:b/>
      <w:noProof/>
      <w:sz w:val="32"/>
      <w:szCs w:val="24"/>
    </w:rPr>
  </w:style>
  <w:style w:type="paragraph" w:customStyle="1" w:styleId="notetext">
    <w:name w:val="notetext"/>
    <w:basedOn w:val="Normal"/>
    <w:rsid w:val="000541BA"/>
    <w:pPr>
      <w:spacing w:before="100" w:beforeAutospacing="1" w:after="100" w:afterAutospacing="1"/>
    </w:pPr>
    <w:rPr>
      <w:lang w:eastAsia="en-AU"/>
    </w:rPr>
  </w:style>
  <w:style w:type="paragraph" w:styleId="FootnoteText">
    <w:name w:val="footnote text"/>
    <w:basedOn w:val="Normal"/>
    <w:link w:val="FootnoteTextChar"/>
    <w:semiHidden/>
    <w:rsid w:val="00642C68"/>
    <w:rPr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642C68"/>
    <w:rPr>
      <w:rFonts w:eastAsia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642C68"/>
    <w:rPr>
      <w:vertAlign w:val="superscript"/>
    </w:rPr>
  </w:style>
  <w:style w:type="paragraph" w:customStyle="1" w:styleId="Clauseheadding">
    <w:name w:val="Clause headding"/>
    <w:basedOn w:val="Normal"/>
    <w:next w:val="Normal"/>
    <w:rsid w:val="00E014B8"/>
    <w:pPr>
      <w:numPr>
        <w:numId w:val="2"/>
      </w:numPr>
      <w:spacing w:before="240" w:after="120"/>
    </w:pPr>
    <w:rPr>
      <w:b/>
      <w:caps/>
      <w:lang w:eastAsia="en-AU"/>
    </w:rPr>
  </w:style>
  <w:style w:type="paragraph" w:customStyle="1" w:styleId="Subclause">
    <w:name w:val="Sub clause"/>
    <w:basedOn w:val="Normal"/>
    <w:next w:val="Normal"/>
    <w:rsid w:val="00E014B8"/>
    <w:pPr>
      <w:numPr>
        <w:ilvl w:val="1"/>
        <w:numId w:val="2"/>
      </w:numPr>
      <w:spacing w:before="120" w:after="120"/>
    </w:pPr>
    <w:rPr>
      <w:lang w:eastAsia="en-AU"/>
    </w:rPr>
  </w:style>
  <w:style w:type="paragraph" w:customStyle="1" w:styleId="Subsubclause">
    <w:name w:val="Subsub clause"/>
    <w:basedOn w:val="Normal"/>
    <w:next w:val="Normal"/>
    <w:rsid w:val="00E014B8"/>
    <w:pPr>
      <w:numPr>
        <w:ilvl w:val="2"/>
        <w:numId w:val="2"/>
      </w:numPr>
      <w:spacing w:before="120" w:after="120"/>
    </w:pPr>
    <w:rPr>
      <w:lang w:eastAsia="en-AU"/>
    </w:rPr>
  </w:style>
  <w:style w:type="paragraph" w:customStyle="1" w:styleId="Subsubsubclause">
    <w:name w:val="Subsubsub clause"/>
    <w:basedOn w:val="Normal"/>
    <w:next w:val="Normal"/>
    <w:rsid w:val="00E014B8"/>
    <w:pPr>
      <w:numPr>
        <w:ilvl w:val="3"/>
        <w:numId w:val="2"/>
      </w:numPr>
      <w:spacing w:before="120" w:after="120"/>
    </w:pPr>
    <w:rPr>
      <w:lang w:eastAsia="en-AU"/>
    </w:rPr>
  </w:style>
  <w:style w:type="paragraph" w:customStyle="1" w:styleId="subx4clause">
    <w:name w:val="subx4 clause"/>
    <w:basedOn w:val="Normal"/>
    <w:next w:val="Normal"/>
    <w:rsid w:val="00E014B8"/>
    <w:pPr>
      <w:numPr>
        <w:ilvl w:val="4"/>
        <w:numId w:val="2"/>
      </w:numPr>
      <w:spacing w:before="120" w:after="120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9355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7E22-2A80-46C2-BB4F-C8C72E26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3847</Characters>
  <Application>Microsoft Office Word</Application>
  <DocSecurity>4</DocSecurity>
  <Lines>101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Cox</dc:creator>
  <cp:lastModifiedBy>McLeod, Andrew</cp:lastModifiedBy>
  <cp:revision>2</cp:revision>
  <cp:lastPrinted>2011-09-01T02:58:00Z</cp:lastPrinted>
  <dcterms:created xsi:type="dcterms:W3CDTF">2016-09-16T05:49:00Z</dcterms:created>
  <dcterms:modified xsi:type="dcterms:W3CDTF">2016-09-16T05:49:00Z</dcterms:modified>
</cp:coreProperties>
</file>