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1D0" w:rsidRDefault="00BE4E37" w:rsidP="00CF71D0">
      <w:pPr>
        <w:spacing w:after="240"/>
        <w:rPr>
          <w:sz w:val="26"/>
          <w:szCs w:val="26"/>
        </w:rPr>
      </w:pPr>
      <w:r>
        <w:rPr>
          <w:noProof/>
          <w:sz w:val="26"/>
          <w:szCs w:val="26"/>
        </w:rPr>
        <w:pict>
          <v:shapetype id="_x0000_t202" coordsize="21600,21600" o:spt="202" path="m,l,21600r21600,l21600,xe">
            <v:stroke joinstyle="miter"/>
            <v:path gradientshapeok="t" o:connecttype="rect"/>
          </v:shapetype>
          <v:shape id="_x0000_s1028" type="#_x0000_t202" style="position:absolute;margin-left:321.75pt;margin-top:-60.4pt;width:166pt;height:24.3pt;z-index:251658752;mso-height-percent:200;mso-height-percent:200;mso-width-relative:margin;mso-height-relative:margin" filled="f" stroked="f">
            <v:textbox style="mso-fit-shape-to-text:t">
              <w:txbxContent>
                <w:p w:rsidR="00CD41EE" w:rsidRPr="00C357DB" w:rsidRDefault="00CD41EE" w:rsidP="00CD41EE">
                  <w:pPr>
                    <w:rPr>
                      <w:rFonts w:asciiTheme="minorHAnsi" w:hAnsiTheme="minorHAnsi" w:cstheme="minorHAnsi"/>
                      <w:b/>
                      <w:sz w:val="28"/>
                    </w:rPr>
                  </w:pPr>
                </w:p>
              </w:txbxContent>
            </v:textbox>
          </v:shape>
        </w:pict>
      </w:r>
      <w:r w:rsidR="00952C2D">
        <w:rPr>
          <w:noProof/>
          <w:sz w:val="26"/>
          <w:szCs w:val="26"/>
        </w:rPr>
        <w:drawing>
          <wp:inline distT="0" distB="0" distL="0" distR="0">
            <wp:extent cx="139065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0650" cy="1104900"/>
                    </a:xfrm>
                    <a:prstGeom prst="rect">
                      <a:avLst/>
                    </a:prstGeom>
                    <a:noFill/>
                    <a:ln>
                      <a:noFill/>
                    </a:ln>
                  </pic:spPr>
                </pic:pic>
              </a:graphicData>
            </a:graphic>
          </wp:inline>
        </w:drawing>
      </w:r>
    </w:p>
    <w:p w:rsidR="00CF71D0" w:rsidRPr="00B30489" w:rsidRDefault="00C07108" w:rsidP="00CF71D0">
      <w:pPr>
        <w:pStyle w:val="Title"/>
        <w:pBdr>
          <w:bottom w:val="single" w:sz="4" w:space="3" w:color="auto"/>
        </w:pBdr>
      </w:pPr>
      <w:bookmarkStart w:id="0" w:name="Citation"/>
      <w:r>
        <w:t xml:space="preserve">Minor </w:t>
      </w:r>
      <w:r w:rsidR="00CF71D0">
        <w:t>Variation to the National Environment Protection (Air Toxics) Measure 2011</w:t>
      </w:r>
      <w:bookmarkEnd w:id="0"/>
    </w:p>
    <w:p w:rsidR="00C07108" w:rsidRDefault="00C07108" w:rsidP="00C07108">
      <w:pPr>
        <w:spacing w:before="360"/>
      </w:pPr>
      <w:r>
        <w:t xml:space="preserve">The National Environment Protection Council makes this minor variation to the National Environment Protection (Air Toxics) Measure under </w:t>
      </w:r>
      <w:r w:rsidRPr="004F1D68">
        <w:rPr>
          <w:i/>
        </w:rPr>
        <w:t>the National Environment Protection Council Act 1994</w:t>
      </w:r>
      <w:r>
        <w:t xml:space="preserve"> (</w:t>
      </w:r>
      <w:proofErr w:type="spellStart"/>
      <w:r>
        <w:t>Cth</w:t>
      </w:r>
      <w:proofErr w:type="spellEnd"/>
      <w:r>
        <w:t xml:space="preserve">), </w:t>
      </w:r>
      <w:r w:rsidRPr="004F1D68">
        <w:rPr>
          <w:i/>
        </w:rPr>
        <w:t>National Environment Protection Council (New South Wales) Act 1995</w:t>
      </w:r>
      <w:r>
        <w:t xml:space="preserve"> (NSW), </w:t>
      </w:r>
      <w:r w:rsidRPr="004F1D68">
        <w:rPr>
          <w:i/>
        </w:rPr>
        <w:t>National Environment Protection (Victoria) Act 1995</w:t>
      </w:r>
      <w:r>
        <w:t xml:space="preserve"> (Vic), </w:t>
      </w:r>
      <w:r w:rsidRPr="004F1D68">
        <w:rPr>
          <w:i/>
        </w:rPr>
        <w:t>National Environment Protection Council (Queensland) Act 1994</w:t>
      </w:r>
      <w:r>
        <w:t xml:space="preserve"> (Qld), </w:t>
      </w:r>
      <w:r w:rsidRPr="004F1D68">
        <w:rPr>
          <w:i/>
        </w:rPr>
        <w:t>National Environment Protection Council (Western Australia) Act 1996</w:t>
      </w:r>
      <w:r>
        <w:t xml:space="preserve"> (WA), </w:t>
      </w:r>
      <w:r w:rsidRPr="004F1D68">
        <w:rPr>
          <w:i/>
        </w:rPr>
        <w:t>National Environment Protection Council (South Australia) Act 1995</w:t>
      </w:r>
      <w:r>
        <w:t xml:space="preserve"> (SA), </w:t>
      </w:r>
      <w:r w:rsidRPr="004F1D68">
        <w:rPr>
          <w:i/>
        </w:rPr>
        <w:t>National Environment Protection Council (Tasmania) Act 1995</w:t>
      </w:r>
      <w:r>
        <w:t xml:space="preserve"> (Tas), </w:t>
      </w:r>
      <w:r w:rsidRPr="004F1D68">
        <w:rPr>
          <w:i/>
        </w:rPr>
        <w:t>National Environment Protection Council (Northern Territory) Act</w:t>
      </w:r>
      <w:r>
        <w:t xml:space="preserve"> (NT), and the </w:t>
      </w:r>
      <w:r w:rsidRPr="004F1D68">
        <w:rPr>
          <w:i/>
        </w:rPr>
        <w:t>National Environment Protection Council Act 1994</w:t>
      </w:r>
      <w:r>
        <w:t xml:space="preserve"> (ACT).</w:t>
      </w:r>
    </w:p>
    <w:p w:rsidR="00CF71D0" w:rsidRDefault="00CF71D0" w:rsidP="00CF71D0">
      <w:pPr>
        <w:tabs>
          <w:tab w:val="left" w:pos="1320"/>
        </w:tabs>
        <w:spacing w:before="300" w:after="600" w:line="300" w:lineRule="atLeast"/>
      </w:pPr>
      <w:r w:rsidRPr="00B30489">
        <w:t>Dated</w:t>
      </w:r>
      <w:r>
        <w:t xml:space="preserve"> </w:t>
      </w:r>
      <w:bookmarkStart w:id="1" w:name="Year"/>
      <w:r>
        <w:tab/>
      </w:r>
      <w:r w:rsidR="00740B11" w:rsidRPr="00740B11">
        <w:t>1</w:t>
      </w:r>
      <w:r w:rsidR="009C54EF">
        <w:t>6</w:t>
      </w:r>
      <w:r w:rsidR="00740B11" w:rsidRPr="00740B11">
        <w:t xml:space="preserve"> September</w:t>
      </w:r>
      <w:r w:rsidRPr="00740B11">
        <w:t xml:space="preserve"> 2011</w:t>
      </w:r>
      <w:bookmarkStart w:id="2" w:name="_Toc295121788"/>
      <w:bookmarkEnd w:id="1"/>
    </w:p>
    <w:p w:rsidR="00CF71D0" w:rsidRPr="00B30489" w:rsidRDefault="00CF71D0" w:rsidP="00CF71D0">
      <w:pPr>
        <w:pStyle w:val="Title"/>
        <w:pBdr>
          <w:bottom w:val="single" w:sz="4" w:space="3" w:color="auto"/>
        </w:pBdr>
      </w:pPr>
    </w:p>
    <w:p w:rsidR="00CF71D0" w:rsidRDefault="00CF71D0" w:rsidP="00CF71D0">
      <w:pPr>
        <w:pStyle w:val="HR"/>
        <w:spacing w:before="240"/>
        <w:rPr>
          <w:rStyle w:val="CharSectno"/>
        </w:rPr>
      </w:pPr>
    </w:p>
    <w:p w:rsidR="00CF71D0" w:rsidRPr="00B30489" w:rsidRDefault="00CF71D0" w:rsidP="00CF71D0">
      <w:pPr>
        <w:pStyle w:val="HR"/>
        <w:spacing w:before="240"/>
      </w:pPr>
      <w:r w:rsidRPr="00224081">
        <w:rPr>
          <w:rStyle w:val="CharSectno"/>
        </w:rPr>
        <w:t>1</w:t>
      </w:r>
      <w:r w:rsidRPr="00B30489">
        <w:tab/>
        <w:t xml:space="preserve">Name of </w:t>
      </w:r>
      <w:r>
        <w:t>Variation</w:t>
      </w:r>
      <w:bookmarkEnd w:id="2"/>
    </w:p>
    <w:p w:rsidR="00CF71D0" w:rsidRPr="00B30489" w:rsidRDefault="00CF71D0" w:rsidP="00CF71D0">
      <w:pPr>
        <w:pStyle w:val="R1"/>
        <w:jc w:val="left"/>
      </w:pPr>
      <w:r w:rsidRPr="00B30489">
        <w:tab/>
      </w:r>
      <w:r w:rsidRPr="00B30489">
        <w:tab/>
        <w:t xml:space="preserve">This </w:t>
      </w:r>
      <w:r w:rsidR="00C07108">
        <w:t xml:space="preserve">Minor </w:t>
      </w:r>
      <w:r>
        <w:t>Variation</w:t>
      </w:r>
      <w:r w:rsidRPr="00B30489">
        <w:t xml:space="preserve"> is the </w:t>
      </w:r>
      <w:r w:rsidR="00C07108" w:rsidRPr="00C07108">
        <w:rPr>
          <w:i/>
        </w:rPr>
        <w:t xml:space="preserve">Minor </w:t>
      </w:r>
      <w:r w:rsidR="00BE4E37" w:rsidRPr="00B30489">
        <w:rPr>
          <w:i/>
          <w:iCs/>
        </w:rPr>
        <w:fldChar w:fldCharType="begin"/>
      </w:r>
      <w:r w:rsidRPr="00B30489">
        <w:rPr>
          <w:i/>
          <w:iCs/>
        </w:rPr>
        <w:instrText xml:space="preserve"> REF Citation \*charformat  \* MERGEFORMAT </w:instrText>
      </w:r>
      <w:r w:rsidR="00BE4E37" w:rsidRPr="00B30489">
        <w:rPr>
          <w:i/>
          <w:iCs/>
        </w:rPr>
        <w:fldChar w:fldCharType="separate"/>
      </w:r>
      <w:proofErr w:type="spellStart"/>
      <w:r w:rsidR="00A129B6" w:rsidRPr="00A129B6">
        <w:rPr>
          <w:i/>
          <w:iCs/>
        </w:rPr>
        <w:t>Minor</w:t>
      </w:r>
      <w:proofErr w:type="spellEnd"/>
      <w:r w:rsidR="00A129B6" w:rsidRPr="00A129B6">
        <w:rPr>
          <w:i/>
          <w:iCs/>
        </w:rPr>
        <w:t xml:space="preserve"> Variation to the National Environment Protection (Air Toxics) Measure 2011</w:t>
      </w:r>
      <w:r w:rsidR="00BE4E37" w:rsidRPr="00B30489">
        <w:rPr>
          <w:i/>
          <w:iCs/>
        </w:rPr>
        <w:fldChar w:fldCharType="end"/>
      </w:r>
      <w:r w:rsidRPr="00B30489">
        <w:t>.</w:t>
      </w:r>
    </w:p>
    <w:p w:rsidR="00CF71D0" w:rsidRPr="00A93E53" w:rsidRDefault="00CF71D0" w:rsidP="00CF71D0">
      <w:pPr>
        <w:pStyle w:val="HR"/>
        <w:spacing w:before="240"/>
        <w:rPr>
          <w:rStyle w:val="CharSectno"/>
        </w:rPr>
      </w:pPr>
      <w:bookmarkStart w:id="3" w:name="_Toc295121789"/>
      <w:r w:rsidRPr="00224081">
        <w:rPr>
          <w:rStyle w:val="CharSectno"/>
        </w:rPr>
        <w:t>2</w:t>
      </w:r>
      <w:r w:rsidRPr="00A93E53">
        <w:rPr>
          <w:rStyle w:val="CharSectno"/>
        </w:rPr>
        <w:tab/>
        <w:t>Commencement</w:t>
      </w:r>
      <w:bookmarkEnd w:id="3"/>
    </w:p>
    <w:p w:rsidR="00CF71D0" w:rsidRPr="00B30489" w:rsidRDefault="00CF71D0" w:rsidP="00CF71D0">
      <w:pPr>
        <w:pStyle w:val="R1"/>
        <w:jc w:val="left"/>
      </w:pPr>
      <w:r w:rsidRPr="00B30489">
        <w:tab/>
      </w:r>
      <w:r w:rsidRPr="00B30489">
        <w:tab/>
        <w:t xml:space="preserve">This </w:t>
      </w:r>
      <w:r w:rsidR="00C07108">
        <w:t xml:space="preserve">Minor </w:t>
      </w:r>
      <w:r>
        <w:t>Variation</w:t>
      </w:r>
      <w:r w:rsidRPr="00B30489">
        <w:t xml:space="preserve"> commences </w:t>
      </w:r>
      <w:r>
        <w:t>on the day after it is registered on the Federal Register of Legislative Instruments</w:t>
      </w:r>
      <w:r w:rsidRPr="00B30489">
        <w:t>.</w:t>
      </w:r>
    </w:p>
    <w:p w:rsidR="00CF71D0" w:rsidRPr="00A93E53" w:rsidRDefault="00CF71D0" w:rsidP="00CF71D0">
      <w:pPr>
        <w:pStyle w:val="HR"/>
        <w:spacing w:before="240"/>
        <w:rPr>
          <w:rStyle w:val="CharSectno"/>
        </w:rPr>
      </w:pPr>
      <w:bookmarkStart w:id="4" w:name="_Toc295121790"/>
      <w:r>
        <w:rPr>
          <w:rStyle w:val="CharSectno"/>
        </w:rPr>
        <w:t>3</w:t>
      </w:r>
      <w:r w:rsidRPr="00A93E53">
        <w:rPr>
          <w:rStyle w:val="CharSectno"/>
        </w:rPr>
        <w:tab/>
      </w:r>
      <w:r>
        <w:rPr>
          <w:rStyle w:val="CharSectno"/>
        </w:rPr>
        <w:t>Amendment of National Environment Protection (Air Toxics) Measure</w:t>
      </w:r>
      <w:bookmarkEnd w:id="4"/>
      <w:r w:rsidRPr="00A93E53">
        <w:rPr>
          <w:rStyle w:val="CharSectno"/>
        </w:rPr>
        <w:t xml:space="preserve"> </w:t>
      </w:r>
    </w:p>
    <w:p w:rsidR="00CF71D0" w:rsidRDefault="00CF71D0" w:rsidP="00CF71D0">
      <w:pPr>
        <w:pStyle w:val="R2"/>
        <w:jc w:val="left"/>
      </w:pPr>
      <w:r w:rsidRPr="00B30489">
        <w:tab/>
      </w:r>
      <w:r w:rsidRPr="00B30489">
        <w:tab/>
      </w:r>
      <w:r>
        <w:t>Schedule 1 amends the National Environment Protection (Air Toxics) Measure.</w:t>
      </w:r>
    </w:p>
    <w:p w:rsidR="00CF71D0" w:rsidRDefault="00CF71D0" w:rsidP="00CF71D0">
      <w:pPr>
        <w:pStyle w:val="R2"/>
        <w:jc w:val="left"/>
        <w:rPr>
          <w:rStyle w:val="CharPartText"/>
          <w:rFonts w:ascii="Arial" w:hAnsi="Arial" w:cs="Arial"/>
          <w:b/>
          <w:sz w:val="28"/>
          <w:szCs w:val="28"/>
        </w:rPr>
      </w:pPr>
      <w:r>
        <w:br w:type="page"/>
      </w:r>
      <w:bookmarkStart w:id="5" w:name="_Toc163460137"/>
      <w:bookmarkStart w:id="6" w:name="_Toc295121791"/>
      <w:r w:rsidRPr="00941A43">
        <w:rPr>
          <w:rStyle w:val="CharPartNo"/>
          <w:rFonts w:ascii="Arial" w:hAnsi="Arial" w:cs="Arial"/>
          <w:b/>
          <w:sz w:val="28"/>
          <w:szCs w:val="28"/>
        </w:rPr>
        <w:lastRenderedPageBreak/>
        <w:t>Schedule 1</w:t>
      </w:r>
      <w:r w:rsidRPr="00941A43">
        <w:rPr>
          <w:rFonts w:ascii="Arial" w:hAnsi="Arial" w:cs="Arial"/>
          <w:b/>
          <w:sz w:val="28"/>
          <w:szCs w:val="28"/>
        </w:rPr>
        <w:tab/>
      </w:r>
      <w:bookmarkEnd w:id="5"/>
      <w:r w:rsidRPr="00941A43">
        <w:rPr>
          <w:rFonts w:ascii="Arial" w:hAnsi="Arial" w:cs="Arial"/>
          <w:b/>
          <w:sz w:val="28"/>
          <w:szCs w:val="28"/>
        </w:rPr>
        <w:tab/>
      </w:r>
      <w:r w:rsidRPr="00941A43">
        <w:rPr>
          <w:rStyle w:val="CharPartText"/>
          <w:rFonts w:ascii="Arial" w:hAnsi="Arial" w:cs="Arial"/>
          <w:b/>
          <w:sz w:val="28"/>
          <w:szCs w:val="28"/>
        </w:rPr>
        <w:t>Amendments</w:t>
      </w:r>
      <w:bookmarkEnd w:id="6"/>
    </w:p>
    <w:p w:rsidR="00CF71D0" w:rsidRPr="00DC0634" w:rsidRDefault="00CF71D0" w:rsidP="00CF71D0">
      <w:pPr>
        <w:pStyle w:val="R2"/>
        <w:jc w:val="left"/>
        <w:rPr>
          <w:rFonts w:ascii="Arial" w:hAnsi="Arial" w:cs="Arial"/>
          <w:sz w:val="20"/>
          <w:szCs w:val="20"/>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Pr="00DC0634">
        <w:rPr>
          <w:rFonts w:ascii="Arial" w:hAnsi="Arial" w:cs="Arial"/>
          <w:sz w:val="20"/>
          <w:szCs w:val="20"/>
        </w:rPr>
        <w:t>(section 3)</w:t>
      </w:r>
    </w:p>
    <w:p w:rsidR="00CF71D0" w:rsidRDefault="00BE4E37" w:rsidP="00CF71D0">
      <w:pPr>
        <w:pStyle w:val="Header"/>
        <w:rPr>
          <w:rStyle w:val="CharDivText"/>
          <w:rFonts w:cs="Arial"/>
        </w:rPr>
      </w:pPr>
      <w:r w:rsidRPr="00BE4E37">
        <w:rPr>
          <w:rFonts w:ascii="Arial" w:hAnsi="Arial" w:cs="Arial"/>
          <w:b/>
          <w:noProof/>
          <w:sz w:val="28"/>
          <w:szCs w:val="28"/>
        </w:rPr>
        <w:pict>
          <v:shape id="Text Box 5" o:spid="_x0000_s1026" type="#_x0000_t202" style="position:absolute;margin-left:0;margin-top:10pt;width:420pt;height:18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">
            <v:textbox>
              <w:txbxContent>
                <w:p w:rsidR="002E17EB" w:rsidRPr="00941A43" w:rsidRDefault="002E17EB" w:rsidP="00CF71D0">
                  <w:pPr>
                    <w:pStyle w:val="Header"/>
                    <w:spacing w:before="120" w:after="120"/>
                    <w:jc w:val="center"/>
                    <w:rPr>
                      <w:rFonts w:ascii="Arial" w:hAnsi="Arial" w:cs="Arial"/>
                      <w:b/>
                      <w:bCs/>
                      <w:sz w:val="28"/>
                      <w:szCs w:val="28"/>
                    </w:rPr>
                  </w:pPr>
                  <w:r w:rsidRPr="00941A43">
                    <w:rPr>
                      <w:rFonts w:ascii="Arial" w:hAnsi="Arial" w:cs="Arial"/>
                      <w:b/>
                      <w:bCs/>
                      <w:sz w:val="28"/>
                      <w:szCs w:val="28"/>
                    </w:rPr>
                    <w:t>Introductory Note</w:t>
                  </w:r>
                </w:p>
                <w:p w:rsidR="002E17EB" w:rsidRDefault="002E17EB" w:rsidP="00CF71D0">
                  <w:pPr>
                    <w:pStyle w:val="Header"/>
                    <w:rPr>
                      <w:rFonts w:cs="Arial"/>
                    </w:rPr>
                  </w:pPr>
                  <w:r w:rsidRPr="00941A43">
                    <w:rPr>
                      <w:rFonts w:cs="Arial"/>
                    </w:rPr>
                    <w:t xml:space="preserve">Section 22A of the </w:t>
                  </w:r>
                  <w:r w:rsidRPr="00941A43">
                    <w:rPr>
                      <w:rFonts w:cs="Arial"/>
                      <w:i/>
                      <w:iCs/>
                    </w:rPr>
                    <w:t xml:space="preserve">National Environment Protection Council Act 1994 </w:t>
                  </w:r>
                  <w:r w:rsidRPr="00941A43">
                    <w:rPr>
                      <w:rFonts w:cs="Arial"/>
                    </w:rPr>
                    <w:t>and the</w:t>
                  </w:r>
                  <w:r>
                    <w:rPr>
                      <w:rFonts w:cs="Arial"/>
                    </w:rPr>
                    <w:t xml:space="preserve"> </w:t>
                  </w:r>
                  <w:r w:rsidRPr="00941A43">
                    <w:rPr>
                      <w:rFonts w:cs="Arial"/>
                    </w:rPr>
                    <w:t>equivalent provision of the corresponding Act of each participating State and</w:t>
                  </w:r>
                  <w:r>
                    <w:rPr>
                      <w:rFonts w:cs="Arial"/>
                    </w:rPr>
                    <w:t xml:space="preserve"> </w:t>
                  </w:r>
                  <w:r w:rsidRPr="00941A43">
                    <w:rPr>
                      <w:rFonts w:cs="Arial"/>
                    </w:rPr>
                    <w:t>Territory enables the National Environment Protection Council to make a minor</w:t>
                  </w:r>
                  <w:r>
                    <w:rPr>
                      <w:rFonts w:cs="Arial"/>
                    </w:rPr>
                    <w:t xml:space="preserve"> </w:t>
                  </w:r>
                  <w:r w:rsidRPr="00941A43">
                    <w:rPr>
                      <w:rFonts w:cs="Arial"/>
                    </w:rPr>
                    <w:t xml:space="preserve">variation to a national environment protection measure. This is a </w:t>
                  </w:r>
                  <w:r w:rsidR="00122E8D">
                    <w:rPr>
                      <w:rFonts w:cs="Arial"/>
                    </w:rPr>
                    <w:t xml:space="preserve">minor </w:t>
                  </w:r>
                  <w:r w:rsidRPr="00941A43">
                    <w:rPr>
                      <w:rFonts w:cs="Arial"/>
                    </w:rPr>
                    <w:t>variation to the</w:t>
                  </w:r>
                  <w:r>
                    <w:rPr>
                      <w:rFonts w:cs="Arial"/>
                    </w:rPr>
                    <w:t xml:space="preserve"> </w:t>
                  </w:r>
                  <w:r w:rsidRPr="00941A43">
                    <w:rPr>
                      <w:rFonts w:cs="Arial"/>
                    </w:rPr>
                    <w:t>National Environment Protection (</w:t>
                  </w:r>
                  <w:r>
                    <w:rPr>
                      <w:rFonts w:cs="Arial"/>
                    </w:rPr>
                    <w:t>Air Toxics</w:t>
                  </w:r>
                  <w:r w:rsidRPr="00941A43">
                    <w:rPr>
                      <w:rFonts w:cs="Arial"/>
                    </w:rPr>
                    <w:t>) Measure</w:t>
                  </w:r>
                  <w:r>
                    <w:rPr>
                      <w:rFonts w:cs="Arial"/>
                    </w:rPr>
                    <w:t>,</w:t>
                  </w:r>
                  <w:r w:rsidRPr="00941A43">
                    <w:rPr>
                      <w:rFonts w:cs="Arial"/>
                    </w:rPr>
                    <w:t xml:space="preserve"> which was</w:t>
                  </w:r>
                  <w:r>
                    <w:rPr>
                      <w:rFonts w:cs="Arial"/>
                    </w:rPr>
                    <w:t xml:space="preserve"> </w:t>
                  </w:r>
                  <w:r w:rsidRPr="00941A43">
                    <w:rPr>
                      <w:rFonts w:cs="Arial"/>
                    </w:rPr>
                    <w:t xml:space="preserve">made by the National Environment Protection Council on </w:t>
                  </w:r>
                  <w:r>
                    <w:rPr>
                      <w:rFonts w:cs="Arial"/>
                    </w:rPr>
                    <w:t>3 December 2004</w:t>
                  </w:r>
                  <w:r w:rsidRPr="00941A43">
                    <w:rPr>
                      <w:rFonts w:cs="Arial"/>
                    </w:rPr>
                    <w:t>.</w:t>
                  </w:r>
                </w:p>
                <w:p w:rsidR="002E17EB" w:rsidRPr="00941A43" w:rsidRDefault="002E17EB" w:rsidP="00CF71D0">
                  <w:pPr>
                    <w:pStyle w:val="Header"/>
                    <w:rPr>
                      <w:rFonts w:cs="Arial"/>
                    </w:rPr>
                  </w:pPr>
                </w:p>
                <w:p w:rsidR="002E17EB" w:rsidRPr="00941A43" w:rsidRDefault="002E17EB" w:rsidP="00CF71D0">
                  <w:pPr>
                    <w:pStyle w:val="Header"/>
                    <w:rPr>
                      <w:rFonts w:cs="Arial"/>
                    </w:rPr>
                  </w:pPr>
                  <w:r w:rsidRPr="00941A43">
                    <w:rPr>
                      <w:rFonts w:cs="Arial"/>
                    </w:rPr>
                    <w:t xml:space="preserve">The </w:t>
                  </w:r>
                  <w:r w:rsidR="00122E8D">
                    <w:rPr>
                      <w:rFonts w:cs="Arial"/>
                    </w:rPr>
                    <w:t xml:space="preserve">Minor </w:t>
                  </w:r>
                  <w:r w:rsidRPr="00941A43">
                    <w:rPr>
                      <w:rFonts w:cs="Arial"/>
                    </w:rPr>
                    <w:t>Variation is to be implemented by the laws and other arrangements participating</w:t>
                  </w:r>
                  <w:r>
                    <w:rPr>
                      <w:rFonts w:cs="Arial"/>
                    </w:rPr>
                    <w:t xml:space="preserve"> </w:t>
                  </w:r>
                  <w:r w:rsidRPr="00941A43">
                    <w:rPr>
                      <w:rFonts w:cs="Arial"/>
                    </w:rPr>
                    <w:t>jurisdictions consider necessary pursuant to section 7 of the Commonwealth Act and</w:t>
                  </w:r>
                  <w:r>
                    <w:rPr>
                      <w:rFonts w:cs="Arial"/>
                    </w:rPr>
                    <w:t xml:space="preserve"> </w:t>
                  </w:r>
                  <w:r w:rsidRPr="00941A43">
                    <w:rPr>
                      <w:rFonts w:cs="Arial"/>
                    </w:rPr>
                    <w:t>the equivalent provision of the corresponding Act of each participating State and</w:t>
                  </w:r>
                  <w:r>
                    <w:rPr>
                      <w:rFonts w:cs="Arial"/>
                    </w:rPr>
                    <w:t xml:space="preserve"> </w:t>
                  </w:r>
                  <w:r w:rsidRPr="00941A43">
                    <w:rPr>
                      <w:rFonts w:cs="Arial"/>
                    </w:rPr>
                    <w:t>Territory.</w:t>
                  </w:r>
                </w:p>
                <w:p w:rsidR="002E17EB" w:rsidRDefault="002E17EB" w:rsidP="00CF71D0"/>
              </w:txbxContent>
            </v:textbox>
          </v:shape>
        </w:pict>
      </w:r>
      <w:r w:rsidR="00CF71D0" w:rsidRPr="00B30489">
        <w:rPr>
          <w:rStyle w:val="CharDivNo"/>
          <w:rFonts w:cs="Arial"/>
        </w:rPr>
        <w:t xml:space="preserve"> </w:t>
      </w:r>
    </w:p>
    <w:p w:rsidR="00CF71D0" w:rsidRDefault="00CF71D0" w:rsidP="00CF71D0">
      <w:pPr>
        <w:pStyle w:val="HR"/>
        <w:rPr>
          <w:rStyle w:val="CharSectno"/>
        </w:rPr>
      </w:pPr>
      <w:bookmarkStart w:id="7" w:name="_Toc295121792"/>
    </w:p>
    <w:p w:rsidR="00CF71D0" w:rsidRDefault="00CF71D0" w:rsidP="00CF71D0">
      <w:pPr>
        <w:pStyle w:val="HR"/>
        <w:rPr>
          <w:rStyle w:val="CharSectno"/>
        </w:rPr>
      </w:pPr>
    </w:p>
    <w:p w:rsidR="00CF71D0" w:rsidRDefault="00CF71D0" w:rsidP="00CF71D0">
      <w:pPr>
        <w:pStyle w:val="HR"/>
        <w:rPr>
          <w:rStyle w:val="CharSectno"/>
        </w:rPr>
      </w:pPr>
    </w:p>
    <w:p w:rsidR="00CF71D0" w:rsidRDefault="00CF71D0" w:rsidP="00CF71D0">
      <w:pPr>
        <w:pStyle w:val="HR"/>
        <w:rPr>
          <w:rStyle w:val="CharSectno"/>
        </w:rPr>
      </w:pPr>
    </w:p>
    <w:p w:rsidR="00CF71D0" w:rsidRDefault="00CF71D0" w:rsidP="00CF71D0">
      <w:pPr>
        <w:pStyle w:val="HR"/>
        <w:rPr>
          <w:rStyle w:val="CharSectno"/>
        </w:rPr>
      </w:pPr>
    </w:p>
    <w:p w:rsidR="00CF71D0" w:rsidRDefault="00CF71D0" w:rsidP="00CF71D0">
      <w:pPr>
        <w:pStyle w:val="HR"/>
        <w:rPr>
          <w:rStyle w:val="CharSectno"/>
        </w:rPr>
      </w:pPr>
    </w:p>
    <w:p w:rsidR="00CF71D0" w:rsidRDefault="00CF71D0" w:rsidP="00CF71D0">
      <w:pPr>
        <w:pStyle w:val="HR"/>
      </w:pPr>
      <w:r>
        <w:rPr>
          <w:rStyle w:val="CharSectno"/>
        </w:rPr>
        <w:t>[1]</w:t>
      </w:r>
      <w:r>
        <w:tab/>
        <w:t>After subsection 9(3)</w:t>
      </w:r>
    </w:p>
    <w:p w:rsidR="00CF71D0" w:rsidRPr="00BD4862" w:rsidRDefault="00CF71D0" w:rsidP="00CF71D0">
      <w:pPr>
        <w:pStyle w:val="R1"/>
        <w:ind w:left="1560" w:hanging="600"/>
        <w:rPr>
          <w:i/>
        </w:rPr>
      </w:pPr>
      <w:r w:rsidRPr="00BD4862">
        <w:rPr>
          <w:i/>
        </w:rPr>
        <w:t>insert</w:t>
      </w:r>
    </w:p>
    <w:p w:rsidR="00CF71D0" w:rsidRPr="00A3660A" w:rsidRDefault="00CF71D0" w:rsidP="00CF71D0">
      <w:pPr>
        <w:pStyle w:val="R1"/>
        <w:ind w:left="1560" w:hanging="600"/>
      </w:pPr>
      <w:r w:rsidRPr="00A3660A">
        <w:t xml:space="preserve">(4) </w:t>
      </w:r>
      <w:r w:rsidRPr="00A3660A">
        <w:tab/>
        <w:t xml:space="preserve">A participating jurisdiction may only discontinue monitoring for a pollutant at a Stage 2 site if the </w:t>
      </w:r>
      <w:r w:rsidR="00554818">
        <w:t xml:space="preserve">requirements of the </w:t>
      </w:r>
      <w:r w:rsidRPr="00A3660A">
        <w:t xml:space="preserve">screening procedure </w:t>
      </w:r>
      <w:r w:rsidR="00554818">
        <w:t>at</w:t>
      </w:r>
      <w:r w:rsidR="00554818" w:rsidRPr="00A3660A">
        <w:t xml:space="preserve"> </w:t>
      </w:r>
      <w:r w:rsidRPr="00A3660A">
        <w:t>section 7 of Schedule 2 to this Measure</w:t>
      </w:r>
      <w:r w:rsidR="00554818">
        <w:t xml:space="preserve"> are sa</w:t>
      </w:r>
      <w:r w:rsidR="000D5240">
        <w:t>tisfied in relation to the site</w:t>
      </w:r>
      <w:r w:rsidRPr="00A3660A">
        <w:t>.</w:t>
      </w:r>
    </w:p>
    <w:p w:rsidR="00CF71D0" w:rsidRDefault="00CF71D0" w:rsidP="00CF71D0">
      <w:pPr>
        <w:pStyle w:val="HR"/>
      </w:pPr>
      <w:r>
        <w:t>[2]</w:t>
      </w:r>
      <w:r>
        <w:tab/>
        <w:t xml:space="preserve">Subsection </w:t>
      </w:r>
      <w:bookmarkEnd w:id="7"/>
      <w:r>
        <w:t>10(1)</w:t>
      </w:r>
    </w:p>
    <w:p w:rsidR="00CF71D0" w:rsidRPr="00EB0A4B" w:rsidRDefault="00CF71D0" w:rsidP="00CF71D0">
      <w:pPr>
        <w:pStyle w:val="R1"/>
        <w:rPr>
          <w:i/>
        </w:rPr>
      </w:pPr>
      <w:r>
        <w:tab/>
      </w:r>
      <w:r>
        <w:tab/>
      </w:r>
      <w:r w:rsidRPr="00EB0A4B">
        <w:rPr>
          <w:i/>
        </w:rPr>
        <w:t>omit</w:t>
      </w:r>
    </w:p>
    <w:p w:rsidR="00CF71D0" w:rsidRDefault="00CF71D0" w:rsidP="00CF71D0">
      <w:pPr>
        <w:pStyle w:val="R2"/>
      </w:pPr>
      <w:r>
        <w:tab/>
      </w:r>
      <w:r>
        <w:tab/>
      </w:r>
      <w:r>
        <w:tab/>
        <w:t>2922-1987</w:t>
      </w:r>
    </w:p>
    <w:p w:rsidR="00CF71D0" w:rsidRDefault="00CF71D0" w:rsidP="00CF71D0">
      <w:pPr>
        <w:pStyle w:val="R2"/>
      </w:pPr>
      <w:r>
        <w:tab/>
      </w:r>
      <w:r>
        <w:tab/>
      </w:r>
      <w:r w:rsidRPr="00EB0A4B">
        <w:rPr>
          <w:i/>
        </w:rPr>
        <w:t>substitute</w:t>
      </w:r>
    </w:p>
    <w:p w:rsidR="00CF71D0" w:rsidRDefault="00CF71D0" w:rsidP="00CF71D0">
      <w:pPr>
        <w:pStyle w:val="R2"/>
      </w:pPr>
      <w:r>
        <w:tab/>
      </w:r>
      <w:r>
        <w:tab/>
      </w:r>
      <w:r>
        <w:tab/>
        <w:t>/NZS 3580.1.1:2007</w:t>
      </w:r>
    </w:p>
    <w:p w:rsidR="00CF71D0" w:rsidRPr="00597DDA" w:rsidRDefault="00CF71D0" w:rsidP="00CF71D0">
      <w:pPr>
        <w:pStyle w:val="HR"/>
      </w:pPr>
      <w:r w:rsidRPr="00597DDA">
        <w:rPr>
          <w:rStyle w:val="CharSectno"/>
        </w:rPr>
        <w:t>[3]</w:t>
      </w:r>
      <w:r w:rsidRPr="00597DDA">
        <w:tab/>
      </w:r>
      <w:r>
        <w:t>Subsection 15(2)</w:t>
      </w:r>
    </w:p>
    <w:p w:rsidR="00CF71D0" w:rsidRPr="00597DDA" w:rsidRDefault="00CF71D0" w:rsidP="00CF71D0">
      <w:pPr>
        <w:pStyle w:val="R1"/>
        <w:ind w:left="1560" w:hanging="600"/>
        <w:rPr>
          <w:i/>
        </w:rPr>
      </w:pPr>
      <w:r w:rsidRPr="00597DDA">
        <w:rPr>
          <w:i/>
        </w:rPr>
        <w:t xml:space="preserve">after </w:t>
      </w:r>
      <w:r w:rsidRPr="00BE17F4">
        <w:t>“sites”</w:t>
      </w:r>
      <w:r w:rsidRPr="00597DDA">
        <w:rPr>
          <w:i/>
        </w:rPr>
        <w:t>, insert</w:t>
      </w:r>
    </w:p>
    <w:p w:rsidR="00CF71D0" w:rsidRPr="002E3C2B" w:rsidRDefault="00CF71D0" w:rsidP="00CF71D0">
      <w:pPr>
        <w:pStyle w:val="R1"/>
        <w:ind w:left="1440" w:firstLine="0"/>
      </w:pPr>
      <w:r w:rsidRPr="00597DDA">
        <w:t>and prescribes the screening procedure for discontinu</w:t>
      </w:r>
      <w:r>
        <w:t>ing monitoring at Stage 2 sites</w:t>
      </w:r>
    </w:p>
    <w:p w:rsidR="00B84558" w:rsidRDefault="00CF71D0" w:rsidP="00CF71D0">
      <w:pPr>
        <w:pStyle w:val="HR"/>
      </w:pPr>
      <w:r>
        <w:rPr>
          <w:rStyle w:val="CharSectno"/>
        </w:rPr>
        <w:t>[4]</w:t>
      </w:r>
      <w:r>
        <w:tab/>
      </w:r>
      <w:r w:rsidR="00B84558">
        <w:t>Schedule 2, section 1</w:t>
      </w:r>
    </w:p>
    <w:p w:rsidR="00B84558" w:rsidRPr="00597DDA" w:rsidRDefault="00B84558" w:rsidP="00B84558">
      <w:pPr>
        <w:pStyle w:val="R1"/>
        <w:ind w:left="1560" w:hanging="600"/>
        <w:rPr>
          <w:i/>
        </w:rPr>
      </w:pPr>
      <w:r w:rsidRPr="00597DDA">
        <w:rPr>
          <w:i/>
        </w:rPr>
        <w:t xml:space="preserve">after </w:t>
      </w:r>
      <w:r w:rsidRPr="00BE17F4">
        <w:t>“</w:t>
      </w:r>
      <w:r>
        <w:t>Procedures</w:t>
      </w:r>
      <w:r w:rsidRPr="00BE17F4">
        <w:t>”</w:t>
      </w:r>
      <w:r w:rsidRPr="00597DDA">
        <w:rPr>
          <w:i/>
        </w:rPr>
        <w:t>, insert</w:t>
      </w:r>
    </w:p>
    <w:p w:rsidR="00B84558" w:rsidRPr="00B84558" w:rsidRDefault="00B84558" w:rsidP="00BC74AB">
      <w:pPr>
        <w:pStyle w:val="R1"/>
        <w:ind w:left="1440" w:firstLine="0"/>
      </w:pPr>
      <w:r>
        <w:t xml:space="preserve">(available at </w:t>
      </w:r>
      <w:r w:rsidR="00952C2D">
        <w:t>www.ephc.gov.au)</w:t>
      </w:r>
    </w:p>
    <w:p w:rsidR="00CF71D0" w:rsidRPr="00635137" w:rsidRDefault="00B84558" w:rsidP="002E17EB">
      <w:pPr>
        <w:pStyle w:val="HR"/>
      </w:pPr>
      <w:r>
        <w:lastRenderedPageBreak/>
        <w:t>[5]</w:t>
      </w:r>
      <w:r>
        <w:tab/>
        <w:t xml:space="preserve">After </w:t>
      </w:r>
      <w:r w:rsidR="00CF71D0">
        <w:t>Schedule 2, subsection 3(vi)</w:t>
      </w:r>
    </w:p>
    <w:p w:rsidR="00B84558" w:rsidRDefault="00CF71D0" w:rsidP="002E17EB">
      <w:pPr>
        <w:pStyle w:val="R2"/>
        <w:keepNext/>
        <w:rPr>
          <w:i/>
        </w:rPr>
      </w:pPr>
      <w:r w:rsidRPr="00635137">
        <w:tab/>
      </w:r>
      <w:r w:rsidR="00B84558">
        <w:tab/>
      </w:r>
      <w:r w:rsidR="00B84558">
        <w:rPr>
          <w:i/>
        </w:rPr>
        <w:t>insert</w:t>
      </w:r>
    </w:p>
    <w:p w:rsidR="00B84558" w:rsidRDefault="00B84558" w:rsidP="00B84558">
      <w:pPr>
        <w:pStyle w:val="Section1"/>
        <w:ind w:left="2160" w:hanging="720"/>
        <w:rPr>
          <w:color w:val="000000"/>
        </w:rPr>
      </w:pPr>
      <w:r w:rsidRPr="00B84558">
        <w:rPr>
          <w:color w:val="000000"/>
        </w:rPr>
        <w:t>(vii)</w:t>
      </w:r>
      <w:r w:rsidRPr="00B84558">
        <w:rPr>
          <w:color w:val="000000"/>
        </w:rPr>
        <w:tab/>
      </w:r>
      <w:r>
        <w:rPr>
          <w:color w:val="000000"/>
        </w:rPr>
        <w:t xml:space="preserve">While only one formal repeat assessment of Stage 1 sites is required prior to the review of this Measure, </w:t>
      </w:r>
      <w:r w:rsidR="00BC74AB">
        <w:rPr>
          <w:color w:val="000000"/>
        </w:rPr>
        <w:t xml:space="preserve">participating </w:t>
      </w:r>
      <w:r>
        <w:rPr>
          <w:color w:val="000000"/>
        </w:rPr>
        <w:t xml:space="preserve">jurisdictions are encouraged to undertake more frequent reassessments as resources permit. </w:t>
      </w:r>
    </w:p>
    <w:p w:rsidR="00B84558" w:rsidRPr="00B84558" w:rsidRDefault="000C3E93" w:rsidP="00B84558">
      <w:pPr>
        <w:pStyle w:val="Section1"/>
        <w:ind w:left="2160" w:hanging="720"/>
        <w:rPr>
          <w:color w:val="000000"/>
        </w:rPr>
      </w:pPr>
      <w:r>
        <w:rPr>
          <w:color w:val="000000"/>
        </w:rPr>
        <w:t>(viii</w:t>
      </w:r>
      <w:r w:rsidR="00D6606B">
        <w:rPr>
          <w:color w:val="000000"/>
        </w:rPr>
        <w:t>)</w:t>
      </w:r>
      <w:r w:rsidR="00D6606B">
        <w:rPr>
          <w:color w:val="000000"/>
        </w:rPr>
        <w:tab/>
      </w:r>
      <w:r w:rsidRPr="00B84558">
        <w:rPr>
          <w:color w:val="000000"/>
        </w:rPr>
        <w:t>Where</w:t>
      </w:r>
      <w:r>
        <w:rPr>
          <w:color w:val="000000"/>
        </w:rPr>
        <w:t xml:space="preserve"> a participating jurisdiction undertakes a reassessment in accordance with subsection (vii), if it is not reasonably practicable for the participating jurisdiction to under</w:t>
      </w:r>
      <w:r w:rsidR="00CB12EB">
        <w:rPr>
          <w:color w:val="000000"/>
        </w:rPr>
        <w:t>take a quantitative assessment (</w:t>
      </w:r>
      <w:r>
        <w:rPr>
          <w:color w:val="000000"/>
        </w:rPr>
        <w:t>as described in the Guidance Paper for Desktop Analys</w:t>
      </w:r>
      <w:r w:rsidR="00CB12EB">
        <w:rPr>
          <w:color w:val="000000"/>
        </w:rPr>
        <w:t>is and Investigation Procedures)</w:t>
      </w:r>
      <w:r>
        <w:rPr>
          <w:color w:val="000000"/>
        </w:rPr>
        <w:t xml:space="preserve"> the participating jurisdiction may unde</w:t>
      </w:r>
      <w:r w:rsidR="00CB12EB">
        <w:rPr>
          <w:color w:val="000000"/>
        </w:rPr>
        <w:t>rtake a qualitative assessment (</w:t>
      </w:r>
      <w:r>
        <w:rPr>
          <w:color w:val="000000"/>
        </w:rPr>
        <w:t>as described in the Guidance Paper for Desktop Analysis and I</w:t>
      </w:r>
      <w:r w:rsidR="00CB12EB">
        <w:rPr>
          <w:color w:val="000000"/>
        </w:rPr>
        <w:t>nvestigation Procedures)</w:t>
      </w:r>
      <w:r>
        <w:rPr>
          <w:color w:val="000000"/>
        </w:rPr>
        <w:t xml:space="preserve"> based on the type of information outlined in subsections 3(iii) and 3(iv).</w:t>
      </w:r>
      <w:r w:rsidR="00BC74AB">
        <w:rPr>
          <w:color w:val="000000"/>
        </w:rPr>
        <w:t xml:space="preserve"> </w:t>
      </w:r>
      <w:r w:rsidR="00B84558">
        <w:rPr>
          <w:color w:val="000000"/>
        </w:rPr>
        <w:t xml:space="preserve">  </w:t>
      </w:r>
    </w:p>
    <w:p w:rsidR="00BC74AB" w:rsidRPr="00635137" w:rsidRDefault="00BC74AB" w:rsidP="00BC74AB">
      <w:pPr>
        <w:pStyle w:val="HR"/>
      </w:pPr>
      <w:r>
        <w:t>[6]</w:t>
      </w:r>
      <w:r>
        <w:tab/>
        <w:t>After Schedule 2, subsection 4(v)</w:t>
      </w:r>
    </w:p>
    <w:p w:rsidR="00BC74AB" w:rsidRDefault="00BC74AB" w:rsidP="00BC74AB">
      <w:pPr>
        <w:pStyle w:val="R2"/>
        <w:rPr>
          <w:i/>
        </w:rPr>
      </w:pPr>
      <w:r w:rsidRPr="00635137">
        <w:tab/>
      </w:r>
      <w:r>
        <w:tab/>
      </w:r>
      <w:r>
        <w:rPr>
          <w:i/>
        </w:rPr>
        <w:t>insert</w:t>
      </w:r>
    </w:p>
    <w:p w:rsidR="00BC74AB" w:rsidRDefault="00BC74AB" w:rsidP="00BC74AB">
      <w:pPr>
        <w:pStyle w:val="Section1"/>
        <w:ind w:left="2160" w:hanging="720"/>
        <w:rPr>
          <w:color w:val="000000"/>
        </w:rPr>
      </w:pPr>
      <w:r>
        <w:rPr>
          <w:color w:val="000000"/>
        </w:rPr>
        <w:t>(vi</w:t>
      </w:r>
      <w:r w:rsidRPr="00B84558">
        <w:rPr>
          <w:color w:val="000000"/>
        </w:rPr>
        <w:t>)</w:t>
      </w:r>
      <w:r w:rsidRPr="00B84558">
        <w:rPr>
          <w:color w:val="000000"/>
        </w:rPr>
        <w:tab/>
      </w:r>
      <w:r>
        <w:rPr>
          <w:color w:val="000000"/>
        </w:rPr>
        <w:t xml:space="preserve">While only one formal repeat assessment of Stage 2 sites is required prior to the review of this Measure, participating jurisdictions are encouraged to undertake more frequent reassessments as resources permit. </w:t>
      </w:r>
    </w:p>
    <w:p w:rsidR="00BC74AB" w:rsidRPr="00B84558" w:rsidRDefault="00710ACE" w:rsidP="00BC74AB">
      <w:pPr>
        <w:pStyle w:val="Section1"/>
        <w:ind w:left="2160" w:hanging="720"/>
        <w:rPr>
          <w:color w:val="000000"/>
        </w:rPr>
      </w:pPr>
      <w:r>
        <w:rPr>
          <w:color w:val="000000"/>
        </w:rPr>
        <w:t>(vii)</w:t>
      </w:r>
      <w:r>
        <w:rPr>
          <w:color w:val="000000"/>
        </w:rPr>
        <w:tab/>
      </w:r>
      <w:r w:rsidR="00BC74AB" w:rsidRPr="00B84558">
        <w:rPr>
          <w:color w:val="000000"/>
        </w:rPr>
        <w:t>Where</w:t>
      </w:r>
      <w:r w:rsidR="00BC74AB">
        <w:rPr>
          <w:color w:val="000000"/>
        </w:rPr>
        <w:t xml:space="preserve"> a participating jurisdiction undertakes a reassessment i</w:t>
      </w:r>
      <w:r w:rsidR="00A828A7">
        <w:rPr>
          <w:color w:val="000000"/>
        </w:rPr>
        <w:t>n accordance with subsection (v</w:t>
      </w:r>
      <w:r w:rsidR="00BC74AB">
        <w:rPr>
          <w:color w:val="000000"/>
        </w:rPr>
        <w:t>i), if it is not reasonably practicable for the participating jurisdiction to undertake a quantitative assessment</w:t>
      </w:r>
      <w:r w:rsidR="00CB12EB">
        <w:rPr>
          <w:color w:val="000000"/>
        </w:rPr>
        <w:t xml:space="preserve"> (</w:t>
      </w:r>
      <w:r w:rsidR="004A4FDF">
        <w:rPr>
          <w:color w:val="000000"/>
        </w:rPr>
        <w:t>as described in the</w:t>
      </w:r>
      <w:r w:rsidR="00BC74AB">
        <w:rPr>
          <w:color w:val="000000"/>
        </w:rPr>
        <w:t xml:space="preserve"> </w:t>
      </w:r>
      <w:r w:rsidR="004A4FDF">
        <w:rPr>
          <w:color w:val="000000"/>
        </w:rPr>
        <w:t>Guidance Paper for Desktop Analys</w:t>
      </w:r>
      <w:r w:rsidR="00CB12EB">
        <w:rPr>
          <w:color w:val="000000"/>
        </w:rPr>
        <w:t>is and Investigation Procedures)</w:t>
      </w:r>
      <w:r w:rsidR="004A4FDF">
        <w:rPr>
          <w:color w:val="000000"/>
        </w:rPr>
        <w:t xml:space="preserve"> </w:t>
      </w:r>
      <w:r w:rsidR="00BC74AB">
        <w:rPr>
          <w:color w:val="000000"/>
        </w:rPr>
        <w:t>the participating jurisdiction may undertake a qualitative assessment</w:t>
      </w:r>
      <w:r w:rsidR="00CB12EB">
        <w:rPr>
          <w:color w:val="000000"/>
        </w:rPr>
        <w:t xml:space="preserve"> (</w:t>
      </w:r>
      <w:r w:rsidR="004A4FDF">
        <w:rPr>
          <w:color w:val="000000"/>
        </w:rPr>
        <w:t>as described in the Guidance Paper for Desktop Analys</w:t>
      </w:r>
      <w:r w:rsidR="00CB12EB">
        <w:rPr>
          <w:color w:val="000000"/>
        </w:rPr>
        <w:t>is and Investigation Procedures)</w:t>
      </w:r>
      <w:r w:rsidR="00BC74AB">
        <w:rPr>
          <w:color w:val="000000"/>
        </w:rPr>
        <w:t xml:space="preserve"> based on the type of information outlined in </w:t>
      </w:r>
      <w:r w:rsidR="000C3E93">
        <w:rPr>
          <w:color w:val="000000"/>
        </w:rPr>
        <w:t>subsections 4(ii) and 4(iii</w:t>
      </w:r>
      <w:r w:rsidR="004A4FDF">
        <w:rPr>
          <w:color w:val="000000"/>
        </w:rPr>
        <w:t>).</w:t>
      </w:r>
    </w:p>
    <w:p w:rsidR="00CF71D0" w:rsidRDefault="00CF71D0" w:rsidP="0080756F">
      <w:pPr>
        <w:pStyle w:val="HR"/>
        <w:ind w:left="0" w:firstLine="0"/>
      </w:pPr>
      <w:r>
        <w:rPr>
          <w:rStyle w:val="CharSectno"/>
        </w:rPr>
        <w:t>[</w:t>
      </w:r>
      <w:r w:rsidR="0080756F">
        <w:rPr>
          <w:rStyle w:val="CharSectno"/>
        </w:rPr>
        <w:t>7</w:t>
      </w:r>
      <w:r>
        <w:rPr>
          <w:rStyle w:val="CharSectno"/>
        </w:rPr>
        <w:t>]</w:t>
      </w:r>
      <w:r>
        <w:tab/>
        <w:t>After Schedule 2, section 6</w:t>
      </w:r>
    </w:p>
    <w:p w:rsidR="00CF71D0" w:rsidRDefault="00CF71D0" w:rsidP="00CF71D0">
      <w:pPr>
        <w:pStyle w:val="R2"/>
        <w:rPr>
          <w:i/>
        </w:rPr>
      </w:pPr>
      <w:r>
        <w:rPr>
          <w:i/>
        </w:rPr>
        <w:tab/>
      </w:r>
      <w:r>
        <w:rPr>
          <w:i/>
        </w:rPr>
        <w:tab/>
        <w:t>insert</w:t>
      </w:r>
    </w:p>
    <w:p w:rsidR="00CF71D0" w:rsidRPr="00B54244" w:rsidRDefault="00974409" w:rsidP="00CF71D0">
      <w:pPr>
        <w:pStyle w:val="Section1"/>
        <w:rPr>
          <w:b/>
          <w:color w:val="000000"/>
        </w:rPr>
      </w:pPr>
      <w:r>
        <w:rPr>
          <w:i/>
        </w:rPr>
        <w:tab/>
      </w:r>
      <w:r w:rsidR="00CF71D0">
        <w:rPr>
          <w:b/>
          <w:color w:val="000000"/>
        </w:rPr>
        <w:t>7</w:t>
      </w:r>
      <w:r w:rsidR="007F7C05">
        <w:rPr>
          <w:b/>
          <w:color w:val="000000"/>
        </w:rPr>
        <w:t>.</w:t>
      </w:r>
      <w:r w:rsidR="00CF71D0" w:rsidRPr="00B54244">
        <w:rPr>
          <w:b/>
          <w:color w:val="000000"/>
        </w:rPr>
        <w:tab/>
      </w:r>
      <w:r w:rsidR="00CF71D0" w:rsidRPr="00590D64">
        <w:rPr>
          <w:b/>
          <w:bCs/>
        </w:rPr>
        <w:t>Screening</w:t>
      </w:r>
      <w:r w:rsidR="00CF71D0">
        <w:rPr>
          <w:b/>
          <w:color w:val="000000"/>
        </w:rPr>
        <w:t xml:space="preserve"> Procedure – </w:t>
      </w:r>
      <w:r w:rsidR="00CF71D0" w:rsidRPr="00B54244">
        <w:rPr>
          <w:b/>
          <w:color w:val="000000"/>
        </w:rPr>
        <w:t>Discontinuance o</w:t>
      </w:r>
      <w:r w:rsidR="00CF71D0">
        <w:rPr>
          <w:b/>
          <w:color w:val="000000"/>
        </w:rPr>
        <w:t xml:space="preserve">f Monitoring at Stage 2 Sites </w:t>
      </w:r>
    </w:p>
    <w:p w:rsidR="00CF71D0" w:rsidRDefault="00CF71D0" w:rsidP="00747BF0">
      <w:pPr>
        <w:pStyle w:val="section1a"/>
        <w:tabs>
          <w:tab w:val="clear" w:pos="993"/>
          <w:tab w:val="left" w:pos="1560"/>
        </w:tabs>
        <w:spacing w:before="120" w:line="180" w:lineRule="atLeast"/>
        <w:ind w:left="2138"/>
        <w:rPr>
          <w:color w:val="000000"/>
        </w:rPr>
      </w:pPr>
      <w:r>
        <w:rPr>
          <w:color w:val="000000"/>
        </w:rPr>
        <w:tab/>
        <w:t>(i)</w:t>
      </w:r>
      <w:r>
        <w:rPr>
          <w:color w:val="000000"/>
        </w:rPr>
        <w:tab/>
        <w:t xml:space="preserve">This </w:t>
      </w:r>
      <w:r w:rsidRPr="00590D64">
        <w:t>section</w:t>
      </w:r>
      <w:r>
        <w:rPr>
          <w:color w:val="000000"/>
        </w:rPr>
        <w:t xml:space="preserve"> sets out </w:t>
      </w:r>
      <w:r w:rsidR="00554818">
        <w:rPr>
          <w:color w:val="000000"/>
        </w:rPr>
        <w:t xml:space="preserve">the </w:t>
      </w:r>
      <w:r>
        <w:rPr>
          <w:color w:val="000000"/>
        </w:rPr>
        <w:t>screening procedure for discontinuing monitoring at Stage 2 sites.</w:t>
      </w:r>
    </w:p>
    <w:p w:rsidR="00CF71D0" w:rsidRPr="00747BF0" w:rsidRDefault="00CF71D0" w:rsidP="00747BF0">
      <w:pPr>
        <w:pStyle w:val="section1a"/>
        <w:tabs>
          <w:tab w:val="clear" w:pos="993"/>
          <w:tab w:val="left" w:pos="1560"/>
        </w:tabs>
        <w:spacing w:before="120" w:line="180" w:lineRule="atLeast"/>
        <w:ind w:left="2138"/>
        <w:rPr>
          <w:color w:val="000000"/>
        </w:rPr>
      </w:pPr>
      <w:r>
        <w:rPr>
          <w:color w:val="000000"/>
        </w:rPr>
        <w:tab/>
        <w:t>(ii)</w:t>
      </w:r>
      <w:r>
        <w:rPr>
          <w:color w:val="000000"/>
        </w:rPr>
        <w:tab/>
      </w:r>
      <w:r w:rsidRPr="00CB3C3D">
        <w:rPr>
          <w:color w:val="000000"/>
        </w:rPr>
        <w:t xml:space="preserve">Monitoring may </w:t>
      </w:r>
      <w:r w:rsidRPr="00747BF0">
        <w:rPr>
          <w:color w:val="000000"/>
        </w:rPr>
        <w:t>only</w:t>
      </w:r>
      <w:r>
        <w:rPr>
          <w:color w:val="000000"/>
        </w:rPr>
        <w:t xml:space="preserve"> </w:t>
      </w:r>
      <w:r w:rsidRPr="00CB3C3D">
        <w:rPr>
          <w:color w:val="000000"/>
        </w:rPr>
        <w:t xml:space="preserve">be discontinued at </w:t>
      </w:r>
      <w:r w:rsidR="00554818">
        <w:rPr>
          <w:color w:val="000000"/>
        </w:rPr>
        <w:t xml:space="preserve">a </w:t>
      </w:r>
      <w:r>
        <w:rPr>
          <w:color w:val="000000"/>
        </w:rPr>
        <w:t>S</w:t>
      </w:r>
      <w:r w:rsidRPr="00CB3C3D">
        <w:rPr>
          <w:color w:val="000000"/>
        </w:rPr>
        <w:t xml:space="preserve">tage 2 site in accordance with this </w:t>
      </w:r>
      <w:r w:rsidRPr="00747BF0">
        <w:rPr>
          <w:color w:val="000000"/>
        </w:rPr>
        <w:t xml:space="preserve">section.  </w:t>
      </w:r>
    </w:p>
    <w:p w:rsidR="00CF71D0" w:rsidRPr="00747BF0" w:rsidRDefault="00CF71D0" w:rsidP="00747BF0">
      <w:pPr>
        <w:pStyle w:val="section1a"/>
        <w:tabs>
          <w:tab w:val="clear" w:pos="993"/>
          <w:tab w:val="left" w:pos="1560"/>
        </w:tabs>
        <w:spacing w:before="120" w:line="180" w:lineRule="atLeast"/>
        <w:ind w:left="2138"/>
        <w:rPr>
          <w:color w:val="000000"/>
        </w:rPr>
      </w:pPr>
      <w:r w:rsidRPr="00747BF0">
        <w:rPr>
          <w:color w:val="000000"/>
        </w:rPr>
        <w:tab/>
        <w:t>(iii)</w:t>
      </w:r>
      <w:r w:rsidRPr="00747BF0">
        <w:rPr>
          <w:color w:val="000000"/>
        </w:rPr>
        <w:tab/>
        <w:t>A participating jurisdiction may discontinue monitoring at a Stage 2 site if:</w:t>
      </w:r>
    </w:p>
    <w:p w:rsidR="00CF71D0" w:rsidRDefault="00CF71D0" w:rsidP="00747BF0">
      <w:pPr>
        <w:pStyle w:val="Section1bullet"/>
        <w:spacing w:before="120" w:line="180" w:lineRule="atLeast"/>
        <w:ind w:left="2873" w:hanging="735"/>
      </w:pPr>
      <w:r>
        <w:t>(a)</w:t>
      </w:r>
      <w:r>
        <w:tab/>
        <w:t>the percentage of monitoring investigation levels at the site are at or below the relevant monitoring cut off limits in accordance with the acceptance limits for discontinuing future monitoring in Table 1 below; and</w:t>
      </w:r>
    </w:p>
    <w:p w:rsidR="00CF71D0" w:rsidRDefault="00CF71D0" w:rsidP="000F4A2B">
      <w:pPr>
        <w:pStyle w:val="Section1bullet"/>
        <w:spacing w:before="120" w:line="180" w:lineRule="atLeast"/>
        <w:ind w:left="2880" w:hanging="840"/>
      </w:pPr>
      <w:r>
        <w:lastRenderedPageBreak/>
        <w:t>(b)</w:t>
      </w:r>
      <w:r>
        <w:tab/>
      </w:r>
      <w:r w:rsidR="00554818">
        <w:t xml:space="preserve">the participating jurisdiction reasonably expects that </w:t>
      </w:r>
      <w:r>
        <w:t xml:space="preserve">the percentage of monitoring investigation levels at the site </w:t>
      </w:r>
      <w:r w:rsidR="00554818">
        <w:t xml:space="preserve">will </w:t>
      </w:r>
      <w:r w:rsidRPr="004011BC">
        <w:t xml:space="preserve">be consistently lower than the </w:t>
      </w:r>
      <w:r>
        <w:t>relevant monitoring cut off limits in accordance with Table 1 below</w:t>
      </w:r>
      <w:r w:rsidR="00CA0E14">
        <w:t>.</w:t>
      </w:r>
      <w:r w:rsidR="0037599E">
        <w:t xml:space="preserve"> </w:t>
      </w:r>
    </w:p>
    <w:p w:rsidR="00CF71D0" w:rsidRPr="00747BF0" w:rsidRDefault="00CF71D0" w:rsidP="00747BF0">
      <w:pPr>
        <w:pStyle w:val="section1a"/>
        <w:tabs>
          <w:tab w:val="clear" w:pos="993"/>
          <w:tab w:val="left" w:pos="1560"/>
        </w:tabs>
        <w:spacing w:before="120" w:line="180" w:lineRule="atLeast"/>
        <w:ind w:left="2138"/>
        <w:rPr>
          <w:color w:val="000000"/>
        </w:rPr>
      </w:pPr>
      <w:r w:rsidRPr="00747BF0">
        <w:rPr>
          <w:color w:val="000000"/>
        </w:rPr>
        <w:tab/>
        <w:t>(iv)</w:t>
      </w:r>
      <w:r w:rsidRPr="00747BF0">
        <w:rPr>
          <w:color w:val="000000"/>
        </w:rPr>
        <w:tab/>
      </w:r>
      <w:r w:rsidR="00820C81" w:rsidRPr="00747BF0">
        <w:rPr>
          <w:color w:val="000000"/>
        </w:rPr>
        <w:t xml:space="preserve">In determining whether subsection (iii) is satisfied with respect to toluene and xylenes, a participating jurisdiction must have regard to each of the relevant monitoring investigation levels that apply to those toxics. </w:t>
      </w:r>
      <w:r w:rsidRPr="00747BF0">
        <w:rPr>
          <w:color w:val="000000"/>
        </w:rPr>
        <w:tab/>
      </w:r>
    </w:p>
    <w:p w:rsidR="00820C81" w:rsidRPr="00747BF0" w:rsidRDefault="00CF71D0" w:rsidP="00747BF0">
      <w:pPr>
        <w:pStyle w:val="section1a"/>
        <w:tabs>
          <w:tab w:val="clear" w:pos="993"/>
          <w:tab w:val="left" w:pos="1560"/>
        </w:tabs>
        <w:spacing w:before="120" w:line="180" w:lineRule="atLeast"/>
        <w:ind w:left="2138"/>
        <w:rPr>
          <w:color w:val="000000"/>
        </w:rPr>
      </w:pPr>
      <w:r w:rsidRPr="00747BF0">
        <w:rPr>
          <w:color w:val="000000"/>
        </w:rPr>
        <w:tab/>
        <w:t>(v)</w:t>
      </w:r>
      <w:r w:rsidRPr="00747BF0">
        <w:rPr>
          <w:color w:val="000000"/>
        </w:rPr>
        <w:tab/>
        <w:t>In determining whether the percentage of monitoring investigation levels at a site can be reasonably expected to be consistently lower than the monitoring cut off limit, the participating jurisdiction must</w:t>
      </w:r>
      <w:r w:rsidR="00820C81" w:rsidRPr="00747BF0">
        <w:rPr>
          <w:color w:val="000000"/>
        </w:rPr>
        <w:t>:</w:t>
      </w:r>
    </w:p>
    <w:p w:rsidR="00820C81" w:rsidRDefault="00820C81" w:rsidP="00747BF0">
      <w:pPr>
        <w:pStyle w:val="Section1bullet"/>
        <w:spacing w:before="120" w:line="180" w:lineRule="atLeast"/>
        <w:ind w:left="2873" w:hanging="735"/>
      </w:pPr>
      <w:r>
        <w:t>(a)</w:t>
      </w:r>
      <w:r>
        <w:tab/>
        <w:t xml:space="preserve">be satisfied that the percentage of </w:t>
      </w:r>
      <w:r w:rsidR="000E259B">
        <w:t>the m</w:t>
      </w:r>
      <w:r>
        <w:t xml:space="preserve">onitoring </w:t>
      </w:r>
      <w:r w:rsidR="000E259B">
        <w:t>investigation level</w:t>
      </w:r>
      <w:r>
        <w:t xml:space="preserve"> will be lower than the </w:t>
      </w:r>
      <w:r w:rsidR="000E259B">
        <w:t xml:space="preserve">monitoring </w:t>
      </w:r>
      <w:r>
        <w:t xml:space="preserve">cut off </w:t>
      </w:r>
      <w:r w:rsidR="000E259B">
        <w:t xml:space="preserve">limit </w:t>
      </w:r>
      <w:r>
        <w:t xml:space="preserve">for a period of </w:t>
      </w:r>
      <w:r w:rsidR="00554818">
        <w:t xml:space="preserve">at least </w:t>
      </w:r>
      <w:r>
        <w:t>five years; and</w:t>
      </w:r>
    </w:p>
    <w:p w:rsidR="00CF71D0" w:rsidRDefault="00820C81" w:rsidP="00747BF0">
      <w:pPr>
        <w:pStyle w:val="Section1bullet"/>
        <w:spacing w:before="120" w:line="180" w:lineRule="atLeast"/>
        <w:ind w:left="2873" w:hanging="735"/>
      </w:pPr>
      <w:r>
        <w:t>(b)</w:t>
      </w:r>
      <w:r>
        <w:tab/>
      </w:r>
      <w:r w:rsidR="00CF71D0">
        <w:t xml:space="preserve">have </w:t>
      </w:r>
      <w:r w:rsidR="00CF71D0" w:rsidRPr="00E3724D">
        <w:t xml:space="preserve">regard to </w:t>
      </w:r>
      <w:r w:rsidR="00CF71D0">
        <w:t xml:space="preserve">potential changes to the site </w:t>
      </w:r>
      <w:r>
        <w:t xml:space="preserve">over a period of ten years </w:t>
      </w:r>
      <w:r w:rsidR="00CF71D0">
        <w:t>that may impact on that expectation.</w:t>
      </w:r>
    </w:p>
    <w:p w:rsidR="00CF71D0" w:rsidRPr="001A1FF0" w:rsidRDefault="00CF71D0" w:rsidP="00747BF0">
      <w:pPr>
        <w:pStyle w:val="Note"/>
        <w:ind w:left="2138"/>
        <w:rPr>
          <w:noProof/>
          <w:sz w:val="24"/>
          <w:szCs w:val="24"/>
          <w:lang w:eastAsia="en-US"/>
        </w:rPr>
      </w:pPr>
      <w:r w:rsidRPr="001A1FF0">
        <w:rPr>
          <w:i/>
          <w:noProof/>
          <w:sz w:val="24"/>
          <w:szCs w:val="24"/>
          <w:lang w:eastAsia="en-US"/>
        </w:rPr>
        <w:t>Example</w:t>
      </w:r>
    </w:p>
    <w:p w:rsidR="00CF71D0" w:rsidRPr="001A1FF0" w:rsidRDefault="00747BF0" w:rsidP="00747BF0">
      <w:pPr>
        <w:pStyle w:val="R2"/>
        <w:spacing w:before="120"/>
        <w:ind w:left="2138"/>
        <w:rPr>
          <w:noProof/>
          <w:lang w:eastAsia="en-US"/>
        </w:rPr>
      </w:pPr>
      <w:r>
        <w:rPr>
          <w:noProof/>
          <w:lang w:eastAsia="en-US"/>
        </w:rPr>
        <w:tab/>
      </w:r>
      <w:r w:rsidR="00CF71D0" w:rsidRPr="001A1FF0">
        <w:rPr>
          <w:noProof/>
          <w:lang w:eastAsia="en-US"/>
        </w:rPr>
        <w:t>For the purpose of</w:t>
      </w:r>
      <w:r w:rsidR="00CF71D0">
        <w:rPr>
          <w:noProof/>
          <w:lang w:eastAsia="en-US"/>
        </w:rPr>
        <w:t xml:space="preserve"> this subsection</w:t>
      </w:r>
      <w:r w:rsidR="00CF71D0" w:rsidRPr="001A1FF0">
        <w:rPr>
          <w:noProof/>
          <w:lang w:eastAsia="en-US"/>
        </w:rPr>
        <w:t xml:space="preserve">, examples of potential changes to the site that may impact on an expectation that </w:t>
      </w:r>
      <w:r w:rsidR="00CF71D0">
        <w:t>the percentage of monitoring investigation levels</w:t>
      </w:r>
      <w:r w:rsidR="00CF71D0" w:rsidRPr="001A1FF0">
        <w:rPr>
          <w:noProof/>
          <w:lang w:eastAsia="en-US"/>
        </w:rPr>
        <w:t xml:space="preserve"> will be lower than the </w:t>
      </w:r>
      <w:r w:rsidR="00CF71D0">
        <w:t>monitoring cut off limit</w:t>
      </w:r>
      <w:r w:rsidR="00CF71D0" w:rsidRPr="001A1FF0">
        <w:rPr>
          <w:noProof/>
          <w:lang w:eastAsia="en-US"/>
        </w:rPr>
        <w:t xml:space="preserve"> include:</w:t>
      </w:r>
    </w:p>
    <w:p w:rsidR="00CF71D0" w:rsidRPr="001A1FF0" w:rsidRDefault="00CF71D0" w:rsidP="00CF71D0">
      <w:pPr>
        <w:pStyle w:val="R2"/>
        <w:spacing w:before="120"/>
        <w:rPr>
          <w:noProof/>
          <w:lang w:eastAsia="en-US"/>
        </w:rPr>
      </w:pPr>
      <w:r>
        <w:rPr>
          <w:noProof/>
          <w:lang w:eastAsia="en-US"/>
        </w:rPr>
        <w:tab/>
      </w:r>
      <w:r>
        <w:rPr>
          <w:noProof/>
          <w:lang w:eastAsia="en-US"/>
        </w:rPr>
        <w:tab/>
      </w:r>
      <w:r>
        <w:rPr>
          <w:noProof/>
          <w:lang w:eastAsia="en-US"/>
        </w:rPr>
        <w:tab/>
      </w:r>
      <w:r>
        <w:rPr>
          <w:noProof/>
          <w:lang w:eastAsia="en-US"/>
        </w:rPr>
        <w:tab/>
      </w:r>
      <w:r w:rsidRPr="001A1FF0">
        <w:rPr>
          <w:noProof/>
          <w:lang w:eastAsia="en-US"/>
        </w:rPr>
        <w:t>(a)</w:t>
      </w:r>
      <w:r w:rsidRPr="001A1FF0">
        <w:rPr>
          <w:noProof/>
          <w:lang w:eastAsia="en-US"/>
        </w:rPr>
        <w:tab/>
        <w:t xml:space="preserve">predicted changes in fuel types and use; </w:t>
      </w:r>
    </w:p>
    <w:p w:rsidR="00CF71D0" w:rsidRPr="001A1FF0" w:rsidRDefault="00CF71D0" w:rsidP="00CF71D0">
      <w:pPr>
        <w:pStyle w:val="R2"/>
        <w:spacing w:before="120"/>
        <w:ind w:left="2160" w:hanging="601"/>
        <w:rPr>
          <w:noProof/>
          <w:lang w:eastAsia="en-US"/>
        </w:rPr>
      </w:pPr>
      <w:r w:rsidRPr="001A1FF0">
        <w:rPr>
          <w:noProof/>
          <w:lang w:eastAsia="en-US"/>
        </w:rPr>
        <w:tab/>
        <w:t>(b)</w:t>
      </w:r>
      <w:r w:rsidRPr="001A1FF0">
        <w:rPr>
          <w:noProof/>
          <w:lang w:eastAsia="en-US"/>
        </w:rPr>
        <w:tab/>
        <w:t xml:space="preserve">increased industry or residential development; and </w:t>
      </w:r>
    </w:p>
    <w:p w:rsidR="00CF71D0" w:rsidRDefault="00CF71D0" w:rsidP="00CF71D0">
      <w:pPr>
        <w:pStyle w:val="R2"/>
        <w:spacing w:before="120"/>
        <w:ind w:left="2160" w:hanging="601"/>
      </w:pPr>
      <w:r w:rsidRPr="001A1FF0">
        <w:rPr>
          <w:noProof/>
        </w:rPr>
        <w:tab/>
        <w:t>(c)</w:t>
      </w:r>
      <w:r w:rsidRPr="001A1FF0">
        <w:rPr>
          <w:noProof/>
        </w:rPr>
        <w:tab/>
        <w:t>bush</w:t>
      </w:r>
      <w:r>
        <w:rPr>
          <w:noProof/>
        </w:rPr>
        <w:t xml:space="preserve">fire and fuel reduction burns. </w:t>
      </w:r>
      <w:r w:rsidRPr="00590D64">
        <w:t xml:space="preserve"> </w:t>
      </w:r>
    </w:p>
    <w:p w:rsidR="00554818" w:rsidRPr="00747BF0" w:rsidRDefault="00974409" w:rsidP="00747BF0">
      <w:pPr>
        <w:pStyle w:val="section1a"/>
        <w:tabs>
          <w:tab w:val="clear" w:pos="993"/>
          <w:tab w:val="left" w:pos="1560"/>
        </w:tabs>
        <w:spacing w:before="120" w:line="180" w:lineRule="atLeast"/>
        <w:ind w:left="2138"/>
        <w:rPr>
          <w:color w:val="000000"/>
        </w:rPr>
      </w:pPr>
      <w:r w:rsidRPr="00747BF0">
        <w:rPr>
          <w:color w:val="000000"/>
        </w:rPr>
        <w:tab/>
      </w:r>
      <w:r w:rsidR="00CF71D0" w:rsidRPr="00747BF0">
        <w:rPr>
          <w:color w:val="000000"/>
        </w:rPr>
        <w:t xml:space="preserve">(vi) </w:t>
      </w:r>
      <w:r w:rsidR="00747BF0">
        <w:rPr>
          <w:color w:val="000000"/>
        </w:rPr>
        <w:tab/>
      </w:r>
      <w:r w:rsidR="00CF71D0" w:rsidRPr="00747BF0">
        <w:rPr>
          <w:color w:val="000000"/>
        </w:rPr>
        <w:t>A participating jurisdiction that intends to discontinue monitoring at a Stage 2 site in accordance with this section must provide written reasons for discontinuing monitoring at that site to the Council, including</w:t>
      </w:r>
      <w:r w:rsidR="00554818" w:rsidRPr="00747BF0">
        <w:rPr>
          <w:color w:val="000000"/>
        </w:rPr>
        <w:t xml:space="preserve"> the reasons the participating jurisdiction reasonably expects that the percentage of monitoring investigation levels at the site will be consistently lower than the relevant monitoring cut off limits in accordance with Table 1.</w:t>
      </w:r>
    </w:p>
    <w:p w:rsidR="00CF71D0" w:rsidRDefault="00554818" w:rsidP="00CF71D0">
      <w:pPr>
        <w:pStyle w:val="R2"/>
        <w:rPr>
          <w:rFonts w:ascii="Arial" w:hAnsi="Arial" w:cs="Arial"/>
          <w:b/>
          <w:bCs/>
          <w:sz w:val="19"/>
          <w:szCs w:val="19"/>
        </w:rPr>
      </w:pPr>
      <w:r w:rsidRPr="004011BC" w:rsidDel="00554818">
        <w:t xml:space="preserve"> </w:t>
      </w:r>
      <w:r w:rsidR="00CF71D0">
        <w:tab/>
      </w:r>
      <w:r w:rsidR="00CF71D0">
        <w:tab/>
      </w:r>
      <w:r w:rsidR="00CF71D0" w:rsidRPr="00651D69">
        <w:rPr>
          <w:rFonts w:ascii="Arial" w:hAnsi="Arial" w:cs="Arial"/>
          <w:b/>
          <w:bCs/>
          <w:sz w:val="19"/>
          <w:szCs w:val="19"/>
        </w:rPr>
        <w:t xml:space="preserve">Table </w:t>
      </w:r>
      <w:r w:rsidR="00CF71D0">
        <w:rPr>
          <w:rFonts w:ascii="Arial" w:hAnsi="Arial" w:cs="Arial"/>
          <w:b/>
          <w:bCs/>
          <w:sz w:val="19"/>
          <w:szCs w:val="19"/>
        </w:rPr>
        <w:t>1</w:t>
      </w:r>
      <w:r w:rsidR="00CF71D0" w:rsidRPr="00651D69">
        <w:rPr>
          <w:rFonts w:ascii="Arial" w:hAnsi="Arial" w:cs="Arial"/>
          <w:b/>
          <w:bCs/>
          <w:sz w:val="19"/>
          <w:szCs w:val="19"/>
        </w:rPr>
        <w:t xml:space="preserve">: </w:t>
      </w:r>
      <w:r w:rsidR="00CF71D0">
        <w:rPr>
          <w:rFonts w:ascii="Arial" w:hAnsi="Arial" w:cs="Arial"/>
          <w:b/>
          <w:bCs/>
          <w:sz w:val="19"/>
          <w:szCs w:val="19"/>
        </w:rPr>
        <w:t xml:space="preserve">Monitoring cut off </w:t>
      </w:r>
      <w:r w:rsidR="00CF71D0" w:rsidRPr="00651D69">
        <w:rPr>
          <w:rFonts w:ascii="Arial" w:hAnsi="Arial" w:cs="Arial"/>
          <w:b/>
          <w:bCs/>
          <w:sz w:val="19"/>
          <w:szCs w:val="19"/>
        </w:rPr>
        <w:t xml:space="preserve">limits for </w:t>
      </w:r>
      <w:r w:rsidR="00CF71D0">
        <w:rPr>
          <w:rFonts w:ascii="Arial" w:hAnsi="Arial" w:cs="Arial"/>
          <w:b/>
          <w:bCs/>
          <w:sz w:val="19"/>
          <w:szCs w:val="19"/>
        </w:rPr>
        <w:t>discontinuing</w:t>
      </w:r>
      <w:r w:rsidR="00CF71D0" w:rsidRPr="00651D69">
        <w:rPr>
          <w:rFonts w:ascii="Arial" w:hAnsi="Arial" w:cs="Arial"/>
          <w:b/>
          <w:bCs/>
          <w:sz w:val="19"/>
          <w:szCs w:val="19"/>
        </w:rPr>
        <w:t xml:space="preserve"> future monitoring</w:t>
      </w:r>
      <w:r w:rsidR="004C713D">
        <w:rPr>
          <w:rFonts w:ascii="Arial" w:hAnsi="Arial" w:cs="Arial"/>
          <w:b/>
          <w:bCs/>
          <w:sz w:val="19"/>
          <w:szCs w:val="19"/>
        </w:rPr>
        <w:t xml:space="preserve"> of Stage 2 sites</w:t>
      </w:r>
    </w:p>
    <w:p w:rsidR="00CF71D0" w:rsidRDefault="00CF71D0" w:rsidP="00CF71D0">
      <w:pPr>
        <w:pStyle w:val="R2"/>
        <w:spacing w:before="120" w:line="240" w:lineRule="auto"/>
        <w:rPr>
          <w:rFonts w:ascii="Arial" w:hAnsi="Arial" w:cs="Arial"/>
          <w:b/>
          <w:bCs/>
          <w:sz w:val="19"/>
          <w:szCs w:val="19"/>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6"/>
        <w:gridCol w:w="2132"/>
        <w:gridCol w:w="3046"/>
      </w:tblGrid>
      <w:tr w:rsidR="004C713D" w:rsidRPr="00263882" w:rsidTr="00C07108">
        <w:trPr>
          <w:jc w:val="center"/>
        </w:trPr>
        <w:tc>
          <w:tcPr>
            <w:tcW w:w="1756" w:type="dxa"/>
          </w:tcPr>
          <w:p w:rsidR="004C713D" w:rsidRPr="00263882" w:rsidRDefault="004C713D" w:rsidP="00263882">
            <w:pPr>
              <w:pStyle w:val="R2"/>
              <w:tabs>
                <w:tab w:val="clear" w:pos="794"/>
                <w:tab w:val="right" w:pos="12"/>
              </w:tabs>
              <w:spacing w:before="120" w:after="120" w:line="240" w:lineRule="auto"/>
              <w:ind w:left="12" w:hanging="12"/>
              <w:jc w:val="center"/>
              <w:rPr>
                <w:b/>
                <w:bCs/>
                <w:sz w:val="19"/>
                <w:szCs w:val="19"/>
              </w:rPr>
            </w:pPr>
            <w:r w:rsidRPr="00263882">
              <w:rPr>
                <w:b/>
                <w:bCs/>
                <w:sz w:val="19"/>
                <w:szCs w:val="19"/>
              </w:rPr>
              <w:t>Pollutant</w:t>
            </w:r>
          </w:p>
        </w:tc>
        <w:tc>
          <w:tcPr>
            <w:tcW w:w="2132" w:type="dxa"/>
          </w:tcPr>
          <w:p w:rsidR="004C713D" w:rsidRPr="00263882" w:rsidRDefault="001246FF" w:rsidP="00263882">
            <w:pPr>
              <w:pStyle w:val="R2"/>
              <w:tabs>
                <w:tab w:val="clear" w:pos="794"/>
                <w:tab w:val="right" w:pos="-64"/>
              </w:tabs>
              <w:spacing w:before="120" w:after="120" w:line="240" w:lineRule="auto"/>
              <w:ind w:left="-64" w:firstLine="0"/>
              <w:jc w:val="center"/>
              <w:rPr>
                <w:b/>
                <w:bCs/>
                <w:sz w:val="19"/>
                <w:szCs w:val="19"/>
              </w:rPr>
            </w:pPr>
            <w:r w:rsidRPr="00263882">
              <w:rPr>
                <w:b/>
                <w:bCs/>
                <w:sz w:val="19"/>
                <w:szCs w:val="19"/>
              </w:rPr>
              <w:t xml:space="preserve">Minimum number of monitoring sites </w:t>
            </w:r>
          </w:p>
        </w:tc>
        <w:tc>
          <w:tcPr>
            <w:tcW w:w="3046" w:type="dxa"/>
          </w:tcPr>
          <w:p w:rsidR="004C713D" w:rsidRPr="00263882" w:rsidRDefault="001246FF" w:rsidP="00263882">
            <w:pPr>
              <w:pStyle w:val="R2"/>
              <w:tabs>
                <w:tab w:val="clear" w:pos="794"/>
                <w:tab w:val="right" w:pos="-36"/>
              </w:tabs>
              <w:spacing w:before="120" w:after="120" w:line="240" w:lineRule="auto"/>
              <w:ind w:left="0" w:firstLine="0"/>
              <w:jc w:val="center"/>
              <w:rPr>
                <w:b/>
                <w:bCs/>
                <w:sz w:val="19"/>
                <w:szCs w:val="19"/>
              </w:rPr>
            </w:pPr>
            <w:r w:rsidRPr="00263882">
              <w:rPr>
                <w:b/>
                <w:bCs/>
                <w:sz w:val="19"/>
                <w:szCs w:val="19"/>
              </w:rPr>
              <w:t>Monitoring Cut Off Limit (% of MIL)</w:t>
            </w:r>
          </w:p>
        </w:tc>
      </w:tr>
      <w:tr w:rsidR="004C713D" w:rsidRPr="00263882" w:rsidTr="00C07108">
        <w:trPr>
          <w:trHeight w:val="390"/>
          <w:jc w:val="center"/>
        </w:trPr>
        <w:tc>
          <w:tcPr>
            <w:tcW w:w="1756" w:type="dxa"/>
            <w:vMerge w:val="restart"/>
          </w:tcPr>
          <w:p w:rsidR="004C713D" w:rsidRPr="00263882" w:rsidRDefault="004C713D" w:rsidP="00263882">
            <w:pPr>
              <w:pStyle w:val="R2"/>
              <w:tabs>
                <w:tab w:val="clear" w:pos="794"/>
                <w:tab w:val="right" w:pos="12"/>
              </w:tabs>
              <w:spacing w:before="120" w:after="120" w:line="240" w:lineRule="auto"/>
              <w:ind w:left="0" w:firstLine="0"/>
              <w:jc w:val="left"/>
              <w:rPr>
                <w:bCs/>
                <w:sz w:val="19"/>
                <w:szCs w:val="19"/>
              </w:rPr>
            </w:pPr>
            <w:proofErr w:type="spellStart"/>
            <w:r w:rsidRPr="00263882">
              <w:rPr>
                <w:bCs/>
                <w:sz w:val="19"/>
                <w:szCs w:val="19"/>
              </w:rPr>
              <w:t>Benxo</w:t>
            </w:r>
            <w:proofErr w:type="spellEnd"/>
            <w:r w:rsidRPr="00263882">
              <w:rPr>
                <w:bCs/>
                <w:sz w:val="19"/>
                <w:szCs w:val="19"/>
              </w:rPr>
              <w:t>[a]</w:t>
            </w:r>
            <w:proofErr w:type="spellStart"/>
            <w:r w:rsidRPr="00263882">
              <w:rPr>
                <w:bCs/>
                <w:sz w:val="19"/>
                <w:szCs w:val="19"/>
              </w:rPr>
              <w:t>pyrene</w:t>
            </w:r>
            <w:proofErr w:type="spellEnd"/>
            <w:r w:rsidRPr="00263882">
              <w:rPr>
                <w:bCs/>
                <w:sz w:val="19"/>
                <w:szCs w:val="19"/>
              </w:rPr>
              <w:t xml:space="preserve">, formaldehyde, toluene and </w:t>
            </w:r>
            <w:proofErr w:type="spellStart"/>
            <w:r w:rsidRPr="00263882">
              <w:rPr>
                <w:bCs/>
                <w:sz w:val="19"/>
                <w:szCs w:val="19"/>
              </w:rPr>
              <w:t>xylenes</w:t>
            </w:r>
            <w:proofErr w:type="spellEnd"/>
          </w:p>
        </w:tc>
        <w:tc>
          <w:tcPr>
            <w:tcW w:w="2132" w:type="dxa"/>
            <w:shd w:val="clear" w:color="auto" w:fill="auto"/>
          </w:tcPr>
          <w:p w:rsidR="004C713D" w:rsidRPr="00263882" w:rsidRDefault="001246FF" w:rsidP="00263882">
            <w:pPr>
              <w:pStyle w:val="R2"/>
              <w:spacing w:before="120" w:after="120" w:line="240" w:lineRule="auto"/>
              <w:ind w:left="0" w:firstLine="0"/>
              <w:jc w:val="left"/>
              <w:rPr>
                <w:bCs/>
                <w:sz w:val="19"/>
                <w:szCs w:val="19"/>
              </w:rPr>
            </w:pPr>
            <w:r w:rsidRPr="00263882">
              <w:rPr>
                <w:bCs/>
                <w:sz w:val="19"/>
                <w:szCs w:val="19"/>
              </w:rPr>
              <w:t xml:space="preserve">2 or more similar sites </w:t>
            </w:r>
          </w:p>
        </w:tc>
        <w:tc>
          <w:tcPr>
            <w:tcW w:w="3046" w:type="dxa"/>
            <w:shd w:val="clear" w:color="auto" w:fill="auto"/>
          </w:tcPr>
          <w:p w:rsidR="004C713D" w:rsidRPr="00263882" w:rsidRDefault="001246FF" w:rsidP="00263882">
            <w:pPr>
              <w:pStyle w:val="R2"/>
              <w:spacing w:before="120" w:after="120" w:line="240" w:lineRule="auto"/>
              <w:ind w:left="0" w:firstLine="0"/>
              <w:jc w:val="left"/>
              <w:rPr>
                <w:bCs/>
                <w:sz w:val="19"/>
                <w:szCs w:val="19"/>
              </w:rPr>
            </w:pPr>
            <w:r w:rsidRPr="00263882">
              <w:rPr>
                <w:bCs/>
                <w:sz w:val="19"/>
                <w:szCs w:val="19"/>
              </w:rPr>
              <w:t>55% for 1 year of data</w:t>
            </w:r>
          </w:p>
        </w:tc>
      </w:tr>
      <w:tr w:rsidR="004C713D" w:rsidRPr="00263882" w:rsidTr="00C07108">
        <w:trPr>
          <w:trHeight w:val="390"/>
          <w:jc w:val="center"/>
        </w:trPr>
        <w:tc>
          <w:tcPr>
            <w:tcW w:w="1756" w:type="dxa"/>
            <w:vMerge/>
          </w:tcPr>
          <w:p w:rsidR="004C713D" w:rsidRPr="00263882" w:rsidRDefault="004C713D" w:rsidP="00263882">
            <w:pPr>
              <w:pStyle w:val="R2"/>
              <w:tabs>
                <w:tab w:val="clear" w:pos="794"/>
                <w:tab w:val="right" w:pos="12"/>
              </w:tabs>
              <w:spacing w:before="120" w:after="120" w:line="240" w:lineRule="auto"/>
              <w:ind w:left="0" w:firstLine="0"/>
              <w:jc w:val="center"/>
              <w:rPr>
                <w:bCs/>
                <w:sz w:val="19"/>
                <w:szCs w:val="19"/>
              </w:rPr>
            </w:pPr>
          </w:p>
        </w:tc>
        <w:tc>
          <w:tcPr>
            <w:tcW w:w="2132" w:type="dxa"/>
            <w:shd w:val="clear" w:color="auto" w:fill="auto"/>
          </w:tcPr>
          <w:p w:rsidR="004C713D" w:rsidRPr="00263882" w:rsidRDefault="001246FF" w:rsidP="00263882">
            <w:pPr>
              <w:pStyle w:val="R2"/>
              <w:spacing w:before="120" w:after="120" w:line="240" w:lineRule="auto"/>
              <w:ind w:left="0" w:firstLine="0"/>
              <w:jc w:val="left"/>
              <w:rPr>
                <w:bCs/>
                <w:sz w:val="19"/>
                <w:szCs w:val="19"/>
              </w:rPr>
            </w:pPr>
            <w:r w:rsidRPr="00263882">
              <w:rPr>
                <w:bCs/>
                <w:sz w:val="19"/>
                <w:szCs w:val="19"/>
              </w:rPr>
              <w:t xml:space="preserve">1 site </w:t>
            </w:r>
          </w:p>
        </w:tc>
        <w:tc>
          <w:tcPr>
            <w:tcW w:w="3046" w:type="dxa"/>
            <w:shd w:val="clear" w:color="auto" w:fill="auto"/>
          </w:tcPr>
          <w:p w:rsidR="004C713D" w:rsidRPr="00263882" w:rsidRDefault="001246FF" w:rsidP="00263882">
            <w:pPr>
              <w:pStyle w:val="R2"/>
              <w:spacing w:before="120" w:after="120" w:line="240" w:lineRule="auto"/>
              <w:ind w:left="0" w:firstLine="0"/>
              <w:jc w:val="left"/>
              <w:rPr>
                <w:bCs/>
                <w:sz w:val="19"/>
                <w:szCs w:val="19"/>
              </w:rPr>
            </w:pPr>
            <w:r w:rsidRPr="00263882">
              <w:rPr>
                <w:bCs/>
                <w:sz w:val="19"/>
                <w:szCs w:val="19"/>
              </w:rPr>
              <w:t>60% for 2 or more years of data</w:t>
            </w:r>
          </w:p>
        </w:tc>
      </w:tr>
      <w:tr w:rsidR="004C713D" w:rsidRPr="00263882" w:rsidTr="00C07108">
        <w:trPr>
          <w:trHeight w:val="383"/>
          <w:jc w:val="center"/>
        </w:trPr>
        <w:tc>
          <w:tcPr>
            <w:tcW w:w="1756" w:type="dxa"/>
            <w:vMerge w:val="restart"/>
          </w:tcPr>
          <w:p w:rsidR="004C713D" w:rsidRPr="00263882" w:rsidRDefault="004C713D" w:rsidP="00263882">
            <w:pPr>
              <w:pStyle w:val="R2"/>
              <w:tabs>
                <w:tab w:val="clear" w:pos="794"/>
                <w:tab w:val="right" w:pos="12"/>
              </w:tabs>
              <w:spacing w:before="120" w:after="120" w:line="240" w:lineRule="auto"/>
              <w:ind w:left="0" w:firstLine="0"/>
              <w:jc w:val="left"/>
              <w:rPr>
                <w:bCs/>
                <w:sz w:val="19"/>
                <w:szCs w:val="19"/>
              </w:rPr>
            </w:pPr>
            <w:r w:rsidRPr="00263882">
              <w:rPr>
                <w:bCs/>
                <w:sz w:val="19"/>
                <w:szCs w:val="19"/>
              </w:rPr>
              <w:t>Benzene</w:t>
            </w:r>
          </w:p>
        </w:tc>
        <w:tc>
          <w:tcPr>
            <w:tcW w:w="2132" w:type="dxa"/>
            <w:shd w:val="clear" w:color="auto" w:fill="auto"/>
          </w:tcPr>
          <w:p w:rsidR="004C713D" w:rsidRPr="00263882" w:rsidRDefault="001246FF" w:rsidP="00263882">
            <w:pPr>
              <w:pStyle w:val="R2"/>
              <w:spacing w:before="120" w:after="120" w:line="240" w:lineRule="auto"/>
              <w:ind w:left="0" w:firstLine="0"/>
              <w:jc w:val="left"/>
              <w:rPr>
                <w:bCs/>
                <w:sz w:val="19"/>
                <w:szCs w:val="19"/>
              </w:rPr>
            </w:pPr>
            <w:r w:rsidRPr="00263882">
              <w:rPr>
                <w:bCs/>
                <w:sz w:val="19"/>
                <w:szCs w:val="19"/>
              </w:rPr>
              <w:t>2 or more similar sites</w:t>
            </w:r>
            <w:r w:rsidRPr="00263882" w:rsidDel="001246FF">
              <w:rPr>
                <w:bCs/>
                <w:sz w:val="19"/>
                <w:szCs w:val="19"/>
              </w:rPr>
              <w:t xml:space="preserve"> </w:t>
            </w:r>
          </w:p>
        </w:tc>
        <w:tc>
          <w:tcPr>
            <w:tcW w:w="3046" w:type="dxa"/>
            <w:shd w:val="clear" w:color="auto" w:fill="auto"/>
          </w:tcPr>
          <w:p w:rsidR="004C713D" w:rsidRPr="00263882" w:rsidRDefault="001246FF" w:rsidP="00263882">
            <w:pPr>
              <w:pStyle w:val="R2"/>
              <w:spacing w:before="120" w:after="120" w:line="240" w:lineRule="auto"/>
              <w:ind w:left="0" w:firstLine="0"/>
              <w:jc w:val="left"/>
              <w:rPr>
                <w:bCs/>
                <w:sz w:val="19"/>
                <w:szCs w:val="19"/>
              </w:rPr>
            </w:pPr>
            <w:r w:rsidRPr="00263882">
              <w:rPr>
                <w:bCs/>
                <w:sz w:val="19"/>
                <w:szCs w:val="19"/>
              </w:rPr>
              <w:t xml:space="preserve">30% for 1 year of data  </w:t>
            </w:r>
          </w:p>
        </w:tc>
      </w:tr>
      <w:tr w:rsidR="004C713D" w:rsidRPr="00263882" w:rsidTr="00C07108">
        <w:trPr>
          <w:trHeight w:val="382"/>
          <w:jc w:val="center"/>
        </w:trPr>
        <w:tc>
          <w:tcPr>
            <w:tcW w:w="1756" w:type="dxa"/>
            <w:vMerge/>
          </w:tcPr>
          <w:p w:rsidR="004C713D" w:rsidRPr="00263882" w:rsidRDefault="004C713D" w:rsidP="00263882">
            <w:pPr>
              <w:pStyle w:val="R2"/>
              <w:tabs>
                <w:tab w:val="clear" w:pos="794"/>
                <w:tab w:val="right" w:pos="12"/>
              </w:tabs>
              <w:spacing w:before="120" w:after="120" w:line="240" w:lineRule="auto"/>
              <w:ind w:left="0" w:firstLine="0"/>
              <w:jc w:val="center"/>
              <w:rPr>
                <w:bCs/>
                <w:sz w:val="19"/>
                <w:szCs w:val="19"/>
              </w:rPr>
            </w:pPr>
          </w:p>
        </w:tc>
        <w:tc>
          <w:tcPr>
            <w:tcW w:w="2132" w:type="dxa"/>
            <w:shd w:val="clear" w:color="auto" w:fill="auto"/>
          </w:tcPr>
          <w:p w:rsidR="004C713D" w:rsidRPr="00263882" w:rsidRDefault="001246FF" w:rsidP="00263882">
            <w:pPr>
              <w:pStyle w:val="R2"/>
              <w:spacing w:before="120" w:after="120" w:line="240" w:lineRule="auto"/>
              <w:ind w:left="0" w:firstLine="0"/>
              <w:jc w:val="left"/>
              <w:rPr>
                <w:bCs/>
                <w:sz w:val="19"/>
                <w:szCs w:val="19"/>
              </w:rPr>
            </w:pPr>
            <w:r w:rsidRPr="00263882">
              <w:rPr>
                <w:bCs/>
                <w:sz w:val="19"/>
                <w:szCs w:val="19"/>
              </w:rPr>
              <w:t xml:space="preserve">1 site  </w:t>
            </w:r>
          </w:p>
        </w:tc>
        <w:tc>
          <w:tcPr>
            <w:tcW w:w="3046" w:type="dxa"/>
            <w:shd w:val="clear" w:color="auto" w:fill="auto"/>
          </w:tcPr>
          <w:p w:rsidR="004C713D" w:rsidRPr="00263882" w:rsidRDefault="001246FF" w:rsidP="00263882">
            <w:pPr>
              <w:pStyle w:val="R2"/>
              <w:spacing w:before="120" w:after="120" w:line="240" w:lineRule="auto"/>
              <w:ind w:left="0" w:firstLine="0"/>
              <w:jc w:val="left"/>
              <w:rPr>
                <w:bCs/>
                <w:sz w:val="19"/>
                <w:szCs w:val="19"/>
              </w:rPr>
            </w:pPr>
            <w:r w:rsidRPr="00263882">
              <w:rPr>
                <w:bCs/>
                <w:sz w:val="19"/>
                <w:szCs w:val="19"/>
              </w:rPr>
              <w:t>35% for 2 or more years of data</w:t>
            </w:r>
          </w:p>
        </w:tc>
      </w:tr>
    </w:tbl>
    <w:p w:rsidR="00EE2C13" w:rsidRDefault="00747BF0" w:rsidP="00747BF0">
      <w:pPr>
        <w:pStyle w:val="section1a"/>
        <w:tabs>
          <w:tab w:val="clear" w:pos="993"/>
          <w:tab w:val="left" w:pos="1560"/>
        </w:tabs>
        <w:spacing w:before="120" w:line="180" w:lineRule="atLeast"/>
        <w:ind w:left="2138"/>
        <w:rPr>
          <w:color w:val="000000"/>
        </w:rPr>
      </w:pPr>
      <w:r>
        <w:rPr>
          <w:color w:val="000000"/>
        </w:rPr>
        <w:lastRenderedPageBreak/>
        <w:tab/>
      </w:r>
    </w:p>
    <w:p w:rsidR="004E3C4F" w:rsidRPr="00747BF0" w:rsidRDefault="004E3C4F" w:rsidP="00B717C4">
      <w:pPr>
        <w:pStyle w:val="section1a"/>
        <w:tabs>
          <w:tab w:val="clear" w:pos="993"/>
          <w:tab w:val="left" w:pos="1560"/>
        </w:tabs>
        <w:spacing w:before="120" w:line="180" w:lineRule="atLeast"/>
        <w:ind w:left="1560" w:hanging="840"/>
        <w:rPr>
          <w:color w:val="000000"/>
        </w:rPr>
      </w:pPr>
      <w:r w:rsidRPr="00747BF0">
        <w:rPr>
          <w:color w:val="000000"/>
        </w:rPr>
        <w:t>(vii)</w:t>
      </w:r>
      <w:r w:rsidRPr="00747BF0">
        <w:rPr>
          <w:color w:val="000000"/>
        </w:rPr>
        <w:tab/>
        <w:t>For the purpose of Table 1,</w:t>
      </w:r>
      <w:r w:rsidR="00C42B85" w:rsidRPr="00747BF0">
        <w:rPr>
          <w:color w:val="000000"/>
        </w:rPr>
        <w:t xml:space="preserve"> two or more </w:t>
      </w:r>
      <w:r w:rsidRPr="00747BF0">
        <w:rPr>
          <w:color w:val="000000"/>
        </w:rPr>
        <w:t>sites are similar</w:t>
      </w:r>
      <w:r w:rsidR="00C42B85" w:rsidRPr="00747BF0">
        <w:rPr>
          <w:color w:val="000000"/>
        </w:rPr>
        <w:t xml:space="preserve"> sites</w:t>
      </w:r>
      <w:r w:rsidRPr="00747BF0">
        <w:rPr>
          <w:color w:val="000000"/>
        </w:rPr>
        <w:t xml:space="preserve"> if their location and sources of pollutants fall within the same classification as the desktop analysis and siting criteria under AS/NZS 3580.1.1:2007 Ambient Air - Guide for the siting of sampling units for peak monitoring stations. </w:t>
      </w:r>
    </w:p>
    <w:p w:rsidR="00CF71D0" w:rsidRPr="002C3D64" w:rsidRDefault="00CF71D0" w:rsidP="00CF71D0">
      <w:pPr>
        <w:pStyle w:val="HR"/>
        <w:ind w:left="0" w:firstLine="0"/>
        <w:rPr>
          <w:rFonts w:cs="Times New Roman"/>
        </w:rPr>
      </w:pPr>
      <w:r w:rsidRPr="00AE61AE">
        <w:rPr>
          <w:rStyle w:val="CharSectno"/>
        </w:rPr>
        <w:t>[</w:t>
      </w:r>
      <w:r w:rsidR="0080756F">
        <w:rPr>
          <w:rStyle w:val="CharSectno"/>
        </w:rPr>
        <w:t>8</w:t>
      </w:r>
      <w:r w:rsidRPr="00AE61AE">
        <w:rPr>
          <w:rStyle w:val="CharSectno"/>
        </w:rPr>
        <w:t>]</w:t>
      </w:r>
      <w:r w:rsidRPr="00AE61AE">
        <w:rPr>
          <w:rStyle w:val="CharSectno"/>
        </w:rPr>
        <w:tab/>
        <w:t>Schedule 3</w:t>
      </w:r>
      <w:r w:rsidR="00E303E8">
        <w:rPr>
          <w:rStyle w:val="CharSectno"/>
        </w:rPr>
        <w:t xml:space="preserve">, </w:t>
      </w:r>
      <w:r>
        <w:rPr>
          <w:rStyle w:val="CharSectno"/>
        </w:rPr>
        <w:t>section 1</w:t>
      </w:r>
    </w:p>
    <w:p w:rsidR="00CF71D0" w:rsidRDefault="00CF71D0" w:rsidP="00CF71D0">
      <w:pPr>
        <w:pStyle w:val="SectionText"/>
        <w:ind w:hanging="272"/>
        <w:rPr>
          <w:rStyle w:val="CharSectno"/>
        </w:rPr>
      </w:pPr>
      <w:r w:rsidRPr="002C3D64">
        <w:rPr>
          <w:rStyle w:val="CharSectno"/>
          <w:i/>
        </w:rPr>
        <w:t>omit</w:t>
      </w:r>
      <w:r>
        <w:rPr>
          <w:rStyle w:val="CharSectno"/>
        </w:rPr>
        <w:t xml:space="preserve"> </w:t>
      </w:r>
    </w:p>
    <w:p w:rsidR="00CF71D0" w:rsidRDefault="00CF71D0" w:rsidP="00CF71D0">
      <w:pPr>
        <w:pStyle w:val="SectionText"/>
        <w:ind w:left="272" w:firstLine="720"/>
      </w:pPr>
      <w:r w:rsidRPr="002C3D64">
        <w:t>Monitoring</w:t>
      </w:r>
    </w:p>
    <w:p w:rsidR="00CF71D0" w:rsidRDefault="00CF71D0" w:rsidP="00CF71D0">
      <w:pPr>
        <w:pStyle w:val="SectionText"/>
        <w:ind w:left="720" w:hanging="720"/>
      </w:pPr>
      <w:r>
        <w:tab/>
      </w:r>
      <w:r>
        <w:rPr>
          <w:i/>
        </w:rPr>
        <w:t>substitute</w:t>
      </w:r>
    </w:p>
    <w:p w:rsidR="00CF71D0" w:rsidRDefault="00E303E8" w:rsidP="00CF71D0">
      <w:pPr>
        <w:pStyle w:val="SectionText"/>
        <w:ind w:left="1080" w:firstLine="0"/>
      </w:pPr>
      <w:r>
        <w:t xml:space="preserve">Subject to </w:t>
      </w:r>
      <w:r w:rsidR="00CF71D0">
        <w:t xml:space="preserve">sections 3 and </w:t>
      </w:r>
      <w:r w:rsidR="00974409">
        <w:t>3C</w:t>
      </w:r>
      <w:r w:rsidR="00CF71D0">
        <w:t xml:space="preserve"> below, monitoring</w:t>
      </w:r>
    </w:p>
    <w:p w:rsidR="00CF71D0" w:rsidRPr="002C3D64" w:rsidRDefault="00CF71D0" w:rsidP="00CF71D0">
      <w:pPr>
        <w:pStyle w:val="HR"/>
        <w:ind w:left="0" w:firstLine="0"/>
        <w:rPr>
          <w:rFonts w:cs="Times New Roman"/>
        </w:rPr>
      </w:pPr>
      <w:r w:rsidRPr="00AE61AE">
        <w:rPr>
          <w:rStyle w:val="CharSectno"/>
        </w:rPr>
        <w:t>[</w:t>
      </w:r>
      <w:r w:rsidR="0080756F">
        <w:rPr>
          <w:rStyle w:val="CharSectno"/>
        </w:rPr>
        <w:t>9</w:t>
      </w:r>
      <w:r w:rsidRPr="00AE61AE">
        <w:rPr>
          <w:rStyle w:val="CharSectno"/>
        </w:rPr>
        <w:t>]</w:t>
      </w:r>
      <w:r w:rsidRPr="00AE61AE">
        <w:rPr>
          <w:rStyle w:val="CharSectno"/>
        </w:rPr>
        <w:tab/>
        <w:t>Schedule 3</w:t>
      </w:r>
      <w:r w:rsidR="00E303E8">
        <w:rPr>
          <w:rStyle w:val="CharSectno"/>
        </w:rPr>
        <w:t xml:space="preserve">, </w:t>
      </w:r>
      <w:r>
        <w:rPr>
          <w:rStyle w:val="CharSectno"/>
        </w:rPr>
        <w:t>section 1</w:t>
      </w:r>
    </w:p>
    <w:p w:rsidR="00CF71D0" w:rsidRDefault="00CF71D0" w:rsidP="00CF71D0">
      <w:pPr>
        <w:pStyle w:val="SectionText"/>
        <w:ind w:hanging="272"/>
        <w:rPr>
          <w:rStyle w:val="CharSectno"/>
        </w:rPr>
      </w:pPr>
      <w:r w:rsidRPr="002C3D64">
        <w:rPr>
          <w:rStyle w:val="CharSectno"/>
          <w:i/>
        </w:rPr>
        <w:t>omit</w:t>
      </w:r>
      <w:r>
        <w:rPr>
          <w:rStyle w:val="CharSectno"/>
        </w:rPr>
        <w:t xml:space="preserve"> </w:t>
      </w:r>
    </w:p>
    <w:p w:rsidR="00CF71D0" w:rsidRDefault="00CF71D0" w:rsidP="00CF71D0">
      <w:pPr>
        <w:pStyle w:val="SectionText"/>
        <w:ind w:left="272" w:firstLine="720"/>
      </w:pPr>
      <w:r>
        <w:t>Table 2 and Section 3 (1)</w:t>
      </w:r>
    </w:p>
    <w:p w:rsidR="00CF71D0" w:rsidRDefault="00CF71D0" w:rsidP="00CF71D0">
      <w:pPr>
        <w:pStyle w:val="SectionText"/>
        <w:ind w:left="720" w:hanging="720"/>
      </w:pPr>
      <w:r>
        <w:tab/>
      </w:r>
      <w:r>
        <w:rPr>
          <w:i/>
        </w:rPr>
        <w:t>substitute</w:t>
      </w:r>
    </w:p>
    <w:p w:rsidR="00CF71D0" w:rsidRDefault="00CF71D0" w:rsidP="00CF71D0">
      <w:pPr>
        <w:pStyle w:val="SectionText"/>
        <w:ind w:left="272" w:firstLine="720"/>
      </w:pPr>
      <w:r>
        <w:t>Table 1 and subsection 4(i)</w:t>
      </w:r>
    </w:p>
    <w:p w:rsidR="00CF71D0" w:rsidRPr="002C3D64" w:rsidRDefault="00CF71D0" w:rsidP="00CF71D0">
      <w:pPr>
        <w:pStyle w:val="HR"/>
        <w:ind w:left="0" w:firstLine="0"/>
        <w:rPr>
          <w:rFonts w:cs="Times New Roman"/>
        </w:rPr>
      </w:pPr>
      <w:r w:rsidRPr="00AE61AE">
        <w:rPr>
          <w:rStyle w:val="CharSectno"/>
        </w:rPr>
        <w:t>[</w:t>
      </w:r>
      <w:r w:rsidR="0080756F">
        <w:rPr>
          <w:rStyle w:val="CharSectno"/>
        </w:rPr>
        <w:t>10</w:t>
      </w:r>
      <w:r w:rsidRPr="00AE61AE">
        <w:rPr>
          <w:rStyle w:val="CharSectno"/>
        </w:rPr>
        <w:t>]</w:t>
      </w:r>
      <w:r w:rsidRPr="00AE61AE">
        <w:rPr>
          <w:rStyle w:val="CharSectno"/>
        </w:rPr>
        <w:tab/>
        <w:t>Schedule 3</w:t>
      </w:r>
      <w:r w:rsidR="000A64D0">
        <w:rPr>
          <w:rStyle w:val="CharSectno"/>
        </w:rPr>
        <w:t xml:space="preserve">, </w:t>
      </w:r>
      <w:r>
        <w:rPr>
          <w:rStyle w:val="CharSectno"/>
        </w:rPr>
        <w:t>section 2</w:t>
      </w:r>
    </w:p>
    <w:p w:rsidR="00CF71D0" w:rsidRDefault="00CF71D0" w:rsidP="00CF71D0">
      <w:pPr>
        <w:pStyle w:val="SectionText"/>
        <w:ind w:hanging="272"/>
        <w:rPr>
          <w:rStyle w:val="CharSectno"/>
        </w:rPr>
      </w:pPr>
      <w:r w:rsidRPr="002C3D64">
        <w:rPr>
          <w:rStyle w:val="CharSectno"/>
          <w:i/>
        </w:rPr>
        <w:t>omit</w:t>
      </w:r>
      <w:r>
        <w:rPr>
          <w:rStyle w:val="CharSectno"/>
        </w:rPr>
        <w:t xml:space="preserve"> </w:t>
      </w:r>
    </w:p>
    <w:p w:rsidR="00CF71D0" w:rsidRDefault="00CF71D0" w:rsidP="00CF71D0">
      <w:pPr>
        <w:pStyle w:val="SectionText"/>
        <w:ind w:left="272" w:firstLine="720"/>
      </w:pPr>
      <w:r w:rsidRPr="002C3D64">
        <w:t>Monitoring</w:t>
      </w:r>
    </w:p>
    <w:p w:rsidR="00CF71D0" w:rsidRDefault="00CF71D0" w:rsidP="00CF71D0">
      <w:pPr>
        <w:pStyle w:val="SectionText"/>
        <w:ind w:left="720" w:hanging="720"/>
      </w:pPr>
      <w:r>
        <w:tab/>
      </w:r>
      <w:r>
        <w:rPr>
          <w:i/>
        </w:rPr>
        <w:t>substitute</w:t>
      </w:r>
    </w:p>
    <w:p w:rsidR="00CF71D0" w:rsidRPr="002C3D64" w:rsidRDefault="00974409" w:rsidP="00CF71D0">
      <w:pPr>
        <w:pStyle w:val="SectionText"/>
        <w:ind w:left="1080" w:firstLine="0"/>
      </w:pPr>
      <w:r>
        <w:t>Subject to sections 3 and 3C</w:t>
      </w:r>
      <w:r w:rsidR="00CF71D0">
        <w:t xml:space="preserve"> below, monitoring</w:t>
      </w:r>
    </w:p>
    <w:p w:rsidR="00CF71D0" w:rsidRPr="002C3D64" w:rsidRDefault="00CF71D0" w:rsidP="00CF71D0">
      <w:pPr>
        <w:pStyle w:val="HR"/>
        <w:ind w:left="0" w:firstLine="0"/>
        <w:rPr>
          <w:rFonts w:cs="Times New Roman"/>
        </w:rPr>
      </w:pPr>
      <w:r w:rsidRPr="00AE61AE">
        <w:rPr>
          <w:rStyle w:val="CharSectno"/>
        </w:rPr>
        <w:t>[</w:t>
      </w:r>
      <w:r w:rsidR="0080756F">
        <w:rPr>
          <w:rStyle w:val="CharSectno"/>
        </w:rPr>
        <w:t>11</w:t>
      </w:r>
      <w:r w:rsidRPr="00AE61AE">
        <w:rPr>
          <w:rStyle w:val="CharSectno"/>
        </w:rPr>
        <w:t>]</w:t>
      </w:r>
      <w:r w:rsidRPr="00AE61AE">
        <w:rPr>
          <w:rStyle w:val="CharSectno"/>
        </w:rPr>
        <w:tab/>
        <w:t>Schedule 3</w:t>
      </w:r>
      <w:r w:rsidR="000A64D0">
        <w:rPr>
          <w:rStyle w:val="CharSectno"/>
        </w:rPr>
        <w:t xml:space="preserve">, </w:t>
      </w:r>
      <w:r>
        <w:rPr>
          <w:rStyle w:val="CharSectno"/>
        </w:rPr>
        <w:t>section 2</w:t>
      </w:r>
    </w:p>
    <w:p w:rsidR="00CF71D0" w:rsidRDefault="00CF71D0" w:rsidP="00CF71D0">
      <w:pPr>
        <w:pStyle w:val="SectionText"/>
        <w:ind w:hanging="272"/>
        <w:rPr>
          <w:rStyle w:val="CharSectno"/>
        </w:rPr>
      </w:pPr>
      <w:r w:rsidRPr="002C3D64">
        <w:rPr>
          <w:rStyle w:val="CharSectno"/>
          <w:i/>
        </w:rPr>
        <w:t>omit</w:t>
      </w:r>
      <w:r>
        <w:rPr>
          <w:rStyle w:val="CharSectno"/>
        </w:rPr>
        <w:t xml:space="preserve"> </w:t>
      </w:r>
    </w:p>
    <w:p w:rsidR="00CF71D0" w:rsidRDefault="00CF71D0" w:rsidP="00CF71D0">
      <w:pPr>
        <w:pStyle w:val="SectionText"/>
        <w:ind w:left="272" w:firstLine="720"/>
      </w:pPr>
      <w:r>
        <w:t>Table 2 and Section 3 (2)</w:t>
      </w:r>
    </w:p>
    <w:p w:rsidR="00CF71D0" w:rsidRDefault="00CF71D0" w:rsidP="00CF71D0">
      <w:pPr>
        <w:pStyle w:val="SectionText"/>
        <w:ind w:left="720" w:hanging="720"/>
      </w:pPr>
      <w:r>
        <w:tab/>
      </w:r>
      <w:r>
        <w:rPr>
          <w:i/>
        </w:rPr>
        <w:t>substitute</w:t>
      </w:r>
    </w:p>
    <w:p w:rsidR="00CF71D0" w:rsidRPr="002C3D64" w:rsidRDefault="00CF71D0" w:rsidP="00CF71D0">
      <w:pPr>
        <w:pStyle w:val="SectionText"/>
        <w:ind w:left="272" w:firstLine="720"/>
      </w:pPr>
      <w:r>
        <w:t>Table 1 and subsection 4(ii)</w:t>
      </w:r>
    </w:p>
    <w:p w:rsidR="00CF71D0" w:rsidRPr="00AE61AE" w:rsidRDefault="00CF71D0" w:rsidP="00CF71D0">
      <w:pPr>
        <w:pStyle w:val="HR"/>
        <w:ind w:left="0" w:firstLine="0"/>
        <w:rPr>
          <w:rStyle w:val="CharSectno"/>
        </w:rPr>
      </w:pPr>
      <w:r>
        <w:rPr>
          <w:rStyle w:val="CharSectno"/>
        </w:rPr>
        <w:t>[</w:t>
      </w:r>
      <w:r w:rsidR="0080756F">
        <w:rPr>
          <w:rStyle w:val="CharSectno"/>
        </w:rPr>
        <w:t>12</w:t>
      </w:r>
      <w:r>
        <w:rPr>
          <w:rStyle w:val="CharSectno"/>
        </w:rPr>
        <w:t>]</w:t>
      </w:r>
      <w:r>
        <w:rPr>
          <w:rStyle w:val="CharSectno"/>
        </w:rPr>
        <w:tab/>
        <w:t xml:space="preserve">After </w:t>
      </w:r>
      <w:r w:rsidRPr="00AE61AE">
        <w:rPr>
          <w:rStyle w:val="CharSectno"/>
        </w:rPr>
        <w:t>Schedule 3</w:t>
      </w:r>
      <w:r w:rsidR="000A64D0">
        <w:rPr>
          <w:rStyle w:val="CharSectno"/>
        </w:rPr>
        <w:t xml:space="preserve">, </w:t>
      </w:r>
      <w:r>
        <w:rPr>
          <w:rStyle w:val="CharSectno"/>
        </w:rPr>
        <w:t>section 3</w:t>
      </w:r>
    </w:p>
    <w:p w:rsidR="00CF71D0" w:rsidRDefault="00CF71D0" w:rsidP="00974409">
      <w:pPr>
        <w:pStyle w:val="SectionText"/>
        <w:ind w:left="1440" w:hanging="720"/>
      </w:pPr>
      <w:r w:rsidRPr="007642CC">
        <w:rPr>
          <w:i/>
        </w:rPr>
        <w:t>insert</w:t>
      </w:r>
      <w:r>
        <w:t xml:space="preserve"> </w:t>
      </w:r>
    </w:p>
    <w:p w:rsidR="00CF71D0" w:rsidRDefault="001555B3" w:rsidP="00974409">
      <w:pPr>
        <w:pStyle w:val="SectionText"/>
        <w:ind w:left="1440" w:hanging="720"/>
      </w:pPr>
      <w:r>
        <w:t>3A</w:t>
      </w:r>
      <w:r w:rsidR="00CF71D0">
        <w:t>.</w:t>
      </w:r>
      <w:r w:rsidR="00CF71D0">
        <w:tab/>
      </w:r>
      <w:r w:rsidR="00CF71D0" w:rsidRPr="00AE61AE">
        <w:t xml:space="preserve">The </w:t>
      </w:r>
      <w:r w:rsidR="000E42A8" w:rsidRPr="00D4051F">
        <w:t>Council</w:t>
      </w:r>
      <w:r w:rsidR="00CF71D0" w:rsidRPr="00AE61AE">
        <w:t xml:space="preserve"> may </w:t>
      </w:r>
      <w:r w:rsidR="00710ACE">
        <w:t>approve</w:t>
      </w:r>
      <w:r w:rsidR="00710ACE" w:rsidRPr="00AE61AE">
        <w:t xml:space="preserve"> </w:t>
      </w:r>
      <w:r w:rsidR="00CF71D0" w:rsidRPr="00AE61AE">
        <w:t>alternative methods</w:t>
      </w:r>
      <w:r w:rsidR="00CF71D0">
        <w:t xml:space="preserve"> for monitoring air toxics,</w:t>
      </w:r>
      <w:r w:rsidR="000A64D0">
        <w:t xml:space="preserve"> other than those allowed in </w:t>
      </w:r>
      <w:r w:rsidR="00CF71D0">
        <w:t xml:space="preserve">section 3, </w:t>
      </w:r>
      <w:r w:rsidR="00554818">
        <w:t xml:space="preserve">if </w:t>
      </w:r>
      <w:r w:rsidR="00CF71D0" w:rsidRPr="00D4051F">
        <w:t xml:space="preserve">the </w:t>
      </w:r>
      <w:r w:rsidR="000C3E93" w:rsidRPr="00D4051F">
        <w:t>Council</w:t>
      </w:r>
      <w:r w:rsidR="000C3E93">
        <w:t xml:space="preserve"> </w:t>
      </w:r>
      <w:r w:rsidR="00CF71D0">
        <w:t xml:space="preserve">considers those alternative </w:t>
      </w:r>
      <w:r w:rsidR="00CF71D0" w:rsidRPr="00AE61AE">
        <w:t>methods</w:t>
      </w:r>
      <w:r w:rsidR="00CF71D0">
        <w:t xml:space="preserve"> appropriate</w:t>
      </w:r>
      <w:r w:rsidR="00CF71D0" w:rsidRPr="006F7383">
        <w:t xml:space="preserve"> </w:t>
      </w:r>
      <w:r w:rsidR="00CF71D0">
        <w:t xml:space="preserve">for monitoring air toxics for the purposes of this </w:t>
      </w:r>
      <w:r w:rsidR="00710ACE">
        <w:t>Measure</w:t>
      </w:r>
      <w:r w:rsidR="00CF71D0" w:rsidRPr="00AE61AE">
        <w:t xml:space="preserve">. </w:t>
      </w:r>
    </w:p>
    <w:p w:rsidR="00E303E8" w:rsidRPr="00AE61AE" w:rsidRDefault="000A64D0" w:rsidP="00974409">
      <w:pPr>
        <w:pStyle w:val="SectionText"/>
        <w:ind w:left="1440" w:hanging="720"/>
      </w:pPr>
      <w:r>
        <w:t>3B.</w:t>
      </w:r>
      <w:r>
        <w:tab/>
      </w:r>
      <w:r w:rsidR="00E303E8">
        <w:t xml:space="preserve">The </w:t>
      </w:r>
      <w:r w:rsidR="000C3E93" w:rsidRPr="00D4051F">
        <w:t>Council</w:t>
      </w:r>
      <w:r w:rsidR="000C3E93">
        <w:t xml:space="preserve"> </w:t>
      </w:r>
      <w:r w:rsidR="00E303E8">
        <w:t>may on</w:t>
      </w:r>
      <w:r>
        <w:t>ly approve an alternative metho</w:t>
      </w:r>
      <w:r w:rsidR="00E303E8">
        <w:t>d for monitoring air toxics</w:t>
      </w:r>
      <w:r>
        <w:t xml:space="preserve"> under section 3A</w:t>
      </w:r>
      <w:r w:rsidR="00E303E8">
        <w:t xml:space="preserve"> </w:t>
      </w:r>
      <w:r>
        <w:t>if the method is a method developed or used by a recognised agency.</w:t>
      </w:r>
    </w:p>
    <w:p w:rsidR="00CF71D0" w:rsidRDefault="000A64D0" w:rsidP="00974409">
      <w:pPr>
        <w:pStyle w:val="SectionText"/>
        <w:ind w:left="1440" w:hanging="720"/>
      </w:pPr>
      <w:r>
        <w:lastRenderedPageBreak/>
        <w:t>3C</w:t>
      </w:r>
      <w:r w:rsidR="00CF71D0">
        <w:t>.</w:t>
      </w:r>
      <w:r w:rsidR="00CF71D0">
        <w:tab/>
      </w:r>
      <w:r w:rsidR="00CF71D0" w:rsidRPr="00AE61AE">
        <w:t xml:space="preserve">If the </w:t>
      </w:r>
      <w:r w:rsidR="000C3E93" w:rsidRPr="00D4051F">
        <w:t>Council</w:t>
      </w:r>
      <w:r w:rsidR="00D4051F">
        <w:t xml:space="preserve"> </w:t>
      </w:r>
      <w:r w:rsidR="00554818">
        <w:t xml:space="preserve">has </w:t>
      </w:r>
      <w:r w:rsidR="00710ACE">
        <w:t>approve</w:t>
      </w:r>
      <w:r w:rsidR="00554818">
        <w:t>d</w:t>
      </w:r>
      <w:r w:rsidR="00710ACE">
        <w:t xml:space="preserve"> </w:t>
      </w:r>
      <w:r w:rsidR="00554818">
        <w:t xml:space="preserve">an </w:t>
      </w:r>
      <w:r w:rsidR="00CF71D0" w:rsidRPr="00AE61AE">
        <w:t>alternative method</w:t>
      </w:r>
      <w:r w:rsidR="00CF71D0">
        <w:t xml:space="preserve"> for monitoring air toxics </w:t>
      </w:r>
      <w:r w:rsidR="00CF71D0" w:rsidRPr="00AE61AE">
        <w:t xml:space="preserve">under </w:t>
      </w:r>
      <w:r w:rsidR="00CF71D0">
        <w:t xml:space="preserve">section </w:t>
      </w:r>
      <w:r w:rsidR="0037599E">
        <w:t>3A</w:t>
      </w:r>
      <w:r w:rsidR="00CF71D0" w:rsidRPr="00AE61AE">
        <w:t xml:space="preserve">, </w:t>
      </w:r>
      <w:r w:rsidR="00CF71D0">
        <w:t>a participating jurisdiction</w:t>
      </w:r>
      <w:r w:rsidR="00CF71D0" w:rsidRPr="00AE61AE">
        <w:t xml:space="preserve"> may use </w:t>
      </w:r>
      <w:r w:rsidR="00554818">
        <w:t>that</w:t>
      </w:r>
      <w:r w:rsidR="00554818" w:rsidRPr="00AE61AE">
        <w:t xml:space="preserve"> </w:t>
      </w:r>
      <w:r w:rsidR="00CF71D0" w:rsidRPr="00AE61AE">
        <w:t xml:space="preserve">alternative method to </w:t>
      </w:r>
      <w:r w:rsidR="00CF71D0">
        <w:t>monitor air toxics</w:t>
      </w:r>
      <w:r w:rsidR="00CF71D0" w:rsidRPr="00AE61AE">
        <w:t xml:space="preserve"> </w:t>
      </w:r>
      <w:r w:rsidR="00554818">
        <w:t xml:space="preserve">for the purposes of this Measure </w:t>
      </w:r>
      <w:r w:rsidR="00CF71D0">
        <w:t>if it is not reasonably practicable for the participating jurisdiction to use a method in Table 1 of Schedule 3</w:t>
      </w:r>
      <w:r w:rsidR="00CF71D0" w:rsidRPr="00AE61AE">
        <w:t>.</w:t>
      </w:r>
    </w:p>
    <w:p w:rsidR="000A64D0" w:rsidRDefault="00974409" w:rsidP="00CF71D0">
      <w:pPr>
        <w:pStyle w:val="SectionText"/>
        <w:ind w:hanging="272"/>
      </w:pPr>
      <w:r>
        <w:t>3D.</w:t>
      </w:r>
      <w:r>
        <w:tab/>
      </w:r>
      <w:r w:rsidR="000A64D0">
        <w:t xml:space="preserve">For the purposes of section 3B, </w:t>
      </w:r>
      <w:r w:rsidR="000A64D0">
        <w:rPr>
          <w:b/>
          <w:i/>
        </w:rPr>
        <w:t xml:space="preserve">recognised agency </w:t>
      </w:r>
      <w:r w:rsidR="000A64D0">
        <w:t>means</w:t>
      </w:r>
      <w:r>
        <w:t>:</w:t>
      </w:r>
    </w:p>
    <w:p w:rsidR="00D61F36" w:rsidRPr="00D61F36" w:rsidRDefault="00C07108" w:rsidP="00974409">
      <w:pPr>
        <w:pStyle w:val="SectionText"/>
        <w:numPr>
          <w:ilvl w:val="0"/>
          <w:numId w:val="12"/>
        </w:numPr>
        <w:tabs>
          <w:tab w:val="clear" w:pos="1800"/>
          <w:tab w:val="num" w:pos="2040"/>
        </w:tabs>
        <w:ind w:left="2040" w:hanging="600"/>
      </w:pPr>
      <w:r w:rsidRPr="00BF4A8B">
        <w:t>an environment</w:t>
      </w:r>
      <w:r>
        <w:t>al</w:t>
      </w:r>
      <w:r w:rsidRPr="00BF4A8B">
        <w:t xml:space="preserve"> protection agency</w:t>
      </w:r>
      <w:r>
        <w:t xml:space="preserve"> of a participating jurisdiction that is responsible for monitoring air toxics in that jurisdiction</w:t>
      </w:r>
      <w:r w:rsidR="00974409" w:rsidRPr="00D61F36">
        <w:t xml:space="preserve">; </w:t>
      </w:r>
    </w:p>
    <w:p w:rsidR="00974409" w:rsidRDefault="00747BF0" w:rsidP="00974409">
      <w:pPr>
        <w:pStyle w:val="SectionText"/>
        <w:numPr>
          <w:ilvl w:val="0"/>
          <w:numId w:val="12"/>
        </w:numPr>
        <w:tabs>
          <w:tab w:val="clear" w:pos="1800"/>
          <w:tab w:val="num" w:pos="2040"/>
        </w:tabs>
        <w:ind w:left="2040" w:hanging="600"/>
      </w:pPr>
      <w:r>
        <w:t xml:space="preserve">the </w:t>
      </w:r>
      <w:r w:rsidR="00974409">
        <w:t>California Environment Protection Agency;</w:t>
      </w:r>
    </w:p>
    <w:p w:rsidR="00974409" w:rsidRDefault="00747BF0" w:rsidP="00974409">
      <w:pPr>
        <w:pStyle w:val="SectionText"/>
        <w:numPr>
          <w:ilvl w:val="0"/>
          <w:numId w:val="12"/>
        </w:numPr>
        <w:tabs>
          <w:tab w:val="clear" w:pos="1800"/>
          <w:tab w:val="num" w:pos="2040"/>
        </w:tabs>
        <w:ind w:left="2040" w:hanging="600"/>
      </w:pPr>
      <w:r>
        <w:t xml:space="preserve">the </w:t>
      </w:r>
      <w:r w:rsidR="00974409">
        <w:t>European Commission;</w:t>
      </w:r>
    </w:p>
    <w:p w:rsidR="00974409" w:rsidRDefault="00747BF0" w:rsidP="00974409">
      <w:pPr>
        <w:pStyle w:val="SectionText"/>
        <w:numPr>
          <w:ilvl w:val="0"/>
          <w:numId w:val="12"/>
        </w:numPr>
        <w:tabs>
          <w:tab w:val="clear" w:pos="1800"/>
          <w:tab w:val="num" w:pos="2040"/>
        </w:tabs>
        <w:ind w:left="2040" w:hanging="600"/>
      </w:pPr>
      <w:r>
        <w:t xml:space="preserve">the </w:t>
      </w:r>
      <w:r w:rsidR="00974409">
        <w:t>International Standards Organisation;</w:t>
      </w:r>
    </w:p>
    <w:p w:rsidR="00974409" w:rsidRDefault="00747BF0" w:rsidP="00974409">
      <w:pPr>
        <w:pStyle w:val="SectionText"/>
        <w:numPr>
          <w:ilvl w:val="0"/>
          <w:numId w:val="12"/>
        </w:numPr>
        <w:tabs>
          <w:tab w:val="clear" w:pos="1800"/>
          <w:tab w:val="num" w:pos="2040"/>
        </w:tabs>
        <w:ind w:left="2040" w:hanging="600"/>
      </w:pPr>
      <w:r>
        <w:t xml:space="preserve">the </w:t>
      </w:r>
      <w:r w:rsidR="00974409">
        <w:t xml:space="preserve">United States Environment Protection Agency; </w:t>
      </w:r>
      <w:r>
        <w:t>or</w:t>
      </w:r>
    </w:p>
    <w:p w:rsidR="00974409" w:rsidRPr="000A64D0" w:rsidRDefault="00974409" w:rsidP="00974409">
      <w:pPr>
        <w:pStyle w:val="SectionText"/>
        <w:numPr>
          <w:ilvl w:val="0"/>
          <w:numId w:val="12"/>
        </w:numPr>
        <w:tabs>
          <w:tab w:val="clear" w:pos="1800"/>
          <w:tab w:val="num" w:pos="2040"/>
        </w:tabs>
        <w:ind w:left="2040" w:hanging="600"/>
      </w:pPr>
      <w:r>
        <w:t xml:space="preserve">Standards </w:t>
      </w:r>
      <w:smartTag w:uri="urn:schemas-microsoft-com:office:smarttags" w:element="country-region">
        <w:smartTag w:uri="urn:schemas-microsoft-com:office:smarttags" w:element="place">
          <w:r>
            <w:t>Australia</w:t>
          </w:r>
        </w:smartTag>
      </w:smartTag>
      <w:r>
        <w:t>.</w:t>
      </w:r>
    </w:p>
    <w:p w:rsidR="00CF71D0" w:rsidRPr="00804A38" w:rsidRDefault="00CF71D0" w:rsidP="00A346CF">
      <w:pPr>
        <w:pStyle w:val="HR"/>
        <w:ind w:left="0" w:firstLine="0"/>
      </w:pPr>
      <w:r w:rsidRPr="00804A38">
        <w:t>[</w:t>
      </w:r>
      <w:r w:rsidR="0080756F">
        <w:t>1</w:t>
      </w:r>
      <w:r w:rsidR="001555B3">
        <w:t>3</w:t>
      </w:r>
      <w:r w:rsidRPr="00804A38">
        <w:t>]</w:t>
      </w:r>
      <w:r w:rsidRPr="00804A38">
        <w:tab/>
      </w:r>
      <w:r>
        <w:t xml:space="preserve">Schedule 4, </w:t>
      </w:r>
      <w:proofErr w:type="spellStart"/>
      <w:r w:rsidRPr="00804A38">
        <w:t>Proforma</w:t>
      </w:r>
      <w:proofErr w:type="spellEnd"/>
      <w:r w:rsidRPr="00804A38">
        <w:t xml:space="preserve"> Table 1 </w:t>
      </w:r>
    </w:p>
    <w:p w:rsidR="00CF71D0" w:rsidRDefault="00CF71D0" w:rsidP="00CF71D0">
      <w:pPr>
        <w:pStyle w:val="R1"/>
        <w:ind w:left="720" w:hanging="720"/>
      </w:pPr>
      <w:r w:rsidRPr="00804A38">
        <w:tab/>
      </w:r>
      <w:r>
        <w:rPr>
          <w:i/>
        </w:rPr>
        <w:t>o</w:t>
      </w:r>
      <w:r w:rsidRPr="00434202">
        <w:rPr>
          <w:i/>
        </w:rPr>
        <w:t>mit</w:t>
      </w:r>
      <w:r>
        <w:rPr>
          <w:i/>
        </w:rPr>
        <w:t xml:space="preserve"> the Table; substitute</w:t>
      </w:r>
    </w:p>
    <w:p w:rsidR="00CF71D0" w:rsidRDefault="00CF71D0" w:rsidP="00CF71D0">
      <w:pPr>
        <w:pStyle w:val="StyleTableASRLeft0cmHanging225cm"/>
      </w:pPr>
      <w:r>
        <w:t>Proforma Table 1: Stage 2 Sites and Proposed Monitoring Program</w:t>
      </w: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60"/>
        <w:gridCol w:w="1460"/>
        <w:gridCol w:w="1460"/>
        <w:gridCol w:w="1460"/>
        <w:gridCol w:w="1460"/>
        <w:gridCol w:w="1460"/>
      </w:tblGrid>
      <w:tr w:rsidR="00CF71D0" w:rsidTr="00747BF0">
        <w:trPr>
          <w:cantSplit/>
        </w:trPr>
        <w:tc>
          <w:tcPr>
            <w:tcW w:w="1460" w:type="dxa"/>
          </w:tcPr>
          <w:p w:rsidR="00CF71D0" w:rsidRDefault="00CF71D0" w:rsidP="00CF71D0">
            <w:pPr>
              <w:rPr>
                <w:sz w:val="20"/>
                <w:szCs w:val="20"/>
              </w:rPr>
            </w:pPr>
            <w:r>
              <w:rPr>
                <w:sz w:val="20"/>
                <w:szCs w:val="20"/>
              </w:rPr>
              <w:t xml:space="preserve">Location of Stage 2 sites </w:t>
            </w:r>
          </w:p>
        </w:tc>
        <w:tc>
          <w:tcPr>
            <w:tcW w:w="1460" w:type="dxa"/>
          </w:tcPr>
          <w:p w:rsidR="00CF71D0" w:rsidRDefault="00CF71D0" w:rsidP="00CF71D0">
            <w:pPr>
              <w:rPr>
                <w:sz w:val="20"/>
                <w:szCs w:val="20"/>
              </w:rPr>
            </w:pPr>
            <w:r>
              <w:rPr>
                <w:sz w:val="20"/>
                <w:szCs w:val="20"/>
              </w:rPr>
              <w:t>Air toxics with possible elevated levels</w:t>
            </w:r>
          </w:p>
        </w:tc>
        <w:tc>
          <w:tcPr>
            <w:tcW w:w="1460" w:type="dxa"/>
          </w:tcPr>
          <w:p w:rsidR="00CF71D0" w:rsidRDefault="00CF71D0" w:rsidP="00CF71D0">
            <w:pPr>
              <w:rPr>
                <w:sz w:val="20"/>
                <w:szCs w:val="20"/>
              </w:rPr>
            </w:pPr>
            <w:r>
              <w:rPr>
                <w:sz w:val="20"/>
                <w:szCs w:val="20"/>
              </w:rPr>
              <w:t>Air toxics to be monitored</w:t>
            </w:r>
          </w:p>
        </w:tc>
        <w:tc>
          <w:tcPr>
            <w:tcW w:w="1460" w:type="dxa"/>
          </w:tcPr>
          <w:p w:rsidR="00CF71D0" w:rsidRDefault="00CF71D0" w:rsidP="00CF71D0">
            <w:pPr>
              <w:rPr>
                <w:sz w:val="20"/>
                <w:szCs w:val="20"/>
              </w:rPr>
            </w:pPr>
            <w:r>
              <w:rPr>
                <w:sz w:val="20"/>
                <w:szCs w:val="20"/>
              </w:rPr>
              <w:t>Proposed timeframe for monitoring</w:t>
            </w:r>
          </w:p>
        </w:tc>
        <w:tc>
          <w:tcPr>
            <w:tcW w:w="1460" w:type="dxa"/>
          </w:tcPr>
          <w:p w:rsidR="00CF71D0" w:rsidRDefault="00CF71D0" w:rsidP="00CF71D0">
            <w:pPr>
              <w:rPr>
                <w:sz w:val="20"/>
                <w:szCs w:val="20"/>
              </w:rPr>
            </w:pPr>
            <w:r>
              <w:rPr>
                <w:sz w:val="20"/>
                <w:szCs w:val="20"/>
              </w:rPr>
              <w:t xml:space="preserve">Estimate of size of population likely to be exposed and identification of susceptible groups. </w:t>
            </w:r>
          </w:p>
        </w:tc>
        <w:tc>
          <w:tcPr>
            <w:tcW w:w="1460" w:type="dxa"/>
          </w:tcPr>
          <w:p w:rsidR="00CF71D0" w:rsidRDefault="00CF71D0" w:rsidP="00CF71D0">
            <w:pPr>
              <w:rPr>
                <w:sz w:val="20"/>
                <w:szCs w:val="20"/>
              </w:rPr>
            </w:pPr>
            <w:r w:rsidRPr="005A6FFC">
              <w:rPr>
                <w:sz w:val="20"/>
                <w:szCs w:val="20"/>
              </w:rPr>
              <w:t xml:space="preserve">Site description as in AS/NZS 3580.1.1:2007 Ambient Air - Guide for the </w:t>
            </w:r>
            <w:proofErr w:type="spellStart"/>
            <w:r w:rsidRPr="005A6FFC">
              <w:rPr>
                <w:sz w:val="20"/>
                <w:szCs w:val="20"/>
              </w:rPr>
              <w:t>siting</w:t>
            </w:r>
            <w:proofErr w:type="spellEnd"/>
            <w:r w:rsidRPr="005A6FFC">
              <w:rPr>
                <w:sz w:val="20"/>
                <w:szCs w:val="20"/>
              </w:rPr>
              <w:t xml:space="preserve"> of sampling units for peak monitoring stations</w:t>
            </w:r>
          </w:p>
        </w:tc>
      </w:tr>
      <w:tr w:rsidR="00CF71D0" w:rsidTr="00747BF0">
        <w:trPr>
          <w:cantSplit/>
        </w:trPr>
        <w:tc>
          <w:tcPr>
            <w:tcW w:w="1460" w:type="dxa"/>
          </w:tcPr>
          <w:p w:rsidR="00CF71D0" w:rsidRDefault="00CF71D0" w:rsidP="00CF71D0">
            <w:pPr>
              <w:rPr>
                <w:sz w:val="22"/>
                <w:szCs w:val="22"/>
              </w:rPr>
            </w:pPr>
          </w:p>
        </w:tc>
        <w:tc>
          <w:tcPr>
            <w:tcW w:w="1460" w:type="dxa"/>
          </w:tcPr>
          <w:p w:rsidR="00CF71D0" w:rsidRDefault="00CF71D0" w:rsidP="00CF71D0">
            <w:pPr>
              <w:rPr>
                <w:sz w:val="22"/>
                <w:szCs w:val="22"/>
              </w:rPr>
            </w:pPr>
          </w:p>
        </w:tc>
        <w:tc>
          <w:tcPr>
            <w:tcW w:w="1460" w:type="dxa"/>
          </w:tcPr>
          <w:p w:rsidR="00CF71D0" w:rsidRDefault="00CF71D0" w:rsidP="00CF71D0">
            <w:pPr>
              <w:rPr>
                <w:sz w:val="22"/>
                <w:szCs w:val="22"/>
              </w:rPr>
            </w:pPr>
          </w:p>
        </w:tc>
        <w:tc>
          <w:tcPr>
            <w:tcW w:w="1460" w:type="dxa"/>
          </w:tcPr>
          <w:p w:rsidR="00CF71D0" w:rsidRDefault="00CF71D0" w:rsidP="00CF71D0">
            <w:pPr>
              <w:rPr>
                <w:sz w:val="22"/>
                <w:szCs w:val="22"/>
              </w:rPr>
            </w:pPr>
          </w:p>
        </w:tc>
        <w:tc>
          <w:tcPr>
            <w:tcW w:w="1460" w:type="dxa"/>
          </w:tcPr>
          <w:p w:rsidR="00CF71D0" w:rsidRDefault="00CF71D0" w:rsidP="00CF71D0">
            <w:pPr>
              <w:rPr>
                <w:sz w:val="22"/>
                <w:szCs w:val="22"/>
              </w:rPr>
            </w:pPr>
          </w:p>
        </w:tc>
        <w:tc>
          <w:tcPr>
            <w:tcW w:w="1460" w:type="dxa"/>
          </w:tcPr>
          <w:p w:rsidR="00CF71D0" w:rsidRDefault="00CF71D0" w:rsidP="00CF71D0">
            <w:pPr>
              <w:rPr>
                <w:sz w:val="22"/>
                <w:szCs w:val="22"/>
              </w:rPr>
            </w:pPr>
          </w:p>
        </w:tc>
      </w:tr>
    </w:tbl>
    <w:p w:rsidR="00B717C4" w:rsidRDefault="00B717C4" w:rsidP="00CF71D0">
      <w:pPr>
        <w:pStyle w:val="HR"/>
        <w:ind w:left="0" w:firstLine="0"/>
      </w:pPr>
    </w:p>
    <w:p w:rsidR="00CF71D0" w:rsidRPr="00804A38" w:rsidRDefault="00B717C4" w:rsidP="00CF71D0">
      <w:pPr>
        <w:pStyle w:val="HR"/>
        <w:ind w:left="0" w:firstLine="0"/>
      </w:pPr>
      <w:r>
        <w:br w:type="page"/>
      </w:r>
      <w:r w:rsidR="00CF71D0" w:rsidRPr="00804A38">
        <w:lastRenderedPageBreak/>
        <w:t>[</w:t>
      </w:r>
      <w:r w:rsidR="0080756F">
        <w:t>1</w:t>
      </w:r>
      <w:r w:rsidR="001555B3">
        <w:t>4</w:t>
      </w:r>
      <w:r w:rsidR="00CF71D0">
        <w:t>]</w:t>
      </w:r>
      <w:r w:rsidR="00CF71D0" w:rsidRPr="00804A38">
        <w:tab/>
        <w:t xml:space="preserve">Schedule 4, </w:t>
      </w:r>
      <w:proofErr w:type="spellStart"/>
      <w:r w:rsidR="00CF71D0" w:rsidRPr="00804A38">
        <w:t>Proforma</w:t>
      </w:r>
      <w:proofErr w:type="spellEnd"/>
      <w:r w:rsidR="00CF71D0" w:rsidRPr="00804A38">
        <w:t xml:space="preserve"> Table 2 </w:t>
      </w:r>
    </w:p>
    <w:p w:rsidR="00CF71D0" w:rsidRPr="00804A38" w:rsidRDefault="00CF71D0" w:rsidP="00CF71D0">
      <w:pPr>
        <w:pStyle w:val="R1"/>
        <w:tabs>
          <w:tab w:val="clear" w:pos="794"/>
          <w:tab w:val="right" w:pos="0"/>
        </w:tabs>
        <w:ind w:left="0" w:firstLine="0"/>
        <w:rPr>
          <w:i/>
        </w:rPr>
      </w:pPr>
      <w:r w:rsidRPr="00804A38">
        <w:rPr>
          <w:i/>
        </w:rPr>
        <w:tab/>
      </w:r>
      <w:r>
        <w:rPr>
          <w:i/>
        </w:rPr>
        <w:t xml:space="preserve">omit the </w:t>
      </w:r>
      <w:r w:rsidR="00AB31AD">
        <w:rPr>
          <w:i/>
        </w:rPr>
        <w:t>T</w:t>
      </w:r>
      <w:r>
        <w:rPr>
          <w:i/>
        </w:rPr>
        <w:t>able</w:t>
      </w:r>
      <w:r w:rsidR="00AB31AD">
        <w:rPr>
          <w:i/>
        </w:rPr>
        <w:t>;</w:t>
      </w:r>
      <w:r>
        <w:rPr>
          <w:i/>
        </w:rPr>
        <w:t xml:space="preserve"> substitute</w:t>
      </w:r>
      <w:r w:rsidRPr="00804A38">
        <w:rPr>
          <w:i/>
        </w:rPr>
        <w:t xml:space="preserve"> </w:t>
      </w:r>
    </w:p>
    <w:p w:rsidR="00CF71D0" w:rsidRDefault="00CF71D0" w:rsidP="00747BF0">
      <w:pPr>
        <w:pStyle w:val="StyleTableASRLeft0cmHanging225cm"/>
        <w:keepNext/>
      </w:pPr>
      <w:r>
        <w:t>Proforma Table 2: Monitoring results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40"/>
        <w:gridCol w:w="1260"/>
        <w:gridCol w:w="1260"/>
        <w:gridCol w:w="1260"/>
      </w:tblGrid>
      <w:tr w:rsidR="00CF71D0" w:rsidTr="00CF71D0">
        <w:tc>
          <w:tcPr>
            <w:tcW w:w="5040" w:type="dxa"/>
          </w:tcPr>
          <w:p w:rsidR="00CF71D0" w:rsidRDefault="00CF71D0" w:rsidP="00CF71D0">
            <w:pPr>
              <w:rPr>
                <w:sz w:val="22"/>
                <w:szCs w:val="22"/>
              </w:rPr>
            </w:pPr>
          </w:p>
        </w:tc>
        <w:tc>
          <w:tcPr>
            <w:tcW w:w="1260" w:type="dxa"/>
          </w:tcPr>
          <w:p w:rsidR="00CF71D0" w:rsidRDefault="00CF71D0" w:rsidP="00CF71D0">
            <w:pPr>
              <w:rPr>
                <w:sz w:val="22"/>
                <w:szCs w:val="22"/>
              </w:rPr>
            </w:pPr>
            <w:r>
              <w:rPr>
                <w:sz w:val="22"/>
                <w:szCs w:val="22"/>
              </w:rPr>
              <w:t>Site XXX</w:t>
            </w:r>
          </w:p>
        </w:tc>
        <w:tc>
          <w:tcPr>
            <w:tcW w:w="1260" w:type="dxa"/>
          </w:tcPr>
          <w:p w:rsidR="00CF71D0" w:rsidRDefault="00CF71D0" w:rsidP="00CF71D0">
            <w:pPr>
              <w:rPr>
                <w:sz w:val="22"/>
                <w:szCs w:val="22"/>
              </w:rPr>
            </w:pPr>
            <w:r>
              <w:rPr>
                <w:sz w:val="22"/>
                <w:szCs w:val="22"/>
              </w:rPr>
              <w:t>Site YYY</w:t>
            </w:r>
          </w:p>
        </w:tc>
        <w:tc>
          <w:tcPr>
            <w:tcW w:w="1260" w:type="dxa"/>
          </w:tcPr>
          <w:p w:rsidR="00CF71D0" w:rsidRDefault="00CF71D0" w:rsidP="00CF71D0">
            <w:pPr>
              <w:rPr>
                <w:sz w:val="22"/>
                <w:szCs w:val="22"/>
              </w:rPr>
            </w:pPr>
            <w:r>
              <w:rPr>
                <w:sz w:val="22"/>
                <w:szCs w:val="22"/>
              </w:rPr>
              <w:t>Site ZZZ</w:t>
            </w:r>
          </w:p>
        </w:tc>
      </w:tr>
      <w:tr w:rsidR="00CF71D0" w:rsidTr="00CF71D0">
        <w:tc>
          <w:tcPr>
            <w:tcW w:w="5040" w:type="dxa"/>
          </w:tcPr>
          <w:p w:rsidR="00CF71D0" w:rsidRDefault="00CF71D0" w:rsidP="00CF71D0">
            <w:pPr>
              <w:rPr>
                <w:sz w:val="20"/>
                <w:szCs w:val="20"/>
              </w:rPr>
            </w:pPr>
            <w:r>
              <w:rPr>
                <w:sz w:val="20"/>
                <w:szCs w:val="20"/>
              </w:rPr>
              <w:t>Air toxic</w:t>
            </w:r>
          </w:p>
        </w:tc>
        <w:tc>
          <w:tcPr>
            <w:tcW w:w="1260" w:type="dxa"/>
          </w:tcPr>
          <w:p w:rsidR="00CF71D0" w:rsidRDefault="00CF71D0" w:rsidP="00CF71D0">
            <w:pPr>
              <w:rPr>
                <w:sz w:val="20"/>
                <w:szCs w:val="20"/>
              </w:rPr>
            </w:pPr>
          </w:p>
        </w:tc>
        <w:tc>
          <w:tcPr>
            <w:tcW w:w="1260" w:type="dxa"/>
          </w:tcPr>
          <w:p w:rsidR="00CF71D0" w:rsidRDefault="00CF71D0" w:rsidP="00CF71D0">
            <w:pPr>
              <w:rPr>
                <w:sz w:val="20"/>
                <w:szCs w:val="20"/>
              </w:rPr>
            </w:pPr>
          </w:p>
        </w:tc>
        <w:tc>
          <w:tcPr>
            <w:tcW w:w="1260" w:type="dxa"/>
          </w:tcPr>
          <w:p w:rsidR="00CF71D0" w:rsidRDefault="00CF71D0" w:rsidP="00CF71D0">
            <w:pPr>
              <w:rPr>
                <w:sz w:val="20"/>
                <w:szCs w:val="20"/>
              </w:rPr>
            </w:pPr>
          </w:p>
        </w:tc>
      </w:tr>
      <w:tr w:rsidR="00CF71D0" w:rsidTr="00CF71D0">
        <w:trPr>
          <w:trHeight w:val="57"/>
        </w:trPr>
        <w:tc>
          <w:tcPr>
            <w:tcW w:w="5040" w:type="dxa"/>
          </w:tcPr>
          <w:p w:rsidR="00CF71D0" w:rsidRDefault="00CF71D0" w:rsidP="00CF71D0">
            <w:pPr>
              <w:rPr>
                <w:sz w:val="20"/>
                <w:szCs w:val="20"/>
              </w:rPr>
            </w:pPr>
            <w:r>
              <w:rPr>
                <w:sz w:val="20"/>
                <w:szCs w:val="20"/>
              </w:rPr>
              <w:t>Monitoring method</w:t>
            </w:r>
          </w:p>
        </w:tc>
        <w:tc>
          <w:tcPr>
            <w:tcW w:w="1260" w:type="dxa"/>
          </w:tcPr>
          <w:p w:rsidR="00CF71D0" w:rsidRDefault="00CF71D0" w:rsidP="00CF71D0">
            <w:pPr>
              <w:rPr>
                <w:sz w:val="20"/>
                <w:szCs w:val="20"/>
              </w:rPr>
            </w:pPr>
          </w:p>
        </w:tc>
        <w:tc>
          <w:tcPr>
            <w:tcW w:w="1260" w:type="dxa"/>
          </w:tcPr>
          <w:p w:rsidR="00CF71D0" w:rsidRDefault="00CF71D0" w:rsidP="00CF71D0">
            <w:pPr>
              <w:rPr>
                <w:sz w:val="20"/>
                <w:szCs w:val="20"/>
              </w:rPr>
            </w:pPr>
          </w:p>
        </w:tc>
        <w:tc>
          <w:tcPr>
            <w:tcW w:w="1260" w:type="dxa"/>
          </w:tcPr>
          <w:p w:rsidR="00CF71D0" w:rsidRDefault="00CF71D0" w:rsidP="00CF71D0">
            <w:pPr>
              <w:rPr>
                <w:sz w:val="20"/>
                <w:szCs w:val="20"/>
              </w:rPr>
            </w:pPr>
          </w:p>
        </w:tc>
      </w:tr>
      <w:tr w:rsidR="00CF71D0" w:rsidTr="00CF71D0">
        <w:trPr>
          <w:trHeight w:val="56"/>
        </w:trPr>
        <w:tc>
          <w:tcPr>
            <w:tcW w:w="5040" w:type="dxa"/>
          </w:tcPr>
          <w:p w:rsidR="00CF71D0" w:rsidRPr="00E7682E" w:rsidRDefault="00CF71D0" w:rsidP="00CF71D0">
            <w:pPr>
              <w:rPr>
                <w:sz w:val="20"/>
                <w:szCs w:val="20"/>
              </w:rPr>
            </w:pPr>
            <w:r w:rsidRPr="00E7682E">
              <w:rPr>
                <w:sz w:val="20"/>
                <w:szCs w:val="20"/>
              </w:rPr>
              <w:t>National or international agency recommending this method</w:t>
            </w:r>
          </w:p>
        </w:tc>
        <w:tc>
          <w:tcPr>
            <w:tcW w:w="1260" w:type="dxa"/>
          </w:tcPr>
          <w:p w:rsidR="00CF71D0" w:rsidRDefault="00CF71D0" w:rsidP="00CF71D0">
            <w:pPr>
              <w:rPr>
                <w:sz w:val="20"/>
                <w:szCs w:val="20"/>
              </w:rPr>
            </w:pPr>
          </w:p>
        </w:tc>
        <w:tc>
          <w:tcPr>
            <w:tcW w:w="1260" w:type="dxa"/>
          </w:tcPr>
          <w:p w:rsidR="00CF71D0" w:rsidRDefault="00CF71D0" w:rsidP="00CF71D0">
            <w:pPr>
              <w:rPr>
                <w:sz w:val="20"/>
                <w:szCs w:val="20"/>
              </w:rPr>
            </w:pPr>
          </w:p>
        </w:tc>
        <w:tc>
          <w:tcPr>
            <w:tcW w:w="1260" w:type="dxa"/>
          </w:tcPr>
          <w:p w:rsidR="00CF71D0" w:rsidRDefault="00CF71D0" w:rsidP="00CF71D0">
            <w:pPr>
              <w:rPr>
                <w:sz w:val="20"/>
                <w:szCs w:val="20"/>
              </w:rPr>
            </w:pPr>
          </w:p>
        </w:tc>
      </w:tr>
      <w:tr w:rsidR="00CF71D0" w:rsidTr="00CF71D0">
        <w:trPr>
          <w:trHeight w:val="56"/>
        </w:trPr>
        <w:tc>
          <w:tcPr>
            <w:tcW w:w="5040" w:type="dxa"/>
          </w:tcPr>
          <w:p w:rsidR="00CF71D0" w:rsidRPr="00E7682E" w:rsidRDefault="00CF71D0" w:rsidP="00CF71D0">
            <w:pPr>
              <w:rPr>
                <w:sz w:val="20"/>
                <w:szCs w:val="20"/>
              </w:rPr>
            </w:pPr>
            <w:r w:rsidRPr="00E7682E">
              <w:rPr>
                <w:sz w:val="20"/>
                <w:szCs w:val="20"/>
              </w:rPr>
              <w:t>Status of method within the recommending agency</w:t>
            </w:r>
          </w:p>
        </w:tc>
        <w:tc>
          <w:tcPr>
            <w:tcW w:w="1260" w:type="dxa"/>
          </w:tcPr>
          <w:p w:rsidR="00CF71D0" w:rsidRDefault="00CF71D0" w:rsidP="00CF71D0">
            <w:pPr>
              <w:rPr>
                <w:sz w:val="20"/>
                <w:szCs w:val="20"/>
              </w:rPr>
            </w:pPr>
          </w:p>
        </w:tc>
        <w:tc>
          <w:tcPr>
            <w:tcW w:w="1260" w:type="dxa"/>
          </w:tcPr>
          <w:p w:rsidR="00CF71D0" w:rsidRDefault="00CF71D0" w:rsidP="00CF71D0">
            <w:pPr>
              <w:rPr>
                <w:sz w:val="20"/>
                <w:szCs w:val="20"/>
              </w:rPr>
            </w:pPr>
          </w:p>
        </w:tc>
        <w:tc>
          <w:tcPr>
            <w:tcW w:w="1260" w:type="dxa"/>
          </w:tcPr>
          <w:p w:rsidR="00CF71D0" w:rsidRDefault="00CF71D0" w:rsidP="00CF71D0">
            <w:pPr>
              <w:rPr>
                <w:sz w:val="20"/>
                <w:szCs w:val="20"/>
              </w:rPr>
            </w:pPr>
          </w:p>
        </w:tc>
      </w:tr>
      <w:tr w:rsidR="00CF71D0" w:rsidTr="00CF71D0">
        <w:trPr>
          <w:trHeight w:val="56"/>
        </w:trPr>
        <w:tc>
          <w:tcPr>
            <w:tcW w:w="5040" w:type="dxa"/>
          </w:tcPr>
          <w:p w:rsidR="00CF71D0" w:rsidRPr="00E7682E" w:rsidRDefault="00CF71D0" w:rsidP="00CF71D0">
            <w:pPr>
              <w:rPr>
                <w:sz w:val="20"/>
                <w:szCs w:val="20"/>
              </w:rPr>
            </w:pPr>
            <w:r w:rsidRPr="00E7682E">
              <w:rPr>
                <w:sz w:val="20"/>
                <w:szCs w:val="20"/>
              </w:rPr>
              <w:t>Scope of method</w:t>
            </w:r>
          </w:p>
        </w:tc>
        <w:tc>
          <w:tcPr>
            <w:tcW w:w="1260" w:type="dxa"/>
          </w:tcPr>
          <w:p w:rsidR="00CF71D0" w:rsidRDefault="00CF71D0" w:rsidP="00CF71D0">
            <w:pPr>
              <w:rPr>
                <w:sz w:val="20"/>
                <w:szCs w:val="20"/>
              </w:rPr>
            </w:pPr>
          </w:p>
        </w:tc>
        <w:tc>
          <w:tcPr>
            <w:tcW w:w="1260" w:type="dxa"/>
          </w:tcPr>
          <w:p w:rsidR="00CF71D0" w:rsidRDefault="00CF71D0" w:rsidP="00CF71D0">
            <w:pPr>
              <w:rPr>
                <w:sz w:val="20"/>
                <w:szCs w:val="20"/>
              </w:rPr>
            </w:pPr>
          </w:p>
        </w:tc>
        <w:tc>
          <w:tcPr>
            <w:tcW w:w="1260" w:type="dxa"/>
          </w:tcPr>
          <w:p w:rsidR="00CF71D0" w:rsidRDefault="00CF71D0" w:rsidP="00CF71D0">
            <w:pPr>
              <w:rPr>
                <w:sz w:val="20"/>
                <w:szCs w:val="20"/>
              </w:rPr>
            </w:pPr>
          </w:p>
        </w:tc>
      </w:tr>
      <w:tr w:rsidR="00CF71D0" w:rsidTr="00CF71D0">
        <w:tc>
          <w:tcPr>
            <w:tcW w:w="5040" w:type="dxa"/>
          </w:tcPr>
          <w:p w:rsidR="00CF71D0" w:rsidRDefault="00CF71D0" w:rsidP="00CF71D0">
            <w:pPr>
              <w:rPr>
                <w:sz w:val="20"/>
                <w:szCs w:val="20"/>
              </w:rPr>
            </w:pPr>
            <w:r>
              <w:rPr>
                <w:sz w:val="20"/>
                <w:szCs w:val="20"/>
              </w:rPr>
              <w:t xml:space="preserve">Period of monitoring </w:t>
            </w:r>
          </w:p>
        </w:tc>
        <w:tc>
          <w:tcPr>
            <w:tcW w:w="1260" w:type="dxa"/>
          </w:tcPr>
          <w:p w:rsidR="00CF71D0" w:rsidRDefault="00CF71D0" w:rsidP="00CF71D0">
            <w:pPr>
              <w:rPr>
                <w:sz w:val="20"/>
                <w:szCs w:val="20"/>
              </w:rPr>
            </w:pPr>
          </w:p>
        </w:tc>
        <w:tc>
          <w:tcPr>
            <w:tcW w:w="1260" w:type="dxa"/>
          </w:tcPr>
          <w:p w:rsidR="00CF71D0" w:rsidRDefault="00CF71D0" w:rsidP="00CF71D0">
            <w:pPr>
              <w:rPr>
                <w:sz w:val="20"/>
                <w:szCs w:val="20"/>
              </w:rPr>
            </w:pPr>
          </w:p>
        </w:tc>
        <w:tc>
          <w:tcPr>
            <w:tcW w:w="1260" w:type="dxa"/>
          </w:tcPr>
          <w:p w:rsidR="00CF71D0" w:rsidRDefault="00CF71D0" w:rsidP="00CF71D0">
            <w:pPr>
              <w:rPr>
                <w:sz w:val="20"/>
                <w:szCs w:val="20"/>
              </w:rPr>
            </w:pPr>
          </w:p>
        </w:tc>
      </w:tr>
      <w:tr w:rsidR="00CF71D0" w:rsidTr="00CF71D0">
        <w:tc>
          <w:tcPr>
            <w:tcW w:w="5040" w:type="dxa"/>
          </w:tcPr>
          <w:p w:rsidR="00CF71D0" w:rsidRDefault="00CF71D0" w:rsidP="00CF71D0">
            <w:pPr>
              <w:rPr>
                <w:sz w:val="20"/>
                <w:szCs w:val="20"/>
              </w:rPr>
            </w:pPr>
            <w:r>
              <w:rPr>
                <w:sz w:val="20"/>
                <w:szCs w:val="20"/>
              </w:rPr>
              <w:t xml:space="preserve">Frequency of monitoring </w:t>
            </w:r>
          </w:p>
        </w:tc>
        <w:tc>
          <w:tcPr>
            <w:tcW w:w="1260" w:type="dxa"/>
          </w:tcPr>
          <w:p w:rsidR="00CF71D0" w:rsidRDefault="00CF71D0" w:rsidP="00CF71D0">
            <w:pPr>
              <w:rPr>
                <w:sz w:val="20"/>
                <w:szCs w:val="20"/>
              </w:rPr>
            </w:pPr>
          </w:p>
        </w:tc>
        <w:tc>
          <w:tcPr>
            <w:tcW w:w="1260" w:type="dxa"/>
          </w:tcPr>
          <w:p w:rsidR="00CF71D0" w:rsidRDefault="00CF71D0" w:rsidP="00CF71D0">
            <w:pPr>
              <w:rPr>
                <w:sz w:val="20"/>
                <w:szCs w:val="20"/>
              </w:rPr>
            </w:pPr>
          </w:p>
        </w:tc>
        <w:tc>
          <w:tcPr>
            <w:tcW w:w="1260" w:type="dxa"/>
          </w:tcPr>
          <w:p w:rsidR="00CF71D0" w:rsidRDefault="00CF71D0" w:rsidP="00CF71D0">
            <w:pPr>
              <w:rPr>
                <w:sz w:val="20"/>
                <w:szCs w:val="20"/>
              </w:rPr>
            </w:pPr>
          </w:p>
        </w:tc>
      </w:tr>
      <w:tr w:rsidR="00CF71D0" w:rsidTr="00CF71D0">
        <w:tc>
          <w:tcPr>
            <w:tcW w:w="5040" w:type="dxa"/>
          </w:tcPr>
          <w:p w:rsidR="00CF71D0" w:rsidRDefault="00CF71D0" w:rsidP="00CF71D0">
            <w:pPr>
              <w:rPr>
                <w:sz w:val="20"/>
                <w:szCs w:val="20"/>
              </w:rPr>
            </w:pPr>
            <w:r>
              <w:rPr>
                <w:sz w:val="20"/>
                <w:szCs w:val="20"/>
              </w:rPr>
              <w:t>Number of valid results</w:t>
            </w:r>
          </w:p>
        </w:tc>
        <w:tc>
          <w:tcPr>
            <w:tcW w:w="1260" w:type="dxa"/>
          </w:tcPr>
          <w:p w:rsidR="00CF71D0" w:rsidRDefault="00CF71D0" w:rsidP="00CF71D0">
            <w:pPr>
              <w:rPr>
                <w:sz w:val="20"/>
                <w:szCs w:val="20"/>
              </w:rPr>
            </w:pPr>
          </w:p>
        </w:tc>
        <w:tc>
          <w:tcPr>
            <w:tcW w:w="1260" w:type="dxa"/>
          </w:tcPr>
          <w:p w:rsidR="00CF71D0" w:rsidRDefault="00CF71D0" w:rsidP="00CF71D0">
            <w:pPr>
              <w:rPr>
                <w:sz w:val="20"/>
                <w:szCs w:val="20"/>
              </w:rPr>
            </w:pPr>
          </w:p>
        </w:tc>
        <w:tc>
          <w:tcPr>
            <w:tcW w:w="1260" w:type="dxa"/>
          </w:tcPr>
          <w:p w:rsidR="00CF71D0" w:rsidRDefault="00CF71D0" w:rsidP="00CF71D0">
            <w:pPr>
              <w:rPr>
                <w:sz w:val="20"/>
                <w:szCs w:val="20"/>
              </w:rPr>
            </w:pPr>
          </w:p>
        </w:tc>
      </w:tr>
      <w:tr w:rsidR="00CF71D0" w:rsidTr="00CF71D0">
        <w:tc>
          <w:tcPr>
            <w:tcW w:w="5040" w:type="dxa"/>
          </w:tcPr>
          <w:p w:rsidR="00CF71D0" w:rsidRDefault="00CF71D0" w:rsidP="00CF71D0">
            <w:pPr>
              <w:rPr>
                <w:sz w:val="20"/>
                <w:szCs w:val="20"/>
              </w:rPr>
            </w:pPr>
            <w:r>
              <w:rPr>
                <w:sz w:val="20"/>
                <w:szCs w:val="20"/>
              </w:rPr>
              <w:t xml:space="preserve">Maximum 24-hour average concentration </w:t>
            </w:r>
          </w:p>
        </w:tc>
        <w:tc>
          <w:tcPr>
            <w:tcW w:w="1260" w:type="dxa"/>
          </w:tcPr>
          <w:p w:rsidR="00CF71D0" w:rsidRDefault="00CF71D0" w:rsidP="00CF71D0">
            <w:pPr>
              <w:rPr>
                <w:sz w:val="20"/>
                <w:szCs w:val="20"/>
              </w:rPr>
            </w:pPr>
          </w:p>
        </w:tc>
        <w:tc>
          <w:tcPr>
            <w:tcW w:w="1260" w:type="dxa"/>
          </w:tcPr>
          <w:p w:rsidR="00CF71D0" w:rsidRDefault="00CF71D0" w:rsidP="00CF71D0">
            <w:pPr>
              <w:rPr>
                <w:sz w:val="20"/>
                <w:szCs w:val="20"/>
              </w:rPr>
            </w:pPr>
          </w:p>
        </w:tc>
        <w:tc>
          <w:tcPr>
            <w:tcW w:w="1260" w:type="dxa"/>
          </w:tcPr>
          <w:p w:rsidR="00CF71D0" w:rsidRDefault="00CF71D0" w:rsidP="00CF71D0">
            <w:pPr>
              <w:rPr>
                <w:sz w:val="20"/>
                <w:szCs w:val="20"/>
              </w:rPr>
            </w:pPr>
          </w:p>
        </w:tc>
      </w:tr>
      <w:tr w:rsidR="00CF71D0" w:rsidTr="00CF71D0">
        <w:tc>
          <w:tcPr>
            <w:tcW w:w="5040" w:type="dxa"/>
          </w:tcPr>
          <w:p w:rsidR="00CF71D0" w:rsidRDefault="00CF71D0" w:rsidP="00CF71D0">
            <w:pPr>
              <w:rPr>
                <w:sz w:val="20"/>
                <w:szCs w:val="20"/>
              </w:rPr>
            </w:pPr>
            <w:r>
              <w:rPr>
                <w:sz w:val="20"/>
                <w:szCs w:val="20"/>
              </w:rPr>
              <w:t>Annual average concentration (as arithmetic mean)</w:t>
            </w:r>
          </w:p>
        </w:tc>
        <w:tc>
          <w:tcPr>
            <w:tcW w:w="1260" w:type="dxa"/>
          </w:tcPr>
          <w:p w:rsidR="00CF71D0" w:rsidRDefault="00CF71D0" w:rsidP="00CF71D0">
            <w:pPr>
              <w:rPr>
                <w:sz w:val="20"/>
                <w:szCs w:val="20"/>
              </w:rPr>
            </w:pPr>
          </w:p>
        </w:tc>
        <w:tc>
          <w:tcPr>
            <w:tcW w:w="1260" w:type="dxa"/>
          </w:tcPr>
          <w:p w:rsidR="00CF71D0" w:rsidRDefault="00CF71D0" w:rsidP="00CF71D0">
            <w:pPr>
              <w:rPr>
                <w:sz w:val="20"/>
                <w:szCs w:val="20"/>
              </w:rPr>
            </w:pPr>
          </w:p>
        </w:tc>
        <w:tc>
          <w:tcPr>
            <w:tcW w:w="1260" w:type="dxa"/>
          </w:tcPr>
          <w:p w:rsidR="00CF71D0" w:rsidRDefault="00CF71D0" w:rsidP="00CF71D0">
            <w:pPr>
              <w:rPr>
                <w:sz w:val="20"/>
                <w:szCs w:val="20"/>
              </w:rPr>
            </w:pPr>
          </w:p>
        </w:tc>
      </w:tr>
      <w:tr w:rsidR="00CF71D0" w:rsidTr="00CF71D0">
        <w:tc>
          <w:tcPr>
            <w:tcW w:w="5040" w:type="dxa"/>
          </w:tcPr>
          <w:p w:rsidR="00CF71D0" w:rsidRDefault="00CF71D0" w:rsidP="00CF71D0">
            <w:pPr>
              <w:rPr>
                <w:sz w:val="20"/>
                <w:szCs w:val="20"/>
              </w:rPr>
            </w:pPr>
            <w:r>
              <w:rPr>
                <w:sz w:val="20"/>
                <w:szCs w:val="20"/>
              </w:rPr>
              <w:t xml:space="preserve">Arithmetic Standard Deviation of 24-hour average concentrations </w:t>
            </w:r>
          </w:p>
        </w:tc>
        <w:tc>
          <w:tcPr>
            <w:tcW w:w="1260" w:type="dxa"/>
          </w:tcPr>
          <w:p w:rsidR="00CF71D0" w:rsidRDefault="00CF71D0" w:rsidP="00CF71D0">
            <w:pPr>
              <w:rPr>
                <w:sz w:val="20"/>
                <w:szCs w:val="20"/>
              </w:rPr>
            </w:pPr>
          </w:p>
        </w:tc>
        <w:tc>
          <w:tcPr>
            <w:tcW w:w="1260" w:type="dxa"/>
          </w:tcPr>
          <w:p w:rsidR="00CF71D0" w:rsidRDefault="00CF71D0" w:rsidP="00CF71D0">
            <w:pPr>
              <w:rPr>
                <w:sz w:val="20"/>
                <w:szCs w:val="20"/>
              </w:rPr>
            </w:pPr>
          </w:p>
        </w:tc>
        <w:tc>
          <w:tcPr>
            <w:tcW w:w="1260" w:type="dxa"/>
          </w:tcPr>
          <w:p w:rsidR="00CF71D0" w:rsidRDefault="00CF71D0" w:rsidP="00CF71D0">
            <w:pPr>
              <w:rPr>
                <w:sz w:val="20"/>
                <w:szCs w:val="20"/>
              </w:rPr>
            </w:pPr>
          </w:p>
        </w:tc>
      </w:tr>
      <w:tr w:rsidR="00CF71D0" w:rsidTr="00CF71D0">
        <w:tc>
          <w:tcPr>
            <w:tcW w:w="5040" w:type="dxa"/>
          </w:tcPr>
          <w:p w:rsidR="00CF71D0" w:rsidRDefault="00CF71D0" w:rsidP="00CF71D0">
            <w:pPr>
              <w:rPr>
                <w:sz w:val="20"/>
                <w:szCs w:val="20"/>
              </w:rPr>
            </w:pPr>
            <w:r>
              <w:rPr>
                <w:sz w:val="20"/>
                <w:szCs w:val="20"/>
              </w:rPr>
              <w:t>Number of times monitoring investigation level exceeded*</w:t>
            </w:r>
          </w:p>
        </w:tc>
        <w:tc>
          <w:tcPr>
            <w:tcW w:w="1260" w:type="dxa"/>
          </w:tcPr>
          <w:p w:rsidR="00CF71D0" w:rsidRDefault="00CF71D0" w:rsidP="00CF71D0">
            <w:pPr>
              <w:rPr>
                <w:sz w:val="20"/>
                <w:szCs w:val="20"/>
              </w:rPr>
            </w:pPr>
          </w:p>
        </w:tc>
        <w:tc>
          <w:tcPr>
            <w:tcW w:w="1260" w:type="dxa"/>
          </w:tcPr>
          <w:p w:rsidR="00CF71D0" w:rsidRDefault="00CF71D0" w:rsidP="00CF71D0">
            <w:pPr>
              <w:rPr>
                <w:sz w:val="20"/>
                <w:szCs w:val="20"/>
              </w:rPr>
            </w:pPr>
          </w:p>
        </w:tc>
        <w:tc>
          <w:tcPr>
            <w:tcW w:w="1260" w:type="dxa"/>
          </w:tcPr>
          <w:p w:rsidR="00CF71D0" w:rsidRDefault="00CF71D0" w:rsidP="00CF71D0">
            <w:pPr>
              <w:rPr>
                <w:sz w:val="20"/>
                <w:szCs w:val="20"/>
              </w:rPr>
            </w:pPr>
          </w:p>
        </w:tc>
      </w:tr>
    </w:tbl>
    <w:p w:rsidR="00CF71D0" w:rsidRDefault="00CF71D0" w:rsidP="00CF71D0">
      <w:pPr>
        <w:jc w:val="both"/>
        <w:rPr>
          <w:sz w:val="16"/>
          <w:szCs w:val="16"/>
        </w:rPr>
      </w:pPr>
    </w:p>
    <w:p w:rsidR="00CF71D0" w:rsidRDefault="00CF71D0" w:rsidP="00CF71D0">
      <w:pPr>
        <w:pStyle w:val="HR"/>
        <w:ind w:left="0" w:firstLine="0"/>
      </w:pPr>
      <w:r w:rsidRPr="00804A38">
        <w:t>[</w:t>
      </w:r>
      <w:r w:rsidR="00A74082">
        <w:t>1</w:t>
      </w:r>
      <w:r w:rsidR="001555B3">
        <w:t>5</w:t>
      </w:r>
      <w:r w:rsidRPr="00804A38">
        <w:t>]</w:t>
      </w:r>
      <w:r w:rsidRPr="00804A38">
        <w:tab/>
      </w:r>
      <w:r>
        <w:t>Schedule 4, Part 2, subsection (v)</w:t>
      </w:r>
    </w:p>
    <w:p w:rsidR="00CF71D0" w:rsidRDefault="00CF71D0" w:rsidP="00CF71D0">
      <w:pPr>
        <w:pStyle w:val="SectionText"/>
        <w:ind w:hanging="272"/>
        <w:rPr>
          <w:rStyle w:val="CharSectno"/>
        </w:rPr>
      </w:pPr>
      <w:r w:rsidRPr="002C3D64">
        <w:rPr>
          <w:rStyle w:val="CharSectno"/>
          <w:i/>
        </w:rPr>
        <w:t>omit</w:t>
      </w:r>
      <w:r>
        <w:rPr>
          <w:rStyle w:val="CharSectno"/>
        </w:rPr>
        <w:t xml:space="preserve"> </w:t>
      </w:r>
    </w:p>
    <w:p w:rsidR="00CF71D0" w:rsidRDefault="00CF71D0" w:rsidP="00CF71D0">
      <w:pPr>
        <w:pStyle w:val="SectionText"/>
        <w:ind w:left="272" w:firstLine="720"/>
      </w:pPr>
      <w:r>
        <w:t>AS 2922-1987</w:t>
      </w:r>
    </w:p>
    <w:p w:rsidR="00CF71D0" w:rsidRDefault="00CF71D0" w:rsidP="00CF71D0">
      <w:pPr>
        <w:pStyle w:val="SectionText"/>
        <w:ind w:left="720" w:hanging="720"/>
      </w:pPr>
      <w:r>
        <w:tab/>
      </w:r>
      <w:r>
        <w:rPr>
          <w:i/>
        </w:rPr>
        <w:t>substitute</w:t>
      </w:r>
    </w:p>
    <w:p w:rsidR="00CF71D0" w:rsidRPr="009E78F2" w:rsidRDefault="00CF71D0" w:rsidP="00CF71D0">
      <w:pPr>
        <w:pStyle w:val="R1"/>
      </w:pPr>
      <w:r>
        <w:rPr>
          <w:noProof/>
          <w:lang w:eastAsia="en-US"/>
        </w:rPr>
        <w:tab/>
      </w:r>
      <w:r>
        <w:rPr>
          <w:noProof/>
          <w:lang w:eastAsia="en-US"/>
        </w:rPr>
        <w:tab/>
      </w:r>
      <w:r w:rsidRPr="009E78F2">
        <w:rPr>
          <w:noProof/>
          <w:lang w:eastAsia="en-US"/>
        </w:rPr>
        <w:t>AS/NZS 3580.1.1:2007</w:t>
      </w:r>
    </w:p>
    <w:p w:rsidR="00AB31AD" w:rsidRDefault="00AB31AD" w:rsidP="00AB31AD">
      <w:pPr>
        <w:pStyle w:val="HR"/>
        <w:ind w:left="0" w:firstLine="0"/>
      </w:pPr>
      <w:r w:rsidRPr="00804A38">
        <w:t>[</w:t>
      </w:r>
      <w:r w:rsidR="00A346CF">
        <w:t>1</w:t>
      </w:r>
      <w:r w:rsidR="001555B3">
        <w:t>6</w:t>
      </w:r>
      <w:r w:rsidRPr="00804A38">
        <w:t>]</w:t>
      </w:r>
      <w:r w:rsidRPr="00804A38">
        <w:tab/>
      </w:r>
      <w:r>
        <w:t>Schedule 4, Part 4, subsection (ii)</w:t>
      </w:r>
    </w:p>
    <w:p w:rsidR="00AB31AD" w:rsidRDefault="00AB31AD" w:rsidP="00AB31AD">
      <w:pPr>
        <w:pStyle w:val="SectionText"/>
        <w:ind w:hanging="272"/>
      </w:pPr>
      <w:r w:rsidRPr="002C3D64">
        <w:rPr>
          <w:rStyle w:val="CharSectno"/>
          <w:i/>
        </w:rPr>
        <w:t>omit</w:t>
      </w:r>
      <w:r>
        <w:rPr>
          <w:rStyle w:val="CharSectno"/>
        </w:rPr>
        <w:t xml:space="preserve"> </w:t>
      </w:r>
      <w:r w:rsidR="005866E2">
        <w:rPr>
          <w:rStyle w:val="CharSectno"/>
        </w:rPr>
        <w:t>the subsection</w:t>
      </w:r>
    </w:p>
    <w:p w:rsidR="00CF71D0" w:rsidRPr="00804A38" w:rsidRDefault="00CF71D0" w:rsidP="00CF71D0">
      <w:pPr>
        <w:pStyle w:val="HR"/>
        <w:ind w:left="720" w:hanging="720"/>
      </w:pPr>
      <w:r>
        <w:t>[</w:t>
      </w:r>
      <w:r w:rsidR="001555B3">
        <w:t>17</w:t>
      </w:r>
      <w:r>
        <w:t>]</w:t>
      </w:r>
      <w:r>
        <w:tab/>
        <w:t xml:space="preserve">Schedule 4, ‘Reporting Schedule’ table </w:t>
      </w:r>
    </w:p>
    <w:p w:rsidR="00CF71D0" w:rsidRDefault="00CF71D0" w:rsidP="00CF71D0">
      <w:pPr>
        <w:pStyle w:val="SectionText"/>
        <w:ind w:hanging="272"/>
        <w:rPr>
          <w:rStyle w:val="CharSectno"/>
        </w:rPr>
      </w:pPr>
      <w:r w:rsidRPr="002C3D64">
        <w:rPr>
          <w:rStyle w:val="CharSectno"/>
          <w:i/>
        </w:rPr>
        <w:t>omit</w:t>
      </w:r>
      <w:r>
        <w:rPr>
          <w:rStyle w:val="CharSectno"/>
        </w:rPr>
        <w:t xml:space="preserve"> </w:t>
      </w:r>
    </w:p>
    <w:p w:rsidR="00CF71D0" w:rsidRDefault="00CF71D0" w:rsidP="00CF71D0">
      <w:pPr>
        <w:pStyle w:val="SectionText"/>
        <w:ind w:hanging="272"/>
        <w:rPr>
          <w:rStyle w:val="CharSectno"/>
        </w:rPr>
      </w:pP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7762"/>
      </w:tblGrid>
      <w:tr w:rsidR="00CF71D0" w:rsidTr="00CF71D0">
        <w:tc>
          <w:tcPr>
            <w:tcW w:w="959" w:type="dxa"/>
          </w:tcPr>
          <w:p w:rsidR="00CF71D0" w:rsidRDefault="00CF71D0" w:rsidP="00CF71D0">
            <w:pPr>
              <w:pStyle w:val="P1"/>
              <w:tabs>
                <w:tab w:val="clear" w:pos="851"/>
                <w:tab w:val="clear" w:pos="1418"/>
              </w:tabs>
              <w:ind w:left="0" w:firstLine="0"/>
              <w:jc w:val="center"/>
              <w:rPr>
                <w:rFonts w:ascii="Book Antiqua" w:hAnsi="Book Antiqua" w:cs="Book Antiqua"/>
                <w:sz w:val="20"/>
                <w:szCs w:val="20"/>
              </w:rPr>
            </w:pPr>
            <w:r>
              <w:rPr>
                <w:rFonts w:ascii="Book Antiqua" w:hAnsi="Book Antiqua" w:cs="Book Antiqua"/>
                <w:sz w:val="20"/>
                <w:szCs w:val="20"/>
              </w:rPr>
              <w:t>7</w:t>
            </w:r>
          </w:p>
        </w:tc>
        <w:tc>
          <w:tcPr>
            <w:tcW w:w="7762" w:type="dxa"/>
          </w:tcPr>
          <w:p w:rsidR="00CF71D0" w:rsidRDefault="00CF71D0" w:rsidP="00CF71D0">
            <w:pPr>
              <w:pStyle w:val="P1"/>
              <w:tabs>
                <w:tab w:val="clear" w:pos="851"/>
                <w:tab w:val="clear" w:pos="1418"/>
              </w:tabs>
              <w:ind w:left="0" w:firstLine="0"/>
              <w:rPr>
                <w:rFonts w:ascii="Book Antiqua" w:hAnsi="Book Antiqua" w:cs="Book Antiqua"/>
                <w:sz w:val="20"/>
                <w:szCs w:val="20"/>
              </w:rPr>
            </w:pPr>
            <w:r>
              <w:rPr>
                <w:rFonts w:ascii="Book Antiqua" w:hAnsi="Book Antiqua" w:cs="Book Antiqua"/>
                <w:sz w:val="20"/>
                <w:szCs w:val="20"/>
              </w:rPr>
              <w:t>Part 1: Identification of Sites (if additional Stage 1 and/or Stage 2 sites have been identified);</w:t>
            </w:r>
          </w:p>
          <w:p w:rsidR="00CF71D0" w:rsidRDefault="00CF71D0" w:rsidP="00CF71D0">
            <w:pPr>
              <w:pStyle w:val="P1"/>
              <w:tabs>
                <w:tab w:val="clear" w:pos="851"/>
                <w:tab w:val="clear" w:pos="1418"/>
              </w:tabs>
              <w:ind w:left="0" w:firstLine="0"/>
              <w:rPr>
                <w:rFonts w:ascii="Book Antiqua" w:hAnsi="Book Antiqua" w:cs="Book Antiqua"/>
                <w:sz w:val="20"/>
                <w:szCs w:val="20"/>
              </w:rPr>
            </w:pPr>
            <w:r>
              <w:rPr>
                <w:rFonts w:ascii="Book Antiqua" w:hAnsi="Book Antiqua" w:cs="Book Antiqua"/>
                <w:sz w:val="20"/>
                <w:szCs w:val="20"/>
              </w:rPr>
              <w:t>Part 2: Reporting of Monitoring of Air Toxics; and</w:t>
            </w:r>
          </w:p>
          <w:p w:rsidR="00CF71D0" w:rsidRDefault="00CF71D0" w:rsidP="00CF71D0">
            <w:pPr>
              <w:pStyle w:val="P1"/>
              <w:tabs>
                <w:tab w:val="clear" w:pos="851"/>
                <w:tab w:val="clear" w:pos="1418"/>
              </w:tabs>
              <w:ind w:left="0" w:firstLine="0"/>
              <w:rPr>
                <w:rFonts w:ascii="Book Antiqua" w:hAnsi="Book Antiqua" w:cs="Book Antiqua"/>
                <w:sz w:val="20"/>
                <w:szCs w:val="20"/>
              </w:rPr>
            </w:pPr>
            <w:r>
              <w:rPr>
                <w:rFonts w:ascii="Book Antiqua" w:hAnsi="Book Antiqua" w:cs="Book Antiqua"/>
                <w:sz w:val="20"/>
                <w:szCs w:val="20"/>
              </w:rPr>
              <w:t xml:space="preserve">Part 3: Reporting on Action and Assessment taken to manage air toxics (only required where </w:t>
            </w:r>
            <w:proofErr w:type="spellStart"/>
            <w:r>
              <w:rPr>
                <w:rFonts w:ascii="Book Antiqua" w:hAnsi="Book Antiqua" w:cs="Book Antiqua"/>
                <w:sz w:val="20"/>
                <w:szCs w:val="20"/>
              </w:rPr>
              <w:t>exceedences</w:t>
            </w:r>
            <w:proofErr w:type="spellEnd"/>
            <w:r>
              <w:rPr>
                <w:rFonts w:ascii="Book Antiqua" w:hAnsi="Book Antiqua" w:cs="Book Antiqua"/>
                <w:sz w:val="20"/>
                <w:szCs w:val="20"/>
              </w:rPr>
              <w:t xml:space="preserve"> of monitoring investigation levels have been reported).</w:t>
            </w:r>
          </w:p>
        </w:tc>
      </w:tr>
      <w:tr w:rsidR="00CF71D0" w:rsidTr="00CF71D0">
        <w:tc>
          <w:tcPr>
            <w:tcW w:w="959" w:type="dxa"/>
          </w:tcPr>
          <w:p w:rsidR="00CF71D0" w:rsidRDefault="00CF71D0" w:rsidP="00CF71D0">
            <w:pPr>
              <w:pStyle w:val="P1"/>
              <w:tabs>
                <w:tab w:val="clear" w:pos="851"/>
                <w:tab w:val="clear" w:pos="1418"/>
              </w:tabs>
              <w:ind w:left="0" w:firstLine="0"/>
              <w:jc w:val="center"/>
              <w:rPr>
                <w:rFonts w:ascii="Book Antiqua" w:hAnsi="Book Antiqua" w:cs="Book Antiqua"/>
                <w:sz w:val="20"/>
                <w:szCs w:val="20"/>
              </w:rPr>
            </w:pPr>
            <w:r>
              <w:rPr>
                <w:rFonts w:ascii="Book Antiqua" w:hAnsi="Book Antiqua" w:cs="Book Antiqua"/>
                <w:sz w:val="20"/>
                <w:szCs w:val="20"/>
              </w:rPr>
              <w:t>8</w:t>
            </w:r>
          </w:p>
        </w:tc>
        <w:tc>
          <w:tcPr>
            <w:tcW w:w="7762" w:type="dxa"/>
          </w:tcPr>
          <w:p w:rsidR="00CF71D0" w:rsidRDefault="00CF71D0" w:rsidP="00CF71D0">
            <w:pPr>
              <w:pStyle w:val="P1"/>
              <w:tabs>
                <w:tab w:val="clear" w:pos="851"/>
                <w:tab w:val="clear" w:pos="1418"/>
              </w:tabs>
              <w:ind w:left="0" w:firstLine="0"/>
              <w:rPr>
                <w:rFonts w:ascii="Book Antiqua" w:hAnsi="Book Antiqua" w:cs="Book Antiqua"/>
                <w:sz w:val="20"/>
                <w:szCs w:val="20"/>
              </w:rPr>
            </w:pPr>
            <w:r>
              <w:rPr>
                <w:rFonts w:ascii="Book Antiqua" w:hAnsi="Book Antiqua" w:cs="Book Antiqua"/>
                <w:sz w:val="20"/>
                <w:szCs w:val="20"/>
              </w:rPr>
              <w:t>Part 1: Identification of Sites (if additional Stage 1 and/or Stage 2 sites have been identified);</w:t>
            </w:r>
          </w:p>
          <w:p w:rsidR="00CF71D0" w:rsidRDefault="00CF71D0" w:rsidP="00CF71D0">
            <w:pPr>
              <w:pStyle w:val="P1"/>
              <w:tabs>
                <w:tab w:val="clear" w:pos="851"/>
                <w:tab w:val="clear" w:pos="1418"/>
              </w:tabs>
              <w:ind w:left="0" w:firstLine="0"/>
              <w:rPr>
                <w:rFonts w:ascii="Book Antiqua" w:hAnsi="Book Antiqua" w:cs="Book Antiqua"/>
                <w:sz w:val="20"/>
                <w:szCs w:val="20"/>
              </w:rPr>
            </w:pPr>
            <w:r>
              <w:rPr>
                <w:rFonts w:ascii="Book Antiqua" w:hAnsi="Book Antiqua" w:cs="Book Antiqua"/>
                <w:sz w:val="20"/>
                <w:szCs w:val="20"/>
              </w:rPr>
              <w:t>Part 2: Reporting of Monitoring of Air Toxics; and</w:t>
            </w:r>
          </w:p>
          <w:p w:rsidR="00CF71D0" w:rsidRDefault="00CF71D0" w:rsidP="00CF71D0">
            <w:pPr>
              <w:pStyle w:val="P1"/>
              <w:tabs>
                <w:tab w:val="clear" w:pos="851"/>
                <w:tab w:val="clear" w:pos="1418"/>
              </w:tabs>
              <w:ind w:left="0" w:firstLine="0"/>
              <w:rPr>
                <w:rFonts w:ascii="Book Antiqua" w:hAnsi="Book Antiqua" w:cs="Book Antiqua"/>
                <w:sz w:val="20"/>
                <w:szCs w:val="20"/>
              </w:rPr>
            </w:pPr>
            <w:r>
              <w:rPr>
                <w:rFonts w:ascii="Book Antiqua" w:hAnsi="Book Antiqua" w:cs="Book Antiqua"/>
                <w:sz w:val="20"/>
                <w:szCs w:val="20"/>
              </w:rPr>
              <w:t xml:space="preserve">Part 3: Reporting on Action and Assessment taken to manage air toxics (only required where </w:t>
            </w:r>
            <w:proofErr w:type="spellStart"/>
            <w:r>
              <w:rPr>
                <w:rFonts w:ascii="Book Antiqua" w:hAnsi="Book Antiqua" w:cs="Book Antiqua"/>
                <w:sz w:val="20"/>
                <w:szCs w:val="20"/>
              </w:rPr>
              <w:t>exceedences</w:t>
            </w:r>
            <w:proofErr w:type="spellEnd"/>
            <w:r>
              <w:rPr>
                <w:rFonts w:ascii="Book Antiqua" w:hAnsi="Book Antiqua" w:cs="Book Antiqua"/>
                <w:sz w:val="20"/>
                <w:szCs w:val="20"/>
              </w:rPr>
              <w:t xml:space="preserve"> of monitoring investigation levels have been reported).</w:t>
            </w:r>
          </w:p>
        </w:tc>
      </w:tr>
    </w:tbl>
    <w:p w:rsidR="00CF71D0" w:rsidRDefault="00CF71D0" w:rsidP="00B717C4">
      <w:pPr>
        <w:pStyle w:val="SectionText"/>
        <w:keepNext/>
        <w:ind w:left="720" w:hanging="720"/>
        <w:rPr>
          <w:i/>
        </w:rPr>
      </w:pPr>
      <w:r>
        <w:lastRenderedPageBreak/>
        <w:tab/>
      </w:r>
      <w:r>
        <w:rPr>
          <w:i/>
        </w:rPr>
        <w:t>substitute</w:t>
      </w:r>
    </w:p>
    <w:p w:rsidR="00CF71D0" w:rsidRDefault="00CF71D0" w:rsidP="00B717C4">
      <w:pPr>
        <w:pStyle w:val="SectionText"/>
        <w:keepNext/>
        <w:ind w:left="720" w:hanging="720"/>
      </w:pP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7762"/>
      </w:tblGrid>
      <w:tr w:rsidR="00CF71D0" w:rsidTr="00CF71D0">
        <w:tc>
          <w:tcPr>
            <w:tcW w:w="959" w:type="dxa"/>
          </w:tcPr>
          <w:p w:rsidR="00CF71D0" w:rsidRDefault="00CF71D0" w:rsidP="00CF71D0">
            <w:pPr>
              <w:pStyle w:val="P1"/>
              <w:tabs>
                <w:tab w:val="clear" w:pos="851"/>
                <w:tab w:val="clear" w:pos="1418"/>
              </w:tabs>
              <w:ind w:left="0" w:firstLine="0"/>
              <w:jc w:val="center"/>
              <w:rPr>
                <w:rFonts w:ascii="Book Antiqua" w:hAnsi="Book Antiqua" w:cs="Book Antiqua"/>
                <w:sz w:val="20"/>
                <w:szCs w:val="20"/>
              </w:rPr>
            </w:pPr>
            <w:r>
              <w:rPr>
                <w:rFonts w:ascii="Book Antiqua" w:hAnsi="Book Antiqua" w:cs="Book Antiqua"/>
                <w:sz w:val="20"/>
                <w:szCs w:val="20"/>
              </w:rPr>
              <w:t>7</w:t>
            </w:r>
          </w:p>
        </w:tc>
        <w:tc>
          <w:tcPr>
            <w:tcW w:w="7762" w:type="dxa"/>
          </w:tcPr>
          <w:p w:rsidR="00CF71D0" w:rsidRDefault="00CF71D0" w:rsidP="00CF71D0">
            <w:pPr>
              <w:pStyle w:val="P1"/>
              <w:tabs>
                <w:tab w:val="clear" w:pos="851"/>
                <w:tab w:val="clear" w:pos="1418"/>
              </w:tabs>
              <w:ind w:left="0" w:firstLine="0"/>
              <w:rPr>
                <w:rFonts w:ascii="Book Antiqua" w:hAnsi="Book Antiqua" w:cs="Book Antiqua"/>
                <w:sz w:val="20"/>
                <w:szCs w:val="20"/>
              </w:rPr>
            </w:pPr>
            <w:r>
              <w:rPr>
                <w:rFonts w:ascii="Book Antiqua" w:hAnsi="Book Antiqua" w:cs="Book Antiqua"/>
                <w:sz w:val="20"/>
                <w:szCs w:val="20"/>
              </w:rPr>
              <w:t>Part 1: Identification of Sites (if additional Stage 1 and/or Stage 2 sites have been identified);</w:t>
            </w:r>
          </w:p>
          <w:p w:rsidR="00CF71D0" w:rsidRDefault="00CF71D0" w:rsidP="00CF71D0">
            <w:pPr>
              <w:pStyle w:val="P1"/>
              <w:tabs>
                <w:tab w:val="clear" w:pos="851"/>
                <w:tab w:val="clear" w:pos="1418"/>
              </w:tabs>
              <w:ind w:left="0" w:firstLine="0"/>
              <w:rPr>
                <w:rFonts w:ascii="Book Antiqua" w:hAnsi="Book Antiqua" w:cs="Book Antiqua"/>
                <w:sz w:val="20"/>
                <w:szCs w:val="20"/>
              </w:rPr>
            </w:pPr>
            <w:r>
              <w:rPr>
                <w:rFonts w:ascii="Book Antiqua" w:hAnsi="Book Antiqua" w:cs="Book Antiqua"/>
                <w:sz w:val="20"/>
                <w:szCs w:val="20"/>
              </w:rPr>
              <w:t xml:space="preserve">Part 2: Reporting of Monitoring of Air Toxics; </w:t>
            </w:r>
          </w:p>
          <w:p w:rsidR="00CF71D0" w:rsidRDefault="00CF71D0" w:rsidP="00CF71D0">
            <w:pPr>
              <w:pStyle w:val="P1"/>
              <w:tabs>
                <w:tab w:val="clear" w:pos="851"/>
                <w:tab w:val="clear" w:pos="1418"/>
              </w:tabs>
              <w:ind w:left="0" w:firstLine="0"/>
              <w:rPr>
                <w:rFonts w:ascii="Book Antiqua" w:hAnsi="Book Antiqua" w:cs="Book Antiqua"/>
                <w:sz w:val="20"/>
                <w:szCs w:val="20"/>
              </w:rPr>
            </w:pPr>
            <w:r>
              <w:rPr>
                <w:rFonts w:ascii="Book Antiqua" w:hAnsi="Book Antiqua" w:cs="Book Antiqua"/>
                <w:sz w:val="20"/>
                <w:szCs w:val="20"/>
              </w:rPr>
              <w:t xml:space="preserve">Part 3: Reporting on Action and Assessment taken to manage air toxics (only required where </w:t>
            </w:r>
            <w:proofErr w:type="spellStart"/>
            <w:r>
              <w:rPr>
                <w:rFonts w:ascii="Book Antiqua" w:hAnsi="Book Antiqua" w:cs="Book Antiqua"/>
                <w:sz w:val="20"/>
                <w:szCs w:val="20"/>
              </w:rPr>
              <w:t>exceedences</w:t>
            </w:r>
            <w:proofErr w:type="spellEnd"/>
            <w:r>
              <w:rPr>
                <w:rFonts w:ascii="Book Antiqua" w:hAnsi="Book Antiqua" w:cs="Book Antiqua"/>
                <w:sz w:val="20"/>
                <w:szCs w:val="20"/>
              </w:rPr>
              <w:t xml:space="preserve"> of monitoring investigation levels have been reported); and</w:t>
            </w:r>
          </w:p>
          <w:p w:rsidR="00554818" w:rsidRDefault="00CF71D0" w:rsidP="00CF71D0">
            <w:pPr>
              <w:pStyle w:val="P1"/>
              <w:tabs>
                <w:tab w:val="clear" w:pos="851"/>
                <w:tab w:val="clear" w:pos="1418"/>
              </w:tabs>
              <w:ind w:left="0" w:firstLine="0"/>
              <w:rPr>
                <w:rFonts w:ascii="Book Antiqua" w:hAnsi="Book Antiqua" w:cs="Book Antiqua"/>
                <w:sz w:val="20"/>
                <w:szCs w:val="20"/>
              </w:rPr>
            </w:pPr>
            <w:r>
              <w:rPr>
                <w:rFonts w:ascii="Book Antiqua" w:hAnsi="Book Antiqua" w:cs="Book Antiqua"/>
                <w:sz w:val="20"/>
                <w:szCs w:val="20"/>
              </w:rPr>
              <w:t>Part 4: Reporting on any Stage 2 sites at which monitoring has ceased</w:t>
            </w:r>
            <w:r w:rsidR="00554818">
              <w:rPr>
                <w:rFonts w:ascii="Book Antiqua" w:hAnsi="Book Antiqua" w:cs="Book Antiqua"/>
                <w:sz w:val="20"/>
                <w:szCs w:val="20"/>
              </w:rPr>
              <w:t xml:space="preserve">, including a </w:t>
            </w:r>
            <w:r w:rsidR="00554818" w:rsidRPr="00554818">
              <w:rPr>
                <w:rFonts w:ascii="Book Antiqua" w:hAnsi="Book Antiqua" w:cs="Book Antiqua"/>
                <w:sz w:val="20"/>
                <w:szCs w:val="20"/>
              </w:rPr>
              <w:t>summary of existing monitoring data</w:t>
            </w:r>
            <w:r w:rsidR="00554818">
              <w:rPr>
                <w:rFonts w:ascii="Book Antiqua" w:hAnsi="Book Antiqua" w:cs="Book Antiqua"/>
                <w:sz w:val="20"/>
                <w:szCs w:val="20"/>
              </w:rPr>
              <w:t xml:space="preserve"> for the site.</w:t>
            </w:r>
          </w:p>
        </w:tc>
      </w:tr>
      <w:tr w:rsidR="00CF71D0" w:rsidTr="00CF71D0">
        <w:tc>
          <w:tcPr>
            <w:tcW w:w="959" w:type="dxa"/>
          </w:tcPr>
          <w:p w:rsidR="00CF71D0" w:rsidRDefault="00CF71D0" w:rsidP="00CF71D0">
            <w:pPr>
              <w:pStyle w:val="P1"/>
              <w:tabs>
                <w:tab w:val="clear" w:pos="851"/>
                <w:tab w:val="clear" w:pos="1418"/>
              </w:tabs>
              <w:ind w:left="0" w:firstLine="0"/>
              <w:jc w:val="center"/>
              <w:rPr>
                <w:rFonts w:ascii="Book Antiqua" w:hAnsi="Book Antiqua" w:cs="Book Antiqua"/>
                <w:sz w:val="20"/>
                <w:szCs w:val="20"/>
              </w:rPr>
            </w:pPr>
            <w:r>
              <w:rPr>
                <w:rFonts w:ascii="Book Antiqua" w:hAnsi="Book Antiqua" w:cs="Book Antiqua"/>
                <w:sz w:val="20"/>
                <w:szCs w:val="20"/>
              </w:rPr>
              <w:t>8</w:t>
            </w:r>
          </w:p>
        </w:tc>
        <w:tc>
          <w:tcPr>
            <w:tcW w:w="7762" w:type="dxa"/>
          </w:tcPr>
          <w:p w:rsidR="00CF71D0" w:rsidRDefault="00CF71D0" w:rsidP="00CF71D0">
            <w:pPr>
              <w:pStyle w:val="P1"/>
              <w:tabs>
                <w:tab w:val="clear" w:pos="851"/>
                <w:tab w:val="clear" w:pos="1418"/>
              </w:tabs>
              <w:ind w:left="0" w:firstLine="0"/>
              <w:rPr>
                <w:rFonts w:ascii="Book Antiqua" w:hAnsi="Book Antiqua" w:cs="Book Antiqua"/>
                <w:sz w:val="20"/>
                <w:szCs w:val="20"/>
              </w:rPr>
            </w:pPr>
            <w:r>
              <w:rPr>
                <w:rFonts w:ascii="Book Antiqua" w:hAnsi="Book Antiqua" w:cs="Book Antiqua"/>
                <w:sz w:val="20"/>
                <w:szCs w:val="20"/>
              </w:rPr>
              <w:t>Part 1: Identification of Sites (if additional Stage 1 and/or Stage 2 sites have been identified);</w:t>
            </w:r>
          </w:p>
          <w:p w:rsidR="00CF71D0" w:rsidRDefault="00CF71D0" w:rsidP="00CF71D0">
            <w:pPr>
              <w:pStyle w:val="P1"/>
              <w:tabs>
                <w:tab w:val="clear" w:pos="851"/>
                <w:tab w:val="clear" w:pos="1418"/>
              </w:tabs>
              <w:ind w:left="0" w:firstLine="0"/>
              <w:rPr>
                <w:rFonts w:ascii="Book Antiqua" w:hAnsi="Book Antiqua" w:cs="Book Antiqua"/>
                <w:sz w:val="20"/>
                <w:szCs w:val="20"/>
              </w:rPr>
            </w:pPr>
            <w:r>
              <w:rPr>
                <w:rFonts w:ascii="Book Antiqua" w:hAnsi="Book Antiqua" w:cs="Book Antiqua"/>
                <w:sz w:val="20"/>
                <w:szCs w:val="20"/>
              </w:rPr>
              <w:t>Part 2: Reporting of Monitoring of Air Toxics; and</w:t>
            </w:r>
          </w:p>
          <w:p w:rsidR="00CF71D0" w:rsidRDefault="00CF71D0" w:rsidP="00CF71D0">
            <w:pPr>
              <w:pStyle w:val="P1"/>
              <w:tabs>
                <w:tab w:val="clear" w:pos="851"/>
                <w:tab w:val="clear" w:pos="1418"/>
              </w:tabs>
              <w:ind w:left="0" w:firstLine="0"/>
              <w:rPr>
                <w:rFonts w:ascii="Book Antiqua" w:hAnsi="Book Antiqua" w:cs="Book Antiqua"/>
                <w:sz w:val="20"/>
                <w:szCs w:val="20"/>
              </w:rPr>
            </w:pPr>
            <w:r>
              <w:rPr>
                <w:rFonts w:ascii="Book Antiqua" w:hAnsi="Book Antiqua" w:cs="Book Antiqua"/>
                <w:sz w:val="20"/>
                <w:szCs w:val="20"/>
              </w:rPr>
              <w:t xml:space="preserve">Part 3: Reporting on Action and Assessment taken to manage air toxics (only required where </w:t>
            </w:r>
            <w:proofErr w:type="spellStart"/>
            <w:r>
              <w:rPr>
                <w:rFonts w:ascii="Book Antiqua" w:hAnsi="Book Antiqua" w:cs="Book Antiqua"/>
                <w:sz w:val="20"/>
                <w:szCs w:val="20"/>
              </w:rPr>
              <w:t>exceedences</w:t>
            </w:r>
            <w:proofErr w:type="spellEnd"/>
            <w:r>
              <w:rPr>
                <w:rFonts w:ascii="Book Antiqua" w:hAnsi="Book Antiqua" w:cs="Book Antiqua"/>
                <w:sz w:val="20"/>
                <w:szCs w:val="20"/>
              </w:rPr>
              <w:t xml:space="preserve"> of monitoring investigation levels have been reported); and</w:t>
            </w:r>
          </w:p>
          <w:p w:rsidR="00CF71D0" w:rsidRDefault="00CF71D0" w:rsidP="00CF71D0">
            <w:pPr>
              <w:pStyle w:val="P1"/>
              <w:tabs>
                <w:tab w:val="clear" w:pos="851"/>
                <w:tab w:val="clear" w:pos="1418"/>
              </w:tabs>
              <w:ind w:left="0" w:firstLine="0"/>
              <w:rPr>
                <w:rFonts w:ascii="Book Antiqua" w:hAnsi="Book Antiqua" w:cs="Book Antiqua"/>
                <w:sz w:val="20"/>
                <w:szCs w:val="20"/>
              </w:rPr>
            </w:pPr>
            <w:r>
              <w:rPr>
                <w:rFonts w:ascii="Book Antiqua" w:hAnsi="Book Antiqua" w:cs="Book Antiqua"/>
                <w:sz w:val="20"/>
                <w:szCs w:val="20"/>
              </w:rPr>
              <w:t>Part 4: Reporting on any Stage 2 sites at which monitoring has ceased</w:t>
            </w:r>
            <w:r w:rsidR="00554818">
              <w:rPr>
                <w:rFonts w:ascii="Book Antiqua" w:hAnsi="Book Antiqua" w:cs="Book Antiqua"/>
                <w:sz w:val="20"/>
                <w:szCs w:val="20"/>
              </w:rPr>
              <w:t xml:space="preserve">, including a </w:t>
            </w:r>
            <w:r w:rsidR="00554818" w:rsidRPr="00554818">
              <w:rPr>
                <w:rFonts w:ascii="Book Antiqua" w:hAnsi="Book Antiqua" w:cs="Book Antiqua"/>
                <w:sz w:val="20"/>
                <w:szCs w:val="20"/>
              </w:rPr>
              <w:t>summary of existing monitoring data</w:t>
            </w:r>
            <w:r w:rsidR="00554818">
              <w:rPr>
                <w:rFonts w:ascii="Book Antiqua" w:hAnsi="Book Antiqua" w:cs="Book Antiqua"/>
                <w:sz w:val="20"/>
                <w:szCs w:val="20"/>
              </w:rPr>
              <w:t xml:space="preserve"> for the site.</w:t>
            </w:r>
          </w:p>
        </w:tc>
      </w:tr>
    </w:tbl>
    <w:p w:rsidR="00CF71D0" w:rsidRDefault="00CF71D0" w:rsidP="00CF71D0">
      <w:pPr>
        <w:pStyle w:val="HR"/>
        <w:ind w:left="0" w:firstLine="0"/>
      </w:pPr>
    </w:p>
    <w:p w:rsidR="004A5235" w:rsidRPr="000E4570" w:rsidRDefault="004A5235" w:rsidP="000E4570"/>
    <w:sectPr w:rsidR="004A5235" w:rsidRPr="000E4570" w:rsidSect="00A64DEC">
      <w:footerReference w:type="even" r:id="rId8"/>
      <w:footerReference w:type="first" r:id="rId9"/>
      <w:pgSz w:w="11906" w:h="16838" w:code="9"/>
      <w:pgMar w:top="1440" w:right="1797" w:bottom="1440" w:left="1797"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70D" w:rsidRDefault="0020070D">
      <w:r>
        <w:separator/>
      </w:r>
    </w:p>
  </w:endnote>
  <w:endnote w:type="continuationSeparator" w:id="0">
    <w:p w:rsidR="0020070D" w:rsidRDefault="002007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7EB" w:rsidRPr="009448C5" w:rsidRDefault="002E17EB">
    <w:pPr>
      <w:pStyle w:val="Footer"/>
      <w:rPr>
        <w:sz w:val="16"/>
      </w:rPr>
    </w:pPr>
    <w:r>
      <w:rPr>
        <w:sz w:val="16"/>
      </w:rPr>
      <w:t>DBM\WAS\32962042\2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7EB" w:rsidRPr="009448C5" w:rsidRDefault="002E17EB">
    <w:pPr>
      <w:pStyle w:val="Footer"/>
      <w:rPr>
        <w:sz w:val="16"/>
      </w:rPr>
    </w:pPr>
    <w:r>
      <w:rPr>
        <w:sz w:val="16"/>
      </w:rPr>
      <w:t>DBM\WAS\32962042\2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70D" w:rsidRDefault="0020070D">
      <w:r>
        <w:separator/>
      </w:r>
    </w:p>
  </w:footnote>
  <w:footnote w:type="continuationSeparator" w:id="0">
    <w:p w:rsidR="0020070D" w:rsidRDefault="002007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D6E97"/>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2AD14C35"/>
    <w:multiLevelType w:val="singleLevel"/>
    <w:tmpl w:val="B22268CC"/>
    <w:lvl w:ilvl="0">
      <w:start w:val="1"/>
      <w:numFmt w:val="bullet"/>
      <w:pStyle w:val="Heading7"/>
      <w:lvlText w:val=""/>
      <w:lvlJc w:val="left"/>
      <w:pPr>
        <w:tabs>
          <w:tab w:val="num" w:pos="2160"/>
        </w:tabs>
        <w:ind w:left="2160" w:hanging="720"/>
      </w:pPr>
      <w:rPr>
        <w:rFonts w:ascii="Symbol" w:hAnsi="Symbol" w:hint="default"/>
        <w:sz w:val="16"/>
      </w:rPr>
    </w:lvl>
  </w:abstractNum>
  <w:abstractNum w:abstractNumId="2">
    <w:nsid w:val="3D6F092B"/>
    <w:multiLevelType w:val="singleLevel"/>
    <w:tmpl w:val="AFC4A24E"/>
    <w:lvl w:ilvl="0">
      <w:start w:val="1"/>
      <w:numFmt w:val="upperLetter"/>
      <w:pStyle w:val="Recitals"/>
      <w:lvlText w:val="%1."/>
      <w:lvlJc w:val="left"/>
      <w:pPr>
        <w:tabs>
          <w:tab w:val="num" w:pos="720"/>
        </w:tabs>
        <w:ind w:left="720" w:hanging="720"/>
      </w:pPr>
    </w:lvl>
  </w:abstractNum>
  <w:abstractNum w:abstractNumId="3">
    <w:nsid w:val="50562A5A"/>
    <w:multiLevelType w:val="multilevel"/>
    <w:tmpl w:val="310C0C90"/>
    <w:lvl w:ilvl="0">
      <w:start w:val="1"/>
      <w:numFmt w:val="decimal"/>
      <w:pStyle w:val="Heading1"/>
      <w:lvlText w:val="%1"/>
      <w:lvlJc w:val="left"/>
      <w:pPr>
        <w:tabs>
          <w:tab w:val="num" w:pos="720"/>
        </w:tabs>
        <w:ind w:left="720" w:hanging="720"/>
      </w:pPr>
      <w:rPr>
        <w:rFonts w:ascii="Times New Roman" w:hAnsi="Times New Roman" w:hint="default"/>
        <w:b/>
        <w:i w:val="0"/>
        <w:sz w:val="24"/>
      </w:rPr>
    </w:lvl>
    <w:lvl w:ilvl="1">
      <w:start w:val="1"/>
      <w:numFmt w:val="decimal"/>
      <w:pStyle w:val="Heading2"/>
      <w:lvlText w:val="%1.%2"/>
      <w:lvlJc w:val="left"/>
      <w:pPr>
        <w:tabs>
          <w:tab w:val="num" w:pos="1440"/>
        </w:tabs>
        <w:ind w:left="1440" w:hanging="720"/>
      </w:pPr>
      <w:rPr>
        <w:rFonts w:ascii="Times New Roman" w:hAnsi="Times New Roman" w:hint="default"/>
        <w:b w:val="0"/>
        <w:i w:val="0"/>
        <w:sz w:val="24"/>
      </w:rPr>
    </w:lvl>
    <w:lvl w:ilvl="2">
      <w:start w:val="1"/>
      <w:numFmt w:val="lowerLetter"/>
      <w:pStyle w:val="Heading3"/>
      <w:lvlText w:val="(%3)"/>
      <w:lvlJc w:val="left"/>
      <w:pPr>
        <w:tabs>
          <w:tab w:val="num" w:pos="2160"/>
        </w:tabs>
        <w:ind w:left="2160" w:hanging="720"/>
      </w:pPr>
      <w:rPr>
        <w:rFonts w:ascii="Times New Roman" w:hAnsi="Times New Roman" w:hint="default"/>
        <w:b w:val="0"/>
        <w:i w:val="0"/>
        <w:sz w:val="24"/>
      </w:rPr>
    </w:lvl>
    <w:lvl w:ilvl="3">
      <w:start w:val="1"/>
      <w:numFmt w:val="decimal"/>
      <w:pStyle w:val="Heading4"/>
      <w:lvlText w:val="(%4)"/>
      <w:lvlJc w:val="left"/>
      <w:pPr>
        <w:tabs>
          <w:tab w:val="num" w:pos="2880"/>
        </w:tabs>
        <w:ind w:left="2880" w:hanging="720"/>
      </w:pPr>
      <w:rPr>
        <w:rFonts w:ascii="Times New Roman" w:hAnsi="Times New Roman" w:hint="default"/>
        <w:b w:val="0"/>
        <w:i w:val="0"/>
        <w:sz w:val="24"/>
      </w:rPr>
    </w:lvl>
    <w:lvl w:ilvl="4">
      <w:start w:val="1"/>
      <w:numFmt w:val="upperLetter"/>
      <w:pStyle w:val="Heading5"/>
      <w:lvlText w:val="(%5)"/>
      <w:lvlJc w:val="left"/>
      <w:pPr>
        <w:tabs>
          <w:tab w:val="num" w:pos="3600"/>
        </w:tabs>
        <w:ind w:left="3600" w:hanging="720"/>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nsid w:val="59A72DEF"/>
    <w:multiLevelType w:val="singleLevel"/>
    <w:tmpl w:val="2B6AF4D8"/>
    <w:lvl w:ilvl="0">
      <w:start w:val="1"/>
      <w:numFmt w:val="bullet"/>
      <w:pStyle w:val="Heading6"/>
      <w:lvlText w:val=""/>
      <w:lvlJc w:val="left"/>
      <w:pPr>
        <w:tabs>
          <w:tab w:val="num" w:pos="1440"/>
        </w:tabs>
        <w:ind w:left="1440" w:hanging="720"/>
      </w:pPr>
      <w:rPr>
        <w:rFonts w:ascii="Wingdings" w:hAnsi="Wingdings" w:hint="default"/>
        <w:sz w:val="16"/>
      </w:rPr>
    </w:lvl>
  </w:abstractNum>
  <w:abstractNum w:abstractNumId="5">
    <w:nsid w:val="5D1A7AE0"/>
    <w:multiLevelType w:val="multilevel"/>
    <w:tmpl w:val="C9405944"/>
    <w:lvl w:ilvl="0">
      <w:start w:val="1"/>
      <w:numFmt w:val="lowerRoman"/>
      <w:lvlText w:val="(%1)"/>
      <w:lvlJc w:val="left"/>
      <w:pPr>
        <w:tabs>
          <w:tab w:val="num" w:pos="2880"/>
        </w:tabs>
        <w:ind w:left="2880" w:hanging="360"/>
      </w:pPr>
      <w:rPr>
        <w:rFonts w:hint="default"/>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6">
    <w:nsid w:val="5FD7128D"/>
    <w:multiLevelType w:val="hybridMultilevel"/>
    <w:tmpl w:val="5A922506"/>
    <w:lvl w:ilvl="0" w:tplc="248C7776">
      <w:start w:val="1"/>
      <w:numFmt w:val="lowerRoman"/>
      <w:lvlText w:val="(%1)"/>
      <w:lvlJc w:val="left"/>
      <w:pPr>
        <w:tabs>
          <w:tab w:val="num" w:pos="1800"/>
        </w:tabs>
        <w:ind w:left="1800" w:hanging="360"/>
      </w:pPr>
      <w:rPr>
        <w:rFonts w:hint="default"/>
      </w:rPr>
    </w:lvl>
    <w:lvl w:ilvl="1" w:tplc="0C090019">
      <w:start w:val="1"/>
      <w:numFmt w:val="lowerLetter"/>
      <w:lvlText w:val="%2."/>
      <w:lvlJc w:val="left"/>
      <w:pPr>
        <w:tabs>
          <w:tab w:val="num" w:pos="1800"/>
        </w:tabs>
        <w:ind w:left="1800" w:hanging="360"/>
      </w:pPr>
    </w:lvl>
    <w:lvl w:ilvl="2" w:tplc="248C7776">
      <w:start w:val="1"/>
      <w:numFmt w:val="lowerRoman"/>
      <w:lvlText w:val="(%3)"/>
      <w:lvlJc w:val="left"/>
      <w:pPr>
        <w:tabs>
          <w:tab w:val="num" w:pos="2700"/>
        </w:tabs>
        <w:ind w:left="2700" w:hanging="360"/>
      </w:pPr>
      <w:rPr>
        <w:rFonts w:hint="default"/>
      </w:r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7">
    <w:nsid w:val="6FFA0EB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7A893E73"/>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3"/>
  </w:num>
  <w:num w:numId="2">
    <w:abstractNumId w:val="3"/>
  </w:num>
  <w:num w:numId="3">
    <w:abstractNumId w:val="3"/>
  </w:num>
  <w:num w:numId="4">
    <w:abstractNumId w:val="3"/>
  </w:num>
  <w:num w:numId="5">
    <w:abstractNumId w:val="3"/>
  </w:num>
  <w:num w:numId="6">
    <w:abstractNumId w:val="4"/>
  </w:num>
  <w:num w:numId="7">
    <w:abstractNumId w:val="1"/>
  </w:num>
  <w:num w:numId="8">
    <w:abstractNumId w:val="2"/>
  </w:num>
  <w:num w:numId="9">
    <w:abstractNumId w:val="0"/>
  </w:num>
  <w:num w:numId="10">
    <w:abstractNumId w:val="7"/>
  </w:num>
  <w:num w:numId="11">
    <w:abstractNumId w:val="8"/>
  </w:num>
  <w:num w:numId="12">
    <w:abstractNumId w:val="6"/>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docVars>
    <w:docVar w:name="filename" w:val="DBM\WAS\32962042\2"/>
  </w:docVars>
  <w:rsids>
    <w:rsidRoot w:val="00CF71D0"/>
    <w:rsid w:val="00011A78"/>
    <w:rsid w:val="00037283"/>
    <w:rsid w:val="000379B9"/>
    <w:rsid w:val="00052745"/>
    <w:rsid w:val="000558FA"/>
    <w:rsid w:val="00064A91"/>
    <w:rsid w:val="00095369"/>
    <w:rsid w:val="000A64D0"/>
    <w:rsid w:val="000B72F6"/>
    <w:rsid w:val="000C3E93"/>
    <w:rsid w:val="000C7203"/>
    <w:rsid w:val="000D5240"/>
    <w:rsid w:val="000E259B"/>
    <w:rsid w:val="000E42A8"/>
    <w:rsid w:val="000E4570"/>
    <w:rsid w:val="000E744F"/>
    <w:rsid w:val="000F4A2B"/>
    <w:rsid w:val="00112FB5"/>
    <w:rsid w:val="00122E8D"/>
    <w:rsid w:val="001246FF"/>
    <w:rsid w:val="00142347"/>
    <w:rsid w:val="001555B3"/>
    <w:rsid w:val="00165197"/>
    <w:rsid w:val="001A4487"/>
    <w:rsid w:val="001E75D6"/>
    <w:rsid w:val="0020070D"/>
    <w:rsid w:val="00203F6B"/>
    <w:rsid w:val="0021654E"/>
    <w:rsid w:val="0021798E"/>
    <w:rsid w:val="00224657"/>
    <w:rsid w:val="00247139"/>
    <w:rsid w:val="00262C39"/>
    <w:rsid w:val="00263882"/>
    <w:rsid w:val="002677B4"/>
    <w:rsid w:val="002A64F7"/>
    <w:rsid w:val="002B266A"/>
    <w:rsid w:val="002C117E"/>
    <w:rsid w:val="002D571F"/>
    <w:rsid w:val="002E17EB"/>
    <w:rsid w:val="002E5926"/>
    <w:rsid w:val="002F1961"/>
    <w:rsid w:val="0033340B"/>
    <w:rsid w:val="00333A38"/>
    <w:rsid w:val="00362645"/>
    <w:rsid w:val="00370AA0"/>
    <w:rsid w:val="0037599E"/>
    <w:rsid w:val="003834F2"/>
    <w:rsid w:val="003B3847"/>
    <w:rsid w:val="003C08C5"/>
    <w:rsid w:val="003E64D1"/>
    <w:rsid w:val="00411265"/>
    <w:rsid w:val="004672D8"/>
    <w:rsid w:val="004A4FDF"/>
    <w:rsid w:val="004A5235"/>
    <w:rsid w:val="004B37A8"/>
    <w:rsid w:val="004C4700"/>
    <w:rsid w:val="004C713D"/>
    <w:rsid w:val="004D1EBC"/>
    <w:rsid w:val="004E3C4F"/>
    <w:rsid w:val="004F4E09"/>
    <w:rsid w:val="005017E5"/>
    <w:rsid w:val="005050B9"/>
    <w:rsid w:val="00511C35"/>
    <w:rsid w:val="005521F1"/>
    <w:rsid w:val="00554818"/>
    <w:rsid w:val="00557C55"/>
    <w:rsid w:val="00560F93"/>
    <w:rsid w:val="005700F7"/>
    <w:rsid w:val="005866E2"/>
    <w:rsid w:val="00596FA5"/>
    <w:rsid w:val="005B0596"/>
    <w:rsid w:val="005C08A9"/>
    <w:rsid w:val="005D3598"/>
    <w:rsid w:val="005D484B"/>
    <w:rsid w:val="005E0083"/>
    <w:rsid w:val="00603584"/>
    <w:rsid w:val="00627305"/>
    <w:rsid w:val="00640E61"/>
    <w:rsid w:val="00645EB4"/>
    <w:rsid w:val="00665EC1"/>
    <w:rsid w:val="006719D2"/>
    <w:rsid w:val="0067218A"/>
    <w:rsid w:val="00686477"/>
    <w:rsid w:val="006A2C78"/>
    <w:rsid w:val="006A5887"/>
    <w:rsid w:val="006B51E2"/>
    <w:rsid w:val="006B6DAD"/>
    <w:rsid w:val="006C7522"/>
    <w:rsid w:val="006D7190"/>
    <w:rsid w:val="007037C4"/>
    <w:rsid w:val="00710ACE"/>
    <w:rsid w:val="00715EF6"/>
    <w:rsid w:val="007366EA"/>
    <w:rsid w:val="007378CA"/>
    <w:rsid w:val="00740B11"/>
    <w:rsid w:val="00747BF0"/>
    <w:rsid w:val="00754021"/>
    <w:rsid w:val="00760B3B"/>
    <w:rsid w:val="007642CC"/>
    <w:rsid w:val="007661F8"/>
    <w:rsid w:val="00792836"/>
    <w:rsid w:val="007933F2"/>
    <w:rsid w:val="007B0B54"/>
    <w:rsid w:val="007C3668"/>
    <w:rsid w:val="007C5DFA"/>
    <w:rsid w:val="007D0B5E"/>
    <w:rsid w:val="007D7562"/>
    <w:rsid w:val="007F1662"/>
    <w:rsid w:val="007F7C05"/>
    <w:rsid w:val="0080756F"/>
    <w:rsid w:val="00814036"/>
    <w:rsid w:val="00820C81"/>
    <w:rsid w:val="008248D2"/>
    <w:rsid w:val="008465DF"/>
    <w:rsid w:val="008715E4"/>
    <w:rsid w:val="00876C9D"/>
    <w:rsid w:val="00881332"/>
    <w:rsid w:val="00881BA4"/>
    <w:rsid w:val="008A612C"/>
    <w:rsid w:val="008C40D5"/>
    <w:rsid w:val="008F5815"/>
    <w:rsid w:val="00900C54"/>
    <w:rsid w:val="0091049F"/>
    <w:rsid w:val="00913AEA"/>
    <w:rsid w:val="00931CC6"/>
    <w:rsid w:val="009448C5"/>
    <w:rsid w:val="00952C2D"/>
    <w:rsid w:val="009603B7"/>
    <w:rsid w:val="00962E0E"/>
    <w:rsid w:val="00974409"/>
    <w:rsid w:val="009A5516"/>
    <w:rsid w:val="009A693E"/>
    <w:rsid w:val="009B6615"/>
    <w:rsid w:val="009C54EF"/>
    <w:rsid w:val="009F3360"/>
    <w:rsid w:val="00A017DD"/>
    <w:rsid w:val="00A07D41"/>
    <w:rsid w:val="00A129B6"/>
    <w:rsid w:val="00A327E0"/>
    <w:rsid w:val="00A346CF"/>
    <w:rsid w:val="00A40E76"/>
    <w:rsid w:val="00A4559A"/>
    <w:rsid w:val="00A64DEC"/>
    <w:rsid w:val="00A673D5"/>
    <w:rsid w:val="00A7101E"/>
    <w:rsid w:val="00A73FF8"/>
    <w:rsid w:val="00A74082"/>
    <w:rsid w:val="00A828A7"/>
    <w:rsid w:val="00A95371"/>
    <w:rsid w:val="00AA4092"/>
    <w:rsid w:val="00AB31AD"/>
    <w:rsid w:val="00AE3638"/>
    <w:rsid w:val="00AF675B"/>
    <w:rsid w:val="00B244CA"/>
    <w:rsid w:val="00B63872"/>
    <w:rsid w:val="00B717C4"/>
    <w:rsid w:val="00B84558"/>
    <w:rsid w:val="00B967A7"/>
    <w:rsid w:val="00BA53B4"/>
    <w:rsid w:val="00BB1D00"/>
    <w:rsid w:val="00BC342B"/>
    <w:rsid w:val="00BC74AB"/>
    <w:rsid w:val="00BE4E37"/>
    <w:rsid w:val="00C07108"/>
    <w:rsid w:val="00C311E9"/>
    <w:rsid w:val="00C42B85"/>
    <w:rsid w:val="00C51A08"/>
    <w:rsid w:val="00C537C6"/>
    <w:rsid w:val="00C54D92"/>
    <w:rsid w:val="00C819EB"/>
    <w:rsid w:val="00C971FA"/>
    <w:rsid w:val="00CA0697"/>
    <w:rsid w:val="00CA0E14"/>
    <w:rsid w:val="00CB12EB"/>
    <w:rsid w:val="00CD41EE"/>
    <w:rsid w:val="00CF1015"/>
    <w:rsid w:val="00CF3CA8"/>
    <w:rsid w:val="00CF71D0"/>
    <w:rsid w:val="00D4051F"/>
    <w:rsid w:val="00D61F36"/>
    <w:rsid w:val="00D6606B"/>
    <w:rsid w:val="00DB7AE5"/>
    <w:rsid w:val="00DF63A3"/>
    <w:rsid w:val="00E303E8"/>
    <w:rsid w:val="00E30465"/>
    <w:rsid w:val="00E42C8E"/>
    <w:rsid w:val="00E70A43"/>
    <w:rsid w:val="00E7682E"/>
    <w:rsid w:val="00E90128"/>
    <w:rsid w:val="00E905D4"/>
    <w:rsid w:val="00E96AF8"/>
    <w:rsid w:val="00EB0583"/>
    <w:rsid w:val="00EC7F1D"/>
    <w:rsid w:val="00ED6A7C"/>
    <w:rsid w:val="00EE2C13"/>
    <w:rsid w:val="00EE409E"/>
    <w:rsid w:val="00F03FB5"/>
    <w:rsid w:val="00F22528"/>
    <w:rsid w:val="00F42FB0"/>
    <w:rsid w:val="00F50B39"/>
    <w:rsid w:val="00F67220"/>
    <w:rsid w:val="00F86E5B"/>
    <w:rsid w:val="00F87295"/>
    <w:rsid w:val="00F9230A"/>
    <w:rsid w:val="00FA3A0F"/>
    <w:rsid w:val="00FC3249"/>
    <w:rsid w:val="00FD696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71D0"/>
    <w:rPr>
      <w:sz w:val="24"/>
      <w:szCs w:val="24"/>
    </w:rPr>
  </w:style>
  <w:style w:type="paragraph" w:styleId="Heading1">
    <w:name w:val="heading 1"/>
    <w:aliases w:val="Main Heading"/>
    <w:basedOn w:val="Normal"/>
    <w:next w:val="Normal"/>
    <w:qFormat/>
    <w:rsid w:val="008465DF"/>
    <w:pPr>
      <w:numPr>
        <w:numId w:val="5"/>
      </w:numPr>
      <w:spacing w:before="240" w:after="120"/>
      <w:outlineLvl w:val="0"/>
    </w:pPr>
    <w:rPr>
      <w:b/>
      <w:kern w:val="28"/>
    </w:rPr>
  </w:style>
  <w:style w:type="paragraph" w:styleId="Heading2">
    <w:name w:val="heading 2"/>
    <w:aliases w:val="Sub-heading"/>
    <w:basedOn w:val="Normal"/>
    <w:qFormat/>
    <w:rsid w:val="008465DF"/>
    <w:pPr>
      <w:numPr>
        <w:ilvl w:val="1"/>
        <w:numId w:val="5"/>
      </w:numPr>
      <w:spacing w:before="120" w:after="120"/>
      <w:outlineLvl w:val="1"/>
    </w:pPr>
  </w:style>
  <w:style w:type="paragraph" w:styleId="Heading3">
    <w:name w:val="heading 3"/>
    <w:aliases w:val="1st sub-clause"/>
    <w:basedOn w:val="Normal"/>
    <w:qFormat/>
    <w:rsid w:val="008465DF"/>
    <w:pPr>
      <w:numPr>
        <w:ilvl w:val="2"/>
        <w:numId w:val="5"/>
      </w:numPr>
      <w:spacing w:before="120" w:after="120"/>
      <w:outlineLvl w:val="2"/>
    </w:pPr>
  </w:style>
  <w:style w:type="paragraph" w:styleId="Heading4">
    <w:name w:val="heading 4"/>
    <w:aliases w:val="2nd sub-clause"/>
    <w:basedOn w:val="Normal"/>
    <w:qFormat/>
    <w:rsid w:val="008465DF"/>
    <w:pPr>
      <w:numPr>
        <w:ilvl w:val="3"/>
        <w:numId w:val="5"/>
      </w:numPr>
      <w:spacing w:before="120" w:after="120"/>
      <w:outlineLvl w:val="3"/>
    </w:pPr>
  </w:style>
  <w:style w:type="paragraph" w:styleId="Heading5">
    <w:name w:val="heading 5"/>
    <w:aliases w:val="3rd sub-clause"/>
    <w:basedOn w:val="Normal"/>
    <w:qFormat/>
    <w:rsid w:val="008465DF"/>
    <w:pPr>
      <w:numPr>
        <w:ilvl w:val="4"/>
        <w:numId w:val="5"/>
      </w:numPr>
      <w:tabs>
        <w:tab w:val="left" w:pos="2160"/>
      </w:tabs>
      <w:spacing w:before="120" w:after="120"/>
      <w:outlineLvl w:val="4"/>
    </w:pPr>
    <w:rPr>
      <w:kern w:val="24"/>
    </w:rPr>
  </w:style>
  <w:style w:type="paragraph" w:styleId="Heading6">
    <w:name w:val="heading 6"/>
    <w:aliases w:val="Square Bullet list"/>
    <w:basedOn w:val="Normal"/>
    <w:qFormat/>
    <w:rsid w:val="008465DF"/>
    <w:pPr>
      <w:numPr>
        <w:numId w:val="6"/>
      </w:numPr>
      <w:spacing w:before="120" w:after="120"/>
      <w:outlineLvl w:val="5"/>
    </w:pPr>
    <w:rPr>
      <w:kern w:val="24"/>
    </w:rPr>
  </w:style>
  <w:style w:type="paragraph" w:styleId="Heading7">
    <w:name w:val="heading 7"/>
    <w:aliases w:val="Indented hyphen"/>
    <w:basedOn w:val="Normal"/>
    <w:qFormat/>
    <w:rsid w:val="008465DF"/>
    <w:pPr>
      <w:numPr>
        <w:numId w:val="7"/>
      </w:numPr>
      <w:tabs>
        <w:tab w:val="left" w:pos="720"/>
      </w:tabs>
      <w:spacing w:before="120" w:after="120"/>
      <w:outlineLvl w:val="6"/>
    </w:pPr>
  </w:style>
  <w:style w:type="paragraph" w:styleId="Heading8">
    <w:name w:val="heading 8"/>
    <w:basedOn w:val="Normal"/>
    <w:next w:val="Normal"/>
    <w:qFormat/>
    <w:rsid w:val="008465DF"/>
    <w:pPr>
      <w:keepNext/>
      <w:outlineLvl w:val="7"/>
    </w:pPr>
    <w:rPr>
      <w:b/>
      <w:cap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8465DF"/>
    <w:rPr>
      <w:color w:val="606420"/>
      <w:u w:val="single"/>
    </w:rPr>
  </w:style>
  <w:style w:type="paragraph" w:styleId="Footer">
    <w:name w:val="footer"/>
    <w:basedOn w:val="Normal"/>
    <w:rsid w:val="008465DF"/>
    <w:pPr>
      <w:tabs>
        <w:tab w:val="center" w:pos="4320"/>
        <w:tab w:val="right" w:pos="8640"/>
      </w:tabs>
    </w:pPr>
  </w:style>
  <w:style w:type="paragraph" w:styleId="Header">
    <w:name w:val="header"/>
    <w:basedOn w:val="Normal"/>
    <w:rsid w:val="008465DF"/>
    <w:pPr>
      <w:tabs>
        <w:tab w:val="center" w:pos="4320"/>
        <w:tab w:val="right" w:pos="8640"/>
      </w:tabs>
    </w:pPr>
  </w:style>
  <w:style w:type="character" w:styleId="Hyperlink">
    <w:name w:val="Hyperlink"/>
    <w:rsid w:val="008465DF"/>
    <w:rPr>
      <w:color w:val="0000FF"/>
      <w:u w:val="single"/>
    </w:rPr>
  </w:style>
  <w:style w:type="paragraph" w:customStyle="1" w:styleId="Indent1">
    <w:name w:val="Indent 1"/>
    <w:basedOn w:val="Normal"/>
    <w:rsid w:val="008465DF"/>
    <w:pPr>
      <w:ind w:left="720"/>
    </w:pPr>
  </w:style>
  <w:style w:type="paragraph" w:customStyle="1" w:styleId="Indent2">
    <w:name w:val="Indent 2"/>
    <w:basedOn w:val="Normal"/>
    <w:rsid w:val="008465DF"/>
    <w:pPr>
      <w:ind w:left="1440"/>
    </w:pPr>
  </w:style>
  <w:style w:type="paragraph" w:customStyle="1" w:styleId="Indent3">
    <w:name w:val="Indent 3"/>
    <w:basedOn w:val="Normal"/>
    <w:rsid w:val="008465DF"/>
    <w:pPr>
      <w:ind w:left="2160"/>
    </w:pPr>
  </w:style>
  <w:style w:type="paragraph" w:customStyle="1" w:styleId="Indent4">
    <w:name w:val="Indent 4"/>
    <w:basedOn w:val="Normal"/>
    <w:rsid w:val="008465DF"/>
    <w:pPr>
      <w:ind w:left="2880"/>
    </w:pPr>
  </w:style>
  <w:style w:type="paragraph" w:customStyle="1" w:styleId="Indent5">
    <w:name w:val="Indent 5"/>
    <w:basedOn w:val="Normal"/>
    <w:rsid w:val="008465DF"/>
    <w:pPr>
      <w:ind w:left="3600"/>
    </w:pPr>
  </w:style>
  <w:style w:type="character" w:styleId="PageNumber">
    <w:name w:val="page number"/>
    <w:basedOn w:val="DefaultParagraphFont"/>
    <w:rsid w:val="008465DF"/>
  </w:style>
  <w:style w:type="paragraph" w:customStyle="1" w:styleId="Recitals">
    <w:name w:val="Recitals"/>
    <w:basedOn w:val="Normal"/>
    <w:rsid w:val="008465DF"/>
    <w:pPr>
      <w:numPr>
        <w:numId w:val="8"/>
      </w:numPr>
      <w:spacing w:before="240" w:after="120"/>
    </w:pPr>
  </w:style>
  <w:style w:type="table" w:styleId="TableGrid">
    <w:name w:val="Table Grid"/>
    <w:basedOn w:val="TableNormal"/>
    <w:rsid w:val="008465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qFormat/>
    <w:rsid w:val="00CF71D0"/>
    <w:pPr>
      <w:spacing w:before="480"/>
    </w:pPr>
    <w:rPr>
      <w:rFonts w:ascii="Arial" w:hAnsi="Arial" w:cs="Arial"/>
      <w:b/>
      <w:bCs/>
      <w:sz w:val="40"/>
      <w:szCs w:val="40"/>
    </w:rPr>
  </w:style>
  <w:style w:type="character" w:customStyle="1" w:styleId="CharDivNo">
    <w:name w:val="CharDivNo"/>
    <w:rsid w:val="00CF71D0"/>
    <w:rPr>
      <w:rFonts w:cs="Times New Roman"/>
    </w:rPr>
  </w:style>
  <w:style w:type="character" w:customStyle="1" w:styleId="CharDivText">
    <w:name w:val="CharDivText"/>
    <w:rsid w:val="00CF71D0"/>
    <w:rPr>
      <w:rFonts w:cs="Times New Roman"/>
    </w:rPr>
  </w:style>
  <w:style w:type="character" w:customStyle="1" w:styleId="CharPartNo">
    <w:name w:val="CharPartNo"/>
    <w:rsid w:val="00CF71D0"/>
    <w:rPr>
      <w:rFonts w:cs="Times New Roman"/>
    </w:rPr>
  </w:style>
  <w:style w:type="character" w:customStyle="1" w:styleId="CharPartText">
    <w:name w:val="CharPartText"/>
    <w:rsid w:val="00CF71D0"/>
    <w:rPr>
      <w:rFonts w:cs="Times New Roman"/>
    </w:rPr>
  </w:style>
  <w:style w:type="character" w:customStyle="1" w:styleId="CharSectno">
    <w:name w:val="CharSectno"/>
    <w:rsid w:val="00CF71D0"/>
    <w:rPr>
      <w:rFonts w:cs="Times New Roman"/>
    </w:rPr>
  </w:style>
  <w:style w:type="paragraph" w:customStyle="1" w:styleId="HR">
    <w:name w:val="HR"/>
    <w:aliases w:val="Regulation Heading"/>
    <w:basedOn w:val="Normal"/>
    <w:next w:val="R1"/>
    <w:rsid w:val="00CF71D0"/>
    <w:pPr>
      <w:keepNext/>
      <w:spacing w:before="360"/>
      <w:ind w:left="964" w:hanging="964"/>
    </w:pPr>
    <w:rPr>
      <w:rFonts w:ascii="Arial" w:hAnsi="Arial" w:cs="Arial"/>
      <w:b/>
      <w:bCs/>
    </w:rPr>
  </w:style>
  <w:style w:type="paragraph" w:customStyle="1" w:styleId="Note">
    <w:name w:val="Note"/>
    <w:basedOn w:val="Normal"/>
    <w:rsid w:val="00CF71D0"/>
    <w:pPr>
      <w:spacing w:before="120" w:line="220" w:lineRule="exact"/>
      <w:ind w:left="964"/>
      <w:jc w:val="both"/>
    </w:pPr>
    <w:rPr>
      <w:sz w:val="20"/>
      <w:szCs w:val="20"/>
    </w:rPr>
  </w:style>
  <w:style w:type="paragraph" w:customStyle="1" w:styleId="R1">
    <w:name w:val="R1"/>
    <w:aliases w:val="1. or 1.(1)"/>
    <w:basedOn w:val="Normal"/>
    <w:next w:val="R2"/>
    <w:rsid w:val="00CF71D0"/>
    <w:pPr>
      <w:keepLines/>
      <w:tabs>
        <w:tab w:val="right" w:pos="794"/>
      </w:tabs>
      <w:spacing w:before="120" w:line="260" w:lineRule="exact"/>
      <w:ind w:left="964" w:hanging="964"/>
      <w:jc w:val="both"/>
    </w:pPr>
  </w:style>
  <w:style w:type="paragraph" w:customStyle="1" w:styleId="R2">
    <w:name w:val="R2"/>
    <w:aliases w:val="(2)"/>
    <w:basedOn w:val="Normal"/>
    <w:rsid w:val="00CF71D0"/>
    <w:pPr>
      <w:keepLines/>
      <w:tabs>
        <w:tab w:val="right" w:pos="794"/>
      </w:tabs>
      <w:spacing w:before="180" w:line="260" w:lineRule="exact"/>
      <w:ind w:left="964" w:hanging="964"/>
      <w:jc w:val="both"/>
    </w:pPr>
  </w:style>
  <w:style w:type="paragraph" w:customStyle="1" w:styleId="SectionText">
    <w:name w:val="Section Text"/>
    <w:basedOn w:val="Normal"/>
    <w:rsid w:val="00CF71D0"/>
    <w:pPr>
      <w:autoSpaceDE w:val="0"/>
      <w:autoSpaceDN w:val="0"/>
      <w:spacing w:before="120"/>
      <w:ind w:left="992" w:hanging="992"/>
    </w:pPr>
    <w:rPr>
      <w:noProof/>
      <w:lang w:val="en-US" w:eastAsia="en-US"/>
    </w:rPr>
  </w:style>
  <w:style w:type="paragraph" w:customStyle="1" w:styleId="Section1">
    <w:name w:val="Section (1)"/>
    <w:basedOn w:val="Normal"/>
    <w:rsid w:val="00CF71D0"/>
    <w:pPr>
      <w:tabs>
        <w:tab w:val="left" w:pos="567"/>
      </w:tabs>
      <w:autoSpaceDE w:val="0"/>
      <w:autoSpaceDN w:val="0"/>
      <w:spacing w:before="120" w:line="260" w:lineRule="exact"/>
      <w:ind w:left="993" w:hanging="993"/>
    </w:pPr>
    <w:rPr>
      <w:noProof/>
      <w:lang w:val="en-US" w:eastAsia="en-US"/>
    </w:rPr>
  </w:style>
  <w:style w:type="paragraph" w:customStyle="1" w:styleId="Section1bullet">
    <w:name w:val="Section (1) bullet"/>
    <w:basedOn w:val="Normal"/>
    <w:rsid w:val="00CF71D0"/>
    <w:pPr>
      <w:autoSpaceDE w:val="0"/>
      <w:autoSpaceDN w:val="0"/>
      <w:spacing w:line="260" w:lineRule="exact"/>
      <w:ind w:left="1418" w:hanging="454"/>
      <w:jc w:val="both"/>
    </w:pPr>
    <w:rPr>
      <w:noProof/>
      <w:lang w:val="en-US" w:eastAsia="en-US"/>
    </w:rPr>
  </w:style>
  <w:style w:type="paragraph" w:customStyle="1" w:styleId="section1a">
    <w:name w:val="section (1) (a)"/>
    <w:basedOn w:val="Normal"/>
    <w:rsid w:val="00CF71D0"/>
    <w:pPr>
      <w:tabs>
        <w:tab w:val="left" w:pos="993"/>
      </w:tabs>
      <w:autoSpaceDE w:val="0"/>
      <w:autoSpaceDN w:val="0"/>
      <w:spacing w:before="60" w:line="260" w:lineRule="exact"/>
      <w:ind w:left="1418" w:hanging="1418"/>
    </w:pPr>
    <w:rPr>
      <w:noProof/>
      <w:lang w:eastAsia="en-US"/>
    </w:rPr>
  </w:style>
  <w:style w:type="paragraph" w:customStyle="1" w:styleId="StyleTableASRLeft0cmHanging225cm">
    <w:name w:val="Style TableASR + Left:  0 cm Hanging:  2.25 cm"/>
    <w:basedOn w:val="Normal"/>
    <w:rsid w:val="00CF71D0"/>
    <w:pPr>
      <w:autoSpaceDE w:val="0"/>
      <w:autoSpaceDN w:val="0"/>
      <w:spacing w:before="360" w:after="120" w:line="280" w:lineRule="exact"/>
      <w:ind w:left="1276" w:hanging="1276"/>
    </w:pPr>
    <w:rPr>
      <w:rFonts w:ascii="Arial" w:hAnsi="Arial" w:cs="Arial"/>
      <w:b/>
      <w:bCs/>
      <w:noProof/>
      <w:sz w:val="22"/>
      <w:szCs w:val="22"/>
      <w:lang w:val="en-US" w:eastAsia="en-US"/>
    </w:rPr>
  </w:style>
  <w:style w:type="paragraph" w:customStyle="1" w:styleId="P1">
    <w:name w:val="P1"/>
    <w:aliases w:val="(a)"/>
    <w:basedOn w:val="Normal"/>
    <w:rsid w:val="00CF71D0"/>
    <w:pPr>
      <w:tabs>
        <w:tab w:val="left" w:pos="851"/>
        <w:tab w:val="left" w:pos="1418"/>
      </w:tabs>
      <w:spacing w:before="60" w:line="260" w:lineRule="atLeast"/>
      <w:ind w:left="1418" w:hanging="1418"/>
      <w:jc w:val="both"/>
    </w:pPr>
    <w:rPr>
      <w:rFonts w:ascii="Times" w:hAnsi="Times" w:cs="Times"/>
      <w:sz w:val="26"/>
      <w:szCs w:val="26"/>
      <w:lang w:eastAsia="en-US"/>
    </w:rPr>
  </w:style>
  <w:style w:type="paragraph" w:styleId="BalloonText">
    <w:name w:val="Balloon Text"/>
    <w:basedOn w:val="Normal"/>
    <w:semiHidden/>
    <w:rsid w:val="00CF71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71D0"/>
    <w:rPr>
      <w:sz w:val="24"/>
      <w:szCs w:val="24"/>
    </w:rPr>
  </w:style>
  <w:style w:type="paragraph" w:styleId="Heading1">
    <w:name w:val="heading 1"/>
    <w:aliases w:val="Main Heading"/>
    <w:basedOn w:val="Normal"/>
    <w:next w:val="Normal"/>
    <w:qFormat/>
    <w:rsid w:val="008465DF"/>
    <w:pPr>
      <w:numPr>
        <w:numId w:val="5"/>
      </w:numPr>
      <w:spacing w:before="240" w:after="120"/>
      <w:outlineLvl w:val="0"/>
    </w:pPr>
    <w:rPr>
      <w:b/>
      <w:kern w:val="28"/>
    </w:rPr>
  </w:style>
  <w:style w:type="paragraph" w:styleId="Heading2">
    <w:name w:val="heading 2"/>
    <w:aliases w:val="Sub-heading"/>
    <w:basedOn w:val="Normal"/>
    <w:qFormat/>
    <w:rsid w:val="008465DF"/>
    <w:pPr>
      <w:numPr>
        <w:ilvl w:val="1"/>
        <w:numId w:val="5"/>
      </w:numPr>
      <w:spacing w:before="120" w:after="120"/>
      <w:outlineLvl w:val="1"/>
    </w:pPr>
  </w:style>
  <w:style w:type="paragraph" w:styleId="Heading3">
    <w:name w:val="heading 3"/>
    <w:aliases w:val="1st sub-clause"/>
    <w:basedOn w:val="Normal"/>
    <w:qFormat/>
    <w:rsid w:val="008465DF"/>
    <w:pPr>
      <w:numPr>
        <w:ilvl w:val="2"/>
        <w:numId w:val="5"/>
      </w:numPr>
      <w:spacing w:before="120" w:after="120"/>
      <w:outlineLvl w:val="2"/>
    </w:pPr>
  </w:style>
  <w:style w:type="paragraph" w:styleId="Heading4">
    <w:name w:val="heading 4"/>
    <w:aliases w:val="2nd sub-clause"/>
    <w:basedOn w:val="Normal"/>
    <w:qFormat/>
    <w:rsid w:val="008465DF"/>
    <w:pPr>
      <w:numPr>
        <w:ilvl w:val="3"/>
        <w:numId w:val="5"/>
      </w:numPr>
      <w:spacing w:before="120" w:after="120"/>
      <w:outlineLvl w:val="3"/>
    </w:pPr>
  </w:style>
  <w:style w:type="paragraph" w:styleId="Heading5">
    <w:name w:val="heading 5"/>
    <w:aliases w:val="3rd sub-clause"/>
    <w:basedOn w:val="Normal"/>
    <w:qFormat/>
    <w:rsid w:val="008465DF"/>
    <w:pPr>
      <w:numPr>
        <w:ilvl w:val="4"/>
        <w:numId w:val="5"/>
      </w:numPr>
      <w:tabs>
        <w:tab w:val="left" w:pos="2160"/>
      </w:tabs>
      <w:spacing w:before="120" w:after="120"/>
      <w:outlineLvl w:val="4"/>
    </w:pPr>
    <w:rPr>
      <w:kern w:val="24"/>
    </w:rPr>
  </w:style>
  <w:style w:type="paragraph" w:styleId="Heading6">
    <w:name w:val="heading 6"/>
    <w:aliases w:val="Square Bullet list"/>
    <w:basedOn w:val="Normal"/>
    <w:qFormat/>
    <w:rsid w:val="008465DF"/>
    <w:pPr>
      <w:numPr>
        <w:numId w:val="6"/>
      </w:numPr>
      <w:spacing w:before="120" w:after="120"/>
      <w:outlineLvl w:val="5"/>
    </w:pPr>
    <w:rPr>
      <w:kern w:val="24"/>
    </w:rPr>
  </w:style>
  <w:style w:type="paragraph" w:styleId="Heading7">
    <w:name w:val="heading 7"/>
    <w:aliases w:val="Indented hyphen"/>
    <w:basedOn w:val="Normal"/>
    <w:qFormat/>
    <w:rsid w:val="008465DF"/>
    <w:pPr>
      <w:numPr>
        <w:numId w:val="7"/>
      </w:numPr>
      <w:tabs>
        <w:tab w:val="left" w:pos="720"/>
      </w:tabs>
      <w:spacing w:before="120" w:after="120"/>
      <w:outlineLvl w:val="6"/>
    </w:pPr>
  </w:style>
  <w:style w:type="paragraph" w:styleId="Heading8">
    <w:name w:val="heading 8"/>
    <w:basedOn w:val="Normal"/>
    <w:next w:val="Normal"/>
    <w:qFormat/>
    <w:rsid w:val="008465DF"/>
    <w:pPr>
      <w:keepNext/>
      <w:outlineLvl w:val="7"/>
    </w:pPr>
    <w:rPr>
      <w:b/>
      <w:caps/>
      <w:color w:val="000000"/>
    </w:rPr>
  </w:style>
  <w:style w:type="character" w:default="1" w:styleId="DefaultParagraphFont">
    <w:name w:val="Default Paragraph Font"/>
    <w:semiHidden/>
    <w:rsid w:val="008465DF"/>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8465DF"/>
  </w:style>
  <w:style w:type="character" w:styleId="FollowedHyperlink">
    <w:name w:val="FollowedHyperlink"/>
    <w:rsid w:val="008465DF"/>
    <w:rPr>
      <w:color w:val="606420"/>
      <w:u w:val="single"/>
    </w:rPr>
  </w:style>
  <w:style w:type="paragraph" w:styleId="Footer">
    <w:name w:val="footer"/>
    <w:basedOn w:val="Normal"/>
    <w:rsid w:val="008465DF"/>
    <w:pPr>
      <w:tabs>
        <w:tab w:val="center" w:pos="4320"/>
        <w:tab w:val="right" w:pos="8640"/>
      </w:tabs>
    </w:pPr>
  </w:style>
  <w:style w:type="paragraph" w:styleId="Header">
    <w:name w:val="header"/>
    <w:basedOn w:val="Normal"/>
    <w:rsid w:val="008465DF"/>
    <w:pPr>
      <w:tabs>
        <w:tab w:val="center" w:pos="4320"/>
        <w:tab w:val="right" w:pos="8640"/>
      </w:tabs>
    </w:pPr>
  </w:style>
  <w:style w:type="character" w:styleId="Hyperlink">
    <w:name w:val="Hyperlink"/>
    <w:rsid w:val="008465DF"/>
    <w:rPr>
      <w:color w:val="0000FF"/>
      <w:u w:val="single"/>
    </w:rPr>
  </w:style>
  <w:style w:type="paragraph" w:customStyle="1" w:styleId="Indent1">
    <w:name w:val="Indent 1"/>
    <w:basedOn w:val="Normal"/>
    <w:rsid w:val="008465DF"/>
    <w:pPr>
      <w:ind w:left="720"/>
    </w:pPr>
  </w:style>
  <w:style w:type="paragraph" w:customStyle="1" w:styleId="Indent2">
    <w:name w:val="Indent 2"/>
    <w:basedOn w:val="Normal"/>
    <w:rsid w:val="008465DF"/>
    <w:pPr>
      <w:ind w:left="1440"/>
    </w:pPr>
  </w:style>
  <w:style w:type="paragraph" w:customStyle="1" w:styleId="Indent3">
    <w:name w:val="Indent 3"/>
    <w:basedOn w:val="Normal"/>
    <w:rsid w:val="008465DF"/>
    <w:pPr>
      <w:ind w:left="2160"/>
    </w:pPr>
  </w:style>
  <w:style w:type="paragraph" w:customStyle="1" w:styleId="Indent4">
    <w:name w:val="Indent 4"/>
    <w:basedOn w:val="Normal"/>
    <w:rsid w:val="008465DF"/>
    <w:pPr>
      <w:ind w:left="2880"/>
    </w:pPr>
  </w:style>
  <w:style w:type="paragraph" w:customStyle="1" w:styleId="Indent5">
    <w:name w:val="Indent 5"/>
    <w:basedOn w:val="Normal"/>
    <w:rsid w:val="008465DF"/>
    <w:pPr>
      <w:ind w:left="3600"/>
    </w:pPr>
  </w:style>
  <w:style w:type="character" w:styleId="PageNumber">
    <w:name w:val="page number"/>
    <w:basedOn w:val="DefaultParagraphFont"/>
    <w:rsid w:val="008465DF"/>
  </w:style>
  <w:style w:type="paragraph" w:customStyle="1" w:styleId="Recitals">
    <w:name w:val="Recitals"/>
    <w:basedOn w:val="Normal"/>
    <w:rsid w:val="008465DF"/>
    <w:pPr>
      <w:numPr>
        <w:numId w:val="8"/>
      </w:numPr>
      <w:spacing w:before="240" w:after="120"/>
    </w:pPr>
  </w:style>
  <w:style w:type="table" w:styleId="TableGrid">
    <w:name w:val="Table Grid"/>
    <w:basedOn w:val="TableNormal"/>
    <w:rsid w:val="008465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qFormat/>
    <w:rsid w:val="00CF71D0"/>
    <w:pPr>
      <w:spacing w:before="480"/>
    </w:pPr>
    <w:rPr>
      <w:rFonts w:ascii="Arial" w:hAnsi="Arial" w:cs="Arial"/>
      <w:b/>
      <w:bCs/>
      <w:sz w:val="40"/>
      <w:szCs w:val="40"/>
    </w:rPr>
  </w:style>
  <w:style w:type="character" w:customStyle="1" w:styleId="CharDivNo">
    <w:name w:val="CharDivNo"/>
    <w:rsid w:val="00CF71D0"/>
    <w:rPr>
      <w:rFonts w:cs="Times New Roman"/>
    </w:rPr>
  </w:style>
  <w:style w:type="character" w:customStyle="1" w:styleId="CharDivText">
    <w:name w:val="CharDivText"/>
    <w:rsid w:val="00CF71D0"/>
    <w:rPr>
      <w:rFonts w:cs="Times New Roman"/>
    </w:rPr>
  </w:style>
  <w:style w:type="character" w:customStyle="1" w:styleId="CharPartNo">
    <w:name w:val="CharPartNo"/>
    <w:rsid w:val="00CF71D0"/>
    <w:rPr>
      <w:rFonts w:cs="Times New Roman"/>
    </w:rPr>
  </w:style>
  <w:style w:type="character" w:customStyle="1" w:styleId="CharPartText">
    <w:name w:val="CharPartText"/>
    <w:rsid w:val="00CF71D0"/>
    <w:rPr>
      <w:rFonts w:cs="Times New Roman"/>
    </w:rPr>
  </w:style>
  <w:style w:type="character" w:customStyle="1" w:styleId="CharSectno">
    <w:name w:val="CharSectno"/>
    <w:rsid w:val="00CF71D0"/>
    <w:rPr>
      <w:rFonts w:cs="Times New Roman"/>
    </w:rPr>
  </w:style>
  <w:style w:type="paragraph" w:customStyle="1" w:styleId="HR">
    <w:name w:val="HR"/>
    <w:aliases w:val="Regulation Heading"/>
    <w:basedOn w:val="Normal"/>
    <w:next w:val="R1"/>
    <w:rsid w:val="00CF71D0"/>
    <w:pPr>
      <w:keepNext/>
      <w:spacing w:before="360"/>
      <w:ind w:left="964" w:hanging="964"/>
    </w:pPr>
    <w:rPr>
      <w:rFonts w:ascii="Arial" w:hAnsi="Arial" w:cs="Arial"/>
      <w:b/>
      <w:bCs/>
    </w:rPr>
  </w:style>
  <w:style w:type="paragraph" w:customStyle="1" w:styleId="Note">
    <w:name w:val="Note"/>
    <w:basedOn w:val="Normal"/>
    <w:rsid w:val="00CF71D0"/>
    <w:pPr>
      <w:spacing w:before="120" w:line="220" w:lineRule="exact"/>
      <w:ind w:left="964"/>
      <w:jc w:val="both"/>
    </w:pPr>
    <w:rPr>
      <w:sz w:val="20"/>
      <w:szCs w:val="20"/>
    </w:rPr>
  </w:style>
  <w:style w:type="paragraph" w:customStyle="1" w:styleId="R1">
    <w:name w:val="R1"/>
    <w:aliases w:val="1. or 1.(1)"/>
    <w:basedOn w:val="Normal"/>
    <w:next w:val="R2"/>
    <w:rsid w:val="00CF71D0"/>
    <w:pPr>
      <w:keepLines/>
      <w:tabs>
        <w:tab w:val="right" w:pos="794"/>
      </w:tabs>
      <w:spacing w:before="120" w:line="260" w:lineRule="exact"/>
      <w:ind w:left="964" w:hanging="964"/>
      <w:jc w:val="both"/>
    </w:pPr>
  </w:style>
  <w:style w:type="paragraph" w:customStyle="1" w:styleId="R2">
    <w:name w:val="R2"/>
    <w:aliases w:val="(2)"/>
    <w:basedOn w:val="Normal"/>
    <w:rsid w:val="00CF71D0"/>
    <w:pPr>
      <w:keepLines/>
      <w:tabs>
        <w:tab w:val="right" w:pos="794"/>
      </w:tabs>
      <w:spacing w:before="180" w:line="260" w:lineRule="exact"/>
      <w:ind w:left="964" w:hanging="964"/>
      <w:jc w:val="both"/>
    </w:pPr>
  </w:style>
  <w:style w:type="paragraph" w:customStyle="1" w:styleId="SectionText">
    <w:name w:val="Section Text"/>
    <w:basedOn w:val="Normal"/>
    <w:rsid w:val="00CF71D0"/>
    <w:pPr>
      <w:autoSpaceDE w:val="0"/>
      <w:autoSpaceDN w:val="0"/>
      <w:spacing w:before="120"/>
      <w:ind w:left="992" w:hanging="992"/>
    </w:pPr>
    <w:rPr>
      <w:noProof/>
      <w:lang w:val="en-US" w:eastAsia="en-US"/>
    </w:rPr>
  </w:style>
  <w:style w:type="paragraph" w:customStyle="1" w:styleId="Section1">
    <w:name w:val="Section (1)"/>
    <w:basedOn w:val="Normal"/>
    <w:rsid w:val="00CF71D0"/>
    <w:pPr>
      <w:tabs>
        <w:tab w:val="left" w:pos="567"/>
      </w:tabs>
      <w:autoSpaceDE w:val="0"/>
      <w:autoSpaceDN w:val="0"/>
      <w:spacing w:before="120" w:line="260" w:lineRule="exact"/>
      <w:ind w:left="993" w:hanging="993"/>
    </w:pPr>
    <w:rPr>
      <w:noProof/>
      <w:lang w:val="en-US" w:eastAsia="en-US"/>
    </w:rPr>
  </w:style>
  <w:style w:type="paragraph" w:customStyle="1" w:styleId="Section1bullet">
    <w:name w:val="Section (1) bullet"/>
    <w:basedOn w:val="Normal"/>
    <w:rsid w:val="00CF71D0"/>
    <w:pPr>
      <w:autoSpaceDE w:val="0"/>
      <w:autoSpaceDN w:val="0"/>
      <w:spacing w:line="260" w:lineRule="exact"/>
      <w:ind w:left="1418" w:hanging="454"/>
      <w:jc w:val="both"/>
    </w:pPr>
    <w:rPr>
      <w:noProof/>
      <w:lang w:val="en-US" w:eastAsia="en-US"/>
    </w:rPr>
  </w:style>
  <w:style w:type="paragraph" w:customStyle="1" w:styleId="section1a">
    <w:name w:val="section (1) (a)"/>
    <w:basedOn w:val="Normal"/>
    <w:rsid w:val="00CF71D0"/>
    <w:pPr>
      <w:tabs>
        <w:tab w:val="left" w:pos="993"/>
      </w:tabs>
      <w:autoSpaceDE w:val="0"/>
      <w:autoSpaceDN w:val="0"/>
      <w:spacing w:before="60" w:line="260" w:lineRule="exact"/>
      <w:ind w:left="1418" w:hanging="1418"/>
    </w:pPr>
    <w:rPr>
      <w:noProof/>
      <w:lang w:eastAsia="en-US"/>
    </w:rPr>
  </w:style>
  <w:style w:type="paragraph" w:customStyle="1" w:styleId="StyleTableASRLeft0cmHanging225cm">
    <w:name w:val="Style TableASR + Left:  0 cm Hanging:  2.25 cm"/>
    <w:basedOn w:val="Normal"/>
    <w:rsid w:val="00CF71D0"/>
    <w:pPr>
      <w:autoSpaceDE w:val="0"/>
      <w:autoSpaceDN w:val="0"/>
      <w:spacing w:before="360" w:after="120" w:line="280" w:lineRule="exact"/>
      <w:ind w:left="1276" w:hanging="1276"/>
    </w:pPr>
    <w:rPr>
      <w:rFonts w:ascii="Arial" w:hAnsi="Arial" w:cs="Arial"/>
      <w:b/>
      <w:bCs/>
      <w:noProof/>
      <w:sz w:val="22"/>
      <w:szCs w:val="22"/>
      <w:lang w:val="en-US" w:eastAsia="en-US"/>
    </w:rPr>
  </w:style>
  <w:style w:type="paragraph" w:customStyle="1" w:styleId="P1">
    <w:name w:val="P1"/>
    <w:aliases w:val="(a)"/>
    <w:basedOn w:val="Normal"/>
    <w:rsid w:val="00CF71D0"/>
    <w:pPr>
      <w:tabs>
        <w:tab w:val="left" w:pos="851"/>
        <w:tab w:val="left" w:pos="1418"/>
      </w:tabs>
      <w:spacing w:before="60" w:line="260" w:lineRule="atLeast"/>
      <w:ind w:left="1418" w:hanging="1418"/>
      <w:jc w:val="both"/>
    </w:pPr>
    <w:rPr>
      <w:rFonts w:ascii="Times" w:hAnsi="Times" w:cs="Times"/>
      <w:sz w:val="26"/>
      <w:szCs w:val="26"/>
      <w:lang w:eastAsia="en-US"/>
    </w:rPr>
  </w:style>
  <w:style w:type="paragraph" w:styleId="BalloonText">
    <w:name w:val="Balloon Text"/>
    <w:basedOn w:val="Normal"/>
    <w:semiHidden/>
    <w:rsid w:val="00CF71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7347587">
      <w:bodyDiv w:val="1"/>
      <w:marLeft w:val="0"/>
      <w:marRight w:val="0"/>
      <w:marTop w:val="0"/>
      <w:marBottom w:val="0"/>
      <w:divBdr>
        <w:top w:val="none" w:sz="0" w:space="0" w:color="auto"/>
        <w:left w:val="none" w:sz="0" w:space="0" w:color="auto"/>
        <w:bottom w:val="none" w:sz="0" w:space="0" w:color="auto"/>
        <w:right w:val="none" w:sz="0" w:space="0" w:color="auto"/>
      </w:divBdr>
    </w:div>
    <w:div w:id="96596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1646</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lpstr>
    </vt:vector>
  </TitlesOfParts>
  <Company>EPA Victoria</Company>
  <LinksUpToDate>false</LinksUpToDate>
  <CharactersWithSpaces>11012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Sparke Helmore</dc:creator>
  <cp:lastModifiedBy>a02526</cp:lastModifiedBy>
  <cp:revision>6</cp:revision>
  <cp:lastPrinted>2011-09-19T04:14:00Z</cp:lastPrinted>
  <dcterms:created xsi:type="dcterms:W3CDTF">2011-09-19T04:13:00Z</dcterms:created>
  <dcterms:modified xsi:type="dcterms:W3CDTF">2011-09-27T06:13:00Z</dcterms:modified>
</cp:coreProperties>
</file>