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F1" w:rsidRPr="007C0640" w:rsidRDefault="006873A4" w:rsidP="000E3E49">
      <w:pPr>
        <w:jc w:val="center"/>
        <w:outlineLvl w:val="0"/>
        <w:rPr>
          <w:rFonts w:cs="Arial"/>
          <w:b/>
        </w:rPr>
      </w:pPr>
      <w:r w:rsidRPr="007C0640">
        <w:rPr>
          <w:rFonts w:cs="Arial"/>
          <w:b/>
        </w:rPr>
        <w:t>EXPLANATORY STATEMENT</w:t>
      </w:r>
    </w:p>
    <w:p w:rsidR="006873A4" w:rsidRPr="007C0640" w:rsidRDefault="006873A4" w:rsidP="00657018">
      <w:pPr>
        <w:jc w:val="center"/>
        <w:rPr>
          <w:rFonts w:cs="Arial"/>
          <w:b/>
        </w:rPr>
      </w:pPr>
    </w:p>
    <w:p w:rsidR="0020691D" w:rsidRPr="003F6C8B" w:rsidRDefault="007B05C5" w:rsidP="00DF5936">
      <w:pPr>
        <w:jc w:val="center"/>
        <w:rPr>
          <w:b/>
        </w:rPr>
      </w:pPr>
      <w:r w:rsidRPr="007B05C5">
        <w:rPr>
          <w:b/>
          <w:i/>
        </w:rPr>
        <w:t>A New Tax System (Family Assistance) (Administration) (Exemption from Eligibility</w:t>
      </w:r>
      <w:r>
        <w:rPr>
          <w:b/>
          <w:i/>
        </w:rPr>
        <w:t xml:space="preserve"> Rules—Child Care Services of </w:t>
      </w:r>
      <w:r w:rsidRPr="007B05C5">
        <w:rPr>
          <w:b/>
          <w:i/>
        </w:rPr>
        <w:t>Specified Class</w:t>
      </w:r>
      <w:r>
        <w:rPr>
          <w:b/>
          <w:i/>
        </w:rPr>
        <w:t>es</w:t>
      </w:r>
      <w:r w:rsidRPr="007B05C5">
        <w:rPr>
          <w:b/>
          <w:i/>
        </w:rPr>
        <w:t>) Determination 2011 (No. 1</w:t>
      </w:r>
      <w:r w:rsidRPr="007B05C5">
        <w:rPr>
          <w:b/>
        </w:rPr>
        <w:t>)</w:t>
      </w:r>
    </w:p>
    <w:p w:rsidR="007C0640" w:rsidRPr="003F6C8B" w:rsidRDefault="007C0640" w:rsidP="00657018">
      <w:pPr>
        <w:jc w:val="center"/>
        <w:rPr>
          <w:rFonts w:cs="Arial"/>
          <w:b/>
        </w:rPr>
      </w:pPr>
    </w:p>
    <w:p w:rsidR="003F6C8B" w:rsidRDefault="003F6C8B" w:rsidP="000E3E49">
      <w:pPr>
        <w:outlineLvl w:val="0"/>
        <w:rPr>
          <w:rFonts w:cs="Arial"/>
          <w:b/>
        </w:rPr>
      </w:pPr>
      <w:r>
        <w:rPr>
          <w:rFonts w:cs="Arial"/>
          <w:b/>
        </w:rPr>
        <w:t>Authority</w:t>
      </w:r>
    </w:p>
    <w:p w:rsidR="003F6C8B" w:rsidRPr="003F6C8B" w:rsidRDefault="003F6C8B" w:rsidP="000E3E49">
      <w:pPr>
        <w:outlineLvl w:val="0"/>
        <w:rPr>
          <w:rFonts w:cs="Arial"/>
        </w:rPr>
      </w:pPr>
    </w:p>
    <w:p w:rsidR="003F6C8B" w:rsidRPr="00DF5936" w:rsidRDefault="003F6C8B" w:rsidP="003F6C8B">
      <w:pPr>
        <w:rPr>
          <w:rFonts w:cs="Arial"/>
        </w:rPr>
      </w:pPr>
      <w:r>
        <w:rPr>
          <w:rFonts w:cs="Arial"/>
        </w:rPr>
        <w:t xml:space="preserve">The </w:t>
      </w:r>
      <w:r w:rsidRPr="00DF5936">
        <w:rPr>
          <w:rFonts w:cs="Arial"/>
          <w:i/>
        </w:rPr>
        <w:t xml:space="preserve">A New Tax System (Family Assistance) </w:t>
      </w:r>
      <w:r>
        <w:rPr>
          <w:rFonts w:cs="Arial"/>
          <w:i/>
        </w:rPr>
        <w:t>(</w:t>
      </w:r>
      <w:r w:rsidRPr="00DF5936">
        <w:rPr>
          <w:rFonts w:cs="Arial"/>
          <w:i/>
        </w:rPr>
        <w:t>Administration) (Exemption from Eligibility Rules—Child Care Services of Specified Class</w:t>
      </w:r>
      <w:r w:rsidR="00E91CE1">
        <w:rPr>
          <w:rFonts w:cs="Arial"/>
          <w:i/>
        </w:rPr>
        <w:t>es</w:t>
      </w:r>
      <w:r w:rsidRPr="00DF5936">
        <w:rPr>
          <w:rFonts w:cs="Arial"/>
          <w:i/>
        </w:rPr>
        <w:t>) Determination 2011 (No. 1</w:t>
      </w:r>
      <w:r w:rsidRPr="00DF5936">
        <w:rPr>
          <w:rFonts w:cs="Arial"/>
        </w:rPr>
        <w:t>)</w:t>
      </w:r>
      <w:r>
        <w:rPr>
          <w:rFonts w:cs="Arial"/>
        </w:rPr>
        <w:t xml:space="preserve"> (this Determination) is made </w:t>
      </w:r>
      <w:r w:rsidRPr="003F6C8B">
        <w:rPr>
          <w:rFonts w:cs="Arial"/>
        </w:rPr>
        <w:t>under paragraph 205(3</w:t>
      </w:r>
      <w:proofErr w:type="gramStart"/>
      <w:r w:rsidRPr="003F6C8B">
        <w:rPr>
          <w:rFonts w:cs="Arial"/>
        </w:rPr>
        <w:t>)(</w:t>
      </w:r>
      <w:proofErr w:type="gramEnd"/>
      <w:r w:rsidRPr="003F6C8B">
        <w:rPr>
          <w:rFonts w:cs="Arial"/>
        </w:rPr>
        <w:t xml:space="preserve">b) of the </w:t>
      </w:r>
      <w:r w:rsidR="00866B9E">
        <w:rPr>
          <w:rFonts w:cs="Arial"/>
          <w:b/>
          <w:i/>
        </w:rPr>
        <w:t>A </w:t>
      </w:r>
      <w:r w:rsidRPr="00866B9E">
        <w:rPr>
          <w:rFonts w:cs="Arial"/>
          <w:b/>
          <w:i/>
        </w:rPr>
        <w:t>New Tax System (Family Assistance) (Administration) Act 1999</w:t>
      </w:r>
      <w:r>
        <w:rPr>
          <w:rFonts w:cs="Arial"/>
          <w:i/>
        </w:rPr>
        <w:t xml:space="preserve"> </w:t>
      </w:r>
      <w:r w:rsidRPr="003F6C8B">
        <w:rPr>
          <w:rFonts w:cs="Arial"/>
        </w:rPr>
        <w:t>(the Act),</w:t>
      </w:r>
      <w:r>
        <w:rPr>
          <w:rFonts w:cs="Arial"/>
          <w:i/>
        </w:rPr>
        <w:t xml:space="preserve"> </w:t>
      </w:r>
      <w:r w:rsidRPr="003F6C8B">
        <w:rPr>
          <w:rFonts w:cs="Arial"/>
        </w:rPr>
        <w:t>which forms part of the family assistance law.</w:t>
      </w:r>
    </w:p>
    <w:p w:rsidR="003F6C8B" w:rsidRDefault="003F6C8B" w:rsidP="000E3E49">
      <w:pPr>
        <w:outlineLvl w:val="0"/>
        <w:rPr>
          <w:rFonts w:cs="Arial"/>
        </w:rPr>
      </w:pPr>
    </w:p>
    <w:p w:rsidR="003F6C8B" w:rsidRDefault="003F6C8B" w:rsidP="000E3E49">
      <w:pPr>
        <w:outlineLvl w:val="0"/>
        <w:rPr>
          <w:rFonts w:cs="Arial"/>
        </w:rPr>
      </w:pPr>
      <w:r>
        <w:rPr>
          <w:rFonts w:cs="Arial"/>
        </w:rPr>
        <w:t>P</w:t>
      </w:r>
      <w:r w:rsidRPr="003F6C8B">
        <w:rPr>
          <w:rFonts w:cs="Arial"/>
        </w:rPr>
        <w:t>aragraph 205(3)(b</w:t>
      </w:r>
      <w:r>
        <w:rPr>
          <w:rFonts w:cs="Arial"/>
        </w:rPr>
        <w:t xml:space="preserve">) gives the Secretary power to determine </w:t>
      </w:r>
      <w:r w:rsidR="00866B9E">
        <w:rPr>
          <w:rFonts w:cs="Arial"/>
        </w:rPr>
        <w:t>that one or more of the rules relating to eligibility of child care services to become approved, and to continue to be approved, for the purposes of the family assistance</w:t>
      </w:r>
      <w:r w:rsidR="00323BD9">
        <w:rPr>
          <w:rFonts w:cs="Arial"/>
        </w:rPr>
        <w:t xml:space="preserve"> law</w:t>
      </w:r>
      <w:r w:rsidR="00866B9E">
        <w:rPr>
          <w:rFonts w:cs="Arial"/>
        </w:rPr>
        <w:t>, do not apply to child care services of a specified class or specified classes.</w:t>
      </w:r>
    </w:p>
    <w:p w:rsidR="00866B9E" w:rsidRDefault="00866B9E" w:rsidP="000E3E49">
      <w:pPr>
        <w:outlineLvl w:val="0"/>
        <w:rPr>
          <w:rFonts w:cs="Arial"/>
        </w:rPr>
      </w:pPr>
    </w:p>
    <w:p w:rsidR="00866B9E" w:rsidRDefault="00866B9E" w:rsidP="000E3E49">
      <w:pPr>
        <w:outlineLvl w:val="0"/>
        <w:rPr>
          <w:rFonts w:cs="Arial"/>
        </w:rPr>
      </w:pPr>
      <w:r>
        <w:rPr>
          <w:rFonts w:cs="Arial"/>
        </w:rPr>
        <w:t xml:space="preserve">This Determination is a legislative instrument for the purposes of the </w:t>
      </w:r>
      <w:r w:rsidRPr="00866B9E">
        <w:rPr>
          <w:rFonts w:cs="Arial"/>
          <w:b/>
          <w:i/>
        </w:rPr>
        <w:t>Legisl</w:t>
      </w:r>
      <w:r>
        <w:rPr>
          <w:rFonts w:cs="Arial"/>
          <w:b/>
          <w:i/>
        </w:rPr>
        <w:t>ative Instrument</w:t>
      </w:r>
      <w:r w:rsidRPr="00866B9E">
        <w:rPr>
          <w:rFonts w:cs="Arial"/>
          <w:b/>
          <w:i/>
        </w:rPr>
        <w:t>s Act 2003</w:t>
      </w:r>
      <w:r>
        <w:rPr>
          <w:rFonts w:cs="Arial"/>
        </w:rPr>
        <w:t>.</w:t>
      </w:r>
    </w:p>
    <w:p w:rsidR="00866B9E" w:rsidRDefault="00866B9E" w:rsidP="000E3E49">
      <w:pPr>
        <w:outlineLvl w:val="0"/>
        <w:rPr>
          <w:rFonts w:cs="Arial"/>
        </w:rPr>
      </w:pPr>
    </w:p>
    <w:p w:rsidR="00A00BD0" w:rsidRPr="003F6C8B" w:rsidRDefault="00A00BD0" w:rsidP="000E3E49">
      <w:pPr>
        <w:outlineLvl w:val="0"/>
        <w:rPr>
          <w:rFonts w:cs="Arial"/>
        </w:rPr>
      </w:pPr>
    </w:p>
    <w:p w:rsidR="007C0640" w:rsidRDefault="003F6C8B" w:rsidP="000E3E49">
      <w:pPr>
        <w:outlineLvl w:val="0"/>
        <w:rPr>
          <w:rFonts w:cs="Arial"/>
        </w:rPr>
      </w:pPr>
      <w:r>
        <w:rPr>
          <w:rFonts w:cs="Arial"/>
          <w:b/>
        </w:rPr>
        <w:t>Purpose of this Determination</w:t>
      </w:r>
    </w:p>
    <w:p w:rsidR="00AC04C0" w:rsidRDefault="00AC04C0" w:rsidP="00657018">
      <w:pPr>
        <w:rPr>
          <w:rFonts w:cs="Arial"/>
        </w:rPr>
      </w:pPr>
    </w:p>
    <w:p w:rsidR="00AC0D5D" w:rsidRDefault="00AC0D5D" w:rsidP="00AC0D5D">
      <w:pPr>
        <w:rPr>
          <w:rFonts w:cs="Arial"/>
        </w:rPr>
      </w:pPr>
      <w:r>
        <w:rPr>
          <w:rFonts w:cs="Arial"/>
        </w:rPr>
        <w:t>Subs</w:t>
      </w:r>
      <w:r w:rsidR="00F4675D" w:rsidRPr="00F4675D">
        <w:rPr>
          <w:rFonts w:cs="Arial"/>
        </w:rPr>
        <w:t xml:space="preserve">ection </w:t>
      </w:r>
      <w:r>
        <w:rPr>
          <w:rFonts w:cs="Arial"/>
        </w:rPr>
        <w:t>205(1)</w:t>
      </w:r>
      <w:r w:rsidR="00F4675D" w:rsidRPr="00F4675D">
        <w:rPr>
          <w:rFonts w:cs="Arial"/>
        </w:rPr>
        <w:t xml:space="preserve"> of the </w:t>
      </w:r>
      <w:r w:rsidR="00E10AA1">
        <w:rPr>
          <w:rFonts w:cs="Arial"/>
        </w:rPr>
        <w:t xml:space="preserve">Act </w:t>
      </w:r>
      <w:r w:rsidR="007C0640">
        <w:rPr>
          <w:rFonts w:cs="Arial"/>
        </w:rPr>
        <w:t>provides</w:t>
      </w:r>
      <w:r>
        <w:rPr>
          <w:rFonts w:cs="Arial"/>
        </w:rPr>
        <w:t xml:space="preserve"> for t</w:t>
      </w:r>
      <w:r w:rsidRPr="00AC0D5D">
        <w:rPr>
          <w:rFonts w:cs="Arial"/>
        </w:rPr>
        <w:t xml:space="preserve">he Minister </w:t>
      </w:r>
      <w:r>
        <w:rPr>
          <w:rFonts w:cs="Arial"/>
        </w:rPr>
        <w:t>to</w:t>
      </w:r>
      <w:r w:rsidR="004E3ADC" w:rsidRPr="004E3ADC">
        <w:rPr>
          <w:rFonts w:cs="Arial"/>
        </w:rPr>
        <w:t xml:space="preserve"> </w:t>
      </w:r>
      <w:r w:rsidR="004E3ADC" w:rsidRPr="00AC0D5D">
        <w:rPr>
          <w:rFonts w:cs="Arial"/>
        </w:rPr>
        <w:t>determine</w:t>
      </w:r>
      <w:r w:rsidRPr="00AC0D5D">
        <w:rPr>
          <w:rFonts w:cs="Arial"/>
        </w:rPr>
        <w:t xml:space="preserve"> by legislative instrument:</w:t>
      </w:r>
    </w:p>
    <w:p w:rsidR="00ED1D25" w:rsidRPr="00AC0D5D" w:rsidRDefault="00ED1D25" w:rsidP="00AC0D5D">
      <w:pPr>
        <w:rPr>
          <w:rFonts w:cs="Arial"/>
        </w:rPr>
      </w:pPr>
    </w:p>
    <w:p w:rsidR="00AC0D5D" w:rsidRDefault="00AC0D5D" w:rsidP="00ED1D25">
      <w:pPr>
        <w:pStyle w:val="ListParagraph"/>
        <w:numPr>
          <w:ilvl w:val="0"/>
          <w:numId w:val="9"/>
        </w:numPr>
        <w:tabs>
          <w:tab w:val="left" w:pos="993"/>
        </w:tabs>
        <w:ind w:left="993" w:hanging="567"/>
        <w:rPr>
          <w:rFonts w:cs="Arial"/>
        </w:rPr>
      </w:pPr>
      <w:r w:rsidRPr="00AC0D5D">
        <w:rPr>
          <w:rFonts w:cs="Arial"/>
        </w:rPr>
        <w:t>rules relating to the eligibility of child care services to become approved</w:t>
      </w:r>
      <w:r w:rsidR="00ED1D25">
        <w:rPr>
          <w:rFonts w:cs="Arial"/>
        </w:rPr>
        <w:t xml:space="preserve"> </w:t>
      </w:r>
      <w:r w:rsidRPr="00AC0D5D">
        <w:rPr>
          <w:rFonts w:cs="Arial"/>
        </w:rPr>
        <w:t>for the purposes of the family assistance law; and</w:t>
      </w:r>
    </w:p>
    <w:p w:rsidR="00AC0D5D" w:rsidRPr="00ED1D25" w:rsidRDefault="00AC0D5D" w:rsidP="00ED1D25">
      <w:pPr>
        <w:pStyle w:val="ListParagraph"/>
        <w:numPr>
          <w:ilvl w:val="0"/>
          <w:numId w:val="9"/>
        </w:numPr>
        <w:ind w:left="993" w:hanging="567"/>
        <w:rPr>
          <w:rFonts w:cs="Arial"/>
        </w:rPr>
      </w:pPr>
      <w:proofErr w:type="gramStart"/>
      <w:r w:rsidRPr="00ED1D25">
        <w:rPr>
          <w:rFonts w:cs="Arial"/>
        </w:rPr>
        <w:t>rules</w:t>
      </w:r>
      <w:proofErr w:type="gramEnd"/>
      <w:r w:rsidRPr="00ED1D25">
        <w:rPr>
          <w:rFonts w:cs="Arial"/>
        </w:rPr>
        <w:t xml:space="preserve"> relating to the eligibility of those services to continue to be so approved.</w:t>
      </w:r>
    </w:p>
    <w:p w:rsidR="00AC0D5D" w:rsidRDefault="00AC0D5D" w:rsidP="00AC0D5D">
      <w:pPr>
        <w:rPr>
          <w:rFonts w:cs="Arial"/>
        </w:rPr>
      </w:pPr>
    </w:p>
    <w:p w:rsidR="00AC0D5D" w:rsidRPr="00AC0D5D" w:rsidRDefault="00AC0D5D" w:rsidP="00AC0D5D">
      <w:pPr>
        <w:rPr>
          <w:rFonts w:cs="Arial"/>
        </w:rPr>
      </w:pPr>
      <w:r>
        <w:rPr>
          <w:rFonts w:cs="Arial"/>
        </w:rPr>
        <w:t xml:space="preserve">The current rules under subsection 205(1) are the </w:t>
      </w:r>
      <w:r w:rsidRPr="00AC0D5D">
        <w:rPr>
          <w:rFonts w:cs="Arial"/>
          <w:i/>
        </w:rPr>
        <w:t>Child Care Benefit (Eligibility of Child Care Services for Approval and Continued Approval) Determination 2000</w:t>
      </w:r>
      <w:r>
        <w:rPr>
          <w:rFonts w:cs="Arial"/>
          <w:i/>
        </w:rPr>
        <w:t xml:space="preserve"> </w:t>
      </w:r>
      <w:r>
        <w:rPr>
          <w:rFonts w:cs="Arial"/>
        </w:rPr>
        <w:t>(the Eligibility Rules).</w:t>
      </w:r>
    </w:p>
    <w:p w:rsidR="00AC0D5D" w:rsidRDefault="00AC0D5D" w:rsidP="00AC0D5D">
      <w:pPr>
        <w:rPr>
          <w:rFonts w:cs="Arial"/>
        </w:rPr>
      </w:pPr>
    </w:p>
    <w:p w:rsidR="007C0640" w:rsidRDefault="00AC0D5D" w:rsidP="00657018">
      <w:pPr>
        <w:rPr>
          <w:rFonts w:cs="Arial"/>
        </w:rPr>
      </w:pPr>
      <w:r>
        <w:rPr>
          <w:rFonts w:cs="Arial"/>
        </w:rPr>
        <w:t xml:space="preserve">Paragraph 205(3)(b) </w:t>
      </w:r>
      <w:r w:rsidR="00AC04C0">
        <w:rPr>
          <w:rFonts w:cs="Arial"/>
        </w:rPr>
        <w:t>authorises</w:t>
      </w:r>
      <w:r>
        <w:rPr>
          <w:rFonts w:cs="Arial"/>
        </w:rPr>
        <w:t xml:space="preserve"> the Secretary to determine that one or more of the Eligibility Rules do not apply to child care services of a specified class or of specified classes.</w:t>
      </w:r>
      <w:r w:rsidR="00C2710A">
        <w:rPr>
          <w:rFonts w:cs="Arial"/>
        </w:rPr>
        <w:t xml:space="preserve"> Subsection 205(4) provides that such a determinati</w:t>
      </w:r>
      <w:r w:rsidR="002979BE">
        <w:rPr>
          <w:rFonts w:cs="Arial"/>
        </w:rPr>
        <w:t>on is a legislative instrument.</w:t>
      </w:r>
    </w:p>
    <w:p w:rsidR="00F87BB2" w:rsidRDefault="00F87BB2" w:rsidP="00657018">
      <w:pPr>
        <w:rPr>
          <w:rFonts w:cs="Arial"/>
        </w:rPr>
      </w:pPr>
    </w:p>
    <w:p w:rsidR="00AC0D5D" w:rsidRDefault="00F87BB2" w:rsidP="00657018">
      <w:pPr>
        <w:rPr>
          <w:rFonts w:cs="Arial"/>
        </w:rPr>
      </w:pPr>
      <w:r>
        <w:rPr>
          <w:rFonts w:cs="Arial"/>
        </w:rPr>
        <w:t xml:space="preserve">Sections 14, 14A and 14B of the Eligibility Rules </w:t>
      </w:r>
      <w:r w:rsidR="009E2B26">
        <w:rPr>
          <w:rFonts w:cs="Arial"/>
        </w:rPr>
        <w:t xml:space="preserve">make it a condition for approval for </w:t>
      </w:r>
      <w:r w:rsidR="005556C5">
        <w:rPr>
          <w:rFonts w:cs="Arial"/>
        </w:rPr>
        <w:t xml:space="preserve">a </w:t>
      </w:r>
      <w:r>
        <w:rPr>
          <w:rFonts w:cs="Arial"/>
        </w:rPr>
        <w:t>centre based long day care</w:t>
      </w:r>
      <w:r w:rsidR="009E2B26">
        <w:rPr>
          <w:rFonts w:cs="Arial"/>
        </w:rPr>
        <w:t xml:space="preserve"> service</w:t>
      </w:r>
      <w:r>
        <w:rPr>
          <w:rFonts w:cs="Arial"/>
        </w:rPr>
        <w:t xml:space="preserve">, </w:t>
      </w:r>
      <w:r w:rsidR="005556C5">
        <w:rPr>
          <w:rFonts w:cs="Arial"/>
        </w:rPr>
        <w:t xml:space="preserve">a </w:t>
      </w:r>
      <w:r>
        <w:rPr>
          <w:rFonts w:cs="Arial"/>
        </w:rPr>
        <w:t>family day care</w:t>
      </w:r>
      <w:r w:rsidR="009E2B26">
        <w:rPr>
          <w:rFonts w:cs="Arial"/>
        </w:rPr>
        <w:t xml:space="preserve"> service</w:t>
      </w:r>
      <w:r>
        <w:rPr>
          <w:rFonts w:cs="Arial"/>
        </w:rPr>
        <w:t xml:space="preserve"> and </w:t>
      </w:r>
      <w:r w:rsidR="005556C5">
        <w:rPr>
          <w:rFonts w:cs="Arial"/>
        </w:rPr>
        <w:t xml:space="preserve">an </w:t>
      </w:r>
      <w:r>
        <w:rPr>
          <w:rFonts w:cs="Arial"/>
        </w:rPr>
        <w:t>outside school hours care service</w:t>
      </w:r>
      <w:r w:rsidR="009E2B26">
        <w:rPr>
          <w:rFonts w:cs="Arial"/>
        </w:rPr>
        <w:t>, respectively,</w:t>
      </w:r>
      <w:r>
        <w:rPr>
          <w:rFonts w:cs="Arial"/>
        </w:rPr>
        <w:t xml:space="preserve"> </w:t>
      </w:r>
      <w:r w:rsidR="00AC04C0">
        <w:rPr>
          <w:rFonts w:cs="Arial"/>
        </w:rPr>
        <w:t>that the service</w:t>
      </w:r>
      <w:r>
        <w:rPr>
          <w:rFonts w:cs="Arial"/>
        </w:rPr>
        <w:t xml:space="preserve"> be registered with the National Childcare Accreditation Council (NCAC) as a participant in </w:t>
      </w:r>
      <w:r w:rsidR="009E2B26">
        <w:rPr>
          <w:rFonts w:cs="Arial"/>
        </w:rPr>
        <w:t xml:space="preserve">the </w:t>
      </w:r>
      <w:r>
        <w:rPr>
          <w:rFonts w:cs="Arial"/>
        </w:rPr>
        <w:t>chil</w:t>
      </w:r>
      <w:r w:rsidR="009E2B26">
        <w:rPr>
          <w:rFonts w:cs="Arial"/>
        </w:rPr>
        <w:t>d care quality assurance system</w:t>
      </w:r>
      <w:r w:rsidR="00AC04C0">
        <w:rPr>
          <w:rFonts w:cs="Arial"/>
        </w:rPr>
        <w:t xml:space="preserve"> relevant to the kind of service</w:t>
      </w:r>
      <w:r>
        <w:rPr>
          <w:rFonts w:cs="Arial"/>
        </w:rPr>
        <w:t xml:space="preserve">. </w:t>
      </w:r>
      <w:r w:rsidR="00342BC8">
        <w:rPr>
          <w:rFonts w:cs="Arial"/>
        </w:rPr>
        <w:t>If a service does not satisfy th</w:t>
      </w:r>
      <w:r w:rsidR="00AC04C0">
        <w:rPr>
          <w:rFonts w:cs="Arial"/>
        </w:rPr>
        <w:t>is condition</w:t>
      </w:r>
      <w:r w:rsidR="00342BC8">
        <w:rPr>
          <w:rFonts w:cs="Arial"/>
        </w:rPr>
        <w:t xml:space="preserve">, it cannot be approved for </w:t>
      </w:r>
      <w:r w:rsidR="00342BC8">
        <w:rPr>
          <w:rFonts w:cs="Arial"/>
        </w:rPr>
        <w:lastRenderedPageBreak/>
        <w:t>the purposes of the family assistance law</w:t>
      </w:r>
      <w:r w:rsidR="00AC04C0">
        <w:rPr>
          <w:rFonts w:cs="Arial"/>
        </w:rPr>
        <w:t xml:space="preserve">. </w:t>
      </w:r>
      <w:r w:rsidR="005556C5">
        <w:rPr>
          <w:rFonts w:cs="Arial"/>
        </w:rPr>
        <w:t>Child care benefit and child care rebate (payments under the family assistance law) cannot be paid in respect of care provided to children by a c</w:t>
      </w:r>
      <w:r w:rsidR="00AC04C0">
        <w:rPr>
          <w:rFonts w:cs="Arial"/>
        </w:rPr>
        <w:t>hild care service that is not so approved</w:t>
      </w:r>
      <w:r w:rsidR="005556C5">
        <w:rPr>
          <w:rFonts w:cs="Arial"/>
        </w:rPr>
        <w:t>.</w:t>
      </w:r>
    </w:p>
    <w:p w:rsidR="00AC0D5D" w:rsidRDefault="00AC0D5D" w:rsidP="00657018">
      <w:pPr>
        <w:rPr>
          <w:rFonts w:cs="Arial"/>
        </w:rPr>
      </w:pPr>
    </w:p>
    <w:p w:rsidR="00AC0D5D" w:rsidRDefault="005556C5" w:rsidP="00657018">
      <w:pPr>
        <w:rPr>
          <w:rFonts w:cs="Arial"/>
        </w:rPr>
      </w:pPr>
      <w:r>
        <w:t>Once a service is approved for the purposes of the family assistance law, s</w:t>
      </w:r>
      <w:r w:rsidR="00F87BB2">
        <w:t xml:space="preserve">ections 23, 23A and </w:t>
      </w:r>
      <w:r w:rsidR="009E2B26">
        <w:t>24A of the Eligibility Rules make i</w:t>
      </w:r>
      <w:r>
        <w:t>t</w:t>
      </w:r>
      <w:r w:rsidR="009E2B26">
        <w:t xml:space="preserve"> a condition for continued approval </w:t>
      </w:r>
      <w:r>
        <w:t>of</w:t>
      </w:r>
      <w:r w:rsidR="009E2B26">
        <w:t xml:space="preserve"> th</w:t>
      </w:r>
      <w:r>
        <w:t>e</w:t>
      </w:r>
      <w:r w:rsidR="009E2B26">
        <w:t xml:space="preserve"> service to participate in the child care quality system</w:t>
      </w:r>
      <w:r>
        <w:t xml:space="preserve"> for that kind of the service</w:t>
      </w:r>
      <w:r w:rsidR="009E2B26">
        <w:t>. The NCAC assesses services’ progress against the rele</w:t>
      </w:r>
      <w:r>
        <w:t>vant child care quality systems.</w:t>
      </w:r>
    </w:p>
    <w:p w:rsidR="009E2B26" w:rsidRDefault="009E2B26" w:rsidP="00657018">
      <w:pPr>
        <w:rPr>
          <w:rFonts w:cs="Arial"/>
        </w:rPr>
      </w:pPr>
    </w:p>
    <w:p w:rsidR="009E2B26" w:rsidRDefault="00E66263" w:rsidP="0071237F">
      <w:pPr>
        <w:rPr>
          <w:rFonts w:cs="Arial"/>
        </w:rPr>
      </w:pPr>
      <w:r w:rsidRPr="0071237F">
        <w:rPr>
          <w:rFonts w:cs="Arial"/>
        </w:rPr>
        <w:t xml:space="preserve">In anticipation of the commencement on 1 January 2012 of the Education and Care </w:t>
      </w:r>
      <w:r w:rsidR="002979BE">
        <w:rPr>
          <w:rFonts w:cs="Arial"/>
        </w:rPr>
        <w:t xml:space="preserve">Services </w:t>
      </w:r>
      <w:r w:rsidRPr="0071237F">
        <w:rPr>
          <w:rFonts w:cs="Arial"/>
        </w:rPr>
        <w:t>National Law establishing the National Quality Fr</w:t>
      </w:r>
      <w:r w:rsidR="00D406C4">
        <w:rPr>
          <w:rFonts w:cs="Arial"/>
        </w:rPr>
        <w:t>a</w:t>
      </w:r>
      <w:r w:rsidRPr="0071237F">
        <w:rPr>
          <w:rFonts w:cs="Arial"/>
        </w:rPr>
        <w:t>mework</w:t>
      </w:r>
      <w:r w:rsidR="005556C5" w:rsidRPr="0071237F">
        <w:rPr>
          <w:rFonts w:cs="Arial"/>
        </w:rPr>
        <w:t xml:space="preserve"> replac</w:t>
      </w:r>
      <w:r w:rsidR="0071237F" w:rsidRPr="0071237F">
        <w:rPr>
          <w:rFonts w:cs="Arial"/>
        </w:rPr>
        <w:t xml:space="preserve">ing </w:t>
      </w:r>
      <w:r w:rsidR="005556C5" w:rsidRPr="0071237F">
        <w:rPr>
          <w:rFonts w:cs="Arial"/>
        </w:rPr>
        <w:t xml:space="preserve">the quality assurance systems administered by </w:t>
      </w:r>
      <w:r w:rsidR="0071237F" w:rsidRPr="0071237F">
        <w:rPr>
          <w:rFonts w:cs="Arial"/>
        </w:rPr>
        <w:t xml:space="preserve">the </w:t>
      </w:r>
      <w:r w:rsidR="005556C5" w:rsidRPr="0071237F">
        <w:rPr>
          <w:rFonts w:cs="Arial"/>
        </w:rPr>
        <w:t xml:space="preserve">NCAC, </w:t>
      </w:r>
      <w:r w:rsidR="0071237F" w:rsidRPr="0071237F">
        <w:rPr>
          <w:rFonts w:cs="Arial"/>
        </w:rPr>
        <w:t>and establishing a new statutory authority to oversee its administration (the Australian Children’s Education and Care Quality Authority),</w:t>
      </w:r>
      <w:r w:rsidR="0071237F">
        <w:rPr>
          <w:rFonts w:cs="Arial"/>
        </w:rPr>
        <w:t xml:space="preserve"> t</w:t>
      </w:r>
      <w:r w:rsidR="009E2B26" w:rsidRPr="0071237F">
        <w:rPr>
          <w:rFonts w:cs="Arial"/>
        </w:rPr>
        <w:t xml:space="preserve">he NCAC </w:t>
      </w:r>
      <w:r w:rsidR="00D0629F" w:rsidRPr="0071237F">
        <w:rPr>
          <w:rFonts w:cs="Arial"/>
        </w:rPr>
        <w:t xml:space="preserve">is </w:t>
      </w:r>
      <w:r w:rsidR="0071237F">
        <w:rPr>
          <w:rFonts w:cs="Arial"/>
        </w:rPr>
        <w:t>winding down its operation</w:t>
      </w:r>
      <w:r w:rsidR="001C0759">
        <w:rPr>
          <w:rFonts w:cs="Arial"/>
        </w:rPr>
        <w:t>. The NCAC’s</w:t>
      </w:r>
      <w:r w:rsidR="0071237F">
        <w:rPr>
          <w:rFonts w:cs="Arial"/>
        </w:rPr>
        <w:t xml:space="preserve"> registration function will cease </w:t>
      </w:r>
      <w:r w:rsidR="0071237F" w:rsidRPr="0071237F">
        <w:rPr>
          <w:rFonts w:cs="Arial"/>
        </w:rPr>
        <w:t>on 31 October 2011</w:t>
      </w:r>
      <w:r w:rsidR="0071237F">
        <w:rPr>
          <w:rFonts w:cs="Arial"/>
        </w:rPr>
        <w:t xml:space="preserve"> and the </w:t>
      </w:r>
      <w:r w:rsidR="00346B09">
        <w:rPr>
          <w:rFonts w:cs="Arial"/>
        </w:rPr>
        <w:t xml:space="preserve">quality </w:t>
      </w:r>
      <w:r w:rsidR="0071237F" w:rsidRPr="0071237F">
        <w:rPr>
          <w:rFonts w:cs="Arial"/>
        </w:rPr>
        <w:t xml:space="preserve">assessment function </w:t>
      </w:r>
      <w:r w:rsidR="00D10024">
        <w:rPr>
          <w:rFonts w:cs="Arial"/>
        </w:rPr>
        <w:t xml:space="preserve">will be </w:t>
      </w:r>
      <w:r w:rsidR="00D75B6D">
        <w:rPr>
          <w:rFonts w:cs="Arial"/>
        </w:rPr>
        <w:t xml:space="preserve">then </w:t>
      </w:r>
      <w:r w:rsidR="00D10024">
        <w:rPr>
          <w:rFonts w:cs="Arial"/>
        </w:rPr>
        <w:t xml:space="preserve">progressively </w:t>
      </w:r>
      <w:r w:rsidR="00D75B6D">
        <w:rPr>
          <w:rFonts w:cs="Arial"/>
        </w:rPr>
        <w:t>reduced to</w:t>
      </w:r>
      <w:r w:rsidR="0071237F">
        <w:rPr>
          <w:rFonts w:cs="Arial"/>
        </w:rPr>
        <w:t xml:space="preserve"> cease on </w:t>
      </w:r>
      <w:r w:rsidR="0071237F" w:rsidRPr="0071237F">
        <w:rPr>
          <w:rFonts w:cs="Arial"/>
        </w:rPr>
        <w:t>31</w:t>
      </w:r>
      <w:r w:rsidR="00D75B6D">
        <w:rPr>
          <w:rFonts w:cs="Arial"/>
        </w:rPr>
        <w:t> </w:t>
      </w:r>
      <w:r w:rsidR="0071237F" w:rsidRPr="0071237F">
        <w:rPr>
          <w:rFonts w:cs="Arial"/>
        </w:rPr>
        <w:t>December 2011</w:t>
      </w:r>
      <w:r w:rsidR="0071237F">
        <w:rPr>
          <w:rFonts w:cs="Arial"/>
        </w:rPr>
        <w:t>.</w:t>
      </w:r>
      <w:r w:rsidR="00D10024">
        <w:rPr>
          <w:rFonts w:cs="Arial"/>
        </w:rPr>
        <w:t xml:space="preserve"> Therefore, from 1 November 2011, centre based long day care services, family day care services and outside school hours care services will not be able to meet the condition for approval </w:t>
      </w:r>
      <w:r w:rsidR="00D75B6D">
        <w:rPr>
          <w:rFonts w:cs="Arial"/>
        </w:rPr>
        <w:t xml:space="preserve">and continued approval requiring these services to be registered with </w:t>
      </w:r>
      <w:r w:rsidR="00AA08FF">
        <w:rPr>
          <w:rFonts w:cs="Arial"/>
        </w:rPr>
        <w:t xml:space="preserve">the </w:t>
      </w:r>
      <w:r w:rsidR="00D75B6D">
        <w:rPr>
          <w:rFonts w:cs="Arial"/>
        </w:rPr>
        <w:t>NCAC and participate in its quality assurance systems.</w:t>
      </w:r>
    </w:p>
    <w:p w:rsidR="009E2B26" w:rsidRDefault="009E2B26" w:rsidP="00657018">
      <w:pPr>
        <w:rPr>
          <w:rFonts w:cs="Arial"/>
        </w:rPr>
      </w:pPr>
    </w:p>
    <w:p w:rsidR="00EC40E1" w:rsidRDefault="007C0640" w:rsidP="00EC40E1">
      <w:pPr>
        <w:rPr>
          <w:rFonts w:cs="Arial"/>
        </w:rPr>
      </w:pPr>
      <w:r>
        <w:rPr>
          <w:rFonts w:cs="Arial"/>
        </w:rPr>
        <w:t xml:space="preserve">The purpose of this </w:t>
      </w:r>
      <w:r w:rsidR="00A00BD0">
        <w:rPr>
          <w:rFonts w:cs="Arial"/>
        </w:rPr>
        <w:t>Determination</w:t>
      </w:r>
      <w:r>
        <w:rPr>
          <w:rFonts w:cs="Arial"/>
        </w:rPr>
        <w:t xml:space="preserve"> is to </w:t>
      </w:r>
      <w:r w:rsidR="001C0759">
        <w:rPr>
          <w:rFonts w:cs="Arial"/>
        </w:rPr>
        <w:t>exempt</w:t>
      </w:r>
      <w:r w:rsidR="00346B09" w:rsidRPr="00346B09">
        <w:rPr>
          <w:rFonts w:cs="Arial"/>
        </w:rPr>
        <w:t xml:space="preserve"> </w:t>
      </w:r>
      <w:r w:rsidR="002979BE">
        <w:rPr>
          <w:rFonts w:cs="Arial"/>
        </w:rPr>
        <w:t xml:space="preserve">centre based </w:t>
      </w:r>
      <w:r w:rsidR="00346B09" w:rsidRPr="00D0629F">
        <w:rPr>
          <w:rFonts w:cs="Arial"/>
        </w:rPr>
        <w:t>long day care services, family day care services and outside school hours care services</w:t>
      </w:r>
      <w:r w:rsidR="00346B09" w:rsidRPr="00346B09">
        <w:rPr>
          <w:rFonts w:cs="Arial"/>
        </w:rPr>
        <w:t xml:space="preserve"> </w:t>
      </w:r>
      <w:r w:rsidR="00346B09">
        <w:rPr>
          <w:rFonts w:cs="Arial"/>
        </w:rPr>
        <w:t xml:space="preserve">from the requirement to register with the NCAC and to participate in the relevant child care quality systems administered by the NCAC. The </w:t>
      </w:r>
      <w:r w:rsidR="009154AD">
        <w:rPr>
          <w:rFonts w:cs="Arial"/>
        </w:rPr>
        <w:t>exemption will apply only if the determination of the application for the service’s approval for the purposes of the family assistance law is made on or after 1 November 2011.</w:t>
      </w:r>
    </w:p>
    <w:p w:rsidR="00EC40E1" w:rsidRDefault="00EC40E1" w:rsidP="00EC40E1">
      <w:pPr>
        <w:rPr>
          <w:rFonts w:cs="Arial"/>
        </w:rPr>
      </w:pPr>
    </w:p>
    <w:p w:rsidR="00EC40E1" w:rsidRDefault="00E66263" w:rsidP="00EC40E1">
      <w:pPr>
        <w:rPr>
          <w:rFonts w:cs="Arial"/>
        </w:rPr>
      </w:pPr>
      <w:r w:rsidRPr="0036533B">
        <w:rPr>
          <w:rFonts w:cs="Arial"/>
        </w:rPr>
        <w:t>T</w:t>
      </w:r>
      <w:r w:rsidR="00A00BD0" w:rsidRPr="0036533B">
        <w:rPr>
          <w:rFonts w:cs="Arial"/>
        </w:rPr>
        <w:t>his Determination</w:t>
      </w:r>
      <w:r w:rsidRPr="0036533B">
        <w:rPr>
          <w:rFonts w:cs="Arial"/>
        </w:rPr>
        <w:t xml:space="preserve"> will enable approval</w:t>
      </w:r>
      <w:r w:rsidR="00AA08FF" w:rsidRPr="00AA08FF">
        <w:rPr>
          <w:rFonts w:cs="Arial"/>
        </w:rPr>
        <w:t xml:space="preserve"> </w:t>
      </w:r>
      <w:r w:rsidR="0036533B" w:rsidRPr="0036533B">
        <w:rPr>
          <w:rFonts w:cs="Arial"/>
        </w:rPr>
        <w:t>and continued approval of the</w:t>
      </w:r>
      <w:r w:rsidR="00AA08FF">
        <w:rPr>
          <w:rFonts w:cs="Arial"/>
        </w:rPr>
        <w:t xml:space="preserve">se </w:t>
      </w:r>
      <w:r w:rsidR="0036533B" w:rsidRPr="0036533B">
        <w:rPr>
          <w:rFonts w:cs="Arial"/>
        </w:rPr>
        <w:t xml:space="preserve">services </w:t>
      </w:r>
      <w:r w:rsidR="00AA08FF">
        <w:rPr>
          <w:rFonts w:cs="Arial"/>
        </w:rPr>
        <w:t>for</w:t>
      </w:r>
      <w:r w:rsidRPr="0036533B">
        <w:rPr>
          <w:rFonts w:cs="Arial"/>
        </w:rPr>
        <w:t xml:space="preserve"> the purposes of the family assistance law </w:t>
      </w:r>
      <w:r w:rsidR="00561FEF">
        <w:rPr>
          <w:rFonts w:cs="Arial"/>
        </w:rPr>
        <w:t xml:space="preserve">in the period </w:t>
      </w:r>
      <w:r w:rsidR="00561FEF" w:rsidRPr="0036533B">
        <w:rPr>
          <w:rFonts w:cs="Arial"/>
        </w:rPr>
        <w:t>after 1</w:t>
      </w:r>
      <w:r w:rsidR="002979BE">
        <w:rPr>
          <w:rFonts w:cs="Arial"/>
        </w:rPr>
        <w:t> </w:t>
      </w:r>
      <w:r w:rsidR="00561FEF" w:rsidRPr="0036533B">
        <w:rPr>
          <w:rFonts w:cs="Arial"/>
        </w:rPr>
        <w:t xml:space="preserve">November 2011 </w:t>
      </w:r>
      <w:r w:rsidR="00561FEF">
        <w:rPr>
          <w:rFonts w:cs="Arial"/>
        </w:rPr>
        <w:t xml:space="preserve">and </w:t>
      </w:r>
      <w:r w:rsidR="0036533B" w:rsidRPr="0036533B">
        <w:rPr>
          <w:rFonts w:cs="Arial"/>
        </w:rPr>
        <w:t xml:space="preserve">until the commencement of the Education and Care </w:t>
      </w:r>
      <w:r w:rsidR="002979BE">
        <w:rPr>
          <w:rFonts w:cs="Arial"/>
        </w:rPr>
        <w:t xml:space="preserve">Services </w:t>
      </w:r>
      <w:r w:rsidR="0036533B" w:rsidRPr="0036533B">
        <w:rPr>
          <w:rFonts w:cs="Arial"/>
        </w:rPr>
        <w:t>National Law in the State or Territory in which the service operates.</w:t>
      </w:r>
    </w:p>
    <w:p w:rsidR="00EC40E1" w:rsidRDefault="00EC40E1" w:rsidP="00EC40E1">
      <w:pPr>
        <w:rPr>
          <w:rFonts w:cs="Arial"/>
        </w:rPr>
      </w:pPr>
    </w:p>
    <w:p w:rsidR="00EC40E1" w:rsidRDefault="0036533B" w:rsidP="00EC40E1">
      <w:pPr>
        <w:rPr>
          <w:rFonts w:cs="Arial"/>
        </w:rPr>
      </w:pPr>
      <w:r>
        <w:rPr>
          <w:rFonts w:cs="Arial"/>
        </w:rPr>
        <w:t xml:space="preserve">Once the </w:t>
      </w:r>
      <w:r w:rsidRPr="0036533B">
        <w:rPr>
          <w:rFonts w:cs="Arial"/>
        </w:rPr>
        <w:t xml:space="preserve">Education and Care </w:t>
      </w:r>
      <w:r w:rsidR="002979BE">
        <w:rPr>
          <w:rFonts w:cs="Arial"/>
        </w:rPr>
        <w:t xml:space="preserve">Services </w:t>
      </w:r>
      <w:r w:rsidRPr="0036533B">
        <w:rPr>
          <w:rFonts w:cs="Arial"/>
        </w:rPr>
        <w:t xml:space="preserve">National Law </w:t>
      </w:r>
      <w:r>
        <w:rPr>
          <w:rFonts w:cs="Arial"/>
        </w:rPr>
        <w:t xml:space="preserve">commences, </w:t>
      </w:r>
      <w:r w:rsidR="00AA08FF">
        <w:rPr>
          <w:rFonts w:cs="Arial"/>
        </w:rPr>
        <w:t xml:space="preserve">the compliance with this law, including its National Quality Framework, will be </w:t>
      </w:r>
      <w:r w:rsidR="00771442">
        <w:rPr>
          <w:rFonts w:cs="Arial"/>
        </w:rPr>
        <w:t xml:space="preserve">a </w:t>
      </w:r>
      <w:r w:rsidR="00AA08FF">
        <w:rPr>
          <w:rFonts w:cs="Arial"/>
        </w:rPr>
        <w:t xml:space="preserve">condition of the services’ approval and continued approval for the purposes of the family assistance law. </w:t>
      </w:r>
    </w:p>
    <w:p w:rsidR="00EC40E1" w:rsidRDefault="00EC40E1" w:rsidP="00EC40E1">
      <w:pPr>
        <w:rPr>
          <w:rFonts w:cs="Arial"/>
        </w:rPr>
      </w:pPr>
    </w:p>
    <w:p w:rsidR="0036533B" w:rsidRDefault="00AA08FF" w:rsidP="00EC40E1">
      <w:pPr>
        <w:rPr>
          <w:rFonts w:cs="Arial"/>
          <w:highlight w:val="yellow"/>
        </w:rPr>
      </w:pPr>
      <w:r>
        <w:rPr>
          <w:rFonts w:cs="Arial"/>
        </w:rPr>
        <w:t xml:space="preserve">In the period before the commencement of </w:t>
      </w:r>
      <w:r w:rsidR="002979BE">
        <w:rPr>
          <w:rFonts w:cs="Arial"/>
        </w:rPr>
        <w:t xml:space="preserve">the </w:t>
      </w:r>
      <w:r w:rsidRPr="0036533B">
        <w:rPr>
          <w:rFonts w:cs="Arial"/>
        </w:rPr>
        <w:t xml:space="preserve">Education and Care </w:t>
      </w:r>
      <w:r w:rsidR="002979BE">
        <w:rPr>
          <w:rFonts w:cs="Arial"/>
        </w:rPr>
        <w:t xml:space="preserve">Services </w:t>
      </w:r>
      <w:r w:rsidRPr="0036533B">
        <w:rPr>
          <w:rFonts w:cs="Arial"/>
        </w:rPr>
        <w:t>National Law</w:t>
      </w:r>
      <w:r>
        <w:rPr>
          <w:rFonts w:cs="Arial"/>
        </w:rPr>
        <w:t xml:space="preserve">, </w:t>
      </w:r>
      <w:r w:rsidR="00561FEF">
        <w:rPr>
          <w:rFonts w:cs="Arial"/>
        </w:rPr>
        <w:t>the family assistance law requires these services, as a condition of their approval and continued approval</w:t>
      </w:r>
      <w:r w:rsidR="00F6184A">
        <w:rPr>
          <w:rFonts w:cs="Arial"/>
        </w:rPr>
        <w:t>,</w:t>
      </w:r>
      <w:r w:rsidR="00561FEF">
        <w:rPr>
          <w:rFonts w:cs="Arial"/>
        </w:rPr>
        <w:t xml:space="preserve"> to comply with the licensing law, including its quality requirements</w:t>
      </w:r>
      <w:r w:rsidR="00C2710A">
        <w:rPr>
          <w:rFonts w:cs="Arial"/>
        </w:rPr>
        <w:t>,</w:t>
      </w:r>
      <w:r w:rsidR="00771442">
        <w:rPr>
          <w:rFonts w:cs="Arial"/>
        </w:rPr>
        <w:t xml:space="preserve"> of </w:t>
      </w:r>
      <w:r w:rsidR="00F6184A">
        <w:rPr>
          <w:rFonts w:cs="Arial"/>
        </w:rPr>
        <w:t>the State/Territory in which the service operates.</w:t>
      </w:r>
    </w:p>
    <w:p w:rsidR="002979BE" w:rsidRDefault="002979BE" w:rsidP="003F6C8B">
      <w:pPr>
        <w:keepNext/>
        <w:keepLines/>
        <w:outlineLvl w:val="0"/>
        <w:rPr>
          <w:rFonts w:cs="Arial"/>
          <w:b/>
        </w:rPr>
      </w:pPr>
    </w:p>
    <w:p w:rsidR="002979BE" w:rsidRDefault="002979BE" w:rsidP="003F6C8B">
      <w:pPr>
        <w:keepNext/>
        <w:keepLines/>
        <w:outlineLvl w:val="0"/>
        <w:rPr>
          <w:rFonts w:cs="Arial"/>
          <w:b/>
        </w:rPr>
      </w:pPr>
    </w:p>
    <w:p w:rsidR="003F6C8B" w:rsidRDefault="003F6C8B" w:rsidP="003F6C8B">
      <w:pPr>
        <w:keepNext/>
        <w:keepLines/>
        <w:outlineLvl w:val="0"/>
        <w:rPr>
          <w:rFonts w:cs="Arial"/>
        </w:rPr>
      </w:pPr>
      <w:r>
        <w:rPr>
          <w:rFonts w:cs="Arial"/>
          <w:b/>
        </w:rPr>
        <w:t xml:space="preserve">Consultation </w:t>
      </w:r>
      <w:r w:rsidR="00561FEF">
        <w:rPr>
          <w:rFonts w:cs="Arial"/>
          <w:b/>
        </w:rPr>
        <w:t>s</w:t>
      </w:r>
      <w:r>
        <w:rPr>
          <w:rFonts w:cs="Arial"/>
          <w:b/>
        </w:rPr>
        <w:t>tatement</w:t>
      </w:r>
    </w:p>
    <w:p w:rsidR="004E3ADC" w:rsidRDefault="004E3ADC" w:rsidP="004E3ADC">
      <w:pPr>
        <w:keepNext/>
        <w:keepLines/>
        <w:rPr>
          <w:rFonts w:cs="Arial"/>
        </w:rPr>
      </w:pPr>
    </w:p>
    <w:p w:rsidR="00145EDF" w:rsidRDefault="004E3ADC" w:rsidP="00145EDF">
      <w:pPr>
        <w:rPr>
          <w:rFonts w:cs="Arial"/>
        </w:rPr>
      </w:pPr>
      <w:r w:rsidRPr="00026702">
        <w:rPr>
          <w:rFonts w:cs="Arial"/>
        </w:rPr>
        <w:t xml:space="preserve">As this Determination removes the conditions of approval of child care services for the family assistance law purposes, with which the services in the specified class could not otherwise comply due to the cessation of the NCAC operation, consultation </w:t>
      </w:r>
      <w:r w:rsidR="00771442">
        <w:rPr>
          <w:rFonts w:cs="Arial"/>
        </w:rPr>
        <w:t>on</w:t>
      </w:r>
      <w:r w:rsidR="00771442" w:rsidRPr="00026702">
        <w:rPr>
          <w:rFonts w:cs="Arial"/>
        </w:rPr>
        <w:t xml:space="preserve"> </w:t>
      </w:r>
      <w:r w:rsidRPr="00026702">
        <w:rPr>
          <w:rFonts w:cs="Arial"/>
        </w:rPr>
        <w:t>this particular measure with child care services was considered unnecessary. Extensive consultations have been conducted during the development of the National Quality Framework that will replace the NCAC quality assurance systems</w:t>
      </w:r>
      <w:r w:rsidR="00145EDF">
        <w:rPr>
          <w:rFonts w:cs="Arial"/>
        </w:rPr>
        <w:t>.</w:t>
      </w:r>
    </w:p>
    <w:p w:rsidR="00145EDF" w:rsidRDefault="00145EDF" w:rsidP="00145EDF">
      <w:r>
        <w:rPr>
          <w:rFonts w:cs="Arial"/>
        </w:rPr>
        <w:t xml:space="preserve"> </w:t>
      </w:r>
    </w:p>
    <w:p w:rsidR="00145EDF" w:rsidRDefault="00145EDF" w:rsidP="00145EDF">
      <w:r>
        <w:t xml:space="preserve">Regulation Impact Statement consultations on the </w:t>
      </w:r>
      <w:r w:rsidR="00C2710A">
        <w:t>National Quality Framework</w:t>
      </w:r>
      <w:r>
        <w:t xml:space="preserve"> were undertaken from July to September 2009, including</w:t>
      </w:r>
      <w:r w:rsidR="00C2710A">
        <w:t>:</w:t>
      </w:r>
      <w:r>
        <w:t xml:space="preserve"> consultation documents, open public forums in all capital cities and a number of regional centres, a call for written submissions and focus group discussions. The </w:t>
      </w:r>
      <w:r w:rsidR="00C2710A">
        <w:t>“</w:t>
      </w:r>
      <w:r w:rsidR="00EE37FD" w:rsidRPr="00EE37FD">
        <w:rPr>
          <w:i/>
        </w:rPr>
        <w:t>Regulation Impact Statement for Early Childhood Education and Care Quality Reforms, COAG Decision RIS, December 2009</w:t>
      </w:r>
      <w:r w:rsidR="00C2710A">
        <w:t xml:space="preserve">” </w:t>
      </w:r>
      <w:r>
        <w:t xml:space="preserve">based on this consultation process was released publicly in December 2009. </w:t>
      </w:r>
    </w:p>
    <w:p w:rsidR="00145EDF" w:rsidRDefault="00145EDF" w:rsidP="00145EDF"/>
    <w:p w:rsidR="00145EDF" w:rsidRPr="0055384C" w:rsidRDefault="00145EDF" w:rsidP="00145EDF">
      <w:r>
        <w:t xml:space="preserve">Public information forums were also conducted </w:t>
      </w:r>
      <w:r w:rsidR="00125AB6">
        <w:t xml:space="preserve">in </w:t>
      </w:r>
      <w:r w:rsidRPr="00D36656">
        <w:t>April and May 2010 in metropolitan and some regional locations across Australia</w:t>
      </w:r>
      <w:r>
        <w:t xml:space="preserve">. </w:t>
      </w:r>
      <w:r w:rsidRPr="0055384C">
        <w:t>Additional information and consultation forums that focused on the</w:t>
      </w:r>
      <w:r w:rsidR="00125AB6">
        <w:t xml:space="preserve"> processes for quality</w:t>
      </w:r>
      <w:r w:rsidRPr="0055384C">
        <w:t xml:space="preserve"> </w:t>
      </w:r>
      <w:r w:rsidR="00125AB6">
        <w:t>a</w:t>
      </w:r>
      <w:r w:rsidRPr="0055384C">
        <w:t xml:space="preserve">ssessment and </w:t>
      </w:r>
      <w:r w:rsidR="00125AB6">
        <w:t>r</w:t>
      </w:r>
      <w:r w:rsidRPr="0055384C">
        <w:t xml:space="preserve">atings </w:t>
      </w:r>
      <w:r w:rsidR="00125AB6">
        <w:t>of services</w:t>
      </w:r>
      <w:r w:rsidRPr="0055384C">
        <w:t xml:space="preserve"> and the </w:t>
      </w:r>
      <w:r w:rsidR="00125AB6">
        <w:t xml:space="preserve">Education and Care </w:t>
      </w:r>
      <w:r w:rsidR="002979BE">
        <w:t xml:space="preserve">Services </w:t>
      </w:r>
      <w:r>
        <w:t>National Law</w:t>
      </w:r>
      <w:r w:rsidRPr="0055384C">
        <w:t xml:space="preserve"> were held in November and December 2010. </w:t>
      </w:r>
      <w:r>
        <w:t>Further forums and a public submission process were held in the first half of 2011 to consult on the exposure draft of</w:t>
      </w:r>
      <w:r w:rsidR="00125AB6">
        <w:t xml:space="preserve"> the Education and Care </w:t>
      </w:r>
      <w:r w:rsidR="002979BE">
        <w:t xml:space="preserve">Services </w:t>
      </w:r>
      <w:r>
        <w:t xml:space="preserve">National Regulations </w:t>
      </w:r>
      <w:r w:rsidR="00125AB6">
        <w:t xml:space="preserve">made </w:t>
      </w:r>
      <w:r>
        <w:t xml:space="preserve">under the </w:t>
      </w:r>
      <w:r w:rsidR="00125AB6">
        <w:t xml:space="preserve">Education and Care </w:t>
      </w:r>
      <w:r w:rsidR="002979BE">
        <w:t xml:space="preserve">Services </w:t>
      </w:r>
      <w:r>
        <w:t>National Law.</w:t>
      </w:r>
    </w:p>
    <w:p w:rsidR="00145EDF" w:rsidRDefault="00145EDF" w:rsidP="00145EDF"/>
    <w:p w:rsidR="00EE37FD" w:rsidRDefault="00145EDF">
      <w:r w:rsidRPr="00D36656">
        <w:t xml:space="preserve">A Stakeholder Reference Group </w:t>
      </w:r>
      <w:r w:rsidR="00125AB6">
        <w:t>of</w:t>
      </w:r>
      <w:r w:rsidRPr="00D36656">
        <w:t xml:space="preserve"> the Early Childhood Development Working Group </w:t>
      </w:r>
      <w:r w:rsidR="00125AB6">
        <w:t xml:space="preserve">(established under the </w:t>
      </w:r>
      <w:r w:rsidR="00125AB6" w:rsidRPr="00125AB6">
        <w:t>Ministerial Council for Education, Early Childhood Development and Youth Affairs</w:t>
      </w:r>
      <w:r w:rsidR="00125AB6">
        <w:t xml:space="preserve">) </w:t>
      </w:r>
      <w:r w:rsidRPr="00D36656">
        <w:t>is a key c</w:t>
      </w:r>
      <w:r>
        <w:t xml:space="preserve">onsultation mechanism that </w:t>
      </w:r>
      <w:r w:rsidRPr="00D36656">
        <w:t>help</w:t>
      </w:r>
      <w:r>
        <w:t>s to</w:t>
      </w:r>
      <w:r w:rsidRPr="00D36656">
        <w:t xml:space="preserve"> inform implementation</w:t>
      </w:r>
      <w:r w:rsidR="00125AB6">
        <w:t xml:space="preserve"> of the National Quality Framework</w:t>
      </w:r>
      <w:r w:rsidRPr="00D36656">
        <w:t>.</w:t>
      </w:r>
      <w:r>
        <w:t xml:space="preserve"> </w:t>
      </w:r>
    </w:p>
    <w:p w:rsidR="00145EDF" w:rsidRDefault="00145EDF" w:rsidP="00145EDF">
      <w:pPr>
        <w:tabs>
          <w:tab w:val="num" w:pos="360"/>
        </w:tabs>
        <w:rPr>
          <w:rFonts w:cs="Arial"/>
          <w:szCs w:val="22"/>
        </w:rPr>
      </w:pPr>
    </w:p>
    <w:p w:rsidR="004E3ADC" w:rsidRPr="00026702" w:rsidRDefault="004E3ADC" w:rsidP="004E3ADC">
      <w:pPr>
        <w:keepNext/>
        <w:keepLines/>
        <w:rPr>
          <w:rFonts w:cs="Arial"/>
        </w:rPr>
      </w:pPr>
      <w:r w:rsidRPr="00026702">
        <w:rPr>
          <w:rFonts w:cs="Arial"/>
        </w:rPr>
        <w:t xml:space="preserve">This Determination reflects the transitional arrangements for a progressive winding down of the NCAC operation before </w:t>
      </w:r>
      <w:r w:rsidR="00771442">
        <w:rPr>
          <w:rFonts w:cs="Arial"/>
        </w:rPr>
        <w:t>its</w:t>
      </w:r>
      <w:r w:rsidR="00771442" w:rsidRPr="00026702">
        <w:rPr>
          <w:rFonts w:cs="Arial"/>
        </w:rPr>
        <w:t xml:space="preserve"> </w:t>
      </w:r>
      <w:r w:rsidRPr="00026702">
        <w:rPr>
          <w:rFonts w:cs="Arial"/>
        </w:rPr>
        <w:t>cessation on 31 December 2011. The NCAC has been part of these consultations.</w:t>
      </w:r>
    </w:p>
    <w:p w:rsidR="003F6C8B" w:rsidRPr="00026702" w:rsidRDefault="003F6C8B" w:rsidP="003F6C8B">
      <w:pPr>
        <w:rPr>
          <w:rFonts w:cs="Arial"/>
        </w:rPr>
      </w:pPr>
    </w:p>
    <w:p w:rsidR="002979BE" w:rsidRPr="00CD20B2" w:rsidRDefault="002979BE" w:rsidP="003F6C8B">
      <w:pPr>
        <w:rPr>
          <w:rFonts w:cs="Arial"/>
          <w:highlight w:val="yellow"/>
        </w:rPr>
      </w:pPr>
    </w:p>
    <w:p w:rsidR="00EE37FD" w:rsidRPr="00EE37FD" w:rsidRDefault="00EE37FD" w:rsidP="00EE37FD">
      <w:pPr>
        <w:keepNext/>
        <w:keepLines/>
        <w:rPr>
          <w:rFonts w:cs="Arial"/>
          <w:b/>
        </w:rPr>
      </w:pPr>
      <w:r w:rsidRPr="00EE37FD">
        <w:rPr>
          <w:rFonts w:cs="Arial"/>
          <w:b/>
        </w:rPr>
        <w:t>Regulation impact statement</w:t>
      </w:r>
    </w:p>
    <w:p w:rsidR="002979BE" w:rsidRDefault="002979BE" w:rsidP="00EE37FD">
      <w:pPr>
        <w:keepNext/>
        <w:keepLines/>
        <w:rPr>
          <w:rFonts w:cs="Arial"/>
        </w:rPr>
      </w:pPr>
    </w:p>
    <w:p w:rsidR="00EE37FD" w:rsidRPr="00EE37FD" w:rsidRDefault="00EE37FD" w:rsidP="00EE37FD">
      <w:pPr>
        <w:keepNext/>
        <w:keepLines/>
        <w:rPr>
          <w:rFonts w:cs="Arial"/>
        </w:rPr>
      </w:pPr>
      <w:r w:rsidRPr="00EE37FD">
        <w:rPr>
          <w:rFonts w:cs="Arial"/>
        </w:rPr>
        <w:t>Office of Best Practice Regulation was consulted in the preparation of this Determination and assessed that no Regulation Impact Statement was required as the Determination is consequential to the implementation of the National Quality Framework, for which</w:t>
      </w:r>
      <w:r w:rsidR="00125AB6">
        <w:rPr>
          <w:rFonts w:cs="Arial"/>
        </w:rPr>
        <w:t xml:space="preserve"> the </w:t>
      </w:r>
      <w:r w:rsidR="00125AB6" w:rsidRPr="00125AB6">
        <w:rPr>
          <w:rFonts w:cs="Arial"/>
        </w:rPr>
        <w:t>“</w:t>
      </w:r>
      <w:r w:rsidR="00125AB6" w:rsidRPr="00125AB6">
        <w:rPr>
          <w:rFonts w:cs="Arial"/>
          <w:i/>
        </w:rPr>
        <w:t>Regulation Impact Statement for Early Childhood Education and Care Quality Reforms, COAG Decision RIS, December 2009</w:t>
      </w:r>
      <w:r w:rsidR="00125AB6" w:rsidRPr="00125AB6">
        <w:rPr>
          <w:rFonts w:cs="Arial"/>
        </w:rPr>
        <w:t>”</w:t>
      </w:r>
      <w:r w:rsidR="00125AB6">
        <w:rPr>
          <w:rFonts w:cs="Arial"/>
        </w:rPr>
        <w:t xml:space="preserve"> was published in December 2009</w:t>
      </w:r>
      <w:r w:rsidRPr="00EE37FD">
        <w:rPr>
          <w:rFonts w:cs="Arial"/>
        </w:rPr>
        <w:t>. This Determination removes the conditions of approval for the family assistance law purposes with which the services in the specified class could not otherwise comply due to the cessation of the NCAC operation.</w:t>
      </w:r>
    </w:p>
    <w:p w:rsidR="003F6C8B" w:rsidRDefault="003F6C8B" w:rsidP="00657018">
      <w:pPr>
        <w:rPr>
          <w:rFonts w:cs="Arial"/>
        </w:rPr>
      </w:pPr>
    </w:p>
    <w:p w:rsidR="00145EDF" w:rsidRDefault="00145EDF" w:rsidP="000E3E49">
      <w:pPr>
        <w:outlineLvl w:val="0"/>
        <w:rPr>
          <w:rFonts w:cs="Arial"/>
          <w:b/>
        </w:rPr>
      </w:pPr>
    </w:p>
    <w:p w:rsidR="00AE16F5" w:rsidRDefault="00AE16F5" w:rsidP="000E3E49">
      <w:pPr>
        <w:outlineLvl w:val="0"/>
        <w:rPr>
          <w:rFonts w:cs="Arial"/>
          <w:b/>
        </w:rPr>
      </w:pPr>
      <w:r>
        <w:rPr>
          <w:rFonts w:cs="Arial"/>
          <w:b/>
        </w:rPr>
        <w:t xml:space="preserve">Explanation of </w:t>
      </w:r>
      <w:r w:rsidR="003F6C8B">
        <w:rPr>
          <w:rFonts w:cs="Arial"/>
          <w:b/>
        </w:rPr>
        <w:t>Provisions</w:t>
      </w:r>
    </w:p>
    <w:p w:rsidR="00AE16F5" w:rsidRDefault="00AE16F5" w:rsidP="00657018">
      <w:pPr>
        <w:rPr>
          <w:rFonts w:cs="Arial"/>
          <w:b/>
        </w:rPr>
      </w:pPr>
    </w:p>
    <w:p w:rsidR="009249A0" w:rsidRPr="009249A0" w:rsidRDefault="009249A0" w:rsidP="00657018">
      <w:pPr>
        <w:rPr>
          <w:rFonts w:cs="Arial"/>
          <w:i/>
        </w:rPr>
      </w:pPr>
      <w:r w:rsidRPr="009249A0">
        <w:rPr>
          <w:rFonts w:cs="Arial"/>
          <w:i/>
        </w:rPr>
        <w:t>Section 1 – Name of Determination</w:t>
      </w:r>
    </w:p>
    <w:p w:rsidR="009249A0" w:rsidRDefault="009249A0" w:rsidP="00657018">
      <w:pPr>
        <w:rPr>
          <w:rFonts w:cs="Arial"/>
          <w:b/>
        </w:rPr>
      </w:pPr>
    </w:p>
    <w:p w:rsidR="00DF5936" w:rsidRPr="00DF5936" w:rsidRDefault="00AE16F5" w:rsidP="00DF5936">
      <w:pPr>
        <w:rPr>
          <w:rFonts w:cs="Arial"/>
        </w:rPr>
      </w:pPr>
      <w:r w:rsidRPr="00533365">
        <w:rPr>
          <w:rFonts w:cs="Arial"/>
          <w:b/>
        </w:rPr>
        <w:t>Section 1</w:t>
      </w:r>
      <w:r w:rsidR="000C78E3">
        <w:rPr>
          <w:rFonts w:cs="Arial"/>
        </w:rPr>
        <w:t xml:space="preserve"> sets out the name of th</w:t>
      </w:r>
      <w:r w:rsidR="00561FEF">
        <w:rPr>
          <w:rFonts w:cs="Arial"/>
        </w:rPr>
        <w:t>is Determination</w:t>
      </w:r>
      <w:r w:rsidR="00DD09F1">
        <w:rPr>
          <w:rFonts w:cs="Arial"/>
        </w:rPr>
        <w:t xml:space="preserve">, which is the </w:t>
      </w:r>
      <w:r w:rsidR="00DD09F1" w:rsidRPr="00DF5936">
        <w:rPr>
          <w:rFonts w:cs="Arial"/>
          <w:i/>
        </w:rPr>
        <w:t xml:space="preserve">A New Tax System (Family Assistance) </w:t>
      </w:r>
      <w:r w:rsidR="00DD09F1">
        <w:rPr>
          <w:rFonts w:cs="Arial"/>
          <w:i/>
        </w:rPr>
        <w:t>(</w:t>
      </w:r>
      <w:r w:rsidR="00DD09F1" w:rsidRPr="00DF5936">
        <w:rPr>
          <w:rFonts w:cs="Arial"/>
          <w:i/>
        </w:rPr>
        <w:t>Administration) (Exemption from Eligibilit</w:t>
      </w:r>
      <w:r w:rsidR="007B05C5">
        <w:rPr>
          <w:rFonts w:cs="Arial"/>
          <w:i/>
        </w:rPr>
        <w:t>y Rules—Child Care Services of</w:t>
      </w:r>
      <w:r w:rsidR="00DD09F1" w:rsidRPr="00DF5936">
        <w:rPr>
          <w:rFonts w:cs="Arial"/>
          <w:i/>
        </w:rPr>
        <w:t xml:space="preserve"> Specified Class</w:t>
      </w:r>
      <w:r w:rsidR="007B05C5">
        <w:rPr>
          <w:rFonts w:cs="Arial"/>
          <w:i/>
        </w:rPr>
        <w:t>es</w:t>
      </w:r>
      <w:r w:rsidR="00DD09F1" w:rsidRPr="00DF5936">
        <w:rPr>
          <w:rFonts w:cs="Arial"/>
          <w:i/>
        </w:rPr>
        <w:t>) Determination 2011 (No.</w:t>
      </w:r>
      <w:r w:rsidR="004E3ADC">
        <w:rPr>
          <w:rFonts w:cs="Arial"/>
          <w:i/>
        </w:rPr>
        <w:t> </w:t>
      </w:r>
      <w:r w:rsidR="00DD09F1" w:rsidRPr="00DF5936">
        <w:rPr>
          <w:rFonts w:cs="Arial"/>
          <w:i/>
        </w:rPr>
        <w:t>1</w:t>
      </w:r>
      <w:r w:rsidR="00DD09F1" w:rsidRPr="00DF5936">
        <w:rPr>
          <w:rFonts w:cs="Arial"/>
        </w:rPr>
        <w:t>)</w:t>
      </w:r>
      <w:r w:rsidR="00DF5936">
        <w:rPr>
          <w:rFonts w:cs="Arial"/>
        </w:rPr>
        <w:t>.</w:t>
      </w:r>
    </w:p>
    <w:p w:rsidR="000C78E3" w:rsidRDefault="000C78E3" w:rsidP="00657018">
      <w:pPr>
        <w:rPr>
          <w:rFonts w:cs="Arial"/>
        </w:rPr>
      </w:pPr>
    </w:p>
    <w:p w:rsidR="009249A0" w:rsidRPr="009249A0" w:rsidRDefault="009249A0" w:rsidP="00657018">
      <w:pPr>
        <w:rPr>
          <w:rFonts w:cs="Arial"/>
          <w:i/>
        </w:rPr>
      </w:pPr>
      <w:r w:rsidRPr="009249A0">
        <w:rPr>
          <w:rFonts w:cs="Arial"/>
          <w:i/>
        </w:rPr>
        <w:t>Section 2 – Commencement</w:t>
      </w:r>
    </w:p>
    <w:p w:rsidR="009249A0" w:rsidRPr="009249A0" w:rsidRDefault="009249A0" w:rsidP="00657018">
      <w:pPr>
        <w:rPr>
          <w:rFonts w:cs="Arial"/>
          <w:i/>
        </w:rPr>
      </w:pPr>
    </w:p>
    <w:p w:rsidR="000C78E3" w:rsidRDefault="000C78E3" w:rsidP="00657018">
      <w:pPr>
        <w:rPr>
          <w:rFonts w:cs="Arial"/>
        </w:rPr>
      </w:pPr>
      <w:r w:rsidRPr="00533365">
        <w:rPr>
          <w:rFonts w:cs="Arial"/>
          <w:b/>
        </w:rPr>
        <w:t>Section 2</w:t>
      </w:r>
      <w:r>
        <w:rPr>
          <w:rFonts w:cs="Arial"/>
        </w:rPr>
        <w:t xml:space="preserve"> </w:t>
      </w:r>
      <w:r w:rsidR="00561FEF">
        <w:rPr>
          <w:rFonts w:cs="Arial"/>
        </w:rPr>
        <w:t>specifies</w:t>
      </w:r>
      <w:r>
        <w:rPr>
          <w:rFonts w:cs="Arial"/>
        </w:rPr>
        <w:t xml:space="preserve"> that </w:t>
      </w:r>
      <w:r w:rsidR="00561FEF">
        <w:rPr>
          <w:rFonts w:cs="Arial"/>
        </w:rPr>
        <w:t>this Determination</w:t>
      </w:r>
      <w:r>
        <w:rPr>
          <w:rFonts w:cs="Arial"/>
        </w:rPr>
        <w:t xml:space="preserve"> commences on the day after </w:t>
      </w:r>
      <w:r w:rsidR="00561FEF">
        <w:rPr>
          <w:rFonts w:cs="Arial"/>
        </w:rPr>
        <w:t>it is registered.</w:t>
      </w:r>
    </w:p>
    <w:p w:rsidR="005C26A2" w:rsidRDefault="005C26A2" w:rsidP="00657018">
      <w:pPr>
        <w:rPr>
          <w:rFonts w:cs="Arial"/>
        </w:rPr>
      </w:pPr>
    </w:p>
    <w:p w:rsidR="009249A0" w:rsidRPr="009249A0" w:rsidRDefault="009249A0" w:rsidP="00323BD9">
      <w:pPr>
        <w:keepNext/>
        <w:rPr>
          <w:rFonts w:cs="Arial"/>
          <w:i/>
        </w:rPr>
      </w:pPr>
      <w:r>
        <w:rPr>
          <w:rFonts w:cs="Arial"/>
          <w:i/>
        </w:rPr>
        <w:t xml:space="preserve">Section </w:t>
      </w:r>
      <w:r w:rsidRPr="009249A0">
        <w:rPr>
          <w:rFonts w:cs="Arial"/>
          <w:i/>
        </w:rPr>
        <w:t>3 - Definitions</w:t>
      </w:r>
    </w:p>
    <w:p w:rsidR="00F45ED2" w:rsidRDefault="00F45ED2" w:rsidP="00323BD9">
      <w:pPr>
        <w:keepNext/>
        <w:rPr>
          <w:rFonts w:cs="Arial"/>
          <w:b/>
        </w:rPr>
      </w:pPr>
    </w:p>
    <w:p w:rsidR="00C3280E" w:rsidRPr="008C1340" w:rsidRDefault="0088649F" w:rsidP="00323BD9">
      <w:pPr>
        <w:keepNext/>
      </w:pPr>
      <w:r w:rsidRPr="00CA2353">
        <w:rPr>
          <w:rFonts w:cs="Arial"/>
          <w:b/>
        </w:rPr>
        <w:t>Section 3</w:t>
      </w:r>
      <w:r>
        <w:rPr>
          <w:rFonts w:cs="Arial"/>
        </w:rPr>
        <w:t xml:space="preserve"> </w:t>
      </w:r>
      <w:r w:rsidR="00DD09F1">
        <w:rPr>
          <w:rFonts w:cs="Arial"/>
        </w:rPr>
        <w:t>sets out definitions of terms used in this Determination. It provides that a reference to ‘Act’ means the</w:t>
      </w:r>
      <w:r w:rsidR="00DD09F1" w:rsidRPr="00DD09F1">
        <w:rPr>
          <w:rFonts w:cs="Arial"/>
          <w:b/>
          <w:i/>
        </w:rPr>
        <w:t xml:space="preserve"> </w:t>
      </w:r>
      <w:r w:rsidR="00DD09F1">
        <w:rPr>
          <w:rFonts w:cs="Arial"/>
          <w:b/>
          <w:i/>
        </w:rPr>
        <w:t>A </w:t>
      </w:r>
      <w:r w:rsidR="00DD09F1" w:rsidRPr="00866B9E">
        <w:rPr>
          <w:rFonts w:cs="Arial"/>
          <w:b/>
          <w:i/>
        </w:rPr>
        <w:t>New Tax System (Family Assistance) (Administration) Act 1999</w:t>
      </w:r>
      <w:r w:rsidR="00DD09F1">
        <w:rPr>
          <w:rFonts w:cs="Arial"/>
          <w:i/>
        </w:rPr>
        <w:t xml:space="preserve"> </w:t>
      </w:r>
      <w:r w:rsidR="00DD09F1" w:rsidRPr="00DD09F1">
        <w:rPr>
          <w:rFonts w:cs="Arial"/>
        </w:rPr>
        <w:t xml:space="preserve">and a reference to ‘eligibility rues’ means </w:t>
      </w:r>
      <w:r w:rsidR="0078751E">
        <w:rPr>
          <w:rFonts w:cs="Arial"/>
        </w:rPr>
        <w:t xml:space="preserve">the </w:t>
      </w:r>
      <w:r w:rsidR="0078751E" w:rsidRPr="0078751E">
        <w:rPr>
          <w:rFonts w:cs="Arial"/>
          <w:i/>
        </w:rPr>
        <w:t>Child Care Benefit (Eligibility of Child Care Services for Approval and Continued Approval) Determination 2000</w:t>
      </w:r>
      <w:r w:rsidR="00DD09F1">
        <w:rPr>
          <w:rFonts w:cs="Arial"/>
          <w:i/>
        </w:rPr>
        <w:t>.</w:t>
      </w:r>
    </w:p>
    <w:p w:rsidR="0088649F" w:rsidRDefault="0088649F" w:rsidP="00657018">
      <w:pPr>
        <w:rPr>
          <w:rFonts w:cs="Arial"/>
        </w:rPr>
      </w:pPr>
    </w:p>
    <w:p w:rsidR="009249A0" w:rsidRPr="009249A0" w:rsidRDefault="009249A0" w:rsidP="00657018">
      <w:pPr>
        <w:rPr>
          <w:rFonts w:cs="Arial"/>
          <w:i/>
        </w:rPr>
      </w:pPr>
      <w:r w:rsidRPr="009249A0">
        <w:rPr>
          <w:rFonts w:cs="Arial"/>
          <w:i/>
        </w:rPr>
        <w:t>Section 4 – Exemption from eligibility rules</w:t>
      </w:r>
    </w:p>
    <w:p w:rsidR="009249A0" w:rsidRDefault="009249A0" w:rsidP="00657018">
      <w:pPr>
        <w:rPr>
          <w:rFonts w:cs="Arial"/>
        </w:rPr>
      </w:pPr>
    </w:p>
    <w:p w:rsidR="004535A8" w:rsidRPr="007645D7" w:rsidRDefault="004535A8" w:rsidP="00342BC8">
      <w:pPr>
        <w:rPr>
          <w:rFonts w:cs="Arial"/>
        </w:rPr>
      </w:pPr>
      <w:r w:rsidRPr="00533365">
        <w:rPr>
          <w:rFonts w:cs="Arial"/>
          <w:b/>
        </w:rPr>
        <w:t>Section 4</w:t>
      </w:r>
      <w:r>
        <w:rPr>
          <w:rFonts w:cs="Arial"/>
        </w:rPr>
        <w:t xml:space="preserve"> </w:t>
      </w:r>
      <w:r w:rsidR="00342BC8">
        <w:rPr>
          <w:rFonts w:cs="Arial"/>
        </w:rPr>
        <w:t xml:space="preserve">provides </w:t>
      </w:r>
      <w:r w:rsidR="00DD09F1">
        <w:rPr>
          <w:rFonts w:cs="Arial"/>
        </w:rPr>
        <w:t xml:space="preserve">for exemption of </w:t>
      </w:r>
      <w:r w:rsidR="00281AA4">
        <w:rPr>
          <w:rFonts w:cs="Arial"/>
        </w:rPr>
        <w:t>a child care service</w:t>
      </w:r>
      <w:r w:rsidR="00DD09F1">
        <w:rPr>
          <w:rFonts w:cs="Arial"/>
        </w:rPr>
        <w:t xml:space="preserve"> </w:t>
      </w:r>
      <w:r w:rsidR="00281AA4">
        <w:rPr>
          <w:rFonts w:cs="Arial"/>
        </w:rPr>
        <w:t xml:space="preserve">from the eligibility rules specified in section </w:t>
      </w:r>
      <w:r w:rsidR="009249A0">
        <w:rPr>
          <w:rFonts w:cs="Arial"/>
        </w:rPr>
        <w:t>6</w:t>
      </w:r>
      <w:r w:rsidR="00281AA4">
        <w:rPr>
          <w:rFonts w:cs="Arial"/>
        </w:rPr>
        <w:t xml:space="preserve">, </w:t>
      </w:r>
      <w:r w:rsidR="009249A0">
        <w:rPr>
          <w:rFonts w:cs="Arial"/>
        </w:rPr>
        <w:t>7</w:t>
      </w:r>
      <w:r w:rsidR="00281AA4">
        <w:rPr>
          <w:rFonts w:cs="Arial"/>
        </w:rPr>
        <w:t xml:space="preserve"> and </w:t>
      </w:r>
      <w:r w:rsidR="009249A0">
        <w:rPr>
          <w:rFonts w:cs="Arial"/>
        </w:rPr>
        <w:t>8</w:t>
      </w:r>
      <w:r w:rsidR="00281AA4">
        <w:rPr>
          <w:rFonts w:cs="Arial"/>
        </w:rPr>
        <w:t xml:space="preserve"> of this Determination</w:t>
      </w:r>
      <w:r w:rsidR="009C23CB">
        <w:rPr>
          <w:rFonts w:cs="Arial"/>
        </w:rPr>
        <w:t xml:space="preserve">, so that these rules will not apply </w:t>
      </w:r>
      <w:r w:rsidR="00AC5E41">
        <w:rPr>
          <w:rFonts w:cs="Arial"/>
        </w:rPr>
        <w:t>as a condition of approval and continued approval of that service</w:t>
      </w:r>
      <w:r w:rsidR="009C23CB">
        <w:rPr>
          <w:rFonts w:cs="Arial"/>
        </w:rPr>
        <w:t xml:space="preserve">, </w:t>
      </w:r>
      <w:r w:rsidR="00342BC8">
        <w:rPr>
          <w:rFonts w:cs="Arial"/>
        </w:rPr>
        <w:t xml:space="preserve">if </w:t>
      </w:r>
      <w:r w:rsidR="00281AA4">
        <w:rPr>
          <w:rFonts w:cs="Arial"/>
        </w:rPr>
        <w:t xml:space="preserve">the service is the one to which </w:t>
      </w:r>
      <w:r w:rsidR="00342BC8" w:rsidRPr="009249A0">
        <w:rPr>
          <w:rFonts w:cs="Arial"/>
        </w:rPr>
        <w:t xml:space="preserve">section </w:t>
      </w:r>
      <w:r w:rsidR="009249A0" w:rsidRPr="009249A0">
        <w:rPr>
          <w:rFonts w:cs="Arial"/>
        </w:rPr>
        <w:t>5</w:t>
      </w:r>
      <w:r w:rsidR="00342BC8" w:rsidRPr="009249A0">
        <w:rPr>
          <w:rFonts w:cs="Arial"/>
        </w:rPr>
        <w:t xml:space="preserve"> </w:t>
      </w:r>
      <w:r w:rsidR="00281AA4" w:rsidRPr="009249A0">
        <w:rPr>
          <w:rFonts w:cs="Arial"/>
        </w:rPr>
        <w:t>of</w:t>
      </w:r>
      <w:r w:rsidR="00281AA4">
        <w:rPr>
          <w:rFonts w:cs="Arial"/>
        </w:rPr>
        <w:t xml:space="preserve"> this Determination applies.</w:t>
      </w:r>
    </w:p>
    <w:p w:rsidR="00281AA4" w:rsidRDefault="00281AA4" w:rsidP="00281AA4">
      <w:pPr>
        <w:rPr>
          <w:rFonts w:cs="Arial"/>
          <w:b/>
        </w:rPr>
      </w:pPr>
    </w:p>
    <w:p w:rsidR="009249A0" w:rsidRPr="009249A0" w:rsidRDefault="009249A0" w:rsidP="00281AA4">
      <w:pPr>
        <w:rPr>
          <w:rFonts w:cs="Arial"/>
          <w:i/>
        </w:rPr>
      </w:pPr>
      <w:r w:rsidRPr="009249A0">
        <w:rPr>
          <w:rFonts w:cs="Arial"/>
          <w:i/>
        </w:rPr>
        <w:t>Section 5 – Specified classes</w:t>
      </w:r>
    </w:p>
    <w:p w:rsidR="009249A0" w:rsidRDefault="009249A0" w:rsidP="00281AA4">
      <w:pPr>
        <w:rPr>
          <w:rFonts w:cs="Arial"/>
          <w:b/>
        </w:rPr>
      </w:pPr>
    </w:p>
    <w:p w:rsidR="00281AA4" w:rsidRDefault="00281AA4" w:rsidP="00281AA4">
      <w:pPr>
        <w:rPr>
          <w:rFonts w:cs="Arial"/>
        </w:rPr>
      </w:pPr>
      <w:r w:rsidRPr="009249A0">
        <w:rPr>
          <w:rFonts w:cs="Arial"/>
          <w:b/>
        </w:rPr>
        <w:t>Section</w:t>
      </w:r>
      <w:r w:rsidR="009249A0" w:rsidRPr="009249A0">
        <w:rPr>
          <w:rFonts w:cs="Arial"/>
          <w:b/>
        </w:rPr>
        <w:t xml:space="preserve"> 5</w:t>
      </w:r>
      <w:r w:rsidR="009249A0">
        <w:rPr>
          <w:rFonts w:cs="Arial"/>
          <w:b/>
        </w:rPr>
        <w:t xml:space="preserve"> </w:t>
      </w:r>
      <w:r w:rsidR="009249A0" w:rsidRPr="009249A0">
        <w:rPr>
          <w:rFonts w:cs="Arial"/>
        </w:rPr>
        <w:t>applies to</w:t>
      </w:r>
      <w:r>
        <w:rPr>
          <w:rFonts w:cs="Arial"/>
        </w:rPr>
        <w:t xml:space="preserve">: </w:t>
      </w:r>
    </w:p>
    <w:p w:rsidR="00281AA4" w:rsidRPr="0078751E" w:rsidRDefault="00145EDF" w:rsidP="00281AA4">
      <w:pPr>
        <w:pStyle w:val="ListParagraph"/>
        <w:numPr>
          <w:ilvl w:val="0"/>
          <w:numId w:val="12"/>
        </w:numPr>
        <w:rPr>
          <w:rFonts w:cs="Arial"/>
        </w:rPr>
      </w:pPr>
      <w:r>
        <w:rPr>
          <w:rFonts w:cs="Arial"/>
        </w:rPr>
        <w:t xml:space="preserve">a </w:t>
      </w:r>
      <w:r w:rsidR="00281AA4" w:rsidRPr="0078751E">
        <w:rPr>
          <w:rFonts w:cs="Arial"/>
        </w:rPr>
        <w:t>cent</w:t>
      </w:r>
      <w:r w:rsidR="009249A0">
        <w:rPr>
          <w:rFonts w:cs="Arial"/>
        </w:rPr>
        <w:t>re based long day care service,</w:t>
      </w:r>
    </w:p>
    <w:p w:rsidR="009249A0" w:rsidRDefault="00145EDF" w:rsidP="00281AA4">
      <w:pPr>
        <w:pStyle w:val="ListParagraph"/>
        <w:numPr>
          <w:ilvl w:val="0"/>
          <w:numId w:val="12"/>
        </w:numPr>
        <w:rPr>
          <w:rFonts w:cs="Arial"/>
        </w:rPr>
      </w:pPr>
      <w:r>
        <w:rPr>
          <w:rFonts w:cs="Arial"/>
        </w:rPr>
        <w:t xml:space="preserve">a </w:t>
      </w:r>
      <w:r w:rsidR="00281AA4" w:rsidRPr="009249A0">
        <w:rPr>
          <w:rFonts w:cs="Arial"/>
        </w:rPr>
        <w:t xml:space="preserve">family day care service, </w:t>
      </w:r>
      <w:r w:rsidR="009249A0">
        <w:rPr>
          <w:rFonts w:cs="Arial"/>
        </w:rPr>
        <w:t>and</w:t>
      </w:r>
    </w:p>
    <w:p w:rsidR="00281AA4" w:rsidRPr="009249A0" w:rsidRDefault="00145EDF" w:rsidP="00281AA4">
      <w:pPr>
        <w:pStyle w:val="ListParagraph"/>
        <w:numPr>
          <w:ilvl w:val="0"/>
          <w:numId w:val="12"/>
        </w:numPr>
        <w:rPr>
          <w:rFonts w:cs="Arial"/>
        </w:rPr>
      </w:pPr>
      <w:r>
        <w:rPr>
          <w:rFonts w:cs="Arial"/>
        </w:rPr>
        <w:t xml:space="preserve">an </w:t>
      </w:r>
      <w:r w:rsidR="00281AA4" w:rsidRPr="009249A0">
        <w:rPr>
          <w:rFonts w:cs="Arial"/>
        </w:rPr>
        <w:t xml:space="preserve">outside school hours care service </w:t>
      </w:r>
    </w:p>
    <w:p w:rsidR="009249A0" w:rsidRDefault="009249A0" w:rsidP="00281AA4">
      <w:pPr>
        <w:rPr>
          <w:rFonts w:cs="Arial"/>
        </w:rPr>
      </w:pPr>
    </w:p>
    <w:p w:rsidR="00D45889" w:rsidRDefault="009249A0" w:rsidP="00281AA4">
      <w:pPr>
        <w:rPr>
          <w:rFonts w:cs="Arial"/>
        </w:rPr>
      </w:pPr>
      <w:proofErr w:type="gramStart"/>
      <w:r>
        <w:rPr>
          <w:rFonts w:cs="Arial"/>
        </w:rPr>
        <w:t>but</w:t>
      </w:r>
      <w:proofErr w:type="gramEnd"/>
      <w:r>
        <w:rPr>
          <w:rFonts w:cs="Arial"/>
        </w:rPr>
        <w:t xml:space="preserve"> only if </w:t>
      </w:r>
      <w:r w:rsidR="00281AA4" w:rsidRPr="0078751E">
        <w:rPr>
          <w:rFonts w:cs="Arial"/>
        </w:rPr>
        <w:t xml:space="preserve">an application for approval of </w:t>
      </w:r>
      <w:r w:rsidR="007D5B5E">
        <w:rPr>
          <w:rFonts w:cs="Arial"/>
        </w:rPr>
        <w:t>such a</w:t>
      </w:r>
      <w:r w:rsidR="00281AA4" w:rsidRPr="0078751E">
        <w:rPr>
          <w:rFonts w:cs="Arial"/>
        </w:rPr>
        <w:t xml:space="preserve"> service for the purposes of the family assistance law</w:t>
      </w:r>
      <w:r w:rsidR="00D45889">
        <w:rPr>
          <w:rFonts w:cs="Arial"/>
        </w:rPr>
        <w:t xml:space="preserve"> </w:t>
      </w:r>
      <w:r w:rsidR="00281AA4" w:rsidRPr="0078751E">
        <w:rPr>
          <w:rFonts w:cs="Arial"/>
        </w:rPr>
        <w:t xml:space="preserve">is </w:t>
      </w:r>
      <w:r w:rsidR="00E30987">
        <w:rPr>
          <w:rFonts w:cs="Arial"/>
        </w:rPr>
        <w:t>determined</w:t>
      </w:r>
      <w:r w:rsidR="00281AA4" w:rsidRPr="0078751E">
        <w:rPr>
          <w:rFonts w:cs="Arial"/>
        </w:rPr>
        <w:t xml:space="preserve"> on or after 1 November 2011</w:t>
      </w:r>
      <w:r w:rsidR="00E30987">
        <w:rPr>
          <w:rFonts w:cs="Arial"/>
        </w:rPr>
        <w:t xml:space="preserve">, </w:t>
      </w:r>
      <w:r w:rsidR="00AC5E41">
        <w:rPr>
          <w:rFonts w:cs="Arial"/>
        </w:rPr>
        <w:t>(</w:t>
      </w:r>
      <w:r w:rsidR="00E30987">
        <w:rPr>
          <w:rFonts w:cs="Arial"/>
        </w:rPr>
        <w:t>irrespective of whether the application for approval is made before or after 1</w:t>
      </w:r>
      <w:r w:rsidR="00D45889">
        <w:rPr>
          <w:rFonts w:cs="Arial"/>
        </w:rPr>
        <w:t> </w:t>
      </w:r>
      <w:r w:rsidR="00E30987">
        <w:rPr>
          <w:rFonts w:cs="Arial"/>
        </w:rPr>
        <w:t>November 2011</w:t>
      </w:r>
      <w:r w:rsidR="00AC5E41">
        <w:rPr>
          <w:rFonts w:cs="Arial"/>
        </w:rPr>
        <w:t>)</w:t>
      </w:r>
      <w:r w:rsidR="00E30987">
        <w:rPr>
          <w:rFonts w:cs="Arial"/>
        </w:rPr>
        <w:t>.</w:t>
      </w:r>
      <w:r w:rsidR="00D45889" w:rsidRPr="00D45889">
        <w:rPr>
          <w:rFonts w:cs="Arial"/>
        </w:rPr>
        <w:t xml:space="preserve"> </w:t>
      </w:r>
      <w:r w:rsidR="00D45889">
        <w:rPr>
          <w:rFonts w:cs="Arial"/>
        </w:rPr>
        <w:t>Application for a service’s approval is made under section 194 of the Act and a determination of the application is made under section 195 of the Act.</w:t>
      </w:r>
    </w:p>
    <w:p w:rsidR="00281AA4" w:rsidRDefault="00281AA4" w:rsidP="00281AA4">
      <w:pPr>
        <w:rPr>
          <w:rFonts w:cs="Arial"/>
        </w:rPr>
      </w:pPr>
    </w:p>
    <w:p w:rsidR="00281AA4" w:rsidRPr="0078751E" w:rsidRDefault="00D45889" w:rsidP="00281AA4">
      <w:pPr>
        <w:rPr>
          <w:rFonts w:cs="Arial"/>
        </w:rPr>
      </w:pPr>
      <w:r>
        <w:rPr>
          <w:rFonts w:cs="Arial"/>
        </w:rPr>
        <w:t>A</w:t>
      </w:r>
      <w:r w:rsidR="00281AA4">
        <w:rPr>
          <w:rFonts w:cs="Arial"/>
        </w:rPr>
        <w:t xml:space="preserve"> note to section </w:t>
      </w:r>
      <w:r w:rsidR="00E30987">
        <w:rPr>
          <w:rFonts w:cs="Arial"/>
        </w:rPr>
        <w:t>5</w:t>
      </w:r>
      <w:r w:rsidR="00281AA4">
        <w:rPr>
          <w:rFonts w:cs="Arial"/>
        </w:rPr>
        <w:t xml:space="preserve"> </w:t>
      </w:r>
      <w:r>
        <w:rPr>
          <w:rFonts w:cs="Arial"/>
        </w:rPr>
        <w:t>informs the reader about the operation of sections 194 and 195 of the Act. S</w:t>
      </w:r>
      <w:r w:rsidR="00281AA4" w:rsidRPr="0078751E">
        <w:rPr>
          <w:rFonts w:cs="Arial"/>
        </w:rPr>
        <w:t xml:space="preserve">ection 194 of the </w:t>
      </w:r>
      <w:r w:rsidR="00281AA4">
        <w:rPr>
          <w:rFonts w:cs="Arial"/>
        </w:rPr>
        <w:t xml:space="preserve">Act </w:t>
      </w:r>
      <w:r w:rsidR="00281AA4" w:rsidRPr="0078751E">
        <w:rPr>
          <w:rFonts w:cs="Arial"/>
        </w:rPr>
        <w:t xml:space="preserve">provides </w:t>
      </w:r>
      <w:r w:rsidR="00281AA4">
        <w:rPr>
          <w:rFonts w:cs="Arial"/>
        </w:rPr>
        <w:t>that</w:t>
      </w:r>
      <w:r w:rsidR="00281AA4" w:rsidRPr="0078751E">
        <w:rPr>
          <w:rFonts w:cs="Arial"/>
        </w:rPr>
        <w:t xml:space="preserve"> </w:t>
      </w:r>
      <w:r>
        <w:rPr>
          <w:rFonts w:cs="Arial"/>
        </w:rPr>
        <w:t xml:space="preserve">a </w:t>
      </w:r>
      <w:r w:rsidR="00281AA4" w:rsidRPr="0078751E">
        <w:rPr>
          <w:rFonts w:cs="Arial"/>
        </w:rPr>
        <w:t>person who operates or proposes to operate a kind of a child care service specified in that section, including a centre based long day care service, family day care service and outside school hours care service</w:t>
      </w:r>
      <w:r w:rsidR="00281AA4">
        <w:rPr>
          <w:rFonts w:cs="Arial"/>
        </w:rPr>
        <w:t>,</w:t>
      </w:r>
      <w:r w:rsidR="00281AA4" w:rsidRPr="0078751E">
        <w:rPr>
          <w:rFonts w:cs="Arial"/>
        </w:rPr>
        <w:t xml:space="preserve"> may apply for approval of the service for the purposes of the family assistance law. </w:t>
      </w:r>
      <w:r>
        <w:rPr>
          <w:rFonts w:cs="Arial"/>
        </w:rPr>
        <w:t xml:space="preserve">Section </w:t>
      </w:r>
      <w:r w:rsidR="00AB0E14">
        <w:rPr>
          <w:rFonts w:cs="Arial"/>
        </w:rPr>
        <w:t>195</w:t>
      </w:r>
      <w:r>
        <w:rPr>
          <w:rFonts w:cs="Arial"/>
        </w:rPr>
        <w:t xml:space="preserve"> specifies when the Secretary must approve, or must refuse to approve, a child care service, for the purposes of the family assistance law.</w:t>
      </w:r>
    </w:p>
    <w:p w:rsidR="00533365" w:rsidRPr="009249A0" w:rsidRDefault="00533365" w:rsidP="00657018">
      <w:pPr>
        <w:rPr>
          <w:rFonts w:cs="Arial"/>
          <w:i/>
        </w:rPr>
      </w:pPr>
    </w:p>
    <w:p w:rsidR="009249A0" w:rsidRPr="009249A0" w:rsidRDefault="009249A0" w:rsidP="00657018">
      <w:pPr>
        <w:rPr>
          <w:rFonts w:cs="Arial"/>
          <w:i/>
        </w:rPr>
      </w:pPr>
      <w:r w:rsidRPr="009249A0">
        <w:rPr>
          <w:rFonts w:cs="Arial"/>
          <w:i/>
        </w:rPr>
        <w:t>Section 6 – Centre based long day care servic</w:t>
      </w:r>
      <w:r>
        <w:rPr>
          <w:rFonts w:cs="Arial"/>
          <w:i/>
        </w:rPr>
        <w:t>e</w:t>
      </w:r>
      <w:r w:rsidRPr="009249A0">
        <w:rPr>
          <w:rFonts w:cs="Arial"/>
          <w:i/>
        </w:rPr>
        <w:t>s</w:t>
      </w:r>
    </w:p>
    <w:p w:rsidR="009249A0" w:rsidRDefault="009249A0" w:rsidP="00DF5936">
      <w:pPr>
        <w:rPr>
          <w:rFonts w:cs="Arial"/>
          <w:b/>
        </w:rPr>
      </w:pPr>
    </w:p>
    <w:p w:rsidR="00342BC8" w:rsidRDefault="0088649F" w:rsidP="00DF5936">
      <w:pPr>
        <w:rPr>
          <w:rFonts w:cs="Arial"/>
        </w:rPr>
      </w:pPr>
      <w:r w:rsidRPr="00533365">
        <w:rPr>
          <w:rFonts w:cs="Arial"/>
          <w:b/>
        </w:rPr>
        <w:t xml:space="preserve">Section </w:t>
      </w:r>
      <w:r w:rsidR="009249A0">
        <w:rPr>
          <w:rFonts w:cs="Arial"/>
          <w:b/>
        </w:rPr>
        <w:t>6</w:t>
      </w:r>
      <w:r>
        <w:rPr>
          <w:rFonts w:cs="Arial"/>
        </w:rPr>
        <w:t xml:space="preserve"> provides</w:t>
      </w:r>
      <w:r w:rsidR="00342BC8">
        <w:rPr>
          <w:rFonts w:cs="Arial"/>
        </w:rPr>
        <w:t xml:space="preserve"> that a centre based long day care service is exempt from: </w:t>
      </w:r>
    </w:p>
    <w:p w:rsidR="00DF5936" w:rsidRDefault="00342BC8" w:rsidP="00342BC8">
      <w:pPr>
        <w:pStyle w:val="ListParagraph"/>
        <w:numPr>
          <w:ilvl w:val="0"/>
          <w:numId w:val="11"/>
        </w:numPr>
        <w:rPr>
          <w:rFonts w:cs="Arial"/>
        </w:rPr>
      </w:pPr>
      <w:r w:rsidRPr="00342BC8">
        <w:rPr>
          <w:rFonts w:cs="Arial"/>
        </w:rPr>
        <w:t xml:space="preserve">the </w:t>
      </w:r>
      <w:r>
        <w:rPr>
          <w:rFonts w:cs="Arial"/>
        </w:rPr>
        <w:t>condition for approval</w:t>
      </w:r>
      <w:r w:rsidRPr="00342BC8">
        <w:rPr>
          <w:rFonts w:cs="Arial"/>
        </w:rPr>
        <w:t xml:space="preserve"> in </w:t>
      </w:r>
      <w:r>
        <w:rPr>
          <w:rFonts w:cs="Arial"/>
        </w:rPr>
        <w:t xml:space="preserve">section </w:t>
      </w:r>
      <w:r w:rsidRPr="00342BC8">
        <w:rPr>
          <w:rFonts w:cs="Arial"/>
        </w:rPr>
        <w:t xml:space="preserve">14 </w:t>
      </w:r>
      <w:r>
        <w:rPr>
          <w:rFonts w:cs="Arial"/>
        </w:rPr>
        <w:t xml:space="preserve">of the </w:t>
      </w:r>
      <w:r w:rsidR="00D45889">
        <w:rPr>
          <w:rFonts w:cs="Arial"/>
        </w:rPr>
        <w:t>e</w:t>
      </w:r>
      <w:r>
        <w:rPr>
          <w:rFonts w:cs="Arial"/>
        </w:rPr>
        <w:t xml:space="preserve">ligibility </w:t>
      </w:r>
      <w:r w:rsidR="00D45889">
        <w:rPr>
          <w:rFonts w:cs="Arial"/>
        </w:rPr>
        <w:t>r</w:t>
      </w:r>
      <w:r>
        <w:rPr>
          <w:rFonts w:cs="Arial"/>
        </w:rPr>
        <w:t>ules</w:t>
      </w:r>
      <w:r w:rsidR="00D45889">
        <w:rPr>
          <w:rFonts w:cs="Arial"/>
        </w:rPr>
        <w:t xml:space="preserve">; this condition is </w:t>
      </w:r>
      <w:r w:rsidRPr="00342BC8">
        <w:rPr>
          <w:rFonts w:cs="Arial"/>
        </w:rPr>
        <w:t xml:space="preserve">that </w:t>
      </w:r>
      <w:r>
        <w:rPr>
          <w:rFonts w:cs="Arial"/>
        </w:rPr>
        <w:t>the service is registered as a participant in the Quality Improvement and Accreditation System</w:t>
      </w:r>
      <w:r w:rsidR="00D45889">
        <w:rPr>
          <w:rFonts w:cs="Arial"/>
        </w:rPr>
        <w:t xml:space="preserve"> (QIAS)</w:t>
      </w:r>
      <w:r>
        <w:rPr>
          <w:rFonts w:cs="Arial"/>
        </w:rPr>
        <w:t>; and</w:t>
      </w:r>
    </w:p>
    <w:p w:rsidR="00342BC8" w:rsidRPr="00342BC8" w:rsidRDefault="00342BC8" w:rsidP="00342BC8">
      <w:pPr>
        <w:pStyle w:val="ListParagraph"/>
        <w:numPr>
          <w:ilvl w:val="0"/>
          <w:numId w:val="11"/>
        </w:numPr>
        <w:rPr>
          <w:rFonts w:cs="Arial"/>
        </w:rPr>
      </w:pPr>
      <w:proofErr w:type="gramStart"/>
      <w:r>
        <w:rPr>
          <w:rFonts w:cs="Arial"/>
        </w:rPr>
        <w:t>the</w:t>
      </w:r>
      <w:proofErr w:type="gramEnd"/>
      <w:r>
        <w:rPr>
          <w:rFonts w:cs="Arial"/>
        </w:rPr>
        <w:t xml:space="preserve"> condition for continued approval in section 23</w:t>
      </w:r>
      <w:r w:rsidR="006175F3" w:rsidRPr="006175F3">
        <w:rPr>
          <w:rFonts w:cs="Arial"/>
        </w:rPr>
        <w:t xml:space="preserve"> of the </w:t>
      </w:r>
      <w:r w:rsidR="00D45889">
        <w:rPr>
          <w:rFonts w:cs="Arial"/>
        </w:rPr>
        <w:t>e</w:t>
      </w:r>
      <w:r w:rsidR="006175F3" w:rsidRPr="006175F3">
        <w:rPr>
          <w:rFonts w:cs="Arial"/>
        </w:rPr>
        <w:t xml:space="preserve">ligibility </w:t>
      </w:r>
      <w:r w:rsidR="00D45889">
        <w:rPr>
          <w:rFonts w:cs="Arial"/>
        </w:rPr>
        <w:t>r</w:t>
      </w:r>
      <w:r w:rsidR="006175F3" w:rsidRPr="006175F3">
        <w:rPr>
          <w:rFonts w:cs="Arial"/>
        </w:rPr>
        <w:t>ules</w:t>
      </w:r>
      <w:r w:rsidR="00D45889">
        <w:rPr>
          <w:rFonts w:cs="Arial"/>
        </w:rPr>
        <w:t>; this condition is</w:t>
      </w:r>
      <w:r>
        <w:rPr>
          <w:rFonts w:cs="Arial"/>
        </w:rPr>
        <w:t xml:space="preserve"> that the service participates in the QIAS.</w:t>
      </w:r>
    </w:p>
    <w:p w:rsidR="001365E5" w:rsidRDefault="001365E5" w:rsidP="00657018">
      <w:pPr>
        <w:rPr>
          <w:rFonts w:cs="Arial"/>
        </w:rPr>
      </w:pPr>
    </w:p>
    <w:p w:rsidR="009249A0" w:rsidRPr="009249A0" w:rsidRDefault="009249A0" w:rsidP="00657018">
      <w:pPr>
        <w:rPr>
          <w:rFonts w:cs="Arial"/>
          <w:i/>
        </w:rPr>
      </w:pPr>
      <w:r w:rsidRPr="009249A0">
        <w:rPr>
          <w:rFonts w:cs="Arial"/>
          <w:i/>
        </w:rPr>
        <w:t>Section 7 – Family day care services</w:t>
      </w:r>
    </w:p>
    <w:p w:rsidR="009249A0" w:rsidRDefault="009249A0" w:rsidP="00657018">
      <w:pPr>
        <w:rPr>
          <w:rFonts w:cs="Arial"/>
        </w:rPr>
      </w:pPr>
    </w:p>
    <w:p w:rsidR="00342BC8" w:rsidRPr="00342BC8" w:rsidRDefault="000E0F1E" w:rsidP="00342BC8">
      <w:pPr>
        <w:rPr>
          <w:rFonts w:cs="Arial"/>
        </w:rPr>
      </w:pPr>
      <w:r w:rsidRPr="00533365">
        <w:rPr>
          <w:rFonts w:cs="Arial"/>
          <w:b/>
        </w:rPr>
        <w:t xml:space="preserve">Section </w:t>
      </w:r>
      <w:r w:rsidR="009249A0">
        <w:rPr>
          <w:rFonts w:cs="Arial"/>
          <w:b/>
        </w:rPr>
        <w:t>7</w:t>
      </w:r>
      <w:r>
        <w:rPr>
          <w:rFonts w:cs="Arial"/>
        </w:rPr>
        <w:t xml:space="preserve"> </w:t>
      </w:r>
      <w:r w:rsidR="00B57FD0">
        <w:rPr>
          <w:rFonts w:cs="Arial"/>
        </w:rPr>
        <w:t>provides</w:t>
      </w:r>
      <w:r w:rsidR="00342BC8" w:rsidRPr="00342BC8">
        <w:rPr>
          <w:rFonts w:cs="Arial"/>
        </w:rPr>
        <w:t xml:space="preserve"> that a </w:t>
      </w:r>
      <w:r w:rsidR="00342BC8">
        <w:rPr>
          <w:rFonts w:cs="Arial"/>
        </w:rPr>
        <w:t>family</w:t>
      </w:r>
      <w:r w:rsidR="00342BC8" w:rsidRPr="00342BC8">
        <w:rPr>
          <w:rFonts w:cs="Arial"/>
        </w:rPr>
        <w:t xml:space="preserve"> day care service is exempt from: </w:t>
      </w:r>
    </w:p>
    <w:p w:rsidR="00342BC8" w:rsidRPr="00342BC8" w:rsidRDefault="00342BC8" w:rsidP="00342BC8">
      <w:pPr>
        <w:numPr>
          <w:ilvl w:val="0"/>
          <w:numId w:val="11"/>
        </w:numPr>
        <w:rPr>
          <w:rFonts w:cs="Arial"/>
        </w:rPr>
      </w:pPr>
      <w:r w:rsidRPr="00342BC8">
        <w:rPr>
          <w:rFonts w:cs="Arial"/>
        </w:rPr>
        <w:t>the condition for approval in section 14</w:t>
      </w:r>
      <w:r w:rsidR="002A6332">
        <w:rPr>
          <w:rFonts w:cs="Arial"/>
        </w:rPr>
        <w:t>A</w:t>
      </w:r>
      <w:r w:rsidRPr="00342BC8">
        <w:rPr>
          <w:rFonts w:cs="Arial"/>
        </w:rPr>
        <w:t xml:space="preserve"> of the </w:t>
      </w:r>
      <w:r w:rsidR="00D45889">
        <w:rPr>
          <w:rFonts w:cs="Arial"/>
        </w:rPr>
        <w:t>e</w:t>
      </w:r>
      <w:r w:rsidRPr="00342BC8">
        <w:rPr>
          <w:rFonts w:cs="Arial"/>
        </w:rPr>
        <w:t xml:space="preserve">ligibility </w:t>
      </w:r>
      <w:r w:rsidR="00D45889">
        <w:rPr>
          <w:rFonts w:cs="Arial"/>
        </w:rPr>
        <w:t>r</w:t>
      </w:r>
      <w:r w:rsidRPr="00342BC8">
        <w:rPr>
          <w:rFonts w:cs="Arial"/>
        </w:rPr>
        <w:t>ules</w:t>
      </w:r>
      <w:r w:rsidR="00D45889">
        <w:rPr>
          <w:rFonts w:cs="Arial"/>
        </w:rPr>
        <w:t>; this condition is that</w:t>
      </w:r>
      <w:r w:rsidRPr="00342BC8">
        <w:rPr>
          <w:rFonts w:cs="Arial"/>
        </w:rPr>
        <w:t xml:space="preserve"> the service is registered as a participant in the </w:t>
      </w:r>
      <w:r w:rsidR="005511EE">
        <w:rPr>
          <w:rFonts w:cs="Arial"/>
        </w:rPr>
        <w:t xml:space="preserve">Family Day Care </w:t>
      </w:r>
      <w:r w:rsidR="006175F3">
        <w:rPr>
          <w:rFonts w:cs="Arial"/>
        </w:rPr>
        <w:t>Quality Assurance system</w:t>
      </w:r>
      <w:r w:rsidRPr="00342BC8">
        <w:rPr>
          <w:rFonts w:cs="Arial"/>
        </w:rPr>
        <w:t xml:space="preserve"> (</w:t>
      </w:r>
      <w:r w:rsidR="006175F3">
        <w:rPr>
          <w:rFonts w:cs="Arial"/>
        </w:rPr>
        <w:t>FDC QA</w:t>
      </w:r>
      <w:r w:rsidRPr="00342BC8">
        <w:rPr>
          <w:rFonts w:cs="Arial"/>
        </w:rPr>
        <w:t>); and</w:t>
      </w:r>
    </w:p>
    <w:p w:rsidR="00B57FD0" w:rsidRDefault="00342BC8" w:rsidP="006175F3">
      <w:pPr>
        <w:numPr>
          <w:ilvl w:val="0"/>
          <w:numId w:val="11"/>
        </w:numPr>
        <w:rPr>
          <w:rFonts w:cs="Arial"/>
        </w:rPr>
      </w:pPr>
      <w:proofErr w:type="gramStart"/>
      <w:r w:rsidRPr="00342BC8">
        <w:rPr>
          <w:rFonts w:cs="Arial"/>
        </w:rPr>
        <w:t>the</w:t>
      </w:r>
      <w:proofErr w:type="gramEnd"/>
      <w:r w:rsidRPr="00342BC8">
        <w:rPr>
          <w:rFonts w:cs="Arial"/>
        </w:rPr>
        <w:t xml:space="preserve"> condition for continued approval in section 23</w:t>
      </w:r>
      <w:r w:rsidR="006175F3">
        <w:rPr>
          <w:rFonts w:cs="Arial"/>
        </w:rPr>
        <w:t>A</w:t>
      </w:r>
      <w:r w:rsidR="006175F3" w:rsidRPr="006175F3">
        <w:rPr>
          <w:rFonts w:cs="Arial"/>
        </w:rPr>
        <w:t xml:space="preserve"> of the </w:t>
      </w:r>
      <w:r w:rsidR="00D45889">
        <w:rPr>
          <w:rFonts w:cs="Arial"/>
        </w:rPr>
        <w:t>e</w:t>
      </w:r>
      <w:r w:rsidR="006175F3" w:rsidRPr="006175F3">
        <w:rPr>
          <w:rFonts w:cs="Arial"/>
        </w:rPr>
        <w:t xml:space="preserve">ligibility </w:t>
      </w:r>
      <w:r w:rsidR="00D45889">
        <w:rPr>
          <w:rFonts w:cs="Arial"/>
        </w:rPr>
        <w:t>r</w:t>
      </w:r>
      <w:r w:rsidR="006175F3" w:rsidRPr="006175F3">
        <w:rPr>
          <w:rFonts w:cs="Arial"/>
        </w:rPr>
        <w:t>ules</w:t>
      </w:r>
      <w:r w:rsidR="00D45889">
        <w:rPr>
          <w:rFonts w:cs="Arial"/>
        </w:rPr>
        <w:t>; this condition is</w:t>
      </w:r>
      <w:r w:rsidRPr="00342BC8">
        <w:rPr>
          <w:rFonts w:cs="Arial"/>
        </w:rPr>
        <w:t xml:space="preserve"> that the service participates in the </w:t>
      </w:r>
      <w:r w:rsidR="006175F3">
        <w:rPr>
          <w:rFonts w:cs="Arial"/>
        </w:rPr>
        <w:t>FDC QA</w:t>
      </w:r>
      <w:r w:rsidR="00FA0432">
        <w:rPr>
          <w:rFonts w:cs="Arial"/>
        </w:rPr>
        <w:t>.</w:t>
      </w:r>
    </w:p>
    <w:p w:rsidR="00DF5936" w:rsidRDefault="00DF5936" w:rsidP="00B57FD0">
      <w:pPr>
        <w:rPr>
          <w:rFonts w:cs="Arial"/>
        </w:rPr>
      </w:pPr>
    </w:p>
    <w:p w:rsidR="009249A0" w:rsidRPr="009249A0" w:rsidRDefault="009249A0" w:rsidP="00323BD9">
      <w:pPr>
        <w:keepNext/>
        <w:rPr>
          <w:rFonts w:cs="Arial"/>
          <w:i/>
        </w:rPr>
      </w:pPr>
      <w:r w:rsidRPr="009249A0">
        <w:rPr>
          <w:rFonts w:cs="Arial"/>
          <w:i/>
        </w:rPr>
        <w:t>Section 8 – Outside school hours care services</w:t>
      </w:r>
    </w:p>
    <w:p w:rsidR="009249A0" w:rsidRDefault="009249A0" w:rsidP="00323BD9">
      <w:pPr>
        <w:keepNext/>
        <w:rPr>
          <w:rFonts w:cs="Arial"/>
        </w:rPr>
      </w:pPr>
    </w:p>
    <w:p w:rsidR="00342BC8" w:rsidRPr="00342BC8" w:rsidRDefault="00DF5936" w:rsidP="00323BD9">
      <w:pPr>
        <w:keepNext/>
        <w:rPr>
          <w:rFonts w:cs="Arial"/>
        </w:rPr>
      </w:pPr>
      <w:r w:rsidRPr="00DF5936">
        <w:rPr>
          <w:rFonts w:cs="Arial"/>
          <w:b/>
        </w:rPr>
        <w:t xml:space="preserve">Section </w:t>
      </w:r>
      <w:r w:rsidR="009249A0">
        <w:rPr>
          <w:rFonts w:cs="Arial"/>
          <w:b/>
        </w:rPr>
        <w:t>8</w:t>
      </w:r>
      <w:r w:rsidRPr="00DF5936">
        <w:rPr>
          <w:rFonts w:cs="Arial"/>
        </w:rPr>
        <w:t xml:space="preserve"> provides</w:t>
      </w:r>
      <w:r w:rsidR="00342BC8" w:rsidRPr="00342BC8">
        <w:rPr>
          <w:rFonts w:cs="Arial"/>
        </w:rPr>
        <w:t xml:space="preserve"> that </w:t>
      </w:r>
      <w:proofErr w:type="gramStart"/>
      <w:r w:rsidR="00342BC8" w:rsidRPr="00342BC8">
        <w:rPr>
          <w:rFonts w:cs="Arial"/>
        </w:rPr>
        <w:t>a</w:t>
      </w:r>
      <w:proofErr w:type="gramEnd"/>
      <w:r w:rsidR="00342BC8" w:rsidRPr="00342BC8">
        <w:rPr>
          <w:rFonts w:cs="Arial"/>
        </w:rPr>
        <w:t xml:space="preserve"> </w:t>
      </w:r>
      <w:r w:rsidR="0078751E">
        <w:rPr>
          <w:rFonts w:cs="Arial"/>
        </w:rPr>
        <w:t xml:space="preserve">outside school hours </w:t>
      </w:r>
      <w:r w:rsidR="00342BC8" w:rsidRPr="00342BC8">
        <w:rPr>
          <w:rFonts w:cs="Arial"/>
        </w:rPr>
        <w:t xml:space="preserve">care service is exempt from: </w:t>
      </w:r>
    </w:p>
    <w:p w:rsidR="00342BC8" w:rsidRPr="00342BC8" w:rsidRDefault="00342BC8" w:rsidP="00323BD9">
      <w:pPr>
        <w:keepNext/>
        <w:numPr>
          <w:ilvl w:val="0"/>
          <w:numId w:val="11"/>
        </w:numPr>
        <w:rPr>
          <w:rFonts w:cs="Arial"/>
        </w:rPr>
      </w:pPr>
      <w:r w:rsidRPr="00342BC8">
        <w:rPr>
          <w:rFonts w:cs="Arial"/>
        </w:rPr>
        <w:t>the condition for approval in section 14</w:t>
      </w:r>
      <w:r w:rsidR="006175F3">
        <w:rPr>
          <w:rFonts w:cs="Arial"/>
        </w:rPr>
        <w:t>B</w:t>
      </w:r>
      <w:r w:rsidRPr="00342BC8">
        <w:rPr>
          <w:rFonts w:cs="Arial"/>
        </w:rPr>
        <w:t xml:space="preserve"> of the </w:t>
      </w:r>
      <w:r w:rsidR="00D45889">
        <w:rPr>
          <w:rFonts w:cs="Arial"/>
        </w:rPr>
        <w:t>e</w:t>
      </w:r>
      <w:r w:rsidRPr="00342BC8">
        <w:rPr>
          <w:rFonts w:cs="Arial"/>
        </w:rPr>
        <w:t xml:space="preserve">ligibility </w:t>
      </w:r>
      <w:r w:rsidR="00D45889">
        <w:rPr>
          <w:rFonts w:cs="Arial"/>
        </w:rPr>
        <w:t>r</w:t>
      </w:r>
      <w:r w:rsidRPr="00342BC8">
        <w:rPr>
          <w:rFonts w:cs="Arial"/>
        </w:rPr>
        <w:t>ules</w:t>
      </w:r>
      <w:r w:rsidR="00D45889">
        <w:rPr>
          <w:rFonts w:cs="Arial"/>
        </w:rPr>
        <w:t>; this condition is</w:t>
      </w:r>
      <w:r w:rsidRPr="00342BC8">
        <w:rPr>
          <w:rFonts w:cs="Arial"/>
        </w:rPr>
        <w:t xml:space="preserve"> that the service is registered as a participant in the </w:t>
      </w:r>
      <w:r w:rsidR="006175F3">
        <w:rPr>
          <w:rFonts w:cs="Arial"/>
        </w:rPr>
        <w:t>Outside School Hours Care Quality Assurance system</w:t>
      </w:r>
      <w:r w:rsidRPr="00342BC8">
        <w:rPr>
          <w:rFonts w:cs="Arial"/>
        </w:rPr>
        <w:t xml:space="preserve"> (</w:t>
      </w:r>
      <w:r w:rsidR="006175F3">
        <w:rPr>
          <w:rFonts w:cs="Arial"/>
        </w:rPr>
        <w:t>OSHCQA</w:t>
      </w:r>
      <w:r w:rsidRPr="00342BC8">
        <w:rPr>
          <w:rFonts w:cs="Arial"/>
        </w:rPr>
        <w:t>); and</w:t>
      </w:r>
    </w:p>
    <w:p w:rsidR="00DF5936" w:rsidRPr="00DF5936" w:rsidRDefault="00342BC8" w:rsidP="006175F3">
      <w:pPr>
        <w:numPr>
          <w:ilvl w:val="0"/>
          <w:numId w:val="11"/>
        </w:numPr>
        <w:rPr>
          <w:rFonts w:cs="Arial"/>
        </w:rPr>
      </w:pPr>
      <w:proofErr w:type="gramStart"/>
      <w:r w:rsidRPr="00342BC8">
        <w:rPr>
          <w:rFonts w:cs="Arial"/>
        </w:rPr>
        <w:t>the</w:t>
      </w:r>
      <w:proofErr w:type="gramEnd"/>
      <w:r w:rsidRPr="00342BC8">
        <w:rPr>
          <w:rFonts w:cs="Arial"/>
        </w:rPr>
        <w:t xml:space="preserve"> condition for </w:t>
      </w:r>
      <w:r w:rsidR="006175F3">
        <w:rPr>
          <w:rFonts w:cs="Arial"/>
        </w:rPr>
        <w:t>continued approval in section 24A</w:t>
      </w:r>
      <w:r w:rsidRPr="00342BC8">
        <w:rPr>
          <w:rFonts w:cs="Arial"/>
        </w:rPr>
        <w:t xml:space="preserve"> </w:t>
      </w:r>
      <w:r w:rsidR="006175F3" w:rsidRPr="006175F3">
        <w:rPr>
          <w:rFonts w:cs="Arial"/>
        </w:rPr>
        <w:t xml:space="preserve">of the </w:t>
      </w:r>
      <w:r w:rsidR="00D45889">
        <w:rPr>
          <w:rFonts w:cs="Arial"/>
        </w:rPr>
        <w:t>e</w:t>
      </w:r>
      <w:r w:rsidR="006175F3" w:rsidRPr="006175F3">
        <w:rPr>
          <w:rFonts w:cs="Arial"/>
        </w:rPr>
        <w:t xml:space="preserve">ligibility </w:t>
      </w:r>
      <w:r w:rsidR="00D45889">
        <w:rPr>
          <w:rFonts w:cs="Arial"/>
        </w:rPr>
        <w:t>r</w:t>
      </w:r>
      <w:r w:rsidR="006175F3" w:rsidRPr="006175F3">
        <w:rPr>
          <w:rFonts w:cs="Arial"/>
        </w:rPr>
        <w:t>ules</w:t>
      </w:r>
      <w:r w:rsidR="00D45889">
        <w:rPr>
          <w:rFonts w:cs="Arial"/>
        </w:rPr>
        <w:t xml:space="preserve">; this condition is </w:t>
      </w:r>
      <w:r w:rsidRPr="00342BC8">
        <w:rPr>
          <w:rFonts w:cs="Arial"/>
        </w:rPr>
        <w:t xml:space="preserve">that the service participates in the </w:t>
      </w:r>
      <w:r w:rsidR="006175F3" w:rsidRPr="006175F3">
        <w:rPr>
          <w:rFonts w:cs="Arial"/>
        </w:rPr>
        <w:t>OSHCQA</w:t>
      </w:r>
      <w:r w:rsidR="00DF5936" w:rsidRPr="00DF5936">
        <w:rPr>
          <w:rFonts w:cs="Arial"/>
        </w:rPr>
        <w:t>.</w:t>
      </w:r>
    </w:p>
    <w:p w:rsidR="00DF5936" w:rsidRDefault="00DF5936" w:rsidP="00B57FD0">
      <w:pPr>
        <w:rPr>
          <w:rFonts w:cs="Arial"/>
        </w:rPr>
      </w:pPr>
    </w:p>
    <w:p w:rsidR="00DF5936" w:rsidRDefault="00DF5936" w:rsidP="00B57FD0">
      <w:pPr>
        <w:rPr>
          <w:rFonts w:cs="Arial"/>
        </w:rPr>
      </w:pPr>
    </w:p>
    <w:sectPr w:rsidR="00DF5936" w:rsidSect="0036020F">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660" w:rsidRDefault="00007660" w:rsidP="00F4675D">
      <w:r>
        <w:separator/>
      </w:r>
    </w:p>
  </w:endnote>
  <w:endnote w:type="continuationSeparator" w:id="0">
    <w:p w:rsidR="00007660" w:rsidRDefault="00007660" w:rsidP="00F46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9384"/>
      <w:docPartObj>
        <w:docPartGallery w:val="Page Numbers (Bottom of Page)"/>
        <w:docPartUnique/>
      </w:docPartObj>
    </w:sdtPr>
    <w:sdtContent>
      <w:p w:rsidR="00D75AC6" w:rsidRDefault="00FB4E32">
        <w:pPr>
          <w:pStyle w:val="Footer"/>
          <w:jc w:val="right"/>
        </w:pPr>
        <w:fldSimple w:instr=" PAGE   \* MERGEFORMAT ">
          <w:r w:rsidR="004A25E7">
            <w:rPr>
              <w:noProof/>
            </w:rPr>
            <w:t>5</w:t>
          </w:r>
        </w:fldSimple>
      </w:p>
    </w:sdtContent>
  </w:sdt>
  <w:p w:rsidR="00007660" w:rsidRDefault="00007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660" w:rsidRDefault="00007660" w:rsidP="00F4675D">
      <w:r>
        <w:separator/>
      </w:r>
    </w:p>
  </w:footnote>
  <w:footnote w:type="continuationSeparator" w:id="0">
    <w:p w:rsidR="00007660" w:rsidRDefault="00007660" w:rsidP="00F46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1D3"/>
    <w:multiLevelType w:val="hybridMultilevel"/>
    <w:tmpl w:val="4EE881DC"/>
    <w:lvl w:ilvl="0" w:tplc="F216E73A">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
    <w:nsid w:val="05F35896"/>
    <w:multiLevelType w:val="hybridMultilevel"/>
    <w:tmpl w:val="8454F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2922A7"/>
    <w:multiLevelType w:val="hybridMultilevel"/>
    <w:tmpl w:val="51046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03660D"/>
    <w:multiLevelType w:val="hybridMultilevel"/>
    <w:tmpl w:val="B44A28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C3E7AB6"/>
    <w:multiLevelType w:val="hybridMultilevel"/>
    <w:tmpl w:val="EF24E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B96A60"/>
    <w:multiLevelType w:val="hybridMultilevel"/>
    <w:tmpl w:val="73424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807505"/>
    <w:multiLevelType w:val="hybridMultilevel"/>
    <w:tmpl w:val="462443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F13696"/>
    <w:multiLevelType w:val="hybridMultilevel"/>
    <w:tmpl w:val="B456C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C510E8"/>
    <w:multiLevelType w:val="hybridMultilevel"/>
    <w:tmpl w:val="3E9E9B66"/>
    <w:lvl w:ilvl="0" w:tplc="DCF2CC2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66B8669E"/>
    <w:multiLevelType w:val="hybridMultilevel"/>
    <w:tmpl w:val="0FF44356"/>
    <w:lvl w:ilvl="0" w:tplc="BA68C192">
      <w:start w:val="1"/>
      <w:numFmt w:val="decimal"/>
      <w:lvlText w:val="%1."/>
      <w:lvlJc w:val="left"/>
      <w:pPr>
        <w:ind w:left="720" w:hanging="360"/>
      </w:pPr>
      <w:rPr>
        <w:rFonts w:hint="default"/>
        <w:b w:val="0"/>
        <w:i w:val="0"/>
      </w:rPr>
    </w:lvl>
    <w:lvl w:ilvl="1" w:tplc="0C090019">
      <w:start w:val="1"/>
      <w:numFmt w:val="lowerLetter"/>
      <w:lvlText w:val="%2."/>
      <w:lvlJc w:val="left"/>
      <w:pPr>
        <w:ind w:left="1353"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90C4CC1"/>
    <w:multiLevelType w:val="hybridMultilevel"/>
    <w:tmpl w:val="B5144DC2"/>
    <w:lvl w:ilvl="0" w:tplc="A1F6D09A">
      <w:start w:val="1"/>
      <w:numFmt w:val="lowerLetter"/>
      <w:lvlText w:val="(%1)"/>
      <w:lvlJc w:val="left"/>
      <w:pPr>
        <w:ind w:left="1830" w:hanging="360"/>
      </w:pPr>
      <w:rPr>
        <w:rFonts w:ascii="Arial" w:eastAsia="Times New Roman" w:hAnsi="Arial" w:cs="Arial"/>
      </w:rPr>
    </w:lvl>
    <w:lvl w:ilvl="1" w:tplc="0C090019">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11">
    <w:nsid w:val="761C5A43"/>
    <w:multiLevelType w:val="hybridMultilevel"/>
    <w:tmpl w:val="2F1485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6"/>
  </w:num>
  <w:num w:numId="6">
    <w:abstractNumId w:val="11"/>
  </w:num>
  <w:num w:numId="7">
    <w:abstractNumId w:val="0"/>
  </w:num>
  <w:num w:numId="8">
    <w:abstractNumId w:val="7"/>
  </w:num>
  <w:num w:numId="9">
    <w:abstractNumId w:val="10"/>
  </w:num>
  <w:num w:numId="10">
    <w:abstractNumId w:val="9"/>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6145"/>
  </w:hdrShapeDefaults>
  <w:footnotePr>
    <w:footnote w:id="-1"/>
    <w:footnote w:id="0"/>
  </w:footnotePr>
  <w:endnotePr>
    <w:endnote w:id="-1"/>
    <w:endnote w:id="0"/>
  </w:endnotePr>
  <w:compat/>
  <w:rsids>
    <w:rsidRoot w:val="006873A4"/>
    <w:rsid w:val="00007660"/>
    <w:rsid w:val="000218DE"/>
    <w:rsid w:val="00024130"/>
    <w:rsid w:val="00026702"/>
    <w:rsid w:val="00034644"/>
    <w:rsid w:val="00034D16"/>
    <w:rsid w:val="00065407"/>
    <w:rsid w:val="00066F2B"/>
    <w:rsid w:val="000956A7"/>
    <w:rsid w:val="000A1E98"/>
    <w:rsid w:val="000A2F68"/>
    <w:rsid w:val="000B25A3"/>
    <w:rsid w:val="000C0A52"/>
    <w:rsid w:val="000C78E3"/>
    <w:rsid w:val="000C7D27"/>
    <w:rsid w:val="000E0F1E"/>
    <w:rsid w:val="000E3E49"/>
    <w:rsid w:val="000E7216"/>
    <w:rsid w:val="000F3944"/>
    <w:rsid w:val="00114485"/>
    <w:rsid w:val="001202C3"/>
    <w:rsid w:val="00125AB6"/>
    <w:rsid w:val="00125C21"/>
    <w:rsid w:val="00134A5C"/>
    <w:rsid w:val="001365E5"/>
    <w:rsid w:val="001445D6"/>
    <w:rsid w:val="00145EDF"/>
    <w:rsid w:val="00150842"/>
    <w:rsid w:val="0015332B"/>
    <w:rsid w:val="001621B1"/>
    <w:rsid w:val="001748E7"/>
    <w:rsid w:val="00177066"/>
    <w:rsid w:val="0018246E"/>
    <w:rsid w:val="001824AD"/>
    <w:rsid w:val="0018706E"/>
    <w:rsid w:val="0019781C"/>
    <w:rsid w:val="001A4658"/>
    <w:rsid w:val="001B0C81"/>
    <w:rsid w:val="001B23C4"/>
    <w:rsid w:val="001B52E6"/>
    <w:rsid w:val="001C0759"/>
    <w:rsid w:val="001C272E"/>
    <w:rsid w:val="001C2C89"/>
    <w:rsid w:val="001E58F5"/>
    <w:rsid w:val="0020691D"/>
    <w:rsid w:val="00217A8F"/>
    <w:rsid w:val="00224403"/>
    <w:rsid w:val="0022472C"/>
    <w:rsid w:val="0023116B"/>
    <w:rsid w:val="00245ED5"/>
    <w:rsid w:val="002572AB"/>
    <w:rsid w:val="00272E4B"/>
    <w:rsid w:val="00276106"/>
    <w:rsid w:val="00281AA4"/>
    <w:rsid w:val="00294185"/>
    <w:rsid w:val="002979BE"/>
    <w:rsid w:val="002A1E63"/>
    <w:rsid w:val="002A3C14"/>
    <w:rsid w:val="002A6332"/>
    <w:rsid w:val="002B67DD"/>
    <w:rsid w:val="002C499F"/>
    <w:rsid w:val="002D1309"/>
    <w:rsid w:val="00304498"/>
    <w:rsid w:val="00323BD9"/>
    <w:rsid w:val="00326D0F"/>
    <w:rsid w:val="00332C83"/>
    <w:rsid w:val="003335F2"/>
    <w:rsid w:val="0034092E"/>
    <w:rsid w:val="00342BC8"/>
    <w:rsid w:val="00346B09"/>
    <w:rsid w:val="0036020F"/>
    <w:rsid w:val="0036533B"/>
    <w:rsid w:val="00384E85"/>
    <w:rsid w:val="003A5264"/>
    <w:rsid w:val="003A6EF6"/>
    <w:rsid w:val="003C1B86"/>
    <w:rsid w:val="003E13DF"/>
    <w:rsid w:val="003E6E73"/>
    <w:rsid w:val="003F6C8B"/>
    <w:rsid w:val="004010DF"/>
    <w:rsid w:val="00412EB4"/>
    <w:rsid w:val="004140E2"/>
    <w:rsid w:val="004272AB"/>
    <w:rsid w:val="004335DC"/>
    <w:rsid w:val="004357E5"/>
    <w:rsid w:val="0044102A"/>
    <w:rsid w:val="004535A8"/>
    <w:rsid w:val="00467DBB"/>
    <w:rsid w:val="004804F9"/>
    <w:rsid w:val="00480DE1"/>
    <w:rsid w:val="00485BD4"/>
    <w:rsid w:val="004908C4"/>
    <w:rsid w:val="004A25E7"/>
    <w:rsid w:val="004A2B6E"/>
    <w:rsid w:val="004A4218"/>
    <w:rsid w:val="004B3B34"/>
    <w:rsid w:val="004B5645"/>
    <w:rsid w:val="004B5969"/>
    <w:rsid w:val="004C384C"/>
    <w:rsid w:val="004C4E04"/>
    <w:rsid w:val="004C7798"/>
    <w:rsid w:val="004D6D4D"/>
    <w:rsid w:val="004E38E7"/>
    <w:rsid w:val="004E3AC4"/>
    <w:rsid w:val="004E3ADC"/>
    <w:rsid w:val="004E3C19"/>
    <w:rsid w:val="00513083"/>
    <w:rsid w:val="00520A99"/>
    <w:rsid w:val="00523610"/>
    <w:rsid w:val="00533365"/>
    <w:rsid w:val="005511EE"/>
    <w:rsid w:val="005556C5"/>
    <w:rsid w:val="00561FEF"/>
    <w:rsid w:val="00562D67"/>
    <w:rsid w:val="00577BCD"/>
    <w:rsid w:val="005B0059"/>
    <w:rsid w:val="005B4E48"/>
    <w:rsid w:val="005C26A2"/>
    <w:rsid w:val="005D15E6"/>
    <w:rsid w:val="005D24D8"/>
    <w:rsid w:val="005F2D4B"/>
    <w:rsid w:val="005F5515"/>
    <w:rsid w:val="0061236E"/>
    <w:rsid w:val="00613A56"/>
    <w:rsid w:val="00617001"/>
    <w:rsid w:val="006175F3"/>
    <w:rsid w:val="00625504"/>
    <w:rsid w:val="00626F81"/>
    <w:rsid w:val="00627759"/>
    <w:rsid w:val="00630496"/>
    <w:rsid w:val="00635BF8"/>
    <w:rsid w:val="00637339"/>
    <w:rsid w:val="00637402"/>
    <w:rsid w:val="006528E8"/>
    <w:rsid w:val="00657018"/>
    <w:rsid w:val="006623C5"/>
    <w:rsid w:val="00663B19"/>
    <w:rsid w:val="006873A4"/>
    <w:rsid w:val="00693103"/>
    <w:rsid w:val="006A41A1"/>
    <w:rsid w:val="006A6AA2"/>
    <w:rsid w:val="006B2CA4"/>
    <w:rsid w:val="006D3D4D"/>
    <w:rsid w:val="006D7A58"/>
    <w:rsid w:val="006E442F"/>
    <w:rsid w:val="006E696B"/>
    <w:rsid w:val="006F0869"/>
    <w:rsid w:val="006F5E14"/>
    <w:rsid w:val="0071237F"/>
    <w:rsid w:val="00723DBE"/>
    <w:rsid w:val="00726361"/>
    <w:rsid w:val="007267E2"/>
    <w:rsid w:val="0072721D"/>
    <w:rsid w:val="00754A5F"/>
    <w:rsid w:val="007645D7"/>
    <w:rsid w:val="00771442"/>
    <w:rsid w:val="00777BB3"/>
    <w:rsid w:val="007846C4"/>
    <w:rsid w:val="0078751E"/>
    <w:rsid w:val="00792FCC"/>
    <w:rsid w:val="007A61AD"/>
    <w:rsid w:val="007B05C5"/>
    <w:rsid w:val="007C0640"/>
    <w:rsid w:val="007D02F6"/>
    <w:rsid w:val="007D060A"/>
    <w:rsid w:val="007D5B5E"/>
    <w:rsid w:val="007E751F"/>
    <w:rsid w:val="007F2008"/>
    <w:rsid w:val="007F5FB0"/>
    <w:rsid w:val="0080137F"/>
    <w:rsid w:val="00802F2A"/>
    <w:rsid w:val="00803168"/>
    <w:rsid w:val="00814F6D"/>
    <w:rsid w:val="00824947"/>
    <w:rsid w:val="008355DD"/>
    <w:rsid w:val="00851F32"/>
    <w:rsid w:val="008539F3"/>
    <w:rsid w:val="00863F5E"/>
    <w:rsid w:val="00866B9E"/>
    <w:rsid w:val="00874675"/>
    <w:rsid w:val="00881247"/>
    <w:rsid w:val="00881B23"/>
    <w:rsid w:val="0088649F"/>
    <w:rsid w:val="008A078A"/>
    <w:rsid w:val="008A221D"/>
    <w:rsid w:val="008A5B1F"/>
    <w:rsid w:val="008B090C"/>
    <w:rsid w:val="008B144E"/>
    <w:rsid w:val="008B3FA5"/>
    <w:rsid w:val="008C03C1"/>
    <w:rsid w:val="008C1852"/>
    <w:rsid w:val="008C2D9E"/>
    <w:rsid w:val="008D3065"/>
    <w:rsid w:val="008E03D0"/>
    <w:rsid w:val="008E7E85"/>
    <w:rsid w:val="008F4416"/>
    <w:rsid w:val="008F7BDF"/>
    <w:rsid w:val="00913E36"/>
    <w:rsid w:val="00914C64"/>
    <w:rsid w:val="009154AD"/>
    <w:rsid w:val="009158AF"/>
    <w:rsid w:val="009249A0"/>
    <w:rsid w:val="009375BD"/>
    <w:rsid w:val="00937E09"/>
    <w:rsid w:val="00951CF3"/>
    <w:rsid w:val="00952EF4"/>
    <w:rsid w:val="00955594"/>
    <w:rsid w:val="00957A49"/>
    <w:rsid w:val="0096514C"/>
    <w:rsid w:val="0098473B"/>
    <w:rsid w:val="009B62D4"/>
    <w:rsid w:val="009C23CB"/>
    <w:rsid w:val="009C6DDD"/>
    <w:rsid w:val="009D181C"/>
    <w:rsid w:val="009D5CFD"/>
    <w:rsid w:val="009E2B26"/>
    <w:rsid w:val="009E3EC4"/>
    <w:rsid w:val="009F33D1"/>
    <w:rsid w:val="009F6F02"/>
    <w:rsid w:val="00A00BD0"/>
    <w:rsid w:val="00A03AA7"/>
    <w:rsid w:val="00A04C38"/>
    <w:rsid w:val="00A116F7"/>
    <w:rsid w:val="00A13A89"/>
    <w:rsid w:val="00A22BA7"/>
    <w:rsid w:val="00A2323E"/>
    <w:rsid w:val="00A23453"/>
    <w:rsid w:val="00A40370"/>
    <w:rsid w:val="00A529DD"/>
    <w:rsid w:val="00A560A1"/>
    <w:rsid w:val="00A940ED"/>
    <w:rsid w:val="00AA08FF"/>
    <w:rsid w:val="00AA303E"/>
    <w:rsid w:val="00AA46C6"/>
    <w:rsid w:val="00AB0E14"/>
    <w:rsid w:val="00AC04C0"/>
    <w:rsid w:val="00AC0D5D"/>
    <w:rsid w:val="00AC1049"/>
    <w:rsid w:val="00AC5E41"/>
    <w:rsid w:val="00AE16F5"/>
    <w:rsid w:val="00AE3E04"/>
    <w:rsid w:val="00AE50E4"/>
    <w:rsid w:val="00AE665D"/>
    <w:rsid w:val="00AE7877"/>
    <w:rsid w:val="00AE7D20"/>
    <w:rsid w:val="00B04E66"/>
    <w:rsid w:val="00B11954"/>
    <w:rsid w:val="00B1639B"/>
    <w:rsid w:val="00B347D0"/>
    <w:rsid w:val="00B462EA"/>
    <w:rsid w:val="00B47E03"/>
    <w:rsid w:val="00B57FD0"/>
    <w:rsid w:val="00B65A97"/>
    <w:rsid w:val="00B85FC1"/>
    <w:rsid w:val="00BA7CD8"/>
    <w:rsid w:val="00BB62BA"/>
    <w:rsid w:val="00BC2C5C"/>
    <w:rsid w:val="00BD1E5C"/>
    <w:rsid w:val="00BF4237"/>
    <w:rsid w:val="00C02971"/>
    <w:rsid w:val="00C126F5"/>
    <w:rsid w:val="00C15593"/>
    <w:rsid w:val="00C179A6"/>
    <w:rsid w:val="00C26502"/>
    <w:rsid w:val="00C2710A"/>
    <w:rsid w:val="00C3280E"/>
    <w:rsid w:val="00C41877"/>
    <w:rsid w:val="00C65421"/>
    <w:rsid w:val="00C678AC"/>
    <w:rsid w:val="00C7351B"/>
    <w:rsid w:val="00CA1074"/>
    <w:rsid w:val="00CA7E63"/>
    <w:rsid w:val="00CB6406"/>
    <w:rsid w:val="00CC7BF8"/>
    <w:rsid w:val="00CD02A3"/>
    <w:rsid w:val="00CD15E0"/>
    <w:rsid w:val="00CD1DBF"/>
    <w:rsid w:val="00CD20B2"/>
    <w:rsid w:val="00CF5C09"/>
    <w:rsid w:val="00D00502"/>
    <w:rsid w:val="00D049B8"/>
    <w:rsid w:val="00D0629F"/>
    <w:rsid w:val="00D10024"/>
    <w:rsid w:val="00D21506"/>
    <w:rsid w:val="00D27BBA"/>
    <w:rsid w:val="00D406C4"/>
    <w:rsid w:val="00D43DF1"/>
    <w:rsid w:val="00D45889"/>
    <w:rsid w:val="00D46D9F"/>
    <w:rsid w:val="00D53530"/>
    <w:rsid w:val="00D556D4"/>
    <w:rsid w:val="00D57CD4"/>
    <w:rsid w:val="00D61B4B"/>
    <w:rsid w:val="00D6221D"/>
    <w:rsid w:val="00D75AC6"/>
    <w:rsid w:val="00D75B6D"/>
    <w:rsid w:val="00DD09F1"/>
    <w:rsid w:val="00DD526C"/>
    <w:rsid w:val="00DF3F5A"/>
    <w:rsid w:val="00DF5110"/>
    <w:rsid w:val="00DF5936"/>
    <w:rsid w:val="00DF7CA7"/>
    <w:rsid w:val="00E01CDC"/>
    <w:rsid w:val="00E10AA1"/>
    <w:rsid w:val="00E14BB3"/>
    <w:rsid w:val="00E212AB"/>
    <w:rsid w:val="00E23742"/>
    <w:rsid w:val="00E25432"/>
    <w:rsid w:val="00E30987"/>
    <w:rsid w:val="00E352B2"/>
    <w:rsid w:val="00E4088C"/>
    <w:rsid w:val="00E503FE"/>
    <w:rsid w:val="00E64BB4"/>
    <w:rsid w:val="00E66263"/>
    <w:rsid w:val="00E71791"/>
    <w:rsid w:val="00E87684"/>
    <w:rsid w:val="00E91CE1"/>
    <w:rsid w:val="00EC3F91"/>
    <w:rsid w:val="00EC40E1"/>
    <w:rsid w:val="00ED1D25"/>
    <w:rsid w:val="00ED5996"/>
    <w:rsid w:val="00EE0F6E"/>
    <w:rsid w:val="00EE3375"/>
    <w:rsid w:val="00EE37FD"/>
    <w:rsid w:val="00EF1057"/>
    <w:rsid w:val="00EF6CF1"/>
    <w:rsid w:val="00F11BF3"/>
    <w:rsid w:val="00F22726"/>
    <w:rsid w:val="00F246D8"/>
    <w:rsid w:val="00F35134"/>
    <w:rsid w:val="00F45ED2"/>
    <w:rsid w:val="00F4675D"/>
    <w:rsid w:val="00F559F2"/>
    <w:rsid w:val="00F565DE"/>
    <w:rsid w:val="00F6184A"/>
    <w:rsid w:val="00F62870"/>
    <w:rsid w:val="00F6467B"/>
    <w:rsid w:val="00F75FAC"/>
    <w:rsid w:val="00F8721D"/>
    <w:rsid w:val="00F87BB2"/>
    <w:rsid w:val="00F87E1D"/>
    <w:rsid w:val="00FA0432"/>
    <w:rsid w:val="00FA6CA8"/>
    <w:rsid w:val="00FB4E32"/>
    <w:rsid w:val="00FB4FE4"/>
    <w:rsid w:val="00FB7051"/>
    <w:rsid w:val="00FC50AD"/>
    <w:rsid w:val="00FC54CB"/>
    <w:rsid w:val="00FD109C"/>
    <w:rsid w:val="00FD3E09"/>
    <w:rsid w:val="00FE27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80E"/>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6467B"/>
  </w:style>
  <w:style w:type="paragraph" w:styleId="BalloonText">
    <w:name w:val="Balloon Text"/>
    <w:basedOn w:val="Normal"/>
    <w:semiHidden/>
    <w:rsid w:val="002B67DD"/>
    <w:rPr>
      <w:rFonts w:ascii="Tahoma" w:hAnsi="Tahoma" w:cs="Tahoma"/>
      <w:sz w:val="16"/>
      <w:szCs w:val="16"/>
    </w:rPr>
  </w:style>
  <w:style w:type="paragraph" w:styleId="DocumentMap">
    <w:name w:val="Document Map"/>
    <w:basedOn w:val="Normal"/>
    <w:semiHidden/>
    <w:rsid w:val="000E3E49"/>
    <w:pPr>
      <w:shd w:val="clear" w:color="auto" w:fill="000080"/>
    </w:pPr>
    <w:rPr>
      <w:rFonts w:ascii="Tahoma" w:hAnsi="Tahoma" w:cs="Tahoma"/>
      <w:sz w:val="20"/>
      <w:szCs w:val="20"/>
    </w:rPr>
  </w:style>
  <w:style w:type="character" w:styleId="CommentReference">
    <w:name w:val="annotation reference"/>
    <w:basedOn w:val="DefaultParagraphFont"/>
    <w:rsid w:val="00CD02A3"/>
    <w:rPr>
      <w:sz w:val="16"/>
      <w:szCs w:val="16"/>
    </w:rPr>
  </w:style>
  <w:style w:type="paragraph" w:styleId="CommentText">
    <w:name w:val="annotation text"/>
    <w:basedOn w:val="Normal"/>
    <w:link w:val="CommentTextChar"/>
    <w:rsid w:val="00CD02A3"/>
    <w:rPr>
      <w:sz w:val="20"/>
      <w:szCs w:val="20"/>
    </w:rPr>
  </w:style>
  <w:style w:type="character" w:customStyle="1" w:styleId="CommentTextChar">
    <w:name w:val="Comment Text Char"/>
    <w:basedOn w:val="DefaultParagraphFont"/>
    <w:link w:val="CommentText"/>
    <w:rsid w:val="00CD02A3"/>
  </w:style>
  <w:style w:type="paragraph" w:styleId="CommentSubject">
    <w:name w:val="annotation subject"/>
    <w:basedOn w:val="CommentText"/>
    <w:next w:val="CommentText"/>
    <w:link w:val="CommentSubjectChar"/>
    <w:rsid w:val="00CD02A3"/>
    <w:rPr>
      <w:b/>
      <w:bCs/>
    </w:rPr>
  </w:style>
  <w:style w:type="character" w:customStyle="1" w:styleId="CommentSubjectChar">
    <w:name w:val="Comment Subject Char"/>
    <w:basedOn w:val="CommentTextChar"/>
    <w:link w:val="CommentSubject"/>
    <w:rsid w:val="00CD02A3"/>
    <w:rPr>
      <w:b/>
      <w:bCs/>
    </w:rPr>
  </w:style>
  <w:style w:type="paragraph" w:customStyle="1" w:styleId="P1">
    <w:name w:val="P1"/>
    <w:aliases w:val="(a)"/>
    <w:basedOn w:val="Normal"/>
    <w:rsid w:val="00C3280E"/>
    <w:pPr>
      <w:keepLines/>
      <w:tabs>
        <w:tab w:val="right" w:pos="1191"/>
      </w:tabs>
      <w:spacing w:before="60" w:line="260" w:lineRule="exact"/>
      <w:ind w:left="1418" w:hanging="1418"/>
    </w:pPr>
  </w:style>
  <w:style w:type="paragraph" w:styleId="Header">
    <w:name w:val="header"/>
    <w:basedOn w:val="Normal"/>
    <w:link w:val="HeaderChar"/>
    <w:rsid w:val="00F4675D"/>
    <w:pPr>
      <w:tabs>
        <w:tab w:val="center" w:pos="4513"/>
        <w:tab w:val="right" w:pos="9026"/>
      </w:tabs>
    </w:pPr>
  </w:style>
  <w:style w:type="character" w:customStyle="1" w:styleId="HeaderChar">
    <w:name w:val="Header Char"/>
    <w:basedOn w:val="DefaultParagraphFont"/>
    <w:link w:val="Header"/>
    <w:rsid w:val="00F4675D"/>
    <w:rPr>
      <w:rFonts w:ascii="Arial" w:hAnsi="Arial"/>
      <w:sz w:val="24"/>
      <w:szCs w:val="24"/>
    </w:rPr>
  </w:style>
  <w:style w:type="paragraph" w:styleId="Footer">
    <w:name w:val="footer"/>
    <w:basedOn w:val="Normal"/>
    <w:link w:val="FooterChar"/>
    <w:uiPriority w:val="99"/>
    <w:rsid w:val="00F4675D"/>
    <w:pPr>
      <w:tabs>
        <w:tab w:val="center" w:pos="4513"/>
        <w:tab w:val="right" w:pos="9026"/>
      </w:tabs>
    </w:pPr>
  </w:style>
  <w:style w:type="character" w:customStyle="1" w:styleId="FooterChar">
    <w:name w:val="Footer Char"/>
    <w:basedOn w:val="DefaultParagraphFont"/>
    <w:link w:val="Footer"/>
    <w:uiPriority w:val="99"/>
    <w:rsid w:val="00F4675D"/>
    <w:rPr>
      <w:rFonts w:ascii="Arial" w:hAnsi="Arial"/>
      <w:sz w:val="24"/>
      <w:szCs w:val="24"/>
    </w:rPr>
  </w:style>
  <w:style w:type="paragraph" w:styleId="Title">
    <w:name w:val="Title"/>
    <w:basedOn w:val="Normal"/>
    <w:next w:val="Normal"/>
    <w:link w:val="TitleChar"/>
    <w:qFormat/>
    <w:rsid w:val="00F4675D"/>
    <w:pPr>
      <w:spacing w:before="480"/>
      <w:jc w:val="left"/>
    </w:pPr>
    <w:rPr>
      <w:rFonts w:cs="Arial"/>
      <w:b/>
      <w:bCs/>
      <w:sz w:val="40"/>
      <w:szCs w:val="40"/>
    </w:rPr>
  </w:style>
  <w:style w:type="character" w:customStyle="1" w:styleId="TitleChar">
    <w:name w:val="Title Char"/>
    <w:basedOn w:val="DefaultParagraphFont"/>
    <w:link w:val="Title"/>
    <w:rsid w:val="00F4675D"/>
    <w:rPr>
      <w:rFonts w:ascii="Arial" w:hAnsi="Arial" w:cs="Arial"/>
      <w:b/>
      <w:bCs/>
      <w:sz w:val="40"/>
      <w:szCs w:val="40"/>
    </w:rPr>
  </w:style>
  <w:style w:type="paragraph" w:customStyle="1" w:styleId="R1">
    <w:name w:val="R1"/>
    <w:aliases w:val="1. or 1.(1)"/>
    <w:basedOn w:val="Normal"/>
    <w:next w:val="Normal"/>
    <w:rsid w:val="00DF5936"/>
    <w:pPr>
      <w:keepLines/>
      <w:tabs>
        <w:tab w:val="right" w:pos="794"/>
      </w:tabs>
      <w:spacing w:before="120" w:line="260" w:lineRule="exact"/>
      <w:ind w:left="964" w:hanging="964"/>
    </w:pPr>
    <w:rPr>
      <w:rFonts w:ascii="Times New Roman" w:hAnsi="Times New Roman"/>
    </w:rPr>
  </w:style>
  <w:style w:type="paragraph" w:styleId="ListParagraph">
    <w:name w:val="List Paragraph"/>
    <w:basedOn w:val="Normal"/>
    <w:uiPriority w:val="34"/>
    <w:qFormat/>
    <w:rsid w:val="00AC0D5D"/>
    <w:pPr>
      <w:ind w:left="720"/>
      <w:contextualSpacing/>
    </w:pPr>
  </w:style>
  <w:style w:type="paragraph" w:customStyle="1" w:styleId="Text">
    <w:name w:val="Text"/>
    <w:aliases w:val="t"/>
    <w:basedOn w:val="Normal"/>
    <w:uiPriority w:val="99"/>
    <w:rsid w:val="00145EDF"/>
    <w:pPr>
      <w:spacing w:after="200"/>
      <w:jc w:val="left"/>
    </w:pPr>
    <w:rPr>
      <w:sz w:val="22"/>
      <w:szCs w:val="20"/>
      <w:lang w:eastAsia="en-US"/>
    </w:rPr>
  </w:style>
</w:styles>
</file>

<file path=word/webSettings.xml><?xml version="1.0" encoding="utf-8"?>
<w:webSettings xmlns:r="http://schemas.openxmlformats.org/officeDocument/2006/relationships" xmlns:w="http://schemas.openxmlformats.org/wordprocessingml/2006/main">
  <w:divs>
    <w:div w:id="49966537">
      <w:bodyDiv w:val="1"/>
      <w:marLeft w:val="0"/>
      <w:marRight w:val="0"/>
      <w:marTop w:val="0"/>
      <w:marBottom w:val="0"/>
      <w:divBdr>
        <w:top w:val="none" w:sz="0" w:space="0" w:color="auto"/>
        <w:left w:val="none" w:sz="0" w:space="0" w:color="auto"/>
        <w:bottom w:val="none" w:sz="0" w:space="0" w:color="auto"/>
        <w:right w:val="none" w:sz="0" w:space="0" w:color="auto"/>
      </w:divBdr>
      <w:divsChild>
        <w:div w:id="1643657487">
          <w:marLeft w:val="0"/>
          <w:marRight w:val="0"/>
          <w:marTop w:val="0"/>
          <w:marBottom w:val="0"/>
          <w:divBdr>
            <w:top w:val="none" w:sz="0" w:space="0" w:color="auto"/>
            <w:left w:val="none" w:sz="0" w:space="0" w:color="auto"/>
            <w:bottom w:val="none" w:sz="0" w:space="0" w:color="auto"/>
            <w:right w:val="none" w:sz="0" w:space="0" w:color="auto"/>
          </w:divBdr>
          <w:divsChild>
            <w:div w:id="834032795">
              <w:marLeft w:val="0"/>
              <w:marRight w:val="0"/>
              <w:marTop w:val="0"/>
              <w:marBottom w:val="0"/>
              <w:divBdr>
                <w:top w:val="none" w:sz="0" w:space="0" w:color="auto"/>
                <w:left w:val="none" w:sz="0" w:space="0" w:color="auto"/>
                <w:bottom w:val="none" w:sz="0" w:space="0" w:color="auto"/>
                <w:right w:val="none" w:sz="0" w:space="0" w:color="auto"/>
              </w:divBdr>
              <w:divsChild>
                <w:div w:id="306277909">
                  <w:marLeft w:val="0"/>
                  <w:marRight w:val="0"/>
                  <w:marTop w:val="0"/>
                  <w:marBottom w:val="0"/>
                  <w:divBdr>
                    <w:top w:val="none" w:sz="0" w:space="0" w:color="auto"/>
                    <w:left w:val="none" w:sz="0" w:space="0" w:color="auto"/>
                    <w:bottom w:val="none" w:sz="0" w:space="0" w:color="auto"/>
                    <w:right w:val="none" w:sz="0" w:space="0" w:color="auto"/>
                  </w:divBdr>
                  <w:divsChild>
                    <w:div w:id="1656101773">
                      <w:marLeft w:val="0"/>
                      <w:marRight w:val="0"/>
                      <w:marTop w:val="0"/>
                      <w:marBottom w:val="0"/>
                      <w:divBdr>
                        <w:top w:val="none" w:sz="0" w:space="0" w:color="auto"/>
                        <w:left w:val="none" w:sz="0" w:space="0" w:color="auto"/>
                        <w:bottom w:val="none" w:sz="0" w:space="0" w:color="auto"/>
                        <w:right w:val="none" w:sz="0" w:space="0" w:color="auto"/>
                      </w:divBdr>
                      <w:divsChild>
                        <w:div w:id="626856430">
                          <w:marLeft w:val="0"/>
                          <w:marRight w:val="0"/>
                          <w:marTop w:val="0"/>
                          <w:marBottom w:val="0"/>
                          <w:divBdr>
                            <w:top w:val="single" w:sz="6" w:space="0" w:color="828282"/>
                            <w:left w:val="single" w:sz="6" w:space="0" w:color="828282"/>
                            <w:bottom w:val="single" w:sz="6" w:space="0" w:color="828282"/>
                            <w:right w:val="single" w:sz="6" w:space="0" w:color="828282"/>
                          </w:divBdr>
                          <w:divsChild>
                            <w:div w:id="606932350">
                              <w:marLeft w:val="0"/>
                              <w:marRight w:val="0"/>
                              <w:marTop w:val="0"/>
                              <w:marBottom w:val="0"/>
                              <w:divBdr>
                                <w:top w:val="none" w:sz="0" w:space="0" w:color="auto"/>
                                <w:left w:val="none" w:sz="0" w:space="0" w:color="auto"/>
                                <w:bottom w:val="none" w:sz="0" w:space="0" w:color="auto"/>
                                <w:right w:val="none" w:sz="0" w:space="0" w:color="auto"/>
                              </w:divBdr>
                              <w:divsChild>
                                <w:div w:id="798032964">
                                  <w:marLeft w:val="0"/>
                                  <w:marRight w:val="0"/>
                                  <w:marTop w:val="0"/>
                                  <w:marBottom w:val="0"/>
                                  <w:divBdr>
                                    <w:top w:val="none" w:sz="0" w:space="0" w:color="auto"/>
                                    <w:left w:val="none" w:sz="0" w:space="0" w:color="auto"/>
                                    <w:bottom w:val="none" w:sz="0" w:space="0" w:color="auto"/>
                                    <w:right w:val="none" w:sz="0" w:space="0" w:color="auto"/>
                                  </w:divBdr>
                                  <w:divsChild>
                                    <w:div w:id="1218322856">
                                      <w:marLeft w:val="0"/>
                                      <w:marRight w:val="0"/>
                                      <w:marTop w:val="0"/>
                                      <w:marBottom w:val="0"/>
                                      <w:divBdr>
                                        <w:top w:val="none" w:sz="0" w:space="0" w:color="auto"/>
                                        <w:left w:val="none" w:sz="0" w:space="0" w:color="auto"/>
                                        <w:bottom w:val="none" w:sz="0" w:space="0" w:color="auto"/>
                                        <w:right w:val="none" w:sz="0" w:space="0" w:color="auto"/>
                                      </w:divBdr>
                                      <w:divsChild>
                                        <w:div w:id="1647658684">
                                          <w:marLeft w:val="0"/>
                                          <w:marRight w:val="0"/>
                                          <w:marTop w:val="0"/>
                                          <w:marBottom w:val="0"/>
                                          <w:divBdr>
                                            <w:top w:val="none" w:sz="0" w:space="0" w:color="auto"/>
                                            <w:left w:val="none" w:sz="0" w:space="0" w:color="auto"/>
                                            <w:bottom w:val="none" w:sz="0" w:space="0" w:color="auto"/>
                                            <w:right w:val="none" w:sz="0" w:space="0" w:color="auto"/>
                                          </w:divBdr>
                                          <w:divsChild>
                                            <w:div w:id="1036661719">
                                              <w:marLeft w:val="0"/>
                                              <w:marRight w:val="0"/>
                                              <w:marTop w:val="0"/>
                                              <w:marBottom w:val="0"/>
                                              <w:divBdr>
                                                <w:top w:val="none" w:sz="0" w:space="0" w:color="auto"/>
                                                <w:left w:val="none" w:sz="0" w:space="0" w:color="auto"/>
                                                <w:bottom w:val="none" w:sz="0" w:space="0" w:color="auto"/>
                                                <w:right w:val="none" w:sz="0" w:space="0" w:color="auto"/>
                                              </w:divBdr>
                                              <w:divsChild>
                                                <w:div w:id="7510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2745">
      <w:bodyDiv w:val="1"/>
      <w:marLeft w:val="0"/>
      <w:marRight w:val="0"/>
      <w:marTop w:val="0"/>
      <w:marBottom w:val="0"/>
      <w:divBdr>
        <w:top w:val="none" w:sz="0" w:space="0" w:color="auto"/>
        <w:left w:val="none" w:sz="0" w:space="0" w:color="auto"/>
        <w:bottom w:val="none" w:sz="0" w:space="0" w:color="auto"/>
        <w:right w:val="none" w:sz="0" w:space="0" w:color="auto"/>
      </w:divBdr>
      <w:divsChild>
        <w:div w:id="932199611">
          <w:marLeft w:val="0"/>
          <w:marRight w:val="0"/>
          <w:marTop w:val="0"/>
          <w:marBottom w:val="0"/>
          <w:divBdr>
            <w:top w:val="none" w:sz="0" w:space="0" w:color="auto"/>
            <w:left w:val="none" w:sz="0" w:space="0" w:color="auto"/>
            <w:bottom w:val="none" w:sz="0" w:space="0" w:color="auto"/>
            <w:right w:val="none" w:sz="0" w:space="0" w:color="auto"/>
          </w:divBdr>
          <w:divsChild>
            <w:div w:id="422648698">
              <w:marLeft w:val="0"/>
              <w:marRight w:val="0"/>
              <w:marTop w:val="0"/>
              <w:marBottom w:val="0"/>
              <w:divBdr>
                <w:top w:val="none" w:sz="0" w:space="0" w:color="auto"/>
                <w:left w:val="none" w:sz="0" w:space="0" w:color="auto"/>
                <w:bottom w:val="none" w:sz="0" w:space="0" w:color="auto"/>
                <w:right w:val="none" w:sz="0" w:space="0" w:color="auto"/>
              </w:divBdr>
              <w:divsChild>
                <w:div w:id="372271869">
                  <w:marLeft w:val="0"/>
                  <w:marRight w:val="0"/>
                  <w:marTop w:val="0"/>
                  <w:marBottom w:val="0"/>
                  <w:divBdr>
                    <w:top w:val="none" w:sz="0" w:space="0" w:color="auto"/>
                    <w:left w:val="none" w:sz="0" w:space="0" w:color="auto"/>
                    <w:bottom w:val="none" w:sz="0" w:space="0" w:color="auto"/>
                    <w:right w:val="none" w:sz="0" w:space="0" w:color="auto"/>
                  </w:divBdr>
                  <w:divsChild>
                    <w:div w:id="2779367">
                      <w:marLeft w:val="0"/>
                      <w:marRight w:val="0"/>
                      <w:marTop w:val="0"/>
                      <w:marBottom w:val="0"/>
                      <w:divBdr>
                        <w:top w:val="none" w:sz="0" w:space="0" w:color="auto"/>
                        <w:left w:val="none" w:sz="0" w:space="0" w:color="auto"/>
                        <w:bottom w:val="none" w:sz="0" w:space="0" w:color="auto"/>
                        <w:right w:val="none" w:sz="0" w:space="0" w:color="auto"/>
                      </w:divBdr>
                      <w:divsChild>
                        <w:div w:id="988441134">
                          <w:marLeft w:val="0"/>
                          <w:marRight w:val="0"/>
                          <w:marTop w:val="0"/>
                          <w:marBottom w:val="0"/>
                          <w:divBdr>
                            <w:top w:val="single" w:sz="6" w:space="0" w:color="828282"/>
                            <w:left w:val="single" w:sz="6" w:space="0" w:color="828282"/>
                            <w:bottom w:val="single" w:sz="6" w:space="0" w:color="828282"/>
                            <w:right w:val="single" w:sz="6" w:space="0" w:color="828282"/>
                          </w:divBdr>
                          <w:divsChild>
                            <w:div w:id="1255439580">
                              <w:marLeft w:val="0"/>
                              <w:marRight w:val="0"/>
                              <w:marTop w:val="0"/>
                              <w:marBottom w:val="0"/>
                              <w:divBdr>
                                <w:top w:val="none" w:sz="0" w:space="0" w:color="auto"/>
                                <w:left w:val="none" w:sz="0" w:space="0" w:color="auto"/>
                                <w:bottom w:val="none" w:sz="0" w:space="0" w:color="auto"/>
                                <w:right w:val="none" w:sz="0" w:space="0" w:color="auto"/>
                              </w:divBdr>
                              <w:divsChild>
                                <w:div w:id="888496604">
                                  <w:marLeft w:val="0"/>
                                  <w:marRight w:val="0"/>
                                  <w:marTop w:val="0"/>
                                  <w:marBottom w:val="0"/>
                                  <w:divBdr>
                                    <w:top w:val="none" w:sz="0" w:space="0" w:color="auto"/>
                                    <w:left w:val="none" w:sz="0" w:space="0" w:color="auto"/>
                                    <w:bottom w:val="none" w:sz="0" w:space="0" w:color="auto"/>
                                    <w:right w:val="none" w:sz="0" w:space="0" w:color="auto"/>
                                  </w:divBdr>
                                  <w:divsChild>
                                    <w:div w:id="1605381358">
                                      <w:marLeft w:val="0"/>
                                      <w:marRight w:val="0"/>
                                      <w:marTop w:val="0"/>
                                      <w:marBottom w:val="0"/>
                                      <w:divBdr>
                                        <w:top w:val="none" w:sz="0" w:space="0" w:color="auto"/>
                                        <w:left w:val="none" w:sz="0" w:space="0" w:color="auto"/>
                                        <w:bottom w:val="none" w:sz="0" w:space="0" w:color="auto"/>
                                        <w:right w:val="none" w:sz="0" w:space="0" w:color="auto"/>
                                      </w:divBdr>
                                      <w:divsChild>
                                        <w:div w:id="367730285">
                                          <w:marLeft w:val="0"/>
                                          <w:marRight w:val="0"/>
                                          <w:marTop w:val="0"/>
                                          <w:marBottom w:val="0"/>
                                          <w:divBdr>
                                            <w:top w:val="none" w:sz="0" w:space="0" w:color="auto"/>
                                            <w:left w:val="none" w:sz="0" w:space="0" w:color="auto"/>
                                            <w:bottom w:val="none" w:sz="0" w:space="0" w:color="auto"/>
                                            <w:right w:val="none" w:sz="0" w:space="0" w:color="auto"/>
                                          </w:divBdr>
                                          <w:divsChild>
                                            <w:div w:id="340548718">
                                              <w:marLeft w:val="0"/>
                                              <w:marRight w:val="0"/>
                                              <w:marTop w:val="0"/>
                                              <w:marBottom w:val="0"/>
                                              <w:divBdr>
                                                <w:top w:val="none" w:sz="0" w:space="0" w:color="auto"/>
                                                <w:left w:val="none" w:sz="0" w:space="0" w:color="auto"/>
                                                <w:bottom w:val="none" w:sz="0" w:space="0" w:color="auto"/>
                                                <w:right w:val="none" w:sz="0" w:space="0" w:color="auto"/>
                                              </w:divBdr>
                                              <w:divsChild>
                                                <w:div w:id="1640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7822-6DEB-4283-A5D2-B194CAD5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2011-10-13T00:56:00Z</dcterms:created>
  <dcterms:modified xsi:type="dcterms:W3CDTF">2011-10-13T00:56:00Z</dcterms:modified>
</cp:coreProperties>
</file>