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FF5" w:rsidRPr="00F20A12" w:rsidRDefault="00593236" w:rsidP="00F20A12">
      <w:pPr>
        <w:spacing w:after="0" w:line="240" w:lineRule="auto"/>
        <w:jc w:val="right"/>
        <w:rPr>
          <w:b/>
          <w:sz w:val="28"/>
        </w:rPr>
      </w:pPr>
      <w:r>
        <w:rPr>
          <w:b/>
          <w:sz w:val="28"/>
        </w:rPr>
        <w:t xml:space="preserve"> </w:t>
      </w:r>
    </w:p>
    <w:p w:rsidR="009B38F5" w:rsidRDefault="009B38F5" w:rsidP="009B38F5">
      <w:pPr>
        <w:spacing w:after="0" w:line="240" w:lineRule="auto"/>
        <w:rPr>
          <w:b/>
          <w:sz w:val="28"/>
        </w:rPr>
      </w:pPr>
      <w:r w:rsidRPr="009B38F5">
        <w:rPr>
          <w:b/>
          <w:noProof/>
          <w:sz w:val="28"/>
          <w:lang w:eastAsia="en-AU"/>
        </w:rPr>
        <w:drawing>
          <wp:anchor distT="0" distB="0" distL="114300" distR="114300" simplePos="0" relativeHeight="251659264" behindDoc="1" locked="0" layoutInCell="1" allowOverlap="1">
            <wp:simplePos x="0" y="0"/>
            <wp:positionH relativeFrom="column">
              <wp:posOffset>-91440</wp:posOffset>
            </wp:positionH>
            <wp:positionV relativeFrom="paragraph">
              <wp:posOffset>5715</wp:posOffset>
            </wp:positionV>
            <wp:extent cx="838200" cy="1962150"/>
            <wp:effectExtent l="19050" t="0" r="0" b="0"/>
            <wp:wrapSquare wrapText="bothSides"/>
            <wp:docPr id="3" name="Picture 1" descr="ne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pc"/>
                    <pic:cNvPicPr>
                      <a:picLocks noChangeAspect="1" noChangeArrowheads="1"/>
                    </pic:cNvPicPr>
                  </pic:nvPicPr>
                  <pic:blipFill>
                    <a:blip r:embed="rId8" cstate="print"/>
                    <a:srcRect/>
                    <a:stretch>
                      <a:fillRect/>
                    </a:stretch>
                  </pic:blipFill>
                  <pic:spPr bwMode="auto">
                    <a:xfrm>
                      <a:off x="0" y="0"/>
                      <a:ext cx="838200" cy="1962150"/>
                    </a:xfrm>
                    <a:prstGeom prst="rect">
                      <a:avLst/>
                    </a:prstGeom>
                    <a:noFill/>
                    <a:ln w="9525">
                      <a:noFill/>
                      <a:miter lim="800000"/>
                      <a:headEnd/>
                      <a:tailEnd/>
                    </a:ln>
                  </pic:spPr>
                </pic:pic>
              </a:graphicData>
            </a:graphic>
          </wp:anchor>
        </w:drawing>
      </w:r>
    </w:p>
    <w:p w:rsidR="009B38F5" w:rsidRDefault="009B38F5" w:rsidP="009B38F5">
      <w:pPr>
        <w:spacing w:after="0" w:line="240" w:lineRule="auto"/>
        <w:rPr>
          <w:b/>
          <w:sz w:val="28"/>
        </w:rPr>
      </w:pPr>
    </w:p>
    <w:p w:rsidR="009B38F5" w:rsidRDefault="009B38F5" w:rsidP="009B38F5">
      <w:pPr>
        <w:spacing w:after="0" w:line="240" w:lineRule="auto"/>
        <w:rPr>
          <w:b/>
          <w:sz w:val="28"/>
        </w:rPr>
      </w:pPr>
    </w:p>
    <w:p w:rsidR="00877CE3" w:rsidRPr="009B38F5" w:rsidRDefault="0097130A" w:rsidP="009B38F5">
      <w:pPr>
        <w:spacing w:after="0" w:line="240" w:lineRule="auto"/>
        <w:jc w:val="center"/>
        <w:rPr>
          <w:b/>
        </w:rPr>
      </w:pPr>
      <w:r w:rsidRPr="00F20A12">
        <w:rPr>
          <w:b/>
          <w:sz w:val="28"/>
        </w:rPr>
        <w:t>Summary of Submissions received in relation to the Draft National Environment Protection (Us</w:t>
      </w:r>
      <w:r w:rsidR="00877CE3">
        <w:rPr>
          <w:b/>
          <w:sz w:val="28"/>
        </w:rPr>
        <w:t>ed Packaging Materials) Measure and the N</w:t>
      </w:r>
      <w:r w:rsidR="00402940">
        <w:rPr>
          <w:b/>
          <w:sz w:val="28"/>
        </w:rPr>
        <w:t xml:space="preserve">ational </w:t>
      </w:r>
      <w:r w:rsidR="00877CE3">
        <w:rPr>
          <w:b/>
          <w:sz w:val="28"/>
        </w:rPr>
        <w:t>E</w:t>
      </w:r>
      <w:r w:rsidR="00402940">
        <w:rPr>
          <w:b/>
          <w:sz w:val="28"/>
        </w:rPr>
        <w:t xml:space="preserve">nvironment </w:t>
      </w:r>
      <w:r w:rsidR="00877CE3">
        <w:rPr>
          <w:b/>
          <w:sz w:val="28"/>
        </w:rPr>
        <w:t>P</w:t>
      </w:r>
      <w:r w:rsidR="00402940">
        <w:rPr>
          <w:b/>
          <w:sz w:val="28"/>
        </w:rPr>
        <w:t xml:space="preserve">rotection </w:t>
      </w:r>
      <w:r w:rsidR="00877CE3">
        <w:rPr>
          <w:b/>
          <w:sz w:val="28"/>
        </w:rPr>
        <w:t>C</w:t>
      </w:r>
      <w:r w:rsidR="00402940">
        <w:rPr>
          <w:b/>
          <w:sz w:val="28"/>
        </w:rPr>
        <w:t>ouncil</w:t>
      </w:r>
      <w:r w:rsidR="00877CE3">
        <w:rPr>
          <w:b/>
          <w:sz w:val="28"/>
        </w:rPr>
        <w:t>’s Responses to Submissions</w:t>
      </w:r>
    </w:p>
    <w:p w:rsidR="009B38F5" w:rsidRDefault="009B38F5" w:rsidP="00F20A12">
      <w:pPr>
        <w:spacing w:after="0" w:line="240" w:lineRule="auto"/>
        <w:jc w:val="center"/>
        <w:rPr>
          <w:b/>
          <w:sz w:val="28"/>
        </w:rPr>
      </w:pPr>
    </w:p>
    <w:p w:rsidR="0097130A" w:rsidRPr="00F20A12" w:rsidRDefault="00402940" w:rsidP="00F20A12">
      <w:pPr>
        <w:spacing w:after="0" w:line="240" w:lineRule="auto"/>
        <w:jc w:val="center"/>
        <w:rPr>
          <w:b/>
          <w:sz w:val="28"/>
        </w:rPr>
      </w:pPr>
      <w:r>
        <w:rPr>
          <w:b/>
          <w:sz w:val="28"/>
        </w:rPr>
        <w:t>SEPTEMBER</w:t>
      </w:r>
      <w:r w:rsidR="0097130A" w:rsidRPr="00F20A12">
        <w:rPr>
          <w:b/>
          <w:sz w:val="28"/>
        </w:rPr>
        <w:t xml:space="preserve"> 2011</w:t>
      </w:r>
    </w:p>
    <w:p w:rsidR="00F20A12" w:rsidRDefault="00F20A12" w:rsidP="00183A4C">
      <w:pPr>
        <w:spacing w:after="0" w:line="240" w:lineRule="auto"/>
      </w:pPr>
    </w:p>
    <w:p w:rsidR="00253D5F" w:rsidRDefault="00253D5F" w:rsidP="00183A4C">
      <w:pPr>
        <w:spacing w:after="0" w:line="240" w:lineRule="auto"/>
      </w:pPr>
    </w:p>
    <w:p w:rsidR="009B38F5" w:rsidRDefault="009B38F5" w:rsidP="00183A4C">
      <w:pPr>
        <w:spacing w:after="0" w:line="240" w:lineRule="auto"/>
      </w:pPr>
    </w:p>
    <w:p w:rsidR="0072709F" w:rsidRPr="00E3114B" w:rsidRDefault="0072709F" w:rsidP="0072709F">
      <w:pPr>
        <w:pBdr>
          <w:bottom w:val="single" w:sz="4" w:space="0" w:color="808080"/>
        </w:pBdr>
        <w:rPr>
          <w:lang w:val="en-US"/>
        </w:rPr>
      </w:pPr>
    </w:p>
    <w:p w:rsidR="00402940" w:rsidRDefault="00402940" w:rsidP="00402940">
      <w:pPr>
        <w:spacing w:after="0" w:line="240" w:lineRule="auto"/>
      </w:pPr>
    </w:p>
    <w:p w:rsidR="0097130A" w:rsidRPr="00F20A12" w:rsidRDefault="0097130A" w:rsidP="00183A4C">
      <w:pPr>
        <w:spacing w:after="0" w:line="240" w:lineRule="auto"/>
        <w:rPr>
          <w:b/>
        </w:rPr>
      </w:pPr>
      <w:r w:rsidRPr="00F20A12">
        <w:rPr>
          <w:b/>
        </w:rPr>
        <w:t>Introduction</w:t>
      </w:r>
    </w:p>
    <w:p w:rsidR="00183A4C" w:rsidRDefault="00183A4C" w:rsidP="00183A4C">
      <w:pPr>
        <w:spacing w:after="0" w:line="240" w:lineRule="auto"/>
      </w:pPr>
    </w:p>
    <w:p w:rsidR="00183A4C" w:rsidRDefault="00183A4C" w:rsidP="00183A4C">
      <w:pPr>
        <w:spacing w:after="0" w:line="240" w:lineRule="auto"/>
        <w:rPr>
          <w:rFonts w:cstheme="minorHAnsi"/>
        </w:rPr>
      </w:pPr>
      <w:r w:rsidRPr="005A214D">
        <w:rPr>
          <w:rFonts w:cstheme="minorHAnsi"/>
        </w:rPr>
        <w:t xml:space="preserve">The goal of the </w:t>
      </w:r>
      <w:r>
        <w:rPr>
          <w:rFonts w:cstheme="minorHAnsi"/>
        </w:rPr>
        <w:t xml:space="preserve">National Environment Protection (Used Packaging Materials) </w:t>
      </w:r>
      <w:r w:rsidRPr="005A214D">
        <w:rPr>
          <w:rFonts w:cstheme="minorHAnsi"/>
        </w:rPr>
        <w:t xml:space="preserve">Measure </w:t>
      </w:r>
      <w:r w:rsidR="00402940">
        <w:rPr>
          <w:rFonts w:cstheme="minorHAnsi"/>
        </w:rPr>
        <w:t xml:space="preserve">(NEPM) </w:t>
      </w:r>
      <w:r w:rsidRPr="005A214D">
        <w:rPr>
          <w:rFonts w:cstheme="minorHAnsi"/>
        </w:rPr>
        <w:t>is to reduce environmental degradation arising from the disposal of used packaging and conserve virgin materials through the encouragement of waste avoidance and the re-use and recycling of used packaging materials by supporting and complementing the voluntary strategies in the Australian Packaging Covenant (</w:t>
      </w:r>
      <w:r w:rsidR="00F20A12">
        <w:rPr>
          <w:rFonts w:cstheme="minorHAnsi"/>
        </w:rPr>
        <w:t>the Covenant</w:t>
      </w:r>
      <w:r w:rsidRPr="005A214D">
        <w:rPr>
          <w:rFonts w:cstheme="minorHAnsi"/>
        </w:rPr>
        <w:t>) and by assisting the assessment of the performance of the Covenant.</w:t>
      </w:r>
    </w:p>
    <w:p w:rsidR="00183A4C" w:rsidRPr="005A214D" w:rsidRDefault="00183A4C" w:rsidP="00183A4C">
      <w:pPr>
        <w:spacing w:after="0" w:line="240" w:lineRule="auto"/>
        <w:rPr>
          <w:rFonts w:cstheme="minorHAnsi"/>
        </w:rPr>
      </w:pPr>
    </w:p>
    <w:p w:rsidR="00183A4C" w:rsidRDefault="00402940" w:rsidP="00183A4C">
      <w:pPr>
        <w:spacing w:after="0" w:line="240" w:lineRule="auto"/>
        <w:rPr>
          <w:rFonts w:cstheme="minorHAnsi"/>
        </w:rPr>
      </w:pPr>
      <w:r w:rsidRPr="00402940">
        <w:rPr>
          <w:rFonts w:cstheme="minorHAnsi"/>
        </w:rPr>
        <w:t xml:space="preserve">Late in 2010, administrative issues were identified with the registration of the 2005 and 2010 Minor Variations to the Used Packaging Materials NEPM which could call into question the validity of the </w:t>
      </w:r>
      <w:r>
        <w:rPr>
          <w:rFonts w:cstheme="minorHAnsi"/>
        </w:rPr>
        <w:t>NEPM</w:t>
      </w:r>
      <w:r w:rsidRPr="00402940">
        <w:rPr>
          <w:rFonts w:cstheme="minorHAnsi"/>
        </w:rPr>
        <w:t>. In order to put the question of validity beyond doubt and provide certainty to the packaging industry the NEPM is being re-made.</w:t>
      </w:r>
    </w:p>
    <w:p w:rsidR="00183A4C" w:rsidRPr="005A214D" w:rsidRDefault="00183A4C" w:rsidP="00183A4C">
      <w:pPr>
        <w:spacing w:after="0" w:line="240" w:lineRule="auto"/>
        <w:rPr>
          <w:rFonts w:cstheme="minorHAnsi"/>
        </w:rPr>
      </w:pPr>
    </w:p>
    <w:p w:rsidR="00402940" w:rsidRDefault="00402940" w:rsidP="00402940">
      <w:pPr>
        <w:spacing w:after="0" w:line="240" w:lineRule="auto"/>
        <w:rPr>
          <w:rFonts w:cstheme="minorHAnsi"/>
        </w:rPr>
      </w:pPr>
      <w:r>
        <w:rPr>
          <w:rFonts w:cstheme="minorHAnsi"/>
        </w:rPr>
        <w:t xml:space="preserve">In accordance with the </w:t>
      </w:r>
      <w:r w:rsidRPr="00402940">
        <w:rPr>
          <w:rFonts w:cstheme="minorHAnsi"/>
          <w:i/>
        </w:rPr>
        <w:t>National Environment Protection Council Act 1994</w:t>
      </w:r>
      <w:r>
        <w:rPr>
          <w:rFonts w:cstheme="minorHAnsi"/>
        </w:rPr>
        <w:t>, a</w:t>
      </w:r>
      <w:r w:rsidRPr="00692CA0">
        <w:rPr>
          <w:rFonts w:cstheme="minorHAnsi"/>
        </w:rPr>
        <w:t xml:space="preserve"> notice of inte</w:t>
      </w:r>
      <w:r>
        <w:rPr>
          <w:rFonts w:cstheme="minorHAnsi"/>
        </w:rPr>
        <w:t>ntion to prepare a draft NEPM</w:t>
      </w:r>
      <w:r w:rsidRPr="00692CA0">
        <w:rPr>
          <w:rFonts w:cstheme="minorHAnsi"/>
        </w:rPr>
        <w:t xml:space="preserve"> was published in the </w:t>
      </w:r>
      <w:r w:rsidRPr="00692CA0">
        <w:rPr>
          <w:rFonts w:cstheme="minorHAnsi"/>
          <w:i/>
        </w:rPr>
        <w:t>Commonwealth Government Notices Gazette</w:t>
      </w:r>
      <w:r w:rsidRPr="00692CA0">
        <w:rPr>
          <w:rFonts w:cstheme="minorHAnsi"/>
        </w:rPr>
        <w:t xml:space="preserve"> (Gazette) on Wednesday 23</w:t>
      </w:r>
      <w:r>
        <w:rPr>
          <w:rFonts w:cstheme="minorHAnsi"/>
        </w:rPr>
        <w:t> </w:t>
      </w:r>
      <w:r w:rsidRPr="00692CA0">
        <w:rPr>
          <w:rFonts w:cstheme="minorHAnsi"/>
        </w:rPr>
        <w:t>February</w:t>
      </w:r>
      <w:r>
        <w:rPr>
          <w:rFonts w:cstheme="minorHAnsi"/>
        </w:rPr>
        <w:t xml:space="preserve"> 2011 and </w:t>
      </w:r>
      <w:r w:rsidRPr="00692CA0">
        <w:rPr>
          <w:rFonts w:cstheme="minorHAnsi"/>
        </w:rPr>
        <w:t xml:space="preserve">in </w:t>
      </w:r>
      <w:r w:rsidRPr="00692CA0">
        <w:rPr>
          <w:rFonts w:cstheme="minorHAnsi"/>
          <w:i/>
        </w:rPr>
        <w:t>The Australian</w:t>
      </w:r>
      <w:r w:rsidRPr="00692CA0">
        <w:rPr>
          <w:rFonts w:cstheme="minorHAnsi"/>
        </w:rPr>
        <w:t xml:space="preserve"> on Wednesday</w:t>
      </w:r>
      <w:r>
        <w:rPr>
          <w:rFonts w:cstheme="minorHAnsi"/>
        </w:rPr>
        <w:t xml:space="preserve"> 23 February 2011 and Friday 25 February </w:t>
      </w:r>
      <w:r w:rsidRPr="00692CA0">
        <w:rPr>
          <w:rFonts w:cstheme="minorHAnsi"/>
        </w:rPr>
        <w:t>2011.</w:t>
      </w:r>
    </w:p>
    <w:p w:rsidR="00402940" w:rsidRDefault="00402940" w:rsidP="00402940">
      <w:pPr>
        <w:spacing w:after="0" w:line="240" w:lineRule="auto"/>
        <w:rPr>
          <w:rFonts w:cstheme="minorHAnsi"/>
        </w:rPr>
      </w:pPr>
    </w:p>
    <w:p w:rsidR="00402940" w:rsidRDefault="00402940" w:rsidP="00402940">
      <w:pPr>
        <w:spacing w:after="0" w:line="240" w:lineRule="auto"/>
        <w:rPr>
          <w:rFonts w:cstheme="minorHAnsi"/>
        </w:rPr>
      </w:pPr>
      <w:r>
        <w:rPr>
          <w:rFonts w:cstheme="minorHAnsi"/>
        </w:rPr>
        <w:t>The</w:t>
      </w:r>
      <w:r w:rsidRPr="00692CA0">
        <w:rPr>
          <w:rFonts w:cstheme="minorHAnsi"/>
        </w:rPr>
        <w:t xml:space="preserve"> draft NEPM and an </w:t>
      </w:r>
      <w:r>
        <w:rPr>
          <w:rFonts w:cstheme="minorHAnsi"/>
        </w:rPr>
        <w:t>I</w:t>
      </w:r>
      <w:r w:rsidRPr="00692CA0">
        <w:rPr>
          <w:rFonts w:cstheme="minorHAnsi"/>
        </w:rPr>
        <w:t xml:space="preserve">mpact </w:t>
      </w:r>
      <w:r>
        <w:rPr>
          <w:rFonts w:cstheme="minorHAnsi"/>
        </w:rPr>
        <w:t>S</w:t>
      </w:r>
      <w:r w:rsidRPr="00692CA0">
        <w:rPr>
          <w:rFonts w:cstheme="minorHAnsi"/>
        </w:rPr>
        <w:t>tatement</w:t>
      </w:r>
      <w:r>
        <w:rPr>
          <w:rFonts w:cstheme="minorHAnsi"/>
        </w:rPr>
        <w:t xml:space="preserve"> were subsequently</w:t>
      </w:r>
      <w:r w:rsidRPr="00692CA0">
        <w:rPr>
          <w:rFonts w:cstheme="minorHAnsi"/>
        </w:rPr>
        <w:t xml:space="preserve"> rel</w:t>
      </w:r>
      <w:r>
        <w:rPr>
          <w:rFonts w:cstheme="minorHAnsi"/>
        </w:rPr>
        <w:t>eased for public consultation in June 2011. A</w:t>
      </w:r>
      <w:r w:rsidRPr="00692CA0">
        <w:rPr>
          <w:rFonts w:cstheme="minorHAnsi"/>
        </w:rPr>
        <w:t xml:space="preserve"> notice of public consultation was published in the </w:t>
      </w:r>
      <w:r w:rsidRPr="00332D75">
        <w:rPr>
          <w:rFonts w:cstheme="minorHAnsi"/>
        </w:rPr>
        <w:t>Gazette</w:t>
      </w:r>
      <w:r w:rsidRPr="00692CA0">
        <w:rPr>
          <w:rFonts w:cstheme="minorHAnsi"/>
        </w:rPr>
        <w:t xml:space="preserve"> on Wednesday 15</w:t>
      </w:r>
      <w:r>
        <w:rPr>
          <w:rFonts w:cstheme="minorHAnsi"/>
        </w:rPr>
        <w:t> </w:t>
      </w:r>
      <w:r w:rsidRPr="00692CA0">
        <w:rPr>
          <w:rFonts w:cstheme="minorHAnsi"/>
        </w:rPr>
        <w:t>June</w:t>
      </w:r>
      <w:r>
        <w:rPr>
          <w:rFonts w:cstheme="minorHAnsi"/>
        </w:rPr>
        <w:t> </w:t>
      </w:r>
      <w:r w:rsidRPr="00692CA0">
        <w:rPr>
          <w:rFonts w:cstheme="minorHAnsi"/>
        </w:rPr>
        <w:t xml:space="preserve">2011 and in </w:t>
      </w:r>
      <w:r w:rsidRPr="00AE3F2E">
        <w:rPr>
          <w:rFonts w:cstheme="minorHAnsi"/>
          <w:i/>
        </w:rPr>
        <w:t>The Australian</w:t>
      </w:r>
      <w:r w:rsidRPr="00692CA0">
        <w:rPr>
          <w:rFonts w:cstheme="minorHAnsi"/>
        </w:rPr>
        <w:t xml:space="preserve"> on Wednesday 15</w:t>
      </w:r>
      <w:r>
        <w:rPr>
          <w:rFonts w:cstheme="minorHAnsi"/>
        </w:rPr>
        <w:t> </w:t>
      </w:r>
      <w:r w:rsidRPr="00692CA0">
        <w:rPr>
          <w:rFonts w:cstheme="minorHAnsi"/>
        </w:rPr>
        <w:t>June</w:t>
      </w:r>
      <w:r>
        <w:rPr>
          <w:rFonts w:cstheme="minorHAnsi"/>
        </w:rPr>
        <w:t> </w:t>
      </w:r>
      <w:r w:rsidRPr="00692CA0">
        <w:rPr>
          <w:rFonts w:cstheme="minorHAnsi"/>
        </w:rPr>
        <w:t>2011 and Friday 17</w:t>
      </w:r>
      <w:r>
        <w:rPr>
          <w:rFonts w:cstheme="minorHAnsi"/>
        </w:rPr>
        <w:t> </w:t>
      </w:r>
      <w:r w:rsidRPr="00692CA0">
        <w:rPr>
          <w:rFonts w:cstheme="minorHAnsi"/>
        </w:rPr>
        <w:t>June</w:t>
      </w:r>
      <w:r>
        <w:rPr>
          <w:rFonts w:cstheme="minorHAnsi"/>
        </w:rPr>
        <w:t> </w:t>
      </w:r>
      <w:r w:rsidRPr="00692CA0">
        <w:rPr>
          <w:rFonts w:cstheme="minorHAnsi"/>
        </w:rPr>
        <w:t>2011.</w:t>
      </w:r>
      <w:r>
        <w:rPr>
          <w:rFonts w:cstheme="minorHAnsi"/>
        </w:rPr>
        <w:t xml:space="preserve"> </w:t>
      </w:r>
      <w:r w:rsidRPr="00AE3F2E">
        <w:rPr>
          <w:rFonts w:cstheme="minorHAnsi"/>
        </w:rPr>
        <w:t>The closing</w:t>
      </w:r>
      <w:r>
        <w:rPr>
          <w:rFonts w:cstheme="minorHAnsi"/>
        </w:rPr>
        <w:t xml:space="preserve"> date for submissions was Monday</w:t>
      </w:r>
      <w:r w:rsidRPr="00AE3F2E">
        <w:rPr>
          <w:rFonts w:cstheme="minorHAnsi"/>
        </w:rPr>
        <w:t xml:space="preserve"> 22</w:t>
      </w:r>
      <w:r>
        <w:rPr>
          <w:rFonts w:cstheme="minorHAnsi"/>
        </w:rPr>
        <w:t> </w:t>
      </w:r>
      <w:r w:rsidRPr="00AE3F2E">
        <w:rPr>
          <w:rFonts w:cstheme="minorHAnsi"/>
        </w:rPr>
        <w:t>August</w:t>
      </w:r>
      <w:r>
        <w:rPr>
          <w:rFonts w:cstheme="minorHAnsi"/>
        </w:rPr>
        <w:t> </w:t>
      </w:r>
      <w:r w:rsidRPr="00AE3F2E">
        <w:rPr>
          <w:rFonts w:cstheme="minorHAnsi"/>
        </w:rPr>
        <w:t>2011.</w:t>
      </w:r>
    </w:p>
    <w:p w:rsidR="00402940" w:rsidRPr="001C4379" w:rsidRDefault="00402940" w:rsidP="00402940">
      <w:pPr>
        <w:spacing w:after="0" w:line="240" w:lineRule="auto"/>
        <w:rPr>
          <w:rFonts w:cstheme="minorHAnsi"/>
        </w:rPr>
      </w:pPr>
    </w:p>
    <w:p w:rsidR="00402940" w:rsidRDefault="00402940" w:rsidP="00402940">
      <w:pPr>
        <w:spacing w:after="0" w:line="240" w:lineRule="auto"/>
        <w:rPr>
          <w:rFonts w:cs="Book Antiqua"/>
          <w:color w:val="000000"/>
        </w:rPr>
      </w:pPr>
      <w:r w:rsidRPr="001C4379">
        <w:rPr>
          <w:rFonts w:cstheme="minorHAnsi"/>
        </w:rPr>
        <w:t xml:space="preserve">Two submissions were received in response to the release of the </w:t>
      </w:r>
      <w:r>
        <w:rPr>
          <w:rFonts w:cstheme="minorHAnsi"/>
        </w:rPr>
        <w:t xml:space="preserve">draft NEPM and Impact Statement: one from the </w:t>
      </w:r>
      <w:r w:rsidRPr="001C4379">
        <w:rPr>
          <w:rFonts w:cstheme="minorHAnsi"/>
        </w:rPr>
        <w:t>W</w:t>
      </w:r>
      <w:r>
        <w:rPr>
          <w:rFonts w:cstheme="minorHAnsi"/>
        </w:rPr>
        <w:t xml:space="preserve">est Australian </w:t>
      </w:r>
      <w:r>
        <w:t xml:space="preserve">Municipal Waste Advisory Council; the other from the </w:t>
      </w:r>
      <w:r w:rsidRPr="001C4379">
        <w:rPr>
          <w:rFonts w:cstheme="minorHAnsi"/>
        </w:rPr>
        <w:t>N</w:t>
      </w:r>
      <w:r>
        <w:rPr>
          <w:rFonts w:cstheme="minorHAnsi"/>
        </w:rPr>
        <w:t xml:space="preserve">ew </w:t>
      </w:r>
      <w:r w:rsidRPr="001C4379">
        <w:rPr>
          <w:rFonts w:cstheme="minorHAnsi"/>
        </w:rPr>
        <w:t>S</w:t>
      </w:r>
      <w:r>
        <w:rPr>
          <w:rFonts w:cstheme="minorHAnsi"/>
        </w:rPr>
        <w:t xml:space="preserve">outh </w:t>
      </w:r>
      <w:r w:rsidRPr="001C4379">
        <w:rPr>
          <w:rFonts w:cstheme="minorHAnsi"/>
        </w:rPr>
        <w:t>W</w:t>
      </w:r>
      <w:r>
        <w:rPr>
          <w:rFonts w:cstheme="minorHAnsi"/>
        </w:rPr>
        <w:t>ales</w:t>
      </w:r>
      <w:r w:rsidRPr="001C4379">
        <w:rPr>
          <w:rFonts w:cstheme="minorHAnsi"/>
        </w:rPr>
        <w:t xml:space="preserve"> </w:t>
      </w:r>
      <w:r>
        <w:rPr>
          <w:rFonts w:cstheme="minorHAnsi"/>
        </w:rPr>
        <w:t>Office of Environment and</w:t>
      </w:r>
      <w:r w:rsidRPr="001C4379">
        <w:rPr>
          <w:rFonts w:cstheme="minorHAnsi"/>
        </w:rPr>
        <w:t xml:space="preserve"> Heritage (</w:t>
      </w:r>
      <w:r>
        <w:rPr>
          <w:rFonts w:cstheme="minorHAnsi"/>
        </w:rPr>
        <w:t xml:space="preserve">NSW </w:t>
      </w:r>
      <w:r w:rsidRPr="001C4379">
        <w:rPr>
          <w:rFonts w:cstheme="minorHAnsi"/>
        </w:rPr>
        <w:t>OEH)</w:t>
      </w:r>
      <w:r>
        <w:rPr>
          <w:rFonts w:cstheme="minorHAnsi"/>
        </w:rPr>
        <w:t>.</w:t>
      </w:r>
      <w:r w:rsidR="00B90222">
        <w:rPr>
          <w:rFonts w:cstheme="minorHAnsi"/>
        </w:rPr>
        <w:t xml:space="preserve">  </w:t>
      </w:r>
      <w:r>
        <w:t xml:space="preserve">Both submissions were supportive of the </w:t>
      </w:r>
      <w:r w:rsidR="00237F58">
        <w:t>Covenant</w:t>
      </w:r>
      <w:r>
        <w:t xml:space="preserve"> and NEPM arrangement and of remaking the NEPM.</w:t>
      </w:r>
    </w:p>
    <w:p w:rsidR="00F2550E" w:rsidRDefault="00F2550E" w:rsidP="00183A4C">
      <w:pPr>
        <w:spacing w:after="0" w:line="240" w:lineRule="auto"/>
        <w:rPr>
          <w:rFonts w:cstheme="minorHAnsi"/>
          <w:b/>
        </w:rPr>
      </w:pPr>
    </w:p>
    <w:p w:rsidR="00563FF5" w:rsidRPr="00F20A12" w:rsidRDefault="00563FF5" w:rsidP="00183A4C">
      <w:pPr>
        <w:spacing w:after="0" w:line="240" w:lineRule="auto"/>
        <w:rPr>
          <w:rFonts w:cstheme="minorHAnsi"/>
          <w:b/>
        </w:rPr>
      </w:pPr>
      <w:r w:rsidRPr="00F20A12">
        <w:rPr>
          <w:rFonts w:cstheme="minorHAnsi"/>
          <w:b/>
        </w:rPr>
        <w:t>Key Issue</w:t>
      </w:r>
    </w:p>
    <w:p w:rsidR="00563FF5" w:rsidRDefault="00563FF5" w:rsidP="00183A4C">
      <w:pPr>
        <w:spacing w:after="0" w:line="240" w:lineRule="auto"/>
        <w:rPr>
          <w:rFonts w:cstheme="minorHAnsi"/>
        </w:rPr>
      </w:pPr>
    </w:p>
    <w:p w:rsidR="002D1505" w:rsidRDefault="00563FF5" w:rsidP="00183A4C">
      <w:pPr>
        <w:spacing w:after="0" w:line="240" w:lineRule="auto"/>
        <w:rPr>
          <w:rFonts w:cstheme="minorHAnsi"/>
        </w:rPr>
      </w:pPr>
      <w:r>
        <w:rPr>
          <w:rFonts w:cstheme="minorHAnsi"/>
        </w:rPr>
        <w:t xml:space="preserve">In the </w:t>
      </w:r>
      <w:r w:rsidR="00402940">
        <w:rPr>
          <w:rFonts w:cstheme="minorHAnsi"/>
        </w:rPr>
        <w:t xml:space="preserve">NSW </w:t>
      </w:r>
      <w:r>
        <w:rPr>
          <w:rFonts w:cstheme="minorHAnsi"/>
        </w:rPr>
        <w:t>OEH submission a</w:t>
      </w:r>
      <w:r w:rsidR="00402940">
        <w:rPr>
          <w:rFonts w:cstheme="minorHAnsi"/>
        </w:rPr>
        <w:t>n</w:t>
      </w:r>
      <w:r>
        <w:rPr>
          <w:rFonts w:cstheme="minorHAnsi"/>
        </w:rPr>
        <w:t xml:space="preserve"> objection is made regarding </w:t>
      </w:r>
      <w:r w:rsidR="00402940">
        <w:rPr>
          <w:rFonts w:cstheme="minorHAnsi"/>
        </w:rPr>
        <w:t xml:space="preserve">the terminology used to define </w:t>
      </w:r>
      <w:r w:rsidR="005E6256">
        <w:rPr>
          <w:rFonts w:cstheme="minorHAnsi"/>
        </w:rPr>
        <w:t>‘</w:t>
      </w:r>
      <w:r w:rsidR="00402940">
        <w:rPr>
          <w:rFonts w:cstheme="minorHAnsi"/>
        </w:rPr>
        <w:t>consumer packaging</w:t>
      </w:r>
      <w:r w:rsidR="005E6256">
        <w:rPr>
          <w:rFonts w:cstheme="minorHAnsi"/>
        </w:rPr>
        <w:t>’</w:t>
      </w:r>
      <w:r>
        <w:rPr>
          <w:rFonts w:cstheme="minorHAnsi"/>
        </w:rPr>
        <w:t xml:space="preserve"> in the </w:t>
      </w:r>
      <w:r w:rsidR="005E6256">
        <w:rPr>
          <w:rFonts w:cstheme="minorHAnsi"/>
        </w:rPr>
        <w:t xml:space="preserve">draft </w:t>
      </w:r>
      <w:r>
        <w:rPr>
          <w:rFonts w:cstheme="minorHAnsi"/>
        </w:rPr>
        <w:t xml:space="preserve">NEPM. </w:t>
      </w:r>
      <w:r w:rsidR="00402940">
        <w:rPr>
          <w:rFonts w:cstheme="minorHAnsi"/>
        </w:rPr>
        <w:t xml:space="preserve">NSW </w:t>
      </w:r>
      <w:r>
        <w:rPr>
          <w:rFonts w:cstheme="minorHAnsi"/>
        </w:rPr>
        <w:t xml:space="preserve">OEH request </w:t>
      </w:r>
      <w:r w:rsidR="005E6256">
        <w:rPr>
          <w:rFonts w:cstheme="minorHAnsi"/>
        </w:rPr>
        <w:t xml:space="preserve">that </w:t>
      </w:r>
      <w:r>
        <w:rPr>
          <w:rFonts w:cstheme="minorHAnsi"/>
        </w:rPr>
        <w:t xml:space="preserve">the definition </w:t>
      </w:r>
      <w:r w:rsidR="005E6256">
        <w:rPr>
          <w:rFonts w:cstheme="minorHAnsi"/>
        </w:rPr>
        <w:t xml:space="preserve">in the NEPM </w:t>
      </w:r>
      <w:r>
        <w:rPr>
          <w:rFonts w:cstheme="minorHAnsi"/>
        </w:rPr>
        <w:t xml:space="preserve">aligns with the </w:t>
      </w:r>
      <w:r w:rsidR="00F20A12">
        <w:rPr>
          <w:rFonts w:cstheme="minorHAnsi"/>
        </w:rPr>
        <w:t>Covenant</w:t>
      </w:r>
      <w:r>
        <w:rPr>
          <w:rFonts w:cstheme="minorHAnsi"/>
        </w:rPr>
        <w:t xml:space="preserve"> definition.</w:t>
      </w:r>
      <w:r w:rsidR="002D1505">
        <w:rPr>
          <w:rFonts w:cstheme="minorHAnsi"/>
        </w:rPr>
        <w:t xml:space="preserve"> </w:t>
      </w:r>
      <w:r w:rsidR="005E6256">
        <w:rPr>
          <w:rFonts w:cstheme="minorHAnsi"/>
        </w:rPr>
        <w:t xml:space="preserve">In particular, NSW </w:t>
      </w:r>
      <w:r w:rsidR="002D1505">
        <w:rPr>
          <w:rFonts w:cstheme="minorHAnsi"/>
        </w:rPr>
        <w:t>OEH</w:t>
      </w:r>
      <w:r w:rsidR="008761FA">
        <w:rPr>
          <w:rFonts w:cstheme="minorHAnsi"/>
        </w:rPr>
        <w:t>’s</w:t>
      </w:r>
      <w:r w:rsidR="002D1505">
        <w:rPr>
          <w:rFonts w:cstheme="minorHAnsi"/>
        </w:rPr>
        <w:t xml:space="preserve"> object</w:t>
      </w:r>
      <w:r w:rsidR="008761FA">
        <w:rPr>
          <w:rFonts w:cstheme="minorHAnsi"/>
        </w:rPr>
        <w:t>ion relates</w:t>
      </w:r>
      <w:r w:rsidR="002D1505">
        <w:rPr>
          <w:rFonts w:cstheme="minorHAnsi"/>
        </w:rPr>
        <w:t xml:space="preserve"> to the use of the word ‘retail’</w:t>
      </w:r>
      <w:r w:rsidR="008761FA">
        <w:rPr>
          <w:rFonts w:cstheme="minorHAnsi"/>
        </w:rPr>
        <w:t>,</w:t>
      </w:r>
      <w:r w:rsidR="002D1505">
        <w:rPr>
          <w:rFonts w:cstheme="minorHAnsi"/>
        </w:rPr>
        <w:t xml:space="preserve"> as it </w:t>
      </w:r>
      <w:r w:rsidR="005E6256">
        <w:rPr>
          <w:rFonts w:cstheme="minorHAnsi"/>
        </w:rPr>
        <w:t>creates ambiguity about</w:t>
      </w:r>
      <w:r w:rsidR="002D1505">
        <w:rPr>
          <w:rFonts w:cstheme="minorHAnsi"/>
        </w:rPr>
        <w:t xml:space="preserve"> the scope of the ‘consumer packaging’ definition.</w:t>
      </w:r>
      <w:r w:rsidR="002D1505" w:rsidRPr="002D1505">
        <w:rPr>
          <w:rFonts w:cstheme="minorHAnsi"/>
        </w:rPr>
        <w:t xml:space="preserve"> </w:t>
      </w:r>
      <w:r w:rsidR="005E6256">
        <w:rPr>
          <w:rFonts w:cstheme="minorHAnsi"/>
        </w:rPr>
        <w:t xml:space="preserve">NEPC Committee has advised NEPC that </w:t>
      </w:r>
      <w:r w:rsidR="002D1505">
        <w:rPr>
          <w:rFonts w:cstheme="minorHAnsi"/>
        </w:rPr>
        <w:t>this change</w:t>
      </w:r>
      <w:r w:rsidR="005E6256">
        <w:rPr>
          <w:rFonts w:cstheme="minorHAnsi"/>
        </w:rPr>
        <w:t xml:space="preserve"> should be agreed to</w:t>
      </w:r>
      <w:r w:rsidR="002D1505">
        <w:rPr>
          <w:rFonts w:cstheme="minorHAnsi"/>
        </w:rPr>
        <w:t>.</w:t>
      </w:r>
    </w:p>
    <w:p w:rsidR="00F2550E" w:rsidRDefault="00F2550E" w:rsidP="00183A4C">
      <w:pPr>
        <w:spacing w:after="0" w:line="240" w:lineRule="auto"/>
        <w:rPr>
          <w:b/>
        </w:rPr>
      </w:pPr>
    </w:p>
    <w:p w:rsidR="00183A4C" w:rsidRPr="00F20A12" w:rsidRDefault="00F20A12" w:rsidP="00402940">
      <w:pPr>
        <w:pageBreakBefore/>
        <w:tabs>
          <w:tab w:val="left" w:pos="5685"/>
        </w:tabs>
        <w:spacing w:after="0" w:line="240" w:lineRule="auto"/>
        <w:rPr>
          <w:b/>
        </w:rPr>
      </w:pPr>
      <w:r w:rsidRPr="00F20A12">
        <w:rPr>
          <w:b/>
        </w:rPr>
        <w:lastRenderedPageBreak/>
        <w:t>Summary of submissions and responses</w:t>
      </w:r>
    </w:p>
    <w:p w:rsidR="00183A4C" w:rsidRDefault="00183A4C" w:rsidP="00183A4C">
      <w:pPr>
        <w:spacing w:after="0" w:line="240" w:lineRule="auto"/>
      </w:pPr>
    </w:p>
    <w:tbl>
      <w:tblPr>
        <w:tblStyle w:val="TableGrid"/>
        <w:tblW w:w="0" w:type="auto"/>
        <w:tblLook w:val="04A0"/>
      </w:tblPr>
      <w:tblGrid>
        <w:gridCol w:w="4621"/>
        <w:gridCol w:w="4621"/>
      </w:tblGrid>
      <w:tr w:rsidR="00DE4DD1" w:rsidRPr="00B847F0" w:rsidTr="009803D2">
        <w:tc>
          <w:tcPr>
            <w:tcW w:w="9242" w:type="dxa"/>
            <w:gridSpan w:val="2"/>
            <w:shd w:val="clear" w:color="auto" w:fill="auto"/>
          </w:tcPr>
          <w:p w:rsidR="00DE4DD1" w:rsidRPr="00B847F0" w:rsidRDefault="00DE4DD1" w:rsidP="009803D2">
            <w:pPr>
              <w:spacing w:before="120" w:after="120"/>
              <w:rPr>
                <w:rFonts w:cstheme="minorHAnsi"/>
                <w:b/>
              </w:rPr>
            </w:pPr>
            <w:r>
              <w:rPr>
                <w:rFonts w:cstheme="minorHAnsi"/>
                <w:b/>
              </w:rPr>
              <w:t>Definition of ‘consumer packaging’</w:t>
            </w:r>
          </w:p>
        </w:tc>
      </w:tr>
      <w:tr w:rsidR="00DE4DD1" w:rsidRPr="00270B01" w:rsidTr="009803D2">
        <w:tc>
          <w:tcPr>
            <w:tcW w:w="4621" w:type="dxa"/>
            <w:shd w:val="clear" w:color="auto" w:fill="auto"/>
          </w:tcPr>
          <w:p w:rsidR="00DE4DD1" w:rsidRPr="00270B01" w:rsidRDefault="00DE4DD1" w:rsidP="009803D2">
            <w:pPr>
              <w:spacing w:before="120" w:after="120"/>
              <w:jc w:val="center"/>
              <w:rPr>
                <w:rFonts w:cstheme="minorHAnsi"/>
              </w:rPr>
            </w:pPr>
            <w:r>
              <w:rPr>
                <w:rFonts w:cstheme="minorHAnsi"/>
              </w:rPr>
              <w:t>Submission</w:t>
            </w:r>
          </w:p>
        </w:tc>
        <w:tc>
          <w:tcPr>
            <w:tcW w:w="4621" w:type="dxa"/>
            <w:shd w:val="clear" w:color="auto" w:fill="auto"/>
          </w:tcPr>
          <w:p w:rsidR="00DE4DD1" w:rsidRPr="00270B01" w:rsidRDefault="00DE4DD1" w:rsidP="009803D2">
            <w:pPr>
              <w:spacing w:before="120" w:after="120"/>
              <w:jc w:val="center"/>
              <w:rPr>
                <w:rFonts w:cstheme="minorHAnsi"/>
              </w:rPr>
            </w:pPr>
            <w:r w:rsidRPr="00270B01">
              <w:rPr>
                <w:rFonts w:cstheme="minorHAnsi"/>
              </w:rPr>
              <w:t>Response</w:t>
            </w:r>
          </w:p>
        </w:tc>
      </w:tr>
      <w:tr w:rsidR="00DE4DD1" w:rsidRPr="00270B01" w:rsidTr="009803D2">
        <w:tc>
          <w:tcPr>
            <w:tcW w:w="4621" w:type="dxa"/>
            <w:shd w:val="clear" w:color="auto" w:fill="auto"/>
          </w:tcPr>
          <w:p w:rsidR="00DE4DD1" w:rsidRPr="00270B01" w:rsidRDefault="00DE4DD1" w:rsidP="00B90222">
            <w:pPr>
              <w:rPr>
                <w:rFonts w:cstheme="minorHAnsi"/>
              </w:rPr>
            </w:pPr>
            <w:r>
              <w:rPr>
                <w:rFonts w:cstheme="minorHAnsi"/>
              </w:rPr>
              <w:t>There is a variation between the draft NEPM and the</w:t>
            </w:r>
            <w:r w:rsidR="00760EEF">
              <w:rPr>
                <w:rFonts w:cstheme="minorHAnsi"/>
              </w:rPr>
              <w:t xml:space="preserve"> </w:t>
            </w:r>
            <w:r w:rsidR="00B90222">
              <w:rPr>
                <w:rFonts w:cstheme="minorHAnsi"/>
              </w:rPr>
              <w:t>C</w:t>
            </w:r>
            <w:r w:rsidR="00F20A12">
              <w:rPr>
                <w:rFonts w:cstheme="minorHAnsi"/>
              </w:rPr>
              <w:t>ovenant</w:t>
            </w:r>
            <w:r>
              <w:rPr>
                <w:rFonts w:cstheme="minorHAnsi"/>
              </w:rPr>
              <w:t xml:space="preserve"> definition of ‘consumer packaging’.</w:t>
            </w:r>
            <w:r w:rsidR="009803D2">
              <w:rPr>
                <w:rFonts w:cstheme="minorHAnsi"/>
              </w:rPr>
              <w:t xml:space="preserve"> This will have a direct negative impact on the consistency of enforcement provided by jurisdictions and on the compliance messages given to industry. The NEPM-based co-regulatory scheme to enforce the </w:t>
            </w:r>
            <w:r w:rsidR="002D1505">
              <w:rPr>
                <w:rFonts w:cstheme="minorHAnsi"/>
              </w:rPr>
              <w:t>Covenant</w:t>
            </w:r>
            <w:r w:rsidR="009803D2">
              <w:rPr>
                <w:rFonts w:cstheme="minorHAnsi"/>
              </w:rPr>
              <w:t xml:space="preserve"> is only effective if there is consistency between all jurisdictions, and between the</w:t>
            </w:r>
            <w:r w:rsidR="00F20A12">
              <w:rPr>
                <w:rFonts w:cstheme="minorHAnsi"/>
              </w:rPr>
              <w:t xml:space="preserve"> Covenant</w:t>
            </w:r>
            <w:r w:rsidR="009803D2">
              <w:rPr>
                <w:rFonts w:cstheme="minorHAnsi"/>
              </w:rPr>
              <w:t xml:space="preserve"> and the NEPM. </w:t>
            </w:r>
          </w:p>
        </w:tc>
        <w:tc>
          <w:tcPr>
            <w:tcW w:w="4621" w:type="dxa"/>
            <w:shd w:val="clear" w:color="auto" w:fill="auto"/>
          </w:tcPr>
          <w:p w:rsidR="00DE4DD1" w:rsidRPr="00270B01" w:rsidRDefault="006E41F4" w:rsidP="005E6256">
            <w:pPr>
              <w:rPr>
                <w:rFonts w:cstheme="minorHAnsi"/>
              </w:rPr>
            </w:pPr>
            <w:r>
              <w:rPr>
                <w:rFonts w:cstheme="minorHAnsi"/>
              </w:rPr>
              <w:t>Agree.</w:t>
            </w:r>
            <w:r w:rsidR="00F47527">
              <w:rPr>
                <w:rFonts w:cstheme="minorHAnsi"/>
              </w:rPr>
              <w:t xml:space="preserve"> The </w:t>
            </w:r>
            <w:r w:rsidR="005E6256">
              <w:rPr>
                <w:rFonts w:cstheme="minorHAnsi"/>
              </w:rPr>
              <w:t xml:space="preserve">NEPM </w:t>
            </w:r>
            <w:r w:rsidR="00F47527">
              <w:rPr>
                <w:rFonts w:cstheme="minorHAnsi"/>
              </w:rPr>
              <w:t>definition of ‘consumer packaging’</w:t>
            </w:r>
            <w:r w:rsidR="005E6256">
              <w:rPr>
                <w:rFonts w:cstheme="minorHAnsi"/>
              </w:rPr>
              <w:t xml:space="preserve"> has been aligned with the Covenant definition.</w:t>
            </w:r>
          </w:p>
        </w:tc>
      </w:tr>
    </w:tbl>
    <w:p w:rsidR="005E6256" w:rsidRDefault="005E6256" w:rsidP="005E6256">
      <w:pPr>
        <w:spacing w:after="0"/>
      </w:pPr>
    </w:p>
    <w:tbl>
      <w:tblPr>
        <w:tblStyle w:val="TableGrid"/>
        <w:tblW w:w="0" w:type="auto"/>
        <w:tblLook w:val="04A0"/>
      </w:tblPr>
      <w:tblGrid>
        <w:gridCol w:w="4621"/>
        <w:gridCol w:w="4621"/>
      </w:tblGrid>
      <w:tr w:rsidR="00270B01" w:rsidRPr="00B847F0" w:rsidTr="00270B01">
        <w:tc>
          <w:tcPr>
            <w:tcW w:w="9242" w:type="dxa"/>
            <w:gridSpan w:val="2"/>
            <w:shd w:val="clear" w:color="auto" w:fill="auto"/>
          </w:tcPr>
          <w:p w:rsidR="00270B01" w:rsidRPr="00B847F0" w:rsidRDefault="00270B01" w:rsidP="00B847F0">
            <w:pPr>
              <w:spacing w:before="120" w:after="120"/>
              <w:rPr>
                <w:rFonts w:cstheme="minorHAnsi"/>
                <w:b/>
              </w:rPr>
            </w:pPr>
            <w:r w:rsidRPr="00B847F0">
              <w:rPr>
                <w:rFonts w:cstheme="minorHAnsi"/>
                <w:b/>
              </w:rPr>
              <w:t>Desired environmental outcomes</w:t>
            </w:r>
          </w:p>
        </w:tc>
      </w:tr>
      <w:tr w:rsidR="00270B01" w:rsidTr="00270B01">
        <w:tc>
          <w:tcPr>
            <w:tcW w:w="4621" w:type="dxa"/>
            <w:shd w:val="clear" w:color="auto" w:fill="auto"/>
          </w:tcPr>
          <w:p w:rsidR="00270B01" w:rsidRPr="00270B01" w:rsidRDefault="00BD2A50" w:rsidP="00B847F0">
            <w:pPr>
              <w:spacing w:before="120" w:after="120"/>
              <w:jc w:val="center"/>
              <w:rPr>
                <w:rFonts w:cstheme="minorHAnsi"/>
              </w:rPr>
            </w:pPr>
            <w:r>
              <w:rPr>
                <w:rFonts w:cstheme="minorHAnsi"/>
              </w:rPr>
              <w:t>Submission</w:t>
            </w:r>
          </w:p>
        </w:tc>
        <w:tc>
          <w:tcPr>
            <w:tcW w:w="4621" w:type="dxa"/>
            <w:shd w:val="clear" w:color="auto" w:fill="auto"/>
          </w:tcPr>
          <w:p w:rsidR="00270B01" w:rsidRPr="00270B01" w:rsidRDefault="00270B01" w:rsidP="00B847F0">
            <w:pPr>
              <w:spacing w:before="120" w:after="120"/>
              <w:jc w:val="center"/>
              <w:rPr>
                <w:rFonts w:cstheme="minorHAnsi"/>
              </w:rPr>
            </w:pPr>
            <w:r w:rsidRPr="00270B01">
              <w:rPr>
                <w:rFonts w:cstheme="minorHAnsi"/>
              </w:rPr>
              <w:t>Response</w:t>
            </w:r>
          </w:p>
        </w:tc>
      </w:tr>
      <w:tr w:rsidR="00270B01" w:rsidTr="00270B01">
        <w:tc>
          <w:tcPr>
            <w:tcW w:w="4621" w:type="dxa"/>
          </w:tcPr>
          <w:p w:rsidR="00B847F0" w:rsidRPr="00270B01" w:rsidRDefault="001C2DDB" w:rsidP="001C2DDB">
            <w:pPr>
              <w:rPr>
                <w:rFonts w:cstheme="minorHAnsi"/>
              </w:rPr>
            </w:pPr>
            <w:r>
              <w:rPr>
                <w:rFonts w:cstheme="minorHAnsi"/>
              </w:rPr>
              <w:t>Support for</w:t>
            </w:r>
            <w:r w:rsidR="00BD2A50">
              <w:rPr>
                <w:rFonts w:cstheme="minorHAnsi"/>
              </w:rPr>
              <w:t xml:space="preserve"> the objective of reducing</w:t>
            </w:r>
            <w:r>
              <w:rPr>
                <w:rFonts w:cstheme="minorHAnsi"/>
              </w:rPr>
              <w:t xml:space="preserve"> the</w:t>
            </w:r>
            <w:r w:rsidR="00BD2A50">
              <w:rPr>
                <w:rFonts w:cstheme="minorHAnsi"/>
              </w:rPr>
              <w:t xml:space="preserve"> environmental impacts of packaging.</w:t>
            </w:r>
            <w:r>
              <w:rPr>
                <w:rFonts w:cstheme="minorHAnsi"/>
              </w:rPr>
              <w:t xml:space="preserve"> </w:t>
            </w:r>
            <w:r w:rsidR="00B847F0">
              <w:rPr>
                <w:rFonts w:cstheme="minorHAnsi"/>
              </w:rPr>
              <w:t>Local governments hold significant concerns for a progressive increase in the amount of packaging disposed to landfill and subsequent greenhouse gas emissions and consumption of resources if the NEPM was to be terminated.</w:t>
            </w:r>
          </w:p>
        </w:tc>
        <w:tc>
          <w:tcPr>
            <w:tcW w:w="4621" w:type="dxa"/>
          </w:tcPr>
          <w:p w:rsidR="00270B01" w:rsidRPr="00270B01" w:rsidRDefault="001C2DDB" w:rsidP="00270B01">
            <w:pPr>
              <w:rPr>
                <w:rFonts w:cstheme="minorHAnsi"/>
              </w:rPr>
            </w:pPr>
            <w:r>
              <w:rPr>
                <w:rFonts w:cstheme="minorHAnsi"/>
              </w:rPr>
              <w:t>Noted.</w:t>
            </w:r>
          </w:p>
        </w:tc>
      </w:tr>
    </w:tbl>
    <w:p w:rsidR="005E6256" w:rsidRDefault="005E6256" w:rsidP="005E6256">
      <w:pPr>
        <w:spacing w:after="0"/>
      </w:pPr>
    </w:p>
    <w:tbl>
      <w:tblPr>
        <w:tblStyle w:val="TableGrid"/>
        <w:tblW w:w="0" w:type="auto"/>
        <w:tblLook w:val="04A0"/>
      </w:tblPr>
      <w:tblGrid>
        <w:gridCol w:w="4621"/>
        <w:gridCol w:w="4621"/>
      </w:tblGrid>
      <w:tr w:rsidR="00270B01" w:rsidRPr="00B847F0" w:rsidTr="00270B01">
        <w:tc>
          <w:tcPr>
            <w:tcW w:w="9242" w:type="dxa"/>
            <w:gridSpan w:val="2"/>
            <w:shd w:val="clear" w:color="auto" w:fill="auto"/>
          </w:tcPr>
          <w:p w:rsidR="00270B01" w:rsidRPr="00B847F0" w:rsidRDefault="00270B01" w:rsidP="00B847F0">
            <w:pPr>
              <w:spacing w:before="120" w:after="120"/>
              <w:rPr>
                <w:rFonts w:cstheme="minorHAnsi"/>
                <w:b/>
              </w:rPr>
            </w:pPr>
            <w:r w:rsidRPr="00B847F0">
              <w:rPr>
                <w:rFonts w:cstheme="minorHAnsi"/>
                <w:b/>
              </w:rPr>
              <w:t>Reasons for the proposed measure and the environmental impact of not making the measure</w:t>
            </w:r>
          </w:p>
        </w:tc>
      </w:tr>
      <w:tr w:rsidR="00270B01" w:rsidTr="00270B01">
        <w:tc>
          <w:tcPr>
            <w:tcW w:w="4621" w:type="dxa"/>
            <w:shd w:val="clear" w:color="auto" w:fill="auto"/>
          </w:tcPr>
          <w:p w:rsidR="00270B01" w:rsidRPr="00270B01" w:rsidRDefault="00BD2A50" w:rsidP="00B847F0">
            <w:pPr>
              <w:spacing w:before="120" w:after="120"/>
              <w:jc w:val="center"/>
              <w:rPr>
                <w:rFonts w:cstheme="minorHAnsi"/>
              </w:rPr>
            </w:pPr>
            <w:r>
              <w:rPr>
                <w:rFonts w:cstheme="minorHAnsi"/>
              </w:rPr>
              <w:t>Submission</w:t>
            </w:r>
          </w:p>
        </w:tc>
        <w:tc>
          <w:tcPr>
            <w:tcW w:w="4621" w:type="dxa"/>
            <w:shd w:val="clear" w:color="auto" w:fill="auto"/>
          </w:tcPr>
          <w:p w:rsidR="00270B01" w:rsidRPr="00270B01" w:rsidRDefault="00270B01" w:rsidP="00B847F0">
            <w:pPr>
              <w:spacing w:before="120" w:after="120"/>
              <w:jc w:val="center"/>
              <w:rPr>
                <w:rFonts w:cstheme="minorHAnsi"/>
              </w:rPr>
            </w:pPr>
            <w:r w:rsidRPr="00270B01">
              <w:rPr>
                <w:rFonts w:cstheme="minorHAnsi"/>
              </w:rPr>
              <w:t>Response</w:t>
            </w:r>
          </w:p>
        </w:tc>
      </w:tr>
      <w:tr w:rsidR="00270B01" w:rsidTr="00270B01">
        <w:tc>
          <w:tcPr>
            <w:tcW w:w="4621" w:type="dxa"/>
            <w:shd w:val="clear" w:color="auto" w:fill="auto"/>
          </w:tcPr>
          <w:p w:rsidR="00270B01" w:rsidRPr="00270B01" w:rsidRDefault="00B847F0" w:rsidP="00270B01">
            <w:pPr>
              <w:rPr>
                <w:rFonts w:cstheme="minorHAnsi"/>
              </w:rPr>
            </w:pPr>
            <w:r>
              <w:rPr>
                <w:rFonts w:cstheme="minorHAnsi"/>
              </w:rPr>
              <w:t xml:space="preserve">Local governments have significant investment in resource recovery and their role as waste service providers will be impacted by developments </w:t>
            </w:r>
            <w:r w:rsidR="009662B6">
              <w:rPr>
                <w:rFonts w:cstheme="minorHAnsi"/>
              </w:rPr>
              <w:t>in this area. It is in both local governments and the community’s best interests that the increasing amount of waste be addressed.</w:t>
            </w:r>
          </w:p>
        </w:tc>
        <w:tc>
          <w:tcPr>
            <w:tcW w:w="4621" w:type="dxa"/>
            <w:shd w:val="clear" w:color="auto" w:fill="auto"/>
          </w:tcPr>
          <w:p w:rsidR="00270B01" w:rsidRPr="00270B01" w:rsidRDefault="005E6256" w:rsidP="00270B01">
            <w:pPr>
              <w:rPr>
                <w:rFonts w:cstheme="minorHAnsi"/>
              </w:rPr>
            </w:pPr>
            <w:r>
              <w:rPr>
                <w:rFonts w:cstheme="minorHAnsi"/>
              </w:rPr>
              <w:t>Noted.</w:t>
            </w:r>
          </w:p>
        </w:tc>
      </w:tr>
    </w:tbl>
    <w:p w:rsidR="005E6256" w:rsidRDefault="005E6256" w:rsidP="005E6256">
      <w:pPr>
        <w:spacing w:after="0"/>
      </w:pPr>
    </w:p>
    <w:tbl>
      <w:tblPr>
        <w:tblStyle w:val="TableGrid"/>
        <w:tblW w:w="0" w:type="auto"/>
        <w:tblLook w:val="04A0"/>
      </w:tblPr>
      <w:tblGrid>
        <w:gridCol w:w="4621"/>
        <w:gridCol w:w="4621"/>
      </w:tblGrid>
      <w:tr w:rsidR="00270B01" w:rsidRPr="00B847F0" w:rsidTr="00270B01">
        <w:tc>
          <w:tcPr>
            <w:tcW w:w="9242" w:type="dxa"/>
            <w:gridSpan w:val="2"/>
            <w:shd w:val="clear" w:color="auto" w:fill="auto"/>
          </w:tcPr>
          <w:p w:rsidR="00270B01" w:rsidRPr="00B847F0" w:rsidRDefault="00270B01" w:rsidP="00B847F0">
            <w:pPr>
              <w:spacing w:before="120" w:after="120"/>
              <w:rPr>
                <w:rFonts w:cstheme="minorHAnsi"/>
                <w:b/>
              </w:rPr>
            </w:pPr>
            <w:r w:rsidRPr="00B847F0">
              <w:rPr>
                <w:rFonts w:cstheme="minorHAnsi"/>
                <w:b/>
              </w:rPr>
              <w:t>Statement of the alternative methods of achieving the desired environmental outcomes and the reasons why those alternatives have not been adopted</w:t>
            </w:r>
          </w:p>
        </w:tc>
      </w:tr>
      <w:tr w:rsidR="00270B01" w:rsidTr="00270B01">
        <w:tc>
          <w:tcPr>
            <w:tcW w:w="4621" w:type="dxa"/>
            <w:shd w:val="clear" w:color="auto" w:fill="auto"/>
          </w:tcPr>
          <w:p w:rsidR="00270B01" w:rsidRPr="00270B01" w:rsidRDefault="00BD2A50" w:rsidP="00B847F0">
            <w:pPr>
              <w:spacing w:before="120" w:after="120"/>
              <w:jc w:val="center"/>
              <w:rPr>
                <w:rFonts w:cstheme="minorHAnsi"/>
              </w:rPr>
            </w:pPr>
            <w:r>
              <w:rPr>
                <w:rFonts w:cstheme="minorHAnsi"/>
              </w:rPr>
              <w:t>Submission</w:t>
            </w:r>
          </w:p>
        </w:tc>
        <w:tc>
          <w:tcPr>
            <w:tcW w:w="4621" w:type="dxa"/>
            <w:shd w:val="clear" w:color="auto" w:fill="auto"/>
          </w:tcPr>
          <w:p w:rsidR="00270B01" w:rsidRPr="00270B01" w:rsidRDefault="00270B01" w:rsidP="00B847F0">
            <w:pPr>
              <w:spacing w:before="120" w:after="120"/>
              <w:jc w:val="center"/>
              <w:rPr>
                <w:rFonts w:cstheme="minorHAnsi"/>
              </w:rPr>
            </w:pPr>
            <w:r w:rsidRPr="00270B01">
              <w:rPr>
                <w:rFonts w:cstheme="minorHAnsi"/>
              </w:rPr>
              <w:t>Response</w:t>
            </w:r>
          </w:p>
        </w:tc>
      </w:tr>
      <w:tr w:rsidR="00270B01" w:rsidTr="00270B01">
        <w:tc>
          <w:tcPr>
            <w:tcW w:w="4621" w:type="dxa"/>
            <w:shd w:val="clear" w:color="auto" w:fill="auto"/>
          </w:tcPr>
          <w:p w:rsidR="00D6165B" w:rsidRPr="00270B01" w:rsidRDefault="00D6165B" w:rsidP="002661E5">
            <w:pPr>
              <w:rPr>
                <w:rFonts w:cstheme="minorHAnsi"/>
              </w:rPr>
            </w:pPr>
            <w:r>
              <w:rPr>
                <w:rFonts w:cstheme="minorHAnsi"/>
              </w:rPr>
              <w:t xml:space="preserve">Support </w:t>
            </w:r>
            <w:r w:rsidR="005031DD">
              <w:rPr>
                <w:rFonts w:cstheme="minorHAnsi"/>
              </w:rPr>
              <w:t>for the decision made b</w:t>
            </w:r>
            <w:r>
              <w:rPr>
                <w:rFonts w:cstheme="minorHAnsi"/>
              </w:rPr>
              <w:t xml:space="preserve">y </w:t>
            </w:r>
            <w:r w:rsidR="00B90222">
              <w:rPr>
                <w:rFonts w:cstheme="minorHAnsi"/>
              </w:rPr>
              <w:t>Minister</w:t>
            </w:r>
            <w:r>
              <w:rPr>
                <w:rFonts w:cstheme="minorHAnsi"/>
              </w:rPr>
              <w:t xml:space="preserve">s to select option four as the agreed </w:t>
            </w:r>
            <w:r w:rsidR="005031DD">
              <w:rPr>
                <w:rFonts w:cstheme="minorHAnsi"/>
              </w:rPr>
              <w:t>option</w:t>
            </w:r>
            <w:r>
              <w:rPr>
                <w:rFonts w:cstheme="minorHAnsi"/>
              </w:rPr>
              <w:t>.</w:t>
            </w:r>
            <w:r w:rsidR="005031DD">
              <w:rPr>
                <w:rFonts w:cstheme="minorHAnsi"/>
              </w:rPr>
              <w:t xml:space="preserve"> The Western Australian Local Government Association (WALGA) recommends that adding ‘administrative simplicity’ as an additional criterion would strengthen the options analysis. WALGA rank option four as having medium to high administrative simplicity which strengthens its </w:t>
            </w:r>
            <w:r w:rsidR="002661E5">
              <w:rPr>
                <w:rFonts w:cstheme="minorHAnsi"/>
              </w:rPr>
              <w:t>position</w:t>
            </w:r>
            <w:r w:rsidR="005031DD">
              <w:rPr>
                <w:rFonts w:cstheme="minorHAnsi"/>
              </w:rPr>
              <w:t xml:space="preserve"> as the </w:t>
            </w:r>
            <w:r w:rsidR="002661E5">
              <w:rPr>
                <w:rFonts w:cstheme="minorHAnsi"/>
              </w:rPr>
              <w:t>first preferred</w:t>
            </w:r>
            <w:r w:rsidR="005031DD">
              <w:rPr>
                <w:rFonts w:cstheme="minorHAnsi"/>
              </w:rPr>
              <w:t xml:space="preserve"> option.  </w:t>
            </w:r>
          </w:p>
        </w:tc>
        <w:tc>
          <w:tcPr>
            <w:tcW w:w="4621" w:type="dxa"/>
            <w:shd w:val="clear" w:color="auto" w:fill="auto"/>
          </w:tcPr>
          <w:p w:rsidR="00270B01" w:rsidRPr="00270B01" w:rsidRDefault="00D6165B" w:rsidP="00270B01">
            <w:pPr>
              <w:rPr>
                <w:rFonts w:cstheme="minorHAnsi"/>
              </w:rPr>
            </w:pPr>
            <w:r>
              <w:rPr>
                <w:rFonts w:cstheme="minorHAnsi"/>
              </w:rPr>
              <w:t>Noted.</w:t>
            </w:r>
          </w:p>
        </w:tc>
      </w:tr>
    </w:tbl>
    <w:p w:rsidR="00402940" w:rsidRDefault="00402940" w:rsidP="005E6256">
      <w:pPr>
        <w:spacing w:after="0"/>
      </w:pPr>
    </w:p>
    <w:tbl>
      <w:tblPr>
        <w:tblStyle w:val="TableGrid"/>
        <w:tblW w:w="0" w:type="auto"/>
        <w:tblLook w:val="04A0"/>
      </w:tblPr>
      <w:tblGrid>
        <w:gridCol w:w="4621"/>
        <w:gridCol w:w="4621"/>
      </w:tblGrid>
      <w:tr w:rsidR="00270B01" w:rsidRPr="00B847F0" w:rsidTr="00270B01">
        <w:tc>
          <w:tcPr>
            <w:tcW w:w="9242" w:type="dxa"/>
            <w:gridSpan w:val="2"/>
            <w:shd w:val="clear" w:color="auto" w:fill="auto"/>
          </w:tcPr>
          <w:p w:rsidR="00270B01" w:rsidRPr="00B847F0" w:rsidRDefault="00270B01" w:rsidP="00B847F0">
            <w:pPr>
              <w:spacing w:before="120" w:after="120"/>
              <w:rPr>
                <w:rFonts w:cstheme="minorHAnsi"/>
                <w:b/>
              </w:rPr>
            </w:pPr>
            <w:r w:rsidRPr="00B847F0">
              <w:rPr>
                <w:rFonts w:cstheme="minorHAnsi"/>
                <w:b/>
              </w:rPr>
              <w:lastRenderedPageBreak/>
              <w:t>Identification and assessment of the economic and social impact on the community (including industry) of making the proposed measure</w:t>
            </w:r>
          </w:p>
        </w:tc>
      </w:tr>
      <w:tr w:rsidR="00270B01" w:rsidTr="00270B01">
        <w:tc>
          <w:tcPr>
            <w:tcW w:w="4621" w:type="dxa"/>
            <w:shd w:val="clear" w:color="auto" w:fill="auto"/>
          </w:tcPr>
          <w:p w:rsidR="00270B01" w:rsidRPr="00270B01" w:rsidRDefault="00BD2A50" w:rsidP="00B847F0">
            <w:pPr>
              <w:spacing w:before="120" w:after="120"/>
              <w:jc w:val="center"/>
              <w:rPr>
                <w:rFonts w:cstheme="minorHAnsi"/>
              </w:rPr>
            </w:pPr>
            <w:r>
              <w:rPr>
                <w:rFonts w:cstheme="minorHAnsi"/>
              </w:rPr>
              <w:t>Submission</w:t>
            </w:r>
          </w:p>
        </w:tc>
        <w:tc>
          <w:tcPr>
            <w:tcW w:w="4621" w:type="dxa"/>
            <w:shd w:val="clear" w:color="auto" w:fill="auto"/>
          </w:tcPr>
          <w:p w:rsidR="00270B01" w:rsidRPr="00270B01" w:rsidRDefault="00270B01" w:rsidP="00B847F0">
            <w:pPr>
              <w:spacing w:before="120" w:after="120"/>
              <w:jc w:val="center"/>
              <w:rPr>
                <w:rFonts w:cstheme="minorHAnsi"/>
              </w:rPr>
            </w:pPr>
            <w:r w:rsidRPr="00270B01">
              <w:rPr>
                <w:rFonts w:cstheme="minorHAnsi"/>
              </w:rPr>
              <w:t>Response</w:t>
            </w:r>
          </w:p>
        </w:tc>
      </w:tr>
      <w:tr w:rsidR="00270B01" w:rsidTr="00270B01">
        <w:tc>
          <w:tcPr>
            <w:tcW w:w="4621" w:type="dxa"/>
            <w:shd w:val="clear" w:color="auto" w:fill="auto"/>
          </w:tcPr>
          <w:p w:rsidR="00270B01" w:rsidRPr="00270B01" w:rsidRDefault="00834D09" w:rsidP="00270B01">
            <w:pPr>
              <w:rPr>
                <w:rFonts w:cstheme="minorHAnsi"/>
              </w:rPr>
            </w:pPr>
            <w:r>
              <w:rPr>
                <w:rFonts w:cstheme="minorHAnsi"/>
              </w:rPr>
              <w:t>Agree that the benefits of continuing the current co-regulatory arrangement outweigh the costs.</w:t>
            </w:r>
          </w:p>
        </w:tc>
        <w:tc>
          <w:tcPr>
            <w:tcW w:w="4621" w:type="dxa"/>
            <w:shd w:val="clear" w:color="auto" w:fill="auto"/>
          </w:tcPr>
          <w:p w:rsidR="00270B01" w:rsidRPr="00270B01" w:rsidRDefault="00834D09" w:rsidP="00270B01">
            <w:pPr>
              <w:rPr>
                <w:rFonts w:cstheme="minorHAnsi"/>
              </w:rPr>
            </w:pPr>
            <w:r>
              <w:rPr>
                <w:rFonts w:cstheme="minorHAnsi"/>
              </w:rPr>
              <w:t>Noted.</w:t>
            </w:r>
          </w:p>
        </w:tc>
      </w:tr>
    </w:tbl>
    <w:p w:rsidR="005E6256" w:rsidRDefault="005E6256" w:rsidP="005E6256">
      <w:pPr>
        <w:spacing w:after="0"/>
      </w:pPr>
    </w:p>
    <w:tbl>
      <w:tblPr>
        <w:tblStyle w:val="TableGrid"/>
        <w:tblW w:w="0" w:type="auto"/>
        <w:tblLook w:val="04A0"/>
      </w:tblPr>
      <w:tblGrid>
        <w:gridCol w:w="4621"/>
        <w:gridCol w:w="4621"/>
      </w:tblGrid>
      <w:tr w:rsidR="00270B01" w:rsidRPr="00B847F0" w:rsidTr="00270B01">
        <w:tc>
          <w:tcPr>
            <w:tcW w:w="9242" w:type="dxa"/>
            <w:gridSpan w:val="2"/>
            <w:shd w:val="clear" w:color="auto" w:fill="auto"/>
          </w:tcPr>
          <w:p w:rsidR="00270B01" w:rsidRPr="00B847F0" w:rsidRDefault="00270B01" w:rsidP="00B847F0">
            <w:pPr>
              <w:spacing w:before="120" w:after="120"/>
              <w:rPr>
                <w:rFonts w:cstheme="minorHAnsi"/>
                <w:b/>
              </w:rPr>
            </w:pPr>
            <w:r w:rsidRPr="00B847F0">
              <w:rPr>
                <w:rFonts w:cstheme="minorHAnsi"/>
                <w:b/>
              </w:rPr>
              <w:t>Statement of the manner in which any regional environmental differences in Australia have been addressed in the development of the proposed measure</w:t>
            </w:r>
          </w:p>
        </w:tc>
      </w:tr>
      <w:tr w:rsidR="00270B01" w:rsidTr="00270B01">
        <w:tc>
          <w:tcPr>
            <w:tcW w:w="4621" w:type="dxa"/>
            <w:shd w:val="clear" w:color="auto" w:fill="auto"/>
          </w:tcPr>
          <w:p w:rsidR="00270B01" w:rsidRPr="00270B01" w:rsidRDefault="00BD2A50" w:rsidP="00B847F0">
            <w:pPr>
              <w:spacing w:before="120" w:after="120"/>
              <w:jc w:val="center"/>
              <w:rPr>
                <w:rFonts w:cstheme="minorHAnsi"/>
              </w:rPr>
            </w:pPr>
            <w:r>
              <w:rPr>
                <w:rFonts w:cstheme="minorHAnsi"/>
              </w:rPr>
              <w:t>Submission</w:t>
            </w:r>
          </w:p>
        </w:tc>
        <w:tc>
          <w:tcPr>
            <w:tcW w:w="4621" w:type="dxa"/>
            <w:shd w:val="clear" w:color="auto" w:fill="auto"/>
          </w:tcPr>
          <w:p w:rsidR="00270B01" w:rsidRPr="00270B01" w:rsidRDefault="00270B01" w:rsidP="00B847F0">
            <w:pPr>
              <w:spacing w:before="120" w:after="120"/>
              <w:jc w:val="center"/>
              <w:rPr>
                <w:rFonts w:cstheme="minorHAnsi"/>
              </w:rPr>
            </w:pPr>
            <w:r w:rsidRPr="00270B01">
              <w:rPr>
                <w:rFonts w:cstheme="minorHAnsi"/>
              </w:rPr>
              <w:t>Response</w:t>
            </w:r>
          </w:p>
        </w:tc>
      </w:tr>
      <w:tr w:rsidR="00270B01" w:rsidTr="00270B01">
        <w:tc>
          <w:tcPr>
            <w:tcW w:w="4621" w:type="dxa"/>
            <w:shd w:val="clear" w:color="auto" w:fill="auto"/>
          </w:tcPr>
          <w:p w:rsidR="00270B01" w:rsidRPr="00270B01" w:rsidRDefault="00834D09" w:rsidP="00834D09">
            <w:pPr>
              <w:rPr>
                <w:rFonts w:cstheme="minorHAnsi"/>
              </w:rPr>
            </w:pPr>
            <w:r>
              <w:rPr>
                <w:rFonts w:cstheme="minorHAnsi"/>
              </w:rPr>
              <w:t>Highlight the importance of addressing issues specific to metropolitan and regional areas in the implementation of any national scheme.</w:t>
            </w:r>
          </w:p>
        </w:tc>
        <w:tc>
          <w:tcPr>
            <w:tcW w:w="4621" w:type="dxa"/>
            <w:shd w:val="clear" w:color="auto" w:fill="auto"/>
          </w:tcPr>
          <w:p w:rsidR="00270B01" w:rsidRPr="00270B01" w:rsidRDefault="00DE4DD1" w:rsidP="00270B01">
            <w:pPr>
              <w:rPr>
                <w:rFonts w:cstheme="minorHAnsi"/>
              </w:rPr>
            </w:pPr>
            <w:r>
              <w:rPr>
                <w:rFonts w:cstheme="minorHAnsi"/>
              </w:rPr>
              <w:t>A</w:t>
            </w:r>
            <w:r w:rsidR="00834D09" w:rsidRPr="00834D09">
              <w:rPr>
                <w:rFonts w:cstheme="minorHAnsi"/>
              </w:rPr>
              <w:t>ddressed in chapter 2.2 of the 18 June 2010 Used Packaging Materials Decision Regulation Impact Statement</w:t>
            </w:r>
            <w:r w:rsidR="00834D09">
              <w:rPr>
                <w:rFonts w:cstheme="minorHAnsi"/>
              </w:rPr>
              <w:t xml:space="preserve"> as per schedule 17 (v) of the </w:t>
            </w:r>
            <w:r w:rsidR="00834D09" w:rsidRPr="009803D2">
              <w:rPr>
                <w:rFonts w:cstheme="minorHAnsi"/>
                <w:i/>
              </w:rPr>
              <w:t>National Environment Protection Council Act 1994</w:t>
            </w:r>
            <w:r w:rsidR="00834D09">
              <w:rPr>
                <w:rFonts w:cstheme="minorHAnsi"/>
              </w:rPr>
              <w:t>.</w:t>
            </w:r>
          </w:p>
        </w:tc>
      </w:tr>
    </w:tbl>
    <w:p w:rsidR="0097130A" w:rsidRDefault="0097130A" w:rsidP="005E6256">
      <w:pPr>
        <w:spacing w:after="0"/>
      </w:pPr>
    </w:p>
    <w:sectPr w:rsidR="0097130A" w:rsidSect="00F2550E">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9F1" w:rsidRDefault="003C79F1" w:rsidP="00374CFA">
      <w:pPr>
        <w:spacing w:after="0" w:line="240" w:lineRule="auto"/>
      </w:pPr>
      <w:r>
        <w:separator/>
      </w:r>
    </w:p>
  </w:endnote>
  <w:endnote w:type="continuationSeparator" w:id="0">
    <w:p w:rsidR="003C79F1" w:rsidRDefault="003C79F1" w:rsidP="00374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FA" w:rsidRPr="00374CFA" w:rsidRDefault="00064B3B" w:rsidP="00374CFA">
    <w:pPr>
      <w:pStyle w:val="Footer"/>
      <w:jc w:val="center"/>
      <w:rPr>
        <w:sz w:val="18"/>
      </w:rPr>
    </w:pPr>
    <w:r>
      <w:t xml:space="preserve"> </w:t>
    </w:r>
    <w:r w:rsidR="00D84F72">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9F1" w:rsidRDefault="003C79F1" w:rsidP="00374CFA">
      <w:pPr>
        <w:spacing w:after="0" w:line="240" w:lineRule="auto"/>
      </w:pPr>
      <w:r>
        <w:separator/>
      </w:r>
    </w:p>
  </w:footnote>
  <w:footnote w:type="continuationSeparator" w:id="0">
    <w:p w:rsidR="003C79F1" w:rsidRDefault="003C79F1" w:rsidP="00374C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30A15"/>
    <w:multiLevelType w:val="hybridMultilevel"/>
    <w:tmpl w:val="E97867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7130A"/>
    <w:rsid w:val="00064B3B"/>
    <w:rsid w:val="000C59DD"/>
    <w:rsid w:val="000E779B"/>
    <w:rsid w:val="00102AC6"/>
    <w:rsid w:val="0012139F"/>
    <w:rsid w:val="001571AD"/>
    <w:rsid w:val="00183A4C"/>
    <w:rsid w:val="001C2DDB"/>
    <w:rsid w:val="00214BB9"/>
    <w:rsid w:val="00237F58"/>
    <w:rsid w:val="00253D5F"/>
    <w:rsid w:val="002661E5"/>
    <w:rsid w:val="00270B01"/>
    <w:rsid w:val="0027658D"/>
    <w:rsid w:val="002804BC"/>
    <w:rsid w:val="002942FB"/>
    <w:rsid w:val="002D1505"/>
    <w:rsid w:val="00360077"/>
    <w:rsid w:val="00374CFA"/>
    <w:rsid w:val="003C79F1"/>
    <w:rsid w:val="00402940"/>
    <w:rsid w:val="004249FB"/>
    <w:rsid w:val="00485C81"/>
    <w:rsid w:val="005031DD"/>
    <w:rsid w:val="00563FF5"/>
    <w:rsid w:val="00585269"/>
    <w:rsid w:val="00593236"/>
    <w:rsid w:val="005E6256"/>
    <w:rsid w:val="006B6484"/>
    <w:rsid w:val="006E41F4"/>
    <w:rsid w:val="0072709F"/>
    <w:rsid w:val="00760EEF"/>
    <w:rsid w:val="007A6468"/>
    <w:rsid w:val="00834D09"/>
    <w:rsid w:val="008761FA"/>
    <w:rsid w:val="00877CE3"/>
    <w:rsid w:val="008D5C65"/>
    <w:rsid w:val="008F7041"/>
    <w:rsid w:val="009662B6"/>
    <w:rsid w:val="0097130A"/>
    <w:rsid w:val="009803D2"/>
    <w:rsid w:val="009B38F5"/>
    <w:rsid w:val="009B48BB"/>
    <w:rsid w:val="00A00118"/>
    <w:rsid w:val="00A54D9A"/>
    <w:rsid w:val="00B847F0"/>
    <w:rsid w:val="00B849E7"/>
    <w:rsid w:val="00B90222"/>
    <w:rsid w:val="00BD2A50"/>
    <w:rsid w:val="00C17FEB"/>
    <w:rsid w:val="00C32005"/>
    <w:rsid w:val="00C44303"/>
    <w:rsid w:val="00C63793"/>
    <w:rsid w:val="00CC728E"/>
    <w:rsid w:val="00CD1E8E"/>
    <w:rsid w:val="00D6165B"/>
    <w:rsid w:val="00D84F72"/>
    <w:rsid w:val="00DE4DD1"/>
    <w:rsid w:val="00E62994"/>
    <w:rsid w:val="00F20A12"/>
    <w:rsid w:val="00F2550E"/>
    <w:rsid w:val="00F4752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9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0B01"/>
    <w:pPr>
      <w:ind w:left="720"/>
      <w:contextualSpacing/>
    </w:pPr>
  </w:style>
  <w:style w:type="paragraph" w:styleId="BalloonText">
    <w:name w:val="Balloon Text"/>
    <w:basedOn w:val="Normal"/>
    <w:link w:val="BalloonTextChar"/>
    <w:uiPriority w:val="99"/>
    <w:semiHidden/>
    <w:unhideWhenUsed/>
    <w:rsid w:val="009B3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8F5"/>
    <w:rPr>
      <w:rFonts w:ascii="Tahoma" w:hAnsi="Tahoma" w:cs="Tahoma"/>
      <w:sz w:val="16"/>
      <w:szCs w:val="16"/>
    </w:rPr>
  </w:style>
  <w:style w:type="paragraph" w:styleId="Header">
    <w:name w:val="header"/>
    <w:basedOn w:val="Normal"/>
    <w:link w:val="HeaderChar"/>
    <w:uiPriority w:val="99"/>
    <w:semiHidden/>
    <w:unhideWhenUsed/>
    <w:rsid w:val="00374C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4CFA"/>
  </w:style>
  <w:style w:type="paragraph" w:styleId="Footer">
    <w:name w:val="footer"/>
    <w:basedOn w:val="Normal"/>
    <w:link w:val="FooterChar"/>
    <w:uiPriority w:val="99"/>
    <w:semiHidden/>
    <w:unhideWhenUsed/>
    <w:rsid w:val="00374CF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74CFA"/>
  </w:style>
</w:styles>
</file>

<file path=word/webSettings.xml><?xml version="1.0" encoding="utf-8"?>
<w:webSettings xmlns:r="http://schemas.openxmlformats.org/officeDocument/2006/relationships" xmlns:w="http://schemas.openxmlformats.org/wordprocessingml/2006/main">
  <w:divs>
    <w:div w:id="1920871396">
      <w:bodyDiv w:val="1"/>
      <w:marLeft w:val="0"/>
      <w:marRight w:val="0"/>
      <w:marTop w:val="0"/>
      <w:marBottom w:val="0"/>
      <w:divBdr>
        <w:top w:val="none" w:sz="0" w:space="0" w:color="auto"/>
        <w:left w:val="none" w:sz="0" w:space="0" w:color="auto"/>
        <w:bottom w:val="none" w:sz="0" w:space="0" w:color="auto"/>
        <w:right w:val="none" w:sz="0" w:space="0" w:color="auto"/>
      </w:divBdr>
      <w:divsChild>
        <w:div w:id="735278031">
          <w:marLeft w:val="0"/>
          <w:marRight w:val="0"/>
          <w:marTop w:val="0"/>
          <w:marBottom w:val="0"/>
          <w:divBdr>
            <w:top w:val="none" w:sz="0" w:space="0" w:color="auto"/>
            <w:left w:val="none" w:sz="0" w:space="0" w:color="auto"/>
            <w:bottom w:val="none" w:sz="0" w:space="0" w:color="auto"/>
            <w:right w:val="none" w:sz="0" w:space="0" w:color="auto"/>
          </w:divBdr>
          <w:divsChild>
            <w:div w:id="764423676">
              <w:marLeft w:val="0"/>
              <w:marRight w:val="0"/>
              <w:marTop w:val="0"/>
              <w:marBottom w:val="0"/>
              <w:divBdr>
                <w:top w:val="none" w:sz="0" w:space="0" w:color="auto"/>
                <w:left w:val="none" w:sz="0" w:space="0" w:color="auto"/>
                <w:bottom w:val="none" w:sz="0" w:space="0" w:color="auto"/>
                <w:right w:val="none" w:sz="0" w:space="0" w:color="auto"/>
              </w:divBdr>
              <w:divsChild>
                <w:div w:id="1692343145">
                  <w:marLeft w:val="0"/>
                  <w:marRight w:val="0"/>
                  <w:marTop w:val="0"/>
                  <w:marBottom w:val="0"/>
                  <w:divBdr>
                    <w:top w:val="none" w:sz="0" w:space="0" w:color="auto"/>
                    <w:left w:val="none" w:sz="0" w:space="0" w:color="auto"/>
                    <w:bottom w:val="none" w:sz="0" w:space="0" w:color="auto"/>
                    <w:right w:val="none" w:sz="0" w:space="0" w:color="auto"/>
                  </w:divBdr>
                  <w:divsChild>
                    <w:div w:id="1453015954">
                      <w:marLeft w:val="0"/>
                      <w:marRight w:val="0"/>
                      <w:marTop w:val="0"/>
                      <w:marBottom w:val="0"/>
                      <w:divBdr>
                        <w:top w:val="none" w:sz="0" w:space="0" w:color="auto"/>
                        <w:left w:val="none" w:sz="0" w:space="0" w:color="auto"/>
                        <w:bottom w:val="none" w:sz="0" w:space="0" w:color="auto"/>
                        <w:right w:val="none" w:sz="0" w:space="0" w:color="auto"/>
                      </w:divBdr>
                      <w:divsChild>
                        <w:div w:id="555966696">
                          <w:marLeft w:val="0"/>
                          <w:marRight w:val="0"/>
                          <w:marTop w:val="0"/>
                          <w:marBottom w:val="0"/>
                          <w:divBdr>
                            <w:top w:val="none" w:sz="0" w:space="0" w:color="auto"/>
                            <w:left w:val="none" w:sz="0" w:space="0" w:color="auto"/>
                            <w:bottom w:val="none" w:sz="0" w:space="0" w:color="auto"/>
                            <w:right w:val="none" w:sz="0" w:space="0" w:color="auto"/>
                          </w:divBdr>
                          <w:divsChild>
                            <w:div w:id="2043438722">
                              <w:marLeft w:val="0"/>
                              <w:marRight w:val="0"/>
                              <w:marTop w:val="0"/>
                              <w:marBottom w:val="0"/>
                              <w:divBdr>
                                <w:top w:val="none" w:sz="0" w:space="0" w:color="auto"/>
                                <w:left w:val="none" w:sz="0" w:space="0" w:color="auto"/>
                                <w:bottom w:val="none" w:sz="0" w:space="0" w:color="auto"/>
                                <w:right w:val="none" w:sz="0" w:space="0" w:color="auto"/>
                              </w:divBdr>
                              <w:divsChild>
                                <w:div w:id="15430197">
                                  <w:marLeft w:val="0"/>
                                  <w:marRight w:val="0"/>
                                  <w:marTop w:val="0"/>
                                  <w:marBottom w:val="0"/>
                                  <w:divBdr>
                                    <w:top w:val="none" w:sz="0" w:space="0" w:color="auto"/>
                                    <w:left w:val="none" w:sz="0" w:space="0" w:color="auto"/>
                                    <w:bottom w:val="none" w:sz="0" w:space="0" w:color="auto"/>
                                    <w:right w:val="none" w:sz="0" w:space="0" w:color="auto"/>
                                  </w:divBdr>
                                  <w:divsChild>
                                    <w:div w:id="1311129858">
                                      <w:marLeft w:val="0"/>
                                      <w:marRight w:val="0"/>
                                      <w:marTop w:val="0"/>
                                      <w:marBottom w:val="0"/>
                                      <w:divBdr>
                                        <w:top w:val="none" w:sz="0" w:space="0" w:color="auto"/>
                                        <w:left w:val="none" w:sz="0" w:space="0" w:color="auto"/>
                                        <w:bottom w:val="none" w:sz="0" w:space="0" w:color="auto"/>
                                        <w:right w:val="none" w:sz="0" w:space="0" w:color="auto"/>
                                      </w:divBdr>
                                      <w:divsChild>
                                        <w:div w:id="1501579374">
                                          <w:marLeft w:val="0"/>
                                          <w:marRight w:val="0"/>
                                          <w:marTop w:val="0"/>
                                          <w:marBottom w:val="0"/>
                                          <w:divBdr>
                                            <w:top w:val="none" w:sz="0" w:space="0" w:color="auto"/>
                                            <w:left w:val="none" w:sz="0" w:space="0" w:color="auto"/>
                                            <w:bottom w:val="none" w:sz="0" w:space="0" w:color="auto"/>
                                            <w:right w:val="none" w:sz="0" w:space="0" w:color="auto"/>
                                          </w:divBdr>
                                          <w:divsChild>
                                            <w:div w:id="75532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154AF-8FBA-4646-8F0E-7B68C5C7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a11933</dc:creator>
  <cp:lastModifiedBy>a02526</cp:lastModifiedBy>
  <cp:revision>4</cp:revision>
  <cp:lastPrinted>2011-09-30T04:36:00Z</cp:lastPrinted>
  <dcterms:created xsi:type="dcterms:W3CDTF">2011-09-30T04:20:00Z</dcterms:created>
  <dcterms:modified xsi:type="dcterms:W3CDTF">2011-09-30T04:36:00Z</dcterms:modified>
</cp:coreProperties>
</file>