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04" w:rsidRDefault="00B20074">
      <w:pPr>
        <w:ind w:right="91"/>
        <w:jc w:val="center"/>
      </w:pPr>
      <w:bookmarkStart w:id="0" w:name="_GoBack"/>
      <w:bookmarkEnd w:id="0"/>
      <w:r>
        <w:rPr>
          <w:b/>
          <w:u w:val="single"/>
        </w:rPr>
        <w:t xml:space="preserve">EXPLANATORY </w:t>
      </w:r>
      <w:r w:rsidR="004076CA">
        <w:rPr>
          <w:b/>
          <w:u w:val="single"/>
        </w:rPr>
        <w:t>STATEMENT</w:t>
      </w:r>
    </w:p>
    <w:p w:rsidR="00362B04" w:rsidRDefault="00362B04">
      <w:pPr>
        <w:ind w:right="91"/>
        <w:jc w:val="center"/>
      </w:pPr>
    </w:p>
    <w:p w:rsidR="00362B04" w:rsidRPr="0050222B" w:rsidRDefault="0050222B" w:rsidP="0050222B">
      <w:pPr>
        <w:pStyle w:val="Heading6"/>
        <w:spacing w:before="0"/>
        <w:jc w:val="center"/>
        <w:rPr>
          <w:b/>
        </w:rPr>
      </w:pPr>
      <w:r w:rsidRPr="0050222B">
        <w:rPr>
          <w:b/>
        </w:rPr>
        <w:t>Select Legislative Instrument 2011 No. 193</w:t>
      </w:r>
    </w:p>
    <w:p w:rsidR="00362B04" w:rsidRDefault="00362B04">
      <w:pPr>
        <w:ind w:right="91"/>
      </w:pPr>
    </w:p>
    <w:p w:rsidR="00362B04" w:rsidRDefault="00B20074">
      <w:pPr>
        <w:ind w:right="91"/>
        <w:rPr>
          <w:i/>
        </w:rPr>
      </w:pPr>
      <w:r>
        <w:t>Subject -</w:t>
      </w:r>
      <w:r>
        <w:tab/>
      </w:r>
      <w:r w:rsidR="004B66C5">
        <w:rPr>
          <w:i/>
        </w:rPr>
        <w:t>Corporations Act 20</w:t>
      </w:r>
      <w:r w:rsidR="00936303">
        <w:rPr>
          <w:i/>
        </w:rPr>
        <w:t>0</w:t>
      </w:r>
      <w:r w:rsidR="004B66C5">
        <w:rPr>
          <w:i/>
        </w:rPr>
        <w:t>1</w:t>
      </w:r>
    </w:p>
    <w:p w:rsidR="00362B04" w:rsidRDefault="00362B04">
      <w:pPr>
        <w:ind w:right="91"/>
      </w:pPr>
    </w:p>
    <w:p w:rsidR="00362B04" w:rsidRPr="00547901" w:rsidRDefault="00B20074">
      <w:pPr>
        <w:ind w:right="91"/>
        <w:rPr>
          <w:i/>
        </w:rPr>
      </w:pPr>
      <w:r w:rsidRPr="00547901">
        <w:rPr>
          <w:i/>
        </w:rPr>
        <w:tab/>
      </w:r>
      <w:r w:rsidRPr="00547901">
        <w:rPr>
          <w:i/>
        </w:rPr>
        <w:tab/>
      </w:r>
      <w:r w:rsidR="004B66C5">
        <w:rPr>
          <w:i/>
        </w:rPr>
        <w:t xml:space="preserve">Corporations Legislation </w:t>
      </w:r>
      <w:r w:rsidRPr="00547901">
        <w:rPr>
          <w:i/>
        </w:rPr>
        <w:t xml:space="preserve">Amendment Regulations </w:t>
      </w:r>
      <w:r w:rsidR="004B66C5">
        <w:rPr>
          <w:i/>
        </w:rPr>
        <w:t>2011</w:t>
      </w:r>
      <w:r w:rsidR="0050222B">
        <w:rPr>
          <w:i/>
        </w:rPr>
        <w:t xml:space="preserve"> (No. 1</w:t>
      </w:r>
      <w:r w:rsidRPr="00547901">
        <w:rPr>
          <w:i/>
        </w:rPr>
        <w:t>)</w:t>
      </w:r>
    </w:p>
    <w:p w:rsidR="00362B04" w:rsidRDefault="00362B04">
      <w:pPr>
        <w:ind w:right="91"/>
      </w:pPr>
    </w:p>
    <w:p w:rsidR="00065A86" w:rsidRDefault="00065A86">
      <w:pPr>
        <w:ind w:right="91"/>
      </w:pPr>
      <w:r w:rsidRPr="00F94BA9">
        <w:t xml:space="preserve">Subsection 1364(1) of the </w:t>
      </w:r>
      <w:r w:rsidRPr="00CE081F">
        <w:rPr>
          <w:i/>
        </w:rPr>
        <w:t>Corporations Act 2001</w:t>
      </w:r>
      <w:r>
        <w:t xml:space="preserve"> (the Act)</w:t>
      </w:r>
      <w:r w:rsidRPr="00F94BA9">
        <w:t xml:space="preserve"> provides that the Governor-General may make</w:t>
      </w:r>
      <w:r>
        <w:t xml:space="preserve"> </w:t>
      </w:r>
      <w:r w:rsidRPr="00F94BA9">
        <w:t>regulations prescribing matters required or permitted by the Act to be prescribed, or necessary or convenient to be prescribed for carrying out or giving effect to the Act.</w:t>
      </w:r>
    </w:p>
    <w:p w:rsidR="00A15D18" w:rsidRDefault="00A15D18">
      <w:pPr>
        <w:ind w:right="91"/>
      </w:pPr>
    </w:p>
    <w:p w:rsidR="00C8545F" w:rsidRPr="00DD6E54" w:rsidRDefault="00C8545F" w:rsidP="00C8545F">
      <w:r w:rsidRPr="002F2C8B">
        <w:t xml:space="preserve">Section 251(1) of the </w:t>
      </w:r>
      <w:r>
        <w:rPr>
          <w:i/>
        </w:rPr>
        <w:t xml:space="preserve">Australian Securities and Investments Commission </w:t>
      </w:r>
      <w:r w:rsidRPr="00633BCF">
        <w:rPr>
          <w:i/>
        </w:rPr>
        <w:t>Act</w:t>
      </w:r>
      <w:r>
        <w:rPr>
          <w:i/>
          <w:u w:val="single"/>
        </w:rPr>
        <w:t xml:space="preserve"> 2001</w:t>
      </w:r>
      <w:r>
        <w:t xml:space="preserve">, </w:t>
      </w:r>
      <w:r w:rsidRPr="00495D1D">
        <w:rPr>
          <w:szCs w:val="24"/>
        </w:rPr>
        <w:t xml:space="preserve">Section 253 of the </w:t>
      </w:r>
      <w:r w:rsidRPr="00495D1D">
        <w:rPr>
          <w:i/>
          <w:iCs/>
          <w:szCs w:val="24"/>
        </w:rPr>
        <w:t>Life Insurance Act 1995</w:t>
      </w:r>
      <w:r>
        <w:rPr>
          <w:iCs/>
          <w:szCs w:val="24"/>
        </w:rPr>
        <w:t xml:space="preserve">, and </w:t>
      </w:r>
      <w:r w:rsidRPr="001829BE">
        <w:rPr>
          <w:szCs w:val="24"/>
        </w:rPr>
        <w:t xml:space="preserve">Subsection 353(1) of the </w:t>
      </w:r>
      <w:r w:rsidRPr="001829BE">
        <w:rPr>
          <w:i/>
          <w:iCs/>
          <w:szCs w:val="24"/>
        </w:rPr>
        <w:t>Superannuation Industry (Supervision) Act 1993</w:t>
      </w:r>
      <w:r>
        <w:rPr>
          <w:iCs/>
          <w:szCs w:val="24"/>
        </w:rPr>
        <w:t xml:space="preserve"> serve similar functions to Subsection 1364(1) of the </w:t>
      </w:r>
      <w:r w:rsidRPr="00DD6E54">
        <w:rPr>
          <w:iCs/>
          <w:szCs w:val="24"/>
        </w:rPr>
        <w:t>Act</w:t>
      </w:r>
      <w:r>
        <w:rPr>
          <w:iCs/>
          <w:szCs w:val="24"/>
        </w:rPr>
        <w:t xml:space="preserve"> in providing power to make regulations.</w:t>
      </w:r>
    </w:p>
    <w:p w:rsidR="00C8545F" w:rsidRDefault="00C8545F" w:rsidP="00A15D18">
      <w:pPr>
        <w:tabs>
          <w:tab w:val="left" w:pos="1701"/>
          <w:tab w:val="right" w:pos="9072"/>
        </w:tabs>
        <w:ind w:right="91"/>
      </w:pPr>
    </w:p>
    <w:p w:rsidR="0057517F" w:rsidRDefault="008120EB" w:rsidP="00A15D18">
      <w:pPr>
        <w:tabs>
          <w:tab w:val="left" w:pos="1701"/>
          <w:tab w:val="right" w:pos="9072"/>
        </w:tabs>
        <w:ind w:right="91"/>
      </w:pPr>
      <w:r>
        <w:t>T</w:t>
      </w:r>
      <w:r w:rsidR="00A15D18" w:rsidRPr="008D7E21">
        <w:t>he</w:t>
      </w:r>
      <w:r w:rsidR="00A15D18">
        <w:t xml:space="preserve"> primary</w:t>
      </w:r>
      <w:r w:rsidR="00A15D18" w:rsidRPr="0040372A">
        <w:t xml:space="preserve"> purpose of the</w:t>
      </w:r>
      <w:r w:rsidR="00CA446F">
        <w:t xml:space="preserve"> </w:t>
      </w:r>
      <w:r w:rsidR="001B130E">
        <w:rPr>
          <w:i/>
        </w:rPr>
        <w:t xml:space="preserve">Corporations Legislation Amendment Regulations 2011 (No. </w:t>
      </w:r>
      <w:r w:rsidR="0050222B">
        <w:rPr>
          <w:i/>
        </w:rPr>
        <w:t>1</w:t>
      </w:r>
      <w:r w:rsidR="001B130E">
        <w:rPr>
          <w:i/>
        </w:rPr>
        <w:t>)</w:t>
      </w:r>
      <w:r w:rsidR="001B130E">
        <w:t xml:space="preserve"> </w:t>
      </w:r>
      <w:r w:rsidR="00554AB4">
        <w:t xml:space="preserve">(the </w:t>
      </w:r>
      <w:r w:rsidR="00D13EB2">
        <w:t>A</w:t>
      </w:r>
      <w:r w:rsidR="00554AB4">
        <w:t xml:space="preserve">mending </w:t>
      </w:r>
      <w:r w:rsidR="00D13EB2">
        <w:t>R</w:t>
      </w:r>
      <w:r w:rsidR="00554AB4">
        <w:t xml:space="preserve">egulations) </w:t>
      </w:r>
      <w:r w:rsidR="00FA3D83">
        <w:t xml:space="preserve">is </w:t>
      </w:r>
      <w:r w:rsidR="008773B4">
        <w:t xml:space="preserve">to </w:t>
      </w:r>
      <w:r>
        <w:t xml:space="preserve">amend </w:t>
      </w:r>
      <w:r w:rsidR="00A15D18">
        <w:t xml:space="preserve">the </w:t>
      </w:r>
      <w:r w:rsidR="00A15D18">
        <w:rPr>
          <w:i/>
        </w:rPr>
        <w:t>Corporations Regulations 2001</w:t>
      </w:r>
      <w:r w:rsidR="00A15D18">
        <w:t xml:space="preserve"> </w:t>
      </w:r>
      <w:r w:rsidR="006C1E81">
        <w:t xml:space="preserve">(the Principal Regulations) </w:t>
      </w:r>
      <w:r w:rsidR="00A15D18">
        <w:t xml:space="preserve">to </w:t>
      </w:r>
      <w:r w:rsidR="007952C4">
        <w:t xml:space="preserve">support the introduction of competition in trade execution in Australia’s financial markets. </w:t>
      </w:r>
      <w:r w:rsidR="0057517F">
        <w:t>It is expected that competition in trade execution services, in the form of multiple market operators, will commence by the end of 2011.</w:t>
      </w:r>
    </w:p>
    <w:p w:rsidR="0057517F" w:rsidRDefault="0057517F" w:rsidP="00A15D18">
      <w:pPr>
        <w:tabs>
          <w:tab w:val="left" w:pos="1701"/>
          <w:tab w:val="right" w:pos="9072"/>
        </w:tabs>
        <w:ind w:right="91"/>
      </w:pPr>
    </w:p>
    <w:p w:rsidR="00A15D18" w:rsidRDefault="001B130E" w:rsidP="00A15D18">
      <w:pPr>
        <w:tabs>
          <w:tab w:val="left" w:pos="1701"/>
          <w:tab w:val="right" w:pos="9072"/>
        </w:tabs>
        <w:ind w:right="91"/>
      </w:pPr>
      <w:r>
        <w:t xml:space="preserve">The </w:t>
      </w:r>
      <w:r w:rsidR="00D13EB2">
        <w:t xml:space="preserve">Amending Regulations </w:t>
      </w:r>
      <w:r w:rsidR="006C1E81">
        <w:t xml:space="preserve">alter </w:t>
      </w:r>
      <w:r w:rsidR="00B77980">
        <w:t xml:space="preserve">provisions in the </w:t>
      </w:r>
      <w:r w:rsidR="006C1E81">
        <w:t xml:space="preserve">Principal Regulations </w:t>
      </w:r>
      <w:r w:rsidR="00B77980">
        <w:t xml:space="preserve">that would no longer function as intended, or read in a clear manner, in a situation where there are multiple market operators in Australia quoting prices in the same financial products. </w:t>
      </w:r>
      <w:r w:rsidR="007A3C77">
        <w:t xml:space="preserve">The Amending Regulations </w:t>
      </w:r>
      <w:r w:rsidR="00672AE4">
        <w:t xml:space="preserve">do </w:t>
      </w:r>
      <w:r w:rsidR="00131D0C">
        <w:t xml:space="preserve">not substantively alter the Principal Regulations beyond updating them to fit the new multi-operator environment. </w:t>
      </w:r>
    </w:p>
    <w:p w:rsidR="00131D0C" w:rsidRDefault="00131D0C" w:rsidP="00A15D18">
      <w:pPr>
        <w:tabs>
          <w:tab w:val="left" w:pos="1701"/>
          <w:tab w:val="right" w:pos="9072"/>
        </w:tabs>
        <w:ind w:right="91"/>
      </w:pPr>
    </w:p>
    <w:p w:rsidR="00131D0C" w:rsidRDefault="00131D0C" w:rsidP="00A15D18">
      <w:pPr>
        <w:tabs>
          <w:tab w:val="left" w:pos="1701"/>
          <w:tab w:val="right" w:pos="9072"/>
        </w:tabs>
        <w:ind w:right="91"/>
      </w:pPr>
      <w:r>
        <w:t xml:space="preserve">Additionally, </w:t>
      </w:r>
      <w:r w:rsidR="003955B6">
        <w:t xml:space="preserve">the Amending Regulations make </w:t>
      </w:r>
      <w:r>
        <w:t xml:space="preserve">minor amendments to update </w:t>
      </w:r>
      <w:r w:rsidR="008540CD">
        <w:t xml:space="preserve">certain </w:t>
      </w:r>
      <w:r>
        <w:t xml:space="preserve">lists of entities </w:t>
      </w:r>
      <w:r w:rsidR="00C55D83">
        <w:t xml:space="preserve">in the </w:t>
      </w:r>
      <w:r w:rsidR="00C55D83">
        <w:rPr>
          <w:i/>
        </w:rPr>
        <w:t>Australian Securities and Investments Commission Regulations 2001</w:t>
      </w:r>
      <w:r w:rsidR="00C55D83">
        <w:t xml:space="preserve">, the </w:t>
      </w:r>
      <w:r w:rsidR="00C55D83">
        <w:rPr>
          <w:i/>
        </w:rPr>
        <w:t>Life Insurance Regulations 1995</w:t>
      </w:r>
      <w:r w:rsidR="00C55D83">
        <w:t xml:space="preserve">, and the </w:t>
      </w:r>
      <w:r w:rsidR="00C55D83">
        <w:rPr>
          <w:i/>
        </w:rPr>
        <w:t>Superannuation Industry (Supervision) Regulations 1994</w:t>
      </w:r>
      <w:r w:rsidR="00C55D83">
        <w:t xml:space="preserve">. </w:t>
      </w:r>
      <w:r w:rsidR="00412094">
        <w:t xml:space="preserve">These amendments </w:t>
      </w:r>
      <w:r w:rsidR="008540CD">
        <w:t xml:space="preserve">take into account </w:t>
      </w:r>
      <w:r w:rsidR="00412094">
        <w:t xml:space="preserve">entities which have changed names or </w:t>
      </w:r>
      <w:r w:rsidR="00D15AE1">
        <w:t xml:space="preserve">have </w:t>
      </w:r>
      <w:r w:rsidR="00412094">
        <w:t xml:space="preserve">ceased to exist. </w:t>
      </w:r>
    </w:p>
    <w:p w:rsidR="00477296" w:rsidRDefault="00477296" w:rsidP="00A15D18">
      <w:pPr>
        <w:tabs>
          <w:tab w:val="left" w:pos="1701"/>
          <w:tab w:val="right" w:pos="9072"/>
        </w:tabs>
        <w:ind w:right="91"/>
      </w:pPr>
    </w:p>
    <w:p w:rsidR="00477296" w:rsidRDefault="00477296" w:rsidP="00A15D18">
      <w:pPr>
        <w:tabs>
          <w:tab w:val="left" w:pos="1701"/>
          <w:tab w:val="right" w:pos="9072"/>
        </w:tabs>
        <w:ind w:right="91"/>
      </w:pPr>
      <w:r>
        <w:t xml:space="preserve">Details of the </w:t>
      </w:r>
      <w:r w:rsidR="008540CD">
        <w:t xml:space="preserve">Amending </w:t>
      </w:r>
      <w:r>
        <w:t xml:space="preserve">Regulations are included in </w:t>
      </w:r>
      <w:r w:rsidR="00351117">
        <w:t xml:space="preserve">the </w:t>
      </w:r>
      <w:r w:rsidRPr="00477296">
        <w:rPr>
          <w:u w:val="single"/>
        </w:rPr>
        <w:t>Attachmen</w:t>
      </w:r>
      <w:r w:rsidR="00351117">
        <w:rPr>
          <w:u w:val="single"/>
        </w:rPr>
        <w:t>t</w:t>
      </w:r>
      <w:r>
        <w:t xml:space="preserve">. </w:t>
      </w:r>
    </w:p>
    <w:p w:rsidR="006F305E" w:rsidRDefault="006F305E" w:rsidP="00A15D18">
      <w:pPr>
        <w:tabs>
          <w:tab w:val="left" w:pos="1701"/>
          <w:tab w:val="right" w:pos="9072"/>
        </w:tabs>
        <w:ind w:right="91"/>
      </w:pPr>
    </w:p>
    <w:p w:rsidR="007723ED" w:rsidRDefault="007723ED" w:rsidP="00A15D18">
      <w:pPr>
        <w:tabs>
          <w:tab w:val="left" w:pos="1701"/>
          <w:tab w:val="right" w:pos="9072"/>
        </w:tabs>
        <w:ind w:right="91"/>
        <w:rPr>
          <w:szCs w:val="24"/>
        </w:rPr>
      </w:pPr>
      <w:r>
        <w:rPr>
          <w:szCs w:val="24"/>
        </w:rPr>
        <w:t>Given the Amending Regulations make technical amendments to the Principal Regulations</w:t>
      </w:r>
      <w:r w:rsidR="005C40E2">
        <w:rPr>
          <w:szCs w:val="24"/>
        </w:rPr>
        <w:t xml:space="preserve"> that are minor in nature</w:t>
      </w:r>
      <w:r>
        <w:rPr>
          <w:szCs w:val="24"/>
        </w:rPr>
        <w:t>, it was not necessary to undertaken public consultation.</w:t>
      </w:r>
    </w:p>
    <w:p w:rsidR="007723ED" w:rsidRDefault="007723ED" w:rsidP="00A15D18">
      <w:pPr>
        <w:tabs>
          <w:tab w:val="left" w:pos="1701"/>
          <w:tab w:val="right" w:pos="9072"/>
        </w:tabs>
        <w:ind w:right="91"/>
        <w:rPr>
          <w:szCs w:val="24"/>
        </w:rPr>
      </w:pPr>
      <w:r>
        <w:rPr>
          <w:szCs w:val="24"/>
        </w:rPr>
        <w:t xml:space="preserve"> </w:t>
      </w:r>
    </w:p>
    <w:p w:rsidR="004419D3" w:rsidRPr="00975902" w:rsidRDefault="004419D3" w:rsidP="00A15D18">
      <w:pPr>
        <w:tabs>
          <w:tab w:val="left" w:pos="1701"/>
          <w:tab w:val="right" w:pos="9072"/>
        </w:tabs>
        <w:ind w:right="91"/>
      </w:pPr>
      <w:r>
        <w:rPr>
          <w:szCs w:val="24"/>
        </w:rPr>
        <w:t xml:space="preserve">Under the </w:t>
      </w:r>
      <w:r w:rsidRPr="009C2706">
        <w:rPr>
          <w:i/>
          <w:szCs w:val="24"/>
        </w:rPr>
        <w:t>Corporations Agreement 2002</w:t>
      </w:r>
      <w:r>
        <w:rPr>
          <w:szCs w:val="24"/>
        </w:rPr>
        <w:t xml:space="preserve"> (the Agreement), the state and territory governments (the states) referred their constitutional powers with respect to corporations regulation to the Commonwealth.</w:t>
      </w:r>
      <w:r w:rsidRPr="004573D6">
        <w:t xml:space="preserve"> </w:t>
      </w:r>
      <w:r>
        <w:t xml:space="preserve"> The Agreement</w:t>
      </w:r>
      <w:r w:rsidRPr="00B65DD2">
        <w:t xml:space="preserve"> require</w:t>
      </w:r>
      <w:r>
        <w:t>s</w:t>
      </w:r>
      <w:r w:rsidRPr="00B65DD2">
        <w:t xml:space="preserve"> the Commonwealth to </w:t>
      </w:r>
      <w:r>
        <w:t xml:space="preserve">be </w:t>
      </w:r>
      <w:r w:rsidRPr="00B65DD2">
        <w:t>consult</w:t>
      </w:r>
      <w:r>
        <w:t>ed</w:t>
      </w:r>
      <w:r w:rsidRPr="00B65DD2">
        <w:t xml:space="preserve"> </w:t>
      </w:r>
      <w:r>
        <w:t xml:space="preserve">with </w:t>
      </w:r>
      <w:r w:rsidRPr="00B65DD2">
        <w:t xml:space="preserve">before making </w:t>
      </w:r>
      <w:r>
        <w:t xml:space="preserve">amendments to the </w:t>
      </w:r>
      <w:r w:rsidRPr="00BD53F5">
        <w:t>Corporations Regulations</w:t>
      </w:r>
      <w:r w:rsidRPr="00B65DD2">
        <w:t xml:space="preserve">.  The responsible </w:t>
      </w:r>
      <w:r>
        <w:t xml:space="preserve">state </w:t>
      </w:r>
      <w:r w:rsidRPr="00B65DD2">
        <w:t>Ministers have been consulted</w:t>
      </w:r>
      <w:r>
        <w:t xml:space="preserve"> through the </w:t>
      </w:r>
      <w:r w:rsidR="008540CD" w:rsidRPr="000F4C32">
        <w:t>Legislative and Governance Forum for Corporations meeting as the Ministerial Council for Corporations (MINCO)</w:t>
      </w:r>
      <w:r w:rsidRPr="00B65DD2">
        <w:t xml:space="preserve"> </w:t>
      </w:r>
      <w:r>
        <w:t xml:space="preserve">about the </w:t>
      </w:r>
      <w:r w:rsidRPr="00B65DD2">
        <w:t>proposed Regulation</w:t>
      </w:r>
      <w:r>
        <w:t>s.</w:t>
      </w:r>
    </w:p>
    <w:p w:rsidR="004419D3" w:rsidRDefault="004419D3" w:rsidP="00A15D18">
      <w:pPr>
        <w:tabs>
          <w:tab w:val="left" w:pos="1701"/>
          <w:tab w:val="right" w:pos="9072"/>
        </w:tabs>
        <w:ind w:right="91"/>
      </w:pPr>
    </w:p>
    <w:p w:rsidR="006F305E" w:rsidRDefault="006F305E" w:rsidP="00A15D18">
      <w:pPr>
        <w:tabs>
          <w:tab w:val="left" w:pos="1701"/>
          <w:tab w:val="right" w:pos="9072"/>
        </w:tabs>
        <w:ind w:right="91"/>
      </w:pPr>
      <w:r>
        <w:lastRenderedPageBreak/>
        <w:t xml:space="preserve">The Act does not specify any conditions that need to be satisfied before the power to make the </w:t>
      </w:r>
      <w:r w:rsidR="008540CD">
        <w:t xml:space="preserve">Amending </w:t>
      </w:r>
      <w:r>
        <w:t>Regulations may be exercised.</w:t>
      </w:r>
    </w:p>
    <w:p w:rsidR="006F305E" w:rsidRDefault="006F305E" w:rsidP="00A15D18">
      <w:pPr>
        <w:tabs>
          <w:tab w:val="left" w:pos="1701"/>
          <w:tab w:val="right" w:pos="9072"/>
        </w:tabs>
        <w:ind w:right="91"/>
      </w:pPr>
    </w:p>
    <w:p w:rsidR="006F305E" w:rsidRDefault="006F305E" w:rsidP="00A15D18">
      <w:pPr>
        <w:tabs>
          <w:tab w:val="left" w:pos="1701"/>
          <w:tab w:val="right" w:pos="9072"/>
        </w:tabs>
        <w:ind w:right="91"/>
      </w:pPr>
      <w:r>
        <w:t xml:space="preserve">The </w:t>
      </w:r>
      <w:r w:rsidR="005106C6">
        <w:t xml:space="preserve">Amending </w:t>
      </w:r>
      <w:r>
        <w:t xml:space="preserve">Regulations </w:t>
      </w:r>
      <w:r w:rsidR="0052141C">
        <w:t xml:space="preserve">are </w:t>
      </w:r>
      <w:r>
        <w:t xml:space="preserve">a legislative instrument for the purposes of the </w:t>
      </w:r>
      <w:r>
        <w:rPr>
          <w:i/>
        </w:rPr>
        <w:t>Legislative Instruments Act 2003</w:t>
      </w:r>
      <w:r>
        <w:t>.</w:t>
      </w:r>
    </w:p>
    <w:p w:rsidR="006F305E" w:rsidRDefault="006F305E" w:rsidP="00A15D18">
      <w:pPr>
        <w:tabs>
          <w:tab w:val="left" w:pos="1701"/>
          <w:tab w:val="right" w:pos="9072"/>
        </w:tabs>
        <w:ind w:right="91"/>
      </w:pPr>
    </w:p>
    <w:p w:rsidR="006F305E" w:rsidRDefault="006F305E" w:rsidP="00A15D18">
      <w:pPr>
        <w:tabs>
          <w:tab w:val="left" w:pos="1701"/>
          <w:tab w:val="right" w:pos="9072"/>
        </w:tabs>
        <w:ind w:right="91"/>
      </w:pPr>
      <w:r>
        <w:t xml:space="preserve">The </w:t>
      </w:r>
      <w:r w:rsidR="00DE6BCC">
        <w:t xml:space="preserve">Amending </w:t>
      </w:r>
      <w:r>
        <w:t xml:space="preserve">Regulations </w:t>
      </w:r>
      <w:r w:rsidR="00752857">
        <w:t xml:space="preserve">will </w:t>
      </w:r>
      <w:r>
        <w:t xml:space="preserve">commence on </w:t>
      </w:r>
      <w:r w:rsidR="00595946">
        <w:t>31 October 2011</w:t>
      </w:r>
      <w:r>
        <w:t>.</w:t>
      </w:r>
    </w:p>
    <w:p w:rsidR="00AC1561" w:rsidRDefault="00AC1561" w:rsidP="00A15D18">
      <w:pPr>
        <w:tabs>
          <w:tab w:val="left" w:pos="1701"/>
          <w:tab w:val="right" w:pos="9072"/>
        </w:tabs>
        <w:ind w:right="91"/>
      </w:pPr>
    </w:p>
    <w:p w:rsidR="00362B04" w:rsidRPr="00077C80" w:rsidRDefault="00362B04">
      <w:pPr>
        <w:ind w:right="91"/>
        <w:rPr>
          <w:color w:val="FF0000"/>
        </w:rPr>
      </w:pPr>
    </w:p>
    <w:p w:rsidR="002C6B77" w:rsidRPr="00976F98" w:rsidRDefault="002C6B77" w:rsidP="002C6B77">
      <w:pPr>
        <w:tabs>
          <w:tab w:val="left" w:pos="2835"/>
        </w:tabs>
        <w:ind w:right="91"/>
        <w:jc w:val="right"/>
      </w:pPr>
      <w:r w:rsidRPr="00976F98">
        <w:rPr>
          <w:u w:val="single"/>
        </w:rPr>
        <w:t>Authority</w:t>
      </w:r>
      <w:r w:rsidRPr="00976F98">
        <w:t xml:space="preserve">:  </w:t>
      </w:r>
      <w:r w:rsidRPr="00976F98">
        <w:br/>
      </w:r>
    </w:p>
    <w:p w:rsidR="002C6B77" w:rsidRDefault="002C6B77" w:rsidP="002C6B77">
      <w:pPr>
        <w:tabs>
          <w:tab w:val="left" w:pos="2835"/>
        </w:tabs>
        <w:ind w:right="91"/>
        <w:jc w:val="right"/>
        <w:rPr>
          <w:i/>
        </w:rPr>
      </w:pPr>
      <w:r w:rsidRPr="00976F98">
        <w:t xml:space="preserve">Section </w:t>
      </w:r>
      <w:r>
        <w:t>1364(1)</w:t>
      </w:r>
      <w:r w:rsidRPr="00976F98">
        <w:t xml:space="preserve"> of the </w:t>
      </w:r>
      <w:r w:rsidRPr="00976F98">
        <w:br/>
      </w:r>
      <w:r w:rsidRPr="00976F98">
        <w:rPr>
          <w:i/>
        </w:rPr>
        <w:t>Corporations Act 2001</w:t>
      </w:r>
    </w:p>
    <w:p w:rsidR="00A44236" w:rsidRDefault="00A44236" w:rsidP="00A44236">
      <w:pPr>
        <w:tabs>
          <w:tab w:val="left" w:pos="2835"/>
        </w:tabs>
        <w:ind w:right="91"/>
        <w:jc w:val="right"/>
        <w:rPr>
          <w:i/>
        </w:rPr>
      </w:pPr>
    </w:p>
    <w:p w:rsidR="00A44236" w:rsidRDefault="00A44236" w:rsidP="00A44236">
      <w:pPr>
        <w:tabs>
          <w:tab w:val="left" w:pos="2835"/>
        </w:tabs>
        <w:ind w:right="91"/>
        <w:jc w:val="right"/>
        <w:rPr>
          <w:i/>
        </w:rPr>
      </w:pPr>
      <w:r>
        <w:t>Section 251(1) of the</w:t>
      </w:r>
      <w:r>
        <w:br/>
      </w:r>
      <w:r>
        <w:rPr>
          <w:i/>
        </w:rPr>
        <w:t>Australian Securities and Investments Commission Act 2001</w:t>
      </w:r>
    </w:p>
    <w:p w:rsidR="00A44236" w:rsidRDefault="00A44236" w:rsidP="00A44236">
      <w:pPr>
        <w:tabs>
          <w:tab w:val="left" w:pos="2835"/>
        </w:tabs>
        <w:ind w:right="91"/>
        <w:jc w:val="right"/>
        <w:rPr>
          <w:i/>
        </w:rPr>
      </w:pPr>
    </w:p>
    <w:p w:rsidR="00A44236" w:rsidRDefault="00A44236" w:rsidP="00A44236">
      <w:pPr>
        <w:tabs>
          <w:tab w:val="left" w:pos="2835"/>
        </w:tabs>
        <w:ind w:right="91"/>
        <w:jc w:val="right"/>
        <w:rPr>
          <w:i/>
          <w:iCs/>
          <w:szCs w:val="24"/>
        </w:rPr>
      </w:pPr>
      <w:r w:rsidRPr="00495D1D">
        <w:rPr>
          <w:szCs w:val="24"/>
        </w:rPr>
        <w:t xml:space="preserve">Section 253 of the </w:t>
      </w:r>
      <w:r>
        <w:rPr>
          <w:szCs w:val="24"/>
        </w:rPr>
        <w:br/>
      </w:r>
      <w:r w:rsidRPr="00495D1D">
        <w:rPr>
          <w:i/>
          <w:iCs/>
          <w:szCs w:val="24"/>
        </w:rPr>
        <w:t>Life Insurance Act 1995</w:t>
      </w:r>
    </w:p>
    <w:p w:rsidR="00A44236" w:rsidRDefault="00A44236" w:rsidP="00A44236">
      <w:pPr>
        <w:tabs>
          <w:tab w:val="left" w:pos="2835"/>
        </w:tabs>
        <w:ind w:right="91"/>
        <w:jc w:val="right"/>
        <w:rPr>
          <w:i/>
          <w:iCs/>
          <w:szCs w:val="24"/>
        </w:rPr>
      </w:pPr>
    </w:p>
    <w:p w:rsidR="00A44236" w:rsidRPr="0053666A" w:rsidRDefault="00A44236" w:rsidP="00A44236">
      <w:pPr>
        <w:tabs>
          <w:tab w:val="left" w:pos="2835"/>
        </w:tabs>
        <w:ind w:right="91"/>
        <w:jc w:val="right"/>
      </w:pPr>
      <w:r>
        <w:rPr>
          <w:szCs w:val="24"/>
        </w:rPr>
        <w:t>S</w:t>
      </w:r>
      <w:r w:rsidRPr="001829BE">
        <w:rPr>
          <w:szCs w:val="24"/>
        </w:rPr>
        <w:t xml:space="preserve">ection 353(1) of the </w:t>
      </w:r>
      <w:r>
        <w:rPr>
          <w:szCs w:val="24"/>
        </w:rPr>
        <w:br/>
      </w:r>
      <w:r w:rsidRPr="001829BE">
        <w:rPr>
          <w:i/>
          <w:iCs/>
          <w:szCs w:val="24"/>
        </w:rPr>
        <w:t>Superannuation Industry (Supervision) Act 1993</w:t>
      </w:r>
    </w:p>
    <w:p w:rsidR="00A44236" w:rsidRPr="00077C80" w:rsidRDefault="00A44236" w:rsidP="00A44236">
      <w:pPr>
        <w:ind w:right="91"/>
        <w:jc w:val="right"/>
        <w:rPr>
          <w:color w:val="FF0000"/>
        </w:rPr>
      </w:pPr>
    </w:p>
    <w:p w:rsidR="00A44236" w:rsidRPr="00976F98" w:rsidRDefault="00A44236" w:rsidP="002C6B77">
      <w:pPr>
        <w:tabs>
          <w:tab w:val="left" w:pos="2835"/>
        </w:tabs>
        <w:ind w:right="91"/>
        <w:jc w:val="right"/>
        <w:rPr>
          <w:i/>
        </w:rPr>
      </w:pPr>
    </w:p>
    <w:p w:rsidR="00362B04" w:rsidRPr="00077C80" w:rsidRDefault="00362B04">
      <w:pPr>
        <w:ind w:right="91"/>
        <w:jc w:val="right"/>
        <w:rPr>
          <w:color w:val="FF0000"/>
        </w:rPr>
      </w:pPr>
    </w:p>
    <w:p w:rsidR="00BC7259" w:rsidRPr="00706118" w:rsidRDefault="00B20074" w:rsidP="00BC7259">
      <w:pPr>
        <w:tabs>
          <w:tab w:val="center" w:pos="4111"/>
          <w:tab w:val="left" w:pos="4536"/>
        </w:tabs>
        <w:ind w:right="91"/>
        <w:rPr>
          <w:b/>
          <w:u w:val="single"/>
        </w:rPr>
      </w:pPr>
      <w:r w:rsidRPr="00077C80">
        <w:rPr>
          <w:b/>
          <w:color w:val="FF0000"/>
        </w:rPr>
        <w:br w:type="page"/>
      </w:r>
      <w:r w:rsidRPr="00077C80">
        <w:rPr>
          <w:color w:val="FF0000"/>
        </w:rPr>
        <w:lastRenderedPageBreak/>
        <w:tab/>
      </w:r>
    </w:p>
    <w:p w:rsidR="00362B04" w:rsidRPr="00706118" w:rsidRDefault="00B20074">
      <w:pPr>
        <w:ind w:right="91"/>
        <w:jc w:val="right"/>
        <w:rPr>
          <w:u w:val="single"/>
        </w:rPr>
      </w:pPr>
      <w:r w:rsidRPr="00706118">
        <w:rPr>
          <w:b/>
          <w:u w:val="single"/>
        </w:rPr>
        <w:t>ATTACHMENT</w:t>
      </w:r>
    </w:p>
    <w:p w:rsidR="00362B04" w:rsidRPr="00706118" w:rsidRDefault="00362B04">
      <w:pPr>
        <w:ind w:right="91"/>
        <w:jc w:val="right"/>
      </w:pPr>
    </w:p>
    <w:p w:rsidR="00362B04" w:rsidRPr="00706118" w:rsidRDefault="00B20074">
      <w:pPr>
        <w:ind w:right="91"/>
        <w:rPr>
          <w:u w:val="single"/>
        </w:rPr>
      </w:pPr>
      <w:r w:rsidRPr="00706118">
        <w:rPr>
          <w:b/>
          <w:u w:val="single"/>
        </w:rPr>
        <w:t xml:space="preserve">Details of the proposed </w:t>
      </w:r>
      <w:r w:rsidR="00706118">
        <w:rPr>
          <w:b/>
          <w:i/>
          <w:u w:val="single"/>
        </w:rPr>
        <w:t xml:space="preserve">Corporations Legislation Amendment Regulations 2011 </w:t>
      </w:r>
      <w:r w:rsidR="0050222B">
        <w:rPr>
          <w:b/>
          <w:i/>
          <w:u w:val="single"/>
        </w:rPr>
        <w:t>(No. 1</w:t>
      </w:r>
      <w:r w:rsidRPr="00706118">
        <w:rPr>
          <w:b/>
          <w:i/>
          <w:u w:val="single"/>
        </w:rPr>
        <w:t>)</w:t>
      </w:r>
    </w:p>
    <w:p w:rsidR="00362B04" w:rsidRPr="00706118" w:rsidRDefault="00362B04">
      <w:pPr>
        <w:ind w:right="91"/>
      </w:pPr>
    </w:p>
    <w:p w:rsidR="00362B04" w:rsidRPr="00706118" w:rsidRDefault="00B20074">
      <w:pPr>
        <w:ind w:right="91"/>
      </w:pPr>
      <w:r w:rsidRPr="00706118">
        <w:rPr>
          <w:u w:val="single"/>
        </w:rPr>
        <w:t>Regulation 1 – Name of Regulations</w:t>
      </w:r>
    </w:p>
    <w:p w:rsidR="00362B04" w:rsidRPr="00706118" w:rsidRDefault="00362B04">
      <w:pPr>
        <w:ind w:right="91"/>
      </w:pPr>
    </w:p>
    <w:p w:rsidR="00362B04" w:rsidRPr="008E6888" w:rsidRDefault="00B20074">
      <w:pPr>
        <w:ind w:right="91"/>
      </w:pPr>
      <w:r w:rsidRPr="00706118">
        <w:t xml:space="preserve">This regulation </w:t>
      </w:r>
      <w:r w:rsidR="0072784B">
        <w:t>provide</w:t>
      </w:r>
      <w:r w:rsidR="003447E1">
        <w:t>s</w:t>
      </w:r>
      <w:r w:rsidR="0072784B">
        <w:t xml:space="preserve"> </w:t>
      </w:r>
      <w:r w:rsidRPr="00706118">
        <w:t xml:space="preserve">that the title of the Regulations is the </w:t>
      </w:r>
      <w:r w:rsidR="0090654E" w:rsidRPr="00706118">
        <w:rPr>
          <w:i/>
        </w:rPr>
        <w:t xml:space="preserve">Corporations Legislation Amendment Regulations </w:t>
      </w:r>
      <w:r w:rsidRPr="00706118">
        <w:rPr>
          <w:i/>
        </w:rPr>
        <w:t>20</w:t>
      </w:r>
      <w:r w:rsidR="0090654E" w:rsidRPr="00706118">
        <w:rPr>
          <w:i/>
        </w:rPr>
        <w:t>11</w:t>
      </w:r>
      <w:r w:rsidR="0050222B">
        <w:rPr>
          <w:i/>
        </w:rPr>
        <w:t xml:space="preserve"> (No. 1</w:t>
      </w:r>
      <w:r w:rsidRPr="00706118">
        <w:rPr>
          <w:i/>
        </w:rPr>
        <w:t>)</w:t>
      </w:r>
      <w:r w:rsidR="008E6888">
        <w:t>.</w:t>
      </w:r>
    </w:p>
    <w:p w:rsidR="00362B04" w:rsidRPr="00706118" w:rsidRDefault="00362B04">
      <w:pPr>
        <w:ind w:right="91"/>
      </w:pPr>
    </w:p>
    <w:p w:rsidR="00362B04" w:rsidRPr="00706118" w:rsidRDefault="00B20074">
      <w:pPr>
        <w:ind w:right="91"/>
        <w:rPr>
          <w:u w:val="single"/>
        </w:rPr>
      </w:pPr>
      <w:r w:rsidRPr="00706118">
        <w:rPr>
          <w:u w:val="single"/>
        </w:rPr>
        <w:t>Regulation 2 – Commencement</w:t>
      </w:r>
    </w:p>
    <w:p w:rsidR="00362B04" w:rsidRPr="00706118" w:rsidRDefault="00362B04">
      <w:pPr>
        <w:ind w:right="91"/>
      </w:pPr>
    </w:p>
    <w:p w:rsidR="00362B04" w:rsidRPr="00706118" w:rsidRDefault="00B20074">
      <w:pPr>
        <w:ind w:right="91"/>
      </w:pPr>
      <w:r w:rsidRPr="00706118">
        <w:t xml:space="preserve">This regulation </w:t>
      </w:r>
      <w:r w:rsidR="0072784B">
        <w:t>provide</w:t>
      </w:r>
      <w:r w:rsidR="003447E1">
        <w:t>s</w:t>
      </w:r>
      <w:r w:rsidR="0072784B">
        <w:t xml:space="preserve"> </w:t>
      </w:r>
      <w:r w:rsidRPr="00706118">
        <w:t xml:space="preserve">for the Regulations to commence on </w:t>
      </w:r>
      <w:r w:rsidR="008741C9">
        <w:t>31 October 2011</w:t>
      </w:r>
      <w:r w:rsidR="00F925A9" w:rsidRPr="00706118">
        <w:t xml:space="preserve">. </w:t>
      </w:r>
    </w:p>
    <w:p w:rsidR="00362B04" w:rsidRPr="00706118" w:rsidRDefault="00362B04">
      <w:pPr>
        <w:ind w:right="91"/>
      </w:pPr>
    </w:p>
    <w:p w:rsidR="00362B04" w:rsidRPr="00706118" w:rsidRDefault="00B20074">
      <w:pPr>
        <w:ind w:right="91"/>
      </w:pPr>
      <w:r w:rsidRPr="00706118">
        <w:rPr>
          <w:u w:val="single"/>
        </w:rPr>
        <w:t>Regulation 3 – Amendment of</w:t>
      </w:r>
      <w:r w:rsidRPr="00706118">
        <w:rPr>
          <w:i/>
          <w:u w:val="single"/>
        </w:rPr>
        <w:t xml:space="preserve"> </w:t>
      </w:r>
      <w:r w:rsidR="00B40DDA" w:rsidRPr="00706118">
        <w:rPr>
          <w:i/>
          <w:u w:val="single"/>
        </w:rPr>
        <w:t>Corporations Regulations 2001</w:t>
      </w:r>
    </w:p>
    <w:p w:rsidR="00362B04" w:rsidRPr="00706118" w:rsidRDefault="00362B04">
      <w:pPr>
        <w:ind w:right="91"/>
      </w:pPr>
    </w:p>
    <w:p w:rsidR="00362B04" w:rsidRPr="00706118" w:rsidRDefault="00B20074">
      <w:pPr>
        <w:ind w:right="91"/>
      </w:pPr>
      <w:r w:rsidRPr="00706118">
        <w:t xml:space="preserve">This regulation </w:t>
      </w:r>
      <w:r w:rsidR="0072784B">
        <w:t>provide</w:t>
      </w:r>
      <w:r w:rsidR="003447E1">
        <w:t>s</w:t>
      </w:r>
      <w:r w:rsidR="0072784B">
        <w:t xml:space="preserve"> </w:t>
      </w:r>
      <w:r w:rsidRPr="00706118">
        <w:t xml:space="preserve">that the </w:t>
      </w:r>
      <w:r w:rsidR="004723E6" w:rsidRPr="00706118">
        <w:rPr>
          <w:i/>
        </w:rPr>
        <w:t>Corporations Regulations 2001</w:t>
      </w:r>
      <w:r w:rsidRPr="00706118">
        <w:t xml:space="preserve"> (the Principal Regulations) are amended as set out in Schedule</w:t>
      </w:r>
      <w:r w:rsidR="004723E6" w:rsidRPr="00706118">
        <w:t xml:space="preserve"> 1</w:t>
      </w:r>
      <w:r w:rsidRPr="00706118">
        <w:t>.</w:t>
      </w:r>
    </w:p>
    <w:p w:rsidR="00226CC2" w:rsidRPr="00706118" w:rsidRDefault="00226CC2">
      <w:pPr>
        <w:ind w:right="91"/>
      </w:pPr>
    </w:p>
    <w:p w:rsidR="00226CC2" w:rsidRDefault="00226CC2" w:rsidP="00226CC2">
      <w:pPr>
        <w:ind w:right="91"/>
        <w:rPr>
          <w:i/>
          <w:u w:val="single"/>
        </w:rPr>
      </w:pPr>
      <w:r w:rsidRPr="00706118">
        <w:rPr>
          <w:u w:val="single"/>
        </w:rPr>
        <w:t>Regulation 4 – Amendment of</w:t>
      </w:r>
      <w:r w:rsidRPr="00706118">
        <w:rPr>
          <w:i/>
          <w:u w:val="single"/>
        </w:rPr>
        <w:t xml:space="preserve"> </w:t>
      </w:r>
      <w:r w:rsidR="00DF08ED" w:rsidRPr="00706118">
        <w:rPr>
          <w:i/>
          <w:u w:val="single"/>
        </w:rPr>
        <w:t xml:space="preserve">Australian Securities and Investments Commission Regulations </w:t>
      </w:r>
      <w:r w:rsidRPr="00706118">
        <w:rPr>
          <w:i/>
          <w:u w:val="single"/>
        </w:rPr>
        <w:t>2001</w:t>
      </w:r>
    </w:p>
    <w:p w:rsidR="00D42DA3" w:rsidRDefault="00D42DA3" w:rsidP="00226CC2">
      <w:pPr>
        <w:ind w:right="91"/>
        <w:rPr>
          <w:u w:val="single"/>
        </w:rPr>
      </w:pPr>
    </w:p>
    <w:p w:rsidR="00D42DA3" w:rsidRDefault="005F1D45" w:rsidP="00226CC2">
      <w:pPr>
        <w:ind w:right="91"/>
      </w:pPr>
      <w:r w:rsidRPr="005F1D45">
        <w:t xml:space="preserve">This regulation </w:t>
      </w:r>
      <w:r w:rsidR="000D7070">
        <w:t>provide</w:t>
      </w:r>
      <w:r w:rsidR="003447E1">
        <w:t>s</w:t>
      </w:r>
      <w:r w:rsidR="000D7070">
        <w:t xml:space="preserve"> </w:t>
      </w:r>
      <w:r>
        <w:t xml:space="preserve">that the </w:t>
      </w:r>
      <w:r>
        <w:rPr>
          <w:i/>
        </w:rPr>
        <w:t>Australian Securities and Investments Commission Regulations 2001</w:t>
      </w:r>
      <w:r>
        <w:t xml:space="preserve"> are amended as set out in Schedule 2. </w:t>
      </w:r>
      <w:r w:rsidR="0022309B">
        <w:t xml:space="preserve"> </w:t>
      </w:r>
    </w:p>
    <w:p w:rsidR="00D55DB5" w:rsidRDefault="00D55DB5" w:rsidP="00226CC2">
      <w:pPr>
        <w:ind w:right="91"/>
      </w:pPr>
    </w:p>
    <w:p w:rsidR="00D55DB5" w:rsidRDefault="00D55DB5" w:rsidP="00D55DB5">
      <w:pPr>
        <w:ind w:right="91"/>
        <w:rPr>
          <w:u w:val="single"/>
        </w:rPr>
      </w:pPr>
      <w:r w:rsidRPr="00706118">
        <w:rPr>
          <w:u w:val="single"/>
        </w:rPr>
        <w:t xml:space="preserve">Regulation </w:t>
      </w:r>
      <w:r>
        <w:rPr>
          <w:u w:val="single"/>
        </w:rPr>
        <w:t>5</w:t>
      </w:r>
      <w:r w:rsidRPr="00706118">
        <w:rPr>
          <w:u w:val="single"/>
        </w:rPr>
        <w:t xml:space="preserve"> – Amendment of</w:t>
      </w:r>
      <w:r w:rsidRPr="00706118">
        <w:rPr>
          <w:i/>
          <w:u w:val="single"/>
        </w:rPr>
        <w:t xml:space="preserve"> </w:t>
      </w:r>
      <w:r>
        <w:rPr>
          <w:i/>
          <w:u w:val="single"/>
        </w:rPr>
        <w:t>Life Insurance Regulations 1995</w:t>
      </w:r>
    </w:p>
    <w:p w:rsidR="00D55DB5" w:rsidRDefault="00D55DB5" w:rsidP="00D55DB5">
      <w:pPr>
        <w:ind w:right="91"/>
        <w:rPr>
          <w:u w:val="single"/>
        </w:rPr>
      </w:pPr>
    </w:p>
    <w:p w:rsidR="00D55DB5" w:rsidRDefault="00D55DB5" w:rsidP="00D55DB5">
      <w:pPr>
        <w:ind w:right="91"/>
      </w:pPr>
      <w:r w:rsidRPr="00D55DB5">
        <w:t xml:space="preserve">This </w:t>
      </w:r>
      <w:r w:rsidR="008E6888">
        <w:t>r</w:t>
      </w:r>
      <w:r w:rsidR="008E6888" w:rsidRPr="00D55DB5">
        <w:t xml:space="preserve">egulation </w:t>
      </w:r>
      <w:r w:rsidR="000D7070">
        <w:t>provide</w:t>
      </w:r>
      <w:r w:rsidR="006C6AF3">
        <w:t>s</w:t>
      </w:r>
      <w:r w:rsidR="000D7070">
        <w:t xml:space="preserve"> </w:t>
      </w:r>
      <w:r>
        <w:t xml:space="preserve">that the </w:t>
      </w:r>
      <w:r>
        <w:rPr>
          <w:i/>
        </w:rPr>
        <w:t>Life Insurance Regulations 1995</w:t>
      </w:r>
      <w:r>
        <w:t xml:space="preserve"> are amended as set out in Schedule 3.</w:t>
      </w:r>
    </w:p>
    <w:p w:rsidR="00DA778E" w:rsidRDefault="00DA778E" w:rsidP="00D55DB5">
      <w:pPr>
        <w:ind w:right="91"/>
      </w:pPr>
    </w:p>
    <w:p w:rsidR="00DA778E" w:rsidRDefault="00DA778E" w:rsidP="00DA778E">
      <w:pPr>
        <w:ind w:right="91"/>
        <w:rPr>
          <w:u w:val="single"/>
        </w:rPr>
      </w:pPr>
      <w:r w:rsidRPr="00706118">
        <w:rPr>
          <w:u w:val="single"/>
        </w:rPr>
        <w:t xml:space="preserve">Regulation </w:t>
      </w:r>
      <w:r>
        <w:rPr>
          <w:u w:val="single"/>
        </w:rPr>
        <w:t>6</w:t>
      </w:r>
      <w:r w:rsidRPr="00706118">
        <w:rPr>
          <w:u w:val="single"/>
        </w:rPr>
        <w:t xml:space="preserve"> – Amendment of</w:t>
      </w:r>
      <w:r w:rsidRPr="00706118">
        <w:rPr>
          <w:i/>
          <w:u w:val="single"/>
        </w:rPr>
        <w:t xml:space="preserve"> </w:t>
      </w:r>
      <w:r>
        <w:rPr>
          <w:i/>
          <w:u w:val="single"/>
        </w:rPr>
        <w:t>Superannuation Industry (Supervision) Regulations 1994</w:t>
      </w:r>
    </w:p>
    <w:p w:rsidR="00DA778E" w:rsidRDefault="00DA778E" w:rsidP="00DA778E">
      <w:pPr>
        <w:ind w:right="91"/>
        <w:rPr>
          <w:u w:val="single"/>
        </w:rPr>
      </w:pPr>
    </w:p>
    <w:p w:rsidR="00DA778E" w:rsidRPr="00C53377" w:rsidRDefault="00610D36" w:rsidP="00DA778E">
      <w:pPr>
        <w:ind w:right="91"/>
      </w:pPr>
      <w:r w:rsidRPr="00610D36">
        <w:t>This regu</w:t>
      </w:r>
      <w:r>
        <w:t xml:space="preserve">lation </w:t>
      </w:r>
      <w:r w:rsidR="00C53377">
        <w:t>provide</w:t>
      </w:r>
      <w:r w:rsidR="00E64291">
        <w:t>s</w:t>
      </w:r>
      <w:r w:rsidR="00C53377">
        <w:t xml:space="preserve"> that </w:t>
      </w:r>
      <w:r>
        <w:t xml:space="preserve">the </w:t>
      </w:r>
      <w:r>
        <w:rPr>
          <w:i/>
        </w:rPr>
        <w:t>Superannuation Industry (Supervision) Regulations 1994</w:t>
      </w:r>
      <w:r w:rsidR="00C53377">
        <w:t xml:space="preserve"> are amended as set out in Schedule 4. </w:t>
      </w:r>
    </w:p>
    <w:p w:rsidR="00DA778E" w:rsidRPr="00D55DB5" w:rsidRDefault="00DA778E" w:rsidP="00D55DB5">
      <w:pPr>
        <w:ind w:right="91"/>
      </w:pPr>
    </w:p>
    <w:p w:rsidR="00362B04" w:rsidRDefault="00B20074">
      <w:pPr>
        <w:ind w:right="91"/>
        <w:rPr>
          <w:u w:val="single"/>
        </w:rPr>
      </w:pPr>
      <w:r w:rsidRPr="00F41575">
        <w:rPr>
          <w:u w:val="single"/>
        </w:rPr>
        <w:t xml:space="preserve">Schedule </w:t>
      </w:r>
      <w:r w:rsidR="00F41575">
        <w:rPr>
          <w:u w:val="single"/>
        </w:rPr>
        <w:t xml:space="preserve">1 </w:t>
      </w:r>
      <w:r w:rsidRPr="00F41575">
        <w:rPr>
          <w:u w:val="single"/>
        </w:rPr>
        <w:t>– Amendments</w:t>
      </w:r>
      <w:r w:rsidR="00F41575">
        <w:rPr>
          <w:u w:val="single"/>
        </w:rPr>
        <w:t xml:space="preserve"> of </w:t>
      </w:r>
      <w:r w:rsidR="00F41575">
        <w:rPr>
          <w:i/>
          <w:u w:val="single"/>
        </w:rPr>
        <w:t>Corporations Regulations 2001</w:t>
      </w:r>
    </w:p>
    <w:p w:rsidR="001E2B36" w:rsidRDefault="001E2B36">
      <w:pPr>
        <w:ind w:right="91"/>
        <w:rPr>
          <w:u w:val="single"/>
        </w:rPr>
      </w:pPr>
    </w:p>
    <w:p w:rsidR="001E2B36" w:rsidRDefault="001E2B36" w:rsidP="001E2B36">
      <w:pPr>
        <w:ind w:right="91"/>
      </w:pPr>
      <w:r w:rsidRPr="001E2B36">
        <w:rPr>
          <w:b/>
        </w:rPr>
        <w:t xml:space="preserve">Item [1] – </w:t>
      </w:r>
      <w:r w:rsidR="00FA347A">
        <w:rPr>
          <w:b/>
        </w:rPr>
        <w:t>Regulation 1.0.02A</w:t>
      </w:r>
    </w:p>
    <w:p w:rsidR="005C7834" w:rsidRDefault="005C7834" w:rsidP="001E2B36">
      <w:pPr>
        <w:ind w:right="91"/>
      </w:pPr>
    </w:p>
    <w:p w:rsidR="00FA347A" w:rsidRDefault="00960136" w:rsidP="001E2B36">
      <w:pPr>
        <w:ind w:right="91"/>
      </w:pPr>
      <w:r>
        <w:t xml:space="preserve">A financial market must be prescribed under the </w:t>
      </w:r>
      <w:r>
        <w:rPr>
          <w:i/>
        </w:rPr>
        <w:t>Corporations Act 2001</w:t>
      </w:r>
      <w:r>
        <w:t xml:space="preserve"> (the Act) in order for the market to process certain types of transactions.  </w:t>
      </w:r>
      <w:r w:rsidR="005C7834">
        <w:t xml:space="preserve">Regulation </w:t>
      </w:r>
      <w:r w:rsidR="00140F32">
        <w:t>1</w:t>
      </w:r>
      <w:r w:rsidR="005C7834">
        <w:t xml:space="preserve">.0.02A of the Principal Regulations provides </w:t>
      </w:r>
      <w:r w:rsidR="00140F32">
        <w:t xml:space="preserve">a list of </w:t>
      </w:r>
      <w:r w:rsidRPr="00727DC2">
        <w:t xml:space="preserve">prescribed </w:t>
      </w:r>
      <w:r w:rsidR="00140F32" w:rsidRPr="00727DC2">
        <w:t>financial markets</w:t>
      </w:r>
      <w:r w:rsidRPr="00727DC2">
        <w:t xml:space="preserve"> for this purpose</w:t>
      </w:r>
      <w:r w:rsidR="00140F32" w:rsidRPr="00727DC2">
        <w:t xml:space="preserve">. This </w:t>
      </w:r>
      <w:r w:rsidR="00B42600" w:rsidRPr="00727DC2">
        <w:t xml:space="preserve">item </w:t>
      </w:r>
      <w:r w:rsidR="00B5166C" w:rsidRPr="00727DC2">
        <w:t>update</w:t>
      </w:r>
      <w:r w:rsidR="008E7466">
        <w:t>s</w:t>
      </w:r>
      <w:r w:rsidR="00B42600" w:rsidRPr="00727DC2">
        <w:t xml:space="preserve"> the list by adding </w:t>
      </w:r>
      <w:r w:rsidR="002B2D74" w:rsidRPr="00727DC2">
        <w:t>Australia</w:t>
      </w:r>
      <w:r w:rsidR="00B42600" w:rsidRPr="00727DC2">
        <w:t xml:space="preserve"> Pacific Exchange Limited, which is prescribed in another list of </w:t>
      </w:r>
      <w:r w:rsidR="009E42CE" w:rsidRPr="00727DC2">
        <w:t>‘</w:t>
      </w:r>
      <w:r w:rsidR="00B42600" w:rsidRPr="00727DC2">
        <w:t>prescribed financial markets</w:t>
      </w:r>
      <w:r w:rsidR="009E42CE" w:rsidRPr="00727DC2">
        <w:t>’</w:t>
      </w:r>
      <w:r w:rsidR="00B42600" w:rsidRPr="00727DC2">
        <w:t xml:space="preserve"> in Regul</w:t>
      </w:r>
      <w:r w:rsidR="008A501C" w:rsidRPr="00727DC2">
        <w:t xml:space="preserve">ation 7.1.01, and by adding </w:t>
      </w:r>
      <w:proofErr w:type="spellStart"/>
      <w:r w:rsidR="008A501C" w:rsidRPr="00727DC2">
        <w:t>Chi</w:t>
      </w:r>
      <w:r w:rsidR="008A501C" w:rsidRPr="00727DC2">
        <w:noBreakHyphen/>
      </w:r>
      <w:r w:rsidR="00B42600" w:rsidRPr="00727DC2">
        <w:t>X</w:t>
      </w:r>
      <w:proofErr w:type="spellEnd"/>
      <w:r w:rsidR="00B42600" w:rsidRPr="00727DC2">
        <w:t xml:space="preserve"> Australia Pty Ltd</w:t>
      </w:r>
      <w:r w:rsidR="00574705" w:rsidRPr="00727DC2">
        <w:t xml:space="preserve"> (Chi</w:t>
      </w:r>
      <w:r w:rsidR="00574705">
        <w:t>-X)</w:t>
      </w:r>
      <w:r w:rsidR="00B42600">
        <w:t xml:space="preserve">, </w:t>
      </w:r>
      <w:r w:rsidR="00574705">
        <w:t>which is</w:t>
      </w:r>
      <w:r w:rsidR="00B42600">
        <w:t xml:space="preserve"> expected to begin operations as a financial market </w:t>
      </w:r>
      <w:r w:rsidR="004B6B42">
        <w:t xml:space="preserve">by the end of 2011. </w:t>
      </w:r>
      <w:r w:rsidR="00CE31C1">
        <w:t>Item 3 removes Regulation 7.1.01.</w:t>
      </w:r>
      <w:r w:rsidR="005D48D6">
        <w:t xml:space="preserve"> </w:t>
      </w:r>
    </w:p>
    <w:p w:rsidR="00BB15C6" w:rsidRDefault="00BB15C6" w:rsidP="001E2B36">
      <w:pPr>
        <w:ind w:right="91"/>
      </w:pPr>
    </w:p>
    <w:p w:rsidR="00147190" w:rsidRDefault="00147190">
      <w:pPr>
        <w:rPr>
          <w:b/>
        </w:rPr>
      </w:pPr>
      <w:r>
        <w:rPr>
          <w:b/>
        </w:rPr>
        <w:br w:type="page"/>
      </w:r>
    </w:p>
    <w:p w:rsidR="00BB15C6" w:rsidRDefault="00BB15C6" w:rsidP="001E2B36">
      <w:pPr>
        <w:ind w:right="91"/>
      </w:pPr>
      <w:r w:rsidRPr="001E2B36">
        <w:rPr>
          <w:b/>
        </w:rPr>
        <w:lastRenderedPageBreak/>
        <w:t>Item [</w:t>
      </w:r>
      <w:r>
        <w:rPr>
          <w:b/>
        </w:rPr>
        <w:t>2</w:t>
      </w:r>
      <w:r w:rsidRPr="001E2B36">
        <w:rPr>
          <w:b/>
        </w:rPr>
        <w:t xml:space="preserve">] – </w:t>
      </w:r>
      <w:r>
        <w:rPr>
          <w:b/>
        </w:rPr>
        <w:t xml:space="preserve">Regulation </w:t>
      </w:r>
      <w:r w:rsidR="00C00F86">
        <w:rPr>
          <w:b/>
        </w:rPr>
        <w:t>5C</w:t>
      </w:r>
      <w:r w:rsidR="0010038F">
        <w:rPr>
          <w:b/>
        </w:rPr>
        <w:t>.11.03</w:t>
      </w:r>
    </w:p>
    <w:p w:rsidR="0010038F" w:rsidRDefault="0010038F" w:rsidP="001E2B36">
      <w:pPr>
        <w:ind w:right="91"/>
      </w:pPr>
    </w:p>
    <w:p w:rsidR="0010038F" w:rsidRPr="0010038F" w:rsidRDefault="00C00F86" w:rsidP="001E2B36">
      <w:pPr>
        <w:ind w:right="91"/>
      </w:pPr>
      <w:r>
        <w:t xml:space="preserve">Regulation 5C.11.03A sets out a mechanism for valuing an interest in a registered scheme. </w:t>
      </w:r>
      <w:r w:rsidR="001E76AE">
        <w:t xml:space="preserve">The regulation is phrased in such a way that </w:t>
      </w:r>
      <w:r w:rsidR="000A1681">
        <w:t xml:space="preserve">it assumes that the price of a scheme is only quoted on a single market. This item </w:t>
      </w:r>
      <w:r w:rsidR="008A00CE">
        <w:t>update</w:t>
      </w:r>
      <w:r w:rsidR="003E28A3">
        <w:t>s</w:t>
      </w:r>
      <w:r w:rsidR="008A00CE">
        <w:t xml:space="preserve"> </w:t>
      </w:r>
      <w:r w:rsidR="000A1681">
        <w:t xml:space="preserve">the regulation to refer to a listed price rather than quoted price. </w:t>
      </w:r>
      <w:r w:rsidR="00E74309">
        <w:t xml:space="preserve">Because there will be multiple financial markets operating in Australia quoting prices on the same item, it is no longer appropriate to refer to the ‘quoted price’ of a scheme, as this may vary between markets. </w:t>
      </w:r>
    </w:p>
    <w:p w:rsidR="001E2B36" w:rsidRDefault="001E2B36">
      <w:pPr>
        <w:ind w:right="91"/>
      </w:pPr>
    </w:p>
    <w:p w:rsidR="00307338" w:rsidRDefault="00307338">
      <w:pPr>
        <w:ind w:right="91"/>
      </w:pPr>
      <w:r w:rsidRPr="001E2B36">
        <w:rPr>
          <w:b/>
        </w:rPr>
        <w:t>Item [</w:t>
      </w:r>
      <w:r w:rsidR="00E454D3">
        <w:rPr>
          <w:b/>
        </w:rPr>
        <w:t>3</w:t>
      </w:r>
      <w:r w:rsidRPr="001E2B36">
        <w:rPr>
          <w:b/>
        </w:rPr>
        <w:t xml:space="preserve">] – </w:t>
      </w:r>
      <w:r>
        <w:rPr>
          <w:b/>
        </w:rPr>
        <w:t>Regulation 7.1.01</w:t>
      </w:r>
    </w:p>
    <w:p w:rsidR="00307338" w:rsidRDefault="00307338">
      <w:pPr>
        <w:ind w:right="91"/>
      </w:pPr>
    </w:p>
    <w:p w:rsidR="00307338" w:rsidRDefault="00DC12CB">
      <w:pPr>
        <w:ind w:right="91"/>
      </w:pPr>
      <w:r>
        <w:t>Regulation 7.1.01 contains</w:t>
      </w:r>
      <w:r w:rsidR="00307338">
        <w:t xml:space="preserve"> a list of markets that </w:t>
      </w:r>
      <w:r w:rsidR="001B1ED6">
        <w:t xml:space="preserve">are </w:t>
      </w:r>
      <w:r w:rsidR="00307338">
        <w:t>‘prescribed financial markets’ for the purposes of the Act. This list duplicate</w:t>
      </w:r>
      <w:r w:rsidR="00574705">
        <w:t>s</w:t>
      </w:r>
      <w:r w:rsidR="00307338">
        <w:t xml:space="preserve"> the function of the list in Regulation 1.0.02A</w:t>
      </w:r>
      <w:r>
        <w:t xml:space="preserve">. Item 3 </w:t>
      </w:r>
      <w:r w:rsidR="00093043">
        <w:t>remove</w:t>
      </w:r>
      <w:r w:rsidR="00867741">
        <w:t>s</w:t>
      </w:r>
      <w:r w:rsidR="00093043">
        <w:t xml:space="preserve"> </w:t>
      </w:r>
      <w:r>
        <w:t xml:space="preserve">this </w:t>
      </w:r>
      <w:r w:rsidR="001B1ED6">
        <w:t xml:space="preserve">duplicated </w:t>
      </w:r>
      <w:r w:rsidR="00093043">
        <w:t>r</w:t>
      </w:r>
      <w:r>
        <w:t>egulation.</w:t>
      </w:r>
      <w:r w:rsidR="00307338">
        <w:t xml:space="preserve"> </w:t>
      </w:r>
    </w:p>
    <w:p w:rsidR="00163C9C" w:rsidRDefault="00163C9C">
      <w:pPr>
        <w:ind w:right="91"/>
      </w:pPr>
    </w:p>
    <w:p w:rsidR="00163C9C" w:rsidRDefault="00163C9C">
      <w:pPr>
        <w:ind w:right="91"/>
        <w:rPr>
          <w:b/>
        </w:rPr>
      </w:pPr>
      <w:r w:rsidRPr="001E2B36">
        <w:rPr>
          <w:b/>
        </w:rPr>
        <w:t>Item</w:t>
      </w:r>
      <w:r w:rsidR="000911BE">
        <w:rPr>
          <w:b/>
        </w:rPr>
        <w:t>s</w:t>
      </w:r>
      <w:r w:rsidRPr="001E2B36">
        <w:rPr>
          <w:b/>
        </w:rPr>
        <w:t xml:space="preserve"> [</w:t>
      </w:r>
      <w:r>
        <w:rPr>
          <w:b/>
        </w:rPr>
        <w:t>4</w:t>
      </w:r>
      <w:r w:rsidR="000911BE">
        <w:rPr>
          <w:b/>
        </w:rPr>
        <w:t>, 5, 6, and 7</w:t>
      </w:r>
      <w:r w:rsidRPr="001E2B36">
        <w:rPr>
          <w:b/>
        </w:rPr>
        <w:t xml:space="preserve">] –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7.5.01(1)</w:t>
      </w:r>
    </w:p>
    <w:p w:rsidR="00672B79" w:rsidRDefault="00672B79">
      <w:pPr>
        <w:ind w:right="91"/>
        <w:rPr>
          <w:b/>
        </w:rPr>
      </w:pPr>
    </w:p>
    <w:p w:rsidR="00362B04" w:rsidRDefault="0047743B">
      <w:pPr>
        <w:ind w:right="91"/>
      </w:pPr>
      <w:proofErr w:type="spellStart"/>
      <w:r>
        <w:t>Subregulation</w:t>
      </w:r>
      <w:proofErr w:type="spellEnd"/>
      <w:r>
        <w:t xml:space="preserve"> 7.5.01(1) provides a definition for a ‘reportable transaction’</w:t>
      </w:r>
      <w:r w:rsidR="004733E8">
        <w:t xml:space="preserve"> as a transaction which, amongst other things, is required to be reported </w:t>
      </w:r>
      <w:r w:rsidR="001E18C2">
        <w:t>to the market operator</w:t>
      </w:r>
      <w:r w:rsidR="004C0F7E">
        <w:t xml:space="preserve"> </w:t>
      </w:r>
      <w:r w:rsidR="00574705">
        <w:t>under</w:t>
      </w:r>
      <w:r w:rsidR="004C0F7E">
        <w:t xml:space="preserve"> the operating rules of the market</w:t>
      </w:r>
      <w:r w:rsidR="001E18C2">
        <w:t xml:space="preserve">. </w:t>
      </w:r>
      <w:r w:rsidR="00574705">
        <w:t>With the introduction of competing market operators (such as Chi-X), t</w:t>
      </w:r>
      <w:r w:rsidR="004C0F7E">
        <w:t xml:space="preserve">he Australian Securities Exchange (ASX) operating rules are to be amended to permit these transactions to be reported to </w:t>
      </w:r>
      <w:r w:rsidR="002129E9">
        <w:t xml:space="preserve">other </w:t>
      </w:r>
      <w:r w:rsidR="004C0F7E">
        <w:t>market operators, meaning that technically the transactions are no longer ‘required’ to be reported. These items</w:t>
      </w:r>
      <w:r w:rsidR="0070460C">
        <w:t xml:space="preserve"> therefore amend</w:t>
      </w:r>
      <w:r w:rsidR="004C0F7E">
        <w:t xml:space="preserve"> the </w:t>
      </w:r>
      <w:proofErr w:type="spellStart"/>
      <w:r w:rsidR="004C0F7E">
        <w:t>subregulation</w:t>
      </w:r>
      <w:proofErr w:type="spellEnd"/>
      <w:r w:rsidR="004C0F7E">
        <w:t xml:space="preserve"> to refer </w:t>
      </w:r>
      <w:r w:rsidR="0070460C">
        <w:t xml:space="preserve">to transactions that are ‘required or permitted’ to be reported to </w:t>
      </w:r>
      <w:r w:rsidR="00A54CB5">
        <w:t>the market operator</w:t>
      </w:r>
      <w:r w:rsidR="004D5985">
        <w:t xml:space="preserve">, in order to preserve the </w:t>
      </w:r>
      <w:r w:rsidR="005C3E6A">
        <w:t xml:space="preserve">intention </w:t>
      </w:r>
      <w:r w:rsidR="00A34F36">
        <w:t xml:space="preserve">of the </w:t>
      </w:r>
      <w:r w:rsidR="004D5985">
        <w:t xml:space="preserve">definition. </w:t>
      </w:r>
    </w:p>
    <w:p w:rsidR="004B7EED" w:rsidRDefault="004B7EED">
      <w:pPr>
        <w:ind w:right="91"/>
      </w:pPr>
    </w:p>
    <w:p w:rsidR="004B7EED" w:rsidRDefault="004B7EED">
      <w:pPr>
        <w:ind w:right="91"/>
      </w:pPr>
      <w:r w:rsidRPr="001E2B36">
        <w:rPr>
          <w:b/>
        </w:rPr>
        <w:t>Item</w:t>
      </w:r>
      <w:r>
        <w:rPr>
          <w:b/>
        </w:rPr>
        <w:t>s</w:t>
      </w:r>
      <w:r w:rsidRPr="001E2B36">
        <w:rPr>
          <w:b/>
        </w:rPr>
        <w:t xml:space="preserve"> [</w:t>
      </w:r>
      <w:r>
        <w:rPr>
          <w:b/>
        </w:rPr>
        <w:t>8 and 9</w:t>
      </w:r>
      <w:r w:rsidRPr="001E2B36">
        <w:rPr>
          <w:b/>
        </w:rPr>
        <w:t xml:space="preserve">] – </w:t>
      </w:r>
      <w:proofErr w:type="spellStart"/>
      <w:r w:rsidR="00EC518F">
        <w:rPr>
          <w:b/>
        </w:rPr>
        <w:t>S</w:t>
      </w:r>
      <w:r>
        <w:rPr>
          <w:b/>
        </w:rPr>
        <w:t>ubregulation</w:t>
      </w:r>
      <w:r w:rsidR="004107BC">
        <w:rPr>
          <w:b/>
        </w:rPr>
        <w:t>s</w:t>
      </w:r>
      <w:proofErr w:type="spellEnd"/>
      <w:r>
        <w:rPr>
          <w:b/>
        </w:rPr>
        <w:t xml:space="preserve"> 7.9.100 (7)</w:t>
      </w:r>
      <w:r w:rsidR="004107BC">
        <w:rPr>
          <w:b/>
        </w:rPr>
        <w:t xml:space="preserve"> and 7.9.101(3)</w:t>
      </w:r>
    </w:p>
    <w:p w:rsidR="004107BC" w:rsidRDefault="004107BC">
      <w:pPr>
        <w:ind w:right="91"/>
      </w:pPr>
    </w:p>
    <w:p w:rsidR="004107BC" w:rsidRPr="006C725B" w:rsidRDefault="004E3DC3">
      <w:pPr>
        <w:ind w:right="91"/>
      </w:pPr>
      <w:proofErr w:type="spellStart"/>
      <w:r>
        <w:t>Subregulations</w:t>
      </w:r>
      <w:proofErr w:type="spellEnd"/>
      <w:r>
        <w:t xml:space="preserve"> 7.9.100(7) and 7.9.101(3) </w:t>
      </w:r>
      <w:r w:rsidR="00DB7E0C">
        <w:t xml:space="preserve">designate entities to which </w:t>
      </w:r>
      <w:r w:rsidR="002011E8">
        <w:t xml:space="preserve">short selling transactions </w:t>
      </w:r>
      <w:r w:rsidR="00DB7E0C">
        <w:t>may be reported in order for traders to fulfil their reporting obligations under s</w:t>
      </w:r>
      <w:r w:rsidR="00960136">
        <w:t>ections</w:t>
      </w:r>
      <w:r w:rsidR="00DB7E0C">
        <w:t xml:space="preserve"> 1020AB and 1020AC of the Act</w:t>
      </w:r>
      <w:r w:rsidR="00DF5BE1">
        <w:t xml:space="preserve">. </w:t>
      </w:r>
      <w:r w:rsidR="00AC110F">
        <w:t xml:space="preserve">These items </w:t>
      </w:r>
      <w:r w:rsidR="00CF153F">
        <w:t xml:space="preserve">allow </w:t>
      </w:r>
      <w:r w:rsidR="00007096">
        <w:t>market operators to appoint other market operators as their agents for the purposes o</w:t>
      </w:r>
      <w:r w:rsidR="00DA1AC9">
        <w:t xml:space="preserve">f collecting reports of short selling transactions. </w:t>
      </w:r>
      <w:r w:rsidR="0051455E">
        <w:t xml:space="preserve"> Arguably, this can already be done </w:t>
      </w:r>
      <w:r w:rsidR="00352ECA">
        <w:t xml:space="preserve">under </w:t>
      </w:r>
      <w:r w:rsidR="0051455E">
        <w:t xml:space="preserve">the current regulations, but these </w:t>
      </w:r>
      <w:r w:rsidR="005F14A8">
        <w:t xml:space="preserve">items confirm this position. </w:t>
      </w:r>
    </w:p>
    <w:p w:rsidR="000911BE" w:rsidRDefault="000911BE">
      <w:pPr>
        <w:ind w:right="91"/>
      </w:pPr>
    </w:p>
    <w:p w:rsidR="00BA07BC" w:rsidRDefault="00BA07BC" w:rsidP="00BA07BC">
      <w:pPr>
        <w:ind w:right="91"/>
        <w:rPr>
          <w:b/>
        </w:rPr>
      </w:pPr>
      <w:r>
        <w:rPr>
          <w:b/>
        </w:rPr>
        <w:t>Items [10, 11, and 12] – Part 10.14</w:t>
      </w:r>
    </w:p>
    <w:p w:rsidR="00BA07BC" w:rsidRDefault="00BA07BC" w:rsidP="00BA07BC">
      <w:pPr>
        <w:ind w:right="91"/>
        <w:rPr>
          <w:b/>
        </w:rPr>
      </w:pPr>
    </w:p>
    <w:p w:rsidR="00BA07BC" w:rsidRPr="009C4FAC" w:rsidRDefault="00BA07BC" w:rsidP="00BA07BC">
      <w:pPr>
        <w:ind w:right="91"/>
      </w:pPr>
      <w:r>
        <w:t xml:space="preserve">Part 10.14 provides regulations concerning transitional provision relating to the </w:t>
      </w:r>
      <w:r>
        <w:rPr>
          <w:i/>
        </w:rPr>
        <w:t>Corporations Amendment (Financial Market Supervision) Act 2010</w:t>
      </w:r>
      <w:r>
        <w:t>. These regulations are incorrectly numbered; the corresponding Part of the Act is Part 10.15. These items renumber the regulations to correspond to the correct section</w:t>
      </w:r>
      <w:r w:rsidR="00F2520B">
        <w:t>s</w:t>
      </w:r>
      <w:r>
        <w:t xml:space="preserve"> of the Act. </w:t>
      </w:r>
    </w:p>
    <w:p w:rsidR="00BA07BC" w:rsidRDefault="00BA07BC">
      <w:pPr>
        <w:ind w:right="91"/>
      </w:pPr>
    </w:p>
    <w:p w:rsidR="00A16B23" w:rsidRDefault="00A16B23" w:rsidP="00A16B23">
      <w:pPr>
        <w:ind w:right="91"/>
      </w:pPr>
      <w:r w:rsidRPr="00F41575">
        <w:rPr>
          <w:u w:val="single"/>
        </w:rPr>
        <w:t xml:space="preserve">Schedule </w:t>
      </w:r>
      <w:r>
        <w:rPr>
          <w:u w:val="single"/>
        </w:rPr>
        <w:t xml:space="preserve">2 </w:t>
      </w:r>
      <w:r w:rsidRPr="00F41575">
        <w:rPr>
          <w:u w:val="single"/>
        </w:rPr>
        <w:t>– Amendments</w:t>
      </w:r>
      <w:r>
        <w:rPr>
          <w:u w:val="single"/>
        </w:rPr>
        <w:t xml:space="preserve"> of </w:t>
      </w:r>
      <w:r>
        <w:rPr>
          <w:i/>
          <w:u w:val="single"/>
        </w:rPr>
        <w:t>Australian Securities and Investments Commission Regulations 2001</w:t>
      </w:r>
    </w:p>
    <w:p w:rsidR="00DD14CD" w:rsidRDefault="00DD14CD" w:rsidP="00A16B23">
      <w:pPr>
        <w:ind w:right="91"/>
      </w:pPr>
    </w:p>
    <w:p w:rsidR="00DD14CD" w:rsidRDefault="00DD14CD" w:rsidP="00A16B23">
      <w:pPr>
        <w:ind w:right="91"/>
      </w:pPr>
      <w:r w:rsidRPr="001E2B36">
        <w:rPr>
          <w:b/>
        </w:rPr>
        <w:t>Item [</w:t>
      </w:r>
      <w:r>
        <w:rPr>
          <w:b/>
        </w:rPr>
        <w:t>1</w:t>
      </w:r>
      <w:r w:rsidRPr="001E2B36">
        <w:rPr>
          <w:b/>
        </w:rPr>
        <w:t xml:space="preserve">] – </w:t>
      </w:r>
      <w:r>
        <w:rPr>
          <w:b/>
        </w:rPr>
        <w:t>Schedule 3, Part 1</w:t>
      </w:r>
    </w:p>
    <w:p w:rsidR="00DD14CD" w:rsidRDefault="00DD14CD" w:rsidP="00A16B23">
      <w:pPr>
        <w:ind w:right="91"/>
      </w:pPr>
    </w:p>
    <w:p w:rsidR="002F79A5" w:rsidRDefault="00960136" w:rsidP="00A16B23">
      <w:pPr>
        <w:ind w:right="91"/>
      </w:pPr>
      <w:r>
        <w:t xml:space="preserve">Part 1 of </w:t>
      </w:r>
      <w:r w:rsidR="002F79A5">
        <w:t xml:space="preserve">Schedule 3 </w:t>
      </w:r>
      <w:r>
        <w:t xml:space="preserve">of the </w:t>
      </w:r>
      <w:r>
        <w:rPr>
          <w:i/>
          <w:u w:val="single"/>
        </w:rPr>
        <w:t>Australian Securities and Investments Commission Regulations 2001</w:t>
      </w:r>
      <w:r w:rsidR="002F79A5">
        <w:t xml:space="preserve"> provides a list of entities </w:t>
      </w:r>
      <w:r w:rsidR="008553EC">
        <w:t xml:space="preserve">to which ASIC may disclose information </w:t>
      </w:r>
      <w:r w:rsidR="008553EC">
        <w:lastRenderedPageBreak/>
        <w:t xml:space="preserve">for the purposes of sharing information to assist in the supervision of financial markets. </w:t>
      </w:r>
      <w:r w:rsidR="00720E91">
        <w:t xml:space="preserve">This item </w:t>
      </w:r>
      <w:r w:rsidR="00BA63CF">
        <w:t>update</w:t>
      </w:r>
      <w:r w:rsidR="00C9236E">
        <w:t>s</w:t>
      </w:r>
      <w:r w:rsidR="00BA63CF">
        <w:t xml:space="preserve"> </w:t>
      </w:r>
      <w:r w:rsidR="00FC75E4">
        <w:t xml:space="preserve">the list of entities </w:t>
      </w:r>
      <w:r>
        <w:t xml:space="preserve">to reflect </w:t>
      </w:r>
      <w:r w:rsidR="00B223C2">
        <w:t xml:space="preserve">recent name </w:t>
      </w:r>
      <w:r w:rsidR="005C5B58">
        <w:t>changes, as well as adding Chi-X to the list to reflect ASIC</w:t>
      </w:r>
      <w:r>
        <w:t>’s</w:t>
      </w:r>
      <w:r w:rsidR="005C5B58">
        <w:t xml:space="preserve"> responsibilities upon Chi-X commencing </w:t>
      </w:r>
      <w:r w:rsidR="00045B23">
        <w:t xml:space="preserve">trading </w:t>
      </w:r>
      <w:r w:rsidR="005C5B58">
        <w:t xml:space="preserve">operations in Australia. </w:t>
      </w:r>
    </w:p>
    <w:p w:rsidR="00045B23" w:rsidRDefault="00045B23" w:rsidP="00A16B23">
      <w:pPr>
        <w:ind w:right="91"/>
      </w:pPr>
    </w:p>
    <w:p w:rsidR="00BA0F59" w:rsidRDefault="00BA0F59" w:rsidP="00BA0F59">
      <w:pPr>
        <w:ind w:right="91"/>
      </w:pPr>
      <w:r w:rsidRPr="00F41575">
        <w:rPr>
          <w:u w:val="single"/>
        </w:rPr>
        <w:t xml:space="preserve">Schedule </w:t>
      </w:r>
      <w:r>
        <w:rPr>
          <w:u w:val="single"/>
        </w:rPr>
        <w:t xml:space="preserve">3 </w:t>
      </w:r>
      <w:r w:rsidRPr="00F41575">
        <w:rPr>
          <w:u w:val="single"/>
        </w:rPr>
        <w:t>– Amendments</w:t>
      </w:r>
      <w:r>
        <w:rPr>
          <w:u w:val="single"/>
        </w:rPr>
        <w:t xml:space="preserve"> of </w:t>
      </w:r>
      <w:r w:rsidR="00D517CD">
        <w:rPr>
          <w:i/>
          <w:u w:val="single"/>
        </w:rPr>
        <w:t>Life Insurance Regulations 1995</w:t>
      </w:r>
    </w:p>
    <w:p w:rsidR="00147190" w:rsidRDefault="00147190">
      <w:pPr>
        <w:rPr>
          <w:b/>
        </w:rPr>
      </w:pPr>
    </w:p>
    <w:p w:rsidR="00991039" w:rsidRDefault="00A36EF3" w:rsidP="00BA0F59">
      <w:pPr>
        <w:ind w:right="91"/>
      </w:pPr>
      <w:r w:rsidRPr="001E2B36">
        <w:rPr>
          <w:b/>
        </w:rPr>
        <w:t>Item [</w:t>
      </w:r>
      <w:r>
        <w:rPr>
          <w:b/>
        </w:rPr>
        <w:t>1</w:t>
      </w:r>
      <w:r w:rsidRPr="001E2B36">
        <w:rPr>
          <w:b/>
        </w:rPr>
        <w:t xml:space="preserve">] – </w:t>
      </w:r>
      <w:r>
        <w:rPr>
          <w:b/>
        </w:rPr>
        <w:t>Schedule 7, items 1 to 6</w:t>
      </w:r>
    </w:p>
    <w:p w:rsidR="00870877" w:rsidRDefault="00870877" w:rsidP="00BA0F59">
      <w:pPr>
        <w:ind w:right="91"/>
      </w:pPr>
    </w:p>
    <w:p w:rsidR="00870877" w:rsidRPr="00A1581E" w:rsidRDefault="002C57A5" w:rsidP="00BA0F59">
      <w:pPr>
        <w:ind w:right="91"/>
      </w:pPr>
      <w:r>
        <w:t xml:space="preserve">Schedule 7 </w:t>
      </w:r>
      <w:r w:rsidR="00D97757">
        <w:t xml:space="preserve">of the </w:t>
      </w:r>
      <w:r w:rsidR="00D97757">
        <w:rPr>
          <w:i/>
          <w:u w:val="single"/>
        </w:rPr>
        <w:t>Life Insurance Regulations 1995</w:t>
      </w:r>
      <w:r w:rsidR="00D97757" w:rsidRPr="008E072D">
        <w:rPr>
          <w:i/>
        </w:rPr>
        <w:t xml:space="preserve"> </w:t>
      </w:r>
      <w:r>
        <w:t xml:space="preserve">provides a list of entities </w:t>
      </w:r>
      <w:r w:rsidR="00A1581E">
        <w:t xml:space="preserve">that are approved bodies for the purposes of the </w:t>
      </w:r>
      <w:r w:rsidR="00A1581E">
        <w:rPr>
          <w:i/>
        </w:rPr>
        <w:t>Life Insurance Regulations 1995</w:t>
      </w:r>
      <w:r w:rsidR="00A1581E">
        <w:t xml:space="preserve">. </w:t>
      </w:r>
      <w:r w:rsidR="001122EE">
        <w:t xml:space="preserve">This item </w:t>
      </w:r>
      <w:r w:rsidR="00D14B22">
        <w:t>update</w:t>
      </w:r>
      <w:r w:rsidR="004E68EC">
        <w:t>s</w:t>
      </w:r>
      <w:r w:rsidR="00D14B22">
        <w:t xml:space="preserve"> </w:t>
      </w:r>
      <w:r w:rsidR="001122EE">
        <w:t xml:space="preserve">the </w:t>
      </w:r>
      <w:r w:rsidR="00B223C2">
        <w:t>list of entities to reflect recent name changes</w:t>
      </w:r>
      <w:r w:rsidR="001122EE">
        <w:t>.</w:t>
      </w:r>
    </w:p>
    <w:p w:rsidR="000911BE" w:rsidRDefault="000911BE">
      <w:pPr>
        <w:ind w:right="91"/>
        <w:rPr>
          <w:color w:val="FF0000"/>
        </w:rPr>
      </w:pPr>
    </w:p>
    <w:p w:rsidR="00BB5A10" w:rsidRDefault="00BB5A10" w:rsidP="00BB5A10">
      <w:pPr>
        <w:ind w:right="91"/>
      </w:pPr>
      <w:r w:rsidRPr="00F41575">
        <w:rPr>
          <w:u w:val="single"/>
        </w:rPr>
        <w:t xml:space="preserve">Schedule </w:t>
      </w:r>
      <w:r>
        <w:rPr>
          <w:u w:val="single"/>
        </w:rPr>
        <w:t xml:space="preserve">4 </w:t>
      </w:r>
      <w:r w:rsidRPr="00F41575">
        <w:rPr>
          <w:u w:val="single"/>
        </w:rPr>
        <w:t>– Amendments</w:t>
      </w:r>
      <w:r>
        <w:rPr>
          <w:u w:val="single"/>
        </w:rPr>
        <w:t xml:space="preserve"> of </w:t>
      </w:r>
      <w:r>
        <w:rPr>
          <w:i/>
          <w:u w:val="single"/>
        </w:rPr>
        <w:t>Superannuation Industry (Supervision) Regulations 1994</w:t>
      </w:r>
    </w:p>
    <w:p w:rsidR="00BB5A10" w:rsidRDefault="00BB5A10" w:rsidP="00BB5A10">
      <w:pPr>
        <w:ind w:right="91"/>
      </w:pPr>
    </w:p>
    <w:p w:rsidR="006F777B" w:rsidRDefault="006F777B" w:rsidP="00BB5A10">
      <w:pPr>
        <w:ind w:right="91"/>
      </w:pPr>
      <w:r w:rsidRPr="001E2B36">
        <w:rPr>
          <w:b/>
        </w:rPr>
        <w:t>Item [</w:t>
      </w:r>
      <w:r>
        <w:rPr>
          <w:b/>
        </w:rPr>
        <w:t>1</w:t>
      </w:r>
      <w:r w:rsidRPr="001E2B36">
        <w:rPr>
          <w:b/>
        </w:rPr>
        <w:t xml:space="preserve">] – </w:t>
      </w:r>
      <w:r>
        <w:rPr>
          <w:b/>
        </w:rPr>
        <w:t xml:space="preserve">Schedule </w:t>
      </w:r>
      <w:r w:rsidR="00D36579">
        <w:rPr>
          <w:b/>
        </w:rPr>
        <w:t>4, items 1 to 6</w:t>
      </w:r>
    </w:p>
    <w:p w:rsidR="00D36579" w:rsidRDefault="00D36579" w:rsidP="00BB5A10">
      <w:pPr>
        <w:ind w:right="91"/>
      </w:pPr>
    </w:p>
    <w:p w:rsidR="00646C53" w:rsidRPr="00A1581E" w:rsidRDefault="00646C53" w:rsidP="00646C53">
      <w:pPr>
        <w:ind w:right="91"/>
      </w:pPr>
      <w:r>
        <w:t>Schedule 4</w:t>
      </w:r>
      <w:r w:rsidR="00D97757">
        <w:t xml:space="preserve"> of the </w:t>
      </w:r>
      <w:r w:rsidR="00D97757">
        <w:rPr>
          <w:i/>
          <w:u w:val="single"/>
        </w:rPr>
        <w:t>Superannuation Industry (Supervision) Regulations 1994</w:t>
      </w:r>
      <w:r>
        <w:t xml:space="preserve"> provides a list of entities that are approved bodies for the purposes of the </w:t>
      </w:r>
      <w:r>
        <w:rPr>
          <w:i/>
        </w:rPr>
        <w:t>Superannuation Industry (Supervision) Regulations 1994</w:t>
      </w:r>
      <w:r>
        <w:t xml:space="preserve">. This item </w:t>
      </w:r>
      <w:r w:rsidR="006221FD">
        <w:t>update</w:t>
      </w:r>
      <w:r w:rsidR="004E68EC">
        <w:t>s</w:t>
      </w:r>
      <w:r>
        <w:t xml:space="preserve"> the </w:t>
      </w:r>
      <w:r w:rsidR="00D97757">
        <w:t>list of entities to reflect recent name changes</w:t>
      </w:r>
      <w:r>
        <w:t>.</w:t>
      </w:r>
    </w:p>
    <w:p w:rsidR="00D36579" w:rsidRPr="00D36579" w:rsidRDefault="00D36579" w:rsidP="00BB5A10">
      <w:pPr>
        <w:ind w:right="91"/>
      </w:pPr>
    </w:p>
    <w:p w:rsidR="00BB5A10" w:rsidRDefault="00BB5A10">
      <w:pPr>
        <w:ind w:right="91"/>
        <w:rPr>
          <w:color w:val="FF0000"/>
        </w:rPr>
      </w:pPr>
    </w:p>
    <w:p w:rsidR="00B20074" w:rsidRPr="003E4746" w:rsidRDefault="00B20074">
      <w:pPr>
        <w:rPr>
          <w:color w:val="FF0000"/>
        </w:rPr>
      </w:pPr>
    </w:p>
    <w:sectPr w:rsidR="00B20074" w:rsidRPr="003E4746" w:rsidSect="00FB17DF">
      <w:pgSz w:w="11906" w:h="16838" w:code="9"/>
      <w:pgMar w:top="1134" w:right="1797" w:bottom="1134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CA" w:rsidRDefault="004076CA" w:rsidP="004076CA">
      <w:r>
        <w:separator/>
      </w:r>
    </w:p>
  </w:endnote>
  <w:endnote w:type="continuationSeparator" w:id="0">
    <w:p w:rsidR="004076CA" w:rsidRDefault="004076CA" w:rsidP="0040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CA" w:rsidRDefault="004076CA" w:rsidP="004076CA">
      <w:r>
        <w:separator/>
      </w:r>
    </w:p>
  </w:footnote>
  <w:footnote w:type="continuationSeparator" w:id="0">
    <w:p w:rsidR="004076CA" w:rsidRDefault="004076CA" w:rsidP="00407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>
    <w:nsid w:val="44C32EC9"/>
    <w:multiLevelType w:val="multilevel"/>
    <w:tmpl w:val="476448D0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noColumnBalance/>
    <w:suppressBottomSpacing/>
    <w:suppressTopSpacing/>
    <w:suppressSpBfAfterPgBrk/>
    <w:noSpaceRaiseLower/>
    <w:doNotUseHTMLParagraphAutoSpacing/>
    <w:growAutofit/>
  </w:compat>
  <w:rsids>
    <w:rsidRoot w:val="00A41BF4"/>
    <w:rsid w:val="00001DB6"/>
    <w:rsid w:val="00003761"/>
    <w:rsid w:val="00007096"/>
    <w:rsid w:val="00045B23"/>
    <w:rsid w:val="00065A86"/>
    <w:rsid w:val="00077C80"/>
    <w:rsid w:val="000911BE"/>
    <w:rsid w:val="00093043"/>
    <w:rsid w:val="000A0645"/>
    <w:rsid w:val="000A1681"/>
    <w:rsid w:val="000D7070"/>
    <w:rsid w:val="000E7CB7"/>
    <w:rsid w:val="0010038F"/>
    <w:rsid w:val="001122EE"/>
    <w:rsid w:val="00123274"/>
    <w:rsid w:val="00131D0C"/>
    <w:rsid w:val="00140F32"/>
    <w:rsid w:val="00147190"/>
    <w:rsid w:val="00163C9C"/>
    <w:rsid w:val="001716BE"/>
    <w:rsid w:val="001B130E"/>
    <w:rsid w:val="001B1ED6"/>
    <w:rsid w:val="001B48C5"/>
    <w:rsid w:val="001D79E5"/>
    <w:rsid w:val="001E18C2"/>
    <w:rsid w:val="001E2B36"/>
    <w:rsid w:val="001E76AE"/>
    <w:rsid w:val="002011E8"/>
    <w:rsid w:val="002129E9"/>
    <w:rsid w:val="0022309B"/>
    <w:rsid w:val="00226CC2"/>
    <w:rsid w:val="0025659D"/>
    <w:rsid w:val="00287D2B"/>
    <w:rsid w:val="002929EB"/>
    <w:rsid w:val="002B2D74"/>
    <w:rsid w:val="002C57A5"/>
    <w:rsid w:val="002C6B77"/>
    <w:rsid w:val="002F79A5"/>
    <w:rsid w:val="00307338"/>
    <w:rsid w:val="0031025C"/>
    <w:rsid w:val="0031566E"/>
    <w:rsid w:val="003225A3"/>
    <w:rsid w:val="00327BA3"/>
    <w:rsid w:val="003447E1"/>
    <w:rsid w:val="00351117"/>
    <w:rsid w:val="00352ECA"/>
    <w:rsid w:val="00362B04"/>
    <w:rsid w:val="003955B6"/>
    <w:rsid w:val="003B4C97"/>
    <w:rsid w:val="003E28A3"/>
    <w:rsid w:val="003E4746"/>
    <w:rsid w:val="004076CA"/>
    <w:rsid w:val="004107BC"/>
    <w:rsid w:val="00412094"/>
    <w:rsid w:val="0042243E"/>
    <w:rsid w:val="0042332B"/>
    <w:rsid w:val="004419D3"/>
    <w:rsid w:val="004448D2"/>
    <w:rsid w:val="004600F8"/>
    <w:rsid w:val="004723E6"/>
    <w:rsid w:val="004733E8"/>
    <w:rsid w:val="00474E15"/>
    <w:rsid w:val="00476551"/>
    <w:rsid w:val="00477296"/>
    <w:rsid w:val="0047743B"/>
    <w:rsid w:val="004867D3"/>
    <w:rsid w:val="004B1393"/>
    <w:rsid w:val="004B66C5"/>
    <w:rsid w:val="004B6B42"/>
    <w:rsid w:val="004B7EED"/>
    <w:rsid w:val="004C0F7E"/>
    <w:rsid w:val="004C6827"/>
    <w:rsid w:val="004D5985"/>
    <w:rsid w:val="004E3DC3"/>
    <w:rsid w:val="004E5AD1"/>
    <w:rsid w:val="004E68EC"/>
    <w:rsid w:val="004E7F78"/>
    <w:rsid w:val="0050222B"/>
    <w:rsid w:val="005106C6"/>
    <w:rsid w:val="0051455E"/>
    <w:rsid w:val="00516129"/>
    <w:rsid w:val="0052141C"/>
    <w:rsid w:val="00523504"/>
    <w:rsid w:val="00554AB4"/>
    <w:rsid w:val="00573E09"/>
    <w:rsid w:val="00574705"/>
    <w:rsid w:val="0057517F"/>
    <w:rsid w:val="00595946"/>
    <w:rsid w:val="005A0294"/>
    <w:rsid w:val="005B0192"/>
    <w:rsid w:val="005C3E6A"/>
    <w:rsid w:val="005C40E2"/>
    <w:rsid w:val="005C5B58"/>
    <w:rsid w:val="005C7834"/>
    <w:rsid w:val="005D48D6"/>
    <w:rsid w:val="005E2946"/>
    <w:rsid w:val="005F14A8"/>
    <w:rsid w:val="005F1D45"/>
    <w:rsid w:val="006057DE"/>
    <w:rsid w:val="00610D36"/>
    <w:rsid w:val="00615726"/>
    <w:rsid w:val="006221FD"/>
    <w:rsid w:val="006225CD"/>
    <w:rsid w:val="00646C53"/>
    <w:rsid w:val="00653740"/>
    <w:rsid w:val="006642EF"/>
    <w:rsid w:val="00672AE4"/>
    <w:rsid w:val="00672B79"/>
    <w:rsid w:val="006C1E81"/>
    <w:rsid w:val="006C6AF3"/>
    <w:rsid w:val="006C725B"/>
    <w:rsid w:val="006E1BD3"/>
    <w:rsid w:val="006E5A75"/>
    <w:rsid w:val="006F305E"/>
    <w:rsid w:val="006F777B"/>
    <w:rsid w:val="0070460C"/>
    <w:rsid w:val="00706118"/>
    <w:rsid w:val="00720E91"/>
    <w:rsid w:val="0072784B"/>
    <w:rsid w:val="00727DC2"/>
    <w:rsid w:val="007501C6"/>
    <w:rsid w:val="00752857"/>
    <w:rsid w:val="007723ED"/>
    <w:rsid w:val="007952C4"/>
    <w:rsid w:val="007A3065"/>
    <w:rsid w:val="007A3C77"/>
    <w:rsid w:val="007A5C8F"/>
    <w:rsid w:val="007E21F5"/>
    <w:rsid w:val="007F798E"/>
    <w:rsid w:val="008120EB"/>
    <w:rsid w:val="00844918"/>
    <w:rsid w:val="008540CD"/>
    <w:rsid w:val="008553EC"/>
    <w:rsid w:val="00867741"/>
    <w:rsid w:val="00870877"/>
    <w:rsid w:val="008741C9"/>
    <w:rsid w:val="008773B4"/>
    <w:rsid w:val="00885487"/>
    <w:rsid w:val="008977BA"/>
    <w:rsid w:val="008A00CE"/>
    <w:rsid w:val="008A501C"/>
    <w:rsid w:val="008D7E21"/>
    <w:rsid w:val="008E072D"/>
    <w:rsid w:val="008E6888"/>
    <w:rsid w:val="008E7466"/>
    <w:rsid w:val="0090654E"/>
    <w:rsid w:val="00936303"/>
    <w:rsid w:val="00960136"/>
    <w:rsid w:val="00971658"/>
    <w:rsid w:val="00975902"/>
    <w:rsid w:val="00991039"/>
    <w:rsid w:val="009A0EB4"/>
    <w:rsid w:val="009A52DD"/>
    <w:rsid w:val="009B0287"/>
    <w:rsid w:val="009C2A98"/>
    <w:rsid w:val="009E42CE"/>
    <w:rsid w:val="00A10FA6"/>
    <w:rsid w:val="00A1581E"/>
    <w:rsid w:val="00A15D18"/>
    <w:rsid w:val="00A16B23"/>
    <w:rsid w:val="00A34F36"/>
    <w:rsid w:val="00A36EF3"/>
    <w:rsid w:val="00A41BF4"/>
    <w:rsid w:val="00A44236"/>
    <w:rsid w:val="00A54CB5"/>
    <w:rsid w:val="00A9313F"/>
    <w:rsid w:val="00AA11C8"/>
    <w:rsid w:val="00AA4C12"/>
    <w:rsid w:val="00AC110F"/>
    <w:rsid w:val="00AC1561"/>
    <w:rsid w:val="00AC296E"/>
    <w:rsid w:val="00B129EE"/>
    <w:rsid w:val="00B20074"/>
    <w:rsid w:val="00B223C2"/>
    <w:rsid w:val="00B312BF"/>
    <w:rsid w:val="00B40DDA"/>
    <w:rsid w:val="00B42600"/>
    <w:rsid w:val="00B5166C"/>
    <w:rsid w:val="00B711C0"/>
    <w:rsid w:val="00B72170"/>
    <w:rsid w:val="00B74892"/>
    <w:rsid w:val="00B77980"/>
    <w:rsid w:val="00B82D40"/>
    <w:rsid w:val="00B92209"/>
    <w:rsid w:val="00BA07BC"/>
    <w:rsid w:val="00BA0F59"/>
    <w:rsid w:val="00BA63CF"/>
    <w:rsid w:val="00BA74C9"/>
    <w:rsid w:val="00BB15C6"/>
    <w:rsid w:val="00BB5A10"/>
    <w:rsid w:val="00BB609A"/>
    <w:rsid w:val="00BC7259"/>
    <w:rsid w:val="00BD0A77"/>
    <w:rsid w:val="00BD57E9"/>
    <w:rsid w:val="00C00F86"/>
    <w:rsid w:val="00C22E2D"/>
    <w:rsid w:val="00C24312"/>
    <w:rsid w:val="00C53377"/>
    <w:rsid w:val="00C55D83"/>
    <w:rsid w:val="00C7318F"/>
    <w:rsid w:val="00C8545F"/>
    <w:rsid w:val="00C861E4"/>
    <w:rsid w:val="00C9236E"/>
    <w:rsid w:val="00CA446F"/>
    <w:rsid w:val="00CE31C1"/>
    <w:rsid w:val="00CE60B9"/>
    <w:rsid w:val="00CF153F"/>
    <w:rsid w:val="00CF2D66"/>
    <w:rsid w:val="00D13EB2"/>
    <w:rsid w:val="00D13FBC"/>
    <w:rsid w:val="00D14B22"/>
    <w:rsid w:val="00D15AE1"/>
    <w:rsid w:val="00D36579"/>
    <w:rsid w:val="00D42DA3"/>
    <w:rsid w:val="00D517CD"/>
    <w:rsid w:val="00D55DB5"/>
    <w:rsid w:val="00D672C6"/>
    <w:rsid w:val="00D8410C"/>
    <w:rsid w:val="00D90756"/>
    <w:rsid w:val="00D97757"/>
    <w:rsid w:val="00DA1AC9"/>
    <w:rsid w:val="00DA778E"/>
    <w:rsid w:val="00DB7E0C"/>
    <w:rsid w:val="00DC12CB"/>
    <w:rsid w:val="00DD14CD"/>
    <w:rsid w:val="00DE6BCC"/>
    <w:rsid w:val="00DE7BB3"/>
    <w:rsid w:val="00DF08ED"/>
    <w:rsid w:val="00DF5BE1"/>
    <w:rsid w:val="00E32AA4"/>
    <w:rsid w:val="00E454D3"/>
    <w:rsid w:val="00E457EC"/>
    <w:rsid w:val="00E45C74"/>
    <w:rsid w:val="00E45FBC"/>
    <w:rsid w:val="00E64291"/>
    <w:rsid w:val="00E74309"/>
    <w:rsid w:val="00EC518F"/>
    <w:rsid w:val="00F07C53"/>
    <w:rsid w:val="00F2520B"/>
    <w:rsid w:val="00F35FEA"/>
    <w:rsid w:val="00F41575"/>
    <w:rsid w:val="00F56C4D"/>
    <w:rsid w:val="00F925A9"/>
    <w:rsid w:val="00FA29B0"/>
    <w:rsid w:val="00FA347A"/>
    <w:rsid w:val="00FA3D83"/>
    <w:rsid w:val="00FB17DF"/>
    <w:rsid w:val="00FB4DD0"/>
    <w:rsid w:val="00FC75E4"/>
    <w:rsid w:val="00FD021E"/>
    <w:rsid w:val="00FD4DE5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DF"/>
    <w:rPr>
      <w:sz w:val="24"/>
    </w:rPr>
  </w:style>
  <w:style w:type="paragraph" w:styleId="Heading1">
    <w:name w:val="heading 1"/>
    <w:basedOn w:val="Normal"/>
    <w:next w:val="Normal"/>
    <w:qFormat/>
    <w:rsid w:val="00FB17DF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B17DF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B17DF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17DF"/>
    <w:pPr>
      <w:keepNext/>
      <w:outlineLvl w:val="3"/>
    </w:pPr>
    <w:rPr>
      <w:i/>
      <w:sz w:val="20"/>
    </w:rPr>
  </w:style>
  <w:style w:type="paragraph" w:styleId="Heading6">
    <w:name w:val="heading 6"/>
    <w:basedOn w:val="Normal"/>
    <w:next w:val="Normal"/>
    <w:qFormat/>
    <w:rsid w:val="00FB17DF"/>
    <w:pPr>
      <w:keepNext/>
      <w:spacing w:before="24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FB17DF"/>
  </w:style>
  <w:style w:type="paragraph" w:customStyle="1" w:styleId="ChartMainHeading">
    <w:name w:val="Chart Main Heading"/>
    <w:basedOn w:val="SingleParagraph"/>
    <w:next w:val="Normal"/>
    <w:rsid w:val="00FB17DF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FB17DF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FB17DF"/>
    <w:pPr>
      <w:spacing w:before="24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customStyle="1" w:styleId="Appendix">
    <w:name w:val="Appendix"/>
    <w:basedOn w:val="Normal"/>
    <w:link w:val="AppendixCharChar"/>
    <w:rsid w:val="00FB17DF"/>
    <w:pPr>
      <w:jc w:val="right"/>
    </w:pPr>
    <w:rPr>
      <w:b/>
    </w:rPr>
  </w:style>
  <w:style w:type="character" w:customStyle="1" w:styleId="AppendixCharChar">
    <w:name w:val="Appendix Char Char"/>
    <w:basedOn w:val="DefaultParagraphFont"/>
    <w:link w:val="Appendix"/>
    <w:rsid w:val="00FB17DF"/>
    <w:rPr>
      <w:b/>
      <w:sz w:val="24"/>
      <w:lang w:val="en-AU" w:eastAsia="en-AU" w:bidi="ar-SA"/>
    </w:rPr>
  </w:style>
  <w:style w:type="paragraph" w:customStyle="1" w:styleId="HB-dotpoint">
    <w:name w:val="HB - dotpoint"/>
    <w:basedOn w:val="Normal"/>
    <w:rsid w:val="00FB17DF"/>
    <w:pPr>
      <w:numPr>
        <w:numId w:val="1"/>
      </w:numPr>
      <w:spacing w:before="180"/>
    </w:pPr>
  </w:style>
  <w:style w:type="paragraph" w:customStyle="1" w:styleId="OutlineNumbered1">
    <w:name w:val="Outline Numbered 1"/>
    <w:basedOn w:val="Normal"/>
    <w:rsid w:val="00B74892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72"/>
      </w:tabs>
      <w:spacing w:before="120" w:after="120"/>
      <w:ind w:right="91"/>
    </w:pPr>
  </w:style>
  <w:style w:type="paragraph" w:customStyle="1" w:styleId="OutlineNumbered2">
    <w:name w:val="Outline Numbered 2"/>
    <w:basedOn w:val="Normal"/>
    <w:rsid w:val="00B74892"/>
    <w:pPr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right" w:pos="9072"/>
      </w:tabs>
      <w:spacing w:before="120" w:after="120"/>
      <w:ind w:right="91"/>
    </w:pPr>
  </w:style>
  <w:style w:type="paragraph" w:customStyle="1" w:styleId="OutlineNumbered3">
    <w:name w:val="Outline Numbered 3"/>
    <w:basedOn w:val="Normal"/>
    <w:rsid w:val="00B74892"/>
    <w:pPr>
      <w:numPr>
        <w:ilvl w:val="2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right" w:pos="9072"/>
      </w:tabs>
      <w:spacing w:before="120" w:after="120"/>
      <w:ind w:right="91"/>
    </w:pPr>
  </w:style>
  <w:style w:type="character" w:styleId="CommentReference">
    <w:name w:val="annotation reference"/>
    <w:basedOn w:val="DefaultParagraphFont"/>
    <w:uiPriority w:val="99"/>
    <w:semiHidden/>
    <w:unhideWhenUsed/>
    <w:rsid w:val="006E5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A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A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A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76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6C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76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6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6255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890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962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596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2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728">
                  <w:marLeft w:val="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arliamentary\XCo%20Example%20EM%20-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XCo Example EM - Regulations</Template>
  <TotalTime>3</TotalTime>
  <Pages>5</Pages>
  <Words>1302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The Treasury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Ho, Yisheng</dc:creator>
  <cp:lastModifiedBy>hilhma</cp:lastModifiedBy>
  <cp:revision>2</cp:revision>
  <cp:lastPrinted>2011-10-07T04:04:00Z</cp:lastPrinted>
  <dcterms:created xsi:type="dcterms:W3CDTF">2011-10-17T04:21:00Z</dcterms:created>
  <dcterms:modified xsi:type="dcterms:W3CDTF">2011-10-17T04:21:00Z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439645932</vt:i4>
  </property>
  <property fmtid="{D5CDD505-2E9C-101B-9397-08002B2CF9AE}" pid="3" name="_NewReviewCycle">
    <vt:lpwstr/>
  </property>
  <property fmtid="{D5CDD505-2E9C-101B-9397-08002B2CF9AE}" pid="4" name="_EmailSubject">
    <vt:lpwstr>19 October ExCo Meeting - Corporations Legislation Amendment Regulations 2011 [SEC=UNCLASSIFIED]</vt:lpwstr>
  </property>
  <property fmtid="{D5CDD505-2E9C-101B-9397-08002B2CF9AE}" pid="5" name="_AuthorEmail">
    <vt:lpwstr>Yisheng.Ho@TREASURY.GOV.AU</vt:lpwstr>
  </property>
  <property fmtid="{D5CDD505-2E9C-101B-9397-08002B2CF9AE}" pid="6" name="_AuthorEmailDisplayName">
    <vt:lpwstr>Ho, Yisheng</vt:lpwstr>
  </property>
  <property fmtid="{D5CDD505-2E9C-101B-9397-08002B2CF9AE}" pid="7" name="_ReviewingToolsShownOnce">
    <vt:lpwstr/>
  </property>
</Properties>
</file>