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5C2" w:rsidRPr="0000674E" w:rsidRDefault="006E55C2">
      <w:pPr>
        <w:jc w:val="center"/>
      </w:pPr>
    </w:p>
    <w:p w:rsidR="006E55C2" w:rsidRPr="0000674E" w:rsidRDefault="006E55C2">
      <w:pPr>
        <w:jc w:val="center"/>
        <w:rPr>
          <w:b/>
        </w:rPr>
      </w:pPr>
      <w:r w:rsidRPr="0000674E">
        <w:rPr>
          <w:b/>
        </w:rPr>
        <w:t xml:space="preserve">EXPLANATORY STATEMENT </w:t>
      </w:r>
    </w:p>
    <w:p w:rsidR="006E55C2" w:rsidRPr="0000674E" w:rsidRDefault="006E55C2">
      <w:pPr>
        <w:ind w:left="1134" w:hanging="1134"/>
        <w:rPr>
          <w:b/>
        </w:rPr>
      </w:pPr>
    </w:p>
    <w:p w:rsidR="006E55C2" w:rsidRPr="0000674E" w:rsidRDefault="006E55C2" w:rsidP="005B120A">
      <w:pPr>
        <w:ind w:left="1134" w:hanging="1134"/>
        <w:rPr>
          <w:b/>
          <w:i/>
        </w:rPr>
      </w:pPr>
      <w:r w:rsidRPr="0000674E">
        <w:rPr>
          <w:b/>
        </w:rPr>
        <w:t>Subject</w:t>
      </w:r>
      <w:r w:rsidR="00374D4F">
        <w:rPr>
          <w:b/>
        </w:rPr>
        <w:t>:</w:t>
      </w:r>
      <w:r w:rsidR="00374D4F">
        <w:rPr>
          <w:b/>
        </w:rPr>
        <w:tab/>
        <w:t xml:space="preserve">THERAPEUTIC GOODS </w:t>
      </w:r>
      <w:r w:rsidR="005B120A">
        <w:rPr>
          <w:b/>
        </w:rPr>
        <w:t>(</w:t>
      </w:r>
      <w:r w:rsidR="005B120A">
        <w:rPr>
          <w:b/>
          <w:bCs/>
          <w:sz w:val="23"/>
          <w:szCs w:val="23"/>
        </w:rPr>
        <w:t>EXEMPTING MONOGRAPHS IN PHARMACOPOEIAS</w:t>
      </w:r>
      <w:r w:rsidR="005B120A">
        <w:rPr>
          <w:b/>
        </w:rPr>
        <w:t xml:space="preserve">) </w:t>
      </w:r>
      <w:r w:rsidR="008D64E8">
        <w:rPr>
          <w:b/>
        </w:rPr>
        <w:t xml:space="preserve">DETERMINATION </w:t>
      </w:r>
      <w:r w:rsidR="005B120A">
        <w:rPr>
          <w:b/>
        </w:rPr>
        <w:t>NO. 1 OF 2011</w:t>
      </w:r>
    </w:p>
    <w:p w:rsidR="006E55C2" w:rsidRPr="0000674E" w:rsidRDefault="006E55C2">
      <w:pPr>
        <w:rPr>
          <w:b/>
        </w:rPr>
      </w:pPr>
    </w:p>
    <w:p w:rsidR="006E55C2" w:rsidRPr="0000674E" w:rsidRDefault="006E55C2">
      <w:pPr>
        <w:pStyle w:val="Heading5"/>
      </w:pPr>
      <w:r w:rsidRPr="0000674E">
        <w:t xml:space="preserve">Section </w:t>
      </w:r>
      <w:proofErr w:type="gramStart"/>
      <w:r w:rsidR="00A13DDE">
        <w:t>3C(</w:t>
      </w:r>
      <w:proofErr w:type="gramEnd"/>
      <w:r w:rsidR="00A13DDE">
        <w:t>1)</w:t>
      </w:r>
      <w:r w:rsidRPr="0000674E">
        <w:t>, Therapeutic Goods Act 1989</w:t>
      </w:r>
    </w:p>
    <w:p w:rsidR="006E55C2" w:rsidRPr="0000674E" w:rsidRDefault="006E55C2">
      <w:pPr>
        <w:rPr>
          <w:b/>
        </w:rPr>
      </w:pPr>
    </w:p>
    <w:p w:rsidR="006E55C2" w:rsidRPr="0000674E" w:rsidRDefault="006E55C2">
      <w:pPr>
        <w:pStyle w:val="Heading3"/>
      </w:pPr>
      <w:r w:rsidRPr="0000674E">
        <w:t>OUTLINE</w:t>
      </w:r>
    </w:p>
    <w:p w:rsidR="006E55C2" w:rsidRPr="00826832" w:rsidRDefault="009D4B43">
      <w:r>
        <w:t xml:space="preserve">Therapeutic Goods </w:t>
      </w:r>
      <w:r w:rsidR="005B120A">
        <w:t>(</w:t>
      </w:r>
      <w:r w:rsidR="005B120A" w:rsidRPr="005B120A">
        <w:t xml:space="preserve">Exempting </w:t>
      </w:r>
      <w:r w:rsidR="005B120A">
        <w:t>m</w:t>
      </w:r>
      <w:r w:rsidR="005B120A" w:rsidRPr="005B120A">
        <w:t xml:space="preserve">onographs </w:t>
      </w:r>
      <w:r w:rsidR="005B120A">
        <w:t>i</w:t>
      </w:r>
      <w:r w:rsidR="005B120A" w:rsidRPr="005B120A">
        <w:t xml:space="preserve">n </w:t>
      </w:r>
      <w:r w:rsidR="005B120A">
        <w:t>p</w:t>
      </w:r>
      <w:r w:rsidR="005B120A" w:rsidRPr="005B120A">
        <w:t xml:space="preserve">harmacopoeias) </w:t>
      </w:r>
      <w:r w:rsidR="008D64E8">
        <w:t xml:space="preserve">Determination </w:t>
      </w:r>
      <w:r w:rsidR="005B120A" w:rsidRPr="005B120A">
        <w:t xml:space="preserve">No. 1 </w:t>
      </w:r>
      <w:r w:rsidR="005B120A">
        <w:t>o</w:t>
      </w:r>
      <w:r w:rsidR="005B120A" w:rsidRPr="005B120A">
        <w:t xml:space="preserve">f 2011 </w:t>
      </w:r>
      <w:r w:rsidR="005B120A">
        <w:t xml:space="preserve">(the </w:t>
      </w:r>
      <w:r w:rsidR="008D64E8">
        <w:t>Determination</w:t>
      </w:r>
      <w:r w:rsidR="006E55C2" w:rsidRPr="0000674E">
        <w:t>) is a</w:t>
      </w:r>
      <w:r w:rsidR="008D64E8">
        <w:t xml:space="preserve"> Determination </w:t>
      </w:r>
      <w:r w:rsidR="006E55C2" w:rsidRPr="0000674E">
        <w:t xml:space="preserve">made by the delegate of the Minister for Health and Ageing under section </w:t>
      </w:r>
      <w:proofErr w:type="gramStart"/>
      <w:r w:rsidR="008B7785">
        <w:t>3C(</w:t>
      </w:r>
      <w:proofErr w:type="gramEnd"/>
      <w:r w:rsidR="008B7785">
        <w:t xml:space="preserve">1) </w:t>
      </w:r>
      <w:r w:rsidR="006E55C2" w:rsidRPr="0000674E">
        <w:t xml:space="preserve">of the </w:t>
      </w:r>
      <w:r w:rsidR="006E55C2" w:rsidRPr="0000674E">
        <w:rPr>
          <w:i/>
        </w:rPr>
        <w:t xml:space="preserve">Therapeutic Goods Act 1989 </w:t>
      </w:r>
      <w:r w:rsidR="006E55C2" w:rsidRPr="0000674E">
        <w:t>(the Act)</w:t>
      </w:r>
      <w:r w:rsidR="006E55C2" w:rsidRPr="0000674E">
        <w:rPr>
          <w:i/>
        </w:rPr>
        <w:t>.</w:t>
      </w:r>
    </w:p>
    <w:p w:rsidR="006E55C2" w:rsidRPr="0000674E" w:rsidRDefault="006E55C2">
      <w:pPr>
        <w:rPr>
          <w:i/>
        </w:rPr>
      </w:pPr>
    </w:p>
    <w:p w:rsidR="001A6F34" w:rsidRPr="0000674E" w:rsidRDefault="00374D4F">
      <w:r>
        <w:t>T</w:t>
      </w:r>
      <w:r w:rsidR="005B120A">
        <w:t>he</w:t>
      </w:r>
      <w:r w:rsidR="008D64E8">
        <w:t xml:space="preserve"> Determination </w:t>
      </w:r>
      <w:r w:rsidR="00F772D1">
        <w:t xml:space="preserve">determines </w:t>
      </w:r>
      <w:r w:rsidR="008B7785" w:rsidRPr="008B7785">
        <w:t xml:space="preserve">that specified monographs in the United States Pharmacopeia-National Formulary are exempt for the purposes of paragraph (d) of the definition of </w:t>
      </w:r>
      <w:r w:rsidR="008B7785">
        <w:t>“</w:t>
      </w:r>
      <w:r w:rsidR="008B7785" w:rsidRPr="008B7785">
        <w:t>standard</w:t>
      </w:r>
      <w:r w:rsidR="008B7785">
        <w:t>”</w:t>
      </w:r>
      <w:r w:rsidR="008B7785" w:rsidRPr="008B7785">
        <w:t xml:space="preserve"> in subsection 3(1)</w:t>
      </w:r>
      <w:r w:rsidR="008B7785">
        <w:t xml:space="preserve"> of the Act</w:t>
      </w:r>
      <w:r w:rsidR="008B7785" w:rsidRPr="008B7785">
        <w:t>.</w:t>
      </w:r>
      <w:r w:rsidR="007C4905">
        <w:t xml:space="preserve">  </w:t>
      </w:r>
    </w:p>
    <w:p w:rsidR="006E55C2" w:rsidRPr="0000674E" w:rsidRDefault="006E55C2"/>
    <w:p w:rsidR="006E55C2" w:rsidRPr="0000674E" w:rsidRDefault="005B120A">
      <w:r>
        <w:t xml:space="preserve">The </w:t>
      </w:r>
      <w:r w:rsidR="008D64E8">
        <w:t xml:space="preserve">Determination </w:t>
      </w:r>
      <w:r w:rsidR="006E55C2" w:rsidRPr="0000674E">
        <w:t>comme</w:t>
      </w:r>
      <w:r w:rsidR="009D4B43">
        <w:t xml:space="preserve">nced on the </w:t>
      </w:r>
      <w:r w:rsidR="00070F80">
        <w:t>day after</w:t>
      </w:r>
      <w:r w:rsidR="009D4B43">
        <w:t xml:space="preserve"> </w:t>
      </w:r>
      <w:r w:rsidR="0034249E">
        <w:t xml:space="preserve">the day </w:t>
      </w:r>
      <w:r w:rsidR="009D4B43">
        <w:t>it was registered on the Federal Register of Legislative Instruments</w:t>
      </w:r>
      <w:r w:rsidR="006E55C2" w:rsidRPr="0000674E">
        <w:t>.</w:t>
      </w:r>
    </w:p>
    <w:p w:rsidR="006E55C2" w:rsidRPr="0000674E" w:rsidRDefault="006E55C2"/>
    <w:p w:rsidR="006E55C2" w:rsidRPr="0000674E" w:rsidRDefault="006E55C2">
      <w:pPr>
        <w:pStyle w:val="Heading3"/>
      </w:pPr>
      <w:r w:rsidRPr="0000674E">
        <w:t>BACKGROUND</w:t>
      </w:r>
    </w:p>
    <w:p w:rsidR="006E55C2" w:rsidRPr="0000674E" w:rsidRDefault="006E55C2">
      <w:r w:rsidRPr="0000674E">
        <w:t>The Act provides for the establishment and maintenance of a national system of controls relating to the quality, safety, efficacy and timely availability of therapeutic goods for use in humans.  The Therapeutic Goods Administration (TGA) is responsible for administering the Act.</w:t>
      </w:r>
    </w:p>
    <w:p w:rsidR="006E55C2" w:rsidRPr="0000674E" w:rsidRDefault="006E55C2"/>
    <w:p w:rsidR="006E55C2" w:rsidRPr="0000674E" w:rsidRDefault="006E55C2">
      <w:r w:rsidRPr="0000674E">
        <w:t xml:space="preserve">Section </w:t>
      </w:r>
      <w:r w:rsidR="008B7785">
        <w:t>3C</w:t>
      </w:r>
      <w:r w:rsidRPr="0000674E">
        <w:t xml:space="preserve"> of the Act </w:t>
      </w:r>
      <w:r w:rsidR="00640BAD">
        <w:t xml:space="preserve">authorises </w:t>
      </w:r>
      <w:r w:rsidRPr="0000674E">
        <w:t>the Minister, or the Minister's delegate,  to determine</w:t>
      </w:r>
      <w:r w:rsidR="004B0726">
        <w:t xml:space="preserve"> </w:t>
      </w:r>
      <w:r w:rsidR="008B7785" w:rsidRPr="008B7785">
        <w:t xml:space="preserve">that specified monographs in the British Pharmacopoeia, the European Pharmacopoeia or the United States Pharmacopeia-National Formulary are exempt for the purposes of paragraph (b), (c) or (d) </w:t>
      </w:r>
      <w:r w:rsidR="00677BCC">
        <w:t xml:space="preserve">respectively </w:t>
      </w:r>
      <w:r w:rsidR="008B7785" w:rsidRPr="008B7785">
        <w:t xml:space="preserve">of the definition of </w:t>
      </w:r>
      <w:r w:rsidR="004B0726">
        <w:t>“</w:t>
      </w:r>
      <w:r w:rsidR="008B7785" w:rsidRPr="008B7785">
        <w:t>standard</w:t>
      </w:r>
      <w:r w:rsidR="004B0726">
        <w:t>”</w:t>
      </w:r>
      <w:r w:rsidR="008B7785" w:rsidRPr="008B7785">
        <w:t xml:space="preserve"> in subsection 3(1).</w:t>
      </w:r>
    </w:p>
    <w:p w:rsidR="006E55C2" w:rsidRDefault="006E55C2"/>
    <w:p w:rsidR="004B0726" w:rsidRPr="0000674E" w:rsidRDefault="004B0726" w:rsidP="004B0726">
      <w:r>
        <w:t xml:space="preserve">The effect of the </w:t>
      </w:r>
      <w:r w:rsidR="008D64E8">
        <w:t xml:space="preserve">Determination </w:t>
      </w:r>
      <w:r>
        <w:t>is that the specifie</w:t>
      </w:r>
      <w:r w:rsidRPr="008B7785">
        <w:t xml:space="preserve">d monographs in the United States Pharmacopeia-National Formulary </w:t>
      </w:r>
      <w:r>
        <w:t xml:space="preserve">do not constitute a “standard”.  </w:t>
      </w:r>
    </w:p>
    <w:p w:rsidR="00574DF9" w:rsidRPr="002E1CF5" w:rsidRDefault="00574DF9" w:rsidP="002E1CF5">
      <w:pPr>
        <w:rPr>
          <w:szCs w:val="24"/>
          <w:lang w:eastAsia="en-US"/>
        </w:rPr>
      </w:pPr>
    </w:p>
    <w:p w:rsidR="00D8505D" w:rsidRPr="00B4684E" w:rsidRDefault="00D8505D" w:rsidP="00D8505D">
      <w:pPr>
        <w:rPr>
          <w:b/>
        </w:rPr>
      </w:pPr>
      <w:r w:rsidRPr="00B4684E">
        <w:rPr>
          <w:b/>
        </w:rPr>
        <w:t>CONSUL</w:t>
      </w:r>
      <w:r w:rsidR="0052411C">
        <w:rPr>
          <w:b/>
        </w:rPr>
        <w:t>T</w:t>
      </w:r>
      <w:r w:rsidRPr="00B4684E">
        <w:rPr>
          <w:b/>
        </w:rPr>
        <w:t>ATION</w:t>
      </w:r>
    </w:p>
    <w:p w:rsidR="005D626E" w:rsidRDefault="00C119C7" w:rsidP="00C119C7">
      <w:r w:rsidRPr="00C119C7">
        <w:t xml:space="preserve">A draft </w:t>
      </w:r>
      <w:r w:rsidR="008D64E8">
        <w:t xml:space="preserve">Determination (then described as an Order) </w:t>
      </w:r>
      <w:r w:rsidRPr="00C119C7">
        <w:t xml:space="preserve">was made available </w:t>
      </w:r>
      <w:r w:rsidR="0071648E">
        <w:t xml:space="preserve">by the TGA </w:t>
      </w:r>
      <w:r w:rsidRPr="00C119C7">
        <w:t>for public consultation in</w:t>
      </w:r>
      <w:r w:rsidR="004B0726">
        <w:t xml:space="preserve"> September 2009. It was published on the TGA Internet site and key stakeholders were informed. There were two responses.</w:t>
      </w:r>
      <w:r w:rsidRPr="00C119C7">
        <w:t xml:space="preserve"> </w:t>
      </w:r>
      <w:r w:rsidR="0071648E">
        <w:t xml:space="preserve"> </w:t>
      </w:r>
    </w:p>
    <w:p w:rsidR="008B7785" w:rsidRDefault="008B7785" w:rsidP="00C119C7"/>
    <w:p w:rsidR="00574DF9" w:rsidRDefault="004B0726">
      <w:pPr>
        <w:autoSpaceDE w:val="0"/>
        <w:autoSpaceDN w:val="0"/>
        <w:adjustRightInd w:val="0"/>
      </w:pPr>
      <w:r>
        <w:t>T</w:t>
      </w:r>
      <w:r w:rsidR="005B120A">
        <w:t xml:space="preserve">he </w:t>
      </w:r>
      <w:r>
        <w:t xml:space="preserve">draft </w:t>
      </w:r>
      <w:r w:rsidR="008D64E8">
        <w:t xml:space="preserve">Determination </w:t>
      </w:r>
      <w:r w:rsidR="005B120A">
        <w:t>was</w:t>
      </w:r>
      <w:r w:rsidR="005D626E">
        <w:t xml:space="preserve"> </w:t>
      </w:r>
      <w:r w:rsidR="00574DF9">
        <w:t xml:space="preserve">considered and </w:t>
      </w:r>
      <w:r w:rsidR="005D626E">
        <w:t>endorsed by the Th</w:t>
      </w:r>
      <w:r w:rsidR="00574DF9">
        <w:t>erapeutic Goods Committee (the TGC)</w:t>
      </w:r>
      <w:r w:rsidR="005B120A">
        <w:t xml:space="preserve"> at its 36</w:t>
      </w:r>
      <w:r w:rsidR="005B120A" w:rsidRPr="005B120A">
        <w:rPr>
          <w:vertAlign w:val="superscript"/>
        </w:rPr>
        <w:t>th</w:t>
      </w:r>
      <w:r w:rsidR="005B120A">
        <w:t xml:space="preserve"> meeting</w:t>
      </w:r>
      <w:r w:rsidR="008B7785">
        <w:t>.</w:t>
      </w:r>
      <w:r>
        <w:t xml:space="preserve"> The TGC is the committee established by the Therapeutic Goods Regulations 1990 to advise the Minister on matters relating to standards</w:t>
      </w:r>
      <w:r w:rsidR="00677BCC">
        <w:t xml:space="preserve"> for therapeutic goods</w:t>
      </w:r>
      <w:r>
        <w:t>.</w:t>
      </w:r>
    </w:p>
    <w:p w:rsidR="004B0726" w:rsidRDefault="004B0726">
      <w:pPr>
        <w:autoSpaceDE w:val="0"/>
        <w:autoSpaceDN w:val="0"/>
        <w:adjustRightInd w:val="0"/>
      </w:pPr>
    </w:p>
    <w:p w:rsidR="004B0726" w:rsidRDefault="004B0726">
      <w:pPr>
        <w:autoSpaceDE w:val="0"/>
        <w:autoSpaceDN w:val="0"/>
        <w:adjustRightInd w:val="0"/>
      </w:pPr>
      <w:r>
        <w:t xml:space="preserve">The registered version of the </w:t>
      </w:r>
      <w:r w:rsidR="008D64E8">
        <w:t xml:space="preserve">Determination </w:t>
      </w:r>
      <w:r>
        <w:t>is not materially different to the consultation draft.</w:t>
      </w:r>
    </w:p>
    <w:p w:rsidR="00574DF9" w:rsidRDefault="00574DF9"/>
    <w:p w:rsidR="006E55C2" w:rsidRPr="0000674E" w:rsidRDefault="006E55C2">
      <w:pPr>
        <w:pStyle w:val="Heading3"/>
      </w:pPr>
      <w:r w:rsidRPr="0000674E">
        <w:t>REGULATION IMPACT STATEMENT</w:t>
      </w:r>
    </w:p>
    <w:p w:rsidR="00C67857" w:rsidRDefault="000572FE">
      <w:r w:rsidRPr="0000674E">
        <w:t xml:space="preserve">The Office of </w:t>
      </w:r>
      <w:r w:rsidR="00574DF9">
        <w:t xml:space="preserve">Best Practice </w:t>
      </w:r>
      <w:r w:rsidRPr="0000674E">
        <w:t xml:space="preserve">Regulation has agreed that no Regulation Impact Statement is necessary </w:t>
      </w:r>
      <w:r w:rsidR="00574DF9">
        <w:t xml:space="preserve">for </w:t>
      </w:r>
      <w:r w:rsidR="005B120A">
        <w:t xml:space="preserve">the </w:t>
      </w:r>
      <w:r w:rsidR="008D64E8">
        <w:t xml:space="preserve">Determination </w:t>
      </w:r>
      <w:r w:rsidR="00CC084A">
        <w:t>(</w:t>
      </w:r>
      <w:r w:rsidR="00CC084A" w:rsidRPr="0000674E">
        <w:t>O</w:t>
      </w:r>
      <w:r w:rsidR="00CC084A">
        <w:t xml:space="preserve">BPR reference </w:t>
      </w:r>
      <w:r w:rsidR="00CC084A" w:rsidRPr="0000674E">
        <w:t xml:space="preserve">number </w:t>
      </w:r>
      <w:r w:rsidR="00CC084A">
        <w:t>11770</w:t>
      </w:r>
      <w:r w:rsidR="00311438">
        <w:t>)</w:t>
      </w:r>
      <w:r w:rsidR="00C67857">
        <w:t>.</w:t>
      </w:r>
    </w:p>
    <w:p w:rsidR="00C67857" w:rsidRDefault="00C67857"/>
    <w:p w:rsidR="00574DF9" w:rsidRDefault="00574DF9"/>
    <w:p w:rsidR="008B7785" w:rsidRDefault="008B7785" w:rsidP="008B7785">
      <w:pPr>
        <w:pStyle w:val="Heading3"/>
        <w:spacing w:after="240"/>
        <w:rPr>
          <w:rFonts w:ascii="Helvetica Neue" w:hAnsi="Helvetica Neue"/>
          <w:sz w:val="27"/>
          <w:szCs w:val="27"/>
        </w:rPr>
      </w:pPr>
      <w:r>
        <w:rPr>
          <w:rFonts w:ascii="Helvetica Neue" w:hAnsi="Helvetica Neue"/>
          <w:szCs w:val="24"/>
        </w:rPr>
        <w:t>REFERENCED DOCUMENTS</w:t>
      </w:r>
    </w:p>
    <w:p w:rsidR="004B0726" w:rsidRDefault="008B7785" w:rsidP="008B7785">
      <w:pPr>
        <w:spacing w:before="100" w:beforeAutospacing="1" w:after="100" w:afterAutospacing="1"/>
      </w:pPr>
      <w:r>
        <w:t>Information on the documents referred to in</w:t>
      </w:r>
      <w:r w:rsidR="005B120A">
        <w:t xml:space="preserve"> the </w:t>
      </w:r>
      <w:r w:rsidR="008D64E8">
        <w:t xml:space="preserve">Determination </w:t>
      </w:r>
      <w:r w:rsidR="005B120A">
        <w:t xml:space="preserve">or this Explanatory Statement </w:t>
      </w:r>
      <w:r>
        <w:t>follows</w:t>
      </w:r>
      <w:r w:rsidR="005B120A">
        <w:t>.</w:t>
      </w:r>
    </w:p>
    <w:p w:rsidR="004B0726" w:rsidRDefault="008B7785" w:rsidP="008B7785">
      <w:pPr>
        <w:numPr>
          <w:ilvl w:val="0"/>
          <w:numId w:val="5"/>
        </w:numPr>
        <w:spacing w:before="100" w:beforeAutospacing="1" w:after="100" w:afterAutospacing="1"/>
      </w:pPr>
      <w:r>
        <w:t xml:space="preserve">The </w:t>
      </w:r>
      <w:r w:rsidR="00FD1285">
        <w:t>current definition of the</w:t>
      </w:r>
      <w:r w:rsidR="00677BCC">
        <w:t xml:space="preserve"> </w:t>
      </w:r>
      <w:r w:rsidR="004B0726" w:rsidRPr="00677BCC">
        <w:rPr>
          <w:b/>
          <w:bCs/>
          <w:i/>
        </w:rPr>
        <w:t xml:space="preserve">United States Pharmacopeia </w:t>
      </w:r>
      <w:r w:rsidRPr="00677BCC">
        <w:rPr>
          <w:b/>
          <w:bCs/>
          <w:i/>
        </w:rPr>
        <w:t>– National Formulary</w:t>
      </w:r>
      <w:r w:rsidRPr="004B0726">
        <w:rPr>
          <w:bCs/>
        </w:rPr>
        <w:t xml:space="preserve"> </w:t>
      </w:r>
      <w:r>
        <w:t xml:space="preserve">is </w:t>
      </w:r>
      <w:r w:rsidR="00677BCC">
        <w:t>the</w:t>
      </w:r>
      <w:r>
        <w:t xml:space="preserve"> </w:t>
      </w:r>
      <w:r w:rsidR="00FD1285">
        <w:t>34</w:t>
      </w:r>
      <w:r w:rsidR="00FD1285" w:rsidRPr="00FD1285">
        <w:rPr>
          <w:vertAlign w:val="superscript"/>
        </w:rPr>
        <w:t>th</w:t>
      </w:r>
      <w:r w:rsidR="00FD1285">
        <w:t xml:space="preserve"> -29</w:t>
      </w:r>
      <w:r w:rsidR="00FD1285" w:rsidRPr="00FD1285">
        <w:rPr>
          <w:vertAlign w:val="superscript"/>
        </w:rPr>
        <w:t>th</w:t>
      </w:r>
      <w:r w:rsidR="00FD1285">
        <w:t xml:space="preserve"> edition, inclusive of the First Supplement.  It contains m</w:t>
      </w:r>
      <w:r w:rsidR="00FD1285" w:rsidRPr="00FD1285">
        <w:t xml:space="preserve">ore than 4500 monographs with specifications for identity, strength, quality, purity, packaging, and </w:t>
      </w:r>
      <w:r w:rsidR="00677BCC" w:rsidRPr="00FD1285">
        <w:t>labelling</w:t>
      </w:r>
      <w:r w:rsidR="00FD1285" w:rsidRPr="00FD1285">
        <w:t xml:space="preserve"> for substances and dosage forms.  </w:t>
      </w:r>
      <w:r>
        <w:t xml:space="preserve">The United States Pharmacopeia – National Formulary is published by The United States </w:t>
      </w:r>
      <w:proofErr w:type="spellStart"/>
      <w:r>
        <w:t>Pharmacopeial</w:t>
      </w:r>
      <w:proofErr w:type="spellEnd"/>
      <w:r>
        <w:t xml:space="preserve"> Convention.  It is available for purchase in </w:t>
      </w:r>
      <w:r w:rsidR="00FD1285">
        <w:t>print, CD and online.</w:t>
      </w:r>
      <w:r>
        <w:t xml:space="preserve"> </w:t>
      </w:r>
    </w:p>
    <w:p w:rsidR="008B7785" w:rsidRDefault="008B7785" w:rsidP="008B7785">
      <w:pPr>
        <w:numPr>
          <w:ilvl w:val="0"/>
          <w:numId w:val="5"/>
        </w:numPr>
        <w:spacing w:before="100" w:beforeAutospacing="1" w:after="100" w:afterAutospacing="1"/>
      </w:pPr>
      <w:r>
        <w:t xml:space="preserve">The meeting </w:t>
      </w:r>
      <w:r w:rsidR="004B0726">
        <w:t>outcomes of the TGC’s 36</w:t>
      </w:r>
      <w:r w:rsidR="004B0726" w:rsidRPr="004B0726">
        <w:rPr>
          <w:vertAlign w:val="superscript"/>
        </w:rPr>
        <w:t>th</w:t>
      </w:r>
      <w:r w:rsidR="004B0726">
        <w:t xml:space="preserve"> meeting referred to in this Explanatory Statement may be viewed and</w:t>
      </w:r>
      <w:r>
        <w:t xml:space="preserve"> downloaded from the TGA Internet site.</w:t>
      </w:r>
    </w:p>
    <w:p w:rsidR="004B0726" w:rsidRDefault="004B0726" w:rsidP="004B0726">
      <w:pPr>
        <w:spacing w:before="100" w:beforeAutospacing="1" w:after="100" w:afterAutospacing="1"/>
      </w:pPr>
    </w:p>
    <w:p w:rsidR="008B7785" w:rsidRDefault="008B7785" w:rsidP="008B7785">
      <w:pPr>
        <w:spacing w:before="100" w:beforeAutospacing="1" w:after="100" w:afterAutospacing="1"/>
      </w:pPr>
      <w:r>
        <w:t> </w:t>
      </w:r>
    </w:p>
    <w:p w:rsidR="008B7785" w:rsidRDefault="008B7785"/>
    <w:sectPr w:rsidR="008B7785" w:rsidSect="001F0BFE">
      <w:footerReference w:type="default" r:id="rId8"/>
      <w:type w:val="nextColumn"/>
      <w:pgSz w:w="11907" w:h="16840" w:code="9"/>
      <w:pgMar w:top="1440" w:right="1440" w:bottom="1440" w:left="1440" w:header="720"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726" w:rsidRDefault="004B0726">
      <w:r>
        <w:separator/>
      </w:r>
    </w:p>
  </w:endnote>
  <w:endnote w:type="continuationSeparator" w:id="0">
    <w:p w:rsidR="004B0726" w:rsidRDefault="004B0726">
      <w:r>
        <w:continuationSeparator/>
      </w:r>
    </w:p>
  </w:endnote>
</w:endnotes>
</file>

<file path=word/fontTable.xml><?xml version="1.0" encoding="utf-8"?>
<w:fonts xmlns:r="http://schemas.openxmlformats.org/officeDocument/2006/relationships" xmlns:w="http://schemas.openxmlformats.org/wordprocessingml/2006/main">
  <w:font w:name="Helv">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726" w:rsidRDefault="00894808">
    <w:pPr>
      <w:pStyle w:val="Footer"/>
      <w:jc w:val="center"/>
      <w:rPr>
        <w:sz w:val="14"/>
      </w:rPr>
    </w:pPr>
    <w:r>
      <w:rPr>
        <w:rStyle w:val="PageNumber"/>
      </w:rPr>
      <w:fldChar w:fldCharType="begin"/>
    </w:r>
    <w:r w:rsidR="004B0726">
      <w:rPr>
        <w:rStyle w:val="PageNumber"/>
      </w:rPr>
      <w:instrText xml:space="preserve"> PAGE </w:instrText>
    </w:r>
    <w:r>
      <w:rPr>
        <w:rStyle w:val="PageNumber"/>
      </w:rPr>
      <w:fldChar w:fldCharType="separate"/>
    </w:r>
    <w:r w:rsidR="00B41837">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726" w:rsidRDefault="004B0726">
      <w:r>
        <w:separator/>
      </w:r>
    </w:p>
  </w:footnote>
  <w:footnote w:type="continuationSeparator" w:id="0">
    <w:p w:rsidR="004B0726" w:rsidRDefault="004B07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C91"/>
    <w:multiLevelType w:val="hybridMultilevel"/>
    <w:tmpl w:val="4784137C"/>
    <w:lvl w:ilvl="0" w:tplc="4DC62E9E">
      <w:numFmt w:val="bullet"/>
      <w:lvlText w:val="•"/>
      <w:lvlJc w:val="left"/>
      <w:pPr>
        <w:ind w:left="720" w:hanging="360"/>
      </w:pPr>
      <w:rPr>
        <w:rFonts w:ascii="Helv" w:hAnsi="Helv" w:hint="default"/>
        <w:sz w:val="28"/>
      </w:rPr>
    </w:lvl>
    <w:lvl w:ilvl="1" w:tplc="4DC62E9E">
      <w:numFmt w:val="bullet"/>
      <w:lvlText w:val="•"/>
      <w:lvlJc w:val="left"/>
      <w:pPr>
        <w:ind w:left="1440" w:hanging="360"/>
      </w:pPr>
      <w:rPr>
        <w:rFonts w:ascii="Helv" w:hAnsi="Helv" w:hint="default"/>
        <w:sz w:val="2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F71BC7"/>
    <w:multiLevelType w:val="hybridMultilevel"/>
    <w:tmpl w:val="9E083F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95E12F8"/>
    <w:multiLevelType w:val="singleLevel"/>
    <w:tmpl w:val="0C09000F"/>
    <w:lvl w:ilvl="0">
      <w:start w:val="1"/>
      <w:numFmt w:val="decimal"/>
      <w:lvlText w:val="%1."/>
      <w:lvlJc w:val="left"/>
      <w:pPr>
        <w:tabs>
          <w:tab w:val="num" w:pos="360"/>
        </w:tabs>
        <w:ind w:left="360" w:hanging="360"/>
      </w:pPr>
    </w:lvl>
  </w:abstractNum>
  <w:abstractNum w:abstractNumId="3">
    <w:nsid w:val="3B0E53F5"/>
    <w:multiLevelType w:val="hybridMultilevel"/>
    <w:tmpl w:val="63809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BA120A7"/>
    <w:multiLevelType w:val="hybridMultilevel"/>
    <w:tmpl w:val="D160FEA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4"/>
  </w:num>
  <w:num w:numId="3">
    <w:abstractNumId w:val="3"/>
  </w:num>
  <w:num w:numId="4">
    <w:abstractNumId w:val="0"/>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NotTrackMoves/>
  <w:doNotTrackFormatting/>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BadObjects" w:val=" "/>
    <w:docVar w:name="lastRangeEnd" w:val="2599"/>
    <w:docVar w:name="lastRangeStart" w:val="2594"/>
    <w:docVar w:name="SelEnd" w:val=" "/>
    <w:docVar w:name="SelStart" w:val=" "/>
  </w:docVars>
  <w:rsids>
    <w:rsidRoot w:val="007A6E3F"/>
    <w:rsid w:val="0000674E"/>
    <w:rsid w:val="00017C66"/>
    <w:rsid w:val="00025BB5"/>
    <w:rsid w:val="00037345"/>
    <w:rsid w:val="00046F01"/>
    <w:rsid w:val="000547EE"/>
    <w:rsid w:val="000550C7"/>
    <w:rsid w:val="000572FE"/>
    <w:rsid w:val="00070F80"/>
    <w:rsid w:val="00081A9A"/>
    <w:rsid w:val="000E3E87"/>
    <w:rsid w:val="000F0CF5"/>
    <w:rsid w:val="000F5E62"/>
    <w:rsid w:val="00102722"/>
    <w:rsid w:val="001275C5"/>
    <w:rsid w:val="00147E8C"/>
    <w:rsid w:val="00153E21"/>
    <w:rsid w:val="00196EB9"/>
    <w:rsid w:val="001A6F34"/>
    <w:rsid w:val="001A6FEC"/>
    <w:rsid w:val="001B095C"/>
    <w:rsid w:val="001C0464"/>
    <w:rsid w:val="001D6953"/>
    <w:rsid w:val="001F0BFE"/>
    <w:rsid w:val="001F43E4"/>
    <w:rsid w:val="00227306"/>
    <w:rsid w:val="00231B70"/>
    <w:rsid w:val="002562E9"/>
    <w:rsid w:val="00264113"/>
    <w:rsid w:val="002C036F"/>
    <w:rsid w:val="002D2F6D"/>
    <w:rsid w:val="002E1CF5"/>
    <w:rsid w:val="00303DF4"/>
    <w:rsid w:val="00311438"/>
    <w:rsid w:val="00313FDA"/>
    <w:rsid w:val="00316D4F"/>
    <w:rsid w:val="0034249E"/>
    <w:rsid w:val="00344A6C"/>
    <w:rsid w:val="0035543E"/>
    <w:rsid w:val="0037017F"/>
    <w:rsid w:val="00374D4F"/>
    <w:rsid w:val="003A5277"/>
    <w:rsid w:val="003D5211"/>
    <w:rsid w:val="003E3DDD"/>
    <w:rsid w:val="0041124C"/>
    <w:rsid w:val="00422042"/>
    <w:rsid w:val="0043232C"/>
    <w:rsid w:val="00440662"/>
    <w:rsid w:val="00446701"/>
    <w:rsid w:val="00452A15"/>
    <w:rsid w:val="004568F3"/>
    <w:rsid w:val="00467DA2"/>
    <w:rsid w:val="0047135D"/>
    <w:rsid w:val="004822A2"/>
    <w:rsid w:val="004A6C8E"/>
    <w:rsid w:val="004B0726"/>
    <w:rsid w:val="004C5E48"/>
    <w:rsid w:val="004D6016"/>
    <w:rsid w:val="004E0C6F"/>
    <w:rsid w:val="00500C5A"/>
    <w:rsid w:val="005061A5"/>
    <w:rsid w:val="0052411C"/>
    <w:rsid w:val="00527ED9"/>
    <w:rsid w:val="005306E7"/>
    <w:rsid w:val="00550555"/>
    <w:rsid w:val="00574DF9"/>
    <w:rsid w:val="005932F1"/>
    <w:rsid w:val="005A0C93"/>
    <w:rsid w:val="005A0DC6"/>
    <w:rsid w:val="005A4AF7"/>
    <w:rsid w:val="005B120A"/>
    <w:rsid w:val="005D626E"/>
    <w:rsid w:val="005F10D8"/>
    <w:rsid w:val="006054A5"/>
    <w:rsid w:val="006119B5"/>
    <w:rsid w:val="00612FEA"/>
    <w:rsid w:val="00617F8D"/>
    <w:rsid w:val="00623718"/>
    <w:rsid w:val="00624054"/>
    <w:rsid w:val="00640BAD"/>
    <w:rsid w:val="006420DA"/>
    <w:rsid w:val="0064677E"/>
    <w:rsid w:val="00677BCC"/>
    <w:rsid w:val="0068540F"/>
    <w:rsid w:val="006B317C"/>
    <w:rsid w:val="006D1BBD"/>
    <w:rsid w:val="006E075E"/>
    <w:rsid w:val="006E55C2"/>
    <w:rsid w:val="006F658A"/>
    <w:rsid w:val="006F7ACD"/>
    <w:rsid w:val="0071648E"/>
    <w:rsid w:val="00737091"/>
    <w:rsid w:val="0073745E"/>
    <w:rsid w:val="00754653"/>
    <w:rsid w:val="0077727A"/>
    <w:rsid w:val="007A69E8"/>
    <w:rsid w:val="007A6E3F"/>
    <w:rsid w:val="007C4905"/>
    <w:rsid w:val="007C6E56"/>
    <w:rsid w:val="00817CCE"/>
    <w:rsid w:val="00825908"/>
    <w:rsid w:val="00826832"/>
    <w:rsid w:val="00855DCF"/>
    <w:rsid w:val="00894808"/>
    <w:rsid w:val="008A1494"/>
    <w:rsid w:val="008B7785"/>
    <w:rsid w:val="008D64E8"/>
    <w:rsid w:val="008E0A2B"/>
    <w:rsid w:val="008F1114"/>
    <w:rsid w:val="008F791D"/>
    <w:rsid w:val="00956AD4"/>
    <w:rsid w:val="00966EEA"/>
    <w:rsid w:val="00971D07"/>
    <w:rsid w:val="0097563C"/>
    <w:rsid w:val="00997A55"/>
    <w:rsid w:val="009A08BE"/>
    <w:rsid w:val="009C04DA"/>
    <w:rsid w:val="009C2EFA"/>
    <w:rsid w:val="009D4B43"/>
    <w:rsid w:val="009D7D64"/>
    <w:rsid w:val="009F10D2"/>
    <w:rsid w:val="00A06BE9"/>
    <w:rsid w:val="00A07778"/>
    <w:rsid w:val="00A13DDE"/>
    <w:rsid w:val="00A3011E"/>
    <w:rsid w:val="00A30433"/>
    <w:rsid w:val="00A34389"/>
    <w:rsid w:val="00A54827"/>
    <w:rsid w:val="00A919BB"/>
    <w:rsid w:val="00B03252"/>
    <w:rsid w:val="00B33092"/>
    <w:rsid w:val="00B41837"/>
    <w:rsid w:val="00B4684E"/>
    <w:rsid w:val="00B50BF9"/>
    <w:rsid w:val="00B57B71"/>
    <w:rsid w:val="00B6031C"/>
    <w:rsid w:val="00B62571"/>
    <w:rsid w:val="00B66540"/>
    <w:rsid w:val="00B707CB"/>
    <w:rsid w:val="00BE1661"/>
    <w:rsid w:val="00BE28EF"/>
    <w:rsid w:val="00BF110F"/>
    <w:rsid w:val="00BF3262"/>
    <w:rsid w:val="00C119C7"/>
    <w:rsid w:val="00C232C9"/>
    <w:rsid w:val="00C31418"/>
    <w:rsid w:val="00C43CEE"/>
    <w:rsid w:val="00C45C42"/>
    <w:rsid w:val="00C67857"/>
    <w:rsid w:val="00C7411E"/>
    <w:rsid w:val="00C83E09"/>
    <w:rsid w:val="00C968A3"/>
    <w:rsid w:val="00CC084A"/>
    <w:rsid w:val="00D07425"/>
    <w:rsid w:val="00D1136A"/>
    <w:rsid w:val="00D538EB"/>
    <w:rsid w:val="00D82CC4"/>
    <w:rsid w:val="00D8505D"/>
    <w:rsid w:val="00DA0DF1"/>
    <w:rsid w:val="00DA24FA"/>
    <w:rsid w:val="00DA7AFC"/>
    <w:rsid w:val="00DC15DD"/>
    <w:rsid w:val="00DD23FD"/>
    <w:rsid w:val="00E12268"/>
    <w:rsid w:val="00E13E88"/>
    <w:rsid w:val="00E21ADC"/>
    <w:rsid w:val="00E42AB7"/>
    <w:rsid w:val="00E63C95"/>
    <w:rsid w:val="00E802B2"/>
    <w:rsid w:val="00EB1C2A"/>
    <w:rsid w:val="00ED1FCD"/>
    <w:rsid w:val="00EE4404"/>
    <w:rsid w:val="00EF25E8"/>
    <w:rsid w:val="00EF39E9"/>
    <w:rsid w:val="00EF6A9A"/>
    <w:rsid w:val="00F37FD8"/>
    <w:rsid w:val="00F5413E"/>
    <w:rsid w:val="00F7135B"/>
    <w:rsid w:val="00F73654"/>
    <w:rsid w:val="00F772D1"/>
    <w:rsid w:val="00F801D3"/>
    <w:rsid w:val="00F87C90"/>
    <w:rsid w:val="00FA2EC6"/>
    <w:rsid w:val="00FB27E1"/>
    <w:rsid w:val="00FB592B"/>
    <w:rsid w:val="00FD1285"/>
    <w:rsid w:val="00FD6689"/>
    <w:rsid w:val="00FD6913"/>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0BFE"/>
    <w:rPr>
      <w:sz w:val="24"/>
    </w:rPr>
  </w:style>
  <w:style w:type="paragraph" w:styleId="Heading1">
    <w:name w:val="heading 1"/>
    <w:basedOn w:val="Normal"/>
    <w:next w:val="Normal"/>
    <w:qFormat/>
    <w:rsid w:val="001F0BFE"/>
    <w:pPr>
      <w:keepNext/>
      <w:outlineLvl w:val="0"/>
    </w:pPr>
    <w:rPr>
      <w:b/>
      <w:sz w:val="28"/>
    </w:rPr>
  </w:style>
  <w:style w:type="paragraph" w:styleId="Heading2">
    <w:name w:val="heading 2"/>
    <w:basedOn w:val="Normal"/>
    <w:next w:val="Normal"/>
    <w:qFormat/>
    <w:rsid w:val="001F0BFE"/>
    <w:pPr>
      <w:keepNext/>
      <w:widowControl w:val="0"/>
      <w:outlineLvl w:val="1"/>
    </w:pPr>
    <w:rPr>
      <w:b/>
      <w:snapToGrid w:val="0"/>
      <w:lang w:eastAsia="en-US"/>
    </w:rPr>
  </w:style>
  <w:style w:type="paragraph" w:styleId="Heading3">
    <w:name w:val="heading 3"/>
    <w:basedOn w:val="Normal"/>
    <w:next w:val="Normal"/>
    <w:qFormat/>
    <w:rsid w:val="001F0BFE"/>
    <w:pPr>
      <w:keepNext/>
      <w:outlineLvl w:val="2"/>
    </w:pPr>
    <w:rPr>
      <w:b/>
    </w:rPr>
  </w:style>
  <w:style w:type="paragraph" w:styleId="Heading4">
    <w:name w:val="heading 4"/>
    <w:basedOn w:val="Normal"/>
    <w:next w:val="Normal"/>
    <w:qFormat/>
    <w:rsid w:val="001F0BFE"/>
    <w:pPr>
      <w:keepNext/>
      <w:outlineLvl w:val="3"/>
    </w:pPr>
    <w:rPr>
      <w:b/>
      <w:i/>
    </w:rPr>
  </w:style>
  <w:style w:type="paragraph" w:styleId="Heading5">
    <w:name w:val="heading 5"/>
    <w:basedOn w:val="Normal"/>
    <w:next w:val="Normal"/>
    <w:qFormat/>
    <w:rsid w:val="001F0BFE"/>
    <w:pPr>
      <w:keepNext/>
      <w:jc w:val="cente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0BFE"/>
    <w:pPr>
      <w:tabs>
        <w:tab w:val="center" w:pos="4153"/>
        <w:tab w:val="right" w:pos="8306"/>
      </w:tabs>
    </w:pPr>
  </w:style>
  <w:style w:type="paragraph" w:styleId="BlockText">
    <w:name w:val="Block Text"/>
    <w:basedOn w:val="Normal"/>
    <w:rsid w:val="001F0BFE"/>
    <w:pPr>
      <w:widowControl w:val="0"/>
      <w:pBdr>
        <w:top w:val="single" w:sz="4" w:space="12" w:color="auto"/>
        <w:bottom w:val="single" w:sz="4" w:space="12" w:color="auto"/>
      </w:pBdr>
      <w:spacing w:before="120" w:after="120"/>
      <w:ind w:left="1440" w:right="-227" w:hanging="1440"/>
    </w:pPr>
    <w:rPr>
      <w:b/>
      <w:snapToGrid w:val="0"/>
      <w:lang w:val="en-US" w:eastAsia="en-US"/>
    </w:rPr>
  </w:style>
  <w:style w:type="paragraph" w:styleId="BodyTextIndent">
    <w:name w:val="Body Text Indent"/>
    <w:basedOn w:val="Normal"/>
    <w:rsid w:val="001F0BFE"/>
    <w:pPr>
      <w:widowControl w:val="0"/>
      <w:tabs>
        <w:tab w:val="left" w:pos="-1440"/>
        <w:tab w:val="left" w:pos="-720"/>
        <w:tab w:val="left" w:pos="391"/>
      </w:tabs>
      <w:ind w:left="391" w:hanging="391"/>
    </w:pPr>
    <w:rPr>
      <w:b/>
      <w:snapToGrid w:val="0"/>
      <w:lang w:eastAsia="en-US"/>
    </w:rPr>
  </w:style>
  <w:style w:type="character" w:styleId="FootnoteReference">
    <w:name w:val="footnote reference"/>
    <w:basedOn w:val="DefaultParagraphFont"/>
    <w:semiHidden/>
    <w:rsid w:val="001F0BFE"/>
    <w:rPr>
      <w:vertAlign w:val="superscript"/>
    </w:rPr>
  </w:style>
  <w:style w:type="paragraph" w:styleId="TOC1">
    <w:name w:val="toc 1"/>
    <w:basedOn w:val="Normal"/>
    <w:next w:val="Normal"/>
    <w:autoRedefine/>
    <w:semiHidden/>
    <w:rsid w:val="001F0BFE"/>
    <w:pPr>
      <w:spacing w:after="120"/>
    </w:pPr>
    <w:rPr>
      <w:noProof/>
    </w:rPr>
  </w:style>
  <w:style w:type="paragraph" w:customStyle="1" w:styleId="indenta">
    <w:name w:val="indent(a)"/>
    <w:aliases w:val="a"/>
    <w:basedOn w:val="Normal"/>
    <w:rsid w:val="001F0BFE"/>
    <w:pPr>
      <w:tabs>
        <w:tab w:val="right" w:pos="1531"/>
      </w:tabs>
      <w:spacing w:before="40" w:line="240" w:lineRule="atLeast"/>
      <w:ind w:left="1644" w:hanging="1644"/>
    </w:pPr>
    <w:rPr>
      <w:rFonts w:ascii="Times" w:hAnsi="Times"/>
      <w:snapToGrid w:val="0"/>
      <w:sz w:val="22"/>
      <w:lang w:eastAsia="en-US"/>
    </w:rPr>
  </w:style>
  <w:style w:type="paragraph" w:customStyle="1" w:styleId="subsection2">
    <w:name w:val="subsection2"/>
    <w:aliases w:val="ss2"/>
    <w:basedOn w:val="Normal"/>
    <w:next w:val="Normal"/>
    <w:rsid w:val="001F0BFE"/>
    <w:pPr>
      <w:spacing w:before="40" w:line="260" w:lineRule="atLeast"/>
      <w:ind w:left="1134"/>
    </w:pPr>
    <w:rPr>
      <w:rFonts w:ascii="Times" w:hAnsi="Times"/>
      <w:sz w:val="22"/>
      <w:lang w:eastAsia="en-US"/>
    </w:rPr>
  </w:style>
  <w:style w:type="paragraph" w:styleId="BodyTextIndent3">
    <w:name w:val="Body Text Indent 3"/>
    <w:basedOn w:val="Normal"/>
    <w:rsid w:val="001F0BFE"/>
    <w:pPr>
      <w:ind w:left="1644" w:hanging="567"/>
    </w:pPr>
  </w:style>
  <w:style w:type="paragraph" w:styleId="BodyTextIndent2">
    <w:name w:val="Body Text Indent 2"/>
    <w:basedOn w:val="Normal"/>
    <w:rsid w:val="001F0BFE"/>
    <w:pPr>
      <w:ind w:left="1644" w:firstLine="567"/>
    </w:pPr>
  </w:style>
  <w:style w:type="paragraph" w:styleId="CommentText">
    <w:name w:val="annotation text"/>
    <w:basedOn w:val="Normal"/>
    <w:link w:val="CommentTextChar"/>
    <w:semiHidden/>
    <w:rsid w:val="001F0BFE"/>
    <w:rPr>
      <w:sz w:val="20"/>
    </w:rPr>
  </w:style>
  <w:style w:type="paragraph" w:styleId="FootnoteText">
    <w:name w:val="footnote text"/>
    <w:basedOn w:val="Normal"/>
    <w:semiHidden/>
    <w:rsid w:val="001F0BFE"/>
    <w:rPr>
      <w:sz w:val="20"/>
    </w:rPr>
  </w:style>
  <w:style w:type="character" w:styleId="PageNumber">
    <w:name w:val="page number"/>
    <w:basedOn w:val="DefaultParagraphFont"/>
    <w:rsid w:val="001F0BFE"/>
  </w:style>
  <w:style w:type="paragraph" w:styleId="Footer">
    <w:name w:val="footer"/>
    <w:basedOn w:val="Normal"/>
    <w:rsid w:val="001F0BFE"/>
    <w:pPr>
      <w:tabs>
        <w:tab w:val="center" w:pos="4153"/>
        <w:tab w:val="right" w:pos="8306"/>
      </w:tabs>
    </w:pPr>
  </w:style>
  <w:style w:type="paragraph" w:styleId="BodyText">
    <w:name w:val="Body Text"/>
    <w:basedOn w:val="Normal"/>
    <w:rsid w:val="001F0BFE"/>
    <w:pPr>
      <w:jc w:val="both"/>
    </w:pPr>
    <w:rPr>
      <w:b/>
    </w:rPr>
  </w:style>
  <w:style w:type="character" w:customStyle="1" w:styleId="pubtitle">
    <w:name w:val="pubtitle"/>
    <w:basedOn w:val="DefaultParagraphFont"/>
    <w:rsid w:val="00F801D3"/>
  </w:style>
  <w:style w:type="paragraph" w:customStyle="1" w:styleId="Char1">
    <w:name w:val="Char1"/>
    <w:basedOn w:val="Normal"/>
    <w:rsid w:val="00DA0DF1"/>
    <w:rPr>
      <w:rFonts w:ascii="Arial" w:hAnsi="Arial" w:cs="Arial"/>
      <w:sz w:val="22"/>
      <w:szCs w:val="22"/>
      <w:lang w:eastAsia="en-US"/>
    </w:rPr>
  </w:style>
  <w:style w:type="paragraph" w:styleId="EndnoteText">
    <w:name w:val="endnote text"/>
    <w:basedOn w:val="Normal"/>
    <w:link w:val="EndnoteTextChar"/>
    <w:rsid w:val="002E1CF5"/>
    <w:rPr>
      <w:sz w:val="20"/>
    </w:rPr>
  </w:style>
  <w:style w:type="character" w:customStyle="1" w:styleId="EndnoteTextChar">
    <w:name w:val="Endnote Text Char"/>
    <w:basedOn w:val="DefaultParagraphFont"/>
    <w:link w:val="EndnoteText"/>
    <w:rsid w:val="002E1CF5"/>
  </w:style>
  <w:style w:type="character" w:styleId="EndnoteReference">
    <w:name w:val="endnote reference"/>
    <w:basedOn w:val="DefaultParagraphFont"/>
    <w:rsid w:val="002E1CF5"/>
    <w:rPr>
      <w:vertAlign w:val="superscript"/>
    </w:rPr>
  </w:style>
  <w:style w:type="paragraph" w:styleId="NormalWeb">
    <w:name w:val="Normal (Web)"/>
    <w:basedOn w:val="Normal"/>
    <w:uiPriority w:val="99"/>
    <w:unhideWhenUsed/>
    <w:rsid w:val="00E63C95"/>
    <w:pPr>
      <w:spacing w:before="100" w:beforeAutospacing="1" w:after="100" w:afterAutospacing="1"/>
    </w:pPr>
    <w:rPr>
      <w:szCs w:val="24"/>
      <w:lang w:val="en-US" w:eastAsia="en-US"/>
    </w:rPr>
  </w:style>
  <w:style w:type="paragraph" w:styleId="BalloonText">
    <w:name w:val="Balloon Text"/>
    <w:basedOn w:val="Normal"/>
    <w:link w:val="BalloonTextChar"/>
    <w:rsid w:val="00B66540"/>
    <w:rPr>
      <w:rFonts w:ascii="Tahoma" w:hAnsi="Tahoma" w:cs="Tahoma"/>
      <w:sz w:val="16"/>
      <w:szCs w:val="16"/>
    </w:rPr>
  </w:style>
  <w:style w:type="character" w:customStyle="1" w:styleId="BalloonTextChar">
    <w:name w:val="Balloon Text Char"/>
    <w:basedOn w:val="DefaultParagraphFont"/>
    <w:link w:val="BalloonText"/>
    <w:rsid w:val="00B66540"/>
    <w:rPr>
      <w:rFonts w:ascii="Tahoma" w:hAnsi="Tahoma" w:cs="Tahoma"/>
      <w:sz w:val="16"/>
      <w:szCs w:val="16"/>
    </w:rPr>
  </w:style>
  <w:style w:type="character" w:styleId="CommentReference">
    <w:name w:val="annotation reference"/>
    <w:basedOn w:val="DefaultParagraphFont"/>
    <w:rsid w:val="001C0464"/>
    <w:rPr>
      <w:sz w:val="16"/>
      <w:szCs w:val="16"/>
    </w:rPr>
  </w:style>
  <w:style w:type="paragraph" w:styleId="CommentSubject">
    <w:name w:val="annotation subject"/>
    <w:basedOn w:val="CommentText"/>
    <w:next w:val="CommentText"/>
    <w:link w:val="CommentSubjectChar"/>
    <w:rsid w:val="001C0464"/>
    <w:rPr>
      <w:b/>
      <w:bCs/>
    </w:rPr>
  </w:style>
  <w:style w:type="character" w:customStyle="1" w:styleId="CommentTextChar">
    <w:name w:val="Comment Text Char"/>
    <w:basedOn w:val="DefaultParagraphFont"/>
    <w:link w:val="CommentText"/>
    <w:semiHidden/>
    <w:rsid w:val="001C0464"/>
  </w:style>
  <w:style w:type="character" w:customStyle="1" w:styleId="CommentSubjectChar">
    <w:name w:val="Comment Subject Char"/>
    <w:basedOn w:val="CommentTextChar"/>
    <w:link w:val="CommentSubject"/>
    <w:rsid w:val="001C0464"/>
  </w:style>
  <w:style w:type="character" w:styleId="Hyperlink">
    <w:name w:val="Hyperlink"/>
    <w:basedOn w:val="DefaultParagraphFont"/>
    <w:uiPriority w:val="99"/>
    <w:unhideWhenUsed/>
    <w:rsid w:val="008B7785"/>
    <w:rPr>
      <w:color w:val="0000FF"/>
      <w:u w:val="single"/>
    </w:rPr>
  </w:style>
</w:styles>
</file>

<file path=word/webSettings.xml><?xml version="1.0" encoding="utf-8"?>
<w:webSettings xmlns:r="http://schemas.openxmlformats.org/officeDocument/2006/relationships" xmlns:w="http://schemas.openxmlformats.org/wordprocessingml/2006/main">
  <w:divs>
    <w:div w:id="920985945">
      <w:bodyDiv w:val="1"/>
      <w:marLeft w:val="0"/>
      <w:marRight w:val="0"/>
      <w:marTop w:val="0"/>
      <w:marBottom w:val="0"/>
      <w:divBdr>
        <w:top w:val="none" w:sz="0" w:space="0" w:color="auto"/>
        <w:left w:val="none" w:sz="0" w:space="0" w:color="auto"/>
        <w:bottom w:val="none" w:sz="0" w:space="0" w:color="auto"/>
        <w:right w:val="none" w:sz="0" w:space="0" w:color="auto"/>
      </w:divBdr>
      <w:divsChild>
        <w:div w:id="79567942">
          <w:marLeft w:val="0"/>
          <w:marRight w:val="0"/>
          <w:marTop w:val="0"/>
          <w:marBottom w:val="0"/>
          <w:divBdr>
            <w:top w:val="none" w:sz="0" w:space="0" w:color="auto"/>
            <w:left w:val="none" w:sz="0" w:space="0" w:color="auto"/>
            <w:bottom w:val="none" w:sz="0" w:space="0" w:color="auto"/>
            <w:right w:val="none" w:sz="0" w:space="0" w:color="auto"/>
          </w:divBdr>
          <w:divsChild>
            <w:div w:id="190608202">
              <w:marLeft w:val="0"/>
              <w:marRight w:val="0"/>
              <w:marTop w:val="0"/>
              <w:marBottom w:val="0"/>
              <w:divBdr>
                <w:top w:val="none" w:sz="0" w:space="0" w:color="auto"/>
                <w:left w:val="none" w:sz="0" w:space="0" w:color="auto"/>
                <w:bottom w:val="none" w:sz="0" w:space="0" w:color="auto"/>
                <w:right w:val="none" w:sz="0" w:space="0" w:color="auto"/>
              </w:divBdr>
              <w:divsChild>
                <w:div w:id="673655618">
                  <w:marLeft w:val="0"/>
                  <w:marRight w:val="0"/>
                  <w:marTop w:val="0"/>
                  <w:marBottom w:val="0"/>
                  <w:divBdr>
                    <w:top w:val="none" w:sz="0" w:space="0" w:color="auto"/>
                    <w:left w:val="none" w:sz="0" w:space="0" w:color="auto"/>
                    <w:bottom w:val="none" w:sz="0" w:space="0" w:color="auto"/>
                    <w:right w:val="none" w:sz="0" w:space="0" w:color="auto"/>
                  </w:divBdr>
                  <w:divsChild>
                    <w:div w:id="431170553">
                      <w:marLeft w:val="0"/>
                      <w:marRight w:val="0"/>
                      <w:marTop w:val="0"/>
                      <w:marBottom w:val="0"/>
                      <w:divBdr>
                        <w:top w:val="none" w:sz="0" w:space="0" w:color="auto"/>
                        <w:left w:val="none" w:sz="0" w:space="0" w:color="auto"/>
                        <w:bottom w:val="none" w:sz="0" w:space="0" w:color="auto"/>
                        <w:right w:val="none" w:sz="0" w:space="0" w:color="auto"/>
                      </w:divBdr>
                      <w:divsChild>
                        <w:div w:id="342628081">
                          <w:marLeft w:val="0"/>
                          <w:marRight w:val="0"/>
                          <w:marTop w:val="0"/>
                          <w:marBottom w:val="0"/>
                          <w:divBdr>
                            <w:top w:val="single" w:sz="4" w:space="0" w:color="828282"/>
                            <w:left w:val="single" w:sz="4" w:space="0" w:color="828282"/>
                            <w:bottom w:val="single" w:sz="4" w:space="0" w:color="828282"/>
                            <w:right w:val="single" w:sz="4" w:space="0" w:color="828282"/>
                          </w:divBdr>
                          <w:divsChild>
                            <w:div w:id="484246749">
                              <w:marLeft w:val="0"/>
                              <w:marRight w:val="0"/>
                              <w:marTop w:val="0"/>
                              <w:marBottom w:val="0"/>
                              <w:divBdr>
                                <w:top w:val="none" w:sz="0" w:space="0" w:color="auto"/>
                                <w:left w:val="none" w:sz="0" w:space="0" w:color="auto"/>
                                <w:bottom w:val="none" w:sz="0" w:space="0" w:color="auto"/>
                                <w:right w:val="none" w:sz="0" w:space="0" w:color="auto"/>
                              </w:divBdr>
                              <w:divsChild>
                                <w:div w:id="1231424900">
                                  <w:marLeft w:val="0"/>
                                  <w:marRight w:val="0"/>
                                  <w:marTop w:val="0"/>
                                  <w:marBottom w:val="0"/>
                                  <w:divBdr>
                                    <w:top w:val="none" w:sz="0" w:space="0" w:color="auto"/>
                                    <w:left w:val="none" w:sz="0" w:space="0" w:color="auto"/>
                                    <w:bottom w:val="none" w:sz="0" w:space="0" w:color="auto"/>
                                    <w:right w:val="none" w:sz="0" w:space="0" w:color="auto"/>
                                  </w:divBdr>
                                  <w:divsChild>
                                    <w:div w:id="1898082487">
                                      <w:marLeft w:val="0"/>
                                      <w:marRight w:val="0"/>
                                      <w:marTop w:val="0"/>
                                      <w:marBottom w:val="0"/>
                                      <w:divBdr>
                                        <w:top w:val="none" w:sz="0" w:space="0" w:color="auto"/>
                                        <w:left w:val="none" w:sz="0" w:space="0" w:color="auto"/>
                                        <w:bottom w:val="none" w:sz="0" w:space="0" w:color="auto"/>
                                        <w:right w:val="none" w:sz="0" w:space="0" w:color="auto"/>
                                      </w:divBdr>
                                      <w:divsChild>
                                        <w:div w:id="979967701">
                                          <w:marLeft w:val="0"/>
                                          <w:marRight w:val="0"/>
                                          <w:marTop w:val="0"/>
                                          <w:marBottom w:val="0"/>
                                          <w:divBdr>
                                            <w:top w:val="none" w:sz="0" w:space="0" w:color="auto"/>
                                            <w:left w:val="none" w:sz="0" w:space="0" w:color="auto"/>
                                            <w:bottom w:val="none" w:sz="0" w:space="0" w:color="auto"/>
                                            <w:right w:val="none" w:sz="0" w:space="0" w:color="auto"/>
                                          </w:divBdr>
                                          <w:divsChild>
                                            <w:div w:id="1581871710">
                                              <w:marLeft w:val="0"/>
                                              <w:marRight w:val="0"/>
                                              <w:marTop w:val="0"/>
                                              <w:marBottom w:val="0"/>
                                              <w:divBdr>
                                                <w:top w:val="none" w:sz="0" w:space="0" w:color="auto"/>
                                                <w:left w:val="none" w:sz="0" w:space="0" w:color="auto"/>
                                                <w:bottom w:val="none" w:sz="0" w:space="0" w:color="auto"/>
                                                <w:right w:val="none" w:sz="0" w:space="0" w:color="auto"/>
                                              </w:divBdr>
                                              <w:divsChild>
                                                <w:div w:id="12340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B13BF-F543-4532-870E-EC7423499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2</Pages>
  <Words>448</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HFS</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carteb</dc:creator>
  <cp:lastModifiedBy>Carter, Bless</cp:lastModifiedBy>
  <cp:revision>2</cp:revision>
  <cp:lastPrinted>2011-07-25T05:00:00Z</cp:lastPrinted>
  <dcterms:created xsi:type="dcterms:W3CDTF">2011-10-19T00:51:00Z</dcterms:created>
  <dcterms:modified xsi:type="dcterms:W3CDTF">2011-10-19T00:51:00Z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