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C2" w:rsidRPr="0000674E" w:rsidRDefault="006E55C2">
      <w:pPr>
        <w:jc w:val="center"/>
      </w:pPr>
    </w:p>
    <w:p w:rsidR="006E55C2" w:rsidRPr="0000674E" w:rsidRDefault="006E55C2">
      <w:pPr>
        <w:jc w:val="center"/>
        <w:rPr>
          <w:b/>
        </w:rPr>
      </w:pPr>
      <w:r w:rsidRPr="0000674E">
        <w:rPr>
          <w:b/>
        </w:rPr>
        <w:t xml:space="preserve">EXPLANATORY STATEMENT </w:t>
      </w:r>
    </w:p>
    <w:p w:rsidR="006E55C2" w:rsidRPr="0000674E" w:rsidRDefault="006E55C2">
      <w:pPr>
        <w:ind w:left="1134" w:hanging="1134"/>
        <w:rPr>
          <w:b/>
        </w:rPr>
      </w:pPr>
    </w:p>
    <w:p w:rsidR="00574DF9" w:rsidRDefault="00574DF9"/>
    <w:p w:rsidR="00491F10" w:rsidRPr="006E7966" w:rsidRDefault="00491F10" w:rsidP="00491F10">
      <w:pPr>
        <w:ind w:left="1134" w:hanging="1134"/>
        <w:rPr>
          <w:b/>
        </w:rPr>
      </w:pPr>
      <w:r w:rsidRPr="0000674E">
        <w:rPr>
          <w:b/>
        </w:rPr>
        <w:t>Subject</w:t>
      </w:r>
      <w:r>
        <w:rPr>
          <w:b/>
        </w:rPr>
        <w:t>:</w:t>
      </w:r>
      <w:r>
        <w:rPr>
          <w:b/>
        </w:rPr>
        <w:tab/>
        <w:t xml:space="preserve">THERAPEUTIC GOODS ORDER NO. </w:t>
      </w:r>
      <w:r w:rsidR="007D2F47">
        <w:rPr>
          <w:b/>
        </w:rPr>
        <w:t>90</w:t>
      </w:r>
      <w:r w:rsidRPr="0000674E">
        <w:rPr>
          <w:b/>
        </w:rPr>
        <w:t xml:space="preserve"> – </w:t>
      </w:r>
      <w:r w:rsidRPr="006E7966">
        <w:rPr>
          <w:b/>
        </w:rPr>
        <w:t xml:space="preserve">Standard for </w:t>
      </w:r>
      <w:r>
        <w:rPr>
          <w:b/>
        </w:rPr>
        <w:t>human albumin</w:t>
      </w:r>
    </w:p>
    <w:p w:rsidR="00491F10" w:rsidRPr="0000674E" w:rsidRDefault="00491F10" w:rsidP="00491F10">
      <w:pPr>
        <w:rPr>
          <w:b/>
        </w:rPr>
      </w:pPr>
    </w:p>
    <w:p w:rsidR="00491F10" w:rsidRPr="0000674E" w:rsidRDefault="00491F10" w:rsidP="00491F10">
      <w:pPr>
        <w:pStyle w:val="Heading5"/>
      </w:pPr>
      <w:r w:rsidRPr="0000674E">
        <w:t>Section 10, Therapeutic Goods Act 1989</w:t>
      </w:r>
    </w:p>
    <w:p w:rsidR="00491F10" w:rsidRPr="0000674E" w:rsidRDefault="00491F10" w:rsidP="00491F10">
      <w:pPr>
        <w:rPr>
          <w:b/>
        </w:rPr>
      </w:pPr>
    </w:p>
    <w:p w:rsidR="00491F10" w:rsidRPr="0000674E" w:rsidRDefault="00491F10" w:rsidP="00491F10">
      <w:pPr>
        <w:pStyle w:val="Heading3"/>
      </w:pPr>
      <w:r w:rsidRPr="0000674E">
        <w:t>OUTLINE</w:t>
      </w:r>
    </w:p>
    <w:p w:rsidR="00491F10" w:rsidRPr="00826832" w:rsidRDefault="00491F10" w:rsidP="00491F10">
      <w:r>
        <w:t xml:space="preserve">Therapeutic Goods Order No. </w:t>
      </w:r>
      <w:r w:rsidR="007D2F47">
        <w:t>90</w:t>
      </w:r>
      <w:r>
        <w:t xml:space="preserve"> </w:t>
      </w:r>
      <w:r w:rsidRPr="006E7966">
        <w:t xml:space="preserve">Standard for </w:t>
      </w:r>
      <w:r>
        <w:t xml:space="preserve">human albumin (TGO </w:t>
      </w:r>
      <w:r w:rsidR="007D2F47">
        <w:t>90</w:t>
      </w:r>
      <w:r w:rsidRPr="0000674E">
        <w:t xml:space="preserve">) is an Order made by the delegate of the Minister for Health and Ageing under section 10 of the </w:t>
      </w:r>
      <w:r w:rsidRPr="0000674E">
        <w:rPr>
          <w:i/>
        </w:rPr>
        <w:t xml:space="preserve">Therapeutic Goods Act 1989 </w:t>
      </w:r>
      <w:r w:rsidRPr="0000674E">
        <w:t>(the Act)</w:t>
      </w:r>
      <w:r w:rsidRPr="0000674E">
        <w:rPr>
          <w:i/>
        </w:rPr>
        <w:t>.</w:t>
      </w:r>
    </w:p>
    <w:p w:rsidR="00491F10" w:rsidRPr="0000674E" w:rsidRDefault="00491F10" w:rsidP="00491F10">
      <w:pPr>
        <w:rPr>
          <w:i/>
        </w:rPr>
      </w:pPr>
    </w:p>
    <w:p w:rsidR="00491F10" w:rsidRPr="0000674E" w:rsidRDefault="00491F10" w:rsidP="00491F10">
      <w:r>
        <w:t xml:space="preserve">TGO </w:t>
      </w:r>
      <w:r w:rsidR="007D2F47">
        <w:t>90</w:t>
      </w:r>
      <w:r w:rsidRPr="0000674E">
        <w:t xml:space="preserve"> </w:t>
      </w:r>
      <w:r>
        <w:t xml:space="preserve">determines that the matters specified in the instrument constitute the standard for human albumin.  </w:t>
      </w:r>
    </w:p>
    <w:p w:rsidR="00491F10" w:rsidRPr="0000674E" w:rsidRDefault="00491F10" w:rsidP="00491F10"/>
    <w:p w:rsidR="00491F10" w:rsidRPr="0000674E" w:rsidRDefault="00491F10" w:rsidP="00491F10">
      <w:r>
        <w:t xml:space="preserve">TGO </w:t>
      </w:r>
      <w:r w:rsidR="007D2F47">
        <w:t>90</w:t>
      </w:r>
      <w:r>
        <w:t xml:space="preserve"> </w:t>
      </w:r>
      <w:r w:rsidRPr="0000674E">
        <w:t>comme</w:t>
      </w:r>
      <w:r>
        <w:t xml:space="preserve">nced on the day after </w:t>
      </w:r>
      <w:r w:rsidR="001F5FDC">
        <w:t xml:space="preserve">the day </w:t>
      </w:r>
      <w:r>
        <w:t>it was registered on the Federal Register of Legislative Instruments</w:t>
      </w:r>
      <w:r w:rsidRPr="0000674E">
        <w:t>.</w:t>
      </w:r>
    </w:p>
    <w:p w:rsidR="00491F10" w:rsidRPr="0000674E" w:rsidRDefault="00491F10" w:rsidP="00491F10"/>
    <w:p w:rsidR="00491F10" w:rsidRPr="0000674E" w:rsidRDefault="00491F10" w:rsidP="00491F10">
      <w:pPr>
        <w:pStyle w:val="Heading3"/>
      </w:pPr>
      <w:r w:rsidRPr="0000674E">
        <w:t>BACKGROUND</w:t>
      </w:r>
    </w:p>
    <w:p w:rsidR="00491F10" w:rsidRPr="0000674E" w:rsidRDefault="00491F10" w:rsidP="00491F10">
      <w:r w:rsidRPr="0000674E">
        <w:t>The Act provides for the establishment and maintenance of a national system of controls relating to the quality, safety, efficacy and timely availability of therapeutic goods for use in humans.  The Therapeutic Goods Administration (TGA) is responsible for administering the Act.</w:t>
      </w:r>
    </w:p>
    <w:p w:rsidR="00491F10" w:rsidRPr="0000674E" w:rsidRDefault="00491F10" w:rsidP="00491F10"/>
    <w:p w:rsidR="00491F10" w:rsidRPr="0000674E" w:rsidRDefault="00491F10" w:rsidP="00491F10">
      <w:r w:rsidRPr="0000674E">
        <w:t xml:space="preserve">Section 10 of the Act </w:t>
      </w:r>
      <w:r>
        <w:t xml:space="preserve">authorises </w:t>
      </w:r>
      <w:r w:rsidRPr="0000674E">
        <w:t>the Minister, or the Minister's delegate,  to determine standards for therapeutic goods, or to amend or revoke existing standards, after consultation</w:t>
      </w:r>
      <w:r>
        <w:t xml:space="preserve"> </w:t>
      </w:r>
      <w:r w:rsidRPr="0000674E">
        <w:t>with the Therapeutic Goods Committee</w:t>
      </w:r>
      <w:r>
        <w:t xml:space="preserve"> (TGC)</w:t>
      </w:r>
      <w:r w:rsidRPr="0000674E">
        <w:t xml:space="preserve">, a committee established by the </w:t>
      </w:r>
      <w:r w:rsidRPr="001F5FDC">
        <w:t>Therapeutic Goods Regulations 1990</w:t>
      </w:r>
      <w:r w:rsidRPr="0000674E">
        <w:t xml:space="preserve"> (the Regulations) to advise the Minister on </w:t>
      </w:r>
      <w:r>
        <w:t xml:space="preserve">matters relating to </w:t>
      </w:r>
      <w:r w:rsidRPr="0000674E">
        <w:t>standards.</w:t>
      </w:r>
    </w:p>
    <w:p w:rsidR="00491F10" w:rsidRDefault="00491F10" w:rsidP="00491F10"/>
    <w:p w:rsidR="00491F10" w:rsidRDefault="00491F10" w:rsidP="00491F10">
      <w:r>
        <w:t>Unless consent is granted by the Secretary under section 14 or 14A of the Act, therapeutic goods imported into Australia, supplied in Australia or exported from Australia must comply with any applicable standard.</w:t>
      </w:r>
    </w:p>
    <w:p w:rsidR="00491F10" w:rsidRDefault="00491F10" w:rsidP="00491F10"/>
    <w:p w:rsidR="00491F10" w:rsidRDefault="00491F10" w:rsidP="00491F10">
      <w:r>
        <w:t xml:space="preserve">TGO </w:t>
      </w:r>
      <w:r w:rsidR="007D2F47">
        <w:t>90</w:t>
      </w:r>
      <w:r>
        <w:t xml:space="preserve"> is a new standard made under section 10 of the Act, and </w:t>
      </w:r>
      <w:r w:rsidRPr="001442EB">
        <w:t>applies to</w:t>
      </w:r>
      <w:r>
        <w:t xml:space="preserve"> human albumin used </w:t>
      </w:r>
      <w:r w:rsidR="001F5FDC">
        <w:t xml:space="preserve">as </w:t>
      </w:r>
      <w:r w:rsidR="00467D06">
        <w:t xml:space="preserve">a </w:t>
      </w:r>
      <w:r>
        <w:t>therapeutic good</w:t>
      </w:r>
      <w:r w:rsidR="00467D06">
        <w:t xml:space="preserve"> or as an ingredient in a therapeutic good.</w:t>
      </w:r>
      <w:r>
        <w:t xml:space="preserve">  </w:t>
      </w:r>
    </w:p>
    <w:p w:rsidR="00491F10" w:rsidRDefault="00491F10" w:rsidP="00491F10"/>
    <w:p w:rsidR="00491F10" w:rsidRDefault="00491F10" w:rsidP="00491F10">
      <w:pPr>
        <w:rPr>
          <w:szCs w:val="24"/>
          <w:lang w:eastAsia="en-US"/>
        </w:rPr>
      </w:pPr>
      <w:r>
        <w:t xml:space="preserve">TGO </w:t>
      </w:r>
      <w:r w:rsidR="007D2F47">
        <w:t>90</w:t>
      </w:r>
      <w:r>
        <w:t xml:space="preserve"> specifies that human albumin complies with the monographs of the British Pharmacopoeia or the European Pharmacopoeia</w:t>
      </w:r>
      <w:r w:rsidR="000E6F8C">
        <w:t xml:space="preserve"> for </w:t>
      </w:r>
      <w:r w:rsidR="0028226E">
        <w:t xml:space="preserve">human albumin.  </w:t>
      </w:r>
      <w:r w:rsidR="00467D06">
        <w:t>There is no</w:t>
      </w:r>
      <w:r w:rsidR="001F5FDC">
        <w:t xml:space="preserve"> difference between the requirements of the British and European pharmacopoeias.</w:t>
      </w:r>
      <w:r w:rsidR="00467D06">
        <w:t xml:space="preserve"> </w:t>
      </w:r>
    </w:p>
    <w:p w:rsidR="00491F10" w:rsidRPr="002E1CF5" w:rsidRDefault="00491F10" w:rsidP="00491F10">
      <w:pPr>
        <w:rPr>
          <w:szCs w:val="24"/>
          <w:lang w:eastAsia="en-US"/>
        </w:rPr>
      </w:pPr>
    </w:p>
    <w:p w:rsidR="00491F10" w:rsidRPr="00B4684E" w:rsidRDefault="00491F10" w:rsidP="00491F10">
      <w:pPr>
        <w:rPr>
          <w:b/>
        </w:rPr>
      </w:pPr>
      <w:r w:rsidRPr="00B4684E">
        <w:rPr>
          <w:b/>
        </w:rPr>
        <w:t>CONSUL</w:t>
      </w:r>
      <w:r>
        <w:rPr>
          <w:b/>
        </w:rPr>
        <w:t>T</w:t>
      </w:r>
      <w:r w:rsidRPr="00B4684E">
        <w:rPr>
          <w:b/>
        </w:rPr>
        <w:t>ATION</w:t>
      </w:r>
    </w:p>
    <w:p w:rsidR="00491F10" w:rsidRDefault="00491F10" w:rsidP="00491F10">
      <w:r w:rsidRPr="00C119C7">
        <w:t xml:space="preserve">A draft TGO was made available </w:t>
      </w:r>
      <w:r>
        <w:t xml:space="preserve">by the TGA </w:t>
      </w:r>
      <w:r w:rsidRPr="00C119C7">
        <w:t>for public consultation in</w:t>
      </w:r>
      <w:r w:rsidR="007D2F47">
        <w:t xml:space="preserve"> September</w:t>
      </w:r>
      <w:r w:rsidRPr="00C119C7">
        <w:t xml:space="preserve"> 2009.</w:t>
      </w:r>
      <w:r w:rsidR="001F5FDC">
        <w:t xml:space="preserve"> It was published on the TGA Internet site and key stakeholders were informed.</w:t>
      </w:r>
      <w:r w:rsidRPr="00C119C7">
        <w:t xml:space="preserve"> </w:t>
      </w:r>
      <w:r>
        <w:t xml:space="preserve"> </w:t>
      </w:r>
      <w:r w:rsidR="001F5FDC">
        <w:t xml:space="preserve">There were three responses. </w:t>
      </w:r>
    </w:p>
    <w:p w:rsidR="001F5FDC" w:rsidRDefault="001F5FDC" w:rsidP="00491F10"/>
    <w:p w:rsidR="007D2F47" w:rsidRDefault="00491F10" w:rsidP="007D2F47">
      <w:r>
        <w:t xml:space="preserve">At its </w:t>
      </w:r>
      <w:r w:rsidR="007D2F47">
        <w:t>36</w:t>
      </w:r>
      <w:r w:rsidR="007D2F47" w:rsidRPr="007D2F47">
        <w:rPr>
          <w:vertAlign w:val="superscript"/>
        </w:rPr>
        <w:t>th</w:t>
      </w:r>
      <w:r w:rsidR="007D2F47">
        <w:t xml:space="preserve"> </w:t>
      </w:r>
      <w:r>
        <w:t xml:space="preserve">meeting in August 2010, </w:t>
      </w:r>
      <w:r w:rsidRPr="0000674E">
        <w:t>the Therapeutic Goods Committee</w:t>
      </w:r>
      <w:r>
        <w:t xml:space="preserve"> (TGC)</w:t>
      </w:r>
      <w:r w:rsidRPr="0000674E">
        <w:t xml:space="preserve"> advise</w:t>
      </w:r>
      <w:r>
        <w:t>d</w:t>
      </w:r>
      <w:r w:rsidRPr="0000674E">
        <w:t xml:space="preserve"> the Minister </w:t>
      </w:r>
      <w:r>
        <w:t xml:space="preserve">and the TGA that </w:t>
      </w:r>
      <w:r w:rsidR="007D2F47" w:rsidRPr="007D2F47">
        <w:t xml:space="preserve">the draft </w:t>
      </w:r>
      <w:r w:rsidR="007D2F47">
        <w:t>Order</w:t>
      </w:r>
      <w:r w:rsidR="007D2F47" w:rsidRPr="007D2F47">
        <w:t xml:space="preserve"> should be amended to reflect that personal importation of medicines containing human albumin </w:t>
      </w:r>
      <w:r w:rsidR="007D2F47">
        <w:t>sh</w:t>
      </w:r>
      <w:r w:rsidR="007D2F47" w:rsidRPr="007D2F47">
        <w:t>ould be subject to the Order</w:t>
      </w:r>
      <w:r w:rsidR="007D2F47">
        <w:t xml:space="preserve">, and that </w:t>
      </w:r>
      <w:r w:rsidR="007D2F47">
        <w:lastRenderedPageBreak/>
        <w:t xml:space="preserve">the Order </w:t>
      </w:r>
      <w:r w:rsidR="007D2F47" w:rsidRPr="007D2F47">
        <w:t xml:space="preserve">should be finalised </w:t>
      </w:r>
      <w:r w:rsidR="007D2F47">
        <w:t xml:space="preserve">and </w:t>
      </w:r>
      <w:r w:rsidR="007D2F47" w:rsidRPr="007D2F47">
        <w:t>should take effect from its date of entry onto the Federal Register of Legislative Instruments.</w:t>
      </w:r>
    </w:p>
    <w:p w:rsidR="001F5FDC" w:rsidRDefault="001F5FDC" w:rsidP="007D2F47"/>
    <w:p w:rsidR="001F5FDC" w:rsidRDefault="001F5FDC" w:rsidP="001F5FDC">
      <w:r>
        <w:t xml:space="preserve">The registered version of TGO 90 is not materially different to the consultation draft. </w:t>
      </w:r>
    </w:p>
    <w:p w:rsidR="00491F10" w:rsidRDefault="00491F10" w:rsidP="00491F10"/>
    <w:p w:rsidR="00491F10" w:rsidRPr="0000674E" w:rsidRDefault="00491F10" w:rsidP="00491F10">
      <w:pPr>
        <w:pStyle w:val="Heading3"/>
      </w:pPr>
      <w:r w:rsidRPr="0000674E">
        <w:t>REGULATION IMPACT STATEMENT</w:t>
      </w:r>
    </w:p>
    <w:p w:rsidR="00491F10" w:rsidRDefault="00491F10" w:rsidP="00491F10">
      <w:r w:rsidRPr="0000674E">
        <w:t xml:space="preserve">The Office of </w:t>
      </w:r>
      <w:r>
        <w:t xml:space="preserve">Best Practice </w:t>
      </w:r>
      <w:r w:rsidRPr="0000674E">
        <w:t xml:space="preserve">Regulation has agreed that no Regulation Impact Statement is necessary </w:t>
      </w:r>
      <w:r>
        <w:t xml:space="preserve">for TGO </w:t>
      </w:r>
      <w:r w:rsidR="007D2F47">
        <w:t>90</w:t>
      </w:r>
      <w:r>
        <w:t xml:space="preserve"> </w:t>
      </w:r>
      <w:r w:rsidRPr="0000674E">
        <w:t>(O</w:t>
      </w:r>
      <w:r w:rsidR="001D7533">
        <w:t xml:space="preserve">BPR reference </w:t>
      </w:r>
      <w:r w:rsidRPr="0000674E">
        <w:t xml:space="preserve">number </w:t>
      </w:r>
      <w:r w:rsidR="001D7533">
        <w:t>11770</w:t>
      </w:r>
      <w:r>
        <w:t>).</w:t>
      </w:r>
    </w:p>
    <w:p w:rsidR="00491F10" w:rsidRDefault="00491F10" w:rsidP="00491F10"/>
    <w:p w:rsidR="00491F10" w:rsidRDefault="0022714C" w:rsidP="0022714C">
      <w:pPr>
        <w:pStyle w:val="Heading3"/>
      </w:pPr>
      <w:r>
        <w:t>REFERENCED DOCUMENTS</w:t>
      </w:r>
    </w:p>
    <w:p w:rsidR="0028226E" w:rsidRDefault="0022714C" w:rsidP="0022714C">
      <w:pPr>
        <w:spacing w:before="100" w:beforeAutospacing="1" w:after="100" w:afterAutospacing="1"/>
      </w:pPr>
      <w:r>
        <w:t xml:space="preserve">Information on the documents referred to in TGO </w:t>
      </w:r>
      <w:r w:rsidR="001D7533">
        <w:t>90</w:t>
      </w:r>
      <w:r>
        <w:t xml:space="preserve"> </w:t>
      </w:r>
      <w:r w:rsidR="0028226E">
        <w:t xml:space="preserve">or this Explanatory Statement </w:t>
      </w:r>
      <w:r>
        <w:t>follows</w:t>
      </w:r>
      <w:r w:rsidR="0028226E">
        <w:t>.</w:t>
      </w:r>
    </w:p>
    <w:p w:rsidR="0028226E" w:rsidRDefault="0022714C" w:rsidP="00EA7EC4">
      <w:pPr>
        <w:numPr>
          <w:ilvl w:val="0"/>
          <w:numId w:val="6"/>
        </w:numPr>
        <w:spacing w:before="100" w:beforeAutospacing="1" w:after="100" w:afterAutospacing="1"/>
      </w:pPr>
      <w:r>
        <w:t xml:space="preserve">The current definition of the </w:t>
      </w:r>
      <w:r w:rsidRPr="00EA7EC4">
        <w:rPr>
          <w:b/>
          <w:bCs/>
          <w:i/>
          <w:iCs/>
        </w:rPr>
        <w:t>British Pharmacopoeia</w:t>
      </w:r>
      <w:r>
        <w:t xml:space="preserve"> under subsection 3(1) of the Act is the British Pharmacopoeia 2011, </w:t>
      </w:r>
      <w:r w:rsidR="0028226E">
        <w:t xml:space="preserve">as </w:t>
      </w:r>
      <w:r>
        <w:t xml:space="preserve">amended by online updates.  The British Pharmacopoeia 2011 is a collection of approximately </w:t>
      </w:r>
      <w:r w:rsidR="008B553A">
        <w:t>3375</w:t>
      </w:r>
      <w:r>
        <w:t xml:space="preserve"> monographs for pharmaceutical substances and medicinal products for human use.  The monograph for human albumin </w:t>
      </w:r>
      <w:r w:rsidR="0028226E">
        <w:t>specifies</w:t>
      </w:r>
      <w:r>
        <w:t xml:space="preserve"> requirements for</w:t>
      </w:r>
      <w:r w:rsidR="00EA7EC4">
        <w:t xml:space="preserve"> the plasma (including the use of n</w:t>
      </w:r>
      <w:r w:rsidR="0028226E">
        <w:t xml:space="preserve">ucleic </w:t>
      </w:r>
      <w:r w:rsidR="00EA7EC4">
        <w:t>a</w:t>
      </w:r>
      <w:r w:rsidR="0028226E">
        <w:t xml:space="preserve">cid </w:t>
      </w:r>
      <w:r w:rsidR="00EA7EC4">
        <w:t>a</w:t>
      </w:r>
      <w:r w:rsidR="0028226E">
        <w:t xml:space="preserve">mplification </w:t>
      </w:r>
      <w:r w:rsidR="00EA7EC4">
        <w:t>t</w:t>
      </w:r>
      <w:r w:rsidR="0028226E">
        <w:t>echn</w:t>
      </w:r>
      <w:r w:rsidR="00EA7EC4">
        <w:t xml:space="preserve">iques), protein composition, molecular size distribution, bacterial </w:t>
      </w:r>
      <w:proofErr w:type="spellStart"/>
      <w:r w:rsidR="00EA7EC4">
        <w:t>endotoxins</w:t>
      </w:r>
      <w:proofErr w:type="spellEnd"/>
      <w:r w:rsidR="00EA7EC4">
        <w:t xml:space="preserve"> and sterility, amongst other things.  </w:t>
      </w:r>
      <w:r>
        <w:t>Associated test methods are also included in the British Pharmacopoeia.  The British Pharmacopoeia is published by The Stationery Office, on behalf of the Medicines and Healthcare products Regulatory Agency of the UK.  It is available for purchase in hard copy or soft copy (compact disc or online edition).</w:t>
      </w:r>
      <w:r w:rsidR="0028226E">
        <w:t xml:space="preserve"> The British Pharmacopoeia reproduces all monographs and requirements of the European Pharmacopoeia.</w:t>
      </w:r>
    </w:p>
    <w:p w:rsidR="0028226E" w:rsidRDefault="0022714C" w:rsidP="001D7533">
      <w:pPr>
        <w:numPr>
          <w:ilvl w:val="0"/>
          <w:numId w:val="6"/>
        </w:numPr>
        <w:spacing w:before="100" w:beforeAutospacing="1" w:after="100" w:afterAutospacing="1"/>
      </w:pPr>
      <w:r>
        <w:t xml:space="preserve">The current definition of the </w:t>
      </w:r>
      <w:r w:rsidRPr="0028226E">
        <w:rPr>
          <w:b/>
          <w:bCs/>
          <w:i/>
          <w:iCs/>
        </w:rPr>
        <w:t>European Pharmacopoeia</w:t>
      </w:r>
      <w:r>
        <w:t xml:space="preserve"> under subsection 3(1) of the Act is the European Pharmacopoeia 7</w:t>
      </w:r>
      <w:r w:rsidRPr="0028226E">
        <w:rPr>
          <w:vertAlign w:val="superscript"/>
        </w:rPr>
        <w:t>th</w:t>
      </w:r>
      <w:r>
        <w:t xml:space="preserve"> edition, including supplements 7.1 and 7.2. </w:t>
      </w:r>
      <w:r w:rsidR="00C967A1">
        <w:t xml:space="preserve"> It includes more than 2000 specific and general </w:t>
      </w:r>
      <w:r w:rsidR="00C967A1" w:rsidRPr="00AB64E0">
        <w:t>monographs</w:t>
      </w:r>
      <w:r w:rsidR="00C967A1">
        <w:t xml:space="preserve">.  The monograph for human albumin specifies requirements for the plasma (including the use of nucleic acid amplification techniques), protein composition, molecular size distribution, bacterial </w:t>
      </w:r>
      <w:proofErr w:type="spellStart"/>
      <w:r w:rsidR="00C967A1">
        <w:t>endotoxins</w:t>
      </w:r>
      <w:proofErr w:type="spellEnd"/>
      <w:r w:rsidR="00C967A1">
        <w:t xml:space="preserve"> and sterility, amongst other things.  Associated test methods are also included in the European Pharmacopoeia.  </w:t>
      </w:r>
      <w:r>
        <w:t>The European Pharmacopoeia is published by</w:t>
      </w:r>
      <w:r w:rsidR="0028226E">
        <w:t xml:space="preserve"> the Directorate for the Quality of Medicines &amp; HealthCare of the Council of Europe. </w:t>
      </w:r>
      <w:r>
        <w:t xml:space="preserve">It is available for purchase in </w:t>
      </w:r>
      <w:r w:rsidR="0028226E">
        <w:t>three formats – print, online and USB stick.</w:t>
      </w:r>
    </w:p>
    <w:p w:rsidR="0022714C" w:rsidRDefault="0022714C" w:rsidP="0022714C">
      <w:pPr>
        <w:numPr>
          <w:ilvl w:val="0"/>
          <w:numId w:val="6"/>
        </w:numPr>
        <w:spacing w:before="100" w:beforeAutospacing="1" w:after="100" w:afterAutospacing="1"/>
      </w:pPr>
      <w:r>
        <w:t>The meeting reports and resolution of the TGC’s 36</w:t>
      </w:r>
      <w:r w:rsidRPr="00C967A1">
        <w:rPr>
          <w:vertAlign w:val="superscript"/>
        </w:rPr>
        <w:t>th</w:t>
      </w:r>
      <w:r w:rsidR="00C967A1">
        <w:t xml:space="preserve"> </w:t>
      </w:r>
      <w:r>
        <w:t>meeting referred to in this Explanatory Statement may be viewed and downloaded from the TGA Internet site.</w:t>
      </w:r>
    </w:p>
    <w:p w:rsidR="00491F10" w:rsidRDefault="00491F10"/>
    <w:sectPr w:rsidR="00491F10" w:rsidSect="001F0BFE">
      <w:footerReference w:type="default" r:id="rId8"/>
      <w:type w:val="nextColumn"/>
      <w:pgSz w:w="11907" w:h="16840" w:code="9"/>
      <w:pgMar w:top="1440" w:right="1440" w:bottom="1440" w:left="1440"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26E" w:rsidRDefault="0028226E">
      <w:r>
        <w:separator/>
      </w:r>
    </w:p>
  </w:endnote>
  <w:endnote w:type="continuationSeparator" w:id="0">
    <w:p w:rsidR="0028226E" w:rsidRDefault="0028226E">
      <w:r>
        <w:continuationSeparator/>
      </w:r>
    </w:p>
  </w:endnote>
</w:endnotes>
</file>

<file path=word/fontTable.xml><?xml version="1.0" encoding="utf-8"?>
<w:fonts xmlns:r="http://schemas.openxmlformats.org/officeDocument/2006/relationships" xmlns:w="http://schemas.openxmlformats.org/wordprocessingml/2006/main">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26E" w:rsidRDefault="005A3C87">
    <w:pPr>
      <w:pStyle w:val="Footer"/>
      <w:jc w:val="center"/>
      <w:rPr>
        <w:sz w:val="14"/>
      </w:rPr>
    </w:pPr>
    <w:r>
      <w:rPr>
        <w:rStyle w:val="PageNumber"/>
      </w:rPr>
      <w:fldChar w:fldCharType="begin"/>
    </w:r>
    <w:r w:rsidR="0028226E">
      <w:rPr>
        <w:rStyle w:val="PageNumber"/>
      </w:rPr>
      <w:instrText xml:space="preserve"> PAGE </w:instrText>
    </w:r>
    <w:r>
      <w:rPr>
        <w:rStyle w:val="PageNumber"/>
      </w:rPr>
      <w:fldChar w:fldCharType="separate"/>
    </w:r>
    <w:r w:rsidR="00205E76">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26E" w:rsidRDefault="0028226E">
      <w:r>
        <w:separator/>
      </w:r>
    </w:p>
  </w:footnote>
  <w:footnote w:type="continuationSeparator" w:id="0">
    <w:p w:rsidR="0028226E" w:rsidRDefault="00282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C91"/>
    <w:multiLevelType w:val="hybridMultilevel"/>
    <w:tmpl w:val="4784137C"/>
    <w:lvl w:ilvl="0" w:tplc="4DC62E9E">
      <w:numFmt w:val="bullet"/>
      <w:lvlText w:val="•"/>
      <w:lvlJc w:val="left"/>
      <w:pPr>
        <w:ind w:left="720" w:hanging="360"/>
      </w:pPr>
      <w:rPr>
        <w:rFonts w:ascii="Helv" w:hAnsi="Helv" w:hint="default"/>
        <w:sz w:val="28"/>
      </w:rPr>
    </w:lvl>
    <w:lvl w:ilvl="1" w:tplc="4DC62E9E">
      <w:numFmt w:val="bullet"/>
      <w:lvlText w:val="•"/>
      <w:lvlJc w:val="left"/>
      <w:pPr>
        <w:ind w:left="1440" w:hanging="360"/>
      </w:pPr>
      <w:rPr>
        <w:rFonts w:ascii="Helv" w:hAnsi="Helv" w:hint="default"/>
        <w:sz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5E12F8"/>
    <w:multiLevelType w:val="singleLevel"/>
    <w:tmpl w:val="0C09000F"/>
    <w:lvl w:ilvl="0">
      <w:start w:val="1"/>
      <w:numFmt w:val="decimal"/>
      <w:lvlText w:val="%1."/>
      <w:lvlJc w:val="left"/>
      <w:pPr>
        <w:tabs>
          <w:tab w:val="num" w:pos="360"/>
        </w:tabs>
        <w:ind w:left="360" w:hanging="360"/>
      </w:pPr>
    </w:lvl>
  </w:abstractNum>
  <w:abstractNum w:abstractNumId="2">
    <w:nsid w:val="3B0E53F5"/>
    <w:multiLevelType w:val="hybridMultilevel"/>
    <w:tmpl w:val="63809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A120A7"/>
    <w:multiLevelType w:val="hybridMultilevel"/>
    <w:tmpl w:val="D160FE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93F2017"/>
    <w:multiLevelType w:val="multilevel"/>
    <w:tmpl w:val="8ADC9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721BA4"/>
    <w:multiLevelType w:val="hybridMultilevel"/>
    <w:tmpl w:val="2214B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adObjects" w:val=" "/>
    <w:docVar w:name="lastRangeEnd" w:val="2599"/>
    <w:docVar w:name="lastRangeStart" w:val="2594"/>
    <w:docVar w:name="SelEnd" w:val=" "/>
    <w:docVar w:name="SelStart" w:val=" "/>
  </w:docVars>
  <w:rsids>
    <w:rsidRoot w:val="007A6E3F"/>
    <w:rsid w:val="0000674E"/>
    <w:rsid w:val="00017C66"/>
    <w:rsid w:val="00025BB5"/>
    <w:rsid w:val="00037345"/>
    <w:rsid w:val="00046F01"/>
    <w:rsid w:val="000547EE"/>
    <w:rsid w:val="000550C7"/>
    <w:rsid w:val="000572FE"/>
    <w:rsid w:val="00070F80"/>
    <w:rsid w:val="00081A9A"/>
    <w:rsid w:val="00087640"/>
    <w:rsid w:val="000E3E87"/>
    <w:rsid w:val="000E6F8C"/>
    <w:rsid w:val="000F0CF5"/>
    <w:rsid w:val="000F54FD"/>
    <w:rsid w:val="000F5E62"/>
    <w:rsid w:val="00102722"/>
    <w:rsid w:val="001275C5"/>
    <w:rsid w:val="00147E8C"/>
    <w:rsid w:val="00153E21"/>
    <w:rsid w:val="00196EB9"/>
    <w:rsid w:val="001A6F34"/>
    <w:rsid w:val="001A6FEC"/>
    <w:rsid w:val="001B095C"/>
    <w:rsid w:val="001C0464"/>
    <w:rsid w:val="001D6953"/>
    <w:rsid w:val="001D7533"/>
    <w:rsid w:val="001F0BFE"/>
    <w:rsid w:val="001F5FDC"/>
    <w:rsid w:val="00205E76"/>
    <w:rsid w:val="0022714C"/>
    <w:rsid w:val="00227306"/>
    <w:rsid w:val="00231B70"/>
    <w:rsid w:val="00250DF7"/>
    <w:rsid w:val="002562E9"/>
    <w:rsid w:val="0028226E"/>
    <w:rsid w:val="002C036F"/>
    <w:rsid w:val="002D2F6D"/>
    <w:rsid w:val="002E1CF5"/>
    <w:rsid w:val="00303DF4"/>
    <w:rsid w:val="00311438"/>
    <w:rsid w:val="00313FDA"/>
    <w:rsid w:val="00316D4F"/>
    <w:rsid w:val="003406AE"/>
    <w:rsid w:val="00344A6C"/>
    <w:rsid w:val="0035543E"/>
    <w:rsid w:val="0037017F"/>
    <w:rsid w:val="00374D4F"/>
    <w:rsid w:val="003A5277"/>
    <w:rsid w:val="003D5211"/>
    <w:rsid w:val="003E3DDD"/>
    <w:rsid w:val="0041124C"/>
    <w:rsid w:val="0043232C"/>
    <w:rsid w:val="00440662"/>
    <w:rsid w:val="00446701"/>
    <w:rsid w:val="00452A15"/>
    <w:rsid w:val="004568F3"/>
    <w:rsid w:val="00467D06"/>
    <w:rsid w:val="00467DA2"/>
    <w:rsid w:val="0047135D"/>
    <w:rsid w:val="004822A2"/>
    <w:rsid w:val="00491F10"/>
    <w:rsid w:val="004A6C8E"/>
    <w:rsid w:val="004C5E48"/>
    <w:rsid w:val="004D6016"/>
    <w:rsid w:val="004E0C6F"/>
    <w:rsid w:val="00500C5A"/>
    <w:rsid w:val="005061A5"/>
    <w:rsid w:val="0052411C"/>
    <w:rsid w:val="00527ED9"/>
    <w:rsid w:val="005306E7"/>
    <w:rsid w:val="00550555"/>
    <w:rsid w:val="00572914"/>
    <w:rsid w:val="00574DF9"/>
    <w:rsid w:val="005932F1"/>
    <w:rsid w:val="005A0C93"/>
    <w:rsid w:val="005A0DC6"/>
    <w:rsid w:val="005A3C87"/>
    <w:rsid w:val="005A4AF7"/>
    <w:rsid w:val="005D626E"/>
    <w:rsid w:val="005F10D8"/>
    <w:rsid w:val="006054A5"/>
    <w:rsid w:val="006119B5"/>
    <w:rsid w:val="00612FEA"/>
    <w:rsid w:val="00617F8D"/>
    <w:rsid w:val="00624054"/>
    <w:rsid w:val="00640BAD"/>
    <w:rsid w:val="0064677E"/>
    <w:rsid w:val="0068540F"/>
    <w:rsid w:val="006B317C"/>
    <w:rsid w:val="006D1BBD"/>
    <w:rsid w:val="006E075E"/>
    <w:rsid w:val="006E55C2"/>
    <w:rsid w:val="006F13D3"/>
    <w:rsid w:val="006F658A"/>
    <w:rsid w:val="006F7ACD"/>
    <w:rsid w:val="0071648E"/>
    <w:rsid w:val="00737091"/>
    <w:rsid w:val="0073745E"/>
    <w:rsid w:val="00754653"/>
    <w:rsid w:val="0077727A"/>
    <w:rsid w:val="007A69E8"/>
    <w:rsid w:val="007A6E3F"/>
    <w:rsid w:val="007C4905"/>
    <w:rsid w:val="007C6E56"/>
    <w:rsid w:val="007D2F47"/>
    <w:rsid w:val="00817CCE"/>
    <w:rsid w:val="00825908"/>
    <w:rsid w:val="00826832"/>
    <w:rsid w:val="0083787B"/>
    <w:rsid w:val="00855DCF"/>
    <w:rsid w:val="008A1494"/>
    <w:rsid w:val="008B553A"/>
    <w:rsid w:val="008E0A2B"/>
    <w:rsid w:val="008F1114"/>
    <w:rsid w:val="008F791D"/>
    <w:rsid w:val="00956AD4"/>
    <w:rsid w:val="00966EEA"/>
    <w:rsid w:val="00971D07"/>
    <w:rsid w:val="0097563C"/>
    <w:rsid w:val="00997A55"/>
    <w:rsid w:val="009A08BE"/>
    <w:rsid w:val="009C04DA"/>
    <w:rsid w:val="009C2EFA"/>
    <w:rsid w:val="009D4B43"/>
    <w:rsid w:val="009D7D64"/>
    <w:rsid w:val="009F10D2"/>
    <w:rsid w:val="00A06BE9"/>
    <w:rsid w:val="00A3011E"/>
    <w:rsid w:val="00A30433"/>
    <w:rsid w:val="00A34389"/>
    <w:rsid w:val="00A52BA7"/>
    <w:rsid w:val="00A54827"/>
    <w:rsid w:val="00A906EE"/>
    <w:rsid w:val="00A919BB"/>
    <w:rsid w:val="00B03252"/>
    <w:rsid w:val="00B33092"/>
    <w:rsid w:val="00B4684E"/>
    <w:rsid w:val="00B50BF9"/>
    <w:rsid w:val="00B57B71"/>
    <w:rsid w:val="00B6031C"/>
    <w:rsid w:val="00B62571"/>
    <w:rsid w:val="00B66540"/>
    <w:rsid w:val="00B707CB"/>
    <w:rsid w:val="00BE1661"/>
    <w:rsid w:val="00BE28EF"/>
    <w:rsid w:val="00BF110F"/>
    <w:rsid w:val="00BF3262"/>
    <w:rsid w:val="00C119C7"/>
    <w:rsid w:val="00C31418"/>
    <w:rsid w:val="00C43CEE"/>
    <w:rsid w:val="00C45C42"/>
    <w:rsid w:val="00C67857"/>
    <w:rsid w:val="00C7411E"/>
    <w:rsid w:val="00C768C5"/>
    <w:rsid w:val="00C83E09"/>
    <w:rsid w:val="00C967A1"/>
    <w:rsid w:val="00C968A3"/>
    <w:rsid w:val="00CA404A"/>
    <w:rsid w:val="00D07425"/>
    <w:rsid w:val="00D1136A"/>
    <w:rsid w:val="00D538EB"/>
    <w:rsid w:val="00D82CC4"/>
    <w:rsid w:val="00D8505D"/>
    <w:rsid w:val="00D923DC"/>
    <w:rsid w:val="00DA0DF1"/>
    <w:rsid w:val="00DA24FA"/>
    <w:rsid w:val="00DA7AFC"/>
    <w:rsid w:val="00DC15DD"/>
    <w:rsid w:val="00DD23FD"/>
    <w:rsid w:val="00E12268"/>
    <w:rsid w:val="00E13E88"/>
    <w:rsid w:val="00E21ADC"/>
    <w:rsid w:val="00E42AB7"/>
    <w:rsid w:val="00E63C95"/>
    <w:rsid w:val="00E802B2"/>
    <w:rsid w:val="00EA7EC4"/>
    <w:rsid w:val="00EB1C2A"/>
    <w:rsid w:val="00ED1FCD"/>
    <w:rsid w:val="00EE4404"/>
    <w:rsid w:val="00EF25E8"/>
    <w:rsid w:val="00EF39E9"/>
    <w:rsid w:val="00EF6A9A"/>
    <w:rsid w:val="00F036F5"/>
    <w:rsid w:val="00F5413E"/>
    <w:rsid w:val="00F73654"/>
    <w:rsid w:val="00F772D1"/>
    <w:rsid w:val="00F801D3"/>
    <w:rsid w:val="00F87C90"/>
    <w:rsid w:val="00FA2EC6"/>
    <w:rsid w:val="00FB27E1"/>
    <w:rsid w:val="00FB592B"/>
    <w:rsid w:val="00FD6689"/>
    <w:rsid w:val="00FD691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BFE"/>
    <w:rPr>
      <w:sz w:val="24"/>
    </w:rPr>
  </w:style>
  <w:style w:type="paragraph" w:styleId="Heading1">
    <w:name w:val="heading 1"/>
    <w:basedOn w:val="Normal"/>
    <w:next w:val="Normal"/>
    <w:qFormat/>
    <w:rsid w:val="001F0BFE"/>
    <w:pPr>
      <w:keepNext/>
      <w:outlineLvl w:val="0"/>
    </w:pPr>
    <w:rPr>
      <w:b/>
      <w:sz w:val="28"/>
    </w:rPr>
  </w:style>
  <w:style w:type="paragraph" w:styleId="Heading2">
    <w:name w:val="heading 2"/>
    <w:basedOn w:val="Normal"/>
    <w:next w:val="Normal"/>
    <w:qFormat/>
    <w:rsid w:val="001F0BFE"/>
    <w:pPr>
      <w:keepNext/>
      <w:widowControl w:val="0"/>
      <w:outlineLvl w:val="1"/>
    </w:pPr>
    <w:rPr>
      <w:b/>
      <w:snapToGrid w:val="0"/>
      <w:lang w:eastAsia="en-US"/>
    </w:rPr>
  </w:style>
  <w:style w:type="paragraph" w:styleId="Heading3">
    <w:name w:val="heading 3"/>
    <w:basedOn w:val="Normal"/>
    <w:next w:val="Normal"/>
    <w:link w:val="Heading3Char"/>
    <w:qFormat/>
    <w:rsid w:val="001F0BFE"/>
    <w:pPr>
      <w:keepNext/>
      <w:outlineLvl w:val="2"/>
    </w:pPr>
    <w:rPr>
      <w:b/>
    </w:rPr>
  </w:style>
  <w:style w:type="paragraph" w:styleId="Heading4">
    <w:name w:val="heading 4"/>
    <w:basedOn w:val="Normal"/>
    <w:next w:val="Normal"/>
    <w:qFormat/>
    <w:rsid w:val="001F0BFE"/>
    <w:pPr>
      <w:keepNext/>
      <w:outlineLvl w:val="3"/>
    </w:pPr>
    <w:rPr>
      <w:b/>
      <w:i/>
    </w:rPr>
  </w:style>
  <w:style w:type="paragraph" w:styleId="Heading5">
    <w:name w:val="heading 5"/>
    <w:basedOn w:val="Normal"/>
    <w:next w:val="Normal"/>
    <w:link w:val="Heading5Char"/>
    <w:qFormat/>
    <w:rsid w:val="001F0BFE"/>
    <w:pPr>
      <w:keepNext/>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BFE"/>
    <w:pPr>
      <w:tabs>
        <w:tab w:val="center" w:pos="4153"/>
        <w:tab w:val="right" w:pos="8306"/>
      </w:tabs>
    </w:pPr>
  </w:style>
  <w:style w:type="paragraph" w:styleId="BlockText">
    <w:name w:val="Block Text"/>
    <w:basedOn w:val="Normal"/>
    <w:rsid w:val="001F0BFE"/>
    <w:pPr>
      <w:widowControl w:val="0"/>
      <w:pBdr>
        <w:top w:val="single" w:sz="4" w:space="12" w:color="auto"/>
        <w:bottom w:val="single" w:sz="4" w:space="12" w:color="auto"/>
      </w:pBdr>
      <w:spacing w:before="120" w:after="120"/>
      <w:ind w:left="1440" w:right="-227" w:hanging="1440"/>
    </w:pPr>
    <w:rPr>
      <w:b/>
      <w:snapToGrid w:val="0"/>
      <w:lang w:val="en-US" w:eastAsia="en-US"/>
    </w:rPr>
  </w:style>
  <w:style w:type="paragraph" w:styleId="BodyTextIndent">
    <w:name w:val="Body Text Indent"/>
    <w:basedOn w:val="Normal"/>
    <w:rsid w:val="001F0BFE"/>
    <w:pPr>
      <w:widowControl w:val="0"/>
      <w:tabs>
        <w:tab w:val="left" w:pos="-1440"/>
        <w:tab w:val="left" w:pos="-720"/>
        <w:tab w:val="left" w:pos="391"/>
      </w:tabs>
      <w:ind w:left="391" w:hanging="391"/>
    </w:pPr>
    <w:rPr>
      <w:b/>
      <w:snapToGrid w:val="0"/>
      <w:lang w:eastAsia="en-US"/>
    </w:rPr>
  </w:style>
  <w:style w:type="character" w:styleId="FootnoteReference">
    <w:name w:val="footnote reference"/>
    <w:basedOn w:val="DefaultParagraphFont"/>
    <w:semiHidden/>
    <w:rsid w:val="001F0BFE"/>
    <w:rPr>
      <w:vertAlign w:val="superscript"/>
    </w:rPr>
  </w:style>
  <w:style w:type="paragraph" w:styleId="TOC1">
    <w:name w:val="toc 1"/>
    <w:basedOn w:val="Normal"/>
    <w:next w:val="Normal"/>
    <w:autoRedefine/>
    <w:semiHidden/>
    <w:rsid w:val="001F0BFE"/>
    <w:pPr>
      <w:spacing w:after="120"/>
    </w:pPr>
    <w:rPr>
      <w:noProof/>
    </w:rPr>
  </w:style>
  <w:style w:type="paragraph" w:customStyle="1" w:styleId="indenta">
    <w:name w:val="indent(a)"/>
    <w:aliases w:val="a"/>
    <w:basedOn w:val="Normal"/>
    <w:rsid w:val="001F0BFE"/>
    <w:pPr>
      <w:tabs>
        <w:tab w:val="right" w:pos="1531"/>
      </w:tabs>
      <w:spacing w:before="40" w:line="240" w:lineRule="atLeast"/>
      <w:ind w:left="1644" w:hanging="1644"/>
    </w:pPr>
    <w:rPr>
      <w:rFonts w:ascii="Times" w:hAnsi="Times"/>
      <w:snapToGrid w:val="0"/>
      <w:sz w:val="22"/>
      <w:lang w:eastAsia="en-US"/>
    </w:rPr>
  </w:style>
  <w:style w:type="paragraph" w:customStyle="1" w:styleId="subsection2">
    <w:name w:val="subsection2"/>
    <w:aliases w:val="ss2"/>
    <w:basedOn w:val="Normal"/>
    <w:next w:val="Normal"/>
    <w:rsid w:val="001F0BFE"/>
    <w:pPr>
      <w:spacing w:before="40" w:line="260" w:lineRule="atLeast"/>
      <w:ind w:left="1134"/>
    </w:pPr>
    <w:rPr>
      <w:rFonts w:ascii="Times" w:hAnsi="Times"/>
      <w:sz w:val="22"/>
      <w:lang w:eastAsia="en-US"/>
    </w:rPr>
  </w:style>
  <w:style w:type="paragraph" w:styleId="BodyTextIndent3">
    <w:name w:val="Body Text Indent 3"/>
    <w:basedOn w:val="Normal"/>
    <w:rsid w:val="001F0BFE"/>
    <w:pPr>
      <w:ind w:left="1644" w:hanging="567"/>
    </w:pPr>
  </w:style>
  <w:style w:type="paragraph" w:styleId="BodyTextIndent2">
    <w:name w:val="Body Text Indent 2"/>
    <w:basedOn w:val="Normal"/>
    <w:rsid w:val="001F0BFE"/>
    <w:pPr>
      <w:ind w:left="1644" w:firstLine="567"/>
    </w:pPr>
  </w:style>
  <w:style w:type="paragraph" w:styleId="CommentText">
    <w:name w:val="annotation text"/>
    <w:basedOn w:val="Normal"/>
    <w:link w:val="CommentTextChar"/>
    <w:semiHidden/>
    <w:rsid w:val="001F0BFE"/>
    <w:rPr>
      <w:sz w:val="20"/>
    </w:rPr>
  </w:style>
  <w:style w:type="paragraph" w:styleId="FootnoteText">
    <w:name w:val="footnote text"/>
    <w:basedOn w:val="Normal"/>
    <w:semiHidden/>
    <w:rsid w:val="001F0BFE"/>
    <w:rPr>
      <w:sz w:val="20"/>
    </w:rPr>
  </w:style>
  <w:style w:type="character" w:styleId="PageNumber">
    <w:name w:val="page number"/>
    <w:basedOn w:val="DefaultParagraphFont"/>
    <w:rsid w:val="001F0BFE"/>
  </w:style>
  <w:style w:type="paragraph" w:styleId="Footer">
    <w:name w:val="footer"/>
    <w:basedOn w:val="Normal"/>
    <w:rsid w:val="001F0BFE"/>
    <w:pPr>
      <w:tabs>
        <w:tab w:val="center" w:pos="4153"/>
        <w:tab w:val="right" w:pos="8306"/>
      </w:tabs>
    </w:pPr>
  </w:style>
  <w:style w:type="paragraph" w:styleId="BodyText">
    <w:name w:val="Body Text"/>
    <w:basedOn w:val="Normal"/>
    <w:rsid w:val="001F0BFE"/>
    <w:pPr>
      <w:jc w:val="both"/>
    </w:pPr>
    <w:rPr>
      <w:b/>
    </w:rPr>
  </w:style>
  <w:style w:type="character" w:customStyle="1" w:styleId="pubtitle">
    <w:name w:val="pubtitle"/>
    <w:basedOn w:val="DefaultParagraphFont"/>
    <w:rsid w:val="00F801D3"/>
  </w:style>
  <w:style w:type="paragraph" w:customStyle="1" w:styleId="Char1">
    <w:name w:val="Char1"/>
    <w:basedOn w:val="Normal"/>
    <w:rsid w:val="00DA0DF1"/>
    <w:rPr>
      <w:rFonts w:ascii="Arial" w:hAnsi="Arial" w:cs="Arial"/>
      <w:sz w:val="22"/>
      <w:szCs w:val="22"/>
      <w:lang w:eastAsia="en-US"/>
    </w:rPr>
  </w:style>
  <w:style w:type="paragraph" w:styleId="EndnoteText">
    <w:name w:val="endnote text"/>
    <w:basedOn w:val="Normal"/>
    <w:link w:val="EndnoteTextChar"/>
    <w:rsid w:val="002E1CF5"/>
    <w:rPr>
      <w:sz w:val="20"/>
    </w:rPr>
  </w:style>
  <w:style w:type="character" w:customStyle="1" w:styleId="EndnoteTextChar">
    <w:name w:val="Endnote Text Char"/>
    <w:basedOn w:val="DefaultParagraphFont"/>
    <w:link w:val="EndnoteText"/>
    <w:rsid w:val="002E1CF5"/>
  </w:style>
  <w:style w:type="character" w:styleId="EndnoteReference">
    <w:name w:val="endnote reference"/>
    <w:basedOn w:val="DefaultParagraphFont"/>
    <w:rsid w:val="002E1CF5"/>
    <w:rPr>
      <w:vertAlign w:val="superscript"/>
    </w:rPr>
  </w:style>
  <w:style w:type="paragraph" w:styleId="NormalWeb">
    <w:name w:val="Normal (Web)"/>
    <w:basedOn w:val="Normal"/>
    <w:uiPriority w:val="99"/>
    <w:unhideWhenUsed/>
    <w:rsid w:val="00E63C95"/>
    <w:pPr>
      <w:spacing w:before="100" w:beforeAutospacing="1" w:after="100" w:afterAutospacing="1"/>
    </w:pPr>
    <w:rPr>
      <w:szCs w:val="24"/>
      <w:lang w:val="en-US" w:eastAsia="en-US"/>
    </w:rPr>
  </w:style>
  <w:style w:type="paragraph" w:styleId="BalloonText">
    <w:name w:val="Balloon Text"/>
    <w:basedOn w:val="Normal"/>
    <w:link w:val="BalloonTextChar"/>
    <w:rsid w:val="00B66540"/>
    <w:rPr>
      <w:rFonts w:ascii="Tahoma" w:hAnsi="Tahoma" w:cs="Tahoma"/>
      <w:sz w:val="16"/>
      <w:szCs w:val="16"/>
    </w:rPr>
  </w:style>
  <w:style w:type="character" w:customStyle="1" w:styleId="BalloonTextChar">
    <w:name w:val="Balloon Text Char"/>
    <w:basedOn w:val="DefaultParagraphFont"/>
    <w:link w:val="BalloonText"/>
    <w:rsid w:val="00B66540"/>
    <w:rPr>
      <w:rFonts w:ascii="Tahoma" w:hAnsi="Tahoma" w:cs="Tahoma"/>
      <w:sz w:val="16"/>
      <w:szCs w:val="16"/>
    </w:rPr>
  </w:style>
  <w:style w:type="character" w:styleId="CommentReference">
    <w:name w:val="annotation reference"/>
    <w:basedOn w:val="DefaultParagraphFont"/>
    <w:rsid w:val="001C0464"/>
    <w:rPr>
      <w:sz w:val="16"/>
      <w:szCs w:val="16"/>
    </w:rPr>
  </w:style>
  <w:style w:type="paragraph" w:styleId="CommentSubject">
    <w:name w:val="annotation subject"/>
    <w:basedOn w:val="CommentText"/>
    <w:next w:val="CommentText"/>
    <w:link w:val="CommentSubjectChar"/>
    <w:rsid w:val="001C0464"/>
    <w:rPr>
      <w:b/>
      <w:bCs/>
    </w:rPr>
  </w:style>
  <w:style w:type="character" w:customStyle="1" w:styleId="CommentTextChar">
    <w:name w:val="Comment Text Char"/>
    <w:basedOn w:val="DefaultParagraphFont"/>
    <w:link w:val="CommentText"/>
    <w:semiHidden/>
    <w:rsid w:val="001C0464"/>
  </w:style>
  <w:style w:type="character" w:customStyle="1" w:styleId="CommentSubjectChar">
    <w:name w:val="Comment Subject Char"/>
    <w:basedOn w:val="CommentTextChar"/>
    <w:link w:val="CommentSubject"/>
    <w:rsid w:val="001C0464"/>
  </w:style>
  <w:style w:type="character" w:customStyle="1" w:styleId="Heading3Char">
    <w:name w:val="Heading 3 Char"/>
    <w:basedOn w:val="DefaultParagraphFont"/>
    <w:link w:val="Heading3"/>
    <w:rsid w:val="00491F10"/>
    <w:rPr>
      <w:b/>
      <w:sz w:val="24"/>
    </w:rPr>
  </w:style>
  <w:style w:type="character" w:customStyle="1" w:styleId="Heading5Char">
    <w:name w:val="Heading 5 Char"/>
    <w:basedOn w:val="DefaultParagraphFont"/>
    <w:link w:val="Heading5"/>
    <w:rsid w:val="00491F10"/>
    <w:rPr>
      <w:i/>
      <w:sz w:val="24"/>
    </w:rPr>
  </w:style>
</w:styles>
</file>

<file path=word/webSettings.xml><?xml version="1.0" encoding="utf-8"?>
<w:webSettings xmlns:r="http://schemas.openxmlformats.org/officeDocument/2006/relationships" xmlns:w="http://schemas.openxmlformats.org/wordprocessingml/2006/main">
  <w:divs>
    <w:div w:id="1271933126">
      <w:bodyDiv w:val="1"/>
      <w:marLeft w:val="0"/>
      <w:marRight w:val="0"/>
      <w:marTop w:val="0"/>
      <w:marBottom w:val="0"/>
      <w:divBdr>
        <w:top w:val="none" w:sz="0" w:space="0" w:color="auto"/>
        <w:left w:val="none" w:sz="0" w:space="0" w:color="auto"/>
        <w:bottom w:val="none" w:sz="0" w:space="0" w:color="auto"/>
        <w:right w:val="none" w:sz="0" w:space="0" w:color="auto"/>
      </w:divBdr>
      <w:divsChild>
        <w:div w:id="1284924925">
          <w:marLeft w:val="0"/>
          <w:marRight w:val="0"/>
          <w:marTop w:val="0"/>
          <w:marBottom w:val="0"/>
          <w:divBdr>
            <w:top w:val="none" w:sz="0" w:space="0" w:color="auto"/>
            <w:left w:val="none" w:sz="0" w:space="0" w:color="auto"/>
            <w:bottom w:val="none" w:sz="0" w:space="0" w:color="auto"/>
            <w:right w:val="none" w:sz="0" w:space="0" w:color="auto"/>
          </w:divBdr>
          <w:divsChild>
            <w:div w:id="358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E606-7DDA-45D6-89CA-73A61762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Pages>
  <Words>703</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HFS</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carteb</dc:creator>
  <cp:lastModifiedBy>Carter, Bless</cp:lastModifiedBy>
  <cp:revision>2</cp:revision>
  <cp:lastPrinted>2011-04-14T07:02:00Z</cp:lastPrinted>
  <dcterms:created xsi:type="dcterms:W3CDTF">2011-10-19T00:48:00Z</dcterms:created>
  <dcterms:modified xsi:type="dcterms:W3CDTF">2011-10-19T00:48:00Z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