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EF" w:rsidRDefault="001273EF" w:rsidP="001273EF">
      <w:pPr>
        <w:pStyle w:val="MIRHeading3"/>
        <w:ind w:hanging="1"/>
        <w:jc w:val="center"/>
        <w:rPr>
          <w:rFonts w:ascii="Times New Roman" w:hAnsi="Times New Roman" w:cs="Times New Roman"/>
          <w:bCs/>
        </w:rPr>
      </w:pPr>
      <w:r w:rsidRPr="007D6030">
        <w:rPr>
          <w:rFonts w:ascii="Times New Roman" w:hAnsi="Times New Roman" w:cs="Times New Roman"/>
          <w:bCs/>
        </w:rPr>
        <w:t>Australian Securities and Investments Commission</w:t>
      </w:r>
    </w:p>
    <w:p w:rsidR="001273EF" w:rsidRPr="007D6030" w:rsidRDefault="001273EF" w:rsidP="001273EF">
      <w:pPr>
        <w:pStyle w:val="MIRHeading3"/>
        <w:ind w:hanging="1"/>
        <w:jc w:val="center"/>
        <w:rPr>
          <w:rFonts w:ascii="Times New Roman" w:hAnsi="Times New Roman" w:cs="Times New Roman"/>
        </w:rPr>
      </w:pPr>
      <w:r w:rsidRPr="00BA01A3">
        <w:rPr>
          <w:rFonts w:ascii="Times New Roman" w:hAnsi="Times New Roman" w:cs="Times New Roman"/>
          <w:bCs/>
          <w:i/>
        </w:rPr>
        <w:t>Corporations Act 2001</w:t>
      </w:r>
      <w:r w:rsidRPr="007D6030">
        <w:rPr>
          <w:rFonts w:ascii="Times New Roman" w:hAnsi="Times New Roman" w:cs="Times New Roman"/>
          <w:bCs/>
        </w:rPr>
        <w:t xml:space="preserve"> —</w:t>
      </w:r>
      <w:r>
        <w:rPr>
          <w:rFonts w:ascii="Times New Roman" w:hAnsi="Times New Roman" w:cs="Times New Roman"/>
          <w:bCs/>
        </w:rPr>
        <w:t xml:space="preserve"> Subsection 798G(1)</w:t>
      </w:r>
      <w:r w:rsidRPr="007D6030">
        <w:rPr>
          <w:rFonts w:ascii="Times New Roman" w:hAnsi="Times New Roman" w:cs="Times New Roman"/>
          <w:bCs/>
        </w:rPr>
        <w:t xml:space="preserve"> — Variation</w:t>
      </w:r>
    </w:p>
    <w:p w:rsidR="001273EF" w:rsidRDefault="001273EF" w:rsidP="001273EF">
      <w:pPr>
        <w:pStyle w:val="MIRHeading3"/>
      </w:pPr>
      <w:r>
        <w:t>1.</w:t>
      </w:r>
      <w:r>
        <w:tab/>
      </w:r>
      <w:r w:rsidRPr="007115E8">
        <w:t>Enabling legislation</w:t>
      </w:r>
    </w:p>
    <w:p w:rsidR="001273EF" w:rsidRDefault="001273EF" w:rsidP="001273EF">
      <w:pPr>
        <w:pStyle w:val="MIRBodyText"/>
      </w:pPr>
      <w:r>
        <w:t xml:space="preserve">I, </w:t>
      </w:r>
      <w:r w:rsidR="00066EF9">
        <w:t>Mark Adams</w:t>
      </w:r>
      <w:r>
        <w:t>, with the written consent of the Minister, make</w:t>
      </w:r>
      <w:r w:rsidRPr="007115E8">
        <w:t xml:space="preserve"> th</w:t>
      </w:r>
      <w:r>
        <w:t xml:space="preserve">e following instrument </w:t>
      </w:r>
      <w:r w:rsidRPr="007115E8">
        <w:t xml:space="preserve">under subsection </w:t>
      </w:r>
      <w:r>
        <w:t xml:space="preserve">798G(1) of the </w:t>
      </w:r>
      <w:r w:rsidRPr="005459D0">
        <w:rPr>
          <w:i/>
        </w:rPr>
        <w:t>Corporations Act 2001</w:t>
      </w:r>
      <w:r>
        <w:t>.</w:t>
      </w:r>
    </w:p>
    <w:p w:rsidR="001273EF" w:rsidRDefault="001273EF" w:rsidP="001273EF">
      <w:pPr>
        <w:pStyle w:val="MIRBodyText"/>
      </w:pPr>
    </w:p>
    <w:p w:rsidR="001273EF" w:rsidRDefault="001273EF" w:rsidP="001273EF">
      <w:pPr>
        <w:pStyle w:val="MIRBodyText"/>
      </w:pPr>
      <w:r w:rsidRPr="00E239F5">
        <w:t>Dated this</w:t>
      </w:r>
      <w:r w:rsidR="00F221F0">
        <w:t xml:space="preserve">  </w:t>
      </w:r>
      <w:r w:rsidR="0028039D">
        <w:t>27th</w:t>
      </w:r>
      <w:r>
        <w:t xml:space="preserve"> </w:t>
      </w:r>
      <w:r w:rsidRPr="00E239F5">
        <w:t xml:space="preserve"> day of </w:t>
      </w:r>
      <w:r w:rsidR="00A01C1F">
        <w:t xml:space="preserve">October </w:t>
      </w:r>
      <w:r w:rsidRPr="00E239F5">
        <w:t>201</w:t>
      </w:r>
      <w:r>
        <w:t>1</w:t>
      </w:r>
    </w:p>
    <w:p w:rsidR="001273EF" w:rsidRDefault="001273EF" w:rsidP="001273EF">
      <w:pPr>
        <w:pStyle w:val="MIRBodyText"/>
      </w:pPr>
    </w:p>
    <w:p w:rsidR="001273EF" w:rsidRDefault="001273EF" w:rsidP="001273EF">
      <w:pPr>
        <w:pStyle w:val="MIRBodyText"/>
      </w:pPr>
    </w:p>
    <w:p w:rsidR="001273EF" w:rsidRPr="00E239F5" w:rsidRDefault="001273EF" w:rsidP="001273EF">
      <w:pPr>
        <w:pStyle w:val="MIRBodyText"/>
      </w:pPr>
    </w:p>
    <w:p w:rsidR="001273EF" w:rsidRPr="00BA01A3" w:rsidRDefault="001273EF" w:rsidP="001273EF">
      <w:pPr>
        <w:pStyle w:val="MIRBodyText"/>
      </w:pPr>
      <w:r w:rsidRPr="00BA01A3">
        <w:t xml:space="preserve">Signed by </w:t>
      </w:r>
      <w:r w:rsidR="00066EF9">
        <w:t>Mark Adams</w:t>
      </w:r>
    </w:p>
    <w:p w:rsidR="001273EF" w:rsidRPr="00BA01A3" w:rsidRDefault="001273EF" w:rsidP="001273EF">
      <w:pPr>
        <w:pStyle w:val="MIRBodyText"/>
      </w:pPr>
      <w:r w:rsidRPr="00BA01A3">
        <w:t>as a delegate of the Australian Securi</w:t>
      </w:r>
      <w:r>
        <w:t>ties and Investments Commission</w:t>
      </w:r>
    </w:p>
    <w:p w:rsidR="001273EF" w:rsidRPr="003714F2" w:rsidRDefault="001273EF" w:rsidP="001273EF">
      <w:pPr>
        <w:pStyle w:val="MIRHeading3"/>
      </w:pPr>
      <w:r>
        <w:t>2.</w:t>
      </w:r>
      <w:r>
        <w:tab/>
        <w:t>Title</w:t>
      </w:r>
    </w:p>
    <w:p w:rsidR="001273EF" w:rsidRDefault="001273EF" w:rsidP="001273EF">
      <w:pPr>
        <w:pStyle w:val="MIRBodyText"/>
      </w:pPr>
      <w:r w:rsidRPr="007115E8">
        <w:t xml:space="preserve">This instrument is </w:t>
      </w:r>
      <w:r w:rsidRPr="0067514C">
        <w:rPr>
          <w:i/>
        </w:rPr>
        <w:t>ASIC Market Integrity Rules (</w:t>
      </w:r>
      <w:r w:rsidR="00CD170B" w:rsidRPr="0067514C">
        <w:rPr>
          <w:i/>
        </w:rPr>
        <w:t>Chi-X Australia Market</w:t>
      </w:r>
      <w:r w:rsidRPr="0067514C">
        <w:rPr>
          <w:i/>
        </w:rPr>
        <w:t xml:space="preserve">) Amendment 2011 </w:t>
      </w:r>
      <w:r w:rsidRPr="00F221F0">
        <w:rPr>
          <w:i/>
        </w:rPr>
        <w:t xml:space="preserve">(No. </w:t>
      </w:r>
      <w:r w:rsidR="00CD170B" w:rsidRPr="00F221F0">
        <w:rPr>
          <w:i/>
        </w:rPr>
        <w:t>2</w:t>
      </w:r>
      <w:r w:rsidRPr="00F221F0">
        <w:rPr>
          <w:i/>
        </w:rPr>
        <w:t>)</w:t>
      </w:r>
      <w:r w:rsidRPr="00F221F0">
        <w:t>.</w:t>
      </w:r>
    </w:p>
    <w:p w:rsidR="001273EF" w:rsidRDefault="001273EF" w:rsidP="001273EF">
      <w:pPr>
        <w:pStyle w:val="MIRHeading3"/>
      </w:pPr>
      <w:r>
        <w:t>3</w:t>
      </w:r>
      <w:r>
        <w:tab/>
        <w:t>Commencement</w:t>
      </w:r>
    </w:p>
    <w:p w:rsidR="00066EF9" w:rsidRPr="0067514C" w:rsidRDefault="001273EF" w:rsidP="001273EF">
      <w:pPr>
        <w:pStyle w:val="MIRBodyText"/>
      </w:pPr>
      <w:r w:rsidRPr="0067514C">
        <w:t xml:space="preserve">This instrument commences on the </w:t>
      </w:r>
      <w:r w:rsidR="00066EF9" w:rsidRPr="0067514C">
        <w:t>later of:</w:t>
      </w:r>
    </w:p>
    <w:p w:rsidR="00066EF9" w:rsidRPr="0067514C" w:rsidRDefault="00066EF9" w:rsidP="00066EF9">
      <w:pPr>
        <w:pStyle w:val="MIRSubpara"/>
      </w:pPr>
      <w:r w:rsidRPr="0067514C">
        <w:t>31 October 2011; and</w:t>
      </w:r>
    </w:p>
    <w:p w:rsidR="00066EF9" w:rsidRPr="0067514C" w:rsidRDefault="00066EF9" w:rsidP="00066EF9">
      <w:pPr>
        <w:pStyle w:val="MIRSubpara"/>
      </w:pPr>
      <w:r w:rsidRPr="0067514C">
        <w:t xml:space="preserve">the day after the instrument is registered under the </w:t>
      </w:r>
      <w:r w:rsidRPr="0067514C">
        <w:rPr>
          <w:i/>
        </w:rPr>
        <w:t>Legislative Instruments Act 2003</w:t>
      </w:r>
      <w:r w:rsidRPr="0067514C">
        <w:t xml:space="preserve">. </w:t>
      </w:r>
    </w:p>
    <w:p w:rsidR="001273EF" w:rsidRDefault="001273EF" w:rsidP="001273EF">
      <w:pPr>
        <w:pStyle w:val="MIRNote"/>
        <w:ind w:left="850"/>
      </w:pPr>
      <w:r w:rsidRPr="00B13091">
        <w:t xml:space="preserve">Note: An instrument is registered when it is recorded on the Federal Register of Legislative Instruments (FRLI) in electronic form: see </w:t>
      </w:r>
      <w:r w:rsidRPr="004561BD">
        <w:rPr>
          <w:i/>
        </w:rPr>
        <w:t>Legislative Instruments Act 2003</w:t>
      </w:r>
      <w:r w:rsidRPr="00B13091">
        <w:t xml:space="preserve">, s 4 (definition of register). The FRLI may be accessed at </w:t>
      </w:r>
      <w:hyperlink r:id="rId8" w:history="1">
        <w:r w:rsidRPr="006A5FB9">
          <w:rPr>
            <w:rStyle w:val="Hyperlink"/>
          </w:rPr>
          <w:t>http://www.frli.gov.au/</w:t>
        </w:r>
      </w:hyperlink>
      <w:r w:rsidRPr="00B13091">
        <w:t>.</w:t>
      </w:r>
    </w:p>
    <w:p w:rsidR="001273EF" w:rsidRDefault="001273EF" w:rsidP="001273EF">
      <w:pPr>
        <w:pStyle w:val="MIRHeading3"/>
      </w:pPr>
      <w:r>
        <w:t>4.</w:t>
      </w:r>
      <w:r>
        <w:tab/>
        <w:t>Amendments</w:t>
      </w:r>
    </w:p>
    <w:p w:rsidR="001273EF" w:rsidRDefault="00066EF9" w:rsidP="001273EF">
      <w:pPr>
        <w:pStyle w:val="MIRBodyText"/>
      </w:pPr>
      <w:r>
        <w:t xml:space="preserve">Schedule 1 amends the </w:t>
      </w:r>
      <w:r w:rsidR="001273EF" w:rsidRPr="00066EF9">
        <w:rPr>
          <w:i/>
        </w:rPr>
        <w:t>ASIC Market Integrity Rules (</w:t>
      </w:r>
      <w:r w:rsidR="00CD170B" w:rsidRPr="00066EF9">
        <w:rPr>
          <w:i/>
        </w:rPr>
        <w:t xml:space="preserve">Chi-X Australia </w:t>
      </w:r>
      <w:r w:rsidR="001273EF" w:rsidRPr="00066EF9">
        <w:rPr>
          <w:i/>
        </w:rPr>
        <w:t>Market) 201</w:t>
      </w:r>
      <w:r w:rsidR="00CD170B" w:rsidRPr="00066EF9">
        <w:rPr>
          <w:i/>
        </w:rPr>
        <w:t>1</w:t>
      </w:r>
      <w:r w:rsidRPr="00066EF9">
        <w:t>.</w:t>
      </w:r>
    </w:p>
    <w:p w:rsidR="00066EF9" w:rsidRDefault="00066EF9" w:rsidP="00066EF9">
      <w:pPr>
        <w:pStyle w:val="MIRHeading3"/>
      </w:pPr>
      <w:r>
        <w:t>Schedule 1</w:t>
      </w:r>
      <w:r>
        <w:tab/>
      </w:r>
      <w:r>
        <w:tab/>
        <w:t>Amendments</w:t>
      </w:r>
    </w:p>
    <w:p w:rsidR="00066EF9" w:rsidRPr="00941103" w:rsidRDefault="00066EF9" w:rsidP="00066EF9">
      <w:pPr>
        <w:pStyle w:val="MIRHeading3"/>
      </w:pPr>
      <w:r>
        <w:t>[1]</w:t>
      </w:r>
      <w:r>
        <w:tab/>
        <w:t>Rule 1.4.3, after definition of “ASIC”</w:t>
      </w:r>
    </w:p>
    <w:p w:rsidR="00066EF9" w:rsidRPr="00941103" w:rsidRDefault="00066EF9" w:rsidP="00066EF9">
      <w:pPr>
        <w:pStyle w:val="MIRBodyText"/>
      </w:pPr>
      <w:r>
        <w:rPr>
          <w:i/>
        </w:rPr>
        <w:t>insert</w:t>
      </w:r>
    </w:p>
    <w:p w:rsidR="00066EF9" w:rsidRDefault="00066EF9" w:rsidP="00066EF9">
      <w:pPr>
        <w:pStyle w:val="MIRBodyText"/>
        <w:numPr>
          <w:ilvl w:val="0"/>
          <w:numId w:val="0"/>
        </w:numPr>
        <w:ind w:left="851"/>
        <w:rPr>
          <w:i/>
        </w:rPr>
      </w:pPr>
      <w:r w:rsidRPr="003F30AC">
        <w:lastRenderedPageBreak/>
        <w:t>“</w:t>
      </w:r>
      <w:r>
        <w:rPr>
          <w:b/>
        </w:rPr>
        <w:t>ASIC Act</w:t>
      </w:r>
      <w:r w:rsidRPr="003F30AC">
        <w:t>”</w:t>
      </w:r>
      <w:r w:rsidRPr="00941103">
        <w:t xml:space="preserve"> means the </w:t>
      </w:r>
      <w:r w:rsidRPr="00941103">
        <w:rPr>
          <w:i/>
        </w:rPr>
        <w:t>Australian Securities and Investments Commission Act 2001</w:t>
      </w:r>
      <w:r>
        <w:t xml:space="preserve"> as amended from time to time</w:t>
      </w:r>
      <w:r w:rsidRPr="00941103">
        <w:rPr>
          <w:i/>
        </w:rPr>
        <w:t>.</w:t>
      </w:r>
    </w:p>
    <w:p w:rsidR="00066EF9" w:rsidRPr="00941103" w:rsidRDefault="00066EF9" w:rsidP="00066EF9">
      <w:pPr>
        <w:pStyle w:val="MIRHeading3"/>
      </w:pPr>
      <w:r>
        <w:t>[2]</w:t>
      </w:r>
      <w:r>
        <w:tab/>
        <w:t>Rule 1.4.3, after definition of “Comp</w:t>
      </w:r>
      <w:r w:rsidR="00D33695">
        <w:t>ensation Arrangements</w:t>
      </w:r>
      <w:r>
        <w:t>”</w:t>
      </w:r>
    </w:p>
    <w:p w:rsidR="00066EF9" w:rsidRPr="00C77D9A" w:rsidRDefault="00066EF9" w:rsidP="00066EF9">
      <w:pPr>
        <w:pStyle w:val="MIRBodyText"/>
        <w:rPr>
          <w:i/>
        </w:rPr>
      </w:pPr>
      <w:r w:rsidRPr="00C77D9A">
        <w:rPr>
          <w:i/>
        </w:rPr>
        <w:t>insert</w:t>
      </w:r>
    </w:p>
    <w:p w:rsidR="00066EF9" w:rsidRPr="008876DF" w:rsidRDefault="00066EF9" w:rsidP="00066EF9">
      <w:pPr>
        <w:pStyle w:val="MIRBodyText"/>
      </w:pPr>
      <w:r w:rsidRPr="008876DF">
        <w:t>“</w:t>
      </w:r>
      <w:r w:rsidRPr="008876DF">
        <w:rPr>
          <w:b/>
        </w:rPr>
        <w:t>Competition Market Integrity Rules</w:t>
      </w:r>
      <w:r w:rsidRPr="008876DF">
        <w:t xml:space="preserve">” means the </w:t>
      </w:r>
      <w:r w:rsidRPr="008876DF">
        <w:rPr>
          <w:i/>
        </w:rPr>
        <w:t>ASIC Market Integrity Rules (Competition in Exchange Markets) 2011</w:t>
      </w:r>
      <w:r w:rsidRPr="008876DF">
        <w:t xml:space="preserve"> as amended from time to time.</w:t>
      </w:r>
    </w:p>
    <w:p w:rsidR="00066EF9" w:rsidRPr="00941103" w:rsidRDefault="00066EF9" w:rsidP="00066EF9">
      <w:pPr>
        <w:pStyle w:val="MIRHeading3"/>
      </w:pPr>
      <w:r>
        <w:t>[3]</w:t>
      </w:r>
      <w:r>
        <w:tab/>
        <w:t>Rule 1.4.3, after definition of “E</w:t>
      </w:r>
      <w:r w:rsidR="00D33695">
        <w:t>TF Security</w:t>
      </w:r>
      <w:r>
        <w:t>”</w:t>
      </w:r>
    </w:p>
    <w:p w:rsidR="006535FC" w:rsidRPr="006535FC" w:rsidRDefault="00066EF9" w:rsidP="006535FC">
      <w:pPr>
        <w:pStyle w:val="MIRBodyText"/>
        <w:rPr>
          <w:i/>
        </w:rPr>
      </w:pPr>
      <w:r w:rsidRPr="00C77D9A">
        <w:rPr>
          <w:i/>
        </w:rPr>
        <w:t>insert</w:t>
      </w:r>
    </w:p>
    <w:p w:rsidR="00066EF9" w:rsidRDefault="00066EF9" w:rsidP="00066EF9">
      <w:pPr>
        <w:pStyle w:val="MIRBodyText"/>
      </w:pPr>
      <w:r w:rsidRPr="001C1F7B">
        <w:t>“</w:t>
      </w:r>
      <w:r w:rsidRPr="001C1F7B">
        <w:rPr>
          <w:b/>
        </w:rPr>
        <w:t>Equity Market</w:t>
      </w:r>
      <w:r w:rsidRPr="001C1F7B">
        <w:t>” means a Financial Market, on or through which offers to acquire or dispose of Equity Market Products are made or accepted, the operator of which is licensed under subsection 795B(1) of the Corporations Act.</w:t>
      </w:r>
    </w:p>
    <w:p w:rsidR="006535FC" w:rsidRDefault="006535FC" w:rsidP="00066EF9">
      <w:pPr>
        <w:pStyle w:val="MIRBodyText"/>
      </w:pPr>
      <w:r>
        <w:t>"</w:t>
      </w:r>
      <w:r w:rsidRPr="006535FC">
        <w:rPr>
          <w:b/>
        </w:rPr>
        <w:t>Equity Market Operator</w:t>
      </w:r>
      <w:r>
        <w:t>" means an entity that is licensed under subsection 795B(1) of the Corporations Act to operate an Equity Market.</w:t>
      </w:r>
    </w:p>
    <w:p w:rsidR="0067514C" w:rsidRPr="00941103" w:rsidRDefault="0067514C" w:rsidP="0067514C">
      <w:pPr>
        <w:pStyle w:val="MIRHeading3"/>
      </w:pPr>
      <w:r>
        <w:t>[4]</w:t>
      </w:r>
      <w:r>
        <w:tab/>
        <w:t>Rule 1.4.3, definition of “Equity Market Product”</w:t>
      </w:r>
    </w:p>
    <w:p w:rsidR="00E13C9B" w:rsidRPr="00E13C9B" w:rsidRDefault="00E13C9B" w:rsidP="00E13C9B">
      <w:pPr>
        <w:pStyle w:val="MIRBodyText"/>
        <w:rPr>
          <w:i/>
        </w:rPr>
      </w:pPr>
      <w:r w:rsidRPr="00E13C9B">
        <w:rPr>
          <w:i/>
        </w:rPr>
        <w:t>substitute</w:t>
      </w:r>
    </w:p>
    <w:p w:rsidR="00E13C9B" w:rsidRPr="00E13C9B" w:rsidRDefault="00E13C9B" w:rsidP="00E13C9B">
      <w:pPr>
        <w:pStyle w:val="MIRBodyText"/>
      </w:pPr>
      <w:r w:rsidRPr="00E13C9B">
        <w:t>“</w:t>
      </w:r>
      <w:r w:rsidRPr="00E13C9B">
        <w:rPr>
          <w:b/>
        </w:rPr>
        <w:t>Equity Market Product</w:t>
      </w:r>
      <w:r w:rsidRPr="00E13C9B">
        <w:t>” means:</w:t>
      </w:r>
    </w:p>
    <w:p w:rsidR="00E13C9B" w:rsidRDefault="00E13C9B" w:rsidP="00E13C9B">
      <w:pPr>
        <w:pStyle w:val="MIRSubpara"/>
        <w:widowControl/>
        <w:numPr>
          <w:ilvl w:val="1"/>
          <w:numId w:val="12"/>
        </w:numPr>
        <w:adjustRightInd/>
        <w:textAlignment w:val="auto"/>
      </w:pPr>
      <w:r w:rsidRPr="00E13C9B">
        <w:t>a share in a body;</w:t>
      </w:r>
    </w:p>
    <w:p w:rsidR="00E13C9B" w:rsidRPr="00E13C9B" w:rsidRDefault="00E13C9B" w:rsidP="00E13C9B">
      <w:pPr>
        <w:pStyle w:val="MIRSubpara"/>
        <w:widowControl/>
        <w:numPr>
          <w:ilvl w:val="1"/>
          <w:numId w:val="12"/>
        </w:numPr>
        <w:adjustRightInd/>
        <w:textAlignment w:val="auto"/>
      </w:pPr>
      <w:r w:rsidRPr="00E13C9B">
        <w:t>a financial product referred to in subparagraph 764A(1)(b)(i) or subparagraph 764A(1)(ba)(i) of the Act; or</w:t>
      </w:r>
    </w:p>
    <w:p w:rsidR="00E13C9B" w:rsidRDefault="00E13C9B" w:rsidP="00E13C9B">
      <w:pPr>
        <w:pStyle w:val="MIRSubpara"/>
        <w:widowControl/>
        <w:numPr>
          <w:ilvl w:val="1"/>
          <w:numId w:val="12"/>
        </w:numPr>
        <w:adjustRightInd/>
        <w:textAlignment w:val="auto"/>
      </w:pPr>
      <w:r w:rsidRPr="00E13C9B">
        <w:t>a right (whether existing or future and whether contingent or not) to acquire, by way of issue, the following under a rights issue:</w:t>
      </w:r>
    </w:p>
    <w:p w:rsidR="00E13C9B" w:rsidRDefault="00A03F7B" w:rsidP="00E13C9B">
      <w:pPr>
        <w:pStyle w:val="MIRSubpara"/>
        <w:widowControl/>
        <w:numPr>
          <w:ilvl w:val="2"/>
          <w:numId w:val="12"/>
        </w:numPr>
        <w:adjustRightInd/>
        <w:textAlignment w:val="auto"/>
      </w:pPr>
      <w:r>
        <w:t xml:space="preserve">a </w:t>
      </w:r>
      <w:r w:rsidR="00E13C9B" w:rsidRPr="00E13C9B">
        <w:t>share covered by paragraph (a);</w:t>
      </w:r>
      <w:r w:rsidR="00E13C9B">
        <w:t xml:space="preserve"> or</w:t>
      </w:r>
    </w:p>
    <w:p w:rsidR="00E13C9B" w:rsidRDefault="00E13C9B" w:rsidP="00E13C9B">
      <w:pPr>
        <w:pStyle w:val="MIRSubpara"/>
        <w:widowControl/>
        <w:numPr>
          <w:ilvl w:val="2"/>
          <w:numId w:val="12"/>
        </w:numPr>
        <w:adjustRightInd/>
        <w:textAlignment w:val="auto"/>
      </w:pPr>
      <w:r w:rsidRPr="00E13C9B">
        <w:t>a financial product covered by paragraph (b); or</w:t>
      </w:r>
    </w:p>
    <w:p w:rsidR="00E13C9B" w:rsidRPr="00E13C9B" w:rsidRDefault="00E13C9B" w:rsidP="00E13C9B">
      <w:pPr>
        <w:pStyle w:val="MIRSubpara"/>
        <w:widowControl/>
        <w:numPr>
          <w:ilvl w:val="1"/>
          <w:numId w:val="12"/>
        </w:numPr>
        <w:adjustRightInd/>
        <w:textAlignment w:val="auto"/>
      </w:pPr>
      <w:r w:rsidRPr="00E13C9B">
        <w:t>a CHESS Depository Interest,</w:t>
      </w:r>
    </w:p>
    <w:p w:rsidR="00E13C9B" w:rsidRPr="00E13C9B" w:rsidRDefault="00E13C9B" w:rsidP="00E13C9B">
      <w:pPr>
        <w:pStyle w:val="MIRBodyText"/>
      </w:pPr>
      <w:r w:rsidRPr="00E13C9B">
        <w:t>admitted to quotation on ASX and able to be traded on the Chi-X Market.</w:t>
      </w:r>
    </w:p>
    <w:p w:rsidR="00E50555" w:rsidRDefault="00E50555" w:rsidP="00E50555">
      <w:pPr>
        <w:pStyle w:val="MIRHeading3"/>
      </w:pPr>
      <w:r w:rsidRPr="00C17443">
        <w:t>[</w:t>
      </w:r>
      <w:r>
        <w:t>5</w:t>
      </w:r>
      <w:r w:rsidRPr="00C17443">
        <w:t>]</w:t>
      </w:r>
      <w:r w:rsidRPr="00C17443">
        <w:tab/>
        <w:t>Rule 1.4.3, after definition of “</w:t>
      </w:r>
      <w:r>
        <w:t>Family Trust</w:t>
      </w:r>
      <w:r w:rsidRPr="00C17443">
        <w:t>”</w:t>
      </w:r>
    </w:p>
    <w:p w:rsidR="00E50555" w:rsidRDefault="00E50555" w:rsidP="00E50555">
      <w:pPr>
        <w:pStyle w:val="MIRBodyText"/>
      </w:pPr>
      <w:r>
        <w:rPr>
          <w:i/>
        </w:rPr>
        <w:t>insert</w:t>
      </w:r>
      <w:r w:rsidRPr="00E50555">
        <w:t xml:space="preserve"> </w:t>
      </w:r>
    </w:p>
    <w:p w:rsidR="00E50555" w:rsidRPr="00E50555" w:rsidRDefault="00E50555" w:rsidP="00E50555">
      <w:pPr>
        <w:pStyle w:val="MIRBodyText"/>
      </w:pPr>
      <w:r w:rsidRPr="00E50555">
        <w:t>“</w:t>
      </w:r>
      <w:r w:rsidRPr="00E50555">
        <w:rPr>
          <w:b/>
          <w:bCs/>
        </w:rPr>
        <w:t>Financial Market</w:t>
      </w:r>
      <w:r w:rsidRPr="00E50555">
        <w:t xml:space="preserve">” has the meaning given by section 767A of the Corporations Act. </w:t>
      </w:r>
    </w:p>
    <w:p w:rsidR="00066EF9" w:rsidRDefault="00066EF9" w:rsidP="00066EF9">
      <w:pPr>
        <w:pStyle w:val="MIRHeading3"/>
      </w:pPr>
      <w:r w:rsidRPr="00C17443">
        <w:t>[</w:t>
      </w:r>
      <w:r w:rsidR="00E50555">
        <w:t>6</w:t>
      </w:r>
      <w:r w:rsidRPr="00C17443">
        <w:t>]</w:t>
      </w:r>
      <w:r w:rsidRPr="00C17443">
        <w:tab/>
        <w:t>Rule 1.4.3, definition of “</w:t>
      </w:r>
      <w:r>
        <w:t>On-Market</w:t>
      </w:r>
      <w:r w:rsidRPr="00C17443">
        <w:t>”</w:t>
      </w:r>
      <w:r>
        <w:t>, paragraph (a)</w:t>
      </w:r>
    </w:p>
    <w:p w:rsidR="00066EF9" w:rsidRPr="00C9148D" w:rsidRDefault="00066EF9" w:rsidP="00066EF9">
      <w:pPr>
        <w:pStyle w:val="MIRBodyText"/>
        <w:rPr>
          <w:i/>
        </w:rPr>
      </w:pPr>
      <w:r w:rsidRPr="00C9148D">
        <w:rPr>
          <w:i/>
        </w:rPr>
        <w:t>omit</w:t>
      </w:r>
    </w:p>
    <w:p w:rsidR="00066EF9" w:rsidRDefault="00B218CD" w:rsidP="00066EF9">
      <w:pPr>
        <w:pStyle w:val="MIRBodyText"/>
      </w:pPr>
      <w:r w:rsidRPr="00B218CD">
        <w:lastRenderedPageBreak/>
        <w:t>the Continuous Trading Period</w:t>
      </w:r>
    </w:p>
    <w:p w:rsidR="00066EF9" w:rsidRPr="00C9148D" w:rsidRDefault="00066EF9" w:rsidP="00066EF9">
      <w:pPr>
        <w:pStyle w:val="MIRBodyText"/>
        <w:rPr>
          <w:i/>
        </w:rPr>
      </w:pPr>
      <w:r w:rsidRPr="00C9148D">
        <w:rPr>
          <w:i/>
        </w:rPr>
        <w:t>insert</w:t>
      </w:r>
    </w:p>
    <w:p w:rsidR="00066EF9" w:rsidRDefault="00066EF9" w:rsidP="00066EF9">
      <w:pPr>
        <w:pStyle w:val="MIRBodyText"/>
      </w:pPr>
      <w:r>
        <w:t>Trading Hours</w:t>
      </w:r>
    </w:p>
    <w:p w:rsidR="00066EF9" w:rsidRDefault="00066EF9" w:rsidP="00066EF9">
      <w:pPr>
        <w:pStyle w:val="MIRHeading3"/>
      </w:pPr>
      <w:r w:rsidRPr="00C17443">
        <w:t>[</w:t>
      </w:r>
      <w:r w:rsidR="00E50555">
        <w:t>7</w:t>
      </w:r>
      <w:r w:rsidRPr="00C17443">
        <w:t>]</w:t>
      </w:r>
      <w:r w:rsidRPr="00C17443">
        <w:tab/>
        <w:t>Rule 1.4.3, definition of “</w:t>
      </w:r>
      <w:r>
        <w:t>On-Market</w:t>
      </w:r>
      <w:r w:rsidRPr="00C17443">
        <w:t>”</w:t>
      </w:r>
      <w:r>
        <w:t>, paragraph (b)</w:t>
      </w:r>
    </w:p>
    <w:p w:rsidR="00066EF9" w:rsidRDefault="00066EF9" w:rsidP="00066EF9">
      <w:pPr>
        <w:pStyle w:val="MIRBodyText"/>
      </w:pPr>
      <w:r>
        <w:rPr>
          <w:i/>
        </w:rPr>
        <w:t>omit</w:t>
      </w:r>
    </w:p>
    <w:p w:rsidR="00B218CD" w:rsidRPr="00B218CD" w:rsidRDefault="00B218CD" w:rsidP="00B218CD">
      <w:pPr>
        <w:pStyle w:val="MIRBodyText"/>
      </w:pPr>
      <w:r w:rsidRPr="00B218CD">
        <w:t>the Continuous Trading Period</w:t>
      </w:r>
    </w:p>
    <w:p w:rsidR="00066EF9" w:rsidRPr="003228B6" w:rsidRDefault="00066EF9" w:rsidP="00066EF9">
      <w:pPr>
        <w:pStyle w:val="MIRBodyText"/>
        <w:rPr>
          <w:i/>
        </w:rPr>
      </w:pPr>
      <w:r w:rsidRPr="003228B6">
        <w:rPr>
          <w:i/>
        </w:rPr>
        <w:t>insert</w:t>
      </w:r>
    </w:p>
    <w:p w:rsidR="00066EF9" w:rsidRDefault="00066EF9" w:rsidP="00066EF9">
      <w:pPr>
        <w:pStyle w:val="MIRBodyText"/>
        <w:numPr>
          <w:ilvl w:val="0"/>
          <w:numId w:val="0"/>
        </w:numPr>
        <w:ind w:left="851"/>
      </w:pPr>
      <w:r>
        <w:t>Trading Hours</w:t>
      </w:r>
    </w:p>
    <w:p w:rsidR="00066EF9" w:rsidRDefault="00066EF9" w:rsidP="00066EF9">
      <w:pPr>
        <w:pStyle w:val="MIRHeading3"/>
      </w:pPr>
      <w:r w:rsidRPr="00C17443">
        <w:t>[</w:t>
      </w:r>
      <w:r w:rsidR="00E50555">
        <w:t>8</w:t>
      </w:r>
      <w:r w:rsidRPr="00C17443">
        <w:t>]</w:t>
      </w:r>
      <w:r w:rsidRPr="00C17443">
        <w:tab/>
        <w:t>Rule 1.4.3, definition of “</w:t>
      </w:r>
      <w:r>
        <w:t>On-Market</w:t>
      </w:r>
      <w:r w:rsidRPr="00C17443">
        <w:t>”</w:t>
      </w:r>
      <w:r>
        <w:t>, paragraph (d)</w:t>
      </w:r>
    </w:p>
    <w:p w:rsidR="00066EF9" w:rsidRDefault="00066EF9" w:rsidP="00066EF9">
      <w:pPr>
        <w:pStyle w:val="MIRBodyText"/>
        <w:numPr>
          <w:ilvl w:val="0"/>
          <w:numId w:val="0"/>
        </w:numPr>
        <w:ind w:left="851"/>
        <w:rPr>
          <w:i/>
        </w:rPr>
      </w:pPr>
      <w:r>
        <w:rPr>
          <w:i/>
        </w:rPr>
        <w:t>omit</w:t>
      </w:r>
    </w:p>
    <w:p w:rsidR="00066EF9" w:rsidRPr="005724FE" w:rsidRDefault="00066EF9" w:rsidP="00066EF9">
      <w:pPr>
        <w:pStyle w:val="MIRBodyText"/>
      </w:pPr>
      <w:r w:rsidRPr="005724FE">
        <w:t xml:space="preserve">after </w:t>
      </w:r>
      <w:r w:rsidR="00B218CD">
        <w:t xml:space="preserve">the Post-Trading Administration Period </w:t>
      </w:r>
      <w:r w:rsidRPr="005724FE">
        <w:t xml:space="preserve">on a Trading Day and up to 15 minutes prior to commencement of the </w:t>
      </w:r>
      <w:r w:rsidR="00B218CD">
        <w:t>Continuous Trading Period</w:t>
      </w:r>
      <w:r w:rsidR="002A26AE">
        <w:t xml:space="preserve"> on the next Trading Day</w:t>
      </w:r>
    </w:p>
    <w:p w:rsidR="00066EF9" w:rsidRPr="00F07F1E" w:rsidRDefault="00066EF9" w:rsidP="00066EF9">
      <w:pPr>
        <w:pStyle w:val="MIRBodyText"/>
        <w:numPr>
          <w:ilvl w:val="0"/>
          <w:numId w:val="0"/>
        </w:numPr>
        <w:ind w:left="851"/>
        <w:rPr>
          <w:i/>
        </w:rPr>
      </w:pPr>
      <w:r>
        <w:rPr>
          <w:i/>
        </w:rPr>
        <w:t>insert</w:t>
      </w:r>
    </w:p>
    <w:p w:rsidR="00066EF9" w:rsidRPr="005724FE" w:rsidRDefault="00066EF9" w:rsidP="00066EF9">
      <w:pPr>
        <w:pStyle w:val="MIRBodyText"/>
      </w:pPr>
      <w:r w:rsidRPr="005724FE">
        <w:t>outside of Trading Hours</w:t>
      </w:r>
    </w:p>
    <w:p w:rsidR="00066EF9" w:rsidRDefault="00066EF9" w:rsidP="00066EF9">
      <w:pPr>
        <w:pStyle w:val="MIRHeading3"/>
      </w:pPr>
      <w:r w:rsidRPr="00C17443">
        <w:t>[</w:t>
      </w:r>
      <w:r w:rsidR="00E50555">
        <w:t>9</w:t>
      </w:r>
      <w:r w:rsidRPr="00C17443">
        <w:t>]</w:t>
      </w:r>
      <w:r w:rsidRPr="00C17443">
        <w:tab/>
        <w:t xml:space="preserve">Rule 1.4.3, </w:t>
      </w:r>
      <w:r>
        <w:t xml:space="preserve">after </w:t>
      </w:r>
      <w:r w:rsidRPr="00C17443">
        <w:t>definition of “</w:t>
      </w:r>
      <w:r>
        <w:t>Order</w:t>
      </w:r>
      <w:r w:rsidRPr="00C17443">
        <w:t>”</w:t>
      </w:r>
    </w:p>
    <w:p w:rsidR="00FB1A26" w:rsidRPr="00FB1A26" w:rsidRDefault="00FB1A26" w:rsidP="00FB1A26">
      <w:pPr>
        <w:pStyle w:val="MIRBodyText"/>
        <w:rPr>
          <w:i/>
        </w:rPr>
      </w:pPr>
      <w:r w:rsidRPr="00FB1A26">
        <w:rPr>
          <w:i/>
        </w:rPr>
        <w:t>insert</w:t>
      </w:r>
    </w:p>
    <w:p w:rsidR="00066EF9" w:rsidRDefault="00066EF9" w:rsidP="00066EF9">
      <w:pPr>
        <w:pStyle w:val="MIRBodyText"/>
      </w:pPr>
      <w:r w:rsidRPr="00C73085">
        <w:t>“</w:t>
      </w:r>
      <w:r w:rsidRPr="00C73085">
        <w:rPr>
          <w:b/>
        </w:rPr>
        <w:t>Order Book</w:t>
      </w:r>
      <w:r w:rsidRPr="00C73085">
        <w:t>” means an electronic list of Orders, maintained by or on behalf of</w:t>
      </w:r>
      <w:r w:rsidR="006535FC">
        <w:t xml:space="preserve"> an Equity Market Operator</w:t>
      </w:r>
      <w:r w:rsidRPr="00C73085">
        <w:t>, on which those Orders are matched with other Orders in the same list.</w:t>
      </w:r>
    </w:p>
    <w:p w:rsidR="00FC5821" w:rsidRDefault="00FC5821" w:rsidP="00FC5821">
      <w:pPr>
        <w:pStyle w:val="MIRHeading3"/>
      </w:pPr>
      <w:r w:rsidRPr="00C17443">
        <w:t>[</w:t>
      </w:r>
      <w:r>
        <w:t>10</w:t>
      </w:r>
      <w:r w:rsidRPr="00C17443">
        <w:t>]</w:t>
      </w:r>
      <w:r w:rsidRPr="00C17443">
        <w:tab/>
        <w:t xml:space="preserve">Rule 1.4.3, definition of </w:t>
      </w:r>
      <w:r>
        <w:t>“Special Crossing”</w:t>
      </w:r>
    </w:p>
    <w:p w:rsidR="00FC5821" w:rsidRDefault="00FC5821" w:rsidP="00FC5821">
      <w:pPr>
        <w:pStyle w:val="MIRBodyText"/>
        <w:numPr>
          <w:ilvl w:val="0"/>
          <w:numId w:val="0"/>
        </w:numPr>
        <w:ind w:left="851"/>
        <w:rPr>
          <w:i/>
        </w:rPr>
      </w:pPr>
      <w:r>
        <w:rPr>
          <w:i/>
        </w:rPr>
        <w:t>substitute</w:t>
      </w:r>
    </w:p>
    <w:p w:rsidR="00FC5821" w:rsidRPr="00C73085" w:rsidRDefault="00FC5821" w:rsidP="00FC5821">
      <w:pPr>
        <w:pStyle w:val="MIRBodyText"/>
      </w:pPr>
      <w:r>
        <w:t>“</w:t>
      </w:r>
      <w:r w:rsidRPr="00CB7E1A">
        <w:rPr>
          <w:b/>
        </w:rPr>
        <w:t>Special Crossing</w:t>
      </w:r>
      <w:r>
        <w:t xml:space="preserve">” </w:t>
      </w:r>
      <w:r w:rsidR="00A935B0">
        <w:t xml:space="preserve">means a block trade or a large portfolio trade, within the meaning of the Competition Market Integrity Rules, </w:t>
      </w:r>
      <w:r w:rsidRPr="004F226E">
        <w:t xml:space="preserve">entered into other than </w:t>
      </w:r>
      <w:r w:rsidR="00A935B0">
        <w:t xml:space="preserve">by matching of Orders </w:t>
      </w:r>
      <w:r w:rsidRPr="004F226E">
        <w:t>on an Order Book of an Equity</w:t>
      </w:r>
      <w:r w:rsidR="00A935B0">
        <w:t xml:space="preserve"> Market</w:t>
      </w:r>
      <w:r>
        <w:t>.</w:t>
      </w:r>
    </w:p>
    <w:p w:rsidR="00066EF9" w:rsidRDefault="00066EF9" w:rsidP="00066EF9">
      <w:pPr>
        <w:pStyle w:val="MIRHeading3"/>
      </w:pPr>
      <w:r w:rsidRPr="00C17443">
        <w:t>[</w:t>
      </w:r>
      <w:r w:rsidR="00E50555">
        <w:t>1</w:t>
      </w:r>
      <w:r w:rsidR="00FC5821">
        <w:t>1</w:t>
      </w:r>
      <w:r w:rsidRPr="00C17443">
        <w:t>]</w:t>
      </w:r>
      <w:r w:rsidRPr="00C17443">
        <w:tab/>
        <w:t xml:space="preserve">Rule 1.4.3, </w:t>
      </w:r>
      <w:r>
        <w:t xml:space="preserve">after </w:t>
      </w:r>
      <w:r w:rsidRPr="00C17443">
        <w:t xml:space="preserve">definition of </w:t>
      </w:r>
      <w:r>
        <w:t>“Trading Day”</w:t>
      </w:r>
    </w:p>
    <w:p w:rsidR="00066EF9" w:rsidRPr="00E65F27" w:rsidRDefault="00066EF9" w:rsidP="00066EF9">
      <w:pPr>
        <w:pStyle w:val="MIRBodyText"/>
        <w:numPr>
          <w:ilvl w:val="0"/>
          <w:numId w:val="0"/>
        </w:numPr>
        <w:ind w:left="851"/>
        <w:rPr>
          <w:i/>
        </w:rPr>
      </w:pPr>
      <w:r>
        <w:rPr>
          <w:i/>
        </w:rPr>
        <w:t>insert</w:t>
      </w:r>
    </w:p>
    <w:p w:rsidR="00066EF9" w:rsidRDefault="00066EF9" w:rsidP="00066EF9">
      <w:pPr>
        <w:pStyle w:val="MIRBodyText"/>
        <w:widowControl/>
        <w:adjustRightInd/>
        <w:textAlignment w:val="auto"/>
      </w:pPr>
      <w:r>
        <w:t>“</w:t>
      </w:r>
      <w:r w:rsidRPr="00044A5A">
        <w:rPr>
          <w:b/>
        </w:rPr>
        <w:t>Trading Hours</w:t>
      </w:r>
      <w:r>
        <w:t>”</w:t>
      </w:r>
      <w:r w:rsidRPr="00044A5A">
        <w:t>, in relation to</w:t>
      </w:r>
      <w:r>
        <w:t xml:space="preserve"> the </w:t>
      </w:r>
      <w:r w:rsidR="00D95FF7">
        <w:t xml:space="preserve">Chi-X </w:t>
      </w:r>
      <w:r>
        <w:t>M</w:t>
      </w:r>
      <w:r w:rsidRPr="00044A5A">
        <w:t xml:space="preserve">arket, means the times during which: </w:t>
      </w:r>
    </w:p>
    <w:p w:rsidR="00066EF9" w:rsidRDefault="00066EF9" w:rsidP="00066EF9">
      <w:pPr>
        <w:pStyle w:val="MIRSubpara"/>
        <w:widowControl/>
        <w:numPr>
          <w:ilvl w:val="1"/>
          <w:numId w:val="12"/>
        </w:numPr>
        <w:adjustRightInd/>
        <w:textAlignment w:val="auto"/>
      </w:pPr>
      <w:r>
        <w:t>O</w:t>
      </w:r>
      <w:r w:rsidRPr="00044A5A">
        <w:t xml:space="preserve">rders may be entered, amended or cancelled on the Order Books of the </w:t>
      </w:r>
      <w:r w:rsidR="00AF3367">
        <w:t xml:space="preserve">Chi-X </w:t>
      </w:r>
      <w:r>
        <w:t>M</w:t>
      </w:r>
      <w:r w:rsidRPr="00044A5A">
        <w:t>arket; and</w:t>
      </w:r>
    </w:p>
    <w:p w:rsidR="00066EF9" w:rsidRDefault="00066EF9" w:rsidP="00066EF9">
      <w:pPr>
        <w:pStyle w:val="MIRSubpara"/>
        <w:widowControl/>
        <w:numPr>
          <w:ilvl w:val="1"/>
          <w:numId w:val="12"/>
        </w:numPr>
        <w:adjustRightInd/>
        <w:textAlignment w:val="auto"/>
      </w:pPr>
      <w:r>
        <w:lastRenderedPageBreak/>
        <w:t xml:space="preserve">Orders are matched and transactions are executed on a continuous basis on the </w:t>
      </w:r>
      <w:r w:rsidR="00AF3367">
        <w:t xml:space="preserve">Chi-X </w:t>
      </w:r>
      <w:r>
        <w:t>Market</w:t>
      </w:r>
      <w:r w:rsidR="00AF3367">
        <w:t>.</w:t>
      </w:r>
    </w:p>
    <w:p w:rsidR="00066EF9" w:rsidRDefault="00066EF9" w:rsidP="00066EF9">
      <w:pPr>
        <w:pStyle w:val="MIRHeading3"/>
      </w:pPr>
      <w:r w:rsidRPr="00C17443">
        <w:t>[</w:t>
      </w:r>
      <w:r w:rsidR="00E50555">
        <w:t>1</w:t>
      </w:r>
      <w:r w:rsidR="00FC5821">
        <w:t>2</w:t>
      </w:r>
      <w:r w:rsidRPr="00C17443">
        <w:t>]</w:t>
      </w:r>
      <w:r w:rsidRPr="00C17443">
        <w:tab/>
        <w:t xml:space="preserve">Rule 1.4.3, </w:t>
      </w:r>
      <w:r>
        <w:t xml:space="preserve">after </w:t>
      </w:r>
      <w:r w:rsidRPr="00C17443">
        <w:t xml:space="preserve">definition of </w:t>
      </w:r>
      <w:r>
        <w:t xml:space="preserve">“Trading </w:t>
      </w:r>
      <w:r w:rsidR="00FB1A26">
        <w:t>Platform</w:t>
      </w:r>
      <w:r>
        <w:t>”</w:t>
      </w:r>
    </w:p>
    <w:p w:rsidR="00066EF9" w:rsidRPr="00E65F27" w:rsidRDefault="00066EF9" w:rsidP="00066EF9">
      <w:pPr>
        <w:pStyle w:val="MIRBodyText"/>
        <w:numPr>
          <w:ilvl w:val="0"/>
          <w:numId w:val="0"/>
        </w:numPr>
        <w:ind w:left="851"/>
        <w:rPr>
          <w:i/>
        </w:rPr>
      </w:pPr>
      <w:r>
        <w:rPr>
          <w:i/>
        </w:rPr>
        <w:t>insert</w:t>
      </w:r>
    </w:p>
    <w:p w:rsidR="00066EF9" w:rsidRPr="00E91CDA" w:rsidRDefault="00066EF9" w:rsidP="00066EF9">
      <w:pPr>
        <w:pStyle w:val="MIRBodyText"/>
      </w:pPr>
      <w:r w:rsidRPr="00E91CDA">
        <w:t>“</w:t>
      </w:r>
      <w:r w:rsidRPr="00E91CDA">
        <w:rPr>
          <w:b/>
        </w:rPr>
        <w:t>Trading Suspension</w:t>
      </w:r>
      <w:r w:rsidRPr="00E91CDA">
        <w:t>” means a halt or suspension in trading on an Equity Market pursuant to</w:t>
      </w:r>
      <w:r w:rsidR="00A935B0">
        <w:t xml:space="preserve"> the exercise of a power by an Equity Market Operator </w:t>
      </w:r>
      <w:r w:rsidRPr="00E91CDA">
        <w:t>under</w:t>
      </w:r>
      <w:r w:rsidR="00A935B0">
        <w:t xml:space="preserve"> the Operating Rules of the Equity Market</w:t>
      </w:r>
      <w:r w:rsidRPr="00E91CDA">
        <w:t xml:space="preserve">, during which Orders may not be matched or executed on the relevant Equity Market, but does not include a halt or suspension caused by a technical problem (including a power outage) affecting the technical infrastructure used by the </w:t>
      </w:r>
      <w:r w:rsidR="00A935B0">
        <w:t xml:space="preserve">Equity Market Operator </w:t>
      </w:r>
      <w:r w:rsidRPr="00E91CDA">
        <w:t xml:space="preserve">for the purposes of receiving Trading Messages, matching and executing Orders and reporting transactions. </w:t>
      </w:r>
    </w:p>
    <w:p w:rsidR="00FB1A26" w:rsidRDefault="00FB1A26" w:rsidP="00FB1A26">
      <w:pPr>
        <w:pStyle w:val="MIRHeading3"/>
      </w:pPr>
      <w:r w:rsidRPr="00C17443">
        <w:t>[</w:t>
      </w:r>
      <w:r w:rsidR="00E50555">
        <w:t>13</w:t>
      </w:r>
      <w:r w:rsidRPr="00C17443">
        <w:t>]</w:t>
      </w:r>
      <w:r w:rsidRPr="00C17443">
        <w:tab/>
      </w:r>
      <w:r>
        <w:t>After Part 2.5</w:t>
      </w:r>
    </w:p>
    <w:p w:rsidR="00FB1A26" w:rsidRDefault="00FB1A26" w:rsidP="00FB1A26">
      <w:pPr>
        <w:pStyle w:val="MIRBodyText"/>
        <w:numPr>
          <w:ilvl w:val="0"/>
          <w:numId w:val="0"/>
        </w:numPr>
        <w:ind w:left="851"/>
        <w:rPr>
          <w:i/>
        </w:rPr>
      </w:pPr>
      <w:r>
        <w:rPr>
          <w:i/>
        </w:rPr>
        <w:t>i</w:t>
      </w:r>
      <w:r w:rsidRPr="009C4F58">
        <w:rPr>
          <w:i/>
        </w:rPr>
        <w:t>nsert</w:t>
      </w:r>
    </w:p>
    <w:p w:rsidR="00FB1A26" w:rsidRDefault="00FB1A26" w:rsidP="00FB1A26">
      <w:pPr>
        <w:pStyle w:val="MIRHeading2Part"/>
        <w:ind w:left="1985"/>
      </w:pPr>
      <w:r>
        <w:t>Part 2.6</w:t>
      </w:r>
      <w:r>
        <w:tab/>
        <w:t xml:space="preserve">Foreign Participants </w:t>
      </w:r>
    </w:p>
    <w:p w:rsidR="00FB1A26" w:rsidRDefault="00FB1A26" w:rsidP="00FB1A26">
      <w:pPr>
        <w:pStyle w:val="MIRHeading3Rule"/>
        <w:ind w:left="1702"/>
      </w:pPr>
      <w:r>
        <w:t>2.6.1</w:t>
      </w:r>
      <w:r>
        <w:tab/>
        <w:t>Minimum presence requirements</w:t>
      </w:r>
    </w:p>
    <w:p w:rsidR="00FB1A26" w:rsidRPr="00990CD6" w:rsidRDefault="00FB1A26" w:rsidP="00FB1A26">
      <w:pPr>
        <w:pStyle w:val="MIRBodyText"/>
        <w:widowControl/>
        <w:adjustRightInd/>
        <w:spacing w:before="160"/>
        <w:ind w:left="1702"/>
        <w:textAlignment w:val="auto"/>
      </w:pPr>
      <w:r>
        <w:t xml:space="preserve">(1) This Rule applies to a </w:t>
      </w:r>
      <w:r w:rsidRPr="00990CD6">
        <w:t>Market Participant</w:t>
      </w:r>
      <w:r>
        <w:t xml:space="preserve"> (“</w:t>
      </w:r>
      <w:r w:rsidRPr="0031794B">
        <w:rPr>
          <w:b/>
        </w:rPr>
        <w:t>Foreign Market Participant</w:t>
      </w:r>
      <w:r w:rsidRPr="002E62E2">
        <w:t>”</w:t>
      </w:r>
      <w:r>
        <w:t>)</w:t>
      </w:r>
      <w:r w:rsidR="00F221F0">
        <w:t xml:space="preserve"> that</w:t>
      </w:r>
      <w:r w:rsidRPr="00990CD6">
        <w:t>:</w:t>
      </w:r>
    </w:p>
    <w:p w:rsidR="00FB1A26" w:rsidRPr="00990CD6" w:rsidRDefault="00FB1A26" w:rsidP="00FB1A26">
      <w:pPr>
        <w:pStyle w:val="MIRSubpara"/>
        <w:widowControl/>
        <w:numPr>
          <w:ilvl w:val="1"/>
          <w:numId w:val="12"/>
        </w:numPr>
        <w:tabs>
          <w:tab w:val="clear" w:pos="1276"/>
          <w:tab w:val="num" w:pos="2127"/>
        </w:tabs>
        <w:adjustRightInd/>
        <w:ind w:left="2127"/>
        <w:textAlignment w:val="auto"/>
      </w:pPr>
      <w:r w:rsidRPr="00990CD6">
        <w:t>is a foreign entity; and</w:t>
      </w:r>
    </w:p>
    <w:p w:rsidR="00FB1A26" w:rsidRPr="00990CD6" w:rsidRDefault="00FB1A26" w:rsidP="00FB1A26">
      <w:pPr>
        <w:pStyle w:val="MIRSubpara"/>
        <w:widowControl/>
        <w:numPr>
          <w:ilvl w:val="1"/>
          <w:numId w:val="12"/>
        </w:numPr>
        <w:tabs>
          <w:tab w:val="clear" w:pos="1276"/>
          <w:tab w:val="num" w:pos="2127"/>
        </w:tabs>
        <w:adjustRightInd/>
        <w:ind w:left="2127"/>
        <w:textAlignment w:val="auto"/>
      </w:pPr>
      <w:r w:rsidRPr="00990CD6">
        <w:t>does not hold an AFSL</w:t>
      </w:r>
      <w:r>
        <w:t>.</w:t>
      </w:r>
    </w:p>
    <w:p w:rsidR="00FB1A26" w:rsidRPr="00D77C50" w:rsidRDefault="00FB1A26" w:rsidP="00FB1A26">
      <w:pPr>
        <w:pStyle w:val="MIRBodyText"/>
        <w:widowControl/>
        <w:adjustRightInd/>
        <w:spacing w:before="160"/>
        <w:ind w:left="1702"/>
        <w:textAlignment w:val="auto"/>
      </w:pPr>
      <w:r w:rsidRPr="00D77C50">
        <w:t xml:space="preserve">(2) </w:t>
      </w:r>
      <w:r w:rsidRPr="00E91CDA">
        <w:t>Before entering into a Market Transaction,</w:t>
      </w:r>
      <w:r>
        <w:t xml:space="preserve"> a </w:t>
      </w:r>
      <w:r w:rsidRPr="00BE1A1E">
        <w:t xml:space="preserve">Foreign </w:t>
      </w:r>
      <w:r>
        <w:t xml:space="preserve">Market </w:t>
      </w:r>
      <w:r w:rsidRPr="00BE1A1E">
        <w:t>Participant must provide ASIC</w:t>
      </w:r>
      <w:r>
        <w:t xml:space="preserve"> with a deed of the Foreign Market Participant </w:t>
      </w:r>
      <w:r w:rsidRPr="00BE1A1E">
        <w:t xml:space="preserve">for the benefit of and enforceable by ASIC and the other persons referred to in subsection 659B(1) of the Corporations </w:t>
      </w:r>
      <w:r w:rsidRPr="00E91CDA">
        <w:t>Act, which</w:t>
      </w:r>
      <w:r>
        <w:t xml:space="preserve"> deed provides that:</w:t>
      </w:r>
    </w:p>
    <w:p w:rsidR="00FB1A26" w:rsidRDefault="00FB1A26" w:rsidP="00FB1A26">
      <w:pPr>
        <w:pStyle w:val="MIRSubpara"/>
        <w:widowControl/>
        <w:numPr>
          <w:ilvl w:val="1"/>
          <w:numId w:val="12"/>
        </w:numPr>
        <w:tabs>
          <w:tab w:val="clear" w:pos="1276"/>
          <w:tab w:val="num" w:pos="2127"/>
        </w:tabs>
        <w:adjustRightInd/>
        <w:ind w:left="2127"/>
        <w:textAlignment w:val="auto"/>
      </w:pPr>
      <w:r w:rsidRPr="00FC4420">
        <w:t>the deed is irrevocable except with the prior written consent of ASIC</w:t>
      </w:r>
      <w:r>
        <w:t>;</w:t>
      </w:r>
    </w:p>
    <w:p w:rsidR="00FB1A26" w:rsidRDefault="00FB1A26" w:rsidP="00FB1A26">
      <w:pPr>
        <w:pStyle w:val="MIRSubpara"/>
        <w:widowControl/>
        <w:numPr>
          <w:ilvl w:val="1"/>
          <w:numId w:val="12"/>
        </w:numPr>
        <w:tabs>
          <w:tab w:val="clear" w:pos="1276"/>
          <w:tab w:val="num" w:pos="2127"/>
        </w:tabs>
        <w:adjustRightInd/>
        <w:ind w:left="2127"/>
        <w:textAlignment w:val="auto"/>
      </w:pPr>
      <w:r w:rsidRPr="00FC4420">
        <w:t xml:space="preserve">the </w:t>
      </w:r>
      <w:r>
        <w:t>Foreign Market Participant</w:t>
      </w:r>
      <w:r w:rsidRPr="00FC4420">
        <w:t xml:space="preserve"> submits to the non-exclusive jurisdiction of the Australian courts in legal proceedings conducted by ASIC (including under section</w:t>
      </w:r>
      <w:r>
        <w:t xml:space="preserve"> </w:t>
      </w:r>
      <w:r w:rsidRPr="00FC4420">
        <w:t>50</w:t>
      </w:r>
      <w:r>
        <w:t xml:space="preserve"> </w:t>
      </w:r>
      <w:r w:rsidRPr="00FC4420">
        <w:t xml:space="preserve">of the ASIC Act) and, in relation to proceedings relating to a financial services law, by any person referred to in subsection 659B(1) of the </w:t>
      </w:r>
      <w:r>
        <w:t xml:space="preserve">Corporations </w:t>
      </w:r>
      <w:r w:rsidRPr="00FC4420">
        <w:t>Act and whether brought in the name of ASIC or the Crown or otherwise;</w:t>
      </w:r>
    </w:p>
    <w:p w:rsidR="00FB1A26" w:rsidRDefault="00FB1A26" w:rsidP="00FB1A26">
      <w:pPr>
        <w:pStyle w:val="MIRSubpara"/>
        <w:widowControl/>
        <w:numPr>
          <w:ilvl w:val="1"/>
          <w:numId w:val="12"/>
        </w:numPr>
        <w:tabs>
          <w:tab w:val="clear" w:pos="1276"/>
          <w:tab w:val="num" w:pos="2127"/>
        </w:tabs>
        <w:adjustRightInd/>
        <w:ind w:left="2127"/>
        <w:textAlignment w:val="auto"/>
      </w:pPr>
      <w:r>
        <w:t xml:space="preserve">the Foreign Market Participant </w:t>
      </w:r>
      <w:r w:rsidRPr="00C05C01">
        <w:t>covenants to comply with</w:t>
      </w:r>
      <w:r w:rsidRPr="00E77817">
        <w:t xml:space="preserve"> </w:t>
      </w:r>
      <w:r w:rsidRPr="00CA5DD8">
        <w:t>any order of an Australian court in respect of any matter relating to the</w:t>
      </w:r>
      <w:r>
        <w:t xml:space="preserve"> activities or conduct of the Foreign Market Participant in relation to the </w:t>
      </w:r>
      <w:r w:rsidR="00F55DEC">
        <w:t xml:space="preserve">Chi-X </w:t>
      </w:r>
      <w:r>
        <w:t xml:space="preserve">Market or in relation to Financial Products traded on the </w:t>
      </w:r>
      <w:r w:rsidR="00F55DEC">
        <w:t xml:space="preserve">Chi-X </w:t>
      </w:r>
      <w:r>
        <w:t>Market, including but not limited to any matter relating to the Foreign Market Participant’s obligations under:</w:t>
      </w:r>
    </w:p>
    <w:p w:rsidR="00FB1A26" w:rsidRDefault="00FB1A26" w:rsidP="00FB1A26">
      <w:pPr>
        <w:pStyle w:val="MIRSubsubpara"/>
        <w:widowControl/>
        <w:numPr>
          <w:ilvl w:val="2"/>
          <w:numId w:val="12"/>
        </w:numPr>
        <w:tabs>
          <w:tab w:val="clear" w:pos="1701"/>
          <w:tab w:val="num" w:pos="2552"/>
        </w:tabs>
        <w:adjustRightInd/>
        <w:ind w:left="2552"/>
        <w:textAlignment w:val="auto"/>
      </w:pPr>
      <w:r>
        <w:t>the ASIC Act;</w:t>
      </w:r>
    </w:p>
    <w:p w:rsidR="00FB1A26" w:rsidRDefault="00FB1A26" w:rsidP="00FB1A26">
      <w:pPr>
        <w:pStyle w:val="MIRSubsubpara"/>
        <w:widowControl/>
        <w:numPr>
          <w:ilvl w:val="2"/>
          <w:numId w:val="12"/>
        </w:numPr>
        <w:tabs>
          <w:tab w:val="clear" w:pos="1701"/>
          <w:tab w:val="num" w:pos="2552"/>
        </w:tabs>
        <w:adjustRightInd/>
        <w:ind w:left="2552"/>
        <w:textAlignment w:val="auto"/>
      </w:pPr>
      <w:r>
        <w:lastRenderedPageBreak/>
        <w:t>the Corporations Act; and</w:t>
      </w:r>
    </w:p>
    <w:p w:rsidR="00FB1A26" w:rsidRDefault="00FB1A26" w:rsidP="00FB1A26">
      <w:pPr>
        <w:pStyle w:val="MIRSubsubpara"/>
        <w:widowControl/>
        <w:numPr>
          <w:ilvl w:val="2"/>
          <w:numId w:val="12"/>
        </w:numPr>
        <w:tabs>
          <w:tab w:val="clear" w:pos="1701"/>
          <w:tab w:val="num" w:pos="2552"/>
        </w:tabs>
        <w:adjustRightInd/>
        <w:ind w:left="2552"/>
        <w:textAlignment w:val="auto"/>
      </w:pPr>
      <w:r>
        <w:t xml:space="preserve">the </w:t>
      </w:r>
      <w:r w:rsidRPr="006217BE">
        <w:rPr>
          <w:i/>
        </w:rPr>
        <w:t>Corporations (Fees) Act 2001</w:t>
      </w:r>
      <w:r>
        <w:t>;</w:t>
      </w:r>
    </w:p>
    <w:p w:rsidR="00FB1A26" w:rsidRDefault="00FB1A26" w:rsidP="00FB1A26">
      <w:pPr>
        <w:pStyle w:val="MIRSubpara"/>
        <w:widowControl/>
        <w:numPr>
          <w:ilvl w:val="1"/>
          <w:numId w:val="12"/>
        </w:numPr>
        <w:tabs>
          <w:tab w:val="clear" w:pos="1276"/>
          <w:tab w:val="num" w:pos="2127"/>
        </w:tabs>
        <w:adjustRightInd/>
        <w:ind w:left="2127"/>
        <w:textAlignment w:val="auto"/>
      </w:pPr>
      <w:r>
        <w:t>if the Foreign Market Participant is not registered under Division 2 of Part 5B.2 of the Corporations Act:</w:t>
      </w:r>
    </w:p>
    <w:p w:rsidR="00FB1A26" w:rsidRDefault="00FB1A26" w:rsidP="00FB1A26">
      <w:pPr>
        <w:pStyle w:val="MIRSubsubpara"/>
        <w:widowControl/>
        <w:numPr>
          <w:ilvl w:val="2"/>
          <w:numId w:val="12"/>
        </w:numPr>
        <w:tabs>
          <w:tab w:val="clear" w:pos="1701"/>
          <w:tab w:val="num" w:pos="2552"/>
        </w:tabs>
        <w:adjustRightInd/>
        <w:ind w:left="2552"/>
        <w:textAlignment w:val="auto"/>
      </w:pPr>
      <w:r>
        <w:t>the Foreign Market Participant must have at all times an agent who is:</w:t>
      </w:r>
    </w:p>
    <w:p w:rsidR="00FB1A26" w:rsidRDefault="00FB1A26" w:rsidP="00FB1A26">
      <w:pPr>
        <w:pStyle w:val="MIRsubsubsubpara"/>
        <w:widowControl/>
        <w:numPr>
          <w:ilvl w:val="3"/>
          <w:numId w:val="12"/>
        </w:numPr>
        <w:tabs>
          <w:tab w:val="clear" w:pos="2126"/>
          <w:tab w:val="num" w:pos="2977"/>
        </w:tabs>
        <w:adjustRightInd/>
        <w:ind w:left="2977"/>
        <w:jc w:val="left"/>
        <w:textAlignment w:val="auto"/>
      </w:pPr>
      <w:r>
        <w:t xml:space="preserve">a </w:t>
      </w:r>
      <w:r w:rsidRPr="00E77817">
        <w:t>natural person or a company</w:t>
      </w:r>
      <w:r>
        <w:t>;</w:t>
      </w:r>
    </w:p>
    <w:p w:rsidR="00FB1A26" w:rsidRDefault="00FB1A26" w:rsidP="00FB1A26">
      <w:pPr>
        <w:pStyle w:val="MIRsubsubsubpara"/>
        <w:widowControl/>
        <w:numPr>
          <w:ilvl w:val="3"/>
          <w:numId w:val="12"/>
        </w:numPr>
        <w:tabs>
          <w:tab w:val="clear" w:pos="2126"/>
          <w:tab w:val="num" w:pos="2977"/>
        </w:tabs>
        <w:adjustRightInd/>
        <w:ind w:left="2977"/>
        <w:jc w:val="left"/>
        <w:textAlignment w:val="auto"/>
      </w:pPr>
      <w:r>
        <w:t>resident in this jurisdiction; and</w:t>
      </w:r>
    </w:p>
    <w:p w:rsidR="00FB1A26" w:rsidRDefault="00FB1A26" w:rsidP="00FB1A26">
      <w:pPr>
        <w:pStyle w:val="MIRsubsubsubpara"/>
        <w:widowControl/>
        <w:numPr>
          <w:ilvl w:val="3"/>
          <w:numId w:val="12"/>
        </w:numPr>
        <w:tabs>
          <w:tab w:val="clear" w:pos="2126"/>
          <w:tab w:val="num" w:pos="2977"/>
        </w:tabs>
        <w:adjustRightInd/>
        <w:ind w:left="2977"/>
        <w:jc w:val="left"/>
        <w:textAlignment w:val="auto"/>
      </w:pPr>
      <w:r>
        <w:t>authorised to accept, on behalf of the Foreign Market Participant, service of process and notices; and</w:t>
      </w:r>
    </w:p>
    <w:p w:rsidR="00FB1A26" w:rsidRDefault="00FB1A26" w:rsidP="00FB1A26">
      <w:pPr>
        <w:pStyle w:val="MIRSubsubpara"/>
        <w:widowControl/>
        <w:numPr>
          <w:ilvl w:val="2"/>
          <w:numId w:val="12"/>
        </w:numPr>
        <w:tabs>
          <w:tab w:val="clear" w:pos="1701"/>
          <w:tab w:val="num" w:pos="2552"/>
        </w:tabs>
        <w:adjustRightInd/>
        <w:ind w:left="2552"/>
        <w:textAlignment w:val="auto"/>
      </w:pPr>
      <w:r w:rsidRPr="008A7D92">
        <w:t>the Foreign Market Participant</w:t>
      </w:r>
      <w:r>
        <w:t xml:space="preserve"> must</w:t>
      </w:r>
      <w:r w:rsidRPr="008A7D92">
        <w:t xml:space="preserve"> </w:t>
      </w:r>
      <w:r>
        <w:t>notify ASIC of any change to:</w:t>
      </w:r>
    </w:p>
    <w:p w:rsidR="00FB1A26" w:rsidRDefault="00FB1A26" w:rsidP="00FB1A26">
      <w:pPr>
        <w:pStyle w:val="MIRsubsubsubpara"/>
        <w:widowControl/>
        <w:numPr>
          <w:ilvl w:val="3"/>
          <w:numId w:val="12"/>
        </w:numPr>
        <w:tabs>
          <w:tab w:val="clear" w:pos="2126"/>
          <w:tab w:val="num" w:pos="2977"/>
        </w:tabs>
        <w:adjustRightInd/>
        <w:ind w:left="2977"/>
        <w:jc w:val="left"/>
        <w:textAlignment w:val="auto"/>
      </w:pPr>
      <w:r>
        <w:t>the agent; or</w:t>
      </w:r>
    </w:p>
    <w:p w:rsidR="00FB1A26" w:rsidRDefault="00FB1A26" w:rsidP="00FB1A26">
      <w:pPr>
        <w:pStyle w:val="MIRsubsubsubpara"/>
        <w:widowControl/>
        <w:numPr>
          <w:ilvl w:val="3"/>
          <w:numId w:val="12"/>
        </w:numPr>
        <w:tabs>
          <w:tab w:val="clear" w:pos="2126"/>
          <w:tab w:val="num" w:pos="2977"/>
        </w:tabs>
        <w:adjustRightInd/>
        <w:ind w:left="2977"/>
        <w:jc w:val="left"/>
        <w:textAlignment w:val="auto"/>
      </w:pPr>
      <w:r>
        <w:t>the name and address of the agent (if the agent is a company, address means the address of the registered office of the company); and</w:t>
      </w:r>
    </w:p>
    <w:p w:rsidR="00FB1A26" w:rsidRDefault="00FB1A26" w:rsidP="00FB1A26">
      <w:pPr>
        <w:pStyle w:val="MIRSubsubpara"/>
        <w:widowControl/>
        <w:numPr>
          <w:ilvl w:val="2"/>
          <w:numId w:val="12"/>
        </w:numPr>
        <w:tabs>
          <w:tab w:val="clear" w:pos="1701"/>
          <w:tab w:val="num" w:pos="2552"/>
        </w:tabs>
        <w:adjustRightInd/>
        <w:ind w:left="2552"/>
        <w:textAlignment w:val="auto"/>
      </w:pPr>
      <w:r w:rsidRPr="00C952F7">
        <w:t xml:space="preserve">service of process on the </w:t>
      </w:r>
      <w:r>
        <w:t xml:space="preserve">Foreign Market Participant </w:t>
      </w:r>
      <w:r w:rsidRPr="00C952F7">
        <w:t xml:space="preserve">in relation to </w:t>
      </w:r>
      <w:r>
        <w:t xml:space="preserve">legal proceedings conducted by ASIC (including under section 50 of the ASIC Act), and in relation to proceedings relating to a financial services law, by any person referred to in subsection 659B(1) of the Corporations Act and whether brought in the name of ASIC or the Crown or otherwise, </w:t>
      </w:r>
      <w:r w:rsidRPr="00C952F7">
        <w:t xml:space="preserve">can be effected by service on the </w:t>
      </w:r>
      <w:r>
        <w:t>a</w:t>
      </w:r>
      <w:r w:rsidRPr="00C952F7">
        <w:t>gent</w:t>
      </w:r>
      <w:r>
        <w:t>;</w:t>
      </w:r>
    </w:p>
    <w:p w:rsidR="00FB1A26" w:rsidRPr="00E91CDA" w:rsidRDefault="00FB1A26" w:rsidP="00FB1A26">
      <w:pPr>
        <w:pStyle w:val="MIRSubsubpara"/>
        <w:widowControl/>
        <w:numPr>
          <w:ilvl w:val="1"/>
          <w:numId w:val="12"/>
        </w:numPr>
        <w:tabs>
          <w:tab w:val="clear" w:pos="1276"/>
          <w:tab w:val="num" w:pos="2127"/>
        </w:tabs>
        <w:adjustRightInd/>
        <w:ind w:left="2127"/>
        <w:textAlignment w:val="auto"/>
      </w:pPr>
      <w:r w:rsidRPr="00E91CDA">
        <w:t>the deed applies notwithstanding that the Foreign Market Participant may have ceased to be a Market Participant; and</w:t>
      </w:r>
    </w:p>
    <w:p w:rsidR="00FB1A26" w:rsidRDefault="00FB1A26" w:rsidP="00FB1A26">
      <w:pPr>
        <w:pStyle w:val="MIRSubpara"/>
        <w:widowControl/>
        <w:numPr>
          <w:ilvl w:val="1"/>
          <w:numId w:val="12"/>
        </w:numPr>
        <w:tabs>
          <w:tab w:val="clear" w:pos="1276"/>
          <w:tab w:val="num" w:pos="2127"/>
        </w:tabs>
        <w:adjustRightInd/>
        <w:ind w:left="2127"/>
        <w:textAlignment w:val="auto"/>
      </w:pPr>
      <w:r>
        <w:t>such additional terms notified by ASIC to the Foreign Market Participant.</w:t>
      </w:r>
    </w:p>
    <w:p w:rsidR="00FB1A26" w:rsidRPr="003F30AC" w:rsidRDefault="00FB1A26" w:rsidP="00FB1A26">
      <w:pPr>
        <w:pStyle w:val="MIRPenalty"/>
      </w:pPr>
      <w:r w:rsidRPr="003F30AC">
        <w:t>Maximum penalty: $1,000,000</w:t>
      </w:r>
    </w:p>
    <w:p w:rsidR="00FB1A26" w:rsidRDefault="00FB1A26" w:rsidP="00FB1A26">
      <w:pPr>
        <w:pStyle w:val="MIRHeading3"/>
      </w:pPr>
      <w:r w:rsidRPr="00C17443">
        <w:t>[</w:t>
      </w:r>
      <w:r w:rsidR="00E50555">
        <w:t>14</w:t>
      </w:r>
      <w:r w:rsidRPr="00C17443">
        <w:t>]</w:t>
      </w:r>
      <w:r w:rsidRPr="00C17443">
        <w:tab/>
        <w:t>Rule</w:t>
      </w:r>
      <w:r>
        <w:t xml:space="preserve"> 3.3.1, paragraph (a)</w:t>
      </w:r>
    </w:p>
    <w:p w:rsidR="00FB1A26" w:rsidRPr="00ED48FF" w:rsidRDefault="00FB1A26" w:rsidP="00FB1A26">
      <w:pPr>
        <w:pStyle w:val="MIRBodyText"/>
        <w:numPr>
          <w:ilvl w:val="0"/>
          <w:numId w:val="0"/>
        </w:numPr>
        <w:ind w:left="851"/>
        <w:rPr>
          <w:i/>
        </w:rPr>
      </w:pPr>
      <w:r w:rsidRPr="00ED48FF">
        <w:rPr>
          <w:i/>
        </w:rPr>
        <w:t>after</w:t>
      </w:r>
    </w:p>
    <w:p w:rsidR="00FB1A26" w:rsidRDefault="00A03F7B" w:rsidP="00FB1A26">
      <w:pPr>
        <w:pStyle w:val="MIRBodyText"/>
        <w:numPr>
          <w:ilvl w:val="0"/>
          <w:numId w:val="0"/>
        </w:numPr>
        <w:ind w:left="851"/>
      </w:pPr>
      <w:r w:rsidRPr="00F221F0">
        <w:t>these</w:t>
      </w:r>
      <w:r>
        <w:t xml:space="preserve"> </w:t>
      </w:r>
      <w:r w:rsidR="00FB1A26">
        <w:t>Rules</w:t>
      </w:r>
    </w:p>
    <w:p w:rsidR="00FB1A26" w:rsidRPr="00ED48FF" w:rsidRDefault="00FB1A26" w:rsidP="00FB1A26">
      <w:pPr>
        <w:pStyle w:val="MIRBodyText"/>
        <w:numPr>
          <w:ilvl w:val="0"/>
          <w:numId w:val="0"/>
        </w:numPr>
        <w:ind w:left="851"/>
        <w:rPr>
          <w:i/>
        </w:rPr>
      </w:pPr>
      <w:r>
        <w:rPr>
          <w:i/>
        </w:rPr>
        <w:t>insert</w:t>
      </w:r>
    </w:p>
    <w:p w:rsidR="00FB1A26" w:rsidRDefault="00FB1A26" w:rsidP="00FB1A26">
      <w:pPr>
        <w:pStyle w:val="MIRBodyText"/>
        <w:numPr>
          <w:ilvl w:val="0"/>
          <w:numId w:val="0"/>
        </w:numPr>
        <w:ind w:left="851"/>
      </w:pPr>
      <w:r w:rsidRPr="00ED48FF">
        <w:t>, the Competition Market Integrity Rules</w:t>
      </w:r>
    </w:p>
    <w:p w:rsidR="00FB1A26" w:rsidRPr="0067514C" w:rsidRDefault="00E50555" w:rsidP="00FB1A26">
      <w:pPr>
        <w:pStyle w:val="MIRHeading3"/>
      </w:pPr>
      <w:r>
        <w:t>[15</w:t>
      </w:r>
      <w:r w:rsidR="00FB1A26" w:rsidRPr="0067514C">
        <w:t>]</w:t>
      </w:r>
      <w:r w:rsidR="00FB1A26" w:rsidRPr="0067514C">
        <w:tab/>
        <w:t>Rule 3.3.1, paragraph (d)</w:t>
      </w:r>
    </w:p>
    <w:p w:rsidR="00610A8E" w:rsidRPr="00610A8E" w:rsidRDefault="00610A8E" w:rsidP="00610A8E">
      <w:pPr>
        <w:pStyle w:val="MIRBodyText"/>
        <w:rPr>
          <w:i/>
        </w:rPr>
      </w:pPr>
      <w:r w:rsidRPr="00610A8E">
        <w:rPr>
          <w:i/>
        </w:rPr>
        <w:t>after</w:t>
      </w:r>
    </w:p>
    <w:p w:rsidR="00610A8E" w:rsidRPr="00610A8E" w:rsidRDefault="00610A8E" w:rsidP="00610A8E">
      <w:pPr>
        <w:pStyle w:val="MIRBodyText"/>
      </w:pPr>
      <w:r w:rsidRPr="00610A8E">
        <w:t>these Rules</w:t>
      </w:r>
    </w:p>
    <w:p w:rsidR="00FB1A26" w:rsidRPr="0067514C" w:rsidRDefault="00FB1A26" w:rsidP="00FB1A26">
      <w:pPr>
        <w:pStyle w:val="MIRBodyText"/>
        <w:numPr>
          <w:ilvl w:val="0"/>
          <w:numId w:val="0"/>
        </w:numPr>
        <w:ind w:left="851"/>
      </w:pPr>
    </w:p>
    <w:p w:rsidR="00FB1A26" w:rsidRPr="0067514C" w:rsidRDefault="00FB1A26" w:rsidP="00FB1A26">
      <w:pPr>
        <w:pStyle w:val="MIRSubpara"/>
        <w:numPr>
          <w:ilvl w:val="0"/>
          <w:numId w:val="0"/>
        </w:numPr>
        <w:ind w:left="1276" w:hanging="425"/>
        <w:rPr>
          <w:i/>
        </w:rPr>
      </w:pPr>
      <w:r w:rsidRPr="0067514C">
        <w:rPr>
          <w:i/>
        </w:rPr>
        <w:t>insert</w:t>
      </w:r>
    </w:p>
    <w:p w:rsidR="00FB1A26" w:rsidRDefault="00FB1A26" w:rsidP="00FB1A26">
      <w:pPr>
        <w:pStyle w:val="MIRBodyText"/>
        <w:numPr>
          <w:ilvl w:val="0"/>
          <w:numId w:val="0"/>
        </w:numPr>
        <w:ind w:left="851"/>
      </w:pPr>
      <w:r w:rsidRPr="0067514C">
        <w:lastRenderedPageBreak/>
        <w:t>,</w:t>
      </w:r>
      <w:r w:rsidRPr="0067514C">
        <w:rPr>
          <w:szCs w:val="20"/>
        </w:rPr>
        <w:t xml:space="preserve"> </w:t>
      </w:r>
      <w:r w:rsidRPr="0067514C">
        <w:t>the Compet</w:t>
      </w:r>
      <w:r w:rsidR="00C97068">
        <w:t xml:space="preserve">ition Market </w:t>
      </w:r>
      <w:r w:rsidR="00610A8E">
        <w:t>Integrity Rules</w:t>
      </w:r>
    </w:p>
    <w:p w:rsidR="00FB1A26" w:rsidRDefault="00FB1A26" w:rsidP="00FB1A26">
      <w:pPr>
        <w:pStyle w:val="MIRHeading3"/>
      </w:pPr>
      <w:r w:rsidRPr="00C17443">
        <w:t>[</w:t>
      </w:r>
      <w:r>
        <w:t>1</w:t>
      </w:r>
      <w:r w:rsidR="00E50555">
        <w:t>6</w:t>
      </w:r>
      <w:r w:rsidRPr="00C17443">
        <w:t>]</w:t>
      </w:r>
      <w:r w:rsidRPr="00C17443">
        <w:tab/>
        <w:t>Rule</w:t>
      </w:r>
      <w:r>
        <w:t xml:space="preserve"> 5.10.4</w:t>
      </w:r>
    </w:p>
    <w:p w:rsidR="00FB1A26" w:rsidRPr="008B18E2" w:rsidRDefault="00FB1A26" w:rsidP="008B18E2">
      <w:pPr>
        <w:pStyle w:val="MIRBodyText"/>
        <w:rPr>
          <w:i/>
        </w:rPr>
      </w:pPr>
      <w:r w:rsidRPr="008B18E2">
        <w:rPr>
          <w:i/>
        </w:rPr>
        <w:t>omit</w:t>
      </w:r>
    </w:p>
    <w:p w:rsidR="00FB1A26" w:rsidRPr="00464B17" w:rsidRDefault="00FB1A26" w:rsidP="008B18E2">
      <w:pPr>
        <w:pStyle w:val="MIRBodyText"/>
      </w:pPr>
      <w:r w:rsidRPr="00464B17">
        <w:t>prior written approval has been given by the Market Operator</w:t>
      </w:r>
    </w:p>
    <w:p w:rsidR="00FB1A26" w:rsidRPr="008B18E2" w:rsidRDefault="00FB1A26" w:rsidP="008B18E2">
      <w:pPr>
        <w:pStyle w:val="MIRBodyText"/>
        <w:rPr>
          <w:i/>
        </w:rPr>
      </w:pPr>
      <w:r w:rsidRPr="008B18E2">
        <w:rPr>
          <w:i/>
        </w:rPr>
        <w:t>insert</w:t>
      </w:r>
    </w:p>
    <w:p w:rsidR="00FB1A26" w:rsidRDefault="00FB1A26" w:rsidP="00FB1A26">
      <w:pPr>
        <w:pStyle w:val="MIRBodyText"/>
        <w:numPr>
          <w:ilvl w:val="0"/>
          <w:numId w:val="0"/>
        </w:numPr>
        <w:ind w:left="851"/>
      </w:pPr>
      <w:r w:rsidRPr="00464B17">
        <w:t>the Equity Market Product that is quoted on another Equity Market and is not in a Trading Suspension on that Equity Market</w:t>
      </w:r>
    </w:p>
    <w:p w:rsidR="00FB1A26" w:rsidRDefault="00FB1A26" w:rsidP="00FB1A26">
      <w:pPr>
        <w:pStyle w:val="MIRHeading3"/>
      </w:pPr>
      <w:r w:rsidRPr="00C17443">
        <w:t>[</w:t>
      </w:r>
      <w:r>
        <w:t>1</w:t>
      </w:r>
      <w:r w:rsidR="00E50555">
        <w:t>7</w:t>
      </w:r>
      <w:r w:rsidRPr="00C17443">
        <w:t>]</w:t>
      </w:r>
      <w:r w:rsidRPr="00C17443">
        <w:tab/>
      </w:r>
      <w:r>
        <w:t>Part 6.4, heading</w:t>
      </w:r>
    </w:p>
    <w:p w:rsidR="00FB1A26" w:rsidRPr="003B3F0B" w:rsidRDefault="00FB1A26" w:rsidP="00FB1A26">
      <w:pPr>
        <w:pStyle w:val="MIRBodyText"/>
        <w:numPr>
          <w:ilvl w:val="0"/>
          <w:numId w:val="0"/>
        </w:numPr>
        <w:ind w:left="851"/>
        <w:rPr>
          <w:i/>
        </w:rPr>
      </w:pPr>
      <w:r w:rsidRPr="003B3F0B">
        <w:rPr>
          <w:i/>
        </w:rPr>
        <w:t>omit</w:t>
      </w:r>
    </w:p>
    <w:p w:rsidR="00FB1A26" w:rsidRDefault="00FB1A26" w:rsidP="00FB1A26">
      <w:pPr>
        <w:pStyle w:val="MIRBodyText"/>
        <w:numPr>
          <w:ilvl w:val="0"/>
          <w:numId w:val="0"/>
        </w:numPr>
        <w:ind w:left="851"/>
      </w:pPr>
      <w:r>
        <w:t>Late, Overseas and Overnight Crossings</w:t>
      </w:r>
    </w:p>
    <w:p w:rsidR="00FB1A26" w:rsidRPr="00CD133F" w:rsidRDefault="00FB1A26" w:rsidP="00FB1A26">
      <w:pPr>
        <w:pStyle w:val="MIRBodyText"/>
        <w:numPr>
          <w:ilvl w:val="0"/>
          <w:numId w:val="0"/>
        </w:numPr>
        <w:ind w:left="851"/>
        <w:rPr>
          <w:i/>
        </w:rPr>
      </w:pPr>
      <w:r>
        <w:rPr>
          <w:i/>
        </w:rPr>
        <w:t>insert</w:t>
      </w:r>
    </w:p>
    <w:p w:rsidR="00FB1A26" w:rsidRPr="00CD133F" w:rsidRDefault="00FB1A26" w:rsidP="00FB1A26">
      <w:pPr>
        <w:pStyle w:val="MIRBodyText"/>
        <w:numPr>
          <w:ilvl w:val="0"/>
          <w:numId w:val="0"/>
        </w:numPr>
        <w:ind w:left="851"/>
      </w:pPr>
      <w:r>
        <w:t>Crossings outside of Trading Hours</w:t>
      </w:r>
    </w:p>
    <w:p w:rsidR="00FB1A26" w:rsidRDefault="00FB1A26" w:rsidP="00FB1A26">
      <w:pPr>
        <w:pStyle w:val="MIRHeading3"/>
      </w:pPr>
      <w:r w:rsidRPr="00C17443">
        <w:t>[</w:t>
      </w:r>
      <w:r>
        <w:t>1</w:t>
      </w:r>
      <w:r w:rsidR="00E50555">
        <w:t>8</w:t>
      </w:r>
      <w:r w:rsidRPr="00C17443">
        <w:t>]</w:t>
      </w:r>
      <w:r w:rsidRPr="00C17443">
        <w:tab/>
      </w:r>
      <w:r>
        <w:t>Rule 6.4.1, heading</w:t>
      </w:r>
    </w:p>
    <w:p w:rsidR="00FB1A26" w:rsidRPr="003B3F0B" w:rsidRDefault="00FB1A26" w:rsidP="00FB1A26">
      <w:pPr>
        <w:pStyle w:val="MIRBodyText"/>
        <w:numPr>
          <w:ilvl w:val="0"/>
          <w:numId w:val="0"/>
        </w:numPr>
        <w:ind w:left="851"/>
        <w:rPr>
          <w:i/>
        </w:rPr>
      </w:pPr>
      <w:r w:rsidRPr="003B3F0B">
        <w:rPr>
          <w:i/>
        </w:rPr>
        <w:t>omit</w:t>
      </w:r>
    </w:p>
    <w:p w:rsidR="00FB1A26" w:rsidRDefault="00FB1A26" w:rsidP="00FB1A26">
      <w:pPr>
        <w:pStyle w:val="MIRBodyText"/>
        <w:numPr>
          <w:ilvl w:val="0"/>
          <w:numId w:val="0"/>
        </w:numPr>
        <w:ind w:left="851"/>
      </w:pPr>
      <w:r>
        <w:t>Late, overseas and overnight Crossings</w:t>
      </w:r>
    </w:p>
    <w:p w:rsidR="00FB1A26" w:rsidRPr="00CD133F" w:rsidRDefault="00FB1A26" w:rsidP="00FB1A26">
      <w:pPr>
        <w:pStyle w:val="MIRBodyText"/>
        <w:numPr>
          <w:ilvl w:val="0"/>
          <w:numId w:val="0"/>
        </w:numPr>
        <w:ind w:left="851"/>
        <w:rPr>
          <w:i/>
        </w:rPr>
      </w:pPr>
      <w:r>
        <w:rPr>
          <w:i/>
        </w:rPr>
        <w:t>insert</w:t>
      </w:r>
    </w:p>
    <w:p w:rsidR="00FB1A26" w:rsidRPr="00CD133F" w:rsidRDefault="00FB1A26" w:rsidP="00FB1A26">
      <w:pPr>
        <w:pStyle w:val="MIRBodyText"/>
        <w:numPr>
          <w:ilvl w:val="0"/>
          <w:numId w:val="0"/>
        </w:numPr>
        <w:ind w:left="851"/>
      </w:pPr>
      <w:r>
        <w:t>Crossings outside of Trading Hours</w:t>
      </w:r>
    </w:p>
    <w:p w:rsidR="00FB1A26" w:rsidRDefault="00FB1A26" w:rsidP="00FB1A26">
      <w:pPr>
        <w:pStyle w:val="MIRHeading3"/>
      </w:pPr>
      <w:r w:rsidRPr="00C17443">
        <w:t>[</w:t>
      </w:r>
      <w:r>
        <w:t>1</w:t>
      </w:r>
      <w:r w:rsidR="00E50555">
        <w:t>9</w:t>
      </w:r>
      <w:r w:rsidRPr="00C17443">
        <w:t>]</w:t>
      </w:r>
      <w:r w:rsidRPr="00C17443">
        <w:tab/>
      </w:r>
      <w:r>
        <w:t>Subrule 6.4.1(2)</w:t>
      </w:r>
    </w:p>
    <w:p w:rsidR="00FB1A26" w:rsidRPr="000627CC" w:rsidRDefault="00FB1A26" w:rsidP="00FB1A26">
      <w:pPr>
        <w:pStyle w:val="MIRBodyText"/>
        <w:rPr>
          <w:i/>
        </w:rPr>
      </w:pPr>
      <w:r w:rsidRPr="000627CC">
        <w:rPr>
          <w:i/>
        </w:rPr>
        <w:t>omit</w:t>
      </w:r>
    </w:p>
    <w:p w:rsidR="003A1453" w:rsidRDefault="003A1453" w:rsidP="00FB1A26">
      <w:pPr>
        <w:pStyle w:val="MIRBodyText"/>
        <w:numPr>
          <w:ilvl w:val="0"/>
          <w:numId w:val="0"/>
        </w:numPr>
        <w:ind w:left="851"/>
      </w:pPr>
      <w:r w:rsidRPr="003A1453">
        <w:t>after the Post-Trading Administration Period on a Trading Day up to 15 minutes prior to commencement of the Continuous Trading Period on the next Trading Day in accordance with the Market Operating Rules</w:t>
      </w:r>
    </w:p>
    <w:p w:rsidR="00FB1A26" w:rsidRPr="000627CC" w:rsidRDefault="00FB1A26" w:rsidP="00FB1A26">
      <w:pPr>
        <w:pStyle w:val="MIRBodyText"/>
      </w:pPr>
      <w:r>
        <w:rPr>
          <w:i/>
        </w:rPr>
        <w:t>insert</w:t>
      </w:r>
    </w:p>
    <w:p w:rsidR="00FB1A26" w:rsidRDefault="00FB1A26" w:rsidP="00FB1A26">
      <w:pPr>
        <w:pStyle w:val="MIRBodyText"/>
        <w:numPr>
          <w:ilvl w:val="0"/>
          <w:numId w:val="0"/>
        </w:numPr>
        <w:ind w:left="851"/>
      </w:pPr>
      <w:r w:rsidRPr="00CA5DB6">
        <w:t>outside of Trading Hours and reported to the Market Operator</w:t>
      </w:r>
    </w:p>
    <w:sectPr w:rsidR="00FB1A26" w:rsidSect="00FF707D">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219" w:header="567" w:footer="177"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12D" w:rsidRDefault="005B712D">
      <w:r>
        <w:separator/>
      </w:r>
    </w:p>
  </w:endnote>
  <w:endnote w:type="continuationSeparator" w:id="0">
    <w:p w:rsidR="005B712D" w:rsidRDefault="005B71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Neue LT 57 CnObl">
    <w:altName w:val="Courier New"/>
    <w:charset w:val="00"/>
    <w:family w:val="auto"/>
    <w:pitch w:val="variable"/>
    <w:sig w:usb0="00000001" w:usb1="0000004A" w:usb2="00000000" w:usb3="00000000" w:csb0="0000011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53" w:rsidRDefault="00DE2D1E">
    <w:pPr>
      <w:pStyle w:val="Footer"/>
      <w:framePr w:wrap="around" w:vAnchor="text" w:hAnchor="margin" w:xAlign="right" w:y="1"/>
      <w:rPr>
        <w:rStyle w:val="PageNumber"/>
      </w:rPr>
    </w:pPr>
    <w:r>
      <w:rPr>
        <w:rStyle w:val="PageNumber"/>
      </w:rPr>
      <w:fldChar w:fldCharType="begin"/>
    </w:r>
    <w:r w:rsidR="003A1453">
      <w:rPr>
        <w:rStyle w:val="PageNumber"/>
      </w:rPr>
      <w:instrText xml:space="preserve">PAGE  </w:instrText>
    </w:r>
    <w:r>
      <w:rPr>
        <w:rStyle w:val="PageNumber"/>
      </w:rPr>
      <w:fldChar w:fldCharType="separate"/>
    </w:r>
    <w:r w:rsidR="003A1453">
      <w:rPr>
        <w:rStyle w:val="PageNumber"/>
        <w:noProof/>
      </w:rPr>
      <w:t>i</w:t>
    </w:r>
    <w:r>
      <w:rPr>
        <w:rStyle w:val="PageNumber"/>
      </w:rPr>
      <w:fldChar w:fldCharType="end"/>
    </w:r>
  </w:p>
  <w:p w:rsidR="003A1453" w:rsidRDefault="003A1453"/>
  <w:p w:rsidR="003A1453" w:rsidRDefault="003A1453"/>
  <w:p w:rsidR="003A1453" w:rsidRDefault="003A145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53" w:rsidRPr="00C96F02" w:rsidRDefault="003A1453" w:rsidP="002148BC">
    <w:pPr>
      <w:pStyle w:val="Footer"/>
      <w:pBdr>
        <w:top w:val="single" w:sz="4" w:space="1" w:color="117DC7"/>
      </w:pBdr>
      <w:tabs>
        <w:tab w:val="clear" w:pos="9070"/>
        <w:tab w:val="right" w:pos="9214"/>
      </w:tabs>
      <w:spacing w:line="240" w:lineRule="auto"/>
      <w:rPr>
        <w:b/>
        <w:color w:val="117DC7"/>
      </w:rPr>
    </w:pPr>
    <w:r>
      <w:tab/>
      <w:t xml:space="preserve"> </w:t>
    </w:r>
    <w:r>
      <w:rPr>
        <w:color w:val="117DC7"/>
      </w:rPr>
      <w:t xml:space="preserve">Page </w:t>
    </w:r>
    <w:r w:rsidR="00DE2D1E">
      <w:rPr>
        <w:rStyle w:val="PageNumber"/>
        <w:color w:val="117DC7"/>
        <w:sz w:val="16"/>
      </w:rPr>
      <w:fldChar w:fldCharType="begin"/>
    </w:r>
    <w:r>
      <w:rPr>
        <w:rStyle w:val="PageNumber"/>
        <w:color w:val="117DC7"/>
        <w:sz w:val="16"/>
      </w:rPr>
      <w:instrText xml:space="preserve"> PAGE </w:instrText>
    </w:r>
    <w:r w:rsidR="00DE2D1E">
      <w:rPr>
        <w:rStyle w:val="PageNumber"/>
        <w:color w:val="117DC7"/>
        <w:sz w:val="16"/>
      </w:rPr>
      <w:fldChar w:fldCharType="separate"/>
    </w:r>
    <w:r w:rsidR="0028039D">
      <w:rPr>
        <w:rStyle w:val="PageNumber"/>
        <w:noProof/>
        <w:color w:val="117DC7"/>
        <w:sz w:val="16"/>
      </w:rPr>
      <w:t>6</w:t>
    </w:r>
    <w:r w:rsidR="00DE2D1E">
      <w:rPr>
        <w:rStyle w:val="PageNumber"/>
        <w:color w:val="117DC7"/>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53" w:rsidRPr="00FF707D" w:rsidRDefault="003A1453" w:rsidP="00851E1A">
    <w:pPr>
      <w:pStyle w:val="Footer"/>
      <w:pBdr>
        <w:top w:val="single" w:sz="4" w:space="1" w:color="117DC7"/>
      </w:pBdr>
      <w:rPr>
        <w:b/>
        <w:color w:val="117DC7"/>
      </w:rPr>
    </w:pPr>
    <w:r>
      <w:rPr>
        <w:color w:val="117DC7"/>
      </w:rPr>
      <w:tab/>
    </w:r>
    <w:r w:rsidRPr="00FF707D">
      <w:rPr>
        <w:b/>
        <w:color w:val="117DC7"/>
      </w:rPr>
      <w:t xml:space="preserve">Page </w:t>
    </w:r>
    <w:r w:rsidR="00DE2D1E" w:rsidRPr="00FF707D">
      <w:rPr>
        <w:rStyle w:val="PageNumber"/>
        <w:b w:val="0"/>
        <w:color w:val="117DC7"/>
        <w:sz w:val="16"/>
      </w:rPr>
      <w:fldChar w:fldCharType="begin"/>
    </w:r>
    <w:r w:rsidRPr="00FF707D">
      <w:rPr>
        <w:rStyle w:val="PageNumber"/>
        <w:b w:val="0"/>
        <w:color w:val="117DC7"/>
        <w:sz w:val="16"/>
      </w:rPr>
      <w:instrText xml:space="preserve"> PAGE </w:instrText>
    </w:r>
    <w:r w:rsidR="00DE2D1E" w:rsidRPr="00FF707D">
      <w:rPr>
        <w:rStyle w:val="PageNumber"/>
        <w:b w:val="0"/>
        <w:color w:val="117DC7"/>
        <w:sz w:val="16"/>
      </w:rPr>
      <w:fldChar w:fldCharType="separate"/>
    </w:r>
    <w:r w:rsidR="0028039D">
      <w:rPr>
        <w:rStyle w:val="PageNumber"/>
        <w:b w:val="0"/>
        <w:noProof/>
        <w:color w:val="117DC7"/>
        <w:sz w:val="16"/>
      </w:rPr>
      <w:t>1</w:t>
    </w:r>
    <w:r w:rsidR="00DE2D1E" w:rsidRPr="00FF707D">
      <w:rPr>
        <w:rStyle w:val="PageNumber"/>
        <w:b w:val="0"/>
        <w:color w:val="117DC7"/>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12D" w:rsidRDefault="005B712D">
      <w:r>
        <w:separator/>
      </w:r>
    </w:p>
  </w:footnote>
  <w:footnote w:type="continuationSeparator" w:id="0">
    <w:p w:rsidR="005B712D" w:rsidRDefault="005B7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53" w:rsidRDefault="003A1453"/>
  <w:p w:rsidR="003A1453" w:rsidRDefault="003A145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53" w:rsidRPr="001B62C2" w:rsidRDefault="00DE2D1E" w:rsidP="001273EF">
    <w:pPr>
      <w:pStyle w:val="Footer"/>
      <w:pBdr>
        <w:bottom w:val="single" w:sz="4" w:space="0" w:color="117DC7"/>
      </w:pBdr>
      <w:spacing w:line="240" w:lineRule="auto"/>
      <w:ind w:left="-170" w:right="-170"/>
      <w:jc w:val="right"/>
      <w:rPr>
        <w:color w:val="1F497D" w:themeColor="text2"/>
        <w:spacing w:val="-2"/>
      </w:rPr>
    </w:pPr>
    <w:fldSimple w:instr=" DOCPROPERTY  &quot;Document title&quot;  \* MERGEFORMAT ">
      <w:r w:rsidR="001D016F" w:rsidRPr="001D016F">
        <w:rPr>
          <w:color w:val="1F497D" w:themeColor="text2"/>
        </w:rPr>
        <w:t>ASIC Market integrity (Chi-X Australia Market) Amendment 2011 (No. 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53" w:rsidRPr="00280D22" w:rsidRDefault="003A1453" w:rsidP="00280D2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0C6808"/>
    <w:multiLevelType w:val="multilevel"/>
    <w:tmpl w:val="A3FEF1F2"/>
    <w:name w:val="ASIC para nos"/>
    <w:lvl w:ilvl="0">
      <w:start w:val="1"/>
      <w:numFmt w:val="decimal"/>
      <w:pStyle w:val="BodyText"/>
      <w:lvlText w:val="%1"/>
      <w:lvlJc w:val="left"/>
      <w:pPr>
        <w:tabs>
          <w:tab w:val="num" w:pos="1134"/>
        </w:tabs>
        <w:ind w:left="1134" w:hanging="1134"/>
      </w:pPr>
      <w:rPr>
        <w:rFonts w:hint="default"/>
        <w:b w:val="0"/>
        <w:i w:val="0"/>
        <w:color w:val="auto"/>
        <w:sz w:val="18"/>
        <w:szCs w:val="18"/>
      </w:rPr>
    </w:lvl>
    <w:lvl w:ilvl="1">
      <w:start w:val="1"/>
      <w:numFmt w:val="lowerLetter"/>
      <w:pStyle w:val="subparaa"/>
      <w:lvlText w:val="(%2)"/>
      <w:lvlJc w:val="left"/>
      <w:pPr>
        <w:tabs>
          <w:tab w:val="num" w:pos="1559"/>
        </w:tabs>
        <w:ind w:left="1559" w:hanging="425"/>
      </w:pPr>
      <w:rPr>
        <w:rFonts w:hint="default"/>
        <w:b w:val="0"/>
        <w:i w:val="0"/>
        <w:color w:val="auto"/>
        <w:sz w:val="18"/>
        <w:szCs w:val="18"/>
      </w:rPr>
    </w:lvl>
    <w:lvl w:ilvl="2">
      <w:start w:val="1"/>
      <w:numFmt w:val="lowerRoman"/>
      <w:pStyle w:val="subsubparai"/>
      <w:lvlText w:val="(%3)"/>
      <w:lvlJc w:val="left"/>
      <w:pPr>
        <w:tabs>
          <w:tab w:val="num" w:pos="1985"/>
        </w:tabs>
        <w:ind w:left="1985"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2410"/>
        </w:tabs>
        <w:ind w:left="2410" w:hanging="709"/>
      </w:pPr>
      <w:rPr>
        <w:rFonts w:hint="default"/>
        <w:sz w:val="16"/>
        <w:szCs w:val="16"/>
      </w:rPr>
    </w:lvl>
    <w:lvl w:ilvl="4">
      <w:start w:val="1"/>
      <w:numFmt w:val="none"/>
      <w:lvlText w:val=""/>
      <w:lvlJc w:val="left"/>
      <w:pPr>
        <w:tabs>
          <w:tab w:val="num" w:pos="2750"/>
        </w:tabs>
        <w:ind w:left="2750" w:hanging="1049"/>
      </w:pPr>
      <w:rPr>
        <w:rFonts w:hint="default"/>
        <w:sz w:val="16"/>
        <w:szCs w:val="16"/>
      </w:rPr>
    </w:lvl>
    <w:lvl w:ilvl="5">
      <w:start w:val="1"/>
      <w:numFmt w:val="none"/>
      <w:lvlText w:val=""/>
      <w:lvlJc w:val="left"/>
      <w:pPr>
        <w:tabs>
          <w:tab w:val="num" w:pos="2826"/>
        </w:tabs>
        <w:ind w:left="1602" w:hanging="936"/>
      </w:pPr>
      <w:rPr>
        <w:rFonts w:hint="default"/>
      </w:rPr>
    </w:lvl>
    <w:lvl w:ilvl="6">
      <w:start w:val="1"/>
      <w:numFmt w:val="none"/>
      <w:lvlText w:val=""/>
      <w:lvlJc w:val="left"/>
      <w:pPr>
        <w:tabs>
          <w:tab w:val="num" w:pos="3186"/>
        </w:tabs>
        <w:ind w:left="2106" w:hanging="1080"/>
      </w:pPr>
      <w:rPr>
        <w:rFonts w:hint="default"/>
      </w:rPr>
    </w:lvl>
    <w:lvl w:ilvl="7">
      <w:start w:val="1"/>
      <w:numFmt w:val="none"/>
      <w:lvlText w:val=""/>
      <w:lvlJc w:val="left"/>
      <w:pPr>
        <w:tabs>
          <w:tab w:val="num" w:pos="3906"/>
        </w:tabs>
        <w:ind w:left="2610" w:hanging="1224"/>
      </w:pPr>
      <w:rPr>
        <w:rFonts w:hint="default"/>
      </w:rPr>
    </w:lvl>
    <w:lvl w:ilvl="8">
      <w:start w:val="1"/>
      <w:numFmt w:val="none"/>
      <w:lvlText w:val=""/>
      <w:lvlJc w:val="left"/>
      <w:pPr>
        <w:tabs>
          <w:tab w:val="num" w:pos="4626"/>
        </w:tabs>
        <w:ind w:left="3186" w:hanging="1440"/>
      </w:pPr>
      <w:rPr>
        <w:rFonts w:hint="default"/>
      </w:rPr>
    </w:lvl>
  </w:abstractNum>
  <w:abstractNum w:abstractNumId="3">
    <w:nsid w:val="22832DA5"/>
    <w:multiLevelType w:val="multilevel"/>
    <w:tmpl w:val="5EE28AE0"/>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243B1A7D"/>
    <w:multiLevelType w:val="multilevel"/>
    <w:tmpl w:val="821CF3D4"/>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none"/>
      <w:lvlText w:val=""/>
      <w:lvlJc w:val="left"/>
      <w:pPr>
        <w:tabs>
          <w:tab w:val="num" w:pos="4320"/>
        </w:tabs>
        <w:ind w:left="3240" w:hanging="1080"/>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C7D73DE"/>
    <w:multiLevelType w:val="hybridMultilevel"/>
    <w:tmpl w:val="46EAF5A6"/>
    <w:lvl w:ilvl="0" w:tplc="AB988280">
      <w:start w:val="1"/>
      <w:numFmt w:val="bullet"/>
      <w:pStyle w:val="tablebullet"/>
      <w:lvlText w:val=""/>
      <w:lvlJc w:val="left"/>
      <w:pPr>
        <w:tabs>
          <w:tab w:val="num" w:pos="1250"/>
        </w:tabs>
        <w:ind w:left="1250" w:hanging="170"/>
      </w:pPr>
      <w:rPr>
        <w:rFonts w:ascii="Wingdings" w:hAnsi="Wingdings"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3C041993"/>
    <w:multiLevelType w:val="multilevel"/>
    <w:tmpl w:val="4680F51A"/>
    <w:name w:val="ASIC para nos"/>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7">
    <w:nsid w:val="42C06FE2"/>
    <w:multiLevelType w:val="hybridMultilevel"/>
    <w:tmpl w:val="251882DE"/>
    <w:lvl w:ilvl="0" w:tplc="EE60951A">
      <w:start w:val="1"/>
      <w:numFmt w:val="lowerLetter"/>
      <w:lvlText w:val="(%1)"/>
      <w:lvlJc w:val="center"/>
      <w:pPr>
        <w:ind w:left="1996" w:hanging="360"/>
      </w:pPr>
      <w:rPr>
        <w:rFonts w:ascii="Arial" w:eastAsia="Calibri" w:hAnsi="Arial" w:cs="Arial"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8">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C14F7E"/>
    <w:multiLevelType w:val="hybridMultilevel"/>
    <w:tmpl w:val="984078FA"/>
    <w:lvl w:ilvl="0" w:tplc="4C3E4AFA">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756F33"/>
    <w:multiLevelType w:val="hybridMultilevel"/>
    <w:tmpl w:val="064A8924"/>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2DE2CB7"/>
    <w:multiLevelType w:val="hybridMultilevel"/>
    <w:tmpl w:val="3EBE91F0"/>
    <w:lvl w:ilvl="0" w:tplc="2F74DB00">
      <w:start w:val="1"/>
      <w:numFmt w:val="lowerLetter"/>
      <w:lvlText w:val="(%1)"/>
      <w:lvlJc w:val="left"/>
      <w:pPr>
        <w:ind w:left="2420" w:hanging="360"/>
      </w:pPr>
      <w:rPr>
        <w:rFonts w:ascii="Times New Roman" w:eastAsia="Calibri" w:hAnsi="Times New Roman" w:cs="Times New Roman" w:hint="default"/>
        <w:sz w:val="20"/>
        <w:szCs w:val="20"/>
      </w:rPr>
    </w:lvl>
    <w:lvl w:ilvl="1" w:tplc="0C090003" w:tentative="1">
      <w:start w:val="1"/>
      <w:numFmt w:val="bullet"/>
      <w:lvlText w:val="o"/>
      <w:lvlJc w:val="left"/>
      <w:pPr>
        <w:ind w:left="3140" w:hanging="360"/>
      </w:pPr>
      <w:rPr>
        <w:rFonts w:ascii="Courier New" w:hAnsi="Courier New" w:cs="Courier New" w:hint="default"/>
      </w:rPr>
    </w:lvl>
    <w:lvl w:ilvl="2" w:tplc="0C090005" w:tentative="1">
      <w:start w:val="1"/>
      <w:numFmt w:val="bullet"/>
      <w:lvlText w:val=""/>
      <w:lvlJc w:val="left"/>
      <w:pPr>
        <w:ind w:left="3860" w:hanging="360"/>
      </w:pPr>
      <w:rPr>
        <w:rFonts w:ascii="Wingdings" w:hAnsi="Wingdings" w:hint="default"/>
      </w:rPr>
    </w:lvl>
    <w:lvl w:ilvl="3" w:tplc="0C090001" w:tentative="1">
      <w:start w:val="1"/>
      <w:numFmt w:val="bullet"/>
      <w:lvlText w:val=""/>
      <w:lvlJc w:val="left"/>
      <w:pPr>
        <w:ind w:left="4580" w:hanging="360"/>
      </w:pPr>
      <w:rPr>
        <w:rFonts w:ascii="Symbol" w:hAnsi="Symbol" w:hint="default"/>
      </w:rPr>
    </w:lvl>
    <w:lvl w:ilvl="4" w:tplc="0C090003" w:tentative="1">
      <w:start w:val="1"/>
      <w:numFmt w:val="bullet"/>
      <w:lvlText w:val="o"/>
      <w:lvlJc w:val="left"/>
      <w:pPr>
        <w:ind w:left="5300" w:hanging="360"/>
      </w:pPr>
      <w:rPr>
        <w:rFonts w:ascii="Courier New" w:hAnsi="Courier New" w:cs="Courier New" w:hint="default"/>
      </w:rPr>
    </w:lvl>
    <w:lvl w:ilvl="5" w:tplc="0C090005" w:tentative="1">
      <w:start w:val="1"/>
      <w:numFmt w:val="bullet"/>
      <w:lvlText w:val=""/>
      <w:lvlJc w:val="left"/>
      <w:pPr>
        <w:ind w:left="6020" w:hanging="360"/>
      </w:pPr>
      <w:rPr>
        <w:rFonts w:ascii="Wingdings" w:hAnsi="Wingdings" w:hint="default"/>
      </w:rPr>
    </w:lvl>
    <w:lvl w:ilvl="6" w:tplc="0C090001" w:tentative="1">
      <w:start w:val="1"/>
      <w:numFmt w:val="bullet"/>
      <w:lvlText w:val=""/>
      <w:lvlJc w:val="left"/>
      <w:pPr>
        <w:ind w:left="6740" w:hanging="360"/>
      </w:pPr>
      <w:rPr>
        <w:rFonts w:ascii="Symbol" w:hAnsi="Symbol" w:hint="default"/>
      </w:rPr>
    </w:lvl>
    <w:lvl w:ilvl="7" w:tplc="0C090003" w:tentative="1">
      <w:start w:val="1"/>
      <w:numFmt w:val="bullet"/>
      <w:lvlText w:val="o"/>
      <w:lvlJc w:val="left"/>
      <w:pPr>
        <w:ind w:left="7460" w:hanging="360"/>
      </w:pPr>
      <w:rPr>
        <w:rFonts w:ascii="Courier New" w:hAnsi="Courier New" w:cs="Courier New" w:hint="default"/>
      </w:rPr>
    </w:lvl>
    <w:lvl w:ilvl="8" w:tplc="0C090005" w:tentative="1">
      <w:start w:val="1"/>
      <w:numFmt w:val="bullet"/>
      <w:lvlText w:val=""/>
      <w:lvlJc w:val="left"/>
      <w:pPr>
        <w:ind w:left="8180" w:hanging="360"/>
      </w:pPr>
      <w:rPr>
        <w:rFonts w:ascii="Wingdings" w:hAnsi="Wingdings" w:hint="default"/>
      </w:rPr>
    </w:lvl>
  </w:abstractNum>
  <w:abstractNum w:abstractNumId="12">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4">
    <w:nsid w:val="71A16DCD"/>
    <w:multiLevelType w:val="multilevel"/>
    <w:tmpl w:val="D54EB4E2"/>
    <w:lvl w:ilvl="0">
      <w:start w:val="1"/>
      <w:numFmt w:val="lowerLetter"/>
      <w:pStyle w:val="MIRSubpara"/>
      <w:lvlText w:val="(%1)"/>
      <w:lvlJc w:val="left"/>
      <w:pPr>
        <w:ind w:left="1276" w:hanging="425"/>
      </w:pPr>
      <w:rPr>
        <w:rFonts w:hint="default"/>
        <w:sz w:val="18"/>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5">
    <w:nsid w:val="72550453"/>
    <w:multiLevelType w:val="multilevel"/>
    <w:tmpl w:val="65EECCEE"/>
    <w:lvl w:ilvl="0">
      <w:start w:val="1"/>
      <w:numFmt w:val="lowerLetter"/>
      <w:lvlText w:val="(%1)"/>
      <w:lvlJc w:val="left"/>
      <w:pPr>
        <w:ind w:left="993" w:firstLine="0"/>
      </w:pPr>
      <w:rPr>
        <w:rFonts w:ascii="Arial" w:eastAsia="Calibri" w:hAnsi="Arial" w:cs="Arial" w:hint="default"/>
        <w:b w:val="0"/>
        <w:i w:val="0"/>
        <w:color w:val="auto"/>
        <w:sz w:val="22"/>
        <w:szCs w:val="22"/>
      </w:rPr>
    </w:lvl>
    <w:lvl w:ilvl="1">
      <w:start w:val="1"/>
      <w:numFmt w:val="lowerLetter"/>
      <w:lvlText w:val="(%2)"/>
      <w:lvlJc w:val="left"/>
      <w:pPr>
        <w:tabs>
          <w:tab w:val="num" w:pos="1418"/>
        </w:tabs>
        <w:ind w:left="1418" w:hanging="425"/>
      </w:pPr>
      <w:rPr>
        <w:rFonts w:hint="default"/>
        <w:b w:val="0"/>
        <w:i w:val="0"/>
        <w:color w:val="auto"/>
        <w:sz w:val="18"/>
        <w:szCs w:val="18"/>
      </w:rPr>
    </w:lvl>
    <w:lvl w:ilvl="2">
      <w:start w:val="1"/>
      <w:numFmt w:val="lowerRoman"/>
      <w:lvlText w:val="(%3)"/>
      <w:lvlJc w:val="left"/>
      <w:pPr>
        <w:tabs>
          <w:tab w:val="num" w:pos="1843"/>
        </w:tabs>
        <w:ind w:left="1843"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268"/>
        </w:tabs>
        <w:ind w:left="2268" w:hanging="425"/>
      </w:pPr>
      <w:rPr>
        <w:rFonts w:hint="default"/>
        <w:sz w:val="16"/>
        <w:szCs w:val="16"/>
      </w:rPr>
    </w:lvl>
    <w:lvl w:ilvl="4">
      <w:start w:val="1"/>
      <w:numFmt w:val="none"/>
      <w:lvlText w:val=""/>
      <w:lvlJc w:val="left"/>
      <w:pPr>
        <w:tabs>
          <w:tab w:val="num" w:pos="4026"/>
        </w:tabs>
        <w:ind w:left="4026" w:hanging="1049"/>
      </w:pPr>
      <w:rPr>
        <w:rFonts w:hint="default"/>
        <w:sz w:val="16"/>
        <w:szCs w:val="16"/>
      </w:rPr>
    </w:lvl>
    <w:lvl w:ilvl="5">
      <w:start w:val="1"/>
      <w:numFmt w:val="none"/>
      <w:lvlText w:val=""/>
      <w:lvlJc w:val="left"/>
      <w:pPr>
        <w:tabs>
          <w:tab w:val="num" w:pos="4102"/>
        </w:tabs>
        <w:ind w:left="2878" w:hanging="936"/>
      </w:pPr>
      <w:rPr>
        <w:rFonts w:hint="default"/>
      </w:rPr>
    </w:lvl>
    <w:lvl w:ilvl="6">
      <w:start w:val="1"/>
      <w:numFmt w:val="none"/>
      <w:lvlText w:val=""/>
      <w:lvlJc w:val="left"/>
      <w:pPr>
        <w:tabs>
          <w:tab w:val="num" w:pos="4462"/>
        </w:tabs>
        <w:ind w:left="3382" w:hanging="1080"/>
      </w:pPr>
      <w:rPr>
        <w:rFonts w:hint="default"/>
      </w:rPr>
    </w:lvl>
    <w:lvl w:ilvl="7">
      <w:start w:val="1"/>
      <w:numFmt w:val="none"/>
      <w:lvlText w:val=""/>
      <w:lvlJc w:val="left"/>
      <w:pPr>
        <w:tabs>
          <w:tab w:val="num" w:pos="5182"/>
        </w:tabs>
        <w:ind w:left="3886" w:hanging="1224"/>
      </w:pPr>
      <w:rPr>
        <w:rFonts w:hint="default"/>
      </w:rPr>
    </w:lvl>
    <w:lvl w:ilvl="8">
      <w:start w:val="1"/>
      <w:numFmt w:val="none"/>
      <w:lvlText w:val=""/>
      <w:lvlJc w:val="left"/>
      <w:pPr>
        <w:tabs>
          <w:tab w:val="num" w:pos="5902"/>
        </w:tabs>
        <w:ind w:left="4462" w:hanging="1440"/>
      </w:pPr>
      <w:rPr>
        <w:rFonts w:hint="default"/>
      </w:rPr>
    </w:lvl>
  </w:abstractNum>
  <w:abstractNum w:abstractNumId="16">
    <w:nsid w:val="7A04370D"/>
    <w:multiLevelType w:val="hybridMultilevel"/>
    <w:tmpl w:val="94749C48"/>
    <w:lvl w:ilvl="0" w:tplc="0C090017">
      <w:start w:val="1"/>
      <w:numFmt w:val="bullet"/>
      <w:pStyle w:val="Listdash"/>
      <w:lvlText w:val=""/>
      <w:lvlJc w:val="left"/>
      <w:pPr>
        <w:tabs>
          <w:tab w:val="num" w:pos="3119"/>
        </w:tabs>
        <w:ind w:left="3119" w:hanging="426"/>
      </w:pPr>
      <w:rPr>
        <w:rFonts w:ascii="Symbol" w:hAnsi="Symbol" w:hint="default"/>
      </w:rPr>
    </w:lvl>
    <w:lvl w:ilvl="1" w:tplc="0C09001B"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2"/>
  </w:num>
  <w:num w:numId="4">
    <w:abstractNumId w:val="1"/>
  </w:num>
  <w:num w:numId="5">
    <w:abstractNumId w:val="10"/>
  </w:num>
  <w:num w:numId="6">
    <w:abstractNumId w:val="4"/>
  </w:num>
  <w:num w:numId="7">
    <w:abstractNumId w:val="2"/>
  </w:num>
  <w:num w:numId="8">
    <w:abstractNumId w:val="16"/>
  </w:num>
  <w:num w:numId="9">
    <w:abstractNumId w:val="8"/>
  </w:num>
  <w:num w:numId="10">
    <w:abstractNumId w:val="9"/>
  </w:num>
  <w:num w:numId="11">
    <w:abstractNumId w:val="0"/>
  </w:num>
  <w:num w:numId="12">
    <w:abstractNumId w:val="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Formatting/>
  <w:defaultTabStop w:val="425"/>
  <w:drawingGridHorizontalSpacing w:val="110"/>
  <w:displayHorizontalDrawingGridEvery w:val="0"/>
  <w:displayVerticalDrawingGridEvery w:val="0"/>
  <w:noPunctuationKerning/>
  <w:characterSpacingControl w:val="doNotCompress"/>
  <w:hdrShapeDefaults>
    <o:shapedefaults v:ext="edit" spidmax="311298">
      <o:colormru v:ext="edit" colors="#00a8d0,#008eb0,#1492e8,#1287d6,#117dc7,#c2e3fa"/>
      <o:colormenu v:ext="edit" fillcolor="none" strokecolor="none"/>
    </o:shapedefaults>
  </w:hdrShapeDefaults>
  <w:footnotePr>
    <w:footnote w:id="-1"/>
    <w:footnote w:id="0"/>
  </w:footnotePr>
  <w:endnotePr>
    <w:endnote w:id="-1"/>
    <w:endnote w:id="0"/>
  </w:endnotePr>
  <w:compat/>
  <w:rsids>
    <w:rsidRoot w:val="00FF6928"/>
    <w:rsid w:val="00003127"/>
    <w:rsid w:val="000107CB"/>
    <w:rsid w:val="00010C1B"/>
    <w:rsid w:val="00010DA1"/>
    <w:rsid w:val="00010ECE"/>
    <w:rsid w:val="00012B7D"/>
    <w:rsid w:val="000131C6"/>
    <w:rsid w:val="00013DCD"/>
    <w:rsid w:val="00014E58"/>
    <w:rsid w:val="00015821"/>
    <w:rsid w:val="00020843"/>
    <w:rsid w:val="00020D9D"/>
    <w:rsid w:val="000246FA"/>
    <w:rsid w:val="00024F9A"/>
    <w:rsid w:val="00024FCD"/>
    <w:rsid w:val="000274CF"/>
    <w:rsid w:val="0003048F"/>
    <w:rsid w:val="000308C1"/>
    <w:rsid w:val="000313DD"/>
    <w:rsid w:val="00032B25"/>
    <w:rsid w:val="00034081"/>
    <w:rsid w:val="00036925"/>
    <w:rsid w:val="00036AFE"/>
    <w:rsid w:val="00036D43"/>
    <w:rsid w:val="000371B4"/>
    <w:rsid w:val="00040B94"/>
    <w:rsid w:val="00043955"/>
    <w:rsid w:val="00044607"/>
    <w:rsid w:val="00044618"/>
    <w:rsid w:val="000460E4"/>
    <w:rsid w:val="00046D3C"/>
    <w:rsid w:val="000522E2"/>
    <w:rsid w:val="00054732"/>
    <w:rsid w:val="00057513"/>
    <w:rsid w:val="00057B46"/>
    <w:rsid w:val="00060D32"/>
    <w:rsid w:val="00062A2B"/>
    <w:rsid w:val="00063D59"/>
    <w:rsid w:val="00066EF9"/>
    <w:rsid w:val="000703E8"/>
    <w:rsid w:val="00070B11"/>
    <w:rsid w:val="00070B8F"/>
    <w:rsid w:val="0007105D"/>
    <w:rsid w:val="000717B9"/>
    <w:rsid w:val="0007283D"/>
    <w:rsid w:val="0007285E"/>
    <w:rsid w:val="000734BA"/>
    <w:rsid w:val="00074196"/>
    <w:rsid w:val="0007519C"/>
    <w:rsid w:val="000755B8"/>
    <w:rsid w:val="00075A77"/>
    <w:rsid w:val="00075DEE"/>
    <w:rsid w:val="000818FB"/>
    <w:rsid w:val="0008272C"/>
    <w:rsid w:val="00082B2E"/>
    <w:rsid w:val="00084371"/>
    <w:rsid w:val="0008450F"/>
    <w:rsid w:val="000849A6"/>
    <w:rsid w:val="00086D4F"/>
    <w:rsid w:val="000872C7"/>
    <w:rsid w:val="0008774F"/>
    <w:rsid w:val="00093ACD"/>
    <w:rsid w:val="00096097"/>
    <w:rsid w:val="00096A92"/>
    <w:rsid w:val="000A0519"/>
    <w:rsid w:val="000A076D"/>
    <w:rsid w:val="000A5AAE"/>
    <w:rsid w:val="000B0C37"/>
    <w:rsid w:val="000B1F5D"/>
    <w:rsid w:val="000B4123"/>
    <w:rsid w:val="000B5E5D"/>
    <w:rsid w:val="000B618D"/>
    <w:rsid w:val="000B70CE"/>
    <w:rsid w:val="000B739D"/>
    <w:rsid w:val="000C087E"/>
    <w:rsid w:val="000C1D07"/>
    <w:rsid w:val="000C449D"/>
    <w:rsid w:val="000C6B75"/>
    <w:rsid w:val="000C7B9D"/>
    <w:rsid w:val="000D1A7B"/>
    <w:rsid w:val="000D2F41"/>
    <w:rsid w:val="000D429C"/>
    <w:rsid w:val="000D6059"/>
    <w:rsid w:val="000D6DEF"/>
    <w:rsid w:val="000D72F9"/>
    <w:rsid w:val="000D7ABD"/>
    <w:rsid w:val="000E0BD1"/>
    <w:rsid w:val="000E1BE3"/>
    <w:rsid w:val="000E25E0"/>
    <w:rsid w:val="000E4144"/>
    <w:rsid w:val="000E4D03"/>
    <w:rsid w:val="000E51DD"/>
    <w:rsid w:val="000F073B"/>
    <w:rsid w:val="000F24CA"/>
    <w:rsid w:val="000F2674"/>
    <w:rsid w:val="000F42DE"/>
    <w:rsid w:val="000F51C1"/>
    <w:rsid w:val="000F71B6"/>
    <w:rsid w:val="001008C6"/>
    <w:rsid w:val="00100FE7"/>
    <w:rsid w:val="00105B9F"/>
    <w:rsid w:val="0011001A"/>
    <w:rsid w:val="00110DE9"/>
    <w:rsid w:val="00110F27"/>
    <w:rsid w:val="001163E0"/>
    <w:rsid w:val="001172AD"/>
    <w:rsid w:val="00117B89"/>
    <w:rsid w:val="00120F66"/>
    <w:rsid w:val="00123B94"/>
    <w:rsid w:val="001273EF"/>
    <w:rsid w:val="00130BA7"/>
    <w:rsid w:val="0013109F"/>
    <w:rsid w:val="00132C84"/>
    <w:rsid w:val="00133650"/>
    <w:rsid w:val="001366A8"/>
    <w:rsid w:val="001404DA"/>
    <w:rsid w:val="00140E0D"/>
    <w:rsid w:val="00141641"/>
    <w:rsid w:val="0014270C"/>
    <w:rsid w:val="00142D89"/>
    <w:rsid w:val="00143C4A"/>
    <w:rsid w:val="001452BF"/>
    <w:rsid w:val="00151963"/>
    <w:rsid w:val="00151D20"/>
    <w:rsid w:val="00152B1B"/>
    <w:rsid w:val="00154D5D"/>
    <w:rsid w:val="00154F00"/>
    <w:rsid w:val="0016069F"/>
    <w:rsid w:val="001613BA"/>
    <w:rsid w:val="00162BC3"/>
    <w:rsid w:val="00167BDF"/>
    <w:rsid w:val="00172916"/>
    <w:rsid w:val="00173307"/>
    <w:rsid w:val="001739E5"/>
    <w:rsid w:val="0017727F"/>
    <w:rsid w:val="001772B7"/>
    <w:rsid w:val="00177523"/>
    <w:rsid w:val="00182C0E"/>
    <w:rsid w:val="00183B9E"/>
    <w:rsid w:val="0018619A"/>
    <w:rsid w:val="00186266"/>
    <w:rsid w:val="00186C42"/>
    <w:rsid w:val="00190B8E"/>
    <w:rsid w:val="00192411"/>
    <w:rsid w:val="001A0E7D"/>
    <w:rsid w:val="001A13D6"/>
    <w:rsid w:val="001A255D"/>
    <w:rsid w:val="001A27C7"/>
    <w:rsid w:val="001A403D"/>
    <w:rsid w:val="001B167A"/>
    <w:rsid w:val="001B309C"/>
    <w:rsid w:val="001B3569"/>
    <w:rsid w:val="001B3F7A"/>
    <w:rsid w:val="001B410F"/>
    <w:rsid w:val="001B4303"/>
    <w:rsid w:val="001B4BBE"/>
    <w:rsid w:val="001B62C2"/>
    <w:rsid w:val="001B6698"/>
    <w:rsid w:val="001C01BF"/>
    <w:rsid w:val="001C1168"/>
    <w:rsid w:val="001C1BC4"/>
    <w:rsid w:val="001C2A76"/>
    <w:rsid w:val="001C355E"/>
    <w:rsid w:val="001C459F"/>
    <w:rsid w:val="001C4ABF"/>
    <w:rsid w:val="001C71FA"/>
    <w:rsid w:val="001D016F"/>
    <w:rsid w:val="001D3A19"/>
    <w:rsid w:val="001D4C90"/>
    <w:rsid w:val="001D7177"/>
    <w:rsid w:val="001D79A1"/>
    <w:rsid w:val="001E09F8"/>
    <w:rsid w:val="001E21A6"/>
    <w:rsid w:val="001E2811"/>
    <w:rsid w:val="001E3075"/>
    <w:rsid w:val="001E34B8"/>
    <w:rsid w:val="001E6E2C"/>
    <w:rsid w:val="001E7208"/>
    <w:rsid w:val="001E7780"/>
    <w:rsid w:val="001E7C80"/>
    <w:rsid w:val="001F66FD"/>
    <w:rsid w:val="001F67F0"/>
    <w:rsid w:val="001F7EB8"/>
    <w:rsid w:val="00200884"/>
    <w:rsid w:val="00200E6B"/>
    <w:rsid w:val="002015CA"/>
    <w:rsid w:val="00207632"/>
    <w:rsid w:val="0021194F"/>
    <w:rsid w:val="00213355"/>
    <w:rsid w:val="00214516"/>
    <w:rsid w:val="002148BC"/>
    <w:rsid w:val="00214C17"/>
    <w:rsid w:val="002153A0"/>
    <w:rsid w:val="00222094"/>
    <w:rsid w:val="00222484"/>
    <w:rsid w:val="00222ED9"/>
    <w:rsid w:val="00223795"/>
    <w:rsid w:val="002257FA"/>
    <w:rsid w:val="00227656"/>
    <w:rsid w:val="0023057E"/>
    <w:rsid w:val="00230608"/>
    <w:rsid w:val="00235619"/>
    <w:rsid w:val="00236FDA"/>
    <w:rsid w:val="00237072"/>
    <w:rsid w:val="00237437"/>
    <w:rsid w:val="0024183E"/>
    <w:rsid w:val="00242A7D"/>
    <w:rsid w:val="00243449"/>
    <w:rsid w:val="002455B2"/>
    <w:rsid w:val="0024647F"/>
    <w:rsid w:val="00247AAB"/>
    <w:rsid w:val="00251960"/>
    <w:rsid w:val="00253CF7"/>
    <w:rsid w:val="00255CE0"/>
    <w:rsid w:val="00261CD2"/>
    <w:rsid w:val="002620E7"/>
    <w:rsid w:val="00264887"/>
    <w:rsid w:val="0027002F"/>
    <w:rsid w:val="0027225A"/>
    <w:rsid w:val="002722DE"/>
    <w:rsid w:val="00274BBD"/>
    <w:rsid w:val="00274E0C"/>
    <w:rsid w:val="0028039D"/>
    <w:rsid w:val="002804A2"/>
    <w:rsid w:val="00280D22"/>
    <w:rsid w:val="00285C6C"/>
    <w:rsid w:val="00287030"/>
    <w:rsid w:val="0029037C"/>
    <w:rsid w:val="00291441"/>
    <w:rsid w:val="0029284D"/>
    <w:rsid w:val="0029291D"/>
    <w:rsid w:val="002938B9"/>
    <w:rsid w:val="00293D63"/>
    <w:rsid w:val="00294C14"/>
    <w:rsid w:val="002A055F"/>
    <w:rsid w:val="002A1152"/>
    <w:rsid w:val="002A1922"/>
    <w:rsid w:val="002A26AE"/>
    <w:rsid w:val="002A3288"/>
    <w:rsid w:val="002A5328"/>
    <w:rsid w:val="002A6BC8"/>
    <w:rsid w:val="002A75E7"/>
    <w:rsid w:val="002A79EE"/>
    <w:rsid w:val="002B0298"/>
    <w:rsid w:val="002B09AA"/>
    <w:rsid w:val="002B2C6A"/>
    <w:rsid w:val="002B3D69"/>
    <w:rsid w:val="002B3E9F"/>
    <w:rsid w:val="002B48E0"/>
    <w:rsid w:val="002B5527"/>
    <w:rsid w:val="002B613B"/>
    <w:rsid w:val="002B6552"/>
    <w:rsid w:val="002C55B7"/>
    <w:rsid w:val="002D2CC3"/>
    <w:rsid w:val="002D50AB"/>
    <w:rsid w:val="002E2995"/>
    <w:rsid w:val="002E43F5"/>
    <w:rsid w:val="002E530B"/>
    <w:rsid w:val="002F04F4"/>
    <w:rsid w:val="002F3D79"/>
    <w:rsid w:val="002F49B5"/>
    <w:rsid w:val="002F62D2"/>
    <w:rsid w:val="00304426"/>
    <w:rsid w:val="00305121"/>
    <w:rsid w:val="00306B26"/>
    <w:rsid w:val="00306E1A"/>
    <w:rsid w:val="00307536"/>
    <w:rsid w:val="00307B73"/>
    <w:rsid w:val="00310169"/>
    <w:rsid w:val="00311EFF"/>
    <w:rsid w:val="00312963"/>
    <w:rsid w:val="00314069"/>
    <w:rsid w:val="00316E33"/>
    <w:rsid w:val="00317231"/>
    <w:rsid w:val="00322744"/>
    <w:rsid w:val="00322822"/>
    <w:rsid w:val="0032554C"/>
    <w:rsid w:val="00327695"/>
    <w:rsid w:val="003300A5"/>
    <w:rsid w:val="00332961"/>
    <w:rsid w:val="00332A81"/>
    <w:rsid w:val="003335A3"/>
    <w:rsid w:val="00336231"/>
    <w:rsid w:val="00337646"/>
    <w:rsid w:val="00341BA2"/>
    <w:rsid w:val="0034279E"/>
    <w:rsid w:val="00344DB4"/>
    <w:rsid w:val="003461B5"/>
    <w:rsid w:val="00347A2C"/>
    <w:rsid w:val="00352F88"/>
    <w:rsid w:val="00353CD0"/>
    <w:rsid w:val="00354AD7"/>
    <w:rsid w:val="00355957"/>
    <w:rsid w:val="003560E3"/>
    <w:rsid w:val="00356779"/>
    <w:rsid w:val="003575FE"/>
    <w:rsid w:val="00360C5D"/>
    <w:rsid w:val="00362CBB"/>
    <w:rsid w:val="00363E6F"/>
    <w:rsid w:val="00364503"/>
    <w:rsid w:val="0036541E"/>
    <w:rsid w:val="00371D53"/>
    <w:rsid w:val="00372F1A"/>
    <w:rsid w:val="00374029"/>
    <w:rsid w:val="00375619"/>
    <w:rsid w:val="00380C90"/>
    <w:rsid w:val="0038145F"/>
    <w:rsid w:val="00381D5F"/>
    <w:rsid w:val="00383506"/>
    <w:rsid w:val="003837F9"/>
    <w:rsid w:val="00384FDA"/>
    <w:rsid w:val="00385BDB"/>
    <w:rsid w:val="0038667D"/>
    <w:rsid w:val="003871A5"/>
    <w:rsid w:val="003871B9"/>
    <w:rsid w:val="00387268"/>
    <w:rsid w:val="003873C4"/>
    <w:rsid w:val="0039069A"/>
    <w:rsid w:val="00390F03"/>
    <w:rsid w:val="00394BD7"/>
    <w:rsid w:val="00396227"/>
    <w:rsid w:val="003969C1"/>
    <w:rsid w:val="003A0BB4"/>
    <w:rsid w:val="003A1453"/>
    <w:rsid w:val="003A4610"/>
    <w:rsid w:val="003A4FEC"/>
    <w:rsid w:val="003A64F6"/>
    <w:rsid w:val="003B1B97"/>
    <w:rsid w:val="003B45C1"/>
    <w:rsid w:val="003C256F"/>
    <w:rsid w:val="003C6546"/>
    <w:rsid w:val="003D2CBF"/>
    <w:rsid w:val="003D4700"/>
    <w:rsid w:val="003E0983"/>
    <w:rsid w:val="003E0B7E"/>
    <w:rsid w:val="003E1C2D"/>
    <w:rsid w:val="003E394B"/>
    <w:rsid w:val="003E3D43"/>
    <w:rsid w:val="003E40AC"/>
    <w:rsid w:val="003E54A9"/>
    <w:rsid w:val="003E651C"/>
    <w:rsid w:val="003F06BB"/>
    <w:rsid w:val="003F1A3F"/>
    <w:rsid w:val="003F78D2"/>
    <w:rsid w:val="00400BC9"/>
    <w:rsid w:val="00400C54"/>
    <w:rsid w:val="00400F74"/>
    <w:rsid w:val="004033B0"/>
    <w:rsid w:val="00403599"/>
    <w:rsid w:val="00412892"/>
    <w:rsid w:val="00412A6D"/>
    <w:rsid w:val="0041300B"/>
    <w:rsid w:val="00416038"/>
    <w:rsid w:val="0041687E"/>
    <w:rsid w:val="00421001"/>
    <w:rsid w:val="00423D36"/>
    <w:rsid w:val="00424868"/>
    <w:rsid w:val="00426589"/>
    <w:rsid w:val="00426E9A"/>
    <w:rsid w:val="004275CC"/>
    <w:rsid w:val="00427775"/>
    <w:rsid w:val="0043025B"/>
    <w:rsid w:val="0043293B"/>
    <w:rsid w:val="004334BE"/>
    <w:rsid w:val="00434F28"/>
    <w:rsid w:val="00437BF3"/>
    <w:rsid w:val="00437EB7"/>
    <w:rsid w:val="004404FF"/>
    <w:rsid w:val="004432C6"/>
    <w:rsid w:val="00444B84"/>
    <w:rsid w:val="004465D6"/>
    <w:rsid w:val="004473B2"/>
    <w:rsid w:val="004509B4"/>
    <w:rsid w:val="0045283C"/>
    <w:rsid w:val="00455442"/>
    <w:rsid w:val="00456FC6"/>
    <w:rsid w:val="00457CF6"/>
    <w:rsid w:val="004600D2"/>
    <w:rsid w:val="00460BB2"/>
    <w:rsid w:val="00461DCE"/>
    <w:rsid w:val="00462880"/>
    <w:rsid w:val="00463CA4"/>
    <w:rsid w:val="004640F2"/>
    <w:rsid w:val="00464C29"/>
    <w:rsid w:val="0046623C"/>
    <w:rsid w:val="004678D2"/>
    <w:rsid w:val="00473D62"/>
    <w:rsid w:val="00475CFA"/>
    <w:rsid w:val="0047784C"/>
    <w:rsid w:val="0048110D"/>
    <w:rsid w:val="004817F9"/>
    <w:rsid w:val="00482B79"/>
    <w:rsid w:val="00482C93"/>
    <w:rsid w:val="00485E6B"/>
    <w:rsid w:val="0048734E"/>
    <w:rsid w:val="0049032A"/>
    <w:rsid w:val="00490A8B"/>
    <w:rsid w:val="00492475"/>
    <w:rsid w:val="004934AA"/>
    <w:rsid w:val="0049642D"/>
    <w:rsid w:val="004970E9"/>
    <w:rsid w:val="004A033D"/>
    <w:rsid w:val="004A456F"/>
    <w:rsid w:val="004A5844"/>
    <w:rsid w:val="004A6B00"/>
    <w:rsid w:val="004A7AF0"/>
    <w:rsid w:val="004B03F4"/>
    <w:rsid w:val="004B2E6B"/>
    <w:rsid w:val="004B5164"/>
    <w:rsid w:val="004C218E"/>
    <w:rsid w:val="004C2601"/>
    <w:rsid w:val="004C361A"/>
    <w:rsid w:val="004C3F57"/>
    <w:rsid w:val="004C4DDB"/>
    <w:rsid w:val="004C5430"/>
    <w:rsid w:val="004C6145"/>
    <w:rsid w:val="004C68F2"/>
    <w:rsid w:val="004C720E"/>
    <w:rsid w:val="004C73D6"/>
    <w:rsid w:val="004D007F"/>
    <w:rsid w:val="004D2A10"/>
    <w:rsid w:val="004D4658"/>
    <w:rsid w:val="004D5B75"/>
    <w:rsid w:val="004D6459"/>
    <w:rsid w:val="004E10B6"/>
    <w:rsid w:val="004E1797"/>
    <w:rsid w:val="004E3F6E"/>
    <w:rsid w:val="004E4F1E"/>
    <w:rsid w:val="004E5383"/>
    <w:rsid w:val="004E5B54"/>
    <w:rsid w:val="004F226E"/>
    <w:rsid w:val="004F3363"/>
    <w:rsid w:val="004F3C56"/>
    <w:rsid w:val="004F4B98"/>
    <w:rsid w:val="004F51D4"/>
    <w:rsid w:val="004F7D74"/>
    <w:rsid w:val="005006E0"/>
    <w:rsid w:val="005039FE"/>
    <w:rsid w:val="00503BA9"/>
    <w:rsid w:val="0050418B"/>
    <w:rsid w:val="00507B0A"/>
    <w:rsid w:val="00507BEA"/>
    <w:rsid w:val="00507D9D"/>
    <w:rsid w:val="00511384"/>
    <w:rsid w:val="0051149B"/>
    <w:rsid w:val="0051373A"/>
    <w:rsid w:val="00513A77"/>
    <w:rsid w:val="00515E7D"/>
    <w:rsid w:val="005160DD"/>
    <w:rsid w:val="00516F67"/>
    <w:rsid w:val="00517C69"/>
    <w:rsid w:val="00520399"/>
    <w:rsid w:val="00527163"/>
    <w:rsid w:val="00527D12"/>
    <w:rsid w:val="00530410"/>
    <w:rsid w:val="00532810"/>
    <w:rsid w:val="00534328"/>
    <w:rsid w:val="0053776C"/>
    <w:rsid w:val="00542C54"/>
    <w:rsid w:val="00546E76"/>
    <w:rsid w:val="005514A0"/>
    <w:rsid w:val="00553B8E"/>
    <w:rsid w:val="00555479"/>
    <w:rsid w:val="005559DD"/>
    <w:rsid w:val="005565FF"/>
    <w:rsid w:val="005567EA"/>
    <w:rsid w:val="00556A8A"/>
    <w:rsid w:val="005572AA"/>
    <w:rsid w:val="005609D4"/>
    <w:rsid w:val="00564A53"/>
    <w:rsid w:val="005655C3"/>
    <w:rsid w:val="00571A3D"/>
    <w:rsid w:val="0057204F"/>
    <w:rsid w:val="00572EC6"/>
    <w:rsid w:val="00574371"/>
    <w:rsid w:val="00580B5D"/>
    <w:rsid w:val="00584AAA"/>
    <w:rsid w:val="00586C00"/>
    <w:rsid w:val="00592BE2"/>
    <w:rsid w:val="005931DC"/>
    <w:rsid w:val="00594264"/>
    <w:rsid w:val="00596416"/>
    <w:rsid w:val="005A4C9E"/>
    <w:rsid w:val="005A7267"/>
    <w:rsid w:val="005A739D"/>
    <w:rsid w:val="005B0AE0"/>
    <w:rsid w:val="005B0B8E"/>
    <w:rsid w:val="005B1B1C"/>
    <w:rsid w:val="005B4441"/>
    <w:rsid w:val="005B4EF1"/>
    <w:rsid w:val="005B532C"/>
    <w:rsid w:val="005B712D"/>
    <w:rsid w:val="005C08F2"/>
    <w:rsid w:val="005C3FED"/>
    <w:rsid w:val="005C4496"/>
    <w:rsid w:val="005C5F0B"/>
    <w:rsid w:val="005D0BF4"/>
    <w:rsid w:val="005D3EC6"/>
    <w:rsid w:val="005D47E4"/>
    <w:rsid w:val="005D5B78"/>
    <w:rsid w:val="005D6006"/>
    <w:rsid w:val="005D7E0E"/>
    <w:rsid w:val="005D7FAA"/>
    <w:rsid w:val="005E05F8"/>
    <w:rsid w:val="005E1926"/>
    <w:rsid w:val="005E1AB4"/>
    <w:rsid w:val="005E1AEF"/>
    <w:rsid w:val="005E6313"/>
    <w:rsid w:val="005E7141"/>
    <w:rsid w:val="005E723F"/>
    <w:rsid w:val="005F042D"/>
    <w:rsid w:val="005F1782"/>
    <w:rsid w:val="005F21AD"/>
    <w:rsid w:val="005F3F5A"/>
    <w:rsid w:val="005F5671"/>
    <w:rsid w:val="0060134F"/>
    <w:rsid w:val="00602455"/>
    <w:rsid w:val="00602F59"/>
    <w:rsid w:val="00603399"/>
    <w:rsid w:val="00603718"/>
    <w:rsid w:val="00603CFE"/>
    <w:rsid w:val="0060404C"/>
    <w:rsid w:val="00605B01"/>
    <w:rsid w:val="00607030"/>
    <w:rsid w:val="00610184"/>
    <w:rsid w:val="00610A8E"/>
    <w:rsid w:val="00610CA3"/>
    <w:rsid w:val="006125BE"/>
    <w:rsid w:val="00616159"/>
    <w:rsid w:val="00616F89"/>
    <w:rsid w:val="00617D3E"/>
    <w:rsid w:val="0062091C"/>
    <w:rsid w:val="00624604"/>
    <w:rsid w:val="00626C16"/>
    <w:rsid w:val="006338FF"/>
    <w:rsid w:val="006449A2"/>
    <w:rsid w:val="006469E4"/>
    <w:rsid w:val="00647808"/>
    <w:rsid w:val="006535FC"/>
    <w:rsid w:val="006555B7"/>
    <w:rsid w:val="0066145F"/>
    <w:rsid w:val="00670AB6"/>
    <w:rsid w:val="006726CF"/>
    <w:rsid w:val="006749AD"/>
    <w:rsid w:val="00674A2C"/>
    <w:rsid w:val="0067514C"/>
    <w:rsid w:val="0067677A"/>
    <w:rsid w:val="00681068"/>
    <w:rsid w:val="00681B00"/>
    <w:rsid w:val="0068396B"/>
    <w:rsid w:val="00690E69"/>
    <w:rsid w:val="00691925"/>
    <w:rsid w:val="0069193C"/>
    <w:rsid w:val="00692E9F"/>
    <w:rsid w:val="006950E7"/>
    <w:rsid w:val="006961B9"/>
    <w:rsid w:val="006973DD"/>
    <w:rsid w:val="00697A57"/>
    <w:rsid w:val="006A00CB"/>
    <w:rsid w:val="006A19E0"/>
    <w:rsid w:val="006A488A"/>
    <w:rsid w:val="006B010C"/>
    <w:rsid w:val="006B1E3F"/>
    <w:rsid w:val="006B3DBB"/>
    <w:rsid w:val="006B65D8"/>
    <w:rsid w:val="006C00D7"/>
    <w:rsid w:val="006C0E73"/>
    <w:rsid w:val="006C27C5"/>
    <w:rsid w:val="006C346B"/>
    <w:rsid w:val="006C47B9"/>
    <w:rsid w:val="006C5768"/>
    <w:rsid w:val="006C6385"/>
    <w:rsid w:val="006C6BD5"/>
    <w:rsid w:val="006D1BF3"/>
    <w:rsid w:val="006D25F0"/>
    <w:rsid w:val="006D3F6A"/>
    <w:rsid w:val="006D5A19"/>
    <w:rsid w:val="006D60A9"/>
    <w:rsid w:val="006D6477"/>
    <w:rsid w:val="006D7F07"/>
    <w:rsid w:val="006E04B2"/>
    <w:rsid w:val="006E254A"/>
    <w:rsid w:val="006E38D0"/>
    <w:rsid w:val="006E3B88"/>
    <w:rsid w:val="006E5B04"/>
    <w:rsid w:val="006E607B"/>
    <w:rsid w:val="006E7B09"/>
    <w:rsid w:val="006F2AFA"/>
    <w:rsid w:val="006F34AC"/>
    <w:rsid w:val="006F462D"/>
    <w:rsid w:val="006F4B84"/>
    <w:rsid w:val="00700315"/>
    <w:rsid w:val="00701A1C"/>
    <w:rsid w:val="00702A41"/>
    <w:rsid w:val="00705411"/>
    <w:rsid w:val="00711C2B"/>
    <w:rsid w:val="00713178"/>
    <w:rsid w:val="00716283"/>
    <w:rsid w:val="007165D9"/>
    <w:rsid w:val="00717069"/>
    <w:rsid w:val="00717DC7"/>
    <w:rsid w:val="00721658"/>
    <w:rsid w:val="00722055"/>
    <w:rsid w:val="00725B3C"/>
    <w:rsid w:val="0073402F"/>
    <w:rsid w:val="00734AD3"/>
    <w:rsid w:val="00737FE1"/>
    <w:rsid w:val="00742279"/>
    <w:rsid w:val="00742A70"/>
    <w:rsid w:val="00743BF5"/>
    <w:rsid w:val="007460B1"/>
    <w:rsid w:val="00747A6C"/>
    <w:rsid w:val="00747E55"/>
    <w:rsid w:val="007537F2"/>
    <w:rsid w:val="00762E00"/>
    <w:rsid w:val="00763189"/>
    <w:rsid w:val="00764B4E"/>
    <w:rsid w:val="00766839"/>
    <w:rsid w:val="00766D4B"/>
    <w:rsid w:val="00770F10"/>
    <w:rsid w:val="00771599"/>
    <w:rsid w:val="00773AD2"/>
    <w:rsid w:val="00777AF8"/>
    <w:rsid w:val="00782482"/>
    <w:rsid w:val="00782A3C"/>
    <w:rsid w:val="00783F82"/>
    <w:rsid w:val="00784FFA"/>
    <w:rsid w:val="00786A03"/>
    <w:rsid w:val="00787455"/>
    <w:rsid w:val="00790728"/>
    <w:rsid w:val="007909F8"/>
    <w:rsid w:val="00796134"/>
    <w:rsid w:val="0079718D"/>
    <w:rsid w:val="00797308"/>
    <w:rsid w:val="007A16ED"/>
    <w:rsid w:val="007A1923"/>
    <w:rsid w:val="007A3B60"/>
    <w:rsid w:val="007A40F1"/>
    <w:rsid w:val="007B1E50"/>
    <w:rsid w:val="007B2972"/>
    <w:rsid w:val="007B64F0"/>
    <w:rsid w:val="007C0A47"/>
    <w:rsid w:val="007C1FC1"/>
    <w:rsid w:val="007C3F04"/>
    <w:rsid w:val="007C4CDA"/>
    <w:rsid w:val="007C502E"/>
    <w:rsid w:val="007C55E6"/>
    <w:rsid w:val="007C55EB"/>
    <w:rsid w:val="007C6B21"/>
    <w:rsid w:val="007D0B8A"/>
    <w:rsid w:val="007D34FD"/>
    <w:rsid w:val="007D456E"/>
    <w:rsid w:val="007D4DCF"/>
    <w:rsid w:val="007D5395"/>
    <w:rsid w:val="007D5F07"/>
    <w:rsid w:val="007D683D"/>
    <w:rsid w:val="007D70CD"/>
    <w:rsid w:val="007E0502"/>
    <w:rsid w:val="007E112E"/>
    <w:rsid w:val="007E17EF"/>
    <w:rsid w:val="007E357C"/>
    <w:rsid w:val="007E4BE9"/>
    <w:rsid w:val="007E66B9"/>
    <w:rsid w:val="007E7213"/>
    <w:rsid w:val="007F0089"/>
    <w:rsid w:val="007F28FD"/>
    <w:rsid w:val="007F3667"/>
    <w:rsid w:val="007F42C2"/>
    <w:rsid w:val="008015EC"/>
    <w:rsid w:val="00801C8A"/>
    <w:rsid w:val="00804C57"/>
    <w:rsid w:val="00804D70"/>
    <w:rsid w:val="00805EC6"/>
    <w:rsid w:val="0080617B"/>
    <w:rsid w:val="008071A7"/>
    <w:rsid w:val="00807D8F"/>
    <w:rsid w:val="00807ED8"/>
    <w:rsid w:val="008121F6"/>
    <w:rsid w:val="0081317F"/>
    <w:rsid w:val="0081324D"/>
    <w:rsid w:val="008140ED"/>
    <w:rsid w:val="008148D8"/>
    <w:rsid w:val="00820102"/>
    <w:rsid w:val="0082046C"/>
    <w:rsid w:val="0082236A"/>
    <w:rsid w:val="008237BE"/>
    <w:rsid w:val="00823D26"/>
    <w:rsid w:val="00826DF8"/>
    <w:rsid w:val="00831EE6"/>
    <w:rsid w:val="0083502B"/>
    <w:rsid w:val="00836389"/>
    <w:rsid w:val="00837320"/>
    <w:rsid w:val="0084065C"/>
    <w:rsid w:val="00841493"/>
    <w:rsid w:val="0084199E"/>
    <w:rsid w:val="0084243A"/>
    <w:rsid w:val="00842F3F"/>
    <w:rsid w:val="00844948"/>
    <w:rsid w:val="00845097"/>
    <w:rsid w:val="0084697B"/>
    <w:rsid w:val="00847708"/>
    <w:rsid w:val="00850C6D"/>
    <w:rsid w:val="00851E1A"/>
    <w:rsid w:val="0085324D"/>
    <w:rsid w:val="00854D35"/>
    <w:rsid w:val="00857F69"/>
    <w:rsid w:val="008607D9"/>
    <w:rsid w:val="008646A8"/>
    <w:rsid w:val="008678C6"/>
    <w:rsid w:val="008678FC"/>
    <w:rsid w:val="00871558"/>
    <w:rsid w:val="008721F1"/>
    <w:rsid w:val="00872CA9"/>
    <w:rsid w:val="00872CEF"/>
    <w:rsid w:val="00873B14"/>
    <w:rsid w:val="00874EB4"/>
    <w:rsid w:val="00875098"/>
    <w:rsid w:val="008758CA"/>
    <w:rsid w:val="00881EE8"/>
    <w:rsid w:val="00882DE3"/>
    <w:rsid w:val="00883000"/>
    <w:rsid w:val="00884064"/>
    <w:rsid w:val="0089338D"/>
    <w:rsid w:val="008A1CD8"/>
    <w:rsid w:val="008A30F8"/>
    <w:rsid w:val="008A3B04"/>
    <w:rsid w:val="008A4EB4"/>
    <w:rsid w:val="008A5316"/>
    <w:rsid w:val="008A5F3D"/>
    <w:rsid w:val="008A750E"/>
    <w:rsid w:val="008B118D"/>
    <w:rsid w:val="008B18E2"/>
    <w:rsid w:val="008B2D36"/>
    <w:rsid w:val="008B307B"/>
    <w:rsid w:val="008B39C8"/>
    <w:rsid w:val="008B6942"/>
    <w:rsid w:val="008B7183"/>
    <w:rsid w:val="008B76EB"/>
    <w:rsid w:val="008C0D4A"/>
    <w:rsid w:val="008C21F5"/>
    <w:rsid w:val="008C3AC4"/>
    <w:rsid w:val="008C59AA"/>
    <w:rsid w:val="008C5E05"/>
    <w:rsid w:val="008D050E"/>
    <w:rsid w:val="008D4383"/>
    <w:rsid w:val="008D4FD4"/>
    <w:rsid w:val="008D5EA0"/>
    <w:rsid w:val="008D6F4F"/>
    <w:rsid w:val="008E026A"/>
    <w:rsid w:val="008E1A17"/>
    <w:rsid w:val="008E2184"/>
    <w:rsid w:val="008E3C9C"/>
    <w:rsid w:val="008E412B"/>
    <w:rsid w:val="008E708E"/>
    <w:rsid w:val="008E7A43"/>
    <w:rsid w:val="008F1586"/>
    <w:rsid w:val="008F1826"/>
    <w:rsid w:val="008F263B"/>
    <w:rsid w:val="008F2D38"/>
    <w:rsid w:val="008F3099"/>
    <w:rsid w:val="008F3638"/>
    <w:rsid w:val="008F43FF"/>
    <w:rsid w:val="00900E39"/>
    <w:rsid w:val="00905BCA"/>
    <w:rsid w:val="00905D48"/>
    <w:rsid w:val="0090712B"/>
    <w:rsid w:val="009117F9"/>
    <w:rsid w:val="00913AFE"/>
    <w:rsid w:val="00913C79"/>
    <w:rsid w:val="00915542"/>
    <w:rsid w:val="00915A3B"/>
    <w:rsid w:val="00917ECC"/>
    <w:rsid w:val="00921506"/>
    <w:rsid w:val="00927379"/>
    <w:rsid w:val="00927FF9"/>
    <w:rsid w:val="009306EF"/>
    <w:rsid w:val="009316C4"/>
    <w:rsid w:val="0094032C"/>
    <w:rsid w:val="00940E5C"/>
    <w:rsid w:val="0094128D"/>
    <w:rsid w:val="00944141"/>
    <w:rsid w:val="00945BEF"/>
    <w:rsid w:val="00947754"/>
    <w:rsid w:val="00950302"/>
    <w:rsid w:val="00951DE0"/>
    <w:rsid w:val="0095425D"/>
    <w:rsid w:val="00954BAB"/>
    <w:rsid w:val="00957EBF"/>
    <w:rsid w:val="00961260"/>
    <w:rsid w:val="00961611"/>
    <w:rsid w:val="009627FF"/>
    <w:rsid w:val="00965940"/>
    <w:rsid w:val="0097042E"/>
    <w:rsid w:val="009738DB"/>
    <w:rsid w:val="009755EC"/>
    <w:rsid w:val="00976234"/>
    <w:rsid w:val="0097623F"/>
    <w:rsid w:val="009764C0"/>
    <w:rsid w:val="00977685"/>
    <w:rsid w:val="0098045F"/>
    <w:rsid w:val="009809CB"/>
    <w:rsid w:val="00981189"/>
    <w:rsid w:val="0098206F"/>
    <w:rsid w:val="00985C0C"/>
    <w:rsid w:val="009862D9"/>
    <w:rsid w:val="009866AE"/>
    <w:rsid w:val="00990698"/>
    <w:rsid w:val="00993E93"/>
    <w:rsid w:val="00995F7C"/>
    <w:rsid w:val="00996C7C"/>
    <w:rsid w:val="009A46D3"/>
    <w:rsid w:val="009A49B1"/>
    <w:rsid w:val="009A7343"/>
    <w:rsid w:val="009B1F21"/>
    <w:rsid w:val="009B1FE0"/>
    <w:rsid w:val="009B2945"/>
    <w:rsid w:val="009B48C7"/>
    <w:rsid w:val="009B606C"/>
    <w:rsid w:val="009C0442"/>
    <w:rsid w:val="009C08FC"/>
    <w:rsid w:val="009C0CE8"/>
    <w:rsid w:val="009C168B"/>
    <w:rsid w:val="009C40F3"/>
    <w:rsid w:val="009C6A91"/>
    <w:rsid w:val="009C72BF"/>
    <w:rsid w:val="009D2E05"/>
    <w:rsid w:val="009D3F4F"/>
    <w:rsid w:val="009E2ADB"/>
    <w:rsid w:val="009E3D8F"/>
    <w:rsid w:val="009E5181"/>
    <w:rsid w:val="009E5ADA"/>
    <w:rsid w:val="009E5BF6"/>
    <w:rsid w:val="009E632E"/>
    <w:rsid w:val="009E6701"/>
    <w:rsid w:val="009E6A05"/>
    <w:rsid w:val="009F130D"/>
    <w:rsid w:val="009F15FD"/>
    <w:rsid w:val="009F1F9C"/>
    <w:rsid w:val="009F232C"/>
    <w:rsid w:val="009F2D5C"/>
    <w:rsid w:val="009F33C7"/>
    <w:rsid w:val="009F42C6"/>
    <w:rsid w:val="009F5AED"/>
    <w:rsid w:val="00A01C1F"/>
    <w:rsid w:val="00A01E3B"/>
    <w:rsid w:val="00A02800"/>
    <w:rsid w:val="00A03F3D"/>
    <w:rsid w:val="00A03F7B"/>
    <w:rsid w:val="00A109E9"/>
    <w:rsid w:val="00A14043"/>
    <w:rsid w:val="00A14E8A"/>
    <w:rsid w:val="00A168EE"/>
    <w:rsid w:val="00A16C12"/>
    <w:rsid w:val="00A17CDC"/>
    <w:rsid w:val="00A20077"/>
    <w:rsid w:val="00A22FBE"/>
    <w:rsid w:val="00A23419"/>
    <w:rsid w:val="00A25628"/>
    <w:rsid w:val="00A26F09"/>
    <w:rsid w:val="00A303C0"/>
    <w:rsid w:val="00A30880"/>
    <w:rsid w:val="00A32346"/>
    <w:rsid w:val="00A32A98"/>
    <w:rsid w:val="00A32EFE"/>
    <w:rsid w:val="00A3375A"/>
    <w:rsid w:val="00A363DB"/>
    <w:rsid w:val="00A40A07"/>
    <w:rsid w:val="00A40ED4"/>
    <w:rsid w:val="00A43FEB"/>
    <w:rsid w:val="00A44B7C"/>
    <w:rsid w:val="00A47A5D"/>
    <w:rsid w:val="00A50721"/>
    <w:rsid w:val="00A50BEC"/>
    <w:rsid w:val="00A51A01"/>
    <w:rsid w:val="00A53334"/>
    <w:rsid w:val="00A5519D"/>
    <w:rsid w:val="00A60FB5"/>
    <w:rsid w:val="00A636FF"/>
    <w:rsid w:val="00A703F4"/>
    <w:rsid w:val="00A754D5"/>
    <w:rsid w:val="00A80433"/>
    <w:rsid w:val="00A80BC0"/>
    <w:rsid w:val="00A81425"/>
    <w:rsid w:val="00A82A47"/>
    <w:rsid w:val="00A8500A"/>
    <w:rsid w:val="00A854C8"/>
    <w:rsid w:val="00A862A0"/>
    <w:rsid w:val="00A86AB8"/>
    <w:rsid w:val="00A91100"/>
    <w:rsid w:val="00A935B0"/>
    <w:rsid w:val="00A94474"/>
    <w:rsid w:val="00A96302"/>
    <w:rsid w:val="00A97FC0"/>
    <w:rsid w:val="00AA1E68"/>
    <w:rsid w:val="00AA4DCF"/>
    <w:rsid w:val="00AA7C56"/>
    <w:rsid w:val="00AA7F4B"/>
    <w:rsid w:val="00AB1631"/>
    <w:rsid w:val="00AB22DF"/>
    <w:rsid w:val="00AB27AE"/>
    <w:rsid w:val="00AB2BB7"/>
    <w:rsid w:val="00AB2E52"/>
    <w:rsid w:val="00AB52F6"/>
    <w:rsid w:val="00AB69E5"/>
    <w:rsid w:val="00AB71E7"/>
    <w:rsid w:val="00AC0762"/>
    <w:rsid w:val="00AC12E0"/>
    <w:rsid w:val="00AC3CBF"/>
    <w:rsid w:val="00AD049D"/>
    <w:rsid w:val="00AD1053"/>
    <w:rsid w:val="00AD1C90"/>
    <w:rsid w:val="00AD3664"/>
    <w:rsid w:val="00AD5CBD"/>
    <w:rsid w:val="00AD6D19"/>
    <w:rsid w:val="00AE2657"/>
    <w:rsid w:val="00AE4496"/>
    <w:rsid w:val="00AE5073"/>
    <w:rsid w:val="00AE7A45"/>
    <w:rsid w:val="00AF079D"/>
    <w:rsid w:val="00AF0F42"/>
    <w:rsid w:val="00AF3367"/>
    <w:rsid w:val="00AF3A0E"/>
    <w:rsid w:val="00AF6E1F"/>
    <w:rsid w:val="00AF743E"/>
    <w:rsid w:val="00B00033"/>
    <w:rsid w:val="00B020FC"/>
    <w:rsid w:val="00B10CE3"/>
    <w:rsid w:val="00B12223"/>
    <w:rsid w:val="00B1489F"/>
    <w:rsid w:val="00B177D2"/>
    <w:rsid w:val="00B17FCE"/>
    <w:rsid w:val="00B218CD"/>
    <w:rsid w:val="00B21DC8"/>
    <w:rsid w:val="00B22F27"/>
    <w:rsid w:val="00B26113"/>
    <w:rsid w:val="00B264F4"/>
    <w:rsid w:val="00B30209"/>
    <w:rsid w:val="00B31C2D"/>
    <w:rsid w:val="00B32BFE"/>
    <w:rsid w:val="00B32FF7"/>
    <w:rsid w:val="00B33125"/>
    <w:rsid w:val="00B33BC6"/>
    <w:rsid w:val="00B36732"/>
    <w:rsid w:val="00B36E19"/>
    <w:rsid w:val="00B37A46"/>
    <w:rsid w:val="00B410D6"/>
    <w:rsid w:val="00B411E0"/>
    <w:rsid w:val="00B43361"/>
    <w:rsid w:val="00B43CBD"/>
    <w:rsid w:val="00B4415A"/>
    <w:rsid w:val="00B457F9"/>
    <w:rsid w:val="00B461B2"/>
    <w:rsid w:val="00B46431"/>
    <w:rsid w:val="00B4718C"/>
    <w:rsid w:val="00B47194"/>
    <w:rsid w:val="00B53327"/>
    <w:rsid w:val="00B56285"/>
    <w:rsid w:val="00B712F4"/>
    <w:rsid w:val="00B71E19"/>
    <w:rsid w:val="00B72B7D"/>
    <w:rsid w:val="00B72F46"/>
    <w:rsid w:val="00B739E4"/>
    <w:rsid w:val="00B74C44"/>
    <w:rsid w:val="00B75FAD"/>
    <w:rsid w:val="00B774A2"/>
    <w:rsid w:val="00B77CE6"/>
    <w:rsid w:val="00B806CE"/>
    <w:rsid w:val="00B80AFF"/>
    <w:rsid w:val="00B80C90"/>
    <w:rsid w:val="00B8100A"/>
    <w:rsid w:val="00B81586"/>
    <w:rsid w:val="00B82B92"/>
    <w:rsid w:val="00B83D3D"/>
    <w:rsid w:val="00B8552B"/>
    <w:rsid w:val="00B944CA"/>
    <w:rsid w:val="00B94FCF"/>
    <w:rsid w:val="00B9678D"/>
    <w:rsid w:val="00BA23FB"/>
    <w:rsid w:val="00BA3785"/>
    <w:rsid w:val="00BA65D6"/>
    <w:rsid w:val="00BA7BC8"/>
    <w:rsid w:val="00BA7DD4"/>
    <w:rsid w:val="00BB018C"/>
    <w:rsid w:val="00BB5155"/>
    <w:rsid w:val="00BB7EAB"/>
    <w:rsid w:val="00BC077D"/>
    <w:rsid w:val="00BC0867"/>
    <w:rsid w:val="00BC18A4"/>
    <w:rsid w:val="00BC23E0"/>
    <w:rsid w:val="00BC47C2"/>
    <w:rsid w:val="00BC49CA"/>
    <w:rsid w:val="00BC6130"/>
    <w:rsid w:val="00BC6FEF"/>
    <w:rsid w:val="00BD145D"/>
    <w:rsid w:val="00BD2DF4"/>
    <w:rsid w:val="00BD6366"/>
    <w:rsid w:val="00BE1952"/>
    <w:rsid w:val="00BE2E03"/>
    <w:rsid w:val="00BE3217"/>
    <w:rsid w:val="00BE3942"/>
    <w:rsid w:val="00BE3E7D"/>
    <w:rsid w:val="00BE43E3"/>
    <w:rsid w:val="00BE69CF"/>
    <w:rsid w:val="00BF1553"/>
    <w:rsid w:val="00BF2781"/>
    <w:rsid w:val="00BF28C9"/>
    <w:rsid w:val="00BF5FAF"/>
    <w:rsid w:val="00BF723D"/>
    <w:rsid w:val="00BF7D01"/>
    <w:rsid w:val="00C02938"/>
    <w:rsid w:val="00C056CE"/>
    <w:rsid w:val="00C057E2"/>
    <w:rsid w:val="00C05951"/>
    <w:rsid w:val="00C0696A"/>
    <w:rsid w:val="00C101D2"/>
    <w:rsid w:val="00C138EC"/>
    <w:rsid w:val="00C149FB"/>
    <w:rsid w:val="00C15A13"/>
    <w:rsid w:val="00C1633E"/>
    <w:rsid w:val="00C237B0"/>
    <w:rsid w:val="00C23985"/>
    <w:rsid w:val="00C26A63"/>
    <w:rsid w:val="00C27435"/>
    <w:rsid w:val="00C30F1F"/>
    <w:rsid w:val="00C3261C"/>
    <w:rsid w:val="00C356A5"/>
    <w:rsid w:val="00C41822"/>
    <w:rsid w:val="00C42EC4"/>
    <w:rsid w:val="00C44ADD"/>
    <w:rsid w:val="00C45131"/>
    <w:rsid w:val="00C50387"/>
    <w:rsid w:val="00C51F06"/>
    <w:rsid w:val="00C539EB"/>
    <w:rsid w:val="00C5434F"/>
    <w:rsid w:val="00C57B4E"/>
    <w:rsid w:val="00C6043B"/>
    <w:rsid w:val="00C6180D"/>
    <w:rsid w:val="00C64322"/>
    <w:rsid w:val="00C643A1"/>
    <w:rsid w:val="00C64505"/>
    <w:rsid w:val="00C646BF"/>
    <w:rsid w:val="00C660EA"/>
    <w:rsid w:val="00C665E2"/>
    <w:rsid w:val="00C72EC8"/>
    <w:rsid w:val="00C74A72"/>
    <w:rsid w:val="00C7562A"/>
    <w:rsid w:val="00C80E65"/>
    <w:rsid w:val="00C826D2"/>
    <w:rsid w:val="00C86DFB"/>
    <w:rsid w:val="00C91C06"/>
    <w:rsid w:val="00C92B8D"/>
    <w:rsid w:val="00C945F0"/>
    <w:rsid w:val="00C94ECD"/>
    <w:rsid w:val="00C96237"/>
    <w:rsid w:val="00C96527"/>
    <w:rsid w:val="00C965FD"/>
    <w:rsid w:val="00C96F02"/>
    <w:rsid w:val="00C97068"/>
    <w:rsid w:val="00CA00CA"/>
    <w:rsid w:val="00CA5F6D"/>
    <w:rsid w:val="00CA5F77"/>
    <w:rsid w:val="00CA788A"/>
    <w:rsid w:val="00CA7ABF"/>
    <w:rsid w:val="00CB12E0"/>
    <w:rsid w:val="00CB1C3E"/>
    <w:rsid w:val="00CB256A"/>
    <w:rsid w:val="00CB2A24"/>
    <w:rsid w:val="00CB2B37"/>
    <w:rsid w:val="00CB2BFC"/>
    <w:rsid w:val="00CB3E1B"/>
    <w:rsid w:val="00CB4B8D"/>
    <w:rsid w:val="00CB5579"/>
    <w:rsid w:val="00CB5F94"/>
    <w:rsid w:val="00CC18BD"/>
    <w:rsid w:val="00CC1CB6"/>
    <w:rsid w:val="00CC42DC"/>
    <w:rsid w:val="00CD170B"/>
    <w:rsid w:val="00CD371D"/>
    <w:rsid w:val="00CD3D5B"/>
    <w:rsid w:val="00CD5BEF"/>
    <w:rsid w:val="00CD7281"/>
    <w:rsid w:val="00CE1CB7"/>
    <w:rsid w:val="00CE40A7"/>
    <w:rsid w:val="00CE5AD9"/>
    <w:rsid w:val="00CE72DF"/>
    <w:rsid w:val="00CF056E"/>
    <w:rsid w:val="00CF2A96"/>
    <w:rsid w:val="00CF2D88"/>
    <w:rsid w:val="00CF36D0"/>
    <w:rsid w:val="00CF3FE5"/>
    <w:rsid w:val="00CF67E3"/>
    <w:rsid w:val="00D02735"/>
    <w:rsid w:val="00D147ED"/>
    <w:rsid w:val="00D149A9"/>
    <w:rsid w:val="00D1658F"/>
    <w:rsid w:val="00D17567"/>
    <w:rsid w:val="00D17BF9"/>
    <w:rsid w:val="00D20BC7"/>
    <w:rsid w:val="00D26AB0"/>
    <w:rsid w:val="00D26C9C"/>
    <w:rsid w:val="00D31510"/>
    <w:rsid w:val="00D33672"/>
    <w:rsid w:val="00D33695"/>
    <w:rsid w:val="00D3466A"/>
    <w:rsid w:val="00D34849"/>
    <w:rsid w:val="00D351E7"/>
    <w:rsid w:val="00D37516"/>
    <w:rsid w:val="00D4212A"/>
    <w:rsid w:val="00D42B65"/>
    <w:rsid w:val="00D45901"/>
    <w:rsid w:val="00D46765"/>
    <w:rsid w:val="00D47D31"/>
    <w:rsid w:val="00D51628"/>
    <w:rsid w:val="00D5565A"/>
    <w:rsid w:val="00D60863"/>
    <w:rsid w:val="00D61B5D"/>
    <w:rsid w:val="00D65680"/>
    <w:rsid w:val="00D65B07"/>
    <w:rsid w:val="00D66285"/>
    <w:rsid w:val="00D673F7"/>
    <w:rsid w:val="00D67CA2"/>
    <w:rsid w:val="00D71B56"/>
    <w:rsid w:val="00D7637F"/>
    <w:rsid w:val="00D80D96"/>
    <w:rsid w:val="00D80EC7"/>
    <w:rsid w:val="00D843D8"/>
    <w:rsid w:val="00D84EED"/>
    <w:rsid w:val="00D92685"/>
    <w:rsid w:val="00D94059"/>
    <w:rsid w:val="00D943A6"/>
    <w:rsid w:val="00D95FF7"/>
    <w:rsid w:val="00D961B7"/>
    <w:rsid w:val="00DA070C"/>
    <w:rsid w:val="00DA0E1B"/>
    <w:rsid w:val="00DA19A2"/>
    <w:rsid w:val="00DA1AB1"/>
    <w:rsid w:val="00DA1C34"/>
    <w:rsid w:val="00DA385D"/>
    <w:rsid w:val="00DB0722"/>
    <w:rsid w:val="00DB2E23"/>
    <w:rsid w:val="00DB3023"/>
    <w:rsid w:val="00DB32B7"/>
    <w:rsid w:val="00DB45B2"/>
    <w:rsid w:val="00DB4B5A"/>
    <w:rsid w:val="00DC0F5C"/>
    <w:rsid w:val="00DC2289"/>
    <w:rsid w:val="00DC6A25"/>
    <w:rsid w:val="00DC6C88"/>
    <w:rsid w:val="00DC6CE7"/>
    <w:rsid w:val="00DC71EF"/>
    <w:rsid w:val="00DC7EE0"/>
    <w:rsid w:val="00DD317D"/>
    <w:rsid w:val="00DE2D1E"/>
    <w:rsid w:val="00DE31E6"/>
    <w:rsid w:val="00DE3A89"/>
    <w:rsid w:val="00DE3D5C"/>
    <w:rsid w:val="00DF3030"/>
    <w:rsid w:val="00DF47D4"/>
    <w:rsid w:val="00DF4FA4"/>
    <w:rsid w:val="00E01DA0"/>
    <w:rsid w:val="00E02E90"/>
    <w:rsid w:val="00E06F60"/>
    <w:rsid w:val="00E07796"/>
    <w:rsid w:val="00E10942"/>
    <w:rsid w:val="00E114A2"/>
    <w:rsid w:val="00E11E5E"/>
    <w:rsid w:val="00E12340"/>
    <w:rsid w:val="00E12CD0"/>
    <w:rsid w:val="00E13111"/>
    <w:rsid w:val="00E13C9B"/>
    <w:rsid w:val="00E16CB2"/>
    <w:rsid w:val="00E17321"/>
    <w:rsid w:val="00E17797"/>
    <w:rsid w:val="00E2127F"/>
    <w:rsid w:val="00E229C5"/>
    <w:rsid w:val="00E22AC8"/>
    <w:rsid w:val="00E24ABB"/>
    <w:rsid w:val="00E264C7"/>
    <w:rsid w:val="00E27ED9"/>
    <w:rsid w:val="00E32774"/>
    <w:rsid w:val="00E32BEF"/>
    <w:rsid w:val="00E40541"/>
    <w:rsid w:val="00E40C63"/>
    <w:rsid w:val="00E41C4B"/>
    <w:rsid w:val="00E442F4"/>
    <w:rsid w:val="00E4519B"/>
    <w:rsid w:val="00E45EA3"/>
    <w:rsid w:val="00E46C83"/>
    <w:rsid w:val="00E46D62"/>
    <w:rsid w:val="00E4706E"/>
    <w:rsid w:val="00E50555"/>
    <w:rsid w:val="00E50EF2"/>
    <w:rsid w:val="00E52D85"/>
    <w:rsid w:val="00E54429"/>
    <w:rsid w:val="00E5453E"/>
    <w:rsid w:val="00E54D3B"/>
    <w:rsid w:val="00E57EB4"/>
    <w:rsid w:val="00E60244"/>
    <w:rsid w:val="00E6121C"/>
    <w:rsid w:val="00E6261E"/>
    <w:rsid w:val="00E6391D"/>
    <w:rsid w:val="00E66230"/>
    <w:rsid w:val="00E70CFD"/>
    <w:rsid w:val="00E725F0"/>
    <w:rsid w:val="00E8510E"/>
    <w:rsid w:val="00E92528"/>
    <w:rsid w:val="00E92C76"/>
    <w:rsid w:val="00E93480"/>
    <w:rsid w:val="00E9391A"/>
    <w:rsid w:val="00E95658"/>
    <w:rsid w:val="00EA3CF2"/>
    <w:rsid w:val="00EA5E27"/>
    <w:rsid w:val="00EA67EE"/>
    <w:rsid w:val="00EB0AA3"/>
    <w:rsid w:val="00EB112F"/>
    <w:rsid w:val="00EB1793"/>
    <w:rsid w:val="00EB194F"/>
    <w:rsid w:val="00EB3EA8"/>
    <w:rsid w:val="00EB4B6B"/>
    <w:rsid w:val="00EB54FF"/>
    <w:rsid w:val="00EC0261"/>
    <w:rsid w:val="00EC0AE3"/>
    <w:rsid w:val="00EC1100"/>
    <w:rsid w:val="00EC2400"/>
    <w:rsid w:val="00EC4B8A"/>
    <w:rsid w:val="00EC51F6"/>
    <w:rsid w:val="00ED1944"/>
    <w:rsid w:val="00ED1BA4"/>
    <w:rsid w:val="00ED4176"/>
    <w:rsid w:val="00ED71AA"/>
    <w:rsid w:val="00EE084C"/>
    <w:rsid w:val="00EE1080"/>
    <w:rsid w:val="00EE2A86"/>
    <w:rsid w:val="00EE402D"/>
    <w:rsid w:val="00EE6F3A"/>
    <w:rsid w:val="00EE75AA"/>
    <w:rsid w:val="00EF0E60"/>
    <w:rsid w:val="00EF3988"/>
    <w:rsid w:val="00EF5800"/>
    <w:rsid w:val="00EF593D"/>
    <w:rsid w:val="00EF631E"/>
    <w:rsid w:val="00F020E9"/>
    <w:rsid w:val="00F03192"/>
    <w:rsid w:val="00F10A1E"/>
    <w:rsid w:val="00F113A9"/>
    <w:rsid w:val="00F1249B"/>
    <w:rsid w:val="00F13912"/>
    <w:rsid w:val="00F13BE3"/>
    <w:rsid w:val="00F14A12"/>
    <w:rsid w:val="00F16F36"/>
    <w:rsid w:val="00F20651"/>
    <w:rsid w:val="00F221F0"/>
    <w:rsid w:val="00F22D90"/>
    <w:rsid w:val="00F2383C"/>
    <w:rsid w:val="00F24BCF"/>
    <w:rsid w:val="00F24FD4"/>
    <w:rsid w:val="00F252F1"/>
    <w:rsid w:val="00F27919"/>
    <w:rsid w:val="00F301F2"/>
    <w:rsid w:val="00F3033F"/>
    <w:rsid w:val="00F30C00"/>
    <w:rsid w:val="00F37A38"/>
    <w:rsid w:val="00F37EED"/>
    <w:rsid w:val="00F4458F"/>
    <w:rsid w:val="00F44EAC"/>
    <w:rsid w:val="00F458E6"/>
    <w:rsid w:val="00F45A75"/>
    <w:rsid w:val="00F4722A"/>
    <w:rsid w:val="00F526F6"/>
    <w:rsid w:val="00F52A76"/>
    <w:rsid w:val="00F553AC"/>
    <w:rsid w:val="00F55DEC"/>
    <w:rsid w:val="00F60C37"/>
    <w:rsid w:val="00F6475F"/>
    <w:rsid w:val="00F65691"/>
    <w:rsid w:val="00F65B59"/>
    <w:rsid w:val="00F65D6D"/>
    <w:rsid w:val="00F66F2A"/>
    <w:rsid w:val="00F70106"/>
    <w:rsid w:val="00F720DF"/>
    <w:rsid w:val="00F72A78"/>
    <w:rsid w:val="00F73B45"/>
    <w:rsid w:val="00F779D1"/>
    <w:rsid w:val="00F83861"/>
    <w:rsid w:val="00F84424"/>
    <w:rsid w:val="00F875B9"/>
    <w:rsid w:val="00F9796C"/>
    <w:rsid w:val="00FA2239"/>
    <w:rsid w:val="00FA258F"/>
    <w:rsid w:val="00FA2DC8"/>
    <w:rsid w:val="00FA3B0B"/>
    <w:rsid w:val="00FA67DE"/>
    <w:rsid w:val="00FA72A3"/>
    <w:rsid w:val="00FB1A26"/>
    <w:rsid w:val="00FB2D1F"/>
    <w:rsid w:val="00FB3A76"/>
    <w:rsid w:val="00FB541D"/>
    <w:rsid w:val="00FC0AEA"/>
    <w:rsid w:val="00FC22AF"/>
    <w:rsid w:val="00FC3B89"/>
    <w:rsid w:val="00FC54CA"/>
    <w:rsid w:val="00FC5821"/>
    <w:rsid w:val="00FC6A83"/>
    <w:rsid w:val="00FC7699"/>
    <w:rsid w:val="00FD0B91"/>
    <w:rsid w:val="00FD0D08"/>
    <w:rsid w:val="00FD18D1"/>
    <w:rsid w:val="00FD47F4"/>
    <w:rsid w:val="00FD6091"/>
    <w:rsid w:val="00FD6405"/>
    <w:rsid w:val="00FE104C"/>
    <w:rsid w:val="00FE4C62"/>
    <w:rsid w:val="00FE5264"/>
    <w:rsid w:val="00FE5FA1"/>
    <w:rsid w:val="00FE7317"/>
    <w:rsid w:val="00FF184F"/>
    <w:rsid w:val="00FF34AC"/>
    <w:rsid w:val="00FF3730"/>
    <w:rsid w:val="00FF41D0"/>
    <w:rsid w:val="00FF4A9C"/>
    <w:rsid w:val="00FF672F"/>
    <w:rsid w:val="00FF6928"/>
    <w:rsid w:val="00FF707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1298">
      <o:colormru v:ext="edit" colors="#00a8d0,#008eb0,#1492e8,#1287d6,#117dc7,#c2e3fa"/>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5B8"/>
    <w:pPr>
      <w:widowControl w:val="0"/>
      <w:adjustRightInd w:val="0"/>
      <w:spacing w:after="240" w:line="360" w:lineRule="atLeast"/>
      <w:jc w:val="both"/>
      <w:textAlignment w:val="baseline"/>
    </w:pPr>
    <w:rPr>
      <w:sz w:val="22"/>
    </w:rPr>
  </w:style>
  <w:style w:type="paragraph" w:styleId="Heading1">
    <w:name w:val="heading 1"/>
    <w:basedOn w:val="Normal"/>
    <w:next w:val="BodyText"/>
    <w:qFormat/>
    <w:rsid w:val="00C056CE"/>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C056CE"/>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C056CE"/>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Normal"/>
    <w:qFormat/>
    <w:rsid w:val="00C056CE"/>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Normal"/>
    <w:qFormat/>
    <w:rsid w:val="00C056CE"/>
    <w:pPr>
      <w:keepNext/>
      <w:spacing w:before="280" w:after="0" w:line="280" w:lineRule="atLeast"/>
      <w:ind w:left="2268"/>
      <w:outlineLvl w:val="4"/>
    </w:pPr>
    <w:rPr>
      <w:rFonts w:ascii="Arial" w:hAnsi="Arial" w:cs="Arial"/>
      <w:i/>
      <w:sz w:val="20"/>
    </w:rPr>
  </w:style>
  <w:style w:type="paragraph" w:styleId="Heading6">
    <w:name w:val="heading 6"/>
    <w:basedOn w:val="Normal"/>
    <w:next w:val="Normal"/>
    <w:qFormat/>
    <w:rsid w:val="00C056CE"/>
    <w:pPr>
      <w:keepNext/>
      <w:spacing w:before="200" w:after="0"/>
      <w:ind w:left="992"/>
      <w:outlineLvl w:val="5"/>
    </w:pPr>
    <w:rPr>
      <w:rFonts w:ascii="HelveticaNeue LT 57 CnObl" w:hAnsi="HelveticaNeue LT 57 CnObl"/>
      <w:bCs/>
      <w:sz w:val="21"/>
      <w:szCs w:val="21"/>
      <w:lang w:val="en-ZW"/>
    </w:rPr>
  </w:style>
  <w:style w:type="paragraph" w:styleId="Heading7">
    <w:name w:val="heading 7"/>
    <w:next w:val="Normal"/>
    <w:qFormat/>
    <w:rsid w:val="00C056CE"/>
    <w:pPr>
      <w:overflowPunct w:val="0"/>
      <w:autoSpaceDE w:val="0"/>
      <w:autoSpaceDN w:val="0"/>
      <w:adjustRightInd w:val="0"/>
      <w:spacing w:before="240" w:after="60"/>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056CE"/>
    <w:pPr>
      <w:numPr>
        <w:numId w:val="7"/>
      </w:numPr>
      <w:spacing w:before="200" w:after="0" w:line="300" w:lineRule="atLeast"/>
    </w:pPr>
    <w:rPr>
      <w:szCs w:val="22"/>
    </w:rPr>
  </w:style>
  <w:style w:type="paragraph" w:customStyle="1" w:styleId="tabletext">
    <w:name w:val="table text"/>
    <w:basedOn w:val="tablehead"/>
    <w:rsid w:val="005B4EF1"/>
    <w:pPr>
      <w:keepNext w:val="0"/>
    </w:pPr>
    <w:rPr>
      <w:b w:val="0"/>
    </w:rPr>
  </w:style>
  <w:style w:type="paragraph" w:customStyle="1" w:styleId="tblnote">
    <w:name w:val="tbl note"/>
    <w:rsid w:val="00C056CE"/>
    <w:pPr>
      <w:spacing w:before="60"/>
      <w:ind w:left="425"/>
    </w:pPr>
    <w:rPr>
      <w:rFonts w:ascii="Arial" w:hAnsi="Arial"/>
      <w:sz w:val="16"/>
      <w:szCs w:val="22"/>
    </w:rPr>
  </w:style>
  <w:style w:type="paragraph" w:styleId="Footer">
    <w:name w:val="footer"/>
    <w:basedOn w:val="Normal"/>
    <w:link w:val="FooterChar"/>
    <w:semiHidden/>
    <w:rsid w:val="00C056CE"/>
    <w:pPr>
      <w:tabs>
        <w:tab w:val="right" w:pos="9070"/>
      </w:tabs>
      <w:spacing w:after="0"/>
    </w:pPr>
    <w:rPr>
      <w:rFonts w:ascii="Arial" w:hAnsi="Arial"/>
      <w:sz w:val="16"/>
      <w:szCs w:val="16"/>
    </w:rPr>
  </w:style>
  <w:style w:type="character" w:styleId="PageNumber">
    <w:name w:val="page number"/>
    <w:basedOn w:val="DefaultParagraphFont"/>
    <w:semiHidden/>
    <w:rsid w:val="00C056CE"/>
    <w:rPr>
      <w:b/>
      <w:sz w:val="20"/>
    </w:rPr>
  </w:style>
  <w:style w:type="paragraph" w:styleId="Header">
    <w:name w:val="header"/>
    <w:basedOn w:val="Normal"/>
    <w:semiHidden/>
    <w:rsid w:val="00C056CE"/>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semiHidden/>
    <w:rsid w:val="00C056CE"/>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
    <w:rsid w:val="00C056CE"/>
    <w:pPr>
      <w:numPr>
        <w:ilvl w:val="1"/>
      </w:numPr>
    </w:pPr>
  </w:style>
  <w:style w:type="paragraph" w:customStyle="1" w:styleId="Listnumber">
    <w:name w:val="List number"/>
    <w:basedOn w:val="Normal"/>
    <w:rsid w:val="00C056CE"/>
    <w:pPr>
      <w:numPr>
        <w:numId w:val="1"/>
      </w:numPr>
      <w:spacing w:before="100" w:after="0" w:line="300" w:lineRule="atLeast"/>
    </w:pPr>
    <w:rPr>
      <w:szCs w:val="24"/>
    </w:rPr>
  </w:style>
  <w:style w:type="paragraph" w:customStyle="1" w:styleId="figuretitleindented">
    <w:name w:val="figure title indented"/>
    <w:basedOn w:val="figuretitlefullwidth"/>
    <w:rsid w:val="00C056CE"/>
    <w:pPr>
      <w:ind w:left="3260"/>
    </w:pPr>
  </w:style>
  <w:style w:type="paragraph" w:customStyle="1" w:styleId="figuretitlefullwidth">
    <w:name w:val="figure title full width"/>
    <w:basedOn w:val="tabletitlefullwidth"/>
    <w:next w:val="figuretext"/>
    <w:rsid w:val="00C056CE"/>
    <w:rPr>
      <w:szCs w:val="22"/>
    </w:rPr>
  </w:style>
  <w:style w:type="paragraph" w:customStyle="1" w:styleId="tabletitlefullwidth">
    <w:name w:val="table title full width"/>
    <w:basedOn w:val="Normal"/>
    <w:rsid w:val="00C056CE"/>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C056CE"/>
    <w:pPr>
      <w:spacing w:after="0" w:line="240" w:lineRule="atLeast"/>
    </w:pPr>
    <w:rPr>
      <w:rFonts w:ascii="Arial" w:hAnsi="Arial" w:cs="Arial"/>
      <w:sz w:val="18"/>
      <w:szCs w:val="18"/>
    </w:rPr>
  </w:style>
  <w:style w:type="paragraph" w:customStyle="1" w:styleId="tbltext">
    <w:name w:val="tbl text"/>
    <w:basedOn w:val="Bodytextplain"/>
    <w:rsid w:val="00C056CE"/>
    <w:pPr>
      <w:spacing w:before="120" w:line="240" w:lineRule="atLeast"/>
      <w:ind w:left="0"/>
    </w:pPr>
    <w:rPr>
      <w:rFonts w:ascii="Arial" w:hAnsi="Arial" w:cs="Arial"/>
      <w:sz w:val="18"/>
      <w:szCs w:val="18"/>
    </w:rPr>
  </w:style>
  <w:style w:type="paragraph" w:customStyle="1" w:styleId="Bodytextplain">
    <w:name w:val="Body text plain"/>
    <w:basedOn w:val="BodyText"/>
    <w:rsid w:val="002148BC"/>
    <w:pPr>
      <w:numPr>
        <w:numId w:val="0"/>
      </w:numPr>
      <w:ind w:left="2268"/>
      <w:jc w:val="left"/>
    </w:pPr>
  </w:style>
  <w:style w:type="paragraph" w:customStyle="1" w:styleId="tablehead">
    <w:name w:val="table head"/>
    <w:basedOn w:val="Normal"/>
    <w:rsid w:val="00C056CE"/>
    <w:pPr>
      <w:keepNext/>
      <w:spacing w:before="120" w:after="0" w:line="240" w:lineRule="atLeast"/>
    </w:pPr>
    <w:rPr>
      <w:rFonts w:ascii="Arial" w:hAnsi="Arial" w:cs="Arial"/>
      <w:b/>
      <w:sz w:val="18"/>
      <w:szCs w:val="18"/>
    </w:rPr>
  </w:style>
  <w:style w:type="paragraph" w:styleId="ListBullet2">
    <w:name w:val="List Bullet 2"/>
    <w:basedOn w:val="Normal"/>
    <w:autoRedefine/>
    <w:semiHidden/>
    <w:rsid w:val="00C056CE"/>
    <w:pPr>
      <w:numPr>
        <w:numId w:val="10"/>
      </w:numPr>
      <w:tabs>
        <w:tab w:val="clear" w:pos="851"/>
        <w:tab w:val="left" w:pos="3119"/>
      </w:tabs>
      <w:ind w:left="3118" w:hanging="425"/>
    </w:pPr>
  </w:style>
  <w:style w:type="character" w:styleId="Hyperlink">
    <w:name w:val="Hyperlink"/>
    <w:basedOn w:val="DefaultParagraphFont"/>
    <w:uiPriority w:val="99"/>
    <w:rsid w:val="00C056CE"/>
    <w:rPr>
      <w:color w:val="0000FF"/>
      <w:u w:val="single"/>
    </w:rPr>
  </w:style>
  <w:style w:type="paragraph" w:customStyle="1" w:styleId="tablebullet">
    <w:name w:val="table bullet"/>
    <w:basedOn w:val="Normal"/>
    <w:rsid w:val="00C056CE"/>
    <w:pPr>
      <w:numPr>
        <w:numId w:val="2"/>
      </w:numPr>
      <w:spacing w:before="60" w:after="0" w:line="240" w:lineRule="atLeast"/>
    </w:pPr>
    <w:rPr>
      <w:rFonts w:ascii="Arial" w:hAnsi="Arial" w:cs="Arial"/>
      <w:sz w:val="18"/>
      <w:szCs w:val="18"/>
    </w:rPr>
  </w:style>
  <w:style w:type="paragraph" w:styleId="FootnoteText">
    <w:name w:val="footnote text"/>
    <w:basedOn w:val="Normal"/>
    <w:semiHidden/>
    <w:rsid w:val="00C056CE"/>
    <w:pPr>
      <w:spacing w:after="0"/>
    </w:pPr>
    <w:rPr>
      <w:sz w:val="18"/>
    </w:rPr>
  </w:style>
  <w:style w:type="character" w:styleId="FootnoteReference">
    <w:name w:val="footnote reference"/>
    <w:basedOn w:val="DefaultParagraphFont"/>
    <w:semiHidden/>
    <w:rsid w:val="00C056CE"/>
    <w:rPr>
      <w:vertAlign w:val="superscript"/>
    </w:rPr>
  </w:style>
  <w:style w:type="paragraph" w:styleId="TOC1">
    <w:name w:val="toc 1"/>
    <w:basedOn w:val="Normal"/>
    <w:next w:val="Normal"/>
    <w:autoRedefine/>
    <w:semiHidden/>
    <w:rsid w:val="00C056CE"/>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C056CE"/>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C056CE"/>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C056CE"/>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C056CE"/>
    <w:pPr>
      <w:numPr>
        <w:numId w:val="0"/>
      </w:numPr>
    </w:pPr>
  </w:style>
  <w:style w:type="paragraph" w:customStyle="1" w:styleId="tabletitleindented">
    <w:name w:val="table title indented"/>
    <w:basedOn w:val="tabletitlefullwidth"/>
    <w:rsid w:val="00C056CE"/>
    <w:pPr>
      <w:ind w:left="3260"/>
    </w:pPr>
  </w:style>
  <w:style w:type="paragraph" w:styleId="Caption">
    <w:name w:val="caption"/>
    <w:basedOn w:val="Normal"/>
    <w:next w:val="Normal"/>
    <w:qFormat/>
    <w:rsid w:val="00C056CE"/>
    <w:pPr>
      <w:spacing w:before="120" w:after="120"/>
    </w:pPr>
    <w:rPr>
      <w:b/>
      <w:bCs/>
      <w:sz w:val="20"/>
    </w:rPr>
  </w:style>
  <w:style w:type="paragraph" w:customStyle="1" w:styleId="tabledash">
    <w:name w:val="table dash"/>
    <w:basedOn w:val="tablebullet"/>
    <w:rsid w:val="00C056CE"/>
    <w:pPr>
      <w:numPr>
        <w:numId w:val="4"/>
      </w:numPr>
    </w:pPr>
  </w:style>
  <w:style w:type="paragraph" w:customStyle="1" w:styleId="Tablebody">
    <w:name w:val="Table body"/>
    <w:basedOn w:val="Normal"/>
    <w:semiHidden/>
    <w:rsid w:val="00C056CE"/>
    <w:pPr>
      <w:overflowPunct w:val="0"/>
      <w:autoSpaceDE w:val="0"/>
      <w:autoSpaceDN w:val="0"/>
      <w:spacing w:before="40" w:after="120" w:line="260" w:lineRule="atLeast"/>
    </w:pPr>
    <w:rPr>
      <w:rFonts w:ascii="Arial" w:hAnsi="Arial" w:cs="Arial"/>
      <w:sz w:val="20"/>
      <w:lang w:eastAsia="en-US"/>
    </w:rPr>
  </w:style>
  <w:style w:type="paragraph" w:customStyle="1" w:styleId="KPbold">
    <w:name w:val="KP bold"/>
    <w:basedOn w:val="KPhead"/>
    <w:next w:val="Normal"/>
    <w:rsid w:val="00C056C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056CE"/>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C056CE"/>
    <w:rPr>
      <w:b w:val="0"/>
    </w:rPr>
  </w:style>
  <w:style w:type="character" w:customStyle="1" w:styleId="KPboldChar">
    <w:name w:val="KP bold Char"/>
    <w:basedOn w:val="DefaultParagraphFont"/>
    <w:rsid w:val="00C056CE"/>
    <w:rPr>
      <w:rFonts w:ascii="Arial" w:hAnsi="Arial" w:cs="Arial"/>
      <w:b/>
      <w:lang w:val="en-AU" w:eastAsia="en-AU" w:bidi="ar-SA"/>
    </w:rPr>
  </w:style>
  <w:style w:type="paragraph" w:customStyle="1" w:styleId="KPbullet">
    <w:name w:val="KP bullet"/>
    <w:basedOn w:val="KPtext"/>
    <w:rsid w:val="00C056CE"/>
    <w:pPr>
      <w:numPr>
        <w:numId w:val="5"/>
      </w:numPr>
      <w:tabs>
        <w:tab w:val="clear" w:pos="2807"/>
        <w:tab w:val="left" w:pos="2665"/>
      </w:tabs>
      <w:spacing w:before="100"/>
      <w:ind w:left="2665" w:hanging="284"/>
    </w:pPr>
  </w:style>
  <w:style w:type="paragraph" w:customStyle="1" w:styleId="Note">
    <w:name w:val="Note"/>
    <w:basedOn w:val="BodyText"/>
    <w:next w:val="BodyText"/>
    <w:rsid w:val="00C056CE"/>
    <w:pPr>
      <w:numPr>
        <w:numId w:val="0"/>
      </w:numPr>
      <w:spacing w:line="240" w:lineRule="atLeast"/>
      <w:ind w:left="2693"/>
    </w:pPr>
    <w:rPr>
      <w:sz w:val="18"/>
    </w:rPr>
  </w:style>
  <w:style w:type="paragraph" w:customStyle="1" w:styleId="subparaa">
    <w:name w:val="sub para (a)"/>
    <w:basedOn w:val="BodyText"/>
    <w:rsid w:val="00C056CE"/>
    <w:pPr>
      <w:numPr>
        <w:ilvl w:val="1"/>
      </w:numPr>
      <w:spacing w:before="100"/>
    </w:pPr>
  </w:style>
  <w:style w:type="paragraph" w:customStyle="1" w:styleId="Listdash">
    <w:name w:val="List dash"/>
    <w:basedOn w:val="Normal"/>
    <w:rsid w:val="00C056CE"/>
    <w:pPr>
      <w:numPr>
        <w:numId w:val="8"/>
      </w:numPr>
      <w:spacing w:before="100" w:after="0" w:line="300" w:lineRule="atLeast"/>
      <w:ind w:left="3118" w:hanging="425"/>
    </w:pPr>
  </w:style>
  <w:style w:type="paragraph" w:customStyle="1" w:styleId="Feedbackhead">
    <w:name w:val="Feedback head"/>
    <w:basedOn w:val="KPhead"/>
    <w:next w:val="Feedbackquestion"/>
    <w:rsid w:val="00C056C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056CE"/>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C056CE"/>
    <w:pPr>
      <w:numPr>
        <w:ilvl w:val="5"/>
      </w:numPr>
    </w:pPr>
  </w:style>
  <w:style w:type="paragraph" w:customStyle="1" w:styleId="figuretitle">
    <w:name w:val="figure title"/>
    <w:basedOn w:val="Normal"/>
    <w:next w:val="figuretext"/>
    <w:rsid w:val="00C056CE"/>
    <w:pPr>
      <w:keepNext/>
      <w:spacing w:before="360" w:after="60"/>
      <w:ind w:left="2268" w:hanging="1276"/>
    </w:pPr>
    <w:rPr>
      <w:rFonts w:ascii="Arial" w:hAnsi="Arial"/>
      <w:b/>
      <w:sz w:val="20"/>
    </w:rPr>
  </w:style>
  <w:style w:type="paragraph" w:customStyle="1" w:styleId="subsubparai">
    <w:name w:val="sub sub para (i)"/>
    <w:basedOn w:val="subparaa"/>
    <w:rsid w:val="00C056CE"/>
    <w:pPr>
      <w:numPr>
        <w:ilvl w:val="2"/>
      </w:numPr>
    </w:pPr>
  </w:style>
  <w:style w:type="paragraph" w:customStyle="1" w:styleId="DescriptorRG">
    <w:name w:val="Descriptor RG"/>
    <w:basedOn w:val="Normal"/>
    <w:next w:val="Normal"/>
    <w:rsid w:val="00C056CE"/>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iptext">
    <w:name w:val="Tip text"/>
    <w:basedOn w:val="Fronttext"/>
    <w:next w:val="BodyText"/>
    <w:rsid w:val="005B4EF1"/>
    <w:rPr>
      <w:vanish/>
      <w:color w:val="800000"/>
    </w:rPr>
  </w:style>
  <w:style w:type="paragraph" w:customStyle="1" w:styleId="DescriptorCP">
    <w:name w:val="Descriptor CP"/>
    <w:basedOn w:val="DescriptorRG"/>
    <w:next w:val="Normal"/>
    <w:rsid w:val="00C056C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C056CE"/>
    <w:pPr>
      <w:spacing w:line="260" w:lineRule="atLeast"/>
    </w:pPr>
    <w:rPr>
      <w:rFonts w:ascii="Arial" w:hAnsi="Arial" w:cs="Arial"/>
      <w:sz w:val="20"/>
      <w:szCs w:val="20"/>
    </w:rPr>
  </w:style>
  <w:style w:type="paragraph" w:customStyle="1" w:styleId="Frontbullet">
    <w:name w:val="Front bullet"/>
    <w:basedOn w:val="Fronttext"/>
    <w:rsid w:val="00C056CE"/>
    <w:pPr>
      <w:numPr>
        <w:ilvl w:val="5"/>
        <w:numId w:val="9"/>
      </w:numPr>
      <w:spacing w:before="120"/>
    </w:pPr>
  </w:style>
  <w:style w:type="paragraph" w:customStyle="1" w:styleId="Frontheading">
    <w:name w:val="Front heading"/>
    <w:basedOn w:val="Heading3"/>
    <w:next w:val="Fronttext"/>
    <w:rsid w:val="00C056CE"/>
  </w:style>
  <w:style w:type="paragraph" w:customStyle="1" w:styleId="Blockquote">
    <w:name w:val="Block quote"/>
    <w:basedOn w:val="Bodytextplain"/>
    <w:rsid w:val="00C056CE"/>
    <w:pPr>
      <w:spacing w:before="100" w:line="240" w:lineRule="auto"/>
      <w:ind w:left="2693"/>
    </w:pPr>
    <w:rPr>
      <w:sz w:val="21"/>
      <w:szCs w:val="21"/>
    </w:rPr>
  </w:style>
  <w:style w:type="paragraph" w:customStyle="1" w:styleId="Heading2noToC">
    <w:name w:val="Heading 2 no ToC"/>
    <w:basedOn w:val="Bodytextplain"/>
    <w:next w:val="Bodytextplain"/>
    <w:rsid w:val="00C056CE"/>
    <w:pPr>
      <w:spacing w:before="720"/>
      <w:ind w:left="0"/>
    </w:pPr>
    <w:rPr>
      <w:rFonts w:ascii="Arial" w:hAnsi="Arial" w:cs="Arial"/>
      <w:b/>
      <w:sz w:val="28"/>
      <w:szCs w:val="28"/>
    </w:rPr>
  </w:style>
  <w:style w:type="paragraph" w:customStyle="1" w:styleId="Proposalhead">
    <w:name w:val="Proposal head"/>
    <w:basedOn w:val="Bodytextplain"/>
    <w:next w:val="Proposaltext"/>
    <w:rsid w:val="00C056C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056CE"/>
    <w:pPr>
      <w:numPr>
        <w:ilvl w:val="1"/>
        <w:numId w:val="6"/>
      </w:numPr>
      <w:spacing w:line="260" w:lineRule="atLeast"/>
    </w:pPr>
    <w:rPr>
      <w:rFonts w:ascii="Arial" w:hAnsi="Arial" w:cs="Arial"/>
      <w:sz w:val="20"/>
      <w:szCs w:val="20"/>
    </w:rPr>
  </w:style>
  <w:style w:type="paragraph" w:customStyle="1" w:styleId="Proposalsubpara">
    <w:name w:val="Proposal sub para"/>
    <w:basedOn w:val="Proposaltext"/>
    <w:rsid w:val="00C056CE"/>
    <w:pPr>
      <w:numPr>
        <w:ilvl w:val="2"/>
      </w:numPr>
      <w:spacing w:before="100"/>
    </w:pPr>
  </w:style>
  <w:style w:type="paragraph" w:customStyle="1" w:styleId="Proposalsubsubpara">
    <w:name w:val="Proposal sub sub para"/>
    <w:basedOn w:val="Proposaltext"/>
    <w:rsid w:val="00C056CE"/>
    <w:pPr>
      <w:numPr>
        <w:ilvl w:val="3"/>
      </w:numPr>
      <w:spacing w:before="100"/>
    </w:pPr>
  </w:style>
  <w:style w:type="paragraph" w:customStyle="1" w:styleId="Proposalnote">
    <w:name w:val="Proposal note"/>
    <w:basedOn w:val="Note"/>
    <w:rsid w:val="00C056CE"/>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C056CE"/>
    <w:rPr>
      <w:sz w:val="16"/>
      <w:szCs w:val="16"/>
    </w:rPr>
  </w:style>
  <w:style w:type="paragraph" w:styleId="CommentText">
    <w:name w:val="annotation text"/>
    <w:basedOn w:val="Normal"/>
    <w:link w:val="CommentTextChar"/>
    <w:semiHidden/>
    <w:rsid w:val="00C056CE"/>
    <w:rPr>
      <w:sz w:val="20"/>
    </w:rPr>
  </w:style>
  <w:style w:type="paragraph" w:customStyle="1" w:styleId="issueddate">
    <w:name w:val="issued date"/>
    <w:rsid w:val="00C056C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C056CE"/>
    <w:rPr>
      <w:rFonts w:ascii="Tahoma" w:hAnsi="Tahoma" w:cs="Tahoma"/>
      <w:sz w:val="16"/>
      <w:szCs w:val="16"/>
    </w:rPr>
  </w:style>
  <w:style w:type="paragraph" w:customStyle="1" w:styleId="boxbullet">
    <w:name w:val="box bullet"/>
    <w:basedOn w:val="Frontbullet"/>
    <w:rsid w:val="00C056CE"/>
    <w:pPr>
      <w:numPr>
        <w:ilvl w:val="0"/>
        <w:numId w:val="11"/>
      </w:numPr>
      <w:spacing w:before="60"/>
    </w:pPr>
    <w:rPr>
      <w:lang w:val="en-US"/>
    </w:rPr>
  </w:style>
  <w:style w:type="paragraph" w:customStyle="1" w:styleId="boxtext">
    <w:name w:val="box text"/>
    <w:basedOn w:val="Fronttext"/>
    <w:rsid w:val="00C056CE"/>
    <w:pPr>
      <w:spacing w:before="120"/>
      <w:ind w:left="0"/>
    </w:pPr>
  </w:style>
  <w:style w:type="table" w:styleId="TableGrid">
    <w:name w:val="Table Grid"/>
    <w:basedOn w:val="TableNormal"/>
    <w:uiPriority w:val="59"/>
    <w:rsid w:val="00D165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E51DD"/>
    <w:rPr>
      <w:b/>
      <w:bCs/>
    </w:rPr>
  </w:style>
  <w:style w:type="character" w:customStyle="1" w:styleId="CommentTextChar">
    <w:name w:val="Comment Text Char"/>
    <w:basedOn w:val="DefaultParagraphFont"/>
    <w:link w:val="CommentText"/>
    <w:semiHidden/>
    <w:rsid w:val="000E51DD"/>
  </w:style>
  <w:style w:type="character" w:customStyle="1" w:styleId="CommentSubjectChar">
    <w:name w:val="Comment Subject Char"/>
    <w:basedOn w:val="CommentTextChar"/>
    <w:link w:val="CommentSubject"/>
    <w:rsid w:val="000E51DD"/>
  </w:style>
  <w:style w:type="paragraph" w:styleId="Revision">
    <w:name w:val="Revision"/>
    <w:hidden/>
    <w:uiPriority w:val="99"/>
    <w:semiHidden/>
    <w:rsid w:val="00796134"/>
    <w:rPr>
      <w:sz w:val="22"/>
    </w:rPr>
  </w:style>
  <w:style w:type="paragraph" w:styleId="ListParagraph">
    <w:name w:val="List Paragraph"/>
    <w:basedOn w:val="Normal"/>
    <w:uiPriority w:val="34"/>
    <w:qFormat/>
    <w:rsid w:val="008646A8"/>
    <w:pPr>
      <w:ind w:left="720"/>
      <w:contextualSpacing/>
    </w:pPr>
  </w:style>
  <w:style w:type="paragraph" w:customStyle="1" w:styleId="MIRHeading2Part">
    <w:name w:val="MIR Heading 2 (Part)"/>
    <w:basedOn w:val="Heading2"/>
    <w:next w:val="Normal"/>
    <w:link w:val="MIRHeading2Char"/>
    <w:qFormat/>
    <w:rsid w:val="0038145F"/>
    <w:pPr>
      <w:tabs>
        <w:tab w:val="left" w:pos="851"/>
      </w:tabs>
      <w:spacing w:before="480"/>
      <w:ind w:left="1134" w:hanging="1134"/>
    </w:pPr>
  </w:style>
  <w:style w:type="paragraph" w:customStyle="1" w:styleId="MIRHeading3Rule">
    <w:name w:val="MIR Heading 3 (Rule)"/>
    <w:basedOn w:val="Heading3"/>
    <w:next w:val="Normal"/>
    <w:link w:val="MIRHeading3RuleChar"/>
    <w:qFormat/>
    <w:rsid w:val="0038145F"/>
    <w:pPr>
      <w:ind w:left="851" w:hanging="851"/>
    </w:pPr>
  </w:style>
  <w:style w:type="paragraph" w:customStyle="1" w:styleId="MIRBodyText">
    <w:name w:val="MIR Body Text"/>
    <w:basedOn w:val="Bodytextplain"/>
    <w:link w:val="MIRBodyTextChar"/>
    <w:qFormat/>
    <w:rsid w:val="0038145F"/>
    <w:pPr>
      <w:numPr>
        <w:numId w:val="12"/>
      </w:numPr>
      <w:tabs>
        <w:tab w:val="left" w:pos="2205"/>
      </w:tabs>
    </w:pPr>
  </w:style>
  <w:style w:type="paragraph" w:customStyle="1" w:styleId="MIRCPNote">
    <w:name w:val="MIR CP Note"/>
    <w:basedOn w:val="Normal"/>
    <w:link w:val="MIRCPNoteChar"/>
    <w:qFormat/>
    <w:rsid w:val="0038145F"/>
    <w:pPr>
      <w:pBdr>
        <w:top w:val="single" w:sz="4" w:space="1" w:color="auto"/>
        <w:left w:val="single" w:sz="4" w:space="4" w:color="auto"/>
        <w:bottom w:val="single" w:sz="4" w:space="1" w:color="auto"/>
        <w:right w:val="single" w:sz="4" w:space="4" w:color="auto"/>
      </w:pBdr>
      <w:spacing w:before="100" w:after="0" w:line="300" w:lineRule="atLeast"/>
      <w:ind w:left="851"/>
    </w:pPr>
    <w:rPr>
      <w:noProof/>
      <w:szCs w:val="22"/>
    </w:rPr>
  </w:style>
  <w:style w:type="character" w:customStyle="1" w:styleId="MIRCPNoteChar">
    <w:name w:val="MIR CP Note Char"/>
    <w:basedOn w:val="DefaultParagraphFont"/>
    <w:link w:val="MIRCPNote"/>
    <w:rsid w:val="0038145F"/>
    <w:rPr>
      <w:noProof/>
      <w:sz w:val="22"/>
      <w:szCs w:val="22"/>
    </w:rPr>
  </w:style>
  <w:style w:type="paragraph" w:customStyle="1" w:styleId="MIRHeading1Chapter">
    <w:name w:val="MIR Heading 1 (Chapter)"/>
    <w:basedOn w:val="Heading1nonumber"/>
    <w:next w:val="Normal"/>
    <w:link w:val="MIRHeading1Char"/>
    <w:qFormat/>
    <w:rsid w:val="00434F28"/>
    <w:pPr>
      <w:spacing w:after="0"/>
    </w:pPr>
  </w:style>
  <w:style w:type="paragraph" w:customStyle="1" w:styleId="MIRNote">
    <w:name w:val="MIR Note"/>
    <w:basedOn w:val="Note"/>
    <w:link w:val="MIRNoteChar"/>
    <w:qFormat/>
    <w:rsid w:val="008F1826"/>
    <w:pPr>
      <w:spacing w:before="120" w:after="120"/>
      <w:ind w:left="1701"/>
    </w:pPr>
    <w:rPr>
      <w:rFonts w:eastAsia="Calibri"/>
      <w:lang w:eastAsia="en-US"/>
    </w:rPr>
  </w:style>
  <w:style w:type="paragraph" w:customStyle="1" w:styleId="MIRSubpara">
    <w:name w:val="MIR Subpara"/>
    <w:basedOn w:val="Bodytextplain"/>
    <w:link w:val="MIRSubparaChar"/>
    <w:qFormat/>
    <w:rsid w:val="00110DE9"/>
    <w:pPr>
      <w:numPr>
        <w:numId w:val="15"/>
      </w:numPr>
      <w:spacing w:before="100"/>
    </w:pPr>
    <w:rPr>
      <w:noProof/>
    </w:rPr>
  </w:style>
  <w:style w:type="character" w:customStyle="1" w:styleId="MIRSubparaChar">
    <w:name w:val="MIR Subpara Char"/>
    <w:basedOn w:val="DefaultParagraphFont"/>
    <w:link w:val="MIRSubpara"/>
    <w:rsid w:val="00110DE9"/>
    <w:rPr>
      <w:noProof/>
      <w:sz w:val="22"/>
      <w:szCs w:val="22"/>
    </w:rPr>
  </w:style>
  <w:style w:type="paragraph" w:customStyle="1" w:styleId="MIRSubsubpara">
    <w:name w:val="MIR Subsubpara"/>
    <w:basedOn w:val="subsubparai"/>
    <w:link w:val="MIRSubsubparaChar"/>
    <w:qFormat/>
    <w:rsid w:val="004A456F"/>
    <w:pPr>
      <w:numPr>
        <w:ilvl w:val="0"/>
        <w:numId w:val="0"/>
      </w:numPr>
      <w:tabs>
        <w:tab w:val="num" w:pos="1701"/>
      </w:tabs>
      <w:ind w:left="1701" w:hanging="425"/>
      <w:jc w:val="left"/>
    </w:pPr>
  </w:style>
  <w:style w:type="character" w:customStyle="1" w:styleId="MIRSubsubparaChar">
    <w:name w:val="MIR Subsubpara Char"/>
    <w:basedOn w:val="DefaultParagraphFont"/>
    <w:link w:val="MIRSubsubpara"/>
    <w:rsid w:val="004A456F"/>
    <w:rPr>
      <w:sz w:val="22"/>
      <w:szCs w:val="22"/>
    </w:rPr>
  </w:style>
  <w:style w:type="character" w:customStyle="1" w:styleId="MIRHeading3RuleChar">
    <w:name w:val="MIR Heading 3 (Rule) Char"/>
    <w:basedOn w:val="DefaultParagraphFont"/>
    <w:link w:val="MIRHeading3Rule"/>
    <w:rsid w:val="00BC23E0"/>
    <w:rPr>
      <w:rFonts w:ascii="Arial" w:hAnsi="Arial" w:cs="Arial"/>
      <w:b/>
      <w:sz w:val="24"/>
      <w:szCs w:val="24"/>
    </w:rPr>
  </w:style>
  <w:style w:type="character" w:customStyle="1" w:styleId="MIRHeading1Char">
    <w:name w:val="MIR Heading 1 Char"/>
    <w:basedOn w:val="DefaultParagraphFont"/>
    <w:link w:val="MIRHeading1Chapter"/>
    <w:rsid w:val="00BC23E0"/>
    <w:rPr>
      <w:rFonts w:ascii="Arial" w:hAnsi="Arial" w:cs="Arial"/>
      <w:b/>
      <w:kern w:val="28"/>
      <w:sz w:val="36"/>
      <w:szCs w:val="36"/>
    </w:rPr>
  </w:style>
  <w:style w:type="paragraph" w:customStyle="1" w:styleId="MIRsubsubsubpara">
    <w:name w:val="MIR subsubsubpara"/>
    <w:basedOn w:val="subsubparai"/>
    <w:link w:val="MIRsubsubsubparaChar"/>
    <w:qFormat/>
    <w:rsid w:val="00BC23E0"/>
    <w:pPr>
      <w:numPr>
        <w:ilvl w:val="0"/>
        <w:numId w:val="0"/>
      </w:numPr>
      <w:tabs>
        <w:tab w:val="num" w:pos="2126"/>
      </w:tabs>
      <w:ind w:left="2126" w:hanging="425"/>
    </w:pPr>
  </w:style>
  <w:style w:type="character" w:customStyle="1" w:styleId="MIRBodyTextChar">
    <w:name w:val="MIR Body Text Char"/>
    <w:basedOn w:val="DefaultParagraphFont"/>
    <w:link w:val="MIRBodyText"/>
    <w:rsid w:val="00BC23E0"/>
    <w:rPr>
      <w:sz w:val="22"/>
      <w:szCs w:val="22"/>
    </w:rPr>
  </w:style>
  <w:style w:type="character" w:customStyle="1" w:styleId="MIRsubsubsubparaChar">
    <w:name w:val="MIR subsubsubpara Char"/>
    <w:basedOn w:val="DefaultParagraphFont"/>
    <w:link w:val="MIRsubsubsubpara"/>
    <w:rsid w:val="00BC23E0"/>
    <w:rPr>
      <w:sz w:val="22"/>
      <w:szCs w:val="22"/>
    </w:rPr>
  </w:style>
  <w:style w:type="paragraph" w:customStyle="1" w:styleId="Default">
    <w:name w:val="Default"/>
    <w:rsid w:val="00C643A1"/>
    <w:pPr>
      <w:autoSpaceDE w:val="0"/>
      <w:autoSpaceDN w:val="0"/>
      <w:adjustRightInd w:val="0"/>
    </w:pPr>
    <w:rPr>
      <w:rFonts w:ascii="Arial" w:hAnsi="Arial" w:cs="Arial"/>
      <w:color w:val="000000"/>
      <w:sz w:val="24"/>
      <w:szCs w:val="24"/>
    </w:rPr>
  </w:style>
  <w:style w:type="character" w:customStyle="1" w:styleId="MIRHeading2Char">
    <w:name w:val="MIR Heading 2 Char"/>
    <w:basedOn w:val="DefaultParagraphFont"/>
    <w:link w:val="MIRHeading2Part"/>
    <w:rsid w:val="000755B8"/>
    <w:rPr>
      <w:rFonts w:ascii="Arial" w:hAnsi="Arial" w:cs="Arial"/>
      <w:b/>
      <w:sz w:val="28"/>
      <w:szCs w:val="28"/>
    </w:rPr>
  </w:style>
  <w:style w:type="character" w:customStyle="1" w:styleId="Heading1nonumberChar">
    <w:name w:val="Heading 1 no number Char"/>
    <w:basedOn w:val="DefaultParagraphFont"/>
    <w:link w:val="Heading1nonumber"/>
    <w:rsid w:val="000755B8"/>
    <w:rPr>
      <w:rFonts w:ascii="Arial" w:hAnsi="Arial" w:cs="Arial"/>
      <w:b/>
      <w:kern w:val="28"/>
      <w:sz w:val="36"/>
      <w:szCs w:val="36"/>
    </w:rPr>
  </w:style>
  <w:style w:type="paragraph" w:customStyle="1" w:styleId="MIRPenalty">
    <w:name w:val="MIR Penalty"/>
    <w:basedOn w:val="Feedbackhead"/>
    <w:link w:val="MIRPenaltyChar"/>
    <w:qFormat/>
    <w:rsid w:val="007C1FC1"/>
    <w:pPr>
      <w:keepNext w:val="0"/>
      <w:widowControl/>
      <w:pBdr>
        <w:top w:val="none" w:sz="0" w:space="0" w:color="auto"/>
        <w:left w:val="none" w:sz="0" w:space="0" w:color="auto"/>
      </w:pBdr>
      <w:tabs>
        <w:tab w:val="left" w:pos="10773"/>
      </w:tabs>
      <w:adjustRightInd/>
      <w:spacing w:before="360" w:line="240" w:lineRule="auto"/>
      <w:ind w:left="851" w:right="5103"/>
      <w:jc w:val="left"/>
      <w:textAlignment w:val="auto"/>
    </w:pPr>
    <w:rPr>
      <w:rFonts w:ascii="Times New Roman" w:hAnsi="Times New Roman" w:cs="Times New Roman"/>
      <w:i w:val="0"/>
      <w:sz w:val="22"/>
      <w:szCs w:val="22"/>
      <w:lang w:val="en-GB"/>
    </w:rPr>
  </w:style>
  <w:style w:type="character" w:customStyle="1" w:styleId="MIRPenaltyChar">
    <w:name w:val="MIR Penalty Char"/>
    <w:basedOn w:val="DefaultParagraphFont"/>
    <w:link w:val="MIRPenalty"/>
    <w:rsid w:val="007C1FC1"/>
    <w:rPr>
      <w:sz w:val="22"/>
      <w:szCs w:val="22"/>
      <w:lang w:val="en-GB"/>
    </w:rPr>
  </w:style>
  <w:style w:type="character" w:customStyle="1" w:styleId="FooterChar">
    <w:name w:val="Footer Char"/>
    <w:basedOn w:val="DefaultParagraphFont"/>
    <w:link w:val="Footer"/>
    <w:semiHidden/>
    <w:rsid w:val="007C1FC1"/>
    <w:rPr>
      <w:rFonts w:ascii="Arial" w:hAnsi="Arial"/>
      <w:sz w:val="16"/>
      <w:szCs w:val="16"/>
    </w:rPr>
  </w:style>
  <w:style w:type="paragraph" w:customStyle="1" w:styleId="MIRHeading3">
    <w:name w:val="MIR Heading 3"/>
    <w:basedOn w:val="Heading3"/>
    <w:link w:val="MIRHeading3Char"/>
    <w:qFormat/>
    <w:rsid w:val="001273EF"/>
    <w:pPr>
      <w:widowControl/>
      <w:adjustRightInd/>
      <w:ind w:left="851" w:hanging="851"/>
      <w:jc w:val="left"/>
      <w:textAlignment w:val="auto"/>
    </w:pPr>
  </w:style>
  <w:style w:type="character" w:customStyle="1" w:styleId="MIRHeading3Char">
    <w:name w:val="MIR Heading 3 Char"/>
    <w:basedOn w:val="DefaultParagraphFont"/>
    <w:link w:val="MIRHeading3"/>
    <w:rsid w:val="001273EF"/>
    <w:rPr>
      <w:rFonts w:ascii="Arial" w:hAnsi="Arial" w:cs="Arial"/>
      <w:b/>
      <w:sz w:val="24"/>
      <w:szCs w:val="24"/>
    </w:rPr>
  </w:style>
  <w:style w:type="character" w:customStyle="1" w:styleId="MIRNoteChar">
    <w:name w:val="MIR Note Char"/>
    <w:basedOn w:val="DefaultParagraphFont"/>
    <w:link w:val="MIRNote"/>
    <w:rsid w:val="001273EF"/>
    <w:rPr>
      <w:rFonts w:eastAsia="Calibri"/>
      <w:sz w:val="18"/>
      <w:szCs w:val="22"/>
      <w:lang w:eastAsia="en-US"/>
    </w:rPr>
  </w:style>
  <w:style w:type="character" w:customStyle="1" w:styleId="MIRBodyTextChar1">
    <w:name w:val="MIR Body Text Char1"/>
    <w:basedOn w:val="DefaultParagraphFont"/>
    <w:rsid w:val="001273EF"/>
    <w:rPr>
      <w:sz w:val="22"/>
      <w:szCs w:val="22"/>
    </w:rPr>
  </w:style>
  <w:style w:type="paragraph" w:customStyle="1" w:styleId="mirbodytext0">
    <w:name w:val="mirbodytext"/>
    <w:basedOn w:val="Normal"/>
    <w:rsid w:val="00E13C9B"/>
    <w:pPr>
      <w:widowControl/>
      <w:adjustRightInd/>
      <w:spacing w:before="100" w:beforeAutospacing="1" w:after="100" w:afterAutospacing="1" w:line="240" w:lineRule="auto"/>
      <w:jc w:val="left"/>
      <w:textAlignment w:val="auto"/>
    </w:pPr>
    <w:rPr>
      <w:sz w:val="24"/>
      <w:szCs w:val="24"/>
    </w:rPr>
  </w:style>
  <w:style w:type="paragraph" w:customStyle="1" w:styleId="mirsubpara0">
    <w:name w:val="mirsubpara"/>
    <w:basedOn w:val="Normal"/>
    <w:rsid w:val="00E13C9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875971768">
      <w:bodyDiv w:val="1"/>
      <w:marLeft w:val="0"/>
      <w:marRight w:val="0"/>
      <w:marTop w:val="0"/>
      <w:marBottom w:val="0"/>
      <w:divBdr>
        <w:top w:val="none" w:sz="0" w:space="0" w:color="auto"/>
        <w:left w:val="none" w:sz="0" w:space="0" w:color="auto"/>
        <w:bottom w:val="none" w:sz="0" w:space="0" w:color="auto"/>
        <w:right w:val="none" w:sz="0" w:space="0" w:color="auto"/>
      </w:divBdr>
      <w:divsChild>
        <w:div w:id="1491601183">
          <w:marLeft w:val="0"/>
          <w:marRight w:val="0"/>
          <w:marTop w:val="0"/>
          <w:marBottom w:val="0"/>
          <w:divBdr>
            <w:top w:val="none" w:sz="0" w:space="0" w:color="auto"/>
            <w:left w:val="none" w:sz="0" w:space="0" w:color="auto"/>
            <w:bottom w:val="none" w:sz="0" w:space="0" w:color="auto"/>
            <w:right w:val="none" w:sz="0" w:space="0" w:color="auto"/>
          </w:divBdr>
          <w:divsChild>
            <w:div w:id="916522497">
              <w:marLeft w:val="0"/>
              <w:marRight w:val="0"/>
              <w:marTop w:val="0"/>
              <w:marBottom w:val="0"/>
              <w:divBdr>
                <w:top w:val="none" w:sz="0" w:space="0" w:color="auto"/>
                <w:left w:val="none" w:sz="0" w:space="0" w:color="auto"/>
                <w:bottom w:val="none" w:sz="0" w:space="0" w:color="auto"/>
                <w:right w:val="none" w:sz="0" w:space="0" w:color="auto"/>
              </w:divBdr>
              <w:divsChild>
                <w:div w:id="1148716037">
                  <w:marLeft w:val="0"/>
                  <w:marRight w:val="0"/>
                  <w:marTop w:val="0"/>
                  <w:marBottom w:val="0"/>
                  <w:divBdr>
                    <w:top w:val="none" w:sz="0" w:space="0" w:color="auto"/>
                    <w:left w:val="none" w:sz="0" w:space="0" w:color="auto"/>
                    <w:bottom w:val="none" w:sz="0" w:space="0" w:color="auto"/>
                    <w:right w:val="none" w:sz="0" w:space="0" w:color="auto"/>
                  </w:divBdr>
                  <w:divsChild>
                    <w:div w:id="77870599">
                      <w:marLeft w:val="0"/>
                      <w:marRight w:val="0"/>
                      <w:marTop w:val="0"/>
                      <w:marBottom w:val="0"/>
                      <w:divBdr>
                        <w:top w:val="none" w:sz="0" w:space="0" w:color="auto"/>
                        <w:left w:val="none" w:sz="0" w:space="0" w:color="auto"/>
                        <w:bottom w:val="none" w:sz="0" w:space="0" w:color="auto"/>
                        <w:right w:val="none" w:sz="0" w:space="0" w:color="auto"/>
                      </w:divBdr>
                      <w:divsChild>
                        <w:div w:id="1985622206">
                          <w:marLeft w:val="0"/>
                          <w:marRight w:val="0"/>
                          <w:marTop w:val="0"/>
                          <w:marBottom w:val="0"/>
                          <w:divBdr>
                            <w:top w:val="single" w:sz="6" w:space="0" w:color="828282"/>
                            <w:left w:val="single" w:sz="6" w:space="0" w:color="828282"/>
                            <w:bottom w:val="single" w:sz="6" w:space="0" w:color="828282"/>
                            <w:right w:val="single" w:sz="6" w:space="0" w:color="828282"/>
                          </w:divBdr>
                          <w:divsChild>
                            <w:div w:id="1414620587">
                              <w:marLeft w:val="0"/>
                              <w:marRight w:val="0"/>
                              <w:marTop w:val="0"/>
                              <w:marBottom w:val="0"/>
                              <w:divBdr>
                                <w:top w:val="none" w:sz="0" w:space="0" w:color="auto"/>
                                <w:left w:val="none" w:sz="0" w:space="0" w:color="auto"/>
                                <w:bottom w:val="none" w:sz="0" w:space="0" w:color="auto"/>
                                <w:right w:val="none" w:sz="0" w:space="0" w:color="auto"/>
                              </w:divBdr>
                              <w:divsChild>
                                <w:div w:id="1031955622">
                                  <w:marLeft w:val="0"/>
                                  <w:marRight w:val="0"/>
                                  <w:marTop w:val="0"/>
                                  <w:marBottom w:val="0"/>
                                  <w:divBdr>
                                    <w:top w:val="none" w:sz="0" w:space="0" w:color="auto"/>
                                    <w:left w:val="none" w:sz="0" w:space="0" w:color="auto"/>
                                    <w:bottom w:val="none" w:sz="0" w:space="0" w:color="auto"/>
                                    <w:right w:val="none" w:sz="0" w:space="0" w:color="auto"/>
                                  </w:divBdr>
                                  <w:divsChild>
                                    <w:div w:id="1090539560">
                                      <w:marLeft w:val="0"/>
                                      <w:marRight w:val="0"/>
                                      <w:marTop w:val="0"/>
                                      <w:marBottom w:val="0"/>
                                      <w:divBdr>
                                        <w:top w:val="none" w:sz="0" w:space="0" w:color="auto"/>
                                        <w:left w:val="none" w:sz="0" w:space="0" w:color="auto"/>
                                        <w:bottom w:val="none" w:sz="0" w:space="0" w:color="auto"/>
                                        <w:right w:val="none" w:sz="0" w:space="0" w:color="auto"/>
                                      </w:divBdr>
                                      <w:divsChild>
                                        <w:div w:id="776221004">
                                          <w:marLeft w:val="0"/>
                                          <w:marRight w:val="0"/>
                                          <w:marTop w:val="0"/>
                                          <w:marBottom w:val="0"/>
                                          <w:divBdr>
                                            <w:top w:val="none" w:sz="0" w:space="0" w:color="auto"/>
                                            <w:left w:val="none" w:sz="0" w:space="0" w:color="auto"/>
                                            <w:bottom w:val="none" w:sz="0" w:space="0" w:color="auto"/>
                                            <w:right w:val="none" w:sz="0" w:space="0" w:color="auto"/>
                                          </w:divBdr>
                                          <w:divsChild>
                                            <w:div w:id="632711747">
                                              <w:marLeft w:val="0"/>
                                              <w:marRight w:val="0"/>
                                              <w:marTop w:val="0"/>
                                              <w:marBottom w:val="0"/>
                                              <w:divBdr>
                                                <w:top w:val="none" w:sz="0" w:space="0" w:color="auto"/>
                                                <w:left w:val="none" w:sz="0" w:space="0" w:color="auto"/>
                                                <w:bottom w:val="none" w:sz="0" w:space="0" w:color="auto"/>
                                                <w:right w:val="none" w:sz="0" w:space="0" w:color="auto"/>
                                              </w:divBdr>
                                              <w:divsChild>
                                                <w:div w:id="1517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PB%20Forms\ASIC%20Reg%20Doc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D2918-6044-4091-9FAE-F1E72242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Template>
  <TotalTime>68</TotalTime>
  <Pages>6</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Consultation Paper CP 161 Proposed ASIC market integrity rules: Capital, reporting and margins (ASX 24 market): Appendix 2</vt:lpstr>
    </vt:vector>
  </TitlesOfParts>
  <Company/>
  <LinksUpToDate>false</LinksUpToDate>
  <CharactersWithSpaces>8006</CharactersWithSpaces>
  <SharedDoc>false</SharedDoc>
  <HyperlinkBase/>
  <HLinks>
    <vt:vector size="6" baseType="variant">
      <vt:variant>
        <vt:i4>3145825</vt:i4>
      </vt:variant>
      <vt:variant>
        <vt:i4>0</vt:i4>
      </vt:variant>
      <vt:variant>
        <vt:i4>0</vt:i4>
      </vt:variant>
      <vt:variant>
        <vt:i4>5</vt:i4>
      </vt:variant>
      <vt:variant>
        <vt:lpwstr>http://www.asic.gov.au/markets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CP 161 Proposed ASIC market integrity rules: Capital, reporting and margins (ASX 24 market): Appendix 2</dc:title>
  <dc:subject>Consultation Paper CP 161 Proposed ASIC market integrity rules: Capital, reporting and margins (ASX 24 market): Appendix 2</dc:subject>
  <dc:creator>ASIC</dc:creator>
  <cp:keywords>Consultation Paper CP 161 Proposed ASIC market integrity rules: Capital, reporting and margins (ASX 24 market): Appendix 2</cp:keywords>
  <dc:description/>
  <cp:lastModifiedBy>Anastasia Zafeirakopoulos</cp:lastModifiedBy>
  <cp:revision>4</cp:revision>
  <cp:lastPrinted>2011-10-07T04:18:00Z</cp:lastPrinted>
  <dcterms:created xsi:type="dcterms:W3CDTF">2011-10-07T04:16:00Z</dcterms:created>
  <dcterms:modified xsi:type="dcterms:W3CDTF">2011-10-26T23:14:00Z</dcterms:modified>
  <cp:category>consultation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CONSULTATION PAPER</vt:lpwstr>
  </property>
  <property fmtid="{D5CDD505-2E9C-101B-9397-08002B2CF9AE}" pid="3" name="Document title">
    <vt:lpwstr>ASIC Market integrity (Chi-X Australia Market) Amendment 2011 (No. 2)</vt:lpwstr>
  </property>
  <property fmtid="{D5CDD505-2E9C-101B-9397-08002B2CF9AE}" pid="4" name="Document num">
    <vt:lpwstr>166</vt:lpwstr>
  </property>
  <property fmtid="{D5CDD505-2E9C-101B-9397-08002B2CF9AE}" pid="5" name="Issue date">
    <vt:lpwstr>August 2011</vt:lpwstr>
  </property>
  <property fmtid="{D5CDD505-2E9C-101B-9397-08002B2CF9AE}" pid="6" name="Source file type">
    <vt:lpwstr>CP</vt:lpwstr>
  </property>
  <property fmtid="{D5CDD505-2E9C-101B-9397-08002B2CF9AE}" pid="7" name="Objective-Id">
    <vt:lpwstr>A1253576</vt:lpwstr>
  </property>
  <property fmtid="{D5CDD505-2E9C-101B-9397-08002B2CF9AE}" pid="8" name="Objective-Title">
    <vt:lpwstr>Chi-X MIR Amendment No. 2 - Final - 20111007</vt:lpwstr>
  </property>
  <property fmtid="{D5CDD505-2E9C-101B-9397-08002B2CF9AE}" pid="9" name="Objective-Comment">
    <vt:lpwstr/>
  </property>
  <property fmtid="{D5CDD505-2E9C-101B-9397-08002B2CF9AE}" pid="10" name="Objective-CreationStamp">
    <vt:filetime>2011-10-07T04:16:14Z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2011-10-26T23:14:20Z</vt:filetime>
  </property>
  <property fmtid="{D5CDD505-2E9C-101B-9397-08002B2CF9AE}" pid="14" name="Objective-ModificationStamp">
    <vt:filetime>2011-10-26T23:14:21Z</vt:filetime>
  </property>
  <property fmtid="{D5CDD505-2E9C-101B-9397-08002B2CF9AE}" pid="15" name="Objective-Owner">
    <vt:lpwstr>Anastasia Zafeirakopoulos</vt:lpwstr>
  </property>
  <property fmtid="{D5CDD505-2E9C-101B-9397-08002B2CF9AE}" pid="16" name="Objective-Path">
    <vt:lpwstr>ASIC BCS:STRATEGIC MANAGEMENT:Business Improvement Projects:Programme Management:Market Competition:04. Project: Regulatory Framework:Consequential changes to ASX and Chi-X MIRs:Rule Amendments:</vt:lpwstr>
  </property>
  <property fmtid="{D5CDD505-2E9C-101B-9397-08002B2CF9AE}" pid="17" name="Objective-Parent">
    <vt:lpwstr>Rule Amendments</vt:lpwstr>
  </property>
  <property fmtid="{D5CDD505-2E9C-101B-9397-08002B2CF9AE}" pid="18" name="Objective-State">
    <vt:lpwstr>Published</vt:lpwstr>
  </property>
  <property fmtid="{D5CDD505-2E9C-101B-9397-08002B2CF9AE}" pid="19" name="Objective-Version">
    <vt:lpwstr>2.0</vt:lpwstr>
  </property>
  <property fmtid="{D5CDD505-2E9C-101B-9397-08002B2CF9AE}" pid="20" name="Objective-VersionNumber">
    <vt:i4>4</vt:i4>
  </property>
  <property fmtid="{D5CDD505-2E9C-101B-9397-08002B2CF9AE}" pid="21" name="Objective-VersionComment">
    <vt:lpwstr>insert 27th</vt:lpwstr>
  </property>
  <property fmtid="{D5CDD505-2E9C-101B-9397-08002B2CF9AE}" pid="22" name="Objective-FileNumber">
    <vt:lpwstr>2010 - 003770</vt:lpwstr>
  </property>
  <property fmtid="{D5CDD505-2E9C-101B-9397-08002B2CF9AE}" pid="23" name="Objective-Classification">
    <vt:lpwstr>[Inherited - IN-CONFIDENCE]</vt:lpwstr>
  </property>
  <property fmtid="{D5CDD505-2E9C-101B-9397-08002B2CF9AE}" pid="24" name="Objective-Caveats">
    <vt:lpwstr/>
  </property>
  <property fmtid="{D5CDD505-2E9C-101B-9397-08002B2CF9AE}" pid="25" name="Objective-Category [system]">
    <vt:lpwstr/>
  </property>
</Properties>
</file>