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0D0" w:rsidRDefault="008A30D0">
      <w:pPr>
        <w:pStyle w:val="HP"/>
        <w:keepNext w:val="0"/>
        <w:spacing w:before="0"/>
      </w:pPr>
      <w:r>
        <w:t xml:space="preserve">Commonwealth of </w:t>
      </w:r>
      <w:smartTag w:uri="urn:schemas-microsoft-com:office:smarttags" w:element="country-region">
        <w:smartTag w:uri="urn:schemas-microsoft-com:office:smarttags" w:element="place">
          <w:r>
            <w:t>Australia</w:t>
          </w:r>
        </w:smartTag>
      </w:smartTag>
    </w:p>
    <w:p w:rsidR="008A30D0" w:rsidRDefault="008A30D0">
      <w:pPr>
        <w:jc w:val="center"/>
        <w:rPr>
          <w:b/>
        </w:rPr>
      </w:pPr>
    </w:p>
    <w:p w:rsidR="008A30D0" w:rsidRDefault="00096329">
      <w:pPr>
        <w:spacing w:before="240"/>
        <w:jc w:val="center"/>
        <w:rPr>
          <w:i/>
        </w:rPr>
      </w:pPr>
      <w:r>
        <w:rPr>
          <w:i/>
        </w:rPr>
        <w:t>Radiocommunications Act 1992</w:t>
      </w:r>
    </w:p>
    <w:p w:rsidR="008A30D0" w:rsidRDefault="008A30D0">
      <w:pPr>
        <w:pStyle w:val="Title"/>
        <w:spacing w:before="0"/>
      </w:pPr>
      <w:bookmarkStart w:id="0" w:name="year"/>
    </w:p>
    <w:bookmarkEnd w:id="0"/>
    <w:p w:rsidR="008A30D0" w:rsidRDefault="00096329">
      <w:pPr>
        <w:pStyle w:val="Title"/>
        <w:spacing w:before="0"/>
      </w:pPr>
      <w:r>
        <w:t xml:space="preserve">Radiocommunications (Spectrum Re-allocation) Declaration No. 1 of 2011 </w:t>
      </w:r>
    </w:p>
    <w:p w:rsidR="008A30D0" w:rsidRDefault="008A30D0"/>
    <w:p w:rsidR="008A30D0" w:rsidRDefault="008A30D0">
      <w:pPr>
        <w:spacing w:before="400" w:line="300" w:lineRule="atLeast"/>
      </w:pPr>
      <w:r>
        <w:t xml:space="preserve">I, </w:t>
      </w:r>
      <w:r w:rsidR="00230977">
        <w:t>STEPHEN MICHAEL CONROY</w:t>
      </w:r>
      <w:r>
        <w:t xml:space="preserve">, Minister for </w:t>
      </w:r>
      <w:r w:rsidR="00230977">
        <w:t xml:space="preserve">Broadband, </w:t>
      </w:r>
      <w:r>
        <w:t>Communications</w:t>
      </w:r>
      <w:r w:rsidR="00230977">
        <w:t xml:space="preserve"> and the Digital Economy</w:t>
      </w:r>
      <w:r>
        <w:t xml:space="preserve">, </w:t>
      </w:r>
      <w:r w:rsidR="00096329">
        <w:t>having had regard to a recommendation given to me by the Australian Communications and Media Authority under subsection</w:t>
      </w:r>
      <w:r w:rsidR="00CE6C5D">
        <w:t> </w:t>
      </w:r>
      <w:r w:rsidR="00096329">
        <w:t xml:space="preserve">153F(1) of the </w:t>
      </w:r>
      <w:r w:rsidR="00096329">
        <w:rPr>
          <w:i/>
        </w:rPr>
        <w:t>Radiocommunications Act 1992</w:t>
      </w:r>
      <w:r w:rsidR="00096329">
        <w:t xml:space="preserve"> in relation to specified parts of the spectrum, make this Declaration under subsection</w:t>
      </w:r>
      <w:r w:rsidR="00851E67">
        <w:t> </w:t>
      </w:r>
      <w:r w:rsidR="00096329">
        <w:t>153B(1) of that Act</w:t>
      </w:r>
      <w:r>
        <w:t>.</w:t>
      </w:r>
    </w:p>
    <w:p w:rsidR="004C5D63" w:rsidRDefault="008A30D0">
      <w:pPr>
        <w:tabs>
          <w:tab w:val="center" w:pos="3119"/>
        </w:tabs>
        <w:spacing w:before="300" w:after="600" w:line="300" w:lineRule="atLeast"/>
      </w:pPr>
      <w:r>
        <w:t xml:space="preserve">Dated </w:t>
      </w:r>
      <w:r w:rsidR="004C5D63">
        <w:t xml:space="preserve">  1 November 2011</w:t>
      </w:r>
    </w:p>
    <w:p w:rsidR="008A30D0" w:rsidRDefault="008A30D0">
      <w:pPr>
        <w:jc w:val="center"/>
        <w:rPr>
          <w:b/>
        </w:rPr>
      </w:pPr>
    </w:p>
    <w:p w:rsidR="007F037D" w:rsidRDefault="007F037D">
      <w:pPr>
        <w:jc w:val="center"/>
      </w:pPr>
    </w:p>
    <w:p w:rsidR="00A73043" w:rsidRDefault="00230977">
      <w:pPr>
        <w:jc w:val="center"/>
      </w:pPr>
      <w:r>
        <w:t>STEPHEN MICHAEL CONROY</w:t>
      </w:r>
    </w:p>
    <w:p w:rsidR="008A30D0" w:rsidRDefault="00230977">
      <w:pPr>
        <w:jc w:val="center"/>
      </w:pPr>
      <w:r>
        <w:t>Minister for Broadband, Communications and the Digital Economy</w:t>
      </w:r>
    </w:p>
    <w:p w:rsidR="008A30D0" w:rsidRDefault="008A30D0">
      <w:pPr>
        <w:jc w:val="center"/>
      </w:pPr>
      <w:r>
        <w:t>_________________________________</w:t>
      </w:r>
      <w:r w:rsidR="00A15FF3">
        <w:t>_______________________________</w:t>
      </w:r>
    </w:p>
    <w:p w:rsidR="008A30D0" w:rsidRDefault="008A30D0" w:rsidP="00E05594">
      <w:pPr>
        <w:pStyle w:val="HR"/>
        <w:numPr>
          <w:ilvl w:val="0"/>
          <w:numId w:val="2"/>
        </w:numPr>
        <w:tabs>
          <w:tab w:val="clear" w:pos="360"/>
          <w:tab w:val="clear" w:pos="540"/>
          <w:tab w:val="num" w:pos="567"/>
        </w:tabs>
        <w:spacing w:before="400" w:line="300" w:lineRule="atLeast"/>
        <w:rPr>
          <w:rFonts w:ascii="Arial" w:hAnsi="Arial"/>
        </w:rPr>
      </w:pPr>
      <w:r>
        <w:rPr>
          <w:rFonts w:ascii="Arial" w:hAnsi="Arial"/>
        </w:rPr>
        <w:t>Name of De</w:t>
      </w:r>
      <w:r w:rsidR="00096329">
        <w:rPr>
          <w:rFonts w:ascii="Arial" w:hAnsi="Arial"/>
        </w:rPr>
        <w:t>claration</w:t>
      </w:r>
    </w:p>
    <w:p w:rsidR="008A30D0" w:rsidRDefault="008A30D0" w:rsidP="00230977">
      <w:pPr>
        <w:spacing w:before="240" w:line="300" w:lineRule="atLeast"/>
        <w:ind w:left="567"/>
        <w:rPr>
          <w:rFonts w:ascii="Times New Roman" w:hAnsi="Times New Roman"/>
          <w:b/>
        </w:rPr>
      </w:pPr>
      <w:r>
        <w:t>This De</w:t>
      </w:r>
      <w:r w:rsidR="00096329">
        <w:t>claration</w:t>
      </w:r>
      <w:r>
        <w:t xml:space="preserve"> is the </w:t>
      </w:r>
      <w:r w:rsidR="00096329">
        <w:rPr>
          <w:i/>
        </w:rPr>
        <w:t>Radiocommunications (Spectrum Re-allocation) Declaration No. 1 of 2011</w:t>
      </w:r>
      <w:r>
        <w:t>.</w:t>
      </w:r>
    </w:p>
    <w:p w:rsidR="008A30D0" w:rsidRDefault="008A30D0" w:rsidP="00E05594">
      <w:pPr>
        <w:pStyle w:val="HR"/>
        <w:numPr>
          <w:ilvl w:val="0"/>
          <w:numId w:val="2"/>
        </w:numPr>
        <w:tabs>
          <w:tab w:val="clear" w:pos="360"/>
          <w:tab w:val="clear" w:pos="540"/>
          <w:tab w:val="num" w:pos="567"/>
        </w:tabs>
        <w:spacing w:before="400" w:line="300" w:lineRule="atLeast"/>
        <w:rPr>
          <w:rFonts w:ascii="Arial" w:hAnsi="Arial"/>
        </w:rPr>
      </w:pPr>
      <w:r>
        <w:rPr>
          <w:rFonts w:ascii="Arial" w:hAnsi="Arial"/>
        </w:rPr>
        <w:t>Commencement</w:t>
      </w:r>
    </w:p>
    <w:p w:rsidR="008A30D0" w:rsidRDefault="008A30D0" w:rsidP="00996C06">
      <w:pPr>
        <w:spacing w:before="240"/>
        <w:ind w:left="567"/>
      </w:pPr>
      <w:r>
        <w:t xml:space="preserve">This </w:t>
      </w:r>
      <w:r w:rsidR="00096329">
        <w:t>Declaration</w:t>
      </w:r>
      <w:r>
        <w:t xml:space="preserve"> commences on </w:t>
      </w:r>
      <w:r w:rsidR="00691A81">
        <w:t>the day after it is registered on the Federal Register of Legislative Instruments</w:t>
      </w:r>
      <w:r>
        <w:t>.</w:t>
      </w:r>
    </w:p>
    <w:p w:rsidR="008A30D0" w:rsidRDefault="008A30D0" w:rsidP="00996C06">
      <w:pPr>
        <w:pStyle w:val="HR"/>
        <w:tabs>
          <w:tab w:val="clear" w:pos="540"/>
          <w:tab w:val="left" w:pos="993"/>
        </w:tabs>
        <w:spacing w:before="400"/>
        <w:ind w:left="567" w:hanging="567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/>
        </w:rPr>
        <w:tab/>
        <w:t>Definitions</w:t>
      </w:r>
    </w:p>
    <w:p w:rsidR="008A30D0" w:rsidRDefault="008A30D0" w:rsidP="00996C06">
      <w:pPr>
        <w:spacing w:before="240" w:after="120"/>
        <w:ind w:left="567"/>
      </w:pPr>
      <w:r>
        <w:t xml:space="preserve">In this </w:t>
      </w:r>
      <w:r w:rsidR="00CD3CE3">
        <w:t>Declaration</w:t>
      </w:r>
      <w:r>
        <w:t>:</w:t>
      </w:r>
    </w:p>
    <w:p w:rsidR="008A30D0" w:rsidRDefault="008A30D0" w:rsidP="00996C06">
      <w:pPr>
        <w:pStyle w:val="definition"/>
        <w:spacing w:before="120" w:after="120"/>
        <w:ind w:left="567"/>
      </w:pPr>
      <w:r>
        <w:rPr>
          <w:b/>
          <w:i/>
        </w:rPr>
        <w:t>Act</w:t>
      </w:r>
      <w:r>
        <w:rPr>
          <w:b/>
        </w:rPr>
        <w:t xml:space="preserve"> </w:t>
      </w:r>
      <w:r>
        <w:t xml:space="preserve">means the </w:t>
      </w:r>
      <w:r w:rsidR="00096329">
        <w:rPr>
          <w:i/>
        </w:rPr>
        <w:t>Radiocommunications Act 1992</w:t>
      </w:r>
      <w:r>
        <w:t>.</w:t>
      </w:r>
    </w:p>
    <w:p w:rsidR="004D2F80" w:rsidRPr="004D2F80" w:rsidRDefault="000E702A" w:rsidP="004D2F80">
      <w:pPr>
        <w:pStyle w:val="definition"/>
        <w:spacing w:before="120" w:after="120"/>
        <w:ind w:left="567"/>
      </w:pPr>
      <w:r>
        <w:rPr>
          <w:b/>
          <w:i/>
        </w:rPr>
        <w:t xml:space="preserve">Mid West Radio Quiet Zone </w:t>
      </w:r>
      <w:r>
        <w:t>means the area bounded by the c</w:t>
      </w:r>
      <w:r w:rsidR="00BF3009">
        <w:t>oordinates specified in Table B</w:t>
      </w:r>
      <w:r>
        <w:t xml:space="preserve"> of the Schedule.</w:t>
      </w:r>
    </w:p>
    <w:p w:rsidR="002C4C4A" w:rsidRPr="00191E32" w:rsidRDefault="002C4C4A" w:rsidP="002C4C4A">
      <w:pPr>
        <w:pStyle w:val="definition"/>
        <w:spacing w:before="120" w:after="120"/>
        <w:ind w:left="567"/>
      </w:pPr>
      <w:r>
        <w:rPr>
          <w:b/>
          <w:i/>
        </w:rPr>
        <w:lastRenderedPageBreak/>
        <w:t xml:space="preserve">Re-allocation deadline </w:t>
      </w:r>
      <w:r w:rsidRPr="00191E32">
        <w:t>has the meaning given to that term by section</w:t>
      </w:r>
      <w:r>
        <w:t> </w:t>
      </w:r>
      <w:r w:rsidRPr="00191E32">
        <w:t>153B of the Act</w:t>
      </w:r>
      <w:r>
        <w:t>.</w:t>
      </w:r>
    </w:p>
    <w:p w:rsidR="00BF2701" w:rsidRPr="00191E32" w:rsidRDefault="00BF2701" w:rsidP="00996C06">
      <w:pPr>
        <w:pStyle w:val="definition"/>
        <w:spacing w:before="120" w:after="120"/>
        <w:ind w:left="567"/>
      </w:pPr>
      <w:r>
        <w:rPr>
          <w:b/>
          <w:i/>
        </w:rPr>
        <w:t>Re-allocation period</w:t>
      </w:r>
      <w:r w:rsidR="00191E32">
        <w:rPr>
          <w:b/>
          <w:i/>
        </w:rPr>
        <w:t xml:space="preserve"> </w:t>
      </w:r>
      <w:r w:rsidR="00191E32" w:rsidRPr="00191E32">
        <w:t xml:space="preserve">has the meaning given to that term </w:t>
      </w:r>
      <w:r w:rsidR="00191E32">
        <w:t>by</w:t>
      </w:r>
      <w:r w:rsidR="00191E32" w:rsidRPr="00191E32">
        <w:t xml:space="preserve"> section 153B of the Act</w:t>
      </w:r>
      <w:r w:rsidR="00077440">
        <w:t>.</w:t>
      </w:r>
    </w:p>
    <w:p w:rsidR="00F1583C" w:rsidRPr="00F1583C" w:rsidRDefault="00F1583C" w:rsidP="00F1583C">
      <w:pPr>
        <w:pStyle w:val="definition"/>
        <w:tabs>
          <w:tab w:val="clear" w:pos="1080"/>
          <w:tab w:val="clear" w:pos="1260"/>
          <w:tab w:val="left" w:pos="567"/>
        </w:tabs>
        <w:spacing w:before="400" w:after="120"/>
        <w:rPr>
          <w:rFonts w:ascii="Arial" w:hAnsi="Arial" w:cs="Arial"/>
          <w:b/>
        </w:rPr>
      </w:pPr>
      <w:r w:rsidRPr="00F1583C">
        <w:rPr>
          <w:rFonts w:ascii="Arial" w:hAnsi="Arial" w:cs="Arial"/>
          <w:b/>
        </w:rPr>
        <w:t>4</w:t>
      </w:r>
      <w:r w:rsidRPr="00F1583C">
        <w:rPr>
          <w:rFonts w:ascii="Arial" w:hAnsi="Arial" w:cs="Arial"/>
          <w:b/>
        </w:rPr>
        <w:tab/>
        <w:t>Spectrum Re-allocation</w:t>
      </w:r>
    </w:p>
    <w:p w:rsidR="00F1583C" w:rsidRDefault="00F1583C" w:rsidP="00611980">
      <w:pPr>
        <w:pStyle w:val="R1"/>
        <w:tabs>
          <w:tab w:val="left" w:pos="7088"/>
        </w:tabs>
        <w:ind w:left="1134" w:hanging="567"/>
      </w:pPr>
      <w:r>
        <w:t xml:space="preserve">(1) </w:t>
      </w:r>
      <w:r w:rsidR="00611980">
        <w:tab/>
      </w:r>
      <w:r w:rsidR="00611980">
        <w:tab/>
      </w:r>
      <w:r>
        <w:t xml:space="preserve">The following parts of the </w:t>
      </w:r>
      <w:r w:rsidRPr="00BB56FD">
        <w:t>spectrum</w:t>
      </w:r>
      <w:r>
        <w:t xml:space="preserve"> are subject to re-allocation under Part 3.6 of the Act in relation to the </w:t>
      </w:r>
      <w:r w:rsidRPr="00610A63">
        <w:rPr>
          <w:b/>
          <w:i/>
        </w:rPr>
        <w:t>re-allocation period</w:t>
      </w:r>
      <w:r>
        <w:t>:</w:t>
      </w:r>
    </w:p>
    <w:p w:rsidR="00F1583C" w:rsidRDefault="00F1583C" w:rsidP="00627C43">
      <w:pPr>
        <w:pStyle w:val="R1"/>
        <w:tabs>
          <w:tab w:val="clear" w:pos="1080"/>
          <w:tab w:val="clear" w:pos="1260"/>
          <w:tab w:val="left" w:pos="7088"/>
        </w:tabs>
        <w:spacing w:line="120" w:lineRule="atLeast"/>
        <w:ind w:left="1701" w:hanging="567"/>
      </w:pPr>
      <w:r>
        <w:t xml:space="preserve">(a) </w:t>
      </w:r>
      <w:r w:rsidR="00611980">
        <w:tab/>
      </w:r>
      <w:r>
        <w:t>the part of the spectrum from 703 MHz to 748 MHz;</w:t>
      </w:r>
    </w:p>
    <w:p w:rsidR="00F1583C" w:rsidRDefault="00F1583C" w:rsidP="00627C43">
      <w:pPr>
        <w:pStyle w:val="R1"/>
        <w:tabs>
          <w:tab w:val="clear" w:pos="1080"/>
          <w:tab w:val="clear" w:pos="1260"/>
          <w:tab w:val="left" w:pos="7088"/>
        </w:tabs>
        <w:spacing w:before="40" w:line="120" w:lineRule="atLeast"/>
        <w:ind w:left="1701" w:hanging="567"/>
      </w:pPr>
      <w:r>
        <w:t xml:space="preserve">(b) </w:t>
      </w:r>
      <w:r w:rsidR="00611980">
        <w:tab/>
      </w:r>
      <w:r>
        <w:t>the part of the spectrum from 758 MHz to 803 MHz</w:t>
      </w:r>
      <w:r w:rsidR="00851E67">
        <w:t>.</w:t>
      </w:r>
    </w:p>
    <w:p w:rsidR="00DB5BD5" w:rsidRDefault="00F1583C">
      <w:pPr>
        <w:pStyle w:val="R2"/>
        <w:tabs>
          <w:tab w:val="left" w:pos="7088"/>
        </w:tabs>
        <w:ind w:left="1134" w:hanging="567"/>
      </w:pPr>
      <w:r>
        <w:t xml:space="preserve">(2) </w:t>
      </w:r>
      <w:r w:rsidR="00611980">
        <w:tab/>
      </w:r>
      <w:r w:rsidR="00604E93">
        <w:tab/>
      </w:r>
      <w:r>
        <w:t>For the part</w:t>
      </w:r>
      <w:r w:rsidR="00671695">
        <w:t>s</w:t>
      </w:r>
      <w:r>
        <w:t xml:space="preserve"> of the spectrum mentioned in subsection (1), this Declaration applies</w:t>
      </w:r>
      <w:r w:rsidR="00671695">
        <w:t xml:space="preserve"> </w:t>
      </w:r>
      <w:r w:rsidR="00CE6C5D">
        <w:t>to the specified area</w:t>
      </w:r>
      <w:r w:rsidR="00397C7A">
        <w:t xml:space="preserve"> (</w:t>
      </w:r>
      <w:r w:rsidR="004F60CA">
        <w:t xml:space="preserve">the </w:t>
      </w:r>
      <w:r w:rsidR="004F60CA">
        <w:rPr>
          <w:b/>
          <w:i/>
        </w:rPr>
        <w:t>National Area</w:t>
      </w:r>
      <w:r w:rsidR="00397C7A">
        <w:t>), being the area</w:t>
      </w:r>
      <w:r w:rsidR="004F60CA">
        <w:t xml:space="preserve"> </w:t>
      </w:r>
      <w:r w:rsidR="00AB48CA">
        <w:t>bounded by the co</w:t>
      </w:r>
      <w:r w:rsidR="00E4121C">
        <w:t>ordinates specified in Table A of the Schedule</w:t>
      </w:r>
      <w:r w:rsidR="00604E93">
        <w:t xml:space="preserve">, </w:t>
      </w:r>
      <w:r w:rsidR="0000217D">
        <w:t>but excluding</w:t>
      </w:r>
      <w:r w:rsidR="00BF3009">
        <w:t xml:space="preserve"> </w:t>
      </w:r>
      <w:r w:rsidR="00CE6C5D">
        <w:t xml:space="preserve">the </w:t>
      </w:r>
      <w:r w:rsidR="000E702A">
        <w:rPr>
          <w:b/>
          <w:i/>
        </w:rPr>
        <w:t>Mid West Radio Quiet Zone</w:t>
      </w:r>
      <w:r w:rsidR="00BF3009">
        <w:t>.</w:t>
      </w:r>
    </w:p>
    <w:p w:rsidR="00627C43" w:rsidRPr="00627C43" w:rsidRDefault="00AA098F" w:rsidP="00627C43">
      <w:pPr>
        <w:pStyle w:val="R2"/>
        <w:keepNext/>
        <w:tabs>
          <w:tab w:val="left" w:pos="7088"/>
        </w:tabs>
        <w:ind w:left="1134" w:hanging="567"/>
      </w:pPr>
      <w:r w:rsidRPr="00835094" w:rsidDel="00AA098F">
        <w:t xml:space="preserve"> </w:t>
      </w:r>
      <w:r w:rsidR="00F1583C">
        <w:t>(3)</w:t>
      </w:r>
      <w:r w:rsidR="00671695">
        <w:t xml:space="preserve"> </w:t>
      </w:r>
      <w:r w:rsidR="00F1583C">
        <w:tab/>
      </w:r>
      <w:r w:rsidR="00627C43">
        <w:tab/>
      </w:r>
      <w:r w:rsidR="00F1583C">
        <w:t>For</w:t>
      </w:r>
      <w:r w:rsidR="00671695">
        <w:t xml:space="preserve"> the parts of the spectrum mentioned in</w:t>
      </w:r>
      <w:r w:rsidR="00F1583C">
        <w:t xml:space="preserve"> </w:t>
      </w:r>
      <w:r w:rsidR="00851E67">
        <w:t xml:space="preserve">subsection </w:t>
      </w:r>
      <w:r w:rsidR="00627C43">
        <w:t xml:space="preserve">(1) </w:t>
      </w:r>
      <w:r w:rsidR="00F1583C">
        <w:t xml:space="preserve">the </w:t>
      </w:r>
      <w:r w:rsidR="00F1583C">
        <w:rPr>
          <w:b/>
          <w:i/>
        </w:rPr>
        <w:t>re</w:t>
      </w:r>
      <w:r w:rsidR="00851E67">
        <w:rPr>
          <w:b/>
          <w:i/>
        </w:rPr>
        <w:noBreakHyphen/>
      </w:r>
      <w:r w:rsidR="00F1583C">
        <w:rPr>
          <w:b/>
          <w:i/>
        </w:rPr>
        <w:t>allocation period</w:t>
      </w:r>
      <w:r w:rsidR="00671695">
        <w:t xml:space="preserve"> begins on 2 November 2011 and ends on 31</w:t>
      </w:r>
      <w:r w:rsidR="00851E67">
        <w:t> </w:t>
      </w:r>
      <w:r w:rsidR="00671695">
        <w:t>December 2014</w:t>
      </w:r>
      <w:r w:rsidR="00CE6C5D">
        <w:t xml:space="preserve"> for each area specified in subsection (2)</w:t>
      </w:r>
      <w:r w:rsidR="00671695">
        <w:t>.</w:t>
      </w:r>
    </w:p>
    <w:p w:rsidR="00F1583C" w:rsidRDefault="00F1583C" w:rsidP="00627C43">
      <w:pPr>
        <w:pStyle w:val="R2"/>
        <w:tabs>
          <w:tab w:val="left" w:pos="7088"/>
        </w:tabs>
        <w:ind w:left="1134" w:hanging="567"/>
      </w:pPr>
      <w:r>
        <w:t>(</w:t>
      </w:r>
      <w:r w:rsidR="00851E67">
        <w:t>4</w:t>
      </w:r>
      <w:r>
        <w:t>)</w:t>
      </w:r>
      <w:r w:rsidR="00627C43">
        <w:tab/>
      </w:r>
      <w:r>
        <w:tab/>
        <w:t xml:space="preserve">For </w:t>
      </w:r>
      <w:r w:rsidR="00611980">
        <w:t xml:space="preserve">the parts of the spectrum mentioned in </w:t>
      </w:r>
      <w:r w:rsidR="00851E67">
        <w:t xml:space="preserve">subsection </w:t>
      </w:r>
      <w:r w:rsidR="00C52138">
        <w:t>(</w:t>
      </w:r>
      <w:r w:rsidR="00611980">
        <w:t>1</w:t>
      </w:r>
      <w:r w:rsidR="00C52138">
        <w:t>)</w:t>
      </w:r>
      <w:r>
        <w:t xml:space="preserve">, the </w:t>
      </w:r>
      <w:r>
        <w:rPr>
          <w:b/>
          <w:i/>
        </w:rPr>
        <w:t>re</w:t>
      </w:r>
      <w:r w:rsidR="00851E67">
        <w:rPr>
          <w:b/>
          <w:i/>
        </w:rPr>
        <w:noBreakHyphen/>
      </w:r>
      <w:r>
        <w:rPr>
          <w:b/>
          <w:i/>
        </w:rPr>
        <w:t>allocation deadline</w:t>
      </w:r>
      <w:r>
        <w:t xml:space="preserve"> is</w:t>
      </w:r>
      <w:r w:rsidR="00611980">
        <w:t xml:space="preserve"> 31 December 2013</w:t>
      </w:r>
      <w:r>
        <w:t>.</w:t>
      </w:r>
    </w:p>
    <w:p w:rsidR="00F1583C" w:rsidRDefault="00F1583C" w:rsidP="00627C43">
      <w:pPr>
        <w:pStyle w:val="R2"/>
        <w:keepNext/>
        <w:tabs>
          <w:tab w:val="clear" w:pos="1080"/>
          <w:tab w:val="clear" w:pos="1260"/>
          <w:tab w:val="left" w:pos="7088"/>
        </w:tabs>
        <w:ind w:left="1134" w:hanging="567"/>
      </w:pPr>
      <w:r>
        <w:t>(</w:t>
      </w:r>
      <w:r w:rsidR="00851E67">
        <w:t>5</w:t>
      </w:r>
      <w:r>
        <w:t>)</w:t>
      </w:r>
      <w:r>
        <w:rPr>
          <w:b/>
        </w:rPr>
        <w:tab/>
      </w:r>
      <w:r>
        <w:t>Each part of the spectrum mentioned in subsection (1) may be re</w:t>
      </w:r>
      <w:r w:rsidR="00CE6C5D">
        <w:noBreakHyphen/>
      </w:r>
      <w:r>
        <w:t>allocated only by issuing spectrum licences under Subdivision B of Division 1 of Part 3.2 of the Act.</w:t>
      </w:r>
    </w:p>
    <w:p w:rsidR="00F1583C" w:rsidRDefault="00F1583C" w:rsidP="00627C43">
      <w:pPr>
        <w:pStyle w:val="R2"/>
        <w:tabs>
          <w:tab w:val="left" w:pos="7088"/>
        </w:tabs>
        <w:ind w:left="1134" w:hanging="567"/>
      </w:pPr>
      <w:r>
        <w:t>(</w:t>
      </w:r>
      <w:r w:rsidR="00851E67">
        <w:t>6</w:t>
      </w:r>
      <w:r>
        <w:t>)</w:t>
      </w:r>
      <w:r w:rsidR="00627C43">
        <w:tab/>
      </w:r>
      <w:r>
        <w:tab/>
        <w:t>In subsection (1), each frequency band includes all frequencies that are greater than the lower frequency, up to and including the higher frequency.</w:t>
      </w:r>
    </w:p>
    <w:p w:rsidR="00F1583C" w:rsidRDefault="00F1583C" w:rsidP="000A0B3E">
      <w:pPr>
        <w:pStyle w:val="TextWOutChapSectionBreak"/>
        <w:jc w:val="both"/>
        <w:sectPr w:rsidR="00F1583C" w:rsidSect="00F1583C">
          <w:footerReference w:type="default" r:id="rId11"/>
          <w:footerReference w:type="first" r:id="rId12"/>
          <w:type w:val="continuous"/>
          <w:pgSz w:w="11906" w:h="16838" w:code="9"/>
          <w:pgMar w:top="1440" w:right="1797" w:bottom="1440" w:left="1797" w:header="720" w:footer="720" w:gutter="0"/>
          <w:cols w:space="720"/>
        </w:sectPr>
      </w:pPr>
    </w:p>
    <w:p w:rsidR="000A0B3E" w:rsidRPr="0036326B" w:rsidRDefault="000A0B3E" w:rsidP="000A0B3E">
      <w:pPr>
        <w:spacing w:before="120" w:line="300" w:lineRule="atLeast"/>
        <w:rPr>
          <w:rFonts w:ascii="Arial" w:hAnsi="Arial"/>
          <w:b/>
          <w:sz w:val="28"/>
          <w:szCs w:val="28"/>
        </w:rPr>
      </w:pPr>
      <w:r w:rsidRPr="0036326B">
        <w:rPr>
          <w:rFonts w:ascii="Arial" w:hAnsi="Arial"/>
          <w:b/>
          <w:sz w:val="28"/>
          <w:szCs w:val="28"/>
        </w:rPr>
        <w:lastRenderedPageBreak/>
        <w:t>Schedule</w:t>
      </w:r>
    </w:p>
    <w:p w:rsidR="000A0B3E" w:rsidRDefault="000A0B3E" w:rsidP="000A0B3E">
      <w:pPr>
        <w:spacing w:before="120" w:line="300" w:lineRule="atLeast"/>
        <w:rPr>
          <w:szCs w:val="26"/>
        </w:rPr>
      </w:pPr>
      <w:r w:rsidRPr="0052793E">
        <w:rPr>
          <w:szCs w:val="26"/>
        </w:rPr>
        <w:t>Each Area</w:t>
      </w:r>
      <w:r>
        <w:rPr>
          <w:szCs w:val="26"/>
        </w:rPr>
        <w:t xml:space="preserve"> described in the tables below</w:t>
      </w:r>
      <w:r w:rsidRPr="0052793E">
        <w:rPr>
          <w:szCs w:val="26"/>
        </w:rPr>
        <w:t xml:space="preserve"> is a polygon bounded by a line joining each of the following coordinates of latitude and longitude.</w:t>
      </w:r>
      <w:r>
        <w:rPr>
          <w:szCs w:val="26"/>
        </w:rPr>
        <w:t xml:space="preserve">  </w:t>
      </w:r>
      <w:r w:rsidR="00FF7E55">
        <w:rPr>
          <w:szCs w:val="26"/>
        </w:rPr>
        <w:t>The datum used for coordinates in this Schedule is the Geocentric Datum of Australia 1994</w:t>
      </w:r>
      <w:r w:rsidR="00BB507D">
        <w:rPr>
          <w:szCs w:val="26"/>
        </w:rPr>
        <w:t>.</w:t>
      </w:r>
    </w:p>
    <w:p w:rsidR="00E4121C" w:rsidRDefault="00E4121C" w:rsidP="001B55EE">
      <w:pPr>
        <w:tabs>
          <w:tab w:val="left" w:pos="4111"/>
        </w:tabs>
        <w:rPr>
          <w:szCs w:val="26"/>
        </w:rPr>
      </w:pPr>
    </w:p>
    <w:p w:rsidR="000E702A" w:rsidRDefault="00173C8A" w:rsidP="001B55EE">
      <w:pPr>
        <w:tabs>
          <w:tab w:val="left" w:pos="4111"/>
        </w:tabs>
        <w:rPr>
          <w:b/>
          <w:szCs w:val="26"/>
        </w:rPr>
      </w:pPr>
      <w:r w:rsidRPr="00173C8A">
        <w:rPr>
          <w:b/>
          <w:szCs w:val="26"/>
        </w:rPr>
        <w:t xml:space="preserve">Table A: Outer boundary </w:t>
      </w:r>
      <w:r w:rsidR="00AA098F">
        <w:rPr>
          <w:b/>
          <w:szCs w:val="26"/>
        </w:rPr>
        <w:t>of the National A</w:t>
      </w:r>
      <w:r w:rsidRPr="00173C8A">
        <w:rPr>
          <w:b/>
          <w:szCs w:val="26"/>
        </w:rPr>
        <w:t>rea</w:t>
      </w:r>
    </w:p>
    <w:p w:rsidR="0098137A" w:rsidRDefault="0098137A" w:rsidP="001B55EE">
      <w:pPr>
        <w:tabs>
          <w:tab w:val="left" w:pos="4111"/>
        </w:tabs>
        <w:rPr>
          <w:b/>
          <w:szCs w:val="26"/>
        </w:rPr>
      </w:pPr>
    </w:p>
    <w:p w:rsidR="0098137A" w:rsidRDefault="0098137A" w:rsidP="001B55EE">
      <w:pPr>
        <w:tabs>
          <w:tab w:val="left" w:pos="4111"/>
        </w:tabs>
        <w:rPr>
          <w:b/>
          <w:szCs w:val="26"/>
        </w:rPr>
        <w:sectPr w:rsidR="0098137A" w:rsidSect="00325F10">
          <w:type w:val="continuous"/>
          <w:pgSz w:w="11901" w:h="16840"/>
          <w:pgMar w:top="1247" w:right="1701" w:bottom="1701" w:left="1701" w:header="720" w:footer="720" w:gutter="0"/>
          <w:cols w:space="708"/>
          <w:titlePg/>
        </w:sectPr>
      </w:pPr>
    </w:p>
    <w:tbl>
      <w:tblPr>
        <w:tblW w:w="0" w:type="auto"/>
        <w:tblInd w:w="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1487"/>
        <w:gridCol w:w="1571"/>
      </w:tblGrid>
      <w:tr w:rsidR="0098137A" w:rsidRPr="0098137A" w:rsidTr="00357126">
        <w:trPr>
          <w:trHeight w:val="397"/>
          <w:tblHeader/>
        </w:trPr>
        <w:tc>
          <w:tcPr>
            <w:tcW w:w="803" w:type="dxa"/>
            <w:vAlign w:val="bottom"/>
          </w:tcPr>
          <w:p w:rsidR="0098137A" w:rsidRPr="0098137A" w:rsidRDefault="0019358B" w:rsidP="00357126">
            <w:pPr>
              <w:ind w:right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Row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137A">
              <w:rPr>
                <w:rFonts w:ascii="Times New Roman" w:hAnsi="Times New Roman"/>
                <w:b/>
                <w:sz w:val="24"/>
                <w:szCs w:val="24"/>
              </w:rPr>
              <w:t>° South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8137A">
              <w:rPr>
                <w:rFonts w:ascii="Times New Roman" w:hAnsi="Times New Roman"/>
                <w:b/>
                <w:sz w:val="24"/>
                <w:szCs w:val="24"/>
              </w:rPr>
              <w:t>° East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24.998757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112.001377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24.998744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113.001346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23.998738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113.001340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22.998729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113.001347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21.998721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113.001338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20.998713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113.001332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20.998705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114.001326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20.998698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115.001297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19.998688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115.001319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ind w:right="3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18.998681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115.001312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18.998673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116.001310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18.998666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117.001309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18.998658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118.001306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18.998650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119.001304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18.998642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120.001301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18.998630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121.001292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17.998630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121.001289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16.998626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121.001281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15.998622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121.001274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15.998616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122.001271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15.998607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123.001262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15.998601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124.001256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14.998601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124.001255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13.998599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124.001249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12.998597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124.001244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12.998592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125.001239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12.998586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126.001234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12.998581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127.001229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12.998576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128.001224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12.998571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129.001218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12.998580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130.001200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11.998567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130.001205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10.998568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130.001202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10.998567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131.001191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10.998568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132.001181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9.998561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132.001184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9.998558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133.001177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9.998554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134.001170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9.998550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135.001162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9.998546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136.001154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9.998543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137.001145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9.998539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138.001137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9.998535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139.001128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9.998532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140.001118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9.998528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141.001108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9.998510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142.001113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9.998506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143.001104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10.998494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143.001114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10.998513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144.001081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11.998507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144.001084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12.998499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144.001091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13.998493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144.001090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13.998490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145.001081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13.998488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146.001070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14.998483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146.001074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15.998478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146.001078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15.998474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147.001067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16.998469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147.001072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17.998465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147.001078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18.998465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147.001089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18.998456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148.001071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18.998451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149.001058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19.998451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149.001064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19.998441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150.001050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20.998438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150.001056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20.998432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151.001042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21.998429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151.001049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22.998434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151.001058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22.998420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152.001041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23.998428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152.001046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23.998411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153.001033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23.998405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154.001018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24.998402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154.001025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25.998401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154.001033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26.998397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154.001041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27.998398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154.001049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28.998397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154.001059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29.998395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154.001068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30.998395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154.001078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31.998395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154.001088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31.998405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153.001103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32.998404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153.001116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32.998415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152.001132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33.998414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152.001145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34.998416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152.001158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34.998426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151.001172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35.998427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151.001188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36.998431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151.001203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37.998434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151.001218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37.998444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150.001236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37.998457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149.001255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38.998459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149.001268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39.998464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149.001286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40.998469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149.001304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41.998475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149.001323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42.998481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149.001343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43.998488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149.001364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43.998499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148.001382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43.998511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147.001401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43.998522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146.001418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43.998534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145.001436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42.998527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145.001413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41.998522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145.001384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41.998531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144.001408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40.998524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144.001387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40.998536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143.001403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39.998529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143.001383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38.998522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143.001358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38.998534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142.001379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38.998546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141.001393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38.998557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140.001407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37.998545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140.001384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37.998562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139.001401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36.998554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139.001381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36.998567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138.001396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36.998578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137.001408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36.998590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136.001420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35.998576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136.001402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35.998595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135.001413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34.998583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135.001401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33.998570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135.001397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33.998586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134.001398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32.998580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134.001383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32.998595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133.001387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32.998608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132.001394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31.998594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132.001397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31.998606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131.001396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31.998614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130.001404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31.998623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129.001413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32.998642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129.001419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32.998653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128.001427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32.998664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127.001435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32.998675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126.001445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32.998686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125.001456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33.998699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125.001467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33.998715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124.001479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34.998719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124.001489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34.998731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123.001496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34.998749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122.001505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34.998756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121.001505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34.998769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120.001510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34.998788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119.001513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35.998793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119.001533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35.998806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118.001537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35.998819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117.001541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487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35.998832</w:t>
            </w:r>
          </w:p>
        </w:tc>
        <w:tc>
          <w:tcPr>
            <w:tcW w:w="1571" w:type="dxa"/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116.001543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tcBorders>
              <w:bottom w:val="single" w:sz="4" w:space="0" w:color="000000"/>
            </w:tcBorders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34.998831</w:t>
            </w:r>
          </w:p>
        </w:tc>
        <w:tc>
          <w:tcPr>
            <w:tcW w:w="1571" w:type="dxa"/>
            <w:tcBorders>
              <w:bottom w:val="single" w:sz="4" w:space="0" w:color="000000"/>
            </w:tcBorders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116.001528</w:t>
            </w:r>
          </w:p>
        </w:tc>
      </w:tr>
      <w:tr w:rsidR="0098137A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8137A" w:rsidRPr="0098137A" w:rsidRDefault="0098137A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34.998841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8137A" w:rsidRPr="0098137A" w:rsidRDefault="0098137A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115.001532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34.998846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114.001528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33.998836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114.001511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32.998821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114.001492</w:t>
            </w:r>
          </w:p>
        </w:tc>
      </w:tr>
      <w:tr w:rsidR="00714433" w:rsidRPr="00714433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32.998823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115.001497</w:t>
            </w:r>
          </w:p>
        </w:tc>
      </w:tr>
      <w:tr w:rsidR="00714433" w:rsidRPr="00714433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31.998805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115.001478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30.998801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115.001459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30.998798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114.001458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29.998789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114.001441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28.998773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114.001422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28.998787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113.001428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27.998776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113.001417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26.998768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113.001394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25.998754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113.001362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25.998767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112.001389</w:t>
            </w:r>
          </w:p>
        </w:tc>
      </w:tr>
      <w:tr w:rsidR="00714433" w:rsidRPr="0098137A" w:rsidTr="00357126">
        <w:trPr>
          <w:trHeight w:val="397"/>
        </w:trPr>
        <w:tc>
          <w:tcPr>
            <w:tcW w:w="803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714433" w:rsidRPr="0098137A" w:rsidRDefault="00714433" w:rsidP="00357126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24.998757</w:t>
            </w:r>
          </w:p>
        </w:tc>
        <w:tc>
          <w:tcPr>
            <w:tcW w:w="1571" w:type="dxa"/>
            <w:tcBorders>
              <w:top w:val="single" w:sz="4" w:space="0" w:color="000000"/>
              <w:bottom w:val="single" w:sz="18" w:space="0" w:color="000000"/>
            </w:tcBorders>
            <w:vAlign w:val="bottom"/>
          </w:tcPr>
          <w:p w:rsidR="00714433" w:rsidRPr="0098137A" w:rsidRDefault="00714433" w:rsidP="00357126">
            <w:pPr>
              <w:ind w:right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8137A">
              <w:rPr>
                <w:rFonts w:ascii="Times New Roman" w:hAnsi="Times New Roman"/>
                <w:sz w:val="24"/>
                <w:szCs w:val="24"/>
              </w:rPr>
              <w:t>112.001377</w:t>
            </w:r>
          </w:p>
        </w:tc>
      </w:tr>
    </w:tbl>
    <w:p w:rsidR="0098137A" w:rsidRPr="0098137A" w:rsidRDefault="0098137A" w:rsidP="0098137A">
      <w:pPr>
        <w:jc w:val="right"/>
        <w:rPr>
          <w:rFonts w:ascii="Times New Roman" w:hAnsi="Times New Roman"/>
          <w:color w:val="000000"/>
          <w:sz w:val="24"/>
          <w:szCs w:val="24"/>
        </w:rPr>
        <w:sectPr w:rsidR="0098137A" w:rsidRPr="0098137A" w:rsidSect="00714433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1" w:h="16840"/>
          <w:pgMar w:top="1440" w:right="1440" w:bottom="1418" w:left="1440" w:header="720" w:footer="720" w:gutter="0"/>
          <w:cols w:num="2" w:space="720"/>
          <w:titlePg/>
          <w:docGrid w:linePitch="354"/>
        </w:sectPr>
      </w:pPr>
    </w:p>
    <w:p w:rsidR="0098137A" w:rsidRDefault="0098137A" w:rsidP="001B55EE">
      <w:pPr>
        <w:tabs>
          <w:tab w:val="left" w:pos="4111"/>
        </w:tabs>
        <w:rPr>
          <w:b/>
          <w:szCs w:val="26"/>
        </w:rPr>
      </w:pPr>
    </w:p>
    <w:p w:rsidR="00E4121C" w:rsidRDefault="00E4121C" w:rsidP="001B55EE">
      <w:pPr>
        <w:tabs>
          <w:tab w:val="left" w:pos="4111"/>
        </w:tabs>
        <w:rPr>
          <w:szCs w:val="26"/>
        </w:rPr>
      </w:pPr>
    </w:p>
    <w:p w:rsidR="00E4121C" w:rsidRDefault="00E4121C" w:rsidP="00E4121C">
      <w:pPr>
        <w:spacing w:line="260" w:lineRule="atLeast"/>
        <w:ind w:right="120"/>
        <w:rPr>
          <w:rFonts w:cs="Arial"/>
          <w:b/>
          <w:color w:val="4D4D4F"/>
        </w:rPr>
        <w:sectPr w:rsidR="00E4121C" w:rsidSect="00325F10">
          <w:type w:val="continuous"/>
          <w:pgSz w:w="11901" w:h="16840"/>
          <w:pgMar w:top="1247" w:right="1701" w:bottom="1701" w:left="1701" w:header="720" w:footer="720" w:gutter="0"/>
          <w:cols w:space="708"/>
          <w:titlePg/>
        </w:sectPr>
      </w:pPr>
    </w:p>
    <w:p w:rsidR="00DB5BD5" w:rsidRDefault="00357126">
      <w:pPr>
        <w:rPr>
          <w:b/>
          <w:szCs w:val="26"/>
        </w:rPr>
      </w:pPr>
      <w:r>
        <w:rPr>
          <w:b/>
          <w:szCs w:val="26"/>
        </w:rPr>
        <w:lastRenderedPageBreak/>
        <w:br w:type="page"/>
      </w:r>
      <w:r w:rsidR="001B55EE" w:rsidRPr="001B55EE">
        <w:rPr>
          <w:b/>
          <w:szCs w:val="26"/>
        </w:rPr>
        <w:lastRenderedPageBreak/>
        <w:t xml:space="preserve">Table B: </w:t>
      </w:r>
      <w:r w:rsidR="00670339">
        <w:rPr>
          <w:b/>
          <w:szCs w:val="26"/>
        </w:rPr>
        <w:t>Mid</w:t>
      </w:r>
      <w:r w:rsidR="001B55EE" w:rsidRPr="001B55EE">
        <w:rPr>
          <w:b/>
          <w:szCs w:val="26"/>
        </w:rPr>
        <w:t xml:space="preserve"> West Radio Quiet Zone</w:t>
      </w:r>
    </w:p>
    <w:p w:rsidR="001B55EE" w:rsidRDefault="001B55EE" w:rsidP="00E975B5">
      <w:pPr>
        <w:rPr>
          <w:szCs w:val="26"/>
        </w:rPr>
      </w:pPr>
    </w:p>
    <w:tbl>
      <w:tblPr>
        <w:tblpPr w:leftFromText="180" w:rightFromText="180" w:vertAnchor="text" w:horzAnchor="margin" w:tblpY="-79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09"/>
        <w:gridCol w:w="1559"/>
        <w:gridCol w:w="1985"/>
      </w:tblGrid>
      <w:tr w:rsidR="0019358B" w:rsidRPr="000E702A" w:rsidTr="00357126">
        <w:trPr>
          <w:cantSplit/>
          <w:trHeight w:val="397"/>
          <w:tblHeader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8B" w:rsidRPr="000E702A" w:rsidRDefault="0019358B" w:rsidP="00357126">
            <w:pPr>
              <w:ind w:left="24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0E702A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Row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lef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02A">
              <w:rPr>
                <w:rFonts w:ascii="Times New Roman" w:hAnsi="Times New Roman"/>
                <w:b/>
                <w:sz w:val="24"/>
                <w:szCs w:val="24"/>
              </w:rPr>
              <w:t>° South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left="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02A">
              <w:rPr>
                <w:rFonts w:ascii="Times New Roman" w:hAnsi="Times New Roman"/>
                <w:b/>
                <w:sz w:val="24"/>
                <w:szCs w:val="24"/>
              </w:rPr>
              <w:t>° East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25.998719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115.918031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25.998712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116.668032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25.998708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117.418029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26.665385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117.418042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27.415393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117.418053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27.415394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116.668053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27.415397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115.918054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26.665393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115.918047</w:t>
            </w:r>
          </w:p>
        </w:tc>
      </w:tr>
      <w:tr w:rsidR="0019358B" w:rsidRPr="000E702A" w:rsidTr="00357126">
        <w:trPr>
          <w:cantSplit/>
          <w:trHeight w:val="397"/>
        </w:trPr>
        <w:tc>
          <w:tcPr>
            <w:tcW w:w="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25.998719</w:t>
            </w:r>
          </w:p>
        </w:tc>
        <w:tc>
          <w:tcPr>
            <w:tcW w:w="1985" w:type="dxa"/>
            <w:vAlign w:val="bottom"/>
          </w:tcPr>
          <w:p w:rsidR="0019358B" w:rsidRPr="000E702A" w:rsidRDefault="0019358B" w:rsidP="00357126">
            <w:pPr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02A">
              <w:rPr>
                <w:rFonts w:ascii="Times New Roman" w:hAnsi="Times New Roman"/>
                <w:sz w:val="24"/>
                <w:szCs w:val="24"/>
              </w:rPr>
              <w:t>115.918031</w:t>
            </w:r>
          </w:p>
        </w:tc>
      </w:tr>
    </w:tbl>
    <w:p w:rsidR="001B55EE" w:rsidRDefault="001B55EE" w:rsidP="00E975B5">
      <w:pPr>
        <w:rPr>
          <w:szCs w:val="26"/>
        </w:rPr>
      </w:pPr>
    </w:p>
    <w:sectPr w:rsidR="001B55EE" w:rsidSect="00325F10">
      <w:type w:val="continuous"/>
      <w:pgSz w:w="11901" w:h="16840"/>
      <w:pgMar w:top="1247" w:right="1701" w:bottom="1701" w:left="1701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37D" w:rsidRDefault="007F037D" w:rsidP="008A30D0">
      <w:r>
        <w:separator/>
      </w:r>
    </w:p>
  </w:endnote>
  <w:endnote w:type="continuationSeparator" w:id="0">
    <w:p w:rsidR="007F037D" w:rsidRDefault="007F037D" w:rsidP="008A3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7D" w:rsidRPr="00BB56FD" w:rsidRDefault="003C178A">
    <w:pPr>
      <w:pStyle w:val="Footer"/>
      <w:jc w:val="center"/>
      <w:rPr>
        <w:rFonts w:ascii="Times New Roman" w:hAnsi="Times New Roman"/>
        <w:sz w:val="24"/>
        <w:szCs w:val="24"/>
      </w:rPr>
    </w:pPr>
    <w:r w:rsidRPr="00BB56FD">
      <w:rPr>
        <w:rFonts w:ascii="Times New Roman" w:hAnsi="Times New Roman"/>
        <w:sz w:val="24"/>
        <w:szCs w:val="24"/>
      </w:rPr>
      <w:fldChar w:fldCharType="begin"/>
    </w:r>
    <w:r w:rsidR="007F037D" w:rsidRPr="00BB56FD">
      <w:rPr>
        <w:rFonts w:ascii="Times New Roman" w:hAnsi="Times New Roman"/>
        <w:sz w:val="24"/>
        <w:szCs w:val="24"/>
      </w:rPr>
      <w:instrText xml:space="preserve"> PAGE   \* MERGEFORMAT </w:instrText>
    </w:r>
    <w:r w:rsidRPr="00BB56FD">
      <w:rPr>
        <w:rFonts w:ascii="Times New Roman" w:hAnsi="Times New Roman"/>
        <w:sz w:val="24"/>
        <w:szCs w:val="24"/>
      </w:rPr>
      <w:fldChar w:fldCharType="separate"/>
    </w:r>
    <w:r w:rsidR="004C5D63">
      <w:rPr>
        <w:rFonts w:ascii="Times New Roman" w:hAnsi="Times New Roman"/>
        <w:noProof/>
        <w:sz w:val="24"/>
        <w:szCs w:val="24"/>
      </w:rPr>
      <w:t>1</w:t>
    </w:r>
    <w:r w:rsidRPr="00BB56FD">
      <w:rPr>
        <w:rFonts w:ascii="Times New Roman" w:hAnsi="Times New Roman"/>
        <w:sz w:val="24"/>
        <w:szCs w:val="24"/>
      </w:rPr>
      <w:fldChar w:fldCharType="end"/>
    </w:r>
  </w:p>
  <w:p w:rsidR="007F037D" w:rsidRDefault="007F03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7D" w:rsidRPr="00714433" w:rsidRDefault="003C178A">
    <w:pPr>
      <w:pStyle w:val="Footer"/>
      <w:jc w:val="center"/>
      <w:rPr>
        <w:rFonts w:ascii="Times New Roman" w:hAnsi="Times New Roman"/>
        <w:sz w:val="24"/>
        <w:szCs w:val="24"/>
      </w:rPr>
    </w:pPr>
    <w:r w:rsidRPr="00714433">
      <w:rPr>
        <w:rFonts w:ascii="Times New Roman" w:hAnsi="Times New Roman"/>
        <w:sz w:val="24"/>
        <w:szCs w:val="24"/>
      </w:rPr>
      <w:fldChar w:fldCharType="begin"/>
    </w:r>
    <w:r w:rsidR="007F037D" w:rsidRPr="00714433">
      <w:rPr>
        <w:rFonts w:ascii="Times New Roman" w:hAnsi="Times New Roman"/>
        <w:sz w:val="24"/>
        <w:szCs w:val="24"/>
      </w:rPr>
      <w:instrText xml:space="preserve"> PAGE   \* MERGEFORMAT </w:instrText>
    </w:r>
    <w:r w:rsidRPr="00714433">
      <w:rPr>
        <w:rFonts w:ascii="Times New Roman" w:hAnsi="Times New Roman"/>
        <w:sz w:val="24"/>
        <w:szCs w:val="24"/>
      </w:rPr>
      <w:fldChar w:fldCharType="separate"/>
    </w:r>
    <w:r w:rsidR="004C5D63">
      <w:rPr>
        <w:rFonts w:ascii="Times New Roman" w:hAnsi="Times New Roman"/>
        <w:noProof/>
        <w:sz w:val="24"/>
        <w:szCs w:val="24"/>
      </w:rPr>
      <w:t>3</w:t>
    </w:r>
    <w:r w:rsidRPr="00714433">
      <w:rPr>
        <w:rFonts w:ascii="Times New Roman" w:hAnsi="Times New Roman"/>
        <w:sz w:val="24"/>
        <w:szCs w:val="24"/>
      </w:rPr>
      <w:fldChar w:fldCharType="end"/>
    </w:r>
  </w:p>
  <w:p w:rsidR="007F037D" w:rsidRDefault="007F037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692" w:type="dxa"/>
      <w:tblLayout w:type="fixed"/>
      <w:tblCellMar>
        <w:left w:w="0" w:type="dxa"/>
        <w:right w:w="0" w:type="dxa"/>
      </w:tblCellMar>
      <w:tblLook w:val="01E0"/>
    </w:tblPr>
    <w:tblGrid>
      <w:gridCol w:w="1311"/>
      <w:gridCol w:w="6381"/>
    </w:tblGrid>
    <w:tr w:rsidR="007F037D" w:rsidRPr="00915B1C" w:rsidTr="0098137A">
      <w:tc>
        <w:tcPr>
          <w:tcW w:w="1311" w:type="dxa"/>
          <w:tcBorders>
            <w:top w:val="single" w:sz="2" w:space="0" w:color="auto"/>
          </w:tcBorders>
          <w:shd w:val="clear" w:color="auto" w:fill="auto"/>
        </w:tcPr>
        <w:p w:rsidR="007F037D" w:rsidRPr="00915B1C" w:rsidRDefault="007F037D" w:rsidP="0098137A">
          <w:pPr>
            <w:pStyle w:val="Footer"/>
            <w:rPr>
              <w:sz w:val="2"/>
              <w:szCs w:val="2"/>
            </w:rPr>
          </w:pPr>
        </w:p>
      </w:tc>
      <w:tc>
        <w:tcPr>
          <w:tcW w:w="6381" w:type="dxa"/>
          <w:shd w:val="clear" w:color="auto" w:fill="auto"/>
        </w:tcPr>
        <w:p w:rsidR="007F037D" w:rsidRPr="00915B1C" w:rsidRDefault="007F037D" w:rsidP="0098137A">
          <w:pPr>
            <w:pStyle w:val="Footer"/>
            <w:rPr>
              <w:sz w:val="2"/>
              <w:szCs w:val="2"/>
            </w:rPr>
          </w:pPr>
        </w:p>
      </w:tc>
    </w:tr>
    <w:tr w:rsidR="007F037D" w:rsidTr="0098137A">
      <w:tc>
        <w:tcPr>
          <w:tcW w:w="7692" w:type="dxa"/>
          <w:gridSpan w:val="2"/>
          <w:shd w:val="clear" w:color="auto" w:fill="auto"/>
        </w:tcPr>
        <w:p w:rsidR="007F037D" w:rsidRPr="00575AC5" w:rsidRDefault="003C178A" w:rsidP="0098137A">
          <w:pPr>
            <w:pStyle w:val="Footer"/>
            <w:rPr>
              <w:color w:val="505050"/>
            </w:rPr>
          </w:pPr>
          <w:r w:rsidRPr="00575AC5">
            <w:rPr>
              <w:color w:val="505050"/>
            </w:rPr>
            <w:fldChar w:fldCharType="begin"/>
          </w:r>
          <w:r w:rsidR="007F037D" w:rsidRPr="00575AC5">
            <w:rPr>
              <w:color w:val="505050"/>
            </w:rPr>
            <w:instrText xml:space="preserve"> PAGE  \* Arabic  \* MERGEFORMAT </w:instrText>
          </w:r>
          <w:r w:rsidRPr="00575AC5">
            <w:rPr>
              <w:color w:val="505050"/>
            </w:rPr>
            <w:fldChar w:fldCharType="separate"/>
          </w:r>
          <w:r w:rsidR="007F037D">
            <w:rPr>
              <w:noProof/>
              <w:color w:val="505050"/>
            </w:rPr>
            <w:t>2</w:t>
          </w:r>
          <w:r w:rsidRPr="00575AC5">
            <w:rPr>
              <w:color w:val="505050"/>
            </w:rPr>
            <w:fldChar w:fldCharType="end"/>
          </w:r>
          <w:r w:rsidR="007F037D" w:rsidRPr="00575AC5">
            <w:rPr>
              <w:color w:val="505050"/>
            </w:rPr>
            <w:t xml:space="preserve">   |   </w:t>
          </w:r>
          <w:r w:rsidR="007F037D"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a</w:t>
          </w:r>
          <w:r w:rsidR="007F037D" w:rsidRPr="00AE091D">
            <w:rPr>
              <w:rFonts w:ascii="HelveticaNeueLT Std Med" w:hAnsi="HelveticaNeueLT Std Med"/>
              <w:b/>
              <w:noProof/>
              <w:color w:val="505050"/>
              <w:spacing w:val="-15"/>
              <w:sz w:val="20"/>
            </w:rPr>
            <w:t>c</w:t>
          </w:r>
          <w:r w:rsidR="007F037D" w:rsidRPr="00821A88">
            <w:rPr>
              <w:rFonts w:ascii="HelveticaNeueLT Std Med" w:hAnsi="HelveticaNeueLT Std Med"/>
              <w:b/>
              <w:noProof/>
              <w:color w:val="505050"/>
              <w:spacing w:val="-16"/>
              <w:sz w:val="20"/>
            </w:rPr>
            <w:t>m</w:t>
          </w:r>
          <w:r w:rsidR="007F037D" w:rsidRPr="00FD2C2F">
            <w:rPr>
              <w:rFonts w:ascii="HelveticaNeueLT Std Med" w:hAnsi="HelveticaNeueLT Std Med"/>
              <w:b/>
              <w:noProof/>
              <w:color w:val="505050"/>
              <w:spacing w:val="-14"/>
              <w:sz w:val="20"/>
            </w:rPr>
            <w:t>a</w:t>
          </w:r>
          <w:r w:rsidR="007F037D" w:rsidRPr="00575AC5">
            <w:rPr>
              <w:color w:val="505050"/>
            </w:rPr>
            <w:t xml:space="preserve">  </w:t>
          </w:r>
        </w:p>
      </w:tc>
    </w:tr>
  </w:tbl>
  <w:p w:rsidR="007F037D" w:rsidRDefault="007F037D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7D" w:rsidRPr="00714433" w:rsidRDefault="003C178A">
    <w:pPr>
      <w:pStyle w:val="Footer"/>
      <w:jc w:val="center"/>
      <w:rPr>
        <w:rFonts w:ascii="Times New Roman" w:hAnsi="Times New Roman"/>
        <w:sz w:val="24"/>
        <w:szCs w:val="24"/>
      </w:rPr>
    </w:pPr>
    <w:r w:rsidRPr="00714433">
      <w:rPr>
        <w:rFonts w:ascii="Times New Roman" w:hAnsi="Times New Roman"/>
        <w:sz w:val="24"/>
        <w:szCs w:val="24"/>
      </w:rPr>
      <w:fldChar w:fldCharType="begin"/>
    </w:r>
    <w:r w:rsidR="007F037D" w:rsidRPr="00714433">
      <w:rPr>
        <w:rFonts w:ascii="Times New Roman" w:hAnsi="Times New Roman"/>
        <w:sz w:val="24"/>
        <w:szCs w:val="24"/>
      </w:rPr>
      <w:instrText xml:space="preserve"> PAGE   \* MERGEFORMAT </w:instrText>
    </w:r>
    <w:r w:rsidRPr="00714433">
      <w:rPr>
        <w:rFonts w:ascii="Times New Roman" w:hAnsi="Times New Roman"/>
        <w:sz w:val="24"/>
        <w:szCs w:val="24"/>
      </w:rPr>
      <w:fldChar w:fldCharType="separate"/>
    </w:r>
    <w:r w:rsidR="004C5D63">
      <w:rPr>
        <w:rFonts w:ascii="Times New Roman" w:hAnsi="Times New Roman"/>
        <w:noProof/>
        <w:sz w:val="24"/>
        <w:szCs w:val="24"/>
      </w:rPr>
      <w:t>6</w:t>
    </w:r>
    <w:r w:rsidRPr="00714433">
      <w:rPr>
        <w:rFonts w:ascii="Times New Roman" w:hAnsi="Times New Roman"/>
        <w:sz w:val="24"/>
        <w:szCs w:val="24"/>
      </w:rPr>
      <w:fldChar w:fldCharType="end"/>
    </w:r>
  </w:p>
  <w:p w:rsidR="007F037D" w:rsidRDefault="007F03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37D" w:rsidRDefault="007F037D" w:rsidP="008A30D0">
      <w:r>
        <w:separator/>
      </w:r>
    </w:p>
  </w:footnote>
  <w:footnote w:type="continuationSeparator" w:id="0">
    <w:p w:rsidR="007F037D" w:rsidRDefault="007F037D" w:rsidP="008A30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7D" w:rsidRDefault="007F037D">
    <w:pPr>
      <w:pStyle w:val="Header"/>
    </w:pPr>
  </w:p>
  <w:p w:rsidR="007F037D" w:rsidRDefault="007F03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37D" w:rsidRDefault="007F037D">
    <w:pPr>
      <w:pStyle w:val="Header"/>
    </w:pPr>
  </w:p>
  <w:tbl>
    <w:tblPr>
      <w:tblW w:w="0" w:type="auto"/>
      <w:tblLayout w:type="fixed"/>
      <w:tblCellMar>
        <w:left w:w="79" w:type="dxa"/>
        <w:right w:w="79" w:type="dxa"/>
      </w:tblCellMar>
      <w:tblLook w:val="0000"/>
    </w:tblPr>
    <w:tblGrid>
      <w:gridCol w:w="7308"/>
      <w:gridCol w:w="851"/>
    </w:tblGrid>
    <w:tr w:rsidR="007F037D" w:rsidTr="0098137A">
      <w:trPr>
        <w:cantSplit/>
      </w:trPr>
      <w:tc>
        <w:tcPr>
          <w:tcW w:w="7308" w:type="dxa"/>
        </w:tcPr>
        <w:p w:rsidR="007F037D" w:rsidRDefault="007F037D" w:rsidP="0098137A">
          <w:pPr>
            <w:widowControl w:val="0"/>
            <w:jc w:val="center"/>
            <w:rPr>
              <w:i/>
            </w:rPr>
          </w:pPr>
        </w:p>
      </w:tc>
      <w:tc>
        <w:tcPr>
          <w:tcW w:w="851" w:type="dxa"/>
        </w:tcPr>
        <w:p w:rsidR="007F037D" w:rsidRDefault="007F037D" w:rsidP="0098137A">
          <w:pPr>
            <w:widowControl w:val="0"/>
            <w:jc w:val="right"/>
          </w:pPr>
        </w:p>
      </w:tc>
    </w:tr>
  </w:tbl>
  <w:p w:rsidR="007F037D" w:rsidRDefault="007F037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10A9"/>
    <w:multiLevelType w:val="hybridMultilevel"/>
    <w:tmpl w:val="11F8B0AC"/>
    <w:lvl w:ilvl="0" w:tplc="0B90D43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F225FA"/>
    <w:multiLevelType w:val="singleLevel"/>
    <w:tmpl w:val="466AAA5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62494AF4"/>
    <w:multiLevelType w:val="singleLevel"/>
    <w:tmpl w:val="FF04D0E6"/>
    <w:lvl w:ilvl="0">
      <w:start w:val="1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3">
    <w:nsid w:val="7DD76978"/>
    <w:multiLevelType w:val="hybridMultilevel"/>
    <w:tmpl w:val="582E7604"/>
    <w:lvl w:ilvl="0" w:tplc="D6422A4C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F94F04C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7FC03CA9"/>
    <w:multiLevelType w:val="singleLevel"/>
    <w:tmpl w:val="B33441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stylePaneFormatFilter w:val="3F01"/>
  <w:doNotTrackMoves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SingleBorderforContiguousCells/>
    <w:showBreaksInFrames/>
    <w:suppressTopSpacing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28D"/>
    <w:rsid w:val="0000217D"/>
    <w:rsid w:val="000062C0"/>
    <w:rsid w:val="00062584"/>
    <w:rsid w:val="00073C90"/>
    <w:rsid w:val="00077440"/>
    <w:rsid w:val="00096329"/>
    <w:rsid w:val="000A057F"/>
    <w:rsid w:val="000A0B3E"/>
    <w:rsid w:val="000B0A7F"/>
    <w:rsid w:val="000B6FC5"/>
    <w:rsid w:val="000C7821"/>
    <w:rsid w:val="000E702A"/>
    <w:rsid w:val="0012215E"/>
    <w:rsid w:val="00134882"/>
    <w:rsid w:val="001453C6"/>
    <w:rsid w:val="00167E10"/>
    <w:rsid w:val="00173C8A"/>
    <w:rsid w:val="00191E32"/>
    <w:rsid w:val="0019358B"/>
    <w:rsid w:val="001B249F"/>
    <w:rsid w:val="001B55EE"/>
    <w:rsid w:val="001B6F99"/>
    <w:rsid w:val="001E4776"/>
    <w:rsid w:val="001F1EF6"/>
    <w:rsid w:val="001F4F0E"/>
    <w:rsid w:val="002041D0"/>
    <w:rsid w:val="00227E83"/>
    <w:rsid w:val="00230977"/>
    <w:rsid w:val="00252252"/>
    <w:rsid w:val="00271D30"/>
    <w:rsid w:val="002C4C4A"/>
    <w:rsid w:val="002C7129"/>
    <w:rsid w:val="002C7AD3"/>
    <w:rsid w:val="002D7533"/>
    <w:rsid w:val="003010B5"/>
    <w:rsid w:val="0030214E"/>
    <w:rsid w:val="00307D8A"/>
    <w:rsid w:val="00325F10"/>
    <w:rsid w:val="00357126"/>
    <w:rsid w:val="00396880"/>
    <w:rsid w:val="00397C7A"/>
    <w:rsid w:val="003C178A"/>
    <w:rsid w:val="003E4245"/>
    <w:rsid w:val="00416608"/>
    <w:rsid w:val="00425E9E"/>
    <w:rsid w:val="00472628"/>
    <w:rsid w:val="00481D28"/>
    <w:rsid w:val="00487B67"/>
    <w:rsid w:val="004C5D63"/>
    <w:rsid w:val="004D2433"/>
    <w:rsid w:val="004D2F80"/>
    <w:rsid w:val="004E54EF"/>
    <w:rsid w:val="004F60CA"/>
    <w:rsid w:val="00567B18"/>
    <w:rsid w:val="00583C12"/>
    <w:rsid w:val="00585067"/>
    <w:rsid w:val="005A428D"/>
    <w:rsid w:val="005D496E"/>
    <w:rsid w:val="005D76B8"/>
    <w:rsid w:val="005F2757"/>
    <w:rsid w:val="00604E93"/>
    <w:rsid w:val="00610A63"/>
    <w:rsid w:val="00611980"/>
    <w:rsid w:val="00627C43"/>
    <w:rsid w:val="00646A01"/>
    <w:rsid w:val="00670339"/>
    <w:rsid w:val="00671695"/>
    <w:rsid w:val="00691A81"/>
    <w:rsid w:val="006B4688"/>
    <w:rsid w:val="006C690A"/>
    <w:rsid w:val="00700A4B"/>
    <w:rsid w:val="00701DBD"/>
    <w:rsid w:val="00704AF6"/>
    <w:rsid w:val="00714433"/>
    <w:rsid w:val="0072200B"/>
    <w:rsid w:val="00765F64"/>
    <w:rsid w:val="007933A4"/>
    <w:rsid w:val="007C1A7C"/>
    <w:rsid w:val="007F037D"/>
    <w:rsid w:val="007F09DB"/>
    <w:rsid w:val="00805D77"/>
    <w:rsid w:val="00807651"/>
    <w:rsid w:val="00820B6C"/>
    <w:rsid w:val="00820F98"/>
    <w:rsid w:val="00835094"/>
    <w:rsid w:val="008464A6"/>
    <w:rsid w:val="008476DD"/>
    <w:rsid w:val="00851E67"/>
    <w:rsid w:val="008A30D0"/>
    <w:rsid w:val="00900A44"/>
    <w:rsid w:val="00956876"/>
    <w:rsid w:val="0098137A"/>
    <w:rsid w:val="00982E83"/>
    <w:rsid w:val="009840C9"/>
    <w:rsid w:val="00996C06"/>
    <w:rsid w:val="009A047B"/>
    <w:rsid w:val="009B07A7"/>
    <w:rsid w:val="00A15FF3"/>
    <w:rsid w:val="00A17A63"/>
    <w:rsid w:val="00A224C7"/>
    <w:rsid w:val="00A25AA7"/>
    <w:rsid w:val="00A46934"/>
    <w:rsid w:val="00A73043"/>
    <w:rsid w:val="00A87528"/>
    <w:rsid w:val="00A91DB0"/>
    <w:rsid w:val="00AA098F"/>
    <w:rsid w:val="00AB48CA"/>
    <w:rsid w:val="00AF7157"/>
    <w:rsid w:val="00B24018"/>
    <w:rsid w:val="00B43AE8"/>
    <w:rsid w:val="00B611E0"/>
    <w:rsid w:val="00BB4417"/>
    <w:rsid w:val="00BB507D"/>
    <w:rsid w:val="00BB56FD"/>
    <w:rsid w:val="00BD4A2C"/>
    <w:rsid w:val="00BF2701"/>
    <w:rsid w:val="00BF3009"/>
    <w:rsid w:val="00C20892"/>
    <w:rsid w:val="00C41393"/>
    <w:rsid w:val="00C52138"/>
    <w:rsid w:val="00CB0C45"/>
    <w:rsid w:val="00CD172E"/>
    <w:rsid w:val="00CD2F37"/>
    <w:rsid w:val="00CD3CE3"/>
    <w:rsid w:val="00CE125A"/>
    <w:rsid w:val="00CE6C5D"/>
    <w:rsid w:val="00CF1CBE"/>
    <w:rsid w:val="00CF6B74"/>
    <w:rsid w:val="00D01CEC"/>
    <w:rsid w:val="00D63B36"/>
    <w:rsid w:val="00D77CD1"/>
    <w:rsid w:val="00DB5BD5"/>
    <w:rsid w:val="00DD7C82"/>
    <w:rsid w:val="00DF1C88"/>
    <w:rsid w:val="00E05594"/>
    <w:rsid w:val="00E16AD9"/>
    <w:rsid w:val="00E4121C"/>
    <w:rsid w:val="00E55DDB"/>
    <w:rsid w:val="00E975B5"/>
    <w:rsid w:val="00ED173B"/>
    <w:rsid w:val="00EF00EF"/>
    <w:rsid w:val="00EF038C"/>
    <w:rsid w:val="00EF6BE1"/>
    <w:rsid w:val="00F0241B"/>
    <w:rsid w:val="00F1583C"/>
    <w:rsid w:val="00F36531"/>
    <w:rsid w:val="00F91594"/>
    <w:rsid w:val="00FC4025"/>
    <w:rsid w:val="00FC64A8"/>
    <w:rsid w:val="00FF7E0C"/>
    <w:rsid w:val="00FF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CD1"/>
    <w:pPr>
      <w:jc w:val="both"/>
    </w:pPr>
    <w:rPr>
      <w:rFonts w:ascii="Times" w:hAnsi="Times"/>
      <w:sz w:val="26"/>
    </w:rPr>
  </w:style>
  <w:style w:type="paragraph" w:styleId="Heading1">
    <w:name w:val="heading 1"/>
    <w:basedOn w:val="Normal"/>
    <w:next w:val="Normal"/>
    <w:qFormat/>
    <w:rsid w:val="00D77CD1"/>
    <w:pPr>
      <w:keepNext/>
      <w:spacing w:before="400" w:line="300" w:lineRule="atLeas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D77CD1"/>
    <w:pPr>
      <w:keepNext/>
      <w:numPr>
        <w:numId w:val="1"/>
      </w:numPr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77CD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D77CD1"/>
    <w:pPr>
      <w:keepNext/>
      <w:jc w:val="left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qFormat/>
    <w:rsid w:val="00D77CD1"/>
    <w:pPr>
      <w:keepNext/>
      <w:spacing w:before="120" w:line="300" w:lineRule="atLeast"/>
      <w:jc w:val="center"/>
      <w:outlineLvl w:val="4"/>
    </w:pPr>
    <w:rPr>
      <w:rFonts w:ascii="Times New Roman" w:hAnsi="Times New Roman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rsid w:val="00D77CD1"/>
    <w:pPr>
      <w:tabs>
        <w:tab w:val="center" w:pos="3600"/>
        <w:tab w:val="right" w:pos="7200"/>
      </w:tabs>
      <w:jc w:val="both"/>
    </w:pPr>
    <w:rPr>
      <w:rFonts w:ascii="Helvetica" w:hAnsi="Helvetica"/>
      <w:sz w:val="12"/>
    </w:rPr>
  </w:style>
  <w:style w:type="paragraph" w:styleId="Header">
    <w:name w:val="header"/>
    <w:basedOn w:val="Body"/>
    <w:link w:val="HeaderChar"/>
    <w:rsid w:val="00D77CD1"/>
    <w:pPr>
      <w:tabs>
        <w:tab w:val="center" w:pos="3969"/>
        <w:tab w:val="right" w:pos="8504"/>
      </w:tabs>
      <w:spacing w:line="240" w:lineRule="auto"/>
    </w:pPr>
  </w:style>
  <w:style w:type="paragraph" w:customStyle="1" w:styleId="Body">
    <w:name w:val="Body"/>
    <w:rsid w:val="00D77CD1"/>
    <w:pPr>
      <w:spacing w:line="260" w:lineRule="atLeast"/>
      <w:jc w:val="both"/>
    </w:pPr>
    <w:rPr>
      <w:rFonts w:ascii="Times" w:hAnsi="Times"/>
      <w:sz w:val="26"/>
    </w:rPr>
  </w:style>
  <w:style w:type="paragraph" w:customStyle="1" w:styleId="HR">
    <w:name w:val="HR"/>
    <w:aliases w:val="Regulation Heading"/>
    <w:basedOn w:val="Body"/>
    <w:next w:val="R1"/>
    <w:rsid w:val="00D77CD1"/>
    <w:pPr>
      <w:keepNext/>
      <w:tabs>
        <w:tab w:val="left" w:pos="540"/>
      </w:tabs>
      <w:spacing w:before="480" w:line="240" w:lineRule="atLeast"/>
    </w:pPr>
    <w:rPr>
      <w:b/>
    </w:rPr>
  </w:style>
  <w:style w:type="paragraph" w:customStyle="1" w:styleId="R1">
    <w:name w:val="R1"/>
    <w:aliases w:val="1. or 1.(1)"/>
    <w:basedOn w:val="Body"/>
    <w:next w:val="P1"/>
    <w:rsid w:val="00D77CD1"/>
    <w:pPr>
      <w:tabs>
        <w:tab w:val="right" w:pos="1080"/>
        <w:tab w:val="left" w:pos="1260"/>
        <w:tab w:val="left" w:pos="1800"/>
      </w:tabs>
      <w:spacing w:before="120" w:line="240" w:lineRule="auto"/>
    </w:pPr>
  </w:style>
  <w:style w:type="paragraph" w:customStyle="1" w:styleId="P1">
    <w:name w:val="P1"/>
    <w:aliases w:val="(a)"/>
    <w:basedOn w:val="Body"/>
    <w:rsid w:val="00D77CD1"/>
    <w:pPr>
      <w:tabs>
        <w:tab w:val="right" w:pos="1080"/>
      </w:tabs>
      <w:spacing w:before="40"/>
      <w:ind w:left="1276" w:hanging="1280"/>
    </w:pPr>
  </w:style>
  <w:style w:type="paragraph" w:customStyle="1" w:styleId="R2">
    <w:name w:val="R2"/>
    <w:aliases w:val="(2)"/>
    <w:basedOn w:val="R1"/>
    <w:next w:val="P1"/>
    <w:rsid w:val="00D77CD1"/>
    <w:pPr>
      <w:spacing w:before="240"/>
    </w:pPr>
  </w:style>
  <w:style w:type="paragraph" w:customStyle="1" w:styleId="P2">
    <w:name w:val="P2"/>
    <w:aliases w:val="(i)"/>
    <w:basedOn w:val="Body"/>
    <w:rsid w:val="00D77CD1"/>
    <w:pPr>
      <w:tabs>
        <w:tab w:val="right" w:pos="1800"/>
      </w:tabs>
      <w:spacing w:before="40"/>
      <w:ind w:left="1985" w:hanging="1980"/>
    </w:pPr>
  </w:style>
  <w:style w:type="paragraph" w:customStyle="1" w:styleId="P3">
    <w:name w:val="P3"/>
    <w:aliases w:val="(A)"/>
    <w:basedOn w:val="Body"/>
    <w:rsid w:val="00D77CD1"/>
    <w:pPr>
      <w:tabs>
        <w:tab w:val="right" w:pos="2520"/>
      </w:tabs>
      <w:spacing w:before="40"/>
      <w:ind w:left="2700" w:hanging="2700"/>
    </w:pPr>
  </w:style>
  <w:style w:type="paragraph" w:styleId="Title">
    <w:name w:val="Title"/>
    <w:basedOn w:val="Body"/>
    <w:next w:val="Normal"/>
    <w:qFormat/>
    <w:rsid w:val="00D77CD1"/>
    <w:pPr>
      <w:spacing w:before="480" w:line="240" w:lineRule="auto"/>
      <w:jc w:val="center"/>
    </w:pPr>
    <w:rPr>
      <w:b/>
      <w:sz w:val="36"/>
    </w:rPr>
  </w:style>
  <w:style w:type="paragraph" w:customStyle="1" w:styleId="HP">
    <w:name w:val="HP"/>
    <w:aliases w:val="Part Heading"/>
    <w:basedOn w:val="Body"/>
    <w:next w:val="HD"/>
    <w:rsid w:val="00D77CD1"/>
    <w:pPr>
      <w:keepNext/>
      <w:spacing w:before="480" w:line="240" w:lineRule="auto"/>
      <w:jc w:val="center"/>
    </w:pPr>
    <w:rPr>
      <w:b/>
    </w:rPr>
  </w:style>
  <w:style w:type="paragraph" w:customStyle="1" w:styleId="HD">
    <w:name w:val="HD"/>
    <w:aliases w:val="Division Heading"/>
    <w:basedOn w:val="Body"/>
    <w:next w:val="HR"/>
    <w:rsid w:val="00D77CD1"/>
    <w:pPr>
      <w:keepNext/>
      <w:spacing w:before="720" w:line="240" w:lineRule="atLeast"/>
      <w:jc w:val="center"/>
    </w:pPr>
    <w:rPr>
      <w:b/>
      <w:i/>
    </w:rPr>
  </w:style>
  <w:style w:type="paragraph" w:customStyle="1" w:styleId="SL">
    <w:name w:val="SL"/>
    <w:aliases w:val="Section at left"/>
    <w:basedOn w:val="Body"/>
    <w:rsid w:val="00D77CD1"/>
    <w:pPr>
      <w:spacing w:before="240" w:after="240" w:line="240" w:lineRule="atLeast"/>
    </w:pPr>
    <w:rPr>
      <w:b/>
    </w:rPr>
  </w:style>
  <w:style w:type="paragraph" w:customStyle="1" w:styleId="SR">
    <w:name w:val="SR"/>
    <w:aliases w:val="Section at right"/>
    <w:basedOn w:val="Body"/>
    <w:rsid w:val="00D77CD1"/>
    <w:pPr>
      <w:spacing w:before="240" w:after="240" w:line="240" w:lineRule="atLeast"/>
      <w:jc w:val="right"/>
    </w:pPr>
    <w:rPr>
      <w:b/>
    </w:rPr>
  </w:style>
  <w:style w:type="paragraph" w:customStyle="1" w:styleId="Rc">
    <w:name w:val="Rc"/>
    <w:aliases w:val="Rn continued"/>
    <w:basedOn w:val="R1"/>
    <w:next w:val="P1"/>
    <w:rsid w:val="00D77CD1"/>
    <w:pPr>
      <w:spacing w:before="40"/>
    </w:pPr>
  </w:style>
  <w:style w:type="paragraph" w:customStyle="1" w:styleId="NoteEnd">
    <w:name w:val="Note End"/>
    <w:basedOn w:val="Body"/>
    <w:rsid w:val="00D77CD1"/>
    <w:pPr>
      <w:spacing w:before="180" w:line="240" w:lineRule="auto"/>
      <w:ind w:left="360" w:hanging="360"/>
    </w:pPr>
    <w:rPr>
      <w:sz w:val="22"/>
    </w:rPr>
  </w:style>
  <w:style w:type="paragraph" w:customStyle="1" w:styleId="P4">
    <w:name w:val="P4"/>
    <w:aliases w:val="(I)"/>
    <w:basedOn w:val="Body"/>
    <w:rsid w:val="00D77CD1"/>
    <w:pPr>
      <w:tabs>
        <w:tab w:val="right" w:pos="3240"/>
      </w:tabs>
      <w:spacing w:before="40"/>
      <w:ind w:left="3420" w:hanging="3420"/>
    </w:pPr>
  </w:style>
  <w:style w:type="paragraph" w:customStyle="1" w:styleId="A3">
    <w:name w:val="A3"/>
    <w:aliases w:val="1.2 amendment"/>
    <w:basedOn w:val="A2"/>
    <w:next w:val="A2"/>
    <w:rsid w:val="00D77CD1"/>
    <w:pPr>
      <w:spacing w:before="240"/>
    </w:pPr>
  </w:style>
  <w:style w:type="paragraph" w:customStyle="1" w:styleId="A2">
    <w:name w:val="A2"/>
    <w:aliases w:val="1.1 amendment"/>
    <w:basedOn w:val="Body"/>
    <w:rsid w:val="00D77CD1"/>
    <w:pPr>
      <w:keepNext/>
      <w:spacing w:before="40"/>
    </w:pPr>
  </w:style>
  <w:style w:type="paragraph" w:customStyle="1" w:styleId="A1">
    <w:name w:val="A1"/>
    <w:aliases w:val="1. Amendment"/>
    <w:basedOn w:val="Body"/>
    <w:next w:val="A2"/>
    <w:rsid w:val="00D77CD1"/>
    <w:pPr>
      <w:keepNext/>
      <w:spacing w:before="480" w:line="240" w:lineRule="atLeast"/>
    </w:pPr>
    <w:rPr>
      <w:b/>
    </w:rPr>
  </w:style>
  <w:style w:type="paragraph" w:customStyle="1" w:styleId="NoteBody">
    <w:name w:val="Note Body"/>
    <w:basedOn w:val="NoteEnd"/>
    <w:rsid w:val="00D77CD1"/>
    <w:pPr>
      <w:spacing w:before="240" w:line="260" w:lineRule="atLeast"/>
      <w:ind w:left="0" w:firstLine="0"/>
    </w:pPr>
  </w:style>
  <w:style w:type="paragraph" w:customStyle="1" w:styleId="definition">
    <w:name w:val="definition"/>
    <w:basedOn w:val="Rc"/>
    <w:rsid w:val="00D77CD1"/>
  </w:style>
  <w:style w:type="paragraph" w:customStyle="1" w:styleId="Scheduleheading">
    <w:name w:val="Schedule heading"/>
    <w:basedOn w:val="Body"/>
    <w:next w:val="Scheduletitle"/>
    <w:rsid w:val="00D77CD1"/>
    <w:pPr>
      <w:keepNext/>
      <w:keepLines/>
      <w:tabs>
        <w:tab w:val="center" w:pos="3600"/>
        <w:tab w:val="right" w:pos="7160"/>
      </w:tabs>
      <w:spacing w:before="240"/>
    </w:pPr>
  </w:style>
  <w:style w:type="paragraph" w:customStyle="1" w:styleId="Scheduletitle">
    <w:name w:val="Schedule title"/>
    <w:basedOn w:val="Body"/>
    <w:next w:val="Normal"/>
    <w:rsid w:val="00D77CD1"/>
    <w:pPr>
      <w:keepNext/>
      <w:keepLines/>
      <w:spacing w:before="240"/>
      <w:jc w:val="center"/>
    </w:pPr>
    <w:rPr>
      <w:b/>
      <w:caps/>
    </w:rPr>
  </w:style>
  <w:style w:type="paragraph" w:customStyle="1" w:styleId="AEndNote3">
    <w:name w:val="AEndNote3"/>
    <w:rsid w:val="00D77CD1"/>
    <w:pPr>
      <w:spacing w:before="180"/>
      <w:ind w:left="360" w:hanging="360"/>
      <w:jc w:val="both"/>
    </w:pPr>
    <w:rPr>
      <w:rFonts w:ascii="Times" w:hAnsi="Times"/>
      <w:sz w:val="22"/>
    </w:rPr>
  </w:style>
  <w:style w:type="paragraph" w:styleId="TOC6">
    <w:name w:val="toc 6"/>
    <w:basedOn w:val="Normal"/>
    <w:next w:val="Normal"/>
    <w:semiHidden/>
    <w:rsid w:val="00D77CD1"/>
    <w:pPr>
      <w:tabs>
        <w:tab w:val="right" w:leader="dot" w:pos="7215"/>
      </w:tabs>
      <w:ind w:left="1300"/>
    </w:pPr>
  </w:style>
  <w:style w:type="paragraph" w:customStyle="1" w:styleId="longrule">
    <w:name w:val="long rule"/>
    <w:basedOn w:val="Normal"/>
    <w:rsid w:val="00D77CD1"/>
    <w:pPr>
      <w:pBdr>
        <w:bottom w:val="single" w:sz="2" w:space="4" w:color="auto"/>
      </w:pBdr>
      <w:spacing w:before="260"/>
      <w:jc w:val="center"/>
    </w:pPr>
  </w:style>
  <w:style w:type="paragraph" w:customStyle="1" w:styleId="shortrule">
    <w:name w:val="short rule"/>
    <w:basedOn w:val="Normal"/>
    <w:rsid w:val="00D77CD1"/>
    <w:pPr>
      <w:pBdr>
        <w:bottom w:val="single" w:sz="2" w:space="4" w:color="auto"/>
      </w:pBdr>
      <w:spacing w:before="260"/>
      <w:ind w:left="3402" w:right="3402"/>
      <w:jc w:val="center"/>
    </w:pPr>
  </w:style>
  <w:style w:type="paragraph" w:styleId="BodyText">
    <w:name w:val="Body Text"/>
    <w:basedOn w:val="Normal"/>
    <w:rsid w:val="00D77CD1"/>
    <w:pPr>
      <w:spacing w:before="120"/>
    </w:pPr>
    <w:rPr>
      <w:i/>
    </w:rPr>
  </w:style>
  <w:style w:type="paragraph" w:customStyle="1" w:styleId="TextWOutChapSectionBreak">
    <w:name w:val="TextW/OutChapSectionBreak"/>
    <w:basedOn w:val="Normal"/>
    <w:next w:val="Normal"/>
    <w:rsid w:val="00F1583C"/>
    <w:pPr>
      <w:jc w:val="center"/>
    </w:pPr>
    <w:rPr>
      <w:rFonts w:ascii="Times New Roman" w:hAnsi="Times New Roman"/>
      <w:sz w:val="24"/>
    </w:rPr>
  </w:style>
  <w:style w:type="paragraph" w:customStyle="1" w:styleId="Default">
    <w:name w:val="Default"/>
    <w:rsid w:val="00BF27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Classic3">
    <w:name w:val="Table Classic 3"/>
    <w:basedOn w:val="TableNormal"/>
    <w:rsid w:val="00BF2701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F2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D3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3C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CD3C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3CE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3CE3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CD3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D3CE3"/>
    <w:rPr>
      <w:b/>
      <w:bCs/>
    </w:rPr>
  </w:style>
  <w:style w:type="character" w:customStyle="1" w:styleId="HeaderChar">
    <w:name w:val="Header Char"/>
    <w:basedOn w:val="DefaultParagraphFont"/>
    <w:link w:val="Header"/>
    <w:rsid w:val="001B249F"/>
    <w:rPr>
      <w:rFonts w:ascii="Times" w:hAnsi="Times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1B249F"/>
    <w:rPr>
      <w:rFonts w:ascii="Helvetica" w:hAnsi="Helvetica"/>
      <w:sz w:val="12"/>
      <w:lang w:val="en-AU" w:eastAsia="en-AU" w:bidi="ar-SA"/>
    </w:rPr>
  </w:style>
  <w:style w:type="paragraph" w:styleId="DocumentMap">
    <w:name w:val="Document Map"/>
    <w:basedOn w:val="Normal"/>
    <w:link w:val="DocumentMapChar"/>
    <w:rsid w:val="0019358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93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DocumentType xmlns="0d6bab15-32b2-482f-9d32-d1d4c802fe8a">24</LP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galPoint Blank Document" ma:contentTypeID="0x0101007F14BAF55DFB4E6381D4178E259E3EA40066E86025BF6FA0499C3F8E86C8E63468" ma:contentTypeVersion="1" ma:contentTypeDescription="Create a blank document" ma:contentTypeScope="" ma:versionID="1eedaeec2ff7e50ad9016196a92a1b49">
  <xsd:schema xmlns:xsd="http://www.w3.org/2001/XMLSchema" xmlns:xs="http://www.w3.org/2001/XMLSchema" xmlns:p="http://schemas.microsoft.com/office/2006/metadata/properties" xmlns:ns2="0d6bab15-32b2-482f-9d32-d1d4c802fe8a" targetNamespace="http://schemas.microsoft.com/office/2006/metadata/properties" ma:root="true" ma:fieldsID="d3364a9c063e77621f74a6736c9ed1ab" ns2:_="">
    <xsd:import namespace="0d6bab15-32b2-482f-9d32-d1d4c802fe8a"/>
    <xsd:element name="properties">
      <xsd:complexType>
        <xsd:sequence>
          <xsd:element name="documentManagement">
            <xsd:complexType>
              <xsd:all>
                <xsd:element ref="ns2:LPDocu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ab15-32b2-482f-9d32-d1d4c802fe8a" elementFormDefault="qualified">
    <xsd:import namespace="http://schemas.microsoft.com/office/2006/documentManagement/types"/>
    <xsd:import namespace="http://schemas.microsoft.com/office/infopath/2007/PartnerControls"/>
    <xsd:element name="LPDocumentType" ma:index="8" ma:displayName="Document Type" ma:list="{D1E78D4B-6B05-4362-8385-84435DC237BC}" ma:internalName="LPDocumentType" ma:showField="Title" ma:web="0d6bab15-32b2-482f-9d32-d1d4c802fe8a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4F1E-5FBF-4F28-BAAC-C52C7804AFEC}">
  <ds:schemaRefs>
    <ds:schemaRef ds:uri="http://schemas.microsoft.com/office/2006/metadata/properties"/>
    <ds:schemaRef ds:uri="http://schemas.microsoft.com/office/infopath/2007/PartnerControls"/>
    <ds:schemaRef ds:uri="0d6bab15-32b2-482f-9d32-d1d4c802fe8a"/>
  </ds:schemaRefs>
</ds:datastoreItem>
</file>

<file path=customXml/itemProps2.xml><?xml version="1.0" encoding="utf-8"?>
<ds:datastoreItem xmlns:ds="http://schemas.openxmlformats.org/officeDocument/2006/customXml" ds:itemID="{397E0B53-1BEE-4617-859E-FD02E7055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3B3293-858B-41ED-B385-5DCC412E8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bab15-32b2-482f-9d32-d1d4c802f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9D957-286A-40AF-8DF3-181819F1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Spectrum reallocation declaration - 700MHz</vt:lpstr>
    </vt:vector>
  </TitlesOfParts>
  <Company>Dept. of Comms, IT &amp; the Arts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Spectrum reallocation declaration - 700MHz</dc:title>
  <dc:creator>tsmith</dc:creator>
  <cp:lastModifiedBy>abinos</cp:lastModifiedBy>
  <cp:revision>3</cp:revision>
  <cp:lastPrinted>2011-10-12T01:46:00Z</cp:lastPrinted>
  <dcterms:created xsi:type="dcterms:W3CDTF">2011-10-12T04:22:00Z</dcterms:created>
  <dcterms:modified xsi:type="dcterms:W3CDTF">2011-11-01T05:07:00Z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0x0101007F14BAF55DFB4E6381D4178E259E3EA40066E86025BF6FA0499C3F8E86C8E63468</vt:lpwstr>
  </property>
</Properties>
</file>