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F1" w:rsidRDefault="00A53178" w:rsidP="00D056F1">
      <w:r>
        <w:rPr>
          <w:noProof/>
          <w:lang w:val="en-AU" w:eastAsia="en-AU" w:bidi="ar-SA"/>
        </w:rPr>
        <w:drawing>
          <wp:inline distT="0" distB="0" distL="0" distR="0">
            <wp:extent cx="3962400" cy="695325"/>
            <wp:effectExtent l="0" t="0" r="0" b="9525"/>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400" cy="695325"/>
                    </a:xfrm>
                    <a:prstGeom prst="rect">
                      <a:avLst/>
                    </a:prstGeom>
                    <a:noFill/>
                    <a:ln>
                      <a:noFill/>
                    </a:ln>
                  </pic:spPr>
                </pic:pic>
              </a:graphicData>
            </a:graphic>
          </wp:inline>
        </w:drawing>
      </w:r>
    </w:p>
    <w:p w:rsidR="00246579" w:rsidRDefault="00246579" w:rsidP="00246579"/>
    <w:p w:rsidR="00246579" w:rsidRDefault="00246579" w:rsidP="00246579">
      <w:pPr>
        <w:rPr>
          <w:b/>
          <w:sz w:val="28"/>
          <w:szCs w:val="28"/>
        </w:rPr>
      </w:pPr>
    </w:p>
    <w:p w:rsidR="007B2360" w:rsidRDefault="007B2360" w:rsidP="00246579">
      <w:pPr>
        <w:rPr>
          <w:b/>
          <w:sz w:val="28"/>
          <w:szCs w:val="28"/>
        </w:rPr>
      </w:pPr>
    </w:p>
    <w:p w:rsidR="007B2360" w:rsidRDefault="007B2360" w:rsidP="00246579"/>
    <w:p w:rsidR="00D056F1" w:rsidRPr="005F400E" w:rsidRDefault="00D056F1" w:rsidP="00DB2973">
      <w:pPr>
        <w:pStyle w:val="FSTitle"/>
      </w:pPr>
      <w:r w:rsidRPr="005F400E">
        <w:t>APPLICATION</w:t>
      </w:r>
      <w:r w:rsidR="00B25F4E">
        <w:t xml:space="preserve"> A1047</w:t>
      </w:r>
    </w:p>
    <w:p w:rsidR="00B25F4E" w:rsidRPr="00246579" w:rsidRDefault="00B25F4E" w:rsidP="00B25F4E">
      <w:pPr>
        <w:pStyle w:val="FSTitle"/>
        <w:rPr>
          <w:caps/>
        </w:rPr>
      </w:pPr>
      <w:r w:rsidRPr="00246579">
        <w:rPr>
          <w:caps/>
        </w:rPr>
        <w:t xml:space="preserve">Sodium carboxymethylcellulose as a Food Additive in Wine </w:t>
      </w:r>
    </w:p>
    <w:p w:rsidR="002A0194" w:rsidRPr="005F400E" w:rsidRDefault="007B2360" w:rsidP="00B25F4E">
      <w:pPr>
        <w:pStyle w:val="FSTitle"/>
      </w:pPr>
      <w:r>
        <w:t>EXPLANATORY STATEMENT</w:t>
      </w:r>
      <w:bookmarkStart w:id="0" w:name="_GoBack"/>
      <w:bookmarkEnd w:id="0"/>
    </w:p>
    <w:p w:rsidR="002A0194" w:rsidRPr="00DC6570" w:rsidRDefault="002A0194" w:rsidP="00D056F1">
      <w:pPr>
        <w:pBdr>
          <w:bottom w:val="single" w:sz="12" w:space="1" w:color="auto"/>
        </w:pBdr>
        <w:rPr>
          <w:rFonts w:ascii="Tahoma" w:hAnsi="Tahoma" w:cs="Tahoma"/>
          <w:b/>
          <w:bCs/>
        </w:rPr>
      </w:pPr>
    </w:p>
    <w:p w:rsidR="00D056F1" w:rsidRDefault="00D056F1" w:rsidP="002A0194"/>
    <w:p w:rsidR="002A0194" w:rsidRPr="00D60568" w:rsidRDefault="002A0194" w:rsidP="002A0194">
      <w:pPr>
        <w:rPr>
          <w:rFonts w:ascii="Tahoma" w:hAnsi="Tahoma" w:cs="Tahoma"/>
          <w:b/>
          <w:bCs/>
          <w:sz w:val="28"/>
          <w:u w:val="single"/>
        </w:rPr>
      </w:pPr>
      <w:bookmarkStart w:id="1" w:name="_Toc11735626"/>
      <w:bookmarkStart w:id="2" w:name="_Toc29883108"/>
      <w:bookmarkStart w:id="3" w:name="_Toc41906795"/>
      <w:bookmarkStart w:id="4" w:name="_Toc41907543"/>
      <w:bookmarkStart w:id="5" w:name="_Toc120090537"/>
      <w:bookmarkStart w:id="6" w:name="_Toc120358570"/>
      <w:bookmarkStart w:id="7" w:name="_Toc120358612"/>
      <w:r w:rsidRPr="00D60568">
        <w:rPr>
          <w:rFonts w:ascii="Tahoma" w:hAnsi="Tahoma" w:cs="Tahoma"/>
          <w:b/>
          <w:bCs/>
          <w:sz w:val="28"/>
          <w:u w:val="single"/>
        </w:rPr>
        <w:t>Executive Summary</w:t>
      </w:r>
      <w:bookmarkEnd w:id="1"/>
      <w:bookmarkEnd w:id="2"/>
      <w:bookmarkEnd w:id="3"/>
      <w:bookmarkEnd w:id="4"/>
      <w:bookmarkEnd w:id="5"/>
      <w:bookmarkEnd w:id="6"/>
      <w:bookmarkEnd w:id="7"/>
    </w:p>
    <w:p w:rsidR="00B25F4E" w:rsidRDefault="00B25F4E" w:rsidP="005F400E">
      <w:pPr>
        <w:rPr>
          <w:rFonts w:cs="Arial"/>
          <w:b/>
          <w:bCs/>
        </w:rPr>
      </w:pPr>
      <w:bookmarkStart w:id="8" w:name="_Toc120090538"/>
      <w:bookmarkStart w:id="9" w:name="_Toc120358571"/>
      <w:bookmarkStart w:id="10" w:name="_Toc120358613"/>
    </w:p>
    <w:p w:rsidR="005F400E" w:rsidRPr="003F2140" w:rsidRDefault="005F400E" w:rsidP="005F400E">
      <w:pPr>
        <w:rPr>
          <w:rFonts w:cs="Arial"/>
          <w:b/>
          <w:bCs/>
        </w:rPr>
      </w:pPr>
      <w:r w:rsidRPr="00DC6570">
        <w:rPr>
          <w:rFonts w:cs="Arial"/>
          <w:b/>
          <w:bCs/>
        </w:rPr>
        <w:t>Purpose</w:t>
      </w:r>
      <w:bookmarkEnd w:id="8"/>
      <w:bookmarkEnd w:id="9"/>
      <w:bookmarkEnd w:id="10"/>
    </w:p>
    <w:p w:rsidR="00B25F4E" w:rsidRPr="003F2140" w:rsidRDefault="00B25F4E" w:rsidP="005F400E">
      <w:pPr>
        <w:rPr>
          <w:rFonts w:cs="Arial"/>
        </w:rPr>
      </w:pPr>
    </w:p>
    <w:p w:rsidR="00B25F4E" w:rsidRPr="00C10CA9" w:rsidRDefault="00B25F4E" w:rsidP="00B25F4E">
      <w:pPr>
        <w:rPr>
          <w:szCs w:val="22"/>
        </w:rPr>
      </w:pPr>
      <w:r w:rsidRPr="003F2140">
        <w:rPr>
          <w:szCs w:val="22"/>
        </w:rPr>
        <w:t xml:space="preserve">Food Standards </w:t>
      </w:r>
      <w:r w:rsidRPr="00C10CA9">
        <w:rPr>
          <w:szCs w:val="22"/>
        </w:rPr>
        <w:t xml:space="preserve">Australia New Zealand (FSANZ) received an Application from the </w:t>
      </w:r>
      <w:r w:rsidRPr="00C10CA9">
        <w:rPr>
          <w:rFonts w:cs="Arial"/>
          <w:szCs w:val="22"/>
        </w:rPr>
        <w:t xml:space="preserve">Winemakers’ Federation of Australia (WFA) on 6 May 2010. This Application </w:t>
      </w:r>
      <w:r w:rsidR="002149D6">
        <w:rPr>
          <w:rFonts w:cs="Arial"/>
          <w:szCs w:val="22"/>
        </w:rPr>
        <w:t>sought</w:t>
      </w:r>
      <w:r w:rsidR="002149D6" w:rsidRPr="00C10CA9">
        <w:rPr>
          <w:rFonts w:cs="Arial"/>
          <w:szCs w:val="22"/>
        </w:rPr>
        <w:t xml:space="preserve"> </w:t>
      </w:r>
      <w:r w:rsidR="00F23BF4" w:rsidRPr="00C10CA9">
        <w:rPr>
          <w:rFonts w:cs="Arial"/>
          <w:szCs w:val="22"/>
        </w:rPr>
        <w:t>to amend Standard</w:t>
      </w:r>
      <w:r w:rsidRPr="00C10CA9">
        <w:rPr>
          <w:rFonts w:cs="Arial"/>
          <w:szCs w:val="22"/>
        </w:rPr>
        <w:t xml:space="preserve"> 1.3.1 – Food Additives and </w:t>
      </w:r>
      <w:r w:rsidR="00F23BF4" w:rsidRPr="00C10CA9">
        <w:rPr>
          <w:rFonts w:cs="Arial"/>
          <w:szCs w:val="22"/>
        </w:rPr>
        <w:t>Australia</w:t>
      </w:r>
      <w:r w:rsidR="00481D4E">
        <w:rPr>
          <w:rFonts w:cs="Arial"/>
          <w:szCs w:val="22"/>
        </w:rPr>
        <w:t>-</w:t>
      </w:r>
      <w:r w:rsidR="00F23BF4" w:rsidRPr="00C10CA9">
        <w:rPr>
          <w:rFonts w:cs="Arial"/>
          <w:szCs w:val="22"/>
        </w:rPr>
        <w:t xml:space="preserve">only Standard </w:t>
      </w:r>
      <w:r w:rsidRPr="00C10CA9">
        <w:rPr>
          <w:rFonts w:cs="Arial"/>
          <w:szCs w:val="22"/>
        </w:rPr>
        <w:t xml:space="preserve">4.5.1 – Wine Production Requirements of the </w:t>
      </w:r>
      <w:r w:rsidRPr="00C10CA9">
        <w:rPr>
          <w:i/>
          <w:szCs w:val="22"/>
        </w:rPr>
        <w:t xml:space="preserve">Australia New Zealand Food Standards Code </w:t>
      </w:r>
      <w:r w:rsidRPr="00C10CA9">
        <w:rPr>
          <w:szCs w:val="22"/>
        </w:rPr>
        <w:t>(the Code) to allow sodium carboxymethylcellulose (</w:t>
      </w:r>
      <w:r w:rsidR="00030A10">
        <w:rPr>
          <w:szCs w:val="22"/>
        </w:rPr>
        <w:t xml:space="preserve">sodium </w:t>
      </w:r>
      <w:r w:rsidRPr="00C10CA9">
        <w:rPr>
          <w:szCs w:val="22"/>
        </w:rPr>
        <w:t xml:space="preserve">CMC) as an additive in wine and sparkling wine. </w:t>
      </w:r>
    </w:p>
    <w:p w:rsidR="00B25F4E" w:rsidRPr="00C10CA9" w:rsidRDefault="00B25F4E" w:rsidP="00B25F4E">
      <w:pPr>
        <w:rPr>
          <w:i/>
          <w:szCs w:val="22"/>
        </w:rPr>
      </w:pPr>
    </w:p>
    <w:p w:rsidR="00B25F4E" w:rsidRPr="00C10CA9" w:rsidRDefault="00030A10" w:rsidP="00B25F4E">
      <w:pPr>
        <w:rPr>
          <w:szCs w:val="22"/>
        </w:rPr>
      </w:pPr>
      <w:r>
        <w:rPr>
          <w:szCs w:val="22"/>
        </w:rPr>
        <w:t xml:space="preserve">Sodium </w:t>
      </w:r>
      <w:r w:rsidR="00B25F4E" w:rsidRPr="00C10CA9">
        <w:rPr>
          <w:szCs w:val="22"/>
        </w:rPr>
        <w:t xml:space="preserve">CMC stabilises wine by inhibiting </w:t>
      </w:r>
      <w:r w:rsidR="00B25F4E" w:rsidRPr="00C10CA9">
        <w:rPr>
          <w:rFonts w:cs="Arial"/>
          <w:szCs w:val="22"/>
        </w:rPr>
        <w:t xml:space="preserve">tartrate crystal formation and subsequent precipitation which can cause cloudiness and sediment formation and make the wine undesirable to drink. </w:t>
      </w:r>
      <w:r>
        <w:rPr>
          <w:rFonts w:cs="Arial"/>
          <w:szCs w:val="22"/>
        </w:rPr>
        <w:t xml:space="preserve">Sodium </w:t>
      </w:r>
      <w:r w:rsidR="00B25F4E" w:rsidRPr="00C10CA9">
        <w:rPr>
          <w:rFonts w:cs="Arial"/>
          <w:szCs w:val="22"/>
        </w:rPr>
        <w:t xml:space="preserve">CMC is intended to be used as an additional tool, rather than as a replacement for existing </w:t>
      </w:r>
      <w:r w:rsidR="004C1C49" w:rsidRPr="00C10CA9">
        <w:rPr>
          <w:rFonts w:cs="Arial"/>
          <w:szCs w:val="22"/>
        </w:rPr>
        <w:t xml:space="preserve">tartrate </w:t>
      </w:r>
      <w:r w:rsidR="00B25F4E" w:rsidRPr="00C10CA9">
        <w:rPr>
          <w:rFonts w:cs="Arial"/>
          <w:szCs w:val="22"/>
        </w:rPr>
        <w:t xml:space="preserve">crystal control methods. </w:t>
      </w:r>
    </w:p>
    <w:p w:rsidR="00B25F4E" w:rsidRPr="00C10CA9" w:rsidRDefault="00B25F4E" w:rsidP="00B25F4E">
      <w:pPr>
        <w:rPr>
          <w:rFonts w:cs="Arial"/>
          <w:szCs w:val="22"/>
        </w:rPr>
      </w:pPr>
    </w:p>
    <w:p w:rsidR="00B25F4E" w:rsidRPr="00C10CA9" w:rsidRDefault="00B25F4E" w:rsidP="00B25F4E">
      <w:pPr>
        <w:rPr>
          <w:rFonts w:cs="Arial"/>
          <w:szCs w:val="22"/>
        </w:rPr>
      </w:pPr>
      <w:r w:rsidRPr="00C10CA9">
        <w:rPr>
          <w:rFonts w:cs="Arial"/>
          <w:szCs w:val="22"/>
        </w:rPr>
        <w:t xml:space="preserve">Prior to any approval being granted for a new food additive or an extension of use, a pre-market assessment of its safety and technological function is required. </w:t>
      </w:r>
    </w:p>
    <w:p w:rsidR="00B25F4E" w:rsidRPr="00C10CA9" w:rsidRDefault="00B25F4E" w:rsidP="00B25F4E">
      <w:pPr>
        <w:rPr>
          <w:rFonts w:cs="Arial"/>
          <w:szCs w:val="22"/>
        </w:rPr>
      </w:pPr>
    </w:p>
    <w:p w:rsidR="00B25F4E" w:rsidRPr="00C10CA9" w:rsidRDefault="00B25F4E" w:rsidP="00B25F4E">
      <w:pPr>
        <w:rPr>
          <w:szCs w:val="22"/>
        </w:rPr>
      </w:pPr>
      <w:r w:rsidRPr="00C10CA9">
        <w:rPr>
          <w:rFonts w:cs="Arial"/>
          <w:szCs w:val="22"/>
        </w:rPr>
        <w:t xml:space="preserve">Food additives are regulated </w:t>
      </w:r>
      <w:r w:rsidRPr="00C10CA9">
        <w:rPr>
          <w:szCs w:val="22"/>
        </w:rPr>
        <w:t xml:space="preserve">under Standard 1.3.1 </w:t>
      </w:r>
      <w:r w:rsidRPr="00C10CA9">
        <w:rPr>
          <w:rFonts w:cs="Arial"/>
          <w:szCs w:val="22"/>
        </w:rPr>
        <w:t xml:space="preserve">– </w:t>
      </w:r>
      <w:r w:rsidR="004C1C49" w:rsidRPr="00C10CA9">
        <w:rPr>
          <w:rFonts w:cs="Arial"/>
          <w:szCs w:val="22"/>
        </w:rPr>
        <w:t xml:space="preserve">Food </w:t>
      </w:r>
      <w:r w:rsidR="00E33FCB">
        <w:rPr>
          <w:rFonts w:cs="Arial"/>
          <w:szCs w:val="22"/>
        </w:rPr>
        <w:t>A</w:t>
      </w:r>
      <w:r w:rsidR="004C1C49" w:rsidRPr="00C10CA9">
        <w:rPr>
          <w:rFonts w:cs="Arial"/>
          <w:szCs w:val="22"/>
        </w:rPr>
        <w:t>dditive</w:t>
      </w:r>
      <w:r w:rsidR="005631A1">
        <w:rPr>
          <w:rFonts w:cs="Arial"/>
          <w:szCs w:val="22"/>
        </w:rPr>
        <w:t>s</w:t>
      </w:r>
      <w:r w:rsidR="004C1C49" w:rsidRPr="00C10CA9">
        <w:rPr>
          <w:rFonts w:cs="Arial"/>
          <w:szCs w:val="22"/>
        </w:rPr>
        <w:t>, which applies</w:t>
      </w:r>
      <w:r w:rsidRPr="00C10CA9">
        <w:rPr>
          <w:rFonts w:cs="Arial"/>
          <w:szCs w:val="22"/>
        </w:rPr>
        <w:t xml:space="preserve"> to both Australia and New Zealand. </w:t>
      </w:r>
      <w:r w:rsidR="00030A10">
        <w:rPr>
          <w:rFonts w:cs="Arial"/>
          <w:szCs w:val="22"/>
        </w:rPr>
        <w:t xml:space="preserve">Sodium </w:t>
      </w:r>
      <w:r w:rsidRPr="00C10CA9">
        <w:rPr>
          <w:szCs w:val="22"/>
        </w:rPr>
        <w:t xml:space="preserve">CMC is already permitted under Standard 1.3.1 for a number of foods, but not wine. Thus an amendment to this Standard </w:t>
      </w:r>
      <w:r w:rsidR="00AE1222">
        <w:rPr>
          <w:szCs w:val="22"/>
        </w:rPr>
        <w:t xml:space="preserve">was </w:t>
      </w:r>
      <w:r w:rsidRPr="00C10CA9">
        <w:rPr>
          <w:szCs w:val="22"/>
        </w:rPr>
        <w:t xml:space="preserve">sought. </w:t>
      </w:r>
    </w:p>
    <w:p w:rsidR="00B25F4E" w:rsidRPr="00C10CA9" w:rsidRDefault="00B25F4E" w:rsidP="00B25F4E">
      <w:pPr>
        <w:rPr>
          <w:szCs w:val="22"/>
        </w:rPr>
      </w:pPr>
    </w:p>
    <w:p w:rsidR="00B25F4E" w:rsidRPr="00C10CA9" w:rsidRDefault="00B25F4E" w:rsidP="00B25F4E">
      <w:pPr>
        <w:rPr>
          <w:szCs w:val="22"/>
        </w:rPr>
      </w:pPr>
      <w:r w:rsidRPr="00C10CA9">
        <w:rPr>
          <w:szCs w:val="22"/>
        </w:rPr>
        <w:t>Wine produced in Australia, regardless of where it is finally sold, needs to comply with Standard 4.5.1</w:t>
      </w:r>
      <w:r w:rsidRPr="00C10CA9">
        <w:rPr>
          <w:rFonts w:cs="Arial"/>
          <w:szCs w:val="22"/>
        </w:rPr>
        <w:t>– Wine Production Requirements</w:t>
      </w:r>
      <w:r w:rsidRPr="00C10CA9">
        <w:rPr>
          <w:szCs w:val="22"/>
        </w:rPr>
        <w:t xml:space="preserve">. As </w:t>
      </w:r>
      <w:r w:rsidR="00030A10">
        <w:rPr>
          <w:szCs w:val="22"/>
        </w:rPr>
        <w:t xml:space="preserve">sodium </w:t>
      </w:r>
      <w:r w:rsidRPr="00C10CA9">
        <w:rPr>
          <w:szCs w:val="22"/>
        </w:rPr>
        <w:t>CMC is currently not listed as an additive allowed in wine production under Standard 4.5.1</w:t>
      </w:r>
      <w:r w:rsidR="00481D4E">
        <w:rPr>
          <w:szCs w:val="22"/>
        </w:rPr>
        <w:t>,</w:t>
      </w:r>
      <w:r w:rsidRPr="00C10CA9">
        <w:rPr>
          <w:szCs w:val="22"/>
        </w:rPr>
        <w:t xml:space="preserve"> an amendment to this standard </w:t>
      </w:r>
      <w:r w:rsidR="00AE1222">
        <w:rPr>
          <w:szCs w:val="22"/>
        </w:rPr>
        <w:t>was</w:t>
      </w:r>
      <w:r w:rsidR="00AE1222" w:rsidRPr="00C10CA9">
        <w:rPr>
          <w:szCs w:val="22"/>
        </w:rPr>
        <w:t xml:space="preserve"> </w:t>
      </w:r>
      <w:r w:rsidRPr="00C10CA9">
        <w:rPr>
          <w:szCs w:val="22"/>
        </w:rPr>
        <w:t xml:space="preserve">also </w:t>
      </w:r>
      <w:r w:rsidR="00AE1222">
        <w:rPr>
          <w:szCs w:val="22"/>
        </w:rPr>
        <w:t>sought</w:t>
      </w:r>
      <w:r w:rsidRPr="00C10CA9">
        <w:rPr>
          <w:szCs w:val="22"/>
        </w:rPr>
        <w:t xml:space="preserve">. </w:t>
      </w:r>
    </w:p>
    <w:p w:rsidR="00B25F4E" w:rsidRPr="00C10CA9" w:rsidRDefault="00B25F4E" w:rsidP="00B25F4E">
      <w:pPr>
        <w:rPr>
          <w:szCs w:val="22"/>
        </w:rPr>
      </w:pPr>
    </w:p>
    <w:p w:rsidR="00B25F4E" w:rsidRPr="00C10CA9" w:rsidRDefault="00B25F4E" w:rsidP="00B25F4E">
      <w:pPr>
        <w:rPr>
          <w:rFonts w:cs="Arial"/>
          <w:b/>
          <w:szCs w:val="22"/>
        </w:rPr>
      </w:pPr>
      <w:r w:rsidRPr="00C10CA9">
        <w:rPr>
          <w:szCs w:val="22"/>
          <w:lang w:bidi="ar-SA"/>
        </w:rPr>
        <w:t xml:space="preserve">Approval of </w:t>
      </w:r>
      <w:r w:rsidR="00030A10">
        <w:rPr>
          <w:szCs w:val="22"/>
          <w:lang w:bidi="ar-SA"/>
        </w:rPr>
        <w:t xml:space="preserve">sodium </w:t>
      </w:r>
      <w:r w:rsidRPr="00C10CA9">
        <w:rPr>
          <w:szCs w:val="22"/>
          <w:lang w:bidi="ar-SA"/>
        </w:rPr>
        <w:t xml:space="preserve">CMC as an additive in wine </w:t>
      </w:r>
      <w:r w:rsidR="00AE1222">
        <w:rPr>
          <w:szCs w:val="22"/>
          <w:lang w:bidi="ar-SA"/>
        </w:rPr>
        <w:t>was</w:t>
      </w:r>
      <w:r w:rsidR="00AE1222" w:rsidRPr="00C10CA9">
        <w:rPr>
          <w:szCs w:val="22"/>
          <w:lang w:bidi="ar-SA"/>
        </w:rPr>
        <w:t xml:space="preserve"> </w:t>
      </w:r>
      <w:r w:rsidRPr="00C10CA9">
        <w:rPr>
          <w:szCs w:val="22"/>
          <w:lang w:bidi="ar-SA"/>
        </w:rPr>
        <w:t xml:space="preserve">sought to meet requirements under the 2008 </w:t>
      </w:r>
      <w:r w:rsidRPr="00C10CA9">
        <w:rPr>
          <w:i/>
          <w:szCs w:val="22"/>
          <w:lang w:bidi="ar-SA"/>
        </w:rPr>
        <w:t xml:space="preserve">Agreement between Australia and the European Community for Trade in Wine. </w:t>
      </w:r>
      <w:r w:rsidRPr="00C10CA9">
        <w:rPr>
          <w:szCs w:val="22"/>
          <w:lang w:bidi="ar-SA"/>
        </w:rPr>
        <w:t>Currently</w:t>
      </w:r>
      <w:r w:rsidRPr="00C10CA9">
        <w:rPr>
          <w:i/>
          <w:szCs w:val="22"/>
          <w:lang w:bidi="ar-SA"/>
        </w:rPr>
        <w:t xml:space="preserve"> </w:t>
      </w:r>
      <w:r w:rsidRPr="00C10CA9">
        <w:rPr>
          <w:szCs w:val="22"/>
          <w:lang w:bidi="ar-SA"/>
        </w:rPr>
        <w:t xml:space="preserve">wines which contain </w:t>
      </w:r>
      <w:r w:rsidR="00C04774">
        <w:rPr>
          <w:szCs w:val="22"/>
          <w:lang w:bidi="ar-SA"/>
        </w:rPr>
        <w:t xml:space="preserve">sodium </w:t>
      </w:r>
      <w:r w:rsidRPr="00C10CA9">
        <w:rPr>
          <w:szCs w:val="22"/>
          <w:lang w:bidi="ar-SA"/>
        </w:rPr>
        <w:t>CMC</w:t>
      </w:r>
      <w:r w:rsidR="00F23BF4" w:rsidRPr="00C10CA9">
        <w:rPr>
          <w:szCs w:val="22"/>
          <w:lang w:bidi="ar-SA"/>
        </w:rPr>
        <w:t>, including those from the</w:t>
      </w:r>
      <w:r w:rsidR="00481D4E">
        <w:rPr>
          <w:szCs w:val="22"/>
          <w:lang w:bidi="ar-SA"/>
        </w:rPr>
        <w:t xml:space="preserve"> European Union</w:t>
      </w:r>
      <w:r w:rsidR="00F23BF4" w:rsidRPr="00C10CA9">
        <w:rPr>
          <w:szCs w:val="22"/>
          <w:lang w:bidi="ar-SA"/>
        </w:rPr>
        <w:t xml:space="preserve"> </w:t>
      </w:r>
      <w:r w:rsidR="00481D4E">
        <w:rPr>
          <w:szCs w:val="22"/>
          <w:lang w:bidi="ar-SA"/>
        </w:rPr>
        <w:t>(</w:t>
      </w:r>
      <w:r w:rsidR="00F23BF4" w:rsidRPr="00C10CA9">
        <w:rPr>
          <w:szCs w:val="22"/>
          <w:lang w:bidi="ar-SA"/>
        </w:rPr>
        <w:t>EU</w:t>
      </w:r>
      <w:r w:rsidR="00481D4E">
        <w:rPr>
          <w:szCs w:val="22"/>
          <w:lang w:bidi="ar-SA"/>
        </w:rPr>
        <w:t>)</w:t>
      </w:r>
      <w:r w:rsidR="00F23BF4" w:rsidRPr="00C10CA9">
        <w:rPr>
          <w:szCs w:val="22"/>
          <w:lang w:bidi="ar-SA"/>
        </w:rPr>
        <w:t>,</w:t>
      </w:r>
      <w:r w:rsidRPr="00C10CA9">
        <w:rPr>
          <w:szCs w:val="22"/>
          <w:lang w:bidi="ar-SA"/>
        </w:rPr>
        <w:t xml:space="preserve"> are not legal in Australia or New Zealand.</w:t>
      </w:r>
    </w:p>
    <w:p w:rsidR="00B25F4E" w:rsidRPr="00C10CA9" w:rsidRDefault="00B25F4E" w:rsidP="00B25F4E">
      <w:pPr>
        <w:rPr>
          <w:szCs w:val="22"/>
        </w:rPr>
      </w:pPr>
    </w:p>
    <w:p w:rsidR="00B25F4E" w:rsidRPr="00C10CA9" w:rsidRDefault="00B25F4E" w:rsidP="00B25F4E">
      <w:pPr>
        <w:widowControl/>
        <w:rPr>
          <w:rFonts w:cs="Arial"/>
          <w:szCs w:val="22"/>
        </w:rPr>
      </w:pPr>
      <w:r w:rsidRPr="00C10CA9">
        <w:rPr>
          <w:rFonts w:cs="Arial"/>
          <w:szCs w:val="22"/>
        </w:rPr>
        <w:t xml:space="preserve">The Application </w:t>
      </w:r>
      <w:r w:rsidR="00EE70A5" w:rsidRPr="00C10CA9">
        <w:rPr>
          <w:rFonts w:cs="Arial"/>
          <w:szCs w:val="22"/>
        </w:rPr>
        <w:t xml:space="preserve">was </w:t>
      </w:r>
      <w:r w:rsidRPr="00C10CA9">
        <w:rPr>
          <w:rFonts w:cs="Arial"/>
          <w:szCs w:val="22"/>
        </w:rPr>
        <w:t>assessed under the General Procedure.</w:t>
      </w:r>
    </w:p>
    <w:p w:rsidR="00CA3DB7" w:rsidRPr="00C10CA9" w:rsidRDefault="00CA3DB7" w:rsidP="00CA3DB7">
      <w:pPr>
        <w:rPr>
          <w:rFonts w:cs="Arial"/>
          <w:b/>
          <w:szCs w:val="22"/>
        </w:rPr>
      </w:pPr>
    </w:p>
    <w:p w:rsidR="00246579" w:rsidRDefault="00246579" w:rsidP="00CA3DB7">
      <w:pPr>
        <w:rPr>
          <w:rFonts w:cs="Arial"/>
          <w:b/>
          <w:szCs w:val="22"/>
        </w:rPr>
      </w:pPr>
      <w:r>
        <w:rPr>
          <w:rFonts w:cs="Arial"/>
          <w:b/>
          <w:szCs w:val="22"/>
        </w:rPr>
        <w:br w:type="page"/>
      </w:r>
    </w:p>
    <w:p w:rsidR="00CA3DB7" w:rsidRPr="00C10CA9" w:rsidRDefault="00CA3DB7" w:rsidP="00CA3DB7">
      <w:pPr>
        <w:rPr>
          <w:rFonts w:cs="Arial"/>
          <w:b/>
          <w:szCs w:val="22"/>
        </w:rPr>
      </w:pPr>
      <w:r w:rsidRPr="00C10CA9">
        <w:rPr>
          <w:rFonts w:cs="Arial"/>
          <w:b/>
          <w:szCs w:val="22"/>
        </w:rPr>
        <w:lastRenderedPageBreak/>
        <w:t>Risk and Technical Assessment</w:t>
      </w:r>
    </w:p>
    <w:p w:rsidR="00CA3DB7" w:rsidRPr="00C10CA9" w:rsidRDefault="00CA3DB7" w:rsidP="00CA3DB7">
      <w:pPr>
        <w:rPr>
          <w:rFonts w:cs="Arial"/>
          <w:b/>
          <w:szCs w:val="22"/>
        </w:rPr>
      </w:pPr>
    </w:p>
    <w:p w:rsidR="00CA3DB7" w:rsidRPr="00C10CA9" w:rsidRDefault="00CA3DB7" w:rsidP="00CA3DB7">
      <w:pPr>
        <w:rPr>
          <w:rFonts w:cs="Arial"/>
          <w:szCs w:val="22"/>
        </w:rPr>
      </w:pPr>
      <w:r w:rsidRPr="00C10CA9">
        <w:rPr>
          <w:rFonts w:cs="Arial"/>
          <w:szCs w:val="22"/>
        </w:rPr>
        <w:t xml:space="preserve">A Risk and Technical Assessment was undertaken to determine whether the use of </w:t>
      </w:r>
      <w:r w:rsidR="00030A10">
        <w:rPr>
          <w:rFonts w:cs="Arial"/>
          <w:szCs w:val="22"/>
        </w:rPr>
        <w:t xml:space="preserve">sodium </w:t>
      </w:r>
      <w:r w:rsidRPr="00C10CA9">
        <w:rPr>
          <w:rFonts w:cs="Arial"/>
          <w:szCs w:val="22"/>
        </w:rPr>
        <w:t xml:space="preserve">CMC as an additive in wine is technologically justified and safe for use. </w:t>
      </w:r>
    </w:p>
    <w:p w:rsidR="00CA3DB7" w:rsidRPr="00C10CA9" w:rsidRDefault="00CA3DB7" w:rsidP="00CA3DB7">
      <w:pPr>
        <w:rPr>
          <w:rFonts w:cs="Arial"/>
          <w:szCs w:val="22"/>
        </w:rPr>
      </w:pPr>
    </w:p>
    <w:p w:rsidR="00CA3DB7" w:rsidRDefault="00CA3DB7" w:rsidP="00CA3DB7">
      <w:pPr>
        <w:rPr>
          <w:rFonts w:cs="Arial"/>
          <w:szCs w:val="22"/>
        </w:rPr>
      </w:pPr>
      <w:r w:rsidRPr="00C10CA9">
        <w:rPr>
          <w:rFonts w:cs="Arial"/>
          <w:szCs w:val="22"/>
        </w:rPr>
        <w:t>Evidence presented by the Applicant in support of the Application provided adequate</w:t>
      </w:r>
      <w:r>
        <w:rPr>
          <w:rFonts w:cs="Arial"/>
          <w:szCs w:val="22"/>
        </w:rPr>
        <w:t xml:space="preserve"> assurance to FSANZ that </w:t>
      </w:r>
      <w:r>
        <w:rPr>
          <w:rFonts w:cs="Arial"/>
        </w:rPr>
        <w:t xml:space="preserve">the use of the additive for the proposed purpose </w:t>
      </w:r>
      <w:r>
        <w:rPr>
          <w:rFonts w:cs="Arial"/>
          <w:szCs w:val="22"/>
        </w:rPr>
        <w:t xml:space="preserve">is technologically justified and has been demonstrated to be effective in achieving its stated purpose. </w:t>
      </w:r>
    </w:p>
    <w:p w:rsidR="00CA3DB7" w:rsidRDefault="00CA3DB7" w:rsidP="00CA3DB7">
      <w:pPr>
        <w:widowControl/>
        <w:rPr>
          <w:rFonts w:cs="Arial"/>
          <w:szCs w:val="22"/>
        </w:rPr>
      </w:pPr>
    </w:p>
    <w:p w:rsidR="00CA3DB7" w:rsidRDefault="00CA3DB7" w:rsidP="00CA3DB7">
      <w:pPr>
        <w:widowControl/>
        <w:rPr>
          <w:rFonts w:cs="Arial"/>
          <w:szCs w:val="22"/>
        </w:rPr>
      </w:pPr>
      <w:r>
        <w:rPr>
          <w:rFonts w:cs="Arial"/>
          <w:szCs w:val="22"/>
        </w:rPr>
        <w:t xml:space="preserve">The hazard assessment considered the history of safe use of </w:t>
      </w:r>
      <w:r w:rsidR="00030A10">
        <w:rPr>
          <w:rFonts w:cs="Arial"/>
          <w:szCs w:val="22"/>
        </w:rPr>
        <w:t xml:space="preserve">sodium </w:t>
      </w:r>
      <w:r>
        <w:rPr>
          <w:rFonts w:cs="Arial"/>
          <w:szCs w:val="22"/>
        </w:rPr>
        <w:t xml:space="preserve">CMC in other foods. The Joint FAO/WHO Expert Committee on Food Additives (JECFA) has not assigned </w:t>
      </w:r>
      <w:r w:rsidR="00030A10">
        <w:rPr>
          <w:rFonts w:cs="Arial"/>
          <w:szCs w:val="22"/>
        </w:rPr>
        <w:t xml:space="preserve">sodium </w:t>
      </w:r>
      <w:r w:rsidR="00F23BF4">
        <w:rPr>
          <w:rFonts w:cs="Arial"/>
          <w:szCs w:val="22"/>
        </w:rPr>
        <w:t>CMC</w:t>
      </w:r>
      <w:r>
        <w:rPr>
          <w:rFonts w:cs="Arial"/>
          <w:szCs w:val="22"/>
        </w:rPr>
        <w:t xml:space="preserve"> a numerical Acceptable Daily Intake (ADI) value. Instead</w:t>
      </w:r>
      <w:r w:rsidR="00481D4E">
        <w:rPr>
          <w:rFonts w:cs="Arial"/>
          <w:szCs w:val="22"/>
        </w:rPr>
        <w:t>,</w:t>
      </w:r>
      <w:r>
        <w:rPr>
          <w:rFonts w:cs="Arial"/>
          <w:szCs w:val="22"/>
        </w:rPr>
        <w:t xml:space="preserve"> it has been assigned a </w:t>
      </w:r>
      <w:r w:rsidR="00246579">
        <w:rPr>
          <w:rFonts w:cs="Arial"/>
          <w:szCs w:val="22"/>
        </w:rPr>
        <w:t>‘</w:t>
      </w:r>
      <w:r>
        <w:rPr>
          <w:rFonts w:cs="Arial"/>
          <w:szCs w:val="22"/>
        </w:rPr>
        <w:t>not specified</w:t>
      </w:r>
      <w:r w:rsidR="00246579">
        <w:rPr>
          <w:rFonts w:cs="Arial"/>
          <w:szCs w:val="22"/>
        </w:rPr>
        <w:t>’</w:t>
      </w:r>
      <w:r>
        <w:rPr>
          <w:rFonts w:cs="Arial"/>
          <w:szCs w:val="22"/>
        </w:rPr>
        <w:t xml:space="preserve"> ADI which applies to substances of low hazard. </w:t>
      </w:r>
      <w:r>
        <w:t xml:space="preserve">FSANZ agrees with the conclusions of JECFA. </w:t>
      </w:r>
      <w:r>
        <w:rPr>
          <w:rFonts w:cs="Arial"/>
          <w:szCs w:val="22"/>
        </w:rPr>
        <w:t xml:space="preserve">On the basis of this ADI and that the </w:t>
      </w:r>
      <w:r>
        <w:rPr>
          <w:lang w:val="en-AU"/>
        </w:rPr>
        <w:t>additional contribution to dietary exposure arising from wine consumption will be negligible</w:t>
      </w:r>
      <w:r>
        <w:t xml:space="preserve">, the additive is considered not to pose a risk to </w:t>
      </w:r>
      <w:r w:rsidRPr="005D71AD">
        <w:t>public</w:t>
      </w:r>
      <w:r>
        <w:t xml:space="preserve"> health. </w:t>
      </w:r>
    </w:p>
    <w:p w:rsidR="00CA3DB7" w:rsidRDefault="00CA3DB7" w:rsidP="00CA3DB7">
      <w:pPr>
        <w:rPr>
          <w:rFonts w:cs="Arial"/>
        </w:rPr>
      </w:pPr>
    </w:p>
    <w:p w:rsidR="00CA3DB7" w:rsidRDefault="00CA3DB7" w:rsidP="00CA3DB7">
      <w:pPr>
        <w:keepNext/>
        <w:keepLines/>
        <w:widowControl/>
      </w:pPr>
      <w:r>
        <w:rPr>
          <w:rFonts w:cs="Arial"/>
        </w:rPr>
        <w:t xml:space="preserve">The overall conclusion of the risk and technical assessment is that </w:t>
      </w:r>
      <w:r>
        <w:t xml:space="preserve">the use of </w:t>
      </w:r>
      <w:r w:rsidR="00030A10">
        <w:t xml:space="preserve">sodium </w:t>
      </w:r>
      <w:r>
        <w:rPr>
          <w:rFonts w:cs="Arial"/>
        </w:rPr>
        <w:t xml:space="preserve">CMC as an additive in wine to inhibit tartrate crystal formation is </w:t>
      </w:r>
      <w:r>
        <w:t xml:space="preserve">technologically justified and raises no </w:t>
      </w:r>
      <w:r w:rsidRPr="005D71AD">
        <w:t>public</w:t>
      </w:r>
      <w:r>
        <w:t xml:space="preserve"> health or safety issues.</w:t>
      </w:r>
    </w:p>
    <w:p w:rsidR="00CA3DB7" w:rsidRDefault="00CA3DB7" w:rsidP="00CA3DB7">
      <w:pPr>
        <w:keepNext/>
        <w:keepLines/>
        <w:widowControl/>
      </w:pPr>
    </w:p>
    <w:p w:rsidR="00CA3DB7" w:rsidRDefault="00CA3DB7" w:rsidP="00CA3DB7">
      <w:pPr>
        <w:rPr>
          <w:rFonts w:cs="Arial"/>
          <w:b/>
        </w:rPr>
      </w:pPr>
      <w:r>
        <w:rPr>
          <w:rFonts w:cs="Arial"/>
          <w:b/>
        </w:rPr>
        <w:t>Risk Management</w:t>
      </w:r>
    </w:p>
    <w:p w:rsidR="00CA3DB7" w:rsidRDefault="00CA3DB7" w:rsidP="00CA3DB7">
      <w:pPr>
        <w:rPr>
          <w:rFonts w:cs="Arial"/>
          <w:b/>
        </w:rPr>
      </w:pPr>
    </w:p>
    <w:p w:rsidR="00CA3DB7" w:rsidRDefault="00CA3DB7" w:rsidP="00CA3DB7">
      <w:r>
        <w:t>The Application state</w:t>
      </w:r>
      <w:r w:rsidR="008C21EF">
        <w:t>d</w:t>
      </w:r>
      <w:r>
        <w:t xml:space="preserve"> that the maximum concentration of </w:t>
      </w:r>
      <w:r w:rsidR="00030A10">
        <w:t xml:space="preserve">sodium </w:t>
      </w:r>
      <w:r>
        <w:t>CMC expected to be use</w:t>
      </w:r>
      <w:r w:rsidR="00246579">
        <w:t>d in wine is 100 mg/L. As this A</w:t>
      </w:r>
      <w:r>
        <w:t xml:space="preserve">pplication is an extension to the use of </w:t>
      </w:r>
      <w:r w:rsidR="00030A10">
        <w:t xml:space="preserve">sodium </w:t>
      </w:r>
      <w:r>
        <w:t xml:space="preserve">CMC and considering there are no specific public health or safety issues identified for this extended use, FSANZ proposes to permit the use of </w:t>
      </w:r>
      <w:r w:rsidR="00030A10">
        <w:t xml:space="preserve">sodium </w:t>
      </w:r>
      <w:r>
        <w:t xml:space="preserve">CMC in wine and sparkling wine at good manufacturing practice (GMP) levels, rather than set a specific maximum limit. </w:t>
      </w:r>
    </w:p>
    <w:p w:rsidR="00CA3DB7" w:rsidRDefault="00CA3DB7" w:rsidP="00CA3DB7"/>
    <w:p w:rsidR="00CA3DB7" w:rsidRDefault="00CA3DB7" w:rsidP="00CA3DB7">
      <w:pPr>
        <w:rPr>
          <w:lang w:bidi="ar-SA"/>
        </w:rPr>
      </w:pPr>
      <w:r w:rsidRPr="0074357B">
        <w:rPr>
          <w:lang w:bidi="ar-SA"/>
        </w:rPr>
        <w:t>Wines containing this additiv</w:t>
      </w:r>
      <w:r>
        <w:rPr>
          <w:lang w:bidi="ar-SA"/>
        </w:rPr>
        <w:t xml:space="preserve">e will not need to be labelled as they are </w:t>
      </w:r>
      <w:r w:rsidRPr="0074357B">
        <w:rPr>
          <w:lang w:bidi="ar-SA"/>
        </w:rPr>
        <w:t>not subject to labelling on the final food under s</w:t>
      </w:r>
      <w:r w:rsidR="00B25C17">
        <w:rPr>
          <w:lang w:bidi="ar-SA"/>
        </w:rPr>
        <w:t>ubclause 2(b) of Standard 1.2.4 – Labelling of Ingredients</w:t>
      </w:r>
      <w:r w:rsidR="004A623D">
        <w:rPr>
          <w:lang w:bidi="ar-SA"/>
        </w:rPr>
        <w:t>.</w:t>
      </w:r>
    </w:p>
    <w:p w:rsidR="00CA3DB7" w:rsidRDefault="00CA3DB7" w:rsidP="00CA3DB7">
      <w:pPr>
        <w:rPr>
          <w:lang w:bidi="ar-SA"/>
        </w:rPr>
      </w:pPr>
    </w:p>
    <w:p w:rsidR="00CA3DB7" w:rsidRDefault="005631A1" w:rsidP="00CA3DB7">
      <w:r>
        <w:rPr>
          <w:rFonts w:cs="Arial"/>
          <w:szCs w:val="20"/>
          <w:lang w:bidi="ar-SA"/>
        </w:rPr>
        <w:t>T</w:t>
      </w:r>
      <w:r w:rsidR="00CA3DB7" w:rsidRPr="0074357B">
        <w:rPr>
          <w:rFonts w:cs="Arial"/>
          <w:szCs w:val="20"/>
          <w:lang w:bidi="ar-SA"/>
        </w:rPr>
        <w:t xml:space="preserve">he additive is already permitted in other foods and </w:t>
      </w:r>
      <w:r w:rsidR="00CA3DB7">
        <w:rPr>
          <w:rFonts w:cs="Arial"/>
          <w:szCs w:val="20"/>
          <w:lang w:bidi="ar-SA"/>
        </w:rPr>
        <w:t xml:space="preserve">a </w:t>
      </w:r>
      <w:r w:rsidR="00CA3DB7" w:rsidRPr="0074357B">
        <w:rPr>
          <w:rFonts w:cs="Arial"/>
          <w:szCs w:val="20"/>
          <w:lang w:bidi="ar-SA"/>
        </w:rPr>
        <w:t>specification already exist</w:t>
      </w:r>
      <w:r w:rsidR="00CA3DB7">
        <w:rPr>
          <w:rFonts w:cs="Arial"/>
          <w:szCs w:val="20"/>
          <w:lang w:bidi="ar-SA"/>
        </w:rPr>
        <w:t>s</w:t>
      </w:r>
      <w:r>
        <w:rPr>
          <w:rFonts w:cs="Arial"/>
          <w:szCs w:val="20"/>
          <w:lang w:bidi="ar-SA"/>
        </w:rPr>
        <w:t>. N</w:t>
      </w:r>
      <w:r w:rsidR="00CA3DB7" w:rsidRPr="0074357B">
        <w:rPr>
          <w:rFonts w:cs="Arial"/>
          <w:szCs w:val="20"/>
          <w:lang w:bidi="ar-SA"/>
        </w:rPr>
        <w:t xml:space="preserve">o amendments to the specification </w:t>
      </w:r>
      <w:r>
        <w:rPr>
          <w:rFonts w:cs="Arial"/>
          <w:szCs w:val="20"/>
          <w:lang w:bidi="ar-SA"/>
        </w:rPr>
        <w:t>are</w:t>
      </w:r>
      <w:r w:rsidRPr="0074357B">
        <w:rPr>
          <w:rFonts w:cs="Arial"/>
          <w:szCs w:val="20"/>
          <w:lang w:bidi="ar-SA"/>
        </w:rPr>
        <w:t xml:space="preserve"> </w:t>
      </w:r>
      <w:r w:rsidR="00CA3DB7" w:rsidRPr="0074357B">
        <w:rPr>
          <w:rFonts w:cs="Arial"/>
          <w:szCs w:val="20"/>
          <w:lang w:bidi="ar-SA"/>
        </w:rPr>
        <w:t xml:space="preserve">considered necessary. </w:t>
      </w:r>
    </w:p>
    <w:p w:rsidR="002A0194" w:rsidRPr="00DC6570" w:rsidRDefault="002A0194" w:rsidP="002A0194">
      <w:pPr>
        <w:rPr>
          <w:rFonts w:cs="Arial"/>
        </w:rPr>
      </w:pPr>
    </w:p>
    <w:p w:rsidR="002419C0" w:rsidRPr="00D60568" w:rsidRDefault="002419C0" w:rsidP="002419C0">
      <w:pPr>
        <w:rPr>
          <w:rFonts w:cs="Arial"/>
          <w:b/>
        </w:rPr>
      </w:pPr>
      <w:r w:rsidRPr="00D60568">
        <w:rPr>
          <w:rFonts w:cs="Arial"/>
          <w:b/>
        </w:rPr>
        <w:t>Assessing the Application</w:t>
      </w:r>
    </w:p>
    <w:p w:rsidR="002419C0" w:rsidRPr="00DC6570" w:rsidRDefault="002419C0" w:rsidP="002419C0">
      <w:pPr>
        <w:rPr>
          <w:rFonts w:cs="Arial"/>
        </w:rPr>
      </w:pPr>
    </w:p>
    <w:p w:rsidR="002419C0" w:rsidRDefault="002419C0" w:rsidP="002419C0">
      <w:pPr>
        <w:rPr>
          <w:rFonts w:cs="Arial"/>
        </w:rPr>
      </w:pPr>
      <w:r>
        <w:rPr>
          <w:rFonts w:cs="Arial"/>
        </w:rPr>
        <w:t>In assessing the Application</w:t>
      </w:r>
      <w:r w:rsidRPr="00F23D4C">
        <w:rPr>
          <w:rFonts w:cs="Arial"/>
        </w:rPr>
        <w:t xml:space="preserve"> and the subsequent development of a food regulatory measure, FSANZ has had regard to the following matters as prescribed in section 29 of the</w:t>
      </w:r>
      <w:r w:rsidRPr="00DC6570">
        <w:rPr>
          <w:rFonts w:cs="Arial"/>
        </w:rPr>
        <w:t xml:space="preserve"> </w:t>
      </w:r>
      <w:r w:rsidRPr="00DC6570">
        <w:rPr>
          <w:rFonts w:cs="Arial"/>
          <w:i/>
        </w:rPr>
        <w:t>Food Standards Australia New Zealand Act 1991</w:t>
      </w:r>
      <w:r w:rsidRPr="00DC6570">
        <w:rPr>
          <w:rFonts w:cs="Arial"/>
        </w:rPr>
        <w:t xml:space="preserve"> (FSANZ Act):</w:t>
      </w:r>
    </w:p>
    <w:p w:rsidR="002419C0" w:rsidRPr="00DC6570" w:rsidRDefault="002419C0" w:rsidP="002419C0">
      <w:pPr>
        <w:rPr>
          <w:rFonts w:cs="Arial"/>
        </w:rPr>
      </w:pPr>
    </w:p>
    <w:p w:rsidR="002419C0" w:rsidRDefault="002F72E4" w:rsidP="00585A33">
      <w:pPr>
        <w:pStyle w:val="FSBullet"/>
      </w:pPr>
      <w:r>
        <w:t>w</w:t>
      </w:r>
      <w:r w:rsidR="002419C0">
        <w:t>hether</w:t>
      </w:r>
      <w:r w:rsidR="002419C0" w:rsidRPr="00DC6570">
        <w:t xml:space="preserve"> costs that would arise from </w:t>
      </w:r>
      <w:r w:rsidR="002419C0">
        <w:t xml:space="preserve">varying the Code to allow </w:t>
      </w:r>
      <w:r w:rsidR="00030A10">
        <w:t xml:space="preserve">sodium </w:t>
      </w:r>
      <w:r w:rsidR="002419C0">
        <w:t>CMC as an additi</w:t>
      </w:r>
      <w:r w:rsidR="002419C0" w:rsidRPr="00585A33">
        <w:t xml:space="preserve">ve in wine and sparkling wine outweigh the direct and indirect benefits to the community, Government or industry </w:t>
      </w:r>
    </w:p>
    <w:p w:rsidR="00585A33" w:rsidRPr="00585A33" w:rsidRDefault="00585A33" w:rsidP="00585A33"/>
    <w:p w:rsidR="002419C0" w:rsidRDefault="002F72E4" w:rsidP="00585A33">
      <w:pPr>
        <w:pStyle w:val="FSBullet"/>
      </w:pPr>
      <w:r w:rsidRPr="00585A33">
        <w:t>w</w:t>
      </w:r>
      <w:r w:rsidR="002419C0" w:rsidRPr="00585A33">
        <w:t xml:space="preserve">hether there are any other measures that would be more cost-effective than a variation to Standards 1.3.1 and 4.5.1 </w:t>
      </w:r>
      <w:r w:rsidR="001349CC" w:rsidRPr="00585A33">
        <w:t>that could achieve the same end</w:t>
      </w:r>
    </w:p>
    <w:p w:rsidR="00585A33" w:rsidRPr="00585A33" w:rsidRDefault="00585A33" w:rsidP="00585A33"/>
    <w:p w:rsidR="002419C0" w:rsidRDefault="002F72E4" w:rsidP="00585A33">
      <w:pPr>
        <w:pStyle w:val="FSBullet"/>
      </w:pPr>
      <w:r w:rsidRPr="00585A33">
        <w:t>w</w:t>
      </w:r>
      <w:r w:rsidR="002419C0" w:rsidRPr="00585A33">
        <w:t>hether there are any relevant N</w:t>
      </w:r>
      <w:r w:rsidR="001349CC" w:rsidRPr="00585A33">
        <w:t>ew Zealand standards</w:t>
      </w:r>
    </w:p>
    <w:p w:rsidR="00585A33" w:rsidRPr="00585A33" w:rsidRDefault="00585A33" w:rsidP="00585A33"/>
    <w:p w:rsidR="00F23BF4" w:rsidRDefault="002F72E4" w:rsidP="00585A33">
      <w:pPr>
        <w:pStyle w:val="FSBullet"/>
      </w:pPr>
      <w:r w:rsidRPr="00585A33">
        <w:t>a</w:t>
      </w:r>
      <w:r w:rsidR="002419C0" w:rsidRPr="00585A33">
        <w:t>ny othe</w:t>
      </w:r>
      <w:r w:rsidR="002419C0" w:rsidRPr="00DC6570">
        <w:t>r relevant matters</w:t>
      </w:r>
    </w:p>
    <w:p w:rsidR="00585A33" w:rsidRDefault="00585A33" w:rsidP="003213F9">
      <w:pPr>
        <w:pStyle w:val="FSDecisionHeading"/>
      </w:pPr>
      <w:bookmarkStart w:id="11" w:name="_Toc120090540"/>
      <w:bookmarkStart w:id="12" w:name="_Toc120358572"/>
      <w:bookmarkStart w:id="13" w:name="_Toc120358614"/>
      <w:r>
        <w:br w:type="page"/>
      </w:r>
    </w:p>
    <w:p w:rsidR="002A0194" w:rsidRPr="00D60568" w:rsidRDefault="002A0194" w:rsidP="003213F9">
      <w:pPr>
        <w:pStyle w:val="FSDecisionHeading"/>
      </w:pPr>
      <w:r w:rsidRPr="002E3D1A">
        <w:lastRenderedPageBreak/>
        <w:t>Decision</w:t>
      </w:r>
      <w:r w:rsidRPr="00D60568">
        <w:t xml:space="preserve"> </w:t>
      </w:r>
      <w:bookmarkEnd w:id="11"/>
      <w:bookmarkEnd w:id="12"/>
      <w:bookmarkEnd w:id="13"/>
    </w:p>
    <w:p w:rsidR="002A0194" w:rsidRPr="00DC6570" w:rsidRDefault="002A0194" w:rsidP="002A0194">
      <w:pPr>
        <w:pStyle w:val="FSDecisiontext"/>
        <w:rPr>
          <w:rFonts w:cs="Arial"/>
        </w:rPr>
      </w:pPr>
    </w:p>
    <w:p w:rsidR="002419C0" w:rsidRPr="00B00581" w:rsidRDefault="002419C0" w:rsidP="00224B2E">
      <w:pPr>
        <w:pStyle w:val="FSDecisiontext"/>
        <w:rPr>
          <w:rFonts w:ascii="Arial" w:hAnsi="Arial" w:cs="Arial"/>
        </w:rPr>
      </w:pPr>
      <w:r w:rsidRPr="00B00581">
        <w:rPr>
          <w:rFonts w:ascii="Arial" w:hAnsi="Arial" w:cs="Arial"/>
          <w:iCs/>
        </w:rPr>
        <w:t xml:space="preserve">To </w:t>
      </w:r>
      <w:r w:rsidRPr="002E3D1A">
        <w:rPr>
          <w:rFonts w:ascii="Arial" w:hAnsi="Arial" w:cs="Arial"/>
          <w:iCs/>
        </w:rPr>
        <w:t>approve</w:t>
      </w:r>
      <w:r>
        <w:rPr>
          <w:rFonts w:ascii="Arial" w:hAnsi="Arial" w:cs="Arial"/>
          <w:iCs/>
        </w:rPr>
        <w:t xml:space="preserve"> </w:t>
      </w:r>
      <w:r w:rsidRPr="00B00581">
        <w:rPr>
          <w:rFonts w:ascii="Arial" w:hAnsi="Arial" w:cs="Arial"/>
          <w:iCs/>
        </w:rPr>
        <w:t>draft variation</w:t>
      </w:r>
      <w:r w:rsidR="00224B2E">
        <w:rPr>
          <w:rFonts w:ascii="Arial" w:hAnsi="Arial" w:cs="Arial"/>
          <w:iCs/>
        </w:rPr>
        <w:t>s</w:t>
      </w:r>
      <w:r w:rsidRPr="00B00581">
        <w:rPr>
          <w:rFonts w:ascii="Arial" w:hAnsi="Arial" w:cs="Arial"/>
          <w:iCs/>
        </w:rPr>
        <w:t xml:space="preserve"> to Standard</w:t>
      </w:r>
      <w:r w:rsidR="00224B2E">
        <w:rPr>
          <w:rFonts w:ascii="Arial" w:hAnsi="Arial" w:cs="Arial"/>
          <w:iCs/>
        </w:rPr>
        <w:t>s</w:t>
      </w:r>
      <w:r w:rsidRPr="00B00581">
        <w:rPr>
          <w:rFonts w:ascii="Arial" w:hAnsi="Arial" w:cs="Arial"/>
          <w:iCs/>
        </w:rPr>
        <w:t xml:space="preserve"> </w:t>
      </w:r>
      <w:r>
        <w:rPr>
          <w:rFonts w:ascii="Arial" w:hAnsi="Arial" w:cs="Arial"/>
          <w:iCs/>
        </w:rPr>
        <w:t>1.3.1</w:t>
      </w:r>
      <w:r w:rsidRPr="00B00581">
        <w:rPr>
          <w:rFonts w:ascii="Arial" w:hAnsi="Arial" w:cs="Arial"/>
          <w:iCs/>
        </w:rPr>
        <w:t xml:space="preserve"> – </w:t>
      </w:r>
      <w:r>
        <w:rPr>
          <w:rFonts w:ascii="Arial" w:hAnsi="Arial" w:cs="Arial"/>
          <w:iCs/>
        </w:rPr>
        <w:t>Food Additives</w:t>
      </w:r>
      <w:r w:rsidR="00224B2E">
        <w:rPr>
          <w:rFonts w:ascii="Arial" w:hAnsi="Arial" w:cs="Arial"/>
          <w:iCs/>
        </w:rPr>
        <w:t xml:space="preserve"> and 4.5.1</w:t>
      </w:r>
      <w:r w:rsidR="00224B2E" w:rsidRPr="00B00581">
        <w:rPr>
          <w:rFonts w:ascii="Arial" w:hAnsi="Arial" w:cs="Arial"/>
          <w:iCs/>
        </w:rPr>
        <w:t xml:space="preserve"> – </w:t>
      </w:r>
      <w:r w:rsidR="00224B2E">
        <w:rPr>
          <w:rFonts w:ascii="Arial" w:hAnsi="Arial" w:cs="Arial"/>
          <w:iCs/>
        </w:rPr>
        <w:t>Wine Production Requirements</w:t>
      </w:r>
      <w:r>
        <w:rPr>
          <w:rFonts w:ascii="Arial" w:hAnsi="Arial" w:cs="Arial"/>
        </w:rPr>
        <w:t xml:space="preserve"> to permit the use of </w:t>
      </w:r>
      <w:r w:rsidR="00481D4E">
        <w:rPr>
          <w:rFonts w:ascii="Arial" w:hAnsi="Arial" w:cs="Arial"/>
        </w:rPr>
        <w:t xml:space="preserve">sodium </w:t>
      </w:r>
      <w:r>
        <w:rPr>
          <w:rFonts w:ascii="Arial" w:hAnsi="Arial" w:cs="Arial"/>
        </w:rPr>
        <w:t>carboxymethylcellulose as an additive in wine and sparkling wine</w:t>
      </w:r>
      <w:r w:rsidR="00224B2E">
        <w:rPr>
          <w:rFonts w:ascii="Arial" w:hAnsi="Arial" w:cs="Arial"/>
        </w:rPr>
        <w:t xml:space="preserve">. </w:t>
      </w:r>
      <w:r>
        <w:rPr>
          <w:rFonts w:ascii="Arial" w:hAnsi="Arial" w:cs="Arial"/>
        </w:rPr>
        <w:t xml:space="preserve"> </w:t>
      </w:r>
    </w:p>
    <w:p w:rsidR="002A0194" w:rsidRPr="00DC6570" w:rsidRDefault="002A0194" w:rsidP="002A0194">
      <w:pPr>
        <w:rPr>
          <w:rFonts w:cs="Arial"/>
        </w:rPr>
      </w:pPr>
    </w:p>
    <w:p w:rsidR="002A0194" w:rsidRPr="00D60568" w:rsidRDefault="002A0194" w:rsidP="002A0194">
      <w:pPr>
        <w:rPr>
          <w:rFonts w:cs="Arial"/>
          <w:b/>
          <w:bCs/>
        </w:rPr>
      </w:pPr>
      <w:bookmarkStart w:id="14" w:name="_Toc120090541"/>
      <w:bookmarkStart w:id="15" w:name="_Toc120358573"/>
      <w:bookmarkStart w:id="16" w:name="_Toc120358615"/>
      <w:r w:rsidRPr="00D60568">
        <w:rPr>
          <w:rFonts w:cs="Arial"/>
          <w:b/>
          <w:bCs/>
        </w:rPr>
        <w:t xml:space="preserve">Reasons </w:t>
      </w:r>
      <w:r w:rsidR="00C26860">
        <w:rPr>
          <w:rFonts w:cs="Arial"/>
          <w:b/>
          <w:bCs/>
        </w:rPr>
        <w:t xml:space="preserve">for </w:t>
      </w:r>
      <w:r w:rsidRPr="002E3D1A">
        <w:rPr>
          <w:rFonts w:cs="Arial"/>
          <w:b/>
          <w:bCs/>
        </w:rPr>
        <w:t>Decision</w:t>
      </w:r>
      <w:r w:rsidRPr="00D60568">
        <w:rPr>
          <w:rFonts w:cs="Arial"/>
          <w:b/>
          <w:bCs/>
        </w:rPr>
        <w:t xml:space="preserve"> </w:t>
      </w:r>
      <w:bookmarkEnd w:id="14"/>
      <w:bookmarkEnd w:id="15"/>
      <w:bookmarkEnd w:id="16"/>
    </w:p>
    <w:p w:rsidR="002A0194" w:rsidRPr="00DC6570" w:rsidRDefault="002A0194" w:rsidP="002A0194">
      <w:pPr>
        <w:rPr>
          <w:rFonts w:cs="Arial"/>
        </w:rPr>
      </w:pPr>
    </w:p>
    <w:p w:rsidR="001F0085" w:rsidRDefault="001F0085" w:rsidP="001349CC">
      <w:pPr>
        <w:pStyle w:val="FSBullet"/>
        <w:spacing w:after="240"/>
      </w:pPr>
      <w:r>
        <w:t xml:space="preserve">The </w:t>
      </w:r>
      <w:r w:rsidRPr="00B731D0">
        <w:t xml:space="preserve">safety assessment has concluded that the use of </w:t>
      </w:r>
      <w:r w:rsidR="00030A10">
        <w:t xml:space="preserve">sodium </w:t>
      </w:r>
      <w:r w:rsidR="00F23BF4">
        <w:t>CMC in wine</w:t>
      </w:r>
      <w:r>
        <w:t xml:space="preserve"> </w:t>
      </w:r>
      <w:r w:rsidRPr="00B731D0">
        <w:t xml:space="preserve">does not raise any </w:t>
      </w:r>
      <w:r w:rsidRPr="005D71AD">
        <w:t>public health</w:t>
      </w:r>
      <w:r>
        <w:t xml:space="preserve"> or safety concerns.</w:t>
      </w:r>
    </w:p>
    <w:p w:rsidR="001F0085" w:rsidRPr="00FA5423" w:rsidRDefault="001F0085" w:rsidP="001349CC">
      <w:pPr>
        <w:pStyle w:val="FSBullet"/>
        <w:spacing w:after="240"/>
      </w:pPr>
      <w:r>
        <w:t xml:space="preserve">Use of the additive to stabilise wine and sparkling wine </w:t>
      </w:r>
      <w:r w:rsidRPr="00746E40">
        <w:t xml:space="preserve">is technologically justified </w:t>
      </w:r>
      <w:r>
        <w:t>and would be expected to provide benefits to wine producers and consumers as an alternative to current treatments.</w:t>
      </w:r>
    </w:p>
    <w:p w:rsidR="001F0085" w:rsidRDefault="001F0085" w:rsidP="001349CC">
      <w:pPr>
        <w:pStyle w:val="FSBullet"/>
        <w:spacing w:after="240"/>
      </w:pPr>
      <w:r w:rsidRPr="00B731D0">
        <w:t xml:space="preserve">Permitting use of the </w:t>
      </w:r>
      <w:r>
        <w:t xml:space="preserve">additive in wine and sparkling wines </w:t>
      </w:r>
      <w:r w:rsidRPr="00B731D0">
        <w:t>would not impose significant costs for government agencies, consumer</w:t>
      </w:r>
      <w:r>
        <w:t>s or producers.</w:t>
      </w:r>
    </w:p>
    <w:p w:rsidR="001F0085" w:rsidRDefault="001F0085" w:rsidP="001349CC">
      <w:pPr>
        <w:pStyle w:val="FSBullet"/>
        <w:spacing w:after="240"/>
      </w:pPr>
      <w:r w:rsidRPr="00B731D0">
        <w:t xml:space="preserve">The </w:t>
      </w:r>
      <w:r>
        <w:t xml:space="preserve">amended </w:t>
      </w:r>
      <w:r w:rsidRPr="00B731D0">
        <w:t>draft variation</w:t>
      </w:r>
      <w:r>
        <w:t>s</w:t>
      </w:r>
      <w:r w:rsidRPr="00B731D0">
        <w:t xml:space="preserve"> to the Code </w:t>
      </w:r>
      <w:r>
        <w:t>are</w:t>
      </w:r>
      <w:r w:rsidRPr="00B731D0">
        <w:t xml:space="preserve"> consistent with the section </w:t>
      </w:r>
      <w:r>
        <w:t>18 objectives of the FSANZ Act.</w:t>
      </w:r>
    </w:p>
    <w:p w:rsidR="001F0085" w:rsidRPr="00B731D0" w:rsidRDefault="001F0085" w:rsidP="001349CC">
      <w:pPr>
        <w:pStyle w:val="FSBullet"/>
        <w:spacing w:after="240"/>
      </w:pPr>
      <w:r w:rsidRPr="00B731D0">
        <w:t>There are no relevant New Zealand standards</w:t>
      </w:r>
      <w:r>
        <w:t xml:space="preserve"> that would impact on our decision to amend the Code.</w:t>
      </w:r>
    </w:p>
    <w:p w:rsidR="001F0085" w:rsidRPr="00B731D0" w:rsidRDefault="001F0085" w:rsidP="001349CC">
      <w:pPr>
        <w:pStyle w:val="FSBullet"/>
        <w:spacing w:after="240"/>
      </w:pPr>
      <w:r>
        <w:t xml:space="preserve">There are no other measures than variations to Standards 1.3.1 and 4.5.1 that could achieve the same end. </w:t>
      </w:r>
    </w:p>
    <w:p w:rsidR="002A0194" w:rsidRDefault="002A0194" w:rsidP="002A0194">
      <w:pPr>
        <w:rPr>
          <w:rFonts w:cs="Arial"/>
          <w:b/>
          <w:bCs/>
        </w:rPr>
      </w:pPr>
      <w:bookmarkStart w:id="17" w:name="_Toc120090542"/>
      <w:bookmarkStart w:id="18" w:name="_Toc120358574"/>
      <w:bookmarkStart w:id="19" w:name="_Toc120358616"/>
      <w:r w:rsidRPr="00D60568">
        <w:rPr>
          <w:rFonts w:cs="Arial"/>
          <w:b/>
          <w:bCs/>
        </w:rPr>
        <w:t>Consultation</w:t>
      </w:r>
      <w:bookmarkEnd w:id="17"/>
      <w:bookmarkEnd w:id="18"/>
      <w:bookmarkEnd w:id="19"/>
    </w:p>
    <w:p w:rsidR="00F23BF4" w:rsidRPr="00D60568" w:rsidRDefault="00F23BF4" w:rsidP="002A0194">
      <w:pPr>
        <w:rPr>
          <w:rFonts w:cs="Arial"/>
          <w:b/>
          <w:bCs/>
        </w:rPr>
      </w:pPr>
    </w:p>
    <w:p w:rsidR="00F23BF4" w:rsidRPr="002E3D1A" w:rsidRDefault="00F23BF4" w:rsidP="001F0085">
      <w:pPr>
        <w:rPr>
          <w:rFonts w:cs="Arial"/>
          <w:szCs w:val="22"/>
        </w:rPr>
      </w:pPr>
      <w:r w:rsidRPr="002E3D1A">
        <w:rPr>
          <w:rFonts w:cs="Arial"/>
          <w:szCs w:val="22"/>
        </w:rPr>
        <w:t xml:space="preserve">This Application was assessed </w:t>
      </w:r>
      <w:r w:rsidR="00246579">
        <w:rPr>
          <w:rFonts w:cs="Arial"/>
          <w:szCs w:val="22"/>
        </w:rPr>
        <w:t>under the G</w:t>
      </w:r>
      <w:r w:rsidRPr="002E3D1A">
        <w:rPr>
          <w:rFonts w:cs="Arial"/>
          <w:szCs w:val="22"/>
        </w:rPr>
        <w:t xml:space="preserve">eneral </w:t>
      </w:r>
      <w:r w:rsidR="00246579">
        <w:rPr>
          <w:rFonts w:cs="Arial"/>
          <w:szCs w:val="22"/>
        </w:rPr>
        <w:t>P</w:t>
      </w:r>
      <w:r w:rsidRPr="002E3D1A">
        <w:rPr>
          <w:rFonts w:cs="Arial"/>
          <w:szCs w:val="22"/>
        </w:rPr>
        <w:t xml:space="preserve">rocedure with one round of public consultation. </w:t>
      </w:r>
    </w:p>
    <w:p w:rsidR="00F23BF4" w:rsidRPr="002E3D1A" w:rsidRDefault="00F23BF4" w:rsidP="001F0085">
      <w:pPr>
        <w:rPr>
          <w:rFonts w:cs="Arial"/>
          <w:szCs w:val="22"/>
        </w:rPr>
      </w:pPr>
    </w:p>
    <w:p w:rsidR="001F0085" w:rsidRPr="00F057BA" w:rsidRDefault="001F0085" w:rsidP="001F0085">
      <w:pPr>
        <w:rPr>
          <w:rFonts w:cs="Arial"/>
          <w:b/>
          <w:szCs w:val="22"/>
        </w:rPr>
      </w:pPr>
      <w:r w:rsidRPr="002E3D1A">
        <w:rPr>
          <w:rFonts w:cs="Arial"/>
          <w:szCs w:val="22"/>
        </w:rPr>
        <w:t xml:space="preserve">Public </w:t>
      </w:r>
      <w:r w:rsidR="00F23BF4" w:rsidRPr="002E3D1A">
        <w:rPr>
          <w:rFonts w:cs="Arial"/>
          <w:szCs w:val="22"/>
        </w:rPr>
        <w:t xml:space="preserve">comment </w:t>
      </w:r>
      <w:r w:rsidRPr="002E3D1A">
        <w:rPr>
          <w:rFonts w:cs="Arial"/>
          <w:szCs w:val="22"/>
        </w:rPr>
        <w:t xml:space="preserve">on the </w:t>
      </w:r>
      <w:r w:rsidR="00246579">
        <w:rPr>
          <w:rFonts w:cs="Arial"/>
          <w:szCs w:val="22"/>
        </w:rPr>
        <w:t xml:space="preserve">draft variation arising from </w:t>
      </w:r>
      <w:r w:rsidR="000A118F" w:rsidRPr="002E3D1A">
        <w:rPr>
          <w:rFonts w:cs="Arial"/>
          <w:szCs w:val="22"/>
        </w:rPr>
        <w:t xml:space="preserve">this Application was sought from </w:t>
      </w:r>
      <w:r w:rsidRPr="002E3D1A">
        <w:rPr>
          <w:rFonts w:cs="Arial"/>
          <w:szCs w:val="22"/>
        </w:rPr>
        <w:t xml:space="preserve">31 May </w:t>
      </w:r>
      <w:r w:rsidR="000A118F" w:rsidRPr="002E3D1A">
        <w:rPr>
          <w:rFonts w:cs="Arial"/>
          <w:szCs w:val="22"/>
        </w:rPr>
        <w:t xml:space="preserve">to </w:t>
      </w:r>
      <w:r w:rsidRPr="002E3D1A">
        <w:rPr>
          <w:rFonts w:cs="Arial"/>
          <w:szCs w:val="22"/>
        </w:rPr>
        <w:t xml:space="preserve">11 July 2011. Comments were specifically requested on the scientific aspects of this Application, including the technological function and any information relevant to the safety assessment of the additive to be used as an additive in wine and sparkling wine. </w:t>
      </w:r>
      <w:r w:rsidR="005631A1">
        <w:rPr>
          <w:rFonts w:cs="Arial"/>
          <w:szCs w:val="22"/>
        </w:rPr>
        <w:t>S</w:t>
      </w:r>
      <w:r w:rsidR="000A118F" w:rsidRPr="002E3D1A">
        <w:rPr>
          <w:rFonts w:cs="Arial"/>
          <w:szCs w:val="22"/>
        </w:rPr>
        <w:t>ix</w:t>
      </w:r>
      <w:r w:rsidR="00F057BA" w:rsidRPr="002E3D1A">
        <w:rPr>
          <w:rFonts w:cs="Arial"/>
          <w:szCs w:val="22"/>
        </w:rPr>
        <w:t xml:space="preserve"> submissions were received</w:t>
      </w:r>
      <w:r w:rsidR="002F3582" w:rsidRPr="002E3D1A">
        <w:rPr>
          <w:rFonts w:cs="Arial"/>
          <w:szCs w:val="22"/>
        </w:rPr>
        <w:t>. The</w:t>
      </w:r>
      <w:r w:rsidR="000A118F" w:rsidRPr="002E3D1A">
        <w:rPr>
          <w:rFonts w:cs="Arial"/>
          <w:szCs w:val="22"/>
        </w:rPr>
        <w:t xml:space="preserve"> issues raised in these submissions have been carefully considered by FSANZ. A summary of the submissions and FSANZ responses are provided </w:t>
      </w:r>
      <w:r w:rsidR="00F057BA" w:rsidRPr="002E3D1A">
        <w:rPr>
          <w:rFonts w:cs="Arial"/>
          <w:szCs w:val="22"/>
        </w:rPr>
        <w:t xml:space="preserve">at </w:t>
      </w:r>
      <w:r w:rsidR="00F057BA" w:rsidRPr="002E3D1A">
        <w:rPr>
          <w:rFonts w:cs="Arial"/>
          <w:b/>
          <w:szCs w:val="22"/>
        </w:rPr>
        <w:t xml:space="preserve">Attachment 2 </w:t>
      </w:r>
      <w:r w:rsidR="000A118F" w:rsidRPr="002E3D1A">
        <w:rPr>
          <w:rFonts w:cs="Arial"/>
          <w:szCs w:val="22"/>
        </w:rPr>
        <w:t>to this R</w:t>
      </w:r>
      <w:r w:rsidR="00F057BA" w:rsidRPr="002E3D1A">
        <w:rPr>
          <w:rFonts w:cs="Arial"/>
          <w:szCs w:val="22"/>
        </w:rPr>
        <w:t>eport.</w:t>
      </w:r>
      <w:r w:rsidR="00F057BA">
        <w:rPr>
          <w:rFonts w:cs="Arial"/>
          <w:b/>
          <w:szCs w:val="22"/>
        </w:rPr>
        <w:t xml:space="preserve"> </w:t>
      </w:r>
    </w:p>
    <w:p w:rsidR="001F0085" w:rsidRPr="00B731D0" w:rsidRDefault="001F0085" w:rsidP="001F0085">
      <w:pPr>
        <w:rPr>
          <w:rFonts w:cs="Arial"/>
          <w:szCs w:val="22"/>
        </w:rPr>
      </w:pPr>
    </w:p>
    <w:p w:rsidR="003C4969" w:rsidRPr="00DC6570" w:rsidRDefault="003C4969">
      <w:pPr>
        <w:rPr>
          <w:rFonts w:cs="Arial"/>
        </w:rPr>
      </w:pPr>
    </w:p>
    <w:p w:rsidR="003C4969" w:rsidRPr="00DC6570" w:rsidRDefault="003C4969">
      <w:pPr>
        <w:pStyle w:val="DivisionHeading"/>
        <w:rPr>
          <w:rFonts w:cs="Arial"/>
        </w:rPr>
        <w:sectPr w:rsidR="003C4969" w:rsidRPr="00DC6570" w:rsidSect="001C27A3">
          <w:footerReference w:type="even" r:id="rId10"/>
          <w:footerReference w:type="default" r:id="rId11"/>
          <w:headerReference w:type="first" r:id="rId12"/>
          <w:pgSz w:w="11906" w:h="16838"/>
          <w:pgMar w:top="1440" w:right="1440" w:bottom="1440" w:left="1440" w:header="709" w:footer="709" w:gutter="0"/>
          <w:pgNumType w:fmt="lowerRoman"/>
          <w:cols w:space="708"/>
          <w:docGrid w:linePitch="360"/>
        </w:sectPr>
      </w:pPr>
      <w:bookmarkStart w:id="20" w:name="_Toc11735627"/>
    </w:p>
    <w:p w:rsidR="003C4969" w:rsidRPr="00DC6570" w:rsidRDefault="003C4969">
      <w:pPr>
        <w:pStyle w:val="DivisionHeading"/>
        <w:rPr>
          <w:rFonts w:cs="Arial"/>
        </w:rPr>
      </w:pPr>
      <w:r w:rsidRPr="00DC6570">
        <w:rPr>
          <w:rFonts w:cs="Arial"/>
        </w:rPr>
        <w:lastRenderedPageBreak/>
        <w:t>CONTENTS</w:t>
      </w:r>
    </w:p>
    <w:p w:rsidR="003C4969" w:rsidRPr="00DC6570" w:rsidRDefault="003C4969">
      <w:pPr>
        <w:rPr>
          <w:rFonts w:cs="Arial"/>
        </w:rPr>
      </w:pPr>
    </w:p>
    <w:p w:rsidR="00C11CE8" w:rsidRDefault="00282DE2">
      <w:pPr>
        <w:pStyle w:val="TOC1"/>
        <w:tabs>
          <w:tab w:val="right" w:leader="dot" w:pos="9016"/>
        </w:tabs>
        <w:rPr>
          <w:rFonts w:asciiTheme="minorHAnsi" w:eastAsiaTheme="minorEastAsia" w:hAnsiTheme="minorHAnsi" w:cstheme="minorBidi"/>
          <w:b w:val="0"/>
          <w:bCs w:val="0"/>
          <w:caps w:val="0"/>
          <w:noProof/>
          <w:szCs w:val="22"/>
          <w:lang w:val="en-AU" w:eastAsia="en-AU" w:bidi="ar-SA"/>
        </w:rPr>
      </w:pPr>
      <w:r w:rsidRPr="00DC6570">
        <w:rPr>
          <w:rFonts w:cs="Arial"/>
        </w:rPr>
        <w:fldChar w:fldCharType="begin"/>
      </w:r>
      <w:r w:rsidR="003C4969" w:rsidRPr="00DC6570">
        <w:rPr>
          <w:rFonts w:cs="Arial"/>
        </w:rPr>
        <w:instrText xml:space="preserve"> TOC \o "1-3" \h \z </w:instrText>
      </w:r>
      <w:r w:rsidRPr="00DC6570">
        <w:rPr>
          <w:rFonts w:cs="Arial"/>
        </w:rPr>
        <w:fldChar w:fldCharType="separate"/>
      </w:r>
      <w:hyperlink w:anchor="_Toc304883934" w:history="1">
        <w:r w:rsidR="00C11CE8" w:rsidRPr="002A433C">
          <w:rPr>
            <w:rStyle w:val="Hyperlink"/>
            <w:noProof/>
          </w:rPr>
          <w:t>Introduction</w:t>
        </w:r>
        <w:r w:rsidR="00C11CE8">
          <w:rPr>
            <w:noProof/>
            <w:webHidden/>
          </w:rPr>
          <w:tab/>
        </w:r>
        <w:r w:rsidR="00C11CE8">
          <w:rPr>
            <w:noProof/>
            <w:webHidden/>
          </w:rPr>
          <w:fldChar w:fldCharType="begin"/>
        </w:r>
        <w:r w:rsidR="00C11CE8">
          <w:rPr>
            <w:noProof/>
            <w:webHidden/>
          </w:rPr>
          <w:instrText xml:space="preserve"> PAGEREF _Toc304883934 \h </w:instrText>
        </w:r>
        <w:r w:rsidR="00C11CE8">
          <w:rPr>
            <w:noProof/>
            <w:webHidden/>
          </w:rPr>
        </w:r>
        <w:r w:rsidR="00C11CE8">
          <w:rPr>
            <w:noProof/>
            <w:webHidden/>
          </w:rPr>
          <w:fldChar w:fldCharType="separate"/>
        </w:r>
        <w:r w:rsidR="00677461">
          <w:rPr>
            <w:noProof/>
            <w:webHidden/>
          </w:rPr>
          <w:t>2</w:t>
        </w:r>
        <w:r w:rsidR="00C11CE8">
          <w:rPr>
            <w:noProof/>
            <w:webHidden/>
          </w:rPr>
          <w:fldChar w:fldCharType="end"/>
        </w:r>
      </w:hyperlink>
    </w:p>
    <w:p w:rsidR="00C11CE8" w:rsidRDefault="007B2360">
      <w:pPr>
        <w:pStyle w:val="TOC2"/>
        <w:tabs>
          <w:tab w:val="left" w:pos="720"/>
          <w:tab w:val="right" w:leader="dot" w:pos="9016"/>
        </w:tabs>
        <w:rPr>
          <w:rFonts w:asciiTheme="minorHAnsi" w:eastAsiaTheme="minorEastAsia" w:hAnsiTheme="minorHAnsi" w:cstheme="minorBidi"/>
          <w:smallCaps w:val="0"/>
          <w:noProof/>
          <w:szCs w:val="22"/>
          <w:lang w:val="en-AU" w:eastAsia="en-AU" w:bidi="ar-SA"/>
        </w:rPr>
      </w:pPr>
      <w:hyperlink w:anchor="_Toc304883935" w:history="1">
        <w:r w:rsidR="00C11CE8" w:rsidRPr="002A433C">
          <w:rPr>
            <w:rStyle w:val="Hyperlink"/>
            <w:rFonts w:cs="Arial"/>
            <w:noProof/>
          </w:rPr>
          <w:t>1.</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rFonts w:cs="Arial"/>
            <w:noProof/>
          </w:rPr>
          <w:t>The Issue / Problem</w:t>
        </w:r>
        <w:r w:rsidR="00C11CE8">
          <w:rPr>
            <w:noProof/>
            <w:webHidden/>
          </w:rPr>
          <w:tab/>
        </w:r>
        <w:r w:rsidR="00C11CE8">
          <w:rPr>
            <w:noProof/>
            <w:webHidden/>
          </w:rPr>
          <w:fldChar w:fldCharType="begin"/>
        </w:r>
        <w:r w:rsidR="00C11CE8">
          <w:rPr>
            <w:noProof/>
            <w:webHidden/>
          </w:rPr>
          <w:instrText xml:space="preserve"> PAGEREF _Toc304883935 \h </w:instrText>
        </w:r>
        <w:r w:rsidR="00C11CE8">
          <w:rPr>
            <w:noProof/>
            <w:webHidden/>
          </w:rPr>
        </w:r>
        <w:r w:rsidR="00C11CE8">
          <w:rPr>
            <w:noProof/>
            <w:webHidden/>
          </w:rPr>
          <w:fldChar w:fldCharType="separate"/>
        </w:r>
        <w:r w:rsidR="00677461">
          <w:rPr>
            <w:noProof/>
            <w:webHidden/>
          </w:rPr>
          <w:t>2</w:t>
        </w:r>
        <w:r w:rsidR="00C11CE8">
          <w:rPr>
            <w:noProof/>
            <w:webHidden/>
          </w:rPr>
          <w:fldChar w:fldCharType="end"/>
        </w:r>
      </w:hyperlink>
    </w:p>
    <w:p w:rsidR="00C11CE8" w:rsidRDefault="007B2360">
      <w:pPr>
        <w:pStyle w:val="TOC2"/>
        <w:tabs>
          <w:tab w:val="left" w:pos="720"/>
          <w:tab w:val="right" w:leader="dot" w:pos="9016"/>
        </w:tabs>
        <w:rPr>
          <w:rFonts w:asciiTheme="minorHAnsi" w:eastAsiaTheme="minorEastAsia" w:hAnsiTheme="minorHAnsi" w:cstheme="minorBidi"/>
          <w:smallCaps w:val="0"/>
          <w:noProof/>
          <w:szCs w:val="22"/>
          <w:lang w:val="en-AU" w:eastAsia="en-AU" w:bidi="ar-SA"/>
        </w:rPr>
      </w:pPr>
      <w:hyperlink w:anchor="_Toc304883936" w:history="1">
        <w:r w:rsidR="00C11CE8" w:rsidRPr="002A433C">
          <w:rPr>
            <w:rStyle w:val="Hyperlink"/>
            <w:noProof/>
          </w:rPr>
          <w:t>2.</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noProof/>
          </w:rPr>
          <w:t>Current Standard</w:t>
        </w:r>
        <w:r w:rsidR="00C11CE8">
          <w:rPr>
            <w:noProof/>
            <w:webHidden/>
          </w:rPr>
          <w:tab/>
        </w:r>
        <w:r w:rsidR="00C11CE8">
          <w:rPr>
            <w:noProof/>
            <w:webHidden/>
          </w:rPr>
          <w:fldChar w:fldCharType="begin"/>
        </w:r>
        <w:r w:rsidR="00C11CE8">
          <w:rPr>
            <w:noProof/>
            <w:webHidden/>
          </w:rPr>
          <w:instrText xml:space="preserve"> PAGEREF _Toc304883936 \h </w:instrText>
        </w:r>
        <w:r w:rsidR="00C11CE8">
          <w:rPr>
            <w:noProof/>
            <w:webHidden/>
          </w:rPr>
        </w:r>
        <w:r w:rsidR="00C11CE8">
          <w:rPr>
            <w:noProof/>
            <w:webHidden/>
          </w:rPr>
          <w:fldChar w:fldCharType="separate"/>
        </w:r>
        <w:r w:rsidR="00677461">
          <w:rPr>
            <w:noProof/>
            <w:webHidden/>
          </w:rPr>
          <w:t>2</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37" w:history="1">
        <w:r w:rsidR="00C11CE8" w:rsidRPr="002A433C">
          <w:rPr>
            <w:rStyle w:val="Hyperlink"/>
            <w:rFonts w:cs="Arial"/>
            <w:noProof/>
          </w:rPr>
          <w:t>2.1</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rFonts w:cs="Arial"/>
            <w:noProof/>
          </w:rPr>
          <w:t>Background</w:t>
        </w:r>
        <w:r w:rsidR="00C11CE8">
          <w:rPr>
            <w:noProof/>
            <w:webHidden/>
          </w:rPr>
          <w:tab/>
        </w:r>
        <w:r w:rsidR="00C11CE8">
          <w:rPr>
            <w:noProof/>
            <w:webHidden/>
          </w:rPr>
          <w:fldChar w:fldCharType="begin"/>
        </w:r>
        <w:r w:rsidR="00C11CE8">
          <w:rPr>
            <w:noProof/>
            <w:webHidden/>
          </w:rPr>
          <w:instrText xml:space="preserve"> PAGEREF _Toc304883937 \h </w:instrText>
        </w:r>
        <w:r w:rsidR="00C11CE8">
          <w:rPr>
            <w:noProof/>
            <w:webHidden/>
          </w:rPr>
        </w:r>
        <w:r w:rsidR="00C11CE8">
          <w:rPr>
            <w:noProof/>
            <w:webHidden/>
          </w:rPr>
          <w:fldChar w:fldCharType="separate"/>
        </w:r>
        <w:r w:rsidR="00677461">
          <w:rPr>
            <w:noProof/>
            <w:webHidden/>
          </w:rPr>
          <w:t>2</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38" w:history="1">
        <w:r w:rsidR="00C11CE8" w:rsidRPr="002A433C">
          <w:rPr>
            <w:rStyle w:val="Hyperlink"/>
            <w:rFonts w:cs="Arial"/>
            <w:noProof/>
          </w:rPr>
          <w:t>2.2</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rFonts w:cs="Arial"/>
            <w:noProof/>
          </w:rPr>
          <w:t>Scope of the Application</w:t>
        </w:r>
        <w:r w:rsidR="00C11CE8">
          <w:rPr>
            <w:noProof/>
            <w:webHidden/>
          </w:rPr>
          <w:tab/>
        </w:r>
        <w:r w:rsidR="00C11CE8">
          <w:rPr>
            <w:noProof/>
            <w:webHidden/>
          </w:rPr>
          <w:fldChar w:fldCharType="begin"/>
        </w:r>
        <w:r w:rsidR="00C11CE8">
          <w:rPr>
            <w:noProof/>
            <w:webHidden/>
          </w:rPr>
          <w:instrText xml:space="preserve"> PAGEREF _Toc304883938 \h </w:instrText>
        </w:r>
        <w:r w:rsidR="00C11CE8">
          <w:rPr>
            <w:noProof/>
            <w:webHidden/>
          </w:rPr>
        </w:r>
        <w:r w:rsidR="00C11CE8">
          <w:rPr>
            <w:noProof/>
            <w:webHidden/>
          </w:rPr>
          <w:fldChar w:fldCharType="separate"/>
        </w:r>
        <w:r w:rsidR="00677461">
          <w:rPr>
            <w:noProof/>
            <w:webHidden/>
          </w:rPr>
          <w:t>3</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39" w:history="1">
        <w:r w:rsidR="00C11CE8" w:rsidRPr="002A433C">
          <w:rPr>
            <w:rStyle w:val="Hyperlink"/>
            <w:noProof/>
          </w:rPr>
          <w:t>2.3</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International and New Zealand Regulations</w:t>
        </w:r>
        <w:r w:rsidR="00C11CE8">
          <w:rPr>
            <w:noProof/>
            <w:webHidden/>
          </w:rPr>
          <w:tab/>
        </w:r>
        <w:r w:rsidR="00C11CE8">
          <w:rPr>
            <w:noProof/>
            <w:webHidden/>
          </w:rPr>
          <w:fldChar w:fldCharType="begin"/>
        </w:r>
        <w:r w:rsidR="00C11CE8">
          <w:rPr>
            <w:noProof/>
            <w:webHidden/>
          </w:rPr>
          <w:instrText xml:space="preserve"> PAGEREF _Toc304883939 \h </w:instrText>
        </w:r>
        <w:r w:rsidR="00C11CE8">
          <w:rPr>
            <w:noProof/>
            <w:webHidden/>
          </w:rPr>
        </w:r>
        <w:r w:rsidR="00C11CE8">
          <w:rPr>
            <w:noProof/>
            <w:webHidden/>
          </w:rPr>
          <w:fldChar w:fldCharType="separate"/>
        </w:r>
        <w:r w:rsidR="00677461">
          <w:rPr>
            <w:noProof/>
            <w:webHidden/>
          </w:rPr>
          <w:t>3</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40" w:history="1">
        <w:r w:rsidR="00C11CE8" w:rsidRPr="002A433C">
          <w:rPr>
            <w:rStyle w:val="Hyperlink"/>
            <w:noProof/>
          </w:rPr>
          <w:t>2.4</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Nature of the additive</w:t>
        </w:r>
        <w:r w:rsidR="00C11CE8">
          <w:rPr>
            <w:noProof/>
            <w:webHidden/>
          </w:rPr>
          <w:tab/>
        </w:r>
        <w:r w:rsidR="00C11CE8">
          <w:rPr>
            <w:noProof/>
            <w:webHidden/>
          </w:rPr>
          <w:fldChar w:fldCharType="begin"/>
        </w:r>
        <w:r w:rsidR="00C11CE8">
          <w:rPr>
            <w:noProof/>
            <w:webHidden/>
          </w:rPr>
          <w:instrText xml:space="preserve"> PAGEREF _Toc304883940 \h </w:instrText>
        </w:r>
        <w:r w:rsidR="00C11CE8">
          <w:rPr>
            <w:noProof/>
            <w:webHidden/>
          </w:rPr>
        </w:r>
        <w:r w:rsidR="00C11CE8">
          <w:rPr>
            <w:noProof/>
            <w:webHidden/>
          </w:rPr>
          <w:fldChar w:fldCharType="separate"/>
        </w:r>
        <w:r w:rsidR="00677461">
          <w:rPr>
            <w:noProof/>
            <w:webHidden/>
          </w:rPr>
          <w:t>3</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41" w:history="1">
        <w:r w:rsidR="00C11CE8" w:rsidRPr="002A433C">
          <w:rPr>
            <w:rStyle w:val="Hyperlink"/>
            <w:noProof/>
          </w:rPr>
          <w:t>2.5</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Technological Purpose</w:t>
        </w:r>
        <w:r w:rsidR="00C11CE8">
          <w:rPr>
            <w:noProof/>
            <w:webHidden/>
          </w:rPr>
          <w:tab/>
        </w:r>
        <w:r w:rsidR="00C11CE8">
          <w:rPr>
            <w:noProof/>
            <w:webHidden/>
          </w:rPr>
          <w:fldChar w:fldCharType="begin"/>
        </w:r>
        <w:r w:rsidR="00C11CE8">
          <w:rPr>
            <w:noProof/>
            <w:webHidden/>
          </w:rPr>
          <w:instrText xml:space="preserve"> PAGEREF _Toc304883941 \h </w:instrText>
        </w:r>
        <w:r w:rsidR="00C11CE8">
          <w:rPr>
            <w:noProof/>
            <w:webHidden/>
          </w:rPr>
        </w:r>
        <w:r w:rsidR="00C11CE8">
          <w:rPr>
            <w:noProof/>
            <w:webHidden/>
          </w:rPr>
          <w:fldChar w:fldCharType="separate"/>
        </w:r>
        <w:r w:rsidR="00677461">
          <w:rPr>
            <w:noProof/>
            <w:webHidden/>
          </w:rPr>
          <w:t>3</w:t>
        </w:r>
        <w:r w:rsidR="00C11CE8">
          <w:rPr>
            <w:noProof/>
            <w:webHidden/>
          </w:rPr>
          <w:fldChar w:fldCharType="end"/>
        </w:r>
      </w:hyperlink>
    </w:p>
    <w:p w:rsidR="00C11CE8" w:rsidRDefault="007B2360">
      <w:pPr>
        <w:pStyle w:val="TOC2"/>
        <w:tabs>
          <w:tab w:val="left" w:pos="720"/>
          <w:tab w:val="right" w:leader="dot" w:pos="9016"/>
        </w:tabs>
        <w:rPr>
          <w:rFonts w:asciiTheme="minorHAnsi" w:eastAsiaTheme="minorEastAsia" w:hAnsiTheme="minorHAnsi" w:cstheme="minorBidi"/>
          <w:smallCaps w:val="0"/>
          <w:noProof/>
          <w:szCs w:val="22"/>
          <w:lang w:val="en-AU" w:eastAsia="en-AU" w:bidi="ar-SA"/>
        </w:rPr>
      </w:pPr>
      <w:hyperlink w:anchor="_Toc304883942" w:history="1">
        <w:r w:rsidR="00C11CE8" w:rsidRPr="002A433C">
          <w:rPr>
            <w:rStyle w:val="Hyperlink"/>
            <w:rFonts w:cs="Arial"/>
            <w:noProof/>
          </w:rPr>
          <w:t>3.</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rFonts w:cs="Arial"/>
            <w:noProof/>
          </w:rPr>
          <w:t>Objectives</w:t>
        </w:r>
        <w:r w:rsidR="00C11CE8">
          <w:rPr>
            <w:noProof/>
            <w:webHidden/>
          </w:rPr>
          <w:tab/>
        </w:r>
        <w:r w:rsidR="00C11CE8">
          <w:rPr>
            <w:noProof/>
            <w:webHidden/>
          </w:rPr>
          <w:fldChar w:fldCharType="begin"/>
        </w:r>
        <w:r w:rsidR="00C11CE8">
          <w:rPr>
            <w:noProof/>
            <w:webHidden/>
          </w:rPr>
          <w:instrText xml:space="preserve"> PAGEREF _Toc304883942 \h </w:instrText>
        </w:r>
        <w:r w:rsidR="00C11CE8">
          <w:rPr>
            <w:noProof/>
            <w:webHidden/>
          </w:rPr>
        </w:r>
        <w:r w:rsidR="00C11CE8">
          <w:rPr>
            <w:noProof/>
            <w:webHidden/>
          </w:rPr>
          <w:fldChar w:fldCharType="separate"/>
        </w:r>
        <w:r w:rsidR="00677461">
          <w:rPr>
            <w:noProof/>
            <w:webHidden/>
          </w:rPr>
          <w:t>4</w:t>
        </w:r>
        <w:r w:rsidR="00C11CE8">
          <w:rPr>
            <w:noProof/>
            <w:webHidden/>
          </w:rPr>
          <w:fldChar w:fldCharType="end"/>
        </w:r>
      </w:hyperlink>
    </w:p>
    <w:p w:rsidR="00C11CE8" w:rsidRDefault="007B2360">
      <w:pPr>
        <w:pStyle w:val="TOC2"/>
        <w:tabs>
          <w:tab w:val="left" w:pos="720"/>
          <w:tab w:val="right" w:leader="dot" w:pos="9016"/>
        </w:tabs>
        <w:rPr>
          <w:rFonts w:asciiTheme="minorHAnsi" w:eastAsiaTheme="minorEastAsia" w:hAnsiTheme="minorHAnsi" w:cstheme="minorBidi"/>
          <w:smallCaps w:val="0"/>
          <w:noProof/>
          <w:szCs w:val="22"/>
          <w:lang w:val="en-AU" w:eastAsia="en-AU" w:bidi="ar-SA"/>
        </w:rPr>
      </w:pPr>
      <w:hyperlink w:anchor="_Toc304883943" w:history="1">
        <w:r w:rsidR="00C11CE8" w:rsidRPr="002A433C">
          <w:rPr>
            <w:rStyle w:val="Hyperlink"/>
            <w:rFonts w:cs="Arial"/>
            <w:noProof/>
          </w:rPr>
          <w:t>4.</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rFonts w:cs="Arial"/>
            <w:noProof/>
          </w:rPr>
          <w:t>Questions answered</w:t>
        </w:r>
        <w:r w:rsidR="00C11CE8">
          <w:rPr>
            <w:noProof/>
            <w:webHidden/>
          </w:rPr>
          <w:tab/>
        </w:r>
        <w:r w:rsidR="00C11CE8">
          <w:rPr>
            <w:noProof/>
            <w:webHidden/>
          </w:rPr>
          <w:fldChar w:fldCharType="begin"/>
        </w:r>
        <w:r w:rsidR="00C11CE8">
          <w:rPr>
            <w:noProof/>
            <w:webHidden/>
          </w:rPr>
          <w:instrText xml:space="preserve"> PAGEREF _Toc304883943 \h </w:instrText>
        </w:r>
        <w:r w:rsidR="00C11CE8">
          <w:rPr>
            <w:noProof/>
            <w:webHidden/>
          </w:rPr>
        </w:r>
        <w:r w:rsidR="00C11CE8">
          <w:rPr>
            <w:noProof/>
            <w:webHidden/>
          </w:rPr>
          <w:fldChar w:fldCharType="separate"/>
        </w:r>
        <w:r w:rsidR="00677461">
          <w:rPr>
            <w:noProof/>
            <w:webHidden/>
          </w:rPr>
          <w:t>5</w:t>
        </w:r>
        <w:r w:rsidR="00C11CE8">
          <w:rPr>
            <w:noProof/>
            <w:webHidden/>
          </w:rPr>
          <w:fldChar w:fldCharType="end"/>
        </w:r>
      </w:hyperlink>
    </w:p>
    <w:p w:rsidR="00C11CE8" w:rsidRDefault="007B2360">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304883944" w:history="1">
        <w:r w:rsidR="00C11CE8" w:rsidRPr="002A433C">
          <w:rPr>
            <w:rStyle w:val="Hyperlink"/>
            <w:noProof/>
          </w:rPr>
          <w:t>RISK ASSESSMENT</w:t>
        </w:r>
        <w:r w:rsidR="00C11CE8">
          <w:rPr>
            <w:noProof/>
            <w:webHidden/>
          </w:rPr>
          <w:tab/>
        </w:r>
        <w:r w:rsidR="00C11CE8">
          <w:rPr>
            <w:noProof/>
            <w:webHidden/>
          </w:rPr>
          <w:fldChar w:fldCharType="begin"/>
        </w:r>
        <w:r w:rsidR="00C11CE8">
          <w:rPr>
            <w:noProof/>
            <w:webHidden/>
          </w:rPr>
          <w:instrText xml:space="preserve"> PAGEREF _Toc304883944 \h </w:instrText>
        </w:r>
        <w:r w:rsidR="00C11CE8">
          <w:rPr>
            <w:noProof/>
            <w:webHidden/>
          </w:rPr>
        </w:r>
        <w:r w:rsidR="00C11CE8">
          <w:rPr>
            <w:noProof/>
            <w:webHidden/>
          </w:rPr>
          <w:fldChar w:fldCharType="separate"/>
        </w:r>
        <w:r w:rsidR="00677461">
          <w:rPr>
            <w:noProof/>
            <w:webHidden/>
          </w:rPr>
          <w:t>5</w:t>
        </w:r>
        <w:r w:rsidR="00C11CE8">
          <w:rPr>
            <w:noProof/>
            <w:webHidden/>
          </w:rPr>
          <w:fldChar w:fldCharType="end"/>
        </w:r>
      </w:hyperlink>
    </w:p>
    <w:p w:rsidR="00C11CE8" w:rsidRDefault="007B2360">
      <w:pPr>
        <w:pStyle w:val="TOC2"/>
        <w:tabs>
          <w:tab w:val="left" w:pos="720"/>
          <w:tab w:val="right" w:leader="dot" w:pos="9016"/>
        </w:tabs>
        <w:rPr>
          <w:rFonts w:asciiTheme="minorHAnsi" w:eastAsiaTheme="minorEastAsia" w:hAnsiTheme="minorHAnsi" w:cstheme="minorBidi"/>
          <w:smallCaps w:val="0"/>
          <w:noProof/>
          <w:szCs w:val="22"/>
          <w:lang w:val="en-AU" w:eastAsia="en-AU" w:bidi="ar-SA"/>
        </w:rPr>
      </w:pPr>
      <w:hyperlink w:anchor="_Toc304883945" w:history="1">
        <w:r w:rsidR="00C11CE8" w:rsidRPr="002A433C">
          <w:rPr>
            <w:rStyle w:val="Hyperlink"/>
            <w:noProof/>
          </w:rPr>
          <w:t>5.</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noProof/>
          </w:rPr>
          <w:t>Risk and Technical Assessment Summary</w:t>
        </w:r>
        <w:r w:rsidR="00C11CE8">
          <w:rPr>
            <w:noProof/>
            <w:webHidden/>
          </w:rPr>
          <w:tab/>
        </w:r>
        <w:r w:rsidR="00C11CE8">
          <w:rPr>
            <w:noProof/>
            <w:webHidden/>
          </w:rPr>
          <w:fldChar w:fldCharType="begin"/>
        </w:r>
        <w:r w:rsidR="00C11CE8">
          <w:rPr>
            <w:noProof/>
            <w:webHidden/>
          </w:rPr>
          <w:instrText xml:space="preserve"> PAGEREF _Toc304883945 \h </w:instrText>
        </w:r>
        <w:r w:rsidR="00C11CE8">
          <w:rPr>
            <w:noProof/>
            <w:webHidden/>
          </w:rPr>
        </w:r>
        <w:r w:rsidR="00C11CE8">
          <w:rPr>
            <w:noProof/>
            <w:webHidden/>
          </w:rPr>
          <w:fldChar w:fldCharType="separate"/>
        </w:r>
        <w:r w:rsidR="00677461">
          <w:rPr>
            <w:noProof/>
            <w:webHidden/>
          </w:rPr>
          <w:t>5</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46" w:history="1">
        <w:r w:rsidR="00C11CE8" w:rsidRPr="002A433C">
          <w:rPr>
            <w:rStyle w:val="Hyperlink"/>
            <w:noProof/>
          </w:rPr>
          <w:t>5.1</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Summary</w:t>
        </w:r>
        <w:r w:rsidR="00C11CE8">
          <w:rPr>
            <w:noProof/>
            <w:webHidden/>
          </w:rPr>
          <w:tab/>
        </w:r>
        <w:r w:rsidR="00C11CE8">
          <w:rPr>
            <w:noProof/>
            <w:webHidden/>
          </w:rPr>
          <w:fldChar w:fldCharType="begin"/>
        </w:r>
        <w:r w:rsidR="00C11CE8">
          <w:rPr>
            <w:noProof/>
            <w:webHidden/>
          </w:rPr>
          <w:instrText xml:space="preserve"> PAGEREF _Toc304883946 \h </w:instrText>
        </w:r>
        <w:r w:rsidR="00C11CE8">
          <w:rPr>
            <w:noProof/>
            <w:webHidden/>
          </w:rPr>
        </w:r>
        <w:r w:rsidR="00C11CE8">
          <w:rPr>
            <w:noProof/>
            <w:webHidden/>
          </w:rPr>
          <w:fldChar w:fldCharType="separate"/>
        </w:r>
        <w:r w:rsidR="00677461">
          <w:rPr>
            <w:noProof/>
            <w:webHidden/>
          </w:rPr>
          <w:t>5</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47" w:history="1">
        <w:r w:rsidR="00C11CE8" w:rsidRPr="002A433C">
          <w:rPr>
            <w:rStyle w:val="Hyperlink"/>
            <w:noProof/>
          </w:rPr>
          <w:t>5.2</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Conclusions</w:t>
        </w:r>
        <w:r w:rsidR="00C11CE8">
          <w:rPr>
            <w:noProof/>
            <w:webHidden/>
          </w:rPr>
          <w:tab/>
        </w:r>
        <w:r w:rsidR="00C11CE8">
          <w:rPr>
            <w:noProof/>
            <w:webHidden/>
          </w:rPr>
          <w:fldChar w:fldCharType="begin"/>
        </w:r>
        <w:r w:rsidR="00C11CE8">
          <w:rPr>
            <w:noProof/>
            <w:webHidden/>
          </w:rPr>
          <w:instrText xml:space="preserve"> PAGEREF _Toc304883947 \h </w:instrText>
        </w:r>
        <w:r w:rsidR="00C11CE8">
          <w:rPr>
            <w:noProof/>
            <w:webHidden/>
          </w:rPr>
        </w:r>
        <w:r w:rsidR="00C11CE8">
          <w:rPr>
            <w:noProof/>
            <w:webHidden/>
          </w:rPr>
          <w:fldChar w:fldCharType="separate"/>
        </w:r>
        <w:r w:rsidR="00677461">
          <w:rPr>
            <w:noProof/>
            <w:webHidden/>
          </w:rPr>
          <w:t>6</w:t>
        </w:r>
        <w:r w:rsidR="00C11CE8">
          <w:rPr>
            <w:noProof/>
            <w:webHidden/>
          </w:rPr>
          <w:fldChar w:fldCharType="end"/>
        </w:r>
      </w:hyperlink>
    </w:p>
    <w:p w:rsidR="00C11CE8" w:rsidRDefault="007B2360">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304883948" w:history="1">
        <w:r w:rsidR="00C11CE8" w:rsidRPr="002A433C">
          <w:rPr>
            <w:rStyle w:val="Hyperlink"/>
            <w:noProof/>
          </w:rPr>
          <w:t>Risk Management</w:t>
        </w:r>
        <w:r w:rsidR="00C11CE8">
          <w:rPr>
            <w:noProof/>
            <w:webHidden/>
          </w:rPr>
          <w:tab/>
        </w:r>
        <w:r w:rsidR="00C11CE8">
          <w:rPr>
            <w:noProof/>
            <w:webHidden/>
          </w:rPr>
          <w:fldChar w:fldCharType="begin"/>
        </w:r>
        <w:r w:rsidR="00C11CE8">
          <w:rPr>
            <w:noProof/>
            <w:webHidden/>
          </w:rPr>
          <w:instrText xml:space="preserve"> PAGEREF _Toc304883948 \h </w:instrText>
        </w:r>
        <w:r w:rsidR="00C11CE8">
          <w:rPr>
            <w:noProof/>
            <w:webHidden/>
          </w:rPr>
        </w:r>
        <w:r w:rsidR="00C11CE8">
          <w:rPr>
            <w:noProof/>
            <w:webHidden/>
          </w:rPr>
          <w:fldChar w:fldCharType="separate"/>
        </w:r>
        <w:r w:rsidR="00677461">
          <w:rPr>
            <w:noProof/>
            <w:webHidden/>
          </w:rPr>
          <w:t>6</w:t>
        </w:r>
        <w:r w:rsidR="00C11CE8">
          <w:rPr>
            <w:noProof/>
            <w:webHidden/>
          </w:rPr>
          <w:fldChar w:fldCharType="end"/>
        </w:r>
      </w:hyperlink>
    </w:p>
    <w:p w:rsidR="00C11CE8" w:rsidRDefault="007B2360">
      <w:pPr>
        <w:pStyle w:val="TOC2"/>
        <w:tabs>
          <w:tab w:val="left" w:pos="720"/>
          <w:tab w:val="right" w:leader="dot" w:pos="9016"/>
        </w:tabs>
        <w:rPr>
          <w:rFonts w:asciiTheme="minorHAnsi" w:eastAsiaTheme="minorEastAsia" w:hAnsiTheme="minorHAnsi" w:cstheme="minorBidi"/>
          <w:smallCaps w:val="0"/>
          <w:noProof/>
          <w:szCs w:val="22"/>
          <w:lang w:val="en-AU" w:eastAsia="en-AU" w:bidi="ar-SA"/>
        </w:rPr>
      </w:pPr>
      <w:hyperlink w:anchor="_Toc304883949" w:history="1">
        <w:r w:rsidR="00C11CE8" w:rsidRPr="002A433C">
          <w:rPr>
            <w:rStyle w:val="Hyperlink"/>
            <w:noProof/>
          </w:rPr>
          <w:t>6.</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noProof/>
          </w:rPr>
          <w:t>Risk Management Issues</w:t>
        </w:r>
        <w:r w:rsidR="00C11CE8">
          <w:rPr>
            <w:noProof/>
            <w:webHidden/>
          </w:rPr>
          <w:tab/>
        </w:r>
        <w:r w:rsidR="00C11CE8">
          <w:rPr>
            <w:noProof/>
            <w:webHidden/>
          </w:rPr>
          <w:fldChar w:fldCharType="begin"/>
        </w:r>
        <w:r w:rsidR="00C11CE8">
          <w:rPr>
            <w:noProof/>
            <w:webHidden/>
          </w:rPr>
          <w:instrText xml:space="preserve"> PAGEREF _Toc304883949 \h </w:instrText>
        </w:r>
        <w:r w:rsidR="00C11CE8">
          <w:rPr>
            <w:noProof/>
            <w:webHidden/>
          </w:rPr>
        </w:r>
        <w:r w:rsidR="00C11CE8">
          <w:rPr>
            <w:noProof/>
            <w:webHidden/>
          </w:rPr>
          <w:fldChar w:fldCharType="separate"/>
        </w:r>
        <w:r w:rsidR="00677461">
          <w:rPr>
            <w:noProof/>
            <w:webHidden/>
          </w:rPr>
          <w:t>6</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50" w:history="1">
        <w:r w:rsidR="00C11CE8" w:rsidRPr="002A433C">
          <w:rPr>
            <w:rStyle w:val="Hyperlink"/>
            <w:noProof/>
          </w:rPr>
          <w:t>6.1</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Specifications for sodium CMC</w:t>
        </w:r>
        <w:r w:rsidR="00C11CE8">
          <w:rPr>
            <w:noProof/>
            <w:webHidden/>
          </w:rPr>
          <w:tab/>
        </w:r>
        <w:r w:rsidR="00C11CE8">
          <w:rPr>
            <w:noProof/>
            <w:webHidden/>
          </w:rPr>
          <w:fldChar w:fldCharType="begin"/>
        </w:r>
        <w:r w:rsidR="00C11CE8">
          <w:rPr>
            <w:noProof/>
            <w:webHidden/>
          </w:rPr>
          <w:instrText xml:space="preserve"> PAGEREF _Toc304883950 \h </w:instrText>
        </w:r>
        <w:r w:rsidR="00C11CE8">
          <w:rPr>
            <w:noProof/>
            <w:webHidden/>
          </w:rPr>
        </w:r>
        <w:r w:rsidR="00C11CE8">
          <w:rPr>
            <w:noProof/>
            <w:webHidden/>
          </w:rPr>
          <w:fldChar w:fldCharType="separate"/>
        </w:r>
        <w:r w:rsidR="00677461">
          <w:rPr>
            <w:noProof/>
            <w:webHidden/>
          </w:rPr>
          <w:t>6</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51" w:history="1">
        <w:r w:rsidR="00C11CE8" w:rsidRPr="002A433C">
          <w:rPr>
            <w:rStyle w:val="Hyperlink"/>
            <w:noProof/>
          </w:rPr>
          <w:t>6.2</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Methods of analysis</w:t>
        </w:r>
        <w:r w:rsidR="00C11CE8">
          <w:rPr>
            <w:noProof/>
            <w:webHidden/>
          </w:rPr>
          <w:tab/>
        </w:r>
        <w:r w:rsidR="00C11CE8">
          <w:rPr>
            <w:noProof/>
            <w:webHidden/>
          </w:rPr>
          <w:fldChar w:fldCharType="begin"/>
        </w:r>
        <w:r w:rsidR="00C11CE8">
          <w:rPr>
            <w:noProof/>
            <w:webHidden/>
          </w:rPr>
          <w:instrText xml:space="preserve"> PAGEREF _Toc304883951 \h </w:instrText>
        </w:r>
        <w:r w:rsidR="00C11CE8">
          <w:rPr>
            <w:noProof/>
            <w:webHidden/>
          </w:rPr>
        </w:r>
        <w:r w:rsidR="00C11CE8">
          <w:rPr>
            <w:noProof/>
            <w:webHidden/>
          </w:rPr>
          <w:fldChar w:fldCharType="separate"/>
        </w:r>
        <w:r w:rsidR="00677461">
          <w:rPr>
            <w:noProof/>
            <w:webHidden/>
          </w:rPr>
          <w:t>6</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52" w:history="1">
        <w:r w:rsidR="00C11CE8" w:rsidRPr="002A433C">
          <w:rPr>
            <w:rStyle w:val="Hyperlink"/>
            <w:noProof/>
          </w:rPr>
          <w:t>6.3</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Labelling of sodium CMC-containing wine products</w:t>
        </w:r>
        <w:r w:rsidR="00C11CE8">
          <w:rPr>
            <w:noProof/>
            <w:webHidden/>
          </w:rPr>
          <w:tab/>
        </w:r>
        <w:r w:rsidR="00C11CE8">
          <w:rPr>
            <w:noProof/>
            <w:webHidden/>
          </w:rPr>
          <w:fldChar w:fldCharType="begin"/>
        </w:r>
        <w:r w:rsidR="00C11CE8">
          <w:rPr>
            <w:noProof/>
            <w:webHidden/>
          </w:rPr>
          <w:instrText xml:space="preserve"> PAGEREF _Toc304883952 \h </w:instrText>
        </w:r>
        <w:r w:rsidR="00C11CE8">
          <w:rPr>
            <w:noProof/>
            <w:webHidden/>
          </w:rPr>
        </w:r>
        <w:r w:rsidR="00C11CE8">
          <w:rPr>
            <w:noProof/>
            <w:webHidden/>
          </w:rPr>
          <w:fldChar w:fldCharType="separate"/>
        </w:r>
        <w:r w:rsidR="00677461">
          <w:rPr>
            <w:noProof/>
            <w:webHidden/>
          </w:rPr>
          <w:t>6</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53" w:history="1">
        <w:r w:rsidR="00C11CE8" w:rsidRPr="002A433C">
          <w:rPr>
            <w:rStyle w:val="Hyperlink"/>
            <w:noProof/>
          </w:rPr>
          <w:t>6.4</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Risk Management Strategy</w:t>
        </w:r>
        <w:r w:rsidR="00C11CE8">
          <w:rPr>
            <w:noProof/>
            <w:webHidden/>
          </w:rPr>
          <w:tab/>
        </w:r>
        <w:r w:rsidR="00C11CE8">
          <w:rPr>
            <w:noProof/>
            <w:webHidden/>
          </w:rPr>
          <w:fldChar w:fldCharType="begin"/>
        </w:r>
        <w:r w:rsidR="00C11CE8">
          <w:rPr>
            <w:noProof/>
            <w:webHidden/>
          </w:rPr>
          <w:instrText xml:space="preserve"> PAGEREF _Toc304883953 \h </w:instrText>
        </w:r>
        <w:r w:rsidR="00C11CE8">
          <w:rPr>
            <w:noProof/>
            <w:webHidden/>
          </w:rPr>
        </w:r>
        <w:r w:rsidR="00C11CE8">
          <w:rPr>
            <w:noProof/>
            <w:webHidden/>
          </w:rPr>
          <w:fldChar w:fldCharType="separate"/>
        </w:r>
        <w:r w:rsidR="00677461">
          <w:rPr>
            <w:noProof/>
            <w:webHidden/>
          </w:rPr>
          <w:t>7</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54" w:history="1">
        <w:r w:rsidR="00C11CE8" w:rsidRPr="002A433C">
          <w:rPr>
            <w:rStyle w:val="Hyperlink"/>
            <w:noProof/>
          </w:rPr>
          <w:t>6.5</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Consistency with Policy Guidelines</w:t>
        </w:r>
        <w:r w:rsidR="00C11CE8">
          <w:rPr>
            <w:noProof/>
            <w:webHidden/>
          </w:rPr>
          <w:tab/>
        </w:r>
        <w:r w:rsidR="00C11CE8">
          <w:rPr>
            <w:noProof/>
            <w:webHidden/>
          </w:rPr>
          <w:fldChar w:fldCharType="begin"/>
        </w:r>
        <w:r w:rsidR="00C11CE8">
          <w:rPr>
            <w:noProof/>
            <w:webHidden/>
          </w:rPr>
          <w:instrText xml:space="preserve"> PAGEREF _Toc304883954 \h </w:instrText>
        </w:r>
        <w:r w:rsidR="00C11CE8">
          <w:rPr>
            <w:noProof/>
            <w:webHidden/>
          </w:rPr>
        </w:r>
        <w:r w:rsidR="00C11CE8">
          <w:rPr>
            <w:noProof/>
            <w:webHidden/>
          </w:rPr>
          <w:fldChar w:fldCharType="separate"/>
        </w:r>
        <w:r w:rsidR="00677461">
          <w:rPr>
            <w:noProof/>
            <w:webHidden/>
          </w:rPr>
          <w:t>7</w:t>
        </w:r>
        <w:r w:rsidR="00C11CE8">
          <w:rPr>
            <w:noProof/>
            <w:webHidden/>
          </w:rPr>
          <w:fldChar w:fldCharType="end"/>
        </w:r>
      </w:hyperlink>
    </w:p>
    <w:p w:rsidR="00C11CE8" w:rsidRDefault="007B2360">
      <w:pPr>
        <w:pStyle w:val="TOC2"/>
        <w:tabs>
          <w:tab w:val="left" w:pos="720"/>
          <w:tab w:val="right" w:leader="dot" w:pos="9016"/>
        </w:tabs>
        <w:rPr>
          <w:rFonts w:asciiTheme="minorHAnsi" w:eastAsiaTheme="minorEastAsia" w:hAnsiTheme="minorHAnsi" w:cstheme="minorBidi"/>
          <w:smallCaps w:val="0"/>
          <w:noProof/>
          <w:szCs w:val="22"/>
          <w:lang w:val="en-AU" w:eastAsia="en-AU" w:bidi="ar-SA"/>
        </w:rPr>
      </w:pPr>
      <w:hyperlink w:anchor="_Toc304883955" w:history="1">
        <w:r w:rsidR="00C11CE8" w:rsidRPr="002A433C">
          <w:rPr>
            <w:rStyle w:val="Hyperlink"/>
            <w:noProof/>
          </w:rPr>
          <w:t>7.</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noProof/>
          </w:rPr>
          <w:t>Options</w:t>
        </w:r>
        <w:r w:rsidR="00C11CE8">
          <w:rPr>
            <w:noProof/>
            <w:webHidden/>
          </w:rPr>
          <w:tab/>
        </w:r>
        <w:r w:rsidR="00C11CE8">
          <w:rPr>
            <w:noProof/>
            <w:webHidden/>
          </w:rPr>
          <w:fldChar w:fldCharType="begin"/>
        </w:r>
        <w:r w:rsidR="00C11CE8">
          <w:rPr>
            <w:noProof/>
            <w:webHidden/>
          </w:rPr>
          <w:instrText xml:space="preserve"> PAGEREF _Toc304883955 \h </w:instrText>
        </w:r>
        <w:r w:rsidR="00C11CE8">
          <w:rPr>
            <w:noProof/>
            <w:webHidden/>
          </w:rPr>
        </w:r>
        <w:r w:rsidR="00C11CE8">
          <w:rPr>
            <w:noProof/>
            <w:webHidden/>
          </w:rPr>
          <w:fldChar w:fldCharType="separate"/>
        </w:r>
        <w:r w:rsidR="00677461">
          <w:rPr>
            <w:noProof/>
            <w:webHidden/>
          </w:rPr>
          <w:t>7</w:t>
        </w:r>
        <w:r w:rsidR="00C11CE8">
          <w:rPr>
            <w:noProof/>
            <w:webHidden/>
          </w:rPr>
          <w:fldChar w:fldCharType="end"/>
        </w:r>
      </w:hyperlink>
    </w:p>
    <w:p w:rsidR="00C11CE8" w:rsidRDefault="007B2360">
      <w:pPr>
        <w:pStyle w:val="TOC2"/>
        <w:tabs>
          <w:tab w:val="left" w:pos="720"/>
          <w:tab w:val="right" w:leader="dot" w:pos="9016"/>
        </w:tabs>
        <w:rPr>
          <w:rFonts w:asciiTheme="minorHAnsi" w:eastAsiaTheme="minorEastAsia" w:hAnsiTheme="minorHAnsi" w:cstheme="minorBidi"/>
          <w:smallCaps w:val="0"/>
          <w:noProof/>
          <w:szCs w:val="22"/>
          <w:lang w:val="en-AU" w:eastAsia="en-AU" w:bidi="ar-SA"/>
        </w:rPr>
      </w:pPr>
      <w:hyperlink w:anchor="_Toc304883956" w:history="1">
        <w:r w:rsidR="00C11CE8" w:rsidRPr="002A433C">
          <w:rPr>
            <w:rStyle w:val="Hyperlink"/>
            <w:noProof/>
          </w:rPr>
          <w:t>8.</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noProof/>
          </w:rPr>
          <w:t>Impact Analysis (RIS ID:  12065)</w:t>
        </w:r>
        <w:r w:rsidR="00C11CE8">
          <w:rPr>
            <w:noProof/>
            <w:webHidden/>
          </w:rPr>
          <w:tab/>
        </w:r>
        <w:r w:rsidR="00C11CE8">
          <w:rPr>
            <w:noProof/>
            <w:webHidden/>
          </w:rPr>
          <w:fldChar w:fldCharType="begin"/>
        </w:r>
        <w:r w:rsidR="00C11CE8">
          <w:rPr>
            <w:noProof/>
            <w:webHidden/>
          </w:rPr>
          <w:instrText xml:space="preserve"> PAGEREF _Toc304883956 \h </w:instrText>
        </w:r>
        <w:r w:rsidR="00C11CE8">
          <w:rPr>
            <w:noProof/>
            <w:webHidden/>
          </w:rPr>
        </w:r>
        <w:r w:rsidR="00C11CE8">
          <w:rPr>
            <w:noProof/>
            <w:webHidden/>
          </w:rPr>
          <w:fldChar w:fldCharType="separate"/>
        </w:r>
        <w:r w:rsidR="00677461">
          <w:rPr>
            <w:noProof/>
            <w:webHidden/>
          </w:rPr>
          <w:t>7</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57" w:history="1">
        <w:r w:rsidR="00C11CE8" w:rsidRPr="002A433C">
          <w:rPr>
            <w:rStyle w:val="Hyperlink"/>
            <w:noProof/>
          </w:rPr>
          <w:t>8.1</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Affected Parties</w:t>
        </w:r>
        <w:r w:rsidR="00C11CE8">
          <w:rPr>
            <w:noProof/>
            <w:webHidden/>
          </w:rPr>
          <w:tab/>
        </w:r>
        <w:r w:rsidR="00C11CE8">
          <w:rPr>
            <w:noProof/>
            <w:webHidden/>
          </w:rPr>
          <w:fldChar w:fldCharType="begin"/>
        </w:r>
        <w:r w:rsidR="00C11CE8">
          <w:rPr>
            <w:noProof/>
            <w:webHidden/>
          </w:rPr>
          <w:instrText xml:space="preserve"> PAGEREF _Toc304883957 \h </w:instrText>
        </w:r>
        <w:r w:rsidR="00C11CE8">
          <w:rPr>
            <w:noProof/>
            <w:webHidden/>
          </w:rPr>
        </w:r>
        <w:r w:rsidR="00C11CE8">
          <w:rPr>
            <w:noProof/>
            <w:webHidden/>
          </w:rPr>
          <w:fldChar w:fldCharType="separate"/>
        </w:r>
        <w:r w:rsidR="00677461">
          <w:rPr>
            <w:noProof/>
            <w:webHidden/>
          </w:rPr>
          <w:t>7</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58" w:history="1">
        <w:r w:rsidR="00C11CE8" w:rsidRPr="002A433C">
          <w:rPr>
            <w:rStyle w:val="Hyperlink"/>
            <w:noProof/>
          </w:rPr>
          <w:t>8.2</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Benefit Cost Analysis</w:t>
        </w:r>
        <w:r w:rsidR="00C11CE8">
          <w:rPr>
            <w:noProof/>
            <w:webHidden/>
          </w:rPr>
          <w:tab/>
        </w:r>
        <w:r w:rsidR="00C11CE8">
          <w:rPr>
            <w:noProof/>
            <w:webHidden/>
          </w:rPr>
          <w:fldChar w:fldCharType="begin"/>
        </w:r>
        <w:r w:rsidR="00C11CE8">
          <w:rPr>
            <w:noProof/>
            <w:webHidden/>
          </w:rPr>
          <w:instrText xml:space="preserve"> PAGEREF _Toc304883958 \h </w:instrText>
        </w:r>
        <w:r w:rsidR="00C11CE8">
          <w:rPr>
            <w:noProof/>
            <w:webHidden/>
          </w:rPr>
        </w:r>
        <w:r w:rsidR="00C11CE8">
          <w:rPr>
            <w:noProof/>
            <w:webHidden/>
          </w:rPr>
          <w:fldChar w:fldCharType="separate"/>
        </w:r>
        <w:r w:rsidR="00677461">
          <w:rPr>
            <w:noProof/>
            <w:webHidden/>
          </w:rPr>
          <w:t>8</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59" w:history="1">
        <w:r w:rsidR="00C11CE8" w:rsidRPr="002A433C">
          <w:rPr>
            <w:rStyle w:val="Hyperlink"/>
            <w:rFonts w:cs="Arial"/>
            <w:noProof/>
          </w:rPr>
          <w:t>8.3</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rFonts w:cs="Arial"/>
            <w:noProof/>
          </w:rPr>
          <w:t>Comparison of Options</w:t>
        </w:r>
        <w:r w:rsidR="00C11CE8">
          <w:rPr>
            <w:noProof/>
            <w:webHidden/>
          </w:rPr>
          <w:tab/>
        </w:r>
        <w:r w:rsidR="00C11CE8">
          <w:rPr>
            <w:noProof/>
            <w:webHidden/>
          </w:rPr>
          <w:fldChar w:fldCharType="begin"/>
        </w:r>
        <w:r w:rsidR="00C11CE8">
          <w:rPr>
            <w:noProof/>
            <w:webHidden/>
          </w:rPr>
          <w:instrText xml:space="preserve"> PAGEREF _Toc304883959 \h </w:instrText>
        </w:r>
        <w:r w:rsidR="00C11CE8">
          <w:rPr>
            <w:noProof/>
            <w:webHidden/>
          </w:rPr>
        </w:r>
        <w:r w:rsidR="00C11CE8">
          <w:rPr>
            <w:noProof/>
            <w:webHidden/>
          </w:rPr>
          <w:fldChar w:fldCharType="separate"/>
        </w:r>
        <w:r w:rsidR="00677461">
          <w:rPr>
            <w:noProof/>
            <w:webHidden/>
          </w:rPr>
          <w:t>9</w:t>
        </w:r>
        <w:r w:rsidR="00C11CE8">
          <w:rPr>
            <w:noProof/>
            <w:webHidden/>
          </w:rPr>
          <w:fldChar w:fldCharType="end"/>
        </w:r>
      </w:hyperlink>
    </w:p>
    <w:p w:rsidR="00C11CE8" w:rsidRDefault="007B2360">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304883960" w:history="1">
        <w:r w:rsidR="00C11CE8" w:rsidRPr="002A433C">
          <w:rPr>
            <w:rStyle w:val="Hyperlink"/>
            <w:noProof/>
          </w:rPr>
          <w:t>Communication and Consultation Strategy</w:t>
        </w:r>
        <w:r w:rsidR="00C11CE8">
          <w:rPr>
            <w:noProof/>
            <w:webHidden/>
          </w:rPr>
          <w:tab/>
        </w:r>
        <w:r w:rsidR="00C11CE8">
          <w:rPr>
            <w:noProof/>
            <w:webHidden/>
          </w:rPr>
          <w:fldChar w:fldCharType="begin"/>
        </w:r>
        <w:r w:rsidR="00C11CE8">
          <w:rPr>
            <w:noProof/>
            <w:webHidden/>
          </w:rPr>
          <w:instrText xml:space="preserve"> PAGEREF _Toc304883960 \h </w:instrText>
        </w:r>
        <w:r w:rsidR="00C11CE8">
          <w:rPr>
            <w:noProof/>
            <w:webHidden/>
          </w:rPr>
        </w:r>
        <w:r w:rsidR="00C11CE8">
          <w:rPr>
            <w:noProof/>
            <w:webHidden/>
          </w:rPr>
          <w:fldChar w:fldCharType="separate"/>
        </w:r>
        <w:r w:rsidR="00677461">
          <w:rPr>
            <w:noProof/>
            <w:webHidden/>
          </w:rPr>
          <w:t>9</w:t>
        </w:r>
        <w:r w:rsidR="00C11CE8">
          <w:rPr>
            <w:noProof/>
            <w:webHidden/>
          </w:rPr>
          <w:fldChar w:fldCharType="end"/>
        </w:r>
      </w:hyperlink>
    </w:p>
    <w:p w:rsidR="00C11CE8" w:rsidRDefault="007B2360">
      <w:pPr>
        <w:pStyle w:val="TOC2"/>
        <w:tabs>
          <w:tab w:val="left" w:pos="720"/>
          <w:tab w:val="right" w:leader="dot" w:pos="9016"/>
        </w:tabs>
        <w:rPr>
          <w:rFonts w:asciiTheme="minorHAnsi" w:eastAsiaTheme="minorEastAsia" w:hAnsiTheme="minorHAnsi" w:cstheme="minorBidi"/>
          <w:smallCaps w:val="0"/>
          <w:noProof/>
          <w:szCs w:val="22"/>
          <w:lang w:val="en-AU" w:eastAsia="en-AU" w:bidi="ar-SA"/>
        </w:rPr>
      </w:pPr>
      <w:hyperlink w:anchor="_Toc304883961" w:history="1">
        <w:r w:rsidR="00C11CE8" w:rsidRPr="002A433C">
          <w:rPr>
            <w:rStyle w:val="Hyperlink"/>
            <w:rFonts w:cs="Arial"/>
            <w:noProof/>
          </w:rPr>
          <w:t>9.</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rFonts w:cs="Arial"/>
            <w:noProof/>
          </w:rPr>
          <w:t>Communication</w:t>
        </w:r>
        <w:r w:rsidR="00C11CE8">
          <w:rPr>
            <w:noProof/>
            <w:webHidden/>
          </w:rPr>
          <w:tab/>
        </w:r>
        <w:r w:rsidR="00C11CE8">
          <w:rPr>
            <w:noProof/>
            <w:webHidden/>
          </w:rPr>
          <w:fldChar w:fldCharType="begin"/>
        </w:r>
        <w:r w:rsidR="00C11CE8">
          <w:rPr>
            <w:noProof/>
            <w:webHidden/>
          </w:rPr>
          <w:instrText xml:space="preserve"> PAGEREF _Toc304883961 \h </w:instrText>
        </w:r>
        <w:r w:rsidR="00C11CE8">
          <w:rPr>
            <w:noProof/>
            <w:webHidden/>
          </w:rPr>
        </w:r>
        <w:r w:rsidR="00C11CE8">
          <w:rPr>
            <w:noProof/>
            <w:webHidden/>
          </w:rPr>
          <w:fldChar w:fldCharType="separate"/>
        </w:r>
        <w:r w:rsidR="00677461">
          <w:rPr>
            <w:noProof/>
            <w:webHidden/>
          </w:rPr>
          <w:t>9</w:t>
        </w:r>
        <w:r w:rsidR="00C11CE8">
          <w:rPr>
            <w:noProof/>
            <w:webHidden/>
          </w:rPr>
          <w:fldChar w:fldCharType="end"/>
        </w:r>
      </w:hyperlink>
    </w:p>
    <w:p w:rsidR="00C11CE8" w:rsidRDefault="007B2360">
      <w:pPr>
        <w:pStyle w:val="TOC2"/>
        <w:tabs>
          <w:tab w:val="left" w:pos="960"/>
          <w:tab w:val="right" w:leader="dot" w:pos="9016"/>
        </w:tabs>
        <w:rPr>
          <w:rFonts w:asciiTheme="minorHAnsi" w:eastAsiaTheme="minorEastAsia" w:hAnsiTheme="minorHAnsi" w:cstheme="minorBidi"/>
          <w:smallCaps w:val="0"/>
          <w:noProof/>
          <w:szCs w:val="22"/>
          <w:lang w:val="en-AU" w:eastAsia="en-AU" w:bidi="ar-SA"/>
        </w:rPr>
      </w:pPr>
      <w:hyperlink w:anchor="_Toc304883962" w:history="1">
        <w:r w:rsidR="00C11CE8" w:rsidRPr="002A433C">
          <w:rPr>
            <w:rStyle w:val="Hyperlink"/>
            <w:rFonts w:cs="Arial"/>
            <w:noProof/>
          </w:rPr>
          <w:t>10.</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rFonts w:cs="Arial"/>
            <w:noProof/>
          </w:rPr>
          <w:t>Consultation</w:t>
        </w:r>
        <w:r w:rsidR="00C11CE8">
          <w:rPr>
            <w:noProof/>
            <w:webHidden/>
          </w:rPr>
          <w:tab/>
        </w:r>
        <w:r w:rsidR="00C11CE8">
          <w:rPr>
            <w:noProof/>
            <w:webHidden/>
          </w:rPr>
          <w:fldChar w:fldCharType="begin"/>
        </w:r>
        <w:r w:rsidR="00C11CE8">
          <w:rPr>
            <w:noProof/>
            <w:webHidden/>
          </w:rPr>
          <w:instrText xml:space="preserve"> PAGEREF _Toc304883962 \h </w:instrText>
        </w:r>
        <w:r w:rsidR="00C11CE8">
          <w:rPr>
            <w:noProof/>
            <w:webHidden/>
          </w:rPr>
        </w:r>
        <w:r w:rsidR="00C11CE8">
          <w:rPr>
            <w:noProof/>
            <w:webHidden/>
          </w:rPr>
          <w:fldChar w:fldCharType="separate"/>
        </w:r>
        <w:r w:rsidR="00677461">
          <w:rPr>
            <w:noProof/>
            <w:webHidden/>
          </w:rPr>
          <w:t>10</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63" w:history="1">
        <w:r w:rsidR="00C11CE8" w:rsidRPr="002A433C">
          <w:rPr>
            <w:rStyle w:val="Hyperlink"/>
            <w:rFonts w:cs="Arial"/>
            <w:noProof/>
          </w:rPr>
          <w:t>10.1</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rFonts w:cs="Arial"/>
            <w:noProof/>
          </w:rPr>
          <w:t>Public Consultation</w:t>
        </w:r>
        <w:r w:rsidR="00C11CE8">
          <w:rPr>
            <w:noProof/>
            <w:webHidden/>
          </w:rPr>
          <w:tab/>
        </w:r>
        <w:r w:rsidR="00C11CE8">
          <w:rPr>
            <w:noProof/>
            <w:webHidden/>
          </w:rPr>
          <w:fldChar w:fldCharType="begin"/>
        </w:r>
        <w:r w:rsidR="00C11CE8">
          <w:rPr>
            <w:noProof/>
            <w:webHidden/>
          </w:rPr>
          <w:instrText xml:space="preserve"> PAGEREF _Toc304883963 \h </w:instrText>
        </w:r>
        <w:r w:rsidR="00C11CE8">
          <w:rPr>
            <w:noProof/>
            <w:webHidden/>
          </w:rPr>
        </w:r>
        <w:r w:rsidR="00C11CE8">
          <w:rPr>
            <w:noProof/>
            <w:webHidden/>
          </w:rPr>
          <w:fldChar w:fldCharType="separate"/>
        </w:r>
        <w:r w:rsidR="00677461">
          <w:rPr>
            <w:noProof/>
            <w:webHidden/>
          </w:rPr>
          <w:t>10</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64" w:history="1">
        <w:r w:rsidR="00C11CE8" w:rsidRPr="002A433C">
          <w:rPr>
            <w:rStyle w:val="Hyperlink"/>
            <w:noProof/>
          </w:rPr>
          <w:t>10.2</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World Trade Organization (WTO)</w:t>
        </w:r>
        <w:r w:rsidR="00C11CE8">
          <w:rPr>
            <w:noProof/>
            <w:webHidden/>
          </w:rPr>
          <w:tab/>
        </w:r>
        <w:r w:rsidR="00C11CE8">
          <w:rPr>
            <w:noProof/>
            <w:webHidden/>
          </w:rPr>
          <w:fldChar w:fldCharType="begin"/>
        </w:r>
        <w:r w:rsidR="00C11CE8">
          <w:rPr>
            <w:noProof/>
            <w:webHidden/>
          </w:rPr>
          <w:instrText xml:space="preserve"> PAGEREF _Toc304883964 \h </w:instrText>
        </w:r>
        <w:r w:rsidR="00C11CE8">
          <w:rPr>
            <w:noProof/>
            <w:webHidden/>
          </w:rPr>
        </w:r>
        <w:r w:rsidR="00C11CE8">
          <w:rPr>
            <w:noProof/>
            <w:webHidden/>
          </w:rPr>
          <w:fldChar w:fldCharType="separate"/>
        </w:r>
        <w:r w:rsidR="00677461">
          <w:rPr>
            <w:noProof/>
            <w:webHidden/>
          </w:rPr>
          <w:t>10</w:t>
        </w:r>
        <w:r w:rsidR="00C11CE8">
          <w:rPr>
            <w:noProof/>
            <w:webHidden/>
          </w:rPr>
          <w:fldChar w:fldCharType="end"/>
        </w:r>
      </w:hyperlink>
    </w:p>
    <w:p w:rsidR="00C11CE8" w:rsidRDefault="007B2360">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304883965" w:history="1">
        <w:r w:rsidR="00C11CE8" w:rsidRPr="002A433C">
          <w:rPr>
            <w:rStyle w:val="Hyperlink"/>
            <w:noProof/>
          </w:rPr>
          <w:t>Primary Legislative Objectives</w:t>
        </w:r>
        <w:r w:rsidR="00C11CE8">
          <w:rPr>
            <w:noProof/>
            <w:webHidden/>
          </w:rPr>
          <w:tab/>
        </w:r>
        <w:r w:rsidR="00C11CE8">
          <w:rPr>
            <w:noProof/>
            <w:webHidden/>
          </w:rPr>
          <w:fldChar w:fldCharType="begin"/>
        </w:r>
        <w:r w:rsidR="00C11CE8">
          <w:rPr>
            <w:noProof/>
            <w:webHidden/>
          </w:rPr>
          <w:instrText xml:space="preserve"> PAGEREF _Toc304883965 \h </w:instrText>
        </w:r>
        <w:r w:rsidR="00C11CE8">
          <w:rPr>
            <w:noProof/>
            <w:webHidden/>
          </w:rPr>
        </w:r>
        <w:r w:rsidR="00C11CE8">
          <w:rPr>
            <w:noProof/>
            <w:webHidden/>
          </w:rPr>
          <w:fldChar w:fldCharType="separate"/>
        </w:r>
        <w:r w:rsidR="00677461">
          <w:rPr>
            <w:noProof/>
            <w:webHidden/>
          </w:rPr>
          <w:t>10</w:t>
        </w:r>
        <w:r w:rsidR="00C11CE8">
          <w:rPr>
            <w:noProof/>
            <w:webHidden/>
          </w:rPr>
          <w:fldChar w:fldCharType="end"/>
        </w:r>
      </w:hyperlink>
    </w:p>
    <w:p w:rsidR="00C11CE8" w:rsidRDefault="007B2360">
      <w:pPr>
        <w:pStyle w:val="TOC2"/>
        <w:tabs>
          <w:tab w:val="left" w:pos="960"/>
          <w:tab w:val="right" w:leader="dot" w:pos="9016"/>
        </w:tabs>
        <w:rPr>
          <w:rFonts w:asciiTheme="minorHAnsi" w:eastAsiaTheme="minorEastAsia" w:hAnsiTheme="minorHAnsi" w:cstheme="minorBidi"/>
          <w:smallCaps w:val="0"/>
          <w:noProof/>
          <w:szCs w:val="22"/>
          <w:lang w:val="en-AU" w:eastAsia="en-AU" w:bidi="ar-SA"/>
        </w:rPr>
      </w:pPr>
      <w:hyperlink w:anchor="_Toc304883966" w:history="1">
        <w:r w:rsidR="00C11CE8" w:rsidRPr="002A433C">
          <w:rPr>
            <w:rStyle w:val="Hyperlink"/>
            <w:noProof/>
          </w:rPr>
          <w:t>11.</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noProof/>
          </w:rPr>
          <w:t xml:space="preserve">Addressing the </w:t>
        </w:r>
        <w:r w:rsidR="00C11CE8" w:rsidRPr="002A433C">
          <w:rPr>
            <w:rStyle w:val="Hyperlink"/>
            <w:rFonts w:cs="Arial"/>
            <w:noProof/>
          </w:rPr>
          <w:t>Primary Objectives of Section 18 of the FSANZ Act.</w:t>
        </w:r>
        <w:r w:rsidR="00C11CE8">
          <w:rPr>
            <w:noProof/>
            <w:webHidden/>
          </w:rPr>
          <w:tab/>
        </w:r>
        <w:r w:rsidR="00C11CE8">
          <w:rPr>
            <w:noProof/>
            <w:webHidden/>
          </w:rPr>
          <w:fldChar w:fldCharType="begin"/>
        </w:r>
        <w:r w:rsidR="00C11CE8">
          <w:rPr>
            <w:noProof/>
            <w:webHidden/>
          </w:rPr>
          <w:instrText xml:space="preserve"> PAGEREF _Toc304883966 \h </w:instrText>
        </w:r>
        <w:r w:rsidR="00C11CE8">
          <w:rPr>
            <w:noProof/>
            <w:webHidden/>
          </w:rPr>
        </w:r>
        <w:r w:rsidR="00C11CE8">
          <w:rPr>
            <w:noProof/>
            <w:webHidden/>
          </w:rPr>
          <w:fldChar w:fldCharType="separate"/>
        </w:r>
        <w:r w:rsidR="00677461">
          <w:rPr>
            <w:noProof/>
            <w:webHidden/>
          </w:rPr>
          <w:t>10</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67" w:history="1">
        <w:r w:rsidR="00C11CE8" w:rsidRPr="002A433C">
          <w:rPr>
            <w:rStyle w:val="Hyperlink"/>
            <w:rFonts w:cs="Arial"/>
            <w:noProof/>
          </w:rPr>
          <w:t>11.1</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rFonts w:cs="Arial"/>
            <w:noProof/>
          </w:rPr>
          <w:t>Risk to Public Health and Safety</w:t>
        </w:r>
        <w:r w:rsidR="00C11CE8">
          <w:rPr>
            <w:noProof/>
            <w:webHidden/>
          </w:rPr>
          <w:tab/>
        </w:r>
        <w:r w:rsidR="00C11CE8">
          <w:rPr>
            <w:noProof/>
            <w:webHidden/>
          </w:rPr>
          <w:fldChar w:fldCharType="begin"/>
        </w:r>
        <w:r w:rsidR="00C11CE8">
          <w:rPr>
            <w:noProof/>
            <w:webHidden/>
          </w:rPr>
          <w:instrText xml:space="preserve"> PAGEREF _Toc304883967 \h </w:instrText>
        </w:r>
        <w:r w:rsidR="00C11CE8">
          <w:rPr>
            <w:noProof/>
            <w:webHidden/>
          </w:rPr>
        </w:r>
        <w:r w:rsidR="00C11CE8">
          <w:rPr>
            <w:noProof/>
            <w:webHidden/>
          </w:rPr>
          <w:fldChar w:fldCharType="separate"/>
        </w:r>
        <w:r w:rsidR="00677461">
          <w:rPr>
            <w:noProof/>
            <w:webHidden/>
          </w:rPr>
          <w:t>11</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68" w:history="1">
        <w:r w:rsidR="00C11CE8" w:rsidRPr="002A433C">
          <w:rPr>
            <w:rStyle w:val="Hyperlink"/>
            <w:noProof/>
          </w:rPr>
          <w:t>11.2</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Providing Adequate Information to Enable Informed Choice – Labelling</w:t>
        </w:r>
        <w:r w:rsidR="00C11CE8">
          <w:rPr>
            <w:noProof/>
            <w:webHidden/>
          </w:rPr>
          <w:tab/>
        </w:r>
        <w:r w:rsidR="00C11CE8">
          <w:rPr>
            <w:noProof/>
            <w:webHidden/>
          </w:rPr>
          <w:fldChar w:fldCharType="begin"/>
        </w:r>
        <w:r w:rsidR="00C11CE8">
          <w:rPr>
            <w:noProof/>
            <w:webHidden/>
          </w:rPr>
          <w:instrText xml:space="preserve"> PAGEREF _Toc304883968 \h </w:instrText>
        </w:r>
        <w:r w:rsidR="00C11CE8">
          <w:rPr>
            <w:noProof/>
            <w:webHidden/>
          </w:rPr>
        </w:r>
        <w:r w:rsidR="00C11CE8">
          <w:rPr>
            <w:noProof/>
            <w:webHidden/>
          </w:rPr>
          <w:fldChar w:fldCharType="separate"/>
        </w:r>
        <w:r w:rsidR="00677461">
          <w:rPr>
            <w:noProof/>
            <w:webHidden/>
          </w:rPr>
          <w:t>11</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69" w:history="1">
        <w:r w:rsidR="00C11CE8" w:rsidRPr="002A433C">
          <w:rPr>
            <w:rStyle w:val="Hyperlink"/>
            <w:noProof/>
          </w:rPr>
          <w:t>11.3</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Prevention of Misleading and Deceptive Conduct</w:t>
        </w:r>
        <w:r w:rsidR="00C11CE8">
          <w:rPr>
            <w:noProof/>
            <w:webHidden/>
          </w:rPr>
          <w:tab/>
        </w:r>
        <w:r w:rsidR="00C11CE8">
          <w:rPr>
            <w:noProof/>
            <w:webHidden/>
          </w:rPr>
          <w:fldChar w:fldCharType="begin"/>
        </w:r>
        <w:r w:rsidR="00C11CE8">
          <w:rPr>
            <w:noProof/>
            <w:webHidden/>
          </w:rPr>
          <w:instrText xml:space="preserve"> PAGEREF _Toc304883969 \h </w:instrText>
        </w:r>
        <w:r w:rsidR="00C11CE8">
          <w:rPr>
            <w:noProof/>
            <w:webHidden/>
          </w:rPr>
        </w:r>
        <w:r w:rsidR="00C11CE8">
          <w:rPr>
            <w:noProof/>
            <w:webHidden/>
          </w:rPr>
          <w:fldChar w:fldCharType="separate"/>
        </w:r>
        <w:r w:rsidR="00677461">
          <w:rPr>
            <w:noProof/>
            <w:webHidden/>
          </w:rPr>
          <w:t>11</w:t>
        </w:r>
        <w:r w:rsidR="00C11CE8">
          <w:rPr>
            <w:noProof/>
            <w:webHidden/>
          </w:rPr>
          <w:fldChar w:fldCharType="end"/>
        </w:r>
      </w:hyperlink>
    </w:p>
    <w:p w:rsidR="00C11CE8" w:rsidRDefault="007B2360">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304883970" w:history="1">
        <w:r w:rsidR="00C11CE8" w:rsidRPr="002A433C">
          <w:rPr>
            <w:rStyle w:val="Hyperlink"/>
            <w:noProof/>
          </w:rPr>
          <w:t>Conclusion</w:t>
        </w:r>
        <w:r w:rsidR="00C11CE8">
          <w:rPr>
            <w:noProof/>
            <w:webHidden/>
          </w:rPr>
          <w:tab/>
        </w:r>
        <w:r w:rsidR="00C11CE8">
          <w:rPr>
            <w:noProof/>
            <w:webHidden/>
          </w:rPr>
          <w:fldChar w:fldCharType="begin"/>
        </w:r>
        <w:r w:rsidR="00C11CE8">
          <w:rPr>
            <w:noProof/>
            <w:webHidden/>
          </w:rPr>
          <w:instrText xml:space="preserve"> PAGEREF _Toc304883970 \h </w:instrText>
        </w:r>
        <w:r w:rsidR="00C11CE8">
          <w:rPr>
            <w:noProof/>
            <w:webHidden/>
          </w:rPr>
        </w:r>
        <w:r w:rsidR="00C11CE8">
          <w:rPr>
            <w:noProof/>
            <w:webHidden/>
          </w:rPr>
          <w:fldChar w:fldCharType="separate"/>
        </w:r>
        <w:r w:rsidR="00677461">
          <w:rPr>
            <w:noProof/>
            <w:webHidden/>
          </w:rPr>
          <w:t>11</w:t>
        </w:r>
        <w:r w:rsidR="00C11CE8">
          <w:rPr>
            <w:noProof/>
            <w:webHidden/>
          </w:rPr>
          <w:fldChar w:fldCharType="end"/>
        </w:r>
      </w:hyperlink>
    </w:p>
    <w:p w:rsidR="00C11CE8" w:rsidRDefault="007B2360">
      <w:pPr>
        <w:pStyle w:val="TOC2"/>
        <w:tabs>
          <w:tab w:val="left" w:pos="960"/>
          <w:tab w:val="right" w:leader="dot" w:pos="9016"/>
        </w:tabs>
        <w:rPr>
          <w:rFonts w:asciiTheme="minorHAnsi" w:eastAsiaTheme="minorEastAsia" w:hAnsiTheme="minorHAnsi" w:cstheme="minorBidi"/>
          <w:smallCaps w:val="0"/>
          <w:noProof/>
          <w:szCs w:val="22"/>
          <w:lang w:val="en-AU" w:eastAsia="en-AU" w:bidi="ar-SA"/>
        </w:rPr>
      </w:pPr>
      <w:hyperlink w:anchor="_Toc304883971" w:history="1">
        <w:r w:rsidR="00C11CE8" w:rsidRPr="002A433C">
          <w:rPr>
            <w:rStyle w:val="Hyperlink"/>
            <w:noProof/>
          </w:rPr>
          <w:t>12.</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noProof/>
          </w:rPr>
          <w:t>Conclusion and Decision</w:t>
        </w:r>
        <w:r w:rsidR="00C11CE8">
          <w:rPr>
            <w:noProof/>
            <w:webHidden/>
          </w:rPr>
          <w:tab/>
        </w:r>
        <w:r w:rsidR="00C11CE8">
          <w:rPr>
            <w:noProof/>
            <w:webHidden/>
          </w:rPr>
          <w:fldChar w:fldCharType="begin"/>
        </w:r>
        <w:r w:rsidR="00C11CE8">
          <w:rPr>
            <w:noProof/>
            <w:webHidden/>
          </w:rPr>
          <w:instrText xml:space="preserve"> PAGEREF _Toc304883971 \h </w:instrText>
        </w:r>
        <w:r w:rsidR="00C11CE8">
          <w:rPr>
            <w:noProof/>
            <w:webHidden/>
          </w:rPr>
        </w:r>
        <w:r w:rsidR="00C11CE8">
          <w:rPr>
            <w:noProof/>
            <w:webHidden/>
          </w:rPr>
          <w:fldChar w:fldCharType="separate"/>
        </w:r>
        <w:r w:rsidR="00677461">
          <w:rPr>
            <w:noProof/>
            <w:webHidden/>
          </w:rPr>
          <w:t>11</w:t>
        </w:r>
        <w:r w:rsidR="00C11CE8">
          <w:rPr>
            <w:noProof/>
            <w:webHidden/>
          </w:rPr>
          <w:fldChar w:fldCharType="end"/>
        </w:r>
      </w:hyperlink>
    </w:p>
    <w:p w:rsidR="00C11CE8" w:rsidRDefault="007B2360">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304883972" w:history="1">
        <w:r w:rsidR="00C11CE8" w:rsidRPr="002A433C">
          <w:rPr>
            <w:rStyle w:val="Hyperlink"/>
            <w:noProof/>
          </w:rPr>
          <w:t>12.1</w:t>
        </w:r>
        <w:r w:rsidR="00C11CE8">
          <w:rPr>
            <w:rFonts w:asciiTheme="minorHAnsi" w:eastAsiaTheme="minorEastAsia" w:hAnsiTheme="minorHAnsi" w:cstheme="minorBidi"/>
            <w:i w:val="0"/>
            <w:iCs w:val="0"/>
            <w:noProof/>
            <w:szCs w:val="22"/>
            <w:lang w:val="en-AU" w:eastAsia="en-AU" w:bidi="ar-SA"/>
          </w:rPr>
          <w:tab/>
        </w:r>
        <w:r w:rsidR="00C11CE8" w:rsidRPr="002A433C">
          <w:rPr>
            <w:rStyle w:val="Hyperlink"/>
            <w:noProof/>
          </w:rPr>
          <w:t>Reasons for Preferred Approach</w:t>
        </w:r>
        <w:r w:rsidR="00C11CE8">
          <w:rPr>
            <w:noProof/>
            <w:webHidden/>
          </w:rPr>
          <w:tab/>
        </w:r>
        <w:r w:rsidR="00C11CE8">
          <w:rPr>
            <w:noProof/>
            <w:webHidden/>
          </w:rPr>
          <w:fldChar w:fldCharType="begin"/>
        </w:r>
        <w:r w:rsidR="00C11CE8">
          <w:rPr>
            <w:noProof/>
            <w:webHidden/>
          </w:rPr>
          <w:instrText xml:space="preserve"> PAGEREF _Toc304883972 \h </w:instrText>
        </w:r>
        <w:r w:rsidR="00C11CE8">
          <w:rPr>
            <w:noProof/>
            <w:webHidden/>
          </w:rPr>
        </w:r>
        <w:r w:rsidR="00C11CE8">
          <w:rPr>
            <w:noProof/>
            <w:webHidden/>
          </w:rPr>
          <w:fldChar w:fldCharType="separate"/>
        </w:r>
        <w:r w:rsidR="00677461">
          <w:rPr>
            <w:noProof/>
            <w:webHidden/>
          </w:rPr>
          <w:t>12</w:t>
        </w:r>
        <w:r w:rsidR="00C11CE8">
          <w:rPr>
            <w:noProof/>
            <w:webHidden/>
          </w:rPr>
          <w:fldChar w:fldCharType="end"/>
        </w:r>
      </w:hyperlink>
    </w:p>
    <w:p w:rsidR="00C11CE8" w:rsidRDefault="007B2360">
      <w:pPr>
        <w:pStyle w:val="TOC2"/>
        <w:tabs>
          <w:tab w:val="left" w:pos="960"/>
          <w:tab w:val="right" w:leader="dot" w:pos="9016"/>
        </w:tabs>
        <w:rPr>
          <w:rFonts w:asciiTheme="minorHAnsi" w:eastAsiaTheme="minorEastAsia" w:hAnsiTheme="minorHAnsi" w:cstheme="minorBidi"/>
          <w:smallCaps w:val="0"/>
          <w:noProof/>
          <w:szCs w:val="22"/>
          <w:lang w:val="en-AU" w:eastAsia="en-AU" w:bidi="ar-SA"/>
        </w:rPr>
      </w:pPr>
      <w:hyperlink w:anchor="_Toc304883973" w:history="1">
        <w:r w:rsidR="00C11CE8" w:rsidRPr="002A433C">
          <w:rPr>
            <w:rStyle w:val="Hyperlink"/>
            <w:rFonts w:cs="Arial"/>
            <w:noProof/>
          </w:rPr>
          <w:t>13.</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rFonts w:cs="Arial"/>
            <w:noProof/>
          </w:rPr>
          <w:t>Implementation and Review</w:t>
        </w:r>
        <w:r w:rsidR="00C11CE8">
          <w:rPr>
            <w:noProof/>
            <w:webHidden/>
          </w:rPr>
          <w:tab/>
        </w:r>
        <w:r w:rsidR="00C11CE8">
          <w:rPr>
            <w:noProof/>
            <w:webHidden/>
          </w:rPr>
          <w:fldChar w:fldCharType="begin"/>
        </w:r>
        <w:r w:rsidR="00C11CE8">
          <w:rPr>
            <w:noProof/>
            <w:webHidden/>
          </w:rPr>
          <w:instrText xml:space="preserve"> PAGEREF _Toc304883973 \h </w:instrText>
        </w:r>
        <w:r w:rsidR="00C11CE8">
          <w:rPr>
            <w:noProof/>
            <w:webHidden/>
          </w:rPr>
        </w:r>
        <w:r w:rsidR="00C11CE8">
          <w:rPr>
            <w:noProof/>
            <w:webHidden/>
          </w:rPr>
          <w:fldChar w:fldCharType="separate"/>
        </w:r>
        <w:r w:rsidR="00677461">
          <w:rPr>
            <w:noProof/>
            <w:webHidden/>
          </w:rPr>
          <w:t>12</w:t>
        </w:r>
        <w:r w:rsidR="00C11CE8">
          <w:rPr>
            <w:noProof/>
            <w:webHidden/>
          </w:rPr>
          <w:fldChar w:fldCharType="end"/>
        </w:r>
      </w:hyperlink>
    </w:p>
    <w:p w:rsidR="00C11CE8" w:rsidRDefault="007B2360">
      <w:pPr>
        <w:pStyle w:val="TOC2"/>
        <w:tabs>
          <w:tab w:val="left" w:pos="960"/>
          <w:tab w:val="right" w:leader="dot" w:pos="9016"/>
        </w:tabs>
        <w:rPr>
          <w:rFonts w:asciiTheme="minorHAnsi" w:eastAsiaTheme="minorEastAsia" w:hAnsiTheme="minorHAnsi" w:cstheme="minorBidi"/>
          <w:smallCaps w:val="0"/>
          <w:noProof/>
          <w:szCs w:val="22"/>
          <w:lang w:val="en-AU" w:eastAsia="en-AU" w:bidi="ar-SA"/>
        </w:rPr>
      </w:pPr>
      <w:hyperlink w:anchor="_Toc304883974" w:history="1">
        <w:r w:rsidR="00C11CE8" w:rsidRPr="002A433C">
          <w:rPr>
            <w:rStyle w:val="Hyperlink"/>
            <w:rFonts w:cs="Arial"/>
            <w:noProof/>
          </w:rPr>
          <w:t>14.</w:t>
        </w:r>
        <w:r w:rsidR="00C11CE8">
          <w:rPr>
            <w:rFonts w:asciiTheme="minorHAnsi" w:eastAsiaTheme="minorEastAsia" w:hAnsiTheme="minorHAnsi" w:cstheme="minorBidi"/>
            <w:smallCaps w:val="0"/>
            <w:noProof/>
            <w:szCs w:val="22"/>
            <w:lang w:val="en-AU" w:eastAsia="en-AU" w:bidi="ar-SA"/>
          </w:rPr>
          <w:tab/>
        </w:r>
        <w:r w:rsidR="00C11CE8" w:rsidRPr="002A433C">
          <w:rPr>
            <w:rStyle w:val="Hyperlink"/>
            <w:rFonts w:cs="Arial"/>
            <w:noProof/>
          </w:rPr>
          <w:t>References</w:t>
        </w:r>
        <w:r w:rsidR="00C11CE8">
          <w:rPr>
            <w:noProof/>
            <w:webHidden/>
          </w:rPr>
          <w:tab/>
        </w:r>
        <w:r w:rsidR="00C11CE8">
          <w:rPr>
            <w:noProof/>
            <w:webHidden/>
          </w:rPr>
          <w:fldChar w:fldCharType="begin"/>
        </w:r>
        <w:r w:rsidR="00C11CE8">
          <w:rPr>
            <w:noProof/>
            <w:webHidden/>
          </w:rPr>
          <w:instrText xml:space="preserve"> PAGEREF _Toc304883974 \h </w:instrText>
        </w:r>
        <w:r w:rsidR="00C11CE8">
          <w:rPr>
            <w:noProof/>
            <w:webHidden/>
          </w:rPr>
        </w:r>
        <w:r w:rsidR="00C11CE8">
          <w:rPr>
            <w:noProof/>
            <w:webHidden/>
          </w:rPr>
          <w:fldChar w:fldCharType="separate"/>
        </w:r>
        <w:r w:rsidR="00677461">
          <w:rPr>
            <w:noProof/>
            <w:webHidden/>
          </w:rPr>
          <w:t>12</w:t>
        </w:r>
        <w:r w:rsidR="00C11CE8">
          <w:rPr>
            <w:noProof/>
            <w:webHidden/>
          </w:rPr>
          <w:fldChar w:fldCharType="end"/>
        </w:r>
      </w:hyperlink>
    </w:p>
    <w:p w:rsidR="00C11CE8" w:rsidRDefault="007B2360">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04883975" w:history="1">
        <w:r w:rsidR="00C11CE8" w:rsidRPr="002A433C">
          <w:rPr>
            <w:rStyle w:val="Hyperlink"/>
            <w:rFonts w:cs="Arial"/>
            <w:noProof/>
          </w:rPr>
          <w:t>Attachment 1</w:t>
        </w:r>
        <w:r w:rsidR="00246579">
          <w:rPr>
            <w:rStyle w:val="Hyperlink"/>
            <w:rFonts w:cs="Arial"/>
            <w:noProof/>
          </w:rPr>
          <w:t xml:space="preserve"> </w:t>
        </w:r>
        <w:r w:rsidR="00C11CE8">
          <w:rPr>
            <w:rStyle w:val="Hyperlink"/>
            <w:rFonts w:cs="Arial"/>
            <w:noProof/>
          </w:rPr>
          <w:t xml:space="preserve">- </w:t>
        </w:r>
      </w:hyperlink>
      <w:hyperlink w:anchor="_Toc304883976" w:history="1">
        <w:r w:rsidR="00C11CE8" w:rsidRPr="002A433C">
          <w:rPr>
            <w:rStyle w:val="Hyperlink"/>
            <w:rFonts w:cs="Arial"/>
            <w:noProof/>
          </w:rPr>
          <w:t xml:space="preserve">Draft variations to the </w:t>
        </w:r>
        <w:r w:rsidR="00C11CE8" w:rsidRPr="002A433C">
          <w:rPr>
            <w:rStyle w:val="Hyperlink"/>
            <w:rFonts w:cs="Arial"/>
            <w:i/>
            <w:noProof/>
          </w:rPr>
          <w:t>Australia New Zealand Food Standards Code</w:t>
        </w:r>
        <w:r w:rsidR="00C11CE8">
          <w:rPr>
            <w:noProof/>
            <w:webHidden/>
          </w:rPr>
          <w:tab/>
        </w:r>
        <w:r w:rsidR="00C11CE8">
          <w:rPr>
            <w:noProof/>
            <w:webHidden/>
          </w:rPr>
          <w:fldChar w:fldCharType="begin"/>
        </w:r>
        <w:r w:rsidR="00C11CE8">
          <w:rPr>
            <w:noProof/>
            <w:webHidden/>
          </w:rPr>
          <w:instrText xml:space="preserve"> PAGEREF _Toc304883976 \h </w:instrText>
        </w:r>
        <w:r w:rsidR="00C11CE8">
          <w:rPr>
            <w:noProof/>
            <w:webHidden/>
          </w:rPr>
        </w:r>
        <w:r w:rsidR="00C11CE8">
          <w:rPr>
            <w:noProof/>
            <w:webHidden/>
          </w:rPr>
          <w:fldChar w:fldCharType="separate"/>
        </w:r>
        <w:r w:rsidR="00677461">
          <w:rPr>
            <w:noProof/>
            <w:webHidden/>
          </w:rPr>
          <w:t>14</w:t>
        </w:r>
        <w:r w:rsidR="00C11CE8">
          <w:rPr>
            <w:noProof/>
            <w:webHidden/>
          </w:rPr>
          <w:fldChar w:fldCharType="end"/>
        </w:r>
      </w:hyperlink>
    </w:p>
    <w:p w:rsidR="00C11CE8" w:rsidRDefault="007B2360">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04883977" w:history="1">
        <w:r w:rsidR="00C11CE8" w:rsidRPr="002A433C">
          <w:rPr>
            <w:rStyle w:val="Hyperlink"/>
            <w:noProof/>
          </w:rPr>
          <w:t>Attachment 2</w:t>
        </w:r>
        <w:r w:rsidR="00246579">
          <w:rPr>
            <w:rStyle w:val="Hyperlink"/>
            <w:noProof/>
          </w:rPr>
          <w:t xml:space="preserve"> </w:t>
        </w:r>
        <w:r w:rsidR="00C11CE8">
          <w:rPr>
            <w:rStyle w:val="Hyperlink"/>
            <w:noProof/>
          </w:rPr>
          <w:t xml:space="preserve">- </w:t>
        </w:r>
      </w:hyperlink>
      <w:hyperlink w:anchor="_Toc304883978" w:history="1">
        <w:r w:rsidR="00C11CE8" w:rsidRPr="002A433C">
          <w:rPr>
            <w:rStyle w:val="Hyperlink"/>
            <w:noProof/>
          </w:rPr>
          <w:t>Summary of Public Submissions on the Assessment Report</w:t>
        </w:r>
        <w:r w:rsidR="00C11CE8">
          <w:rPr>
            <w:noProof/>
            <w:webHidden/>
          </w:rPr>
          <w:tab/>
        </w:r>
        <w:r w:rsidR="00C11CE8">
          <w:rPr>
            <w:noProof/>
            <w:webHidden/>
          </w:rPr>
          <w:fldChar w:fldCharType="begin"/>
        </w:r>
        <w:r w:rsidR="00C11CE8">
          <w:rPr>
            <w:noProof/>
            <w:webHidden/>
          </w:rPr>
          <w:instrText xml:space="preserve"> PAGEREF _Toc304883978 \h </w:instrText>
        </w:r>
        <w:r w:rsidR="00C11CE8">
          <w:rPr>
            <w:noProof/>
            <w:webHidden/>
          </w:rPr>
        </w:r>
        <w:r w:rsidR="00C11CE8">
          <w:rPr>
            <w:noProof/>
            <w:webHidden/>
          </w:rPr>
          <w:fldChar w:fldCharType="separate"/>
        </w:r>
        <w:r w:rsidR="00677461">
          <w:rPr>
            <w:noProof/>
            <w:webHidden/>
          </w:rPr>
          <w:t>16</w:t>
        </w:r>
        <w:r w:rsidR="00C11CE8">
          <w:rPr>
            <w:noProof/>
            <w:webHidden/>
          </w:rPr>
          <w:fldChar w:fldCharType="end"/>
        </w:r>
      </w:hyperlink>
    </w:p>
    <w:p w:rsidR="00F42A4C" w:rsidRPr="004A5693" w:rsidRDefault="00282DE2">
      <w:pPr>
        <w:rPr>
          <w:rFonts w:cs="Arial"/>
          <w:sz w:val="20"/>
          <w:szCs w:val="20"/>
        </w:rPr>
      </w:pPr>
      <w:r w:rsidRPr="00DC6570">
        <w:rPr>
          <w:rFonts w:cs="Arial"/>
        </w:rPr>
        <w:fldChar w:fldCharType="end"/>
      </w:r>
    </w:p>
    <w:p w:rsidR="00F42A4C" w:rsidRPr="000021F8" w:rsidRDefault="00F42A4C" w:rsidP="00F42A4C">
      <w:pPr>
        <w:pStyle w:val="TOC1"/>
        <w:rPr>
          <w:rStyle w:val="Hyperlink"/>
        </w:rPr>
      </w:pPr>
      <w:r w:rsidRPr="004A5693">
        <w:rPr>
          <w:rStyle w:val="Hyperlink"/>
        </w:rPr>
        <w:t xml:space="preserve">SUPPORTING </w:t>
      </w:r>
      <w:r w:rsidRPr="000021F8">
        <w:rPr>
          <w:rStyle w:val="Hyperlink"/>
        </w:rPr>
        <w:t>DOCUMENTS</w:t>
      </w:r>
    </w:p>
    <w:p w:rsidR="00F42A4C" w:rsidRPr="000021F8" w:rsidRDefault="00F42A4C" w:rsidP="00F42A4C">
      <w:pPr>
        <w:rPr>
          <w:szCs w:val="22"/>
        </w:rPr>
      </w:pPr>
    </w:p>
    <w:p w:rsidR="000021F8" w:rsidRPr="007715D3" w:rsidRDefault="00F42A4C" w:rsidP="000021F8">
      <w:pPr>
        <w:rPr>
          <w:color w:val="0000FF"/>
        </w:rPr>
      </w:pPr>
      <w:r w:rsidRPr="000021F8">
        <w:rPr>
          <w:szCs w:val="22"/>
        </w:rPr>
        <w:t xml:space="preserve">The following material, which was used in the preparation of this </w:t>
      </w:r>
      <w:r w:rsidR="00991BF5">
        <w:rPr>
          <w:szCs w:val="22"/>
        </w:rPr>
        <w:t>Approval</w:t>
      </w:r>
      <w:r w:rsidR="00991BF5" w:rsidRPr="000021F8">
        <w:rPr>
          <w:szCs w:val="22"/>
        </w:rPr>
        <w:t xml:space="preserve"> </w:t>
      </w:r>
      <w:r w:rsidRPr="000021F8">
        <w:rPr>
          <w:szCs w:val="22"/>
        </w:rPr>
        <w:t>Report, is available on the FSANZ website at</w:t>
      </w:r>
      <w:r w:rsidRPr="00F42A4C">
        <w:rPr>
          <w:color w:val="FF0000"/>
          <w:szCs w:val="22"/>
        </w:rPr>
        <w:t xml:space="preserve"> </w:t>
      </w:r>
      <w:hyperlink r:id="rId13" w:history="1">
        <w:r w:rsidR="000021F8" w:rsidRPr="007715D3">
          <w:rPr>
            <w:rStyle w:val="Hyperlink"/>
            <w:color w:val="0000FF"/>
          </w:rPr>
          <w:t>http://www.foodstandards.gov.au/foodstandards/applications/applicationa1047sodi4816.cfm</w:t>
        </w:r>
      </w:hyperlink>
    </w:p>
    <w:p w:rsidR="000021F8" w:rsidRDefault="000021F8" w:rsidP="000021F8"/>
    <w:p w:rsidR="00F42A4C" w:rsidRPr="004A5693" w:rsidRDefault="00F42A4C">
      <w:pPr>
        <w:rPr>
          <w:rFonts w:cs="Arial"/>
          <w:sz w:val="20"/>
          <w:szCs w:val="20"/>
        </w:rPr>
      </w:pPr>
    </w:p>
    <w:p w:rsidR="003C4969" w:rsidRPr="003E46BA" w:rsidRDefault="003C4969" w:rsidP="003E46BA">
      <w:pPr>
        <w:pStyle w:val="Heading1"/>
      </w:pPr>
      <w:bookmarkStart w:id="21" w:name="_Toc29883110"/>
      <w:bookmarkStart w:id="22" w:name="_Toc41906797"/>
      <w:bookmarkStart w:id="23" w:name="_Toc41907544"/>
      <w:bookmarkStart w:id="24" w:name="_Toc120358575"/>
      <w:r w:rsidRPr="00DC6570">
        <w:br w:type="page"/>
      </w:r>
      <w:bookmarkStart w:id="25" w:name="_Toc304883934"/>
      <w:r w:rsidRPr="001C27A3">
        <w:lastRenderedPageBreak/>
        <w:t>Introduction</w:t>
      </w:r>
      <w:bookmarkEnd w:id="20"/>
      <w:bookmarkEnd w:id="21"/>
      <w:bookmarkEnd w:id="25"/>
      <w:r w:rsidR="005F7342" w:rsidRPr="001C27A3">
        <w:t xml:space="preserve"> </w:t>
      </w:r>
      <w:bookmarkEnd w:id="22"/>
      <w:bookmarkEnd w:id="23"/>
      <w:bookmarkEnd w:id="24"/>
    </w:p>
    <w:p w:rsidR="000021F8" w:rsidRDefault="000021F8" w:rsidP="000021F8">
      <w:bookmarkStart w:id="26" w:name="_Toc120358576"/>
    </w:p>
    <w:p w:rsidR="000021F8" w:rsidRDefault="000021F8" w:rsidP="000021F8">
      <w:r>
        <w:t xml:space="preserve">Food Standards Australia New Zealand (FSANZ) received an Application from the </w:t>
      </w:r>
      <w:r>
        <w:rPr>
          <w:rFonts w:cs="Arial"/>
        </w:rPr>
        <w:t>Winemakers’ Federation of Australia (WFA) on 6</w:t>
      </w:r>
      <w:r>
        <w:rPr>
          <w:rFonts w:cs="Arial"/>
          <w:vertAlign w:val="superscript"/>
        </w:rPr>
        <w:t xml:space="preserve"> </w:t>
      </w:r>
      <w:r>
        <w:rPr>
          <w:rFonts w:cs="Arial"/>
        </w:rPr>
        <w:t>May 2010.</w:t>
      </w:r>
      <w:r>
        <w:t xml:space="preserve"> The WFA is the peak national body for the Australian wine industry. </w:t>
      </w:r>
    </w:p>
    <w:p w:rsidR="000021F8" w:rsidRDefault="000021F8" w:rsidP="000021F8"/>
    <w:p w:rsidR="000021F8" w:rsidRDefault="000021F8" w:rsidP="000021F8">
      <w:r>
        <w:rPr>
          <w:rFonts w:cs="Arial"/>
        </w:rPr>
        <w:t xml:space="preserve">This application sought to amend Standard 1.3.1 – Food Additives, </w:t>
      </w:r>
      <w:r>
        <w:t xml:space="preserve">of the </w:t>
      </w:r>
      <w:r>
        <w:rPr>
          <w:i/>
        </w:rPr>
        <w:t xml:space="preserve">Australia New Zealand Food Standards Code </w:t>
      </w:r>
      <w:r>
        <w:t>(the Code), to permit the use of sodium carboxymethylcellulose (</w:t>
      </w:r>
      <w:r w:rsidR="00030A10">
        <w:t xml:space="preserve">sodium </w:t>
      </w:r>
      <w:r>
        <w:t>CMC, INS Number 466) as an additive in wine and sparkling wine. As wine produced in Australia must comply with Standard</w:t>
      </w:r>
      <w:r>
        <w:rPr>
          <w:rFonts w:cs="Arial"/>
        </w:rPr>
        <w:t xml:space="preserve"> </w:t>
      </w:r>
      <w:r w:rsidRPr="00AE66F5">
        <w:rPr>
          <w:rFonts w:cs="Arial"/>
        </w:rPr>
        <w:t>4.5.1</w:t>
      </w:r>
      <w:r>
        <w:rPr>
          <w:rFonts w:cs="Arial"/>
        </w:rPr>
        <w:t xml:space="preserve"> – Wine Production Requirements, an amendment to this </w:t>
      </w:r>
      <w:r w:rsidR="00246579">
        <w:rPr>
          <w:rFonts w:cs="Arial"/>
        </w:rPr>
        <w:t>S</w:t>
      </w:r>
      <w:r>
        <w:rPr>
          <w:rFonts w:cs="Arial"/>
        </w:rPr>
        <w:t xml:space="preserve">tandard </w:t>
      </w:r>
      <w:r w:rsidR="00AE1222">
        <w:rPr>
          <w:rFonts w:cs="Arial"/>
        </w:rPr>
        <w:t xml:space="preserve">was </w:t>
      </w:r>
      <w:r>
        <w:rPr>
          <w:rFonts w:cs="Arial"/>
        </w:rPr>
        <w:t xml:space="preserve">also </w:t>
      </w:r>
      <w:r w:rsidR="00AE1222">
        <w:rPr>
          <w:rFonts w:cs="Arial"/>
        </w:rPr>
        <w:t>sought</w:t>
      </w:r>
      <w:r w:rsidR="00B25C17">
        <w:rPr>
          <w:rFonts w:cs="Arial"/>
        </w:rPr>
        <w:t xml:space="preserve">. </w:t>
      </w:r>
      <w:r>
        <w:rPr>
          <w:rFonts w:cs="Arial"/>
        </w:rPr>
        <w:t xml:space="preserve"> </w:t>
      </w:r>
    </w:p>
    <w:p w:rsidR="00807559" w:rsidRDefault="00807559" w:rsidP="00807559">
      <w:pPr>
        <w:pStyle w:val="Heading3"/>
        <w:rPr>
          <w:rFonts w:cs="Arial"/>
        </w:rPr>
      </w:pPr>
    </w:p>
    <w:p w:rsidR="003C4969" w:rsidRDefault="00807559">
      <w:pPr>
        <w:pStyle w:val="Heading2"/>
        <w:rPr>
          <w:rFonts w:cs="Arial"/>
        </w:rPr>
      </w:pPr>
      <w:bookmarkStart w:id="27" w:name="_Toc304883935"/>
      <w:bookmarkEnd w:id="26"/>
      <w:r>
        <w:rPr>
          <w:rFonts w:cs="Arial"/>
        </w:rPr>
        <w:t>1</w:t>
      </w:r>
      <w:r w:rsidR="003C4969" w:rsidRPr="00DC6570">
        <w:rPr>
          <w:rFonts w:cs="Arial"/>
        </w:rPr>
        <w:t>.</w:t>
      </w:r>
      <w:r w:rsidR="003C4969" w:rsidRPr="00DC6570">
        <w:rPr>
          <w:rFonts w:cs="Arial"/>
        </w:rPr>
        <w:tab/>
        <w:t>The Issue / Problem</w:t>
      </w:r>
      <w:bookmarkEnd w:id="27"/>
      <w:r w:rsidR="003E46BA">
        <w:rPr>
          <w:rFonts w:cs="Arial"/>
        </w:rPr>
        <w:t xml:space="preserve"> </w:t>
      </w:r>
    </w:p>
    <w:p w:rsidR="007602AA" w:rsidRPr="007602AA" w:rsidRDefault="007602AA" w:rsidP="007602AA"/>
    <w:p w:rsidR="005719D6" w:rsidRPr="00D14F8F" w:rsidRDefault="005719D6" w:rsidP="005719D6">
      <w:r w:rsidRPr="00D14F8F">
        <w:t>Application</w:t>
      </w:r>
      <w:r w:rsidR="001349CC">
        <w:t xml:space="preserve"> A1047</w:t>
      </w:r>
      <w:r w:rsidRPr="00D14F8F">
        <w:t xml:space="preserve"> </w:t>
      </w:r>
      <w:r w:rsidR="001349CC">
        <w:t>seeks</w:t>
      </w:r>
      <w:r w:rsidRPr="00D14F8F">
        <w:t xml:space="preserve"> an extension of use of </w:t>
      </w:r>
      <w:r w:rsidR="00030A10">
        <w:t xml:space="preserve">sodium </w:t>
      </w:r>
      <w:r w:rsidRPr="00D14F8F">
        <w:t>CMC to enable it to be used in wine and sparkling wine production as an additional tool for preventing clouding and sediment formation resulting from the precipitation of tartrate crystals</w:t>
      </w:r>
      <w:r>
        <w:t xml:space="preserve">. </w:t>
      </w:r>
      <w:r w:rsidRPr="00D14F8F">
        <w:t xml:space="preserve">The tartrate is mainly potassium </w:t>
      </w:r>
      <w:r w:rsidR="00B25C17" w:rsidRPr="00D14F8F">
        <w:t>tartrate</w:t>
      </w:r>
      <w:r w:rsidR="00B25C17">
        <w:t>;</w:t>
      </w:r>
      <w:r>
        <w:t xml:space="preserve"> h</w:t>
      </w:r>
      <w:r w:rsidRPr="00D14F8F">
        <w:t xml:space="preserve">owever calcium tartrate can also be present. As a </w:t>
      </w:r>
      <w:r w:rsidR="00A95A80">
        <w:t>result of change</w:t>
      </w:r>
      <w:r w:rsidR="00B86862">
        <w:t>s</w:t>
      </w:r>
      <w:r w:rsidR="00A95A80">
        <w:t xml:space="preserve"> in temperature</w:t>
      </w:r>
      <w:r w:rsidRPr="00D14F8F">
        <w:t xml:space="preserve"> </w:t>
      </w:r>
      <w:r>
        <w:t xml:space="preserve">during transport and storage, </w:t>
      </w:r>
      <w:r w:rsidRPr="00D14F8F">
        <w:t>tartrate can crystallise in wine</w:t>
      </w:r>
      <w:r>
        <w:t>,</w:t>
      </w:r>
      <w:r w:rsidRPr="00D14F8F">
        <w:t xml:space="preserve"> resulting in cloudy wine with sediment which is undesirable to many consumers. </w:t>
      </w:r>
    </w:p>
    <w:p w:rsidR="005719D6" w:rsidRPr="00D14F8F" w:rsidRDefault="005719D6" w:rsidP="005719D6"/>
    <w:p w:rsidR="005719D6" w:rsidRPr="00D14F8F" w:rsidRDefault="005719D6" w:rsidP="005719D6">
      <w:r w:rsidRPr="00D14F8F">
        <w:t>The Applica</w:t>
      </w:r>
      <w:r>
        <w:t xml:space="preserve">nt submitted data that supports the claim </w:t>
      </w:r>
      <w:r w:rsidRPr="00D14F8F">
        <w:t xml:space="preserve">that the additive works by inhibiting crystal growth in wine. </w:t>
      </w:r>
      <w:r w:rsidR="00030A10">
        <w:t xml:space="preserve">Sodium </w:t>
      </w:r>
      <w:r w:rsidRPr="00D14F8F">
        <w:rPr>
          <w:rFonts w:cs="Arial"/>
          <w:szCs w:val="22"/>
          <w:lang w:val="en-US"/>
        </w:rPr>
        <w:t>CMC is added to the wine towards the end of the production process, and unlike other existing tartrate crystal control methods</w:t>
      </w:r>
      <w:r>
        <w:rPr>
          <w:rFonts w:cs="Arial"/>
          <w:szCs w:val="22"/>
          <w:lang w:val="en-US"/>
        </w:rPr>
        <w:t>,</w:t>
      </w:r>
      <w:r w:rsidRPr="00D14F8F">
        <w:rPr>
          <w:rFonts w:cs="Arial"/>
          <w:szCs w:val="22"/>
          <w:lang w:val="en-US"/>
        </w:rPr>
        <w:t xml:space="preserve"> chilling or filtration steps are not required. </w:t>
      </w:r>
    </w:p>
    <w:p w:rsidR="005719D6" w:rsidRPr="00D14F8F" w:rsidRDefault="005719D6" w:rsidP="005719D6"/>
    <w:p w:rsidR="005719D6" w:rsidRPr="00720B51" w:rsidRDefault="005719D6" w:rsidP="005719D6">
      <w:pPr>
        <w:rPr>
          <w:i/>
        </w:rPr>
      </w:pPr>
      <w:r w:rsidRPr="0053564F">
        <w:t xml:space="preserve">Approval of </w:t>
      </w:r>
      <w:r w:rsidR="00030A10">
        <w:t xml:space="preserve">sodium </w:t>
      </w:r>
      <w:r w:rsidRPr="0053564F">
        <w:t xml:space="preserve">CMC as an additive in wine </w:t>
      </w:r>
      <w:r w:rsidR="00AE1222">
        <w:t>was</w:t>
      </w:r>
      <w:r w:rsidR="00AE1222" w:rsidRPr="0053564F">
        <w:t xml:space="preserve"> </w:t>
      </w:r>
      <w:r w:rsidRPr="0053564F">
        <w:t xml:space="preserve">also sought to meet requirements under the 2008 </w:t>
      </w:r>
      <w:r w:rsidRPr="0053564F">
        <w:rPr>
          <w:i/>
        </w:rPr>
        <w:t>Agreement between Australia and the European Community for Trade in Wine</w:t>
      </w:r>
      <w:r w:rsidR="001349CC">
        <w:rPr>
          <w:i/>
        </w:rPr>
        <w:t xml:space="preserve"> </w:t>
      </w:r>
      <w:r w:rsidR="001349CC">
        <w:t xml:space="preserve">(Australia – EU Wine </w:t>
      </w:r>
      <w:r w:rsidR="00B86862">
        <w:t>Agreement</w:t>
      </w:r>
      <w:r w:rsidR="001349CC">
        <w:t>)</w:t>
      </w:r>
      <w:r w:rsidRPr="0053564F">
        <w:rPr>
          <w:i/>
        </w:rPr>
        <w:t xml:space="preserve">. </w:t>
      </w:r>
      <w:r w:rsidRPr="0053564F">
        <w:t>Currently</w:t>
      </w:r>
      <w:r w:rsidR="00345F2B">
        <w:t>,</w:t>
      </w:r>
      <w:r w:rsidRPr="0053564F">
        <w:rPr>
          <w:i/>
        </w:rPr>
        <w:t xml:space="preserve"> </w:t>
      </w:r>
      <w:r w:rsidR="00843959" w:rsidRPr="0059125A">
        <w:t>European Union</w:t>
      </w:r>
      <w:r w:rsidR="00843959">
        <w:rPr>
          <w:i/>
        </w:rPr>
        <w:t xml:space="preserve"> </w:t>
      </w:r>
      <w:r w:rsidR="0059125A" w:rsidRPr="0059125A">
        <w:t>(EU)</w:t>
      </w:r>
      <w:r w:rsidRPr="0053564F">
        <w:t xml:space="preserve"> wines which contain </w:t>
      </w:r>
      <w:r w:rsidR="00030A10">
        <w:t xml:space="preserve">sodium </w:t>
      </w:r>
      <w:r w:rsidRPr="0053564F">
        <w:t>CMC cannot be legally sold in Australia or New Zealand.</w:t>
      </w:r>
    </w:p>
    <w:p w:rsidR="005719D6" w:rsidRDefault="005719D6" w:rsidP="005719D6"/>
    <w:p w:rsidR="005719D6" w:rsidRDefault="005719D6" w:rsidP="005719D6">
      <w:pPr>
        <w:rPr>
          <w:rFonts w:cs="Arial"/>
        </w:rPr>
      </w:pPr>
      <w:r>
        <w:rPr>
          <w:rFonts w:cs="Arial"/>
        </w:rPr>
        <w:t>A pre-market assessment and approval is required before any new additive or, as in this case, an alternative use of an approved additive is permitted. A safety assessment of the additive, as well as an assessment of the technological suitability of the additive for its purported use, must be undertaken and considered before any permission may be granted.</w:t>
      </w:r>
    </w:p>
    <w:p w:rsidR="003C4969" w:rsidRDefault="003C4969">
      <w:pPr>
        <w:rPr>
          <w:rFonts w:cs="Arial"/>
        </w:rPr>
      </w:pPr>
    </w:p>
    <w:p w:rsidR="00807559" w:rsidRPr="006A48A7" w:rsidRDefault="00807559" w:rsidP="006A48A7">
      <w:pPr>
        <w:pStyle w:val="Heading2"/>
      </w:pPr>
      <w:bookmarkStart w:id="28" w:name="_Toc11735630"/>
      <w:bookmarkStart w:id="29" w:name="_Toc29883114"/>
      <w:bookmarkStart w:id="30" w:name="_Toc41906801"/>
      <w:bookmarkStart w:id="31" w:name="_Toc41907548"/>
      <w:bookmarkStart w:id="32" w:name="_Toc120358578"/>
      <w:bookmarkStart w:id="33" w:name="_Toc304883936"/>
      <w:r>
        <w:t>2</w:t>
      </w:r>
      <w:r w:rsidRPr="00DC6570">
        <w:t>.</w:t>
      </w:r>
      <w:r w:rsidRPr="00DC6570">
        <w:tab/>
      </w:r>
      <w:bookmarkEnd w:id="28"/>
      <w:bookmarkEnd w:id="29"/>
      <w:bookmarkEnd w:id="30"/>
      <w:bookmarkEnd w:id="31"/>
      <w:bookmarkEnd w:id="32"/>
      <w:r w:rsidRPr="00DC6570">
        <w:t>Current Standard</w:t>
      </w:r>
      <w:bookmarkEnd w:id="33"/>
    </w:p>
    <w:p w:rsidR="00257942" w:rsidRPr="00257942" w:rsidRDefault="00257942" w:rsidP="00807559">
      <w:pPr>
        <w:rPr>
          <w:rFonts w:cs="Arial"/>
        </w:rPr>
      </w:pPr>
    </w:p>
    <w:p w:rsidR="00807559" w:rsidRPr="00DC6570" w:rsidRDefault="00807559" w:rsidP="00807559">
      <w:pPr>
        <w:pStyle w:val="Heading3"/>
        <w:rPr>
          <w:rFonts w:cs="Arial"/>
        </w:rPr>
      </w:pPr>
      <w:bookmarkStart w:id="34" w:name="_Toc11735631"/>
      <w:bookmarkStart w:id="35" w:name="_Toc29883115"/>
      <w:bookmarkStart w:id="36" w:name="_Toc41906802"/>
      <w:bookmarkStart w:id="37" w:name="_Toc41907549"/>
      <w:bookmarkStart w:id="38" w:name="_Toc120358579"/>
      <w:bookmarkStart w:id="39" w:name="_Toc304883937"/>
      <w:r>
        <w:rPr>
          <w:rFonts w:cs="Arial"/>
        </w:rPr>
        <w:t>2</w:t>
      </w:r>
      <w:r w:rsidRPr="00DC6570">
        <w:rPr>
          <w:rFonts w:cs="Arial"/>
        </w:rPr>
        <w:t>.1</w:t>
      </w:r>
      <w:r w:rsidRPr="00DC6570">
        <w:rPr>
          <w:rFonts w:cs="Arial"/>
        </w:rPr>
        <w:tab/>
      </w:r>
      <w:bookmarkEnd w:id="34"/>
      <w:bookmarkEnd w:id="35"/>
      <w:bookmarkEnd w:id="36"/>
      <w:bookmarkEnd w:id="37"/>
      <w:bookmarkEnd w:id="38"/>
      <w:r w:rsidRPr="00DC6570">
        <w:rPr>
          <w:rFonts w:cs="Arial"/>
        </w:rPr>
        <w:t>Background</w:t>
      </w:r>
      <w:bookmarkEnd w:id="39"/>
    </w:p>
    <w:p w:rsidR="00807559" w:rsidRPr="00257942" w:rsidRDefault="00807559" w:rsidP="00807559">
      <w:pPr>
        <w:rPr>
          <w:rFonts w:cs="Arial"/>
        </w:rPr>
      </w:pPr>
      <w:r w:rsidRPr="00257942">
        <w:rPr>
          <w:rFonts w:cs="Arial"/>
        </w:rPr>
        <w:t> </w:t>
      </w:r>
    </w:p>
    <w:p w:rsidR="005719D6" w:rsidRPr="00B731D0" w:rsidRDefault="005719D6" w:rsidP="005719D6">
      <w:r>
        <w:t xml:space="preserve">Additives </w:t>
      </w:r>
      <w:r w:rsidRPr="00B731D0">
        <w:t xml:space="preserve">used in </w:t>
      </w:r>
      <w:r>
        <w:t xml:space="preserve">wine production </w:t>
      </w:r>
      <w:r w:rsidRPr="00B731D0">
        <w:t>ar</w:t>
      </w:r>
      <w:r>
        <w:t>e regulated under Standards 1.3.1 and 4.5.1.</w:t>
      </w:r>
      <w:r w:rsidRPr="00B731D0">
        <w:t xml:space="preserve"> </w:t>
      </w:r>
    </w:p>
    <w:p w:rsidR="005719D6" w:rsidRPr="00B731D0" w:rsidRDefault="005719D6" w:rsidP="005719D6"/>
    <w:p w:rsidR="005719D6" w:rsidRPr="00B731D0" w:rsidRDefault="005719D6" w:rsidP="005719D6">
      <w:r>
        <w:t>A</w:t>
      </w:r>
      <w:r w:rsidRPr="00B731D0">
        <w:t xml:space="preserve"> </w:t>
      </w:r>
      <w:r>
        <w:t>foo</w:t>
      </w:r>
      <w:r w:rsidR="00246579">
        <w:t>d additive is described in the Purpose</w:t>
      </w:r>
      <w:r>
        <w:t xml:space="preserve"> of Standard 1.3.1</w:t>
      </w:r>
      <w:r w:rsidRPr="00B731D0">
        <w:t xml:space="preserve"> </w:t>
      </w:r>
      <w:r>
        <w:t>a</w:t>
      </w:r>
      <w:r w:rsidRPr="00B731D0">
        <w:t>s</w:t>
      </w:r>
      <w:r>
        <w:t xml:space="preserve"> follows</w:t>
      </w:r>
      <w:r w:rsidRPr="00B731D0">
        <w:t>:</w:t>
      </w:r>
    </w:p>
    <w:p w:rsidR="005719D6" w:rsidRPr="00B731D0" w:rsidRDefault="005719D6" w:rsidP="005719D6"/>
    <w:p w:rsidR="005719D6" w:rsidRDefault="005719D6" w:rsidP="00A71BF6">
      <w:pPr>
        <w:ind w:left="567"/>
        <w:rPr>
          <w:i/>
        </w:rPr>
      </w:pPr>
      <w:r>
        <w:rPr>
          <w:i/>
        </w:rPr>
        <w:t>A food additive is any</w:t>
      </w:r>
      <w:r w:rsidRPr="007B5A68">
        <w:rPr>
          <w:i/>
        </w:rPr>
        <w:t xml:space="preserve"> substance </w:t>
      </w:r>
      <w:r>
        <w:rPr>
          <w:i/>
        </w:rPr>
        <w:t xml:space="preserve">not normally consumed as a food in </w:t>
      </w:r>
      <w:proofErr w:type="gramStart"/>
      <w:r>
        <w:rPr>
          <w:i/>
        </w:rPr>
        <w:t>itself</w:t>
      </w:r>
      <w:proofErr w:type="gramEnd"/>
      <w:r>
        <w:rPr>
          <w:i/>
        </w:rPr>
        <w:t xml:space="preserve"> and not normally used as an ingredient of food, but which is intentionally added to a food to achieve one or more of the technological functions specified in Schedule 5.  It or its product may remain in the food. </w:t>
      </w:r>
    </w:p>
    <w:p w:rsidR="005719D6" w:rsidRDefault="005719D6" w:rsidP="005719D6">
      <w:pPr>
        <w:widowControl/>
        <w:rPr>
          <w:rFonts w:cs="Arial"/>
        </w:rPr>
      </w:pPr>
    </w:p>
    <w:p w:rsidR="005719D6" w:rsidRDefault="005719D6" w:rsidP="005719D6">
      <w:pPr>
        <w:rPr>
          <w:rFonts w:cs="Arial"/>
        </w:rPr>
      </w:pPr>
      <w:r>
        <w:rPr>
          <w:rFonts w:cs="Arial"/>
        </w:rPr>
        <w:t xml:space="preserve">Schedule 5 to Standard 1.3.1 </w:t>
      </w:r>
      <w:r w:rsidRPr="00873C80">
        <w:rPr>
          <w:rFonts w:cs="Arial"/>
        </w:rPr>
        <w:t xml:space="preserve">contains a list of </w:t>
      </w:r>
      <w:r>
        <w:rPr>
          <w:rFonts w:cs="Arial"/>
        </w:rPr>
        <w:t xml:space="preserve">technological functions which may be performed by food additives. This additive is considered to be consistent with the Stabiliser functional class.  </w:t>
      </w:r>
    </w:p>
    <w:p w:rsidR="005719D6" w:rsidRDefault="005719D6" w:rsidP="005719D6">
      <w:pPr>
        <w:rPr>
          <w:rFonts w:cs="Arial"/>
        </w:rPr>
      </w:pPr>
    </w:p>
    <w:p w:rsidR="00246579" w:rsidRDefault="005719D6" w:rsidP="005719D6">
      <w:pPr>
        <w:rPr>
          <w:rFonts w:cs="Arial"/>
        </w:rPr>
      </w:pPr>
      <w:r>
        <w:rPr>
          <w:rFonts w:cs="Arial"/>
        </w:rPr>
        <w:t>Stabiliser is described in Schedule 5 as follows:</w:t>
      </w:r>
      <w:r w:rsidR="00246579">
        <w:rPr>
          <w:rFonts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719D6" w:rsidTr="005719D6">
        <w:tc>
          <w:tcPr>
            <w:tcW w:w="4621" w:type="dxa"/>
          </w:tcPr>
          <w:p w:rsidR="005719D6" w:rsidRPr="00991BF5" w:rsidRDefault="005719D6" w:rsidP="005719D6">
            <w:pPr>
              <w:rPr>
                <w:rFonts w:cs="Arial"/>
                <w:b/>
                <w:sz w:val="20"/>
                <w:szCs w:val="20"/>
              </w:rPr>
            </w:pPr>
            <w:r w:rsidRPr="00991BF5">
              <w:rPr>
                <w:rFonts w:cs="Arial"/>
                <w:b/>
                <w:sz w:val="20"/>
                <w:szCs w:val="20"/>
              </w:rPr>
              <w:lastRenderedPageBreak/>
              <w:t>Functional class</w:t>
            </w:r>
          </w:p>
          <w:p w:rsidR="005719D6" w:rsidRPr="00991BF5" w:rsidRDefault="005719D6" w:rsidP="005719D6">
            <w:pPr>
              <w:rPr>
                <w:rFonts w:cs="Arial"/>
                <w:sz w:val="20"/>
                <w:szCs w:val="20"/>
              </w:rPr>
            </w:pPr>
          </w:p>
          <w:p w:rsidR="005719D6" w:rsidRPr="00991BF5" w:rsidRDefault="005719D6" w:rsidP="005719D6">
            <w:pPr>
              <w:rPr>
                <w:rFonts w:cs="Arial"/>
                <w:i/>
                <w:sz w:val="20"/>
                <w:szCs w:val="20"/>
              </w:rPr>
            </w:pPr>
            <w:r w:rsidRPr="00991BF5">
              <w:rPr>
                <w:rFonts w:cs="Arial"/>
                <w:i/>
                <w:sz w:val="20"/>
                <w:szCs w:val="20"/>
              </w:rPr>
              <w:t>sub-classes</w:t>
            </w:r>
          </w:p>
        </w:tc>
        <w:tc>
          <w:tcPr>
            <w:tcW w:w="4621" w:type="dxa"/>
          </w:tcPr>
          <w:p w:rsidR="005719D6" w:rsidRPr="00991BF5" w:rsidRDefault="005719D6" w:rsidP="005719D6">
            <w:pPr>
              <w:rPr>
                <w:rFonts w:cs="Arial"/>
                <w:b/>
                <w:sz w:val="20"/>
                <w:szCs w:val="20"/>
              </w:rPr>
            </w:pPr>
            <w:r w:rsidRPr="00991BF5">
              <w:rPr>
                <w:rFonts w:cs="Arial"/>
                <w:b/>
                <w:sz w:val="20"/>
                <w:szCs w:val="20"/>
              </w:rPr>
              <w:t xml:space="preserve">Definition </w:t>
            </w:r>
          </w:p>
        </w:tc>
      </w:tr>
      <w:tr w:rsidR="005719D6" w:rsidTr="005719D6">
        <w:tc>
          <w:tcPr>
            <w:tcW w:w="4621" w:type="dxa"/>
          </w:tcPr>
          <w:p w:rsidR="005719D6" w:rsidRPr="00991BF5" w:rsidRDefault="005719D6" w:rsidP="005719D6">
            <w:pPr>
              <w:rPr>
                <w:rFonts w:cs="Arial"/>
                <w:b/>
                <w:sz w:val="20"/>
                <w:szCs w:val="20"/>
              </w:rPr>
            </w:pPr>
            <w:r w:rsidRPr="00991BF5">
              <w:rPr>
                <w:rFonts w:cs="Arial"/>
                <w:b/>
                <w:sz w:val="20"/>
                <w:szCs w:val="20"/>
              </w:rPr>
              <w:t>Stabiliser</w:t>
            </w:r>
          </w:p>
          <w:p w:rsidR="005719D6" w:rsidRPr="00991BF5" w:rsidRDefault="005719D6" w:rsidP="005719D6">
            <w:pPr>
              <w:rPr>
                <w:rFonts w:cs="Arial"/>
                <w:sz w:val="20"/>
                <w:szCs w:val="20"/>
              </w:rPr>
            </w:pPr>
            <w:r w:rsidRPr="00991BF5">
              <w:rPr>
                <w:rFonts w:cs="Arial"/>
                <w:sz w:val="20"/>
                <w:szCs w:val="20"/>
              </w:rPr>
              <w:t>binder, firming agent, water binding agent, foam stabiliser</w:t>
            </w:r>
          </w:p>
        </w:tc>
        <w:tc>
          <w:tcPr>
            <w:tcW w:w="4621" w:type="dxa"/>
          </w:tcPr>
          <w:p w:rsidR="005719D6" w:rsidRPr="00991BF5" w:rsidRDefault="005719D6" w:rsidP="005719D6">
            <w:pPr>
              <w:rPr>
                <w:rFonts w:cs="Arial"/>
                <w:sz w:val="20"/>
                <w:szCs w:val="20"/>
              </w:rPr>
            </w:pPr>
            <w:r w:rsidRPr="00991BF5">
              <w:rPr>
                <w:rFonts w:cs="Arial"/>
                <w:sz w:val="20"/>
                <w:szCs w:val="20"/>
              </w:rPr>
              <w:t xml:space="preserve">maintains a homogeneous dispersion of two or more immiscible substances in a food </w:t>
            </w:r>
          </w:p>
        </w:tc>
      </w:tr>
    </w:tbl>
    <w:p w:rsidR="005719D6" w:rsidRDefault="005719D6" w:rsidP="005719D6">
      <w:pPr>
        <w:rPr>
          <w:rFonts w:cs="Arial"/>
        </w:rPr>
      </w:pPr>
    </w:p>
    <w:p w:rsidR="005719D6" w:rsidRDefault="005719D6" w:rsidP="005719D6">
      <w:pPr>
        <w:rPr>
          <w:rFonts w:cs="Arial"/>
        </w:rPr>
      </w:pPr>
      <w:proofErr w:type="gramStart"/>
      <w:r w:rsidRPr="008D7103">
        <w:rPr>
          <w:rFonts w:cs="Arial"/>
        </w:rPr>
        <w:t>Standard 1.3.1 details which additives are permitted in which foods.</w:t>
      </w:r>
      <w:proofErr w:type="gramEnd"/>
      <w:r w:rsidRPr="008D7103">
        <w:rPr>
          <w:rFonts w:cs="Arial"/>
        </w:rPr>
        <w:t xml:space="preserve"> Although </w:t>
      </w:r>
      <w:r w:rsidR="00030A10">
        <w:rPr>
          <w:rFonts w:cs="Arial"/>
        </w:rPr>
        <w:t xml:space="preserve">sodium </w:t>
      </w:r>
      <w:r w:rsidRPr="008D7103">
        <w:rPr>
          <w:rFonts w:cs="Arial"/>
        </w:rPr>
        <w:t>CMC is permitted under this Standard for a variety of foods</w:t>
      </w:r>
      <w:r w:rsidR="00843959">
        <w:rPr>
          <w:rFonts w:cs="Arial"/>
        </w:rPr>
        <w:t>,</w:t>
      </w:r>
      <w:r w:rsidRPr="008D7103">
        <w:rPr>
          <w:rFonts w:cs="Arial"/>
        </w:rPr>
        <w:t xml:space="preserve"> it is not currently permitted in wine. For </w:t>
      </w:r>
      <w:r w:rsidR="00030A10">
        <w:rPr>
          <w:rFonts w:cs="Arial"/>
        </w:rPr>
        <w:t xml:space="preserve">sodium </w:t>
      </w:r>
      <w:r w:rsidRPr="008D7103">
        <w:rPr>
          <w:rFonts w:cs="Arial"/>
        </w:rPr>
        <w:t>CMC to be permitted in wine</w:t>
      </w:r>
      <w:r w:rsidR="00843959">
        <w:rPr>
          <w:rFonts w:cs="Arial"/>
        </w:rPr>
        <w:t>,</w:t>
      </w:r>
      <w:r w:rsidRPr="008D7103">
        <w:rPr>
          <w:rFonts w:cs="Arial"/>
        </w:rPr>
        <w:t xml:space="preserve"> </w:t>
      </w:r>
      <w:r w:rsidR="00246579">
        <w:rPr>
          <w:rFonts w:cs="Arial"/>
        </w:rPr>
        <w:t xml:space="preserve">item </w:t>
      </w:r>
      <w:r w:rsidRPr="008D7103">
        <w:rPr>
          <w:rFonts w:cs="Arial"/>
        </w:rPr>
        <w:t xml:space="preserve">14.2.2 of Schedule 1 of Standard 1.3.1 needs to be amended as this details which additives are permitted to be added to wine, sparkling wine and fortified wine. </w:t>
      </w:r>
    </w:p>
    <w:p w:rsidR="005719D6" w:rsidRDefault="005719D6" w:rsidP="005719D6">
      <w:pPr>
        <w:rPr>
          <w:rFonts w:cs="Arial"/>
        </w:rPr>
      </w:pPr>
    </w:p>
    <w:p w:rsidR="005719D6" w:rsidRDefault="005719D6" w:rsidP="005719D6">
      <w:pPr>
        <w:rPr>
          <w:rFonts w:cs="Arial"/>
        </w:rPr>
      </w:pPr>
      <w:r>
        <w:rPr>
          <w:rFonts w:cs="Arial"/>
        </w:rPr>
        <w:t>The Table to clause 3 in Standard 4.5.1 contains a list of additives permitted to be used in wine production. Currently</w:t>
      </w:r>
      <w:r w:rsidR="00843959">
        <w:rPr>
          <w:rFonts w:cs="Arial"/>
        </w:rPr>
        <w:t>,</w:t>
      </w:r>
      <w:r>
        <w:rPr>
          <w:rFonts w:cs="Arial"/>
        </w:rPr>
        <w:t xml:space="preserve"> </w:t>
      </w:r>
      <w:r w:rsidR="00030A10">
        <w:rPr>
          <w:rFonts w:cs="Arial"/>
        </w:rPr>
        <w:t xml:space="preserve">sodium </w:t>
      </w:r>
      <w:r>
        <w:rPr>
          <w:rFonts w:cs="Arial"/>
        </w:rPr>
        <w:t xml:space="preserve">CMC is not included.  </w:t>
      </w:r>
    </w:p>
    <w:p w:rsidR="005719D6" w:rsidRDefault="005719D6" w:rsidP="005719D6">
      <w:pPr>
        <w:pStyle w:val="Heading3"/>
        <w:rPr>
          <w:rFonts w:cs="Arial"/>
        </w:rPr>
      </w:pPr>
      <w:bookmarkStart w:id="40" w:name="_Toc294176139"/>
    </w:p>
    <w:p w:rsidR="005719D6" w:rsidRDefault="005719D6" w:rsidP="005719D6">
      <w:pPr>
        <w:pStyle w:val="Heading3"/>
        <w:rPr>
          <w:rFonts w:cs="Arial"/>
        </w:rPr>
      </w:pPr>
      <w:bookmarkStart w:id="41" w:name="_Toc304883938"/>
      <w:r>
        <w:rPr>
          <w:rFonts w:cs="Arial"/>
        </w:rPr>
        <w:t>2.2</w:t>
      </w:r>
      <w:r w:rsidRPr="00DC6570">
        <w:rPr>
          <w:rFonts w:cs="Arial"/>
        </w:rPr>
        <w:tab/>
      </w:r>
      <w:r>
        <w:rPr>
          <w:rFonts w:cs="Arial"/>
        </w:rPr>
        <w:t>Scope of the Application</w:t>
      </w:r>
      <w:bookmarkEnd w:id="40"/>
      <w:bookmarkEnd w:id="41"/>
    </w:p>
    <w:p w:rsidR="001349CC" w:rsidRPr="001349CC" w:rsidRDefault="001349CC" w:rsidP="001349CC"/>
    <w:p w:rsidR="005719D6" w:rsidRDefault="005719D6" w:rsidP="005719D6">
      <w:pPr>
        <w:rPr>
          <w:rFonts w:cs="Arial"/>
        </w:rPr>
      </w:pPr>
      <w:r>
        <w:rPr>
          <w:rFonts w:cs="Arial"/>
        </w:rPr>
        <w:t>The proposed amendment to Standard 1.3.1, applies to wine and sparkling wine sold in Australia and New Zealand regardless of where it is produced.</w:t>
      </w:r>
    </w:p>
    <w:p w:rsidR="005719D6" w:rsidRDefault="005719D6" w:rsidP="005719D6"/>
    <w:p w:rsidR="005719D6" w:rsidRDefault="005719D6" w:rsidP="005719D6">
      <w:pPr>
        <w:rPr>
          <w:rFonts w:cs="Arial"/>
        </w:rPr>
      </w:pPr>
      <w:r>
        <w:rPr>
          <w:rFonts w:cs="Arial"/>
        </w:rPr>
        <w:t>The proposed amendment to Standard 4.5.1 applies to the production of wine and sparkling wine in Australia only, no matter where it is sold.</w:t>
      </w:r>
    </w:p>
    <w:p w:rsidR="005719D6" w:rsidRDefault="005719D6" w:rsidP="005719D6">
      <w:pPr>
        <w:rPr>
          <w:rFonts w:cs="Arial"/>
        </w:rPr>
      </w:pPr>
    </w:p>
    <w:p w:rsidR="005719D6" w:rsidRDefault="005719D6" w:rsidP="005719D6">
      <w:pPr>
        <w:pStyle w:val="Heading3"/>
      </w:pPr>
      <w:bookmarkStart w:id="42" w:name="_Toc294176140"/>
      <w:bookmarkStart w:id="43" w:name="_Toc304883939"/>
      <w:r w:rsidRPr="00873C80">
        <w:t>2.</w:t>
      </w:r>
      <w:r>
        <w:t>3</w:t>
      </w:r>
      <w:r w:rsidRPr="00873C80">
        <w:tab/>
        <w:t xml:space="preserve">International </w:t>
      </w:r>
      <w:r>
        <w:t xml:space="preserve">and New Zealand </w:t>
      </w:r>
      <w:r w:rsidRPr="00873C80">
        <w:t>Regulations</w:t>
      </w:r>
      <w:bookmarkEnd w:id="42"/>
      <w:bookmarkEnd w:id="43"/>
    </w:p>
    <w:p w:rsidR="001349CC" w:rsidRPr="001349CC" w:rsidRDefault="001349CC" w:rsidP="001349CC"/>
    <w:p w:rsidR="005719D6" w:rsidRDefault="00030A10" w:rsidP="005719D6">
      <w:pPr>
        <w:rPr>
          <w:rFonts w:cs="Arial"/>
          <w:szCs w:val="22"/>
        </w:rPr>
      </w:pPr>
      <w:r>
        <w:rPr>
          <w:rFonts w:cs="Arial"/>
          <w:szCs w:val="22"/>
        </w:rPr>
        <w:t xml:space="preserve">Sodium </w:t>
      </w:r>
      <w:r w:rsidR="005719D6">
        <w:rPr>
          <w:rFonts w:cs="Arial"/>
          <w:szCs w:val="22"/>
        </w:rPr>
        <w:t xml:space="preserve">CMC has been </w:t>
      </w:r>
      <w:r w:rsidR="005719D6" w:rsidRPr="00E7569D">
        <w:rPr>
          <w:rFonts w:cs="Arial"/>
          <w:szCs w:val="22"/>
        </w:rPr>
        <w:t>assessed by the Joint FAO/WHO Expert Committee on Food Additives</w:t>
      </w:r>
      <w:r w:rsidR="005719D6">
        <w:rPr>
          <w:rFonts w:cs="Arial"/>
          <w:szCs w:val="22"/>
        </w:rPr>
        <w:t xml:space="preserve"> (JECFA)</w:t>
      </w:r>
      <w:r w:rsidR="005719D6" w:rsidRPr="00E7569D">
        <w:rPr>
          <w:rFonts w:cs="Arial"/>
          <w:szCs w:val="22"/>
        </w:rPr>
        <w:t xml:space="preserve">. </w:t>
      </w:r>
      <w:r w:rsidR="005719D6">
        <w:rPr>
          <w:rFonts w:cs="Arial"/>
          <w:szCs w:val="22"/>
        </w:rPr>
        <w:t xml:space="preserve">The </w:t>
      </w:r>
      <w:r w:rsidR="005719D6">
        <w:rPr>
          <w:lang w:val="en-AU"/>
        </w:rPr>
        <w:t xml:space="preserve">most recent assessment was </w:t>
      </w:r>
      <w:r w:rsidR="005719D6" w:rsidRPr="0093408E">
        <w:rPr>
          <w:lang w:val="en-AU"/>
        </w:rPr>
        <w:t xml:space="preserve">at its </w:t>
      </w:r>
      <w:r w:rsidR="005719D6" w:rsidRPr="0093408E">
        <w:t>35</w:t>
      </w:r>
      <w:r w:rsidR="005719D6" w:rsidRPr="0093408E">
        <w:rPr>
          <w:vertAlign w:val="superscript"/>
        </w:rPr>
        <w:t>th</w:t>
      </w:r>
      <w:r w:rsidR="005719D6" w:rsidRPr="0093408E">
        <w:t xml:space="preserve"> meeting (WHO 1990). At this meeting</w:t>
      </w:r>
      <w:r w:rsidR="00991BF5">
        <w:t>,</w:t>
      </w:r>
      <w:r w:rsidR="005719D6" w:rsidRPr="0093408E">
        <w:t xml:space="preserve"> </w:t>
      </w:r>
      <w:r w:rsidR="005719D6" w:rsidRPr="0093408E">
        <w:rPr>
          <w:lang w:val="en-AU"/>
        </w:rPr>
        <w:t>JECFA established a</w:t>
      </w:r>
      <w:r w:rsidR="005719D6">
        <w:rPr>
          <w:lang w:val="en-AU"/>
        </w:rPr>
        <w:t xml:space="preserve">n ADI </w:t>
      </w:r>
      <w:r w:rsidR="005719D6" w:rsidRPr="0093408E">
        <w:rPr>
          <w:lang w:val="en-AU"/>
        </w:rPr>
        <w:t xml:space="preserve">of ‘not specified’ </w:t>
      </w:r>
      <w:r w:rsidR="005719D6">
        <w:rPr>
          <w:lang w:val="en-AU"/>
        </w:rPr>
        <w:t xml:space="preserve">reflecting the low toxicity and history of safe use of this additive in food.  </w:t>
      </w:r>
    </w:p>
    <w:p w:rsidR="005719D6" w:rsidRDefault="005719D6" w:rsidP="005719D6">
      <w:pPr>
        <w:rPr>
          <w:rFonts w:cs="Arial"/>
          <w:szCs w:val="22"/>
        </w:rPr>
      </w:pPr>
    </w:p>
    <w:p w:rsidR="005719D6" w:rsidRDefault="005719D6" w:rsidP="005719D6">
      <w:pPr>
        <w:rPr>
          <w:lang w:val="en-AU"/>
        </w:rPr>
      </w:pPr>
      <w:r>
        <w:rPr>
          <w:lang w:val="en-AU"/>
        </w:rPr>
        <w:t xml:space="preserve">The additive is approved for use in wine in the European Union (EU 2009). </w:t>
      </w:r>
    </w:p>
    <w:p w:rsidR="005719D6" w:rsidRDefault="005719D6" w:rsidP="005719D6">
      <w:pPr>
        <w:rPr>
          <w:lang w:val="en-AU"/>
        </w:rPr>
      </w:pPr>
    </w:p>
    <w:p w:rsidR="005719D6" w:rsidRDefault="005719D6" w:rsidP="005719D6">
      <w:pPr>
        <w:rPr>
          <w:lang w:val="en-AU"/>
        </w:rPr>
      </w:pPr>
      <w:r>
        <w:rPr>
          <w:lang w:val="en-AU"/>
        </w:rPr>
        <w:t>In New Zealand, winemakers must comply with the Wine Act 2003 and the Regulations, Specifications and notices made under this Act. This Act does not address additives and therefore this application does not impact on New Zealand</w:t>
      </w:r>
      <w:r w:rsidR="00843959">
        <w:rPr>
          <w:lang w:val="en-AU"/>
        </w:rPr>
        <w:t>-</w:t>
      </w:r>
      <w:r>
        <w:rPr>
          <w:lang w:val="en-AU"/>
        </w:rPr>
        <w:t xml:space="preserve">specific </w:t>
      </w:r>
      <w:r w:rsidR="00DF75C5">
        <w:rPr>
          <w:lang w:val="en-AU"/>
        </w:rPr>
        <w:t xml:space="preserve">legislation. </w:t>
      </w:r>
      <w:r>
        <w:rPr>
          <w:lang w:val="en-AU"/>
        </w:rPr>
        <w:t>However</w:t>
      </w:r>
      <w:r w:rsidR="00843959">
        <w:rPr>
          <w:lang w:val="en-AU"/>
        </w:rPr>
        <w:t>,</w:t>
      </w:r>
      <w:r>
        <w:rPr>
          <w:lang w:val="en-AU"/>
        </w:rPr>
        <w:t xml:space="preserve"> all wine sold in New Zealand must meet the composition and labelling requirements of the Code. </w:t>
      </w:r>
    </w:p>
    <w:p w:rsidR="005719D6" w:rsidRDefault="005719D6" w:rsidP="005719D6"/>
    <w:p w:rsidR="005719D6" w:rsidRDefault="005719D6" w:rsidP="005719D6">
      <w:pPr>
        <w:pStyle w:val="Heading3"/>
        <w:keepLines/>
        <w:widowControl/>
      </w:pPr>
      <w:bookmarkStart w:id="44" w:name="_Toc294176141"/>
      <w:bookmarkStart w:id="45" w:name="_Toc304883940"/>
      <w:r>
        <w:t>2.4</w:t>
      </w:r>
      <w:r>
        <w:tab/>
        <w:t>Nature of the additive</w:t>
      </w:r>
      <w:bookmarkEnd w:id="44"/>
      <w:bookmarkEnd w:id="45"/>
    </w:p>
    <w:p w:rsidR="001349CC" w:rsidRPr="001349CC" w:rsidRDefault="001349CC" w:rsidP="001349CC"/>
    <w:p w:rsidR="005719D6" w:rsidRDefault="005719D6" w:rsidP="005719D6">
      <w:pPr>
        <w:widowControl/>
        <w:rPr>
          <w:rFonts w:cs="Arial"/>
          <w:szCs w:val="22"/>
          <w:lang w:val="en-US" w:eastAsia="en-AU" w:bidi="ar-SA"/>
        </w:rPr>
      </w:pPr>
      <w:r>
        <w:rPr>
          <w:rFonts w:cs="Arial"/>
          <w:szCs w:val="22"/>
          <w:lang w:val="en-US" w:eastAsia="en-AU" w:bidi="ar-SA"/>
        </w:rPr>
        <w:t xml:space="preserve">CMC is a cellulose derivative that is extracted from plant </w:t>
      </w:r>
      <w:r w:rsidRPr="000F0627">
        <w:rPr>
          <w:rFonts w:cs="Arial"/>
          <w:szCs w:val="22"/>
          <w:lang w:val="en-AU" w:eastAsia="en-AU" w:bidi="ar-SA"/>
        </w:rPr>
        <w:t>fibres</w:t>
      </w:r>
      <w:r>
        <w:rPr>
          <w:rFonts w:cs="Arial"/>
          <w:szCs w:val="22"/>
          <w:lang w:val="en-US" w:eastAsia="en-AU" w:bidi="ar-SA"/>
        </w:rPr>
        <w:t xml:space="preserve"> by treating them with an </w:t>
      </w:r>
      <w:r w:rsidRPr="00B533D2">
        <w:rPr>
          <w:rFonts w:cs="Arial"/>
          <w:szCs w:val="22"/>
          <w:lang w:val="en-US"/>
        </w:rPr>
        <w:t>alkali and chloroacetic acid</w:t>
      </w:r>
      <w:r>
        <w:rPr>
          <w:rFonts w:cs="Arial"/>
          <w:szCs w:val="22"/>
          <w:lang w:val="en-US"/>
        </w:rPr>
        <w:t xml:space="preserve">. </w:t>
      </w:r>
      <w:r>
        <w:rPr>
          <w:rFonts w:cs="Arial"/>
          <w:szCs w:val="22"/>
          <w:lang w:val="en-US" w:eastAsia="en-AU" w:bidi="ar-SA"/>
        </w:rPr>
        <w:t xml:space="preserve"> </w:t>
      </w:r>
    </w:p>
    <w:p w:rsidR="005719D6" w:rsidRDefault="005719D6" w:rsidP="005719D6">
      <w:pPr>
        <w:widowControl/>
        <w:rPr>
          <w:rFonts w:cs="Arial"/>
          <w:szCs w:val="22"/>
          <w:lang w:val="en-US" w:eastAsia="en-AU" w:bidi="ar-SA"/>
        </w:rPr>
      </w:pPr>
    </w:p>
    <w:p w:rsidR="005719D6" w:rsidRDefault="005719D6" w:rsidP="005719D6">
      <w:pPr>
        <w:widowControl/>
        <w:rPr>
          <w:rFonts w:cs="Arial"/>
          <w:szCs w:val="22"/>
          <w:lang w:val="en-US" w:eastAsia="en-AU" w:bidi="ar-SA"/>
        </w:rPr>
      </w:pPr>
      <w:r>
        <w:rPr>
          <w:rFonts w:cs="Arial"/>
          <w:szCs w:val="22"/>
          <w:lang w:val="en-US" w:eastAsia="en-AU" w:bidi="ar-SA"/>
        </w:rPr>
        <w:t xml:space="preserve">The manufacture and specification of </w:t>
      </w:r>
      <w:r w:rsidR="00030A10">
        <w:rPr>
          <w:rFonts w:cs="Arial"/>
          <w:szCs w:val="22"/>
          <w:lang w:val="en-US" w:eastAsia="en-AU" w:bidi="ar-SA"/>
        </w:rPr>
        <w:t xml:space="preserve">sodium </w:t>
      </w:r>
      <w:r>
        <w:rPr>
          <w:rFonts w:cs="Arial"/>
          <w:szCs w:val="22"/>
          <w:lang w:val="en-US" w:eastAsia="en-AU" w:bidi="ar-SA"/>
        </w:rPr>
        <w:t xml:space="preserve">CMC for the use in wine and sparkling wine does not vary from </w:t>
      </w:r>
      <w:r w:rsidR="00030A10">
        <w:rPr>
          <w:rFonts w:cs="Arial"/>
          <w:szCs w:val="22"/>
          <w:lang w:val="en-US" w:eastAsia="en-AU" w:bidi="ar-SA"/>
        </w:rPr>
        <w:t xml:space="preserve">sodium </w:t>
      </w:r>
      <w:r>
        <w:rPr>
          <w:rFonts w:cs="Arial"/>
          <w:szCs w:val="22"/>
          <w:lang w:val="en-US" w:eastAsia="en-AU" w:bidi="ar-SA"/>
        </w:rPr>
        <w:t xml:space="preserve">CMC used for other food additive purposes in other foods. The International </w:t>
      </w:r>
      <w:r w:rsidRPr="00B82E79">
        <w:rPr>
          <w:rFonts w:cs="Arial"/>
          <w:szCs w:val="22"/>
          <w:lang w:val="en-AU" w:eastAsia="en-AU" w:bidi="ar-SA"/>
        </w:rPr>
        <w:t>Organisation</w:t>
      </w:r>
      <w:r>
        <w:rPr>
          <w:rFonts w:cs="Arial"/>
          <w:szCs w:val="22"/>
          <w:lang w:val="en-US" w:eastAsia="en-AU" w:bidi="ar-SA"/>
        </w:rPr>
        <w:t xml:space="preserve"> of Vine and Wine monograph on CMC (OIV 2009)</w:t>
      </w:r>
      <w:r>
        <w:rPr>
          <w:rFonts w:cs="Arial"/>
          <w:szCs w:val="22"/>
          <w:vertAlign w:val="superscript"/>
          <w:lang w:val="en-US" w:eastAsia="en-AU" w:bidi="ar-SA"/>
        </w:rPr>
        <w:t xml:space="preserve"> </w:t>
      </w:r>
      <w:r w:rsidRPr="00AF157A">
        <w:rPr>
          <w:rFonts w:cs="Arial"/>
          <w:szCs w:val="22"/>
          <w:lang w:val="en-US" w:eastAsia="en-AU" w:bidi="ar-SA"/>
        </w:rPr>
        <w:t>states that</w:t>
      </w:r>
      <w:r>
        <w:rPr>
          <w:rFonts w:cs="Arial"/>
          <w:szCs w:val="22"/>
          <w:lang w:val="en-US" w:eastAsia="en-AU" w:bidi="ar-SA"/>
        </w:rPr>
        <w:t xml:space="preserve"> CMC for oenological use should be prepared exclusively from wood. </w:t>
      </w:r>
    </w:p>
    <w:p w:rsidR="005719D6" w:rsidRDefault="005719D6" w:rsidP="005719D6">
      <w:pPr>
        <w:widowControl/>
        <w:rPr>
          <w:rFonts w:cs="Arial"/>
          <w:szCs w:val="22"/>
          <w:lang w:val="en-US" w:eastAsia="en-AU" w:bidi="ar-SA"/>
        </w:rPr>
      </w:pPr>
    </w:p>
    <w:p w:rsidR="005719D6" w:rsidRDefault="005719D6" w:rsidP="005719D6">
      <w:pPr>
        <w:pStyle w:val="Heading3"/>
      </w:pPr>
      <w:bookmarkStart w:id="46" w:name="_Toc294176142"/>
      <w:bookmarkStart w:id="47" w:name="_Toc304883941"/>
      <w:r>
        <w:t>2.5</w:t>
      </w:r>
      <w:r>
        <w:tab/>
        <w:t>Technological Purpose</w:t>
      </w:r>
      <w:bookmarkEnd w:id="46"/>
      <w:bookmarkEnd w:id="47"/>
    </w:p>
    <w:p w:rsidR="001349CC" w:rsidRPr="001349CC" w:rsidRDefault="001349CC" w:rsidP="001349CC"/>
    <w:p w:rsidR="005719D6" w:rsidRDefault="00030A10" w:rsidP="005719D6">
      <w:r>
        <w:t xml:space="preserve">Sodium </w:t>
      </w:r>
      <w:r w:rsidR="005719D6">
        <w:t xml:space="preserve">CMC is intended to be used in wine production as an additional tool for preventing clouding and sediment formation resulting from the precipitation of tartrate crystals. Cloudy wine with sediment may be undesirable to consumers. </w:t>
      </w:r>
    </w:p>
    <w:p w:rsidR="00DE0376" w:rsidRDefault="00DE0376" w:rsidP="005719D6">
      <w:r>
        <w:br w:type="page"/>
      </w:r>
    </w:p>
    <w:p w:rsidR="005719D6" w:rsidRDefault="005719D6" w:rsidP="005719D6">
      <w:pPr>
        <w:rPr>
          <w:rFonts w:cs="Arial"/>
        </w:rPr>
      </w:pPr>
      <w:r>
        <w:lastRenderedPageBreak/>
        <w:t>Information provided by the A</w:t>
      </w:r>
      <w:r w:rsidRPr="00D14F8F">
        <w:t xml:space="preserve">pplicant states that in contrast to the existing metatartaric acid method the effectiveness of </w:t>
      </w:r>
      <w:r w:rsidR="00030A10">
        <w:t xml:space="preserve">sodium </w:t>
      </w:r>
      <w:r>
        <w:t>CMC</w:t>
      </w:r>
      <w:r w:rsidRPr="00D14F8F">
        <w:t xml:space="preserve"> additive is temperature insensitive and thus crystal stability is obtained even with temperature fluctuations, such as those which occur during transport. However</w:t>
      </w:r>
      <w:r w:rsidR="00843959">
        <w:t>,</w:t>
      </w:r>
      <w:r w:rsidRPr="00D14F8F">
        <w:t xml:space="preserve"> </w:t>
      </w:r>
      <w:r w:rsidRPr="00D14F8F">
        <w:rPr>
          <w:rFonts w:cs="Arial"/>
        </w:rPr>
        <w:t>other currently available methods for tartrate crystal control need to be retained as under certain circumstances e.g. for high quality wine, wine which is strongly saturated with tartrate or wines with high levels of calcium tartrate</w:t>
      </w:r>
      <w:r>
        <w:rPr>
          <w:rFonts w:cs="Arial"/>
        </w:rPr>
        <w:t>,</w:t>
      </w:r>
      <w:r w:rsidRPr="00D14F8F">
        <w:rPr>
          <w:rFonts w:cs="Arial"/>
        </w:rPr>
        <w:t xml:space="preserve"> the existing methods may be more suitable.</w:t>
      </w:r>
      <w:r w:rsidRPr="00EB2F63">
        <w:rPr>
          <w:rFonts w:cs="Arial"/>
        </w:rPr>
        <w:t xml:space="preserve"> </w:t>
      </w:r>
    </w:p>
    <w:p w:rsidR="005719D6" w:rsidRDefault="005719D6" w:rsidP="005719D6">
      <w:pPr>
        <w:rPr>
          <w:rFonts w:cs="Arial"/>
        </w:rPr>
      </w:pPr>
    </w:p>
    <w:p w:rsidR="005719D6" w:rsidRDefault="005719D6" w:rsidP="005719D6">
      <w:pPr>
        <w:rPr>
          <w:rFonts w:cs="Arial"/>
          <w:szCs w:val="22"/>
          <w:lang w:val="en-US"/>
        </w:rPr>
      </w:pPr>
      <w:r w:rsidRPr="00BE720F">
        <w:t>The Applica</w:t>
      </w:r>
      <w:r>
        <w:t>nt provided data showing</w:t>
      </w:r>
      <w:r w:rsidRPr="00BE720F">
        <w:t xml:space="preserve"> </w:t>
      </w:r>
      <w:r>
        <w:t xml:space="preserve">the additive works by inhibiting tartrate crystal growth in wine. The additive acts as a protective colloid </w:t>
      </w:r>
      <w:r w:rsidRPr="0053564F">
        <w:rPr>
          <w:rFonts w:cs="Arial"/>
          <w:szCs w:val="22"/>
          <w:lang w:val="en-US"/>
        </w:rPr>
        <w:t>which attaches to the surface of dissolved tartrate</w:t>
      </w:r>
      <w:r>
        <w:rPr>
          <w:rFonts w:cs="Arial"/>
          <w:szCs w:val="22"/>
          <w:lang w:val="en-US"/>
        </w:rPr>
        <w:t xml:space="preserve"> and prevents tartrate crystals seeding and subsequently </w:t>
      </w:r>
      <w:r w:rsidRPr="00246F2F">
        <w:rPr>
          <w:rFonts w:cs="Arial"/>
          <w:szCs w:val="22"/>
          <w:lang w:val="en-US"/>
        </w:rPr>
        <w:t>precipitating</w:t>
      </w:r>
      <w:r>
        <w:rPr>
          <w:rFonts w:cs="Arial"/>
          <w:szCs w:val="22"/>
          <w:lang w:val="en-US"/>
        </w:rPr>
        <w:t xml:space="preserve">. </w:t>
      </w:r>
      <w:r w:rsidR="00030A10">
        <w:rPr>
          <w:rFonts w:cs="Arial"/>
          <w:szCs w:val="22"/>
          <w:lang w:val="en-US"/>
        </w:rPr>
        <w:t xml:space="preserve">Sodium </w:t>
      </w:r>
      <w:r>
        <w:rPr>
          <w:rFonts w:cs="Arial"/>
          <w:szCs w:val="22"/>
          <w:lang w:val="en-US"/>
        </w:rPr>
        <w:t>CMC is added to the wine towards the end of the production process.</w:t>
      </w:r>
    </w:p>
    <w:p w:rsidR="005719D6" w:rsidRPr="00E90CF8" w:rsidRDefault="005719D6" w:rsidP="005719D6"/>
    <w:p w:rsidR="005719D6" w:rsidRDefault="005719D6" w:rsidP="005719D6">
      <w:r>
        <w:t xml:space="preserve">The Application proposed a </w:t>
      </w:r>
      <w:r w:rsidRPr="00C4001E">
        <w:t>maximum use level of 100 mg/</w:t>
      </w:r>
      <w:r>
        <w:t>L</w:t>
      </w:r>
      <w:r w:rsidRPr="00E90CF8">
        <w:t xml:space="preserve">. </w:t>
      </w:r>
      <w:r>
        <w:t>Information provided with the A</w:t>
      </w:r>
      <w:r w:rsidRPr="00EB2F63">
        <w:t>pplication, namely results of tests to investigate the degree of tartrate crystal precipitation over</w:t>
      </w:r>
      <w:r>
        <w:t xml:space="preserve"> </w:t>
      </w:r>
      <w:r w:rsidRPr="00EB2F63">
        <w:t>time</w:t>
      </w:r>
      <w:r>
        <w:t>,</w:t>
      </w:r>
      <w:r w:rsidRPr="00EB2F63">
        <w:t xml:space="preserve"> </w:t>
      </w:r>
      <w:r w:rsidR="008C21EF">
        <w:t>was</w:t>
      </w:r>
      <w:r w:rsidR="008C21EF" w:rsidRPr="00EB2F63">
        <w:t xml:space="preserve"> </w:t>
      </w:r>
      <w:r w:rsidRPr="00EB2F63">
        <w:t xml:space="preserve">deemed sufficient by FSANZ to demonstrate that the use of </w:t>
      </w:r>
      <w:r w:rsidR="00030A10">
        <w:t xml:space="preserve">sodium </w:t>
      </w:r>
      <w:r w:rsidRPr="00EB2F63">
        <w:t>CMC at this proposed level is effective.</w:t>
      </w:r>
      <w:r>
        <w:t xml:space="preserve"> </w:t>
      </w:r>
    </w:p>
    <w:p w:rsidR="005719D6" w:rsidRDefault="005719D6" w:rsidP="005719D6"/>
    <w:p w:rsidR="005719D6" w:rsidRDefault="005719D6" w:rsidP="005719D6">
      <w:r>
        <w:t xml:space="preserve">As there </w:t>
      </w:r>
      <w:r w:rsidR="0065310C">
        <w:t>is no specific public health</w:t>
      </w:r>
      <w:r>
        <w:t xml:space="preserve"> or safety concerns identified for this extended use and for other approved uses of </w:t>
      </w:r>
      <w:r w:rsidR="00030A10">
        <w:t xml:space="preserve">sodium </w:t>
      </w:r>
      <w:r>
        <w:t xml:space="preserve">CMC the maximum permitted level is GMP, FSANZ proposes to set the maximum permissible level of </w:t>
      </w:r>
      <w:r w:rsidR="00030A10">
        <w:t xml:space="preserve">sodium </w:t>
      </w:r>
      <w:r>
        <w:t xml:space="preserve">CMC in wine and sparkling wine also at GMP.   </w:t>
      </w:r>
    </w:p>
    <w:p w:rsidR="00807559" w:rsidRPr="00DC6570" w:rsidRDefault="00807559">
      <w:pPr>
        <w:rPr>
          <w:rFonts w:cs="Arial"/>
        </w:rPr>
      </w:pPr>
    </w:p>
    <w:p w:rsidR="003C4969" w:rsidRPr="00DC6570" w:rsidRDefault="00D51A95">
      <w:pPr>
        <w:pStyle w:val="Heading2"/>
        <w:rPr>
          <w:rFonts w:cs="Arial"/>
        </w:rPr>
      </w:pPr>
      <w:bookmarkStart w:id="48" w:name="_Toc120358585"/>
      <w:bookmarkStart w:id="49" w:name="_Toc304883942"/>
      <w:r w:rsidRPr="00DC6570">
        <w:rPr>
          <w:rFonts w:cs="Arial"/>
        </w:rPr>
        <w:t>3</w:t>
      </w:r>
      <w:r w:rsidR="003C4969" w:rsidRPr="00DC6570">
        <w:rPr>
          <w:rFonts w:cs="Arial"/>
        </w:rPr>
        <w:t>.</w:t>
      </w:r>
      <w:r w:rsidR="003C4969" w:rsidRPr="00DC6570">
        <w:rPr>
          <w:rFonts w:cs="Arial"/>
        </w:rPr>
        <w:tab/>
        <w:t>Objectives</w:t>
      </w:r>
      <w:bookmarkEnd w:id="48"/>
      <w:bookmarkEnd w:id="49"/>
    </w:p>
    <w:p w:rsidR="00257942" w:rsidRPr="00257942" w:rsidRDefault="00257942">
      <w:pPr>
        <w:rPr>
          <w:rFonts w:cs="Arial"/>
        </w:rPr>
      </w:pPr>
    </w:p>
    <w:p w:rsidR="005719D6" w:rsidRDefault="005719D6" w:rsidP="005719D6">
      <w:r w:rsidRPr="00106EDF">
        <w:t xml:space="preserve">The objective of </w:t>
      </w:r>
      <w:r w:rsidR="008C21EF">
        <w:t>the</w:t>
      </w:r>
      <w:r w:rsidR="008C21EF" w:rsidRPr="00106EDF">
        <w:t xml:space="preserve"> </w:t>
      </w:r>
      <w:r w:rsidRPr="00106EDF">
        <w:t xml:space="preserve">Assessment </w:t>
      </w:r>
      <w:r>
        <w:t>was</w:t>
      </w:r>
      <w:r w:rsidRPr="00106EDF">
        <w:t xml:space="preserve"> to determine whether it is appropriate to amend Standard</w:t>
      </w:r>
      <w:r>
        <w:t xml:space="preserve">s 1.3.1 and 4.5.1 to permit the use of </w:t>
      </w:r>
      <w:r w:rsidR="00030A10">
        <w:t xml:space="preserve">sodium </w:t>
      </w:r>
      <w:r>
        <w:t xml:space="preserve">CMC as an additive in wine and sparkling wine. </w:t>
      </w:r>
    </w:p>
    <w:p w:rsidR="005719D6" w:rsidRDefault="005719D6" w:rsidP="005719D6">
      <w:pPr>
        <w:rPr>
          <w:rFonts w:cs="Arial"/>
        </w:rPr>
      </w:pPr>
    </w:p>
    <w:p w:rsidR="00E3423B" w:rsidRPr="00DC6570" w:rsidRDefault="00E3423B" w:rsidP="00E3423B">
      <w:pPr>
        <w:rPr>
          <w:rFonts w:cs="Arial"/>
        </w:rPr>
      </w:pPr>
      <w:r w:rsidRPr="00DC6570">
        <w:rPr>
          <w:rFonts w:cs="Arial"/>
        </w:rPr>
        <w:t>In developing or varying a food standard, FSANZ is required by its legislation to meet three primary objectives which are set out in section 18 of the FSANZ Act.  These are:</w:t>
      </w:r>
    </w:p>
    <w:p w:rsidR="00E3423B" w:rsidRPr="00DC6570" w:rsidRDefault="00E3423B" w:rsidP="00E3423B">
      <w:pPr>
        <w:rPr>
          <w:rFonts w:cs="Arial"/>
        </w:rPr>
      </w:pPr>
    </w:p>
    <w:p w:rsidR="00E3423B" w:rsidRPr="00DC6570" w:rsidRDefault="00E3423B" w:rsidP="00712FCF">
      <w:pPr>
        <w:pStyle w:val="FSBullet"/>
      </w:pPr>
      <w:r w:rsidRPr="00DC6570">
        <w:t>the protection of public health and safety;</w:t>
      </w:r>
      <w:r>
        <w:t xml:space="preserve"> and</w:t>
      </w:r>
    </w:p>
    <w:p w:rsidR="00E3423B" w:rsidRPr="00DC6570" w:rsidRDefault="00E3423B" w:rsidP="00712FCF">
      <w:pPr>
        <w:ind w:left="567" w:hanging="567"/>
      </w:pPr>
    </w:p>
    <w:p w:rsidR="00E3423B" w:rsidRPr="00DC6570" w:rsidRDefault="00E3423B" w:rsidP="00712FCF">
      <w:pPr>
        <w:pStyle w:val="FSBullet"/>
      </w:pPr>
      <w:r w:rsidRPr="00DC6570">
        <w:t>the provision of adequate information relating to food to enable consumers to make informed choices; and</w:t>
      </w:r>
    </w:p>
    <w:p w:rsidR="00E3423B" w:rsidRPr="00DC6570" w:rsidRDefault="00E3423B" w:rsidP="00712FCF">
      <w:pPr>
        <w:ind w:left="567" w:hanging="567"/>
      </w:pPr>
    </w:p>
    <w:p w:rsidR="00E3423B" w:rsidRPr="00DC6570" w:rsidRDefault="00E3423B" w:rsidP="00712FCF">
      <w:pPr>
        <w:pStyle w:val="FSBullet"/>
      </w:pPr>
      <w:proofErr w:type="gramStart"/>
      <w:r w:rsidRPr="00DC6570">
        <w:t>the</w:t>
      </w:r>
      <w:proofErr w:type="gramEnd"/>
      <w:r w:rsidRPr="00DC6570">
        <w:t xml:space="preserve"> prevention of misleading or deceptive conduct.</w:t>
      </w:r>
    </w:p>
    <w:p w:rsidR="00E3423B" w:rsidRPr="00DC6570" w:rsidRDefault="00E3423B" w:rsidP="00712FCF">
      <w:pPr>
        <w:ind w:left="567" w:hanging="567"/>
        <w:rPr>
          <w:rFonts w:cs="Arial"/>
        </w:rPr>
      </w:pPr>
    </w:p>
    <w:p w:rsidR="00E3423B" w:rsidRPr="00DC6570" w:rsidRDefault="00E3423B" w:rsidP="00712FCF">
      <w:pPr>
        <w:ind w:left="567" w:hanging="567"/>
        <w:rPr>
          <w:rFonts w:cs="Arial"/>
        </w:rPr>
      </w:pPr>
      <w:r w:rsidRPr="00DC6570">
        <w:rPr>
          <w:rFonts w:cs="Arial"/>
        </w:rPr>
        <w:t>In developing and varying standards, FSANZ must also have regard to:</w:t>
      </w:r>
    </w:p>
    <w:p w:rsidR="00E3423B" w:rsidRPr="00DC6570" w:rsidRDefault="00E3423B" w:rsidP="00712FCF">
      <w:pPr>
        <w:ind w:left="567" w:hanging="567"/>
        <w:rPr>
          <w:rFonts w:cs="Arial"/>
        </w:rPr>
      </w:pPr>
    </w:p>
    <w:p w:rsidR="00E3423B" w:rsidRPr="00DC6570" w:rsidRDefault="00E3423B" w:rsidP="00712FCF">
      <w:pPr>
        <w:pStyle w:val="FSBullet"/>
      </w:pPr>
      <w:r w:rsidRPr="00DC6570">
        <w:t>the need for standards to be based on risk analysis using the best available scientific evidence;</w:t>
      </w:r>
    </w:p>
    <w:p w:rsidR="00E3423B" w:rsidRPr="00DC6570" w:rsidRDefault="00E3423B" w:rsidP="00712FCF">
      <w:pPr>
        <w:ind w:left="567" w:hanging="567"/>
      </w:pPr>
    </w:p>
    <w:p w:rsidR="00E3423B" w:rsidRPr="00DC6570" w:rsidRDefault="00E3423B" w:rsidP="00712FCF">
      <w:pPr>
        <w:pStyle w:val="FSBullet"/>
      </w:pPr>
      <w:r w:rsidRPr="00DC6570">
        <w:t>the promotion of consistency between domestic and international food standards;</w:t>
      </w:r>
    </w:p>
    <w:p w:rsidR="00E3423B" w:rsidRPr="00DC6570" w:rsidRDefault="00E3423B" w:rsidP="00712FCF">
      <w:pPr>
        <w:ind w:left="567" w:hanging="567"/>
      </w:pPr>
    </w:p>
    <w:p w:rsidR="00E3423B" w:rsidRPr="00D60568" w:rsidRDefault="00E3423B" w:rsidP="00712FCF">
      <w:pPr>
        <w:pStyle w:val="FSBullet"/>
      </w:pPr>
      <w:r w:rsidRPr="00DC6570">
        <w:t>the desirabil</w:t>
      </w:r>
      <w:r w:rsidRPr="00D60568">
        <w:t>ity of an efficient and internationally competitive food industry;</w:t>
      </w:r>
    </w:p>
    <w:p w:rsidR="00706E08" w:rsidRDefault="00706E08" w:rsidP="00706E08"/>
    <w:p w:rsidR="00E3423B" w:rsidRPr="00DC6570" w:rsidRDefault="00E3423B" w:rsidP="0000589D">
      <w:pPr>
        <w:pStyle w:val="FSBullet"/>
      </w:pPr>
      <w:r w:rsidRPr="00DC6570">
        <w:t>the promotion of fair trading in food; and</w:t>
      </w:r>
    </w:p>
    <w:p w:rsidR="00E3423B" w:rsidRPr="00DC6570" w:rsidRDefault="00E3423B" w:rsidP="00E3423B"/>
    <w:p w:rsidR="005719D6" w:rsidRPr="001B6856" w:rsidRDefault="008873C0" w:rsidP="00712FCF">
      <w:pPr>
        <w:pStyle w:val="FSBullet"/>
        <w:spacing w:after="240"/>
      </w:pPr>
      <w:r w:rsidRPr="00DC6570">
        <w:t>Any</w:t>
      </w:r>
      <w:r w:rsidR="00E3423B" w:rsidRPr="00DC6570">
        <w:t xml:space="preserve"> written policy guidelines formulated by the Ministerial Council.</w:t>
      </w:r>
    </w:p>
    <w:p w:rsidR="00706E08" w:rsidRDefault="00706E08" w:rsidP="002149D6">
      <w:pPr>
        <w:rPr>
          <w:rFonts w:cs="Arial"/>
        </w:rPr>
      </w:pPr>
      <w:r>
        <w:rPr>
          <w:rFonts w:cs="Arial"/>
        </w:rPr>
        <w:br w:type="page"/>
      </w:r>
    </w:p>
    <w:p w:rsidR="005719D6" w:rsidRDefault="005719D6" w:rsidP="002149D6">
      <w:pPr>
        <w:rPr>
          <w:rFonts w:cs="Arial"/>
          <w:lang w:val="en-AU"/>
        </w:rPr>
      </w:pPr>
      <w:r>
        <w:rPr>
          <w:rFonts w:cs="Arial"/>
        </w:rPr>
        <w:lastRenderedPageBreak/>
        <w:t xml:space="preserve">The </w:t>
      </w:r>
      <w:r w:rsidRPr="00B47D88">
        <w:rPr>
          <w:rFonts w:cs="Arial"/>
        </w:rPr>
        <w:t xml:space="preserve">Ministerial Council Policy Guideline: </w:t>
      </w:r>
      <w:r w:rsidRPr="00B47D88">
        <w:rPr>
          <w:rFonts w:cs="Arial"/>
          <w:i/>
        </w:rPr>
        <w:t>Addition to Food of Substances other than Vitamins and Minerals</w:t>
      </w:r>
      <w:r>
        <w:rPr>
          <w:rFonts w:cs="Arial"/>
        </w:rPr>
        <w:t xml:space="preserve"> </w:t>
      </w:r>
      <w:r>
        <w:rPr>
          <w:lang w:val="en-US"/>
        </w:rPr>
        <w:t>includes</w:t>
      </w:r>
      <w:r w:rsidRPr="00AA2FCE">
        <w:rPr>
          <w:lang w:val="en-US"/>
        </w:rPr>
        <w:t xml:space="preserve"> </w:t>
      </w:r>
      <w:r>
        <w:rPr>
          <w:lang w:val="en-US"/>
        </w:rPr>
        <w:t xml:space="preserve">policy principles in regard to substances added to achieve a solely technological function such as food additives and processing aids. According to these guidelines, permissions </w:t>
      </w:r>
      <w:r w:rsidRPr="00B47D88">
        <w:rPr>
          <w:rFonts w:cs="Arial"/>
          <w:lang w:val="en-AU"/>
        </w:rPr>
        <w:t xml:space="preserve">should be </w:t>
      </w:r>
      <w:r>
        <w:rPr>
          <w:rFonts w:cs="Arial"/>
          <w:lang w:val="en-AU"/>
        </w:rPr>
        <w:t>granted</w:t>
      </w:r>
      <w:r w:rsidRPr="00B47D88">
        <w:rPr>
          <w:rFonts w:cs="Arial"/>
          <w:lang w:val="en-AU"/>
        </w:rPr>
        <w:t xml:space="preserve"> where: </w:t>
      </w:r>
    </w:p>
    <w:p w:rsidR="005719D6" w:rsidRDefault="005719D6" w:rsidP="005719D6">
      <w:pPr>
        <w:rPr>
          <w:rFonts w:cs="Arial"/>
          <w:lang w:val="en-AU"/>
        </w:rPr>
      </w:pPr>
    </w:p>
    <w:p w:rsidR="005719D6" w:rsidRDefault="005719D6" w:rsidP="00712FCF">
      <w:pPr>
        <w:pStyle w:val="FSBullet"/>
        <w:spacing w:after="240"/>
        <w:rPr>
          <w:lang w:val="en-AU"/>
        </w:rPr>
      </w:pPr>
      <w:r>
        <w:rPr>
          <w:lang w:val="en-AU"/>
        </w:rPr>
        <w:t>T</w:t>
      </w:r>
      <w:r w:rsidRPr="00B47D88">
        <w:rPr>
          <w:lang w:val="en-AU"/>
        </w:rPr>
        <w:t>he purpose for adding the substance can be articulated clearly by the manufacturer as achieving a solely technological function (i.e. the ‘stated purpose’)</w:t>
      </w:r>
      <w:r>
        <w:rPr>
          <w:lang w:val="en-AU"/>
        </w:rPr>
        <w:t>.</w:t>
      </w:r>
    </w:p>
    <w:p w:rsidR="005719D6" w:rsidRDefault="005719D6" w:rsidP="00712FCF">
      <w:pPr>
        <w:pStyle w:val="FSBullet"/>
        <w:spacing w:after="240"/>
        <w:rPr>
          <w:lang w:val="en-AU"/>
        </w:rPr>
      </w:pPr>
      <w:r>
        <w:rPr>
          <w:lang w:val="en-AU"/>
        </w:rPr>
        <w:t>T</w:t>
      </w:r>
      <w:r w:rsidRPr="00B47D88">
        <w:rPr>
          <w:lang w:val="en-AU"/>
        </w:rPr>
        <w:t>he addition of the substance to food is safe for human consumption</w:t>
      </w:r>
      <w:r>
        <w:rPr>
          <w:lang w:val="en-AU"/>
        </w:rPr>
        <w:t>.</w:t>
      </w:r>
    </w:p>
    <w:p w:rsidR="005719D6" w:rsidRDefault="005719D6" w:rsidP="00712FCF">
      <w:pPr>
        <w:pStyle w:val="FSBullet"/>
        <w:spacing w:after="240"/>
        <w:rPr>
          <w:lang w:val="en-AU"/>
        </w:rPr>
      </w:pPr>
      <w:r>
        <w:rPr>
          <w:lang w:val="en-AU"/>
        </w:rPr>
        <w:t>T</w:t>
      </w:r>
      <w:r w:rsidRPr="00B47D88">
        <w:rPr>
          <w:lang w:val="en-AU"/>
        </w:rPr>
        <w:t>he amounts added are consistent with achieving the technological function</w:t>
      </w:r>
      <w:r>
        <w:rPr>
          <w:lang w:val="en-AU"/>
        </w:rPr>
        <w:t>.</w:t>
      </w:r>
      <w:r w:rsidRPr="00B47D88">
        <w:rPr>
          <w:lang w:val="en-AU"/>
        </w:rPr>
        <w:t xml:space="preserve"> </w:t>
      </w:r>
    </w:p>
    <w:p w:rsidR="005719D6" w:rsidRDefault="005719D6" w:rsidP="00712FCF">
      <w:pPr>
        <w:pStyle w:val="FSBullet"/>
        <w:spacing w:after="240"/>
        <w:rPr>
          <w:lang w:val="en-AU"/>
        </w:rPr>
      </w:pPr>
      <w:r>
        <w:rPr>
          <w:lang w:val="en-AU"/>
        </w:rPr>
        <w:t>T</w:t>
      </w:r>
      <w:r w:rsidRPr="00B47D88">
        <w:rPr>
          <w:lang w:val="en-AU"/>
        </w:rPr>
        <w:t>he substance is added in a quantity and a form which is consistent with delivering the stated purpose</w:t>
      </w:r>
      <w:r>
        <w:rPr>
          <w:lang w:val="en-AU"/>
        </w:rPr>
        <w:t>.</w:t>
      </w:r>
    </w:p>
    <w:p w:rsidR="00807559" w:rsidRPr="0069021D" w:rsidRDefault="005719D6" w:rsidP="00712FCF">
      <w:pPr>
        <w:pStyle w:val="FSBullet"/>
        <w:spacing w:after="240"/>
      </w:pPr>
      <w:r w:rsidRPr="0069021D">
        <w:rPr>
          <w:lang w:val="en-AU"/>
        </w:rPr>
        <w:t xml:space="preserve">No nutrition, health or related claims are to be made in regard to the substance. </w:t>
      </w:r>
    </w:p>
    <w:p w:rsidR="00D51A95" w:rsidRPr="00DC6570" w:rsidRDefault="00D51A95" w:rsidP="00D51A95">
      <w:pPr>
        <w:pStyle w:val="Heading2"/>
        <w:rPr>
          <w:rFonts w:cs="Arial"/>
        </w:rPr>
      </w:pPr>
      <w:bookmarkStart w:id="50" w:name="_Toc304883943"/>
      <w:r w:rsidRPr="00DC6570">
        <w:rPr>
          <w:rFonts w:cs="Arial"/>
        </w:rPr>
        <w:t>4.</w:t>
      </w:r>
      <w:r w:rsidRPr="00DC6570">
        <w:rPr>
          <w:rFonts w:cs="Arial"/>
        </w:rPr>
        <w:tab/>
        <w:t>Questions</w:t>
      </w:r>
      <w:r w:rsidR="000E3DBC">
        <w:rPr>
          <w:rFonts w:cs="Arial"/>
        </w:rPr>
        <w:t xml:space="preserve"> answered</w:t>
      </w:r>
      <w:bookmarkEnd w:id="50"/>
    </w:p>
    <w:p w:rsidR="007A1657" w:rsidRDefault="007A1657" w:rsidP="007A1657">
      <w:pPr>
        <w:rPr>
          <w:szCs w:val="22"/>
        </w:rPr>
      </w:pPr>
    </w:p>
    <w:p w:rsidR="007A1657" w:rsidRDefault="007A1657" w:rsidP="007A1657">
      <w:pPr>
        <w:rPr>
          <w:szCs w:val="22"/>
        </w:rPr>
      </w:pPr>
      <w:r w:rsidRPr="00B731D0">
        <w:rPr>
          <w:szCs w:val="22"/>
        </w:rPr>
        <w:t xml:space="preserve">For this </w:t>
      </w:r>
      <w:r>
        <w:rPr>
          <w:szCs w:val="22"/>
        </w:rPr>
        <w:t>Application</w:t>
      </w:r>
      <w:r w:rsidRPr="00B731D0">
        <w:rPr>
          <w:szCs w:val="22"/>
        </w:rPr>
        <w:t>, FSANZ considered the following key questions</w:t>
      </w:r>
      <w:r>
        <w:rPr>
          <w:szCs w:val="22"/>
        </w:rPr>
        <w:t xml:space="preserve"> to address the objectives described in section 3</w:t>
      </w:r>
      <w:r w:rsidRPr="00B731D0">
        <w:rPr>
          <w:szCs w:val="22"/>
        </w:rPr>
        <w:t>:</w:t>
      </w:r>
    </w:p>
    <w:p w:rsidR="007A1657" w:rsidRDefault="007A1657" w:rsidP="007A1657">
      <w:pPr>
        <w:rPr>
          <w:szCs w:val="22"/>
        </w:rPr>
      </w:pPr>
    </w:p>
    <w:p w:rsidR="007A1657" w:rsidRPr="007E6D4D" w:rsidRDefault="007A1657" w:rsidP="00712FCF">
      <w:pPr>
        <w:pStyle w:val="FSBullet"/>
        <w:spacing w:after="240"/>
      </w:pPr>
      <w:r w:rsidRPr="007E6D4D">
        <w:t>Does the additive present any food safety issues?</w:t>
      </w:r>
    </w:p>
    <w:p w:rsidR="007E6D4D" w:rsidRPr="007E6D4D" w:rsidRDefault="007A1657" w:rsidP="00712FCF">
      <w:pPr>
        <w:pStyle w:val="FSBullet"/>
        <w:spacing w:after="240"/>
      </w:pPr>
      <w:r w:rsidRPr="007E6D4D">
        <w:t>Does the additive achieve its stated technological purpose?</w:t>
      </w:r>
    </w:p>
    <w:p w:rsidR="003C4969" w:rsidRPr="00DC6570" w:rsidRDefault="00807559" w:rsidP="001C27A3">
      <w:pPr>
        <w:pStyle w:val="Heading1"/>
      </w:pPr>
      <w:bookmarkStart w:id="51" w:name="_Toc304883944"/>
      <w:r>
        <w:t>RISK ASSESSMENT</w:t>
      </w:r>
      <w:bookmarkEnd w:id="51"/>
    </w:p>
    <w:p w:rsidR="003C4969" w:rsidRPr="00DC6570" w:rsidRDefault="003C4969">
      <w:pPr>
        <w:rPr>
          <w:rFonts w:cs="Arial"/>
          <w:color w:val="FF0000"/>
        </w:rPr>
      </w:pPr>
    </w:p>
    <w:p w:rsidR="007A1657" w:rsidRDefault="007A1657" w:rsidP="007A1657">
      <w:pPr>
        <w:keepNext/>
        <w:keepLines/>
        <w:rPr>
          <w:rFonts w:cs="Arial"/>
        </w:rPr>
      </w:pPr>
      <w:bookmarkStart w:id="52" w:name="_Toc11735632"/>
      <w:bookmarkStart w:id="53" w:name="_Toc29883116"/>
      <w:bookmarkStart w:id="54" w:name="_Toc41906803"/>
      <w:bookmarkStart w:id="55" w:name="_Toc41907550"/>
      <w:bookmarkStart w:id="56" w:name="_Toc120358581"/>
      <w:r w:rsidRPr="00B731D0">
        <w:rPr>
          <w:rFonts w:cs="Arial"/>
        </w:rPr>
        <w:t>A</w:t>
      </w:r>
      <w:r>
        <w:rPr>
          <w:rFonts w:cs="Arial"/>
        </w:rPr>
        <w:t>n</w:t>
      </w:r>
      <w:r w:rsidRPr="00B731D0">
        <w:rPr>
          <w:rFonts w:cs="Arial"/>
        </w:rPr>
        <w:t xml:space="preserve"> assessment of the safety and </w:t>
      </w:r>
      <w:r>
        <w:rPr>
          <w:rFonts w:cs="Arial"/>
        </w:rPr>
        <w:t>technical function</w:t>
      </w:r>
      <w:r w:rsidRPr="00B731D0">
        <w:rPr>
          <w:rFonts w:cs="Arial"/>
        </w:rPr>
        <w:t xml:space="preserve"> of </w:t>
      </w:r>
      <w:r w:rsidR="00030A10">
        <w:rPr>
          <w:rFonts w:cs="Arial"/>
        </w:rPr>
        <w:t xml:space="preserve">sodium </w:t>
      </w:r>
      <w:r w:rsidR="008873C0">
        <w:rPr>
          <w:rFonts w:cs="Arial"/>
        </w:rPr>
        <w:t xml:space="preserve">CMC </w:t>
      </w:r>
      <w:r w:rsidR="005F1ED3">
        <w:rPr>
          <w:rFonts w:cs="Arial"/>
        </w:rPr>
        <w:t xml:space="preserve">was </w:t>
      </w:r>
      <w:r w:rsidRPr="00B731D0">
        <w:rPr>
          <w:rFonts w:cs="Arial"/>
        </w:rPr>
        <w:t>un</w:t>
      </w:r>
      <w:r>
        <w:rPr>
          <w:rFonts w:cs="Arial"/>
        </w:rPr>
        <w:t xml:space="preserve">dertaken </w:t>
      </w:r>
      <w:r w:rsidR="008873C0">
        <w:rPr>
          <w:rFonts w:cs="Arial"/>
        </w:rPr>
        <w:t xml:space="preserve">and presented in the </w:t>
      </w:r>
      <w:r w:rsidR="00A85DB5">
        <w:rPr>
          <w:rFonts w:cs="Arial"/>
        </w:rPr>
        <w:t xml:space="preserve">Assessment </w:t>
      </w:r>
      <w:r w:rsidR="00706E08">
        <w:rPr>
          <w:rFonts w:cs="Arial"/>
        </w:rPr>
        <w:t>R</w:t>
      </w:r>
      <w:r w:rsidR="00A85DB5">
        <w:rPr>
          <w:rFonts w:cs="Arial"/>
        </w:rPr>
        <w:t>eport</w:t>
      </w:r>
      <w:r w:rsidR="008C21EF">
        <w:rPr>
          <w:rFonts w:cs="Arial"/>
        </w:rPr>
        <w:t xml:space="preserve">. </w:t>
      </w:r>
    </w:p>
    <w:p w:rsidR="007A1657" w:rsidRPr="00B731D0" w:rsidRDefault="007A1657" w:rsidP="007A1657">
      <w:pPr>
        <w:rPr>
          <w:rFonts w:cs="Arial"/>
        </w:rPr>
      </w:pPr>
    </w:p>
    <w:p w:rsidR="007A1657" w:rsidRDefault="007A1657" w:rsidP="007A1657">
      <w:pPr>
        <w:rPr>
          <w:rFonts w:cs="Arial"/>
        </w:rPr>
      </w:pPr>
      <w:r>
        <w:rPr>
          <w:rFonts w:cs="Arial"/>
        </w:rPr>
        <w:t xml:space="preserve">In addition to information supplied by the Applicant, </w:t>
      </w:r>
      <w:r w:rsidRPr="00B731D0">
        <w:rPr>
          <w:rFonts w:cs="Arial"/>
        </w:rPr>
        <w:t>other available resource material</w:t>
      </w:r>
      <w:r>
        <w:rPr>
          <w:rFonts w:cs="Arial"/>
        </w:rPr>
        <w:t>,</w:t>
      </w:r>
      <w:r w:rsidRPr="00B731D0">
        <w:rPr>
          <w:rFonts w:cs="Arial"/>
        </w:rPr>
        <w:t xml:space="preserve"> including published scientific literature and general technical information</w:t>
      </w:r>
      <w:r>
        <w:rPr>
          <w:rFonts w:cs="Arial"/>
        </w:rPr>
        <w:t>, was used</w:t>
      </w:r>
      <w:r w:rsidRPr="00B731D0">
        <w:rPr>
          <w:rFonts w:cs="Arial"/>
        </w:rPr>
        <w:t xml:space="preserve"> </w:t>
      </w:r>
      <w:r>
        <w:rPr>
          <w:rFonts w:cs="Arial"/>
        </w:rPr>
        <w:t xml:space="preserve">by FSANZ </w:t>
      </w:r>
      <w:r w:rsidRPr="00B731D0">
        <w:rPr>
          <w:rFonts w:cs="Arial"/>
        </w:rPr>
        <w:t>in this assessment.</w:t>
      </w:r>
    </w:p>
    <w:p w:rsidR="003C4969" w:rsidRPr="00DC6570" w:rsidRDefault="003C4969">
      <w:pPr>
        <w:rPr>
          <w:rFonts w:cs="Arial"/>
        </w:rPr>
      </w:pPr>
    </w:p>
    <w:p w:rsidR="003C4969" w:rsidRPr="00DC6570" w:rsidRDefault="00D51A95" w:rsidP="001C27A3">
      <w:pPr>
        <w:pStyle w:val="Heading2"/>
      </w:pPr>
      <w:bookmarkStart w:id="57" w:name="_Toc120358583"/>
      <w:bookmarkStart w:id="58" w:name="_Toc304883945"/>
      <w:bookmarkEnd w:id="52"/>
      <w:bookmarkEnd w:id="53"/>
      <w:bookmarkEnd w:id="54"/>
      <w:bookmarkEnd w:id="55"/>
      <w:bookmarkEnd w:id="56"/>
      <w:r w:rsidRPr="00DC6570">
        <w:t>5</w:t>
      </w:r>
      <w:r w:rsidR="001C27A3">
        <w:t>.</w:t>
      </w:r>
      <w:r w:rsidR="003C4969" w:rsidRPr="00DC6570">
        <w:tab/>
        <w:t xml:space="preserve">Risk </w:t>
      </w:r>
      <w:r w:rsidR="007A1657">
        <w:t xml:space="preserve">and Technical </w:t>
      </w:r>
      <w:r w:rsidR="003C4969" w:rsidRPr="00DC6570">
        <w:t>Assessment Summary</w:t>
      </w:r>
      <w:bookmarkEnd w:id="57"/>
      <w:bookmarkEnd w:id="58"/>
    </w:p>
    <w:p w:rsidR="007A1657" w:rsidRDefault="007A1657">
      <w:pPr>
        <w:rPr>
          <w:rFonts w:cs="Arial"/>
          <w:color w:val="FF0000"/>
        </w:rPr>
      </w:pPr>
    </w:p>
    <w:p w:rsidR="007A1657" w:rsidRDefault="007A1657" w:rsidP="007A1657">
      <w:pPr>
        <w:pStyle w:val="Heading3"/>
      </w:pPr>
      <w:bookmarkStart w:id="59" w:name="_Toc294176147"/>
      <w:bookmarkStart w:id="60" w:name="_Toc304883946"/>
      <w:r>
        <w:t>5.1</w:t>
      </w:r>
      <w:r>
        <w:tab/>
        <w:t>Summary</w:t>
      </w:r>
      <w:bookmarkEnd w:id="59"/>
      <w:bookmarkEnd w:id="60"/>
    </w:p>
    <w:p w:rsidR="007A1657" w:rsidRPr="007A1657" w:rsidRDefault="007A1657" w:rsidP="007A1657"/>
    <w:p w:rsidR="007A1657" w:rsidRDefault="00030A10" w:rsidP="007A1657">
      <w:pPr>
        <w:rPr>
          <w:rFonts w:cs="Arial"/>
        </w:rPr>
      </w:pPr>
      <w:r>
        <w:rPr>
          <w:rFonts w:cs="Arial"/>
        </w:rPr>
        <w:t xml:space="preserve">Sodium </w:t>
      </w:r>
      <w:r w:rsidR="007A1657">
        <w:rPr>
          <w:rFonts w:cs="Arial"/>
        </w:rPr>
        <w:t>CMC is already a permitted food additive in Australia and New Zealand. Its use as an additive in wine has</w:t>
      </w:r>
      <w:r w:rsidR="00843959">
        <w:rPr>
          <w:rFonts w:cs="Arial"/>
        </w:rPr>
        <w:t>,</w:t>
      </w:r>
      <w:r w:rsidR="007A1657">
        <w:rPr>
          <w:rFonts w:cs="Arial"/>
        </w:rPr>
        <w:t xml:space="preserve"> however</w:t>
      </w:r>
      <w:r w:rsidR="00843959">
        <w:rPr>
          <w:rFonts w:cs="Arial"/>
        </w:rPr>
        <w:t>,</w:t>
      </w:r>
      <w:r w:rsidR="007A1657">
        <w:rPr>
          <w:rFonts w:cs="Arial"/>
        </w:rPr>
        <w:t xml:space="preserve"> not previously been assessed under the Code. </w:t>
      </w:r>
    </w:p>
    <w:p w:rsidR="007A1657" w:rsidRDefault="007A1657" w:rsidP="007A1657">
      <w:pPr>
        <w:rPr>
          <w:rFonts w:cs="Arial"/>
        </w:rPr>
      </w:pPr>
    </w:p>
    <w:p w:rsidR="002149D6" w:rsidRDefault="007A1657" w:rsidP="007A1657">
      <w:r w:rsidRPr="003F44CE">
        <w:rPr>
          <w:rFonts w:cs="Arial"/>
          <w:szCs w:val="22"/>
        </w:rPr>
        <w:t xml:space="preserve">The hazard assessment considered </w:t>
      </w:r>
      <w:r>
        <w:rPr>
          <w:rFonts w:cs="Arial"/>
          <w:szCs w:val="22"/>
        </w:rPr>
        <w:t xml:space="preserve">the </w:t>
      </w:r>
      <w:r w:rsidRPr="0093408E">
        <w:rPr>
          <w:lang w:val="en-AU"/>
        </w:rPr>
        <w:t xml:space="preserve">long history of safe use </w:t>
      </w:r>
      <w:r>
        <w:rPr>
          <w:lang w:val="en-AU"/>
        </w:rPr>
        <w:t xml:space="preserve">of </w:t>
      </w:r>
      <w:r w:rsidR="00030A10">
        <w:rPr>
          <w:lang w:val="en-AU"/>
        </w:rPr>
        <w:t xml:space="preserve">sodium </w:t>
      </w:r>
      <w:r>
        <w:rPr>
          <w:lang w:val="en-AU"/>
        </w:rPr>
        <w:t xml:space="preserve">CMC </w:t>
      </w:r>
      <w:r w:rsidRPr="0093408E">
        <w:rPr>
          <w:lang w:val="en-AU"/>
        </w:rPr>
        <w:t>as a food additive</w:t>
      </w:r>
      <w:r>
        <w:rPr>
          <w:lang w:val="en-AU"/>
        </w:rPr>
        <w:t xml:space="preserve">. At its last consideration, the </w:t>
      </w:r>
      <w:r w:rsidRPr="0093408E">
        <w:t>35</w:t>
      </w:r>
      <w:r w:rsidRPr="0093408E">
        <w:rPr>
          <w:vertAlign w:val="superscript"/>
        </w:rPr>
        <w:t>th</w:t>
      </w:r>
      <w:r w:rsidRPr="0093408E">
        <w:t xml:space="preserve"> meeting</w:t>
      </w:r>
      <w:r>
        <w:t xml:space="preserve"> of </w:t>
      </w:r>
      <w:r>
        <w:rPr>
          <w:lang w:val="en-AU"/>
        </w:rPr>
        <w:t>t</w:t>
      </w:r>
      <w:r w:rsidRPr="0093408E">
        <w:t>he Joint FAO/WHO Expert Committee on Food Additives (JECFA</w:t>
      </w:r>
      <w:r>
        <w:t xml:space="preserve">) </w:t>
      </w:r>
      <w:r w:rsidRPr="0093408E">
        <w:rPr>
          <w:lang w:val="en-AU"/>
        </w:rPr>
        <w:t>established a</w:t>
      </w:r>
      <w:r>
        <w:rPr>
          <w:lang w:val="en-AU"/>
        </w:rPr>
        <w:t>n</w:t>
      </w:r>
      <w:r w:rsidRPr="0093408E">
        <w:rPr>
          <w:lang w:val="en-AU"/>
        </w:rPr>
        <w:t xml:space="preserve"> Acceptable Daily Intake (ADI) of ‘not specified’ for </w:t>
      </w:r>
      <w:r>
        <w:rPr>
          <w:lang w:val="en-AU"/>
        </w:rPr>
        <w:t>CMC</w:t>
      </w:r>
      <w:r>
        <w:t xml:space="preserve"> (WHO 1990)</w:t>
      </w:r>
      <w:r w:rsidRPr="0093408E">
        <w:rPr>
          <w:lang w:val="en-AU"/>
        </w:rPr>
        <w:t>. An ADI of ‘not specified’ is</w:t>
      </w:r>
      <w:r w:rsidRPr="0093408E">
        <w:t xml:space="preserve"> applicable to a substance of very low toxicity which, on the basis of the available data (chemical, biochemical, toxicological, and other) and the total daily intake of the substance arising from its use or uses at the levels necessary to achieve the desired effect, does not represent a hazard to health. </w:t>
      </w:r>
      <w:r w:rsidR="00D77542">
        <w:t>In such cases</w:t>
      </w:r>
      <w:r w:rsidR="00843959">
        <w:t>,</w:t>
      </w:r>
      <w:r w:rsidRPr="0093408E">
        <w:t xml:space="preserve"> establishment of an ADI expressed in numerical form is not </w:t>
      </w:r>
      <w:r>
        <w:t>considered</w:t>
      </w:r>
      <w:r w:rsidRPr="0093408E">
        <w:t xml:space="preserve"> necessary.</w:t>
      </w:r>
      <w:r>
        <w:t xml:space="preserve"> </w:t>
      </w:r>
    </w:p>
    <w:p w:rsidR="00706E08" w:rsidRDefault="00706E08" w:rsidP="007A1657"/>
    <w:p w:rsidR="00706E08" w:rsidRDefault="007A1657" w:rsidP="007A1657">
      <w:r>
        <w:t>FSANZ agrees with this assessment. Based on the maximum proposed use level stated in the Application (100 mg/L)</w:t>
      </w:r>
      <w:r w:rsidR="00843959">
        <w:t>,</w:t>
      </w:r>
      <w:r>
        <w:t xml:space="preserve"> a 750 mL bottle of wine will only contain a small amount (75 mg) of </w:t>
      </w:r>
      <w:r w:rsidR="00030A10">
        <w:t xml:space="preserve">sodium </w:t>
      </w:r>
      <w:r>
        <w:t>CMC.</w:t>
      </w:r>
      <w:r w:rsidR="00706E08">
        <w:br w:type="page"/>
      </w:r>
    </w:p>
    <w:p w:rsidR="007A1657" w:rsidRDefault="007A1657" w:rsidP="007A1657">
      <w:pPr>
        <w:rPr>
          <w:lang w:val="en-AU"/>
        </w:rPr>
      </w:pPr>
      <w:r>
        <w:lastRenderedPageBreak/>
        <w:t>There are no reports of allergy to</w:t>
      </w:r>
      <w:r w:rsidR="00030A10">
        <w:t xml:space="preserve"> sodium</w:t>
      </w:r>
      <w:r>
        <w:t xml:space="preserve"> </w:t>
      </w:r>
      <w:r>
        <w:rPr>
          <w:lang w:val="en-AU"/>
        </w:rPr>
        <w:t>CMC in food (</w:t>
      </w:r>
      <w:r w:rsidRPr="005E7C91">
        <w:rPr>
          <w:lang w:val="en-AU"/>
        </w:rPr>
        <w:t>Dumond</w:t>
      </w:r>
      <w:r>
        <w:rPr>
          <w:lang w:val="en-AU"/>
        </w:rPr>
        <w:t xml:space="preserve"> et al, 2009). </w:t>
      </w:r>
    </w:p>
    <w:p w:rsidR="007A1657" w:rsidRPr="00A566CF" w:rsidRDefault="007A1657" w:rsidP="007A1657">
      <w:pPr>
        <w:rPr>
          <w:lang w:val="en-AU"/>
        </w:rPr>
      </w:pPr>
    </w:p>
    <w:p w:rsidR="007A1657" w:rsidRDefault="007A1657" w:rsidP="007A1657">
      <w:pPr>
        <w:widowControl/>
        <w:rPr>
          <w:rFonts w:cs="Arial"/>
          <w:szCs w:val="22"/>
        </w:rPr>
      </w:pPr>
      <w:r>
        <w:rPr>
          <w:rFonts w:cs="Arial"/>
          <w:szCs w:val="22"/>
        </w:rPr>
        <w:t xml:space="preserve">Evidence presented in support of the Application provided adequate assurance that </w:t>
      </w:r>
      <w:r>
        <w:rPr>
          <w:rFonts w:cs="Arial"/>
        </w:rPr>
        <w:t xml:space="preserve">the additive </w:t>
      </w:r>
      <w:r>
        <w:rPr>
          <w:rFonts w:cs="Arial"/>
          <w:szCs w:val="22"/>
        </w:rPr>
        <w:t>is technologically justified and has been demonstrated to be effective in achieving its stated purpose</w:t>
      </w:r>
      <w:r w:rsidRPr="0098747C">
        <w:rPr>
          <w:rFonts w:cs="Arial"/>
          <w:szCs w:val="22"/>
        </w:rPr>
        <w:t xml:space="preserve">.  </w:t>
      </w:r>
      <w:r>
        <w:rPr>
          <w:rFonts w:cs="Arial"/>
          <w:szCs w:val="22"/>
        </w:rPr>
        <w:t>In addition</w:t>
      </w:r>
      <w:r w:rsidR="00843959">
        <w:rPr>
          <w:rFonts w:cs="Arial"/>
          <w:szCs w:val="22"/>
        </w:rPr>
        <w:t>,</w:t>
      </w:r>
      <w:r>
        <w:rPr>
          <w:rFonts w:cs="Arial"/>
          <w:szCs w:val="22"/>
        </w:rPr>
        <w:t xml:space="preserve"> the Application </w:t>
      </w:r>
      <w:r w:rsidRPr="00221FEA">
        <w:rPr>
          <w:rFonts w:cs="Arial"/>
          <w:szCs w:val="22"/>
        </w:rPr>
        <w:t xml:space="preserve">explains </w:t>
      </w:r>
      <w:r w:rsidRPr="0098747C">
        <w:rPr>
          <w:rFonts w:cs="Arial"/>
          <w:szCs w:val="22"/>
        </w:rPr>
        <w:t xml:space="preserve">that </w:t>
      </w:r>
      <w:r w:rsidRPr="00221FEA">
        <w:rPr>
          <w:rFonts w:cs="Arial"/>
          <w:szCs w:val="22"/>
        </w:rPr>
        <w:t xml:space="preserve">the use of </w:t>
      </w:r>
      <w:r w:rsidR="00234296">
        <w:rPr>
          <w:rFonts w:cs="Arial"/>
          <w:szCs w:val="22"/>
        </w:rPr>
        <w:t xml:space="preserve">sodium </w:t>
      </w:r>
      <w:r w:rsidRPr="00221FEA">
        <w:rPr>
          <w:rFonts w:cs="Arial"/>
          <w:szCs w:val="22"/>
        </w:rPr>
        <w:t xml:space="preserve">CMC in wine for tartrate crystal control has economic benefits over other available methods as it does not require energy dependent steps such </w:t>
      </w:r>
      <w:r w:rsidR="00843959">
        <w:rPr>
          <w:rFonts w:cs="Arial"/>
          <w:szCs w:val="22"/>
        </w:rPr>
        <w:t xml:space="preserve">as </w:t>
      </w:r>
      <w:r w:rsidRPr="00221FEA">
        <w:rPr>
          <w:rFonts w:cs="Arial"/>
          <w:szCs w:val="22"/>
        </w:rPr>
        <w:t>chilling or filtration.</w:t>
      </w:r>
      <w:r>
        <w:rPr>
          <w:rFonts w:cs="Arial"/>
          <w:szCs w:val="22"/>
        </w:rPr>
        <w:t xml:space="preserve"> </w:t>
      </w:r>
    </w:p>
    <w:p w:rsidR="007A1657" w:rsidRDefault="007A1657" w:rsidP="007A1657">
      <w:pPr>
        <w:widowControl/>
      </w:pPr>
    </w:p>
    <w:p w:rsidR="007A1657" w:rsidRDefault="00234296" w:rsidP="007A1657">
      <w:pPr>
        <w:widowControl/>
        <w:rPr>
          <w:rFonts w:cs="Arial"/>
          <w:szCs w:val="22"/>
        </w:rPr>
      </w:pPr>
      <w:r>
        <w:rPr>
          <w:rFonts w:cs="Arial"/>
          <w:szCs w:val="22"/>
        </w:rPr>
        <w:t xml:space="preserve">Sodium </w:t>
      </w:r>
      <w:r w:rsidR="007A1657">
        <w:rPr>
          <w:rFonts w:cs="Arial"/>
          <w:szCs w:val="22"/>
        </w:rPr>
        <w:t>CMC is currently approved for other foods</w:t>
      </w:r>
      <w:r w:rsidR="00D77542">
        <w:rPr>
          <w:rFonts w:cs="Arial"/>
          <w:szCs w:val="22"/>
        </w:rPr>
        <w:t>.</w:t>
      </w:r>
      <w:r w:rsidR="007A1657">
        <w:rPr>
          <w:rFonts w:cs="Arial"/>
          <w:szCs w:val="22"/>
        </w:rPr>
        <w:t xml:space="preserve"> </w:t>
      </w:r>
      <w:r w:rsidR="00D77542">
        <w:rPr>
          <w:rFonts w:cs="Arial"/>
          <w:szCs w:val="22"/>
        </w:rPr>
        <w:t>N</w:t>
      </w:r>
      <w:r w:rsidR="007A1657">
        <w:rPr>
          <w:rFonts w:cs="Arial"/>
          <w:szCs w:val="22"/>
        </w:rPr>
        <w:t>o amendments to the specification are required.</w:t>
      </w:r>
    </w:p>
    <w:p w:rsidR="007A1657" w:rsidRDefault="007A1657" w:rsidP="007A1657">
      <w:pPr>
        <w:widowControl/>
      </w:pPr>
    </w:p>
    <w:p w:rsidR="007A1657" w:rsidRDefault="007A1657" w:rsidP="007A1657">
      <w:pPr>
        <w:pStyle w:val="Heading3"/>
        <w:keepLines/>
        <w:widowControl/>
      </w:pPr>
      <w:bookmarkStart w:id="61" w:name="_Toc294176148"/>
      <w:bookmarkStart w:id="62" w:name="_Toc304883947"/>
      <w:r>
        <w:t>5.2</w:t>
      </w:r>
      <w:r>
        <w:tab/>
        <w:t>Conclusions</w:t>
      </w:r>
      <w:bookmarkEnd w:id="61"/>
      <w:bookmarkEnd w:id="62"/>
    </w:p>
    <w:p w:rsidR="00A030EE" w:rsidRPr="00A030EE" w:rsidRDefault="00A030EE" w:rsidP="00A030EE"/>
    <w:p w:rsidR="007A1657" w:rsidRDefault="007A1657" w:rsidP="007A1657">
      <w:pPr>
        <w:keepNext/>
        <w:keepLines/>
        <w:widowControl/>
      </w:pPr>
      <w:r>
        <w:rPr>
          <w:rFonts w:cs="Arial"/>
        </w:rPr>
        <w:t xml:space="preserve">The FSANZ overall conclusion of this risk and technical assessment is that </w:t>
      </w:r>
      <w:r>
        <w:t xml:space="preserve">the use of </w:t>
      </w:r>
      <w:r w:rsidR="00234296">
        <w:t xml:space="preserve">sodium </w:t>
      </w:r>
      <w:r>
        <w:rPr>
          <w:rFonts w:cs="Arial"/>
        </w:rPr>
        <w:t xml:space="preserve">CMC as an additive in wine is </w:t>
      </w:r>
      <w:r>
        <w:t>technologically justified, is effective at the maximum expected use level in wine of 100 mg/L, and raises no public health or safety issues.</w:t>
      </w:r>
    </w:p>
    <w:p w:rsidR="00C92E07" w:rsidRPr="00DC6570" w:rsidRDefault="00C92E07">
      <w:pPr>
        <w:rPr>
          <w:rFonts w:cs="Arial"/>
        </w:rPr>
      </w:pPr>
    </w:p>
    <w:p w:rsidR="003C4969" w:rsidRPr="00DC6570" w:rsidRDefault="00807559" w:rsidP="001C27A3">
      <w:pPr>
        <w:pStyle w:val="Heading1"/>
      </w:pPr>
      <w:bookmarkStart w:id="63" w:name="_Toc304883948"/>
      <w:r>
        <w:t>Risk M</w:t>
      </w:r>
      <w:r w:rsidR="003C4969" w:rsidRPr="00DC6570">
        <w:t>anagement</w:t>
      </w:r>
      <w:bookmarkEnd w:id="63"/>
    </w:p>
    <w:p w:rsidR="00D60568" w:rsidRPr="00481AFD" w:rsidRDefault="00D60568" w:rsidP="00D60568">
      <w:pPr>
        <w:rPr>
          <w:rFonts w:cs="Arial"/>
        </w:rPr>
      </w:pPr>
    </w:p>
    <w:p w:rsidR="007A1657" w:rsidRDefault="007A1657" w:rsidP="007A1657">
      <w:pPr>
        <w:pStyle w:val="Heading2"/>
      </w:pPr>
      <w:bookmarkStart w:id="64" w:name="_Toc294176150"/>
      <w:bookmarkStart w:id="65" w:name="_Toc304883949"/>
      <w:bookmarkStart w:id="66" w:name="_Toc282501824"/>
      <w:r>
        <w:t>6.</w:t>
      </w:r>
      <w:r w:rsidRPr="00DC6570">
        <w:tab/>
      </w:r>
      <w:r>
        <w:t>Risk Management Issues</w:t>
      </w:r>
      <w:bookmarkEnd w:id="64"/>
      <w:bookmarkEnd w:id="65"/>
    </w:p>
    <w:p w:rsidR="007A1657" w:rsidRPr="007A1657" w:rsidRDefault="007A1657" w:rsidP="007A1657"/>
    <w:bookmarkEnd w:id="66"/>
    <w:p w:rsidR="007A1657" w:rsidRPr="004A5693" w:rsidRDefault="007A1657" w:rsidP="007A1657">
      <w:pPr>
        <w:keepNext/>
        <w:keepLines/>
        <w:rPr>
          <w:rFonts w:cs="Arial"/>
          <w:szCs w:val="22"/>
        </w:rPr>
      </w:pPr>
      <w:r w:rsidRPr="004A5693">
        <w:t xml:space="preserve">FSANZ’s regulatory approach differs depending on the nature of the risks identified and there are a number of approaches used to manage identified risks. These may include prescribing specifications for the identity and purity of the substance, compositional and/or labelling requirements, and where necessary, restriction or prohibition. </w:t>
      </w:r>
      <w:r w:rsidRPr="004A5693">
        <w:rPr>
          <w:rFonts w:cs="Arial"/>
          <w:szCs w:val="22"/>
          <w:lang w:eastAsia="en-GB"/>
        </w:rPr>
        <w:t xml:space="preserve">Drawing on the conclusions from the risk assessment, the following sections discuss other broader issues requiring consideration in the development of regulations for addition of </w:t>
      </w:r>
      <w:r w:rsidR="00234296" w:rsidRPr="004A5693">
        <w:rPr>
          <w:rFonts w:cs="Arial"/>
          <w:szCs w:val="22"/>
          <w:lang w:eastAsia="en-GB"/>
        </w:rPr>
        <w:t xml:space="preserve">sodium </w:t>
      </w:r>
      <w:r w:rsidRPr="004A5693">
        <w:rPr>
          <w:rFonts w:cs="Arial"/>
          <w:szCs w:val="22"/>
          <w:lang w:eastAsia="en-GB"/>
        </w:rPr>
        <w:t xml:space="preserve">CMC to wine. </w:t>
      </w:r>
    </w:p>
    <w:p w:rsidR="007A1657" w:rsidRDefault="007A1657" w:rsidP="007A1657"/>
    <w:p w:rsidR="007A1657" w:rsidRDefault="007A1657" w:rsidP="007A1657">
      <w:pPr>
        <w:pStyle w:val="StyleHeading3FSHeading3Left0cmFirstline0cm"/>
      </w:pPr>
      <w:bookmarkStart w:id="67" w:name="_Toc294176154"/>
      <w:bookmarkStart w:id="68" w:name="_Toc304883950"/>
      <w:bookmarkStart w:id="69" w:name="_Toc282501828"/>
      <w:r>
        <w:t>6.</w:t>
      </w:r>
      <w:r w:rsidR="00D5012D">
        <w:t>1</w:t>
      </w:r>
      <w:r>
        <w:tab/>
        <w:t xml:space="preserve">Specifications for </w:t>
      </w:r>
      <w:r w:rsidR="00194D46">
        <w:t xml:space="preserve">sodium </w:t>
      </w:r>
      <w:r>
        <w:t>CMC</w:t>
      </w:r>
      <w:bookmarkEnd w:id="67"/>
      <w:bookmarkEnd w:id="68"/>
      <w:r>
        <w:t xml:space="preserve"> </w:t>
      </w:r>
    </w:p>
    <w:bookmarkEnd w:id="69"/>
    <w:p w:rsidR="007A1657" w:rsidRDefault="007A1657" w:rsidP="007A1657"/>
    <w:p w:rsidR="007A1657" w:rsidRDefault="007A1657" w:rsidP="007A1657">
      <w:r w:rsidRPr="004548DA">
        <w:t>Standard 1.3.4 – Identity and Purity adopts specifications for food additives (and other substances in foods) by reference to specific sources, including specifications established by JECFA</w:t>
      </w:r>
      <w:r>
        <w:t xml:space="preserve">. </w:t>
      </w:r>
    </w:p>
    <w:p w:rsidR="007A1657" w:rsidRDefault="007A1657" w:rsidP="007A1657"/>
    <w:p w:rsidR="007A1657" w:rsidRPr="004548DA" w:rsidRDefault="007A1657" w:rsidP="007A1657">
      <w:r w:rsidRPr="004548DA">
        <w:t xml:space="preserve">The purpose of Standard 1.3.4 is to regulate the identity and purity of substances. </w:t>
      </w:r>
    </w:p>
    <w:p w:rsidR="007A1657" w:rsidRDefault="007A1657" w:rsidP="007A1657">
      <w:pPr>
        <w:rPr>
          <w:rFonts w:cs="Arial"/>
          <w:szCs w:val="22"/>
        </w:rPr>
      </w:pPr>
      <w:r>
        <w:rPr>
          <w:rFonts w:cs="Arial"/>
          <w:szCs w:val="22"/>
        </w:rPr>
        <w:t xml:space="preserve">As </w:t>
      </w:r>
      <w:r w:rsidR="00234296">
        <w:rPr>
          <w:rFonts w:cs="Arial"/>
          <w:szCs w:val="22"/>
        </w:rPr>
        <w:t xml:space="preserve">sodium </w:t>
      </w:r>
      <w:r>
        <w:rPr>
          <w:rFonts w:cs="Arial"/>
          <w:szCs w:val="22"/>
        </w:rPr>
        <w:t xml:space="preserve">CMC is not a novel additive, and a JECFA specification (JECFA 2006) already exists, no amendment to the specification is considered necessary. </w:t>
      </w:r>
    </w:p>
    <w:p w:rsidR="007A1657" w:rsidRDefault="007A1657" w:rsidP="007A1657"/>
    <w:p w:rsidR="007A1657" w:rsidRDefault="007A1657" w:rsidP="007A1657">
      <w:pPr>
        <w:pStyle w:val="StyleHeading3FSHeading3Left0cmFirstline0cm"/>
      </w:pPr>
      <w:bookmarkStart w:id="70" w:name="_Toc294176155"/>
      <w:bookmarkStart w:id="71" w:name="_Toc304883951"/>
      <w:r>
        <w:t>6.</w:t>
      </w:r>
      <w:r w:rsidR="00D5012D">
        <w:t>2</w:t>
      </w:r>
      <w:r>
        <w:tab/>
        <w:t>Methods of analysis</w:t>
      </w:r>
      <w:bookmarkEnd w:id="70"/>
      <w:bookmarkEnd w:id="71"/>
    </w:p>
    <w:p w:rsidR="007A1657" w:rsidRDefault="007A1657" w:rsidP="007A1657">
      <w:pPr>
        <w:rPr>
          <w:rFonts w:ascii="Arial Bold" w:hAnsi="Arial Bold" w:cs="Arial"/>
          <w:b/>
          <w:bCs/>
          <w:szCs w:val="26"/>
        </w:rPr>
      </w:pPr>
    </w:p>
    <w:p w:rsidR="00E312BF" w:rsidRDefault="007A1657" w:rsidP="007A1657">
      <w:pPr>
        <w:rPr>
          <w:rFonts w:cs="Arial"/>
          <w:szCs w:val="22"/>
          <w:lang w:val="en-AU"/>
        </w:rPr>
      </w:pPr>
      <w:r w:rsidRPr="00A64F29">
        <w:rPr>
          <w:rFonts w:cs="Arial"/>
          <w:szCs w:val="22"/>
          <w:lang w:val="en-AU"/>
        </w:rPr>
        <w:t xml:space="preserve">As FSANZ proposes to permit the use of </w:t>
      </w:r>
      <w:r w:rsidR="00234296">
        <w:rPr>
          <w:rFonts w:cs="Arial"/>
          <w:szCs w:val="22"/>
          <w:lang w:val="en-AU"/>
        </w:rPr>
        <w:t xml:space="preserve">sodium </w:t>
      </w:r>
      <w:r w:rsidRPr="00A64F29">
        <w:rPr>
          <w:rFonts w:cs="Arial"/>
          <w:szCs w:val="22"/>
          <w:lang w:val="en-AU"/>
        </w:rPr>
        <w:t>CMC in wine and sparkling wine at good manufacturing practice (GMP) levels, rather than set a specific maximum level</w:t>
      </w:r>
      <w:r w:rsidR="002D243E">
        <w:rPr>
          <w:rFonts w:cs="Arial"/>
          <w:szCs w:val="22"/>
          <w:lang w:val="en-AU"/>
        </w:rPr>
        <w:t>,</w:t>
      </w:r>
      <w:r w:rsidRPr="00A64F29">
        <w:rPr>
          <w:rFonts w:cs="Arial"/>
          <w:szCs w:val="22"/>
          <w:lang w:val="en-AU"/>
        </w:rPr>
        <w:t xml:space="preserve"> the provision of a specific analytical method for </w:t>
      </w:r>
      <w:r w:rsidR="00234296">
        <w:rPr>
          <w:rFonts w:cs="Arial"/>
          <w:szCs w:val="22"/>
          <w:lang w:val="en-AU"/>
        </w:rPr>
        <w:t xml:space="preserve">sodium </w:t>
      </w:r>
      <w:r w:rsidRPr="00A64F29">
        <w:rPr>
          <w:rFonts w:cs="Arial"/>
          <w:szCs w:val="22"/>
          <w:lang w:val="en-AU"/>
        </w:rPr>
        <w:t xml:space="preserve">CMC in wine is not necessary. </w:t>
      </w:r>
      <w:r w:rsidR="00E312BF">
        <w:rPr>
          <w:rFonts w:cs="Arial"/>
          <w:szCs w:val="22"/>
          <w:lang w:val="en-AU"/>
        </w:rPr>
        <w:t xml:space="preserve"> </w:t>
      </w:r>
    </w:p>
    <w:p w:rsidR="00E312BF" w:rsidRDefault="00E312BF" w:rsidP="007A1657">
      <w:pPr>
        <w:rPr>
          <w:rFonts w:cs="Arial"/>
          <w:szCs w:val="22"/>
          <w:lang w:val="en-AU"/>
        </w:rPr>
      </w:pPr>
    </w:p>
    <w:p w:rsidR="00D5012D" w:rsidRDefault="00D31889" w:rsidP="007A1657">
      <w:pPr>
        <w:rPr>
          <w:rFonts w:cs="Arial"/>
          <w:szCs w:val="22"/>
          <w:lang w:val="en-AU"/>
        </w:rPr>
      </w:pPr>
      <w:r>
        <w:rPr>
          <w:rFonts w:cs="Arial"/>
          <w:szCs w:val="22"/>
          <w:lang w:val="en-AU"/>
        </w:rPr>
        <w:t>FSANZ</w:t>
      </w:r>
      <w:r w:rsidR="00843959">
        <w:rPr>
          <w:rFonts w:cs="Arial"/>
          <w:szCs w:val="22"/>
          <w:lang w:val="en-AU"/>
        </w:rPr>
        <w:t>,</w:t>
      </w:r>
      <w:r w:rsidR="00E312BF">
        <w:rPr>
          <w:rFonts w:cs="Arial"/>
          <w:szCs w:val="22"/>
          <w:lang w:val="en-AU"/>
        </w:rPr>
        <w:t xml:space="preserve"> </w:t>
      </w:r>
      <w:r w:rsidR="00791B59">
        <w:rPr>
          <w:rFonts w:cs="Arial"/>
          <w:szCs w:val="22"/>
          <w:lang w:val="en-AU"/>
        </w:rPr>
        <w:t>however</w:t>
      </w:r>
      <w:r w:rsidR="00E312BF">
        <w:rPr>
          <w:rFonts w:cs="Arial"/>
          <w:szCs w:val="22"/>
          <w:lang w:val="en-AU"/>
        </w:rPr>
        <w:t xml:space="preserve"> </w:t>
      </w:r>
      <w:r w:rsidR="005934F6">
        <w:rPr>
          <w:rFonts w:cs="Arial"/>
          <w:szCs w:val="22"/>
          <w:lang w:val="en-AU"/>
        </w:rPr>
        <w:t xml:space="preserve">notes that </w:t>
      </w:r>
      <w:r w:rsidR="007A1657" w:rsidRPr="00A64F29">
        <w:rPr>
          <w:rFonts w:cs="Arial"/>
          <w:szCs w:val="22"/>
          <w:lang w:val="en-AU"/>
        </w:rPr>
        <w:t xml:space="preserve">a 2010 OIV Resolution (OIV 2010) provides a method for the determination of </w:t>
      </w:r>
      <w:r w:rsidR="00234296">
        <w:rPr>
          <w:rFonts w:cs="Arial"/>
          <w:szCs w:val="22"/>
          <w:lang w:val="en-AU"/>
        </w:rPr>
        <w:t xml:space="preserve">sodium </w:t>
      </w:r>
      <w:r w:rsidR="007A1657" w:rsidRPr="00A64F29">
        <w:rPr>
          <w:rFonts w:cs="Arial"/>
          <w:szCs w:val="22"/>
          <w:lang w:val="en-AU"/>
        </w:rPr>
        <w:t>CMC in white wines</w:t>
      </w:r>
      <w:r w:rsidR="00C47546">
        <w:rPr>
          <w:rFonts w:cs="Arial"/>
          <w:szCs w:val="22"/>
          <w:lang w:val="en-AU"/>
        </w:rPr>
        <w:t xml:space="preserve"> </w:t>
      </w:r>
      <w:r w:rsidR="00C47546" w:rsidRPr="002E3D1A">
        <w:rPr>
          <w:rFonts w:cs="Arial"/>
          <w:szCs w:val="22"/>
          <w:lang w:val="en-AU"/>
        </w:rPr>
        <w:t xml:space="preserve">and the JECFA </w:t>
      </w:r>
      <w:r w:rsidR="00715C2E">
        <w:rPr>
          <w:rFonts w:cs="Arial"/>
          <w:szCs w:val="22"/>
          <w:lang w:val="en-AU"/>
        </w:rPr>
        <w:t xml:space="preserve">specification </w:t>
      </w:r>
      <w:r w:rsidR="00C47546" w:rsidRPr="002E3D1A">
        <w:rPr>
          <w:rFonts w:cs="Arial"/>
          <w:szCs w:val="22"/>
          <w:lang w:val="en-AU"/>
        </w:rPr>
        <w:t>(</w:t>
      </w:r>
      <w:r w:rsidR="00715C2E">
        <w:rPr>
          <w:rFonts w:cs="Arial"/>
          <w:szCs w:val="22"/>
          <w:lang w:val="en-AU"/>
        </w:rPr>
        <w:t xml:space="preserve">JECFA </w:t>
      </w:r>
      <w:r w:rsidR="00C47546" w:rsidRPr="002E3D1A">
        <w:rPr>
          <w:rFonts w:cs="Arial"/>
          <w:szCs w:val="22"/>
          <w:lang w:val="en-AU"/>
        </w:rPr>
        <w:t xml:space="preserve">2006) provides a specification for </w:t>
      </w:r>
      <w:r w:rsidR="00234296">
        <w:rPr>
          <w:rFonts w:cs="Arial"/>
          <w:szCs w:val="22"/>
          <w:lang w:val="en-AU"/>
        </w:rPr>
        <w:t xml:space="preserve">sodium </w:t>
      </w:r>
      <w:r w:rsidR="00C47546" w:rsidRPr="002E3D1A">
        <w:rPr>
          <w:rFonts w:cs="Arial"/>
          <w:szCs w:val="22"/>
          <w:lang w:val="en-AU"/>
        </w:rPr>
        <w:t>CMC itself</w:t>
      </w:r>
      <w:r w:rsidR="00DF75C5" w:rsidRPr="002E3D1A">
        <w:rPr>
          <w:rFonts w:cs="Arial"/>
          <w:szCs w:val="22"/>
          <w:lang w:val="en-AU"/>
        </w:rPr>
        <w:t>.</w:t>
      </w:r>
      <w:r w:rsidR="007A1657" w:rsidRPr="00A64F29">
        <w:rPr>
          <w:rFonts w:cs="Arial"/>
          <w:szCs w:val="22"/>
          <w:lang w:val="en-AU"/>
        </w:rPr>
        <w:t xml:space="preserve"> </w:t>
      </w:r>
    </w:p>
    <w:p w:rsidR="00706E08" w:rsidRDefault="00706E08">
      <w:pPr>
        <w:widowControl/>
        <w:rPr>
          <w:rFonts w:cs="Arial"/>
          <w:szCs w:val="22"/>
          <w:lang w:val="en-AU"/>
        </w:rPr>
      </w:pPr>
    </w:p>
    <w:p w:rsidR="00D5012D" w:rsidRDefault="00D5012D" w:rsidP="00D5012D">
      <w:pPr>
        <w:pStyle w:val="StyleHeading3FSHeading3Left0cmFirstline0cm"/>
      </w:pPr>
      <w:bookmarkStart w:id="72" w:name="_Toc227663695"/>
      <w:bookmarkStart w:id="73" w:name="_Toc239150679"/>
      <w:bookmarkStart w:id="74" w:name="_Toc282501827"/>
      <w:bookmarkStart w:id="75" w:name="_Toc294176153"/>
      <w:bookmarkStart w:id="76" w:name="_Toc304883952"/>
      <w:r w:rsidRPr="00684319">
        <w:t>6.</w:t>
      </w:r>
      <w:r>
        <w:t>3</w:t>
      </w:r>
      <w:r>
        <w:tab/>
        <w:t>Labelling of sodium CMC-containing wine products</w:t>
      </w:r>
      <w:bookmarkEnd w:id="72"/>
      <w:bookmarkEnd w:id="73"/>
      <w:bookmarkEnd w:id="74"/>
      <w:bookmarkEnd w:id="75"/>
      <w:bookmarkEnd w:id="76"/>
      <w:r>
        <w:t xml:space="preserve"> </w:t>
      </w:r>
    </w:p>
    <w:p w:rsidR="00D5012D" w:rsidRDefault="00D5012D" w:rsidP="00D5012D"/>
    <w:p w:rsidR="00D5012D" w:rsidRDefault="00D5012D" w:rsidP="00D5012D">
      <w:r w:rsidRPr="0098100E">
        <w:t xml:space="preserve">Labelling provisions are included within the Code to protect public health and safety and to provide </w:t>
      </w:r>
      <w:r>
        <w:t xml:space="preserve">adequate </w:t>
      </w:r>
      <w:r w:rsidRPr="0098100E">
        <w:t xml:space="preserve">information </w:t>
      </w:r>
      <w:r>
        <w:t>to enable</w:t>
      </w:r>
      <w:r w:rsidRPr="0098100E">
        <w:t xml:space="preserve"> consumers</w:t>
      </w:r>
      <w:r>
        <w:t xml:space="preserve"> to make informed choices. </w:t>
      </w:r>
    </w:p>
    <w:p w:rsidR="00706E08" w:rsidRDefault="00706E08" w:rsidP="00D5012D">
      <w:r>
        <w:br w:type="page"/>
      </w:r>
    </w:p>
    <w:p w:rsidR="00D5012D" w:rsidRDefault="00D5012D" w:rsidP="00D5012D">
      <w:pPr>
        <w:autoSpaceDE w:val="0"/>
        <w:autoSpaceDN w:val="0"/>
        <w:rPr>
          <w:rFonts w:ascii="Calibri" w:hAnsi="Calibri"/>
        </w:rPr>
      </w:pPr>
      <w:r>
        <w:rPr>
          <w:rFonts w:cs="Arial"/>
        </w:rPr>
        <w:lastRenderedPageBreak/>
        <w:t xml:space="preserve">Under subclause 2(b) of Standard 1.2.4 – </w:t>
      </w:r>
      <w:r w:rsidRPr="00D420B0">
        <w:rPr>
          <w:rFonts w:cs="Arial"/>
          <w:iCs/>
        </w:rPr>
        <w:t>Labelling of Ingredients</w:t>
      </w:r>
      <w:r>
        <w:rPr>
          <w:rFonts w:cs="Arial"/>
        </w:rPr>
        <w:t xml:space="preserve">, alcoholic beverages standardised in Standard 2.7.2 to Standard 2.7.5 are exempt from ingredient labelling including food additives. Wine and sparkling wine are standardised in Standard 2.7.4 – </w:t>
      </w:r>
      <w:r w:rsidRPr="008C21EF">
        <w:rPr>
          <w:rFonts w:cs="Arial"/>
          <w:iCs/>
        </w:rPr>
        <w:t>Wine and Wine Product</w:t>
      </w:r>
      <w:r>
        <w:rPr>
          <w:rFonts w:cs="Arial"/>
        </w:rPr>
        <w:t xml:space="preserve">. Therefore, as with any other additive that is not allergenic or genetically modified, sodium CMC would not be required to be declared on the label. </w:t>
      </w:r>
    </w:p>
    <w:p w:rsidR="007A1657" w:rsidRDefault="007A1657" w:rsidP="007A1657">
      <w:pPr>
        <w:rPr>
          <w:rFonts w:cs="Arial"/>
          <w:szCs w:val="22"/>
          <w:highlight w:val="yellow"/>
          <w:lang w:val="en-AU"/>
        </w:rPr>
      </w:pPr>
    </w:p>
    <w:p w:rsidR="007A1657" w:rsidRDefault="007A1657" w:rsidP="007A1657">
      <w:pPr>
        <w:pStyle w:val="StyleHeading3FSHeading3Left0cmFirstline0cm"/>
      </w:pPr>
      <w:bookmarkStart w:id="77" w:name="_Toc294176157"/>
      <w:bookmarkStart w:id="78" w:name="_Toc304883953"/>
      <w:bookmarkStart w:id="79" w:name="_Toc282501830"/>
      <w:r>
        <w:t>6.</w:t>
      </w:r>
      <w:r w:rsidR="00D5012D">
        <w:t>4</w:t>
      </w:r>
      <w:r>
        <w:tab/>
        <w:t>Risk Management Strategy</w:t>
      </w:r>
      <w:bookmarkEnd w:id="77"/>
      <w:bookmarkEnd w:id="78"/>
    </w:p>
    <w:bookmarkEnd w:id="79"/>
    <w:p w:rsidR="007A1657" w:rsidRDefault="007A1657" w:rsidP="007A1657"/>
    <w:p w:rsidR="007A1657" w:rsidRDefault="007A1657" w:rsidP="007A1657">
      <w:r>
        <w:t xml:space="preserve">This application </w:t>
      </w:r>
      <w:r w:rsidR="008C21EF">
        <w:t xml:space="preserve">sought </w:t>
      </w:r>
      <w:r>
        <w:t xml:space="preserve">permission for </w:t>
      </w:r>
      <w:r w:rsidR="00234296">
        <w:t xml:space="preserve">sodium </w:t>
      </w:r>
      <w:r>
        <w:t xml:space="preserve">CMC to be used in wine and sparkling wine but not fortified wine. Therefore, consistent with this request, FSANZ is proposing to permit the use of </w:t>
      </w:r>
      <w:r w:rsidR="00234296">
        <w:t xml:space="preserve">sodium </w:t>
      </w:r>
      <w:r>
        <w:t>CMC in wine and sparkling wine but not fortified wine. This is also consistent with the OIV resolution (OIV 2009) and the current EU approval (EU 2009). The la</w:t>
      </w:r>
      <w:r w:rsidR="00843959">
        <w:t>t</w:t>
      </w:r>
      <w:r>
        <w:t xml:space="preserve">ter point is important as one of the justifications the Applicant has made for the use of </w:t>
      </w:r>
      <w:r w:rsidR="00234296">
        <w:t xml:space="preserve">sodium </w:t>
      </w:r>
      <w:r>
        <w:t xml:space="preserve">CMC in </w:t>
      </w:r>
      <w:r w:rsidRPr="00671158">
        <w:t>wine is to allow EU produced wines which contain</w:t>
      </w:r>
      <w:r w:rsidR="00234296" w:rsidRPr="00671158">
        <w:t xml:space="preserve"> sodium </w:t>
      </w:r>
      <w:r w:rsidRPr="00671158">
        <w:t xml:space="preserve">CMC to be imported into Australia and New Zealand. </w:t>
      </w:r>
    </w:p>
    <w:p w:rsidR="00D5012D" w:rsidRDefault="00D5012D" w:rsidP="007A1657"/>
    <w:p w:rsidR="00D5012D" w:rsidRDefault="002C2E2F" w:rsidP="00D5012D">
      <w:pPr>
        <w:pStyle w:val="StyleHeading3FSHeading3Left0cmFirstline0cm"/>
      </w:pPr>
      <w:bookmarkStart w:id="80" w:name="_Toc294176152"/>
      <w:bookmarkStart w:id="81" w:name="_Toc304883954"/>
      <w:bookmarkStart w:id="82" w:name="_Toc239150678"/>
      <w:bookmarkStart w:id="83" w:name="_Toc282501826"/>
      <w:r>
        <w:t>6.5</w:t>
      </w:r>
      <w:r w:rsidR="00D5012D">
        <w:tab/>
        <w:t>Consistency with Policy Guidelines</w:t>
      </w:r>
      <w:bookmarkEnd w:id="80"/>
      <w:bookmarkEnd w:id="81"/>
      <w:r w:rsidR="00D5012D">
        <w:t xml:space="preserve"> </w:t>
      </w:r>
    </w:p>
    <w:bookmarkEnd w:id="82"/>
    <w:bookmarkEnd w:id="83"/>
    <w:p w:rsidR="00D5012D" w:rsidRPr="00350B93" w:rsidRDefault="00D5012D" w:rsidP="00D5012D">
      <w:pPr>
        <w:rPr>
          <w:rFonts w:cs="Arial"/>
        </w:rPr>
      </w:pPr>
    </w:p>
    <w:p w:rsidR="00D5012D" w:rsidRPr="00350B93" w:rsidRDefault="00D5012D" w:rsidP="00D5012D">
      <w:r>
        <w:t>As noted in Section 3</w:t>
      </w:r>
      <w:r w:rsidRPr="00350B93">
        <w:t xml:space="preserve">, FSANZ is required to have regard to the Policy Guideline on the Addition of Substances other than Vitamins and Minerals to foods. </w:t>
      </w:r>
      <w:r w:rsidRPr="00350B93">
        <w:rPr>
          <w:szCs w:val="22"/>
        </w:rPr>
        <w:t>Si</w:t>
      </w:r>
      <w:r>
        <w:rPr>
          <w:szCs w:val="22"/>
        </w:rPr>
        <w:t xml:space="preserve">nce the purpose for addition of sodium CMC </w:t>
      </w:r>
      <w:r w:rsidRPr="00350B93">
        <w:t>to food falls under ‘Technological Function’, regard has been given particularly to the specific order policy principles for ‘Technological Function’.</w:t>
      </w:r>
    </w:p>
    <w:p w:rsidR="00D5012D" w:rsidRPr="00350B93" w:rsidRDefault="00D5012D" w:rsidP="00D5012D">
      <w:pPr>
        <w:rPr>
          <w:rFonts w:cs="Arial"/>
        </w:rPr>
      </w:pPr>
    </w:p>
    <w:p w:rsidR="00F92A8F" w:rsidRPr="00F92A8F" w:rsidRDefault="00D5012D" w:rsidP="00F92A8F">
      <w:pPr>
        <w:rPr>
          <w:rFonts w:cs="Arial"/>
          <w:color w:val="1F497D"/>
        </w:rPr>
      </w:pPr>
      <w:r w:rsidRPr="00350B93">
        <w:t>It has been determined that the Applicant provided a clear stated purpose,</w:t>
      </w:r>
      <w:r>
        <w:t xml:space="preserve"> sodium</w:t>
      </w:r>
      <w:r w:rsidRPr="00350B93">
        <w:t xml:space="preserve"> </w:t>
      </w:r>
      <w:r>
        <w:t>CMC</w:t>
      </w:r>
      <w:r w:rsidRPr="00350B93">
        <w:t xml:space="preserve"> is safe for human consumption, there is a clear technological function and </w:t>
      </w:r>
      <w:r>
        <w:t>sodium CMC</w:t>
      </w:r>
      <w:r w:rsidRPr="00350B93">
        <w:t xml:space="preserve"> is added in a quantity and form which is consistent with delivering the stated purpose. </w:t>
      </w:r>
      <w:r>
        <w:t xml:space="preserve">There </w:t>
      </w:r>
      <w:proofErr w:type="gramStart"/>
      <w:r>
        <w:t>are</w:t>
      </w:r>
      <w:proofErr w:type="gramEnd"/>
      <w:r>
        <w:t xml:space="preserve"> no proposed </w:t>
      </w:r>
      <w:r w:rsidRPr="00B47D88">
        <w:rPr>
          <w:lang w:val="en-AU"/>
        </w:rPr>
        <w:t>nutritio</w:t>
      </w:r>
      <w:r>
        <w:rPr>
          <w:lang w:val="en-AU"/>
        </w:rPr>
        <w:t xml:space="preserve">n, health or related claims </w:t>
      </w:r>
      <w:r w:rsidRPr="00B47D88">
        <w:rPr>
          <w:lang w:val="en-AU"/>
        </w:rPr>
        <w:t>to be made in regard to</w:t>
      </w:r>
      <w:r>
        <w:rPr>
          <w:lang w:val="en-AU"/>
        </w:rPr>
        <w:t xml:space="preserve"> sodium CMC.</w:t>
      </w:r>
      <w:r w:rsidRPr="00350B93">
        <w:t xml:space="preserve"> </w:t>
      </w:r>
      <w:r w:rsidR="00F92A8F">
        <w:t xml:space="preserve">Therefore, FSANZ concludes that the addition of sodium CMC to wine is consistent with the specific order policy principles </w:t>
      </w:r>
      <w:r w:rsidR="00F92A8F" w:rsidRPr="00F92A8F">
        <w:rPr>
          <w:bCs/>
        </w:rPr>
        <w:t>for the addition of substances having a technological function</w:t>
      </w:r>
      <w:r w:rsidR="00F92A8F" w:rsidRPr="00F92A8F">
        <w:t>.</w:t>
      </w:r>
    </w:p>
    <w:p w:rsidR="00D5012D" w:rsidRPr="00671158" w:rsidRDefault="00D5012D" w:rsidP="007A1657"/>
    <w:p w:rsidR="003C4969" w:rsidRPr="00671158" w:rsidRDefault="001C27A3" w:rsidP="001C27A3">
      <w:pPr>
        <w:pStyle w:val="Heading2"/>
      </w:pPr>
      <w:bookmarkStart w:id="84" w:name="_Toc11735636"/>
      <w:bookmarkStart w:id="85" w:name="_Toc29883121"/>
      <w:bookmarkStart w:id="86" w:name="_Toc41906808"/>
      <w:bookmarkStart w:id="87" w:name="_Toc41907555"/>
      <w:bookmarkStart w:id="88" w:name="_Toc120358586"/>
      <w:bookmarkStart w:id="89" w:name="_Toc304883955"/>
      <w:r w:rsidRPr="00671158">
        <w:t>7.</w:t>
      </w:r>
      <w:r w:rsidR="003C4969" w:rsidRPr="00671158">
        <w:tab/>
        <w:t>Options</w:t>
      </w:r>
      <w:bookmarkEnd w:id="84"/>
      <w:bookmarkEnd w:id="85"/>
      <w:bookmarkEnd w:id="86"/>
      <w:bookmarkEnd w:id="87"/>
      <w:bookmarkEnd w:id="88"/>
      <w:bookmarkEnd w:id="89"/>
      <w:r w:rsidR="003C4969" w:rsidRPr="00671158">
        <w:t xml:space="preserve"> </w:t>
      </w:r>
    </w:p>
    <w:p w:rsidR="007A1657" w:rsidRPr="00671158" w:rsidRDefault="007A1657" w:rsidP="007A1657">
      <w:pPr>
        <w:rPr>
          <w:rFonts w:cs="Arial"/>
        </w:rPr>
      </w:pPr>
    </w:p>
    <w:p w:rsidR="007A1657" w:rsidRPr="00534419" w:rsidRDefault="007A1657" w:rsidP="007A1657">
      <w:pPr>
        <w:rPr>
          <w:rFonts w:cs="Arial"/>
        </w:rPr>
      </w:pPr>
      <w:r w:rsidRPr="00671158">
        <w:rPr>
          <w:rFonts w:cs="Arial"/>
        </w:rPr>
        <w:t xml:space="preserve">Use of a new food </w:t>
      </w:r>
      <w:r>
        <w:rPr>
          <w:rFonts w:cs="Arial"/>
        </w:rPr>
        <w:t>additive in wine requires a pre-market approval. Therefore</w:t>
      </w:r>
      <w:r w:rsidR="00843959">
        <w:rPr>
          <w:rFonts w:cs="Arial"/>
        </w:rPr>
        <w:t>,</w:t>
      </w:r>
      <w:r>
        <w:rPr>
          <w:rFonts w:cs="Arial"/>
        </w:rPr>
        <w:t xml:space="preserve"> it is not appropriate to consider non-regulatory options in this case. Two regulatory options </w:t>
      </w:r>
      <w:r w:rsidR="000430F5">
        <w:rPr>
          <w:rFonts w:cs="Arial"/>
        </w:rPr>
        <w:t xml:space="preserve">were </w:t>
      </w:r>
      <w:r>
        <w:rPr>
          <w:rFonts w:cs="Arial"/>
        </w:rPr>
        <w:t>consequently identified:</w:t>
      </w:r>
    </w:p>
    <w:p w:rsidR="007A1657" w:rsidRPr="00B731D0" w:rsidRDefault="007A1657" w:rsidP="007A1657"/>
    <w:p w:rsidR="007A1657" w:rsidRPr="00B731D0" w:rsidRDefault="007A1657" w:rsidP="007A1657">
      <w:pPr>
        <w:tabs>
          <w:tab w:val="left" w:pos="1418"/>
        </w:tabs>
        <w:ind w:left="1418" w:hanging="1418"/>
        <w:rPr>
          <w:lang w:val="en-AU"/>
        </w:rPr>
      </w:pPr>
      <w:r w:rsidRPr="00B731D0">
        <w:rPr>
          <w:b/>
          <w:bCs/>
          <w:i/>
          <w:iCs/>
        </w:rPr>
        <w:t xml:space="preserve">Option 1: </w:t>
      </w:r>
      <w:r w:rsidRPr="00B731D0">
        <w:tab/>
      </w:r>
      <w:r w:rsidRPr="00B731D0">
        <w:rPr>
          <w:lang w:val="en-AU"/>
        </w:rPr>
        <w:t xml:space="preserve">Reject the </w:t>
      </w:r>
      <w:r w:rsidR="00A030EE">
        <w:rPr>
          <w:lang w:val="en-AU"/>
        </w:rPr>
        <w:t xml:space="preserve">draft variation, thus maintaining the status quo.  </w:t>
      </w:r>
    </w:p>
    <w:p w:rsidR="007A1657" w:rsidRPr="00B731D0" w:rsidRDefault="007A1657" w:rsidP="007A1657">
      <w:pPr>
        <w:tabs>
          <w:tab w:val="left" w:pos="1418"/>
        </w:tabs>
        <w:ind w:left="1418" w:hanging="1418"/>
        <w:rPr>
          <w:i/>
          <w:iCs/>
        </w:rPr>
      </w:pPr>
    </w:p>
    <w:p w:rsidR="003C4969" w:rsidRDefault="007A1657" w:rsidP="002149D6">
      <w:pPr>
        <w:tabs>
          <w:tab w:val="left" w:pos="1418"/>
        </w:tabs>
        <w:ind w:left="1418" w:hanging="1418"/>
        <w:rPr>
          <w:rFonts w:cs="Arial"/>
          <w:lang w:val="en-AU"/>
        </w:rPr>
      </w:pPr>
      <w:r w:rsidRPr="00B731D0">
        <w:rPr>
          <w:b/>
          <w:bCs/>
          <w:i/>
          <w:iCs/>
        </w:rPr>
        <w:t xml:space="preserve">Option 2: </w:t>
      </w:r>
      <w:r w:rsidRPr="00B731D0">
        <w:rPr>
          <w:i/>
          <w:iCs/>
        </w:rPr>
        <w:tab/>
      </w:r>
      <w:r w:rsidR="00A030EE">
        <w:rPr>
          <w:iCs/>
        </w:rPr>
        <w:t xml:space="preserve">Approve </w:t>
      </w:r>
      <w:r w:rsidR="007D1FFF">
        <w:rPr>
          <w:iCs/>
        </w:rPr>
        <w:t>the draft</w:t>
      </w:r>
      <w:r>
        <w:rPr>
          <w:iCs/>
        </w:rPr>
        <w:t xml:space="preserve"> variation to</w:t>
      </w:r>
      <w:r w:rsidRPr="00B731D0">
        <w:rPr>
          <w:iCs/>
        </w:rPr>
        <w:t xml:space="preserve"> Standard</w:t>
      </w:r>
      <w:r>
        <w:rPr>
          <w:iCs/>
        </w:rPr>
        <w:t>s 1.3.1 and 4.5.1</w:t>
      </w:r>
      <w:r w:rsidRPr="00B731D0">
        <w:rPr>
          <w:iCs/>
        </w:rPr>
        <w:t xml:space="preserve"> to p</w:t>
      </w:r>
      <w:r w:rsidRPr="00B731D0">
        <w:t xml:space="preserve">ermit the use of </w:t>
      </w:r>
      <w:r>
        <w:t xml:space="preserve">the </w:t>
      </w:r>
      <w:r w:rsidR="00234296">
        <w:t xml:space="preserve">sodium </w:t>
      </w:r>
      <w:r>
        <w:t>CMC</w:t>
      </w:r>
      <w:r w:rsidRPr="00B731D0">
        <w:t>, as a</w:t>
      </w:r>
      <w:r>
        <w:t>n additive in wine and sparkling wine.</w:t>
      </w:r>
    </w:p>
    <w:p w:rsidR="002149D6" w:rsidRPr="00DC6570" w:rsidRDefault="002149D6" w:rsidP="002149D6">
      <w:pPr>
        <w:tabs>
          <w:tab w:val="left" w:pos="1418"/>
        </w:tabs>
        <w:ind w:left="1418" w:hanging="1418"/>
        <w:rPr>
          <w:rFonts w:cs="Arial"/>
          <w:lang w:val="en-AU"/>
        </w:rPr>
      </w:pPr>
    </w:p>
    <w:p w:rsidR="003C4969" w:rsidRPr="00DC6570" w:rsidRDefault="001C27A3" w:rsidP="001C27A3">
      <w:pPr>
        <w:pStyle w:val="Heading2"/>
      </w:pPr>
      <w:bookmarkStart w:id="90" w:name="_Toc11735637"/>
      <w:bookmarkStart w:id="91" w:name="_Toc29883122"/>
      <w:bookmarkStart w:id="92" w:name="_Toc41906809"/>
      <w:bookmarkStart w:id="93" w:name="_Toc41907556"/>
      <w:bookmarkStart w:id="94" w:name="_Toc120358587"/>
      <w:bookmarkStart w:id="95" w:name="_Toc304883956"/>
      <w:r>
        <w:t>8.</w:t>
      </w:r>
      <w:r w:rsidR="003C4969" w:rsidRPr="00DC6570">
        <w:tab/>
        <w:t>Impact Analysis</w:t>
      </w:r>
      <w:bookmarkEnd w:id="90"/>
      <w:bookmarkEnd w:id="91"/>
      <w:bookmarkEnd w:id="92"/>
      <w:bookmarkEnd w:id="93"/>
      <w:bookmarkEnd w:id="94"/>
      <w:r w:rsidR="00486793" w:rsidRPr="00DC6570">
        <w:t xml:space="preserve"> (RIS ID:  </w:t>
      </w:r>
      <w:r w:rsidR="00D80856">
        <w:t>12065</w:t>
      </w:r>
      <w:r w:rsidR="00486793" w:rsidRPr="00DC6570">
        <w:t>)</w:t>
      </w:r>
      <w:bookmarkEnd w:id="95"/>
    </w:p>
    <w:p w:rsidR="00D80856" w:rsidRDefault="00D80856" w:rsidP="00D80856">
      <w:bookmarkStart w:id="96" w:name="_Toc120358588"/>
    </w:p>
    <w:p w:rsidR="001803DF" w:rsidRPr="001803DF" w:rsidRDefault="001803DF" w:rsidP="001803DF">
      <w:pPr>
        <w:rPr>
          <w:rFonts w:cs="Arial"/>
          <w:iCs/>
        </w:rPr>
      </w:pPr>
      <w:r w:rsidRPr="002E3D1A">
        <w:rPr>
          <w:rFonts w:cs="Arial"/>
          <w:iCs/>
        </w:rPr>
        <w:t>The Office of Best Practice Regulation in a letter dated 24 November 2010 (reference 12065) provided a standing exemption from the need to assess if a Regulation Impact Statement is required for applications relating to maximum residue limits, food additives, processing aids, or genetically modified foods as they are machinery in nature.</w:t>
      </w:r>
    </w:p>
    <w:p w:rsidR="001803DF" w:rsidRPr="009D4E21" w:rsidRDefault="001803DF" w:rsidP="00D80856"/>
    <w:p w:rsidR="00D80856" w:rsidRDefault="00D80856" w:rsidP="00D80856">
      <w:pPr>
        <w:pStyle w:val="Heading3"/>
      </w:pPr>
      <w:bookmarkStart w:id="97" w:name="_Toc294176160"/>
      <w:bookmarkStart w:id="98" w:name="_Toc304883957"/>
      <w:r>
        <w:t>8.1</w:t>
      </w:r>
      <w:r w:rsidRPr="00DC6570">
        <w:tab/>
        <w:t>Affected Parties</w:t>
      </w:r>
      <w:bookmarkEnd w:id="96"/>
      <w:bookmarkEnd w:id="97"/>
      <w:bookmarkEnd w:id="98"/>
    </w:p>
    <w:p w:rsidR="00A030EE" w:rsidRPr="00A030EE" w:rsidRDefault="00A030EE" w:rsidP="00A030EE"/>
    <w:p w:rsidR="00D80856" w:rsidRDefault="00D80856" w:rsidP="00D80856">
      <w:bookmarkStart w:id="99" w:name="_Toc11735638"/>
      <w:bookmarkStart w:id="100" w:name="_Toc29883123"/>
      <w:bookmarkStart w:id="101" w:name="_Toc41906810"/>
      <w:bookmarkStart w:id="102" w:name="_Toc41907557"/>
      <w:bookmarkStart w:id="103" w:name="_Toc120358589"/>
      <w:r w:rsidRPr="009D4E21">
        <w:t xml:space="preserve">The parties </w:t>
      </w:r>
      <w:r w:rsidR="0000091B">
        <w:t xml:space="preserve">potentially affected by the regulatory options outlined above include: </w:t>
      </w:r>
    </w:p>
    <w:p w:rsidR="00D80856" w:rsidRPr="009D4E21" w:rsidRDefault="00D80856" w:rsidP="00D80856"/>
    <w:p w:rsidR="00706E08" w:rsidRPr="00706E08" w:rsidRDefault="00D80856" w:rsidP="00706E08">
      <w:pPr>
        <w:pStyle w:val="FSBullet"/>
      </w:pPr>
      <w:r>
        <w:t>Au</w:t>
      </w:r>
      <w:r w:rsidRPr="00706E08">
        <w:t xml:space="preserve">stralian </w:t>
      </w:r>
      <w:r w:rsidR="00D654DA" w:rsidRPr="00706E08">
        <w:t xml:space="preserve">and New Zealand </w:t>
      </w:r>
      <w:r w:rsidRPr="00706E08">
        <w:t>wine producers</w:t>
      </w:r>
    </w:p>
    <w:p w:rsidR="009A57C0" w:rsidRDefault="00D80856" w:rsidP="00706E08">
      <w:pPr>
        <w:pStyle w:val="FSBullet"/>
      </w:pPr>
      <w:r w:rsidRPr="00706E08">
        <w:t xml:space="preserve">Australian and New Zealand wine importers </w:t>
      </w:r>
      <w:r w:rsidR="009A57C0">
        <w:br w:type="page"/>
      </w:r>
    </w:p>
    <w:p w:rsidR="00D80856" w:rsidRPr="00706E08" w:rsidRDefault="00D80856" w:rsidP="00706E08">
      <w:pPr>
        <w:pStyle w:val="FSBullet"/>
      </w:pPr>
      <w:r w:rsidRPr="00706E08">
        <w:lastRenderedPageBreak/>
        <w:t xml:space="preserve">wine consumers in Australia and New Zealand </w:t>
      </w:r>
    </w:p>
    <w:p w:rsidR="002D243E" w:rsidRDefault="00D80856" w:rsidP="00706E08">
      <w:pPr>
        <w:pStyle w:val="FSBullet"/>
      </w:pPr>
      <w:r w:rsidRPr="00706E08">
        <w:t>Australia</w:t>
      </w:r>
      <w:r w:rsidRPr="009D4E21">
        <w:t>n, State, Territory and New Zealand Government agencies that enforce food regulations.</w:t>
      </w:r>
    </w:p>
    <w:p w:rsidR="009A57C0" w:rsidRPr="009A57C0" w:rsidRDefault="009A57C0" w:rsidP="009A57C0"/>
    <w:p w:rsidR="00D80856" w:rsidRDefault="00D80856" w:rsidP="00D80856">
      <w:pPr>
        <w:pStyle w:val="Heading3"/>
      </w:pPr>
      <w:bookmarkStart w:id="104" w:name="_Toc294176161"/>
      <w:bookmarkStart w:id="105" w:name="_Toc304883958"/>
      <w:r>
        <w:t>8.2</w:t>
      </w:r>
      <w:r w:rsidRPr="00DC6570">
        <w:tab/>
        <w:t>Benefit Cost Analysis</w:t>
      </w:r>
      <w:bookmarkEnd w:id="99"/>
      <w:bookmarkEnd w:id="100"/>
      <w:bookmarkEnd w:id="101"/>
      <w:bookmarkEnd w:id="102"/>
      <w:bookmarkEnd w:id="103"/>
      <w:bookmarkEnd w:id="104"/>
      <w:bookmarkEnd w:id="105"/>
    </w:p>
    <w:p w:rsidR="0000091B" w:rsidRPr="0000091B" w:rsidRDefault="0000091B" w:rsidP="0000091B"/>
    <w:p w:rsidR="00D80856" w:rsidRDefault="00D80856" w:rsidP="00D80856">
      <w:r>
        <w:t>As</w:t>
      </w:r>
      <w:r w:rsidRPr="00FA37F1">
        <w:t xml:space="preserve"> medium to significant competitive impacts or compliance costs are </w:t>
      </w:r>
      <w:r>
        <w:t>un</w:t>
      </w:r>
      <w:r w:rsidRPr="00FA37F1">
        <w:t>likely</w:t>
      </w:r>
      <w:r>
        <w:t xml:space="preserve"> for this Application</w:t>
      </w:r>
      <w:r w:rsidRPr="00FA37F1">
        <w:t xml:space="preserve">, FSANZ has </w:t>
      </w:r>
      <w:r>
        <w:t xml:space="preserve">not </w:t>
      </w:r>
      <w:r w:rsidRPr="00FA37F1">
        <w:t xml:space="preserve">sought </w:t>
      </w:r>
      <w:r>
        <w:t xml:space="preserve">specific </w:t>
      </w:r>
      <w:r w:rsidRPr="00FA37F1">
        <w:t xml:space="preserve">advice from the </w:t>
      </w:r>
      <w:r w:rsidR="0000091B">
        <w:t>OBPR</w:t>
      </w:r>
      <w:r w:rsidRPr="00FA37F1">
        <w:t xml:space="preserve"> to estimate compliance costs of regulatory options</w:t>
      </w:r>
      <w:r>
        <w:t>. However</w:t>
      </w:r>
      <w:r w:rsidR="00843959">
        <w:t>,</w:t>
      </w:r>
      <w:r>
        <w:t xml:space="preserve"> FSANZ has performed, for the two options outlined above, a qualitative assessment of the benefits and costs.  </w:t>
      </w:r>
    </w:p>
    <w:p w:rsidR="00D80856" w:rsidRDefault="00D80856" w:rsidP="00D80856"/>
    <w:p w:rsidR="0000091B" w:rsidRDefault="00D80856" w:rsidP="009A57C0">
      <w:pPr>
        <w:pStyle w:val="Heading4"/>
      </w:pPr>
      <w:r>
        <w:t>8</w:t>
      </w:r>
      <w:r w:rsidRPr="00603FA8">
        <w:t>.2.1</w:t>
      </w:r>
      <w:r w:rsidRPr="00603FA8">
        <w:tab/>
        <w:t>Option 1</w:t>
      </w:r>
      <w:r w:rsidR="0000091B">
        <w:t xml:space="preserve"> </w:t>
      </w:r>
      <w:r w:rsidR="009A57C0">
        <w:t>–</w:t>
      </w:r>
      <w:r w:rsidR="0000091B">
        <w:t xml:space="preserve"> </w:t>
      </w:r>
      <w:r w:rsidR="0000091B" w:rsidRPr="0000091B">
        <w:rPr>
          <w:lang w:val="en-AU"/>
        </w:rPr>
        <w:t>Reject</w:t>
      </w:r>
      <w:r w:rsidR="0000091B" w:rsidRPr="00B731D0">
        <w:rPr>
          <w:lang w:val="en-AU"/>
        </w:rPr>
        <w:t xml:space="preserve"> the </w:t>
      </w:r>
      <w:r w:rsidR="0000091B">
        <w:rPr>
          <w:lang w:val="en-AU"/>
        </w:rPr>
        <w:t>draft variation</w:t>
      </w:r>
      <w:r w:rsidR="009A57C0">
        <w:t>s</w:t>
      </w:r>
    </w:p>
    <w:p w:rsidR="0000091B" w:rsidRDefault="0000091B" w:rsidP="0000091B">
      <w:pPr>
        <w:pStyle w:val="Heading4"/>
      </w:pPr>
    </w:p>
    <w:p w:rsidR="00D80856" w:rsidRPr="0000091B" w:rsidRDefault="00D80856" w:rsidP="009A57C0">
      <w:pPr>
        <w:pStyle w:val="Heading5"/>
      </w:pPr>
      <w:r w:rsidRPr="0000091B">
        <w:t>8.2.1.1</w:t>
      </w:r>
      <w:r w:rsidRPr="0000091B">
        <w:tab/>
        <w:t>Consumers</w:t>
      </w:r>
    </w:p>
    <w:p w:rsidR="0000091B" w:rsidRPr="0000091B" w:rsidRDefault="0000091B" w:rsidP="0000091B"/>
    <w:p w:rsidR="00D80856" w:rsidRDefault="00D80856" w:rsidP="00D80856">
      <w:r>
        <w:t xml:space="preserve">There are no costs or benefits to consumers from this Option. </w:t>
      </w:r>
    </w:p>
    <w:p w:rsidR="0000091B" w:rsidRDefault="0000091B" w:rsidP="00D80856"/>
    <w:p w:rsidR="00D80856" w:rsidRPr="003F44B5" w:rsidRDefault="00D80856" w:rsidP="009A57C0">
      <w:pPr>
        <w:pStyle w:val="Heading5"/>
      </w:pPr>
      <w:r w:rsidRPr="003F44B5">
        <w:t>8.2.1.2</w:t>
      </w:r>
      <w:r w:rsidRPr="003F44B5">
        <w:tab/>
        <w:t>Industry</w:t>
      </w:r>
    </w:p>
    <w:p w:rsidR="0000091B" w:rsidRPr="0000091B" w:rsidRDefault="0000091B" w:rsidP="0000091B"/>
    <w:p w:rsidR="00D80856" w:rsidRDefault="00D80856" w:rsidP="00D80856">
      <w:r>
        <w:t xml:space="preserve">Rejection of this </w:t>
      </w:r>
      <w:r w:rsidR="009A57C0">
        <w:t>A</w:t>
      </w:r>
      <w:r>
        <w:t>pplication may have an adverse effect on:</w:t>
      </w:r>
    </w:p>
    <w:p w:rsidR="00D80856" w:rsidRDefault="00D80856" w:rsidP="00D80856"/>
    <w:p w:rsidR="00D80856" w:rsidRDefault="00D80856" w:rsidP="009A57C0">
      <w:pPr>
        <w:pStyle w:val="FSBullet"/>
      </w:pPr>
      <w:r>
        <w:t>the wine in</w:t>
      </w:r>
      <w:r w:rsidRPr="009A57C0">
        <w:t>dustry both with respect to the inability to capture the potential energy sav</w:t>
      </w:r>
      <w:r w:rsidR="0000091B" w:rsidRPr="009A57C0">
        <w:t>ings and improved wine quality</w:t>
      </w:r>
    </w:p>
    <w:p w:rsidR="009A57C0" w:rsidRPr="009A57C0" w:rsidRDefault="009A57C0" w:rsidP="009A57C0"/>
    <w:p w:rsidR="00D80856" w:rsidRDefault="00D80856" w:rsidP="009A57C0">
      <w:pPr>
        <w:pStyle w:val="FSBullet"/>
      </w:pPr>
      <w:proofErr w:type="gramStart"/>
      <w:r w:rsidRPr="009A57C0">
        <w:t>importers</w:t>
      </w:r>
      <w:proofErr w:type="gramEnd"/>
      <w:r w:rsidRPr="009A57C0">
        <w:t xml:space="preserve"> of </w:t>
      </w:r>
      <w:r>
        <w:t>wines from the EU and other counties which permit the</w:t>
      </w:r>
      <w:r w:rsidR="0000091B">
        <w:t xml:space="preserve"> use of </w:t>
      </w:r>
      <w:r w:rsidR="00234296">
        <w:t xml:space="preserve">sodium </w:t>
      </w:r>
      <w:r w:rsidR="0000091B">
        <w:t>CMC in wine production</w:t>
      </w:r>
      <w:r w:rsidR="009A57C0">
        <w:t>.</w:t>
      </w:r>
    </w:p>
    <w:p w:rsidR="009A57C0" w:rsidRPr="009A57C0" w:rsidRDefault="009A57C0" w:rsidP="009A57C0"/>
    <w:p w:rsidR="0065310C" w:rsidRDefault="00D80856" w:rsidP="009A57C0">
      <w:pPr>
        <w:pStyle w:val="Heading5"/>
      </w:pPr>
      <w:r w:rsidRPr="003F44B5">
        <w:t>8.2.1.3</w:t>
      </w:r>
      <w:r w:rsidRPr="003F44B5">
        <w:tab/>
        <w:t>Government</w:t>
      </w:r>
    </w:p>
    <w:p w:rsidR="007D1FFF" w:rsidRPr="007D1FFF" w:rsidRDefault="007D1FFF" w:rsidP="007D1FFF"/>
    <w:p w:rsidR="00D80856" w:rsidRDefault="00D80856" w:rsidP="00D80856">
      <w:r w:rsidRPr="003E19F7">
        <w:t xml:space="preserve">There would be </w:t>
      </w:r>
      <w:r>
        <w:t>an</w:t>
      </w:r>
      <w:r w:rsidRPr="003E19F7">
        <w:t xml:space="preserve"> impact on government</w:t>
      </w:r>
      <w:r>
        <w:t xml:space="preserve"> as not approving this application will mean the Australian Government w</w:t>
      </w:r>
      <w:r w:rsidR="00777DC5">
        <w:t>ould</w:t>
      </w:r>
      <w:r>
        <w:t xml:space="preserve"> not be fulfilling its obligation under the Australia – E</w:t>
      </w:r>
      <w:r w:rsidR="007D1FFF">
        <w:t xml:space="preserve">U </w:t>
      </w:r>
      <w:r>
        <w:t>Wine</w:t>
      </w:r>
      <w:r w:rsidR="007D1FFF">
        <w:t xml:space="preserve"> Agreement</w:t>
      </w:r>
      <w:r>
        <w:t xml:space="preserve">. </w:t>
      </w:r>
      <w:r w:rsidRPr="003E19F7">
        <w:t xml:space="preserve">There are no benefits to </w:t>
      </w:r>
      <w:r w:rsidR="00777DC5">
        <w:t>g</w:t>
      </w:r>
      <w:r w:rsidRPr="003E19F7">
        <w:t>overnment</w:t>
      </w:r>
      <w:r>
        <w:t>s in maintaining a prohibition as t</w:t>
      </w:r>
      <w:r w:rsidRPr="003E19F7">
        <w:rPr>
          <w:rFonts w:cs="Arial"/>
        </w:rPr>
        <w:t xml:space="preserve">here </w:t>
      </w:r>
      <w:proofErr w:type="gramStart"/>
      <w:r w:rsidRPr="003E19F7">
        <w:rPr>
          <w:rFonts w:cs="Arial"/>
        </w:rPr>
        <w:t xml:space="preserve">are no </w:t>
      </w:r>
      <w:r>
        <w:rPr>
          <w:rFonts w:cs="Arial"/>
        </w:rPr>
        <w:t>public health</w:t>
      </w:r>
      <w:proofErr w:type="gramEnd"/>
      <w:r>
        <w:rPr>
          <w:rFonts w:cs="Arial"/>
        </w:rPr>
        <w:t xml:space="preserve"> or safety issues or </w:t>
      </w:r>
      <w:r w:rsidRPr="003E19F7">
        <w:rPr>
          <w:rFonts w:cs="Arial"/>
        </w:rPr>
        <w:t>perceived costs on jurisdictions that enforce the food regulations</w:t>
      </w:r>
      <w:r>
        <w:rPr>
          <w:rFonts w:cs="Arial"/>
        </w:rPr>
        <w:t>. L</w:t>
      </w:r>
      <w:r w:rsidRPr="00962AA9">
        <w:t>ack of approval may be regarded as unnecessarily trade restrictive.</w:t>
      </w:r>
    </w:p>
    <w:p w:rsidR="00671158" w:rsidRDefault="00671158" w:rsidP="00D80856">
      <w:pPr>
        <w:pStyle w:val="Heading4"/>
      </w:pPr>
    </w:p>
    <w:p w:rsidR="00E5250C" w:rsidRDefault="00D80856" w:rsidP="00D80856">
      <w:pPr>
        <w:pStyle w:val="Heading4"/>
      </w:pPr>
      <w:r>
        <w:t>8.2.2</w:t>
      </w:r>
      <w:r>
        <w:tab/>
        <w:t>Option 2</w:t>
      </w:r>
      <w:r w:rsidR="00E5250C">
        <w:t xml:space="preserve"> – Approve the draft variation</w:t>
      </w:r>
      <w:r w:rsidR="009A57C0">
        <w:t>s</w:t>
      </w:r>
      <w:r w:rsidR="00E5250C">
        <w:t xml:space="preserve"> to Standards 1.3.3 and 4.5.1 </w:t>
      </w:r>
    </w:p>
    <w:p w:rsidR="00D80856" w:rsidRPr="00FC2160" w:rsidRDefault="00D80856" w:rsidP="00D80856">
      <w:pPr>
        <w:pStyle w:val="Heading4"/>
      </w:pPr>
      <w:r w:rsidRPr="00603FA8">
        <w:t xml:space="preserve"> </w:t>
      </w:r>
    </w:p>
    <w:p w:rsidR="00D80856" w:rsidRPr="003F44B5" w:rsidRDefault="00D80856" w:rsidP="009A57C0">
      <w:pPr>
        <w:pStyle w:val="Heading5"/>
      </w:pPr>
      <w:r w:rsidRPr="003F44B5">
        <w:t>8.2.2.1</w:t>
      </w:r>
      <w:r w:rsidRPr="003F44B5">
        <w:tab/>
        <w:t>Consumers</w:t>
      </w:r>
    </w:p>
    <w:p w:rsidR="00E5250C" w:rsidRPr="00E5250C" w:rsidRDefault="00E5250C" w:rsidP="00E5250C"/>
    <w:p w:rsidR="00D80856" w:rsidRDefault="00D80856" w:rsidP="00D80856">
      <w:r w:rsidRPr="00962AA9">
        <w:t xml:space="preserve">Consumers may benefit from </w:t>
      </w:r>
      <w:r>
        <w:t xml:space="preserve">wines containing </w:t>
      </w:r>
      <w:r w:rsidR="00234296">
        <w:t xml:space="preserve">sodium </w:t>
      </w:r>
      <w:r>
        <w:t>CMC because:</w:t>
      </w:r>
    </w:p>
    <w:p w:rsidR="00D80856" w:rsidRDefault="00D80856" w:rsidP="00D80856"/>
    <w:p w:rsidR="00D80856" w:rsidRDefault="009A57C0" w:rsidP="009A57C0">
      <w:pPr>
        <w:pStyle w:val="FSBullet"/>
      </w:pPr>
      <w:r>
        <w:t>i</w:t>
      </w:r>
      <w:r w:rsidR="00D80856">
        <w:t xml:space="preserve">mproved wine quality could be available without an increase in cost because the use of </w:t>
      </w:r>
      <w:r w:rsidR="00234296">
        <w:t>sodiu</w:t>
      </w:r>
      <w:r w:rsidR="00234296" w:rsidRPr="009A57C0">
        <w:t xml:space="preserve">m </w:t>
      </w:r>
      <w:r w:rsidR="00D80856" w:rsidRPr="009A57C0">
        <w:t>CMC does not require energy dependent processes such as chilling and filtration</w:t>
      </w:r>
    </w:p>
    <w:p w:rsidR="009A57C0" w:rsidRPr="009A57C0" w:rsidRDefault="009A57C0" w:rsidP="009A57C0"/>
    <w:p w:rsidR="00D80856" w:rsidRDefault="009A57C0" w:rsidP="009A57C0">
      <w:pPr>
        <w:pStyle w:val="FSBullet"/>
      </w:pPr>
      <w:proofErr w:type="gramStart"/>
      <w:r>
        <w:t>g</w:t>
      </w:r>
      <w:r w:rsidR="00D80856" w:rsidRPr="009A57C0">
        <w:t>reater</w:t>
      </w:r>
      <w:proofErr w:type="gramEnd"/>
      <w:r w:rsidR="00D80856" w:rsidRPr="009A57C0">
        <w:t xml:space="preserve"> </w:t>
      </w:r>
      <w:r w:rsidR="00D80856">
        <w:t xml:space="preserve">market choice as wines from regions such as the EU which contain </w:t>
      </w:r>
      <w:r w:rsidR="00234296">
        <w:t xml:space="preserve">sodium </w:t>
      </w:r>
      <w:r w:rsidR="00D80856">
        <w:t xml:space="preserve">CMC would be allowed to be imported into Australia and New Zealand. </w:t>
      </w:r>
    </w:p>
    <w:p w:rsidR="009A57C0" w:rsidRPr="009A57C0" w:rsidRDefault="009A57C0" w:rsidP="009A57C0"/>
    <w:p w:rsidR="00D80856" w:rsidRPr="003F44B5" w:rsidRDefault="00D80856" w:rsidP="009A57C0">
      <w:pPr>
        <w:pStyle w:val="Heading5"/>
      </w:pPr>
      <w:r w:rsidRPr="003F44B5">
        <w:t>8.2.2.2</w:t>
      </w:r>
      <w:r w:rsidRPr="003F44B5">
        <w:tab/>
        <w:t>Industry</w:t>
      </w:r>
    </w:p>
    <w:p w:rsidR="00E5250C" w:rsidRPr="00E5250C" w:rsidRDefault="00E5250C" w:rsidP="00E5250C"/>
    <w:p w:rsidR="00D80856" w:rsidRDefault="00D80856" w:rsidP="00D80856">
      <w:pPr>
        <w:widowControl/>
        <w:rPr>
          <w:rFonts w:cs="Arial"/>
          <w:szCs w:val="20"/>
        </w:rPr>
      </w:pPr>
      <w:r>
        <w:rPr>
          <w:rFonts w:cs="Arial"/>
          <w:szCs w:val="20"/>
        </w:rPr>
        <w:t xml:space="preserve">Industry may benefit from approval of this application because they would have: </w:t>
      </w:r>
    </w:p>
    <w:p w:rsidR="00D80856" w:rsidRDefault="00D80856" w:rsidP="00D80856">
      <w:pPr>
        <w:widowControl/>
        <w:rPr>
          <w:rFonts w:cs="Arial"/>
          <w:szCs w:val="20"/>
        </w:rPr>
      </w:pPr>
    </w:p>
    <w:p w:rsidR="009A57C0" w:rsidRDefault="009A57C0" w:rsidP="009A57C0">
      <w:pPr>
        <w:pStyle w:val="FSBullet"/>
      </w:pPr>
      <w:r>
        <w:t>i</w:t>
      </w:r>
      <w:r w:rsidR="00D80856" w:rsidRPr="00E74D76">
        <w:t>ncrease</w:t>
      </w:r>
      <w:r w:rsidR="00D80856">
        <w:t>d</w:t>
      </w:r>
      <w:r w:rsidR="00D80856" w:rsidRPr="00E74D76">
        <w:t xml:space="preserve"> mar</w:t>
      </w:r>
      <w:r w:rsidR="00D80856" w:rsidRPr="009A57C0">
        <w:t xml:space="preserve">ket opportunities as wines containing </w:t>
      </w:r>
      <w:r w:rsidR="00234296" w:rsidRPr="009A57C0">
        <w:t xml:space="preserve">sodium </w:t>
      </w:r>
      <w:r w:rsidR="00D80856" w:rsidRPr="009A57C0">
        <w:t xml:space="preserve">CMC could be imported into Australia and New Zealand </w:t>
      </w:r>
      <w:r>
        <w:br w:type="page"/>
      </w:r>
    </w:p>
    <w:p w:rsidR="00D80856" w:rsidRDefault="009A57C0" w:rsidP="009A57C0">
      <w:pPr>
        <w:pStyle w:val="FSBullet"/>
      </w:pPr>
      <w:proofErr w:type="gramStart"/>
      <w:r>
        <w:lastRenderedPageBreak/>
        <w:t>r</w:t>
      </w:r>
      <w:r w:rsidR="00D80856" w:rsidRPr="009A57C0">
        <w:t>educed</w:t>
      </w:r>
      <w:proofErr w:type="gramEnd"/>
      <w:r w:rsidR="00D80856" w:rsidRPr="009A57C0">
        <w:t xml:space="preserve"> production co</w:t>
      </w:r>
      <w:r w:rsidR="00D80856">
        <w:t xml:space="preserve">sts as the chilling and filtration steps are not necessary with use of </w:t>
      </w:r>
      <w:r w:rsidR="00234296">
        <w:t xml:space="preserve">sodium </w:t>
      </w:r>
      <w:r w:rsidR="00D80856">
        <w:t>CMC</w:t>
      </w:r>
      <w:r>
        <w:t>.</w:t>
      </w:r>
    </w:p>
    <w:p w:rsidR="009A57C0" w:rsidRPr="009A57C0" w:rsidRDefault="009A57C0" w:rsidP="009A57C0"/>
    <w:p w:rsidR="00D80856" w:rsidRDefault="009A57C0" w:rsidP="00D80856">
      <w:pPr>
        <w:widowControl/>
        <w:rPr>
          <w:rFonts w:cs="Arial"/>
          <w:szCs w:val="20"/>
        </w:rPr>
      </w:pPr>
      <w:r>
        <w:rPr>
          <w:rFonts w:cs="Arial"/>
          <w:szCs w:val="20"/>
        </w:rPr>
        <w:t>FSANZ’s assessment</w:t>
      </w:r>
      <w:r w:rsidR="00D80856" w:rsidRPr="002E3D1A">
        <w:rPr>
          <w:rFonts w:cs="Arial"/>
          <w:szCs w:val="20"/>
        </w:rPr>
        <w:t xml:space="preserve"> </w:t>
      </w:r>
      <w:r w:rsidR="00E5250C" w:rsidRPr="002E3D1A">
        <w:rPr>
          <w:rFonts w:cs="Arial"/>
          <w:szCs w:val="20"/>
        </w:rPr>
        <w:t xml:space="preserve">indicated that </w:t>
      </w:r>
      <w:r w:rsidR="00D80856" w:rsidRPr="002E3D1A">
        <w:rPr>
          <w:rFonts w:cs="Arial"/>
          <w:szCs w:val="20"/>
        </w:rPr>
        <w:t>a slight disadvantage to Australian and New Zealand wine producers</w:t>
      </w:r>
      <w:r w:rsidR="00E5250C" w:rsidRPr="002E3D1A">
        <w:rPr>
          <w:rFonts w:cs="Arial"/>
          <w:szCs w:val="20"/>
        </w:rPr>
        <w:t xml:space="preserve"> may result from approval of this Application,</w:t>
      </w:r>
      <w:r w:rsidR="00D80856" w:rsidRPr="002E3D1A">
        <w:rPr>
          <w:rFonts w:cs="Arial"/>
          <w:szCs w:val="20"/>
        </w:rPr>
        <w:t xml:space="preserve"> as it may result in increased supplies from outside of Australasia.</w:t>
      </w:r>
      <w:r w:rsidR="00E5250C" w:rsidRPr="002E3D1A">
        <w:rPr>
          <w:rFonts w:cs="Arial"/>
          <w:szCs w:val="20"/>
        </w:rPr>
        <w:t xml:space="preserve">  However</w:t>
      </w:r>
      <w:r w:rsidR="00777DC5">
        <w:rPr>
          <w:rFonts w:cs="Arial"/>
          <w:szCs w:val="20"/>
        </w:rPr>
        <w:t>,</w:t>
      </w:r>
      <w:r w:rsidR="00E5250C" w:rsidRPr="002E3D1A">
        <w:rPr>
          <w:rFonts w:cs="Arial"/>
          <w:szCs w:val="20"/>
        </w:rPr>
        <w:t xml:space="preserve"> this Application was supported by both Australian and New Zealand wine producers and th</w:t>
      </w:r>
      <w:r w:rsidR="00D654DA">
        <w:rPr>
          <w:rFonts w:cs="Arial"/>
          <w:szCs w:val="20"/>
        </w:rPr>
        <w:t>i</w:t>
      </w:r>
      <w:r w:rsidR="00E5250C" w:rsidRPr="002E3D1A">
        <w:rPr>
          <w:rFonts w:cs="Arial"/>
          <w:szCs w:val="20"/>
        </w:rPr>
        <w:t>s is no longer considered to be an issue.</w:t>
      </w:r>
      <w:r w:rsidR="00E5250C">
        <w:rPr>
          <w:rFonts w:cs="Arial"/>
          <w:szCs w:val="20"/>
        </w:rPr>
        <w:t xml:space="preserve">  </w:t>
      </w:r>
    </w:p>
    <w:p w:rsidR="00D80856" w:rsidRDefault="00D80856" w:rsidP="00D80856"/>
    <w:p w:rsidR="00D80856" w:rsidRPr="003F44B5" w:rsidRDefault="00D80856" w:rsidP="009A57C0">
      <w:pPr>
        <w:pStyle w:val="Heading5"/>
      </w:pPr>
      <w:r w:rsidRPr="003F44B5">
        <w:t>8.2.2.3</w:t>
      </w:r>
      <w:r w:rsidRPr="003F44B5">
        <w:tab/>
        <w:t>Government</w:t>
      </w:r>
    </w:p>
    <w:p w:rsidR="00D80856" w:rsidRDefault="00D80856" w:rsidP="00D80856"/>
    <w:p w:rsidR="00D80856" w:rsidRDefault="00D80856" w:rsidP="00D80856">
      <w:r>
        <w:t>FSANZ consider</w:t>
      </w:r>
      <w:r w:rsidR="000430F5">
        <w:t>ed</w:t>
      </w:r>
      <w:r>
        <w:t xml:space="preserve"> there </w:t>
      </w:r>
      <w:r w:rsidR="000430F5">
        <w:t xml:space="preserve">would </w:t>
      </w:r>
      <w:r>
        <w:t xml:space="preserve">be no additional cost to </w:t>
      </w:r>
      <w:r w:rsidR="00777DC5">
        <w:t>g</w:t>
      </w:r>
      <w:r>
        <w:t xml:space="preserve">overnment agencies that enforce the regulations. </w:t>
      </w:r>
      <w:r w:rsidR="00234296">
        <w:t xml:space="preserve">Sodium </w:t>
      </w:r>
      <w:r>
        <w:t xml:space="preserve">CMC is already permitted in other food types and thus validated analytical methods of analysis for </w:t>
      </w:r>
      <w:r w:rsidR="00234296">
        <w:t xml:space="preserve">sodium </w:t>
      </w:r>
      <w:r>
        <w:t xml:space="preserve">CMC already exist (JECFA 2006, OIV </w:t>
      </w:r>
      <w:r w:rsidR="00C47546">
        <w:t>2010)</w:t>
      </w:r>
      <w:r>
        <w:t xml:space="preserve">. </w:t>
      </w:r>
      <w:r w:rsidRPr="001F5318">
        <w:t>Also</w:t>
      </w:r>
      <w:r w:rsidR="00777DC5">
        <w:t>,</w:t>
      </w:r>
      <w:r w:rsidRPr="001F5318">
        <w:t xml:space="preserve"> as the ADI is </w:t>
      </w:r>
      <w:r w:rsidR="00246579">
        <w:t>‘</w:t>
      </w:r>
      <w:r w:rsidRPr="001F5318">
        <w:t>not specified</w:t>
      </w:r>
      <w:r w:rsidR="00246579">
        <w:t>’</w:t>
      </w:r>
      <w:r w:rsidR="00777DC5">
        <w:t>,</w:t>
      </w:r>
      <w:r w:rsidRPr="001F5318">
        <w:t xml:space="preserve"> the level of </w:t>
      </w:r>
      <w:r w:rsidR="00234296">
        <w:t xml:space="preserve">sodium </w:t>
      </w:r>
      <w:r w:rsidRPr="001F5318">
        <w:t xml:space="preserve">CMC in wine is not a food safety matter and therefore </w:t>
      </w:r>
      <w:r>
        <w:t xml:space="preserve">routine </w:t>
      </w:r>
      <w:r w:rsidRPr="001F5318">
        <w:t xml:space="preserve">testing </w:t>
      </w:r>
      <w:r>
        <w:t xml:space="preserve">for </w:t>
      </w:r>
      <w:r w:rsidR="00234296">
        <w:t xml:space="preserve">sodium </w:t>
      </w:r>
      <w:r>
        <w:t xml:space="preserve">CMC </w:t>
      </w:r>
      <w:r w:rsidRPr="001F5318">
        <w:t>in wine is unlikely.</w:t>
      </w:r>
      <w:r w:rsidR="009D32DB">
        <w:t xml:space="preserve"> This view is supported by the submission received from Queensland Health. </w:t>
      </w:r>
    </w:p>
    <w:p w:rsidR="00D80856" w:rsidRPr="00D1723C" w:rsidRDefault="00D80856" w:rsidP="00D80856">
      <w:pPr>
        <w:rPr>
          <w:rFonts w:cs="Arial"/>
        </w:rPr>
      </w:pPr>
    </w:p>
    <w:p w:rsidR="00D80856" w:rsidRDefault="00D80856" w:rsidP="00D80856">
      <w:pPr>
        <w:pStyle w:val="Heading3"/>
        <w:rPr>
          <w:rFonts w:cs="Arial"/>
        </w:rPr>
      </w:pPr>
      <w:bookmarkStart w:id="106" w:name="_Toc120358590"/>
      <w:bookmarkStart w:id="107" w:name="_Toc294176162"/>
      <w:bookmarkStart w:id="108" w:name="_Toc304883959"/>
      <w:r>
        <w:rPr>
          <w:rFonts w:cs="Arial"/>
        </w:rPr>
        <w:t>8.3</w:t>
      </w:r>
      <w:r w:rsidRPr="00DC6570">
        <w:rPr>
          <w:rFonts w:cs="Arial"/>
        </w:rPr>
        <w:tab/>
        <w:t>Comparison of Options</w:t>
      </w:r>
      <w:bookmarkEnd w:id="106"/>
      <w:bookmarkEnd w:id="107"/>
      <w:bookmarkEnd w:id="108"/>
    </w:p>
    <w:p w:rsidR="009D32DB" w:rsidRPr="009D32DB" w:rsidRDefault="009D32DB" w:rsidP="009D32DB"/>
    <w:p w:rsidR="00D80856" w:rsidRDefault="00D80856" w:rsidP="00D80856">
      <w:r w:rsidRPr="0053564F">
        <w:rPr>
          <w:rFonts w:cs="Arial"/>
          <w:szCs w:val="22"/>
          <w:lang w:eastAsia="en-GB" w:bidi="ar-SA"/>
        </w:rPr>
        <w:t>Overall</w:t>
      </w:r>
      <w:r w:rsidR="00777DC5">
        <w:rPr>
          <w:rFonts w:cs="Arial"/>
          <w:szCs w:val="22"/>
          <w:lang w:eastAsia="en-GB" w:bidi="ar-SA"/>
        </w:rPr>
        <w:t>,</w:t>
      </w:r>
      <w:r w:rsidRPr="0053564F">
        <w:rPr>
          <w:rFonts w:cs="Arial"/>
          <w:szCs w:val="22"/>
          <w:lang w:eastAsia="en-GB" w:bidi="ar-SA"/>
        </w:rPr>
        <w:t xml:space="preserve"> Option 2 </w:t>
      </w:r>
      <w:r w:rsidR="000430F5">
        <w:rPr>
          <w:rFonts w:cs="Arial"/>
          <w:szCs w:val="22"/>
          <w:lang w:eastAsia="en-GB" w:bidi="ar-SA"/>
        </w:rPr>
        <w:t>was</w:t>
      </w:r>
      <w:r w:rsidR="000430F5" w:rsidRPr="0053564F">
        <w:rPr>
          <w:rFonts w:cs="Arial"/>
          <w:szCs w:val="22"/>
          <w:lang w:eastAsia="en-GB" w:bidi="ar-SA"/>
        </w:rPr>
        <w:t xml:space="preserve"> </w:t>
      </w:r>
      <w:r w:rsidRPr="0053564F">
        <w:rPr>
          <w:rFonts w:cs="Arial"/>
          <w:szCs w:val="22"/>
          <w:lang w:eastAsia="en-GB" w:bidi="ar-SA"/>
        </w:rPr>
        <w:t>preferred</w:t>
      </w:r>
      <w:r>
        <w:rPr>
          <w:rFonts w:cs="Arial"/>
          <w:szCs w:val="22"/>
          <w:lang w:eastAsia="en-GB" w:bidi="ar-SA"/>
        </w:rPr>
        <w:t xml:space="preserve">. </w:t>
      </w:r>
      <w:r w:rsidRPr="00635ACF">
        <w:t xml:space="preserve">An assessment of the costs and benefits of the </w:t>
      </w:r>
      <w:r>
        <w:t>two</w:t>
      </w:r>
      <w:r w:rsidRPr="00635ACF">
        <w:t xml:space="preserve"> </w:t>
      </w:r>
      <w:r>
        <w:t>o</w:t>
      </w:r>
      <w:r w:rsidRPr="00635ACF">
        <w:t xml:space="preserve">ptions indicates that there would be a net benefit in permitting the use of </w:t>
      </w:r>
      <w:r w:rsidR="00234296">
        <w:t xml:space="preserve">sodium </w:t>
      </w:r>
      <w:r>
        <w:t>CMC</w:t>
      </w:r>
      <w:r w:rsidRPr="00635ACF">
        <w:t xml:space="preserve"> </w:t>
      </w:r>
      <w:r>
        <w:t xml:space="preserve">as an additive in wine </w:t>
      </w:r>
      <w:r w:rsidRPr="00635ACF">
        <w:t>(Option 2).</w:t>
      </w:r>
      <w:r w:rsidRPr="00867FCF">
        <w:t xml:space="preserve"> </w:t>
      </w:r>
    </w:p>
    <w:p w:rsidR="00D80856" w:rsidRDefault="00D80856" w:rsidP="00D80856">
      <w:pPr>
        <w:widowControl/>
        <w:autoSpaceDE w:val="0"/>
        <w:autoSpaceDN w:val="0"/>
        <w:adjustRightInd w:val="0"/>
        <w:rPr>
          <w:rFonts w:cs="Arial"/>
          <w:szCs w:val="22"/>
          <w:lang w:eastAsia="en-GB" w:bidi="ar-SA"/>
        </w:rPr>
      </w:pPr>
    </w:p>
    <w:p w:rsidR="00D80856" w:rsidRDefault="00D80856" w:rsidP="00D80856">
      <w:pPr>
        <w:widowControl/>
        <w:autoSpaceDE w:val="0"/>
        <w:autoSpaceDN w:val="0"/>
        <w:adjustRightInd w:val="0"/>
        <w:rPr>
          <w:rFonts w:cs="Arial"/>
          <w:szCs w:val="22"/>
          <w:lang w:eastAsia="en-GB" w:bidi="ar-SA"/>
        </w:rPr>
      </w:pPr>
      <w:r>
        <w:rPr>
          <w:rFonts w:cs="Arial"/>
          <w:szCs w:val="22"/>
          <w:lang w:eastAsia="en-GB" w:bidi="ar-SA"/>
        </w:rPr>
        <w:t>Specifically</w:t>
      </w:r>
      <w:r w:rsidR="00017B99">
        <w:rPr>
          <w:rFonts w:cs="Arial"/>
          <w:szCs w:val="22"/>
          <w:lang w:eastAsia="en-GB" w:bidi="ar-SA"/>
        </w:rPr>
        <w:t>, it</w:t>
      </w:r>
      <w:r w:rsidRPr="00317729">
        <w:rPr>
          <w:rFonts w:cs="Arial"/>
          <w:szCs w:val="22"/>
          <w:lang w:eastAsia="en-GB" w:bidi="ar-SA"/>
        </w:rPr>
        <w:t xml:space="preserve"> is anticipated that the </w:t>
      </w:r>
      <w:r>
        <w:rPr>
          <w:rFonts w:cs="Arial"/>
          <w:szCs w:val="22"/>
          <w:lang w:eastAsia="en-GB" w:bidi="ar-SA"/>
        </w:rPr>
        <w:t xml:space="preserve">extension of the use </w:t>
      </w:r>
      <w:r w:rsidR="00515AD3">
        <w:rPr>
          <w:rFonts w:cs="Arial"/>
          <w:szCs w:val="22"/>
          <w:lang w:eastAsia="en-GB" w:bidi="ar-SA"/>
        </w:rPr>
        <w:t>of sodium</w:t>
      </w:r>
      <w:r w:rsidR="00234296">
        <w:rPr>
          <w:rFonts w:cs="Arial"/>
          <w:szCs w:val="22"/>
          <w:lang w:eastAsia="en-GB" w:bidi="ar-SA"/>
        </w:rPr>
        <w:t xml:space="preserve"> </w:t>
      </w:r>
      <w:r>
        <w:rPr>
          <w:rFonts w:cs="Arial"/>
          <w:szCs w:val="22"/>
          <w:lang w:eastAsia="en-GB" w:bidi="ar-SA"/>
        </w:rPr>
        <w:t>CMC to wine w</w:t>
      </w:r>
      <w:r w:rsidRPr="00317729">
        <w:rPr>
          <w:rFonts w:cs="Arial"/>
          <w:szCs w:val="22"/>
          <w:lang w:eastAsia="en-GB" w:bidi="ar-SA"/>
        </w:rPr>
        <w:t>ould</w:t>
      </w:r>
      <w:r>
        <w:rPr>
          <w:rFonts w:cs="Arial"/>
          <w:szCs w:val="22"/>
          <w:lang w:eastAsia="en-GB" w:bidi="ar-SA"/>
        </w:rPr>
        <w:t xml:space="preserve"> </w:t>
      </w:r>
      <w:r w:rsidRPr="00317729">
        <w:rPr>
          <w:rFonts w:cs="Arial"/>
          <w:szCs w:val="22"/>
          <w:lang w:eastAsia="en-GB" w:bidi="ar-SA"/>
        </w:rPr>
        <w:t xml:space="preserve">provide greater opportunities for </w:t>
      </w:r>
      <w:r>
        <w:rPr>
          <w:rFonts w:cs="Arial"/>
          <w:szCs w:val="22"/>
          <w:lang w:eastAsia="en-GB" w:bidi="ar-SA"/>
        </w:rPr>
        <w:t>tartrate crystal stabilisation for</w:t>
      </w:r>
      <w:r w:rsidRPr="00317729">
        <w:rPr>
          <w:rFonts w:cs="Arial"/>
          <w:szCs w:val="22"/>
          <w:lang w:eastAsia="en-GB" w:bidi="ar-SA"/>
        </w:rPr>
        <w:t xml:space="preserve"> </w:t>
      </w:r>
      <w:r>
        <w:rPr>
          <w:rFonts w:cs="Arial"/>
          <w:szCs w:val="22"/>
          <w:lang w:eastAsia="en-GB" w:bidi="ar-SA"/>
        </w:rPr>
        <w:t xml:space="preserve">wine producers </w:t>
      </w:r>
      <w:r w:rsidRPr="00317729">
        <w:rPr>
          <w:rFonts w:cs="Arial"/>
          <w:szCs w:val="22"/>
          <w:lang w:eastAsia="en-GB" w:bidi="ar-SA"/>
        </w:rPr>
        <w:t>and allow them to benefit from</w:t>
      </w:r>
      <w:r>
        <w:rPr>
          <w:rFonts w:cs="Arial"/>
          <w:szCs w:val="22"/>
          <w:lang w:eastAsia="en-GB" w:bidi="ar-SA"/>
        </w:rPr>
        <w:t xml:space="preserve"> </w:t>
      </w:r>
      <w:r w:rsidRPr="00317729">
        <w:rPr>
          <w:rFonts w:cs="Arial"/>
          <w:szCs w:val="22"/>
          <w:lang w:eastAsia="en-GB" w:bidi="ar-SA"/>
        </w:rPr>
        <w:t xml:space="preserve">increased </w:t>
      </w:r>
      <w:r>
        <w:rPr>
          <w:rFonts w:cs="Arial"/>
          <w:szCs w:val="22"/>
          <w:lang w:eastAsia="en-GB" w:bidi="ar-SA"/>
        </w:rPr>
        <w:t xml:space="preserve">wine quality, potential reduction in production costs and the opportunity for </w:t>
      </w:r>
      <w:r w:rsidRPr="00317729">
        <w:rPr>
          <w:rFonts w:cs="Arial"/>
          <w:szCs w:val="22"/>
          <w:lang w:eastAsia="en-GB" w:bidi="ar-SA"/>
        </w:rPr>
        <w:t>market development both do</w:t>
      </w:r>
      <w:r>
        <w:rPr>
          <w:rFonts w:cs="Arial"/>
          <w:szCs w:val="22"/>
          <w:lang w:eastAsia="en-GB" w:bidi="ar-SA"/>
        </w:rPr>
        <w:t xml:space="preserve">mestically and overseas. There are </w:t>
      </w:r>
      <w:r w:rsidRPr="00317729">
        <w:rPr>
          <w:rFonts w:cs="Arial"/>
          <w:szCs w:val="22"/>
          <w:lang w:eastAsia="en-GB" w:bidi="ar-SA"/>
        </w:rPr>
        <w:t>no</w:t>
      </w:r>
      <w:r>
        <w:rPr>
          <w:rFonts w:cs="Arial"/>
          <w:szCs w:val="22"/>
          <w:lang w:eastAsia="en-GB" w:bidi="ar-SA"/>
        </w:rPr>
        <w:t xml:space="preserve"> significant </w:t>
      </w:r>
      <w:r w:rsidRPr="00317729">
        <w:rPr>
          <w:rFonts w:cs="Arial"/>
          <w:szCs w:val="22"/>
          <w:lang w:eastAsia="en-GB" w:bidi="ar-SA"/>
        </w:rPr>
        <w:t>impact</w:t>
      </w:r>
      <w:r>
        <w:rPr>
          <w:rFonts w:cs="Arial"/>
          <w:szCs w:val="22"/>
          <w:lang w:eastAsia="en-GB" w:bidi="ar-SA"/>
        </w:rPr>
        <w:t>s</w:t>
      </w:r>
      <w:r w:rsidRPr="00317729">
        <w:rPr>
          <w:rFonts w:cs="Arial"/>
          <w:szCs w:val="22"/>
          <w:lang w:eastAsia="en-GB" w:bidi="ar-SA"/>
        </w:rPr>
        <w:t xml:space="preserve"> on government </w:t>
      </w:r>
      <w:r>
        <w:rPr>
          <w:rFonts w:cs="Arial"/>
          <w:szCs w:val="22"/>
          <w:lang w:eastAsia="en-GB" w:bidi="ar-SA"/>
        </w:rPr>
        <w:t xml:space="preserve">enforcement agencies arising from the </w:t>
      </w:r>
      <w:r w:rsidRPr="00317729">
        <w:rPr>
          <w:rFonts w:cs="Arial"/>
          <w:szCs w:val="22"/>
          <w:lang w:eastAsia="en-GB" w:bidi="ar-SA"/>
        </w:rPr>
        <w:t>addition of</w:t>
      </w:r>
      <w:r w:rsidR="00234296">
        <w:rPr>
          <w:rFonts w:cs="Arial"/>
          <w:szCs w:val="22"/>
          <w:lang w:eastAsia="en-GB" w:bidi="ar-SA"/>
        </w:rPr>
        <w:t xml:space="preserve"> sodium </w:t>
      </w:r>
      <w:r>
        <w:rPr>
          <w:rFonts w:cs="Arial"/>
          <w:szCs w:val="22"/>
          <w:lang w:eastAsia="en-GB" w:bidi="ar-SA"/>
        </w:rPr>
        <w:t xml:space="preserve">CMC </w:t>
      </w:r>
      <w:r w:rsidRPr="00317729">
        <w:rPr>
          <w:rFonts w:cs="Arial"/>
          <w:szCs w:val="22"/>
          <w:lang w:eastAsia="en-GB" w:bidi="ar-SA"/>
        </w:rPr>
        <w:t>to</w:t>
      </w:r>
      <w:r>
        <w:rPr>
          <w:rFonts w:cs="Arial"/>
          <w:szCs w:val="22"/>
          <w:lang w:eastAsia="en-GB" w:bidi="ar-SA"/>
        </w:rPr>
        <w:t xml:space="preserve"> wine. As other alternatives exist for tartrate stabilisation in wine</w:t>
      </w:r>
      <w:r w:rsidR="00777DC5">
        <w:rPr>
          <w:rFonts w:cs="Arial"/>
          <w:szCs w:val="22"/>
          <w:lang w:eastAsia="en-GB" w:bidi="ar-SA"/>
        </w:rPr>
        <w:t>,</w:t>
      </w:r>
      <w:r>
        <w:rPr>
          <w:rFonts w:cs="Arial"/>
          <w:szCs w:val="22"/>
          <w:lang w:eastAsia="en-GB" w:bidi="ar-SA"/>
        </w:rPr>
        <w:t xml:space="preserve"> </w:t>
      </w:r>
      <w:r w:rsidR="00234296">
        <w:rPr>
          <w:rFonts w:cs="Arial"/>
          <w:szCs w:val="22"/>
          <w:lang w:eastAsia="en-GB" w:bidi="ar-SA"/>
        </w:rPr>
        <w:t xml:space="preserve">sodium </w:t>
      </w:r>
      <w:r>
        <w:rPr>
          <w:rFonts w:cs="Arial"/>
          <w:szCs w:val="22"/>
          <w:lang w:eastAsia="en-GB" w:bidi="ar-SA"/>
        </w:rPr>
        <w:t xml:space="preserve">CMC will only be used by industry where there is a perceived benefit. </w:t>
      </w:r>
    </w:p>
    <w:p w:rsidR="00D80856" w:rsidRDefault="00D80856" w:rsidP="00D80856">
      <w:pPr>
        <w:widowControl/>
        <w:autoSpaceDE w:val="0"/>
        <w:autoSpaceDN w:val="0"/>
        <w:adjustRightInd w:val="0"/>
        <w:rPr>
          <w:rFonts w:cs="Arial"/>
          <w:szCs w:val="22"/>
          <w:lang w:eastAsia="en-GB" w:bidi="ar-SA"/>
        </w:rPr>
      </w:pPr>
    </w:p>
    <w:p w:rsidR="00D80856" w:rsidRPr="00671158" w:rsidRDefault="00D80856" w:rsidP="00D80856">
      <w:r w:rsidRPr="00635ACF">
        <w:t xml:space="preserve">Option 2 provides </w:t>
      </w:r>
      <w:r>
        <w:t xml:space="preserve">potential </w:t>
      </w:r>
      <w:r w:rsidRPr="00635ACF">
        <w:t xml:space="preserve">benefits to industry in terms of </w:t>
      </w:r>
      <w:r>
        <w:t xml:space="preserve">lower production costs and </w:t>
      </w:r>
      <w:r w:rsidRPr="00635ACF">
        <w:t xml:space="preserve">potential sales of </w:t>
      </w:r>
      <w:r>
        <w:t xml:space="preserve">wines </w:t>
      </w:r>
      <w:r w:rsidRPr="00635ACF">
        <w:t xml:space="preserve">containing </w:t>
      </w:r>
      <w:r w:rsidR="00515AD3">
        <w:t xml:space="preserve">sodium </w:t>
      </w:r>
      <w:r>
        <w:t>CMC</w:t>
      </w:r>
      <w:r w:rsidRPr="00635ACF">
        <w:t xml:space="preserve">, while consumers may benefit from possible improved </w:t>
      </w:r>
      <w:r>
        <w:t>quality wines and greater choice.</w:t>
      </w:r>
      <w:r w:rsidRPr="00635ACF">
        <w:t xml:space="preserve"> Option 2 does not appear to impose any </w:t>
      </w:r>
      <w:r>
        <w:t xml:space="preserve">additional </w:t>
      </w:r>
      <w:r w:rsidRPr="00635ACF">
        <w:t xml:space="preserve">costs </w:t>
      </w:r>
      <w:r w:rsidRPr="00671158">
        <w:t xml:space="preserve">on industry, consumers, public or </w:t>
      </w:r>
      <w:r w:rsidR="00777DC5" w:rsidRPr="00671158">
        <w:t>g</w:t>
      </w:r>
      <w:r w:rsidRPr="00671158">
        <w:t xml:space="preserve">overnment. </w:t>
      </w:r>
    </w:p>
    <w:p w:rsidR="00515AD3" w:rsidRPr="00671158" w:rsidRDefault="00515AD3" w:rsidP="00D80856"/>
    <w:p w:rsidR="00017B99" w:rsidRPr="00671158" w:rsidRDefault="00017B99" w:rsidP="00D80856">
      <w:r w:rsidRPr="00671158">
        <w:t xml:space="preserve">The majority of submissions (5/6) received in relation to this Application supported Option 2. </w:t>
      </w:r>
    </w:p>
    <w:p w:rsidR="003C4969" w:rsidRPr="00671158" w:rsidRDefault="003C4969">
      <w:pPr>
        <w:rPr>
          <w:rFonts w:cs="Arial"/>
        </w:rPr>
      </w:pPr>
    </w:p>
    <w:p w:rsidR="003C4969" w:rsidRPr="00671158" w:rsidRDefault="00807559" w:rsidP="007A44B4">
      <w:pPr>
        <w:pStyle w:val="Heading1"/>
      </w:pPr>
      <w:bookmarkStart w:id="109" w:name="_Toc304883960"/>
      <w:r w:rsidRPr="00671158">
        <w:t>C</w:t>
      </w:r>
      <w:r w:rsidR="003C4969" w:rsidRPr="00671158">
        <w:t>ommunication</w:t>
      </w:r>
      <w:r w:rsidR="00A74FD1" w:rsidRPr="00671158">
        <w:t xml:space="preserve"> and Consultation Strategy</w:t>
      </w:r>
      <w:bookmarkEnd w:id="109"/>
    </w:p>
    <w:p w:rsidR="003C4969" w:rsidRPr="00671158" w:rsidRDefault="003C4969">
      <w:pPr>
        <w:rPr>
          <w:rFonts w:cs="Arial"/>
        </w:rPr>
      </w:pPr>
    </w:p>
    <w:p w:rsidR="005B2ED8" w:rsidRPr="00671158" w:rsidRDefault="005B2ED8" w:rsidP="005B2ED8">
      <w:pPr>
        <w:pStyle w:val="Heading2"/>
        <w:rPr>
          <w:rFonts w:cs="Arial"/>
        </w:rPr>
      </w:pPr>
      <w:bookmarkStart w:id="110" w:name="_Toc304883961"/>
      <w:bookmarkStart w:id="111" w:name="_Toc120358592"/>
      <w:r w:rsidRPr="00671158">
        <w:rPr>
          <w:rFonts w:cs="Arial"/>
        </w:rPr>
        <w:t>9.</w:t>
      </w:r>
      <w:r w:rsidRPr="00671158">
        <w:rPr>
          <w:rFonts w:cs="Arial"/>
        </w:rPr>
        <w:tab/>
        <w:t>Communication</w:t>
      </w:r>
      <w:bookmarkEnd w:id="110"/>
      <w:r w:rsidRPr="00671158">
        <w:rPr>
          <w:rFonts w:cs="Arial"/>
        </w:rPr>
        <w:t xml:space="preserve"> </w:t>
      </w:r>
    </w:p>
    <w:bookmarkEnd w:id="111"/>
    <w:p w:rsidR="003C4969" w:rsidRPr="00671158" w:rsidRDefault="003C4969">
      <w:pPr>
        <w:rPr>
          <w:rFonts w:cs="Arial"/>
        </w:rPr>
      </w:pPr>
    </w:p>
    <w:p w:rsidR="00AA525B" w:rsidRDefault="00D80856" w:rsidP="006F2BF6">
      <w:pPr>
        <w:autoSpaceDE w:val="0"/>
        <w:autoSpaceDN w:val="0"/>
        <w:adjustRightInd w:val="0"/>
        <w:rPr>
          <w:rFonts w:cs="Arial"/>
        </w:rPr>
      </w:pPr>
      <w:r w:rsidRPr="00671158">
        <w:rPr>
          <w:szCs w:val="20"/>
          <w:lang w:val="en-AU"/>
        </w:rPr>
        <w:t xml:space="preserve">FSANZ applied a </w:t>
      </w:r>
      <w:r w:rsidRPr="00B731D0">
        <w:rPr>
          <w:szCs w:val="20"/>
          <w:lang w:val="en-AU"/>
        </w:rPr>
        <w:t xml:space="preserve">basic communication strategy to </w:t>
      </w:r>
      <w:r>
        <w:rPr>
          <w:szCs w:val="20"/>
          <w:lang w:val="en-AU"/>
        </w:rPr>
        <w:t>this Application.</w:t>
      </w:r>
      <w:r w:rsidRPr="00B731D0">
        <w:rPr>
          <w:szCs w:val="20"/>
          <w:lang w:val="en-AU"/>
        </w:rPr>
        <w:t xml:space="preserve"> </w:t>
      </w:r>
      <w:r w:rsidR="006F2BF6" w:rsidRPr="002E3D1A">
        <w:rPr>
          <w:rFonts w:cs="Arial"/>
        </w:rPr>
        <w:t xml:space="preserve">This </w:t>
      </w:r>
      <w:r w:rsidR="006F2BF6" w:rsidRPr="002E3D1A">
        <w:t>involved using the media, website, and Facebook and Twitter sites to encourage people to comment.</w:t>
      </w:r>
      <w:r w:rsidR="006F2BF6" w:rsidRPr="002E3D1A">
        <w:rPr>
          <w:rFonts w:cs="Arial"/>
        </w:rPr>
        <w:t xml:space="preserve"> </w:t>
      </w:r>
    </w:p>
    <w:p w:rsidR="006F2BF6" w:rsidRDefault="006F2BF6" w:rsidP="006F2BF6">
      <w:pPr>
        <w:autoSpaceDE w:val="0"/>
        <w:autoSpaceDN w:val="0"/>
        <w:adjustRightInd w:val="0"/>
        <w:rPr>
          <w:rFonts w:cs="Arial"/>
        </w:rPr>
      </w:pPr>
      <w:r w:rsidRPr="002E3D1A">
        <w:rPr>
          <w:rFonts w:cs="Arial"/>
        </w:rPr>
        <w:t xml:space="preserve">Email alerts were sent to more than </w:t>
      </w:r>
      <w:r w:rsidR="001A721A">
        <w:rPr>
          <w:rFonts w:cs="Arial"/>
        </w:rPr>
        <w:t>4500</w:t>
      </w:r>
      <w:r w:rsidR="001A721A" w:rsidRPr="002E3D1A">
        <w:rPr>
          <w:rFonts w:cs="Arial"/>
        </w:rPr>
        <w:t xml:space="preserve"> </w:t>
      </w:r>
      <w:r w:rsidRPr="002E3D1A">
        <w:rPr>
          <w:rFonts w:cs="Arial"/>
        </w:rPr>
        <w:t>subscribers to the FSANZ Notification Circular and to interested parties, including the Applicant.</w:t>
      </w:r>
    </w:p>
    <w:p w:rsidR="00D80856" w:rsidRDefault="00D80856" w:rsidP="00D80856">
      <w:pPr>
        <w:rPr>
          <w:szCs w:val="22"/>
        </w:rPr>
      </w:pPr>
    </w:p>
    <w:p w:rsidR="00D80856" w:rsidRPr="00B731D0" w:rsidRDefault="00D80856" w:rsidP="00D80856">
      <w:pPr>
        <w:rPr>
          <w:szCs w:val="22"/>
        </w:rPr>
      </w:pPr>
      <w:r w:rsidRPr="00B731D0">
        <w:rPr>
          <w:szCs w:val="22"/>
        </w:rPr>
        <w:t>The process by which FSANZ considers standard matters is open, accountable,</w:t>
      </w:r>
      <w:r>
        <w:rPr>
          <w:szCs w:val="22"/>
        </w:rPr>
        <w:t xml:space="preserve"> consultative and transparent. </w:t>
      </w:r>
      <w:r w:rsidRPr="00B731D0">
        <w:rPr>
          <w:szCs w:val="22"/>
        </w:rPr>
        <w:t>The purpose of inviting public submissions is to obtain the views of interested parti</w:t>
      </w:r>
      <w:r w:rsidR="009A57C0">
        <w:rPr>
          <w:szCs w:val="22"/>
        </w:rPr>
        <w:t>es on the issues raised by the A</w:t>
      </w:r>
      <w:r w:rsidRPr="00B731D0">
        <w:rPr>
          <w:szCs w:val="22"/>
        </w:rPr>
        <w:t>pplication and the impacts of re</w:t>
      </w:r>
      <w:r>
        <w:rPr>
          <w:szCs w:val="22"/>
        </w:rPr>
        <w:t>gulatory options.</w:t>
      </w:r>
      <w:r w:rsidRPr="00B731D0">
        <w:rPr>
          <w:szCs w:val="22"/>
        </w:rPr>
        <w:t xml:space="preserve"> </w:t>
      </w:r>
      <w:r w:rsidRPr="002E3D1A">
        <w:rPr>
          <w:szCs w:val="22"/>
        </w:rPr>
        <w:t xml:space="preserve">The issues raised in the public submissions </w:t>
      </w:r>
      <w:r w:rsidR="00E41FC8" w:rsidRPr="002E3D1A">
        <w:rPr>
          <w:szCs w:val="22"/>
        </w:rPr>
        <w:t xml:space="preserve">were </w:t>
      </w:r>
      <w:r w:rsidRPr="002E3D1A">
        <w:rPr>
          <w:szCs w:val="22"/>
        </w:rPr>
        <w:t xml:space="preserve">evaluated and addressed in </w:t>
      </w:r>
      <w:r w:rsidR="00E41FC8" w:rsidRPr="002E3D1A">
        <w:rPr>
          <w:szCs w:val="22"/>
        </w:rPr>
        <w:t>this Report</w:t>
      </w:r>
      <w:r w:rsidRPr="002E3D1A">
        <w:rPr>
          <w:szCs w:val="22"/>
        </w:rPr>
        <w:t>.</w:t>
      </w:r>
    </w:p>
    <w:p w:rsidR="00D80856" w:rsidRPr="00B731D0" w:rsidRDefault="00D80856" w:rsidP="00D80856">
      <w:pPr>
        <w:ind w:right="-214"/>
        <w:rPr>
          <w:szCs w:val="20"/>
          <w:lang w:val="en-AU"/>
        </w:rPr>
      </w:pPr>
    </w:p>
    <w:p w:rsidR="009A57C0" w:rsidRDefault="009A57C0" w:rsidP="00D80856">
      <w:pPr>
        <w:ind w:right="-214"/>
        <w:rPr>
          <w:szCs w:val="20"/>
          <w:lang w:val="en-AU"/>
        </w:rPr>
      </w:pPr>
      <w:r>
        <w:rPr>
          <w:szCs w:val="20"/>
          <w:lang w:val="en-AU"/>
        </w:rPr>
        <w:br w:type="page"/>
      </w:r>
    </w:p>
    <w:p w:rsidR="00D80856" w:rsidRPr="00671158" w:rsidRDefault="00D80856" w:rsidP="00D80856">
      <w:pPr>
        <w:ind w:right="-214"/>
        <w:rPr>
          <w:szCs w:val="20"/>
        </w:rPr>
      </w:pPr>
      <w:r w:rsidRPr="00B731D0">
        <w:rPr>
          <w:szCs w:val="20"/>
          <w:lang w:val="en-AU"/>
        </w:rPr>
        <w:lastRenderedPageBreak/>
        <w:t xml:space="preserve">The </w:t>
      </w:r>
      <w:r>
        <w:rPr>
          <w:szCs w:val="20"/>
          <w:lang w:val="en-AU"/>
        </w:rPr>
        <w:t>Applicant</w:t>
      </w:r>
      <w:r w:rsidRPr="00B731D0">
        <w:rPr>
          <w:szCs w:val="20"/>
          <w:lang w:val="en-AU"/>
        </w:rPr>
        <w:t>, individuals</w:t>
      </w:r>
      <w:r>
        <w:rPr>
          <w:szCs w:val="20"/>
          <w:lang w:val="en-AU"/>
        </w:rPr>
        <w:t>,</w:t>
      </w:r>
      <w:r w:rsidRPr="00B731D0">
        <w:rPr>
          <w:szCs w:val="20"/>
          <w:lang w:val="en-AU"/>
        </w:rPr>
        <w:t xml:space="preserve"> and organisations making submissions on this </w:t>
      </w:r>
      <w:r>
        <w:rPr>
          <w:szCs w:val="20"/>
          <w:lang w:val="en-AU"/>
        </w:rPr>
        <w:t>Application,</w:t>
      </w:r>
      <w:r w:rsidRPr="00B731D0">
        <w:rPr>
          <w:szCs w:val="20"/>
          <w:lang w:val="en-AU"/>
        </w:rPr>
        <w:t xml:space="preserve"> will be notified at </w:t>
      </w:r>
      <w:r>
        <w:rPr>
          <w:szCs w:val="20"/>
          <w:lang w:val="en-AU"/>
        </w:rPr>
        <w:t xml:space="preserve">each stage of the Application. </w:t>
      </w:r>
      <w:r w:rsidR="009A57C0">
        <w:rPr>
          <w:szCs w:val="20"/>
        </w:rPr>
        <w:t xml:space="preserve">The </w:t>
      </w:r>
      <w:r w:rsidRPr="00B731D0">
        <w:rPr>
          <w:szCs w:val="20"/>
        </w:rPr>
        <w:t>FSANZ Board</w:t>
      </w:r>
      <w:r w:rsidR="009A57C0">
        <w:rPr>
          <w:szCs w:val="20"/>
        </w:rPr>
        <w:t>’s decision</w:t>
      </w:r>
      <w:r w:rsidRPr="00B731D0">
        <w:rPr>
          <w:szCs w:val="20"/>
        </w:rPr>
        <w:t xml:space="preserve"> </w:t>
      </w:r>
      <w:r w:rsidR="009A57C0">
        <w:rPr>
          <w:szCs w:val="20"/>
        </w:rPr>
        <w:t xml:space="preserve">has been </w:t>
      </w:r>
      <w:r w:rsidRPr="00B731D0">
        <w:rPr>
          <w:szCs w:val="20"/>
        </w:rPr>
        <w:t>notif</w:t>
      </w:r>
      <w:r w:rsidR="009A57C0">
        <w:rPr>
          <w:szCs w:val="20"/>
        </w:rPr>
        <w:t xml:space="preserve">ied </w:t>
      </w:r>
      <w:r w:rsidRPr="00671158">
        <w:rPr>
          <w:szCs w:val="20"/>
        </w:rPr>
        <w:t xml:space="preserve">to the Ministerial Council. </w:t>
      </w:r>
      <w:r w:rsidR="009A57C0">
        <w:rPr>
          <w:szCs w:val="20"/>
        </w:rPr>
        <w:t>I</w:t>
      </w:r>
      <w:r w:rsidR="009A57C0" w:rsidRPr="00671158">
        <w:rPr>
          <w:szCs w:val="20"/>
        </w:rPr>
        <w:t xml:space="preserve">f </w:t>
      </w:r>
      <w:r w:rsidR="009A57C0">
        <w:rPr>
          <w:szCs w:val="20"/>
        </w:rPr>
        <w:t>no request for a review of the decision is made</w:t>
      </w:r>
      <w:r w:rsidR="009A57C0" w:rsidRPr="00671158">
        <w:rPr>
          <w:szCs w:val="20"/>
        </w:rPr>
        <w:t xml:space="preserve"> by the Ministerial Council</w:t>
      </w:r>
      <w:r w:rsidR="009A57C0">
        <w:rPr>
          <w:szCs w:val="20"/>
        </w:rPr>
        <w:t>, t</w:t>
      </w:r>
      <w:r w:rsidRPr="00671158">
        <w:rPr>
          <w:szCs w:val="20"/>
        </w:rPr>
        <w:t>he Applicant and stakeholders, including the public, will be notified of th</w:t>
      </w:r>
      <w:r w:rsidR="009A57C0">
        <w:rPr>
          <w:szCs w:val="20"/>
        </w:rPr>
        <w:t>e gazetted changes to the Code</w:t>
      </w:r>
      <w:r w:rsidRPr="00671158">
        <w:rPr>
          <w:szCs w:val="20"/>
        </w:rPr>
        <w:t xml:space="preserve"> in the national press and on the FSANZ website. </w:t>
      </w:r>
    </w:p>
    <w:p w:rsidR="003C4969" w:rsidRPr="00671158" w:rsidRDefault="003C4969">
      <w:pPr>
        <w:rPr>
          <w:rFonts w:cs="Arial"/>
        </w:rPr>
      </w:pPr>
    </w:p>
    <w:p w:rsidR="005B2ED8" w:rsidRPr="00671158" w:rsidRDefault="005B2ED8" w:rsidP="005B2ED8">
      <w:pPr>
        <w:pStyle w:val="Heading2"/>
        <w:rPr>
          <w:rFonts w:cs="Arial"/>
        </w:rPr>
      </w:pPr>
      <w:bookmarkStart w:id="112" w:name="_Toc304883962"/>
      <w:bookmarkStart w:id="113" w:name="_Toc11735640"/>
      <w:bookmarkStart w:id="114" w:name="_Toc29883125"/>
      <w:bookmarkStart w:id="115" w:name="_Toc41906812"/>
      <w:bookmarkStart w:id="116" w:name="_Toc41907559"/>
      <w:bookmarkStart w:id="117" w:name="_Toc120358593"/>
      <w:r w:rsidRPr="00671158">
        <w:rPr>
          <w:rFonts w:cs="Arial"/>
        </w:rPr>
        <w:t>10.</w:t>
      </w:r>
      <w:r w:rsidRPr="00671158">
        <w:rPr>
          <w:rFonts w:cs="Arial"/>
        </w:rPr>
        <w:tab/>
        <w:t>Consultation</w:t>
      </w:r>
      <w:bookmarkEnd w:id="112"/>
      <w:r w:rsidRPr="00671158">
        <w:rPr>
          <w:rFonts w:cs="Arial"/>
        </w:rPr>
        <w:t xml:space="preserve"> </w:t>
      </w:r>
    </w:p>
    <w:bookmarkEnd w:id="113"/>
    <w:bookmarkEnd w:id="114"/>
    <w:bookmarkEnd w:id="115"/>
    <w:bookmarkEnd w:id="116"/>
    <w:bookmarkEnd w:id="117"/>
    <w:p w:rsidR="00D80856" w:rsidRPr="00671158" w:rsidRDefault="00D80856" w:rsidP="00517A87"/>
    <w:p w:rsidR="00D80856" w:rsidRPr="00671158" w:rsidRDefault="00D80856" w:rsidP="00D80856">
      <w:pPr>
        <w:pStyle w:val="Heading3"/>
        <w:rPr>
          <w:rFonts w:cs="Arial"/>
        </w:rPr>
      </w:pPr>
      <w:bookmarkStart w:id="118" w:name="_Toc304883963"/>
      <w:r w:rsidRPr="00671158">
        <w:rPr>
          <w:rFonts w:cs="Arial"/>
        </w:rPr>
        <w:t>10.1</w:t>
      </w:r>
      <w:r w:rsidRPr="00671158">
        <w:rPr>
          <w:rFonts w:cs="Arial"/>
        </w:rPr>
        <w:tab/>
        <w:t>Public Consultation</w:t>
      </w:r>
      <w:bookmarkEnd w:id="118"/>
    </w:p>
    <w:p w:rsidR="00D80856" w:rsidRPr="00671158" w:rsidRDefault="00D80856" w:rsidP="00D80856"/>
    <w:p w:rsidR="003C4969" w:rsidRPr="002E3D1A" w:rsidRDefault="00292363">
      <w:pPr>
        <w:rPr>
          <w:rFonts w:cs="Arial"/>
        </w:rPr>
      </w:pPr>
      <w:r w:rsidRPr="00671158">
        <w:rPr>
          <w:rFonts w:cs="Arial"/>
        </w:rPr>
        <w:t xml:space="preserve">The Assessment Report was notified </w:t>
      </w:r>
      <w:r w:rsidRPr="002E3D1A">
        <w:rPr>
          <w:rFonts w:cs="Arial"/>
        </w:rPr>
        <w:t xml:space="preserve">for public comment between 31 May and 11 July 2011.  Comments were specifically requested on the scientific aspects of the Application including its technological function and safety considerations, as well as information relating to any potential </w:t>
      </w:r>
      <w:r w:rsidR="00B05AA3" w:rsidRPr="002E3D1A">
        <w:rPr>
          <w:rFonts w:cs="Arial"/>
        </w:rPr>
        <w:t>costs or benefits associated w</w:t>
      </w:r>
      <w:r w:rsidR="00861039" w:rsidRPr="002E3D1A">
        <w:rPr>
          <w:rFonts w:cs="Arial"/>
        </w:rPr>
        <w:t>i</w:t>
      </w:r>
      <w:r w:rsidR="00B05AA3" w:rsidRPr="002E3D1A">
        <w:rPr>
          <w:rFonts w:cs="Arial"/>
        </w:rPr>
        <w:t>th</w:t>
      </w:r>
      <w:r w:rsidR="00861039" w:rsidRPr="002E3D1A">
        <w:rPr>
          <w:rFonts w:cs="Arial"/>
        </w:rPr>
        <w:t xml:space="preserve"> use of </w:t>
      </w:r>
      <w:r w:rsidR="00515AD3">
        <w:rPr>
          <w:rFonts w:cs="Arial"/>
        </w:rPr>
        <w:t xml:space="preserve">sodium </w:t>
      </w:r>
      <w:r w:rsidR="00861039" w:rsidRPr="002E3D1A">
        <w:rPr>
          <w:rFonts w:cs="Arial"/>
        </w:rPr>
        <w:t xml:space="preserve">CMC in wine or sparkling wine. As this Application was assessed under a General Procedure, only one round of public comment was applicable.  </w:t>
      </w:r>
    </w:p>
    <w:p w:rsidR="00861039" w:rsidRPr="002E3D1A" w:rsidRDefault="00861039">
      <w:pPr>
        <w:rPr>
          <w:rFonts w:cs="Arial"/>
        </w:rPr>
      </w:pPr>
    </w:p>
    <w:p w:rsidR="00580E27" w:rsidRDefault="00EF36B4" w:rsidP="00AE41E4">
      <w:pPr>
        <w:rPr>
          <w:rFonts w:cs="Arial"/>
        </w:rPr>
      </w:pPr>
      <w:r w:rsidRPr="002E3D1A">
        <w:rPr>
          <w:rFonts w:cs="Arial"/>
        </w:rPr>
        <w:t>Six</w:t>
      </w:r>
      <w:r w:rsidR="00861039" w:rsidRPr="002E3D1A">
        <w:rPr>
          <w:rFonts w:cs="Arial"/>
        </w:rPr>
        <w:t xml:space="preserve"> submissions were received during the public consultation period. </w:t>
      </w:r>
      <w:r w:rsidRPr="002E3D1A">
        <w:rPr>
          <w:rFonts w:cs="Arial"/>
        </w:rPr>
        <w:t xml:space="preserve">Five </w:t>
      </w:r>
      <w:r w:rsidR="00861039" w:rsidRPr="002E3D1A">
        <w:rPr>
          <w:rFonts w:cs="Arial"/>
        </w:rPr>
        <w:t xml:space="preserve">submitters supported the Application, being </w:t>
      </w:r>
      <w:r w:rsidRPr="002E3D1A">
        <w:rPr>
          <w:rFonts w:cs="Arial"/>
        </w:rPr>
        <w:t xml:space="preserve">two government </w:t>
      </w:r>
      <w:r w:rsidR="00AE41E4" w:rsidRPr="002E3D1A">
        <w:rPr>
          <w:rFonts w:cs="Arial"/>
        </w:rPr>
        <w:t xml:space="preserve">agencies, two </w:t>
      </w:r>
      <w:r w:rsidR="00345F2B">
        <w:rPr>
          <w:rFonts w:cs="Arial"/>
        </w:rPr>
        <w:t>professional organisations</w:t>
      </w:r>
      <w:r w:rsidR="00AE41E4" w:rsidRPr="002E3D1A">
        <w:rPr>
          <w:rFonts w:cs="Arial"/>
        </w:rPr>
        <w:t xml:space="preserve"> </w:t>
      </w:r>
      <w:r w:rsidR="00861039" w:rsidRPr="002E3D1A">
        <w:rPr>
          <w:rFonts w:cs="Arial"/>
        </w:rPr>
        <w:t xml:space="preserve">and one wine producer. </w:t>
      </w:r>
      <w:r w:rsidR="00AE41E4" w:rsidRPr="002E3D1A">
        <w:rPr>
          <w:rFonts w:cs="Arial"/>
        </w:rPr>
        <w:t xml:space="preserve">One member of the public did not support the application. </w:t>
      </w:r>
    </w:p>
    <w:p w:rsidR="00580E27" w:rsidRDefault="00580E27" w:rsidP="00AE41E4">
      <w:pPr>
        <w:rPr>
          <w:rFonts w:cs="Arial"/>
        </w:rPr>
      </w:pPr>
    </w:p>
    <w:p w:rsidR="00AE41E4" w:rsidRDefault="00861039" w:rsidP="00AE41E4">
      <w:pPr>
        <w:rPr>
          <w:rFonts w:cs="Arial"/>
        </w:rPr>
      </w:pPr>
      <w:r w:rsidRPr="002E3D1A">
        <w:rPr>
          <w:rFonts w:cs="Arial"/>
        </w:rPr>
        <w:t xml:space="preserve">FSANZ thanks all submitters for their comments, and has taken these comments into account in preparing the Approval report for this Application. </w:t>
      </w:r>
      <w:r w:rsidR="00AE41E4" w:rsidRPr="002E3D1A">
        <w:rPr>
          <w:rFonts w:cs="Arial"/>
        </w:rPr>
        <w:t xml:space="preserve">A summary of these and FSANZ’s response is provided in </w:t>
      </w:r>
      <w:r w:rsidR="00AE41E4" w:rsidRPr="002E3D1A">
        <w:rPr>
          <w:rFonts w:cs="Arial"/>
          <w:b/>
        </w:rPr>
        <w:t>Attachment 2.</w:t>
      </w:r>
    </w:p>
    <w:p w:rsidR="00861039" w:rsidRDefault="00861039">
      <w:pPr>
        <w:rPr>
          <w:rFonts w:cs="Arial"/>
        </w:rPr>
      </w:pPr>
    </w:p>
    <w:p w:rsidR="003C4969" w:rsidRPr="00460321" w:rsidRDefault="00F37325" w:rsidP="00460321">
      <w:pPr>
        <w:pStyle w:val="Heading3"/>
      </w:pPr>
      <w:bookmarkStart w:id="119" w:name="_Toc15456903"/>
      <w:bookmarkStart w:id="120" w:name="_Toc20727764"/>
      <w:bookmarkStart w:id="121" w:name="_Toc29727729"/>
      <w:bookmarkStart w:id="122" w:name="_Toc29883126"/>
      <w:bookmarkStart w:id="123" w:name="_Toc41906813"/>
      <w:bookmarkStart w:id="124" w:name="_Toc41907560"/>
      <w:bookmarkStart w:id="125" w:name="_Toc120358594"/>
      <w:bookmarkStart w:id="126" w:name="_Toc304883964"/>
      <w:r>
        <w:t>10.2</w:t>
      </w:r>
      <w:r>
        <w:tab/>
      </w:r>
      <w:r w:rsidR="003C4969" w:rsidRPr="00460321">
        <w:t>World Trade Organization (WTO)</w:t>
      </w:r>
      <w:bookmarkEnd w:id="119"/>
      <w:bookmarkEnd w:id="120"/>
      <w:bookmarkEnd w:id="121"/>
      <w:bookmarkEnd w:id="122"/>
      <w:bookmarkEnd w:id="123"/>
      <w:bookmarkEnd w:id="124"/>
      <w:bookmarkEnd w:id="125"/>
      <w:bookmarkEnd w:id="126"/>
    </w:p>
    <w:p w:rsidR="00D80856" w:rsidRPr="00460321" w:rsidRDefault="00D80856" w:rsidP="00460321">
      <w:pPr>
        <w:pStyle w:val="Heading3"/>
      </w:pPr>
    </w:p>
    <w:p w:rsidR="00D80856" w:rsidRPr="00DC6570" w:rsidRDefault="00D80856" w:rsidP="00D80856">
      <w:pPr>
        <w:keepNext/>
        <w:keepLines/>
        <w:widowControl/>
        <w:rPr>
          <w:rFonts w:cs="Arial"/>
          <w:color w:val="000000"/>
        </w:rPr>
      </w:pPr>
      <w:r w:rsidRPr="00DC6570">
        <w:rPr>
          <w:rFonts w:cs="Arial"/>
          <w:color w:val="000000"/>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rsidR="00D80856" w:rsidRPr="00106EDF" w:rsidRDefault="00D80856" w:rsidP="00D80856">
      <w:pPr>
        <w:rPr>
          <w:rFonts w:cs="Arial"/>
        </w:rPr>
      </w:pPr>
    </w:p>
    <w:p w:rsidR="00D80856" w:rsidRPr="00106EDF" w:rsidRDefault="00D80856" w:rsidP="00D80856">
      <w:pPr>
        <w:tabs>
          <w:tab w:val="left" w:pos="1560"/>
        </w:tabs>
        <w:rPr>
          <w:rFonts w:cs="Arial"/>
        </w:rPr>
      </w:pPr>
      <w:r w:rsidRPr="007F3A2F">
        <w:rPr>
          <w:rFonts w:cs="Arial"/>
        </w:rPr>
        <w:t xml:space="preserve">The proposed amendments to Standards 1.3.1 and 4.5.1 are likely to enable increased international trade as amending the Code will align it with relevant international standards written by </w:t>
      </w:r>
      <w:r>
        <w:rPr>
          <w:rFonts w:cs="Arial"/>
        </w:rPr>
        <w:t>the EU</w:t>
      </w:r>
      <w:r w:rsidRPr="007F3A2F">
        <w:rPr>
          <w:rFonts w:cs="Arial"/>
        </w:rPr>
        <w:t xml:space="preserve"> and the </w:t>
      </w:r>
      <w:r>
        <w:rPr>
          <w:rFonts w:cs="Arial"/>
        </w:rPr>
        <w:t>International</w:t>
      </w:r>
      <w:r w:rsidRPr="003D5AC6">
        <w:rPr>
          <w:rFonts w:cs="Arial"/>
        </w:rPr>
        <w:t xml:space="preserve"> Organisation of </w:t>
      </w:r>
      <w:r>
        <w:rPr>
          <w:rFonts w:cs="Arial"/>
        </w:rPr>
        <w:t>V</w:t>
      </w:r>
      <w:r w:rsidRPr="003D5AC6">
        <w:rPr>
          <w:rFonts w:cs="Arial"/>
        </w:rPr>
        <w:t xml:space="preserve">ine and </w:t>
      </w:r>
      <w:r>
        <w:rPr>
          <w:rFonts w:cs="Arial"/>
        </w:rPr>
        <w:t>W</w:t>
      </w:r>
      <w:r w:rsidRPr="003D5AC6">
        <w:rPr>
          <w:rFonts w:cs="Arial"/>
        </w:rPr>
        <w:t xml:space="preserve">ine. </w:t>
      </w:r>
    </w:p>
    <w:p w:rsidR="00D80856" w:rsidRPr="00671158" w:rsidRDefault="00D80856" w:rsidP="00D80856">
      <w:pPr>
        <w:tabs>
          <w:tab w:val="left" w:pos="1560"/>
        </w:tabs>
        <w:rPr>
          <w:rFonts w:cs="Arial"/>
        </w:rPr>
      </w:pPr>
    </w:p>
    <w:p w:rsidR="00D80856" w:rsidRPr="00671158" w:rsidRDefault="00D80856" w:rsidP="006E7423">
      <w:pPr>
        <w:keepNext/>
        <w:keepLines/>
        <w:tabs>
          <w:tab w:val="left" w:pos="1560"/>
        </w:tabs>
        <w:rPr>
          <w:rFonts w:cs="Arial"/>
        </w:rPr>
      </w:pPr>
      <w:r w:rsidRPr="00671158">
        <w:rPr>
          <w:rFonts w:cs="Arial"/>
        </w:rPr>
        <w:t>Notification to WTO under Australia</w:t>
      </w:r>
      <w:r w:rsidR="00580E27" w:rsidRPr="00671158">
        <w:rPr>
          <w:rFonts w:cs="Arial"/>
        </w:rPr>
        <w:t>’s</w:t>
      </w:r>
      <w:r w:rsidRPr="00671158">
        <w:rPr>
          <w:rFonts w:cs="Arial"/>
        </w:rPr>
        <w:t xml:space="preserve"> and New Zealand’s obligations under the WTO Technical Barriers to Trade or Sanitary and Phytosanitary Measures Agreements is not considered necessary. </w:t>
      </w:r>
    </w:p>
    <w:p w:rsidR="003C4969" w:rsidRDefault="003C4969" w:rsidP="00D80856">
      <w:pPr>
        <w:rPr>
          <w:rFonts w:cs="Arial"/>
        </w:rPr>
      </w:pPr>
    </w:p>
    <w:p w:rsidR="002C2E2F" w:rsidRPr="00671158" w:rsidRDefault="00C11CE8" w:rsidP="002C2E2F">
      <w:pPr>
        <w:pStyle w:val="Heading1"/>
      </w:pPr>
      <w:bookmarkStart w:id="127" w:name="_Toc304883965"/>
      <w:r>
        <w:t>Primary Legislative Objectives</w:t>
      </w:r>
      <w:bookmarkEnd w:id="127"/>
    </w:p>
    <w:p w:rsidR="002C2E2F" w:rsidRDefault="002C2E2F" w:rsidP="002C2E2F">
      <w:pPr>
        <w:pStyle w:val="Heading2"/>
      </w:pPr>
    </w:p>
    <w:p w:rsidR="002C2E2F" w:rsidRPr="004A5693" w:rsidRDefault="004600AB" w:rsidP="002C2E2F">
      <w:pPr>
        <w:pStyle w:val="Heading2"/>
      </w:pPr>
      <w:bookmarkStart w:id="128" w:name="_Toc304883966"/>
      <w:r w:rsidRPr="00671158">
        <w:t>1</w:t>
      </w:r>
      <w:r>
        <w:t>1</w:t>
      </w:r>
      <w:r w:rsidRPr="00671158">
        <w:t>.</w:t>
      </w:r>
      <w:r w:rsidRPr="00671158">
        <w:tab/>
      </w:r>
      <w:r w:rsidR="002C2E2F" w:rsidRPr="004A5693">
        <w:t xml:space="preserve">Addressing the </w:t>
      </w:r>
      <w:r>
        <w:rPr>
          <w:rFonts w:cs="Arial"/>
        </w:rPr>
        <w:t>P</w:t>
      </w:r>
      <w:r w:rsidR="002C2E2F" w:rsidRPr="004A5693">
        <w:rPr>
          <w:rFonts w:cs="Arial"/>
        </w:rPr>
        <w:t xml:space="preserve">rimary </w:t>
      </w:r>
      <w:r>
        <w:rPr>
          <w:rFonts w:cs="Arial"/>
        </w:rPr>
        <w:t>Objectives of S</w:t>
      </w:r>
      <w:r w:rsidR="002C2E2F" w:rsidRPr="004A5693">
        <w:rPr>
          <w:rFonts w:cs="Arial"/>
        </w:rPr>
        <w:t>ection 18 of the FSANZ Act.</w:t>
      </w:r>
      <w:bookmarkEnd w:id="128"/>
      <w:r w:rsidR="002C2E2F" w:rsidRPr="004A5693">
        <w:rPr>
          <w:rFonts w:cs="Arial"/>
        </w:rPr>
        <w:t xml:space="preserve">  </w:t>
      </w:r>
    </w:p>
    <w:p w:rsidR="002C2E2F" w:rsidRPr="004A5693" w:rsidRDefault="002C2E2F" w:rsidP="002C2E2F"/>
    <w:p w:rsidR="002C2E2F" w:rsidRPr="004A5693" w:rsidRDefault="002C2E2F" w:rsidP="002C2E2F">
      <w:r w:rsidRPr="004A5693">
        <w:t>The legislative objectives that FSANZ is required to meet when developing or varying a food standard are noted in section 3. FSANZ considers the primary objective of most relevance to this Application is the protection of public health and safety. The</w:t>
      </w:r>
      <w:r w:rsidRPr="004A5693">
        <w:rPr>
          <w:rFonts w:cs="Arial"/>
        </w:rPr>
        <w:t xml:space="preserve"> other two have less direct relevance although are also taken into consideration</w:t>
      </w:r>
      <w:r w:rsidRPr="004A5693">
        <w:t xml:space="preserve">. </w:t>
      </w:r>
    </w:p>
    <w:p w:rsidR="002C2E2F" w:rsidRPr="004A5693" w:rsidRDefault="002C2E2F" w:rsidP="002C2E2F"/>
    <w:p w:rsidR="00585A33" w:rsidRDefault="00585A33" w:rsidP="004600AB">
      <w:pPr>
        <w:pStyle w:val="Heading3"/>
        <w:rPr>
          <w:rFonts w:cs="Arial"/>
        </w:rPr>
      </w:pPr>
      <w:bookmarkStart w:id="129" w:name="_Toc304883967"/>
      <w:r>
        <w:rPr>
          <w:rFonts w:cs="Arial"/>
        </w:rPr>
        <w:br w:type="page"/>
      </w:r>
    </w:p>
    <w:p w:rsidR="004600AB" w:rsidRPr="00671158" w:rsidRDefault="004600AB" w:rsidP="004600AB">
      <w:pPr>
        <w:pStyle w:val="Heading3"/>
        <w:rPr>
          <w:rFonts w:cs="Arial"/>
        </w:rPr>
      </w:pPr>
      <w:r>
        <w:rPr>
          <w:rFonts w:cs="Arial"/>
        </w:rPr>
        <w:lastRenderedPageBreak/>
        <w:t>11</w:t>
      </w:r>
      <w:r w:rsidRPr="00671158">
        <w:rPr>
          <w:rFonts w:cs="Arial"/>
        </w:rPr>
        <w:t>.1</w:t>
      </w:r>
      <w:r w:rsidRPr="00671158">
        <w:rPr>
          <w:rFonts w:cs="Arial"/>
        </w:rPr>
        <w:tab/>
      </w:r>
      <w:r>
        <w:rPr>
          <w:rFonts w:cs="Arial"/>
        </w:rPr>
        <w:t>Risk to Public Health and Safety</w:t>
      </w:r>
      <w:bookmarkEnd w:id="129"/>
      <w:r>
        <w:rPr>
          <w:rFonts w:cs="Arial"/>
        </w:rPr>
        <w:t xml:space="preserve"> </w:t>
      </w:r>
    </w:p>
    <w:p w:rsidR="002C2E2F" w:rsidRPr="004A5693" w:rsidRDefault="002C2E2F" w:rsidP="004600AB">
      <w:pPr>
        <w:keepNext/>
        <w:keepLines/>
        <w:ind w:left="851" w:hanging="851"/>
        <w:outlineLvl w:val="3"/>
      </w:pPr>
    </w:p>
    <w:p w:rsidR="002C2E2F" w:rsidRPr="004A5693" w:rsidRDefault="002C2E2F" w:rsidP="002C2E2F">
      <w:pPr>
        <w:tabs>
          <w:tab w:val="left" w:pos="567"/>
        </w:tabs>
        <w:rPr>
          <w:rFonts w:cs="Arial"/>
        </w:rPr>
      </w:pPr>
      <w:r w:rsidRPr="004A5693">
        <w:t xml:space="preserve">FSANZ concludes that approval for use of sodium CMC as an additive in wine does not pose a public health and safety risk to Australian and New Zealand consumers. </w:t>
      </w:r>
    </w:p>
    <w:p w:rsidR="002C2E2F" w:rsidRDefault="002C2E2F" w:rsidP="002C2E2F"/>
    <w:p w:rsidR="004600AB" w:rsidRPr="004600AB" w:rsidRDefault="004600AB" w:rsidP="00E74EDE">
      <w:pPr>
        <w:pStyle w:val="Heading3"/>
      </w:pPr>
      <w:bookmarkStart w:id="130" w:name="_Toc304883968"/>
      <w:r w:rsidRPr="004600AB">
        <w:t>11.</w:t>
      </w:r>
      <w:r>
        <w:t>2</w:t>
      </w:r>
      <w:r w:rsidRPr="004600AB">
        <w:tab/>
      </w:r>
      <w:r>
        <w:t>Providing Adequate Information to Enable Informed Choice – Labelling</w:t>
      </w:r>
      <w:bookmarkEnd w:id="130"/>
      <w:r>
        <w:t xml:space="preserve"> </w:t>
      </w:r>
      <w:r w:rsidRPr="004600AB">
        <w:t xml:space="preserve"> </w:t>
      </w:r>
    </w:p>
    <w:p w:rsidR="002C2E2F" w:rsidRPr="004A5693" w:rsidRDefault="002C2E2F" w:rsidP="002C2E2F"/>
    <w:p w:rsidR="002C2E2F" w:rsidRDefault="002C2E2F" w:rsidP="002C2E2F">
      <w:r>
        <w:t xml:space="preserve">As noted in Section 6.3, </w:t>
      </w:r>
      <w:r w:rsidRPr="004A5693">
        <w:t xml:space="preserve">FSANZ considers no mandatory labelling is necessary for the use of sodium </w:t>
      </w:r>
      <w:r w:rsidRPr="004A5693">
        <w:rPr>
          <w:rFonts w:cs="Arial"/>
        </w:rPr>
        <w:t>CMC as an additive in wine</w:t>
      </w:r>
      <w:r>
        <w:rPr>
          <w:rFonts w:cs="Arial"/>
        </w:rPr>
        <w:t xml:space="preserve">. </w:t>
      </w:r>
      <w:r w:rsidRPr="004A5693">
        <w:t xml:space="preserve"> </w:t>
      </w:r>
    </w:p>
    <w:p w:rsidR="002C2E2F" w:rsidRDefault="002C2E2F" w:rsidP="002C2E2F"/>
    <w:p w:rsidR="002C2E2F" w:rsidRPr="004A5693" w:rsidRDefault="002C2E2F" w:rsidP="002C2E2F">
      <w:r w:rsidRPr="004A5693">
        <w:t xml:space="preserve">This means that the use of sodium </w:t>
      </w:r>
      <w:r w:rsidRPr="004A5693">
        <w:rPr>
          <w:rFonts w:cs="Arial"/>
        </w:rPr>
        <w:t>CMC as an additive in wine</w:t>
      </w:r>
      <w:r w:rsidRPr="004A5693">
        <w:t xml:space="preserve"> will not be required to be declared. However, sodium </w:t>
      </w:r>
      <w:r w:rsidRPr="004A5693">
        <w:rPr>
          <w:rFonts w:cs="Arial"/>
        </w:rPr>
        <w:t>CMC is not unique in this respect.</w:t>
      </w:r>
    </w:p>
    <w:p w:rsidR="002C2E2F" w:rsidRPr="004A5693" w:rsidRDefault="002C2E2F" w:rsidP="002C2E2F"/>
    <w:p w:rsidR="004600AB" w:rsidRPr="004600AB" w:rsidRDefault="004600AB" w:rsidP="00E74EDE">
      <w:pPr>
        <w:pStyle w:val="Heading3"/>
      </w:pPr>
      <w:bookmarkStart w:id="131" w:name="_Toc304883969"/>
      <w:r w:rsidRPr="004600AB">
        <w:t>11</w:t>
      </w:r>
      <w:r>
        <w:t>.3</w:t>
      </w:r>
      <w:r w:rsidRPr="004600AB">
        <w:tab/>
      </w:r>
      <w:r>
        <w:t>Prevention of Misleading and Deceptive Conduct</w:t>
      </w:r>
      <w:bookmarkEnd w:id="131"/>
      <w:r>
        <w:t xml:space="preserve"> </w:t>
      </w:r>
      <w:r w:rsidRPr="004600AB">
        <w:t xml:space="preserve"> </w:t>
      </w:r>
    </w:p>
    <w:p w:rsidR="004600AB" w:rsidRDefault="004600AB" w:rsidP="002C2E2F">
      <w:pPr>
        <w:keepNext/>
        <w:keepLines/>
        <w:ind w:left="851" w:hanging="851"/>
        <w:outlineLvl w:val="3"/>
        <w:rPr>
          <w:bCs/>
          <w:i/>
          <w:szCs w:val="28"/>
        </w:rPr>
      </w:pPr>
    </w:p>
    <w:p w:rsidR="002C2E2F" w:rsidRDefault="002C2E2F" w:rsidP="002C2E2F">
      <w:r w:rsidRPr="004A5693">
        <w:t xml:space="preserve">FSANZ has considered this objective and concludes there </w:t>
      </w:r>
      <w:proofErr w:type="gramStart"/>
      <w:r w:rsidRPr="004A5693">
        <w:t>are</w:t>
      </w:r>
      <w:proofErr w:type="gramEnd"/>
      <w:r w:rsidRPr="004A5693">
        <w:t xml:space="preserve"> no particular misleading or deceptive conduct aspects to this assessment</w:t>
      </w:r>
      <w:r>
        <w:t>.</w:t>
      </w:r>
    </w:p>
    <w:p w:rsidR="002C2E2F" w:rsidRPr="00671158" w:rsidRDefault="002C2E2F" w:rsidP="00D80856">
      <w:pPr>
        <w:rPr>
          <w:rFonts w:cs="Arial"/>
        </w:rPr>
      </w:pPr>
    </w:p>
    <w:p w:rsidR="005F7342" w:rsidRPr="00671158" w:rsidRDefault="005F7342" w:rsidP="007A44B4">
      <w:pPr>
        <w:pStyle w:val="Heading1"/>
      </w:pPr>
      <w:bookmarkStart w:id="132" w:name="_Toc304883970"/>
      <w:r w:rsidRPr="00671158">
        <w:t>Conclusion</w:t>
      </w:r>
      <w:bookmarkEnd w:id="132"/>
    </w:p>
    <w:p w:rsidR="005F7342" w:rsidRPr="00671158" w:rsidRDefault="005F7342" w:rsidP="005F7342">
      <w:pPr>
        <w:rPr>
          <w:rFonts w:cs="Arial"/>
        </w:rPr>
      </w:pPr>
    </w:p>
    <w:p w:rsidR="005F7342" w:rsidRPr="00671158" w:rsidRDefault="007A44B4" w:rsidP="006A48A7">
      <w:pPr>
        <w:pStyle w:val="Heading2"/>
      </w:pPr>
      <w:bookmarkStart w:id="133" w:name="_Toc304883971"/>
      <w:r w:rsidRPr="00671158">
        <w:t>1</w:t>
      </w:r>
      <w:r w:rsidR="004600AB">
        <w:t>2</w:t>
      </w:r>
      <w:r w:rsidR="005F7342" w:rsidRPr="00671158">
        <w:t>.</w:t>
      </w:r>
      <w:r w:rsidR="005F7342" w:rsidRPr="00671158">
        <w:tab/>
      </w:r>
      <w:r w:rsidR="004141AA" w:rsidRPr="00671158">
        <w:t xml:space="preserve">Conclusion and </w:t>
      </w:r>
      <w:r w:rsidR="00EC30E1" w:rsidRPr="00671158">
        <w:rPr>
          <w:bCs w:val="0"/>
        </w:rPr>
        <w:t>Decision</w:t>
      </w:r>
      <w:bookmarkEnd w:id="133"/>
      <w:r w:rsidR="00EC30E1" w:rsidRPr="00671158">
        <w:rPr>
          <w:bCs w:val="0"/>
        </w:rPr>
        <w:t xml:space="preserve"> </w:t>
      </w:r>
    </w:p>
    <w:p w:rsidR="00D80856" w:rsidRPr="00671158" w:rsidRDefault="00D80856" w:rsidP="00D80856"/>
    <w:p w:rsidR="00D80856" w:rsidRPr="00671158" w:rsidRDefault="00D80856" w:rsidP="00D80856">
      <w:r w:rsidRPr="00671158">
        <w:t xml:space="preserve">This Application has been assessed against the requirements of section 29 of the FSANZ </w:t>
      </w:r>
      <w:r w:rsidR="000367A3" w:rsidRPr="00671158">
        <w:t xml:space="preserve">Act. </w:t>
      </w:r>
    </w:p>
    <w:p w:rsidR="00D80856" w:rsidRPr="00671158" w:rsidRDefault="00D80856" w:rsidP="00D80856"/>
    <w:p w:rsidR="00D80856" w:rsidRDefault="00D31889" w:rsidP="00D80856">
      <w:r>
        <w:t>The Assessment Report concluded</w:t>
      </w:r>
      <w:r w:rsidR="00D80856" w:rsidRPr="000C28B1">
        <w:t xml:space="preserve"> that use of </w:t>
      </w:r>
      <w:r w:rsidR="00515AD3">
        <w:t xml:space="preserve">sodium </w:t>
      </w:r>
      <w:r w:rsidR="00D80856" w:rsidRPr="000C28B1">
        <w:t xml:space="preserve">CMC in wine and sparkling wine is technologically justified and does not pose a public health and safety risk.  </w:t>
      </w:r>
    </w:p>
    <w:p w:rsidR="00D80856" w:rsidRDefault="00D80856" w:rsidP="00D80856"/>
    <w:p w:rsidR="00D80856" w:rsidRDefault="00D80856" w:rsidP="00D80856">
      <w:r>
        <w:t>FSANZ has considered</w:t>
      </w:r>
      <w:r w:rsidRPr="0098100E">
        <w:t xml:space="preserve"> </w:t>
      </w:r>
      <w:r>
        <w:t xml:space="preserve">whether specific additional </w:t>
      </w:r>
      <w:r w:rsidRPr="0098100E">
        <w:t xml:space="preserve">information </w:t>
      </w:r>
      <w:r>
        <w:t>requirements are needed to enable</w:t>
      </w:r>
      <w:r w:rsidRPr="0098100E">
        <w:t xml:space="preserve"> consumers</w:t>
      </w:r>
      <w:r>
        <w:t xml:space="preserve"> to make informed choices. Alcohol products are generally exempt from ingredients labelling unless concerns regarding allergenicity or GM modification are relevant.  These concerns are not relevant in this application.  No specific additional information requirements are proposed</w:t>
      </w:r>
      <w:r w:rsidR="00D654DA">
        <w:t>.</w:t>
      </w:r>
    </w:p>
    <w:p w:rsidR="00D80856" w:rsidRDefault="00D80856" w:rsidP="00D80856"/>
    <w:p w:rsidR="00D80856" w:rsidRPr="000C28B1" w:rsidRDefault="00D80856" w:rsidP="00D80856">
      <w:pPr>
        <w:keepNext/>
        <w:keepLines/>
        <w:widowControl/>
        <w:rPr>
          <w:rFonts w:cs="Arial"/>
        </w:rPr>
      </w:pPr>
      <w:r w:rsidRPr="000C28B1">
        <w:rPr>
          <w:rFonts w:cs="Arial"/>
        </w:rPr>
        <w:t>FSANZ has concluded there are no misleading or deceptive conduct aspects to this assessment.</w:t>
      </w:r>
    </w:p>
    <w:p w:rsidR="00D80856" w:rsidRPr="000C28B1" w:rsidRDefault="00D80856" w:rsidP="00D80856"/>
    <w:p w:rsidR="00D80856" w:rsidRPr="000C28B1" w:rsidRDefault="00D80856" w:rsidP="00D80856">
      <w:pPr>
        <w:keepLines/>
      </w:pPr>
      <w:r w:rsidRPr="000C28B1">
        <w:rPr>
          <w:rFonts w:cs="Arial"/>
        </w:rPr>
        <w:t>The relevant Ministerial Council Policy Guideline has been addressed in this assessment. The technological function of using the additive has been articulated and assessed as being met. Its use as proposed has been assessed as being safe and suitable.</w:t>
      </w:r>
    </w:p>
    <w:p w:rsidR="00D80856" w:rsidRPr="000C28B1" w:rsidRDefault="00D80856" w:rsidP="00D80856">
      <w:pPr>
        <w:rPr>
          <w:rFonts w:cs="Arial"/>
        </w:rPr>
      </w:pPr>
    </w:p>
    <w:p w:rsidR="00D80856" w:rsidRPr="00B731D0" w:rsidRDefault="00D80856" w:rsidP="00D80856">
      <w:pPr>
        <w:keepNext/>
        <w:keepLines/>
      </w:pPr>
      <w:r w:rsidRPr="000C28B1">
        <w:t xml:space="preserve">An amendment to the Code giving permission for the use of </w:t>
      </w:r>
      <w:r w:rsidR="00515AD3">
        <w:t xml:space="preserve">sodium </w:t>
      </w:r>
      <w:r w:rsidRPr="000C28B1">
        <w:t>CMC in wine and sparkling wine in Australia and New Zealand is recommended on the basis of the available scientific</w:t>
      </w:r>
      <w:r w:rsidRPr="00B731D0">
        <w:t xml:space="preserve"> information</w:t>
      </w:r>
      <w:r>
        <w:t xml:space="preserve">. </w:t>
      </w:r>
    </w:p>
    <w:p w:rsidR="00D80856" w:rsidRDefault="00D80856" w:rsidP="00D80856"/>
    <w:p w:rsidR="00D80856" w:rsidRDefault="00D80856" w:rsidP="00D80856">
      <w:pPr>
        <w:pStyle w:val="FSDecisionHeading"/>
      </w:pPr>
      <w:r w:rsidRPr="002E3D1A">
        <w:t>Decision</w:t>
      </w:r>
      <w:r>
        <w:t xml:space="preserve"> </w:t>
      </w:r>
    </w:p>
    <w:p w:rsidR="00D80856" w:rsidRPr="008826A6" w:rsidRDefault="00D80856" w:rsidP="00D80856">
      <w:pPr>
        <w:pStyle w:val="FSDecisiontext"/>
      </w:pPr>
    </w:p>
    <w:p w:rsidR="00224B2E" w:rsidRPr="00B00581" w:rsidRDefault="00224B2E" w:rsidP="00224B2E">
      <w:pPr>
        <w:pStyle w:val="FSDecisiontext"/>
        <w:rPr>
          <w:rFonts w:ascii="Arial" w:hAnsi="Arial" w:cs="Arial"/>
        </w:rPr>
      </w:pPr>
      <w:r w:rsidRPr="00B00581">
        <w:rPr>
          <w:rFonts w:ascii="Arial" w:hAnsi="Arial" w:cs="Arial"/>
          <w:iCs/>
        </w:rPr>
        <w:t xml:space="preserve">To </w:t>
      </w:r>
      <w:r w:rsidRPr="002E3D1A">
        <w:rPr>
          <w:rFonts w:ascii="Arial" w:hAnsi="Arial" w:cs="Arial"/>
          <w:iCs/>
        </w:rPr>
        <w:t>approve</w:t>
      </w:r>
      <w:r>
        <w:rPr>
          <w:rFonts w:ascii="Arial" w:hAnsi="Arial" w:cs="Arial"/>
          <w:iCs/>
        </w:rPr>
        <w:t xml:space="preserve"> </w:t>
      </w:r>
      <w:r w:rsidRPr="00B00581">
        <w:rPr>
          <w:rFonts w:ascii="Arial" w:hAnsi="Arial" w:cs="Arial"/>
          <w:iCs/>
        </w:rPr>
        <w:t>draft variation</w:t>
      </w:r>
      <w:r>
        <w:rPr>
          <w:rFonts w:ascii="Arial" w:hAnsi="Arial" w:cs="Arial"/>
          <w:iCs/>
        </w:rPr>
        <w:t>s</w:t>
      </w:r>
      <w:r w:rsidRPr="00B00581">
        <w:rPr>
          <w:rFonts w:ascii="Arial" w:hAnsi="Arial" w:cs="Arial"/>
          <w:iCs/>
        </w:rPr>
        <w:t xml:space="preserve"> to Standard</w:t>
      </w:r>
      <w:r>
        <w:rPr>
          <w:rFonts w:ascii="Arial" w:hAnsi="Arial" w:cs="Arial"/>
          <w:iCs/>
        </w:rPr>
        <w:t>s</w:t>
      </w:r>
      <w:r w:rsidRPr="00B00581">
        <w:rPr>
          <w:rFonts w:ascii="Arial" w:hAnsi="Arial" w:cs="Arial"/>
          <w:iCs/>
        </w:rPr>
        <w:t xml:space="preserve"> </w:t>
      </w:r>
      <w:r>
        <w:rPr>
          <w:rFonts w:ascii="Arial" w:hAnsi="Arial" w:cs="Arial"/>
          <w:iCs/>
        </w:rPr>
        <w:t>1.3.1</w:t>
      </w:r>
      <w:r w:rsidRPr="00B00581">
        <w:rPr>
          <w:rFonts w:ascii="Arial" w:hAnsi="Arial" w:cs="Arial"/>
          <w:iCs/>
        </w:rPr>
        <w:t xml:space="preserve"> – </w:t>
      </w:r>
      <w:r>
        <w:rPr>
          <w:rFonts w:ascii="Arial" w:hAnsi="Arial" w:cs="Arial"/>
          <w:iCs/>
        </w:rPr>
        <w:t>Food Additives and 4.5.1</w:t>
      </w:r>
      <w:r w:rsidRPr="00B00581">
        <w:rPr>
          <w:rFonts w:ascii="Arial" w:hAnsi="Arial" w:cs="Arial"/>
          <w:iCs/>
        </w:rPr>
        <w:t xml:space="preserve"> – </w:t>
      </w:r>
      <w:r>
        <w:rPr>
          <w:rFonts w:ascii="Arial" w:hAnsi="Arial" w:cs="Arial"/>
          <w:iCs/>
        </w:rPr>
        <w:t>Wine Production Requirements</w:t>
      </w:r>
      <w:r>
        <w:rPr>
          <w:rFonts w:ascii="Arial" w:hAnsi="Arial" w:cs="Arial"/>
        </w:rPr>
        <w:t xml:space="preserve"> to permit the use of </w:t>
      </w:r>
      <w:r w:rsidR="00777DC5">
        <w:rPr>
          <w:rFonts w:ascii="Arial" w:hAnsi="Arial" w:cs="Arial"/>
        </w:rPr>
        <w:t xml:space="preserve">sodium </w:t>
      </w:r>
      <w:r>
        <w:rPr>
          <w:rFonts w:ascii="Arial" w:hAnsi="Arial" w:cs="Arial"/>
        </w:rPr>
        <w:t xml:space="preserve">carboxymethylcellulose as an additive in wine and sparkling wine.  </w:t>
      </w:r>
    </w:p>
    <w:p w:rsidR="00D80856" w:rsidRDefault="00D80856" w:rsidP="00D80856"/>
    <w:p w:rsidR="00585A33" w:rsidRDefault="00585A33" w:rsidP="00D80856">
      <w:pPr>
        <w:pStyle w:val="Heading3"/>
      </w:pPr>
      <w:bookmarkStart w:id="134" w:name="_Toc294176169"/>
      <w:bookmarkStart w:id="135" w:name="_Toc304883972"/>
      <w:r>
        <w:br w:type="page"/>
      </w:r>
    </w:p>
    <w:p w:rsidR="00D80856" w:rsidRPr="00D51A95" w:rsidRDefault="00E74EDE" w:rsidP="00D80856">
      <w:pPr>
        <w:pStyle w:val="Heading3"/>
      </w:pPr>
      <w:r>
        <w:lastRenderedPageBreak/>
        <w:t>12</w:t>
      </w:r>
      <w:r w:rsidR="00D80856">
        <w:t>.1</w:t>
      </w:r>
      <w:r w:rsidR="00D80856">
        <w:tab/>
        <w:t>Reasons for Preferred Approach</w:t>
      </w:r>
      <w:bookmarkEnd w:id="134"/>
      <w:bookmarkEnd w:id="135"/>
      <w:r w:rsidR="00D80856" w:rsidRPr="00D51A95">
        <w:t xml:space="preserve"> </w:t>
      </w:r>
    </w:p>
    <w:p w:rsidR="00D80856" w:rsidRDefault="00D80856" w:rsidP="00580E27"/>
    <w:p w:rsidR="00D80856" w:rsidRDefault="00D80856" w:rsidP="00D80856">
      <w:pPr>
        <w:pStyle w:val="Bullet"/>
        <w:numPr>
          <w:ilvl w:val="0"/>
          <w:numId w:val="0"/>
        </w:numPr>
        <w:rPr>
          <w:rFonts w:cs="Arial"/>
          <w:sz w:val="22"/>
          <w:szCs w:val="22"/>
        </w:rPr>
      </w:pPr>
      <w:r w:rsidRPr="00606146">
        <w:rPr>
          <w:rFonts w:cs="Arial"/>
          <w:sz w:val="22"/>
          <w:szCs w:val="22"/>
        </w:rPr>
        <w:t xml:space="preserve">An amendment to the Code approving the use of </w:t>
      </w:r>
      <w:r w:rsidR="00515AD3">
        <w:rPr>
          <w:rFonts w:cs="Arial"/>
          <w:sz w:val="22"/>
          <w:szCs w:val="22"/>
        </w:rPr>
        <w:t xml:space="preserve">sodium </w:t>
      </w:r>
      <w:r w:rsidR="008A79C0">
        <w:rPr>
          <w:rFonts w:cs="Arial"/>
          <w:sz w:val="22"/>
          <w:szCs w:val="22"/>
        </w:rPr>
        <w:t>CMC</w:t>
      </w:r>
      <w:r>
        <w:rPr>
          <w:rFonts w:cs="Arial"/>
          <w:sz w:val="22"/>
          <w:szCs w:val="22"/>
        </w:rPr>
        <w:t xml:space="preserve"> in wine </w:t>
      </w:r>
      <w:r w:rsidRPr="00606146">
        <w:rPr>
          <w:rFonts w:cs="Arial"/>
          <w:sz w:val="22"/>
          <w:szCs w:val="22"/>
        </w:rPr>
        <w:t>in Australia and New Zealand is proposed on the basis of the available evidence for the following reasons:</w:t>
      </w:r>
    </w:p>
    <w:p w:rsidR="00D80856" w:rsidRPr="00B07DC9" w:rsidRDefault="00D80856" w:rsidP="00D80856">
      <w:pPr>
        <w:rPr>
          <w:lang w:bidi="ar-SA"/>
        </w:rPr>
      </w:pPr>
    </w:p>
    <w:p w:rsidR="00D80856" w:rsidRDefault="00D80856" w:rsidP="00585A33">
      <w:pPr>
        <w:pStyle w:val="FSBullet"/>
      </w:pPr>
      <w:r>
        <w:t xml:space="preserve">The </w:t>
      </w:r>
      <w:r w:rsidRPr="00B731D0">
        <w:t>sa</w:t>
      </w:r>
      <w:r w:rsidRPr="00585A33">
        <w:t>fety assessment has concluded that the use of the additive does not raise any public health or safety concerns.</w:t>
      </w:r>
    </w:p>
    <w:p w:rsidR="00585A33" w:rsidRPr="00585A33" w:rsidRDefault="00585A33" w:rsidP="00585A33"/>
    <w:p w:rsidR="00D80856" w:rsidRDefault="00D80856" w:rsidP="00585A33">
      <w:pPr>
        <w:pStyle w:val="FSBullet"/>
      </w:pPr>
      <w:r w:rsidRPr="00585A33">
        <w:t>Use of the additive to stabilise wine and sparkling wine is technologically justified and would be expected to provide benefits to wine producers and consumers.</w:t>
      </w:r>
    </w:p>
    <w:p w:rsidR="00585A33" w:rsidRPr="00585A33" w:rsidRDefault="00585A33" w:rsidP="00585A33"/>
    <w:p w:rsidR="00D80856" w:rsidRDefault="00D80856" w:rsidP="00585A33">
      <w:pPr>
        <w:pStyle w:val="FSBullet"/>
      </w:pPr>
      <w:r w:rsidRPr="00585A33">
        <w:t>Permitting use of the additive in wine and sparkling wines would not impose significant costs for government agencies, consumers or producers.</w:t>
      </w:r>
    </w:p>
    <w:p w:rsidR="00585A33" w:rsidRPr="00585A33" w:rsidRDefault="00585A33" w:rsidP="00585A33"/>
    <w:p w:rsidR="002D243E" w:rsidRDefault="00D80856" w:rsidP="00585A33">
      <w:pPr>
        <w:pStyle w:val="FSBullet"/>
      </w:pPr>
      <w:r w:rsidRPr="00585A33">
        <w:t>The proposed draft variations to the Code are consistent with the section 18 objectives of the FSANZ Act.</w:t>
      </w:r>
    </w:p>
    <w:p w:rsidR="00585A33" w:rsidRPr="00585A33" w:rsidRDefault="00585A33" w:rsidP="00585A33"/>
    <w:p w:rsidR="002D243E" w:rsidRDefault="00D80856" w:rsidP="00585A33">
      <w:pPr>
        <w:pStyle w:val="FSBullet"/>
      </w:pPr>
      <w:r w:rsidRPr="00585A33">
        <w:t xml:space="preserve">There are no relevant New Zealand standards that would impact on our decision to amend the Code. </w:t>
      </w:r>
    </w:p>
    <w:p w:rsidR="00585A33" w:rsidRPr="00585A33" w:rsidRDefault="00585A33" w:rsidP="00585A33"/>
    <w:p w:rsidR="002D243E" w:rsidRDefault="00D80856" w:rsidP="00585A33">
      <w:pPr>
        <w:pStyle w:val="FSBullet"/>
      </w:pPr>
      <w:r w:rsidRPr="00585A33">
        <w:t xml:space="preserve">There are no </w:t>
      </w:r>
      <w:r>
        <w:t xml:space="preserve">other measures than variations to Standards 1.3.1 and 4.5.1 that could achieve the same end. </w:t>
      </w:r>
    </w:p>
    <w:p w:rsidR="00585A33" w:rsidRPr="00585A33" w:rsidRDefault="00585A33" w:rsidP="00585A33"/>
    <w:p w:rsidR="004141AA" w:rsidRDefault="004141AA" w:rsidP="004141AA">
      <w:pPr>
        <w:pStyle w:val="FSBullet"/>
        <w:numPr>
          <w:ilvl w:val="0"/>
          <w:numId w:val="0"/>
        </w:numPr>
      </w:pPr>
      <w:r w:rsidRPr="002E3D1A">
        <w:t xml:space="preserve">The proposed draft variation is provided in </w:t>
      </w:r>
      <w:r w:rsidRPr="002E3D1A">
        <w:rPr>
          <w:b/>
          <w:bCs/>
        </w:rPr>
        <w:t>Attachment 1</w:t>
      </w:r>
      <w:r w:rsidRPr="002E3D1A">
        <w:t>.</w:t>
      </w:r>
    </w:p>
    <w:p w:rsidR="004141AA" w:rsidRDefault="004141AA" w:rsidP="00585A33">
      <w:bookmarkStart w:id="136" w:name="_Toc11735642"/>
      <w:bookmarkStart w:id="137" w:name="_Toc29883129"/>
      <w:bookmarkStart w:id="138" w:name="_Toc41906816"/>
      <w:bookmarkStart w:id="139" w:name="_Toc41907563"/>
      <w:bookmarkStart w:id="140" w:name="_Toc120358595"/>
    </w:p>
    <w:p w:rsidR="003C4969" w:rsidRPr="00DC6570" w:rsidRDefault="00E74EDE">
      <w:pPr>
        <w:pStyle w:val="Heading2"/>
        <w:rPr>
          <w:rFonts w:cs="Arial"/>
        </w:rPr>
      </w:pPr>
      <w:bookmarkStart w:id="141" w:name="_Toc304883973"/>
      <w:r>
        <w:rPr>
          <w:rFonts w:cs="Arial"/>
        </w:rPr>
        <w:t>13</w:t>
      </w:r>
      <w:r w:rsidR="003C4969" w:rsidRPr="00DC6570">
        <w:rPr>
          <w:rFonts w:cs="Arial"/>
        </w:rPr>
        <w:t>.</w:t>
      </w:r>
      <w:r w:rsidR="003C4969" w:rsidRPr="00DC6570">
        <w:rPr>
          <w:rFonts w:cs="Arial"/>
        </w:rPr>
        <w:tab/>
        <w:t>Implementation and Review</w:t>
      </w:r>
      <w:bookmarkEnd w:id="136"/>
      <w:bookmarkEnd w:id="137"/>
      <w:bookmarkEnd w:id="138"/>
      <w:bookmarkEnd w:id="139"/>
      <w:bookmarkEnd w:id="140"/>
      <w:bookmarkEnd w:id="141"/>
    </w:p>
    <w:p w:rsidR="003C4969" w:rsidRPr="00DC6570" w:rsidRDefault="003C4969" w:rsidP="00580E27"/>
    <w:p w:rsidR="00E777EC" w:rsidRPr="003B6814" w:rsidRDefault="003B6814" w:rsidP="005B6AF4">
      <w:pPr>
        <w:pStyle w:val="FSFigureTitle"/>
        <w:rPr>
          <w:i w:val="0"/>
        </w:rPr>
      </w:pPr>
      <w:r w:rsidRPr="002E3D1A">
        <w:rPr>
          <w:i w:val="0"/>
        </w:rPr>
        <w:t xml:space="preserve">If no review of the Board’s decision is requested by the Ministerial </w:t>
      </w:r>
      <w:r w:rsidR="00D654DA">
        <w:rPr>
          <w:i w:val="0"/>
        </w:rPr>
        <w:t>C</w:t>
      </w:r>
      <w:r w:rsidRPr="002E3D1A">
        <w:rPr>
          <w:i w:val="0"/>
        </w:rPr>
        <w:t xml:space="preserve">ouncil, the amended draft variations </w:t>
      </w:r>
      <w:r w:rsidR="004141AA" w:rsidRPr="002E3D1A">
        <w:rPr>
          <w:i w:val="0"/>
        </w:rPr>
        <w:t xml:space="preserve">will </w:t>
      </w:r>
      <w:r w:rsidRPr="002E3D1A">
        <w:rPr>
          <w:i w:val="0"/>
        </w:rPr>
        <w:t>come in to effect on gazettal.</w:t>
      </w:r>
      <w:r>
        <w:rPr>
          <w:i w:val="0"/>
        </w:rPr>
        <w:t xml:space="preserve">  </w:t>
      </w:r>
    </w:p>
    <w:p w:rsidR="007602AA" w:rsidRPr="00DC6570" w:rsidRDefault="007602AA" w:rsidP="00580E27"/>
    <w:p w:rsidR="003B6814" w:rsidRDefault="00E74EDE" w:rsidP="003B6814">
      <w:pPr>
        <w:pStyle w:val="Heading2"/>
        <w:rPr>
          <w:rFonts w:cs="Arial"/>
        </w:rPr>
      </w:pPr>
      <w:bookmarkStart w:id="142" w:name="_Toc294176171"/>
      <w:bookmarkStart w:id="143" w:name="_Toc304883974"/>
      <w:bookmarkStart w:id="144" w:name="_Toc29883131"/>
      <w:bookmarkStart w:id="145" w:name="_Toc41906818"/>
      <w:bookmarkStart w:id="146" w:name="_Toc41907565"/>
      <w:bookmarkStart w:id="147" w:name="_Toc120358596"/>
      <w:bookmarkStart w:id="148" w:name="_Toc11735644"/>
      <w:r>
        <w:rPr>
          <w:rFonts w:cs="Arial"/>
        </w:rPr>
        <w:t>14</w:t>
      </w:r>
      <w:r w:rsidR="003B6814" w:rsidRPr="00DC6570">
        <w:rPr>
          <w:rFonts w:cs="Arial"/>
        </w:rPr>
        <w:t>.</w:t>
      </w:r>
      <w:r w:rsidR="003B6814" w:rsidRPr="00DC6570">
        <w:rPr>
          <w:rFonts w:cs="Arial"/>
        </w:rPr>
        <w:tab/>
      </w:r>
      <w:r w:rsidR="003B6814">
        <w:rPr>
          <w:rFonts w:cs="Arial"/>
        </w:rPr>
        <w:t>References</w:t>
      </w:r>
      <w:bookmarkEnd w:id="142"/>
      <w:bookmarkEnd w:id="143"/>
    </w:p>
    <w:p w:rsidR="007D1FFF" w:rsidRPr="007D1FFF" w:rsidRDefault="007D1FFF" w:rsidP="007D1FFF"/>
    <w:p w:rsidR="003B6814" w:rsidRPr="00382C9F" w:rsidRDefault="003B6814" w:rsidP="003B6814">
      <w:pPr>
        <w:rPr>
          <w:sz w:val="20"/>
          <w:szCs w:val="20"/>
          <w:lang w:val="en-AU"/>
        </w:rPr>
      </w:pPr>
      <w:r w:rsidRPr="00382C9F">
        <w:rPr>
          <w:sz w:val="20"/>
          <w:szCs w:val="20"/>
          <w:lang w:val="en-AU"/>
        </w:rPr>
        <w:t>Dumond P, Franck P, Morisset M, Sainte Laudy J, Kanny G, Moneret-Vautrin DA (2009) Pre-lethal anaphylaxis to carboxymethylcellulose confirmed by identification of specific IgE--review of the literature. Eur Ann Allergy Clin Immunol, 41(6):171-176</w:t>
      </w:r>
    </w:p>
    <w:p w:rsidR="003B6814" w:rsidRPr="00382C9F" w:rsidRDefault="003B6814" w:rsidP="003B6814">
      <w:pPr>
        <w:rPr>
          <w:sz w:val="20"/>
          <w:szCs w:val="20"/>
          <w:lang w:val="en-AU"/>
        </w:rPr>
      </w:pPr>
    </w:p>
    <w:p w:rsidR="003B6814" w:rsidRPr="00382C9F" w:rsidRDefault="003B6814" w:rsidP="003B6814">
      <w:pPr>
        <w:rPr>
          <w:color w:val="0000FF"/>
          <w:sz w:val="20"/>
          <w:szCs w:val="20"/>
        </w:rPr>
      </w:pPr>
      <w:r w:rsidRPr="00382C9F">
        <w:rPr>
          <w:rFonts w:cs="Arial"/>
          <w:noProof/>
          <w:sz w:val="20"/>
          <w:szCs w:val="20"/>
        </w:rPr>
        <w:t xml:space="preserve">European Union (Commision Regulation (EC), No.606/2009) laying down certain detailed rules for implementing Council Regulation (EC) No.479/2008 as regards the categories of grapevine </w:t>
      </w:r>
      <w:r w:rsidRPr="00D654DA">
        <w:rPr>
          <w:rFonts w:cs="Arial"/>
          <w:noProof/>
          <w:sz w:val="20"/>
          <w:szCs w:val="20"/>
        </w:rPr>
        <w:t>produ</w:t>
      </w:r>
      <w:r w:rsidR="00D654DA" w:rsidRPr="00D654DA">
        <w:rPr>
          <w:rFonts w:cs="Arial"/>
          <w:noProof/>
          <w:sz w:val="20"/>
          <w:szCs w:val="20"/>
        </w:rPr>
        <w:t>c</w:t>
      </w:r>
      <w:r w:rsidRPr="00D654DA">
        <w:rPr>
          <w:rFonts w:cs="Arial"/>
          <w:noProof/>
          <w:sz w:val="20"/>
          <w:szCs w:val="20"/>
        </w:rPr>
        <w:t>ts</w:t>
      </w:r>
      <w:r w:rsidRPr="00382C9F">
        <w:rPr>
          <w:rFonts w:cs="Arial"/>
          <w:noProof/>
          <w:sz w:val="20"/>
          <w:szCs w:val="20"/>
        </w:rPr>
        <w:t xml:space="preserve">, oenological practices and the applicable restrictions, viewed April 2011, </w:t>
      </w:r>
      <w:hyperlink r:id="rId14" w:history="1">
        <w:r w:rsidRPr="00382C9F">
          <w:rPr>
            <w:rStyle w:val="Hyperlink"/>
            <w:color w:val="0000FF"/>
            <w:sz w:val="20"/>
            <w:szCs w:val="20"/>
          </w:rPr>
          <w:t>http://eur-lex.europa.eu/LexUriServ/LexUriServ.do?uri=OJ:L:2009:193:0001:0059:EN:PDF</w:t>
        </w:r>
      </w:hyperlink>
    </w:p>
    <w:p w:rsidR="003B6814" w:rsidRPr="00382C9F" w:rsidRDefault="003B6814" w:rsidP="003B6814">
      <w:pPr>
        <w:rPr>
          <w:sz w:val="20"/>
          <w:szCs w:val="20"/>
        </w:rPr>
      </w:pPr>
    </w:p>
    <w:p w:rsidR="004B0CD8" w:rsidRPr="00382C9F" w:rsidRDefault="003B6814" w:rsidP="004B0CD8">
      <w:pPr>
        <w:rPr>
          <w:color w:val="0000FF"/>
          <w:sz w:val="20"/>
          <w:szCs w:val="20"/>
        </w:rPr>
      </w:pPr>
      <w:r w:rsidRPr="00382C9F">
        <w:rPr>
          <w:sz w:val="20"/>
          <w:szCs w:val="20"/>
          <w:lang w:val="en-AU"/>
        </w:rPr>
        <w:t xml:space="preserve">JECFA (Monograph 1, 2006) </w:t>
      </w:r>
      <w:r w:rsidRPr="00382C9F">
        <w:rPr>
          <w:i/>
          <w:sz w:val="20"/>
          <w:szCs w:val="20"/>
          <w:lang w:val="en-AU"/>
        </w:rPr>
        <w:t>Combined Compendium of Food Additive Specifications – Carboxymethyl cellulose</w:t>
      </w:r>
      <w:r w:rsidRPr="00382C9F">
        <w:rPr>
          <w:sz w:val="20"/>
          <w:szCs w:val="20"/>
          <w:lang w:val="en-AU"/>
        </w:rPr>
        <w:t xml:space="preserve">, viewed April 2011, </w:t>
      </w:r>
      <w:hyperlink r:id="rId15" w:history="1">
        <w:r w:rsidR="004B0CD8" w:rsidRPr="00382C9F">
          <w:rPr>
            <w:rStyle w:val="Hyperlink"/>
            <w:color w:val="0000FF"/>
            <w:sz w:val="20"/>
            <w:szCs w:val="20"/>
            <w:lang w:val="en-AU"/>
          </w:rPr>
          <w:t>http://www.fao.org/ag/agn/jecfa-additives/details.html?id=388</w:t>
        </w:r>
      </w:hyperlink>
    </w:p>
    <w:p w:rsidR="003B6814" w:rsidRPr="00382C9F" w:rsidRDefault="003B6814" w:rsidP="003B6814">
      <w:pPr>
        <w:rPr>
          <w:sz w:val="20"/>
          <w:szCs w:val="20"/>
        </w:rPr>
      </w:pPr>
    </w:p>
    <w:p w:rsidR="003B6814" w:rsidRPr="00382C9F" w:rsidRDefault="003B6814" w:rsidP="003B6814">
      <w:pPr>
        <w:rPr>
          <w:color w:val="0000FF"/>
          <w:sz w:val="20"/>
          <w:szCs w:val="20"/>
          <w:u w:val="single"/>
        </w:rPr>
      </w:pPr>
      <w:r w:rsidRPr="00382C9F">
        <w:rPr>
          <w:sz w:val="20"/>
          <w:szCs w:val="20"/>
        </w:rPr>
        <w:t xml:space="preserve">OIV (2009) Monograph on Carboxymethylcellulose (cellulose gum) viewed April 2011 </w:t>
      </w:r>
      <w:hyperlink r:id="rId16" w:history="1">
        <w:r w:rsidRPr="00382C9F">
          <w:rPr>
            <w:rStyle w:val="Hyperlink"/>
            <w:color w:val="0000FF"/>
            <w:sz w:val="20"/>
            <w:szCs w:val="20"/>
          </w:rPr>
          <w:t>http://online.food</w:t>
        </w:r>
      </w:hyperlink>
      <w:r w:rsidRPr="00382C9F">
        <w:rPr>
          <w:color w:val="0000FF"/>
          <w:sz w:val="20"/>
          <w:szCs w:val="20"/>
        </w:rPr>
        <w:t xml:space="preserve"> </w:t>
      </w:r>
      <w:r w:rsidRPr="00382C9F">
        <w:rPr>
          <w:color w:val="0000FF"/>
          <w:sz w:val="20"/>
          <w:szCs w:val="20"/>
          <w:u w:val="single"/>
        </w:rPr>
        <w:t>chemicalscodex.org/online/pub/indix?fcc=7&amp;s=1&amp;oYr=2010&amp;0Mo=11&amp;oDa=28</w:t>
      </w:r>
    </w:p>
    <w:p w:rsidR="003B6814" w:rsidRPr="00382C9F" w:rsidRDefault="003B6814" w:rsidP="003B6814">
      <w:pPr>
        <w:rPr>
          <w:color w:val="0000FF"/>
          <w:sz w:val="20"/>
          <w:szCs w:val="20"/>
          <w:u w:val="single"/>
        </w:rPr>
      </w:pPr>
    </w:p>
    <w:p w:rsidR="003B6814" w:rsidRPr="00382C9F" w:rsidRDefault="003B6814" w:rsidP="003B6814">
      <w:pPr>
        <w:rPr>
          <w:color w:val="0000FF"/>
          <w:sz w:val="20"/>
          <w:szCs w:val="20"/>
          <w:u w:val="single"/>
        </w:rPr>
      </w:pPr>
      <w:r w:rsidRPr="004A623D">
        <w:rPr>
          <w:sz w:val="20"/>
          <w:szCs w:val="20"/>
        </w:rPr>
        <w:t xml:space="preserve">OIV (2010) Method for the determination of </w:t>
      </w:r>
      <w:r w:rsidR="00677461" w:rsidRPr="004A623D">
        <w:rPr>
          <w:sz w:val="20"/>
          <w:szCs w:val="20"/>
        </w:rPr>
        <w:t>carboxymethylcellulose</w:t>
      </w:r>
      <w:r w:rsidRPr="004A623D">
        <w:rPr>
          <w:sz w:val="20"/>
          <w:szCs w:val="20"/>
        </w:rPr>
        <w:t xml:space="preserve"> (cellulose gum CMC) in white wines viewed May 2001</w:t>
      </w:r>
      <w:r w:rsidRPr="004A623D">
        <w:rPr>
          <w:color w:val="0000FF"/>
          <w:sz w:val="20"/>
          <w:szCs w:val="20"/>
        </w:rPr>
        <w:t xml:space="preserve"> </w:t>
      </w:r>
      <w:r w:rsidRPr="00382C9F">
        <w:rPr>
          <w:color w:val="0000FF"/>
          <w:sz w:val="20"/>
          <w:szCs w:val="20"/>
          <w:u w:val="single"/>
        </w:rPr>
        <w:t>http://news.reseau-concept.net/images/oiv_uk/Client/OIV-OENO_404-2010_EN.pdf</w:t>
      </w:r>
    </w:p>
    <w:p w:rsidR="003B6814" w:rsidRPr="00382C9F" w:rsidRDefault="003B6814" w:rsidP="003B6814">
      <w:pPr>
        <w:rPr>
          <w:color w:val="0070C0"/>
          <w:sz w:val="20"/>
          <w:szCs w:val="20"/>
        </w:rPr>
      </w:pPr>
    </w:p>
    <w:p w:rsidR="00585A33" w:rsidRDefault="003B6814" w:rsidP="003B6814">
      <w:pPr>
        <w:rPr>
          <w:sz w:val="20"/>
          <w:szCs w:val="20"/>
        </w:rPr>
      </w:pPr>
      <w:proofErr w:type="gramStart"/>
      <w:r w:rsidRPr="00382C9F">
        <w:rPr>
          <w:sz w:val="20"/>
          <w:szCs w:val="20"/>
          <w:lang w:val="en-AU"/>
        </w:rPr>
        <w:t>WHO (1990) Evaluation of certain food additives and contaminants.</w:t>
      </w:r>
      <w:proofErr w:type="gramEnd"/>
      <w:r w:rsidRPr="00382C9F">
        <w:rPr>
          <w:sz w:val="20"/>
          <w:szCs w:val="20"/>
          <w:lang w:val="en-AU"/>
        </w:rPr>
        <w:t xml:space="preserve"> Thirty-fifth report of the </w:t>
      </w:r>
      <w:r w:rsidRPr="00382C9F">
        <w:rPr>
          <w:sz w:val="20"/>
          <w:szCs w:val="20"/>
        </w:rPr>
        <w:t xml:space="preserve">Joint FAO/WHO Expert Committee on Food Additives. </w:t>
      </w:r>
      <w:proofErr w:type="gramStart"/>
      <w:r w:rsidRPr="00382C9F">
        <w:rPr>
          <w:sz w:val="20"/>
          <w:szCs w:val="20"/>
        </w:rPr>
        <w:t>World Health Organization Technical Report Series; 789.</w:t>
      </w:r>
      <w:proofErr w:type="gramEnd"/>
      <w:r w:rsidRPr="00382C9F">
        <w:rPr>
          <w:sz w:val="20"/>
          <w:szCs w:val="20"/>
        </w:rPr>
        <w:t xml:space="preserve"> </w:t>
      </w:r>
      <w:r w:rsidR="00585A33">
        <w:rPr>
          <w:sz w:val="20"/>
          <w:szCs w:val="20"/>
        </w:rPr>
        <w:br w:type="page"/>
      </w:r>
    </w:p>
    <w:p w:rsidR="003B6814" w:rsidRPr="00382C9F" w:rsidRDefault="003B6814" w:rsidP="003B6814">
      <w:pPr>
        <w:rPr>
          <w:color w:val="0000FF"/>
          <w:sz w:val="20"/>
          <w:szCs w:val="20"/>
        </w:rPr>
      </w:pPr>
      <w:proofErr w:type="gramStart"/>
      <w:r w:rsidRPr="00382C9F">
        <w:rPr>
          <w:sz w:val="20"/>
          <w:szCs w:val="20"/>
        </w:rPr>
        <w:lastRenderedPageBreak/>
        <w:t>Agreement between Australia and the European Community on Trade in wine.</w:t>
      </w:r>
      <w:proofErr w:type="gramEnd"/>
      <w:r w:rsidRPr="00382C9F">
        <w:rPr>
          <w:sz w:val="20"/>
          <w:szCs w:val="20"/>
        </w:rPr>
        <w:t xml:space="preserve"> </w:t>
      </w:r>
      <w:proofErr w:type="gramStart"/>
      <w:r w:rsidRPr="00382C9F">
        <w:rPr>
          <w:sz w:val="20"/>
          <w:szCs w:val="20"/>
        </w:rPr>
        <w:t>Available from various websites including the Department of Agriculture, Fisheries and Forestry (DAFF).</w:t>
      </w:r>
      <w:proofErr w:type="gramEnd"/>
      <w:r w:rsidRPr="00382C9F">
        <w:rPr>
          <w:sz w:val="20"/>
          <w:szCs w:val="20"/>
        </w:rPr>
        <w:t xml:space="preserve"> </w:t>
      </w:r>
      <w:hyperlink r:id="rId17" w:history="1">
        <w:r w:rsidRPr="00382C9F">
          <w:rPr>
            <w:rStyle w:val="Hyperlink"/>
            <w:color w:val="0000FF"/>
            <w:sz w:val="20"/>
            <w:szCs w:val="20"/>
          </w:rPr>
          <w:t>http://www.daff.gov.au/__data/assets/pdf_file/0011/913754/wine-agreement.pdf</w:t>
        </w:r>
      </w:hyperlink>
    </w:p>
    <w:p w:rsidR="003B6814" w:rsidRPr="00382C9F" w:rsidRDefault="003B6814" w:rsidP="003B6814">
      <w:pPr>
        <w:rPr>
          <w:sz w:val="20"/>
          <w:szCs w:val="20"/>
          <w:lang w:val="en-AU"/>
        </w:rPr>
      </w:pPr>
      <w:proofErr w:type="gramStart"/>
      <w:r w:rsidRPr="00382C9F">
        <w:rPr>
          <w:color w:val="0000FF"/>
          <w:sz w:val="20"/>
          <w:szCs w:val="20"/>
        </w:rPr>
        <w:t>Accessed 26 April 2011.</w:t>
      </w:r>
      <w:proofErr w:type="gramEnd"/>
      <w:r w:rsidRPr="00382C9F">
        <w:rPr>
          <w:sz w:val="20"/>
          <w:szCs w:val="20"/>
        </w:rPr>
        <w:t xml:space="preserve"> </w:t>
      </w:r>
    </w:p>
    <w:p w:rsidR="003B6814" w:rsidRDefault="003B6814" w:rsidP="00585A33"/>
    <w:p w:rsidR="003B6814" w:rsidRPr="007602AA" w:rsidRDefault="003B6814" w:rsidP="003B6814">
      <w:pPr>
        <w:rPr>
          <w:rFonts w:ascii="Tahoma" w:hAnsi="Tahoma" w:cs="Tahoma"/>
          <w:b/>
          <w:bCs/>
          <w:sz w:val="28"/>
          <w:u w:val="single"/>
        </w:rPr>
      </w:pPr>
      <w:r w:rsidRPr="007602AA">
        <w:rPr>
          <w:rFonts w:ascii="Tahoma" w:hAnsi="Tahoma" w:cs="Tahoma"/>
          <w:b/>
          <w:bCs/>
          <w:sz w:val="28"/>
          <w:u w:val="single"/>
        </w:rPr>
        <w:t>ATTACHMENT</w:t>
      </w:r>
      <w:r w:rsidR="001C5B4D">
        <w:rPr>
          <w:rFonts w:ascii="Tahoma" w:hAnsi="Tahoma" w:cs="Tahoma"/>
          <w:b/>
          <w:bCs/>
          <w:sz w:val="28"/>
          <w:u w:val="single"/>
        </w:rPr>
        <w:t>S</w:t>
      </w:r>
    </w:p>
    <w:p w:rsidR="003B6814" w:rsidRPr="00B731D0" w:rsidRDefault="003B6814" w:rsidP="003B6814">
      <w:pPr>
        <w:rPr>
          <w:rFonts w:cs="Arial"/>
        </w:rPr>
      </w:pPr>
    </w:p>
    <w:p w:rsidR="004141AA" w:rsidRDefault="004141AA" w:rsidP="003B6814">
      <w:pPr>
        <w:ind w:left="567" w:hanging="567"/>
      </w:pPr>
      <w:r>
        <w:t>1</w:t>
      </w:r>
      <w:r w:rsidR="008A79C0">
        <w:t xml:space="preserve">. </w:t>
      </w:r>
      <w:r w:rsidR="00585A33">
        <w:tab/>
      </w:r>
      <w:r w:rsidR="003B6814" w:rsidRPr="00B731D0">
        <w:t xml:space="preserve">Draft variation to the </w:t>
      </w:r>
      <w:r w:rsidR="003B6814" w:rsidRPr="00B731D0">
        <w:rPr>
          <w:i/>
        </w:rPr>
        <w:t>Australia New Zealand Food Standards Code</w:t>
      </w:r>
      <w:r w:rsidR="003B6814" w:rsidRPr="00B731D0">
        <w:t xml:space="preserve"> </w:t>
      </w:r>
    </w:p>
    <w:p w:rsidR="00585A33" w:rsidRDefault="00585A33" w:rsidP="003B6814">
      <w:pPr>
        <w:ind w:left="567" w:hanging="567"/>
      </w:pPr>
    </w:p>
    <w:p w:rsidR="003B6814" w:rsidRPr="00B731D0" w:rsidRDefault="003B6814" w:rsidP="003B6814">
      <w:pPr>
        <w:ind w:left="567" w:hanging="567"/>
      </w:pPr>
      <w:r w:rsidRPr="002E3D1A">
        <w:t xml:space="preserve">2. </w:t>
      </w:r>
      <w:r w:rsidR="00585A33">
        <w:tab/>
      </w:r>
      <w:r w:rsidRPr="002E3D1A">
        <w:t>Summary of Public Submissions on the Assessment Report</w:t>
      </w:r>
    </w:p>
    <w:p w:rsidR="003B6814" w:rsidRDefault="00FB1916" w:rsidP="003B6814">
      <w:pPr>
        <w:ind w:left="567" w:hanging="567"/>
      </w:pPr>
      <w:r>
        <w:br w:type="page"/>
      </w:r>
    </w:p>
    <w:p w:rsidR="003C4969" w:rsidRPr="00DC6570" w:rsidRDefault="003C4969">
      <w:pPr>
        <w:pStyle w:val="Heading2"/>
        <w:jc w:val="right"/>
        <w:rPr>
          <w:rFonts w:cs="Arial"/>
        </w:rPr>
      </w:pPr>
      <w:bookmarkStart w:id="149" w:name="_Toc304883975"/>
      <w:r w:rsidRPr="00DC6570">
        <w:rPr>
          <w:rFonts w:cs="Arial"/>
        </w:rPr>
        <w:lastRenderedPageBreak/>
        <w:t xml:space="preserve">Attachment </w:t>
      </w:r>
      <w:bookmarkEnd w:id="144"/>
      <w:bookmarkEnd w:id="145"/>
      <w:bookmarkEnd w:id="146"/>
      <w:r w:rsidRPr="00DC6570">
        <w:rPr>
          <w:rFonts w:cs="Arial"/>
        </w:rPr>
        <w:t>1</w:t>
      </w:r>
      <w:bookmarkEnd w:id="147"/>
      <w:bookmarkEnd w:id="149"/>
    </w:p>
    <w:p w:rsidR="003C4969" w:rsidRPr="00417EE3" w:rsidRDefault="003C4969">
      <w:pPr>
        <w:pStyle w:val="Heading2"/>
        <w:rPr>
          <w:rFonts w:cs="Arial"/>
          <w:sz w:val="22"/>
          <w:szCs w:val="22"/>
        </w:rPr>
      </w:pPr>
    </w:p>
    <w:p w:rsidR="003C4969" w:rsidRPr="00DC6570" w:rsidRDefault="003B6814" w:rsidP="00DC2129">
      <w:pPr>
        <w:pStyle w:val="Heading2"/>
        <w:rPr>
          <w:rFonts w:cs="Arial"/>
        </w:rPr>
      </w:pPr>
      <w:bookmarkStart w:id="150" w:name="_Toc120358597"/>
      <w:bookmarkStart w:id="151" w:name="_Toc304883976"/>
      <w:bookmarkEnd w:id="148"/>
      <w:r>
        <w:rPr>
          <w:rFonts w:cs="Arial"/>
        </w:rPr>
        <w:t xml:space="preserve">Draft variation </w:t>
      </w:r>
      <w:r w:rsidR="003C4969" w:rsidRPr="00DC6570">
        <w:rPr>
          <w:rFonts w:cs="Arial"/>
        </w:rPr>
        <w:t xml:space="preserve">to the </w:t>
      </w:r>
      <w:r w:rsidR="003C4969" w:rsidRPr="00DC6570">
        <w:rPr>
          <w:rFonts w:cs="Arial"/>
          <w:i/>
          <w:iCs w:val="0"/>
        </w:rPr>
        <w:t>Australia New Zealand Food Standards Code</w:t>
      </w:r>
      <w:bookmarkEnd w:id="150"/>
      <w:bookmarkEnd w:id="151"/>
    </w:p>
    <w:p w:rsidR="003C4969" w:rsidRPr="00DC6570" w:rsidRDefault="003C4969">
      <w:pPr>
        <w:rPr>
          <w:rFonts w:cs="Arial"/>
        </w:rPr>
      </w:pPr>
    </w:p>
    <w:p w:rsidR="00FB1916" w:rsidRPr="006C7B2E" w:rsidRDefault="00A53178" w:rsidP="00FB1916">
      <w:pPr>
        <w:rPr>
          <w:noProof/>
          <w:lang w:val="en-AU" w:eastAsia="en-AU"/>
        </w:rPr>
      </w:pPr>
      <w:r>
        <w:rPr>
          <w:noProof/>
          <w:sz w:val="26"/>
          <w:lang w:val="en-AU" w:eastAsia="en-AU" w:bidi="ar-SA"/>
        </w:rPr>
        <w:drawing>
          <wp:inline distT="0" distB="0" distL="0" distR="0" wp14:anchorId="79AA60A8" wp14:editId="184B17E0">
            <wp:extent cx="2657475" cy="428625"/>
            <wp:effectExtent l="0" t="0" r="9525" b="9525"/>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7475" cy="428625"/>
                    </a:xfrm>
                    <a:prstGeom prst="rect">
                      <a:avLst/>
                    </a:prstGeom>
                    <a:noFill/>
                    <a:ln>
                      <a:noFill/>
                    </a:ln>
                  </pic:spPr>
                </pic:pic>
              </a:graphicData>
            </a:graphic>
          </wp:inline>
        </w:drawing>
      </w:r>
    </w:p>
    <w:p w:rsidR="00FB1916" w:rsidRPr="006C7B2E" w:rsidRDefault="00FB1916" w:rsidP="00FB1916">
      <w:pPr>
        <w:pStyle w:val="Title"/>
        <w:pBdr>
          <w:bottom w:val="single" w:sz="4" w:space="3" w:color="auto"/>
        </w:pBdr>
        <w:rPr>
          <w:b w:val="0"/>
          <w:bCs w:val="0"/>
          <w:szCs w:val="20"/>
          <w:lang w:val="en-GB"/>
        </w:rPr>
      </w:pPr>
    </w:p>
    <w:p w:rsidR="00FB1916" w:rsidRDefault="00FB1916" w:rsidP="00FB1916">
      <w:pPr>
        <w:pStyle w:val="Title"/>
        <w:pBdr>
          <w:bottom w:val="single" w:sz="4" w:space="3" w:color="auto"/>
        </w:pBdr>
        <w:jc w:val="left"/>
      </w:pPr>
      <w:r>
        <w:t>Food Standards (</w:t>
      </w:r>
      <w:r w:rsidRPr="00C45C18">
        <w:t>Application A10</w:t>
      </w:r>
      <w:r>
        <w:t>47</w:t>
      </w:r>
      <w:r w:rsidRPr="00C45C18">
        <w:t xml:space="preserve"> – </w:t>
      </w:r>
      <w:r w:rsidRPr="00AB5183">
        <w:t>Sodium Carboxymethylcellulose as a Food Additive in Wine</w:t>
      </w:r>
      <w:r>
        <w:t>)</w:t>
      </w:r>
      <w:r w:rsidRPr="00E54E69">
        <w:t xml:space="preserve"> </w:t>
      </w:r>
      <w:r>
        <w:t>Variation</w:t>
      </w:r>
    </w:p>
    <w:p w:rsidR="00FB1916" w:rsidRDefault="00FB1916" w:rsidP="00FB1916"/>
    <w:p w:rsidR="00FB1916" w:rsidRDefault="00FB1916" w:rsidP="00FB1916">
      <w:r>
        <w:t xml:space="preserve">The Board of Food Standards Australia New Zealand gives notice of the making of this variation under section 92 of the </w:t>
      </w:r>
      <w:r>
        <w:rPr>
          <w:i/>
        </w:rPr>
        <w:t>Food Standards Australia New Zealand Act 1991</w:t>
      </w:r>
      <w:r>
        <w:t>.  The Standard commences on the date specified in clause 3 of this variation.</w:t>
      </w:r>
    </w:p>
    <w:p w:rsidR="00FB1916" w:rsidRPr="00661896" w:rsidRDefault="00FB1916" w:rsidP="00FB1916"/>
    <w:p w:rsidR="00FB1916" w:rsidRPr="0054150A" w:rsidRDefault="00FB1916" w:rsidP="00FB1916">
      <w:proofErr w:type="gramStart"/>
      <w:r>
        <w:t>Dated  XXXX</w:t>
      </w:r>
      <w:proofErr w:type="gramEnd"/>
    </w:p>
    <w:p w:rsidR="00FB1916" w:rsidRDefault="00FB1916" w:rsidP="00FB1916">
      <w:pPr>
        <w:rPr>
          <w:noProof/>
          <w:lang w:val="en-AU" w:eastAsia="en-AU"/>
        </w:rPr>
      </w:pPr>
    </w:p>
    <w:p w:rsidR="00FB1916" w:rsidRDefault="00FB1916" w:rsidP="00FB1916">
      <w:pPr>
        <w:rPr>
          <w:noProof/>
          <w:lang w:val="en-AU" w:eastAsia="en-AU"/>
        </w:rPr>
      </w:pPr>
    </w:p>
    <w:p w:rsidR="00FB1916" w:rsidRPr="0054150A" w:rsidRDefault="00FB1916" w:rsidP="00FB1916">
      <w:pPr>
        <w:rPr>
          <w:noProof/>
          <w:lang w:val="en-AU" w:eastAsia="en-AU"/>
        </w:rPr>
      </w:pPr>
      <w:r>
        <w:rPr>
          <w:noProof/>
          <w:lang w:val="en-AU" w:eastAsia="en-AU"/>
        </w:rPr>
        <w:t>[Signature to be inserted]</w:t>
      </w:r>
    </w:p>
    <w:p w:rsidR="00FB1916" w:rsidRDefault="00FB1916" w:rsidP="00FB1916"/>
    <w:p w:rsidR="00FB1916" w:rsidRDefault="00FB1916" w:rsidP="00FB1916"/>
    <w:p w:rsidR="00FB1916" w:rsidRDefault="00FB1916" w:rsidP="00FB1916"/>
    <w:p w:rsidR="00FB1916" w:rsidRDefault="00FB1916" w:rsidP="00FB1916">
      <w:r>
        <w:t>Standards Management Officer</w:t>
      </w:r>
    </w:p>
    <w:p w:rsidR="00FB1916" w:rsidRDefault="00FB1916" w:rsidP="00FB1916">
      <w:r>
        <w:t>Delegate of the Board of Food Standards Australia New Zealand</w:t>
      </w:r>
    </w:p>
    <w:p w:rsidR="00FB1916" w:rsidRDefault="00FB1916" w:rsidP="00FB1916"/>
    <w:p w:rsidR="00FB1916" w:rsidRDefault="00FB1916" w:rsidP="00FB1916">
      <w:r>
        <w:br w:type="page"/>
      </w:r>
    </w:p>
    <w:p w:rsidR="00FB1916" w:rsidRDefault="00FB1916" w:rsidP="00FB1916">
      <w:pPr>
        <w:pStyle w:val="Clauseheading"/>
      </w:pPr>
      <w:r>
        <w:lastRenderedPageBreak/>
        <w:t>1</w:t>
      </w:r>
      <w:r>
        <w:tab/>
        <w:t>Name</w:t>
      </w:r>
    </w:p>
    <w:p w:rsidR="00FB1916" w:rsidRDefault="00FB1916" w:rsidP="00FB1916">
      <w:pPr>
        <w:pStyle w:val="Clause"/>
      </w:pPr>
    </w:p>
    <w:p w:rsidR="00FB1916" w:rsidRPr="002F0EC2" w:rsidRDefault="00FB1916" w:rsidP="00FB1916">
      <w:pPr>
        <w:pStyle w:val="Clause"/>
      </w:pPr>
      <w:r>
        <w:t xml:space="preserve">This instrument is the </w:t>
      </w:r>
      <w:r>
        <w:rPr>
          <w:i/>
        </w:rPr>
        <w:t>Food Standards (Application A1047</w:t>
      </w:r>
      <w:r w:rsidRPr="00C45C18">
        <w:rPr>
          <w:i/>
        </w:rPr>
        <w:t xml:space="preserve"> – </w:t>
      </w:r>
      <w:r w:rsidRPr="00AB5183">
        <w:rPr>
          <w:i/>
        </w:rPr>
        <w:t>Sodium Carboxymethylcellulose as a Food Additive in Wine</w:t>
      </w:r>
      <w:r>
        <w:rPr>
          <w:i/>
        </w:rPr>
        <w:t xml:space="preserve">) </w:t>
      </w:r>
      <w:r w:rsidRPr="002F0EC2">
        <w:rPr>
          <w:i/>
        </w:rPr>
        <w:t>Variation</w:t>
      </w:r>
      <w:r>
        <w:t>.</w:t>
      </w:r>
    </w:p>
    <w:p w:rsidR="00FB1916" w:rsidRDefault="00FB1916" w:rsidP="00FB1916"/>
    <w:p w:rsidR="00FB1916" w:rsidRDefault="00FB1916" w:rsidP="00FB1916">
      <w:pPr>
        <w:pStyle w:val="Clauseheading"/>
      </w:pPr>
      <w:r>
        <w:t>2</w:t>
      </w:r>
      <w:r>
        <w:tab/>
        <w:t xml:space="preserve">Variation to Standards in the </w:t>
      </w:r>
      <w:r w:rsidRPr="00FF1C11">
        <w:rPr>
          <w:i/>
        </w:rPr>
        <w:t>Australia New Zealand Food Standards Code</w:t>
      </w:r>
    </w:p>
    <w:p w:rsidR="00FB1916" w:rsidRDefault="00FB1916" w:rsidP="00FB1916">
      <w:pPr>
        <w:pStyle w:val="Clause"/>
      </w:pPr>
    </w:p>
    <w:p w:rsidR="00FB1916" w:rsidRDefault="00FB1916" w:rsidP="00FB1916">
      <w:pPr>
        <w:pStyle w:val="Clause"/>
      </w:pPr>
      <w:r>
        <w:t xml:space="preserve">The Schedule varies the Standards in the </w:t>
      </w:r>
      <w:r w:rsidRPr="00FF1C11">
        <w:rPr>
          <w:i/>
        </w:rPr>
        <w:t>Australia New Zealand Food Standards Code</w:t>
      </w:r>
      <w:r>
        <w:t>.</w:t>
      </w:r>
    </w:p>
    <w:p w:rsidR="00FB1916" w:rsidRDefault="00FB1916" w:rsidP="00FB1916"/>
    <w:p w:rsidR="00FB1916" w:rsidRDefault="00FB1916" w:rsidP="00FB1916">
      <w:pPr>
        <w:pStyle w:val="Clauseheading"/>
      </w:pPr>
      <w:r>
        <w:t>3</w:t>
      </w:r>
      <w:r>
        <w:tab/>
        <w:t>Commencement</w:t>
      </w:r>
    </w:p>
    <w:p w:rsidR="00FB1916" w:rsidRDefault="00FB1916" w:rsidP="00FB1916">
      <w:pPr>
        <w:pStyle w:val="Clause"/>
      </w:pPr>
    </w:p>
    <w:p w:rsidR="00FB1916" w:rsidRPr="00606CEF" w:rsidRDefault="00FB1916" w:rsidP="00FB1916">
      <w:pPr>
        <w:pStyle w:val="Clause"/>
      </w:pPr>
      <w:r>
        <w:t xml:space="preserve">This variation commences </w:t>
      </w:r>
      <w:r>
        <w:rPr>
          <w:b/>
        </w:rPr>
        <w:t xml:space="preserve">on the date of </w:t>
      </w:r>
      <w:r w:rsidRPr="001D3CE6">
        <w:rPr>
          <w:b/>
        </w:rPr>
        <w:t>gazettal</w:t>
      </w:r>
      <w:r w:rsidRPr="001D3CE6">
        <w:t>.</w:t>
      </w:r>
    </w:p>
    <w:p w:rsidR="00FB1916" w:rsidRDefault="00FB1916" w:rsidP="00FB1916">
      <w:pPr>
        <w:pStyle w:val="Clauseheading"/>
      </w:pPr>
    </w:p>
    <w:p w:rsidR="00FB1916" w:rsidRDefault="00FB1916" w:rsidP="00FB1916">
      <w:pPr>
        <w:pStyle w:val="ScheduleHeading"/>
      </w:pPr>
      <w:r>
        <w:t>SCHEDULE</w:t>
      </w:r>
    </w:p>
    <w:p w:rsidR="00FB1916" w:rsidRPr="00E54E69" w:rsidRDefault="00FB1916" w:rsidP="00FB1916"/>
    <w:p w:rsidR="00FB1916" w:rsidRPr="007358C9" w:rsidRDefault="00FB1916" w:rsidP="00FB1916">
      <w:pPr>
        <w:pStyle w:val="Clause"/>
      </w:pPr>
      <w:r w:rsidRPr="008B769A">
        <w:rPr>
          <w:b/>
        </w:rPr>
        <w:t>[</w:t>
      </w:r>
      <w:r>
        <w:rPr>
          <w:b/>
        </w:rPr>
        <w:t>1</w:t>
      </w:r>
      <w:r w:rsidRPr="008B769A">
        <w:rPr>
          <w:b/>
        </w:rPr>
        <w:t>]</w:t>
      </w:r>
      <w:r w:rsidRPr="007358C9">
        <w:tab/>
      </w:r>
      <w:r>
        <w:rPr>
          <w:b/>
          <w:i/>
        </w:rPr>
        <w:t>Standard 1.3.1</w:t>
      </w:r>
      <w:r w:rsidRPr="007358C9">
        <w:rPr>
          <w:b/>
          <w:i/>
        </w:rPr>
        <w:t xml:space="preserve"> </w:t>
      </w:r>
      <w:r>
        <w:rPr>
          <w:i/>
        </w:rPr>
        <w:t xml:space="preserve">is varied by </w:t>
      </w:r>
      <w:r w:rsidRPr="001F3F29">
        <w:rPr>
          <w:i/>
        </w:rPr>
        <w:t xml:space="preserve">inserting the following entry in numerical order under item </w:t>
      </w:r>
      <w:r w:rsidRPr="001F3F29">
        <w:t>14.2.2 Wine, sparkling wine and fortified wine of Schedule 1</w:t>
      </w:r>
      <w:r w:rsidRPr="001F3F29">
        <w:rPr>
          <w:i/>
        </w:rPr>
        <w:t xml:space="preserve"> –</w:t>
      </w:r>
    </w:p>
    <w:p w:rsidR="00FB1916" w:rsidRPr="007358C9" w:rsidRDefault="00FB1916" w:rsidP="00FB1916"/>
    <w:tbl>
      <w:tblPr>
        <w:tblW w:w="9227" w:type="dxa"/>
        <w:tblLayout w:type="fixed"/>
        <w:tblLook w:val="0000" w:firstRow="0" w:lastRow="0" w:firstColumn="0" w:lastColumn="0" w:noHBand="0" w:noVBand="0"/>
      </w:tblPr>
      <w:tblGrid>
        <w:gridCol w:w="646"/>
        <w:gridCol w:w="1801"/>
        <w:gridCol w:w="2898"/>
        <w:gridCol w:w="711"/>
        <w:gridCol w:w="710"/>
        <w:gridCol w:w="543"/>
        <w:gridCol w:w="1918"/>
      </w:tblGrid>
      <w:tr w:rsidR="00FB1916" w:rsidTr="005B11B4">
        <w:tc>
          <w:tcPr>
            <w:tcW w:w="646" w:type="dxa"/>
          </w:tcPr>
          <w:p w:rsidR="00FB1916" w:rsidRDefault="00FB1916" w:rsidP="005B11B4">
            <w:pPr>
              <w:pStyle w:val="Table2"/>
            </w:pPr>
          </w:p>
        </w:tc>
        <w:tc>
          <w:tcPr>
            <w:tcW w:w="1801" w:type="dxa"/>
          </w:tcPr>
          <w:p w:rsidR="00FB1916" w:rsidRPr="00DC3F8A" w:rsidRDefault="00FB1916" w:rsidP="005B11B4">
            <w:pPr>
              <w:pStyle w:val="Table2"/>
            </w:pPr>
            <w:r w:rsidRPr="00DC3F8A">
              <w:t>4</w:t>
            </w:r>
            <w:r>
              <w:t>66</w:t>
            </w:r>
          </w:p>
        </w:tc>
        <w:tc>
          <w:tcPr>
            <w:tcW w:w="2898" w:type="dxa"/>
          </w:tcPr>
          <w:p w:rsidR="00FB1916" w:rsidRPr="00B832F0" w:rsidRDefault="00FB1916" w:rsidP="005B11B4">
            <w:pPr>
              <w:pStyle w:val="Table2"/>
            </w:pPr>
            <w:r w:rsidRPr="005B600B">
              <w:t>Sodium carboxymethylcellulose</w:t>
            </w:r>
          </w:p>
        </w:tc>
        <w:tc>
          <w:tcPr>
            <w:tcW w:w="711" w:type="dxa"/>
          </w:tcPr>
          <w:p w:rsidR="00FB1916" w:rsidRPr="00B832F0" w:rsidRDefault="00FB1916" w:rsidP="005B11B4">
            <w:pPr>
              <w:pStyle w:val="Table2"/>
            </w:pPr>
            <w:r w:rsidRPr="005B600B">
              <w:t>GMP</w:t>
            </w:r>
          </w:p>
        </w:tc>
        <w:tc>
          <w:tcPr>
            <w:tcW w:w="710" w:type="dxa"/>
          </w:tcPr>
          <w:p w:rsidR="00FB1916" w:rsidRDefault="00FB1916" w:rsidP="005B11B4">
            <w:pPr>
              <w:pStyle w:val="Table2"/>
            </w:pPr>
          </w:p>
        </w:tc>
        <w:tc>
          <w:tcPr>
            <w:tcW w:w="543" w:type="dxa"/>
          </w:tcPr>
          <w:p w:rsidR="00FB1916" w:rsidRDefault="00FB1916" w:rsidP="005B11B4">
            <w:pPr>
              <w:pStyle w:val="Table2"/>
            </w:pPr>
          </w:p>
        </w:tc>
        <w:tc>
          <w:tcPr>
            <w:tcW w:w="1918" w:type="dxa"/>
          </w:tcPr>
          <w:p w:rsidR="00FB1916" w:rsidRDefault="00FB1916" w:rsidP="005B11B4">
            <w:pPr>
              <w:pStyle w:val="Table2"/>
            </w:pPr>
            <w:r>
              <w:t xml:space="preserve">Wine and sparkling </w:t>
            </w:r>
            <w:r w:rsidRPr="005B600B">
              <w:t>wine only</w:t>
            </w:r>
          </w:p>
        </w:tc>
      </w:tr>
    </w:tbl>
    <w:p w:rsidR="00FB1916" w:rsidRDefault="00FB1916" w:rsidP="00FB1916">
      <w:pPr>
        <w:pStyle w:val="Clause"/>
      </w:pPr>
    </w:p>
    <w:p w:rsidR="00FB1916" w:rsidRPr="007358C9" w:rsidRDefault="00FB1916" w:rsidP="00FB1916">
      <w:pPr>
        <w:pStyle w:val="Clause"/>
      </w:pPr>
      <w:r w:rsidRPr="008B769A">
        <w:rPr>
          <w:b/>
        </w:rPr>
        <w:t>[</w:t>
      </w:r>
      <w:r>
        <w:rPr>
          <w:b/>
        </w:rPr>
        <w:t>2</w:t>
      </w:r>
      <w:r w:rsidRPr="008B769A">
        <w:rPr>
          <w:b/>
        </w:rPr>
        <w:t>]</w:t>
      </w:r>
      <w:r w:rsidRPr="007358C9">
        <w:tab/>
      </w:r>
      <w:r>
        <w:rPr>
          <w:b/>
          <w:i/>
        </w:rPr>
        <w:t>Standard 4.5.1</w:t>
      </w:r>
      <w:r w:rsidRPr="007358C9">
        <w:rPr>
          <w:b/>
          <w:i/>
        </w:rPr>
        <w:t xml:space="preserve"> </w:t>
      </w:r>
      <w:r>
        <w:rPr>
          <w:i/>
        </w:rPr>
        <w:t xml:space="preserve">is </w:t>
      </w:r>
      <w:r w:rsidRPr="001F3F29">
        <w:rPr>
          <w:i/>
        </w:rPr>
        <w:t xml:space="preserve">varied by inserting in alphabetical order in the </w:t>
      </w:r>
      <w:r w:rsidRPr="001F3F29">
        <w:t>Table to clause 3 –</w:t>
      </w:r>
    </w:p>
    <w:p w:rsidR="00FB1916" w:rsidRPr="007358C9" w:rsidRDefault="00FB1916" w:rsidP="00FB1916"/>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tblGrid>
      <w:tr w:rsidR="00FB1916" w:rsidTr="005B11B4">
        <w:trPr>
          <w:jc w:val="center"/>
        </w:trPr>
        <w:tc>
          <w:tcPr>
            <w:tcW w:w="5103" w:type="dxa"/>
            <w:tcBorders>
              <w:bottom w:val="single" w:sz="4" w:space="0" w:color="auto"/>
            </w:tcBorders>
          </w:tcPr>
          <w:p w:rsidR="00FB1916" w:rsidRDefault="00FB1916" w:rsidP="005B11B4">
            <w:pPr>
              <w:pStyle w:val="Table2"/>
            </w:pPr>
            <w:r w:rsidRPr="007D724E">
              <w:t>sodium carboxymethylcellulose</w:t>
            </w:r>
          </w:p>
        </w:tc>
      </w:tr>
    </w:tbl>
    <w:p w:rsidR="003B6814" w:rsidRDefault="003C4969" w:rsidP="002E2F44">
      <w:pPr>
        <w:pStyle w:val="Heading2"/>
        <w:jc w:val="right"/>
        <w:rPr>
          <w:rFonts w:cs="Arial"/>
        </w:rPr>
      </w:pPr>
      <w:r w:rsidRPr="00DC6570">
        <w:rPr>
          <w:rFonts w:cs="Arial"/>
        </w:rPr>
        <w:br w:type="page"/>
      </w:r>
    </w:p>
    <w:p w:rsidR="00ED3299" w:rsidRPr="002E3D1A" w:rsidRDefault="00ED3299" w:rsidP="00ED3299">
      <w:pPr>
        <w:pStyle w:val="Heading2"/>
        <w:jc w:val="right"/>
      </w:pPr>
      <w:bookmarkStart w:id="152" w:name="_Toc279490406"/>
      <w:bookmarkStart w:id="153" w:name="_Toc280865435"/>
      <w:bookmarkStart w:id="154" w:name="_Toc304883977"/>
      <w:r w:rsidRPr="002E3D1A">
        <w:lastRenderedPageBreak/>
        <w:t>Attachment 2</w:t>
      </w:r>
      <w:bookmarkEnd w:id="152"/>
      <w:bookmarkEnd w:id="153"/>
      <w:bookmarkEnd w:id="154"/>
    </w:p>
    <w:p w:rsidR="00ED3299" w:rsidRPr="002E3D1A" w:rsidRDefault="00ED3299" w:rsidP="00ED3299"/>
    <w:p w:rsidR="00AF07C0" w:rsidRPr="00BA65DF" w:rsidRDefault="00AF07C0" w:rsidP="00AF07C0">
      <w:pPr>
        <w:pStyle w:val="Heading2"/>
        <w:rPr>
          <w:color w:val="000000"/>
        </w:rPr>
      </w:pPr>
      <w:bookmarkStart w:id="155" w:name="_Toc304883978"/>
      <w:r w:rsidRPr="002E3D1A">
        <w:rPr>
          <w:color w:val="000000"/>
        </w:rPr>
        <w:t>Summary of Public Submissions on the Assessment Report</w:t>
      </w:r>
      <w:bookmarkEnd w:id="155"/>
    </w:p>
    <w:p w:rsidR="00AF07C0" w:rsidRPr="00951BB2" w:rsidRDefault="00AF07C0" w:rsidP="00AF07C0"/>
    <w:p w:rsidR="002F3582" w:rsidRDefault="005A2211" w:rsidP="002F3582">
      <w:r>
        <w:t xml:space="preserve">The Assessment Report for this Application was advertised for public comment </w:t>
      </w:r>
      <w:r w:rsidR="004654FF">
        <w:t xml:space="preserve">from 31 May to 11 July 2011. Comments were specifically sought on the </w:t>
      </w:r>
      <w:r w:rsidR="002F3582" w:rsidRPr="00B731D0">
        <w:rPr>
          <w:rFonts w:cs="Arial"/>
          <w:szCs w:val="22"/>
        </w:rPr>
        <w:t xml:space="preserve">scientific aspects of this </w:t>
      </w:r>
      <w:r w:rsidR="002F3582">
        <w:rPr>
          <w:rFonts w:cs="Arial"/>
          <w:szCs w:val="22"/>
        </w:rPr>
        <w:t>Application</w:t>
      </w:r>
      <w:r w:rsidR="002F3582" w:rsidRPr="00B731D0">
        <w:rPr>
          <w:rFonts w:cs="Arial"/>
          <w:szCs w:val="22"/>
        </w:rPr>
        <w:t xml:space="preserve">, including the technological function and any information relevant to the safety assessment of the </w:t>
      </w:r>
      <w:r w:rsidR="002F3582">
        <w:rPr>
          <w:rFonts w:cs="Arial"/>
          <w:szCs w:val="22"/>
        </w:rPr>
        <w:t xml:space="preserve">additive to be used as an additive in wine and sparkling wine. </w:t>
      </w:r>
      <w:r w:rsidR="002F3582" w:rsidRPr="00951BB2">
        <w:t xml:space="preserve">A summary of </w:t>
      </w:r>
      <w:r w:rsidR="002F3582">
        <w:t xml:space="preserve">the issues raised and the response from FSANZ </w:t>
      </w:r>
      <w:r w:rsidR="002F3582" w:rsidRPr="00951BB2">
        <w:t xml:space="preserve">is provided in </w:t>
      </w:r>
      <w:r w:rsidR="002F3582">
        <w:t>Table 1 below</w:t>
      </w:r>
      <w:r w:rsidR="00A9089F">
        <w:t>.</w:t>
      </w:r>
    </w:p>
    <w:p w:rsidR="00152D17" w:rsidRDefault="00152D17" w:rsidP="002F3582"/>
    <w:p w:rsidR="00AF07C0" w:rsidRDefault="00AF07C0" w:rsidP="00AF07C0">
      <w:r>
        <w:t>Six</w:t>
      </w:r>
      <w:r w:rsidRPr="00951BB2">
        <w:t xml:space="preserve"> submissions were received during the public consultation period in response to the Assessment Report.</w:t>
      </w:r>
      <w:r>
        <w:t xml:space="preserve"> </w:t>
      </w:r>
    </w:p>
    <w:p w:rsidR="00AF07C0" w:rsidRDefault="00AF07C0" w:rsidP="00AF07C0"/>
    <w:p w:rsidR="00AF07C0" w:rsidRDefault="00AF07C0" w:rsidP="00AF07C0">
      <w:r>
        <w:t>Five submitters supported the Application, being two government agencies, two professional organisations and one winemaker. The sixth submission</w:t>
      </w:r>
      <w:r w:rsidR="00863F66">
        <w:t xml:space="preserve"> </w:t>
      </w:r>
      <w:r>
        <w:t>was f</w:t>
      </w:r>
      <w:r w:rsidR="00B76616">
        <w:t xml:space="preserve">rom a member of the public who did not support the application. </w:t>
      </w:r>
    </w:p>
    <w:p w:rsidR="00AF07C0" w:rsidRPr="00951BB2" w:rsidRDefault="00AF07C0" w:rsidP="00AF07C0"/>
    <w:p w:rsidR="00AF07C0" w:rsidRDefault="00AF07C0" w:rsidP="00AF07C0">
      <w:pPr>
        <w:pStyle w:val="FSTableTitle"/>
      </w:pPr>
      <w:r>
        <w:t>Table 1: Summary of Submissions</w:t>
      </w:r>
    </w:p>
    <w:p w:rsidR="00AF07C0" w:rsidRPr="00951BB2" w:rsidRDefault="00AF07C0" w:rsidP="00AF07C0">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9"/>
        <w:gridCol w:w="3059"/>
        <w:gridCol w:w="4264"/>
      </w:tblGrid>
      <w:tr w:rsidR="00AF07C0" w:rsidRPr="00705656" w:rsidTr="006B71A9">
        <w:trPr>
          <w:cantSplit/>
          <w:tblHeader/>
        </w:trPr>
        <w:tc>
          <w:tcPr>
            <w:tcW w:w="1038" w:type="pct"/>
            <w:shd w:val="clear" w:color="auto" w:fill="D6E3BC" w:themeFill="accent3" w:themeFillTint="66"/>
          </w:tcPr>
          <w:p w:rsidR="00AF07C0" w:rsidRDefault="00AF07C0" w:rsidP="00AF07C0">
            <w:pPr>
              <w:pStyle w:val="FSTableHeading"/>
            </w:pPr>
            <w:r w:rsidRPr="00951BB2">
              <w:t>Submitter</w:t>
            </w:r>
          </w:p>
          <w:p w:rsidR="00AF07C0" w:rsidRPr="00951BB2" w:rsidRDefault="00AF07C0" w:rsidP="00AF07C0">
            <w:pPr>
              <w:pStyle w:val="FSTableHeading"/>
            </w:pPr>
          </w:p>
        </w:tc>
        <w:tc>
          <w:tcPr>
            <w:tcW w:w="1655" w:type="pct"/>
            <w:shd w:val="clear" w:color="auto" w:fill="D6E3BC" w:themeFill="accent3" w:themeFillTint="66"/>
          </w:tcPr>
          <w:p w:rsidR="00AF07C0" w:rsidRPr="00951BB2" w:rsidRDefault="005A2211" w:rsidP="00AF07C0">
            <w:pPr>
              <w:pStyle w:val="FSTableHeading"/>
            </w:pPr>
            <w:r w:rsidRPr="00951BB2">
              <w:t>Comments</w:t>
            </w:r>
          </w:p>
        </w:tc>
        <w:tc>
          <w:tcPr>
            <w:tcW w:w="2307" w:type="pct"/>
            <w:shd w:val="clear" w:color="auto" w:fill="D6E3BC" w:themeFill="accent3" w:themeFillTint="66"/>
          </w:tcPr>
          <w:p w:rsidR="00AF07C0" w:rsidRPr="00951BB2" w:rsidRDefault="005A2211" w:rsidP="00AF07C0">
            <w:pPr>
              <w:pStyle w:val="FSTableHeading"/>
            </w:pPr>
            <w:r>
              <w:t xml:space="preserve">FSANZ Response </w:t>
            </w:r>
          </w:p>
        </w:tc>
      </w:tr>
      <w:tr w:rsidR="00AF07C0" w:rsidRPr="00AA0EB0" w:rsidTr="006B71A9">
        <w:trPr>
          <w:cantSplit/>
        </w:trPr>
        <w:tc>
          <w:tcPr>
            <w:tcW w:w="1038" w:type="pct"/>
          </w:tcPr>
          <w:p w:rsidR="00AF07C0" w:rsidRPr="00AA0EB0" w:rsidRDefault="00863F66" w:rsidP="00AF07C0">
            <w:pPr>
              <w:pStyle w:val="FSTableText"/>
            </w:pPr>
            <w:r>
              <w:t>Pierre’s Wines</w:t>
            </w:r>
            <w:r w:rsidR="00CD0D26">
              <w:t xml:space="preserve">, Owner and Winemaker </w:t>
            </w:r>
            <w:r>
              <w:t xml:space="preserve"> </w:t>
            </w:r>
          </w:p>
        </w:tc>
        <w:tc>
          <w:tcPr>
            <w:tcW w:w="1655" w:type="pct"/>
          </w:tcPr>
          <w:p w:rsidR="00AF07C0" w:rsidRPr="00AA0EB0" w:rsidRDefault="00CD0D26" w:rsidP="00CD0D26">
            <w:pPr>
              <w:pStyle w:val="FSTableText"/>
            </w:pPr>
            <w:r>
              <w:t xml:space="preserve">Supports Option 2. Comments on the monetary, environmental and processing advantages of using CMC compared with traditional cooling techniques.  </w:t>
            </w:r>
          </w:p>
        </w:tc>
        <w:tc>
          <w:tcPr>
            <w:tcW w:w="2307" w:type="pct"/>
          </w:tcPr>
          <w:p w:rsidR="00AF07C0" w:rsidRPr="00AA0EB0" w:rsidRDefault="00CD0D26" w:rsidP="00AF07C0">
            <w:pPr>
              <w:pStyle w:val="FSTableText"/>
            </w:pPr>
            <w:r>
              <w:t xml:space="preserve">Support noted </w:t>
            </w:r>
          </w:p>
        </w:tc>
      </w:tr>
      <w:tr w:rsidR="00AF07C0" w:rsidRPr="00AA0EB0" w:rsidTr="006B71A9">
        <w:trPr>
          <w:cantSplit/>
        </w:trPr>
        <w:tc>
          <w:tcPr>
            <w:tcW w:w="1038" w:type="pct"/>
          </w:tcPr>
          <w:p w:rsidR="00AF07C0" w:rsidRPr="00AA0EB0" w:rsidRDefault="00AF07C0" w:rsidP="00AF07C0">
            <w:pPr>
              <w:pStyle w:val="FSTableText"/>
            </w:pPr>
            <w:r w:rsidRPr="00AA0EB0">
              <w:t>Food Technology Association of Australia</w:t>
            </w:r>
          </w:p>
        </w:tc>
        <w:tc>
          <w:tcPr>
            <w:tcW w:w="1655" w:type="pct"/>
          </w:tcPr>
          <w:p w:rsidR="00AF07C0" w:rsidRPr="00AA0EB0" w:rsidRDefault="00CD0D26" w:rsidP="00C735F1">
            <w:pPr>
              <w:pStyle w:val="FSTableText"/>
            </w:pPr>
            <w:r>
              <w:t xml:space="preserve">Supports Option 2.  Also comments </w:t>
            </w:r>
            <w:r w:rsidR="00246579">
              <w:t>‘</w:t>
            </w:r>
            <w:r w:rsidR="00C735F1">
              <w:t>The matter of exemption from ingredient labelling of wine, sparkling wine and most alcoholic beverages raises the issue of providing information, including the declaration of food additives on labels to consumers, as is mandatory for all packaged foods.</w:t>
            </w:r>
            <w:r w:rsidR="00246579">
              <w:t>’</w:t>
            </w:r>
          </w:p>
        </w:tc>
        <w:tc>
          <w:tcPr>
            <w:tcW w:w="2307" w:type="pct"/>
          </w:tcPr>
          <w:p w:rsidR="00AF07C0" w:rsidRDefault="00C735F1" w:rsidP="006B71A9">
            <w:pPr>
              <w:pStyle w:val="FSTableText"/>
            </w:pPr>
            <w:r>
              <w:t xml:space="preserve">Support noted </w:t>
            </w:r>
          </w:p>
          <w:p w:rsidR="00C735F1" w:rsidRPr="00AA0EB0" w:rsidRDefault="00C735F1" w:rsidP="006B71A9">
            <w:pPr>
              <w:pStyle w:val="FSTableText"/>
            </w:pPr>
          </w:p>
          <w:p w:rsidR="00AF07C0" w:rsidRDefault="00DD049E" w:rsidP="00DD049E">
            <w:pPr>
              <w:pStyle w:val="FSTableText"/>
            </w:pPr>
            <w:r>
              <w:t xml:space="preserve">The issue of ingredient labelling for standardised alcoholic beverages was thoroughly considered during the review of ingredient labelling, Proposal P143, and was subject to public comment at the various stages of the review process.  The primary reason for the exemption from ingredient labelling is that the ingredients used in the manufacture of alcoholic beverages are ‘substantially transformed’ during fermentation and therefore a </w:t>
            </w:r>
            <w:r w:rsidRPr="00BF5E7C">
              <w:t>provision of a lis</w:t>
            </w:r>
            <w:r>
              <w:t>t of ingredients is</w:t>
            </w:r>
            <w:r w:rsidRPr="00BF5E7C">
              <w:t xml:space="preserve"> </w:t>
            </w:r>
            <w:r>
              <w:t>considered to not likely</w:t>
            </w:r>
            <w:r w:rsidRPr="00BF5E7C">
              <w:t xml:space="preserve"> benefit consumers</w:t>
            </w:r>
            <w:r>
              <w:t xml:space="preserve">. </w:t>
            </w:r>
            <w:r w:rsidR="003514FB">
              <w:t xml:space="preserve"> </w:t>
            </w:r>
            <w:r w:rsidR="00C735F1">
              <w:t xml:space="preserve">FSANZ is aware of the varying opinions which surround the issue of </w:t>
            </w:r>
            <w:r w:rsidR="003514FB">
              <w:t xml:space="preserve">ingredient </w:t>
            </w:r>
            <w:r w:rsidR="00C735F1">
              <w:t xml:space="preserve">labelling </w:t>
            </w:r>
            <w:r w:rsidR="003514FB">
              <w:t>of standardised</w:t>
            </w:r>
            <w:r w:rsidR="00C735F1">
              <w:t xml:space="preserve"> alcoholic beverages and notes the comment.  However</w:t>
            </w:r>
            <w:r w:rsidR="00345F2B">
              <w:t>,</w:t>
            </w:r>
            <w:r w:rsidR="00C735F1">
              <w:t xml:space="preserve"> as the purpose of this Application is around the inclusion of </w:t>
            </w:r>
            <w:r w:rsidR="002F6B8D">
              <w:t xml:space="preserve">sodium </w:t>
            </w:r>
            <w:r w:rsidR="00C735F1">
              <w:t>CMC in wine and sparkling wine</w:t>
            </w:r>
            <w:r w:rsidR="00345F2B">
              <w:t>,</w:t>
            </w:r>
            <w:r w:rsidR="00C735F1">
              <w:t xml:space="preserve"> this labelling comment is deemed t</w:t>
            </w:r>
            <w:r w:rsidR="00677461">
              <w:t>o be outside the scope of this A</w:t>
            </w:r>
            <w:r w:rsidR="00C735F1">
              <w:t>pplication.</w:t>
            </w:r>
          </w:p>
          <w:p w:rsidR="00677461" w:rsidRPr="00AA0EB0" w:rsidRDefault="00677461" w:rsidP="00DD049E">
            <w:pPr>
              <w:pStyle w:val="FSTableText"/>
            </w:pPr>
          </w:p>
        </w:tc>
      </w:tr>
      <w:tr w:rsidR="00AF07C0" w:rsidRPr="0028592B" w:rsidTr="006B71A9">
        <w:trPr>
          <w:cantSplit/>
        </w:trPr>
        <w:tc>
          <w:tcPr>
            <w:tcW w:w="1038" w:type="pct"/>
          </w:tcPr>
          <w:p w:rsidR="00AF07C0" w:rsidRPr="0028592B" w:rsidRDefault="00C735F1" w:rsidP="00AF07C0">
            <w:pPr>
              <w:pStyle w:val="FSTableText"/>
            </w:pPr>
            <w:r>
              <w:t xml:space="preserve">MAF New Zealand </w:t>
            </w:r>
          </w:p>
        </w:tc>
        <w:tc>
          <w:tcPr>
            <w:tcW w:w="1655" w:type="pct"/>
          </w:tcPr>
          <w:p w:rsidR="00AF07C0" w:rsidRPr="0028592B" w:rsidRDefault="00C735F1" w:rsidP="00AF07C0">
            <w:pPr>
              <w:pStyle w:val="FSTableText"/>
            </w:pPr>
            <w:r>
              <w:t xml:space="preserve">Supports Option 2. </w:t>
            </w:r>
          </w:p>
        </w:tc>
        <w:tc>
          <w:tcPr>
            <w:tcW w:w="2307" w:type="pct"/>
          </w:tcPr>
          <w:p w:rsidR="00AF07C0" w:rsidRDefault="00C735F1" w:rsidP="00AF07C0">
            <w:pPr>
              <w:pStyle w:val="FSTableText"/>
              <w:ind w:left="113" w:hanging="113"/>
            </w:pPr>
            <w:r>
              <w:t xml:space="preserve">Support noted </w:t>
            </w:r>
          </w:p>
          <w:p w:rsidR="00677461" w:rsidRPr="0028592B" w:rsidRDefault="00677461" w:rsidP="00AF07C0">
            <w:pPr>
              <w:pStyle w:val="FSTableText"/>
              <w:ind w:left="113" w:hanging="113"/>
            </w:pPr>
          </w:p>
        </w:tc>
      </w:tr>
      <w:tr w:rsidR="00AD4CA0" w:rsidRPr="00FD6546" w:rsidTr="006B71A9">
        <w:trPr>
          <w:cantSplit/>
        </w:trPr>
        <w:tc>
          <w:tcPr>
            <w:tcW w:w="1038" w:type="pct"/>
          </w:tcPr>
          <w:p w:rsidR="00AD4CA0" w:rsidRPr="009555AE" w:rsidRDefault="00AD4CA0" w:rsidP="002D243E">
            <w:pPr>
              <w:pStyle w:val="FSTableText"/>
            </w:pPr>
            <w:r w:rsidRPr="009555AE">
              <w:lastRenderedPageBreak/>
              <w:t>Queensland Health (whole of Queensland Government response)</w:t>
            </w:r>
          </w:p>
          <w:p w:rsidR="00AD4CA0" w:rsidRPr="00FD6546" w:rsidRDefault="00AD4CA0" w:rsidP="00AF07C0">
            <w:pPr>
              <w:pStyle w:val="FSTableText"/>
            </w:pPr>
          </w:p>
        </w:tc>
        <w:tc>
          <w:tcPr>
            <w:tcW w:w="1655" w:type="pct"/>
          </w:tcPr>
          <w:p w:rsidR="00AD4CA0" w:rsidRPr="00FD6546" w:rsidRDefault="00AD4CA0" w:rsidP="00AF07C0">
            <w:pPr>
              <w:pStyle w:val="FSTableText"/>
            </w:pPr>
            <w:r>
              <w:t xml:space="preserve">Supports Option 2. </w:t>
            </w:r>
          </w:p>
        </w:tc>
        <w:tc>
          <w:tcPr>
            <w:tcW w:w="2307" w:type="pct"/>
          </w:tcPr>
          <w:p w:rsidR="00AD4CA0" w:rsidRPr="00FD6546" w:rsidRDefault="00AD4CA0" w:rsidP="00AF07C0">
            <w:pPr>
              <w:pStyle w:val="FSTableText"/>
              <w:ind w:left="113" w:hanging="113"/>
            </w:pPr>
            <w:r>
              <w:rPr>
                <w:lang w:val="en-AU"/>
              </w:rPr>
              <w:t>Support noted</w:t>
            </w:r>
            <w:r w:rsidRPr="006A43FD">
              <w:t xml:space="preserve"> </w:t>
            </w:r>
          </w:p>
        </w:tc>
      </w:tr>
      <w:tr w:rsidR="00AD4CA0" w:rsidRPr="006A43FD" w:rsidTr="006B71A9">
        <w:trPr>
          <w:cantSplit/>
        </w:trPr>
        <w:tc>
          <w:tcPr>
            <w:tcW w:w="1038" w:type="pct"/>
            <w:tcBorders>
              <w:top w:val="single" w:sz="4" w:space="0" w:color="auto"/>
              <w:left w:val="single" w:sz="4" w:space="0" w:color="auto"/>
              <w:bottom w:val="single" w:sz="4" w:space="0" w:color="auto"/>
              <w:right w:val="single" w:sz="4" w:space="0" w:color="auto"/>
            </w:tcBorders>
          </w:tcPr>
          <w:p w:rsidR="00AD4CA0" w:rsidRDefault="00AD4CA0" w:rsidP="00B76616">
            <w:pPr>
              <w:pStyle w:val="FSTableText"/>
            </w:pPr>
            <w:r>
              <w:t>Gary Osborne</w:t>
            </w:r>
          </w:p>
          <w:p w:rsidR="00152D17" w:rsidRPr="009555AE" w:rsidRDefault="00152D17" w:rsidP="00B76616">
            <w:pPr>
              <w:pStyle w:val="FSTableText"/>
            </w:pPr>
            <w:r>
              <w:t xml:space="preserve">(private consumer) </w:t>
            </w:r>
          </w:p>
          <w:p w:rsidR="00AD4CA0" w:rsidRPr="009555AE" w:rsidRDefault="00AD4CA0" w:rsidP="00B76616">
            <w:pPr>
              <w:pStyle w:val="FSTableText"/>
            </w:pPr>
          </w:p>
        </w:tc>
        <w:tc>
          <w:tcPr>
            <w:tcW w:w="1655" w:type="pct"/>
            <w:tcBorders>
              <w:top w:val="single" w:sz="4" w:space="0" w:color="auto"/>
              <w:left w:val="single" w:sz="4" w:space="0" w:color="auto"/>
              <w:bottom w:val="single" w:sz="4" w:space="0" w:color="auto"/>
              <w:right w:val="single" w:sz="4" w:space="0" w:color="auto"/>
            </w:tcBorders>
          </w:tcPr>
          <w:p w:rsidR="00AD4CA0" w:rsidRDefault="00AD4CA0" w:rsidP="00B76616">
            <w:pPr>
              <w:pStyle w:val="FSTableText"/>
            </w:pPr>
            <w:r>
              <w:t xml:space="preserve">Concern raised regarding: </w:t>
            </w:r>
          </w:p>
          <w:p w:rsidR="00AD4CA0" w:rsidRDefault="00246579" w:rsidP="00406D2B">
            <w:pPr>
              <w:pStyle w:val="FSTableText"/>
              <w:numPr>
                <w:ilvl w:val="0"/>
                <w:numId w:val="36"/>
              </w:numPr>
            </w:pPr>
            <w:r>
              <w:t>‘</w:t>
            </w:r>
            <w:r w:rsidR="00AD4CA0">
              <w:t>....addition of another chemical to artificially modify wine</w:t>
            </w:r>
            <w:r>
              <w:t>’</w:t>
            </w:r>
          </w:p>
          <w:p w:rsidR="00AD4CA0" w:rsidRPr="00406D2B" w:rsidRDefault="00246579" w:rsidP="00406D2B">
            <w:pPr>
              <w:pStyle w:val="FSTableText"/>
              <w:numPr>
                <w:ilvl w:val="0"/>
                <w:numId w:val="36"/>
              </w:numPr>
            </w:pPr>
            <w:r>
              <w:t>‘</w:t>
            </w:r>
            <w:r w:rsidR="00AD4CA0">
              <w:t xml:space="preserve">The number of chemicals already approved for use and </w:t>
            </w:r>
            <w:r w:rsidR="00AD4CA0">
              <w:rPr>
                <w:b/>
              </w:rPr>
              <w:t xml:space="preserve">not listed on labels </w:t>
            </w:r>
            <w:r w:rsidR="00AD4CA0">
              <w:t xml:space="preserve">whether used in wine or in the </w:t>
            </w:r>
            <w:r>
              <w:t>‘</w:t>
            </w:r>
            <w:r w:rsidR="00AD4CA0">
              <w:t>processing of wine</w:t>
            </w:r>
            <w:r>
              <w:t>’</w:t>
            </w:r>
            <w:r w:rsidR="00AD4CA0">
              <w:t>...</w:t>
            </w:r>
          </w:p>
          <w:p w:rsidR="00AD4CA0" w:rsidRDefault="00152D17" w:rsidP="00406D2B">
            <w:pPr>
              <w:pStyle w:val="FSTableText"/>
              <w:numPr>
                <w:ilvl w:val="0"/>
                <w:numId w:val="36"/>
              </w:numPr>
            </w:pPr>
            <w:r>
              <w:t>r</w:t>
            </w:r>
            <w:r w:rsidR="00AD4CA0">
              <w:t>isks to users</w:t>
            </w:r>
          </w:p>
          <w:p w:rsidR="00AD4CA0" w:rsidRDefault="00AD4CA0" w:rsidP="00406D2B">
            <w:pPr>
              <w:pStyle w:val="FSTableText"/>
              <w:numPr>
                <w:ilvl w:val="0"/>
                <w:numId w:val="36"/>
              </w:numPr>
            </w:pPr>
            <w:r>
              <w:t>change in the physical characteristics as the additive can also act as a thickening agent</w:t>
            </w:r>
          </w:p>
          <w:p w:rsidR="00AD4CA0" w:rsidRPr="006A43FD" w:rsidRDefault="00AD4CA0" w:rsidP="00A3466E">
            <w:pPr>
              <w:pStyle w:val="FSTableText"/>
              <w:numPr>
                <w:ilvl w:val="0"/>
                <w:numId w:val="36"/>
              </w:numPr>
            </w:pPr>
            <w:proofErr w:type="gramStart"/>
            <w:r>
              <w:t>the</w:t>
            </w:r>
            <w:proofErr w:type="gramEnd"/>
            <w:r>
              <w:t xml:space="preserve"> application mainly being for the benefit of </w:t>
            </w:r>
            <w:r w:rsidR="00246579">
              <w:t>‘</w:t>
            </w:r>
            <w:r>
              <w:t xml:space="preserve">....larger </w:t>
            </w:r>
            <w:r w:rsidR="00246579">
              <w:t>‘</w:t>
            </w:r>
            <w:r>
              <w:t>industrial wineries</w:t>
            </w:r>
            <w:r w:rsidR="00246579">
              <w:t>’</w:t>
            </w:r>
            <w:r>
              <w:t xml:space="preserve">  but should adverse effects been seen there is </w:t>
            </w:r>
            <w:r w:rsidR="00246579">
              <w:t>‘</w:t>
            </w:r>
            <w:r>
              <w:t>....little chance of proving that this or that multi-national was at fault?</w:t>
            </w:r>
            <w:r w:rsidR="00246579">
              <w:t>’</w:t>
            </w:r>
          </w:p>
        </w:tc>
        <w:tc>
          <w:tcPr>
            <w:tcW w:w="2307" w:type="pct"/>
            <w:tcBorders>
              <w:top w:val="single" w:sz="4" w:space="0" w:color="auto"/>
              <w:left w:val="single" w:sz="4" w:space="0" w:color="auto"/>
              <w:bottom w:val="single" w:sz="4" w:space="0" w:color="auto"/>
              <w:right w:val="single" w:sz="4" w:space="0" w:color="auto"/>
            </w:tcBorders>
          </w:tcPr>
          <w:p w:rsidR="00AD4CA0" w:rsidRDefault="00AD4CA0" w:rsidP="003A1764">
            <w:pPr>
              <w:pStyle w:val="FSTableText"/>
              <w:numPr>
                <w:ilvl w:val="0"/>
                <w:numId w:val="37"/>
              </w:numPr>
              <w:rPr>
                <w:lang w:val="en-AU"/>
              </w:rPr>
            </w:pPr>
            <w:r>
              <w:rPr>
                <w:lang w:val="en-AU"/>
              </w:rPr>
              <w:t xml:space="preserve">The </w:t>
            </w:r>
            <w:r w:rsidR="00A3466E">
              <w:rPr>
                <w:lang w:val="en-AU"/>
              </w:rPr>
              <w:t>proposed use</w:t>
            </w:r>
            <w:r>
              <w:rPr>
                <w:lang w:val="en-AU"/>
              </w:rPr>
              <w:t xml:space="preserve"> of </w:t>
            </w:r>
            <w:r w:rsidR="00515AD3">
              <w:rPr>
                <w:lang w:val="en-AU"/>
              </w:rPr>
              <w:t xml:space="preserve">sodium </w:t>
            </w:r>
            <w:r>
              <w:rPr>
                <w:lang w:val="en-AU"/>
              </w:rPr>
              <w:t xml:space="preserve">CMC in wine as described in this Application is as an alternative to currently permitted additives which carry out the same technological function; the intention is to use </w:t>
            </w:r>
            <w:r w:rsidR="00515AD3">
              <w:rPr>
                <w:lang w:val="en-AU"/>
              </w:rPr>
              <w:t xml:space="preserve">sodium </w:t>
            </w:r>
            <w:r>
              <w:rPr>
                <w:lang w:val="en-AU"/>
              </w:rPr>
              <w:t xml:space="preserve">CMC, where appropriate, as a replacement to other tartrate crystal </w:t>
            </w:r>
            <w:r w:rsidR="00CC1CB5">
              <w:rPr>
                <w:lang w:val="en-AU"/>
              </w:rPr>
              <w:t xml:space="preserve">stabilising </w:t>
            </w:r>
            <w:r w:rsidR="00A3466E">
              <w:rPr>
                <w:lang w:val="en-AU"/>
              </w:rPr>
              <w:t>additives not</w:t>
            </w:r>
            <w:r>
              <w:rPr>
                <w:lang w:val="en-AU"/>
              </w:rPr>
              <w:t xml:space="preserve"> </w:t>
            </w:r>
            <w:r w:rsidR="00A3466E">
              <w:rPr>
                <w:lang w:val="en-AU"/>
              </w:rPr>
              <w:t>in addition</w:t>
            </w:r>
            <w:r>
              <w:rPr>
                <w:lang w:val="en-AU"/>
              </w:rPr>
              <w:t xml:space="preserve"> to them. </w:t>
            </w:r>
          </w:p>
          <w:p w:rsidR="00AD4CA0" w:rsidRPr="00BF5E7C" w:rsidRDefault="00802322" w:rsidP="00BF5E7C">
            <w:pPr>
              <w:pStyle w:val="FSTableText"/>
              <w:numPr>
                <w:ilvl w:val="0"/>
                <w:numId w:val="37"/>
              </w:numPr>
            </w:pPr>
            <w:r>
              <w:t xml:space="preserve">See response above to </w:t>
            </w:r>
            <w:r w:rsidR="003B3570">
              <w:t xml:space="preserve">Food Technology Association of Australia </w:t>
            </w:r>
            <w:r w:rsidR="006425A6">
              <w:t>regarding the</w:t>
            </w:r>
            <w:r w:rsidR="00AD4CA0">
              <w:t xml:space="preserve"> issue of ingredient labelling for standardised alcoholic beverages</w:t>
            </w:r>
            <w:r w:rsidR="003B3570">
              <w:t xml:space="preserve">. </w:t>
            </w:r>
            <w:r w:rsidR="00AD4CA0">
              <w:t xml:space="preserve"> </w:t>
            </w:r>
          </w:p>
          <w:p w:rsidR="00AD4CA0" w:rsidRPr="007F5F72" w:rsidRDefault="00AD4CA0" w:rsidP="003A1764">
            <w:pPr>
              <w:pStyle w:val="FSTableText"/>
              <w:numPr>
                <w:ilvl w:val="0"/>
                <w:numId w:val="37"/>
              </w:numPr>
            </w:pPr>
            <w:r>
              <w:t>As mentioned in the Assessment report</w:t>
            </w:r>
            <w:r w:rsidR="00345F2B">
              <w:t>,</w:t>
            </w:r>
            <w:r>
              <w:t xml:space="preserve"> the risk to users was considered and the conclusion was the proposed use of </w:t>
            </w:r>
            <w:r w:rsidR="00515AD3">
              <w:t xml:space="preserve">sodium </w:t>
            </w:r>
            <w:r>
              <w:t xml:space="preserve">CMC in wine </w:t>
            </w:r>
            <w:r w:rsidRPr="007F5F72">
              <w:t xml:space="preserve">does not pose any public health or safety risk to consumers.  </w:t>
            </w:r>
          </w:p>
          <w:p w:rsidR="00AD4CA0" w:rsidRDefault="00AD4CA0" w:rsidP="003A1764">
            <w:pPr>
              <w:pStyle w:val="FSTableText"/>
              <w:numPr>
                <w:ilvl w:val="0"/>
                <w:numId w:val="37"/>
              </w:numPr>
              <w:rPr>
                <w:lang w:val="en-AU"/>
              </w:rPr>
            </w:pPr>
            <w:r>
              <w:rPr>
                <w:lang w:val="en-AU"/>
              </w:rPr>
              <w:t xml:space="preserve">From information available e.g. that contained in the </w:t>
            </w:r>
            <w:r w:rsidR="003B3570">
              <w:rPr>
                <w:lang w:val="en-AU"/>
              </w:rPr>
              <w:t>A</w:t>
            </w:r>
            <w:r>
              <w:rPr>
                <w:lang w:val="en-AU"/>
              </w:rPr>
              <w:t xml:space="preserve">pplication or from other sources, there is no evidence that the low levels of </w:t>
            </w:r>
            <w:r w:rsidR="00515AD3">
              <w:rPr>
                <w:lang w:val="en-AU"/>
              </w:rPr>
              <w:t xml:space="preserve">sodium </w:t>
            </w:r>
            <w:r>
              <w:rPr>
                <w:lang w:val="en-AU"/>
              </w:rPr>
              <w:t xml:space="preserve">CMC use in wine alter the physical characteristics of wine. </w:t>
            </w:r>
          </w:p>
          <w:p w:rsidR="00677461" w:rsidRDefault="00AD4CA0" w:rsidP="003B3570">
            <w:pPr>
              <w:pStyle w:val="FSTableText"/>
              <w:numPr>
                <w:ilvl w:val="0"/>
                <w:numId w:val="37"/>
              </w:numPr>
              <w:rPr>
                <w:lang w:val="en-AU"/>
              </w:rPr>
            </w:pPr>
            <w:r>
              <w:rPr>
                <w:lang w:val="en-AU"/>
              </w:rPr>
              <w:t xml:space="preserve">As indicated above in the third bullet point and consistent with FSANZ’s overall goal to ensure Australia </w:t>
            </w:r>
            <w:r w:rsidR="003B3570">
              <w:rPr>
                <w:lang w:val="en-AU"/>
              </w:rPr>
              <w:t xml:space="preserve">and New Zealand </w:t>
            </w:r>
            <w:r>
              <w:rPr>
                <w:lang w:val="en-AU"/>
              </w:rPr>
              <w:t>ha</w:t>
            </w:r>
            <w:r w:rsidR="003B3570">
              <w:rPr>
                <w:lang w:val="en-AU"/>
              </w:rPr>
              <w:t>ve</w:t>
            </w:r>
            <w:r>
              <w:rPr>
                <w:lang w:val="en-AU"/>
              </w:rPr>
              <w:t xml:space="preserve"> a safe food supply</w:t>
            </w:r>
            <w:r w:rsidR="00345F2B">
              <w:rPr>
                <w:lang w:val="en-AU"/>
              </w:rPr>
              <w:t>,</w:t>
            </w:r>
            <w:r>
              <w:rPr>
                <w:lang w:val="en-AU"/>
              </w:rPr>
              <w:t xml:space="preserve"> the use of </w:t>
            </w:r>
            <w:r w:rsidR="00515AD3">
              <w:rPr>
                <w:lang w:val="en-AU"/>
              </w:rPr>
              <w:t xml:space="preserve">sodium </w:t>
            </w:r>
            <w:r>
              <w:rPr>
                <w:lang w:val="en-AU"/>
              </w:rPr>
              <w:t>CMC in wine is not expected to result in adverse effects. Due to the potential reductions in processing costs</w:t>
            </w:r>
            <w:r w:rsidR="00345F2B">
              <w:rPr>
                <w:lang w:val="en-AU"/>
              </w:rPr>
              <w:t>,</w:t>
            </w:r>
            <w:r>
              <w:rPr>
                <w:lang w:val="en-AU"/>
              </w:rPr>
              <w:t xml:space="preserve"> permission to use </w:t>
            </w:r>
            <w:r w:rsidR="00515AD3">
              <w:rPr>
                <w:lang w:val="en-AU"/>
              </w:rPr>
              <w:t xml:space="preserve">sodium </w:t>
            </w:r>
            <w:r>
              <w:rPr>
                <w:lang w:val="en-AU"/>
              </w:rPr>
              <w:t>CMC in wine is, at least, as attractive to small independent wineries as the larger corporate ones.  This is demonstrated by the submission in support of this application from Pierre’s wine, a small boutique winery.</w:t>
            </w:r>
          </w:p>
          <w:p w:rsidR="00AD4CA0" w:rsidRPr="006A43FD" w:rsidRDefault="00AD4CA0" w:rsidP="00677461">
            <w:pPr>
              <w:pStyle w:val="FSTableText"/>
              <w:ind w:left="360"/>
              <w:rPr>
                <w:lang w:val="en-AU"/>
              </w:rPr>
            </w:pPr>
            <w:r>
              <w:rPr>
                <w:lang w:val="en-AU"/>
              </w:rPr>
              <w:t xml:space="preserve">     </w:t>
            </w:r>
          </w:p>
        </w:tc>
      </w:tr>
      <w:tr w:rsidR="00A3466E" w:rsidTr="00A3466E">
        <w:tblPrEx>
          <w:tblLook w:val="04A0" w:firstRow="1" w:lastRow="0" w:firstColumn="1" w:lastColumn="0" w:noHBand="0" w:noVBand="1"/>
        </w:tblPrEx>
        <w:trPr>
          <w:cantSplit/>
        </w:trPr>
        <w:tc>
          <w:tcPr>
            <w:tcW w:w="1038" w:type="pct"/>
            <w:tcBorders>
              <w:top w:val="single" w:sz="4" w:space="0" w:color="auto"/>
              <w:left w:val="single" w:sz="4" w:space="0" w:color="auto"/>
              <w:bottom w:val="single" w:sz="4" w:space="0" w:color="auto"/>
              <w:right w:val="single" w:sz="4" w:space="0" w:color="auto"/>
            </w:tcBorders>
            <w:hideMark/>
          </w:tcPr>
          <w:p w:rsidR="00A3466E" w:rsidRDefault="00A3466E" w:rsidP="00A3466E">
            <w:pPr>
              <w:pStyle w:val="FSTableText"/>
            </w:pPr>
            <w:r>
              <w:t>New Zealand WineGrowers</w:t>
            </w:r>
          </w:p>
          <w:p w:rsidR="00677461" w:rsidRDefault="00677461" w:rsidP="00A3466E">
            <w:pPr>
              <w:pStyle w:val="FSTableText"/>
            </w:pPr>
          </w:p>
        </w:tc>
        <w:tc>
          <w:tcPr>
            <w:tcW w:w="1655" w:type="pct"/>
            <w:tcBorders>
              <w:top w:val="single" w:sz="4" w:space="0" w:color="auto"/>
              <w:left w:val="single" w:sz="4" w:space="0" w:color="auto"/>
              <w:bottom w:val="single" w:sz="4" w:space="0" w:color="auto"/>
              <w:right w:val="single" w:sz="4" w:space="0" w:color="auto"/>
            </w:tcBorders>
            <w:hideMark/>
          </w:tcPr>
          <w:p w:rsidR="00A3466E" w:rsidRDefault="00A3466E">
            <w:pPr>
              <w:pStyle w:val="FSTableText"/>
            </w:pPr>
            <w:r>
              <w:t xml:space="preserve">Supports Option 2. </w:t>
            </w:r>
          </w:p>
        </w:tc>
        <w:tc>
          <w:tcPr>
            <w:tcW w:w="2307" w:type="pct"/>
            <w:tcBorders>
              <w:top w:val="single" w:sz="4" w:space="0" w:color="auto"/>
              <w:left w:val="single" w:sz="4" w:space="0" w:color="auto"/>
              <w:bottom w:val="single" w:sz="4" w:space="0" w:color="auto"/>
              <w:right w:val="single" w:sz="4" w:space="0" w:color="auto"/>
            </w:tcBorders>
            <w:hideMark/>
          </w:tcPr>
          <w:p w:rsidR="00A3466E" w:rsidRDefault="00A3466E">
            <w:pPr>
              <w:pStyle w:val="FSTableText"/>
              <w:ind w:left="113" w:hanging="113"/>
            </w:pPr>
            <w:r>
              <w:t>Support noted.</w:t>
            </w:r>
          </w:p>
        </w:tc>
      </w:tr>
    </w:tbl>
    <w:p w:rsidR="00CD0D26" w:rsidRDefault="00CD0D26">
      <w:pPr>
        <w:rPr>
          <w:color w:val="FF0000"/>
        </w:rPr>
      </w:pPr>
    </w:p>
    <w:sectPr w:rsidR="00CD0D26" w:rsidSect="00B25C1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08" w:rsidRDefault="00706E08">
      <w:r>
        <w:separator/>
      </w:r>
    </w:p>
  </w:endnote>
  <w:endnote w:type="continuationSeparator" w:id="0">
    <w:p w:rsidR="00706E08" w:rsidRDefault="0070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08" w:rsidRDefault="00706E0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6E08" w:rsidRDefault="00706E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08" w:rsidRPr="00246579" w:rsidRDefault="00706E08" w:rsidP="001C27A3">
    <w:pPr>
      <w:pStyle w:val="Footer"/>
      <w:framePr w:wrap="around" w:vAnchor="text" w:hAnchor="margin" w:xAlign="center" w:y="1"/>
      <w:rPr>
        <w:rStyle w:val="PageNumber"/>
        <w:sz w:val="20"/>
        <w:szCs w:val="20"/>
      </w:rPr>
    </w:pPr>
    <w:r w:rsidRPr="00246579">
      <w:rPr>
        <w:rStyle w:val="PageNumber"/>
        <w:sz w:val="20"/>
        <w:szCs w:val="20"/>
      </w:rPr>
      <w:fldChar w:fldCharType="begin"/>
    </w:r>
    <w:r w:rsidRPr="00246579">
      <w:rPr>
        <w:rStyle w:val="PageNumber"/>
        <w:sz w:val="20"/>
        <w:szCs w:val="20"/>
      </w:rPr>
      <w:instrText xml:space="preserve">PAGE  </w:instrText>
    </w:r>
    <w:r w:rsidRPr="00246579">
      <w:rPr>
        <w:rStyle w:val="PageNumber"/>
        <w:sz w:val="20"/>
        <w:szCs w:val="20"/>
      </w:rPr>
      <w:fldChar w:fldCharType="separate"/>
    </w:r>
    <w:r w:rsidR="007B2360">
      <w:rPr>
        <w:rStyle w:val="PageNumber"/>
        <w:noProof/>
        <w:sz w:val="20"/>
        <w:szCs w:val="20"/>
      </w:rPr>
      <w:t>i</w:t>
    </w:r>
    <w:r w:rsidRPr="00246579">
      <w:rPr>
        <w:rStyle w:val="PageNumber"/>
        <w:sz w:val="20"/>
        <w:szCs w:val="20"/>
      </w:rPr>
      <w:fldChar w:fldCharType="end"/>
    </w:r>
  </w:p>
  <w:p w:rsidR="00706E08" w:rsidRDefault="00706E0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08" w:rsidRDefault="00706E08">
      <w:r>
        <w:separator/>
      </w:r>
    </w:p>
  </w:footnote>
  <w:footnote w:type="continuationSeparator" w:id="0">
    <w:p w:rsidR="00706E08" w:rsidRDefault="00706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08" w:rsidRDefault="00706E0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F52C59"/>
    <w:multiLevelType w:val="hybridMultilevel"/>
    <w:tmpl w:val="65980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48269F"/>
    <w:multiLevelType w:val="hybridMultilevel"/>
    <w:tmpl w:val="D5F49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45A1A3A"/>
    <w:multiLevelType w:val="hybridMultilevel"/>
    <w:tmpl w:val="600E6F3E"/>
    <w:lvl w:ilvl="0" w:tplc="705CFCA2">
      <w:start w:val="1"/>
      <w:numFmt w:val="bullet"/>
      <w:pStyle w:val="Bullet"/>
      <w:lvlText w:val=""/>
      <w:lvlJc w:val="left"/>
      <w:pPr>
        <w:tabs>
          <w:tab w:val="num" w:pos="567"/>
        </w:tabs>
        <w:ind w:left="567" w:hanging="567"/>
      </w:pPr>
      <w:rPr>
        <w:rFonts w:ascii="Symbol" w:hAnsi="Symbol" w:hint="default"/>
      </w:rPr>
    </w:lvl>
    <w:lvl w:ilvl="1" w:tplc="78A6FC68">
      <w:start w:val="1"/>
      <w:numFmt w:val="bullet"/>
      <w:lvlText w:val=""/>
      <w:lvlJc w:val="left"/>
      <w:pPr>
        <w:tabs>
          <w:tab w:val="num" w:pos="1601"/>
        </w:tabs>
        <w:ind w:left="1601" w:hanging="454"/>
      </w:pPr>
      <w:rPr>
        <w:rFonts w:ascii="Symbol" w:hAnsi="Symbol" w:hint="default"/>
      </w:rPr>
    </w:lvl>
    <w:lvl w:ilvl="2" w:tplc="C03A0192">
      <w:start w:val="1"/>
      <w:numFmt w:val="decimal"/>
      <w:lvlText w:val="%3."/>
      <w:lvlJc w:val="left"/>
      <w:pPr>
        <w:tabs>
          <w:tab w:val="num" w:pos="2160"/>
        </w:tabs>
        <w:ind w:left="2160" w:hanging="360"/>
      </w:pPr>
    </w:lvl>
    <w:lvl w:ilvl="3" w:tplc="78CEFAE2">
      <w:start w:val="1"/>
      <w:numFmt w:val="decimal"/>
      <w:lvlText w:val="%4."/>
      <w:lvlJc w:val="left"/>
      <w:pPr>
        <w:tabs>
          <w:tab w:val="num" w:pos="2880"/>
        </w:tabs>
        <w:ind w:left="2880" w:hanging="360"/>
      </w:pPr>
    </w:lvl>
    <w:lvl w:ilvl="4" w:tplc="37ECA6EC">
      <w:start w:val="1"/>
      <w:numFmt w:val="decimal"/>
      <w:lvlText w:val="%5."/>
      <w:lvlJc w:val="left"/>
      <w:pPr>
        <w:tabs>
          <w:tab w:val="num" w:pos="3600"/>
        </w:tabs>
        <w:ind w:left="3600" w:hanging="360"/>
      </w:pPr>
    </w:lvl>
    <w:lvl w:ilvl="5" w:tplc="4E06A6DE">
      <w:start w:val="1"/>
      <w:numFmt w:val="decimal"/>
      <w:lvlText w:val="%6."/>
      <w:lvlJc w:val="left"/>
      <w:pPr>
        <w:tabs>
          <w:tab w:val="num" w:pos="4320"/>
        </w:tabs>
        <w:ind w:left="4320" w:hanging="360"/>
      </w:pPr>
    </w:lvl>
    <w:lvl w:ilvl="6" w:tplc="267A65BC">
      <w:start w:val="1"/>
      <w:numFmt w:val="decimal"/>
      <w:lvlText w:val="%7."/>
      <w:lvlJc w:val="left"/>
      <w:pPr>
        <w:tabs>
          <w:tab w:val="num" w:pos="5040"/>
        </w:tabs>
        <w:ind w:left="5040" w:hanging="360"/>
      </w:pPr>
    </w:lvl>
    <w:lvl w:ilvl="7" w:tplc="3248729E">
      <w:start w:val="1"/>
      <w:numFmt w:val="decimal"/>
      <w:lvlText w:val="%8."/>
      <w:lvlJc w:val="left"/>
      <w:pPr>
        <w:tabs>
          <w:tab w:val="num" w:pos="5760"/>
        </w:tabs>
        <w:ind w:left="5760" w:hanging="360"/>
      </w:pPr>
    </w:lvl>
    <w:lvl w:ilvl="8" w:tplc="9A42431E">
      <w:start w:val="1"/>
      <w:numFmt w:val="decimal"/>
      <w:lvlText w:val="%9."/>
      <w:lvlJc w:val="left"/>
      <w:pPr>
        <w:tabs>
          <w:tab w:val="num" w:pos="6480"/>
        </w:tabs>
        <w:ind w:left="6480" w:hanging="360"/>
      </w:pPr>
    </w:lvl>
  </w:abstractNum>
  <w:abstractNum w:abstractNumId="16">
    <w:nsid w:val="34B25792"/>
    <w:multiLevelType w:val="hybridMultilevel"/>
    <w:tmpl w:val="6416F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1">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0772F7"/>
    <w:multiLevelType w:val="hybridMultilevel"/>
    <w:tmpl w:val="6DE46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82E439F"/>
    <w:multiLevelType w:val="hybridMultilevel"/>
    <w:tmpl w:val="25C66D38"/>
    <w:lvl w:ilvl="0" w:tplc="E48EC3C0">
      <w:start w:val="13"/>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30"/>
  </w:num>
  <w:num w:numId="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27"/>
  </w:num>
  <w:num w:numId="14">
    <w:abstractNumId w:val="18"/>
  </w:num>
  <w:num w:numId="15">
    <w:abstractNumId w:val="26"/>
  </w:num>
  <w:num w:numId="16">
    <w:abstractNumId w:val="8"/>
  </w:num>
  <w:num w:numId="17">
    <w:abstractNumId w:val="3"/>
  </w:num>
  <w:num w:numId="18">
    <w:abstractNumId w:val="0"/>
  </w:num>
  <w:num w:numId="19">
    <w:abstractNumId w:val="20"/>
  </w:num>
  <w:num w:numId="20">
    <w:abstractNumId w:val="6"/>
  </w:num>
  <w:num w:numId="21">
    <w:abstractNumId w:val="31"/>
  </w:num>
  <w:num w:numId="22">
    <w:abstractNumId w:val="25"/>
  </w:num>
  <w:num w:numId="23">
    <w:abstractNumId w:val="9"/>
  </w:num>
  <w:num w:numId="24">
    <w:abstractNumId w:val="11"/>
  </w:num>
  <w:num w:numId="25">
    <w:abstractNumId w:val="24"/>
  </w:num>
  <w:num w:numId="26">
    <w:abstractNumId w:val="24"/>
  </w:num>
  <w:num w:numId="27">
    <w:abstractNumId w:val="17"/>
  </w:num>
  <w:num w:numId="28">
    <w:abstractNumId w:val="21"/>
  </w:num>
  <w:num w:numId="29">
    <w:abstractNumId w:val="22"/>
  </w:num>
  <w:num w:numId="30">
    <w:abstractNumId w:val="14"/>
  </w:num>
  <w:num w:numId="31">
    <w:abstractNumId w:val="12"/>
  </w:num>
  <w:num w:numId="32">
    <w:abstractNumId w:val="2"/>
  </w:num>
  <w:num w:numId="33">
    <w:abstractNumId w:val="15"/>
  </w:num>
  <w:num w:numId="34">
    <w:abstractNumId w:val="23"/>
  </w:num>
  <w:num w:numId="35">
    <w:abstractNumId w:val="29"/>
  </w:num>
  <w:num w:numId="36">
    <w:abstractNumId w:val="13"/>
  </w:num>
  <w:num w:numId="37">
    <w:abstractNumId w:val="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91B"/>
    <w:rsid w:val="000021F8"/>
    <w:rsid w:val="0000247B"/>
    <w:rsid w:val="0000469B"/>
    <w:rsid w:val="0000589D"/>
    <w:rsid w:val="00017B99"/>
    <w:rsid w:val="00030A10"/>
    <w:rsid w:val="000367A3"/>
    <w:rsid w:val="00037351"/>
    <w:rsid w:val="000373BA"/>
    <w:rsid w:val="000430F5"/>
    <w:rsid w:val="00060045"/>
    <w:rsid w:val="000606DC"/>
    <w:rsid w:val="00064B2D"/>
    <w:rsid w:val="00065F1F"/>
    <w:rsid w:val="00076D33"/>
    <w:rsid w:val="00080058"/>
    <w:rsid w:val="000A118F"/>
    <w:rsid w:val="000A3D8B"/>
    <w:rsid w:val="000A4739"/>
    <w:rsid w:val="000D646A"/>
    <w:rsid w:val="000D6FD4"/>
    <w:rsid w:val="000E0AE4"/>
    <w:rsid w:val="000E3DBC"/>
    <w:rsid w:val="000F1129"/>
    <w:rsid w:val="000F29C0"/>
    <w:rsid w:val="001128C5"/>
    <w:rsid w:val="00121DC6"/>
    <w:rsid w:val="001349CC"/>
    <w:rsid w:val="00144479"/>
    <w:rsid w:val="001467B6"/>
    <w:rsid w:val="00152D17"/>
    <w:rsid w:val="0017405B"/>
    <w:rsid w:val="001803DF"/>
    <w:rsid w:val="00182C4C"/>
    <w:rsid w:val="001949D5"/>
    <w:rsid w:val="00194D46"/>
    <w:rsid w:val="001A1A75"/>
    <w:rsid w:val="001A623D"/>
    <w:rsid w:val="001A721A"/>
    <w:rsid w:val="001A7E9A"/>
    <w:rsid w:val="001C27A3"/>
    <w:rsid w:val="001C5B4D"/>
    <w:rsid w:val="001E09FA"/>
    <w:rsid w:val="001F0085"/>
    <w:rsid w:val="001F4510"/>
    <w:rsid w:val="001F669B"/>
    <w:rsid w:val="001F686A"/>
    <w:rsid w:val="001F77A6"/>
    <w:rsid w:val="002149D6"/>
    <w:rsid w:val="00221D07"/>
    <w:rsid w:val="00224B2E"/>
    <w:rsid w:val="00227E4A"/>
    <w:rsid w:val="00234296"/>
    <w:rsid w:val="002419C0"/>
    <w:rsid w:val="0024567D"/>
    <w:rsid w:val="00246579"/>
    <w:rsid w:val="00254958"/>
    <w:rsid w:val="00257942"/>
    <w:rsid w:val="00262792"/>
    <w:rsid w:val="00263AD3"/>
    <w:rsid w:val="0027456A"/>
    <w:rsid w:val="002756FB"/>
    <w:rsid w:val="00282DE2"/>
    <w:rsid w:val="00287F30"/>
    <w:rsid w:val="00292363"/>
    <w:rsid w:val="002A0194"/>
    <w:rsid w:val="002A222E"/>
    <w:rsid w:val="002B3B0F"/>
    <w:rsid w:val="002C2E2F"/>
    <w:rsid w:val="002D243E"/>
    <w:rsid w:val="002E2F44"/>
    <w:rsid w:val="002E3D1A"/>
    <w:rsid w:val="002F3582"/>
    <w:rsid w:val="002F6488"/>
    <w:rsid w:val="002F6B8D"/>
    <w:rsid w:val="002F72E4"/>
    <w:rsid w:val="003213F9"/>
    <w:rsid w:val="00322AC1"/>
    <w:rsid w:val="00323DBF"/>
    <w:rsid w:val="00332B12"/>
    <w:rsid w:val="00342D48"/>
    <w:rsid w:val="00345F2B"/>
    <w:rsid w:val="003514FB"/>
    <w:rsid w:val="00371754"/>
    <w:rsid w:val="00371B29"/>
    <w:rsid w:val="00382C9F"/>
    <w:rsid w:val="003858A2"/>
    <w:rsid w:val="00391769"/>
    <w:rsid w:val="00392B7F"/>
    <w:rsid w:val="003953E1"/>
    <w:rsid w:val="003956B3"/>
    <w:rsid w:val="003A1764"/>
    <w:rsid w:val="003A68BE"/>
    <w:rsid w:val="003B3570"/>
    <w:rsid w:val="003B6814"/>
    <w:rsid w:val="003C0B5D"/>
    <w:rsid w:val="003C4969"/>
    <w:rsid w:val="003D6D67"/>
    <w:rsid w:val="003E0889"/>
    <w:rsid w:val="003E41D5"/>
    <w:rsid w:val="003E46BA"/>
    <w:rsid w:val="003F2140"/>
    <w:rsid w:val="003F44B5"/>
    <w:rsid w:val="00405B1A"/>
    <w:rsid w:val="00406931"/>
    <w:rsid w:val="00406D2B"/>
    <w:rsid w:val="004117CD"/>
    <w:rsid w:val="00411907"/>
    <w:rsid w:val="004141AA"/>
    <w:rsid w:val="00417EE3"/>
    <w:rsid w:val="004234FE"/>
    <w:rsid w:val="00445C7F"/>
    <w:rsid w:val="00451DD7"/>
    <w:rsid w:val="004600AB"/>
    <w:rsid w:val="00460321"/>
    <w:rsid w:val="00463FDA"/>
    <w:rsid w:val="00464643"/>
    <w:rsid w:val="004654FF"/>
    <w:rsid w:val="0047099C"/>
    <w:rsid w:val="00481AFD"/>
    <w:rsid w:val="00481D4E"/>
    <w:rsid w:val="00486793"/>
    <w:rsid w:val="004A3A67"/>
    <w:rsid w:val="004A5693"/>
    <w:rsid w:val="004A623D"/>
    <w:rsid w:val="004B0CD8"/>
    <w:rsid w:val="004C1C49"/>
    <w:rsid w:val="004D7ADB"/>
    <w:rsid w:val="004F0F92"/>
    <w:rsid w:val="004F4F98"/>
    <w:rsid w:val="004F79AC"/>
    <w:rsid w:val="00501B57"/>
    <w:rsid w:val="0051042F"/>
    <w:rsid w:val="005111DD"/>
    <w:rsid w:val="00515AD3"/>
    <w:rsid w:val="00517A87"/>
    <w:rsid w:val="005207D8"/>
    <w:rsid w:val="00544609"/>
    <w:rsid w:val="00552FD4"/>
    <w:rsid w:val="005631A1"/>
    <w:rsid w:val="005719D6"/>
    <w:rsid w:val="00580E27"/>
    <w:rsid w:val="00585A33"/>
    <w:rsid w:val="00586228"/>
    <w:rsid w:val="0059125A"/>
    <w:rsid w:val="005934F6"/>
    <w:rsid w:val="005A2211"/>
    <w:rsid w:val="005B11B4"/>
    <w:rsid w:val="005B2ED8"/>
    <w:rsid w:val="005B60B9"/>
    <w:rsid w:val="005B6AF4"/>
    <w:rsid w:val="005C04CB"/>
    <w:rsid w:val="005C2EC5"/>
    <w:rsid w:val="005D5D43"/>
    <w:rsid w:val="005D72E1"/>
    <w:rsid w:val="005E32ED"/>
    <w:rsid w:val="005F1ED3"/>
    <w:rsid w:val="005F400E"/>
    <w:rsid w:val="005F7342"/>
    <w:rsid w:val="00610A3C"/>
    <w:rsid w:val="00625EA4"/>
    <w:rsid w:val="00627F48"/>
    <w:rsid w:val="00633718"/>
    <w:rsid w:val="00635270"/>
    <w:rsid w:val="006425A6"/>
    <w:rsid w:val="006511D9"/>
    <w:rsid w:val="0065310C"/>
    <w:rsid w:val="00663FCF"/>
    <w:rsid w:val="006652A2"/>
    <w:rsid w:val="00671158"/>
    <w:rsid w:val="00677461"/>
    <w:rsid w:val="00684319"/>
    <w:rsid w:val="006849B5"/>
    <w:rsid w:val="0069021D"/>
    <w:rsid w:val="006A48A7"/>
    <w:rsid w:val="006B71A9"/>
    <w:rsid w:val="006C0F95"/>
    <w:rsid w:val="006C101B"/>
    <w:rsid w:val="006C4C67"/>
    <w:rsid w:val="006C5CF5"/>
    <w:rsid w:val="006E3FA4"/>
    <w:rsid w:val="006E7423"/>
    <w:rsid w:val="006F11DF"/>
    <w:rsid w:val="006F2BF6"/>
    <w:rsid w:val="006F4A82"/>
    <w:rsid w:val="00702460"/>
    <w:rsid w:val="00706E08"/>
    <w:rsid w:val="0071032D"/>
    <w:rsid w:val="00712FCF"/>
    <w:rsid w:val="00715C2E"/>
    <w:rsid w:val="00724FA4"/>
    <w:rsid w:val="00730800"/>
    <w:rsid w:val="007602AA"/>
    <w:rsid w:val="007652EF"/>
    <w:rsid w:val="007738BE"/>
    <w:rsid w:val="00774958"/>
    <w:rsid w:val="00777DC5"/>
    <w:rsid w:val="00780792"/>
    <w:rsid w:val="00791B59"/>
    <w:rsid w:val="007A1657"/>
    <w:rsid w:val="007A44B4"/>
    <w:rsid w:val="007A6B6C"/>
    <w:rsid w:val="007A7D3D"/>
    <w:rsid w:val="007B225D"/>
    <w:rsid w:val="007B2360"/>
    <w:rsid w:val="007B3F74"/>
    <w:rsid w:val="007C1C64"/>
    <w:rsid w:val="007D1FFF"/>
    <w:rsid w:val="007E2481"/>
    <w:rsid w:val="007E48BC"/>
    <w:rsid w:val="007E6D4D"/>
    <w:rsid w:val="007E79F7"/>
    <w:rsid w:val="007F3630"/>
    <w:rsid w:val="007F5F72"/>
    <w:rsid w:val="00802322"/>
    <w:rsid w:val="0080242D"/>
    <w:rsid w:val="00807559"/>
    <w:rsid w:val="008176C3"/>
    <w:rsid w:val="00821B27"/>
    <w:rsid w:val="00842FCE"/>
    <w:rsid w:val="00843959"/>
    <w:rsid w:val="008450BC"/>
    <w:rsid w:val="00854A49"/>
    <w:rsid w:val="00854ED4"/>
    <w:rsid w:val="00861039"/>
    <w:rsid w:val="00863F66"/>
    <w:rsid w:val="00870208"/>
    <w:rsid w:val="00870214"/>
    <w:rsid w:val="0087222F"/>
    <w:rsid w:val="008873C0"/>
    <w:rsid w:val="00896B85"/>
    <w:rsid w:val="008A48DB"/>
    <w:rsid w:val="008A79C0"/>
    <w:rsid w:val="008C21EF"/>
    <w:rsid w:val="008C2F67"/>
    <w:rsid w:val="008D06C6"/>
    <w:rsid w:val="008E6250"/>
    <w:rsid w:val="008E7010"/>
    <w:rsid w:val="00901C5F"/>
    <w:rsid w:val="00902464"/>
    <w:rsid w:val="00920249"/>
    <w:rsid w:val="009722F3"/>
    <w:rsid w:val="00972D06"/>
    <w:rsid w:val="00974769"/>
    <w:rsid w:val="00991BF5"/>
    <w:rsid w:val="009A391C"/>
    <w:rsid w:val="009A57C0"/>
    <w:rsid w:val="009C3F23"/>
    <w:rsid w:val="009C776B"/>
    <w:rsid w:val="009D32DB"/>
    <w:rsid w:val="009E0A61"/>
    <w:rsid w:val="009E3010"/>
    <w:rsid w:val="009F3C81"/>
    <w:rsid w:val="009F7065"/>
    <w:rsid w:val="00A0161D"/>
    <w:rsid w:val="00A030EE"/>
    <w:rsid w:val="00A31B94"/>
    <w:rsid w:val="00A3466E"/>
    <w:rsid w:val="00A53178"/>
    <w:rsid w:val="00A56DC7"/>
    <w:rsid w:val="00A61F6B"/>
    <w:rsid w:val="00A71BF6"/>
    <w:rsid w:val="00A74FD1"/>
    <w:rsid w:val="00A84A58"/>
    <w:rsid w:val="00A85DB5"/>
    <w:rsid w:val="00A9089F"/>
    <w:rsid w:val="00A95A80"/>
    <w:rsid w:val="00A95ADC"/>
    <w:rsid w:val="00AA3C73"/>
    <w:rsid w:val="00AA525B"/>
    <w:rsid w:val="00AB62EC"/>
    <w:rsid w:val="00AD4CA0"/>
    <w:rsid w:val="00AE1222"/>
    <w:rsid w:val="00AE41E4"/>
    <w:rsid w:val="00AE5A24"/>
    <w:rsid w:val="00AF07C0"/>
    <w:rsid w:val="00B00E7F"/>
    <w:rsid w:val="00B01D70"/>
    <w:rsid w:val="00B05AA3"/>
    <w:rsid w:val="00B0716C"/>
    <w:rsid w:val="00B1646B"/>
    <w:rsid w:val="00B21DCC"/>
    <w:rsid w:val="00B25C17"/>
    <w:rsid w:val="00B25F4E"/>
    <w:rsid w:val="00B42C61"/>
    <w:rsid w:val="00B63511"/>
    <w:rsid w:val="00B731D3"/>
    <w:rsid w:val="00B76616"/>
    <w:rsid w:val="00B839A3"/>
    <w:rsid w:val="00B86862"/>
    <w:rsid w:val="00B902BD"/>
    <w:rsid w:val="00BD098B"/>
    <w:rsid w:val="00BD1E0D"/>
    <w:rsid w:val="00BD2A39"/>
    <w:rsid w:val="00BD2E80"/>
    <w:rsid w:val="00BF401C"/>
    <w:rsid w:val="00BF5E7C"/>
    <w:rsid w:val="00BF7FF0"/>
    <w:rsid w:val="00C04774"/>
    <w:rsid w:val="00C10CA9"/>
    <w:rsid w:val="00C11CE8"/>
    <w:rsid w:val="00C12502"/>
    <w:rsid w:val="00C1321C"/>
    <w:rsid w:val="00C26860"/>
    <w:rsid w:val="00C47546"/>
    <w:rsid w:val="00C476D0"/>
    <w:rsid w:val="00C735F1"/>
    <w:rsid w:val="00C76C66"/>
    <w:rsid w:val="00C80B3E"/>
    <w:rsid w:val="00C816BB"/>
    <w:rsid w:val="00C836E3"/>
    <w:rsid w:val="00C86577"/>
    <w:rsid w:val="00C92E07"/>
    <w:rsid w:val="00C96868"/>
    <w:rsid w:val="00CA0416"/>
    <w:rsid w:val="00CA3DB7"/>
    <w:rsid w:val="00CB504D"/>
    <w:rsid w:val="00CC1CB5"/>
    <w:rsid w:val="00CC75E2"/>
    <w:rsid w:val="00CD0D26"/>
    <w:rsid w:val="00CD46EB"/>
    <w:rsid w:val="00CD7EBF"/>
    <w:rsid w:val="00CE4C9A"/>
    <w:rsid w:val="00CF7617"/>
    <w:rsid w:val="00D056F1"/>
    <w:rsid w:val="00D13BBF"/>
    <w:rsid w:val="00D23DB6"/>
    <w:rsid w:val="00D31889"/>
    <w:rsid w:val="00D420B0"/>
    <w:rsid w:val="00D5012D"/>
    <w:rsid w:val="00D51A95"/>
    <w:rsid w:val="00D60568"/>
    <w:rsid w:val="00D654DA"/>
    <w:rsid w:val="00D70C7A"/>
    <w:rsid w:val="00D74078"/>
    <w:rsid w:val="00D771AB"/>
    <w:rsid w:val="00D77542"/>
    <w:rsid w:val="00D80856"/>
    <w:rsid w:val="00DA10A8"/>
    <w:rsid w:val="00DB1E08"/>
    <w:rsid w:val="00DB2973"/>
    <w:rsid w:val="00DB44F9"/>
    <w:rsid w:val="00DC2129"/>
    <w:rsid w:val="00DC6570"/>
    <w:rsid w:val="00DD049E"/>
    <w:rsid w:val="00DE0376"/>
    <w:rsid w:val="00DE41CD"/>
    <w:rsid w:val="00DE7142"/>
    <w:rsid w:val="00DF25C3"/>
    <w:rsid w:val="00DF439C"/>
    <w:rsid w:val="00DF75C5"/>
    <w:rsid w:val="00E04062"/>
    <w:rsid w:val="00E1469B"/>
    <w:rsid w:val="00E2003B"/>
    <w:rsid w:val="00E312BF"/>
    <w:rsid w:val="00E319B1"/>
    <w:rsid w:val="00E33FCB"/>
    <w:rsid w:val="00E3423B"/>
    <w:rsid w:val="00E41FC8"/>
    <w:rsid w:val="00E43A61"/>
    <w:rsid w:val="00E5250C"/>
    <w:rsid w:val="00E61C16"/>
    <w:rsid w:val="00E70AEB"/>
    <w:rsid w:val="00E74EDE"/>
    <w:rsid w:val="00E777EC"/>
    <w:rsid w:val="00EA7F2F"/>
    <w:rsid w:val="00EB5549"/>
    <w:rsid w:val="00EC00DE"/>
    <w:rsid w:val="00EC30E1"/>
    <w:rsid w:val="00EC5C20"/>
    <w:rsid w:val="00ED172A"/>
    <w:rsid w:val="00ED3299"/>
    <w:rsid w:val="00ED3976"/>
    <w:rsid w:val="00EE70A5"/>
    <w:rsid w:val="00EF36B4"/>
    <w:rsid w:val="00EF6151"/>
    <w:rsid w:val="00F057BA"/>
    <w:rsid w:val="00F14BEC"/>
    <w:rsid w:val="00F225C5"/>
    <w:rsid w:val="00F23BF4"/>
    <w:rsid w:val="00F3715D"/>
    <w:rsid w:val="00F37325"/>
    <w:rsid w:val="00F420C8"/>
    <w:rsid w:val="00F42A4C"/>
    <w:rsid w:val="00F90979"/>
    <w:rsid w:val="00F92A8F"/>
    <w:rsid w:val="00FA527D"/>
    <w:rsid w:val="00FB1916"/>
    <w:rsid w:val="00FB641C"/>
    <w:rsid w:val="00FB7512"/>
    <w:rsid w:val="00FD7547"/>
    <w:rsid w:val="00FE0AD8"/>
    <w:rsid w:val="00FF5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600AB"/>
    <w:pPr>
      <w:widowControl w:val="0"/>
    </w:pPr>
    <w:rPr>
      <w:szCs w:val="24"/>
      <w:lang w:val="en-GB" w:eastAsia="en-US" w:bidi="en-US"/>
    </w:rPr>
  </w:style>
  <w:style w:type="paragraph" w:styleId="Heading1">
    <w:name w:val="heading 1"/>
    <w:aliases w:val="FS Heading 1"/>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iPriority w:val="9"/>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link w:val="Heading2"/>
    <w:uiPriority w:val="9"/>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
    <w:link w:val="Heading5"/>
    <w:uiPriority w:val="9"/>
    <w:rsid w:val="00227E4A"/>
    <w:rPr>
      <w:rFonts w:ascii="Arial" w:hAnsi="Arial"/>
      <w:bCs/>
      <w:iCs/>
      <w:sz w:val="22"/>
      <w:szCs w:val="26"/>
      <w:u w:val="single"/>
      <w:lang w:val="en-US" w:eastAsia="en-US" w:bidi="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87222F"/>
    <w:rPr>
      <w:color w:val="auto"/>
      <w:u w:val="single"/>
    </w:rPr>
  </w:style>
  <w:style w:type="paragraph" w:styleId="Header">
    <w:name w:val="header"/>
    <w:basedOn w:val="Normal"/>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numPr>
        <w:numId w:val="31"/>
      </w:numPr>
      <w:ind w:left="1134" w:hanging="567"/>
    </w:pPr>
  </w:style>
  <w:style w:type="paragraph" w:styleId="TOC1">
    <w:name w:val="toc 1"/>
    <w:basedOn w:val="Normal"/>
    <w:next w:val="Normal"/>
    <w:autoRedefine/>
    <w:uiPriority w:val="39"/>
    <w:rsid w:val="00F42A4C"/>
    <w:rPr>
      <w:b/>
      <w:bCs/>
      <w:caps/>
    </w:rPr>
  </w:style>
  <w:style w:type="paragraph" w:styleId="TOC2">
    <w:name w:val="toc 2"/>
    <w:basedOn w:val="Normal"/>
    <w:next w:val="Normal"/>
    <w:autoRedefine/>
    <w:uiPriority w:val="39"/>
    <w:rsid w:val="0087222F"/>
    <w:pPr>
      <w:ind w:left="240"/>
    </w:pPr>
    <w:rPr>
      <w:smallCaps/>
    </w:rPr>
  </w:style>
  <w:style w:type="paragraph" w:styleId="Footer">
    <w:name w:val="footer"/>
    <w:basedOn w:val="Normal"/>
    <w:rsid w:val="0087222F"/>
    <w:pPr>
      <w:tabs>
        <w:tab w:val="center" w:pos="4153"/>
        <w:tab w:val="right" w:pos="8306"/>
      </w:tabs>
    </w:pPr>
  </w:style>
  <w:style w:type="character" w:styleId="PageNumber">
    <w:name w:val="page number"/>
    <w:rsid w:val="006A48A7"/>
    <w:rPr>
      <w:rFonts w:ascii="Arial" w:hAnsi="Arial"/>
    </w:rPr>
  </w:style>
  <w:style w:type="paragraph" w:styleId="TOC3">
    <w:name w:val="toc 3"/>
    <w:basedOn w:val="Normal"/>
    <w:next w:val="Normal"/>
    <w:autoRedefine/>
    <w:uiPriority w:val="39"/>
    <w:rsid w:val="0087222F"/>
    <w:pPr>
      <w:ind w:left="480"/>
    </w:pPr>
    <w:rPr>
      <w:i/>
      <w:iCs/>
    </w:rPr>
  </w:style>
  <w:style w:type="paragraph" w:styleId="TOC4">
    <w:name w:val="toc 4"/>
    <w:basedOn w:val="Normal"/>
    <w:next w:val="Normal"/>
    <w:autoRedefine/>
    <w:semiHidden/>
    <w:rsid w:val="0087222F"/>
    <w:pPr>
      <w:ind w:left="720"/>
    </w:pPr>
    <w:rPr>
      <w:szCs w:val="21"/>
    </w:rPr>
  </w:style>
  <w:style w:type="paragraph" w:styleId="TOC5">
    <w:name w:val="toc 5"/>
    <w:basedOn w:val="Normal"/>
    <w:next w:val="Normal"/>
    <w:autoRedefine/>
    <w:semiHidden/>
    <w:rsid w:val="0087222F"/>
    <w:pPr>
      <w:ind w:left="960"/>
    </w:pPr>
    <w:rPr>
      <w:szCs w:val="21"/>
    </w:rPr>
  </w:style>
  <w:style w:type="character" w:styleId="FollowedHyperlink">
    <w:name w:val="FollowedHyperlink"/>
    <w:rsid w:val="0087222F"/>
    <w:rPr>
      <w:color w:val="800080"/>
      <w:u w:val="single"/>
    </w:rPr>
  </w:style>
  <w:style w:type="paragraph" w:styleId="TOC6">
    <w:name w:val="toc 6"/>
    <w:basedOn w:val="Normal"/>
    <w:next w:val="Normal"/>
    <w:autoRedefine/>
    <w:semiHidden/>
    <w:rsid w:val="0087222F"/>
    <w:pPr>
      <w:ind w:left="1200"/>
    </w:pPr>
    <w:rPr>
      <w:szCs w:val="21"/>
    </w:rPr>
  </w:style>
  <w:style w:type="paragraph" w:customStyle="1" w:styleId="142Tableheading2">
    <w:name w:val="1.4.2 Table heading2"/>
    <w:basedOn w:val="Normal"/>
    <w:rsid w:val="00406931"/>
    <w:pPr>
      <w:keepNext/>
      <w:jc w:val="center"/>
    </w:pPr>
    <w:rPr>
      <w:iCs/>
      <w:smallCaps/>
      <w:sz w:val="18"/>
      <w:szCs w:val="20"/>
    </w:rPr>
  </w:style>
  <w:style w:type="paragraph" w:customStyle="1" w:styleId="Box1">
    <w:name w:val="Box 1"/>
    <w:basedOn w:val="Normal"/>
    <w:rsid w:val="0087222F"/>
    <w:pPr>
      <w:numPr>
        <w:numId w:val="16"/>
      </w:numPr>
      <w:tabs>
        <w:tab w:val="clear" w:pos="360"/>
        <w:tab w:val="num" w:pos="120"/>
      </w:tabs>
    </w:pPr>
    <w:rPr>
      <w:sz w:val="16"/>
    </w:rPr>
  </w:style>
  <w:style w:type="paragraph" w:customStyle="1" w:styleId="Box2">
    <w:name w:val="Box 2"/>
    <w:basedOn w:val="Normal"/>
    <w:rsid w:val="0087222F"/>
    <w:pPr>
      <w:tabs>
        <w:tab w:val="left" w:pos="4608"/>
        <w:tab w:val="left" w:pos="9180"/>
        <w:tab w:val="left" w:pos="9216"/>
      </w:tabs>
      <w:jc w:val="center"/>
    </w:pPr>
    <w:rPr>
      <w:b/>
      <w:bCs/>
      <w:i/>
      <w:iCs/>
      <w:color w:val="000000"/>
      <w:sz w:val="16"/>
    </w:rPr>
  </w:style>
  <w:style w:type="paragraph" w:customStyle="1" w:styleId="Box3">
    <w:name w:val="Box 3"/>
    <w:basedOn w:val="Normal"/>
    <w:rsid w:val="0087222F"/>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406931"/>
    <w:rPr>
      <w:b/>
      <w:bCs/>
      <w:iCs w:val="0"/>
    </w:rPr>
  </w:style>
  <w:style w:type="paragraph" w:customStyle="1" w:styleId="142tabletext1">
    <w:name w:val="1.4.2 table text1"/>
    <w:basedOn w:val="Normal"/>
    <w:rsid w:val="00406931"/>
    <w:pPr>
      <w:ind w:left="142" w:hanging="142"/>
    </w:pPr>
    <w:rPr>
      <w:smallCaps/>
      <w:sz w:val="18"/>
      <w:szCs w:val="20"/>
    </w:rPr>
  </w:style>
  <w:style w:type="paragraph" w:customStyle="1" w:styleId="142tabletext2">
    <w:name w:val="1.4.2 table text2"/>
    <w:basedOn w:val="142tabletext1"/>
    <w:rsid w:val="0087222F"/>
    <w:pPr>
      <w:jc w:val="right"/>
    </w:pPr>
  </w:style>
  <w:style w:type="paragraph" w:customStyle="1" w:styleId="Clause">
    <w:name w:val="Clause"/>
    <w:basedOn w:val="Normal"/>
    <w:next w:val="Normal"/>
    <w:link w:val="ClauseChar"/>
    <w:qFormat/>
    <w:rsid w:val="00406931"/>
    <w:pPr>
      <w:tabs>
        <w:tab w:val="left" w:pos="851"/>
      </w:tabs>
    </w:pPr>
    <w:rPr>
      <w:sz w:val="20"/>
      <w:szCs w:val="20"/>
    </w:rPr>
  </w:style>
  <w:style w:type="paragraph" w:customStyle="1" w:styleId="Clauseheading">
    <w:name w:val="Clause heading"/>
    <w:basedOn w:val="Normal"/>
    <w:next w:val="Normal"/>
    <w:rsid w:val="00406931"/>
    <w:pPr>
      <w:tabs>
        <w:tab w:val="left" w:pos="851"/>
      </w:tabs>
    </w:pPr>
    <w:rPr>
      <w:b/>
      <w:sz w:val="20"/>
      <w:szCs w:val="20"/>
    </w:rPr>
  </w:style>
  <w:style w:type="paragraph" w:customStyle="1" w:styleId="ClauseList">
    <w:name w:val="Clause List"/>
    <w:basedOn w:val="Clause"/>
    <w:next w:val="Normal"/>
    <w:rsid w:val="0087222F"/>
  </w:style>
  <w:style w:type="paragraph" w:customStyle="1" w:styleId="Definition">
    <w:name w:val="Definition"/>
    <w:basedOn w:val="Normal"/>
    <w:next w:val="Normal"/>
    <w:rsid w:val="00406931"/>
    <w:pPr>
      <w:ind w:left="1701" w:hanging="851"/>
    </w:pPr>
    <w:rPr>
      <w:sz w:val="20"/>
      <w:szCs w:val="20"/>
    </w:rPr>
  </w:style>
  <w:style w:type="paragraph" w:customStyle="1" w:styleId="DivisionHeading">
    <w:name w:val="Division Heading"/>
    <w:basedOn w:val="Normal"/>
    <w:next w:val="Normal"/>
    <w:rsid w:val="0087222F"/>
    <w:pPr>
      <w:tabs>
        <w:tab w:val="left" w:pos="851"/>
      </w:tabs>
      <w:jc w:val="center"/>
    </w:pPr>
    <w:rPr>
      <w:b/>
      <w:sz w:val="28"/>
      <w:szCs w:val="20"/>
    </w:rPr>
  </w:style>
  <w:style w:type="paragraph" w:customStyle="1" w:styleId="EditorialNoteLine1">
    <w:name w:val="Editorial Note Line 1"/>
    <w:basedOn w:val="Normal"/>
    <w:next w:val="Normal"/>
    <w:rsid w:val="00406931"/>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87222F"/>
    <w:rPr>
      <w:b w:val="0"/>
    </w:rPr>
  </w:style>
  <w:style w:type="paragraph" w:customStyle="1" w:styleId="Footnote">
    <w:name w:val="Footnote"/>
    <w:basedOn w:val="Normal"/>
    <w:rsid w:val="0087222F"/>
    <w:pPr>
      <w:tabs>
        <w:tab w:val="left" w:pos="851"/>
      </w:tabs>
    </w:pPr>
    <w:rPr>
      <w:sz w:val="20"/>
      <w:szCs w:val="20"/>
    </w:rPr>
  </w:style>
  <w:style w:type="paragraph" w:customStyle="1" w:styleId="MiscellaneousHeading">
    <w:name w:val="Miscellaneous Heading"/>
    <w:basedOn w:val="Normal"/>
    <w:next w:val="Normal"/>
    <w:rsid w:val="0087222F"/>
    <w:rPr>
      <w:b/>
      <w:szCs w:val="20"/>
    </w:rPr>
  </w:style>
  <w:style w:type="paragraph" w:customStyle="1" w:styleId="Paragraph">
    <w:name w:val="Paragraph"/>
    <w:basedOn w:val="Clause"/>
    <w:next w:val="Normal"/>
    <w:rsid w:val="0087222F"/>
    <w:pPr>
      <w:tabs>
        <w:tab w:val="clear" w:pos="851"/>
      </w:tabs>
      <w:ind w:left="1702" w:hanging="851"/>
    </w:pPr>
  </w:style>
  <w:style w:type="paragraph" w:customStyle="1" w:styleId="ScheduleHeading">
    <w:name w:val="Schedule Heading"/>
    <w:basedOn w:val="Normal"/>
    <w:next w:val="Normal"/>
    <w:rsid w:val="00406931"/>
    <w:pPr>
      <w:tabs>
        <w:tab w:val="left" w:pos="851"/>
      </w:tabs>
      <w:jc w:val="center"/>
    </w:pPr>
    <w:rPr>
      <w:b/>
      <w:caps/>
      <w:sz w:val="20"/>
      <w:szCs w:val="20"/>
    </w:rPr>
  </w:style>
  <w:style w:type="paragraph" w:customStyle="1" w:styleId="Standardtitle">
    <w:name w:val="Standard title"/>
    <w:basedOn w:val="Normal"/>
    <w:rsid w:val="0087222F"/>
    <w:pPr>
      <w:tabs>
        <w:tab w:val="left" w:pos="851"/>
      </w:tabs>
      <w:jc w:val="center"/>
    </w:pPr>
    <w:rPr>
      <w:b/>
      <w:i/>
      <w:iCs/>
      <w:caps/>
      <w:sz w:val="28"/>
      <w:szCs w:val="20"/>
    </w:rPr>
  </w:style>
  <w:style w:type="paragraph" w:customStyle="1" w:styleId="Subclause">
    <w:name w:val="Subclause"/>
    <w:basedOn w:val="Clause"/>
    <w:rsid w:val="0087222F"/>
    <w:pPr>
      <w:ind w:hanging="11"/>
    </w:pPr>
  </w:style>
  <w:style w:type="paragraph" w:customStyle="1" w:styleId="Subparagraph">
    <w:name w:val="Subparagraph"/>
    <w:basedOn w:val="Paragraph"/>
    <w:next w:val="Normal"/>
    <w:rsid w:val="0087222F"/>
    <w:pPr>
      <w:ind w:left="2553"/>
    </w:pPr>
  </w:style>
  <w:style w:type="paragraph" w:customStyle="1" w:styleId="Table1">
    <w:name w:val="Table 1"/>
    <w:basedOn w:val="Normal"/>
    <w:rsid w:val="00406931"/>
    <w:pPr>
      <w:spacing w:after="120"/>
      <w:jc w:val="center"/>
    </w:pPr>
    <w:rPr>
      <w:b/>
      <w:bCs/>
      <w:sz w:val="18"/>
      <w:szCs w:val="20"/>
    </w:rPr>
  </w:style>
  <w:style w:type="paragraph" w:customStyle="1" w:styleId="Table2">
    <w:name w:val="Table 2"/>
    <w:basedOn w:val="Normal"/>
    <w:rsid w:val="00406931"/>
    <w:pPr>
      <w:ind w:left="142" w:hanging="142"/>
    </w:pPr>
    <w:rPr>
      <w:bCs/>
      <w:sz w:val="18"/>
      <w:szCs w:val="20"/>
    </w:rPr>
  </w:style>
  <w:style w:type="paragraph" w:customStyle="1" w:styleId="TableHeading">
    <w:name w:val="Table Heading"/>
    <w:basedOn w:val="Normal"/>
    <w:next w:val="Normal"/>
    <w:rsid w:val="00406931"/>
    <w:pPr>
      <w:tabs>
        <w:tab w:val="left" w:pos="851"/>
      </w:tabs>
      <w:jc w:val="center"/>
    </w:pPr>
    <w:rPr>
      <w:b/>
      <w:sz w:val="20"/>
      <w:szCs w:val="20"/>
    </w:rPr>
  </w:style>
  <w:style w:type="paragraph" w:customStyle="1" w:styleId="TitleBorder">
    <w:name w:val="TitleBorder"/>
    <w:basedOn w:val="Normal"/>
    <w:rsid w:val="0087222F"/>
    <w:pPr>
      <w:pBdr>
        <w:bottom w:val="double" w:sz="6" w:space="0" w:color="auto"/>
      </w:pBdr>
      <w:tabs>
        <w:tab w:val="left" w:pos="851"/>
      </w:tabs>
    </w:pPr>
    <w:rPr>
      <w:b/>
      <w:szCs w:val="20"/>
    </w:rPr>
  </w:style>
  <w:style w:type="paragraph" w:styleId="TOC7">
    <w:name w:val="toc 7"/>
    <w:basedOn w:val="Normal"/>
    <w:next w:val="Normal"/>
    <w:autoRedefine/>
    <w:semiHidden/>
    <w:rsid w:val="0087222F"/>
    <w:pPr>
      <w:ind w:left="1440"/>
    </w:pPr>
    <w:rPr>
      <w:szCs w:val="21"/>
    </w:rPr>
  </w:style>
  <w:style w:type="paragraph" w:styleId="TOC8">
    <w:name w:val="toc 8"/>
    <w:basedOn w:val="Normal"/>
    <w:next w:val="Normal"/>
    <w:autoRedefine/>
    <w:semiHidden/>
    <w:rsid w:val="0087222F"/>
    <w:pPr>
      <w:ind w:left="1680"/>
    </w:pPr>
    <w:rPr>
      <w:szCs w:val="21"/>
    </w:rPr>
  </w:style>
  <w:style w:type="paragraph" w:styleId="TOC9">
    <w:name w:val="toc 9"/>
    <w:basedOn w:val="Normal"/>
    <w:next w:val="Normal"/>
    <w:autoRedefine/>
    <w:semiHidden/>
    <w:rsid w:val="0087222F"/>
    <w:pPr>
      <w:ind w:left="1920"/>
    </w:pPr>
    <w:rPr>
      <w:szCs w:val="21"/>
    </w:rPr>
  </w:style>
  <w:style w:type="paragraph" w:styleId="FootnoteText">
    <w:name w:val="footnote text"/>
    <w:basedOn w:val="Normal"/>
    <w:semiHidden/>
    <w:rsid w:val="0087222F"/>
    <w:rPr>
      <w:sz w:val="20"/>
      <w:szCs w:val="20"/>
    </w:rPr>
  </w:style>
  <w:style w:type="character" w:styleId="FootnoteReference">
    <w:name w:val="footnote reference"/>
    <w:semiHidden/>
    <w:rsid w:val="0087222F"/>
    <w:rPr>
      <w:vertAlign w:val="superscript"/>
    </w:rPr>
  </w:style>
  <w:style w:type="paragraph" w:customStyle="1" w:styleId="heading">
    <w:name w:val="heading"/>
    <w:basedOn w:val="Normal"/>
    <w:rsid w:val="0087222F"/>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uiPriority w:val="99"/>
    <w:qFormat/>
    <w:rsid w:val="00E2003B"/>
    <w:pPr>
      <w:numPr>
        <w:numId w:val="32"/>
      </w:numPr>
      <w:ind w:left="567" w:hanging="567"/>
    </w:pPr>
    <w:rPr>
      <w:rFonts w:cs="Arial"/>
    </w:rPr>
  </w:style>
  <w:style w:type="character" w:customStyle="1" w:styleId="FSBulletChar">
    <w:name w:val="FS Bullet Char"/>
    <w:link w:val="FSBullet"/>
    <w:uiPriority w:val="99"/>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uiPriority w:val="99"/>
    <w:qFormat/>
    <w:rsid w:val="005B6AF4"/>
    <w:rPr>
      <w:rFonts w:cs="Arial"/>
      <w:b/>
    </w:rPr>
  </w:style>
  <w:style w:type="paragraph" w:customStyle="1" w:styleId="FSTableHeading">
    <w:name w:val="FS Table Heading"/>
    <w:basedOn w:val="Normal"/>
    <w:uiPriority w:val="99"/>
    <w:qFormat/>
    <w:rsid w:val="005B6AF4"/>
    <w:pPr>
      <w:jc w:val="center"/>
    </w:pPr>
    <w:rPr>
      <w:rFonts w:ascii="Arial Bold" w:hAnsi="Arial Bold" w:cs="Arial"/>
      <w:b/>
      <w:sz w:val="20"/>
      <w:szCs w:val="20"/>
    </w:rPr>
  </w:style>
  <w:style w:type="paragraph" w:customStyle="1" w:styleId="FSTableText">
    <w:name w:val="FS Table Text"/>
    <w:basedOn w:val="Normal"/>
    <w:uiPriority w:val="99"/>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StyleHeading3FSHeading3Left0cmFirstline0cm">
    <w:name w:val="Style Heading 3FS Heading 3 + Left:  0 cm First line:  0 cm"/>
    <w:basedOn w:val="Heading3"/>
    <w:rsid w:val="007A1657"/>
    <w:rPr>
      <w:rFonts w:cs="Times New Roman"/>
      <w:szCs w:val="20"/>
    </w:rPr>
  </w:style>
  <w:style w:type="paragraph" w:customStyle="1" w:styleId="Bullet">
    <w:name w:val="Bullet"/>
    <w:basedOn w:val="Normal"/>
    <w:next w:val="Normal"/>
    <w:link w:val="BulletChar"/>
    <w:rsid w:val="00D80856"/>
    <w:pPr>
      <w:numPr>
        <w:numId w:val="33"/>
      </w:numPr>
    </w:pPr>
    <w:rPr>
      <w:sz w:val="24"/>
      <w:lang w:bidi="ar-SA"/>
    </w:rPr>
  </w:style>
  <w:style w:type="character" w:customStyle="1" w:styleId="BulletChar">
    <w:name w:val="Bullet Char"/>
    <w:basedOn w:val="DefaultParagraphFont"/>
    <w:link w:val="Bullet"/>
    <w:locked/>
    <w:rsid w:val="00D80856"/>
    <w:rPr>
      <w:sz w:val="24"/>
      <w:szCs w:val="24"/>
      <w:lang w:val="en-GB" w:eastAsia="en-US"/>
    </w:rPr>
  </w:style>
  <w:style w:type="character" w:customStyle="1" w:styleId="ClauseChar">
    <w:name w:val="Clause Char"/>
    <w:basedOn w:val="DefaultParagraphFont"/>
    <w:link w:val="Clause"/>
    <w:rsid w:val="003B6814"/>
    <w:rPr>
      <w:sz w:val="20"/>
      <w:lang w:val="en-GB" w:eastAsia="en-US" w:bidi="en-US"/>
    </w:rPr>
  </w:style>
  <w:style w:type="character" w:styleId="CommentReference">
    <w:name w:val="annotation reference"/>
    <w:basedOn w:val="DefaultParagraphFont"/>
    <w:rsid w:val="00451DD7"/>
    <w:rPr>
      <w:sz w:val="16"/>
      <w:szCs w:val="16"/>
    </w:rPr>
  </w:style>
  <w:style w:type="paragraph" w:styleId="CommentText">
    <w:name w:val="annotation text"/>
    <w:basedOn w:val="Normal"/>
    <w:link w:val="CommentTextChar"/>
    <w:rsid w:val="00451DD7"/>
    <w:rPr>
      <w:sz w:val="20"/>
      <w:szCs w:val="20"/>
    </w:rPr>
  </w:style>
  <w:style w:type="character" w:customStyle="1" w:styleId="CommentTextChar">
    <w:name w:val="Comment Text Char"/>
    <w:basedOn w:val="DefaultParagraphFont"/>
    <w:link w:val="CommentText"/>
    <w:rsid w:val="00451DD7"/>
    <w:rPr>
      <w:sz w:val="20"/>
      <w:lang w:val="en-GB" w:eastAsia="en-US" w:bidi="en-US"/>
    </w:rPr>
  </w:style>
  <w:style w:type="paragraph" w:styleId="CommentSubject">
    <w:name w:val="annotation subject"/>
    <w:basedOn w:val="CommentText"/>
    <w:next w:val="CommentText"/>
    <w:link w:val="CommentSubjectChar"/>
    <w:rsid w:val="00451DD7"/>
    <w:rPr>
      <w:b/>
      <w:bCs/>
    </w:rPr>
  </w:style>
  <w:style w:type="character" w:customStyle="1" w:styleId="CommentSubjectChar">
    <w:name w:val="Comment Subject Char"/>
    <w:basedOn w:val="CommentTextChar"/>
    <w:link w:val="CommentSubject"/>
    <w:rsid w:val="00451DD7"/>
    <w:rPr>
      <w:b/>
      <w:bCs/>
      <w:sz w:val="20"/>
      <w:lang w:val="en-GB" w:eastAsia="en-US" w:bidi="en-US"/>
    </w:rPr>
  </w:style>
  <w:style w:type="paragraph" w:styleId="Revision">
    <w:name w:val="Revision"/>
    <w:hidden/>
    <w:uiPriority w:val="99"/>
    <w:semiHidden/>
    <w:rsid w:val="00E312BF"/>
    <w:rPr>
      <w:szCs w:val="24"/>
      <w:lang w:val="en-GB" w:eastAsia="en-US" w:bidi="en-US"/>
    </w:rPr>
  </w:style>
  <w:style w:type="paragraph" w:styleId="Title">
    <w:name w:val="Title"/>
    <w:basedOn w:val="Normal"/>
    <w:link w:val="TitleChar"/>
    <w:qFormat/>
    <w:rsid w:val="00FB1916"/>
    <w:pPr>
      <w:tabs>
        <w:tab w:val="left" w:pos="851"/>
      </w:tabs>
      <w:jc w:val="center"/>
    </w:pPr>
    <w:rPr>
      <w:b/>
      <w:bCs/>
      <w:sz w:val="20"/>
      <w:lang w:val="en-AU" w:bidi="ar-SA"/>
    </w:rPr>
  </w:style>
  <w:style w:type="character" w:customStyle="1" w:styleId="TitleChar">
    <w:name w:val="Title Char"/>
    <w:basedOn w:val="DefaultParagraphFont"/>
    <w:link w:val="Title"/>
    <w:rsid w:val="00FB1916"/>
    <w:rPr>
      <w:b/>
      <w:bCs/>
      <w:sz w:val="20"/>
      <w:szCs w:val="24"/>
      <w:lang w:eastAsia="en-US"/>
    </w:rPr>
  </w:style>
  <w:style w:type="paragraph" w:customStyle="1" w:styleId="11aparagraph">
    <w:name w:val="*1.(1)(a) paragraph"/>
    <w:basedOn w:val="Normal"/>
    <w:next w:val="Normal"/>
    <w:rsid w:val="00481AFD"/>
    <w:pPr>
      <w:widowControl/>
      <w:ind w:left="2552" w:hanging="851"/>
    </w:pPr>
    <w:rPr>
      <w:rFonts w:ascii="Times New Roman" w:hAnsi="Times New Roman"/>
      <w:sz w:val="24"/>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600AB"/>
    <w:pPr>
      <w:widowControl w:val="0"/>
    </w:pPr>
    <w:rPr>
      <w:szCs w:val="24"/>
      <w:lang w:val="en-GB" w:eastAsia="en-US" w:bidi="en-US"/>
    </w:rPr>
  </w:style>
  <w:style w:type="paragraph" w:styleId="Heading1">
    <w:name w:val="heading 1"/>
    <w:aliases w:val="FS Heading 1"/>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iPriority w:val="9"/>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link w:val="Heading2"/>
    <w:uiPriority w:val="9"/>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
    <w:link w:val="Heading5"/>
    <w:uiPriority w:val="9"/>
    <w:rsid w:val="00227E4A"/>
    <w:rPr>
      <w:rFonts w:ascii="Arial" w:hAnsi="Arial"/>
      <w:bCs/>
      <w:iCs/>
      <w:sz w:val="22"/>
      <w:szCs w:val="26"/>
      <w:u w:val="single"/>
      <w:lang w:val="en-US" w:eastAsia="en-US" w:bidi="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87222F"/>
    <w:rPr>
      <w:color w:val="auto"/>
      <w:u w:val="single"/>
    </w:rPr>
  </w:style>
  <w:style w:type="paragraph" w:styleId="Header">
    <w:name w:val="header"/>
    <w:basedOn w:val="Normal"/>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numPr>
        <w:numId w:val="31"/>
      </w:numPr>
      <w:ind w:left="1134" w:hanging="567"/>
    </w:pPr>
  </w:style>
  <w:style w:type="paragraph" w:styleId="TOC1">
    <w:name w:val="toc 1"/>
    <w:basedOn w:val="Normal"/>
    <w:next w:val="Normal"/>
    <w:autoRedefine/>
    <w:uiPriority w:val="39"/>
    <w:rsid w:val="00F42A4C"/>
    <w:rPr>
      <w:b/>
      <w:bCs/>
      <w:caps/>
    </w:rPr>
  </w:style>
  <w:style w:type="paragraph" w:styleId="TOC2">
    <w:name w:val="toc 2"/>
    <w:basedOn w:val="Normal"/>
    <w:next w:val="Normal"/>
    <w:autoRedefine/>
    <w:uiPriority w:val="39"/>
    <w:rsid w:val="0087222F"/>
    <w:pPr>
      <w:ind w:left="240"/>
    </w:pPr>
    <w:rPr>
      <w:smallCaps/>
    </w:rPr>
  </w:style>
  <w:style w:type="paragraph" w:styleId="Footer">
    <w:name w:val="footer"/>
    <w:basedOn w:val="Normal"/>
    <w:rsid w:val="0087222F"/>
    <w:pPr>
      <w:tabs>
        <w:tab w:val="center" w:pos="4153"/>
        <w:tab w:val="right" w:pos="8306"/>
      </w:tabs>
    </w:pPr>
  </w:style>
  <w:style w:type="character" w:styleId="PageNumber">
    <w:name w:val="page number"/>
    <w:rsid w:val="006A48A7"/>
    <w:rPr>
      <w:rFonts w:ascii="Arial" w:hAnsi="Arial"/>
    </w:rPr>
  </w:style>
  <w:style w:type="paragraph" w:styleId="TOC3">
    <w:name w:val="toc 3"/>
    <w:basedOn w:val="Normal"/>
    <w:next w:val="Normal"/>
    <w:autoRedefine/>
    <w:uiPriority w:val="39"/>
    <w:rsid w:val="0087222F"/>
    <w:pPr>
      <w:ind w:left="480"/>
    </w:pPr>
    <w:rPr>
      <w:i/>
      <w:iCs/>
    </w:rPr>
  </w:style>
  <w:style w:type="paragraph" w:styleId="TOC4">
    <w:name w:val="toc 4"/>
    <w:basedOn w:val="Normal"/>
    <w:next w:val="Normal"/>
    <w:autoRedefine/>
    <w:semiHidden/>
    <w:rsid w:val="0087222F"/>
    <w:pPr>
      <w:ind w:left="720"/>
    </w:pPr>
    <w:rPr>
      <w:szCs w:val="21"/>
    </w:rPr>
  </w:style>
  <w:style w:type="paragraph" w:styleId="TOC5">
    <w:name w:val="toc 5"/>
    <w:basedOn w:val="Normal"/>
    <w:next w:val="Normal"/>
    <w:autoRedefine/>
    <w:semiHidden/>
    <w:rsid w:val="0087222F"/>
    <w:pPr>
      <w:ind w:left="960"/>
    </w:pPr>
    <w:rPr>
      <w:szCs w:val="21"/>
    </w:rPr>
  </w:style>
  <w:style w:type="character" w:styleId="FollowedHyperlink">
    <w:name w:val="FollowedHyperlink"/>
    <w:rsid w:val="0087222F"/>
    <w:rPr>
      <w:color w:val="800080"/>
      <w:u w:val="single"/>
    </w:rPr>
  </w:style>
  <w:style w:type="paragraph" w:styleId="TOC6">
    <w:name w:val="toc 6"/>
    <w:basedOn w:val="Normal"/>
    <w:next w:val="Normal"/>
    <w:autoRedefine/>
    <w:semiHidden/>
    <w:rsid w:val="0087222F"/>
    <w:pPr>
      <w:ind w:left="1200"/>
    </w:pPr>
    <w:rPr>
      <w:szCs w:val="21"/>
    </w:rPr>
  </w:style>
  <w:style w:type="paragraph" w:customStyle="1" w:styleId="142Tableheading2">
    <w:name w:val="1.4.2 Table heading2"/>
    <w:basedOn w:val="Normal"/>
    <w:rsid w:val="00406931"/>
    <w:pPr>
      <w:keepNext/>
      <w:jc w:val="center"/>
    </w:pPr>
    <w:rPr>
      <w:iCs/>
      <w:smallCaps/>
      <w:sz w:val="18"/>
      <w:szCs w:val="20"/>
    </w:rPr>
  </w:style>
  <w:style w:type="paragraph" w:customStyle="1" w:styleId="Box1">
    <w:name w:val="Box 1"/>
    <w:basedOn w:val="Normal"/>
    <w:rsid w:val="0087222F"/>
    <w:pPr>
      <w:numPr>
        <w:numId w:val="16"/>
      </w:numPr>
      <w:tabs>
        <w:tab w:val="clear" w:pos="360"/>
        <w:tab w:val="num" w:pos="120"/>
      </w:tabs>
    </w:pPr>
    <w:rPr>
      <w:sz w:val="16"/>
    </w:rPr>
  </w:style>
  <w:style w:type="paragraph" w:customStyle="1" w:styleId="Box2">
    <w:name w:val="Box 2"/>
    <w:basedOn w:val="Normal"/>
    <w:rsid w:val="0087222F"/>
    <w:pPr>
      <w:tabs>
        <w:tab w:val="left" w:pos="4608"/>
        <w:tab w:val="left" w:pos="9180"/>
        <w:tab w:val="left" w:pos="9216"/>
      </w:tabs>
      <w:jc w:val="center"/>
    </w:pPr>
    <w:rPr>
      <w:b/>
      <w:bCs/>
      <w:i/>
      <w:iCs/>
      <w:color w:val="000000"/>
      <w:sz w:val="16"/>
    </w:rPr>
  </w:style>
  <w:style w:type="paragraph" w:customStyle="1" w:styleId="Box3">
    <w:name w:val="Box 3"/>
    <w:basedOn w:val="Normal"/>
    <w:rsid w:val="0087222F"/>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406931"/>
    <w:rPr>
      <w:b/>
      <w:bCs/>
      <w:iCs w:val="0"/>
    </w:rPr>
  </w:style>
  <w:style w:type="paragraph" w:customStyle="1" w:styleId="142tabletext1">
    <w:name w:val="1.4.2 table text1"/>
    <w:basedOn w:val="Normal"/>
    <w:rsid w:val="00406931"/>
    <w:pPr>
      <w:ind w:left="142" w:hanging="142"/>
    </w:pPr>
    <w:rPr>
      <w:smallCaps/>
      <w:sz w:val="18"/>
      <w:szCs w:val="20"/>
    </w:rPr>
  </w:style>
  <w:style w:type="paragraph" w:customStyle="1" w:styleId="142tabletext2">
    <w:name w:val="1.4.2 table text2"/>
    <w:basedOn w:val="142tabletext1"/>
    <w:rsid w:val="0087222F"/>
    <w:pPr>
      <w:jc w:val="right"/>
    </w:pPr>
  </w:style>
  <w:style w:type="paragraph" w:customStyle="1" w:styleId="Clause">
    <w:name w:val="Clause"/>
    <w:basedOn w:val="Normal"/>
    <w:next w:val="Normal"/>
    <w:link w:val="ClauseChar"/>
    <w:qFormat/>
    <w:rsid w:val="00406931"/>
    <w:pPr>
      <w:tabs>
        <w:tab w:val="left" w:pos="851"/>
      </w:tabs>
    </w:pPr>
    <w:rPr>
      <w:sz w:val="20"/>
      <w:szCs w:val="20"/>
    </w:rPr>
  </w:style>
  <w:style w:type="paragraph" w:customStyle="1" w:styleId="Clauseheading">
    <w:name w:val="Clause heading"/>
    <w:basedOn w:val="Normal"/>
    <w:next w:val="Normal"/>
    <w:rsid w:val="00406931"/>
    <w:pPr>
      <w:tabs>
        <w:tab w:val="left" w:pos="851"/>
      </w:tabs>
    </w:pPr>
    <w:rPr>
      <w:b/>
      <w:sz w:val="20"/>
      <w:szCs w:val="20"/>
    </w:rPr>
  </w:style>
  <w:style w:type="paragraph" w:customStyle="1" w:styleId="ClauseList">
    <w:name w:val="Clause List"/>
    <w:basedOn w:val="Clause"/>
    <w:next w:val="Normal"/>
    <w:rsid w:val="0087222F"/>
  </w:style>
  <w:style w:type="paragraph" w:customStyle="1" w:styleId="Definition">
    <w:name w:val="Definition"/>
    <w:basedOn w:val="Normal"/>
    <w:next w:val="Normal"/>
    <w:rsid w:val="00406931"/>
    <w:pPr>
      <w:ind w:left="1701" w:hanging="851"/>
    </w:pPr>
    <w:rPr>
      <w:sz w:val="20"/>
      <w:szCs w:val="20"/>
    </w:rPr>
  </w:style>
  <w:style w:type="paragraph" w:customStyle="1" w:styleId="DivisionHeading">
    <w:name w:val="Division Heading"/>
    <w:basedOn w:val="Normal"/>
    <w:next w:val="Normal"/>
    <w:rsid w:val="0087222F"/>
    <w:pPr>
      <w:tabs>
        <w:tab w:val="left" w:pos="851"/>
      </w:tabs>
      <w:jc w:val="center"/>
    </w:pPr>
    <w:rPr>
      <w:b/>
      <w:sz w:val="28"/>
      <w:szCs w:val="20"/>
    </w:rPr>
  </w:style>
  <w:style w:type="paragraph" w:customStyle="1" w:styleId="EditorialNoteLine1">
    <w:name w:val="Editorial Note Line 1"/>
    <w:basedOn w:val="Normal"/>
    <w:next w:val="Normal"/>
    <w:rsid w:val="00406931"/>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87222F"/>
    <w:rPr>
      <w:b w:val="0"/>
    </w:rPr>
  </w:style>
  <w:style w:type="paragraph" w:customStyle="1" w:styleId="Footnote">
    <w:name w:val="Footnote"/>
    <w:basedOn w:val="Normal"/>
    <w:rsid w:val="0087222F"/>
    <w:pPr>
      <w:tabs>
        <w:tab w:val="left" w:pos="851"/>
      </w:tabs>
    </w:pPr>
    <w:rPr>
      <w:sz w:val="20"/>
      <w:szCs w:val="20"/>
    </w:rPr>
  </w:style>
  <w:style w:type="paragraph" w:customStyle="1" w:styleId="MiscellaneousHeading">
    <w:name w:val="Miscellaneous Heading"/>
    <w:basedOn w:val="Normal"/>
    <w:next w:val="Normal"/>
    <w:rsid w:val="0087222F"/>
    <w:rPr>
      <w:b/>
      <w:szCs w:val="20"/>
    </w:rPr>
  </w:style>
  <w:style w:type="paragraph" w:customStyle="1" w:styleId="Paragraph">
    <w:name w:val="Paragraph"/>
    <w:basedOn w:val="Clause"/>
    <w:next w:val="Normal"/>
    <w:rsid w:val="0087222F"/>
    <w:pPr>
      <w:tabs>
        <w:tab w:val="clear" w:pos="851"/>
      </w:tabs>
      <w:ind w:left="1702" w:hanging="851"/>
    </w:pPr>
  </w:style>
  <w:style w:type="paragraph" w:customStyle="1" w:styleId="ScheduleHeading">
    <w:name w:val="Schedule Heading"/>
    <w:basedOn w:val="Normal"/>
    <w:next w:val="Normal"/>
    <w:rsid w:val="00406931"/>
    <w:pPr>
      <w:tabs>
        <w:tab w:val="left" w:pos="851"/>
      </w:tabs>
      <w:jc w:val="center"/>
    </w:pPr>
    <w:rPr>
      <w:b/>
      <w:caps/>
      <w:sz w:val="20"/>
      <w:szCs w:val="20"/>
    </w:rPr>
  </w:style>
  <w:style w:type="paragraph" w:customStyle="1" w:styleId="Standardtitle">
    <w:name w:val="Standard title"/>
    <w:basedOn w:val="Normal"/>
    <w:rsid w:val="0087222F"/>
    <w:pPr>
      <w:tabs>
        <w:tab w:val="left" w:pos="851"/>
      </w:tabs>
      <w:jc w:val="center"/>
    </w:pPr>
    <w:rPr>
      <w:b/>
      <w:i/>
      <w:iCs/>
      <w:caps/>
      <w:sz w:val="28"/>
      <w:szCs w:val="20"/>
    </w:rPr>
  </w:style>
  <w:style w:type="paragraph" w:customStyle="1" w:styleId="Subclause">
    <w:name w:val="Subclause"/>
    <w:basedOn w:val="Clause"/>
    <w:rsid w:val="0087222F"/>
    <w:pPr>
      <w:ind w:hanging="11"/>
    </w:pPr>
  </w:style>
  <w:style w:type="paragraph" w:customStyle="1" w:styleId="Subparagraph">
    <w:name w:val="Subparagraph"/>
    <w:basedOn w:val="Paragraph"/>
    <w:next w:val="Normal"/>
    <w:rsid w:val="0087222F"/>
    <w:pPr>
      <w:ind w:left="2553"/>
    </w:pPr>
  </w:style>
  <w:style w:type="paragraph" w:customStyle="1" w:styleId="Table1">
    <w:name w:val="Table 1"/>
    <w:basedOn w:val="Normal"/>
    <w:rsid w:val="00406931"/>
    <w:pPr>
      <w:spacing w:after="120"/>
      <w:jc w:val="center"/>
    </w:pPr>
    <w:rPr>
      <w:b/>
      <w:bCs/>
      <w:sz w:val="18"/>
      <w:szCs w:val="20"/>
    </w:rPr>
  </w:style>
  <w:style w:type="paragraph" w:customStyle="1" w:styleId="Table2">
    <w:name w:val="Table 2"/>
    <w:basedOn w:val="Normal"/>
    <w:rsid w:val="00406931"/>
    <w:pPr>
      <w:ind w:left="142" w:hanging="142"/>
    </w:pPr>
    <w:rPr>
      <w:bCs/>
      <w:sz w:val="18"/>
      <w:szCs w:val="20"/>
    </w:rPr>
  </w:style>
  <w:style w:type="paragraph" w:customStyle="1" w:styleId="TableHeading">
    <w:name w:val="Table Heading"/>
    <w:basedOn w:val="Normal"/>
    <w:next w:val="Normal"/>
    <w:rsid w:val="00406931"/>
    <w:pPr>
      <w:tabs>
        <w:tab w:val="left" w:pos="851"/>
      </w:tabs>
      <w:jc w:val="center"/>
    </w:pPr>
    <w:rPr>
      <w:b/>
      <w:sz w:val="20"/>
      <w:szCs w:val="20"/>
    </w:rPr>
  </w:style>
  <w:style w:type="paragraph" w:customStyle="1" w:styleId="TitleBorder">
    <w:name w:val="TitleBorder"/>
    <w:basedOn w:val="Normal"/>
    <w:rsid w:val="0087222F"/>
    <w:pPr>
      <w:pBdr>
        <w:bottom w:val="double" w:sz="6" w:space="0" w:color="auto"/>
      </w:pBdr>
      <w:tabs>
        <w:tab w:val="left" w:pos="851"/>
      </w:tabs>
    </w:pPr>
    <w:rPr>
      <w:b/>
      <w:szCs w:val="20"/>
    </w:rPr>
  </w:style>
  <w:style w:type="paragraph" w:styleId="TOC7">
    <w:name w:val="toc 7"/>
    <w:basedOn w:val="Normal"/>
    <w:next w:val="Normal"/>
    <w:autoRedefine/>
    <w:semiHidden/>
    <w:rsid w:val="0087222F"/>
    <w:pPr>
      <w:ind w:left="1440"/>
    </w:pPr>
    <w:rPr>
      <w:szCs w:val="21"/>
    </w:rPr>
  </w:style>
  <w:style w:type="paragraph" w:styleId="TOC8">
    <w:name w:val="toc 8"/>
    <w:basedOn w:val="Normal"/>
    <w:next w:val="Normal"/>
    <w:autoRedefine/>
    <w:semiHidden/>
    <w:rsid w:val="0087222F"/>
    <w:pPr>
      <w:ind w:left="1680"/>
    </w:pPr>
    <w:rPr>
      <w:szCs w:val="21"/>
    </w:rPr>
  </w:style>
  <w:style w:type="paragraph" w:styleId="TOC9">
    <w:name w:val="toc 9"/>
    <w:basedOn w:val="Normal"/>
    <w:next w:val="Normal"/>
    <w:autoRedefine/>
    <w:semiHidden/>
    <w:rsid w:val="0087222F"/>
    <w:pPr>
      <w:ind w:left="1920"/>
    </w:pPr>
    <w:rPr>
      <w:szCs w:val="21"/>
    </w:rPr>
  </w:style>
  <w:style w:type="paragraph" w:styleId="FootnoteText">
    <w:name w:val="footnote text"/>
    <w:basedOn w:val="Normal"/>
    <w:semiHidden/>
    <w:rsid w:val="0087222F"/>
    <w:rPr>
      <w:sz w:val="20"/>
      <w:szCs w:val="20"/>
    </w:rPr>
  </w:style>
  <w:style w:type="character" w:styleId="FootnoteReference">
    <w:name w:val="footnote reference"/>
    <w:semiHidden/>
    <w:rsid w:val="0087222F"/>
    <w:rPr>
      <w:vertAlign w:val="superscript"/>
    </w:rPr>
  </w:style>
  <w:style w:type="paragraph" w:customStyle="1" w:styleId="heading">
    <w:name w:val="heading"/>
    <w:basedOn w:val="Normal"/>
    <w:rsid w:val="0087222F"/>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uiPriority w:val="99"/>
    <w:qFormat/>
    <w:rsid w:val="00E2003B"/>
    <w:pPr>
      <w:numPr>
        <w:numId w:val="32"/>
      </w:numPr>
      <w:ind w:left="567" w:hanging="567"/>
    </w:pPr>
    <w:rPr>
      <w:rFonts w:cs="Arial"/>
    </w:rPr>
  </w:style>
  <w:style w:type="character" w:customStyle="1" w:styleId="FSBulletChar">
    <w:name w:val="FS Bullet Char"/>
    <w:link w:val="FSBullet"/>
    <w:uiPriority w:val="99"/>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uiPriority w:val="99"/>
    <w:qFormat/>
    <w:rsid w:val="005B6AF4"/>
    <w:rPr>
      <w:rFonts w:cs="Arial"/>
      <w:b/>
    </w:rPr>
  </w:style>
  <w:style w:type="paragraph" w:customStyle="1" w:styleId="FSTableHeading">
    <w:name w:val="FS Table Heading"/>
    <w:basedOn w:val="Normal"/>
    <w:uiPriority w:val="99"/>
    <w:qFormat/>
    <w:rsid w:val="005B6AF4"/>
    <w:pPr>
      <w:jc w:val="center"/>
    </w:pPr>
    <w:rPr>
      <w:rFonts w:ascii="Arial Bold" w:hAnsi="Arial Bold" w:cs="Arial"/>
      <w:b/>
      <w:sz w:val="20"/>
      <w:szCs w:val="20"/>
    </w:rPr>
  </w:style>
  <w:style w:type="paragraph" w:customStyle="1" w:styleId="FSTableText">
    <w:name w:val="FS Table Text"/>
    <w:basedOn w:val="Normal"/>
    <w:uiPriority w:val="99"/>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StyleHeading3FSHeading3Left0cmFirstline0cm">
    <w:name w:val="Style Heading 3FS Heading 3 + Left:  0 cm First line:  0 cm"/>
    <w:basedOn w:val="Heading3"/>
    <w:rsid w:val="007A1657"/>
    <w:rPr>
      <w:rFonts w:cs="Times New Roman"/>
      <w:szCs w:val="20"/>
    </w:rPr>
  </w:style>
  <w:style w:type="paragraph" w:customStyle="1" w:styleId="Bullet">
    <w:name w:val="Bullet"/>
    <w:basedOn w:val="Normal"/>
    <w:next w:val="Normal"/>
    <w:link w:val="BulletChar"/>
    <w:rsid w:val="00D80856"/>
    <w:pPr>
      <w:numPr>
        <w:numId w:val="33"/>
      </w:numPr>
    </w:pPr>
    <w:rPr>
      <w:sz w:val="24"/>
      <w:lang w:bidi="ar-SA"/>
    </w:rPr>
  </w:style>
  <w:style w:type="character" w:customStyle="1" w:styleId="BulletChar">
    <w:name w:val="Bullet Char"/>
    <w:basedOn w:val="DefaultParagraphFont"/>
    <w:link w:val="Bullet"/>
    <w:locked/>
    <w:rsid w:val="00D80856"/>
    <w:rPr>
      <w:sz w:val="24"/>
      <w:szCs w:val="24"/>
      <w:lang w:val="en-GB" w:eastAsia="en-US"/>
    </w:rPr>
  </w:style>
  <w:style w:type="character" w:customStyle="1" w:styleId="ClauseChar">
    <w:name w:val="Clause Char"/>
    <w:basedOn w:val="DefaultParagraphFont"/>
    <w:link w:val="Clause"/>
    <w:rsid w:val="003B6814"/>
    <w:rPr>
      <w:sz w:val="20"/>
      <w:lang w:val="en-GB" w:eastAsia="en-US" w:bidi="en-US"/>
    </w:rPr>
  </w:style>
  <w:style w:type="character" w:styleId="CommentReference">
    <w:name w:val="annotation reference"/>
    <w:basedOn w:val="DefaultParagraphFont"/>
    <w:rsid w:val="00451DD7"/>
    <w:rPr>
      <w:sz w:val="16"/>
      <w:szCs w:val="16"/>
    </w:rPr>
  </w:style>
  <w:style w:type="paragraph" w:styleId="CommentText">
    <w:name w:val="annotation text"/>
    <w:basedOn w:val="Normal"/>
    <w:link w:val="CommentTextChar"/>
    <w:rsid w:val="00451DD7"/>
    <w:rPr>
      <w:sz w:val="20"/>
      <w:szCs w:val="20"/>
    </w:rPr>
  </w:style>
  <w:style w:type="character" w:customStyle="1" w:styleId="CommentTextChar">
    <w:name w:val="Comment Text Char"/>
    <w:basedOn w:val="DefaultParagraphFont"/>
    <w:link w:val="CommentText"/>
    <w:rsid w:val="00451DD7"/>
    <w:rPr>
      <w:sz w:val="20"/>
      <w:lang w:val="en-GB" w:eastAsia="en-US" w:bidi="en-US"/>
    </w:rPr>
  </w:style>
  <w:style w:type="paragraph" w:styleId="CommentSubject">
    <w:name w:val="annotation subject"/>
    <w:basedOn w:val="CommentText"/>
    <w:next w:val="CommentText"/>
    <w:link w:val="CommentSubjectChar"/>
    <w:rsid w:val="00451DD7"/>
    <w:rPr>
      <w:b/>
      <w:bCs/>
    </w:rPr>
  </w:style>
  <w:style w:type="character" w:customStyle="1" w:styleId="CommentSubjectChar">
    <w:name w:val="Comment Subject Char"/>
    <w:basedOn w:val="CommentTextChar"/>
    <w:link w:val="CommentSubject"/>
    <w:rsid w:val="00451DD7"/>
    <w:rPr>
      <w:b/>
      <w:bCs/>
      <w:sz w:val="20"/>
      <w:lang w:val="en-GB" w:eastAsia="en-US" w:bidi="en-US"/>
    </w:rPr>
  </w:style>
  <w:style w:type="paragraph" w:styleId="Revision">
    <w:name w:val="Revision"/>
    <w:hidden/>
    <w:uiPriority w:val="99"/>
    <w:semiHidden/>
    <w:rsid w:val="00E312BF"/>
    <w:rPr>
      <w:szCs w:val="24"/>
      <w:lang w:val="en-GB" w:eastAsia="en-US" w:bidi="en-US"/>
    </w:rPr>
  </w:style>
  <w:style w:type="paragraph" w:styleId="Title">
    <w:name w:val="Title"/>
    <w:basedOn w:val="Normal"/>
    <w:link w:val="TitleChar"/>
    <w:qFormat/>
    <w:rsid w:val="00FB1916"/>
    <w:pPr>
      <w:tabs>
        <w:tab w:val="left" w:pos="851"/>
      </w:tabs>
      <w:jc w:val="center"/>
    </w:pPr>
    <w:rPr>
      <w:b/>
      <w:bCs/>
      <w:sz w:val="20"/>
      <w:lang w:val="en-AU" w:bidi="ar-SA"/>
    </w:rPr>
  </w:style>
  <w:style w:type="character" w:customStyle="1" w:styleId="TitleChar">
    <w:name w:val="Title Char"/>
    <w:basedOn w:val="DefaultParagraphFont"/>
    <w:link w:val="Title"/>
    <w:rsid w:val="00FB1916"/>
    <w:rPr>
      <w:b/>
      <w:bCs/>
      <w:sz w:val="20"/>
      <w:szCs w:val="24"/>
      <w:lang w:eastAsia="en-US"/>
    </w:rPr>
  </w:style>
  <w:style w:type="paragraph" w:customStyle="1" w:styleId="11aparagraph">
    <w:name w:val="*1.(1)(a) paragraph"/>
    <w:basedOn w:val="Normal"/>
    <w:next w:val="Normal"/>
    <w:rsid w:val="00481AFD"/>
    <w:pPr>
      <w:widowControl/>
      <w:ind w:left="2552" w:hanging="851"/>
    </w:pPr>
    <w:rPr>
      <w:rFonts w:ascii="Times New Roman" w:hAnsi="Times New Roman"/>
      <w:sz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1288">
      <w:bodyDiv w:val="1"/>
      <w:marLeft w:val="0"/>
      <w:marRight w:val="0"/>
      <w:marTop w:val="0"/>
      <w:marBottom w:val="0"/>
      <w:divBdr>
        <w:top w:val="none" w:sz="0" w:space="0" w:color="auto"/>
        <w:left w:val="none" w:sz="0" w:space="0" w:color="auto"/>
        <w:bottom w:val="none" w:sz="0" w:space="0" w:color="auto"/>
        <w:right w:val="none" w:sz="0" w:space="0" w:color="auto"/>
      </w:divBdr>
    </w:div>
    <w:div w:id="544610551">
      <w:bodyDiv w:val="1"/>
      <w:marLeft w:val="0"/>
      <w:marRight w:val="0"/>
      <w:marTop w:val="0"/>
      <w:marBottom w:val="0"/>
      <w:divBdr>
        <w:top w:val="none" w:sz="0" w:space="0" w:color="auto"/>
        <w:left w:val="none" w:sz="0" w:space="0" w:color="auto"/>
        <w:bottom w:val="none" w:sz="0" w:space="0" w:color="auto"/>
        <w:right w:val="none" w:sz="0" w:space="0" w:color="auto"/>
      </w:divBdr>
    </w:div>
    <w:div w:id="762916009">
      <w:bodyDiv w:val="1"/>
      <w:marLeft w:val="0"/>
      <w:marRight w:val="0"/>
      <w:marTop w:val="0"/>
      <w:marBottom w:val="0"/>
      <w:divBdr>
        <w:top w:val="none" w:sz="0" w:space="0" w:color="auto"/>
        <w:left w:val="none" w:sz="0" w:space="0" w:color="auto"/>
        <w:bottom w:val="none" w:sz="0" w:space="0" w:color="auto"/>
        <w:right w:val="none" w:sz="0" w:space="0" w:color="auto"/>
      </w:divBdr>
    </w:div>
    <w:div w:id="808404639">
      <w:bodyDiv w:val="1"/>
      <w:marLeft w:val="0"/>
      <w:marRight w:val="0"/>
      <w:marTop w:val="0"/>
      <w:marBottom w:val="0"/>
      <w:divBdr>
        <w:top w:val="none" w:sz="0" w:space="0" w:color="auto"/>
        <w:left w:val="none" w:sz="0" w:space="0" w:color="auto"/>
        <w:bottom w:val="none" w:sz="0" w:space="0" w:color="auto"/>
        <w:right w:val="none" w:sz="0" w:space="0" w:color="auto"/>
      </w:divBdr>
    </w:div>
    <w:div w:id="1228764065">
      <w:bodyDiv w:val="1"/>
      <w:marLeft w:val="0"/>
      <w:marRight w:val="0"/>
      <w:marTop w:val="0"/>
      <w:marBottom w:val="0"/>
      <w:divBdr>
        <w:top w:val="none" w:sz="0" w:space="0" w:color="auto"/>
        <w:left w:val="none" w:sz="0" w:space="0" w:color="auto"/>
        <w:bottom w:val="none" w:sz="0" w:space="0" w:color="auto"/>
        <w:right w:val="none" w:sz="0" w:space="0" w:color="auto"/>
      </w:divBdr>
    </w:div>
    <w:div w:id="1431272725">
      <w:bodyDiv w:val="1"/>
      <w:marLeft w:val="0"/>
      <w:marRight w:val="0"/>
      <w:marTop w:val="0"/>
      <w:marBottom w:val="0"/>
      <w:divBdr>
        <w:top w:val="none" w:sz="0" w:space="0" w:color="auto"/>
        <w:left w:val="none" w:sz="0" w:space="0" w:color="auto"/>
        <w:bottom w:val="none" w:sz="0" w:space="0" w:color="auto"/>
        <w:right w:val="none" w:sz="0" w:space="0" w:color="auto"/>
      </w:divBdr>
    </w:div>
    <w:div w:id="1650936155">
      <w:bodyDiv w:val="1"/>
      <w:marLeft w:val="0"/>
      <w:marRight w:val="0"/>
      <w:marTop w:val="0"/>
      <w:marBottom w:val="0"/>
      <w:divBdr>
        <w:top w:val="none" w:sz="0" w:space="0" w:color="auto"/>
        <w:left w:val="none" w:sz="0" w:space="0" w:color="auto"/>
        <w:bottom w:val="none" w:sz="0" w:space="0" w:color="auto"/>
        <w:right w:val="none" w:sz="0" w:space="0" w:color="auto"/>
      </w:divBdr>
    </w:div>
    <w:div w:id="196557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standards.gov.au/foodstandards/applications/applicationa1047sodi4816.cfm"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daff.gov.au/__data/assets/pdf_file/0011/913754/wine-agreement.pdf" TargetMode="External"/><Relationship Id="rId2" Type="http://schemas.openxmlformats.org/officeDocument/2006/relationships/numbering" Target="numbering.xml"/><Relationship Id="rId16" Type="http://schemas.openxmlformats.org/officeDocument/2006/relationships/hyperlink" Target="http://online.fo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ao.org/ag/agn/jecfa-additives/details.html?id=388"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ur-lex.europa.eu/LexUriServ/LexUriServ.do?uri=OJ:L:2009:193:0001:0059: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234D-4CE0-43C3-97A8-B022551D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6559</Words>
  <Characters>39550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46017</CharactersWithSpaces>
  <SharedDoc>false</SharedDoc>
  <HLinks>
    <vt:vector size="192" baseType="variant">
      <vt:variant>
        <vt:i4>3407978</vt:i4>
      </vt:variant>
      <vt:variant>
        <vt:i4>180</vt:i4>
      </vt:variant>
      <vt:variant>
        <vt:i4>0</vt:i4>
      </vt:variant>
      <vt:variant>
        <vt:i4>5</vt:i4>
      </vt:variant>
      <vt:variant>
        <vt:lpwstr>../../../../Standards Management/WTO/WTO Procedures for staff/WTO Procedures for staff.doc</vt:lpwstr>
      </vt:variant>
      <vt:variant>
        <vt:lpwstr/>
      </vt:variant>
      <vt:variant>
        <vt:i4>1310776</vt:i4>
      </vt:variant>
      <vt:variant>
        <vt:i4>173</vt:i4>
      </vt:variant>
      <vt:variant>
        <vt:i4>0</vt:i4>
      </vt:variant>
      <vt:variant>
        <vt:i4>5</vt:i4>
      </vt:variant>
      <vt:variant>
        <vt:lpwstr/>
      </vt:variant>
      <vt:variant>
        <vt:lpwstr>_Toc175381460</vt:lpwstr>
      </vt:variant>
      <vt:variant>
        <vt:i4>1507384</vt:i4>
      </vt:variant>
      <vt:variant>
        <vt:i4>167</vt:i4>
      </vt:variant>
      <vt:variant>
        <vt:i4>0</vt:i4>
      </vt:variant>
      <vt:variant>
        <vt:i4>5</vt:i4>
      </vt:variant>
      <vt:variant>
        <vt:lpwstr/>
      </vt:variant>
      <vt:variant>
        <vt:lpwstr>_Toc175381459</vt:lpwstr>
      </vt:variant>
      <vt:variant>
        <vt:i4>1507384</vt:i4>
      </vt:variant>
      <vt:variant>
        <vt:i4>164</vt:i4>
      </vt:variant>
      <vt:variant>
        <vt:i4>0</vt:i4>
      </vt:variant>
      <vt:variant>
        <vt:i4>5</vt:i4>
      </vt:variant>
      <vt:variant>
        <vt:lpwstr/>
      </vt:variant>
      <vt:variant>
        <vt:lpwstr>_Toc175381458</vt:lpwstr>
      </vt:variant>
      <vt:variant>
        <vt:i4>1507384</vt:i4>
      </vt:variant>
      <vt:variant>
        <vt:i4>158</vt:i4>
      </vt:variant>
      <vt:variant>
        <vt:i4>0</vt:i4>
      </vt:variant>
      <vt:variant>
        <vt:i4>5</vt:i4>
      </vt:variant>
      <vt:variant>
        <vt:lpwstr/>
      </vt:variant>
      <vt:variant>
        <vt:lpwstr>_Toc175381457</vt:lpwstr>
      </vt:variant>
      <vt:variant>
        <vt:i4>1507384</vt:i4>
      </vt:variant>
      <vt:variant>
        <vt:i4>152</vt:i4>
      </vt:variant>
      <vt:variant>
        <vt:i4>0</vt:i4>
      </vt:variant>
      <vt:variant>
        <vt:i4>5</vt:i4>
      </vt:variant>
      <vt:variant>
        <vt:lpwstr/>
      </vt:variant>
      <vt:variant>
        <vt:lpwstr>_Toc175381456</vt:lpwstr>
      </vt:variant>
      <vt:variant>
        <vt:i4>1507384</vt:i4>
      </vt:variant>
      <vt:variant>
        <vt:i4>146</vt:i4>
      </vt:variant>
      <vt:variant>
        <vt:i4>0</vt:i4>
      </vt:variant>
      <vt:variant>
        <vt:i4>5</vt:i4>
      </vt:variant>
      <vt:variant>
        <vt:lpwstr/>
      </vt:variant>
      <vt:variant>
        <vt:lpwstr>_Toc175381455</vt:lpwstr>
      </vt:variant>
      <vt:variant>
        <vt:i4>1507384</vt:i4>
      </vt:variant>
      <vt:variant>
        <vt:i4>140</vt:i4>
      </vt:variant>
      <vt:variant>
        <vt:i4>0</vt:i4>
      </vt:variant>
      <vt:variant>
        <vt:i4>5</vt:i4>
      </vt:variant>
      <vt:variant>
        <vt:lpwstr/>
      </vt:variant>
      <vt:variant>
        <vt:lpwstr>_Toc175381454</vt:lpwstr>
      </vt:variant>
      <vt:variant>
        <vt:i4>1507384</vt:i4>
      </vt:variant>
      <vt:variant>
        <vt:i4>134</vt:i4>
      </vt:variant>
      <vt:variant>
        <vt:i4>0</vt:i4>
      </vt:variant>
      <vt:variant>
        <vt:i4>5</vt:i4>
      </vt:variant>
      <vt:variant>
        <vt:lpwstr/>
      </vt:variant>
      <vt:variant>
        <vt:lpwstr>_Toc175381453</vt:lpwstr>
      </vt:variant>
      <vt:variant>
        <vt:i4>1507384</vt:i4>
      </vt:variant>
      <vt:variant>
        <vt:i4>128</vt:i4>
      </vt:variant>
      <vt:variant>
        <vt:i4>0</vt:i4>
      </vt:variant>
      <vt:variant>
        <vt:i4>5</vt:i4>
      </vt:variant>
      <vt:variant>
        <vt:lpwstr/>
      </vt:variant>
      <vt:variant>
        <vt:lpwstr>_Toc175381452</vt:lpwstr>
      </vt:variant>
      <vt:variant>
        <vt:i4>1507384</vt:i4>
      </vt:variant>
      <vt:variant>
        <vt:i4>122</vt:i4>
      </vt:variant>
      <vt:variant>
        <vt:i4>0</vt:i4>
      </vt:variant>
      <vt:variant>
        <vt:i4>5</vt:i4>
      </vt:variant>
      <vt:variant>
        <vt:lpwstr/>
      </vt:variant>
      <vt:variant>
        <vt:lpwstr>_Toc175381451</vt:lpwstr>
      </vt:variant>
      <vt:variant>
        <vt:i4>1507384</vt:i4>
      </vt:variant>
      <vt:variant>
        <vt:i4>116</vt:i4>
      </vt:variant>
      <vt:variant>
        <vt:i4>0</vt:i4>
      </vt:variant>
      <vt:variant>
        <vt:i4>5</vt:i4>
      </vt:variant>
      <vt:variant>
        <vt:lpwstr/>
      </vt:variant>
      <vt:variant>
        <vt:lpwstr>_Toc175381450</vt:lpwstr>
      </vt:variant>
      <vt:variant>
        <vt:i4>1441848</vt:i4>
      </vt:variant>
      <vt:variant>
        <vt:i4>110</vt:i4>
      </vt:variant>
      <vt:variant>
        <vt:i4>0</vt:i4>
      </vt:variant>
      <vt:variant>
        <vt:i4>5</vt:i4>
      </vt:variant>
      <vt:variant>
        <vt:lpwstr/>
      </vt:variant>
      <vt:variant>
        <vt:lpwstr>_Toc175381449</vt:lpwstr>
      </vt:variant>
      <vt:variant>
        <vt:i4>1441848</vt:i4>
      </vt:variant>
      <vt:variant>
        <vt:i4>104</vt:i4>
      </vt:variant>
      <vt:variant>
        <vt:i4>0</vt:i4>
      </vt:variant>
      <vt:variant>
        <vt:i4>5</vt:i4>
      </vt:variant>
      <vt:variant>
        <vt:lpwstr/>
      </vt:variant>
      <vt:variant>
        <vt:lpwstr>_Toc175381448</vt:lpwstr>
      </vt:variant>
      <vt:variant>
        <vt:i4>1441848</vt:i4>
      </vt:variant>
      <vt:variant>
        <vt:i4>98</vt:i4>
      </vt:variant>
      <vt:variant>
        <vt:i4>0</vt:i4>
      </vt:variant>
      <vt:variant>
        <vt:i4>5</vt:i4>
      </vt:variant>
      <vt:variant>
        <vt:lpwstr/>
      </vt:variant>
      <vt:variant>
        <vt:lpwstr>_Toc175381447</vt:lpwstr>
      </vt:variant>
      <vt:variant>
        <vt:i4>1441848</vt:i4>
      </vt:variant>
      <vt:variant>
        <vt:i4>92</vt:i4>
      </vt:variant>
      <vt:variant>
        <vt:i4>0</vt:i4>
      </vt:variant>
      <vt:variant>
        <vt:i4>5</vt:i4>
      </vt:variant>
      <vt:variant>
        <vt:lpwstr/>
      </vt:variant>
      <vt:variant>
        <vt:lpwstr>_Toc175381446</vt:lpwstr>
      </vt:variant>
      <vt:variant>
        <vt:i4>1441848</vt:i4>
      </vt:variant>
      <vt:variant>
        <vt:i4>86</vt:i4>
      </vt:variant>
      <vt:variant>
        <vt:i4>0</vt:i4>
      </vt:variant>
      <vt:variant>
        <vt:i4>5</vt:i4>
      </vt:variant>
      <vt:variant>
        <vt:lpwstr/>
      </vt:variant>
      <vt:variant>
        <vt:lpwstr>_Toc175381445</vt:lpwstr>
      </vt:variant>
      <vt:variant>
        <vt:i4>1441848</vt:i4>
      </vt:variant>
      <vt:variant>
        <vt:i4>80</vt:i4>
      </vt:variant>
      <vt:variant>
        <vt:i4>0</vt:i4>
      </vt:variant>
      <vt:variant>
        <vt:i4>5</vt:i4>
      </vt:variant>
      <vt:variant>
        <vt:lpwstr/>
      </vt:variant>
      <vt:variant>
        <vt:lpwstr>_Toc175381444</vt:lpwstr>
      </vt:variant>
      <vt:variant>
        <vt:i4>1441848</vt:i4>
      </vt:variant>
      <vt:variant>
        <vt:i4>74</vt:i4>
      </vt:variant>
      <vt:variant>
        <vt:i4>0</vt:i4>
      </vt:variant>
      <vt:variant>
        <vt:i4>5</vt:i4>
      </vt:variant>
      <vt:variant>
        <vt:lpwstr/>
      </vt:variant>
      <vt:variant>
        <vt:lpwstr>_Toc175381443</vt:lpwstr>
      </vt:variant>
      <vt:variant>
        <vt:i4>1441848</vt:i4>
      </vt:variant>
      <vt:variant>
        <vt:i4>68</vt:i4>
      </vt:variant>
      <vt:variant>
        <vt:i4>0</vt:i4>
      </vt:variant>
      <vt:variant>
        <vt:i4>5</vt:i4>
      </vt:variant>
      <vt:variant>
        <vt:lpwstr/>
      </vt:variant>
      <vt:variant>
        <vt:lpwstr>_Toc175381442</vt:lpwstr>
      </vt:variant>
      <vt:variant>
        <vt:i4>1441848</vt:i4>
      </vt:variant>
      <vt:variant>
        <vt:i4>62</vt:i4>
      </vt:variant>
      <vt:variant>
        <vt:i4>0</vt:i4>
      </vt:variant>
      <vt:variant>
        <vt:i4>5</vt:i4>
      </vt:variant>
      <vt:variant>
        <vt:lpwstr/>
      </vt:variant>
      <vt:variant>
        <vt:lpwstr>_Toc175381441</vt:lpwstr>
      </vt:variant>
      <vt:variant>
        <vt:i4>1441848</vt:i4>
      </vt:variant>
      <vt:variant>
        <vt:i4>56</vt:i4>
      </vt:variant>
      <vt:variant>
        <vt:i4>0</vt:i4>
      </vt:variant>
      <vt:variant>
        <vt:i4>5</vt:i4>
      </vt:variant>
      <vt:variant>
        <vt:lpwstr/>
      </vt:variant>
      <vt:variant>
        <vt:lpwstr>_Toc175381440</vt:lpwstr>
      </vt:variant>
      <vt:variant>
        <vt:i4>1114168</vt:i4>
      </vt:variant>
      <vt:variant>
        <vt:i4>50</vt:i4>
      </vt:variant>
      <vt:variant>
        <vt:i4>0</vt:i4>
      </vt:variant>
      <vt:variant>
        <vt:i4>5</vt:i4>
      </vt:variant>
      <vt:variant>
        <vt:lpwstr/>
      </vt:variant>
      <vt:variant>
        <vt:lpwstr>_Toc175381439</vt:lpwstr>
      </vt:variant>
      <vt:variant>
        <vt:i4>1114168</vt:i4>
      </vt:variant>
      <vt:variant>
        <vt:i4>44</vt:i4>
      </vt:variant>
      <vt:variant>
        <vt:i4>0</vt:i4>
      </vt:variant>
      <vt:variant>
        <vt:i4>5</vt:i4>
      </vt:variant>
      <vt:variant>
        <vt:lpwstr/>
      </vt:variant>
      <vt:variant>
        <vt:lpwstr>_Toc175381438</vt:lpwstr>
      </vt:variant>
      <vt:variant>
        <vt:i4>1114168</vt:i4>
      </vt:variant>
      <vt:variant>
        <vt:i4>38</vt:i4>
      </vt:variant>
      <vt:variant>
        <vt:i4>0</vt:i4>
      </vt:variant>
      <vt:variant>
        <vt:i4>5</vt:i4>
      </vt:variant>
      <vt:variant>
        <vt:lpwstr/>
      </vt:variant>
      <vt:variant>
        <vt:lpwstr>_Toc175381437</vt:lpwstr>
      </vt:variant>
      <vt:variant>
        <vt:i4>1114168</vt:i4>
      </vt:variant>
      <vt:variant>
        <vt:i4>32</vt:i4>
      </vt:variant>
      <vt:variant>
        <vt:i4>0</vt:i4>
      </vt:variant>
      <vt:variant>
        <vt:i4>5</vt:i4>
      </vt:variant>
      <vt:variant>
        <vt:lpwstr/>
      </vt:variant>
      <vt:variant>
        <vt:lpwstr>_Toc175381436</vt:lpwstr>
      </vt:variant>
      <vt:variant>
        <vt:i4>1114168</vt:i4>
      </vt:variant>
      <vt:variant>
        <vt:i4>26</vt:i4>
      </vt:variant>
      <vt:variant>
        <vt:i4>0</vt:i4>
      </vt:variant>
      <vt:variant>
        <vt:i4>5</vt:i4>
      </vt:variant>
      <vt:variant>
        <vt:lpwstr/>
      </vt:variant>
      <vt:variant>
        <vt:lpwstr>_Toc175381435</vt:lpwstr>
      </vt:variant>
      <vt:variant>
        <vt:i4>1114168</vt:i4>
      </vt:variant>
      <vt:variant>
        <vt:i4>20</vt:i4>
      </vt:variant>
      <vt:variant>
        <vt:i4>0</vt:i4>
      </vt:variant>
      <vt:variant>
        <vt:i4>5</vt:i4>
      </vt:variant>
      <vt:variant>
        <vt:lpwstr/>
      </vt:variant>
      <vt:variant>
        <vt:lpwstr>_Toc175381434</vt:lpwstr>
      </vt:variant>
      <vt:variant>
        <vt:i4>1114168</vt:i4>
      </vt:variant>
      <vt:variant>
        <vt:i4>14</vt:i4>
      </vt:variant>
      <vt:variant>
        <vt:i4>0</vt:i4>
      </vt:variant>
      <vt:variant>
        <vt:i4>5</vt:i4>
      </vt:variant>
      <vt:variant>
        <vt:lpwstr/>
      </vt:variant>
      <vt:variant>
        <vt:lpwstr>_Toc175381433</vt:lpwstr>
      </vt:variant>
      <vt:variant>
        <vt:i4>1114168</vt:i4>
      </vt:variant>
      <vt:variant>
        <vt:i4>8</vt:i4>
      </vt:variant>
      <vt:variant>
        <vt:i4>0</vt:i4>
      </vt:variant>
      <vt:variant>
        <vt:i4>5</vt:i4>
      </vt:variant>
      <vt:variant>
        <vt:lpwstr/>
      </vt:variant>
      <vt:variant>
        <vt:lpwstr>_Toc175381432</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Administrator</dc:creator>
  <cp:lastModifiedBy>Humphries, Cathie</cp:lastModifiedBy>
  <cp:revision>7</cp:revision>
  <cp:lastPrinted>2011-09-27T01:08:00Z</cp:lastPrinted>
  <dcterms:created xsi:type="dcterms:W3CDTF">2011-09-26T22:08:00Z</dcterms:created>
  <dcterms:modified xsi:type="dcterms:W3CDTF">2011-11-10T22:06:00Z</dcterms:modified>
</cp:coreProperties>
</file>