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28254" w14:textId="77777777" w:rsidR="00CC410A" w:rsidRDefault="00E91BCC" w:rsidP="00A24F3A">
      <w:pPr>
        <w:spacing w:after="0"/>
        <w:jc w:val="center"/>
      </w:pPr>
      <w:r>
        <w:rPr>
          <w:noProof/>
          <w:lang w:eastAsia="en-AU"/>
        </w:rPr>
        <w:drawing>
          <wp:anchor distT="0" distB="0" distL="114300" distR="114300" simplePos="0" relativeHeight="251664384" behindDoc="1" locked="0" layoutInCell="1" allowOverlap="1" wp14:anchorId="5BD399B7" wp14:editId="5FBCE3A3">
            <wp:simplePos x="0" y="0"/>
            <wp:positionH relativeFrom="column">
              <wp:posOffset>-413385</wp:posOffset>
            </wp:positionH>
            <wp:positionV relativeFrom="paragraph">
              <wp:posOffset>-557530</wp:posOffset>
            </wp:positionV>
            <wp:extent cx="4347210" cy="62801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AC strip navy blue.jpg"/>
                    <pic:cNvPicPr/>
                  </pic:nvPicPr>
                  <pic:blipFill>
                    <a:blip r:embed="rId12">
                      <a:extLst>
                        <a:ext uri="{28A0092B-C50C-407E-A947-70E740481C1C}">
                          <a14:useLocalDpi xmlns:a14="http://schemas.microsoft.com/office/drawing/2010/main" val="0"/>
                        </a:ext>
                      </a:extLst>
                    </a:blip>
                    <a:stretch>
                      <a:fillRect/>
                    </a:stretch>
                  </pic:blipFill>
                  <pic:spPr>
                    <a:xfrm>
                      <a:off x="0" y="0"/>
                      <a:ext cx="4347210" cy="628015"/>
                    </a:xfrm>
                    <a:prstGeom prst="rect">
                      <a:avLst/>
                    </a:prstGeom>
                  </pic:spPr>
                </pic:pic>
              </a:graphicData>
            </a:graphic>
            <wp14:sizeRelH relativeFrom="page">
              <wp14:pctWidth>0</wp14:pctWidth>
            </wp14:sizeRelH>
            <wp14:sizeRelV relativeFrom="page">
              <wp14:pctHeight>0</wp14:pctHeight>
            </wp14:sizeRelV>
          </wp:anchor>
        </w:drawing>
      </w:r>
    </w:p>
    <w:p w14:paraId="452E9094" w14:textId="77777777" w:rsidR="00CC410A" w:rsidRDefault="00CC410A" w:rsidP="00CC410A">
      <w:pPr>
        <w:pStyle w:val="Heading1"/>
      </w:pPr>
    </w:p>
    <w:p w14:paraId="266D6338" w14:textId="77777777" w:rsidR="00CC410A" w:rsidRDefault="00CC410A" w:rsidP="00CC410A">
      <w:pPr>
        <w:pStyle w:val="Heading1"/>
      </w:pPr>
    </w:p>
    <w:p w14:paraId="4D8432EF" w14:textId="77777777" w:rsidR="00CC410A" w:rsidRDefault="00CC410A" w:rsidP="00CC410A">
      <w:pPr>
        <w:pStyle w:val="Heading1"/>
      </w:pPr>
    </w:p>
    <w:p w14:paraId="63A2E1A0" w14:textId="77777777" w:rsidR="00CC410A" w:rsidRPr="003C0A80" w:rsidRDefault="00CC410A" w:rsidP="00B742B8">
      <w:pPr>
        <w:pStyle w:val="Title"/>
      </w:pPr>
      <w:r w:rsidRPr="003C0A80">
        <w:t>Explanatory Statement</w:t>
      </w:r>
    </w:p>
    <w:p w14:paraId="7AB6990E" w14:textId="77777777" w:rsidR="00CC410A" w:rsidRDefault="00CC410A" w:rsidP="00B742B8">
      <w:pPr>
        <w:pStyle w:val="Title"/>
      </w:pPr>
    </w:p>
    <w:p w14:paraId="4A1A976F" w14:textId="766F5851" w:rsidR="00CC410A" w:rsidRPr="00B742B8" w:rsidRDefault="00CC410A" w:rsidP="00B742B8">
      <w:pPr>
        <w:pStyle w:val="Title"/>
        <w:rPr>
          <w:sz w:val="44"/>
          <w:szCs w:val="44"/>
        </w:rPr>
      </w:pPr>
      <w:r w:rsidRPr="00B742B8">
        <w:rPr>
          <w:sz w:val="44"/>
          <w:szCs w:val="44"/>
        </w:rPr>
        <w:t xml:space="preserve">Public Interest Determinations 12 and 12A </w:t>
      </w:r>
    </w:p>
    <w:p w14:paraId="2B431F69" w14:textId="77777777" w:rsidR="00A47FDD" w:rsidRPr="00A47FDD" w:rsidRDefault="00A47FDD" w:rsidP="00A47FDD">
      <w:pPr>
        <w:pStyle w:val="Title"/>
        <w:rPr>
          <w:bCs/>
          <w:i/>
          <w:iCs/>
          <w:color w:val="000000" w:themeColor="text1"/>
          <w:spacing w:val="15"/>
          <w:sz w:val="36"/>
          <w:szCs w:val="36"/>
        </w:rPr>
      </w:pPr>
      <w:r w:rsidRPr="00A47FDD">
        <w:rPr>
          <w:bCs/>
          <w:i/>
          <w:iCs/>
          <w:color w:val="000000" w:themeColor="text1"/>
          <w:spacing w:val="15"/>
          <w:sz w:val="36"/>
          <w:szCs w:val="36"/>
        </w:rPr>
        <w:t xml:space="preserve">Legislative Instruments Act 2003 </w:t>
      </w:r>
      <w:r w:rsidRPr="00A47FDD">
        <w:rPr>
          <w:bCs/>
          <w:iCs/>
          <w:color w:val="000000" w:themeColor="text1"/>
          <w:spacing w:val="15"/>
          <w:sz w:val="36"/>
          <w:szCs w:val="36"/>
        </w:rPr>
        <w:t>(</w:t>
      </w:r>
      <w:proofErr w:type="spellStart"/>
      <w:r w:rsidRPr="00A47FDD">
        <w:rPr>
          <w:bCs/>
          <w:iCs/>
          <w:color w:val="000000" w:themeColor="text1"/>
          <w:spacing w:val="15"/>
          <w:sz w:val="36"/>
          <w:szCs w:val="36"/>
        </w:rPr>
        <w:t>Cth</w:t>
      </w:r>
      <w:proofErr w:type="spellEnd"/>
      <w:r w:rsidRPr="00A47FDD">
        <w:rPr>
          <w:bCs/>
          <w:iCs/>
          <w:color w:val="000000" w:themeColor="text1"/>
          <w:spacing w:val="15"/>
          <w:sz w:val="36"/>
          <w:szCs w:val="36"/>
        </w:rPr>
        <w:t>), s26</w:t>
      </w:r>
    </w:p>
    <w:p w14:paraId="50CB9E10" w14:textId="77777777" w:rsidR="00CC410A" w:rsidRDefault="00CC410A" w:rsidP="006455E4">
      <w:pPr>
        <w:pStyle w:val="Subtitle"/>
      </w:pPr>
    </w:p>
    <w:p w14:paraId="2E7BB922" w14:textId="77777777" w:rsidR="00CC410A" w:rsidRDefault="00CC410A" w:rsidP="006455E4">
      <w:pPr>
        <w:pStyle w:val="Subtitle"/>
      </w:pPr>
    </w:p>
    <w:p w14:paraId="5B7A27B7" w14:textId="77777777" w:rsidR="00CC410A" w:rsidRDefault="00CC410A" w:rsidP="006455E4">
      <w:pPr>
        <w:pStyle w:val="Subtitle"/>
      </w:pPr>
    </w:p>
    <w:p w14:paraId="78527390" w14:textId="77777777" w:rsidR="00CC410A" w:rsidRDefault="00CC410A" w:rsidP="006455E4">
      <w:pPr>
        <w:pStyle w:val="Subtitle"/>
      </w:pPr>
    </w:p>
    <w:p w14:paraId="0E286496" w14:textId="77777777" w:rsidR="00CC410A" w:rsidRDefault="00CC410A" w:rsidP="006455E4">
      <w:pPr>
        <w:pStyle w:val="Subtitle"/>
      </w:pPr>
    </w:p>
    <w:p w14:paraId="3EA778FA" w14:textId="77777777" w:rsidR="00CC410A" w:rsidRDefault="00CC410A" w:rsidP="006455E4">
      <w:pPr>
        <w:pStyle w:val="Subtitle"/>
      </w:pPr>
    </w:p>
    <w:p w14:paraId="39D8E849" w14:textId="77777777" w:rsidR="00CC410A" w:rsidRDefault="00CC410A" w:rsidP="006455E4">
      <w:pPr>
        <w:pStyle w:val="Subtitle"/>
      </w:pPr>
    </w:p>
    <w:p w14:paraId="51540DB6" w14:textId="77777777" w:rsidR="00CC410A" w:rsidRDefault="00CC410A" w:rsidP="006455E4">
      <w:pPr>
        <w:pStyle w:val="Subtitle"/>
      </w:pPr>
    </w:p>
    <w:p w14:paraId="555DDA5A" w14:textId="77777777" w:rsidR="00A47FDD" w:rsidRDefault="00A47FDD" w:rsidP="006455E4">
      <w:pPr>
        <w:pStyle w:val="Subtitle"/>
      </w:pPr>
    </w:p>
    <w:p w14:paraId="25028353" w14:textId="77777777" w:rsidR="006455E4" w:rsidRDefault="006455E4" w:rsidP="006455E4">
      <w:pPr>
        <w:pStyle w:val="Subtitle"/>
      </w:pPr>
    </w:p>
    <w:p w14:paraId="56C67189" w14:textId="77777777" w:rsidR="006455E4" w:rsidRPr="006455E4" w:rsidRDefault="006455E4" w:rsidP="006455E4">
      <w:pPr>
        <w:pStyle w:val="Subtitle"/>
      </w:pPr>
    </w:p>
    <w:p w14:paraId="0467AAED" w14:textId="3CFDB20E" w:rsidR="006455E4" w:rsidRDefault="00CC410A" w:rsidP="006455E4">
      <w:pPr>
        <w:pStyle w:val="Subtitle"/>
        <w:rPr>
          <w:bCs/>
        </w:rPr>
      </w:pPr>
      <w:r w:rsidRPr="00CC410A">
        <w:t>December 20</w:t>
      </w:r>
      <w:r>
        <w:rPr>
          <w:bCs/>
        </w:rPr>
        <w:t>11</w:t>
      </w:r>
    </w:p>
    <w:p w14:paraId="6BA49C06" w14:textId="77777777" w:rsidR="006455E4" w:rsidRPr="006455E4" w:rsidRDefault="006455E4" w:rsidP="006455E4">
      <w:pPr>
        <w:sectPr w:rsidR="006455E4" w:rsidRPr="006455E4" w:rsidSect="00B742B8">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6" w:footer="706" w:gutter="0"/>
          <w:cols w:space="720"/>
          <w:titlePg/>
        </w:sectPr>
      </w:pPr>
    </w:p>
    <w:p w14:paraId="76B909A7" w14:textId="4CD4AA0F" w:rsidR="00B90BEB" w:rsidRPr="001C2872" w:rsidRDefault="00CC410A" w:rsidP="00B90BEB">
      <w:pPr>
        <w:pStyle w:val="Heading1"/>
        <w:jc w:val="center"/>
        <w:rPr>
          <w:rFonts w:eastAsiaTheme="minorHAnsi"/>
        </w:rPr>
      </w:pPr>
      <w:r w:rsidRPr="00CC410A">
        <w:t>Explanatory Statement</w:t>
      </w:r>
      <w:r w:rsidR="00B90BEB" w:rsidRPr="00B90BEB">
        <w:rPr>
          <w:sz w:val="44"/>
          <w:szCs w:val="44"/>
        </w:rPr>
        <w:t xml:space="preserve"> </w:t>
      </w:r>
      <w:r w:rsidR="00B90BEB">
        <w:rPr>
          <w:sz w:val="44"/>
          <w:szCs w:val="44"/>
        </w:rPr>
        <w:br/>
      </w:r>
      <w:r w:rsidR="00B90BEB" w:rsidRPr="001C2872">
        <w:rPr>
          <w:rFonts w:eastAsiaTheme="minorHAnsi"/>
        </w:rPr>
        <w:t>Public Interest Determination</w:t>
      </w:r>
      <w:r w:rsidR="004F65D1">
        <w:rPr>
          <w:rFonts w:eastAsiaTheme="minorHAnsi"/>
        </w:rPr>
        <w:t>s</w:t>
      </w:r>
      <w:r w:rsidR="00B90BEB" w:rsidRPr="001C2872">
        <w:rPr>
          <w:rFonts w:eastAsiaTheme="minorHAnsi"/>
        </w:rPr>
        <w:t xml:space="preserve"> </w:t>
      </w:r>
      <w:proofErr w:type="spellStart"/>
      <w:r w:rsidR="00B90BEB" w:rsidRPr="001C2872">
        <w:rPr>
          <w:rFonts w:eastAsiaTheme="minorHAnsi"/>
        </w:rPr>
        <w:t>No.</w:t>
      </w:r>
      <w:r w:rsidR="00B90BEB">
        <w:rPr>
          <w:rFonts w:eastAsiaTheme="minorHAnsi"/>
        </w:rPr>
        <w:t>s</w:t>
      </w:r>
      <w:proofErr w:type="spellEnd"/>
      <w:r w:rsidR="00B90BEB" w:rsidRPr="001C2872">
        <w:rPr>
          <w:rFonts w:eastAsiaTheme="minorHAnsi"/>
        </w:rPr>
        <w:t xml:space="preserve"> 12</w:t>
      </w:r>
      <w:r w:rsidR="00B90BEB">
        <w:rPr>
          <w:rFonts w:eastAsiaTheme="minorHAnsi"/>
        </w:rPr>
        <w:t xml:space="preserve"> and 12A</w:t>
      </w:r>
    </w:p>
    <w:p w14:paraId="33B431B9" w14:textId="77777777" w:rsidR="00B90BEB" w:rsidRPr="001C2872" w:rsidRDefault="00B90BEB" w:rsidP="00B90BEB">
      <w:pPr>
        <w:pStyle w:val="Heading2"/>
        <w:jc w:val="center"/>
      </w:pPr>
      <w:r w:rsidRPr="001C2872">
        <w:t>Collection of Family, Social and Medical Histories</w:t>
      </w:r>
    </w:p>
    <w:p w14:paraId="22E448F8" w14:textId="77777777" w:rsidR="00B90BEB" w:rsidRPr="001C2872" w:rsidRDefault="00B90BEB" w:rsidP="00B90BEB">
      <w:pPr>
        <w:pStyle w:val="Heading3"/>
        <w:jc w:val="center"/>
      </w:pPr>
      <w:r w:rsidRPr="00B742B8">
        <w:t xml:space="preserve">Legislative Instruments Act 2003 </w:t>
      </w:r>
      <w:r w:rsidRPr="00B742B8">
        <w:rPr>
          <w:i w:val="0"/>
        </w:rPr>
        <w:t>(</w:t>
      </w:r>
      <w:proofErr w:type="spellStart"/>
      <w:r w:rsidRPr="00B742B8">
        <w:rPr>
          <w:i w:val="0"/>
        </w:rPr>
        <w:t>Cth</w:t>
      </w:r>
      <w:proofErr w:type="spellEnd"/>
      <w:r w:rsidRPr="00B742B8">
        <w:rPr>
          <w:i w:val="0"/>
        </w:rPr>
        <w:t>), s26</w:t>
      </w:r>
    </w:p>
    <w:tbl>
      <w:tblPr>
        <w:tblW w:w="0" w:type="auto"/>
        <w:tblLook w:val="04A0" w:firstRow="1" w:lastRow="0" w:firstColumn="1" w:lastColumn="0" w:noHBand="0" w:noVBand="1"/>
      </w:tblPr>
      <w:tblGrid>
        <w:gridCol w:w="8982"/>
      </w:tblGrid>
      <w:tr w:rsidR="00B90BEB" w:rsidRPr="001C2872" w14:paraId="0E496BFA" w14:textId="77777777" w:rsidTr="00B742B8">
        <w:tc>
          <w:tcPr>
            <w:tcW w:w="9242" w:type="dxa"/>
            <w:tcBorders>
              <w:top w:val="single" w:sz="4" w:space="0" w:color="auto"/>
              <w:left w:val="nil"/>
              <w:right w:val="nil"/>
            </w:tcBorders>
          </w:tcPr>
          <w:p w14:paraId="2AD025DD" w14:textId="77777777" w:rsidR="00B90BEB" w:rsidRPr="00B742B8" w:rsidRDefault="00B90BEB" w:rsidP="002572E0">
            <w:pPr>
              <w:spacing w:before="120" w:after="120"/>
              <w:rPr>
                <w:rFonts w:cstheme="minorHAnsi"/>
                <w:b/>
                <w:sz w:val="2"/>
                <w:szCs w:val="2"/>
              </w:rPr>
            </w:pPr>
          </w:p>
        </w:tc>
      </w:tr>
    </w:tbl>
    <w:p w14:paraId="2D686ED8" w14:textId="13CDC644" w:rsidR="00CC410A" w:rsidRPr="003C0A80" w:rsidRDefault="00CC410A" w:rsidP="00B742B8">
      <w:pPr>
        <w:pStyle w:val="Heading1"/>
        <w:tabs>
          <w:tab w:val="left" w:pos="709"/>
        </w:tabs>
        <w:ind w:left="709" w:hanging="709"/>
      </w:pPr>
      <w:r w:rsidRPr="003C0A80">
        <w:t>1.</w:t>
      </w:r>
      <w:r>
        <w:tab/>
      </w:r>
      <w:r w:rsidRPr="003C0A80">
        <w:rPr>
          <w:rStyle w:val="Heading1Char"/>
          <w:b/>
          <w:bCs/>
        </w:rPr>
        <w:t xml:space="preserve">Purpose </w:t>
      </w:r>
      <w:r>
        <w:rPr>
          <w:rStyle w:val="Heading1Char"/>
          <w:b/>
          <w:bCs/>
        </w:rPr>
        <w:t>a</w:t>
      </w:r>
      <w:r w:rsidRPr="003C0A80">
        <w:rPr>
          <w:rStyle w:val="Heading1Char"/>
          <w:b/>
          <w:bCs/>
        </w:rPr>
        <w:t xml:space="preserve">nd </w:t>
      </w:r>
      <w:r>
        <w:rPr>
          <w:rStyle w:val="Heading1Char"/>
          <w:b/>
          <w:bCs/>
        </w:rPr>
        <w:t>a</w:t>
      </w:r>
      <w:r w:rsidRPr="003C0A80">
        <w:rPr>
          <w:rStyle w:val="Heading1Char"/>
          <w:b/>
          <w:bCs/>
        </w:rPr>
        <w:t>uthority</w:t>
      </w:r>
    </w:p>
    <w:p w14:paraId="1A7130EF" w14:textId="41002DD9" w:rsidR="00CC410A" w:rsidRPr="003C0A80" w:rsidRDefault="00CC410A" w:rsidP="00B742B8">
      <w:pPr>
        <w:pStyle w:val="Heading2"/>
        <w:tabs>
          <w:tab w:val="left" w:pos="709"/>
        </w:tabs>
        <w:ind w:left="709" w:hanging="709"/>
      </w:pPr>
      <w:r w:rsidRPr="003C0A80">
        <w:t>1.1</w:t>
      </w:r>
      <w:r w:rsidRPr="003C0A80">
        <w:tab/>
      </w:r>
      <w:r w:rsidRPr="001A4995">
        <w:t xml:space="preserve">Public Interest Determinations </w:t>
      </w:r>
      <w:r w:rsidR="00F87D28" w:rsidRPr="001A4995">
        <w:t>1</w:t>
      </w:r>
      <w:r w:rsidR="00F87D28">
        <w:t>2</w:t>
      </w:r>
      <w:r w:rsidR="00F87D28" w:rsidRPr="001A4995">
        <w:t xml:space="preserve"> </w:t>
      </w:r>
      <w:r w:rsidRPr="001A4995">
        <w:t xml:space="preserve">and </w:t>
      </w:r>
      <w:r w:rsidR="00F87D28" w:rsidRPr="001A4995">
        <w:t>1</w:t>
      </w:r>
      <w:r w:rsidR="00F87D28">
        <w:t>2</w:t>
      </w:r>
      <w:r w:rsidR="00F87D28" w:rsidRPr="001A4995">
        <w:t>A</w:t>
      </w:r>
    </w:p>
    <w:p w14:paraId="036EF9D9" w14:textId="5961CD89" w:rsidR="00CC410A" w:rsidRPr="00CC410A" w:rsidRDefault="00CC410A" w:rsidP="00CC410A">
      <w:pPr>
        <w:tabs>
          <w:tab w:val="left" w:pos="2730"/>
        </w:tabs>
      </w:pPr>
      <w:r w:rsidRPr="00CC410A">
        <w:t xml:space="preserve">This explanatory statement has been drafted for the purpose of fulfilling the Privacy Commissioner’s obligations under </w:t>
      </w:r>
      <w:proofErr w:type="gramStart"/>
      <w:r w:rsidRPr="00CC410A">
        <w:t>s26(</w:t>
      </w:r>
      <w:proofErr w:type="gramEnd"/>
      <w:r w:rsidRPr="00CC410A">
        <w:t xml:space="preserve">1) of the </w:t>
      </w:r>
      <w:r w:rsidRPr="00CC410A">
        <w:rPr>
          <w:i/>
        </w:rPr>
        <w:t xml:space="preserve">Legislative Instruments Act 2003 </w:t>
      </w:r>
      <w:r w:rsidRPr="00CC410A">
        <w:t>(</w:t>
      </w:r>
      <w:proofErr w:type="spellStart"/>
      <w:r w:rsidRPr="00CC410A">
        <w:t>Cth</w:t>
      </w:r>
      <w:proofErr w:type="spellEnd"/>
      <w:r w:rsidRPr="00CC410A">
        <w:t>)</w:t>
      </w:r>
      <w:r w:rsidR="00B90BEB">
        <w:rPr>
          <w:rStyle w:val="FootnoteReference"/>
        </w:rPr>
        <w:footnoteReference w:id="2"/>
      </w:r>
      <w:r w:rsidRPr="00CC410A">
        <w:t>.</w:t>
      </w:r>
    </w:p>
    <w:p w14:paraId="5373B613" w14:textId="0EF35E98" w:rsidR="00CC410A" w:rsidRPr="00CC410A" w:rsidRDefault="00CC410A" w:rsidP="00CC410A">
      <w:pPr>
        <w:tabs>
          <w:tab w:val="left" w:pos="2730"/>
        </w:tabs>
      </w:pPr>
      <w:r w:rsidRPr="00CC410A">
        <w:t xml:space="preserve">This explanatory statement refers to two </w:t>
      </w:r>
      <w:r>
        <w:t xml:space="preserve">public interest </w:t>
      </w:r>
      <w:r w:rsidRPr="00CC410A">
        <w:t>determinations</w:t>
      </w:r>
      <w:r>
        <w:t xml:space="preserve"> (PIDs)</w:t>
      </w:r>
      <w:r w:rsidRPr="00CC410A">
        <w:t xml:space="preserve"> issued under s72 of the </w:t>
      </w:r>
      <w:r w:rsidRPr="00CC410A">
        <w:rPr>
          <w:i/>
        </w:rPr>
        <w:t>Privacy Act 1988</w:t>
      </w:r>
      <w:r w:rsidRPr="00CC410A">
        <w:t xml:space="preserve"> (</w:t>
      </w:r>
      <w:proofErr w:type="spellStart"/>
      <w:r w:rsidRPr="00CC410A">
        <w:t>Cth</w:t>
      </w:r>
      <w:proofErr w:type="spellEnd"/>
      <w:r w:rsidRPr="00CC410A">
        <w:t>)</w:t>
      </w:r>
      <w:r w:rsidR="00B1784E">
        <w:rPr>
          <w:rStyle w:val="FootnoteReference"/>
        </w:rPr>
        <w:footnoteReference w:id="3"/>
      </w:r>
      <w:r w:rsidRPr="00CC410A">
        <w:t xml:space="preserve"> (the Privacy Act):</w:t>
      </w:r>
    </w:p>
    <w:p w14:paraId="191CD23E" w14:textId="50462FDD" w:rsidR="00CC410A" w:rsidRPr="00CC410A" w:rsidRDefault="00CC410A" w:rsidP="00B742B8">
      <w:pPr>
        <w:pStyle w:val="ListParagraph"/>
      </w:pPr>
      <w:r w:rsidRPr="00CC410A">
        <w:t>P</w:t>
      </w:r>
      <w:r>
        <w:t>ID</w:t>
      </w:r>
      <w:r w:rsidRPr="00CC410A">
        <w:t xml:space="preserve"> 1</w:t>
      </w:r>
      <w:r>
        <w:t>2, and</w:t>
      </w:r>
    </w:p>
    <w:p w14:paraId="01BA581D" w14:textId="35D8A281" w:rsidR="00CC410A" w:rsidRPr="00CC410A" w:rsidRDefault="00CC410A" w:rsidP="00B742B8">
      <w:pPr>
        <w:pStyle w:val="ListParagraph"/>
      </w:pPr>
      <w:r w:rsidRPr="00CC410A">
        <w:t>P</w:t>
      </w:r>
      <w:r>
        <w:t>ID</w:t>
      </w:r>
      <w:r w:rsidRPr="00CC410A">
        <w:t xml:space="preserve"> 1</w:t>
      </w:r>
      <w:r>
        <w:t>2</w:t>
      </w:r>
      <w:r w:rsidRPr="00CC410A">
        <w:t>A</w:t>
      </w:r>
    </w:p>
    <w:p w14:paraId="64D2FDDD" w14:textId="77777777" w:rsidR="00CC410A" w:rsidRPr="00CC410A" w:rsidRDefault="00CC410A" w:rsidP="00B742B8">
      <w:pPr>
        <w:pStyle w:val="Heading2"/>
      </w:pPr>
      <w:r w:rsidRPr="00CC410A">
        <w:t>1.2</w:t>
      </w:r>
      <w:r w:rsidRPr="00CC410A">
        <w:tab/>
        <w:t xml:space="preserve">Purpose </w:t>
      </w:r>
    </w:p>
    <w:p w14:paraId="0D62035F" w14:textId="6D3E5AB0" w:rsidR="00CC410A" w:rsidRPr="00CC410A" w:rsidRDefault="00CC410A" w:rsidP="00CC410A">
      <w:pPr>
        <w:tabs>
          <w:tab w:val="left" w:pos="2730"/>
        </w:tabs>
      </w:pPr>
      <w:r w:rsidRPr="00CC410A">
        <w:t>The purpose of PID 1</w:t>
      </w:r>
      <w:r>
        <w:t>2</w:t>
      </w:r>
      <w:r w:rsidRPr="00CC410A">
        <w:t xml:space="preserve"> is to exempt the applicant, Dr </w:t>
      </w:r>
      <w:r>
        <w:t>Steve</w:t>
      </w:r>
      <w:r w:rsidRPr="00CC410A">
        <w:t xml:space="preserve"> </w:t>
      </w:r>
      <w:proofErr w:type="spellStart"/>
      <w:r>
        <w:t>Hambleton</w:t>
      </w:r>
      <w:proofErr w:type="spellEnd"/>
      <w:r w:rsidRPr="00CC410A">
        <w:t>, a general practitioner</w:t>
      </w:r>
      <w:r w:rsidR="00B90BEB">
        <w:t>,</w:t>
      </w:r>
      <w:r w:rsidRPr="00CC410A">
        <w:t xml:space="preserve"> a </w:t>
      </w:r>
      <w:r w:rsidRPr="00B742B8">
        <w:rPr>
          <w:i/>
        </w:rPr>
        <w:t>‘health service’</w:t>
      </w:r>
      <w:r w:rsidRPr="00CC410A">
        <w:t xml:space="preserve"> provider and </w:t>
      </w:r>
      <w:r w:rsidRPr="00B742B8">
        <w:rPr>
          <w:i/>
        </w:rPr>
        <w:t>‘organisation’</w:t>
      </w:r>
      <w:r w:rsidRPr="00CC410A">
        <w:t xml:space="preserve"> for the purposes of the Privacy Act, from</w:t>
      </w:r>
      <w:r w:rsidR="004F65D1">
        <w:t xml:space="preserve"> the obligation to</w:t>
      </w:r>
      <w:r w:rsidRPr="00CC410A">
        <w:t xml:space="preserve"> comply with National Privacy Principle (NPP) 10.1 in certain circumstances.</w:t>
      </w:r>
      <w:r w:rsidRPr="00CC410A">
        <w:rPr>
          <w:vertAlign w:val="superscript"/>
        </w:rPr>
        <w:footnoteReference w:id="4"/>
      </w:r>
      <w:r w:rsidRPr="00CC410A">
        <w:t xml:space="preserve">  NPP 10.1 prohibits the collection of ‘sensitive information’ (including health information) unless a prescribed exception applies</w:t>
      </w:r>
      <w:r>
        <w:t>,</w:t>
      </w:r>
      <w:r w:rsidRPr="00CC410A">
        <w:t xml:space="preserve"> such as where the individual consents.  PID 1</w:t>
      </w:r>
      <w:r>
        <w:t>2</w:t>
      </w:r>
      <w:r w:rsidRPr="00CC410A">
        <w:t xml:space="preserve"> permits the applicant to collect health information from an individual (a </w:t>
      </w:r>
      <w:r w:rsidR="004F65D1">
        <w:t>‘</w:t>
      </w:r>
      <w:r w:rsidRPr="00CC410A">
        <w:t>health consumer</w:t>
      </w:r>
      <w:r w:rsidR="004F65D1">
        <w:t>’</w:t>
      </w:r>
      <w:r w:rsidRPr="00CC410A">
        <w:t xml:space="preserve">), or from a person responsible for the health consumer, about another individual (a </w:t>
      </w:r>
      <w:r w:rsidR="004F65D1">
        <w:t>‘</w:t>
      </w:r>
      <w:r w:rsidRPr="00CC410A">
        <w:t>third party</w:t>
      </w:r>
      <w:r w:rsidR="004F65D1">
        <w:t>’</w:t>
      </w:r>
      <w:r w:rsidRPr="00CC410A">
        <w:t>) in circumstances where:</w:t>
      </w:r>
    </w:p>
    <w:p w14:paraId="04281634" w14:textId="77777777" w:rsidR="00CC410A" w:rsidRPr="00B742B8" w:rsidRDefault="00CC410A" w:rsidP="00CC410A">
      <w:pPr>
        <w:numPr>
          <w:ilvl w:val="0"/>
          <w:numId w:val="5"/>
        </w:numPr>
        <w:tabs>
          <w:tab w:val="left" w:pos="2730"/>
        </w:tabs>
        <w:rPr>
          <w:i/>
        </w:rPr>
      </w:pPr>
      <w:r w:rsidRPr="00B742B8">
        <w:rPr>
          <w:i/>
        </w:rPr>
        <w:t>the collection of the third party’s information into the health consumer’s family, social or medical history is necessary for the applicant to provide a health service directly to the health consumer; and</w:t>
      </w:r>
    </w:p>
    <w:p w14:paraId="10E86F55" w14:textId="77777777" w:rsidR="00CC410A" w:rsidRPr="00B742B8" w:rsidRDefault="00CC410A" w:rsidP="00CC410A">
      <w:pPr>
        <w:numPr>
          <w:ilvl w:val="0"/>
          <w:numId w:val="5"/>
        </w:numPr>
        <w:tabs>
          <w:tab w:val="left" w:pos="2730"/>
        </w:tabs>
        <w:rPr>
          <w:i/>
        </w:rPr>
      </w:pPr>
      <w:r w:rsidRPr="00B742B8">
        <w:rPr>
          <w:i/>
        </w:rPr>
        <w:t>the third party’s information is relevant to the health consumer’s family, social or medical history; and</w:t>
      </w:r>
    </w:p>
    <w:p w14:paraId="4003CA53" w14:textId="77777777" w:rsidR="00CC410A" w:rsidRPr="00B742B8" w:rsidRDefault="00CC410A" w:rsidP="00CC410A">
      <w:pPr>
        <w:numPr>
          <w:ilvl w:val="0"/>
          <w:numId w:val="5"/>
        </w:numPr>
        <w:tabs>
          <w:tab w:val="left" w:pos="2730"/>
        </w:tabs>
        <w:rPr>
          <w:i/>
        </w:rPr>
      </w:pPr>
      <w:r w:rsidRPr="00B742B8">
        <w:rPr>
          <w:i/>
        </w:rPr>
        <w:t>the applicant collects the third party’s information without obtaining the consent of the third party; and</w:t>
      </w:r>
    </w:p>
    <w:p w14:paraId="6C759FB3" w14:textId="66FCEF30" w:rsidR="00CC410A" w:rsidRPr="00B742B8" w:rsidRDefault="00CC410A" w:rsidP="00CC410A">
      <w:pPr>
        <w:numPr>
          <w:ilvl w:val="0"/>
          <w:numId w:val="5"/>
        </w:numPr>
        <w:tabs>
          <w:tab w:val="left" w:pos="2730"/>
        </w:tabs>
        <w:rPr>
          <w:i/>
        </w:rPr>
      </w:pPr>
      <w:proofErr w:type="gramStart"/>
      <w:r w:rsidRPr="00B742B8">
        <w:rPr>
          <w:i/>
        </w:rPr>
        <w:t>the</w:t>
      </w:r>
      <w:proofErr w:type="gramEnd"/>
      <w:r w:rsidRPr="00B742B8">
        <w:rPr>
          <w:i/>
        </w:rPr>
        <w:t xml:space="preserve"> third party’s information is only collected from a person responsible for the health consumer if the health consumer is physically or legally incapable of providing the information themselves.</w:t>
      </w:r>
      <w:r w:rsidRPr="00B742B8">
        <w:rPr>
          <w:i/>
          <w:vertAlign w:val="superscript"/>
        </w:rPr>
        <w:footnoteReference w:id="5"/>
      </w:r>
    </w:p>
    <w:p w14:paraId="777C9627" w14:textId="58731447" w:rsidR="00CC410A" w:rsidRPr="00CC410A" w:rsidRDefault="00CC410A" w:rsidP="00CC410A">
      <w:pPr>
        <w:tabs>
          <w:tab w:val="left" w:pos="2730"/>
        </w:tabs>
      </w:pPr>
      <w:r w:rsidRPr="00CC410A">
        <w:t>Consistent with s 72(4) of the Privacy Act, PID 1</w:t>
      </w:r>
      <w:r>
        <w:t>2</w:t>
      </w:r>
      <w:r w:rsidRPr="00CC410A">
        <w:t>A gives general effect to PID 1</w:t>
      </w:r>
      <w:r>
        <w:t>2</w:t>
      </w:r>
      <w:r w:rsidRPr="00CC410A">
        <w:t xml:space="preserve"> for other health service providers in the same circumstances.</w:t>
      </w:r>
    </w:p>
    <w:p w14:paraId="01994764" w14:textId="77777777" w:rsidR="00CC410A" w:rsidRPr="00CC410A" w:rsidRDefault="00CC410A" w:rsidP="00B742B8">
      <w:pPr>
        <w:pStyle w:val="Heading2"/>
      </w:pPr>
      <w:r w:rsidRPr="00CC410A">
        <w:t>1.3</w:t>
      </w:r>
      <w:r w:rsidRPr="00CC410A">
        <w:tab/>
        <w:t>Provisions for Public Interest Determinations</w:t>
      </w:r>
    </w:p>
    <w:p w14:paraId="7054661F" w14:textId="45E0F86D" w:rsidR="00CC410A" w:rsidRPr="00CC410A" w:rsidRDefault="00CC410A" w:rsidP="00CC410A">
      <w:pPr>
        <w:tabs>
          <w:tab w:val="left" w:pos="2730"/>
        </w:tabs>
      </w:pPr>
      <w:r w:rsidRPr="00CC410A">
        <w:t>The Privacy Act provides a mechanism for dealing with matters where the public interest in protecting the privacy of individuals</w:t>
      </w:r>
      <w:r w:rsidR="002572E0">
        <w:t xml:space="preserve"> needs to be considered in the context of </w:t>
      </w:r>
      <w:r w:rsidRPr="00CC410A">
        <w:t>other public interests</w:t>
      </w:r>
      <w:r w:rsidR="002572E0">
        <w:t>,</w:t>
      </w:r>
      <w:r w:rsidRPr="00CC410A">
        <w:t xml:space="preserve"> and where in some circumstances the protection of privacy should be set aside to some degree.  </w:t>
      </w:r>
    </w:p>
    <w:p w14:paraId="70DEA633" w14:textId="374ED707" w:rsidR="00CC410A" w:rsidRPr="00CC410A" w:rsidRDefault="00CC410A" w:rsidP="00CC410A">
      <w:pPr>
        <w:tabs>
          <w:tab w:val="left" w:pos="2730"/>
        </w:tabs>
      </w:pPr>
      <w:r w:rsidRPr="00CC410A">
        <w:t xml:space="preserve">This mechanism is given effect through the </w:t>
      </w:r>
      <w:r>
        <w:t>Information</w:t>
      </w:r>
      <w:r w:rsidRPr="00CC410A">
        <w:t xml:space="preserve"> Commissioner’s power to make a </w:t>
      </w:r>
      <w:r w:rsidR="004F65D1">
        <w:t>PID</w:t>
      </w:r>
      <w:r w:rsidR="002572E0">
        <w:t xml:space="preserve"> on the basis of an application made under s73 of the Privacy Act for such a determination</w:t>
      </w:r>
      <w:r w:rsidRPr="00CC410A">
        <w:t xml:space="preserve">.  The Commissioner may make a </w:t>
      </w:r>
      <w:r w:rsidR="004F65D1">
        <w:t>PID</w:t>
      </w:r>
      <w:r w:rsidRPr="00CC410A">
        <w:t xml:space="preserve"> setting aside the protection of the privacy of individuals by declaring that a specific act or practice of the organisation will not be a breach of </w:t>
      </w:r>
      <w:r w:rsidR="00F87D28">
        <w:t>certain</w:t>
      </w:r>
      <w:r w:rsidR="00F87D28" w:rsidRPr="00CC410A">
        <w:t xml:space="preserve"> </w:t>
      </w:r>
      <w:r w:rsidR="004F65D1">
        <w:t>NPPs</w:t>
      </w:r>
      <w:r w:rsidRPr="00CC410A">
        <w:t xml:space="preserve">.  Alternatively, the Commissioner may make a </w:t>
      </w:r>
      <w:r w:rsidR="004F65D1">
        <w:t>PID</w:t>
      </w:r>
      <w:r w:rsidRPr="00CC410A">
        <w:t xml:space="preserve"> dismissing the application thereby not setting aside the protection of the privacy of individuals.  </w:t>
      </w:r>
    </w:p>
    <w:p w14:paraId="5B02C5D1" w14:textId="77777777" w:rsidR="00CC410A" w:rsidRPr="00CC410A" w:rsidRDefault="00CC410A" w:rsidP="00B742B8">
      <w:pPr>
        <w:pStyle w:val="Heading2"/>
      </w:pPr>
      <w:r w:rsidRPr="00CC410A">
        <w:t>1.4</w:t>
      </w:r>
      <w:r w:rsidRPr="00CC410A">
        <w:tab/>
        <w:t>Authority for making these determinations</w:t>
      </w:r>
    </w:p>
    <w:p w14:paraId="146BD412" w14:textId="287B698B" w:rsidR="0083675E" w:rsidRDefault="00CC410A" w:rsidP="00B742B8">
      <w:r w:rsidRPr="00CC410A">
        <w:t xml:space="preserve">The authority for the </w:t>
      </w:r>
      <w:r>
        <w:t>Privacy</w:t>
      </w:r>
      <w:r w:rsidRPr="00CC410A">
        <w:t xml:space="preserve"> Commissioner to make </w:t>
      </w:r>
      <w:r>
        <w:t>PID</w:t>
      </w:r>
      <w:r w:rsidR="00A1710A">
        <w:t>s</w:t>
      </w:r>
      <w:r w:rsidRPr="00CC410A">
        <w:t xml:space="preserve"> rests in</w:t>
      </w:r>
      <w:r w:rsidR="0083675E">
        <w:t>:</w:t>
      </w:r>
    </w:p>
    <w:p w14:paraId="07B374A9" w14:textId="77777777" w:rsidR="0083675E" w:rsidRDefault="0083675E" w:rsidP="00B742B8">
      <w:pPr>
        <w:pStyle w:val="ListParagraph"/>
      </w:pPr>
      <w:r>
        <w:t xml:space="preserve">s12 of the </w:t>
      </w:r>
      <w:r w:rsidRPr="00B742B8">
        <w:rPr>
          <w:i/>
        </w:rPr>
        <w:t xml:space="preserve">Australian </w:t>
      </w:r>
      <w:r w:rsidR="00B1784E" w:rsidRPr="00B742B8">
        <w:rPr>
          <w:i/>
        </w:rPr>
        <w:t>Information</w:t>
      </w:r>
      <w:r w:rsidRPr="00B742B8">
        <w:rPr>
          <w:i/>
        </w:rPr>
        <w:t xml:space="preserve"> Commissioner Act 2010</w:t>
      </w:r>
      <w:r>
        <w:t xml:space="preserve"> (</w:t>
      </w:r>
      <w:proofErr w:type="spellStart"/>
      <w:r>
        <w:t>Cth</w:t>
      </w:r>
      <w:proofErr w:type="spellEnd"/>
      <w:r>
        <w:t>)</w:t>
      </w:r>
      <w:r w:rsidRPr="0083675E">
        <w:rPr>
          <w:rStyle w:val="FootnoteReference"/>
        </w:rPr>
        <w:t xml:space="preserve"> </w:t>
      </w:r>
      <w:r>
        <w:rPr>
          <w:rStyle w:val="FootnoteReference"/>
        </w:rPr>
        <w:footnoteReference w:id="6"/>
      </w:r>
      <w:r>
        <w:t xml:space="preserve"> (AIC Act), and</w:t>
      </w:r>
      <w:r w:rsidR="00CC410A" w:rsidRPr="00CC410A">
        <w:t xml:space="preserve"> </w:t>
      </w:r>
    </w:p>
    <w:p w14:paraId="0A8F1AC4" w14:textId="55AFD9CC" w:rsidR="00CC410A" w:rsidRDefault="00CC410A" w:rsidP="00B742B8">
      <w:pPr>
        <w:pStyle w:val="ListParagraph"/>
      </w:pPr>
      <w:proofErr w:type="gramStart"/>
      <w:r>
        <w:t>s</w:t>
      </w:r>
      <w:r w:rsidRPr="00CC410A">
        <w:t>72(</w:t>
      </w:r>
      <w:proofErr w:type="gramEnd"/>
      <w:r w:rsidRPr="00CC410A">
        <w:t xml:space="preserve">2) of the Privacy Act.  </w:t>
      </w:r>
    </w:p>
    <w:p w14:paraId="2F027A7D" w14:textId="77777777" w:rsidR="00CC410A" w:rsidRDefault="00CC410A" w:rsidP="00CC410A">
      <w:pPr>
        <w:tabs>
          <w:tab w:val="left" w:pos="2730"/>
        </w:tabs>
      </w:pPr>
      <w:r>
        <w:t xml:space="preserve">The Privacy Act provides that the Information Commissioner has certain functions and powers. </w:t>
      </w:r>
    </w:p>
    <w:p w14:paraId="0D21EA79" w14:textId="77777777" w:rsidR="00CC410A" w:rsidRDefault="00CC410A" w:rsidP="00CC410A">
      <w:pPr>
        <w:tabs>
          <w:tab w:val="left" w:pos="2730"/>
        </w:tabs>
      </w:pPr>
      <w:r>
        <w:t>Section 12 of the</w:t>
      </w:r>
      <w:r w:rsidR="0083675E">
        <w:t xml:space="preserve"> AIC Act relevantly provides that the Privacy Commissioner may exercise the </w:t>
      </w:r>
      <w:r w:rsidR="0083675E" w:rsidRPr="00B742B8">
        <w:rPr>
          <w:i/>
        </w:rPr>
        <w:t>‘privacy functions’</w:t>
      </w:r>
      <w:r w:rsidR="0083675E">
        <w:t xml:space="preserve">, </w:t>
      </w:r>
      <w:r w:rsidR="00B1784E">
        <w:t>including</w:t>
      </w:r>
      <w:r w:rsidR="0083675E">
        <w:t xml:space="preserve"> functions</w:t>
      </w:r>
      <w:r w:rsidR="00B1784E">
        <w:t xml:space="preserve"> conferred upon the I</w:t>
      </w:r>
      <w:r w:rsidR="0083675E">
        <w:t>nformation Commissioner by an Act that relate to the privacy of an individual.  The privacy functions include functions conferred on the Information Commissioner by the Privacy Act.</w:t>
      </w:r>
    </w:p>
    <w:p w14:paraId="692CEE5C" w14:textId="6B856F4C" w:rsidR="00CC410A" w:rsidRPr="00CC410A" w:rsidRDefault="00CC410A" w:rsidP="00CC410A">
      <w:pPr>
        <w:tabs>
          <w:tab w:val="left" w:pos="2730"/>
        </w:tabs>
      </w:pPr>
      <w:r>
        <w:t>S</w:t>
      </w:r>
      <w:r w:rsidRPr="00CC410A">
        <w:t>ection 72(2)</w:t>
      </w:r>
      <w:r w:rsidR="0083675E">
        <w:t xml:space="preserve"> of the Privacy Act</w:t>
      </w:r>
      <w:r w:rsidRPr="00CC410A">
        <w:t xml:space="preserve"> </w:t>
      </w:r>
      <w:r w:rsidR="00B1784E">
        <w:t>provides</w:t>
      </w:r>
      <w:r w:rsidR="00B1784E" w:rsidRPr="00CC410A">
        <w:t xml:space="preserve"> </w:t>
      </w:r>
      <w:r w:rsidRPr="00CC410A">
        <w:t xml:space="preserve">that the </w:t>
      </w:r>
      <w:r>
        <w:t xml:space="preserve">Information </w:t>
      </w:r>
      <w:r w:rsidRPr="00CC410A">
        <w:t>Commissioner may make a written determination about an organisation’s acts and practices if the Commissioner is satisfied that:</w:t>
      </w:r>
    </w:p>
    <w:p w14:paraId="7BC1276B" w14:textId="77777777" w:rsidR="00CC410A" w:rsidRPr="00B742B8" w:rsidRDefault="00CC410A" w:rsidP="00B742B8">
      <w:pPr>
        <w:tabs>
          <w:tab w:val="left" w:pos="709"/>
        </w:tabs>
        <w:ind w:left="1418" w:hanging="709"/>
        <w:rPr>
          <w:i/>
        </w:rPr>
      </w:pPr>
      <w:r w:rsidRPr="00B742B8">
        <w:rPr>
          <w:i/>
        </w:rPr>
        <w:t xml:space="preserve">(a) </w:t>
      </w:r>
      <w:r w:rsidRPr="00B742B8">
        <w:rPr>
          <w:i/>
        </w:rPr>
        <w:tab/>
      </w:r>
      <w:proofErr w:type="gramStart"/>
      <w:r w:rsidRPr="00B742B8">
        <w:rPr>
          <w:i/>
        </w:rPr>
        <w:t>an</w:t>
      </w:r>
      <w:proofErr w:type="gramEnd"/>
      <w:r w:rsidRPr="00B742B8">
        <w:rPr>
          <w:i/>
        </w:rPr>
        <w:t xml:space="preserve"> act or practice of an organisation breaches, or may breach, an approved privacy code, or a National Privacy Principle, that binds the organisation; but</w:t>
      </w:r>
    </w:p>
    <w:p w14:paraId="3C123892" w14:textId="77777777" w:rsidR="00CC410A" w:rsidRPr="00B742B8" w:rsidRDefault="00CC410A" w:rsidP="00B742B8">
      <w:pPr>
        <w:tabs>
          <w:tab w:val="left" w:pos="709"/>
        </w:tabs>
        <w:ind w:left="1418" w:hanging="709"/>
        <w:rPr>
          <w:i/>
        </w:rPr>
      </w:pPr>
      <w:r w:rsidRPr="00B742B8">
        <w:rPr>
          <w:i/>
        </w:rPr>
        <w:t xml:space="preserve">(b) </w:t>
      </w:r>
      <w:r w:rsidRPr="00B742B8">
        <w:rPr>
          <w:i/>
        </w:rPr>
        <w:tab/>
      </w:r>
      <w:proofErr w:type="gramStart"/>
      <w:r w:rsidRPr="00B742B8">
        <w:rPr>
          <w:i/>
        </w:rPr>
        <w:t>the</w:t>
      </w:r>
      <w:proofErr w:type="gramEnd"/>
      <w:r w:rsidRPr="00B742B8">
        <w:rPr>
          <w:i/>
        </w:rPr>
        <w:t xml:space="preserve"> public interest in the organisation doing the act, or engaging in the practice, substantially outweighs the public interest in adhering to that code or Principle.</w:t>
      </w:r>
    </w:p>
    <w:p w14:paraId="221106E4" w14:textId="669BE9ED" w:rsidR="00CC410A" w:rsidRPr="00CC410A" w:rsidRDefault="00CC410A" w:rsidP="00CC410A">
      <w:pPr>
        <w:tabs>
          <w:tab w:val="left" w:pos="2730"/>
        </w:tabs>
      </w:pPr>
      <w:r w:rsidRPr="00CC410A">
        <w:t>Public Interest Determination 1</w:t>
      </w:r>
      <w:r>
        <w:t>2</w:t>
      </w:r>
      <w:r w:rsidRPr="00CC410A">
        <w:t xml:space="preserve">A is made pursuant to </w:t>
      </w:r>
      <w:proofErr w:type="gramStart"/>
      <w:r w:rsidRPr="00CC410A">
        <w:t>s72(</w:t>
      </w:r>
      <w:proofErr w:type="gramEnd"/>
      <w:r w:rsidRPr="00CC410A">
        <w:t>4) of the Privacy Act</w:t>
      </w:r>
      <w:r w:rsidR="000A2EA0">
        <w:t>,</w:t>
      </w:r>
      <w:r w:rsidRPr="00CC410A">
        <w:t xml:space="preserve"> which states that: </w:t>
      </w:r>
    </w:p>
    <w:p w14:paraId="0242281B" w14:textId="77777777" w:rsidR="00CC410A" w:rsidRPr="00B742B8" w:rsidRDefault="00CC410A" w:rsidP="00B742B8">
      <w:pPr>
        <w:tabs>
          <w:tab w:val="left" w:pos="2730"/>
        </w:tabs>
        <w:ind w:left="720"/>
        <w:rPr>
          <w:i/>
        </w:rPr>
      </w:pPr>
      <w:r w:rsidRPr="00B742B8">
        <w:rPr>
          <w:i/>
        </w:rPr>
        <w:t xml:space="preserve">The </w:t>
      </w:r>
      <w:r w:rsidR="0083675E" w:rsidRPr="00B742B8">
        <w:rPr>
          <w:i/>
        </w:rPr>
        <w:t xml:space="preserve">Information </w:t>
      </w:r>
      <w:r w:rsidRPr="00B742B8">
        <w:rPr>
          <w:i/>
        </w:rPr>
        <w:t>Commissioner may make a written determination that no organisation is taken to contravene section 16A if, while that determination is in force, an organisation does an act, or engages in a practice, that is the subject of a determination under subsection (2) in relation to that organisation or any other organisation.</w:t>
      </w:r>
    </w:p>
    <w:p w14:paraId="3F094E07" w14:textId="77777777" w:rsidR="00CC410A" w:rsidRDefault="00CC410A" w:rsidP="00CC410A">
      <w:pPr>
        <w:tabs>
          <w:tab w:val="left" w:pos="2730"/>
        </w:tabs>
        <w:rPr>
          <w:lang w:val="en-GB"/>
        </w:rPr>
      </w:pPr>
      <w:r w:rsidRPr="00CC410A">
        <w:rPr>
          <w:lang w:val="en-GB"/>
        </w:rPr>
        <w:t>All requirements under Part VI of the Privacy Act, including notice of receipt and consultation requirements, have been met.</w:t>
      </w:r>
    </w:p>
    <w:p w14:paraId="0EF6BB5B" w14:textId="77777777" w:rsidR="00CC410A" w:rsidRPr="004C51A5" w:rsidRDefault="00CC410A" w:rsidP="00B742B8">
      <w:pPr>
        <w:pStyle w:val="Heading2"/>
      </w:pPr>
      <w:r w:rsidRPr="003C0A80">
        <w:t>1.5</w:t>
      </w:r>
      <w:r w:rsidRPr="003C0A80">
        <w:tab/>
        <w:t>Application for a Public Interest Determination</w:t>
      </w:r>
    </w:p>
    <w:p w14:paraId="2A7E5293" w14:textId="066A26C2" w:rsidR="00CC410A" w:rsidRDefault="00CC410A" w:rsidP="00CC410A">
      <w:pPr>
        <w:tabs>
          <w:tab w:val="left" w:pos="2730"/>
        </w:tabs>
      </w:pPr>
      <w:r w:rsidRPr="00B1784E">
        <w:t xml:space="preserve">On </w:t>
      </w:r>
      <w:r w:rsidR="0083675E" w:rsidRPr="00B1784E">
        <w:t>14 October 2011</w:t>
      </w:r>
      <w:r w:rsidRPr="00B1784E">
        <w:t xml:space="preserve">, an application was made to the Privacy Commissioner under s73 of the Privacy Act for a </w:t>
      </w:r>
      <w:r w:rsidR="00B1784E" w:rsidRPr="00B742B8">
        <w:t>PID</w:t>
      </w:r>
      <w:r w:rsidRPr="00B1784E">
        <w:t xml:space="preserve"> that would, in effect, replace </w:t>
      </w:r>
      <w:r w:rsidR="00B1784E" w:rsidRPr="00B742B8">
        <w:t xml:space="preserve">the </w:t>
      </w:r>
      <w:r w:rsidRPr="00B1784E">
        <w:t xml:space="preserve">existing PIDs </w:t>
      </w:r>
      <w:r w:rsidR="0083675E" w:rsidRPr="00B1784E">
        <w:t>10</w:t>
      </w:r>
      <w:r w:rsidRPr="00B1784E">
        <w:t xml:space="preserve"> and </w:t>
      </w:r>
      <w:r w:rsidR="0083675E" w:rsidRPr="00B1784E">
        <w:t>10</w:t>
      </w:r>
      <w:r w:rsidRPr="00B1784E">
        <w:t>A</w:t>
      </w:r>
      <w:r w:rsidR="00B1784E" w:rsidRPr="00B742B8">
        <w:t xml:space="preserve">.  PIDs 10 and 10A </w:t>
      </w:r>
      <w:r w:rsidRPr="00B1784E">
        <w:t xml:space="preserve">have been in effect since </w:t>
      </w:r>
      <w:r w:rsidR="0083675E" w:rsidRPr="00B742B8">
        <w:t xml:space="preserve">December </w:t>
      </w:r>
      <w:r w:rsidRPr="00B1784E">
        <w:t>200</w:t>
      </w:r>
      <w:r w:rsidR="0083675E" w:rsidRPr="00B1784E">
        <w:t>7</w:t>
      </w:r>
      <w:r w:rsidRPr="00B1784E">
        <w:t xml:space="preserve"> and are due to expire on </w:t>
      </w:r>
      <w:r w:rsidR="000A2EA0" w:rsidRPr="00B1784E">
        <w:t>10</w:t>
      </w:r>
      <w:r w:rsidR="000A2EA0">
        <w:t> </w:t>
      </w:r>
      <w:r w:rsidRPr="00B1784E">
        <w:t>December 20</w:t>
      </w:r>
      <w:r w:rsidR="0083675E" w:rsidRPr="00B1784E">
        <w:t>11</w:t>
      </w:r>
      <w:r w:rsidRPr="00B1784E">
        <w:t xml:space="preserve">.  </w:t>
      </w:r>
      <w:r w:rsidR="0083675E" w:rsidRPr="00B742B8">
        <w:t xml:space="preserve">PIDs 9 and 9A, which </w:t>
      </w:r>
      <w:r w:rsidR="004F65D1">
        <w:t>had</w:t>
      </w:r>
      <w:r w:rsidR="0083675E" w:rsidRPr="00B742B8">
        <w:t xml:space="preserve"> </w:t>
      </w:r>
      <w:r w:rsidRPr="00B1784E">
        <w:t xml:space="preserve">similar effect to PIDs </w:t>
      </w:r>
      <w:r w:rsidR="0083675E" w:rsidRPr="00B1784E">
        <w:t>10</w:t>
      </w:r>
      <w:r w:rsidRPr="00B1784E">
        <w:t xml:space="preserve"> and </w:t>
      </w:r>
      <w:r w:rsidR="0083675E" w:rsidRPr="00B1784E">
        <w:t>10</w:t>
      </w:r>
      <w:r w:rsidRPr="00B1784E">
        <w:t>A</w:t>
      </w:r>
      <w:r w:rsidR="0083675E" w:rsidRPr="00B742B8">
        <w:t>,</w:t>
      </w:r>
      <w:r w:rsidRPr="00B1784E">
        <w:t xml:space="preserve"> were </w:t>
      </w:r>
      <w:r w:rsidR="002C6F6A">
        <w:t>previously</w:t>
      </w:r>
      <w:r w:rsidR="002C6F6A" w:rsidRPr="00B1784E">
        <w:t xml:space="preserve"> </w:t>
      </w:r>
      <w:r w:rsidRPr="00B1784E">
        <w:t>in place between December 200</w:t>
      </w:r>
      <w:r w:rsidR="0083675E" w:rsidRPr="00B1784E">
        <w:t>2</w:t>
      </w:r>
      <w:r w:rsidRPr="00B1784E">
        <w:t xml:space="preserve"> and </w:t>
      </w:r>
      <w:r w:rsidR="0083675E" w:rsidRPr="00B1784E">
        <w:t xml:space="preserve">December </w:t>
      </w:r>
      <w:r w:rsidRPr="00B1784E">
        <w:t>200</w:t>
      </w:r>
      <w:r w:rsidR="0083675E" w:rsidRPr="00B1784E">
        <w:t>7</w:t>
      </w:r>
      <w:r w:rsidRPr="00B1784E">
        <w:t>.</w:t>
      </w:r>
    </w:p>
    <w:p w14:paraId="0097260F" w14:textId="77777777" w:rsidR="00F87D28" w:rsidRDefault="00F87D28" w:rsidP="00F87D28">
      <w:pPr>
        <w:tabs>
          <w:tab w:val="left" w:pos="2730"/>
        </w:tabs>
        <w:rPr>
          <w:lang w:val="en-GB"/>
        </w:rPr>
      </w:pPr>
      <w:r w:rsidRPr="00CC410A">
        <w:rPr>
          <w:lang w:val="en-GB"/>
        </w:rPr>
        <w:t>The previous Public Interest Determinations that dealt with medical history collection</w:t>
      </w:r>
      <w:r>
        <w:rPr>
          <w:lang w:val="en-GB"/>
        </w:rPr>
        <w:t xml:space="preserve"> are available as follows:</w:t>
      </w:r>
    </w:p>
    <w:p w14:paraId="419BC113" w14:textId="77777777" w:rsidR="00F87D28" w:rsidRPr="00072576" w:rsidRDefault="00F87D28" w:rsidP="00F87D28">
      <w:pPr>
        <w:pStyle w:val="ListParagraph"/>
        <w:rPr>
          <w:rFonts w:asciiTheme="minorHAnsi" w:hAnsiTheme="minorHAnsi" w:cstheme="minorHAnsi"/>
        </w:rPr>
      </w:pPr>
      <w:r w:rsidRPr="00072576">
        <w:rPr>
          <w:rFonts w:asciiTheme="minorHAnsi" w:hAnsiTheme="minorHAnsi" w:cstheme="minorHAnsi"/>
        </w:rPr>
        <w:t xml:space="preserve">PID 9: </w:t>
      </w:r>
      <w:hyperlink r:id="rId19" w:history="1">
        <w:r w:rsidRPr="003C0A80">
          <w:rPr>
            <w:rStyle w:val="Hyperlink"/>
            <w:rFonts w:asciiTheme="minorHAnsi" w:hAnsiTheme="minorHAnsi" w:cstheme="minorHAnsi"/>
          </w:rPr>
          <w:t>www.comlaw.gov.au/Details/F2008B00573</w:t>
        </w:r>
      </w:hyperlink>
    </w:p>
    <w:p w14:paraId="0F4AD584" w14:textId="77777777" w:rsidR="00F87D28" w:rsidRPr="00072576" w:rsidRDefault="00F87D28" w:rsidP="00F87D28">
      <w:pPr>
        <w:pStyle w:val="ListParagraph"/>
        <w:rPr>
          <w:rFonts w:asciiTheme="minorHAnsi" w:hAnsiTheme="minorHAnsi" w:cstheme="minorHAnsi"/>
        </w:rPr>
      </w:pPr>
      <w:r w:rsidRPr="00072576">
        <w:rPr>
          <w:rFonts w:asciiTheme="minorHAnsi" w:hAnsiTheme="minorHAnsi" w:cstheme="minorHAnsi"/>
        </w:rPr>
        <w:t>PID 9A:</w:t>
      </w:r>
      <w:r>
        <w:rPr>
          <w:rFonts w:asciiTheme="minorHAnsi" w:hAnsiTheme="minorHAnsi" w:cstheme="minorHAnsi"/>
        </w:rPr>
        <w:t xml:space="preserve"> </w:t>
      </w:r>
      <w:hyperlink r:id="rId20" w:history="1">
        <w:r w:rsidRPr="00072576">
          <w:rPr>
            <w:rStyle w:val="Hyperlink"/>
            <w:rFonts w:asciiTheme="minorHAnsi" w:hAnsiTheme="minorHAnsi" w:cstheme="minorHAnsi"/>
          </w:rPr>
          <w:t>www.comlaw.gov.au/Details/F2008B00574</w:t>
        </w:r>
      </w:hyperlink>
      <w:r w:rsidRPr="00072576">
        <w:rPr>
          <w:rFonts w:asciiTheme="minorHAnsi" w:hAnsiTheme="minorHAnsi" w:cstheme="minorHAnsi"/>
        </w:rPr>
        <w:t xml:space="preserve"> </w:t>
      </w:r>
    </w:p>
    <w:p w14:paraId="44EDDF34" w14:textId="77777777" w:rsidR="00F87D28" w:rsidRPr="00072576" w:rsidRDefault="00F87D28" w:rsidP="00F87D28">
      <w:pPr>
        <w:pStyle w:val="ListParagraph"/>
        <w:rPr>
          <w:rFonts w:asciiTheme="minorHAnsi" w:hAnsiTheme="minorHAnsi" w:cstheme="minorHAnsi"/>
        </w:rPr>
      </w:pPr>
      <w:r w:rsidRPr="00072576">
        <w:rPr>
          <w:rFonts w:asciiTheme="minorHAnsi" w:hAnsiTheme="minorHAnsi" w:cstheme="minorHAnsi"/>
        </w:rPr>
        <w:t xml:space="preserve">PID 10: </w:t>
      </w:r>
      <w:hyperlink r:id="rId21" w:history="1">
        <w:r w:rsidRPr="00072576">
          <w:rPr>
            <w:rStyle w:val="Hyperlink"/>
            <w:rFonts w:asciiTheme="minorHAnsi" w:hAnsiTheme="minorHAnsi" w:cstheme="minorHAnsi"/>
          </w:rPr>
          <w:t>www.comlaw.gov.au/Details/F2007L04670</w:t>
        </w:r>
      </w:hyperlink>
      <w:r w:rsidRPr="00072576">
        <w:rPr>
          <w:rFonts w:asciiTheme="minorHAnsi" w:hAnsiTheme="minorHAnsi" w:cstheme="minorHAnsi"/>
        </w:rPr>
        <w:t xml:space="preserve"> </w:t>
      </w:r>
    </w:p>
    <w:p w14:paraId="749894D8" w14:textId="77777777" w:rsidR="00F87D28" w:rsidRPr="00CC410A" w:rsidRDefault="00F87D28" w:rsidP="00F87D28">
      <w:pPr>
        <w:pStyle w:val="ListParagraph"/>
        <w:rPr>
          <w:lang w:val="en-GB"/>
        </w:rPr>
      </w:pPr>
      <w:r w:rsidRPr="00072576">
        <w:rPr>
          <w:rFonts w:asciiTheme="minorHAnsi" w:hAnsiTheme="minorHAnsi" w:cstheme="minorHAnsi"/>
        </w:rPr>
        <w:t>PID 10A:</w:t>
      </w:r>
      <w:r>
        <w:rPr>
          <w:rFonts w:asciiTheme="minorHAnsi" w:hAnsiTheme="minorHAnsi" w:cstheme="minorHAnsi"/>
        </w:rPr>
        <w:t xml:space="preserve"> </w:t>
      </w:r>
      <w:hyperlink r:id="rId22" w:history="1">
        <w:r w:rsidRPr="00072576">
          <w:rPr>
            <w:rStyle w:val="Hyperlink"/>
            <w:rFonts w:asciiTheme="minorHAnsi" w:hAnsiTheme="minorHAnsi" w:cstheme="minorHAnsi"/>
          </w:rPr>
          <w:t>www.comlaw.gov.au/Details/F2007L04669</w:t>
        </w:r>
      </w:hyperlink>
      <w:r w:rsidRPr="00CC410A">
        <w:rPr>
          <w:lang w:val="en-GB"/>
        </w:rPr>
        <w:t xml:space="preserve">  </w:t>
      </w:r>
    </w:p>
    <w:p w14:paraId="6E62436A" w14:textId="77777777" w:rsidR="00CC410A" w:rsidRPr="00CC410A" w:rsidRDefault="00CC410A" w:rsidP="00B742B8">
      <w:pPr>
        <w:pStyle w:val="Heading2"/>
      </w:pPr>
      <w:r w:rsidRPr="00CC410A">
        <w:t>1.6</w:t>
      </w:r>
      <w:r w:rsidRPr="00CC410A">
        <w:tab/>
        <w:t>Relevant National Privacy Principle</w:t>
      </w:r>
    </w:p>
    <w:p w14:paraId="4AC1228F" w14:textId="1CD88B36" w:rsidR="00CC410A" w:rsidRPr="00CC410A" w:rsidRDefault="00792497" w:rsidP="00CC410A">
      <w:pPr>
        <w:tabs>
          <w:tab w:val="left" w:pos="2730"/>
        </w:tabs>
      </w:pPr>
      <w:r>
        <w:t>The</w:t>
      </w:r>
      <w:r w:rsidR="00CC410A" w:rsidRPr="00CC410A">
        <w:t xml:space="preserve"> </w:t>
      </w:r>
      <w:r w:rsidR="00E1710E">
        <w:t>NPPs,</w:t>
      </w:r>
      <w:r w:rsidR="00B1784E">
        <w:t xml:space="preserve"> set out in Schedule 3 to the Privacy Act</w:t>
      </w:r>
      <w:r>
        <w:t xml:space="preserve">, </w:t>
      </w:r>
      <w:r w:rsidR="00CC410A" w:rsidRPr="00CC410A">
        <w:t>govern the collection, use, disclosure and other handling of personal information</w:t>
      </w:r>
      <w:r>
        <w:t xml:space="preserve"> by private sector </w:t>
      </w:r>
      <w:r w:rsidRPr="00B742B8">
        <w:rPr>
          <w:i/>
        </w:rPr>
        <w:t>‘organisations’</w:t>
      </w:r>
      <w:r w:rsidR="00CC410A" w:rsidRPr="00CC410A">
        <w:t>.</w:t>
      </w:r>
      <w:r>
        <w:rPr>
          <w:rStyle w:val="FootnoteReference"/>
        </w:rPr>
        <w:footnoteReference w:id="7"/>
      </w:r>
      <w:r w:rsidR="00CC410A" w:rsidRPr="00CC410A">
        <w:t xml:space="preserve"> </w:t>
      </w:r>
    </w:p>
    <w:p w14:paraId="6E5794E6" w14:textId="59360FBD" w:rsidR="00CC410A" w:rsidRPr="00CC410A" w:rsidRDefault="00CC410A" w:rsidP="00CC410A">
      <w:pPr>
        <w:tabs>
          <w:tab w:val="left" w:pos="2730"/>
        </w:tabs>
      </w:pPr>
      <w:r w:rsidRPr="00CC410A">
        <w:t>The application raised an issue relating to NPP 10</w:t>
      </w:r>
      <w:r w:rsidR="002C6F6A">
        <w:t>,</w:t>
      </w:r>
      <w:r w:rsidRPr="00CC410A">
        <w:t xml:space="preserve"> which prohibit</w:t>
      </w:r>
      <w:r w:rsidR="002C6F6A">
        <w:t>s</w:t>
      </w:r>
      <w:r w:rsidR="00792497">
        <w:t xml:space="preserve"> an </w:t>
      </w:r>
      <w:r w:rsidRPr="00792497">
        <w:t>organisation</w:t>
      </w:r>
      <w:r w:rsidRPr="00CC410A">
        <w:t xml:space="preserve"> from collecting </w:t>
      </w:r>
      <w:r w:rsidRPr="00B742B8">
        <w:rPr>
          <w:i/>
        </w:rPr>
        <w:t>‘sensitive information’</w:t>
      </w:r>
      <w:r w:rsidRPr="00CC410A">
        <w:t xml:space="preserve"> (which is defined to include </w:t>
      </w:r>
      <w:r w:rsidRPr="00B742B8">
        <w:rPr>
          <w:i/>
        </w:rPr>
        <w:t>‘health information’</w:t>
      </w:r>
      <w:r w:rsidRPr="00CC410A">
        <w:t xml:space="preserve">) unless a </w:t>
      </w:r>
      <w:r w:rsidR="0083675E">
        <w:t>listed</w:t>
      </w:r>
      <w:r w:rsidR="0083675E" w:rsidRPr="00CC410A">
        <w:t xml:space="preserve"> </w:t>
      </w:r>
      <w:r w:rsidRPr="00CC410A">
        <w:t>exception applies.  Th</w:t>
      </w:r>
      <w:r w:rsidR="00B1784E">
        <w:t>o</w:t>
      </w:r>
      <w:r w:rsidRPr="00CC410A">
        <w:t>se exceptions include where the collection is required by law and, most relevantly, where the individual consent</w:t>
      </w:r>
      <w:r w:rsidR="00B1784E">
        <w:t>s</w:t>
      </w:r>
      <w:r w:rsidRPr="00CC410A">
        <w:t xml:space="preserve"> to the collection.  The definitions for the relevant terms are provided in s6 of the Privacy Act and </w:t>
      </w:r>
      <w:r w:rsidR="0083675E">
        <w:t>included in</w:t>
      </w:r>
      <w:r w:rsidR="0083675E" w:rsidRPr="00CC410A">
        <w:t xml:space="preserve"> </w:t>
      </w:r>
      <w:r w:rsidR="0083675E">
        <w:t>A</w:t>
      </w:r>
      <w:r w:rsidRPr="00CC410A">
        <w:t>t</w:t>
      </w:r>
      <w:r w:rsidR="0083675E">
        <w:t>tachment</w:t>
      </w:r>
      <w:r w:rsidRPr="00CC410A">
        <w:t xml:space="preserve"> A.</w:t>
      </w:r>
    </w:p>
    <w:p w14:paraId="30F82A4D" w14:textId="727326A6" w:rsidR="00CC410A" w:rsidRPr="00CC410A" w:rsidRDefault="00CC410A" w:rsidP="00CC410A">
      <w:pPr>
        <w:tabs>
          <w:tab w:val="left" w:pos="2730"/>
        </w:tabs>
      </w:pPr>
      <w:r w:rsidRPr="00CC410A">
        <w:t>The effect of NPP 10 would be to prohibit the applicant and other health service providers from collecting health information about a third</w:t>
      </w:r>
      <w:r w:rsidR="0083675E">
        <w:t xml:space="preserve"> </w:t>
      </w:r>
      <w:r w:rsidRPr="00CC410A">
        <w:t>party for the purpose of compiling a health consumer’s medical history</w:t>
      </w:r>
      <w:r w:rsidR="0083675E">
        <w:t>,</w:t>
      </w:r>
      <w:r w:rsidRPr="00CC410A">
        <w:t xml:space="preserve"> unless consent could be obtained from the third</w:t>
      </w:r>
      <w:r w:rsidR="0083675E">
        <w:t xml:space="preserve"> </w:t>
      </w:r>
      <w:r w:rsidRPr="00CC410A">
        <w:t>party.</w:t>
      </w:r>
    </w:p>
    <w:p w14:paraId="3B7B916F" w14:textId="77777777" w:rsidR="00CC410A" w:rsidRPr="00CC410A" w:rsidRDefault="00CC410A" w:rsidP="00B742B8">
      <w:pPr>
        <w:pStyle w:val="Heading2"/>
      </w:pPr>
      <w:r w:rsidRPr="00CC410A">
        <w:t>1.7</w:t>
      </w:r>
      <w:r w:rsidRPr="00CC410A">
        <w:tab/>
        <w:t>Documents incorporated by reference</w:t>
      </w:r>
    </w:p>
    <w:p w14:paraId="0E87116A" w14:textId="3A61672A" w:rsidR="00D607FB" w:rsidRDefault="00E1710E" w:rsidP="00CC410A">
      <w:pPr>
        <w:tabs>
          <w:tab w:val="left" w:pos="2730"/>
        </w:tabs>
        <w:rPr>
          <w:lang w:val="en-GB"/>
        </w:rPr>
      </w:pPr>
      <w:r>
        <w:rPr>
          <w:lang w:val="en-GB"/>
        </w:rPr>
        <w:t>NPP</w:t>
      </w:r>
      <w:r w:rsidR="00CC410A" w:rsidRPr="00CC410A">
        <w:rPr>
          <w:lang w:val="en-GB"/>
        </w:rPr>
        <w:t xml:space="preserve"> 10.1 (</w:t>
      </w:r>
      <w:r w:rsidR="0083675E">
        <w:rPr>
          <w:lang w:val="en-GB"/>
        </w:rPr>
        <w:t>contained in</w:t>
      </w:r>
      <w:r w:rsidR="0083675E" w:rsidRPr="00CC410A">
        <w:rPr>
          <w:lang w:val="en-GB"/>
        </w:rPr>
        <w:t xml:space="preserve"> </w:t>
      </w:r>
      <w:r w:rsidR="00CC410A" w:rsidRPr="00CC410A">
        <w:rPr>
          <w:lang w:val="en-GB"/>
        </w:rPr>
        <w:t>Schedule 3 of the Privacy Act), to which PIDs 1</w:t>
      </w:r>
      <w:r w:rsidR="0083675E">
        <w:rPr>
          <w:lang w:val="en-GB"/>
        </w:rPr>
        <w:t>2</w:t>
      </w:r>
      <w:r w:rsidR="00CC410A" w:rsidRPr="00CC410A">
        <w:rPr>
          <w:lang w:val="en-GB"/>
        </w:rPr>
        <w:t xml:space="preserve"> and 1</w:t>
      </w:r>
      <w:r w:rsidR="0083675E">
        <w:rPr>
          <w:lang w:val="en-GB"/>
        </w:rPr>
        <w:t>2</w:t>
      </w:r>
      <w:r w:rsidR="00CC410A" w:rsidRPr="00CC410A">
        <w:rPr>
          <w:lang w:val="en-GB"/>
        </w:rPr>
        <w:t xml:space="preserve">A relate, is incorporated by reference and available at Attachment A. </w:t>
      </w:r>
    </w:p>
    <w:p w14:paraId="6EB3CAEC" w14:textId="45BF9A36" w:rsidR="00CC410A" w:rsidRPr="00CC410A" w:rsidRDefault="00E1710E" w:rsidP="00CC410A">
      <w:pPr>
        <w:tabs>
          <w:tab w:val="left" w:pos="2730"/>
        </w:tabs>
        <w:rPr>
          <w:lang w:val="en-GB"/>
        </w:rPr>
      </w:pPr>
      <w:r>
        <w:rPr>
          <w:lang w:val="en-GB"/>
        </w:rPr>
        <w:t>NPP</w:t>
      </w:r>
      <w:r w:rsidR="00CC410A" w:rsidRPr="00CC410A">
        <w:rPr>
          <w:lang w:val="en-GB"/>
        </w:rPr>
        <w:t xml:space="preserve"> 2.5 and 2.6 (under Schedule 3 of the Privacy Act)</w:t>
      </w:r>
      <w:r w:rsidR="002C6F6A">
        <w:rPr>
          <w:lang w:val="en-GB"/>
        </w:rPr>
        <w:t>,</w:t>
      </w:r>
      <w:r w:rsidR="00CC410A" w:rsidRPr="00CC410A">
        <w:rPr>
          <w:lang w:val="en-GB"/>
        </w:rPr>
        <w:t xml:space="preserve"> which determine the meaning of person ‘responsible’ for the purpose of PIDs 10 and 10A, are</w:t>
      </w:r>
      <w:r w:rsidR="00D607FB">
        <w:rPr>
          <w:lang w:val="en-GB"/>
        </w:rPr>
        <w:t xml:space="preserve"> also</w:t>
      </w:r>
      <w:r w:rsidR="00CC410A" w:rsidRPr="00CC410A">
        <w:rPr>
          <w:lang w:val="en-GB"/>
        </w:rPr>
        <w:t xml:space="preserve"> incorporated by reference and can also be found at Attachment A.</w:t>
      </w:r>
    </w:p>
    <w:p w14:paraId="027CC184" w14:textId="51F85F8D" w:rsidR="00D607FB" w:rsidRDefault="00CC410A" w:rsidP="00CC410A">
      <w:pPr>
        <w:tabs>
          <w:tab w:val="left" w:pos="2730"/>
        </w:tabs>
        <w:rPr>
          <w:lang w:val="en-GB"/>
        </w:rPr>
      </w:pPr>
      <w:r w:rsidRPr="00CC410A">
        <w:rPr>
          <w:lang w:val="en-GB"/>
        </w:rPr>
        <w:t>The application that led to the making of PIDs 1</w:t>
      </w:r>
      <w:r w:rsidR="00D607FB">
        <w:rPr>
          <w:lang w:val="en-GB"/>
        </w:rPr>
        <w:t>2</w:t>
      </w:r>
      <w:r w:rsidRPr="00CC410A">
        <w:rPr>
          <w:lang w:val="en-GB"/>
        </w:rPr>
        <w:t xml:space="preserve"> and 1</w:t>
      </w:r>
      <w:r w:rsidR="00D607FB">
        <w:rPr>
          <w:lang w:val="en-GB"/>
        </w:rPr>
        <w:t>2</w:t>
      </w:r>
      <w:r w:rsidRPr="00CC410A">
        <w:rPr>
          <w:lang w:val="en-GB"/>
        </w:rPr>
        <w:t>A is available at</w:t>
      </w:r>
      <w:r w:rsidR="00792497">
        <w:rPr>
          <w:lang w:val="en-GB"/>
        </w:rPr>
        <w:t>:</w:t>
      </w:r>
      <w:r w:rsidRPr="00CC410A">
        <w:rPr>
          <w:lang w:val="en-GB"/>
        </w:rPr>
        <w:t xml:space="preserve"> </w:t>
      </w:r>
      <w:hyperlink r:id="rId23" w:anchor="application" w:history="1">
        <w:r w:rsidR="00792497" w:rsidRPr="00C5092C">
          <w:rPr>
            <w:rStyle w:val="Hyperlink"/>
            <w:lang w:val="en-GB"/>
          </w:rPr>
          <w:t>www.oaic.gov.au/publications/papers/consultation_paper_PID_application_dr_steve_hambleton.html#application</w:t>
        </w:r>
      </w:hyperlink>
      <w:r w:rsidRPr="00CC410A">
        <w:rPr>
          <w:lang w:val="en-GB"/>
        </w:rPr>
        <w:t xml:space="preserve"> </w:t>
      </w:r>
    </w:p>
    <w:p w14:paraId="07188926" w14:textId="143B0DAA" w:rsidR="00D607FB" w:rsidRDefault="00CC410A" w:rsidP="00CC410A">
      <w:pPr>
        <w:tabs>
          <w:tab w:val="left" w:pos="2730"/>
        </w:tabs>
        <w:rPr>
          <w:lang w:val="en-GB"/>
        </w:rPr>
      </w:pPr>
      <w:r w:rsidRPr="00CC410A">
        <w:rPr>
          <w:lang w:val="en-GB"/>
        </w:rPr>
        <w:t xml:space="preserve">The </w:t>
      </w:r>
      <w:r w:rsidR="00D607FB">
        <w:rPr>
          <w:lang w:val="en-GB"/>
        </w:rPr>
        <w:t xml:space="preserve">Information </w:t>
      </w:r>
      <w:r w:rsidRPr="00CC410A">
        <w:rPr>
          <w:lang w:val="en-GB"/>
        </w:rPr>
        <w:t>Commissioner's notice of receipt of the application (required by s 74(1) of the Privacy Act) is available at</w:t>
      </w:r>
      <w:r w:rsidR="00792497">
        <w:rPr>
          <w:lang w:val="en-GB"/>
        </w:rPr>
        <w:t xml:space="preserve">: </w:t>
      </w:r>
      <w:hyperlink r:id="rId24" w:history="1">
        <w:r w:rsidR="00792497" w:rsidRPr="00C5092C">
          <w:rPr>
            <w:rStyle w:val="Hyperlink"/>
            <w:lang w:val="en-GB"/>
          </w:rPr>
          <w:t>www.oaic.gov.au/publications/papers/consultation_paper_PID_application_dr_steve_hambleton.html</w:t>
        </w:r>
      </w:hyperlink>
      <w:r w:rsidRPr="00CC410A">
        <w:rPr>
          <w:lang w:val="en-GB"/>
        </w:rPr>
        <w:t xml:space="preserve"> </w:t>
      </w:r>
    </w:p>
    <w:p w14:paraId="3E81B8C3" w14:textId="4B3F295A" w:rsidR="00CC410A" w:rsidRPr="00CC410A" w:rsidRDefault="00CC410A" w:rsidP="00B742B8">
      <w:pPr>
        <w:pStyle w:val="Heading1"/>
      </w:pPr>
      <w:r w:rsidRPr="00CC410A">
        <w:t>2.</w:t>
      </w:r>
      <w:r w:rsidRPr="00CC410A">
        <w:tab/>
      </w:r>
      <w:r w:rsidR="00D607FB">
        <w:t>R</w:t>
      </w:r>
      <w:r w:rsidR="00D607FB" w:rsidRPr="00CC410A">
        <w:t>easons for making determinations</w:t>
      </w:r>
    </w:p>
    <w:p w14:paraId="1199F745" w14:textId="77777777" w:rsidR="00CC410A" w:rsidRPr="00CC410A" w:rsidRDefault="00CC410A" w:rsidP="00B742B8">
      <w:pPr>
        <w:pStyle w:val="Heading2"/>
      </w:pPr>
      <w:r w:rsidRPr="00CC410A">
        <w:t>2.1</w:t>
      </w:r>
      <w:r w:rsidRPr="00CC410A">
        <w:tab/>
        <w:t>Issues raised by the applicant</w:t>
      </w:r>
    </w:p>
    <w:p w14:paraId="5AAFD128" w14:textId="6A20817F" w:rsidR="00CC410A" w:rsidRPr="00CC410A" w:rsidRDefault="00CC410A" w:rsidP="00CC410A">
      <w:pPr>
        <w:tabs>
          <w:tab w:val="left" w:pos="2730"/>
        </w:tabs>
      </w:pPr>
      <w:r w:rsidRPr="00CC410A">
        <w:t xml:space="preserve">In applying for a </w:t>
      </w:r>
      <w:r w:rsidR="00D607FB">
        <w:t>PID,</w:t>
      </w:r>
      <w:r w:rsidRPr="00CC410A">
        <w:t xml:space="preserve"> the applicant </w:t>
      </w:r>
      <w:r w:rsidR="00F87D28">
        <w:t>submitted</w:t>
      </w:r>
      <w:r w:rsidR="00F87D28" w:rsidRPr="00CC410A">
        <w:t xml:space="preserve"> </w:t>
      </w:r>
      <w:r w:rsidRPr="00CC410A">
        <w:t>that PIDs 1</w:t>
      </w:r>
      <w:r w:rsidR="00D607FB">
        <w:t>2</w:t>
      </w:r>
      <w:r w:rsidRPr="00CC410A">
        <w:t xml:space="preserve"> and 1</w:t>
      </w:r>
      <w:r w:rsidR="00D607FB">
        <w:t>2</w:t>
      </w:r>
      <w:r w:rsidRPr="00CC410A">
        <w:t>A, like their predecessors PIDs 9 and 9A,</w:t>
      </w:r>
      <w:r w:rsidR="00D607FB">
        <w:t xml:space="preserve"> and 10 and 10A,</w:t>
      </w:r>
      <w:r w:rsidRPr="00CC410A">
        <w:t xml:space="preserve"> would support the well-established clinical practice of collecting health information about third parties (such as family or household members) from an individual</w:t>
      </w:r>
      <w:r w:rsidR="002C6F6A">
        <w:t>,</w:t>
      </w:r>
      <w:r w:rsidRPr="00CC410A">
        <w:t xml:space="preserve"> where that information is directly relevant to the diagnosis, treatment or care of that individual.  The practice is commonly referred to as ‘medical history taking’ and is one of the factors used as an aid in medical assessment, diagnosis and treatment.  The practice is also necessary for the provision of quality health services to health consumers in allied health settings such as counselling and therapeutic health </w:t>
      </w:r>
      <w:proofErr w:type="gramStart"/>
      <w:r w:rsidRPr="00CC410A">
        <w:t>services,</w:t>
      </w:r>
      <w:proofErr w:type="gramEnd"/>
      <w:r w:rsidRPr="00CC410A">
        <w:t xml:space="preserve"> and residential and community aged care services.  However, in the absence of a PID expressly permitting the practice, the practice would be a breach of NPP 10.1, which states that an organisation must not collect sensitive information about an individual unless a prescribed exception to this general rule applies.  </w:t>
      </w:r>
    </w:p>
    <w:p w14:paraId="25F7C320" w14:textId="77777777" w:rsidR="00CC410A" w:rsidRPr="00CC410A" w:rsidRDefault="00CC410A" w:rsidP="00B742B8">
      <w:pPr>
        <w:pStyle w:val="Heading2"/>
        <w:ind w:left="720" w:hanging="720"/>
      </w:pPr>
      <w:r w:rsidRPr="00CC410A">
        <w:t>2.2</w:t>
      </w:r>
      <w:r w:rsidRPr="00CC410A">
        <w:tab/>
        <w:t xml:space="preserve">Operation of Public Interest Determinations </w:t>
      </w:r>
      <w:r w:rsidR="00D607FB">
        <w:t xml:space="preserve">9 and 9A, and </w:t>
      </w:r>
      <w:r w:rsidRPr="00CC410A">
        <w:t>10 and 10A</w:t>
      </w:r>
    </w:p>
    <w:p w14:paraId="2D056311" w14:textId="0BFBB89B" w:rsidR="00CC410A" w:rsidRDefault="00CC410A" w:rsidP="00CC410A">
      <w:pPr>
        <w:tabs>
          <w:tab w:val="left" w:pos="2730"/>
        </w:tabs>
      </w:pPr>
      <w:r w:rsidRPr="00CC410A">
        <w:t>In approving the original PIDs 9 and 9A, a thorough stakeholder consultation process was undertaken</w:t>
      </w:r>
      <w:r w:rsidR="00D607FB">
        <w:t>.</w:t>
      </w:r>
      <w:r w:rsidRPr="00CC410A">
        <w:t xml:space="preserve"> </w:t>
      </w:r>
      <w:r w:rsidR="00792497">
        <w:t xml:space="preserve"> </w:t>
      </w:r>
      <w:r w:rsidR="00D607FB">
        <w:t>D</w:t>
      </w:r>
      <w:r w:rsidRPr="00CC410A">
        <w:t>etails of that process are</w:t>
      </w:r>
      <w:r w:rsidR="00D607FB">
        <w:t xml:space="preserve"> set out in the statement of reasons for those PIDs</w:t>
      </w:r>
      <w:r w:rsidRPr="00CC410A">
        <w:t xml:space="preserve">.  </w:t>
      </w:r>
      <w:r w:rsidR="00D607FB">
        <w:t>N</w:t>
      </w:r>
      <w:r w:rsidRPr="00CC410A">
        <w:t xml:space="preserve">o concerns regarding the operation of PIDs 9 and 9A </w:t>
      </w:r>
      <w:r w:rsidR="00D607FB">
        <w:t>were</w:t>
      </w:r>
      <w:r w:rsidRPr="00CC410A">
        <w:t xml:space="preserve"> raised with the </w:t>
      </w:r>
      <w:r w:rsidR="004F65D1">
        <w:t xml:space="preserve">then </w:t>
      </w:r>
      <w:r w:rsidRPr="00CC410A">
        <w:t>Privacy Commissioner</w:t>
      </w:r>
      <w:r w:rsidR="00D607FB">
        <w:t xml:space="preserve"> when those PIDs </w:t>
      </w:r>
      <w:proofErr w:type="gramStart"/>
      <w:r w:rsidR="00D607FB">
        <w:t>were in</w:t>
      </w:r>
      <w:proofErr w:type="gramEnd"/>
      <w:r w:rsidR="00D607FB">
        <w:t xml:space="preserve"> effect,</w:t>
      </w:r>
      <w:r w:rsidRPr="00CC410A">
        <w:t xml:space="preserve"> nor with any of the stakeholder organisations and agencies </w:t>
      </w:r>
      <w:r w:rsidR="002C6F6A">
        <w:t>that</w:t>
      </w:r>
      <w:r w:rsidR="002C6F6A" w:rsidRPr="00CC410A">
        <w:t xml:space="preserve"> </w:t>
      </w:r>
      <w:r w:rsidRPr="00CC410A">
        <w:t>participated in the consultation process for the extension of the PIDs.</w:t>
      </w:r>
    </w:p>
    <w:p w14:paraId="42B63EBE" w14:textId="52E5CFC0" w:rsidR="00D607FB" w:rsidRPr="00CC410A" w:rsidRDefault="00D607FB" w:rsidP="00CC410A">
      <w:pPr>
        <w:tabs>
          <w:tab w:val="left" w:pos="2730"/>
        </w:tabs>
      </w:pPr>
      <w:r>
        <w:t xml:space="preserve">Similarly, in approving PIDs 10 and 10A, the </w:t>
      </w:r>
      <w:r w:rsidR="004F65D1">
        <w:t xml:space="preserve">then </w:t>
      </w:r>
      <w:r>
        <w:t xml:space="preserve">Privacy Commissioner </w:t>
      </w:r>
      <w:r w:rsidR="002C6F6A">
        <w:t xml:space="preserve">again </w:t>
      </w:r>
      <w:r>
        <w:t>undertook a th</w:t>
      </w:r>
      <w:r w:rsidR="002C6F6A">
        <w:t>o</w:t>
      </w:r>
      <w:r>
        <w:t xml:space="preserve">rough stakeholder consultation process. </w:t>
      </w:r>
      <w:r w:rsidR="00792497">
        <w:t xml:space="preserve"> </w:t>
      </w:r>
      <w:r>
        <w:t xml:space="preserve">Details of that process are set out in the statement of reasons for those PIDs. </w:t>
      </w:r>
      <w:r w:rsidR="00792497">
        <w:t xml:space="preserve"> </w:t>
      </w:r>
      <w:r>
        <w:t>N</w:t>
      </w:r>
      <w:r w:rsidRPr="00CC410A">
        <w:t xml:space="preserve">o concerns regarding the operation of PIDs </w:t>
      </w:r>
      <w:r>
        <w:t>10</w:t>
      </w:r>
      <w:r w:rsidRPr="00CC410A">
        <w:t xml:space="preserve"> and </w:t>
      </w:r>
      <w:r>
        <w:t>10</w:t>
      </w:r>
      <w:r w:rsidRPr="00CC410A">
        <w:t xml:space="preserve">A </w:t>
      </w:r>
      <w:r w:rsidR="002C6F6A">
        <w:t>have been</w:t>
      </w:r>
      <w:r w:rsidRPr="00CC410A">
        <w:t xml:space="preserve"> raised with the Privacy Commissioner</w:t>
      </w:r>
      <w:r>
        <w:t xml:space="preserve"> or the Information Commissioner since those PIDs came into effect in </w:t>
      </w:r>
      <w:r w:rsidR="003C0A80">
        <w:t xml:space="preserve">December </w:t>
      </w:r>
      <w:r>
        <w:t>2007,</w:t>
      </w:r>
      <w:r w:rsidRPr="00CC410A">
        <w:t xml:space="preserve"> nor with any of the stakeholder organisations and agencies </w:t>
      </w:r>
      <w:r w:rsidR="002C6F6A">
        <w:t>that</w:t>
      </w:r>
      <w:r w:rsidRPr="00CC410A">
        <w:t xml:space="preserve"> participated in the consultation process for the extension of the existing PIDs.</w:t>
      </w:r>
    </w:p>
    <w:p w14:paraId="6491E85F" w14:textId="628BEF4B" w:rsidR="00CC410A" w:rsidRPr="00CC410A" w:rsidRDefault="00CC410A" w:rsidP="00CC410A">
      <w:pPr>
        <w:tabs>
          <w:tab w:val="left" w:pos="2730"/>
        </w:tabs>
      </w:pPr>
      <w:r w:rsidRPr="00CC410A">
        <w:t>PIDs 1</w:t>
      </w:r>
      <w:r w:rsidR="00D607FB">
        <w:t>2</w:t>
      </w:r>
      <w:r w:rsidRPr="00CC410A">
        <w:t xml:space="preserve"> and 1</w:t>
      </w:r>
      <w:r w:rsidR="00D607FB">
        <w:t>2</w:t>
      </w:r>
      <w:r w:rsidRPr="00CC410A">
        <w:t>A allow health service providers to collect health information</w:t>
      </w:r>
      <w:r w:rsidR="00792497">
        <w:t xml:space="preserve"> about a third party</w:t>
      </w:r>
      <w:r w:rsidRPr="00CC410A">
        <w:t xml:space="preserve"> from an individual, without the third party’s consent, for inclusion in the individual’s family, social or medical history</w:t>
      </w:r>
      <w:r w:rsidR="00217CFB">
        <w:t>,</w:t>
      </w:r>
      <w:r w:rsidRPr="00CC410A">
        <w:t xml:space="preserve"> where that information is necessary to provide a health service to the individual.  In the absence of PIDs 1</w:t>
      </w:r>
      <w:r w:rsidR="00D607FB">
        <w:t>2</w:t>
      </w:r>
      <w:r w:rsidRPr="00CC410A">
        <w:t xml:space="preserve"> and 1</w:t>
      </w:r>
      <w:r w:rsidR="00D607FB">
        <w:t>2</w:t>
      </w:r>
      <w:r w:rsidRPr="00CC410A">
        <w:t>A, health service providers engaging in this practice could be in breach of NPP 10.1.  Accordingly, the effect of PIDs 1</w:t>
      </w:r>
      <w:r w:rsidR="00792497">
        <w:t>2</w:t>
      </w:r>
      <w:r w:rsidRPr="00CC410A">
        <w:t xml:space="preserve"> and 1</w:t>
      </w:r>
      <w:r w:rsidR="00792497">
        <w:t>2</w:t>
      </w:r>
      <w:r w:rsidRPr="00CC410A">
        <w:t xml:space="preserve">A </w:t>
      </w:r>
      <w:r w:rsidR="00E1710E">
        <w:t>is</w:t>
      </w:r>
      <w:r w:rsidRPr="00CC410A">
        <w:t xml:space="preserve"> to permit the established and widely supported healthcare practice of medical history-taking to continue.  </w:t>
      </w:r>
    </w:p>
    <w:p w14:paraId="4C8C6D30" w14:textId="2D67FCBE" w:rsidR="00CC410A" w:rsidRPr="00CC410A" w:rsidRDefault="00CC410A" w:rsidP="00CC410A">
      <w:pPr>
        <w:tabs>
          <w:tab w:val="left" w:pos="2730"/>
        </w:tabs>
      </w:pPr>
      <w:r w:rsidRPr="00CC410A">
        <w:t>In addition, PIDs 1</w:t>
      </w:r>
      <w:r w:rsidR="00D607FB">
        <w:t>2</w:t>
      </w:r>
      <w:r w:rsidRPr="00CC410A">
        <w:t xml:space="preserve"> and 1</w:t>
      </w:r>
      <w:r w:rsidR="00D607FB">
        <w:t>2</w:t>
      </w:r>
      <w:r w:rsidRPr="00CC410A">
        <w:t xml:space="preserve">A clarify that third party health information can also be collected from ‘a person responsible’ for an individual where the individual lacks the capacity to provide that informational themselves. The </w:t>
      </w:r>
      <w:r w:rsidR="00792497">
        <w:t>phrase</w:t>
      </w:r>
      <w:r w:rsidR="00792497" w:rsidRPr="00CC410A">
        <w:t xml:space="preserve"> </w:t>
      </w:r>
      <w:r w:rsidRPr="00B742B8">
        <w:rPr>
          <w:i/>
        </w:rPr>
        <w:t>‘responsible person’</w:t>
      </w:r>
      <w:r w:rsidRPr="00CC410A">
        <w:t xml:space="preserve"> has the same meaning as in the Privacy Act </w:t>
      </w:r>
      <w:r w:rsidR="00E1710E">
        <w:t xml:space="preserve">(see </w:t>
      </w:r>
      <w:r w:rsidR="00792497">
        <w:t>A</w:t>
      </w:r>
      <w:r w:rsidRPr="00CC410A">
        <w:t>ttachment A</w:t>
      </w:r>
      <w:r w:rsidR="00E1710E">
        <w:t>)</w:t>
      </w:r>
      <w:r w:rsidRPr="00CC410A">
        <w:t xml:space="preserve">.  This is discussed further below under </w:t>
      </w:r>
      <w:r w:rsidR="00792497" w:rsidRPr="00B742B8">
        <w:rPr>
          <w:i/>
        </w:rPr>
        <w:t>‘</w:t>
      </w:r>
      <w:r w:rsidRPr="00B742B8">
        <w:rPr>
          <w:i/>
          <w:iCs/>
        </w:rPr>
        <w:t>2.5 Inclusion of provision for collection from a ‘person responsible’</w:t>
      </w:r>
      <w:r w:rsidR="00792497" w:rsidRPr="00B742B8">
        <w:rPr>
          <w:i/>
          <w:iCs/>
        </w:rPr>
        <w:t>’</w:t>
      </w:r>
      <w:r w:rsidRPr="00CC410A">
        <w:rPr>
          <w:iCs/>
        </w:rPr>
        <w:t>.</w:t>
      </w:r>
    </w:p>
    <w:p w14:paraId="42459AC3" w14:textId="77777777" w:rsidR="00CC410A" w:rsidRPr="00CC410A" w:rsidRDefault="00CC410A" w:rsidP="00B742B8">
      <w:pPr>
        <w:pStyle w:val="Heading2"/>
      </w:pPr>
      <w:r w:rsidRPr="00CC410A">
        <w:t>2.3</w:t>
      </w:r>
      <w:r w:rsidRPr="00CC410A">
        <w:tab/>
        <w:t>Public interest considerations</w:t>
      </w:r>
    </w:p>
    <w:p w14:paraId="034EF9E5" w14:textId="19B93511" w:rsidR="00CC410A" w:rsidRPr="00CC410A" w:rsidRDefault="00CC410A" w:rsidP="00CC410A">
      <w:pPr>
        <w:tabs>
          <w:tab w:val="left" w:pos="2730"/>
        </w:tabs>
      </w:pPr>
      <w:r w:rsidRPr="00CC410A">
        <w:t>In issuing PIDs 1</w:t>
      </w:r>
      <w:r w:rsidR="003C0A80">
        <w:t>2</w:t>
      </w:r>
      <w:r w:rsidRPr="00CC410A">
        <w:t xml:space="preserve"> and 1</w:t>
      </w:r>
      <w:r w:rsidR="003C0A80">
        <w:t>2</w:t>
      </w:r>
      <w:r w:rsidRPr="00CC410A">
        <w:t>A, the Privacy Commissioner took account of the matters raised in the application</w:t>
      </w:r>
      <w:r w:rsidR="00B20765">
        <w:t xml:space="preserve"> and</w:t>
      </w:r>
      <w:r w:rsidRPr="00CC410A">
        <w:t xml:space="preserve"> the written submissions.  The Privacy Commissioner found that permitting the relevant practice accords with widely accepted healthcare practices that contribute to continuing, comprehensive and quality health care for individual consumers and better public health outcomes.  Importantly, the practice is generally known and accepted in the community</w:t>
      </w:r>
      <w:r w:rsidR="00B20765">
        <w:t>,</w:t>
      </w:r>
      <w:r w:rsidRPr="00CC410A">
        <w:t xml:space="preserve"> and is therefore likely to be consistent with individuals’ reasonable expectation</w:t>
      </w:r>
      <w:r w:rsidR="00217CFB">
        <w:t>s</w:t>
      </w:r>
      <w:r w:rsidRPr="00CC410A">
        <w:t xml:space="preserve"> of privacy.</w:t>
      </w:r>
    </w:p>
    <w:p w14:paraId="07D56B82" w14:textId="0B6FC3C9" w:rsidR="00CC410A" w:rsidRPr="00CC410A" w:rsidRDefault="00CC410A" w:rsidP="00CC410A">
      <w:pPr>
        <w:tabs>
          <w:tab w:val="left" w:pos="2730"/>
        </w:tabs>
      </w:pPr>
      <w:r w:rsidRPr="00CC410A">
        <w:t xml:space="preserve">Based on the available evidence presented by the applicant </w:t>
      </w:r>
      <w:r w:rsidR="003C0A80">
        <w:t xml:space="preserve">and </w:t>
      </w:r>
      <w:r w:rsidRPr="00CC410A">
        <w:t xml:space="preserve">submitters, the Privacy Commissioner considered that: </w:t>
      </w:r>
    </w:p>
    <w:p w14:paraId="218A1F3D" w14:textId="77777777" w:rsidR="00CC410A" w:rsidRPr="00CC410A" w:rsidRDefault="00CC410A" w:rsidP="00B742B8">
      <w:pPr>
        <w:pStyle w:val="ListParagraph"/>
      </w:pPr>
      <w:r w:rsidRPr="00CC410A">
        <w:t>individual health assessment, diagnosis, treatment and care could be compromised if the proposed act is not permitted</w:t>
      </w:r>
    </w:p>
    <w:p w14:paraId="4ADD3CCB" w14:textId="77777777" w:rsidR="00CC410A" w:rsidRPr="00CC410A" w:rsidRDefault="00CC410A" w:rsidP="00B742B8">
      <w:pPr>
        <w:pStyle w:val="ListParagraph"/>
      </w:pPr>
      <w:r w:rsidRPr="00CC410A">
        <w:t>requiring health and medical professionals to seek third party consent for the collection of relevant health information in these circumstances would be impractical and would delay the healthcare delivery process in individual cases</w:t>
      </w:r>
    </w:p>
    <w:p w14:paraId="247219F1" w14:textId="2E45FEDE" w:rsidR="00CC410A" w:rsidRPr="00CC410A" w:rsidRDefault="00CC410A" w:rsidP="00B742B8">
      <w:pPr>
        <w:pStyle w:val="ListParagraph"/>
      </w:pPr>
      <w:proofErr w:type="gramStart"/>
      <w:r w:rsidRPr="00CC410A">
        <w:t>requiring</w:t>
      </w:r>
      <w:proofErr w:type="gramEnd"/>
      <w:r w:rsidRPr="00CC410A">
        <w:t xml:space="preserve"> a consent-based mechanism in these circumstance may have an unreasonably burdensome impact on the efficient and effective running of medical businesses</w:t>
      </w:r>
      <w:r w:rsidR="00217CFB">
        <w:t>,</w:t>
      </w:r>
      <w:r w:rsidRPr="00CC410A">
        <w:t xml:space="preserve"> which may in turn reduce capacity to provide adequate and timely health services to the public.</w:t>
      </w:r>
    </w:p>
    <w:p w14:paraId="4859FAC8" w14:textId="25476A56" w:rsidR="003C0A80" w:rsidRPr="006D704D" w:rsidRDefault="003C0A80" w:rsidP="00B742B8">
      <w:pPr>
        <w:rPr>
          <w:lang w:eastAsia="en-AU"/>
        </w:rPr>
      </w:pPr>
      <w:r>
        <w:rPr>
          <w:lang w:eastAsia="en-AU"/>
        </w:rPr>
        <w:t xml:space="preserve">The applicant </w:t>
      </w:r>
      <w:r w:rsidR="00F87D28">
        <w:rPr>
          <w:lang w:eastAsia="en-AU"/>
        </w:rPr>
        <w:t>submitted</w:t>
      </w:r>
      <w:r w:rsidRPr="006D704D">
        <w:rPr>
          <w:lang w:eastAsia="en-AU"/>
        </w:rPr>
        <w:t xml:space="preserve"> that the effect of PIDs 10 and 10A </w:t>
      </w:r>
      <w:r w:rsidRPr="00B742B8">
        <w:rPr>
          <w:i/>
          <w:lang w:eastAsia="en-AU"/>
        </w:rPr>
        <w:t>‘continues to be of critical importance for health service providers in providing best practice assessment, diagnosis and care to patients’</w:t>
      </w:r>
      <w:r w:rsidRPr="006D704D">
        <w:rPr>
          <w:lang w:eastAsia="en-AU"/>
        </w:rPr>
        <w:t xml:space="preserve">.  In particular, the applicant noted that collection of this type of information is used to inform efficient and accurate patient diagnoses and treatment plans.  </w:t>
      </w:r>
    </w:p>
    <w:p w14:paraId="3EF6A864" w14:textId="71F2FFCD" w:rsidR="003C0A80" w:rsidRDefault="003C0A80" w:rsidP="00B742B8">
      <w:pPr>
        <w:rPr>
          <w:lang w:eastAsia="en-AU"/>
        </w:rPr>
      </w:pPr>
      <w:r w:rsidRPr="006D704D">
        <w:rPr>
          <w:lang w:eastAsia="en-AU"/>
        </w:rPr>
        <w:t xml:space="preserve">The key issue of continuing to support best practice in patient care was echoed in almost all of the submissions.  For example, </w:t>
      </w:r>
      <w:r>
        <w:rPr>
          <w:lang w:eastAsia="en-AU"/>
        </w:rPr>
        <w:t xml:space="preserve">one submitter </w:t>
      </w:r>
      <w:r w:rsidRPr="006D704D">
        <w:rPr>
          <w:lang w:eastAsia="en-AU"/>
        </w:rPr>
        <w:t>s</w:t>
      </w:r>
      <w:r w:rsidR="00217CFB">
        <w:rPr>
          <w:lang w:eastAsia="en-AU"/>
        </w:rPr>
        <w:t>ta</w:t>
      </w:r>
      <w:r w:rsidRPr="006D704D">
        <w:rPr>
          <w:lang w:eastAsia="en-AU"/>
        </w:rPr>
        <w:t xml:space="preserve">ted that </w:t>
      </w:r>
      <w:r w:rsidRPr="00B742B8">
        <w:rPr>
          <w:i/>
          <w:lang w:eastAsia="en-AU"/>
        </w:rPr>
        <w:t>‘being able to collect and store details of family medical histories is an essential public health measure which allows accurate preventative care, diagnosis, and treatment of individuals and their families’</w:t>
      </w:r>
      <w:r w:rsidRPr="006D704D">
        <w:rPr>
          <w:lang w:eastAsia="en-AU"/>
        </w:rPr>
        <w:t xml:space="preserve">. </w:t>
      </w:r>
      <w:r>
        <w:rPr>
          <w:lang w:eastAsia="en-AU"/>
        </w:rPr>
        <w:t xml:space="preserve"> </w:t>
      </w:r>
      <w:r w:rsidRPr="006D704D">
        <w:rPr>
          <w:lang w:eastAsia="en-AU"/>
        </w:rPr>
        <w:t xml:space="preserve">Similarly, </w:t>
      </w:r>
      <w:r>
        <w:rPr>
          <w:lang w:eastAsia="en-AU"/>
        </w:rPr>
        <w:t>another submitter</w:t>
      </w:r>
      <w:r w:rsidRPr="006D704D">
        <w:rPr>
          <w:lang w:eastAsia="en-AU"/>
        </w:rPr>
        <w:t xml:space="preserve"> </w:t>
      </w:r>
      <w:r w:rsidR="00F87D28">
        <w:rPr>
          <w:lang w:eastAsia="en-AU"/>
        </w:rPr>
        <w:t>stated</w:t>
      </w:r>
      <w:r w:rsidRPr="006D704D">
        <w:rPr>
          <w:lang w:eastAsia="en-AU"/>
        </w:rPr>
        <w:t xml:space="preserve"> that the effect of PIDs 10 and 10A is </w:t>
      </w:r>
      <w:r w:rsidRPr="00B742B8">
        <w:rPr>
          <w:i/>
          <w:lang w:eastAsia="en-AU"/>
        </w:rPr>
        <w:t>‘of great significance to the safety and quality of healthcare’</w:t>
      </w:r>
      <w:r w:rsidRPr="006D704D">
        <w:rPr>
          <w:lang w:eastAsia="en-AU"/>
        </w:rPr>
        <w:t xml:space="preserve">.  </w:t>
      </w:r>
    </w:p>
    <w:p w14:paraId="17A6E716" w14:textId="15CA9495" w:rsidR="003C0A80" w:rsidRPr="006D704D" w:rsidRDefault="003C0A80" w:rsidP="00B742B8">
      <w:pPr>
        <w:rPr>
          <w:lang w:eastAsia="en-AU"/>
        </w:rPr>
      </w:pPr>
      <w:r>
        <w:rPr>
          <w:lang w:eastAsia="en-AU"/>
        </w:rPr>
        <w:t>Several submissions</w:t>
      </w:r>
      <w:r w:rsidRPr="006D704D">
        <w:rPr>
          <w:lang w:eastAsia="en-AU"/>
        </w:rPr>
        <w:t xml:space="preserve"> supported the application on the basis that there is </w:t>
      </w:r>
      <w:r w:rsidRPr="00B742B8">
        <w:rPr>
          <w:i/>
          <w:lang w:eastAsia="en-AU"/>
        </w:rPr>
        <w:t>‘a clear public interest in relation to the early diagnosis and treatment of inherited genetic conditions’</w:t>
      </w:r>
      <w:r w:rsidRPr="006D704D">
        <w:rPr>
          <w:lang w:eastAsia="en-AU"/>
        </w:rPr>
        <w:t>.</w:t>
      </w:r>
    </w:p>
    <w:p w14:paraId="78FBF9E6" w14:textId="74D2AB8E" w:rsidR="00B20765" w:rsidRDefault="003C0A80" w:rsidP="00B742B8">
      <w:pPr>
        <w:rPr>
          <w:rFonts w:asciiTheme="minorHAnsi" w:eastAsia="Times New Roman" w:hAnsiTheme="minorHAnsi" w:cstheme="minorHAnsi"/>
          <w:szCs w:val="24"/>
          <w:lang w:eastAsia="en-AU"/>
        </w:rPr>
      </w:pPr>
      <w:r>
        <w:rPr>
          <w:rFonts w:asciiTheme="minorHAnsi" w:eastAsia="Times New Roman" w:hAnsiTheme="minorHAnsi" w:cstheme="minorHAnsi"/>
          <w:szCs w:val="24"/>
          <w:lang w:eastAsia="en-AU"/>
        </w:rPr>
        <w:t>One submitter also asserted that</w:t>
      </w:r>
      <w:r w:rsidR="00217CFB">
        <w:rPr>
          <w:rFonts w:asciiTheme="minorHAnsi" w:eastAsia="Times New Roman" w:hAnsiTheme="minorHAnsi" w:cstheme="minorHAnsi"/>
          <w:szCs w:val="24"/>
          <w:lang w:eastAsia="en-AU"/>
        </w:rPr>
        <w:t xml:space="preserve"> there is a</w:t>
      </w:r>
      <w:r>
        <w:rPr>
          <w:rFonts w:asciiTheme="minorHAnsi" w:eastAsia="Times New Roman" w:hAnsiTheme="minorHAnsi" w:cstheme="minorHAnsi"/>
          <w:szCs w:val="24"/>
          <w:lang w:eastAsia="en-AU"/>
        </w:rPr>
        <w:t xml:space="preserve"> </w:t>
      </w:r>
      <w:r w:rsidRPr="003C0A80">
        <w:rPr>
          <w:rFonts w:asciiTheme="minorHAnsi" w:eastAsia="Times New Roman" w:hAnsiTheme="minorHAnsi" w:cstheme="minorHAnsi"/>
          <w:szCs w:val="24"/>
          <w:lang w:eastAsia="en-AU"/>
        </w:rPr>
        <w:t xml:space="preserve">clear public interest in continuing to enable the collection of the health information of a third party from </w:t>
      </w:r>
      <w:r w:rsidRPr="003C0A80">
        <w:rPr>
          <w:rFonts w:asciiTheme="minorHAnsi" w:hAnsiTheme="minorHAnsi" w:cstheme="minorHAnsi"/>
        </w:rPr>
        <w:t>‘</w:t>
      </w:r>
      <w:r w:rsidRPr="003C0A80">
        <w:rPr>
          <w:rFonts w:asciiTheme="minorHAnsi" w:eastAsia="Times New Roman" w:hAnsiTheme="minorHAnsi" w:cstheme="minorHAnsi"/>
          <w:szCs w:val="24"/>
          <w:lang w:eastAsia="en-AU"/>
        </w:rPr>
        <w:t>persons responsible’ for th</w:t>
      </w:r>
      <w:r w:rsidR="00231CCA">
        <w:rPr>
          <w:rFonts w:asciiTheme="minorHAnsi" w:eastAsia="Times New Roman" w:hAnsiTheme="minorHAnsi" w:cstheme="minorHAnsi"/>
          <w:szCs w:val="24"/>
          <w:lang w:eastAsia="en-AU"/>
        </w:rPr>
        <w:t>e individual</w:t>
      </w:r>
      <w:r w:rsidRPr="003C0A80">
        <w:rPr>
          <w:rFonts w:asciiTheme="minorHAnsi" w:eastAsia="Times New Roman" w:hAnsiTheme="minorHAnsi" w:cstheme="minorHAnsi"/>
          <w:szCs w:val="24"/>
          <w:lang w:eastAsia="en-AU"/>
        </w:rPr>
        <w:t>, where th</w:t>
      </w:r>
      <w:r w:rsidR="00B20765">
        <w:rPr>
          <w:rFonts w:asciiTheme="minorHAnsi" w:eastAsia="Times New Roman" w:hAnsiTheme="minorHAnsi" w:cstheme="minorHAnsi"/>
          <w:szCs w:val="24"/>
          <w:lang w:eastAsia="en-AU"/>
        </w:rPr>
        <w:t>e</w:t>
      </w:r>
      <w:r w:rsidRPr="003C0A80">
        <w:rPr>
          <w:rFonts w:asciiTheme="minorHAnsi" w:eastAsia="Times New Roman" w:hAnsiTheme="minorHAnsi" w:cstheme="minorHAnsi"/>
          <w:szCs w:val="24"/>
          <w:lang w:eastAsia="en-AU"/>
        </w:rPr>
        <w:t xml:space="preserve"> </w:t>
      </w:r>
      <w:r w:rsidR="00231CCA">
        <w:rPr>
          <w:rFonts w:asciiTheme="minorHAnsi" w:eastAsia="Times New Roman" w:hAnsiTheme="minorHAnsi" w:cstheme="minorHAnsi"/>
          <w:szCs w:val="24"/>
          <w:lang w:eastAsia="en-AU"/>
        </w:rPr>
        <w:t>individual</w:t>
      </w:r>
      <w:r w:rsidRPr="003C0A80">
        <w:rPr>
          <w:rFonts w:asciiTheme="minorHAnsi" w:eastAsia="Times New Roman" w:hAnsiTheme="minorHAnsi" w:cstheme="minorHAnsi"/>
          <w:szCs w:val="24"/>
          <w:lang w:eastAsia="en-AU"/>
        </w:rPr>
        <w:t xml:space="preserve"> is incapacitated</w:t>
      </w:r>
      <w:r w:rsidR="00B20765">
        <w:rPr>
          <w:rFonts w:asciiTheme="minorHAnsi" w:eastAsia="Times New Roman" w:hAnsiTheme="minorHAnsi" w:cstheme="minorHAnsi"/>
          <w:szCs w:val="24"/>
          <w:lang w:eastAsia="en-AU"/>
        </w:rPr>
        <w:t xml:space="preserve">. </w:t>
      </w:r>
      <w:r w:rsidRPr="003C0A80">
        <w:rPr>
          <w:rFonts w:asciiTheme="minorHAnsi" w:eastAsia="Times New Roman" w:hAnsiTheme="minorHAnsi" w:cstheme="minorHAnsi"/>
          <w:szCs w:val="24"/>
          <w:lang w:eastAsia="en-AU"/>
        </w:rPr>
        <w:t xml:space="preserve"> </w:t>
      </w:r>
    </w:p>
    <w:p w14:paraId="0A9719CB" w14:textId="5F049A96" w:rsidR="003C0A80" w:rsidRPr="006D704D" w:rsidRDefault="00CC410A" w:rsidP="003C0A80">
      <w:pPr>
        <w:rPr>
          <w:i/>
          <w:lang w:eastAsia="en-AU"/>
        </w:rPr>
      </w:pPr>
      <w:r w:rsidRPr="00CC410A">
        <w:t>In assessing the public interest</w:t>
      </w:r>
      <w:r w:rsidR="00B20765">
        <w:t>,</w:t>
      </w:r>
      <w:r w:rsidRPr="00CC410A">
        <w:t xml:space="preserve"> the Privacy Commissioner also considered the extent to which the proposed act or practice is inconsistent with an individual’s reasonable expectation of privacy.  </w:t>
      </w:r>
      <w:r w:rsidR="003C0A80" w:rsidRPr="006D704D">
        <w:rPr>
          <w:lang w:eastAsia="en-AU"/>
        </w:rPr>
        <w:t>The practice of collecting health consumers’ family, social and medical histories for diagnosis, treatment and care – without the need to obtain third parties’ consent – is widespread, considered best clinical practice, and generally known and accepted in the community.</w:t>
      </w:r>
      <w:r w:rsidR="003C0A80">
        <w:rPr>
          <w:lang w:eastAsia="en-AU"/>
        </w:rPr>
        <w:t xml:space="preserve">  Several</w:t>
      </w:r>
      <w:r w:rsidR="003C0A80" w:rsidRPr="006D704D">
        <w:rPr>
          <w:lang w:eastAsia="en-AU"/>
        </w:rPr>
        <w:t xml:space="preserve"> submissions made specific reference to the high degree of consumer awareness regarding the importance of family, social and medical history information in facilitating accurate diagnosis and treatment.  The </w:t>
      </w:r>
      <w:r w:rsidR="004C51A5">
        <w:rPr>
          <w:lang w:eastAsia="en-AU"/>
        </w:rPr>
        <w:t>proposition</w:t>
      </w:r>
      <w:r w:rsidR="003C0A80" w:rsidRPr="006D704D">
        <w:rPr>
          <w:lang w:eastAsia="en-AU"/>
        </w:rPr>
        <w:t xml:space="preserve"> that this practice is consistent with individuals’ reasonable expectations is further </w:t>
      </w:r>
      <w:r w:rsidR="004C51A5">
        <w:rPr>
          <w:lang w:eastAsia="en-AU"/>
        </w:rPr>
        <w:t>supported</w:t>
      </w:r>
      <w:r w:rsidR="003C0A80" w:rsidRPr="006D704D">
        <w:rPr>
          <w:lang w:eastAsia="en-AU"/>
        </w:rPr>
        <w:t xml:space="preserve"> by the lack of complaints about the operation of PIDs 9 and 9A, and 10 and 10A, over the past ten years</w:t>
      </w:r>
      <w:r w:rsidR="003C0A80">
        <w:rPr>
          <w:lang w:eastAsia="en-AU"/>
        </w:rPr>
        <w:t>,</w:t>
      </w:r>
      <w:r w:rsidR="003C0A80" w:rsidRPr="006D704D">
        <w:rPr>
          <w:lang w:eastAsia="en-AU"/>
        </w:rPr>
        <w:t xml:space="preserve"> and by the absence of any submissions opposing Dr </w:t>
      </w:r>
      <w:proofErr w:type="spellStart"/>
      <w:r w:rsidR="003C0A80" w:rsidRPr="006D704D">
        <w:rPr>
          <w:lang w:eastAsia="en-AU"/>
        </w:rPr>
        <w:t>Hambleton’s</w:t>
      </w:r>
      <w:proofErr w:type="spellEnd"/>
      <w:r w:rsidR="003C0A80" w:rsidRPr="006D704D">
        <w:rPr>
          <w:lang w:eastAsia="en-AU"/>
        </w:rPr>
        <w:t xml:space="preserve"> application.</w:t>
      </w:r>
    </w:p>
    <w:p w14:paraId="64E466B7" w14:textId="0957DF77" w:rsidR="00CC410A" w:rsidRPr="00CC410A" w:rsidRDefault="00CC410A" w:rsidP="00CC410A">
      <w:pPr>
        <w:tabs>
          <w:tab w:val="left" w:pos="2730"/>
        </w:tabs>
      </w:pPr>
      <w:r w:rsidRPr="00CC410A">
        <w:t>The potential harm to individuals</w:t>
      </w:r>
      <w:r w:rsidR="00231CCA">
        <w:t>’</w:t>
      </w:r>
      <w:r w:rsidRPr="00CC410A">
        <w:t xml:space="preserve"> privacy was also a factor considered by the Privacy Commissioner.  The confidential setting in which medical and allied health consultations occur</w:t>
      </w:r>
      <w:r w:rsidR="00231CCA">
        <w:t>,</w:t>
      </w:r>
      <w:r w:rsidR="00231CCA" w:rsidRPr="00231CCA">
        <w:rPr>
          <w:lang w:eastAsia="en-AU"/>
        </w:rPr>
        <w:t xml:space="preserve"> </w:t>
      </w:r>
      <w:r w:rsidR="00231CCA">
        <w:rPr>
          <w:lang w:eastAsia="en-AU"/>
        </w:rPr>
        <w:t>provides reasonable safeguards to protect the</w:t>
      </w:r>
      <w:r w:rsidR="00231CCA" w:rsidRPr="006D704D">
        <w:rPr>
          <w:lang w:eastAsia="en-AU"/>
        </w:rPr>
        <w:t xml:space="preserve"> information </w:t>
      </w:r>
      <w:r w:rsidR="00231CCA">
        <w:rPr>
          <w:lang w:eastAsia="en-AU"/>
        </w:rPr>
        <w:t xml:space="preserve">collected </w:t>
      </w:r>
      <w:r w:rsidR="00231CCA" w:rsidRPr="006D704D">
        <w:rPr>
          <w:lang w:eastAsia="en-AU"/>
        </w:rPr>
        <w:t>about both the patients themselves a</w:t>
      </w:r>
      <w:r w:rsidR="00231CCA">
        <w:rPr>
          <w:lang w:eastAsia="en-AU"/>
        </w:rPr>
        <w:t>nd other relevant third parties</w:t>
      </w:r>
      <w:r w:rsidRPr="00CC410A">
        <w:t xml:space="preserve">.  Existing ethical protocols in these settings mean that all health information is collected in an environment of, using the applicant’s words, </w:t>
      </w:r>
      <w:r w:rsidRPr="003E0F68">
        <w:rPr>
          <w:i/>
        </w:rPr>
        <w:t xml:space="preserve">‘maximum consumer privacy </w:t>
      </w:r>
      <w:r w:rsidR="00E1710E">
        <w:rPr>
          <w:i/>
        </w:rPr>
        <w:t>(</w:t>
      </w:r>
      <w:r w:rsidRPr="003E0F68">
        <w:rPr>
          <w:i/>
        </w:rPr>
        <w:t>governed by professional codes of practice relating to confidentiality</w:t>
      </w:r>
      <w:r w:rsidR="00E1710E">
        <w:rPr>
          <w:i/>
        </w:rPr>
        <w:t>)</w:t>
      </w:r>
      <w:r w:rsidR="00E1710E" w:rsidRPr="003E0F68">
        <w:rPr>
          <w:i/>
        </w:rPr>
        <w:t>’</w:t>
      </w:r>
      <w:r w:rsidRPr="00CC410A">
        <w:t>.  The context in which the information is collected therefore reduces the risk of harm to individuals through inappropriate use or disclosure of their sensitive information.</w:t>
      </w:r>
    </w:p>
    <w:p w14:paraId="29455DFD" w14:textId="5859F94E" w:rsidR="00CC410A" w:rsidRPr="00CC410A" w:rsidRDefault="00CC410A" w:rsidP="00CC410A">
      <w:pPr>
        <w:tabs>
          <w:tab w:val="left" w:pos="2730"/>
        </w:tabs>
      </w:pPr>
      <w:r w:rsidRPr="00CC410A">
        <w:t xml:space="preserve">In addition to ethical clinical practice, the third parties’ information, once collected, will continue to be protected under NPPs 1 to 9 and 10.2 to 10.3.  For example, NPPs 1.1 and 1.2 ensure that information that is collected should be confined to that necessary to an organisation’s functions or activities, be collected only by lawful and fair means and in a way that is not unreasonably intrusive.  </w:t>
      </w:r>
    </w:p>
    <w:p w14:paraId="65336EC7" w14:textId="15720086" w:rsidR="00CC410A" w:rsidRPr="00CC410A" w:rsidRDefault="00CC410A" w:rsidP="00CC410A">
      <w:pPr>
        <w:tabs>
          <w:tab w:val="left" w:pos="2730"/>
        </w:tabs>
      </w:pPr>
      <w:r w:rsidRPr="00CC410A">
        <w:t>NPP 2 provides protection regarding the use and disclosure of the information collected under PIDs 10 and 10A.  Under NPP 2, information collected may generally only be used or disclosed for the primary purpose of collection</w:t>
      </w:r>
      <w:r w:rsidR="00231CCA">
        <w:t>,</w:t>
      </w:r>
      <w:r w:rsidRPr="00CC410A">
        <w:t xml:space="preserve"> such as establishing an individual’s family, social or medical history in order to provide a health service directly to the individual.  Exceptions do apply</w:t>
      </w:r>
      <w:r w:rsidR="004F65D1">
        <w:t>.  F</w:t>
      </w:r>
      <w:r w:rsidRPr="00CC410A">
        <w:t>or example, under NPP 2.1(a)</w:t>
      </w:r>
      <w:r w:rsidR="00B20765">
        <w:t xml:space="preserve">, </w:t>
      </w:r>
      <w:r w:rsidRPr="00CC410A">
        <w:t xml:space="preserve">information may be used or disclosed for a directly related secondary purpose within the reasonable expectations of the person to whom the information relates.  Other limited exceptions are set out in </w:t>
      </w:r>
      <w:r w:rsidR="00B20765">
        <w:t>NPP</w:t>
      </w:r>
      <w:r w:rsidR="00B20765" w:rsidRPr="00CC410A">
        <w:t xml:space="preserve"> </w:t>
      </w:r>
      <w:r w:rsidRPr="00CC410A">
        <w:t>2.1(b)</w:t>
      </w:r>
      <w:r w:rsidR="00B20765">
        <w:t>,</w:t>
      </w:r>
      <w:r w:rsidRPr="00CC410A">
        <w:t xml:space="preserve"> and 2.1(d) to 2.1(h).  Overall, the remaining NPPs appear to provide adequately for the protection of information that may be collected under PIDs 1</w:t>
      </w:r>
      <w:r w:rsidR="00B20765">
        <w:t>2</w:t>
      </w:r>
      <w:r w:rsidRPr="00CC410A">
        <w:t xml:space="preserve"> and 1</w:t>
      </w:r>
      <w:r w:rsidR="00B20765">
        <w:t>2</w:t>
      </w:r>
      <w:r w:rsidRPr="00CC410A">
        <w:t>A.</w:t>
      </w:r>
    </w:p>
    <w:p w14:paraId="012DA728" w14:textId="525A648A" w:rsidR="00CC410A" w:rsidRPr="00CC410A" w:rsidRDefault="00CC410A" w:rsidP="00CC410A">
      <w:pPr>
        <w:tabs>
          <w:tab w:val="left" w:pos="2730"/>
        </w:tabs>
      </w:pPr>
      <w:r w:rsidRPr="00CC410A">
        <w:t xml:space="preserve">Accordingly, the Privacy Commissioner found that the public interest in permitting the practice </w:t>
      </w:r>
      <w:r w:rsidR="00B20765">
        <w:t xml:space="preserve">in the circumstances specified in PID 12 </w:t>
      </w:r>
      <w:r w:rsidRPr="00CC410A">
        <w:t>substantially outweighed the public interest in maintaining the privacy protections of NPP 10.1 in th</w:t>
      </w:r>
      <w:r w:rsidR="00B20765">
        <w:t>o</w:t>
      </w:r>
      <w:r w:rsidRPr="00CC410A">
        <w:t>se circumstances.</w:t>
      </w:r>
    </w:p>
    <w:p w14:paraId="5FB7B6F0" w14:textId="518ABF8A" w:rsidR="00CC410A" w:rsidRPr="00CC410A" w:rsidRDefault="00CC410A" w:rsidP="00B742B8">
      <w:pPr>
        <w:pStyle w:val="Heading2"/>
      </w:pPr>
      <w:r w:rsidRPr="00CC410A">
        <w:t>3.</w:t>
      </w:r>
      <w:r w:rsidRPr="00CC410A">
        <w:tab/>
      </w:r>
      <w:r w:rsidR="001A4995" w:rsidRPr="00CC410A">
        <w:t xml:space="preserve">Operation </w:t>
      </w:r>
      <w:r w:rsidR="001A4995">
        <w:t>o</w:t>
      </w:r>
      <w:r w:rsidR="001A4995" w:rsidRPr="00CC410A">
        <w:t>f Public Interest Determinations 1</w:t>
      </w:r>
      <w:r w:rsidR="001A4995">
        <w:t>2</w:t>
      </w:r>
      <w:r w:rsidR="001A4995" w:rsidRPr="00CC410A">
        <w:t xml:space="preserve"> </w:t>
      </w:r>
      <w:r w:rsidR="00E1710E">
        <w:t>a</w:t>
      </w:r>
      <w:r w:rsidR="001A4995" w:rsidRPr="00CC410A">
        <w:t>nd 1</w:t>
      </w:r>
      <w:r w:rsidR="001A4995">
        <w:t>2A</w:t>
      </w:r>
    </w:p>
    <w:p w14:paraId="25F1F180" w14:textId="28293220" w:rsidR="00CC410A" w:rsidRPr="00CC410A" w:rsidRDefault="00CC410A" w:rsidP="00CC410A">
      <w:pPr>
        <w:tabs>
          <w:tab w:val="left" w:pos="2730"/>
        </w:tabs>
        <w:rPr>
          <w:lang w:val="en-GB"/>
        </w:rPr>
      </w:pPr>
      <w:r w:rsidRPr="00CC410A">
        <w:rPr>
          <w:lang w:val="en-GB"/>
        </w:rPr>
        <w:t>PID 1</w:t>
      </w:r>
      <w:r w:rsidR="004C51A5">
        <w:rPr>
          <w:lang w:val="en-GB"/>
        </w:rPr>
        <w:t>2</w:t>
      </w:r>
      <w:r w:rsidRPr="00CC410A">
        <w:rPr>
          <w:lang w:val="en-GB"/>
        </w:rPr>
        <w:t xml:space="preserve"> applies directly to the applicant, Dr </w:t>
      </w:r>
      <w:r w:rsidR="004C51A5">
        <w:rPr>
          <w:lang w:val="en-GB"/>
        </w:rPr>
        <w:t xml:space="preserve">Steve </w:t>
      </w:r>
      <w:proofErr w:type="spellStart"/>
      <w:r w:rsidR="004C51A5">
        <w:rPr>
          <w:lang w:val="en-GB"/>
        </w:rPr>
        <w:t>Hambleton</w:t>
      </w:r>
      <w:proofErr w:type="spellEnd"/>
      <w:r w:rsidRPr="00CC410A">
        <w:rPr>
          <w:lang w:val="en-GB"/>
        </w:rPr>
        <w:t xml:space="preserve">, in his capacity as the provider of a </w:t>
      </w:r>
      <w:r w:rsidRPr="00B742B8">
        <w:rPr>
          <w:i/>
          <w:lang w:val="en-GB"/>
        </w:rPr>
        <w:t>‘health service’</w:t>
      </w:r>
      <w:r w:rsidRPr="00CC410A">
        <w:rPr>
          <w:lang w:val="en-GB"/>
        </w:rPr>
        <w:t xml:space="preserve"> and hence an </w:t>
      </w:r>
      <w:r w:rsidRPr="00B742B8">
        <w:rPr>
          <w:i/>
          <w:lang w:val="en-GB"/>
        </w:rPr>
        <w:t>‘organisation’</w:t>
      </w:r>
      <w:r w:rsidRPr="00CC410A">
        <w:rPr>
          <w:lang w:val="en-GB"/>
        </w:rPr>
        <w:t xml:space="preserve"> under the Privacy Act.</w:t>
      </w:r>
    </w:p>
    <w:p w14:paraId="4DCA8CF2" w14:textId="5019C473" w:rsidR="00CC410A" w:rsidRPr="00CC410A" w:rsidRDefault="00CC410A" w:rsidP="00CC410A">
      <w:pPr>
        <w:tabs>
          <w:tab w:val="left" w:pos="2730"/>
        </w:tabs>
        <w:rPr>
          <w:lang w:val="en-GB"/>
        </w:rPr>
      </w:pPr>
      <w:r w:rsidRPr="00CC410A">
        <w:rPr>
          <w:lang w:val="en-GB"/>
        </w:rPr>
        <w:t>PID 1</w:t>
      </w:r>
      <w:r w:rsidR="004C51A5">
        <w:rPr>
          <w:lang w:val="en-GB"/>
        </w:rPr>
        <w:t>2</w:t>
      </w:r>
      <w:r w:rsidRPr="00CC410A">
        <w:rPr>
          <w:lang w:val="en-GB"/>
        </w:rPr>
        <w:t xml:space="preserve">A applies to all other organisations that provide a </w:t>
      </w:r>
      <w:r w:rsidRPr="003E0F68">
        <w:rPr>
          <w:i/>
          <w:lang w:val="en-GB"/>
        </w:rPr>
        <w:t>‘health service’</w:t>
      </w:r>
      <w:r w:rsidR="00B20765">
        <w:rPr>
          <w:lang w:val="en-GB"/>
        </w:rPr>
        <w:t xml:space="preserve"> within the meaning of the Privacy Act </w:t>
      </w:r>
      <w:r w:rsidRPr="00CC410A">
        <w:rPr>
          <w:lang w:val="en-GB"/>
        </w:rPr>
        <w:t xml:space="preserve">(health service providers) where those organisations collect third party information in the circumstances </w:t>
      </w:r>
      <w:r w:rsidR="00B20765">
        <w:rPr>
          <w:lang w:val="en-GB"/>
        </w:rPr>
        <w:t>specified by</w:t>
      </w:r>
      <w:r w:rsidR="00B20765" w:rsidRPr="00CC410A">
        <w:rPr>
          <w:lang w:val="en-GB"/>
        </w:rPr>
        <w:t xml:space="preserve"> </w:t>
      </w:r>
      <w:r w:rsidRPr="00CC410A">
        <w:rPr>
          <w:lang w:val="en-GB"/>
        </w:rPr>
        <w:t>PID 1</w:t>
      </w:r>
      <w:r w:rsidR="00B20765">
        <w:rPr>
          <w:lang w:val="en-GB"/>
        </w:rPr>
        <w:t>2</w:t>
      </w:r>
      <w:r w:rsidRPr="00CC410A">
        <w:rPr>
          <w:lang w:val="en-GB"/>
        </w:rPr>
        <w:t xml:space="preserve">. </w:t>
      </w:r>
    </w:p>
    <w:p w14:paraId="6E8E0AC2" w14:textId="10EE51C8" w:rsidR="00CC410A" w:rsidRPr="00CC410A" w:rsidRDefault="00CC410A" w:rsidP="00CC410A">
      <w:pPr>
        <w:tabs>
          <w:tab w:val="left" w:pos="2730"/>
        </w:tabs>
        <w:rPr>
          <w:lang w:val="en-GB"/>
        </w:rPr>
      </w:pPr>
      <w:r w:rsidRPr="00CC410A">
        <w:rPr>
          <w:lang w:val="en-GB"/>
        </w:rPr>
        <w:t xml:space="preserve">Under s6 of the Privacy Act, </w:t>
      </w:r>
      <w:r w:rsidRPr="003E0F68">
        <w:rPr>
          <w:i/>
          <w:lang w:val="en-GB"/>
        </w:rPr>
        <w:t>‘health service’</w:t>
      </w:r>
      <w:r w:rsidRPr="00CC410A">
        <w:rPr>
          <w:lang w:val="en-GB"/>
        </w:rPr>
        <w:t xml:space="preserve"> means:</w:t>
      </w:r>
    </w:p>
    <w:p w14:paraId="5A3FB56D" w14:textId="77777777" w:rsidR="00CC410A" w:rsidRPr="00B742B8" w:rsidRDefault="00CC410A" w:rsidP="004C51A5">
      <w:pPr>
        <w:numPr>
          <w:ilvl w:val="0"/>
          <w:numId w:val="7"/>
        </w:numPr>
        <w:tabs>
          <w:tab w:val="num" w:pos="709"/>
          <w:tab w:val="num" w:pos="900"/>
          <w:tab w:val="left" w:pos="2730"/>
        </w:tabs>
        <w:ind w:hanging="731"/>
        <w:rPr>
          <w:i/>
          <w:lang w:val="en-GB"/>
        </w:rPr>
      </w:pPr>
      <w:r w:rsidRPr="00B742B8">
        <w:rPr>
          <w:i/>
          <w:lang w:val="en-GB"/>
        </w:rPr>
        <w:t>an activity performed in relation to an individual that is intended or claimed (expressly or otherwise) by the individual or the person performing it:</w:t>
      </w:r>
    </w:p>
    <w:p w14:paraId="592007AA" w14:textId="77777777" w:rsidR="00CC410A" w:rsidRPr="00B742B8" w:rsidRDefault="00CC410A" w:rsidP="004C51A5">
      <w:pPr>
        <w:numPr>
          <w:ilvl w:val="1"/>
          <w:numId w:val="7"/>
        </w:numPr>
        <w:tabs>
          <w:tab w:val="clear" w:pos="1800"/>
          <w:tab w:val="num" w:pos="709"/>
          <w:tab w:val="num" w:pos="1440"/>
          <w:tab w:val="num" w:pos="2127"/>
          <w:tab w:val="left" w:pos="2730"/>
        </w:tabs>
        <w:ind w:left="1985" w:hanging="567"/>
        <w:rPr>
          <w:i/>
          <w:lang w:val="en-GB"/>
        </w:rPr>
      </w:pPr>
      <w:r w:rsidRPr="00B742B8">
        <w:rPr>
          <w:i/>
          <w:lang w:val="en-GB"/>
        </w:rPr>
        <w:t>to assess, record, maintain or improve the individual’s health; or</w:t>
      </w:r>
    </w:p>
    <w:p w14:paraId="3CD2E245" w14:textId="77777777" w:rsidR="00CC410A" w:rsidRPr="00B742B8" w:rsidRDefault="00CC410A" w:rsidP="004C51A5">
      <w:pPr>
        <w:numPr>
          <w:ilvl w:val="1"/>
          <w:numId w:val="7"/>
        </w:numPr>
        <w:tabs>
          <w:tab w:val="clear" w:pos="1800"/>
          <w:tab w:val="num" w:pos="709"/>
          <w:tab w:val="num" w:pos="1440"/>
          <w:tab w:val="num" w:pos="2127"/>
          <w:tab w:val="left" w:pos="2730"/>
        </w:tabs>
        <w:ind w:left="1985" w:hanging="567"/>
        <w:rPr>
          <w:i/>
          <w:lang w:val="en-GB"/>
        </w:rPr>
      </w:pPr>
      <w:r w:rsidRPr="00B742B8">
        <w:rPr>
          <w:i/>
          <w:lang w:val="en-GB"/>
        </w:rPr>
        <w:t>to diagnose the individual’s illness or disability; or</w:t>
      </w:r>
    </w:p>
    <w:p w14:paraId="013F3EEC" w14:textId="77777777" w:rsidR="00CC410A" w:rsidRPr="00B742B8" w:rsidRDefault="00CC410A" w:rsidP="004C51A5">
      <w:pPr>
        <w:numPr>
          <w:ilvl w:val="1"/>
          <w:numId w:val="7"/>
        </w:numPr>
        <w:tabs>
          <w:tab w:val="clear" w:pos="1800"/>
          <w:tab w:val="num" w:pos="709"/>
          <w:tab w:val="num" w:pos="1440"/>
          <w:tab w:val="num" w:pos="2127"/>
          <w:tab w:val="left" w:pos="2730"/>
        </w:tabs>
        <w:ind w:left="1985" w:hanging="567"/>
        <w:rPr>
          <w:i/>
          <w:lang w:val="en-GB"/>
        </w:rPr>
      </w:pPr>
      <w:r w:rsidRPr="00B742B8">
        <w:rPr>
          <w:i/>
          <w:lang w:val="en-GB"/>
        </w:rPr>
        <w:t>to treat the individual’s illness or disability or suspected illness or disability; or</w:t>
      </w:r>
    </w:p>
    <w:p w14:paraId="725D8CA4" w14:textId="77777777" w:rsidR="00CC410A" w:rsidRPr="00B742B8" w:rsidRDefault="00CC410A" w:rsidP="004C51A5">
      <w:pPr>
        <w:numPr>
          <w:ilvl w:val="0"/>
          <w:numId w:val="7"/>
        </w:numPr>
        <w:tabs>
          <w:tab w:val="num" w:pos="709"/>
          <w:tab w:val="num" w:pos="900"/>
          <w:tab w:val="left" w:pos="2730"/>
        </w:tabs>
        <w:ind w:hanging="731"/>
        <w:rPr>
          <w:i/>
          <w:lang w:val="en-GB"/>
        </w:rPr>
      </w:pPr>
      <w:proofErr w:type="gramStart"/>
      <w:r w:rsidRPr="00B742B8">
        <w:rPr>
          <w:i/>
          <w:lang w:val="en-GB"/>
        </w:rPr>
        <w:t>the</w:t>
      </w:r>
      <w:proofErr w:type="gramEnd"/>
      <w:r w:rsidRPr="00B742B8">
        <w:rPr>
          <w:i/>
          <w:lang w:val="en-GB"/>
        </w:rPr>
        <w:t xml:space="preserve"> dispensing on prescription of a drug or medicinal preparation by a pharmacist.</w:t>
      </w:r>
    </w:p>
    <w:p w14:paraId="09E97687" w14:textId="7D2CE630" w:rsidR="00CC410A" w:rsidRPr="00CC410A" w:rsidRDefault="00CC410A" w:rsidP="00CC410A">
      <w:pPr>
        <w:tabs>
          <w:tab w:val="left" w:pos="2730"/>
        </w:tabs>
        <w:rPr>
          <w:lang w:val="en-GB"/>
        </w:rPr>
      </w:pPr>
      <w:r w:rsidRPr="00CC410A">
        <w:rPr>
          <w:lang w:val="en-GB"/>
        </w:rPr>
        <w:t xml:space="preserve">Accordingly, the Privacy Act and these </w:t>
      </w:r>
      <w:r w:rsidR="004C51A5">
        <w:rPr>
          <w:lang w:val="en-GB"/>
        </w:rPr>
        <w:t>PIDs</w:t>
      </w:r>
      <w:r w:rsidRPr="00CC410A">
        <w:rPr>
          <w:lang w:val="en-GB"/>
        </w:rPr>
        <w:t xml:space="preserve"> apply to all private sector organisations that deliver these types of services and hold health information</w:t>
      </w:r>
      <w:r w:rsidR="00B20765">
        <w:rPr>
          <w:lang w:val="en-GB"/>
        </w:rPr>
        <w:t>,</w:t>
      </w:r>
      <w:r w:rsidRPr="00CC410A">
        <w:rPr>
          <w:lang w:val="en-GB"/>
        </w:rPr>
        <w:t xml:space="preserve"> including small health service providers.</w:t>
      </w:r>
      <w:r w:rsidR="00B20765">
        <w:rPr>
          <w:rStyle w:val="FootnoteReference"/>
          <w:lang w:val="en-GB"/>
        </w:rPr>
        <w:footnoteReference w:id="8"/>
      </w:r>
      <w:r w:rsidRPr="00CC410A">
        <w:rPr>
          <w:lang w:val="en-GB"/>
        </w:rPr>
        <w:t xml:space="preserve">  The types of health services covered include traditional health service providers such as private hospitals and day surgeries, medical practitioners, pharmacists and allied health professionals, such as counsellors, as well as complementary therapists, gyms, weight loss clinics and many others.</w:t>
      </w:r>
    </w:p>
    <w:p w14:paraId="5C74DD4D" w14:textId="3E87CD94" w:rsidR="00CC410A" w:rsidRPr="00CC410A" w:rsidRDefault="00CC410A" w:rsidP="00B742B8">
      <w:pPr>
        <w:pStyle w:val="Heading2"/>
      </w:pPr>
      <w:r w:rsidRPr="00CC410A">
        <w:t>4.</w:t>
      </w:r>
      <w:r w:rsidRPr="00CC410A">
        <w:tab/>
      </w:r>
      <w:r w:rsidR="001A4995" w:rsidRPr="00CC410A">
        <w:t xml:space="preserve">Consultation </w:t>
      </w:r>
      <w:r w:rsidR="001A4995">
        <w:t>p</w:t>
      </w:r>
      <w:r w:rsidR="001A4995" w:rsidRPr="00CC410A">
        <w:t>rocess</w:t>
      </w:r>
    </w:p>
    <w:p w14:paraId="0A5ABF06" w14:textId="756DE82C" w:rsidR="004C51A5" w:rsidRDefault="00CC410A" w:rsidP="00CC410A">
      <w:pPr>
        <w:tabs>
          <w:tab w:val="left" w:pos="2730"/>
        </w:tabs>
      </w:pPr>
      <w:r w:rsidRPr="00CC410A">
        <w:t xml:space="preserve">Part VI of the Privacy Act requires the Commissioner </w:t>
      </w:r>
      <w:r w:rsidR="000A697D">
        <w:t xml:space="preserve">to </w:t>
      </w:r>
      <w:r w:rsidRPr="00CC410A">
        <w:t xml:space="preserve">conduct consultation before making a PID.  </w:t>
      </w:r>
    </w:p>
    <w:p w14:paraId="565EF9CF" w14:textId="77777777" w:rsidR="004C51A5" w:rsidRDefault="004C51A5" w:rsidP="004C51A5">
      <w:r>
        <w:t>Section 74 of the Privacy Act requires the Commissioner to publish, in such manner as they think fit, notice of the receipt of an application for a PID.</w:t>
      </w:r>
    </w:p>
    <w:p w14:paraId="14A24F9F" w14:textId="7A15CBF0" w:rsidR="004C51A5" w:rsidRPr="006D704D" w:rsidRDefault="00CC410A" w:rsidP="004C51A5">
      <w:pPr>
        <w:rPr>
          <w:lang w:eastAsia="en-AU"/>
        </w:rPr>
      </w:pPr>
      <w:r w:rsidRPr="00CC410A">
        <w:t xml:space="preserve">Pursuant to s74, </w:t>
      </w:r>
      <w:r w:rsidR="004C51A5">
        <w:t>o</w:t>
      </w:r>
      <w:r w:rsidR="004C51A5" w:rsidRPr="006D704D">
        <w:rPr>
          <w:lang w:eastAsia="en-AU"/>
        </w:rPr>
        <w:t xml:space="preserve">n </w:t>
      </w:r>
      <w:r w:rsidR="004C51A5" w:rsidRPr="00072576">
        <w:rPr>
          <w:lang w:eastAsia="en-AU"/>
        </w:rPr>
        <w:t>20 October 2011</w:t>
      </w:r>
      <w:r w:rsidR="004C51A5" w:rsidRPr="002B32BB">
        <w:rPr>
          <w:lang w:eastAsia="en-AU"/>
        </w:rPr>
        <w:t>,</w:t>
      </w:r>
      <w:r w:rsidR="004C51A5" w:rsidRPr="006D704D">
        <w:rPr>
          <w:lang w:eastAsia="en-AU"/>
        </w:rPr>
        <w:t xml:space="preserve"> the</w:t>
      </w:r>
      <w:r w:rsidR="004C51A5">
        <w:rPr>
          <w:lang w:eastAsia="en-AU"/>
        </w:rPr>
        <w:t xml:space="preserve"> Privacy Commissioner published on the website of the Office of the Australian Information Commissioner (the</w:t>
      </w:r>
      <w:r w:rsidR="004C51A5" w:rsidRPr="006D704D">
        <w:rPr>
          <w:lang w:eastAsia="en-AU"/>
        </w:rPr>
        <w:t xml:space="preserve"> OAIC</w:t>
      </w:r>
      <w:r w:rsidR="004C51A5">
        <w:rPr>
          <w:lang w:eastAsia="en-AU"/>
        </w:rPr>
        <w:t>)</w:t>
      </w:r>
      <w:r w:rsidR="004C51A5" w:rsidRPr="006D704D">
        <w:rPr>
          <w:lang w:eastAsia="en-AU"/>
        </w:rPr>
        <w:t>:</w:t>
      </w:r>
    </w:p>
    <w:p w14:paraId="31D53CF0" w14:textId="77777777" w:rsidR="004C51A5" w:rsidRPr="006D704D" w:rsidRDefault="004C51A5" w:rsidP="004C51A5">
      <w:pPr>
        <w:pStyle w:val="ListParagraph"/>
        <w:rPr>
          <w:lang w:eastAsia="en-AU"/>
        </w:rPr>
      </w:pPr>
      <w:r w:rsidRPr="006D704D">
        <w:rPr>
          <w:lang w:eastAsia="en-AU"/>
        </w:rPr>
        <w:t xml:space="preserve">a copy of Dr </w:t>
      </w:r>
      <w:proofErr w:type="spellStart"/>
      <w:r w:rsidRPr="006D704D">
        <w:rPr>
          <w:lang w:eastAsia="en-AU"/>
        </w:rPr>
        <w:t>Hambleton’s</w:t>
      </w:r>
      <w:proofErr w:type="spellEnd"/>
      <w:r w:rsidRPr="006D704D">
        <w:rPr>
          <w:lang w:eastAsia="en-AU"/>
        </w:rPr>
        <w:t xml:space="preserve"> application, and</w:t>
      </w:r>
    </w:p>
    <w:p w14:paraId="5C8F832D" w14:textId="68ABD96B" w:rsidR="004C51A5" w:rsidRPr="006D704D" w:rsidRDefault="004C51A5" w:rsidP="004C51A5">
      <w:pPr>
        <w:pStyle w:val="ListParagraph"/>
        <w:rPr>
          <w:lang w:eastAsia="en-AU"/>
        </w:rPr>
      </w:pPr>
      <w:proofErr w:type="gramStart"/>
      <w:r w:rsidRPr="006D704D">
        <w:rPr>
          <w:lang w:eastAsia="en-AU"/>
        </w:rPr>
        <w:t>a</w:t>
      </w:r>
      <w:proofErr w:type="gramEnd"/>
      <w:r w:rsidRPr="006D704D">
        <w:rPr>
          <w:lang w:eastAsia="en-AU"/>
        </w:rPr>
        <w:t xml:space="preserve"> consultation paper that included supporting information regarding Dr</w:t>
      </w:r>
      <w:r w:rsidR="00AA1601">
        <w:rPr>
          <w:lang w:eastAsia="en-AU"/>
        </w:rPr>
        <w:t> </w:t>
      </w:r>
      <w:proofErr w:type="spellStart"/>
      <w:r w:rsidRPr="006D704D">
        <w:rPr>
          <w:lang w:eastAsia="en-AU"/>
        </w:rPr>
        <w:t>Hambleton’s</w:t>
      </w:r>
      <w:proofErr w:type="spellEnd"/>
      <w:r w:rsidRPr="006D704D">
        <w:rPr>
          <w:lang w:eastAsia="en-AU"/>
        </w:rPr>
        <w:t xml:space="preserve"> application, the existing </w:t>
      </w:r>
      <w:r>
        <w:rPr>
          <w:lang w:eastAsia="en-AU"/>
        </w:rPr>
        <w:t>PIDs</w:t>
      </w:r>
      <w:r w:rsidRPr="006D704D">
        <w:rPr>
          <w:lang w:eastAsia="en-AU"/>
        </w:rPr>
        <w:t xml:space="preserve"> 10 and 10A, the issues raised by Dr</w:t>
      </w:r>
      <w:r w:rsidR="00AA1601">
        <w:rPr>
          <w:lang w:eastAsia="en-AU"/>
        </w:rPr>
        <w:t> </w:t>
      </w:r>
      <w:proofErr w:type="spellStart"/>
      <w:r w:rsidRPr="006D704D">
        <w:rPr>
          <w:lang w:eastAsia="en-AU"/>
        </w:rPr>
        <w:t>Hambleton’s</w:t>
      </w:r>
      <w:proofErr w:type="spellEnd"/>
      <w:r w:rsidRPr="006D704D">
        <w:rPr>
          <w:lang w:eastAsia="en-AU"/>
        </w:rPr>
        <w:t xml:space="preserve"> application, </w:t>
      </w:r>
      <w:r w:rsidR="000A697D">
        <w:rPr>
          <w:lang w:eastAsia="en-AU"/>
        </w:rPr>
        <w:t>the Commissioner’s</w:t>
      </w:r>
      <w:r w:rsidRPr="006D704D">
        <w:rPr>
          <w:lang w:eastAsia="en-AU"/>
        </w:rPr>
        <w:t xml:space="preserve"> preliminary views, and how to make a submission regarding the application</w:t>
      </w:r>
      <w:r>
        <w:rPr>
          <w:lang w:eastAsia="en-AU"/>
        </w:rPr>
        <w:t xml:space="preserve"> and proposed PIDs</w:t>
      </w:r>
      <w:r w:rsidRPr="006D704D">
        <w:rPr>
          <w:lang w:eastAsia="en-AU"/>
        </w:rPr>
        <w:t>.</w:t>
      </w:r>
      <w:r w:rsidRPr="006D704D">
        <w:rPr>
          <w:vertAlign w:val="superscript"/>
          <w:lang w:eastAsia="en-AU"/>
        </w:rPr>
        <w:footnoteReference w:id="9"/>
      </w:r>
      <w:r w:rsidRPr="006D704D">
        <w:rPr>
          <w:lang w:eastAsia="en-AU"/>
        </w:rPr>
        <w:t xml:space="preserve"> </w:t>
      </w:r>
    </w:p>
    <w:p w14:paraId="08A833D6" w14:textId="216D7C09" w:rsidR="004C51A5" w:rsidRDefault="004C51A5" w:rsidP="004C51A5">
      <w:pPr>
        <w:rPr>
          <w:lang w:eastAsia="en-AU"/>
        </w:rPr>
      </w:pPr>
      <w:r w:rsidRPr="006D704D">
        <w:rPr>
          <w:lang w:eastAsia="en-AU"/>
        </w:rPr>
        <w:t>All material was published in accessible and downloadable formats, and was available in hard copy on request.</w:t>
      </w:r>
    </w:p>
    <w:p w14:paraId="37D94E18" w14:textId="77777777" w:rsidR="004C51A5" w:rsidRDefault="004C51A5" w:rsidP="004C51A5">
      <w:pPr>
        <w:rPr>
          <w:lang w:eastAsia="en-AU"/>
        </w:rPr>
      </w:pPr>
      <w:r>
        <w:rPr>
          <w:lang w:eastAsia="en-AU"/>
        </w:rPr>
        <w:t>The consultation was publicised:</w:t>
      </w:r>
    </w:p>
    <w:p w14:paraId="2695AEC9" w14:textId="6CF4A8C2" w:rsidR="004C51A5" w:rsidRDefault="004C51A5" w:rsidP="004C51A5">
      <w:pPr>
        <w:pStyle w:val="ListParagraph"/>
        <w:numPr>
          <w:ilvl w:val="0"/>
          <w:numId w:val="8"/>
        </w:numPr>
        <w:rPr>
          <w:lang w:eastAsia="en-AU"/>
        </w:rPr>
      </w:pPr>
      <w:r>
        <w:rPr>
          <w:lang w:eastAsia="en-AU"/>
        </w:rPr>
        <w:t xml:space="preserve">by notation on the OAIC’s website </w:t>
      </w:r>
    </w:p>
    <w:p w14:paraId="575F141C" w14:textId="77777777" w:rsidR="004C51A5" w:rsidRDefault="004C51A5" w:rsidP="004C51A5">
      <w:pPr>
        <w:pStyle w:val="ListParagraph"/>
        <w:numPr>
          <w:ilvl w:val="0"/>
          <w:numId w:val="8"/>
        </w:numPr>
        <w:rPr>
          <w:lang w:eastAsia="en-AU"/>
        </w:rPr>
      </w:pPr>
      <w:r>
        <w:rPr>
          <w:lang w:eastAsia="en-AU"/>
        </w:rPr>
        <w:t>on the OAIC’s Twitter feed</w:t>
      </w:r>
    </w:p>
    <w:p w14:paraId="75934DC3" w14:textId="60755C94" w:rsidR="004C51A5" w:rsidRDefault="004C51A5" w:rsidP="004C51A5">
      <w:pPr>
        <w:pStyle w:val="ListParagraph"/>
        <w:numPr>
          <w:ilvl w:val="0"/>
          <w:numId w:val="8"/>
        </w:numPr>
        <w:rPr>
          <w:lang w:eastAsia="en-AU"/>
        </w:rPr>
      </w:pPr>
      <w:r>
        <w:rPr>
          <w:lang w:eastAsia="en-AU"/>
        </w:rPr>
        <w:t xml:space="preserve">through the OAIC email list, </w:t>
      </w:r>
      <w:proofErr w:type="spellStart"/>
      <w:r>
        <w:rPr>
          <w:lang w:eastAsia="en-AU"/>
        </w:rPr>
        <w:t>OAICnet</w:t>
      </w:r>
      <w:proofErr w:type="spellEnd"/>
      <w:r w:rsidR="00F87D28">
        <w:rPr>
          <w:lang w:eastAsia="en-AU"/>
        </w:rPr>
        <w:t>, and</w:t>
      </w:r>
      <w:r>
        <w:rPr>
          <w:lang w:eastAsia="en-AU"/>
        </w:rPr>
        <w:t xml:space="preserve"> </w:t>
      </w:r>
    </w:p>
    <w:p w14:paraId="2F1B18A5" w14:textId="00FAFF8F" w:rsidR="004C51A5" w:rsidRDefault="004C51A5" w:rsidP="004C51A5">
      <w:pPr>
        <w:pStyle w:val="ListParagraph"/>
        <w:numPr>
          <w:ilvl w:val="0"/>
          <w:numId w:val="8"/>
        </w:numPr>
        <w:rPr>
          <w:lang w:eastAsia="en-AU"/>
        </w:rPr>
      </w:pPr>
      <w:proofErr w:type="gramStart"/>
      <w:r>
        <w:rPr>
          <w:lang w:eastAsia="en-AU"/>
        </w:rPr>
        <w:t>through</w:t>
      </w:r>
      <w:proofErr w:type="gramEnd"/>
      <w:r>
        <w:rPr>
          <w:lang w:eastAsia="en-AU"/>
        </w:rPr>
        <w:t xml:space="preserve"> the OAIC’s RDF Site Summary (RSS) feed</w:t>
      </w:r>
      <w:r w:rsidR="00F87D28">
        <w:rPr>
          <w:lang w:eastAsia="en-AU"/>
        </w:rPr>
        <w:t>.</w:t>
      </w:r>
    </w:p>
    <w:p w14:paraId="3D8D2D83" w14:textId="5BF218F1" w:rsidR="004C51A5" w:rsidRPr="006D704D" w:rsidRDefault="004C51A5" w:rsidP="00B742B8">
      <w:pPr>
        <w:tabs>
          <w:tab w:val="left" w:pos="2730"/>
        </w:tabs>
        <w:rPr>
          <w:lang w:eastAsia="en-AU"/>
        </w:rPr>
      </w:pPr>
      <w:r>
        <w:t xml:space="preserve">In addition, the OAIC </w:t>
      </w:r>
      <w:r>
        <w:rPr>
          <w:lang w:eastAsia="en-AU"/>
        </w:rPr>
        <w:t>directly contacted (by letter or email) the following individuals and entities to notify them of</w:t>
      </w:r>
      <w:r w:rsidRPr="006D704D">
        <w:rPr>
          <w:lang w:eastAsia="en-AU"/>
        </w:rPr>
        <w:t xml:space="preserve"> Dr </w:t>
      </w:r>
      <w:proofErr w:type="spellStart"/>
      <w:r w:rsidRPr="006D704D">
        <w:rPr>
          <w:lang w:eastAsia="en-AU"/>
        </w:rPr>
        <w:t>Hambleton’s</w:t>
      </w:r>
      <w:proofErr w:type="spellEnd"/>
      <w:r w:rsidRPr="006D704D">
        <w:rPr>
          <w:lang w:eastAsia="en-AU"/>
        </w:rPr>
        <w:t xml:space="preserve"> application</w:t>
      </w:r>
      <w:r>
        <w:rPr>
          <w:lang w:eastAsia="en-AU"/>
        </w:rPr>
        <w:t>, and to invite submissions:</w:t>
      </w:r>
      <w:r w:rsidRPr="006D704D">
        <w:rPr>
          <w:lang w:eastAsia="en-AU"/>
        </w:rPr>
        <w:t xml:space="preserve"> </w:t>
      </w:r>
    </w:p>
    <w:p w14:paraId="6C17BD93" w14:textId="77777777" w:rsidR="004C51A5" w:rsidRPr="006D704D" w:rsidRDefault="004C51A5" w:rsidP="004C51A5">
      <w:pPr>
        <w:pStyle w:val="ListParagraph"/>
        <w:rPr>
          <w:lang w:eastAsia="en-AU"/>
        </w:rPr>
      </w:pPr>
      <w:r w:rsidRPr="006D704D">
        <w:rPr>
          <w:lang w:eastAsia="en-AU"/>
        </w:rPr>
        <w:t xml:space="preserve">the members of the OAIC’s Privacy Advisory Committee, </w:t>
      </w:r>
    </w:p>
    <w:p w14:paraId="65D09913" w14:textId="77777777" w:rsidR="004C51A5" w:rsidRPr="006D704D" w:rsidRDefault="004C51A5" w:rsidP="004C51A5">
      <w:pPr>
        <w:pStyle w:val="ListParagraph"/>
        <w:rPr>
          <w:lang w:eastAsia="en-AU"/>
        </w:rPr>
      </w:pPr>
      <w:r w:rsidRPr="006D704D">
        <w:rPr>
          <w:lang w:eastAsia="en-AU"/>
        </w:rPr>
        <w:t xml:space="preserve">the members of the Privacy Authorities Australia network, and </w:t>
      </w:r>
    </w:p>
    <w:p w14:paraId="0E8D64AB" w14:textId="1764A998" w:rsidR="004C51A5" w:rsidRPr="006D704D" w:rsidRDefault="004C51A5" w:rsidP="004C51A5">
      <w:pPr>
        <w:pStyle w:val="ListParagraph"/>
        <w:rPr>
          <w:lang w:eastAsia="en-AU"/>
        </w:rPr>
      </w:pPr>
      <w:r w:rsidRPr="006D704D">
        <w:rPr>
          <w:lang w:eastAsia="en-AU"/>
        </w:rPr>
        <w:t>34 key privacy, health professional and health consumer stakeholder organisations.</w:t>
      </w:r>
    </w:p>
    <w:p w14:paraId="13A6D0DA" w14:textId="631462D9" w:rsidR="00CC410A" w:rsidRPr="00CC410A" w:rsidRDefault="00CC410A" w:rsidP="00CC410A">
      <w:pPr>
        <w:tabs>
          <w:tab w:val="left" w:pos="2730"/>
        </w:tabs>
      </w:pPr>
      <w:r w:rsidRPr="00CC410A">
        <w:t xml:space="preserve">The process resulted in </w:t>
      </w:r>
      <w:r w:rsidR="004C51A5">
        <w:t>5</w:t>
      </w:r>
      <w:r w:rsidRPr="00CC410A">
        <w:t xml:space="preserve"> written submissions from a range of sectors, including state and territory health departments, health and privacy regulators,</w:t>
      </w:r>
      <w:r w:rsidR="004C51A5">
        <w:t xml:space="preserve"> academia, and </w:t>
      </w:r>
      <w:r w:rsidRPr="00CC410A">
        <w:t xml:space="preserve">consumer groups.  </w:t>
      </w:r>
    </w:p>
    <w:p w14:paraId="7ECE0F3E" w14:textId="35085AB7" w:rsidR="003E100D" w:rsidRDefault="00CC410A" w:rsidP="00CC410A">
      <w:pPr>
        <w:tabs>
          <w:tab w:val="left" w:pos="2730"/>
        </w:tabs>
        <w:rPr>
          <w:b/>
        </w:rPr>
      </w:pPr>
      <w:r w:rsidRPr="00CC410A">
        <w:rPr>
          <w:b/>
          <w:bCs/>
          <w:iCs/>
        </w:rPr>
        <w:br w:type="page"/>
      </w:r>
      <w:r w:rsidRPr="00B742B8">
        <w:rPr>
          <w:rStyle w:val="Heading1Char"/>
        </w:rPr>
        <w:t>Attachment A</w:t>
      </w:r>
      <w:r w:rsidRPr="00CC410A">
        <w:rPr>
          <w:b/>
        </w:rPr>
        <w:t xml:space="preserve">  </w:t>
      </w:r>
    </w:p>
    <w:p w14:paraId="422BC9CA" w14:textId="77777777" w:rsidR="00CC410A" w:rsidRPr="00CC410A" w:rsidRDefault="00CC410A" w:rsidP="00CC410A">
      <w:pPr>
        <w:tabs>
          <w:tab w:val="left" w:pos="2730"/>
        </w:tabs>
        <w:rPr>
          <w:b/>
        </w:rPr>
      </w:pPr>
      <w:r w:rsidRPr="00B742B8">
        <w:rPr>
          <w:rStyle w:val="Heading2Char"/>
        </w:rPr>
        <w:t xml:space="preserve">Relevant provisions in the </w:t>
      </w:r>
      <w:r w:rsidRPr="00B742B8">
        <w:rPr>
          <w:rStyle w:val="Heading2Char"/>
          <w:i/>
        </w:rPr>
        <w:t>Privacy Act 1988</w:t>
      </w:r>
      <w:r w:rsidRPr="00B742B8">
        <w:rPr>
          <w:rStyle w:val="Heading2Char"/>
        </w:rPr>
        <w:t xml:space="preserve"> (</w:t>
      </w:r>
      <w:proofErr w:type="spellStart"/>
      <w:r w:rsidRPr="00B742B8">
        <w:rPr>
          <w:rStyle w:val="Heading2Char"/>
        </w:rPr>
        <w:t>Cth</w:t>
      </w:r>
      <w:proofErr w:type="spellEnd"/>
      <w:r w:rsidRPr="00B742B8">
        <w:rPr>
          <w:rStyle w:val="Heading2Char"/>
        </w:rPr>
        <w:t>)</w:t>
      </w:r>
    </w:p>
    <w:p w14:paraId="24E930F6" w14:textId="1C8CEEA8" w:rsidR="00CC410A" w:rsidRPr="00CC410A" w:rsidRDefault="00CC410A" w:rsidP="00CC410A">
      <w:pPr>
        <w:tabs>
          <w:tab w:val="left" w:pos="2730"/>
        </w:tabs>
      </w:pPr>
      <w:r w:rsidRPr="00B742B8">
        <w:rPr>
          <w:bCs/>
          <w:i/>
          <w:iCs/>
        </w:rPr>
        <w:t>‘Health information’</w:t>
      </w:r>
      <w:r w:rsidRPr="00B742B8">
        <w:rPr>
          <w:i/>
        </w:rPr>
        <w:t xml:space="preserve"> </w:t>
      </w:r>
      <w:r w:rsidRPr="00CC410A">
        <w:t>is defined in s6</w:t>
      </w:r>
      <w:r w:rsidR="003E100D">
        <w:t xml:space="preserve"> of the Privacy Act</w:t>
      </w:r>
      <w:r w:rsidRPr="00CC410A">
        <w:t xml:space="preserve"> as:</w:t>
      </w:r>
    </w:p>
    <w:p w14:paraId="21081A65" w14:textId="65AC6424" w:rsidR="00CC410A" w:rsidRPr="00B742B8" w:rsidRDefault="00CC410A" w:rsidP="00B742B8">
      <w:pPr>
        <w:tabs>
          <w:tab w:val="left" w:pos="2730"/>
        </w:tabs>
        <w:ind w:left="1134" w:hanging="425"/>
        <w:rPr>
          <w:i/>
        </w:rPr>
      </w:pPr>
      <w:r w:rsidRPr="00B742B8">
        <w:rPr>
          <w:i/>
        </w:rPr>
        <w:t>(a</w:t>
      </w:r>
      <w:r w:rsidR="00470A49" w:rsidRPr="00B742B8">
        <w:rPr>
          <w:i/>
        </w:rPr>
        <w:t>)</w:t>
      </w:r>
      <w:r w:rsidR="00470A49">
        <w:rPr>
          <w:i/>
        </w:rPr>
        <w:tab/>
      </w:r>
      <w:proofErr w:type="gramStart"/>
      <w:r w:rsidRPr="00B742B8">
        <w:rPr>
          <w:i/>
        </w:rPr>
        <w:t>information</w:t>
      </w:r>
      <w:proofErr w:type="gramEnd"/>
      <w:r w:rsidRPr="00B742B8">
        <w:rPr>
          <w:i/>
        </w:rPr>
        <w:t xml:space="preserve"> or an opinion about:</w:t>
      </w:r>
    </w:p>
    <w:p w14:paraId="4EE9640A" w14:textId="218AB35D" w:rsidR="00CC410A" w:rsidRPr="00B742B8" w:rsidRDefault="00CC410A" w:rsidP="00B742B8">
      <w:pPr>
        <w:ind w:left="1560" w:hanging="425"/>
        <w:rPr>
          <w:i/>
        </w:rPr>
      </w:pPr>
      <w:r w:rsidRPr="00B742B8">
        <w:rPr>
          <w:i/>
        </w:rPr>
        <w:t>(i)</w:t>
      </w:r>
      <w:r w:rsidR="00470A49">
        <w:rPr>
          <w:i/>
        </w:rPr>
        <w:tab/>
      </w:r>
      <w:proofErr w:type="gramStart"/>
      <w:r w:rsidRPr="00B742B8">
        <w:rPr>
          <w:i/>
        </w:rPr>
        <w:t>the</w:t>
      </w:r>
      <w:proofErr w:type="gramEnd"/>
      <w:r w:rsidRPr="00B742B8">
        <w:rPr>
          <w:i/>
        </w:rPr>
        <w:t xml:space="preserve"> health or a disability (at any time) of an individual; or</w:t>
      </w:r>
    </w:p>
    <w:p w14:paraId="6AAFBB2E" w14:textId="610FBB0B" w:rsidR="00CC410A" w:rsidRPr="00B742B8" w:rsidRDefault="00CC410A" w:rsidP="00B742B8">
      <w:pPr>
        <w:ind w:left="1560" w:hanging="425"/>
        <w:rPr>
          <w:i/>
        </w:rPr>
      </w:pPr>
      <w:r w:rsidRPr="00B742B8">
        <w:rPr>
          <w:i/>
        </w:rPr>
        <w:t>(ii)</w:t>
      </w:r>
      <w:r w:rsidR="00470A49">
        <w:rPr>
          <w:i/>
        </w:rPr>
        <w:tab/>
      </w:r>
      <w:proofErr w:type="gramStart"/>
      <w:r w:rsidRPr="00B742B8">
        <w:rPr>
          <w:i/>
        </w:rPr>
        <w:t>an</w:t>
      </w:r>
      <w:proofErr w:type="gramEnd"/>
      <w:r w:rsidRPr="00B742B8">
        <w:rPr>
          <w:i/>
        </w:rPr>
        <w:t xml:space="preserve"> individual’s expressed wishes about the future provision of health services to him or her; or</w:t>
      </w:r>
    </w:p>
    <w:p w14:paraId="72ACD4F6" w14:textId="3387810B" w:rsidR="00CC410A" w:rsidRPr="00B742B8" w:rsidRDefault="00CC410A" w:rsidP="00B742B8">
      <w:pPr>
        <w:ind w:left="1560" w:hanging="425"/>
        <w:rPr>
          <w:i/>
        </w:rPr>
      </w:pPr>
      <w:r w:rsidRPr="00B742B8">
        <w:rPr>
          <w:i/>
        </w:rPr>
        <w:t>(iii)</w:t>
      </w:r>
      <w:r w:rsidR="00470A49">
        <w:rPr>
          <w:i/>
        </w:rPr>
        <w:tab/>
      </w:r>
      <w:proofErr w:type="gramStart"/>
      <w:r w:rsidRPr="00B742B8">
        <w:rPr>
          <w:i/>
        </w:rPr>
        <w:t>a</w:t>
      </w:r>
      <w:proofErr w:type="gramEnd"/>
      <w:r w:rsidRPr="00B742B8">
        <w:rPr>
          <w:i/>
        </w:rPr>
        <w:t xml:space="preserve"> health service provided, or to be provided, to an individual; that is also personal information; or</w:t>
      </w:r>
    </w:p>
    <w:p w14:paraId="6B72C7DE" w14:textId="706E59FC" w:rsidR="00CC410A" w:rsidRPr="00B742B8" w:rsidRDefault="00CC410A" w:rsidP="00B742B8">
      <w:pPr>
        <w:tabs>
          <w:tab w:val="left" w:pos="2730"/>
        </w:tabs>
        <w:ind w:left="1134" w:hanging="425"/>
        <w:rPr>
          <w:i/>
        </w:rPr>
      </w:pPr>
      <w:r w:rsidRPr="00B742B8">
        <w:rPr>
          <w:i/>
        </w:rPr>
        <w:t>(b</w:t>
      </w:r>
      <w:r w:rsidR="00470A49" w:rsidRPr="00B742B8">
        <w:rPr>
          <w:i/>
        </w:rPr>
        <w:t>)</w:t>
      </w:r>
      <w:r w:rsidR="00470A49">
        <w:rPr>
          <w:i/>
        </w:rPr>
        <w:tab/>
      </w:r>
      <w:proofErr w:type="gramStart"/>
      <w:r w:rsidRPr="00B742B8">
        <w:rPr>
          <w:i/>
        </w:rPr>
        <w:t>other</w:t>
      </w:r>
      <w:proofErr w:type="gramEnd"/>
      <w:r w:rsidRPr="00B742B8">
        <w:rPr>
          <w:i/>
        </w:rPr>
        <w:t xml:space="preserve"> personal information collected to provide, or in providing, a health service; or</w:t>
      </w:r>
    </w:p>
    <w:p w14:paraId="2D6A7C12" w14:textId="547F1454" w:rsidR="00CC410A" w:rsidRPr="00B742B8" w:rsidRDefault="00CC410A" w:rsidP="00B742B8">
      <w:pPr>
        <w:tabs>
          <w:tab w:val="left" w:pos="2730"/>
        </w:tabs>
        <w:ind w:left="1134" w:hanging="425"/>
        <w:rPr>
          <w:i/>
        </w:rPr>
      </w:pPr>
      <w:r w:rsidRPr="00B742B8">
        <w:rPr>
          <w:i/>
        </w:rPr>
        <w:t>(c</w:t>
      </w:r>
      <w:r w:rsidR="00470A49" w:rsidRPr="00B742B8">
        <w:rPr>
          <w:i/>
        </w:rPr>
        <w:t>)</w:t>
      </w:r>
      <w:r w:rsidR="00470A49">
        <w:rPr>
          <w:i/>
        </w:rPr>
        <w:tab/>
      </w:r>
      <w:r w:rsidRPr="00B742B8">
        <w:rPr>
          <w:i/>
        </w:rPr>
        <w:t>other personal information about an individual collected in connection with the donation, or intended donation, by the individual of his or her body parts, organs or body substances; or</w:t>
      </w:r>
    </w:p>
    <w:p w14:paraId="69269215" w14:textId="2A3BB70E" w:rsidR="00CC410A" w:rsidRPr="00B742B8" w:rsidRDefault="00CC410A" w:rsidP="00B742B8">
      <w:pPr>
        <w:tabs>
          <w:tab w:val="left" w:pos="2730"/>
        </w:tabs>
        <w:ind w:left="1134" w:hanging="425"/>
        <w:rPr>
          <w:i/>
        </w:rPr>
      </w:pPr>
      <w:r w:rsidRPr="00B742B8">
        <w:rPr>
          <w:i/>
        </w:rPr>
        <w:t>(d</w:t>
      </w:r>
      <w:r w:rsidR="00470A49" w:rsidRPr="00B742B8">
        <w:rPr>
          <w:i/>
        </w:rPr>
        <w:t>)</w:t>
      </w:r>
      <w:r w:rsidR="00470A49">
        <w:rPr>
          <w:i/>
        </w:rPr>
        <w:tab/>
      </w:r>
      <w:proofErr w:type="gramStart"/>
      <w:r w:rsidRPr="00B742B8">
        <w:rPr>
          <w:i/>
        </w:rPr>
        <w:t>genetic</w:t>
      </w:r>
      <w:proofErr w:type="gramEnd"/>
      <w:r w:rsidRPr="00B742B8">
        <w:rPr>
          <w:i/>
        </w:rPr>
        <w:t xml:space="preserve"> information about an individual in a form that is, or could be, predictive of the health of the individual or a genetic relative of the individual.</w:t>
      </w:r>
    </w:p>
    <w:p w14:paraId="07BF1DC7" w14:textId="4FEA5413" w:rsidR="00CC410A" w:rsidRPr="00CC410A" w:rsidRDefault="00CC410A" w:rsidP="00CC410A">
      <w:pPr>
        <w:tabs>
          <w:tab w:val="left" w:pos="2730"/>
        </w:tabs>
      </w:pPr>
      <w:r w:rsidRPr="00B742B8">
        <w:rPr>
          <w:i/>
        </w:rPr>
        <w:t>‘Sensitive information’</w:t>
      </w:r>
      <w:r w:rsidRPr="00CC410A">
        <w:t xml:space="preserve"> </w:t>
      </w:r>
      <w:r w:rsidR="003E100D" w:rsidRPr="00CC410A">
        <w:t>is defined in s6</w:t>
      </w:r>
      <w:r w:rsidR="003E100D">
        <w:t xml:space="preserve"> of the Privacy Act</w:t>
      </w:r>
      <w:r w:rsidR="003E100D" w:rsidRPr="00CC410A">
        <w:t xml:space="preserve"> as:</w:t>
      </w:r>
    </w:p>
    <w:p w14:paraId="49E60F38" w14:textId="6BA83B62" w:rsidR="00CC410A" w:rsidRPr="00B742B8" w:rsidRDefault="00CC410A" w:rsidP="00B742B8">
      <w:pPr>
        <w:tabs>
          <w:tab w:val="left" w:pos="2730"/>
        </w:tabs>
        <w:ind w:left="1134" w:hanging="425"/>
        <w:rPr>
          <w:i/>
        </w:rPr>
      </w:pPr>
      <w:r w:rsidRPr="00B742B8">
        <w:rPr>
          <w:i/>
        </w:rPr>
        <w:t>(a</w:t>
      </w:r>
      <w:r w:rsidR="00470A49" w:rsidRPr="00B742B8">
        <w:rPr>
          <w:i/>
        </w:rPr>
        <w:t>)</w:t>
      </w:r>
      <w:r w:rsidR="00470A49">
        <w:rPr>
          <w:i/>
        </w:rPr>
        <w:tab/>
      </w:r>
      <w:proofErr w:type="gramStart"/>
      <w:r w:rsidRPr="00B742B8">
        <w:rPr>
          <w:i/>
        </w:rPr>
        <w:t>information</w:t>
      </w:r>
      <w:proofErr w:type="gramEnd"/>
      <w:r w:rsidRPr="00B742B8">
        <w:rPr>
          <w:i/>
        </w:rPr>
        <w:t xml:space="preserve"> or an opinion about an individual’s:</w:t>
      </w:r>
    </w:p>
    <w:p w14:paraId="19E2AC77" w14:textId="2FFB20AE" w:rsidR="00CC410A" w:rsidRPr="00B742B8" w:rsidRDefault="00CC410A" w:rsidP="00B742B8">
      <w:pPr>
        <w:ind w:left="1560" w:hanging="425"/>
        <w:rPr>
          <w:i/>
        </w:rPr>
      </w:pPr>
      <w:r w:rsidRPr="00B742B8">
        <w:rPr>
          <w:i/>
        </w:rPr>
        <w:t>(i</w:t>
      </w:r>
      <w:r w:rsidR="00470A49" w:rsidRPr="00B742B8">
        <w:rPr>
          <w:i/>
        </w:rPr>
        <w:t>)</w:t>
      </w:r>
      <w:r w:rsidR="00470A49">
        <w:rPr>
          <w:i/>
        </w:rPr>
        <w:tab/>
      </w:r>
      <w:proofErr w:type="gramStart"/>
      <w:r w:rsidRPr="00B742B8">
        <w:rPr>
          <w:i/>
        </w:rPr>
        <w:t>racial</w:t>
      </w:r>
      <w:proofErr w:type="gramEnd"/>
      <w:r w:rsidRPr="00B742B8">
        <w:rPr>
          <w:i/>
        </w:rPr>
        <w:t xml:space="preserve"> or ethnic origin; or</w:t>
      </w:r>
    </w:p>
    <w:p w14:paraId="27FF11E5" w14:textId="50217346" w:rsidR="00CC410A" w:rsidRPr="00B742B8" w:rsidRDefault="00CC410A" w:rsidP="00B742B8">
      <w:pPr>
        <w:ind w:left="1560" w:hanging="425"/>
        <w:rPr>
          <w:i/>
        </w:rPr>
      </w:pPr>
      <w:r w:rsidRPr="00B742B8">
        <w:rPr>
          <w:i/>
        </w:rPr>
        <w:t>(ii</w:t>
      </w:r>
      <w:r w:rsidR="00470A49" w:rsidRPr="00B742B8">
        <w:rPr>
          <w:i/>
        </w:rPr>
        <w:t>)</w:t>
      </w:r>
      <w:r w:rsidR="00470A49">
        <w:rPr>
          <w:i/>
        </w:rPr>
        <w:tab/>
      </w:r>
      <w:proofErr w:type="gramStart"/>
      <w:r w:rsidRPr="00B742B8">
        <w:rPr>
          <w:i/>
        </w:rPr>
        <w:t>political</w:t>
      </w:r>
      <w:proofErr w:type="gramEnd"/>
      <w:r w:rsidRPr="00B742B8">
        <w:rPr>
          <w:i/>
        </w:rPr>
        <w:t xml:space="preserve"> opinions; or</w:t>
      </w:r>
    </w:p>
    <w:p w14:paraId="7F5E4EA9" w14:textId="2E5029E2" w:rsidR="00CC410A" w:rsidRPr="00B742B8" w:rsidRDefault="00CC410A" w:rsidP="00B742B8">
      <w:pPr>
        <w:ind w:left="1560" w:hanging="425"/>
        <w:rPr>
          <w:i/>
        </w:rPr>
      </w:pPr>
      <w:r w:rsidRPr="00B742B8">
        <w:rPr>
          <w:i/>
        </w:rPr>
        <w:t>(iii</w:t>
      </w:r>
      <w:r w:rsidR="00470A49" w:rsidRPr="00B742B8">
        <w:rPr>
          <w:i/>
        </w:rPr>
        <w:t>)</w:t>
      </w:r>
      <w:r w:rsidR="00470A49">
        <w:rPr>
          <w:i/>
        </w:rPr>
        <w:tab/>
      </w:r>
      <w:proofErr w:type="gramStart"/>
      <w:r w:rsidRPr="00B742B8">
        <w:rPr>
          <w:i/>
        </w:rPr>
        <w:t>membership</w:t>
      </w:r>
      <w:proofErr w:type="gramEnd"/>
      <w:r w:rsidRPr="00B742B8">
        <w:rPr>
          <w:i/>
        </w:rPr>
        <w:t xml:space="preserve"> of a political association; or</w:t>
      </w:r>
    </w:p>
    <w:p w14:paraId="5FFCACBE" w14:textId="54639AB1" w:rsidR="00CC410A" w:rsidRPr="00B742B8" w:rsidRDefault="00CC410A" w:rsidP="00B742B8">
      <w:pPr>
        <w:ind w:left="1560" w:hanging="425"/>
        <w:rPr>
          <w:i/>
        </w:rPr>
      </w:pPr>
      <w:r w:rsidRPr="00B742B8">
        <w:rPr>
          <w:i/>
        </w:rPr>
        <w:t>(iv</w:t>
      </w:r>
      <w:r w:rsidR="00470A49" w:rsidRPr="00B742B8">
        <w:rPr>
          <w:i/>
        </w:rPr>
        <w:t>)</w:t>
      </w:r>
      <w:r w:rsidR="00470A49">
        <w:rPr>
          <w:i/>
        </w:rPr>
        <w:tab/>
      </w:r>
      <w:proofErr w:type="gramStart"/>
      <w:r w:rsidRPr="00B742B8">
        <w:rPr>
          <w:i/>
        </w:rPr>
        <w:t>religious</w:t>
      </w:r>
      <w:proofErr w:type="gramEnd"/>
      <w:r w:rsidRPr="00B742B8">
        <w:rPr>
          <w:i/>
        </w:rPr>
        <w:t xml:space="preserve"> beliefs or affiliations; or</w:t>
      </w:r>
    </w:p>
    <w:p w14:paraId="7B7BDEE5" w14:textId="0C325F1B" w:rsidR="00CC410A" w:rsidRPr="00B742B8" w:rsidRDefault="00CC410A" w:rsidP="00B742B8">
      <w:pPr>
        <w:ind w:left="1560" w:hanging="425"/>
        <w:rPr>
          <w:i/>
        </w:rPr>
      </w:pPr>
      <w:r w:rsidRPr="00B742B8">
        <w:rPr>
          <w:i/>
        </w:rPr>
        <w:t>(v</w:t>
      </w:r>
      <w:r w:rsidR="00470A49" w:rsidRPr="00B742B8">
        <w:rPr>
          <w:i/>
        </w:rPr>
        <w:t>)</w:t>
      </w:r>
      <w:r w:rsidR="00470A49">
        <w:rPr>
          <w:i/>
        </w:rPr>
        <w:tab/>
      </w:r>
      <w:proofErr w:type="gramStart"/>
      <w:r w:rsidRPr="00B742B8">
        <w:rPr>
          <w:i/>
        </w:rPr>
        <w:t>philosophical</w:t>
      </w:r>
      <w:proofErr w:type="gramEnd"/>
      <w:r w:rsidRPr="00B742B8">
        <w:rPr>
          <w:i/>
        </w:rPr>
        <w:t xml:space="preserve"> beliefs; or</w:t>
      </w:r>
    </w:p>
    <w:p w14:paraId="5A22EA48" w14:textId="03774A61" w:rsidR="00CC410A" w:rsidRPr="00B742B8" w:rsidRDefault="00CC410A" w:rsidP="00B742B8">
      <w:pPr>
        <w:ind w:left="1560" w:hanging="425"/>
        <w:rPr>
          <w:i/>
        </w:rPr>
      </w:pPr>
      <w:r w:rsidRPr="00B742B8">
        <w:rPr>
          <w:i/>
        </w:rPr>
        <w:t>(vi</w:t>
      </w:r>
      <w:r w:rsidR="00470A49" w:rsidRPr="00B742B8">
        <w:rPr>
          <w:i/>
        </w:rPr>
        <w:t>)</w:t>
      </w:r>
      <w:r w:rsidR="00470A49">
        <w:rPr>
          <w:i/>
        </w:rPr>
        <w:tab/>
      </w:r>
      <w:proofErr w:type="gramStart"/>
      <w:r w:rsidRPr="00B742B8">
        <w:rPr>
          <w:i/>
        </w:rPr>
        <w:t>membership</w:t>
      </w:r>
      <w:proofErr w:type="gramEnd"/>
      <w:r w:rsidRPr="00B742B8">
        <w:rPr>
          <w:i/>
        </w:rPr>
        <w:t xml:space="preserve"> of a professional or trade association; or</w:t>
      </w:r>
    </w:p>
    <w:p w14:paraId="0882A600" w14:textId="126D2E3A" w:rsidR="00CC410A" w:rsidRPr="00B742B8" w:rsidRDefault="00CC410A" w:rsidP="00B742B8">
      <w:pPr>
        <w:ind w:left="1560" w:hanging="425"/>
        <w:rPr>
          <w:i/>
        </w:rPr>
      </w:pPr>
      <w:r w:rsidRPr="00B742B8">
        <w:rPr>
          <w:i/>
        </w:rPr>
        <w:t>(vii</w:t>
      </w:r>
      <w:r w:rsidR="00470A49" w:rsidRPr="00B742B8">
        <w:rPr>
          <w:i/>
        </w:rPr>
        <w:t>)</w:t>
      </w:r>
      <w:r w:rsidR="00470A49">
        <w:rPr>
          <w:i/>
        </w:rPr>
        <w:tab/>
      </w:r>
      <w:proofErr w:type="gramStart"/>
      <w:r w:rsidRPr="00B742B8">
        <w:rPr>
          <w:i/>
        </w:rPr>
        <w:t>membership</w:t>
      </w:r>
      <w:proofErr w:type="gramEnd"/>
      <w:r w:rsidRPr="00B742B8">
        <w:rPr>
          <w:i/>
        </w:rPr>
        <w:t xml:space="preserve"> of a trade union; or</w:t>
      </w:r>
    </w:p>
    <w:p w14:paraId="1726F950" w14:textId="01932963" w:rsidR="00CC410A" w:rsidRPr="00B742B8" w:rsidRDefault="00CC410A" w:rsidP="00B742B8">
      <w:pPr>
        <w:ind w:left="1560" w:hanging="425"/>
        <w:rPr>
          <w:i/>
        </w:rPr>
      </w:pPr>
      <w:r w:rsidRPr="00B742B8">
        <w:rPr>
          <w:i/>
        </w:rPr>
        <w:t>(viii</w:t>
      </w:r>
      <w:r w:rsidR="00470A49" w:rsidRPr="00B742B8">
        <w:rPr>
          <w:i/>
        </w:rPr>
        <w:t>)</w:t>
      </w:r>
      <w:r w:rsidR="00470A49">
        <w:rPr>
          <w:i/>
        </w:rPr>
        <w:tab/>
      </w:r>
      <w:proofErr w:type="gramStart"/>
      <w:r w:rsidRPr="00B742B8">
        <w:rPr>
          <w:i/>
        </w:rPr>
        <w:t>sexual</w:t>
      </w:r>
      <w:proofErr w:type="gramEnd"/>
      <w:r w:rsidRPr="00B742B8">
        <w:rPr>
          <w:i/>
        </w:rPr>
        <w:t xml:space="preserve"> preferences or practices; or</w:t>
      </w:r>
    </w:p>
    <w:p w14:paraId="4D372517" w14:textId="05A764EE" w:rsidR="00CC410A" w:rsidRPr="00B742B8" w:rsidRDefault="00CC410A" w:rsidP="00B742B8">
      <w:pPr>
        <w:ind w:left="1560" w:hanging="425"/>
        <w:rPr>
          <w:i/>
        </w:rPr>
      </w:pPr>
      <w:r w:rsidRPr="00B742B8">
        <w:rPr>
          <w:i/>
        </w:rPr>
        <w:t>(ix</w:t>
      </w:r>
      <w:r w:rsidR="00470A49" w:rsidRPr="00B742B8">
        <w:rPr>
          <w:i/>
        </w:rPr>
        <w:t>)</w:t>
      </w:r>
      <w:r w:rsidR="00470A49">
        <w:rPr>
          <w:i/>
        </w:rPr>
        <w:tab/>
      </w:r>
      <w:proofErr w:type="gramStart"/>
      <w:r w:rsidRPr="00B742B8">
        <w:rPr>
          <w:i/>
        </w:rPr>
        <w:t>criminal</w:t>
      </w:r>
      <w:proofErr w:type="gramEnd"/>
      <w:r w:rsidRPr="00B742B8">
        <w:rPr>
          <w:i/>
        </w:rPr>
        <w:t xml:space="preserve"> record; that is also personal information; or</w:t>
      </w:r>
    </w:p>
    <w:p w14:paraId="5796B194" w14:textId="01D7A727" w:rsidR="00CC410A" w:rsidRPr="00B742B8" w:rsidRDefault="00CC410A" w:rsidP="00B742B8">
      <w:pPr>
        <w:tabs>
          <w:tab w:val="left" w:pos="2730"/>
        </w:tabs>
        <w:ind w:left="1134" w:hanging="425"/>
        <w:rPr>
          <w:i/>
        </w:rPr>
      </w:pPr>
      <w:r w:rsidRPr="00B742B8">
        <w:rPr>
          <w:i/>
        </w:rPr>
        <w:t>(b</w:t>
      </w:r>
      <w:r w:rsidR="00470A49" w:rsidRPr="00B742B8">
        <w:rPr>
          <w:i/>
        </w:rPr>
        <w:t>)</w:t>
      </w:r>
      <w:r w:rsidR="00470A49">
        <w:rPr>
          <w:i/>
        </w:rPr>
        <w:tab/>
      </w:r>
      <w:proofErr w:type="gramStart"/>
      <w:r w:rsidRPr="00B742B8">
        <w:rPr>
          <w:i/>
        </w:rPr>
        <w:t>health</w:t>
      </w:r>
      <w:proofErr w:type="gramEnd"/>
      <w:r w:rsidRPr="00B742B8">
        <w:rPr>
          <w:i/>
        </w:rPr>
        <w:t xml:space="preserve"> information about an individual; or</w:t>
      </w:r>
    </w:p>
    <w:p w14:paraId="4B276CE2" w14:textId="493433FB" w:rsidR="00CC410A" w:rsidRPr="00B742B8" w:rsidRDefault="00CC410A" w:rsidP="00B742B8">
      <w:pPr>
        <w:tabs>
          <w:tab w:val="left" w:pos="2730"/>
        </w:tabs>
        <w:ind w:left="1134" w:hanging="425"/>
        <w:rPr>
          <w:i/>
        </w:rPr>
      </w:pPr>
      <w:r w:rsidRPr="00B742B8">
        <w:rPr>
          <w:i/>
        </w:rPr>
        <w:t>(c</w:t>
      </w:r>
      <w:r w:rsidR="00470A49" w:rsidRPr="00B742B8">
        <w:rPr>
          <w:i/>
        </w:rPr>
        <w:t>)</w:t>
      </w:r>
      <w:r w:rsidR="00470A49">
        <w:rPr>
          <w:i/>
        </w:rPr>
        <w:tab/>
      </w:r>
      <w:proofErr w:type="gramStart"/>
      <w:r w:rsidRPr="00B742B8">
        <w:rPr>
          <w:i/>
        </w:rPr>
        <w:t>genetic</w:t>
      </w:r>
      <w:proofErr w:type="gramEnd"/>
      <w:r w:rsidRPr="00B742B8">
        <w:rPr>
          <w:i/>
        </w:rPr>
        <w:t xml:space="preserve"> information about an individual that is not otherwise health information.</w:t>
      </w:r>
    </w:p>
    <w:p w14:paraId="4288E614" w14:textId="72BAF036" w:rsidR="00CC410A" w:rsidRPr="00CC410A" w:rsidRDefault="00CC410A" w:rsidP="00CC410A">
      <w:pPr>
        <w:tabs>
          <w:tab w:val="left" w:pos="2730"/>
        </w:tabs>
      </w:pPr>
      <w:r w:rsidRPr="00CC410A">
        <w:t>‘</w:t>
      </w:r>
      <w:r w:rsidRPr="00B742B8">
        <w:rPr>
          <w:i/>
        </w:rPr>
        <w:t>Person responsible’</w:t>
      </w:r>
      <w:r w:rsidRPr="00CC410A">
        <w:t xml:space="preserve"> is defined </w:t>
      </w:r>
      <w:r w:rsidR="000A697D">
        <w:t xml:space="preserve">in NPP </w:t>
      </w:r>
      <w:r w:rsidRPr="00CC410A">
        <w:t>2.5 as</w:t>
      </w:r>
      <w:r w:rsidR="00AA1601">
        <w:t xml:space="preserve"> a person who is</w:t>
      </w:r>
      <w:r w:rsidRPr="00CC410A">
        <w:t>:</w:t>
      </w:r>
    </w:p>
    <w:p w14:paraId="18EF6E27" w14:textId="77777777" w:rsidR="00CC410A" w:rsidRPr="00B742B8" w:rsidRDefault="00CC410A" w:rsidP="00B742B8">
      <w:pPr>
        <w:tabs>
          <w:tab w:val="left" w:pos="1134"/>
          <w:tab w:val="left" w:pos="2730"/>
        </w:tabs>
        <w:ind w:left="1134" w:hanging="425"/>
        <w:rPr>
          <w:i/>
        </w:rPr>
      </w:pPr>
      <w:r w:rsidRPr="00B742B8">
        <w:rPr>
          <w:i/>
        </w:rPr>
        <w:t>(a)</w:t>
      </w:r>
      <w:r w:rsidR="00470A49">
        <w:rPr>
          <w:i/>
        </w:rPr>
        <w:tab/>
      </w:r>
      <w:r w:rsidRPr="00B742B8">
        <w:rPr>
          <w:i/>
        </w:rPr>
        <w:t xml:space="preserve"> </w:t>
      </w:r>
      <w:proofErr w:type="gramStart"/>
      <w:r w:rsidRPr="00B742B8">
        <w:rPr>
          <w:i/>
        </w:rPr>
        <w:t>a</w:t>
      </w:r>
      <w:proofErr w:type="gramEnd"/>
      <w:r w:rsidRPr="00B742B8">
        <w:rPr>
          <w:i/>
        </w:rPr>
        <w:t xml:space="preserve"> parent of the individual; or</w:t>
      </w:r>
    </w:p>
    <w:p w14:paraId="34617C53" w14:textId="089E46B3" w:rsidR="00CC410A" w:rsidRPr="00B742B8" w:rsidRDefault="00CC410A" w:rsidP="00B742B8">
      <w:pPr>
        <w:tabs>
          <w:tab w:val="left" w:pos="1134"/>
          <w:tab w:val="left" w:pos="2730"/>
        </w:tabs>
        <w:ind w:left="1134" w:hanging="425"/>
        <w:rPr>
          <w:i/>
        </w:rPr>
      </w:pPr>
      <w:r w:rsidRPr="00B742B8">
        <w:rPr>
          <w:i/>
        </w:rPr>
        <w:t>(b)</w:t>
      </w:r>
      <w:r w:rsidR="00470A49">
        <w:rPr>
          <w:i/>
        </w:rPr>
        <w:tab/>
      </w:r>
      <w:proofErr w:type="gramStart"/>
      <w:r w:rsidRPr="00B742B8">
        <w:rPr>
          <w:i/>
        </w:rPr>
        <w:t>a</w:t>
      </w:r>
      <w:proofErr w:type="gramEnd"/>
      <w:r w:rsidRPr="00B742B8">
        <w:rPr>
          <w:i/>
        </w:rPr>
        <w:t xml:space="preserve"> child or sibling of the individual and at least 18 years old; or</w:t>
      </w:r>
    </w:p>
    <w:p w14:paraId="1AEB51CC" w14:textId="77777777" w:rsidR="00CC410A" w:rsidRPr="00B742B8" w:rsidRDefault="00CC410A" w:rsidP="00B742B8">
      <w:pPr>
        <w:tabs>
          <w:tab w:val="left" w:pos="1134"/>
          <w:tab w:val="left" w:pos="2730"/>
        </w:tabs>
        <w:ind w:left="1134" w:hanging="425"/>
        <w:rPr>
          <w:i/>
        </w:rPr>
      </w:pPr>
      <w:r w:rsidRPr="00B742B8">
        <w:rPr>
          <w:i/>
        </w:rPr>
        <w:t xml:space="preserve">(c) </w:t>
      </w:r>
      <w:r w:rsidR="00470A49">
        <w:rPr>
          <w:i/>
        </w:rPr>
        <w:tab/>
      </w:r>
      <w:proofErr w:type="gramStart"/>
      <w:r w:rsidRPr="00B742B8">
        <w:rPr>
          <w:i/>
        </w:rPr>
        <w:t>a</w:t>
      </w:r>
      <w:proofErr w:type="gramEnd"/>
      <w:r w:rsidRPr="00B742B8">
        <w:rPr>
          <w:i/>
        </w:rPr>
        <w:t xml:space="preserve"> spouse or de facto spouse of the individual; or</w:t>
      </w:r>
    </w:p>
    <w:p w14:paraId="50ADCA30" w14:textId="77777777" w:rsidR="00CC410A" w:rsidRPr="00B742B8" w:rsidRDefault="00CC410A" w:rsidP="00B742B8">
      <w:pPr>
        <w:tabs>
          <w:tab w:val="left" w:pos="1134"/>
          <w:tab w:val="left" w:pos="2730"/>
        </w:tabs>
        <w:ind w:left="1134" w:hanging="425"/>
        <w:rPr>
          <w:i/>
        </w:rPr>
      </w:pPr>
      <w:r w:rsidRPr="00B742B8">
        <w:rPr>
          <w:i/>
        </w:rPr>
        <w:t xml:space="preserve">(d) </w:t>
      </w:r>
      <w:r w:rsidR="00470A49">
        <w:rPr>
          <w:i/>
        </w:rPr>
        <w:tab/>
      </w:r>
      <w:proofErr w:type="gramStart"/>
      <w:r w:rsidRPr="00B742B8">
        <w:rPr>
          <w:i/>
        </w:rPr>
        <w:t>a</w:t>
      </w:r>
      <w:proofErr w:type="gramEnd"/>
      <w:r w:rsidRPr="00B742B8">
        <w:rPr>
          <w:i/>
        </w:rPr>
        <w:t xml:space="preserve"> relative of the individual, at least 18 years old and a member of the individual’s household; or</w:t>
      </w:r>
    </w:p>
    <w:p w14:paraId="36326D6D" w14:textId="3B0AF6E7" w:rsidR="00CC410A" w:rsidRPr="00B742B8" w:rsidRDefault="00CC410A" w:rsidP="00B742B8">
      <w:pPr>
        <w:tabs>
          <w:tab w:val="left" w:pos="1134"/>
          <w:tab w:val="left" w:pos="2730"/>
        </w:tabs>
        <w:ind w:left="1134" w:hanging="425"/>
        <w:rPr>
          <w:i/>
        </w:rPr>
      </w:pPr>
      <w:r w:rsidRPr="00B742B8">
        <w:rPr>
          <w:i/>
        </w:rPr>
        <w:t>(e)</w:t>
      </w:r>
      <w:r w:rsidR="00470A49">
        <w:rPr>
          <w:i/>
        </w:rPr>
        <w:tab/>
      </w:r>
      <w:proofErr w:type="gramStart"/>
      <w:r w:rsidRPr="00B742B8">
        <w:rPr>
          <w:i/>
        </w:rPr>
        <w:t>a</w:t>
      </w:r>
      <w:proofErr w:type="gramEnd"/>
      <w:r w:rsidRPr="00B742B8">
        <w:rPr>
          <w:i/>
        </w:rPr>
        <w:t xml:space="preserve"> guardian of the individual; or</w:t>
      </w:r>
    </w:p>
    <w:p w14:paraId="479CCE35" w14:textId="77777777" w:rsidR="00CC410A" w:rsidRPr="00B742B8" w:rsidRDefault="00CC410A" w:rsidP="00B742B8">
      <w:pPr>
        <w:tabs>
          <w:tab w:val="left" w:pos="1134"/>
          <w:tab w:val="left" w:pos="2730"/>
        </w:tabs>
        <w:ind w:left="1134" w:hanging="425"/>
        <w:rPr>
          <w:i/>
        </w:rPr>
      </w:pPr>
      <w:r w:rsidRPr="00B742B8">
        <w:rPr>
          <w:i/>
        </w:rPr>
        <w:t xml:space="preserve">(f) </w:t>
      </w:r>
      <w:r w:rsidR="00470A49">
        <w:rPr>
          <w:i/>
        </w:rPr>
        <w:tab/>
      </w:r>
      <w:r w:rsidRPr="00B742B8">
        <w:rPr>
          <w:i/>
        </w:rPr>
        <w:t>exercising an enduring power of attorney granted by the individual that is exercisable in relation to decisions about the individual’s health; or</w:t>
      </w:r>
    </w:p>
    <w:p w14:paraId="659F9866" w14:textId="77777777" w:rsidR="00CC410A" w:rsidRPr="00B742B8" w:rsidRDefault="00CC410A" w:rsidP="00B742B8">
      <w:pPr>
        <w:tabs>
          <w:tab w:val="left" w:pos="1134"/>
          <w:tab w:val="left" w:pos="2730"/>
        </w:tabs>
        <w:ind w:left="1134" w:hanging="425"/>
        <w:rPr>
          <w:i/>
        </w:rPr>
      </w:pPr>
      <w:r w:rsidRPr="00B742B8">
        <w:rPr>
          <w:i/>
        </w:rPr>
        <w:t xml:space="preserve">(g) </w:t>
      </w:r>
      <w:r w:rsidR="00470A49">
        <w:rPr>
          <w:i/>
        </w:rPr>
        <w:tab/>
      </w:r>
      <w:proofErr w:type="gramStart"/>
      <w:r w:rsidRPr="00B742B8">
        <w:rPr>
          <w:i/>
        </w:rPr>
        <w:t>a</w:t>
      </w:r>
      <w:proofErr w:type="gramEnd"/>
      <w:r w:rsidRPr="00B742B8">
        <w:rPr>
          <w:i/>
        </w:rPr>
        <w:t xml:space="preserve"> person who has an intimate personal relationship with the individual; or</w:t>
      </w:r>
    </w:p>
    <w:p w14:paraId="36A67665" w14:textId="77777777" w:rsidR="00CC410A" w:rsidRPr="00CC410A" w:rsidRDefault="00CC410A" w:rsidP="00B742B8">
      <w:pPr>
        <w:tabs>
          <w:tab w:val="left" w:pos="1134"/>
          <w:tab w:val="left" w:pos="2730"/>
        </w:tabs>
        <w:ind w:left="1134" w:hanging="425"/>
      </w:pPr>
      <w:r w:rsidRPr="00B742B8">
        <w:rPr>
          <w:i/>
        </w:rPr>
        <w:t xml:space="preserve">(h) </w:t>
      </w:r>
      <w:r w:rsidR="00470A49">
        <w:rPr>
          <w:i/>
        </w:rPr>
        <w:tab/>
      </w:r>
      <w:proofErr w:type="gramStart"/>
      <w:r w:rsidRPr="00B742B8">
        <w:rPr>
          <w:i/>
        </w:rPr>
        <w:t>a</w:t>
      </w:r>
      <w:proofErr w:type="gramEnd"/>
      <w:r w:rsidRPr="00B742B8">
        <w:rPr>
          <w:i/>
        </w:rPr>
        <w:t xml:space="preserve"> person nominated by the individual to be contacted in case of emergency.</w:t>
      </w:r>
    </w:p>
    <w:p w14:paraId="2B18C567" w14:textId="0F85806F" w:rsidR="00CC410A" w:rsidRPr="00CC410A" w:rsidRDefault="000A697D" w:rsidP="00CC410A">
      <w:pPr>
        <w:tabs>
          <w:tab w:val="left" w:pos="2730"/>
        </w:tabs>
      </w:pPr>
      <w:r>
        <w:t>NPP</w:t>
      </w:r>
      <w:r w:rsidR="00CC410A" w:rsidRPr="00CC410A">
        <w:t xml:space="preserve"> 2.6 </w:t>
      </w:r>
      <w:r>
        <w:t>provides</w:t>
      </w:r>
      <w:r w:rsidRPr="00CC410A">
        <w:t xml:space="preserve"> </w:t>
      </w:r>
      <w:r w:rsidR="00CC410A" w:rsidRPr="00CC410A">
        <w:t>that</w:t>
      </w:r>
      <w:r w:rsidR="00B90BEB">
        <w:t>,</w:t>
      </w:r>
      <w:r w:rsidR="00CC410A" w:rsidRPr="00CC410A">
        <w:t xml:space="preserve"> in NPP 2.5: </w:t>
      </w:r>
    </w:p>
    <w:p w14:paraId="7059C98C" w14:textId="77777777" w:rsidR="00CC410A" w:rsidRPr="00B742B8" w:rsidRDefault="00CC410A" w:rsidP="00B742B8">
      <w:pPr>
        <w:tabs>
          <w:tab w:val="left" w:pos="2730"/>
        </w:tabs>
        <w:ind w:left="720"/>
        <w:rPr>
          <w:i/>
        </w:rPr>
      </w:pPr>
      <w:proofErr w:type="gramStart"/>
      <w:r w:rsidRPr="00470A49">
        <w:rPr>
          <w:b/>
          <w:bCs/>
          <w:i/>
          <w:iCs/>
        </w:rPr>
        <w:t>child</w:t>
      </w:r>
      <w:proofErr w:type="gramEnd"/>
      <w:r w:rsidRPr="00470A49">
        <w:rPr>
          <w:b/>
          <w:bCs/>
          <w:i/>
          <w:iCs/>
        </w:rPr>
        <w:t xml:space="preserve"> </w:t>
      </w:r>
      <w:r w:rsidRPr="00B742B8">
        <w:rPr>
          <w:i/>
        </w:rPr>
        <w:t xml:space="preserve">of an individual includes an adopted child, a step-child and a foster-child, of the individual. </w:t>
      </w:r>
    </w:p>
    <w:p w14:paraId="3F95E47D" w14:textId="77777777" w:rsidR="00CC410A" w:rsidRPr="00B742B8" w:rsidRDefault="00CC410A" w:rsidP="00B742B8">
      <w:pPr>
        <w:tabs>
          <w:tab w:val="left" w:pos="2730"/>
        </w:tabs>
        <w:ind w:left="720"/>
        <w:rPr>
          <w:i/>
        </w:rPr>
      </w:pPr>
      <w:proofErr w:type="gramStart"/>
      <w:r w:rsidRPr="00470A49">
        <w:rPr>
          <w:b/>
          <w:bCs/>
          <w:i/>
          <w:iCs/>
        </w:rPr>
        <w:t>parent</w:t>
      </w:r>
      <w:proofErr w:type="gramEnd"/>
      <w:r w:rsidRPr="00470A49">
        <w:rPr>
          <w:b/>
          <w:bCs/>
          <w:i/>
          <w:iCs/>
        </w:rPr>
        <w:t xml:space="preserve"> </w:t>
      </w:r>
      <w:r w:rsidRPr="00B742B8">
        <w:rPr>
          <w:i/>
        </w:rPr>
        <w:t xml:space="preserve">of an individual includes a step-parent, adoptive parent and a foster-parent, of the individual. </w:t>
      </w:r>
    </w:p>
    <w:p w14:paraId="746B6726" w14:textId="77777777" w:rsidR="00CC410A" w:rsidRPr="00470A49" w:rsidRDefault="00CC410A" w:rsidP="00B742B8">
      <w:pPr>
        <w:tabs>
          <w:tab w:val="left" w:pos="2730"/>
        </w:tabs>
        <w:ind w:left="720"/>
        <w:rPr>
          <w:b/>
          <w:bCs/>
          <w:i/>
          <w:iCs/>
        </w:rPr>
      </w:pPr>
      <w:proofErr w:type="gramStart"/>
      <w:r w:rsidRPr="00470A49">
        <w:rPr>
          <w:b/>
          <w:bCs/>
          <w:i/>
          <w:iCs/>
        </w:rPr>
        <w:t>relative</w:t>
      </w:r>
      <w:proofErr w:type="gramEnd"/>
      <w:r w:rsidRPr="00470A49">
        <w:rPr>
          <w:b/>
          <w:bCs/>
          <w:i/>
          <w:iCs/>
        </w:rPr>
        <w:t xml:space="preserve"> </w:t>
      </w:r>
      <w:r w:rsidRPr="00B742B8">
        <w:rPr>
          <w:i/>
        </w:rPr>
        <w:t xml:space="preserve">of an individual means a grandparent, grandchild, uncle, aunt, nephew or niece, of the </w:t>
      </w:r>
      <w:r w:rsidRPr="00470A49">
        <w:rPr>
          <w:b/>
          <w:bCs/>
          <w:i/>
          <w:iCs/>
        </w:rPr>
        <w:t xml:space="preserve">individual. </w:t>
      </w:r>
    </w:p>
    <w:p w14:paraId="5761118B" w14:textId="77777777" w:rsidR="00CC410A" w:rsidRPr="00B742B8" w:rsidRDefault="00CC410A" w:rsidP="00B742B8">
      <w:pPr>
        <w:tabs>
          <w:tab w:val="left" w:pos="2730"/>
        </w:tabs>
        <w:ind w:left="720"/>
        <w:rPr>
          <w:i/>
        </w:rPr>
      </w:pPr>
      <w:proofErr w:type="gramStart"/>
      <w:r w:rsidRPr="00470A49">
        <w:rPr>
          <w:b/>
          <w:bCs/>
          <w:i/>
          <w:iCs/>
        </w:rPr>
        <w:t>sibling</w:t>
      </w:r>
      <w:proofErr w:type="gramEnd"/>
      <w:r w:rsidRPr="00470A49">
        <w:rPr>
          <w:b/>
          <w:bCs/>
          <w:i/>
          <w:iCs/>
        </w:rPr>
        <w:t xml:space="preserve"> </w:t>
      </w:r>
      <w:r w:rsidRPr="00470A49">
        <w:rPr>
          <w:bCs/>
          <w:i/>
          <w:iCs/>
        </w:rPr>
        <w:t>of an individual includes a half-brother, half-sister, adoptive brother, adoptive sister, step-brother, step-sister, foster-brother</w:t>
      </w:r>
      <w:r w:rsidRPr="00B742B8">
        <w:rPr>
          <w:i/>
        </w:rPr>
        <w:t xml:space="preserve"> and foster-sister, of the individual.</w:t>
      </w:r>
    </w:p>
    <w:p w14:paraId="69ED43E9" w14:textId="0F69A3A6" w:rsidR="00CC410A" w:rsidRPr="00CC410A" w:rsidRDefault="000A697D" w:rsidP="00CC410A">
      <w:pPr>
        <w:tabs>
          <w:tab w:val="left" w:pos="2730"/>
        </w:tabs>
        <w:rPr>
          <w:bCs/>
          <w:iCs/>
        </w:rPr>
      </w:pPr>
      <w:r>
        <w:rPr>
          <w:bCs/>
          <w:iCs/>
        </w:rPr>
        <w:t>NPP</w:t>
      </w:r>
      <w:r w:rsidR="00CC410A" w:rsidRPr="00CC410A">
        <w:rPr>
          <w:bCs/>
          <w:iCs/>
        </w:rPr>
        <w:t xml:space="preserve"> 10.1 states:</w:t>
      </w:r>
    </w:p>
    <w:p w14:paraId="4E534166" w14:textId="77777777" w:rsidR="00CC410A" w:rsidRPr="00B742B8" w:rsidRDefault="00CC410A" w:rsidP="00B742B8">
      <w:pPr>
        <w:tabs>
          <w:tab w:val="left" w:pos="1418"/>
          <w:tab w:val="left" w:pos="2730"/>
        </w:tabs>
        <w:ind w:left="1418" w:hanging="698"/>
        <w:rPr>
          <w:i/>
        </w:rPr>
      </w:pPr>
      <w:r w:rsidRPr="00B742B8">
        <w:rPr>
          <w:i/>
        </w:rPr>
        <w:t xml:space="preserve">10.1 </w:t>
      </w:r>
      <w:r w:rsidR="00470A49">
        <w:rPr>
          <w:i/>
        </w:rPr>
        <w:tab/>
      </w:r>
      <w:r w:rsidRPr="00B742B8">
        <w:rPr>
          <w:i/>
        </w:rPr>
        <w:t xml:space="preserve">An organisation must not collect sensitive information about an individual unless: </w:t>
      </w:r>
    </w:p>
    <w:p w14:paraId="6B00B447" w14:textId="62B7C17D" w:rsidR="00CC410A" w:rsidRPr="00B742B8" w:rsidRDefault="00CC410A" w:rsidP="00B742B8">
      <w:pPr>
        <w:tabs>
          <w:tab w:val="left" w:pos="1843"/>
          <w:tab w:val="left" w:pos="2730"/>
        </w:tabs>
        <w:ind w:left="1843" w:hanging="425"/>
        <w:rPr>
          <w:i/>
        </w:rPr>
      </w:pPr>
      <w:r w:rsidRPr="00B742B8">
        <w:rPr>
          <w:i/>
        </w:rPr>
        <w:t>(a</w:t>
      </w:r>
      <w:r w:rsidR="00B90BEB" w:rsidRPr="00B742B8">
        <w:rPr>
          <w:i/>
        </w:rPr>
        <w:t>)</w:t>
      </w:r>
      <w:r w:rsidR="00B90BEB">
        <w:rPr>
          <w:i/>
        </w:rPr>
        <w:tab/>
      </w:r>
      <w:proofErr w:type="gramStart"/>
      <w:r w:rsidRPr="00B742B8">
        <w:rPr>
          <w:i/>
        </w:rPr>
        <w:t>the</w:t>
      </w:r>
      <w:proofErr w:type="gramEnd"/>
      <w:r w:rsidRPr="00B742B8">
        <w:rPr>
          <w:i/>
        </w:rPr>
        <w:t xml:space="preserve"> individual has consented; or</w:t>
      </w:r>
    </w:p>
    <w:p w14:paraId="1510F9E9" w14:textId="3E86BC5D" w:rsidR="00CC410A" w:rsidRPr="00B742B8" w:rsidRDefault="00CC410A" w:rsidP="00B742B8">
      <w:pPr>
        <w:tabs>
          <w:tab w:val="left" w:pos="1843"/>
          <w:tab w:val="left" w:pos="2730"/>
        </w:tabs>
        <w:ind w:left="1843" w:hanging="425"/>
        <w:rPr>
          <w:i/>
        </w:rPr>
      </w:pPr>
      <w:r w:rsidRPr="00B742B8">
        <w:rPr>
          <w:i/>
        </w:rPr>
        <w:t>(b</w:t>
      </w:r>
      <w:r w:rsidR="00B90BEB" w:rsidRPr="00B742B8">
        <w:rPr>
          <w:i/>
        </w:rPr>
        <w:t>)</w:t>
      </w:r>
      <w:r w:rsidR="00B90BEB">
        <w:rPr>
          <w:i/>
        </w:rPr>
        <w:tab/>
      </w:r>
      <w:proofErr w:type="gramStart"/>
      <w:r w:rsidRPr="00B742B8">
        <w:rPr>
          <w:i/>
        </w:rPr>
        <w:t>the</w:t>
      </w:r>
      <w:proofErr w:type="gramEnd"/>
      <w:r w:rsidRPr="00B742B8">
        <w:rPr>
          <w:i/>
        </w:rPr>
        <w:t xml:space="preserve"> collection is required by law; or</w:t>
      </w:r>
    </w:p>
    <w:p w14:paraId="47502BB2" w14:textId="51F52176" w:rsidR="00CC410A" w:rsidRPr="00B742B8" w:rsidRDefault="00CC410A" w:rsidP="00B742B8">
      <w:pPr>
        <w:tabs>
          <w:tab w:val="left" w:pos="1843"/>
          <w:tab w:val="left" w:pos="2730"/>
        </w:tabs>
        <w:ind w:left="1843" w:hanging="425"/>
        <w:rPr>
          <w:i/>
        </w:rPr>
      </w:pPr>
      <w:r w:rsidRPr="00B742B8">
        <w:rPr>
          <w:i/>
        </w:rPr>
        <w:t>(c</w:t>
      </w:r>
      <w:r w:rsidR="00B90BEB" w:rsidRPr="00B742B8">
        <w:rPr>
          <w:i/>
        </w:rPr>
        <w:t>)</w:t>
      </w:r>
      <w:r w:rsidR="00B90BEB">
        <w:rPr>
          <w:i/>
        </w:rPr>
        <w:tab/>
      </w:r>
      <w:proofErr w:type="gramStart"/>
      <w:r w:rsidRPr="00B742B8">
        <w:rPr>
          <w:i/>
        </w:rPr>
        <w:t>the</w:t>
      </w:r>
      <w:proofErr w:type="gramEnd"/>
      <w:r w:rsidRPr="00B742B8">
        <w:rPr>
          <w:i/>
        </w:rPr>
        <w:t xml:space="preserve"> collection is necessary to prevent or lessen a serious and imminent threat to the life or health of any individual, where the individual whom the information concerns:</w:t>
      </w:r>
    </w:p>
    <w:p w14:paraId="69A93383" w14:textId="4411985D" w:rsidR="00CC410A" w:rsidRPr="00B742B8" w:rsidRDefault="00CC410A" w:rsidP="00B742B8">
      <w:pPr>
        <w:tabs>
          <w:tab w:val="left" w:pos="2268"/>
        </w:tabs>
        <w:ind w:left="2268" w:hanging="425"/>
        <w:rPr>
          <w:i/>
        </w:rPr>
      </w:pPr>
      <w:r w:rsidRPr="00B742B8">
        <w:rPr>
          <w:i/>
        </w:rPr>
        <w:t>(</w:t>
      </w:r>
      <w:proofErr w:type="gramStart"/>
      <w:r w:rsidRPr="00B742B8">
        <w:rPr>
          <w:i/>
        </w:rPr>
        <w:t>i</w:t>
      </w:r>
      <w:proofErr w:type="gramEnd"/>
      <w:r w:rsidR="00B90BEB" w:rsidRPr="00B742B8">
        <w:rPr>
          <w:i/>
        </w:rPr>
        <w:t>)</w:t>
      </w:r>
      <w:r w:rsidR="00B90BEB">
        <w:rPr>
          <w:i/>
        </w:rPr>
        <w:tab/>
      </w:r>
      <w:r w:rsidRPr="00B742B8">
        <w:rPr>
          <w:i/>
        </w:rPr>
        <w:t>is physically or legally incapable of giving consent to the collection; or</w:t>
      </w:r>
    </w:p>
    <w:p w14:paraId="1B2A1F5B" w14:textId="720F0239" w:rsidR="00CC410A" w:rsidRPr="00B742B8" w:rsidRDefault="00CC410A" w:rsidP="00B742B8">
      <w:pPr>
        <w:tabs>
          <w:tab w:val="left" w:pos="2268"/>
        </w:tabs>
        <w:ind w:left="2268" w:hanging="425"/>
        <w:rPr>
          <w:i/>
        </w:rPr>
      </w:pPr>
      <w:r w:rsidRPr="00B742B8">
        <w:rPr>
          <w:i/>
        </w:rPr>
        <w:t>(ii</w:t>
      </w:r>
      <w:r w:rsidR="00B90BEB" w:rsidRPr="00B742B8">
        <w:rPr>
          <w:i/>
        </w:rPr>
        <w:t>)</w:t>
      </w:r>
      <w:r w:rsidR="00B90BEB">
        <w:rPr>
          <w:i/>
        </w:rPr>
        <w:tab/>
      </w:r>
      <w:proofErr w:type="gramStart"/>
      <w:r w:rsidRPr="00B742B8">
        <w:rPr>
          <w:i/>
        </w:rPr>
        <w:t>physically</w:t>
      </w:r>
      <w:proofErr w:type="gramEnd"/>
      <w:r w:rsidRPr="00B742B8">
        <w:rPr>
          <w:i/>
        </w:rPr>
        <w:t xml:space="preserve"> cannot communicate consent to the collection; or</w:t>
      </w:r>
    </w:p>
    <w:p w14:paraId="3A0195B7" w14:textId="44D527C3" w:rsidR="00CC410A" w:rsidRPr="00B742B8" w:rsidRDefault="00CC410A" w:rsidP="00B742B8">
      <w:pPr>
        <w:tabs>
          <w:tab w:val="left" w:pos="1843"/>
          <w:tab w:val="left" w:pos="2730"/>
        </w:tabs>
        <w:ind w:left="1843" w:hanging="425"/>
        <w:rPr>
          <w:i/>
        </w:rPr>
      </w:pPr>
      <w:r w:rsidRPr="00B742B8">
        <w:rPr>
          <w:i/>
        </w:rPr>
        <w:t>(d</w:t>
      </w:r>
      <w:r w:rsidR="00B90BEB" w:rsidRPr="00B742B8">
        <w:rPr>
          <w:i/>
        </w:rPr>
        <w:t>)</w:t>
      </w:r>
      <w:r w:rsidR="00B90BEB">
        <w:rPr>
          <w:i/>
        </w:rPr>
        <w:tab/>
      </w:r>
      <w:proofErr w:type="gramStart"/>
      <w:r w:rsidRPr="00B742B8">
        <w:rPr>
          <w:i/>
        </w:rPr>
        <w:t>if</w:t>
      </w:r>
      <w:proofErr w:type="gramEnd"/>
      <w:r w:rsidRPr="00B742B8">
        <w:rPr>
          <w:i/>
        </w:rPr>
        <w:t xml:space="preserve"> the information is collected in the course of the activities of a non-profit organisation – the following conditions are satisfied:</w:t>
      </w:r>
    </w:p>
    <w:p w14:paraId="69D95509" w14:textId="406342C6" w:rsidR="00CC410A" w:rsidRPr="00B742B8" w:rsidRDefault="00CC410A" w:rsidP="00B742B8">
      <w:pPr>
        <w:tabs>
          <w:tab w:val="left" w:pos="2268"/>
        </w:tabs>
        <w:ind w:left="2268" w:hanging="425"/>
        <w:rPr>
          <w:i/>
        </w:rPr>
      </w:pPr>
      <w:r w:rsidRPr="00B742B8">
        <w:rPr>
          <w:i/>
        </w:rPr>
        <w:t>(i</w:t>
      </w:r>
      <w:r w:rsidR="00B90BEB" w:rsidRPr="00B742B8">
        <w:rPr>
          <w:i/>
        </w:rPr>
        <w:t>)</w:t>
      </w:r>
      <w:r w:rsidR="00B90BEB">
        <w:rPr>
          <w:i/>
        </w:rPr>
        <w:tab/>
      </w:r>
      <w:proofErr w:type="gramStart"/>
      <w:r w:rsidRPr="00B742B8">
        <w:rPr>
          <w:i/>
        </w:rPr>
        <w:t>the</w:t>
      </w:r>
      <w:proofErr w:type="gramEnd"/>
      <w:r w:rsidRPr="00B742B8">
        <w:rPr>
          <w:i/>
        </w:rPr>
        <w:t xml:space="preserve"> information relates solely to the members of the organisation or to individuals who have regular contact with it in connection with its activities;</w:t>
      </w:r>
    </w:p>
    <w:p w14:paraId="51A02604" w14:textId="3B058517" w:rsidR="00CC410A" w:rsidRPr="00B742B8" w:rsidRDefault="00CC410A" w:rsidP="00B742B8">
      <w:pPr>
        <w:tabs>
          <w:tab w:val="left" w:pos="2268"/>
        </w:tabs>
        <w:ind w:left="2268" w:hanging="425"/>
        <w:rPr>
          <w:i/>
        </w:rPr>
      </w:pPr>
      <w:r w:rsidRPr="00B742B8">
        <w:rPr>
          <w:i/>
        </w:rPr>
        <w:t>(ii</w:t>
      </w:r>
      <w:r w:rsidR="00B90BEB" w:rsidRPr="00B742B8">
        <w:rPr>
          <w:i/>
        </w:rPr>
        <w:t>)</w:t>
      </w:r>
      <w:r w:rsidR="00B90BEB">
        <w:rPr>
          <w:i/>
        </w:rPr>
        <w:tab/>
      </w:r>
      <w:proofErr w:type="gramStart"/>
      <w:r w:rsidRPr="00B742B8">
        <w:rPr>
          <w:i/>
        </w:rPr>
        <w:t>at</w:t>
      </w:r>
      <w:proofErr w:type="gramEnd"/>
      <w:r w:rsidRPr="00B742B8">
        <w:rPr>
          <w:i/>
        </w:rPr>
        <w:t xml:space="preserve"> or before the time of collecting the information, the organisation undertakes to the individual whom the information concerns that the organisation will not disclose the information without the individual's consent; or</w:t>
      </w:r>
    </w:p>
    <w:p w14:paraId="07DF48F0" w14:textId="5DCF910E" w:rsidR="00CC410A" w:rsidRPr="00B742B8" w:rsidRDefault="00CC410A" w:rsidP="00B742B8">
      <w:pPr>
        <w:tabs>
          <w:tab w:val="left" w:pos="1843"/>
          <w:tab w:val="left" w:pos="2730"/>
        </w:tabs>
        <w:ind w:left="1843" w:hanging="425"/>
        <w:rPr>
          <w:i/>
        </w:rPr>
      </w:pPr>
      <w:r w:rsidRPr="00B742B8">
        <w:rPr>
          <w:i/>
        </w:rPr>
        <w:t>(e</w:t>
      </w:r>
      <w:r w:rsidR="00B90BEB" w:rsidRPr="00B742B8">
        <w:rPr>
          <w:i/>
        </w:rPr>
        <w:t>)</w:t>
      </w:r>
      <w:r w:rsidR="00B90BEB">
        <w:rPr>
          <w:i/>
        </w:rPr>
        <w:tab/>
      </w:r>
      <w:proofErr w:type="gramStart"/>
      <w:r w:rsidRPr="00B742B8">
        <w:rPr>
          <w:i/>
        </w:rPr>
        <w:t>the</w:t>
      </w:r>
      <w:proofErr w:type="gramEnd"/>
      <w:r w:rsidRPr="00B742B8">
        <w:rPr>
          <w:i/>
        </w:rPr>
        <w:t xml:space="preserve"> collection is necessary for the establishment, exercise or defence of a legal or equitable claim.</w:t>
      </w:r>
    </w:p>
    <w:p w14:paraId="0DC50EC0" w14:textId="77777777" w:rsidR="001548F5" w:rsidRPr="00CC410A" w:rsidRDefault="001548F5">
      <w:pPr>
        <w:tabs>
          <w:tab w:val="left" w:pos="2730"/>
        </w:tabs>
      </w:pPr>
    </w:p>
    <w:sectPr w:rsidR="001548F5" w:rsidRPr="00CC410A" w:rsidSect="006455E4">
      <w:headerReference w:type="default" r:id="rId25"/>
      <w:footerReference w:type="default" r:id="rId26"/>
      <w:pgSz w:w="11906" w:h="16838"/>
      <w:pgMar w:top="1440" w:right="170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FF5EB" w14:textId="77777777" w:rsidR="00E1710E" w:rsidRDefault="00E1710E" w:rsidP="001E4C39">
      <w:pPr>
        <w:spacing w:after="0"/>
      </w:pPr>
      <w:r>
        <w:separator/>
      </w:r>
    </w:p>
  </w:endnote>
  <w:endnote w:type="continuationSeparator" w:id="0">
    <w:p w14:paraId="21541F60" w14:textId="77777777" w:rsidR="00E1710E" w:rsidRDefault="00E1710E" w:rsidP="001E4C39">
      <w:pPr>
        <w:spacing w:after="0"/>
      </w:pPr>
      <w:r>
        <w:continuationSeparator/>
      </w:r>
    </w:p>
  </w:endnote>
  <w:endnote w:type="continuationNotice" w:id="1">
    <w:p w14:paraId="66D34F2F" w14:textId="77777777" w:rsidR="00E1710E" w:rsidRDefault="00E171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8F66E" w14:textId="77777777" w:rsidR="006455E4" w:rsidRDefault="006455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0D57B" w14:textId="77777777" w:rsidR="006455E4" w:rsidRDefault="006455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D853A" w14:textId="77777777" w:rsidR="006455E4" w:rsidRDefault="006455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60E3A" w14:textId="38C48B6B" w:rsidR="00E1710E" w:rsidRDefault="00E1710E" w:rsidP="001E4C39">
    <w:pPr>
      <w:pStyle w:val="Footer"/>
      <w:jc w:val="right"/>
    </w:pPr>
    <w:bookmarkStart w:id="0" w:name="_GoBack"/>
    <w:bookmarkEnd w:id="0"/>
  </w:p>
  <w:p w14:paraId="1FC060C2" w14:textId="1A82A45B" w:rsidR="00E1710E" w:rsidRDefault="00E1710E" w:rsidP="00B742B8">
    <w:pPr>
      <w:pStyle w:val="Footer"/>
    </w:pPr>
    <w:r>
      <w:tab/>
    </w:r>
    <w:r>
      <w:tab/>
    </w:r>
    <w:sdt>
      <w:sdtPr>
        <w:id w:val="180905914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455E4">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76BFA" w14:textId="77777777" w:rsidR="00E1710E" w:rsidRDefault="00E1710E" w:rsidP="001E4C39">
      <w:pPr>
        <w:spacing w:after="0"/>
      </w:pPr>
      <w:r>
        <w:separator/>
      </w:r>
    </w:p>
  </w:footnote>
  <w:footnote w:type="continuationSeparator" w:id="0">
    <w:p w14:paraId="4B5289EA" w14:textId="77777777" w:rsidR="00E1710E" w:rsidRDefault="00E1710E" w:rsidP="001E4C39">
      <w:pPr>
        <w:spacing w:after="0"/>
      </w:pPr>
      <w:r>
        <w:continuationSeparator/>
      </w:r>
    </w:p>
  </w:footnote>
  <w:footnote w:type="continuationNotice" w:id="1">
    <w:p w14:paraId="64614601" w14:textId="77777777" w:rsidR="00E1710E" w:rsidRDefault="00E1710E">
      <w:pPr>
        <w:spacing w:after="0"/>
      </w:pPr>
    </w:p>
  </w:footnote>
  <w:footnote w:id="2">
    <w:p w14:paraId="0F09582E" w14:textId="16F32283" w:rsidR="00E1710E" w:rsidRPr="00B742B8" w:rsidRDefault="00E1710E" w:rsidP="00B742B8">
      <w:pPr>
        <w:pStyle w:val="FootnoteText"/>
        <w:spacing w:before="120" w:after="120"/>
        <w:rPr>
          <w:rFonts w:asciiTheme="minorHAnsi" w:hAnsiTheme="minorHAnsi" w:cstheme="minorHAnsi"/>
        </w:rPr>
      </w:pPr>
      <w:r w:rsidRPr="00B742B8">
        <w:rPr>
          <w:rStyle w:val="FootnoteReference"/>
          <w:rFonts w:asciiTheme="minorHAnsi" w:hAnsiTheme="minorHAnsi" w:cstheme="minorHAnsi"/>
        </w:rPr>
        <w:footnoteRef/>
      </w:r>
      <w:r w:rsidRPr="00B742B8">
        <w:rPr>
          <w:rFonts w:asciiTheme="minorHAnsi" w:hAnsiTheme="minorHAnsi" w:cstheme="minorHAnsi"/>
        </w:rPr>
        <w:t xml:space="preserve"> </w:t>
      </w:r>
      <w:r w:rsidRPr="00B742B8">
        <w:rPr>
          <w:rFonts w:asciiTheme="minorHAnsi" w:hAnsiTheme="minorHAnsi" w:cstheme="minorHAnsi"/>
        </w:rPr>
        <w:tab/>
      </w:r>
      <w:hyperlink r:id="rId1" w:history="1">
        <w:r w:rsidRPr="00C5092C">
          <w:rPr>
            <w:rStyle w:val="Hyperlink"/>
            <w:rFonts w:asciiTheme="minorHAnsi" w:hAnsiTheme="minorHAnsi" w:cstheme="minorHAnsi"/>
          </w:rPr>
          <w:t>www.comlaw.gov.au/Series/C2004A01224</w:t>
        </w:r>
      </w:hyperlink>
      <w:r>
        <w:rPr>
          <w:rFonts w:asciiTheme="minorHAnsi" w:hAnsiTheme="minorHAnsi" w:cstheme="minorHAnsi"/>
        </w:rPr>
        <w:t xml:space="preserve"> </w:t>
      </w:r>
    </w:p>
  </w:footnote>
  <w:footnote w:id="3">
    <w:p w14:paraId="74889966" w14:textId="77777777" w:rsidR="00E1710E" w:rsidRPr="00B742B8" w:rsidRDefault="00E1710E" w:rsidP="00B742B8">
      <w:pPr>
        <w:pStyle w:val="FootnoteText"/>
        <w:spacing w:before="120" w:after="120"/>
        <w:rPr>
          <w:rFonts w:asciiTheme="minorHAnsi" w:hAnsiTheme="minorHAnsi" w:cstheme="minorHAnsi"/>
        </w:rPr>
      </w:pPr>
      <w:r w:rsidRPr="00B742B8">
        <w:rPr>
          <w:rStyle w:val="FootnoteReference"/>
          <w:rFonts w:asciiTheme="minorHAnsi" w:hAnsiTheme="minorHAnsi" w:cstheme="minorHAnsi"/>
        </w:rPr>
        <w:footnoteRef/>
      </w:r>
      <w:r w:rsidRPr="00B742B8">
        <w:rPr>
          <w:rFonts w:asciiTheme="minorHAnsi" w:hAnsiTheme="minorHAnsi" w:cstheme="minorHAnsi"/>
        </w:rPr>
        <w:t xml:space="preserve"> </w:t>
      </w:r>
      <w:r w:rsidRPr="00B742B8">
        <w:rPr>
          <w:rFonts w:asciiTheme="minorHAnsi" w:hAnsiTheme="minorHAnsi" w:cstheme="minorHAnsi"/>
        </w:rPr>
        <w:tab/>
      </w:r>
      <w:hyperlink r:id="rId2" w:history="1">
        <w:r w:rsidRPr="00B742B8">
          <w:rPr>
            <w:rStyle w:val="Hyperlink"/>
            <w:rFonts w:asciiTheme="minorHAnsi" w:hAnsiTheme="minorHAnsi" w:cstheme="minorHAnsi"/>
          </w:rPr>
          <w:t>www.comlaw.gov.au/Series/C2004A03712</w:t>
        </w:r>
      </w:hyperlink>
      <w:r w:rsidRPr="00B742B8">
        <w:rPr>
          <w:rStyle w:val="HTMLCite"/>
          <w:rFonts w:asciiTheme="minorHAnsi" w:hAnsiTheme="minorHAnsi" w:cstheme="minorHAnsi"/>
          <w:color w:val="666666"/>
        </w:rPr>
        <w:t xml:space="preserve"> </w:t>
      </w:r>
    </w:p>
  </w:footnote>
  <w:footnote w:id="4">
    <w:p w14:paraId="3771E334" w14:textId="1874F59D" w:rsidR="00E1710E" w:rsidRPr="00B742B8" w:rsidRDefault="00E1710E" w:rsidP="00B742B8">
      <w:pPr>
        <w:pStyle w:val="FootnoteText"/>
        <w:spacing w:before="120" w:after="120"/>
        <w:rPr>
          <w:rFonts w:asciiTheme="minorHAnsi" w:hAnsiTheme="minorHAnsi" w:cstheme="minorHAnsi"/>
        </w:rPr>
      </w:pPr>
      <w:r w:rsidRPr="00B742B8">
        <w:rPr>
          <w:rStyle w:val="FootnoteReference"/>
          <w:rFonts w:asciiTheme="minorHAnsi" w:hAnsiTheme="minorHAnsi" w:cstheme="minorHAnsi"/>
        </w:rPr>
        <w:footnoteRef/>
      </w:r>
      <w:r w:rsidRPr="00B742B8">
        <w:rPr>
          <w:rFonts w:asciiTheme="minorHAnsi" w:hAnsiTheme="minorHAnsi" w:cstheme="minorHAnsi"/>
        </w:rPr>
        <w:t xml:space="preserve"> </w:t>
      </w:r>
      <w:r w:rsidRPr="00B742B8">
        <w:rPr>
          <w:rFonts w:asciiTheme="minorHAnsi" w:hAnsiTheme="minorHAnsi" w:cstheme="minorHAnsi"/>
        </w:rPr>
        <w:tab/>
        <w:t xml:space="preserve">See the definitions of </w:t>
      </w:r>
      <w:r w:rsidRPr="00B742B8">
        <w:rPr>
          <w:rFonts w:asciiTheme="minorHAnsi" w:hAnsiTheme="minorHAnsi" w:cstheme="minorHAnsi"/>
          <w:i/>
        </w:rPr>
        <w:t>‘health service’</w:t>
      </w:r>
      <w:r w:rsidRPr="00B742B8">
        <w:rPr>
          <w:rFonts w:asciiTheme="minorHAnsi" w:hAnsiTheme="minorHAnsi" w:cstheme="minorHAnsi"/>
        </w:rPr>
        <w:t xml:space="preserve"> and </w:t>
      </w:r>
      <w:r w:rsidRPr="00B742B8">
        <w:rPr>
          <w:rFonts w:asciiTheme="minorHAnsi" w:hAnsiTheme="minorHAnsi" w:cstheme="minorHAnsi"/>
          <w:i/>
        </w:rPr>
        <w:t>‘organisation’</w:t>
      </w:r>
      <w:r w:rsidRPr="00B742B8">
        <w:rPr>
          <w:rFonts w:asciiTheme="minorHAnsi" w:hAnsiTheme="minorHAnsi" w:cstheme="minorHAnsi"/>
        </w:rPr>
        <w:t xml:space="preserve"> in s6 of the Privacy Act, extracted at Annexure A.  See also s6D(4)(b) of the Privacy Act: </w:t>
      </w:r>
      <w:hyperlink r:id="rId3" w:history="1">
        <w:r w:rsidRPr="00B742B8">
          <w:rPr>
            <w:rStyle w:val="Hyperlink"/>
            <w:rFonts w:asciiTheme="minorHAnsi" w:hAnsiTheme="minorHAnsi" w:cstheme="minorHAnsi"/>
          </w:rPr>
          <w:t>www.comlaw.gov.au/Series/C2004A03712</w:t>
        </w:r>
      </w:hyperlink>
      <w:r w:rsidRPr="00B742B8">
        <w:rPr>
          <w:rStyle w:val="HTMLCite"/>
          <w:rFonts w:asciiTheme="minorHAnsi" w:hAnsiTheme="minorHAnsi" w:cstheme="minorHAnsi"/>
          <w:color w:val="666666"/>
        </w:rPr>
        <w:t xml:space="preserve"> </w:t>
      </w:r>
    </w:p>
  </w:footnote>
  <w:footnote w:id="5">
    <w:p w14:paraId="27261331" w14:textId="300DDD17" w:rsidR="00E1710E" w:rsidRPr="00B742B8" w:rsidRDefault="00E1710E" w:rsidP="00B742B8">
      <w:pPr>
        <w:pStyle w:val="FootnoteText"/>
        <w:spacing w:before="120" w:after="120"/>
        <w:rPr>
          <w:rFonts w:asciiTheme="minorHAnsi" w:hAnsiTheme="minorHAnsi" w:cstheme="minorHAnsi"/>
        </w:rPr>
      </w:pPr>
      <w:r w:rsidRPr="00B742B8">
        <w:rPr>
          <w:rStyle w:val="FootnoteReference"/>
          <w:rFonts w:asciiTheme="minorHAnsi" w:hAnsiTheme="minorHAnsi" w:cstheme="minorHAnsi"/>
        </w:rPr>
        <w:footnoteRef/>
      </w:r>
      <w:r w:rsidRPr="00B742B8">
        <w:rPr>
          <w:rFonts w:asciiTheme="minorHAnsi" w:hAnsiTheme="minorHAnsi" w:cstheme="minorHAnsi"/>
        </w:rPr>
        <w:t xml:space="preserve"> </w:t>
      </w:r>
      <w:r w:rsidRPr="00B742B8">
        <w:rPr>
          <w:rFonts w:asciiTheme="minorHAnsi" w:hAnsiTheme="minorHAnsi" w:cstheme="minorHAnsi"/>
        </w:rPr>
        <w:tab/>
      </w:r>
      <w:r w:rsidRPr="00B742B8">
        <w:rPr>
          <w:rFonts w:asciiTheme="minorHAnsi" w:hAnsiTheme="minorHAnsi" w:cstheme="minorHAnsi"/>
          <w:i/>
        </w:rPr>
        <w:t>‘Person responsible’</w:t>
      </w:r>
      <w:r w:rsidRPr="00B742B8">
        <w:rPr>
          <w:rFonts w:asciiTheme="minorHAnsi" w:hAnsiTheme="minorHAnsi" w:cstheme="minorHAnsi"/>
        </w:rPr>
        <w:t xml:space="preserve"> has the same meaning as defined in NPP 2.5 and 2.6</w:t>
      </w:r>
      <w:r>
        <w:rPr>
          <w:rFonts w:asciiTheme="minorHAnsi" w:hAnsiTheme="minorHAnsi" w:cstheme="minorHAnsi"/>
        </w:rPr>
        <w:t>; see Attachment A.</w:t>
      </w:r>
    </w:p>
  </w:footnote>
  <w:footnote w:id="6">
    <w:p w14:paraId="7ABAF558" w14:textId="2D5B41B1" w:rsidR="00E1710E" w:rsidRPr="00B742B8" w:rsidRDefault="00E1710E" w:rsidP="00B742B8">
      <w:pPr>
        <w:pStyle w:val="FootnoteText"/>
        <w:spacing w:before="120" w:after="120"/>
        <w:rPr>
          <w:rFonts w:asciiTheme="minorHAnsi" w:hAnsiTheme="minorHAnsi" w:cstheme="minorHAnsi"/>
        </w:rPr>
      </w:pPr>
      <w:r w:rsidRPr="00B742B8">
        <w:rPr>
          <w:rStyle w:val="FootnoteReference"/>
          <w:rFonts w:asciiTheme="minorHAnsi" w:hAnsiTheme="minorHAnsi" w:cstheme="minorHAnsi"/>
        </w:rPr>
        <w:footnoteRef/>
      </w:r>
      <w:r w:rsidRPr="00B742B8">
        <w:rPr>
          <w:rFonts w:asciiTheme="minorHAnsi" w:hAnsiTheme="minorHAnsi" w:cstheme="minorHAnsi"/>
        </w:rPr>
        <w:t xml:space="preserve"> </w:t>
      </w:r>
      <w:r w:rsidRPr="00B742B8">
        <w:rPr>
          <w:rFonts w:asciiTheme="minorHAnsi" w:hAnsiTheme="minorHAnsi" w:cstheme="minorHAnsi"/>
        </w:rPr>
        <w:tab/>
      </w:r>
      <w:hyperlink r:id="rId4" w:history="1">
        <w:r w:rsidRPr="00C5092C">
          <w:rPr>
            <w:rStyle w:val="Hyperlink"/>
            <w:rFonts w:asciiTheme="minorHAnsi" w:hAnsiTheme="minorHAnsi" w:cstheme="minorHAnsi"/>
          </w:rPr>
          <w:t>www.comlaw.gov.au/Series/C2010A00052</w:t>
        </w:r>
      </w:hyperlink>
      <w:r>
        <w:rPr>
          <w:rFonts w:asciiTheme="minorHAnsi" w:hAnsiTheme="minorHAnsi" w:cstheme="minorHAnsi"/>
        </w:rPr>
        <w:t xml:space="preserve"> </w:t>
      </w:r>
    </w:p>
  </w:footnote>
  <w:footnote w:id="7">
    <w:p w14:paraId="54DC273F" w14:textId="77777777" w:rsidR="00E1710E" w:rsidRPr="00B742B8" w:rsidRDefault="00E1710E" w:rsidP="00B742B8">
      <w:pPr>
        <w:pStyle w:val="FootnoteText"/>
        <w:spacing w:before="120" w:after="120"/>
        <w:rPr>
          <w:rFonts w:asciiTheme="minorHAnsi" w:hAnsiTheme="minorHAnsi" w:cstheme="minorHAnsi"/>
        </w:rPr>
      </w:pPr>
      <w:r w:rsidRPr="00B742B8">
        <w:rPr>
          <w:rStyle w:val="FootnoteReference"/>
          <w:rFonts w:asciiTheme="minorHAnsi" w:hAnsiTheme="minorHAnsi" w:cstheme="minorHAnsi"/>
        </w:rPr>
        <w:footnoteRef/>
      </w:r>
      <w:r w:rsidRPr="00B742B8">
        <w:rPr>
          <w:rFonts w:asciiTheme="minorHAnsi" w:hAnsiTheme="minorHAnsi" w:cstheme="minorHAnsi"/>
        </w:rPr>
        <w:t xml:space="preserve"> See s6C of the Privacy Act.</w:t>
      </w:r>
    </w:p>
  </w:footnote>
  <w:footnote w:id="8">
    <w:p w14:paraId="7313C25A" w14:textId="77777777" w:rsidR="00E1710E" w:rsidRPr="00B742B8" w:rsidRDefault="00E1710E" w:rsidP="00B742B8">
      <w:pPr>
        <w:pStyle w:val="FootnoteText"/>
        <w:spacing w:before="120" w:after="120"/>
        <w:rPr>
          <w:rFonts w:asciiTheme="minorHAnsi" w:hAnsiTheme="minorHAnsi" w:cstheme="minorHAnsi"/>
        </w:rPr>
      </w:pPr>
      <w:r w:rsidRPr="00B742B8">
        <w:rPr>
          <w:rStyle w:val="FootnoteReference"/>
          <w:rFonts w:asciiTheme="minorHAnsi" w:hAnsiTheme="minorHAnsi" w:cstheme="minorHAnsi"/>
        </w:rPr>
        <w:footnoteRef/>
      </w:r>
      <w:r w:rsidRPr="00B742B8">
        <w:rPr>
          <w:rFonts w:asciiTheme="minorHAnsi" w:hAnsiTheme="minorHAnsi" w:cstheme="minorHAnsi"/>
        </w:rPr>
        <w:t xml:space="preserve"> </w:t>
      </w:r>
      <w:r w:rsidRPr="00B742B8">
        <w:rPr>
          <w:rFonts w:asciiTheme="minorHAnsi" w:hAnsiTheme="minorHAnsi" w:cstheme="minorHAnsi"/>
        </w:rPr>
        <w:tab/>
        <w:t>Section 6D of the Privacy Act exempts ‘</w:t>
      </w:r>
      <w:r w:rsidRPr="00B742B8">
        <w:rPr>
          <w:rFonts w:asciiTheme="minorHAnsi" w:hAnsiTheme="minorHAnsi" w:cstheme="minorHAnsi"/>
          <w:i/>
        </w:rPr>
        <w:t>small business operators’</w:t>
      </w:r>
      <w:r w:rsidRPr="00B742B8">
        <w:rPr>
          <w:rFonts w:asciiTheme="minorHAnsi" w:hAnsiTheme="minorHAnsi" w:cstheme="minorHAnsi"/>
        </w:rPr>
        <w:t xml:space="preserve">, from the operation of the Act.  However, the definition of </w:t>
      </w:r>
      <w:r w:rsidRPr="00B742B8">
        <w:rPr>
          <w:rFonts w:asciiTheme="minorHAnsi" w:hAnsiTheme="minorHAnsi" w:cstheme="minorHAnsi"/>
          <w:i/>
        </w:rPr>
        <w:t>‘small business operator’</w:t>
      </w:r>
      <w:r w:rsidRPr="00B742B8">
        <w:rPr>
          <w:rFonts w:asciiTheme="minorHAnsi" w:hAnsiTheme="minorHAnsi" w:cstheme="minorHAnsi"/>
        </w:rPr>
        <w:t xml:space="preserve"> excludes an entity </w:t>
      </w:r>
      <w:r w:rsidRPr="00B742B8">
        <w:rPr>
          <w:rFonts w:asciiTheme="minorHAnsi" w:hAnsiTheme="minorHAnsi" w:cstheme="minorHAnsi"/>
          <w:i/>
        </w:rPr>
        <w:t>that ‘provides a health service to another individual and holds any health information except in an employee record’</w:t>
      </w:r>
      <w:r w:rsidRPr="00B742B8">
        <w:rPr>
          <w:rFonts w:asciiTheme="minorHAnsi" w:hAnsiTheme="minorHAnsi" w:cstheme="minorHAnsi"/>
        </w:rPr>
        <w:t xml:space="preserve"> (</w:t>
      </w:r>
      <w:proofErr w:type="gramStart"/>
      <w:r w:rsidRPr="00B742B8">
        <w:rPr>
          <w:rFonts w:asciiTheme="minorHAnsi" w:hAnsiTheme="minorHAnsi" w:cstheme="minorHAnsi"/>
        </w:rPr>
        <w:t>s6D(</w:t>
      </w:r>
      <w:proofErr w:type="gramEnd"/>
      <w:r w:rsidRPr="00B742B8">
        <w:rPr>
          <w:rFonts w:asciiTheme="minorHAnsi" w:hAnsiTheme="minorHAnsi" w:cstheme="minorHAnsi"/>
        </w:rPr>
        <w:t xml:space="preserve">4)(b)). </w:t>
      </w:r>
    </w:p>
  </w:footnote>
  <w:footnote w:id="9">
    <w:p w14:paraId="5813DBD9" w14:textId="77777777" w:rsidR="00E1710E" w:rsidRPr="000A697D" w:rsidRDefault="00E1710E" w:rsidP="00B742B8">
      <w:pPr>
        <w:pStyle w:val="FootnoteText"/>
        <w:tabs>
          <w:tab w:val="clear" w:pos="357"/>
          <w:tab w:val="left" w:pos="284"/>
          <w:tab w:val="left" w:pos="993"/>
        </w:tabs>
        <w:spacing w:before="120" w:after="120"/>
        <w:ind w:left="284" w:hangingChars="142" w:hanging="284"/>
        <w:rPr>
          <w:rFonts w:asciiTheme="minorHAnsi" w:hAnsiTheme="minorHAnsi" w:cstheme="minorHAnsi"/>
        </w:rPr>
      </w:pPr>
      <w:r w:rsidRPr="000A697D">
        <w:rPr>
          <w:rStyle w:val="FootnoteReference"/>
          <w:rFonts w:asciiTheme="minorHAnsi" w:hAnsiTheme="minorHAnsi" w:cstheme="minorHAnsi"/>
        </w:rPr>
        <w:footnoteRef/>
      </w:r>
      <w:r w:rsidRPr="000A697D">
        <w:rPr>
          <w:rFonts w:asciiTheme="minorHAnsi" w:hAnsiTheme="minorHAnsi" w:cstheme="minorHAnsi"/>
        </w:rPr>
        <w:t xml:space="preserve"> </w:t>
      </w:r>
      <w:hyperlink w:history="1">
        <w:r w:rsidRPr="000A697D">
          <w:rPr>
            <w:rStyle w:val="Hyperlink"/>
            <w:rFonts w:asciiTheme="minorHAnsi" w:hAnsiTheme="minorHAnsi" w:cstheme="minorHAnsi"/>
            <w:u w:val="none"/>
          </w:rPr>
          <w:tab/>
        </w:r>
        <w:r w:rsidRPr="000A697D">
          <w:rPr>
            <w:rStyle w:val="Hyperlink"/>
            <w:rFonts w:asciiTheme="minorHAnsi" w:hAnsiTheme="minorHAnsi" w:cstheme="minorHAnsi"/>
          </w:rPr>
          <w:t>www.oaic.gov.au/news/consultations.html#dr_hambleton</w:t>
        </w:r>
      </w:hyperlink>
      <w:r w:rsidRPr="000A697D">
        <w:rPr>
          <w:rFonts w:asciiTheme="minorHAnsi" w:hAnsiTheme="minorHAnsi" w:cstheme="min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885AF" w14:textId="77777777" w:rsidR="006455E4" w:rsidRDefault="006455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73AFC" w14:textId="77777777" w:rsidR="006455E4" w:rsidRDefault="006455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5DDA0" w14:textId="77777777" w:rsidR="006455E4" w:rsidRDefault="006455E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F02DC" w14:textId="77777777" w:rsidR="00E1710E" w:rsidRDefault="00E1710E" w:rsidP="00D607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3029"/>
    <w:multiLevelType w:val="hybridMultilevel"/>
    <w:tmpl w:val="A9FE1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5C3742"/>
    <w:multiLevelType w:val="multilevel"/>
    <w:tmpl w:val="544A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80F8B"/>
    <w:multiLevelType w:val="hybridMultilevel"/>
    <w:tmpl w:val="E218570C"/>
    <w:lvl w:ilvl="0" w:tplc="C0BEB258">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5DF09CC"/>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
    <w:nsid w:val="2A884ECE"/>
    <w:multiLevelType w:val="hybridMultilevel"/>
    <w:tmpl w:val="01CC5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C53620C"/>
    <w:multiLevelType w:val="hybridMultilevel"/>
    <w:tmpl w:val="FD2E6186"/>
    <w:lvl w:ilvl="0" w:tplc="3940CC78">
      <w:start w:val="1"/>
      <w:numFmt w:val="lowerLetter"/>
      <w:lvlText w:val="(%1)"/>
      <w:lvlJc w:val="left"/>
      <w:pPr>
        <w:tabs>
          <w:tab w:val="num" w:pos="1440"/>
        </w:tabs>
        <w:ind w:left="1440" w:hanging="720"/>
      </w:pPr>
    </w:lvl>
    <w:lvl w:ilvl="1" w:tplc="B91E28A8">
      <w:start w:val="1"/>
      <w:numFmt w:val="lowerRoman"/>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654304B2"/>
    <w:multiLevelType w:val="hybridMultilevel"/>
    <w:tmpl w:val="EFA8982C"/>
    <w:lvl w:ilvl="0" w:tplc="B25A9664">
      <w:start w:val="1"/>
      <w:numFmt w:val="lowerLetter"/>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7">
    <w:nsid w:val="655D77C5"/>
    <w:multiLevelType w:val="hybridMultilevel"/>
    <w:tmpl w:val="261450BE"/>
    <w:lvl w:ilvl="0" w:tplc="0C090001">
      <w:start w:val="1"/>
      <w:numFmt w:val="bullet"/>
      <w:lvlText w:val=""/>
      <w:lvlJc w:val="left"/>
      <w:pPr>
        <w:tabs>
          <w:tab w:val="num" w:pos="720"/>
        </w:tabs>
        <w:ind w:left="720" w:hanging="360"/>
      </w:pPr>
      <w:rPr>
        <w:rFonts w:ascii="Symbol" w:hAnsi="Symbol" w:hint="default"/>
      </w:rPr>
    </w:lvl>
    <w:lvl w:ilvl="1" w:tplc="0C09000B">
      <w:start w:val="1"/>
      <w:numFmt w:val="bullet"/>
      <w:lvlText w:val=""/>
      <w:lvlJc w:val="left"/>
      <w:pPr>
        <w:tabs>
          <w:tab w:val="num" w:pos="1440"/>
        </w:tabs>
        <w:ind w:left="1440" w:hanging="360"/>
      </w:pPr>
      <w:rPr>
        <w:rFonts w:ascii="Wingdings" w:hAnsi="Wingdings"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nsid w:val="683D447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5760"/>
        </w:tabs>
        <w:ind w:left="4320" w:hanging="1440"/>
      </w:pPr>
    </w:lvl>
  </w:abstractNum>
  <w:abstractNum w:abstractNumId="9">
    <w:nsid w:val="7B2050DC"/>
    <w:multiLevelType w:val="hybridMultilevel"/>
    <w:tmpl w:val="B4F0E2B2"/>
    <w:lvl w:ilvl="0" w:tplc="5614A626">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attachedTemplate r:id="rId1"/>
  <w:revisionView w:markup="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10A"/>
    <w:rsid w:val="00000165"/>
    <w:rsid w:val="000028B5"/>
    <w:rsid w:val="00004E39"/>
    <w:rsid w:val="000054E4"/>
    <w:rsid w:val="000072DF"/>
    <w:rsid w:val="00010BB3"/>
    <w:rsid w:val="00011584"/>
    <w:rsid w:val="00012F7D"/>
    <w:rsid w:val="000155DD"/>
    <w:rsid w:val="000202A5"/>
    <w:rsid w:val="000203D0"/>
    <w:rsid w:val="00021DDD"/>
    <w:rsid w:val="000221D9"/>
    <w:rsid w:val="00022265"/>
    <w:rsid w:val="000229B5"/>
    <w:rsid w:val="0002444C"/>
    <w:rsid w:val="00026036"/>
    <w:rsid w:val="00026610"/>
    <w:rsid w:val="00027E43"/>
    <w:rsid w:val="000337E7"/>
    <w:rsid w:val="0003523D"/>
    <w:rsid w:val="00035604"/>
    <w:rsid w:val="00036338"/>
    <w:rsid w:val="0003735C"/>
    <w:rsid w:val="00037957"/>
    <w:rsid w:val="0004205B"/>
    <w:rsid w:val="00042C63"/>
    <w:rsid w:val="00043CD8"/>
    <w:rsid w:val="00044988"/>
    <w:rsid w:val="0004681F"/>
    <w:rsid w:val="00051B6B"/>
    <w:rsid w:val="00052327"/>
    <w:rsid w:val="00054E27"/>
    <w:rsid w:val="00055407"/>
    <w:rsid w:val="00055952"/>
    <w:rsid w:val="000565DB"/>
    <w:rsid w:val="000578E6"/>
    <w:rsid w:val="000618A8"/>
    <w:rsid w:val="000622CE"/>
    <w:rsid w:val="000629A8"/>
    <w:rsid w:val="00063073"/>
    <w:rsid w:val="00063903"/>
    <w:rsid w:val="00064719"/>
    <w:rsid w:val="000647DC"/>
    <w:rsid w:val="00067230"/>
    <w:rsid w:val="00067436"/>
    <w:rsid w:val="000712B2"/>
    <w:rsid w:val="00072155"/>
    <w:rsid w:val="00072922"/>
    <w:rsid w:val="000745FD"/>
    <w:rsid w:val="00076715"/>
    <w:rsid w:val="00076BDC"/>
    <w:rsid w:val="000804EA"/>
    <w:rsid w:val="00082B00"/>
    <w:rsid w:val="0008338F"/>
    <w:rsid w:val="00084D3C"/>
    <w:rsid w:val="000869DB"/>
    <w:rsid w:val="00087511"/>
    <w:rsid w:val="0009027C"/>
    <w:rsid w:val="00090584"/>
    <w:rsid w:val="00091E06"/>
    <w:rsid w:val="00092618"/>
    <w:rsid w:val="00095F9D"/>
    <w:rsid w:val="000961F6"/>
    <w:rsid w:val="00096CB4"/>
    <w:rsid w:val="000A084A"/>
    <w:rsid w:val="000A09F4"/>
    <w:rsid w:val="000A1207"/>
    <w:rsid w:val="000A2EA0"/>
    <w:rsid w:val="000A3E7A"/>
    <w:rsid w:val="000A6817"/>
    <w:rsid w:val="000A697D"/>
    <w:rsid w:val="000A7C4D"/>
    <w:rsid w:val="000B1BBB"/>
    <w:rsid w:val="000B27ED"/>
    <w:rsid w:val="000B5D38"/>
    <w:rsid w:val="000B6172"/>
    <w:rsid w:val="000B6B54"/>
    <w:rsid w:val="000C0996"/>
    <w:rsid w:val="000C4767"/>
    <w:rsid w:val="000C7917"/>
    <w:rsid w:val="000C79EA"/>
    <w:rsid w:val="000D1C7E"/>
    <w:rsid w:val="000D3DDE"/>
    <w:rsid w:val="000D6170"/>
    <w:rsid w:val="000D6F23"/>
    <w:rsid w:val="000D781B"/>
    <w:rsid w:val="000E1C81"/>
    <w:rsid w:val="000E31C7"/>
    <w:rsid w:val="000E743A"/>
    <w:rsid w:val="000F20D7"/>
    <w:rsid w:val="000F2E9F"/>
    <w:rsid w:val="000F4DAE"/>
    <w:rsid w:val="000F6F40"/>
    <w:rsid w:val="000F78D8"/>
    <w:rsid w:val="00101DFE"/>
    <w:rsid w:val="00102128"/>
    <w:rsid w:val="00102327"/>
    <w:rsid w:val="001041EA"/>
    <w:rsid w:val="00104B84"/>
    <w:rsid w:val="0010588D"/>
    <w:rsid w:val="00107A6A"/>
    <w:rsid w:val="00107E2D"/>
    <w:rsid w:val="001121D7"/>
    <w:rsid w:val="001124A6"/>
    <w:rsid w:val="001156D0"/>
    <w:rsid w:val="00115EB6"/>
    <w:rsid w:val="0011761D"/>
    <w:rsid w:val="00121387"/>
    <w:rsid w:val="00124151"/>
    <w:rsid w:val="0012425F"/>
    <w:rsid w:val="001242C7"/>
    <w:rsid w:val="00125A47"/>
    <w:rsid w:val="00127027"/>
    <w:rsid w:val="0012740D"/>
    <w:rsid w:val="00130055"/>
    <w:rsid w:val="00136064"/>
    <w:rsid w:val="001440D8"/>
    <w:rsid w:val="00145344"/>
    <w:rsid w:val="00147D3F"/>
    <w:rsid w:val="0015066F"/>
    <w:rsid w:val="001548F5"/>
    <w:rsid w:val="00157D91"/>
    <w:rsid w:val="001615D1"/>
    <w:rsid w:val="001623FB"/>
    <w:rsid w:val="00162FEF"/>
    <w:rsid w:val="00163555"/>
    <w:rsid w:val="00163A8F"/>
    <w:rsid w:val="00165834"/>
    <w:rsid w:val="00165FB4"/>
    <w:rsid w:val="00166300"/>
    <w:rsid w:val="00167B40"/>
    <w:rsid w:val="00170C72"/>
    <w:rsid w:val="001726F3"/>
    <w:rsid w:val="00174289"/>
    <w:rsid w:val="001770E6"/>
    <w:rsid w:val="001775FA"/>
    <w:rsid w:val="001871BC"/>
    <w:rsid w:val="001874FB"/>
    <w:rsid w:val="00191D34"/>
    <w:rsid w:val="001970A4"/>
    <w:rsid w:val="0019745F"/>
    <w:rsid w:val="00197DEE"/>
    <w:rsid w:val="001A101F"/>
    <w:rsid w:val="001A3953"/>
    <w:rsid w:val="001A46BF"/>
    <w:rsid w:val="001A4995"/>
    <w:rsid w:val="001A6337"/>
    <w:rsid w:val="001A7332"/>
    <w:rsid w:val="001A7466"/>
    <w:rsid w:val="001A7B46"/>
    <w:rsid w:val="001B02B3"/>
    <w:rsid w:val="001B1B91"/>
    <w:rsid w:val="001B40D7"/>
    <w:rsid w:val="001B4868"/>
    <w:rsid w:val="001C0383"/>
    <w:rsid w:val="001C08FD"/>
    <w:rsid w:val="001C24DD"/>
    <w:rsid w:val="001D11A6"/>
    <w:rsid w:val="001D2A0D"/>
    <w:rsid w:val="001D3B89"/>
    <w:rsid w:val="001D79B3"/>
    <w:rsid w:val="001E08EF"/>
    <w:rsid w:val="001E4B52"/>
    <w:rsid w:val="001E4C39"/>
    <w:rsid w:val="001E52FF"/>
    <w:rsid w:val="001E5A5F"/>
    <w:rsid w:val="001E796B"/>
    <w:rsid w:val="001F0BAD"/>
    <w:rsid w:val="001F299E"/>
    <w:rsid w:val="001F2C52"/>
    <w:rsid w:val="001F448D"/>
    <w:rsid w:val="001F4EBA"/>
    <w:rsid w:val="001F660B"/>
    <w:rsid w:val="001F7D27"/>
    <w:rsid w:val="00202549"/>
    <w:rsid w:val="00206546"/>
    <w:rsid w:val="00210491"/>
    <w:rsid w:val="002128F1"/>
    <w:rsid w:val="00215515"/>
    <w:rsid w:val="00215A9D"/>
    <w:rsid w:val="00215B1B"/>
    <w:rsid w:val="00215B89"/>
    <w:rsid w:val="0021615C"/>
    <w:rsid w:val="00217CFB"/>
    <w:rsid w:val="00220909"/>
    <w:rsid w:val="00222128"/>
    <w:rsid w:val="00222E5A"/>
    <w:rsid w:val="00223FC3"/>
    <w:rsid w:val="002241FF"/>
    <w:rsid w:val="00224C7C"/>
    <w:rsid w:val="00226281"/>
    <w:rsid w:val="00226A2D"/>
    <w:rsid w:val="00231C2E"/>
    <w:rsid w:val="00231CCA"/>
    <w:rsid w:val="00232643"/>
    <w:rsid w:val="0023467D"/>
    <w:rsid w:val="00241357"/>
    <w:rsid w:val="0024494D"/>
    <w:rsid w:val="00244A6F"/>
    <w:rsid w:val="0024718E"/>
    <w:rsid w:val="00247703"/>
    <w:rsid w:val="00247735"/>
    <w:rsid w:val="00252B5D"/>
    <w:rsid w:val="002553E0"/>
    <w:rsid w:val="002572E0"/>
    <w:rsid w:val="00257D73"/>
    <w:rsid w:val="00260B78"/>
    <w:rsid w:val="0026135D"/>
    <w:rsid w:val="00263180"/>
    <w:rsid w:val="00263750"/>
    <w:rsid w:val="00264658"/>
    <w:rsid w:val="002668F7"/>
    <w:rsid w:val="00267C2C"/>
    <w:rsid w:val="00273D34"/>
    <w:rsid w:val="00275A37"/>
    <w:rsid w:val="00275DA8"/>
    <w:rsid w:val="00276098"/>
    <w:rsid w:val="00277596"/>
    <w:rsid w:val="0028375E"/>
    <w:rsid w:val="00284645"/>
    <w:rsid w:val="00284753"/>
    <w:rsid w:val="00285738"/>
    <w:rsid w:val="00291B12"/>
    <w:rsid w:val="0029298F"/>
    <w:rsid w:val="00292BA4"/>
    <w:rsid w:val="00293278"/>
    <w:rsid w:val="00295121"/>
    <w:rsid w:val="00295ACE"/>
    <w:rsid w:val="00296CFF"/>
    <w:rsid w:val="002A0D21"/>
    <w:rsid w:val="002A123D"/>
    <w:rsid w:val="002A15E5"/>
    <w:rsid w:val="002A70B2"/>
    <w:rsid w:val="002B2161"/>
    <w:rsid w:val="002B6C55"/>
    <w:rsid w:val="002B7F40"/>
    <w:rsid w:val="002C20AC"/>
    <w:rsid w:val="002C3789"/>
    <w:rsid w:val="002C44AD"/>
    <w:rsid w:val="002C6F6A"/>
    <w:rsid w:val="002D0BB7"/>
    <w:rsid w:val="002D158B"/>
    <w:rsid w:val="002D2293"/>
    <w:rsid w:val="002D5224"/>
    <w:rsid w:val="002D5E42"/>
    <w:rsid w:val="002D6E83"/>
    <w:rsid w:val="002E051E"/>
    <w:rsid w:val="002E0719"/>
    <w:rsid w:val="002E49F5"/>
    <w:rsid w:val="002E6902"/>
    <w:rsid w:val="002E714A"/>
    <w:rsid w:val="002F09F6"/>
    <w:rsid w:val="002F41B4"/>
    <w:rsid w:val="002F4616"/>
    <w:rsid w:val="002F6D4E"/>
    <w:rsid w:val="002F6DE4"/>
    <w:rsid w:val="002F6E7F"/>
    <w:rsid w:val="00301874"/>
    <w:rsid w:val="00301C7B"/>
    <w:rsid w:val="00302617"/>
    <w:rsid w:val="003030C8"/>
    <w:rsid w:val="00304045"/>
    <w:rsid w:val="00305C26"/>
    <w:rsid w:val="00307974"/>
    <w:rsid w:val="00310B4C"/>
    <w:rsid w:val="0031471C"/>
    <w:rsid w:val="003275CE"/>
    <w:rsid w:val="00330942"/>
    <w:rsid w:val="00335149"/>
    <w:rsid w:val="003353AB"/>
    <w:rsid w:val="00335618"/>
    <w:rsid w:val="00341517"/>
    <w:rsid w:val="003463DA"/>
    <w:rsid w:val="00347451"/>
    <w:rsid w:val="00355476"/>
    <w:rsid w:val="0035554C"/>
    <w:rsid w:val="003622C3"/>
    <w:rsid w:val="00364181"/>
    <w:rsid w:val="00365C90"/>
    <w:rsid w:val="00366FC4"/>
    <w:rsid w:val="003709F4"/>
    <w:rsid w:val="003713A4"/>
    <w:rsid w:val="003716B4"/>
    <w:rsid w:val="00371805"/>
    <w:rsid w:val="00375F83"/>
    <w:rsid w:val="00383732"/>
    <w:rsid w:val="003845D7"/>
    <w:rsid w:val="0038466E"/>
    <w:rsid w:val="00385D29"/>
    <w:rsid w:val="0038612C"/>
    <w:rsid w:val="00395379"/>
    <w:rsid w:val="00396B20"/>
    <w:rsid w:val="003A04DB"/>
    <w:rsid w:val="003A1520"/>
    <w:rsid w:val="003A15A8"/>
    <w:rsid w:val="003A2B69"/>
    <w:rsid w:val="003A5261"/>
    <w:rsid w:val="003A6DAE"/>
    <w:rsid w:val="003A7899"/>
    <w:rsid w:val="003B061F"/>
    <w:rsid w:val="003B06A5"/>
    <w:rsid w:val="003B1CF9"/>
    <w:rsid w:val="003B2B96"/>
    <w:rsid w:val="003B6CCA"/>
    <w:rsid w:val="003C0A80"/>
    <w:rsid w:val="003C1594"/>
    <w:rsid w:val="003C2052"/>
    <w:rsid w:val="003C26B6"/>
    <w:rsid w:val="003C3CD5"/>
    <w:rsid w:val="003C4AF5"/>
    <w:rsid w:val="003C4E08"/>
    <w:rsid w:val="003C5705"/>
    <w:rsid w:val="003C6678"/>
    <w:rsid w:val="003C689D"/>
    <w:rsid w:val="003C749D"/>
    <w:rsid w:val="003D299E"/>
    <w:rsid w:val="003D7D03"/>
    <w:rsid w:val="003E0074"/>
    <w:rsid w:val="003E0F68"/>
    <w:rsid w:val="003E100D"/>
    <w:rsid w:val="003E49FB"/>
    <w:rsid w:val="003E4BCA"/>
    <w:rsid w:val="003E5066"/>
    <w:rsid w:val="003E658C"/>
    <w:rsid w:val="003F2792"/>
    <w:rsid w:val="003F4944"/>
    <w:rsid w:val="0040572D"/>
    <w:rsid w:val="004063F4"/>
    <w:rsid w:val="00406FB2"/>
    <w:rsid w:val="004070F3"/>
    <w:rsid w:val="00407B73"/>
    <w:rsid w:val="00410E12"/>
    <w:rsid w:val="00411D71"/>
    <w:rsid w:val="004147C8"/>
    <w:rsid w:val="004150C8"/>
    <w:rsid w:val="00415303"/>
    <w:rsid w:val="004153BA"/>
    <w:rsid w:val="004163B3"/>
    <w:rsid w:val="0041644C"/>
    <w:rsid w:val="00416A71"/>
    <w:rsid w:val="0042154C"/>
    <w:rsid w:val="00421924"/>
    <w:rsid w:val="00422642"/>
    <w:rsid w:val="0042554F"/>
    <w:rsid w:val="00426C2B"/>
    <w:rsid w:val="00426D1E"/>
    <w:rsid w:val="00430C63"/>
    <w:rsid w:val="0043291D"/>
    <w:rsid w:val="00432937"/>
    <w:rsid w:val="00435F3F"/>
    <w:rsid w:val="00437068"/>
    <w:rsid w:val="00441074"/>
    <w:rsid w:val="004428BC"/>
    <w:rsid w:val="0044476B"/>
    <w:rsid w:val="0044556C"/>
    <w:rsid w:val="00447156"/>
    <w:rsid w:val="00447701"/>
    <w:rsid w:val="004478F9"/>
    <w:rsid w:val="00447B02"/>
    <w:rsid w:val="00450C33"/>
    <w:rsid w:val="00452569"/>
    <w:rsid w:val="00453E45"/>
    <w:rsid w:val="00456F35"/>
    <w:rsid w:val="0045790C"/>
    <w:rsid w:val="0046103D"/>
    <w:rsid w:val="00461AB0"/>
    <w:rsid w:val="004636C4"/>
    <w:rsid w:val="0046467A"/>
    <w:rsid w:val="00465097"/>
    <w:rsid w:val="00465500"/>
    <w:rsid w:val="00467001"/>
    <w:rsid w:val="0047030C"/>
    <w:rsid w:val="004703E6"/>
    <w:rsid w:val="004708E8"/>
    <w:rsid w:val="00470A49"/>
    <w:rsid w:val="00472B13"/>
    <w:rsid w:val="0047489A"/>
    <w:rsid w:val="004750F6"/>
    <w:rsid w:val="0047563D"/>
    <w:rsid w:val="00475D11"/>
    <w:rsid w:val="00477262"/>
    <w:rsid w:val="00480326"/>
    <w:rsid w:val="00480632"/>
    <w:rsid w:val="00480A8D"/>
    <w:rsid w:val="00482C90"/>
    <w:rsid w:val="00485110"/>
    <w:rsid w:val="004871F1"/>
    <w:rsid w:val="00493812"/>
    <w:rsid w:val="00495D6C"/>
    <w:rsid w:val="00495F95"/>
    <w:rsid w:val="004967CC"/>
    <w:rsid w:val="004973A3"/>
    <w:rsid w:val="004A25FF"/>
    <w:rsid w:val="004A5C77"/>
    <w:rsid w:val="004A76DD"/>
    <w:rsid w:val="004A779A"/>
    <w:rsid w:val="004B07D5"/>
    <w:rsid w:val="004B1BFB"/>
    <w:rsid w:val="004B1E77"/>
    <w:rsid w:val="004B2D44"/>
    <w:rsid w:val="004B2EDC"/>
    <w:rsid w:val="004B4ACF"/>
    <w:rsid w:val="004B6FB3"/>
    <w:rsid w:val="004C126B"/>
    <w:rsid w:val="004C1915"/>
    <w:rsid w:val="004C1D46"/>
    <w:rsid w:val="004C3185"/>
    <w:rsid w:val="004C385D"/>
    <w:rsid w:val="004C49A8"/>
    <w:rsid w:val="004C4F99"/>
    <w:rsid w:val="004C5168"/>
    <w:rsid w:val="004C51A5"/>
    <w:rsid w:val="004D099D"/>
    <w:rsid w:val="004D1B4B"/>
    <w:rsid w:val="004D2C56"/>
    <w:rsid w:val="004D381E"/>
    <w:rsid w:val="004D59D0"/>
    <w:rsid w:val="004D5A17"/>
    <w:rsid w:val="004D68F5"/>
    <w:rsid w:val="004D6FE3"/>
    <w:rsid w:val="004E0870"/>
    <w:rsid w:val="004E1DF0"/>
    <w:rsid w:val="004E2733"/>
    <w:rsid w:val="004E5364"/>
    <w:rsid w:val="004E56B9"/>
    <w:rsid w:val="004E6303"/>
    <w:rsid w:val="004F0FC0"/>
    <w:rsid w:val="004F29FF"/>
    <w:rsid w:val="004F314C"/>
    <w:rsid w:val="004F375F"/>
    <w:rsid w:val="004F4F6C"/>
    <w:rsid w:val="004F604C"/>
    <w:rsid w:val="004F65D1"/>
    <w:rsid w:val="004F7EE4"/>
    <w:rsid w:val="0050030C"/>
    <w:rsid w:val="00500BDF"/>
    <w:rsid w:val="0050168B"/>
    <w:rsid w:val="005020BB"/>
    <w:rsid w:val="00502EE1"/>
    <w:rsid w:val="00503C05"/>
    <w:rsid w:val="005043C7"/>
    <w:rsid w:val="0050547C"/>
    <w:rsid w:val="00505841"/>
    <w:rsid w:val="00505CEE"/>
    <w:rsid w:val="00506451"/>
    <w:rsid w:val="00506A26"/>
    <w:rsid w:val="00511A20"/>
    <w:rsid w:val="00512997"/>
    <w:rsid w:val="005142F8"/>
    <w:rsid w:val="00515014"/>
    <w:rsid w:val="00516087"/>
    <w:rsid w:val="00516C81"/>
    <w:rsid w:val="005170A0"/>
    <w:rsid w:val="0052250E"/>
    <w:rsid w:val="00525214"/>
    <w:rsid w:val="00540341"/>
    <w:rsid w:val="0054255F"/>
    <w:rsid w:val="005425D3"/>
    <w:rsid w:val="00543200"/>
    <w:rsid w:val="00544C7C"/>
    <w:rsid w:val="00546564"/>
    <w:rsid w:val="00546947"/>
    <w:rsid w:val="00546A48"/>
    <w:rsid w:val="00547055"/>
    <w:rsid w:val="00547107"/>
    <w:rsid w:val="005551FB"/>
    <w:rsid w:val="00555279"/>
    <w:rsid w:val="005610FD"/>
    <w:rsid w:val="0056584C"/>
    <w:rsid w:val="00565C77"/>
    <w:rsid w:val="005661BA"/>
    <w:rsid w:val="00566C8C"/>
    <w:rsid w:val="0056774B"/>
    <w:rsid w:val="005714CE"/>
    <w:rsid w:val="00576614"/>
    <w:rsid w:val="005777D9"/>
    <w:rsid w:val="00581B2C"/>
    <w:rsid w:val="00582955"/>
    <w:rsid w:val="0058482D"/>
    <w:rsid w:val="00590839"/>
    <w:rsid w:val="00592393"/>
    <w:rsid w:val="00592838"/>
    <w:rsid w:val="0059516F"/>
    <w:rsid w:val="00595DC1"/>
    <w:rsid w:val="00596E81"/>
    <w:rsid w:val="005A0DCD"/>
    <w:rsid w:val="005A297E"/>
    <w:rsid w:val="005A2D30"/>
    <w:rsid w:val="005A4627"/>
    <w:rsid w:val="005A4E67"/>
    <w:rsid w:val="005A5C0F"/>
    <w:rsid w:val="005A629D"/>
    <w:rsid w:val="005B0211"/>
    <w:rsid w:val="005B09CD"/>
    <w:rsid w:val="005B14F4"/>
    <w:rsid w:val="005B154F"/>
    <w:rsid w:val="005B1653"/>
    <w:rsid w:val="005B23CE"/>
    <w:rsid w:val="005B3ACA"/>
    <w:rsid w:val="005B3FD2"/>
    <w:rsid w:val="005B4857"/>
    <w:rsid w:val="005B7A41"/>
    <w:rsid w:val="005C20E6"/>
    <w:rsid w:val="005C3113"/>
    <w:rsid w:val="005C3628"/>
    <w:rsid w:val="005C5402"/>
    <w:rsid w:val="005C593E"/>
    <w:rsid w:val="005D1FA8"/>
    <w:rsid w:val="005D311F"/>
    <w:rsid w:val="005D6384"/>
    <w:rsid w:val="005D7579"/>
    <w:rsid w:val="005E059B"/>
    <w:rsid w:val="005E0B6F"/>
    <w:rsid w:val="005E0E9A"/>
    <w:rsid w:val="005E37ED"/>
    <w:rsid w:val="005E402D"/>
    <w:rsid w:val="005E4219"/>
    <w:rsid w:val="005E5743"/>
    <w:rsid w:val="005E5EE0"/>
    <w:rsid w:val="005F2248"/>
    <w:rsid w:val="005F3793"/>
    <w:rsid w:val="005F39E3"/>
    <w:rsid w:val="005F4151"/>
    <w:rsid w:val="005F67F0"/>
    <w:rsid w:val="005F6FDA"/>
    <w:rsid w:val="0060011E"/>
    <w:rsid w:val="00603713"/>
    <w:rsid w:val="00604A0B"/>
    <w:rsid w:val="00612A95"/>
    <w:rsid w:val="00612B26"/>
    <w:rsid w:val="0061411C"/>
    <w:rsid w:val="006144BE"/>
    <w:rsid w:val="00617488"/>
    <w:rsid w:val="00621DC1"/>
    <w:rsid w:val="006237B3"/>
    <w:rsid w:val="00623C57"/>
    <w:rsid w:val="00624B95"/>
    <w:rsid w:val="006261C0"/>
    <w:rsid w:val="00626E50"/>
    <w:rsid w:val="00627955"/>
    <w:rsid w:val="00631144"/>
    <w:rsid w:val="00634151"/>
    <w:rsid w:val="00634697"/>
    <w:rsid w:val="00635402"/>
    <w:rsid w:val="0063574A"/>
    <w:rsid w:val="006426CC"/>
    <w:rsid w:val="006427B9"/>
    <w:rsid w:val="006455C5"/>
    <w:rsid w:val="006455E4"/>
    <w:rsid w:val="0064571D"/>
    <w:rsid w:val="006463C8"/>
    <w:rsid w:val="00646964"/>
    <w:rsid w:val="006511A6"/>
    <w:rsid w:val="00652C2D"/>
    <w:rsid w:val="00654A9B"/>
    <w:rsid w:val="006552B0"/>
    <w:rsid w:val="00655659"/>
    <w:rsid w:val="00660B4E"/>
    <w:rsid w:val="00660C53"/>
    <w:rsid w:val="00661AD1"/>
    <w:rsid w:val="0066379E"/>
    <w:rsid w:val="00665116"/>
    <w:rsid w:val="006701D8"/>
    <w:rsid w:val="006709D4"/>
    <w:rsid w:val="006710BB"/>
    <w:rsid w:val="00672637"/>
    <w:rsid w:val="00673F63"/>
    <w:rsid w:val="006747C9"/>
    <w:rsid w:val="006761C0"/>
    <w:rsid w:val="006763C9"/>
    <w:rsid w:val="00677AEF"/>
    <w:rsid w:val="00681E7A"/>
    <w:rsid w:val="00682C78"/>
    <w:rsid w:val="00682D37"/>
    <w:rsid w:val="0068376A"/>
    <w:rsid w:val="00692CA5"/>
    <w:rsid w:val="0069478A"/>
    <w:rsid w:val="006950F6"/>
    <w:rsid w:val="006A04ED"/>
    <w:rsid w:val="006A092E"/>
    <w:rsid w:val="006A3B0A"/>
    <w:rsid w:val="006A5C69"/>
    <w:rsid w:val="006B09D1"/>
    <w:rsid w:val="006B0D2B"/>
    <w:rsid w:val="006B3F87"/>
    <w:rsid w:val="006B5DA9"/>
    <w:rsid w:val="006B5F0B"/>
    <w:rsid w:val="006B659E"/>
    <w:rsid w:val="006C03C1"/>
    <w:rsid w:val="006C109C"/>
    <w:rsid w:val="006C1583"/>
    <w:rsid w:val="006C165B"/>
    <w:rsid w:val="006C3058"/>
    <w:rsid w:val="006C6FF1"/>
    <w:rsid w:val="006D154D"/>
    <w:rsid w:val="006D2A64"/>
    <w:rsid w:val="006D3EDA"/>
    <w:rsid w:val="006D4445"/>
    <w:rsid w:val="006D4DD9"/>
    <w:rsid w:val="006D4EC7"/>
    <w:rsid w:val="006D5DBC"/>
    <w:rsid w:val="006D6D8B"/>
    <w:rsid w:val="006D776F"/>
    <w:rsid w:val="006E1EA6"/>
    <w:rsid w:val="006E5AD3"/>
    <w:rsid w:val="006E5C27"/>
    <w:rsid w:val="006F0200"/>
    <w:rsid w:val="006F087D"/>
    <w:rsid w:val="006F0C2D"/>
    <w:rsid w:val="006F381D"/>
    <w:rsid w:val="006F422F"/>
    <w:rsid w:val="006F502E"/>
    <w:rsid w:val="006F706E"/>
    <w:rsid w:val="00700E50"/>
    <w:rsid w:val="00701C4B"/>
    <w:rsid w:val="00706CD3"/>
    <w:rsid w:val="00710BF2"/>
    <w:rsid w:val="00711152"/>
    <w:rsid w:val="00715B1E"/>
    <w:rsid w:val="00715F90"/>
    <w:rsid w:val="00720E0F"/>
    <w:rsid w:val="00720EAD"/>
    <w:rsid w:val="007227EA"/>
    <w:rsid w:val="00722AFC"/>
    <w:rsid w:val="0072365E"/>
    <w:rsid w:val="00723AFF"/>
    <w:rsid w:val="00723F5E"/>
    <w:rsid w:val="00724966"/>
    <w:rsid w:val="007260CD"/>
    <w:rsid w:val="007265A6"/>
    <w:rsid w:val="00727D82"/>
    <w:rsid w:val="00731CD4"/>
    <w:rsid w:val="00731F7C"/>
    <w:rsid w:val="00733A65"/>
    <w:rsid w:val="00733D5D"/>
    <w:rsid w:val="0073483C"/>
    <w:rsid w:val="0074116B"/>
    <w:rsid w:val="00743867"/>
    <w:rsid w:val="00743BFC"/>
    <w:rsid w:val="00746F36"/>
    <w:rsid w:val="00747433"/>
    <w:rsid w:val="00750927"/>
    <w:rsid w:val="00751C44"/>
    <w:rsid w:val="00752551"/>
    <w:rsid w:val="00754683"/>
    <w:rsid w:val="00755BDC"/>
    <w:rsid w:val="007560BB"/>
    <w:rsid w:val="00756604"/>
    <w:rsid w:val="00756CDD"/>
    <w:rsid w:val="0075778D"/>
    <w:rsid w:val="00757AD6"/>
    <w:rsid w:val="00762D24"/>
    <w:rsid w:val="007648BF"/>
    <w:rsid w:val="0077193B"/>
    <w:rsid w:val="00773ACA"/>
    <w:rsid w:val="00773FAB"/>
    <w:rsid w:val="00774E8B"/>
    <w:rsid w:val="007766F6"/>
    <w:rsid w:val="00776E87"/>
    <w:rsid w:val="00777B04"/>
    <w:rsid w:val="007801ED"/>
    <w:rsid w:val="00782B05"/>
    <w:rsid w:val="00785345"/>
    <w:rsid w:val="00785432"/>
    <w:rsid w:val="007861E0"/>
    <w:rsid w:val="00786A6F"/>
    <w:rsid w:val="00790C79"/>
    <w:rsid w:val="00792497"/>
    <w:rsid w:val="007924C1"/>
    <w:rsid w:val="0079287F"/>
    <w:rsid w:val="00794DE3"/>
    <w:rsid w:val="00795871"/>
    <w:rsid w:val="00797061"/>
    <w:rsid w:val="0079749E"/>
    <w:rsid w:val="007975EC"/>
    <w:rsid w:val="007A08E8"/>
    <w:rsid w:val="007A18F8"/>
    <w:rsid w:val="007A30C6"/>
    <w:rsid w:val="007A5B1C"/>
    <w:rsid w:val="007A5CF1"/>
    <w:rsid w:val="007B0AC6"/>
    <w:rsid w:val="007B43E8"/>
    <w:rsid w:val="007B4926"/>
    <w:rsid w:val="007B619B"/>
    <w:rsid w:val="007B61CD"/>
    <w:rsid w:val="007B66EC"/>
    <w:rsid w:val="007B792C"/>
    <w:rsid w:val="007C1208"/>
    <w:rsid w:val="007C1870"/>
    <w:rsid w:val="007C4457"/>
    <w:rsid w:val="007C446D"/>
    <w:rsid w:val="007C53CA"/>
    <w:rsid w:val="007C79A4"/>
    <w:rsid w:val="007D2EFB"/>
    <w:rsid w:val="007D306A"/>
    <w:rsid w:val="007D4320"/>
    <w:rsid w:val="007D506A"/>
    <w:rsid w:val="007D5E13"/>
    <w:rsid w:val="007D6B49"/>
    <w:rsid w:val="007D6E87"/>
    <w:rsid w:val="007D79A8"/>
    <w:rsid w:val="007E2C13"/>
    <w:rsid w:val="007E2D43"/>
    <w:rsid w:val="007E3381"/>
    <w:rsid w:val="007E4F02"/>
    <w:rsid w:val="007E5B93"/>
    <w:rsid w:val="007E645B"/>
    <w:rsid w:val="007E68CF"/>
    <w:rsid w:val="007E73D9"/>
    <w:rsid w:val="007F02DF"/>
    <w:rsid w:val="007F0734"/>
    <w:rsid w:val="007F1718"/>
    <w:rsid w:val="007F22EE"/>
    <w:rsid w:val="007F4069"/>
    <w:rsid w:val="007F4288"/>
    <w:rsid w:val="007F470F"/>
    <w:rsid w:val="007F63B9"/>
    <w:rsid w:val="007F6A2D"/>
    <w:rsid w:val="0080172C"/>
    <w:rsid w:val="00801BE4"/>
    <w:rsid w:val="0080213F"/>
    <w:rsid w:val="008035F2"/>
    <w:rsid w:val="00803F5D"/>
    <w:rsid w:val="00807855"/>
    <w:rsid w:val="008109C1"/>
    <w:rsid w:val="0081269F"/>
    <w:rsid w:val="00814F0E"/>
    <w:rsid w:val="00815902"/>
    <w:rsid w:val="008175E0"/>
    <w:rsid w:val="00820DAB"/>
    <w:rsid w:val="00821E68"/>
    <w:rsid w:val="008228DE"/>
    <w:rsid w:val="008244F7"/>
    <w:rsid w:val="008247EC"/>
    <w:rsid w:val="0083117B"/>
    <w:rsid w:val="00831449"/>
    <w:rsid w:val="00832004"/>
    <w:rsid w:val="0083207B"/>
    <w:rsid w:val="0083675E"/>
    <w:rsid w:val="00837E1E"/>
    <w:rsid w:val="0084012C"/>
    <w:rsid w:val="008439C0"/>
    <w:rsid w:val="008448BB"/>
    <w:rsid w:val="00844CD2"/>
    <w:rsid w:val="00845D35"/>
    <w:rsid w:val="00853942"/>
    <w:rsid w:val="00861D9C"/>
    <w:rsid w:val="00863F10"/>
    <w:rsid w:val="008642B1"/>
    <w:rsid w:val="0086584F"/>
    <w:rsid w:val="008671F3"/>
    <w:rsid w:val="00870ECC"/>
    <w:rsid w:val="00871573"/>
    <w:rsid w:val="00871DD9"/>
    <w:rsid w:val="008725B9"/>
    <w:rsid w:val="00874450"/>
    <w:rsid w:val="0087463F"/>
    <w:rsid w:val="00874C2F"/>
    <w:rsid w:val="0087756B"/>
    <w:rsid w:val="0088131D"/>
    <w:rsid w:val="00881C15"/>
    <w:rsid w:val="008828DC"/>
    <w:rsid w:val="008833C2"/>
    <w:rsid w:val="00884FFD"/>
    <w:rsid w:val="008854D8"/>
    <w:rsid w:val="00885CDB"/>
    <w:rsid w:val="008863A4"/>
    <w:rsid w:val="008869AB"/>
    <w:rsid w:val="008915D8"/>
    <w:rsid w:val="0089197A"/>
    <w:rsid w:val="00891BE4"/>
    <w:rsid w:val="008932B3"/>
    <w:rsid w:val="00893A98"/>
    <w:rsid w:val="00895555"/>
    <w:rsid w:val="008958C5"/>
    <w:rsid w:val="008A0A62"/>
    <w:rsid w:val="008A0E24"/>
    <w:rsid w:val="008A1314"/>
    <w:rsid w:val="008A15CF"/>
    <w:rsid w:val="008A2AAB"/>
    <w:rsid w:val="008A7DB4"/>
    <w:rsid w:val="008B19D6"/>
    <w:rsid w:val="008B1D36"/>
    <w:rsid w:val="008B393E"/>
    <w:rsid w:val="008B52DC"/>
    <w:rsid w:val="008C3989"/>
    <w:rsid w:val="008C3B33"/>
    <w:rsid w:val="008C7B8F"/>
    <w:rsid w:val="008D0149"/>
    <w:rsid w:val="008D059F"/>
    <w:rsid w:val="008D0774"/>
    <w:rsid w:val="008D1C30"/>
    <w:rsid w:val="008D297E"/>
    <w:rsid w:val="008D2E64"/>
    <w:rsid w:val="008D31A0"/>
    <w:rsid w:val="008D34FA"/>
    <w:rsid w:val="008D4F26"/>
    <w:rsid w:val="008D7A5D"/>
    <w:rsid w:val="008E25C1"/>
    <w:rsid w:val="008E3C0D"/>
    <w:rsid w:val="008E6D12"/>
    <w:rsid w:val="008E75AE"/>
    <w:rsid w:val="008E76AC"/>
    <w:rsid w:val="008E799F"/>
    <w:rsid w:val="008F00EF"/>
    <w:rsid w:val="008F140E"/>
    <w:rsid w:val="008F3281"/>
    <w:rsid w:val="008F6BEA"/>
    <w:rsid w:val="00901610"/>
    <w:rsid w:val="009034E3"/>
    <w:rsid w:val="00904374"/>
    <w:rsid w:val="00904B40"/>
    <w:rsid w:val="00904B7B"/>
    <w:rsid w:val="00905062"/>
    <w:rsid w:val="00910839"/>
    <w:rsid w:val="00911800"/>
    <w:rsid w:val="00913415"/>
    <w:rsid w:val="00914E83"/>
    <w:rsid w:val="00917A66"/>
    <w:rsid w:val="009220B9"/>
    <w:rsid w:val="009227E2"/>
    <w:rsid w:val="009230EB"/>
    <w:rsid w:val="00923656"/>
    <w:rsid w:val="00923702"/>
    <w:rsid w:val="0092560E"/>
    <w:rsid w:val="009258F7"/>
    <w:rsid w:val="00930170"/>
    <w:rsid w:val="00930D32"/>
    <w:rsid w:val="0093117C"/>
    <w:rsid w:val="00932652"/>
    <w:rsid w:val="00933CD8"/>
    <w:rsid w:val="0093412F"/>
    <w:rsid w:val="00935650"/>
    <w:rsid w:val="00936536"/>
    <w:rsid w:val="00937CDE"/>
    <w:rsid w:val="009405EB"/>
    <w:rsid w:val="00941783"/>
    <w:rsid w:val="009428C9"/>
    <w:rsid w:val="00942F2D"/>
    <w:rsid w:val="00943F2E"/>
    <w:rsid w:val="00945F80"/>
    <w:rsid w:val="00946054"/>
    <w:rsid w:val="00947AC9"/>
    <w:rsid w:val="00951C68"/>
    <w:rsid w:val="009520A7"/>
    <w:rsid w:val="00952300"/>
    <w:rsid w:val="00955634"/>
    <w:rsid w:val="00955B50"/>
    <w:rsid w:val="00956918"/>
    <w:rsid w:val="009571B5"/>
    <w:rsid w:val="00957B23"/>
    <w:rsid w:val="00957F91"/>
    <w:rsid w:val="00960AF0"/>
    <w:rsid w:val="00961EA7"/>
    <w:rsid w:val="00964939"/>
    <w:rsid w:val="00965EB0"/>
    <w:rsid w:val="00966F19"/>
    <w:rsid w:val="00967817"/>
    <w:rsid w:val="00967844"/>
    <w:rsid w:val="009679E0"/>
    <w:rsid w:val="00967B91"/>
    <w:rsid w:val="00967BDB"/>
    <w:rsid w:val="009702CD"/>
    <w:rsid w:val="00970865"/>
    <w:rsid w:val="00970A35"/>
    <w:rsid w:val="00973DD2"/>
    <w:rsid w:val="00975E63"/>
    <w:rsid w:val="00975FBB"/>
    <w:rsid w:val="0097653C"/>
    <w:rsid w:val="009807DF"/>
    <w:rsid w:val="0098116E"/>
    <w:rsid w:val="00981F57"/>
    <w:rsid w:val="00982CDE"/>
    <w:rsid w:val="00985232"/>
    <w:rsid w:val="0098722F"/>
    <w:rsid w:val="009919EF"/>
    <w:rsid w:val="00992952"/>
    <w:rsid w:val="009946CC"/>
    <w:rsid w:val="009961C4"/>
    <w:rsid w:val="00996996"/>
    <w:rsid w:val="0099746C"/>
    <w:rsid w:val="009A1B35"/>
    <w:rsid w:val="009A434D"/>
    <w:rsid w:val="009A57DE"/>
    <w:rsid w:val="009A60BC"/>
    <w:rsid w:val="009A7534"/>
    <w:rsid w:val="009B1219"/>
    <w:rsid w:val="009B1EEC"/>
    <w:rsid w:val="009B2A6B"/>
    <w:rsid w:val="009B3D93"/>
    <w:rsid w:val="009B4A89"/>
    <w:rsid w:val="009B4D4E"/>
    <w:rsid w:val="009B50EE"/>
    <w:rsid w:val="009B5F80"/>
    <w:rsid w:val="009B67C2"/>
    <w:rsid w:val="009B7CC6"/>
    <w:rsid w:val="009C02BE"/>
    <w:rsid w:val="009C1650"/>
    <w:rsid w:val="009C4AEC"/>
    <w:rsid w:val="009C4B9D"/>
    <w:rsid w:val="009C5517"/>
    <w:rsid w:val="009C70DE"/>
    <w:rsid w:val="009D0F01"/>
    <w:rsid w:val="009D209A"/>
    <w:rsid w:val="009D2CBE"/>
    <w:rsid w:val="009D4B2B"/>
    <w:rsid w:val="009D4F33"/>
    <w:rsid w:val="009E00F5"/>
    <w:rsid w:val="009E2722"/>
    <w:rsid w:val="009E2944"/>
    <w:rsid w:val="009E6319"/>
    <w:rsid w:val="009E6B8B"/>
    <w:rsid w:val="009E6C88"/>
    <w:rsid w:val="009E7284"/>
    <w:rsid w:val="009F1166"/>
    <w:rsid w:val="009F1D18"/>
    <w:rsid w:val="009F3051"/>
    <w:rsid w:val="009F45BB"/>
    <w:rsid w:val="009F6C14"/>
    <w:rsid w:val="00A01E91"/>
    <w:rsid w:val="00A025DE"/>
    <w:rsid w:val="00A037A8"/>
    <w:rsid w:val="00A03A05"/>
    <w:rsid w:val="00A03BB5"/>
    <w:rsid w:val="00A06357"/>
    <w:rsid w:val="00A06E26"/>
    <w:rsid w:val="00A10606"/>
    <w:rsid w:val="00A10AC4"/>
    <w:rsid w:val="00A11D30"/>
    <w:rsid w:val="00A13281"/>
    <w:rsid w:val="00A1427C"/>
    <w:rsid w:val="00A14787"/>
    <w:rsid w:val="00A1710A"/>
    <w:rsid w:val="00A2220C"/>
    <w:rsid w:val="00A22AC8"/>
    <w:rsid w:val="00A24E46"/>
    <w:rsid w:val="00A24F3A"/>
    <w:rsid w:val="00A27A98"/>
    <w:rsid w:val="00A30263"/>
    <w:rsid w:val="00A30349"/>
    <w:rsid w:val="00A33979"/>
    <w:rsid w:val="00A33BAF"/>
    <w:rsid w:val="00A34633"/>
    <w:rsid w:val="00A3512F"/>
    <w:rsid w:val="00A36CD2"/>
    <w:rsid w:val="00A36FEB"/>
    <w:rsid w:val="00A40DB6"/>
    <w:rsid w:val="00A43A02"/>
    <w:rsid w:val="00A47FDD"/>
    <w:rsid w:val="00A508FB"/>
    <w:rsid w:val="00A52274"/>
    <w:rsid w:val="00A55EDD"/>
    <w:rsid w:val="00A5758F"/>
    <w:rsid w:val="00A57A2B"/>
    <w:rsid w:val="00A63007"/>
    <w:rsid w:val="00A63834"/>
    <w:rsid w:val="00A64136"/>
    <w:rsid w:val="00A642C0"/>
    <w:rsid w:val="00A64E1A"/>
    <w:rsid w:val="00A65749"/>
    <w:rsid w:val="00A67BDC"/>
    <w:rsid w:val="00A70F40"/>
    <w:rsid w:val="00A742AA"/>
    <w:rsid w:val="00A7736F"/>
    <w:rsid w:val="00A82633"/>
    <w:rsid w:val="00A83264"/>
    <w:rsid w:val="00A8390F"/>
    <w:rsid w:val="00A8527E"/>
    <w:rsid w:val="00A91909"/>
    <w:rsid w:val="00A92AE6"/>
    <w:rsid w:val="00A933EC"/>
    <w:rsid w:val="00A94924"/>
    <w:rsid w:val="00A95EC2"/>
    <w:rsid w:val="00A964F6"/>
    <w:rsid w:val="00A9692F"/>
    <w:rsid w:val="00A969D8"/>
    <w:rsid w:val="00AA1601"/>
    <w:rsid w:val="00AA20C8"/>
    <w:rsid w:val="00AA6328"/>
    <w:rsid w:val="00AA6CE3"/>
    <w:rsid w:val="00AB0F16"/>
    <w:rsid w:val="00AB2529"/>
    <w:rsid w:val="00AB5839"/>
    <w:rsid w:val="00AB6062"/>
    <w:rsid w:val="00AB7A33"/>
    <w:rsid w:val="00AC08BD"/>
    <w:rsid w:val="00AC234D"/>
    <w:rsid w:val="00AC3913"/>
    <w:rsid w:val="00AC41E7"/>
    <w:rsid w:val="00AC584E"/>
    <w:rsid w:val="00AC60E3"/>
    <w:rsid w:val="00AC7BD4"/>
    <w:rsid w:val="00AD15BE"/>
    <w:rsid w:val="00AD19A4"/>
    <w:rsid w:val="00AD3757"/>
    <w:rsid w:val="00AD5217"/>
    <w:rsid w:val="00AD585C"/>
    <w:rsid w:val="00AD5EF0"/>
    <w:rsid w:val="00AD6183"/>
    <w:rsid w:val="00AD79BB"/>
    <w:rsid w:val="00AE1E4A"/>
    <w:rsid w:val="00AF02E3"/>
    <w:rsid w:val="00AF094B"/>
    <w:rsid w:val="00AF1ADF"/>
    <w:rsid w:val="00AF4A5F"/>
    <w:rsid w:val="00AF4C47"/>
    <w:rsid w:val="00B00B58"/>
    <w:rsid w:val="00B01D76"/>
    <w:rsid w:val="00B05F46"/>
    <w:rsid w:val="00B07912"/>
    <w:rsid w:val="00B07C71"/>
    <w:rsid w:val="00B07CA7"/>
    <w:rsid w:val="00B11CF0"/>
    <w:rsid w:val="00B13FE7"/>
    <w:rsid w:val="00B14905"/>
    <w:rsid w:val="00B15414"/>
    <w:rsid w:val="00B15EBE"/>
    <w:rsid w:val="00B16798"/>
    <w:rsid w:val="00B16D77"/>
    <w:rsid w:val="00B1784E"/>
    <w:rsid w:val="00B20765"/>
    <w:rsid w:val="00B22FF2"/>
    <w:rsid w:val="00B263D7"/>
    <w:rsid w:val="00B30B31"/>
    <w:rsid w:val="00B32073"/>
    <w:rsid w:val="00B32EF8"/>
    <w:rsid w:val="00B33588"/>
    <w:rsid w:val="00B33DCC"/>
    <w:rsid w:val="00B33F54"/>
    <w:rsid w:val="00B34E72"/>
    <w:rsid w:val="00B36069"/>
    <w:rsid w:val="00B36736"/>
    <w:rsid w:val="00B36AC0"/>
    <w:rsid w:val="00B42ED6"/>
    <w:rsid w:val="00B43198"/>
    <w:rsid w:val="00B43A74"/>
    <w:rsid w:val="00B43AC9"/>
    <w:rsid w:val="00B460C9"/>
    <w:rsid w:val="00B54571"/>
    <w:rsid w:val="00B56AFC"/>
    <w:rsid w:val="00B57068"/>
    <w:rsid w:val="00B61B00"/>
    <w:rsid w:val="00B64B79"/>
    <w:rsid w:val="00B64E7C"/>
    <w:rsid w:val="00B67362"/>
    <w:rsid w:val="00B74038"/>
    <w:rsid w:val="00B742B8"/>
    <w:rsid w:val="00B77830"/>
    <w:rsid w:val="00B818B0"/>
    <w:rsid w:val="00B84CFC"/>
    <w:rsid w:val="00B9014C"/>
    <w:rsid w:val="00B90BEB"/>
    <w:rsid w:val="00B91B15"/>
    <w:rsid w:val="00B92B62"/>
    <w:rsid w:val="00B95447"/>
    <w:rsid w:val="00BA118A"/>
    <w:rsid w:val="00BA6182"/>
    <w:rsid w:val="00BA6FD6"/>
    <w:rsid w:val="00BA7609"/>
    <w:rsid w:val="00BB10C6"/>
    <w:rsid w:val="00BB178D"/>
    <w:rsid w:val="00BB2058"/>
    <w:rsid w:val="00BB37C7"/>
    <w:rsid w:val="00BB4DD8"/>
    <w:rsid w:val="00BB4F42"/>
    <w:rsid w:val="00BB7336"/>
    <w:rsid w:val="00BB7F20"/>
    <w:rsid w:val="00BC0E75"/>
    <w:rsid w:val="00BC2213"/>
    <w:rsid w:val="00BC3C90"/>
    <w:rsid w:val="00BC4662"/>
    <w:rsid w:val="00BC4B90"/>
    <w:rsid w:val="00BC6B1C"/>
    <w:rsid w:val="00BC7961"/>
    <w:rsid w:val="00BD22D1"/>
    <w:rsid w:val="00BD253F"/>
    <w:rsid w:val="00BD4162"/>
    <w:rsid w:val="00BD6237"/>
    <w:rsid w:val="00BD76BB"/>
    <w:rsid w:val="00BE20AF"/>
    <w:rsid w:val="00BE2158"/>
    <w:rsid w:val="00BE3A36"/>
    <w:rsid w:val="00BE3A99"/>
    <w:rsid w:val="00BE5AC7"/>
    <w:rsid w:val="00BF2201"/>
    <w:rsid w:val="00BF3046"/>
    <w:rsid w:val="00BF3384"/>
    <w:rsid w:val="00BF3520"/>
    <w:rsid w:val="00BF3676"/>
    <w:rsid w:val="00BF4FE5"/>
    <w:rsid w:val="00BF6B87"/>
    <w:rsid w:val="00BF6C3E"/>
    <w:rsid w:val="00C00264"/>
    <w:rsid w:val="00C01C84"/>
    <w:rsid w:val="00C03237"/>
    <w:rsid w:val="00C03756"/>
    <w:rsid w:val="00C0420B"/>
    <w:rsid w:val="00C06C3E"/>
    <w:rsid w:val="00C06E07"/>
    <w:rsid w:val="00C11FFE"/>
    <w:rsid w:val="00C159A0"/>
    <w:rsid w:val="00C166CE"/>
    <w:rsid w:val="00C2023D"/>
    <w:rsid w:val="00C22D70"/>
    <w:rsid w:val="00C23EA8"/>
    <w:rsid w:val="00C247D1"/>
    <w:rsid w:val="00C24844"/>
    <w:rsid w:val="00C25596"/>
    <w:rsid w:val="00C2597E"/>
    <w:rsid w:val="00C271C2"/>
    <w:rsid w:val="00C3027B"/>
    <w:rsid w:val="00C33054"/>
    <w:rsid w:val="00C35ED7"/>
    <w:rsid w:val="00C37452"/>
    <w:rsid w:val="00C37C74"/>
    <w:rsid w:val="00C41CE4"/>
    <w:rsid w:val="00C434BC"/>
    <w:rsid w:val="00C46718"/>
    <w:rsid w:val="00C46BF3"/>
    <w:rsid w:val="00C47590"/>
    <w:rsid w:val="00C47DFE"/>
    <w:rsid w:val="00C529B5"/>
    <w:rsid w:val="00C61723"/>
    <w:rsid w:val="00C6409D"/>
    <w:rsid w:val="00C66023"/>
    <w:rsid w:val="00C7038C"/>
    <w:rsid w:val="00C70A28"/>
    <w:rsid w:val="00C73AF6"/>
    <w:rsid w:val="00C7407E"/>
    <w:rsid w:val="00C7682E"/>
    <w:rsid w:val="00C76850"/>
    <w:rsid w:val="00C81BC1"/>
    <w:rsid w:val="00C81CF5"/>
    <w:rsid w:val="00C84051"/>
    <w:rsid w:val="00C84054"/>
    <w:rsid w:val="00C86541"/>
    <w:rsid w:val="00C86809"/>
    <w:rsid w:val="00C879CC"/>
    <w:rsid w:val="00C9054B"/>
    <w:rsid w:val="00C91B6A"/>
    <w:rsid w:val="00CA299B"/>
    <w:rsid w:val="00CA438C"/>
    <w:rsid w:val="00CA644E"/>
    <w:rsid w:val="00CA6529"/>
    <w:rsid w:val="00CC0CD5"/>
    <w:rsid w:val="00CC410A"/>
    <w:rsid w:val="00CC4961"/>
    <w:rsid w:val="00CC5A52"/>
    <w:rsid w:val="00CC7529"/>
    <w:rsid w:val="00CD1327"/>
    <w:rsid w:val="00CD1F64"/>
    <w:rsid w:val="00CD271A"/>
    <w:rsid w:val="00CD45AE"/>
    <w:rsid w:val="00CD6AB3"/>
    <w:rsid w:val="00CE46A8"/>
    <w:rsid w:val="00CE59A3"/>
    <w:rsid w:val="00CF1C25"/>
    <w:rsid w:val="00CF2762"/>
    <w:rsid w:val="00CF7960"/>
    <w:rsid w:val="00D02499"/>
    <w:rsid w:val="00D02BB9"/>
    <w:rsid w:val="00D065A9"/>
    <w:rsid w:val="00D06B68"/>
    <w:rsid w:val="00D10C9A"/>
    <w:rsid w:val="00D11DAC"/>
    <w:rsid w:val="00D1215E"/>
    <w:rsid w:val="00D1222E"/>
    <w:rsid w:val="00D14A3B"/>
    <w:rsid w:val="00D167BD"/>
    <w:rsid w:val="00D17312"/>
    <w:rsid w:val="00D21894"/>
    <w:rsid w:val="00D228B5"/>
    <w:rsid w:val="00D251AD"/>
    <w:rsid w:val="00D272FD"/>
    <w:rsid w:val="00D30982"/>
    <w:rsid w:val="00D3268E"/>
    <w:rsid w:val="00D337CE"/>
    <w:rsid w:val="00D34B8C"/>
    <w:rsid w:val="00D3760D"/>
    <w:rsid w:val="00D40BD4"/>
    <w:rsid w:val="00D4142C"/>
    <w:rsid w:val="00D4511F"/>
    <w:rsid w:val="00D4687D"/>
    <w:rsid w:val="00D47B9F"/>
    <w:rsid w:val="00D51AA5"/>
    <w:rsid w:val="00D54B54"/>
    <w:rsid w:val="00D5661E"/>
    <w:rsid w:val="00D56F29"/>
    <w:rsid w:val="00D57CCB"/>
    <w:rsid w:val="00D57CD7"/>
    <w:rsid w:val="00D607FB"/>
    <w:rsid w:val="00D637DD"/>
    <w:rsid w:val="00D64979"/>
    <w:rsid w:val="00D66D99"/>
    <w:rsid w:val="00D677C6"/>
    <w:rsid w:val="00D67A9D"/>
    <w:rsid w:val="00D67DC0"/>
    <w:rsid w:val="00D67EF3"/>
    <w:rsid w:val="00D701ED"/>
    <w:rsid w:val="00D708F5"/>
    <w:rsid w:val="00D724F7"/>
    <w:rsid w:val="00D725CC"/>
    <w:rsid w:val="00D73463"/>
    <w:rsid w:val="00D73887"/>
    <w:rsid w:val="00D73B46"/>
    <w:rsid w:val="00D768CF"/>
    <w:rsid w:val="00D818E2"/>
    <w:rsid w:val="00D82FBC"/>
    <w:rsid w:val="00D8376E"/>
    <w:rsid w:val="00D84ED3"/>
    <w:rsid w:val="00D92418"/>
    <w:rsid w:val="00D933AC"/>
    <w:rsid w:val="00D933FA"/>
    <w:rsid w:val="00D95E06"/>
    <w:rsid w:val="00D973E7"/>
    <w:rsid w:val="00DA166D"/>
    <w:rsid w:val="00DA17EB"/>
    <w:rsid w:val="00DA1D11"/>
    <w:rsid w:val="00DA2125"/>
    <w:rsid w:val="00DA3317"/>
    <w:rsid w:val="00DA638D"/>
    <w:rsid w:val="00DA6629"/>
    <w:rsid w:val="00DA7CB8"/>
    <w:rsid w:val="00DB1E0F"/>
    <w:rsid w:val="00DB3577"/>
    <w:rsid w:val="00DB477E"/>
    <w:rsid w:val="00DB510A"/>
    <w:rsid w:val="00DB5F1C"/>
    <w:rsid w:val="00DB7936"/>
    <w:rsid w:val="00DC3300"/>
    <w:rsid w:val="00DC38C2"/>
    <w:rsid w:val="00DC7CCC"/>
    <w:rsid w:val="00DD01BA"/>
    <w:rsid w:val="00DD3109"/>
    <w:rsid w:val="00DD6A3D"/>
    <w:rsid w:val="00DD6AB1"/>
    <w:rsid w:val="00DD7D06"/>
    <w:rsid w:val="00DD7F62"/>
    <w:rsid w:val="00DE254C"/>
    <w:rsid w:val="00DE4B8D"/>
    <w:rsid w:val="00DE6FBF"/>
    <w:rsid w:val="00DF62A1"/>
    <w:rsid w:val="00DF6C6F"/>
    <w:rsid w:val="00E0001E"/>
    <w:rsid w:val="00E01C7B"/>
    <w:rsid w:val="00E0403F"/>
    <w:rsid w:val="00E048C2"/>
    <w:rsid w:val="00E05445"/>
    <w:rsid w:val="00E056B8"/>
    <w:rsid w:val="00E06F1D"/>
    <w:rsid w:val="00E06FC2"/>
    <w:rsid w:val="00E07A77"/>
    <w:rsid w:val="00E12637"/>
    <w:rsid w:val="00E13F3C"/>
    <w:rsid w:val="00E14330"/>
    <w:rsid w:val="00E151F0"/>
    <w:rsid w:val="00E1710E"/>
    <w:rsid w:val="00E241E4"/>
    <w:rsid w:val="00E246CB"/>
    <w:rsid w:val="00E25D72"/>
    <w:rsid w:val="00E2720C"/>
    <w:rsid w:val="00E277D5"/>
    <w:rsid w:val="00E27A43"/>
    <w:rsid w:val="00E3014B"/>
    <w:rsid w:val="00E3244E"/>
    <w:rsid w:val="00E32E9C"/>
    <w:rsid w:val="00E33E46"/>
    <w:rsid w:val="00E35184"/>
    <w:rsid w:val="00E3543F"/>
    <w:rsid w:val="00E36C90"/>
    <w:rsid w:val="00E375F7"/>
    <w:rsid w:val="00E37700"/>
    <w:rsid w:val="00E4091B"/>
    <w:rsid w:val="00E42B4A"/>
    <w:rsid w:val="00E42C17"/>
    <w:rsid w:val="00E451BD"/>
    <w:rsid w:val="00E502BC"/>
    <w:rsid w:val="00E50BC8"/>
    <w:rsid w:val="00E52D60"/>
    <w:rsid w:val="00E556B0"/>
    <w:rsid w:val="00E557C8"/>
    <w:rsid w:val="00E576B0"/>
    <w:rsid w:val="00E61E4D"/>
    <w:rsid w:val="00E62882"/>
    <w:rsid w:val="00E64AD1"/>
    <w:rsid w:val="00E6563D"/>
    <w:rsid w:val="00E66D4E"/>
    <w:rsid w:val="00E704CC"/>
    <w:rsid w:val="00E74446"/>
    <w:rsid w:val="00E80525"/>
    <w:rsid w:val="00E80D67"/>
    <w:rsid w:val="00E82FF3"/>
    <w:rsid w:val="00E84A4E"/>
    <w:rsid w:val="00E85718"/>
    <w:rsid w:val="00E90E91"/>
    <w:rsid w:val="00E91BCC"/>
    <w:rsid w:val="00E938C5"/>
    <w:rsid w:val="00E96241"/>
    <w:rsid w:val="00EA03A2"/>
    <w:rsid w:val="00EA1600"/>
    <w:rsid w:val="00EA1769"/>
    <w:rsid w:val="00EA2A8B"/>
    <w:rsid w:val="00EA4112"/>
    <w:rsid w:val="00EA7C5B"/>
    <w:rsid w:val="00EB02B6"/>
    <w:rsid w:val="00EB1D1C"/>
    <w:rsid w:val="00EB1E54"/>
    <w:rsid w:val="00EB4952"/>
    <w:rsid w:val="00EB50BA"/>
    <w:rsid w:val="00EB5A7D"/>
    <w:rsid w:val="00EB610D"/>
    <w:rsid w:val="00EB6825"/>
    <w:rsid w:val="00EB692A"/>
    <w:rsid w:val="00EB6E1C"/>
    <w:rsid w:val="00EB6EF7"/>
    <w:rsid w:val="00EC4B11"/>
    <w:rsid w:val="00EC4EB8"/>
    <w:rsid w:val="00EC7227"/>
    <w:rsid w:val="00EC7FAA"/>
    <w:rsid w:val="00ED1117"/>
    <w:rsid w:val="00ED5AA5"/>
    <w:rsid w:val="00EE34A5"/>
    <w:rsid w:val="00EE7517"/>
    <w:rsid w:val="00EE7D7F"/>
    <w:rsid w:val="00EF50AF"/>
    <w:rsid w:val="00F00B20"/>
    <w:rsid w:val="00F01D08"/>
    <w:rsid w:val="00F031DA"/>
    <w:rsid w:val="00F0402F"/>
    <w:rsid w:val="00F05E3C"/>
    <w:rsid w:val="00F06CD4"/>
    <w:rsid w:val="00F13DB9"/>
    <w:rsid w:val="00F20E39"/>
    <w:rsid w:val="00F22D80"/>
    <w:rsid w:val="00F23D80"/>
    <w:rsid w:val="00F27CD7"/>
    <w:rsid w:val="00F30084"/>
    <w:rsid w:val="00F3097B"/>
    <w:rsid w:val="00F323A9"/>
    <w:rsid w:val="00F343FF"/>
    <w:rsid w:val="00F3524B"/>
    <w:rsid w:val="00F35791"/>
    <w:rsid w:val="00F3617C"/>
    <w:rsid w:val="00F37EA4"/>
    <w:rsid w:val="00F42008"/>
    <w:rsid w:val="00F440B9"/>
    <w:rsid w:val="00F44F55"/>
    <w:rsid w:val="00F45741"/>
    <w:rsid w:val="00F462BC"/>
    <w:rsid w:val="00F4653C"/>
    <w:rsid w:val="00F46EF2"/>
    <w:rsid w:val="00F5209C"/>
    <w:rsid w:val="00F52452"/>
    <w:rsid w:val="00F5475E"/>
    <w:rsid w:val="00F55D1A"/>
    <w:rsid w:val="00F56EE1"/>
    <w:rsid w:val="00F57720"/>
    <w:rsid w:val="00F62498"/>
    <w:rsid w:val="00F64807"/>
    <w:rsid w:val="00F64C4F"/>
    <w:rsid w:val="00F70668"/>
    <w:rsid w:val="00F760E3"/>
    <w:rsid w:val="00F8197D"/>
    <w:rsid w:val="00F846D8"/>
    <w:rsid w:val="00F84DBE"/>
    <w:rsid w:val="00F8531F"/>
    <w:rsid w:val="00F85C00"/>
    <w:rsid w:val="00F8716B"/>
    <w:rsid w:val="00F87D28"/>
    <w:rsid w:val="00F91017"/>
    <w:rsid w:val="00F91F05"/>
    <w:rsid w:val="00F91FCA"/>
    <w:rsid w:val="00F93CA6"/>
    <w:rsid w:val="00F95774"/>
    <w:rsid w:val="00F95FE9"/>
    <w:rsid w:val="00F9720A"/>
    <w:rsid w:val="00F9785B"/>
    <w:rsid w:val="00FA0E73"/>
    <w:rsid w:val="00FA0E99"/>
    <w:rsid w:val="00FA4CE9"/>
    <w:rsid w:val="00FA5F6A"/>
    <w:rsid w:val="00FA7164"/>
    <w:rsid w:val="00FB0CC9"/>
    <w:rsid w:val="00FB177D"/>
    <w:rsid w:val="00FB1D8F"/>
    <w:rsid w:val="00FB225C"/>
    <w:rsid w:val="00FB3403"/>
    <w:rsid w:val="00FB3EC2"/>
    <w:rsid w:val="00FB4A67"/>
    <w:rsid w:val="00FB5772"/>
    <w:rsid w:val="00FB591A"/>
    <w:rsid w:val="00FC1CEE"/>
    <w:rsid w:val="00FC520C"/>
    <w:rsid w:val="00FC661B"/>
    <w:rsid w:val="00FD2068"/>
    <w:rsid w:val="00FD2BB9"/>
    <w:rsid w:val="00FD4CFF"/>
    <w:rsid w:val="00FE1549"/>
    <w:rsid w:val="00FE1B42"/>
    <w:rsid w:val="00FE2823"/>
    <w:rsid w:val="00FE3189"/>
    <w:rsid w:val="00FE635E"/>
    <w:rsid w:val="00FE6CB2"/>
    <w:rsid w:val="00FE7073"/>
    <w:rsid w:val="00FF38B8"/>
    <w:rsid w:val="00FF3F71"/>
    <w:rsid w:val="00FF4D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80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uiPriority="22" w:qFormat="1"/>
    <w:lsdException w:name="Emphasis" w:uiPriority="20" w:unhideWhenUsed="0" w:qFormat="1"/>
    <w:lsdException w:name="Outline List 2" w:uiPriority="0"/>
    <w:lsdException w:name="Table Grid" w:semiHidden="0" w:uiPriority="59"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246CB"/>
    <w:pPr>
      <w:spacing w:after="240"/>
    </w:pPr>
    <w:rPr>
      <w:sz w:val="24"/>
    </w:rPr>
  </w:style>
  <w:style w:type="paragraph" w:styleId="Heading1">
    <w:name w:val="heading 1"/>
    <w:basedOn w:val="Normal"/>
    <w:next w:val="Normal"/>
    <w:link w:val="Heading1Char"/>
    <w:uiPriority w:val="1"/>
    <w:qFormat/>
    <w:rsid w:val="00546A48"/>
    <w:pPr>
      <w:keepNext/>
      <w:keepLines/>
      <w:spacing w:before="300"/>
      <w:outlineLvl w:val="0"/>
    </w:pPr>
    <w:rPr>
      <w:rFonts w:eastAsiaTheme="majorEastAsia" w:cstheme="majorBidi"/>
      <w:b/>
      <w:bCs/>
      <w:sz w:val="36"/>
      <w:szCs w:val="28"/>
    </w:rPr>
  </w:style>
  <w:style w:type="paragraph" w:styleId="Heading2">
    <w:name w:val="heading 2"/>
    <w:basedOn w:val="Normal"/>
    <w:next w:val="Normal"/>
    <w:link w:val="Heading2Char"/>
    <w:qFormat/>
    <w:rsid w:val="0050547C"/>
    <w:pPr>
      <w:keepNext/>
      <w:keepLines/>
      <w:spacing w:before="240" w:after="180"/>
      <w:outlineLvl w:val="1"/>
    </w:pPr>
    <w:rPr>
      <w:rFonts w:eastAsiaTheme="majorEastAsia" w:cs="Calibri"/>
      <w:b/>
      <w:bCs/>
      <w:sz w:val="28"/>
      <w:szCs w:val="28"/>
    </w:rPr>
  </w:style>
  <w:style w:type="paragraph" w:styleId="Heading3">
    <w:name w:val="heading 3"/>
    <w:basedOn w:val="Normal"/>
    <w:next w:val="Normal"/>
    <w:link w:val="Heading3Char"/>
    <w:uiPriority w:val="1"/>
    <w:qFormat/>
    <w:rsid w:val="000E31C7"/>
    <w:pPr>
      <w:keepNext/>
      <w:keepLines/>
      <w:spacing w:before="240" w:after="120"/>
      <w:outlineLvl w:val="2"/>
    </w:pPr>
    <w:rPr>
      <w:rFonts w:eastAsiaTheme="majorEastAsia" w:cstheme="majorBidi"/>
      <w:b/>
      <w:bCs/>
      <w:i/>
    </w:rPr>
  </w:style>
  <w:style w:type="paragraph" w:styleId="Heading4">
    <w:name w:val="heading 4"/>
    <w:basedOn w:val="Normal"/>
    <w:next w:val="Normal"/>
    <w:link w:val="Heading4Char"/>
    <w:uiPriority w:val="1"/>
    <w:qFormat/>
    <w:rsid w:val="007227EA"/>
    <w:pPr>
      <w:keepNext/>
      <w:keepLines/>
      <w:spacing w:after="120"/>
      <w:outlineLvl w:val="3"/>
    </w:pPr>
    <w:rPr>
      <w:rFonts w:eastAsiaTheme="majorEastAsia" w:cstheme="majorBidi"/>
      <w:bCs/>
      <w:i/>
      <w:iCs/>
    </w:rPr>
  </w:style>
  <w:style w:type="paragraph" w:styleId="Heading5">
    <w:name w:val="heading 5"/>
    <w:basedOn w:val="Normal"/>
    <w:next w:val="Normal"/>
    <w:link w:val="Heading5Char"/>
    <w:uiPriority w:val="2"/>
    <w:qFormat/>
    <w:rsid w:val="00E246CB"/>
    <w:pPr>
      <w:keepNext/>
      <w:keepLines/>
      <w:spacing w:before="120" w:after="12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028B5"/>
    <w:rPr>
      <w:rFonts w:eastAsiaTheme="majorEastAsia" w:cstheme="majorBidi"/>
      <w:b/>
      <w:bCs/>
      <w:sz w:val="36"/>
      <w:szCs w:val="28"/>
    </w:rPr>
  </w:style>
  <w:style w:type="character" w:customStyle="1" w:styleId="Heading2Char">
    <w:name w:val="Heading 2 Char"/>
    <w:basedOn w:val="DefaultParagraphFont"/>
    <w:link w:val="Heading2"/>
    <w:uiPriority w:val="1"/>
    <w:rsid w:val="000028B5"/>
    <w:rPr>
      <w:rFonts w:eastAsiaTheme="majorEastAsia" w:cs="Calibri"/>
      <w:b/>
      <w:bCs/>
      <w:sz w:val="28"/>
      <w:szCs w:val="28"/>
    </w:rPr>
  </w:style>
  <w:style w:type="paragraph" w:styleId="BalloonText">
    <w:name w:val="Balloon Text"/>
    <w:basedOn w:val="Normal"/>
    <w:link w:val="BalloonTextChar"/>
    <w:uiPriority w:val="99"/>
    <w:semiHidden/>
    <w:unhideWhenUsed/>
    <w:rsid w:val="00D40BD4"/>
    <w:rPr>
      <w:rFonts w:ascii="Tahoma" w:hAnsi="Tahoma" w:cs="Tahoma"/>
      <w:sz w:val="16"/>
      <w:szCs w:val="16"/>
    </w:rPr>
  </w:style>
  <w:style w:type="character" w:customStyle="1" w:styleId="BalloonTextChar">
    <w:name w:val="Balloon Text Char"/>
    <w:basedOn w:val="DefaultParagraphFont"/>
    <w:link w:val="BalloonText"/>
    <w:uiPriority w:val="99"/>
    <w:semiHidden/>
    <w:rsid w:val="00D40BD4"/>
    <w:rPr>
      <w:rFonts w:ascii="Tahoma" w:hAnsi="Tahoma" w:cs="Tahoma"/>
      <w:sz w:val="16"/>
      <w:szCs w:val="16"/>
    </w:rPr>
  </w:style>
  <w:style w:type="paragraph" w:styleId="Title">
    <w:name w:val="Title"/>
    <w:basedOn w:val="Normal"/>
    <w:next w:val="Normal"/>
    <w:link w:val="TitleChar"/>
    <w:uiPriority w:val="2"/>
    <w:qFormat/>
    <w:rsid w:val="000E31C7"/>
    <w:pPr>
      <w:spacing w:before="240" w:after="120"/>
      <w:jc w:val="right"/>
    </w:pPr>
    <w:rPr>
      <w:rFonts w:eastAsiaTheme="majorEastAsia" w:cs="Calibri"/>
      <w:b/>
      <w:spacing w:val="5"/>
      <w:kern w:val="28"/>
      <w:sz w:val="56"/>
      <w:szCs w:val="60"/>
    </w:rPr>
  </w:style>
  <w:style w:type="character" w:customStyle="1" w:styleId="TitleChar">
    <w:name w:val="Title Char"/>
    <w:basedOn w:val="DefaultParagraphFont"/>
    <w:link w:val="Title"/>
    <w:uiPriority w:val="2"/>
    <w:rsid w:val="000E31C7"/>
    <w:rPr>
      <w:rFonts w:eastAsiaTheme="majorEastAsia" w:cs="Calibri"/>
      <w:b/>
      <w:spacing w:val="5"/>
      <w:kern w:val="28"/>
      <w:sz w:val="56"/>
      <w:szCs w:val="60"/>
    </w:rPr>
  </w:style>
  <w:style w:type="paragraph" w:styleId="Subtitle">
    <w:name w:val="Subtitle"/>
    <w:basedOn w:val="Normal"/>
    <w:next w:val="Normal"/>
    <w:link w:val="SubtitleChar"/>
    <w:uiPriority w:val="3"/>
    <w:qFormat/>
    <w:rsid w:val="0050547C"/>
    <w:pPr>
      <w:numPr>
        <w:ilvl w:val="1"/>
      </w:numPr>
      <w:spacing w:before="120"/>
      <w:jc w:val="right"/>
    </w:pPr>
    <w:rPr>
      <w:rFonts w:eastAsiaTheme="majorEastAsia" w:cs="Calibri"/>
      <w:b/>
      <w:iCs/>
      <w:color w:val="000000" w:themeColor="text1"/>
      <w:spacing w:val="15"/>
      <w:sz w:val="36"/>
      <w:szCs w:val="36"/>
    </w:rPr>
  </w:style>
  <w:style w:type="character" w:customStyle="1" w:styleId="SubtitleChar">
    <w:name w:val="Subtitle Char"/>
    <w:basedOn w:val="DefaultParagraphFont"/>
    <w:link w:val="Subtitle"/>
    <w:uiPriority w:val="3"/>
    <w:rsid w:val="00E246CB"/>
    <w:rPr>
      <w:rFonts w:eastAsiaTheme="majorEastAsia" w:cs="Calibri"/>
      <w:b/>
      <w:iCs/>
      <w:color w:val="000000" w:themeColor="text1"/>
      <w:spacing w:val="15"/>
      <w:sz w:val="36"/>
      <w:szCs w:val="36"/>
    </w:rPr>
  </w:style>
  <w:style w:type="paragraph" w:styleId="Header">
    <w:name w:val="header"/>
    <w:basedOn w:val="Normal"/>
    <w:link w:val="HeaderChar"/>
    <w:uiPriority w:val="99"/>
    <w:unhideWhenUsed/>
    <w:rsid w:val="00E91BCC"/>
    <w:pPr>
      <w:pBdr>
        <w:bottom w:val="single" w:sz="4" w:space="1" w:color="A6A6A6" w:themeColor="background1" w:themeShade="A6"/>
      </w:pBdr>
      <w:tabs>
        <w:tab w:val="center" w:pos="4513"/>
        <w:tab w:val="right" w:pos="9026"/>
      </w:tabs>
      <w:spacing w:after="0"/>
      <w:jc w:val="right"/>
    </w:pPr>
    <w:rPr>
      <w:sz w:val="22"/>
      <w:szCs w:val="22"/>
    </w:rPr>
  </w:style>
  <w:style w:type="character" w:customStyle="1" w:styleId="HeaderChar">
    <w:name w:val="Header Char"/>
    <w:basedOn w:val="DefaultParagraphFont"/>
    <w:link w:val="Header"/>
    <w:uiPriority w:val="99"/>
    <w:rsid w:val="00E91BCC"/>
    <w:rPr>
      <w:sz w:val="22"/>
      <w:szCs w:val="22"/>
    </w:rPr>
  </w:style>
  <w:style w:type="paragraph" w:styleId="Footer">
    <w:name w:val="footer"/>
    <w:basedOn w:val="Normal"/>
    <w:link w:val="FooterChar"/>
    <w:uiPriority w:val="99"/>
    <w:unhideWhenUsed/>
    <w:rsid w:val="001E4C39"/>
    <w:pPr>
      <w:tabs>
        <w:tab w:val="center" w:pos="4513"/>
        <w:tab w:val="right" w:pos="9026"/>
      </w:tabs>
      <w:spacing w:after="0"/>
    </w:pPr>
    <w:rPr>
      <w:b/>
      <w:color w:val="7F7F7F" w:themeColor="text1" w:themeTint="80"/>
      <w:szCs w:val="22"/>
    </w:rPr>
  </w:style>
  <w:style w:type="character" w:customStyle="1" w:styleId="FooterChar">
    <w:name w:val="Footer Char"/>
    <w:basedOn w:val="DefaultParagraphFont"/>
    <w:link w:val="Footer"/>
    <w:uiPriority w:val="99"/>
    <w:rsid w:val="001E4C39"/>
    <w:rPr>
      <w:b/>
      <w:color w:val="7F7F7F" w:themeColor="text1" w:themeTint="80"/>
      <w:sz w:val="22"/>
      <w:szCs w:val="22"/>
    </w:rPr>
  </w:style>
  <w:style w:type="character" w:customStyle="1" w:styleId="Heading3Char">
    <w:name w:val="Heading 3 Char"/>
    <w:basedOn w:val="DefaultParagraphFont"/>
    <w:link w:val="Heading3"/>
    <w:uiPriority w:val="1"/>
    <w:rsid w:val="000E31C7"/>
    <w:rPr>
      <w:rFonts w:eastAsiaTheme="majorEastAsia" w:cstheme="majorBidi"/>
      <w:b/>
      <w:bCs/>
      <w:i/>
      <w:sz w:val="24"/>
    </w:rPr>
  </w:style>
  <w:style w:type="character" w:customStyle="1" w:styleId="Heading4Char">
    <w:name w:val="Heading 4 Char"/>
    <w:basedOn w:val="DefaultParagraphFont"/>
    <w:link w:val="Heading4"/>
    <w:uiPriority w:val="1"/>
    <w:rsid w:val="00FE3189"/>
    <w:rPr>
      <w:rFonts w:eastAsiaTheme="majorEastAsia" w:cstheme="majorBidi"/>
      <w:bCs/>
      <w:i/>
      <w:iCs/>
      <w:sz w:val="24"/>
    </w:rPr>
  </w:style>
  <w:style w:type="paragraph" w:styleId="Quote">
    <w:name w:val="Quote"/>
    <w:basedOn w:val="Normal"/>
    <w:next w:val="Normal"/>
    <w:link w:val="QuoteChar"/>
    <w:uiPriority w:val="1"/>
    <w:qFormat/>
    <w:rsid w:val="000028B5"/>
    <w:pPr>
      <w:ind w:left="709"/>
    </w:pPr>
    <w:rPr>
      <w:sz w:val="22"/>
    </w:rPr>
  </w:style>
  <w:style w:type="character" w:customStyle="1" w:styleId="QuoteChar">
    <w:name w:val="Quote Char"/>
    <w:basedOn w:val="DefaultParagraphFont"/>
    <w:link w:val="Quote"/>
    <w:uiPriority w:val="1"/>
    <w:rsid w:val="000028B5"/>
    <w:rPr>
      <w:sz w:val="22"/>
    </w:rPr>
  </w:style>
  <w:style w:type="paragraph" w:styleId="ListParagraph">
    <w:name w:val="List Paragraph"/>
    <w:basedOn w:val="Normal"/>
    <w:uiPriority w:val="34"/>
    <w:qFormat/>
    <w:rsid w:val="009702CD"/>
    <w:pPr>
      <w:numPr>
        <w:numId w:val="1"/>
      </w:numPr>
      <w:spacing w:before="120" w:after="120"/>
      <w:ind w:hanging="578"/>
    </w:pPr>
  </w:style>
  <w:style w:type="paragraph" w:styleId="NormalWeb">
    <w:name w:val="Normal (Web)"/>
    <w:basedOn w:val="Normal"/>
    <w:uiPriority w:val="99"/>
    <w:semiHidden/>
    <w:unhideWhenUsed/>
    <w:rsid w:val="009702CD"/>
    <w:pPr>
      <w:spacing w:before="100" w:beforeAutospacing="1" w:after="100" w:afterAutospacing="1"/>
    </w:pPr>
    <w:rPr>
      <w:rFonts w:ascii="Times New Roman" w:eastAsia="Times New Roman" w:hAnsi="Times New Roman"/>
      <w:szCs w:val="24"/>
      <w:lang w:eastAsia="en-AU"/>
    </w:rPr>
  </w:style>
  <w:style w:type="character" w:styleId="Strong">
    <w:name w:val="Strong"/>
    <w:basedOn w:val="DefaultParagraphFont"/>
    <w:uiPriority w:val="22"/>
    <w:unhideWhenUsed/>
    <w:qFormat/>
    <w:rsid w:val="009702CD"/>
    <w:rPr>
      <w:b/>
      <w:bCs/>
    </w:rPr>
  </w:style>
  <w:style w:type="character" w:styleId="Hyperlink">
    <w:name w:val="Hyperlink"/>
    <w:basedOn w:val="DefaultParagraphFont"/>
    <w:unhideWhenUsed/>
    <w:rsid w:val="009702CD"/>
    <w:rPr>
      <w:color w:val="0000FF"/>
      <w:u w:val="single"/>
    </w:rPr>
  </w:style>
  <w:style w:type="paragraph" w:styleId="FootnoteText">
    <w:name w:val="footnote text"/>
    <w:basedOn w:val="Normal"/>
    <w:link w:val="FootnoteTextChar"/>
    <w:rsid w:val="00035604"/>
    <w:pPr>
      <w:tabs>
        <w:tab w:val="left" w:pos="357"/>
      </w:tabs>
      <w:spacing w:after="0"/>
      <w:ind w:left="357" w:hanging="357"/>
    </w:pPr>
    <w:rPr>
      <w:sz w:val="20"/>
    </w:rPr>
  </w:style>
  <w:style w:type="character" w:customStyle="1" w:styleId="FootnoteTextChar">
    <w:name w:val="Footnote Text Char"/>
    <w:basedOn w:val="DefaultParagraphFont"/>
    <w:link w:val="FootnoteText"/>
    <w:uiPriority w:val="99"/>
    <w:rsid w:val="00035604"/>
  </w:style>
  <w:style w:type="character" w:styleId="FootnoteReference">
    <w:name w:val="footnote reference"/>
    <w:aliases w:val="opcalrc"/>
    <w:basedOn w:val="DefaultParagraphFont"/>
    <w:unhideWhenUsed/>
    <w:rsid w:val="00035604"/>
    <w:rPr>
      <w:vertAlign w:val="superscript"/>
    </w:rPr>
  </w:style>
  <w:style w:type="paragraph" w:customStyle="1" w:styleId="Instructiontext">
    <w:name w:val="Instruction text"/>
    <w:basedOn w:val="Normal"/>
    <w:next w:val="Normal"/>
    <w:uiPriority w:val="4"/>
    <w:qFormat/>
    <w:rsid w:val="00546A48"/>
    <w:pPr>
      <w:spacing w:after="180"/>
    </w:pPr>
    <w:rPr>
      <w:i/>
      <w:color w:val="0070C0"/>
    </w:rPr>
  </w:style>
  <w:style w:type="character" w:customStyle="1" w:styleId="Heading5Char">
    <w:name w:val="Heading 5 Char"/>
    <w:basedOn w:val="DefaultParagraphFont"/>
    <w:link w:val="Heading5"/>
    <w:uiPriority w:val="2"/>
    <w:rsid w:val="00E246CB"/>
    <w:rPr>
      <w:rFonts w:eastAsiaTheme="majorEastAsia" w:cstheme="majorBidi"/>
      <w:b/>
      <w:sz w:val="22"/>
    </w:rPr>
  </w:style>
  <w:style w:type="paragraph" w:styleId="TOC1">
    <w:name w:val="toc 1"/>
    <w:basedOn w:val="Normal"/>
    <w:next w:val="Normal"/>
    <w:autoRedefine/>
    <w:uiPriority w:val="39"/>
    <w:unhideWhenUsed/>
    <w:rsid w:val="00861D9C"/>
    <w:pPr>
      <w:spacing w:before="120" w:after="120"/>
    </w:pPr>
    <w:rPr>
      <w:b/>
      <w:sz w:val="26"/>
    </w:rPr>
  </w:style>
  <w:style w:type="paragraph" w:styleId="TOC2">
    <w:name w:val="toc 2"/>
    <w:basedOn w:val="Normal"/>
    <w:next w:val="Normal"/>
    <w:autoRedefine/>
    <w:uiPriority w:val="39"/>
    <w:unhideWhenUsed/>
    <w:rsid w:val="00426C2B"/>
    <w:pPr>
      <w:tabs>
        <w:tab w:val="right" w:leader="dot" w:pos="8756"/>
      </w:tabs>
      <w:spacing w:after="120"/>
    </w:pPr>
  </w:style>
  <w:style w:type="paragraph" w:styleId="TOC3">
    <w:name w:val="toc 3"/>
    <w:basedOn w:val="Normal"/>
    <w:next w:val="Normal"/>
    <w:autoRedefine/>
    <w:uiPriority w:val="39"/>
    <w:unhideWhenUsed/>
    <w:rsid w:val="00426C2B"/>
    <w:pPr>
      <w:tabs>
        <w:tab w:val="right" w:leader="dot" w:pos="8756"/>
      </w:tabs>
      <w:spacing w:after="60"/>
      <w:ind w:left="170"/>
    </w:pPr>
  </w:style>
  <w:style w:type="character" w:styleId="FollowedHyperlink">
    <w:name w:val="FollowedHyperlink"/>
    <w:basedOn w:val="DefaultParagraphFont"/>
    <w:uiPriority w:val="99"/>
    <w:semiHidden/>
    <w:unhideWhenUsed/>
    <w:rsid w:val="00D607FB"/>
    <w:rPr>
      <w:color w:val="800080" w:themeColor="followedHyperlink"/>
      <w:u w:val="single"/>
    </w:rPr>
  </w:style>
  <w:style w:type="character" w:styleId="HTMLCite">
    <w:name w:val="HTML Cite"/>
    <w:basedOn w:val="DefaultParagraphFont"/>
    <w:uiPriority w:val="99"/>
    <w:semiHidden/>
    <w:unhideWhenUsed/>
    <w:rsid w:val="00B90BEB"/>
    <w:rPr>
      <w:i/>
      <w:iCs/>
    </w:rPr>
  </w:style>
  <w:style w:type="paragraph" w:customStyle="1" w:styleId="OPClevel3">
    <w:name w:val="OPC level 3"/>
    <w:basedOn w:val="Heading4"/>
    <w:autoRedefine/>
    <w:pPr>
      <w:spacing w:before="240"/>
    </w:pPr>
    <w:rPr>
      <w:rFonts w:ascii="Century Gothic" w:eastAsia="Times New Roman" w:hAnsi="Century Gothic" w:cs="Times New Roman"/>
      <w:b/>
      <w:i w:val="0"/>
      <w:iCs w:val="0"/>
      <w:sz w:val="28"/>
      <w:szCs w:val="24"/>
      <w:lang w:eastAsia="en-AU"/>
    </w:rPr>
  </w:style>
  <w:style w:type="paragraph" w:customStyle="1" w:styleId="OPClevel1">
    <w:name w:val="OPC level 1"/>
    <w:basedOn w:val="Heading2"/>
    <w:autoRedefine/>
    <w:pPr>
      <w:spacing w:after="120"/>
      <w:ind w:left="720" w:hanging="720"/>
    </w:pPr>
    <w:rPr>
      <w:rFonts w:ascii="Century Gothic" w:eastAsia="Times New Roman" w:hAnsi="Century Gothic" w:cs="Arial"/>
      <w:iCs/>
      <w:lang w:eastAsia="en-AU"/>
    </w:rPr>
  </w:style>
  <w:style w:type="paragraph" w:customStyle="1" w:styleId="OPCbodyCharCharChar">
    <w:name w:val="OPC body Char Char Char"/>
    <w:link w:val="OPCbodyCharCharCharChar"/>
    <w:pPr>
      <w:spacing w:before="120" w:after="120"/>
    </w:pPr>
    <w:rPr>
      <w:rFonts w:ascii="Arial" w:eastAsia="Times New Roman" w:hAnsi="Arial"/>
      <w:sz w:val="24"/>
      <w:szCs w:val="24"/>
      <w:lang w:eastAsia="en-AU"/>
    </w:rPr>
  </w:style>
  <w:style w:type="character" w:customStyle="1" w:styleId="OPCbodyCharCharCharChar">
    <w:name w:val="OPC body Char Char Char Char"/>
    <w:link w:val="OPCbodyCharCharChar"/>
    <w:rPr>
      <w:rFonts w:ascii="Arial" w:eastAsia="Times New Roman" w:hAnsi="Arial"/>
      <w:sz w:val="24"/>
      <w:szCs w:val="24"/>
      <w:lang w:eastAsia="en-AU"/>
    </w:rPr>
  </w:style>
  <w:style w:type="paragraph" w:styleId="BodyTextIndent3">
    <w:name w:val="Body Text Indent 3"/>
    <w:basedOn w:val="Normal"/>
    <w:link w:val="BodyTextIndent3Char"/>
    <w:pPr>
      <w:tabs>
        <w:tab w:val="left" w:pos="0"/>
      </w:tabs>
      <w:spacing w:after="120"/>
      <w:ind w:left="720" w:hanging="720"/>
    </w:pPr>
    <w:rPr>
      <w:rFonts w:ascii="Times New Roman" w:eastAsia="Times New Roman" w:hAnsi="Times New Roman"/>
      <w:szCs w:val="24"/>
      <w:lang w:val="en-GB" w:eastAsia="en-AU"/>
    </w:rPr>
  </w:style>
  <w:style w:type="character" w:customStyle="1" w:styleId="BodyTextIndent3Char">
    <w:name w:val="Body Text Indent 3 Char"/>
    <w:basedOn w:val="DefaultParagraphFont"/>
    <w:link w:val="BodyTextIndent3"/>
    <w:rPr>
      <w:rFonts w:ascii="Times New Roman" w:eastAsia="Times New Roman" w:hAnsi="Times New Roman"/>
      <w:sz w:val="24"/>
      <w:szCs w:val="24"/>
      <w:lang w:val="en-GB" w:eastAsia="en-AU"/>
    </w:rPr>
  </w:style>
  <w:style w:type="character" w:customStyle="1" w:styleId="OFPCBody">
    <w:name w:val="OFPC Body"/>
    <w:rPr>
      <w:rFonts w:ascii="Arial Narrow" w:hAnsi="Arial Narrow"/>
      <w:sz w:val="22"/>
    </w:rPr>
  </w:style>
  <w:style w:type="numbering" w:styleId="111111">
    <w:name w:val="Outline List 2"/>
    <w:basedOn w:val="NoList"/>
    <w:pPr>
      <w:numPr>
        <w:numId w:val="10"/>
      </w:numPr>
    </w:p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uiPriority="22" w:qFormat="1"/>
    <w:lsdException w:name="Emphasis" w:uiPriority="20" w:unhideWhenUsed="0" w:qFormat="1"/>
    <w:lsdException w:name="Outline List 2" w:uiPriority="0"/>
    <w:lsdException w:name="Table Grid" w:semiHidden="0" w:uiPriority="59"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246CB"/>
    <w:pPr>
      <w:spacing w:after="240"/>
    </w:pPr>
    <w:rPr>
      <w:sz w:val="24"/>
    </w:rPr>
  </w:style>
  <w:style w:type="paragraph" w:styleId="Heading1">
    <w:name w:val="heading 1"/>
    <w:basedOn w:val="Normal"/>
    <w:next w:val="Normal"/>
    <w:link w:val="Heading1Char"/>
    <w:uiPriority w:val="1"/>
    <w:qFormat/>
    <w:rsid w:val="00546A48"/>
    <w:pPr>
      <w:keepNext/>
      <w:keepLines/>
      <w:spacing w:before="300"/>
      <w:outlineLvl w:val="0"/>
    </w:pPr>
    <w:rPr>
      <w:rFonts w:eastAsiaTheme="majorEastAsia" w:cstheme="majorBidi"/>
      <w:b/>
      <w:bCs/>
      <w:sz w:val="36"/>
      <w:szCs w:val="28"/>
    </w:rPr>
  </w:style>
  <w:style w:type="paragraph" w:styleId="Heading2">
    <w:name w:val="heading 2"/>
    <w:basedOn w:val="Normal"/>
    <w:next w:val="Normal"/>
    <w:link w:val="Heading2Char"/>
    <w:qFormat/>
    <w:rsid w:val="0050547C"/>
    <w:pPr>
      <w:keepNext/>
      <w:keepLines/>
      <w:spacing w:before="240" w:after="180"/>
      <w:outlineLvl w:val="1"/>
    </w:pPr>
    <w:rPr>
      <w:rFonts w:eastAsiaTheme="majorEastAsia" w:cs="Calibri"/>
      <w:b/>
      <w:bCs/>
      <w:sz w:val="28"/>
      <w:szCs w:val="28"/>
    </w:rPr>
  </w:style>
  <w:style w:type="paragraph" w:styleId="Heading3">
    <w:name w:val="heading 3"/>
    <w:basedOn w:val="Normal"/>
    <w:next w:val="Normal"/>
    <w:link w:val="Heading3Char"/>
    <w:uiPriority w:val="1"/>
    <w:qFormat/>
    <w:rsid w:val="000E31C7"/>
    <w:pPr>
      <w:keepNext/>
      <w:keepLines/>
      <w:spacing w:before="240" w:after="120"/>
      <w:outlineLvl w:val="2"/>
    </w:pPr>
    <w:rPr>
      <w:rFonts w:eastAsiaTheme="majorEastAsia" w:cstheme="majorBidi"/>
      <w:b/>
      <w:bCs/>
      <w:i/>
    </w:rPr>
  </w:style>
  <w:style w:type="paragraph" w:styleId="Heading4">
    <w:name w:val="heading 4"/>
    <w:basedOn w:val="Normal"/>
    <w:next w:val="Normal"/>
    <w:link w:val="Heading4Char"/>
    <w:uiPriority w:val="1"/>
    <w:qFormat/>
    <w:rsid w:val="007227EA"/>
    <w:pPr>
      <w:keepNext/>
      <w:keepLines/>
      <w:spacing w:after="120"/>
      <w:outlineLvl w:val="3"/>
    </w:pPr>
    <w:rPr>
      <w:rFonts w:eastAsiaTheme="majorEastAsia" w:cstheme="majorBidi"/>
      <w:bCs/>
      <w:i/>
      <w:iCs/>
    </w:rPr>
  </w:style>
  <w:style w:type="paragraph" w:styleId="Heading5">
    <w:name w:val="heading 5"/>
    <w:basedOn w:val="Normal"/>
    <w:next w:val="Normal"/>
    <w:link w:val="Heading5Char"/>
    <w:uiPriority w:val="2"/>
    <w:qFormat/>
    <w:rsid w:val="00E246CB"/>
    <w:pPr>
      <w:keepNext/>
      <w:keepLines/>
      <w:spacing w:before="120" w:after="12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028B5"/>
    <w:rPr>
      <w:rFonts w:eastAsiaTheme="majorEastAsia" w:cstheme="majorBidi"/>
      <w:b/>
      <w:bCs/>
      <w:sz w:val="36"/>
      <w:szCs w:val="28"/>
    </w:rPr>
  </w:style>
  <w:style w:type="character" w:customStyle="1" w:styleId="Heading2Char">
    <w:name w:val="Heading 2 Char"/>
    <w:basedOn w:val="DefaultParagraphFont"/>
    <w:link w:val="Heading2"/>
    <w:uiPriority w:val="1"/>
    <w:rsid w:val="000028B5"/>
    <w:rPr>
      <w:rFonts w:eastAsiaTheme="majorEastAsia" w:cs="Calibri"/>
      <w:b/>
      <w:bCs/>
      <w:sz w:val="28"/>
      <w:szCs w:val="28"/>
    </w:rPr>
  </w:style>
  <w:style w:type="paragraph" w:styleId="BalloonText">
    <w:name w:val="Balloon Text"/>
    <w:basedOn w:val="Normal"/>
    <w:link w:val="BalloonTextChar"/>
    <w:uiPriority w:val="99"/>
    <w:semiHidden/>
    <w:unhideWhenUsed/>
    <w:rsid w:val="00D40BD4"/>
    <w:rPr>
      <w:rFonts w:ascii="Tahoma" w:hAnsi="Tahoma" w:cs="Tahoma"/>
      <w:sz w:val="16"/>
      <w:szCs w:val="16"/>
    </w:rPr>
  </w:style>
  <w:style w:type="character" w:customStyle="1" w:styleId="BalloonTextChar">
    <w:name w:val="Balloon Text Char"/>
    <w:basedOn w:val="DefaultParagraphFont"/>
    <w:link w:val="BalloonText"/>
    <w:uiPriority w:val="99"/>
    <w:semiHidden/>
    <w:rsid w:val="00D40BD4"/>
    <w:rPr>
      <w:rFonts w:ascii="Tahoma" w:hAnsi="Tahoma" w:cs="Tahoma"/>
      <w:sz w:val="16"/>
      <w:szCs w:val="16"/>
    </w:rPr>
  </w:style>
  <w:style w:type="paragraph" w:styleId="Title">
    <w:name w:val="Title"/>
    <w:basedOn w:val="Normal"/>
    <w:next w:val="Normal"/>
    <w:link w:val="TitleChar"/>
    <w:uiPriority w:val="2"/>
    <w:qFormat/>
    <w:rsid w:val="000E31C7"/>
    <w:pPr>
      <w:spacing w:before="240" w:after="120"/>
      <w:jc w:val="right"/>
    </w:pPr>
    <w:rPr>
      <w:rFonts w:eastAsiaTheme="majorEastAsia" w:cs="Calibri"/>
      <w:b/>
      <w:spacing w:val="5"/>
      <w:kern w:val="28"/>
      <w:sz w:val="56"/>
      <w:szCs w:val="60"/>
    </w:rPr>
  </w:style>
  <w:style w:type="character" w:customStyle="1" w:styleId="TitleChar">
    <w:name w:val="Title Char"/>
    <w:basedOn w:val="DefaultParagraphFont"/>
    <w:link w:val="Title"/>
    <w:uiPriority w:val="2"/>
    <w:rsid w:val="000E31C7"/>
    <w:rPr>
      <w:rFonts w:eastAsiaTheme="majorEastAsia" w:cs="Calibri"/>
      <w:b/>
      <w:spacing w:val="5"/>
      <w:kern w:val="28"/>
      <w:sz w:val="56"/>
      <w:szCs w:val="60"/>
    </w:rPr>
  </w:style>
  <w:style w:type="paragraph" w:styleId="Subtitle">
    <w:name w:val="Subtitle"/>
    <w:basedOn w:val="Normal"/>
    <w:next w:val="Normal"/>
    <w:link w:val="SubtitleChar"/>
    <w:uiPriority w:val="3"/>
    <w:qFormat/>
    <w:rsid w:val="0050547C"/>
    <w:pPr>
      <w:numPr>
        <w:ilvl w:val="1"/>
      </w:numPr>
      <w:spacing w:before="120"/>
      <w:jc w:val="right"/>
    </w:pPr>
    <w:rPr>
      <w:rFonts w:eastAsiaTheme="majorEastAsia" w:cs="Calibri"/>
      <w:b/>
      <w:iCs/>
      <w:color w:val="000000" w:themeColor="text1"/>
      <w:spacing w:val="15"/>
      <w:sz w:val="36"/>
      <w:szCs w:val="36"/>
    </w:rPr>
  </w:style>
  <w:style w:type="character" w:customStyle="1" w:styleId="SubtitleChar">
    <w:name w:val="Subtitle Char"/>
    <w:basedOn w:val="DefaultParagraphFont"/>
    <w:link w:val="Subtitle"/>
    <w:uiPriority w:val="3"/>
    <w:rsid w:val="00E246CB"/>
    <w:rPr>
      <w:rFonts w:eastAsiaTheme="majorEastAsia" w:cs="Calibri"/>
      <w:b/>
      <w:iCs/>
      <w:color w:val="000000" w:themeColor="text1"/>
      <w:spacing w:val="15"/>
      <w:sz w:val="36"/>
      <w:szCs w:val="36"/>
    </w:rPr>
  </w:style>
  <w:style w:type="paragraph" w:styleId="Header">
    <w:name w:val="header"/>
    <w:basedOn w:val="Normal"/>
    <w:link w:val="HeaderChar"/>
    <w:uiPriority w:val="99"/>
    <w:unhideWhenUsed/>
    <w:rsid w:val="00E91BCC"/>
    <w:pPr>
      <w:pBdr>
        <w:bottom w:val="single" w:sz="4" w:space="1" w:color="A6A6A6" w:themeColor="background1" w:themeShade="A6"/>
      </w:pBdr>
      <w:tabs>
        <w:tab w:val="center" w:pos="4513"/>
        <w:tab w:val="right" w:pos="9026"/>
      </w:tabs>
      <w:spacing w:after="0"/>
      <w:jc w:val="right"/>
    </w:pPr>
    <w:rPr>
      <w:sz w:val="22"/>
      <w:szCs w:val="22"/>
    </w:rPr>
  </w:style>
  <w:style w:type="character" w:customStyle="1" w:styleId="HeaderChar">
    <w:name w:val="Header Char"/>
    <w:basedOn w:val="DefaultParagraphFont"/>
    <w:link w:val="Header"/>
    <w:uiPriority w:val="99"/>
    <w:rsid w:val="00E91BCC"/>
    <w:rPr>
      <w:sz w:val="22"/>
      <w:szCs w:val="22"/>
    </w:rPr>
  </w:style>
  <w:style w:type="paragraph" w:styleId="Footer">
    <w:name w:val="footer"/>
    <w:basedOn w:val="Normal"/>
    <w:link w:val="FooterChar"/>
    <w:uiPriority w:val="99"/>
    <w:unhideWhenUsed/>
    <w:rsid w:val="001E4C39"/>
    <w:pPr>
      <w:tabs>
        <w:tab w:val="center" w:pos="4513"/>
        <w:tab w:val="right" w:pos="9026"/>
      </w:tabs>
      <w:spacing w:after="0"/>
    </w:pPr>
    <w:rPr>
      <w:b/>
      <w:color w:val="7F7F7F" w:themeColor="text1" w:themeTint="80"/>
      <w:szCs w:val="22"/>
    </w:rPr>
  </w:style>
  <w:style w:type="character" w:customStyle="1" w:styleId="FooterChar">
    <w:name w:val="Footer Char"/>
    <w:basedOn w:val="DefaultParagraphFont"/>
    <w:link w:val="Footer"/>
    <w:uiPriority w:val="99"/>
    <w:rsid w:val="001E4C39"/>
    <w:rPr>
      <w:b/>
      <w:color w:val="7F7F7F" w:themeColor="text1" w:themeTint="80"/>
      <w:sz w:val="22"/>
      <w:szCs w:val="22"/>
    </w:rPr>
  </w:style>
  <w:style w:type="character" w:customStyle="1" w:styleId="Heading3Char">
    <w:name w:val="Heading 3 Char"/>
    <w:basedOn w:val="DefaultParagraphFont"/>
    <w:link w:val="Heading3"/>
    <w:uiPriority w:val="1"/>
    <w:rsid w:val="000E31C7"/>
    <w:rPr>
      <w:rFonts w:eastAsiaTheme="majorEastAsia" w:cstheme="majorBidi"/>
      <w:b/>
      <w:bCs/>
      <w:i/>
      <w:sz w:val="24"/>
    </w:rPr>
  </w:style>
  <w:style w:type="character" w:customStyle="1" w:styleId="Heading4Char">
    <w:name w:val="Heading 4 Char"/>
    <w:basedOn w:val="DefaultParagraphFont"/>
    <w:link w:val="Heading4"/>
    <w:uiPriority w:val="1"/>
    <w:rsid w:val="00FE3189"/>
    <w:rPr>
      <w:rFonts w:eastAsiaTheme="majorEastAsia" w:cstheme="majorBidi"/>
      <w:bCs/>
      <w:i/>
      <w:iCs/>
      <w:sz w:val="24"/>
    </w:rPr>
  </w:style>
  <w:style w:type="paragraph" w:styleId="Quote">
    <w:name w:val="Quote"/>
    <w:basedOn w:val="Normal"/>
    <w:next w:val="Normal"/>
    <w:link w:val="QuoteChar"/>
    <w:uiPriority w:val="1"/>
    <w:qFormat/>
    <w:rsid w:val="000028B5"/>
    <w:pPr>
      <w:ind w:left="709"/>
    </w:pPr>
    <w:rPr>
      <w:sz w:val="22"/>
    </w:rPr>
  </w:style>
  <w:style w:type="character" w:customStyle="1" w:styleId="QuoteChar">
    <w:name w:val="Quote Char"/>
    <w:basedOn w:val="DefaultParagraphFont"/>
    <w:link w:val="Quote"/>
    <w:uiPriority w:val="1"/>
    <w:rsid w:val="000028B5"/>
    <w:rPr>
      <w:sz w:val="22"/>
    </w:rPr>
  </w:style>
  <w:style w:type="paragraph" w:styleId="ListParagraph">
    <w:name w:val="List Paragraph"/>
    <w:basedOn w:val="Normal"/>
    <w:uiPriority w:val="34"/>
    <w:qFormat/>
    <w:rsid w:val="009702CD"/>
    <w:pPr>
      <w:numPr>
        <w:numId w:val="1"/>
      </w:numPr>
      <w:spacing w:before="120" w:after="120"/>
      <w:ind w:hanging="578"/>
    </w:pPr>
  </w:style>
  <w:style w:type="paragraph" w:styleId="NormalWeb">
    <w:name w:val="Normal (Web)"/>
    <w:basedOn w:val="Normal"/>
    <w:uiPriority w:val="99"/>
    <w:semiHidden/>
    <w:unhideWhenUsed/>
    <w:rsid w:val="009702CD"/>
    <w:pPr>
      <w:spacing w:before="100" w:beforeAutospacing="1" w:after="100" w:afterAutospacing="1"/>
    </w:pPr>
    <w:rPr>
      <w:rFonts w:ascii="Times New Roman" w:eastAsia="Times New Roman" w:hAnsi="Times New Roman"/>
      <w:szCs w:val="24"/>
      <w:lang w:eastAsia="en-AU"/>
    </w:rPr>
  </w:style>
  <w:style w:type="character" w:styleId="Strong">
    <w:name w:val="Strong"/>
    <w:basedOn w:val="DefaultParagraphFont"/>
    <w:uiPriority w:val="22"/>
    <w:unhideWhenUsed/>
    <w:qFormat/>
    <w:rsid w:val="009702CD"/>
    <w:rPr>
      <w:b/>
      <w:bCs/>
    </w:rPr>
  </w:style>
  <w:style w:type="character" w:styleId="Hyperlink">
    <w:name w:val="Hyperlink"/>
    <w:basedOn w:val="DefaultParagraphFont"/>
    <w:unhideWhenUsed/>
    <w:rsid w:val="009702CD"/>
    <w:rPr>
      <w:color w:val="0000FF"/>
      <w:u w:val="single"/>
    </w:rPr>
  </w:style>
  <w:style w:type="paragraph" w:styleId="FootnoteText">
    <w:name w:val="footnote text"/>
    <w:basedOn w:val="Normal"/>
    <w:link w:val="FootnoteTextChar"/>
    <w:rsid w:val="00035604"/>
    <w:pPr>
      <w:tabs>
        <w:tab w:val="left" w:pos="357"/>
      </w:tabs>
      <w:spacing w:after="0"/>
      <w:ind w:left="357" w:hanging="357"/>
    </w:pPr>
    <w:rPr>
      <w:sz w:val="20"/>
    </w:rPr>
  </w:style>
  <w:style w:type="character" w:customStyle="1" w:styleId="FootnoteTextChar">
    <w:name w:val="Footnote Text Char"/>
    <w:basedOn w:val="DefaultParagraphFont"/>
    <w:link w:val="FootnoteText"/>
    <w:uiPriority w:val="99"/>
    <w:rsid w:val="00035604"/>
  </w:style>
  <w:style w:type="character" w:styleId="FootnoteReference">
    <w:name w:val="footnote reference"/>
    <w:aliases w:val="opcalrc"/>
    <w:basedOn w:val="DefaultParagraphFont"/>
    <w:unhideWhenUsed/>
    <w:rsid w:val="00035604"/>
    <w:rPr>
      <w:vertAlign w:val="superscript"/>
    </w:rPr>
  </w:style>
  <w:style w:type="paragraph" w:customStyle="1" w:styleId="Instructiontext">
    <w:name w:val="Instruction text"/>
    <w:basedOn w:val="Normal"/>
    <w:next w:val="Normal"/>
    <w:uiPriority w:val="4"/>
    <w:qFormat/>
    <w:rsid w:val="00546A48"/>
    <w:pPr>
      <w:spacing w:after="180"/>
    </w:pPr>
    <w:rPr>
      <w:i/>
      <w:color w:val="0070C0"/>
    </w:rPr>
  </w:style>
  <w:style w:type="character" w:customStyle="1" w:styleId="Heading5Char">
    <w:name w:val="Heading 5 Char"/>
    <w:basedOn w:val="DefaultParagraphFont"/>
    <w:link w:val="Heading5"/>
    <w:uiPriority w:val="2"/>
    <w:rsid w:val="00E246CB"/>
    <w:rPr>
      <w:rFonts w:eastAsiaTheme="majorEastAsia" w:cstheme="majorBidi"/>
      <w:b/>
      <w:sz w:val="22"/>
    </w:rPr>
  </w:style>
  <w:style w:type="paragraph" w:styleId="TOC1">
    <w:name w:val="toc 1"/>
    <w:basedOn w:val="Normal"/>
    <w:next w:val="Normal"/>
    <w:autoRedefine/>
    <w:uiPriority w:val="39"/>
    <w:unhideWhenUsed/>
    <w:rsid w:val="00861D9C"/>
    <w:pPr>
      <w:spacing w:before="120" w:after="120"/>
    </w:pPr>
    <w:rPr>
      <w:b/>
      <w:sz w:val="26"/>
    </w:rPr>
  </w:style>
  <w:style w:type="paragraph" w:styleId="TOC2">
    <w:name w:val="toc 2"/>
    <w:basedOn w:val="Normal"/>
    <w:next w:val="Normal"/>
    <w:autoRedefine/>
    <w:uiPriority w:val="39"/>
    <w:unhideWhenUsed/>
    <w:rsid w:val="00426C2B"/>
    <w:pPr>
      <w:tabs>
        <w:tab w:val="right" w:leader="dot" w:pos="8756"/>
      </w:tabs>
      <w:spacing w:after="120"/>
    </w:pPr>
  </w:style>
  <w:style w:type="paragraph" w:styleId="TOC3">
    <w:name w:val="toc 3"/>
    <w:basedOn w:val="Normal"/>
    <w:next w:val="Normal"/>
    <w:autoRedefine/>
    <w:uiPriority w:val="39"/>
    <w:unhideWhenUsed/>
    <w:rsid w:val="00426C2B"/>
    <w:pPr>
      <w:tabs>
        <w:tab w:val="right" w:leader="dot" w:pos="8756"/>
      </w:tabs>
      <w:spacing w:after="60"/>
      <w:ind w:left="170"/>
    </w:pPr>
  </w:style>
  <w:style w:type="character" w:styleId="FollowedHyperlink">
    <w:name w:val="FollowedHyperlink"/>
    <w:basedOn w:val="DefaultParagraphFont"/>
    <w:uiPriority w:val="99"/>
    <w:semiHidden/>
    <w:unhideWhenUsed/>
    <w:rsid w:val="00D607FB"/>
    <w:rPr>
      <w:color w:val="800080" w:themeColor="followedHyperlink"/>
      <w:u w:val="single"/>
    </w:rPr>
  </w:style>
  <w:style w:type="character" w:styleId="HTMLCite">
    <w:name w:val="HTML Cite"/>
    <w:basedOn w:val="DefaultParagraphFont"/>
    <w:uiPriority w:val="99"/>
    <w:semiHidden/>
    <w:unhideWhenUsed/>
    <w:rsid w:val="00B90BEB"/>
    <w:rPr>
      <w:i/>
      <w:iCs/>
    </w:rPr>
  </w:style>
  <w:style w:type="paragraph" w:customStyle="1" w:styleId="OPClevel3">
    <w:name w:val="OPC level 3"/>
    <w:basedOn w:val="Heading4"/>
    <w:autoRedefine/>
    <w:pPr>
      <w:spacing w:before="240"/>
    </w:pPr>
    <w:rPr>
      <w:rFonts w:ascii="Century Gothic" w:eastAsia="Times New Roman" w:hAnsi="Century Gothic" w:cs="Times New Roman"/>
      <w:b/>
      <w:i w:val="0"/>
      <w:iCs w:val="0"/>
      <w:sz w:val="28"/>
      <w:szCs w:val="24"/>
      <w:lang w:eastAsia="en-AU"/>
    </w:rPr>
  </w:style>
  <w:style w:type="paragraph" w:customStyle="1" w:styleId="OPClevel1">
    <w:name w:val="OPC level 1"/>
    <w:basedOn w:val="Heading2"/>
    <w:autoRedefine/>
    <w:pPr>
      <w:spacing w:after="120"/>
      <w:ind w:left="720" w:hanging="720"/>
    </w:pPr>
    <w:rPr>
      <w:rFonts w:ascii="Century Gothic" w:eastAsia="Times New Roman" w:hAnsi="Century Gothic" w:cs="Arial"/>
      <w:iCs/>
      <w:lang w:eastAsia="en-AU"/>
    </w:rPr>
  </w:style>
  <w:style w:type="paragraph" w:customStyle="1" w:styleId="OPCbodyCharCharChar">
    <w:name w:val="OPC body Char Char Char"/>
    <w:link w:val="OPCbodyCharCharCharChar"/>
    <w:pPr>
      <w:spacing w:before="120" w:after="120"/>
    </w:pPr>
    <w:rPr>
      <w:rFonts w:ascii="Arial" w:eastAsia="Times New Roman" w:hAnsi="Arial"/>
      <w:sz w:val="24"/>
      <w:szCs w:val="24"/>
      <w:lang w:eastAsia="en-AU"/>
    </w:rPr>
  </w:style>
  <w:style w:type="character" w:customStyle="1" w:styleId="OPCbodyCharCharCharChar">
    <w:name w:val="OPC body Char Char Char Char"/>
    <w:link w:val="OPCbodyCharCharChar"/>
    <w:rPr>
      <w:rFonts w:ascii="Arial" w:eastAsia="Times New Roman" w:hAnsi="Arial"/>
      <w:sz w:val="24"/>
      <w:szCs w:val="24"/>
      <w:lang w:eastAsia="en-AU"/>
    </w:rPr>
  </w:style>
  <w:style w:type="paragraph" w:styleId="BodyTextIndent3">
    <w:name w:val="Body Text Indent 3"/>
    <w:basedOn w:val="Normal"/>
    <w:link w:val="BodyTextIndent3Char"/>
    <w:pPr>
      <w:tabs>
        <w:tab w:val="left" w:pos="0"/>
      </w:tabs>
      <w:spacing w:after="120"/>
      <w:ind w:left="720" w:hanging="720"/>
    </w:pPr>
    <w:rPr>
      <w:rFonts w:ascii="Times New Roman" w:eastAsia="Times New Roman" w:hAnsi="Times New Roman"/>
      <w:szCs w:val="24"/>
      <w:lang w:val="en-GB" w:eastAsia="en-AU"/>
    </w:rPr>
  </w:style>
  <w:style w:type="character" w:customStyle="1" w:styleId="BodyTextIndent3Char">
    <w:name w:val="Body Text Indent 3 Char"/>
    <w:basedOn w:val="DefaultParagraphFont"/>
    <w:link w:val="BodyTextIndent3"/>
    <w:rPr>
      <w:rFonts w:ascii="Times New Roman" w:eastAsia="Times New Roman" w:hAnsi="Times New Roman"/>
      <w:sz w:val="24"/>
      <w:szCs w:val="24"/>
      <w:lang w:val="en-GB" w:eastAsia="en-AU"/>
    </w:rPr>
  </w:style>
  <w:style w:type="character" w:customStyle="1" w:styleId="OFPCBody">
    <w:name w:val="OFPC Body"/>
    <w:rPr>
      <w:rFonts w:ascii="Arial Narrow" w:hAnsi="Arial Narrow"/>
      <w:sz w:val="22"/>
    </w:rPr>
  </w:style>
  <w:style w:type="numbering" w:styleId="111111">
    <w:name w:val="Outline List 2"/>
    <w:basedOn w:val="NoList"/>
    <w:pPr>
      <w:numPr>
        <w:numId w:val="10"/>
      </w:numPr>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71265">
      <w:bodyDiv w:val="1"/>
      <w:marLeft w:val="0"/>
      <w:marRight w:val="0"/>
      <w:marTop w:val="0"/>
      <w:marBottom w:val="0"/>
      <w:divBdr>
        <w:top w:val="none" w:sz="0" w:space="0" w:color="auto"/>
        <w:left w:val="none" w:sz="0" w:space="0" w:color="auto"/>
        <w:bottom w:val="none" w:sz="0" w:space="0" w:color="auto"/>
        <w:right w:val="none" w:sz="0" w:space="0" w:color="auto"/>
      </w:divBdr>
      <w:divsChild>
        <w:div w:id="5446751">
          <w:marLeft w:val="0"/>
          <w:marRight w:val="0"/>
          <w:marTop w:val="0"/>
          <w:marBottom w:val="0"/>
          <w:divBdr>
            <w:top w:val="none" w:sz="0" w:space="0" w:color="auto"/>
            <w:left w:val="none" w:sz="0" w:space="0" w:color="auto"/>
            <w:bottom w:val="none" w:sz="0" w:space="0" w:color="auto"/>
            <w:right w:val="none" w:sz="0" w:space="0" w:color="auto"/>
          </w:divBdr>
          <w:divsChild>
            <w:div w:id="1557862185">
              <w:marLeft w:val="0"/>
              <w:marRight w:val="0"/>
              <w:marTop w:val="0"/>
              <w:marBottom w:val="0"/>
              <w:divBdr>
                <w:top w:val="none" w:sz="0" w:space="0" w:color="auto"/>
                <w:left w:val="none" w:sz="0" w:space="0" w:color="auto"/>
                <w:bottom w:val="none" w:sz="0" w:space="0" w:color="auto"/>
                <w:right w:val="none" w:sz="0" w:space="0" w:color="auto"/>
              </w:divBdr>
              <w:divsChild>
                <w:div w:id="579216235">
                  <w:marLeft w:val="0"/>
                  <w:marRight w:val="0"/>
                  <w:marTop w:val="0"/>
                  <w:marBottom w:val="0"/>
                  <w:divBdr>
                    <w:top w:val="none" w:sz="0" w:space="0" w:color="auto"/>
                    <w:left w:val="none" w:sz="0" w:space="0" w:color="auto"/>
                    <w:bottom w:val="none" w:sz="0" w:space="0" w:color="auto"/>
                    <w:right w:val="none" w:sz="0" w:space="0" w:color="auto"/>
                  </w:divBdr>
                  <w:divsChild>
                    <w:div w:id="1854107867">
                      <w:marLeft w:val="0"/>
                      <w:marRight w:val="0"/>
                      <w:marTop w:val="0"/>
                      <w:marBottom w:val="0"/>
                      <w:divBdr>
                        <w:top w:val="none" w:sz="0" w:space="0" w:color="auto"/>
                        <w:left w:val="none" w:sz="0" w:space="0" w:color="auto"/>
                        <w:bottom w:val="none" w:sz="0" w:space="0" w:color="auto"/>
                        <w:right w:val="none" w:sz="0" w:space="0" w:color="auto"/>
                      </w:divBdr>
                      <w:divsChild>
                        <w:div w:id="987515745">
                          <w:marLeft w:val="0"/>
                          <w:marRight w:val="0"/>
                          <w:marTop w:val="0"/>
                          <w:marBottom w:val="0"/>
                          <w:divBdr>
                            <w:top w:val="single" w:sz="6" w:space="0" w:color="828282"/>
                            <w:left w:val="single" w:sz="6" w:space="0" w:color="828282"/>
                            <w:bottom w:val="single" w:sz="6" w:space="0" w:color="828282"/>
                            <w:right w:val="single" w:sz="6" w:space="0" w:color="828282"/>
                          </w:divBdr>
                          <w:divsChild>
                            <w:div w:id="171994731">
                              <w:marLeft w:val="0"/>
                              <w:marRight w:val="0"/>
                              <w:marTop w:val="0"/>
                              <w:marBottom w:val="0"/>
                              <w:divBdr>
                                <w:top w:val="none" w:sz="0" w:space="0" w:color="auto"/>
                                <w:left w:val="none" w:sz="0" w:space="0" w:color="auto"/>
                                <w:bottom w:val="none" w:sz="0" w:space="0" w:color="auto"/>
                                <w:right w:val="none" w:sz="0" w:space="0" w:color="auto"/>
                              </w:divBdr>
                              <w:divsChild>
                                <w:div w:id="1222517996">
                                  <w:marLeft w:val="0"/>
                                  <w:marRight w:val="0"/>
                                  <w:marTop w:val="0"/>
                                  <w:marBottom w:val="0"/>
                                  <w:divBdr>
                                    <w:top w:val="none" w:sz="0" w:space="0" w:color="auto"/>
                                    <w:left w:val="none" w:sz="0" w:space="0" w:color="auto"/>
                                    <w:bottom w:val="none" w:sz="0" w:space="0" w:color="auto"/>
                                    <w:right w:val="none" w:sz="0" w:space="0" w:color="auto"/>
                                  </w:divBdr>
                                  <w:divsChild>
                                    <w:div w:id="1531410226">
                                      <w:marLeft w:val="0"/>
                                      <w:marRight w:val="0"/>
                                      <w:marTop w:val="0"/>
                                      <w:marBottom w:val="0"/>
                                      <w:divBdr>
                                        <w:top w:val="none" w:sz="0" w:space="0" w:color="auto"/>
                                        <w:left w:val="none" w:sz="0" w:space="0" w:color="auto"/>
                                        <w:bottom w:val="none" w:sz="0" w:space="0" w:color="auto"/>
                                        <w:right w:val="none" w:sz="0" w:space="0" w:color="auto"/>
                                      </w:divBdr>
                                      <w:divsChild>
                                        <w:div w:id="1030305521">
                                          <w:marLeft w:val="0"/>
                                          <w:marRight w:val="0"/>
                                          <w:marTop w:val="0"/>
                                          <w:marBottom w:val="0"/>
                                          <w:divBdr>
                                            <w:top w:val="none" w:sz="0" w:space="0" w:color="auto"/>
                                            <w:left w:val="none" w:sz="0" w:space="0" w:color="auto"/>
                                            <w:bottom w:val="none" w:sz="0" w:space="0" w:color="auto"/>
                                            <w:right w:val="none" w:sz="0" w:space="0" w:color="auto"/>
                                          </w:divBdr>
                                          <w:divsChild>
                                            <w:div w:id="777873520">
                                              <w:marLeft w:val="0"/>
                                              <w:marRight w:val="0"/>
                                              <w:marTop w:val="0"/>
                                              <w:marBottom w:val="0"/>
                                              <w:divBdr>
                                                <w:top w:val="none" w:sz="0" w:space="0" w:color="auto"/>
                                                <w:left w:val="none" w:sz="0" w:space="0" w:color="auto"/>
                                                <w:bottom w:val="none" w:sz="0" w:space="0" w:color="auto"/>
                                                <w:right w:val="none" w:sz="0" w:space="0" w:color="auto"/>
                                              </w:divBdr>
                                              <w:divsChild>
                                                <w:div w:id="5513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063707">
      <w:bodyDiv w:val="1"/>
      <w:marLeft w:val="0"/>
      <w:marRight w:val="0"/>
      <w:marTop w:val="0"/>
      <w:marBottom w:val="0"/>
      <w:divBdr>
        <w:top w:val="none" w:sz="0" w:space="0" w:color="auto"/>
        <w:left w:val="none" w:sz="0" w:space="0" w:color="auto"/>
        <w:bottom w:val="none" w:sz="0" w:space="0" w:color="auto"/>
        <w:right w:val="none" w:sz="0" w:space="0" w:color="auto"/>
      </w:divBdr>
    </w:div>
    <w:div w:id="1426463635">
      <w:bodyDiv w:val="1"/>
      <w:marLeft w:val="0"/>
      <w:marRight w:val="0"/>
      <w:marTop w:val="0"/>
      <w:marBottom w:val="0"/>
      <w:divBdr>
        <w:top w:val="none" w:sz="0" w:space="0" w:color="auto"/>
        <w:left w:val="none" w:sz="0" w:space="0" w:color="auto"/>
        <w:bottom w:val="none" w:sz="0" w:space="0" w:color="auto"/>
        <w:right w:val="none" w:sz="0" w:space="0" w:color="auto"/>
      </w:divBdr>
    </w:div>
    <w:div w:id="1458988051">
      <w:bodyDiv w:val="1"/>
      <w:marLeft w:val="0"/>
      <w:marRight w:val="0"/>
      <w:marTop w:val="0"/>
      <w:marBottom w:val="0"/>
      <w:divBdr>
        <w:top w:val="none" w:sz="0" w:space="0" w:color="auto"/>
        <w:left w:val="none" w:sz="0" w:space="0" w:color="auto"/>
        <w:bottom w:val="none" w:sz="0" w:space="0" w:color="auto"/>
        <w:right w:val="none" w:sz="0" w:space="0" w:color="auto"/>
      </w:divBdr>
      <w:divsChild>
        <w:div w:id="611977345">
          <w:marLeft w:val="0"/>
          <w:marRight w:val="0"/>
          <w:marTop w:val="0"/>
          <w:marBottom w:val="0"/>
          <w:divBdr>
            <w:top w:val="none" w:sz="0" w:space="0" w:color="auto"/>
            <w:left w:val="none" w:sz="0" w:space="0" w:color="auto"/>
            <w:bottom w:val="none" w:sz="0" w:space="0" w:color="auto"/>
            <w:right w:val="none" w:sz="0" w:space="0" w:color="auto"/>
          </w:divBdr>
          <w:divsChild>
            <w:div w:id="1895657361">
              <w:marLeft w:val="0"/>
              <w:marRight w:val="0"/>
              <w:marTop w:val="0"/>
              <w:marBottom w:val="0"/>
              <w:divBdr>
                <w:top w:val="none" w:sz="0" w:space="0" w:color="auto"/>
                <w:left w:val="none" w:sz="0" w:space="0" w:color="auto"/>
                <w:bottom w:val="none" w:sz="0" w:space="0" w:color="auto"/>
                <w:right w:val="none" w:sz="0" w:space="0" w:color="auto"/>
              </w:divBdr>
              <w:divsChild>
                <w:div w:id="2018799403">
                  <w:marLeft w:val="0"/>
                  <w:marRight w:val="0"/>
                  <w:marTop w:val="0"/>
                  <w:marBottom w:val="0"/>
                  <w:divBdr>
                    <w:top w:val="none" w:sz="0" w:space="0" w:color="auto"/>
                    <w:left w:val="none" w:sz="0" w:space="0" w:color="auto"/>
                    <w:bottom w:val="none" w:sz="0" w:space="0" w:color="auto"/>
                    <w:right w:val="none" w:sz="0" w:space="0" w:color="auto"/>
                  </w:divBdr>
                  <w:divsChild>
                    <w:div w:id="1206403770">
                      <w:marLeft w:val="0"/>
                      <w:marRight w:val="0"/>
                      <w:marTop w:val="0"/>
                      <w:marBottom w:val="0"/>
                      <w:divBdr>
                        <w:top w:val="none" w:sz="0" w:space="0" w:color="auto"/>
                        <w:left w:val="none" w:sz="0" w:space="0" w:color="auto"/>
                        <w:bottom w:val="none" w:sz="0" w:space="0" w:color="auto"/>
                        <w:right w:val="none" w:sz="0" w:space="0" w:color="auto"/>
                      </w:divBdr>
                      <w:divsChild>
                        <w:div w:id="18016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55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comlaw.gov.au/Details/F2007L04670" TargetMode="Externa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comlaw.gov.au/Details/F2008B0057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oaic.gov.au/publications/papers/consultation_paper_PID_application_dr_steve_hambleton.html"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oaic.gov.au/publications/papers/consultation_paper_PID_application_dr_steve_hambleton.htm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comlaw.gov.au/Details/F2008B0057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comlaw.gov.au/Details/F2007L04669"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omlaw.gov.au/Series/C2004A03712" TargetMode="External"/><Relationship Id="rId2" Type="http://schemas.openxmlformats.org/officeDocument/2006/relationships/hyperlink" Target="http://www.comlaw.gov.au/Series/C2004A03712" TargetMode="External"/><Relationship Id="rId1" Type="http://schemas.openxmlformats.org/officeDocument/2006/relationships/hyperlink" Target="http://www.comlaw.gov.au/Series/C2004A01224" TargetMode="External"/><Relationship Id="rId4" Type="http://schemas.openxmlformats.org/officeDocument/2006/relationships/hyperlink" Target="http://www.comlaw.gov.au/Series/C2010A000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aic.gov.au\fileshare\templates\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olicy Advice" ma:contentTypeID="0x010100CEFB1B121CC9C347B9123EB1C3B09A320500D1C7AC157E16264788F1340C429EF9FE" ma:contentTypeVersion="19" ma:contentTypeDescription="" ma:contentTypeScope="" ma:versionID="97a0ee5051a3bd1100b76c0bc8b126be">
  <xsd:schema xmlns:xsd="http://www.w3.org/2001/XMLSchema" xmlns:xs="http://www.w3.org/2001/XMLSchema" xmlns:p="http://schemas.microsoft.com/office/2006/metadata/properties" xmlns:ns3="5410aa85-11fb-44c5-bd56-c3696582be3d" targetNamespace="http://schemas.microsoft.com/office/2006/metadata/properties" ma:root="true" ma:fieldsID="7d939050b4a573eab7d143630c4cdc79" ns3:_="">
    <xsd:import namespace="5410aa85-11fb-44c5-bd56-c3696582be3d"/>
    <xsd:element name="properties">
      <xsd:complexType>
        <xsd:sequence>
          <xsd:element name="documentManagement">
            <xsd:complexType>
              <xsd:all>
                <xsd:element ref="ns3:Overview" minOccurs="0"/>
                <xsd:element ref="ns3:Policy_x0020_-_x0020_Activity" minOccurs="0"/>
                <xsd:element ref="ns3:Project" minOccurs="0"/>
                <xsd:element ref="ns3:Document_x0020_Type" minOccurs="0"/>
                <xsd:element ref="ns3:Registry_x0020_File_x0020_Number" minOccurs="0"/>
                <xsd:element ref="ns3:Industry_x0020_Sector" minOccurs="0"/>
                <xsd:element ref="ns3:Privacy_x0020_Act_x0020_Provision" minOccurs="0"/>
                <xsd:element ref="ns3:Main_x0020_Topic" minOccurs="0"/>
                <xsd:element ref="ns3:Organis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0aa85-11fb-44c5-bd56-c3696582be3d" elementFormDefault="qualified">
    <xsd:import namespace="http://schemas.microsoft.com/office/2006/documentManagement/types"/>
    <xsd:import namespace="http://schemas.microsoft.com/office/infopath/2007/PartnerControls"/>
    <xsd:element name="Overview" ma:index="3" nillable="true" ma:displayName="Overview" ma:internalName="Overview">
      <xsd:simpleType>
        <xsd:restriction base="dms:Note">
          <xsd:maxLength value="255"/>
        </xsd:restriction>
      </xsd:simpleType>
    </xsd:element>
    <xsd:element name="Policy_x0020_-_x0020_Activity" ma:index="4" nillable="true" ma:displayName="Policy - Activity" ma:default="" ma:format="Dropdown" ma:internalName="Policy_x0020__x002d__x0020_Activity" ma:readOnly="false">
      <xsd:simpleType>
        <xsd:restriction base="dms:Choice">
          <xsd:enumeration value="Examine Enactments"/>
          <xsd:enumeration value="Research"/>
          <xsd:enumeration value="Submissions"/>
          <xsd:enumeration value="Other Statutory Functions"/>
          <xsd:enumeration value="Provide Advice (External)"/>
          <xsd:enumeration value="Provide Advice (Internal)"/>
          <xsd:enumeration value="Guidance material"/>
          <xsd:enumeration value="Speeches and presentations"/>
          <xsd:enumeration value="Stakeholder management"/>
        </xsd:restriction>
      </xsd:simpleType>
    </xsd:element>
    <xsd:element name="Project" ma:index="5" nillable="true" ma:displayName="Project" ma:list="{aa634adc-7b0d-4545-861a-f09a295c427b}" ma:internalName="Project" ma:showField="Display_x0020_Text" ma:web="5410aa85-11fb-44c5-bd56-c3696582be3d">
      <xsd:simpleType>
        <xsd:restriction base="dms:Lookup"/>
      </xsd:simpleType>
    </xsd:element>
    <xsd:element name="Document_x0020_Type" ma:index="6" nillable="true" ma:displayName="Document Type" ma:list="{f7d1a67d-d63e-4e73-9401-d1f896564f6f}" ma:internalName="Document_x0020_Type" ma:showField="Display_x0020_Text" ma:web="5410aa85-11fb-44c5-bd56-c3696582be3d">
      <xsd:simpleType>
        <xsd:restriction base="dms:Lookup"/>
      </xsd:simpleType>
    </xsd:element>
    <xsd:element name="Registry_x0020_File_x0020_Number" ma:index="7" nillable="true" ma:displayName="Registry File Number" ma:internalName="Registry_x0020_File_x0020_Number">
      <xsd:simpleType>
        <xsd:restriction base="dms:Text">
          <xsd:maxLength value="255"/>
        </xsd:restriction>
      </xsd:simpleType>
    </xsd:element>
    <xsd:element name="Industry_x0020_Sector" ma:index="8" nillable="true" ma:displayName="Industry Sector" ma:list="{f4604643-a42f-4b68-ad3c-f6a7b6baef9f}" ma:internalName="Industry_x0020_Sector" ma:showField="Display_x0020_Text" ma:web="5410aa85-11fb-44c5-bd56-c3696582be3d">
      <xsd:simpleType>
        <xsd:restriction base="dms:Lookup"/>
      </xsd:simpleType>
    </xsd:element>
    <xsd:element name="Privacy_x0020_Act_x0020_Provision" ma:index="9" nillable="true" ma:displayName="Privacy Act Provision" ma:list="{da1eb058-36a3-436c-992d-b90116d62af0}" ma:internalName="Privacy_x0020_Act_x0020_Provision" ma:showField="Display_x0020_Text" ma:web="5410aa85-11fb-44c5-bd56-c3696582be3d">
      <xsd:simpleType>
        <xsd:restriction base="dms:Lookup"/>
      </xsd:simpleType>
    </xsd:element>
    <xsd:element name="Main_x0020_Topic" ma:index="10" nillable="true" ma:displayName="Main Topic" ma:list="{c2cccaa3-8fb0-4dbb-84e7-5fd24b3e0db8}" ma:internalName="Main_x0020_Topic" ma:showField="Display_x0020_Text" ma:web="5410aa85-11fb-44c5-bd56-c3696582be3d">
      <xsd:simpleType>
        <xsd:restriction base="dms:Lookup"/>
      </xsd:simpleType>
    </xsd:element>
    <xsd:element name="Organisation" ma:index="11" nillable="true" ma:displayName="Organisation" ma:list="{7e0c43cb-1f8a-4cd8-8df1-0009d37fa749}" ma:internalName="Organisation" ma:showField="Display_x0020_Text" ma:web="5410aa85-11fb-44c5-bd56-c3696582be3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in_x0020_Topic xmlns="5410aa85-11fb-44c5-bd56-c3696582be3d">2</Main_x0020_Topic>
    <Overview xmlns="5410aa85-11fb-44c5-bd56-c3696582be3d">PID 12 and 12A - Explanatory statement</Overview>
    <Policy_x0020_-_x0020_Activity xmlns="5410aa85-11fb-44c5-bd56-c3696582be3d" xsi:nil="true"/>
    <Privacy_x0020_Act_x0020_Provision xmlns="5410aa85-11fb-44c5-bd56-c3696582be3d">329</Privacy_x0020_Act_x0020_Provision>
    <Registry_x0020_File_x0020_Number xmlns="5410aa85-11fb-44c5-bd56-c3696582be3d" xsi:nil="true"/>
    <Document_x0020_Type xmlns="5410aa85-11fb-44c5-bd56-c3696582be3d" xsi:nil="true"/>
    <Industry_x0020_Sector xmlns="5410aa85-11fb-44c5-bd56-c3696582be3d">12</Industry_x0020_Sector>
    <Project xmlns="5410aa85-11fb-44c5-bd56-c3696582be3d" xsi:nil="true"/>
    <Organisation xmlns="5410aa85-11fb-44c5-bd56-c3696582be3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D872B-9A80-4BA0-85E7-83F013549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0aa85-11fb-44c5-bd56-c3696582b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76214F-A96C-46FB-B509-D862B601AF6C}">
  <ds:schemaRefs>
    <ds:schemaRef ds:uri="http://schemas.microsoft.com/sharepoint/v3/contenttype/forms"/>
  </ds:schemaRefs>
</ds:datastoreItem>
</file>

<file path=customXml/itemProps3.xml><?xml version="1.0" encoding="utf-8"?>
<ds:datastoreItem xmlns:ds="http://schemas.openxmlformats.org/officeDocument/2006/customXml" ds:itemID="{1FE0B81B-75E6-475D-BD77-88DA21C2F898}">
  <ds:schemaRef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5410aa85-11fb-44c5-bd56-c3696582be3d"/>
    <ds:schemaRef ds:uri="http://purl.org/dc/dcmitype/"/>
  </ds:schemaRefs>
</ds:datastoreItem>
</file>

<file path=customXml/itemProps4.xml><?xml version="1.0" encoding="utf-8"?>
<ds:datastoreItem xmlns:ds="http://schemas.openxmlformats.org/officeDocument/2006/customXml" ds:itemID="{F2B4662F-CB5C-46D1-BBCC-A7632D27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Submission.dotx</Template>
  <TotalTime>30</TotalTime>
  <Pages>13</Pages>
  <Words>3528</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PID 12 and 12A - Explanatory statement</vt:lpstr>
    </vt:vector>
  </TitlesOfParts>
  <Company>Office of the Australian Information Commissioner</Company>
  <LinksUpToDate>false</LinksUpToDate>
  <CharactersWithSpaces>23591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PID 12 and 12A - Explanatory statement</dc:title>
  <dc:subject>Submission to [name of inquiry and date]</dc:subject>
  <dc:creator>Tim De Sousa</dc:creator>
  <cp:lastModifiedBy>Tim De Sousa</cp:lastModifiedBy>
  <cp:revision>5</cp:revision>
  <cp:lastPrinted>2011-11-28T00:10:00Z</cp:lastPrinted>
  <dcterms:created xsi:type="dcterms:W3CDTF">2011-11-29T00:09:00Z</dcterms:created>
  <dcterms:modified xsi:type="dcterms:W3CDTF">2011-11-29T05:18:00Z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0x010100CEFB1B121CC9C347B9123EB1C3B09A320500D1C7AC157E16264788F1340C429EF9FE</vt:lpwstr>
  </property>
  <property fmtid="{D5CDD505-2E9C-101B-9397-08002B2CF9AE}" pid="3" name="Project1">
    <vt:lpwstr/>
  </property>
  <property fmtid="{D5CDD505-2E9C-101B-9397-08002B2CF9AE}" pid="4" name="Organisation">
    <vt:lpwstr/>
  </property>
  <property fmtid="{D5CDD505-2E9C-101B-9397-08002B2CF9AE}" pid="5" name="Document Type">
    <vt:lpwstr>Statutory Instrument (eg. PID, Credit Determination)</vt:lpwstr>
  </property>
  <property fmtid="{D5CDD505-2E9C-101B-9397-08002B2CF9AE}" pid="6" name="CARMS File Number">
    <vt:lpwstr>P07/89</vt:lpwstr>
  </property>
  <property fmtid="{D5CDD505-2E9C-101B-9397-08002B2CF9AE}" pid="7" name="OFPC Section">
    <vt:lpwstr>Policy HIT Team</vt:lpwstr>
  </property>
  <property fmtid="{D5CDD505-2E9C-101B-9397-08002B2CF9AE}" pid="8" name="Industry Sector">
    <vt:lpwstr/>
  </property>
  <property fmtid="{D5CDD505-2E9C-101B-9397-08002B2CF9AE}" pid="9" name="Policy Advice etc etc">
    <vt:lpwstr>Other Statutory Functions</vt:lpwstr>
  </property>
  <property fmtid="{D5CDD505-2E9C-101B-9397-08002B2CF9AE}" pid="10" name="Legisation">
    <vt:lpwstr>NPP 10.1 collection of sensitive information</vt:lpwstr>
  </property>
  <property fmtid="{D5CDD505-2E9C-101B-9397-08002B2CF9AE}" pid="11" name="OriginalCreatedDate">
    <vt:lpwstr>10/12/2007</vt:lpwstr>
  </property>
</Properties>
</file>