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0C797" w14:textId="56FF024C" w:rsidR="00AD237B" w:rsidRDefault="00AD237B" w:rsidP="00F914C3">
      <w:pPr>
        <w:pStyle w:val="Heading1"/>
        <w:jc w:val="center"/>
        <w:rPr>
          <w:rFonts w:eastAsiaTheme="minorHAnsi"/>
        </w:rPr>
      </w:pPr>
      <w:r w:rsidRPr="00F31B8B">
        <w:rPr>
          <w:noProof/>
          <w:lang w:eastAsia="en-AU"/>
        </w:rPr>
        <w:drawing>
          <wp:anchor distT="0" distB="0" distL="114300" distR="114300" simplePos="0" relativeHeight="251659264" behindDoc="1" locked="0" layoutInCell="1" allowOverlap="1" wp14:anchorId="1008011E" wp14:editId="48A647DC">
            <wp:simplePos x="0" y="0"/>
            <wp:positionH relativeFrom="column">
              <wp:posOffset>-525551</wp:posOffset>
            </wp:positionH>
            <wp:positionV relativeFrom="paragraph">
              <wp:posOffset>-728980</wp:posOffset>
            </wp:positionV>
            <wp:extent cx="3992880" cy="752856"/>
            <wp:effectExtent l="0" t="0" r="0" b="9525"/>
            <wp:wrapNone/>
            <wp:docPr id="1" name="Picture 0" descr="OAIC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C_To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92880" cy="752856"/>
                    </a:xfrm>
                    <a:prstGeom prst="rect">
                      <a:avLst/>
                    </a:prstGeom>
                  </pic:spPr>
                </pic:pic>
              </a:graphicData>
            </a:graphic>
            <wp14:sizeRelH relativeFrom="page">
              <wp14:pctWidth>0</wp14:pctWidth>
            </wp14:sizeRelH>
            <wp14:sizeRelV relativeFrom="page">
              <wp14:pctHeight>0</wp14:pctHeight>
            </wp14:sizeRelV>
          </wp:anchor>
        </w:drawing>
      </w:r>
    </w:p>
    <w:p w14:paraId="4193F4F6" w14:textId="2F174E6B" w:rsidR="00F914C3" w:rsidRPr="001C2872" w:rsidRDefault="00F914C3" w:rsidP="00F914C3">
      <w:pPr>
        <w:pStyle w:val="Heading1"/>
        <w:jc w:val="center"/>
        <w:rPr>
          <w:rFonts w:eastAsiaTheme="minorHAnsi"/>
        </w:rPr>
      </w:pPr>
      <w:r w:rsidRPr="001C2872">
        <w:rPr>
          <w:rFonts w:eastAsiaTheme="minorHAnsi"/>
        </w:rPr>
        <w:t>Public Interest Determination No. 12</w:t>
      </w:r>
      <w:r>
        <w:rPr>
          <w:rFonts w:eastAsiaTheme="minorHAnsi"/>
        </w:rPr>
        <w:t>A</w:t>
      </w:r>
    </w:p>
    <w:p w14:paraId="64294DDE" w14:textId="77777777" w:rsidR="00F914C3" w:rsidRPr="001C2872" w:rsidRDefault="00F914C3" w:rsidP="00F914C3">
      <w:pPr>
        <w:pStyle w:val="Heading2"/>
        <w:jc w:val="center"/>
      </w:pPr>
      <w:r w:rsidRPr="001C2872">
        <w:t>Collection of Family, Social and Medical Histories</w:t>
      </w:r>
    </w:p>
    <w:p w14:paraId="1F9D28F3" w14:textId="2C281C50" w:rsidR="00F914C3" w:rsidRPr="001C2872" w:rsidRDefault="00F914C3" w:rsidP="00F914C3">
      <w:pPr>
        <w:pStyle w:val="Heading3"/>
        <w:jc w:val="center"/>
      </w:pPr>
      <w:r w:rsidRPr="001C2872">
        <w:t>Privacy Act 1988</w:t>
      </w:r>
      <w:r w:rsidRPr="00245CBD">
        <w:t xml:space="preserve"> </w:t>
      </w:r>
      <w:r w:rsidRPr="00EC22CF">
        <w:rPr>
          <w:i w:val="0"/>
        </w:rPr>
        <w:t>(</w:t>
      </w:r>
      <w:proofErr w:type="spellStart"/>
      <w:r w:rsidRPr="00EC22CF">
        <w:rPr>
          <w:i w:val="0"/>
        </w:rPr>
        <w:t>Cth</w:t>
      </w:r>
      <w:proofErr w:type="spellEnd"/>
      <w:r w:rsidRPr="00EC22CF">
        <w:rPr>
          <w:i w:val="0"/>
        </w:rPr>
        <w:t>), Part VI</w:t>
      </w:r>
    </w:p>
    <w:tbl>
      <w:tblPr>
        <w:tblW w:w="0" w:type="auto"/>
        <w:tblLook w:val="04A0" w:firstRow="1" w:lastRow="0" w:firstColumn="1" w:lastColumn="0" w:noHBand="0" w:noVBand="1"/>
      </w:tblPr>
      <w:tblGrid>
        <w:gridCol w:w="8982"/>
      </w:tblGrid>
      <w:tr w:rsidR="00F914C3" w:rsidRPr="001C2872" w14:paraId="6714586F" w14:textId="77777777" w:rsidTr="00AD237B">
        <w:tc>
          <w:tcPr>
            <w:tcW w:w="9242" w:type="dxa"/>
            <w:tcBorders>
              <w:top w:val="single" w:sz="4" w:space="0" w:color="auto"/>
              <w:left w:val="nil"/>
              <w:bottom w:val="single" w:sz="4" w:space="0" w:color="auto"/>
              <w:right w:val="nil"/>
            </w:tcBorders>
          </w:tcPr>
          <w:p w14:paraId="6B38A9F2" w14:textId="3FD4E857" w:rsidR="00F914C3" w:rsidRPr="006D704D" w:rsidRDefault="00F914C3" w:rsidP="00AD237B">
            <w:pPr>
              <w:spacing w:before="120" w:after="120"/>
              <w:rPr>
                <w:rFonts w:cstheme="minorHAnsi"/>
                <w:szCs w:val="24"/>
              </w:rPr>
            </w:pPr>
            <w:r w:rsidRPr="006D704D">
              <w:rPr>
                <w:rStyle w:val="Heading3Char"/>
                <w:i w:val="0"/>
              </w:rPr>
              <w:t>Relevant National Privacy Principle:</w:t>
            </w:r>
            <w:r w:rsidRPr="006D704D">
              <w:rPr>
                <w:rStyle w:val="Heading3Char"/>
                <w:i w:val="0"/>
              </w:rPr>
              <w:tab/>
            </w:r>
            <w:r w:rsidRPr="006D704D">
              <w:rPr>
                <w:rFonts w:cstheme="minorHAnsi"/>
                <w:i/>
                <w:szCs w:val="24"/>
              </w:rPr>
              <w:tab/>
            </w:r>
            <w:r w:rsidRPr="006D704D">
              <w:rPr>
                <w:rFonts w:cstheme="minorHAnsi"/>
                <w:szCs w:val="24"/>
              </w:rPr>
              <w:t>National Privacy Principle 10.1</w:t>
            </w:r>
          </w:p>
          <w:p w14:paraId="77DCA78A" w14:textId="77777777" w:rsidR="00F914C3" w:rsidRPr="001C2872" w:rsidRDefault="00F914C3" w:rsidP="00AD237B">
            <w:pPr>
              <w:spacing w:before="120" w:after="120"/>
              <w:rPr>
                <w:rFonts w:cstheme="minorHAnsi"/>
                <w:b/>
                <w:sz w:val="16"/>
                <w:szCs w:val="16"/>
              </w:rPr>
            </w:pPr>
            <w:r w:rsidRPr="006D704D">
              <w:rPr>
                <w:rStyle w:val="Heading3Char"/>
                <w:i w:val="0"/>
              </w:rPr>
              <w:t>Effective:</w:t>
            </w:r>
            <w:r w:rsidRPr="006D704D">
              <w:rPr>
                <w:rStyle w:val="Heading3Char"/>
                <w:i w:val="0"/>
              </w:rPr>
              <w:tab/>
            </w:r>
            <w:r w:rsidRPr="006D704D">
              <w:rPr>
                <w:rFonts w:cstheme="minorHAnsi"/>
                <w:szCs w:val="24"/>
              </w:rPr>
              <w:tab/>
            </w:r>
            <w:r w:rsidRPr="006D704D">
              <w:rPr>
                <w:rFonts w:cstheme="minorHAnsi"/>
                <w:szCs w:val="24"/>
              </w:rPr>
              <w:tab/>
            </w:r>
            <w:r w:rsidRPr="006D704D">
              <w:rPr>
                <w:rFonts w:cstheme="minorHAnsi"/>
                <w:szCs w:val="24"/>
              </w:rPr>
              <w:tab/>
            </w:r>
            <w:r w:rsidRPr="006D704D">
              <w:rPr>
                <w:rFonts w:cstheme="minorHAnsi"/>
                <w:szCs w:val="24"/>
              </w:rPr>
              <w:tab/>
              <w:t>11 December 2011 to 10 December 2016</w:t>
            </w:r>
          </w:p>
        </w:tc>
      </w:tr>
    </w:tbl>
    <w:p w14:paraId="12918B8B" w14:textId="5A43E0D9" w:rsidR="00F914C3" w:rsidRPr="00F914C3" w:rsidRDefault="00F914C3" w:rsidP="00F914C3">
      <w:pPr>
        <w:pStyle w:val="NormalWeb"/>
        <w:rPr>
          <w:rFonts w:asciiTheme="minorHAnsi" w:hAnsiTheme="minorHAnsi" w:cstheme="minorHAnsi"/>
        </w:rPr>
      </w:pPr>
      <w:r w:rsidRPr="00F914C3">
        <w:rPr>
          <w:rFonts w:asciiTheme="minorHAnsi" w:hAnsiTheme="minorHAnsi" w:cstheme="minorHAnsi"/>
        </w:rPr>
        <w:t xml:space="preserve">Under </w:t>
      </w:r>
      <w:proofErr w:type="gramStart"/>
      <w:r w:rsidRPr="00F914C3">
        <w:rPr>
          <w:rFonts w:asciiTheme="minorHAnsi" w:hAnsiTheme="minorHAnsi" w:cstheme="minorHAnsi"/>
        </w:rPr>
        <w:t>s72(</w:t>
      </w:r>
      <w:proofErr w:type="gramEnd"/>
      <w:r w:rsidRPr="00F914C3">
        <w:rPr>
          <w:rFonts w:asciiTheme="minorHAnsi" w:hAnsiTheme="minorHAnsi" w:cstheme="minorHAnsi"/>
        </w:rPr>
        <w:t xml:space="preserve">4) of the </w:t>
      </w:r>
      <w:r w:rsidRPr="00F914C3">
        <w:rPr>
          <w:rStyle w:val="Emphasis"/>
          <w:rFonts w:asciiTheme="minorHAnsi" w:hAnsiTheme="minorHAnsi" w:cstheme="minorHAnsi"/>
        </w:rPr>
        <w:t xml:space="preserve">Privacy Act 1988 </w:t>
      </w:r>
      <w:r w:rsidRPr="00F914C3">
        <w:rPr>
          <w:rFonts w:asciiTheme="minorHAnsi" w:hAnsiTheme="minorHAnsi" w:cstheme="minorHAnsi"/>
        </w:rPr>
        <w:t>(</w:t>
      </w:r>
      <w:proofErr w:type="spellStart"/>
      <w:r w:rsidRPr="00F914C3">
        <w:rPr>
          <w:rFonts w:asciiTheme="minorHAnsi" w:hAnsiTheme="minorHAnsi" w:cstheme="minorHAnsi"/>
        </w:rPr>
        <w:t>Cth</w:t>
      </w:r>
      <w:proofErr w:type="spellEnd"/>
      <w:r w:rsidRPr="00F914C3">
        <w:rPr>
          <w:rFonts w:asciiTheme="minorHAnsi" w:hAnsiTheme="minorHAnsi" w:cstheme="minorHAnsi"/>
        </w:rPr>
        <w:t>) (Privacy Act)</w:t>
      </w:r>
      <w:r>
        <w:rPr>
          <w:rFonts w:asciiTheme="minorHAnsi" w:hAnsiTheme="minorHAnsi" w:cstheme="minorHAnsi"/>
        </w:rPr>
        <w:t>,</w:t>
      </w:r>
      <w:r w:rsidRPr="00F914C3">
        <w:rPr>
          <w:rFonts w:asciiTheme="minorHAnsi" w:hAnsiTheme="minorHAnsi" w:cstheme="minorHAnsi"/>
        </w:rPr>
        <w:t xml:space="preserve"> I, Timothy Pilgrim, Australian Privacy Commissioner, determine that</w:t>
      </w:r>
      <w:r>
        <w:rPr>
          <w:rFonts w:asciiTheme="minorHAnsi" w:hAnsiTheme="minorHAnsi" w:cstheme="minorHAnsi"/>
        </w:rPr>
        <w:t xml:space="preserve"> n</w:t>
      </w:r>
      <w:r w:rsidRPr="00F914C3">
        <w:rPr>
          <w:rFonts w:asciiTheme="minorHAnsi" w:hAnsiTheme="minorHAnsi" w:cstheme="minorHAnsi"/>
        </w:rPr>
        <w:t>o organisation providing a health service is taken to contravene s16A of the Privacy Act if, while Public Interest Determination No.</w:t>
      </w:r>
      <w:r w:rsidR="000B2082">
        <w:rPr>
          <w:rFonts w:asciiTheme="minorHAnsi" w:hAnsiTheme="minorHAnsi" w:cstheme="minorHAnsi"/>
        </w:rPr>
        <w:t xml:space="preserve"> </w:t>
      </w:r>
      <w:r>
        <w:rPr>
          <w:rFonts w:asciiTheme="minorHAnsi" w:hAnsiTheme="minorHAnsi" w:cstheme="minorHAnsi"/>
        </w:rPr>
        <w:t>12</w:t>
      </w:r>
      <w:r w:rsidRPr="00F914C3">
        <w:rPr>
          <w:rFonts w:asciiTheme="minorHAnsi" w:hAnsiTheme="minorHAnsi" w:cstheme="minorHAnsi"/>
        </w:rPr>
        <w:t xml:space="preserve"> is in force, the organisation does an act, or engages in a practice, that is the subject of Public Interest Determination No. </w:t>
      </w:r>
      <w:r>
        <w:rPr>
          <w:rFonts w:asciiTheme="minorHAnsi" w:hAnsiTheme="minorHAnsi" w:cstheme="minorHAnsi"/>
        </w:rPr>
        <w:t>12</w:t>
      </w:r>
      <w:r w:rsidRPr="00F914C3">
        <w:rPr>
          <w:rFonts w:asciiTheme="minorHAnsi" w:hAnsiTheme="minorHAnsi" w:cstheme="minorHAnsi"/>
        </w:rPr>
        <w:t xml:space="preserve">. </w:t>
      </w:r>
    </w:p>
    <w:p w14:paraId="74A31894" w14:textId="4146F578" w:rsidR="00F914C3" w:rsidRDefault="00F914C3" w:rsidP="00F914C3">
      <w:r>
        <w:t>Public Interest Determination No</w:t>
      </w:r>
      <w:r w:rsidR="000B2082">
        <w:t>.</w:t>
      </w:r>
      <w:r>
        <w:t xml:space="preserve"> 12 is attached.</w:t>
      </w:r>
    </w:p>
    <w:p w14:paraId="2FF2D1BD" w14:textId="77777777" w:rsidR="00F914C3" w:rsidRPr="003F7496" w:rsidRDefault="00F914C3" w:rsidP="003F7496"/>
    <w:p w14:paraId="11650FC3" w14:textId="77777777" w:rsidR="00F914C3" w:rsidRPr="003F7496" w:rsidRDefault="00F914C3" w:rsidP="003F7496"/>
    <w:p w14:paraId="6D1A65FB" w14:textId="77777777" w:rsidR="00F914C3" w:rsidRPr="003F7496" w:rsidRDefault="00F914C3" w:rsidP="003F7496"/>
    <w:p w14:paraId="329A0F4B" w14:textId="77777777" w:rsidR="003F7496" w:rsidRPr="001C2872" w:rsidRDefault="003F7496" w:rsidP="003F7496">
      <w:pPr>
        <w:spacing w:before="60" w:after="60"/>
        <w:rPr>
          <w:rFonts w:cstheme="minorHAnsi"/>
          <w:szCs w:val="24"/>
        </w:rPr>
      </w:pPr>
      <w:r w:rsidRPr="006D704D">
        <w:rPr>
          <w:rFonts w:cstheme="minorHAnsi"/>
          <w:b/>
          <w:szCs w:val="24"/>
        </w:rPr>
        <w:t>Timothy Pilgrim</w:t>
      </w:r>
      <w:r w:rsidRPr="00245CBD">
        <w:rPr>
          <w:rFonts w:cstheme="minorHAnsi"/>
          <w:szCs w:val="24"/>
        </w:rPr>
        <w:br/>
      </w:r>
      <w:r w:rsidRPr="001C2872">
        <w:rPr>
          <w:rFonts w:cstheme="minorHAnsi"/>
          <w:szCs w:val="24"/>
        </w:rPr>
        <w:t>Australian Privacy Commissioner</w:t>
      </w:r>
    </w:p>
    <w:p w14:paraId="5EA67A04" w14:textId="79DFF193" w:rsidR="00F914C3" w:rsidRDefault="003F7496" w:rsidP="003F7496">
      <w:r>
        <w:t>29</w:t>
      </w:r>
      <w:r w:rsidRPr="001C2872">
        <w:t xml:space="preserve"> </w:t>
      </w:r>
      <w:r w:rsidR="000D60E3">
        <w:t>November</w:t>
      </w:r>
      <w:r w:rsidRPr="001C2872">
        <w:t xml:space="preserve"> 2011</w:t>
      </w:r>
    </w:p>
    <w:p w14:paraId="6AA7C741" w14:textId="77777777" w:rsidR="00F914C3" w:rsidRDefault="00F914C3" w:rsidP="006D704D">
      <w:pPr>
        <w:pStyle w:val="Heading1"/>
        <w:jc w:val="center"/>
        <w:rPr>
          <w:rFonts w:eastAsiaTheme="minorHAnsi"/>
        </w:rPr>
        <w:sectPr w:rsidR="00F914C3" w:rsidSect="006D704D">
          <w:headerReference w:type="default" r:id="rId17"/>
          <w:headerReference w:type="first" r:id="rId18"/>
          <w:footerReference w:type="first" r:id="rId19"/>
          <w:pgSz w:w="11906" w:h="16838"/>
          <w:pgMar w:top="1440" w:right="1700" w:bottom="709" w:left="1440" w:header="708" w:footer="708" w:gutter="0"/>
          <w:cols w:space="708"/>
          <w:titlePg/>
          <w:docGrid w:linePitch="360"/>
        </w:sectPr>
      </w:pPr>
    </w:p>
    <w:p w14:paraId="5D663912" w14:textId="24B7E8A9" w:rsidR="00C30979" w:rsidRPr="001C2872" w:rsidRDefault="000D60E3" w:rsidP="00C30979">
      <w:pPr>
        <w:pStyle w:val="Heading1"/>
        <w:jc w:val="center"/>
        <w:rPr>
          <w:rFonts w:eastAsiaTheme="minorHAnsi"/>
        </w:rPr>
      </w:pPr>
      <w:r w:rsidRPr="00F31B8B">
        <w:rPr>
          <w:noProof/>
          <w:lang w:eastAsia="en-AU"/>
        </w:rPr>
        <w:lastRenderedPageBreak/>
        <w:drawing>
          <wp:anchor distT="0" distB="0" distL="114300" distR="114300" simplePos="0" relativeHeight="251661312" behindDoc="1" locked="0" layoutInCell="1" allowOverlap="1" wp14:anchorId="3E655098" wp14:editId="332B6530">
            <wp:simplePos x="0" y="0"/>
            <wp:positionH relativeFrom="column">
              <wp:posOffset>-519227</wp:posOffset>
            </wp:positionH>
            <wp:positionV relativeFrom="paragraph">
              <wp:posOffset>-744855</wp:posOffset>
            </wp:positionV>
            <wp:extent cx="3992880" cy="752856"/>
            <wp:effectExtent l="0" t="0" r="0" b="9525"/>
            <wp:wrapNone/>
            <wp:docPr id="5" name="Picture 0" descr="OAIC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C_To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92880" cy="752856"/>
                    </a:xfrm>
                    <a:prstGeom prst="rect">
                      <a:avLst/>
                    </a:prstGeom>
                  </pic:spPr>
                </pic:pic>
              </a:graphicData>
            </a:graphic>
            <wp14:sizeRelH relativeFrom="page">
              <wp14:pctWidth>0</wp14:pctWidth>
            </wp14:sizeRelH>
            <wp14:sizeRelV relativeFrom="page">
              <wp14:pctHeight>0</wp14:pctHeight>
            </wp14:sizeRelV>
          </wp:anchor>
        </w:drawing>
      </w:r>
      <w:r w:rsidR="00F914C3">
        <w:rPr>
          <w:rFonts w:eastAsiaTheme="minorHAnsi"/>
        </w:rPr>
        <w:br/>
        <w:t>Attachment</w:t>
      </w:r>
      <w:r w:rsidR="00C031FE">
        <w:rPr>
          <w:rFonts w:eastAsiaTheme="minorHAnsi"/>
        </w:rPr>
        <w:t xml:space="preserve">: </w:t>
      </w:r>
      <w:r w:rsidR="00C30979" w:rsidRPr="001C2872">
        <w:rPr>
          <w:rFonts w:eastAsiaTheme="minorHAnsi"/>
        </w:rPr>
        <w:t>Public Interest Determination No. 12</w:t>
      </w:r>
    </w:p>
    <w:p w14:paraId="35A85456" w14:textId="77777777" w:rsidR="00C30979" w:rsidRPr="001C2872" w:rsidRDefault="00C30979" w:rsidP="00C30979">
      <w:pPr>
        <w:pStyle w:val="Heading2"/>
        <w:jc w:val="center"/>
      </w:pPr>
      <w:r w:rsidRPr="001C2872">
        <w:t>Collection of Family, Social and Medical Histories</w:t>
      </w:r>
    </w:p>
    <w:p w14:paraId="15B83732" w14:textId="77777777" w:rsidR="00C30979" w:rsidRPr="001C2872" w:rsidRDefault="00C30979" w:rsidP="00C30979">
      <w:pPr>
        <w:pStyle w:val="Heading3"/>
        <w:jc w:val="center"/>
      </w:pPr>
      <w:r w:rsidRPr="001C2872">
        <w:t>Privacy Act 1988</w:t>
      </w:r>
      <w:r w:rsidRPr="00245CBD">
        <w:t xml:space="preserve"> </w:t>
      </w:r>
      <w:r w:rsidRPr="001B51E9">
        <w:rPr>
          <w:i w:val="0"/>
        </w:rPr>
        <w:t>(</w:t>
      </w:r>
      <w:proofErr w:type="spellStart"/>
      <w:r w:rsidRPr="001B51E9">
        <w:rPr>
          <w:i w:val="0"/>
        </w:rPr>
        <w:t>Cth</w:t>
      </w:r>
      <w:proofErr w:type="spellEnd"/>
      <w:r w:rsidRPr="001B51E9">
        <w:rPr>
          <w:i w:val="0"/>
        </w:rPr>
        <w:t>), Part VI</w:t>
      </w:r>
    </w:p>
    <w:tbl>
      <w:tblPr>
        <w:tblW w:w="0" w:type="auto"/>
        <w:tblLook w:val="04A0" w:firstRow="1" w:lastRow="0" w:firstColumn="1" w:lastColumn="0" w:noHBand="0" w:noVBand="1"/>
      </w:tblPr>
      <w:tblGrid>
        <w:gridCol w:w="8982"/>
      </w:tblGrid>
      <w:tr w:rsidR="00C30979" w:rsidRPr="001C2872" w14:paraId="22948E3F" w14:textId="77777777" w:rsidTr="00AD237B">
        <w:tc>
          <w:tcPr>
            <w:tcW w:w="9242" w:type="dxa"/>
            <w:tcBorders>
              <w:top w:val="single" w:sz="4" w:space="0" w:color="auto"/>
              <w:left w:val="nil"/>
              <w:bottom w:val="single" w:sz="4" w:space="0" w:color="auto"/>
              <w:right w:val="nil"/>
            </w:tcBorders>
          </w:tcPr>
          <w:p w14:paraId="572A255F" w14:textId="77777777" w:rsidR="00C30979" w:rsidRPr="006D704D" w:rsidRDefault="00C30979" w:rsidP="00AD237B">
            <w:pPr>
              <w:spacing w:before="120" w:after="120"/>
              <w:rPr>
                <w:rFonts w:cstheme="minorHAnsi"/>
                <w:szCs w:val="24"/>
              </w:rPr>
            </w:pPr>
            <w:r w:rsidRPr="006D704D">
              <w:rPr>
                <w:rStyle w:val="Heading3Char"/>
                <w:i w:val="0"/>
              </w:rPr>
              <w:t>Relevant National Privacy Principle:</w:t>
            </w:r>
            <w:r w:rsidRPr="006D704D">
              <w:rPr>
                <w:rStyle w:val="Heading3Char"/>
                <w:i w:val="0"/>
              </w:rPr>
              <w:tab/>
            </w:r>
            <w:r w:rsidRPr="006D704D">
              <w:rPr>
                <w:rFonts w:cstheme="minorHAnsi"/>
                <w:i/>
                <w:szCs w:val="24"/>
              </w:rPr>
              <w:tab/>
            </w:r>
            <w:r w:rsidRPr="006D704D">
              <w:rPr>
                <w:rFonts w:cstheme="minorHAnsi"/>
                <w:szCs w:val="24"/>
              </w:rPr>
              <w:t>National Privacy Principle 10.1</w:t>
            </w:r>
          </w:p>
          <w:p w14:paraId="06E88DCC" w14:textId="77777777" w:rsidR="00C30979" w:rsidRPr="001C2872" w:rsidRDefault="00C30979" w:rsidP="00AD237B">
            <w:pPr>
              <w:spacing w:before="120" w:after="120"/>
              <w:rPr>
                <w:rFonts w:cstheme="minorHAnsi"/>
                <w:b/>
                <w:sz w:val="16"/>
                <w:szCs w:val="16"/>
              </w:rPr>
            </w:pPr>
            <w:r w:rsidRPr="006D704D">
              <w:rPr>
                <w:rStyle w:val="Heading3Char"/>
                <w:i w:val="0"/>
              </w:rPr>
              <w:t>Effective:</w:t>
            </w:r>
            <w:r w:rsidRPr="006D704D">
              <w:rPr>
                <w:rStyle w:val="Heading3Char"/>
                <w:i w:val="0"/>
              </w:rPr>
              <w:tab/>
            </w:r>
            <w:r w:rsidRPr="006D704D">
              <w:rPr>
                <w:rFonts w:cstheme="minorHAnsi"/>
                <w:szCs w:val="24"/>
              </w:rPr>
              <w:tab/>
            </w:r>
            <w:r w:rsidRPr="006D704D">
              <w:rPr>
                <w:rFonts w:cstheme="minorHAnsi"/>
                <w:szCs w:val="24"/>
              </w:rPr>
              <w:tab/>
            </w:r>
            <w:r w:rsidRPr="006D704D">
              <w:rPr>
                <w:rFonts w:cstheme="minorHAnsi"/>
                <w:szCs w:val="24"/>
              </w:rPr>
              <w:tab/>
            </w:r>
            <w:r w:rsidRPr="006D704D">
              <w:rPr>
                <w:rFonts w:cstheme="minorHAnsi"/>
                <w:szCs w:val="24"/>
              </w:rPr>
              <w:tab/>
              <w:t>11 December 2011 to 10 December 2016</w:t>
            </w:r>
          </w:p>
        </w:tc>
      </w:tr>
    </w:tbl>
    <w:p w14:paraId="3821D723" w14:textId="77777777" w:rsidR="00C30979" w:rsidRPr="001C2872" w:rsidRDefault="00C30979" w:rsidP="00C30979">
      <w:pPr>
        <w:spacing w:before="60" w:after="60"/>
        <w:rPr>
          <w:rFonts w:cstheme="minorHAnsi"/>
          <w:szCs w:val="24"/>
        </w:rPr>
      </w:pPr>
      <w:r>
        <w:rPr>
          <w:rFonts w:cstheme="minorHAnsi"/>
          <w:szCs w:val="24"/>
        </w:rPr>
        <w:br/>
      </w:r>
      <w:r w:rsidRPr="001C2872">
        <w:rPr>
          <w:rFonts w:cstheme="minorHAnsi"/>
          <w:szCs w:val="24"/>
        </w:rPr>
        <w:t xml:space="preserve">Under </w:t>
      </w:r>
      <w:proofErr w:type="gramStart"/>
      <w:r w:rsidRPr="001C2872">
        <w:rPr>
          <w:rFonts w:cstheme="minorHAnsi"/>
          <w:szCs w:val="24"/>
        </w:rPr>
        <w:t>s72(</w:t>
      </w:r>
      <w:proofErr w:type="gramEnd"/>
      <w:r w:rsidRPr="001C2872">
        <w:rPr>
          <w:rFonts w:cstheme="minorHAnsi"/>
          <w:szCs w:val="24"/>
        </w:rPr>
        <w:t xml:space="preserve">2) of the </w:t>
      </w:r>
      <w:r w:rsidRPr="001C2872">
        <w:rPr>
          <w:rFonts w:cstheme="minorHAnsi"/>
          <w:i/>
          <w:szCs w:val="24"/>
        </w:rPr>
        <w:t xml:space="preserve">Privacy Act 1988 </w:t>
      </w:r>
      <w:r w:rsidRPr="001C2872">
        <w:rPr>
          <w:rFonts w:cstheme="minorHAnsi"/>
          <w:szCs w:val="24"/>
        </w:rPr>
        <w:t>(</w:t>
      </w:r>
      <w:proofErr w:type="spellStart"/>
      <w:r w:rsidRPr="001C2872">
        <w:rPr>
          <w:rFonts w:cstheme="minorHAnsi"/>
          <w:szCs w:val="24"/>
        </w:rPr>
        <w:t>Cth</w:t>
      </w:r>
      <w:proofErr w:type="spellEnd"/>
      <w:r w:rsidRPr="001C2872">
        <w:rPr>
          <w:rFonts w:cstheme="minorHAnsi"/>
          <w:szCs w:val="24"/>
        </w:rPr>
        <w:t>) (Privacy Act) I, Timothy Pilgrim, Australian Privacy Commissioner, determine that I am satisfied that:</w:t>
      </w:r>
    </w:p>
    <w:p w14:paraId="054721CD" w14:textId="77777777" w:rsidR="00C30979" w:rsidRPr="001C2872" w:rsidRDefault="00C30979" w:rsidP="00C30979">
      <w:pPr>
        <w:pStyle w:val="ListParagraph"/>
        <w:numPr>
          <w:ilvl w:val="0"/>
          <w:numId w:val="6"/>
        </w:numPr>
        <w:spacing w:before="60" w:after="60"/>
        <w:ind w:left="567" w:hanging="567"/>
        <w:rPr>
          <w:rFonts w:asciiTheme="minorHAnsi" w:hAnsiTheme="minorHAnsi" w:cstheme="minorHAnsi"/>
          <w:szCs w:val="24"/>
          <w:lang w:val="en-GB"/>
        </w:rPr>
      </w:pPr>
      <w:r w:rsidRPr="001C2872">
        <w:rPr>
          <w:rFonts w:asciiTheme="minorHAnsi" w:hAnsiTheme="minorHAnsi" w:cstheme="minorHAnsi"/>
          <w:lang w:val="en-GB"/>
        </w:rPr>
        <w:t xml:space="preserve">Dr Steve </w:t>
      </w:r>
      <w:proofErr w:type="spellStart"/>
      <w:r w:rsidRPr="001C2872">
        <w:rPr>
          <w:rFonts w:asciiTheme="minorHAnsi" w:hAnsiTheme="minorHAnsi" w:cstheme="minorHAnsi"/>
          <w:lang w:val="en-GB"/>
        </w:rPr>
        <w:t>Hambleton</w:t>
      </w:r>
      <w:proofErr w:type="spellEnd"/>
      <w:r w:rsidRPr="001C2872">
        <w:rPr>
          <w:rFonts w:asciiTheme="minorHAnsi" w:hAnsiTheme="minorHAnsi" w:cstheme="minorHAnsi"/>
          <w:lang w:val="en-GB"/>
        </w:rPr>
        <w:t xml:space="preserve"> (the applicant) is an organisation for the purposes of s</w:t>
      </w:r>
      <w:r w:rsidRPr="00245CBD">
        <w:rPr>
          <w:rFonts w:asciiTheme="minorHAnsi" w:hAnsiTheme="minorHAnsi" w:cstheme="minorHAnsi"/>
          <w:lang w:val="en-GB"/>
        </w:rPr>
        <w:t>6C of the Privacy Act</w:t>
      </w:r>
      <w:r w:rsidRPr="001C2872">
        <w:rPr>
          <w:rFonts w:asciiTheme="minorHAnsi" w:hAnsiTheme="minorHAnsi" w:cstheme="minorHAnsi"/>
          <w:szCs w:val="24"/>
          <w:lang w:val="en-GB"/>
        </w:rPr>
        <w:t xml:space="preserve">.  The applicant has applied under s73 of the Privacy Act for a Public Interest Determination in relation to the </w:t>
      </w:r>
      <w:r w:rsidRPr="00245CBD">
        <w:rPr>
          <w:rFonts w:asciiTheme="minorHAnsi" w:hAnsiTheme="minorHAnsi" w:cstheme="minorHAnsi"/>
          <w:szCs w:val="24"/>
          <w:lang w:val="en-GB"/>
        </w:rPr>
        <w:t>acts and practices set out in (</w:t>
      </w:r>
      <w:r w:rsidRPr="001C2872">
        <w:rPr>
          <w:rFonts w:asciiTheme="minorHAnsi" w:hAnsiTheme="minorHAnsi" w:cstheme="minorHAnsi"/>
          <w:szCs w:val="24"/>
          <w:lang w:val="en-GB"/>
        </w:rPr>
        <w:t>2) below</w:t>
      </w:r>
      <w:r w:rsidRPr="00245CBD">
        <w:rPr>
          <w:rFonts w:asciiTheme="minorHAnsi" w:hAnsiTheme="minorHAnsi" w:cstheme="minorHAnsi"/>
          <w:szCs w:val="24"/>
          <w:lang w:val="en-GB"/>
        </w:rPr>
        <w:t>.</w:t>
      </w:r>
    </w:p>
    <w:p w14:paraId="14E85EE9" w14:textId="4A36D7F3" w:rsidR="00C30979" w:rsidRPr="001C2872" w:rsidRDefault="00C30979" w:rsidP="00C30979">
      <w:pPr>
        <w:pStyle w:val="ListParagraph"/>
        <w:numPr>
          <w:ilvl w:val="0"/>
          <w:numId w:val="6"/>
        </w:numPr>
        <w:spacing w:before="60" w:after="60"/>
        <w:ind w:left="567" w:hanging="567"/>
        <w:rPr>
          <w:rFonts w:asciiTheme="minorHAnsi" w:hAnsiTheme="minorHAnsi" w:cstheme="minorHAnsi"/>
          <w:szCs w:val="24"/>
          <w:lang w:val="en-GB"/>
        </w:rPr>
      </w:pPr>
      <w:r w:rsidRPr="001C2872">
        <w:rPr>
          <w:rFonts w:asciiTheme="minorHAnsi" w:hAnsiTheme="minorHAnsi" w:cstheme="minorHAnsi"/>
          <w:szCs w:val="24"/>
          <w:lang w:val="en-GB"/>
        </w:rPr>
        <w:t xml:space="preserve">The applicant collects health information from an individual (a </w:t>
      </w:r>
      <w:r>
        <w:rPr>
          <w:rFonts w:asciiTheme="minorHAnsi" w:hAnsiTheme="minorHAnsi" w:cstheme="minorHAnsi"/>
          <w:szCs w:val="24"/>
          <w:lang w:val="en-GB"/>
        </w:rPr>
        <w:t>‘</w:t>
      </w:r>
      <w:r w:rsidRPr="001C2872">
        <w:rPr>
          <w:rFonts w:asciiTheme="minorHAnsi" w:hAnsiTheme="minorHAnsi" w:cstheme="minorHAnsi"/>
          <w:szCs w:val="24"/>
          <w:lang w:val="en-GB"/>
        </w:rPr>
        <w:t>health consumer’), or from a person responsible* for the health consumer, about another individual (a ‘third party’) in circumstances where:</w:t>
      </w:r>
    </w:p>
    <w:p w14:paraId="318DD548" w14:textId="77777777" w:rsidR="00C30979" w:rsidRPr="001C2872" w:rsidRDefault="00C30979" w:rsidP="00C30979">
      <w:pPr>
        <w:numPr>
          <w:ilvl w:val="0"/>
          <w:numId w:val="5"/>
        </w:numPr>
        <w:tabs>
          <w:tab w:val="clear" w:pos="720"/>
        </w:tabs>
        <w:spacing w:before="60" w:after="60"/>
        <w:ind w:left="1134" w:hanging="567"/>
        <w:rPr>
          <w:rFonts w:cstheme="minorHAnsi"/>
          <w:szCs w:val="24"/>
        </w:rPr>
      </w:pPr>
      <w:r w:rsidRPr="001C2872">
        <w:rPr>
          <w:rFonts w:cstheme="minorHAnsi"/>
          <w:szCs w:val="24"/>
        </w:rPr>
        <w:t>the collection of the third party’s information into the health consumer’s family, social or medical history is necessary for the applicant to provide a health service directly to the health consumer</w:t>
      </w:r>
      <w:r w:rsidRPr="00245CBD">
        <w:rPr>
          <w:rFonts w:cstheme="minorHAnsi"/>
          <w:szCs w:val="24"/>
        </w:rPr>
        <w:t>,</w:t>
      </w:r>
      <w:r w:rsidRPr="001C2872">
        <w:rPr>
          <w:rFonts w:cstheme="minorHAnsi"/>
          <w:szCs w:val="24"/>
        </w:rPr>
        <w:t xml:space="preserve"> and</w:t>
      </w:r>
    </w:p>
    <w:p w14:paraId="293BED52" w14:textId="77777777" w:rsidR="00C30979" w:rsidRPr="001C2872" w:rsidRDefault="00C30979" w:rsidP="00C30979">
      <w:pPr>
        <w:numPr>
          <w:ilvl w:val="0"/>
          <w:numId w:val="5"/>
        </w:numPr>
        <w:tabs>
          <w:tab w:val="clear" w:pos="720"/>
        </w:tabs>
        <w:spacing w:before="60" w:after="60"/>
        <w:ind w:left="1134" w:hanging="567"/>
        <w:rPr>
          <w:rFonts w:cstheme="minorHAnsi"/>
          <w:szCs w:val="24"/>
        </w:rPr>
      </w:pPr>
      <w:r w:rsidRPr="001C2872">
        <w:rPr>
          <w:rFonts w:cstheme="minorHAnsi"/>
          <w:szCs w:val="24"/>
        </w:rPr>
        <w:t>the third party’s information is relevant to the health consumer’s family, social or medical history</w:t>
      </w:r>
      <w:r w:rsidRPr="00245CBD">
        <w:rPr>
          <w:rFonts w:cstheme="minorHAnsi"/>
          <w:szCs w:val="24"/>
        </w:rPr>
        <w:t>,</w:t>
      </w:r>
      <w:r w:rsidRPr="001C2872">
        <w:rPr>
          <w:rFonts w:cstheme="minorHAnsi"/>
          <w:szCs w:val="24"/>
        </w:rPr>
        <w:t xml:space="preserve"> and</w:t>
      </w:r>
    </w:p>
    <w:p w14:paraId="7B0C252C" w14:textId="77777777" w:rsidR="00C30979" w:rsidRPr="001C2872" w:rsidRDefault="00C30979" w:rsidP="00C30979">
      <w:pPr>
        <w:numPr>
          <w:ilvl w:val="0"/>
          <w:numId w:val="5"/>
        </w:numPr>
        <w:tabs>
          <w:tab w:val="clear" w:pos="720"/>
        </w:tabs>
        <w:spacing w:before="60" w:after="60"/>
        <w:ind w:left="1134" w:hanging="567"/>
        <w:rPr>
          <w:rFonts w:cstheme="minorHAnsi"/>
          <w:szCs w:val="24"/>
        </w:rPr>
      </w:pPr>
      <w:r w:rsidRPr="001C2872">
        <w:rPr>
          <w:rFonts w:cstheme="minorHAnsi"/>
          <w:szCs w:val="24"/>
        </w:rPr>
        <w:t>the applicant collects the third party’s information without obtaining the consent of the third party</w:t>
      </w:r>
      <w:r w:rsidRPr="00245CBD">
        <w:rPr>
          <w:rFonts w:cstheme="minorHAnsi"/>
          <w:szCs w:val="24"/>
        </w:rPr>
        <w:t>,</w:t>
      </w:r>
      <w:r w:rsidRPr="001C2872">
        <w:rPr>
          <w:rFonts w:cstheme="minorHAnsi"/>
          <w:szCs w:val="24"/>
        </w:rPr>
        <w:t xml:space="preserve"> and</w:t>
      </w:r>
    </w:p>
    <w:p w14:paraId="1BFB06A4" w14:textId="77777777" w:rsidR="00C30979" w:rsidRPr="001C2872" w:rsidRDefault="00C30979" w:rsidP="00C30979">
      <w:pPr>
        <w:numPr>
          <w:ilvl w:val="0"/>
          <w:numId w:val="5"/>
        </w:numPr>
        <w:tabs>
          <w:tab w:val="clear" w:pos="720"/>
        </w:tabs>
        <w:spacing w:before="60" w:after="60"/>
        <w:ind w:left="1134" w:hanging="567"/>
        <w:rPr>
          <w:rFonts w:cstheme="minorHAnsi"/>
          <w:szCs w:val="24"/>
        </w:rPr>
      </w:pPr>
      <w:proofErr w:type="gramStart"/>
      <w:r w:rsidRPr="001C2872">
        <w:rPr>
          <w:rFonts w:cstheme="minorHAnsi"/>
          <w:szCs w:val="24"/>
        </w:rPr>
        <w:t>the</w:t>
      </w:r>
      <w:proofErr w:type="gramEnd"/>
      <w:r w:rsidRPr="001C2872">
        <w:rPr>
          <w:rFonts w:cstheme="minorHAnsi"/>
          <w:szCs w:val="24"/>
        </w:rPr>
        <w:t xml:space="preserve"> third party’s information is only collected from a person responsible for the health consumer if the health consumer is physically or legally incapable of providing the information themselves.</w:t>
      </w:r>
    </w:p>
    <w:p w14:paraId="083A8C96" w14:textId="77777777" w:rsidR="00C30979" w:rsidRPr="001C2872" w:rsidRDefault="00C30979" w:rsidP="00C30979">
      <w:pPr>
        <w:pStyle w:val="ListParagraph"/>
        <w:numPr>
          <w:ilvl w:val="0"/>
          <w:numId w:val="6"/>
        </w:numPr>
        <w:spacing w:before="60" w:after="60"/>
        <w:ind w:left="567" w:hanging="567"/>
        <w:rPr>
          <w:rFonts w:asciiTheme="minorHAnsi" w:hAnsiTheme="minorHAnsi" w:cstheme="minorHAnsi"/>
          <w:szCs w:val="24"/>
          <w:lang w:val="en-GB"/>
        </w:rPr>
      </w:pPr>
      <w:r w:rsidRPr="00245CBD">
        <w:rPr>
          <w:rFonts w:asciiTheme="minorHAnsi" w:hAnsiTheme="minorHAnsi" w:cstheme="minorHAnsi"/>
          <w:szCs w:val="24"/>
          <w:lang w:val="en-GB"/>
        </w:rPr>
        <w:t>T</w:t>
      </w:r>
      <w:r w:rsidRPr="001C2872">
        <w:rPr>
          <w:rFonts w:asciiTheme="minorHAnsi" w:hAnsiTheme="minorHAnsi" w:cstheme="minorHAnsi"/>
          <w:szCs w:val="24"/>
          <w:lang w:val="en-GB"/>
        </w:rPr>
        <w:t>he acts and practices set out in (</w:t>
      </w:r>
      <w:r w:rsidRPr="00245CBD">
        <w:rPr>
          <w:rFonts w:asciiTheme="minorHAnsi" w:hAnsiTheme="minorHAnsi" w:cstheme="minorHAnsi"/>
          <w:szCs w:val="24"/>
          <w:lang w:val="en-GB"/>
        </w:rPr>
        <w:t>2</w:t>
      </w:r>
      <w:r w:rsidRPr="001C2872">
        <w:rPr>
          <w:rFonts w:asciiTheme="minorHAnsi" w:hAnsiTheme="minorHAnsi" w:cstheme="minorHAnsi"/>
          <w:szCs w:val="24"/>
          <w:lang w:val="en-GB"/>
        </w:rPr>
        <w:t>) above breach or may breach National Privacy Principle 10.1 in relation to the collection of the third party’s information</w:t>
      </w:r>
      <w:r w:rsidRPr="00245CBD">
        <w:rPr>
          <w:rFonts w:asciiTheme="minorHAnsi" w:hAnsiTheme="minorHAnsi" w:cstheme="minorHAnsi"/>
          <w:szCs w:val="24"/>
          <w:lang w:val="en-GB"/>
        </w:rPr>
        <w:t>.</w:t>
      </w:r>
    </w:p>
    <w:p w14:paraId="49300326" w14:textId="77777777" w:rsidR="00C30979" w:rsidRPr="001C2872" w:rsidRDefault="00C30979" w:rsidP="00C30979">
      <w:pPr>
        <w:pStyle w:val="ListParagraph"/>
        <w:numPr>
          <w:ilvl w:val="0"/>
          <w:numId w:val="6"/>
        </w:numPr>
        <w:spacing w:before="60" w:after="60"/>
        <w:ind w:left="567" w:hanging="567"/>
        <w:rPr>
          <w:rFonts w:asciiTheme="minorHAnsi" w:hAnsiTheme="minorHAnsi" w:cstheme="minorHAnsi"/>
          <w:szCs w:val="24"/>
          <w:lang w:val="en-GB"/>
        </w:rPr>
      </w:pPr>
      <w:r w:rsidRPr="00245CBD">
        <w:rPr>
          <w:rFonts w:asciiTheme="minorHAnsi" w:hAnsiTheme="minorHAnsi" w:cstheme="minorHAnsi"/>
          <w:szCs w:val="24"/>
          <w:lang w:val="en-GB"/>
        </w:rPr>
        <w:t>T</w:t>
      </w:r>
      <w:r w:rsidRPr="001C2872">
        <w:rPr>
          <w:rFonts w:asciiTheme="minorHAnsi" w:hAnsiTheme="minorHAnsi" w:cstheme="minorHAnsi"/>
          <w:szCs w:val="24"/>
          <w:lang w:val="en-GB"/>
        </w:rPr>
        <w:t>he public interest in the applicant doing the acts or engaging in the practices set out in (</w:t>
      </w:r>
      <w:r w:rsidRPr="00245CBD">
        <w:rPr>
          <w:rFonts w:asciiTheme="minorHAnsi" w:hAnsiTheme="minorHAnsi" w:cstheme="minorHAnsi"/>
          <w:szCs w:val="24"/>
          <w:lang w:val="en-GB"/>
        </w:rPr>
        <w:t>2</w:t>
      </w:r>
      <w:r w:rsidRPr="001C2872">
        <w:rPr>
          <w:rFonts w:asciiTheme="minorHAnsi" w:hAnsiTheme="minorHAnsi" w:cstheme="minorHAnsi"/>
          <w:szCs w:val="24"/>
          <w:lang w:val="en-GB"/>
        </w:rPr>
        <w:t>) above substantially outweighs the public interest in adhering to National Privacy Principle 10.1 in those circumstances</w:t>
      </w:r>
      <w:r w:rsidRPr="00245CBD">
        <w:rPr>
          <w:rFonts w:asciiTheme="minorHAnsi" w:hAnsiTheme="minorHAnsi" w:cstheme="minorHAnsi"/>
          <w:szCs w:val="24"/>
          <w:lang w:val="en-GB"/>
        </w:rPr>
        <w:t>.</w:t>
      </w:r>
    </w:p>
    <w:p w14:paraId="51F5AC89" w14:textId="77777777" w:rsidR="00C30979" w:rsidRPr="001C2872" w:rsidRDefault="00C30979" w:rsidP="00C30979">
      <w:pPr>
        <w:pStyle w:val="ListParagraph"/>
        <w:numPr>
          <w:ilvl w:val="0"/>
          <w:numId w:val="6"/>
        </w:numPr>
        <w:spacing w:before="60" w:after="60"/>
        <w:ind w:left="567" w:hanging="567"/>
        <w:rPr>
          <w:rFonts w:asciiTheme="minorHAnsi" w:hAnsiTheme="minorHAnsi" w:cstheme="minorHAnsi"/>
          <w:szCs w:val="24"/>
          <w:lang w:val="en-GB"/>
        </w:rPr>
      </w:pPr>
      <w:r w:rsidRPr="001C2872">
        <w:rPr>
          <w:rFonts w:asciiTheme="minorHAnsi" w:hAnsiTheme="minorHAnsi" w:cstheme="minorHAnsi"/>
          <w:szCs w:val="24"/>
          <w:lang w:val="en-GB"/>
        </w:rPr>
        <w:t>This determination should remain in force from 11 December 2011 to 10 December 2016 (inclusive).</w:t>
      </w:r>
    </w:p>
    <w:p w14:paraId="58E8D48B" w14:textId="77777777" w:rsidR="00C30979" w:rsidRPr="00245CBD" w:rsidRDefault="00C30979" w:rsidP="00C30979">
      <w:pPr>
        <w:spacing w:before="60" w:after="60"/>
        <w:rPr>
          <w:rFonts w:cstheme="minorHAnsi"/>
          <w:szCs w:val="24"/>
        </w:rPr>
      </w:pPr>
      <w:r w:rsidRPr="001C2872">
        <w:rPr>
          <w:rFonts w:asciiTheme="minorHAnsi" w:hAnsiTheme="minorHAnsi" w:cstheme="minorHAnsi"/>
          <w:szCs w:val="24"/>
          <w:lang w:val="en-GB"/>
        </w:rPr>
        <w:t>*</w:t>
      </w:r>
      <w:r w:rsidRPr="00245CBD">
        <w:rPr>
          <w:rFonts w:cstheme="minorHAnsi"/>
          <w:szCs w:val="24"/>
        </w:rPr>
        <w:t xml:space="preserve">In this determination, </w:t>
      </w:r>
      <w:r w:rsidRPr="001C2872">
        <w:rPr>
          <w:rFonts w:cstheme="minorHAnsi"/>
          <w:i/>
          <w:szCs w:val="24"/>
        </w:rPr>
        <w:t>‘person responsible’</w:t>
      </w:r>
      <w:r w:rsidRPr="001C2872">
        <w:rPr>
          <w:rFonts w:cstheme="minorHAnsi"/>
          <w:szCs w:val="24"/>
        </w:rPr>
        <w:t xml:space="preserve"> has the same meaning as defined in National Privacy Principle 2.5 and 2.6.</w:t>
      </w:r>
    </w:p>
    <w:p w14:paraId="772EAAFD" w14:textId="77777777" w:rsidR="00C30979" w:rsidRPr="001C2872" w:rsidRDefault="00C30979" w:rsidP="00C30979">
      <w:pPr>
        <w:spacing w:before="60" w:after="60"/>
        <w:rPr>
          <w:rFonts w:cstheme="minorHAnsi"/>
          <w:szCs w:val="24"/>
        </w:rPr>
      </w:pPr>
      <w:r w:rsidRPr="001C2872">
        <w:rPr>
          <w:rFonts w:cstheme="minorHAnsi"/>
          <w:szCs w:val="24"/>
        </w:rPr>
        <w:t xml:space="preserve">My reasons for making this determination are attached. </w:t>
      </w:r>
      <w:r w:rsidRPr="001C2872">
        <w:rPr>
          <w:rFonts w:cstheme="minorHAnsi"/>
          <w:i/>
          <w:szCs w:val="24"/>
        </w:rPr>
        <w:t xml:space="preserve"> </w:t>
      </w:r>
    </w:p>
    <w:p w14:paraId="5462AB96" w14:textId="77777777" w:rsidR="00C30979" w:rsidRPr="001C2872" w:rsidRDefault="00C30979" w:rsidP="00C30979">
      <w:pPr>
        <w:spacing w:before="60" w:after="60"/>
        <w:rPr>
          <w:rFonts w:cstheme="minorHAnsi"/>
          <w:szCs w:val="24"/>
        </w:rPr>
      </w:pPr>
    </w:p>
    <w:p w14:paraId="685D871C" w14:textId="77777777" w:rsidR="00C30979" w:rsidRDefault="00C30979" w:rsidP="00C30979">
      <w:pPr>
        <w:spacing w:before="60" w:after="60"/>
        <w:rPr>
          <w:rFonts w:cstheme="minorHAnsi"/>
          <w:szCs w:val="24"/>
        </w:rPr>
      </w:pPr>
    </w:p>
    <w:p w14:paraId="1EE56449" w14:textId="77777777" w:rsidR="000D60E3" w:rsidRDefault="000D60E3" w:rsidP="00C30979">
      <w:pPr>
        <w:spacing w:before="60" w:after="60"/>
        <w:rPr>
          <w:rFonts w:cstheme="minorHAnsi"/>
          <w:b/>
          <w:szCs w:val="24"/>
        </w:rPr>
      </w:pPr>
    </w:p>
    <w:p w14:paraId="67153368" w14:textId="35C4C883" w:rsidR="00C30979" w:rsidRPr="001C2872" w:rsidRDefault="00C30979" w:rsidP="00C30979">
      <w:pPr>
        <w:spacing w:before="60" w:after="60"/>
        <w:rPr>
          <w:rFonts w:cstheme="minorHAnsi"/>
          <w:szCs w:val="24"/>
        </w:rPr>
      </w:pPr>
      <w:r w:rsidRPr="006D704D">
        <w:rPr>
          <w:rFonts w:cstheme="minorHAnsi"/>
          <w:b/>
          <w:szCs w:val="24"/>
        </w:rPr>
        <w:t>Timothy Pilgrim</w:t>
      </w:r>
      <w:r w:rsidRPr="00245CBD">
        <w:rPr>
          <w:rFonts w:cstheme="minorHAnsi"/>
          <w:szCs w:val="24"/>
        </w:rPr>
        <w:br/>
      </w:r>
      <w:r w:rsidRPr="001C2872">
        <w:rPr>
          <w:rFonts w:cstheme="minorHAnsi"/>
          <w:szCs w:val="24"/>
        </w:rPr>
        <w:t>Australian Privacy Commissioner</w:t>
      </w:r>
    </w:p>
    <w:p w14:paraId="33620EC0" w14:textId="23CACA6F" w:rsidR="00C30979" w:rsidRDefault="00C30979" w:rsidP="00C30979">
      <w:pPr>
        <w:spacing w:before="60" w:after="60"/>
        <w:rPr>
          <w:rFonts w:cstheme="minorHAnsi"/>
          <w:szCs w:val="24"/>
        </w:rPr>
      </w:pPr>
      <w:r>
        <w:rPr>
          <w:rFonts w:cstheme="minorHAnsi"/>
          <w:szCs w:val="24"/>
        </w:rPr>
        <w:t>29</w:t>
      </w:r>
      <w:r w:rsidR="009E6887">
        <w:rPr>
          <w:rFonts w:cstheme="minorHAnsi"/>
          <w:szCs w:val="24"/>
        </w:rPr>
        <w:t xml:space="preserve"> November</w:t>
      </w:r>
      <w:r w:rsidRPr="001C2872">
        <w:rPr>
          <w:rFonts w:cstheme="minorHAnsi"/>
          <w:szCs w:val="24"/>
        </w:rPr>
        <w:t xml:space="preserve"> 2011</w:t>
      </w:r>
    </w:p>
    <w:p w14:paraId="53DC99CA" w14:textId="77777777" w:rsidR="00C30979" w:rsidRDefault="00C30979" w:rsidP="00C30979">
      <w:pPr>
        <w:spacing w:before="60" w:after="60"/>
        <w:sectPr w:rsidR="00C30979" w:rsidSect="000D60E3">
          <w:headerReference w:type="even" r:id="rId20"/>
          <w:headerReference w:type="default" r:id="rId21"/>
          <w:footerReference w:type="even" r:id="rId22"/>
          <w:footerReference w:type="default" r:id="rId23"/>
          <w:headerReference w:type="first" r:id="rId24"/>
          <w:footerReference w:type="first" r:id="rId25"/>
          <w:pgSz w:w="11906" w:h="16838"/>
          <w:pgMar w:top="1440" w:right="1700" w:bottom="142" w:left="1440" w:header="708" w:footer="0" w:gutter="0"/>
          <w:cols w:space="708"/>
          <w:titlePg/>
          <w:docGrid w:linePitch="360"/>
        </w:sectPr>
      </w:pPr>
    </w:p>
    <w:p w14:paraId="5104C382" w14:textId="77777777" w:rsidR="00C30979" w:rsidRPr="006D704D" w:rsidRDefault="00C30979" w:rsidP="00C30979">
      <w:pPr>
        <w:pStyle w:val="Heading1"/>
        <w:jc w:val="center"/>
        <w:rPr>
          <w:rFonts w:eastAsia="Times New Roman"/>
          <w:lang w:val="en-GB" w:eastAsia="en-AU"/>
        </w:rPr>
      </w:pPr>
      <w:r w:rsidRPr="006D704D">
        <w:rPr>
          <w:rFonts w:eastAsia="Times New Roman"/>
          <w:lang w:val="en-GB" w:eastAsia="en-AU"/>
        </w:rPr>
        <w:t>Attachment</w:t>
      </w:r>
    </w:p>
    <w:p w14:paraId="3ECD25FF" w14:textId="77777777" w:rsidR="00C30979" w:rsidRPr="006D704D" w:rsidRDefault="00C30979" w:rsidP="00C30979">
      <w:pPr>
        <w:pStyle w:val="Heading2"/>
        <w:jc w:val="center"/>
      </w:pPr>
      <w:r w:rsidRPr="006D704D">
        <w:rPr>
          <w:rFonts w:eastAsia="Times New Roman"/>
          <w:lang w:val="en-GB" w:eastAsia="en-AU"/>
        </w:rPr>
        <w:t>Statement of Reasons</w:t>
      </w:r>
      <w:r>
        <w:rPr>
          <w:rFonts w:eastAsia="Times New Roman"/>
          <w:lang w:val="en-GB" w:eastAsia="en-AU"/>
        </w:rPr>
        <w:br/>
      </w:r>
      <w:r w:rsidRPr="006D704D">
        <w:t>Public Interest Determination No. 12</w:t>
      </w:r>
    </w:p>
    <w:p w14:paraId="5F378452" w14:textId="77777777" w:rsidR="00C30979" w:rsidRPr="006D704D" w:rsidRDefault="00C30979" w:rsidP="00C30979">
      <w:pPr>
        <w:pStyle w:val="Heading2"/>
        <w:jc w:val="center"/>
      </w:pPr>
      <w:r w:rsidRPr="006D704D">
        <w:t>Collection of Family, Social and Medical Histories</w:t>
      </w:r>
    </w:p>
    <w:p w14:paraId="6FDC3213" w14:textId="77777777" w:rsidR="00C30979" w:rsidRPr="006D704D" w:rsidRDefault="00C30979" w:rsidP="00C30979">
      <w:pPr>
        <w:pStyle w:val="Heading3"/>
        <w:jc w:val="center"/>
        <w:rPr>
          <w:rFonts w:eastAsia="Times New Roman"/>
          <w:lang w:val="en-GB" w:eastAsia="en-AU"/>
        </w:rPr>
      </w:pPr>
      <w:r w:rsidRPr="006D704D">
        <w:rPr>
          <w:rFonts w:eastAsia="Times New Roman"/>
          <w:lang w:val="en-GB" w:eastAsia="en-AU"/>
        </w:rPr>
        <w:t xml:space="preserve">Privacy Act 1988 </w:t>
      </w:r>
      <w:r w:rsidRPr="006D704D">
        <w:rPr>
          <w:rFonts w:eastAsia="Times New Roman"/>
          <w:i w:val="0"/>
          <w:lang w:val="en-GB" w:eastAsia="en-AU"/>
        </w:rPr>
        <w:t>(</w:t>
      </w:r>
      <w:proofErr w:type="spellStart"/>
      <w:r w:rsidRPr="006D704D">
        <w:rPr>
          <w:rFonts w:eastAsia="Times New Roman"/>
          <w:i w:val="0"/>
          <w:lang w:val="en-GB" w:eastAsia="en-AU"/>
        </w:rPr>
        <w:t>Cth</w:t>
      </w:r>
      <w:proofErr w:type="spellEnd"/>
      <w:r w:rsidRPr="006D704D">
        <w:rPr>
          <w:rFonts w:eastAsia="Times New Roman"/>
          <w:i w:val="0"/>
          <w:lang w:val="en-GB" w:eastAsia="en-AU"/>
        </w:rPr>
        <w:t xml:space="preserve">), </w:t>
      </w:r>
      <w:proofErr w:type="gramStart"/>
      <w:r w:rsidRPr="006D704D">
        <w:rPr>
          <w:rFonts w:eastAsia="Times New Roman"/>
          <w:i w:val="0"/>
          <w:lang w:val="en-GB" w:eastAsia="en-AU"/>
        </w:rPr>
        <w:t>s79(</w:t>
      </w:r>
      <w:proofErr w:type="gramEnd"/>
      <w:r w:rsidRPr="006D704D">
        <w:rPr>
          <w:rFonts w:eastAsia="Times New Roman"/>
          <w:i w:val="0"/>
          <w:lang w:val="en-GB" w:eastAsia="en-AU"/>
        </w:rPr>
        <w:t>3)</w:t>
      </w:r>
    </w:p>
    <w:p w14:paraId="6D79FF81" w14:textId="77777777" w:rsidR="00C30979" w:rsidRPr="006D704D" w:rsidRDefault="00C30979" w:rsidP="00C30979">
      <w:pPr>
        <w:pStyle w:val="Heading1"/>
        <w:pBdr>
          <w:top w:val="single" w:sz="4" w:space="0" w:color="auto"/>
        </w:pBdr>
        <w:rPr>
          <w:rFonts w:eastAsia="Times New Roman"/>
          <w:lang w:val="en-GB" w:eastAsia="en-AU"/>
        </w:rPr>
      </w:pPr>
      <w:r w:rsidRPr="005D1374">
        <w:rPr>
          <w:rFonts w:eastAsia="Times New Roman"/>
          <w:sz w:val="16"/>
          <w:szCs w:val="16"/>
          <w:lang w:val="en-GB" w:eastAsia="en-AU"/>
        </w:rPr>
        <w:br/>
      </w:r>
      <w:r w:rsidRPr="006D704D">
        <w:rPr>
          <w:rFonts w:eastAsia="Times New Roman"/>
          <w:lang w:val="en-GB" w:eastAsia="en-AU"/>
        </w:rPr>
        <w:t>Background</w:t>
      </w:r>
    </w:p>
    <w:p w14:paraId="7C4BFAC2" w14:textId="77777777" w:rsidR="00C30979" w:rsidRPr="006D704D" w:rsidRDefault="00C30979" w:rsidP="00C30979">
      <w:pPr>
        <w:pStyle w:val="Heading2"/>
        <w:rPr>
          <w:rFonts w:eastAsia="Times New Roman"/>
          <w:lang w:val="en-GB" w:eastAsia="en-AU"/>
        </w:rPr>
      </w:pPr>
      <w:r w:rsidRPr="006D704D">
        <w:rPr>
          <w:rFonts w:eastAsia="Times New Roman"/>
          <w:lang w:val="en-GB" w:eastAsia="en-AU"/>
        </w:rPr>
        <w:t xml:space="preserve">Dr </w:t>
      </w:r>
      <w:proofErr w:type="spellStart"/>
      <w:r w:rsidRPr="006D704D">
        <w:rPr>
          <w:rFonts w:eastAsia="Times New Roman"/>
          <w:lang w:val="en-GB" w:eastAsia="en-AU"/>
        </w:rPr>
        <w:t>Hambleton’s</w:t>
      </w:r>
      <w:proofErr w:type="spellEnd"/>
      <w:r w:rsidRPr="006D704D">
        <w:rPr>
          <w:rFonts w:eastAsia="Times New Roman"/>
          <w:lang w:val="en-GB" w:eastAsia="en-AU"/>
        </w:rPr>
        <w:t xml:space="preserve"> application</w:t>
      </w:r>
    </w:p>
    <w:p w14:paraId="09DFF145" w14:textId="77777777" w:rsidR="00C30979" w:rsidRPr="006D704D" w:rsidRDefault="00C30979" w:rsidP="00C30979">
      <w:pPr>
        <w:rPr>
          <w:lang w:eastAsia="en-AU"/>
        </w:rPr>
      </w:pPr>
      <w:r w:rsidRPr="006D704D">
        <w:rPr>
          <w:lang w:eastAsia="en-AU"/>
        </w:rPr>
        <w:t xml:space="preserve">On 14 October 2011, Dr Steve </w:t>
      </w:r>
      <w:proofErr w:type="spellStart"/>
      <w:r w:rsidRPr="006D704D">
        <w:rPr>
          <w:lang w:eastAsia="en-AU"/>
        </w:rPr>
        <w:t>Hambleton</w:t>
      </w:r>
      <w:proofErr w:type="spellEnd"/>
      <w:r w:rsidRPr="006D704D">
        <w:rPr>
          <w:lang w:eastAsia="en-AU"/>
        </w:rPr>
        <w:t xml:space="preserve"> made an application under s73 of the </w:t>
      </w:r>
      <w:r w:rsidRPr="006D704D">
        <w:rPr>
          <w:i/>
          <w:lang w:eastAsia="en-AU"/>
        </w:rPr>
        <w:t>Privacy Act 1988</w:t>
      </w:r>
      <w:r w:rsidRPr="006D704D">
        <w:rPr>
          <w:lang w:eastAsia="en-AU"/>
        </w:rPr>
        <w:t xml:space="preserve"> (</w:t>
      </w:r>
      <w:proofErr w:type="spellStart"/>
      <w:r w:rsidRPr="006D704D">
        <w:rPr>
          <w:lang w:eastAsia="en-AU"/>
        </w:rPr>
        <w:t>Cth</w:t>
      </w:r>
      <w:proofErr w:type="spellEnd"/>
      <w:r w:rsidRPr="006D704D">
        <w:rPr>
          <w:lang w:eastAsia="en-AU"/>
        </w:rPr>
        <w:t>)</w:t>
      </w:r>
      <w:r>
        <w:rPr>
          <w:rStyle w:val="FootnoteReference"/>
          <w:lang w:eastAsia="en-AU"/>
        </w:rPr>
        <w:footnoteReference w:id="2"/>
      </w:r>
      <w:r w:rsidRPr="006D704D">
        <w:rPr>
          <w:lang w:eastAsia="en-AU"/>
        </w:rPr>
        <w:t xml:space="preserve"> (the Privacy Act) for a public inte</w:t>
      </w:r>
      <w:bookmarkStart w:id="0" w:name="_GoBack"/>
      <w:bookmarkEnd w:id="0"/>
      <w:r w:rsidRPr="006D704D">
        <w:rPr>
          <w:lang w:eastAsia="en-AU"/>
        </w:rPr>
        <w:t>rest determination (PID) to be issued under s72 of the Privacy Act.</w:t>
      </w:r>
      <w:r>
        <w:rPr>
          <w:rStyle w:val="FootnoteReference"/>
          <w:lang w:eastAsia="en-AU"/>
        </w:rPr>
        <w:footnoteReference w:id="3"/>
      </w:r>
      <w:r w:rsidRPr="006D704D">
        <w:rPr>
          <w:lang w:eastAsia="en-AU"/>
        </w:rPr>
        <w:t xml:space="preserve"> </w:t>
      </w:r>
    </w:p>
    <w:p w14:paraId="6F37A33A" w14:textId="77777777" w:rsidR="00C30979" w:rsidRPr="006D704D" w:rsidRDefault="00C30979" w:rsidP="00C30979">
      <w:pPr>
        <w:rPr>
          <w:lang w:eastAsia="en-AU"/>
        </w:rPr>
      </w:pPr>
      <w:r w:rsidRPr="006D704D">
        <w:rPr>
          <w:lang w:eastAsia="en-AU"/>
        </w:rPr>
        <w:t xml:space="preserve">Dr </w:t>
      </w:r>
      <w:proofErr w:type="spellStart"/>
      <w:r w:rsidRPr="006D704D">
        <w:rPr>
          <w:lang w:eastAsia="en-AU"/>
        </w:rPr>
        <w:t>Hambleton</w:t>
      </w:r>
      <w:proofErr w:type="spellEnd"/>
      <w:r w:rsidRPr="006D704D">
        <w:rPr>
          <w:lang w:eastAsia="en-AU"/>
        </w:rPr>
        <w:t xml:space="preserve"> is a general practitioner based in New South Wales, and the current President of the Australian Medical Association.</w:t>
      </w:r>
    </w:p>
    <w:p w14:paraId="447DECFE" w14:textId="0A6F6B6B" w:rsidR="00C30979" w:rsidRDefault="00C30979" w:rsidP="00C30979">
      <w:r w:rsidRPr="006D704D">
        <w:rPr>
          <w:lang w:eastAsia="en-AU"/>
        </w:rPr>
        <w:t xml:space="preserve">Dr </w:t>
      </w:r>
      <w:proofErr w:type="spellStart"/>
      <w:r w:rsidRPr="006D704D">
        <w:rPr>
          <w:lang w:eastAsia="en-AU"/>
        </w:rPr>
        <w:t>Hambleton</w:t>
      </w:r>
      <w:proofErr w:type="spellEnd"/>
      <w:r w:rsidRPr="006D704D">
        <w:rPr>
          <w:lang w:eastAsia="en-AU"/>
        </w:rPr>
        <w:t xml:space="preserve"> requests a PID to enable the continuation of a practice that breaches, or may breach, National Privacy Principle (NPP) 10.1.  The practice in question is the collection of personal information </w:t>
      </w:r>
      <w:r>
        <w:rPr>
          <w:lang w:eastAsia="en-AU"/>
        </w:rPr>
        <w:t xml:space="preserve">from a patient, </w:t>
      </w:r>
      <w:r w:rsidRPr="006D704D">
        <w:rPr>
          <w:lang w:eastAsia="en-AU"/>
        </w:rPr>
        <w:t>about a third party</w:t>
      </w:r>
      <w:r>
        <w:rPr>
          <w:lang w:eastAsia="en-AU"/>
        </w:rPr>
        <w:t>,</w:t>
      </w:r>
      <w:r w:rsidRPr="006D704D">
        <w:rPr>
          <w:lang w:eastAsia="en-AU"/>
        </w:rPr>
        <w:t xml:space="preserve"> in the context of </w:t>
      </w:r>
      <w:r>
        <w:rPr>
          <w:lang w:eastAsia="en-AU"/>
        </w:rPr>
        <w:t>compiling a</w:t>
      </w:r>
      <w:r w:rsidRPr="006D704D">
        <w:rPr>
          <w:lang w:eastAsia="en-AU"/>
        </w:rPr>
        <w:t xml:space="preserve"> family, social or medical histor</w:t>
      </w:r>
      <w:r>
        <w:rPr>
          <w:lang w:eastAsia="en-AU"/>
        </w:rPr>
        <w:t xml:space="preserve">y for the patient.  Dr </w:t>
      </w:r>
      <w:proofErr w:type="spellStart"/>
      <w:r>
        <w:rPr>
          <w:lang w:eastAsia="en-AU"/>
        </w:rPr>
        <w:t>Hambleton</w:t>
      </w:r>
      <w:proofErr w:type="spellEnd"/>
      <w:r>
        <w:rPr>
          <w:lang w:eastAsia="en-AU"/>
        </w:rPr>
        <w:t xml:space="preserve"> has also requested that the PID be given general effect under </w:t>
      </w:r>
      <w:proofErr w:type="gramStart"/>
      <w:r>
        <w:rPr>
          <w:lang w:eastAsia="en-AU"/>
        </w:rPr>
        <w:t>s72(</w:t>
      </w:r>
      <w:proofErr w:type="gramEnd"/>
      <w:r>
        <w:rPr>
          <w:lang w:eastAsia="en-AU"/>
        </w:rPr>
        <w:t>4)</w:t>
      </w:r>
      <w:r w:rsidRPr="006D704D">
        <w:rPr>
          <w:lang w:eastAsia="en-AU"/>
        </w:rPr>
        <w:t xml:space="preserve"> </w:t>
      </w:r>
      <w:r>
        <w:rPr>
          <w:lang w:eastAsia="en-AU"/>
        </w:rPr>
        <w:t xml:space="preserve">to allow </w:t>
      </w:r>
      <w:r w:rsidRPr="006D704D">
        <w:rPr>
          <w:lang w:eastAsia="en-AU"/>
        </w:rPr>
        <w:t xml:space="preserve">all clinicians </w:t>
      </w:r>
      <w:r>
        <w:t xml:space="preserve">to continue this practice </w:t>
      </w:r>
      <w:r w:rsidRPr="006D704D">
        <w:rPr>
          <w:lang w:eastAsia="en-AU"/>
        </w:rPr>
        <w:t>across all clinical settings</w:t>
      </w:r>
      <w:r>
        <w:rPr>
          <w:lang w:eastAsia="en-AU"/>
        </w:rPr>
        <w:t>.</w:t>
      </w:r>
      <w:r w:rsidRPr="00A63877">
        <w:t xml:space="preserve"> </w:t>
      </w:r>
    </w:p>
    <w:p w14:paraId="2DF9AF1B" w14:textId="77777777" w:rsidR="00C30979" w:rsidRPr="006D704D" w:rsidRDefault="00C30979" w:rsidP="00C30979">
      <w:pPr>
        <w:rPr>
          <w:lang w:eastAsia="en-AU"/>
        </w:rPr>
      </w:pPr>
      <w:r>
        <w:t>NPP 10.1 prohibits the collection of sensitive information (including health information) about an individual, in this case the third party, unless a prescribed exception applies.</w:t>
      </w:r>
      <w:r w:rsidRPr="006D704D">
        <w:rPr>
          <w:lang w:eastAsia="en-AU"/>
        </w:rPr>
        <w:t xml:space="preserve">  </w:t>
      </w:r>
    </w:p>
    <w:p w14:paraId="5EBF68B0" w14:textId="77777777" w:rsidR="00C30979" w:rsidRPr="006D704D" w:rsidRDefault="00C30979" w:rsidP="00C30979">
      <w:pPr>
        <w:rPr>
          <w:lang w:eastAsia="en-AU"/>
        </w:rPr>
      </w:pPr>
      <w:r w:rsidRPr="006D704D">
        <w:rPr>
          <w:lang w:eastAsia="en-AU"/>
        </w:rPr>
        <w:t xml:space="preserve">Dr </w:t>
      </w:r>
      <w:proofErr w:type="spellStart"/>
      <w:r w:rsidRPr="006D704D">
        <w:rPr>
          <w:lang w:eastAsia="en-AU"/>
        </w:rPr>
        <w:t>Hambleton</w:t>
      </w:r>
      <w:proofErr w:type="spellEnd"/>
      <w:r w:rsidRPr="006D704D">
        <w:rPr>
          <w:lang w:eastAsia="en-AU"/>
        </w:rPr>
        <w:t xml:space="preserve"> notes that PID 10 and the associated PID 10A (which gives PID 10 general effect for other organisations in the same circumstances) currently permit the relevant practice to occur in specific circumstances without complying with NPP 10.1. </w:t>
      </w:r>
      <w:r>
        <w:rPr>
          <w:lang w:eastAsia="en-AU"/>
        </w:rPr>
        <w:t xml:space="preserve"> </w:t>
      </w:r>
      <w:r w:rsidRPr="006D704D">
        <w:rPr>
          <w:lang w:eastAsia="en-AU"/>
        </w:rPr>
        <w:t xml:space="preserve">PIDs 10 and 10A will expire on 10 December 2011. </w:t>
      </w:r>
    </w:p>
    <w:p w14:paraId="70200585" w14:textId="77777777" w:rsidR="00C30979" w:rsidRPr="006D704D" w:rsidRDefault="00C30979" w:rsidP="00C30979">
      <w:pPr>
        <w:rPr>
          <w:rFonts w:asciiTheme="minorHAnsi" w:eastAsia="Times New Roman" w:hAnsiTheme="minorHAnsi" w:cstheme="minorHAnsi"/>
          <w:szCs w:val="24"/>
          <w:lang w:eastAsia="en-AU"/>
        </w:rPr>
      </w:pPr>
      <w:r w:rsidRPr="006D704D">
        <w:rPr>
          <w:rFonts w:asciiTheme="minorHAnsi" w:eastAsia="Times New Roman" w:hAnsiTheme="minorHAnsi" w:cstheme="minorHAnsi"/>
          <w:szCs w:val="24"/>
          <w:lang w:eastAsia="en-AU"/>
        </w:rPr>
        <w:t xml:space="preserve">Dr </w:t>
      </w:r>
      <w:proofErr w:type="spellStart"/>
      <w:r w:rsidRPr="006D704D">
        <w:rPr>
          <w:rFonts w:asciiTheme="minorHAnsi" w:eastAsia="Times New Roman" w:hAnsiTheme="minorHAnsi" w:cstheme="minorHAnsi"/>
          <w:szCs w:val="24"/>
          <w:lang w:eastAsia="en-AU"/>
        </w:rPr>
        <w:t>Hambleton</w:t>
      </w:r>
      <w:proofErr w:type="spellEnd"/>
      <w:r w:rsidRPr="006D704D">
        <w:rPr>
          <w:rFonts w:asciiTheme="minorHAnsi" w:eastAsia="Times New Roman" w:hAnsiTheme="minorHAnsi" w:cstheme="minorHAnsi"/>
          <w:szCs w:val="24"/>
          <w:lang w:eastAsia="en-AU"/>
        </w:rPr>
        <w:t xml:space="preserve"> submits that:</w:t>
      </w:r>
    </w:p>
    <w:p w14:paraId="1780BA80" w14:textId="77777777" w:rsidR="00C30979" w:rsidRPr="006D704D" w:rsidRDefault="00C30979" w:rsidP="00C30979">
      <w:pPr>
        <w:pStyle w:val="ListParagraph"/>
        <w:tabs>
          <w:tab w:val="clear" w:pos="720"/>
        </w:tabs>
        <w:rPr>
          <w:lang w:eastAsia="en-AU"/>
        </w:rPr>
      </w:pPr>
      <w:r w:rsidRPr="006D704D">
        <w:rPr>
          <w:lang w:eastAsia="en-AU"/>
        </w:rPr>
        <w:t>the arguments made in support of the first application regarding this issue, made by</w:t>
      </w:r>
      <w:r>
        <w:rPr>
          <w:lang w:eastAsia="en-AU"/>
        </w:rPr>
        <w:t xml:space="preserve"> the</w:t>
      </w:r>
      <w:r w:rsidRPr="006D704D">
        <w:rPr>
          <w:lang w:eastAsia="en-AU"/>
        </w:rPr>
        <w:t xml:space="preserve"> </w:t>
      </w:r>
      <w:r w:rsidRPr="00B05013">
        <w:rPr>
          <w:lang w:eastAsia="en-AU"/>
        </w:rPr>
        <w:t xml:space="preserve">Adelaide Community Healthcare Alliance </w:t>
      </w:r>
      <w:r>
        <w:rPr>
          <w:lang w:eastAsia="en-AU"/>
        </w:rPr>
        <w:t>(</w:t>
      </w:r>
      <w:r w:rsidRPr="006D704D">
        <w:rPr>
          <w:lang w:eastAsia="en-AU"/>
        </w:rPr>
        <w:t>ACHA Health</w:t>
      </w:r>
      <w:r>
        <w:rPr>
          <w:lang w:eastAsia="en-AU"/>
        </w:rPr>
        <w:t>)</w:t>
      </w:r>
      <w:r w:rsidRPr="006D704D">
        <w:rPr>
          <w:lang w:eastAsia="en-AU"/>
        </w:rPr>
        <w:t xml:space="preserve"> on 19 December 2001 for PIDs 9 and 9A, are still relevant</w:t>
      </w:r>
      <w:r>
        <w:rPr>
          <w:rStyle w:val="FootnoteReference"/>
          <w:lang w:eastAsia="en-AU"/>
        </w:rPr>
        <w:footnoteReference w:id="4"/>
      </w:r>
      <w:r w:rsidRPr="006D704D">
        <w:rPr>
          <w:lang w:eastAsia="en-AU"/>
        </w:rPr>
        <w:t xml:space="preserve"> </w:t>
      </w:r>
    </w:p>
    <w:p w14:paraId="407F8BA7" w14:textId="77777777" w:rsidR="00C30979" w:rsidRPr="006D704D" w:rsidRDefault="00C30979" w:rsidP="00C30979">
      <w:pPr>
        <w:pStyle w:val="ListParagraph"/>
        <w:tabs>
          <w:tab w:val="clear" w:pos="720"/>
        </w:tabs>
        <w:rPr>
          <w:lang w:eastAsia="en-AU"/>
        </w:rPr>
      </w:pPr>
      <w:r w:rsidRPr="006D704D">
        <w:rPr>
          <w:lang w:eastAsia="en-AU"/>
        </w:rPr>
        <w:t xml:space="preserve">the effect of the existing PIDs </w:t>
      </w:r>
      <w:r w:rsidRPr="006D704D">
        <w:rPr>
          <w:i/>
          <w:lang w:eastAsia="en-AU"/>
        </w:rPr>
        <w:t>‘continues to be of critical importance for health service providers in providing best practice assessment, diagnosis and care to patients’</w:t>
      </w:r>
    </w:p>
    <w:p w14:paraId="781D669F" w14:textId="77777777" w:rsidR="00C30979" w:rsidRPr="006D704D" w:rsidRDefault="00C30979" w:rsidP="00C30979">
      <w:pPr>
        <w:pStyle w:val="ListParagraph"/>
        <w:tabs>
          <w:tab w:val="clear" w:pos="720"/>
        </w:tabs>
        <w:rPr>
          <w:lang w:eastAsia="en-AU"/>
        </w:rPr>
      </w:pPr>
      <w:r w:rsidRPr="006D704D">
        <w:rPr>
          <w:i/>
          <w:lang w:eastAsia="en-AU"/>
        </w:rPr>
        <w:t>‘there is a large body of evidence supporting the collection of third party health information, such as family history</w:t>
      </w:r>
      <w:r>
        <w:rPr>
          <w:i/>
          <w:lang w:eastAsia="en-AU"/>
        </w:rPr>
        <w:t>,</w:t>
      </w:r>
      <w:r w:rsidRPr="006D704D">
        <w:rPr>
          <w:i/>
          <w:lang w:eastAsia="en-AU"/>
        </w:rPr>
        <w:t xml:space="preserve"> as a fundamental part of the diagnosis and treatment regime’</w:t>
      </w:r>
      <w:r w:rsidRPr="006D704D">
        <w:rPr>
          <w:lang w:eastAsia="en-AU"/>
        </w:rPr>
        <w:t xml:space="preserve"> </w:t>
      </w:r>
    </w:p>
    <w:p w14:paraId="1AF6E39D" w14:textId="77777777" w:rsidR="00C30979" w:rsidRPr="006D704D" w:rsidRDefault="00C30979" w:rsidP="00C30979">
      <w:pPr>
        <w:pStyle w:val="ListParagraph"/>
        <w:tabs>
          <w:tab w:val="clear" w:pos="720"/>
        </w:tabs>
        <w:rPr>
          <w:lang w:eastAsia="en-AU"/>
        </w:rPr>
      </w:pPr>
      <w:r w:rsidRPr="006D704D">
        <w:rPr>
          <w:lang w:eastAsia="en-AU"/>
        </w:rPr>
        <w:t xml:space="preserve">fulfilling the requirement to obtain the consent of third parties to collect their information, and notifying third parties of the collection of their information in this context is </w:t>
      </w:r>
      <w:r w:rsidRPr="006D704D">
        <w:rPr>
          <w:i/>
          <w:lang w:eastAsia="en-AU"/>
        </w:rPr>
        <w:t>’clearly impractical and could compromise the health care of consumers’</w:t>
      </w:r>
      <w:r>
        <w:rPr>
          <w:lang w:eastAsia="en-AU"/>
        </w:rPr>
        <w:t>, and</w:t>
      </w:r>
      <w:r w:rsidRPr="006D704D">
        <w:rPr>
          <w:lang w:eastAsia="en-AU"/>
        </w:rPr>
        <w:t xml:space="preserve">  </w:t>
      </w:r>
    </w:p>
    <w:p w14:paraId="0C86CFA3" w14:textId="77777777" w:rsidR="00C30979" w:rsidRPr="006D704D" w:rsidRDefault="00C30979" w:rsidP="00C30979">
      <w:pPr>
        <w:pStyle w:val="ListParagraph"/>
        <w:tabs>
          <w:tab w:val="clear" w:pos="720"/>
        </w:tabs>
        <w:rPr>
          <w:lang w:eastAsia="en-AU"/>
        </w:rPr>
      </w:pPr>
      <w:r w:rsidRPr="006D704D">
        <w:rPr>
          <w:i/>
          <w:lang w:eastAsia="en-AU"/>
        </w:rPr>
        <w:t>‘the public interest is served by the efficient and accurate diagnosis of patients by health service providers</w:t>
      </w:r>
      <w:r w:rsidRPr="006D704D">
        <w:rPr>
          <w:lang w:eastAsia="en-AU"/>
        </w:rPr>
        <w:t xml:space="preserve">’ and </w:t>
      </w:r>
      <w:r w:rsidRPr="006D704D">
        <w:rPr>
          <w:i/>
          <w:lang w:eastAsia="en-AU"/>
        </w:rPr>
        <w:t>‘the absence of a Public Interest Determination to exempt healthcare providers from NPP 10, would result in significant inefficiencies and impracticalities, which would have a detrimental effect on the provision of quality health care’</w:t>
      </w:r>
      <w:r w:rsidRPr="006D704D">
        <w:rPr>
          <w:lang w:eastAsia="en-AU"/>
        </w:rPr>
        <w:t xml:space="preserve">.  </w:t>
      </w:r>
    </w:p>
    <w:p w14:paraId="2AD84C46" w14:textId="77777777" w:rsidR="00C30979" w:rsidRPr="006D704D" w:rsidRDefault="00C30979" w:rsidP="00C30979">
      <w:pPr>
        <w:rPr>
          <w:rFonts w:asciiTheme="minorHAnsi" w:eastAsia="Times New Roman" w:hAnsiTheme="minorHAnsi" w:cstheme="minorHAnsi"/>
          <w:szCs w:val="24"/>
          <w:lang w:eastAsia="en-AU"/>
        </w:rPr>
      </w:pPr>
      <w:r w:rsidRPr="006D704D">
        <w:rPr>
          <w:rFonts w:asciiTheme="minorHAnsi" w:eastAsia="Times New Roman" w:hAnsiTheme="minorHAnsi" w:cstheme="minorHAnsi"/>
          <w:szCs w:val="24"/>
          <w:lang w:eastAsia="en-AU"/>
        </w:rPr>
        <w:t xml:space="preserve">Dr </w:t>
      </w:r>
      <w:proofErr w:type="spellStart"/>
      <w:r w:rsidRPr="006D704D">
        <w:rPr>
          <w:rFonts w:asciiTheme="minorHAnsi" w:eastAsia="Times New Roman" w:hAnsiTheme="minorHAnsi" w:cstheme="minorHAnsi"/>
          <w:szCs w:val="24"/>
          <w:lang w:eastAsia="en-AU"/>
        </w:rPr>
        <w:t>Hambleton</w:t>
      </w:r>
      <w:proofErr w:type="spellEnd"/>
      <w:r w:rsidRPr="006D704D">
        <w:rPr>
          <w:rFonts w:asciiTheme="minorHAnsi" w:eastAsia="Times New Roman" w:hAnsiTheme="minorHAnsi" w:cstheme="minorHAnsi"/>
          <w:szCs w:val="24"/>
          <w:lang w:eastAsia="en-AU"/>
        </w:rPr>
        <w:t xml:space="preserve"> notes that, as emphasised by stakeholders during the previous consultation process</w:t>
      </w:r>
      <w:r>
        <w:rPr>
          <w:rFonts w:asciiTheme="minorHAnsi" w:eastAsia="Times New Roman" w:hAnsiTheme="minorHAnsi" w:cstheme="minorHAnsi"/>
          <w:szCs w:val="24"/>
          <w:lang w:eastAsia="en-AU"/>
        </w:rPr>
        <w:t>es</w:t>
      </w:r>
      <w:r w:rsidRPr="006D704D">
        <w:rPr>
          <w:rFonts w:asciiTheme="minorHAnsi" w:eastAsia="Times New Roman" w:hAnsiTheme="minorHAnsi" w:cstheme="minorHAnsi"/>
          <w:szCs w:val="24"/>
          <w:lang w:eastAsia="en-AU"/>
        </w:rPr>
        <w:t xml:space="preserve"> (PIDs 9 and 9A, and 10 and 10A), ‘</w:t>
      </w:r>
      <w:r w:rsidRPr="006D704D">
        <w:rPr>
          <w:rFonts w:asciiTheme="minorHAnsi" w:eastAsia="Times New Roman" w:hAnsiTheme="minorHAnsi" w:cstheme="minorHAnsi"/>
          <w:i/>
          <w:szCs w:val="24"/>
          <w:lang w:eastAsia="en-AU"/>
        </w:rPr>
        <w:t>the standards for the accreditation of general practitioners include the collection of current and accurate health summaries, including pertinent medical or social history information for patient care’</w:t>
      </w:r>
      <w:r w:rsidRPr="006D704D">
        <w:rPr>
          <w:rFonts w:asciiTheme="minorHAnsi" w:eastAsia="Times New Roman" w:hAnsiTheme="minorHAnsi" w:cstheme="minorHAnsi"/>
          <w:szCs w:val="24"/>
          <w:lang w:eastAsia="en-AU"/>
        </w:rPr>
        <w:t xml:space="preserve">, and that </w:t>
      </w:r>
      <w:r w:rsidRPr="006D704D">
        <w:rPr>
          <w:rFonts w:asciiTheme="minorHAnsi" w:eastAsia="Times New Roman" w:hAnsiTheme="minorHAnsi" w:cstheme="minorHAnsi"/>
          <w:i/>
          <w:szCs w:val="24"/>
          <w:lang w:eastAsia="en-AU"/>
        </w:rPr>
        <w:t>‘this practice is considered best practice clinical care’</w:t>
      </w:r>
      <w:r w:rsidRPr="006D704D">
        <w:rPr>
          <w:rFonts w:asciiTheme="minorHAnsi" w:eastAsia="Times New Roman" w:hAnsiTheme="minorHAnsi" w:cstheme="minorHAnsi"/>
          <w:szCs w:val="24"/>
          <w:lang w:eastAsia="en-AU"/>
        </w:rPr>
        <w:t>.</w:t>
      </w:r>
    </w:p>
    <w:p w14:paraId="46F2EBC7" w14:textId="77777777" w:rsidR="00C30979" w:rsidRPr="006D704D" w:rsidRDefault="00C30979" w:rsidP="00C30979">
      <w:pPr>
        <w:rPr>
          <w:rFonts w:asciiTheme="minorHAnsi" w:eastAsia="Times New Roman" w:hAnsiTheme="minorHAnsi" w:cstheme="minorHAnsi"/>
          <w:szCs w:val="24"/>
          <w:lang w:eastAsia="en-AU"/>
        </w:rPr>
      </w:pPr>
      <w:r w:rsidRPr="006D704D">
        <w:rPr>
          <w:rFonts w:asciiTheme="minorHAnsi" w:eastAsia="Times New Roman" w:hAnsiTheme="minorHAnsi" w:cstheme="minorHAnsi"/>
          <w:szCs w:val="24"/>
          <w:lang w:eastAsia="en-AU"/>
        </w:rPr>
        <w:t xml:space="preserve">Dr </w:t>
      </w:r>
      <w:proofErr w:type="spellStart"/>
      <w:r w:rsidRPr="006D704D">
        <w:rPr>
          <w:rFonts w:asciiTheme="minorHAnsi" w:eastAsia="Times New Roman" w:hAnsiTheme="minorHAnsi" w:cstheme="minorHAnsi"/>
          <w:szCs w:val="24"/>
          <w:lang w:eastAsia="en-AU"/>
        </w:rPr>
        <w:t>Hambleton</w:t>
      </w:r>
      <w:proofErr w:type="spellEnd"/>
      <w:r w:rsidRPr="006D704D">
        <w:rPr>
          <w:rFonts w:asciiTheme="minorHAnsi" w:eastAsia="Times New Roman" w:hAnsiTheme="minorHAnsi" w:cstheme="minorHAnsi"/>
          <w:szCs w:val="24"/>
          <w:lang w:eastAsia="en-AU"/>
        </w:rPr>
        <w:t xml:space="preserve"> asserts that </w:t>
      </w:r>
      <w:r w:rsidRPr="006D704D">
        <w:rPr>
          <w:rFonts w:asciiTheme="minorHAnsi" w:eastAsia="Times New Roman" w:hAnsiTheme="minorHAnsi" w:cstheme="minorHAnsi"/>
          <w:i/>
          <w:szCs w:val="24"/>
          <w:lang w:eastAsia="en-AU"/>
        </w:rPr>
        <w:t>‘a patient’s social, family or medical history information is collected in an environment of maximum consumer privacy (governed by professional codes of ethics and confidentiality)’</w:t>
      </w:r>
      <w:r w:rsidRPr="006D704D">
        <w:rPr>
          <w:rFonts w:asciiTheme="minorHAnsi" w:eastAsia="Times New Roman" w:hAnsiTheme="minorHAnsi" w:cstheme="minorHAnsi"/>
          <w:szCs w:val="24"/>
          <w:lang w:eastAsia="en-AU"/>
        </w:rPr>
        <w:t xml:space="preserve">, and that </w:t>
      </w:r>
      <w:r w:rsidRPr="006D704D">
        <w:rPr>
          <w:rFonts w:asciiTheme="minorHAnsi" w:eastAsia="Times New Roman" w:hAnsiTheme="minorHAnsi" w:cstheme="minorHAnsi"/>
          <w:i/>
          <w:szCs w:val="24"/>
          <w:lang w:eastAsia="en-AU"/>
        </w:rPr>
        <w:t>‘clinicians are bound to treat personal information collected in the course of providing a health service as confidential, regardless of the person to whom the particular facts or opinions relate’</w:t>
      </w:r>
      <w:r w:rsidRPr="006D704D">
        <w:rPr>
          <w:rFonts w:asciiTheme="minorHAnsi" w:eastAsia="Times New Roman" w:hAnsiTheme="minorHAnsi" w:cstheme="minorHAnsi"/>
          <w:szCs w:val="24"/>
          <w:lang w:eastAsia="en-AU"/>
        </w:rPr>
        <w:t xml:space="preserve">. </w:t>
      </w:r>
    </w:p>
    <w:p w14:paraId="704BFCAB" w14:textId="77777777" w:rsidR="00C30979" w:rsidRPr="006D704D" w:rsidRDefault="00C30979" w:rsidP="00C30979">
      <w:pPr>
        <w:pStyle w:val="Heading2"/>
        <w:rPr>
          <w:lang w:val="en-GB" w:eastAsia="en-AU"/>
        </w:rPr>
      </w:pPr>
      <w:r w:rsidRPr="006D704D">
        <w:rPr>
          <w:lang w:val="en-GB" w:eastAsia="en-AU"/>
        </w:rPr>
        <w:t>History of past Public Interest Determinations in relation to the collection of family, social and medical histories</w:t>
      </w:r>
    </w:p>
    <w:p w14:paraId="2E2921FC" w14:textId="77777777" w:rsidR="00C30979" w:rsidRPr="006D704D" w:rsidRDefault="00C30979" w:rsidP="00C30979">
      <w:pPr>
        <w:rPr>
          <w:lang w:eastAsia="en-AU"/>
        </w:rPr>
      </w:pPr>
      <w:r w:rsidRPr="006D704D">
        <w:rPr>
          <w:lang w:eastAsia="en-AU"/>
        </w:rPr>
        <w:t xml:space="preserve">On 19 December 2001, ACHA Health, a private sector health service provider, made an application for </w:t>
      </w:r>
      <w:r>
        <w:rPr>
          <w:lang w:eastAsia="en-AU"/>
        </w:rPr>
        <w:t xml:space="preserve">a </w:t>
      </w:r>
      <w:r w:rsidRPr="006D704D">
        <w:rPr>
          <w:lang w:eastAsia="en-AU"/>
        </w:rPr>
        <w:t>PID</w:t>
      </w:r>
      <w:r>
        <w:rPr>
          <w:lang w:eastAsia="en-AU"/>
        </w:rPr>
        <w:t>.</w:t>
      </w:r>
      <w:r w:rsidRPr="006D704D">
        <w:rPr>
          <w:lang w:eastAsia="en-AU"/>
        </w:rPr>
        <w:t xml:space="preserve"> </w:t>
      </w:r>
      <w:r>
        <w:rPr>
          <w:lang w:eastAsia="en-AU"/>
        </w:rPr>
        <w:t xml:space="preserve"> </w:t>
      </w:r>
      <w:r w:rsidRPr="006D704D">
        <w:rPr>
          <w:lang w:eastAsia="en-AU"/>
        </w:rPr>
        <w:t>ACHA Health was concerned that the accepted practice of collecting family, social and medical histories during the course of providing a ‘health service’</w:t>
      </w:r>
      <w:r w:rsidRPr="006D704D">
        <w:rPr>
          <w:rFonts w:eastAsiaTheme="majorEastAsia"/>
          <w:vertAlign w:val="superscript"/>
          <w:lang w:eastAsia="en-AU"/>
        </w:rPr>
        <w:footnoteReference w:id="5"/>
      </w:r>
      <w:r w:rsidRPr="006D704D">
        <w:rPr>
          <w:lang w:eastAsia="en-AU"/>
        </w:rPr>
        <w:t xml:space="preserve"> </w:t>
      </w:r>
      <w:r>
        <w:rPr>
          <w:lang w:eastAsia="en-AU"/>
        </w:rPr>
        <w:t>could</w:t>
      </w:r>
      <w:r w:rsidRPr="006D704D">
        <w:rPr>
          <w:lang w:eastAsia="en-AU"/>
        </w:rPr>
        <w:t xml:space="preserve"> breach the NPPs.  At that time, the NPPs were about to come into operation.</w:t>
      </w:r>
    </w:p>
    <w:p w14:paraId="7B098FBE" w14:textId="77777777" w:rsidR="00C30979" w:rsidRPr="006D704D" w:rsidRDefault="00C30979" w:rsidP="00C30979">
      <w:pPr>
        <w:rPr>
          <w:lang w:eastAsia="en-AU"/>
        </w:rPr>
      </w:pPr>
      <w:r w:rsidRPr="009A4B25">
        <w:rPr>
          <w:rFonts w:asciiTheme="minorHAnsi" w:eastAsia="Times New Roman" w:hAnsiTheme="minorHAnsi" w:cstheme="minorHAnsi"/>
          <w:szCs w:val="24"/>
          <w:lang w:eastAsia="en-AU"/>
        </w:rPr>
        <w:t xml:space="preserve">On 21 December 2001, in response to ACHA Health’s application, the then Privacy Commissioner, Malcolm Crompton, issued two temporary PIDs (TPIDs).  The TPIDs were effective for 12 months from 21 December 2001.  </w:t>
      </w:r>
      <w:r w:rsidRPr="006D704D">
        <w:rPr>
          <w:lang w:eastAsia="en-AU"/>
        </w:rPr>
        <w:t>The TPIDs were issued to enable ACHA Health and other health service providers to continue the practice of collecting third party information without the third party’s consent – in the course of taking a health consumer’s family, social or medical history – while broad consultation was undertaken regarding ACHA Health’s application.</w:t>
      </w:r>
    </w:p>
    <w:p w14:paraId="38DC6C00" w14:textId="77777777" w:rsidR="00C30979" w:rsidRPr="006D704D" w:rsidRDefault="00C30979" w:rsidP="00C30979">
      <w:pPr>
        <w:rPr>
          <w:lang w:eastAsia="en-AU"/>
        </w:rPr>
      </w:pPr>
      <w:r w:rsidRPr="006D704D">
        <w:rPr>
          <w:lang w:eastAsia="en-AU"/>
        </w:rPr>
        <w:t>After undertaking that consultation, the</w:t>
      </w:r>
      <w:r>
        <w:rPr>
          <w:lang w:eastAsia="en-AU"/>
        </w:rPr>
        <w:t xml:space="preserve"> then</w:t>
      </w:r>
      <w:r w:rsidRPr="006D704D">
        <w:rPr>
          <w:lang w:eastAsia="en-AU"/>
        </w:rPr>
        <w:t xml:space="preserve"> Commissioner issued PIDs 9 and 9A.  </w:t>
      </w:r>
    </w:p>
    <w:p w14:paraId="7B281F20" w14:textId="6F789A98" w:rsidR="00C30979" w:rsidRPr="006D704D" w:rsidRDefault="00C30979" w:rsidP="00C30979">
      <w:pPr>
        <w:rPr>
          <w:lang w:eastAsia="en-AU"/>
        </w:rPr>
      </w:pPr>
      <w:r w:rsidRPr="006D704D">
        <w:rPr>
          <w:lang w:eastAsia="en-AU"/>
        </w:rPr>
        <w:t xml:space="preserve">The combined effect of PIDs 9 and 9A was to exempt health service providers from complying with NPP 10.1 in certain circumstances.  In summary, under PIDs 9 and 9A, a health service provider could collect a third party’s health information from a health consumer without the third party’s consent when </w:t>
      </w:r>
      <w:r w:rsidRPr="006D704D">
        <w:rPr>
          <w:i/>
          <w:lang w:eastAsia="en-AU"/>
        </w:rPr>
        <w:t xml:space="preserve">both </w:t>
      </w:r>
      <w:r w:rsidRPr="006D704D">
        <w:rPr>
          <w:lang w:eastAsia="en-AU"/>
        </w:rPr>
        <w:t xml:space="preserve">of the following circumstances were met: </w:t>
      </w:r>
    </w:p>
    <w:p w14:paraId="4D3F1ABE" w14:textId="77777777" w:rsidR="00C30979" w:rsidRPr="006D704D" w:rsidRDefault="00C30979" w:rsidP="00C30979">
      <w:pPr>
        <w:pStyle w:val="ListParagraph"/>
        <w:tabs>
          <w:tab w:val="clear" w:pos="720"/>
        </w:tabs>
        <w:rPr>
          <w:lang w:eastAsia="en-AU"/>
        </w:rPr>
      </w:pPr>
      <w:r w:rsidRPr="006D704D">
        <w:rPr>
          <w:lang w:eastAsia="en-AU"/>
        </w:rPr>
        <w:t xml:space="preserve">the collection of the third party’s information into a </w:t>
      </w:r>
      <w:r>
        <w:rPr>
          <w:lang w:eastAsia="en-AU"/>
        </w:rPr>
        <w:t xml:space="preserve">health </w:t>
      </w:r>
      <w:r w:rsidRPr="006D704D">
        <w:rPr>
          <w:lang w:eastAsia="en-AU"/>
        </w:rPr>
        <w:t xml:space="preserve">consumer’s family, social or medical history is necessary </w:t>
      </w:r>
      <w:r w:rsidRPr="006D704D">
        <w:rPr>
          <w:color w:val="000000"/>
          <w:lang w:eastAsia="en-AU"/>
        </w:rPr>
        <w:t xml:space="preserve">for a health service provider </w:t>
      </w:r>
      <w:r w:rsidRPr="006D704D">
        <w:rPr>
          <w:lang w:eastAsia="en-AU"/>
        </w:rPr>
        <w:t xml:space="preserve">to provide a health service directly to the </w:t>
      </w:r>
      <w:r>
        <w:rPr>
          <w:lang w:eastAsia="en-AU"/>
        </w:rPr>
        <w:t xml:space="preserve">health </w:t>
      </w:r>
      <w:r w:rsidRPr="006D704D">
        <w:rPr>
          <w:lang w:eastAsia="en-AU"/>
        </w:rPr>
        <w:t xml:space="preserve">consumer, </w:t>
      </w:r>
      <w:r w:rsidRPr="001B51E9">
        <w:rPr>
          <w:lang w:eastAsia="en-AU"/>
        </w:rPr>
        <w:t>and</w:t>
      </w:r>
    </w:p>
    <w:p w14:paraId="08F1B847" w14:textId="77777777" w:rsidR="00C30979" w:rsidRPr="006D704D" w:rsidRDefault="00C30979" w:rsidP="00C30979">
      <w:pPr>
        <w:pStyle w:val="ListParagraph"/>
        <w:tabs>
          <w:tab w:val="clear" w:pos="720"/>
        </w:tabs>
        <w:rPr>
          <w:lang w:eastAsia="en-AU"/>
        </w:rPr>
      </w:pPr>
      <w:proofErr w:type="gramStart"/>
      <w:r w:rsidRPr="006D704D">
        <w:rPr>
          <w:lang w:eastAsia="en-AU"/>
        </w:rPr>
        <w:t>the</w:t>
      </w:r>
      <w:proofErr w:type="gramEnd"/>
      <w:r w:rsidRPr="006D704D">
        <w:rPr>
          <w:lang w:eastAsia="en-AU"/>
        </w:rPr>
        <w:t xml:space="preserve"> third party’s information is relevant to the family, social or medical history of that </w:t>
      </w:r>
      <w:r>
        <w:rPr>
          <w:lang w:eastAsia="en-AU"/>
        </w:rPr>
        <w:t xml:space="preserve">health </w:t>
      </w:r>
      <w:r w:rsidRPr="006D704D">
        <w:rPr>
          <w:lang w:eastAsia="en-AU"/>
        </w:rPr>
        <w:t xml:space="preserve">consumer. </w:t>
      </w:r>
    </w:p>
    <w:p w14:paraId="3C3739AF" w14:textId="77777777" w:rsidR="00C30979" w:rsidRPr="006D704D" w:rsidRDefault="00C30979" w:rsidP="00C30979">
      <w:pPr>
        <w:rPr>
          <w:lang w:eastAsia="en-AU"/>
        </w:rPr>
      </w:pPr>
      <w:r w:rsidRPr="006D704D">
        <w:rPr>
          <w:lang w:eastAsia="en-AU"/>
        </w:rPr>
        <w:t>PIDs 9 and 9A were effective f</w:t>
      </w:r>
      <w:r>
        <w:rPr>
          <w:lang w:eastAsia="en-AU"/>
        </w:rPr>
        <w:t xml:space="preserve">rom </w:t>
      </w:r>
      <w:r w:rsidRPr="006D704D">
        <w:rPr>
          <w:lang w:eastAsia="en-AU"/>
        </w:rPr>
        <w:t>11 December 2002</w:t>
      </w:r>
      <w:r>
        <w:rPr>
          <w:lang w:eastAsia="en-AU"/>
        </w:rPr>
        <w:t xml:space="preserve"> to 10 December 2007 (inclusive)</w:t>
      </w:r>
      <w:r w:rsidRPr="006D704D">
        <w:rPr>
          <w:lang w:eastAsia="en-AU"/>
        </w:rPr>
        <w:t xml:space="preserve">. </w:t>
      </w:r>
    </w:p>
    <w:p w14:paraId="2DACC9C3" w14:textId="77777777" w:rsidR="00C30979" w:rsidRPr="006D704D" w:rsidRDefault="00C30979" w:rsidP="00C30979">
      <w:pPr>
        <w:rPr>
          <w:lang w:eastAsia="en-AU"/>
        </w:rPr>
      </w:pPr>
      <w:r w:rsidRPr="006D704D">
        <w:rPr>
          <w:lang w:eastAsia="en-AU"/>
        </w:rPr>
        <w:t>On 21 August 2007, Dr Tony Hobbs, a general practitioner, applied for a PID to continue the effect of PID</w:t>
      </w:r>
      <w:r>
        <w:rPr>
          <w:lang w:eastAsia="en-AU"/>
        </w:rPr>
        <w:t>s</w:t>
      </w:r>
      <w:r w:rsidRPr="006D704D">
        <w:rPr>
          <w:lang w:eastAsia="en-AU"/>
        </w:rPr>
        <w:t xml:space="preserve"> 9 and 9A.</w:t>
      </w:r>
    </w:p>
    <w:p w14:paraId="58C519DA" w14:textId="77777777" w:rsidR="00C30979" w:rsidRPr="006D704D" w:rsidRDefault="00C30979" w:rsidP="00C30979">
      <w:pPr>
        <w:rPr>
          <w:lang w:val="en-GB" w:eastAsia="en-AU"/>
        </w:rPr>
      </w:pPr>
      <w:r w:rsidRPr="006D704D">
        <w:rPr>
          <w:lang w:val="en-GB" w:eastAsia="en-AU"/>
        </w:rPr>
        <w:t>During the consultation process that followed Dr Hobbs</w:t>
      </w:r>
      <w:r>
        <w:rPr>
          <w:lang w:val="en-GB" w:eastAsia="en-AU"/>
        </w:rPr>
        <w:t>’</w:t>
      </w:r>
      <w:r w:rsidRPr="006D704D">
        <w:rPr>
          <w:lang w:val="en-GB" w:eastAsia="en-AU"/>
        </w:rPr>
        <w:t xml:space="preserve"> application, an additional substantive issue was raised, namely that good clinical practice may require the collection of the relevant third party health information from a </w:t>
      </w:r>
      <w:r w:rsidRPr="006D704D">
        <w:rPr>
          <w:i/>
          <w:lang w:val="en-GB" w:eastAsia="en-AU"/>
        </w:rPr>
        <w:t>'person responsible</w:t>
      </w:r>
      <w:r w:rsidRPr="006D704D">
        <w:rPr>
          <w:lang w:val="en-GB" w:eastAsia="en-AU"/>
        </w:rPr>
        <w:t>' for a health consumer when the consumer is incapable of providing that information themselves. Examples of where this need may arise include in the treatment and care of health consumer</w:t>
      </w:r>
      <w:r>
        <w:rPr>
          <w:lang w:val="en-GB" w:eastAsia="en-AU"/>
        </w:rPr>
        <w:t>s</w:t>
      </w:r>
      <w:r w:rsidRPr="006D704D">
        <w:rPr>
          <w:lang w:val="en-GB" w:eastAsia="en-AU"/>
        </w:rPr>
        <w:t xml:space="preserve"> living with dementia or intellectual disabilities.</w:t>
      </w:r>
    </w:p>
    <w:p w14:paraId="1C7D9C23" w14:textId="55A39322" w:rsidR="00C30979" w:rsidRPr="006D704D" w:rsidRDefault="00C30979" w:rsidP="00C30979">
      <w:pPr>
        <w:rPr>
          <w:lang w:eastAsia="en-AU"/>
        </w:rPr>
      </w:pPr>
      <w:r w:rsidRPr="006D704D">
        <w:rPr>
          <w:lang w:eastAsia="en-AU"/>
        </w:rPr>
        <w:t>The then Privacy Commissioner, Karen Curtis, wrote to 14 key privacy, health professional and health consumer stakeholders seeking views on th</w:t>
      </w:r>
      <w:r>
        <w:rPr>
          <w:lang w:eastAsia="en-AU"/>
        </w:rPr>
        <w:t>at</w:t>
      </w:r>
      <w:r w:rsidRPr="006D704D">
        <w:rPr>
          <w:lang w:eastAsia="en-AU"/>
        </w:rPr>
        <w:t xml:space="preserve"> issue.  Stakeholders offered the view that </w:t>
      </w:r>
      <w:r>
        <w:rPr>
          <w:lang w:eastAsia="en-AU"/>
        </w:rPr>
        <w:t xml:space="preserve">the </w:t>
      </w:r>
      <w:r w:rsidRPr="006D704D">
        <w:rPr>
          <w:lang w:eastAsia="en-AU"/>
        </w:rPr>
        <w:t>proposed PIDs should provide a mechanism for permitting collection of third-parties’ health information from a '</w:t>
      </w:r>
      <w:r w:rsidRPr="006D704D">
        <w:rPr>
          <w:i/>
          <w:lang w:eastAsia="en-AU"/>
        </w:rPr>
        <w:t xml:space="preserve">person responsible' </w:t>
      </w:r>
      <w:r w:rsidRPr="006D704D">
        <w:rPr>
          <w:lang w:eastAsia="en-AU"/>
        </w:rPr>
        <w:t xml:space="preserve">where the health consumer is not capable of providing that information themselves.  The </w:t>
      </w:r>
      <w:r>
        <w:rPr>
          <w:lang w:eastAsia="en-AU"/>
        </w:rPr>
        <w:t xml:space="preserve">then </w:t>
      </w:r>
      <w:r w:rsidRPr="006D704D">
        <w:rPr>
          <w:lang w:eastAsia="en-AU"/>
        </w:rPr>
        <w:t xml:space="preserve">Commissioner was satisfied that the public interest in addressing this issue substantially outweighed the public interest in protecting privacy in compliance with the NPPs. </w:t>
      </w:r>
      <w:r>
        <w:rPr>
          <w:lang w:eastAsia="en-AU"/>
        </w:rPr>
        <w:t xml:space="preserve"> </w:t>
      </w:r>
      <w:r w:rsidRPr="006D704D">
        <w:rPr>
          <w:lang w:eastAsia="en-AU"/>
        </w:rPr>
        <w:t>Accordingly, PIDs 10 and 10A ma</w:t>
      </w:r>
      <w:r>
        <w:rPr>
          <w:lang w:eastAsia="en-AU"/>
        </w:rPr>
        <w:t>k</w:t>
      </w:r>
      <w:r w:rsidRPr="006D704D">
        <w:rPr>
          <w:lang w:eastAsia="en-AU"/>
        </w:rPr>
        <w:t xml:space="preserve">e provision for this type of collection. </w:t>
      </w:r>
    </w:p>
    <w:p w14:paraId="19DB9953" w14:textId="77777777" w:rsidR="00C30979" w:rsidRPr="006D704D" w:rsidRDefault="00C30979" w:rsidP="00C30979">
      <w:pPr>
        <w:rPr>
          <w:lang w:eastAsia="en-AU"/>
        </w:rPr>
      </w:pPr>
      <w:r w:rsidRPr="006D704D">
        <w:rPr>
          <w:lang w:eastAsia="en-AU"/>
        </w:rPr>
        <w:t xml:space="preserve">The </w:t>
      </w:r>
      <w:r>
        <w:rPr>
          <w:lang w:eastAsia="en-AU"/>
        </w:rPr>
        <w:t xml:space="preserve">then </w:t>
      </w:r>
      <w:r w:rsidRPr="006D704D">
        <w:rPr>
          <w:lang w:eastAsia="en-AU"/>
        </w:rPr>
        <w:t xml:space="preserve">Commissioner issued PIDs 10 and 10A on 6 December 2007.  Those PIDs </w:t>
      </w:r>
      <w:r>
        <w:rPr>
          <w:lang w:eastAsia="en-AU"/>
        </w:rPr>
        <w:t>are</w:t>
      </w:r>
      <w:r w:rsidRPr="006D704D">
        <w:rPr>
          <w:lang w:eastAsia="en-AU"/>
        </w:rPr>
        <w:t xml:space="preserve"> effective from 11 December 2007</w:t>
      </w:r>
      <w:r>
        <w:rPr>
          <w:lang w:eastAsia="en-AU"/>
        </w:rPr>
        <w:t xml:space="preserve"> to 10 December 2011 (inclusive)</w:t>
      </w:r>
      <w:r w:rsidRPr="006D704D">
        <w:rPr>
          <w:lang w:eastAsia="en-AU"/>
        </w:rPr>
        <w:t>.</w:t>
      </w:r>
    </w:p>
    <w:p w14:paraId="1895B7E2" w14:textId="77777777" w:rsidR="00C30979" w:rsidRPr="006D704D" w:rsidRDefault="00C30979" w:rsidP="00C30979">
      <w:pPr>
        <w:rPr>
          <w:lang w:eastAsia="en-AU"/>
        </w:rPr>
      </w:pPr>
      <w:r w:rsidRPr="006D704D">
        <w:rPr>
          <w:lang w:eastAsia="en-AU"/>
        </w:rPr>
        <w:t xml:space="preserve">In the absence of a further determination, </w:t>
      </w:r>
      <w:r>
        <w:rPr>
          <w:lang w:eastAsia="en-AU"/>
        </w:rPr>
        <w:t xml:space="preserve">after 10 December 2011, </w:t>
      </w:r>
      <w:r w:rsidRPr="006D704D">
        <w:rPr>
          <w:lang w:eastAsia="en-AU"/>
        </w:rPr>
        <w:t>s</w:t>
      </w:r>
      <w:r>
        <w:rPr>
          <w:lang w:eastAsia="en-AU"/>
        </w:rPr>
        <w:t>1</w:t>
      </w:r>
      <w:r w:rsidRPr="006D704D">
        <w:rPr>
          <w:lang w:eastAsia="en-AU"/>
        </w:rPr>
        <w:t xml:space="preserve">6A of the Privacy Act would require Dr </w:t>
      </w:r>
      <w:proofErr w:type="spellStart"/>
      <w:r w:rsidRPr="006D704D">
        <w:rPr>
          <w:lang w:eastAsia="en-AU"/>
        </w:rPr>
        <w:t>Hambleton</w:t>
      </w:r>
      <w:proofErr w:type="spellEnd"/>
      <w:r w:rsidRPr="006D704D">
        <w:rPr>
          <w:lang w:eastAsia="en-AU"/>
        </w:rPr>
        <w:t xml:space="preserve"> and other health service providers to comply with NPP 10.1 when collecting information about a third party in the course of collecting </w:t>
      </w:r>
      <w:r>
        <w:t>a health consumer’s</w:t>
      </w:r>
      <w:r w:rsidRPr="006D704D">
        <w:rPr>
          <w:lang w:eastAsia="en-AU"/>
        </w:rPr>
        <w:t xml:space="preserve"> family, social or medical history.  This would generally require health service providers to obtain the consent of the third party to the collection of their personal information.</w:t>
      </w:r>
    </w:p>
    <w:p w14:paraId="42BC0B74" w14:textId="77777777" w:rsidR="00C30979" w:rsidRPr="006D704D" w:rsidRDefault="00C30979" w:rsidP="00C30979">
      <w:pPr>
        <w:pStyle w:val="Heading2"/>
        <w:rPr>
          <w:rFonts w:eastAsia="Times New Roman"/>
          <w:lang w:val="en-GB" w:eastAsia="en-AU"/>
        </w:rPr>
      </w:pPr>
      <w:r>
        <w:t>Pending</w:t>
      </w:r>
      <w:r w:rsidRPr="006D704D">
        <w:rPr>
          <w:rFonts w:eastAsia="Times New Roman"/>
          <w:lang w:val="en-GB" w:eastAsia="en-AU"/>
        </w:rPr>
        <w:t xml:space="preserve"> law reform</w:t>
      </w:r>
    </w:p>
    <w:p w14:paraId="43103D61" w14:textId="77777777" w:rsidR="00C30979" w:rsidRPr="006D704D" w:rsidRDefault="00C30979" w:rsidP="00C30979">
      <w:pPr>
        <w:rPr>
          <w:lang w:val="en-GB" w:eastAsia="en-AU"/>
        </w:rPr>
      </w:pPr>
      <w:r w:rsidRPr="006D704D">
        <w:rPr>
          <w:lang w:val="en-GB" w:eastAsia="en-AU"/>
        </w:rPr>
        <w:t>The former Office of the Privacy Commissioner (</w:t>
      </w:r>
      <w:r>
        <w:rPr>
          <w:lang w:val="en-GB" w:eastAsia="en-AU"/>
        </w:rPr>
        <w:t xml:space="preserve">the </w:t>
      </w:r>
      <w:r w:rsidRPr="006D704D">
        <w:rPr>
          <w:lang w:val="en-GB" w:eastAsia="en-AU"/>
        </w:rPr>
        <w:t>OPC)</w:t>
      </w:r>
      <w:r>
        <w:rPr>
          <w:lang w:val="en-GB" w:eastAsia="en-AU"/>
        </w:rPr>
        <w:t>, now the Office of the Australian Information Commissioner (the OAIC),</w:t>
      </w:r>
      <w:r w:rsidRPr="006D704D">
        <w:rPr>
          <w:lang w:val="en-GB" w:eastAsia="en-AU"/>
        </w:rPr>
        <w:t xml:space="preserve"> publicly acknowledged the clinical value of family and social medical history information</w:t>
      </w:r>
      <w:r>
        <w:rPr>
          <w:lang w:val="en-GB" w:eastAsia="en-AU"/>
        </w:rPr>
        <w:t>,</w:t>
      </w:r>
      <w:r w:rsidRPr="006D704D">
        <w:rPr>
          <w:lang w:val="en-GB" w:eastAsia="en-AU"/>
        </w:rPr>
        <w:t xml:space="preserve"> and recognised the widespread support for the activity in the health sector</w:t>
      </w:r>
      <w:r>
        <w:rPr>
          <w:lang w:val="en-GB" w:eastAsia="en-AU"/>
        </w:rPr>
        <w:t>,</w:t>
      </w:r>
      <w:r w:rsidRPr="006D704D">
        <w:rPr>
          <w:lang w:val="en-GB" w:eastAsia="en-AU"/>
        </w:rPr>
        <w:t xml:space="preserve"> in its submissions to the Australian Law Reform Commission (</w:t>
      </w:r>
      <w:r>
        <w:rPr>
          <w:lang w:val="en-GB" w:eastAsia="en-AU"/>
        </w:rPr>
        <w:t xml:space="preserve">the </w:t>
      </w:r>
      <w:r w:rsidRPr="006D704D">
        <w:rPr>
          <w:lang w:val="en-GB" w:eastAsia="en-AU"/>
        </w:rPr>
        <w:t>ALRC) review of Australian privacy law and practice.</w:t>
      </w:r>
    </w:p>
    <w:p w14:paraId="610F7CB7" w14:textId="77777777" w:rsidR="00C30979" w:rsidRPr="006D704D" w:rsidRDefault="00C30979" w:rsidP="00C30979">
      <w:pPr>
        <w:rPr>
          <w:lang w:val="en-GB" w:eastAsia="en-AU"/>
        </w:rPr>
      </w:pPr>
      <w:r w:rsidRPr="006D704D">
        <w:rPr>
          <w:lang w:val="en-GB"/>
        </w:rPr>
        <w:t xml:space="preserve">In its submissions, the OPC recommended that the Privacy Act be </w:t>
      </w:r>
      <w:r w:rsidRPr="006D704D">
        <w:rPr>
          <w:lang w:val="en-GB" w:eastAsia="en-AU"/>
        </w:rPr>
        <w:t>amended to allow health service providers to collect third party health information that is relevant to a health consumer's family or social medical histories, without the third party's consent.</w:t>
      </w:r>
      <w:r w:rsidRPr="006D704D">
        <w:rPr>
          <w:vertAlign w:val="superscript"/>
          <w:lang w:val="en-GB" w:eastAsia="en-AU"/>
        </w:rPr>
        <w:t xml:space="preserve"> </w:t>
      </w:r>
      <w:r w:rsidRPr="006D704D">
        <w:rPr>
          <w:vertAlign w:val="superscript"/>
          <w:lang w:val="en-GB" w:eastAsia="en-AU"/>
        </w:rPr>
        <w:footnoteReference w:id="6"/>
      </w:r>
      <w:r w:rsidRPr="006D704D">
        <w:rPr>
          <w:lang w:val="en-GB" w:eastAsia="en-AU"/>
        </w:rPr>
        <w:t xml:space="preserve"> </w:t>
      </w:r>
    </w:p>
    <w:p w14:paraId="2A306773" w14:textId="77777777" w:rsidR="00C30979" w:rsidRPr="006D704D" w:rsidRDefault="00C30979" w:rsidP="00C30979">
      <w:pPr>
        <w:rPr>
          <w:lang w:val="en-GB" w:eastAsia="en-AU"/>
        </w:rPr>
      </w:pPr>
      <w:r w:rsidRPr="006D704D">
        <w:rPr>
          <w:lang w:val="en-GB" w:eastAsia="en-AU"/>
        </w:rPr>
        <w:t xml:space="preserve">The ALRC released its </w:t>
      </w:r>
      <w:r>
        <w:rPr>
          <w:lang w:val="en-GB" w:eastAsia="en-AU"/>
        </w:rPr>
        <w:t>r</w:t>
      </w:r>
      <w:r w:rsidRPr="006D704D">
        <w:rPr>
          <w:lang w:val="en-GB" w:eastAsia="en-AU"/>
        </w:rPr>
        <w:t>eport ‘</w:t>
      </w:r>
      <w:proofErr w:type="gramStart"/>
      <w:r w:rsidRPr="006D704D">
        <w:rPr>
          <w:i/>
          <w:lang w:val="en-GB" w:eastAsia="en-AU"/>
        </w:rPr>
        <w:t>For</w:t>
      </w:r>
      <w:proofErr w:type="gramEnd"/>
      <w:r w:rsidRPr="006D704D">
        <w:rPr>
          <w:i/>
          <w:lang w:val="en-GB" w:eastAsia="en-AU"/>
        </w:rPr>
        <w:t xml:space="preserve"> your Information: Australian Privacy Law and Practice</w:t>
      </w:r>
      <w:r w:rsidRPr="006D704D">
        <w:rPr>
          <w:lang w:val="en-GB" w:eastAsia="en-AU"/>
        </w:rPr>
        <w:t>’ in August 2008 (Report 108).</w:t>
      </w:r>
      <w:r w:rsidRPr="006D704D">
        <w:rPr>
          <w:vertAlign w:val="superscript"/>
          <w:lang w:val="en-GB" w:eastAsia="en-AU"/>
        </w:rPr>
        <w:footnoteReference w:id="7"/>
      </w:r>
      <w:r w:rsidRPr="006D704D">
        <w:rPr>
          <w:lang w:val="en-GB" w:eastAsia="en-AU"/>
        </w:rPr>
        <w:t xml:space="preserve">  In Report 108, the ALRC recommended that new health regulations should include provisions based upon PIDs 10 and 10A.</w:t>
      </w:r>
      <w:r w:rsidRPr="006D704D">
        <w:rPr>
          <w:vertAlign w:val="superscript"/>
          <w:lang w:val="en" w:eastAsia="en-AU"/>
        </w:rPr>
        <w:t xml:space="preserve"> </w:t>
      </w:r>
      <w:r w:rsidRPr="006D704D">
        <w:rPr>
          <w:vertAlign w:val="superscript"/>
          <w:lang w:val="en" w:eastAsia="en-AU"/>
        </w:rPr>
        <w:footnoteReference w:id="8"/>
      </w:r>
      <w:r w:rsidRPr="006D704D">
        <w:rPr>
          <w:lang w:val="en-GB" w:eastAsia="en-AU"/>
        </w:rPr>
        <w:t xml:space="preserve">  </w:t>
      </w:r>
    </w:p>
    <w:p w14:paraId="1DFD80FE" w14:textId="77777777" w:rsidR="00C30979" w:rsidRPr="006D704D" w:rsidRDefault="00C30979" w:rsidP="00C30979">
      <w:pPr>
        <w:rPr>
          <w:lang w:val="en-GB" w:eastAsia="en-AU"/>
        </w:rPr>
      </w:pPr>
      <w:r w:rsidRPr="006D704D">
        <w:rPr>
          <w:lang w:val="en-GB" w:eastAsia="en-AU"/>
        </w:rPr>
        <w:t>In its First Stage Response to Report 108, the Australian Government accepted that recommendation, although it indicated the recommendation should be implemented by amending the Privacy Act.</w:t>
      </w:r>
      <w:r w:rsidRPr="006D704D">
        <w:rPr>
          <w:vertAlign w:val="superscript"/>
          <w:lang w:val="en-GB" w:eastAsia="en-AU"/>
        </w:rPr>
        <w:footnoteReference w:id="9"/>
      </w:r>
      <w:r w:rsidRPr="006D704D">
        <w:rPr>
          <w:lang w:val="en-GB" w:eastAsia="en-AU"/>
        </w:rPr>
        <w:t xml:space="preserve"> </w:t>
      </w:r>
    </w:p>
    <w:p w14:paraId="214A5E6D" w14:textId="2E449080" w:rsidR="00C30979" w:rsidRPr="006D704D" w:rsidRDefault="00C30979" w:rsidP="00C30979">
      <w:pPr>
        <w:rPr>
          <w:lang w:val="en-GB" w:eastAsia="en-AU"/>
        </w:rPr>
      </w:pPr>
      <w:r>
        <w:rPr>
          <w:lang w:val="en-GB" w:eastAsia="en-AU"/>
        </w:rPr>
        <w:t>While t</w:t>
      </w:r>
      <w:r w:rsidRPr="006D704D">
        <w:rPr>
          <w:lang w:val="en-GB" w:eastAsia="en-AU"/>
        </w:rPr>
        <w:t xml:space="preserve">he </w:t>
      </w:r>
      <w:r>
        <w:rPr>
          <w:lang w:val="en-GB" w:eastAsia="en-AU"/>
        </w:rPr>
        <w:t xml:space="preserve">Government is the process of preparing draft legislation to reform the Privacy Act, the necessary </w:t>
      </w:r>
      <w:r w:rsidRPr="006D704D">
        <w:rPr>
          <w:lang w:val="en-GB" w:eastAsia="en-AU"/>
        </w:rPr>
        <w:t xml:space="preserve">legislative reforms to the Privacy Act will </w:t>
      </w:r>
      <w:r>
        <w:rPr>
          <w:lang w:val="en-GB" w:eastAsia="en-AU"/>
        </w:rPr>
        <w:t xml:space="preserve">not </w:t>
      </w:r>
      <w:r w:rsidRPr="006D704D">
        <w:rPr>
          <w:lang w:val="en-GB" w:eastAsia="en-AU"/>
        </w:rPr>
        <w:t xml:space="preserve">be completed by </w:t>
      </w:r>
      <w:r>
        <w:rPr>
          <w:lang w:val="en-GB" w:eastAsia="en-AU"/>
        </w:rPr>
        <w:t>10 </w:t>
      </w:r>
      <w:r w:rsidRPr="006D704D">
        <w:rPr>
          <w:lang w:val="en-GB" w:eastAsia="en-AU"/>
        </w:rPr>
        <w:t>December 2011.</w:t>
      </w:r>
    </w:p>
    <w:p w14:paraId="3D154062" w14:textId="77777777" w:rsidR="00C30979" w:rsidRPr="006D704D" w:rsidRDefault="00C30979" w:rsidP="00C30979">
      <w:pPr>
        <w:pStyle w:val="Heading1"/>
        <w:rPr>
          <w:rFonts w:eastAsia="Times New Roman"/>
          <w:lang w:val="en-GB" w:eastAsia="en-AU"/>
        </w:rPr>
      </w:pPr>
      <w:r w:rsidRPr="006D704D">
        <w:rPr>
          <w:rFonts w:eastAsia="Times New Roman"/>
          <w:lang w:val="en-GB" w:eastAsia="en-AU"/>
        </w:rPr>
        <w:t>Consultation process</w:t>
      </w:r>
    </w:p>
    <w:p w14:paraId="7353BFB2" w14:textId="77777777" w:rsidR="00C30979" w:rsidRDefault="00C30979" w:rsidP="00C30979">
      <w:pPr>
        <w:pStyle w:val="Heading2"/>
        <w:rPr>
          <w:lang w:eastAsia="en-AU"/>
        </w:rPr>
      </w:pPr>
      <w:r>
        <w:rPr>
          <w:lang w:eastAsia="en-AU"/>
        </w:rPr>
        <w:t>Publication of the application and invitation of submissions</w:t>
      </w:r>
    </w:p>
    <w:p w14:paraId="6EEE1688" w14:textId="77777777" w:rsidR="00C30979" w:rsidRPr="006D704D" w:rsidRDefault="00C30979" w:rsidP="00C30979">
      <w:pPr>
        <w:rPr>
          <w:lang w:eastAsia="en-AU"/>
        </w:rPr>
      </w:pPr>
      <w:r w:rsidRPr="006D704D">
        <w:rPr>
          <w:lang w:eastAsia="en-AU"/>
        </w:rPr>
        <w:t xml:space="preserve">The OAIC invited submissions on Dr </w:t>
      </w:r>
      <w:proofErr w:type="spellStart"/>
      <w:r w:rsidRPr="006D704D">
        <w:rPr>
          <w:lang w:eastAsia="en-AU"/>
        </w:rPr>
        <w:t>Hambleton’s</w:t>
      </w:r>
      <w:proofErr w:type="spellEnd"/>
      <w:r w:rsidRPr="006D704D">
        <w:rPr>
          <w:lang w:eastAsia="en-AU"/>
        </w:rPr>
        <w:t xml:space="preserve"> application between 2</w:t>
      </w:r>
      <w:r>
        <w:rPr>
          <w:lang w:eastAsia="en-AU"/>
        </w:rPr>
        <w:t>0</w:t>
      </w:r>
      <w:r w:rsidRPr="006D704D">
        <w:rPr>
          <w:lang w:eastAsia="en-AU"/>
        </w:rPr>
        <w:t xml:space="preserve"> October and 11</w:t>
      </w:r>
      <w:r>
        <w:rPr>
          <w:lang w:eastAsia="en-AU"/>
        </w:rPr>
        <w:t> </w:t>
      </w:r>
      <w:r w:rsidRPr="006D704D">
        <w:rPr>
          <w:lang w:eastAsia="en-AU"/>
        </w:rPr>
        <w:t>November 2011.</w:t>
      </w:r>
    </w:p>
    <w:p w14:paraId="3EE35DD0" w14:textId="77777777" w:rsidR="00C30979" w:rsidRPr="006D704D" w:rsidRDefault="00C30979" w:rsidP="00C30979">
      <w:pPr>
        <w:rPr>
          <w:lang w:eastAsia="en-AU"/>
        </w:rPr>
      </w:pPr>
      <w:r w:rsidRPr="006D704D">
        <w:rPr>
          <w:lang w:eastAsia="en-AU"/>
        </w:rPr>
        <w:t xml:space="preserve">On </w:t>
      </w:r>
      <w:r w:rsidRPr="001B51E9">
        <w:rPr>
          <w:lang w:eastAsia="en-AU"/>
        </w:rPr>
        <w:t>20 October 2011</w:t>
      </w:r>
      <w:r w:rsidRPr="002B32BB">
        <w:rPr>
          <w:lang w:eastAsia="en-AU"/>
        </w:rPr>
        <w:t>,</w:t>
      </w:r>
      <w:r w:rsidRPr="006D704D">
        <w:rPr>
          <w:lang w:eastAsia="en-AU"/>
        </w:rPr>
        <w:t xml:space="preserve"> the OAIC published on its website:</w:t>
      </w:r>
    </w:p>
    <w:p w14:paraId="3392B886" w14:textId="77777777" w:rsidR="00C30979" w:rsidRPr="006D704D" w:rsidRDefault="00C30979" w:rsidP="00C30979">
      <w:pPr>
        <w:pStyle w:val="ListParagraph"/>
        <w:tabs>
          <w:tab w:val="clear" w:pos="720"/>
        </w:tabs>
        <w:rPr>
          <w:lang w:eastAsia="en-AU"/>
        </w:rPr>
      </w:pPr>
      <w:r w:rsidRPr="006D704D">
        <w:rPr>
          <w:lang w:eastAsia="en-AU"/>
        </w:rPr>
        <w:t xml:space="preserve">a copy of Dr </w:t>
      </w:r>
      <w:proofErr w:type="spellStart"/>
      <w:r w:rsidRPr="006D704D">
        <w:rPr>
          <w:lang w:eastAsia="en-AU"/>
        </w:rPr>
        <w:t>Hambleton’s</w:t>
      </w:r>
      <w:proofErr w:type="spellEnd"/>
      <w:r w:rsidRPr="006D704D">
        <w:rPr>
          <w:lang w:eastAsia="en-AU"/>
        </w:rPr>
        <w:t xml:space="preserve"> application, and</w:t>
      </w:r>
    </w:p>
    <w:p w14:paraId="1EBDBCDB" w14:textId="17684CE1" w:rsidR="00C30979" w:rsidRPr="006D704D" w:rsidRDefault="00C30979" w:rsidP="00C30979">
      <w:pPr>
        <w:pStyle w:val="ListParagraph"/>
        <w:tabs>
          <w:tab w:val="clear" w:pos="720"/>
        </w:tabs>
        <w:rPr>
          <w:lang w:eastAsia="en-AU"/>
        </w:rPr>
      </w:pPr>
      <w:proofErr w:type="gramStart"/>
      <w:r w:rsidRPr="006D704D">
        <w:rPr>
          <w:lang w:eastAsia="en-AU"/>
        </w:rPr>
        <w:t>a</w:t>
      </w:r>
      <w:proofErr w:type="gramEnd"/>
      <w:r w:rsidRPr="006D704D">
        <w:rPr>
          <w:lang w:eastAsia="en-AU"/>
        </w:rPr>
        <w:t xml:space="preserve"> consultation paper that included supporting information regarding Dr </w:t>
      </w:r>
      <w:proofErr w:type="spellStart"/>
      <w:r w:rsidRPr="006D704D">
        <w:rPr>
          <w:lang w:eastAsia="en-AU"/>
        </w:rPr>
        <w:t>Hambleton’s</w:t>
      </w:r>
      <w:proofErr w:type="spellEnd"/>
      <w:r w:rsidRPr="006D704D">
        <w:rPr>
          <w:lang w:eastAsia="en-AU"/>
        </w:rPr>
        <w:t xml:space="preserve"> application, the existing </w:t>
      </w:r>
      <w:hyperlink w:history="1"/>
      <w:r>
        <w:rPr>
          <w:lang w:eastAsia="en-AU"/>
        </w:rPr>
        <w:t>PIDs</w:t>
      </w:r>
      <w:r w:rsidRPr="006D704D">
        <w:rPr>
          <w:lang w:eastAsia="en-AU"/>
        </w:rPr>
        <w:t xml:space="preserve"> 10 and 10A, the issues raised by Dr </w:t>
      </w:r>
      <w:proofErr w:type="spellStart"/>
      <w:r w:rsidRPr="006D704D">
        <w:rPr>
          <w:lang w:eastAsia="en-AU"/>
        </w:rPr>
        <w:t>Hambleton’s</w:t>
      </w:r>
      <w:proofErr w:type="spellEnd"/>
      <w:r w:rsidRPr="006D704D">
        <w:rPr>
          <w:lang w:eastAsia="en-AU"/>
        </w:rPr>
        <w:t xml:space="preserve"> application, my preliminary views, and how to make a submission regarding the application</w:t>
      </w:r>
      <w:r>
        <w:rPr>
          <w:lang w:eastAsia="en-AU"/>
        </w:rPr>
        <w:t xml:space="preserve"> and proposed PIDs</w:t>
      </w:r>
      <w:r w:rsidRPr="006D704D">
        <w:rPr>
          <w:lang w:eastAsia="en-AU"/>
        </w:rPr>
        <w:t>.</w:t>
      </w:r>
      <w:r w:rsidRPr="006D704D">
        <w:rPr>
          <w:vertAlign w:val="superscript"/>
          <w:lang w:eastAsia="en-AU"/>
        </w:rPr>
        <w:footnoteReference w:id="10"/>
      </w:r>
      <w:r w:rsidRPr="006D704D">
        <w:rPr>
          <w:lang w:eastAsia="en-AU"/>
        </w:rPr>
        <w:t xml:space="preserve"> </w:t>
      </w:r>
    </w:p>
    <w:p w14:paraId="7002DEAB" w14:textId="77777777" w:rsidR="00C30979" w:rsidRDefault="00C30979" w:rsidP="00C30979">
      <w:pPr>
        <w:rPr>
          <w:lang w:eastAsia="en-AU"/>
        </w:rPr>
      </w:pPr>
      <w:r w:rsidRPr="006D704D">
        <w:rPr>
          <w:lang w:eastAsia="en-AU"/>
        </w:rPr>
        <w:t>All material was published in accessible and downloadable formats, and was available in hard copy on request.</w:t>
      </w:r>
    </w:p>
    <w:p w14:paraId="39254068" w14:textId="77777777" w:rsidR="00C30979" w:rsidRDefault="00C30979" w:rsidP="00C30979">
      <w:pPr>
        <w:rPr>
          <w:lang w:eastAsia="en-AU"/>
        </w:rPr>
      </w:pPr>
      <w:r>
        <w:rPr>
          <w:lang w:eastAsia="en-AU"/>
        </w:rPr>
        <w:t>The consultation was publicised:</w:t>
      </w:r>
    </w:p>
    <w:p w14:paraId="65249A0A" w14:textId="77777777" w:rsidR="00C30979" w:rsidRDefault="00C30979" w:rsidP="00733726">
      <w:pPr>
        <w:pStyle w:val="ListParagraph"/>
        <w:numPr>
          <w:ilvl w:val="0"/>
          <w:numId w:val="19"/>
        </w:numPr>
        <w:ind w:hanging="578"/>
        <w:rPr>
          <w:lang w:eastAsia="en-AU"/>
        </w:rPr>
      </w:pPr>
      <w:r>
        <w:rPr>
          <w:lang w:eastAsia="en-AU"/>
        </w:rPr>
        <w:t xml:space="preserve">by notation on the OAIC’s website, </w:t>
      </w:r>
    </w:p>
    <w:p w14:paraId="48365DAE" w14:textId="77777777" w:rsidR="00C30979" w:rsidRDefault="00C30979" w:rsidP="00733726">
      <w:pPr>
        <w:pStyle w:val="ListParagraph"/>
        <w:numPr>
          <w:ilvl w:val="0"/>
          <w:numId w:val="19"/>
        </w:numPr>
        <w:ind w:hanging="578"/>
        <w:rPr>
          <w:lang w:eastAsia="en-AU"/>
        </w:rPr>
      </w:pPr>
      <w:r>
        <w:rPr>
          <w:lang w:eastAsia="en-AU"/>
        </w:rPr>
        <w:t>on the OAIC’s Twitter feed,</w:t>
      </w:r>
    </w:p>
    <w:p w14:paraId="68B4B333" w14:textId="77777777" w:rsidR="00C30979" w:rsidRDefault="00C30979" w:rsidP="00733726">
      <w:pPr>
        <w:pStyle w:val="ListParagraph"/>
        <w:numPr>
          <w:ilvl w:val="0"/>
          <w:numId w:val="19"/>
        </w:numPr>
        <w:ind w:hanging="578"/>
        <w:rPr>
          <w:lang w:eastAsia="en-AU"/>
        </w:rPr>
      </w:pPr>
      <w:r>
        <w:rPr>
          <w:lang w:eastAsia="en-AU"/>
        </w:rPr>
        <w:t xml:space="preserve">through the OAIC email list, </w:t>
      </w:r>
      <w:proofErr w:type="spellStart"/>
      <w:r>
        <w:rPr>
          <w:lang w:eastAsia="en-AU"/>
        </w:rPr>
        <w:t>OAICnet</w:t>
      </w:r>
      <w:proofErr w:type="spellEnd"/>
      <w:r>
        <w:rPr>
          <w:lang w:eastAsia="en-AU"/>
        </w:rPr>
        <w:t xml:space="preserve"> </w:t>
      </w:r>
    </w:p>
    <w:p w14:paraId="774BA74E" w14:textId="77777777" w:rsidR="00C30979" w:rsidRDefault="00C30979" w:rsidP="00733726">
      <w:pPr>
        <w:pStyle w:val="ListParagraph"/>
        <w:numPr>
          <w:ilvl w:val="0"/>
          <w:numId w:val="19"/>
        </w:numPr>
        <w:ind w:hanging="578"/>
        <w:rPr>
          <w:lang w:eastAsia="en-AU"/>
        </w:rPr>
      </w:pPr>
      <w:r>
        <w:rPr>
          <w:lang w:eastAsia="en-AU"/>
        </w:rPr>
        <w:t>through the OAIC’s RDF Site Summary (RSS) feed, and</w:t>
      </w:r>
    </w:p>
    <w:p w14:paraId="2C5E5E3D" w14:textId="77777777" w:rsidR="00C30979" w:rsidRPr="006D704D" w:rsidRDefault="00C30979" w:rsidP="00733726">
      <w:pPr>
        <w:pStyle w:val="ListParagraph"/>
        <w:numPr>
          <w:ilvl w:val="0"/>
          <w:numId w:val="19"/>
        </w:numPr>
        <w:ind w:hanging="578"/>
        <w:rPr>
          <w:lang w:eastAsia="en-AU"/>
        </w:rPr>
      </w:pPr>
      <w:proofErr w:type="gramStart"/>
      <w:r>
        <w:rPr>
          <w:lang w:eastAsia="en-AU"/>
        </w:rPr>
        <w:t>on</w:t>
      </w:r>
      <w:proofErr w:type="gramEnd"/>
      <w:r>
        <w:rPr>
          <w:lang w:eastAsia="en-AU"/>
        </w:rPr>
        <w:t xml:space="preserve"> the Australian Government online forum, </w:t>
      </w:r>
      <w:proofErr w:type="spellStart"/>
      <w:r>
        <w:rPr>
          <w:lang w:eastAsia="en-AU"/>
        </w:rPr>
        <w:t>GovDex</w:t>
      </w:r>
      <w:proofErr w:type="spellEnd"/>
      <w:r>
        <w:rPr>
          <w:lang w:eastAsia="en-AU"/>
        </w:rPr>
        <w:t xml:space="preserve">. </w:t>
      </w:r>
    </w:p>
    <w:p w14:paraId="3B520A39" w14:textId="77777777" w:rsidR="00C30979" w:rsidRPr="006D704D" w:rsidRDefault="00C30979" w:rsidP="00C30979">
      <w:pPr>
        <w:rPr>
          <w:lang w:eastAsia="en-AU"/>
        </w:rPr>
      </w:pPr>
      <w:r w:rsidRPr="006D704D">
        <w:rPr>
          <w:lang w:eastAsia="en-AU"/>
        </w:rPr>
        <w:t xml:space="preserve">In addition, on 21 October 2011, </w:t>
      </w:r>
      <w:r>
        <w:rPr>
          <w:lang w:eastAsia="en-AU"/>
        </w:rPr>
        <w:t>the OAIC directly contacted (by letter or email) the following individuals and entities to notify them of</w:t>
      </w:r>
      <w:r w:rsidRPr="006D704D">
        <w:rPr>
          <w:lang w:eastAsia="en-AU"/>
        </w:rPr>
        <w:t xml:space="preserve"> Dr </w:t>
      </w:r>
      <w:proofErr w:type="spellStart"/>
      <w:r w:rsidRPr="006D704D">
        <w:rPr>
          <w:lang w:eastAsia="en-AU"/>
        </w:rPr>
        <w:t>Hambleton’s</w:t>
      </w:r>
      <w:proofErr w:type="spellEnd"/>
      <w:r w:rsidRPr="006D704D">
        <w:rPr>
          <w:lang w:eastAsia="en-AU"/>
        </w:rPr>
        <w:t xml:space="preserve"> application</w:t>
      </w:r>
      <w:r>
        <w:rPr>
          <w:lang w:eastAsia="en-AU"/>
        </w:rPr>
        <w:t>, and to invite submissions:</w:t>
      </w:r>
      <w:r w:rsidRPr="006D704D">
        <w:rPr>
          <w:lang w:eastAsia="en-AU"/>
        </w:rPr>
        <w:t xml:space="preserve"> </w:t>
      </w:r>
    </w:p>
    <w:p w14:paraId="555F1229" w14:textId="175A0711" w:rsidR="00C30979" w:rsidRPr="006D704D" w:rsidRDefault="00C30979" w:rsidP="00C30979">
      <w:pPr>
        <w:pStyle w:val="ListParagraph"/>
        <w:tabs>
          <w:tab w:val="clear" w:pos="720"/>
        </w:tabs>
        <w:rPr>
          <w:lang w:eastAsia="en-AU"/>
        </w:rPr>
      </w:pPr>
      <w:r w:rsidRPr="006D704D">
        <w:rPr>
          <w:lang w:eastAsia="en-AU"/>
        </w:rPr>
        <w:t>the members of the OAIC’s Privacy Advisory Committee</w:t>
      </w:r>
      <w:r>
        <w:rPr>
          <w:lang w:eastAsia="en-AU"/>
        </w:rPr>
        <w:t xml:space="preserve"> (the PAC)</w:t>
      </w:r>
      <w:r w:rsidRPr="006D704D">
        <w:rPr>
          <w:lang w:eastAsia="en-AU"/>
        </w:rPr>
        <w:t xml:space="preserve"> </w:t>
      </w:r>
    </w:p>
    <w:p w14:paraId="3B48867C" w14:textId="77777777" w:rsidR="00C30979" w:rsidRPr="006D704D" w:rsidRDefault="00C30979" w:rsidP="00C30979">
      <w:pPr>
        <w:pStyle w:val="ListParagraph"/>
        <w:tabs>
          <w:tab w:val="clear" w:pos="720"/>
        </w:tabs>
        <w:rPr>
          <w:lang w:eastAsia="en-AU"/>
        </w:rPr>
      </w:pPr>
      <w:r w:rsidRPr="006D704D">
        <w:rPr>
          <w:lang w:eastAsia="en-AU"/>
        </w:rPr>
        <w:t xml:space="preserve">the members of the Privacy Authorities Australia network, and </w:t>
      </w:r>
    </w:p>
    <w:p w14:paraId="685C29D9" w14:textId="77777777" w:rsidR="00C30979" w:rsidRPr="006D704D" w:rsidRDefault="00C30979" w:rsidP="00C30979">
      <w:pPr>
        <w:pStyle w:val="ListParagraph"/>
        <w:tabs>
          <w:tab w:val="clear" w:pos="720"/>
        </w:tabs>
        <w:rPr>
          <w:lang w:eastAsia="en-AU"/>
        </w:rPr>
      </w:pPr>
      <w:r w:rsidRPr="006D704D">
        <w:rPr>
          <w:lang w:eastAsia="en-AU"/>
        </w:rPr>
        <w:t>34 key privacy, health professional and health consumer stakeholder organisations.</w:t>
      </w:r>
    </w:p>
    <w:p w14:paraId="32BE4BC4" w14:textId="77777777" w:rsidR="00C30979" w:rsidRPr="006D704D" w:rsidRDefault="00C30979" w:rsidP="00C30979">
      <w:pPr>
        <w:pStyle w:val="Heading2"/>
        <w:rPr>
          <w:rFonts w:eastAsia="Times New Roman"/>
          <w:lang w:val="en-GB" w:eastAsia="en-AU"/>
        </w:rPr>
      </w:pPr>
      <w:r w:rsidRPr="006D704D">
        <w:rPr>
          <w:rFonts w:eastAsia="Times New Roman"/>
          <w:lang w:val="en-GB" w:eastAsia="en-AU"/>
        </w:rPr>
        <w:t xml:space="preserve">Submissions received regarding Dr </w:t>
      </w:r>
      <w:proofErr w:type="spellStart"/>
      <w:r w:rsidRPr="006D704D">
        <w:rPr>
          <w:rFonts w:eastAsia="Times New Roman"/>
          <w:lang w:val="en-GB" w:eastAsia="en-AU"/>
        </w:rPr>
        <w:t>Hambleton’s</w:t>
      </w:r>
      <w:proofErr w:type="spellEnd"/>
      <w:r w:rsidRPr="006D704D">
        <w:rPr>
          <w:rFonts w:eastAsia="Times New Roman"/>
          <w:lang w:val="en-GB" w:eastAsia="en-AU"/>
        </w:rPr>
        <w:t xml:space="preserve"> application</w:t>
      </w:r>
    </w:p>
    <w:p w14:paraId="496D6130" w14:textId="77777777" w:rsidR="00C30979" w:rsidRPr="006D704D" w:rsidRDefault="00C30979" w:rsidP="00C30979">
      <w:pPr>
        <w:rPr>
          <w:lang w:eastAsia="en-AU"/>
        </w:rPr>
      </w:pPr>
      <w:r w:rsidRPr="006D704D">
        <w:rPr>
          <w:lang w:eastAsia="en-AU"/>
        </w:rPr>
        <w:t xml:space="preserve">The following </w:t>
      </w:r>
      <w:r>
        <w:rPr>
          <w:lang w:eastAsia="en-AU"/>
        </w:rPr>
        <w:t>individuals and entities</w:t>
      </w:r>
      <w:r w:rsidRPr="006D704D">
        <w:rPr>
          <w:lang w:eastAsia="en-AU"/>
        </w:rPr>
        <w:t xml:space="preserve"> made</w:t>
      </w:r>
      <w:r>
        <w:rPr>
          <w:lang w:eastAsia="en-AU"/>
        </w:rPr>
        <w:t xml:space="preserve"> written</w:t>
      </w:r>
      <w:r w:rsidRPr="006D704D">
        <w:rPr>
          <w:lang w:eastAsia="en-AU"/>
        </w:rPr>
        <w:t xml:space="preserve"> submissions regarding Dr </w:t>
      </w:r>
      <w:proofErr w:type="spellStart"/>
      <w:r w:rsidRPr="006D704D">
        <w:rPr>
          <w:lang w:eastAsia="en-AU"/>
        </w:rPr>
        <w:t>Hambleton’s</w:t>
      </w:r>
      <w:proofErr w:type="spellEnd"/>
      <w:r w:rsidRPr="006D704D">
        <w:rPr>
          <w:lang w:eastAsia="en-AU"/>
        </w:rPr>
        <w:t xml:space="preserve"> application:</w:t>
      </w:r>
    </w:p>
    <w:p w14:paraId="0436571E" w14:textId="77777777" w:rsidR="00C30979" w:rsidRPr="006D704D" w:rsidRDefault="00C30979" w:rsidP="00C30979">
      <w:pPr>
        <w:pStyle w:val="ListParagraph"/>
        <w:tabs>
          <w:tab w:val="clear" w:pos="720"/>
        </w:tabs>
        <w:rPr>
          <w:lang w:eastAsia="en-AU"/>
        </w:rPr>
      </w:pPr>
      <w:r w:rsidRPr="006D704D">
        <w:rPr>
          <w:lang w:eastAsia="en-AU"/>
        </w:rPr>
        <w:t>Consumers Health Forum of Australia</w:t>
      </w:r>
    </w:p>
    <w:p w14:paraId="33B8C3DC" w14:textId="77777777" w:rsidR="00C30979" w:rsidRDefault="00C30979" w:rsidP="00C30979">
      <w:pPr>
        <w:pStyle w:val="ListParagraph"/>
        <w:tabs>
          <w:tab w:val="clear" w:pos="720"/>
        </w:tabs>
        <w:rPr>
          <w:lang w:eastAsia="en-AU"/>
        </w:rPr>
      </w:pPr>
      <w:r>
        <w:rPr>
          <w:lang w:eastAsia="en-AU"/>
        </w:rPr>
        <w:t>Professor Michael Kidd AM, Faculty of Health Sciences, Flinders University, and member of the PAC</w:t>
      </w:r>
    </w:p>
    <w:p w14:paraId="523E9DF8" w14:textId="77777777" w:rsidR="00C30979" w:rsidRPr="006D704D" w:rsidRDefault="00C30979" w:rsidP="00C30979">
      <w:pPr>
        <w:pStyle w:val="ListParagraph"/>
        <w:tabs>
          <w:tab w:val="clear" w:pos="720"/>
        </w:tabs>
        <w:rPr>
          <w:lang w:eastAsia="en-AU"/>
        </w:rPr>
      </w:pPr>
      <w:r w:rsidRPr="006D704D">
        <w:rPr>
          <w:lang w:eastAsia="en-AU"/>
        </w:rPr>
        <w:t>Queensland Health</w:t>
      </w:r>
    </w:p>
    <w:p w14:paraId="473F2522" w14:textId="77777777" w:rsidR="00C30979" w:rsidRPr="006D704D" w:rsidRDefault="00C30979" w:rsidP="00C30979">
      <w:pPr>
        <w:pStyle w:val="ListParagraph"/>
        <w:tabs>
          <w:tab w:val="clear" w:pos="720"/>
        </w:tabs>
        <w:rPr>
          <w:lang w:eastAsia="en-AU"/>
        </w:rPr>
      </w:pPr>
      <w:r w:rsidRPr="006D704D">
        <w:rPr>
          <w:lang w:eastAsia="en-AU"/>
        </w:rPr>
        <w:t>Queensland Health Quality and Complaint Commission (HQCC)</w:t>
      </w:r>
      <w:r>
        <w:rPr>
          <w:lang w:eastAsia="en-AU"/>
        </w:rPr>
        <w:t>, and</w:t>
      </w:r>
    </w:p>
    <w:p w14:paraId="5C8074B9" w14:textId="77777777" w:rsidR="00C30979" w:rsidRPr="006D704D" w:rsidRDefault="00C30979" w:rsidP="00C30979">
      <w:pPr>
        <w:pStyle w:val="ListParagraph"/>
        <w:tabs>
          <w:tab w:val="clear" w:pos="720"/>
        </w:tabs>
        <w:rPr>
          <w:lang w:eastAsia="en-AU"/>
        </w:rPr>
      </w:pPr>
      <w:r w:rsidRPr="006D704D">
        <w:rPr>
          <w:lang w:eastAsia="en-AU"/>
        </w:rPr>
        <w:t>South Australian Health and Community Complaints Commissioner (HCSCC)</w:t>
      </w:r>
      <w:r>
        <w:rPr>
          <w:lang w:eastAsia="en-AU"/>
        </w:rPr>
        <w:t>.</w:t>
      </w:r>
    </w:p>
    <w:p w14:paraId="470AC236" w14:textId="77777777" w:rsidR="00C30979" w:rsidRPr="006D704D" w:rsidRDefault="00C30979" w:rsidP="00C30979">
      <w:pPr>
        <w:rPr>
          <w:lang w:eastAsia="en-AU"/>
        </w:rPr>
      </w:pPr>
      <w:r w:rsidRPr="006D704D">
        <w:rPr>
          <w:lang w:eastAsia="en-AU"/>
        </w:rPr>
        <w:t xml:space="preserve">In his application, Dr </w:t>
      </w:r>
      <w:proofErr w:type="spellStart"/>
      <w:r w:rsidRPr="006D704D">
        <w:rPr>
          <w:lang w:eastAsia="en-AU"/>
        </w:rPr>
        <w:t>Hambleton</w:t>
      </w:r>
      <w:proofErr w:type="spellEnd"/>
      <w:r w:rsidRPr="006D704D">
        <w:rPr>
          <w:lang w:eastAsia="en-AU"/>
        </w:rPr>
        <w:t xml:space="preserve"> advised that the Australian Medical Association also supported the application.</w:t>
      </w:r>
    </w:p>
    <w:p w14:paraId="02C965C4" w14:textId="77777777" w:rsidR="00C30979" w:rsidRPr="006D704D" w:rsidRDefault="00C30979" w:rsidP="00C30979">
      <w:pPr>
        <w:rPr>
          <w:lang w:eastAsia="en-AU"/>
        </w:rPr>
      </w:pPr>
      <w:r w:rsidRPr="006D704D">
        <w:rPr>
          <w:lang w:eastAsia="en-AU"/>
        </w:rPr>
        <w:t xml:space="preserve">All five submissions were supportive of Dr </w:t>
      </w:r>
      <w:proofErr w:type="spellStart"/>
      <w:r w:rsidRPr="006D704D">
        <w:rPr>
          <w:lang w:eastAsia="en-AU"/>
        </w:rPr>
        <w:t>Hambleton’s</w:t>
      </w:r>
      <w:proofErr w:type="spellEnd"/>
      <w:r w:rsidRPr="006D704D">
        <w:rPr>
          <w:lang w:eastAsia="en-AU"/>
        </w:rPr>
        <w:t xml:space="preserve"> application.</w:t>
      </w:r>
    </w:p>
    <w:p w14:paraId="0351C302" w14:textId="77777777" w:rsidR="00C30979" w:rsidRPr="006D704D" w:rsidRDefault="00C30979" w:rsidP="00C30979">
      <w:pPr>
        <w:rPr>
          <w:lang w:eastAsia="en-AU"/>
        </w:rPr>
      </w:pPr>
      <w:r>
        <w:rPr>
          <w:lang w:eastAsia="en-AU"/>
        </w:rPr>
        <w:t>A</w:t>
      </w:r>
      <w:r w:rsidRPr="006D704D">
        <w:rPr>
          <w:lang w:eastAsia="en-AU"/>
        </w:rPr>
        <w:t xml:space="preserve">ll submitters noted the continued importance of permitting the collection of such information for the adequate diagnosis, treatment and ongoing care of </w:t>
      </w:r>
      <w:r>
        <w:t>health consumers</w:t>
      </w:r>
      <w:r w:rsidRPr="006D704D">
        <w:rPr>
          <w:lang w:eastAsia="en-AU"/>
        </w:rPr>
        <w:t>.</w:t>
      </w:r>
    </w:p>
    <w:p w14:paraId="72B2DD0C" w14:textId="77777777" w:rsidR="00C30979" w:rsidRPr="006D704D" w:rsidRDefault="00C30979" w:rsidP="00C30979">
      <w:pPr>
        <w:pStyle w:val="Heading2"/>
        <w:rPr>
          <w:rFonts w:eastAsia="Times New Roman"/>
          <w:lang w:val="en-GB" w:eastAsia="en-AU"/>
        </w:rPr>
      </w:pPr>
      <w:r w:rsidRPr="006D704D">
        <w:rPr>
          <w:rFonts w:eastAsia="Times New Roman"/>
          <w:lang w:val="en-GB" w:eastAsia="en-AU"/>
        </w:rPr>
        <w:t>OAIC experience with PID 9 and 9A</w:t>
      </w:r>
      <w:r>
        <w:rPr>
          <w:rFonts w:eastAsia="Times New Roman"/>
          <w:lang w:val="en-GB" w:eastAsia="en-AU"/>
        </w:rPr>
        <w:t>, and</w:t>
      </w:r>
      <w:r w:rsidRPr="006D704D">
        <w:rPr>
          <w:rFonts w:eastAsia="Times New Roman"/>
          <w:lang w:val="en-GB" w:eastAsia="en-AU"/>
        </w:rPr>
        <w:t xml:space="preserve"> 10 and 10A</w:t>
      </w:r>
    </w:p>
    <w:p w14:paraId="52D70479" w14:textId="77777777" w:rsidR="00C30979" w:rsidRPr="006D704D" w:rsidRDefault="00C30979" w:rsidP="00C30979">
      <w:pPr>
        <w:rPr>
          <w:lang w:eastAsia="en-AU"/>
        </w:rPr>
      </w:pPr>
      <w:r w:rsidRPr="006D704D">
        <w:rPr>
          <w:lang w:eastAsia="en-AU"/>
        </w:rPr>
        <w:t>The OAIC understands that the existing PIDs 10 and 10A have been operating effectively since 2007.  The OAIC has not received, and the former OPC did not receive, any complaints in relation to the existing PIDs.</w:t>
      </w:r>
    </w:p>
    <w:p w14:paraId="1DD3768B" w14:textId="77777777" w:rsidR="00C30979" w:rsidRPr="006D704D" w:rsidRDefault="00C30979" w:rsidP="00C30979">
      <w:pPr>
        <w:rPr>
          <w:lang w:eastAsia="en-AU"/>
        </w:rPr>
      </w:pPr>
      <w:r w:rsidRPr="006D704D">
        <w:rPr>
          <w:lang w:eastAsia="en-AU"/>
        </w:rPr>
        <w:t>Similarly, the OAIC understands that PIDs 9 and 9A operated effectively from 2002 to 2007.  No submissions to the former OPC’s Private Sector Review criticised the content or effect of PIDs 9 and 9A.  The OPC did not receive any complaints regarding PIDs 9 and 9A.</w:t>
      </w:r>
    </w:p>
    <w:p w14:paraId="54776B24" w14:textId="77777777" w:rsidR="00C30979" w:rsidRPr="00544E23" w:rsidRDefault="00C30979" w:rsidP="00C30979">
      <w:pPr>
        <w:pStyle w:val="Heading1"/>
      </w:pPr>
      <w:r w:rsidRPr="00544E23">
        <w:t>Requirements of s72</w:t>
      </w:r>
      <w:r>
        <w:t xml:space="preserve"> of the Privacy Act</w:t>
      </w:r>
    </w:p>
    <w:p w14:paraId="04562A36" w14:textId="77777777" w:rsidR="00C30979" w:rsidRPr="00544E23" w:rsidRDefault="00C30979" w:rsidP="00C30979">
      <w:pPr>
        <w:pStyle w:val="OPCbody"/>
        <w:rPr>
          <w:rFonts w:asciiTheme="minorHAnsi" w:hAnsiTheme="minorHAnsi" w:cstheme="minorHAnsi"/>
        </w:rPr>
      </w:pPr>
      <w:r w:rsidRPr="00544E23">
        <w:rPr>
          <w:rFonts w:asciiTheme="minorHAnsi" w:hAnsiTheme="minorHAnsi" w:cstheme="minorHAnsi"/>
        </w:rPr>
        <w:t xml:space="preserve">Under </w:t>
      </w:r>
      <w:proofErr w:type="gramStart"/>
      <w:r w:rsidRPr="00544E23">
        <w:rPr>
          <w:rFonts w:asciiTheme="minorHAnsi" w:hAnsiTheme="minorHAnsi" w:cstheme="minorHAnsi"/>
        </w:rPr>
        <w:t>s72(</w:t>
      </w:r>
      <w:proofErr w:type="gramEnd"/>
      <w:r w:rsidRPr="00544E23">
        <w:rPr>
          <w:rFonts w:asciiTheme="minorHAnsi" w:hAnsiTheme="minorHAnsi" w:cstheme="minorHAnsi"/>
        </w:rPr>
        <w:t>2) of the Privacy Act,</w:t>
      </w:r>
      <w:r w:rsidRPr="00544E23">
        <w:rPr>
          <w:rFonts w:asciiTheme="minorHAnsi" w:hAnsiTheme="minorHAnsi" w:cstheme="minorHAnsi"/>
          <w:i/>
        </w:rPr>
        <w:t xml:space="preserve"> </w:t>
      </w:r>
      <w:r w:rsidRPr="00544E23">
        <w:rPr>
          <w:rFonts w:asciiTheme="minorHAnsi" w:hAnsiTheme="minorHAnsi" w:cstheme="minorHAnsi"/>
        </w:rPr>
        <w:t>I am empowered to make a written determination where I am satisfied that:</w:t>
      </w:r>
    </w:p>
    <w:p w14:paraId="789DFCD5" w14:textId="77777777" w:rsidR="00C30979" w:rsidRPr="00321C68" w:rsidRDefault="00C30979" w:rsidP="00C30979">
      <w:pPr>
        <w:pStyle w:val="OPCbody"/>
        <w:numPr>
          <w:ilvl w:val="0"/>
          <w:numId w:val="15"/>
        </w:numPr>
        <w:tabs>
          <w:tab w:val="clear" w:pos="1080"/>
          <w:tab w:val="num" w:pos="1418"/>
        </w:tabs>
        <w:ind w:left="1418" w:hanging="709"/>
        <w:rPr>
          <w:rFonts w:asciiTheme="minorHAnsi" w:hAnsiTheme="minorHAnsi" w:cstheme="minorHAnsi"/>
          <w:i/>
        </w:rPr>
      </w:pPr>
      <w:r w:rsidRPr="00321C68">
        <w:rPr>
          <w:rFonts w:asciiTheme="minorHAnsi" w:hAnsiTheme="minorHAnsi" w:cstheme="minorHAnsi"/>
          <w:i/>
        </w:rPr>
        <w:t>an act or practice of an organisation breaches, or may breach… a National Privacy Principle that binds the organisation; but</w:t>
      </w:r>
    </w:p>
    <w:p w14:paraId="5FF95F74" w14:textId="77777777" w:rsidR="00C30979" w:rsidRPr="00321C68" w:rsidRDefault="00C30979" w:rsidP="00C30979">
      <w:pPr>
        <w:pStyle w:val="OPCbody"/>
        <w:numPr>
          <w:ilvl w:val="0"/>
          <w:numId w:val="15"/>
        </w:numPr>
        <w:tabs>
          <w:tab w:val="clear" w:pos="1080"/>
          <w:tab w:val="num" w:pos="1418"/>
        </w:tabs>
        <w:ind w:left="1418" w:hanging="709"/>
        <w:rPr>
          <w:rFonts w:asciiTheme="minorHAnsi" w:hAnsiTheme="minorHAnsi" w:cstheme="minorHAnsi"/>
          <w:i/>
        </w:rPr>
      </w:pPr>
      <w:proofErr w:type="gramStart"/>
      <w:r w:rsidRPr="00321C68">
        <w:rPr>
          <w:rFonts w:asciiTheme="minorHAnsi" w:hAnsiTheme="minorHAnsi" w:cstheme="minorHAnsi"/>
          <w:i/>
        </w:rPr>
        <w:t>the</w:t>
      </w:r>
      <w:proofErr w:type="gramEnd"/>
      <w:r w:rsidRPr="00321C68">
        <w:rPr>
          <w:rFonts w:asciiTheme="minorHAnsi" w:hAnsiTheme="minorHAnsi" w:cstheme="minorHAnsi"/>
          <w:i/>
        </w:rPr>
        <w:t xml:space="preserve"> public interest in the organisation doing the act, or engaging in the practice, substantially outweighs the public interest in adhering to that… Principle. </w:t>
      </w:r>
    </w:p>
    <w:p w14:paraId="7CCFCA84" w14:textId="73CDDAE8" w:rsidR="00C30979" w:rsidRPr="00544E23" w:rsidRDefault="00C30979" w:rsidP="00C30979">
      <w:pPr>
        <w:rPr>
          <w:color w:val="FF00FF"/>
        </w:rPr>
      </w:pPr>
      <w:r w:rsidRPr="00544E23">
        <w:t xml:space="preserve">Under </w:t>
      </w:r>
      <w:proofErr w:type="gramStart"/>
      <w:r w:rsidRPr="00544E23">
        <w:t>s72(</w:t>
      </w:r>
      <w:proofErr w:type="gramEnd"/>
      <w:r w:rsidRPr="00544E23">
        <w:t xml:space="preserve">3) of the Privacy Act, the effect of such a determination is that the act or practice of the organisation will be disregarded for the purposes of s16A of the Privacy Act. </w:t>
      </w:r>
      <w:r>
        <w:t xml:space="preserve"> </w:t>
      </w:r>
      <w:r w:rsidRPr="00544E23">
        <w:t xml:space="preserve">That is, the act or practice will not be regarded as an act or practice that breaches an NPP. </w:t>
      </w:r>
    </w:p>
    <w:p w14:paraId="4A9920F0" w14:textId="77777777" w:rsidR="00C30979" w:rsidRPr="006D704D" w:rsidRDefault="00C30979" w:rsidP="00C30979">
      <w:pPr>
        <w:pStyle w:val="Heading2"/>
        <w:rPr>
          <w:rFonts w:eastAsia="Times New Roman"/>
          <w:lang w:val="en-GB" w:eastAsia="en-AU"/>
        </w:rPr>
      </w:pPr>
      <w:r w:rsidRPr="006D704D">
        <w:rPr>
          <w:rFonts w:eastAsia="Times New Roman"/>
          <w:lang w:val="en-GB" w:eastAsia="en-AU"/>
        </w:rPr>
        <w:t>Breach of National Privacy Principle 10.1</w:t>
      </w:r>
    </w:p>
    <w:p w14:paraId="6F91821C" w14:textId="204EB759" w:rsidR="00C30979" w:rsidRPr="006D704D" w:rsidRDefault="00C30979" w:rsidP="00C30979">
      <w:pPr>
        <w:rPr>
          <w:lang w:eastAsia="en-AU"/>
        </w:rPr>
      </w:pPr>
      <w:r w:rsidRPr="006D704D">
        <w:rPr>
          <w:lang w:eastAsia="en-AU"/>
        </w:rPr>
        <w:t xml:space="preserve">As set out in Dr </w:t>
      </w:r>
      <w:proofErr w:type="spellStart"/>
      <w:r w:rsidRPr="006D704D">
        <w:rPr>
          <w:lang w:eastAsia="en-AU"/>
        </w:rPr>
        <w:t>Hambleton’s</w:t>
      </w:r>
      <w:proofErr w:type="spellEnd"/>
      <w:r w:rsidRPr="006D704D">
        <w:rPr>
          <w:lang w:eastAsia="en-AU"/>
        </w:rPr>
        <w:t xml:space="preserve"> application, the acts or practices that are the subject of PID 12 involve the collection</w:t>
      </w:r>
      <w:r>
        <w:rPr>
          <w:lang w:eastAsia="en-AU"/>
        </w:rPr>
        <w:t>,</w:t>
      </w:r>
      <w:r w:rsidRPr="006D704D">
        <w:rPr>
          <w:lang w:eastAsia="en-AU"/>
        </w:rPr>
        <w:t xml:space="preserve"> from an individual, by Dr </w:t>
      </w:r>
      <w:proofErr w:type="spellStart"/>
      <w:r w:rsidRPr="006D704D">
        <w:rPr>
          <w:lang w:eastAsia="en-AU"/>
        </w:rPr>
        <w:t>Hambleton</w:t>
      </w:r>
      <w:proofErr w:type="spellEnd"/>
      <w:r w:rsidRPr="006D704D">
        <w:rPr>
          <w:lang w:eastAsia="en-AU"/>
        </w:rPr>
        <w:t xml:space="preserve">, of information about </w:t>
      </w:r>
      <w:r>
        <w:rPr>
          <w:lang w:eastAsia="en-AU"/>
        </w:rPr>
        <w:t xml:space="preserve">a </w:t>
      </w:r>
      <w:r w:rsidRPr="006D704D">
        <w:rPr>
          <w:lang w:eastAsia="en-AU"/>
        </w:rPr>
        <w:t>third party without that third party’s consent, for inclusion in the individual’s family, social or medical history, where that information is necessary to provide a health service to that individual.</w:t>
      </w:r>
    </w:p>
    <w:p w14:paraId="3C394DBB" w14:textId="06DC84BD" w:rsidR="00C30979" w:rsidRPr="006D704D" w:rsidRDefault="00C30979" w:rsidP="00C30979">
      <w:pPr>
        <w:rPr>
          <w:lang w:eastAsia="en-AU"/>
        </w:rPr>
      </w:pPr>
      <w:r w:rsidRPr="006D704D">
        <w:rPr>
          <w:lang w:eastAsia="en-AU"/>
        </w:rPr>
        <w:t xml:space="preserve">The issue of whether such acts or practices would breach </w:t>
      </w:r>
      <w:r>
        <w:rPr>
          <w:lang w:eastAsia="en-AU"/>
        </w:rPr>
        <w:t>NPP</w:t>
      </w:r>
      <w:r w:rsidRPr="006D704D">
        <w:rPr>
          <w:lang w:eastAsia="en-AU"/>
        </w:rPr>
        <w:t xml:space="preserve"> 10.1 was comprehensively dealt with in the decision by my predecessors when determining PIDs 9 and 9A, and 10 and 10A.</w:t>
      </w:r>
      <w:r>
        <w:rPr>
          <w:rStyle w:val="FootnoteReference"/>
          <w:lang w:eastAsia="en-AU"/>
        </w:rPr>
        <w:footnoteReference w:id="11"/>
      </w:r>
    </w:p>
    <w:p w14:paraId="7D67C596" w14:textId="77777777" w:rsidR="00C30979" w:rsidRPr="006D704D" w:rsidRDefault="00C30979" w:rsidP="00C30979">
      <w:pPr>
        <w:rPr>
          <w:color w:val="FF00FF"/>
          <w:lang w:eastAsia="en-AU"/>
        </w:rPr>
      </w:pPr>
      <w:r w:rsidRPr="006D704D">
        <w:rPr>
          <w:lang w:eastAsia="en-AU"/>
        </w:rPr>
        <w:t>I am satisfied that the proposed collection may breach NPP 10.1.</w:t>
      </w:r>
    </w:p>
    <w:p w14:paraId="111416B6" w14:textId="77777777" w:rsidR="00C30979" w:rsidRPr="006D704D" w:rsidRDefault="00C30979" w:rsidP="00C30979">
      <w:pPr>
        <w:pStyle w:val="Heading2"/>
        <w:rPr>
          <w:rFonts w:eastAsia="Times New Roman"/>
          <w:lang w:val="en-GB" w:eastAsia="en-AU"/>
        </w:rPr>
      </w:pPr>
      <w:r w:rsidRPr="006D704D">
        <w:rPr>
          <w:rFonts w:eastAsia="Times New Roman"/>
          <w:lang w:val="en-GB" w:eastAsia="en-AU"/>
        </w:rPr>
        <w:t>Assessing the Public Interest</w:t>
      </w:r>
    </w:p>
    <w:p w14:paraId="4AB80A79" w14:textId="77777777" w:rsidR="00C30979" w:rsidRPr="006D704D" w:rsidRDefault="00C30979" w:rsidP="00C30979">
      <w:pPr>
        <w:rPr>
          <w:lang w:val="en-GB" w:eastAsia="en-AU"/>
        </w:rPr>
      </w:pPr>
      <w:r w:rsidRPr="006D704D">
        <w:rPr>
          <w:lang w:eastAsia="en-AU"/>
        </w:rPr>
        <w:t xml:space="preserve">In determining the public interest test set out in </w:t>
      </w:r>
      <w:proofErr w:type="gramStart"/>
      <w:r w:rsidRPr="006D704D">
        <w:rPr>
          <w:lang w:eastAsia="en-AU"/>
        </w:rPr>
        <w:t>s72(</w:t>
      </w:r>
      <w:proofErr w:type="gramEnd"/>
      <w:r w:rsidRPr="006D704D">
        <w:rPr>
          <w:lang w:eastAsia="en-AU"/>
        </w:rPr>
        <w:t>2)(b) of the Privacy Act</w:t>
      </w:r>
      <w:r>
        <w:rPr>
          <w:lang w:eastAsia="en-AU"/>
        </w:rPr>
        <w:t>,</w:t>
      </w:r>
      <w:r w:rsidRPr="006D704D">
        <w:rPr>
          <w:lang w:eastAsia="en-AU"/>
        </w:rPr>
        <w:t xml:space="preserve"> I have relied on the information in the current application</w:t>
      </w:r>
      <w:r>
        <w:rPr>
          <w:lang w:eastAsia="en-AU"/>
        </w:rPr>
        <w:t>,</w:t>
      </w:r>
      <w:r w:rsidRPr="006D704D">
        <w:rPr>
          <w:lang w:eastAsia="en-AU"/>
        </w:rPr>
        <w:t xml:space="preserve"> and the submissions received in relation to that application</w:t>
      </w:r>
      <w:r w:rsidRPr="006D704D">
        <w:rPr>
          <w:lang w:val="en-GB" w:eastAsia="en-AU"/>
        </w:rPr>
        <w:t xml:space="preserve">.  In addition, I have taken into account that the OAIC has received no complaints about the operation of the existing PID 10 or 10A, and that the former OPC received no such complaints about PIDs 9 and 9A, or 10 and 10A (though I acknowledge that the nature of the practice involved may mean that third-parties are not aware that their information has been collected without their consent). </w:t>
      </w:r>
    </w:p>
    <w:p w14:paraId="1176B34E" w14:textId="77777777" w:rsidR="00C30979" w:rsidRPr="006D704D" w:rsidRDefault="00C30979" w:rsidP="00C30979">
      <w:pPr>
        <w:rPr>
          <w:lang w:eastAsia="en-AU"/>
        </w:rPr>
      </w:pPr>
      <w:r w:rsidRPr="006D704D">
        <w:rPr>
          <w:lang w:eastAsia="en-AU"/>
        </w:rPr>
        <w:t xml:space="preserve">The reasons expressed in Dr </w:t>
      </w:r>
      <w:proofErr w:type="spellStart"/>
      <w:r w:rsidRPr="006D704D">
        <w:rPr>
          <w:lang w:eastAsia="en-AU"/>
        </w:rPr>
        <w:t>Hambleton’s</w:t>
      </w:r>
      <w:proofErr w:type="spellEnd"/>
      <w:r w:rsidRPr="006D704D">
        <w:rPr>
          <w:lang w:eastAsia="en-AU"/>
        </w:rPr>
        <w:t xml:space="preserve"> application for a new PID with similar effect to PIDs 10 and 10A focused on the importance of obtaining health consumers’ family, social and medical histories in order to provide continued quality diagnosis and treatment services and health care.  </w:t>
      </w:r>
    </w:p>
    <w:p w14:paraId="11C967AB" w14:textId="77777777" w:rsidR="00C30979" w:rsidRPr="006D704D" w:rsidRDefault="00C30979" w:rsidP="00C30979">
      <w:pPr>
        <w:rPr>
          <w:lang w:eastAsia="en-AU"/>
        </w:rPr>
      </w:pPr>
      <w:r w:rsidRPr="006D704D">
        <w:rPr>
          <w:lang w:eastAsia="en-AU"/>
        </w:rPr>
        <w:t xml:space="preserve">Dr </w:t>
      </w:r>
      <w:proofErr w:type="spellStart"/>
      <w:r w:rsidRPr="006D704D">
        <w:rPr>
          <w:lang w:eastAsia="en-AU"/>
        </w:rPr>
        <w:t>Hambleton’s</w:t>
      </w:r>
      <w:proofErr w:type="spellEnd"/>
      <w:r w:rsidRPr="006D704D">
        <w:rPr>
          <w:lang w:eastAsia="en-AU"/>
        </w:rPr>
        <w:t xml:space="preserve"> application also noted the impracticalities, inefficiencies and detriment to provision of quality health care if there was a requirement to obtain the consent of third parties in these circumstances.  </w:t>
      </w:r>
    </w:p>
    <w:p w14:paraId="769AC4AA" w14:textId="77777777" w:rsidR="00C30979" w:rsidRPr="006D704D" w:rsidRDefault="00C30979" w:rsidP="00C30979">
      <w:pPr>
        <w:rPr>
          <w:lang w:eastAsia="en-AU"/>
        </w:rPr>
      </w:pPr>
      <w:r w:rsidRPr="006D704D">
        <w:rPr>
          <w:lang w:eastAsia="en-AU"/>
        </w:rPr>
        <w:t xml:space="preserve">In considering whether the public interest in Dr </w:t>
      </w:r>
      <w:proofErr w:type="spellStart"/>
      <w:r w:rsidRPr="006D704D">
        <w:rPr>
          <w:lang w:eastAsia="en-AU"/>
        </w:rPr>
        <w:t>Hambleton</w:t>
      </w:r>
      <w:proofErr w:type="spellEnd"/>
      <w:r w:rsidRPr="006D704D">
        <w:rPr>
          <w:lang w:eastAsia="en-AU"/>
        </w:rPr>
        <w:t xml:space="preserve"> collecting </w:t>
      </w:r>
      <w:r>
        <w:rPr>
          <w:lang w:eastAsia="en-AU"/>
        </w:rPr>
        <w:t xml:space="preserve">the </w:t>
      </w:r>
      <w:r w:rsidRPr="006D704D">
        <w:rPr>
          <w:lang w:eastAsia="en-AU"/>
        </w:rPr>
        <w:t xml:space="preserve">health information of a third party, without consent, substantially outweighs the public interest in adhering to NPP 10.1 in the relevant circumstances, I have also made reference to the factors discussed below, which are taken from the OAIC’s </w:t>
      </w:r>
      <w:r>
        <w:rPr>
          <w:i/>
          <w:lang w:eastAsia="en-AU"/>
        </w:rPr>
        <w:t>Public Interest Determination Procedure</w:t>
      </w:r>
      <w:r w:rsidRPr="006D704D">
        <w:rPr>
          <w:i/>
          <w:lang w:eastAsia="en-AU"/>
        </w:rPr>
        <w:t xml:space="preserve"> Guidelines</w:t>
      </w:r>
      <w:r w:rsidRPr="006D704D">
        <w:rPr>
          <w:lang w:eastAsia="en-AU"/>
        </w:rPr>
        <w:t>.</w:t>
      </w:r>
      <w:r>
        <w:rPr>
          <w:rStyle w:val="FootnoteReference"/>
          <w:lang w:eastAsia="en-AU"/>
        </w:rPr>
        <w:footnoteReference w:id="12"/>
      </w:r>
    </w:p>
    <w:p w14:paraId="2A779AC8" w14:textId="77777777" w:rsidR="00C30979" w:rsidRPr="00321C68" w:rsidRDefault="00C30979" w:rsidP="00C30979">
      <w:pPr>
        <w:pStyle w:val="Heading3"/>
      </w:pPr>
      <w:r w:rsidRPr="00321C68">
        <w:t>The nature of the public interest objectives served by the proposed interference with privacy</w:t>
      </w:r>
    </w:p>
    <w:p w14:paraId="4979A939" w14:textId="77777777" w:rsidR="00C30979" w:rsidRPr="006D704D" w:rsidRDefault="00C30979" w:rsidP="00C30979">
      <w:pPr>
        <w:rPr>
          <w:lang w:eastAsia="en-AU"/>
        </w:rPr>
      </w:pPr>
      <w:r w:rsidRPr="006D704D">
        <w:rPr>
          <w:lang w:eastAsia="en-AU"/>
        </w:rPr>
        <w:t>A key determinant of public interest in this decision is that permitting the relevant collection accords with widely accepted health care practices</w:t>
      </w:r>
      <w:r>
        <w:rPr>
          <w:lang w:eastAsia="en-AU"/>
        </w:rPr>
        <w:t>,</w:t>
      </w:r>
      <w:r w:rsidRPr="006D704D">
        <w:rPr>
          <w:lang w:eastAsia="en-AU"/>
        </w:rPr>
        <w:t xml:space="preserve"> which</w:t>
      </w:r>
      <w:r>
        <w:rPr>
          <w:lang w:eastAsia="en-AU"/>
        </w:rPr>
        <w:t>,</w:t>
      </w:r>
      <w:r w:rsidRPr="006D704D">
        <w:rPr>
          <w:lang w:eastAsia="en-AU"/>
        </w:rPr>
        <w:t xml:space="preserve"> in turn</w:t>
      </w:r>
      <w:r>
        <w:rPr>
          <w:lang w:eastAsia="en-AU"/>
        </w:rPr>
        <w:t>,</w:t>
      </w:r>
      <w:r w:rsidRPr="006D704D">
        <w:rPr>
          <w:lang w:eastAsia="en-AU"/>
        </w:rPr>
        <w:t xml:space="preserve"> allows for continuing, comprehensive and quality health care for consumers and for better public health outcomes.  </w:t>
      </w:r>
    </w:p>
    <w:p w14:paraId="5B5DBCE2" w14:textId="77777777" w:rsidR="00C30979" w:rsidRPr="006D704D" w:rsidRDefault="00C30979" w:rsidP="00C30979">
      <w:pPr>
        <w:rPr>
          <w:lang w:eastAsia="en-AU"/>
        </w:rPr>
      </w:pPr>
      <w:r w:rsidRPr="006D704D">
        <w:rPr>
          <w:lang w:eastAsia="en-AU"/>
        </w:rPr>
        <w:t xml:space="preserve">Dr </w:t>
      </w:r>
      <w:proofErr w:type="spellStart"/>
      <w:r w:rsidRPr="006D704D">
        <w:rPr>
          <w:lang w:eastAsia="en-AU"/>
        </w:rPr>
        <w:t>Hambleton’s</w:t>
      </w:r>
      <w:proofErr w:type="spellEnd"/>
      <w:r w:rsidRPr="006D704D">
        <w:rPr>
          <w:lang w:eastAsia="en-AU"/>
        </w:rPr>
        <w:t xml:space="preserve"> application asserted that the effect of PIDs 10 and 10A </w:t>
      </w:r>
      <w:r w:rsidRPr="006D704D">
        <w:rPr>
          <w:i/>
          <w:lang w:eastAsia="en-AU"/>
        </w:rPr>
        <w:t>‘continues to be of critical importance for health service providers in providing best practice assessment, diagnosis and care to patients’</w:t>
      </w:r>
      <w:r w:rsidRPr="006D704D">
        <w:rPr>
          <w:lang w:eastAsia="en-AU"/>
        </w:rPr>
        <w:t xml:space="preserve">.  In particular, the applicant noted that collection of this type of information is used to inform efficient and accurate patient diagnoses and treatment plans.  </w:t>
      </w:r>
    </w:p>
    <w:p w14:paraId="36240763" w14:textId="54DCEB00" w:rsidR="00C30979" w:rsidRPr="006D704D" w:rsidRDefault="00C30979" w:rsidP="00C30979">
      <w:pPr>
        <w:rPr>
          <w:lang w:eastAsia="en-AU"/>
        </w:rPr>
      </w:pPr>
      <w:r w:rsidRPr="006D704D">
        <w:rPr>
          <w:lang w:eastAsia="en-AU"/>
        </w:rPr>
        <w:t xml:space="preserve">The key issue of continuing to support best practice in patient care was echoed in almost all of the submissions.  For example, </w:t>
      </w:r>
      <w:r>
        <w:t>Professor Kidd</w:t>
      </w:r>
      <w:r w:rsidRPr="006D704D">
        <w:rPr>
          <w:lang w:eastAsia="en-AU"/>
        </w:rPr>
        <w:t xml:space="preserve"> submitted that </w:t>
      </w:r>
      <w:r w:rsidRPr="006D704D">
        <w:rPr>
          <w:i/>
          <w:lang w:eastAsia="en-AU"/>
        </w:rPr>
        <w:t>‘being able to collect and store details of family medical histories is an essential public health measure which allows accurate preventative care, diagnosis, and treatment of individuals and their families’</w:t>
      </w:r>
      <w:r w:rsidRPr="006D704D">
        <w:rPr>
          <w:lang w:eastAsia="en-AU"/>
        </w:rPr>
        <w:t xml:space="preserve">. </w:t>
      </w:r>
      <w:r>
        <w:rPr>
          <w:lang w:eastAsia="en-AU"/>
        </w:rPr>
        <w:t xml:space="preserve"> </w:t>
      </w:r>
      <w:r w:rsidRPr="006D704D">
        <w:rPr>
          <w:lang w:eastAsia="en-AU"/>
        </w:rPr>
        <w:t>Similarly, the Consumers Health Forum</w:t>
      </w:r>
      <w:r>
        <w:rPr>
          <w:lang w:eastAsia="en-AU"/>
        </w:rPr>
        <w:t xml:space="preserve"> of Australia</w:t>
      </w:r>
      <w:r w:rsidRPr="006D704D">
        <w:rPr>
          <w:lang w:eastAsia="en-AU"/>
        </w:rPr>
        <w:t xml:space="preserve"> submitted that the effect of PIDs 10 and 10A is </w:t>
      </w:r>
      <w:r w:rsidRPr="006D704D">
        <w:rPr>
          <w:i/>
          <w:lang w:eastAsia="en-AU"/>
        </w:rPr>
        <w:t>‘of great significance to the safety and quality of healthcare’</w:t>
      </w:r>
      <w:r w:rsidRPr="006D704D">
        <w:rPr>
          <w:lang w:eastAsia="en-AU"/>
        </w:rPr>
        <w:t xml:space="preserve">.  The submission from Queensland Health supported the application on the basis that there is </w:t>
      </w:r>
      <w:r w:rsidRPr="006D704D">
        <w:rPr>
          <w:i/>
          <w:lang w:eastAsia="en-AU"/>
        </w:rPr>
        <w:t>‘a clear public interest in relation to the early diagnosis and treatment of inherited genetic conditions’</w:t>
      </w:r>
      <w:r>
        <w:rPr>
          <w:lang w:eastAsia="en-AU"/>
        </w:rPr>
        <w:t>.</w:t>
      </w:r>
      <w:r w:rsidRPr="006D704D">
        <w:rPr>
          <w:lang w:eastAsia="en-AU"/>
        </w:rPr>
        <w:t xml:space="preserve"> </w:t>
      </w:r>
      <w:r>
        <w:rPr>
          <w:lang w:eastAsia="en-AU"/>
        </w:rPr>
        <w:t xml:space="preserve"> T</w:t>
      </w:r>
      <w:r w:rsidRPr="006D704D">
        <w:rPr>
          <w:lang w:eastAsia="en-AU"/>
        </w:rPr>
        <w:t>hat view was also supported by the HQCC and the HCSCC.</w:t>
      </w:r>
    </w:p>
    <w:p w14:paraId="1F3C4047" w14:textId="3A303C83" w:rsidR="00C30979" w:rsidRPr="006D704D" w:rsidRDefault="00C30979" w:rsidP="00C30979">
      <w:pPr>
        <w:rPr>
          <w:lang w:eastAsia="en-AU"/>
        </w:rPr>
      </w:pPr>
      <w:r w:rsidRPr="001B51E9">
        <w:rPr>
          <w:rFonts w:asciiTheme="minorHAnsi" w:hAnsiTheme="minorHAnsi" w:cstheme="minorHAnsi"/>
        </w:rPr>
        <w:t>The Consumers Health Forum</w:t>
      </w:r>
      <w:r>
        <w:rPr>
          <w:rFonts w:asciiTheme="minorHAnsi" w:hAnsiTheme="minorHAnsi" w:cstheme="minorHAnsi"/>
        </w:rPr>
        <w:t xml:space="preserve"> of Australia</w:t>
      </w:r>
      <w:r w:rsidRPr="001B51E9">
        <w:rPr>
          <w:rFonts w:asciiTheme="minorHAnsi" w:hAnsiTheme="minorHAnsi" w:cstheme="minorHAnsi"/>
        </w:rPr>
        <w:t xml:space="preserve"> also submitted that there was clear public interest in continuing to enable the collection of the health information of a third party from </w:t>
      </w:r>
      <w:r>
        <w:rPr>
          <w:rFonts w:asciiTheme="minorHAnsi" w:hAnsiTheme="minorHAnsi" w:cstheme="minorHAnsi"/>
        </w:rPr>
        <w:t>‘</w:t>
      </w:r>
      <w:r w:rsidRPr="001B51E9">
        <w:rPr>
          <w:rFonts w:asciiTheme="minorHAnsi" w:hAnsiTheme="minorHAnsi" w:cstheme="minorHAnsi"/>
        </w:rPr>
        <w:t xml:space="preserve">persons responsible’ for that party, where that party is incapacitated </w:t>
      </w:r>
      <w:r w:rsidRPr="006D704D">
        <w:rPr>
          <w:lang w:eastAsia="en-AU"/>
        </w:rPr>
        <w:t xml:space="preserve">and incapable of providing the information themselves.    </w:t>
      </w:r>
    </w:p>
    <w:p w14:paraId="657A9911" w14:textId="77777777" w:rsidR="00C30979" w:rsidRPr="006D704D" w:rsidRDefault="00C30979" w:rsidP="00C30979">
      <w:pPr>
        <w:pStyle w:val="Heading3"/>
        <w:rPr>
          <w:rFonts w:eastAsia="Times New Roman"/>
          <w:lang w:eastAsia="en-AU"/>
        </w:rPr>
      </w:pPr>
      <w:r w:rsidRPr="006D704D">
        <w:rPr>
          <w:rFonts w:eastAsia="Times New Roman"/>
          <w:lang w:eastAsia="en-AU"/>
        </w:rPr>
        <w:t>The extent to which the proposed act or practice is inconsistent with an individual’s reasonable expectation of privacy</w:t>
      </w:r>
    </w:p>
    <w:p w14:paraId="2B4F00A3" w14:textId="77777777" w:rsidR="00C30979" w:rsidRDefault="00C30979" w:rsidP="00C30979">
      <w:pPr>
        <w:rPr>
          <w:lang w:eastAsia="en-AU"/>
        </w:rPr>
      </w:pPr>
      <w:r w:rsidRPr="006D704D">
        <w:rPr>
          <w:lang w:eastAsia="en-AU"/>
        </w:rPr>
        <w:t xml:space="preserve">The practice of collecting health consumers’ family, social and medical histories for diagnosis, treatment and care – without the need to obtain third parties’ consent – is widespread, considered best clinical practice, and generally known and accepted in the community.  </w:t>
      </w:r>
    </w:p>
    <w:p w14:paraId="10D8306E" w14:textId="568B2D53" w:rsidR="00C30979" w:rsidRPr="006D704D" w:rsidRDefault="00C30979" w:rsidP="00C30979">
      <w:pPr>
        <w:rPr>
          <w:lang w:eastAsia="en-AU"/>
        </w:rPr>
      </w:pPr>
      <w:r>
        <w:rPr>
          <w:lang w:eastAsia="en-AU"/>
        </w:rPr>
        <w:t xml:space="preserve">Further, I note that this practice predates the Privacy Act and the NPPs.  The then Privacy Commissioner made TPIDs on the day that the NPPs came into force to enable the practice to continue, pending the consideration and issue of PIDs 9 and 9A.  </w:t>
      </w:r>
    </w:p>
    <w:p w14:paraId="50C69CD0" w14:textId="77777777" w:rsidR="00C30979" w:rsidRPr="006D704D" w:rsidRDefault="00C30979" w:rsidP="00C30979">
      <w:pPr>
        <w:rPr>
          <w:i/>
          <w:lang w:eastAsia="en-AU"/>
        </w:rPr>
      </w:pPr>
      <w:r w:rsidRPr="006D704D">
        <w:rPr>
          <w:lang w:eastAsia="en-AU"/>
        </w:rPr>
        <w:t xml:space="preserve">Two submissions (HQCC, HCQCC) made specific reference to the high degree of consumer awareness regarding the importance of family, social and medical history information in facilitating accurate diagnosis and treatment.  </w:t>
      </w:r>
      <w:r>
        <w:rPr>
          <w:lang w:eastAsia="en-AU"/>
        </w:rPr>
        <w:t>Professor Kidd</w:t>
      </w:r>
      <w:r w:rsidRPr="006D704D">
        <w:rPr>
          <w:lang w:eastAsia="en-AU"/>
        </w:rPr>
        <w:t xml:space="preserve"> noted that the practice is ‘</w:t>
      </w:r>
      <w:r w:rsidRPr="006D704D">
        <w:rPr>
          <w:i/>
          <w:lang w:eastAsia="en-AU"/>
        </w:rPr>
        <w:t>a standing component of medical history taking</w:t>
      </w:r>
      <w:r w:rsidRPr="006D704D">
        <w:rPr>
          <w:lang w:eastAsia="en-AU"/>
        </w:rPr>
        <w:t>’.  The perception that this practice is consistent with individuals’ reasonable expectations is further demonstrated by the lack of complaints about the operation of PIDs 9 and 9A, and 10 and 10A, over the past ten years</w:t>
      </w:r>
      <w:r>
        <w:rPr>
          <w:lang w:eastAsia="en-AU"/>
        </w:rPr>
        <w:t>,</w:t>
      </w:r>
      <w:r w:rsidRPr="006D704D">
        <w:rPr>
          <w:lang w:eastAsia="en-AU"/>
        </w:rPr>
        <w:t xml:space="preserve"> and by the absence of any submissions opposing Dr </w:t>
      </w:r>
      <w:proofErr w:type="spellStart"/>
      <w:r w:rsidRPr="006D704D">
        <w:rPr>
          <w:lang w:eastAsia="en-AU"/>
        </w:rPr>
        <w:t>Hambleton’s</w:t>
      </w:r>
      <w:proofErr w:type="spellEnd"/>
      <w:r w:rsidRPr="006D704D">
        <w:rPr>
          <w:lang w:eastAsia="en-AU"/>
        </w:rPr>
        <w:t xml:space="preserve"> application.</w:t>
      </w:r>
    </w:p>
    <w:p w14:paraId="6E7AC1E2" w14:textId="77777777" w:rsidR="00C30979" w:rsidRPr="006D704D" w:rsidRDefault="00C30979" w:rsidP="00C30979">
      <w:pPr>
        <w:pStyle w:val="Heading3"/>
        <w:rPr>
          <w:rFonts w:eastAsia="Times New Roman"/>
          <w:lang w:eastAsia="en-AU"/>
        </w:rPr>
      </w:pPr>
      <w:r w:rsidRPr="006D704D">
        <w:rPr>
          <w:rFonts w:eastAsia="Times New Roman"/>
          <w:lang w:eastAsia="en-AU"/>
        </w:rPr>
        <w:t>The potential for the proposed act or practice to harm the interests of individuals</w:t>
      </w:r>
    </w:p>
    <w:p w14:paraId="766CF1A3" w14:textId="77777777" w:rsidR="00C30979" w:rsidRPr="006D704D" w:rsidRDefault="00C30979" w:rsidP="00C30979">
      <w:pPr>
        <w:rPr>
          <w:lang w:eastAsia="en-AU"/>
        </w:rPr>
      </w:pPr>
      <w:r w:rsidRPr="006D704D">
        <w:rPr>
          <w:lang w:eastAsia="en-AU"/>
        </w:rPr>
        <w:t xml:space="preserve">The applicant and </w:t>
      </w:r>
      <w:r>
        <w:t>HQCC</w:t>
      </w:r>
      <w:r w:rsidRPr="006D704D">
        <w:rPr>
          <w:lang w:eastAsia="en-AU"/>
        </w:rPr>
        <w:t xml:space="preserve"> indicated that the confidential setting in which medical and allied health consultations occur </w:t>
      </w:r>
      <w:r>
        <w:rPr>
          <w:lang w:eastAsia="en-AU"/>
        </w:rPr>
        <w:t>provides reasonable safeguards to protect the</w:t>
      </w:r>
      <w:r w:rsidRPr="006D704D">
        <w:rPr>
          <w:lang w:eastAsia="en-AU"/>
        </w:rPr>
        <w:t xml:space="preserve"> information </w:t>
      </w:r>
      <w:r>
        <w:rPr>
          <w:lang w:eastAsia="en-AU"/>
        </w:rPr>
        <w:t xml:space="preserve">collected </w:t>
      </w:r>
      <w:r w:rsidRPr="006D704D">
        <w:rPr>
          <w:lang w:eastAsia="en-AU"/>
        </w:rPr>
        <w:t xml:space="preserve">about both the patients themselves and other relevant third parties.  Existing ethical protocols in the health sector mean that health information is collected in an environment of ‘maximum consumer privacy’ governed by professional codes of ethics and confidentiality.  </w:t>
      </w:r>
      <w:r w:rsidRPr="001B51E9">
        <w:rPr>
          <w:lang w:eastAsia="en-AU"/>
        </w:rPr>
        <w:t xml:space="preserve">Accordingly, I note that </w:t>
      </w:r>
      <w:r w:rsidRPr="00BC05E8">
        <w:rPr>
          <w:lang w:eastAsia="en-AU"/>
        </w:rPr>
        <w:t>the risk of harm to individuals through inappropriate disclosure of their sensitive information</w:t>
      </w:r>
      <w:r w:rsidRPr="001B51E9">
        <w:rPr>
          <w:lang w:eastAsia="en-AU"/>
        </w:rPr>
        <w:t xml:space="preserve"> is mitigated by the context in which the information is collected</w:t>
      </w:r>
      <w:r w:rsidRPr="00BC05E8">
        <w:rPr>
          <w:lang w:eastAsia="en-AU"/>
        </w:rPr>
        <w:t>.</w:t>
      </w:r>
      <w:r w:rsidRPr="006D704D">
        <w:rPr>
          <w:lang w:eastAsia="en-AU"/>
        </w:rPr>
        <w:t xml:space="preserve">  In addition, the terms of PIDs 12 and 12A (like their predecessors) limit </w:t>
      </w:r>
      <w:r>
        <w:rPr>
          <w:lang w:eastAsia="en-AU"/>
        </w:rPr>
        <w:t xml:space="preserve">the information </w:t>
      </w:r>
      <w:r w:rsidRPr="006D704D">
        <w:rPr>
          <w:lang w:eastAsia="en-AU"/>
        </w:rPr>
        <w:t>collect</w:t>
      </w:r>
      <w:r>
        <w:rPr>
          <w:lang w:eastAsia="en-AU"/>
        </w:rPr>
        <w:t>ed</w:t>
      </w:r>
      <w:r w:rsidRPr="006D704D">
        <w:rPr>
          <w:lang w:eastAsia="en-AU"/>
        </w:rPr>
        <w:t xml:space="preserve"> to</w:t>
      </w:r>
      <w:r>
        <w:rPr>
          <w:lang w:eastAsia="en-AU"/>
        </w:rPr>
        <w:t xml:space="preserve"> that</w:t>
      </w:r>
      <w:r w:rsidRPr="006D704D">
        <w:rPr>
          <w:lang w:eastAsia="en-AU"/>
        </w:rPr>
        <w:t xml:space="preserve"> </w:t>
      </w:r>
      <w:r>
        <w:rPr>
          <w:lang w:eastAsia="en-AU"/>
        </w:rPr>
        <w:t xml:space="preserve">which </w:t>
      </w:r>
      <w:r w:rsidRPr="006D704D">
        <w:rPr>
          <w:lang w:eastAsia="en-AU"/>
        </w:rPr>
        <w:t>is both relevant and necessary to provide a health service directly to the health consumer.</w:t>
      </w:r>
    </w:p>
    <w:p w14:paraId="4C7EE1D7" w14:textId="77777777" w:rsidR="00C30979" w:rsidRPr="006D704D" w:rsidRDefault="00C30979" w:rsidP="00C30979">
      <w:pPr>
        <w:pStyle w:val="Heading3"/>
        <w:rPr>
          <w:rFonts w:eastAsia="Times New Roman"/>
          <w:lang w:eastAsia="en-AU"/>
        </w:rPr>
      </w:pPr>
      <w:r w:rsidRPr="006D704D">
        <w:rPr>
          <w:rFonts w:eastAsia="Times New Roman"/>
          <w:lang w:eastAsia="en-AU"/>
        </w:rPr>
        <w:t>The need to balance the competing interests contained in s29 of the Privacy Act and the impact on the public interest if the proposed act or practice is not permitted</w:t>
      </w:r>
    </w:p>
    <w:p w14:paraId="3AAAD70A" w14:textId="77777777" w:rsidR="00C30979" w:rsidRPr="006D704D" w:rsidRDefault="00C30979" w:rsidP="00C30979">
      <w:pPr>
        <w:rPr>
          <w:lang w:eastAsia="en-AU"/>
        </w:rPr>
      </w:pPr>
      <w:r w:rsidRPr="006D704D">
        <w:rPr>
          <w:lang w:eastAsia="en-AU"/>
        </w:rPr>
        <w:t xml:space="preserve">The submissions gave strong support for the effective and generally accepted operation of PIDs 10 and 10A in relation to these acts and practices since 11 December 2007. </w:t>
      </w:r>
    </w:p>
    <w:p w14:paraId="47085D9E" w14:textId="77777777" w:rsidR="00C30979" w:rsidRPr="006D704D" w:rsidRDefault="00C30979" w:rsidP="00C30979">
      <w:pPr>
        <w:rPr>
          <w:lang w:eastAsia="en-AU"/>
        </w:rPr>
      </w:pPr>
      <w:r w:rsidRPr="006D704D">
        <w:rPr>
          <w:lang w:eastAsia="en-AU"/>
        </w:rPr>
        <w:t xml:space="preserve">Previous consultation (in respect of PIDs 10 and 10A) gave strong support for the effective and generally accepted operation </w:t>
      </w:r>
      <w:r>
        <w:t xml:space="preserve">of PIDs 9 and 9A </w:t>
      </w:r>
      <w:r w:rsidRPr="006D704D">
        <w:rPr>
          <w:lang w:eastAsia="en-AU"/>
        </w:rPr>
        <w:t>in relation to the relevant acts or practices between 11 December 2002 and 10 December 2007.</w:t>
      </w:r>
    </w:p>
    <w:p w14:paraId="26FC5F13" w14:textId="77777777" w:rsidR="00C30979" w:rsidRPr="006D704D" w:rsidRDefault="00C30979" w:rsidP="00C30979">
      <w:pPr>
        <w:rPr>
          <w:lang w:val="en-GB" w:eastAsia="en-AU"/>
        </w:rPr>
      </w:pPr>
      <w:r w:rsidRPr="006D704D">
        <w:rPr>
          <w:lang w:val="en-GB" w:eastAsia="en-AU"/>
        </w:rPr>
        <w:t xml:space="preserve">Under s29 of the Privacy Act, </w:t>
      </w:r>
      <w:r>
        <w:rPr>
          <w:lang w:val="en-GB" w:eastAsia="en-AU"/>
        </w:rPr>
        <w:t xml:space="preserve">in performing their functions or exercising their powers, </w:t>
      </w:r>
      <w:r w:rsidRPr="006D704D">
        <w:rPr>
          <w:lang w:val="en-GB" w:eastAsia="en-AU"/>
        </w:rPr>
        <w:t>the Privacy Commissioner must, among</w:t>
      </w:r>
      <w:r>
        <w:rPr>
          <w:lang w:val="en-GB" w:eastAsia="en-AU"/>
        </w:rPr>
        <w:t>st</w:t>
      </w:r>
      <w:r w:rsidRPr="006D704D">
        <w:rPr>
          <w:lang w:val="en-GB" w:eastAsia="en-AU"/>
        </w:rPr>
        <w:t xml:space="preserve"> other things:</w:t>
      </w:r>
    </w:p>
    <w:p w14:paraId="3AD82C3A" w14:textId="77777777" w:rsidR="00C30979" w:rsidRPr="006D704D" w:rsidRDefault="00C30979" w:rsidP="00C30979">
      <w:pPr>
        <w:ind w:left="1560" w:hanging="840"/>
        <w:rPr>
          <w:rFonts w:asciiTheme="minorHAnsi" w:eastAsia="Times New Roman" w:hAnsiTheme="minorHAnsi" w:cstheme="minorHAnsi"/>
          <w:i/>
          <w:sz w:val="22"/>
          <w:szCs w:val="22"/>
          <w:lang w:val="en-GB"/>
        </w:rPr>
      </w:pPr>
      <w:r w:rsidRPr="006D704D">
        <w:rPr>
          <w:rFonts w:asciiTheme="minorHAnsi" w:eastAsia="Times New Roman" w:hAnsiTheme="minorHAnsi" w:cstheme="minorHAnsi"/>
          <w:i/>
          <w:sz w:val="22"/>
          <w:szCs w:val="22"/>
          <w:lang w:val="en-GB"/>
        </w:rPr>
        <w:t>(a)</w:t>
      </w:r>
      <w:r w:rsidRPr="006D704D">
        <w:rPr>
          <w:rFonts w:asciiTheme="minorHAnsi" w:eastAsia="Times New Roman" w:hAnsiTheme="minorHAnsi" w:cstheme="minorHAnsi"/>
          <w:i/>
          <w:sz w:val="22"/>
          <w:szCs w:val="22"/>
          <w:lang w:val="en-GB"/>
        </w:rPr>
        <w:tab/>
        <w:t>have due regard for the protection of important human rights and social interests that compete with privacy, including the general desirability of a free flow of information (through the media and otherwise) and the recognition of the right of government and business to achieve their objectives in an efficient way; …</w:t>
      </w:r>
    </w:p>
    <w:p w14:paraId="12257C1F" w14:textId="77777777" w:rsidR="00C30979" w:rsidRPr="006D704D" w:rsidRDefault="00C30979" w:rsidP="00C30979">
      <w:pPr>
        <w:rPr>
          <w:lang w:val="en-GB" w:eastAsia="en-AU"/>
        </w:rPr>
      </w:pPr>
      <w:r w:rsidRPr="006D704D">
        <w:rPr>
          <w:lang w:val="en-GB" w:eastAsia="en-AU"/>
        </w:rPr>
        <w:t xml:space="preserve">In that regard, the following issues were raised in the course of Dr </w:t>
      </w:r>
      <w:proofErr w:type="spellStart"/>
      <w:r w:rsidRPr="006D704D">
        <w:rPr>
          <w:lang w:val="en-GB" w:eastAsia="en-AU"/>
        </w:rPr>
        <w:t>Hambleton’s</w:t>
      </w:r>
      <w:proofErr w:type="spellEnd"/>
      <w:r w:rsidRPr="006D704D">
        <w:rPr>
          <w:lang w:val="en-GB" w:eastAsia="en-AU"/>
        </w:rPr>
        <w:t xml:space="preserve"> application and the written submissions:</w:t>
      </w:r>
    </w:p>
    <w:p w14:paraId="43177CF0" w14:textId="77777777" w:rsidR="00C30979" w:rsidRPr="006D704D" w:rsidRDefault="00C30979" w:rsidP="00C30979">
      <w:pPr>
        <w:pStyle w:val="ListParagraph"/>
        <w:tabs>
          <w:tab w:val="clear" w:pos="720"/>
        </w:tabs>
        <w:rPr>
          <w:lang w:val="en-GB" w:eastAsia="en-AU"/>
        </w:rPr>
      </w:pPr>
      <w:r w:rsidRPr="006D704D">
        <w:rPr>
          <w:lang w:val="en-GB" w:eastAsia="en-AU"/>
        </w:rPr>
        <w:t xml:space="preserve">if the consent of relevant third parties </w:t>
      </w:r>
      <w:r>
        <w:rPr>
          <w:lang w:val="en-GB" w:eastAsia="en-AU"/>
        </w:rPr>
        <w:t>needed to be</w:t>
      </w:r>
      <w:r w:rsidRPr="006D704D">
        <w:rPr>
          <w:lang w:val="en-GB" w:eastAsia="en-AU"/>
        </w:rPr>
        <w:t xml:space="preserve"> sought, this would be onerous, time consuming, costly, often impracticable</w:t>
      </w:r>
      <w:r>
        <w:rPr>
          <w:lang w:val="en-GB" w:eastAsia="en-AU"/>
        </w:rPr>
        <w:t>,</w:t>
      </w:r>
      <w:r w:rsidRPr="006D704D">
        <w:rPr>
          <w:lang w:val="en-GB" w:eastAsia="en-AU"/>
        </w:rPr>
        <w:t xml:space="preserve"> and would not necessarily be given by the relevant third party</w:t>
      </w:r>
    </w:p>
    <w:p w14:paraId="7720EE8F" w14:textId="77777777" w:rsidR="00C30979" w:rsidRPr="006D704D" w:rsidRDefault="00C30979" w:rsidP="00C30979">
      <w:pPr>
        <w:pStyle w:val="ListParagraph"/>
        <w:tabs>
          <w:tab w:val="clear" w:pos="720"/>
        </w:tabs>
        <w:rPr>
          <w:lang w:val="en-GB" w:eastAsia="en-AU"/>
        </w:rPr>
      </w:pPr>
      <w:r w:rsidRPr="006D704D">
        <w:rPr>
          <w:lang w:val="en-GB" w:eastAsia="en-AU"/>
        </w:rPr>
        <w:t xml:space="preserve">if the consent of third parties was required, this </w:t>
      </w:r>
      <w:r>
        <w:rPr>
          <w:lang w:val="en-GB" w:eastAsia="en-AU"/>
        </w:rPr>
        <w:t>could</w:t>
      </w:r>
      <w:r w:rsidRPr="006D704D">
        <w:rPr>
          <w:lang w:val="en-GB" w:eastAsia="en-AU"/>
        </w:rPr>
        <w:t xml:space="preserve"> cause unnecessary delay in providing health care to the consumer</w:t>
      </w:r>
      <w:r>
        <w:rPr>
          <w:lang w:val="en-GB" w:eastAsia="en-AU"/>
        </w:rPr>
        <w:t>,</w:t>
      </w:r>
      <w:r w:rsidRPr="006D704D">
        <w:rPr>
          <w:lang w:val="en-GB" w:eastAsia="en-AU"/>
        </w:rPr>
        <w:t xml:space="preserve"> which </w:t>
      </w:r>
      <w:r>
        <w:rPr>
          <w:lang w:val="en-GB" w:eastAsia="en-AU"/>
        </w:rPr>
        <w:t>could</w:t>
      </w:r>
      <w:r w:rsidRPr="006D704D">
        <w:rPr>
          <w:lang w:val="en-GB" w:eastAsia="en-AU"/>
        </w:rPr>
        <w:t xml:space="preserve"> ultimately compromise health outcomes</w:t>
      </w:r>
    </w:p>
    <w:p w14:paraId="456CC8F4" w14:textId="77777777" w:rsidR="00C30979" w:rsidRDefault="00C30979" w:rsidP="00C30979">
      <w:pPr>
        <w:pStyle w:val="ListParagraph"/>
        <w:tabs>
          <w:tab w:val="clear" w:pos="720"/>
        </w:tabs>
        <w:rPr>
          <w:lang w:val="en-GB" w:eastAsia="en-AU"/>
        </w:rPr>
      </w:pPr>
      <w:r w:rsidRPr="006D704D">
        <w:rPr>
          <w:lang w:val="en-GB" w:eastAsia="en-AU"/>
        </w:rPr>
        <w:t xml:space="preserve">the collection of family, social and medical history information is in the public interest and in the </w:t>
      </w:r>
      <w:r>
        <w:rPr>
          <w:lang w:val="en-GB" w:eastAsia="en-AU"/>
        </w:rPr>
        <w:t xml:space="preserve">health </w:t>
      </w:r>
      <w:r w:rsidRPr="006D704D">
        <w:rPr>
          <w:lang w:val="en-GB" w:eastAsia="en-AU"/>
        </w:rPr>
        <w:t>consumer’s best interest</w:t>
      </w:r>
      <w:r>
        <w:rPr>
          <w:lang w:val="en-GB" w:eastAsia="en-AU"/>
        </w:rPr>
        <w:t>,</w:t>
      </w:r>
      <w:r w:rsidRPr="006D704D">
        <w:rPr>
          <w:lang w:val="en-GB" w:eastAsia="en-AU"/>
        </w:rPr>
        <w:t xml:space="preserve"> as it can assist in obtaining a correct and accurate diagnosis and health outcome</w:t>
      </w:r>
      <w:r>
        <w:rPr>
          <w:lang w:val="en-GB" w:eastAsia="en-AU"/>
        </w:rPr>
        <w:t>, and</w:t>
      </w:r>
      <w:r w:rsidRPr="00141255">
        <w:rPr>
          <w:lang w:val="en-GB" w:eastAsia="en-AU"/>
        </w:rPr>
        <w:t xml:space="preserve"> </w:t>
      </w:r>
    </w:p>
    <w:p w14:paraId="79660CC8" w14:textId="77777777" w:rsidR="00C30979" w:rsidRPr="00141255" w:rsidRDefault="00C30979" w:rsidP="00C30979">
      <w:pPr>
        <w:pStyle w:val="ListParagraph"/>
        <w:tabs>
          <w:tab w:val="clear" w:pos="720"/>
        </w:tabs>
        <w:rPr>
          <w:lang w:val="en-GB" w:eastAsia="en-AU"/>
        </w:rPr>
      </w:pPr>
      <w:proofErr w:type="gramStart"/>
      <w:r w:rsidRPr="006D704D">
        <w:rPr>
          <w:lang w:val="en-GB" w:eastAsia="en-AU"/>
        </w:rPr>
        <w:t>if</w:t>
      </w:r>
      <w:proofErr w:type="gramEnd"/>
      <w:r w:rsidRPr="006D704D">
        <w:rPr>
          <w:lang w:val="en-GB" w:eastAsia="en-AU"/>
        </w:rPr>
        <w:t xml:space="preserve"> health consumer history information is not sought, the end result could be increased investigation and litigation in relation to medical negligence claims</w:t>
      </w:r>
      <w:r>
        <w:rPr>
          <w:lang w:val="en-GB" w:eastAsia="en-AU"/>
        </w:rPr>
        <w:t>.</w:t>
      </w:r>
    </w:p>
    <w:p w14:paraId="5B05542F" w14:textId="77777777" w:rsidR="00C30979" w:rsidRPr="006D704D" w:rsidRDefault="00C30979" w:rsidP="00C30979">
      <w:pPr>
        <w:pStyle w:val="Heading3"/>
        <w:rPr>
          <w:rFonts w:eastAsia="Times New Roman"/>
          <w:lang w:eastAsia="en-AU"/>
        </w:rPr>
      </w:pPr>
      <w:r w:rsidRPr="006D704D">
        <w:rPr>
          <w:rFonts w:eastAsia="Times New Roman"/>
          <w:lang w:eastAsia="en-AU"/>
        </w:rPr>
        <w:t>The impact on the public interest if the proposed act or practice is not permitted</w:t>
      </w:r>
    </w:p>
    <w:p w14:paraId="767B6EE8" w14:textId="3456A9BC" w:rsidR="00C30979" w:rsidRPr="006D704D" w:rsidRDefault="00C30979" w:rsidP="00C30979">
      <w:pPr>
        <w:rPr>
          <w:lang w:eastAsia="en-AU"/>
        </w:rPr>
      </w:pPr>
      <w:r w:rsidRPr="006D704D">
        <w:rPr>
          <w:lang w:eastAsia="en-AU"/>
        </w:rPr>
        <w:t xml:space="preserve">Based on the clinical practice examples presented by Dr </w:t>
      </w:r>
      <w:proofErr w:type="spellStart"/>
      <w:r w:rsidRPr="006D704D">
        <w:rPr>
          <w:lang w:eastAsia="en-AU"/>
        </w:rPr>
        <w:t>Hambleton</w:t>
      </w:r>
      <w:proofErr w:type="spellEnd"/>
      <w:r w:rsidRPr="006D704D">
        <w:rPr>
          <w:lang w:eastAsia="en-AU"/>
        </w:rPr>
        <w:t xml:space="preserve"> and </w:t>
      </w:r>
      <w:r>
        <w:rPr>
          <w:lang w:eastAsia="en-AU"/>
        </w:rPr>
        <w:t xml:space="preserve">the </w:t>
      </w:r>
      <w:r w:rsidRPr="006D704D">
        <w:rPr>
          <w:lang w:eastAsia="en-AU"/>
        </w:rPr>
        <w:t>written submissions</w:t>
      </w:r>
      <w:r>
        <w:rPr>
          <w:lang w:eastAsia="en-AU"/>
        </w:rPr>
        <w:t xml:space="preserve"> the OAIC has received</w:t>
      </w:r>
      <w:r w:rsidRPr="006D704D">
        <w:rPr>
          <w:lang w:eastAsia="en-AU"/>
        </w:rPr>
        <w:t>, I am of the view that individual health assessment, diagnosis and care could be compromised if the proposed collection is not permitted.  Furthermore, requiring health and medical professionals to notify third parties of the collection of relevant health information in these circumstances, or to seek their consent</w:t>
      </w:r>
      <w:r>
        <w:rPr>
          <w:lang w:eastAsia="en-AU"/>
        </w:rPr>
        <w:t>,</w:t>
      </w:r>
      <w:r w:rsidRPr="006D704D">
        <w:rPr>
          <w:lang w:eastAsia="en-AU"/>
        </w:rPr>
        <w:t xml:space="preserve"> would delay the health</w:t>
      </w:r>
      <w:r>
        <w:rPr>
          <w:lang w:eastAsia="en-AU"/>
        </w:rPr>
        <w:t xml:space="preserve"> </w:t>
      </w:r>
      <w:r w:rsidRPr="006D704D">
        <w:rPr>
          <w:lang w:eastAsia="en-AU"/>
        </w:rPr>
        <w:t xml:space="preserve">care delivery process in individual cases.  Also, as noted in submissions, if third party consent were routinely required, individual health care may be compromised where third parties do not provide consent.  </w:t>
      </w:r>
    </w:p>
    <w:p w14:paraId="785AA055" w14:textId="77777777" w:rsidR="00C30979" w:rsidRPr="006D704D" w:rsidRDefault="00C30979" w:rsidP="00C30979">
      <w:pPr>
        <w:rPr>
          <w:lang w:eastAsia="en-AU"/>
        </w:rPr>
      </w:pPr>
      <w:r w:rsidRPr="006D704D">
        <w:rPr>
          <w:lang w:eastAsia="en-AU"/>
        </w:rPr>
        <w:t xml:space="preserve">Furthermore, </w:t>
      </w:r>
      <w:r>
        <w:rPr>
          <w:lang w:eastAsia="en-AU"/>
        </w:rPr>
        <w:t xml:space="preserve">I am satisfied that </w:t>
      </w:r>
      <w:r w:rsidRPr="006D704D">
        <w:rPr>
          <w:lang w:eastAsia="en-AU"/>
        </w:rPr>
        <w:t xml:space="preserve">relying on a consent-based regime in these circumstances may have an impact on the efficient and effective running of medical businesses, in turn, risking reduced capacity to provide adequate and timely health care to the public.  </w:t>
      </w:r>
    </w:p>
    <w:p w14:paraId="47C5C601" w14:textId="77777777" w:rsidR="00C30979" w:rsidRPr="006D704D" w:rsidRDefault="00C30979" w:rsidP="00C30979">
      <w:pPr>
        <w:pStyle w:val="Heading3"/>
        <w:rPr>
          <w:rFonts w:eastAsia="Times New Roman"/>
          <w:lang w:eastAsia="en-AU"/>
        </w:rPr>
      </w:pPr>
      <w:r w:rsidRPr="006D704D">
        <w:rPr>
          <w:rFonts w:eastAsia="Times New Roman"/>
          <w:lang w:eastAsia="en-AU"/>
        </w:rPr>
        <w:t>Conclusion</w:t>
      </w:r>
      <w:r>
        <w:rPr>
          <w:rFonts w:eastAsia="Times New Roman"/>
          <w:lang w:eastAsia="en-AU"/>
        </w:rPr>
        <w:t>s regarding the public interest</w:t>
      </w:r>
    </w:p>
    <w:p w14:paraId="0949E836" w14:textId="77777777" w:rsidR="00C30979" w:rsidRPr="006D704D" w:rsidRDefault="00C30979" w:rsidP="00C30979">
      <w:pPr>
        <w:rPr>
          <w:lang w:eastAsia="en-AU"/>
        </w:rPr>
      </w:pPr>
      <w:r w:rsidRPr="006D704D">
        <w:rPr>
          <w:lang w:eastAsia="en-AU"/>
        </w:rPr>
        <w:t xml:space="preserve">On balance, having taken all of the above factors into consideration and in consultation with relevant stakeholders, I have found that the public interest in permitting the relevant acts or practices substantially outweighs adherence to NPP 10.1 in the relevant circumstances. </w:t>
      </w:r>
      <w:r>
        <w:rPr>
          <w:lang w:eastAsia="en-AU"/>
        </w:rPr>
        <w:t xml:space="preserve"> </w:t>
      </w:r>
      <w:r w:rsidRPr="006D704D">
        <w:rPr>
          <w:lang w:eastAsia="en-AU"/>
        </w:rPr>
        <w:t>In arriving at this conclusion, I particularly note the following:</w:t>
      </w:r>
    </w:p>
    <w:p w14:paraId="735E1CE8" w14:textId="77777777" w:rsidR="00C30979" w:rsidRPr="006D704D" w:rsidRDefault="00C30979" w:rsidP="00C30979">
      <w:pPr>
        <w:pStyle w:val="ListParagraph"/>
        <w:tabs>
          <w:tab w:val="clear" w:pos="720"/>
        </w:tabs>
        <w:rPr>
          <w:lang w:eastAsia="en-AU"/>
        </w:rPr>
      </w:pPr>
      <w:r w:rsidRPr="006D704D">
        <w:rPr>
          <w:lang w:eastAsia="en-AU"/>
        </w:rPr>
        <w:t>the public interest in permitting the relevant acts or practices in order to provide continuing, comprehensive and quality health care for consumers, and better public health outcomes</w:t>
      </w:r>
    </w:p>
    <w:p w14:paraId="7C87E072" w14:textId="77777777" w:rsidR="00C30979" w:rsidRPr="006D704D" w:rsidRDefault="00C30979" w:rsidP="00C30979">
      <w:pPr>
        <w:pStyle w:val="ListParagraph"/>
        <w:tabs>
          <w:tab w:val="clear" w:pos="720"/>
        </w:tabs>
        <w:rPr>
          <w:lang w:eastAsia="en-AU"/>
        </w:rPr>
      </w:pPr>
      <w:r w:rsidRPr="006D704D">
        <w:rPr>
          <w:lang w:eastAsia="en-AU"/>
        </w:rPr>
        <w:t>the fact that the practice of collecting health consumers’ family, social and medical histories for good health care and treatment without the need to obtain third parties’ consent is widespread, considered best clinical practice</w:t>
      </w:r>
      <w:r>
        <w:rPr>
          <w:lang w:eastAsia="en-AU"/>
        </w:rPr>
        <w:t>,</w:t>
      </w:r>
      <w:r w:rsidRPr="006D704D">
        <w:rPr>
          <w:lang w:eastAsia="en-AU"/>
        </w:rPr>
        <w:t xml:space="preserve"> and generally known and accepted in the community</w:t>
      </w:r>
    </w:p>
    <w:p w14:paraId="03BA7279" w14:textId="77777777" w:rsidR="00C30979" w:rsidRPr="006D704D" w:rsidRDefault="00C30979" w:rsidP="00C30979">
      <w:pPr>
        <w:pStyle w:val="ListParagraph"/>
        <w:tabs>
          <w:tab w:val="clear" w:pos="720"/>
        </w:tabs>
        <w:rPr>
          <w:lang w:eastAsia="en-AU"/>
        </w:rPr>
      </w:pPr>
      <w:r w:rsidRPr="006D704D">
        <w:rPr>
          <w:lang w:eastAsia="en-AU"/>
        </w:rPr>
        <w:t>the need for efficient and effective running of health care services, and</w:t>
      </w:r>
    </w:p>
    <w:p w14:paraId="22C64594" w14:textId="77777777" w:rsidR="00C30979" w:rsidRPr="006D704D" w:rsidRDefault="00C30979" w:rsidP="00C30979">
      <w:pPr>
        <w:pStyle w:val="ListParagraph"/>
        <w:tabs>
          <w:tab w:val="clear" w:pos="720"/>
        </w:tabs>
        <w:rPr>
          <w:lang w:eastAsia="en-AU"/>
        </w:rPr>
      </w:pPr>
      <w:proofErr w:type="gramStart"/>
      <w:r w:rsidRPr="006D704D">
        <w:rPr>
          <w:lang w:eastAsia="en-AU"/>
        </w:rPr>
        <w:t>the</w:t>
      </w:r>
      <w:proofErr w:type="gramEnd"/>
      <w:r w:rsidRPr="006D704D">
        <w:rPr>
          <w:lang w:eastAsia="en-AU"/>
        </w:rPr>
        <w:t xml:space="preserve"> effective and generally accepted operation of PIDs 9 and 9A in relation to these acts and practices between 2002 and 2007, and of PIDs 10 and 10A since 11</w:t>
      </w:r>
      <w:r>
        <w:rPr>
          <w:lang w:eastAsia="en-AU"/>
        </w:rPr>
        <w:t> </w:t>
      </w:r>
      <w:r w:rsidRPr="006D704D">
        <w:rPr>
          <w:lang w:eastAsia="en-AU"/>
        </w:rPr>
        <w:t>December 2007.</w:t>
      </w:r>
    </w:p>
    <w:p w14:paraId="2B680C65" w14:textId="77777777" w:rsidR="00C30979" w:rsidRPr="006D704D" w:rsidRDefault="00C30979" w:rsidP="00C30979">
      <w:pPr>
        <w:rPr>
          <w:lang w:eastAsia="en-AU"/>
        </w:rPr>
      </w:pPr>
      <w:r w:rsidRPr="006D704D">
        <w:rPr>
          <w:lang w:eastAsia="en-AU"/>
        </w:rPr>
        <w:t xml:space="preserve">I am of the view that the central public interest objective being served by this determination is that of the provision of quality health services to health consumers and ultimately safeguarding public health.  </w:t>
      </w:r>
    </w:p>
    <w:p w14:paraId="51B0390F" w14:textId="7BBA704D" w:rsidR="00C30979" w:rsidRPr="006D704D" w:rsidRDefault="00C30979" w:rsidP="00C30979">
      <w:pPr>
        <w:rPr>
          <w:lang w:eastAsia="en-AU"/>
        </w:rPr>
      </w:pPr>
      <w:r w:rsidRPr="006D704D">
        <w:rPr>
          <w:lang w:eastAsia="en-AU"/>
        </w:rPr>
        <w:t>I am satisfied that family, social and medical history collection, including in settings such as counselling and therapeutic health services, and residential and community aged care health services is critical to good health</w:t>
      </w:r>
      <w:r>
        <w:rPr>
          <w:lang w:eastAsia="en-AU"/>
        </w:rPr>
        <w:t xml:space="preserve"> </w:t>
      </w:r>
      <w:r w:rsidRPr="006D704D">
        <w:rPr>
          <w:lang w:eastAsia="en-AU"/>
        </w:rPr>
        <w:t>care provision.</w:t>
      </w:r>
    </w:p>
    <w:p w14:paraId="7089E164" w14:textId="77777777" w:rsidR="00C30979" w:rsidRPr="001B51E9" w:rsidRDefault="00C30979" w:rsidP="00C30979">
      <w:pPr>
        <w:pStyle w:val="Heading1"/>
      </w:pPr>
      <w:r w:rsidRPr="001B51E9">
        <w:t xml:space="preserve">Continuing application of the National Privacy Principles to information collected under these determinations </w:t>
      </w:r>
    </w:p>
    <w:p w14:paraId="7498BD93" w14:textId="77777777" w:rsidR="00C30979" w:rsidRPr="006D704D" w:rsidRDefault="00C30979" w:rsidP="00C30979">
      <w:pPr>
        <w:spacing w:before="120" w:after="120"/>
        <w:rPr>
          <w:rFonts w:asciiTheme="minorHAnsi" w:eastAsia="Times New Roman" w:hAnsiTheme="minorHAnsi" w:cstheme="minorHAnsi"/>
          <w:szCs w:val="24"/>
          <w:lang w:eastAsia="en-AU"/>
        </w:rPr>
      </w:pPr>
      <w:r w:rsidRPr="006D704D">
        <w:rPr>
          <w:rFonts w:asciiTheme="minorHAnsi" w:eastAsia="Times New Roman" w:hAnsiTheme="minorHAnsi" w:cstheme="minorHAnsi"/>
          <w:szCs w:val="24"/>
          <w:lang w:eastAsia="en-AU"/>
        </w:rPr>
        <w:t xml:space="preserve">Further, I note that the privacy protection standards in NPPs 1 to 9 and 10.2 to 10.3 will continue to apply to protect the third party’s information once collected. </w:t>
      </w:r>
    </w:p>
    <w:p w14:paraId="22ADA12C" w14:textId="77777777" w:rsidR="00C30979" w:rsidRPr="006D704D" w:rsidRDefault="00C30979" w:rsidP="00C30979">
      <w:pPr>
        <w:spacing w:before="120" w:after="120"/>
        <w:rPr>
          <w:rFonts w:asciiTheme="minorHAnsi" w:eastAsia="Times New Roman" w:hAnsiTheme="minorHAnsi" w:cstheme="minorHAnsi"/>
          <w:szCs w:val="24"/>
          <w:lang w:eastAsia="en-AU"/>
        </w:rPr>
      </w:pPr>
      <w:r w:rsidRPr="006D704D">
        <w:rPr>
          <w:rFonts w:asciiTheme="minorHAnsi" w:eastAsia="Times New Roman" w:hAnsiTheme="minorHAnsi" w:cstheme="minorHAnsi"/>
          <w:szCs w:val="24"/>
          <w:lang w:eastAsia="en-AU"/>
        </w:rPr>
        <w:t xml:space="preserve">In particular, NPPs 1.1 and 1.2 ensure that information that is collected should be confined to that necessary to an organisation’s functions or activities and be collected only by lawful and fair means and in a way that is not unreasonably intrusive.  </w:t>
      </w:r>
    </w:p>
    <w:p w14:paraId="7A0CD6B1" w14:textId="39F22925" w:rsidR="00C30979" w:rsidRPr="006D704D" w:rsidRDefault="00C30979" w:rsidP="00C30979">
      <w:pPr>
        <w:spacing w:before="120" w:after="120"/>
        <w:rPr>
          <w:rFonts w:asciiTheme="minorHAnsi" w:eastAsia="Times New Roman" w:hAnsiTheme="minorHAnsi" w:cstheme="minorHAnsi"/>
          <w:szCs w:val="24"/>
          <w:lang w:eastAsia="en-AU"/>
        </w:rPr>
      </w:pPr>
      <w:r w:rsidRPr="006D704D">
        <w:rPr>
          <w:rFonts w:asciiTheme="minorHAnsi" w:eastAsia="Times New Roman" w:hAnsiTheme="minorHAnsi" w:cstheme="minorHAnsi"/>
          <w:szCs w:val="24"/>
          <w:lang w:eastAsia="en-AU"/>
        </w:rPr>
        <w:t>NPP 2 provides protection for the use and disclosure of the information collected under the determinations.  Under NPP 2</w:t>
      </w:r>
      <w:r>
        <w:rPr>
          <w:rFonts w:asciiTheme="minorHAnsi" w:eastAsia="Times New Roman" w:hAnsiTheme="minorHAnsi" w:cstheme="minorHAnsi"/>
          <w:szCs w:val="24"/>
          <w:lang w:eastAsia="en-AU"/>
        </w:rPr>
        <w:t>,</w:t>
      </w:r>
      <w:r w:rsidRPr="006D704D">
        <w:rPr>
          <w:rFonts w:asciiTheme="minorHAnsi" w:eastAsia="Times New Roman" w:hAnsiTheme="minorHAnsi" w:cstheme="minorHAnsi"/>
          <w:szCs w:val="24"/>
          <w:lang w:eastAsia="en-AU"/>
        </w:rPr>
        <w:t xml:space="preserve"> information collected may generally only be used or disclosed for the primary purpose of collection such as establishing an individual’s family, social or medical history in order to provide a health service directly to the individual.  Exceptions do apply</w:t>
      </w:r>
      <w:r>
        <w:rPr>
          <w:rFonts w:asciiTheme="minorHAnsi" w:eastAsia="Times New Roman" w:hAnsiTheme="minorHAnsi" w:cstheme="minorHAnsi"/>
          <w:szCs w:val="24"/>
          <w:lang w:eastAsia="en-AU"/>
        </w:rPr>
        <w:t xml:space="preserve">. </w:t>
      </w:r>
      <w:r w:rsidRPr="006D704D">
        <w:rPr>
          <w:rFonts w:asciiTheme="minorHAnsi" w:eastAsia="Times New Roman" w:hAnsiTheme="minorHAnsi" w:cstheme="minorHAnsi"/>
          <w:szCs w:val="24"/>
          <w:lang w:eastAsia="en-AU"/>
        </w:rPr>
        <w:t xml:space="preserve"> </w:t>
      </w:r>
      <w:r>
        <w:rPr>
          <w:rFonts w:asciiTheme="minorHAnsi" w:eastAsia="Times New Roman" w:hAnsiTheme="minorHAnsi" w:cstheme="minorHAnsi"/>
          <w:szCs w:val="24"/>
          <w:lang w:eastAsia="en-AU"/>
        </w:rPr>
        <w:t>F</w:t>
      </w:r>
      <w:r w:rsidRPr="006D704D">
        <w:rPr>
          <w:rFonts w:asciiTheme="minorHAnsi" w:eastAsia="Times New Roman" w:hAnsiTheme="minorHAnsi" w:cstheme="minorHAnsi"/>
          <w:szCs w:val="24"/>
          <w:lang w:eastAsia="en-AU"/>
        </w:rPr>
        <w:t>or example, under NPP 2.1(a)</w:t>
      </w:r>
      <w:r>
        <w:rPr>
          <w:rFonts w:asciiTheme="minorHAnsi" w:eastAsia="Times New Roman" w:hAnsiTheme="minorHAnsi" w:cstheme="minorHAnsi"/>
          <w:szCs w:val="24"/>
          <w:lang w:eastAsia="en-AU"/>
        </w:rPr>
        <w:t>,</w:t>
      </w:r>
      <w:r w:rsidRPr="006D704D">
        <w:rPr>
          <w:rFonts w:asciiTheme="minorHAnsi" w:eastAsia="Times New Roman" w:hAnsiTheme="minorHAnsi" w:cstheme="minorHAnsi"/>
          <w:szCs w:val="24"/>
          <w:lang w:eastAsia="en-AU"/>
        </w:rPr>
        <w:t xml:space="preserve"> information may be used or disclosed for a directly related secondary purpose within the reasonable expectations of the person to whom the information relates. </w:t>
      </w:r>
      <w:r>
        <w:rPr>
          <w:rFonts w:asciiTheme="minorHAnsi" w:eastAsia="Times New Roman" w:hAnsiTheme="minorHAnsi" w:cstheme="minorHAnsi"/>
          <w:szCs w:val="24"/>
          <w:lang w:eastAsia="en-AU"/>
        </w:rPr>
        <w:t xml:space="preserve"> </w:t>
      </w:r>
      <w:r w:rsidRPr="006D704D">
        <w:rPr>
          <w:rFonts w:asciiTheme="minorHAnsi" w:eastAsia="Times New Roman" w:hAnsiTheme="minorHAnsi" w:cstheme="minorHAnsi"/>
          <w:szCs w:val="24"/>
          <w:lang w:eastAsia="en-AU"/>
        </w:rPr>
        <w:t>Other limited exceptions are set out in paragraphs 2.1(b)</w:t>
      </w:r>
      <w:r>
        <w:rPr>
          <w:rFonts w:asciiTheme="minorHAnsi" w:eastAsia="Times New Roman" w:hAnsiTheme="minorHAnsi" w:cstheme="minorHAnsi"/>
          <w:szCs w:val="24"/>
          <w:lang w:eastAsia="en-AU"/>
        </w:rPr>
        <w:t>,</w:t>
      </w:r>
      <w:r w:rsidRPr="006D704D">
        <w:rPr>
          <w:rFonts w:asciiTheme="minorHAnsi" w:eastAsia="Times New Roman" w:hAnsiTheme="minorHAnsi" w:cstheme="minorHAnsi"/>
          <w:szCs w:val="24"/>
          <w:lang w:eastAsia="en-AU"/>
        </w:rPr>
        <w:t xml:space="preserve"> and 2.1(d) to 2.1(h).  Overall, the remaining NPPs appear to provide adequately for the protection of information that may be collected under the determinations.</w:t>
      </w:r>
    </w:p>
    <w:p w14:paraId="59954FF7" w14:textId="1A2151C7" w:rsidR="00C30979" w:rsidRPr="006D704D" w:rsidRDefault="00C30979" w:rsidP="00C30979">
      <w:pPr>
        <w:spacing w:before="120" w:after="120"/>
        <w:rPr>
          <w:rFonts w:asciiTheme="minorHAnsi" w:eastAsia="Times New Roman" w:hAnsiTheme="minorHAnsi" w:cstheme="minorHAnsi"/>
          <w:szCs w:val="24"/>
          <w:lang w:eastAsia="en-AU"/>
        </w:rPr>
      </w:pPr>
      <w:r w:rsidRPr="006D704D">
        <w:rPr>
          <w:rFonts w:asciiTheme="minorHAnsi" w:eastAsia="Times New Roman" w:hAnsiTheme="minorHAnsi" w:cstheme="minorHAnsi"/>
          <w:szCs w:val="24"/>
          <w:lang w:eastAsia="en-AU"/>
        </w:rPr>
        <w:t xml:space="preserve">For all of these reasons I am satisfied that the public interest in allowing Dr </w:t>
      </w:r>
      <w:proofErr w:type="spellStart"/>
      <w:r w:rsidRPr="006D704D">
        <w:rPr>
          <w:rFonts w:asciiTheme="minorHAnsi" w:eastAsia="Times New Roman" w:hAnsiTheme="minorHAnsi" w:cstheme="minorHAnsi"/>
          <w:szCs w:val="24"/>
          <w:lang w:eastAsia="en-AU"/>
        </w:rPr>
        <w:t>Hambleton</w:t>
      </w:r>
      <w:proofErr w:type="spellEnd"/>
      <w:r w:rsidRPr="006D704D">
        <w:rPr>
          <w:rFonts w:asciiTheme="minorHAnsi" w:eastAsia="Times New Roman" w:hAnsiTheme="minorHAnsi" w:cstheme="minorHAnsi"/>
          <w:szCs w:val="24"/>
          <w:lang w:eastAsia="en-AU"/>
        </w:rPr>
        <w:t xml:space="preserve"> to collect the information in question</w:t>
      </w:r>
      <w:r>
        <w:rPr>
          <w:rFonts w:asciiTheme="minorHAnsi" w:eastAsia="Times New Roman" w:hAnsiTheme="minorHAnsi" w:cstheme="minorHAnsi"/>
          <w:szCs w:val="24"/>
          <w:lang w:eastAsia="en-AU"/>
        </w:rPr>
        <w:t>,</w:t>
      </w:r>
      <w:r w:rsidRPr="006D704D">
        <w:rPr>
          <w:rFonts w:asciiTheme="minorHAnsi" w:eastAsia="Times New Roman" w:hAnsiTheme="minorHAnsi" w:cstheme="minorHAnsi"/>
          <w:szCs w:val="24"/>
          <w:lang w:eastAsia="en-AU"/>
        </w:rPr>
        <w:t xml:space="preserve"> in the circumstances set out in </w:t>
      </w:r>
      <w:r>
        <w:rPr>
          <w:rFonts w:asciiTheme="minorHAnsi" w:eastAsia="Times New Roman" w:hAnsiTheme="minorHAnsi" w:cstheme="minorHAnsi"/>
          <w:szCs w:val="24"/>
          <w:lang w:eastAsia="en-AU"/>
        </w:rPr>
        <w:t>PID</w:t>
      </w:r>
      <w:r w:rsidRPr="006D704D">
        <w:rPr>
          <w:rFonts w:asciiTheme="minorHAnsi" w:eastAsia="Times New Roman" w:hAnsiTheme="minorHAnsi" w:cstheme="minorHAnsi"/>
          <w:szCs w:val="24"/>
          <w:lang w:eastAsia="en-AU"/>
        </w:rPr>
        <w:t xml:space="preserve"> 1</w:t>
      </w:r>
      <w:r>
        <w:rPr>
          <w:rFonts w:asciiTheme="minorHAnsi" w:eastAsia="Times New Roman" w:hAnsiTheme="minorHAnsi" w:cstheme="minorHAnsi"/>
          <w:szCs w:val="24"/>
          <w:lang w:eastAsia="en-AU"/>
        </w:rPr>
        <w:t>2,</w:t>
      </w:r>
      <w:r w:rsidRPr="006D704D">
        <w:rPr>
          <w:rFonts w:asciiTheme="minorHAnsi" w:eastAsia="Times New Roman" w:hAnsiTheme="minorHAnsi" w:cstheme="minorHAnsi"/>
          <w:szCs w:val="24"/>
          <w:lang w:eastAsia="en-AU"/>
        </w:rPr>
        <w:t xml:space="preserve"> substantially outweighs the public interest in adhering to NPP 10.1.</w:t>
      </w:r>
    </w:p>
    <w:p w14:paraId="5029A6BF" w14:textId="77777777" w:rsidR="00C30979" w:rsidRPr="006D704D" w:rsidRDefault="00C30979" w:rsidP="00C30979">
      <w:pPr>
        <w:pStyle w:val="Heading2"/>
        <w:rPr>
          <w:rFonts w:eastAsia="Times New Roman"/>
          <w:lang w:val="en-GB" w:eastAsia="en-AU"/>
        </w:rPr>
      </w:pPr>
      <w:r w:rsidRPr="006D704D">
        <w:rPr>
          <w:rFonts w:eastAsia="Times New Roman"/>
          <w:lang w:val="en-GB" w:eastAsia="en-AU"/>
        </w:rPr>
        <w:t>Notifying third parties of the collection</w:t>
      </w:r>
    </w:p>
    <w:p w14:paraId="68EEDC6E" w14:textId="77777777" w:rsidR="00C30979" w:rsidRPr="006D704D" w:rsidRDefault="00C30979" w:rsidP="00C30979">
      <w:pPr>
        <w:spacing w:before="120" w:after="120"/>
        <w:rPr>
          <w:rFonts w:asciiTheme="minorHAnsi" w:eastAsia="Times New Roman" w:hAnsiTheme="minorHAnsi" w:cstheme="minorHAnsi"/>
          <w:szCs w:val="24"/>
          <w:lang w:eastAsia="en-AU"/>
        </w:rPr>
      </w:pPr>
      <w:r w:rsidRPr="006D704D">
        <w:rPr>
          <w:rFonts w:asciiTheme="minorHAnsi" w:eastAsia="Times New Roman" w:hAnsiTheme="minorHAnsi" w:cstheme="minorHAnsi"/>
          <w:szCs w:val="24"/>
          <w:lang w:eastAsia="en-AU"/>
        </w:rPr>
        <w:t xml:space="preserve">I note that, in his application, Dr </w:t>
      </w:r>
      <w:proofErr w:type="spellStart"/>
      <w:r w:rsidRPr="006D704D">
        <w:rPr>
          <w:rFonts w:asciiTheme="minorHAnsi" w:eastAsia="Times New Roman" w:hAnsiTheme="minorHAnsi" w:cstheme="minorHAnsi"/>
          <w:szCs w:val="24"/>
          <w:lang w:eastAsia="en-AU"/>
        </w:rPr>
        <w:t>Hambleton</w:t>
      </w:r>
      <w:proofErr w:type="spellEnd"/>
      <w:r w:rsidRPr="006D704D">
        <w:rPr>
          <w:rFonts w:asciiTheme="minorHAnsi" w:eastAsia="Times New Roman" w:hAnsiTheme="minorHAnsi" w:cstheme="minorHAnsi"/>
          <w:szCs w:val="24"/>
          <w:lang w:eastAsia="en-AU"/>
        </w:rPr>
        <w:t xml:space="preserve"> has included reference to notifying third parties of the collection of their information:</w:t>
      </w:r>
    </w:p>
    <w:p w14:paraId="2E8B4925" w14:textId="55086478" w:rsidR="00C30979" w:rsidRPr="006D704D" w:rsidRDefault="00C30979" w:rsidP="00C30979">
      <w:pPr>
        <w:spacing w:before="120" w:after="120"/>
        <w:ind w:left="720"/>
        <w:rPr>
          <w:rFonts w:asciiTheme="minorHAnsi" w:eastAsia="Times New Roman" w:hAnsiTheme="minorHAnsi" w:cstheme="minorHAnsi"/>
          <w:i/>
          <w:color w:val="FF0000"/>
          <w:szCs w:val="24"/>
          <w:lang w:eastAsia="en-AU"/>
        </w:rPr>
      </w:pPr>
      <w:r>
        <w:rPr>
          <w:rFonts w:asciiTheme="minorHAnsi" w:eastAsia="Times New Roman" w:hAnsiTheme="minorHAnsi" w:cstheme="minorHAnsi"/>
          <w:i/>
          <w:szCs w:val="24"/>
          <w:lang w:eastAsia="en-AU"/>
        </w:rPr>
        <w:t>‘</w:t>
      </w:r>
      <w:r w:rsidRPr="006D704D">
        <w:rPr>
          <w:rFonts w:asciiTheme="minorHAnsi" w:eastAsia="Times New Roman" w:hAnsiTheme="minorHAnsi" w:cstheme="minorHAnsi"/>
          <w:i/>
          <w:szCs w:val="24"/>
          <w:lang w:eastAsia="en-AU"/>
        </w:rPr>
        <w:t>In the absence of a Public Interest Determination on this issue, National Privacy Principl</w:t>
      </w:r>
      <w:r>
        <w:rPr>
          <w:rFonts w:asciiTheme="minorHAnsi" w:eastAsia="Times New Roman" w:hAnsiTheme="minorHAnsi" w:cstheme="minorHAnsi"/>
          <w:i/>
          <w:szCs w:val="24"/>
          <w:lang w:eastAsia="en-AU"/>
        </w:rPr>
        <w:t>e</w:t>
      </w:r>
      <w:r w:rsidRPr="006D704D">
        <w:rPr>
          <w:rFonts w:asciiTheme="minorHAnsi" w:eastAsia="Times New Roman" w:hAnsiTheme="minorHAnsi" w:cstheme="minorHAnsi"/>
          <w:i/>
          <w:szCs w:val="24"/>
          <w:lang w:eastAsia="en-AU"/>
        </w:rPr>
        <w:t xml:space="preserve"> 10 would require health service providers to obtain the consent of third parties to collect personal and health information on these persons, and notify third parties of the collection of their information. This is clearly impractical and could compromise the health care of patients.</w:t>
      </w:r>
      <w:r>
        <w:rPr>
          <w:rFonts w:asciiTheme="minorHAnsi" w:eastAsia="Times New Roman" w:hAnsiTheme="minorHAnsi" w:cstheme="minorHAnsi"/>
          <w:i/>
          <w:szCs w:val="24"/>
          <w:lang w:eastAsia="en-AU"/>
        </w:rPr>
        <w:t>’</w:t>
      </w:r>
    </w:p>
    <w:p w14:paraId="3081DA79" w14:textId="77777777" w:rsidR="00C30979" w:rsidRPr="006D704D" w:rsidRDefault="00C30979" w:rsidP="00C30979">
      <w:pPr>
        <w:spacing w:before="120" w:after="120"/>
        <w:rPr>
          <w:rFonts w:asciiTheme="minorHAnsi" w:eastAsia="Times New Roman" w:hAnsiTheme="minorHAnsi" w:cstheme="minorHAnsi"/>
          <w:szCs w:val="24"/>
          <w:lang w:eastAsia="en-AU"/>
        </w:rPr>
      </w:pPr>
      <w:r w:rsidRPr="006D704D">
        <w:rPr>
          <w:rFonts w:asciiTheme="minorHAnsi" w:eastAsia="Times New Roman" w:hAnsiTheme="minorHAnsi" w:cstheme="minorHAnsi"/>
          <w:szCs w:val="24"/>
          <w:lang w:eastAsia="en-AU"/>
        </w:rPr>
        <w:t>N</w:t>
      </w:r>
      <w:r>
        <w:rPr>
          <w:rFonts w:asciiTheme="minorHAnsi" w:eastAsia="Times New Roman" w:hAnsiTheme="minorHAnsi" w:cstheme="minorHAnsi"/>
          <w:szCs w:val="24"/>
          <w:lang w:eastAsia="en-AU"/>
        </w:rPr>
        <w:t>PP</w:t>
      </w:r>
      <w:r w:rsidRPr="006D704D">
        <w:rPr>
          <w:rFonts w:asciiTheme="minorHAnsi" w:eastAsia="Times New Roman" w:hAnsiTheme="minorHAnsi" w:cstheme="minorHAnsi"/>
          <w:szCs w:val="24"/>
          <w:lang w:eastAsia="en-AU"/>
        </w:rPr>
        <w:t xml:space="preserve"> 1.5 requires an organisation to take reasonable steps to notify an individual of the collection of their information from another person (in this case, from the health consumer).  My predecessors canvassed the issue of whether a separate exemption for NPP 1.5 was required in similar circumstances in </w:t>
      </w:r>
      <w:r w:rsidRPr="001B51E9">
        <w:rPr>
          <w:rFonts w:asciiTheme="minorHAnsi" w:eastAsia="Times New Roman" w:hAnsiTheme="minorHAnsi" w:cstheme="minorHAnsi"/>
          <w:color w:val="000000" w:themeColor="text1"/>
          <w:szCs w:val="24"/>
          <w:lang w:eastAsia="en-AU"/>
        </w:rPr>
        <w:t xml:space="preserve">PIDs 9 and 10.  </w:t>
      </w:r>
      <w:r w:rsidRPr="006D704D">
        <w:rPr>
          <w:rFonts w:asciiTheme="minorHAnsi" w:eastAsia="Times New Roman" w:hAnsiTheme="minorHAnsi" w:cstheme="minorHAnsi"/>
          <w:szCs w:val="24"/>
          <w:lang w:eastAsia="en-AU"/>
        </w:rPr>
        <w:t xml:space="preserve">I am of the same view that the requirement of NPP 1.5 for an organisation to take reasonable steps may mean, in some circumstances, that no steps need be taken to notify an individual of a collection of their information from another person.  Consequently, no determination needs to be made in relation to that issue here. </w:t>
      </w:r>
    </w:p>
    <w:p w14:paraId="00A7191F" w14:textId="77777777" w:rsidR="00C30979" w:rsidRPr="006D704D" w:rsidRDefault="00C30979" w:rsidP="00C30979">
      <w:pPr>
        <w:pStyle w:val="Heading1"/>
        <w:rPr>
          <w:rFonts w:eastAsia="Times New Roman"/>
          <w:lang w:val="en-GB" w:eastAsia="en-AU"/>
        </w:rPr>
      </w:pPr>
      <w:r w:rsidRPr="006D704D">
        <w:rPr>
          <w:rFonts w:eastAsia="Times New Roman"/>
          <w:lang w:val="en-GB" w:eastAsia="en-AU"/>
        </w:rPr>
        <w:t>Generalising the effect of the determination</w:t>
      </w:r>
    </w:p>
    <w:p w14:paraId="257B607A" w14:textId="77777777" w:rsidR="00C30979" w:rsidRPr="006D704D" w:rsidRDefault="00C30979" w:rsidP="00C30979">
      <w:pPr>
        <w:spacing w:before="120" w:after="120"/>
        <w:rPr>
          <w:rFonts w:asciiTheme="minorHAnsi" w:eastAsia="Times New Roman" w:hAnsiTheme="minorHAnsi" w:cstheme="minorHAnsi"/>
          <w:szCs w:val="22"/>
          <w:lang w:eastAsia="en-AU"/>
        </w:rPr>
      </w:pPr>
      <w:r w:rsidRPr="006D704D">
        <w:rPr>
          <w:rFonts w:asciiTheme="minorHAnsi" w:eastAsia="Times New Roman" w:hAnsiTheme="minorHAnsi" w:cstheme="minorHAnsi"/>
          <w:szCs w:val="22"/>
          <w:lang w:eastAsia="en-AU"/>
        </w:rPr>
        <w:t xml:space="preserve">In addition to applying for a determination for himself, </w:t>
      </w:r>
      <w:r w:rsidRPr="006D704D">
        <w:rPr>
          <w:rFonts w:asciiTheme="minorHAnsi" w:eastAsia="Times New Roman" w:hAnsiTheme="minorHAnsi" w:cstheme="minorHAnsi"/>
          <w:szCs w:val="24"/>
          <w:lang w:eastAsia="en-AU"/>
        </w:rPr>
        <w:t xml:space="preserve">Dr </w:t>
      </w:r>
      <w:proofErr w:type="spellStart"/>
      <w:r w:rsidRPr="006D704D">
        <w:rPr>
          <w:rFonts w:asciiTheme="minorHAnsi" w:eastAsia="Times New Roman" w:hAnsiTheme="minorHAnsi" w:cstheme="minorHAnsi"/>
          <w:szCs w:val="24"/>
          <w:lang w:eastAsia="en-AU"/>
        </w:rPr>
        <w:t>Hambleton</w:t>
      </w:r>
      <w:proofErr w:type="spellEnd"/>
      <w:r w:rsidRPr="006D704D" w:rsidDel="003C0451">
        <w:rPr>
          <w:rFonts w:asciiTheme="minorHAnsi" w:eastAsia="Times New Roman" w:hAnsiTheme="minorHAnsi" w:cstheme="minorHAnsi"/>
          <w:szCs w:val="22"/>
          <w:lang w:eastAsia="en-AU"/>
        </w:rPr>
        <w:t xml:space="preserve"> </w:t>
      </w:r>
      <w:r w:rsidRPr="006D704D">
        <w:rPr>
          <w:rFonts w:asciiTheme="minorHAnsi" w:eastAsia="Times New Roman" w:hAnsiTheme="minorHAnsi" w:cstheme="minorHAnsi"/>
          <w:szCs w:val="22"/>
          <w:lang w:eastAsia="en-AU"/>
        </w:rPr>
        <w:t>referred to the importance of applying the determination to health service providers generally.  My reasoning above has been developed on the basis that these issues apply to all health service providers and</w:t>
      </w:r>
      <w:r>
        <w:rPr>
          <w:rFonts w:asciiTheme="minorHAnsi" w:eastAsia="Times New Roman" w:hAnsiTheme="minorHAnsi" w:cstheme="minorHAnsi"/>
          <w:szCs w:val="22"/>
          <w:lang w:eastAsia="en-AU"/>
        </w:rPr>
        <w:t>,</w:t>
      </w:r>
      <w:r w:rsidRPr="006D704D">
        <w:rPr>
          <w:rFonts w:asciiTheme="minorHAnsi" w:eastAsia="Times New Roman" w:hAnsiTheme="minorHAnsi" w:cstheme="minorHAnsi"/>
          <w:szCs w:val="22"/>
          <w:lang w:eastAsia="en-AU"/>
        </w:rPr>
        <w:t xml:space="preserve"> accordingly</w:t>
      </w:r>
      <w:r>
        <w:rPr>
          <w:rFonts w:asciiTheme="minorHAnsi" w:eastAsia="Times New Roman" w:hAnsiTheme="minorHAnsi" w:cstheme="minorHAnsi"/>
          <w:szCs w:val="22"/>
          <w:lang w:eastAsia="en-AU"/>
        </w:rPr>
        <w:t>,</w:t>
      </w:r>
      <w:r w:rsidRPr="006D704D">
        <w:rPr>
          <w:rFonts w:asciiTheme="minorHAnsi" w:eastAsia="Times New Roman" w:hAnsiTheme="minorHAnsi" w:cstheme="minorHAnsi"/>
          <w:szCs w:val="22"/>
          <w:lang w:eastAsia="en-AU"/>
        </w:rPr>
        <w:t xml:space="preserve"> I have made a separate determination (PID 12A) under </w:t>
      </w:r>
      <w:proofErr w:type="gramStart"/>
      <w:r w:rsidRPr="006D704D">
        <w:rPr>
          <w:rFonts w:asciiTheme="minorHAnsi" w:eastAsia="Times New Roman" w:hAnsiTheme="minorHAnsi" w:cstheme="minorHAnsi"/>
          <w:szCs w:val="22"/>
          <w:lang w:eastAsia="en-AU"/>
        </w:rPr>
        <w:t>s7</w:t>
      </w:r>
      <w:r>
        <w:rPr>
          <w:rFonts w:asciiTheme="minorHAnsi" w:eastAsia="Times New Roman" w:hAnsiTheme="minorHAnsi" w:cstheme="minorHAnsi"/>
          <w:szCs w:val="22"/>
          <w:lang w:eastAsia="en-AU"/>
        </w:rPr>
        <w:t>2</w:t>
      </w:r>
      <w:r w:rsidRPr="006D704D">
        <w:rPr>
          <w:rFonts w:asciiTheme="minorHAnsi" w:eastAsia="Times New Roman" w:hAnsiTheme="minorHAnsi" w:cstheme="minorHAnsi"/>
          <w:szCs w:val="22"/>
          <w:lang w:eastAsia="en-AU"/>
        </w:rPr>
        <w:t>(</w:t>
      </w:r>
      <w:proofErr w:type="gramEnd"/>
      <w:r w:rsidRPr="006D704D">
        <w:rPr>
          <w:rFonts w:asciiTheme="minorHAnsi" w:eastAsia="Times New Roman" w:hAnsiTheme="minorHAnsi" w:cstheme="minorHAnsi"/>
          <w:szCs w:val="22"/>
          <w:lang w:eastAsia="en-AU"/>
        </w:rPr>
        <w:t>4) of the Privacy Act, giving general effect to PID 12.</w:t>
      </w:r>
    </w:p>
    <w:p w14:paraId="0930F43A" w14:textId="77777777" w:rsidR="00C30979" w:rsidRPr="006D704D" w:rsidRDefault="00C30979" w:rsidP="00C30979">
      <w:pPr>
        <w:pStyle w:val="Heading2"/>
        <w:rPr>
          <w:rFonts w:eastAsia="Times New Roman"/>
          <w:lang w:val="en-GB" w:eastAsia="en-AU"/>
        </w:rPr>
      </w:pPr>
      <w:r w:rsidRPr="006D704D">
        <w:rPr>
          <w:rFonts w:eastAsia="Times New Roman"/>
          <w:lang w:val="en-GB" w:eastAsia="en-AU"/>
        </w:rPr>
        <w:t>Organisations to which PID 12A applies</w:t>
      </w:r>
    </w:p>
    <w:p w14:paraId="36161420" w14:textId="77777777" w:rsidR="00C30979" w:rsidRPr="006D704D" w:rsidRDefault="00C30979" w:rsidP="00C30979">
      <w:pPr>
        <w:spacing w:before="120" w:after="120"/>
        <w:rPr>
          <w:rFonts w:asciiTheme="minorHAnsi" w:eastAsia="Times New Roman" w:hAnsiTheme="minorHAnsi" w:cstheme="minorHAnsi"/>
          <w:szCs w:val="24"/>
          <w:lang w:val="en-GB" w:eastAsia="en-AU"/>
        </w:rPr>
      </w:pPr>
      <w:r w:rsidRPr="006D704D">
        <w:rPr>
          <w:rFonts w:asciiTheme="minorHAnsi" w:eastAsia="Times New Roman" w:hAnsiTheme="minorHAnsi" w:cstheme="minorHAnsi"/>
          <w:szCs w:val="24"/>
          <w:lang w:val="en-GB" w:eastAsia="en-AU"/>
        </w:rPr>
        <w:t xml:space="preserve">PID 12A applies to all organisations that provide a ‘health service’ under the Privacy Act (health service providers), where those organisations collect third party information in the limited circumstances referred to under PID 12. </w:t>
      </w:r>
    </w:p>
    <w:p w14:paraId="080ED08E" w14:textId="77777777" w:rsidR="00C30979" w:rsidRPr="006D704D" w:rsidRDefault="00C30979" w:rsidP="00C30979">
      <w:pPr>
        <w:spacing w:before="120" w:after="120"/>
        <w:rPr>
          <w:rFonts w:asciiTheme="minorHAnsi" w:eastAsia="Times New Roman" w:hAnsiTheme="minorHAnsi" w:cstheme="minorHAnsi"/>
          <w:szCs w:val="24"/>
          <w:lang w:val="en-GB" w:eastAsia="en-AU"/>
        </w:rPr>
      </w:pPr>
      <w:r w:rsidRPr="006D704D">
        <w:rPr>
          <w:rFonts w:asciiTheme="minorHAnsi" w:eastAsia="Times New Roman" w:hAnsiTheme="minorHAnsi" w:cstheme="minorHAnsi"/>
          <w:szCs w:val="24"/>
          <w:lang w:val="en-GB" w:eastAsia="en-AU"/>
        </w:rPr>
        <w:t xml:space="preserve">Under s6 of the Privacy Act, </w:t>
      </w:r>
      <w:r w:rsidRPr="001B51E9">
        <w:rPr>
          <w:rFonts w:asciiTheme="minorHAnsi" w:eastAsia="Times New Roman" w:hAnsiTheme="minorHAnsi" w:cstheme="minorHAnsi"/>
          <w:i/>
          <w:szCs w:val="24"/>
          <w:lang w:val="en-GB" w:eastAsia="en-AU"/>
        </w:rPr>
        <w:t>‘health service’</w:t>
      </w:r>
      <w:r w:rsidRPr="006D704D">
        <w:rPr>
          <w:rFonts w:asciiTheme="minorHAnsi" w:eastAsia="Times New Roman" w:hAnsiTheme="minorHAnsi" w:cstheme="minorHAnsi"/>
          <w:szCs w:val="24"/>
          <w:lang w:val="en-GB" w:eastAsia="en-AU"/>
        </w:rPr>
        <w:t xml:space="preserve"> means:</w:t>
      </w:r>
    </w:p>
    <w:p w14:paraId="3B6386F1" w14:textId="77777777" w:rsidR="00C30979" w:rsidRPr="006D704D" w:rsidRDefault="00C30979" w:rsidP="00C30979">
      <w:pPr>
        <w:numPr>
          <w:ilvl w:val="0"/>
          <w:numId w:val="9"/>
        </w:numPr>
        <w:tabs>
          <w:tab w:val="num" w:pos="900"/>
        </w:tabs>
        <w:spacing w:before="120" w:after="120"/>
        <w:ind w:left="900" w:hanging="540"/>
        <w:rPr>
          <w:rFonts w:asciiTheme="minorHAnsi" w:eastAsia="Times New Roman" w:hAnsiTheme="minorHAnsi" w:cstheme="minorHAnsi"/>
          <w:i/>
          <w:szCs w:val="24"/>
          <w:lang w:val="en-GB" w:eastAsia="en-AU"/>
        </w:rPr>
      </w:pPr>
      <w:r w:rsidRPr="006D704D">
        <w:rPr>
          <w:rFonts w:asciiTheme="minorHAnsi" w:eastAsia="Times New Roman" w:hAnsiTheme="minorHAnsi" w:cstheme="minorHAnsi"/>
          <w:i/>
          <w:szCs w:val="24"/>
          <w:lang w:val="en-GB" w:eastAsia="en-AU"/>
        </w:rPr>
        <w:t>an activity performed in relation to an individual that is intended or claimed (expressly or otherwise) by the individual or the person performing it:</w:t>
      </w:r>
    </w:p>
    <w:p w14:paraId="743C9D98" w14:textId="77777777" w:rsidR="00C30979" w:rsidRPr="006D704D" w:rsidRDefault="00C30979" w:rsidP="00C30979">
      <w:pPr>
        <w:numPr>
          <w:ilvl w:val="1"/>
          <w:numId w:val="9"/>
        </w:numPr>
        <w:spacing w:before="120" w:after="120"/>
        <w:rPr>
          <w:rFonts w:asciiTheme="minorHAnsi" w:eastAsia="Times New Roman" w:hAnsiTheme="minorHAnsi" w:cstheme="minorHAnsi"/>
          <w:i/>
          <w:szCs w:val="24"/>
          <w:lang w:val="en-GB" w:eastAsia="en-AU"/>
        </w:rPr>
      </w:pPr>
      <w:r w:rsidRPr="006D704D">
        <w:rPr>
          <w:rFonts w:asciiTheme="minorHAnsi" w:eastAsia="Times New Roman" w:hAnsiTheme="minorHAnsi" w:cstheme="minorHAnsi"/>
          <w:i/>
          <w:szCs w:val="24"/>
          <w:lang w:val="en-GB" w:eastAsia="en-AU"/>
        </w:rPr>
        <w:t>to assess, record, maintain or improve the individual’s health; or</w:t>
      </w:r>
    </w:p>
    <w:p w14:paraId="5476CC73" w14:textId="77777777" w:rsidR="00C30979" w:rsidRPr="006D704D" w:rsidRDefault="00C30979" w:rsidP="00C30979">
      <w:pPr>
        <w:numPr>
          <w:ilvl w:val="1"/>
          <w:numId w:val="9"/>
        </w:numPr>
        <w:spacing w:before="120" w:after="120"/>
        <w:rPr>
          <w:rFonts w:asciiTheme="minorHAnsi" w:eastAsia="Times New Roman" w:hAnsiTheme="minorHAnsi" w:cstheme="minorHAnsi"/>
          <w:i/>
          <w:szCs w:val="24"/>
          <w:lang w:val="en-GB" w:eastAsia="en-AU"/>
        </w:rPr>
      </w:pPr>
      <w:r w:rsidRPr="006D704D">
        <w:rPr>
          <w:rFonts w:asciiTheme="minorHAnsi" w:eastAsia="Times New Roman" w:hAnsiTheme="minorHAnsi" w:cstheme="minorHAnsi"/>
          <w:i/>
          <w:szCs w:val="24"/>
          <w:lang w:val="en-GB" w:eastAsia="en-AU"/>
        </w:rPr>
        <w:t>to diagnose the individual’s illness or disability; or</w:t>
      </w:r>
    </w:p>
    <w:p w14:paraId="6C8E37E8" w14:textId="77777777" w:rsidR="00C30979" w:rsidRPr="006D704D" w:rsidRDefault="00C30979" w:rsidP="00C30979">
      <w:pPr>
        <w:numPr>
          <w:ilvl w:val="1"/>
          <w:numId w:val="9"/>
        </w:numPr>
        <w:spacing w:before="120" w:after="120"/>
        <w:rPr>
          <w:rFonts w:asciiTheme="minorHAnsi" w:eastAsia="Times New Roman" w:hAnsiTheme="minorHAnsi" w:cstheme="minorHAnsi"/>
          <w:i/>
          <w:szCs w:val="24"/>
          <w:lang w:val="en-GB" w:eastAsia="en-AU"/>
        </w:rPr>
      </w:pPr>
      <w:r w:rsidRPr="006D704D">
        <w:rPr>
          <w:rFonts w:asciiTheme="minorHAnsi" w:eastAsia="Times New Roman" w:hAnsiTheme="minorHAnsi" w:cstheme="minorHAnsi"/>
          <w:i/>
          <w:szCs w:val="24"/>
          <w:lang w:val="en-GB" w:eastAsia="en-AU"/>
        </w:rPr>
        <w:t>to treat the individual’s illness or disability or suspected illness or disability; or</w:t>
      </w:r>
    </w:p>
    <w:p w14:paraId="2703C135" w14:textId="77777777" w:rsidR="00C30979" w:rsidRPr="006D704D" w:rsidRDefault="00C30979" w:rsidP="00C30979">
      <w:pPr>
        <w:numPr>
          <w:ilvl w:val="0"/>
          <w:numId w:val="9"/>
        </w:numPr>
        <w:tabs>
          <w:tab w:val="num" w:pos="900"/>
        </w:tabs>
        <w:spacing w:before="120" w:after="120"/>
        <w:ind w:left="900" w:hanging="540"/>
        <w:rPr>
          <w:rFonts w:asciiTheme="minorHAnsi" w:eastAsia="Times New Roman" w:hAnsiTheme="minorHAnsi" w:cstheme="minorHAnsi"/>
          <w:szCs w:val="24"/>
          <w:lang w:val="en-GB" w:eastAsia="en-AU"/>
        </w:rPr>
      </w:pPr>
      <w:proofErr w:type="gramStart"/>
      <w:r w:rsidRPr="006D704D">
        <w:rPr>
          <w:rFonts w:asciiTheme="minorHAnsi" w:eastAsia="Times New Roman" w:hAnsiTheme="minorHAnsi" w:cstheme="minorHAnsi"/>
          <w:i/>
          <w:szCs w:val="24"/>
          <w:lang w:val="en-GB" w:eastAsia="en-AU"/>
        </w:rPr>
        <w:t>the</w:t>
      </w:r>
      <w:proofErr w:type="gramEnd"/>
      <w:r w:rsidRPr="006D704D">
        <w:rPr>
          <w:rFonts w:asciiTheme="minorHAnsi" w:eastAsia="Times New Roman" w:hAnsiTheme="minorHAnsi" w:cstheme="minorHAnsi"/>
          <w:i/>
          <w:szCs w:val="24"/>
          <w:lang w:val="en-GB" w:eastAsia="en-AU"/>
        </w:rPr>
        <w:t xml:space="preserve"> dispensing on prescription of a drug or medicinal preparation by a pharmacist</w:t>
      </w:r>
      <w:r w:rsidRPr="006D704D">
        <w:rPr>
          <w:rFonts w:asciiTheme="minorHAnsi" w:eastAsia="Times New Roman" w:hAnsiTheme="minorHAnsi" w:cstheme="minorHAnsi"/>
          <w:szCs w:val="24"/>
          <w:lang w:val="en-GB" w:eastAsia="en-AU"/>
        </w:rPr>
        <w:t>.</w:t>
      </w:r>
    </w:p>
    <w:p w14:paraId="5617E6E5" w14:textId="3E034349" w:rsidR="00C30979" w:rsidRDefault="00C30979" w:rsidP="00C30979">
      <w:pPr>
        <w:spacing w:before="120" w:after="120"/>
      </w:pPr>
      <w:r w:rsidRPr="006D704D">
        <w:rPr>
          <w:rFonts w:asciiTheme="minorHAnsi" w:eastAsia="Times New Roman" w:hAnsiTheme="minorHAnsi" w:cstheme="minorHAnsi"/>
          <w:lang w:val="en-GB" w:eastAsia="en-AU"/>
        </w:rPr>
        <w:t xml:space="preserve">The Privacy Act applies to </w:t>
      </w:r>
      <w:r w:rsidRPr="006D704D">
        <w:rPr>
          <w:rFonts w:asciiTheme="minorHAnsi" w:eastAsia="Times New Roman" w:hAnsiTheme="minorHAnsi" w:cstheme="minorHAnsi"/>
          <w:i/>
          <w:lang w:val="en-GB" w:eastAsia="en-AU"/>
        </w:rPr>
        <w:t>all</w:t>
      </w:r>
      <w:r w:rsidRPr="006D704D">
        <w:rPr>
          <w:rFonts w:asciiTheme="minorHAnsi" w:eastAsia="Times New Roman" w:hAnsiTheme="minorHAnsi" w:cstheme="minorHAnsi"/>
          <w:lang w:val="en-GB" w:eastAsia="en-AU"/>
        </w:rPr>
        <w:t xml:space="preserve"> private sector organisations that deliver these types of services, including all health services that hold health information.  The types of health services covered include traditional health service providers such as private hospitals and day surgeries, medical practitioners, pharmacists, and allied health professionals such as counsellors, as well as complementary therapists, gyms, weight loss clinics and many others.</w:t>
      </w:r>
    </w:p>
    <w:p w14:paraId="265D7851" w14:textId="45EFE43B" w:rsidR="00FE3189" w:rsidRDefault="00FE3189" w:rsidP="00C031FE">
      <w:pPr>
        <w:pStyle w:val="Heading1"/>
        <w:jc w:val="center"/>
      </w:pPr>
    </w:p>
    <w:sectPr w:rsidR="00FE3189" w:rsidSect="00EE5054">
      <w:footerReference w:type="default" r:id="rId26"/>
      <w:headerReference w:type="first" r:id="rId27"/>
      <w:footerReference w:type="first" r:id="rId28"/>
      <w:pgSz w:w="11906" w:h="16838"/>
      <w:pgMar w:top="1440" w:right="1700" w:bottom="709" w:left="144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1D9A1" w14:textId="77777777" w:rsidR="00AD237B" w:rsidRDefault="00AD237B" w:rsidP="001E4C39">
      <w:pPr>
        <w:spacing w:after="0"/>
      </w:pPr>
      <w:r>
        <w:separator/>
      </w:r>
    </w:p>
  </w:endnote>
  <w:endnote w:type="continuationSeparator" w:id="0">
    <w:p w14:paraId="2C79FBB5" w14:textId="77777777" w:rsidR="00AD237B" w:rsidRDefault="00AD237B" w:rsidP="001E4C39">
      <w:pPr>
        <w:spacing w:after="0"/>
      </w:pPr>
      <w:r>
        <w:continuationSeparator/>
      </w:r>
    </w:p>
  </w:endnote>
  <w:endnote w:type="continuationNotice" w:id="1">
    <w:p w14:paraId="2677C39C" w14:textId="77777777" w:rsidR="00AD237B" w:rsidRDefault="00AD23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5FC9C" w14:textId="635FB80D" w:rsidR="00AD237B" w:rsidRDefault="00AD237B">
    <w:pPr>
      <w:pStyle w:val="Footer"/>
      <w:jc w:val="right"/>
    </w:pPr>
  </w:p>
  <w:p w14:paraId="0074D15F" w14:textId="77777777" w:rsidR="00AD237B" w:rsidRDefault="00AD2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D33DF" w14:textId="77777777" w:rsidR="00AD237B" w:rsidRDefault="00AD2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F9C41" w14:textId="77777777" w:rsidR="00AD237B" w:rsidRDefault="00AD23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ED012" w14:textId="77777777" w:rsidR="00AD237B" w:rsidRDefault="00AD23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F61C5" w14:textId="0DB82530" w:rsidR="00AD237B" w:rsidRPr="00B22CF2" w:rsidRDefault="00AD237B" w:rsidP="003D4110">
    <w:pPr>
      <w:pStyle w:val="Footer"/>
      <w:rPr>
        <w:rFonts w:asciiTheme="minorHAnsi" w:hAnsiTheme="minorHAnsi" w:cstheme="minorHAnsi"/>
      </w:rPr>
    </w:pPr>
    <w:r>
      <w:rPr>
        <w:rStyle w:val="OFPCTitle"/>
        <w:rFonts w:asciiTheme="minorHAnsi" w:hAnsiTheme="minorHAnsi" w:cstheme="minorHAnsi"/>
        <w:sz w:val="20"/>
        <w:szCs w:val="20"/>
      </w:rPr>
      <w:tab/>
    </w:r>
    <w:r w:rsidRPr="00B22CF2">
      <w:rPr>
        <w:rStyle w:val="OFPCTitle"/>
        <w:rFonts w:asciiTheme="minorHAnsi" w:hAnsiTheme="minorHAnsi" w:cstheme="minorHAnsi"/>
        <w:sz w:val="20"/>
      </w:rPr>
      <w:tab/>
    </w:r>
    <w:r w:rsidRPr="00B22CF2">
      <w:rPr>
        <w:rStyle w:val="PageNumber"/>
        <w:rFonts w:asciiTheme="minorHAnsi" w:hAnsiTheme="minorHAnsi" w:cstheme="minorHAnsi"/>
      </w:rPr>
      <w:fldChar w:fldCharType="begin"/>
    </w:r>
    <w:r w:rsidRPr="00B22CF2">
      <w:rPr>
        <w:rStyle w:val="PageNumber"/>
        <w:rFonts w:asciiTheme="minorHAnsi" w:hAnsiTheme="minorHAnsi" w:cstheme="minorHAnsi"/>
      </w:rPr>
      <w:instrText xml:space="preserve"> PAGE </w:instrText>
    </w:r>
    <w:r w:rsidRPr="00B22CF2">
      <w:rPr>
        <w:rStyle w:val="PageNumber"/>
        <w:rFonts w:asciiTheme="minorHAnsi" w:hAnsiTheme="minorHAnsi" w:cstheme="minorHAnsi"/>
      </w:rPr>
      <w:fldChar w:fldCharType="separate"/>
    </w:r>
    <w:r w:rsidR="009E6887">
      <w:rPr>
        <w:rStyle w:val="PageNumber"/>
        <w:rFonts w:asciiTheme="minorHAnsi" w:hAnsiTheme="minorHAnsi" w:cstheme="minorHAnsi"/>
        <w:noProof/>
      </w:rPr>
      <w:t>13</w:t>
    </w:r>
    <w:r w:rsidRPr="00B22CF2">
      <w:rPr>
        <w:rStyle w:val="PageNumber"/>
        <w:rFonts w:asciiTheme="minorHAnsi" w:hAnsiTheme="minorHAnsi" w:cstheme="minorHAnsi"/>
      </w:rPr>
      <w:fldChar w:fldCharType="end"/>
    </w:r>
  </w:p>
  <w:p w14:paraId="20061BEA" w14:textId="77777777" w:rsidR="00AD237B" w:rsidRDefault="00AD237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089281"/>
      <w:docPartObj>
        <w:docPartGallery w:val="Page Numbers (Bottom of Page)"/>
        <w:docPartUnique/>
      </w:docPartObj>
    </w:sdtPr>
    <w:sdtEndPr>
      <w:rPr>
        <w:noProof/>
      </w:rPr>
    </w:sdtEndPr>
    <w:sdtContent>
      <w:p w14:paraId="46F7CB36" w14:textId="2A2CDE5A" w:rsidR="00AD237B" w:rsidRDefault="00AD237B">
        <w:pPr>
          <w:pStyle w:val="Footer"/>
          <w:jc w:val="right"/>
        </w:pPr>
        <w:r>
          <w:fldChar w:fldCharType="begin"/>
        </w:r>
        <w:r>
          <w:instrText xml:space="preserve"> PAGE   \* MERGEFORMAT </w:instrText>
        </w:r>
        <w:r>
          <w:fldChar w:fldCharType="separate"/>
        </w:r>
        <w:r w:rsidR="009E6887">
          <w:rPr>
            <w:noProof/>
          </w:rPr>
          <w:t>2</w:t>
        </w:r>
        <w:r>
          <w:rPr>
            <w:noProof/>
          </w:rPr>
          <w:fldChar w:fldCharType="end"/>
        </w:r>
      </w:p>
    </w:sdtContent>
  </w:sdt>
  <w:p w14:paraId="2D1E0E48" w14:textId="11E6FA89" w:rsidR="00AD237B" w:rsidRDefault="00AD2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8FB44" w14:textId="77777777" w:rsidR="00AD237B" w:rsidRDefault="00AD237B" w:rsidP="001E4C39">
      <w:pPr>
        <w:spacing w:after="0"/>
      </w:pPr>
      <w:r>
        <w:separator/>
      </w:r>
    </w:p>
  </w:footnote>
  <w:footnote w:type="continuationSeparator" w:id="0">
    <w:p w14:paraId="1BDC9FA0" w14:textId="77777777" w:rsidR="00AD237B" w:rsidRDefault="00AD237B" w:rsidP="001E4C39">
      <w:pPr>
        <w:spacing w:after="0"/>
      </w:pPr>
      <w:r>
        <w:continuationSeparator/>
      </w:r>
    </w:p>
  </w:footnote>
  <w:footnote w:type="continuationNotice" w:id="1">
    <w:p w14:paraId="4C5EAE81" w14:textId="77777777" w:rsidR="00AD237B" w:rsidRDefault="00AD237B">
      <w:pPr>
        <w:spacing w:after="0"/>
      </w:pPr>
    </w:p>
  </w:footnote>
  <w:footnote w:id="2">
    <w:p w14:paraId="6E01B475" w14:textId="77777777" w:rsidR="00AD237B" w:rsidRDefault="00AD237B" w:rsidP="00C30979">
      <w:pPr>
        <w:pStyle w:val="FootnoteText"/>
        <w:tabs>
          <w:tab w:val="clear" w:pos="357"/>
          <w:tab w:val="left" w:pos="284"/>
        </w:tabs>
      </w:pPr>
      <w:r>
        <w:rPr>
          <w:rStyle w:val="FootnoteReference"/>
        </w:rPr>
        <w:footnoteRef/>
      </w:r>
      <w:r>
        <w:t xml:space="preserve"> </w:t>
      </w:r>
      <w:hyperlink w:history="1">
        <w:r w:rsidRPr="0076348D">
          <w:rPr>
            <w:rStyle w:val="Hyperlink"/>
            <w:u w:val="none"/>
          </w:rPr>
          <w:tab/>
        </w:r>
        <w:r w:rsidRPr="0076348D">
          <w:rPr>
            <w:rStyle w:val="Hyperlink"/>
          </w:rPr>
          <w:t>www.comlaw.gov.au/Series/C2004A03712</w:t>
        </w:r>
      </w:hyperlink>
      <w:r>
        <w:t xml:space="preserve"> </w:t>
      </w:r>
    </w:p>
  </w:footnote>
  <w:footnote w:id="3">
    <w:p w14:paraId="5274E177" w14:textId="77777777" w:rsidR="00AD237B" w:rsidRPr="001B51E9" w:rsidRDefault="00AD237B" w:rsidP="00C30979">
      <w:pPr>
        <w:pStyle w:val="FootnoteText"/>
        <w:tabs>
          <w:tab w:val="clear" w:pos="357"/>
          <w:tab w:val="left" w:pos="284"/>
          <w:tab w:val="left" w:pos="993"/>
        </w:tabs>
        <w:spacing w:before="60" w:after="60"/>
        <w:ind w:left="284" w:hangingChars="142" w:hanging="284"/>
        <w:rPr>
          <w:rFonts w:asciiTheme="minorHAnsi" w:hAnsiTheme="minorHAnsi" w:cstheme="minorHAnsi"/>
        </w:rPr>
      </w:pPr>
      <w:r w:rsidRPr="001B51E9">
        <w:rPr>
          <w:rStyle w:val="FootnoteReference"/>
          <w:rFonts w:asciiTheme="minorHAnsi" w:hAnsiTheme="minorHAnsi" w:cstheme="minorHAnsi"/>
        </w:rPr>
        <w:footnoteRef/>
      </w:r>
      <w:r w:rsidRPr="001B51E9">
        <w:rPr>
          <w:rFonts w:asciiTheme="minorHAnsi" w:hAnsiTheme="minorHAnsi" w:cstheme="minorHAnsi"/>
        </w:rPr>
        <w:t xml:space="preserve"> </w:t>
      </w:r>
      <w:r>
        <w:rPr>
          <w:rFonts w:asciiTheme="minorHAnsi" w:hAnsiTheme="minorHAnsi" w:cstheme="minorHAnsi"/>
        </w:rPr>
        <w:tab/>
      </w:r>
      <w:hyperlink r:id="rId1" w:history="1">
        <w:r w:rsidRPr="001B51E9">
          <w:rPr>
            <w:rStyle w:val="Hyperlink"/>
            <w:rFonts w:asciiTheme="minorHAnsi" w:hAnsiTheme="minorHAnsi" w:cstheme="minorHAnsi"/>
          </w:rPr>
          <w:t>www.oaic.gov.au/news/consultations/PID_Dr_Steve_Hambleton/</w:t>
        </w:r>
        <w:r w:rsidRPr="0076348D">
          <w:rPr>
            <w:rStyle w:val="Hyperlink"/>
            <w:rFonts w:asciiTheme="minorHAnsi" w:hAnsiTheme="minorHAnsi" w:cstheme="minorHAnsi"/>
          </w:rPr>
          <w:br/>
        </w:r>
        <w:r w:rsidRPr="001B51E9">
          <w:rPr>
            <w:rStyle w:val="Hyperlink"/>
            <w:rFonts w:asciiTheme="minorHAnsi" w:hAnsiTheme="minorHAnsi" w:cstheme="minorHAnsi"/>
          </w:rPr>
          <w:t>PID_application_Dr_Steve_Hambleton.html</w:t>
        </w:r>
      </w:hyperlink>
      <w:r w:rsidRPr="001B51E9">
        <w:rPr>
          <w:rFonts w:asciiTheme="minorHAnsi" w:hAnsiTheme="minorHAnsi" w:cstheme="minorHAnsi"/>
        </w:rPr>
        <w:t xml:space="preserve"> </w:t>
      </w:r>
    </w:p>
  </w:footnote>
  <w:footnote w:id="4">
    <w:p w14:paraId="68FA80E6" w14:textId="77777777" w:rsidR="00AD237B" w:rsidRPr="001B51E9" w:rsidRDefault="00AD237B" w:rsidP="00C30979">
      <w:pPr>
        <w:pStyle w:val="FootnoteText"/>
        <w:tabs>
          <w:tab w:val="clear" w:pos="357"/>
          <w:tab w:val="left" w:pos="284"/>
          <w:tab w:val="left" w:pos="993"/>
        </w:tabs>
        <w:spacing w:before="60" w:after="60"/>
        <w:ind w:left="284" w:hangingChars="142" w:hanging="284"/>
        <w:rPr>
          <w:rFonts w:asciiTheme="minorHAnsi" w:hAnsiTheme="minorHAnsi" w:cstheme="minorHAnsi"/>
        </w:rPr>
      </w:pPr>
      <w:r w:rsidRPr="001B51E9">
        <w:rPr>
          <w:rStyle w:val="FootnoteReference"/>
          <w:rFonts w:asciiTheme="minorHAnsi" w:hAnsiTheme="minorHAnsi" w:cstheme="minorHAnsi"/>
        </w:rPr>
        <w:footnoteRef/>
      </w:r>
      <w:r w:rsidRPr="001B51E9">
        <w:rPr>
          <w:rFonts w:asciiTheme="minorHAnsi" w:hAnsiTheme="minorHAnsi" w:cstheme="minorHAnsi"/>
        </w:rPr>
        <w:tab/>
        <w:t xml:space="preserve">Available at: </w:t>
      </w:r>
      <w:hyperlink r:id="rId2" w:history="1">
        <w:r w:rsidRPr="001B51E9">
          <w:rPr>
            <w:rStyle w:val="Hyperlink"/>
            <w:rFonts w:asciiTheme="minorHAnsi" w:hAnsiTheme="minorHAnsi" w:cstheme="minorHAnsi"/>
          </w:rPr>
          <w:t>www.privacy.gov.au/publications/acha.pdf</w:t>
        </w:r>
      </w:hyperlink>
      <w:r w:rsidRPr="001B51E9">
        <w:rPr>
          <w:rFonts w:asciiTheme="minorHAnsi" w:hAnsiTheme="minorHAnsi" w:cstheme="minorHAnsi"/>
        </w:rPr>
        <w:t>.</w:t>
      </w:r>
      <w:r w:rsidRPr="001B51E9">
        <w:rPr>
          <w:rFonts w:asciiTheme="minorHAnsi" w:hAnsiTheme="minorHAnsi" w:cstheme="minorHAnsi"/>
        </w:rPr>
        <w:tab/>
      </w:r>
    </w:p>
  </w:footnote>
  <w:footnote w:id="5">
    <w:p w14:paraId="6D2FDC42" w14:textId="77777777" w:rsidR="00AD237B" w:rsidRPr="001B51E9" w:rsidRDefault="00AD237B" w:rsidP="00C30979">
      <w:pPr>
        <w:pStyle w:val="FootnoteText"/>
        <w:tabs>
          <w:tab w:val="clear" w:pos="357"/>
          <w:tab w:val="left" w:pos="284"/>
          <w:tab w:val="left" w:pos="993"/>
        </w:tabs>
        <w:spacing w:before="60" w:after="60"/>
        <w:ind w:left="284" w:hangingChars="142" w:hanging="284"/>
        <w:rPr>
          <w:rFonts w:asciiTheme="minorHAnsi" w:hAnsiTheme="minorHAnsi" w:cstheme="minorHAnsi"/>
        </w:rPr>
      </w:pPr>
      <w:r w:rsidRPr="001B51E9">
        <w:rPr>
          <w:rStyle w:val="FootnoteReference"/>
          <w:rFonts w:asciiTheme="minorHAnsi" w:eastAsiaTheme="majorEastAsia" w:hAnsiTheme="minorHAnsi" w:cstheme="minorHAnsi"/>
        </w:rPr>
        <w:footnoteRef/>
      </w:r>
      <w:r w:rsidRPr="001B51E9">
        <w:rPr>
          <w:rFonts w:asciiTheme="minorHAnsi" w:hAnsiTheme="minorHAnsi" w:cstheme="minorHAnsi"/>
        </w:rPr>
        <w:t xml:space="preserve"> </w:t>
      </w:r>
      <w:r w:rsidRPr="001B51E9">
        <w:rPr>
          <w:rFonts w:asciiTheme="minorHAnsi" w:hAnsiTheme="minorHAnsi" w:cstheme="minorHAnsi"/>
        </w:rPr>
        <w:tab/>
        <w:t xml:space="preserve">The term </w:t>
      </w:r>
      <w:r w:rsidRPr="001B51E9">
        <w:rPr>
          <w:rFonts w:asciiTheme="minorHAnsi" w:hAnsiTheme="minorHAnsi" w:cstheme="minorHAnsi"/>
          <w:i/>
        </w:rPr>
        <w:t>‘health service’</w:t>
      </w:r>
      <w:r w:rsidRPr="001B51E9">
        <w:rPr>
          <w:rFonts w:asciiTheme="minorHAnsi" w:hAnsiTheme="minorHAnsi" w:cstheme="minorHAnsi"/>
        </w:rPr>
        <w:t xml:space="preserve"> is defined in </w:t>
      </w:r>
      <w:proofErr w:type="gramStart"/>
      <w:r w:rsidRPr="001B51E9">
        <w:rPr>
          <w:rFonts w:asciiTheme="minorHAnsi" w:hAnsiTheme="minorHAnsi" w:cstheme="minorHAnsi"/>
        </w:rPr>
        <w:t>s6(</w:t>
      </w:r>
      <w:proofErr w:type="gramEnd"/>
      <w:r w:rsidRPr="001B51E9">
        <w:rPr>
          <w:rFonts w:asciiTheme="minorHAnsi" w:hAnsiTheme="minorHAnsi" w:cstheme="minorHAnsi"/>
        </w:rPr>
        <w:t>1) of the Privacy Act: see below at</w:t>
      </w:r>
      <w:r w:rsidRPr="001B51E9">
        <w:rPr>
          <w:rFonts w:asciiTheme="minorHAnsi" w:hAnsiTheme="minorHAnsi" w:cstheme="minorHAnsi"/>
          <w:i/>
        </w:rPr>
        <w:t xml:space="preserve"> ‘Organisations to which PID 12A applies’</w:t>
      </w:r>
      <w:r w:rsidRPr="001B51E9">
        <w:rPr>
          <w:rFonts w:asciiTheme="minorHAnsi" w:hAnsiTheme="minorHAnsi" w:cstheme="minorHAnsi"/>
        </w:rPr>
        <w:t>.</w:t>
      </w:r>
    </w:p>
  </w:footnote>
  <w:footnote w:id="6">
    <w:p w14:paraId="6021AE9C" w14:textId="77777777" w:rsidR="00AD237B" w:rsidRDefault="00AD237B" w:rsidP="00C30979">
      <w:pPr>
        <w:pStyle w:val="FootnoteText"/>
        <w:tabs>
          <w:tab w:val="clear" w:pos="357"/>
          <w:tab w:val="left" w:pos="284"/>
          <w:tab w:val="left" w:pos="426"/>
          <w:tab w:val="left" w:pos="993"/>
        </w:tabs>
        <w:spacing w:before="60" w:after="60"/>
        <w:ind w:left="284" w:hangingChars="142" w:hanging="284"/>
        <w:rPr>
          <w:rFonts w:asciiTheme="minorHAnsi" w:hAnsiTheme="minorHAnsi" w:cstheme="minorHAnsi"/>
        </w:rPr>
      </w:pPr>
      <w:r w:rsidRPr="001B51E9">
        <w:rPr>
          <w:rStyle w:val="FootnoteReference"/>
          <w:rFonts w:asciiTheme="minorHAnsi" w:hAnsiTheme="minorHAnsi" w:cstheme="minorHAnsi"/>
        </w:rPr>
        <w:footnoteRef/>
      </w:r>
      <w:r w:rsidRPr="001B51E9">
        <w:rPr>
          <w:rFonts w:asciiTheme="minorHAnsi" w:hAnsiTheme="minorHAnsi" w:cstheme="minorHAnsi"/>
        </w:rPr>
        <w:t xml:space="preserve"> </w:t>
      </w:r>
      <w:r w:rsidRPr="001B51E9">
        <w:rPr>
          <w:rFonts w:asciiTheme="minorHAnsi" w:hAnsiTheme="minorHAnsi" w:cstheme="minorHAnsi"/>
        </w:rPr>
        <w:tab/>
      </w:r>
      <w:proofErr w:type="gramStart"/>
      <w:r w:rsidRPr="001B51E9">
        <w:rPr>
          <w:rFonts w:asciiTheme="minorHAnsi" w:hAnsiTheme="minorHAnsi" w:cstheme="minorHAnsi"/>
        </w:rPr>
        <w:t xml:space="preserve">OPC’s Submission to the ALRC’s Review of Privacy Issues Paper 31, </w:t>
      </w:r>
      <w:hyperlink r:id="rId3" w:history="1">
        <w:r w:rsidRPr="001B51E9">
          <w:rPr>
            <w:rStyle w:val="Hyperlink"/>
            <w:rFonts w:asciiTheme="minorHAnsi" w:hAnsiTheme="minorHAnsi" w:cstheme="minorHAnsi"/>
          </w:rPr>
          <w:t>www.privacy.gov.au/materials/types/download/9110/6757</w:t>
        </w:r>
      </w:hyperlink>
      <w:r w:rsidRPr="001B51E9">
        <w:rPr>
          <w:rFonts w:asciiTheme="minorHAnsi" w:hAnsiTheme="minorHAnsi" w:cstheme="minorHAnsi"/>
        </w:rPr>
        <w:t>, pp</w:t>
      </w:r>
      <w:r>
        <w:rPr>
          <w:rFonts w:asciiTheme="minorHAnsi" w:hAnsiTheme="minorHAnsi" w:cstheme="minorHAnsi"/>
        </w:rPr>
        <w:t xml:space="preserve">. </w:t>
      </w:r>
      <w:r w:rsidRPr="001B51E9">
        <w:rPr>
          <w:rFonts w:asciiTheme="minorHAnsi" w:hAnsiTheme="minorHAnsi" w:cstheme="minorHAnsi"/>
        </w:rPr>
        <w:t>301-303</w:t>
      </w:r>
      <w:r>
        <w:rPr>
          <w:rFonts w:asciiTheme="minorHAnsi" w:hAnsiTheme="minorHAnsi" w:cstheme="minorHAnsi"/>
        </w:rPr>
        <w:t>.</w:t>
      </w:r>
      <w:proofErr w:type="gramEnd"/>
    </w:p>
    <w:p w14:paraId="07348066" w14:textId="77777777" w:rsidR="00AD237B" w:rsidRPr="001B51E9" w:rsidRDefault="00AD237B" w:rsidP="00C30979">
      <w:pPr>
        <w:pStyle w:val="FootnoteText"/>
        <w:tabs>
          <w:tab w:val="clear" w:pos="357"/>
          <w:tab w:val="left" w:pos="284"/>
          <w:tab w:val="left" w:pos="426"/>
          <w:tab w:val="left" w:pos="993"/>
        </w:tabs>
        <w:spacing w:before="60" w:after="60"/>
        <w:ind w:left="284" w:hangingChars="142" w:hanging="284"/>
        <w:rPr>
          <w:rFonts w:asciiTheme="minorHAnsi" w:hAnsiTheme="minorHAnsi" w:cstheme="minorHAnsi"/>
        </w:rPr>
      </w:pPr>
      <w:r>
        <w:rPr>
          <w:rFonts w:asciiTheme="minorHAnsi" w:hAnsiTheme="minorHAnsi" w:cstheme="minorHAnsi"/>
        </w:rPr>
        <w:tab/>
      </w:r>
      <w:proofErr w:type="gramStart"/>
      <w:r w:rsidRPr="001B51E9">
        <w:rPr>
          <w:rFonts w:asciiTheme="minorHAnsi" w:hAnsiTheme="minorHAnsi" w:cstheme="minorHAnsi"/>
        </w:rPr>
        <w:t xml:space="preserve">OPC’s Submission to the ALRC’s Review of Privacy Discussion Paper 72, </w:t>
      </w:r>
      <w:hyperlink r:id="rId4" w:history="1">
        <w:r w:rsidRPr="001B51E9">
          <w:rPr>
            <w:rStyle w:val="Hyperlink"/>
            <w:rFonts w:asciiTheme="minorHAnsi" w:hAnsiTheme="minorHAnsi" w:cstheme="minorHAnsi"/>
          </w:rPr>
          <w:t>www.privacy.gov.au/materials/types/download/9111/6748</w:t>
        </w:r>
      </w:hyperlink>
      <w:r w:rsidRPr="001B51E9">
        <w:rPr>
          <w:rFonts w:asciiTheme="minorHAnsi" w:hAnsiTheme="minorHAnsi" w:cstheme="minorHAnsi"/>
        </w:rPr>
        <w:t>, pp</w:t>
      </w:r>
      <w:r>
        <w:rPr>
          <w:rFonts w:asciiTheme="minorHAnsi" w:hAnsiTheme="minorHAnsi" w:cstheme="minorHAnsi"/>
        </w:rPr>
        <w:t>.</w:t>
      </w:r>
      <w:r w:rsidRPr="001B51E9">
        <w:rPr>
          <w:rFonts w:asciiTheme="minorHAnsi" w:hAnsiTheme="minorHAnsi" w:cstheme="minorHAnsi"/>
        </w:rPr>
        <w:t xml:space="preserve"> 664-666.</w:t>
      </w:r>
      <w:proofErr w:type="gramEnd"/>
      <w:r w:rsidRPr="001B51E9">
        <w:rPr>
          <w:rFonts w:asciiTheme="minorHAnsi" w:hAnsiTheme="minorHAnsi" w:cstheme="minorHAnsi"/>
        </w:rPr>
        <w:t xml:space="preserve"> </w:t>
      </w:r>
    </w:p>
  </w:footnote>
  <w:footnote w:id="7">
    <w:p w14:paraId="042E87D9" w14:textId="77777777" w:rsidR="00AD237B" w:rsidRPr="001B51E9" w:rsidRDefault="00AD237B" w:rsidP="00C30979">
      <w:pPr>
        <w:pStyle w:val="FootnoteText"/>
        <w:tabs>
          <w:tab w:val="clear" w:pos="357"/>
          <w:tab w:val="left" w:pos="284"/>
          <w:tab w:val="left" w:pos="993"/>
        </w:tabs>
        <w:spacing w:before="60" w:after="60"/>
        <w:ind w:left="284" w:hangingChars="142" w:hanging="284"/>
        <w:rPr>
          <w:rFonts w:asciiTheme="minorHAnsi" w:hAnsiTheme="minorHAnsi" w:cstheme="minorHAnsi"/>
        </w:rPr>
      </w:pPr>
      <w:r w:rsidRPr="001B51E9">
        <w:rPr>
          <w:rStyle w:val="FootnoteReference"/>
          <w:rFonts w:asciiTheme="minorHAnsi" w:hAnsiTheme="minorHAnsi" w:cstheme="minorHAnsi"/>
        </w:rPr>
        <w:footnoteRef/>
      </w:r>
      <w:r w:rsidRPr="001B51E9">
        <w:rPr>
          <w:rFonts w:asciiTheme="minorHAnsi" w:hAnsiTheme="minorHAnsi" w:cstheme="minorHAnsi"/>
        </w:rPr>
        <w:t xml:space="preserve"> </w:t>
      </w:r>
      <w:r w:rsidRPr="001B51E9">
        <w:rPr>
          <w:rFonts w:asciiTheme="minorHAnsi" w:hAnsiTheme="minorHAnsi" w:cstheme="minorHAnsi"/>
        </w:rPr>
        <w:tab/>
        <w:t xml:space="preserve">ALRC Report 108 is available at: </w:t>
      </w:r>
      <w:hyperlink r:id="rId5" w:history="1">
        <w:r w:rsidRPr="001B51E9">
          <w:rPr>
            <w:rStyle w:val="Hyperlink"/>
            <w:rFonts w:asciiTheme="minorHAnsi" w:hAnsiTheme="minorHAnsi" w:cstheme="minorHAnsi"/>
          </w:rPr>
          <w:t>www.alrc.gov.au/publications/report-108</w:t>
        </w:r>
      </w:hyperlink>
      <w:r w:rsidRPr="001B51E9">
        <w:rPr>
          <w:rFonts w:asciiTheme="minorHAnsi" w:hAnsiTheme="minorHAnsi" w:cstheme="minorHAnsi"/>
        </w:rPr>
        <w:t xml:space="preserve"> </w:t>
      </w:r>
    </w:p>
  </w:footnote>
  <w:footnote w:id="8">
    <w:p w14:paraId="081E4B8E" w14:textId="77777777" w:rsidR="00AD237B" w:rsidRPr="001B51E9" w:rsidRDefault="00AD237B" w:rsidP="00C30979">
      <w:pPr>
        <w:pStyle w:val="FootnoteText"/>
        <w:tabs>
          <w:tab w:val="clear" w:pos="357"/>
          <w:tab w:val="left" w:pos="284"/>
          <w:tab w:val="left" w:pos="993"/>
        </w:tabs>
        <w:spacing w:before="60" w:after="60"/>
        <w:ind w:left="284" w:hangingChars="142" w:hanging="284"/>
        <w:rPr>
          <w:rFonts w:asciiTheme="minorHAnsi" w:hAnsiTheme="minorHAnsi" w:cstheme="minorHAnsi"/>
        </w:rPr>
      </w:pPr>
      <w:r w:rsidRPr="001B51E9">
        <w:rPr>
          <w:rStyle w:val="FootnoteReference"/>
          <w:rFonts w:asciiTheme="minorHAnsi" w:hAnsiTheme="minorHAnsi" w:cstheme="minorHAnsi"/>
        </w:rPr>
        <w:footnoteRef/>
      </w:r>
      <w:r w:rsidRPr="001B51E9">
        <w:rPr>
          <w:rFonts w:asciiTheme="minorHAnsi" w:hAnsiTheme="minorHAnsi" w:cstheme="minorHAnsi"/>
        </w:rPr>
        <w:t xml:space="preserve"> </w:t>
      </w:r>
      <w:r w:rsidRPr="001B51E9">
        <w:rPr>
          <w:rFonts w:asciiTheme="minorHAnsi" w:hAnsiTheme="minorHAnsi" w:cstheme="minorHAnsi"/>
        </w:rPr>
        <w:tab/>
        <w:t>ALRC Report 108, Recommendation 63-1.</w:t>
      </w:r>
    </w:p>
  </w:footnote>
  <w:footnote w:id="9">
    <w:p w14:paraId="0D453126" w14:textId="77777777" w:rsidR="00AD237B" w:rsidRPr="001B51E9" w:rsidRDefault="00AD237B" w:rsidP="00C30979">
      <w:pPr>
        <w:pStyle w:val="FootnoteText"/>
        <w:tabs>
          <w:tab w:val="clear" w:pos="357"/>
          <w:tab w:val="left" w:pos="284"/>
          <w:tab w:val="left" w:pos="993"/>
        </w:tabs>
        <w:spacing w:before="60" w:after="60"/>
        <w:ind w:left="284" w:hangingChars="142" w:hanging="284"/>
        <w:rPr>
          <w:rFonts w:asciiTheme="minorHAnsi" w:hAnsiTheme="minorHAnsi" w:cstheme="minorHAnsi"/>
        </w:rPr>
      </w:pPr>
      <w:r w:rsidRPr="001B51E9">
        <w:rPr>
          <w:rStyle w:val="FootnoteReference"/>
          <w:rFonts w:asciiTheme="minorHAnsi" w:hAnsiTheme="minorHAnsi" w:cstheme="minorHAnsi"/>
        </w:rPr>
        <w:footnoteRef/>
      </w:r>
      <w:r w:rsidRPr="001B51E9">
        <w:rPr>
          <w:rFonts w:asciiTheme="minorHAnsi" w:hAnsiTheme="minorHAnsi" w:cstheme="minorHAnsi"/>
        </w:rPr>
        <w:t xml:space="preserve"> </w:t>
      </w:r>
      <w:r w:rsidRPr="001B51E9">
        <w:rPr>
          <w:rFonts w:asciiTheme="minorHAnsi" w:hAnsiTheme="minorHAnsi" w:cstheme="minorHAnsi"/>
        </w:rPr>
        <w:tab/>
        <w:t xml:space="preserve">Australian Government’s First Stage Response to ALRC Report 108, </w:t>
      </w:r>
      <w:hyperlink r:id="rId6" w:history="1">
        <w:r w:rsidRPr="001B51E9">
          <w:rPr>
            <w:rStyle w:val="Hyperlink"/>
            <w:rFonts w:asciiTheme="minorHAnsi" w:hAnsiTheme="minorHAnsi" w:cstheme="minorHAnsi"/>
          </w:rPr>
          <w:t>www.dpmc.gov.au/privacy/reforms.cfm</w:t>
        </w:r>
      </w:hyperlink>
      <w:r w:rsidRPr="001B51E9">
        <w:rPr>
          <w:rFonts w:asciiTheme="minorHAnsi" w:hAnsiTheme="minorHAnsi" w:cstheme="minorHAnsi"/>
        </w:rPr>
        <w:t>, p133.</w:t>
      </w:r>
    </w:p>
  </w:footnote>
  <w:footnote w:id="10">
    <w:p w14:paraId="327B38E0" w14:textId="77777777" w:rsidR="00AD237B" w:rsidRPr="001B51E9" w:rsidRDefault="00AD237B" w:rsidP="00C30979">
      <w:pPr>
        <w:pStyle w:val="FootnoteText"/>
        <w:tabs>
          <w:tab w:val="clear" w:pos="357"/>
          <w:tab w:val="left" w:pos="284"/>
          <w:tab w:val="left" w:pos="993"/>
        </w:tabs>
        <w:spacing w:before="60" w:after="60"/>
        <w:ind w:left="284" w:hangingChars="142" w:hanging="284"/>
        <w:rPr>
          <w:rFonts w:asciiTheme="minorHAnsi" w:hAnsiTheme="minorHAnsi" w:cstheme="minorHAnsi"/>
        </w:rPr>
      </w:pPr>
      <w:r w:rsidRPr="001B51E9">
        <w:rPr>
          <w:rStyle w:val="FootnoteReference"/>
          <w:rFonts w:asciiTheme="minorHAnsi" w:hAnsiTheme="minorHAnsi" w:cstheme="minorHAnsi"/>
        </w:rPr>
        <w:footnoteRef/>
      </w:r>
      <w:r w:rsidRPr="001B51E9">
        <w:rPr>
          <w:rFonts w:asciiTheme="minorHAnsi" w:hAnsiTheme="minorHAnsi" w:cstheme="minorHAnsi"/>
        </w:rPr>
        <w:t xml:space="preserve"> </w:t>
      </w:r>
      <w:hyperlink w:history="1">
        <w:r w:rsidRPr="001B51E9">
          <w:rPr>
            <w:rStyle w:val="Hyperlink"/>
            <w:rFonts w:asciiTheme="minorHAnsi" w:hAnsiTheme="minorHAnsi" w:cstheme="minorHAnsi"/>
            <w:u w:val="none"/>
          </w:rPr>
          <w:tab/>
        </w:r>
        <w:r w:rsidRPr="001B51E9">
          <w:rPr>
            <w:rStyle w:val="Hyperlink"/>
            <w:rFonts w:asciiTheme="minorHAnsi" w:hAnsiTheme="minorHAnsi" w:cstheme="minorHAnsi"/>
          </w:rPr>
          <w:t>www.oaic.gov.au/news/consultations.html#dr_hambleton</w:t>
        </w:r>
      </w:hyperlink>
      <w:r w:rsidRPr="001B51E9">
        <w:rPr>
          <w:rFonts w:asciiTheme="minorHAnsi" w:hAnsiTheme="minorHAnsi" w:cstheme="minorHAnsi"/>
        </w:rPr>
        <w:t xml:space="preserve"> </w:t>
      </w:r>
    </w:p>
  </w:footnote>
  <w:footnote w:id="11">
    <w:p w14:paraId="3C41BA73" w14:textId="77777777" w:rsidR="00AD237B" w:rsidRPr="001B51E9" w:rsidRDefault="00AD237B" w:rsidP="00C30979">
      <w:pPr>
        <w:pStyle w:val="FootnoteText"/>
        <w:tabs>
          <w:tab w:val="clear" w:pos="357"/>
          <w:tab w:val="left" w:pos="284"/>
          <w:tab w:val="left" w:pos="1134"/>
        </w:tabs>
        <w:spacing w:before="60" w:after="60"/>
        <w:ind w:left="284" w:hangingChars="142" w:hanging="284"/>
        <w:rPr>
          <w:rFonts w:asciiTheme="minorHAnsi" w:hAnsiTheme="minorHAnsi" w:cstheme="minorHAnsi"/>
        </w:rPr>
      </w:pPr>
      <w:r w:rsidRPr="001B51E9">
        <w:rPr>
          <w:rStyle w:val="FootnoteReference"/>
          <w:rFonts w:asciiTheme="minorHAnsi" w:hAnsiTheme="minorHAnsi" w:cstheme="minorHAnsi"/>
        </w:rPr>
        <w:footnoteRef/>
      </w:r>
      <w:r w:rsidRPr="001B51E9">
        <w:rPr>
          <w:rFonts w:asciiTheme="minorHAnsi" w:hAnsiTheme="minorHAnsi" w:cstheme="minorHAnsi"/>
        </w:rPr>
        <w:t xml:space="preserve"> </w:t>
      </w:r>
      <w:r w:rsidRPr="001B51E9">
        <w:rPr>
          <w:rFonts w:asciiTheme="minorHAnsi" w:hAnsiTheme="minorHAnsi" w:cstheme="minorHAnsi"/>
        </w:rPr>
        <w:tab/>
        <w:t xml:space="preserve">PID 9: </w:t>
      </w:r>
      <w:hyperlink w:history="1">
        <w:r w:rsidRPr="001B51E9">
          <w:rPr>
            <w:rStyle w:val="Hyperlink"/>
            <w:rFonts w:asciiTheme="minorHAnsi" w:hAnsiTheme="minorHAnsi" w:cstheme="minorHAnsi"/>
            <w:u w:val="none"/>
          </w:rPr>
          <w:tab/>
        </w:r>
        <w:r w:rsidRPr="001B51E9">
          <w:rPr>
            <w:rStyle w:val="Hyperlink"/>
            <w:rFonts w:asciiTheme="minorHAnsi" w:hAnsiTheme="minorHAnsi" w:cstheme="minorHAnsi"/>
          </w:rPr>
          <w:t>www.comlaw.gov.au/Details/F2008B00573</w:t>
        </w:r>
      </w:hyperlink>
    </w:p>
    <w:p w14:paraId="409A95C9" w14:textId="77777777" w:rsidR="00AD237B" w:rsidRPr="001B51E9" w:rsidRDefault="00AD237B" w:rsidP="00C30979">
      <w:pPr>
        <w:pStyle w:val="FootnoteText"/>
        <w:tabs>
          <w:tab w:val="clear" w:pos="357"/>
          <w:tab w:val="left" w:pos="284"/>
          <w:tab w:val="left" w:pos="1134"/>
        </w:tabs>
        <w:spacing w:before="60" w:after="60"/>
        <w:ind w:left="284" w:hangingChars="142" w:hanging="284"/>
        <w:rPr>
          <w:rFonts w:asciiTheme="minorHAnsi" w:hAnsiTheme="minorHAnsi" w:cstheme="minorHAnsi"/>
        </w:rPr>
      </w:pPr>
      <w:r w:rsidRPr="001B51E9">
        <w:rPr>
          <w:rFonts w:asciiTheme="minorHAnsi" w:hAnsiTheme="minorHAnsi" w:cstheme="minorHAnsi"/>
        </w:rPr>
        <w:tab/>
        <w:t xml:space="preserve">PID 9A: </w:t>
      </w:r>
      <w:r>
        <w:rPr>
          <w:rFonts w:asciiTheme="minorHAnsi" w:hAnsiTheme="minorHAnsi" w:cstheme="minorHAnsi"/>
        </w:rPr>
        <w:tab/>
      </w:r>
      <w:hyperlink r:id="rId7" w:history="1">
        <w:r w:rsidRPr="001B51E9">
          <w:rPr>
            <w:rStyle w:val="Hyperlink"/>
            <w:rFonts w:asciiTheme="minorHAnsi" w:hAnsiTheme="minorHAnsi" w:cstheme="minorHAnsi"/>
          </w:rPr>
          <w:t>www.comlaw.gov.au/Details/F2008B00574</w:t>
        </w:r>
      </w:hyperlink>
      <w:r w:rsidRPr="001B51E9">
        <w:rPr>
          <w:rFonts w:asciiTheme="minorHAnsi" w:hAnsiTheme="minorHAnsi" w:cstheme="minorHAnsi"/>
        </w:rPr>
        <w:t xml:space="preserve"> </w:t>
      </w:r>
    </w:p>
    <w:p w14:paraId="057108DB" w14:textId="77777777" w:rsidR="00AD237B" w:rsidRPr="001B51E9" w:rsidRDefault="00AD237B" w:rsidP="00C30979">
      <w:pPr>
        <w:pStyle w:val="FootnoteText"/>
        <w:tabs>
          <w:tab w:val="clear" w:pos="357"/>
          <w:tab w:val="left" w:pos="284"/>
          <w:tab w:val="left" w:pos="1134"/>
        </w:tabs>
        <w:spacing w:before="60" w:after="60"/>
        <w:ind w:left="284" w:hangingChars="142" w:hanging="284"/>
        <w:rPr>
          <w:rFonts w:asciiTheme="minorHAnsi" w:hAnsiTheme="minorHAnsi" w:cstheme="minorHAnsi"/>
        </w:rPr>
      </w:pPr>
      <w:r w:rsidRPr="001B51E9">
        <w:rPr>
          <w:rFonts w:asciiTheme="minorHAnsi" w:hAnsiTheme="minorHAnsi" w:cstheme="minorHAnsi"/>
        </w:rPr>
        <w:tab/>
        <w:t xml:space="preserve">PID 10: </w:t>
      </w:r>
      <w:r>
        <w:rPr>
          <w:rFonts w:asciiTheme="minorHAnsi" w:hAnsiTheme="minorHAnsi" w:cstheme="minorHAnsi"/>
        </w:rPr>
        <w:tab/>
      </w:r>
      <w:hyperlink r:id="rId8" w:history="1">
        <w:r w:rsidRPr="001B51E9">
          <w:rPr>
            <w:rStyle w:val="Hyperlink"/>
            <w:rFonts w:asciiTheme="minorHAnsi" w:hAnsiTheme="minorHAnsi" w:cstheme="minorHAnsi"/>
          </w:rPr>
          <w:t>www.comlaw.gov.au/Details/F2007L04670</w:t>
        </w:r>
      </w:hyperlink>
      <w:r w:rsidRPr="001B51E9">
        <w:rPr>
          <w:rFonts w:asciiTheme="minorHAnsi" w:hAnsiTheme="minorHAnsi" w:cstheme="minorHAnsi"/>
        </w:rPr>
        <w:t xml:space="preserve"> </w:t>
      </w:r>
    </w:p>
    <w:p w14:paraId="5C6D5BF3" w14:textId="77777777" w:rsidR="00AD237B" w:rsidRPr="001B51E9" w:rsidRDefault="00AD237B" w:rsidP="00C30979">
      <w:pPr>
        <w:pStyle w:val="FootnoteText"/>
        <w:tabs>
          <w:tab w:val="clear" w:pos="357"/>
          <w:tab w:val="left" w:pos="284"/>
          <w:tab w:val="left" w:pos="1134"/>
        </w:tabs>
        <w:spacing w:before="60" w:after="60"/>
        <w:ind w:left="284" w:hangingChars="142" w:hanging="284"/>
        <w:rPr>
          <w:rFonts w:asciiTheme="minorHAnsi" w:hAnsiTheme="minorHAnsi" w:cstheme="minorHAnsi"/>
        </w:rPr>
      </w:pPr>
      <w:r w:rsidRPr="001B51E9">
        <w:rPr>
          <w:rFonts w:asciiTheme="minorHAnsi" w:hAnsiTheme="minorHAnsi" w:cstheme="minorHAnsi"/>
        </w:rPr>
        <w:tab/>
        <w:t xml:space="preserve">PID 10A: </w:t>
      </w:r>
      <w:r>
        <w:rPr>
          <w:rFonts w:asciiTheme="minorHAnsi" w:hAnsiTheme="minorHAnsi" w:cstheme="minorHAnsi"/>
        </w:rPr>
        <w:tab/>
      </w:r>
      <w:hyperlink r:id="rId9" w:history="1">
        <w:r w:rsidRPr="001B51E9">
          <w:rPr>
            <w:rStyle w:val="Hyperlink"/>
            <w:rFonts w:asciiTheme="minorHAnsi" w:hAnsiTheme="minorHAnsi" w:cstheme="minorHAnsi"/>
          </w:rPr>
          <w:t>www.comlaw.gov.au/Details/F2007L04669</w:t>
        </w:r>
      </w:hyperlink>
      <w:r w:rsidRPr="001B51E9">
        <w:rPr>
          <w:rFonts w:asciiTheme="minorHAnsi" w:hAnsiTheme="minorHAnsi" w:cstheme="minorHAnsi"/>
        </w:rPr>
        <w:t xml:space="preserve"> </w:t>
      </w:r>
    </w:p>
  </w:footnote>
  <w:footnote w:id="12">
    <w:p w14:paraId="6A6D616D" w14:textId="77777777" w:rsidR="00AD237B" w:rsidRPr="001B51E9" w:rsidRDefault="00AD237B" w:rsidP="00C30979">
      <w:pPr>
        <w:pStyle w:val="FootnoteText"/>
        <w:tabs>
          <w:tab w:val="clear" w:pos="357"/>
          <w:tab w:val="left" w:pos="284"/>
          <w:tab w:val="left" w:pos="993"/>
        </w:tabs>
        <w:spacing w:before="60" w:after="60"/>
        <w:ind w:left="284" w:hangingChars="142" w:hanging="284"/>
        <w:rPr>
          <w:rFonts w:asciiTheme="minorHAnsi" w:hAnsiTheme="minorHAnsi" w:cstheme="minorHAnsi"/>
        </w:rPr>
      </w:pPr>
      <w:r w:rsidRPr="001B51E9">
        <w:rPr>
          <w:rStyle w:val="FootnoteReference"/>
          <w:rFonts w:asciiTheme="minorHAnsi" w:hAnsiTheme="minorHAnsi" w:cstheme="minorHAnsi"/>
        </w:rPr>
        <w:footnoteRef/>
      </w:r>
      <w:r w:rsidRPr="001B51E9">
        <w:rPr>
          <w:rFonts w:asciiTheme="minorHAnsi" w:hAnsiTheme="minorHAnsi" w:cstheme="minorHAnsi"/>
        </w:rPr>
        <w:t xml:space="preserve"> </w:t>
      </w:r>
      <w:r>
        <w:rPr>
          <w:rFonts w:asciiTheme="minorHAnsi" w:hAnsiTheme="minorHAnsi" w:cstheme="minorHAnsi"/>
        </w:rPr>
        <w:tab/>
      </w:r>
      <w:hyperlink r:id="rId10" w:history="1">
        <w:r w:rsidRPr="001B51E9">
          <w:rPr>
            <w:rStyle w:val="Hyperlink"/>
            <w:rFonts w:asciiTheme="minorHAnsi" w:hAnsiTheme="minorHAnsi" w:cstheme="minorHAnsi"/>
          </w:rPr>
          <w:t>www.privacy.gov.au/materials/types/download/8806/6606</w:t>
        </w:r>
      </w:hyperlink>
      <w:r w:rsidRPr="001B51E9">
        <w:rPr>
          <w:rFonts w:asciiTheme="minorHAnsi" w:hAnsiTheme="minorHAnsi"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7E954" w14:textId="67F9FAA2" w:rsidR="00AD237B" w:rsidRPr="00B22CF2" w:rsidRDefault="00AD237B" w:rsidP="00B22CF2">
    <w:pPr>
      <w:pStyle w:val="Header"/>
      <w:jc w:val="center"/>
      <w:rPr>
        <w:rStyle w:val="Heading1Char"/>
      </w:rPr>
    </w:pPr>
    <w:sdt>
      <w:sdtPr>
        <w:rPr>
          <w:rFonts w:ascii="Arial" w:eastAsiaTheme="majorEastAsia" w:hAnsi="Arial" w:cs="Arial"/>
          <w:b/>
          <w:bCs/>
          <w:sz w:val="20"/>
          <w:szCs w:val="28"/>
        </w:rPr>
        <w:id w:val="-130940919"/>
        <w:docPartObj>
          <w:docPartGallery w:val="Watermarks"/>
          <w:docPartUnique/>
        </w:docPartObj>
      </w:sdtPr>
      <w:sdtContent>
        <w:r>
          <w:rPr>
            <w:rFonts w:ascii="Arial" w:hAnsi="Arial" w:cs="Arial"/>
            <w:noProof/>
            <w:sz w:val="20"/>
            <w:lang w:val="en-US" w:eastAsia="zh-TW"/>
          </w:rPr>
          <w:pict w14:anchorId="1E183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B22CF2">
      <w:rPr>
        <w:rStyle w:val="Heading1Char"/>
      </w:rPr>
      <w:t>Attachment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0AC17" w14:textId="1A80B727" w:rsidR="00AD237B" w:rsidRDefault="00AD237B" w:rsidP="006D704D">
    <w:pPr>
      <w:rPr>
        <w:noProof/>
        <w:lang w:eastAsia="en-AU"/>
      </w:rPr>
    </w:pPr>
  </w:p>
  <w:p w14:paraId="6576B11D" w14:textId="20B9FF37" w:rsidR="00AD237B" w:rsidRPr="00AD237B" w:rsidRDefault="00AD237B" w:rsidP="00AD237B">
    <w:pPr>
      <w:tabs>
        <w:tab w:val="left" w:pos="2431"/>
      </w:tabs>
      <w:rPr>
        <w:i/>
      </w:rPr>
    </w:pPr>
    <w:r w:rsidRPr="00AD237B">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F7EE0" w14:textId="77777777" w:rsidR="00AD237B" w:rsidRDefault="00AD23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921EB" w14:textId="63635AFF" w:rsidR="00AD237B" w:rsidRDefault="00AD237B">
    <w:pPr>
      <w:pStyle w:val="Header"/>
    </w:pPr>
  </w:p>
  <w:p w14:paraId="34C6F748" w14:textId="77777777" w:rsidR="00AD237B" w:rsidRDefault="00AD237B">
    <w:pPr>
      <w:pStyle w:val="Header"/>
    </w:pPr>
  </w:p>
  <w:p w14:paraId="500966DD" w14:textId="77777777" w:rsidR="00AD237B" w:rsidRDefault="00AD237B">
    <w:pPr>
      <w:pStyle w:val="Header"/>
    </w:pPr>
  </w:p>
  <w:p w14:paraId="13BC00BB" w14:textId="77777777" w:rsidR="00AD237B" w:rsidRDefault="00AD237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3963F" w14:textId="56D0D63E" w:rsidR="00AD237B" w:rsidRDefault="00AD237B" w:rsidP="006D704D">
    <w:pPr>
      <w:rPr>
        <w:noProof/>
        <w:lang w:eastAsia="en-AU"/>
      </w:rPr>
    </w:pPr>
  </w:p>
  <w:p w14:paraId="11D7EB92" w14:textId="77777777" w:rsidR="00AD237B" w:rsidRDefault="00AD237B" w:rsidP="006D704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F5487" w14:textId="77777777" w:rsidR="00AD237B" w:rsidRDefault="00AD237B" w:rsidP="006D70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08E"/>
    <w:multiLevelType w:val="hybridMultilevel"/>
    <w:tmpl w:val="2FAC5E8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433029"/>
    <w:multiLevelType w:val="hybridMultilevel"/>
    <w:tmpl w:val="A9FE1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9853B7"/>
    <w:multiLevelType w:val="hybridMultilevel"/>
    <w:tmpl w:val="B1C2D8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15C3742"/>
    <w:multiLevelType w:val="multilevel"/>
    <w:tmpl w:val="544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80F8B"/>
    <w:multiLevelType w:val="hybridMultilevel"/>
    <w:tmpl w:val="E218570C"/>
    <w:lvl w:ilvl="0" w:tplc="C0BEB25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884ECE"/>
    <w:multiLevelType w:val="hybridMultilevel"/>
    <w:tmpl w:val="01CC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830694"/>
    <w:multiLevelType w:val="hybridMultilevel"/>
    <w:tmpl w:val="BD503796"/>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14142FB"/>
    <w:multiLevelType w:val="hybridMultilevel"/>
    <w:tmpl w:val="C75CB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422BDB"/>
    <w:multiLevelType w:val="hybridMultilevel"/>
    <w:tmpl w:val="0C56793C"/>
    <w:lvl w:ilvl="0" w:tplc="3940CC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A2514C"/>
    <w:multiLevelType w:val="hybridMultilevel"/>
    <w:tmpl w:val="2676C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53620C"/>
    <w:multiLevelType w:val="hybridMultilevel"/>
    <w:tmpl w:val="FD2E6186"/>
    <w:lvl w:ilvl="0" w:tplc="3940CC78">
      <w:start w:val="1"/>
      <w:numFmt w:val="lowerLetter"/>
      <w:lvlText w:val="(%1)"/>
      <w:lvlJc w:val="left"/>
      <w:pPr>
        <w:tabs>
          <w:tab w:val="num" w:pos="1080"/>
        </w:tabs>
        <w:ind w:left="1080" w:hanging="720"/>
      </w:pPr>
      <w:rPr>
        <w:rFonts w:hint="default"/>
      </w:rPr>
    </w:lvl>
    <w:lvl w:ilvl="1" w:tplc="B91E28A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170462"/>
    <w:multiLevelType w:val="hybridMultilevel"/>
    <w:tmpl w:val="93465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2C5A29"/>
    <w:multiLevelType w:val="hybridMultilevel"/>
    <w:tmpl w:val="B2ACE846"/>
    <w:lvl w:ilvl="0" w:tplc="328EF4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5F46F0"/>
    <w:multiLevelType w:val="hybridMultilevel"/>
    <w:tmpl w:val="619AD19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B592CD1"/>
    <w:multiLevelType w:val="hybridMultilevel"/>
    <w:tmpl w:val="0C2C6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316F93"/>
    <w:multiLevelType w:val="hybridMultilevel"/>
    <w:tmpl w:val="6BCE4E32"/>
    <w:lvl w:ilvl="0" w:tplc="7162512E">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
    <w:nsid w:val="6B7E1AB4"/>
    <w:multiLevelType w:val="hybridMultilevel"/>
    <w:tmpl w:val="2CBED54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FE61977"/>
    <w:multiLevelType w:val="hybridMultilevel"/>
    <w:tmpl w:val="1612EE80"/>
    <w:lvl w:ilvl="0" w:tplc="59A6BA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9D19CC"/>
    <w:multiLevelType w:val="multilevel"/>
    <w:tmpl w:val="F686FBDC"/>
    <w:lvl w:ilvl="0">
      <w:start w:val="1"/>
      <w:numFmt w:val="bullet"/>
      <w:pStyle w:val="OPCbulletpoin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7B343C78"/>
    <w:multiLevelType w:val="hybridMultilevel"/>
    <w:tmpl w:val="1AD60DA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17"/>
  </w:num>
  <w:num w:numId="5">
    <w:abstractNumId w:val="6"/>
  </w:num>
  <w:num w:numId="6">
    <w:abstractNumId w:val="12"/>
  </w:num>
  <w:num w:numId="7">
    <w:abstractNumId w:val="16"/>
  </w:num>
  <w:num w:numId="8">
    <w:abstractNumId w:val="0"/>
  </w:num>
  <w:num w:numId="9">
    <w:abstractNumId w:val="10"/>
  </w:num>
  <w:num w:numId="10">
    <w:abstractNumId w:val="15"/>
  </w:num>
  <w:num w:numId="11">
    <w:abstractNumId w:val="11"/>
  </w:num>
  <w:num w:numId="12">
    <w:abstractNumId w:val="9"/>
  </w:num>
  <w:num w:numId="13">
    <w:abstractNumId w:val="14"/>
  </w:num>
  <w:num w:numId="14">
    <w:abstractNumId w:val="7"/>
  </w:num>
  <w:num w:numId="15">
    <w:abstractNumId w:val="8"/>
  </w:num>
  <w:num w:numId="16">
    <w:abstractNumId w:val="13"/>
  </w:num>
  <w:num w:numId="17">
    <w:abstractNumId w:val="2"/>
  </w:num>
  <w:num w:numId="18">
    <w:abstractNumId w:val="19"/>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revisionView w:markup="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4D"/>
    <w:rsid w:val="00000165"/>
    <w:rsid w:val="00000B48"/>
    <w:rsid w:val="000028B5"/>
    <w:rsid w:val="00004E39"/>
    <w:rsid w:val="000072DF"/>
    <w:rsid w:val="00010BB3"/>
    <w:rsid w:val="00011584"/>
    <w:rsid w:val="00012F7D"/>
    <w:rsid w:val="000155DD"/>
    <w:rsid w:val="000202A5"/>
    <w:rsid w:val="000203D0"/>
    <w:rsid w:val="00021DDD"/>
    <w:rsid w:val="000221D9"/>
    <w:rsid w:val="00022265"/>
    <w:rsid w:val="000229B5"/>
    <w:rsid w:val="00026036"/>
    <w:rsid w:val="00026610"/>
    <w:rsid w:val="00027E43"/>
    <w:rsid w:val="0003138C"/>
    <w:rsid w:val="000337C2"/>
    <w:rsid w:val="000337E7"/>
    <w:rsid w:val="00035604"/>
    <w:rsid w:val="00036338"/>
    <w:rsid w:val="0003735C"/>
    <w:rsid w:val="00037957"/>
    <w:rsid w:val="0004205B"/>
    <w:rsid w:val="00043CD8"/>
    <w:rsid w:val="00044988"/>
    <w:rsid w:val="00051B6B"/>
    <w:rsid w:val="00052327"/>
    <w:rsid w:val="00052895"/>
    <w:rsid w:val="00054E27"/>
    <w:rsid w:val="000553A3"/>
    <w:rsid w:val="00055407"/>
    <w:rsid w:val="00055952"/>
    <w:rsid w:val="000565DB"/>
    <w:rsid w:val="000578E6"/>
    <w:rsid w:val="000618A8"/>
    <w:rsid w:val="000622CE"/>
    <w:rsid w:val="000629A8"/>
    <w:rsid w:val="00063073"/>
    <w:rsid w:val="00063903"/>
    <w:rsid w:val="00064719"/>
    <w:rsid w:val="000647DC"/>
    <w:rsid w:val="000712B2"/>
    <w:rsid w:val="00072155"/>
    <w:rsid w:val="000721E1"/>
    <w:rsid w:val="00072922"/>
    <w:rsid w:val="000745FD"/>
    <w:rsid w:val="000751EF"/>
    <w:rsid w:val="00076715"/>
    <w:rsid w:val="000804EA"/>
    <w:rsid w:val="00082B00"/>
    <w:rsid w:val="0008338F"/>
    <w:rsid w:val="000869DB"/>
    <w:rsid w:val="00087511"/>
    <w:rsid w:val="0009027C"/>
    <w:rsid w:val="00091454"/>
    <w:rsid w:val="00091E06"/>
    <w:rsid w:val="00093F61"/>
    <w:rsid w:val="000A09F4"/>
    <w:rsid w:val="000A1207"/>
    <w:rsid w:val="000A3E7A"/>
    <w:rsid w:val="000A6817"/>
    <w:rsid w:val="000A7C4D"/>
    <w:rsid w:val="000B1BBB"/>
    <w:rsid w:val="000B2082"/>
    <w:rsid w:val="000B27ED"/>
    <w:rsid w:val="000B5D38"/>
    <w:rsid w:val="000B6172"/>
    <w:rsid w:val="000B6B54"/>
    <w:rsid w:val="000C38E7"/>
    <w:rsid w:val="000C4767"/>
    <w:rsid w:val="000C7917"/>
    <w:rsid w:val="000C79EA"/>
    <w:rsid w:val="000D1C7E"/>
    <w:rsid w:val="000D3DDE"/>
    <w:rsid w:val="000D60E3"/>
    <w:rsid w:val="000D6170"/>
    <w:rsid w:val="000D6F23"/>
    <w:rsid w:val="000D709C"/>
    <w:rsid w:val="000D781B"/>
    <w:rsid w:val="000E31C7"/>
    <w:rsid w:val="000E5C2F"/>
    <w:rsid w:val="000E743A"/>
    <w:rsid w:val="000F20D7"/>
    <w:rsid w:val="000F2E9F"/>
    <w:rsid w:val="000F4534"/>
    <w:rsid w:val="000F6F40"/>
    <w:rsid w:val="000F78D8"/>
    <w:rsid w:val="000F7B9E"/>
    <w:rsid w:val="00101DFE"/>
    <w:rsid w:val="00102128"/>
    <w:rsid w:val="00102327"/>
    <w:rsid w:val="00103B6D"/>
    <w:rsid w:val="00105531"/>
    <w:rsid w:val="0010588D"/>
    <w:rsid w:val="00107858"/>
    <w:rsid w:val="00107A6A"/>
    <w:rsid w:val="001121D7"/>
    <w:rsid w:val="001124A6"/>
    <w:rsid w:val="001156D0"/>
    <w:rsid w:val="00115EB6"/>
    <w:rsid w:val="00121387"/>
    <w:rsid w:val="00122094"/>
    <w:rsid w:val="00124151"/>
    <w:rsid w:val="0012425F"/>
    <w:rsid w:val="001242C7"/>
    <w:rsid w:val="00125A47"/>
    <w:rsid w:val="00127027"/>
    <w:rsid w:val="0012740D"/>
    <w:rsid w:val="00130055"/>
    <w:rsid w:val="00130792"/>
    <w:rsid w:val="0013366B"/>
    <w:rsid w:val="00134E3D"/>
    <w:rsid w:val="00136064"/>
    <w:rsid w:val="001406B3"/>
    <w:rsid w:val="001440D8"/>
    <w:rsid w:val="00145344"/>
    <w:rsid w:val="00147B72"/>
    <w:rsid w:val="0015066F"/>
    <w:rsid w:val="001528AA"/>
    <w:rsid w:val="001548F5"/>
    <w:rsid w:val="001615D1"/>
    <w:rsid w:val="001623FB"/>
    <w:rsid w:val="00162FEF"/>
    <w:rsid w:val="00163555"/>
    <w:rsid w:val="00163A8F"/>
    <w:rsid w:val="00165834"/>
    <w:rsid w:val="00165FB4"/>
    <w:rsid w:val="00166158"/>
    <w:rsid w:val="00166CEF"/>
    <w:rsid w:val="00167B40"/>
    <w:rsid w:val="00171232"/>
    <w:rsid w:val="00171996"/>
    <w:rsid w:val="001722D4"/>
    <w:rsid w:val="001726F3"/>
    <w:rsid w:val="001727CB"/>
    <w:rsid w:val="00174289"/>
    <w:rsid w:val="00176025"/>
    <w:rsid w:val="001770E6"/>
    <w:rsid w:val="001874FB"/>
    <w:rsid w:val="001970A4"/>
    <w:rsid w:val="0019745F"/>
    <w:rsid w:val="00197DEE"/>
    <w:rsid w:val="001A3953"/>
    <w:rsid w:val="001A4647"/>
    <w:rsid w:val="001A46BF"/>
    <w:rsid w:val="001A51AA"/>
    <w:rsid w:val="001B4868"/>
    <w:rsid w:val="001C0383"/>
    <w:rsid w:val="001C08FD"/>
    <w:rsid w:val="001C1B72"/>
    <w:rsid w:val="001C24DD"/>
    <w:rsid w:val="001C426E"/>
    <w:rsid w:val="001C55A0"/>
    <w:rsid w:val="001C5CFC"/>
    <w:rsid w:val="001D01D0"/>
    <w:rsid w:val="001D2A0D"/>
    <w:rsid w:val="001D3B89"/>
    <w:rsid w:val="001D79B3"/>
    <w:rsid w:val="001E4C39"/>
    <w:rsid w:val="001E5A5F"/>
    <w:rsid w:val="001E6C80"/>
    <w:rsid w:val="001E796B"/>
    <w:rsid w:val="001E7F87"/>
    <w:rsid w:val="001F0BAD"/>
    <w:rsid w:val="001F448D"/>
    <w:rsid w:val="001F7D27"/>
    <w:rsid w:val="00202549"/>
    <w:rsid w:val="00206546"/>
    <w:rsid w:val="00210491"/>
    <w:rsid w:val="0021457C"/>
    <w:rsid w:val="00215515"/>
    <w:rsid w:val="00215A9D"/>
    <w:rsid w:val="00215B1B"/>
    <w:rsid w:val="00215B89"/>
    <w:rsid w:val="0021615C"/>
    <w:rsid w:val="00220832"/>
    <w:rsid w:val="00220909"/>
    <w:rsid w:val="00221033"/>
    <w:rsid w:val="00222128"/>
    <w:rsid w:val="00222E5A"/>
    <w:rsid w:val="00223C99"/>
    <w:rsid w:val="00223FC3"/>
    <w:rsid w:val="00224DAC"/>
    <w:rsid w:val="00226281"/>
    <w:rsid w:val="00226A2D"/>
    <w:rsid w:val="00232643"/>
    <w:rsid w:val="0023467D"/>
    <w:rsid w:val="002348DF"/>
    <w:rsid w:val="0023583E"/>
    <w:rsid w:val="00241357"/>
    <w:rsid w:val="00242395"/>
    <w:rsid w:val="0024494D"/>
    <w:rsid w:val="00244A6F"/>
    <w:rsid w:val="0024718E"/>
    <w:rsid w:val="00247703"/>
    <w:rsid w:val="00247735"/>
    <w:rsid w:val="002553E0"/>
    <w:rsid w:val="00257D73"/>
    <w:rsid w:val="00260B78"/>
    <w:rsid w:val="0026135D"/>
    <w:rsid w:val="00263180"/>
    <w:rsid w:val="00263750"/>
    <w:rsid w:val="0026461D"/>
    <w:rsid w:val="00264658"/>
    <w:rsid w:val="002668F7"/>
    <w:rsid w:val="00267C2C"/>
    <w:rsid w:val="002700D0"/>
    <w:rsid w:val="00273D34"/>
    <w:rsid w:val="00275A37"/>
    <w:rsid w:val="00275DA8"/>
    <w:rsid w:val="00276098"/>
    <w:rsid w:val="00277596"/>
    <w:rsid w:val="002823F0"/>
    <w:rsid w:val="0028375E"/>
    <w:rsid w:val="00284645"/>
    <w:rsid w:val="00285738"/>
    <w:rsid w:val="002860B1"/>
    <w:rsid w:val="0029298F"/>
    <w:rsid w:val="00292BA4"/>
    <w:rsid w:val="00293278"/>
    <w:rsid w:val="00294524"/>
    <w:rsid w:val="00295121"/>
    <w:rsid w:val="002957E0"/>
    <w:rsid w:val="00295ACE"/>
    <w:rsid w:val="00296CFF"/>
    <w:rsid w:val="00297557"/>
    <w:rsid w:val="002A123D"/>
    <w:rsid w:val="002A1415"/>
    <w:rsid w:val="002A15E5"/>
    <w:rsid w:val="002A3CCB"/>
    <w:rsid w:val="002B2161"/>
    <w:rsid w:val="002B32BB"/>
    <w:rsid w:val="002B6C55"/>
    <w:rsid w:val="002B7F40"/>
    <w:rsid w:val="002C20AC"/>
    <w:rsid w:val="002C3789"/>
    <w:rsid w:val="002C46F8"/>
    <w:rsid w:val="002C4DBE"/>
    <w:rsid w:val="002C6005"/>
    <w:rsid w:val="002D158B"/>
    <w:rsid w:val="002D5224"/>
    <w:rsid w:val="002D5E42"/>
    <w:rsid w:val="002D6476"/>
    <w:rsid w:val="002D72C0"/>
    <w:rsid w:val="002E051E"/>
    <w:rsid w:val="002E0719"/>
    <w:rsid w:val="002E33D8"/>
    <w:rsid w:val="002E49F5"/>
    <w:rsid w:val="002E6902"/>
    <w:rsid w:val="002E714A"/>
    <w:rsid w:val="002F09F6"/>
    <w:rsid w:val="002F41B4"/>
    <w:rsid w:val="002F4393"/>
    <w:rsid w:val="002F6A6A"/>
    <w:rsid w:val="002F6DE4"/>
    <w:rsid w:val="002F6E7F"/>
    <w:rsid w:val="00301874"/>
    <w:rsid w:val="00301C7B"/>
    <w:rsid w:val="003030C8"/>
    <w:rsid w:val="00304045"/>
    <w:rsid w:val="00305C26"/>
    <w:rsid w:val="00307055"/>
    <w:rsid w:val="00310B4C"/>
    <w:rsid w:val="0031471C"/>
    <w:rsid w:val="00321C68"/>
    <w:rsid w:val="00327143"/>
    <w:rsid w:val="003307EB"/>
    <w:rsid w:val="00330942"/>
    <w:rsid w:val="003334CD"/>
    <w:rsid w:val="00335149"/>
    <w:rsid w:val="00335618"/>
    <w:rsid w:val="003422CA"/>
    <w:rsid w:val="003463DA"/>
    <w:rsid w:val="00347451"/>
    <w:rsid w:val="00355476"/>
    <w:rsid w:val="0036123C"/>
    <w:rsid w:val="003622C3"/>
    <w:rsid w:val="003632E2"/>
    <w:rsid w:val="00364181"/>
    <w:rsid w:val="00365C90"/>
    <w:rsid w:val="003709F4"/>
    <w:rsid w:val="003713A4"/>
    <w:rsid w:val="003716B4"/>
    <w:rsid w:val="00371805"/>
    <w:rsid w:val="003721F2"/>
    <w:rsid w:val="00375F83"/>
    <w:rsid w:val="0038440F"/>
    <w:rsid w:val="003845D7"/>
    <w:rsid w:val="0038466E"/>
    <w:rsid w:val="00385D29"/>
    <w:rsid w:val="003942D3"/>
    <w:rsid w:val="00395379"/>
    <w:rsid w:val="00396B20"/>
    <w:rsid w:val="003A15A8"/>
    <w:rsid w:val="003A5261"/>
    <w:rsid w:val="003A6427"/>
    <w:rsid w:val="003A7899"/>
    <w:rsid w:val="003B061F"/>
    <w:rsid w:val="003B06A5"/>
    <w:rsid w:val="003B1CF9"/>
    <w:rsid w:val="003B6CCA"/>
    <w:rsid w:val="003C1594"/>
    <w:rsid w:val="003C19FD"/>
    <w:rsid w:val="003C2052"/>
    <w:rsid w:val="003C26B6"/>
    <w:rsid w:val="003C5705"/>
    <w:rsid w:val="003C6678"/>
    <w:rsid w:val="003C689D"/>
    <w:rsid w:val="003D299E"/>
    <w:rsid w:val="003D3187"/>
    <w:rsid w:val="003D4110"/>
    <w:rsid w:val="003D7D03"/>
    <w:rsid w:val="003E0074"/>
    <w:rsid w:val="003E3BFC"/>
    <w:rsid w:val="003E4348"/>
    <w:rsid w:val="003E46CD"/>
    <w:rsid w:val="003E49FB"/>
    <w:rsid w:val="003E4BCA"/>
    <w:rsid w:val="003E5CB5"/>
    <w:rsid w:val="003E658C"/>
    <w:rsid w:val="003F4944"/>
    <w:rsid w:val="003F6744"/>
    <w:rsid w:val="003F7496"/>
    <w:rsid w:val="0040572D"/>
    <w:rsid w:val="004063F4"/>
    <w:rsid w:val="004070F3"/>
    <w:rsid w:val="004075D9"/>
    <w:rsid w:val="00407B73"/>
    <w:rsid w:val="00410E12"/>
    <w:rsid w:val="00411D71"/>
    <w:rsid w:val="004147C8"/>
    <w:rsid w:val="004150C8"/>
    <w:rsid w:val="00415303"/>
    <w:rsid w:val="004153BA"/>
    <w:rsid w:val="004163B3"/>
    <w:rsid w:val="0041644C"/>
    <w:rsid w:val="00416A71"/>
    <w:rsid w:val="0042154C"/>
    <w:rsid w:val="00421924"/>
    <w:rsid w:val="0042221E"/>
    <w:rsid w:val="00422642"/>
    <w:rsid w:val="0042554F"/>
    <w:rsid w:val="00426C2B"/>
    <w:rsid w:val="00426D1E"/>
    <w:rsid w:val="00430C63"/>
    <w:rsid w:val="004321E7"/>
    <w:rsid w:val="0043291D"/>
    <w:rsid w:val="00432937"/>
    <w:rsid w:val="00435F3F"/>
    <w:rsid w:val="00437068"/>
    <w:rsid w:val="0043710C"/>
    <w:rsid w:val="0044106E"/>
    <w:rsid w:val="00441074"/>
    <w:rsid w:val="00441B4B"/>
    <w:rsid w:val="004422D0"/>
    <w:rsid w:val="0044476B"/>
    <w:rsid w:val="0044556C"/>
    <w:rsid w:val="00447701"/>
    <w:rsid w:val="00447B02"/>
    <w:rsid w:val="00450C33"/>
    <w:rsid w:val="00456F35"/>
    <w:rsid w:val="0045790C"/>
    <w:rsid w:val="0046103D"/>
    <w:rsid w:val="00461AB0"/>
    <w:rsid w:val="00462F30"/>
    <w:rsid w:val="004636C4"/>
    <w:rsid w:val="0046467A"/>
    <w:rsid w:val="00467001"/>
    <w:rsid w:val="004703E6"/>
    <w:rsid w:val="004708E8"/>
    <w:rsid w:val="00472B13"/>
    <w:rsid w:val="0047489A"/>
    <w:rsid w:val="0047563D"/>
    <w:rsid w:val="00475D11"/>
    <w:rsid w:val="00480326"/>
    <w:rsid w:val="00480A8D"/>
    <w:rsid w:val="00481CB8"/>
    <w:rsid w:val="00484444"/>
    <w:rsid w:val="00484E5C"/>
    <w:rsid w:val="00485110"/>
    <w:rsid w:val="0048625A"/>
    <w:rsid w:val="004871F1"/>
    <w:rsid w:val="00487F4C"/>
    <w:rsid w:val="00490B76"/>
    <w:rsid w:val="00491C87"/>
    <w:rsid w:val="00493812"/>
    <w:rsid w:val="00495D6C"/>
    <w:rsid w:val="00495F95"/>
    <w:rsid w:val="004967CC"/>
    <w:rsid w:val="004973A3"/>
    <w:rsid w:val="004A25FF"/>
    <w:rsid w:val="004A5C77"/>
    <w:rsid w:val="004A779A"/>
    <w:rsid w:val="004B07D5"/>
    <w:rsid w:val="004B0F5B"/>
    <w:rsid w:val="004B1BFB"/>
    <w:rsid w:val="004B1E77"/>
    <w:rsid w:val="004B2EDC"/>
    <w:rsid w:val="004B4ACF"/>
    <w:rsid w:val="004B5A91"/>
    <w:rsid w:val="004C126B"/>
    <w:rsid w:val="004C1511"/>
    <w:rsid w:val="004C1915"/>
    <w:rsid w:val="004C5168"/>
    <w:rsid w:val="004D1B4B"/>
    <w:rsid w:val="004D1FF3"/>
    <w:rsid w:val="004D2C56"/>
    <w:rsid w:val="004D381E"/>
    <w:rsid w:val="004D59D0"/>
    <w:rsid w:val="004D5A17"/>
    <w:rsid w:val="004D68F5"/>
    <w:rsid w:val="004D6FE3"/>
    <w:rsid w:val="004E0870"/>
    <w:rsid w:val="004E1DF0"/>
    <w:rsid w:val="004E2733"/>
    <w:rsid w:val="004E5364"/>
    <w:rsid w:val="004E56B9"/>
    <w:rsid w:val="004E6303"/>
    <w:rsid w:val="004F0FC0"/>
    <w:rsid w:val="004F24EB"/>
    <w:rsid w:val="004F29FF"/>
    <w:rsid w:val="004F375F"/>
    <w:rsid w:val="004F7EE4"/>
    <w:rsid w:val="0050030C"/>
    <w:rsid w:val="00500493"/>
    <w:rsid w:val="00500BDF"/>
    <w:rsid w:val="005012A8"/>
    <w:rsid w:val="0050168B"/>
    <w:rsid w:val="00501ED9"/>
    <w:rsid w:val="005020BB"/>
    <w:rsid w:val="00502EE1"/>
    <w:rsid w:val="00503C05"/>
    <w:rsid w:val="005043C7"/>
    <w:rsid w:val="0050547C"/>
    <w:rsid w:val="00506451"/>
    <w:rsid w:val="00506A26"/>
    <w:rsid w:val="0051164D"/>
    <w:rsid w:val="00511A20"/>
    <w:rsid w:val="00513A01"/>
    <w:rsid w:val="00515014"/>
    <w:rsid w:val="00522746"/>
    <w:rsid w:val="00525214"/>
    <w:rsid w:val="005356DE"/>
    <w:rsid w:val="00537477"/>
    <w:rsid w:val="00540341"/>
    <w:rsid w:val="00541423"/>
    <w:rsid w:val="0054207D"/>
    <w:rsid w:val="005421A6"/>
    <w:rsid w:val="0054255F"/>
    <w:rsid w:val="005425D3"/>
    <w:rsid w:val="00546564"/>
    <w:rsid w:val="00546947"/>
    <w:rsid w:val="00546A48"/>
    <w:rsid w:val="00547055"/>
    <w:rsid w:val="005551FB"/>
    <w:rsid w:val="00555625"/>
    <w:rsid w:val="005610FD"/>
    <w:rsid w:val="00562D70"/>
    <w:rsid w:val="0056584C"/>
    <w:rsid w:val="00565C77"/>
    <w:rsid w:val="005661BA"/>
    <w:rsid w:val="00566C8C"/>
    <w:rsid w:val="0056774B"/>
    <w:rsid w:val="005714CE"/>
    <w:rsid w:val="005777D9"/>
    <w:rsid w:val="00581B2C"/>
    <w:rsid w:val="00582955"/>
    <w:rsid w:val="00586F62"/>
    <w:rsid w:val="00590839"/>
    <w:rsid w:val="00592838"/>
    <w:rsid w:val="0059516F"/>
    <w:rsid w:val="00595DC1"/>
    <w:rsid w:val="0059737B"/>
    <w:rsid w:val="005A0F72"/>
    <w:rsid w:val="005A297E"/>
    <w:rsid w:val="005A2D30"/>
    <w:rsid w:val="005A3F9E"/>
    <w:rsid w:val="005A4627"/>
    <w:rsid w:val="005A4A62"/>
    <w:rsid w:val="005A4E67"/>
    <w:rsid w:val="005A5C0F"/>
    <w:rsid w:val="005A629D"/>
    <w:rsid w:val="005B0211"/>
    <w:rsid w:val="005B09CD"/>
    <w:rsid w:val="005B14F4"/>
    <w:rsid w:val="005B154F"/>
    <w:rsid w:val="005B2AE6"/>
    <w:rsid w:val="005B3FD2"/>
    <w:rsid w:val="005B4857"/>
    <w:rsid w:val="005B627A"/>
    <w:rsid w:val="005B632C"/>
    <w:rsid w:val="005B7A41"/>
    <w:rsid w:val="005C17F1"/>
    <w:rsid w:val="005C20E6"/>
    <w:rsid w:val="005C3113"/>
    <w:rsid w:val="005C3628"/>
    <w:rsid w:val="005C5402"/>
    <w:rsid w:val="005C593E"/>
    <w:rsid w:val="005C5F2D"/>
    <w:rsid w:val="005D1374"/>
    <w:rsid w:val="005D1FA8"/>
    <w:rsid w:val="005D311F"/>
    <w:rsid w:val="005D6384"/>
    <w:rsid w:val="005D7579"/>
    <w:rsid w:val="005D78BD"/>
    <w:rsid w:val="005E059B"/>
    <w:rsid w:val="005E0B6F"/>
    <w:rsid w:val="005E0E9A"/>
    <w:rsid w:val="005E12C1"/>
    <w:rsid w:val="005E37ED"/>
    <w:rsid w:val="005E402D"/>
    <w:rsid w:val="005E4219"/>
    <w:rsid w:val="005E4272"/>
    <w:rsid w:val="005E5743"/>
    <w:rsid w:val="005E5EE0"/>
    <w:rsid w:val="005F0C45"/>
    <w:rsid w:val="005F1CD9"/>
    <w:rsid w:val="005F2248"/>
    <w:rsid w:val="005F3793"/>
    <w:rsid w:val="005F4151"/>
    <w:rsid w:val="005F4F2B"/>
    <w:rsid w:val="005F62A3"/>
    <w:rsid w:val="005F67F0"/>
    <w:rsid w:val="005F6FDA"/>
    <w:rsid w:val="0060011E"/>
    <w:rsid w:val="00601418"/>
    <w:rsid w:val="00601553"/>
    <w:rsid w:val="00601E66"/>
    <w:rsid w:val="00602153"/>
    <w:rsid w:val="00603713"/>
    <w:rsid w:val="00606DCC"/>
    <w:rsid w:val="00612835"/>
    <w:rsid w:val="00612A95"/>
    <w:rsid w:val="00613E3D"/>
    <w:rsid w:val="006144E8"/>
    <w:rsid w:val="00616180"/>
    <w:rsid w:val="00617488"/>
    <w:rsid w:val="00621B7A"/>
    <w:rsid w:val="00623C57"/>
    <w:rsid w:val="00624B95"/>
    <w:rsid w:val="0062616E"/>
    <w:rsid w:val="00626E50"/>
    <w:rsid w:val="00627955"/>
    <w:rsid w:val="00631144"/>
    <w:rsid w:val="00633DD0"/>
    <w:rsid w:val="00634151"/>
    <w:rsid w:val="00634697"/>
    <w:rsid w:val="00634D0A"/>
    <w:rsid w:val="00634E22"/>
    <w:rsid w:val="00635402"/>
    <w:rsid w:val="0063574A"/>
    <w:rsid w:val="006426CC"/>
    <w:rsid w:val="006455C5"/>
    <w:rsid w:val="006463C8"/>
    <w:rsid w:val="00646964"/>
    <w:rsid w:val="006511A6"/>
    <w:rsid w:val="00652C2D"/>
    <w:rsid w:val="00654A9B"/>
    <w:rsid w:val="00654C42"/>
    <w:rsid w:val="006552B0"/>
    <w:rsid w:val="00655659"/>
    <w:rsid w:val="00657092"/>
    <w:rsid w:val="00660ACD"/>
    <w:rsid w:val="00660B4E"/>
    <w:rsid w:val="00660C53"/>
    <w:rsid w:val="0066379E"/>
    <w:rsid w:val="00666D53"/>
    <w:rsid w:val="006701D8"/>
    <w:rsid w:val="0067305E"/>
    <w:rsid w:val="00673F63"/>
    <w:rsid w:val="006747C9"/>
    <w:rsid w:val="006759FF"/>
    <w:rsid w:val="006761C0"/>
    <w:rsid w:val="0067625A"/>
    <w:rsid w:val="006763C9"/>
    <w:rsid w:val="00677AEF"/>
    <w:rsid w:val="00681614"/>
    <w:rsid w:val="00681E7A"/>
    <w:rsid w:val="00682C78"/>
    <w:rsid w:val="00682D37"/>
    <w:rsid w:val="0068376A"/>
    <w:rsid w:val="00683A3E"/>
    <w:rsid w:val="00692CA5"/>
    <w:rsid w:val="006934A9"/>
    <w:rsid w:val="0069478A"/>
    <w:rsid w:val="006950F6"/>
    <w:rsid w:val="00697F3F"/>
    <w:rsid w:val="006A04ED"/>
    <w:rsid w:val="006A3B0A"/>
    <w:rsid w:val="006A421A"/>
    <w:rsid w:val="006A5C69"/>
    <w:rsid w:val="006A5EA3"/>
    <w:rsid w:val="006B09D1"/>
    <w:rsid w:val="006B0D2B"/>
    <w:rsid w:val="006B1038"/>
    <w:rsid w:val="006B3F87"/>
    <w:rsid w:val="006B5DA9"/>
    <w:rsid w:val="006B5F0B"/>
    <w:rsid w:val="006B659E"/>
    <w:rsid w:val="006C03C1"/>
    <w:rsid w:val="006C109C"/>
    <w:rsid w:val="006C1583"/>
    <w:rsid w:val="006C2A5A"/>
    <w:rsid w:val="006C3058"/>
    <w:rsid w:val="006C6FF1"/>
    <w:rsid w:val="006D0250"/>
    <w:rsid w:val="006D154D"/>
    <w:rsid w:val="006D27B9"/>
    <w:rsid w:val="006D3EDA"/>
    <w:rsid w:val="006D45ED"/>
    <w:rsid w:val="006D4DD9"/>
    <w:rsid w:val="006D4EC7"/>
    <w:rsid w:val="006D6D8B"/>
    <w:rsid w:val="006D704D"/>
    <w:rsid w:val="006D776F"/>
    <w:rsid w:val="006E1EA6"/>
    <w:rsid w:val="006E3984"/>
    <w:rsid w:val="006E3B8B"/>
    <w:rsid w:val="006E5C27"/>
    <w:rsid w:val="006F087D"/>
    <w:rsid w:val="006F0C2D"/>
    <w:rsid w:val="006F422F"/>
    <w:rsid w:val="006F502E"/>
    <w:rsid w:val="006F706E"/>
    <w:rsid w:val="00700E50"/>
    <w:rsid w:val="00701C4B"/>
    <w:rsid w:val="00706CD3"/>
    <w:rsid w:val="00710BF2"/>
    <w:rsid w:val="00710C44"/>
    <w:rsid w:val="00711152"/>
    <w:rsid w:val="00712436"/>
    <w:rsid w:val="00715B1E"/>
    <w:rsid w:val="00715EE4"/>
    <w:rsid w:val="00715F90"/>
    <w:rsid w:val="00717B1C"/>
    <w:rsid w:val="00720E0F"/>
    <w:rsid w:val="00720EAD"/>
    <w:rsid w:val="007227EA"/>
    <w:rsid w:val="00722AFC"/>
    <w:rsid w:val="00723341"/>
    <w:rsid w:val="0072365E"/>
    <w:rsid w:val="007236E5"/>
    <w:rsid w:val="00723AFF"/>
    <w:rsid w:val="00723F5E"/>
    <w:rsid w:val="007260CD"/>
    <w:rsid w:val="007265A6"/>
    <w:rsid w:val="00727D82"/>
    <w:rsid w:val="00730BEA"/>
    <w:rsid w:val="00731CD4"/>
    <w:rsid w:val="00731F7C"/>
    <w:rsid w:val="00733018"/>
    <w:rsid w:val="00733726"/>
    <w:rsid w:val="007339BE"/>
    <w:rsid w:val="00733A65"/>
    <w:rsid w:val="00733D5D"/>
    <w:rsid w:val="0073483C"/>
    <w:rsid w:val="0074116B"/>
    <w:rsid w:val="00741724"/>
    <w:rsid w:val="00743867"/>
    <w:rsid w:val="00747433"/>
    <w:rsid w:val="0074774A"/>
    <w:rsid w:val="00751C44"/>
    <w:rsid w:val="00754683"/>
    <w:rsid w:val="00754C4C"/>
    <w:rsid w:val="00755BDC"/>
    <w:rsid w:val="007560BB"/>
    <w:rsid w:val="00756604"/>
    <w:rsid w:val="00756CDD"/>
    <w:rsid w:val="00757AD6"/>
    <w:rsid w:val="00757B2C"/>
    <w:rsid w:val="00761F2C"/>
    <w:rsid w:val="0076277A"/>
    <w:rsid w:val="0076348D"/>
    <w:rsid w:val="007648BF"/>
    <w:rsid w:val="00770A03"/>
    <w:rsid w:val="00773ACA"/>
    <w:rsid w:val="00773FAB"/>
    <w:rsid w:val="00774210"/>
    <w:rsid w:val="00774D44"/>
    <w:rsid w:val="00774E8B"/>
    <w:rsid w:val="007766F6"/>
    <w:rsid w:val="00776E87"/>
    <w:rsid w:val="00777B04"/>
    <w:rsid w:val="007801ED"/>
    <w:rsid w:val="00780EDE"/>
    <w:rsid w:val="00785345"/>
    <w:rsid w:val="00785432"/>
    <w:rsid w:val="00786A6F"/>
    <w:rsid w:val="00787510"/>
    <w:rsid w:val="007924C1"/>
    <w:rsid w:val="007927D8"/>
    <w:rsid w:val="0079287F"/>
    <w:rsid w:val="00797061"/>
    <w:rsid w:val="0079749E"/>
    <w:rsid w:val="007975EC"/>
    <w:rsid w:val="007A18F8"/>
    <w:rsid w:val="007A5CF1"/>
    <w:rsid w:val="007B0AC6"/>
    <w:rsid w:val="007B43E8"/>
    <w:rsid w:val="007B61CD"/>
    <w:rsid w:val="007B66EC"/>
    <w:rsid w:val="007B792C"/>
    <w:rsid w:val="007C1208"/>
    <w:rsid w:val="007C1870"/>
    <w:rsid w:val="007C2902"/>
    <w:rsid w:val="007C3C9C"/>
    <w:rsid w:val="007C446D"/>
    <w:rsid w:val="007C53CA"/>
    <w:rsid w:val="007C79A4"/>
    <w:rsid w:val="007D0621"/>
    <w:rsid w:val="007D0A7B"/>
    <w:rsid w:val="007D0D8E"/>
    <w:rsid w:val="007D2EFB"/>
    <w:rsid w:val="007D306A"/>
    <w:rsid w:val="007D4320"/>
    <w:rsid w:val="007D506A"/>
    <w:rsid w:val="007D6B49"/>
    <w:rsid w:val="007D6E87"/>
    <w:rsid w:val="007D76E7"/>
    <w:rsid w:val="007D79A8"/>
    <w:rsid w:val="007E2C13"/>
    <w:rsid w:val="007E2C30"/>
    <w:rsid w:val="007E2D43"/>
    <w:rsid w:val="007E3381"/>
    <w:rsid w:val="007E3F4B"/>
    <w:rsid w:val="007E4E6C"/>
    <w:rsid w:val="007E4F02"/>
    <w:rsid w:val="007E645B"/>
    <w:rsid w:val="007E68CF"/>
    <w:rsid w:val="007E73D9"/>
    <w:rsid w:val="007F0734"/>
    <w:rsid w:val="007F1718"/>
    <w:rsid w:val="007F22EE"/>
    <w:rsid w:val="007F4069"/>
    <w:rsid w:val="007F4288"/>
    <w:rsid w:val="007F470F"/>
    <w:rsid w:val="007F5072"/>
    <w:rsid w:val="007F6A2D"/>
    <w:rsid w:val="00800034"/>
    <w:rsid w:val="008000F0"/>
    <w:rsid w:val="008010ED"/>
    <w:rsid w:val="0080172C"/>
    <w:rsid w:val="00801BE4"/>
    <w:rsid w:val="0080213F"/>
    <w:rsid w:val="00802F65"/>
    <w:rsid w:val="008035F2"/>
    <w:rsid w:val="008109C1"/>
    <w:rsid w:val="0081269F"/>
    <w:rsid w:val="00814813"/>
    <w:rsid w:val="00814B39"/>
    <w:rsid w:val="00814F0E"/>
    <w:rsid w:val="00815902"/>
    <w:rsid w:val="008175E0"/>
    <w:rsid w:val="0082063D"/>
    <w:rsid w:val="00821E68"/>
    <w:rsid w:val="00823F2F"/>
    <w:rsid w:val="008244F7"/>
    <w:rsid w:val="0083117B"/>
    <w:rsid w:val="00831449"/>
    <w:rsid w:val="00832004"/>
    <w:rsid w:val="0083207B"/>
    <w:rsid w:val="0084012C"/>
    <w:rsid w:val="00841CA0"/>
    <w:rsid w:val="008439C0"/>
    <w:rsid w:val="008448BB"/>
    <w:rsid w:val="00844F63"/>
    <w:rsid w:val="00845D35"/>
    <w:rsid w:val="00845FED"/>
    <w:rsid w:val="00853942"/>
    <w:rsid w:val="00861D9C"/>
    <w:rsid w:val="00863F10"/>
    <w:rsid w:val="0086584F"/>
    <w:rsid w:val="008671F3"/>
    <w:rsid w:val="00870641"/>
    <w:rsid w:val="00870B1A"/>
    <w:rsid w:val="00870ECC"/>
    <w:rsid w:val="00871573"/>
    <w:rsid w:val="00871DD9"/>
    <w:rsid w:val="008725B9"/>
    <w:rsid w:val="00874450"/>
    <w:rsid w:val="0087463F"/>
    <w:rsid w:val="00874C2F"/>
    <w:rsid w:val="0087756B"/>
    <w:rsid w:val="0088104B"/>
    <w:rsid w:val="0088131D"/>
    <w:rsid w:val="00881466"/>
    <w:rsid w:val="00881C15"/>
    <w:rsid w:val="008828DC"/>
    <w:rsid w:val="00884FFD"/>
    <w:rsid w:val="008854D8"/>
    <w:rsid w:val="008863A4"/>
    <w:rsid w:val="008869AB"/>
    <w:rsid w:val="008915D8"/>
    <w:rsid w:val="00891883"/>
    <w:rsid w:val="0089197A"/>
    <w:rsid w:val="008932B3"/>
    <w:rsid w:val="00893A98"/>
    <w:rsid w:val="00894582"/>
    <w:rsid w:val="00894D9F"/>
    <w:rsid w:val="00895555"/>
    <w:rsid w:val="008A0A62"/>
    <w:rsid w:val="008A0E24"/>
    <w:rsid w:val="008A1314"/>
    <w:rsid w:val="008A15CF"/>
    <w:rsid w:val="008A27A8"/>
    <w:rsid w:val="008A2AAB"/>
    <w:rsid w:val="008A343F"/>
    <w:rsid w:val="008A742A"/>
    <w:rsid w:val="008A7DB4"/>
    <w:rsid w:val="008B19D6"/>
    <w:rsid w:val="008B29CC"/>
    <w:rsid w:val="008B52DC"/>
    <w:rsid w:val="008C3989"/>
    <w:rsid w:val="008C3B33"/>
    <w:rsid w:val="008C6096"/>
    <w:rsid w:val="008C7B8F"/>
    <w:rsid w:val="008D059F"/>
    <w:rsid w:val="008D297E"/>
    <w:rsid w:val="008D2EDD"/>
    <w:rsid w:val="008D31A0"/>
    <w:rsid w:val="008D34FA"/>
    <w:rsid w:val="008D4F26"/>
    <w:rsid w:val="008D7A5D"/>
    <w:rsid w:val="008E1B5C"/>
    <w:rsid w:val="008E25C1"/>
    <w:rsid w:val="008E3C0D"/>
    <w:rsid w:val="008E5F5B"/>
    <w:rsid w:val="008E6D12"/>
    <w:rsid w:val="008E6FF7"/>
    <w:rsid w:val="008E75AE"/>
    <w:rsid w:val="008E76AC"/>
    <w:rsid w:val="008F00EF"/>
    <w:rsid w:val="008F140E"/>
    <w:rsid w:val="008F3281"/>
    <w:rsid w:val="008F527F"/>
    <w:rsid w:val="00901610"/>
    <w:rsid w:val="00904374"/>
    <w:rsid w:val="00904B40"/>
    <w:rsid w:val="00904B7B"/>
    <w:rsid w:val="00905062"/>
    <w:rsid w:val="009110B4"/>
    <w:rsid w:val="00911800"/>
    <w:rsid w:val="00911A18"/>
    <w:rsid w:val="00912F0E"/>
    <w:rsid w:val="00913415"/>
    <w:rsid w:val="00914E83"/>
    <w:rsid w:val="00917463"/>
    <w:rsid w:val="00917A66"/>
    <w:rsid w:val="009227E2"/>
    <w:rsid w:val="00923656"/>
    <w:rsid w:val="00923702"/>
    <w:rsid w:val="00927727"/>
    <w:rsid w:val="00930170"/>
    <w:rsid w:val="00930D32"/>
    <w:rsid w:val="0093117C"/>
    <w:rsid w:val="00932652"/>
    <w:rsid w:val="00933B35"/>
    <w:rsid w:val="00933CD8"/>
    <w:rsid w:val="0093412F"/>
    <w:rsid w:val="00934858"/>
    <w:rsid w:val="00935650"/>
    <w:rsid w:val="00936536"/>
    <w:rsid w:val="00937CDE"/>
    <w:rsid w:val="009405EB"/>
    <w:rsid w:val="00941783"/>
    <w:rsid w:val="009428C9"/>
    <w:rsid w:val="00942F2D"/>
    <w:rsid w:val="00945F80"/>
    <w:rsid w:val="00947AC9"/>
    <w:rsid w:val="009520A7"/>
    <w:rsid w:val="00952300"/>
    <w:rsid w:val="009527EF"/>
    <w:rsid w:val="009555B1"/>
    <w:rsid w:val="00955634"/>
    <w:rsid w:val="00955B50"/>
    <w:rsid w:val="00956918"/>
    <w:rsid w:val="00960AF0"/>
    <w:rsid w:val="00964939"/>
    <w:rsid w:val="00966F19"/>
    <w:rsid w:val="00967817"/>
    <w:rsid w:val="00967844"/>
    <w:rsid w:val="009679E0"/>
    <w:rsid w:val="00967B91"/>
    <w:rsid w:val="00967BDB"/>
    <w:rsid w:val="009702CD"/>
    <w:rsid w:val="00970865"/>
    <w:rsid w:val="00970A35"/>
    <w:rsid w:val="00973DD2"/>
    <w:rsid w:val="00975E63"/>
    <w:rsid w:val="00975FBB"/>
    <w:rsid w:val="0098116E"/>
    <w:rsid w:val="00981F57"/>
    <w:rsid w:val="00982CDE"/>
    <w:rsid w:val="009833A3"/>
    <w:rsid w:val="00983F55"/>
    <w:rsid w:val="00985232"/>
    <w:rsid w:val="0098722F"/>
    <w:rsid w:val="009919EF"/>
    <w:rsid w:val="009931DC"/>
    <w:rsid w:val="009946CC"/>
    <w:rsid w:val="00996362"/>
    <w:rsid w:val="00996996"/>
    <w:rsid w:val="0099746C"/>
    <w:rsid w:val="009A09D9"/>
    <w:rsid w:val="009A1C98"/>
    <w:rsid w:val="009A434D"/>
    <w:rsid w:val="009A47DF"/>
    <w:rsid w:val="009A57DE"/>
    <w:rsid w:val="009A60BC"/>
    <w:rsid w:val="009A7534"/>
    <w:rsid w:val="009B1219"/>
    <w:rsid w:val="009B3A72"/>
    <w:rsid w:val="009B3D93"/>
    <w:rsid w:val="009B4D4E"/>
    <w:rsid w:val="009B50EE"/>
    <w:rsid w:val="009B5F80"/>
    <w:rsid w:val="009B67C2"/>
    <w:rsid w:val="009B7B41"/>
    <w:rsid w:val="009B7B98"/>
    <w:rsid w:val="009B7CC6"/>
    <w:rsid w:val="009C1650"/>
    <w:rsid w:val="009C4B9D"/>
    <w:rsid w:val="009C547D"/>
    <w:rsid w:val="009C5517"/>
    <w:rsid w:val="009D209A"/>
    <w:rsid w:val="009D2CBE"/>
    <w:rsid w:val="009D47DC"/>
    <w:rsid w:val="009D4B2B"/>
    <w:rsid w:val="009D7941"/>
    <w:rsid w:val="009E00F5"/>
    <w:rsid w:val="009E2944"/>
    <w:rsid w:val="009E30C3"/>
    <w:rsid w:val="009E37DD"/>
    <w:rsid w:val="009E5819"/>
    <w:rsid w:val="009E6319"/>
    <w:rsid w:val="009E6887"/>
    <w:rsid w:val="009E6C88"/>
    <w:rsid w:val="009F1166"/>
    <w:rsid w:val="009F45BB"/>
    <w:rsid w:val="009F6C14"/>
    <w:rsid w:val="009F7CE9"/>
    <w:rsid w:val="00A01E91"/>
    <w:rsid w:val="00A037A8"/>
    <w:rsid w:val="00A03A05"/>
    <w:rsid w:val="00A03BB5"/>
    <w:rsid w:val="00A05123"/>
    <w:rsid w:val="00A06357"/>
    <w:rsid w:val="00A070D3"/>
    <w:rsid w:val="00A10606"/>
    <w:rsid w:val="00A13281"/>
    <w:rsid w:val="00A1427C"/>
    <w:rsid w:val="00A14787"/>
    <w:rsid w:val="00A20557"/>
    <w:rsid w:val="00A2220C"/>
    <w:rsid w:val="00A22AC8"/>
    <w:rsid w:val="00A23AE4"/>
    <w:rsid w:val="00A23E84"/>
    <w:rsid w:val="00A24E46"/>
    <w:rsid w:val="00A24F3A"/>
    <w:rsid w:val="00A30263"/>
    <w:rsid w:val="00A30349"/>
    <w:rsid w:val="00A33979"/>
    <w:rsid w:val="00A33BAF"/>
    <w:rsid w:val="00A3512F"/>
    <w:rsid w:val="00A36BD0"/>
    <w:rsid w:val="00A36CD2"/>
    <w:rsid w:val="00A36FEB"/>
    <w:rsid w:val="00A40DB6"/>
    <w:rsid w:val="00A508FB"/>
    <w:rsid w:val="00A50D90"/>
    <w:rsid w:val="00A51F56"/>
    <w:rsid w:val="00A52981"/>
    <w:rsid w:val="00A5377C"/>
    <w:rsid w:val="00A53E94"/>
    <w:rsid w:val="00A55EDD"/>
    <w:rsid w:val="00A5758F"/>
    <w:rsid w:val="00A57A2B"/>
    <w:rsid w:val="00A60DC8"/>
    <w:rsid w:val="00A63007"/>
    <w:rsid w:val="00A63877"/>
    <w:rsid w:val="00A64136"/>
    <w:rsid w:val="00A70F40"/>
    <w:rsid w:val="00A73417"/>
    <w:rsid w:val="00A742AA"/>
    <w:rsid w:val="00A74EA3"/>
    <w:rsid w:val="00A80ACF"/>
    <w:rsid w:val="00A82633"/>
    <w:rsid w:val="00A83264"/>
    <w:rsid w:val="00A838F3"/>
    <w:rsid w:val="00A8527E"/>
    <w:rsid w:val="00A94360"/>
    <w:rsid w:val="00A94924"/>
    <w:rsid w:val="00A95C35"/>
    <w:rsid w:val="00A95EC2"/>
    <w:rsid w:val="00A964F6"/>
    <w:rsid w:val="00A9692F"/>
    <w:rsid w:val="00A969D8"/>
    <w:rsid w:val="00AA6CE3"/>
    <w:rsid w:val="00AB2529"/>
    <w:rsid w:val="00AB2AFA"/>
    <w:rsid w:val="00AB5839"/>
    <w:rsid w:val="00AB6062"/>
    <w:rsid w:val="00AC08BD"/>
    <w:rsid w:val="00AC234D"/>
    <w:rsid w:val="00AC3913"/>
    <w:rsid w:val="00AC41E7"/>
    <w:rsid w:val="00AC584E"/>
    <w:rsid w:val="00AC60E3"/>
    <w:rsid w:val="00AC7BD4"/>
    <w:rsid w:val="00AD19A4"/>
    <w:rsid w:val="00AD237B"/>
    <w:rsid w:val="00AD3757"/>
    <w:rsid w:val="00AD5217"/>
    <w:rsid w:val="00AD5EF0"/>
    <w:rsid w:val="00AD79BB"/>
    <w:rsid w:val="00AE1E4A"/>
    <w:rsid w:val="00AE3CA1"/>
    <w:rsid w:val="00AE59A7"/>
    <w:rsid w:val="00AF0174"/>
    <w:rsid w:val="00AF02E3"/>
    <w:rsid w:val="00AF094B"/>
    <w:rsid w:val="00AF1ADF"/>
    <w:rsid w:val="00AF4A5F"/>
    <w:rsid w:val="00AF4C47"/>
    <w:rsid w:val="00AF692E"/>
    <w:rsid w:val="00B00B58"/>
    <w:rsid w:val="00B03AC9"/>
    <w:rsid w:val="00B05F46"/>
    <w:rsid w:val="00B07912"/>
    <w:rsid w:val="00B07C71"/>
    <w:rsid w:val="00B07CA7"/>
    <w:rsid w:val="00B11CF0"/>
    <w:rsid w:val="00B13FE7"/>
    <w:rsid w:val="00B14810"/>
    <w:rsid w:val="00B14905"/>
    <w:rsid w:val="00B14BB2"/>
    <w:rsid w:val="00B15414"/>
    <w:rsid w:val="00B16798"/>
    <w:rsid w:val="00B16D77"/>
    <w:rsid w:val="00B225F2"/>
    <w:rsid w:val="00B22CF2"/>
    <w:rsid w:val="00B25E3C"/>
    <w:rsid w:val="00B263D7"/>
    <w:rsid w:val="00B26686"/>
    <w:rsid w:val="00B30B31"/>
    <w:rsid w:val="00B32EF8"/>
    <w:rsid w:val="00B33588"/>
    <w:rsid w:val="00B33F54"/>
    <w:rsid w:val="00B34AFB"/>
    <w:rsid w:val="00B34E72"/>
    <w:rsid w:val="00B3562E"/>
    <w:rsid w:val="00B36069"/>
    <w:rsid w:val="00B36736"/>
    <w:rsid w:val="00B36AC0"/>
    <w:rsid w:val="00B43198"/>
    <w:rsid w:val="00B43A74"/>
    <w:rsid w:val="00B460C9"/>
    <w:rsid w:val="00B54571"/>
    <w:rsid w:val="00B54BFA"/>
    <w:rsid w:val="00B56AFC"/>
    <w:rsid w:val="00B57068"/>
    <w:rsid w:val="00B61B00"/>
    <w:rsid w:val="00B67362"/>
    <w:rsid w:val="00B679AA"/>
    <w:rsid w:val="00B74038"/>
    <w:rsid w:val="00B818B0"/>
    <w:rsid w:val="00B84CFC"/>
    <w:rsid w:val="00B9014C"/>
    <w:rsid w:val="00B91B15"/>
    <w:rsid w:val="00B92B62"/>
    <w:rsid w:val="00B9500E"/>
    <w:rsid w:val="00B95447"/>
    <w:rsid w:val="00BA118A"/>
    <w:rsid w:val="00BA2AE3"/>
    <w:rsid w:val="00BA2E17"/>
    <w:rsid w:val="00BA378A"/>
    <w:rsid w:val="00BA6182"/>
    <w:rsid w:val="00BA6FD6"/>
    <w:rsid w:val="00BA7609"/>
    <w:rsid w:val="00BB0D12"/>
    <w:rsid w:val="00BB10C6"/>
    <w:rsid w:val="00BB178D"/>
    <w:rsid w:val="00BB2058"/>
    <w:rsid w:val="00BB4DD8"/>
    <w:rsid w:val="00BB4F42"/>
    <w:rsid w:val="00BB7336"/>
    <w:rsid w:val="00BB7F20"/>
    <w:rsid w:val="00BC08ED"/>
    <w:rsid w:val="00BC0E75"/>
    <w:rsid w:val="00BC2213"/>
    <w:rsid w:val="00BC4B90"/>
    <w:rsid w:val="00BC6B1C"/>
    <w:rsid w:val="00BC7961"/>
    <w:rsid w:val="00BD10F8"/>
    <w:rsid w:val="00BD22D1"/>
    <w:rsid w:val="00BD253F"/>
    <w:rsid w:val="00BD4162"/>
    <w:rsid w:val="00BD64FE"/>
    <w:rsid w:val="00BE0715"/>
    <w:rsid w:val="00BE20AF"/>
    <w:rsid w:val="00BE2158"/>
    <w:rsid w:val="00BE3A36"/>
    <w:rsid w:val="00BE3A99"/>
    <w:rsid w:val="00BE5AC7"/>
    <w:rsid w:val="00BE7447"/>
    <w:rsid w:val="00BF1C34"/>
    <w:rsid w:val="00BF1E7B"/>
    <w:rsid w:val="00BF3046"/>
    <w:rsid w:val="00BF3520"/>
    <w:rsid w:val="00BF3676"/>
    <w:rsid w:val="00BF4FE5"/>
    <w:rsid w:val="00BF6B87"/>
    <w:rsid w:val="00BF6C3E"/>
    <w:rsid w:val="00C00264"/>
    <w:rsid w:val="00C01126"/>
    <w:rsid w:val="00C01C84"/>
    <w:rsid w:val="00C031FE"/>
    <w:rsid w:val="00C03237"/>
    <w:rsid w:val="00C03756"/>
    <w:rsid w:val="00C038CD"/>
    <w:rsid w:val="00C05D67"/>
    <w:rsid w:val="00C06C3E"/>
    <w:rsid w:val="00C06E07"/>
    <w:rsid w:val="00C06E30"/>
    <w:rsid w:val="00C11FFE"/>
    <w:rsid w:val="00C1381C"/>
    <w:rsid w:val="00C159A0"/>
    <w:rsid w:val="00C177FA"/>
    <w:rsid w:val="00C2023D"/>
    <w:rsid w:val="00C22643"/>
    <w:rsid w:val="00C22D70"/>
    <w:rsid w:val="00C23EA8"/>
    <w:rsid w:val="00C247D1"/>
    <w:rsid w:val="00C24844"/>
    <w:rsid w:val="00C25596"/>
    <w:rsid w:val="00C2597E"/>
    <w:rsid w:val="00C26803"/>
    <w:rsid w:val="00C271C2"/>
    <w:rsid w:val="00C3027B"/>
    <w:rsid w:val="00C30979"/>
    <w:rsid w:val="00C3248F"/>
    <w:rsid w:val="00C33054"/>
    <w:rsid w:val="00C35ED7"/>
    <w:rsid w:val="00C37C74"/>
    <w:rsid w:val="00C41CE4"/>
    <w:rsid w:val="00C434BC"/>
    <w:rsid w:val="00C46718"/>
    <w:rsid w:val="00C46BF3"/>
    <w:rsid w:val="00C47590"/>
    <w:rsid w:val="00C47DFE"/>
    <w:rsid w:val="00C50458"/>
    <w:rsid w:val="00C5070C"/>
    <w:rsid w:val="00C512E9"/>
    <w:rsid w:val="00C529B5"/>
    <w:rsid w:val="00C60C5A"/>
    <w:rsid w:val="00C6409D"/>
    <w:rsid w:val="00C66023"/>
    <w:rsid w:val="00C66B24"/>
    <w:rsid w:val="00C67186"/>
    <w:rsid w:val="00C7038C"/>
    <w:rsid w:val="00C70A28"/>
    <w:rsid w:val="00C73AF6"/>
    <w:rsid w:val="00C7407E"/>
    <w:rsid w:val="00C76850"/>
    <w:rsid w:val="00C81CD4"/>
    <w:rsid w:val="00C81CF5"/>
    <w:rsid w:val="00C84051"/>
    <w:rsid w:val="00C84054"/>
    <w:rsid w:val="00C86541"/>
    <w:rsid w:val="00C87439"/>
    <w:rsid w:val="00C879CC"/>
    <w:rsid w:val="00C9054B"/>
    <w:rsid w:val="00C91B6A"/>
    <w:rsid w:val="00C9534A"/>
    <w:rsid w:val="00CA299B"/>
    <w:rsid w:val="00CA29B0"/>
    <w:rsid w:val="00CA438C"/>
    <w:rsid w:val="00CA48E2"/>
    <w:rsid w:val="00CA644E"/>
    <w:rsid w:val="00CA6529"/>
    <w:rsid w:val="00CB16B1"/>
    <w:rsid w:val="00CB4E8E"/>
    <w:rsid w:val="00CC0CD5"/>
    <w:rsid w:val="00CC390F"/>
    <w:rsid w:val="00CC4961"/>
    <w:rsid w:val="00CC7529"/>
    <w:rsid w:val="00CC7CEF"/>
    <w:rsid w:val="00CD1327"/>
    <w:rsid w:val="00CD157D"/>
    <w:rsid w:val="00CD1F64"/>
    <w:rsid w:val="00CD271A"/>
    <w:rsid w:val="00CD45AE"/>
    <w:rsid w:val="00CE46A8"/>
    <w:rsid w:val="00CE59A3"/>
    <w:rsid w:val="00CE78A3"/>
    <w:rsid w:val="00CF1C25"/>
    <w:rsid w:val="00CF2762"/>
    <w:rsid w:val="00CF3497"/>
    <w:rsid w:val="00CF7960"/>
    <w:rsid w:val="00D02499"/>
    <w:rsid w:val="00D02BB9"/>
    <w:rsid w:val="00D05FC8"/>
    <w:rsid w:val="00D065A9"/>
    <w:rsid w:val="00D06A60"/>
    <w:rsid w:val="00D07A47"/>
    <w:rsid w:val="00D10C9A"/>
    <w:rsid w:val="00D11DAC"/>
    <w:rsid w:val="00D1215E"/>
    <w:rsid w:val="00D1222E"/>
    <w:rsid w:val="00D126DB"/>
    <w:rsid w:val="00D12A61"/>
    <w:rsid w:val="00D1528B"/>
    <w:rsid w:val="00D17312"/>
    <w:rsid w:val="00D228B5"/>
    <w:rsid w:val="00D23FE7"/>
    <w:rsid w:val="00D272FD"/>
    <w:rsid w:val="00D3268E"/>
    <w:rsid w:val="00D337CE"/>
    <w:rsid w:val="00D373AC"/>
    <w:rsid w:val="00D3760D"/>
    <w:rsid w:val="00D40BD4"/>
    <w:rsid w:val="00D41002"/>
    <w:rsid w:val="00D4511F"/>
    <w:rsid w:val="00D47B9F"/>
    <w:rsid w:val="00D54B54"/>
    <w:rsid w:val="00D56F29"/>
    <w:rsid w:val="00D578EB"/>
    <w:rsid w:val="00D57CD7"/>
    <w:rsid w:val="00D637DD"/>
    <w:rsid w:val="00D64979"/>
    <w:rsid w:val="00D66D99"/>
    <w:rsid w:val="00D677C6"/>
    <w:rsid w:val="00D67DC0"/>
    <w:rsid w:val="00D67EF3"/>
    <w:rsid w:val="00D701ED"/>
    <w:rsid w:val="00D708F5"/>
    <w:rsid w:val="00D724F7"/>
    <w:rsid w:val="00D725CC"/>
    <w:rsid w:val="00D72D3A"/>
    <w:rsid w:val="00D73463"/>
    <w:rsid w:val="00D73887"/>
    <w:rsid w:val="00D73B46"/>
    <w:rsid w:val="00D768CF"/>
    <w:rsid w:val="00D7707F"/>
    <w:rsid w:val="00D804A9"/>
    <w:rsid w:val="00D818E2"/>
    <w:rsid w:val="00D822C3"/>
    <w:rsid w:val="00D82FBC"/>
    <w:rsid w:val="00D8376E"/>
    <w:rsid w:val="00D83A3A"/>
    <w:rsid w:val="00D849A9"/>
    <w:rsid w:val="00D84ED3"/>
    <w:rsid w:val="00D85056"/>
    <w:rsid w:val="00D856C6"/>
    <w:rsid w:val="00D85A80"/>
    <w:rsid w:val="00D878DA"/>
    <w:rsid w:val="00D91122"/>
    <w:rsid w:val="00D933AC"/>
    <w:rsid w:val="00D933FA"/>
    <w:rsid w:val="00D951F3"/>
    <w:rsid w:val="00D95E06"/>
    <w:rsid w:val="00D973E7"/>
    <w:rsid w:val="00D97E14"/>
    <w:rsid w:val="00DA06A0"/>
    <w:rsid w:val="00DA166D"/>
    <w:rsid w:val="00DA1D11"/>
    <w:rsid w:val="00DA2866"/>
    <w:rsid w:val="00DA2F17"/>
    <w:rsid w:val="00DA3317"/>
    <w:rsid w:val="00DA638D"/>
    <w:rsid w:val="00DA6629"/>
    <w:rsid w:val="00DA7CB8"/>
    <w:rsid w:val="00DB0A87"/>
    <w:rsid w:val="00DB0EF8"/>
    <w:rsid w:val="00DB3577"/>
    <w:rsid w:val="00DB4432"/>
    <w:rsid w:val="00DB477E"/>
    <w:rsid w:val="00DB510A"/>
    <w:rsid w:val="00DB5719"/>
    <w:rsid w:val="00DB5F1C"/>
    <w:rsid w:val="00DC3300"/>
    <w:rsid w:val="00DC38C2"/>
    <w:rsid w:val="00DC3AC7"/>
    <w:rsid w:val="00DC57B9"/>
    <w:rsid w:val="00DC7CCC"/>
    <w:rsid w:val="00DD01BA"/>
    <w:rsid w:val="00DD3109"/>
    <w:rsid w:val="00DD4E5A"/>
    <w:rsid w:val="00DD6A3D"/>
    <w:rsid w:val="00DD6AB1"/>
    <w:rsid w:val="00DD7F62"/>
    <w:rsid w:val="00DE254C"/>
    <w:rsid w:val="00DE6FBF"/>
    <w:rsid w:val="00DF15B3"/>
    <w:rsid w:val="00DF62A1"/>
    <w:rsid w:val="00DF6C6F"/>
    <w:rsid w:val="00E0403F"/>
    <w:rsid w:val="00E04D3A"/>
    <w:rsid w:val="00E05445"/>
    <w:rsid w:val="00E056B8"/>
    <w:rsid w:val="00E06F1D"/>
    <w:rsid w:val="00E06FC2"/>
    <w:rsid w:val="00E07A77"/>
    <w:rsid w:val="00E1221D"/>
    <w:rsid w:val="00E12637"/>
    <w:rsid w:val="00E13F3C"/>
    <w:rsid w:val="00E164BF"/>
    <w:rsid w:val="00E246CB"/>
    <w:rsid w:val="00E24C84"/>
    <w:rsid w:val="00E25D72"/>
    <w:rsid w:val="00E3244E"/>
    <w:rsid w:val="00E33E46"/>
    <w:rsid w:val="00E3543F"/>
    <w:rsid w:val="00E36C90"/>
    <w:rsid w:val="00E37700"/>
    <w:rsid w:val="00E4091B"/>
    <w:rsid w:val="00E40B52"/>
    <w:rsid w:val="00E42B4A"/>
    <w:rsid w:val="00E451BD"/>
    <w:rsid w:val="00E46624"/>
    <w:rsid w:val="00E47602"/>
    <w:rsid w:val="00E502BC"/>
    <w:rsid w:val="00E50BC8"/>
    <w:rsid w:val="00E52D60"/>
    <w:rsid w:val="00E576B0"/>
    <w:rsid w:val="00E62882"/>
    <w:rsid w:val="00E64AD1"/>
    <w:rsid w:val="00E6563D"/>
    <w:rsid w:val="00E66D4E"/>
    <w:rsid w:val="00E704CC"/>
    <w:rsid w:val="00E74446"/>
    <w:rsid w:val="00E80D67"/>
    <w:rsid w:val="00E82FF3"/>
    <w:rsid w:val="00E84A4E"/>
    <w:rsid w:val="00E85718"/>
    <w:rsid w:val="00E90E91"/>
    <w:rsid w:val="00E91BCC"/>
    <w:rsid w:val="00E938C5"/>
    <w:rsid w:val="00E96241"/>
    <w:rsid w:val="00EA03A2"/>
    <w:rsid w:val="00EA1769"/>
    <w:rsid w:val="00EA2A45"/>
    <w:rsid w:val="00EA2A8B"/>
    <w:rsid w:val="00EA4112"/>
    <w:rsid w:val="00EA458F"/>
    <w:rsid w:val="00EA7C5B"/>
    <w:rsid w:val="00EB02B6"/>
    <w:rsid w:val="00EB02F7"/>
    <w:rsid w:val="00EB1D1C"/>
    <w:rsid w:val="00EB1E54"/>
    <w:rsid w:val="00EB4541"/>
    <w:rsid w:val="00EB4952"/>
    <w:rsid w:val="00EB50BA"/>
    <w:rsid w:val="00EB5A7D"/>
    <w:rsid w:val="00EB610D"/>
    <w:rsid w:val="00EB6825"/>
    <w:rsid w:val="00EB692A"/>
    <w:rsid w:val="00EB6E1C"/>
    <w:rsid w:val="00EB6EF7"/>
    <w:rsid w:val="00EC033C"/>
    <w:rsid w:val="00EC4B11"/>
    <w:rsid w:val="00EC6D38"/>
    <w:rsid w:val="00EC7227"/>
    <w:rsid w:val="00EC7FAA"/>
    <w:rsid w:val="00ED1117"/>
    <w:rsid w:val="00ED5AA5"/>
    <w:rsid w:val="00EE1BF2"/>
    <w:rsid w:val="00EE34A5"/>
    <w:rsid w:val="00EE5054"/>
    <w:rsid w:val="00EE6515"/>
    <w:rsid w:val="00EF4EF0"/>
    <w:rsid w:val="00EF50AF"/>
    <w:rsid w:val="00F007BC"/>
    <w:rsid w:val="00F00B20"/>
    <w:rsid w:val="00F01D08"/>
    <w:rsid w:val="00F031DA"/>
    <w:rsid w:val="00F06CD4"/>
    <w:rsid w:val="00F07F18"/>
    <w:rsid w:val="00F07FF6"/>
    <w:rsid w:val="00F11B62"/>
    <w:rsid w:val="00F13DB9"/>
    <w:rsid w:val="00F161AB"/>
    <w:rsid w:val="00F177D1"/>
    <w:rsid w:val="00F20E39"/>
    <w:rsid w:val="00F22D80"/>
    <w:rsid w:val="00F23D80"/>
    <w:rsid w:val="00F258B0"/>
    <w:rsid w:val="00F27CD7"/>
    <w:rsid w:val="00F3097B"/>
    <w:rsid w:val="00F323A9"/>
    <w:rsid w:val="00F343FF"/>
    <w:rsid w:val="00F3524B"/>
    <w:rsid w:val="00F35791"/>
    <w:rsid w:val="00F3617C"/>
    <w:rsid w:val="00F42008"/>
    <w:rsid w:val="00F42361"/>
    <w:rsid w:val="00F42A38"/>
    <w:rsid w:val="00F440B9"/>
    <w:rsid w:val="00F44F55"/>
    <w:rsid w:val="00F45741"/>
    <w:rsid w:val="00F462BC"/>
    <w:rsid w:val="00F46EF2"/>
    <w:rsid w:val="00F50C56"/>
    <w:rsid w:val="00F5209C"/>
    <w:rsid w:val="00F5475E"/>
    <w:rsid w:val="00F55D1A"/>
    <w:rsid w:val="00F56EE1"/>
    <w:rsid w:val="00F57720"/>
    <w:rsid w:val="00F577D5"/>
    <w:rsid w:val="00F62498"/>
    <w:rsid w:val="00F64C4F"/>
    <w:rsid w:val="00F70668"/>
    <w:rsid w:val="00F760E3"/>
    <w:rsid w:val="00F7710A"/>
    <w:rsid w:val="00F8197D"/>
    <w:rsid w:val="00F846D8"/>
    <w:rsid w:val="00F84DBE"/>
    <w:rsid w:val="00F8531F"/>
    <w:rsid w:val="00F85C00"/>
    <w:rsid w:val="00F91017"/>
    <w:rsid w:val="00F914C3"/>
    <w:rsid w:val="00F91F05"/>
    <w:rsid w:val="00F91FCA"/>
    <w:rsid w:val="00F93CA6"/>
    <w:rsid w:val="00F945B7"/>
    <w:rsid w:val="00F95774"/>
    <w:rsid w:val="00F95FE9"/>
    <w:rsid w:val="00F97005"/>
    <w:rsid w:val="00F97031"/>
    <w:rsid w:val="00F9720A"/>
    <w:rsid w:val="00F9785B"/>
    <w:rsid w:val="00FA0E99"/>
    <w:rsid w:val="00FA244A"/>
    <w:rsid w:val="00FA2A20"/>
    <w:rsid w:val="00FA3E44"/>
    <w:rsid w:val="00FA4CE9"/>
    <w:rsid w:val="00FA5F6A"/>
    <w:rsid w:val="00FB177D"/>
    <w:rsid w:val="00FB1D8F"/>
    <w:rsid w:val="00FB225C"/>
    <w:rsid w:val="00FB3403"/>
    <w:rsid w:val="00FB3EC2"/>
    <w:rsid w:val="00FB482B"/>
    <w:rsid w:val="00FB4A67"/>
    <w:rsid w:val="00FB5772"/>
    <w:rsid w:val="00FB591A"/>
    <w:rsid w:val="00FC1CEE"/>
    <w:rsid w:val="00FC4BD9"/>
    <w:rsid w:val="00FC520C"/>
    <w:rsid w:val="00FC6677"/>
    <w:rsid w:val="00FD0022"/>
    <w:rsid w:val="00FD2068"/>
    <w:rsid w:val="00FD2BB9"/>
    <w:rsid w:val="00FD3609"/>
    <w:rsid w:val="00FD6943"/>
    <w:rsid w:val="00FE1549"/>
    <w:rsid w:val="00FE1B42"/>
    <w:rsid w:val="00FE2823"/>
    <w:rsid w:val="00FE3189"/>
    <w:rsid w:val="00FE3C7E"/>
    <w:rsid w:val="00FE4CFB"/>
    <w:rsid w:val="00FE635E"/>
    <w:rsid w:val="00FE6CB2"/>
    <w:rsid w:val="00FE7073"/>
    <w:rsid w:val="00FF2451"/>
    <w:rsid w:val="00FF2929"/>
    <w:rsid w:val="00FF4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B2F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246CB"/>
    <w:pPr>
      <w:spacing w:after="240"/>
    </w:pPr>
    <w:rPr>
      <w:sz w:val="24"/>
    </w:rPr>
  </w:style>
  <w:style w:type="paragraph" w:styleId="Heading1">
    <w:name w:val="heading 1"/>
    <w:basedOn w:val="Normal"/>
    <w:next w:val="Normal"/>
    <w:link w:val="Heading1Char"/>
    <w:uiPriority w:val="1"/>
    <w:qFormat/>
    <w:rsid w:val="00546A48"/>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50547C"/>
    <w:pPr>
      <w:keepNext/>
      <w:keepLines/>
      <w:spacing w:before="240" w:after="180"/>
      <w:outlineLvl w:val="1"/>
    </w:pPr>
    <w:rPr>
      <w:rFonts w:eastAsiaTheme="majorEastAsia" w:cs="Calibri"/>
      <w:b/>
      <w:bCs/>
      <w:sz w:val="28"/>
      <w:szCs w:val="28"/>
    </w:rPr>
  </w:style>
  <w:style w:type="paragraph" w:styleId="Heading3">
    <w:name w:val="heading 3"/>
    <w:basedOn w:val="Normal"/>
    <w:next w:val="Normal"/>
    <w:link w:val="Heading3Char"/>
    <w:uiPriority w:val="1"/>
    <w:qFormat/>
    <w:rsid w:val="000E31C7"/>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1"/>
    <w:qFormat/>
    <w:rsid w:val="007227EA"/>
    <w:pPr>
      <w:keepNext/>
      <w:keepLines/>
      <w:spacing w:after="120"/>
      <w:outlineLvl w:val="3"/>
    </w:pPr>
    <w:rPr>
      <w:rFonts w:eastAsiaTheme="majorEastAsia" w:cstheme="majorBidi"/>
      <w:bCs/>
      <w:i/>
      <w:iCs/>
    </w:rPr>
  </w:style>
  <w:style w:type="paragraph" w:styleId="Heading5">
    <w:name w:val="heading 5"/>
    <w:basedOn w:val="Normal"/>
    <w:next w:val="Normal"/>
    <w:link w:val="Heading5Char"/>
    <w:uiPriority w:val="2"/>
    <w:qFormat/>
    <w:rsid w:val="00E246CB"/>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28B5"/>
    <w:rPr>
      <w:rFonts w:eastAsiaTheme="majorEastAsia" w:cstheme="majorBidi"/>
      <w:b/>
      <w:bCs/>
      <w:sz w:val="36"/>
      <w:szCs w:val="28"/>
    </w:rPr>
  </w:style>
  <w:style w:type="character" w:customStyle="1" w:styleId="Heading2Char">
    <w:name w:val="Heading 2 Char"/>
    <w:basedOn w:val="DefaultParagraphFont"/>
    <w:link w:val="Heading2"/>
    <w:uiPriority w:val="1"/>
    <w:rsid w:val="000028B5"/>
    <w:rPr>
      <w:rFonts w:eastAsiaTheme="majorEastAsia" w:cs="Calibri"/>
      <w:b/>
      <w:bCs/>
      <w:sz w:val="28"/>
      <w:szCs w:val="28"/>
    </w:rPr>
  </w:style>
  <w:style w:type="paragraph" w:styleId="BalloonText">
    <w:name w:val="Balloon Text"/>
    <w:basedOn w:val="Normal"/>
    <w:link w:val="BalloonTextChar"/>
    <w:uiPriority w:val="99"/>
    <w:semiHidden/>
    <w:unhideWhenUsed/>
    <w:rsid w:val="00D40BD4"/>
    <w:rPr>
      <w:rFonts w:ascii="Tahoma" w:hAnsi="Tahoma" w:cs="Tahoma"/>
      <w:sz w:val="16"/>
      <w:szCs w:val="16"/>
    </w:rPr>
  </w:style>
  <w:style w:type="character" w:customStyle="1" w:styleId="BalloonTextChar">
    <w:name w:val="Balloon Text Char"/>
    <w:basedOn w:val="DefaultParagraphFont"/>
    <w:link w:val="BalloonText"/>
    <w:uiPriority w:val="99"/>
    <w:semiHidden/>
    <w:rsid w:val="00D40BD4"/>
    <w:rPr>
      <w:rFonts w:ascii="Tahoma" w:hAnsi="Tahoma" w:cs="Tahoma"/>
      <w:sz w:val="16"/>
      <w:szCs w:val="16"/>
    </w:rPr>
  </w:style>
  <w:style w:type="paragraph" w:styleId="Title">
    <w:name w:val="Title"/>
    <w:basedOn w:val="Normal"/>
    <w:next w:val="Normal"/>
    <w:link w:val="TitleChar"/>
    <w:uiPriority w:val="2"/>
    <w:qFormat/>
    <w:rsid w:val="000E31C7"/>
    <w:pPr>
      <w:spacing w:before="240" w:after="120"/>
      <w:jc w:val="right"/>
    </w:pPr>
    <w:rPr>
      <w:rFonts w:eastAsiaTheme="majorEastAsia" w:cs="Calibri"/>
      <w:b/>
      <w:spacing w:val="5"/>
      <w:kern w:val="28"/>
      <w:sz w:val="56"/>
      <w:szCs w:val="60"/>
    </w:rPr>
  </w:style>
  <w:style w:type="character" w:customStyle="1" w:styleId="TitleChar">
    <w:name w:val="Title Char"/>
    <w:basedOn w:val="DefaultParagraphFont"/>
    <w:link w:val="Title"/>
    <w:uiPriority w:val="2"/>
    <w:rsid w:val="000E31C7"/>
    <w:rPr>
      <w:rFonts w:eastAsiaTheme="majorEastAsia" w:cs="Calibri"/>
      <w:b/>
      <w:spacing w:val="5"/>
      <w:kern w:val="28"/>
      <w:sz w:val="56"/>
      <w:szCs w:val="60"/>
    </w:rPr>
  </w:style>
  <w:style w:type="paragraph" w:styleId="Subtitle">
    <w:name w:val="Subtitle"/>
    <w:basedOn w:val="Normal"/>
    <w:next w:val="Normal"/>
    <w:link w:val="SubtitleChar"/>
    <w:uiPriority w:val="3"/>
    <w:qFormat/>
    <w:rsid w:val="0050547C"/>
    <w:pPr>
      <w:numPr>
        <w:ilvl w:val="1"/>
      </w:numPr>
      <w:spacing w:before="120"/>
      <w:jc w:val="right"/>
    </w:pPr>
    <w:rPr>
      <w:rFonts w:eastAsiaTheme="majorEastAsia" w:cs="Calibri"/>
      <w:b/>
      <w:iCs/>
      <w:color w:val="000000" w:themeColor="text1"/>
      <w:spacing w:val="15"/>
      <w:sz w:val="36"/>
      <w:szCs w:val="36"/>
    </w:rPr>
  </w:style>
  <w:style w:type="character" w:customStyle="1" w:styleId="SubtitleChar">
    <w:name w:val="Subtitle Char"/>
    <w:basedOn w:val="DefaultParagraphFont"/>
    <w:link w:val="Subtitle"/>
    <w:uiPriority w:val="3"/>
    <w:rsid w:val="00E246CB"/>
    <w:rPr>
      <w:rFonts w:eastAsiaTheme="majorEastAsia" w:cs="Calibri"/>
      <w:b/>
      <w:iCs/>
      <w:color w:val="000000" w:themeColor="text1"/>
      <w:spacing w:val="15"/>
      <w:sz w:val="36"/>
      <w:szCs w:val="36"/>
    </w:rPr>
  </w:style>
  <w:style w:type="paragraph" w:styleId="Header">
    <w:name w:val="header"/>
    <w:basedOn w:val="Normal"/>
    <w:link w:val="HeaderChar"/>
    <w:uiPriority w:val="99"/>
    <w:unhideWhenUsed/>
    <w:rsid w:val="00E91BCC"/>
    <w:pPr>
      <w:pBdr>
        <w:bottom w:val="single" w:sz="4" w:space="1" w:color="A6A6A6" w:themeColor="background1" w:themeShade="A6"/>
      </w:pBdr>
      <w:tabs>
        <w:tab w:val="center" w:pos="4513"/>
        <w:tab w:val="right" w:pos="9026"/>
      </w:tabs>
      <w:spacing w:after="0"/>
      <w:jc w:val="right"/>
    </w:pPr>
    <w:rPr>
      <w:sz w:val="22"/>
      <w:szCs w:val="22"/>
    </w:rPr>
  </w:style>
  <w:style w:type="character" w:customStyle="1" w:styleId="HeaderChar">
    <w:name w:val="Header Char"/>
    <w:basedOn w:val="DefaultParagraphFont"/>
    <w:link w:val="Header"/>
    <w:uiPriority w:val="99"/>
    <w:rsid w:val="00E91BCC"/>
    <w:rPr>
      <w:sz w:val="22"/>
      <w:szCs w:val="22"/>
    </w:rPr>
  </w:style>
  <w:style w:type="paragraph" w:styleId="Footer">
    <w:name w:val="footer"/>
    <w:aliases w:val="OPC Footer"/>
    <w:basedOn w:val="Normal"/>
    <w:link w:val="FooterChar"/>
    <w:uiPriority w:val="99"/>
    <w:unhideWhenUsed/>
    <w:rsid w:val="001E4C39"/>
    <w:pPr>
      <w:tabs>
        <w:tab w:val="center" w:pos="4513"/>
        <w:tab w:val="right" w:pos="9026"/>
      </w:tabs>
      <w:spacing w:after="0"/>
    </w:pPr>
    <w:rPr>
      <w:b/>
      <w:color w:val="7F7F7F" w:themeColor="text1" w:themeTint="80"/>
      <w:szCs w:val="22"/>
    </w:rPr>
  </w:style>
  <w:style w:type="character" w:customStyle="1" w:styleId="FooterChar">
    <w:name w:val="Footer Char"/>
    <w:aliases w:val="OPC Footer Char"/>
    <w:basedOn w:val="DefaultParagraphFont"/>
    <w:link w:val="Footer"/>
    <w:uiPriority w:val="99"/>
    <w:rsid w:val="001E4C39"/>
    <w:rPr>
      <w:b/>
      <w:color w:val="7F7F7F" w:themeColor="text1" w:themeTint="80"/>
      <w:sz w:val="22"/>
      <w:szCs w:val="22"/>
    </w:rPr>
  </w:style>
  <w:style w:type="character" w:customStyle="1" w:styleId="Heading3Char">
    <w:name w:val="Heading 3 Char"/>
    <w:basedOn w:val="DefaultParagraphFont"/>
    <w:link w:val="Heading3"/>
    <w:uiPriority w:val="1"/>
    <w:rsid w:val="000E31C7"/>
    <w:rPr>
      <w:rFonts w:eastAsiaTheme="majorEastAsia" w:cstheme="majorBidi"/>
      <w:b/>
      <w:bCs/>
      <w:i/>
      <w:sz w:val="24"/>
    </w:rPr>
  </w:style>
  <w:style w:type="character" w:customStyle="1" w:styleId="Heading4Char">
    <w:name w:val="Heading 4 Char"/>
    <w:basedOn w:val="DefaultParagraphFont"/>
    <w:link w:val="Heading4"/>
    <w:uiPriority w:val="1"/>
    <w:rsid w:val="00FE3189"/>
    <w:rPr>
      <w:rFonts w:eastAsiaTheme="majorEastAsia" w:cstheme="majorBidi"/>
      <w:bCs/>
      <w:i/>
      <w:iCs/>
      <w:sz w:val="24"/>
    </w:rPr>
  </w:style>
  <w:style w:type="paragraph" w:styleId="Quote">
    <w:name w:val="Quote"/>
    <w:basedOn w:val="Normal"/>
    <w:next w:val="Normal"/>
    <w:link w:val="QuoteChar"/>
    <w:uiPriority w:val="1"/>
    <w:qFormat/>
    <w:rsid w:val="000028B5"/>
    <w:pPr>
      <w:ind w:left="709"/>
    </w:pPr>
    <w:rPr>
      <w:sz w:val="22"/>
    </w:rPr>
  </w:style>
  <w:style w:type="character" w:customStyle="1" w:styleId="QuoteChar">
    <w:name w:val="Quote Char"/>
    <w:basedOn w:val="DefaultParagraphFont"/>
    <w:link w:val="Quote"/>
    <w:uiPriority w:val="1"/>
    <w:rsid w:val="000028B5"/>
    <w:rPr>
      <w:sz w:val="22"/>
    </w:rPr>
  </w:style>
  <w:style w:type="paragraph" w:styleId="ListParagraph">
    <w:name w:val="List Paragraph"/>
    <w:basedOn w:val="Normal"/>
    <w:uiPriority w:val="34"/>
    <w:qFormat/>
    <w:rsid w:val="009702CD"/>
    <w:pPr>
      <w:numPr>
        <w:numId w:val="1"/>
      </w:numPr>
      <w:tabs>
        <w:tab w:val="num" w:pos="720"/>
      </w:tabs>
      <w:spacing w:before="120" w:after="120"/>
      <w:ind w:hanging="578"/>
    </w:pPr>
  </w:style>
  <w:style w:type="paragraph" w:styleId="NormalWeb">
    <w:name w:val="Normal (Web)"/>
    <w:basedOn w:val="Normal"/>
    <w:uiPriority w:val="99"/>
    <w:semiHidden/>
    <w:unhideWhenUsed/>
    <w:rsid w:val="009702CD"/>
    <w:pPr>
      <w:spacing w:before="100" w:beforeAutospacing="1" w:after="100" w:afterAutospacing="1"/>
    </w:pPr>
    <w:rPr>
      <w:rFonts w:ascii="Times New Roman" w:eastAsia="Times New Roman" w:hAnsi="Times New Roman"/>
      <w:szCs w:val="24"/>
      <w:lang w:eastAsia="en-AU"/>
    </w:rPr>
  </w:style>
  <w:style w:type="character" w:styleId="Strong">
    <w:name w:val="Strong"/>
    <w:basedOn w:val="DefaultParagraphFont"/>
    <w:uiPriority w:val="22"/>
    <w:unhideWhenUsed/>
    <w:qFormat/>
    <w:rsid w:val="009702CD"/>
    <w:rPr>
      <w:b/>
      <w:bCs/>
    </w:rPr>
  </w:style>
  <w:style w:type="character" w:styleId="Hyperlink">
    <w:name w:val="Hyperlink"/>
    <w:basedOn w:val="DefaultParagraphFont"/>
    <w:unhideWhenUsed/>
    <w:rsid w:val="009702CD"/>
    <w:rPr>
      <w:color w:val="0000FF"/>
      <w:u w:val="single"/>
    </w:rPr>
  </w:style>
  <w:style w:type="paragraph" w:styleId="FootnoteText">
    <w:name w:val="footnote text"/>
    <w:basedOn w:val="Normal"/>
    <w:link w:val="FootnoteTextChar"/>
    <w:rsid w:val="00035604"/>
    <w:pPr>
      <w:tabs>
        <w:tab w:val="left" w:pos="357"/>
      </w:tabs>
      <w:spacing w:after="0"/>
      <w:ind w:left="357" w:hanging="357"/>
    </w:pPr>
    <w:rPr>
      <w:sz w:val="20"/>
    </w:rPr>
  </w:style>
  <w:style w:type="character" w:customStyle="1" w:styleId="FootnoteTextChar">
    <w:name w:val="Footnote Text Char"/>
    <w:basedOn w:val="DefaultParagraphFont"/>
    <w:link w:val="FootnoteText"/>
    <w:uiPriority w:val="99"/>
    <w:rsid w:val="00035604"/>
  </w:style>
  <w:style w:type="character" w:styleId="FootnoteReference">
    <w:name w:val="footnote reference"/>
    <w:aliases w:val="opcalrc"/>
    <w:basedOn w:val="DefaultParagraphFont"/>
    <w:unhideWhenUsed/>
    <w:rsid w:val="00035604"/>
    <w:rPr>
      <w:vertAlign w:val="superscript"/>
    </w:rPr>
  </w:style>
  <w:style w:type="paragraph" w:customStyle="1" w:styleId="Instructiontext">
    <w:name w:val="Instruction text"/>
    <w:basedOn w:val="Normal"/>
    <w:next w:val="Normal"/>
    <w:uiPriority w:val="4"/>
    <w:qFormat/>
    <w:rsid w:val="00546A48"/>
    <w:pPr>
      <w:spacing w:after="180"/>
    </w:pPr>
    <w:rPr>
      <w:i/>
      <w:color w:val="0070C0"/>
    </w:rPr>
  </w:style>
  <w:style w:type="character" w:customStyle="1" w:styleId="Heading5Char">
    <w:name w:val="Heading 5 Char"/>
    <w:basedOn w:val="DefaultParagraphFont"/>
    <w:link w:val="Heading5"/>
    <w:uiPriority w:val="2"/>
    <w:rsid w:val="00E246CB"/>
    <w:rPr>
      <w:rFonts w:eastAsiaTheme="majorEastAsia" w:cstheme="majorBidi"/>
      <w:b/>
      <w:sz w:val="22"/>
    </w:rPr>
  </w:style>
  <w:style w:type="paragraph" w:styleId="TOC1">
    <w:name w:val="toc 1"/>
    <w:basedOn w:val="Normal"/>
    <w:next w:val="Normal"/>
    <w:autoRedefine/>
    <w:uiPriority w:val="39"/>
    <w:unhideWhenUsed/>
    <w:rsid w:val="00861D9C"/>
    <w:pPr>
      <w:spacing w:before="120" w:after="120"/>
    </w:pPr>
    <w:rPr>
      <w:b/>
      <w:sz w:val="26"/>
    </w:rPr>
  </w:style>
  <w:style w:type="paragraph" w:styleId="TOC2">
    <w:name w:val="toc 2"/>
    <w:basedOn w:val="Normal"/>
    <w:next w:val="Normal"/>
    <w:autoRedefine/>
    <w:uiPriority w:val="39"/>
    <w:unhideWhenUsed/>
    <w:rsid w:val="00426C2B"/>
    <w:pPr>
      <w:tabs>
        <w:tab w:val="right" w:leader="dot" w:pos="8756"/>
      </w:tabs>
      <w:spacing w:after="120"/>
    </w:pPr>
  </w:style>
  <w:style w:type="paragraph" w:styleId="TOC3">
    <w:name w:val="toc 3"/>
    <w:basedOn w:val="Normal"/>
    <w:next w:val="Normal"/>
    <w:autoRedefine/>
    <w:unhideWhenUsed/>
    <w:rsid w:val="00426C2B"/>
    <w:pPr>
      <w:tabs>
        <w:tab w:val="right" w:leader="dot" w:pos="8756"/>
      </w:tabs>
      <w:spacing w:after="60"/>
      <w:ind w:left="170"/>
    </w:pPr>
  </w:style>
  <w:style w:type="table" w:styleId="TableGrid">
    <w:name w:val="Table Grid"/>
    <w:basedOn w:val="TableNormal"/>
    <w:uiPriority w:val="59"/>
    <w:rsid w:val="006D704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Clevel3">
    <w:name w:val="OPC level 3"/>
    <w:basedOn w:val="Heading4"/>
    <w:autoRedefine/>
    <w:rsid w:val="006D704D"/>
    <w:pPr>
      <w:spacing w:before="240"/>
    </w:pPr>
    <w:rPr>
      <w:rFonts w:ascii="Century Gothic" w:eastAsia="Times New Roman" w:hAnsi="Century Gothic" w:cs="Times New Roman"/>
      <w:b/>
      <w:i w:val="0"/>
      <w:iCs w:val="0"/>
      <w:sz w:val="28"/>
      <w:szCs w:val="24"/>
      <w:lang w:val="en-GB" w:eastAsia="en-AU"/>
    </w:rPr>
  </w:style>
  <w:style w:type="paragraph" w:customStyle="1" w:styleId="OPCbody">
    <w:name w:val="OPC body"/>
    <w:rsid w:val="006D704D"/>
    <w:pPr>
      <w:spacing w:before="120" w:after="120"/>
    </w:pPr>
    <w:rPr>
      <w:rFonts w:ascii="Arial" w:eastAsia="Times New Roman" w:hAnsi="Arial"/>
      <w:sz w:val="24"/>
      <w:szCs w:val="24"/>
      <w:lang w:eastAsia="en-AU"/>
    </w:rPr>
  </w:style>
  <w:style w:type="paragraph" w:customStyle="1" w:styleId="OPClevel2">
    <w:name w:val="OPC level 2"/>
    <w:basedOn w:val="Heading3"/>
    <w:autoRedefine/>
    <w:pPr>
      <w:pBdr>
        <w:bottom w:val="single" w:sz="4" w:space="1" w:color="auto"/>
      </w:pBdr>
      <w:ind w:right="3"/>
      <w:jc w:val="center"/>
    </w:pPr>
    <w:rPr>
      <w:rFonts w:ascii="Century Gothic" w:eastAsia="Times New Roman" w:hAnsi="Century Gothic" w:cs="Arial"/>
      <w:i w:val="0"/>
      <w:sz w:val="32"/>
      <w:szCs w:val="32"/>
      <w:lang w:val="en-GB" w:eastAsia="en-AU"/>
    </w:rPr>
  </w:style>
  <w:style w:type="character" w:styleId="PageNumber">
    <w:name w:val="page number"/>
    <w:basedOn w:val="DefaultParagraphFont"/>
  </w:style>
  <w:style w:type="paragraph" w:customStyle="1" w:styleId="OPClevel4">
    <w:name w:val="OPC level 4"/>
    <w:next w:val="OPCbody"/>
    <w:autoRedefine/>
    <w:pPr>
      <w:keepNext/>
      <w:keepLines/>
      <w:spacing w:before="240" w:after="120"/>
    </w:pPr>
    <w:rPr>
      <w:rFonts w:ascii="Century Gothic" w:eastAsia="Times New Roman" w:hAnsi="Century Gothic"/>
      <w:sz w:val="26"/>
      <w:szCs w:val="24"/>
      <w:lang w:eastAsia="en-AU"/>
    </w:rPr>
  </w:style>
  <w:style w:type="character" w:customStyle="1" w:styleId="OFPCTitle">
    <w:name w:val="OFPC Title"/>
    <w:rPr>
      <w:rFonts w:ascii="Arial" w:hAnsi="Arial"/>
      <w:b/>
      <w:sz w:val="30"/>
    </w:rPr>
  </w:style>
  <w:style w:type="character" w:styleId="FollowedHyperlink">
    <w:name w:val="FollowedHyperlink"/>
    <w:basedOn w:val="DefaultParagraphFont"/>
    <w:uiPriority w:val="99"/>
    <w:semiHidden/>
    <w:unhideWhenUsed/>
    <w:rsid w:val="00D849A9"/>
    <w:rPr>
      <w:color w:val="800080" w:themeColor="followedHyperlink"/>
      <w:u w:val="single"/>
    </w:rPr>
  </w:style>
  <w:style w:type="character" w:styleId="CommentReference">
    <w:name w:val="annotation reference"/>
    <w:basedOn w:val="DefaultParagraphFont"/>
    <w:uiPriority w:val="99"/>
    <w:semiHidden/>
    <w:unhideWhenUsed/>
    <w:rsid w:val="002B32BB"/>
    <w:rPr>
      <w:sz w:val="16"/>
      <w:szCs w:val="16"/>
    </w:rPr>
  </w:style>
  <w:style w:type="paragraph" w:styleId="CommentText">
    <w:name w:val="annotation text"/>
    <w:basedOn w:val="Normal"/>
    <w:link w:val="CommentTextChar"/>
    <w:uiPriority w:val="99"/>
    <w:semiHidden/>
    <w:unhideWhenUsed/>
    <w:rsid w:val="002B32BB"/>
    <w:rPr>
      <w:sz w:val="20"/>
    </w:rPr>
  </w:style>
  <w:style w:type="character" w:customStyle="1" w:styleId="CommentTextChar">
    <w:name w:val="Comment Text Char"/>
    <w:basedOn w:val="DefaultParagraphFont"/>
    <w:link w:val="CommentText"/>
    <w:uiPriority w:val="99"/>
    <w:semiHidden/>
    <w:rsid w:val="002B32BB"/>
  </w:style>
  <w:style w:type="paragraph" w:styleId="CommentSubject">
    <w:name w:val="annotation subject"/>
    <w:basedOn w:val="CommentText"/>
    <w:next w:val="CommentText"/>
    <w:link w:val="CommentSubjectChar"/>
    <w:uiPriority w:val="99"/>
    <w:semiHidden/>
    <w:unhideWhenUsed/>
    <w:rsid w:val="002B32BB"/>
    <w:rPr>
      <w:b/>
      <w:bCs/>
    </w:rPr>
  </w:style>
  <w:style w:type="character" w:customStyle="1" w:styleId="CommentSubjectChar">
    <w:name w:val="Comment Subject Char"/>
    <w:basedOn w:val="CommentTextChar"/>
    <w:link w:val="CommentSubject"/>
    <w:uiPriority w:val="99"/>
    <w:semiHidden/>
    <w:rsid w:val="002B32BB"/>
    <w:rPr>
      <w:b/>
      <w:bCs/>
    </w:rPr>
  </w:style>
  <w:style w:type="paragraph" w:styleId="Revision">
    <w:name w:val="Revision"/>
    <w:hidden/>
    <w:uiPriority w:val="99"/>
    <w:semiHidden/>
    <w:rsid w:val="002B32BB"/>
    <w:rPr>
      <w:sz w:val="24"/>
    </w:rPr>
  </w:style>
  <w:style w:type="character" w:styleId="Emphasis">
    <w:name w:val="Emphasis"/>
    <w:basedOn w:val="DefaultParagraphFont"/>
    <w:uiPriority w:val="20"/>
    <w:qFormat/>
    <w:rsid w:val="00F914C3"/>
    <w:rPr>
      <w:i/>
      <w:iCs/>
    </w:rPr>
  </w:style>
  <w:style w:type="paragraph" w:customStyle="1" w:styleId="OPCbulletpoint">
    <w:name w:val="OPC bullet point"/>
    <w:basedOn w:val="Normal"/>
    <w:next w:val="OPCbody"/>
    <w:autoRedefine/>
    <w:pPr>
      <w:numPr>
        <w:numId w:val="20"/>
      </w:numPr>
      <w:spacing w:after="0"/>
    </w:pPr>
    <w:rPr>
      <w:rFonts w:ascii="Arial" w:eastAsia="Times New Roman" w:hAnsi="Arial"/>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246CB"/>
    <w:pPr>
      <w:spacing w:after="240"/>
    </w:pPr>
    <w:rPr>
      <w:sz w:val="24"/>
    </w:rPr>
  </w:style>
  <w:style w:type="paragraph" w:styleId="Heading1">
    <w:name w:val="heading 1"/>
    <w:basedOn w:val="Normal"/>
    <w:next w:val="Normal"/>
    <w:link w:val="Heading1Char"/>
    <w:uiPriority w:val="1"/>
    <w:qFormat/>
    <w:rsid w:val="00546A48"/>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50547C"/>
    <w:pPr>
      <w:keepNext/>
      <w:keepLines/>
      <w:spacing w:before="240" w:after="180"/>
      <w:outlineLvl w:val="1"/>
    </w:pPr>
    <w:rPr>
      <w:rFonts w:eastAsiaTheme="majorEastAsia" w:cs="Calibri"/>
      <w:b/>
      <w:bCs/>
      <w:sz w:val="28"/>
      <w:szCs w:val="28"/>
    </w:rPr>
  </w:style>
  <w:style w:type="paragraph" w:styleId="Heading3">
    <w:name w:val="heading 3"/>
    <w:basedOn w:val="Normal"/>
    <w:next w:val="Normal"/>
    <w:link w:val="Heading3Char"/>
    <w:uiPriority w:val="1"/>
    <w:qFormat/>
    <w:rsid w:val="000E31C7"/>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1"/>
    <w:qFormat/>
    <w:rsid w:val="007227EA"/>
    <w:pPr>
      <w:keepNext/>
      <w:keepLines/>
      <w:spacing w:after="120"/>
      <w:outlineLvl w:val="3"/>
    </w:pPr>
    <w:rPr>
      <w:rFonts w:eastAsiaTheme="majorEastAsia" w:cstheme="majorBidi"/>
      <w:bCs/>
      <w:i/>
      <w:iCs/>
    </w:rPr>
  </w:style>
  <w:style w:type="paragraph" w:styleId="Heading5">
    <w:name w:val="heading 5"/>
    <w:basedOn w:val="Normal"/>
    <w:next w:val="Normal"/>
    <w:link w:val="Heading5Char"/>
    <w:uiPriority w:val="2"/>
    <w:qFormat/>
    <w:rsid w:val="00E246CB"/>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28B5"/>
    <w:rPr>
      <w:rFonts w:eastAsiaTheme="majorEastAsia" w:cstheme="majorBidi"/>
      <w:b/>
      <w:bCs/>
      <w:sz w:val="36"/>
      <w:szCs w:val="28"/>
    </w:rPr>
  </w:style>
  <w:style w:type="character" w:customStyle="1" w:styleId="Heading2Char">
    <w:name w:val="Heading 2 Char"/>
    <w:basedOn w:val="DefaultParagraphFont"/>
    <w:link w:val="Heading2"/>
    <w:uiPriority w:val="1"/>
    <w:rsid w:val="000028B5"/>
    <w:rPr>
      <w:rFonts w:eastAsiaTheme="majorEastAsia" w:cs="Calibri"/>
      <w:b/>
      <w:bCs/>
      <w:sz w:val="28"/>
      <w:szCs w:val="28"/>
    </w:rPr>
  </w:style>
  <w:style w:type="paragraph" w:styleId="BalloonText">
    <w:name w:val="Balloon Text"/>
    <w:basedOn w:val="Normal"/>
    <w:link w:val="BalloonTextChar"/>
    <w:uiPriority w:val="99"/>
    <w:semiHidden/>
    <w:unhideWhenUsed/>
    <w:rsid w:val="00D40BD4"/>
    <w:rPr>
      <w:rFonts w:ascii="Tahoma" w:hAnsi="Tahoma" w:cs="Tahoma"/>
      <w:sz w:val="16"/>
      <w:szCs w:val="16"/>
    </w:rPr>
  </w:style>
  <w:style w:type="character" w:customStyle="1" w:styleId="BalloonTextChar">
    <w:name w:val="Balloon Text Char"/>
    <w:basedOn w:val="DefaultParagraphFont"/>
    <w:link w:val="BalloonText"/>
    <w:uiPriority w:val="99"/>
    <w:semiHidden/>
    <w:rsid w:val="00D40BD4"/>
    <w:rPr>
      <w:rFonts w:ascii="Tahoma" w:hAnsi="Tahoma" w:cs="Tahoma"/>
      <w:sz w:val="16"/>
      <w:szCs w:val="16"/>
    </w:rPr>
  </w:style>
  <w:style w:type="paragraph" w:styleId="Title">
    <w:name w:val="Title"/>
    <w:basedOn w:val="Normal"/>
    <w:next w:val="Normal"/>
    <w:link w:val="TitleChar"/>
    <w:uiPriority w:val="2"/>
    <w:qFormat/>
    <w:rsid w:val="000E31C7"/>
    <w:pPr>
      <w:spacing w:before="240" w:after="120"/>
      <w:jc w:val="right"/>
    </w:pPr>
    <w:rPr>
      <w:rFonts w:eastAsiaTheme="majorEastAsia" w:cs="Calibri"/>
      <w:b/>
      <w:spacing w:val="5"/>
      <w:kern w:val="28"/>
      <w:sz w:val="56"/>
      <w:szCs w:val="60"/>
    </w:rPr>
  </w:style>
  <w:style w:type="character" w:customStyle="1" w:styleId="TitleChar">
    <w:name w:val="Title Char"/>
    <w:basedOn w:val="DefaultParagraphFont"/>
    <w:link w:val="Title"/>
    <w:uiPriority w:val="2"/>
    <w:rsid w:val="000E31C7"/>
    <w:rPr>
      <w:rFonts w:eastAsiaTheme="majorEastAsia" w:cs="Calibri"/>
      <w:b/>
      <w:spacing w:val="5"/>
      <w:kern w:val="28"/>
      <w:sz w:val="56"/>
      <w:szCs w:val="60"/>
    </w:rPr>
  </w:style>
  <w:style w:type="paragraph" w:styleId="Subtitle">
    <w:name w:val="Subtitle"/>
    <w:basedOn w:val="Normal"/>
    <w:next w:val="Normal"/>
    <w:link w:val="SubtitleChar"/>
    <w:uiPriority w:val="3"/>
    <w:qFormat/>
    <w:rsid w:val="0050547C"/>
    <w:pPr>
      <w:numPr>
        <w:ilvl w:val="1"/>
      </w:numPr>
      <w:spacing w:before="120"/>
      <w:jc w:val="right"/>
    </w:pPr>
    <w:rPr>
      <w:rFonts w:eastAsiaTheme="majorEastAsia" w:cs="Calibri"/>
      <w:b/>
      <w:iCs/>
      <w:color w:val="000000" w:themeColor="text1"/>
      <w:spacing w:val="15"/>
      <w:sz w:val="36"/>
      <w:szCs w:val="36"/>
    </w:rPr>
  </w:style>
  <w:style w:type="character" w:customStyle="1" w:styleId="SubtitleChar">
    <w:name w:val="Subtitle Char"/>
    <w:basedOn w:val="DefaultParagraphFont"/>
    <w:link w:val="Subtitle"/>
    <w:uiPriority w:val="3"/>
    <w:rsid w:val="00E246CB"/>
    <w:rPr>
      <w:rFonts w:eastAsiaTheme="majorEastAsia" w:cs="Calibri"/>
      <w:b/>
      <w:iCs/>
      <w:color w:val="000000" w:themeColor="text1"/>
      <w:spacing w:val="15"/>
      <w:sz w:val="36"/>
      <w:szCs w:val="36"/>
    </w:rPr>
  </w:style>
  <w:style w:type="paragraph" w:styleId="Header">
    <w:name w:val="header"/>
    <w:basedOn w:val="Normal"/>
    <w:link w:val="HeaderChar"/>
    <w:uiPriority w:val="99"/>
    <w:unhideWhenUsed/>
    <w:rsid w:val="00E91BCC"/>
    <w:pPr>
      <w:pBdr>
        <w:bottom w:val="single" w:sz="4" w:space="1" w:color="A6A6A6" w:themeColor="background1" w:themeShade="A6"/>
      </w:pBdr>
      <w:tabs>
        <w:tab w:val="center" w:pos="4513"/>
        <w:tab w:val="right" w:pos="9026"/>
      </w:tabs>
      <w:spacing w:after="0"/>
      <w:jc w:val="right"/>
    </w:pPr>
    <w:rPr>
      <w:sz w:val="22"/>
      <w:szCs w:val="22"/>
    </w:rPr>
  </w:style>
  <w:style w:type="character" w:customStyle="1" w:styleId="HeaderChar">
    <w:name w:val="Header Char"/>
    <w:basedOn w:val="DefaultParagraphFont"/>
    <w:link w:val="Header"/>
    <w:uiPriority w:val="99"/>
    <w:rsid w:val="00E91BCC"/>
    <w:rPr>
      <w:sz w:val="22"/>
      <w:szCs w:val="22"/>
    </w:rPr>
  </w:style>
  <w:style w:type="paragraph" w:styleId="Footer">
    <w:name w:val="footer"/>
    <w:aliases w:val="OPC Footer"/>
    <w:basedOn w:val="Normal"/>
    <w:link w:val="FooterChar"/>
    <w:uiPriority w:val="99"/>
    <w:unhideWhenUsed/>
    <w:rsid w:val="001E4C39"/>
    <w:pPr>
      <w:tabs>
        <w:tab w:val="center" w:pos="4513"/>
        <w:tab w:val="right" w:pos="9026"/>
      </w:tabs>
      <w:spacing w:after="0"/>
    </w:pPr>
    <w:rPr>
      <w:b/>
      <w:color w:val="7F7F7F" w:themeColor="text1" w:themeTint="80"/>
      <w:szCs w:val="22"/>
    </w:rPr>
  </w:style>
  <w:style w:type="character" w:customStyle="1" w:styleId="FooterChar">
    <w:name w:val="Footer Char"/>
    <w:aliases w:val="OPC Footer Char"/>
    <w:basedOn w:val="DefaultParagraphFont"/>
    <w:link w:val="Footer"/>
    <w:uiPriority w:val="99"/>
    <w:rsid w:val="001E4C39"/>
    <w:rPr>
      <w:b/>
      <w:color w:val="7F7F7F" w:themeColor="text1" w:themeTint="80"/>
      <w:sz w:val="22"/>
      <w:szCs w:val="22"/>
    </w:rPr>
  </w:style>
  <w:style w:type="character" w:customStyle="1" w:styleId="Heading3Char">
    <w:name w:val="Heading 3 Char"/>
    <w:basedOn w:val="DefaultParagraphFont"/>
    <w:link w:val="Heading3"/>
    <w:uiPriority w:val="1"/>
    <w:rsid w:val="000E31C7"/>
    <w:rPr>
      <w:rFonts w:eastAsiaTheme="majorEastAsia" w:cstheme="majorBidi"/>
      <w:b/>
      <w:bCs/>
      <w:i/>
      <w:sz w:val="24"/>
    </w:rPr>
  </w:style>
  <w:style w:type="character" w:customStyle="1" w:styleId="Heading4Char">
    <w:name w:val="Heading 4 Char"/>
    <w:basedOn w:val="DefaultParagraphFont"/>
    <w:link w:val="Heading4"/>
    <w:uiPriority w:val="1"/>
    <w:rsid w:val="00FE3189"/>
    <w:rPr>
      <w:rFonts w:eastAsiaTheme="majorEastAsia" w:cstheme="majorBidi"/>
      <w:bCs/>
      <w:i/>
      <w:iCs/>
      <w:sz w:val="24"/>
    </w:rPr>
  </w:style>
  <w:style w:type="paragraph" w:styleId="Quote">
    <w:name w:val="Quote"/>
    <w:basedOn w:val="Normal"/>
    <w:next w:val="Normal"/>
    <w:link w:val="QuoteChar"/>
    <w:uiPriority w:val="1"/>
    <w:qFormat/>
    <w:rsid w:val="000028B5"/>
    <w:pPr>
      <w:ind w:left="709"/>
    </w:pPr>
    <w:rPr>
      <w:sz w:val="22"/>
    </w:rPr>
  </w:style>
  <w:style w:type="character" w:customStyle="1" w:styleId="QuoteChar">
    <w:name w:val="Quote Char"/>
    <w:basedOn w:val="DefaultParagraphFont"/>
    <w:link w:val="Quote"/>
    <w:uiPriority w:val="1"/>
    <w:rsid w:val="000028B5"/>
    <w:rPr>
      <w:sz w:val="22"/>
    </w:rPr>
  </w:style>
  <w:style w:type="paragraph" w:styleId="ListParagraph">
    <w:name w:val="List Paragraph"/>
    <w:basedOn w:val="Normal"/>
    <w:uiPriority w:val="34"/>
    <w:qFormat/>
    <w:rsid w:val="009702CD"/>
    <w:pPr>
      <w:numPr>
        <w:numId w:val="1"/>
      </w:numPr>
      <w:tabs>
        <w:tab w:val="num" w:pos="720"/>
      </w:tabs>
      <w:spacing w:before="120" w:after="120"/>
      <w:ind w:hanging="578"/>
    </w:pPr>
  </w:style>
  <w:style w:type="paragraph" w:styleId="NormalWeb">
    <w:name w:val="Normal (Web)"/>
    <w:basedOn w:val="Normal"/>
    <w:uiPriority w:val="99"/>
    <w:semiHidden/>
    <w:unhideWhenUsed/>
    <w:rsid w:val="009702CD"/>
    <w:pPr>
      <w:spacing w:before="100" w:beforeAutospacing="1" w:after="100" w:afterAutospacing="1"/>
    </w:pPr>
    <w:rPr>
      <w:rFonts w:ascii="Times New Roman" w:eastAsia="Times New Roman" w:hAnsi="Times New Roman"/>
      <w:szCs w:val="24"/>
      <w:lang w:eastAsia="en-AU"/>
    </w:rPr>
  </w:style>
  <w:style w:type="character" w:styleId="Strong">
    <w:name w:val="Strong"/>
    <w:basedOn w:val="DefaultParagraphFont"/>
    <w:uiPriority w:val="22"/>
    <w:unhideWhenUsed/>
    <w:qFormat/>
    <w:rsid w:val="009702CD"/>
    <w:rPr>
      <w:b/>
      <w:bCs/>
    </w:rPr>
  </w:style>
  <w:style w:type="character" w:styleId="Hyperlink">
    <w:name w:val="Hyperlink"/>
    <w:basedOn w:val="DefaultParagraphFont"/>
    <w:unhideWhenUsed/>
    <w:rsid w:val="009702CD"/>
    <w:rPr>
      <w:color w:val="0000FF"/>
      <w:u w:val="single"/>
    </w:rPr>
  </w:style>
  <w:style w:type="paragraph" w:styleId="FootnoteText">
    <w:name w:val="footnote text"/>
    <w:basedOn w:val="Normal"/>
    <w:link w:val="FootnoteTextChar"/>
    <w:rsid w:val="00035604"/>
    <w:pPr>
      <w:tabs>
        <w:tab w:val="left" w:pos="357"/>
      </w:tabs>
      <w:spacing w:after="0"/>
      <w:ind w:left="357" w:hanging="357"/>
    </w:pPr>
    <w:rPr>
      <w:sz w:val="20"/>
    </w:rPr>
  </w:style>
  <w:style w:type="character" w:customStyle="1" w:styleId="FootnoteTextChar">
    <w:name w:val="Footnote Text Char"/>
    <w:basedOn w:val="DefaultParagraphFont"/>
    <w:link w:val="FootnoteText"/>
    <w:uiPriority w:val="99"/>
    <w:rsid w:val="00035604"/>
  </w:style>
  <w:style w:type="character" w:styleId="FootnoteReference">
    <w:name w:val="footnote reference"/>
    <w:aliases w:val="opcalrc"/>
    <w:basedOn w:val="DefaultParagraphFont"/>
    <w:unhideWhenUsed/>
    <w:rsid w:val="00035604"/>
    <w:rPr>
      <w:vertAlign w:val="superscript"/>
    </w:rPr>
  </w:style>
  <w:style w:type="paragraph" w:customStyle="1" w:styleId="Instructiontext">
    <w:name w:val="Instruction text"/>
    <w:basedOn w:val="Normal"/>
    <w:next w:val="Normal"/>
    <w:uiPriority w:val="4"/>
    <w:qFormat/>
    <w:rsid w:val="00546A48"/>
    <w:pPr>
      <w:spacing w:after="180"/>
    </w:pPr>
    <w:rPr>
      <w:i/>
      <w:color w:val="0070C0"/>
    </w:rPr>
  </w:style>
  <w:style w:type="character" w:customStyle="1" w:styleId="Heading5Char">
    <w:name w:val="Heading 5 Char"/>
    <w:basedOn w:val="DefaultParagraphFont"/>
    <w:link w:val="Heading5"/>
    <w:uiPriority w:val="2"/>
    <w:rsid w:val="00E246CB"/>
    <w:rPr>
      <w:rFonts w:eastAsiaTheme="majorEastAsia" w:cstheme="majorBidi"/>
      <w:b/>
      <w:sz w:val="22"/>
    </w:rPr>
  </w:style>
  <w:style w:type="paragraph" w:styleId="TOC1">
    <w:name w:val="toc 1"/>
    <w:basedOn w:val="Normal"/>
    <w:next w:val="Normal"/>
    <w:autoRedefine/>
    <w:uiPriority w:val="39"/>
    <w:unhideWhenUsed/>
    <w:rsid w:val="00861D9C"/>
    <w:pPr>
      <w:spacing w:before="120" w:after="120"/>
    </w:pPr>
    <w:rPr>
      <w:b/>
      <w:sz w:val="26"/>
    </w:rPr>
  </w:style>
  <w:style w:type="paragraph" w:styleId="TOC2">
    <w:name w:val="toc 2"/>
    <w:basedOn w:val="Normal"/>
    <w:next w:val="Normal"/>
    <w:autoRedefine/>
    <w:uiPriority w:val="39"/>
    <w:unhideWhenUsed/>
    <w:rsid w:val="00426C2B"/>
    <w:pPr>
      <w:tabs>
        <w:tab w:val="right" w:leader="dot" w:pos="8756"/>
      </w:tabs>
      <w:spacing w:after="120"/>
    </w:pPr>
  </w:style>
  <w:style w:type="paragraph" w:styleId="TOC3">
    <w:name w:val="toc 3"/>
    <w:basedOn w:val="Normal"/>
    <w:next w:val="Normal"/>
    <w:autoRedefine/>
    <w:unhideWhenUsed/>
    <w:rsid w:val="00426C2B"/>
    <w:pPr>
      <w:tabs>
        <w:tab w:val="right" w:leader="dot" w:pos="8756"/>
      </w:tabs>
      <w:spacing w:after="60"/>
      <w:ind w:left="170"/>
    </w:pPr>
  </w:style>
  <w:style w:type="table" w:styleId="TableGrid">
    <w:name w:val="Table Grid"/>
    <w:basedOn w:val="TableNormal"/>
    <w:uiPriority w:val="59"/>
    <w:rsid w:val="006D704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Clevel3">
    <w:name w:val="OPC level 3"/>
    <w:basedOn w:val="Heading4"/>
    <w:autoRedefine/>
    <w:rsid w:val="006D704D"/>
    <w:pPr>
      <w:spacing w:before="240"/>
    </w:pPr>
    <w:rPr>
      <w:rFonts w:ascii="Century Gothic" w:eastAsia="Times New Roman" w:hAnsi="Century Gothic" w:cs="Times New Roman"/>
      <w:b/>
      <w:i w:val="0"/>
      <w:iCs w:val="0"/>
      <w:sz w:val="28"/>
      <w:szCs w:val="24"/>
      <w:lang w:val="en-GB" w:eastAsia="en-AU"/>
    </w:rPr>
  </w:style>
  <w:style w:type="paragraph" w:customStyle="1" w:styleId="OPCbody">
    <w:name w:val="OPC body"/>
    <w:rsid w:val="006D704D"/>
    <w:pPr>
      <w:spacing w:before="120" w:after="120"/>
    </w:pPr>
    <w:rPr>
      <w:rFonts w:ascii="Arial" w:eastAsia="Times New Roman" w:hAnsi="Arial"/>
      <w:sz w:val="24"/>
      <w:szCs w:val="24"/>
      <w:lang w:eastAsia="en-AU"/>
    </w:rPr>
  </w:style>
  <w:style w:type="paragraph" w:customStyle="1" w:styleId="OPClevel2">
    <w:name w:val="OPC level 2"/>
    <w:basedOn w:val="Heading3"/>
    <w:autoRedefine/>
    <w:pPr>
      <w:pBdr>
        <w:bottom w:val="single" w:sz="4" w:space="1" w:color="auto"/>
      </w:pBdr>
      <w:ind w:right="3"/>
      <w:jc w:val="center"/>
    </w:pPr>
    <w:rPr>
      <w:rFonts w:ascii="Century Gothic" w:eastAsia="Times New Roman" w:hAnsi="Century Gothic" w:cs="Arial"/>
      <w:i w:val="0"/>
      <w:sz w:val="32"/>
      <w:szCs w:val="32"/>
      <w:lang w:val="en-GB" w:eastAsia="en-AU"/>
    </w:rPr>
  </w:style>
  <w:style w:type="character" w:styleId="PageNumber">
    <w:name w:val="page number"/>
    <w:basedOn w:val="DefaultParagraphFont"/>
  </w:style>
  <w:style w:type="paragraph" w:customStyle="1" w:styleId="OPClevel4">
    <w:name w:val="OPC level 4"/>
    <w:next w:val="OPCbody"/>
    <w:autoRedefine/>
    <w:pPr>
      <w:keepNext/>
      <w:keepLines/>
      <w:spacing w:before="240" w:after="120"/>
    </w:pPr>
    <w:rPr>
      <w:rFonts w:ascii="Century Gothic" w:eastAsia="Times New Roman" w:hAnsi="Century Gothic"/>
      <w:sz w:val="26"/>
      <w:szCs w:val="24"/>
      <w:lang w:eastAsia="en-AU"/>
    </w:rPr>
  </w:style>
  <w:style w:type="character" w:customStyle="1" w:styleId="OFPCTitle">
    <w:name w:val="OFPC Title"/>
    <w:rPr>
      <w:rFonts w:ascii="Arial" w:hAnsi="Arial"/>
      <w:b/>
      <w:sz w:val="30"/>
    </w:rPr>
  </w:style>
  <w:style w:type="character" w:styleId="FollowedHyperlink">
    <w:name w:val="FollowedHyperlink"/>
    <w:basedOn w:val="DefaultParagraphFont"/>
    <w:uiPriority w:val="99"/>
    <w:semiHidden/>
    <w:unhideWhenUsed/>
    <w:rsid w:val="00D849A9"/>
    <w:rPr>
      <w:color w:val="800080" w:themeColor="followedHyperlink"/>
      <w:u w:val="single"/>
    </w:rPr>
  </w:style>
  <w:style w:type="character" w:styleId="CommentReference">
    <w:name w:val="annotation reference"/>
    <w:basedOn w:val="DefaultParagraphFont"/>
    <w:uiPriority w:val="99"/>
    <w:semiHidden/>
    <w:unhideWhenUsed/>
    <w:rsid w:val="002B32BB"/>
    <w:rPr>
      <w:sz w:val="16"/>
      <w:szCs w:val="16"/>
    </w:rPr>
  </w:style>
  <w:style w:type="paragraph" w:styleId="CommentText">
    <w:name w:val="annotation text"/>
    <w:basedOn w:val="Normal"/>
    <w:link w:val="CommentTextChar"/>
    <w:uiPriority w:val="99"/>
    <w:semiHidden/>
    <w:unhideWhenUsed/>
    <w:rsid w:val="002B32BB"/>
    <w:rPr>
      <w:sz w:val="20"/>
    </w:rPr>
  </w:style>
  <w:style w:type="character" w:customStyle="1" w:styleId="CommentTextChar">
    <w:name w:val="Comment Text Char"/>
    <w:basedOn w:val="DefaultParagraphFont"/>
    <w:link w:val="CommentText"/>
    <w:uiPriority w:val="99"/>
    <w:semiHidden/>
    <w:rsid w:val="002B32BB"/>
  </w:style>
  <w:style w:type="paragraph" w:styleId="CommentSubject">
    <w:name w:val="annotation subject"/>
    <w:basedOn w:val="CommentText"/>
    <w:next w:val="CommentText"/>
    <w:link w:val="CommentSubjectChar"/>
    <w:uiPriority w:val="99"/>
    <w:semiHidden/>
    <w:unhideWhenUsed/>
    <w:rsid w:val="002B32BB"/>
    <w:rPr>
      <w:b/>
      <w:bCs/>
    </w:rPr>
  </w:style>
  <w:style w:type="character" w:customStyle="1" w:styleId="CommentSubjectChar">
    <w:name w:val="Comment Subject Char"/>
    <w:basedOn w:val="CommentTextChar"/>
    <w:link w:val="CommentSubject"/>
    <w:uiPriority w:val="99"/>
    <w:semiHidden/>
    <w:rsid w:val="002B32BB"/>
    <w:rPr>
      <w:b/>
      <w:bCs/>
    </w:rPr>
  </w:style>
  <w:style w:type="paragraph" w:styleId="Revision">
    <w:name w:val="Revision"/>
    <w:hidden/>
    <w:uiPriority w:val="99"/>
    <w:semiHidden/>
    <w:rsid w:val="002B32BB"/>
    <w:rPr>
      <w:sz w:val="24"/>
    </w:rPr>
  </w:style>
  <w:style w:type="character" w:styleId="Emphasis">
    <w:name w:val="Emphasis"/>
    <w:basedOn w:val="DefaultParagraphFont"/>
    <w:uiPriority w:val="20"/>
    <w:qFormat/>
    <w:rsid w:val="00F914C3"/>
    <w:rPr>
      <w:i/>
      <w:iCs/>
    </w:rPr>
  </w:style>
  <w:style w:type="paragraph" w:customStyle="1" w:styleId="OPCbulletpoint">
    <w:name w:val="OPC bullet point"/>
    <w:basedOn w:val="Normal"/>
    <w:next w:val="OPCbody"/>
    <w:autoRedefine/>
    <w:pPr>
      <w:numPr>
        <w:numId w:val="20"/>
      </w:numPr>
      <w:spacing w:after="0"/>
    </w:pPr>
    <w:rPr>
      <w:rFonts w:ascii="Arial" w:eastAsia="Times New Roman" w:hAnsi="Arial"/>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88051">
      <w:bodyDiv w:val="1"/>
      <w:marLeft w:val="0"/>
      <w:marRight w:val="0"/>
      <w:marTop w:val="0"/>
      <w:marBottom w:val="0"/>
      <w:divBdr>
        <w:top w:val="none" w:sz="0" w:space="0" w:color="auto"/>
        <w:left w:val="none" w:sz="0" w:space="0" w:color="auto"/>
        <w:bottom w:val="none" w:sz="0" w:space="0" w:color="auto"/>
        <w:right w:val="none" w:sz="0" w:space="0" w:color="auto"/>
      </w:divBdr>
      <w:divsChild>
        <w:div w:id="611977345">
          <w:marLeft w:val="0"/>
          <w:marRight w:val="0"/>
          <w:marTop w:val="0"/>
          <w:marBottom w:val="0"/>
          <w:divBdr>
            <w:top w:val="none" w:sz="0" w:space="0" w:color="auto"/>
            <w:left w:val="none" w:sz="0" w:space="0" w:color="auto"/>
            <w:bottom w:val="none" w:sz="0" w:space="0" w:color="auto"/>
            <w:right w:val="none" w:sz="0" w:space="0" w:color="auto"/>
          </w:divBdr>
          <w:divsChild>
            <w:div w:id="1895657361">
              <w:marLeft w:val="0"/>
              <w:marRight w:val="0"/>
              <w:marTop w:val="0"/>
              <w:marBottom w:val="0"/>
              <w:divBdr>
                <w:top w:val="none" w:sz="0" w:space="0" w:color="auto"/>
                <w:left w:val="none" w:sz="0" w:space="0" w:color="auto"/>
                <w:bottom w:val="none" w:sz="0" w:space="0" w:color="auto"/>
                <w:right w:val="none" w:sz="0" w:space="0" w:color="auto"/>
              </w:divBdr>
              <w:divsChild>
                <w:div w:id="2018799403">
                  <w:marLeft w:val="0"/>
                  <w:marRight w:val="0"/>
                  <w:marTop w:val="0"/>
                  <w:marBottom w:val="0"/>
                  <w:divBdr>
                    <w:top w:val="none" w:sz="0" w:space="0" w:color="auto"/>
                    <w:left w:val="none" w:sz="0" w:space="0" w:color="auto"/>
                    <w:bottom w:val="none" w:sz="0" w:space="0" w:color="auto"/>
                    <w:right w:val="none" w:sz="0" w:space="0" w:color="auto"/>
                  </w:divBdr>
                  <w:divsChild>
                    <w:div w:id="1206403770">
                      <w:marLeft w:val="0"/>
                      <w:marRight w:val="0"/>
                      <w:marTop w:val="0"/>
                      <w:marBottom w:val="0"/>
                      <w:divBdr>
                        <w:top w:val="none" w:sz="0" w:space="0" w:color="auto"/>
                        <w:left w:val="none" w:sz="0" w:space="0" w:color="auto"/>
                        <w:bottom w:val="none" w:sz="0" w:space="0" w:color="auto"/>
                        <w:right w:val="none" w:sz="0" w:space="0" w:color="auto"/>
                      </w:divBdr>
                      <w:divsChild>
                        <w:div w:id="18016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142930">
      <w:bodyDiv w:val="1"/>
      <w:marLeft w:val="0"/>
      <w:marRight w:val="0"/>
      <w:marTop w:val="0"/>
      <w:marBottom w:val="0"/>
      <w:divBdr>
        <w:top w:val="none" w:sz="0" w:space="0" w:color="auto"/>
        <w:left w:val="none" w:sz="0" w:space="0" w:color="auto"/>
        <w:bottom w:val="none" w:sz="0" w:space="0" w:color="auto"/>
        <w:right w:val="none" w:sz="0" w:space="0" w:color="auto"/>
      </w:divBdr>
      <w:divsChild>
        <w:div w:id="1532382936">
          <w:marLeft w:val="0"/>
          <w:marRight w:val="0"/>
          <w:marTop w:val="0"/>
          <w:marBottom w:val="0"/>
          <w:divBdr>
            <w:top w:val="none" w:sz="0" w:space="0" w:color="auto"/>
            <w:left w:val="none" w:sz="0" w:space="0" w:color="auto"/>
            <w:bottom w:val="none" w:sz="0" w:space="0" w:color="auto"/>
            <w:right w:val="none" w:sz="0" w:space="0" w:color="auto"/>
          </w:divBdr>
          <w:divsChild>
            <w:div w:id="374743798">
              <w:marLeft w:val="0"/>
              <w:marRight w:val="0"/>
              <w:marTop w:val="0"/>
              <w:marBottom w:val="0"/>
              <w:divBdr>
                <w:top w:val="none" w:sz="0" w:space="0" w:color="auto"/>
                <w:left w:val="none" w:sz="0" w:space="0" w:color="auto"/>
                <w:bottom w:val="none" w:sz="0" w:space="0" w:color="auto"/>
                <w:right w:val="none" w:sz="0" w:space="0" w:color="auto"/>
              </w:divBdr>
              <w:divsChild>
                <w:div w:id="172185089">
                  <w:marLeft w:val="0"/>
                  <w:marRight w:val="0"/>
                  <w:marTop w:val="0"/>
                  <w:marBottom w:val="0"/>
                  <w:divBdr>
                    <w:top w:val="none" w:sz="0" w:space="0" w:color="auto"/>
                    <w:left w:val="none" w:sz="0" w:space="0" w:color="auto"/>
                    <w:bottom w:val="none" w:sz="0" w:space="0" w:color="auto"/>
                    <w:right w:val="none" w:sz="0" w:space="0" w:color="auto"/>
                  </w:divBdr>
                  <w:divsChild>
                    <w:div w:id="196355929">
                      <w:marLeft w:val="0"/>
                      <w:marRight w:val="0"/>
                      <w:marTop w:val="0"/>
                      <w:marBottom w:val="0"/>
                      <w:divBdr>
                        <w:top w:val="none" w:sz="0" w:space="0" w:color="auto"/>
                        <w:left w:val="none" w:sz="0" w:space="0" w:color="auto"/>
                        <w:bottom w:val="none" w:sz="0" w:space="0" w:color="auto"/>
                        <w:right w:val="none" w:sz="0" w:space="0" w:color="auto"/>
                      </w:divBdr>
                      <w:divsChild>
                        <w:div w:id="426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114482">
      <w:bodyDiv w:val="1"/>
      <w:marLeft w:val="0"/>
      <w:marRight w:val="0"/>
      <w:marTop w:val="0"/>
      <w:marBottom w:val="0"/>
      <w:divBdr>
        <w:top w:val="none" w:sz="0" w:space="0" w:color="auto"/>
        <w:left w:val="none" w:sz="0" w:space="0" w:color="auto"/>
        <w:bottom w:val="none" w:sz="0" w:space="0" w:color="auto"/>
        <w:right w:val="none" w:sz="0" w:space="0" w:color="auto"/>
      </w:divBdr>
      <w:divsChild>
        <w:div w:id="1481926192">
          <w:marLeft w:val="0"/>
          <w:marRight w:val="0"/>
          <w:marTop w:val="0"/>
          <w:marBottom w:val="0"/>
          <w:divBdr>
            <w:top w:val="none" w:sz="0" w:space="0" w:color="auto"/>
            <w:left w:val="none" w:sz="0" w:space="0" w:color="auto"/>
            <w:bottom w:val="none" w:sz="0" w:space="0" w:color="auto"/>
            <w:right w:val="none" w:sz="0" w:space="0" w:color="auto"/>
          </w:divBdr>
          <w:divsChild>
            <w:div w:id="1391882494">
              <w:marLeft w:val="0"/>
              <w:marRight w:val="0"/>
              <w:marTop w:val="0"/>
              <w:marBottom w:val="0"/>
              <w:divBdr>
                <w:top w:val="none" w:sz="0" w:space="0" w:color="auto"/>
                <w:left w:val="none" w:sz="0" w:space="0" w:color="auto"/>
                <w:bottom w:val="none" w:sz="0" w:space="0" w:color="auto"/>
                <w:right w:val="none" w:sz="0" w:space="0" w:color="auto"/>
              </w:divBdr>
              <w:divsChild>
                <w:div w:id="287056477">
                  <w:marLeft w:val="0"/>
                  <w:marRight w:val="0"/>
                  <w:marTop w:val="0"/>
                  <w:marBottom w:val="0"/>
                  <w:divBdr>
                    <w:top w:val="none" w:sz="0" w:space="0" w:color="auto"/>
                    <w:left w:val="none" w:sz="0" w:space="0" w:color="auto"/>
                    <w:bottom w:val="none" w:sz="0" w:space="0" w:color="auto"/>
                    <w:right w:val="none" w:sz="0" w:space="0" w:color="auto"/>
                  </w:divBdr>
                  <w:divsChild>
                    <w:div w:id="1518077566">
                      <w:marLeft w:val="0"/>
                      <w:marRight w:val="0"/>
                      <w:marTop w:val="0"/>
                      <w:marBottom w:val="0"/>
                      <w:divBdr>
                        <w:top w:val="none" w:sz="0" w:space="0" w:color="auto"/>
                        <w:left w:val="none" w:sz="0" w:space="0" w:color="auto"/>
                        <w:bottom w:val="none" w:sz="0" w:space="0" w:color="auto"/>
                        <w:right w:val="none" w:sz="0" w:space="0" w:color="auto"/>
                      </w:divBdr>
                      <w:divsChild>
                        <w:div w:id="355935797">
                          <w:marLeft w:val="0"/>
                          <w:marRight w:val="0"/>
                          <w:marTop w:val="0"/>
                          <w:marBottom w:val="0"/>
                          <w:divBdr>
                            <w:top w:val="single" w:sz="6" w:space="0" w:color="828282"/>
                            <w:left w:val="single" w:sz="6" w:space="0" w:color="828282"/>
                            <w:bottom w:val="single" w:sz="6" w:space="0" w:color="828282"/>
                            <w:right w:val="single" w:sz="6" w:space="0" w:color="828282"/>
                          </w:divBdr>
                          <w:divsChild>
                            <w:div w:id="64380171">
                              <w:marLeft w:val="0"/>
                              <w:marRight w:val="0"/>
                              <w:marTop w:val="0"/>
                              <w:marBottom w:val="0"/>
                              <w:divBdr>
                                <w:top w:val="none" w:sz="0" w:space="0" w:color="auto"/>
                                <w:left w:val="none" w:sz="0" w:space="0" w:color="auto"/>
                                <w:bottom w:val="none" w:sz="0" w:space="0" w:color="auto"/>
                                <w:right w:val="none" w:sz="0" w:space="0" w:color="auto"/>
                              </w:divBdr>
                              <w:divsChild>
                                <w:div w:id="690299196">
                                  <w:marLeft w:val="0"/>
                                  <w:marRight w:val="0"/>
                                  <w:marTop w:val="0"/>
                                  <w:marBottom w:val="0"/>
                                  <w:divBdr>
                                    <w:top w:val="none" w:sz="0" w:space="0" w:color="auto"/>
                                    <w:left w:val="none" w:sz="0" w:space="0" w:color="auto"/>
                                    <w:bottom w:val="none" w:sz="0" w:space="0" w:color="auto"/>
                                    <w:right w:val="none" w:sz="0" w:space="0" w:color="auto"/>
                                  </w:divBdr>
                                  <w:divsChild>
                                    <w:div w:id="1770807211">
                                      <w:marLeft w:val="0"/>
                                      <w:marRight w:val="0"/>
                                      <w:marTop w:val="0"/>
                                      <w:marBottom w:val="0"/>
                                      <w:divBdr>
                                        <w:top w:val="none" w:sz="0" w:space="0" w:color="auto"/>
                                        <w:left w:val="none" w:sz="0" w:space="0" w:color="auto"/>
                                        <w:bottom w:val="none" w:sz="0" w:space="0" w:color="auto"/>
                                        <w:right w:val="none" w:sz="0" w:space="0" w:color="auto"/>
                                      </w:divBdr>
                                      <w:divsChild>
                                        <w:div w:id="1263875739">
                                          <w:marLeft w:val="0"/>
                                          <w:marRight w:val="0"/>
                                          <w:marTop w:val="0"/>
                                          <w:marBottom w:val="0"/>
                                          <w:divBdr>
                                            <w:top w:val="none" w:sz="0" w:space="0" w:color="auto"/>
                                            <w:left w:val="none" w:sz="0" w:space="0" w:color="auto"/>
                                            <w:bottom w:val="none" w:sz="0" w:space="0" w:color="auto"/>
                                            <w:right w:val="none" w:sz="0" w:space="0" w:color="auto"/>
                                          </w:divBdr>
                                          <w:divsChild>
                                            <w:div w:id="1669089604">
                                              <w:marLeft w:val="0"/>
                                              <w:marRight w:val="0"/>
                                              <w:marTop w:val="0"/>
                                              <w:marBottom w:val="0"/>
                                              <w:divBdr>
                                                <w:top w:val="none" w:sz="0" w:space="0" w:color="auto"/>
                                                <w:left w:val="none" w:sz="0" w:space="0" w:color="auto"/>
                                                <w:bottom w:val="none" w:sz="0" w:space="0" w:color="auto"/>
                                                <w:right w:val="none" w:sz="0" w:space="0" w:color="auto"/>
                                              </w:divBdr>
                                              <w:divsChild>
                                                <w:div w:id="1677464481">
                                                  <w:marLeft w:val="0"/>
                                                  <w:marRight w:val="0"/>
                                                  <w:marTop w:val="0"/>
                                                  <w:marBottom w:val="0"/>
                                                  <w:divBdr>
                                                    <w:top w:val="none" w:sz="0" w:space="0" w:color="auto"/>
                                                    <w:left w:val="none" w:sz="0" w:space="0" w:color="auto"/>
                                                    <w:bottom w:val="none" w:sz="0" w:space="0" w:color="auto"/>
                                                    <w:right w:val="none" w:sz="0" w:space="0" w:color="auto"/>
                                                  </w:divBdr>
                                                </w:div>
                                                <w:div w:id="5566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948333">
      <w:bodyDiv w:val="1"/>
      <w:marLeft w:val="0"/>
      <w:marRight w:val="0"/>
      <w:marTop w:val="0"/>
      <w:marBottom w:val="0"/>
      <w:divBdr>
        <w:top w:val="none" w:sz="0" w:space="0" w:color="auto"/>
        <w:left w:val="none" w:sz="0" w:space="0" w:color="auto"/>
        <w:bottom w:val="none" w:sz="0" w:space="0" w:color="auto"/>
        <w:right w:val="none" w:sz="0" w:space="0" w:color="auto"/>
      </w:divBdr>
      <w:divsChild>
        <w:div w:id="914318133">
          <w:marLeft w:val="0"/>
          <w:marRight w:val="0"/>
          <w:marTop w:val="0"/>
          <w:marBottom w:val="0"/>
          <w:divBdr>
            <w:top w:val="none" w:sz="0" w:space="0" w:color="auto"/>
            <w:left w:val="none" w:sz="0" w:space="0" w:color="auto"/>
            <w:bottom w:val="none" w:sz="0" w:space="0" w:color="auto"/>
            <w:right w:val="none" w:sz="0" w:space="0" w:color="auto"/>
          </w:divBdr>
          <w:divsChild>
            <w:div w:id="1408190891">
              <w:marLeft w:val="0"/>
              <w:marRight w:val="0"/>
              <w:marTop w:val="0"/>
              <w:marBottom w:val="0"/>
              <w:divBdr>
                <w:top w:val="none" w:sz="0" w:space="0" w:color="auto"/>
                <w:left w:val="none" w:sz="0" w:space="0" w:color="auto"/>
                <w:bottom w:val="none" w:sz="0" w:space="0" w:color="auto"/>
                <w:right w:val="none" w:sz="0" w:space="0" w:color="auto"/>
              </w:divBdr>
              <w:divsChild>
                <w:div w:id="172763975">
                  <w:marLeft w:val="0"/>
                  <w:marRight w:val="0"/>
                  <w:marTop w:val="0"/>
                  <w:marBottom w:val="0"/>
                  <w:divBdr>
                    <w:top w:val="none" w:sz="0" w:space="0" w:color="auto"/>
                    <w:left w:val="none" w:sz="0" w:space="0" w:color="auto"/>
                    <w:bottom w:val="none" w:sz="0" w:space="0" w:color="auto"/>
                    <w:right w:val="none" w:sz="0" w:space="0" w:color="auto"/>
                  </w:divBdr>
                  <w:divsChild>
                    <w:div w:id="503125798">
                      <w:marLeft w:val="0"/>
                      <w:marRight w:val="0"/>
                      <w:marTop w:val="0"/>
                      <w:marBottom w:val="0"/>
                      <w:divBdr>
                        <w:top w:val="none" w:sz="0" w:space="0" w:color="auto"/>
                        <w:left w:val="none" w:sz="0" w:space="0" w:color="auto"/>
                        <w:bottom w:val="none" w:sz="0" w:space="0" w:color="auto"/>
                        <w:right w:val="none" w:sz="0" w:space="0" w:color="auto"/>
                      </w:divBdr>
                      <w:divsChild>
                        <w:div w:id="912659224">
                          <w:marLeft w:val="0"/>
                          <w:marRight w:val="0"/>
                          <w:marTop w:val="0"/>
                          <w:marBottom w:val="0"/>
                          <w:divBdr>
                            <w:top w:val="single" w:sz="6" w:space="0" w:color="828282"/>
                            <w:left w:val="single" w:sz="6" w:space="0" w:color="828282"/>
                            <w:bottom w:val="single" w:sz="6" w:space="0" w:color="828282"/>
                            <w:right w:val="single" w:sz="6" w:space="0" w:color="828282"/>
                          </w:divBdr>
                          <w:divsChild>
                            <w:div w:id="1870682787">
                              <w:marLeft w:val="0"/>
                              <w:marRight w:val="0"/>
                              <w:marTop w:val="0"/>
                              <w:marBottom w:val="0"/>
                              <w:divBdr>
                                <w:top w:val="none" w:sz="0" w:space="0" w:color="auto"/>
                                <w:left w:val="none" w:sz="0" w:space="0" w:color="auto"/>
                                <w:bottom w:val="none" w:sz="0" w:space="0" w:color="auto"/>
                                <w:right w:val="none" w:sz="0" w:space="0" w:color="auto"/>
                              </w:divBdr>
                              <w:divsChild>
                                <w:div w:id="244848387">
                                  <w:marLeft w:val="0"/>
                                  <w:marRight w:val="0"/>
                                  <w:marTop w:val="0"/>
                                  <w:marBottom w:val="0"/>
                                  <w:divBdr>
                                    <w:top w:val="none" w:sz="0" w:space="0" w:color="auto"/>
                                    <w:left w:val="none" w:sz="0" w:space="0" w:color="auto"/>
                                    <w:bottom w:val="none" w:sz="0" w:space="0" w:color="auto"/>
                                    <w:right w:val="none" w:sz="0" w:space="0" w:color="auto"/>
                                  </w:divBdr>
                                  <w:divsChild>
                                    <w:div w:id="2016374429">
                                      <w:marLeft w:val="0"/>
                                      <w:marRight w:val="0"/>
                                      <w:marTop w:val="0"/>
                                      <w:marBottom w:val="0"/>
                                      <w:divBdr>
                                        <w:top w:val="none" w:sz="0" w:space="0" w:color="auto"/>
                                        <w:left w:val="none" w:sz="0" w:space="0" w:color="auto"/>
                                        <w:bottom w:val="none" w:sz="0" w:space="0" w:color="auto"/>
                                        <w:right w:val="none" w:sz="0" w:space="0" w:color="auto"/>
                                      </w:divBdr>
                                      <w:divsChild>
                                        <w:div w:id="790172036">
                                          <w:marLeft w:val="0"/>
                                          <w:marRight w:val="0"/>
                                          <w:marTop w:val="0"/>
                                          <w:marBottom w:val="0"/>
                                          <w:divBdr>
                                            <w:top w:val="none" w:sz="0" w:space="0" w:color="auto"/>
                                            <w:left w:val="none" w:sz="0" w:space="0" w:color="auto"/>
                                            <w:bottom w:val="none" w:sz="0" w:space="0" w:color="auto"/>
                                            <w:right w:val="none" w:sz="0" w:space="0" w:color="auto"/>
                                          </w:divBdr>
                                          <w:divsChild>
                                            <w:div w:id="1730573021">
                                              <w:marLeft w:val="0"/>
                                              <w:marRight w:val="0"/>
                                              <w:marTop w:val="0"/>
                                              <w:marBottom w:val="0"/>
                                              <w:divBdr>
                                                <w:top w:val="none" w:sz="0" w:space="0" w:color="auto"/>
                                                <w:left w:val="none" w:sz="0" w:space="0" w:color="auto"/>
                                                <w:bottom w:val="none" w:sz="0" w:space="0" w:color="auto"/>
                                                <w:right w:val="none" w:sz="0" w:space="0" w:color="auto"/>
                                              </w:divBdr>
                                              <w:divsChild>
                                                <w:div w:id="49040781">
                                                  <w:marLeft w:val="0"/>
                                                  <w:marRight w:val="0"/>
                                                  <w:marTop w:val="0"/>
                                                  <w:marBottom w:val="0"/>
                                                  <w:divBdr>
                                                    <w:top w:val="none" w:sz="0" w:space="0" w:color="auto"/>
                                                    <w:left w:val="none" w:sz="0" w:space="0" w:color="auto"/>
                                                    <w:bottom w:val="none" w:sz="0" w:space="0" w:color="auto"/>
                                                    <w:right w:val="none" w:sz="0" w:space="0" w:color="auto"/>
                                                  </w:divBdr>
                                                </w:div>
                                                <w:div w:id="846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mlaw.gov.au/Details/F2007L04670" TargetMode="External"/><Relationship Id="rId3" Type="http://schemas.openxmlformats.org/officeDocument/2006/relationships/hyperlink" Target="http://www.privacy.gov.au/materials/types/download/9110/6757" TargetMode="External"/><Relationship Id="rId7" Type="http://schemas.openxmlformats.org/officeDocument/2006/relationships/hyperlink" Target="http://www.comlaw.gov.au/Details/F2008B00574" TargetMode="External"/><Relationship Id="rId2" Type="http://schemas.openxmlformats.org/officeDocument/2006/relationships/hyperlink" Target="http://www.privacy.gov.au/publications/acha.pdf" TargetMode="External"/><Relationship Id="rId1" Type="http://schemas.openxmlformats.org/officeDocument/2006/relationships/hyperlink" Target="http://www.oaic.gov.au/news/consultations/PID_Dr_Steve_Hambleton/PID_application_Dr_Steve_Hambleton.html" TargetMode="External"/><Relationship Id="rId6" Type="http://schemas.openxmlformats.org/officeDocument/2006/relationships/hyperlink" Target="http://www.dpmc.gov.au/privacy/reforms.cfm" TargetMode="External"/><Relationship Id="rId5" Type="http://schemas.openxmlformats.org/officeDocument/2006/relationships/hyperlink" Target="http://www.alrc.gov.au/publications/report-108" TargetMode="External"/><Relationship Id="rId10" Type="http://schemas.openxmlformats.org/officeDocument/2006/relationships/hyperlink" Target="http://www.privacy.gov.au/materials/types/download/8806/6606" TargetMode="External"/><Relationship Id="rId4" Type="http://schemas.openxmlformats.org/officeDocument/2006/relationships/hyperlink" Target="http://www.privacy.gov.au/materials/types/download/9111/6748" TargetMode="External"/><Relationship Id="rId9" Type="http://schemas.openxmlformats.org/officeDocument/2006/relationships/hyperlink" Target="http://www.comlaw.gov.au/Details/F2007L046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aic.gov.au\fileshare\templates\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cy Advice" ma:contentTypeID="0x010100CEFB1B121CC9C347B9123EB1C3B09A320500D1C7AC157E16264788F1340C429EF9FE" ma:contentTypeVersion="19" ma:contentTypeDescription="" ma:contentTypeScope="" ma:versionID="97a0ee5051a3bd1100b76c0bc8b126be">
  <xsd:schema xmlns:xsd="http://www.w3.org/2001/XMLSchema" xmlns:p="http://schemas.microsoft.com/office/2006/metadata/properties" xmlns:ns3="5410aa85-11fb-44c5-bd56-c3696582be3d" targetNamespace="http://schemas.microsoft.com/office/2006/metadata/properties" ma:root="true" ma:fieldsID="7d939050b4a573eab7d143630c4cdc79" ns3:_="">
    <xsd:import namespace="5410aa85-11fb-44c5-bd56-c3696582be3d"/>
    <xsd:element name="properties">
      <xsd:complexType>
        <xsd:sequence>
          <xsd:element name="documentManagement">
            <xsd:complexType>
              <xsd:all>
                <xsd:element ref="ns3:Overview" minOccurs="0"/>
                <xsd:element ref="ns3:Policy_x0020_-_x0020_Activity" minOccurs="0"/>
                <xsd:element ref="ns3:Project" minOccurs="0"/>
                <xsd:element ref="ns3:Document_x0020_Type" minOccurs="0"/>
                <xsd:element ref="ns3:Registry_x0020_File_x0020_Number" minOccurs="0"/>
                <xsd:element ref="ns3:Industry_x0020_Sector" minOccurs="0"/>
                <xsd:element ref="ns3:Privacy_x0020_Act_x0020_Provision" minOccurs="0"/>
                <xsd:element ref="ns3:Main_x0020_Topic" minOccurs="0"/>
                <xsd:element ref="ns3:Organisation" minOccurs="0"/>
              </xsd:all>
            </xsd:complexType>
          </xsd:element>
        </xsd:sequence>
      </xsd:complexType>
    </xsd:element>
  </xsd:schema>
  <xsd:schema xmlns:xsd="http://www.w3.org/2001/XMLSchema" xmlns:dms="http://schemas.microsoft.com/office/2006/documentManagement/types" targetNamespace="5410aa85-11fb-44c5-bd56-c3696582be3d" elementFormDefault="qualified">
    <xsd:import namespace="http://schemas.microsoft.com/office/2006/documentManagement/types"/>
    <xsd:element name="Overview" ma:index="3" nillable="true" ma:displayName="Overview" ma:internalName="Overview">
      <xsd:simpleType>
        <xsd:restriction base="dms:Note"/>
      </xsd:simpleType>
    </xsd:element>
    <xsd:element name="Policy_x0020_-_x0020_Activity" ma:index="4" nillable="true" ma:displayName="Policy - Activity" ma:default="" ma:format="Dropdown" ma:internalName="Policy_x0020__x002d__x0020_Activity" ma:readOnly="false">
      <xsd:simpleType>
        <xsd:restriction base="dms:Choice">
          <xsd:enumeration value="Examine Enactments"/>
          <xsd:enumeration value="Research"/>
          <xsd:enumeration value="Submissions"/>
          <xsd:enumeration value="Other Statutory Functions"/>
          <xsd:enumeration value="Provide Advice (External)"/>
          <xsd:enumeration value="Provide Advice (Internal)"/>
          <xsd:enumeration value="Guidance material"/>
          <xsd:enumeration value="Speeches and presentations"/>
          <xsd:enumeration value="Stakeholder management"/>
        </xsd:restriction>
      </xsd:simpleType>
    </xsd:element>
    <xsd:element name="Project" ma:index="5" nillable="true" ma:displayName="Project" ma:list="{aa634adc-7b0d-4545-861a-f09a295c427b}" ma:internalName="Project" ma:showField="Display_x0020_Text" ma:web="5410aa85-11fb-44c5-bd56-c3696582be3d">
      <xsd:simpleType>
        <xsd:restriction base="dms:Lookup"/>
      </xsd:simpleType>
    </xsd:element>
    <xsd:element name="Document_x0020_Type" ma:index="6" nillable="true" ma:displayName="Document Type" ma:list="{f7d1a67d-d63e-4e73-9401-d1f896564f6f}" ma:internalName="Document_x0020_Type" ma:showField="Display_x0020_Text" ma:web="5410aa85-11fb-44c5-bd56-c3696582be3d">
      <xsd:simpleType>
        <xsd:restriction base="dms:Lookup"/>
      </xsd:simpleType>
    </xsd:element>
    <xsd:element name="Registry_x0020_File_x0020_Number" ma:index="7" nillable="true" ma:displayName="Registry File Number" ma:internalName="Registry_x0020_File_x0020_Number">
      <xsd:simpleType>
        <xsd:restriction base="dms:Text">
          <xsd:maxLength value="255"/>
        </xsd:restriction>
      </xsd:simpleType>
    </xsd:element>
    <xsd:element name="Industry_x0020_Sector" ma:index="8" nillable="true" ma:displayName="Industry Sector" ma:list="{f4604643-a42f-4b68-ad3c-f6a7b6baef9f}" ma:internalName="Industry_x0020_Sector" ma:showField="Display_x0020_Text" ma:web="5410aa85-11fb-44c5-bd56-c3696582be3d">
      <xsd:simpleType>
        <xsd:restriction base="dms:Lookup"/>
      </xsd:simpleType>
    </xsd:element>
    <xsd:element name="Privacy_x0020_Act_x0020_Provision" ma:index="9" nillable="true" ma:displayName="Privacy Act Provision" ma:list="{da1eb058-36a3-436c-992d-b90116d62af0}" ma:internalName="Privacy_x0020_Act_x0020_Provision" ma:showField="Display_x0020_Text" ma:web="5410aa85-11fb-44c5-bd56-c3696582be3d">
      <xsd:simpleType>
        <xsd:restriction base="dms:Lookup"/>
      </xsd:simpleType>
    </xsd:element>
    <xsd:element name="Main_x0020_Topic" ma:index="10" nillable="true" ma:displayName="Main Topic" ma:list="{c2cccaa3-8fb0-4dbb-84e7-5fd24b3e0db8}" ma:internalName="Main_x0020_Topic" ma:showField="Display_x0020_Text" ma:web="5410aa85-11fb-44c5-bd56-c3696582be3d">
      <xsd:simpleType>
        <xsd:restriction base="dms:Lookup"/>
      </xsd:simpleType>
    </xsd:element>
    <xsd:element name="Organisation" ma:index="11" nillable="true" ma:displayName="Organisation" ma:list="{7e0c43cb-1f8a-4cd8-8df1-0009d37fa749}" ma:internalName="Organisation" ma:showField="Display_x0020_Text" ma:web="5410aa85-11fb-44c5-bd56-c3696582be3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ain_x0020_Topic xmlns="5410aa85-11fb-44c5-bd56-c3696582be3d">2</Main_x0020_Topic>
    <Overview xmlns="5410aa85-11fb-44c5-bd56-c3696582be3d" xsi:nil="true"/>
    <Policy_x0020_-_x0020_Activity xmlns="5410aa85-11fb-44c5-bd56-c3696582be3d" xsi:nil="true"/>
    <Privacy_x0020_Act_x0020_Provision xmlns="5410aa85-11fb-44c5-bd56-c3696582be3d">329</Privacy_x0020_Act_x0020_Provision>
    <Registry_x0020_File_x0020_Number xmlns="5410aa85-11fb-44c5-bd56-c3696582be3d" xsi:nil="true"/>
    <Document_x0020_Type xmlns="5410aa85-11fb-44c5-bd56-c3696582be3d" xsi:nil="true"/>
    <Industry_x0020_Sector xmlns="5410aa85-11fb-44c5-bd56-c3696582be3d">12</Industry_x0020_Sector>
    <Project xmlns="5410aa85-11fb-44c5-bd56-c3696582be3d" xsi:nil="true"/>
    <Organisation xmlns="5410aa85-11fb-44c5-bd56-c3696582be3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olicy Advice" ma:contentTypeID="0x010100CEFB1B121CC9C347B9123EB1C3B09A320500D1C7AC157E16264788F1340C429EF9FE" ma:contentTypeVersion="19" ma:contentTypeDescription="" ma:contentTypeScope="" ma:versionID="97a0ee5051a3bd1100b76c0bc8b126be">
  <xsd:schema xmlns:xsd="http://www.w3.org/2001/XMLSchema" xmlns:xs="http://www.w3.org/2001/XMLSchema" xmlns:p="http://schemas.microsoft.com/office/2006/metadata/properties" xmlns:ns3="5410aa85-11fb-44c5-bd56-c3696582be3d" targetNamespace="http://schemas.microsoft.com/office/2006/metadata/properties" ma:root="true" ma:fieldsID="7d939050b4a573eab7d143630c4cdc79" ns3:_="">
    <xsd:import namespace="5410aa85-11fb-44c5-bd56-c3696582be3d"/>
    <xsd:element name="properties">
      <xsd:complexType>
        <xsd:sequence>
          <xsd:element name="documentManagement">
            <xsd:complexType>
              <xsd:all>
                <xsd:element ref="ns3:Overview" minOccurs="0"/>
                <xsd:element ref="ns3:Policy_x0020_-_x0020_Activity" minOccurs="0"/>
                <xsd:element ref="ns3:Project" minOccurs="0"/>
                <xsd:element ref="ns3:Document_x0020_Type" minOccurs="0"/>
                <xsd:element ref="ns3:Registry_x0020_File_x0020_Number" minOccurs="0"/>
                <xsd:element ref="ns3:Industry_x0020_Sector" minOccurs="0"/>
                <xsd:element ref="ns3:Privacy_x0020_Act_x0020_Provision" minOccurs="0"/>
                <xsd:element ref="ns3:Main_x0020_Topic" minOccurs="0"/>
                <xsd:element ref="ns3: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0aa85-11fb-44c5-bd56-c3696582be3d" elementFormDefault="qualified">
    <xsd:import namespace="http://schemas.microsoft.com/office/2006/documentManagement/types"/>
    <xsd:import namespace="http://schemas.microsoft.com/office/infopath/2007/PartnerControls"/>
    <xsd:element name="Overview" ma:index="3" nillable="true" ma:displayName="Overview" ma:internalName="Overview">
      <xsd:simpleType>
        <xsd:restriction base="dms:Note">
          <xsd:maxLength value="255"/>
        </xsd:restriction>
      </xsd:simpleType>
    </xsd:element>
    <xsd:element name="Policy_x0020_-_x0020_Activity" ma:index="4" nillable="true" ma:displayName="Policy - Activity" ma:default="" ma:format="Dropdown" ma:internalName="Policy_x0020__x002d__x0020_Activity" ma:readOnly="false">
      <xsd:simpleType>
        <xsd:restriction base="dms:Choice">
          <xsd:enumeration value="Examine Enactments"/>
          <xsd:enumeration value="Research"/>
          <xsd:enumeration value="Submissions"/>
          <xsd:enumeration value="Other Statutory Functions"/>
          <xsd:enumeration value="Provide Advice (External)"/>
          <xsd:enumeration value="Provide Advice (Internal)"/>
          <xsd:enumeration value="Guidance material"/>
          <xsd:enumeration value="Speeches and presentations"/>
          <xsd:enumeration value="Stakeholder management"/>
        </xsd:restriction>
      </xsd:simpleType>
    </xsd:element>
    <xsd:element name="Project" ma:index="5" nillable="true" ma:displayName="Project" ma:list="{aa634adc-7b0d-4545-861a-f09a295c427b}" ma:internalName="Project" ma:showField="Display_x0020_Text" ma:web="5410aa85-11fb-44c5-bd56-c3696582be3d">
      <xsd:simpleType>
        <xsd:restriction base="dms:Lookup"/>
      </xsd:simpleType>
    </xsd:element>
    <xsd:element name="Document_x0020_Type" ma:index="6" nillable="true" ma:displayName="Document Type" ma:list="{f7d1a67d-d63e-4e73-9401-d1f896564f6f}" ma:internalName="Document_x0020_Type" ma:showField="Display_x0020_Text" ma:web="5410aa85-11fb-44c5-bd56-c3696582be3d">
      <xsd:simpleType>
        <xsd:restriction base="dms:Lookup"/>
      </xsd:simpleType>
    </xsd:element>
    <xsd:element name="Registry_x0020_File_x0020_Number" ma:index="7" nillable="true" ma:displayName="Registry File Number" ma:internalName="Registry_x0020_File_x0020_Number">
      <xsd:simpleType>
        <xsd:restriction base="dms:Text">
          <xsd:maxLength value="255"/>
        </xsd:restriction>
      </xsd:simpleType>
    </xsd:element>
    <xsd:element name="Industry_x0020_Sector" ma:index="8" nillable="true" ma:displayName="Industry Sector" ma:list="{f4604643-a42f-4b68-ad3c-f6a7b6baef9f}" ma:internalName="Industry_x0020_Sector" ma:showField="Display_x0020_Text" ma:web="5410aa85-11fb-44c5-bd56-c3696582be3d">
      <xsd:simpleType>
        <xsd:restriction base="dms:Lookup"/>
      </xsd:simpleType>
    </xsd:element>
    <xsd:element name="Privacy_x0020_Act_x0020_Provision" ma:index="9" nillable="true" ma:displayName="Privacy Act Provision" ma:list="{da1eb058-36a3-436c-992d-b90116d62af0}" ma:internalName="Privacy_x0020_Act_x0020_Provision" ma:showField="Display_x0020_Text" ma:web="5410aa85-11fb-44c5-bd56-c3696582be3d">
      <xsd:simpleType>
        <xsd:restriction base="dms:Lookup"/>
      </xsd:simpleType>
    </xsd:element>
    <xsd:element name="Main_x0020_Topic" ma:index="10" nillable="true" ma:displayName="Main Topic" ma:list="{c2cccaa3-8fb0-4dbb-84e7-5fd24b3e0db8}" ma:internalName="Main_x0020_Topic" ma:showField="Display_x0020_Text" ma:web="5410aa85-11fb-44c5-bd56-c3696582be3d">
      <xsd:simpleType>
        <xsd:restriction base="dms:Lookup"/>
      </xsd:simpleType>
    </xsd:element>
    <xsd:element name="Organisation" ma:index="11" nillable="true" ma:displayName="Organisation" ma:list="{7e0c43cb-1f8a-4cd8-8df1-0009d37fa749}" ma:internalName="Organisation" ma:showField="Display_x0020_Text" ma:web="5410aa85-11fb-44c5-bd56-c3696582be3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291B-DDAE-4867-A534-F8F7A15406CF}"/>
</file>

<file path=customXml/itemProps2.xml><?xml version="1.0" encoding="utf-8"?>
<ds:datastoreItem xmlns:ds="http://schemas.openxmlformats.org/officeDocument/2006/customXml" ds:itemID="{E3E37F08-43D7-43B4-BD54-044B081CAD08}"/>
</file>

<file path=customXml/itemProps3.xml><?xml version="1.0" encoding="utf-8"?>
<ds:datastoreItem xmlns:ds="http://schemas.openxmlformats.org/officeDocument/2006/customXml" ds:itemID="{9C9CF575-3943-45A6-AC34-3FE73DF72AA9}"/>
</file>

<file path=customXml/itemProps4.xml><?xml version="1.0" encoding="utf-8"?>
<ds:datastoreItem xmlns:ds="http://schemas.openxmlformats.org/officeDocument/2006/customXml" ds:itemID="{5C4B36F4-2722-40C1-8726-8A7A133C4DDF}"/>
</file>

<file path=customXml/itemProps5.xml><?xml version="1.0" encoding="utf-8"?>
<ds:datastoreItem xmlns:ds="http://schemas.openxmlformats.org/officeDocument/2006/customXml" ds:itemID="{C3545EB3-218B-4287-993E-F797BDEC0B53}"/>
</file>

<file path=customXml/itemProps6.xml><?xml version="1.0" encoding="utf-8"?>
<ds:datastoreItem xmlns:ds="http://schemas.openxmlformats.org/officeDocument/2006/customXml" ds:itemID="{A43F582D-54BC-485B-BBD5-46AAC02B405B}"/>
</file>

<file path=customXml/itemProps7.xml><?xml version="1.0" encoding="utf-8"?>
<ds:datastoreItem xmlns:ds="http://schemas.openxmlformats.org/officeDocument/2006/customXml" ds:itemID="{4121C3C3-3AEE-4E78-9011-727EDB827DBF}"/>
</file>

<file path=customXml/itemProps8.xml><?xml version="1.0" encoding="utf-8"?>
<ds:datastoreItem xmlns:ds="http://schemas.openxmlformats.org/officeDocument/2006/customXml" ds:itemID="{23FEE433-CE29-4C55-B786-8BAE0D5163E2}"/>
</file>

<file path=docProps/app.xml><?xml version="1.0" encoding="utf-8"?>
<Properties xmlns="http://schemas.openxmlformats.org/officeDocument/2006/extended-properties" xmlns:vt="http://schemas.openxmlformats.org/officeDocument/2006/docPropsVTypes">
  <Template>Submission.dotx</Template>
  <TotalTime>38</TotalTime>
  <Pages>14</Pages>
  <Words>4474</Words>
  <Characters>25507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Public Interest Determination 12A</vt:lpstr>
    </vt:vector>
  </TitlesOfParts>
  <Company>Office of the Australian Information Commissioner</Company>
  <LinksUpToDate>false</LinksUpToDate>
  <CharactersWithSpaces>29922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Determination 12A</dc:title>
  <dc:subject/>
  <dc:creator>Frances Panopoulos, Nari Sahukar, Andrew Hayne Timothy Pilgrim Karen Curtis</dc:creator>
  <cp:keywords/>
  <dc:description>PID10 only - final version cleared by Karen Curtis</dc:description>
  <cp:lastModifiedBy>Tim De Sousa</cp:lastModifiedBy>
  <cp:revision>10</cp:revision>
  <cp:lastPrinted>2011-11-29T03:17:00Z</cp:lastPrinted>
  <dcterms:created xsi:type="dcterms:W3CDTF">2011-11-29T01:58:00Z</dcterms:created>
  <dcterms:modified xsi:type="dcterms:W3CDTF">2011-11-29T03:21:00Z</dcterms:modified>
  <cp:category/>
  <cp:contentType>Policy Advice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0x010100CEFB1B121CC9C347B9123EB1C3B09A320500D1C7AC157E16264788F1340C429EF9FE</vt:lpwstr>
  </property>
  <property fmtid="{D5CDD505-2E9C-101B-9397-08002B2CF9AE}" pid="3" name="Project1">
    <vt:lpwstr/>
  </property>
  <property fmtid="{D5CDD505-2E9C-101B-9397-08002B2CF9AE}" pid="4" name="Document Type">
    <vt:lpwstr>37</vt:lpwstr>
  </property>
  <property fmtid="{D5CDD505-2E9C-101B-9397-08002B2CF9AE}" pid="5" name="CARMS File Number">
    <vt:lpwstr/>
  </property>
  <property fmtid="{D5CDD505-2E9C-101B-9397-08002B2CF9AE}" pid="6" name="OFPC Section">
    <vt:lpwstr>Policy HIT Team</vt:lpwstr>
  </property>
  <property fmtid="{D5CDD505-2E9C-101B-9397-08002B2CF9AE}" pid="7" name="Industry Sector">
    <vt:lpwstr>12</vt:lpwstr>
  </property>
  <property fmtid="{D5CDD505-2E9C-101B-9397-08002B2CF9AE}" pid="8" name="Policy Advice etc etc">
    <vt:lpwstr>Other Statutory Functions</vt:lpwstr>
  </property>
  <property fmtid="{D5CDD505-2E9C-101B-9397-08002B2CF9AE}" pid="9" name="Legisation">
    <vt:lpwstr>NPP 10.1 collection of sensitive information</vt:lpwstr>
  </property>
  <property fmtid="{D5CDD505-2E9C-101B-9397-08002B2CF9AE}" pid="10" name="OriginalCreatedDate">
    <vt:lpwstr>6/12/2007</vt:lpwstr>
  </property>
  <property fmtid="{D5CDD505-2E9C-101B-9397-08002B2CF9AE}" pid="11" name="Overview">
    <vt:lpwstr>PID10 only - final version cleared by Karen Curtis_x000d_
OFPC Section:Policy HIT Team</vt:lpwstr>
  </property>
  <property fmtid="{D5CDD505-2E9C-101B-9397-08002B2CF9AE}" pid="12" name="Privacy Act Provision">
    <vt:lpwstr>329</vt:lpwstr>
  </property>
  <property fmtid="{D5CDD505-2E9C-101B-9397-08002B2CF9AE}" pid="13" name="ContentType">
    <vt:lpwstr>Policy Advice</vt:lpwstr>
  </property>
  <property fmtid="{D5CDD505-2E9C-101B-9397-08002B2CF9AE}" pid="14" name="Policy - Activity">
    <vt:lpwstr>Other Statutory Functions</vt:lpwstr>
  </property>
  <property fmtid="{D5CDD505-2E9C-101B-9397-08002B2CF9AE}" pid="15" name="Registry File Number">
    <vt:lpwstr/>
  </property>
  <property fmtid="{D5CDD505-2E9C-101B-9397-08002B2CF9AE}" pid="16" name="Subject">
    <vt:lpwstr/>
  </property>
  <property fmtid="{D5CDD505-2E9C-101B-9397-08002B2CF9AE}" pid="17" name="Keywords">
    <vt:lpwstr/>
  </property>
  <property fmtid="{D5CDD505-2E9C-101B-9397-08002B2CF9AE}" pid="18" name="_Author">
    <vt:lpwstr>Frances Panopoulos, Nari Sahukar, Andrew Hayne Timothy Pilgrim Karen Curtis</vt:lpwstr>
  </property>
  <property fmtid="{D5CDD505-2E9C-101B-9397-08002B2CF9AE}" pid="19" name="_Category">
    <vt:lpwstr/>
  </property>
  <property fmtid="{D5CDD505-2E9C-101B-9397-08002B2CF9AE}" pid="20" name="Categories">
    <vt:lpwstr/>
  </property>
  <property fmtid="{D5CDD505-2E9C-101B-9397-08002B2CF9AE}" pid="21" name="Approval Level">
    <vt:lpwstr/>
  </property>
  <property fmtid="{D5CDD505-2E9C-101B-9397-08002B2CF9AE}" pid="22" name="_Comments">
    <vt:lpwstr>PID10 only - final version cleared by Karen Curtis</vt:lpwstr>
  </property>
  <property fmtid="{D5CDD505-2E9C-101B-9397-08002B2CF9AE}" pid="23" name="Assigned To">
    <vt:lpwstr/>
  </property>
  <property fmtid="{D5CDD505-2E9C-101B-9397-08002B2CF9AE}" pid="24" name="Main Topic">
    <vt:lpwstr/>
  </property>
  <property fmtid="{D5CDD505-2E9C-101B-9397-08002B2CF9AE}" pid="25" name="Project">
    <vt:lpwstr/>
  </property>
  <property fmtid="{D5CDD505-2E9C-101B-9397-08002B2CF9AE}" pid="26" name="Organisation">
    <vt:lpwstr/>
  </property>
</Properties>
</file>