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375" w:rsidRPr="00406746" w:rsidRDefault="00D02375" w:rsidP="00D02375">
      <w:pPr>
        <w:spacing w:before="120" w:after="120"/>
        <w:jc w:val="center"/>
        <w:rPr>
          <w:rFonts w:ascii="Calibri" w:hAnsi="Calibri" w:cs="Calibri"/>
          <w:b/>
        </w:rPr>
      </w:pPr>
      <w:r w:rsidRPr="00406746">
        <w:rPr>
          <w:rFonts w:ascii="Calibri" w:hAnsi="Calibri" w:cs="Calibri"/>
          <w:b/>
        </w:rPr>
        <w:t xml:space="preserve">Commonwealth Cleaning Services Guidelines </w:t>
      </w:r>
    </w:p>
    <w:p w:rsidR="00D02375" w:rsidRPr="00406746" w:rsidRDefault="00D02375" w:rsidP="00D02375">
      <w:pPr>
        <w:spacing w:before="120" w:after="120"/>
        <w:jc w:val="center"/>
        <w:rPr>
          <w:rFonts w:ascii="Calibri" w:hAnsi="Calibri" w:cs="Calibri"/>
          <w:b/>
        </w:rPr>
      </w:pPr>
      <w:r w:rsidRPr="00406746">
        <w:rPr>
          <w:rFonts w:ascii="Calibri" w:hAnsi="Calibri" w:cs="Calibri"/>
          <w:b/>
        </w:rPr>
        <w:t xml:space="preserve">Current as at </w:t>
      </w:r>
      <w:r w:rsidR="00F737C2">
        <w:rPr>
          <w:rFonts w:ascii="Calibri" w:hAnsi="Calibri" w:cs="Calibri"/>
          <w:b/>
        </w:rPr>
        <w:t>24 November 2011</w:t>
      </w:r>
    </w:p>
    <w:p w:rsidR="00D02375" w:rsidRPr="00406746" w:rsidRDefault="00D02375" w:rsidP="00D02375">
      <w:pPr>
        <w:spacing w:before="120" w:after="120"/>
        <w:rPr>
          <w:rFonts w:ascii="Calibri" w:hAnsi="Calibri" w:cs="Calibri"/>
          <w:b/>
        </w:rPr>
      </w:pPr>
    </w:p>
    <w:p w:rsidR="00D02375" w:rsidRPr="00406746" w:rsidRDefault="00D02375" w:rsidP="00D02375">
      <w:pPr>
        <w:spacing w:before="120" w:after="120"/>
        <w:rPr>
          <w:rFonts w:ascii="Calibri" w:hAnsi="Calibri" w:cs="Calibri"/>
          <w:b/>
        </w:rPr>
      </w:pPr>
    </w:p>
    <w:p w:rsidR="00D02375" w:rsidRPr="00406746" w:rsidRDefault="00D02375" w:rsidP="00D02375">
      <w:pPr>
        <w:spacing w:before="120" w:after="120"/>
        <w:rPr>
          <w:rFonts w:ascii="Calibri" w:hAnsi="Calibri" w:cs="Calibri"/>
          <w:b/>
        </w:rPr>
      </w:pPr>
    </w:p>
    <w:p w:rsidR="00D02375" w:rsidRPr="00406746" w:rsidRDefault="00D02375" w:rsidP="00D02375">
      <w:pPr>
        <w:spacing w:before="120" w:after="120"/>
        <w:rPr>
          <w:rFonts w:ascii="Calibri" w:hAnsi="Calibri" w:cs="Calibri"/>
          <w:b/>
        </w:rPr>
      </w:pPr>
      <w:r w:rsidRPr="00406746">
        <w:rPr>
          <w:rFonts w:ascii="Calibri" w:hAnsi="Calibri" w:cs="Calibri"/>
          <w:b/>
        </w:rPr>
        <w:t>Table of contents</w:t>
      </w:r>
    </w:p>
    <w:p w:rsidR="00D8323F" w:rsidRDefault="00A47FA6">
      <w:pPr>
        <w:pStyle w:val="TOC1"/>
        <w:rPr>
          <w:rFonts w:asciiTheme="minorHAnsi" w:eastAsiaTheme="minorEastAsia" w:hAnsiTheme="minorHAnsi" w:cstheme="minorBidi"/>
          <w:lang w:eastAsia="en-AU"/>
        </w:rPr>
      </w:pPr>
      <w:r w:rsidRPr="00A47FA6">
        <w:fldChar w:fldCharType="begin"/>
      </w:r>
      <w:r w:rsidR="00D02375" w:rsidRPr="00406746">
        <w:instrText xml:space="preserve"> TOC \o "1-3" \h \z \u </w:instrText>
      </w:r>
      <w:r w:rsidRPr="00A47FA6">
        <w:fldChar w:fldCharType="separate"/>
      </w:r>
      <w:hyperlink w:anchor="_Toc307819282" w:history="1">
        <w:r w:rsidR="00D8323F" w:rsidRPr="00612483">
          <w:rPr>
            <w:rStyle w:val="Hyperlink"/>
            <w:rFonts w:cstheme="minorHAnsi"/>
          </w:rPr>
          <w:t>1.</w:t>
        </w:r>
        <w:r w:rsidR="00D8323F">
          <w:rPr>
            <w:rFonts w:asciiTheme="minorHAnsi" w:eastAsiaTheme="minorEastAsia" w:hAnsiTheme="minorHAnsi" w:cstheme="minorBidi"/>
            <w:lang w:eastAsia="en-AU"/>
          </w:rPr>
          <w:tab/>
        </w:r>
        <w:r w:rsidR="00D8323F" w:rsidRPr="00612483">
          <w:rPr>
            <w:rStyle w:val="Hyperlink"/>
            <w:rFonts w:cstheme="minorHAnsi"/>
          </w:rPr>
          <w:t>Foreword</w:t>
        </w:r>
        <w:r w:rsidR="00D8323F">
          <w:rPr>
            <w:webHidden/>
          </w:rPr>
          <w:tab/>
        </w:r>
        <w:r>
          <w:rPr>
            <w:webHidden/>
          </w:rPr>
          <w:fldChar w:fldCharType="begin"/>
        </w:r>
        <w:r w:rsidR="00D8323F">
          <w:rPr>
            <w:webHidden/>
          </w:rPr>
          <w:instrText xml:space="preserve"> PAGEREF _Toc307819282 \h </w:instrText>
        </w:r>
        <w:r>
          <w:rPr>
            <w:webHidden/>
          </w:rPr>
        </w:r>
        <w:r>
          <w:rPr>
            <w:webHidden/>
          </w:rPr>
          <w:fldChar w:fldCharType="separate"/>
        </w:r>
        <w:r w:rsidR="00F737C2">
          <w:rPr>
            <w:webHidden/>
          </w:rPr>
          <w:t>2</w:t>
        </w:r>
        <w:r>
          <w:rPr>
            <w:webHidden/>
          </w:rPr>
          <w:fldChar w:fldCharType="end"/>
        </w:r>
      </w:hyperlink>
    </w:p>
    <w:p w:rsidR="00D8323F" w:rsidRDefault="00A47FA6">
      <w:pPr>
        <w:pStyle w:val="TOC1"/>
        <w:rPr>
          <w:rFonts w:asciiTheme="minorHAnsi" w:eastAsiaTheme="minorEastAsia" w:hAnsiTheme="minorHAnsi" w:cstheme="minorBidi"/>
          <w:lang w:eastAsia="en-AU"/>
        </w:rPr>
      </w:pPr>
      <w:hyperlink w:anchor="_Toc307819283" w:history="1">
        <w:r w:rsidR="00D8323F" w:rsidRPr="00612483">
          <w:rPr>
            <w:rStyle w:val="Hyperlink"/>
            <w:rFonts w:cstheme="minorHAnsi"/>
          </w:rPr>
          <w:t>2.</w:t>
        </w:r>
        <w:r w:rsidR="00D8323F">
          <w:rPr>
            <w:rFonts w:asciiTheme="minorHAnsi" w:eastAsiaTheme="minorEastAsia" w:hAnsiTheme="minorHAnsi" w:cstheme="minorBidi"/>
            <w:lang w:eastAsia="en-AU"/>
          </w:rPr>
          <w:tab/>
        </w:r>
        <w:r w:rsidR="00D8323F" w:rsidRPr="00612483">
          <w:rPr>
            <w:rStyle w:val="Hyperlink"/>
            <w:rFonts w:cstheme="minorHAnsi"/>
          </w:rPr>
          <w:t>Purpose</w:t>
        </w:r>
        <w:r w:rsidR="00D8323F">
          <w:rPr>
            <w:webHidden/>
          </w:rPr>
          <w:tab/>
        </w:r>
        <w:r>
          <w:rPr>
            <w:webHidden/>
          </w:rPr>
          <w:fldChar w:fldCharType="begin"/>
        </w:r>
        <w:r w:rsidR="00D8323F">
          <w:rPr>
            <w:webHidden/>
          </w:rPr>
          <w:instrText xml:space="preserve"> PAGEREF _Toc307819283 \h </w:instrText>
        </w:r>
        <w:r>
          <w:rPr>
            <w:webHidden/>
          </w:rPr>
        </w:r>
        <w:r>
          <w:rPr>
            <w:webHidden/>
          </w:rPr>
          <w:fldChar w:fldCharType="separate"/>
        </w:r>
        <w:r w:rsidR="00F737C2">
          <w:rPr>
            <w:webHidden/>
          </w:rPr>
          <w:t>3</w:t>
        </w:r>
        <w:r>
          <w:rPr>
            <w:webHidden/>
          </w:rPr>
          <w:fldChar w:fldCharType="end"/>
        </w:r>
      </w:hyperlink>
    </w:p>
    <w:p w:rsidR="00D8323F" w:rsidRDefault="00A47FA6">
      <w:pPr>
        <w:pStyle w:val="TOC1"/>
        <w:rPr>
          <w:rFonts w:asciiTheme="minorHAnsi" w:eastAsiaTheme="minorEastAsia" w:hAnsiTheme="minorHAnsi" w:cstheme="minorBidi"/>
          <w:lang w:eastAsia="en-AU"/>
        </w:rPr>
      </w:pPr>
      <w:hyperlink w:anchor="_Toc307819284" w:history="1">
        <w:r w:rsidR="00D8323F" w:rsidRPr="00612483">
          <w:rPr>
            <w:rStyle w:val="Hyperlink"/>
            <w:rFonts w:cstheme="minorHAnsi"/>
          </w:rPr>
          <w:t>3.</w:t>
        </w:r>
        <w:r w:rsidR="00D8323F">
          <w:rPr>
            <w:rFonts w:asciiTheme="minorHAnsi" w:eastAsiaTheme="minorEastAsia" w:hAnsiTheme="minorHAnsi" w:cstheme="minorBidi"/>
            <w:lang w:eastAsia="en-AU"/>
          </w:rPr>
          <w:tab/>
        </w:r>
        <w:r w:rsidR="00D8323F" w:rsidRPr="00612483">
          <w:rPr>
            <w:rStyle w:val="Hyperlink"/>
            <w:rFonts w:cstheme="minorHAnsi"/>
          </w:rPr>
          <w:t>The Legislative Framework</w:t>
        </w:r>
        <w:r w:rsidR="00D8323F">
          <w:rPr>
            <w:webHidden/>
          </w:rPr>
          <w:tab/>
        </w:r>
        <w:r>
          <w:rPr>
            <w:webHidden/>
          </w:rPr>
          <w:fldChar w:fldCharType="begin"/>
        </w:r>
        <w:r w:rsidR="00D8323F">
          <w:rPr>
            <w:webHidden/>
          </w:rPr>
          <w:instrText xml:space="preserve"> PAGEREF _Toc307819284 \h </w:instrText>
        </w:r>
        <w:r>
          <w:rPr>
            <w:webHidden/>
          </w:rPr>
        </w:r>
        <w:r>
          <w:rPr>
            <w:webHidden/>
          </w:rPr>
          <w:fldChar w:fldCharType="separate"/>
        </w:r>
        <w:r w:rsidR="00F737C2">
          <w:rPr>
            <w:webHidden/>
          </w:rPr>
          <w:t>3</w:t>
        </w:r>
        <w:r>
          <w:rPr>
            <w:webHidden/>
          </w:rPr>
          <w:fldChar w:fldCharType="end"/>
        </w:r>
      </w:hyperlink>
    </w:p>
    <w:p w:rsidR="00D8323F" w:rsidRDefault="00A47FA6">
      <w:pPr>
        <w:pStyle w:val="TOC1"/>
        <w:rPr>
          <w:rFonts w:asciiTheme="minorHAnsi" w:eastAsiaTheme="minorEastAsia" w:hAnsiTheme="minorHAnsi" w:cstheme="minorBidi"/>
          <w:lang w:eastAsia="en-AU"/>
        </w:rPr>
      </w:pPr>
      <w:hyperlink w:anchor="_Toc307819285" w:history="1">
        <w:r w:rsidR="00D8323F" w:rsidRPr="00612483">
          <w:rPr>
            <w:rStyle w:val="Hyperlink"/>
            <w:rFonts w:cstheme="minorHAnsi"/>
          </w:rPr>
          <w:t>4.</w:t>
        </w:r>
        <w:r w:rsidR="00D8323F">
          <w:rPr>
            <w:rFonts w:asciiTheme="minorHAnsi" w:eastAsiaTheme="minorEastAsia" w:hAnsiTheme="minorHAnsi" w:cstheme="minorBidi"/>
            <w:lang w:eastAsia="en-AU"/>
          </w:rPr>
          <w:tab/>
        </w:r>
        <w:r w:rsidR="00D8323F" w:rsidRPr="00612483">
          <w:rPr>
            <w:rStyle w:val="Hyperlink"/>
            <w:rFonts w:cstheme="minorHAnsi"/>
          </w:rPr>
          <w:t>Scope</w:t>
        </w:r>
        <w:r w:rsidR="00D8323F">
          <w:rPr>
            <w:webHidden/>
          </w:rPr>
          <w:tab/>
        </w:r>
        <w:r>
          <w:rPr>
            <w:webHidden/>
          </w:rPr>
          <w:fldChar w:fldCharType="begin"/>
        </w:r>
        <w:r w:rsidR="00D8323F">
          <w:rPr>
            <w:webHidden/>
          </w:rPr>
          <w:instrText xml:space="preserve"> PAGEREF _Toc307819285 \h </w:instrText>
        </w:r>
        <w:r>
          <w:rPr>
            <w:webHidden/>
          </w:rPr>
        </w:r>
        <w:r>
          <w:rPr>
            <w:webHidden/>
          </w:rPr>
          <w:fldChar w:fldCharType="separate"/>
        </w:r>
        <w:r w:rsidR="00F737C2">
          <w:rPr>
            <w:webHidden/>
          </w:rPr>
          <w:t>4</w:t>
        </w:r>
        <w:r>
          <w:rPr>
            <w:webHidden/>
          </w:rPr>
          <w:fldChar w:fldCharType="end"/>
        </w:r>
      </w:hyperlink>
    </w:p>
    <w:p w:rsidR="00D8323F" w:rsidRDefault="00A47FA6">
      <w:pPr>
        <w:pStyle w:val="TOC1"/>
        <w:rPr>
          <w:rFonts w:asciiTheme="minorHAnsi" w:eastAsiaTheme="minorEastAsia" w:hAnsiTheme="minorHAnsi" w:cstheme="minorBidi"/>
          <w:lang w:eastAsia="en-AU"/>
        </w:rPr>
      </w:pPr>
      <w:hyperlink w:anchor="_Toc307819286" w:history="1">
        <w:r w:rsidR="00D8323F" w:rsidRPr="00612483">
          <w:rPr>
            <w:rStyle w:val="Hyperlink"/>
            <w:rFonts w:cstheme="minorHAnsi"/>
          </w:rPr>
          <w:t>5.</w:t>
        </w:r>
        <w:r w:rsidR="00D8323F">
          <w:rPr>
            <w:rFonts w:asciiTheme="minorHAnsi" w:eastAsiaTheme="minorEastAsia" w:hAnsiTheme="minorHAnsi" w:cstheme="minorBidi"/>
            <w:lang w:eastAsia="en-AU"/>
          </w:rPr>
          <w:tab/>
        </w:r>
        <w:r w:rsidR="00D8323F" w:rsidRPr="00612483">
          <w:rPr>
            <w:rStyle w:val="Hyperlink"/>
            <w:rFonts w:cstheme="minorHAnsi"/>
          </w:rPr>
          <w:t>Australian Government Cleaning Services tender and contract requirements</w:t>
        </w:r>
        <w:r w:rsidR="00D8323F">
          <w:rPr>
            <w:webHidden/>
          </w:rPr>
          <w:tab/>
        </w:r>
        <w:r>
          <w:rPr>
            <w:webHidden/>
          </w:rPr>
          <w:fldChar w:fldCharType="begin"/>
        </w:r>
        <w:r w:rsidR="00D8323F">
          <w:rPr>
            <w:webHidden/>
          </w:rPr>
          <w:instrText xml:space="preserve"> PAGEREF _Toc307819286 \h </w:instrText>
        </w:r>
        <w:r>
          <w:rPr>
            <w:webHidden/>
          </w:rPr>
        </w:r>
        <w:r>
          <w:rPr>
            <w:webHidden/>
          </w:rPr>
          <w:fldChar w:fldCharType="separate"/>
        </w:r>
        <w:r w:rsidR="00F737C2">
          <w:rPr>
            <w:webHidden/>
          </w:rPr>
          <w:t>5</w:t>
        </w:r>
        <w:r>
          <w:rPr>
            <w:webHidden/>
          </w:rPr>
          <w:fldChar w:fldCharType="end"/>
        </w:r>
      </w:hyperlink>
    </w:p>
    <w:p w:rsidR="00D8323F" w:rsidRDefault="00A47FA6">
      <w:pPr>
        <w:pStyle w:val="TOC1"/>
        <w:rPr>
          <w:rFonts w:asciiTheme="minorHAnsi" w:eastAsiaTheme="minorEastAsia" w:hAnsiTheme="minorHAnsi" w:cstheme="minorBidi"/>
          <w:lang w:eastAsia="en-AU"/>
        </w:rPr>
      </w:pPr>
      <w:hyperlink w:anchor="_Toc307819287" w:history="1">
        <w:r w:rsidR="00D8323F" w:rsidRPr="00612483">
          <w:rPr>
            <w:rStyle w:val="Hyperlink"/>
          </w:rPr>
          <w:t>6.</w:t>
        </w:r>
        <w:r w:rsidR="00D8323F">
          <w:rPr>
            <w:rFonts w:asciiTheme="minorHAnsi" w:eastAsiaTheme="minorEastAsia" w:hAnsiTheme="minorHAnsi" w:cstheme="minorBidi"/>
            <w:lang w:eastAsia="en-AU"/>
          </w:rPr>
          <w:tab/>
        </w:r>
        <w:r w:rsidR="00D8323F" w:rsidRPr="00612483">
          <w:rPr>
            <w:rStyle w:val="Hyperlink"/>
          </w:rPr>
          <w:t>Definitions</w:t>
        </w:r>
        <w:r w:rsidR="00D8323F">
          <w:rPr>
            <w:webHidden/>
          </w:rPr>
          <w:tab/>
        </w:r>
        <w:r>
          <w:rPr>
            <w:webHidden/>
          </w:rPr>
          <w:fldChar w:fldCharType="begin"/>
        </w:r>
        <w:r w:rsidR="00D8323F">
          <w:rPr>
            <w:webHidden/>
          </w:rPr>
          <w:instrText xml:space="preserve"> PAGEREF _Toc307819287 \h </w:instrText>
        </w:r>
        <w:r>
          <w:rPr>
            <w:webHidden/>
          </w:rPr>
        </w:r>
        <w:r>
          <w:rPr>
            <w:webHidden/>
          </w:rPr>
          <w:fldChar w:fldCharType="separate"/>
        </w:r>
        <w:r w:rsidR="00F737C2">
          <w:rPr>
            <w:webHidden/>
          </w:rPr>
          <w:t>7</w:t>
        </w:r>
        <w:r>
          <w:rPr>
            <w:webHidden/>
          </w:rPr>
          <w:fldChar w:fldCharType="end"/>
        </w:r>
      </w:hyperlink>
    </w:p>
    <w:p w:rsidR="00D8323F" w:rsidRDefault="00A47FA6">
      <w:pPr>
        <w:pStyle w:val="TOC1"/>
        <w:rPr>
          <w:rFonts w:asciiTheme="minorHAnsi" w:eastAsiaTheme="minorEastAsia" w:hAnsiTheme="minorHAnsi" w:cstheme="minorBidi"/>
          <w:lang w:eastAsia="en-AU"/>
        </w:rPr>
      </w:pPr>
      <w:hyperlink w:anchor="_Toc307819288" w:history="1">
        <w:r w:rsidR="00D8323F" w:rsidRPr="00612483">
          <w:rPr>
            <w:rStyle w:val="Hyperlink"/>
          </w:rPr>
          <w:t>Schedule A</w:t>
        </w:r>
        <w:r w:rsidR="00D8323F">
          <w:rPr>
            <w:webHidden/>
          </w:rPr>
          <w:tab/>
        </w:r>
        <w:r>
          <w:rPr>
            <w:webHidden/>
          </w:rPr>
          <w:fldChar w:fldCharType="begin"/>
        </w:r>
        <w:r w:rsidR="00D8323F">
          <w:rPr>
            <w:webHidden/>
          </w:rPr>
          <w:instrText xml:space="preserve"> PAGEREF _Toc307819288 \h </w:instrText>
        </w:r>
        <w:r>
          <w:rPr>
            <w:webHidden/>
          </w:rPr>
        </w:r>
        <w:r>
          <w:rPr>
            <w:webHidden/>
          </w:rPr>
          <w:fldChar w:fldCharType="separate"/>
        </w:r>
        <w:r w:rsidR="00F737C2">
          <w:rPr>
            <w:webHidden/>
          </w:rPr>
          <w:t>11</w:t>
        </w:r>
        <w:r>
          <w:rPr>
            <w:webHidden/>
          </w:rPr>
          <w:fldChar w:fldCharType="end"/>
        </w:r>
      </w:hyperlink>
    </w:p>
    <w:p w:rsidR="00D8323F" w:rsidRDefault="00A47FA6">
      <w:pPr>
        <w:pStyle w:val="TOC1"/>
        <w:rPr>
          <w:rFonts w:asciiTheme="minorHAnsi" w:eastAsiaTheme="minorEastAsia" w:hAnsiTheme="minorHAnsi" w:cstheme="minorBidi"/>
          <w:lang w:eastAsia="en-AU"/>
        </w:rPr>
      </w:pPr>
      <w:hyperlink w:anchor="_Toc307819289" w:history="1">
        <w:r w:rsidR="00D8323F" w:rsidRPr="00612483">
          <w:rPr>
            <w:rStyle w:val="Hyperlink"/>
          </w:rPr>
          <w:t>Schedule B</w:t>
        </w:r>
        <w:r w:rsidR="00D8323F">
          <w:rPr>
            <w:webHidden/>
          </w:rPr>
          <w:tab/>
        </w:r>
        <w:r>
          <w:rPr>
            <w:webHidden/>
          </w:rPr>
          <w:fldChar w:fldCharType="begin"/>
        </w:r>
        <w:r w:rsidR="00D8323F">
          <w:rPr>
            <w:webHidden/>
          </w:rPr>
          <w:instrText xml:space="preserve"> PAGEREF _Toc307819289 \h </w:instrText>
        </w:r>
        <w:r>
          <w:rPr>
            <w:webHidden/>
          </w:rPr>
        </w:r>
        <w:r>
          <w:rPr>
            <w:webHidden/>
          </w:rPr>
          <w:fldChar w:fldCharType="separate"/>
        </w:r>
        <w:r w:rsidR="00F737C2">
          <w:rPr>
            <w:webHidden/>
          </w:rPr>
          <w:t>12</w:t>
        </w:r>
        <w:r>
          <w:rPr>
            <w:webHidden/>
          </w:rPr>
          <w:fldChar w:fldCharType="end"/>
        </w:r>
      </w:hyperlink>
    </w:p>
    <w:p w:rsidR="00D8323F" w:rsidRDefault="00A47FA6">
      <w:pPr>
        <w:pStyle w:val="TOC1"/>
        <w:rPr>
          <w:rFonts w:asciiTheme="minorHAnsi" w:eastAsiaTheme="minorEastAsia" w:hAnsiTheme="minorHAnsi" w:cstheme="minorBidi"/>
          <w:lang w:eastAsia="en-AU"/>
        </w:rPr>
      </w:pPr>
      <w:hyperlink w:anchor="_Toc307819290" w:history="1">
        <w:r w:rsidR="00D8323F" w:rsidRPr="00612483">
          <w:rPr>
            <w:rStyle w:val="Hyperlink"/>
          </w:rPr>
          <w:t>Schedule C</w:t>
        </w:r>
        <w:r w:rsidR="00D8323F">
          <w:rPr>
            <w:webHidden/>
          </w:rPr>
          <w:tab/>
        </w:r>
        <w:r>
          <w:rPr>
            <w:webHidden/>
          </w:rPr>
          <w:fldChar w:fldCharType="begin"/>
        </w:r>
        <w:r w:rsidR="00D8323F">
          <w:rPr>
            <w:webHidden/>
          </w:rPr>
          <w:instrText xml:space="preserve"> PAGEREF _Toc307819290 \h </w:instrText>
        </w:r>
        <w:r>
          <w:rPr>
            <w:webHidden/>
          </w:rPr>
        </w:r>
        <w:r>
          <w:rPr>
            <w:webHidden/>
          </w:rPr>
          <w:fldChar w:fldCharType="separate"/>
        </w:r>
        <w:r w:rsidR="00F737C2">
          <w:rPr>
            <w:webHidden/>
          </w:rPr>
          <w:t>13</w:t>
        </w:r>
        <w:r>
          <w:rPr>
            <w:webHidden/>
          </w:rPr>
          <w:fldChar w:fldCharType="end"/>
        </w:r>
      </w:hyperlink>
    </w:p>
    <w:p w:rsidR="00D02375" w:rsidRPr="00406746" w:rsidRDefault="00A47FA6" w:rsidP="00D02375">
      <w:pPr>
        <w:pStyle w:val="Heading1"/>
        <w:ind w:left="357"/>
        <w:rPr>
          <w:rFonts w:ascii="Calibri" w:hAnsi="Calibri" w:cs="Calibri"/>
        </w:rPr>
      </w:pPr>
      <w:r w:rsidRPr="00406746">
        <w:rPr>
          <w:rFonts w:ascii="Calibri" w:eastAsia="Calibri" w:hAnsi="Calibri" w:cs="Calibri"/>
          <w:noProof/>
          <w:szCs w:val="22"/>
        </w:rPr>
        <w:fldChar w:fldCharType="end"/>
      </w:r>
    </w:p>
    <w:p w:rsidR="00D02375" w:rsidRPr="00406746" w:rsidRDefault="00D02375" w:rsidP="00D02375">
      <w:pPr>
        <w:rPr>
          <w:rFonts w:ascii="Calibri" w:hAnsi="Calibri" w:cs="Calibri"/>
          <w:b/>
          <w:bCs/>
          <w:color w:val="0D0D0D"/>
          <w:szCs w:val="28"/>
        </w:rPr>
      </w:pPr>
      <w:r w:rsidRPr="00406746">
        <w:rPr>
          <w:rFonts w:ascii="Calibri" w:hAnsi="Calibri" w:cs="Calibri"/>
        </w:rPr>
        <w:br w:type="page"/>
      </w:r>
    </w:p>
    <w:p w:rsidR="00D02375" w:rsidRPr="00A44323" w:rsidRDefault="00D02375" w:rsidP="00D02375">
      <w:pPr>
        <w:pStyle w:val="Heading1"/>
        <w:numPr>
          <w:ilvl w:val="0"/>
          <w:numId w:val="13"/>
        </w:numPr>
        <w:spacing w:before="120" w:after="120"/>
        <w:rPr>
          <w:rFonts w:asciiTheme="minorHAnsi" w:hAnsiTheme="minorHAnsi" w:cstheme="minorHAnsi"/>
          <w:sz w:val="24"/>
          <w:szCs w:val="24"/>
        </w:rPr>
      </w:pPr>
      <w:bookmarkStart w:id="0" w:name="_Toc305076432"/>
      <w:bookmarkStart w:id="1" w:name="_Toc307819282"/>
      <w:r w:rsidRPr="00A44323">
        <w:rPr>
          <w:rFonts w:asciiTheme="minorHAnsi" w:hAnsiTheme="minorHAnsi" w:cstheme="minorHAnsi"/>
          <w:sz w:val="24"/>
          <w:szCs w:val="24"/>
        </w:rPr>
        <w:lastRenderedPageBreak/>
        <w:t>Foreword</w:t>
      </w:r>
      <w:bookmarkEnd w:id="0"/>
      <w:bookmarkEnd w:id="1"/>
    </w:p>
    <w:p w:rsidR="00D02375" w:rsidRPr="00A44323" w:rsidRDefault="00D02375" w:rsidP="00D02375">
      <w:pPr>
        <w:spacing w:before="120" w:after="120"/>
        <w:rPr>
          <w:rFonts w:asciiTheme="minorHAnsi" w:hAnsiTheme="minorHAnsi" w:cstheme="minorHAnsi"/>
          <w:sz w:val="22"/>
          <w:szCs w:val="22"/>
        </w:rPr>
      </w:pPr>
    </w:p>
    <w:p w:rsidR="00D02375" w:rsidRPr="00A44323" w:rsidRDefault="00D02375" w:rsidP="00D02375">
      <w:pPr>
        <w:spacing w:before="120" w:after="120"/>
        <w:rPr>
          <w:rFonts w:asciiTheme="minorHAnsi" w:hAnsiTheme="minorHAnsi" w:cstheme="minorHAnsi"/>
          <w:sz w:val="22"/>
          <w:szCs w:val="22"/>
        </w:rPr>
      </w:pPr>
      <w:r w:rsidRPr="00A44323">
        <w:rPr>
          <w:rFonts w:asciiTheme="minorHAnsi" w:hAnsiTheme="minorHAnsi" w:cstheme="minorHAnsi"/>
          <w:sz w:val="22"/>
          <w:szCs w:val="22"/>
        </w:rPr>
        <w:t xml:space="preserve">In view of the history of underpayment, exploitation and unsafe work practices in the cleaning industry, the Government identified this sector as requiring special attention to promote fairness, bargaining, freedom of association and other workplace rights.  </w:t>
      </w:r>
    </w:p>
    <w:p w:rsidR="00D02375" w:rsidRPr="00A44323" w:rsidRDefault="00D02375" w:rsidP="00D02375">
      <w:pPr>
        <w:spacing w:before="120" w:after="120"/>
        <w:rPr>
          <w:rFonts w:asciiTheme="minorHAnsi" w:hAnsiTheme="minorHAnsi" w:cstheme="minorHAnsi"/>
          <w:sz w:val="22"/>
          <w:szCs w:val="22"/>
        </w:rPr>
      </w:pPr>
    </w:p>
    <w:p w:rsidR="00D02375" w:rsidRPr="00A44323" w:rsidRDefault="00D02375" w:rsidP="00D02375">
      <w:pPr>
        <w:spacing w:before="120" w:after="120"/>
        <w:rPr>
          <w:rFonts w:asciiTheme="minorHAnsi" w:hAnsiTheme="minorHAnsi" w:cstheme="minorHAnsi"/>
          <w:sz w:val="22"/>
          <w:szCs w:val="22"/>
        </w:rPr>
      </w:pPr>
      <w:r w:rsidRPr="00A44323">
        <w:rPr>
          <w:rFonts w:asciiTheme="minorHAnsi" w:hAnsiTheme="minorHAnsi" w:cstheme="minorHAnsi"/>
          <w:sz w:val="22"/>
          <w:szCs w:val="22"/>
        </w:rPr>
        <w:t xml:space="preserve">While many of these matters have been significantly enhanced by the </w:t>
      </w:r>
      <w:r w:rsidRPr="00A44323">
        <w:rPr>
          <w:rFonts w:asciiTheme="minorHAnsi" w:hAnsiTheme="minorHAnsi" w:cstheme="minorHAnsi"/>
          <w:i/>
          <w:sz w:val="22"/>
          <w:szCs w:val="22"/>
        </w:rPr>
        <w:t>Fair Work Act 2009</w:t>
      </w:r>
      <w:r w:rsidRPr="00A44323">
        <w:rPr>
          <w:rFonts w:asciiTheme="minorHAnsi" w:hAnsiTheme="minorHAnsi" w:cstheme="minorHAnsi"/>
          <w:sz w:val="22"/>
          <w:szCs w:val="22"/>
        </w:rPr>
        <w:t xml:space="preserve"> </w:t>
      </w:r>
      <w:r w:rsidRPr="00A44323">
        <w:rPr>
          <w:rFonts w:asciiTheme="minorHAnsi" w:hAnsiTheme="minorHAnsi" w:cstheme="minorHAnsi"/>
          <w:sz w:val="22"/>
          <w:szCs w:val="22"/>
        </w:rPr>
        <w:br/>
        <w:t>(the Fair Work Act)</w:t>
      </w:r>
      <w:r w:rsidR="001A369B">
        <w:rPr>
          <w:rFonts w:asciiTheme="minorHAnsi" w:hAnsiTheme="minorHAnsi" w:cstheme="minorHAnsi"/>
          <w:sz w:val="22"/>
          <w:szCs w:val="22"/>
        </w:rPr>
        <w:t xml:space="preserve"> </w:t>
      </w:r>
      <w:r w:rsidRPr="00A44323">
        <w:rPr>
          <w:rFonts w:asciiTheme="minorHAnsi" w:hAnsiTheme="minorHAnsi" w:cstheme="minorHAnsi"/>
          <w:sz w:val="22"/>
          <w:szCs w:val="22"/>
        </w:rPr>
        <w:t xml:space="preserve">and the modernised </w:t>
      </w:r>
      <w:r w:rsidRPr="00A44323">
        <w:rPr>
          <w:rFonts w:asciiTheme="minorHAnsi" w:hAnsiTheme="minorHAnsi" w:cstheme="minorHAnsi"/>
          <w:i/>
          <w:sz w:val="22"/>
          <w:szCs w:val="22"/>
        </w:rPr>
        <w:t>Cleaning Services Award 2010</w:t>
      </w:r>
      <w:r w:rsidRPr="00A44323">
        <w:rPr>
          <w:rFonts w:asciiTheme="minorHAnsi" w:hAnsiTheme="minorHAnsi" w:cstheme="minorHAnsi"/>
          <w:sz w:val="22"/>
          <w:szCs w:val="22"/>
        </w:rPr>
        <w:t>, the Government has also introduced additional requirements under the Fair Work Principles to improve the working conditions of contract cleaners working in Commonwealth buildings.</w:t>
      </w:r>
    </w:p>
    <w:p w:rsidR="00D02375" w:rsidRPr="00A44323" w:rsidRDefault="00D02375" w:rsidP="00D02375">
      <w:pPr>
        <w:spacing w:before="120" w:after="120"/>
        <w:rPr>
          <w:rFonts w:asciiTheme="minorHAnsi" w:hAnsiTheme="minorHAnsi" w:cstheme="minorHAnsi"/>
          <w:sz w:val="22"/>
          <w:szCs w:val="22"/>
        </w:rPr>
      </w:pPr>
    </w:p>
    <w:p w:rsidR="00D02375" w:rsidRPr="00A44323" w:rsidRDefault="00D02375" w:rsidP="00D02375">
      <w:pPr>
        <w:spacing w:before="120" w:after="120"/>
        <w:rPr>
          <w:rFonts w:asciiTheme="minorHAnsi" w:hAnsiTheme="minorHAnsi" w:cstheme="minorHAnsi"/>
          <w:sz w:val="22"/>
          <w:szCs w:val="22"/>
        </w:rPr>
      </w:pPr>
      <w:r w:rsidRPr="00A44323">
        <w:rPr>
          <w:rFonts w:asciiTheme="minorHAnsi" w:hAnsiTheme="minorHAnsi" w:cstheme="minorHAnsi"/>
          <w:sz w:val="22"/>
          <w:szCs w:val="22"/>
        </w:rPr>
        <w:t xml:space="preserve">I am releasing the Commonwealth Cleaning Services Guidelines to strengthen the cleaning specific requirements of Fair Work Principles, and to ensure that the Government’s objective of promoting better wages and conditions for vulnerable workers in the cleaning industry in respect of Australian Government cleaning services contracts can be realised. </w:t>
      </w:r>
    </w:p>
    <w:p w:rsidR="00D02375" w:rsidRPr="00A44323" w:rsidRDefault="00D02375" w:rsidP="00D02375">
      <w:pPr>
        <w:pStyle w:val="Pa1"/>
        <w:spacing w:before="120" w:after="120" w:line="240" w:lineRule="auto"/>
        <w:rPr>
          <w:rFonts w:asciiTheme="minorHAnsi" w:hAnsiTheme="minorHAnsi" w:cstheme="minorHAnsi"/>
          <w:color w:val="000000"/>
          <w:sz w:val="22"/>
          <w:szCs w:val="22"/>
        </w:rPr>
      </w:pPr>
    </w:p>
    <w:p w:rsidR="00D02375" w:rsidRPr="00A44323" w:rsidRDefault="00D02375" w:rsidP="00D02375">
      <w:pPr>
        <w:rPr>
          <w:rFonts w:asciiTheme="minorHAnsi" w:hAnsiTheme="minorHAnsi" w:cstheme="minorHAnsi"/>
          <w:sz w:val="22"/>
          <w:szCs w:val="22"/>
        </w:rPr>
      </w:pPr>
    </w:p>
    <w:p w:rsidR="001E4706" w:rsidRDefault="001E4706" w:rsidP="00D02375">
      <w:pPr>
        <w:spacing w:after="120"/>
        <w:rPr>
          <w:rFonts w:asciiTheme="minorHAnsi" w:hAnsiTheme="minorHAnsi" w:cstheme="minorHAnsi"/>
          <w:bCs/>
          <w:color w:val="0D0D0D"/>
          <w:sz w:val="22"/>
          <w:szCs w:val="22"/>
        </w:rPr>
      </w:pPr>
    </w:p>
    <w:p w:rsidR="001E4706" w:rsidRDefault="00082E40" w:rsidP="00D02375">
      <w:pPr>
        <w:spacing w:after="120"/>
        <w:rPr>
          <w:rFonts w:asciiTheme="minorHAnsi" w:hAnsiTheme="minorHAnsi" w:cstheme="minorHAnsi"/>
          <w:bCs/>
          <w:color w:val="0D0D0D"/>
          <w:sz w:val="22"/>
          <w:szCs w:val="22"/>
        </w:rPr>
      </w:pPr>
      <w:r>
        <w:rPr>
          <w:rFonts w:asciiTheme="minorHAnsi" w:hAnsiTheme="minorHAnsi" w:cstheme="minorHAnsi"/>
          <w:bCs/>
          <w:color w:val="0D0D0D"/>
          <w:sz w:val="22"/>
          <w:szCs w:val="22"/>
        </w:rPr>
        <w:t>CHRIS EVANS</w:t>
      </w:r>
    </w:p>
    <w:p w:rsidR="001E4706" w:rsidRDefault="001E4706" w:rsidP="00D02375">
      <w:pPr>
        <w:spacing w:after="120"/>
        <w:rPr>
          <w:rFonts w:asciiTheme="minorHAnsi" w:hAnsiTheme="minorHAnsi" w:cstheme="minorHAnsi"/>
          <w:bCs/>
          <w:color w:val="0D0D0D"/>
          <w:sz w:val="22"/>
          <w:szCs w:val="22"/>
        </w:rPr>
      </w:pPr>
    </w:p>
    <w:p w:rsidR="001E4706" w:rsidRDefault="001E4706" w:rsidP="00D02375">
      <w:pPr>
        <w:spacing w:after="120"/>
        <w:rPr>
          <w:rFonts w:asciiTheme="minorHAnsi" w:hAnsiTheme="minorHAnsi" w:cstheme="minorHAnsi"/>
          <w:bCs/>
          <w:color w:val="0D0D0D"/>
          <w:sz w:val="22"/>
          <w:szCs w:val="22"/>
        </w:rPr>
      </w:pPr>
    </w:p>
    <w:p w:rsidR="00D02375" w:rsidRPr="001E4706" w:rsidRDefault="00D02375" w:rsidP="00D02375">
      <w:pPr>
        <w:spacing w:after="120"/>
        <w:rPr>
          <w:rFonts w:asciiTheme="minorHAnsi" w:hAnsiTheme="minorHAnsi" w:cstheme="minorHAnsi"/>
          <w:bCs/>
          <w:color w:val="0D0D0D"/>
          <w:sz w:val="22"/>
          <w:szCs w:val="22"/>
        </w:rPr>
      </w:pPr>
      <w:r w:rsidRPr="00A44323">
        <w:rPr>
          <w:rFonts w:asciiTheme="minorHAnsi" w:hAnsiTheme="minorHAnsi" w:cstheme="minorHAnsi"/>
          <w:bCs/>
          <w:color w:val="0D0D0D"/>
          <w:sz w:val="22"/>
          <w:szCs w:val="22"/>
        </w:rPr>
        <w:t>Senator the Hon Christopher Evans</w:t>
      </w:r>
      <w:r w:rsidR="001E4706">
        <w:rPr>
          <w:rFonts w:asciiTheme="minorHAnsi" w:hAnsiTheme="minorHAnsi" w:cstheme="minorHAnsi"/>
          <w:bCs/>
          <w:color w:val="0D0D0D"/>
          <w:sz w:val="22"/>
          <w:szCs w:val="22"/>
        </w:rPr>
        <w:br/>
      </w:r>
      <w:r w:rsidR="001E4706" w:rsidRPr="001E4706">
        <w:rPr>
          <w:rFonts w:asciiTheme="minorHAnsi" w:hAnsiTheme="minorHAnsi" w:cstheme="minorHAnsi"/>
          <w:bCs/>
          <w:color w:val="0D0D0D"/>
          <w:sz w:val="22"/>
          <w:szCs w:val="22"/>
        </w:rPr>
        <w:t xml:space="preserve">Minister for Tertiary Education, Skills, Jobs and Workplace Relations </w:t>
      </w:r>
      <w:r w:rsidRPr="001E4706">
        <w:rPr>
          <w:rFonts w:asciiTheme="minorHAnsi" w:hAnsiTheme="minorHAnsi" w:cstheme="minorHAnsi"/>
          <w:bCs/>
          <w:color w:val="0D0D0D"/>
          <w:sz w:val="22"/>
          <w:szCs w:val="22"/>
        </w:rPr>
        <w:br w:type="page"/>
      </w:r>
    </w:p>
    <w:p w:rsidR="00D02375" w:rsidRPr="00A44323" w:rsidRDefault="00D02375" w:rsidP="00D02375">
      <w:pPr>
        <w:pStyle w:val="Heading1"/>
        <w:numPr>
          <w:ilvl w:val="0"/>
          <w:numId w:val="13"/>
        </w:numPr>
        <w:spacing w:before="120" w:after="120"/>
        <w:rPr>
          <w:rFonts w:asciiTheme="minorHAnsi" w:hAnsiTheme="minorHAnsi" w:cstheme="minorHAnsi"/>
          <w:sz w:val="24"/>
          <w:szCs w:val="24"/>
        </w:rPr>
      </w:pPr>
      <w:bookmarkStart w:id="2" w:name="_Toc305076433"/>
      <w:bookmarkStart w:id="3" w:name="_Toc307819283"/>
      <w:r w:rsidRPr="00A44323">
        <w:rPr>
          <w:rFonts w:asciiTheme="minorHAnsi" w:hAnsiTheme="minorHAnsi" w:cstheme="minorHAnsi"/>
          <w:sz w:val="24"/>
          <w:szCs w:val="24"/>
        </w:rPr>
        <w:lastRenderedPageBreak/>
        <w:t>Purpose</w:t>
      </w:r>
      <w:bookmarkEnd w:id="2"/>
      <w:bookmarkEnd w:id="3"/>
    </w:p>
    <w:p w:rsidR="00D02375" w:rsidRPr="00A44323" w:rsidRDefault="00D02375" w:rsidP="00D02375">
      <w:pPr>
        <w:pStyle w:val="ListParagraph"/>
        <w:spacing w:before="120" w:after="120"/>
        <w:ind w:left="567"/>
        <w:rPr>
          <w:rFonts w:asciiTheme="minorHAnsi" w:hAnsiTheme="minorHAnsi" w:cstheme="minorHAnsi"/>
          <w:color w:val="000000"/>
          <w:sz w:val="22"/>
          <w:szCs w:val="22"/>
        </w:rPr>
      </w:pPr>
    </w:p>
    <w:p w:rsidR="00D02375" w:rsidRPr="00A44323" w:rsidRDefault="00D02375" w:rsidP="00D02375">
      <w:pPr>
        <w:pStyle w:val="ListParagraph"/>
        <w:numPr>
          <w:ilvl w:val="1"/>
          <w:numId w:val="13"/>
        </w:numPr>
        <w:spacing w:before="120" w:after="120"/>
        <w:ind w:left="567" w:hanging="567"/>
        <w:contextualSpacing w:val="0"/>
        <w:rPr>
          <w:rFonts w:asciiTheme="minorHAnsi" w:hAnsiTheme="minorHAnsi" w:cstheme="minorHAnsi"/>
          <w:sz w:val="22"/>
          <w:szCs w:val="22"/>
        </w:rPr>
      </w:pPr>
      <w:r w:rsidRPr="00A44323">
        <w:rPr>
          <w:rFonts w:asciiTheme="minorHAnsi" w:hAnsiTheme="minorHAnsi" w:cstheme="minorHAnsi"/>
          <w:color w:val="0D0D0D"/>
          <w:sz w:val="22"/>
          <w:szCs w:val="22"/>
        </w:rPr>
        <w:t>The Commonwealth Cleaning Services Guidelines (Guidelines) are issued by the Minister for Tertiary Education, Skills, Jobs and Workplace Relations</w:t>
      </w:r>
      <w:r w:rsidRPr="00A44323" w:rsidDel="00A3261E">
        <w:rPr>
          <w:rFonts w:asciiTheme="minorHAnsi" w:hAnsiTheme="minorHAnsi" w:cstheme="minorHAnsi"/>
          <w:color w:val="333333"/>
          <w:sz w:val="22"/>
          <w:szCs w:val="22"/>
        </w:rPr>
        <w:t xml:space="preserve"> </w:t>
      </w:r>
      <w:r w:rsidRPr="00A44323">
        <w:rPr>
          <w:rFonts w:asciiTheme="minorHAnsi" w:hAnsiTheme="minorHAnsi" w:cstheme="minorHAnsi"/>
          <w:color w:val="000000"/>
          <w:sz w:val="22"/>
          <w:szCs w:val="22"/>
        </w:rPr>
        <w:t xml:space="preserve">under Regulation </w:t>
      </w:r>
      <w:proofErr w:type="spellStart"/>
      <w:r w:rsidRPr="00A44323">
        <w:rPr>
          <w:rFonts w:asciiTheme="minorHAnsi" w:hAnsiTheme="minorHAnsi" w:cstheme="minorHAnsi"/>
          <w:color w:val="000000"/>
          <w:sz w:val="22"/>
          <w:szCs w:val="22"/>
        </w:rPr>
        <w:t>7</w:t>
      </w:r>
      <w:r w:rsidR="001A369B">
        <w:rPr>
          <w:rFonts w:asciiTheme="minorHAnsi" w:hAnsiTheme="minorHAnsi" w:cstheme="minorHAnsi"/>
          <w:color w:val="000000"/>
          <w:sz w:val="22"/>
          <w:szCs w:val="22"/>
        </w:rPr>
        <w:t>B</w:t>
      </w:r>
      <w:proofErr w:type="spellEnd"/>
      <w:r w:rsidRPr="00A44323">
        <w:rPr>
          <w:rFonts w:asciiTheme="minorHAnsi" w:hAnsiTheme="minorHAnsi" w:cstheme="minorHAnsi"/>
          <w:color w:val="000000"/>
          <w:sz w:val="22"/>
          <w:szCs w:val="22"/>
        </w:rPr>
        <w:t xml:space="preserve"> of the </w:t>
      </w:r>
      <w:r w:rsidRPr="00A44323">
        <w:rPr>
          <w:rFonts w:asciiTheme="minorHAnsi" w:hAnsiTheme="minorHAnsi" w:cstheme="minorHAnsi"/>
          <w:i/>
          <w:color w:val="000000"/>
          <w:sz w:val="22"/>
          <w:szCs w:val="22"/>
        </w:rPr>
        <w:t>Financial Management and Accountability Regulations 1997</w:t>
      </w:r>
      <w:r w:rsidRPr="00A44323">
        <w:rPr>
          <w:rFonts w:asciiTheme="minorHAnsi" w:hAnsiTheme="minorHAnsi" w:cstheme="minorHAnsi"/>
          <w:color w:val="000000"/>
          <w:sz w:val="22"/>
          <w:szCs w:val="22"/>
        </w:rPr>
        <w:t xml:space="preserve"> (FMA Regulations)</w:t>
      </w:r>
      <w:r w:rsidRPr="00A44323">
        <w:rPr>
          <w:rStyle w:val="FootnoteReference"/>
          <w:rFonts w:asciiTheme="minorHAnsi" w:hAnsiTheme="minorHAnsi" w:cstheme="minorHAnsi"/>
          <w:color w:val="000000"/>
          <w:sz w:val="22"/>
          <w:szCs w:val="22"/>
        </w:rPr>
        <w:footnoteReference w:id="1"/>
      </w:r>
      <w:r w:rsidRPr="00A44323">
        <w:rPr>
          <w:rStyle w:val="A5"/>
          <w:rFonts w:asciiTheme="minorHAnsi" w:hAnsiTheme="minorHAnsi" w:cstheme="minorHAnsi"/>
          <w:sz w:val="22"/>
          <w:szCs w:val="22"/>
        </w:rPr>
        <w:t>.</w:t>
      </w:r>
      <w:r w:rsidR="001A369B">
        <w:rPr>
          <w:rStyle w:val="A5"/>
          <w:rFonts w:asciiTheme="minorHAnsi" w:hAnsiTheme="minorHAnsi" w:cstheme="minorHAnsi"/>
          <w:sz w:val="22"/>
          <w:szCs w:val="22"/>
        </w:rPr>
        <w:t xml:space="preserve"> </w:t>
      </w:r>
      <w:r w:rsidRPr="00A44323">
        <w:rPr>
          <w:rFonts w:asciiTheme="minorHAnsi" w:hAnsiTheme="minorHAnsi" w:cstheme="minorHAnsi"/>
          <w:color w:val="000000"/>
          <w:sz w:val="22"/>
          <w:szCs w:val="22"/>
        </w:rPr>
        <w:t xml:space="preserve">These Guidelines must be </w:t>
      </w:r>
      <w:proofErr w:type="gramStart"/>
      <w:r w:rsidRPr="00A44323">
        <w:rPr>
          <w:rFonts w:asciiTheme="minorHAnsi" w:hAnsiTheme="minorHAnsi" w:cstheme="minorHAnsi"/>
          <w:color w:val="000000"/>
          <w:sz w:val="22"/>
          <w:szCs w:val="22"/>
        </w:rPr>
        <w:t>complied</w:t>
      </w:r>
      <w:proofErr w:type="gramEnd"/>
      <w:r w:rsidRPr="00A44323">
        <w:rPr>
          <w:rFonts w:asciiTheme="minorHAnsi" w:hAnsiTheme="minorHAnsi" w:cstheme="minorHAnsi"/>
          <w:color w:val="000000"/>
          <w:sz w:val="22"/>
          <w:szCs w:val="22"/>
        </w:rPr>
        <w:t xml:space="preserve"> with by Australian Government officials. </w:t>
      </w:r>
    </w:p>
    <w:p w:rsidR="00D02375" w:rsidRPr="00A44323" w:rsidRDefault="00D02375" w:rsidP="00D02375">
      <w:pPr>
        <w:pStyle w:val="ListParagraph"/>
        <w:spacing w:before="120" w:after="120"/>
        <w:ind w:left="644"/>
        <w:rPr>
          <w:rFonts w:asciiTheme="minorHAnsi" w:hAnsiTheme="minorHAnsi" w:cstheme="minorHAnsi"/>
          <w:sz w:val="22"/>
          <w:szCs w:val="22"/>
        </w:rPr>
      </w:pPr>
    </w:p>
    <w:p w:rsidR="00D02375" w:rsidRPr="00A44323" w:rsidRDefault="00D02375" w:rsidP="00D02375">
      <w:pPr>
        <w:pStyle w:val="ListParagraph"/>
        <w:numPr>
          <w:ilvl w:val="1"/>
          <w:numId w:val="13"/>
        </w:numPr>
        <w:spacing w:before="120" w:after="120"/>
        <w:ind w:left="567" w:hanging="567"/>
        <w:contextualSpacing w:val="0"/>
        <w:rPr>
          <w:rFonts w:asciiTheme="minorHAnsi" w:hAnsiTheme="minorHAnsi" w:cstheme="minorHAnsi"/>
          <w:sz w:val="22"/>
          <w:szCs w:val="22"/>
        </w:rPr>
      </w:pPr>
      <w:r w:rsidRPr="00A44323">
        <w:rPr>
          <w:rFonts w:asciiTheme="minorHAnsi" w:hAnsiTheme="minorHAnsi" w:cstheme="minorHAnsi"/>
          <w:color w:val="000000"/>
          <w:sz w:val="22"/>
          <w:szCs w:val="22"/>
        </w:rPr>
        <w:t xml:space="preserve">The purpose of these Guidelines is to prescribe certain circumstances in which Australian Government agencies must decline to accept a tenderer’s proposal or enter into a contract with a tenderer in relation to an Australian Government Cleaning Services Contract (AGCSC) as defined at Section 6 of these Guidelines. </w:t>
      </w:r>
    </w:p>
    <w:p w:rsidR="00D02375" w:rsidRPr="00A44323" w:rsidRDefault="00D02375" w:rsidP="00D02375">
      <w:pPr>
        <w:pStyle w:val="ListParagraph"/>
        <w:spacing w:before="120" w:after="120"/>
        <w:ind w:left="567"/>
        <w:rPr>
          <w:rFonts w:asciiTheme="minorHAnsi" w:hAnsiTheme="minorHAnsi" w:cstheme="minorHAnsi"/>
          <w:sz w:val="22"/>
          <w:szCs w:val="22"/>
        </w:rPr>
      </w:pPr>
    </w:p>
    <w:p w:rsidR="00D02375" w:rsidRPr="00A44323" w:rsidRDefault="00D02375" w:rsidP="00D02375">
      <w:pPr>
        <w:pStyle w:val="ListParagraph"/>
        <w:numPr>
          <w:ilvl w:val="1"/>
          <w:numId w:val="13"/>
        </w:numPr>
        <w:spacing w:before="120" w:after="120"/>
        <w:ind w:left="567" w:hanging="567"/>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 xml:space="preserve">These Guidelines apply to Australian Government agencies, their employees and contractors which are subject to the </w:t>
      </w:r>
      <w:r w:rsidRPr="00A44323">
        <w:rPr>
          <w:rFonts w:asciiTheme="minorHAnsi" w:hAnsiTheme="minorHAnsi" w:cstheme="minorHAnsi"/>
          <w:i/>
          <w:color w:val="000000"/>
          <w:sz w:val="22"/>
          <w:szCs w:val="22"/>
        </w:rPr>
        <w:t>Financial Management and Accountability Act 1997</w:t>
      </w:r>
      <w:r w:rsidRPr="00A44323">
        <w:rPr>
          <w:rFonts w:asciiTheme="minorHAnsi" w:hAnsiTheme="minorHAnsi" w:cstheme="minorHAnsi"/>
          <w:color w:val="000000"/>
          <w:sz w:val="22"/>
          <w:szCs w:val="22"/>
        </w:rPr>
        <w:t xml:space="preserve"> (FMA Act), hereafter. A body subject to the </w:t>
      </w:r>
      <w:r w:rsidRPr="00A44323">
        <w:rPr>
          <w:rFonts w:asciiTheme="minorHAnsi" w:hAnsiTheme="minorHAnsi" w:cstheme="minorHAnsi"/>
          <w:i/>
          <w:color w:val="000000"/>
          <w:sz w:val="22"/>
          <w:szCs w:val="22"/>
        </w:rPr>
        <w:t>Commonwealth Authorities and Companies Act 1997</w:t>
      </w:r>
      <w:r w:rsidRPr="00A44323">
        <w:rPr>
          <w:rFonts w:asciiTheme="minorHAnsi" w:hAnsiTheme="minorHAnsi" w:cstheme="minorHAnsi"/>
          <w:color w:val="000000"/>
          <w:sz w:val="22"/>
          <w:szCs w:val="22"/>
        </w:rPr>
        <w:t xml:space="preserve"> (CAC Act) is not subject to these Guidelines unless the Finance Minister has issued a direction under the CAC Act. </w:t>
      </w:r>
    </w:p>
    <w:p w:rsidR="00D02375" w:rsidRPr="00A44323" w:rsidRDefault="00D02375" w:rsidP="00D02375">
      <w:pPr>
        <w:pStyle w:val="ListParagraph"/>
        <w:spacing w:before="120" w:after="120"/>
        <w:rPr>
          <w:rFonts w:asciiTheme="minorHAnsi" w:hAnsiTheme="minorHAnsi" w:cstheme="minorHAnsi"/>
          <w:color w:val="000000"/>
          <w:sz w:val="22"/>
          <w:szCs w:val="22"/>
        </w:rPr>
      </w:pPr>
    </w:p>
    <w:p w:rsidR="00D02375" w:rsidRPr="00A44323" w:rsidRDefault="00D02375" w:rsidP="00D02375">
      <w:pPr>
        <w:pStyle w:val="Heading1"/>
        <w:numPr>
          <w:ilvl w:val="0"/>
          <w:numId w:val="13"/>
        </w:numPr>
        <w:spacing w:before="120" w:after="120"/>
        <w:rPr>
          <w:rFonts w:asciiTheme="minorHAnsi" w:hAnsiTheme="minorHAnsi" w:cstheme="minorHAnsi"/>
          <w:sz w:val="24"/>
          <w:szCs w:val="24"/>
        </w:rPr>
      </w:pPr>
      <w:bookmarkStart w:id="4" w:name="_Toc305076434"/>
      <w:bookmarkStart w:id="5" w:name="_Toc307819284"/>
      <w:r w:rsidRPr="00A44323">
        <w:rPr>
          <w:rFonts w:asciiTheme="minorHAnsi" w:hAnsiTheme="minorHAnsi" w:cstheme="minorHAnsi"/>
          <w:sz w:val="24"/>
          <w:szCs w:val="24"/>
        </w:rPr>
        <w:t>The Legislative Framework</w:t>
      </w:r>
      <w:bookmarkEnd w:id="4"/>
      <w:bookmarkEnd w:id="5"/>
    </w:p>
    <w:p w:rsidR="00D02375" w:rsidRPr="00A44323" w:rsidRDefault="00D02375" w:rsidP="00D02375">
      <w:pPr>
        <w:pStyle w:val="ListParagraph"/>
        <w:spacing w:before="120" w:after="120"/>
        <w:ind w:left="360"/>
        <w:rPr>
          <w:rFonts w:asciiTheme="minorHAnsi" w:hAnsiTheme="minorHAnsi" w:cstheme="minorHAnsi"/>
          <w:i/>
          <w:color w:val="000000"/>
          <w:sz w:val="22"/>
          <w:szCs w:val="22"/>
        </w:rPr>
      </w:pPr>
    </w:p>
    <w:p w:rsidR="00D02375" w:rsidRPr="00A44323" w:rsidRDefault="00D02375" w:rsidP="00D02375">
      <w:pPr>
        <w:pStyle w:val="ListParagraph"/>
        <w:numPr>
          <w:ilvl w:val="1"/>
          <w:numId w:val="13"/>
        </w:numPr>
        <w:spacing w:before="120" w:after="120"/>
        <w:ind w:left="567" w:hanging="567"/>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 xml:space="preserve">These Guidelines are a Legislative Instrument registered in accordance with the requirements of the </w:t>
      </w:r>
      <w:r w:rsidRPr="00A44323">
        <w:rPr>
          <w:rFonts w:asciiTheme="minorHAnsi" w:hAnsiTheme="minorHAnsi" w:cstheme="minorHAnsi"/>
          <w:i/>
          <w:color w:val="000000"/>
          <w:sz w:val="22"/>
          <w:szCs w:val="22"/>
        </w:rPr>
        <w:t>Legislative Instruments Act 2003</w:t>
      </w:r>
      <w:r w:rsidRPr="00A44323">
        <w:rPr>
          <w:rFonts w:asciiTheme="minorHAnsi" w:hAnsiTheme="minorHAnsi" w:cstheme="minorHAnsi"/>
          <w:color w:val="000000"/>
          <w:sz w:val="22"/>
          <w:szCs w:val="22"/>
        </w:rPr>
        <w:t>, and relevant individuals and Australian Government agencies have a legal obligation to comply with the requirements set out within these Guidelines.</w:t>
      </w:r>
    </w:p>
    <w:p w:rsidR="00D02375" w:rsidRPr="00A44323" w:rsidRDefault="00D02375" w:rsidP="00D02375">
      <w:pPr>
        <w:pStyle w:val="ListParagraph"/>
        <w:spacing w:before="120" w:after="120"/>
        <w:ind w:left="567"/>
        <w:rPr>
          <w:rFonts w:asciiTheme="minorHAnsi" w:hAnsiTheme="minorHAnsi" w:cstheme="minorHAnsi"/>
          <w:color w:val="000000"/>
          <w:sz w:val="22"/>
          <w:szCs w:val="22"/>
        </w:rPr>
      </w:pPr>
    </w:p>
    <w:p w:rsidR="00D02375" w:rsidRPr="00A44323" w:rsidRDefault="00D02375" w:rsidP="00D02375">
      <w:pPr>
        <w:pStyle w:val="ListParagraph"/>
        <w:numPr>
          <w:ilvl w:val="1"/>
          <w:numId w:val="13"/>
        </w:numPr>
        <w:spacing w:before="120" w:after="120"/>
        <w:ind w:left="567" w:hanging="567"/>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These Guidelines are part of the Australian Government’s financial management framework, which creates an overarching requirement to manage an agency’s affairs efficiently, effectively, economically, and ethically and in accordance with the policies of the Commonwealth.</w:t>
      </w:r>
    </w:p>
    <w:p w:rsidR="00D02375" w:rsidRPr="00A44323" w:rsidRDefault="00D02375" w:rsidP="00D02375">
      <w:pPr>
        <w:pStyle w:val="ListParagraph"/>
        <w:spacing w:before="120" w:after="120"/>
        <w:ind w:left="567"/>
        <w:rPr>
          <w:rFonts w:asciiTheme="minorHAnsi" w:hAnsiTheme="minorHAnsi" w:cstheme="minorHAnsi"/>
          <w:color w:val="000000"/>
          <w:sz w:val="22"/>
          <w:szCs w:val="22"/>
        </w:rPr>
      </w:pPr>
    </w:p>
    <w:p w:rsidR="00D02375" w:rsidRPr="00A44323" w:rsidRDefault="00D02375" w:rsidP="00D02375">
      <w:pPr>
        <w:pStyle w:val="ListParagraph"/>
        <w:numPr>
          <w:ilvl w:val="1"/>
          <w:numId w:val="13"/>
        </w:numPr>
        <w:spacing w:before="120" w:after="120"/>
        <w:ind w:left="567" w:hanging="567"/>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 xml:space="preserve">Breaches of these Guidelines, as part of the financial management framework, may attract a range of administrative and disciplinary sanctions (including under the FMA Act and the </w:t>
      </w:r>
      <w:r w:rsidRPr="00A44323">
        <w:rPr>
          <w:rFonts w:asciiTheme="minorHAnsi" w:hAnsiTheme="minorHAnsi" w:cstheme="minorHAnsi"/>
          <w:i/>
          <w:color w:val="000000"/>
          <w:sz w:val="22"/>
          <w:szCs w:val="22"/>
        </w:rPr>
        <w:t>Public Service Act 1999)</w:t>
      </w:r>
      <w:r w:rsidRPr="00A44323">
        <w:rPr>
          <w:rFonts w:asciiTheme="minorHAnsi" w:hAnsiTheme="minorHAnsi" w:cstheme="minorHAnsi"/>
          <w:color w:val="000000"/>
          <w:sz w:val="22"/>
          <w:szCs w:val="22"/>
        </w:rPr>
        <w:t>. Non-compliance with the financial management framework is also reported in agency Certificates of Compliance.</w:t>
      </w:r>
    </w:p>
    <w:p w:rsidR="00D02375" w:rsidRPr="00A44323" w:rsidRDefault="00D02375" w:rsidP="00D02375">
      <w:pPr>
        <w:pStyle w:val="ListParagraph"/>
        <w:spacing w:before="120" w:after="120"/>
        <w:ind w:left="567"/>
        <w:rPr>
          <w:rFonts w:asciiTheme="minorHAnsi" w:hAnsiTheme="minorHAnsi" w:cstheme="minorHAnsi"/>
          <w:color w:val="000000"/>
          <w:sz w:val="22"/>
          <w:szCs w:val="22"/>
        </w:rPr>
      </w:pPr>
    </w:p>
    <w:p w:rsidR="00D02375" w:rsidRPr="00A44323" w:rsidRDefault="00D02375" w:rsidP="00D02375">
      <w:pPr>
        <w:spacing w:before="120" w:after="120"/>
        <w:rPr>
          <w:rFonts w:asciiTheme="minorHAnsi" w:hAnsiTheme="minorHAnsi" w:cstheme="minorHAnsi"/>
          <w:b/>
          <w:color w:val="000000"/>
          <w:sz w:val="22"/>
          <w:szCs w:val="22"/>
        </w:rPr>
      </w:pPr>
    </w:p>
    <w:p w:rsidR="00D02375" w:rsidRPr="00A44323" w:rsidRDefault="00D02375" w:rsidP="00D02375">
      <w:pPr>
        <w:rPr>
          <w:rFonts w:asciiTheme="minorHAnsi" w:hAnsiTheme="minorHAnsi" w:cstheme="minorHAnsi"/>
          <w:b/>
          <w:bCs/>
          <w:color w:val="0D0D0D"/>
          <w:sz w:val="22"/>
          <w:szCs w:val="22"/>
          <w:lang w:eastAsia="en-US"/>
        </w:rPr>
      </w:pPr>
    </w:p>
    <w:p w:rsidR="00A44323" w:rsidRDefault="00A44323">
      <w:pPr>
        <w:spacing w:after="200" w:line="276" w:lineRule="auto"/>
        <w:rPr>
          <w:rFonts w:asciiTheme="minorHAnsi" w:eastAsiaTheme="majorEastAsia" w:hAnsiTheme="minorHAnsi" w:cstheme="minorHAnsi"/>
          <w:b/>
          <w:bCs/>
          <w:color w:val="365F91" w:themeColor="accent1" w:themeShade="BF"/>
        </w:rPr>
      </w:pPr>
      <w:r>
        <w:rPr>
          <w:rFonts w:asciiTheme="minorHAnsi" w:hAnsiTheme="minorHAnsi" w:cstheme="minorHAnsi"/>
        </w:rPr>
        <w:br w:type="page"/>
      </w:r>
    </w:p>
    <w:p w:rsidR="00D02375" w:rsidRPr="00A44323" w:rsidRDefault="00D02375" w:rsidP="00D02375">
      <w:pPr>
        <w:pStyle w:val="Heading1"/>
        <w:numPr>
          <w:ilvl w:val="0"/>
          <w:numId w:val="13"/>
        </w:numPr>
        <w:spacing w:before="120" w:after="120"/>
        <w:rPr>
          <w:rFonts w:asciiTheme="minorHAnsi" w:hAnsiTheme="minorHAnsi" w:cstheme="minorHAnsi"/>
          <w:sz w:val="24"/>
          <w:szCs w:val="24"/>
        </w:rPr>
      </w:pPr>
      <w:bookmarkStart w:id="6" w:name="_Toc307819285"/>
      <w:r w:rsidRPr="00A44323">
        <w:rPr>
          <w:rFonts w:asciiTheme="minorHAnsi" w:hAnsiTheme="minorHAnsi" w:cstheme="minorHAnsi"/>
          <w:sz w:val="24"/>
          <w:szCs w:val="24"/>
        </w:rPr>
        <w:lastRenderedPageBreak/>
        <w:t>Scope</w:t>
      </w:r>
      <w:bookmarkEnd w:id="6"/>
    </w:p>
    <w:p w:rsidR="00D02375" w:rsidRPr="00A44323" w:rsidRDefault="00D02375" w:rsidP="00D02375">
      <w:pPr>
        <w:pStyle w:val="ListParagraph"/>
        <w:numPr>
          <w:ilvl w:val="1"/>
          <w:numId w:val="13"/>
        </w:numPr>
        <w:spacing w:before="120" w:after="120"/>
        <w:ind w:left="567" w:hanging="567"/>
        <w:contextualSpacing w:val="0"/>
        <w:rPr>
          <w:rFonts w:asciiTheme="minorHAnsi" w:hAnsiTheme="minorHAnsi" w:cstheme="minorHAnsi"/>
          <w:b/>
          <w:sz w:val="22"/>
          <w:szCs w:val="22"/>
        </w:rPr>
      </w:pPr>
      <w:r w:rsidRPr="00A44323">
        <w:rPr>
          <w:rFonts w:asciiTheme="minorHAnsi" w:hAnsiTheme="minorHAnsi" w:cstheme="minorHAnsi"/>
          <w:b/>
          <w:sz w:val="22"/>
          <w:szCs w:val="22"/>
        </w:rPr>
        <w:t>Application</w:t>
      </w:r>
    </w:p>
    <w:p w:rsidR="00D02375" w:rsidRPr="00A44323" w:rsidRDefault="00D02375" w:rsidP="00D02375">
      <w:pPr>
        <w:pStyle w:val="ListParagraph"/>
        <w:numPr>
          <w:ilvl w:val="2"/>
          <w:numId w:val="6"/>
        </w:numPr>
        <w:spacing w:after="120"/>
        <w:ind w:left="709" w:hanging="709"/>
        <w:rPr>
          <w:rFonts w:asciiTheme="minorHAnsi" w:hAnsiTheme="minorHAnsi" w:cstheme="minorHAnsi"/>
          <w:sz w:val="22"/>
          <w:szCs w:val="22"/>
        </w:rPr>
      </w:pPr>
      <w:r w:rsidRPr="00A44323">
        <w:rPr>
          <w:rFonts w:asciiTheme="minorHAnsi" w:hAnsiTheme="minorHAnsi" w:cstheme="minorHAnsi"/>
          <w:sz w:val="22"/>
          <w:szCs w:val="22"/>
        </w:rPr>
        <w:t xml:space="preserve">These Guidelines apply to Covered Procurement activities as defined in paragraph 8.4 of the Commonwealth Procurement Guidelines (CPGs). </w:t>
      </w:r>
    </w:p>
    <w:p w:rsidR="00D02375" w:rsidRPr="00A44323" w:rsidRDefault="00D02375" w:rsidP="00D02375">
      <w:pPr>
        <w:pStyle w:val="ListParagraph"/>
        <w:spacing w:after="120"/>
        <w:ind w:left="709"/>
        <w:rPr>
          <w:rFonts w:asciiTheme="minorHAnsi" w:hAnsiTheme="minorHAnsi" w:cstheme="minorHAnsi"/>
          <w:sz w:val="22"/>
          <w:szCs w:val="22"/>
        </w:rPr>
      </w:pPr>
    </w:p>
    <w:p w:rsidR="00D02375" w:rsidRPr="00A44323" w:rsidRDefault="00D02375" w:rsidP="00D02375">
      <w:pPr>
        <w:pStyle w:val="ListParagraph"/>
        <w:numPr>
          <w:ilvl w:val="2"/>
          <w:numId w:val="6"/>
        </w:numPr>
        <w:spacing w:after="120"/>
        <w:ind w:left="709" w:hanging="709"/>
        <w:rPr>
          <w:rFonts w:asciiTheme="minorHAnsi" w:hAnsiTheme="minorHAnsi" w:cstheme="minorHAnsi"/>
          <w:sz w:val="22"/>
          <w:szCs w:val="22"/>
        </w:rPr>
      </w:pPr>
      <w:r w:rsidRPr="00A44323">
        <w:rPr>
          <w:rFonts w:asciiTheme="minorHAnsi" w:hAnsiTheme="minorHAnsi" w:cstheme="minorHAnsi"/>
          <w:sz w:val="22"/>
          <w:szCs w:val="22"/>
        </w:rPr>
        <w:t>Australian Government agencies should note that the thresholds beyond which a procurement will be a Covered Procurement as specified by the CPGs may be subject to change, however, as at</w:t>
      </w:r>
      <w:r w:rsidR="00500270">
        <w:rPr>
          <w:rFonts w:asciiTheme="minorHAnsi" w:hAnsiTheme="minorHAnsi" w:cstheme="minorHAnsi"/>
          <w:sz w:val="22"/>
          <w:szCs w:val="22"/>
        </w:rPr>
        <w:t xml:space="preserve"> November</w:t>
      </w:r>
      <w:r w:rsidRPr="00A44323">
        <w:rPr>
          <w:rFonts w:asciiTheme="minorHAnsi" w:hAnsiTheme="minorHAnsi" w:cstheme="minorHAnsi"/>
          <w:sz w:val="22"/>
          <w:szCs w:val="22"/>
        </w:rPr>
        <w:t xml:space="preserve"> 2011 the relevant thresholds are as follows: </w:t>
      </w:r>
    </w:p>
    <w:p w:rsidR="00D02375" w:rsidRPr="00A44323" w:rsidRDefault="00D02375" w:rsidP="00D02375">
      <w:pPr>
        <w:pStyle w:val="ListParagraph"/>
        <w:numPr>
          <w:ilvl w:val="0"/>
          <w:numId w:val="7"/>
        </w:numPr>
        <w:spacing w:after="120"/>
        <w:ind w:left="1134" w:hanging="425"/>
        <w:rPr>
          <w:rFonts w:asciiTheme="minorHAnsi" w:hAnsiTheme="minorHAnsi" w:cstheme="minorHAnsi"/>
          <w:sz w:val="22"/>
          <w:szCs w:val="22"/>
        </w:rPr>
      </w:pPr>
      <w:r w:rsidRPr="00A44323">
        <w:rPr>
          <w:rFonts w:asciiTheme="minorHAnsi" w:hAnsiTheme="minorHAnsi" w:cstheme="minorHAnsi"/>
          <w:sz w:val="22"/>
          <w:szCs w:val="22"/>
        </w:rPr>
        <w:t>for procurement by Departments of State, Departments of the Parliament and prescribed agencies under the FMA Regulations, other than procurements of construction services, the estimated value of the property or services bein</w:t>
      </w:r>
      <w:r w:rsidR="0057404D">
        <w:rPr>
          <w:rFonts w:asciiTheme="minorHAnsi" w:hAnsiTheme="minorHAnsi" w:cstheme="minorHAnsi"/>
          <w:sz w:val="22"/>
          <w:szCs w:val="22"/>
        </w:rPr>
        <w:t xml:space="preserve">g procured is above $80,000; </w:t>
      </w:r>
    </w:p>
    <w:p w:rsidR="00D02375" w:rsidRPr="00A44323" w:rsidRDefault="00D02375" w:rsidP="00D02375">
      <w:pPr>
        <w:pStyle w:val="ListParagraph"/>
        <w:numPr>
          <w:ilvl w:val="0"/>
          <w:numId w:val="7"/>
        </w:numPr>
        <w:spacing w:after="120"/>
        <w:ind w:left="1134" w:hanging="425"/>
        <w:rPr>
          <w:rFonts w:asciiTheme="minorHAnsi" w:hAnsiTheme="minorHAnsi" w:cstheme="minorHAnsi"/>
          <w:sz w:val="22"/>
          <w:szCs w:val="22"/>
        </w:rPr>
      </w:pPr>
      <w:r w:rsidRPr="00A44323">
        <w:rPr>
          <w:rFonts w:asciiTheme="minorHAnsi" w:hAnsiTheme="minorHAnsi" w:cstheme="minorHAnsi"/>
          <w:sz w:val="22"/>
          <w:szCs w:val="22"/>
        </w:rPr>
        <w:t>for procurements by relevant CAC Act bodies, other than procurements of construction services, the procurement threshold is $400,000</w:t>
      </w:r>
      <w:r w:rsidR="0057404D">
        <w:rPr>
          <w:rFonts w:asciiTheme="minorHAnsi" w:hAnsiTheme="minorHAnsi" w:cstheme="minorHAnsi"/>
          <w:sz w:val="22"/>
          <w:szCs w:val="22"/>
        </w:rPr>
        <w:t>; and</w:t>
      </w:r>
    </w:p>
    <w:p w:rsidR="00D02375" w:rsidRPr="00A44323" w:rsidRDefault="00D02375" w:rsidP="00D02375">
      <w:pPr>
        <w:pStyle w:val="ListParagraph"/>
        <w:numPr>
          <w:ilvl w:val="0"/>
          <w:numId w:val="7"/>
        </w:numPr>
        <w:spacing w:after="120"/>
        <w:ind w:left="1134" w:hanging="425"/>
        <w:rPr>
          <w:rFonts w:asciiTheme="minorHAnsi" w:hAnsiTheme="minorHAnsi" w:cstheme="minorHAnsi"/>
          <w:sz w:val="22"/>
          <w:szCs w:val="22"/>
        </w:rPr>
      </w:pPr>
      <w:r w:rsidRPr="00A44323">
        <w:rPr>
          <w:rFonts w:asciiTheme="minorHAnsi" w:hAnsiTheme="minorHAnsi" w:cstheme="minorHAnsi"/>
          <w:sz w:val="22"/>
          <w:szCs w:val="22"/>
        </w:rPr>
        <w:t>$9 million for procurements of construction services.</w:t>
      </w:r>
    </w:p>
    <w:p w:rsidR="00D02375" w:rsidRPr="00A44323" w:rsidRDefault="00D02375" w:rsidP="00D02375">
      <w:pPr>
        <w:pStyle w:val="ListParagraph"/>
        <w:spacing w:after="120"/>
        <w:ind w:left="1134"/>
        <w:rPr>
          <w:rFonts w:asciiTheme="minorHAnsi" w:hAnsiTheme="minorHAnsi" w:cstheme="minorHAnsi"/>
          <w:sz w:val="22"/>
          <w:szCs w:val="22"/>
        </w:rPr>
      </w:pPr>
    </w:p>
    <w:p w:rsidR="00D02375" w:rsidRPr="00A44323" w:rsidRDefault="00D02375" w:rsidP="00D02375">
      <w:pPr>
        <w:pStyle w:val="ListParagraph"/>
        <w:numPr>
          <w:ilvl w:val="2"/>
          <w:numId w:val="6"/>
        </w:numPr>
        <w:spacing w:after="120"/>
        <w:ind w:left="709" w:hanging="709"/>
        <w:rPr>
          <w:rFonts w:asciiTheme="minorHAnsi" w:hAnsiTheme="minorHAnsi" w:cstheme="minorHAnsi"/>
          <w:sz w:val="22"/>
          <w:szCs w:val="22"/>
        </w:rPr>
      </w:pPr>
      <w:r w:rsidRPr="00A44323">
        <w:rPr>
          <w:rFonts w:asciiTheme="minorHAnsi" w:hAnsiTheme="minorHAnsi" w:cstheme="minorHAnsi"/>
          <w:sz w:val="22"/>
          <w:szCs w:val="22"/>
        </w:rPr>
        <w:t>Consistent</w:t>
      </w:r>
      <w:r w:rsidR="0057404D">
        <w:rPr>
          <w:rFonts w:asciiTheme="minorHAnsi" w:hAnsiTheme="minorHAnsi" w:cstheme="minorHAnsi"/>
          <w:sz w:val="22"/>
          <w:szCs w:val="22"/>
        </w:rPr>
        <w:t xml:space="preserve"> with paragraph 8.4 of the CPGs, </w:t>
      </w:r>
      <w:r w:rsidRPr="00A44323">
        <w:rPr>
          <w:rFonts w:asciiTheme="minorHAnsi" w:hAnsiTheme="minorHAnsi" w:cstheme="minorHAnsi"/>
          <w:sz w:val="22"/>
          <w:szCs w:val="22"/>
        </w:rPr>
        <w:t xml:space="preserve">these Guidelines do not apply to the procurements which are listed in Appendix A of the CPGs ‘Exemptions from Mandatory Procurement Procedures’(unless stated otherwise), as these are not Covered Procurements. </w:t>
      </w:r>
    </w:p>
    <w:p w:rsidR="00D02375" w:rsidRPr="00A44323" w:rsidRDefault="00D02375" w:rsidP="00D02375">
      <w:pPr>
        <w:pStyle w:val="ListParagraph"/>
        <w:spacing w:before="120" w:after="120"/>
        <w:ind w:left="567"/>
        <w:rPr>
          <w:rFonts w:asciiTheme="minorHAnsi" w:hAnsiTheme="minorHAnsi" w:cstheme="minorHAnsi"/>
          <w:sz w:val="22"/>
          <w:szCs w:val="22"/>
        </w:rPr>
      </w:pPr>
    </w:p>
    <w:p w:rsidR="00D02375" w:rsidRPr="00A44323" w:rsidRDefault="00D02375" w:rsidP="00D02375">
      <w:pPr>
        <w:pStyle w:val="ListParagraph"/>
        <w:numPr>
          <w:ilvl w:val="1"/>
          <w:numId w:val="13"/>
        </w:numPr>
        <w:spacing w:before="120" w:after="120"/>
        <w:ind w:left="567" w:hanging="567"/>
        <w:contextualSpacing w:val="0"/>
        <w:rPr>
          <w:rFonts w:asciiTheme="minorHAnsi" w:hAnsiTheme="minorHAnsi" w:cstheme="minorHAnsi"/>
          <w:b/>
          <w:sz w:val="22"/>
          <w:szCs w:val="22"/>
        </w:rPr>
      </w:pPr>
      <w:r w:rsidRPr="00A44323">
        <w:rPr>
          <w:rFonts w:asciiTheme="minorHAnsi" w:hAnsiTheme="minorHAnsi" w:cstheme="minorHAnsi"/>
          <w:b/>
          <w:sz w:val="22"/>
          <w:szCs w:val="22"/>
        </w:rPr>
        <w:t>Date of effect</w:t>
      </w:r>
    </w:p>
    <w:p w:rsidR="00D02375" w:rsidRPr="00A44323" w:rsidRDefault="00D02375" w:rsidP="00D02375">
      <w:pPr>
        <w:pStyle w:val="ListParagraph"/>
        <w:numPr>
          <w:ilvl w:val="2"/>
          <w:numId w:val="13"/>
        </w:numPr>
        <w:spacing w:after="120"/>
        <w:rPr>
          <w:rFonts w:asciiTheme="minorHAnsi" w:hAnsiTheme="minorHAnsi" w:cstheme="minorHAnsi"/>
          <w:sz w:val="22"/>
          <w:szCs w:val="22"/>
        </w:rPr>
      </w:pPr>
      <w:r w:rsidRPr="00A44323">
        <w:rPr>
          <w:rFonts w:asciiTheme="minorHAnsi" w:hAnsiTheme="minorHAnsi" w:cstheme="minorHAnsi"/>
          <w:sz w:val="22"/>
          <w:szCs w:val="22"/>
        </w:rPr>
        <w:t xml:space="preserve">These Guidelines apply to each request for tender or request for expressions of interest issued by Australian Government agencies for the first time on or after </w:t>
      </w:r>
      <w:r w:rsidRPr="00E7377E">
        <w:rPr>
          <w:rFonts w:asciiTheme="minorHAnsi" w:hAnsiTheme="minorHAnsi" w:cstheme="minorHAnsi"/>
          <w:sz w:val="22"/>
          <w:szCs w:val="22"/>
        </w:rPr>
        <w:t xml:space="preserve">1 </w:t>
      </w:r>
      <w:r w:rsidR="00E7377E">
        <w:rPr>
          <w:rFonts w:asciiTheme="minorHAnsi" w:hAnsiTheme="minorHAnsi" w:cstheme="minorHAnsi"/>
          <w:sz w:val="22"/>
          <w:szCs w:val="22"/>
        </w:rPr>
        <w:t>Janua</w:t>
      </w:r>
      <w:r w:rsidR="00E7377E" w:rsidRPr="00E7377E">
        <w:rPr>
          <w:rFonts w:asciiTheme="minorHAnsi" w:hAnsiTheme="minorHAnsi" w:cstheme="minorHAnsi"/>
          <w:sz w:val="22"/>
          <w:szCs w:val="22"/>
        </w:rPr>
        <w:t>r</w:t>
      </w:r>
      <w:r w:rsidR="00E7377E">
        <w:rPr>
          <w:rFonts w:asciiTheme="minorHAnsi" w:hAnsiTheme="minorHAnsi" w:cstheme="minorHAnsi"/>
          <w:sz w:val="22"/>
          <w:szCs w:val="22"/>
        </w:rPr>
        <w:t>y</w:t>
      </w:r>
      <w:r w:rsidR="00E7377E" w:rsidRPr="00E7377E">
        <w:rPr>
          <w:rFonts w:asciiTheme="minorHAnsi" w:hAnsiTheme="minorHAnsi" w:cstheme="minorHAnsi"/>
          <w:sz w:val="22"/>
          <w:szCs w:val="22"/>
        </w:rPr>
        <w:t xml:space="preserve"> </w:t>
      </w:r>
      <w:r w:rsidRPr="00E7377E">
        <w:rPr>
          <w:rFonts w:asciiTheme="minorHAnsi" w:hAnsiTheme="minorHAnsi" w:cstheme="minorHAnsi"/>
          <w:sz w:val="22"/>
          <w:szCs w:val="22"/>
        </w:rPr>
        <w:t>201</w:t>
      </w:r>
      <w:r w:rsidR="00E7377E">
        <w:rPr>
          <w:rFonts w:asciiTheme="minorHAnsi" w:hAnsiTheme="minorHAnsi" w:cstheme="minorHAnsi"/>
          <w:sz w:val="22"/>
          <w:szCs w:val="22"/>
        </w:rPr>
        <w:t>2</w:t>
      </w:r>
      <w:r w:rsidRPr="00A44323">
        <w:rPr>
          <w:rFonts w:asciiTheme="minorHAnsi" w:hAnsiTheme="minorHAnsi" w:cstheme="minorHAnsi"/>
          <w:sz w:val="22"/>
          <w:szCs w:val="22"/>
        </w:rPr>
        <w:t>.</w:t>
      </w:r>
    </w:p>
    <w:p w:rsidR="00D02375" w:rsidRPr="00A44323" w:rsidRDefault="00D02375" w:rsidP="00D02375">
      <w:pPr>
        <w:pStyle w:val="ListParagraph"/>
        <w:spacing w:after="120"/>
        <w:ind w:left="709"/>
        <w:rPr>
          <w:rFonts w:asciiTheme="minorHAnsi" w:hAnsiTheme="minorHAnsi" w:cstheme="minorHAnsi"/>
          <w:sz w:val="22"/>
          <w:szCs w:val="22"/>
        </w:rPr>
      </w:pPr>
    </w:p>
    <w:p w:rsidR="00D02375" w:rsidRPr="00A44323" w:rsidRDefault="00D02375" w:rsidP="00D02375">
      <w:pPr>
        <w:pStyle w:val="ListParagraph"/>
        <w:numPr>
          <w:ilvl w:val="2"/>
          <w:numId w:val="13"/>
        </w:numPr>
        <w:spacing w:after="120"/>
        <w:ind w:left="709" w:hanging="709"/>
        <w:rPr>
          <w:rFonts w:asciiTheme="minorHAnsi" w:hAnsiTheme="minorHAnsi" w:cstheme="minorHAnsi"/>
          <w:sz w:val="22"/>
          <w:szCs w:val="22"/>
        </w:rPr>
      </w:pPr>
      <w:r w:rsidRPr="00A44323">
        <w:rPr>
          <w:rFonts w:asciiTheme="minorHAnsi" w:hAnsiTheme="minorHAnsi" w:cstheme="minorHAnsi"/>
          <w:sz w:val="22"/>
          <w:szCs w:val="22"/>
        </w:rPr>
        <w:t xml:space="preserve">These Guidelines apply prospectively, and do not require Australian Government agencies to amend contracts with suppliers that are in place prior to 1 </w:t>
      </w:r>
      <w:r w:rsidR="00E7377E">
        <w:rPr>
          <w:rFonts w:asciiTheme="minorHAnsi" w:hAnsiTheme="minorHAnsi" w:cstheme="minorHAnsi"/>
          <w:sz w:val="22"/>
          <w:szCs w:val="22"/>
        </w:rPr>
        <w:t xml:space="preserve">January </w:t>
      </w:r>
      <w:r w:rsidRPr="00A44323">
        <w:rPr>
          <w:rFonts w:asciiTheme="minorHAnsi" w:hAnsiTheme="minorHAnsi" w:cstheme="minorHAnsi"/>
          <w:sz w:val="22"/>
          <w:szCs w:val="22"/>
        </w:rPr>
        <w:t>201</w:t>
      </w:r>
      <w:r w:rsidR="00E7377E">
        <w:rPr>
          <w:rFonts w:asciiTheme="minorHAnsi" w:hAnsiTheme="minorHAnsi" w:cstheme="minorHAnsi"/>
          <w:sz w:val="22"/>
          <w:szCs w:val="22"/>
        </w:rPr>
        <w:t>2</w:t>
      </w:r>
      <w:r w:rsidRPr="00A44323">
        <w:rPr>
          <w:rFonts w:asciiTheme="minorHAnsi" w:hAnsiTheme="minorHAnsi" w:cstheme="minorHAnsi"/>
          <w:sz w:val="22"/>
          <w:szCs w:val="22"/>
        </w:rPr>
        <w:t xml:space="preserve"> or to amend documentation associated with request for tender or request for expressions of interest which has been issued prior </w:t>
      </w:r>
      <w:r w:rsidRPr="00E7377E">
        <w:rPr>
          <w:rFonts w:asciiTheme="minorHAnsi" w:hAnsiTheme="minorHAnsi" w:cstheme="minorHAnsi"/>
          <w:sz w:val="22"/>
          <w:szCs w:val="22"/>
        </w:rPr>
        <w:t xml:space="preserve">to 1 </w:t>
      </w:r>
      <w:r w:rsidR="00E7377E">
        <w:rPr>
          <w:rFonts w:asciiTheme="minorHAnsi" w:hAnsiTheme="minorHAnsi" w:cstheme="minorHAnsi"/>
          <w:sz w:val="22"/>
          <w:szCs w:val="22"/>
        </w:rPr>
        <w:t>January</w:t>
      </w:r>
      <w:r w:rsidR="00E7377E" w:rsidRPr="00E7377E">
        <w:rPr>
          <w:rFonts w:asciiTheme="minorHAnsi" w:hAnsiTheme="minorHAnsi" w:cstheme="minorHAnsi"/>
          <w:sz w:val="22"/>
          <w:szCs w:val="22"/>
        </w:rPr>
        <w:t xml:space="preserve"> </w:t>
      </w:r>
      <w:r w:rsidRPr="00E7377E">
        <w:rPr>
          <w:rFonts w:asciiTheme="minorHAnsi" w:hAnsiTheme="minorHAnsi" w:cstheme="minorHAnsi"/>
          <w:sz w:val="22"/>
          <w:szCs w:val="22"/>
        </w:rPr>
        <w:t>201</w:t>
      </w:r>
      <w:r w:rsidR="00E7377E">
        <w:rPr>
          <w:rFonts w:asciiTheme="minorHAnsi" w:hAnsiTheme="minorHAnsi" w:cstheme="minorHAnsi"/>
          <w:sz w:val="22"/>
          <w:szCs w:val="22"/>
        </w:rPr>
        <w:t>2</w:t>
      </w:r>
      <w:r w:rsidRPr="00E7377E">
        <w:rPr>
          <w:rFonts w:asciiTheme="minorHAnsi" w:hAnsiTheme="minorHAnsi" w:cstheme="minorHAnsi"/>
          <w:sz w:val="22"/>
          <w:szCs w:val="22"/>
        </w:rPr>
        <w:t>.</w:t>
      </w:r>
      <w:r w:rsidRPr="00A44323">
        <w:rPr>
          <w:rFonts w:asciiTheme="minorHAnsi" w:hAnsiTheme="minorHAnsi" w:cstheme="minorHAnsi"/>
          <w:sz w:val="22"/>
          <w:szCs w:val="22"/>
        </w:rPr>
        <w:t xml:space="preserve"> </w:t>
      </w:r>
    </w:p>
    <w:p w:rsidR="00D02375" w:rsidRPr="00A44323" w:rsidRDefault="00D02375" w:rsidP="00D02375">
      <w:pPr>
        <w:pStyle w:val="ListParagraph"/>
        <w:spacing w:after="120"/>
        <w:ind w:left="709"/>
        <w:rPr>
          <w:rFonts w:asciiTheme="minorHAnsi" w:hAnsiTheme="minorHAnsi" w:cstheme="minorHAnsi"/>
          <w:sz w:val="22"/>
          <w:szCs w:val="22"/>
        </w:rPr>
      </w:pPr>
    </w:p>
    <w:p w:rsidR="00D02375" w:rsidRPr="00A44323" w:rsidRDefault="00D02375" w:rsidP="00D02375">
      <w:pPr>
        <w:pStyle w:val="ListParagraph"/>
        <w:numPr>
          <w:ilvl w:val="2"/>
          <w:numId w:val="13"/>
        </w:numPr>
        <w:spacing w:after="120"/>
        <w:ind w:left="709" w:hanging="709"/>
        <w:rPr>
          <w:rFonts w:asciiTheme="minorHAnsi" w:hAnsiTheme="minorHAnsi" w:cstheme="minorHAnsi"/>
          <w:sz w:val="22"/>
          <w:szCs w:val="22"/>
        </w:rPr>
      </w:pPr>
      <w:r w:rsidRPr="00A44323">
        <w:rPr>
          <w:rFonts w:asciiTheme="minorHAnsi" w:hAnsiTheme="minorHAnsi" w:cstheme="minorHAnsi"/>
          <w:sz w:val="22"/>
          <w:szCs w:val="22"/>
        </w:rPr>
        <w:t>However</w:t>
      </w:r>
      <w:r w:rsidR="001A369B">
        <w:rPr>
          <w:rFonts w:asciiTheme="minorHAnsi" w:hAnsiTheme="minorHAnsi" w:cstheme="minorHAnsi"/>
          <w:sz w:val="22"/>
          <w:szCs w:val="22"/>
        </w:rPr>
        <w:t>,</w:t>
      </w:r>
      <w:r w:rsidRPr="00A44323">
        <w:rPr>
          <w:rFonts w:asciiTheme="minorHAnsi" w:hAnsiTheme="minorHAnsi" w:cstheme="minorHAnsi"/>
          <w:sz w:val="22"/>
          <w:szCs w:val="22"/>
        </w:rPr>
        <w:t xml:space="preserve"> where an Australian Government agency’s AGCSC has an option to extend the AGCSC, Australian Government agencies are encouraged to consult with the contractor and consider appropriate contract variations to incorporate the requirements of these Guidelines on a case by case basis. </w:t>
      </w:r>
    </w:p>
    <w:p w:rsidR="00D02375" w:rsidRPr="00A44323" w:rsidRDefault="00D02375" w:rsidP="00D02375">
      <w:pPr>
        <w:pStyle w:val="ListParagraph"/>
        <w:numPr>
          <w:ilvl w:val="1"/>
          <w:numId w:val="0"/>
        </w:numPr>
        <w:spacing w:before="120" w:after="120"/>
        <w:ind w:left="567" w:hanging="567"/>
        <w:contextualSpacing w:val="0"/>
        <w:rPr>
          <w:rFonts w:asciiTheme="minorHAnsi" w:hAnsiTheme="minorHAnsi" w:cstheme="minorHAnsi"/>
          <w:sz w:val="22"/>
          <w:szCs w:val="22"/>
        </w:rPr>
      </w:pPr>
      <w:r w:rsidRPr="00A44323">
        <w:rPr>
          <w:rFonts w:asciiTheme="minorHAnsi" w:hAnsiTheme="minorHAnsi" w:cstheme="minorHAnsi"/>
          <w:sz w:val="22"/>
          <w:szCs w:val="22"/>
        </w:rPr>
        <w:br w:type="page"/>
      </w:r>
    </w:p>
    <w:p w:rsidR="00D02375" w:rsidRPr="00A44323" w:rsidRDefault="00D02375" w:rsidP="00D02375">
      <w:pPr>
        <w:pStyle w:val="Heading1"/>
        <w:numPr>
          <w:ilvl w:val="0"/>
          <w:numId w:val="13"/>
        </w:numPr>
        <w:spacing w:before="120" w:after="120"/>
        <w:rPr>
          <w:rFonts w:asciiTheme="minorHAnsi" w:hAnsiTheme="minorHAnsi" w:cstheme="minorHAnsi"/>
          <w:sz w:val="24"/>
          <w:szCs w:val="24"/>
        </w:rPr>
      </w:pPr>
      <w:bookmarkStart w:id="7" w:name="_Toc305076435"/>
      <w:bookmarkStart w:id="8" w:name="_Toc307819286"/>
      <w:r w:rsidRPr="00A44323">
        <w:rPr>
          <w:rFonts w:asciiTheme="minorHAnsi" w:hAnsiTheme="minorHAnsi" w:cstheme="minorHAnsi"/>
          <w:sz w:val="24"/>
          <w:szCs w:val="24"/>
        </w:rPr>
        <w:lastRenderedPageBreak/>
        <w:t>Australian Government Cleaning Services tender and contract requirements</w:t>
      </w:r>
      <w:bookmarkEnd w:id="7"/>
      <w:bookmarkEnd w:id="8"/>
      <w:r w:rsidRPr="00A44323">
        <w:rPr>
          <w:rFonts w:asciiTheme="minorHAnsi" w:hAnsiTheme="minorHAnsi" w:cstheme="minorHAnsi"/>
          <w:sz w:val="24"/>
          <w:szCs w:val="24"/>
        </w:rPr>
        <w:t xml:space="preserve"> </w:t>
      </w:r>
    </w:p>
    <w:p w:rsidR="00D02375" w:rsidRPr="002D1817" w:rsidRDefault="00D02375" w:rsidP="00A44323">
      <w:pPr>
        <w:pStyle w:val="ListParagraph"/>
        <w:numPr>
          <w:ilvl w:val="1"/>
          <w:numId w:val="13"/>
        </w:numPr>
        <w:spacing w:before="120" w:after="120"/>
        <w:ind w:left="709" w:hanging="709"/>
        <w:contextualSpacing w:val="0"/>
        <w:rPr>
          <w:rFonts w:asciiTheme="minorHAnsi" w:hAnsiTheme="minorHAnsi" w:cstheme="minorHAnsi"/>
          <w:b/>
          <w:color w:val="000000"/>
          <w:sz w:val="22"/>
          <w:szCs w:val="22"/>
        </w:rPr>
      </w:pPr>
      <w:r w:rsidRPr="002D1817">
        <w:rPr>
          <w:rFonts w:asciiTheme="minorHAnsi" w:hAnsiTheme="minorHAnsi" w:cstheme="minorHAnsi"/>
          <w:b/>
          <w:color w:val="000000"/>
          <w:sz w:val="22"/>
          <w:szCs w:val="22"/>
        </w:rPr>
        <w:t>Tender requirements</w:t>
      </w:r>
    </w:p>
    <w:p w:rsidR="00D02375" w:rsidRPr="00A44323" w:rsidRDefault="00D02375" w:rsidP="00A44323">
      <w:pPr>
        <w:pStyle w:val="ListParagraph"/>
        <w:numPr>
          <w:ilvl w:val="2"/>
          <w:numId w:val="13"/>
        </w:numPr>
        <w:spacing w:before="120" w:after="120"/>
        <w:rPr>
          <w:rFonts w:asciiTheme="minorHAnsi" w:hAnsiTheme="minorHAnsi" w:cstheme="minorHAnsi"/>
          <w:color w:val="000000"/>
          <w:sz w:val="22"/>
          <w:szCs w:val="22"/>
        </w:rPr>
      </w:pPr>
      <w:r w:rsidRPr="00A44323">
        <w:rPr>
          <w:rFonts w:asciiTheme="minorHAnsi" w:hAnsiTheme="minorHAnsi" w:cstheme="minorHAnsi"/>
          <w:color w:val="000000"/>
          <w:sz w:val="22"/>
          <w:szCs w:val="22"/>
        </w:rPr>
        <w:t>Australian Government agencies and the persons to whom these guidelines apply (see paragraph 2.3) must decline to accept a tender proposal for an AGCSC where the tenderer does not undertake to be bound under any AGCSC arising from the tender to:</w:t>
      </w:r>
    </w:p>
    <w:p w:rsidR="00D02375" w:rsidRPr="00A44323" w:rsidRDefault="00D02375" w:rsidP="00A44323">
      <w:pPr>
        <w:pStyle w:val="ListParagraph"/>
        <w:numPr>
          <w:ilvl w:val="2"/>
          <w:numId w:val="1"/>
        </w:numPr>
        <w:tabs>
          <w:tab w:val="left" w:pos="1276"/>
        </w:tabs>
        <w:spacing w:before="120" w:after="120"/>
        <w:ind w:left="1276" w:hanging="567"/>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 xml:space="preserve">pay the employees for the work performed under the AGCSC no less than the applicable prescribed minimum hourly base rates of pay (not including any allowances that may be payable to the employee) for the state or territory in which the work is to be performed; </w:t>
      </w:r>
    </w:p>
    <w:p w:rsidR="00D02375" w:rsidRPr="00A44323" w:rsidRDefault="00D02375" w:rsidP="00A44323">
      <w:pPr>
        <w:pStyle w:val="ListParagraph"/>
        <w:numPr>
          <w:ilvl w:val="2"/>
          <w:numId w:val="1"/>
        </w:numPr>
        <w:tabs>
          <w:tab w:val="left" w:pos="1276"/>
        </w:tabs>
        <w:spacing w:before="120" w:after="120"/>
        <w:ind w:left="1276" w:hanging="567"/>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require any subcontractor engaged under the AGCSC to deliver cleaning services to pay the employees of the subcontractor for work performed under the AGCSC no less than the applicable prescribed minimum hourly base rates of pay (not including any allowances that may be payable to the employee) for the state or territory in which the work is to be performed</w:t>
      </w:r>
      <w:r w:rsidR="001B0F0D" w:rsidRPr="00A44323">
        <w:rPr>
          <w:rFonts w:asciiTheme="minorHAnsi" w:hAnsiTheme="minorHAnsi" w:cstheme="minorHAnsi"/>
          <w:color w:val="000000"/>
          <w:sz w:val="22"/>
          <w:szCs w:val="22"/>
        </w:rPr>
        <w:t xml:space="preserve">; </w:t>
      </w:r>
    </w:p>
    <w:p w:rsidR="001B0F0D" w:rsidRPr="00A44323" w:rsidRDefault="001B0F0D" w:rsidP="00A44323">
      <w:pPr>
        <w:pStyle w:val="ListParagraph"/>
        <w:numPr>
          <w:ilvl w:val="2"/>
          <w:numId w:val="1"/>
        </w:numPr>
        <w:tabs>
          <w:tab w:val="left" w:pos="1276"/>
        </w:tabs>
        <w:spacing w:before="120" w:after="120"/>
        <w:ind w:left="1276" w:hanging="567"/>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 xml:space="preserve">comply with the mandatory practices for </w:t>
      </w:r>
      <w:r w:rsidR="009F3759">
        <w:rPr>
          <w:rFonts w:asciiTheme="minorHAnsi" w:hAnsiTheme="minorHAnsi" w:cstheme="minorHAnsi"/>
          <w:color w:val="000000"/>
          <w:sz w:val="22"/>
          <w:szCs w:val="22"/>
        </w:rPr>
        <w:t xml:space="preserve">AGCSC </w:t>
      </w:r>
      <w:r w:rsidRPr="00A44323">
        <w:rPr>
          <w:rFonts w:asciiTheme="minorHAnsi" w:hAnsiTheme="minorHAnsi" w:cstheme="minorHAnsi"/>
          <w:color w:val="000000"/>
          <w:sz w:val="22"/>
          <w:szCs w:val="22"/>
        </w:rPr>
        <w:t xml:space="preserve">as outlined at Schedule C of these Guidelines;  and </w:t>
      </w:r>
    </w:p>
    <w:p w:rsidR="001B0F0D" w:rsidRPr="00A44323" w:rsidRDefault="001B0F0D" w:rsidP="00A44323">
      <w:pPr>
        <w:pStyle w:val="ListParagraph"/>
        <w:numPr>
          <w:ilvl w:val="2"/>
          <w:numId w:val="1"/>
        </w:numPr>
        <w:tabs>
          <w:tab w:val="left" w:pos="1276"/>
        </w:tabs>
        <w:spacing w:before="120" w:after="120"/>
        <w:ind w:left="1276" w:hanging="567"/>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 xml:space="preserve">require any subcontractor engaged under the AGCSC to deliver cleaning services to comply with mandatory practices for </w:t>
      </w:r>
      <w:r w:rsidR="009F3759">
        <w:rPr>
          <w:rFonts w:asciiTheme="minorHAnsi" w:hAnsiTheme="minorHAnsi" w:cstheme="minorHAnsi"/>
          <w:color w:val="000000"/>
          <w:sz w:val="22"/>
          <w:szCs w:val="22"/>
        </w:rPr>
        <w:t xml:space="preserve">AGCSC </w:t>
      </w:r>
      <w:r w:rsidRPr="00A44323">
        <w:rPr>
          <w:rFonts w:asciiTheme="minorHAnsi" w:hAnsiTheme="minorHAnsi" w:cstheme="minorHAnsi"/>
          <w:color w:val="000000"/>
          <w:sz w:val="22"/>
          <w:szCs w:val="22"/>
        </w:rPr>
        <w:t xml:space="preserve">as outlined at Schedule C of these Guidelines.   </w:t>
      </w:r>
    </w:p>
    <w:p w:rsidR="005018F5" w:rsidRDefault="005018F5" w:rsidP="005018F5">
      <w:pPr>
        <w:pStyle w:val="ListParagraph"/>
        <w:numPr>
          <w:ilvl w:val="2"/>
          <w:numId w:val="13"/>
        </w:num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Mandatory practices for AGCSC:</w:t>
      </w:r>
    </w:p>
    <w:p w:rsidR="005018F5" w:rsidRDefault="00E7377E" w:rsidP="005018F5">
      <w:pPr>
        <w:pStyle w:val="ListParagraph"/>
        <w:numPr>
          <w:ilvl w:val="2"/>
          <w:numId w:val="3"/>
        </w:numPr>
        <w:tabs>
          <w:tab w:val="left" w:pos="1276"/>
        </w:tabs>
        <w:spacing w:before="120" w:after="120"/>
        <w:ind w:left="1276" w:hanging="567"/>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Australian Government agencies and the persons to whom these guidelines apply must</w:t>
      </w:r>
      <w:r w:rsidR="005018F5">
        <w:rPr>
          <w:rFonts w:asciiTheme="minorHAnsi" w:hAnsiTheme="minorHAnsi" w:cstheme="minorHAnsi"/>
          <w:color w:val="000000"/>
          <w:sz w:val="22"/>
          <w:szCs w:val="22"/>
        </w:rPr>
        <w:t>, in their tender for an AGCSC</w:t>
      </w:r>
      <w:r w:rsidR="00397893">
        <w:rPr>
          <w:rFonts w:asciiTheme="minorHAnsi" w:hAnsiTheme="minorHAnsi" w:cstheme="minorHAnsi"/>
          <w:color w:val="000000"/>
          <w:sz w:val="22"/>
          <w:szCs w:val="22"/>
        </w:rPr>
        <w:t>,</w:t>
      </w:r>
      <w:r w:rsidR="005018F5">
        <w:rPr>
          <w:rFonts w:asciiTheme="minorHAnsi" w:hAnsiTheme="minorHAnsi" w:cstheme="minorHAnsi"/>
          <w:color w:val="000000"/>
          <w:sz w:val="22"/>
          <w:szCs w:val="22"/>
        </w:rPr>
        <w:t xml:space="preserve"> require </w:t>
      </w:r>
      <w:r w:rsidR="005018F5" w:rsidRPr="00A44323">
        <w:rPr>
          <w:rFonts w:asciiTheme="minorHAnsi" w:hAnsiTheme="minorHAnsi" w:cstheme="minorHAnsi"/>
          <w:color w:val="000000"/>
          <w:sz w:val="22"/>
          <w:szCs w:val="22"/>
        </w:rPr>
        <w:t>a</w:t>
      </w:r>
      <w:r w:rsidR="005018F5">
        <w:rPr>
          <w:rFonts w:asciiTheme="minorHAnsi" w:hAnsiTheme="minorHAnsi" w:cstheme="minorHAnsi"/>
          <w:color w:val="000000"/>
          <w:sz w:val="22"/>
          <w:szCs w:val="22"/>
        </w:rPr>
        <w:t xml:space="preserve"> tenderer to provide information and evidence on how they will comply with the mandatory practices for AGCSC.</w:t>
      </w:r>
    </w:p>
    <w:p w:rsidR="005018F5" w:rsidRDefault="005018F5" w:rsidP="005018F5">
      <w:pPr>
        <w:pStyle w:val="ListParagraph"/>
        <w:numPr>
          <w:ilvl w:val="2"/>
          <w:numId w:val="3"/>
        </w:numPr>
        <w:tabs>
          <w:tab w:val="left" w:pos="1276"/>
        </w:tabs>
        <w:spacing w:before="120" w:after="120"/>
        <w:ind w:left="1276" w:hanging="567"/>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Australian Government agencies and the persons to whom these guidelines apply must not enter into a contract with a tenderer if</w:t>
      </w:r>
      <w:r w:rsidR="00397893">
        <w:rPr>
          <w:rFonts w:asciiTheme="minorHAnsi" w:hAnsiTheme="minorHAnsi" w:cstheme="minorHAnsi"/>
          <w:color w:val="000000"/>
          <w:sz w:val="22"/>
          <w:szCs w:val="22"/>
        </w:rPr>
        <w:t xml:space="preserve"> </w:t>
      </w:r>
      <w:r w:rsidR="007E4C51">
        <w:rPr>
          <w:rFonts w:asciiTheme="minorHAnsi" w:hAnsiTheme="minorHAnsi" w:cstheme="minorHAnsi"/>
          <w:color w:val="000000"/>
          <w:sz w:val="22"/>
          <w:szCs w:val="22"/>
        </w:rPr>
        <w:t xml:space="preserve">the Australian Government agency is not satisfied that </w:t>
      </w:r>
      <w:r>
        <w:rPr>
          <w:rFonts w:asciiTheme="minorHAnsi" w:hAnsiTheme="minorHAnsi" w:cstheme="minorHAnsi"/>
          <w:color w:val="000000"/>
          <w:sz w:val="22"/>
          <w:szCs w:val="22"/>
        </w:rPr>
        <w:t>the information and evidence provided</w:t>
      </w:r>
      <w:r w:rsidR="00270E08">
        <w:rPr>
          <w:rFonts w:asciiTheme="minorHAnsi" w:hAnsiTheme="minorHAnsi" w:cstheme="minorHAnsi"/>
          <w:color w:val="000000"/>
          <w:sz w:val="22"/>
          <w:szCs w:val="22"/>
        </w:rPr>
        <w:t xml:space="preserve"> by a tenderer </w:t>
      </w:r>
      <w:r w:rsidR="007E4C51">
        <w:rPr>
          <w:rFonts w:asciiTheme="minorHAnsi" w:hAnsiTheme="minorHAnsi" w:cstheme="minorHAnsi"/>
          <w:color w:val="000000"/>
          <w:sz w:val="22"/>
          <w:szCs w:val="22"/>
        </w:rPr>
        <w:t xml:space="preserve">adequately </w:t>
      </w:r>
      <w:r>
        <w:rPr>
          <w:rFonts w:asciiTheme="minorHAnsi" w:hAnsiTheme="minorHAnsi" w:cstheme="minorHAnsi"/>
          <w:color w:val="000000"/>
          <w:sz w:val="22"/>
          <w:szCs w:val="22"/>
        </w:rPr>
        <w:t>outline</w:t>
      </w:r>
      <w:r w:rsidR="00FC1C29">
        <w:rPr>
          <w:rFonts w:asciiTheme="minorHAnsi" w:hAnsiTheme="minorHAnsi" w:cstheme="minorHAnsi"/>
          <w:color w:val="000000"/>
          <w:sz w:val="22"/>
          <w:szCs w:val="22"/>
        </w:rPr>
        <w:t>s</w:t>
      </w:r>
      <w:r>
        <w:rPr>
          <w:rFonts w:asciiTheme="minorHAnsi" w:hAnsiTheme="minorHAnsi" w:cstheme="minorHAnsi"/>
          <w:color w:val="000000"/>
          <w:sz w:val="22"/>
          <w:szCs w:val="22"/>
        </w:rPr>
        <w:t xml:space="preserve"> how they will comply with the mandatory practices for AGCSC.</w:t>
      </w:r>
    </w:p>
    <w:p w:rsidR="00E7377E" w:rsidRPr="00A44323" w:rsidRDefault="00E7377E" w:rsidP="00E7377E">
      <w:pPr>
        <w:pStyle w:val="ListParagraph"/>
        <w:spacing w:before="120" w:after="120"/>
        <w:rPr>
          <w:rFonts w:asciiTheme="minorHAnsi" w:hAnsiTheme="minorHAnsi" w:cstheme="minorHAnsi"/>
          <w:color w:val="000000"/>
          <w:sz w:val="22"/>
          <w:szCs w:val="22"/>
        </w:rPr>
      </w:pPr>
    </w:p>
    <w:p w:rsidR="00D02375" w:rsidRPr="00A44323" w:rsidRDefault="00D02375" w:rsidP="00A44323">
      <w:pPr>
        <w:pStyle w:val="ListParagraph"/>
        <w:numPr>
          <w:ilvl w:val="2"/>
          <w:numId w:val="13"/>
        </w:numPr>
        <w:spacing w:before="120" w:after="120"/>
        <w:rPr>
          <w:rFonts w:asciiTheme="minorHAnsi" w:hAnsiTheme="minorHAnsi" w:cstheme="minorHAnsi"/>
          <w:color w:val="000000"/>
          <w:sz w:val="22"/>
          <w:szCs w:val="22"/>
        </w:rPr>
      </w:pPr>
      <w:r w:rsidRPr="00A44323">
        <w:rPr>
          <w:rFonts w:asciiTheme="minorHAnsi" w:hAnsiTheme="minorHAnsi" w:cstheme="minorHAnsi"/>
          <w:color w:val="000000"/>
          <w:sz w:val="22"/>
          <w:szCs w:val="22"/>
        </w:rPr>
        <w:t xml:space="preserve">Prescribed minimum hourly base rates of pay: </w:t>
      </w:r>
    </w:p>
    <w:p w:rsidR="00D02375" w:rsidRPr="00A44323" w:rsidRDefault="00D02375" w:rsidP="0057404D">
      <w:pPr>
        <w:pStyle w:val="ListParagraph"/>
        <w:numPr>
          <w:ilvl w:val="2"/>
          <w:numId w:val="18"/>
        </w:numPr>
        <w:tabs>
          <w:tab w:val="left" w:pos="1276"/>
        </w:tabs>
        <w:spacing w:before="120" w:after="120"/>
        <w:ind w:left="1276" w:hanging="567"/>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 xml:space="preserve">It is the intention of the </w:t>
      </w:r>
      <w:r w:rsidR="00500270">
        <w:rPr>
          <w:rFonts w:asciiTheme="minorHAnsi" w:hAnsiTheme="minorHAnsi" w:cstheme="minorHAnsi"/>
          <w:color w:val="000000"/>
          <w:sz w:val="22"/>
          <w:szCs w:val="22"/>
        </w:rPr>
        <w:t xml:space="preserve">Australian </w:t>
      </w:r>
      <w:r w:rsidRPr="00A44323">
        <w:rPr>
          <w:rFonts w:asciiTheme="minorHAnsi" w:hAnsiTheme="minorHAnsi" w:cstheme="minorHAnsi"/>
          <w:color w:val="000000"/>
          <w:sz w:val="22"/>
          <w:szCs w:val="22"/>
        </w:rPr>
        <w:t>Government to transition to uniform pay scales across all states and territories for all AGCSCs.</w:t>
      </w:r>
    </w:p>
    <w:p w:rsidR="00D02375" w:rsidRPr="00A44323" w:rsidRDefault="00D02375" w:rsidP="0057404D">
      <w:pPr>
        <w:pStyle w:val="ListParagraph"/>
        <w:numPr>
          <w:ilvl w:val="2"/>
          <w:numId w:val="18"/>
        </w:numPr>
        <w:tabs>
          <w:tab w:val="left" w:pos="1276"/>
        </w:tabs>
        <w:spacing w:before="120" w:after="120"/>
        <w:ind w:left="1276" w:hanging="567"/>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 xml:space="preserve">For the period commencing from the date of effect of these Guidelines up to and including 30 June 2012, the applicable hourly rates of pay (not including any allowances that may be payable to the employee) for the </w:t>
      </w:r>
      <w:r w:rsidR="00500270">
        <w:rPr>
          <w:rFonts w:asciiTheme="minorHAnsi" w:hAnsiTheme="minorHAnsi" w:cstheme="minorHAnsi"/>
          <w:color w:val="000000"/>
          <w:sz w:val="22"/>
          <w:szCs w:val="22"/>
        </w:rPr>
        <w:t>s</w:t>
      </w:r>
      <w:r w:rsidR="00740A02" w:rsidRPr="006B2C52">
        <w:rPr>
          <w:rFonts w:asciiTheme="minorHAnsi" w:hAnsiTheme="minorHAnsi" w:cstheme="minorHAnsi"/>
          <w:color w:val="000000"/>
          <w:sz w:val="22"/>
          <w:szCs w:val="22"/>
        </w:rPr>
        <w:t xml:space="preserve">tate or </w:t>
      </w:r>
      <w:r w:rsidR="00500270">
        <w:rPr>
          <w:rFonts w:asciiTheme="minorHAnsi" w:hAnsiTheme="minorHAnsi" w:cstheme="minorHAnsi"/>
          <w:color w:val="000000"/>
          <w:sz w:val="22"/>
          <w:szCs w:val="22"/>
        </w:rPr>
        <w:t>t</w:t>
      </w:r>
      <w:r w:rsidR="00740A02" w:rsidRPr="006B2C52">
        <w:rPr>
          <w:rFonts w:asciiTheme="minorHAnsi" w:hAnsiTheme="minorHAnsi" w:cstheme="minorHAnsi"/>
          <w:color w:val="000000"/>
          <w:sz w:val="22"/>
          <w:szCs w:val="22"/>
        </w:rPr>
        <w:t>erritory</w:t>
      </w:r>
      <w:r w:rsidRPr="00A44323">
        <w:rPr>
          <w:rFonts w:asciiTheme="minorHAnsi" w:hAnsiTheme="minorHAnsi" w:cstheme="minorHAnsi"/>
          <w:color w:val="000000"/>
          <w:sz w:val="22"/>
          <w:szCs w:val="22"/>
        </w:rPr>
        <w:t xml:space="preserve"> in which the work is to be performed by the cleaning services employees engaged under the AGCSC</w:t>
      </w:r>
      <w:r w:rsidR="0057404D">
        <w:rPr>
          <w:rFonts w:asciiTheme="minorHAnsi" w:hAnsiTheme="minorHAnsi" w:cstheme="minorHAnsi"/>
          <w:color w:val="000000"/>
          <w:sz w:val="22"/>
          <w:szCs w:val="22"/>
        </w:rPr>
        <w:t>,</w:t>
      </w:r>
      <w:r w:rsidRPr="00A44323">
        <w:rPr>
          <w:rFonts w:asciiTheme="minorHAnsi" w:hAnsiTheme="minorHAnsi" w:cstheme="minorHAnsi"/>
          <w:color w:val="000000"/>
          <w:sz w:val="22"/>
          <w:szCs w:val="22"/>
        </w:rPr>
        <w:t xml:space="preserve"> is prescribed at Schedule A of these Guidelines. </w:t>
      </w:r>
    </w:p>
    <w:p w:rsidR="00D02375" w:rsidRPr="00A44323" w:rsidRDefault="00D02375" w:rsidP="0057404D">
      <w:pPr>
        <w:pStyle w:val="ListParagraph"/>
        <w:numPr>
          <w:ilvl w:val="2"/>
          <w:numId w:val="18"/>
        </w:numPr>
        <w:tabs>
          <w:tab w:val="left" w:pos="1276"/>
        </w:tabs>
        <w:spacing w:before="120" w:after="120"/>
        <w:ind w:left="1276" w:hanging="567"/>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From 1 July 2012 the applicable hourly rates of pay (not including any allowances that may be payable to the employee) for the state or territory in which the work is to be performed by the cleaning services employees engaged under the AGCSC</w:t>
      </w:r>
      <w:r w:rsidR="0057404D">
        <w:rPr>
          <w:rFonts w:asciiTheme="minorHAnsi" w:hAnsiTheme="minorHAnsi" w:cstheme="minorHAnsi"/>
          <w:color w:val="000000"/>
          <w:sz w:val="22"/>
          <w:szCs w:val="22"/>
        </w:rPr>
        <w:t xml:space="preserve">, </w:t>
      </w:r>
      <w:r w:rsidRPr="00A44323">
        <w:rPr>
          <w:rFonts w:asciiTheme="minorHAnsi" w:hAnsiTheme="minorHAnsi" w:cstheme="minorHAnsi"/>
          <w:color w:val="000000"/>
          <w:sz w:val="22"/>
          <w:szCs w:val="22"/>
        </w:rPr>
        <w:t xml:space="preserve"> is prescribed at Schedule B of these Guidelines. </w:t>
      </w:r>
    </w:p>
    <w:p w:rsidR="00D02375" w:rsidRPr="00A44323" w:rsidRDefault="00D02375" w:rsidP="0057404D">
      <w:pPr>
        <w:pStyle w:val="ListParagraph"/>
        <w:numPr>
          <w:ilvl w:val="2"/>
          <w:numId w:val="18"/>
        </w:numPr>
        <w:tabs>
          <w:tab w:val="left" w:pos="1276"/>
        </w:tabs>
        <w:spacing w:before="120" w:after="120"/>
        <w:ind w:left="1276" w:hanging="567"/>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 xml:space="preserve">From 1 July 2013 the applicable hourly rates of pay (not including any allowances that may be payable to the employee) prescribed will be the same for all states or territories in which the work is to be performed by the cleaning services employees engaged under the AGCSC. These rates will be prescribed no later than 1 July 2012.  </w:t>
      </w:r>
    </w:p>
    <w:p w:rsidR="00051A2B" w:rsidRDefault="00051A2B">
      <w:pPr>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br w:type="page"/>
      </w:r>
    </w:p>
    <w:p w:rsidR="00D02375" w:rsidRPr="002D1817" w:rsidRDefault="00D02375" w:rsidP="00A44323">
      <w:pPr>
        <w:pStyle w:val="ListParagraph"/>
        <w:numPr>
          <w:ilvl w:val="1"/>
          <w:numId w:val="13"/>
        </w:numPr>
        <w:spacing w:before="120" w:after="120"/>
        <w:ind w:left="567" w:hanging="567"/>
        <w:contextualSpacing w:val="0"/>
        <w:rPr>
          <w:rFonts w:asciiTheme="minorHAnsi" w:hAnsiTheme="minorHAnsi" w:cstheme="minorHAnsi"/>
          <w:b/>
          <w:color w:val="000000"/>
          <w:sz w:val="22"/>
          <w:szCs w:val="22"/>
        </w:rPr>
      </w:pPr>
      <w:r w:rsidRPr="002D1817">
        <w:rPr>
          <w:rFonts w:asciiTheme="minorHAnsi" w:hAnsiTheme="minorHAnsi" w:cstheme="minorHAnsi"/>
          <w:b/>
          <w:color w:val="000000"/>
          <w:sz w:val="22"/>
          <w:szCs w:val="22"/>
        </w:rPr>
        <w:lastRenderedPageBreak/>
        <w:t>Contract requirements</w:t>
      </w:r>
    </w:p>
    <w:p w:rsidR="00D02375" w:rsidRPr="00A44323" w:rsidRDefault="00D02375" w:rsidP="00A44323">
      <w:pPr>
        <w:pStyle w:val="ListParagraph"/>
        <w:numPr>
          <w:ilvl w:val="2"/>
          <w:numId w:val="13"/>
        </w:numPr>
        <w:spacing w:before="120" w:after="120"/>
        <w:rPr>
          <w:rFonts w:asciiTheme="minorHAnsi" w:hAnsiTheme="minorHAnsi" w:cstheme="minorHAnsi"/>
          <w:color w:val="000000"/>
          <w:sz w:val="22"/>
          <w:szCs w:val="22"/>
        </w:rPr>
      </w:pPr>
      <w:r w:rsidRPr="00A44323">
        <w:rPr>
          <w:rFonts w:asciiTheme="minorHAnsi" w:hAnsiTheme="minorHAnsi" w:cstheme="minorHAnsi"/>
          <w:color w:val="000000"/>
          <w:sz w:val="22"/>
          <w:szCs w:val="22"/>
        </w:rPr>
        <w:t>Australian Government agencies and the persons to whom these guidelines apply must not enter into an AGCSC that does not include a contractual obligation on the contractor to:</w:t>
      </w:r>
    </w:p>
    <w:p w:rsidR="00D02375" w:rsidRPr="00A44323" w:rsidRDefault="00D02375" w:rsidP="00A44323">
      <w:pPr>
        <w:pStyle w:val="ListParagraph"/>
        <w:numPr>
          <w:ilvl w:val="2"/>
          <w:numId w:val="4"/>
        </w:numPr>
        <w:tabs>
          <w:tab w:val="left" w:pos="1276"/>
        </w:tabs>
        <w:spacing w:before="120" w:after="120"/>
        <w:ind w:left="1276" w:hanging="567"/>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 xml:space="preserve">pay employees for work performed under an AGCSC no less than the applicable minimum hourly base rates of pay (not including any allowances that may be payable to the employee) prescribed in these Guidelines; </w:t>
      </w:r>
    </w:p>
    <w:p w:rsidR="00D02375" w:rsidRPr="00A44323" w:rsidRDefault="00D02375" w:rsidP="00A44323">
      <w:pPr>
        <w:pStyle w:val="ListParagraph"/>
        <w:numPr>
          <w:ilvl w:val="2"/>
          <w:numId w:val="4"/>
        </w:numPr>
        <w:tabs>
          <w:tab w:val="left" w:pos="1276"/>
        </w:tabs>
        <w:spacing w:before="120" w:after="120"/>
        <w:ind w:left="1276" w:hanging="567"/>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require any subcontractor engaged under the AGCSC to deliver cleaning services to pay the employees of the subcontractor for work performed under the AGCSC no less</w:t>
      </w:r>
      <w:r w:rsidRPr="00A44323">
        <w:rPr>
          <w:rFonts w:asciiTheme="minorHAnsi" w:hAnsiTheme="minorHAnsi" w:cstheme="minorHAnsi"/>
          <w:b/>
          <w:color w:val="000000"/>
          <w:sz w:val="22"/>
          <w:szCs w:val="22"/>
        </w:rPr>
        <w:t xml:space="preserve"> </w:t>
      </w:r>
      <w:r w:rsidR="002D1817">
        <w:rPr>
          <w:rFonts w:asciiTheme="minorHAnsi" w:hAnsiTheme="minorHAnsi" w:cstheme="minorHAnsi"/>
          <w:color w:val="000000"/>
          <w:sz w:val="22"/>
          <w:szCs w:val="22"/>
        </w:rPr>
        <w:t>than the applicable</w:t>
      </w:r>
      <w:r w:rsidR="002D1817" w:rsidRPr="00A44323">
        <w:rPr>
          <w:rFonts w:asciiTheme="minorHAnsi" w:hAnsiTheme="minorHAnsi" w:cstheme="minorHAnsi"/>
          <w:color w:val="000000"/>
          <w:sz w:val="22"/>
          <w:szCs w:val="22"/>
        </w:rPr>
        <w:t xml:space="preserve"> minimum</w:t>
      </w:r>
      <w:r w:rsidRPr="00A44323">
        <w:rPr>
          <w:rFonts w:asciiTheme="minorHAnsi" w:hAnsiTheme="minorHAnsi" w:cstheme="minorHAnsi"/>
          <w:color w:val="000000"/>
          <w:sz w:val="22"/>
          <w:szCs w:val="22"/>
        </w:rPr>
        <w:t xml:space="preserve"> hourly base rates of pay (not including any allowances that may be payable to the employee) prescribed in these Guidelines; </w:t>
      </w:r>
    </w:p>
    <w:p w:rsidR="00D02375" w:rsidRPr="00A44323" w:rsidRDefault="00D02375" w:rsidP="00A44323">
      <w:pPr>
        <w:pStyle w:val="ListParagraph"/>
        <w:numPr>
          <w:ilvl w:val="2"/>
          <w:numId w:val="4"/>
        </w:numPr>
        <w:tabs>
          <w:tab w:val="left" w:pos="1276"/>
        </w:tabs>
        <w:spacing w:before="120" w:after="120"/>
        <w:ind w:left="1276" w:hanging="567"/>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 xml:space="preserve">comply with the mandatory practices for </w:t>
      </w:r>
      <w:r w:rsidR="009F3759">
        <w:rPr>
          <w:rFonts w:asciiTheme="minorHAnsi" w:hAnsiTheme="minorHAnsi" w:cstheme="minorHAnsi"/>
          <w:color w:val="000000"/>
          <w:sz w:val="22"/>
          <w:szCs w:val="22"/>
        </w:rPr>
        <w:t>AGCSC</w:t>
      </w:r>
      <w:r w:rsidR="00B158F4">
        <w:rPr>
          <w:rFonts w:asciiTheme="minorHAnsi" w:hAnsiTheme="minorHAnsi" w:cstheme="minorHAnsi"/>
          <w:color w:val="000000"/>
          <w:sz w:val="22"/>
          <w:szCs w:val="22"/>
        </w:rPr>
        <w:t xml:space="preserve"> (as per Schedule C)</w:t>
      </w:r>
      <w:r w:rsidRPr="00A44323">
        <w:rPr>
          <w:rFonts w:asciiTheme="minorHAnsi" w:hAnsiTheme="minorHAnsi" w:cstheme="minorHAnsi"/>
          <w:color w:val="000000"/>
          <w:sz w:val="22"/>
          <w:szCs w:val="22"/>
        </w:rPr>
        <w:t>; and</w:t>
      </w:r>
    </w:p>
    <w:p w:rsidR="00D02375" w:rsidRPr="00A44323" w:rsidRDefault="00D02375" w:rsidP="00A44323">
      <w:pPr>
        <w:pStyle w:val="ListParagraph"/>
        <w:numPr>
          <w:ilvl w:val="2"/>
          <w:numId w:val="4"/>
        </w:numPr>
        <w:tabs>
          <w:tab w:val="left" w:pos="1276"/>
        </w:tabs>
        <w:spacing w:before="120" w:after="120"/>
        <w:ind w:left="1276" w:hanging="567"/>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provide, when requested by an Australian Government agency, records which show:</w:t>
      </w:r>
    </w:p>
    <w:p w:rsidR="00D02375" w:rsidRPr="00A44323" w:rsidRDefault="00D02375" w:rsidP="00A44323">
      <w:pPr>
        <w:pStyle w:val="ListParagraph"/>
        <w:numPr>
          <w:ilvl w:val="4"/>
          <w:numId w:val="5"/>
        </w:numPr>
        <w:tabs>
          <w:tab w:val="left" w:pos="1560"/>
        </w:tabs>
        <w:spacing w:before="120" w:after="120"/>
        <w:ind w:left="1560" w:hanging="284"/>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 xml:space="preserve">the number of full time, part time, and part time shift employees who are performing, or have performed, work under the AGCSC;  </w:t>
      </w:r>
    </w:p>
    <w:p w:rsidR="00D02375" w:rsidRPr="00A44323" w:rsidRDefault="00D02375" w:rsidP="00A44323">
      <w:pPr>
        <w:pStyle w:val="ListParagraph"/>
        <w:numPr>
          <w:ilvl w:val="4"/>
          <w:numId w:val="5"/>
        </w:numPr>
        <w:tabs>
          <w:tab w:val="left" w:pos="1560"/>
        </w:tabs>
        <w:spacing w:before="120" w:after="120"/>
        <w:ind w:left="1560" w:hanging="284"/>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 xml:space="preserve">the levels of the employees who are performing, or have performed, work under the AGCSC; </w:t>
      </w:r>
    </w:p>
    <w:p w:rsidR="00D02375" w:rsidRPr="00A44323" w:rsidRDefault="00D02375" w:rsidP="00A44323">
      <w:pPr>
        <w:pStyle w:val="ListParagraph"/>
        <w:numPr>
          <w:ilvl w:val="4"/>
          <w:numId w:val="5"/>
        </w:numPr>
        <w:tabs>
          <w:tab w:val="left" w:pos="1560"/>
        </w:tabs>
        <w:spacing w:before="120" w:after="120"/>
        <w:ind w:left="1560" w:hanging="284"/>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 xml:space="preserve">the hourly rates that are paid or have been paid to employees who are performing, or have performed work under the AGCSC; </w:t>
      </w:r>
    </w:p>
    <w:p w:rsidR="00D02375" w:rsidRPr="00A44323" w:rsidRDefault="00D02375" w:rsidP="00A44323">
      <w:pPr>
        <w:pStyle w:val="ListParagraph"/>
        <w:numPr>
          <w:ilvl w:val="4"/>
          <w:numId w:val="5"/>
        </w:numPr>
        <w:tabs>
          <w:tab w:val="left" w:pos="1560"/>
        </w:tabs>
        <w:spacing w:before="120" w:after="120"/>
        <w:ind w:left="1560" w:hanging="284"/>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 xml:space="preserve">the types  of training, equipment and materials provided to employees who are performing or have performed work under the AGCSC; </w:t>
      </w:r>
    </w:p>
    <w:p w:rsidR="00D02375" w:rsidRPr="00A44323" w:rsidRDefault="00D02375" w:rsidP="00A44323">
      <w:pPr>
        <w:pStyle w:val="ListParagraph"/>
        <w:numPr>
          <w:ilvl w:val="4"/>
          <w:numId w:val="5"/>
        </w:numPr>
        <w:tabs>
          <w:tab w:val="left" w:pos="1560"/>
        </w:tabs>
        <w:spacing w:before="120" w:after="120"/>
        <w:ind w:left="1560" w:hanging="284"/>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 xml:space="preserve">copies of the written duty schedules listing specific tasks to be completed that are provided to employees who are performing or have performed work under the AGCSC; </w:t>
      </w:r>
    </w:p>
    <w:p w:rsidR="00D02375" w:rsidRPr="00A44323" w:rsidRDefault="00D02375" w:rsidP="00A44323">
      <w:pPr>
        <w:pStyle w:val="ListParagraph"/>
        <w:numPr>
          <w:ilvl w:val="4"/>
          <w:numId w:val="5"/>
        </w:numPr>
        <w:tabs>
          <w:tab w:val="left" w:pos="1560"/>
        </w:tabs>
        <w:spacing w:before="120" w:after="120"/>
        <w:ind w:left="1560" w:hanging="284"/>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 xml:space="preserve">that the workloads for employees who are performing or have performed work under the AGCSC are fair and reasonable workloads and that there </w:t>
      </w:r>
      <w:r w:rsidR="00890731">
        <w:rPr>
          <w:rFonts w:asciiTheme="minorHAnsi" w:hAnsiTheme="minorHAnsi" w:cstheme="minorHAnsi"/>
          <w:color w:val="000000"/>
          <w:sz w:val="22"/>
          <w:szCs w:val="22"/>
        </w:rPr>
        <w:t>are</w:t>
      </w:r>
      <w:r w:rsidRPr="00A44323">
        <w:rPr>
          <w:rFonts w:asciiTheme="minorHAnsi" w:hAnsiTheme="minorHAnsi" w:cstheme="minorHAnsi"/>
          <w:color w:val="000000"/>
          <w:sz w:val="22"/>
          <w:szCs w:val="22"/>
        </w:rPr>
        <w:t xml:space="preserve"> adequate </w:t>
      </w:r>
      <w:r w:rsidR="00246EF8" w:rsidRPr="00A44323">
        <w:rPr>
          <w:rFonts w:asciiTheme="minorHAnsi" w:hAnsiTheme="minorHAnsi" w:cstheme="minorHAnsi"/>
          <w:color w:val="000000"/>
          <w:sz w:val="22"/>
          <w:szCs w:val="22"/>
        </w:rPr>
        <w:t>employees</w:t>
      </w:r>
      <w:r w:rsidRPr="00A44323">
        <w:rPr>
          <w:rFonts w:asciiTheme="minorHAnsi" w:hAnsiTheme="minorHAnsi" w:cstheme="minorHAnsi"/>
          <w:color w:val="000000"/>
          <w:sz w:val="22"/>
          <w:szCs w:val="22"/>
        </w:rPr>
        <w:t xml:space="preserve"> performing work under the AGCSC to achieve the required performance levels;  </w:t>
      </w:r>
    </w:p>
    <w:p w:rsidR="00D02375" w:rsidRPr="00A44323" w:rsidRDefault="00D02375" w:rsidP="00A44323">
      <w:pPr>
        <w:pStyle w:val="ListParagraph"/>
        <w:numPr>
          <w:ilvl w:val="4"/>
          <w:numId w:val="5"/>
        </w:numPr>
        <w:tabs>
          <w:tab w:val="left" w:pos="1560"/>
        </w:tabs>
        <w:spacing w:before="120" w:after="120"/>
        <w:ind w:left="1560" w:hanging="284"/>
        <w:contextualSpacing w:val="0"/>
        <w:rPr>
          <w:rFonts w:asciiTheme="minorHAnsi" w:hAnsiTheme="minorHAnsi" w:cstheme="minorHAnsi"/>
          <w:color w:val="000000"/>
          <w:sz w:val="22"/>
          <w:szCs w:val="22"/>
        </w:rPr>
      </w:pPr>
      <w:r w:rsidRPr="00A44323">
        <w:rPr>
          <w:rFonts w:asciiTheme="minorHAnsi" w:hAnsiTheme="minorHAnsi" w:cstheme="minorHAnsi"/>
          <w:color w:val="000000"/>
          <w:sz w:val="22"/>
          <w:szCs w:val="22"/>
        </w:rPr>
        <w:t xml:space="preserve">that freedom of association and representation of employees who are performing or have performed work under the AGCSC  is acknowledged and supported; and </w:t>
      </w:r>
    </w:p>
    <w:p w:rsidR="00D02375" w:rsidRPr="00A44323" w:rsidRDefault="00D02375" w:rsidP="00A44323">
      <w:pPr>
        <w:pStyle w:val="ListParagraph"/>
        <w:numPr>
          <w:ilvl w:val="4"/>
          <w:numId w:val="5"/>
        </w:numPr>
        <w:tabs>
          <w:tab w:val="left" w:pos="1560"/>
        </w:tabs>
        <w:spacing w:before="120" w:after="120"/>
        <w:ind w:left="1560" w:hanging="284"/>
        <w:contextualSpacing w:val="0"/>
        <w:rPr>
          <w:rFonts w:asciiTheme="minorHAnsi" w:hAnsiTheme="minorHAnsi" w:cstheme="minorHAnsi"/>
          <w:color w:val="000000"/>
          <w:sz w:val="22"/>
          <w:szCs w:val="22"/>
        </w:rPr>
      </w:pPr>
      <w:proofErr w:type="gramStart"/>
      <w:r w:rsidRPr="00A44323">
        <w:rPr>
          <w:rFonts w:asciiTheme="minorHAnsi" w:hAnsiTheme="minorHAnsi" w:cstheme="minorHAnsi"/>
          <w:color w:val="000000"/>
          <w:sz w:val="22"/>
          <w:szCs w:val="22"/>
        </w:rPr>
        <w:t>where</w:t>
      </w:r>
      <w:proofErr w:type="gramEnd"/>
      <w:r w:rsidRPr="00A44323">
        <w:rPr>
          <w:rFonts w:asciiTheme="minorHAnsi" w:hAnsiTheme="minorHAnsi" w:cstheme="minorHAnsi"/>
          <w:color w:val="000000"/>
          <w:sz w:val="22"/>
          <w:szCs w:val="22"/>
        </w:rPr>
        <w:t xml:space="preserve"> the contractor has subcontracted the delivery of some or all cleaning services under the AGCSC, the information at points 5.</w:t>
      </w:r>
      <w:r w:rsidR="002D1817">
        <w:rPr>
          <w:rFonts w:asciiTheme="minorHAnsi" w:hAnsiTheme="minorHAnsi" w:cstheme="minorHAnsi"/>
          <w:color w:val="000000"/>
          <w:sz w:val="22"/>
          <w:szCs w:val="22"/>
        </w:rPr>
        <w:t>2 d</w:t>
      </w:r>
      <w:r w:rsidRPr="00A44323">
        <w:rPr>
          <w:rFonts w:asciiTheme="minorHAnsi" w:hAnsiTheme="minorHAnsi" w:cstheme="minorHAnsi"/>
          <w:color w:val="000000"/>
          <w:sz w:val="22"/>
          <w:szCs w:val="22"/>
        </w:rPr>
        <w:t xml:space="preserve"> </w:t>
      </w:r>
      <w:proofErr w:type="spellStart"/>
      <w:r w:rsidRPr="00A44323">
        <w:rPr>
          <w:rFonts w:asciiTheme="minorHAnsi" w:hAnsiTheme="minorHAnsi" w:cstheme="minorHAnsi"/>
          <w:color w:val="000000"/>
          <w:sz w:val="22"/>
          <w:szCs w:val="22"/>
        </w:rPr>
        <w:t>i</w:t>
      </w:r>
      <w:proofErr w:type="spellEnd"/>
      <w:r w:rsidRPr="00A44323">
        <w:rPr>
          <w:rFonts w:asciiTheme="minorHAnsi" w:hAnsiTheme="minorHAnsi" w:cstheme="minorHAnsi"/>
          <w:color w:val="000000"/>
          <w:sz w:val="22"/>
          <w:szCs w:val="22"/>
        </w:rPr>
        <w:t xml:space="preserve"> to</w:t>
      </w:r>
      <w:r w:rsidR="001B0F0D" w:rsidRPr="00A44323">
        <w:rPr>
          <w:rFonts w:asciiTheme="minorHAnsi" w:hAnsiTheme="minorHAnsi" w:cstheme="minorHAnsi"/>
          <w:color w:val="000000"/>
          <w:sz w:val="22"/>
          <w:szCs w:val="22"/>
        </w:rPr>
        <w:t xml:space="preserve"> v</w:t>
      </w:r>
      <w:r w:rsidRPr="00A44323">
        <w:rPr>
          <w:rFonts w:asciiTheme="minorHAnsi" w:hAnsiTheme="minorHAnsi" w:cstheme="minorHAnsi"/>
          <w:color w:val="000000"/>
          <w:sz w:val="22"/>
          <w:szCs w:val="22"/>
        </w:rPr>
        <w:t xml:space="preserve">i in relation to the subcontractor’s employees who are performing, or have performed, work under the AGCSC. </w:t>
      </w:r>
    </w:p>
    <w:p w:rsidR="00D02375" w:rsidRPr="00A44323" w:rsidRDefault="00D02375" w:rsidP="00A44323">
      <w:pPr>
        <w:pStyle w:val="ListParagraph"/>
        <w:spacing w:before="120" w:after="120"/>
        <w:ind w:left="567"/>
        <w:rPr>
          <w:rFonts w:asciiTheme="minorHAnsi" w:hAnsiTheme="minorHAnsi" w:cstheme="minorHAnsi"/>
          <w:color w:val="000000"/>
          <w:sz w:val="22"/>
          <w:szCs w:val="22"/>
        </w:rPr>
      </w:pPr>
    </w:p>
    <w:p w:rsidR="00D02375" w:rsidRPr="00A44323" w:rsidRDefault="00D02375" w:rsidP="00A44323">
      <w:pPr>
        <w:pStyle w:val="ListParagraph"/>
        <w:numPr>
          <w:ilvl w:val="2"/>
          <w:numId w:val="13"/>
        </w:numPr>
        <w:spacing w:before="120" w:after="120"/>
        <w:rPr>
          <w:rFonts w:asciiTheme="minorHAnsi" w:hAnsiTheme="minorHAnsi" w:cstheme="minorHAnsi"/>
          <w:color w:val="000000"/>
          <w:sz w:val="22"/>
          <w:szCs w:val="22"/>
        </w:rPr>
      </w:pPr>
      <w:r w:rsidRPr="00A44323">
        <w:rPr>
          <w:rFonts w:asciiTheme="minorHAnsi" w:hAnsiTheme="minorHAnsi" w:cstheme="minorHAnsi"/>
          <w:color w:val="000000"/>
          <w:sz w:val="22"/>
          <w:szCs w:val="22"/>
        </w:rPr>
        <w:t>The requirements in section 5 of these Guidelines do not apply to tenderers who do not have a commercial presence in Australia unless they subcontract or employ cleaning staff within Australia.</w:t>
      </w:r>
    </w:p>
    <w:p w:rsidR="00D02375" w:rsidRPr="00276D9F" w:rsidRDefault="00D02375" w:rsidP="00D02375">
      <w:pPr>
        <w:pStyle w:val="Heading1"/>
        <w:numPr>
          <w:ilvl w:val="0"/>
          <w:numId w:val="13"/>
        </w:numPr>
        <w:spacing w:before="120" w:after="120"/>
        <w:rPr>
          <w:rFonts w:ascii="Calibri" w:hAnsi="Calibri" w:cs="Calibri"/>
          <w:sz w:val="24"/>
          <w:szCs w:val="24"/>
        </w:rPr>
      </w:pPr>
      <w:r w:rsidRPr="00406746">
        <w:rPr>
          <w:rFonts w:ascii="Calibri" w:hAnsi="Calibri" w:cs="Calibri"/>
        </w:rPr>
        <w:br w:type="page"/>
      </w:r>
      <w:bookmarkStart w:id="9" w:name="_Toc305076436"/>
      <w:bookmarkStart w:id="10" w:name="_Toc307819287"/>
      <w:r w:rsidRPr="00276D9F">
        <w:rPr>
          <w:rFonts w:ascii="Calibri" w:hAnsi="Calibri" w:cs="Calibri"/>
          <w:sz w:val="24"/>
          <w:szCs w:val="24"/>
        </w:rPr>
        <w:lastRenderedPageBreak/>
        <w:t>Definitions</w:t>
      </w:r>
      <w:bookmarkEnd w:id="9"/>
      <w:bookmarkEnd w:id="10"/>
    </w:p>
    <w:p w:rsidR="00D02375" w:rsidRPr="00A44323" w:rsidRDefault="00D02375" w:rsidP="00D02375">
      <w:pPr>
        <w:pStyle w:val="ListParagraph"/>
        <w:numPr>
          <w:ilvl w:val="1"/>
          <w:numId w:val="13"/>
        </w:numPr>
        <w:spacing w:before="120" w:after="120"/>
        <w:ind w:left="567" w:hanging="567"/>
        <w:contextualSpacing w:val="0"/>
        <w:rPr>
          <w:rFonts w:ascii="Calibri" w:hAnsi="Calibri" w:cs="Calibri"/>
          <w:b/>
          <w:color w:val="000000"/>
          <w:sz w:val="22"/>
          <w:szCs w:val="22"/>
        </w:rPr>
      </w:pPr>
      <w:r w:rsidRPr="00A44323">
        <w:rPr>
          <w:rFonts w:ascii="Calibri" w:hAnsi="Calibri" w:cs="Calibri"/>
          <w:b/>
          <w:color w:val="000000"/>
          <w:sz w:val="22"/>
          <w:szCs w:val="22"/>
        </w:rPr>
        <w:t>AGCSC</w:t>
      </w:r>
    </w:p>
    <w:p w:rsidR="00D02375" w:rsidRPr="00A44323" w:rsidRDefault="00D02375" w:rsidP="00D02375">
      <w:pPr>
        <w:pStyle w:val="ListParagraph"/>
        <w:numPr>
          <w:ilvl w:val="2"/>
          <w:numId w:val="13"/>
        </w:numPr>
        <w:spacing w:before="120" w:after="120"/>
        <w:contextualSpacing w:val="0"/>
        <w:rPr>
          <w:rFonts w:ascii="Calibri" w:hAnsi="Calibri" w:cs="Calibri"/>
          <w:color w:val="000000"/>
          <w:sz w:val="22"/>
          <w:szCs w:val="22"/>
        </w:rPr>
      </w:pPr>
      <w:r w:rsidRPr="00A44323">
        <w:rPr>
          <w:rFonts w:ascii="Calibri" w:hAnsi="Calibri" w:cs="Calibri"/>
          <w:color w:val="000000"/>
          <w:sz w:val="22"/>
          <w:szCs w:val="22"/>
        </w:rPr>
        <w:t>For the purposes of these Guidelines, an Australian Government Cleaning Service</w:t>
      </w:r>
      <w:r w:rsidR="00D8323F">
        <w:rPr>
          <w:rFonts w:ascii="Calibri" w:hAnsi="Calibri" w:cs="Calibri"/>
          <w:color w:val="000000"/>
          <w:sz w:val="22"/>
          <w:szCs w:val="22"/>
        </w:rPr>
        <w:t>s</w:t>
      </w:r>
      <w:r w:rsidRPr="00A44323">
        <w:rPr>
          <w:rFonts w:ascii="Calibri" w:hAnsi="Calibri" w:cs="Calibri"/>
          <w:color w:val="000000"/>
          <w:sz w:val="22"/>
          <w:szCs w:val="22"/>
        </w:rPr>
        <w:t xml:space="preserve"> Contract (AGCSC) is a contract for the delivery of internal and/or external cleaning services in a Central Business District location as defined at section 6.6 of these Guidelines:</w:t>
      </w:r>
    </w:p>
    <w:p w:rsidR="00D02375" w:rsidRPr="00A44323" w:rsidRDefault="00D02375" w:rsidP="00D02375">
      <w:pPr>
        <w:pStyle w:val="ListParagraph"/>
        <w:numPr>
          <w:ilvl w:val="0"/>
          <w:numId w:val="2"/>
        </w:numPr>
        <w:tabs>
          <w:tab w:val="left" w:pos="851"/>
        </w:tabs>
        <w:spacing w:before="120" w:after="120"/>
        <w:ind w:left="993" w:hanging="284"/>
        <w:contextualSpacing w:val="0"/>
        <w:rPr>
          <w:rFonts w:ascii="Calibri" w:hAnsi="Calibri" w:cs="Calibri"/>
          <w:color w:val="000000"/>
          <w:sz w:val="22"/>
          <w:szCs w:val="22"/>
        </w:rPr>
      </w:pPr>
      <w:r w:rsidRPr="00A44323">
        <w:rPr>
          <w:rFonts w:ascii="Calibri" w:hAnsi="Calibri" w:cs="Calibri"/>
          <w:color w:val="000000"/>
          <w:sz w:val="22"/>
          <w:szCs w:val="22"/>
        </w:rPr>
        <w:t>at premises occupied by an Australian Government agency; or</w:t>
      </w:r>
    </w:p>
    <w:p w:rsidR="00D02375" w:rsidRPr="00A44323" w:rsidRDefault="00D02375" w:rsidP="00D02375">
      <w:pPr>
        <w:pStyle w:val="ListParagraph"/>
        <w:numPr>
          <w:ilvl w:val="0"/>
          <w:numId w:val="2"/>
        </w:numPr>
        <w:tabs>
          <w:tab w:val="left" w:pos="851"/>
        </w:tabs>
        <w:spacing w:before="120" w:after="120"/>
        <w:ind w:left="993" w:hanging="284"/>
        <w:contextualSpacing w:val="0"/>
        <w:rPr>
          <w:rFonts w:ascii="Calibri" w:hAnsi="Calibri" w:cs="Calibri"/>
          <w:color w:val="000000"/>
          <w:sz w:val="22"/>
          <w:szCs w:val="22"/>
        </w:rPr>
      </w:pPr>
      <w:r w:rsidRPr="00A44323">
        <w:rPr>
          <w:rFonts w:ascii="Calibri" w:hAnsi="Calibri" w:cs="Calibri"/>
          <w:color w:val="000000"/>
          <w:sz w:val="22"/>
          <w:szCs w:val="22"/>
        </w:rPr>
        <w:t xml:space="preserve">entered into by an Australian Government agency on its own account, or for and on behalf of the Commonwealth. </w:t>
      </w:r>
    </w:p>
    <w:p w:rsidR="00D02375" w:rsidRPr="00A44323" w:rsidRDefault="00D02375" w:rsidP="00D02375">
      <w:pPr>
        <w:pStyle w:val="ListParagraph"/>
        <w:spacing w:before="120" w:after="120"/>
        <w:ind w:left="644"/>
        <w:rPr>
          <w:rFonts w:ascii="Calibri" w:hAnsi="Calibri" w:cs="Calibri"/>
          <w:b/>
          <w:color w:val="000000"/>
          <w:sz w:val="22"/>
          <w:szCs w:val="22"/>
        </w:rPr>
      </w:pPr>
    </w:p>
    <w:p w:rsidR="00D02375" w:rsidRPr="00A44323" w:rsidRDefault="00D02375" w:rsidP="00D02375">
      <w:pPr>
        <w:pStyle w:val="ListParagraph"/>
        <w:numPr>
          <w:ilvl w:val="1"/>
          <w:numId w:val="13"/>
        </w:numPr>
        <w:spacing w:before="120" w:after="120"/>
        <w:ind w:left="567" w:hanging="567"/>
        <w:contextualSpacing w:val="0"/>
        <w:rPr>
          <w:rFonts w:ascii="Calibri" w:hAnsi="Calibri" w:cs="Calibri"/>
          <w:b/>
          <w:color w:val="000000"/>
          <w:sz w:val="22"/>
          <w:szCs w:val="22"/>
        </w:rPr>
      </w:pPr>
      <w:r w:rsidRPr="00A44323">
        <w:rPr>
          <w:rFonts w:ascii="Calibri" w:hAnsi="Calibri" w:cs="Calibri"/>
          <w:b/>
          <w:color w:val="000000"/>
          <w:sz w:val="22"/>
          <w:szCs w:val="22"/>
        </w:rPr>
        <w:t>Australian Government agencies</w:t>
      </w:r>
    </w:p>
    <w:p w:rsidR="00D02375" w:rsidRPr="00A44323" w:rsidRDefault="00D02375" w:rsidP="00D02375">
      <w:pPr>
        <w:pStyle w:val="ListParagraph"/>
        <w:numPr>
          <w:ilvl w:val="2"/>
          <w:numId w:val="13"/>
        </w:numPr>
        <w:tabs>
          <w:tab w:val="num" w:pos="709"/>
        </w:tabs>
        <w:spacing w:before="120" w:after="120"/>
        <w:contextualSpacing w:val="0"/>
        <w:rPr>
          <w:rFonts w:ascii="Calibri" w:hAnsi="Calibri" w:cs="Calibri"/>
          <w:color w:val="000000"/>
          <w:sz w:val="22"/>
          <w:szCs w:val="22"/>
        </w:rPr>
      </w:pPr>
      <w:r w:rsidRPr="00A44323">
        <w:rPr>
          <w:rFonts w:ascii="Calibri" w:hAnsi="Calibri" w:cs="Calibri"/>
          <w:color w:val="000000"/>
          <w:sz w:val="22"/>
          <w:szCs w:val="22"/>
        </w:rPr>
        <w:t xml:space="preserve">For the purposes of these Guidelines, Australian Government agencies are: </w:t>
      </w:r>
    </w:p>
    <w:p w:rsidR="00D02375" w:rsidRPr="00A44323" w:rsidRDefault="00D02375" w:rsidP="00D02375">
      <w:pPr>
        <w:pStyle w:val="ListParagraph"/>
        <w:numPr>
          <w:ilvl w:val="0"/>
          <w:numId w:val="12"/>
        </w:numPr>
        <w:tabs>
          <w:tab w:val="left" w:pos="851"/>
        </w:tabs>
        <w:spacing w:before="120" w:after="120"/>
        <w:ind w:left="993" w:hanging="284"/>
        <w:contextualSpacing w:val="0"/>
        <w:rPr>
          <w:rFonts w:ascii="Calibri" w:hAnsi="Calibri" w:cs="Calibri"/>
          <w:color w:val="000000"/>
          <w:sz w:val="22"/>
          <w:szCs w:val="22"/>
        </w:rPr>
      </w:pPr>
      <w:r w:rsidRPr="00A44323">
        <w:rPr>
          <w:rFonts w:ascii="Calibri" w:hAnsi="Calibri" w:cs="Calibri"/>
          <w:color w:val="000000"/>
          <w:sz w:val="22"/>
          <w:szCs w:val="22"/>
        </w:rPr>
        <w:t xml:space="preserve">all Departments of State, Departments of the Parliament and prescribed agencies named in the FMA Regulations; and </w:t>
      </w:r>
    </w:p>
    <w:p w:rsidR="00D02375" w:rsidRPr="00A44323" w:rsidRDefault="00D02375" w:rsidP="00D02375">
      <w:pPr>
        <w:pStyle w:val="ListParagraph"/>
        <w:numPr>
          <w:ilvl w:val="0"/>
          <w:numId w:val="12"/>
        </w:numPr>
        <w:tabs>
          <w:tab w:val="left" w:pos="851"/>
        </w:tabs>
        <w:spacing w:before="120" w:after="120"/>
        <w:ind w:left="993" w:hanging="284"/>
        <w:contextualSpacing w:val="0"/>
        <w:rPr>
          <w:rFonts w:ascii="Calibri" w:hAnsi="Calibri" w:cs="Calibri"/>
          <w:color w:val="000000"/>
          <w:sz w:val="22"/>
          <w:szCs w:val="22"/>
        </w:rPr>
      </w:pPr>
      <w:r w:rsidRPr="00A44323">
        <w:rPr>
          <w:rFonts w:ascii="Calibri" w:hAnsi="Calibri" w:cs="Calibri"/>
          <w:color w:val="000000"/>
          <w:sz w:val="22"/>
          <w:szCs w:val="22"/>
        </w:rPr>
        <w:t xml:space="preserve">all Commonwealth authorities and companies listed in Schedule 1 to the </w:t>
      </w:r>
      <w:r w:rsidRPr="00A44323">
        <w:rPr>
          <w:rFonts w:ascii="Calibri" w:hAnsi="Calibri" w:cs="Calibri"/>
          <w:i/>
          <w:color w:val="000000"/>
          <w:sz w:val="22"/>
          <w:szCs w:val="22"/>
        </w:rPr>
        <w:t>Commonwealth Authorities and Companies Regulations 1997</w:t>
      </w:r>
      <w:r w:rsidRPr="00A44323">
        <w:rPr>
          <w:rFonts w:ascii="Calibri" w:hAnsi="Calibri" w:cs="Calibri"/>
          <w:color w:val="000000"/>
          <w:sz w:val="22"/>
          <w:szCs w:val="22"/>
        </w:rPr>
        <w:t xml:space="preserve"> through a direction issued by the Minister for Finance and Deregulation under the CAC Act. </w:t>
      </w:r>
    </w:p>
    <w:p w:rsidR="00D02375" w:rsidRPr="00A44323" w:rsidRDefault="00D02375" w:rsidP="00D02375">
      <w:pPr>
        <w:pStyle w:val="ListParagraph"/>
        <w:spacing w:before="120" w:after="120"/>
        <w:ind w:left="644"/>
        <w:rPr>
          <w:rFonts w:ascii="Calibri" w:hAnsi="Calibri" w:cs="Calibri"/>
          <w:b/>
          <w:color w:val="000000"/>
          <w:sz w:val="22"/>
          <w:szCs w:val="22"/>
        </w:rPr>
      </w:pPr>
    </w:p>
    <w:p w:rsidR="00D02375" w:rsidRPr="00A44323" w:rsidRDefault="00D02375" w:rsidP="00D02375">
      <w:pPr>
        <w:pStyle w:val="ListParagraph"/>
        <w:numPr>
          <w:ilvl w:val="1"/>
          <w:numId w:val="13"/>
        </w:numPr>
        <w:spacing w:before="120" w:after="120"/>
        <w:ind w:left="567" w:hanging="567"/>
        <w:contextualSpacing w:val="0"/>
        <w:rPr>
          <w:rFonts w:ascii="Calibri" w:hAnsi="Calibri" w:cs="Calibri"/>
          <w:b/>
          <w:color w:val="000000"/>
          <w:sz w:val="22"/>
          <w:szCs w:val="22"/>
        </w:rPr>
      </w:pPr>
      <w:r w:rsidRPr="00A44323">
        <w:rPr>
          <w:rFonts w:ascii="Calibri" w:hAnsi="Calibri" w:cs="Calibri"/>
          <w:b/>
          <w:color w:val="000000"/>
          <w:sz w:val="22"/>
          <w:szCs w:val="22"/>
        </w:rPr>
        <w:t xml:space="preserve">Building Services Employee </w:t>
      </w:r>
    </w:p>
    <w:p w:rsidR="00D02375" w:rsidRPr="00A44323" w:rsidRDefault="00D02375" w:rsidP="00D02375">
      <w:pPr>
        <w:pStyle w:val="ListParagraph"/>
        <w:numPr>
          <w:ilvl w:val="2"/>
          <w:numId w:val="13"/>
        </w:numPr>
        <w:tabs>
          <w:tab w:val="num" w:pos="709"/>
        </w:tabs>
        <w:spacing w:before="120" w:after="120"/>
        <w:contextualSpacing w:val="0"/>
        <w:rPr>
          <w:rFonts w:ascii="Calibri" w:hAnsi="Calibri" w:cs="Calibri"/>
          <w:sz w:val="22"/>
          <w:szCs w:val="22"/>
        </w:rPr>
      </w:pPr>
      <w:r w:rsidRPr="00A44323">
        <w:rPr>
          <w:rFonts w:ascii="Calibri" w:hAnsi="Calibri" w:cs="Calibri"/>
          <w:color w:val="000000"/>
          <w:sz w:val="22"/>
          <w:szCs w:val="22"/>
        </w:rPr>
        <w:t xml:space="preserve">A </w:t>
      </w:r>
      <w:r w:rsidRPr="00A44323">
        <w:rPr>
          <w:rFonts w:ascii="Calibri" w:hAnsi="Calibri" w:cs="Calibri"/>
          <w:b/>
          <w:color w:val="000000"/>
          <w:sz w:val="22"/>
          <w:szCs w:val="22"/>
        </w:rPr>
        <w:t>Building Service Employee Grade One</w:t>
      </w:r>
      <w:r w:rsidRPr="00A44323">
        <w:rPr>
          <w:rFonts w:ascii="Calibri" w:hAnsi="Calibri" w:cs="Calibri"/>
          <w:color w:val="000000"/>
          <w:sz w:val="22"/>
          <w:szCs w:val="22"/>
        </w:rPr>
        <w:t xml:space="preserve"> (BSE 1) means an employee who at the</w:t>
      </w:r>
      <w:r w:rsidRPr="00A44323">
        <w:rPr>
          <w:rFonts w:ascii="Calibri" w:hAnsi="Calibri" w:cs="Calibri"/>
          <w:sz w:val="22"/>
          <w:szCs w:val="22"/>
        </w:rPr>
        <w:t xml:space="preserve"> completion of their training and induction is capable of performing work within the scope of this level. Such an employee performs those tasks customarily performed by cleaners utilising a range of materials and equipment, to clean a range of surfaces in order to restore or maintain buildings in a clean and hygienic condition.</w:t>
      </w:r>
    </w:p>
    <w:p w:rsidR="00D02375" w:rsidRPr="00A44323" w:rsidRDefault="00D02375" w:rsidP="00D02375">
      <w:pPr>
        <w:pStyle w:val="Level4"/>
        <w:keepNext/>
        <w:spacing w:before="120" w:after="120"/>
        <w:ind w:left="720" w:firstLine="0"/>
        <w:jc w:val="left"/>
        <w:rPr>
          <w:rFonts w:ascii="Calibri" w:hAnsi="Calibri" w:cs="Calibri"/>
          <w:sz w:val="22"/>
          <w:szCs w:val="22"/>
        </w:rPr>
      </w:pPr>
      <w:r w:rsidRPr="00A44323">
        <w:rPr>
          <w:rFonts w:ascii="Calibri" w:hAnsi="Calibri" w:cs="Calibri"/>
          <w:sz w:val="22"/>
          <w:szCs w:val="22"/>
        </w:rPr>
        <w:t>Indicative of the tasks which an employee at this level may perform, on a daily or periodic basis, are the following:</w:t>
      </w:r>
    </w:p>
    <w:p w:rsidR="00D02375" w:rsidRPr="00A44323" w:rsidRDefault="00D02375" w:rsidP="00D02375">
      <w:pPr>
        <w:pStyle w:val="ListParagraph"/>
        <w:numPr>
          <w:ilvl w:val="0"/>
          <w:numId w:val="8"/>
        </w:numPr>
        <w:tabs>
          <w:tab w:val="left" w:pos="851"/>
        </w:tabs>
        <w:spacing w:before="120" w:after="120"/>
        <w:ind w:left="993" w:hanging="284"/>
        <w:contextualSpacing w:val="0"/>
        <w:rPr>
          <w:rFonts w:ascii="Calibri" w:hAnsi="Calibri" w:cs="Calibri"/>
          <w:color w:val="000000"/>
          <w:sz w:val="22"/>
          <w:szCs w:val="22"/>
        </w:rPr>
      </w:pPr>
      <w:r w:rsidRPr="00A44323">
        <w:rPr>
          <w:rFonts w:ascii="Calibri" w:hAnsi="Calibri" w:cs="Calibri"/>
          <w:color w:val="000000"/>
          <w:sz w:val="22"/>
          <w:szCs w:val="22"/>
        </w:rPr>
        <w:t>vacuuming and spot cleaning of carpets and soft furnishings;</w:t>
      </w:r>
    </w:p>
    <w:p w:rsidR="00D02375" w:rsidRPr="00A44323" w:rsidRDefault="00D02375" w:rsidP="00D02375">
      <w:pPr>
        <w:pStyle w:val="ListParagraph"/>
        <w:numPr>
          <w:ilvl w:val="0"/>
          <w:numId w:val="8"/>
        </w:numPr>
        <w:tabs>
          <w:tab w:val="left" w:pos="851"/>
        </w:tabs>
        <w:spacing w:before="120" w:after="120"/>
        <w:ind w:left="993" w:hanging="284"/>
        <w:contextualSpacing w:val="0"/>
        <w:rPr>
          <w:rFonts w:ascii="Calibri" w:hAnsi="Calibri" w:cs="Calibri"/>
          <w:color w:val="000000"/>
          <w:sz w:val="22"/>
          <w:szCs w:val="22"/>
        </w:rPr>
      </w:pPr>
      <w:r w:rsidRPr="00A44323">
        <w:rPr>
          <w:rFonts w:ascii="Calibri" w:hAnsi="Calibri" w:cs="Calibri"/>
          <w:color w:val="000000"/>
          <w:sz w:val="22"/>
          <w:szCs w:val="22"/>
        </w:rPr>
        <w:t>sweeping and mopping;</w:t>
      </w:r>
    </w:p>
    <w:p w:rsidR="00D02375" w:rsidRPr="00A44323" w:rsidRDefault="00D02375" w:rsidP="00D02375">
      <w:pPr>
        <w:pStyle w:val="ListParagraph"/>
        <w:numPr>
          <w:ilvl w:val="0"/>
          <w:numId w:val="8"/>
        </w:numPr>
        <w:tabs>
          <w:tab w:val="left" w:pos="851"/>
        </w:tabs>
        <w:spacing w:before="120" w:after="120"/>
        <w:ind w:left="993" w:hanging="284"/>
        <w:contextualSpacing w:val="0"/>
        <w:rPr>
          <w:rFonts w:ascii="Calibri" w:hAnsi="Calibri" w:cs="Calibri"/>
          <w:color w:val="000000"/>
          <w:sz w:val="22"/>
          <w:szCs w:val="22"/>
        </w:rPr>
      </w:pPr>
      <w:r w:rsidRPr="00A44323">
        <w:rPr>
          <w:rFonts w:ascii="Calibri" w:hAnsi="Calibri" w:cs="Calibri"/>
          <w:color w:val="000000"/>
          <w:sz w:val="22"/>
          <w:szCs w:val="22"/>
        </w:rPr>
        <w:t xml:space="preserve">toilet cleaning;  </w:t>
      </w:r>
    </w:p>
    <w:p w:rsidR="00D02375" w:rsidRPr="00A44323" w:rsidRDefault="00D02375" w:rsidP="00D02375">
      <w:pPr>
        <w:pStyle w:val="ListParagraph"/>
        <w:numPr>
          <w:ilvl w:val="0"/>
          <w:numId w:val="8"/>
        </w:numPr>
        <w:tabs>
          <w:tab w:val="left" w:pos="851"/>
        </w:tabs>
        <w:spacing w:before="120" w:after="120"/>
        <w:ind w:left="993" w:hanging="284"/>
        <w:contextualSpacing w:val="0"/>
        <w:rPr>
          <w:rFonts w:ascii="Calibri" w:hAnsi="Calibri" w:cs="Calibri"/>
          <w:color w:val="000000"/>
          <w:sz w:val="22"/>
          <w:szCs w:val="22"/>
        </w:rPr>
      </w:pPr>
      <w:r w:rsidRPr="00A44323">
        <w:rPr>
          <w:rFonts w:ascii="Calibri" w:hAnsi="Calibri" w:cs="Calibri"/>
          <w:color w:val="000000"/>
          <w:sz w:val="22"/>
          <w:szCs w:val="22"/>
        </w:rPr>
        <w:t>rubbish collection;</w:t>
      </w:r>
    </w:p>
    <w:p w:rsidR="00D02375" w:rsidRPr="00A44323" w:rsidRDefault="00D02375" w:rsidP="00D02375">
      <w:pPr>
        <w:pStyle w:val="ListParagraph"/>
        <w:numPr>
          <w:ilvl w:val="0"/>
          <w:numId w:val="8"/>
        </w:numPr>
        <w:tabs>
          <w:tab w:val="left" w:pos="851"/>
        </w:tabs>
        <w:spacing w:before="120" w:after="120"/>
        <w:ind w:left="993" w:hanging="284"/>
        <w:contextualSpacing w:val="0"/>
        <w:rPr>
          <w:rFonts w:ascii="Calibri" w:hAnsi="Calibri" w:cs="Calibri"/>
          <w:color w:val="000000"/>
          <w:sz w:val="22"/>
          <w:szCs w:val="22"/>
        </w:rPr>
      </w:pPr>
      <w:r w:rsidRPr="00A44323">
        <w:rPr>
          <w:rFonts w:ascii="Calibri" w:hAnsi="Calibri" w:cs="Calibri"/>
          <w:color w:val="000000"/>
          <w:sz w:val="22"/>
          <w:szCs w:val="22"/>
        </w:rPr>
        <w:t>cleaning of glass, both internal and external;</w:t>
      </w:r>
      <w:r w:rsidR="002D1817">
        <w:rPr>
          <w:rFonts w:ascii="Calibri" w:hAnsi="Calibri" w:cs="Calibri"/>
          <w:color w:val="000000"/>
          <w:sz w:val="22"/>
          <w:szCs w:val="22"/>
        </w:rPr>
        <w:t xml:space="preserve">  and</w:t>
      </w:r>
    </w:p>
    <w:p w:rsidR="00D02375" w:rsidRPr="00A44323" w:rsidRDefault="00D02375" w:rsidP="00D02375">
      <w:pPr>
        <w:pStyle w:val="ListParagraph"/>
        <w:numPr>
          <w:ilvl w:val="0"/>
          <w:numId w:val="8"/>
        </w:numPr>
        <w:tabs>
          <w:tab w:val="left" w:pos="993"/>
        </w:tabs>
        <w:spacing w:before="120" w:after="120"/>
        <w:ind w:left="993" w:hanging="284"/>
        <w:contextualSpacing w:val="0"/>
        <w:rPr>
          <w:rFonts w:ascii="Calibri" w:hAnsi="Calibri" w:cs="Calibri"/>
          <w:color w:val="000000"/>
          <w:sz w:val="22"/>
          <w:szCs w:val="22"/>
        </w:rPr>
      </w:pPr>
      <w:r w:rsidRPr="00A44323">
        <w:rPr>
          <w:rFonts w:ascii="Calibri" w:hAnsi="Calibri" w:cs="Calibri"/>
          <w:color w:val="000000"/>
          <w:sz w:val="22"/>
          <w:szCs w:val="22"/>
        </w:rPr>
        <w:t>dusting of hard surfaces</w:t>
      </w:r>
    </w:p>
    <w:p w:rsidR="00A44323" w:rsidRDefault="00A44323" w:rsidP="00A44323">
      <w:pPr>
        <w:pStyle w:val="ListParagraph"/>
        <w:spacing w:before="120" w:after="120"/>
        <w:contextualSpacing w:val="0"/>
        <w:rPr>
          <w:rFonts w:ascii="Calibri" w:hAnsi="Calibri" w:cs="Calibri"/>
          <w:sz w:val="22"/>
          <w:szCs w:val="22"/>
        </w:rPr>
      </w:pPr>
    </w:p>
    <w:p w:rsidR="00D02375" w:rsidRPr="00A44323" w:rsidRDefault="00D02375" w:rsidP="00D02375">
      <w:pPr>
        <w:pStyle w:val="ListParagraph"/>
        <w:numPr>
          <w:ilvl w:val="2"/>
          <w:numId w:val="13"/>
        </w:numPr>
        <w:tabs>
          <w:tab w:val="num" w:pos="709"/>
          <w:tab w:val="num" w:pos="840"/>
        </w:tabs>
        <w:spacing w:before="120" w:after="120"/>
        <w:contextualSpacing w:val="0"/>
        <w:rPr>
          <w:rFonts w:ascii="Calibri" w:hAnsi="Calibri" w:cs="Calibri"/>
          <w:sz w:val="22"/>
          <w:szCs w:val="22"/>
        </w:rPr>
      </w:pPr>
      <w:r w:rsidRPr="00A44323">
        <w:rPr>
          <w:rFonts w:ascii="Calibri" w:hAnsi="Calibri" w:cs="Calibri"/>
          <w:sz w:val="22"/>
          <w:szCs w:val="22"/>
        </w:rPr>
        <w:t xml:space="preserve">A </w:t>
      </w:r>
      <w:r w:rsidRPr="00A44323">
        <w:rPr>
          <w:rFonts w:ascii="Calibri" w:hAnsi="Calibri" w:cs="Calibri"/>
          <w:b/>
          <w:bCs/>
          <w:sz w:val="22"/>
          <w:szCs w:val="22"/>
        </w:rPr>
        <w:t>Building Service Employee Grade Two</w:t>
      </w:r>
      <w:r w:rsidRPr="00A44323">
        <w:rPr>
          <w:rFonts w:ascii="Calibri" w:hAnsi="Calibri" w:cs="Calibri"/>
          <w:sz w:val="22"/>
          <w:szCs w:val="22"/>
        </w:rPr>
        <w:t xml:space="preserve"> (BSE 2) means an employee who at the completion of training is capable of performing work above and beyond the skills of an employee at BSE 1 level notwithstanding the fact that they may be required to perform any duties of a BSE 1 </w:t>
      </w:r>
      <w:r w:rsidRPr="00A44323">
        <w:rPr>
          <w:rFonts w:ascii="Calibri" w:hAnsi="Calibri" w:cs="Calibri"/>
          <w:sz w:val="22"/>
          <w:szCs w:val="22"/>
          <w:lang w:val="en-US"/>
        </w:rPr>
        <w:t>and, in addition, is engaged for a majority of each day or shift on any of the following tasks, or a combination of such tasks:</w:t>
      </w:r>
    </w:p>
    <w:p w:rsidR="00D02375" w:rsidRPr="00A44323" w:rsidRDefault="00D02375" w:rsidP="00D02375">
      <w:pPr>
        <w:pStyle w:val="ListParagraph"/>
        <w:numPr>
          <w:ilvl w:val="0"/>
          <w:numId w:val="9"/>
        </w:numPr>
        <w:tabs>
          <w:tab w:val="left" w:pos="993"/>
        </w:tabs>
        <w:spacing w:before="120" w:after="120"/>
        <w:ind w:hanging="611"/>
        <w:contextualSpacing w:val="0"/>
        <w:rPr>
          <w:rFonts w:ascii="Calibri" w:hAnsi="Calibri" w:cs="Calibri"/>
          <w:color w:val="000000"/>
          <w:sz w:val="22"/>
          <w:szCs w:val="22"/>
        </w:rPr>
      </w:pPr>
      <w:r w:rsidRPr="00A44323">
        <w:rPr>
          <w:rFonts w:ascii="Calibri" w:hAnsi="Calibri" w:cs="Calibri"/>
          <w:color w:val="000000"/>
          <w:sz w:val="22"/>
          <w:szCs w:val="22"/>
        </w:rPr>
        <w:t>carrying out those roles expected of a Leading Hand;</w:t>
      </w:r>
    </w:p>
    <w:p w:rsidR="00D02375" w:rsidRPr="00A44323" w:rsidRDefault="00D02375" w:rsidP="00D02375">
      <w:pPr>
        <w:pStyle w:val="ListParagraph"/>
        <w:numPr>
          <w:ilvl w:val="0"/>
          <w:numId w:val="9"/>
        </w:numPr>
        <w:tabs>
          <w:tab w:val="left" w:pos="993"/>
        </w:tabs>
        <w:spacing w:before="120" w:after="120"/>
        <w:ind w:left="993" w:hanging="284"/>
        <w:contextualSpacing w:val="0"/>
        <w:rPr>
          <w:rFonts w:ascii="Calibri" w:hAnsi="Calibri" w:cs="Calibri"/>
          <w:color w:val="000000"/>
          <w:sz w:val="22"/>
          <w:szCs w:val="22"/>
        </w:rPr>
      </w:pPr>
      <w:r w:rsidRPr="00A44323">
        <w:rPr>
          <w:rFonts w:ascii="Calibri" w:hAnsi="Calibri" w:cs="Calibri"/>
          <w:color w:val="000000"/>
          <w:sz w:val="22"/>
          <w:szCs w:val="22"/>
        </w:rPr>
        <w:t xml:space="preserve">ordering supplies and receiving deliveries; </w:t>
      </w:r>
    </w:p>
    <w:p w:rsidR="00D02375" w:rsidRPr="00A44323" w:rsidRDefault="00D02375" w:rsidP="00D02375">
      <w:pPr>
        <w:pStyle w:val="ListParagraph"/>
        <w:numPr>
          <w:ilvl w:val="0"/>
          <w:numId w:val="9"/>
        </w:numPr>
        <w:tabs>
          <w:tab w:val="left" w:pos="993"/>
        </w:tabs>
        <w:spacing w:before="120" w:after="120"/>
        <w:ind w:left="993" w:hanging="284"/>
        <w:contextualSpacing w:val="0"/>
        <w:rPr>
          <w:rFonts w:ascii="Calibri" w:hAnsi="Calibri" w:cs="Calibri"/>
          <w:color w:val="000000"/>
          <w:sz w:val="22"/>
          <w:szCs w:val="22"/>
        </w:rPr>
      </w:pPr>
      <w:r w:rsidRPr="00A44323">
        <w:rPr>
          <w:rFonts w:ascii="Calibri" w:hAnsi="Calibri" w:cs="Calibri"/>
          <w:color w:val="000000"/>
          <w:sz w:val="22"/>
          <w:szCs w:val="22"/>
        </w:rPr>
        <w:t xml:space="preserve">carpet </w:t>
      </w:r>
      <w:r w:rsidR="00500270">
        <w:rPr>
          <w:rFonts w:ascii="Calibri" w:hAnsi="Calibri" w:cs="Calibri"/>
          <w:color w:val="000000"/>
          <w:sz w:val="22"/>
          <w:szCs w:val="22"/>
        </w:rPr>
        <w:t>c</w:t>
      </w:r>
      <w:r w:rsidRPr="00A44323">
        <w:rPr>
          <w:rFonts w:ascii="Calibri" w:hAnsi="Calibri" w:cs="Calibri"/>
          <w:color w:val="000000"/>
          <w:sz w:val="22"/>
          <w:szCs w:val="22"/>
        </w:rPr>
        <w:t>leaning;</w:t>
      </w:r>
    </w:p>
    <w:p w:rsidR="00D02375" w:rsidRPr="00A44323" w:rsidRDefault="00D02375" w:rsidP="00D02375">
      <w:pPr>
        <w:pStyle w:val="ListParagraph"/>
        <w:numPr>
          <w:ilvl w:val="0"/>
          <w:numId w:val="9"/>
        </w:numPr>
        <w:tabs>
          <w:tab w:val="left" w:pos="993"/>
        </w:tabs>
        <w:spacing w:before="120" w:after="120"/>
        <w:ind w:left="993" w:hanging="284"/>
        <w:contextualSpacing w:val="0"/>
        <w:rPr>
          <w:rFonts w:ascii="Calibri" w:hAnsi="Calibri" w:cs="Calibri"/>
          <w:color w:val="000000"/>
          <w:sz w:val="22"/>
          <w:szCs w:val="22"/>
        </w:rPr>
      </w:pPr>
      <w:r w:rsidRPr="00A44323">
        <w:rPr>
          <w:rFonts w:ascii="Calibri" w:hAnsi="Calibri" w:cs="Calibri"/>
          <w:color w:val="000000"/>
          <w:sz w:val="22"/>
          <w:szCs w:val="22"/>
        </w:rPr>
        <w:t>operating "ride on" powered machinery;</w:t>
      </w:r>
    </w:p>
    <w:p w:rsidR="00D02375" w:rsidRPr="00A44323" w:rsidRDefault="00D02375" w:rsidP="00D02375">
      <w:pPr>
        <w:pStyle w:val="ListParagraph"/>
        <w:numPr>
          <w:ilvl w:val="0"/>
          <w:numId w:val="9"/>
        </w:numPr>
        <w:tabs>
          <w:tab w:val="left" w:pos="993"/>
        </w:tabs>
        <w:spacing w:before="120" w:after="120"/>
        <w:ind w:left="993" w:hanging="284"/>
        <w:contextualSpacing w:val="0"/>
        <w:rPr>
          <w:rFonts w:ascii="Calibri" w:hAnsi="Calibri" w:cs="Calibri"/>
          <w:color w:val="000000"/>
          <w:sz w:val="22"/>
          <w:szCs w:val="22"/>
        </w:rPr>
      </w:pPr>
      <w:r w:rsidRPr="00A44323">
        <w:rPr>
          <w:rFonts w:ascii="Calibri" w:hAnsi="Calibri" w:cs="Calibri"/>
          <w:color w:val="000000"/>
          <w:sz w:val="22"/>
          <w:szCs w:val="22"/>
        </w:rPr>
        <w:lastRenderedPageBreak/>
        <w:t>operating steam cleaning and pressure washing equipment on the exterior of buildings;</w:t>
      </w:r>
    </w:p>
    <w:p w:rsidR="00D02375" w:rsidRPr="00A44323" w:rsidRDefault="00D02375" w:rsidP="00D02375">
      <w:pPr>
        <w:pStyle w:val="ListParagraph"/>
        <w:numPr>
          <w:ilvl w:val="0"/>
          <w:numId w:val="9"/>
        </w:numPr>
        <w:tabs>
          <w:tab w:val="left" w:pos="993"/>
        </w:tabs>
        <w:spacing w:before="120" w:after="120"/>
        <w:ind w:left="993" w:hanging="284"/>
        <w:contextualSpacing w:val="0"/>
        <w:rPr>
          <w:rFonts w:ascii="Calibri" w:hAnsi="Calibri" w:cs="Calibri"/>
          <w:color w:val="000000"/>
          <w:sz w:val="22"/>
          <w:szCs w:val="22"/>
        </w:rPr>
      </w:pPr>
      <w:r w:rsidRPr="00A44323">
        <w:rPr>
          <w:rFonts w:ascii="Calibri" w:hAnsi="Calibri" w:cs="Calibri"/>
          <w:color w:val="000000"/>
          <w:sz w:val="22"/>
          <w:szCs w:val="22"/>
        </w:rPr>
        <w:t>distribution of toilet and other requisites and cleaning materials in buildings;</w:t>
      </w:r>
    </w:p>
    <w:p w:rsidR="00D02375" w:rsidRPr="00A44323" w:rsidRDefault="00D02375" w:rsidP="00D02375">
      <w:pPr>
        <w:pStyle w:val="ListParagraph"/>
        <w:numPr>
          <w:ilvl w:val="0"/>
          <w:numId w:val="9"/>
        </w:numPr>
        <w:tabs>
          <w:tab w:val="left" w:pos="993"/>
        </w:tabs>
        <w:spacing w:before="120" w:after="120"/>
        <w:ind w:left="993" w:hanging="284"/>
        <w:contextualSpacing w:val="0"/>
        <w:rPr>
          <w:rFonts w:ascii="Calibri" w:hAnsi="Calibri" w:cs="Calibri"/>
          <w:color w:val="000000"/>
          <w:sz w:val="22"/>
          <w:szCs w:val="22"/>
        </w:rPr>
      </w:pPr>
      <w:r w:rsidRPr="00A44323">
        <w:rPr>
          <w:rFonts w:ascii="Calibri" w:hAnsi="Calibri" w:cs="Calibri"/>
          <w:color w:val="000000"/>
          <w:sz w:val="22"/>
          <w:szCs w:val="22"/>
        </w:rPr>
        <w:t>the performance of customer or public relations duties as required;</w:t>
      </w:r>
    </w:p>
    <w:p w:rsidR="00D02375" w:rsidRPr="00A44323" w:rsidRDefault="00D02375" w:rsidP="00D02375">
      <w:pPr>
        <w:pStyle w:val="ListParagraph"/>
        <w:numPr>
          <w:ilvl w:val="0"/>
          <w:numId w:val="9"/>
        </w:numPr>
        <w:tabs>
          <w:tab w:val="left" w:pos="993"/>
        </w:tabs>
        <w:spacing w:before="120" w:after="120"/>
        <w:ind w:left="993" w:hanging="284"/>
        <w:contextualSpacing w:val="0"/>
        <w:rPr>
          <w:rFonts w:ascii="Calibri" w:hAnsi="Calibri" w:cs="Calibri"/>
          <w:color w:val="000000"/>
          <w:sz w:val="22"/>
          <w:szCs w:val="22"/>
        </w:rPr>
      </w:pPr>
      <w:r w:rsidRPr="00A44323">
        <w:rPr>
          <w:rFonts w:ascii="Calibri" w:hAnsi="Calibri" w:cs="Calibri"/>
          <w:color w:val="000000"/>
          <w:sz w:val="22"/>
          <w:szCs w:val="22"/>
        </w:rPr>
        <w:t>assisting in the provision of on-the-job training;</w:t>
      </w:r>
    </w:p>
    <w:p w:rsidR="00D02375" w:rsidRPr="00A44323" w:rsidRDefault="00D02375" w:rsidP="00D02375">
      <w:pPr>
        <w:pStyle w:val="ListParagraph"/>
        <w:numPr>
          <w:ilvl w:val="0"/>
          <w:numId w:val="9"/>
        </w:numPr>
        <w:tabs>
          <w:tab w:val="left" w:pos="993"/>
        </w:tabs>
        <w:spacing w:before="120" w:after="120"/>
        <w:ind w:left="993" w:hanging="284"/>
        <w:contextualSpacing w:val="0"/>
        <w:rPr>
          <w:rFonts w:ascii="Calibri" w:hAnsi="Calibri" w:cs="Calibri"/>
          <w:color w:val="000000"/>
          <w:sz w:val="22"/>
          <w:szCs w:val="22"/>
        </w:rPr>
      </w:pPr>
      <w:r w:rsidRPr="00A44323">
        <w:rPr>
          <w:rFonts w:ascii="Calibri" w:hAnsi="Calibri" w:cs="Calibri"/>
          <w:color w:val="000000"/>
          <w:sz w:val="22"/>
          <w:szCs w:val="22"/>
        </w:rPr>
        <w:t>minor maintenance duties incidental and peripheral to cleaning (and of a non-trade nature);</w:t>
      </w:r>
      <w:r w:rsidR="002D1817">
        <w:rPr>
          <w:rFonts w:ascii="Calibri" w:hAnsi="Calibri" w:cs="Calibri"/>
          <w:color w:val="000000"/>
          <w:sz w:val="22"/>
          <w:szCs w:val="22"/>
        </w:rPr>
        <w:t xml:space="preserve">  and</w:t>
      </w:r>
    </w:p>
    <w:p w:rsidR="00D02375" w:rsidRPr="00A44323" w:rsidRDefault="00D02375" w:rsidP="00D02375">
      <w:pPr>
        <w:pStyle w:val="ListParagraph"/>
        <w:numPr>
          <w:ilvl w:val="0"/>
          <w:numId w:val="9"/>
        </w:numPr>
        <w:tabs>
          <w:tab w:val="left" w:pos="993"/>
        </w:tabs>
        <w:spacing w:before="120" w:after="120"/>
        <w:ind w:left="993" w:hanging="284"/>
        <w:contextualSpacing w:val="0"/>
        <w:rPr>
          <w:rFonts w:ascii="Calibri" w:hAnsi="Calibri" w:cs="Calibri"/>
          <w:color w:val="000000"/>
          <w:sz w:val="22"/>
          <w:szCs w:val="22"/>
        </w:rPr>
      </w:pPr>
      <w:proofErr w:type="gramStart"/>
      <w:r w:rsidRPr="00A44323">
        <w:rPr>
          <w:rFonts w:ascii="Calibri" w:hAnsi="Calibri" w:cs="Calibri"/>
          <w:color w:val="000000"/>
          <w:sz w:val="22"/>
          <w:szCs w:val="22"/>
        </w:rPr>
        <w:t>the</w:t>
      </w:r>
      <w:proofErr w:type="gramEnd"/>
      <w:r w:rsidRPr="00A44323">
        <w:rPr>
          <w:rFonts w:ascii="Calibri" w:hAnsi="Calibri" w:cs="Calibri"/>
          <w:color w:val="000000"/>
          <w:sz w:val="22"/>
          <w:szCs w:val="22"/>
        </w:rPr>
        <w:t xml:space="preserve"> application of sealer/finish. </w:t>
      </w:r>
    </w:p>
    <w:p w:rsidR="00D02375" w:rsidRPr="00A44323" w:rsidRDefault="00D02375" w:rsidP="00D02375">
      <w:pPr>
        <w:spacing w:before="120" w:after="120"/>
        <w:ind w:left="840"/>
        <w:rPr>
          <w:rFonts w:ascii="Calibri" w:hAnsi="Calibri" w:cs="Calibri"/>
          <w:sz w:val="22"/>
          <w:szCs w:val="22"/>
        </w:rPr>
      </w:pPr>
    </w:p>
    <w:p w:rsidR="00D02375" w:rsidRPr="00A44323" w:rsidRDefault="00D02375" w:rsidP="00D02375">
      <w:pPr>
        <w:pStyle w:val="ListParagraph"/>
        <w:numPr>
          <w:ilvl w:val="2"/>
          <w:numId w:val="13"/>
        </w:numPr>
        <w:tabs>
          <w:tab w:val="num" w:pos="709"/>
          <w:tab w:val="num" w:pos="840"/>
        </w:tabs>
        <w:spacing w:before="120" w:after="120"/>
        <w:contextualSpacing w:val="0"/>
        <w:rPr>
          <w:rFonts w:ascii="Calibri" w:hAnsi="Calibri" w:cs="Calibri"/>
          <w:sz w:val="22"/>
          <w:szCs w:val="22"/>
        </w:rPr>
      </w:pPr>
      <w:r w:rsidRPr="00A44323">
        <w:rPr>
          <w:rFonts w:ascii="Calibri" w:hAnsi="Calibri" w:cs="Calibri"/>
          <w:sz w:val="22"/>
          <w:szCs w:val="22"/>
        </w:rPr>
        <w:t xml:space="preserve">A </w:t>
      </w:r>
      <w:r w:rsidRPr="00A44323">
        <w:rPr>
          <w:rFonts w:ascii="Calibri" w:hAnsi="Calibri" w:cs="Calibri"/>
          <w:b/>
          <w:bCs/>
          <w:sz w:val="22"/>
          <w:szCs w:val="22"/>
        </w:rPr>
        <w:t>Building Service Employee Grade Three</w:t>
      </w:r>
      <w:r w:rsidRPr="00A44323">
        <w:rPr>
          <w:rFonts w:ascii="Calibri" w:hAnsi="Calibri" w:cs="Calibri"/>
          <w:sz w:val="22"/>
          <w:szCs w:val="22"/>
        </w:rPr>
        <w:t xml:space="preserve"> (BSE 3) means either:</w:t>
      </w:r>
    </w:p>
    <w:p w:rsidR="00D02375" w:rsidRPr="00A44323" w:rsidRDefault="00D02375" w:rsidP="00D02375">
      <w:pPr>
        <w:numPr>
          <w:ilvl w:val="3"/>
          <w:numId w:val="13"/>
        </w:numPr>
        <w:tabs>
          <w:tab w:val="left" w:pos="851"/>
        </w:tabs>
        <w:spacing w:before="120" w:after="120"/>
        <w:ind w:left="851" w:hanging="851"/>
        <w:rPr>
          <w:rFonts w:ascii="Calibri" w:hAnsi="Calibri" w:cs="Calibri"/>
          <w:sz w:val="22"/>
          <w:szCs w:val="22"/>
        </w:rPr>
      </w:pPr>
      <w:r w:rsidRPr="00A44323">
        <w:rPr>
          <w:rFonts w:ascii="Calibri" w:hAnsi="Calibri" w:cs="Calibri"/>
          <w:sz w:val="22"/>
          <w:szCs w:val="22"/>
        </w:rPr>
        <w:t>An</w:t>
      </w:r>
      <w:r w:rsidRPr="00A44323">
        <w:rPr>
          <w:rFonts w:ascii="Calibri" w:hAnsi="Calibri" w:cs="Calibri"/>
          <w:sz w:val="22"/>
          <w:szCs w:val="22"/>
          <w:lang w:val="en-GB"/>
        </w:rPr>
        <w:t xml:space="preserve"> employee who is </w:t>
      </w:r>
      <w:r w:rsidRPr="00A44323">
        <w:rPr>
          <w:rFonts w:ascii="Calibri" w:hAnsi="Calibri" w:cs="Calibri"/>
          <w:sz w:val="22"/>
          <w:szCs w:val="22"/>
          <w:lang w:val="en-US"/>
        </w:rPr>
        <w:t xml:space="preserve">entrusted with the supervision of cleaning as a principal responsibility, who </w:t>
      </w:r>
      <w:r w:rsidRPr="00A44323">
        <w:rPr>
          <w:rFonts w:ascii="Calibri" w:hAnsi="Calibri" w:cs="Calibri"/>
          <w:sz w:val="22"/>
          <w:szCs w:val="22"/>
        </w:rPr>
        <w:t>co-ordinates the work of BSEs 1, 2 and</w:t>
      </w:r>
      <w:r w:rsidRPr="00A44323">
        <w:rPr>
          <w:rFonts w:ascii="Calibri" w:hAnsi="Calibri" w:cs="Calibri"/>
          <w:b/>
          <w:bCs/>
          <w:sz w:val="22"/>
          <w:szCs w:val="22"/>
        </w:rPr>
        <w:t xml:space="preserve"> </w:t>
      </w:r>
      <w:r w:rsidRPr="00A44323">
        <w:rPr>
          <w:rFonts w:ascii="Calibri" w:hAnsi="Calibri" w:cs="Calibri"/>
          <w:sz w:val="22"/>
          <w:szCs w:val="22"/>
        </w:rPr>
        <w:t>3 and who generally superintends the activity of all the buildings cleaners. Indicative of the tasks which an employee at this level may perform are the following:</w:t>
      </w:r>
    </w:p>
    <w:p w:rsidR="00D02375" w:rsidRPr="00A44323" w:rsidRDefault="00D02375" w:rsidP="00D02375">
      <w:pPr>
        <w:pStyle w:val="ListParagraph"/>
        <w:numPr>
          <w:ilvl w:val="0"/>
          <w:numId w:val="10"/>
        </w:numPr>
        <w:tabs>
          <w:tab w:val="left" w:pos="1276"/>
        </w:tabs>
        <w:spacing w:before="120" w:after="120"/>
        <w:ind w:left="1134" w:hanging="283"/>
        <w:contextualSpacing w:val="0"/>
        <w:rPr>
          <w:rFonts w:ascii="Calibri" w:hAnsi="Calibri" w:cs="Calibri"/>
          <w:color w:val="000000"/>
          <w:sz w:val="22"/>
          <w:szCs w:val="22"/>
        </w:rPr>
      </w:pPr>
      <w:r w:rsidRPr="00A44323">
        <w:rPr>
          <w:rFonts w:ascii="Calibri" w:hAnsi="Calibri" w:cs="Calibri"/>
          <w:color w:val="000000"/>
          <w:sz w:val="22"/>
          <w:szCs w:val="22"/>
        </w:rPr>
        <w:t>ensuring that proper maintenance procedures for building plant and equipment are observed;</w:t>
      </w:r>
    </w:p>
    <w:p w:rsidR="00D02375" w:rsidRPr="00A44323" w:rsidRDefault="00D02375" w:rsidP="00D02375">
      <w:pPr>
        <w:pStyle w:val="ListParagraph"/>
        <w:numPr>
          <w:ilvl w:val="0"/>
          <w:numId w:val="10"/>
        </w:numPr>
        <w:tabs>
          <w:tab w:val="left" w:pos="1276"/>
        </w:tabs>
        <w:spacing w:before="120" w:after="120"/>
        <w:ind w:left="1134" w:hanging="283"/>
        <w:contextualSpacing w:val="0"/>
        <w:rPr>
          <w:rFonts w:ascii="Calibri" w:hAnsi="Calibri" w:cs="Calibri"/>
          <w:color w:val="000000"/>
          <w:sz w:val="22"/>
          <w:szCs w:val="22"/>
        </w:rPr>
      </w:pPr>
      <w:r w:rsidRPr="00A44323">
        <w:rPr>
          <w:rFonts w:ascii="Calibri" w:hAnsi="Calibri" w:cs="Calibri"/>
          <w:color w:val="000000"/>
          <w:sz w:val="22"/>
          <w:szCs w:val="22"/>
        </w:rPr>
        <w:t>the arrangement of service calls to ensure that building plant is operating correctly;</w:t>
      </w:r>
    </w:p>
    <w:p w:rsidR="00D02375" w:rsidRPr="00A44323" w:rsidRDefault="00D02375" w:rsidP="00D02375">
      <w:pPr>
        <w:pStyle w:val="ListParagraph"/>
        <w:numPr>
          <w:ilvl w:val="0"/>
          <w:numId w:val="10"/>
        </w:numPr>
        <w:tabs>
          <w:tab w:val="left" w:pos="1276"/>
        </w:tabs>
        <w:spacing w:before="120" w:after="120"/>
        <w:ind w:left="1134" w:hanging="283"/>
        <w:contextualSpacing w:val="0"/>
        <w:rPr>
          <w:rFonts w:ascii="Calibri" w:hAnsi="Calibri" w:cs="Calibri"/>
          <w:color w:val="000000"/>
          <w:sz w:val="22"/>
          <w:szCs w:val="22"/>
        </w:rPr>
      </w:pPr>
      <w:r w:rsidRPr="00A44323">
        <w:rPr>
          <w:rFonts w:ascii="Calibri" w:hAnsi="Calibri" w:cs="Calibri"/>
          <w:color w:val="000000"/>
          <w:sz w:val="22"/>
          <w:szCs w:val="22"/>
        </w:rPr>
        <w:t>dealing with tenants and owners responsible with respect to the proper cleaning, servicing and functioning of the building;</w:t>
      </w:r>
    </w:p>
    <w:p w:rsidR="00D02375" w:rsidRPr="00A44323" w:rsidRDefault="00D02375" w:rsidP="00D02375">
      <w:pPr>
        <w:pStyle w:val="ListParagraph"/>
        <w:numPr>
          <w:ilvl w:val="0"/>
          <w:numId w:val="10"/>
        </w:numPr>
        <w:tabs>
          <w:tab w:val="left" w:pos="1276"/>
        </w:tabs>
        <w:spacing w:before="120" w:after="120"/>
        <w:ind w:left="1134" w:hanging="283"/>
        <w:contextualSpacing w:val="0"/>
        <w:rPr>
          <w:rFonts w:ascii="Calibri" w:hAnsi="Calibri" w:cs="Calibri"/>
          <w:color w:val="000000"/>
          <w:sz w:val="22"/>
          <w:szCs w:val="22"/>
        </w:rPr>
      </w:pPr>
      <w:r w:rsidRPr="00A44323">
        <w:rPr>
          <w:rFonts w:ascii="Calibri" w:hAnsi="Calibri" w:cs="Calibri"/>
          <w:color w:val="000000"/>
          <w:sz w:val="22"/>
          <w:szCs w:val="22"/>
        </w:rPr>
        <w:t>co-ordination of the work with Leading Hands of all cleaners</w:t>
      </w:r>
      <w:r w:rsidR="002D1817">
        <w:rPr>
          <w:rFonts w:ascii="Calibri" w:hAnsi="Calibri" w:cs="Calibri"/>
          <w:color w:val="000000"/>
          <w:sz w:val="22"/>
          <w:szCs w:val="22"/>
        </w:rPr>
        <w:t>; and</w:t>
      </w:r>
    </w:p>
    <w:p w:rsidR="00D02375" w:rsidRPr="00A44323" w:rsidRDefault="00D02375" w:rsidP="00D02375">
      <w:pPr>
        <w:pStyle w:val="ListParagraph"/>
        <w:numPr>
          <w:ilvl w:val="0"/>
          <w:numId w:val="10"/>
        </w:numPr>
        <w:tabs>
          <w:tab w:val="left" w:pos="1276"/>
        </w:tabs>
        <w:spacing w:before="120" w:after="120"/>
        <w:ind w:left="1134" w:hanging="283"/>
        <w:contextualSpacing w:val="0"/>
        <w:rPr>
          <w:rFonts w:ascii="Calibri" w:hAnsi="Calibri" w:cs="Calibri"/>
          <w:color w:val="000000"/>
          <w:sz w:val="22"/>
          <w:szCs w:val="22"/>
        </w:rPr>
      </w:pPr>
      <w:proofErr w:type="gramStart"/>
      <w:r w:rsidRPr="00A44323">
        <w:rPr>
          <w:rFonts w:ascii="Calibri" w:hAnsi="Calibri" w:cs="Calibri"/>
          <w:color w:val="000000"/>
          <w:sz w:val="22"/>
          <w:szCs w:val="22"/>
        </w:rPr>
        <w:t>handling</w:t>
      </w:r>
      <w:proofErr w:type="gramEnd"/>
      <w:r w:rsidRPr="00A44323">
        <w:rPr>
          <w:rFonts w:ascii="Calibri" w:hAnsi="Calibri" w:cs="Calibri"/>
          <w:color w:val="000000"/>
          <w:sz w:val="22"/>
          <w:szCs w:val="22"/>
        </w:rPr>
        <w:t xml:space="preserve"> routine personnel, industrial relations</w:t>
      </w:r>
      <w:r w:rsidR="002D1817">
        <w:rPr>
          <w:rFonts w:ascii="Calibri" w:hAnsi="Calibri" w:cs="Calibri"/>
          <w:color w:val="000000"/>
          <w:sz w:val="22"/>
          <w:szCs w:val="22"/>
        </w:rPr>
        <w:t xml:space="preserve"> and health and safety matters.</w:t>
      </w:r>
    </w:p>
    <w:p w:rsidR="00D02375" w:rsidRPr="00A44323" w:rsidRDefault="00D02375" w:rsidP="00D02375">
      <w:pPr>
        <w:pStyle w:val="ListParagraph"/>
        <w:spacing w:before="120" w:after="120"/>
        <w:ind w:left="851"/>
        <w:rPr>
          <w:rFonts w:ascii="Calibri" w:hAnsi="Calibri" w:cs="Calibri"/>
          <w:b/>
          <w:color w:val="000000"/>
          <w:sz w:val="22"/>
          <w:szCs w:val="22"/>
        </w:rPr>
      </w:pPr>
      <w:proofErr w:type="gramStart"/>
      <w:r w:rsidRPr="00A44323">
        <w:rPr>
          <w:rFonts w:ascii="Calibri" w:hAnsi="Calibri" w:cs="Calibri"/>
          <w:b/>
          <w:color w:val="000000"/>
          <w:sz w:val="22"/>
          <w:szCs w:val="22"/>
        </w:rPr>
        <w:t>or</w:t>
      </w:r>
      <w:proofErr w:type="gramEnd"/>
    </w:p>
    <w:p w:rsidR="00D02375" w:rsidRPr="00A44323" w:rsidRDefault="00D02375" w:rsidP="00D02375">
      <w:pPr>
        <w:numPr>
          <w:ilvl w:val="3"/>
          <w:numId w:val="13"/>
        </w:numPr>
        <w:tabs>
          <w:tab w:val="left" w:pos="851"/>
        </w:tabs>
        <w:spacing w:before="120" w:after="120"/>
        <w:ind w:left="851" w:hanging="851"/>
        <w:rPr>
          <w:rFonts w:ascii="Calibri" w:hAnsi="Calibri" w:cs="Calibri"/>
          <w:sz w:val="22"/>
          <w:szCs w:val="22"/>
        </w:rPr>
      </w:pPr>
      <w:r w:rsidRPr="00A44323">
        <w:rPr>
          <w:rFonts w:ascii="Calibri" w:hAnsi="Calibri" w:cs="Calibri"/>
          <w:sz w:val="22"/>
          <w:szCs w:val="22"/>
        </w:rPr>
        <w:t>An employee who is responsible for cleaning windows on the exterior of multi-storied buildings from swinging scaffolds, bosun's chairs, hydraulic bucket trucks or similar devices.</w:t>
      </w:r>
    </w:p>
    <w:p w:rsidR="00D02375" w:rsidRPr="00A44323" w:rsidRDefault="00D02375" w:rsidP="00D02375">
      <w:pPr>
        <w:pStyle w:val="ListParagraph"/>
        <w:spacing w:before="120" w:after="120"/>
        <w:ind w:left="644"/>
        <w:rPr>
          <w:rFonts w:ascii="Calibri" w:hAnsi="Calibri" w:cs="Calibri"/>
          <w:color w:val="000000"/>
          <w:sz w:val="22"/>
          <w:szCs w:val="22"/>
        </w:rPr>
      </w:pPr>
    </w:p>
    <w:p w:rsidR="00D02375" w:rsidRPr="00A44323" w:rsidRDefault="00D02375" w:rsidP="00D02375">
      <w:pPr>
        <w:pStyle w:val="ListParagraph"/>
        <w:numPr>
          <w:ilvl w:val="1"/>
          <w:numId w:val="13"/>
        </w:numPr>
        <w:spacing w:before="120" w:after="120"/>
        <w:ind w:left="567" w:hanging="567"/>
        <w:contextualSpacing w:val="0"/>
        <w:rPr>
          <w:rFonts w:ascii="Calibri" w:hAnsi="Calibri" w:cs="Calibri"/>
          <w:b/>
          <w:color w:val="000000"/>
          <w:sz w:val="22"/>
          <w:szCs w:val="22"/>
        </w:rPr>
      </w:pPr>
      <w:r w:rsidRPr="00A44323">
        <w:rPr>
          <w:rFonts w:ascii="Calibri" w:hAnsi="Calibri" w:cs="Calibri"/>
          <w:b/>
          <w:color w:val="000000"/>
          <w:sz w:val="22"/>
          <w:szCs w:val="22"/>
        </w:rPr>
        <w:t>Cleaning Services</w:t>
      </w:r>
    </w:p>
    <w:p w:rsidR="00D02375" w:rsidRPr="00A44323" w:rsidRDefault="00D02375" w:rsidP="00D02375">
      <w:pPr>
        <w:pStyle w:val="ListParagraph"/>
        <w:numPr>
          <w:ilvl w:val="2"/>
          <w:numId w:val="13"/>
        </w:numPr>
        <w:tabs>
          <w:tab w:val="num" w:pos="709"/>
          <w:tab w:val="num" w:pos="840"/>
        </w:tabs>
        <w:spacing w:before="120" w:after="120"/>
        <w:contextualSpacing w:val="0"/>
        <w:rPr>
          <w:rFonts w:ascii="Calibri" w:hAnsi="Calibri" w:cs="Calibri"/>
          <w:sz w:val="22"/>
          <w:szCs w:val="22"/>
        </w:rPr>
      </w:pPr>
      <w:r w:rsidRPr="00A44323">
        <w:rPr>
          <w:rFonts w:ascii="Calibri" w:hAnsi="Calibri" w:cs="Calibri"/>
          <w:sz w:val="22"/>
          <w:szCs w:val="22"/>
        </w:rPr>
        <w:t xml:space="preserve">Cleaning services includes hygiene and pollution control, and minor property maintenance which is incidental or peripheral to cleaning. </w:t>
      </w:r>
    </w:p>
    <w:p w:rsidR="00D02375" w:rsidRPr="00A44323" w:rsidRDefault="00D02375" w:rsidP="00D02375">
      <w:pPr>
        <w:pStyle w:val="ListParagraph"/>
        <w:spacing w:before="120" w:after="120"/>
        <w:ind w:left="709"/>
        <w:rPr>
          <w:rFonts w:ascii="Calibri" w:hAnsi="Calibri" w:cs="Calibri"/>
          <w:b/>
          <w:color w:val="000000"/>
          <w:sz w:val="22"/>
          <w:szCs w:val="22"/>
        </w:rPr>
      </w:pPr>
    </w:p>
    <w:p w:rsidR="00D02375" w:rsidRPr="00A44323" w:rsidRDefault="00D02375" w:rsidP="00D02375">
      <w:pPr>
        <w:pStyle w:val="ListParagraph"/>
        <w:numPr>
          <w:ilvl w:val="1"/>
          <w:numId w:val="13"/>
        </w:numPr>
        <w:spacing w:before="120" w:after="120"/>
        <w:ind w:left="567" w:hanging="567"/>
        <w:contextualSpacing w:val="0"/>
        <w:rPr>
          <w:rFonts w:ascii="Calibri" w:hAnsi="Calibri" w:cs="Calibri"/>
          <w:b/>
          <w:color w:val="000000"/>
          <w:sz w:val="22"/>
          <w:szCs w:val="22"/>
        </w:rPr>
      </w:pPr>
      <w:r w:rsidRPr="00A44323">
        <w:rPr>
          <w:rFonts w:ascii="Calibri" w:hAnsi="Calibri" w:cs="Calibri"/>
          <w:b/>
          <w:color w:val="000000"/>
          <w:sz w:val="22"/>
          <w:szCs w:val="22"/>
        </w:rPr>
        <w:t>Employee types</w:t>
      </w:r>
    </w:p>
    <w:p w:rsidR="00D02375" w:rsidRPr="00A44323" w:rsidRDefault="00D02375" w:rsidP="00D02375">
      <w:pPr>
        <w:pStyle w:val="ListParagraph"/>
        <w:numPr>
          <w:ilvl w:val="2"/>
          <w:numId w:val="13"/>
        </w:numPr>
        <w:tabs>
          <w:tab w:val="num" w:pos="709"/>
          <w:tab w:val="num" w:pos="840"/>
        </w:tabs>
        <w:spacing w:before="120" w:after="120"/>
        <w:contextualSpacing w:val="0"/>
        <w:rPr>
          <w:rFonts w:ascii="Calibri" w:hAnsi="Calibri" w:cs="Calibri"/>
          <w:sz w:val="22"/>
          <w:szCs w:val="22"/>
        </w:rPr>
      </w:pPr>
      <w:r w:rsidRPr="00A44323">
        <w:rPr>
          <w:rFonts w:ascii="Calibri" w:hAnsi="Calibri" w:cs="Calibri"/>
          <w:sz w:val="22"/>
          <w:szCs w:val="22"/>
        </w:rPr>
        <w:t xml:space="preserve">A </w:t>
      </w:r>
      <w:r w:rsidRPr="00A44323">
        <w:rPr>
          <w:rFonts w:ascii="Calibri" w:hAnsi="Calibri" w:cs="Calibri"/>
          <w:b/>
          <w:sz w:val="22"/>
          <w:szCs w:val="22"/>
        </w:rPr>
        <w:t>full time</w:t>
      </w:r>
      <w:r w:rsidRPr="00A44323">
        <w:rPr>
          <w:rFonts w:ascii="Calibri" w:hAnsi="Calibri" w:cs="Calibri"/>
          <w:sz w:val="22"/>
          <w:szCs w:val="22"/>
        </w:rPr>
        <w:t xml:space="preserve"> employee means an ongoing employee engaged to work an average of 38 ordinary hours per week. </w:t>
      </w:r>
    </w:p>
    <w:p w:rsidR="00D02375" w:rsidRPr="00A44323" w:rsidRDefault="00D02375" w:rsidP="00D02375">
      <w:pPr>
        <w:pStyle w:val="ListParagraph"/>
        <w:numPr>
          <w:ilvl w:val="2"/>
          <w:numId w:val="13"/>
        </w:numPr>
        <w:tabs>
          <w:tab w:val="num" w:pos="709"/>
          <w:tab w:val="num" w:pos="840"/>
        </w:tabs>
        <w:spacing w:before="120" w:after="120"/>
        <w:contextualSpacing w:val="0"/>
        <w:rPr>
          <w:rFonts w:ascii="Calibri" w:hAnsi="Calibri" w:cs="Calibri"/>
          <w:sz w:val="22"/>
          <w:szCs w:val="22"/>
        </w:rPr>
      </w:pPr>
      <w:r w:rsidRPr="00A44323">
        <w:rPr>
          <w:rFonts w:ascii="Calibri" w:hAnsi="Calibri" w:cs="Calibri"/>
          <w:sz w:val="22"/>
          <w:szCs w:val="22"/>
        </w:rPr>
        <w:t xml:space="preserve">A </w:t>
      </w:r>
      <w:r w:rsidRPr="00A44323">
        <w:rPr>
          <w:rFonts w:ascii="Calibri" w:hAnsi="Calibri" w:cs="Calibri"/>
          <w:b/>
          <w:sz w:val="22"/>
          <w:szCs w:val="22"/>
        </w:rPr>
        <w:t>part-time</w:t>
      </w:r>
      <w:r w:rsidRPr="00A44323">
        <w:rPr>
          <w:rFonts w:ascii="Calibri" w:hAnsi="Calibri" w:cs="Calibri"/>
          <w:sz w:val="22"/>
          <w:szCs w:val="22"/>
        </w:rPr>
        <w:t xml:space="preserve"> employee means an employee who is engaged to work less than the full-time hours of 38 per week. </w:t>
      </w:r>
    </w:p>
    <w:p w:rsidR="00D02375" w:rsidRPr="00A44323" w:rsidRDefault="00D02375" w:rsidP="00D02375">
      <w:pPr>
        <w:pStyle w:val="ListParagraph"/>
        <w:numPr>
          <w:ilvl w:val="2"/>
          <w:numId w:val="13"/>
        </w:numPr>
        <w:tabs>
          <w:tab w:val="num" w:pos="709"/>
          <w:tab w:val="num" w:pos="840"/>
        </w:tabs>
        <w:spacing w:before="120" w:after="120"/>
        <w:contextualSpacing w:val="0"/>
        <w:rPr>
          <w:rFonts w:ascii="Calibri" w:hAnsi="Calibri" w:cs="Calibri"/>
          <w:sz w:val="22"/>
          <w:szCs w:val="22"/>
        </w:rPr>
      </w:pPr>
      <w:r w:rsidRPr="00A44323">
        <w:rPr>
          <w:rFonts w:ascii="Calibri" w:hAnsi="Calibri" w:cs="Calibri"/>
          <w:sz w:val="22"/>
          <w:szCs w:val="22"/>
        </w:rPr>
        <w:t xml:space="preserve">A </w:t>
      </w:r>
      <w:r w:rsidRPr="00A44323">
        <w:rPr>
          <w:rFonts w:ascii="Calibri" w:hAnsi="Calibri" w:cs="Calibri"/>
          <w:b/>
          <w:sz w:val="22"/>
          <w:szCs w:val="22"/>
        </w:rPr>
        <w:t>part time night</w:t>
      </w:r>
      <w:r w:rsidRPr="00A44323">
        <w:rPr>
          <w:rFonts w:ascii="Calibri" w:hAnsi="Calibri" w:cs="Calibri"/>
          <w:sz w:val="22"/>
          <w:szCs w:val="22"/>
        </w:rPr>
        <w:t xml:space="preserve"> employee means a part time employee whose ordinary hours of duty conclude or commence between the hours of 6.00pm and 6.00am.</w:t>
      </w:r>
    </w:p>
    <w:p w:rsidR="00D02375" w:rsidRPr="00A44323" w:rsidRDefault="00D02375" w:rsidP="00D02375">
      <w:pPr>
        <w:rPr>
          <w:rFonts w:ascii="Calibri" w:hAnsi="Calibri" w:cs="Calibri"/>
          <w:b/>
          <w:color w:val="000000"/>
          <w:sz w:val="22"/>
          <w:szCs w:val="22"/>
        </w:rPr>
      </w:pPr>
    </w:p>
    <w:p w:rsidR="00A44323" w:rsidRDefault="00A44323">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rsidR="00D02375" w:rsidRPr="00A44323" w:rsidRDefault="00D02375" w:rsidP="00D02375">
      <w:pPr>
        <w:pStyle w:val="ListParagraph"/>
        <w:numPr>
          <w:ilvl w:val="1"/>
          <w:numId w:val="13"/>
        </w:numPr>
        <w:spacing w:before="120" w:after="120"/>
        <w:ind w:left="567" w:hanging="567"/>
        <w:contextualSpacing w:val="0"/>
        <w:rPr>
          <w:rFonts w:ascii="Calibri" w:hAnsi="Calibri" w:cs="Calibri"/>
          <w:b/>
          <w:color w:val="000000"/>
          <w:sz w:val="22"/>
          <w:szCs w:val="22"/>
        </w:rPr>
      </w:pPr>
      <w:r w:rsidRPr="00A44323">
        <w:rPr>
          <w:rFonts w:ascii="Calibri" w:hAnsi="Calibri" w:cs="Calibri"/>
          <w:b/>
          <w:color w:val="000000"/>
          <w:sz w:val="22"/>
          <w:szCs w:val="22"/>
        </w:rPr>
        <w:lastRenderedPageBreak/>
        <w:t>Central  Business District Locations</w:t>
      </w:r>
    </w:p>
    <w:p w:rsidR="00D02375" w:rsidRPr="00A44323" w:rsidRDefault="00D02375" w:rsidP="00D02375">
      <w:pPr>
        <w:pStyle w:val="ListParagraph"/>
        <w:numPr>
          <w:ilvl w:val="2"/>
          <w:numId w:val="13"/>
        </w:numPr>
        <w:tabs>
          <w:tab w:val="num" w:pos="709"/>
          <w:tab w:val="num" w:pos="840"/>
        </w:tabs>
        <w:spacing w:before="120" w:after="120"/>
        <w:contextualSpacing w:val="0"/>
        <w:rPr>
          <w:rFonts w:ascii="Calibri" w:hAnsi="Calibri" w:cs="Calibri"/>
          <w:color w:val="000000"/>
          <w:sz w:val="22"/>
          <w:szCs w:val="22"/>
        </w:rPr>
      </w:pPr>
      <w:r w:rsidRPr="00A44323">
        <w:rPr>
          <w:rFonts w:ascii="Calibri" w:hAnsi="Calibri" w:cs="Calibri"/>
          <w:color w:val="000000"/>
          <w:sz w:val="22"/>
          <w:szCs w:val="22"/>
        </w:rPr>
        <w:t>For the purpose of these Guidelines, ‘Central Business District location’ has the following meaning only in relation  to each of the following jurisdictions:</w:t>
      </w:r>
    </w:p>
    <w:p w:rsidR="00D02375" w:rsidRPr="00A44323" w:rsidRDefault="00D02375" w:rsidP="00D02375">
      <w:pPr>
        <w:pStyle w:val="ListParagraph"/>
        <w:numPr>
          <w:ilvl w:val="2"/>
          <w:numId w:val="11"/>
        </w:numPr>
        <w:spacing w:before="120" w:after="120"/>
        <w:ind w:left="1134" w:hanging="283"/>
        <w:contextualSpacing w:val="0"/>
        <w:rPr>
          <w:rFonts w:ascii="Calibri" w:hAnsi="Calibri" w:cs="Calibri"/>
          <w:b/>
          <w:color w:val="000000"/>
          <w:sz w:val="22"/>
          <w:szCs w:val="22"/>
        </w:rPr>
      </w:pPr>
      <w:r w:rsidRPr="00A44323">
        <w:rPr>
          <w:rFonts w:ascii="Calibri" w:hAnsi="Calibri" w:cs="Calibri"/>
          <w:b/>
          <w:color w:val="000000"/>
          <w:sz w:val="22"/>
          <w:szCs w:val="22"/>
        </w:rPr>
        <w:t>Australian Capital Territory:</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color w:val="000000"/>
          <w:sz w:val="22"/>
          <w:szCs w:val="22"/>
        </w:rPr>
      </w:pPr>
      <w:r w:rsidRPr="00A44323">
        <w:rPr>
          <w:rFonts w:ascii="Calibri" w:hAnsi="Calibri" w:cs="Calibri"/>
          <w:color w:val="000000"/>
          <w:sz w:val="22"/>
          <w:szCs w:val="22"/>
          <w:u w:val="single"/>
        </w:rPr>
        <w:t>Civic:</w:t>
      </w:r>
      <w:r w:rsidRPr="00A44323">
        <w:rPr>
          <w:rFonts w:ascii="Calibri" w:hAnsi="Calibri" w:cs="Calibri"/>
          <w:color w:val="000000"/>
          <w:sz w:val="22"/>
          <w:szCs w:val="22"/>
        </w:rPr>
        <w:t xml:space="preserve"> the areas and suburbs bounded by Barry Drive/Cooyong Street in the north, Ballumbir Street in the north-east, Coranderrk Street in the south-east, Parkes Way in the south, Hales Street/McCoy Circuit in the south-west, and Ellery Crescent/Kingsley Street in the north-west.</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color w:val="000000"/>
          <w:sz w:val="22"/>
          <w:szCs w:val="22"/>
        </w:rPr>
      </w:pPr>
      <w:r w:rsidRPr="00A44323">
        <w:rPr>
          <w:rFonts w:ascii="Calibri" w:hAnsi="Calibri" w:cs="Calibri"/>
          <w:color w:val="000000"/>
          <w:sz w:val="22"/>
          <w:szCs w:val="22"/>
          <w:u w:val="single"/>
        </w:rPr>
        <w:t>Non Civic:</w:t>
      </w:r>
      <w:r w:rsidRPr="00A44323">
        <w:rPr>
          <w:rFonts w:ascii="Calibri" w:hAnsi="Calibri" w:cs="Calibri"/>
          <w:color w:val="000000"/>
          <w:sz w:val="22"/>
          <w:szCs w:val="22"/>
        </w:rPr>
        <w:t xml:space="preserve"> the areas of Airport, Barton, Belconnen, Braddon, Bruce, Campbell, Deakin, Dickson, Forrest, Fyshwick, Griffith, Gungahlin, Kingston, Lyneham, Mawson, Mitchell, Parkes, Phillip, Reid, Russell, Symonston, Tuggeranong, Turner, Weston and Yarralumla. </w:t>
      </w:r>
    </w:p>
    <w:p w:rsidR="00D02375" w:rsidRPr="00A44323" w:rsidRDefault="00D02375" w:rsidP="00D02375">
      <w:pPr>
        <w:pStyle w:val="ListParagraph"/>
        <w:numPr>
          <w:ilvl w:val="2"/>
          <w:numId w:val="11"/>
        </w:numPr>
        <w:spacing w:before="120" w:after="120"/>
        <w:ind w:left="1134" w:hanging="283"/>
        <w:contextualSpacing w:val="0"/>
        <w:rPr>
          <w:rFonts w:ascii="Calibri" w:hAnsi="Calibri" w:cs="Calibri"/>
          <w:b/>
          <w:color w:val="000000"/>
          <w:sz w:val="22"/>
          <w:szCs w:val="22"/>
        </w:rPr>
      </w:pPr>
      <w:r w:rsidRPr="00A44323">
        <w:rPr>
          <w:rFonts w:ascii="Calibri" w:hAnsi="Calibri" w:cs="Calibri"/>
          <w:b/>
          <w:color w:val="000000"/>
          <w:sz w:val="22"/>
          <w:szCs w:val="22"/>
        </w:rPr>
        <w:t>New South Wales:</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color w:val="000000"/>
          <w:sz w:val="22"/>
          <w:szCs w:val="22"/>
        </w:rPr>
      </w:pPr>
      <w:r w:rsidRPr="00A44323">
        <w:rPr>
          <w:rFonts w:ascii="Calibri" w:hAnsi="Calibri" w:cs="Calibri"/>
          <w:color w:val="000000"/>
          <w:sz w:val="22"/>
          <w:szCs w:val="22"/>
          <w:u w:val="single"/>
        </w:rPr>
        <w:t>Sydney CBD:</w:t>
      </w:r>
      <w:r w:rsidRPr="00A44323">
        <w:rPr>
          <w:rFonts w:ascii="Calibri" w:hAnsi="Calibri" w:cs="Calibri"/>
          <w:color w:val="000000"/>
          <w:sz w:val="22"/>
          <w:szCs w:val="22"/>
        </w:rPr>
        <w:t xml:space="preserve"> the area bounded by Harris Street in the west, Lee Street/Eddy Avenue/Foveaux Street in the south, Crown Street/St Marys Road/Hospital Road/Macquarie Street in the east and the Sydney waterfront to the north (including Darling Harbour, the Rocks and Circular Quay).</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color w:val="000000"/>
          <w:sz w:val="22"/>
          <w:szCs w:val="22"/>
        </w:rPr>
      </w:pPr>
      <w:r w:rsidRPr="00A44323">
        <w:rPr>
          <w:rFonts w:ascii="Calibri" w:hAnsi="Calibri" w:cs="Calibri"/>
          <w:color w:val="000000"/>
          <w:sz w:val="22"/>
          <w:szCs w:val="22"/>
          <w:u w:val="single"/>
        </w:rPr>
        <w:t>North Sydney:</w:t>
      </w:r>
      <w:r w:rsidRPr="00A44323">
        <w:rPr>
          <w:rFonts w:ascii="Calibri" w:hAnsi="Calibri" w:cs="Calibri"/>
          <w:color w:val="000000"/>
          <w:sz w:val="22"/>
          <w:szCs w:val="22"/>
        </w:rPr>
        <w:t xml:space="preserve"> the area bounded by the Warringah Freeway in the east, Falcon Street in the north, the Pacific Highway/Bay Road/Carr Street in the west and the waterfront in the south (including McMahons Point and Milsons Point).</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color w:val="000000"/>
          <w:sz w:val="22"/>
          <w:szCs w:val="22"/>
        </w:rPr>
      </w:pPr>
      <w:r w:rsidRPr="00A44323">
        <w:rPr>
          <w:rFonts w:ascii="Calibri" w:hAnsi="Calibri" w:cs="Calibri"/>
          <w:color w:val="000000"/>
          <w:sz w:val="22"/>
          <w:szCs w:val="22"/>
          <w:u w:val="single"/>
        </w:rPr>
        <w:t>Chatswood:</w:t>
      </w:r>
      <w:r w:rsidRPr="00A44323">
        <w:rPr>
          <w:rFonts w:ascii="Calibri" w:hAnsi="Calibri" w:cs="Calibri"/>
          <w:color w:val="000000"/>
          <w:sz w:val="22"/>
          <w:szCs w:val="22"/>
        </w:rPr>
        <w:t xml:space="preserve"> the area bounded by the Pacific Highway in the west, Albert/Victoria Avenues in the south-east, Penshurst Street in the north-east and Boundary Street in the north-west.</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color w:val="000000"/>
          <w:sz w:val="22"/>
          <w:szCs w:val="22"/>
        </w:rPr>
      </w:pPr>
      <w:r w:rsidRPr="00A44323">
        <w:rPr>
          <w:rFonts w:ascii="Calibri" w:hAnsi="Calibri" w:cs="Calibri"/>
          <w:color w:val="000000"/>
          <w:sz w:val="22"/>
          <w:szCs w:val="22"/>
          <w:u w:val="single"/>
        </w:rPr>
        <w:t>Parramatta:</w:t>
      </w:r>
      <w:r w:rsidRPr="00A44323">
        <w:rPr>
          <w:rFonts w:ascii="Calibri" w:hAnsi="Calibri" w:cs="Calibri"/>
          <w:color w:val="000000"/>
          <w:sz w:val="22"/>
          <w:szCs w:val="22"/>
        </w:rPr>
        <w:t xml:space="preserve"> the area bounded by O’Connell/Pitt Streets in the west, Boundary/Raymond/Cambridge/Allen Streets in the south, Harris/Macarthur/Buller Streets in the east, and Albert Street in the north.</w:t>
      </w:r>
    </w:p>
    <w:p w:rsidR="00D02375" w:rsidRPr="00A44323" w:rsidRDefault="00D02375" w:rsidP="00D02375">
      <w:pPr>
        <w:pStyle w:val="ListParagraph"/>
        <w:numPr>
          <w:ilvl w:val="2"/>
          <w:numId w:val="11"/>
        </w:numPr>
        <w:spacing w:before="120" w:after="120"/>
        <w:ind w:left="1134" w:hanging="283"/>
        <w:contextualSpacing w:val="0"/>
        <w:rPr>
          <w:rFonts w:ascii="Calibri" w:hAnsi="Calibri" w:cs="Calibri"/>
          <w:b/>
          <w:color w:val="000000"/>
          <w:sz w:val="22"/>
          <w:szCs w:val="22"/>
        </w:rPr>
      </w:pPr>
      <w:r w:rsidRPr="00A44323">
        <w:rPr>
          <w:rFonts w:ascii="Calibri" w:hAnsi="Calibri" w:cs="Calibri"/>
          <w:b/>
          <w:color w:val="000000"/>
          <w:sz w:val="22"/>
          <w:szCs w:val="22"/>
        </w:rPr>
        <w:t>Northern Territory:</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color w:val="000000"/>
          <w:sz w:val="22"/>
          <w:szCs w:val="22"/>
        </w:rPr>
      </w:pPr>
      <w:r w:rsidRPr="00A44323">
        <w:rPr>
          <w:rFonts w:ascii="Calibri" w:hAnsi="Calibri" w:cs="Calibri"/>
          <w:color w:val="000000"/>
          <w:sz w:val="22"/>
          <w:szCs w:val="22"/>
          <w:u w:val="single"/>
        </w:rPr>
        <w:t>Darwin CBD:</w:t>
      </w:r>
      <w:r w:rsidRPr="002D1817">
        <w:rPr>
          <w:rFonts w:ascii="Calibri" w:hAnsi="Calibri" w:cs="Calibri"/>
          <w:color w:val="000000"/>
          <w:sz w:val="22"/>
          <w:szCs w:val="22"/>
        </w:rPr>
        <w:t xml:space="preserve"> </w:t>
      </w:r>
      <w:r w:rsidRPr="00A44323">
        <w:rPr>
          <w:rFonts w:ascii="Calibri" w:hAnsi="Calibri" w:cs="Calibri"/>
          <w:color w:val="000000"/>
          <w:sz w:val="22"/>
          <w:szCs w:val="22"/>
        </w:rPr>
        <w:t>the area bounded by The Esplanade in the south-west, Daly Street in the north-west, McMinn Street in the north-east and the Darwin City Waterfront in the south-east.</w:t>
      </w:r>
    </w:p>
    <w:p w:rsidR="00D02375" w:rsidRPr="00A44323" w:rsidRDefault="00D02375" w:rsidP="00D02375">
      <w:pPr>
        <w:pStyle w:val="ListParagraph"/>
        <w:numPr>
          <w:ilvl w:val="2"/>
          <w:numId w:val="11"/>
        </w:numPr>
        <w:spacing w:before="120" w:after="120"/>
        <w:ind w:left="1134" w:hanging="283"/>
        <w:contextualSpacing w:val="0"/>
        <w:rPr>
          <w:rFonts w:ascii="Calibri" w:hAnsi="Calibri" w:cs="Calibri"/>
          <w:b/>
          <w:color w:val="000000"/>
          <w:sz w:val="22"/>
          <w:szCs w:val="22"/>
        </w:rPr>
      </w:pPr>
      <w:r w:rsidRPr="00A44323">
        <w:rPr>
          <w:rFonts w:ascii="Calibri" w:hAnsi="Calibri" w:cs="Calibri"/>
          <w:b/>
          <w:color w:val="000000"/>
          <w:sz w:val="22"/>
          <w:szCs w:val="22"/>
        </w:rPr>
        <w:t>Queensland:</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sz w:val="22"/>
          <w:szCs w:val="22"/>
        </w:rPr>
      </w:pPr>
      <w:r w:rsidRPr="00A44323">
        <w:rPr>
          <w:rFonts w:ascii="Calibri" w:hAnsi="Calibri" w:cs="Calibri"/>
          <w:sz w:val="22"/>
          <w:szCs w:val="22"/>
          <w:u w:val="single"/>
        </w:rPr>
        <w:t>Brisbane CBD:</w:t>
      </w:r>
      <w:r w:rsidRPr="00A44323">
        <w:rPr>
          <w:rFonts w:ascii="Calibri" w:hAnsi="Calibri" w:cs="Calibri"/>
          <w:sz w:val="22"/>
          <w:szCs w:val="22"/>
        </w:rPr>
        <w:t xml:space="preserve"> the area bounded by Saul/Roma/Albert Streets in the north-west, Wickham Terrace/Turbot Street/Boundary Street in the north-east, and the Brisbane River curving around from the William Jolly Bridge in the north-west to the Story Bridge in the north-east. </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sz w:val="22"/>
          <w:szCs w:val="22"/>
        </w:rPr>
      </w:pPr>
      <w:r w:rsidRPr="00A44323">
        <w:rPr>
          <w:rFonts w:ascii="Calibri" w:hAnsi="Calibri" w:cs="Calibri"/>
          <w:sz w:val="22"/>
          <w:szCs w:val="22"/>
          <w:u w:val="single"/>
        </w:rPr>
        <w:t>Brisbane Near City:</w:t>
      </w:r>
      <w:r w:rsidRPr="00A44323">
        <w:rPr>
          <w:rFonts w:ascii="Calibri" w:hAnsi="Calibri" w:cs="Calibri"/>
          <w:sz w:val="22"/>
          <w:szCs w:val="22"/>
        </w:rPr>
        <w:t xml:space="preserve"> the areas of Toowong, Milton, Spring Hill, Fortitude Valley, Bowen Hills, Newstead and New Farm to the north of the Brisbane River, and West End, South Brisbane, Woolloongabba, Kangaroo Point, East Brisbane and Greenslopes to the south of the Brisbane River. </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sz w:val="22"/>
          <w:szCs w:val="22"/>
        </w:rPr>
      </w:pPr>
      <w:r w:rsidRPr="00A44323">
        <w:rPr>
          <w:rFonts w:ascii="Calibri" w:hAnsi="Calibri" w:cs="Calibri"/>
          <w:sz w:val="22"/>
          <w:szCs w:val="22"/>
          <w:u w:val="single"/>
        </w:rPr>
        <w:t>Upper Mount Gravatt &amp; Macgregor:</w:t>
      </w:r>
      <w:r w:rsidRPr="00A44323">
        <w:rPr>
          <w:rFonts w:ascii="Calibri" w:hAnsi="Calibri" w:cs="Calibri"/>
          <w:sz w:val="22"/>
          <w:szCs w:val="22"/>
        </w:rPr>
        <w:t xml:space="preserve">  the commercial precinct of Upper Mount Gravatt and Macgregor.</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sz w:val="22"/>
          <w:szCs w:val="22"/>
        </w:rPr>
      </w:pPr>
      <w:r w:rsidRPr="00A44323">
        <w:rPr>
          <w:rFonts w:ascii="Calibri" w:hAnsi="Calibri" w:cs="Calibri"/>
          <w:sz w:val="22"/>
          <w:szCs w:val="22"/>
          <w:u w:val="single"/>
        </w:rPr>
        <w:t>Chermside:</w:t>
      </w:r>
      <w:r w:rsidRPr="00A44323">
        <w:rPr>
          <w:rFonts w:ascii="Calibri" w:hAnsi="Calibri" w:cs="Calibri"/>
          <w:sz w:val="22"/>
          <w:szCs w:val="22"/>
        </w:rPr>
        <w:t xml:space="preserve"> defined as the commercial precinct of Chermside.</w:t>
      </w:r>
    </w:p>
    <w:p w:rsidR="00A44323" w:rsidRDefault="00A44323">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rsidR="00D02375" w:rsidRPr="00A44323" w:rsidRDefault="00D02375" w:rsidP="00D02375">
      <w:pPr>
        <w:pStyle w:val="ListParagraph"/>
        <w:numPr>
          <w:ilvl w:val="2"/>
          <w:numId w:val="11"/>
        </w:numPr>
        <w:spacing w:before="120" w:after="120"/>
        <w:ind w:left="1134" w:hanging="283"/>
        <w:contextualSpacing w:val="0"/>
        <w:rPr>
          <w:rFonts w:ascii="Calibri" w:hAnsi="Calibri" w:cs="Calibri"/>
          <w:b/>
          <w:color w:val="000000"/>
          <w:sz w:val="22"/>
          <w:szCs w:val="22"/>
        </w:rPr>
      </w:pPr>
      <w:r w:rsidRPr="00A44323">
        <w:rPr>
          <w:rFonts w:ascii="Calibri" w:hAnsi="Calibri" w:cs="Calibri"/>
          <w:b/>
          <w:color w:val="000000"/>
          <w:sz w:val="22"/>
          <w:szCs w:val="22"/>
        </w:rPr>
        <w:lastRenderedPageBreak/>
        <w:t>South Australia:</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sz w:val="22"/>
          <w:szCs w:val="22"/>
          <w:u w:val="single"/>
        </w:rPr>
      </w:pPr>
      <w:r w:rsidRPr="00A44323">
        <w:rPr>
          <w:rFonts w:ascii="Calibri" w:hAnsi="Calibri" w:cs="Calibri"/>
          <w:sz w:val="22"/>
          <w:szCs w:val="22"/>
          <w:u w:val="single"/>
        </w:rPr>
        <w:t>Adelaide CBD:</w:t>
      </w:r>
      <w:r w:rsidRPr="00A44323">
        <w:rPr>
          <w:rFonts w:ascii="Calibri" w:hAnsi="Calibri" w:cs="Calibri"/>
          <w:sz w:val="22"/>
          <w:szCs w:val="22"/>
        </w:rPr>
        <w:t xml:space="preserve"> the area bounded by North Terrace (including Riverside Terrace and the ASER Complex) in the north, East Terrace/Hutt Street in the east, South Terrace in the south and West Terrace in the west.</w:t>
      </w:r>
    </w:p>
    <w:p w:rsidR="00D02375" w:rsidRPr="00A44323" w:rsidRDefault="00D02375" w:rsidP="00D02375">
      <w:pPr>
        <w:pStyle w:val="ListParagraph"/>
        <w:numPr>
          <w:ilvl w:val="2"/>
          <w:numId w:val="11"/>
        </w:numPr>
        <w:spacing w:before="120" w:after="120"/>
        <w:ind w:left="1134" w:hanging="283"/>
        <w:contextualSpacing w:val="0"/>
        <w:rPr>
          <w:rFonts w:ascii="Calibri" w:hAnsi="Calibri" w:cs="Calibri"/>
          <w:b/>
          <w:color w:val="000000"/>
          <w:sz w:val="22"/>
          <w:szCs w:val="22"/>
        </w:rPr>
      </w:pPr>
      <w:r w:rsidRPr="00A44323">
        <w:rPr>
          <w:rFonts w:ascii="Calibri" w:hAnsi="Calibri" w:cs="Calibri"/>
          <w:b/>
          <w:color w:val="000000"/>
          <w:sz w:val="22"/>
          <w:szCs w:val="22"/>
        </w:rPr>
        <w:t>Tasmania:</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sz w:val="22"/>
          <w:szCs w:val="22"/>
        </w:rPr>
      </w:pPr>
      <w:r w:rsidRPr="00A44323">
        <w:rPr>
          <w:rFonts w:ascii="Calibri" w:hAnsi="Calibri" w:cs="Calibri"/>
          <w:sz w:val="22"/>
          <w:szCs w:val="22"/>
          <w:u w:val="single"/>
        </w:rPr>
        <w:t>Hobart CBD:</w:t>
      </w:r>
      <w:r w:rsidRPr="00A44323">
        <w:rPr>
          <w:rFonts w:ascii="Calibri" w:hAnsi="Calibri" w:cs="Calibri"/>
          <w:sz w:val="22"/>
          <w:szCs w:val="22"/>
        </w:rPr>
        <w:t xml:space="preserve"> the area bounded by Molle Street/Davey Street/Hampden Road in the south-west, Melville Street in the north-west, Brooker Avenue/Hunter Street in the north east and the Harbour in the south-west.</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sz w:val="22"/>
          <w:szCs w:val="22"/>
          <w:u w:val="single"/>
        </w:rPr>
      </w:pPr>
      <w:r w:rsidRPr="00A44323">
        <w:rPr>
          <w:rFonts w:ascii="Calibri" w:hAnsi="Calibri" w:cs="Calibri"/>
          <w:sz w:val="22"/>
          <w:szCs w:val="22"/>
          <w:u w:val="single"/>
        </w:rPr>
        <w:t>University of Tasmania, Sandy Bay Campus.</w:t>
      </w:r>
    </w:p>
    <w:p w:rsidR="00D02375" w:rsidRPr="00A44323" w:rsidRDefault="00D02375" w:rsidP="00D02375">
      <w:pPr>
        <w:pStyle w:val="ListParagraph"/>
        <w:numPr>
          <w:ilvl w:val="2"/>
          <w:numId w:val="11"/>
        </w:numPr>
        <w:spacing w:before="120" w:after="120"/>
        <w:ind w:left="1134" w:hanging="283"/>
        <w:contextualSpacing w:val="0"/>
        <w:rPr>
          <w:rFonts w:ascii="Calibri" w:hAnsi="Calibri" w:cs="Calibri"/>
          <w:b/>
          <w:color w:val="000000"/>
          <w:sz w:val="22"/>
          <w:szCs w:val="22"/>
        </w:rPr>
      </w:pPr>
      <w:r w:rsidRPr="00A44323">
        <w:rPr>
          <w:rFonts w:ascii="Calibri" w:hAnsi="Calibri" w:cs="Calibri"/>
          <w:b/>
          <w:color w:val="000000"/>
          <w:sz w:val="22"/>
          <w:szCs w:val="22"/>
        </w:rPr>
        <w:t>Victoria:</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sz w:val="22"/>
          <w:szCs w:val="22"/>
          <w:u w:val="single"/>
        </w:rPr>
      </w:pPr>
      <w:r w:rsidRPr="00A44323">
        <w:rPr>
          <w:rFonts w:ascii="Calibri" w:hAnsi="Calibri" w:cs="Calibri"/>
          <w:sz w:val="22"/>
          <w:szCs w:val="22"/>
          <w:u w:val="single"/>
        </w:rPr>
        <w:t>Melbourne CBD:</w:t>
      </w:r>
      <w:r w:rsidRPr="00BA3DE4">
        <w:rPr>
          <w:rFonts w:ascii="Calibri" w:hAnsi="Calibri" w:cs="Calibri"/>
          <w:sz w:val="22"/>
          <w:szCs w:val="22"/>
        </w:rPr>
        <w:t xml:space="preserve"> </w:t>
      </w:r>
      <w:r w:rsidRPr="00A44323">
        <w:rPr>
          <w:rFonts w:ascii="Calibri" w:hAnsi="Calibri" w:cs="Calibri"/>
          <w:sz w:val="22"/>
          <w:szCs w:val="22"/>
        </w:rPr>
        <w:t>the area bounded by Spencer Street in the west, Dudley/Peel/Victoria Streets in north, Spring Street in the east and the Yarra River in the south.</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sz w:val="22"/>
          <w:szCs w:val="22"/>
          <w:u w:val="single"/>
        </w:rPr>
      </w:pPr>
      <w:r w:rsidRPr="00A44323">
        <w:rPr>
          <w:rFonts w:ascii="Calibri" w:hAnsi="Calibri" w:cs="Calibri"/>
          <w:sz w:val="22"/>
          <w:szCs w:val="22"/>
          <w:u w:val="single"/>
        </w:rPr>
        <w:t>Docklands:</w:t>
      </w:r>
      <w:r w:rsidRPr="00A44323">
        <w:rPr>
          <w:rFonts w:ascii="Calibri" w:hAnsi="Calibri" w:cs="Calibri"/>
          <w:sz w:val="22"/>
          <w:szCs w:val="22"/>
        </w:rPr>
        <w:t xml:space="preserve"> the area bounded by Spencer Street in the east, the Yarra River/Lorimer Street in the south, Bolte Bridge in the west and Footscray Road/Docklands Highway/Dudley Street in the north.</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sz w:val="22"/>
          <w:szCs w:val="22"/>
          <w:u w:val="single"/>
        </w:rPr>
      </w:pPr>
      <w:r w:rsidRPr="00A44323">
        <w:rPr>
          <w:rFonts w:ascii="Calibri" w:hAnsi="Calibri" w:cs="Calibri"/>
          <w:sz w:val="22"/>
          <w:szCs w:val="22"/>
          <w:u w:val="single"/>
        </w:rPr>
        <w:t>Southbank:</w:t>
      </w:r>
      <w:r w:rsidRPr="00BA3DE4">
        <w:rPr>
          <w:rFonts w:ascii="Calibri" w:hAnsi="Calibri" w:cs="Calibri"/>
          <w:sz w:val="22"/>
          <w:szCs w:val="22"/>
        </w:rPr>
        <w:t xml:space="preserve"> </w:t>
      </w:r>
      <w:r w:rsidRPr="00A44323">
        <w:rPr>
          <w:rFonts w:ascii="Calibri" w:hAnsi="Calibri" w:cs="Calibri"/>
          <w:sz w:val="22"/>
          <w:szCs w:val="22"/>
        </w:rPr>
        <w:t>the area bounded by the Yarra River in the north, St Kilda Road/Wadey Street/Wells Street/Palmerston Crescent in the east, Kings Way/Bank Street/Tope Street/Market Street/City Road in the south, and Montague Street/Docklands Highway in the west.</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sz w:val="22"/>
          <w:szCs w:val="22"/>
          <w:u w:val="single"/>
        </w:rPr>
      </w:pPr>
      <w:r w:rsidRPr="00A44323">
        <w:rPr>
          <w:rFonts w:ascii="Calibri" w:hAnsi="Calibri" w:cs="Calibri"/>
          <w:sz w:val="22"/>
          <w:szCs w:val="22"/>
          <w:u w:val="single"/>
        </w:rPr>
        <w:t>St Kilda Road:</w:t>
      </w:r>
      <w:r w:rsidRPr="00A44323">
        <w:rPr>
          <w:rFonts w:ascii="Calibri" w:hAnsi="Calibri" w:cs="Calibri"/>
          <w:sz w:val="22"/>
          <w:szCs w:val="22"/>
        </w:rPr>
        <w:t xml:space="preserve"> the area bounded by Punt Road in the east, Toorak Road//St Kilda Road in the north-east, Coventry Street/Wells Street/Palmerston Crescent/Raglan Street in the north-west, and Moray Street/Albert Road/Queens Road in the south-west. </w:t>
      </w:r>
    </w:p>
    <w:p w:rsidR="00D02375" w:rsidRPr="00A44323" w:rsidRDefault="00D02375" w:rsidP="00D02375">
      <w:pPr>
        <w:pStyle w:val="ListParagraph"/>
        <w:numPr>
          <w:ilvl w:val="2"/>
          <w:numId w:val="11"/>
        </w:numPr>
        <w:spacing w:before="120" w:after="120"/>
        <w:ind w:left="1134" w:hanging="283"/>
        <w:contextualSpacing w:val="0"/>
        <w:rPr>
          <w:rFonts w:ascii="Calibri" w:hAnsi="Calibri" w:cs="Calibri"/>
          <w:b/>
          <w:color w:val="000000"/>
          <w:sz w:val="22"/>
          <w:szCs w:val="22"/>
        </w:rPr>
      </w:pPr>
      <w:r w:rsidRPr="00A44323">
        <w:rPr>
          <w:rFonts w:ascii="Calibri" w:hAnsi="Calibri" w:cs="Calibri"/>
          <w:b/>
          <w:color w:val="000000"/>
          <w:sz w:val="22"/>
          <w:szCs w:val="22"/>
        </w:rPr>
        <w:t>Western Australia:</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sz w:val="22"/>
          <w:szCs w:val="22"/>
          <w:u w:val="single"/>
        </w:rPr>
      </w:pPr>
      <w:r w:rsidRPr="00A44323">
        <w:rPr>
          <w:rFonts w:ascii="Calibri" w:hAnsi="Calibri" w:cs="Calibri"/>
          <w:sz w:val="22"/>
          <w:szCs w:val="22"/>
          <w:u w:val="single"/>
        </w:rPr>
        <w:t>Perth CBD:</w:t>
      </w:r>
      <w:r w:rsidRPr="00BA3DE4">
        <w:rPr>
          <w:rFonts w:ascii="Calibri" w:hAnsi="Calibri" w:cs="Calibri"/>
          <w:sz w:val="22"/>
          <w:szCs w:val="22"/>
        </w:rPr>
        <w:t xml:space="preserve"> </w:t>
      </w:r>
      <w:r w:rsidRPr="00A44323">
        <w:rPr>
          <w:rFonts w:ascii="Calibri" w:hAnsi="Calibri" w:cs="Calibri"/>
          <w:sz w:val="22"/>
          <w:szCs w:val="22"/>
        </w:rPr>
        <w:t>defined as the area bounded by Riverside Drive in the south, Mitchell Freeway in the west, Graham Farmer Freeway in the north and the Swan River in the east.</w:t>
      </w:r>
    </w:p>
    <w:p w:rsidR="00D02375" w:rsidRPr="00A44323" w:rsidRDefault="00D02375" w:rsidP="00D02375">
      <w:pPr>
        <w:pStyle w:val="ListParagraph"/>
        <w:numPr>
          <w:ilvl w:val="3"/>
          <w:numId w:val="11"/>
        </w:numPr>
        <w:spacing w:before="120" w:after="120"/>
        <w:ind w:left="1418" w:hanging="425"/>
        <w:contextualSpacing w:val="0"/>
        <w:rPr>
          <w:rFonts w:ascii="Calibri" w:hAnsi="Calibri" w:cs="Calibri"/>
          <w:sz w:val="22"/>
          <w:szCs w:val="22"/>
        </w:rPr>
      </w:pPr>
      <w:r w:rsidRPr="00A44323">
        <w:rPr>
          <w:rFonts w:ascii="Calibri" w:hAnsi="Calibri" w:cs="Calibri"/>
          <w:sz w:val="22"/>
          <w:szCs w:val="22"/>
          <w:u w:val="single"/>
        </w:rPr>
        <w:t>West Perth:</w:t>
      </w:r>
      <w:r w:rsidRPr="00A44323">
        <w:rPr>
          <w:rFonts w:ascii="Calibri" w:hAnsi="Calibri" w:cs="Calibri"/>
          <w:sz w:val="22"/>
          <w:szCs w:val="22"/>
        </w:rPr>
        <w:t xml:space="preserve"> defined as the area bounded by Kings Park Road/Malcolm Street in the south, Mitchell Freeway in the east, Roe/Railway Streets in the north and Thomas Street in the west.</w:t>
      </w:r>
    </w:p>
    <w:p w:rsidR="00D02375" w:rsidRPr="00406746" w:rsidRDefault="00D02375" w:rsidP="00D02375">
      <w:pPr>
        <w:spacing w:before="120" w:after="120"/>
        <w:rPr>
          <w:rFonts w:ascii="Calibri" w:hAnsi="Calibri" w:cs="Calibri"/>
          <w:b/>
          <w:color w:val="000000"/>
        </w:rPr>
      </w:pPr>
      <w:r w:rsidRPr="00406746">
        <w:rPr>
          <w:rFonts w:ascii="Calibri" w:hAnsi="Calibri" w:cs="Calibri"/>
          <w:b/>
          <w:color w:val="000000"/>
        </w:rPr>
        <w:br w:type="page"/>
      </w:r>
    </w:p>
    <w:p w:rsidR="00D02375" w:rsidRPr="00276D9F" w:rsidRDefault="00D02375" w:rsidP="00D02375">
      <w:pPr>
        <w:pStyle w:val="Heading1"/>
        <w:rPr>
          <w:rFonts w:ascii="Calibri" w:hAnsi="Calibri" w:cs="Calibri"/>
          <w:color w:val="000000"/>
          <w:sz w:val="24"/>
          <w:szCs w:val="24"/>
        </w:rPr>
      </w:pPr>
      <w:bookmarkStart w:id="11" w:name="_Toc305076437"/>
      <w:bookmarkStart w:id="12" w:name="_Toc307819288"/>
      <w:r w:rsidRPr="00276D9F">
        <w:rPr>
          <w:rFonts w:ascii="Calibri" w:hAnsi="Calibri" w:cs="Calibri"/>
          <w:color w:val="000000"/>
          <w:sz w:val="24"/>
          <w:szCs w:val="24"/>
        </w:rPr>
        <w:lastRenderedPageBreak/>
        <w:t>Schedule A</w:t>
      </w:r>
      <w:bookmarkEnd w:id="11"/>
      <w:bookmarkEnd w:id="12"/>
    </w:p>
    <w:p w:rsidR="00D02375" w:rsidRPr="00406746" w:rsidRDefault="00D02375" w:rsidP="00D02375">
      <w:pPr>
        <w:rPr>
          <w:rFonts w:ascii="Calibri" w:hAnsi="Calibri" w:cs="Calibri"/>
        </w:rPr>
      </w:pPr>
    </w:p>
    <w:tbl>
      <w:tblPr>
        <w:tblW w:w="8799" w:type="dxa"/>
        <w:tblInd w:w="93" w:type="dxa"/>
        <w:tblLook w:val="04A0"/>
      </w:tblPr>
      <w:tblGrid>
        <w:gridCol w:w="1716"/>
        <w:gridCol w:w="851"/>
        <w:gridCol w:w="850"/>
        <w:gridCol w:w="993"/>
        <w:gridCol w:w="850"/>
        <w:gridCol w:w="851"/>
        <w:gridCol w:w="992"/>
        <w:gridCol w:w="850"/>
        <w:gridCol w:w="846"/>
      </w:tblGrid>
      <w:tr w:rsidR="00D02375" w:rsidRPr="00406746" w:rsidTr="00D26984">
        <w:trPr>
          <w:trHeight w:val="300"/>
        </w:trPr>
        <w:tc>
          <w:tcPr>
            <w:tcW w:w="8799" w:type="dxa"/>
            <w:gridSpan w:val="9"/>
            <w:tcBorders>
              <w:top w:val="single" w:sz="4" w:space="0" w:color="auto"/>
              <w:left w:val="single" w:sz="4" w:space="0" w:color="auto"/>
              <w:bottom w:val="single" w:sz="4" w:space="0" w:color="auto"/>
              <w:right w:val="single" w:sz="4" w:space="0" w:color="auto"/>
            </w:tcBorders>
            <w:shd w:val="pct10" w:color="auto" w:fill="auto"/>
            <w:noWrap/>
            <w:vAlign w:val="bottom"/>
          </w:tcPr>
          <w:p w:rsidR="00D02375" w:rsidRPr="00406746" w:rsidRDefault="00D02375" w:rsidP="00D26984">
            <w:pPr>
              <w:jc w:val="center"/>
              <w:rPr>
                <w:rFonts w:ascii="Calibri" w:hAnsi="Calibri" w:cs="Calibri"/>
                <w:b/>
                <w:color w:val="000000"/>
                <w:sz w:val="21"/>
                <w:szCs w:val="21"/>
              </w:rPr>
            </w:pPr>
            <w:r w:rsidRPr="00406746">
              <w:rPr>
                <w:rFonts w:ascii="Calibri" w:hAnsi="Calibri" w:cs="Calibri"/>
                <w:b/>
                <w:color w:val="000000"/>
                <w:sz w:val="21"/>
                <w:szCs w:val="21"/>
              </w:rPr>
              <w:t>2011 Prescribed AGCSC minimum hourly base rates of pay</w:t>
            </w:r>
          </w:p>
          <w:p w:rsidR="00D02375" w:rsidRPr="00406746" w:rsidRDefault="00D02375" w:rsidP="00D26984">
            <w:pPr>
              <w:jc w:val="center"/>
              <w:rPr>
                <w:rFonts w:ascii="Calibri" w:hAnsi="Calibri" w:cs="Calibri"/>
                <w:color w:val="000000"/>
                <w:sz w:val="18"/>
                <w:szCs w:val="21"/>
              </w:rPr>
            </w:pPr>
            <w:r w:rsidRPr="00406746">
              <w:rPr>
                <w:rFonts w:ascii="Calibri" w:hAnsi="Calibri" w:cs="Calibri"/>
                <w:color w:val="000000"/>
                <w:sz w:val="18"/>
                <w:szCs w:val="21"/>
              </w:rPr>
              <w:t>(not including any allowances that may be payable to the employee)</w:t>
            </w:r>
          </w:p>
          <w:p w:rsidR="00D02375" w:rsidRPr="00406746" w:rsidRDefault="00D02375" w:rsidP="00D26984">
            <w:pPr>
              <w:jc w:val="center"/>
              <w:rPr>
                <w:rFonts w:ascii="Calibri" w:hAnsi="Calibri" w:cs="Calibri"/>
                <w:color w:val="000000"/>
                <w:sz w:val="21"/>
                <w:szCs w:val="21"/>
              </w:rPr>
            </w:pPr>
          </w:p>
          <w:p w:rsidR="00D02375" w:rsidRPr="00406746" w:rsidRDefault="00D02375" w:rsidP="00E7377E">
            <w:pPr>
              <w:jc w:val="center"/>
              <w:rPr>
                <w:rFonts w:ascii="Calibri" w:hAnsi="Calibri" w:cs="Calibri"/>
                <w:b/>
                <w:bCs/>
                <w:color w:val="000000"/>
                <w:sz w:val="21"/>
                <w:szCs w:val="21"/>
              </w:rPr>
            </w:pPr>
            <w:r w:rsidRPr="00406746">
              <w:rPr>
                <w:rFonts w:ascii="Calibri" w:hAnsi="Calibri" w:cs="Calibri"/>
                <w:b/>
                <w:color w:val="000000"/>
                <w:sz w:val="21"/>
                <w:szCs w:val="21"/>
              </w:rPr>
              <w:t xml:space="preserve">Effective </w:t>
            </w:r>
            <w:r w:rsidR="00E7377E">
              <w:rPr>
                <w:rFonts w:ascii="Calibri" w:hAnsi="Calibri" w:cs="Calibri"/>
                <w:b/>
                <w:color w:val="000000"/>
                <w:sz w:val="21"/>
                <w:szCs w:val="21"/>
              </w:rPr>
              <w:t xml:space="preserve">from 1 January 2012 </w:t>
            </w:r>
          </w:p>
        </w:tc>
      </w:tr>
      <w:tr w:rsidR="00D02375" w:rsidRPr="00406746" w:rsidTr="00D26984">
        <w:trPr>
          <w:trHeight w:val="300"/>
        </w:trPr>
        <w:tc>
          <w:tcPr>
            <w:tcW w:w="1716" w:type="dxa"/>
            <w:tcBorders>
              <w:top w:val="single" w:sz="4" w:space="0" w:color="auto"/>
              <w:left w:val="nil"/>
              <w:bottom w:val="nil"/>
              <w:right w:val="nil"/>
            </w:tcBorders>
            <w:shd w:val="clear" w:color="auto" w:fill="auto"/>
            <w:noWrap/>
            <w:vAlign w:val="bottom"/>
          </w:tcPr>
          <w:p w:rsidR="00D02375" w:rsidRPr="00406746" w:rsidRDefault="00D02375" w:rsidP="00D26984">
            <w:pPr>
              <w:rPr>
                <w:rFonts w:ascii="Calibri" w:hAnsi="Calibri" w:cs="Calibri"/>
                <w:color w:val="000000"/>
                <w:sz w:val="21"/>
                <w:szCs w:val="21"/>
              </w:rPr>
            </w:pPr>
          </w:p>
        </w:tc>
        <w:tc>
          <w:tcPr>
            <w:tcW w:w="7083"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D02375" w:rsidRPr="00406746" w:rsidRDefault="00D02375" w:rsidP="00D26984">
            <w:pPr>
              <w:jc w:val="center"/>
              <w:rPr>
                <w:rFonts w:ascii="Calibri" w:hAnsi="Calibri" w:cs="Calibri"/>
                <w:b/>
                <w:bCs/>
                <w:color w:val="000000"/>
                <w:sz w:val="21"/>
                <w:szCs w:val="21"/>
              </w:rPr>
            </w:pPr>
            <w:r w:rsidRPr="00406746">
              <w:rPr>
                <w:rFonts w:ascii="Calibri" w:hAnsi="Calibri" w:cs="Calibri"/>
                <w:b/>
                <w:bCs/>
                <w:color w:val="000000"/>
                <w:sz w:val="21"/>
                <w:szCs w:val="21"/>
              </w:rPr>
              <w:t xml:space="preserve">State where cleaning services are being undertaken </w:t>
            </w:r>
          </w:p>
        </w:tc>
      </w:tr>
      <w:tr w:rsidR="00D02375" w:rsidRPr="00406746" w:rsidTr="00D26984">
        <w:trPr>
          <w:trHeight w:val="70"/>
        </w:trPr>
        <w:tc>
          <w:tcPr>
            <w:tcW w:w="1716" w:type="dxa"/>
            <w:tcBorders>
              <w:top w:val="single" w:sz="4" w:space="0" w:color="auto"/>
              <w:left w:val="single" w:sz="4" w:space="0" w:color="auto"/>
              <w:bottom w:val="nil"/>
              <w:right w:val="single" w:sz="4" w:space="0" w:color="auto"/>
            </w:tcBorders>
            <w:shd w:val="clear" w:color="auto" w:fill="auto"/>
          </w:tcPr>
          <w:p w:rsidR="00D02375" w:rsidRPr="00406746" w:rsidRDefault="00D02375" w:rsidP="00D26984">
            <w:pPr>
              <w:rPr>
                <w:rFonts w:ascii="Calibri" w:hAnsi="Calibri" w:cs="Calibri"/>
                <w:b/>
                <w:bCs/>
                <w:color w:val="000000"/>
                <w:sz w:val="21"/>
                <w:szCs w:val="21"/>
              </w:rPr>
            </w:pPr>
            <w:r w:rsidRPr="00406746">
              <w:rPr>
                <w:rFonts w:ascii="Calibri" w:hAnsi="Calibri" w:cs="Calibri"/>
                <w:b/>
                <w:bCs/>
                <w:color w:val="000000"/>
                <w:sz w:val="21"/>
                <w:szCs w:val="21"/>
              </w:rPr>
              <w:t>Employee type</w:t>
            </w:r>
          </w:p>
        </w:tc>
        <w:tc>
          <w:tcPr>
            <w:tcW w:w="851" w:type="dxa"/>
            <w:tcBorders>
              <w:top w:val="nil"/>
              <w:left w:val="nil"/>
              <w:bottom w:val="nil"/>
              <w:right w:val="single" w:sz="4" w:space="0" w:color="auto"/>
            </w:tcBorders>
            <w:shd w:val="clear" w:color="auto" w:fill="auto"/>
            <w:noWrap/>
            <w:vAlign w:val="bottom"/>
          </w:tcPr>
          <w:p w:rsidR="00D02375" w:rsidRPr="00406746" w:rsidRDefault="00D02375" w:rsidP="00D26984">
            <w:pPr>
              <w:rPr>
                <w:rFonts w:ascii="Calibri" w:hAnsi="Calibri" w:cs="Calibri"/>
                <w:b/>
                <w:bCs/>
                <w:color w:val="000000"/>
                <w:sz w:val="21"/>
                <w:szCs w:val="21"/>
              </w:rPr>
            </w:pPr>
            <w:r w:rsidRPr="00406746">
              <w:rPr>
                <w:rFonts w:ascii="Calibri" w:hAnsi="Calibri" w:cs="Calibri"/>
                <w:b/>
                <w:bCs/>
                <w:color w:val="000000"/>
                <w:sz w:val="21"/>
                <w:szCs w:val="21"/>
              </w:rPr>
              <w:t>ACT</w:t>
            </w:r>
          </w:p>
        </w:tc>
        <w:tc>
          <w:tcPr>
            <w:tcW w:w="850" w:type="dxa"/>
            <w:tcBorders>
              <w:top w:val="nil"/>
              <w:left w:val="nil"/>
              <w:bottom w:val="nil"/>
              <w:right w:val="single" w:sz="4" w:space="0" w:color="auto"/>
            </w:tcBorders>
            <w:shd w:val="clear" w:color="auto" w:fill="auto"/>
            <w:vAlign w:val="bottom"/>
          </w:tcPr>
          <w:p w:rsidR="00D02375" w:rsidRPr="00406746" w:rsidRDefault="00D02375" w:rsidP="00D26984">
            <w:pPr>
              <w:jc w:val="center"/>
              <w:rPr>
                <w:rFonts w:ascii="Calibri" w:hAnsi="Calibri" w:cs="Calibri"/>
                <w:b/>
                <w:bCs/>
                <w:color w:val="000000"/>
                <w:sz w:val="21"/>
                <w:szCs w:val="21"/>
              </w:rPr>
            </w:pPr>
            <w:r w:rsidRPr="00406746">
              <w:rPr>
                <w:rFonts w:ascii="Calibri" w:hAnsi="Calibri" w:cs="Calibri"/>
                <w:b/>
                <w:bCs/>
                <w:color w:val="000000"/>
                <w:sz w:val="21"/>
                <w:szCs w:val="21"/>
              </w:rPr>
              <w:t>NSW</w:t>
            </w:r>
          </w:p>
        </w:tc>
        <w:tc>
          <w:tcPr>
            <w:tcW w:w="993" w:type="dxa"/>
            <w:tcBorders>
              <w:top w:val="nil"/>
              <w:left w:val="nil"/>
              <w:bottom w:val="nil"/>
              <w:right w:val="single" w:sz="4" w:space="0" w:color="auto"/>
            </w:tcBorders>
            <w:shd w:val="clear" w:color="auto" w:fill="auto"/>
            <w:vAlign w:val="bottom"/>
          </w:tcPr>
          <w:p w:rsidR="00D02375" w:rsidRPr="00406746" w:rsidRDefault="00D02375" w:rsidP="00D26984">
            <w:pPr>
              <w:jc w:val="center"/>
              <w:rPr>
                <w:rFonts w:ascii="Calibri" w:hAnsi="Calibri" w:cs="Calibri"/>
                <w:b/>
                <w:bCs/>
                <w:color w:val="000000"/>
                <w:sz w:val="21"/>
                <w:szCs w:val="21"/>
              </w:rPr>
            </w:pPr>
            <w:r w:rsidRPr="00406746">
              <w:rPr>
                <w:rFonts w:ascii="Calibri" w:hAnsi="Calibri" w:cs="Calibri"/>
                <w:b/>
                <w:bCs/>
                <w:color w:val="000000"/>
                <w:sz w:val="21"/>
                <w:szCs w:val="21"/>
              </w:rPr>
              <w:t>NT</w:t>
            </w:r>
          </w:p>
        </w:tc>
        <w:tc>
          <w:tcPr>
            <w:tcW w:w="850" w:type="dxa"/>
            <w:tcBorders>
              <w:top w:val="nil"/>
              <w:left w:val="nil"/>
              <w:bottom w:val="nil"/>
              <w:right w:val="single" w:sz="4" w:space="0" w:color="auto"/>
            </w:tcBorders>
            <w:shd w:val="clear" w:color="auto" w:fill="auto"/>
            <w:vAlign w:val="bottom"/>
          </w:tcPr>
          <w:p w:rsidR="00D02375" w:rsidRPr="00406746" w:rsidRDefault="00D02375" w:rsidP="00D26984">
            <w:pPr>
              <w:jc w:val="center"/>
              <w:rPr>
                <w:rFonts w:ascii="Calibri" w:hAnsi="Calibri" w:cs="Calibri"/>
                <w:b/>
                <w:bCs/>
                <w:color w:val="000000"/>
                <w:sz w:val="21"/>
                <w:szCs w:val="21"/>
              </w:rPr>
            </w:pPr>
            <w:r w:rsidRPr="00406746">
              <w:rPr>
                <w:rFonts w:ascii="Calibri" w:hAnsi="Calibri" w:cs="Calibri"/>
                <w:b/>
                <w:bCs/>
                <w:color w:val="000000"/>
                <w:sz w:val="21"/>
                <w:szCs w:val="21"/>
              </w:rPr>
              <w:t>QLD</w:t>
            </w:r>
          </w:p>
        </w:tc>
        <w:tc>
          <w:tcPr>
            <w:tcW w:w="851" w:type="dxa"/>
            <w:tcBorders>
              <w:top w:val="nil"/>
              <w:left w:val="nil"/>
              <w:bottom w:val="nil"/>
              <w:right w:val="single" w:sz="4" w:space="0" w:color="auto"/>
            </w:tcBorders>
            <w:shd w:val="clear" w:color="auto" w:fill="auto"/>
            <w:vAlign w:val="bottom"/>
          </w:tcPr>
          <w:p w:rsidR="00D02375" w:rsidRPr="00406746" w:rsidRDefault="00D02375" w:rsidP="00D26984">
            <w:pPr>
              <w:jc w:val="center"/>
              <w:rPr>
                <w:rFonts w:ascii="Calibri" w:hAnsi="Calibri" w:cs="Calibri"/>
                <w:b/>
                <w:bCs/>
                <w:color w:val="000000"/>
                <w:sz w:val="21"/>
                <w:szCs w:val="21"/>
              </w:rPr>
            </w:pPr>
            <w:r w:rsidRPr="00406746">
              <w:rPr>
                <w:rFonts w:ascii="Calibri" w:hAnsi="Calibri" w:cs="Calibri"/>
                <w:b/>
                <w:bCs/>
                <w:color w:val="000000"/>
                <w:sz w:val="21"/>
                <w:szCs w:val="21"/>
              </w:rPr>
              <w:t>SA</w:t>
            </w:r>
          </w:p>
        </w:tc>
        <w:tc>
          <w:tcPr>
            <w:tcW w:w="992" w:type="dxa"/>
            <w:tcBorders>
              <w:top w:val="nil"/>
              <w:left w:val="nil"/>
              <w:bottom w:val="nil"/>
              <w:right w:val="single" w:sz="4" w:space="0" w:color="auto"/>
            </w:tcBorders>
            <w:shd w:val="clear" w:color="auto" w:fill="auto"/>
            <w:vAlign w:val="bottom"/>
          </w:tcPr>
          <w:p w:rsidR="00D02375" w:rsidRPr="00406746" w:rsidRDefault="00D02375" w:rsidP="00D26984">
            <w:pPr>
              <w:jc w:val="center"/>
              <w:rPr>
                <w:rFonts w:ascii="Calibri" w:hAnsi="Calibri" w:cs="Calibri"/>
                <w:b/>
                <w:bCs/>
                <w:color w:val="000000"/>
                <w:sz w:val="21"/>
                <w:szCs w:val="21"/>
              </w:rPr>
            </w:pPr>
            <w:r w:rsidRPr="00406746">
              <w:rPr>
                <w:rFonts w:ascii="Calibri" w:hAnsi="Calibri" w:cs="Calibri"/>
                <w:b/>
                <w:bCs/>
                <w:color w:val="000000"/>
                <w:sz w:val="21"/>
                <w:szCs w:val="21"/>
              </w:rPr>
              <w:t>TAS</w:t>
            </w:r>
          </w:p>
        </w:tc>
        <w:tc>
          <w:tcPr>
            <w:tcW w:w="850" w:type="dxa"/>
            <w:tcBorders>
              <w:top w:val="nil"/>
              <w:left w:val="nil"/>
              <w:bottom w:val="nil"/>
              <w:right w:val="single" w:sz="4" w:space="0" w:color="auto"/>
            </w:tcBorders>
            <w:shd w:val="clear" w:color="auto" w:fill="auto"/>
            <w:vAlign w:val="bottom"/>
          </w:tcPr>
          <w:p w:rsidR="00D02375" w:rsidRPr="00406746" w:rsidRDefault="00D02375" w:rsidP="00D26984">
            <w:pPr>
              <w:jc w:val="center"/>
              <w:rPr>
                <w:rFonts w:ascii="Calibri" w:hAnsi="Calibri" w:cs="Calibri"/>
                <w:b/>
                <w:bCs/>
                <w:color w:val="000000"/>
                <w:sz w:val="21"/>
                <w:szCs w:val="21"/>
              </w:rPr>
            </w:pPr>
            <w:r w:rsidRPr="00406746">
              <w:rPr>
                <w:rFonts w:ascii="Calibri" w:hAnsi="Calibri" w:cs="Calibri"/>
                <w:b/>
                <w:bCs/>
                <w:color w:val="000000"/>
                <w:sz w:val="21"/>
                <w:szCs w:val="21"/>
              </w:rPr>
              <w:t>VIC</w:t>
            </w:r>
          </w:p>
        </w:tc>
        <w:tc>
          <w:tcPr>
            <w:tcW w:w="846" w:type="dxa"/>
            <w:tcBorders>
              <w:top w:val="nil"/>
              <w:left w:val="nil"/>
              <w:bottom w:val="nil"/>
              <w:right w:val="single" w:sz="4" w:space="0" w:color="auto"/>
            </w:tcBorders>
            <w:shd w:val="clear" w:color="auto" w:fill="auto"/>
            <w:vAlign w:val="bottom"/>
          </w:tcPr>
          <w:p w:rsidR="00D02375" w:rsidRPr="00406746" w:rsidRDefault="00D02375" w:rsidP="00D26984">
            <w:pPr>
              <w:jc w:val="center"/>
              <w:rPr>
                <w:rFonts w:ascii="Calibri" w:hAnsi="Calibri" w:cs="Calibri"/>
                <w:b/>
                <w:bCs/>
                <w:color w:val="000000"/>
                <w:sz w:val="21"/>
                <w:szCs w:val="21"/>
              </w:rPr>
            </w:pPr>
            <w:r w:rsidRPr="00406746">
              <w:rPr>
                <w:rFonts w:ascii="Calibri" w:hAnsi="Calibri" w:cs="Calibri"/>
                <w:b/>
                <w:bCs/>
                <w:color w:val="000000"/>
                <w:sz w:val="21"/>
                <w:szCs w:val="21"/>
              </w:rPr>
              <w:t>WA</w:t>
            </w:r>
          </w:p>
        </w:tc>
      </w:tr>
      <w:tr w:rsidR="00D02375" w:rsidRPr="00406746" w:rsidTr="00D26984">
        <w:trPr>
          <w:trHeight w:val="211"/>
        </w:trPr>
        <w:tc>
          <w:tcPr>
            <w:tcW w:w="1716" w:type="dxa"/>
            <w:tcBorders>
              <w:top w:val="single" w:sz="8" w:space="0" w:color="auto"/>
              <w:left w:val="single" w:sz="4" w:space="0" w:color="auto"/>
              <w:bottom w:val="single" w:sz="4" w:space="0" w:color="auto"/>
              <w:right w:val="single" w:sz="4" w:space="0" w:color="auto"/>
            </w:tcBorders>
            <w:shd w:val="clear" w:color="auto" w:fill="auto"/>
          </w:tcPr>
          <w:p w:rsidR="00D02375" w:rsidRPr="00406746" w:rsidRDefault="00D02375" w:rsidP="00D26984">
            <w:pPr>
              <w:rPr>
                <w:rFonts w:ascii="Calibri" w:hAnsi="Calibri" w:cs="Calibri"/>
                <w:color w:val="000000"/>
                <w:sz w:val="21"/>
                <w:szCs w:val="21"/>
              </w:rPr>
            </w:pPr>
            <w:r w:rsidRPr="00406746">
              <w:rPr>
                <w:rFonts w:ascii="Calibri" w:hAnsi="Calibri" w:cs="Calibri"/>
                <w:color w:val="000000"/>
                <w:sz w:val="21"/>
                <w:szCs w:val="21"/>
              </w:rPr>
              <w:t>Full time (BSE 1)</w:t>
            </w:r>
          </w:p>
        </w:tc>
        <w:tc>
          <w:tcPr>
            <w:tcW w:w="851" w:type="dxa"/>
            <w:tcBorders>
              <w:top w:val="single" w:sz="8"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$19.87</w:t>
            </w:r>
          </w:p>
        </w:tc>
        <w:tc>
          <w:tcPr>
            <w:tcW w:w="850" w:type="dxa"/>
            <w:tcBorders>
              <w:top w:val="single" w:sz="8"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$19.65</w:t>
            </w:r>
          </w:p>
        </w:tc>
        <w:tc>
          <w:tcPr>
            <w:tcW w:w="993" w:type="dxa"/>
            <w:tcBorders>
              <w:top w:val="single" w:sz="8"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$19.56</w:t>
            </w:r>
          </w:p>
        </w:tc>
        <w:tc>
          <w:tcPr>
            <w:tcW w:w="850" w:type="dxa"/>
            <w:tcBorders>
              <w:top w:val="single" w:sz="8"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$19.58</w:t>
            </w:r>
          </w:p>
        </w:tc>
        <w:tc>
          <w:tcPr>
            <w:tcW w:w="851" w:type="dxa"/>
            <w:tcBorders>
              <w:top w:val="single" w:sz="8"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$19.56</w:t>
            </w:r>
          </w:p>
        </w:tc>
        <w:tc>
          <w:tcPr>
            <w:tcW w:w="992" w:type="dxa"/>
            <w:tcBorders>
              <w:top w:val="single" w:sz="8"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$19.56</w:t>
            </w:r>
          </w:p>
        </w:tc>
        <w:tc>
          <w:tcPr>
            <w:tcW w:w="850" w:type="dxa"/>
            <w:tcBorders>
              <w:top w:val="single" w:sz="8"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$19.54</w:t>
            </w:r>
          </w:p>
        </w:tc>
        <w:tc>
          <w:tcPr>
            <w:tcW w:w="846" w:type="dxa"/>
            <w:tcBorders>
              <w:top w:val="single" w:sz="8" w:space="0" w:color="auto"/>
              <w:left w:val="nil"/>
              <w:bottom w:val="single" w:sz="4" w:space="0" w:color="auto"/>
              <w:right w:val="single" w:sz="8"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$19.56</w:t>
            </w:r>
          </w:p>
        </w:tc>
      </w:tr>
      <w:tr w:rsidR="00D02375" w:rsidRPr="00406746" w:rsidTr="00D26984">
        <w:trPr>
          <w:trHeight w:val="173"/>
        </w:trPr>
        <w:tc>
          <w:tcPr>
            <w:tcW w:w="1716" w:type="dxa"/>
            <w:tcBorders>
              <w:top w:val="nil"/>
              <w:left w:val="single" w:sz="4" w:space="0" w:color="auto"/>
              <w:bottom w:val="single" w:sz="4" w:space="0" w:color="auto"/>
              <w:right w:val="single" w:sz="4" w:space="0" w:color="auto"/>
            </w:tcBorders>
            <w:shd w:val="clear" w:color="auto" w:fill="auto"/>
          </w:tcPr>
          <w:p w:rsidR="00D02375" w:rsidRPr="00406746" w:rsidRDefault="00D02375" w:rsidP="00D26984">
            <w:pPr>
              <w:rPr>
                <w:rFonts w:ascii="Calibri" w:hAnsi="Calibri" w:cs="Calibri"/>
                <w:color w:val="000000"/>
                <w:sz w:val="21"/>
                <w:szCs w:val="21"/>
              </w:rPr>
            </w:pPr>
            <w:r w:rsidRPr="00406746">
              <w:rPr>
                <w:rFonts w:ascii="Calibri" w:hAnsi="Calibri" w:cs="Calibri"/>
                <w:color w:val="000000"/>
                <w:sz w:val="21"/>
                <w:szCs w:val="21"/>
              </w:rPr>
              <w:t>Full time (BSE 2)</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$20.87</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$20.70</w:t>
            </w:r>
          </w:p>
        </w:tc>
        <w:tc>
          <w:tcPr>
            <w:tcW w:w="993"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$20.60</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$20.55</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$20.60</w:t>
            </w:r>
          </w:p>
        </w:tc>
        <w:tc>
          <w:tcPr>
            <w:tcW w:w="992"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$20.60</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$20.50</w:t>
            </w:r>
          </w:p>
        </w:tc>
        <w:tc>
          <w:tcPr>
            <w:tcW w:w="846" w:type="dxa"/>
            <w:tcBorders>
              <w:top w:val="nil"/>
              <w:left w:val="nil"/>
              <w:bottom w:val="single" w:sz="4" w:space="0" w:color="auto"/>
              <w:right w:val="single" w:sz="8"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$20.60</w:t>
            </w:r>
          </w:p>
        </w:tc>
      </w:tr>
      <w:tr w:rsidR="00D02375" w:rsidRPr="00406746" w:rsidTr="00D26984">
        <w:trPr>
          <w:trHeight w:val="125"/>
        </w:trPr>
        <w:tc>
          <w:tcPr>
            <w:tcW w:w="1716" w:type="dxa"/>
            <w:tcBorders>
              <w:top w:val="nil"/>
              <w:left w:val="single" w:sz="4" w:space="0" w:color="auto"/>
              <w:bottom w:val="single" w:sz="4" w:space="0" w:color="auto"/>
              <w:right w:val="single" w:sz="4" w:space="0" w:color="auto"/>
            </w:tcBorders>
            <w:shd w:val="clear" w:color="auto" w:fill="auto"/>
          </w:tcPr>
          <w:p w:rsidR="00D02375" w:rsidRPr="00406746" w:rsidRDefault="00D02375" w:rsidP="00D26984">
            <w:pPr>
              <w:rPr>
                <w:rFonts w:ascii="Calibri" w:hAnsi="Calibri" w:cs="Calibri"/>
                <w:color w:val="000000"/>
                <w:sz w:val="21"/>
                <w:szCs w:val="21"/>
              </w:rPr>
            </w:pPr>
            <w:r w:rsidRPr="00406746">
              <w:rPr>
                <w:rFonts w:ascii="Calibri" w:hAnsi="Calibri" w:cs="Calibri"/>
                <w:color w:val="000000"/>
                <w:sz w:val="21"/>
                <w:szCs w:val="21"/>
              </w:rPr>
              <w:t>Full time (BSE 3)</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$22.09</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$22.25</w:t>
            </w:r>
          </w:p>
        </w:tc>
        <w:tc>
          <w:tcPr>
            <w:tcW w:w="993"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$22.00</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$22.15</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$22.00</w:t>
            </w:r>
          </w:p>
        </w:tc>
        <w:tc>
          <w:tcPr>
            <w:tcW w:w="992"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$22.05</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$21.95</w:t>
            </w:r>
          </w:p>
        </w:tc>
        <w:tc>
          <w:tcPr>
            <w:tcW w:w="846" w:type="dxa"/>
            <w:tcBorders>
              <w:top w:val="nil"/>
              <w:left w:val="nil"/>
              <w:bottom w:val="single" w:sz="4" w:space="0" w:color="auto"/>
              <w:right w:val="single" w:sz="8"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$21.82</w:t>
            </w:r>
          </w:p>
        </w:tc>
      </w:tr>
      <w:tr w:rsidR="00D02375" w:rsidRPr="00406746" w:rsidTr="00D26984">
        <w:trPr>
          <w:trHeight w:val="91"/>
        </w:trPr>
        <w:tc>
          <w:tcPr>
            <w:tcW w:w="1716" w:type="dxa"/>
            <w:tcBorders>
              <w:top w:val="nil"/>
              <w:left w:val="single" w:sz="4" w:space="0" w:color="auto"/>
              <w:bottom w:val="single" w:sz="4" w:space="0" w:color="auto"/>
              <w:right w:val="single" w:sz="4" w:space="0" w:color="auto"/>
            </w:tcBorders>
            <w:shd w:val="clear" w:color="auto" w:fill="auto"/>
          </w:tcPr>
          <w:p w:rsidR="00D02375" w:rsidRPr="00406746" w:rsidRDefault="00D02375" w:rsidP="00D26984">
            <w:pPr>
              <w:rPr>
                <w:rFonts w:ascii="Calibri" w:hAnsi="Calibri" w:cs="Calibri"/>
                <w:color w:val="000000"/>
                <w:sz w:val="21"/>
                <w:szCs w:val="21"/>
              </w:rPr>
            </w:pPr>
            <w:r w:rsidRPr="00406746">
              <w:rPr>
                <w:rFonts w:ascii="Calibri" w:hAnsi="Calibri" w:cs="Calibri"/>
                <w:color w:val="000000"/>
                <w:sz w:val="21"/>
                <w:szCs w:val="21"/>
              </w:rPr>
              <w:t>Part time (BSE 1)</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$20.36</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$20.35</w:t>
            </w:r>
          </w:p>
        </w:tc>
        <w:tc>
          <w:tcPr>
            <w:tcW w:w="993"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$20.35</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$19.90</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p>
        </w:tc>
        <w:tc>
          <w:tcPr>
            <w:tcW w:w="992"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$21.64</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$20.35</w:t>
            </w:r>
          </w:p>
        </w:tc>
        <w:tc>
          <w:tcPr>
            <w:tcW w:w="846" w:type="dxa"/>
            <w:tcBorders>
              <w:top w:val="nil"/>
              <w:left w:val="nil"/>
              <w:bottom w:val="single" w:sz="4" w:space="0" w:color="auto"/>
              <w:right w:val="single" w:sz="8" w:space="0" w:color="auto"/>
            </w:tcBorders>
            <w:shd w:val="clear" w:color="auto" w:fill="auto"/>
          </w:tcPr>
          <w:p w:rsidR="00D02375" w:rsidRPr="00406746" w:rsidRDefault="00D02375" w:rsidP="00D26984">
            <w:pPr>
              <w:jc w:val="center"/>
              <w:rPr>
                <w:rFonts w:ascii="Calibri" w:hAnsi="Calibri" w:cs="Calibri"/>
                <w:color w:val="000000"/>
                <w:sz w:val="21"/>
                <w:szCs w:val="21"/>
              </w:rPr>
            </w:pPr>
          </w:p>
        </w:tc>
      </w:tr>
      <w:tr w:rsidR="00D02375" w:rsidRPr="00406746" w:rsidTr="00D26984">
        <w:trPr>
          <w:trHeight w:val="70"/>
        </w:trPr>
        <w:tc>
          <w:tcPr>
            <w:tcW w:w="1716" w:type="dxa"/>
            <w:tcBorders>
              <w:top w:val="nil"/>
              <w:left w:val="single" w:sz="4" w:space="0" w:color="auto"/>
              <w:bottom w:val="single" w:sz="4" w:space="0" w:color="auto"/>
              <w:right w:val="single" w:sz="4" w:space="0" w:color="auto"/>
            </w:tcBorders>
            <w:shd w:val="clear" w:color="auto" w:fill="auto"/>
          </w:tcPr>
          <w:p w:rsidR="00D02375" w:rsidRPr="00406746" w:rsidRDefault="00D02375" w:rsidP="00D26984">
            <w:pPr>
              <w:rPr>
                <w:rFonts w:ascii="Calibri" w:hAnsi="Calibri" w:cs="Calibri"/>
                <w:color w:val="000000"/>
                <w:sz w:val="21"/>
                <w:szCs w:val="21"/>
              </w:rPr>
            </w:pPr>
            <w:r w:rsidRPr="00406746">
              <w:rPr>
                <w:rFonts w:ascii="Calibri" w:hAnsi="Calibri" w:cs="Calibri"/>
                <w:color w:val="000000"/>
                <w:sz w:val="21"/>
                <w:szCs w:val="21"/>
              </w:rPr>
              <w:t>Part time (BSE 2)</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$21.30</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$21.35</w:t>
            </w:r>
          </w:p>
        </w:tc>
        <w:tc>
          <w:tcPr>
            <w:tcW w:w="993"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$21.25</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$21.10</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p>
        </w:tc>
        <w:tc>
          <w:tcPr>
            <w:tcW w:w="992"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$22.41</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$21.25</w:t>
            </w:r>
          </w:p>
        </w:tc>
        <w:tc>
          <w:tcPr>
            <w:tcW w:w="846" w:type="dxa"/>
            <w:tcBorders>
              <w:top w:val="nil"/>
              <w:left w:val="nil"/>
              <w:bottom w:val="single" w:sz="4" w:space="0" w:color="auto"/>
              <w:right w:val="single" w:sz="8" w:space="0" w:color="auto"/>
            </w:tcBorders>
            <w:shd w:val="clear" w:color="auto" w:fill="auto"/>
          </w:tcPr>
          <w:p w:rsidR="00D02375" w:rsidRPr="00406746" w:rsidRDefault="00D02375" w:rsidP="00D26984">
            <w:pPr>
              <w:jc w:val="center"/>
              <w:rPr>
                <w:rFonts w:ascii="Calibri" w:hAnsi="Calibri" w:cs="Calibri"/>
                <w:color w:val="000000"/>
                <w:sz w:val="21"/>
                <w:szCs w:val="21"/>
              </w:rPr>
            </w:pPr>
          </w:p>
        </w:tc>
      </w:tr>
      <w:tr w:rsidR="00D02375" w:rsidRPr="00406746" w:rsidTr="00D26984">
        <w:trPr>
          <w:trHeight w:val="70"/>
        </w:trPr>
        <w:tc>
          <w:tcPr>
            <w:tcW w:w="1716" w:type="dxa"/>
            <w:tcBorders>
              <w:top w:val="nil"/>
              <w:left w:val="single" w:sz="4" w:space="0" w:color="auto"/>
              <w:bottom w:val="single" w:sz="4" w:space="0" w:color="auto"/>
              <w:right w:val="single" w:sz="4" w:space="0" w:color="auto"/>
            </w:tcBorders>
            <w:shd w:val="clear" w:color="auto" w:fill="auto"/>
          </w:tcPr>
          <w:p w:rsidR="00D02375" w:rsidRPr="00406746" w:rsidRDefault="00D02375" w:rsidP="00D26984">
            <w:pPr>
              <w:rPr>
                <w:rFonts w:ascii="Calibri" w:hAnsi="Calibri" w:cs="Calibri"/>
                <w:color w:val="000000"/>
                <w:sz w:val="21"/>
                <w:szCs w:val="21"/>
              </w:rPr>
            </w:pPr>
            <w:r w:rsidRPr="00406746">
              <w:rPr>
                <w:rFonts w:ascii="Calibri" w:hAnsi="Calibri" w:cs="Calibri"/>
                <w:color w:val="000000"/>
                <w:sz w:val="21"/>
                <w:szCs w:val="21"/>
              </w:rPr>
              <w:t>Part time (BSE 3)</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$22.82</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$22.90</w:t>
            </w:r>
          </w:p>
        </w:tc>
        <w:tc>
          <w:tcPr>
            <w:tcW w:w="993"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$22.43</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$22.62</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p>
        </w:tc>
        <w:tc>
          <w:tcPr>
            <w:tcW w:w="992"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$23.67</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$22.43</w:t>
            </w:r>
          </w:p>
        </w:tc>
        <w:tc>
          <w:tcPr>
            <w:tcW w:w="846" w:type="dxa"/>
            <w:tcBorders>
              <w:top w:val="nil"/>
              <w:left w:val="nil"/>
              <w:bottom w:val="single" w:sz="4" w:space="0" w:color="auto"/>
              <w:right w:val="single" w:sz="8" w:space="0" w:color="auto"/>
            </w:tcBorders>
            <w:shd w:val="clear" w:color="auto" w:fill="auto"/>
          </w:tcPr>
          <w:p w:rsidR="00D02375" w:rsidRPr="00406746" w:rsidRDefault="00D02375" w:rsidP="00D26984">
            <w:pPr>
              <w:jc w:val="center"/>
              <w:rPr>
                <w:rFonts w:ascii="Calibri" w:hAnsi="Calibri" w:cs="Calibri"/>
                <w:color w:val="000000"/>
                <w:sz w:val="21"/>
                <w:szCs w:val="21"/>
              </w:rPr>
            </w:pPr>
          </w:p>
        </w:tc>
      </w:tr>
      <w:tr w:rsidR="00D02375" w:rsidRPr="00406746" w:rsidTr="00D26984">
        <w:trPr>
          <w:trHeight w:val="90"/>
        </w:trPr>
        <w:tc>
          <w:tcPr>
            <w:tcW w:w="1716" w:type="dxa"/>
            <w:tcBorders>
              <w:top w:val="nil"/>
              <w:left w:val="single" w:sz="4" w:space="0" w:color="auto"/>
              <w:bottom w:val="single" w:sz="4" w:space="0" w:color="auto"/>
              <w:right w:val="single" w:sz="4" w:space="0" w:color="auto"/>
            </w:tcBorders>
            <w:shd w:val="clear" w:color="auto" w:fill="auto"/>
          </w:tcPr>
          <w:p w:rsidR="00D02375" w:rsidRPr="00406746" w:rsidRDefault="00D02375" w:rsidP="00D26984">
            <w:pPr>
              <w:rPr>
                <w:rFonts w:ascii="Calibri" w:hAnsi="Calibri" w:cs="Calibri"/>
                <w:color w:val="000000"/>
                <w:sz w:val="21"/>
                <w:szCs w:val="21"/>
              </w:rPr>
            </w:pPr>
            <w:r w:rsidRPr="00406746">
              <w:rPr>
                <w:rFonts w:ascii="Calibri" w:hAnsi="Calibri" w:cs="Calibri"/>
                <w:color w:val="000000"/>
                <w:sz w:val="21"/>
                <w:szCs w:val="21"/>
              </w:rPr>
              <w:t xml:space="preserve">Part time shift </w:t>
            </w:r>
            <w:r w:rsidRPr="00406746">
              <w:rPr>
                <w:rFonts w:ascii="Calibri" w:hAnsi="Calibri" w:cs="Calibri"/>
                <w:color w:val="000000"/>
                <w:sz w:val="21"/>
                <w:szCs w:val="21"/>
              </w:rPr>
              <w:br/>
              <w:t>(BSE 1)</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$23.41</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$22.80</w:t>
            </w:r>
          </w:p>
        </w:tc>
        <w:tc>
          <w:tcPr>
            <w:tcW w:w="993"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$23.40</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$22.89</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$22.49</w:t>
            </w:r>
          </w:p>
        </w:tc>
        <w:tc>
          <w:tcPr>
            <w:tcW w:w="992"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$23.37</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$23.40</w:t>
            </w:r>
          </w:p>
        </w:tc>
        <w:tc>
          <w:tcPr>
            <w:tcW w:w="846" w:type="dxa"/>
            <w:tcBorders>
              <w:top w:val="nil"/>
              <w:left w:val="nil"/>
              <w:bottom w:val="single" w:sz="4" w:space="0" w:color="auto"/>
              <w:right w:val="single" w:sz="8"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$22.49</w:t>
            </w:r>
          </w:p>
        </w:tc>
      </w:tr>
      <w:tr w:rsidR="00D02375" w:rsidRPr="00406746" w:rsidTr="00D26984">
        <w:trPr>
          <w:trHeight w:val="70"/>
        </w:trPr>
        <w:tc>
          <w:tcPr>
            <w:tcW w:w="1716" w:type="dxa"/>
            <w:tcBorders>
              <w:top w:val="nil"/>
              <w:left w:val="single" w:sz="4" w:space="0" w:color="auto"/>
              <w:bottom w:val="single" w:sz="4" w:space="0" w:color="auto"/>
              <w:right w:val="single" w:sz="4" w:space="0" w:color="auto"/>
            </w:tcBorders>
            <w:shd w:val="clear" w:color="auto" w:fill="auto"/>
          </w:tcPr>
          <w:p w:rsidR="00D02375" w:rsidRPr="00406746" w:rsidRDefault="00D02375" w:rsidP="00D26984">
            <w:pPr>
              <w:rPr>
                <w:rFonts w:ascii="Calibri" w:hAnsi="Calibri" w:cs="Calibri"/>
                <w:color w:val="000000"/>
                <w:sz w:val="21"/>
                <w:szCs w:val="21"/>
              </w:rPr>
            </w:pPr>
            <w:r w:rsidRPr="00406746">
              <w:rPr>
                <w:rFonts w:ascii="Calibri" w:hAnsi="Calibri" w:cs="Calibri"/>
                <w:color w:val="000000"/>
                <w:sz w:val="21"/>
                <w:szCs w:val="21"/>
              </w:rPr>
              <w:t>Part time shift</w:t>
            </w:r>
            <w:r w:rsidRPr="00406746">
              <w:rPr>
                <w:rFonts w:ascii="Calibri" w:hAnsi="Calibri" w:cs="Calibri"/>
                <w:color w:val="000000"/>
                <w:sz w:val="21"/>
                <w:szCs w:val="21"/>
              </w:rPr>
              <w:br/>
              <w:t>(BSE 2)</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$24.50</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$23.85</w:t>
            </w:r>
          </w:p>
        </w:tc>
        <w:tc>
          <w:tcPr>
            <w:tcW w:w="993"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$24.44</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$24.27</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$23.69</w:t>
            </w:r>
          </w:p>
        </w:tc>
        <w:tc>
          <w:tcPr>
            <w:tcW w:w="992"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$24.21</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$24.44</w:t>
            </w:r>
          </w:p>
        </w:tc>
        <w:tc>
          <w:tcPr>
            <w:tcW w:w="846" w:type="dxa"/>
            <w:tcBorders>
              <w:top w:val="nil"/>
              <w:left w:val="nil"/>
              <w:bottom w:val="single" w:sz="4" w:space="0" w:color="auto"/>
              <w:right w:val="single" w:sz="8"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$23.69</w:t>
            </w:r>
          </w:p>
        </w:tc>
      </w:tr>
      <w:tr w:rsidR="00D02375" w:rsidRPr="00406746" w:rsidTr="00D26984">
        <w:trPr>
          <w:trHeight w:val="243"/>
        </w:trPr>
        <w:tc>
          <w:tcPr>
            <w:tcW w:w="1716" w:type="dxa"/>
            <w:tcBorders>
              <w:top w:val="nil"/>
              <w:left w:val="single" w:sz="4" w:space="0" w:color="auto"/>
              <w:bottom w:val="single" w:sz="8" w:space="0" w:color="auto"/>
              <w:right w:val="single" w:sz="4" w:space="0" w:color="auto"/>
            </w:tcBorders>
            <w:shd w:val="clear" w:color="auto" w:fill="auto"/>
          </w:tcPr>
          <w:p w:rsidR="00D02375" w:rsidRPr="00406746" w:rsidRDefault="00D02375" w:rsidP="00D26984">
            <w:pPr>
              <w:rPr>
                <w:rFonts w:ascii="Calibri" w:hAnsi="Calibri" w:cs="Calibri"/>
                <w:color w:val="000000"/>
                <w:sz w:val="21"/>
                <w:szCs w:val="21"/>
              </w:rPr>
            </w:pPr>
            <w:r w:rsidRPr="00406746">
              <w:rPr>
                <w:rFonts w:ascii="Calibri" w:hAnsi="Calibri" w:cs="Calibri"/>
                <w:color w:val="000000"/>
                <w:sz w:val="21"/>
                <w:szCs w:val="21"/>
              </w:rPr>
              <w:t xml:space="preserve">Part time shift </w:t>
            </w:r>
            <w:r w:rsidRPr="00406746">
              <w:rPr>
                <w:rFonts w:ascii="Calibri" w:hAnsi="Calibri" w:cs="Calibri"/>
                <w:color w:val="000000"/>
                <w:sz w:val="21"/>
                <w:szCs w:val="21"/>
              </w:rPr>
              <w:br/>
              <w:t>(BSE 3)</w:t>
            </w:r>
          </w:p>
        </w:tc>
        <w:tc>
          <w:tcPr>
            <w:tcW w:w="851" w:type="dxa"/>
            <w:tcBorders>
              <w:top w:val="nil"/>
              <w:left w:val="nil"/>
              <w:bottom w:val="single" w:sz="8"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$26.24</w:t>
            </w:r>
          </w:p>
        </w:tc>
        <w:tc>
          <w:tcPr>
            <w:tcW w:w="850" w:type="dxa"/>
            <w:tcBorders>
              <w:top w:val="nil"/>
              <w:left w:val="nil"/>
              <w:bottom w:val="single" w:sz="8"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$25.15</w:t>
            </w:r>
          </w:p>
        </w:tc>
        <w:tc>
          <w:tcPr>
            <w:tcW w:w="993" w:type="dxa"/>
            <w:tcBorders>
              <w:top w:val="nil"/>
              <w:left w:val="nil"/>
              <w:bottom w:val="single" w:sz="8"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$25.79</w:t>
            </w:r>
          </w:p>
        </w:tc>
        <w:tc>
          <w:tcPr>
            <w:tcW w:w="850" w:type="dxa"/>
            <w:tcBorders>
              <w:top w:val="nil"/>
              <w:left w:val="nil"/>
              <w:bottom w:val="single" w:sz="8"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$26.01</w:t>
            </w:r>
          </w:p>
        </w:tc>
        <w:tc>
          <w:tcPr>
            <w:tcW w:w="851" w:type="dxa"/>
            <w:tcBorders>
              <w:top w:val="nil"/>
              <w:left w:val="nil"/>
              <w:bottom w:val="single" w:sz="8" w:space="0" w:color="auto"/>
              <w:right w:val="single" w:sz="4" w:space="0" w:color="auto"/>
            </w:tcBorders>
            <w:shd w:val="clear" w:color="auto" w:fill="auto"/>
          </w:tcPr>
          <w:p w:rsidR="00D02375" w:rsidRPr="00406746" w:rsidRDefault="00D02375" w:rsidP="00BA3DE4">
            <w:pPr>
              <w:jc w:val="center"/>
              <w:rPr>
                <w:rFonts w:ascii="Calibri" w:hAnsi="Calibri" w:cs="Calibri"/>
                <w:color w:val="000000"/>
                <w:sz w:val="21"/>
                <w:szCs w:val="21"/>
              </w:rPr>
            </w:pPr>
            <w:r w:rsidRPr="00406746">
              <w:rPr>
                <w:rFonts w:ascii="Calibri" w:hAnsi="Calibri" w:cs="Calibri"/>
                <w:color w:val="000000"/>
                <w:sz w:val="21"/>
                <w:szCs w:val="21"/>
              </w:rPr>
              <w:t>$25.</w:t>
            </w:r>
            <w:r w:rsidR="00BA3DE4">
              <w:rPr>
                <w:rFonts w:ascii="Calibri" w:hAnsi="Calibri" w:cs="Calibri"/>
                <w:color w:val="000000"/>
                <w:sz w:val="21"/>
                <w:szCs w:val="21"/>
              </w:rPr>
              <w:t>30</w:t>
            </w:r>
          </w:p>
        </w:tc>
        <w:tc>
          <w:tcPr>
            <w:tcW w:w="992" w:type="dxa"/>
            <w:tcBorders>
              <w:top w:val="nil"/>
              <w:left w:val="nil"/>
              <w:bottom w:val="single" w:sz="8"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$25.56</w:t>
            </w:r>
          </w:p>
        </w:tc>
        <w:tc>
          <w:tcPr>
            <w:tcW w:w="850" w:type="dxa"/>
            <w:tcBorders>
              <w:top w:val="nil"/>
              <w:left w:val="nil"/>
              <w:bottom w:val="single" w:sz="8"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$25.79</w:t>
            </w:r>
          </w:p>
        </w:tc>
        <w:tc>
          <w:tcPr>
            <w:tcW w:w="846" w:type="dxa"/>
            <w:tcBorders>
              <w:top w:val="nil"/>
              <w:left w:val="nil"/>
              <w:bottom w:val="single" w:sz="8" w:space="0" w:color="auto"/>
              <w:right w:val="single" w:sz="8"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$25.09</w:t>
            </w:r>
          </w:p>
        </w:tc>
      </w:tr>
    </w:tbl>
    <w:p w:rsidR="00D02375" w:rsidRPr="00406746" w:rsidRDefault="00D02375" w:rsidP="00D02375">
      <w:pPr>
        <w:rPr>
          <w:rFonts w:ascii="Calibri" w:hAnsi="Calibri" w:cs="Calibri"/>
          <w:b/>
          <w:color w:val="000000"/>
          <w:sz w:val="21"/>
          <w:szCs w:val="21"/>
        </w:rPr>
      </w:pPr>
    </w:p>
    <w:p w:rsidR="00D02375" w:rsidRPr="00406746" w:rsidRDefault="00D02375" w:rsidP="00D02375">
      <w:pPr>
        <w:rPr>
          <w:rFonts w:ascii="Calibri" w:hAnsi="Calibri" w:cs="Calibri"/>
          <w:b/>
          <w:color w:val="000000"/>
          <w:sz w:val="21"/>
          <w:szCs w:val="21"/>
        </w:rPr>
      </w:pPr>
      <w:r w:rsidRPr="00406746">
        <w:rPr>
          <w:rFonts w:ascii="Calibri" w:hAnsi="Calibri" w:cs="Calibri"/>
          <w:b/>
          <w:color w:val="000000"/>
          <w:sz w:val="21"/>
          <w:szCs w:val="21"/>
        </w:rPr>
        <w:br w:type="page"/>
      </w:r>
    </w:p>
    <w:p w:rsidR="00D02375" w:rsidRPr="00276D9F" w:rsidRDefault="00D02375" w:rsidP="00D02375">
      <w:pPr>
        <w:pStyle w:val="Heading1"/>
        <w:rPr>
          <w:rFonts w:ascii="Calibri" w:hAnsi="Calibri" w:cs="Calibri"/>
          <w:color w:val="000000"/>
          <w:sz w:val="24"/>
          <w:szCs w:val="24"/>
        </w:rPr>
      </w:pPr>
      <w:bookmarkStart w:id="13" w:name="_Toc305076438"/>
      <w:bookmarkStart w:id="14" w:name="_Toc307819289"/>
      <w:r w:rsidRPr="00276D9F">
        <w:rPr>
          <w:rFonts w:ascii="Calibri" w:hAnsi="Calibri" w:cs="Calibri"/>
          <w:color w:val="000000"/>
          <w:sz w:val="24"/>
          <w:szCs w:val="24"/>
        </w:rPr>
        <w:lastRenderedPageBreak/>
        <w:t>Schedule B</w:t>
      </w:r>
      <w:bookmarkEnd w:id="13"/>
      <w:bookmarkEnd w:id="14"/>
    </w:p>
    <w:p w:rsidR="00D02375" w:rsidRPr="00406746" w:rsidRDefault="00D02375" w:rsidP="00D02375">
      <w:pPr>
        <w:rPr>
          <w:rFonts w:ascii="Calibri" w:hAnsi="Calibri" w:cs="Calibri"/>
          <w:b/>
          <w:color w:val="000000"/>
          <w:sz w:val="21"/>
          <w:szCs w:val="21"/>
        </w:rPr>
      </w:pPr>
    </w:p>
    <w:p w:rsidR="00D02375" w:rsidRPr="00406746" w:rsidRDefault="00D02375" w:rsidP="00D02375">
      <w:pPr>
        <w:rPr>
          <w:rFonts w:ascii="Calibri" w:hAnsi="Calibri" w:cs="Calibri"/>
          <w:b/>
          <w:color w:val="000000"/>
          <w:sz w:val="21"/>
          <w:szCs w:val="21"/>
        </w:rPr>
      </w:pPr>
    </w:p>
    <w:tbl>
      <w:tblPr>
        <w:tblW w:w="8799" w:type="dxa"/>
        <w:tblInd w:w="93" w:type="dxa"/>
        <w:tblLook w:val="04A0"/>
      </w:tblPr>
      <w:tblGrid>
        <w:gridCol w:w="1716"/>
        <w:gridCol w:w="851"/>
        <w:gridCol w:w="850"/>
        <w:gridCol w:w="993"/>
        <w:gridCol w:w="850"/>
        <w:gridCol w:w="851"/>
        <w:gridCol w:w="992"/>
        <w:gridCol w:w="850"/>
        <w:gridCol w:w="846"/>
      </w:tblGrid>
      <w:tr w:rsidR="00D02375" w:rsidRPr="00406746" w:rsidTr="00D26984">
        <w:trPr>
          <w:trHeight w:val="300"/>
          <w:tblHeader/>
        </w:trPr>
        <w:tc>
          <w:tcPr>
            <w:tcW w:w="8799" w:type="dxa"/>
            <w:gridSpan w:val="9"/>
            <w:tcBorders>
              <w:top w:val="single" w:sz="4" w:space="0" w:color="auto"/>
              <w:left w:val="single" w:sz="4" w:space="0" w:color="auto"/>
              <w:bottom w:val="single" w:sz="4" w:space="0" w:color="auto"/>
              <w:right w:val="single" w:sz="4" w:space="0" w:color="auto"/>
            </w:tcBorders>
            <w:shd w:val="pct10" w:color="auto" w:fill="auto"/>
            <w:noWrap/>
            <w:vAlign w:val="bottom"/>
          </w:tcPr>
          <w:p w:rsidR="00D02375" w:rsidRPr="00406746" w:rsidRDefault="00D02375" w:rsidP="00D26984">
            <w:pPr>
              <w:jc w:val="center"/>
              <w:rPr>
                <w:rFonts w:ascii="Calibri" w:hAnsi="Calibri" w:cs="Calibri"/>
                <w:b/>
                <w:color w:val="000000"/>
                <w:sz w:val="21"/>
                <w:szCs w:val="21"/>
              </w:rPr>
            </w:pPr>
            <w:r w:rsidRPr="00406746">
              <w:rPr>
                <w:rFonts w:ascii="Calibri" w:hAnsi="Calibri" w:cs="Calibri"/>
                <w:b/>
                <w:color w:val="000000"/>
                <w:sz w:val="21"/>
                <w:szCs w:val="21"/>
              </w:rPr>
              <w:t>2012 Prescribed AGCSC minimum hourly base rates of pay</w:t>
            </w:r>
          </w:p>
          <w:p w:rsidR="00D02375" w:rsidRPr="00406746" w:rsidRDefault="00D02375" w:rsidP="00D26984">
            <w:pPr>
              <w:jc w:val="center"/>
              <w:rPr>
                <w:rFonts w:ascii="Calibri" w:hAnsi="Calibri" w:cs="Calibri"/>
                <w:color w:val="000000"/>
                <w:sz w:val="18"/>
                <w:szCs w:val="21"/>
              </w:rPr>
            </w:pPr>
            <w:r w:rsidRPr="00406746">
              <w:rPr>
                <w:rFonts w:ascii="Calibri" w:hAnsi="Calibri" w:cs="Calibri"/>
                <w:color w:val="000000"/>
                <w:sz w:val="18"/>
                <w:szCs w:val="21"/>
              </w:rPr>
              <w:t>(not including any allowances that may be payable to the employee)</w:t>
            </w:r>
          </w:p>
          <w:p w:rsidR="00D02375" w:rsidRPr="00406746" w:rsidRDefault="00D02375" w:rsidP="00D26984">
            <w:pPr>
              <w:jc w:val="center"/>
              <w:rPr>
                <w:rFonts w:ascii="Calibri" w:hAnsi="Calibri" w:cs="Calibri"/>
                <w:color w:val="000000"/>
                <w:sz w:val="21"/>
                <w:szCs w:val="21"/>
              </w:rPr>
            </w:pPr>
          </w:p>
          <w:p w:rsidR="00D02375" w:rsidRPr="00406746" w:rsidRDefault="00D02375" w:rsidP="00D26984">
            <w:pPr>
              <w:jc w:val="center"/>
              <w:rPr>
                <w:rFonts w:ascii="Calibri" w:hAnsi="Calibri" w:cs="Calibri"/>
                <w:b/>
                <w:bCs/>
                <w:color w:val="000000"/>
                <w:sz w:val="21"/>
                <w:szCs w:val="21"/>
              </w:rPr>
            </w:pPr>
            <w:r w:rsidRPr="00406746">
              <w:rPr>
                <w:rFonts w:ascii="Calibri" w:hAnsi="Calibri" w:cs="Calibri"/>
                <w:b/>
                <w:color w:val="000000"/>
                <w:sz w:val="21"/>
                <w:szCs w:val="21"/>
              </w:rPr>
              <w:t>Effective from 1 July 2012</w:t>
            </w:r>
          </w:p>
        </w:tc>
      </w:tr>
      <w:tr w:rsidR="00D02375" w:rsidRPr="00406746" w:rsidTr="00D26984">
        <w:trPr>
          <w:trHeight w:val="300"/>
          <w:tblHeader/>
        </w:trPr>
        <w:tc>
          <w:tcPr>
            <w:tcW w:w="1716" w:type="dxa"/>
            <w:tcBorders>
              <w:top w:val="single" w:sz="4" w:space="0" w:color="auto"/>
              <w:left w:val="nil"/>
              <w:bottom w:val="nil"/>
              <w:right w:val="nil"/>
            </w:tcBorders>
            <w:shd w:val="clear" w:color="auto" w:fill="auto"/>
            <w:noWrap/>
            <w:vAlign w:val="bottom"/>
          </w:tcPr>
          <w:p w:rsidR="00D02375" w:rsidRPr="00406746" w:rsidRDefault="00D02375" w:rsidP="00D26984">
            <w:pPr>
              <w:rPr>
                <w:rFonts w:ascii="Calibri" w:hAnsi="Calibri" w:cs="Calibri"/>
                <w:color w:val="000000"/>
                <w:sz w:val="21"/>
                <w:szCs w:val="21"/>
              </w:rPr>
            </w:pPr>
          </w:p>
        </w:tc>
        <w:tc>
          <w:tcPr>
            <w:tcW w:w="7083"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D02375" w:rsidRPr="00406746" w:rsidRDefault="00D02375" w:rsidP="00D26984">
            <w:pPr>
              <w:jc w:val="center"/>
              <w:rPr>
                <w:rFonts w:ascii="Calibri" w:hAnsi="Calibri" w:cs="Calibri"/>
                <w:b/>
                <w:bCs/>
                <w:color w:val="000000"/>
                <w:sz w:val="21"/>
                <w:szCs w:val="21"/>
              </w:rPr>
            </w:pPr>
            <w:r w:rsidRPr="00406746">
              <w:rPr>
                <w:rFonts w:ascii="Calibri" w:hAnsi="Calibri" w:cs="Calibri"/>
                <w:b/>
                <w:bCs/>
                <w:color w:val="000000"/>
                <w:sz w:val="21"/>
                <w:szCs w:val="21"/>
              </w:rPr>
              <w:t xml:space="preserve">State where cleaning services are being undertaken </w:t>
            </w:r>
          </w:p>
        </w:tc>
      </w:tr>
      <w:tr w:rsidR="00D02375" w:rsidRPr="00406746" w:rsidTr="00D26984">
        <w:trPr>
          <w:trHeight w:val="70"/>
          <w:tblHeader/>
        </w:trPr>
        <w:tc>
          <w:tcPr>
            <w:tcW w:w="1716" w:type="dxa"/>
            <w:tcBorders>
              <w:top w:val="single" w:sz="4" w:space="0" w:color="auto"/>
              <w:left w:val="single" w:sz="4" w:space="0" w:color="auto"/>
              <w:bottom w:val="nil"/>
              <w:right w:val="single" w:sz="4" w:space="0" w:color="auto"/>
            </w:tcBorders>
            <w:shd w:val="clear" w:color="auto" w:fill="auto"/>
          </w:tcPr>
          <w:p w:rsidR="00D02375" w:rsidRPr="00406746" w:rsidRDefault="00D02375" w:rsidP="00D26984">
            <w:pPr>
              <w:rPr>
                <w:rFonts w:ascii="Calibri" w:hAnsi="Calibri" w:cs="Calibri"/>
                <w:b/>
                <w:bCs/>
                <w:color w:val="000000"/>
                <w:sz w:val="21"/>
                <w:szCs w:val="21"/>
              </w:rPr>
            </w:pPr>
            <w:r w:rsidRPr="00406746">
              <w:rPr>
                <w:rFonts w:ascii="Calibri" w:hAnsi="Calibri" w:cs="Calibri"/>
                <w:b/>
                <w:bCs/>
                <w:color w:val="000000"/>
                <w:sz w:val="21"/>
                <w:szCs w:val="21"/>
              </w:rPr>
              <w:t>Employee type</w:t>
            </w:r>
          </w:p>
        </w:tc>
        <w:tc>
          <w:tcPr>
            <w:tcW w:w="851" w:type="dxa"/>
            <w:tcBorders>
              <w:top w:val="nil"/>
              <w:left w:val="nil"/>
              <w:bottom w:val="nil"/>
              <w:right w:val="single" w:sz="4" w:space="0" w:color="auto"/>
            </w:tcBorders>
            <w:shd w:val="clear" w:color="auto" w:fill="auto"/>
            <w:noWrap/>
            <w:vAlign w:val="bottom"/>
          </w:tcPr>
          <w:p w:rsidR="00D02375" w:rsidRPr="00406746" w:rsidRDefault="00D02375" w:rsidP="00D26984">
            <w:pPr>
              <w:rPr>
                <w:rFonts w:ascii="Calibri" w:hAnsi="Calibri" w:cs="Calibri"/>
                <w:b/>
                <w:bCs/>
                <w:color w:val="000000"/>
                <w:sz w:val="21"/>
                <w:szCs w:val="21"/>
              </w:rPr>
            </w:pPr>
            <w:r w:rsidRPr="00406746">
              <w:rPr>
                <w:rFonts w:ascii="Calibri" w:hAnsi="Calibri" w:cs="Calibri"/>
                <w:b/>
                <w:bCs/>
                <w:color w:val="000000"/>
                <w:sz w:val="21"/>
                <w:szCs w:val="21"/>
              </w:rPr>
              <w:t>ACT</w:t>
            </w:r>
          </w:p>
        </w:tc>
        <w:tc>
          <w:tcPr>
            <w:tcW w:w="850" w:type="dxa"/>
            <w:tcBorders>
              <w:top w:val="nil"/>
              <w:left w:val="nil"/>
              <w:bottom w:val="nil"/>
              <w:right w:val="single" w:sz="4" w:space="0" w:color="auto"/>
            </w:tcBorders>
            <w:shd w:val="clear" w:color="auto" w:fill="auto"/>
            <w:vAlign w:val="bottom"/>
          </w:tcPr>
          <w:p w:rsidR="00D02375" w:rsidRPr="00406746" w:rsidRDefault="00D02375" w:rsidP="00D26984">
            <w:pPr>
              <w:jc w:val="center"/>
              <w:rPr>
                <w:rFonts w:ascii="Calibri" w:hAnsi="Calibri" w:cs="Calibri"/>
                <w:b/>
                <w:bCs/>
                <w:color w:val="000000"/>
                <w:sz w:val="21"/>
                <w:szCs w:val="21"/>
              </w:rPr>
            </w:pPr>
            <w:r w:rsidRPr="00406746">
              <w:rPr>
                <w:rFonts w:ascii="Calibri" w:hAnsi="Calibri" w:cs="Calibri"/>
                <w:b/>
                <w:bCs/>
                <w:color w:val="000000"/>
                <w:sz w:val="21"/>
                <w:szCs w:val="21"/>
              </w:rPr>
              <w:t>NSW</w:t>
            </w:r>
          </w:p>
        </w:tc>
        <w:tc>
          <w:tcPr>
            <w:tcW w:w="993" w:type="dxa"/>
            <w:tcBorders>
              <w:top w:val="nil"/>
              <w:left w:val="nil"/>
              <w:bottom w:val="nil"/>
              <w:right w:val="single" w:sz="4" w:space="0" w:color="auto"/>
            </w:tcBorders>
            <w:shd w:val="clear" w:color="auto" w:fill="auto"/>
            <w:vAlign w:val="bottom"/>
          </w:tcPr>
          <w:p w:rsidR="00D02375" w:rsidRPr="00406746" w:rsidRDefault="00D02375" w:rsidP="00D26984">
            <w:pPr>
              <w:jc w:val="center"/>
              <w:rPr>
                <w:rFonts w:ascii="Calibri" w:hAnsi="Calibri" w:cs="Calibri"/>
                <w:b/>
                <w:bCs/>
                <w:color w:val="000000"/>
                <w:sz w:val="21"/>
                <w:szCs w:val="21"/>
              </w:rPr>
            </w:pPr>
            <w:r w:rsidRPr="00406746">
              <w:rPr>
                <w:rFonts w:ascii="Calibri" w:hAnsi="Calibri" w:cs="Calibri"/>
                <w:b/>
                <w:bCs/>
                <w:color w:val="000000"/>
                <w:sz w:val="21"/>
                <w:szCs w:val="21"/>
              </w:rPr>
              <w:t>NT</w:t>
            </w:r>
          </w:p>
        </w:tc>
        <w:tc>
          <w:tcPr>
            <w:tcW w:w="850" w:type="dxa"/>
            <w:tcBorders>
              <w:top w:val="nil"/>
              <w:left w:val="nil"/>
              <w:bottom w:val="nil"/>
              <w:right w:val="single" w:sz="4" w:space="0" w:color="auto"/>
            </w:tcBorders>
            <w:shd w:val="clear" w:color="auto" w:fill="auto"/>
            <w:vAlign w:val="bottom"/>
          </w:tcPr>
          <w:p w:rsidR="00D02375" w:rsidRPr="00406746" w:rsidRDefault="00D02375" w:rsidP="00D26984">
            <w:pPr>
              <w:jc w:val="center"/>
              <w:rPr>
                <w:rFonts w:ascii="Calibri" w:hAnsi="Calibri" w:cs="Calibri"/>
                <w:b/>
                <w:bCs/>
                <w:color w:val="000000"/>
                <w:sz w:val="21"/>
                <w:szCs w:val="21"/>
              </w:rPr>
            </w:pPr>
            <w:r w:rsidRPr="00406746">
              <w:rPr>
                <w:rFonts w:ascii="Calibri" w:hAnsi="Calibri" w:cs="Calibri"/>
                <w:b/>
                <w:bCs/>
                <w:color w:val="000000"/>
                <w:sz w:val="21"/>
                <w:szCs w:val="21"/>
              </w:rPr>
              <w:t>QLD</w:t>
            </w:r>
          </w:p>
        </w:tc>
        <w:tc>
          <w:tcPr>
            <w:tcW w:w="851" w:type="dxa"/>
            <w:tcBorders>
              <w:top w:val="nil"/>
              <w:left w:val="nil"/>
              <w:bottom w:val="nil"/>
              <w:right w:val="single" w:sz="4" w:space="0" w:color="auto"/>
            </w:tcBorders>
            <w:shd w:val="clear" w:color="auto" w:fill="auto"/>
            <w:vAlign w:val="bottom"/>
          </w:tcPr>
          <w:p w:rsidR="00D02375" w:rsidRPr="00406746" w:rsidRDefault="00D02375" w:rsidP="00D26984">
            <w:pPr>
              <w:jc w:val="center"/>
              <w:rPr>
                <w:rFonts w:ascii="Calibri" w:hAnsi="Calibri" w:cs="Calibri"/>
                <w:b/>
                <w:bCs/>
                <w:color w:val="000000"/>
                <w:sz w:val="21"/>
                <w:szCs w:val="21"/>
              </w:rPr>
            </w:pPr>
            <w:r w:rsidRPr="00406746">
              <w:rPr>
                <w:rFonts w:ascii="Calibri" w:hAnsi="Calibri" w:cs="Calibri"/>
                <w:b/>
                <w:bCs/>
                <w:color w:val="000000"/>
                <w:sz w:val="21"/>
                <w:szCs w:val="21"/>
              </w:rPr>
              <w:t>SA</w:t>
            </w:r>
          </w:p>
        </w:tc>
        <w:tc>
          <w:tcPr>
            <w:tcW w:w="992" w:type="dxa"/>
            <w:tcBorders>
              <w:top w:val="nil"/>
              <w:left w:val="nil"/>
              <w:bottom w:val="nil"/>
              <w:right w:val="single" w:sz="4" w:space="0" w:color="auto"/>
            </w:tcBorders>
            <w:shd w:val="clear" w:color="auto" w:fill="auto"/>
            <w:vAlign w:val="bottom"/>
          </w:tcPr>
          <w:p w:rsidR="00D02375" w:rsidRPr="00406746" w:rsidRDefault="00D02375" w:rsidP="00D26984">
            <w:pPr>
              <w:jc w:val="center"/>
              <w:rPr>
                <w:rFonts w:ascii="Calibri" w:hAnsi="Calibri" w:cs="Calibri"/>
                <w:b/>
                <w:bCs/>
                <w:color w:val="000000"/>
                <w:sz w:val="21"/>
                <w:szCs w:val="21"/>
              </w:rPr>
            </w:pPr>
            <w:r w:rsidRPr="00406746">
              <w:rPr>
                <w:rFonts w:ascii="Calibri" w:hAnsi="Calibri" w:cs="Calibri"/>
                <w:b/>
                <w:bCs/>
                <w:color w:val="000000"/>
                <w:sz w:val="21"/>
                <w:szCs w:val="21"/>
              </w:rPr>
              <w:t>TAS</w:t>
            </w:r>
          </w:p>
        </w:tc>
        <w:tc>
          <w:tcPr>
            <w:tcW w:w="850" w:type="dxa"/>
            <w:tcBorders>
              <w:top w:val="nil"/>
              <w:left w:val="nil"/>
              <w:bottom w:val="nil"/>
              <w:right w:val="single" w:sz="4" w:space="0" w:color="auto"/>
            </w:tcBorders>
            <w:shd w:val="clear" w:color="auto" w:fill="auto"/>
            <w:vAlign w:val="bottom"/>
          </w:tcPr>
          <w:p w:rsidR="00D02375" w:rsidRPr="00406746" w:rsidRDefault="00D02375" w:rsidP="00D26984">
            <w:pPr>
              <w:jc w:val="center"/>
              <w:rPr>
                <w:rFonts w:ascii="Calibri" w:hAnsi="Calibri" w:cs="Calibri"/>
                <w:b/>
                <w:bCs/>
                <w:color w:val="000000"/>
                <w:sz w:val="21"/>
                <w:szCs w:val="21"/>
              </w:rPr>
            </w:pPr>
            <w:r w:rsidRPr="00406746">
              <w:rPr>
                <w:rFonts w:ascii="Calibri" w:hAnsi="Calibri" w:cs="Calibri"/>
                <w:b/>
                <w:bCs/>
                <w:color w:val="000000"/>
                <w:sz w:val="21"/>
                <w:szCs w:val="21"/>
              </w:rPr>
              <w:t>VIC</w:t>
            </w:r>
          </w:p>
        </w:tc>
        <w:tc>
          <w:tcPr>
            <w:tcW w:w="846" w:type="dxa"/>
            <w:tcBorders>
              <w:top w:val="nil"/>
              <w:left w:val="nil"/>
              <w:bottom w:val="nil"/>
              <w:right w:val="single" w:sz="4" w:space="0" w:color="auto"/>
            </w:tcBorders>
            <w:shd w:val="clear" w:color="auto" w:fill="auto"/>
            <w:vAlign w:val="bottom"/>
          </w:tcPr>
          <w:p w:rsidR="00D02375" w:rsidRPr="00406746" w:rsidRDefault="00D02375" w:rsidP="00D26984">
            <w:pPr>
              <w:jc w:val="center"/>
              <w:rPr>
                <w:rFonts w:ascii="Calibri" w:hAnsi="Calibri" w:cs="Calibri"/>
                <w:b/>
                <w:bCs/>
                <w:color w:val="000000"/>
                <w:sz w:val="21"/>
                <w:szCs w:val="21"/>
              </w:rPr>
            </w:pPr>
            <w:r w:rsidRPr="00406746">
              <w:rPr>
                <w:rFonts w:ascii="Calibri" w:hAnsi="Calibri" w:cs="Calibri"/>
                <w:b/>
                <w:bCs/>
                <w:color w:val="000000"/>
                <w:sz w:val="21"/>
                <w:szCs w:val="21"/>
              </w:rPr>
              <w:t>WA</w:t>
            </w:r>
          </w:p>
        </w:tc>
      </w:tr>
      <w:tr w:rsidR="00D02375" w:rsidRPr="00406746" w:rsidTr="00D26984">
        <w:trPr>
          <w:trHeight w:val="207"/>
        </w:trPr>
        <w:tc>
          <w:tcPr>
            <w:tcW w:w="1716" w:type="dxa"/>
            <w:tcBorders>
              <w:top w:val="single" w:sz="8" w:space="0" w:color="auto"/>
              <w:left w:val="single" w:sz="4" w:space="0" w:color="auto"/>
              <w:bottom w:val="single" w:sz="4" w:space="0" w:color="auto"/>
              <w:right w:val="single" w:sz="4" w:space="0" w:color="auto"/>
            </w:tcBorders>
            <w:shd w:val="clear" w:color="auto" w:fill="auto"/>
          </w:tcPr>
          <w:p w:rsidR="00D02375" w:rsidRPr="00406746" w:rsidRDefault="00D02375" w:rsidP="00D26984">
            <w:pPr>
              <w:rPr>
                <w:rFonts w:ascii="Calibri" w:hAnsi="Calibri" w:cs="Calibri"/>
                <w:color w:val="000000"/>
                <w:sz w:val="21"/>
                <w:szCs w:val="21"/>
              </w:rPr>
            </w:pPr>
            <w:r w:rsidRPr="00406746">
              <w:rPr>
                <w:rFonts w:ascii="Calibri" w:hAnsi="Calibri" w:cs="Calibri"/>
                <w:color w:val="000000"/>
                <w:sz w:val="21"/>
                <w:szCs w:val="21"/>
              </w:rPr>
              <w:t>Full time (BSE 1)</w:t>
            </w:r>
          </w:p>
        </w:tc>
        <w:tc>
          <w:tcPr>
            <w:tcW w:w="851" w:type="dxa"/>
            <w:tcBorders>
              <w:top w:val="single" w:sz="8"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$21.17</w:t>
            </w:r>
          </w:p>
        </w:tc>
        <w:tc>
          <w:tcPr>
            <w:tcW w:w="850" w:type="dxa"/>
            <w:tcBorders>
              <w:top w:val="single" w:sz="8"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$21.17</w:t>
            </w:r>
          </w:p>
        </w:tc>
        <w:tc>
          <w:tcPr>
            <w:tcW w:w="993" w:type="dxa"/>
            <w:tcBorders>
              <w:top w:val="single" w:sz="8"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$21.17</w:t>
            </w:r>
          </w:p>
        </w:tc>
        <w:tc>
          <w:tcPr>
            <w:tcW w:w="850" w:type="dxa"/>
            <w:tcBorders>
              <w:top w:val="single" w:sz="8"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$21.17</w:t>
            </w:r>
          </w:p>
        </w:tc>
        <w:tc>
          <w:tcPr>
            <w:tcW w:w="851" w:type="dxa"/>
            <w:tcBorders>
              <w:top w:val="single" w:sz="8"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$21.17</w:t>
            </w:r>
          </w:p>
        </w:tc>
        <w:tc>
          <w:tcPr>
            <w:tcW w:w="992" w:type="dxa"/>
            <w:tcBorders>
              <w:top w:val="single" w:sz="8"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$21.17</w:t>
            </w:r>
          </w:p>
        </w:tc>
        <w:tc>
          <w:tcPr>
            <w:tcW w:w="850" w:type="dxa"/>
            <w:tcBorders>
              <w:top w:val="single" w:sz="8"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$21.17</w:t>
            </w:r>
          </w:p>
        </w:tc>
        <w:tc>
          <w:tcPr>
            <w:tcW w:w="846" w:type="dxa"/>
            <w:tcBorders>
              <w:top w:val="single" w:sz="8" w:space="0" w:color="auto"/>
              <w:left w:val="nil"/>
              <w:bottom w:val="single" w:sz="4" w:space="0" w:color="auto"/>
              <w:right w:val="single" w:sz="8"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$21.17</w:t>
            </w:r>
          </w:p>
        </w:tc>
      </w:tr>
      <w:tr w:rsidR="00D02375" w:rsidRPr="00406746" w:rsidTr="00D26984">
        <w:trPr>
          <w:trHeight w:val="70"/>
        </w:trPr>
        <w:tc>
          <w:tcPr>
            <w:tcW w:w="1716" w:type="dxa"/>
            <w:tcBorders>
              <w:top w:val="nil"/>
              <w:left w:val="single" w:sz="4" w:space="0" w:color="auto"/>
              <w:bottom w:val="single" w:sz="4" w:space="0" w:color="auto"/>
              <w:right w:val="single" w:sz="4" w:space="0" w:color="auto"/>
            </w:tcBorders>
            <w:shd w:val="clear" w:color="auto" w:fill="auto"/>
          </w:tcPr>
          <w:p w:rsidR="00D02375" w:rsidRPr="00406746" w:rsidRDefault="00D02375" w:rsidP="00D26984">
            <w:pPr>
              <w:rPr>
                <w:rFonts w:ascii="Calibri" w:hAnsi="Calibri" w:cs="Calibri"/>
                <w:color w:val="000000"/>
                <w:sz w:val="21"/>
                <w:szCs w:val="21"/>
              </w:rPr>
            </w:pPr>
            <w:r w:rsidRPr="00406746">
              <w:rPr>
                <w:rFonts w:ascii="Calibri" w:hAnsi="Calibri" w:cs="Calibri"/>
                <w:color w:val="000000"/>
                <w:sz w:val="21"/>
                <w:szCs w:val="21"/>
              </w:rPr>
              <w:t>Full time (BSE 2)</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$22.32</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$22.32</w:t>
            </w:r>
          </w:p>
        </w:tc>
        <w:tc>
          <w:tcPr>
            <w:tcW w:w="993"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$22.32</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$22.32</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$22.32</w:t>
            </w:r>
          </w:p>
        </w:tc>
        <w:tc>
          <w:tcPr>
            <w:tcW w:w="992"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$22.32</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$22.32</w:t>
            </w:r>
          </w:p>
        </w:tc>
        <w:tc>
          <w:tcPr>
            <w:tcW w:w="846" w:type="dxa"/>
            <w:tcBorders>
              <w:top w:val="nil"/>
              <w:left w:val="nil"/>
              <w:bottom w:val="single" w:sz="4" w:space="0" w:color="auto"/>
              <w:right w:val="single" w:sz="8"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$22.32</w:t>
            </w:r>
          </w:p>
        </w:tc>
      </w:tr>
      <w:tr w:rsidR="00D02375" w:rsidRPr="00406746" w:rsidTr="00D26984">
        <w:trPr>
          <w:trHeight w:val="263"/>
        </w:trPr>
        <w:tc>
          <w:tcPr>
            <w:tcW w:w="1716" w:type="dxa"/>
            <w:tcBorders>
              <w:top w:val="nil"/>
              <w:left w:val="single" w:sz="4" w:space="0" w:color="auto"/>
              <w:bottom w:val="single" w:sz="4" w:space="0" w:color="auto"/>
              <w:right w:val="single" w:sz="4" w:space="0" w:color="auto"/>
            </w:tcBorders>
            <w:shd w:val="clear" w:color="auto" w:fill="auto"/>
          </w:tcPr>
          <w:p w:rsidR="00D02375" w:rsidRPr="00406746" w:rsidRDefault="00D02375" w:rsidP="00D26984">
            <w:pPr>
              <w:rPr>
                <w:rFonts w:ascii="Calibri" w:hAnsi="Calibri" w:cs="Calibri"/>
                <w:color w:val="000000"/>
                <w:sz w:val="21"/>
                <w:szCs w:val="21"/>
              </w:rPr>
            </w:pPr>
            <w:r w:rsidRPr="00406746">
              <w:rPr>
                <w:rFonts w:ascii="Calibri" w:hAnsi="Calibri" w:cs="Calibri"/>
                <w:color w:val="000000"/>
                <w:sz w:val="21"/>
                <w:szCs w:val="21"/>
              </w:rPr>
              <w:t>Full time (BSE 3)</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$24.04</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$24.04</w:t>
            </w:r>
          </w:p>
        </w:tc>
        <w:tc>
          <w:tcPr>
            <w:tcW w:w="993"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$24.04</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$24.04</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$24.04</w:t>
            </w:r>
          </w:p>
        </w:tc>
        <w:tc>
          <w:tcPr>
            <w:tcW w:w="992"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$24.04</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$24.04</w:t>
            </w:r>
          </w:p>
        </w:tc>
        <w:tc>
          <w:tcPr>
            <w:tcW w:w="846" w:type="dxa"/>
            <w:tcBorders>
              <w:top w:val="nil"/>
              <w:left w:val="nil"/>
              <w:bottom w:val="single" w:sz="4" w:space="0" w:color="auto"/>
              <w:right w:val="single" w:sz="8"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$24.04</w:t>
            </w:r>
          </w:p>
        </w:tc>
      </w:tr>
      <w:tr w:rsidR="00D02375" w:rsidRPr="00406746" w:rsidTr="00D26984">
        <w:trPr>
          <w:trHeight w:val="88"/>
        </w:trPr>
        <w:tc>
          <w:tcPr>
            <w:tcW w:w="1716" w:type="dxa"/>
            <w:tcBorders>
              <w:top w:val="nil"/>
              <w:left w:val="single" w:sz="4" w:space="0" w:color="auto"/>
              <w:bottom w:val="single" w:sz="4" w:space="0" w:color="auto"/>
              <w:right w:val="single" w:sz="4" w:space="0" w:color="auto"/>
            </w:tcBorders>
            <w:shd w:val="clear" w:color="auto" w:fill="auto"/>
          </w:tcPr>
          <w:p w:rsidR="00D02375" w:rsidRPr="00406746" w:rsidRDefault="00D02375" w:rsidP="00D26984">
            <w:pPr>
              <w:rPr>
                <w:rFonts w:ascii="Calibri" w:hAnsi="Calibri" w:cs="Calibri"/>
                <w:color w:val="000000"/>
                <w:sz w:val="21"/>
                <w:szCs w:val="21"/>
              </w:rPr>
            </w:pPr>
            <w:r w:rsidRPr="00406746">
              <w:rPr>
                <w:rFonts w:ascii="Calibri" w:hAnsi="Calibri" w:cs="Calibri"/>
                <w:color w:val="000000"/>
                <w:sz w:val="21"/>
                <w:szCs w:val="21"/>
              </w:rPr>
              <w:t>Part time (BSE 1)</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$21.17</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$21.17</w:t>
            </w:r>
          </w:p>
        </w:tc>
        <w:tc>
          <w:tcPr>
            <w:tcW w:w="993"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$21.17</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$21.17</w:t>
            </w:r>
          </w:p>
        </w:tc>
        <w:tc>
          <w:tcPr>
            <w:tcW w:w="851" w:type="dxa"/>
            <w:tcBorders>
              <w:top w:val="nil"/>
              <w:left w:val="nil"/>
              <w:bottom w:val="single" w:sz="4" w:space="0" w:color="auto"/>
              <w:right w:val="single" w:sz="4" w:space="0" w:color="auto"/>
            </w:tcBorders>
            <w:shd w:val="clear" w:color="auto" w:fill="auto"/>
            <w:vAlign w:val="bottom"/>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 </w:t>
            </w:r>
          </w:p>
        </w:tc>
        <w:tc>
          <w:tcPr>
            <w:tcW w:w="992"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$22.50</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$21.17</w:t>
            </w:r>
          </w:p>
        </w:tc>
        <w:tc>
          <w:tcPr>
            <w:tcW w:w="846" w:type="dxa"/>
            <w:tcBorders>
              <w:top w:val="nil"/>
              <w:left w:val="nil"/>
              <w:bottom w:val="single" w:sz="4" w:space="0" w:color="auto"/>
              <w:right w:val="single" w:sz="8" w:space="0" w:color="auto"/>
            </w:tcBorders>
            <w:shd w:val="clear" w:color="auto" w:fill="auto"/>
            <w:vAlign w:val="bottom"/>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 </w:t>
            </w:r>
          </w:p>
        </w:tc>
      </w:tr>
      <w:tr w:rsidR="00D02375" w:rsidRPr="00406746" w:rsidTr="00D26984">
        <w:trPr>
          <w:trHeight w:val="187"/>
        </w:trPr>
        <w:tc>
          <w:tcPr>
            <w:tcW w:w="1716" w:type="dxa"/>
            <w:tcBorders>
              <w:top w:val="single" w:sz="4" w:space="0" w:color="auto"/>
              <w:left w:val="single" w:sz="4" w:space="0" w:color="auto"/>
              <w:bottom w:val="single" w:sz="4" w:space="0" w:color="auto"/>
              <w:right w:val="single" w:sz="4" w:space="0" w:color="auto"/>
            </w:tcBorders>
            <w:shd w:val="clear" w:color="auto" w:fill="auto"/>
          </w:tcPr>
          <w:p w:rsidR="00D02375" w:rsidRPr="00406746" w:rsidRDefault="00D02375" w:rsidP="00D26984">
            <w:pPr>
              <w:rPr>
                <w:rFonts w:ascii="Calibri" w:hAnsi="Calibri" w:cs="Calibri"/>
                <w:color w:val="000000"/>
                <w:sz w:val="21"/>
                <w:szCs w:val="21"/>
              </w:rPr>
            </w:pPr>
            <w:r w:rsidRPr="00406746">
              <w:rPr>
                <w:rFonts w:ascii="Calibri" w:hAnsi="Calibri" w:cs="Calibri"/>
                <w:color w:val="000000"/>
                <w:sz w:val="21"/>
                <w:szCs w:val="21"/>
              </w:rPr>
              <w:t>Part time (BSE 2)</w:t>
            </w:r>
          </w:p>
        </w:tc>
        <w:tc>
          <w:tcPr>
            <w:tcW w:w="851" w:type="dxa"/>
            <w:tcBorders>
              <w:top w:val="single" w:sz="4"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$22.32</w:t>
            </w:r>
          </w:p>
        </w:tc>
        <w:tc>
          <w:tcPr>
            <w:tcW w:w="850" w:type="dxa"/>
            <w:tcBorders>
              <w:top w:val="single" w:sz="4"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$22.32</w:t>
            </w:r>
          </w:p>
        </w:tc>
        <w:tc>
          <w:tcPr>
            <w:tcW w:w="993" w:type="dxa"/>
            <w:tcBorders>
              <w:top w:val="single" w:sz="4"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$22.32</w:t>
            </w:r>
          </w:p>
        </w:tc>
        <w:tc>
          <w:tcPr>
            <w:tcW w:w="850" w:type="dxa"/>
            <w:tcBorders>
              <w:top w:val="single" w:sz="4"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$22.32</w:t>
            </w:r>
          </w:p>
        </w:tc>
        <w:tc>
          <w:tcPr>
            <w:tcW w:w="851" w:type="dxa"/>
            <w:tcBorders>
              <w:top w:val="single" w:sz="4"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p>
        </w:tc>
        <w:tc>
          <w:tcPr>
            <w:tcW w:w="992" w:type="dxa"/>
            <w:tcBorders>
              <w:top w:val="single" w:sz="4"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$23.34</w:t>
            </w:r>
          </w:p>
        </w:tc>
        <w:tc>
          <w:tcPr>
            <w:tcW w:w="850" w:type="dxa"/>
            <w:tcBorders>
              <w:top w:val="single" w:sz="4"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$22.32</w:t>
            </w:r>
          </w:p>
        </w:tc>
        <w:tc>
          <w:tcPr>
            <w:tcW w:w="846" w:type="dxa"/>
            <w:tcBorders>
              <w:top w:val="single" w:sz="4" w:space="0" w:color="auto"/>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p>
        </w:tc>
      </w:tr>
      <w:tr w:rsidR="00D02375" w:rsidRPr="00406746" w:rsidTr="00D26984">
        <w:trPr>
          <w:trHeight w:val="139"/>
        </w:trPr>
        <w:tc>
          <w:tcPr>
            <w:tcW w:w="1716" w:type="dxa"/>
            <w:tcBorders>
              <w:top w:val="nil"/>
              <w:left w:val="single" w:sz="4" w:space="0" w:color="auto"/>
              <w:bottom w:val="single" w:sz="4" w:space="0" w:color="auto"/>
              <w:right w:val="single" w:sz="4" w:space="0" w:color="auto"/>
            </w:tcBorders>
            <w:shd w:val="clear" w:color="auto" w:fill="auto"/>
          </w:tcPr>
          <w:p w:rsidR="00D02375" w:rsidRPr="00406746" w:rsidRDefault="00D02375" w:rsidP="00D26984">
            <w:pPr>
              <w:rPr>
                <w:rFonts w:ascii="Calibri" w:hAnsi="Calibri" w:cs="Calibri"/>
                <w:color w:val="000000"/>
                <w:sz w:val="21"/>
                <w:szCs w:val="21"/>
              </w:rPr>
            </w:pPr>
            <w:r w:rsidRPr="00406746">
              <w:rPr>
                <w:rFonts w:ascii="Calibri" w:hAnsi="Calibri" w:cs="Calibri"/>
                <w:color w:val="000000"/>
                <w:sz w:val="21"/>
                <w:szCs w:val="21"/>
              </w:rPr>
              <w:t>Part time (BSE 3)</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$24.04</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$24.04</w:t>
            </w:r>
          </w:p>
        </w:tc>
        <w:tc>
          <w:tcPr>
            <w:tcW w:w="993"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$24.04</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$24.04</w:t>
            </w:r>
          </w:p>
        </w:tc>
        <w:tc>
          <w:tcPr>
            <w:tcW w:w="851" w:type="dxa"/>
            <w:tcBorders>
              <w:top w:val="nil"/>
              <w:left w:val="nil"/>
              <w:bottom w:val="single" w:sz="4" w:space="0" w:color="auto"/>
              <w:right w:val="single" w:sz="4" w:space="0" w:color="auto"/>
            </w:tcBorders>
            <w:shd w:val="clear" w:color="auto" w:fill="auto"/>
            <w:vAlign w:val="bottom"/>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 </w:t>
            </w:r>
          </w:p>
        </w:tc>
        <w:tc>
          <w:tcPr>
            <w:tcW w:w="992"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$24.62</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$24.04</w:t>
            </w:r>
          </w:p>
        </w:tc>
        <w:tc>
          <w:tcPr>
            <w:tcW w:w="846" w:type="dxa"/>
            <w:tcBorders>
              <w:top w:val="nil"/>
              <w:left w:val="nil"/>
              <w:bottom w:val="single" w:sz="4" w:space="0" w:color="auto"/>
              <w:right w:val="single" w:sz="8" w:space="0" w:color="auto"/>
            </w:tcBorders>
            <w:shd w:val="clear" w:color="auto" w:fill="auto"/>
            <w:vAlign w:val="bottom"/>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 </w:t>
            </w:r>
          </w:p>
        </w:tc>
      </w:tr>
      <w:tr w:rsidR="00D02375" w:rsidRPr="00406746" w:rsidTr="00D26984">
        <w:trPr>
          <w:trHeight w:val="233"/>
        </w:trPr>
        <w:tc>
          <w:tcPr>
            <w:tcW w:w="1716" w:type="dxa"/>
            <w:tcBorders>
              <w:top w:val="nil"/>
              <w:left w:val="single" w:sz="4" w:space="0" w:color="auto"/>
              <w:bottom w:val="single" w:sz="4" w:space="0" w:color="auto"/>
              <w:right w:val="single" w:sz="4" w:space="0" w:color="auto"/>
            </w:tcBorders>
            <w:shd w:val="clear" w:color="auto" w:fill="auto"/>
          </w:tcPr>
          <w:p w:rsidR="00D02375" w:rsidRPr="00406746" w:rsidRDefault="00D02375" w:rsidP="00D26984">
            <w:pPr>
              <w:rPr>
                <w:rFonts w:ascii="Calibri" w:hAnsi="Calibri" w:cs="Calibri"/>
                <w:color w:val="000000"/>
                <w:sz w:val="21"/>
                <w:szCs w:val="21"/>
              </w:rPr>
            </w:pPr>
            <w:r w:rsidRPr="00406746">
              <w:rPr>
                <w:rFonts w:ascii="Calibri" w:hAnsi="Calibri" w:cs="Calibri"/>
                <w:color w:val="000000"/>
                <w:sz w:val="21"/>
                <w:szCs w:val="21"/>
              </w:rPr>
              <w:t xml:space="preserve">Part time shift </w:t>
            </w:r>
            <w:r w:rsidRPr="00406746">
              <w:rPr>
                <w:rFonts w:ascii="Calibri" w:hAnsi="Calibri" w:cs="Calibri"/>
                <w:color w:val="000000"/>
                <w:sz w:val="21"/>
                <w:szCs w:val="21"/>
              </w:rPr>
              <w:br/>
              <w:t>(BSE 1)</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$24.35</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rPr>
                <w:rFonts w:ascii="Calibri" w:hAnsi="Calibri" w:cs="Calibri"/>
                <w:color w:val="000000"/>
                <w:sz w:val="21"/>
                <w:szCs w:val="21"/>
              </w:rPr>
            </w:pPr>
            <w:r w:rsidRPr="00406746">
              <w:rPr>
                <w:rFonts w:ascii="Calibri" w:hAnsi="Calibri" w:cs="Calibri"/>
                <w:color w:val="000000"/>
                <w:sz w:val="21"/>
                <w:szCs w:val="21"/>
              </w:rPr>
              <w:t>$24.35</w:t>
            </w:r>
          </w:p>
        </w:tc>
        <w:tc>
          <w:tcPr>
            <w:tcW w:w="993"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$24.35</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$24.35</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$24.35</w:t>
            </w:r>
          </w:p>
        </w:tc>
        <w:tc>
          <w:tcPr>
            <w:tcW w:w="992"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$24.35</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$24.35</w:t>
            </w:r>
          </w:p>
        </w:tc>
        <w:tc>
          <w:tcPr>
            <w:tcW w:w="846" w:type="dxa"/>
            <w:tcBorders>
              <w:top w:val="nil"/>
              <w:left w:val="nil"/>
              <w:bottom w:val="single" w:sz="4" w:space="0" w:color="auto"/>
              <w:right w:val="single" w:sz="8"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$24.35</w:t>
            </w:r>
          </w:p>
        </w:tc>
      </w:tr>
      <w:tr w:rsidR="00D02375" w:rsidRPr="00406746" w:rsidTr="00D26984">
        <w:trPr>
          <w:trHeight w:val="444"/>
        </w:trPr>
        <w:tc>
          <w:tcPr>
            <w:tcW w:w="1716" w:type="dxa"/>
            <w:tcBorders>
              <w:top w:val="nil"/>
              <w:left w:val="single" w:sz="4" w:space="0" w:color="auto"/>
              <w:bottom w:val="single" w:sz="4" w:space="0" w:color="auto"/>
              <w:right w:val="single" w:sz="4" w:space="0" w:color="auto"/>
            </w:tcBorders>
            <w:shd w:val="clear" w:color="auto" w:fill="auto"/>
          </w:tcPr>
          <w:p w:rsidR="00D02375" w:rsidRPr="00406746" w:rsidRDefault="00D02375" w:rsidP="00D26984">
            <w:pPr>
              <w:rPr>
                <w:rFonts w:ascii="Calibri" w:hAnsi="Calibri" w:cs="Calibri"/>
                <w:color w:val="000000"/>
                <w:sz w:val="21"/>
                <w:szCs w:val="21"/>
              </w:rPr>
            </w:pPr>
            <w:r w:rsidRPr="00406746">
              <w:rPr>
                <w:rFonts w:ascii="Calibri" w:hAnsi="Calibri" w:cs="Calibri"/>
                <w:color w:val="000000"/>
                <w:sz w:val="21"/>
                <w:szCs w:val="21"/>
              </w:rPr>
              <w:t>Part time shift</w:t>
            </w:r>
            <w:r w:rsidRPr="00406746">
              <w:rPr>
                <w:rFonts w:ascii="Calibri" w:hAnsi="Calibri" w:cs="Calibri"/>
                <w:color w:val="000000"/>
                <w:sz w:val="21"/>
                <w:szCs w:val="21"/>
              </w:rPr>
              <w:br/>
              <w:t>(BSE 2)</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$25.67</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$25.67</w:t>
            </w:r>
          </w:p>
        </w:tc>
        <w:tc>
          <w:tcPr>
            <w:tcW w:w="993"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$25.67</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$25.67</w:t>
            </w:r>
          </w:p>
        </w:tc>
        <w:tc>
          <w:tcPr>
            <w:tcW w:w="851"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$25.67</w:t>
            </w:r>
          </w:p>
        </w:tc>
        <w:tc>
          <w:tcPr>
            <w:tcW w:w="992"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$25.67</w:t>
            </w:r>
          </w:p>
        </w:tc>
        <w:tc>
          <w:tcPr>
            <w:tcW w:w="850" w:type="dxa"/>
            <w:tcBorders>
              <w:top w:val="nil"/>
              <w:left w:val="nil"/>
              <w:bottom w:val="single" w:sz="4"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$25.67</w:t>
            </w:r>
          </w:p>
        </w:tc>
        <w:tc>
          <w:tcPr>
            <w:tcW w:w="846" w:type="dxa"/>
            <w:tcBorders>
              <w:top w:val="nil"/>
              <w:left w:val="nil"/>
              <w:bottom w:val="single" w:sz="4" w:space="0" w:color="auto"/>
              <w:right w:val="single" w:sz="8"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$25.67</w:t>
            </w:r>
          </w:p>
        </w:tc>
      </w:tr>
      <w:tr w:rsidR="00D02375" w:rsidRPr="00406746" w:rsidTr="00D26984">
        <w:trPr>
          <w:trHeight w:val="245"/>
        </w:trPr>
        <w:tc>
          <w:tcPr>
            <w:tcW w:w="1716" w:type="dxa"/>
            <w:tcBorders>
              <w:top w:val="nil"/>
              <w:left w:val="single" w:sz="4" w:space="0" w:color="auto"/>
              <w:bottom w:val="single" w:sz="8" w:space="0" w:color="auto"/>
              <w:right w:val="single" w:sz="4" w:space="0" w:color="auto"/>
            </w:tcBorders>
            <w:shd w:val="clear" w:color="auto" w:fill="auto"/>
          </w:tcPr>
          <w:p w:rsidR="00D02375" w:rsidRPr="00406746" w:rsidRDefault="00D02375" w:rsidP="00D26984">
            <w:pPr>
              <w:rPr>
                <w:rFonts w:ascii="Calibri" w:hAnsi="Calibri" w:cs="Calibri"/>
                <w:color w:val="000000"/>
                <w:sz w:val="21"/>
                <w:szCs w:val="21"/>
              </w:rPr>
            </w:pPr>
            <w:r w:rsidRPr="00406746">
              <w:rPr>
                <w:rFonts w:ascii="Calibri" w:hAnsi="Calibri" w:cs="Calibri"/>
                <w:color w:val="000000"/>
                <w:sz w:val="21"/>
                <w:szCs w:val="21"/>
              </w:rPr>
              <w:t xml:space="preserve">Part time shift </w:t>
            </w:r>
            <w:r w:rsidRPr="00406746">
              <w:rPr>
                <w:rFonts w:ascii="Calibri" w:hAnsi="Calibri" w:cs="Calibri"/>
                <w:color w:val="000000"/>
                <w:sz w:val="21"/>
                <w:szCs w:val="21"/>
              </w:rPr>
              <w:br/>
              <w:t>(BSE 3)</w:t>
            </w:r>
          </w:p>
        </w:tc>
        <w:tc>
          <w:tcPr>
            <w:tcW w:w="851" w:type="dxa"/>
            <w:tcBorders>
              <w:top w:val="nil"/>
              <w:left w:val="nil"/>
              <w:bottom w:val="single" w:sz="8"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$27.65</w:t>
            </w:r>
          </w:p>
        </w:tc>
        <w:tc>
          <w:tcPr>
            <w:tcW w:w="850" w:type="dxa"/>
            <w:tcBorders>
              <w:top w:val="nil"/>
              <w:left w:val="nil"/>
              <w:bottom w:val="single" w:sz="8"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$27.65</w:t>
            </w:r>
          </w:p>
        </w:tc>
        <w:tc>
          <w:tcPr>
            <w:tcW w:w="993" w:type="dxa"/>
            <w:tcBorders>
              <w:top w:val="nil"/>
              <w:left w:val="nil"/>
              <w:bottom w:val="single" w:sz="8"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$27.65</w:t>
            </w:r>
          </w:p>
        </w:tc>
        <w:tc>
          <w:tcPr>
            <w:tcW w:w="850" w:type="dxa"/>
            <w:tcBorders>
              <w:top w:val="nil"/>
              <w:left w:val="nil"/>
              <w:bottom w:val="single" w:sz="8"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$27.65</w:t>
            </w:r>
          </w:p>
        </w:tc>
        <w:tc>
          <w:tcPr>
            <w:tcW w:w="851" w:type="dxa"/>
            <w:tcBorders>
              <w:top w:val="nil"/>
              <w:left w:val="nil"/>
              <w:bottom w:val="single" w:sz="8"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$27.65</w:t>
            </w:r>
          </w:p>
        </w:tc>
        <w:tc>
          <w:tcPr>
            <w:tcW w:w="992" w:type="dxa"/>
            <w:tcBorders>
              <w:top w:val="nil"/>
              <w:left w:val="nil"/>
              <w:bottom w:val="single" w:sz="8"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$27.65</w:t>
            </w:r>
          </w:p>
        </w:tc>
        <w:tc>
          <w:tcPr>
            <w:tcW w:w="850" w:type="dxa"/>
            <w:tcBorders>
              <w:top w:val="nil"/>
              <w:left w:val="nil"/>
              <w:bottom w:val="single" w:sz="8" w:space="0" w:color="auto"/>
              <w:right w:val="single" w:sz="4"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$27.65</w:t>
            </w:r>
          </w:p>
        </w:tc>
        <w:tc>
          <w:tcPr>
            <w:tcW w:w="846" w:type="dxa"/>
            <w:tcBorders>
              <w:top w:val="nil"/>
              <w:left w:val="nil"/>
              <w:bottom w:val="single" w:sz="8" w:space="0" w:color="auto"/>
              <w:right w:val="single" w:sz="8" w:space="0" w:color="auto"/>
            </w:tcBorders>
            <w:shd w:val="clear" w:color="auto" w:fill="auto"/>
          </w:tcPr>
          <w:p w:rsidR="00D02375" w:rsidRPr="00406746" w:rsidRDefault="00D02375" w:rsidP="00D26984">
            <w:pPr>
              <w:jc w:val="center"/>
              <w:rPr>
                <w:rFonts w:ascii="Calibri" w:hAnsi="Calibri" w:cs="Calibri"/>
                <w:color w:val="000000"/>
                <w:sz w:val="21"/>
                <w:szCs w:val="21"/>
              </w:rPr>
            </w:pPr>
            <w:r w:rsidRPr="00406746">
              <w:rPr>
                <w:rFonts w:ascii="Calibri" w:hAnsi="Calibri" w:cs="Calibri"/>
                <w:color w:val="000000"/>
                <w:sz w:val="21"/>
                <w:szCs w:val="21"/>
              </w:rPr>
              <w:t>$27.65</w:t>
            </w:r>
          </w:p>
        </w:tc>
      </w:tr>
    </w:tbl>
    <w:p w:rsidR="00D02375" w:rsidRPr="00406746" w:rsidRDefault="00D02375" w:rsidP="00D02375">
      <w:pPr>
        <w:spacing w:before="120" w:after="120"/>
        <w:rPr>
          <w:rFonts w:ascii="Calibri" w:hAnsi="Calibri" w:cs="Calibri"/>
          <w:b/>
          <w:color w:val="000000"/>
          <w:sz w:val="21"/>
          <w:szCs w:val="21"/>
        </w:rPr>
      </w:pPr>
    </w:p>
    <w:p w:rsidR="00D02375" w:rsidRDefault="00D02375">
      <w:pPr>
        <w:spacing w:after="200" w:line="276" w:lineRule="auto"/>
      </w:pPr>
      <w:r>
        <w:br w:type="page"/>
      </w:r>
    </w:p>
    <w:p w:rsidR="00D02375" w:rsidRDefault="00D02375" w:rsidP="00D02375">
      <w:pPr>
        <w:pStyle w:val="Heading1"/>
        <w:rPr>
          <w:rFonts w:ascii="Calibri" w:hAnsi="Calibri" w:cs="Calibri"/>
          <w:color w:val="000000"/>
          <w:sz w:val="24"/>
          <w:szCs w:val="24"/>
        </w:rPr>
      </w:pPr>
      <w:bookmarkStart w:id="15" w:name="_Toc307819290"/>
      <w:r>
        <w:rPr>
          <w:rFonts w:ascii="Calibri" w:hAnsi="Calibri" w:cs="Calibri"/>
          <w:color w:val="000000"/>
          <w:sz w:val="24"/>
          <w:szCs w:val="24"/>
        </w:rPr>
        <w:lastRenderedPageBreak/>
        <w:t>Schedule C</w:t>
      </w:r>
      <w:bookmarkEnd w:id="15"/>
    </w:p>
    <w:p w:rsidR="001B0F0D" w:rsidRDefault="001B0F0D" w:rsidP="001B0F0D">
      <w:pPr>
        <w:rPr>
          <w:rFonts w:ascii="Calibri" w:hAnsi="Calibri" w:cs="Calibri"/>
          <w:color w:val="000000"/>
        </w:rPr>
      </w:pPr>
    </w:p>
    <w:p w:rsidR="001B0F0D" w:rsidRPr="00D26984" w:rsidRDefault="001B0F0D" w:rsidP="00A44323">
      <w:pPr>
        <w:rPr>
          <w:rFonts w:ascii="Calibri" w:hAnsi="Calibri" w:cs="Calibri"/>
          <w:b/>
          <w:color w:val="000000"/>
          <w:sz w:val="22"/>
          <w:szCs w:val="22"/>
        </w:rPr>
      </w:pPr>
      <w:r w:rsidRPr="00D26984">
        <w:rPr>
          <w:rFonts w:ascii="Calibri" w:hAnsi="Calibri" w:cs="Calibri"/>
          <w:b/>
          <w:color w:val="000000"/>
          <w:sz w:val="22"/>
          <w:szCs w:val="22"/>
        </w:rPr>
        <w:t xml:space="preserve">Mandatory practices for </w:t>
      </w:r>
      <w:r w:rsidR="009F3759">
        <w:rPr>
          <w:rFonts w:ascii="Calibri" w:hAnsi="Calibri" w:cs="Calibri"/>
          <w:b/>
          <w:color w:val="000000"/>
          <w:sz w:val="22"/>
          <w:szCs w:val="22"/>
        </w:rPr>
        <w:t>AGCSC</w:t>
      </w:r>
    </w:p>
    <w:p w:rsidR="001B0F0D" w:rsidRDefault="001B0F0D" w:rsidP="001B0F0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7"/>
        <w:gridCol w:w="6747"/>
      </w:tblGrid>
      <w:tr w:rsidR="001B0F0D" w:rsidRPr="00051A2B" w:rsidTr="00051A2B">
        <w:trPr>
          <w:cantSplit/>
          <w:tblHeader/>
        </w:trPr>
        <w:tc>
          <w:tcPr>
            <w:tcW w:w="9134" w:type="dxa"/>
            <w:gridSpan w:val="2"/>
            <w:tcBorders>
              <w:bottom w:val="single" w:sz="4" w:space="0" w:color="auto"/>
            </w:tcBorders>
            <w:shd w:val="pct10" w:color="auto" w:fill="auto"/>
          </w:tcPr>
          <w:p w:rsidR="001B0F0D" w:rsidRPr="00051A2B" w:rsidRDefault="00D26984" w:rsidP="00051A2B">
            <w:pPr>
              <w:spacing w:after="60"/>
              <w:jc w:val="center"/>
              <w:rPr>
                <w:rFonts w:asciiTheme="minorHAnsi" w:hAnsiTheme="minorHAnsi" w:cstheme="minorHAnsi"/>
                <w:b/>
                <w:sz w:val="21"/>
                <w:szCs w:val="21"/>
              </w:rPr>
            </w:pPr>
            <w:bookmarkStart w:id="16" w:name="_Toc306627535"/>
            <w:bookmarkStart w:id="17" w:name="_Toc306628082"/>
            <w:bookmarkStart w:id="18" w:name="_Toc306628176"/>
            <w:bookmarkStart w:id="19" w:name="_Toc306628205"/>
            <w:bookmarkStart w:id="20" w:name="_Toc306631931"/>
            <w:bookmarkStart w:id="21" w:name="_Toc306691031"/>
            <w:r w:rsidRPr="00051A2B">
              <w:rPr>
                <w:rFonts w:asciiTheme="minorHAnsi" w:hAnsiTheme="minorHAnsi" w:cstheme="minorHAnsi"/>
                <w:b/>
                <w:sz w:val="21"/>
                <w:szCs w:val="21"/>
              </w:rPr>
              <w:t>TRAINING, SUPERVISION, EQUIPMENT</w:t>
            </w:r>
            <w:bookmarkEnd w:id="16"/>
            <w:bookmarkEnd w:id="17"/>
            <w:bookmarkEnd w:id="18"/>
            <w:bookmarkEnd w:id="19"/>
            <w:bookmarkEnd w:id="20"/>
            <w:bookmarkEnd w:id="21"/>
          </w:p>
        </w:tc>
      </w:tr>
      <w:tr w:rsidR="00051A2B" w:rsidRPr="00051A2B" w:rsidTr="00051A2B">
        <w:trPr>
          <w:cantSplit/>
        </w:trPr>
        <w:tc>
          <w:tcPr>
            <w:tcW w:w="2387" w:type="dxa"/>
            <w:shd w:val="pct10" w:color="auto" w:fill="auto"/>
          </w:tcPr>
          <w:p w:rsidR="00051A2B" w:rsidRPr="00051A2B" w:rsidRDefault="00051A2B" w:rsidP="00051A2B">
            <w:pPr>
              <w:spacing w:after="60"/>
              <w:rPr>
                <w:rFonts w:asciiTheme="minorHAnsi" w:hAnsiTheme="minorHAnsi" w:cstheme="minorHAnsi"/>
                <w:b/>
                <w:sz w:val="21"/>
                <w:szCs w:val="21"/>
              </w:rPr>
            </w:pPr>
            <w:bookmarkStart w:id="22" w:name="_Toc303777660"/>
            <w:r w:rsidRPr="00051A2B">
              <w:rPr>
                <w:rFonts w:asciiTheme="minorHAnsi" w:hAnsiTheme="minorHAnsi" w:cstheme="minorHAnsi"/>
                <w:b/>
                <w:sz w:val="21"/>
                <w:szCs w:val="21"/>
              </w:rPr>
              <w:t>Induction training</w:t>
            </w:r>
            <w:bookmarkEnd w:id="22"/>
            <w:r w:rsidRPr="00051A2B">
              <w:rPr>
                <w:rFonts w:asciiTheme="minorHAnsi" w:hAnsiTheme="minorHAnsi" w:cstheme="minorHAnsi"/>
                <w:b/>
                <w:sz w:val="21"/>
                <w:szCs w:val="21"/>
              </w:rPr>
              <w:t xml:space="preserve"> </w:t>
            </w:r>
          </w:p>
        </w:tc>
        <w:tc>
          <w:tcPr>
            <w:tcW w:w="6747" w:type="dxa"/>
            <w:shd w:val="pct10" w:color="auto" w:fill="auto"/>
          </w:tcPr>
          <w:p w:rsidR="00051A2B" w:rsidRPr="00051A2B" w:rsidRDefault="00051A2B" w:rsidP="00051A2B">
            <w:pPr>
              <w:spacing w:after="60"/>
              <w:rPr>
                <w:rFonts w:asciiTheme="minorHAnsi" w:hAnsiTheme="minorHAnsi" w:cstheme="minorHAnsi"/>
                <w:b/>
                <w:sz w:val="21"/>
                <w:szCs w:val="21"/>
              </w:rPr>
            </w:pPr>
            <w:r w:rsidRPr="00051A2B">
              <w:rPr>
                <w:rFonts w:asciiTheme="minorHAnsi" w:hAnsiTheme="minorHAnsi" w:cstheme="minorHAnsi"/>
                <w:b/>
                <w:sz w:val="21"/>
                <w:szCs w:val="21"/>
              </w:rPr>
              <w:t>Mandatory Practices for induction training</w:t>
            </w:r>
          </w:p>
        </w:tc>
      </w:tr>
      <w:tr w:rsidR="001B0F0D" w:rsidRPr="00051A2B" w:rsidTr="00051A2B">
        <w:trPr>
          <w:cantSplit/>
        </w:trPr>
        <w:tc>
          <w:tcPr>
            <w:tcW w:w="2387" w:type="dxa"/>
          </w:tcPr>
          <w:p w:rsidR="001B0F0D" w:rsidRPr="00051A2B" w:rsidRDefault="001B0F0D" w:rsidP="00051A2B">
            <w:pPr>
              <w:spacing w:after="60"/>
              <w:rPr>
                <w:rFonts w:asciiTheme="minorHAnsi" w:hAnsiTheme="minorHAnsi" w:cstheme="minorHAnsi"/>
                <w:sz w:val="21"/>
                <w:szCs w:val="21"/>
              </w:rPr>
            </w:pPr>
            <w:bookmarkStart w:id="23" w:name="_Toc303777661"/>
            <w:r w:rsidRPr="00051A2B">
              <w:rPr>
                <w:rFonts w:asciiTheme="minorHAnsi" w:hAnsiTheme="minorHAnsi" w:cstheme="minorHAnsi"/>
                <w:sz w:val="21"/>
                <w:szCs w:val="21"/>
              </w:rPr>
              <w:t>Purpose: To provide employees with an understanding of their work environment and the expectations and policies of the business.</w:t>
            </w:r>
            <w:bookmarkEnd w:id="23"/>
            <w:r w:rsidRPr="00051A2B">
              <w:rPr>
                <w:rFonts w:asciiTheme="minorHAnsi" w:hAnsiTheme="minorHAnsi" w:cstheme="minorHAnsi"/>
                <w:sz w:val="21"/>
                <w:szCs w:val="21"/>
              </w:rPr>
              <w:t xml:space="preserve"> </w:t>
            </w:r>
          </w:p>
          <w:p w:rsidR="001B0F0D" w:rsidRPr="00051A2B" w:rsidRDefault="001B0F0D" w:rsidP="00051A2B">
            <w:pPr>
              <w:pStyle w:val="Heading3"/>
              <w:spacing w:before="0" w:after="60"/>
              <w:rPr>
                <w:rFonts w:asciiTheme="minorHAnsi" w:hAnsiTheme="minorHAnsi" w:cstheme="minorHAnsi"/>
                <w:sz w:val="21"/>
                <w:szCs w:val="21"/>
              </w:rPr>
            </w:pPr>
          </w:p>
        </w:tc>
        <w:tc>
          <w:tcPr>
            <w:tcW w:w="6747" w:type="dxa"/>
          </w:tcPr>
          <w:p w:rsidR="001B0F0D" w:rsidRPr="00051A2B" w:rsidRDefault="001B0F0D" w:rsidP="00051A2B">
            <w:pPr>
              <w:numPr>
                <w:ilvl w:val="0"/>
                <w:numId w:val="17"/>
              </w:numPr>
              <w:spacing w:after="60"/>
              <w:rPr>
                <w:rFonts w:asciiTheme="minorHAnsi" w:hAnsiTheme="minorHAnsi" w:cstheme="minorHAnsi"/>
                <w:color w:val="0D0D0D"/>
                <w:sz w:val="21"/>
                <w:szCs w:val="21"/>
              </w:rPr>
            </w:pPr>
            <w:r w:rsidRPr="00051A2B">
              <w:rPr>
                <w:rFonts w:asciiTheme="minorHAnsi" w:hAnsiTheme="minorHAnsi" w:cstheme="minorHAnsi"/>
                <w:sz w:val="21"/>
                <w:szCs w:val="21"/>
              </w:rPr>
              <w:t xml:space="preserve">Cleaning services </w:t>
            </w:r>
            <w:r w:rsidR="00BA3DE4">
              <w:rPr>
                <w:rFonts w:asciiTheme="minorHAnsi" w:hAnsiTheme="minorHAnsi" w:cstheme="minorHAnsi"/>
                <w:sz w:val="21"/>
                <w:szCs w:val="21"/>
              </w:rPr>
              <w:t>contractors</w:t>
            </w:r>
            <w:r w:rsidRPr="00051A2B">
              <w:rPr>
                <w:rFonts w:asciiTheme="minorHAnsi" w:hAnsiTheme="minorHAnsi" w:cstheme="minorHAnsi"/>
                <w:sz w:val="21"/>
                <w:szCs w:val="21"/>
              </w:rPr>
              <w:t xml:space="preserve"> must provide off site and on site induction training for </w:t>
            </w:r>
            <w:r w:rsidRPr="00051A2B">
              <w:rPr>
                <w:rFonts w:asciiTheme="minorHAnsi" w:hAnsiTheme="minorHAnsi" w:cstheme="minorHAnsi"/>
                <w:color w:val="0D0D0D"/>
                <w:sz w:val="21"/>
                <w:szCs w:val="21"/>
              </w:rPr>
              <w:t>new employees, that:</w:t>
            </w:r>
          </w:p>
          <w:p w:rsidR="001B0F0D" w:rsidRPr="00051A2B" w:rsidRDefault="00141211" w:rsidP="00051A2B">
            <w:pPr>
              <w:numPr>
                <w:ilvl w:val="1"/>
                <w:numId w:val="17"/>
              </w:numPr>
              <w:tabs>
                <w:tab w:val="left" w:pos="440"/>
                <w:tab w:val="right" w:leader="dot" w:pos="9016"/>
              </w:tabs>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are specific t</w:t>
            </w:r>
            <w:r w:rsidR="00500270">
              <w:rPr>
                <w:rFonts w:asciiTheme="minorHAnsi" w:hAnsiTheme="minorHAnsi" w:cstheme="minorHAnsi"/>
                <w:color w:val="0D0D0D"/>
                <w:sz w:val="21"/>
                <w:szCs w:val="21"/>
              </w:rPr>
              <w:t>o the operations of the company;</w:t>
            </w:r>
            <w:r>
              <w:rPr>
                <w:rFonts w:asciiTheme="minorHAnsi" w:hAnsiTheme="minorHAnsi" w:cstheme="minorHAnsi"/>
                <w:color w:val="0D0D0D"/>
                <w:sz w:val="21"/>
                <w:szCs w:val="21"/>
              </w:rPr>
              <w:t xml:space="preserve"> </w:t>
            </w:r>
          </w:p>
          <w:p w:rsidR="001B0F0D" w:rsidRPr="00051A2B" w:rsidRDefault="00141211" w:rsidP="00051A2B">
            <w:pPr>
              <w:numPr>
                <w:ilvl w:val="1"/>
                <w:numId w:val="17"/>
              </w:numPr>
              <w:tabs>
                <w:tab w:val="left" w:pos="440"/>
                <w:tab w:val="right" w:leader="dot" w:pos="9016"/>
              </w:tabs>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 xml:space="preserve">are specific to individual job sites; and </w:t>
            </w:r>
          </w:p>
          <w:p w:rsidR="001B0F0D" w:rsidRPr="00051A2B" w:rsidRDefault="00141211" w:rsidP="00051A2B">
            <w:pPr>
              <w:numPr>
                <w:ilvl w:val="1"/>
                <w:numId w:val="17"/>
              </w:numPr>
              <w:tabs>
                <w:tab w:val="left" w:pos="440"/>
                <w:tab w:val="right" w:leader="dot" w:pos="9016"/>
              </w:tabs>
              <w:spacing w:after="60"/>
              <w:ind w:left="709" w:hanging="283"/>
              <w:rPr>
                <w:rFonts w:asciiTheme="minorHAnsi" w:hAnsiTheme="minorHAnsi" w:cstheme="minorHAnsi"/>
                <w:color w:val="0D0D0D"/>
                <w:sz w:val="21"/>
                <w:szCs w:val="21"/>
              </w:rPr>
            </w:pPr>
            <w:proofErr w:type="gramStart"/>
            <w:r>
              <w:rPr>
                <w:rFonts w:asciiTheme="minorHAnsi" w:hAnsiTheme="minorHAnsi" w:cstheme="minorHAnsi"/>
                <w:color w:val="0D0D0D"/>
                <w:sz w:val="21"/>
                <w:szCs w:val="21"/>
              </w:rPr>
              <w:t>include</w:t>
            </w:r>
            <w:proofErr w:type="gramEnd"/>
            <w:r>
              <w:rPr>
                <w:rFonts w:asciiTheme="minorHAnsi" w:hAnsiTheme="minorHAnsi" w:cstheme="minorHAnsi"/>
                <w:color w:val="0D0D0D"/>
                <w:sz w:val="21"/>
                <w:szCs w:val="21"/>
              </w:rPr>
              <w:t xml:space="preserve"> all employees who are to commence duties at the various sites where the cleaning </w:t>
            </w:r>
            <w:r w:rsidR="00BA3DE4">
              <w:rPr>
                <w:rFonts w:asciiTheme="minorHAnsi" w:hAnsiTheme="minorHAnsi" w:cstheme="minorHAnsi"/>
                <w:color w:val="0D0D0D"/>
                <w:sz w:val="21"/>
                <w:szCs w:val="21"/>
              </w:rPr>
              <w:t>services contractor</w:t>
            </w:r>
            <w:r>
              <w:rPr>
                <w:rFonts w:asciiTheme="minorHAnsi" w:hAnsiTheme="minorHAnsi" w:cstheme="minorHAnsi"/>
                <w:color w:val="0D0D0D"/>
                <w:sz w:val="21"/>
                <w:szCs w:val="21"/>
              </w:rPr>
              <w:t xml:space="preserve"> operates.</w:t>
            </w:r>
          </w:p>
          <w:p w:rsidR="001B0F0D" w:rsidRPr="00051A2B" w:rsidRDefault="00141211" w:rsidP="00051A2B">
            <w:pPr>
              <w:numPr>
                <w:ilvl w:val="0"/>
                <w:numId w:val="17"/>
              </w:numPr>
              <w:tabs>
                <w:tab w:val="left" w:pos="440"/>
                <w:tab w:val="right" w:leader="dot" w:pos="9016"/>
              </w:tabs>
              <w:spacing w:after="60"/>
              <w:rPr>
                <w:rFonts w:asciiTheme="minorHAnsi" w:hAnsiTheme="minorHAnsi" w:cstheme="minorHAnsi"/>
                <w:sz w:val="21"/>
                <w:szCs w:val="21"/>
              </w:rPr>
            </w:pPr>
            <w:r>
              <w:rPr>
                <w:rFonts w:asciiTheme="minorHAnsi" w:hAnsiTheme="minorHAnsi" w:cstheme="minorHAnsi"/>
                <w:sz w:val="21"/>
                <w:szCs w:val="21"/>
              </w:rPr>
              <w:t>Inductions must:</w:t>
            </w:r>
          </w:p>
          <w:p w:rsidR="001B0F0D" w:rsidRPr="00051A2B" w:rsidRDefault="00141211" w:rsidP="00051A2B">
            <w:pPr>
              <w:numPr>
                <w:ilvl w:val="1"/>
                <w:numId w:val="17"/>
              </w:numPr>
              <w:tabs>
                <w:tab w:val="left" w:pos="440"/>
                <w:tab w:val="right" w:leader="dot" w:pos="9016"/>
              </w:tabs>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 xml:space="preserve">occur before an employee takes up their duties at a site; </w:t>
            </w:r>
          </w:p>
          <w:p w:rsidR="001B0F0D" w:rsidRPr="00051A2B" w:rsidRDefault="00141211" w:rsidP="00051A2B">
            <w:pPr>
              <w:numPr>
                <w:ilvl w:val="1"/>
                <w:numId w:val="17"/>
              </w:numPr>
              <w:tabs>
                <w:tab w:val="left" w:pos="440"/>
                <w:tab w:val="right" w:leader="dot" w:pos="9016"/>
              </w:tabs>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 xml:space="preserve">include information about safety, emergency, and security procedures; </w:t>
            </w:r>
          </w:p>
          <w:p w:rsidR="001B0F0D" w:rsidRPr="00051A2B" w:rsidRDefault="00141211" w:rsidP="00051A2B">
            <w:pPr>
              <w:numPr>
                <w:ilvl w:val="1"/>
                <w:numId w:val="17"/>
              </w:numPr>
              <w:tabs>
                <w:tab w:val="left" w:pos="440"/>
                <w:tab w:val="right" w:leader="dot" w:pos="9016"/>
              </w:tabs>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be undertaken by an appropriately qualified and trained person; and</w:t>
            </w:r>
          </w:p>
          <w:p w:rsidR="001B0F0D" w:rsidRPr="00051A2B" w:rsidRDefault="00500270" w:rsidP="00051A2B">
            <w:pPr>
              <w:numPr>
                <w:ilvl w:val="1"/>
                <w:numId w:val="17"/>
              </w:numPr>
              <w:tabs>
                <w:tab w:val="left" w:pos="440"/>
                <w:tab w:val="right" w:leader="dot" w:pos="9016"/>
              </w:tabs>
              <w:spacing w:after="60"/>
              <w:ind w:left="709" w:hanging="283"/>
              <w:rPr>
                <w:rFonts w:asciiTheme="minorHAnsi" w:hAnsiTheme="minorHAnsi" w:cstheme="minorHAnsi"/>
                <w:color w:val="0D0D0D"/>
                <w:sz w:val="21"/>
                <w:szCs w:val="21"/>
              </w:rPr>
            </w:pPr>
            <w:proofErr w:type="gramStart"/>
            <w:r>
              <w:rPr>
                <w:rFonts w:asciiTheme="minorHAnsi" w:hAnsiTheme="minorHAnsi" w:cstheme="minorHAnsi"/>
                <w:color w:val="0D0D0D"/>
                <w:sz w:val="21"/>
                <w:szCs w:val="21"/>
              </w:rPr>
              <w:t>allow</w:t>
            </w:r>
            <w:proofErr w:type="gramEnd"/>
            <w:r>
              <w:rPr>
                <w:rFonts w:asciiTheme="minorHAnsi" w:hAnsiTheme="minorHAnsi" w:cstheme="minorHAnsi"/>
                <w:color w:val="0D0D0D"/>
                <w:sz w:val="21"/>
                <w:szCs w:val="21"/>
              </w:rPr>
              <w:t xml:space="preserve"> </w:t>
            </w:r>
            <w:r w:rsidR="00141211">
              <w:rPr>
                <w:rFonts w:asciiTheme="minorHAnsi" w:hAnsiTheme="minorHAnsi" w:cstheme="minorHAnsi"/>
                <w:color w:val="0D0D0D"/>
                <w:sz w:val="21"/>
                <w:szCs w:val="21"/>
              </w:rPr>
              <w:t xml:space="preserve">sufficient time to adequately inform employees, generally in the order of one hour. </w:t>
            </w:r>
          </w:p>
          <w:p w:rsidR="001B0F0D" w:rsidRPr="00051A2B" w:rsidRDefault="00141211" w:rsidP="00051A2B">
            <w:pPr>
              <w:numPr>
                <w:ilvl w:val="0"/>
                <w:numId w:val="17"/>
              </w:numPr>
              <w:spacing w:after="60"/>
              <w:rPr>
                <w:rFonts w:asciiTheme="minorHAnsi" w:hAnsiTheme="minorHAnsi" w:cstheme="minorHAnsi"/>
                <w:sz w:val="21"/>
                <w:szCs w:val="21"/>
              </w:rPr>
            </w:pPr>
            <w:r>
              <w:rPr>
                <w:rFonts w:asciiTheme="minorHAnsi" w:hAnsiTheme="minorHAnsi" w:cstheme="minorHAnsi"/>
                <w:sz w:val="21"/>
                <w:szCs w:val="21"/>
              </w:rPr>
              <w:t>Where practical this induction should be held on a group basis and provide training and information on:</w:t>
            </w:r>
          </w:p>
          <w:p w:rsidR="001B0F0D" w:rsidRPr="00051A2B" w:rsidRDefault="00141211" w:rsidP="00051A2B">
            <w:pPr>
              <w:numPr>
                <w:ilvl w:val="1"/>
                <w:numId w:val="17"/>
              </w:numPr>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the cleaning service</w:t>
            </w:r>
            <w:r w:rsidR="00D8323F">
              <w:rPr>
                <w:rFonts w:asciiTheme="minorHAnsi" w:hAnsiTheme="minorHAnsi" w:cstheme="minorHAnsi"/>
                <w:color w:val="0D0D0D"/>
                <w:sz w:val="21"/>
                <w:szCs w:val="21"/>
              </w:rPr>
              <w:t xml:space="preserve">s </w:t>
            </w:r>
            <w:r>
              <w:rPr>
                <w:rFonts w:asciiTheme="minorHAnsi" w:hAnsiTheme="minorHAnsi" w:cstheme="minorHAnsi"/>
                <w:color w:val="0D0D0D"/>
                <w:sz w:val="21"/>
                <w:szCs w:val="21"/>
              </w:rPr>
              <w:t>contractor’s employment policies;</w:t>
            </w:r>
          </w:p>
          <w:p w:rsidR="001B0F0D" w:rsidRPr="00051A2B" w:rsidRDefault="00141211" w:rsidP="00051A2B">
            <w:pPr>
              <w:numPr>
                <w:ilvl w:val="1"/>
                <w:numId w:val="17"/>
              </w:numPr>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conditions of employment and service, including consultation and dispute resolution procedures;</w:t>
            </w:r>
          </w:p>
          <w:p w:rsidR="001B0F0D" w:rsidRPr="00051A2B" w:rsidRDefault="00141211" w:rsidP="00051A2B">
            <w:pPr>
              <w:numPr>
                <w:ilvl w:val="1"/>
                <w:numId w:val="17"/>
              </w:numPr>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lines of authority and accountability;</w:t>
            </w:r>
          </w:p>
          <w:p w:rsidR="001B0F0D" w:rsidRPr="00051A2B" w:rsidRDefault="00141211" w:rsidP="00051A2B">
            <w:pPr>
              <w:numPr>
                <w:ilvl w:val="1"/>
                <w:numId w:val="17"/>
              </w:numPr>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 xml:space="preserve">the specific tasks expected of each employee and how they are to be completed in practice; </w:t>
            </w:r>
          </w:p>
          <w:p w:rsidR="001B0F0D" w:rsidRPr="00051A2B" w:rsidRDefault="00141211" w:rsidP="00051A2B">
            <w:pPr>
              <w:numPr>
                <w:ilvl w:val="1"/>
                <w:numId w:val="17"/>
              </w:numPr>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the occupational health and safety policies and systems of the cleaning service</w:t>
            </w:r>
            <w:r w:rsidR="00D8323F">
              <w:rPr>
                <w:rFonts w:asciiTheme="minorHAnsi" w:hAnsiTheme="minorHAnsi" w:cstheme="minorHAnsi"/>
                <w:color w:val="0D0D0D"/>
                <w:sz w:val="21"/>
                <w:szCs w:val="21"/>
              </w:rPr>
              <w:t>s</w:t>
            </w:r>
            <w:r>
              <w:rPr>
                <w:rFonts w:asciiTheme="minorHAnsi" w:hAnsiTheme="minorHAnsi" w:cstheme="minorHAnsi"/>
                <w:color w:val="0D0D0D"/>
                <w:sz w:val="21"/>
                <w:szCs w:val="21"/>
              </w:rPr>
              <w:t xml:space="preserve"> contractor including the hazards and risks associated with the job, specific control measures to be used and procedures for reporting hazards and incidents;</w:t>
            </w:r>
          </w:p>
          <w:p w:rsidR="001B0F0D" w:rsidRPr="00051A2B" w:rsidRDefault="00141211" w:rsidP="00051A2B">
            <w:pPr>
              <w:numPr>
                <w:ilvl w:val="1"/>
                <w:numId w:val="17"/>
              </w:numPr>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 xml:space="preserve">any relevant Government legal or policy information, for example, privacy, </w:t>
            </w:r>
            <w:r w:rsidR="00500270">
              <w:rPr>
                <w:rFonts w:asciiTheme="minorHAnsi" w:hAnsiTheme="minorHAnsi" w:cstheme="minorHAnsi"/>
                <w:color w:val="0D0D0D"/>
                <w:sz w:val="21"/>
                <w:szCs w:val="21"/>
              </w:rPr>
              <w:t xml:space="preserve">and </w:t>
            </w:r>
            <w:r>
              <w:rPr>
                <w:rFonts w:asciiTheme="minorHAnsi" w:hAnsiTheme="minorHAnsi" w:cstheme="minorHAnsi"/>
                <w:color w:val="0D0D0D"/>
                <w:sz w:val="21"/>
                <w:szCs w:val="21"/>
              </w:rPr>
              <w:t>confidentiality; and</w:t>
            </w:r>
          </w:p>
          <w:p w:rsidR="001B0F0D" w:rsidRPr="00051A2B" w:rsidRDefault="00141211" w:rsidP="00051A2B">
            <w:pPr>
              <w:numPr>
                <w:ilvl w:val="1"/>
                <w:numId w:val="17"/>
              </w:numPr>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security arrangements for the site.</w:t>
            </w:r>
          </w:p>
        </w:tc>
      </w:tr>
    </w:tbl>
    <w:p w:rsidR="001B0F0D" w:rsidRDefault="001B0F0D" w:rsidP="001B0F0D">
      <w:pPr>
        <w:rPr>
          <w:rFonts w:asciiTheme="minorHAnsi" w:hAnsiTheme="minorHAnsi" w:cstheme="minorHAnsi"/>
          <w:sz w:val="21"/>
          <w:szCs w:val="21"/>
        </w:rPr>
      </w:pPr>
    </w:p>
    <w:p w:rsidR="00051A2B" w:rsidRDefault="00051A2B">
      <w:pPr>
        <w:spacing w:after="200" w:line="276" w:lineRule="auto"/>
        <w:rPr>
          <w:rFonts w:asciiTheme="minorHAnsi" w:hAnsiTheme="minorHAnsi" w:cstheme="minorHAnsi"/>
          <w:sz w:val="21"/>
          <w:szCs w:val="21"/>
        </w:rPr>
      </w:pPr>
      <w:r>
        <w:rPr>
          <w:rFonts w:asciiTheme="minorHAnsi" w:hAnsiTheme="minorHAnsi" w:cstheme="minorHAnsi"/>
          <w:sz w:val="21"/>
          <w:szCs w:val="21"/>
        </w:rPr>
        <w:br w:type="page"/>
      </w:r>
    </w:p>
    <w:p w:rsidR="00051A2B" w:rsidRDefault="00051A2B" w:rsidP="001B0F0D">
      <w:pPr>
        <w:rPr>
          <w:rFonts w:asciiTheme="minorHAnsi" w:hAnsiTheme="minorHAnsi" w:cstheme="minorHAnsi"/>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7"/>
        <w:gridCol w:w="6747"/>
      </w:tblGrid>
      <w:tr w:rsidR="00051A2B" w:rsidRPr="00051A2B" w:rsidTr="00051A2B">
        <w:trPr>
          <w:cantSplit/>
          <w:tblHeader/>
        </w:trPr>
        <w:tc>
          <w:tcPr>
            <w:tcW w:w="9134" w:type="dxa"/>
            <w:gridSpan w:val="2"/>
            <w:tcBorders>
              <w:bottom w:val="single" w:sz="4" w:space="0" w:color="auto"/>
            </w:tcBorders>
            <w:shd w:val="pct10" w:color="auto" w:fill="auto"/>
          </w:tcPr>
          <w:p w:rsidR="00051A2B" w:rsidRPr="00051A2B" w:rsidRDefault="00051A2B" w:rsidP="00051A2B">
            <w:pPr>
              <w:spacing w:after="60"/>
              <w:jc w:val="center"/>
              <w:rPr>
                <w:rFonts w:asciiTheme="minorHAnsi" w:hAnsiTheme="minorHAnsi" w:cstheme="minorHAnsi"/>
                <w:b/>
                <w:sz w:val="21"/>
                <w:szCs w:val="21"/>
              </w:rPr>
            </w:pPr>
            <w:r w:rsidRPr="00051A2B">
              <w:rPr>
                <w:rFonts w:asciiTheme="minorHAnsi" w:hAnsiTheme="minorHAnsi" w:cstheme="minorHAnsi"/>
                <w:b/>
                <w:sz w:val="21"/>
                <w:szCs w:val="21"/>
              </w:rPr>
              <w:t>TRAINING, SUPERVISION, EQUIPMENT</w:t>
            </w:r>
          </w:p>
        </w:tc>
      </w:tr>
      <w:tr w:rsidR="00051A2B" w:rsidRPr="00051A2B" w:rsidTr="00051A2B">
        <w:trPr>
          <w:cantSplit/>
        </w:trPr>
        <w:tc>
          <w:tcPr>
            <w:tcW w:w="2387" w:type="dxa"/>
            <w:shd w:val="pct10" w:color="auto" w:fill="auto"/>
          </w:tcPr>
          <w:p w:rsidR="00051A2B" w:rsidRPr="00051A2B" w:rsidRDefault="00051A2B" w:rsidP="00051A2B">
            <w:pPr>
              <w:spacing w:after="60"/>
              <w:jc w:val="center"/>
              <w:rPr>
                <w:rFonts w:asciiTheme="minorHAnsi" w:hAnsiTheme="minorHAnsi" w:cstheme="minorHAnsi"/>
                <w:b/>
                <w:sz w:val="21"/>
                <w:szCs w:val="21"/>
              </w:rPr>
            </w:pPr>
            <w:r w:rsidRPr="00051A2B">
              <w:rPr>
                <w:rFonts w:asciiTheme="minorHAnsi" w:hAnsiTheme="minorHAnsi" w:cstheme="minorHAnsi"/>
                <w:b/>
                <w:sz w:val="21"/>
                <w:szCs w:val="21"/>
              </w:rPr>
              <w:t>On the job training</w:t>
            </w:r>
          </w:p>
        </w:tc>
        <w:tc>
          <w:tcPr>
            <w:tcW w:w="6747" w:type="dxa"/>
            <w:shd w:val="pct10" w:color="auto" w:fill="auto"/>
          </w:tcPr>
          <w:p w:rsidR="00051A2B" w:rsidRPr="00051A2B" w:rsidRDefault="00051A2B" w:rsidP="00BA3DE4">
            <w:pPr>
              <w:spacing w:after="60"/>
              <w:rPr>
                <w:rFonts w:asciiTheme="minorHAnsi" w:hAnsiTheme="minorHAnsi" w:cstheme="minorHAnsi"/>
                <w:b/>
                <w:sz w:val="21"/>
                <w:szCs w:val="21"/>
              </w:rPr>
            </w:pPr>
            <w:r w:rsidRPr="00051A2B">
              <w:rPr>
                <w:rFonts w:asciiTheme="minorHAnsi" w:hAnsiTheme="minorHAnsi" w:cstheme="minorHAnsi"/>
                <w:b/>
                <w:sz w:val="21"/>
                <w:szCs w:val="21"/>
              </w:rPr>
              <w:t>Mandatory Practices for on the job training</w:t>
            </w:r>
          </w:p>
        </w:tc>
      </w:tr>
      <w:tr w:rsidR="00051A2B" w:rsidRPr="00051A2B" w:rsidTr="00051A2B">
        <w:trPr>
          <w:cantSplit/>
        </w:trPr>
        <w:tc>
          <w:tcPr>
            <w:tcW w:w="2387" w:type="dxa"/>
          </w:tcPr>
          <w:p w:rsidR="00051A2B" w:rsidRPr="00051A2B" w:rsidRDefault="00141211" w:rsidP="00051A2B">
            <w:pPr>
              <w:spacing w:after="60"/>
              <w:rPr>
                <w:rFonts w:asciiTheme="minorHAnsi" w:hAnsiTheme="minorHAnsi" w:cstheme="minorHAnsi"/>
                <w:sz w:val="21"/>
                <w:szCs w:val="21"/>
              </w:rPr>
            </w:pPr>
            <w:r>
              <w:rPr>
                <w:rFonts w:asciiTheme="minorHAnsi" w:hAnsiTheme="minorHAnsi" w:cstheme="minorHAnsi"/>
                <w:sz w:val="21"/>
                <w:szCs w:val="21"/>
              </w:rPr>
              <w:t xml:space="preserve">Purpose: To help employees develop their skills and abilities, and ensure that they perform their duties in a correct and safe manner. </w:t>
            </w:r>
          </w:p>
          <w:p w:rsidR="00051A2B" w:rsidRPr="00051A2B" w:rsidRDefault="00051A2B" w:rsidP="00051A2B">
            <w:pPr>
              <w:spacing w:after="60"/>
              <w:rPr>
                <w:rFonts w:asciiTheme="minorHAnsi" w:hAnsiTheme="minorHAnsi" w:cstheme="minorHAnsi"/>
                <w:b/>
                <w:sz w:val="21"/>
                <w:szCs w:val="21"/>
              </w:rPr>
            </w:pPr>
          </w:p>
        </w:tc>
        <w:tc>
          <w:tcPr>
            <w:tcW w:w="6747" w:type="dxa"/>
          </w:tcPr>
          <w:p w:rsidR="00051A2B" w:rsidRPr="00051A2B" w:rsidRDefault="00141211" w:rsidP="00051A2B">
            <w:pPr>
              <w:numPr>
                <w:ilvl w:val="0"/>
                <w:numId w:val="17"/>
              </w:numPr>
              <w:spacing w:after="60"/>
              <w:rPr>
                <w:rFonts w:asciiTheme="minorHAnsi" w:hAnsiTheme="minorHAnsi" w:cstheme="minorHAnsi"/>
                <w:sz w:val="21"/>
                <w:szCs w:val="21"/>
              </w:rPr>
            </w:pPr>
            <w:r>
              <w:rPr>
                <w:rFonts w:asciiTheme="minorHAnsi" w:hAnsiTheme="minorHAnsi" w:cstheme="minorHAnsi"/>
                <w:sz w:val="21"/>
                <w:szCs w:val="21"/>
              </w:rPr>
              <w:t xml:space="preserve">The cleaning services </w:t>
            </w:r>
            <w:r w:rsidR="00BA3DE4">
              <w:rPr>
                <w:rFonts w:asciiTheme="minorHAnsi" w:hAnsiTheme="minorHAnsi" w:cstheme="minorHAnsi"/>
                <w:sz w:val="21"/>
                <w:szCs w:val="21"/>
              </w:rPr>
              <w:t xml:space="preserve">contractor </w:t>
            </w:r>
            <w:r>
              <w:rPr>
                <w:rFonts w:asciiTheme="minorHAnsi" w:hAnsiTheme="minorHAnsi" w:cstheme="minorHAnsi"/>
                <w:sz w:val="21"/>
                <w:szCs w:val="21"/>
              </w:rPr>
              <w:t xml:space="preserve">must provide employees with the necessary training and equipment to prepare them for commencing work. </w:t>
            </w:r>
          </w:p>
          <w:p w:rsidR="00051A2B" w:rsidRPr="00051A2B" w:rsidRDefault="00141211" w:rsidP="00051A2B">
            <w:pPr>
              <w:numPr>
                <w:ilvl w:val="0"/>
                <w:numId w:val="17"/>
              </w:numPr>
              <w:spacing w:after="60"/>
              <w:rPr>
                <w:rFonts w:asciiTheme="minorHAnsi" w:hAnsiTheme="minorHAnsi" w:cstheme="minorHAnsi"/>
                <w:sz w:val="21"/>
                <w:szCs w:val="21"/>
              </w:rPr>
            </w:pPr>
            <w:r>
              <w:rPr>
                <w:rFonts w:asciiTheme="minorHAnsi" w:hAnsiTheme="minorHAnsi" w:cstheme="minorHAnsi"/>
                <w:sz w:val="21"/>
                <w:szCs w:val="21"/>
              </w:rPr>
              <w:t xml:space="preserve">Training must: </w:t>
            </w:r>
          </w:p>
          <w:p w:rsidR="00051A2B" w:rsidRPr="00051A2B" w:rsidRDefault="00141211" w:rsidP="00051A2B">
            <w:pPr>
              <w:numPr>
                <w:ilvl w:val="1"/>
                <w:numId w:val="17"/>
              </w:numPr>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be delivered by qualified supervisors;</w:t>
            </w:r>
          </w:p>
          <w:p w:rsidR="00051A2B" w:rsidRPr="00051A2B" w:rsidRDefault="00141211" w:rsidP="00051A2B">
            <w:pPr>
              <w:numPr>
                <w:ilvl w:val="1"/>
                <w:numId w:val="17"/>
              </w:numPr>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 xml:space="preserve">be based on an assessment of the employee’s current skills and abilities; </w:t>
            </w:r>
          </w:p>
          <w:p w:rsidR="00051A2B" w:rsidRPr="00051A2B" w:rsidRDefault="00141211" w:rsidP="00051A2B">
            <w:pPr>
              <w:numPr>
                <w:ilvl w:val="1"/>
                <w:numId w:val="17"/>
              </w:numPr>
              <w:tabs>
                <w:tab w:val="left" w:pos="440"/>
                <w:tab w:val="right" w:leader="dot" w:pos="9016"/>
              </w:tabs>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 xml:space="preserve">include regular retraining where required, particularly on safe work practices and their employment rights;  </w:t>
            </w:r>
          </w:p>
          <w:p w:rsidR="00051A2B" w:rsidRPr="00051A2B" w:rsidRDefault="00141211" w:rsidP="00051A2B">
            <w:pPr>
              <w:numPr>
                <w:ilvl w:val="1"/>
                <w:numId w:val="17"/>
              </w:numPr>
              <w:tabs>
                <w:tab w:val="left" w:pos="440"/>
                <w:tab w:val="right" w:leader="dot" w:pos="9016"/>
              </w:tabs>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 xml:space="preserve">be relevant to the specific requirements of the cleaning contract; </w:t>
            </w:r>
          </w:p>
          <w:p w:rsidR="00051A2B" w:rsidRPr="00051A2B" w:rsidRDefault="00141211" w:rsidP="00051A2B">
            <w:pPr>
              <w:numPr>
                <w:ilvl w:val="1"/>
                <w:numId w:val="17"/>
              </w:numPr>
              <w:tabs>
                <w:tab w:val="left" w:pos="440"/>
                <w:tab w:val="right" w:leader="dot" w:pos="9016"/>
              </w:tabs>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demonstrate each cleaning task preferably by observing other employees;</w:t>
            </w:r>
          </w:p>
          <w:p w:rsidR="00051A2B" w:rsidRPr="00051A2B" w:rsidRDefault="00141211" w:rsidP="00051A2B">
            <w:pPr>
              <w:numPr>
                <w:ilvl w:val="1"/>
                <w:numId w:val="17"/>
              </w:numPr>
              <w:tabs>
                <w:tab w:val="left" w:pos="440"/>
                <w:tab w:val="right" w:leader="dot" w:pos="9016"/>
              </w:tabs>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 xml:space="preserve">include a comprehensive tour of the building and its facilities, including emergency exits; and </w:t>
            </w:r>
          </w:p>
          <w:p w:rsidR="00051A2B" w:rsidRPr="00051A2B" w:rsidRDefault="00141211" w:rsidP="00500270">
            <w:pPr>
              <w:numPr>
                <w:ilvl w:val="1"/>
                <w:numId w:val="17"/>
              </w:numPr>
              <w:tabs>
                <w:tab w:val="left" w:pos="440"/>
                <w:tab w:val="right" w:leader="dot" w:pos="9016"/>
              </w:tabs>
              <w:spacing w:after="60"/>
              <w:ind w:left="709" w:hanging="283"/>
              <w:rPr>
                <w:rFonts w:asciiTheme="minorHAnsi" w:hAnsiTheme="minorHAnsi" w:cstheme="minorHAnsi"/>
                <w:sz w:val="21"/>
                <w:szCs w:val="21"/>
              </w:rPr>
            </w:pPr>
            <w:r>
              <w:rPr>
                <w:rFonts w:asciiTheme="minorHAnsi" w:hAnsiTheme="minorHAnsi" w:cstheme="minorHAnsi"/>
                <w:color w:val="0D0D0D"/>
                <w:sz w:val="21"/>
                <w:szCs w:val="21"/>
              </w:rPr>
              <w:t>demonstrate how to use new technologies and products when they are introduced.</w:t>
            </w:r>
          </w:p>
        </w:tc>
      </w:tr>
    </w:tbl>
    <w:p w:rsidR="00051A2B" w:rsidRPr="00051A2B" w:rsidRDefault="00051A2B" w:rsidP="00051A2B">
      <w:pPr>
        <w:spacing w:after="60"/>
        <w:rPr>
          <w:rFonts w:asciiTheme="minorHAnsi" w:hAnsiTheme="minorHAnsi" w:cstheme="minorHAnsi"/>
          <w:sz w:val="21"/>
          <w:szCs w:val="21"/>
        </w:rPr>
      </w:pPr>
    </w:p>
    <w:p w:rsidR="00051A2B" w:rsidRPr="00051A2B" w:rsidRDefault="00051A2B" w:rsidP="00051A2B">
      <w:pPr>
        <w:spacing w:after="60"/>
        <w:rPr>
          <w:rFonts w:asciiTheme="minorHAnsi" w:hAnsiTheme="minorHAnsi" w:cstheme="minorHAnsi"/>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7"/>
        <w:gridCol w:w="6747"/>
      </w:tblGrid>
      <w:tr w:rsidR="00051A2B" w:rsidRPr="00051A2B" w:rsidTr="00051A2B">
        <w:trPr>
          <w:cantSplit/>
          <w:tblHeader/>
        </w:trPr>
        <w:tc>
          <w:tcPr>
            <w:tcW w:w="9134" w:type="dxa"/>
            <w:gridSpan w:val="2"/>
            <w:tcBorders>
              <w:bottom w:val="single" w:sz="4" w:space="0" w:color="auto"/>
            </w:tcBorders>
            <w:shd w:val="pct10" w:color="auto" w:fill="auto"/>
          </w:tcPr>
          <w:p w:rsidR="00051A2B" w:rsidRPr="00051A2B" w:rsidRDefault="00051A2B" w:rsidP="00051A2B">
            <w:pPr>
              <w:spacing w:after="60"/>
              <w:jc w:val="center"/>
              <w:rPr>
                <w:rFonts w:asciiTheme="minorHAnsi" w:hAnsiTheme="minorHAnsi" w:cstheme="minorHAnsi"/>
                <w:b/>
                <w:sz w:val="21"/>
                <w:szCs w:val="21"/>
              </w:rPr>
            </w:pPr>
            <w:r w:rsidRPr="00051A2B">
              <w:rPr>
                <w:rFonts w:asciiTheme="minorHAnsi" w:hAnsiTheme="minorHAnsi" w:cstheme="minorHAnsi"/>
                <w:b/>
                <w:sz w:val="21"/>
                <w:szCs w:val="21"/>
              </w:rPr>
              <w:t>TRAINING, SUPERVISION, EQUIPMENT</w:t>
            </w:r>
          </w:p>
        </w:tc>
      </w:tr>
      <w:tr w:rsidR="00051A2B" w:rsidRPr="00051A2B" w:rsidTr="00051A2B">
        <w:trPr>
          <w:cantSplit/>
        </w:trPr>
        <w:tc>
          <w:tcPr>
            <w:tcW w:w="2387" w:type="dxa"/>
            <w:shd w:val="pct10" w:color="auto" w:fill="auto"/>
          </w:tcPr>
          <w:p w:rsidR="00051A2B" w:rsidRPr="00051A2B" w:rsidRDefault="00051A2B" w:rsidP="00051A2B">
            <w:pPr>
              <w:spacing w:after="60"/>
              <w:jc w:val="center"/>
              <w:rPr>
                <w:rFonts w:asciiTheme="minorHAnsi" w:hAnsiTheme="minorHAnsi" w:cstheme="minorHAnsi"/>
                <w:b/>
                <w:sz w:val="21"/>
                <w:szCs w:val="21"/>
              </w:rPr>
            </w:pPr>
            <w:r w:rsidRPr="00051A2B">
              <w:rPr>
                <w:rFonts w:asciiTheme="minorHAnsi" w:hAnsiTheme="minorHAnsi" w:cstheme="minorHAnsi"/>
                <w:b/>
                <w:sz w:val="21"/>
                <w:szCs w:val="21"/>
              </w:rPr>
              <w:t>Equipment, material, safety and efficiency</w:t>
            </w:r>
          </w:p>
        </w:tc>
        <w:tc>
          <w:tcPr>
            <w:tcW w:w="6747" w:type="dxa"/>
            <w:shd w:val="pct10" w:color="auto" w:fill="auto"/>
          </w:tcPr>
          <w:p w:rsidR="00051A2B" w:rsidRPr="00051A2B" w:rsidRDefault="00051A2B" w:rsidP="00BA3DE4">
            <w:pPr>
              <w:spacing w:after="60"/>
              <w:rPr>
                <w:rFonts w:asciiTheme="minorHAnsi" w:hAnsiTheme="minorHAnsi" w:cstheme="minorHAnsi"/>
                <w:b/>
                <w:sz w:val="21"/>
                <w:szCs w:val="21"/>
              </w:rPr>
            </w:pPr>
            <w:r w:rsidRPr="00051A2B">
              <w:rPr>
                <w:rFonts w:asciiTheme="minorHAnsi" w:hAnsiTheme="minorHAnsi" w:cstheme="minorHAnsi"/>
                <w:b/>
                <w:sz w:val="21"/>
                <w:szCs w:val="21"/>
              </w:rPr>
              <w:t>Mandatory Practices for equipment, material, safety and efficiency</w:t>
            </w:r>
          </w:p>
        </w:tc>
      </w:tr>
      <w:tr w:rsidR="00051A2B" w:rsidRPr="00051A2B" w:rsidTr="00051A2B">
        <w:trPr>
          <w:cantSplit/>
        </w:trPr>
        <w:tc>
          <w:tcPr>
            <w:tcW w:w="2387" w:type="dxa"/>
          </w:tcPr>
          <w:p w:rsidR="00051A2B" w:rsidRPr="00051A2B" w:rsidRDefault="00051A2B" w:rsidP="00051A2B">
            <w:pPr>
              <w:spacing w:after="60"/>
              <w:rPr>
                <w:rFonts w:asciiTheme="minorHAnsi" w:hAnsiTheme="minorHAnsi" w:cstheme="minorHAnsi"/>
                <w:sz w:val="21"/>
                <w:szCs w:val="21"/>
              </w:rPr>
            </w:pPr>
            <w:r w:rsidRPr="00051A2B">
              <w:rPr>
                <w:rFonts w:asciiTheme="minorHAnsi" w:hAnsiTheme="minorHAnsi" w:cstheme="minorHAnsi"/>
                <w:sz w:val="21"/>
                <w:szCs w:val="21"/>
              </w:rPr>
              <w:t xml:space="preserve">Purpose: To ensure that employees are provided with suitable equipment and materials to perform their job in a safe and efficient manner and in accordance with Occupational Health and Safety requirements. </w:t>
            </w:r>
          </w:p>
          <w:p w:rsidR="00051A2B" w:rsidRPr="00051A2B" w:rsidRDefault="00051A2B" w:rsidP="00051A2B">
            <w:pPr>
              <w:spacing w:after="60"/>
              <w:rPr>
                <w:rFonts w:asciiTheme="minorHAnsi" w:hAnsiTheme="minorHAnsi" w:cstheme="minorHAnsi"/>
                <w:b/>
                <w:sz w:val="21"/>
                <w:szCs w:val="21"/>
              </w:rPr>
            </w:pPr>
          </w:p>
        </w:tc>
        <w:tc>
          <w:tcPr>
            <w:tcW w:w="6747" w:type="dxa"/>
          </w:tcPr>
          <w:p w:rsidR="00051A2B" w:rsidRPr="00051A2B" w:rsidRDefault="00051A2B" w:rsidP="00051A2B">
            <w:pPr>
              <w:numPr>
                <w:ilvl w:val="0"/>
                <w:numId w:val="17"/>
              </w:numPr>
              <w:spacing w:after="60"/>
              <w:rPr>
                <w:rFonts w:asciiTheme="minorHAnsi" w:hAnsiTheme="minorHAnsi" w:cstheme="minorHAnsi"/>
                <w:sz w:val="21"/>
                <w:szCs w:val="21"/>
              </w:rPr>
            </w:pPr>
            <w:r w:rsidRPr="00051A2B">
              <w:rPr>
                <w:rFonts w:asciiTheme="minorHAnsi" w:hAnsiTheme="minorHAnsi" w:cstheme="minorHAnsi"/>
                <w:sz w:val="21"/>
                <w:szCs w:val="21"/>
              </w:rPr>
              <w:t>Cleaning service</w:t>
            </w:r>
            <w:r w:rsidR="00D8323F">
              <w:rPr>
                <w:rFonts w:asciiTheme="minorHAnsi" w:hAnsiTheme="minorHAnsi" w:cstheme="minorHAnsi"/>
                <w:sz w:val="21"/>
                <w:szCs w:val="21"/>
              </w:rPr>
              <w:t>s</w:t>
            </w:r>
            <w:r w:rsidRPr="00051A2B">
              <w:rPr>
                <w:rFonts w:asciiTheme="minorHAnsi" w:hAnsiTheme="minorHAnsi" w:cstheme="minorHAnsi"/>
                <w:sz w:val="21"/>
                <w:szCs w:val="21"/>
              </w:rPr>
              <w:t xml:space="preserve"> </w:t>
            </w:r>
            <w:r w:rsidR="00BA3DE4">
              <w:rPr>
                <w:rFonts w:asciiTheme="minorHAnsi" w:hAnsiTheme="minorHAnsi" w:cstheme="minorHAnsi"/>
                <w:sz w:val="21"/>
                <w:szCs w:val="21"/>
              </w:rPr>
              <w:t>contractor</w:t>
            </w:r>
            <w:r w:rsidR="00500270">
              <w:rPr>
                <w:rFonts w:asciiTheme="minorHAnsi" w:hAnsiTheme="minorHAnsi" w:cstheme="minorHAnsi"/>
                <w:sz w:val="21"/>
                <w:szCs w:val="21"/>
              </w:rPr>
              <w:t>s</w:t>
            </w:r>
            <w:r w:rsidRPr="00051A2B">
              <w:rPr>
                <w:rFonts w:asciiTheme="minorHAnsi" w:hAnsiTheme="minorHAnsi" w:cstheme="minorHAnsi"/>
                <w:sz w:val="21"/>
                <w:szCs w:val="21"/>
              </w:rPr>
              <w:t xml:space="preserve"> must adhere to all the requirement</w:t>
            </w:r>
            <w:r w:rsidR="00500270">
              <w:rPr>
                <w:rFonts w:asciiTheme="minorHAnsi" w:hAnsiTheme="minorHAnsi" w:cstheme="minorHAnsi"/>
                <w:sz w:val="21"/>
                <w:szCs w:val="21"/>
              </w:rPr>
              <w:t>s outlined in their respective s</w:t>
            </w:r>
            <w:r w:rsidRPr="00051A2B">
              <w:rPr>
                <w:rFonts w:asciiTheme="minorHAnsi" w:hAnsiTheme="minorHAnsi" w:cstheme="minorHAnsi"/>
                <w:sz w:val="21"/>
                <w:szCs w:val="21"/>
              </w:rPr>
              <w:t xml:space="preserve">tate or </w:t>
            </w:r>
            <w:r w:rsidR="00500270">
              <w:rPr>
                <w:rFonts w:asciiTheme="minorHAnsi" w:hAnsiTheme="minorHAnsi" w:cstheme="minorHAnsi"/>
                <w:sz w:val="21"/>
                <w:szCs w:val="21"/>
              </w:rPr>
              <w:t>t</w:t>
            </w:r>
            <w:r w:rsidRPr="00051A2B">
              <w:rPr>
                <w:rFonts w:asciiTheme="minorHAnsi" w:hAnsiTheme="minorHAnsi" w:cstheme="minorHAnsi"/>
                <w:sz w:val="21"/>
                <w:szCs w:val="21"/>
              </w:rPr>
              <w:t>erritory Occupational Health and Safety legisla</w:t>
            </w:r>
            <w:r w:rsidR="00141211">
              <w:rPr>
                <w:rFonts w:asciiTheme="minorHAnsi" w:hAnsiTheme="minorHAnsi" w:cstheme="minorHAnsi"/>
                <w:sz w:val="21"/>
                <w:szCs w:val="21"/>
              </w:rPr>
              <w:t xml:space="preserve">tion. </w:t>
            </w:r>
          </w:p>
          <w:p w:rsidR="00051A2B" w:rsidRPr="00051A2B" w:rsidRDefault="00141211" w:rsidP="00051A2B">
            <w:pPr>
              <w:numPr>
                <w:ilvl w:val="0"/>
                <w:numId w:val="17"/>
              </w:numPr>
              <w:spacing w:after="60"/>
              <w:rPr>
                <w:rFonts w:asciiTheme="minorHAnsi" w:hAnsiTheme="minorHAnsi" w:cstheme="minorHAnsi"/>
                <w:color w:val="0D0D0D"/>
                <w:sz w:val="21"/>
                <w:szCs w:val="21"/>
              </w:rPr>
            </w:pPr>
            <w:r>
              <w:rPr>
                <w:rFonts w:asciiTheme="minorHAnsi" w:hAnsiTheme="minorHAnsi" w:cstheme="minorHAnsi"/>
                <w:sz w:val="21"/>
                <w:szCs w:val="21"/>
              </w:rPr>
              <w:t xml:space="preserve">In particular, the cleaning services </w:t>
            </w:r>
            <w:r w:rsidR="00BA3DE4">
              <w:rPr>
                <w:rFonts w:asciiTheme="minorHAnsi" w:hAnsiTheme="minorHAnsi" w:cstheme="minorHAnsi"/>
                <w:sz w:val="21"/>
                <w:szCs w:val="21"/>
              </w:rPr>
              <w:t xml:space="preserve">contractor </w:t>
            </w:r>
            <w:r>
              <w:rPr>
                <w:rFonts w:asciiTheme="minorHAnsi" w:hAnsiTheme="minorHAnsi" w:cstheme="minorHAnsi"/>
                <w:sz w:val="21"/>
                <w:szCs w:val="21"/>
              </w:rPr>
              <w:t>must ensure</w:t>
            </w:r>
            <w:r>
              <w:rPr>
                <w:rFonts w:asciiTheme="minorHAnsi" w:hAnsiTheme="minorHAnsi" w:cstheme="minorHAnsi"/>
                <w:color w:val="0D0D0D"/>
                <w:sz w:val="21"/>
                <w:szCs w:val="21"/>
              </w:rPr>
              <w:t xml:space="preserve"> that: </w:t>
            </w:r>
          </w:p>
          <w:p w:rsidR="00051A2B" w:rsidRPr="00051A2B" w:rsidRDefault="00141211" w:rsidP="00051A2B">
            <w:pPr>
              <w:numPr>
                <w:ilvl w:val="1"/>
                <w:numId w:val="17"/>
              </w:numPr>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 xml:space="preserve">safety management systems are embedded, documented, outlined to all employees, utilised and reviewed on a regular basis; </w:t>
            </w:r>
          </w:p>
          <w:p w:rsidR="00051A2B" w:rsidRPr="00051A2B" w:rsidRDefault="00141211" w:rsidP="00051A2B">
            <w:pPr>
              <w:numPr>
                <w:ilvl w:val="1"/>
                <w:numId w:val="17"/>
              </w:numPr>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 xml:space="preserve">equipment provided to employees is suitable for the task being undertaken in a particular environment (e.g. back pack vac cleaner for stairs/tiered seating) and is regularly ‘tested and tagged’; and </w:t>
            </w:r>
          </w:p>
          <w:p w:rsidR="00051A2B" w:rsidRPr="00051A2B" w:rsidRDefault="00141211" w:rsidP="00500270">
            <w:pPr>
              <w:numPr>
                <w:ilvl w:val="1"/>
                <w:numId w:val="17"/>
              </w:numPr>
              <w:spacing w:after="60"/>
              <w:ind w:left="709" w:hanging="283"/>
              <w:rPr>
                <w:rFonts w:asciiTheme="minorHAnsi" w:hAnsiTheme="minorHAnsi" w:cstheme="minorHAnsi"/>
                <w:sz w:val="21"/>
                <w:szCs w:val="21"/>
              </w:rPr>
            </w:pPr>
            <w:r>
              <w:rPr>
                <w:rFonts w:asciiTheme="minorHAnsi" w:hAnsiTheme="minorHAnsi" w:cstheme="minorHAnsi"/>
                <w:color w:val="0D0D0D"/>
                <w:sz w:val="21"/>
                <w:szCs w:val="21"/>
              </w:rPr>
              <w:t>all employees have easy access to training and information for the use, maintenance and disposal of the required equipment and materials.</w:t>
            </w:r>
          </w:p>
        </w:tc>
      </w:tr>
    </w:tbl>
    <w:p w:rsidR="00051A2B" w:rsidRPr="00051A2B" w:rsidRDefault="00051A2B" w:rsidP="00051A2B">
      <w:pPr>
        <w:spacing w:after="60"/>
        <w:rPr>
          <w:rFonts w:asciiTheme="minorHAnsi" w:hAnsiTheme="minorHAnsi" w:cstheme="minorHAnsi"/>
          <w:sz w:val="21"/>
          <w:szCs w:val="21"/>
        </w:rPr>
      </w:pPr>
    </w:p>
    <w:p w:rsidR="001B0F0D" w:rsidRDefault="001B0F0D" w:rsidP="00051A2B">
      <w:pPr>
        <w:spacing w:after="60"/>
        <w:rPr>
          <w:rFonts w:asciiTheme="minorHAnsi" w:hAnsiTheme="minorHAnsi" w:cstheme="minorHAnsi"/>
          <w:sz w:val="21"/>
          <w:szCs w:val="21"/>
        </w:rPr>
      </w:pPr>
    </w:p>
    <w:p w:rsidR="00051A2B" w:rsidRDefault="00051A2B" w:rsidP="00051A2B">
      <w:pPr>
        <w:spacing w:after="60"/>
        <w:rPr>
          <w:rFonts w:asciiTheme="minorHAnsi" w:hAnsiTheme="minorHAnsi" w:cstheme="minorHAnsi"/>
          <w:sz w:val="21"/>
          <w:szCs w:val="21"/>
        </w:rPr>
      </w:pPr>
    </w:p>
    <w:p w:rsidR="00051A2B" w:rsidRDefault="00051A2B" w:rsidP="00051A2B">
      <w:pPr>
        <w:spacing w:after="60"/>
        <w:rPr>
          <w:rFonts w:asciiTheme="minorHAnsi" w:hAnsiTheme="minorHAnsi" w:cstheme="minorHAnsi"/>
          <w:sz w:val="21"/>
          <w:szCs w:val="21"/>
        </w:rPr>
      </w:pPr>
    </w:p>
    <w:p w:rsidR="00051A2B" w:rsidRDefault="00051A2B" w:rsidP="00051A2B">
      <w:pPr>
        <w:spacing w:after="60"/>
        <w:rPr>
          <w:rFonts w:asciiTheme="minorHAnsi" w:hAnsiTheme="minorHAnsi" w:cstheme="minorHAnsi"/>
          <w:sz w:val="21"/>
          <w:szCs w:val="21"/>
        </w:rPr>
      </w:pPr>
    </w:p>
    <w:p w:rsidR="00051A2B" w:rsidRDefault="00051A2B" w:rsidP="00051A2B">
      <w:pPr>
        <w:spacing w:after="60"/>
        <w:rPr>
          <w:rFonts w:asciiTheme="minorHAnsi" w:hAnsiTheme="minorHAnsi" w:cstheme="minorHAnsi"/>
          <w:sz w:val="21"/>
          <w:szCs w:val="21"/>
        </w:rPr>
      </w:pPr>
    </w:p>
    <w:p w:rsidR="00051A2B" w:rsidRDefault="00051A2B" w:rsidP="00051A2B">
      <w:pPr>
        <w:spacing w:after="60"/>
        <w:rPr>
          <w:rFonts w:asciiTheme="minorHAnsi" w:hAnsiTheme="minorHAnsi" w:cstheme="minorHAnsi"/>
          <w:sz w:val="21"/>
          <w:szCs w:val="21"/>
        </w:rPr>
      </w:pPr>
    </w:p>
    <w:p w:rsidR="00051A2B" w:rsidRDefault="00051A2B" w:rsidP="00051A2B">
      <w:pPr>
        <w:spacing w:after="60"/>
        <w:rPr>
          <w:rFonts w:asciiTheme="minorHAnsi" w:hAnsiTheme="minorHAnsi" w:cstheme="minorHAnsi"/>
          <w:sz w:val="21"/>
          <w:szCs w:val="21"/>
        </w:rPr>
      </w:pPr>
    </w:p>
    <w:p w:rsidR="00051A2B" w:rsidRDefault="00051A2B" w:rsidP="00051A2B">
      <w:pPr>
        <w:spacing w:after="60"/>
        <w:rPr>
          <w:rFonts w:asciiTheme="minorHAnsi" w:hAnsiTheme="minorHAnsi" w:cstheme="minorHAnsi"/>
          <w:sz w:val="21"/>
          <w:szCs w:val="21"/>
        </w:rPr>
      </w:pPr>
    </w:p>
    <w:p w:rsidR="00051A2B" w:rsidRDefault="00051A2B" w:rsidP="00051A2B">
      <w:pPr>
        <w:spacing w:after="60"/>
        <w:rPr>
          <w:rFonts w:asciiTheme="minorHAnsi" w:hAnsiTheme="minorHAnsi" w:cstheme="minorHAnsi"/>
          <w:sz w:val="21"/>
          <w:szCs w:val="21"/>
        </w:rPr>
      </w:pPr>
    </w:p>
    <w:p w:rsidR="00051A2B" w:rsidRPr="00051A2B" w:rsidRDefault="00051A2B" w:rsidP="00051A2B">
      <w:pPr>
        <w:spacing w:after="60"/>
        <w:rPr>
          <w:rFonts w:asciiTheme="minorHAnsi" w:hAnsiTheme="minorHAnsi" w:cstheme="minorHAnsi"/>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9"/>
        <w:gridCol w:w="6755"/>
      </w:tblGrid>
      <w:tr w:rsidR="001B0F0D" w:rsidRPr="00051A2B" w:rsidTr="00051A2B">
        <w:tc>
          <w:tcPr>
            <w:tcW w:w="9134" w:type="dxa"/>
            <w:gridSpan w:val="2"/>
            <w:tcBorders>
              <w:bottom w:val="single" w:sz="4" w:space="0" w:color="auto"/>
            </w:tcBorders>
            <w:shd w:val="pct10" w:color="auto" w:fill="auto"/>
          </w:tcPr>
          <w:p w:rsidR="001B0F0D" w:rsidRPr="00051A2B" w:rsidRDefault="00D26984" w:rsidP="00051A2B">
            <w:pPr>
              <w:spacing w:after="60"/>
              <w:jc w:val="center"/>
              <w:rPr>
                <w:rFonts w:asciiTheme="minorHAnsi" w:hAnsiTheme="minorHAnsi" w:cstheme="minorHAnsi"/>
                <w:b/>
                <w:sz w:val="21"/>
                <w:szCs w:val="21"/>
              </w:rPr>
            </w:pPr>
            <w:bookmarkStart w:id="24" w:name="_Toc303777686"/>
            <w:bookmarkStart w:id="25" w:name="_Toc305492975"/>
            <w:bookmarkStart w:id="26" w:name="_Toc305493092"/>
            <w:bookmarkStart w:id="27" w:name="_Toc306627536"/>
            <w:bookmarkStart w:id="28" w:name="_Toc306628083"/>
            <w:bookmarkStart w:id="29" w:name="_Toc306628177"/>
            <w:bookmarkStart w:id="30" w:name="_Toc306628206"/>
            <w:bookmarkStart w:id="31" w:name="_Toc306631932"/>
            <w:bookmarkStart w:id="32" w:name="_Toc306691032"/>
            <w:r w:rsidRPr="00051A2B">
              <w:rPr>
                <w:rFonts w:asciiTheme="minorHAnsi" w:hAnsiTheme="minorHAnsi" w:cstheme="minorHAnsi"/>
                <w:b/>
                <w:sz w:val="21"/>
                <w:szCs w:val="21"/>
              </w:rPr>
              <w:t>DUTY SCHEDULES</w:t>
            </w:r>
            <w:bookmarkEnd w:id="24"/>
            <w:bookmarkEnd w:id="25"/>
            <w:bookmarkEnd w:id="26"/>
            <w:bookmarkEnd w:id="27"/>
            <w:bookmarkEnd w:id="28"/>
            <w:bookmarkEnd w:id="29"/>
            <w:bookmarkEnd w:id="30"/>
            <w:bookmarkEnd w:id="31"/>
            <w:bookmarkEnd w:id="32"/>
          </w:p>
        </w:tc>
      </w:tr>
      <w:tr w:rsidR="00051A2B" w:rsidRPr="00051A2B" w:rsidTr="00051A2B">
        <w:tc>
          <w:tcPr>
            <w:tcW w:w="2379" w:type="dxa"/>
            <w:shd w:val="pct10" w:color="auto" w:fill="auto"/>
          </w:tcPr>
          <w:p w:rsidR="00051A2B" w:rsidRPr="00051A2B" w:rsidRDefault="00051A2B" w:rsidP="00051A2B">
            <w:pPr>
              <w:spacing w:after="60"/>
              <w:jc w:val="center"/>
              <w:rPr>
                <w:rFonts w:asciiTheme="minorHAnsi" w:hAnsiTheme="minorHAnsi" w:cstheme="minorHAnsi"/>
                <w:b/>
                <w:bCs/>
                <w:sz w:val="21"/>
                <w:szCs w:val="21"/>
              </w:rPr>
            </w:pPr>
            <w:bookmarkStart w:id="33" w:name="_Toc303777689"/>
            <w:r w:rsidRPr="00051A2B">
              <w:rPr>
                <w:rFonts w:asciiTheme="minorHAnsi" w:hAnsiTheme="minorHAnsi" w:cstheme="minorHAnsi"/>
                <w:b/>
                <w:bCs/>
                <w:sz w:val="21"/>
                <w:szCs w:val="21"/>
              </w:rPr>
              <w:t xml:space="preserve">Written duty schedules listing </w:t>
            </w:r>
            <w:bookmarkEnd w:id="33"/>
            <w:r w:rsidRPr="00051A2B">
              <w:rPr>
                <w:rFonts w:asciiTheme="minorHAnsi" w:hAnsiTheme="minorHAnsi" w:cstheme="minorHAnsi"/>
                <w:b/>
                <w:bCs/>
                <w:sz w:val="21"/>
                <w:szCs w:val="21"/>
              </w:rPr>
              <w:t>specific tasks</w:t>
            </w:r>
          </w:p>
        </w:tc>
        <w:tc>
          <w:tcPr>
            <w:tcW w:w="6755" w:type="dxa"/>
            <w:shd w:val="pct10" w:color="auto" w:fill="auto"/>
          </w:tcPr>
          <w:p w:rsidR="00051A2B" w:rsidRPr="00051A2B" w:rsidRDefault="00051A2B" w:rsidP="00BA3DE4">
            <w:pPr>
              <w:spacing w:after="60"/>
              <w:rPr>
                <w:rFonts w:asciiTheme="minorHAnsi" w:hAnsiTheme="minorHAnsi" w:cstheme="minorHAnsi"/>
                <w:b/>
                <w:sz w:val="21"/>
                <w:szCs w:val="21"/>
              </w:rPr>
            </w:pPr>
            <w:r w:rsidRPr="00051A2B">
              <w:rPr>
                <w:rFonts w:asciiTheme="minorHAnsi" w:hAnsiTheme="minorHAnsi" w:cstheme="minorHAnsi"/>
                <w:b/>
                <w:sz w:val="21"/>
                <w:szCs w:val="21"/>
              </w:rPr>
              <w:t>Mandatory Practices for w</w:t>
            </w:r>
            <w:r w:rsidRPr="00051A2B">
              <w:rPr>
                <w:rFonts w:asciiTheme="minorHAnsi" w:hAnsiTheme="minorHAnsi" w:cstheme="minorHAnsi"/>
                <w:b/>
                <w:bCs/>
                <w:sz w:val="21"/>
                <w:szCs w:val="21"/>
              </w:rPr>
              <w:t>ritten duty schedules listing specific tasks</w:t>
            </w:r>
          </w:p>
        </w:tc>
      </w:tr>
      <w:tr w:rsidR="001B0F0D" w:rsidRPr="00051A2B" w:rsidTr="001B0F0D">
        <w:tc>
          <w:tcPr>
            <w:tcW w:w="2379" w:type="dxa"/>
          </w:tcPr>
          <w:p w:rsidR="001B0F0D" w:rsidRPr="00051A2B" w:rsidRDefault="001B0F0D" w:rsidP="00051A2B">
            <w:pPr>
              <w:spacing w:after="60"/>
              <w:rPr>
                <w:rFonts w:asciiTheme="minorHAnsi" w:hAnsiTheme="minorHAnsi" w:cstheme="minorHAnsi"/>
                <w:sz w:val="21"/>
                <w:szCs w:val="21"/>
              </w:rPr>
            </w:pPr>
            <w:bookmarkStart w:id="34" w:name="_Toc303777690"/>
            <w:r w:rsidRPr="00051A2B">
              <w:rPr>
                <w:rFonts w:asciiTheme="minorHAnsi" w:hAnsiTheme="minorHAnsi" w:cstheme="minorHAnsi"/>
                <w:sz w:val="21"/>
                <w:szCs w:val="21"/>
              </w:rPr>
              <w:t>Purpose: To ensure that employees fully understand what duties they are expected to carry out so that work can be completed in a timely and effective manner.</w:t>
            </w:r>
            <w:bookmarkEnd w:id="34"/>
            <w:r w:rsidRPr="00051A2B">
              <w:rPr>
                <w:rFonts w:asciiTheme="minorHAnsi" w:hAnsiTheme="minorHAnsi" w:cstheme="minorHAnsi"/>
                <w:sz w:val="21"/>
                <w:szCs w:val="21"/>
              </w:rPr>
              <w:t xml:space="preserve">  </w:t>
            </w:r>
          </w:p>
          <w:p w:rsidR="001B0F0D" w:rsidRPr="00051A2B" w:rsidRDefault="001B0F0D" w:rsidP="00051A2B">
            <w:pPr>
              <w:pStyle w:val="Heading3"/>
              <w:spacing w:before="0" w:after="60"/>
              <w:rPr>
                <w:rFonts w:asciiTheme="minorHAnsi" w:hAnsiTheme="minorHAnsi" w:cstheme="minorHAnsi"/>
                <w:sz w:val="21"/>
                <w:szCs w:val="21"/>
              </w:rPr>
            </w:pPr>
          </w:p>
        </w:tc>
        <w:tc>
          <w:tcPr>
            <w:tcW w:w="6755" w:type="dxa"/>
          </w:tcPr>
          <w:p w:rsidR="001B0F0D" w:rsidRPr="00051A2B" w:rsidRDefault="001B0F0D" w:rsidP="00051A2B">
            <w:pPr>
              <w:numPr>
                <w:ilvl w:val="0"/>
                <w:numId w:val="17"/>
              </w:numPr>
              <w:spacing w:after="60"/>
              <w:rPr>
                <w:rFonts w:asciiTheme="minorHAnsi" w:hAnsiTheme="minorHAnsi" w:cstheme="minorHAnsi"/>
                <w:sz w:val="21"/>
                <w:szCs w:val="21"/>
              </w:rPr>
            </w:pPr>
            <w:bookmarkStart w:id="35" w:name="_Toc303777691"/>
            <w:r w:rsidRPr="00051A2B">
              <w:rPr>
                <w:rFonts w:asciiTheme="minorHAnsi" w:hAnsiTheme="minorHAnsi" w:cstheme="minorHAnsi"/>
                <w:sz w:val="21"/>
                <w:szCs w:val="21"/>
              </w:rPr>
              <w:t>The cleaning service</w:t>
            </w:r>
            <w:r w:rsidR="00D8323F">
              <w:rPr>
                <w:rFonts w:asciiTheme="minorHAnsi" w:hAnsiTheme="minorHAnsi" w:cstheme="minorHAnsi"/>
                <w:sz w:val="21"/>
                <w:szCs w:val="21"/>
              </w:rPr>
              <w:t>s</w:t>
            </w:r>
            <w:r w:rsidRPr="00051A2B">
              <w:rPr>
                <w:rFonts w:asciiTheme="minorHAnsi" w:hAnsiTheme="minorHAnsi" w:cstheme="minorHAnsi"/>
                <w:sz w:val="21"/>
                <w:szCs w:val="21"/>
              </w:rPr>
              <w:t xml:space="preserve"> </w:t>
            </w:r>
            <w:r w:rsidR="00BA3DE4">
              <w:rPr>
                <w:rFonts w:asciiTheme="minorHAnsi" w:hAnsiTheme="minorHAnsi" w:cstheme="minorHAnsi"/>
                <w:sz w:val="21"/>
                <w:szCs w:val="21"/>
              </w:rPr>
              <w:t>contractor</w:t>
            </w:r>
            <w:r w:rsidRPr="00051A2B">
              <w:rPr>
                <w:rFonts w:asciiTheme="minorHAnsi" w:hAnsiTheme="minorHAnsi" w:cstheme="minorHAnsi"/>
                <w:sz w:val="21"/>
                <w:szCs w:val="21"/>
              </w:rPr>
              <w:t xml:space="preserve"> must provide a duty schedule to employees at each site which specifies the particular tasks that are to be performed on each individual floor.</w:t>
            </w:r>
            <w:bookmarkEnd w:id="35"/>
            <w:r w:rsidRPr="00051A2B">
              <w:rPr>
                <w:rFonts w:asciiTheme="minorHAnsi" w:hAnsiTheme="minorHAnsi" w:cstheme="minorHAnsi"/>
                <w:sz w:val="21"/>
                <w:szCs w:val="21"/>
              </w:rPr>
              <w:t xml:space="preserve"> </w:t>
            </w:r>
          </w:p>
          <w:p w:rsidR="001B0F0D" w:rsidRPr="00051A2B" w:rsidRDefault="001B0F0D" w:rsidP="00051A2B">
            <w:pPr>
              <w:numPr>
                <w:ilvl w:val="0"/>
                <w:numId w:val="17"/>
              </w:numPr>
              <w:spacing w:after="60"/>
              <w:rPr>
                <w:rFonts w:asciiTheme="minorHAnsi" w:hAnsiTheme="minorHAnsi" w:cstheme="minorHAnsi"/>
                <w:sz w:val="21"/>
                <w:szCs w:val="21"/>
              </w:rPr>
            </w:pPr>
            <w:bookmarkStart w:id="36" w:name="_Toc303777692"/>
            <w:r w:rsidRPr="00051A2B">
              <w:rPr>
                <w:rFonts w:asciiTheme="minorHAnsi" w:hAnsiTheme="minorHAnsi" w:cstheme="minorHAnsi"/>
                <w:sz w:val="21"/>
                <w:szCs w:val="21"/>
              </w:rPr>
              <w:t>Duty schedules must be reviewed on a regular basis to ensure that they are meeting the requir</w:t>
            </w:r>
            <w:r w:rsidR="00141211">
              <w:rPr>
                <w:rFonts w:asciiTheme="minorHAnsi" w:hAnsiTheme="minorHAnsi" w:cstheme="minorHAnsi"/>
                <w:sz w:val="21"/>
                <w:szCs w:val="21"/>
              </w:rPr>
              <w:t>ements of the contract and the employees.</w:t>
            </w:r>
            <w:bookmarkEnd w:id="36"/>
            <w:r w:rsidR="00141211">
              <w:rPr>
                <w:rFonts w:asciiTheme="minorHAnsi" w:hAnsiTheme="minorHAnsi" w:cstheme="minorHAnsi"/>
                <w:sz w:val="21"/>
                <w:szCs w:val="21"/>
              </w:rPr>
              <w:t xml:space="preserve"> </w:t>
            </w:r>
          </w:p>
          <w:p w:rsidR="001B0F0D" w:rsidRPr="00051A2B" w:rsidRDefault="00141211" w:rsidP="00051A2B">
            <w:pPr>
              <w:numPr>
                <w:ilvl w:val="0"/>
                <w:numId w:val="17"/>
              </w:numPr>
              <w:spacing w:after="60"/>
              <w:rPr>
                <w:rFonts w:asciiTheme="minorHAnsi" w:hAnsiTheme="minorHAnsi" w:cstheme="minorHAnsi"/>
                <w:sz w:val="21"/>
                <w:szCs w:val="21"/>
              </w:rPr>
            </w:pPr>
            <w:bookmarkStart w:id="37" w:name="_Toc303777693"/>
            <w:r>
              <w:rPr>
                <w:rFonts w:asciiTheme="minorHAnsi" w:hAnsiTheme="minorHAnsi" w:cstheme="minorHAnsi"/>
                <w:sz w:val="21"/>
                <w:szCs w:val="21"/>
              </w:rPr>
              <w:t>Each employee must be informed in writing about which floor, floors</w:t>
            </w:r>
            <w:r w:rsidR="00500270">
              <w:rPr>
                <w:rFonts w:asciiTheme="minorHAnsi" w:hAnsiTheme="minorHAnsi" w:cstheme="minorHAnsi"/>
                <w:sz w:val="21"/>
                <w:szCs w:val="21"/>
              </w:rPr>
              <w:t>,</w:t>
            </w:r>
            <w:r>
              <w:rPr>
                <w:rFonts w:asciiTheme="minorHAnsi" w:hAnsiTheme="minorHAnsi" w:cstheme="minorHAnsi"/>
                <w:sz w:val="21"/>
                <w:szCs w:val="21"/>
              </w:rPr>
              <w:t xml:space="preserve"> or areas of a floor they are allocated to clean.</w:t>
            </w:r>
            <w:bookmarkEnd w:id="37"/>
            <w:r>
              <w:rPr>
                <w:rFonts w:asciiTheme="minorHAnsi" w:hAnsiTheme="minorHAnsi" w:cstheme="minorHAnsi"/>
                <w:sz w:val="21"/>
                <w:szCs w:val="21"/>
              </w:rPr>
              <w:t xml:space="preserve"> </w:t>
            </w:r>
          </w:p>
          <w:p w:rsidR="001B0F0D" w:rsidRPr="00051A2B" w:rsidRDefault="00141211" w:rsidP="00BA3DE4">
            <w:pPr>
              <w:numPr>
                <w:ilvl w:val="0"/>
                <w:numId w:val="17"/>
              </w:numPr>
              <w:spacing w:after="60"/>
              <w:rPr>
                <w:rFonts w:asciiTheme="minorHAnsi" w:hAnsiTheme="minorHAnsi" w:cstheme="minorHAnsi"/>
                <w:sz w:val="21"/>
                <w:szCs w:val="21"/>
              </w:rPr>
            </w:pPr>
            <w:bookmarkStart w:id="38" w:name="_Toc303777694"/>
            <w:r>
              <w:rPr>
                <w:rFonts w:asciiTheme="minorHAnsi" w:hAnsiTheme="minorHAnsi" w:cstheme="minorHAnsi"/>
                <w:sz w:val="21"/>
                <w:szCs w:val="21"/>
              </w:rPr>
              <w:t>In preparing documentation for employees, including duty schedules, the cleaning service</w:t>
            </w:r>
            <w:r w:rsidR="00D8323F">
              <w:rPr>
                <w:rFonts w:asciiTheme="minorHAnsi" w:hAnsiTheme="minorHAnsi" w:cstheme="minorHAnsi"/>
                <w:sz w:val="21"/>
                <w:szCs w:val="21"/>
              </w:rPr>
              <w:t>s</w:t>
            </w:r>
            <w:r>
              <w:rPr>
                <w:rFonts w:asciiTheme="minorHAnsi" w:hAnsiTheme="minorHAnsi" w:cstheme="minorHAnsi"/>
                <w:sz w:val="21"/>
                <w:szCs w:val="21"/>
              </w:rPr>
              <w:t xml:space="preserve"> </w:t>
            </w:r>
            <w:r w:rsidR="00BA3DE4">
              <w:rPr>
                <w:rFonts w:asciiTheme="minorHAnsi" w:hAnsiTheme="minorHAnsi" w:cstheme="minorHAnsi"/>
                <w:sz w:val="21"/>
                <w:szCs w:val="21"/>
              </w:rPr>
              <w:t>contractor</w:t>
            </w:r>
            <w:r>
              <w:rPr>
                <w:rFonts w:asciiTheme="minorHAnsi" w:hAnsiTheme="minorHAnsi" w:cstheme="minorHAnsi"/>
                <w:sz w:val="21"/>
                <w:szCs w:val="21"/>
              </w:rPr>
              <w:t xml:space="preserve"> must have regard to the language skills of each employee.</w:t>
            </w:r>
            <w:bookmarkEnd w:id="38"/>
            <w:r>
              <w:rPr>
                <w:rFonts w:asciiTheme="minorHAnsi" w:hAnsiTheme="minorHAnsi" w:cstheme="minorHAnsi"/>
                <w:sz w:val="21"/>
                <w:szCs w:val="21"/>
              </w:rPr>
              <w:t xml:space="preserve"> </w:t>
            </w:r>
          </w:p>
        </w:tc>
      </w:tr>
    </w:tbl>
    <w:p w:rsidR="001B0F0D" w:rsidRDefault="001B0F0D" w:rsidP="00051A2B">
      <w:pPr>
        <w:spacing w:after="60"/>
        <w:rPr>
          <w:rFonts w:asciiTheme="minorHAnsi" w:hAnsiTheme="minorHAnsi" w:cstheme="minorHAnsi"/>
          <w:sz w:val="21"/>
          <w:szCs w:val="21"/>
        </w:rPr>
      </w:pPr>
    </w:p>
    <w:p w:rsidR="00051A2B" w:rsidRDefault="00051A2B" w:rsidP="00051A2B">
      <w:pPr>
        <w:spacing w:after="60"/>
        <w:rPr>
          <w:rFonts w:asciiTheme="minorHAnsi" w:hAnsiTheme="minorHAnsi" w:cstheme="minorHAnsi"/>
          <w:sz w:val="21"/>
          <w:szCs w:val="21"/>
        </w:rPr>
      </w:pPr>
    </w:p>
    <w:p w:rsidR="00051A2B" w:rsidRPr="00051A2B" w:rsidRDefault="00051A2B" w:rsidP="00051A2B">
      <w:pPr>
        <w:spacing w:after="60"/>
        <w:rPr>
          <w:rFonts w:asciiTheme="minorHAnsi" w:hAnsiTheme="minorHAnsi" w:cstheme="minorHAnsi"/>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6724"/>
      </w:tblGrid>
      <w:tr w:rsidR="001B0F0D" w:rsidRPr="00051A2B" w:rsidTr="00051A2B">
        <w:tc>
          <w:tcPr>
            <w:tcW w:w="9134" w:type="dxa"/>
            <w:gridSpan w:val="2"/>
            <w:tcBorders>
              <w:bottom w:val="single" w:sz="4" w:space="0" w:color="auto"/>
            </w:tcBorders>
            <w:shd w:val="pct10" w:color="auto" w:fill="auto"/>
          </w:tcPr>
          <w:p w:rsidR="001B0F0D" w:rsidRPr="00051A2B" w:rsidRDefault="00D26984" w:rsidP="00051A2B">
            <w:pPr>
              <w:spacing w:after="60"/>
              <w:jc w:val="center"/>
              <w:rPr>
                <w:rFonts w:asciiTheme="minorHAnsi" w:hAnsiTheme="minorHAnsi" w:cstheme="minorHAnsi"/>
                <w:b/>
                <w:sz w:val="21"/>
                <w:szCs w:val="21"/>
              </w:rPr>
            </w:pPr>
            <w:bookmarkStart w:id="39" w:name="_Toc305492976"/>
            <w:bookmarkStart w:id="40" w:name="_Toc305493093"/>
            <w:bookmarkStart w:id="41" w:name="_Toc306627537"/>
            <w:bookmarkStart w:id="42" w:name="_Toc306628084"/>
            <w:bookmarkStart w:id="43" w:name="_Toc306628178"/>
            <w:bookmarkStart w:id="44" w:name="_Toc306628207"/>
            <w:bookmarkStart w:id="45" w:name="_Toc306631933"/>
            <w:bookmarkStart w:id="46" w:name="_Toc306691033"/>
            <w:r w:rsidRPr="00051A2B">
              <w:rPr>
                <w:rFonts w:asciiTheme="minorHAnsi" w:hAnsiTheme="minorHAnsi" w:cstheme="minorHAnsi"/>
                <w:b/>
                <w:sz w:val="21"/>
                <w:szCs w:val="21"/>
              </w:rPr>
              <w:t>FAIR AND REASONABLE WORKLOADS</w:t>
            </w:r>
            <w:bookmarkEnd w:id="39"/>
            <w:bookmarkEnd w:id="40"/>
            <w:bookmarkEnd w:id="41"/>
            <w:bookmarkEnd w:id="42"/>
            <w:bookmarkEnd w:id="43"/>
            <w:bookmarkEnd w:id="44"/>
            <w:bookmarkEnd w:id="45"/>
            <w:bookmarkEnd w:id="46"/>
          </w:p>
        </w:tc>
      </w:tr>
      <w:tr w:rsidR="00051A2B" w:rsidRPr="00051A2B" w:rsidTr="00397893">
        <w:tc>
          <w:tcPr>
            <w:tcW w:w="2410" w:type="dxa"/>
            <w:shd w:val="pct10" w:color="auto" w:fill="auto"/>
          </w:tcPr>
          <w:p w:rsidR="00051A2B" w:rsidRPr="00051A2B" w:rsidRDefault="00051A2B" w:rsidP="00051A2B">
            <w:pPr>
              <w:spacing w:after="60"/>
              <w:jc w:val="center"/>
              <w:rPr>
                <w:rFonts w:asciiTheme="minorHAnsi" w:hAnsiTheme="minorHAnsi" w:cstheme="minorHAnsi"/>
                <w:b/>
                <w:bCs/>
                <w:sz w:val="21"/>
                <w:szCs w:val="21"/>
              </w:rPr>
            </w:pPr>
            <w:bookmarkStart w:id="47" w:name="_Toc303777704"/>
            <w:r w:rsidRPr="00051A2B">
              <w:rPr>
                <w:rFonts w:asciiTheme="minorHAnsi" w:hAnsiTheme="minorHAnsi" w:cstheme="minorHAnsi"/>
                <w:b/>
                <w:bCs/>
                <w:sz w:val="21"/>
                <w:szCs w:val="21"/>
              </w:rPr>
              <w:t>Fair and reasonable workloads and adequate staff numbers to meet performance levels.</w:t>
            </w:r>
            <w:bookmarkEnd w:id="47"/>
          </w:p>
        </w:tc>
        <w:tc>
          <w:tcPr>
            <w:tcW w:w="6724" w:type="dxa"/>
            <w:shd w:val="pct10" w:color="auto" w:fill="auto"/>
          </w:tcPr>
          <w:p w:rsidR="00051A2B" w:rsidRPr="00051A2B" w:rsidRDefault="00051A2B" w:rsidP="00BA3DE4">
            <w:pPr>
              <w:spacing w:after="60"/>
              <w:rPr>
                <w:rFonts w:asciiTheme="minorHAnsi" w:hAnsiTheme="minorHAnsi" w:cstheme="minorHAnsi"/>
                <w:b/>
                <w:sz w:val="21"/>
                <w:szCs w:val="21"/>
              </w:rPr>
            </w:pPr>
            <w:r w:rsidRPr="00051A2B">
              <w:rPr>
                <w:rFonts w:asciiTheme="minorHAnsi" w:hAnsiTheme="minorHAnsi" w:cstheme="minorHAnsi"/>
                <w:b/>
                <w:sz w:val="21"/>
                <w:szCs w:val="21"/>
              </w:rPr>
              <w:t xml:space="preserve">Mandatory Practices for </w:t>
            </w:r>
            <w:r w:rsidRPr="00051A2B">
              <w:rPr>
                <w:rFonts w:asciiTheme="minorHAnsi" w:hAnsiTheme="minorHAnsi" w:cstheme="minorHAnsi"/>
                <w:b/>
                <w:bCs/>
                <w:sz w:val="21"/>
                <w:szCs w:val="21"/>
              </w:rPr>
              <w:t>fair and reasonable workloads and adequate staff numbers to meet performance levels</w:t>
            </w:r>
          </w:p>
        </w:tc>
      </w:tr>
      <w:tr w:rsidR="001B0F0D" w:rsidRPr="00051A2B" w:rsidTr="00397893">
        <w:tc>
          <w:tcPr>
            <w:tcW w:w="2410" w:type="dxa"/>
          </w:tcPr>
          <w:p w:rsidR="001B0F0D" w:rsidRPr="00051A2B" w:rsidRDefault="001B0F0D" w:rsidP="00051A2B">
            <w:pPr>
              <w:spacing w:after="60"/>
              <w:rPr>
                <w:rFonts w:asciiTheme="minorHAnsi" w:hAnsiTheme="minorHAnsi" w:cstheme="minorHAnsi"/>
                <w:sz w:val="21"/>
                <w:szCs w:val="21"/>
              </w:rPr>
            </w:pPr>
            <w:r w:rsidRPr="00051A2B">
              <w:rPr>
                <w:rFonts w:asciiTheme="minorHAnsi" w:hAnsiTheme="minorHAnsi" w:cstheme="minorHAnsi"/>
                <w:sz w:val="21"/>
                <w:szCs w:val="21"/>
              </w:rPr>
              <w:t>Purpose: To ensure employees can complete their workloads effectively during their rostered shift</w:t>
            </w:r>
            <w:r w:rsidR="00500270">
              <w:rPr>
                <w:rFonts w:asciiTheme="minorHAnsi" w:hAnsiTheme="minorHAnsi" w:cstheme="minorHAnsi"/>
                <w:sz w:val="21"/>
                <w:szCs w:val="21"/>
              </w:rPr>
              <w:t>.</w:t>
            </w:r>
            <w:r w:rsidRPr="00051A2B">
              <w:rPr>
                <w:rFonts w:asciiTheme="minorHAnsi" w:hAnsiTheme="minorHAnsi" w:cstheme="minorHAnsi"/>
                <w:sz w:val="21"/>
                <w:szCs w:val="21"/>
              </w:rPr>
              <w:t xml:space="preserve"> </w:t>
            </w:r>
          </w:p>
        </w:tc>
        <w:tc>
          <w:tcPr>
            <w:tcW w:w="6724" w:type="dxa"/>
          </w:tcPr>
          <w:p w:rsidR="001B0F0D" w:rsidRPr="00051A2B" w:rsidRDefault="001B0F0D" w:rsidP="00051A2B">
            <w:pPr>
              <w:numPr>
                <w:ilvl w:val="0"/>
                <w:numId w:val="17"/>
              </w:numPr>
              <w:spacing w:after="60"/>
              <w:rPr>
                <w:rFonts w:asciiTheme="minorHAnsi" w:hAnsiTheme="minorHAnsi" w:cstheme="minorHAnsi"/>
                <w:sz w:val="21"/>
                <w:szCs w:val="21"/>
              </w:rPr>
            </w:pPr>
            <w:bookmarkStart w:id="48" w:name="_Toc303777706"/>
            <w:r w:rsidRPr="00051A2B">
              <w:rPr>
                <w:rFonts w:asciiTheme="minorHAnsi" w:hAnsiTheme="minorHAnsi" w:cstheme="minorHAnsi"/>
                <w:sz w:val="21"/>
                <w:szCs w:val="21"/>
              </w:rPr>
              <w:t>The cleaning service</w:t>
            </w:r>
            <w:r w:rsidR="00D8323F">
              <w:rPr>
                <w:rFonts w:asciiTheme="minorHAnsi" w:hAnsiTheme="minorHAnsi" w:cstheme="minorHAnsi"/>
                <w:sz w:val="21"/>
                <w:szCs w:val="21"/>
              </w:rPr>
              <w:t>s</w:t>
            </w:r>
            <w:r w:rsidRPr="00051A2B">
              <w:rPr>
                <w:rFonts w:asciiTheme="minorHAnsi" w:hAnsiTheme="minorHAnsi" w:cstheme="minorHAnsi"/>
                <w:sz w:val="21"/>
                <w:szCs w:val="21"/>
              </w:rPr>
              <w:t xml:space="preserve"> </w:t>
            </w:r>
            <w:r w:rsidR="00BA3DE4">
              <w:rPr>
                <w:rFonts w:asciiTheme="minorHAnsi" w:hAnsiTheme="minorHAnsi" w:cstheme="minorHAnsi"/>
                <w:sz w:val="21"/>
                <w:szCs w:val="21"/>
              </w:rPr>
              <w:t>contractor</w:t>
            </w:r>
            <w:r w:rsidRPr="00051A2B">
              <w:rPr>
                <w:rFonts w:asciiTheme="minorHAnsi" w:hAnsiTheme="minorHAnsi" w:cstheme="minorHAnsi"/>
                <w:sz w:val="21"/>
                <w:szCs w:val="21"/>
              </w:rPr>
              <w:t xml:space="preserve"> must ensure that there are sufficient employees at a given site to carry out the work required by the </w:t>
            </w:r>
            <w:r w:rsidR="00B158F4">
              <w:rPr>
                <w:rFonts w:asciiTheme="minorHAnsi" w:hAnsiTheme="minorHAnsi" w:cstheme="minorHAnsi"/>
                <w:sz w:val="21"/>
                <w:szCs w:val="21"/>
              </w:rPr>
              <w:t>Australian Government Cleaning Services Contract</w:t>
            </w:r>
            <w:r w:rsidRPr="00051A2B">
              <w:rPr>
                <w:rFonts w:asciiTheme="minorHAnsi" w:hAnsiTheme="minorHAnsi" w:cstheme="minorHAnsi"/>
                <w:sz w:val="21"/>
                <w:szCs w:val="21"/>
              </w:rPr>
              <w:t>.</w:t>
            </w:r>
            <w:bookmarkEnd w:id="48"/>
          </w:p>
          <w:p w:rsidR="001B0F0D" w:rsidRPr="00051A2B" w:rsidRDefault="00141211" w:rsidP="00051A2B">
            <w:pPr>
              <w:numPr>
                <w:ilvl w:val="0"/>
                <w:numId w:val="17"/>
              </w:numPr>
              <w:spacing w:after="60"/>
              <w:rPr>
                <w:rFonts w:asciiTheme="minorHAnsi" w:hAnsiTheme="minorHAnsi" w:cstheme="minorHAnsi"/>
                <w:sz w:val="21"/>
                <w:szCs w:val="21"/>
              </w:rPr>
            </w:pPr>
            <w:bookmarkStart w:id="49" w:name="_Toc303777707"/>
            <w:r>
              <w:rPr>
                <w:rFonts w:asciiTheme="minorHAnsi" w:hAnsiTheme="minorHAnsi" w:cstheme="minorHAnsi"/>
                <w:sz w:val="21"/>
                <w:szCs w:val="21"/>
              </w:rPr>
              <w:t>In determining what is ‘reasonable’ the contractor must consider the following:</w:t>
            </w:r>
            <w:bookmarkEnd w:id="49"/>
            <w:r>
              <w:rPr>
                <w:rFonts w:asciiTheme="minorHAnsi" w:hAnsiTheme="minorHAnsi" w:cstheme="minorHAnsi"/>
                <w:sz w:val="21"/>
                <w:szCs w:val="21"/>
              </w:rPr>
              <w:t xml:space="preserve"> </w:t>
            </w:r>
          </w:p>
          <w:p w:rsidR="001B0F0D" w:rsidRPr="00051A2B" w:rsidRDefault="00141211" w:rsidP="00051A2B">
            <w:pPr>
              <w:numPr>
                <w:ilvl w:val="1"/>
                <w:numId w:val="17"/>
              </w:numPr>
              <w:tabs>
                <w:tab w:val="left" w:pos="440"/>
                <w:tab w:val="right" w:leader="dot" w:pos="9016"/>
              </w:tabs>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the capacity of employees to complete all work during  ‘paid time’ without causing over exertion (the employee’s normal rostered shift); and</w:t>
            </w:r>
          </w:p>
          <w:p w:rsidR="001B0F0D" w:rsidRPr="00051A2B" w:rsidRDefault="00141211" w:rsidP="00051A2B">
            <w:pPr>
              <w:numPr>
                <w:ilvl w:val="1"/>
                <w:numId w:val="17"/>
              </w:numPr>
              <w:tabs>
                <w:tab w:val="left" w:pos="440"/>
                <w:tab w:val="right" w:leader="dot" w:pos="9016"/>
              </w:tabs>
              <w:spacing w:after="60"/>
              <w:ind w:left="709" w:hanging="283"/>
              <w:rPr>
                <w:rFonts w:asciiTheme="minorHAnsi" w:hAnsiTheme="minorHAnsi" w:cstheme="minorHAnsi"/>
                <w:color w:val="0D0D0D"/>
                <w:sz w:val="21"/>
                <w:szCs w:val="21"/>
              </w:rPr>
            </w:pPr>
            <w:r>
              <w:rPr>
                <w:rFonts w:asciiTheme="minorHAnsi" w:hAnsiTheme="minorHAnsi" w:cstheme="minorHAnsi"/>
                <w:color w:val="0D0D0D"/>
                <w:sz w:val="21"/>
                <w:szCs w:val="21"/>
              </w:rPr>
              <w:t>the delivery of quality cleaning services to building owners and tenants.</w:t>
            </w:r>
          </w:p>
          <w:p w:rsidR="001B0F0D" w:rsidRPr="00051A2B" w:rsidRDefault="00141211" w:rsidP="00BA3DE4">
            <w:pPr>
              <w:numPr>
                <w:ilvl w:val="0"/>
                <w:numId w:val="17"/>
              </w:numPr>
              <w:tabs>
                <w:tab w:val="left" w:pos="440"/>
                <w:tab w:val="right" w:leader="dot" w:pos="9016"/>
              </w:tabs>
              <w:spacing w:after="60"/>
              <w:rPr>
                <w:rFonts w:asciiTheme="minorHAnsi" w:hAnsiTheme="minorHAnsi" w:cstheme="minorHAnsi"/>
                <w:sz w:val="21"/>
                <w:szCs w:val="21"/>
              </w:rPr>
            </w:pPr>
            <w:bookmarkStart w:id="50" w:name="_Toc303777708"/>
            <w:r>
              <w:rPr>
                <w:rFonts w:asciiTheme="minorHAnsi" w:hAnsiTheme="minorHAnsi" w:cstheme="minorHAnsi"/>
                <w:sz w:val="21"/>
                <w:szCs w:val="21"/>
              </w:rPr>
              <w:t>The cleaning service</w:t>
            </w:r>
            <w:r w:rsidR="00D8323F">
              <w:rPr>
                <w:rFonts w:asciiTheme="minorHAnsi" w:hAnsiTheme="minorHAnsi" w:cstheme="minorHAnsi"/>
                <w:sz w:val="21"/>
                <w:szCs w:val="21"/>
              </w:rPr>
              <w:t>s</w:t>
            </w:r>
            <w:r>
              <w:rPr>
                <w:rFonts w:asciiTheme="minorHAnsi" w:hAnsiTheme="minorHAnsi" w:cstheme="minorHAnsi"/>
                <w:sz w:val="21"/>
                <w:szCs w:val="21"/>
              </w:rPr>
              <w:t xml:space="preserve"> </w:t>
            </w:r>
            <w:r w:rsidR="00BA3DE4">
              <w:rPr>
                <w:rFonts w:asciiTheme="minorHAnsi" w:hAnsiTheme="minorHAnsi" w:cstheme="minorHAnsi"/>
                <w:sz w:val="21"/>
                <w:szCs w:val="21"/>
              </w:rPr>
              <w:t>contractor</w:t>
            </w:r>
            <w:r>
              <w:rPr>
                <w:rFonts w:asciiTheme="minorHAnsi" w:hAnsiTheme="minorHAnsi" w:cstheme="minorHAnsi"/>
                <w:sz w:val="21"/>
                <w:szCs w:val="21"/>
              </w:rPr>
              <w:t xml:space="preserve"> must ensure that duty schedules can be undertaken in the normal rostered shift worked by each respective employee.</w:t>
            </w:r>
            <w:bookmarkEnd w:id="50"/>
            <w:r>
              <w:rPr>
                <w:rFonts w:asciiTheme="minorHAnsi" w:hAnsiTheme="minorHAnsi" w:cstheme="minorHAnsi"/>
                <w:sz w:val="21"/>
                <w:szCs w:val="21"/>
              </w:rPr>
              <w:t xml:space="preserve"> </w:t>
            </w:r>
          </w:p>
        </w:tc>
      </w:tr>
    </w:tbl>
    <w:p w:rsidR="001B0F0D" w:rsidRPr="00051A2B" w:rsidRDefault="001B0F0D" w:rsidP="00051A2B">
      <w:pPr>
        <w:spacing w:after="60"/>
        <w:rPr>
          <w:rFonts w:asciiTheme="minorHAnsi" w:hAnsiTheme="minorHAnsi" w:cstheme="minorHAnsi"/>
          <w:sz w:val="21"/>
          <w:szCs w:val="21"/>
        </w:rPr>
      </w:pPr>
    </w:p>
    <w:p w:rsidR="001B0F0D" w:rsidRDefault="001B0F0D" w:rsidP="00051A2B">
      <w:pPr>
        <w:spacing w:after="60"/>
        <w:rPr>
          <w:rFonts w:asciiTheme="minorHAnsi" w:hAnsiTheme="minorHAnsi" w:cstheme="minorHAnsi"/>
          <w:sz w:val="21"/>
          <w:szCs w:val="21"/>
        </w:rPr>
      </w:pPr>
    </w:p>
    <w:p w:rsidR="00051A2B" w:rsidRDefault="00051A2B" w:rsidP="00051A2B">
      <w:pPr>
        <w:spacing w:after="60"/>
        <w:rPr>
          <w:rFonts w:asciiTheme="minorHAnsi" w:hAnsiTheme="minorHAnsi" w:cstheme="minorHAnsi"/>
          <w:sz w:val="21"/>
          <w:szCs w:val="21"/>
        </w:rPr>
      </w:pPr>
    </w:p>
    <w:p w:rsidR="00051A2B" w:rsidRDefault="00051A2B" w:rsidP="00051A2B">
      <w:pPr>
        <w:spacing w:after="60"/>
        <w:rPr>
          <w:rFonts w:asciiTheme="minorHAnsi" w:hAnsiTheme="minorHAnsi" w:cstheme="minorHAnsi"/>
          <w:sz w:val="21"/>
          <w:szCs w:val="21"/>
        </w:rPr>
      </w:pPr>
    </w:p>
    <w:p w:rsidR="00051A2B" w:rsidRDefault="00051A2B" w:rsidP="00051A2B">
      <w:pPr>
        <w:spacing w:after="60"/>
        <w:rPr>
          <w:rFonts w:asciiTheme="minorHAnsi" w:hAnsiTheme="minorHAnsi" w:cstheme="minorHAnsi"/>
          <w:sz w:val="21"/>
          <w:szCs w:val="21"/>
        </w:rPr>
      </w:pPr>
    </w:p>
    <w:p w:rsidR="00051A2B" w:rsidRDefault="00051A2B" w:rsidP="00051A2B">
      <w:pPr>
        <w:spacing w:after="60"/>
        <w:rPr>
          <w:rFonts w:asciiTheme="minorHAnsi" w:hAnsiTheme="minorHAnsi" w:cstheme="minorHAnsi"/>
          <w:sz w:val="21"/>
          <w:szCs w:val="21"/>
        </w:rPr>
      </w:pPr>
    </w:p>
    <w:p w:rsidR="00051A2B" w:rsidRDefault="00051A2B" w:rsidP="00051A2B">
      <w:pPr>
        <w:spacing w:after="60"/>
        <w:rPr>
          <w:rFonts w:asciiTheme="minorHAnsi" w:hAnsiTheme="minorHAnsi" w:cstheme="minorHAnsi"/>
          <w:sz w:val="21"/>
          <w:szCs w:val="21"/>
        </w:rPr>
      </w:pPr>
    </w:p>
    <w:p w:rsidR="00051A2B" w:rsidRDefault="00051A2B" w:rsidP="00051A2B">
      <w:pPr>
        <w:spacing w:after="60"/>
        <w:rPr>
          <w:rFonts w:asciiTheme="minorHAnsi" w:hAnsiTheme="minorHAnsi" w:cstheme="minorHAnsi"/>
          <w:sz w:val="21"/>
          <w:szCs w:val="21"/>
        </w:rPr>
      </w:pPr>
    </w:p>
    <w:p w:rsidR="00051A2B" w:rsidRDefault="00051A2B" w:rsidP="00051A2B">
      <w:pPr>
        <w:spacing w:after="60"/>
        <w:rPr>
          <w:rFonts w:asciiTheme="minorHAnsi" w:hAnsiTheme="minorHAnsi" w:cstheme="minorHAnsi"/>
          <w:sz w:val="21"/>
          <w:szCs w:val="21"/>
        </w:rPr>
      </w:pPr>
    </w:p>
    <w:p w:rsidR="00051A2B" w:rsidRDefault="00051A2B" w:rsidP="00051A2B">
      <w:pPr>
        <w:spacing w:after="60"/>
        <w:rPr>
          <w:rFonts w:asciiTheme="minorHAnsi" w:hAnsiTheme="minorHAnsi" w:cstheme="minorHAnsi"/>
          <w:sz w:val="21"/>
          <w:szCs w:val="21"/>
        </w:rPr>
      </w:pPr>
    </w:p>
    <w:p w:rsidR="00051A2B" w:rsidRDefault="00051A2B" w:rsidP="00051A2B">
      <w:pPr>
        <w:spacing w:after="60"/>
        <w:rPr>
          <w:rFonts w:asciiTheme="minorHAnsi" w:hAnsiTheme="minorHAnsi" w:cstheme="minorHAnsi"/>
          <w:sz w:val="21"/>
          <w:szCs w:val="21"/>
        </w:rPr>
      </w:pPr>
    </w:p>
    <w:p w:rsidR="00051A2B" w:rsidRDefault="00051A2B" w:rsidP="00051A2B">
      <w:pPr>
        <w:spacing w:after="60"/>
        <w:rPr>
          <w:rFonts w:asciiTheme="minorHAnsi" w:hAnsiTheme="minorHAnsi" w:cstheme="minorHAnsi"/>
          <w:sz w:val="21"/>
          <w:szCs w:val="21"/>
        </w:rPr>
      </w:pPr>
    </w:p>
    <w:p w:rsidR="00051A2B" w:rsidRPr="00051A2B" w:rsidRDefault="00051A2B" w:rsidP="00051A2B">
      <w:pPr>
        <w:spacing w:after="60"/>
        <w:rPr>
          <w:rFonts w:asciiTheme="minorHAnsi" w:hAnsiTheme="minorHAnsi" w:cstheme="minorHAnsi"/>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6724"/>
      </w:tblGrid>
      <w:tr w:rsidR="001B0F0D" w:rsidRPr="00051A2B" w:rsidTr="00051A2B">
        <w:tc>
          <w:tcPr>
            <w:tcW w:w="9134" w:type="dxa"/>
            <w:gridSpan w:val="2"/>
            <w:tcBorders>
              <w:bottom w:val="single" w:sz="4" w:space="0" w:color="auto"/>
            </w:tcBorders>
            <w:shd w:val="pct10" w:color="auto" w:fill="auto"/>
          </w:tcPr>
          <w:p w:rsidR="001B0F0D" w:rsidRPr="00051A2B" w:rsidRDefault="00D26984" w:rsidP="00051A2B">
            <w:pPr>
              <w:spacing w:after="60"/>
              <w:jc w:val="center"/>
              <w:rPr>
                <w:rFonts w:asciiTheme="minorHAnsi" w:hAnsiTheme="minorHAnsi" w:cstheme="minorHAnsi"/>
                <w:b/>
                <w:sz w:val="21"/>
                <w:szCs w:val="21"/>
              </w:rPr>
            </w:pPr>
            <w:bookmarkStart w:id="51" w:name="_Toc305492977"/>
            <w:bookmarkStart w:id="52" w:name="_Toc305493094"/>
            <w:bookmarkStart w:id="53" w:name="_Toc306627538"/>
            <w:bookmarkStart w:id="54" w:name="_Toc306628085"/>
            <w:bookmarkStart w:id="55" w:name="_Toc306628179"/>
            <w:bookmarkStart w:id="56" w:name="_Toc306628208"/>
            <w:bookmarkStart w:id="57" w:name="_Toc306631934"/>
            <w:bookmarkStart w:id="58" w:name="_Toc306691034"/>
            <w:r w:rsidRPr="00051A2B">
              <w:rPr>
                <w:rFonts w:asciiTheme="minorHAnsi" w:hAnsiTheme="minorHAnsi" w:cstheme="minorHAnsi"/>
                <w:b/>
                <w:sz w:val="21"/>
                <w:szCs w:val="21"/>
              </w:rPr>
              <w:t>FREEDOM OF ASSOCIATION, CONSULTATION AND DISPUTE RESOLUTION</w:t>
            </w:r>
            <w:bookmarkEnd w:id="51"/>
            <w:bookmarkEnd w:id="52"/>
            <w:bookmarkEnd w:id="53"/>
            <w:bookmarkEnd w:id="54"/>
            <w:bookmarkEnd w:id="55"/>
            <w:bookmarkEnd w:id="56"/>
            <w:bookmarkEnd w:id="57"/>
            <w:bookmarkEnd w:id="58"/>
          </w:p>
        </w:tc>
      </w:tr>
      <w:tr w:rsidR="00051A2B" w:rsidRPr="00051A2B" w:rsidTr="00397893">
        <w:tc>
          <w:tcPr>
            <w:tcW w:w="2410" w:type="dxa"/>
            <w:shd w:val="pct10" w:color="auto" w:fill="auto"/>
          </w:tcPr>
          <w:p w:rsidR="00051A2B" w:rsidRPr="00051A2B" w:rsidRDefault="00051A2B" w:rsidP="00051A2B">
            <w:pPr>
              <w:spacing w:after="60"/>
              <w:rPr>
                <w:rFonts w:asciiTheme="minorHAnsi" w:hAnsiTheme="minorHAnsi" w:cstheme="minorHAnsi"/>
                <w:b/>
                <w:sz w:val="21"/>
                <w:szCs w:val="21"/>
              </w:rPr>
            </w:pPr>
            <w:bookmarkStart w:id="59" w:name="_Toc303777713"/>
            <w:r w:rsidRPr="00051A2B">
              <w:rPr>
                <w:rFonts w:asciiTheme="minorHAnsi" w:hAnsiTheme="minorHAnsi" w:cstheme="minorHAnsi"/>
                <w:b/>
                <w:bCs/>
                <w:sz w:val="21"/>
                <w:szCs w:val="21"/>
              </w:rPr>
              <w:t>Acknowledge and support freedom of association and representation of employees.</w:t>
            </w:r>
            <w:bookmarkEnd w:id="59"/>
            <w:r w:rsidRPr="00051A2B">
              <w:rPr>
                <w:rFonts w:asciiTheme="minorHAnsi" w:hAnsiTheme="minorHAnsi" w:cstheme="minorHAnsi"/>
                <w:b/>
                <w:bCs/>
                <w:sz w:val="21"/>
                <w:szCs w:val="21"/>
              </w:rPr>
              <w:t xml:space="preserve"> </w:t>
            </w:r>
          </w:p>
        </w:tc>
        <w:tc>
          <w:tcPr>
            <w:tcW w:w="6724" w:type="dxa"/>
            <w:shd w:val="pct10" w:color="auto" w:fill="auto"/>
          </w:tcPr>
          <w:p w:rsidR="00051A2B" w:rsidRPr="00051A2B" w:rsidRDefault="00051A2B" w:rsidP="00051A2B">
            <w:pPr>
              <w:spacing w:after="60"/>
              <w:rPr>
                <w:rFonts w:asciiTheme="minorHAnsi" w:hAnsiTheme="minorHAnsi" w:cstheme="minorHAnsi"/>
                <w:sz w:val="21"/>
                <w:szCs w:val="21"/>
              </w:rPr>
            </w:pPr>
            <w:r w:rsidRPr="00051A2B">
              <w:rPr>
                <w:rFonts w:asciiTheme="minorHAnsi" w:hAnsiTheme="minorHAnsi" w:cstheme="minorHAnsi"/>
                <w:b/>
                <w:sz w:val="21"/>
                <w:szCs w:val="21"/>
              </w:rPr>
              <w:t>Mandatory Practices for a</w:t>
            </w:r>
            <w:r w:rsidRPr="00051A2B">
              <w:rPr>
                <w:rFonts w:asciiTheme="minorHAnsi" w:hAnsiTheme="minorHAnsi" w:cstheme="minorHAnsi"/>
                <w:b/>
                <w:bCs/>
                <w:sz w:val="21"/>
                <w:szCs w:val="21"/>
              </w:rPr>
              <w:t>cknowledging and supporting freedom of association and representation of employees</w:t>
            </w:r>
          </w:p>
        </w:tc>
      </w:tr>
      <w:tr w:rsidR="001B0F0D" w:rsidRPr="00051A2B" w:rsidTr="00397893">
        <w:tc>
          <w:tcPr>
            <w:tcW w:w="2410" w:type="dxa"/>
          </w:tcPr>
          <w:p w:rsidR="001B0F0D" w:rsidRPr="00051A2B" w:rsidRDefault="001B0F0D" w:rsidP="00051A2B">
            <w:pPr>
              <w:spacing w:after="60"/>
              <w:rPr>
                <w:rFonts w:asciiTheme="minorHAnsi" w:hAnsiTheme="minorHAnsi" w:cstheme="minorHAnsi"/>
                <w:sz w:val="21"/>
                <w:szCs w:val="21"/>
              </w:rPr>
            </w:pPr>
            <w:bookmarkStart w:id="60" w:name="_Toc303777714"/>
            <w:r w:rsidRPr="00051A2B">
              <w:rPr>
                <w:rFonts w:asciiTheme="minorHAnsi" w:hAnsiTheme="minorHAnsi" w:cstheme="minorHAnsi"/>
                <w:bCs/>
                <w:sz w:val="21"/>
                <w:szCs w:val="21"/>
              </w:rPr>
              <w:t>Purpose: To ensure f</w:t>
            </w:r>
            <w:r w:rsidRPr="00051A2B">
              <w:rPr>
                <w:rFonts w:asciiTheme="minorHAnsi" w:hAnsiTheme="minorHAnsi" w:cstheme="minorHAnsi"/>
                <w:sz w:val="21"/>
                <w:szCs w:val="21"/>
              </w:rPr>
              <w:t xml:space="preserve">reedom of association rights for all employees are respected as required by </w:t>
            </w:r>
            <w:r w:rsidR="00174F52">
              <w:rPr>
                <w:rFonts w:asciiTheme="minorHAnsi" w:hAnsiTheme="minorHAnsi" w:cstheme="minorHAnsi"/>
                <w:sz w:val="21"/>
                <w:szCs w:val="21"/>
              </w:rPr>
              <w:t>Part 3-1</w:t>
            </w:r>
            <w:r w:rsidRPr="00051A2B">
              <w:rPr>
                <w:rFonts w:asciiTheme="minorHAnsi" w:hAnsiTheme="minorHAnsi" w:cstheme="minorHAnsi"/>
                <w:sz w:val="21"/>
                <w:szCs w:val="21"/>
              </w:rPr>
              <w:t xml:space="preserve"> of the </w:t>
            </w:r>
            <w:r w:rsidRPr="00051A2B">
              <w:rPr>
                <w:rFonts w:asciiTheme="minorHAnsi" w:hAnsiTheme="minorHAnsi" w:cstheme="minorHAnsi"/>
                <w:i/>
                <w:sz w:val="21"/>
                <w:szCs w:val="21"/>
              </w:rPr>
              <w:t>Fair Work Act 2009</w:t>
            </w:r>
            <w:r w:rsidR="00500270">
              <w:rPr>
                <w:rFonts w:asciiTheme="minorHAnsi" w:hAnsiTheme="minorHAnsi" w:cstheme="minorHAnsi"/>
                <w:i/>
                <w:sz w:val="21"/>
                <w:szCs w:val="21"/>
              </w:rPr>
              <w:t xml:space="preserve"> </w:t>
            </w:r>
            <w:r w:rsidR="00500270">
              <w:rPr>
                <w:rFonts w:asciiTheme="minorHAnsi" w:hAnsiTheme="minorHAnsi" w:cstheme="minorHAnsi"/>
                <w:sz w:val="21"/>
                <w:szCs w:val="21"/>
              </w:rPr>
              <w:t>(Fair Work Act)</w:t>
            </w:r>
            <w:r w:rsidRPr="00051A2B">
              <w:rPr>
                <w:rFonts w:asciiTheme="minorHAnsi" w:hAnsiTheme="minorHAnsi" w:cstheme="minorHAnsi"/>
                <w:sz w:val="21"/>
                <w:szCs w:val="21"/>
              </w:rPr>
              <w:t>.</w:t>
            </w:r>
            <w:bookmarkEnd w:id="60"/>
            <w:r w:rsidRPr="00051A2B">
              <w:rPr>
                <w:rFonts w:asciiTheme="minorHAnsi" w:hAnsiTheme="minorHAnsi" w:cstheme="minorHAnsi"/>
                <w:sz w:val="21"/>
                <w:szCs w:val="21"/>
              </w:rPr>
              <w:t xml:space="preserve"> </w:t>
            </w:r>
          </w:p>
          <w:p w:rsidR="001B0F0D" w:rsidRPr="00051A2B" w:rsidRDefault="001B0F0D" w:rsidP="00051A2B">
            <w:pPr>
              <w:pStyle w:val="Heading3"/>
              <w:spacing w:before="0" w:after="60"/>
              <w:rPr>
                <w:rFonts w:asciiTheme="minorHAnsi" w:hAnsiTheme="minorHAnsi" w:cstheme="minorHAnsi"/>
                <w:sz w:val="21"/>
                <w:szCs w:val="21"/>
              </w:rPr>
            </w:pPr>
          </w:p>
        </w:tc>
        <w:tc>
          <w:tcPr>
            <w:tcW w:w="6724" w:type="dxa"/>
          </w:tcPr>
          <w:p w:rsidR="001B0F0D" w:rsidRPr="00051A2B" w:rsidRDefault="001B0F0D" w:rsidP="00051A2B">
            <w:pPr>
              <w:numPr>
                <w:ilvl w:val="0"/>
                <w:numId w:val="17"/>
              </w:numPr>
              <w:spacing w:after="60"/>
              <w:rPr>
                <w:rFonts w:asciiTheme="minorHAnsi" w:hAnsiTheme="minorHAnsi" w:cstheme="minorHAnsi"/>
                <w:sz w:val="21"/>
                <w:szCs w:val="21"/>
              </w:rPr>
            </w:pPr>
            <w:bookmarkStart w:id="61" w:name="_Toc303777716"/>
            <w:r w:rsidRPr="00051A2B">
              <w:rPr>
                <w:rFonts w:asciiTheme="minorHAnsi" w:hAnsiTheme="minorHAnsi" w:cstheme="minorHAnsi"/>
                <w:sz w:val="21"/>
                <w:szCs w:val="21"/>
              </w:rPr>
              <w:t>The cleaning service</w:t>
            </w:r>
            <w:r w:rsidR="00D8323F">
              <w:rPr>
                <w:rFonts w:asciiTheme="minorHAnsi" w:hAnsiTheme="minorHAnsi" w:cstheme="minorHAnsi"/>
                <w:sz w:val="21"/>
                <w:szCs w:val="21"/>
              </w:rPr>
              <w:t>s</w:t>
            </w:r>
            <w:r w:rsidRPr="00051A2B">
              <w:rPr>
                <w:rFonts w:asciiTheme="minorHAnsi" w:hAnsiTheme="minorHAnsi" w:cstheme="minorHAnsi"/>
                <w:sz w:val="21"/>
                <w:szCs w:val="21"/>
              </w:rPr>
              <w:t xml:space="preserve"> </w:t>
            </w:r>
            <w:r w:rsidR="00BA3DE4">
              <w:rPr>
                <w:rFonts w:asciiTheme="minorHAnsi" w:hAnsiTheme="minorHAnsi" w:cstheme="minorHAnsi"/>
                <w:sz w:val="21"/>
                <w:szCs w:val="21"/>
              </w:rPr>
              <w:t>contractor</w:t>
            </w:r>
            <w:r w:rsidRPr="00051A2B">
              <w:rPr>
                <w:rFonts w:asciiTheme="minorHAnsi" w:hAnsiTheme="minorHAnsi" w:cstheme="minorHAnsi"/>
                <w:sz w:val="21"/>
                <w:szCs w:val="21"/>
              </w:rPr>
              <w:t xml:space="preserve"> must understand and respect their employees’ rights in relation to freedom of association and the right to representation at work.</w:t>
            </w:r>
            <w:bookmarkEnd w:id="61"/>
            <w:r w:rsidRPr="00051A2B">
              <w:rPr>
                <w:rFonts w:asciiTheme="minorHAnsi" w:hAnsiTheme="minorHAnsi" w:cstheme="minorHAnsi"/>
                <w:sz w:val="21"/>
                <w:szCs w:val="21"/>
              </w:rPr>
              <w:t xml:space="preserve"> </w:t>
            </w:r>
          </w:p>
          <w:p w:rsidR="001B0F0D" w:rsidRPr="00051A2B" w:rsidRDefault="001B0F0D" w:rsidP="00051A2B">
            <w:pPr>
              <w:numPr>
                <w:ilvl w:val="0"/>
                <w:numId w:val="17"/>
              </w:numPr>
              <w:spacing w:after="60"/>
              <w:rPr>
                <w:rFonts w:asciiTheme="minorHAnsi" w:hAnsiTheme="minorHAnsi" w:cstheme="minorHAnsi"/>
                <w:sz w:val="21"/>
                <w:szCs w:val="21"/>
              </w:rPr>
            </w:pPr>
            <w:bookmarkStart w:id="62" w:name="_Toc303777717"/>
            <w:r w:rsidRPr="00051A2B">
              <w:rPr>
                <w:rFonts w:asciiTheme="minorHAnsi" w:hAnsiTheme="minorHAnsi" w:cstheme="minorHAnsi"/>
                <w:sz w:val="21"/>
                <w:szCs w:val="21"/>
              </w:rPr>
              <w:t>This includes allowing employees to make a free and informed choice about whether to join a union and be represented at work, including:</w:t>
            </w:r>
            <w:bookmarkEnd w:id="62"/>
          </w:p>
          <w:p w:rsidR="001B0F0D" w:rsidRPr="00051A2B" w:rsidRDefault="001B0F0D" w:rsidP="00051A2B">
            <w:pPr>
              <w:numPr>
                <w:ilvl w:val="1"/>
                <w:numId w:val="17"/>
              </w:numPr>
              <w:tabs>
                <w:tab w:val="left" w:pos="440"/>
                <w:tab w:val="right" w:leader="dot" w:pos="9016"/>
              </w:tabs>
              <w:spacing w:after="60"/>
              <w:ind w:left="709" w:hanging="283"/>
              <w:rPr>
                <w:rFonts w:asciiTheme="minorHAnsi" w:hAnsiTheme="minorHAnsi" w:cstheme="minorHAnsi"/>
                <w:color w:val="0D0D0D"/>
                <w:sz w:val="21"/>
                <w:szCs w:val="21"/>
              </w:rPr>
            </w:pPr>
            <w:r w:rsidRPr="00051A2B">
              <w:rPr>
                <w:rFonts w:asciiTheme="minorHAnsi" w:hAnsiTheme="minorHAnsi" w:cstheme="minorHAnsi"/>
                <w:color w:val="0D0D0D"/>
                <w:sz w:val="21"/>
                <w:szCs w:val="21"/>
              </w:rPr>
              <w:t>informing prospective employees either pre-employment or at the commencement of employment about their choice reg</w:t>
            </w:r>
            <w:r w:rsidR="00141211">
              <w:rPr>
                <w:rFonts w:asciiTheme="minorHAnsi" w:hAnsiTheme="minorHAnsi" w:cstheme="minorHAnsi"/>
                <w:color w:val="0D0D0D"/>
                <w:sz w:val="21"/>
                <w:szCs w:val="21"/>
              </w:rPr>
              <w:t xml:space="preserve">arding representation in the workplace, including providing information about the relevant union; </w:t>
            </w:r>
          </w:p>
          <w:p w:rsidR="001B0F0D" w:rsidRPr="00BA3DE4" w:rsidRDefault="00740A02" w:rsidP="00051A2B">
            <w:pPr>
              <w:numPr>
                <w:ilvl w:val="1"/>
                <w:numId w:val="17"/>
              </w:numPr>
              <w:tabs>
                <w:tab w:val="left" w:pos="440"/>
                <w:tab w:val="right" w:leader="dot" w:pos="9016"/>
              </w:tabs>
              <w:spacing w:after="60"/>
              <w:ind w:left="709" w:hanging="283"/>
              <w:rPr>
                <w:rFonts w:asciiTheme="minorHAnsi" w:hAnsiTheme="minorHAnsi" w:cstheme="minorHAnsi"/>
                <w:color w:val="0D0D0D"/>
                <w:sz w:val="21"/>
                <w:szCs w:val="21"/>
              </w:rPr>
            </w:pPr>
            <w:r w:rsidRPr="00BA3DE4">
              <w:rPr>
                <w:rFonts w:asciiTheme="minorHAnsi" w:hAnsiTheme="minorHAnsi" w:cstheme="minorHAnsi"/>
                <w:color w:val="0D0D0D"/>
                <w:sz w:val="21"/>
                <w:szCs w:val="21"/>
              </w:rPr>
              <w:t>information about union membership must be provided by union officials or by an elected union delegate (where in place) who has received delegates training;</w:t>
            </w:r>
          </w:p>
          <w:p w:rsidR="001B0F0D" w:rsidRPr="00BA3DE4" w:rsidRDefault="00740A02" w:rsidP="00051A2B">
            <w:pPr>
              <w:numPr>
                <w:ilvl w:val="1"/>
                <w:numId w:val="17"/>
              </w:numPr>
              <w:tabs>
                <w:tab w:val="left" w:pos="440"/>
                <w:tab w:val="right" w:leader="dot" w:pos="9016"/>
              </w:tabs>
              <w:spacing w:after="60"/>
              <w:ind w:left="709" w:hanging="283"/>
              <w:rPr>
                <w:rFonts w:asciiTheme="minorHAnsi" w:hAnsiTheme="minorHAnsi" w:cstheme="minorHAnsi"/>
                <w:color w:val="0D0D0D"/>
                <w:sz w:val="21"/>
                <w:szCs w:val="21"/>
              </w:rPr>
            </w:pPr>
            <w:r w:rsidRPr="00BA3DE4">
              <w:rPr>
                <w:rFonts w:asciiTheme="minorHAnsi" w:hAnsiTheme="minorHAnsi" w:cstheme="minorHAnsi"/>
                <w:color w:val="0D0D0D"/>
                <w:sz w:val="21"/>
                <w:szCs w:val="21"/>
              </w:rPr>
              <w:t>scheduling employee meetings with the elected union delegates (where in place) and union officials  at a time that is suitable to all parties and in accordance with the Fair Work Act; and</w:t>
            </w:r>
          </w:p>
          <w:p w:rsidR="001B0F0D" w:rsidRPr="00BA3DE4" w:rsidRDefault="00740A02" w:rsidP="00051A2B">
            <w:pPr>
              <w:numPr>
                <w:ilvl w:val="1"/>
                <w:numId w:val="17"/>
              </w:numPr>
              <w:tabs>
                <w:tab w:val="left" w:pos="440"/>
                <w:tab w:val="right" w:leader="dot" w:pos="9016"/>
              </w:tabs>
              <w:spacing w:after="60"/>
              <w:ind w:left="709" w:hanging="283"/>
              <w:rPr>
                <w:rFonts w:asciiTheme="minorHAnsi" w:hAnsiTheme="minorHAnsi" w:cstheme="minorHAnsi"/>
                <w:color w:val="0D0D0D"/>
                <w:sz w:val="21"/>
                <w:szCs w:val="21"/>
              </w:rPr>
            </w:pPr>
            <w:r w:rsidRPr="00BA3DE4">
              <w:rPr>
                <w:rFonts w:asciiTheme="minorHAnsi" w:hAnsiTheme="minorHAnsi" w:cstheme="minorHAnsi"/>
                <w:color w:val="0D0D0D"/>
                <w:sz w:val="21"/>
                <w:szCs w:val="21"/>
              </w:rPr>
              <w:t>inviting elected union delegates (where in place) to attend induction training at a time that is suitable to all parties and in accordance with the Fair Work Act.</w:t>
            </w:r>
          </w:p>
          <w:p w:rsidR="001B0F0D" w:rsidRPr="00051A2B" w:rsidRDefault="001B0F0D" w:rsidP="00051A2B">
            <w:pPr>
              <w:numPr>
                <w:ilvl w:val="0"/>
                <w:numId w:val="17"/>
              </w:numPr>
              <w:spacing w:after="60"/>
              <w:rPr>
                <w:rFonts w:asciiTheme="minorHAnsi" w:hAnsiTheme="minorHAnsi" w:cstheme="minorHAnsi"/>
                <w:sz w:val="21"/>
                <w:szCs w:val="21"/>
              </w:rPr>
            </w:pPr>
            <w:bookmarkStart w:id="63" w:name="_Toc303777718"/>
            <w:r w:rsidRPr="00051A2B">
              <w:rPr>
                <w:rFonts w:asciiTheme="minorHAnsi" w:hAnsiTheme="minorHAnsi" w:cstheme="minorHAnsi"/>
                <w:sz w:val="21"/>
                <w:szCs w:val="21"/>
              </w:rPr>
              <w:t>Employees must be made aware of their employment rights, including the right to collective bargaining.</w:t>
            </w:r>
            <w:bookmarkEnd w:id="63"/>
          </w:p>
          <w:p w:rsidR="001B0F0D" w:rsidRPr="00051A2B" w:rsidRDefault="001B0F0D" w:rsidP="00051A2B">
            <w:pPr>
              <w:numPr>
                <w:ilvl w:val="0"/>
                <w:numId w:val="17"/>
              </w:numPr>
              <w:spacing w:after="60"/>
              <w:rPr>
                <w:rFonts w:asciiTheme="minorHAnsi" w:hAnsiTheme="minorHAnsi" w:cstheme="minorHAnsi"/>
                <w:sz w:val="21"/>
                <w:szCs w:val="21"/>
              </w:rPr>
            </w:pPr>
            <w:r w:rsidRPr="00051A2B">
              <w:rPr>
                <w:rFonts w:asciiTheme="minorHAnsi" w:hAnsiTheme="minorHAnsi" w:cstheme="minorHAnsi"/>
                <w:sz w:val="21"/>
                <w:szCs w:val="21"/>
              </w:rPr>
              <w:t xml:space="preserve">Copies of the Award or Agreement that applies to the employees must be made available to all employees on a noticeboard that is conveniently located at or near the workplace or through electronic means – whichever makes them more accessible. </w:t>
            </w:r>
          </w:p>
          <w:p w:rsidR="001B0F0D" w:rsidRPr="00051A2B" w:rsidRDefault="001B0F0D" w:rsidP="00051A2B">
            <w:pPr>
              <w:numPr>
                <w:ilvl w:val="0"/>
                <w:numId w:val="17"/>
              </w:numPr>
              <w:spacing w:after="60"/>
              <w:rPr>
                <w:rFonts w:asciiTheme="minorHAnsi" w:hAnsiTheme="minorHAnsi" w:cstheme="minorHAnsi"/>
                <w:sz w:val="21"/>
                <w:szCs w:val="21"/>
              </w:rPr>
            </w:pPr>
            <w:r w:rsidRPr="00051A2B">
              <w:rPr>
                <w:rFonts w:asciiTheme="minorHAnsi" w:hAnsiTheme="minorHAnsi" w:cstheme="minorHAnsi"/>
                <w:sz w:val="21"/>
                <w:szCs w:val="21"/>
              </w:rPr>
              <w:t>The cleaning</w:t>
            </w:r>
            <w:r w:rsidR="001E4706">
              <w:rPr>
                <w:rFonts w:asciiTheme="minorHAnsi" w:hAnsiTheme="minorHAnsi" w:cstheme="minorHAnsi"/>
                <w:sz w:val="21"/>
                <w:szCs w:val="21"/>
              </w:rPr>
              <w:t xml:space="preserve"> services contractor </w:t>
            </w:r>
            <w:r w:rsidRPr="00051A2B">
              <w:rPr>
                <w:rFonts w:asciiTheme="minorHAnsi" w:hAnsiTheme="minorHAnsi" w:cstheme="minorHAnsi"/>
                <w:sz w:val="21"/>
                <w:szCs w:val="21"/>
              </w:rPr>
              <w:t>must provide training to supervisors on the application of the Award or Agreement that applies to the business.</w:t>
            </w:r>
          </w:p>
          <w:p w:rsidR="001B0F0D" w:rsidRPr="00051A2B" w:rsidRDefault="001B0F0D" w:rsidP="00051A2B">
            <w:pPr>
              <w:numPr>
                <w:ilvl w:val="0"/>
                <w:numId w:val="17"/>
              </w:numPr>
              <w:spacing w:after="60"/>
              <w:rPr>
                <w:rFonts w:asciiTheme="minorHAnsi" w:hAnsiTheme="minorHAnsi" w:cstheme="minorHAnsi"/>
                <w:sz w:val="21"/>
                <w:szCs w:val="21"/>
              </w:rPr>
            </w:pPr>
            <w:bookmarkStart w:id="64" w:name="_Toc303777719"/>
            <w:r w:rsidRPr="00051A2B">
              <w:rPr>
                <w:rFonts w:asciiTheme="minorHAnsi" w:hAnsiTheme="minorHAnsi" w:cstheme="minorHAnsi"/>
                <w:sz w:val="21"/>
                <w:szCs w:val="21"/>
              </w:rPr>
              <w:t>The cleaning service</w:t>
            </w:r>
            <w:r w:rsidR="00D8323F">
              <w:rPr>
                <w:rFonts w:asciiTheme="minorHAnsi" w:hAnsiTheme="minorHAnsi" w:cstheme="minorHAnsi"/>
                <w:sz w:val="21"/>
                <w:szCs w:val="21"/>
              </w:rPr>
              <w:t>s</w:t>
            </w:r>
            <w:r w:rsidRPr="00051A2B">
              <w:rPr>
                <w:rFonts w:asciiTheme="minorHAnsi" w:hAnsiTheme="minorHAnsi" w:cstheme="minorHAnsi"/>
                <w:sz w:val="21"/>
                <w:szCs w:val="21"/>
              </w:rPr>
              <w:t xml:space="preserve"> </w:t>
            </w:r>
            <w:r w:rsidR="00BA3DE4">
              <w:rPr>
                <w:rFonts w:asciiTheme="minorHAnsi" w:hAnsiTheme="minorHAnsi" w:cstheme="minorHAnsi"/>
                <w:sz w:val="21"/>
                <w:szCs w:val="21"/>
              </w:rPr>
              <w:t>contractor</w:t>
            </w:r>
            <w:r w:rsidRPr="00051A2B">
              <w:rPr>
                <w:rFonts w:asciiTheme="minorHAnsi" w:hAnsiTheme="minorHAnsi" w:cstheme="minorHAnsi"/>
                <w:sz w:val="21"/>
                <w:szCs w:val="21"/>
              </w:rPr>
              <w:t xml:space="preserve"> must make employees aware:</w:t>
            </w:r>
            <w:bookmarkEnd w:id="64"/>
          </w:p>
          <w:p w:rsidR="001B0F0D" w:rsidRPr="00051A2B" w:rsidRDefault="001B0F0D" w:rsidP="00051A2B">
            <w:pPr>
              <w:numPr>
                <w:ilvl w:val="1"/>
                <w:numId w:val="17"/>
              </w:numPr>
              <w:spacing w:after="60"/>
              <w:ind w:left="709" w:hanging="283"/>
              <w:rPr>
                <w:rFonts w:asciiTheme="minorHAnsi" w:hAnsiTheme="minorHAnsi" w:cstheme="minorHAnsi"/>
                <w:color w:val="0D0D0D"/>
                <w:sz w:val="21"/>
                <w:szCs w:val="21"/>
              </w:rPr>
            </w:pPr>
            <w:r w:rsidRPr="00051A2B">
              <w:rPr>
                <w:rFonts w:asciiTheme="minorHAnsi" w:hAnsiTheme="minorHAnsi" w:cstheme="minorHAnsi"/>
                <w:color w:val="0D0D0D"/>
                <w:sz w:val="21"/>
                <w:szCs w:val="21"/>
              </w:rPr>
              <w:t xml:space="preserve">of the company’s consultation processes;  </w:t>
            </w:r>
          </w:p>
          <w:p w:rsidR="001B0F0D" w:rsidRPr="00051A2B" w:rsidRDefault="001B0F0D" w:rsidP="00051A2B">
            <w:pPr>
              <w:numPr>
                <w:ilvl w:val="1"/>
                <w:numId w:val="17"/>
              </w:numPr>
              <w:spacing w:after="60"/>
              <w:ind w:left="709" w:hanging="283"/>
              <w:rPr>
                <w:rFonts w:asciiTheme="minorHAnsi" w:hAnsiTheme="minorHAnsi" w:cstheme="minorHAnsi"/>
                <w:color w:val="0D0D0D"/>
                <w:sz w:val="21"/>
                <w:szCs w:val="21"/>
              </w:rPr>
            </w:pPr>
            <w:r w:rsidRPr="00051A2B">
              <w:rPr>
                <w:rFonts w:asciiTheme="minorHAnsi" w:hAnsiTheme="minorHAnsi" w:cstheme="minorHAnsi"/>
                <w:color w:val="0D0D0D"/>
                <w:sz w:val="21"/>
                <w:szCs w:val="21"/>
              </w:rPr>
              <w:t>of the company’s dispute resolution process</w:t>
            </w:r>
            <w:r w:rsidR="00500270">
              <w:rPr>
                <w:rFonts w:asciiTheme="minorHAnsi" w:hAnsiTheme="minorHAnsi" w:cstheme="minorHAnsi"/>
                <w:color w:val="0D0D0D"/>
                <w:sz w:val="21"/>
                <w:szCs w:val="21"/>
              </w:rPr>
              <w:t>;</w:t>
            </w:r>
            <w:r w:rsidRPr="00051A2B">
              <w:rPr>
                <w:rFonts w:asciiTheme="minorHAnsi" w:hAnsiTheme="minorHAnsi" w:cstheme="minorHAnsi"/>
                <w:color w:val="0D0D0D"/>
                <w:sz w:val="21"/>
                <w:szCs w:val="21"/>
              </w:rPr>
              <w:t xml:space="preserve"> </w:t>
            </w:r>
            <w:r w:rsidR="00BA3DE4">
              <w:rPr>
                <w:rFonts w:asciiTheme="minorHAnsi" w:hAnsiTheme="minorHAnsi" w:cstheme="minorHAnsi"/>
                <w:color w:val="0D0D0D"/>
                <w:sz w:val="21"/>
                <w:szCs w:val="21"/>
              </w:rPr>
              <w:t xml:space="preserve"> and</w:t>
            </w:r>
          </w:p>
          <w:p w:rsidR="001B0F0D" w:rsidRPr="00051A2B" w:rsidRDefault="00141211" w:rsidP="00051A2B">
            <w:pPr>
              <w:numPr>
                <w:ilvl w:val="1"/>
                <w:numId w:val="17"/>
              </w:numPr>
              <w:spacing w:after="60"/>
              <w:ind w:left="709" w:hanging="283"/>
              <w:rPr>
                <w:rFonts w:asciiTheme="minorHAnsi" w:hAnsiTheme="minorHAnsi" w:cstheme="minorHAnsi"/>
                <w:color w:val="0D0D0D"/>
                <w:sz w:val="21"/>
                <w:szCs w:val="21"/>
              </w:rPr>
            </w:pPr>
            <w:proofErr w:type="gramStart"/>
            <w:r>
              <w:rPr>
                <w:rFonts w:asciiTheme="minorHAnsi" w:hAnsiTheme="minorHAnsi" w:cstheme="minorHAnsi"/>
                <w:color w:val="0D0D0D"/>
                <w:sz w:val="21"/>
                <w:szCs w:val="21"/>
              </w:rPr>
              <w:t>their</w:t>
            </w:r>
            <w:proofErr w:type="gramEnd"/>
            <w:r>
              <w:rPr>
                <w:rFonts w:asciiTheme="minorHAnsi" w:hAnsiTheme="minorHAnsi" w:cstheme="minorHAnsi"/>
                <w:color w:val="0D0D0D"/>
                <w:sz w:val="21"/>
                <w:szCs w:val="21"/>
              </w:rPr>
              <w:t xml:space="preserve"> ability to have a representative of their choice in attendance during the dispute resolution process. </w:t>
            </w:r>
          </w:p>
          <w:p w:rsidR="001B0F0D" w:rsidRPr="00051A2B" w:rsidRDefault="00141211" w:rsidP="00500270">
            <w:pPr>
              <w:spacing w:after="60"/>
              <w:rPr>
                <w:rFonts w:asciiTheme="minorHAnsi" w:hAnsiTheme="minorHAnsi" w:cstheme="minorHAnsi"/>
                <w:sz w:val="21"/>
                <w:szCs w:val="21"/>
              </w:rPr>
            </w:pPr>
            <w:r>
              <w:rPr>
                <w:rFonts w:asciiTheme="minorHAnsi" w:hAnsiTheme="minorHAnsi" w:cstheme="minorHAnsi"/>
                <w:sz w:val="21"/>
                <w:szCs w:val="21"/>
              </w:rPr>
              <w:t>Note: The dispute resolution process is the mechanism used for dealing with workplace issues.</w:t>
            </w:r>
          </w:p>
        </w:tc>
      </w:tr>
    </w:tbl>
    <w:p w:rsidR="001B0F0D" w:rsidRPr="001B0F0D" w:rsidRDefault="001B0F0D" w:rsidP="001B0F0D">
      <w:pPr>
        <w:rPr>
          <w:rFonts w:asciiTheme="minorHAnsi" w:hAnsiTheme="minorHAnsi" w:cstheme="minorHAnsi"/>
          <w:sz w:val="21"/>
          <w:szCs w:val="21"/>
        </w:rPr>
      </w:pPr>
    </w:p>
    <w:p w:rsidR="00D26984" w:rsidRPr="00E7377E" w:rsidRDefault="00D26984" w:rsidP="00E7377E">
      <w:pPr>
        <w:spacing w:after="200" w:line="276" w:lineRule="auto"/>
        <w:rPr>
          <w:sz w:val="22"/>
          <w:szCs w:val="22"/>
        </w:rPr>
      </w:pPr>
    </w:p>
    <w:sectPr w:rsidR="00D26984" w:rsidRPr="00E7377E" w:rsidSect="00A44323">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7C2" w:rsidRDefault="00F737C2" w:rsidP="00D02375">
      <w:r>
        <w:separator/>
      </w:r>
    </w:p>
  </w:endnote>
  <w:endnote w:type="continuationSeparator" w:id="0">
    <w:p w:rsidR="00F737C2" w:rsidRDefault="00F737C2" w:rsidP="00D02375">
      <w:r>
        <w:continuationSeparator/>
      </w:r>
    </w:p>
  </w:endnote>
</w:endnotes>
</file>

<file path=word/fontTable.xml><?xml version="1.0" encoding="utf-8"?>
<w:fonts xmlns:r="http://schemas.openxmlformats.org/officeDocument/2006/relationships" xmlns:w="http://schemas.openxmlformats.org/wordprocessingml/2006/main">
  <w:font w:name="Arial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INOT-Light">
    <w:altName w:val="DINOT-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98048"/>
      <w:docPartObj>
        <w:docPartGallery w:val="Page Numbers (Bottom of Page)"/>
        <w:docPartUnique/>
      </w:docPartObj>
    </w:sdtPr>
    <w:sdtContent>
      <w:sdt>
        <w:sdtPr>
          <w:id w:val="565050477"/>
          <w:docPartObj>
            <w:docPartGallery w:val="Page Numbers (Top of Page)"/>
            <w:docPartUnique/>
          </w:docPartObj>
        </w:sdtPr>
        <w:sdtContent>
          <w:p w:rsidR="00F737C2" w:rsidRDefault="00F737C2">
            <w:pPr>
              <w:pStyle w:val="Footer"/>
              <w:jc w:val="center"/>
            </w:pPr>
            <w:r w:rsidRPr="00A44323">
              <w:rPr>
                <w:rFonts w:asciiTheme="minorHAnsi" w:hAnsiTheme="minorHAnsi" w:cstheme="minorHAnsi"/>
                <w:sz w:val="22"/>
                <w:szCs w:val="22"/>
              </w:rPr>
              <w:t xml:space="preserve">Page </w:t>
            </w:r>
            <w:r w:rsidR="00A47FA6" w:rsidRPr="00A44323">
              <w:rPr>
                <w:rFonts w:asciiTheme="minorHAnsi" w:hAnsiTheme="minorHAnsi" w:cstheme="minorHAnsi"/>
                <w:b/>
                <w:sz w:val="22"/>
                <w:szCs w:val="22"/>
              </w:rPr>
              <w:fldChar w:fldCharType="begin"/>
            </w:r>
            <w:r w:rsidRPr="00A44323">
              <w:rPr>
                <w:rFonts w:asciiTheme="minorHAnsi" w:hAnsiTheme="minorHAnsi" w:cstheme="minorHAnsi"/>
                <w:b/>
                <w:sz w:val="22"/>
                <w:szCs w:val="22"/>
              </w:rPr>
              <w:instrText xml:space="preserve"> PAGE </w:instrText>
            </w:r>
            <w:r w:rsidR="00A47FA6" w:rsidRPr="00A44323">
              <w:rPr>
                <w:rFonts w:asciiTheme="minorHAnsi" w:hAnsiTheme="minorHAnsi" w:cstheme="minorHAnsi"/>
                <w:b/>
                <w:sz w:val="22"/>
                <w:szCs w:val="22"/>
              </w:rPr>
              <w:fldChar w:fldCharType="separate"/>
            </w:r>
            <w:r w:rsidR="00082E40">
              <w:rPr>
                <w:rFonts w:asciiTheme="minorHAnsi" w:hAnsiTheme="minorHAnsi" w:cstheme="minorHAnsi"/>
                <w:b/>
                <w:noProof/>
                <w:sz w:val="22"/>
                <w:szCs w:val="22"/>
              </w:rPr>
              <w:t>2</w:t>
            </w:r>
            <w:r w:rsidR="00A47FA6" w:rsidRPr="00A44323">
              <w:rPr>
                <w:rFonts w:asciiTheme="minorHAnsi" w:hAnsiTheme="minorHAnsi" w:cstheme="minorHAnsi"/>
                <w:b/>
                <w:sz w:val="22"/>
                <w:szCs w:val="22"/>
              </w:rPr>
              <w:fldChar w:fldCharType="end"/>
            </w:r>
            <w:r w:rsidRPr="00A44323">
              <w:rPr>
                <w:rFonts w:asciiTheme="minorHAnsi" w:hAnsiTheme="minorHAnsi" w:cstheme="minorHAnsi"/>
                <w:sz w:val="22"/>
                <w:szCs w:val="22"/>
              </w:rPr>
              <w:t xml:space="preserve"> of </w:t>
            </w:r>
            <w:r w:rsidR="00A47FA6" w:rsidRPr="00A44323">
              <w:rPr>
                <w:rFonts w:asciiTheme="minorHAnsi" w:hAnsiTheme="minorHAnsi" w:cstheme="minorHAnsi"/>
                <w:b/>
                <w:sz w:val="22"/>
                <w:szCs w:val="22"/>
              </w:rPr>
              <w:fldChar w:fldCharType="begin"/>
            </w:r>
            <w:r w:rsidRPr="00A44323">
              <w:rPr>
                <w:rFonts w:asciiTheme="minorHAnsi" w:hAnsiTheme="minorHAnsi" w:cstheme="minorHAnsi"/>
                <w:b/>
                <w:sz w:val="22"/>
                <w:szCs w:val="22"/>
              </w:rPr>
              <w:instrText xml:space="preserve"> NUMPAGES  </w:instrText>
            </w:r>
            <w:r w:rsidR="00A47FA6" w:rsidRPr="00A44323">
              <w:rPr>
                <w:rFonts w:asciiTheme="minorHAnsi" w:hAnsiTheme="minorHAnsi" w:cstheme="minorHAnsi"/>
                <w:b/>
                <w:sz w:val="22"/>
                <w:szCs w:val="22"/>
              </w:rPr>
              <w:fldChar w:fldCharType="separate"/>
            </w:r>
            <w:r w:rsidR="00082E40">
              <w:rPr>
                <w:rFonts w:asciiTheme="minorHAnsi" w:hAnsiTheme="minorHAnsi" w:cstheme="minorHAnsi"/>
                <w:b/>
                <w:noProof/>
                <w:sz w:val="22"/>
                <w:szCs w:val="22"/>
              </w:rPr>
              <w:t>16</w:t>
            </w:r>
            <w:r w:rsidR="00A47FA6" w:rsidRPr="00A44323">
              <w:rPr>
                <w:rFonts w:asciiTheme="minorHAnsi" w:hAnsiTheme="minorHAnsi" w:cstheme="minorHAnsi"/>
                <w:b/>
                <w:sz w:val="22"/>
                <w:szCs w:val="22"/>
              </w:rPr>
              <w:fldChar w:fldCharType="end"/>
            </w:r>
          </w:p>
        </w:sdtContent>
      </w:sdt>
    </w:sdtContent>
  </w:sdt>
  <w:p w:rsidR="00F737C2" w:rsidRDefault="00F737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7C2" w:rsidRDefault="00F737C2" w:rsidP="00D02375">
      <w:r>
        <w:separator/>
      </w:r>
    </w:p>
  </w:footnote>
  <w:footnote w:type="continuationSeparator" w:id="0">
    <w:p w:rsidR="00F737C2" w:rsidRDefault="00F737C2" w:rsidP="00D02375">
      <w:r>
        <w:continuationSeparator/>
      </w:r>
    </w:p>
  </w:footnote>
  <w:footnote w:id="1">
    <w:p w:rsidR="00F737C2" w:rsidRPr="002A715F" w:rsidRDefault="00F737C2" w:rsidP="00D02375">
      <w:pPr>
        <w:pStyle w:val="FootnoteText"/>
        <w:rPr>
          <w:color w:val="0D0D0D"/>
        </w:rPr>
      </w:pPr>
      <w:r>
        <w:rPr>
          <w:rStyle w:val="FootnoteReference"/>
        </w:rPr>
        <w:footnoteRef/>
      </w:r>
      <w:r>
        <w:t xml:space="preserve"> </w:t>
      </w:r>
      <w:r w:rsidRPr="002A715F">
        <w:rPr>
          <w:color w:val="0D0D0D"/>
        </w:rPr>
        <w:t xml:space="preserve">Regulation 7B of the FMA Regulations provides that the </w:t>
      </w:r>
      <w:r w:rsidRPr="002A715F">
        <w:rPr>
          <w:rFonts w:cs="Lucida Sans Unicode"/>
          <w:color w:val="0D0D0D"/>
        </w:rPr>
        <w:t>Minister for Workplace Relations may issue guidelines (to be called Commonwealth Cleaning Services Guidelines) about Australian Government Cleaning Services tenders let and contracts entered into for the provision of cleaning services.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22D2"/>
    <w:multiLevelType w:val="multilevel"/>
    <w:tmpl w:val="9794A96C"/>
    <w:lvl w:ilvl="0">
      <w:numFmt w:val="bullet"/>
      <w:lvlText w:val="-"/>
      <w:lvlJc w:val="left"/>
      <w:pPr>
        <w:ind w:left="360" w:hanging="360"/>
      </w:pPr>
      <w:rPr>
        <w:rFonts w:ascii="Arial (W1)" w:eastAsia="Times New Roman" w:hAnsi="Arial (W1)" w:hint="default"/>
      </w:rPr>
    </w:lvl>
    <w:lvl w:ilvl="1">
      <w:start w:val="1"/>
      <w:numFmt w:val="decimal"/>
      <w:lvlText w:val="%2."/>
      <w:lvlJc w:val="left"/>
      <w:pPr>
        <w:ind w:left="360" w:hanging="360"/>
      </w:pPr>
      <w:rPr>
        <w:rFonts w:cs="Times New Roman"/>
      </w:rPr>
    </w:lvl>
    <w:lvl w:ilvl="2">
      <w:start w:val="1"/>
      <w:numFmt w:val="lowerLetter"/>
      <w:lvlText w:val="%3."/>
      <w:lvlJc w:val="left"/>
      <w:pPr>
        <w:ind w:left="720" w:hanging="720"/>
      </w:pPr>
      <w:rPr>
        <w:rFonts w:cs="Times New Roman" w:hint="default"/>
      </w:rPr>
    </w:lvl>
    <w:lvl w:ilvl="3">
      <w:start w:val="1"/>
      <w:numFmt w:val="bullet"/>
      <w:lvlText w:val="o"/>
      <w:lvlJc w:val="left"/>
      <w:pPr>
        <w:ind w:left="720" w:hanging="720"/>
      </w:pPr>
      <w:rPr>
        <w:rFonts w:ascii="Courier New" w:hAnsi="Courier New" w:cs="Times New Roman" w:hint="default"/>
      </w:rPr>
    </w:lvl>
    <w:lvl w:ilvl="4">
      <w:start w:val="1"/>
      <w:numFmt w:val="lowerRoman"/>
      <w:lvlText w:val="%5."/>
      <w:lvlJc w:val="righ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1">
    <w:nsid w:val="1EA67FD4"/>
    <w:multiLevelType w:val="multilevel"/>
    <w:tmpl w:val="9794A96C"/>
    <w:lvl w:ilvl="0">
      <w:numFmt w:val="bullet"/>
      <w:lvlText w:val="-"/>
      <w:lvlJc w:val="left"/>
      <w:pPr>
        <w:ind w:left="360" w:hanging="360"/>
      </w:pPr>
      <w:rPr>
        <w:rFonts w:ascii="Arial (W1)" w:eastAsia="Times New Roman" w:hAnsi="Arial (W1)" w:hint="default"/>
      </w:rPr>
    </w:lvl>
    <w:lvl w:ilvl="1">
      <w:start w:val="1"/>
      <w:numFmt w:val="decimal"/>
      <w:lvlText w:val="%2."/>
      <w:lvlJc w:val="left"/>
      <w:pPr>
        <w:ind w:left="360" w:hanging="360"/>
      </w:pPr>
      <w:rPr>
        <w:rFonts w:cs="Times New Roman"/>
      </w:rPr>
    </w:lvl>
    <w:lvl w:ilvl="2">
      <w:start w:val="1"/>
      <w:numFmt w:val="lowerLetter"/>
      <w:lvlText w:val="%3."/>
      <w:lvlJc w:val="left"/>
      <w:pPr>
        <w:ind w:left="720" w:hanging="720"/>
      </w:pPr>
      <w:rPr>
        <w:rFonts w:cs="Times New Roman" w:hint="default"/>
      </w:rPr>
    </w:lvl>
    <w:lvl w:ilvl="3">
      <w:start w:val="1"/>
      <w:numFmt w:val="bullet"/>
      <w:lvlText w:val="o"/>
      <w:lvlJc w:val="left"/>
      <w:pPr>
        <w:ind w:left="720" w:hanging="720"/>
      </w:pPr>
      <w:rPr>
        <w:rFonts w:ascii="Courier New" w:hAnsi="Courier New" w:cs="Times New Roman" w:hint="default"/>
      </w:rPr>
    </w:lvl>
    <w:lvl w:ilvl="4">
      <w:start w:val="1"/>
      <w:numFmt w:val="lowerRoman"/>
      <w:lvlText w:val="%5."/>
      <w:lvlJc w:val="righ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2">
    <w:nsid w:val="1F60681B"/>
    <w:multiLevelType w:val="multilevel"/>
    <w:tmpl w:val="9794A96C"/>
    <w:lvl w:ilvl="0">
      <w:numFmt w:val="bullet"/>
      <w:lvlText w:val="-"/>
      <w:lvlJc w:val="left"/>
      <w:pPr>
        <w:ind w:left="360" w:hanging="360"/>
      </w:pPr>
      <w:rPr>
        <w:rFonts w:ascii="Arial (W1)" w:eastAsia="Times New Roman" w:hAnsi="Arial (W1)" w:hint="default"/>
      </w:rPr>
    </w:lvl>
    <w:lvl w:ilvl="1">
      <w:start w:val="1"/>
      <w:numFmt w:val="decimal"/>
      <w:lvlText w:val="%2."/>
      <w:lvlJc w:val="left"/>
      <w:pPr>
        <w:ind w:left="360" w:hanging="360"/>
      </w:pPr>
      <w:rPr>
        <w:rFonts w:cs="Times New Roman"/>
      </w:rPr>
    </w:lvl>
    <w:lvl w:ilvl="2">
      <w:start w:val="1"/>
      <w:numFmt w:val="lowerLetter"/>
      <w:lvlText w:val="%3."/>
      <w:lvlJc w:val="left"/>
      <w:pPr>
        <w:ind w:left="720" w:hanging="720"/>
      </w:pPr>
      <w:rPr>
        <w:rFonts w:cs="Times New Roman" w:hint="default"/>
      </w:rPr>
    </w:lvl>
    <w:lvl w:ilvl="3">
      <w:start w:val="1"/>
      <w:numFmt w:val="bullet"/>
      <w:lvlText w:val="o"/>
      <w:lvlJc w:val="left"/>
      <w:pPr>
        <w:ind w:left="720" w:hanging="720"/>
      </w:pPr>
      <w:rPr>
        <w:rFonts w:ascii="Courier New" w:hAnsi="Courier New" w:cs="Times New Roman" w:hint="default"/>
      </w:rPr>
    </w:lvl>
    <w:lvl w:ilvl="4">
      <w:start w:val="1"/>
      <w:numFmt w:val="lowerRoman"/>
      <w:lvlText w:val="%5."/>
      <w:lvlJc w:val="righ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3">
    <w:nsid w:val="2157346C"/>
    <w:multiLevelType w:val="hybridMultilevel"/>
    <w:tmpl w:val="B6BCDC60"/>
    <w:lvl w:ilvl="0" w:tplc="0C090019">
      <w:start w:val="1"/>
      <w:numFmt w:val="lowerLetter"/>
      <w:lvlText w:val="%1."/>
      <w:lvlJc w:val="left"/>
      <w:pPr>
        <w:ind w:left="1080" w:hanging="720"/>
      </w:pPr>
      <w:rPr>
        <w:rFonts w:cs="Times New Roman" w:hint="default"/>
      </w:rPr>
    </w:lvl>
    <w:lvl w:ilvl="1" w:tplc="0C090003">
      <w:start w:val="1"/>
      <w:numFmt w:val="lowerLetter"/>
      <w:lvlText w:val="%2."/>
      <w:lvlJc w:val="left"/>
      <w:pPr>
        <w:ind w:left="1440" w:hanging="360"/>
      </w:pPr>
    </w:lvl>
    <w:lvl w:ilvl="2" w:tplc="0C090005">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
    <w:nsid w:val="2A343FA8"/>
    <w:multiLevelType w:val="multilevel"/>
    <w:tmpl w:val="9794A96C"/>
    <w:lvl w:ilvl="0">
      <w:numFmt w:val="bullet"/>
      <w:lvlText w:val="-"/>
      <w:lvlJc w:val="left"/>
      <w:pPr>
        <w:ind w:left="360" w:hanging="360"/>
      </w:pPr>
      <w:rPr>
        <w:rFonts w:ascii="Arial (W1)" w:eastAsia="Times New Roman" w:hAnsi="Arial (W1)" w:hint="default"/>
      </w:rPr>
    </w:lvl>
    <w:lvl w:ilvl="1">
      <w:start w:val="1"/>
      <w:numFmt w:val="decimal"/>
      <w:lvlText w:val="%2."/>
      <w:lvlJc w:val="left"/>
      <w:pPr>
        <w:ind w:left="360" w:hanging="360"/>
      </w:pPr>
      <w:rPr>
        <w:rFonts w:cs="Times New Roman"/>
      </w:rPr>
    </w:lvl>
    <w:lvl w:ilvl="2">
      <w:start w:val="1"/>
      <w:numFmt w:val="lowerLetter"/>
      <w:lvlText w:val="%3."/>
      <w:lvlJc w:val="left"/>
      <w:pPr>
        <w:ind w:left="720" w:hanging="720"/>
      </w:pPr>
      <w:rPr>
        <w:rFonts w:cs="Times New Roman" w:hint="default"/>
      </w:rPr>
    </w:lvl>
    <w:lvl w:ilvl="3">
      <w:start w:val="1"/>
      <w:numFmt w:val="bullet"/>
      <w:lvlText w:val="o"/>
      <w:lvlJc w:val="left"/>
      <w:pPr>
        <w:ind w:left="720" w:hanging="720"/>
      </w:pPr>
      <w:rPr>
        <w:rFonts w:ascii="Courier New" w:hAnsi="Courier New" w:cs="Times New Roman" w:hint="default"/>
      </w:rPr>
    </w:lvl>
    <w:lvl w:ilvl="4">
      <w:start w:val="1"/>
      <w:numFmt w:val="lowerRoman"/>
      <w:lvlText w:val="%5."/>
      <w:lvlJc w:val="righ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5">
    <w:nsid w:val="2B5C17E0"/>
    <w:multiLevelType w:val="multilevel"/>
    <w:tmpl w:val="3FCE1F4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369361AA"/>
    <w:multiLevelType w:val="multilevel"/>
    <w:tmpl w:val="9794A96C"/>
    <w:lvl w:ilvl="0">
      <w:numFmt w:val="bullet"/>
      <w:lvlText w:val="-"/>
      <w:lvlJc w:val="left"/>
      <w:pPr>
        <w:ind w:left="360" w:hanging="360"/>
      </w:pPr>
      <w:rPr>
        <w:rFonts w:ascii="Arial (W1)" w:eastAsia="Times New Roman" w:hAnsi="Arial (W1)" w:hint="default"/>
      </w:rPr>
    </w:lvl>
    <w:lvl w:ilvl="1">
      <w:start w:val="1"/>
      <w:numFmt w:val="decimal"/>
      <w:lvlText w:val="%2."/>
      <w:lvlJc w:val="left"/>
      <w:pPr>
        <w:ind w:left="360" w:hanging="360"/>
      </w:pPr>
      <w:rPr>
        <w:rFonts w:cs="Times New Roman"/>
      </w:rPr>
    </w:lvl>
    <w:lvl w:ilvl="2">
      <w:start w:val="1"/>
      <w:numFmt w:val="lowerLetter"/>
      <w:lvlText w:val="%3."/>
      <w:lvlJc w:val="left"/>
      <w:pPr>
        <w:ind w:left="720" w:hanging="720"/>
      </w:pPr>
      <w:rPr>
        <w:rFonts w:cs="Times New Roman" w:hint="default"/>
      </w:rPr>
    </w:lvl>
    <w:lvl w:ilvl="3">
      <w:start w:val="1"/>
      <w:numFmt w:val="bullet"/>
      <w:lvlText w:val="o"/>
      <w:lvlJc w:val="left"/>
      <w:pPr>
        <w:ind w:left="720" w:hanging="720"/>
      </w:pPr>
      <w:rPr>
        <w:rFonts w:ascii="Courier New" w:hAnsi="Courier New" w:cs="Times New Roman" w:hint="default"/>
      </w:rPr>
    </w:lvl>
    <w:lvl w:ilvl="4">
      <w:start w:val="1"/>
      <w:numFmt w:val="lowerRoman"/>
      <w:lvlText w:val="%5."/>
      <w:lvlJc w:val="righ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7">
    <w:nsid w:val="39372FFF"/>
    <w:multiLevelType w:val="hybridMultilevel"/>
    <w:tmpl w:val="D8E428B8"/>
    <w:lvl w:ilvl="0" w:tplc="0C090019">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8">
    <w:nsid w:val="3D814060"/>
    <w:multiLevelType w:val="hybridMultilevel"/>
    <w:tmpl w:val="D8E428B8"/>
    <w:lvl w:ilvl="0" w:tplc="0C090019">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9">
    <w:nsid w:val="437F30EB"/>
    <w:multiLevelType w:val="multilevel"/>
    <w:tmpl w:val="77BE13FE"/>
    <w:lvl w:ilvl="0">
      <w:start w:val="1"/>
      <w:numFmt w:val="decimal"/>
      <w:lvlText w:val="%1."/>
      <w:lvlJc w:val="left"/>
      <w:pPr>
        <w:ind w:left="360" w:hanging="360"/>
      </w:pPr>
    </w:lvl>
    <w:lvl w:ilvl="1">
      <w:start w:val="1"/>
      <w:numFmt w:val="decimal"/>
      <w:isLgl/>
      <w:lvlText w:val="%1.%2"/>
      <w:lvlJc w:val="left"/>
      <w:pPr>
        <w:ind w:left="360" w:hanging="360"/>
      </w:pPr>
      <w:rPr>
        <w:rFonts w:hint="default"/>
        <w:color w:val="0D0D0D"/>
      </w:rPr>
    </w:lvl>
    <w:lvl w:ilvl="2">
      <w:start w:val="1"/>
      <w:numFmt w:val="decimal"/>
      <w:isLgl/>
      <w:lvlText w:val="%1.%2.%3"/>
      <w:lvlJc w:val="left"/>
      <w:pPr>
        <w:ind w:left="720" w:hanging="720"/>
      </w:pPr>
      <w:rPr>
        <w:rFonts w:hint="default"/>
        <w:color w:val="0D0D0D"/>
      </w:rPr>
    </w:lvl>
    <w:lvl w:ilvl="3">
      <w:start w:val="1"/>
      <w:numFmt w:val="decimal"/>
      <w:isLgl/>
      <w:lvlText w:val="%1.%2.%3.%4"/>
      <w:lvlJc w:val="left"/>
      <w:pPr>
        <w:ind w:left="720" w:hanging="720"/>
      </w:pPr>
      <w:rPr>
        <w:rFonts w:hint="default"/>
        <w:color w:val="0D0D0D"/>
      </w:rPr>
    </w:lvl>
    <w:lvl w:ilvl="4">
      <w:start w:val="1"/>
      <w:numFmt w:val="decimal"/>
      <w:isLgl/>
      <w:lvlText w:val="%1.%2.%3.%4.%5"/>
      <w:lvlJc w:val="left"/>
      <w:pPr>
        <w:ind w:left="1080" w:hanging="1080"/>
      </w:pPr>
      <w:rPr>
        <w:rFonts w:hint="default"/>
        <w:color w:val="0D0D0D"/>
      </w:rPr>
    </w:lvl>
    <w:lvl w:ilvl="5">
      <w:start w:val="1"/>
      <w:numFmt w:val="decimal"/>
      <w:isLgl/>
      <w:lvlText w:val="%1.%2.%3.%4.%5.%6"/>
      <w:lvlJc w:val="left"/>
      <w:pPr>
        <w:ind w:left="1080" w:hanging="1080"/>
      </w:pPr>
      <w:rPr>
        <w:rFonts w:hint="default"/>
        <w:color w:val="0D0D0D"/>
      </w:rPr>
    </w:lvl>
    <w:lvl w:ilvl="6">
      <w:start w:val="1"/>
      <w:numFmt w:val="decimal"/>
      <w:isLgl/>
      <w:lvlText w:val="%1.%2.%3.%4.%5.%6.%7"/>
      <w:lvlJc w:val="left"/>
      <w:pPr>
        <w:ind w:left="1440" w:hanging="1440"/>
      </w:pPr>
      <w:rPr>
        <w:rFonts w:hint="default"/>
        <w:color w:val="0D0D0D"/>
      </w:rPr>
    </w:lvl>
    <w:lvl w:ilvl="7">
      <w:start w:val="1"/>
      <w:numFmt w:val="decimal"/>
      <w:isLgl/>
      <w:lvlText w:val="%1.%2.%3.%4.%5.%6.%7.%8"/>
      <w:lvlJc w:val="left"/>
      <w:pPr>
        <w:ind w:left="1440" w:hanging="1440"/>
      </w:pPr>
      <w:rPr>
        <w:rFonts w:hint="default"/>
        <w:color w:val="0D0D0D"/>
      </w:rPr>
    </w:lvl>
    <w:lvl w:ilvl="8">
      <w:start w:val="1"/>
      <w:numFmt w:val="decimal"/>
      <w:isLgl/>
      <w:lvlText w:val="%1.%2.%3.%4.%5.%6.%7.%8.%9"/>
      <w:lvlJc w:val="left"/>
      <w:pPr>
        <w:ind w:left="1800" w:hanging="1800"/>
      </w:pPr>
      <w:rPr>
        <w:rFonts w:hint="default"/>
        <w:color w:val="0D0D0D"/>
      </w:rPr>
    </w:lvl>
  </w:abstractNum>
  <w:abstractNum w:abstractNumId="10">
    <w:nsid w:val="53DB3A05"/>
    <w:multiLevelType w:val="multilevel"/>
    <w:tmpl w:val="9794A96C"/>
    <w:lvl w:ilvl="0">
      <w:numFmt w:val="bullet"/>
      <w:lvlText w:val="-"/>
      <w:lvlJc w:val="left"/>
      <w:pPr>
        <w:ind w:left="360" w:hanging="360"/>
      </w:pPr>
      <w:rPr>
        <w:rFonts w:ascii="Arial (W1)" w:eastAsia="Times New Roman" w:hAnsi="Arial (W1)" w:hint="default"/>
      </w:rPr>
    </w:lvl>
    <w:lvl w:ilvl="1">
      <w:start w:val="1"/>
      <w:numFmt w:val="decimal"/>
      <w:lvlText w:val="%2."/>
      <w:lvlJc w:val="left"/>
      <w:pPr>
        <w:ind w:left="360" w:hanging="360"/>
      </w:pPr>
      <w:rPr>
        <w:rFonts w:cs="Times New Roman"/>
      </w:rPr>
    </w:lvl>
    <w:lvl w:ilvl="2">
      <w:start w:val="1"/>
      <w:numFmt w:val="lowerLetter"/>
      <w:lvlText w:val="%3."/>
      <w:lvlJc w:val="left"/>
      <w:pPr>
        <w:ind w:left="720" w:hanging="720"/>
      </w:pPr>
      <w:rPr>
        <w:rFonts w:cs="Times New Roman" w:hint="default"/>
      </w:rPr>
    </w:lvl>
    <w:lvl w:ilvl="3">
      <w:start w:val="1"/>
      <w:numFmt w:val="bullet"/>
      <w:lvlText w:val="o"/>
      <w:lvlJc w:val="left"/>
      <w:pPr>
        <w:ind w:left="720" w:hanging="720"/>
      </w:pPr>
      <w:rPr>
        <w:rFonts w:ascii="Courier New" w:hAnsi="Courier New" w:cs="Times New Roman" w:hint="default"/>
      </w:rPr>
    </w:lvl>
    <w:lvl w:ilvl="4">
      <w:start w:val="1"/>
      <w:numFmt w:val="lowerRoman"/>
      <w:lvlText w:val="%5."/>
      <w:lvlJc w:val="righ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11">
    <w:nsid w:val="5CED413A"/>
    <w:multiLevelType w:val="hybridMultilevel"/>
    <w:tmpl w:val="D8E428B8"/>
    <w:lvl w:ilvl="0" w:tplc="0C090019">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2">
    <w:nsid w:val="5DCE7D84"/>
    <w:multiLevelType w:val="multilevel"/>
    <w:tmpl w:val="3FCE1F4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63F74AA0"/>
    <w:multiLevelType w:val="hybridMultilevel"/>
    <w:tmpl w:val="533CAC10"/>
    <w:lvl w:ilvl="0" w:tplc="CEE6E6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5084263"/>
    <w:multiLevelType w:val="hybridMultilevel"/>
    <w:tmpl w:val="D8E428B8"/>
    <w:lvl w:ilvl="0" w:tplc="0C090019">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5">
    <w:nsid w:val="741224E0"/>
    <w:multiLevelType w:val="hybridMultilevel"/>
    <w:tmpl w:val="D8E428B8"/>
    <w:lvl w:ilvl="0" w:tplc="0C090019">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6">
    <w:nsid w:val="777C1DCD"/>
    <w:multiLevelType w:val="hybridMultilevel"/>
    <w:tmpl w:val="8F425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BDA33DB"/>
    <w:multiLevelType w:val="multilevel"/>
    <w:tmpl w:val="9794A96C"/>
    <w:lvl w:ilvl="0">
      <w:numFmt w:val="bullet"/>
      <w:lvlText w:val="-"/>
      <w:lvlJc w:val="left"/>
      <w:pPr>
        <w:ind w:left="360" w:hanging="360"/>
      </w:pPr>
      <w:rPr>
        <w:rFonts w:ascii="Arial (W1)" w:eastAsia="Times New Roman" w:hAnsi="Arial (W1)" w:hint="default"/>
      </w:rPr>
    </w:lvl>
    <w:lvl w:ilvl="1">
      <w:start w:val="1"/>
      <w:numFmt w:val="decimal"/>
      <w:lvlText w:val="%2."/>
      <w:lvlJc w:val="left"/>
      <w:pPr>
        <w:ind w:left="360" w:hanging="360"/>
      </w:pPr>
      <w:rPr>
        <w:rFonts w:cs="Times New Roman"/>
      </w:rPr>
    </w:lvl>
    <w:lvl w:ilvl="2">
      <w:start w:val="1"/>
      <w:numFmt w:val="lowerLetter"/>
      <w:lvlText w:val="%3."/>
      <w:lvlJc w:val="left"/>
      <w:pPr>
        <w:ind w:left="720" w:hanging="720"/>
      </w:pPr>
      <w:rPr>
        <w:rFonts w:cs="Times New Roman" w:hint="default"/>
      </w:rPr>
    </w:lvl>
    <w:lvl w:ilvl="3">
      <w:start w:val="1"/>
      <w:numFmt w:val="bullet"/>
      <w:lvlText w:val="o"/>
      <w:lvlJc w:val="left"/>
      <w:pPr>
        <w:ind w:left="720" w:hanging="720"/>
      </w:pPr>
      <w:rPr>
        <w:rFonts w:ascii="Courier New" w:hAnsi="Courier New" w:cs="Times New Roman" w:hint="default"/>
      </w:rPr>
    </w:lvl>
    <w:lvl w:ilvl="4">
      <w:start w:val="1"/>
      <w:numFmt w:val="lowerRoman"/>
      <w:lvlText w:val="%5."/>
      <w:lvlJc w:val="righ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num w:numId="1">
    <w:abstractNumId w:val="10"/>
  </w:num>
  <w:num w:numId="2">
    <w:abstractNumId w:val="15"/>
  </w:num>
  <w:num w:numId="3">
    <w:abstractNumId w:val="6"/>
  </w:num>
  <w:num w:numId="4">
    <w:abstractNumId w:val="4"/>
  </w:num>
  <w:num w:numId="5">
    <w:abstractNumId w:val="1"/>
  </w:num>
  <w:num w:numId="6">
    <w:abstractNumId w:val="5"/>
  </w:num>
  <w:num w:numId="7">
    <w:abstractNumId w:val="3"/>
  </w:num>
  <w:num w:numId="8">
    <w:abstractNumId w:val="14"/>
  </w:num>
  <w:num w:numId="9">
    <w:abstractNumId w:val="7"/>
  </w:num>
  <w:num w:numId="10">
    <w:abstractNumId w:val="11"/>
  </w:num>
  <w:num w:numId="11">
    <w:abstractNumId w:val="0"/>
  </w:num>
  <w:num w:numId="12">
    <w:abstractNumId w:val="8"/>
  </w:num>
  <w:num w:numId="13">
    <w:abstractNumId w:val="9"/>
  </w:num>
  <w:num w:numId="14">
    <w:abstractNumId w:val="12"/>
  </w:num>
  <w:num w:numId="15">
    <w:abstractNumId w:val="2"/>
  </w:num>
  <w:num w:numId="16">
    <w:abstractNumId w:val="13"/>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rsids>
    <w:rsidRoot w:val="00D02375"/>
    <w:rsid w:val="000153B5"/>
    <w:rsid w:val="0001599B"/>
    <w:rsid w:val="000175C5"/>
    <w:rsid w:val="000372C4"/>
    <w:rsid w:val="0004690F"/>
    <w:rsid w:val="000470E8"/>
    <w:rsid w:val="00051A2B"/>
    <w:rsid w:val="000752E7"/>
    <w:rsid w:val="00082E40"/>
    <w:rsid w:val="000917E0"/>
    <w:rsid w:val="0009677D"/>
    <w:rsid w:val="000A1A09"/>
    <w:rsid w:val="000B7011"/>
    <w:rsid w:val="000D7CF7"/>
    <w:rsid w:val="000E2873"/>
    <w:rsid w:val="000F0309"/>
    <w:rsid w:val="001026B0"/>
    <w:rsid w:val="001249D3"/>
    <w:rsid w:val="00135DC9"/>
    <w:rsid w:val="0013721A"/>
    <w:rsid w:val="00141211"/>
    <w:rsid w:val="00142484"/>
    <w:rsid w:val="001426FF"/>
    <w:rsid w:val="00145830"/>
    <w:rsid w:val="00155B56"/>
    <w:rsid w:val="00167593"/>
    <w:rsid w:val="00174F52"/>
    <w:rsid w:val="00187A46"/>
    <w:rsid w:val="00190DD3"/>
    <w:rsid w:val="0019305A"/>
    <w:rsid w:val="001A0AD0"/>
    <w:rsid w:val="001A1494"/>
    <w:rsid w:val="001A2FE7"/>
    <w:rsid w:val="001A369B"/>
    <w:rsid w:val="001B070A"/>
    <w:rsid w:val="001B0F0D"/>
    <w:rsid w:val="001B4D1A"/>
    <w:rsid w:val="001D26B1"/>
    <w:rsid w:val="001E4706"/>
    <w:rsid w:val="001F0694"/>
    <w:rsid w:val="001F6A83"/>
    <w:rsid w:val="001F749D"/>
    <w:rsid w:val="002125C4"/>
    <w:rsid w:val="00213757"/>
    <w:rsid w:val="00222646"/>
    <w:rsid w:val="00223D6F"/>
    <w:rsid w:val="00246EF8"/>
    <w:rsid w:val="0025212C"/>
    <w:rsid w:val="002666C2"/>
    <w:rsid w:val="00270E08"/>
    <w:rsid w:val="00281BFB"/>
    <w:rsid w:val="0029429B"/>
    <w:rsid w:val="00294B22"/>
    <w:rsid w:val="002A5B58"/>
    <w:rsid w:val="002D1817"/>
    <w:rsid w:val="002F6833"/>
    <w:rsid w:val="003021D1"/>
    <w:rsid w:val="00303248"/>
    <w:rsid w:val="003353C4"/>
    <w:rsid w:val="0038793C"/>
    <w:rsid w:val="00390618"/>
    <w:rsid w:val="00397893"/>
    <w:rsid w:val="003A3F9B"/>
    <w:rsid w:val="003B6378"/>
    <w:rsid w:val="003C659E"/>
    <w:rsid w:val="00406452"/>
    <w:rsid w:val="004278D0"/>
    <w:rsid w:val="00447643"/>
    <w:rsid w:val="0046487A"/>
    <w:rsid w:val="00471410"/>
    <w:rsid w:val="00497970"/>
    <w:rsid w:val="004C07CB"/>
    <w:rsid w:val="00500270"/>
    <w:rsid w:val="005018F5"/>
    <w:rsid w:val="0050376D"/>
    <w:rsid w:val="00506CEE"/>
    <w:rsid w:val="005157E4"/>
    <w:rsid w:val="00517E93"/>
    <w:rsid w:val="00522758"/>
    <w:rsid w:val="0053773A"/>
    <w:rsid w:val="00556278"/>
    <w:rsid w:val="0057404D"/>
    <w:rsid w:val="00586E26"/>
    <w:rsid w:val="005B688A"/>
    <w:rsid w:val="005C31DD"/>
    <w:rsid w:val="005C7E10"/>
    <w:rsid w:val="005F5F21"/>
    <w:rsid w:val="00601425"/>
    <w:rsid w:val="006202EE"/>
    <w:rsid w:val="0062603D"/>
    <w:rsid w:val="00626E59"/>
    <w:rsid w:val="00643DB1"/>
    <w:rsid w:val="006457CC"/>
    <w:rsid w:val="0067293A"/>
    <w:rsid w:val="0068038B"/>
    <w:rsid w:val="00687195"/>
    <w:rsid w:val="00687C66"/>
    <w:rsid w:val="00687C95"/>
    <w:rsid w:val="00696A17"/>
    <w:rsid w:val="006B2C52"/>
    <w:rsid w:val="006B7367"/>
    <w:rsid w:val="006C28D1"/>
    <w:rsid w:val="006C3CEE"/>
    <w:rsid w:val="006C7F93"/>
    <w:rsid w:val="006E2C77"/>
    <w:rsid w:val="006F0364"/>
    <w:rsid w:val="006F4202"/>
    <w:rsid w:val="00733D9A"/>
    <w:rsid w:val="00740A02"/>
    <w:rsid w:val="00743C27"/>
    <w:rsid w:val="0076134D"/>
    <w:rsid w:val="007733B8"/>
    <w:rsid w:val="00783F90"/>
    <w:rsid w:val="007A4BDC"/>
    <w:rsid w:val="007B64FC"/>
    <w:rsid w:val="007E4C51"/>
    <w:rsid w:val="00805AF0"/>
    <w:rsid w:val="00824835"/>
    <w:rsid w:val="00844A59"/>
    <w:rsid w:val="00861A26"/>
    <w:rsid w:val="00862EB1"/>
    <w:rsid w:val="0086715E"/>
    <w:rsid w:val="00890731"/>
    <w:rsid w:val="008B4369"/>
    <w:rsid w:val="008B5F98"/>
    <w:rsid w:val="008E1276"/>
    <w:rsid w:val="008E1EA7"/>
    <w:rsid w:val="008E1F52"/>
    <w:rsid w:val="00921DDE"/>
    <w:rsid w:val="00923E6F"/>
    <w:rsid w:val="00925559"/>
    <w:rsid w:val="00930F62"/>
    <w:rsid w:val="00937772"/>
    <w:rsid w:val="009761B2"/>
    <w:rsid w:val="00980FC9"/>
    <w:rsid w:val="009828F5"/>
    <w:rsid w:val="009B1C2F"/>
    <w:rsid w:val="009F3759"/>
    <w:rsid w:val="00A00AFE"/>
    <w:rsid w:val="00A40321"/>
    <w:rsid w:val="00A44323"/>
    <w:rsid w:val="00A47FA6"/>
    <w:rsid w:val="00A536D2"/>
    <w:rsid w:val="00A83D18"/>
    <w:rsid w:val="00A941FF"/>
    <w:rsid w:val="00AB2738"/>
    <w:rsid w:val="00AD2268"/>
    <w:rsid w:val="00B064B1"/>
    <w:rsid w:val="00B14533"/>
    <w:rsid w:val="00B158F4"/>
    <w:rsid w:val="00B32B50"/>
    <w:rsid w:val="00B45281"/>
    <w:rsid w:val="00B61F3E"/>
    <w:rsid w:val="00B80602"/>
    <w:rsid w:val="00B8379F"/>
    <w:rsid w:val="00B960AF"/>
    <w:rsid w:val="00BA3DE4"/>
    <w:rsid w:val="00BA55EB"/>
    <w:rsid w:val="00BB2734"/>
    <w:rsid w:val="00BB6199"/>
    <w:rsid w:val="00BC7D39"/>
    <w:rsid w:val="00BF3560"/>
    <w:rsid w:val="00BF7978"/>
    <w:rsid w:val="00C5167F"/>
    <w:rsid w:val="00C72C14"/>
    <w:rsid w:val="00C74A89"/>
    <w:rsid w:val="00C819EA"/>
    <w:rsid w:val="00CB0EC9"/>
    <w:rsid w:val="00CB51C8"/>
    <w:rsid w:val="00CB6C8D"/>
    <w:rsid w:val="00CD1546"/>
    <w:rsid w:val="00CD77CC"/>
    <w:rsid w:val="00CE7802"/>
    <w:rsid w:val="00CF1BC7"/>
    <w:rsid w:val="00D02375"/>
    <w:rsid w:val="00D1782A"/>
    <w:rsid w:val="00D21A94"/>
    <w:rsid w:val="00D24BB3"/>
    <w:rsid w:val="00D2553C"/>
    <w:rsid w:val="00D26984"/>
    <w:rsid w:val="00D37753"/>
    <w:rsid w:val="00D739A1"/>
    <w:rsid w:val="00D761C5"/>
    <w:rsid w:val="00D8323F"/>
    <w:rsid w:val="00D95636"/>
    <w:rsid w:val="00D97419"/>
    <w:rsid w:val="00DD2F91"/>
    <w:rsid w:val="00E02A2E"/>
    <w:rsid w:val="00E3592F"/>
    <w:rsid w:val="00E5552B"/>
    <w:rsid w:val="00E6270C"/>
    <w:rsid w:val="00E63331"/>
    <w:rsid w:val="00E715FF"/>
    <w:rsid w:val="00E7377E"/>
    <w:rsid w:val="00E90604"/>
    <w:rsid w:val="00EA1F4D"/>
    <w:rsid w:val="00EA7A5E"/>
    <w:rsid w:val="00ED3BBA"/>
    <w:rsid w:val="00ED4E48"/>
    <w:rsid w:val="00EF0FAE"/>
    <w:rsid w:val="00EF5328"/>
    <w:rsid w:val="00F177E2"/>
    <w:rsid w:val="00F2137C"/>
    <w:rsid w:val="00F22571"/>
    <w:rsid w:val="00F408BD"/>
    <w:rsid w:val="00F4554D"/>
    <w:rsid w:val="00F7223D"/>
    <w:rsid w:val="00F737C2"/>
    <w:rsid w:val="00F76FBB"/>
    <w:rsid w:val="00F90AA8"/>
    <w:rsid w:val="00F93970"/>
    <w:rsid w:val="00FC1C2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75"/>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6E2C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237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1B0F0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2C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E2C77"/>
    <w:pPr>
      <w:ind w:left="720"/>
      <w:contextualSpacing/>
    </w:pPr>
  </w:style>
  <w:style w:type="character" w:styleId="Hyperlink">
    <w:name w:val="Hyperlink"/>
    <w:basedOn w:val="DefaultParagraphFont"/>
    <w:uiPriority w:val="99"/>
    <w:rsid w:val="00D02375"/>
    <w:rPr>
      <w:color w:val="0000FF"/>
      <w:u w:val="single"/>
    </w:rPr>
  </w:style>
  <w:style w:type="paragraph" w:styleId="TOC1">
    <w:name w:val="toc 1"/>
    <w:basedOn w:val="Normal"/>
    <w:next w:val="Normal"/>
    <w:autoRedefine/>
    <w:uiPriority w:val="39"/>
    <w:rsid w:val="00D02375"/>
    <w:pPr>
      <w:tabs>
        <w:tab w:val="left" w:pos="440"/>
        <w:tab w:val="right" w:leader="dot" w:pos="9016"/>
      </w:tabs>
      <w:spacing w:after="100" w:line="276" w:lineRule="auto"/>
    </w:pPr>
    <w:rPr>
      <w:rFonts w:ascii="Calibri" w:eastAsia="Calibri" w:hAnsi="Calibri" w:cs="Calibri"/>
      <w:noProof/>
      <w:sz w:val="22"/>
      <w:szCs w:val="22"/>
      <w:lang w:eastAsia="en-US"/>
    </w:rPr>
  </w:style>
  <w:style w:type="paragraph" w:styleId="FootnoteText">
    <w:name w:val="footnote text"/>
    <w:basedOn w:val="Normal"/>
    <w:link w:val="FootnoteTextChar"/>
    <w:rsid w:val="00D02375"/>
    <w:rPr>
      <w:rFonts w:ascii="Calibri" w:eastAsia="Calibri" w:hAnsi="Calibri"/>
      <w:sz w:val="20"/>
      <w:szCs w:val="20"/>
      <w:lang w:eastAsia="en-US"/>
    </w:rPr>
  </w:style>
  <w:style w:type="character" w:customStyle="1" w:styleId="FootnoteTextChar">
    <w:name w:val="Footnote Text Char"/>
    <w:basedOn w:val="DefaultParagraphFont"/>
    <w:link w:val="FootnoteText"/>
    <w:rsid w:val="00D02375"/>
    <w:rPr>
      <w:rFonts w:ascii="Calibri" w:eastAsia="Calibri" w:hAnsi="Calibri" w:cs="Times New Roman"/>
      <w:sz w:val="20"/>
      <w:szCs w:val="20"/>
    </w:rPr>
  </w:style>
  <w:style w:type="paragraph" w:customStyle="1" w:styleId="Level4">
    <w:name w:val="Level 4"/>
    <w:basedOn w:val="Normal"/>
    <w:next w:val="Normal"/>
    <w:rsid w:val="00D02375"/>
    <w:pPr>
      <w:ind w:left="1701" w:hanging="1134"/>
      <w:jc w:val="both"/>
      <w:outlineLvl w:val="3"/>
    </w:pPr>
    <w:rPr>
      <w:rFonts w:ascii="Arial" w:hAnsi="Arial" w:cs="Arial"/>
      <w:lang w:val="en-GB" w:eastAsia="en-US"/>
    </w:rPr>
  </w:style>
  <w:style w:type="character" w:styleId="FootnoteReference">
    <w:name w:val="footnote reference"/>
    <w:basedOn w:val="DefaultParagraphFont"/>
    <w:rsid w:val="00D02375"/>
    <w:rPr>
      <w:rFonts w:ascii="Times New Roman" w:hAnsi="Times New Roman" w:cs="Times New Roman" w:hint="default"/>
      <w:vertAlign w:val="superscript"/>
    </w:rPr>
  </w:style>
  <w:style w:type="character" w:customStyle="1" w:styleId="A5">
    <w:name w:val="A5"/>
    <w:rsid w:val="00D02375"/>
    <w:rPr>
      <w:color w:val="000000"/>
      <w:sz w:val="12"/>
    </w:rPr>
  </w:style>
  <w:style w:type="paragraph" w:customStyle="1" w:styleId="Pa1">
    <w:name w:val="Pa1"/>
    <w:basedOn w:val="Normal"/>
    <w:next w:val="Normal"/>
    <w:rsid w:val="00D02375"/>
    <w:pPr>
      <w:autoSpaceDE w:val="0"/>
      <w:autoSpaceDN w:val="0"/>
      <w:adjustRightInd w:val="0"/>
      <w:spacing w:line="206" w:lineRule="atLeast"/>
    </w:pPr>
    <w:rPr>
      <w:rFonts w:ascii="DINOT-Light" w:eastAsia="Calibri" w:hAnsi="DINOT-Light"/>
      <w:lang w:eastAsia="en-US"/>
    </w:rPr>
  </w:style>
  <w:style w:type="paragraph" w:styleId="BalloonText">
    <w:name w:val="Balloon Text"/>
    <w:basedOn w:val="Normal"/>
    <w:link w:val="BalloonTextChar"/>
    <w:uiPriority w:val="99"/>
    <w:semiHidden/>
    <w:unhideWhenUsed/>
    <w:rsid w:val="00D02375"/>
    <w:rPr>
      <w:rFonts w:ascii="Tahoma" w:hAnsi="Tahoma" w:cs="Tahoma"/>
      <w:sz w:val="16"/>
      <w:szCs w:val="16"/>
    </w:rPr>
  </w:style>
  <w:style w:type="character" w:customStyle="1" w:styleId="BalloonTextChar">
    <w:name w:val="Balloon Text Char"/>
    <w:basedOn w:val="DefaultParagraphFont"/>
    <w:link w:val="BalloonText"/>
    <w:uiPriority w:val="99"/>
    <w:semiHidden/>
    <w:rsid w:val="00D02375"/>
    <w:rPr>
      <w:rFonts w:ascii="Tahoma" w:eastAsia="Times New Roman" w:hAnsi="Tahoma" w:cs="Tahoma"/>
      <w:sz w:val="16"/>
      <w:szCs w:val="16"/>
      <w:lang w:eastAsia="en-AU"/>
    </w:rPr>
  </w:style>
  <w:style w:type="character" w:customStyle="1" w:styleId="Heading2Char">
    <w:name w:val="Heading 2 Char"/>
    <w:basedOn w:val="DefaultParagraphFont"/>
    <w:link w:val="Heading2"/>
    <w:uiPriority w:val="9"/>
    <w:semiHidden/>
    <w:rsid w:val="00D023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0F0D"/>
    <w:rPr>
      <w:rFonts w:asciiTheme="majorHAnsi" w:eastAsiaTheme="majorEastAsia" w:hAnsiTheme="majorHAnsi" w:cstheme="majorBidi"/>
      <w:b/>
      <w:bCs/>
      <w:color w:val="4F81BD" w:themeColor="accent1"/>
      <w:sz w:val="24"/>
      <w:szCs w:val="24"/>
      <w:lang w:eastAsia="en-AU"/>
    </w:rPr>
  </w:style>
  <w:style w:type="character" w:styleId="CommentReference">
    <w:name w:val="annotation reference"/>
    <w:basedOn w:val="DefaultParagraphFont"/>
    <w:uiPriority w:val="99"/>
    <w:semiHidden/>
    <w:unhideWhenUsed/>
    <w:rsid w:val="001B0F0D"/>
    <w:rPr>
      <w:sz w:val="16"/>
      <w:szCs w:val="16"/>
    </w:rPr>
  </w:style>
  <w:style w:type="paragraph" w:styleId="CommentText">
    <w:name w:val="annotation text"/>
    <w:basedOn w:val="Normal"/>
    <w:link w:val="CommentTextChar"/>
    <w:uiPriority w:val="99"/>
    <w:semiHidden/>
    <w:unhideWhenUsed/>
    <w:rsid w:val="001B0F0D"/>
    <w:rPr>
      <w:sz w:val="20"/>
      <w:szCs w:val="20"/>
    </w:rPr>
  </w:style>
  <w:style w:type="character" w:customStyle="1" w:styleId="CommentTextChar">
    <w:name w:val="Comment Text Char"/>
    <w:basedOn w:val="DefaultParagraphFont"/>
    <w:link w:val="CommentText"/>
    <w:uiPriority w:val="99"/>
    <w:semiHidden/>
    <w:rsid w:val="001B0F0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B0F0D"/>
    <w:rPr>
      <w:b/>
      <w:bCs/>
    </w:rPr>
  </w:style>
  <w:style w:type="character" w:customStyle="1" w:styleId="CommentSubjectChar">
    <w:name w:val="Comment Subject Char"/>
    <w:basedOn w:val="CommentTextChar"/>
    <w:link w:val="CommentSubject"/>
    <w:uiPriority w:val="99"/>
    <w:semiHidden/>
    <w:rsid w:val="001B0F0D"/>
    <w:rPr>
      <w:b/>
      <w:bCs/>
    </w:rPr>
  </w:style>
  <w:style w:type="paragraph" w:styleId="TOC3">
    <w:name w:val="toc 3"/>
    <w:basedOn w:val="Normal"/>
    <w:next w:val="Normal"/>
    <w:autoRedefine/>
    <w:uiPriority w:val="39"/>
    <w:unhideWhenUsed/>
    <w:rsid w:val="00D26984"/>
    <w:pPr>
      <w:spacing w:after="100"/>
      <w:ind w:left="480"/>
    </w:pPr>
  </w:style>
  <w:style w:type="paragraph" w:styleId="Header">
    <w:name w:val="header"/>
    <w:basedOn w:val="Normal"/>
    <w:link w:val="HeaderChar"/>
    <w:uiPriority w:val="99"/>
    <w:semiHidden/>
    <w:unhideWhenUsed/>
    <w:rsid w:val="00A44323"/>
    <w:pPr>
      <w:tabs>
        <w:tab w:val="center" w:pos="4513"/>
        <w:tab w:val="right" w:pos="9026"/>
      </w:tabs>
    </w:pPr>
  </w:style>
  <w:style w:type="character" w:customStyle="1" w:styleId="HeaderChar">
    <w:name w:val="Header Char"/>
    <w:basedOn w:val="DefaultParagraphFont"/>
    <w:link w:val="Header"/>
    <w:uiPriority w:val="99"/>
    <w:semiHidden/>
    <w:rsid w:val="00A44323"/>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A44323"/>
    <w:pPr>
      <w:tabs>
        <w:tab w:val="center" w:pos="4513"/>
        <w:tab w:val="right" w:pos="9026"/>
      </w:tabs>
    </w:pPr>
  </w:style>
  <w:style w:type="character" w:customStyle="1" w:styleId="FooterChar">
    <w:name w:val="Footer Char"/>
    <w:basedOn w:val="DefaultParagraphFont"/>
    <w:link w:val="Footer"/>
    <w:uiPriority w:val="99"/>
    <w:rsid w:val="00A44323"/>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55685-3E83-4264-ADFD-898486CF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16</Pages>
  <Words>4363</Words>
  <Characters>24873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Armour</dc:creator>
  <cp:lastModifiedBy>Marion Ries</cp:lastModifiedBy>
  <cp:revision>10</cp:revision>
  <cp:lastPrinted>2011-11-27T22:27:00Z</cp:lastPrinted>
  <dcterms:created xsi:type="dcterms:W3CDTF">2011-11-17T21:56:00Z</dcterms:created>
  <dcterms:modified xsi:type="dcterms:W3CDTF">2011-11-29T22:53:00Z</dcterms:modified>
</cp:coreProperties>
</file>