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3F" w:rsidRDefault="00FB6D3F">
      <w:pPr>
        <w:rPr>
          <w:lang w:val="en-US"/>
        </w:rPr>
      </w:pPr>
    </w:p>
    <w:p w:rsidR="00FB6D3F" w:rsidRPr="008A2CFC" w:rsidRDefault="00FB6D3F" w:rsidP="00FB6D3F">
      <w:pPr>
        <w:jc w:val="center"/>
        <w:rPr>
          <w:b/>
          <w:lang w:val="en-US"/>
        </w:rPr>
      </w:pPr>
      <w:r w:rsidRPr="008A2CFC">
        <w:rPr>
          <w:b/>
          <w:lang w:val="en-US"/>
        </w:rPr>
        <w:t>Australian Securities and Investments Commission</w:t>
      </w:r>
    </w:p>
    <w:p w:rsidR="00FB6D3F" w:rsidRPr="008A2CFC" w:rsidRDefault="00FB6D3F" w:rsidP="00FB6D3F">
      <w:pPr>
        <w:jc w:val="center"/>
        <w:rPr>
          <w:b/>
          <w:lang w:val="en-US"/>
        </w:rPr>
      </w:pPr>
      <w:r w:rsidRPr="008A2CFC">
        <w:rPr>
          <w:b/>
          <w:lang w:val="en-US"/>
        </w:rPr>
        <w:t xml:space="preserve">Corporations Act 2001 – </w:t>
      </w:r>
      <w:r w:rsidR="00A01BE1">
        <w:rPr>
          <w:b/>
          <w:lang w:val="en-US"/>
        </w:rPr>
        <w:t xml:space="preserve">Paragraph </w:t>
      </w:r>
      <w:proofErr w:type="gramStart"/>
      <w:r w:rsidR="00A01BE1">
        <w:rPr>
          <w:b/>
          <w:lang w:val="en-US"/>
        </w:rPr>
        <w:t>911A(</w:t>
      </w:r>
      <w:proofErr w:type="gramEnd"/>
      <w:r w:rsidR="00A01BE1">
        <w:rPr>
          <w:b/>
          <w:lang w:val="en-US"/>
        </w:rPr>
        <w:t>2)(l)</w:t>
      </w:r>
      <w:r w:rsidRPr="008A2CFC">
        <w:rPr>
          <w:b/>
          <w:lang w:val="en-US"/>
        </w:rPr>
        <w:t xml:space="preserve"> – </w:t>
      </w:r>
      <w:r w:rsidR="00A01BE1">
        <w:rPr>
          <w:b/>
          <w:lang w:val="en-US"/>
        </w:rPr>
        <w:t>Exemption</w:t>
      </w:r>
    </w:p>
    <w:p w:rsidR="00FB6D3F" w:rsidRDefault="00FB6D3F" w:rsidP="00FB6D3F">
      <w:pPr>
        <w:jc w:val="center"/>
        <w:rPr>
          <w:lang w:val="en-US"/>
        </w:rPr>
      </w:pPr>
    </w:p>
    <w:p w:rsidR="00FB6D3F" w:rsidRPr="008A2CFC" w:rsidRDefault="00FB6D3F" w:rsidP="00FB6D3F">
      <w:pPr>
        <w:rPr>
          <w:b/>
          <w:lang w:val="en-US"/>
        </w:rPr>
      </w:pPr>
      <w:r w:rsidRPr="008A2CFC">
        <w:rPr>
          <w:b/>
          <w:lang w:val="en-US"/>
        </w:rPr>
        <w:t xml:space="preserve">Enabling </w:t>
      </w:r>
      <w:r w:rsidR="00E71F97">
        <w:rPr>
          <w:b/>
          <w:lang w:val="en-US"/>
        </w:rPr>
        <w:t>legislation</w:t>
      </w:r>
    </w:p>
    <w:p w:rsidR="00FB6D3F" w:rsidRDefault="00FB6D3F" w:rsidP="00FB6D3F">
      <w:pPr>
        <w:rPr>
          <w:lang w:val="en-US"/>
        </w:rPr>
      </w:pPr>
    </w:p>
    <w:p w:rsidR="00FB6D3F" w:rsidRDefault="00FB6D3F" w:rsidP="00FB6D3F">
      <w:pPr>
        <w:ind w:left="567" w:hanging="567"/>
        <w:rPr>
          <w:lang w:val="en-US"/>
        </w:rPr>
      </w:pPr>
      <w:r w:rsidRPr="008A2CFC">
        <w:rPr>
          <w:lang w:val="en-US"/>
        </w:rPr>
        <w:t>1.</w:t>
      </w:r>
      <w:r>
        <w:rPr>
          <w:lang w:val="en-US"/>
        </w:rPr>
        <w:tab/>
        <w:t xml:space="preserve">The Australian Securities and Investments Commission makes this instrument under </w:t>
      </w:r>
      <w:r w:rsidR="00534281">
        <w:rPr>
          <w:lang w:val="en-US"/>
        </w:rPr>
        <w:t xml:space="preserve">paragraph </w:t>
      </w:r>
      <w:proofErr w:type="gramStart"/>
      <w:r w:rsidR="00534281">
        <w:rPr>
          <w:lang w:val="en-US"/>
        </w:rPr>
        <w:t>911A(</w:t>
      </w:r>
      <w:proofErr w:type="gramEnd"/>
      <w:r w:rsidR="00534281">
        <w:rPr>
          <w:lang w:val="en-US"/>
        </w:rPr>
        <w:t xml:space="preserve">2)(l) </w:t>
      </w:r>
      <w:r>
        <w:rPr>
          <w:lang w:val="en-US"/>
        </w:rPr>
        <w:t xml:space="preserve">of the </w:t>
      </w:r>
      <w:r w:rsidRPr="00F33DA8">
        <w:rPr>
          <w:i/>
          <w:lang w:val="en-US"/>
        </w:rPr>
        <w:t>Corporations Act 2001</w:t>
      </w:r>
      <w:r>
        <w:rPr>
          <w:lang w:val="en-US"/>
        </w:rPr>
        <w:t xml:space="preserve"> (the </w:t>
      </w:r>
      <w:r>
        <w:rPr>
          <w:b/>
          <w:i/>
          <w:lang w:val="en-US"/>
        </w:rPr>
        <w:t>Act</w:t>
      </w:r>
      <w:r>
        <w:rPr>
          <w:lang w:val="en-US"/>
        </w:rPr>
        <w:t>).</w:t>
      </w:r>
    </w:p>
    <w:p w:rsidR="00FB6D3F" w:rsidRDefault="00FB6D3F" w:rsidP="00FB6D3F">
      <w:pPr>
        <w:rPr>
          <w:lang w:val="en-US"/>
        </w:rPr>
      </w:pPr>
    </w:p>
    <w:p w:rsidR="00FB6D3F" w:rsidRDefault="00FB6D3F" w:rsidP="00FB6D3F">
      <w:pPr>
        <w:rPr>
          <w:lang w:val="en-US"/>
        </w:rPr>
      </w:pPr>
      <w:r>
        <w:rPr>
          <w:b/>
          <w:lang w:val="en-US"/>
        </w:rPr>
        <w:t>Title</w:t>
      </w:r>
    </w:p>
    <w:p w:rsidR="00FB6D3F" w:rsidRDefault="00FB6D3F" w:rsidP="00FB6D3F">
      <w:pPr>
        <w:rPr>
          <w:lang w:val="en-US"/>
        </w:rPr>
      </w:pPr>
    </w:p>
    <w:p w:rsidR="00FB6D3F" w:rsidRDefault="00FB6D3F" w:rsidP="00FB6D3F">
      <w:pPr>
        <w:ind w:left="567" w:hanging="567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>This instrument is ASIC Class Order [CO 11/</w:t>
      </w:r>
      <w:r w:rsidR="00534281">
        <w:rPr>
          <w:lang w:val="en-US"/>
        </w:rPr>
        <w:t>927</w:t>
      </w:r>
      <w:r>
        <w:rPr>
          <w:lang w:val="en-US"/>
        </w:rPr>
        <w:t>].</w:t>
      </w:r>
    </w:p>
    <w:p w:rsidR="00FB6D3F" w:rsidRDefault="00FB6D3F" w:rsidP="00FB6D3F">
      <w:pPr>
        <w:rPr>
          <w:lang w:val="en-US"/>
        </w:rPr>
      </w:pPr>
    </w:p>
    <w:p w:rsidR="00FB6D3F" w:rsidRPr="008A2CFC" w:rsidRDefault="00FB6D3F" w:rsidP="00FB6D3F">
      <w:pPr>
        <w:rPr>
          <w:b/>
          <w:lang w:val="en-US"/>
        </w:rPr>
      </w:pPr>
      <w:r w:rsidRPr="008A2CFC">
        <w:rPr>
          <w:b/>
          <w:lang w:val="en-US"/>
        </w:rPr>
        <w:t>Commencement</w:t>
      </w:r>
    </w:p>
    <w:p w:rsidR="00FB6D3F" w:rsidRDefault="00FB6D3F" w:rsidP="00FB6D3F">
      <w:pPr>
        <w:rPr>
          <w:lang w:val="en-US"/>
        </w:rPr>
      </w:pPr>
    </w:p>
    <w:p w:rsidR="00FB6D3F" w:rsidRDefault="00FB6D3F" w:rsidP="00FB6D3F">
      <w:pPr>
        <w:ind w:left="567" w:hanging="567"/>
        <w:rPr>
          <w:lang w:val="en-US"/>
        </w:rPr>
      </w:pPr>
      <w:r>
        <w:rPr>
          <w:lang w:val="en-US"/>
        </w:rPr>
        <w:t>3.</w:t>
      </w:r>
      <w:r>
        <w:rPr>
          <w:lang w:val="en-US"/>
        </w:rPr>
        <w:tab/>
        <w:t>This instrument commences on the later of:</w:t>
      </w:r>
    </w:p>
    <w:p w:rsidR="00FB6D3F" w:rsidRDefault="00FB6D3F" w:rsidP="00FB6D3F">
      <w:pPr>
        <w:ind w:left="567" w:hanging="567"/>
        <w:rPr>
          <w:lang w:val="en-US"/>
        </w:rPr>
      </w:pPr>
    </w:p>
    <w:p w:rsidR="00FB6D3F" w:rsidRDefault="00FB6D3F" w:rsidP="00FB6D3F">
      <w:pPr>
        <w:ind w:left="1134" w:hanging="567"/>
        <w:rPr>
          <w:lang w:val="en-US"/>
        </w:rPr>
      </w:pPr>
      <w:r>
        <w:rPr>
          <w:lang w:val="en-US"/>
        </w:rPr>
        <w:t>(</w:t>
      </w:r>
      <w:r w:rsidR="00003F56">
        <w:rPr>
          <w:lang w:val="en-US"/>
        </w:rPr>
        <w:t>a</w:t>
      </w:r>
      <w:r>
        <w:rPr>
          <w:lang w:val="en-US"/>
        </w:rPr>
        <w:t>)</w:t>
      </w:r>
      <w:r>
        <w:rPr>
          <w:lang w:val="en-US"/>
        </w:rPr>
        <w:tab/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da</w:t>
      </w:r>
      <w:r w:rsidR="00E47C9D">
        <w:rPr>
          <w:lang w:val="en-US"/>
        </w:rPr>
        <w:t>te</w:t>
      </w:r>
      <w:r>
        <w:rPr>
          <w:lang w:val="en-US"/>
        </w:rPr>
        <w:t xml:space="preserve"> it is registered under the </w:t>
      </w:r>
      <w:r>
        <w:rPr>
          <w:i/>
          <w:lang w:val="en-US"/>
        </w:rPr>
        <w:t>Legislative Instruments Act 2003</w:t>
      </w:r>
      <w:r w:rsidR="00003F56">
        <w:rPr>
          <w:lang w:val="en-US"/>
        </w:rPr>
        <w:t>; and</w:t>
      </w:r>
      <w:r>
        <w:rPr>
          <w:lang w:val="en-US"/>
        </w:rPr>
        <w:t>.</w:t>
      </w:r>
    </w:p>
    <w:p w:rsidR="00003F56" w:rsidRDefault="00003F56" w:rsidP="00FB6D3F">
      <w:pPr>
        <w:ind w:left="1134" w:hanging="567"/>
        <w:rPr>
          <w:lang w:val="en-US"/>
        </w:rPr>
      </w:pPr>
    </w:p>
    <w:p w:rsidR="00003F56" w:rsidRPr="00003F56" w:rsidRDefault="00003F56" w:rsidP="00003F56">
      <w:pPr>
        <w:ind w:left="1134" w:hanging="567"/>
        <w:rPr>
          <w:lang w:val="en-US"/>
        </w:rPr>
      </w:pPr>
      <w:r>
        <w:rPr>
          <w:lang w:val="en-US"/>
        </w:rPr>
        <w:t>(b)</w:t>
      </w:r>
      <w:r>
        <w:rPr>
          <w:lang w:val="en-US"/>
        </w:rPr>
        <w:tab/>
      </w:r>
      <w:proofErr w:type="gramStart"/>
      <w:r w:rsidRPr="00003F56">
        <w:rPr>
          <w:lang w:val="en-US"/>
        </w:rPr>
        <w:t>the</w:t>
      </w:r>
      <w:proofErr w:type="gramEnd"/>
      <w:r w:rsidRPr="00003F56">
        <w:rPr>
          <w:lang w:val="en-US"/>
        </w:rPr>
        <w:t xml:space="preserve"> date of </w:t>
      </w:r>
      <w:r w:rsidR="003218D6">
        <w:rPr>
          <w:lang w:val="en-US"/>
        </w:rPr>
        <w:t xml:space="preserve">its </w:t>
      </w:r>
      <w:r w:rsidRPr="00003F56">
        <w:rPr>
          <w:lang w:val="en-US"/>
        </w:rPr>
        <w:t>gazettal</w:t>
      </w:r>
      <w:r>
        <w:rPr>
          <w:lang w:val="en-US"/>
        </w:rPr>
        <w:t>.</w:t>
      </w:r>
    </w:p>
    <w:p w:rsidR="00FB6D3F" w:rsidRDefault="00FB6D3F" w:rsidP="00FB6D3F">
      <w:pPr>
        <w:rPr>
          <w:lang w:val="en-US"/>
        </w:rPr>
      </w:pPr>
    </w:p>
    <w:p w:rsidR="00FB6D3F" w:rsidRPr="00F33DA8" w:rsidRDefault="00FB6D3F" w:rsidP="00003F56">
      <w:pPr>
        <w:ind w:left="1134" w:hanging="567"/>
        <w:rPr>
          <w:sz w:val="20"/>
          <w:szCs w:val="20"/>
          <w:lang w:val="en-US"/>
        </w:rPr>
      </w:pPr>
      <w:r w:rsidRPr="00F33DA8">
        <w:rPr>
          <w:sz w:val="20"/>
          <w:szCs w:val="20"/>
          <w:lang w:val="en-US"/>
        </w:rPr>
        <w:t>Note:</w:t>
      </w:r>
      <w:r w:rsidRPr="00F33DA8">
        <w:rPr>
          <w:sz w:val="20"/>
          <w:szCs w:val="20"/>
          <w:lang w:val="en-US"/>
        </w:rPr>
        <w:tab/>
        <w:t>An instrument is registered when it is recorded on the Federal Register of Legislative Instruments (</w:t>
      </w:r>
      <w:r w:rsidRPr="00F33DA8">
        <w:rPr>
          <w:b/>
          <w:i/>
          <w:sz w:val="20"/>
          <w:szCs w:val="20"/>
          <w:lang w:val="en-US"/>
        </w:rPr>
        <w:t>FRLI</w:t>
      </w:r>
      <w:r w:rsidRPr="00F33DA8">
        <w:rPr>
          <w:sz w:val="20"/>
          <w:szCs w:val="20"/>
          <w:lang w:val="en-US"/>
        </w:rPr>
        <w:t xml:space="preserve">) in electronic form: see </w:t>
      </w:r>
      <w:r w:rsidRPr="00F33DA8">
        <w:rPr>
          <w:i/>
          <w:sz w:val="20"/>
          <w:szCs w:val="20"/>
          <w:lang w:val="en-US"/>
        </w:rPr>
        <w:t>Legislative Instruments Act 2003</w:t>
      </w:r>
      <w:r w:rsidRPr="00F33DA8">
        <w:rPr>
          <w:sz w:val="20"/>
          <w:szCs w:val="20"/>
          <w:lang w:val="en-US"/>
        </w:rPr>
        <w:t>, s</w:t>
      </w:r>
      <w:r>
        <w:rPr>
          <w:sz w:val="20"/>
          <w:szCs w:val="20"/>
          <w:lang w:val="en-US"/>
        </w:rPr>
        <w:t>ection</w:t>
      </w:r>
      <w:r w:rsidRPr="00F33DA8">
        <w:rPr>
          <w:sz w:val="20"/>
          <w:szCs w:val="20"/>
          <w:lang w:val="en-US"/>
        </w:rPr>
        <w:t xml:space="preserve"> 4 (definition of </w:t>
      </w:r>
      <w:r w:rsidRPr="00F33DA8">
        <w:rPr>
          <w:b/>
          <w:i/>
          <w:sz w:val="20"/>
          <w:szCs w:val="20"/>
          <w:lang w:val="en-US"/>
        </w:rPr>
        <w:t>register</w:t>
      </w:r>
      <w:r w:rsidRPr="00F33DA8">
        <w:rPr>
          <w:sz w:val="20"/>
          <w:szCs w:val="20"/>
          <w:lang w:val="en-US"/>
        </w:rPr>
        <w:t xml:space="preserve">). The FRLI may be accessed at </w:t>
      </w:r>
      <w:hyperlink r:id="rId8" w:history="1">
        <w:r w:rsidRPr="00F33DA8">
          <w:rPr>
            <w:rStyle w:val="Hyperlink"/>
            <w:sz w:val="20"/>
            <w:szCs w:val="20"/>
            <w:lang w:val="en-US"/>
          </w:rPr>
          <w:t>http://www.frli.gov.au/</w:t>
        </w:r>
      </w:hyperlink>
      <w:r w:rsidRPr="00F33DA8">
        <w:rPr>
          <w:sz w:val="20"/>
          <w:szCs w:val="20"/>
          <w:lang w:val="en-US"/>
        </w:rPr>
        <w:t>.</w:t>
      </w:r>
    </w:p>
    <w:p w:rsidR="00FB6D3F" w:rsidRDefault="00FB6D3F" w:rsidP="00003F56">
      <w:pPr>
        <w:ind w:left="1134" w:hanging="567"/>
        <w:rPr>
          <w:lang w:val="en-US"/>
        </w:rPr>
      </w:pPr>
    </w:p>
    <w:p w:rsidR="00FB6D3F" w:rsidRDefault="00003F56" w:rsidP="00FB6D3F">
      <w:pPr>
        <w:rPr>
          <w:b/>
          <w:lang w:val="en-US"/>
        </w:rPr>
      </w:pPr>
      <w:r>
        <w:rPr>
          <w:b/>
          <w:lang w:val="en-US"/>
        </w:rPr>
        <w:t>Exemption</w:t>
      </w:r>
    </w:p>
    <w:p w:rsidR="00FB6D3F" w:rsidRPr="002F7C3D" w:rsidRDefault="00FB6D3F" w:rsidP="00FB6D3F">
      <w:pPr>
        <w:pStyle w:val="ListParagraph"/>
        <w:ind w:left="0"/>
        <w:rPr>
          <w:b/>
          <w:lang w:val="en-US"/>
        </w:rPr>
      </w:pPr>
    </w:p>
    <w:p w:rsidR="001C3FA6" w:rsidRDefault="00003F56" w:rsidP="00003F56">
      <w:pPr>
        <w:pStyle w:val="ListParagraph"/>
        <w:ind w:left="567" w:hanging="567"/>
        <w:rPr>
          <w:lang w:val="en-US"/>
        </w:rPr>
      </w:pPr>
      <w:r>
        <w:rPr>
          <w:lang w:val="en-US"/>
        </w:rPr>
        <w:t>4</w:t>
      </w:r>
      <w:r w:rsidR="00FB6D3F" w:rsidRPr="00E15521">
        <w:rPr>
          <w:lang w:val="en-US"/>
        </w:rPr>
        <w:t>.</w:t>
      </w:r>
      <w:r w:rsidR="00FB6D3F" w:rsidRPr="00E15521">
        <w:rPr>
          <w:lang w:val="en-US"/>
        </w:rPr>
        <w:tab/>
      </w:r>
      <w:r>
        <w:rPr>
          <w:lang w:val="en-US"/>
        </w:rPr>
        <w:t xml:space="preserve">A </w:t>
      </w:r>
      <w:r w:rsidR="00016586">
        <w:rPr>
          <w:lang w:val="en-US"/>
        </w:rPr>
        <w:t>money management</w:t>
      </w:r>
      <w:r w:rsidR="004F13A3">
        <w:rPr>
          <w:lang w:val="en-US"/>
        </w:rPr>
        <w:t xml:space="preserve"> service provider</w:t>
      </w:r>
      <w:r>
        <w:rPr>
          <w:lang w:val="en-US"/>
        </w:rPr>
        <w:t xml:space="preserve"> does not have to hold an Australian financial services licence covering the pr</w:t>
      </w:r>
      <w:r w:rsidR="001C3FA6">
        <w:rPr>
          <w:lang w:val="en-US"/>
        </w:rPr>
        <w:t>ovision of financial produc</w:t>
      </w:r>
      <w:r w:rsidR="006C5E12">
        <w:rPr>
          <w:lang w:val="en-US"/>
        </w:rPr>
        <w:t>t</w:t>
      </w:r>
      <w:r w:rsidR="001C3FA6">
        <w:rPr>
          <w:lang w:val="en-US"/>
        </w:rPr>
        <w:t xml:space="preserve"> advice </w:t>
      </w:r>
      <w:r w:rsidR="00794DA5">
        <w:rPr>
          <w:lang w:val="en-US"/>
        </w:rPr>
        <w:t xml:space="preserve">to a person (the </w:t>
      </w:r>
      <w:r w:rsidR="00794DA5" w:rsidRPr="00794DA5">
        <w:rPr>
          <w:b/>
          <w:i/>
          <w:lang w:val="en-US"/>
        </w:rPr>
        <w:t>client</w:t>
      </w:r>
      <w:r w:rsidR="00794DA5">
        <w:rPr>
          <w:lang w:val="en-US"/>
        </w:rPr>
        <w:t xml:space="preserve">) </w:t>
      </w:r>
      <w:r w:rsidR="001C3FA6">
        <w:rPr>
          <w:lang w:val="en-US"/>
        </w:rPr>
        <w:t xml:space="preserve">in relation to a </w:t>
      </w:r>
      <w:r w:rsidR="00323DA1">
        <w:rPr>
          <w:lang w:val="en-US"/>
        </w:rPr>
        <w:t xml:space="preserve">basic </w:t>
      </w:r>
      <w:r w:rsidR="001C3FA6">
        <w:rPr>
          <w:lang w:val="en-US"/>
        </w:rPr>
        <w:t>deposit product.</w:t>
      </w:r>
    </w:p>
    <w:p w:rsidR="001C3FA6" w:rsidRDefault="001C3FA6" w:rsidP="00003F56">
      <w:pPr>
        <w:pStyle w:val="ListParagraph"/>
        <w:ind w:left="567" w:hanging="567"/>
        <w:rPr>
          <w:lang w:val="en-US"/>
        </w:rPr>
      </w:pPr>
    </w:p>
    <w:p w:rsidR="001C3FA6" w:rsidRPr="001C3FA6" w:rsidRDefault="001C3FA6" w:rsidP="00003F56">
      <w:pPr>
        <w:pStyle w:val="ListParagraph"/>
        <w:ind w:left="567" w:hanging="567"/>
        <w:rPr>
          <w:b/>
          <w:lang w:val="en-US"/>
        </w:rPr>
      </w:pPr>
      <w:r w:rsidRPr="001C3FA6">
        <w:rPr>
          <w:b/>
          <w:lang w:val="en-US"/>
        </w:rPr>
        <w:t>Where this instrument applies</w:t>
      </w:r>
    </w:p>
    <w:p w:rsidR="001C3FA6" w:rsidRDefault="001C3FA6" w:rsidP="00003F56">
      <w:pPr>
        <w:pStyle w:val="ListParagraph"/>
        <w:ind w:left="567" w:hanging="567"/>
        <w:rPr>
          <w:lang w:val="en-US"/>
        </w:rPr>
      </w:pPr>
    </w:p>
    <w:p w:rsidR="001C3FA6" w:rsidRDefault="001C3FA6" w:rsidP="00003F56">
      <w:pPr>
        <w:pStyle w:val="ListParagraph"/>
        <w:ind w:left="567" w:hanging="567"/>
        <w:rPr>
          <w:lang w:val="en-US"/>
        </w:rPr>
      </w:pPr>
      <w:r>
        <w:rPr>
          <w:lang w:val="en-US"/>
        </w:rPr>
        <w:t>5.</w:t>
      </w:r>
      <w:r>
        <w:rPr>
          <w:lang w:val="en-US"/>
        </w:rPr>
        <w:tab/>
        <w:t>This instrument applies</w:t>
      </w:r>
      <w:r w:rsidR="006C5E12">
        <w:rPr>
          <w:lang w:val="en-US"/>
        </w:rPr>
        <w:t xml:space="preserve"> where all of the following are satisfied:</w:t>
      </w:r>
    </w:p>
    <w:p w:rsidR="001C3FA6" w:rsidRDefault="001C3FA6" w:rsidP="00003F56">
      <w:pPr>
        <w:pStyle w:val="ListParagraph"/>
        <w:ind w:left="567" w:hanging="567"/>
        <w:rPr>
          <w:lang w:val="en-US"/>
        </w:rPr>
      </w:pPr>
    </w:p>
    <w:p w:rsidR="00534281" w:rsidRDefault="006C5E12" w:rsidP="006C5E12">
      <w:pPr>
        <w:pStyle w:val="ListParagraph"/>
        <w:ind w:left="1134" w:hanging="567"/>
        <w:rPr>
          <w:bCs/>
        </w:rPr>
      </w:pPr>
      <w:r>
        <w:rPr>
          <w:bCs/>
          <w:iCs/>
        </w:rPr>
        <w:t>(a)</w:t>
      </w:r>
      <w:r>
        <w:rPr>
          <w:bCs/>
          <w:iCs/>
        </w:rPr>
        <w:tab/>
      </w:r>
      <w:proofErr w:type="gramStart"/>
      <w:r>
        <w:rPr>
          <w:bCs/>
          <w:iCs/>
        </w:rPr>
        <w:t>the</w:t>
      </w:r>
      <w:proofErr w:type="gramEnd"/>
      <w:r>
        <w:rPr>
          <w:bCs/>
          <w:iCs/>
        </w:rPr>
        <w:t xml:space="preserve"> financial product advice </w:t>
      </w:r>
      <w:r w:rsidR="00534281" w:rsidRPr="00534281">
        <w:rPr>
          <w:bCs/>
        </w:rPr>
        <w:t xml:space="preserve">is provided </w:t>
      </w:r>
      <w:r w:rsidR="00794DA5">
        <w:rPr>
          <w:bCs/>
        </w:rPr>
        <w:t xml:space="preserve">to the client </w:t>
      </w:r>
      <w:r w:rsidR="00080923">
        <w:rPr>
          <w:bCs/>
        </w:rPr>
        <w:t xml:space="preserve">as part of </w:t>
      </w:r>
      <w:r>
        <w:rPr>
          <w:bCs/>
        </w:rPr>
        <w:t>a</w:t>
      </w:r>
      <w:r w:rsidR="00534281" w:rsidRPr="00534281">
        <w:rPr>
          <w:bCs/>
        </w:rPr>
        <w:t xml:space="preserve"> </w:t>
      </w:r>
      <w:r w:rsidR="00016586">
        <w:rPr>
          <w:bCs/>
        </w:rPr>
        <w:t>money management</w:t>
      </w:r>
      <w:r w:rsidR="004F13A3">
        <w:rPr>
          <w:bCs/>
        </w:rPr>
        <w:t xml:space="preserve"> </w:t>
      </w:r>
      <w:r>
        <w:rPr>
          <w:bCs/>
        </w:rPr>
        <w:t>service</w:t>
      </w:r>
      <w:r w:rsidR="00534281" w:rsidRPr="00534281">
        <w:rPr>
          <w:bCs/>
        </w:rPr>
        <w:t>;</w:t>
      </w:r>
    </w:p>
    <w:p w:rsidR="00080923" w:rsidRPr="00534281" w:rsidRDefault="00080923" w:rsidP="006C5E12">
      <w:pPr>
        <w:pStyle w:val="ListParagraph"/>
        <w:ind w:left="1134" w:hanging="567"/>
        <w:rPr>
          <w:bCs/>
        </w:rPr>
      </w:pPr>
    </w:p>
    <w:p w:rsidR="00534281" w:rsidRDefault="00794DA5" w:rsidP="00794DA5">
      <w:pPr>
        <w:ind w:left="1134" w:hanging="567"/>
        <w:rPr>
          <w:bCs/>
        </w:rPr>
      </w:pPr>
      <w:r>
        <w:rPr>
          <w:bCs/>
        </w:rPr>
        <w:t>(b)</w:t>
      </w:r>
      <w:r>
        <w:rPr>
          <w:bCs/>
        </w:rPr>
        <w:tab/>
      </w:r>
      <w:proofErr w:type="gramStart"/>
      <w:r w:rsidR="00534281" w:rsidRPr="00534281">
        <w:rPr>
          <w:bCs/>
        </w:rPr>
        <w:t>no</w:t>
      </w:r>
      <w:proofErr w:type="gramEnd"/>
      <w:r w:rsidR="00534281" w:rsidRPr="00534281">
        <w:rPr>
          <w:bCs/>
        </w:rPr>
        <w:t xml:space="preserve"> fees or charges (however described) are payable by or on behalf of the </w:t>
      </w:r>
      <w:r>
        <w:rPr>
          <w:bCs/>
        </w:rPr>
        <w:t>client</w:t>
      </w:r>
      <w:r w:rsidR="006C5E12">
        <w:rPr>
          <w:bCs/>
        </w:rPr>
        <w:t xml:space="preserve"> </w:t>
      </w:r>
      <w:r>
        <w:rPr>
          <w:bCs/>
        </w:rPr>
        <w:t xml:space="preserve">in relation to the advice </w:t>
      </w:r>
      <w:r w:rsidR="00534281" w:rsidRPr="00534281">
        <w:rPr>
          <w:bCs/>
        </w:rPr>
        <w:t xml:space="preserve">or any other aspect of the </w:t>
      </w:r>
      <w:r w:rsidR="00016586">
        <w:rPr>
          <w:bCs/>
        </w:rPr>
        <w:t>money management</w:t>
      </w:r>
      <w:r w:rsidR="004F13A3">
        <w:rPr>
          <w:bCs/>
        </w:rPr>
        <w:t xml:space="preserve"> </w:t>
      </w:r>
      <w:r w:rsidR="00534281" w:rsidRPr="00534281">
        <w:rPr>
          <w:bCs/>
        </w:rPr>
        <w:t>service;</w:t>
      </w:r>
    </w:p>
    <w:p w:rsidR="00080923" w:rsidRPr="00534281" w:rsidRDefault="00080923" w:rsidP="00794DA5">
      <w:pPr>
        <w:ind w:left="1134" w:hanging="567"/>
        <w:rPr>
          <w:bCs/>
        </w:rPr>
      </w:pPr>
    </w:p>
    <w:p w:rsidR="00534281" w:rsidRDefault="00794DA5" w:rsidP="00794DA5">
      <w:pPr>
        <w:ind w:left="1134" w:hanging="567"/>
        <w:rPr>
          <w:bCs/>
        </w:rPr>
      </w:pPr>
      <w:r>
        <w:rPr>
          <w:bCs/>
        </w:rPr>
        <w:t>(c)</w:t>
      </w:r>
      <w:r>
        <w:rPr>
          <w:bCs/>
        </w:rPr>
        <w:tab/>
      </w:r>
      <w:r w:rsidR="00534281" w:rsidRPr="00534281">
        <w:rPr>
          <w:bCs/>
        </w:rPr>
        <w:t xml:space="preserve">no remuneration (whether by way of commission or otherwise) is payable to or </w:t>
      </w:r>
      <w:r w:rsidR="005841B4">
        <w:rPr>
          <w:bCs/>
        </w:rPr>
        <w:t>for the benefit of</w:t>
      </w:r>
      <w:r w:rsidR="00534281" w:rsidRPr="00534281">
        <w:rPr>
          <w:bCs/>
        </w:rPr>
        <w:t xml:space="preserve"> the </w:t>
      </w:r>
      <w:r w:rsidR="00016586">
        <w:rPr>
          <w:bCs/>
        </w:rPr>
        <w:t>money management</w:t>
      </w:r>
      <w:r w:rsidR="004F13A3">
        <w:rPr>
          <w:bCs/>
        </w:rPr>
        <w:t xml:space="preserve"> service provider</w:t>
      </w:r>
      <w:r w:rsidR="00534281" w:rsidRPr="00534281">
        <w:rPr>
          <w:bCs/>
        </w:rPr>
        <w:t xml:space="preserve">, their representatives or associates by any person in relation to any action by or on behalf of the client arising from either the </w:t>
      </w:r>
      <w:r>
        <w:rPr>
          <w:bCs/>
        </w:rPr>
        <w:t xml:space="preserve">advice </w:t>
      </w:r>
      <w:r w:rsidR="00534281" w:rsidRPr="00534281">
        <w:rPr>
          <w:bCs/>
        </w:rPr>
        <w:t xml:space="preserve">or any other aspect of the </w:t>
      </w:r>
      <w:r w:rsidR="00016586">
        <w:rPr>
          <w:bCs/>
        </w:rPr>
        <w:t>money management</w:t>
      </w:r>
      <w:r w:rsidR="004F13A3" w:rsidRPr="004F13A3">
        <w:rPr>
          <w:bCs/>
        </w:rPr>
        <w:t xml:space="preserve"> </w:t>
      </w:r>
      <w:r w:rsidR="00534281" w:rsidRPr="00534281">
        <w:rPr>
          <w:bCs/>
        </w:rPr>
        <w:t>service;</w:t>
      </w:r>
    </w:p>
    <w:p w:rsidR="00080923" w:rsidRPr="00534281" w:rsidRDefault="00080923" w:rsidP="00794DA5">
      <w:pPr>
        <w:ind w:left="1134" w:hanging="567"/>
        <w:rPr>
          <w:bCs/>
        </w:rPr>
      </w:pPr>
    </w:p>
    <w:p w:rsidR="00534281" w:rsidRDefault="00794DA5" w:rsidP="00794DA5">
      <w:pPr>
        <w:ind w:left="1134" w:hanging="567"/>
        <w:rPr>
          <w:bCs/>
        </w:rPr>
      </w:pPr>
      <w:r>
        <w:rPr>
          <w:bCs/>
        </w:rPr>
        <w:t>(d)</w:t>
      </w:r>
      <w:r>
        <w:rPr>
          <w:bCs/>
        </w:rPr>
        <w:tab/>
      </w:r>
      <w:proofErr w:type="gramStart"/>
      <w:r w:rsidR="00534281" w:rsidRPr="00534281">
        <w:rPr>
          <w:bCs/>
        </w:rPr>
        <w:t>the</w:t>
      </w:r>
      <w:proofErr w:type="gramEnd"/>
      <w:r w:rsidR="00534281" w:rsidRPr="00534281">
        <w:rPr>
          <w:bCs/>
        </w:rPr>
        <w:t xml:space="preserve"> </w:t>
      </w:r>
      <w:r w:rsidR="00016586">
        <w:rPr>
          <w:bCs/>
        </w:rPr>
        <w:t>money management</w:t>
      </w:r>
      <w:r w:rsidR="004F13A3" w:rsidRPr="004F13A3">
        <w:rPr>
          <w:bCs/>
        </w:rPr>
        <w:t xml:space="preserve"> </w:t>
      </w:r>
      <w:r w:rsidR="004F13A3">
        <w:rPr>
          <w:bCs/>
        </w:rPr>
        <w:t>service provider</w:t>
      </w:r>
      <w:r w:rsidR="00534281" w:rsidRPr="00534281">
        <w:rPr>
          <w:bCs/>
        </w:rPr>
        <w:t>:</w:t>
      </w:r>
    </w:p>
    <w:p w:rsidR="00080923" w:rsidRPr="00534281" w:rsidRDefault="00080923" w:rsidP="00794DA5">
      <w:pPr>
        <w:ind w:left="1134" w:hanging="567"/>
        <w:rPr>
          <w:bCs/>
        </w:rPr>
      </w:pPr>
    </w:p>
    <w:p w:rsidR="00534281" w:rsidRPr="00534281" w:rsidRDefault="00534281" w:rsidP="00794DA5">
      <w:pPr>
        <w:ind w:left="1701" w:hanging="567"/>
        <w:rPr>
          <w:bCs/>
        </w:rPr>
      </w:pPr>
      <w:r w:rsidRPr="00534281">
        <w:rPr>
          <w:bCs/>
        </w:rPr>
        <w:lastRenderedPageBreak/>
        <w:t>(i)</w:t>
      </w:r>
      <w:r w:rsidR="00794DA5">
        <w:rPr>
          <w:bCs/>
        </w:rPr>
        <w:tab/>
      </w:r>
      <w:r w:rsidRPr="00534281">
        <w:rPr>
          <w:bCs/>
        </w:rPr>
        <w:t xml:space="preserve">does not carry on or otherwise participate in a financial services business which involves the provision of a financial service </w:t>
      </w:r>
      <w:r w:rsidR="008E470B">
        <w:rPr>
          <w:bCs/>
        </w:rPr>
        <w:t xml:space="preserve">other than </w:t>
      </w:r>
      <w:r w:rsidR="008E470B" w:rsidRPr="008E470B">
        <w:rPr>
          <w:bCs/>
        </w:rPr>
        <w:t xml:space="preserve">the </w:t>
      </w:r>
      <w:r w:rsidR="008E470B">
        <w:rPr>
          <w:bCs/>
        </w:rPr>
        <w:t xml:space="preserve">financial service </w:t>
      </w:r>
      <w:r w:rsidR="008E470B" w:rsidRPr="008E470B">
        <w:rPr>
          <w:bCs/>
        </w:rPr>
        <w:t>to which this instrument relates</w:t>
      </w:r>
      <w:r w:rsidRPr="00534281">
        <w:rPr>
          <w:bCs/>
        </w:rPr>
        <w:t>; and</w:t>
      </w:r>
    </w:p>
    <w:p w:rsidR="001C3FA6" w:rsidRDefault="001C3FA6" w:rsidP="00794DA5">
      <w:pPr>
        <w:ind w:left="1701" w:hanging="567"/>
        <w:rPr>
          <w:bCs/>
        </w:rPr>
      </w:pPr>
    </w:p>
    <w:p w:rsidR="001C3FA6" w:rsidRDefault="00534281" w:rsidP="00794DA5">
      <w:pPr>
        <w:ind w:left="1701" w:hanging="567"/>
        <w:rPr>
          <w:bCs/>
        </w:rPr>
      </w:pPr>
      <w:r w:rsidRPr="00534281">
        <w:rPr>
          <w:bCs/>
        </w:rPr>
        <w:t>(ii)</w:t>
      </w:r>
      <w:r w:rsidR="00794DA5">
        <w:rPr>
          <w:bCs/>
        </w:rPr>
        <w:tab/>
      </w:r>
      <w:proofErr w:type="gramStart"/>
      <w:r w:rsidRPr="00534281">
        <w:rPr>
          <w:bCs/>
        </w:rPr>
        <w:t>takes</w:t>
      </w:r>
      <w:proofErr w:type="gramEnd"/>
      <w:r w:rsidRPr="00534281">
        <w:rPr>
          <w:bCs/>
        </w:rPr>
        <w:t xml:space="preserve"> all reasonable steps to ensure that none of its representatives provides or participates in the provision of a financial service</w:t>
      </w:r>
      <w:r w:rsidR="008E470B" w:rsidRPr="008E470B">
        <w:rPr>
          <w:bCs/>
        </w:rPr>
        <w:t xml:space="preserve"> other than the financial service to which this instrument relates</w:t>
      </w:r>
      <w:r w:rsidRPr="00534281">
        <w:rPr>
          <w:bCs/>
        </w:rPr>
        <w:t>;</w:t>
      </w:r>
    </w:p>
    <w:p w:rsidR="00F924B9" w:rsidRDefault="00F924B9" w:rsidP="00F924B9">
      <w:pPr>
        <w:ind w:left="1134" w:hanging="567"/>
        <w:rPr>
          <w:bCs/>
        </w:rPr>
      </w:pPr>
    </w:p>
    <w:p w:rsidR="00534281" w:rsidRPr="00534281" w:rsidRDefault="00F924B9" w:rsidP="00F924B9">
      <w:pPr>
        <w:ind w:left="1134" w:hanging="567"/>
        <w:rPr>
          <w:bCs/>
        </w:rPr>
      </w:pPr>
      <w:r>
        <w:rPr>
          <w:bCs/>
        </w:rPr>
        <w:t>(e)</w:t>
      </w:r>
      <w:r>
        <w:rPr>
          <w:bCs/>
        </w:rPr>
        <w:tab/>
      </w:r>
      <w:proofErr w:type="gramStart"/>
      <w:r w:rsidR="00534281" w:rsidRPr="00534281">
        <w:rPr>
          <w:bCs/>
        </w:rPr>
        <w:t>the</w:t>
      </w:r>
      <w:proofErr w:type="gramEnd"/>
      <w:r w:rsidR="00534281" w:rsidRPr="00534281">
        <w:rPr>
          <w:bCs/>
        </w:rPr>
        <w:t xml:space="preserve"> </w:t>
      </w:r>
      <w:r w:rsidR="00016586">
        <w:rPr>
          <w:bCs/>
        </w:rPr>
        <w:t>money management</w:t>
      </w:r>
      <w:r w:rsidR="004F13A3" w:rsidRPr="004F13A3">
        <w:rPr>
          <w:bCs/>
        </w:rPr>
        <w:t xml:space="preserve"> service provider </w:t>
      </w:r>
      <w:r w:rsidR="00534281" w:rsidRPr="00534281">
        <w:rPr>
          <w:bCs/>
        </w:rPr>
        <w:t xml:space="preserve">takes all reasonable steps to ensure that each </w:t>
      </w:r>
      <w:r>
        <w:rPr>
          <w:bCs/>
        </w:rPr>
        <w:t xml:space="preserve">representative </w:t>
      </w:r>
      <w:r w:rsidR="00534281" w:rsidRPr="00534281">
        <w:rPr>
          <w:bCs/>
        </w:rPr>
        <w:t>who provides the financial service on its behalf</w:t>
      </w:r>
      <w:r w:rsidR="00D419FE">
        <w:rPr>
          <w:bCs/>
        </w:rPr>
        <w:t xml:space="preserve"> </w:t>
      </w:r>
      <w:r w:rsidR="00534281" w:rsidRPr="00534281">
        <w:rPr>
          <w:bCs/>
        </w:rPr>
        <w:t xml:space="preserve">has undertaken appropriate training to ensure that they have adequate skills, knowledge and experience to satisfactorily provide the financial service and any other aspect of the </w:t>
      </w:r>
      <w:r w:rsidR="00016586">
        <w:rPr>
          <w:bCs/>
        </w:rPr>
        <w:t>money management</w:t>
      </w:r>
      <w:r w:rsidR="004F13A3" w:rsidRPr="004F13A3">
        <w:rPr>
          <w:bCs/>
        </w:rPr>
        <w:t xml:space="preserve"> service</w:t>
      </w:r>
      <w:r w:rsidR="00534281" w:rsidRPr="00534281">
        <w:rPr>
          <w:bCs/>
        </w:rPr>
        <w:t>.</w:t>
      </w:r>
    </w:p>
    <w:p w:rsidR="00534281" w:rsidRDefault="00534281" w:rsidP="00534281">
      <w:pPr>
        <w:rPr>
          <w:bCs/>
        </w:rPr>
      </w:pPr>
    </w:p>
    <w:p w:rsidR="00D419FE" w:rsidRPr="00D419FE" w:rsidRDefault="00D419FE" w:rsidP="00D419FE">
      <w:pPr>
        <w:ind w:left="1134" w:hanging="567"/>
        <w:rPr>
          <w:bCs/>
          <w:sz w:val="20"/>
          <w:szCs w:val="20"/>
        </w:rPr>
      </w:pPr>
      <w:r w:rsidRPr="00D419FE">
        <w:rPr>
          <w:bCs/>
          <w:iCs/>
          <w:sz w:val="20"/>
          <w:szCs w:val="20"/>
        </w:rPr>
        <w:t>Note:</w:t>
      </w:r>
      <w:r>
        <w:rPr>
          <w:bCs/>
          <w:iCs/>
          <w:sz w:val="20"/>
          <w:szCs w:val="20"/>
        </w:rPr>
        <w:tab/>
      </w:r>
      <w:r w:rsidRPr="00D419FE">
        <w:rPr>
          <w:bCs/>
          <w:sz w:val="20"/>
          <w:szCs w:val="20"/>
        </w:rPr>
        <w:t xml:space="preserve">By </w:t>
      </w:r>
      <w:r>
        <w:rPr>
          <w:bCs/>
          <w:sz w:val="20"/>
          <w:szCs w:val="20"/>
        </w:rPr>
        <w:t xml:space="preserve">paragraph </w:t>
      </w:r>
      <w:r w:rsidRPr="00D419FE">
        <w:rPr>
          <w:bCs/>
          <w:sz w:val="20"/>
          <w:szCs w:val="20"/>
        </w:rPr>
        <w:t>911B(1)(e)</w:t>
      </w:r>
      <w:r>
        <w:rPr>
          <w:bCs/>
          <w:sz w:val="20"/>
          <w:szCs w:val="20"/>
        </w:rPr>
        <w:t xml:space="preserve"> </w:t>
      </w:r>
      <w:r w:rsidRPr="00D419FE">
        <w:rPr>
          <w:bCs/>
          <w:sz w:val="20"/>
          <w:szCs w:val="20"/>
        </w:rPr>
        <w:t xml:space="preserve">of the Act, a person providing a financial service on behalf of a </w:t>
      </w:r>
      <w:r w:rsidR="00016586">
        <w:rPr>
          <w:bCs/>
          <w:sz w:val="20"/>
          <w:szCs w:val="20"/>
        </w:rPr>
        <w:t>money management</w:t>
      </w:r>
      <w:r w:rsidR="004F13A3" w:rsidRPr="004F13A3">
        <w:rPr>
          <w:bCs/>
          <w:sz w:val="20"/>
          <w:szCs w:val="20"/>
        </w:rPr>
        <w:t xml:space="preserve"> service provider </w:t>
      </w:r>
      <w:r w:rsidRPr="00D419FE">
        <w:rPr>
          <w:bCs/>
          <w:sz w:val="20"/>
          <w:szCs w:val="20"/>
        </w:rPr>
        <w:t xml:space="preserve">is exempt from the requirement to hold an Australian financial services licence for the provision of the service if the </w:t>
      </w:r>
      <w:r w:rsidR="004F13A3">
        <w:rPr>
          <w:bCs/>
          <w:sz w:val="20"/>
          <w:szCs w:val="20"/>
        </w:rPr>
        <w:t xml:space="preserve">service provider </w:t>
      </w:r>
      <w:r w:rsidRPr="00D419FE">
        <w:rPr>
          <w:bCs/>
          <w:sz w:val="20"/>
          <w:szCs w:val="20"/>
        </w:rPr>
        <w:t xml:space="preserve">would have been so exempt under this instrument had the </w:t>
      </w:r>
      <w:r w:rsidR="004F13A3">
        <w:rPr>
          <w:bCs/>
          <w:sz w:val="20"/>
          <w:szCs w:val="20"/>
        </w:rPr>
        <w:t xml:space="preserve">provider </w:t>
      </w:r>
      <w:r w:rsidRPr="00D419FE">
        <w:rPr>
          <w:bCs/>
          <w:sz w:val="20"/>
          <w:szCs w:val="20"/>
        </w:rPr>
        <w:t>provided the service.</w:t>
      </w:r>
    </w:p>
    <w:p w:rsidR="00F06051" w:rsidRDefault="00F06051" w:rsidP="00FB6D3F">
      <w:pPr>
        <w:rPr>
          <w:lang w:val="en-US"/>
        </w:rPr>
      </w:pPr>
    </w:p>
    <w:p w:rsidR="00534281" w:rsidRPr="00534281" w:rsidRDefault="00534281" w:rsidP="00534281">
      <w:pPr>
        <w:rPr>
          <w:b/>
          <w:bCs/>
          <w:iCs/>
        </w:rPr>
      </w:pPr>
      <w:r w:rsidRPr="00534281">
        <w:rPr>
          <w:b/>
          <w:bCs/>
          <w:iCs/>
        </w:rPr>
        <w:t>Interpretation</w:t>
      </w:r>
    </w:p>
    <w:p w:rsidR="00534281" w:rsidRPr="00534281" w:rsidRDefault="00534281" w:rsidP="00534281">
      <w:pPr>
        <w:rPr>
          <w:bCs/>
          <w:iCs/>
        </w:rPr>
      </w:pPr>
    </w:p>
    <w:p w:rsidR="00534281" w:rsidRDefault="003218D6" w:rsidP="001C3FA6">
      <w:pPr>
        <w:ind w:left="567" w:hanging="567"/>
        <w:rPr>
          <w:bCs/>
          <w:iCs/>
        </w:rPr>
      </w:pPr>
      <w:r>
        <w:rPr>
          <w:bCs/>
          <w:iCs/>
        </w:rPr>
        <w:t>6</w:t>
      </w:r>
      <w:r w:rsidR="00534281" w:rsidRPr="00534281">
        <w:rPr>
          <w:bCs/>
          <w:iCs/>
        </w:rPr>
        <w:t>.</w:t>
      </w:r>
      <w:r w:rsidR="00534281" w:rsidRPr="00534281">
        <w:rPr>
          <w:bCs/>
          <w:iCs/>
        </w:rPr>
        <w:tab/>
      </w:r>
      <w:proofErr w:type="gramStart"/>
      <w:r w:rsidR="00534281" w:rsidRPr="00534281">
        <w:rPr>
          <w:bCs/>
          <w:iCs/>
        </w:rPr>
        <w:t>In</w:t>
      </w:r>
      <w:proofErr w:type="gramEnd"/>
      <w:r w:rsidR="00534281" w:rsidRPr="00534281">
        <w:rPr>
          <w:bCs/>
          <w:iCs/>
        </w:rPr>
        <w:t xml:space="preserve"> this instrument:</w:t>
      </w:r>
    </w:p>
    <w:p w:rsidR="001C3FA6" w:rsidRDefault="001C3FA6" w:rsidP="001C3FA6">
      <w:pPr>
        <w:ind w:left="567"/>
        <w:rPr>
          <w:bCs/>
          <w:iCs/>
        </w:rPr>
      </w:pPr>
    </w:p>
    <w:p w:rsidR="00080923" w:rsidRDefault="00323DA1" w:rsidP="001C3FA6">
      <w:pPr>
        <w:ind w:left="567"/>
        <w:rPr>
          <w:bCs/>
          <w:iCs/>
        </w:rPr>
      </w:pPr>
      <w:proofErr w:type="gramStart"/>
      <w:r>
        <w:rPr>
          <w:b/>
          <w:bCs/>
          <w:i/>
          <w:iCs/>
        </w:rPr>
        <w:t>basic</w:t>
      </w:r>
      <w:proofErr w:type="gramEnd"/>
      <w:r>
        <w:rPr>
          <w:b/>
          <w:bCs/>
          <w:i/>
          <w:iCs/>
        </w:rPr>
        <w:t xml:space="preserve"> </w:t>
      </w:r>
      <w:r w:rsidR="00080923" w:rsidRPr="00080923">
        <w:rPr>
          <w:b/>
          <w:bCs/>
          <w:i/>
          <w:iCs/>
        </w:rPr>
        <w:t>deposit product</w:t>
      </w:r>
      <w:r w:rsidR="00080923">
        <w:rPr>
          <w:bCs/>
          <w:iCs/>
        </w:rPr>
        <w:t xml:space="preserve"> has the meaning given by </w:t>
      </w:r>
      <w:r>
        <w:rPr>
          <w:bCs/>
          <w:iCs/>
        </w:rPr>
        <w:t>section 761A</w:t>
      </w:r>
      <w:r w:rsidR="00080923">
        <w:rPr>
          <w:bCs/>
          <w:iCs/>
        </w:rPr>
        <w:t xml:space="preserve"> of the Act.</w:t>
      </w:r>
    </w:p>
    <w:p w:rsidR="00080923" w:rsidRDefault="00080923" w:rsidP="001C3FA6">
      <w:pPr>
        <w:ind w:left="567"/>
        <w:rPr>
          <w:bCs/>
          <w:iCs/>
        </w:rPr>
      </w:pPr>
    </w:p>
    <w:p w:rsidR="00016586" w:rsidRPr="00016586" w:rsidRDefault="00016586" w:rsidP="00016586">
      <w:pPr>
        <w:ind w:left="567"/>
        <w:rPr>
          <w:bCs/>
          <w:iCs/>
        </w:rPr>
      </w:pPr>
      <w:proofErr w:type="gramStart"/>
      <w:r w:rsidRPr="00016586">
        <w:rPr>
          <w:b/>
          <w:bCs/>
          <w:i/>
          <w:iCs/>
        </w:rPr>
        <w:t>financial</w:t>
      </w:r>
      <w:proofErr w:type="gramEnd"/>
      <w:r w:rsidRPr="00016586">
        <w:rPr>
          <w:b/>
          <w:bCs/>
          <w:i/>
          <w:iCs/>
        </w:rPr>
        <w:t xml:space="preserve"> product advice</w:t>
      </w:r>
      <w:r w:rsidRPr="00016586">
        <w:rPr>
          <w:bCs/>
          <w:iCs/>
        </w:rPr>
        <w:t xml:space="preserve"> has the meaning given by section 766B of the Act.</w:t>
      </w:r>
    </w:p>
    <w:p w:rsidR="00016586" w:rsidRDefault="00016586" w:rsidP="001C3FA6">
      <w:pPr>
        <w:ind w:left="567"/>
        <w:rPr>
          <w:bCs/>
          <w:iCs/>
        </w:rPr>
      </w:pPr>
    </w:p>
    <w:p w:rsidR="004F13A3" w:rsidRDefault="00016586" w:rsidP="004F13A3">
      <w:pPr>
        <w:ind w:left="567"/>
        <w:rPr>
          <w:bCs/>
          <w:iCs/>
        </w:rPr>
      </w:pPr>
      <w:r>
        <w:rPr>
          <w:b/>
          <w:bCs/>
          <w:i/>
          <w:iCs/>
        </w:rPr>
        <w:t>money management</w:t>
      </w:r>
      <w:r w:rsidR="004F13A3" w:rsidRPr="004F13A3">
        <w:rPr>
          <w:b/>
          <w:bCs/>
          <w:i/>
          <w:iCs/>
        </w:rPr>
        <w:t xml:space="preserve"> service</w:t>
      </w:r>
      <w:r w:rsidR="004F13A3" w:rsidRPr="00534281">
        <w:rPr>
          <w:bCs/>
          <w:iCs/>
        </w:rPr>
        <w:t xml:space="preserve"> means a financial literacy </w:t>
      </w:r>
      <w:r>
        <w:rPr>
          <w:bCs/>
          <w:iCs/>
        </w:rPr>
        <w:t xml:space="preserve">and capacity building </w:t>
      </w:r>
      <w:r w:rsidR="004F13A3" w:rsidRPr="00534281">
        <w:rPr>
          <w:bCs/>
          <w:iCs/>
        </w:rPr>
        <w:t xml:space="preserve">service </w:t>
      </w:r>
      <w:r w:rsidR="004F13A3">
        <w:rPr>
          <w:bCs/>
          <w:iCs/>
        </w:rPr>
        <w:t xml:space="preserve">provided predominantly </w:t>
      </w:r>
      <w:r w:rsidR="004F13A3" w:rsidRPr="00534281">
        <w:rPr>
          <w:bCs/>
          <w:iCs/>
        </w:rPr>
        <w:t xml:space="preserve">to improve the financial knowledge </w:t>
      </w:r>
      <w:r w:rsidR="004F13A3">
        <w:rPr>
          <w:bCs/>
          <w:iCs/>
        </w:rPr>
        <w:t xml:space="preserve">and </w:t>
      </w:r>
      <w:r w:rsidR="004F13A3" w:rsidRPr="00534281">
        <w:rPr>
          <w:bCs/>
          <w:iCs/>
        </w:rPr>
        <w:t xml:space="preserve">skills of </w:t>
      </w:r>
      <w:r w:rsidR="004F13A3">
        <w:rPr>
          <w:bCs/>
          <w:iCs/>
        </w:rPr>
        <w:t>persons</w:t>
      </w:r>
      <w:r>
        <w:rPr>
          <w:bCs/>
          <w:iCs/>
        </w:rPr>
        <w:t>, principally Indigenous persons</w:t>
      </w:r>
      <w:r w:rsidR="004F13A3">
        <w:rPr>
          <w:bCs/>
          <w:iCs/>
        </w:rPr>
        <w:t xml:space="preserve"> located </w:t>
      </w:r>
      <w:r w:rsidR="004F13A3" w:rsidRPr="00534281">
        <w:rPr>
          <w:bCs/>
          <w:iCs/>
        </w:rPr>
        <w:t>in regional and remote Indigenous communities.</w:t>
      </w:r>
    </w:p>
    <w:p w:rsidR="004F13A3" w:rsidRDefault="004F13A3" w:rsidP="004F13A3">
      <w:pPr>
        <w:ind w:left="567"/>
        <w:rPr>
          <w:bCs/>
          <w:iCs/>
        </w:rPr>
      </w:pPr>
    </w:p>
    <w:p w:rsidR="00534281" w:rsidRPr="00534281" w:rsidRDefault="00016586" w:rsidP="001C3FA6">
      <w:pPr>
        <w:ind w:left="567"/>
        <w:rPr>
          <w:bCs/>
          <w:iCs/>
        </w:rPr>
      </w:pPr>
      <w:proofErr w:type="gramStart"/>
      <w:r>
        <w:rPr>
          <w:b/>
          <w:bCs/>
          <w:i/>
          <w:iCs/>
        </w:rPr>
        <w:t>money</w:t>
      </w:r>
      <w:proofErr w:type="gramEnd"/>
      <w:r>
        <w:rPr>
          <w:b/>
          <w:bCs/>
          <w:i/>
          <w:iCs/>
        </w:rPr>
        <w:t xml:space="preserve"> management</w:t>
      </w:r>
      <w:r w:rsidR="004F13A3" w:rsidRPr="004F13A3">
        <w:rPr>
          <w:b/>
          <w:bCs/>
          <w:i/>
          <w:iCs/>
        </w:rPr>
        <w:t xml:space="preserve"> service provider </w:t>
      </w:r>
      <w:r w:rsidR="00534281" w:rsidRPr="00534281">
        <w:rPr>
          <w:bCs/>
          <w:iCs/>
        </w:rPr>
        <w:t xml:space="preserve">means a </w:t>
      </w:r>
      <w:r w:rsidR="00C7652A">
        <w:rPr>
          <w:bCs/>
          <w:iCs/>
        </w:rPr>
        <w:t>body</w:t>
      </w:r>
      <w:r w:rsidR="00374AF3">
        <w:rPr>
          <w:bCs/>
          <w:iCs/>
        </w:rPr>
        <w:t xml:space="preserve"> that is </w:t>
      </w:r>
      <w:r w:rsidR="00534281" w:rsidRPr="00534281">
        <w:rPr>
          <w:bCs/>
          <w:iCs/>
        </w:rPr>
        <w:t xml:space="preserve">funded in whole or in part by </w:t>
      </w:r>
      <w:r w:rsidR="00C7652A">
        <w:rPr>
          <w:bCs/>
          <w:iCs/>
        </w:rPr>
        <w:t xml:space="preserve">the Commonwealth through </w:t>
      </w:r>
      <w:r w:rsidR="00374AF3" w:rsidRPr="00374AF3">
        <w:rPr>
          <w:bCs/>
          <w:iCs/>
        </w:rPr>
        <w:t xml:space="preserve">the Department of Families, Housing, Community Services and Indigenous Affairs </w:t>
      </w:r>
      <w:r w:rsidR="00374AF3">
        <w:rPr>
          <w:bCs/>
          <w:iCs/>
        </w:rPr>
        <w:t xml:space="preserve">to </w:t>
      </w:r>
      <w:r w:rsidR="001C3FA6">
        <w:rPr>
          <w:bCs/>
          <w:iCs/>
        </w:rPr>
        <w:t xml:space="preserve">provide </w:t>
      </w:r>
      <w:r w:rsidR="00AB4020">
        <w:rPr>
          <w:bCs/>
          <w:iCs/>
        </w:rPr>
        <w:t xml:space="preserve">a </w:t>
      </w:r>
      <w:r w:rsidR="001C3FA6">
        <w:rPr>
          <w:bCs/>
          <w:iCs/>
        </w:rPr>
        <w:t>m</w:t>
      </w:r>
      <w:r w:rsidR="00534281" w:rsidRPr="00534281">
        <w:rPr>
          <w:bCs/>
          <w:iCs/>
        </w:rPr>
        <w:t>oney management service</w:t>
      </w:r>
      <w:r w:rsidR="001C3FA6">
        <w:rPr>
          <w:bCs/>
          <w:iCs/>
        </w:rPr>
        <w:t>.</w:t>
      </w:r>
    </w:p>
    <w:p w:rsidR="008E470B" w:rsidRDefault="008E470B" w:rsidP="001C3FA6">
      <w:pPr>
        <w:ind w:left="567"/>
        <w:rPr>
          <w:bCs/>
          <w:iCs/>
        </w:rPr>
      </w:pPr>
    </w:p>
    <w:p w:rsidR="003218D6" w:rsidRPr="00534281" w:rsidRDefault="003218D6" w:rsidP="001C3FA6">
      <w:pPr>
        <w:ind w:left="567"/>
        <w:rPr>
          <w:bCs/>
          <w:iCs/>
        </w:rPr>
      </w:pPr>
      <w:proofErr w:type="gramStart"/>
      <w:r w:rsidRPr="003218D6">
        <w:rPr>
          <w:b/>
          <w:bCs/>
          <w:i/>
          <w:iCs/>
        </w:rPr>
        <w:t>representative</w:t>
      </w:r>
      <w:proofErr w:type="gramEnd"/>
      <w:r>
        <w:rPr>
          <w:bCs/>
          <w:iCs/>
        </w:rPr>
        <w:t xml:space="preserve"> has the meaning given by section 910A of the Act</w:t>
      </w:r>
      <w:r w:rsidR="00EE2952">
        <w:rPr>
          <w:bCs/>
          <w:iCs/>
        </w:rPr>
        <w:t>.</w:t>
      </w:r>
    </w:p>
    <w:p w:rsidR="00534281" w:rsidRDefault="00534281" w:rsidP="00FB6D3F">
      <w:pPr>
        <w:rPr>
          <w:lang w:val="en-US"/>
        </w:rPr>
      </w:pPr>
    </w:p>
    <w:p w:rsidR="00080923" w:rsidRDefault="00080923" w:rsidP="00FB6D3F">
      <w:pPr>
        <w:rPr>
          <w:lang w:val="en-US"/>
        </w:rPr>
      </w:pPr>
    </w:p>
    <w:p w:rsidR="00534281" w:rsidRDefault="00534281" w:rsidP="00FB6D3F">
      <w:pPr>
        <w:rPr>
          <w:lang w:val="en-US"/>
        </w:rPr>
      </w:pPr>
    </w:p>
    <w:p w:rsidR="00F06051" w:rsidRPr="00F06051" w:rsidRDefault="00F06051" w:rsidP="00F06051">
      <w:r w:rsidRPr="00F06051">
        <w:t xml:space="preserve">Dated this </w:t>
      </w:r>
      <w:r w:rsidR="007D34FD">
        <w:t>8</w:t>
      </w:r>
      <w:r w:rsidR="00086472">
        <w:t>th day of December</w:t>
      </w:r>
      <w:r w:rsidRPr="00F06051">
        <w:t xml:space="preserve"> 2011</w:t>
      </w:r>
    </w:p>
    <w:p w:rsidR="00F06051" w:rsidRPr="003218D6" w:rsidRDefault="00F06051" w:rsidP="00F06051">
      <w:pPr>
        <w:rPr>
          <w:bCs/>
          <w:iCs/>
        </w:rPr>
      </w:pPr>
    </w:p>
    <w:p w:rsidR="003218D6" w:rsidRDefault="003218D6" w:rsidP="00F06051">
      <w:pPr>
        <w:rPr>
          <w:bCs/>
          <w:iCs/>
        </w:rPr>
      </w:pPr>
    </w:p>
    <w:p w:rsidR="00086472" w:rsidRPr="003218D6" w:rsidRDefault="00086472" w:rsidP="00F06051">
      <w:pPr>
        <w:rPr>
          <w:bCs/>
          <w:iCs/>
        </w:rPr>
      </w:pPr>
    </w:p>
    <w:p w:rsidR="003218D6" w:rsidRPr="003218D6" w:rsidRDefault="003218D6" w:rsidP="00F06051">
      <w:pPr>
        <w:rPr>
          <w:bCs/>
          <w:iCs/>
        </w:rPr>
      </w:pPr>
    </w:p>
    <w:p w:rsidR="00F06051" w:rsidRPr="00F06051" w:rsidRDefault="00F06051" w:rsidP="00F06051">
      <w:r w:rsidRPr="00F06051">
        <w:t xml:space="preserve">Signed by </w:t>
      </w:r>
      <w:r w:rsidR="00086472">
        <w:t>Andrew Fawcett</w:t>
      </w:r>
    </w:p>
    <w:p w:rsidR="00F06051" w:rsidRPr="00F06051" w:rsidRDefault="00F06051" w:rsidP="00F06051">
      <w:proofErr w:type="gramStart"/>
      <w:r w:rsidRPr="00F06051">
        <w:t>as</w:t>
      </w:r>
      <w:proofErr w:type="gramEnd"/>
      <w:r w:rsidRPr="00F06051">
        <w:t xml:space="preserve"> a delegate of the Australian Securities and Investments Commission</w:t>
      </w:r>
    </w:p>
    <w:p w:rsidR="00F06051" w:rsidRPr="00FB6D3F" w:rsidRDefault="00F06051" w:rsidP="00FB6D3F">
      <w:pPr>
        <w:rPr>
          <w:lang w:val="en-US"/>
        </w:rPr>
      </w:pPr>
    </w:p>
    <w:sectPr w:rsidR="00F06051" w:rsidRPr="00FB6D3F" w:rsidSect="0026280E">
      <w:headerReference w:type="default" r:id="rId9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F6B" w:rsidRDefault="00C12F6B" w:rsidP="0026280E">
      <w:r>
        <w:separator/>
      </w:r>
    </w:p>
  </w:endnote>
  <w:endnote w:type="continuationSeparator" w:id="0">
    <w:p w:rsidR="00C12F6B" w:rsidRDefault="00C12F6B" w:rsidP="00262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F6B" w:rsidRDefault="00C12F6B" w:rsidP="0026280E">
      <w:r>
        <w:separator/>
      </w:r>
    </w:p>
  </w:footnote>
  <w:footnote w:type="continuationSeparator" w:id="0">
    <w:p w:rsidR="00C12F6B" w:rsidRDefault="00C12F6B" w:rsidP="00262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208860"/>
      <w:docPartObj>
        <w:docPartGallery w:val="Page Numbers (Top of Page)"/>
        <w:docPartUnique/>
      </w:docPartObj>
    </w:sdtPr>
    <w:sdtContent>
      <w:p w:rsidR="0026280E" w:rsidRDefault="002D7C91">
        <w:pPr>
          <w:pStyle w:val="Header"/>
          <w:jc w:val="center"/>
        </w:pPr>
        <w:fldSimple w:instr=" PAGE   \* MERGEFORMAT ">
          <w:r w:rsidR="007D34FD">
            <w:rPr>
              <w:noProof/>
            </w:rPr>
            <w:t>2</w:t>
          </w:r>
        </w:fldSimple>
      </w:p>
    </w:sdtContent>
  </w:sdt>
  <w:p w:rsidR="0026280E" w:rsidRDefault="002628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85861"/>
    <w:multiLevelType w:val="hybridMultilevel"/>
    <w:tmpl w:val="6D28EFC4"/>
    <w:lvl w:ilvl="0" w:tplc="89D2C58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235716"/>
    <w:multiLevelType w:val="hybridMultilevel"/>
    <w:tmpl w:val="0FD6E4A8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D3F"/>
    <w:rsid w:val="00003F56"/>
    <w:rsid w:val="00016586"/>
    <w:rsid w:val="0003726F"/>
    <w:rsid w:val="00062749"/>
    <w:rsid w:val="00080923"/>
    <w:rsid w:val="00086472"/>
    <w:rsid w:val="000971DE"/>
    <w:rsid w:val="000F3833"/>
    <w:rsid w:val="00133D64"/>
    <w:rsid w:val="001C3FA6"/>
    <w:rsid w:val="0024137E"/>
    <w:rsid w:val="00252033"/>
    <w:rsid w:val="0026280E"/>
    <w:rsid w:val="002A7EC6"/>
    <w:rsid w:val="002D7C91"/>
    <w:rsid w:val="003218D6"/>
    <w:rsid w:val="00323DA1"/>
    <w:rsid w:val="003330A7"/>
    <w:rsid w:val="00346932"/>
    <w:rsid w:val="00374AF3"/>
    <w:rsid w:val="0040109E"/>
    <w:rsid w:val="00405FB0"/>
    <w:rsid w:val="004109B1"/>
    <w:rsid w:val="00436630"/>
    <w:rsid w:val="0045067E"/>
    <w:rsid w:val="0046767F"/>
    <w:rsid w:val="00492155"/>
    <w:rsid w:val="004F13A3"/>
    <w:rsid w:val="00534281"/>
    <w:rsid w:val="005841B4"/>
    <w:rsid w:val="005A2A28"/>
    <w:rsid w:val="005A5410"/>
    <w:rsid w:val="005D22CE"/>
    <w:rsid w:val="006174DD"/>
    <w:rsid w:val="00630E84"/>
    <w:rsid w:val="00676B20"/>
    <w:rsid w:val="00691FC3"/>
    <w:rsid w:val="006A0DCA"/>
    <w:rsid w:val="006A231E"/>
    <w:rsid w:val="006C5E12"/>
    <w:rsid w:val="00705CF3"/>
    <w:rsid w:val="00723787"/>
    <w:rsid w:val="007400E2"/>
    <w:rsid w:val="00794DA5"/>
    <w:rsid w:val="007B457D"/>
    <w:rsid w:val="007D34FD"/>
    <w:rsid w:val="00851269"/>
    <w:rsid w:val="00853F44"/>
    <w:rsid w:val="008E470B"/>
    <w:rsid w:val="008F22B7"/>
    <w:rsid w:val="00903D3A"/>
    <w:rsid w:val="00993217"/>
    <w:rsid w:val="00A01BE1"/>
    <w:rsid w:val="00A51ADA"/>
    <w:rsid w:val="00AB4020"/>
    <w:rsid w:val="00B274CE"/>
    <w:rsid w:val="00C00BE6"/>
    <w:rsid w:val="00C07FC9"/>
    <w:rsid w:val="00C12F6B"/>
    <w:rsid w:val="00C63E66"/>
    <w:rsid w:val="00C7652A"/>
    <w:rsid w:val="00CF1828"/>
    <w:rsid w:val="00CF7EA0"/>
    <w:rsid w:val="00D26EF7"/>
    <w:rsid w:val="00D419FE"/>
    <w:rsid w:val="00D8661F"/>
    <w:rsid w:val="00DF7451"/>
    <w:rsid w:val="00E47C9D"/>
    <w:rsid w:val="00E71F97"/>
    <w:rsid w:val="00E9059B"/>
    <w:rsid w:val="00ED3AB1"/>
    <w:rsid w:val="00EE2952"/>
    <w:rsid w:val="00EF45C4"/>
    <w:rsid w:val="00F06051"/>
    <w:rsid w:val="00F246FC"/>
    <w:rsid w:val="00F924B9"/>
    <w:rsid w:val="00FA7859"/>
    <w:rsid w:val="00FB2A23"/>
    <w:rsid w:val="00FB6D3F"/>
    <w:rsid w:val="00FF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D3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D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6D3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28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80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628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280E"/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1FC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1FC3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91FC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li.gov.a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E0A8B-7F86-44E4-AE72-5F9ECE777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Moodie</dc:creator>
  <cp:keywords/>
  <dc:description/>
  <cp:lastModifiedBy>Andrew Fawcett</cp:lastModifiedBy>
  <cp:revision>18</cp:revision>
  <cp:lastPrinted>2011-04-21T00:57:00Z</cp:lastPrinted>
  <dcterms:created xsi:type="dcterms:W3CDTF">2011-09-22T23:31:00Z</dcterms:created>
  <dcterms:modified xsi:type="dcterms:W3CDTF">2011-12-08T04:26:00Z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A1237071</vt:lpwstr>
  </property>
  <property fmtid="{D5CDD505-2E9C-101B-9397-08002B2CF9AE}" pid="4" name="Objective-Title">
    <vt:lpwstr>Class Order CO 11-927</vt:lpwstr>
  </property>
  <property fmtid="{D5CDD505-2E9C-101B-9397-08002B2CF9AE}" pid="5" name="Objective-Comment">
    <vt:lpwstr/>
  </property>
  <property fmtid="{D5CDD505-2E9C-101B-9397-08002B2CF9AE}" pid="6" name="Objective-CreationStamp">
    <vt:filetime>2011-09-22T22:31:09Z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2011-12-08T05:21:18Z</vt:filetime>
  </property>
  <property fmtid="{D5CDD505-2E9C-101B-9397-08002B2CF9AE}" pid="10" name="Objective-ModificationStamp">
    <vt:filetime>2011-12-08T05:21:23Z</vt:filetime>
  </property>
  <property fmtid="{D5CDD505-2E9C-101B-9397-08002B2CF9AE}" pid="11" name="Objective-Owner">
    <vt:lpwstr>Grant Moodie</vt:lpwstr>
  </property>
  <property fmtid="{D5CDD505-2E9C-101B-9397-08002B2CF9AE}" pid="12" name="Objective-Path">
    <vt:lpwstr>ASIC BCS:LEGAL SERVICES:Advice:Class Orders 2011:</vt:lpwstr>
  </property>
  <property fmtid="{D5CDD505-2E9C-101B-9397-08002B2CF9AE}" pid="13" name="Objective-Parent">
    <vt:lpwstr>Class Orders 2011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15</vt:i4>
  </property>
  <property fmtid="{D5CDD505-2E9C-101B-9397-08002B2CF9AE}" pid="17" name="Objective-VersionComment">
    <vt:lpwstr/>
  </property>
  <property fmtid="{D5CDD505-2E9C-101B-9397-08002B2CF9AE}" pid="18" name="Objective-FileNumber">
    <vt:lpwstr>2010 - 002692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/>
  </property>
  <property fmtid="{D5CDD505-2E9C-101B-9397-08002B2CF9AE}" pid="21" name="Objective-Category [system]">
    <vt:lpwstr/>
  </property>
</Properties>
</file>