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C2" w:rsidRPr="000D0928" w:rsidRDefault="00AE42C2" w:rsidP="00AE42C2">
      <w:pPr>
        <w:pStyle w:val="Title"/>
        <w:rPr>
          <w:szCs w:val="24"/>
        </w:rPr>
      </w:pPr>
      <w:r w:rsidRPr="000D0928">
        <w:rPr>
          <w:szCs w:val="24"/>
        </w:rPr>
        <w:t>EXPLANATORY STATEMENT</w:t>
      </w:r>
    </w:p>
    <w:p w:rsidR="00AE42C2" w:rsidRPr="000D0928" w:rsidRDefault="00AE42C2" w:rsidP="00AE42C2">
      <w:pPr>
        <w:rPr>
          <w:sz w:val="24"/>
          <w:szCs w:val="24"/>
        </w:rPr>
      </w:pPr>
    </w:p>
    <w:p w:rsidR="00AE42C2" w:rsidRPr="002E06A8" w:rsidRDefault="00AE42C2" w:rsidP="00AE42C2">
      <w:pPr>
        <w:pStyle w:val="BodyText3"/>
        <w:jc w:val="center"/>
        <w:rPr>
          <w:b/>
          <w:szCs w:val="24"/>
        </w:rPr>
      </w:pPr>
      <w:r w:rsidRPr="002E06A8">
        <w:rPr>
          <w:b/>
          <w:szCs w:val="24"/>
        </w:rPr>
        <w:t>Select Legislative Instrument 201</w:t>
      </w:r>
      <w:r w:rsidRPr="002E06A8">
        <w:rPr>
          <w:b/>
          <w:szCs w:val="24"/>
          <w:lang w:val="en-AU" w:eastAsia="en-AU"/>
        </w:rPr>
        <w:t>1</w:t>
      </w:r>
      <w:r w:rsidR="002E06A8">
        <w:rPr>
          <w:b/>
          <w:szCs w:val="24"/>
        </w:rPr>
        <w:t xml:space="preserve"> No. </w:t>
      </w:r>
      <w:r w:rsidR="002E06A8" w:rsidRPr="002E06A8">
        <w:rPr>
          <w:b/>
          <w:szCs w:val="24"/>
        </w:rPr>
        <w:t>209</w:t>
      </w:r>
    </w:p>
    <w:p w:rsidR="00AE42C2" w:rsidRPr="000D0928" w:rsidRDefault="00AE42C2" w:rsidP="00AE42C2">
      <w:pPr>
        <w:pStyle w:val="BodyText3"/>
        <w:jc w:val="center"/>
        <w:rPr>
          <w:szCs w:val="24"/>
        </w:rPr>
      </w:pPr>
    </w:p>
    <w:p w:rsidR="00AE42C2" w:rsidRPr="000D0928" w:rsidRDefault="00AE42C2" w:rsidP="00AE42C2">
      <w:pPr>
        <w:pStyle w:val="BodyText"/>
        <w:rPr>
          <w:szCs w:val="24"/>
        </w:rPr>
      </w:pPr>
      <w:r w:rsidRPr="000D0928">
        <w:rPr>
          <w:szCs w:val="24"/>
        </w:rPr>
        <w:t xml:space="preserve">Issued by the Authority of the Minister for Broadband, Communications </w:t>
      </w:r>
    </w:p>
    <w:p w:rsidR="00AE42C2" w:rsidRPr="000D0928" w:rsidRDefault="00AE42C2" w:rsidP="00AE42C2">
      <w:pPr>
        <w:pStyle w:val="BodyText"/>
        <w:rPr>
          <w:szCs w:val="24"/>
        </w:rPr>
      </w:pPr>
      <w:r w:rsidRPr="000D0928">
        <w:rPr>
          <w:szCs w:val="24"/>
        </w:rPr>
        <w:t>and the Digital Economy</w:t>
      </w:r>
    </w:p>
    <w:p w:rsidR="00AE42C2" w:rsidRPr="000D0928" w:rsidRDefault="00AE42C2" w:rsidP="00AE42C2">
      <w:pPr>
        <w:rPr>
          <w:sz w:val="24"/>
          <w:szCs w:val="24"/>
        </w:rPr>
      </w:pPr>
    </w:p>
    <w:p w:rsidR="00AE42C2" w:rsidRPr="000D0928" w:rsidRDefault="009F3D6D" w:rsidP="00AE42C2">
      <w:pPr>
        <w:pStyle w:val="Heading1"/>
        <w:rPr>
          <w:szCs w:val="24"/>
        </w:rPr>
      </w:pPr>
      <w:bookmarkStart w:id="0" w:name="OLE_LINK11"/>
      <w:bookmarkStart w:id="1" w:name="OLE_LINK12"/>
      <w:r>
        <w:rPr>
          <w:szCs w:val="24"/>
        </w:rPr>
        <w:t xml:space="preserve">Telecommunications </w:t>
      </w:r>
      <w:r w:rsidR="00AE42C2" w:rsidRPr="000D0928">
        <w:rPr>
          <w:szCs w:val="24"/>
        </w:rPr>
        <w:t>Act 199</w:t>
      </w:r>
      <w:bookmarkEnd w:id="0"/>
      <w:bookmarkEnd w:id="1"/>
      <w:r w:rsidR="0056625E">
        <w:rPr>
          <w:szCs w:val="24"/>
        </w:rPr>
        <w:t>7</w:t>
      </w:r>
    </w:p>
    <w:p w:rsidR="00AE42C2" w:rsidRPr="000D0928" w:rsidRDefault="00AE42C2" w:rsidP="00AE42C2">
      <w:pPr>
        <w:jc w:val="center"/>
        <w:rPr>
          <w:i/>
          <w:sz w:val="24"/>
          <w:szCs w:val="24"/>
        </w:rPr>
      </w:pPr>
    </w:p>
    <w:p w:rsidR="00AE42C2" w:rsidRPr="000D0928" w:rsidRDefault="00AE42C2" w:rsidP="009F3D6D">
      <w:pPr>
        <w:pStyle w:val="Heading1"/>
        <w:rPr>
          <w:szCs w:val="24"/>
        </w:rPr>
      </w:pPr>
      <w:r w:rsidRPr="000D0928">
        <w:rPr>
          <w:szCs w:val="24"/>
        </w:rPr>
        <w:t xml:space="preserve">Telecommunications </w:t>
      </w:r>
      <w:r w:rsidR="009F3D6D">
        <w:rPr>
          <w:szCs w:val="24"/>
        </w:rPr>
        <w:t>Amendment</w:t>
      </w:r>
      <w:r w:rsidRPr="000D0928">
        <w:rPr>
          <w:szCs w:val="24"/>
        </w:rPr>
        <w:t xml:space="preserve"> Regulations 2011</w:t>
      </w:r>
      <w:r w:rsidR="009F3D6D">
        <w:rPr>
          <w:szCs w:val="24"/>
        </w:rPr>
        <w:t xml:space="preserve"> (No.</w:t>
      </w:r>
      <w:r w:rsidR="00E2528B">
        <w:rPr>
          <w:szCs w:val="24"/>
        </w:rPr>
        <w:t xml:space="preserve"> </w:t>
      </w:r>
      <w:r w:rsidR="002E06A8">
        <w:rPr>
          <w:szCs w:val="24"/>
        </w:rPr>
        <w:t>1</w:t>
      </w:r>
      <w:r w:rsidR="009F3D6D">
        <w:rPr>
          <w:szCs w:val="24"/>
        </w:rPr>
        <w:t>)</w:t>
      </w:r>
    </w:p>
    <w:p w:rsidR="00AE42C2" w:rsidRDefault="00AE42C2" w:rsidP="00AE42C2">
      <w:pPr>
        <w:rPr>
          <w:sz w:val="24"/>
          <w:szCs w:val="24"/>
        </w:rPr>
      </w:pPr>
    </w:p>
    <w:p w:rsidR="00AE42C2" w:rsidRPr="00A755A6" w:rsidRDefault="00AE42C2" w:rsidP="00AE42C2">
      <w:pPr>
        <w:tabs>
          <w:tab w:val="left" w:pos="521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E42C2" w:rsidRDefault="004E740D" w:rsidP="00AE42C2">
      <w:pPr>
        <w:rPr>
          <w:sz w:val="24"/>
          <w:szCs w:val="24"/>
        </w:rPr>
      </w:pPr>
      <w:r>
        <w:rPr>
          <w:sz w:val="24"/>
          <w:szCs w:val="24"/>
        </w:rPr>
        <w:t>Subsection 594</w:t>
      </w:r>
      <w:r w:rsidR="00AE42C2" w:rsidRPr="00F65AEB">
        <w:rPr>
          <w:sz w:val="24"/>
          <w:szCs w:val="24"/>
        </w:rPr>
        <w:t xml:space="preserve">(1) of the </w:t>
      </w:r>
      <w:r w:rsidR="00AE42C2" w:rsidRPr="007F6C31">
        <w:rPr>
          <w:i/>
          <w:sz w:val="24"/>
          <w:szCs w:val="24"/>
        </w:rPr>
        <w:t>Telecommunications Act 199</w:t>
      </w:r>
      <w:r>
        <w:rPr>
          <w:i/>
          <w:sz w:val="24"/>
          <w:szCs w:val="24"/>
        </w:rPr>
        <w:t>7</w:t>
      </w:r>
      <w:r w:rsidR="00AE42C2" w:rsidRPr="00F65AEB">
        <w:rPr>
          <w:sz w:val="24"/>
          <w:szCs w:val="24"/>
        </w:rPr>
        <w:t xml:space="preserve"> (the Act) provides that the Governor-General may make regulations prescribing matters required or permitted by the Act</w:t>
      </w:r>
      <w:r w:rsidR="00DC5173" w:rsidRPr="00DC5173">
        <w:rPr>
          <w:sz w:val="24"/>
          <w:szCs w:val="24"/>
        </w:rPr>
        <w:t xml:space="preserve"> </w:t>
      </w:r>
      <w:r w:rsidR="00DC5173" w:rsidRPr="00F65AEB">
        <w:rPr>
          <w:sz w:val="24"/>
          <w:szCs w:val="24"/>
        </w:rPr>
        <w:t>to be prescribed</w:t>
      </w:r>
      <w:r w:rsidR="00AE42C2" w:rsidRPr="00F65AEB">
        <w:rPr>
          <w:sz w:val="24"/>
          <w:szCs w:val="24"/>
        </w:rPr>
        <w:t>, or necessary or convenient to be prescribed for carrying out or giving effect to the Act.</w:t>
      </w:r>
    </w:p>
    <w:p w:rsidR="00DC5173" w:rsidRDefault="00DC5173" w:rsidP="00AE42C2">
      <w:pPr>
        <w:rPr>
          <w:sz w:val="24"/>
          <w:szCs w:val="24"/>
        </w:rPr>
      </w:pPr>
    </w:p>
    <w:p w:rsidR="00DC5173" w:rsidRDefault="00DC5173" w:rsidP="00AE42C2">
      <w:pPr>
        <w:rPr>
          <w:sz w:val="24"/>
          <w:szCs w:val="24"/>
        </w:rPr>
      </w:pPr>
      <w:r w:rsidRPr="000D0928">
        <w:rPr>
          <w:sz w:val="24"/>
          <w:szCs w:val="24"/>
        </w:rPr>
        <w:t xml:space="preserve">On </w:t>
      </w:r>
      <w:r>
        <w:rPr>
          <w:sz w:val="24"/>
          <w:szCs w:val="24"/>
        </w:rPr>
        <w:t>7 April 2009</w:t>
      </w:r>
      <w:r w:rsidRPr="000D0928">
        <w:rPr>
          <w:sz w:val="24"/>
          <w:szCs w:val="24"/>
        </w:rPr>
        <w:t>, the</w:t>
      </w:r>
      <w:r>
        <w:rPr>
          <w:sz w:val="24"/>
          <w:szCs w:val="24"/>
        </w:rPr>
        <w:t xml:space="preserve"> Australian Government</w:t>
      </w:r>
      <w:r w:rsidRPr="000D0928">
        <w:rPr>
          <w:sz w:val="24"/>
          <w:szCs w:val="24"/>
        </w:rPr>
        <w:t xml:space="preserve"> </w:t>
      </w:r>
      <w:r w:rsidR="00006192">
        <w:rPr>
          <w:sz w:val="24"/>
          <w:szCs w:val="24"/>
        </w:rPr>
        <w:t>announced</w:t>
      </w:r>
      <w:r>
        <w:rPr>
          <w:sz w:val="24"/>
          <w:szCs w:val="24"/>
        </w:rPr>
        <w:t xml:space="preserve"> that it would establish a new company NBN Co Limited (NBN Co) to build and operate a new </w:t>
      </w:r>
      <w:r w:rsidR="00006192">
        <w:rPr>
          <w:sz w:val="24"/>
          <w:szCs w:val="24"/>
        </w:rPr>
        <w:t>high</w:t>
      </w:r>
      <w:r w:rsidR="00132106">
        <w:rPr>
          <w:sz w:val="24"/>
          <w:szCs w:val="24"/>
        </w:rPr>
        <w:t>-</w:t>
      </w:r>
      <w:r w:rsidR="00006192">
        <w:rPr>
          <w:sz w:val="24"/>
          <w:szCs w:val="24"/>
        </w:rPr>
        <w:t>speed</w:t>
      </w:r>
      <w:r>
        <w:rPr>
          <w:sz w:val="24"/>
          <w:szCs w:val="24"/>
        </w:rPr>
        <w:t xml:space="preserve"> national broadband network (NBN).</w:t>
      </w:r>
      <w:r w:rsidRPr="000D0928">
        <w:rPr>
          <w:sz w:val="24"/>
          <w:szCs w:val="24"/>
        </w:rPr>
        <w:t xml:space="preserve"> </w:t>
      </w:r>
      <w:r>
        <w:rPr>
          <w:sz w:val="24"/>
          <w:szCs w:val="24"/>
        </w:rPr>
        <w:t>The NBN has an objective of connecting up to 93 per cent of all Australian homes, schools and businesses to a high-speed optical fibre network, capable of providing broadband speeds up to 1</w:t>
      </w:r>
      <w:r w:rsidR="009D2D73">
        <w:rPr>
          <w:sz w:val="24"/>
          <w:szCs w:val="24"/>
        </w:rPr>
        <w:t> </w:t>
      </w:r>
      <w:r>
        <w:rPr>
          <w:sz w:val="24"/>
          <w:szCs w:val="24"/>
        </w:rPr>
        <w:t xml:space="preserve">gigabit per second.  Other premises in Australia will be connected with next generation wireless and satellite broadband services. </w:t>
      </w:r>
    </w:p>
    <w:p w:rsidR="00643A94" w:rsidRDefault="00643A94" w:rsidP="00AE42C2">
      <w:pPr>
        <w:rPr>
          <w:sz w:val="24"/>
          <w:szCs w:val="24"/>
        </w:rPr>
      </w:pPr>
    </w:p>
    <w:p w:rsidR="009D2D73" w:rsidRPr="009D2D73" w:rsidRDefault="00643A94" w:rsidP="00643A9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E04F0C">
        <w:rPr>
          <w:i/>
          <w:color w:val="000000"/>
          <w:sz w:val="24"/>
          <w:szCs w:val="24"/>
        </w:rPr>
        <w:t>Telecommunications Amendment Regulations 2011 (No.</w:t>
      </w:r>
      <w:r w:rsidR="00EB50D4">
        <w:rPr>
          <w:i/>
          <w:color w:val="000000"/>
          <w:sz w:val="24"/>
          <w:szCs w:val="24"/>
        </w:rPr>
        <w:t xml:space="preserve"> </w:t>
      </w:r>
      <w:r w:rsidR="002E06A8">
        <w:rPr>
          <w:i/>
          <w:color w:val="000000"/>
          <w:sz w:val="24"/>
          <w:szCs w:val="24"/>
        </w:rPr>
        <w:t>1</w:t>
      </w:r>
      <w:r w:rsidRPr="00E04F0C">
        <w:rPr>
          <w:i/>
          <w:color w:val="000000"/>
          <w:sz w:val="24"/>
          <w:szCs w:val="24"/>
        </w:rPr>
        <w:t>)</w:t>
      </w:r>
      <w:r w:rsidRPr="00E04F0C">
        <w:rPr>
          <w:color w:val="000000"/>
          <w:sz w:val="24"/>
          <w:szCs w:val="24"/>
        </w:rPr>
        <w:t xml:space="preserve"> (the Amending Regulations)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amend </w:t>
      </w:r>
      <w:r w:rsidRPr="00E04F0C">
        <w:rPr>
          <w:color w:val="000000"/>
          <w:sz w:val="24"/>
          <w:szCs w:val="24"/>
        </w:rPr>
        <w:t xml:space="preserve">the </w:t>
      </w:r>
      <w:r w:rsidRPr="00E04F0C">
        <w:rPr>
          <w:i/>
          <w:color w:val="000000"/>
          <w:sz w:val="24"/>
          <w:szCs w:val="24"/>
        </w:rPr>
        <w:t xml:space="preserve">Telecommunications Regulations 2001 </w:t>
      </w:r>
      <w:r w:rsidRPr="00E04F0C">
        <w:rPr>
          <w:color w:val="000000"/>
          <w:sz w:val="24"/>
          <w:szCs w:val="24"/>
        </w:rPr>
        <w:t>(the Principal Regulations)</w:t>
      </w:r>
      <w:r>
        <w:rPr>
          <w:color w:val="000000"/>
          <w:sz w:val="24"/>
          <w:szCs w:val="24"/>
        </w:rPr>
        <w:t xml:space="preserve"> to </w:t>
      </w:r>
      <w:r w:rsidR="00C92583" w:rsidRPr="00B22539">
        <w:rPr>
          <w:color w:val="000000"/>
          <w:sz w:val="24"/>
          <w:szCs w:val="24"/>
        </w:rPr>
        <w:t>enable overhead lines with an external cross section not exceeding 30</w:t>
      </w:r>
      <w:r w:rsidR="009521D3">
        <w:rPr>
          <w:color w:val="000000"/>
          <w:sz w:val="24"/>
          <w:szCs w:val="24"/>
        </w:rPr>
        <w:t> </w:t>
      </w:r>
      <w:r w:rsidR="00C92583" w:rsidRPr="00B22539">
        <w:rPr>
          <w:color w:val="000000"/>
          <w:sz w:val="24"/>
          <w:szCs w:val="24"/>
        </w:rPr>
        <w:t>mm to be specified by the Minister as ‘low-impact facilities’ for the purposes of Schedule 3 to the Act.</w:t>
      </w:r>
      <w:r w:rsidR="009D2D73">
        <w:rPr>
          <w:color w:val="000000"/>
          <w:sz w:val="24"/>
          <w:szCs w:val="24"/>
        </w:rPr>
        <w:t xml:space="preserve"> Low-impact </w:t>
      </w:r>
      <w:r w:rsidR="00377775">
        <w:rPr>
          <w:color w:val="000000"/>
          <w:sz w:val="24"/>
          <w:szCs w:val="24"/>
        </w:rPr>
        <w:t xml:space="preserve">facilities are </w:t>
      </w:r>
      <w:r w:rsidR="00567288" w:rsidRPr="00567288">
        <w:rPr>
          <w:sz w:val="24"/>
          <w:szCs w:val="24"/>
        </w:rPr>
        <w:t xml:space="preserve">defined in the </w:t>
      </w:r>
      <w:r w:rsidR="00567288" w:rsidRPr="00567288">
        <w:rPr>
          <w:i/>
          <w:sz w:val="24"/>
          <w:szCs w:val="24"/>
        </w:rPr>
        <w:t xml:space="preserve">Telecommunications (Low-impact Facilities) Determination 1997 </w:t>
      </w:r>
      <w:r w:rsidR="00567288" w:rsidRPr="00567288">
        <w:rPr>
          <w:sz w:val="24"/>
          <w:szCs w:val="24"/>
        </w:rPr>
        <w:t>(the LIF Determination).</w:t>
      </w:r>
    </w:p>
    <w:p w:rsidR="00C92583" w:rsidRDefault="00C92583" w:rsidP="00643A94">
      <w:pPr>
        <w:rPr>
          <w:color w:val="000000"/>
          <w:sz w:val="24"/>
          <w:szCs w:val="24"/>
        </w:rPr>
      </w:pPr>
    </w:p>
    <w:p w:rsidR="003F476F" w:rsidRPr="009D2D73" w:rsidRDefault="00567288" w:rsidP="00C92583">
      <w:pPr>
        <w:rPr>
          <w:color w:val="000000"/>
          <w:sz w:val="24"/>
          <w:szCs w:val="24"/>
        </w:rPr>
      </w:pPr>
      <w:r w:rsidRPr="00567288">
        <w:rPr>
          <w:sz w:val="24"/>
          <w:szCs w:val="24"/>
        </w:rPr>
        <w:t xml:space="preserve">Schedule 3 of the Act affords carriers with powers and immunities to roll-out certain types of telecommunications infrastructure, the most common of which are low-impact facilities. Low-impact facilities may be installed without being subject to a number of state and territory laws, including planning laws. If required, low-impact facilities can be installed without the </w:t>
      </w:r>
      <w:r w:rsidR="009D2D73">
        <w:rPr>
          <w:sz w:val="24"/>
          <w:szCs w:val="24"/>
        </w:rPr>
        <w:t>agreement</w:t>
      </w:r>
      <w:r w:rsidRPr="00567288">
        <w:rPr>
          <w:sz w:val="24"/>
          <w:szCs w:val="24"/>
        </w:rPr>
        <w:t xml:space="preserve"> of the landowner or occupier, although carriers must notify landowners and occupiers prior to installing a low-impact facility and there are mechanisms under the operation of the Act for making objections to the installation</w:t>
      </w:r>
      <w:r w:rsidRPr="00567288">
        <w:rPr>
          <w:color w:val="000000"/>
          <w:sz w:val="24"/>
          <w:szCs w:val="24"/>
        </w:rPr>
        <w:t xml:space="preserve">. </w:t>
      </w:r>
    </w:p>
    <w:p w:rsidR="00567288" w:rsidRPr="00567288" w:rsidRDefault="00567288" w:rsidP="00567288">
      <w:pPr>
        <w:rPr>
          <w:color w:val="000000"/>
        </w:rPr>
      </w:pPr>
    </w:p>
    <w:p w:rsidR="00567288" w:rsidRDefault="00567288" w:rsidP="00567288">
      <w:pPr>
        <w:rPr>
          <w:color w:val="000000"/>
        </w:rPr>
      </w:pPr>
      <w:r w:rsidRPr="00567288">
        <w:rPr>
          <w:color w:val="000000"/>
          <w:sz w:val="24"/>
          <w:szCs w:val="24"/>
        </w:rPr>
        <w:t>Clause 6(3) of Schedule 3 to the Act provides that the Minister may, by written instrument, determine that a specified facility is a ‘low-impact facility’. The current low-impact facilities are set out in the LIF Determination.</w:t>
      </w:r>
      <w:r w:rsidR="009D2D73">
        <w:rPr>
          <w:color w:val="000000"/>
          <w:sz w:val="24"/>
          <w:szCs w:val="24"/>
        </w:rPr>
        <w:t xml:space="preserve"> However, under Clause 6(4) of the Act, a cable may not be added to the LIF Determination if the maximum external cross-section of any part exceeds 13mm, or another distance specified in the Regulations.</w:t>
      </w:r>
    </w:p>
    <w:p w:rsidR="00567288" w:rsidRPr="00567288" w:rsidRDefault="00567288" w:rsidP="00567288">
      <w:pPr>
        <w:rPr>
          <w:color w:val="000000"/>
        </w:rPr>
      </w:pPr>
    </w:p>
    <w:p w:rsidR="009D2D73" w:rsidRDefault="009D2D73" w:rsidP="009D2D73">
      <w:pPr>
        <w:rPr>
          <w:sz w:val="24"/>
          <w:szCs w:val="24"/>
        </w:rPr>
      </w:pPr>
    </w:p>
    <w:p w:rsidR="009D2D73" w:rsidRPr="003F476F" w:rsidRDefault="009D2D73" w:rsidP="009D2D73">
      <w:pPr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The Amending</w:t>
      </w:r>
      <w:r w:rsidRPr="00D04C62">
        <w:rPr>
          <w:sz w:val="24"/>
          <w:szCs w:val="24"/>
        </w:rPr>
        <w:t xml:space="preserve"> Regulations </w:t>
      </w:r>
      <w:r w:rsidRPr="00B22539">
        <w:rPr>
          <w:color w:val="000000"/>
          <w:sz w:val="24"/>
          <w:szCs w:val="24"/>
        </w:rPr>
        <w:t>enable overhead lines with an external cross</w:t>
      </w:r>
      <w:r>
        <w:rPr>
          <w:color w:val="000000"/>
          <w:sz w:val="24"/>
          <w:szCs w:val="24"/>
        </w:rPr>
        <w:t>-</w:t>
      </w:r>
      <w:r w:rsidRPr="00B22539">
        <w:rPr>
          <w:color w:val="000000"/>
          <w:sz w:val="24"/>
          <w:szCs w:val="24"/>
        </w:rPr>
        <w:t xml:space="preserve">section not exceeding 30 mm to be specified by the Minister as ‘low-impact facilities’ for the purposes of Schedule 3 to the Act.  This </w:t>
      </w:r>
      <w:r>
        <w:rPr>
          <w:color w:val="000000"/>
          <w:sz w:val="24"/>
          <w:szCs w:val="24"/>
        </w:rPr>
        <w:t>is</w:t>
      </w:r>
      <w:r w:rsidRPr="00B22539">
        <w:rPr>
          <w:color w:val="000000"/>
          <w:sz w:val="24"/>
          <w:szCs w:val="24"/>
        </w:rPr>
        <w:t xml:space="preserve"> achieve</w:t>
      </w:r>
      <w:r>
        <w:rPr>
          <w:color w:val="000000"/>
          <w:sz w:val="24"/>
          <w:szCs w:val="24"/>
        </w:rPr>
        <w:t>d by inserting a new regulation </w:t>
      </w:r>
      <w:r w:rsidRPr="00B22539">
        <w:rPr>
          <w:color w:val="000000"/>
          <w:sz w:val="24"/>
          <w:szCs w:val="24"/>
        </w:rPr>
        <w:t xml:space="preserve">11.2 into </w:t>
      </w:r>
      <w:r>
        <w:rPr>
          <w:color w:val="000000"/>
          <w:sz w:val="24"/>
          <w:szCs w:val="24"/>
        </w:rPr>
        <w:t>the Principal Regulations, which specifies</w:t>
      </w:r>
      <w:r w:rsidRPr="00B22539">
        <w:rPr>
          <w:color w:val="000000"/>
          <w:sz w:val="24"/>
          <w:szCs w:val="24"/>
        </w:rPr>
        <w:t xml:space="preserve"> 30 mm as the maximum external cross-section distance of any part of an overhead line.</w:t>
      </w:r>
    </w:p>
    <w:p w:rsidR="003F476F" w:rsidRDefault="003F476F" w:rsidP="003F476F">
      <w:pPr>
        <w:rPr>
          <w:sz w:val="24"/>
          <w:szCs w:val="24"/>
        </w:rPr>
      </w:pPr>
    </w:p>
    <w:p w:rsidR="00AE42C2" w:rsidRDefault="007240FE" w:rsidP="00AE42C2">
      <w:pPr>
        <w:rPr>
          <w:sz w:val="24"/>
          <w:szCs w:val="24"/>
        </w:rPr>
      </w:pPr>
      <w:r>
        <w:rPr>
          <w:sz w:val="24"/>
          <w:szCs w:val="24"/>
        </w:rPr>
        <w:t>It is expected that aerial deployment of these maximum dim</w:t>
      </w:r>
      <w:r w:rsidR="00641AED">
        <w:rPr>
          <w:sz w:val="24"/>
          <w:szCs w:val="24"/>
        </w:rPr>
        <w:t>ensions would only be used in exceptional circumstances</w:t>
      </w:r>
      <w:r w:rsidR="00D123D4">
        <w:rPr>
          <w:sz w:val="24"/>
          <w:szCs w:val="24"/>
        </w:rPr>
        <w:t xml:space="preserve"> as t</w:t>
      </w:r>
      <w:r w:rsidR="00D5277C">
        <w:rPr>
          <w:sz w:val="24"/>
          <w:szCs w:val="24"/>
        </w:rPr>
        <w:t>he majority of overhead cabling is expected to be of much less</w:t>
      </w:r>
      <w:r w:rsidR="00D123D4">
        <w:rPr>
          <w:sz w:val="24"/>
          <w:szCs w:val="24"/>
        </w:rPr>
        <w:t>er</w:t>
      </w:r>
      <w:r w:rsidR="00D5277C">
        <w:rPr>
          <w:sz w:val="24"/>
          <w:szCs w:val="24"/>
        </w:rPr>
        <w:t xml:space="preserve"> </w:t>
      </w:r>
      <w:r w:rsidR="00D85050">
        <w:rPr>
          <w:sz w:val="24"/>
          <w:szCs w:val="24"/>
        </w:rPr>
        <w:t>cross-section</w:t>
      </w:r>
      <w:r w:rsidR="00D5277C">
        <w:rPr>
          <w:sz w:val="24"/>
          <w:szCs w:val="24"/>
        </w:rPr>
        <w:t>. Moreover, the use of overhead cabling is expected to be limited to</w:t>
      </w:r>
      <w:r w:rsidR="009A1611">
        <w:rPr>
          <w:sz w:val="24"/>
          <w:szCs w:val="24"/>
        </w:rPr>
        <w:t xml:space="preserve"> where</w:t>
      </w:r>
      <w:r w:rsidR="00DA0AFC">
        <w:rPr>
          <w:sz w:val="24"/>
          <w:szCs w:val="24"/>
        </w:rPr>
        <w:t xml:space="preserve"> overhead</w:t>
      </w:r>
      <w:r w:rsidR="00F65985">
        <w:rPr>
          <w:sz w:val="24"/>
          <w:szCs w:val="24"/>
        </w:rPr>
        <w:t xml:space="preserve"> cabling is the only efficient or feasible option</w:t>
      </w:r>
      <w:r w:rsidR="00641AED">
        <w:rPr>
          <w:sz w:val="24"/>
          <w:szCs w:val="24"/>
        </w:rPr>
        <w:t>.</w:t>
      </w:r>
      <w:r w:rsidR="009E328A">
        <w:rPr>
          <w:sz w:val="24"/>
          <w:szCs w:val="24"/>
        </w:rPr>
        <w:t xml:space="preserve"> </w:t>
      </w:r>
      <w:r w:rsidR="002465C3">
        <w:rPr>
          <w:sz w:val="24"/>
          <w:szCs w:val="24"/>
        </w:rPr>
        <w:t xml:space="preserve">Under NBN Co’s </w:t>
      </w:r>
      <w:r w:rsidR="00D5277C">
        <w:rPr>
          <w:sz w:val="24"/>
          <w:szCs w:val="24"/>
        </w:rPr>
        <w:t>C</w:t>
      </w:r>
      <w:r w:rsidR="002465C3">
        <w:rPr>
          <w:sz w:val="24"/>
          <w:szCs w:val="24"/>
        </w:rPr>
        <w:t xml:space="preserve">orporate </w:t>
      </w:r>
      <w:r w:rsidR="00D5277C">
        <w:rPr>
          <w:sz w:val="24"/>
          <w:szCs w:val="24"/>
        </w:rPr>
        <w:t>P</w:t>
      </w:r>
      <w:r w:rsidR="002465C3">
        <w:rPr>
          <w:sz w:val="24"/>
          <w:szCs w:val="24"/>
        </w:rPr>
        <w:t>lan</w:t>
      </w:r>
      <w:r w:rsidR="009A1611">
        <w:rPr>
          <w:sz w:val="24"/>
          <w:szCs w:val="24"/>
        </w:rPr>
        <w:t xml:space="preserve"> for </w:t>
      </w:r>
      <w:r w:rsidR="00555F31">
        <w:rPr>
          <w:sz w:val="24"/>
          <w:szCs w:val="24"/>
        </w:rPr>
        <w:t xml:space="preserve">the period </w:t>
      </w:r>
      <w:r w:rsidR="009A1611">
        <w:rPr>
          <w:sz w:val="24"/>
          <w:szCs w:val="24"/>
        </w:rPr>
        <w:t xml:space="preserve">2011-2013, it is assumed that 75 per cent of fibre in brownfield developments would be deployed underground. </w:t>
      </w:r>
    </w:p>
    <w:p w:rsidR="009D2D73" w:rsidRDefault="009D2D73" w:rsidP="009D2D73">
      <w:pPr>
        <w:rPr>
          <w:color w:val="000000"/>
          <w:sz w:val="24"/>
          <w:szCs w:val="24"/>
        </w:rPr>
      </w:pPr>
    </w:p>
    <w:p w:rsidR="009D2D73" w:rsidRDefault="009D2D73" w:rsidP="009D2D73">
      <w:pPr>
        <w:rPr>
          <w:sz w:val="24"/>
          <w:szCs w:val="24"/>
        </w:rPr>
      </w:pPr>
      <w:r w:rsidRPr="009D2D73">
        <w:rPr>
          <w:color w:val="000000"/>
          <w:sz w:val="24"/>
          <w:szCs w:val="24"/>
        </w:rPr>
        <w:t>All facilities installed under the LIF Determination are subject to requirements relating to installation set out in the Act, the LIF Determination itself, and in</w:t>
      </w:r>
      <w:r w:rsidRPr="009D2D73">
        <w:rPr>
          <w:sz w:val="24"/>
          <w:szCs w:val="24"/>
        </w:rPr>
        <w:t xml:space="preserve"> Chapter 4 of the </w:t>
      </w:r>
      <w:r w:rsidRPr="009D2D73">
        <w:rPr>
          <w:i/>
          <w:sz w:val="24"/>
          <w:szCs w:val="24"/>
        </w:rPr>
        <w:t xml:space="preserve">Telecommunications Code of Practice 1997. </w:t>
      </w:r>
      <w:r w:rsidRPr="009D2D73">
        <w:rPr>
          <w:sz w:val="24"/>
          <w:szCs w:val="24"/>
        </w:rPr>
        <w:t>These requirements include the notification and objection processes for landowners and occupiers where a facility is proposed to be installed, as well as a number of other requirements, such as doing as little damage as is practicable and restoring work sites.</w:t>
      </w:r>
    </w:p>
    <w:p w:rsidR="009D2D73" w:rsidRDefault="009D2D73" w:rsidP="009D2D73">
      <w:pPr>
        <w:rPr>
          <w:sz w:val="24"/>
          <w:szCs w:val="24"/>
        </w:rPr>
      </w:pPr>
    </w:p>
    <w:p w:rsidR="000E21DD" w:rsidRDefault="000E21DD" w:rsidP="000E21DD">
      <w:pPr>
        <w:pStyle w:val="BodyText2"/>
        <w:rPr>
          <w:szCs w:val="24"/>
        </w:rPr>
      </w:pPr>
      <w:r>
        <w:rPr>
          <w:szCs w:val="24"/>
        </w:rPr>
        <w:t>The Act specifies no conditions that need to be satisfied before the power to make the Amending Regulations may be exercised.</w:t>
      </w:r>
    </w:p>
    <w:p w:rsidR="000E21DD" w:rsidRDefault="000E21DD" w:rsidP="000E21DD">
      <w:pPr>
        <w:pStyle w:val="BodyText2"/>
        <w:rPr>
          <w:szCs w:val="24"/>
        </w:rPr>
      </w:pPr>
    </w:p>
    <w:p w:rsidR="000E21DD" w:rsidRDefault="000E21DD" w:rsidP="000E21DD">
      <w:pPr>
        <w:pStyle w:val="BodyText2"/>
        <w:rPr>
          <w:szCs w:val="24"/>
        </w:rPr>
      </w:pPr>
      <w:r>
        <w:rPr>
          <w:szCs w:val="24"/>
        </w:rPr>
        <w:t>The Amending Regulations commence on the day after they are registered on the Federal Register of Legislative Instruments.</w:t>
      </w:r>
    </w:p>
    <w:p w:rsidR="000E21DD" w:rsidRDefault="000E21DD" w:rsidP="000E21DD">
      <w:pPr>
        <w:pStyle w:val="BodyText2"/>
        <w:rPr>
          <w:szCs w:val="24"/>
        </w:rPr>
      </w:pPr>
    </w:p>
    <w:p w:rsidR="003D1B67" w:rsidRDefault="003D1B67" w:rsidP="003D1B67">
      <w:pPr>
        <w:rPr>
          <w:sz w:val="24"/>
          <w:szCs w:val="24"/>
        </w:rPr>
      </w:pPr>
      <w:r w:rsidRPr="000D092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Amending </w:t>
      </w:r>
      <w:r w:rsidRPr="000D0928">
        <w:rPr>
          <w:sz w:val="24"/>
          <w:szCs w:val="24"/>
        </w:rPr>
        <w:t xml:space="preserve">Regulations are a legislative instrument for the purposes of the </w:t>
      </w:r>
      <w:r w:rsidRPr="000D0928">
        <w:rPr>
          <w:i/>
          <w:sz w:val="24"/>
          <w:szCs w:val="24"/>
        </w:rPr>
        <w:t>Legislative Instruments Act 2003</w:t>
      </w:r>
      <w:r w:rsidRPr="000D0928">
        <w:rPr>
          <w:sz w:val="24"/>
          <w:szCs w:val="24"/>
        </w:rPr>
        <w:t xml:space="preserve"> (LIA) (see paragraph 6(a) of the LIA).</w:t>
      </w:r>
    </w:p>
    <w:p w:rsidR="003D1B67" w:rsidRPr="007C0E46" w:rsidRDefault="003D1B67" w:rsidP="003D1B67">
      <w:pPr>
        <w:rPr>
          <w:sz w:val="24"/>
          <w:szCs w:val="24"/>
        </w:rPr>
      </w:pPr>
    </w:p>
    <w:p w:rsidR="007C0E46" w:rsidRDefault="007C0E46" w:rsidP="007C0E46">
      <w:pPr>
        <w:pStyle w:val="BodyText2"/>
        <w:rPr>
          <w:szCs w:val="24"/>
        </w:rPr>
      </w:pPr>
      <w:r w:rsidRPr="000D0928">
        <w:rPr>
          <w:szCs w:val="24"/>
        </w:rPr>
        <w:t xml:space="preserve">Details of the accompanying </w:t>
      </w:r>
      <w:r>
        <w:rPr>
          <w:szCs w:val="24"/>
        </w:rPr>
        <w:t xml:space="preserve">Amending </w:t>
      </w:r>
      <w:r w:rsidRPr="000D0928">
        <w:rPr>
          <w:szCs w:val="24"/>
        </w:rPr>
        <w:t xml:space="preserve">Regulations are set out in the </w:t>
      </w:r>
      <w:r w:rsidRPr="000D0928">
        <w:rPr>
          <w:szCs w:val="24"/>
          <w:u w:val="single"/>
        </w:rPr>
        <w:t>Attachment</w:t>
      </w:r>
      <w:r w:rsidRPr="000D0928">
        <w:rPr>
          <w:szCs w:val="24"/>
        </w:rPr>
        <w:t>.</w:t>
      </w:r>
    </w:p>
    <w:p w:rsidR="004700D7" w:rsidRDefault="004700D7" w:rsidP="007C0E46">
      <w:pPr>
        <w:pStyle w:val="BodyText2"/>
        <w:rPr>
          <w:szCs w:val="24"/>
        </w:rPr>
      </w:pPr>
    </w:p>
    <w:p w:rsidR="00AE42C2" w:rsidRPr="000D0928" w:rsidRDefault="00AE42C2" w:rsidP="00AE42C2">
      <w:pPr>
        <w:pStyle w:val="BodyText2"/>
        <w:rPr>
          <w:b/>
          <w:szCs w:val="24"/>
        </w:rPr>
      </w:pPr>
      <w:r w:rsidRPr="000D0928">
        <w:rPr>
          <w:b/>
          <w:szCs w:val="24"/>
        </w:rPr>
        <w:t>Consultation</w:t>
      </w:r>
    </w:p>
    <w:p w:rsidR="00AE42C2" w:rsidRPr="000D0928" w:rsidRDefault="00AE42C2" w:rsidP="00AE42C2">
      <w:pPr>
        <w:pStyle w:val="BodyText2"/>
        <w:rPr>
          <w:szCs w:val="24"/>
        </w:rPr>
      </w:pPr>
    </w:p>
    <w:p w:rsidR="00E04F0C" w:rsidRDefault="003D1B67" w:rsidP="00AE42C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555F31">
        <w:rPr>
          <w:sz w:val="24"/>
          <w:szCs w:val="24"/>
        </w:rPr>
        <w:t>n 10 August 2011 the Minister released for public comment proposed changes to the Principal Regulations and the Determination</w:t>
      </w:r>
      <w:r w:rsidR="00186C51">
        <w:rPr>
          <w:sz w:val="24"/>
          <w:szCs w:val="24"/>
        </w:rPr>
        <w:t xml:space="preserve">. These proposed changes relevantly included a proposal to allow specification of overhead lines with a maximum external cross-section of up to 30 mm. </w:t>
      </w:r>
      <w:r w:rsidR="00006192">
        <w:rPr>
          <w:sz w:val="24"/>
          <w:szCs w:val="24"/>
        </w:rPr>
        <w:t>There were few comments in respect of the Amending Regulations.</w:t>
      </w:r>
    </w:p>
    <w:p w:rsidR="00E04F0C" w:rsidRDefault="00E04F0C" w:rsidP="00AE42C2">
      <w:pPr>
        <w:rPr>
          <w:sz w:val="24"/>
          <w:szCs w:val="24"/>
        </w:rPr>
      </w:pPr>
    </w:p>
    <w:p w:rsidR="00AE42C2" w:rsidRPr="000D0928" w:rsidRDefault="00AE42C2" w:rsidP="00AE42C2">
      <w:pPr>
        <w:rPr>
          <w:color w:val="0000FF"/>
          <w:sz w:val="24"/>
          <w:szCs w:val="24"/>
        </w:rPr>
      </w:pPr>
    </w:p>
    <w:p w:rsidR="00AE42C2" w:rsidRPr="000D0928" w:rsidRDefault="00AE42C2" w:rsidP="00AE42C2">
      <w:pPr>
        <w:rPr>
          <w:color w:val="0000FF"/>
          <w:sz w:val="24"/>
          <w:szCs w:val="24"/>
        </w:rPr>
      </w:pPr>
    </w:p>
    <w:p w:rsidR="00AE42C2" w:rsidRPr="000D0928" w:rsidRDefault="00AE42C2" w:rsidP="00AE42C2">
      <w:pPr>
        <w:rPr>
          <w:color w:val="0000FF"/>
          <w:sz w:val="24"/>
          <w:szCs w:val="24"/>
        </w:rPr>
      </w:pPr>
    </w:p>
    <w:p w:rsidR="00186C51" w:rsidRDefault="00AE42C2" w:rsidP="00E77FCF">
      <w:pPr>
        <w:jc w:val="right"/>
        <w:rPr>
          <w:sz w:val="24"/>
          <w:szCs w:val="24"/>
        </w:rPr>
      </w:pPr>
      <w:r w:rsidRPr="000D0928">
        <w:rPr>
          <w:sz w:val="24"/>
          <w:szCs w:val="24"/>
        </w:rPr>
        <w:t>Authority:</w:t>
      </w:r>
      <w:r w:rsidRPr="000D09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7FCF">
        <w:rPr>
          <w:sz w:val="24"/>
          <w:szCs w:val="24"/>
        </w:rPr>
        <w:t>Section 594</w:t>
      </w:r>
      <w:r w:rsidRPr="000D0928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</w:t>
      </w:r>
    </w:p>
    <w:p w:rsidR="00AE42C2" w:rsidRPr="00E77FCF" w:rsidRDefault="00AE42C2" w:rsidP="00E77FCF">
      <w:pPr>
        <w:jc w:val="right"/>
        <w:rPr>
          <w:i/>
          <w:sz w:val="24"/>
          <w:szCs w:val="24"/>
        </w:rPr>
      </w:pPr>
      <w:r w:rsidRPr="000D0928">
        <w:rPr>
          <w:i/>
          <w:sz w:val="24"/>
          <w:szCs w:val="24"/>
        </w:rPr>
        <w:t>Telecommunications</w:t>
      </w:r>
      <w:r w:rsidR="00E77FCF">
        <w:rPr>
          <w:i/>
          <w:sz w:val="24"/>
          <w:szCs w:val="24"/>
        </w:rPr>
        <w:t xml:space="preserve"> Act 1997</w:t>
      </w:r>
    </w:p>
    <w:p w:rsidR="00AE42C2" w:rsidRPr="000D0928" w:rsidRDefault="00AE42C2" w:rsidP="00AE42C2">
      <w:pPr>
        <w:rPr>
          <w:sz w:val="24"/>
          <w:szCs w:val="24"/>
        </w:rPr>
      </w:pPr>
    </w:p>
    <w:p w:rsidR="00AE42C2" w:rsidRPr="000D0928" w:rsidRDefault="00AE42C2" w:rsidP="00AE42C2">
      <w:pPr>
        <w:rPr>
          <w:sz w:val="24"/>
          <w:szCs w:val="24"/>
        </w:rPr>
      </w:pPr>
    </w:p>
    <w:p w:rsidR="00AE42C2" w:rsidRPr="000D0928" w:rsidRDefault="00AE42C2" w:rsidP="00AE42C2">
      <w:pPr>
        <w:ind w:right="91"/>
        <w:rPr>
          <w:sz w:val="24"/>
          <w:szCs w:val="24"/>
          <w:u w:val="single"/>
        </w:rPr>
      </w:pPr>
      <w:r w:rsidRPr="000D0928">
        <w:rPr>
          <w:sz w:val="24"/>
          <w:szCs w:val="24"/>
        </w:rPr>
        <w:br w:type="page"/>
      </w:r>
      <w:r w:rsidRPr="000D0928">
        <w:rPr>
          <w:b/>
          <w:sz w:val="24"/>
          <w:szCs w:val="24"/>
          <w:u w:val="single"/>
        </w:rPr>
        <w:lastRenderedPageBreak/>
        <w:t>ATTACHMENT</w:t>
      </w:r>
    </w:p>
    <w:p w:rsidR="00AE42C2" w:rsidRPr="000D0928" w:rsidRDefault="00AE42C2" w:rsidP="00AE42C2">
      <w:pPr>
        <w:ind w:right="91"/>
        <w:jc w:val="right"/>
        <w:rPr>
          <w:sz w:val="24"/>
          <w:szCs w:val="24"/>
        </w:rPr>
      </w:pPr>
    </w:p>
    <w:p w:rsidR="00AE42C2" w:rsidRPr="00E721D3" w:rsidRDefault="00AE42C2" w:rsidP="00AE42C2">
      <w:pPr>
        <w:pStyle w:val="Heading1"/>
        <w:jc w:val="left"/>
        <w:rPr>
          <w:b/>
          <w:szCs w:val="24"/>
          <w:u w:val="single"/>
        </w:rPr>
      </w:pPr>
      <w:r w:rsidRPr="008C0474">
        <w:rPr>
          <w:b/>
          <w:i w:val="0"/>
          <w:szCs w:val="24"/>
          <w:u w:val="single"/>
        </w:rPr>
        <w:t>Details of the</w:t>
      </w:r>
      <w:r w:rsidRPr="008C0474">
        <w:rPr>
          <w:b/>
          <w:szCs w:val="24"/>
          <w:u w:val="single"/>
        </w:rPr>
        <w:t xml:space="preserve"> Telecommunications </w:t>
      </w:r>
      <w:r w:rsidR="00F65985">
        <w:rPr>
          <w:b/>
          <w:szCs w:val="24"/>
          <w:u w:val="single"/>
        </w:rPr>
        <w:t>Amendment</w:t>
      </w:r>
      <w:r w:rsidRPr="008C0474">
        <w:rPr>
          <w:b/>
          <w:szCs w:val="24"/>
          <w:u w:val="single"/>
        </w:rPr>
        <w:t xml:space="preserve"> Regulations 2011</w:t>
      </w:r>
      <w:r w:rsidR="006E775F">
        <w:rPr>
          <w:b/>
          <w:szCs w:val="24"/>
          <w:u w:val="single"/>
        </w:rPr>
        <w:t xml:space="preserve"> (No. </w:t>
      </w:r>
      <w:r w:rsidR="002E06A8">
        <w:rPr>
          <w:b/>
          <w:szCs w:val="24"/>
          <w:u w:val="single"/>
        </w:rPr>
        <w:t>1</w:t>
      </w:r>
      <w:r w:rsidR="007868F2">
        <w:rPr>
          <w:b/>
          <w:szCs w:val="24"/>
          <w:u w:val="single"/>
        </w:rPr>
        <w:t>)</w:t>
      </w:r>
    </w:p>
    <w:p w:rsidR="00AE42C2" w:rsidRDefault="00AE42C2" w:rsidP="00AE42C2">
      <w:pPr>
        <w:ind w:right="91"/>
        <w:rPr>
          <w:b/>
          <w:sz w:val="24"/>
          <w:szCs w:val="24"/>
        </w:rPr>
      </w:pPr>
    </w:p>
    <w:p w:rsidR="00AE42C2" w:rsidRPr="00E17C58" w:rsidRDefault="00AE42C2" w:rsidP="00AE42C2">
      <w:pPr>
        <w:ind w:right="91"/>
        <w:rPr>
          <w:b/>
          <w:sz w:val="24"/>
          <w:szCs w:val="24"/>
        </w:rPr>
      </w:pPr>
      <w:r w:rsidRPr="00E17C58">
        <w:rPr>
          <w:b/>
          <w:sz w:val="24"/>
          <w:szCs w:val="24"/>
        </w:rPr>
        <w:t>Regulation 1 – Name of Regulations</w:t>
      </w:r>
    </w:p>
    <w:p w:rsidR="00AE42C2" w:rsidRPr="000D0928" w:rsidRDefault="00AE42C2" w:rsidP="00AE42C2">
      <w:pPr>
        <w:ind w:right="91"/>
        <w:rPr>
          <w:sz w:val="24"/>
          <w:szCs w:val="24"/>
        </w:rPr>
      </w:pPr>
    </w:p>
    <w:p w:rsidR="00AE42C2" w:rsidRPr="000D0928" w:rsidRDefault="00AE42C2" w:rsidP="00AE42C2">
      <w:pPr>
        <w:pStyle w:val="Heading1"/>
        <w:jc w:val="left"/>
        <w:rPr>
          <w:szCs w:val="24"/>
        </w:rPr>
      </w:pPr>
      <w:r w:rsidRPr="00B57377">
        <w:rPr>
          <w:i w:val="0"/>
          <w:szCs w:val="24"/>
        </w:rPr>
        <w:t xml:space="preserve">This regulation provides </w:t>
      </w:r>
      <w:r w:rsidR="007F3D1F">
        <w:rPr>
          <w:i w:val="0"/>
          <w:szCs w:val="24"/>
        </w:rPr>
        <w:t xml:space="preserve">that </w:t>
      </w:r>
      <w:r w:rsidRPr="00B57377">
        <w:rPr>
          <w:i w:val="0"/>
          <w:szCs w:val="24"/>
        </w:rPr>
        <w:t xml:space="preserve">the </w:t>
      </w:r>
      <w:r w:rsidR="007F3D1F">
        <w:rPr>
          <w:i w:val="0"/>
          <w:szCs w:val="24"/>
        </w:rPr>
        <w:t xml:space="preserve">title of the </w:t>
      </w:r>
      <w:r w:rsidRPr="00B57377">
        <w:rPr>
          <w:i w:val="0"/>
          <w:szCs w:val="24"/>
        </w:rPr>
        <w:t xml:space="preserve">Regulations </w:t>
      </w:r>
      <w:r w:rsidR="007F3D1F">
        <w:rPr>
          <w:i w:val="0"/>
          <w:szCs w:val="24"/>
        </w:rPr>
        <w:t xml:space="preserve">is the </w:t>
      </w:r>
      <w:r w:rsidRPr="000D0928">
        <w:rPr>
          <w:szCs w:val="24"/>
        </w:rPr>
        <w:t>Telecommun</w:t>
      </w:r>
      <w:r w:rsidR="007868F2">
        <w:rPr>
          <w:szCs w:val="24"/>
        </w:rPr>
        <w:t xml:space="preserve">ications Amendment </w:t>
      </w:r>
      <w:r w:rsidRPr="000D0928">
        <w:rPr>
          <w:szCs w:val="24"/>
        </w:rPr>
        <w:t>Regulations 2011</w:t>
      </w:r>
      <w:r w:rsidR="002E06A8">
        <w:rPr>
          <w:szCs w:val="24"/>
        </w:rPr>
        <w:t xml:space="preserve"> (No</w:t>
      </w:r>
      <w:r w:rsidR="009158D6">
        <w:rPr>
          <w:szCs w:val="24"/>
        </w:rPr>
        <w:t>.</w:t>
      </w:r>
      <w:r w:rsidR="002E06A8">
        <w:rPr>
          <w:szCs w:val="24"/>
        </w:rPr>
        <w:t xml:space="preserve"> 1</w:t>
      </w:r>
      <w:r w:rsidR="007868F2">
        <w:rPr>
          <w:szCs w:val="24"/>
        </w:rPr>
        <w:t>)</w:t>
      </w:r>
      <w:r>
        <w:rPr>
          <w:szCs w:val="24"/>
        </w:rPr>
        <w:t>.</w:t>
      </w:r>
    </w:p>
    <w:p w:rsidR="00AE42C2" w:rsidRPr="000D0928" w:rsidRDefault="00AE42C2" w:rsidP="00AE42C2">
      <w:pPr>
        <w:ind w:right="91"/>
        <w:rPr>
          <w:sz w:val="24"/>
          <w:szCs w:val="24"/>
        </w:rPr>
      </w:pPr>
    </w:p>
    <w:p w:rsidR="00AE42C2" w:rsidRPr="00E17C58" w:rsidRDefault="00AE42C2" w:rsidP="00AE42C2">
      <w:pPr>
        <w:ind w:right="91"/>
        <w:rPr>
          <w:b/>
          <w:sz w:val="24"/>
          <w:szCs w:val="24"/>
        </w:rPr>
      </w:pPr>
      <w:r w:rsidRPr="00E17C58">
        <w:rPr>
          <w:b/>
          <w:sz w:val="24"/>
          <w:szCs w:val="24"/>
        </w:rPr>
        <w:t>Regulation 2 – Commencement</w:t>
      </w:r>
    </w:p>
    <w:p w:rsidR="00AE42C2" w:rsidRPr="000D0928" w:rsidRDefault="00AE42C2" w:rsidP="00AE42C2">
      <w:pPr>
        <w:ind w:right="91"/>
        <w:rPr>
          <w:sz w:val="24"/>
          <w:szCs w:val="24"/>
        </w:rPr>
      </w:pPr>
    </w:p>
    <w:p w:rsidR="00AE42C2" w:rsidRPr="000D0928" w:rsidRDefault="00AE42C2" w:rsidP="00AE42C2">
      <w:pPr>
        <w:ind w:right="91"/>
        <w:rPr>
          <w:sz w:val="24"/>
          <w:szCs w:val="24"/>
        </w:rPr>
      </w:pPr>
      <w:r w:rsidRPr="000D0928">
        <w:rPr>
          <w:sz w:val="24"/>
          <w:szCs w:val="24"/>
        </w:rPr>
        <w:t xml:space="preserve">This regulation </w:t>
      </w:r>
      <w:r>
        <w:rPr>
          <w:sz w:val="24"/>
          <w:szCs w:val="24"/>
        </w:rPr>
        <w:t xml:space="preserve">provides for </w:t>
      </w:r>
      <w:r w:rsidRPr="000D0928">
        <w:rPr>
          <w:sz w:val="24"/>
          <w:szCs w:val="24"/>
        </w:rPr>
        <w:t xml:space="preserve">the Regulations </w:t>
      </w:r>
      <w:r>
        <w:rPr>
          <w:sz w:val="24"/>
          <w:szCs w:val="24"/>
        </w:rPr>
        <w:t xml:space="preserve">to </w:t>
      </w:r>
      <w:r w:rsidRPr="000D0928">
        <w:rPr>
          <w:sz w:val="24"/>
          <w:szCs w:val="24"/>
        </w:rPr>
        <w:t>commence</w:t>
      </w:r>
      <w:r>
        <w:rPr>
          <w:sz w:val="24"/>
          <w:szCs w:val="24"/>
        </w:rPr>
        <w:t xml:space="preserve"> on the day after they are registered on the Federal Register of Legislative Instruments</w:t>
      </w:r>
      <w:r w:rsidRPr="000D0928">
        <w:rPr>
          <w:sz w:val="24"/>
          <w:szCs w:val="24"/>
        </w:rPr>
        <w:t>.</w:t>
      </w:r>
    </w:p>
    <w:p w:rsidR="00AE42C2" w:rsidRPr="000D0928" w:rsidRDefault="00AE42C2" w:rsidP="00AE42C2">
      <w:pPr>
        <w:ind w:right="91"/>
        <w:rPr>
          <w:sz w:val="24"/>
          <w:szCs w:val="24"/>
        </w:rPr>
      </w:pPr>
    </w:p>
    <w:p w:rsidR="00AE42C2" w:rsidRDefault="00AE42C2" w:rsidP="00AE42C2">
      <w:pPr>
        <w:ind w:right="91"/>
        <w:rPr>
          <w:b/>
          <w:i/>
          <w:sz w:val="24"/>
          <w:szCs w:val="24"/>
        </w:rPr>
      </w:pPr>
      <w:r w:rsidRPr="00C23B5E">
        <w:rPr>
          <w:b/>
          <w:sz w:val="24"/>
          <w:szCs w:val="24"/>
        </w:rPr>
        <w:t xml:space="preserve">Regulation 3 – </w:t>
      </w:r>
      <w:r w:rsidR="00B33389">
        <w:rPr>
          <w:b/>
          <w:sz w:val="24"/>
          <w:szCs w:val="24"/>
        </w:rPr>
        <w:t xml:space="preserve">Amendment of </w:t>
      </w:r>
      <w:r w:rsidR="00B33389">
        <w:rPr>
          <w:b/>
          <w:i/>
          <w:sz w:val="24"/>
          <w:szCs w:val="24"/>
        </w:rPr>
        <w:t>Telecommunications Regulations 2001</w:t>
      </w:r>
    </w:p>
    <w:p w:rsidR="00066CAF" w:rsidRDefault="00066CAF" w:rsidP="00AE42C2">
      <w:pPr>
        <w:ind w:right="91"/>
        <w:rPr>
          <w:b/>
          <w:i/>
          <w:sz w:val="24"/>
          <w:szCs w:val="24"/>
        </w:rPr>
      </w:pPr>
    </w:p>
    <w:p w:rsidR="00066CAF" w:rsidRDefault="00066CAF" w:rsidP="00AE42C2">
      <w:pPr>
        <w:ind w:right="9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This regulation provides that the </w:t>
      </w:r>
      <w:r w:rsidRPr="0043221E">
        <w:rPr>
          <w:i/>
          <w:color w:val="000000"/>
          <w:sz w:val="24"/>
          <w:szCs w:val="24"/>
        </w:rPr>
        <w:t>Telecommunications Regulations 2001</w:t>
      </w:r>
      <w:r w:rsidR="0043221E">
        <w:rPr>
          <w:i/>
          <w:color w:val="000000"/>
          <w:sz w:val="24"/>
          <w:szCs w:val="24"/>
        </w:rPr>
        <w:t xml:space="preserve"> </w:t>
      </w:r>
      <w:r w:rsidR="0043221E">
        <w:rPr>
          <w:color w:val="000000"/>
          <w:sz w:val="24"/>
          <w:szCs w:val="24"/>
        </w:rPr>
        <w:t>(the Principal Regulations) are amended as set out in Schedule 1.</w:t>
      </w:r>
    </w:p>
    <w:p w:rsidR="0043221E" w:rsidRDefault="0043221E" w:rsidP="00AE42C2">
      <w:pPr>
        <w:ind w:right="91"/>
        <w:rPr>
          <w:color w:val="000000"/>
          <w:sz w:val="24"/>
          <w:szCs w:val="24"/>
        </w:rPr>
      </w:pPr>
    </w:p>
    <w:p w:rsidR="0043221E" w:rsidRDefault="00BB214D" w:rsidP="00AE42C2">
      <w:pPr>
        <w:ind w:right="91"/>
        <w:rPr>
          <w:b/>
          <w:sz w:val="24"/>
          <w:szCs w:val="24"/>
        </w:rPr>
      </w:pPr>
      <w:r>
        <w:rPr>
          <w:b/>
          <w:sz w:val="24"/>
          <w:szCs w:val="24"/>
        </w:rPr>
        <w:t>Schedule 1 – Amendments</w:t>
      </w:r>
    </w:p>
    <w:p w:rsidR="00BB214D" w:rsidRDefault="00BB214D" w:rsidP="00AE42C2">
      <w:pPr>
        <w:ind w:right="91"/>
        <w:rPr>
          <w:b/>
          <w:sz w:val="24"/>
          <w:szCs w:val="24"/>
        </w:rPr>
      </w:pPr>
    </w:p>
    <w:p w:rsidR="00BB214D" w:rsidRDefault="00BB214D" w:rsidP="00AE42C2">
      <w:pPr>
        <w:ind w:right="91"/>
        <w:rPr>
          <w:b/>
          <w:sz w:val="24"/>
          <w:szCs w:val="24"/>
        </w:rPr>
      </w:pPr>
      <w:r>
        <w:rPr>
          <w:b/>
          <w:sz w:val="24"/>
          <w:szCs w:val="24"/>
        </w:rPr>
        <w:t>Item [1] – After regulation 11.1</w:t>
      </w:r>
    </w:p>
    <w:p w:rsidR="00BB214D" w:rsidRDefault="00BB214D" w:rsidP="00AE42C2">
      <w:pPr>
        <w:ind w:right="91"/>
        <w:rPr>
          <w:b/>
          <w:sz w:val="24"/>
          <w:szCs w:val="24"/>
        </w:rPr>
      </w:pPr>
    </w:p>
    <w:p w:rsidR="00755CC8" w:rsidRDefault="00755CC8" w:rsidP="00AE42C2">
      <w:pPr>
        <w:ind w:right="91"/>
        <w:rPr>
          <w:sz w:val="24"/>
          <w:szCs w:val="24"/>
        </w:rPr>
      </w:pPr>
      <w:r>
        <w:rPr>
          <w:sz w:val="24"/>
          <w:szCs w:val="24"/>
        </w:rPr>
        <w:t xml:space="preserve">Part 11 of the Principal Regulations prescribes relevant matters for carriers’ powers and immunities under Schedule 3 of the </w:t>
      </w:r>
      <w:r>
        <w:rPr>
          <w:i/>
          <w:sz w:val="24"/>
          <w:szCs w:val="24"/>
        </w:rPr>
        <w:t xml:space="preserve">Telecommunications Act 1997 </w:t>
      </w:r>
      <w:r>
        <w:rPr>
          <w:sz w:val="24"/>
          <w:szCs w:val="24"/>
        </w:rPr>
        <w:t>(the Act).</w:t>
      </w:r>
    </w:p>
    <w:p w:rsidR="007F3D1F" w:rsidRDefault="007F3D1F" w:rsidP="00AE42C2">
      <w:pPr>
        <w:ind w:right="91"/>
        <w:rPr>
          <w:sz w:val="24"/>
          <w:szCs w:val="24"/>
        </w:rPr>
      </w:pPr>
    </w:p>
    <w:p w:rsidR="00CA66C3" w:rsidRDefault="00BB214D" w:rsidP="00AE42C2">
      <w:pPr>
        <w:ind w:right="91"/>
        <w:rPr>
          <w:sz w:val="24"/>
          <w:szCs w:val="24"/>
        </w:rPr>
      </w:pPr>
      <w:r>
        <w:rPr>
          <w:sz w:val="24"/>
          <w:szCs w:val="24"/>
        </w:rPr>
        <w:t xml:space="preserve">Item 1 inserts </w:t>
      </w:r>
      <w:r w:rsidR="00CA66C3">
        <w:rPr>
          <w:sz w:val="24"/>
          <w:szCs w:val="24"/>
        </w:rPr>
        <w:t xml:space="preserve">new </w:t>
      </w:r>
      <w:r>
        <w:rPr>
          <w:sz w:val="24"/>
          <w:szCs w:val="24"/>
        </w:rPr>
        <w:t>reg</w:t>
      </w:r>
      <w:r w:rsidR="00755CC8">
        <w:rPr>
          <w:sz w:val="24"/>
          <w:szCs w:val="24"/>
        </w:rPr>
        <w:t>ulation 11.2</w:t>
      </w:r>
      <w:r w:rsidR="00F6450E">
        <w:rPr>
          <w:sz w:val="24"/>
          <w:szCs w:val="24"/>
        </w:rPr>
        <w:t xml:space="preserve"> into the Principal Regulations</w:t>
      </w:r>
      <w:r w:rsidR="00CA66C3">
        <w:rPr>
          <w:sz w:val="24"/>
          <w:szCs w:val="24"/>
        </w:rPr>
        <w:t>.</w:t>
      </w:r>
    </w:p>
    <w:p w:rsidR="00CA66C3" w:rsidRDefault="00CA66C3" w:rsidP="00AE42C2">
      <w:pPr>
        <w:ind w:right="91"/>
        <w:rPr>
          <w:sz w:val="24"/>
          <w:szCs w:val="24"/>
        </w:rPr>
      </w:pPr>
    </w:p>
    <w:p w:rsidR="00C26030" w:rsidRDefault="00CA66C3" w:rsidP="00AE42C2">
      <w:pPr>
        <w:ind w:right="91"/>
        <w:rPr>
          <w:sz w:val="24"/>
          <w:szCs w:val="24"/>
        </w:rPr>
      </w:pPr>
      <w:r>
        <w:rPr>
          <w:sz w:val="24"/>
          <w:szCs w:val="24"/>
        </w:rPr>
        <w:t xml:space="preserve">New regulation 11.2 </w:t>
      </w:r>
      <w:r w:rsidR="00741093">
        <w:rPr>
          <w:sz w:val="24"/>
          <w:szCs w:val="24"/>
        </w:rPr>
        <w:t>specifies</w:t>
      </w:r>
      <w:r>
        <w:rPr>
          <w:sz w:val="24"/>
          <w:szCs w:val="24"/>
        </w:rPr>
        <w:t xml:space="preserve">, </w:t>
      </w:r>
      <w:r w:rsidR="00B56F18">
        <w:rPr>
          <w:sz w:val="24"/>
          <w:szCs w:val="24"/>
        </w:rPr>
        <w:t xml:space="preserve">for the purposes of </w:t>
      </w:r>
      <w:r w:rsidR="009F1290">
        <w:rPr>
          <w:sz w:val="24"/>
          <w:szCs w:val="24"/>
        </w:rPr>
        <w:t>subparagraph 3(b)(ii) of Schedule</w:t>
      </w:r>
      <w:r w:rsidR="000F4ADF">
        <w:rPr>
          <w:sz w:val="24"/>
          <w:szCs w:val="24"/>
        </w:rPr>
        <w:t> </w:t>
      </w:r>
      <w:r w:rsidR="009F1290">
        <w:rPr>
          <w:sz w:val="24"/>
          <w:szCs w:val="24"/>
        </w:rPr>
        <w:t xml:space="preserve">3 to the Act, the distance of </w:t>
      </w:r>
      <w:r w:rsidR="00741093">
        <w:rPr>
          <w:sz w:val="24"/>
          <w:szCs w:val="24"/>
        </w:rPr>
        <w:t>30 mm</w:t>
      </w:r>
      <w:r w:rsidR="009F1290">
        <w:rPr>
          <w:sz w:val="24"/>
          <w:szCs w:val="24"/>
        </w:rPr>
        <w:t>.</w:t>
      </w:r>
      <w:r w:rsidR="00741093">
        <w:rPr>
          <w:sz w:val="24"/>
          <w:szCs w:val="24"/>
        </w:rPr>
        <w:t xml:space="preserve"> </w:t>
      </w:r>
    </w:p>
    <w:p w:rsidR="00C17DFD" w:rsidRDefault="00C17DFD">
      <w:pPr>
        <w:ind w:right="91"/>
      </w:pPr>
    </w:p>
    <w:sectPr w:rsidR="00C17DFD" w:rsidSect="009E3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6E" w:rsidRDefault="0071556E">
      <w:r>
        <w:separator/>
      </w:r>
    </w:p>
  </w:endnote>
  <w:endnote w:type="continuationSeparator" w:id="0">
    <w:p w:rsidR="0071556E" w:rsidRDefault="00715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6E" w:rsidRDefault="007155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6E" w:rsidRDefault="0071556E">
    <w:pPr>
      <w:pStyle w:val="Footer"/>
      <w:jc w:val="center"/>
    </w:pPr>
  </w:p>
  <w:p w:rsidR="0071556E" w:rsidRDefault="007155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6E" w:rsidRDefault="007155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6E" w:rsidRDefault="0071556E">
      <w:r>
        <w:separator/>
      </w:r>
    </w:p>
  </w:footnote>
  <w:footnote w:type="continuationSeparator" w:id="0">
    <w:p w:rsidR="0071556E" w:rsidRDefault="00715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6E" w:rsidRDefault="007155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6E" w:rsidRDefault="0071556E">
    <w:pPr>
      <w:pStyle w:val="Header"/>
    </w:pPr>
    <w:r>
      <w:tab/>
    </w:r>
    <w:r w:rsidR="00994C9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94C9A">
      <w:rPr>
        <w:rStyle w:val="PageNumber"/>
      </w:rPr>
      <w:fldChar w:fldCharType="separate"/>
    </w:r>
    <w:r w:rsidR="009158D6">
      <w:rPr>
        <w:rStyle w:val="PageNumber"/>
        <w:noProof/>
      </w:rPr>
      <w:t>2</w:t>
    </w:r>
    <w:r w:rsidR="00994C9A"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6E" w:rsidRDefault="007155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AFA"/>
    <w:multiLevelType w:val="hybridMultilevel"/>
    <w:tmpl w:val="74CAF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7353"/>
    <w:multiLevelType w:val="hybridMultilevel"/>
    <w:tmpl w:val="EEE20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F297E"/>
    <w:multiLevelType w:val="hybridMultilevel"/>
    <w:tmpl w:val="0D8E5F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0B215FE"/>
    <w:multiLevelType w:val="hybridMultilevel"/>
    <w:tmpl w:val="C9100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156EC"/>
    <w:multiLevelType w:val="hybridMultilevel"/>
    <w:tmpl w:val="C232A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11D29"/>
    <w:multiLevelType w:val="hybridMultilevel"/>
    <w:tmpl w:val="02D60362"/>
    <w:lvl w:ilvl="0" w:tplc="D9D8B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F787D"/>
    <w:multiLevelType w:val="hybridMultilevel"/>
    <w:tmpl w:val="51B88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2C2"/>
    <w:rsid w:val="000023B6"/>
    <w:rsid w:val="00006192"/>
    <w:rsid w:val="00023BBD"/>
    <w:rsid w:val="0002556F"/>
    <w:rsid w:val="00041580"/>
    <w:rsid w:val="0005086D"/>
    <w:rsid w:val="00053A87"/>
    <w:rsid w:val="00060B54"/>
    <w:rsid w:val="00066CAF"/>
    <w:rsid w:val="000835F3"/>
    <w:rsid w:val="000A16F7"/>
    <w:rsid w:val="000A3C54"/>
    <w:rsid w:val="000B03D3"/>
    <w:rsid w:val="000E21DD"/>
    <w:rsid w:val="000F4ADF"/>
    <w:rsid w:val="001317C1"/>
    <w:rsid w:val="00132106"/>
    <w:rsid w:val="001821BA"/>
    <w:rsid w:val="00186C51"/>
    <w:rsid w:val="001932E0"/>
    <w:rsid w:val="001A2D7E"/>
    <w:rsid w:val="001B6D66"/>
    <w:rsid w:val="001C570F"/>
    <w:rsid w:val="001D3DF0"/>
    <w:rsid w:val="001E5557"/>
    <w:rsid w:val="00202CB7"/>
    <w:rsid w:val="002045FD"/>
    <w:rsid w:val="00210E31"/>
    <w:rsid w:val="00216CED"/>
    <w:rsid w:val="002170B7"/>
    <w:rsid w:val="00237424"/>
    <w:rsid w:val="002465C3"/>
    <w:rsid w:val="00247878"/>
    <w:rsid w:val="002512F5"/>
    <w:rsid w:val="002A4D50"/>
    <w:rsid w:val="002C51FA"/>
    <w:rsid w:val="002D5B69"/>
    <w:rsid w:val="002E06A8"/>
    <w:rsid w:val="00313D16"/>
    <w:rsid w:val="00370A56"/>
    <w:rsid w:val="00377775"/>
    <w:rsid w:val="00386263"/>
    <w:rsid w:val="003B4580"/>
    <w:rsid w:val="003B751D"/>
    <w:rsid w:val="003D1430"/>
    <w:rsid w:val="003D1B67"/>
    <w:rsid w:val="003F476F"/>
    <w:rsid w:val="003F693D"/>
    <w:rsid w:val="004310F8"/>
    <w:rsid w:val="0043221E"/>
    <w:rsid w:val="0043256A"/>
    <w:rsid w:val="004700D7"/>
    <w:rsid w:val="004C6A7E"/>
    <w:rsid w:val="004E740D"/>
    <w:rsid w:val="005266B1"/>
    <w:rsid w:val="00551496"/>
    <w:rsid w:val="00555F31"/>
    <w:rsid w:val="0056625E"/>
    <w:rsid w:val="00567288"/>
    <w:rsid w:val="00573CE3"/>
    <w:rsid w:val="005904B4"/>
    <w:rsid w:val="005B1FF2"/>
    <w:rsid w:val="005D3D81"/>
    <w:rsid w:val="005D4AA7"/>
    <w:rsid w:val="00602BCC"/>
    <w:rsid w:val="0062347E"/>
    <w:rsid w:val="00641AED"/>
    <w:rsid w:val="00643A94"/>
    <w:rsid w:val="00656189"/>
    <w:rsid w:val="00672507"/>
    <w:rsid w:val="0067364C"/>
    <w:rsid w:val="0068770C"/>
    <w:rsid w:val="006906BB"/>
    <w:rsid w:val="006A003B"/>
    <w:rsid w:val="006C482E"/>
    <w:rsid w:val="006E775F"/>
    <w:rsid w:val="006E7F8C"/>
    <w:rsid w:val="0071556E"/>
    <w:rsid w:val="00722C63"/>
    <w:rsid w:val="00723D67"/>
    <w:rsid w:val="007240FE"/>
    <w:rsid w:val="007277A2"/>
    <w:rsid w:val="00741093"/>
    <w:rsid w:val="007425EA"/>
    <w:rsid w:val="00745A48"/>
    <w:rsid w:val="00751222"/>
    <w:rsid w:val="00755CC8"/>
    <w:rsid w:val="007800BE"/>
    <w:rsid w:val="007868F2"/>
    <w:rsid w:val="007964C8"/>
    <w:rsid w:val="007979CA"/>
    <w:rsid w:val="007C0E46"/>
    <w:rsid w:val="007C4175"/>
    <w:rsid w:val="007D2671"/>
    <w:rsid w:val="007F0ECE"/>
    <w:rsid w:val="007F3D1F"/>
    <w:rsid w:val="0084498A"/>
    <w:rsid w:val="008539C3"/>
    <w:rsid w:val="008573B3"/>
    <w:rsid w:val="008669DC"/>
    <w:rsid w:val="00877635"/>
    <w:rsid w:val="008917FA"/>
    <w:rsid w:val="008C0AE9"/>
    <w:rsid w:val="008F64A3"/>
    <w:rsid w:val="009158D6"/>
    <w:rsid w:val="009521D3"/>
    <w:rsid w:val="009760E2"/>
    <w:rsid w:val="00992D55"/>
    <w:rsid w:val="00994C9A"/>
    <w:rsid w:val="009A1593"/>
    <w:rsid w:val="009A1611"/>
    <w:rsid w:val="009A18A1"/>
    <w:rsid w:val="009C54C0"/>
    <w:rsid w:val="009D2D73"/>
    <w:rsid w:val="009E3069"/>
    <w:rsid w:val="009E328A"/>
    <w:rsid w:val="009F1290"/>
    <w:rsid w:val="009F3D6D"/>
    <w:rsid w:val="00A00707"/>
    <w:rsid w:val="00A05DD0"/>
    <w:rsid w:val="00AB2DAF"/>
    <w:rsid w:val="00AE42C2"/>
    <w:rsid w:val="00AE4D59"/>
    <w:rsid w:val="00AF2D04"/>
    <w:rsid w:val="00B00384"/>
    <w:rsid w:val="00B33389"/>
    <w:rsid w:val="00B36A36"/>
    <w:rsid w:val="00B52C38"/>
    <w:rsid w:val="00B568FE"/>
    <w:rsid w:val="00B56F18"/>
    <w:rsid w:val="00BA620C"/>
    <w:rsid w:val="00BB214D"/>
    <w:rsid w:val="00BB681A"/>
    <w:rsid w:val="00BE43B2"/>
    <w:rsid w:val="00C17DFD"/>
    <w:rsid w:val="00C26030"/>
    <w:rsid w:val="00C415B2"/>
    <w:rsid w:val="00C56E34"/>
    <w:rsid w:val="00C6129F"/>
    <w:rsid w:val="00C679BB"/>
    <w:rsid w:val="00C92583"/>
    <w:rsid w:val="00CA66C3"/>
    <w:rsid w:val="00CB46A5"/>
    <w:rsid w:val="00D040B9"/>
    <w:rsid w:val="00D123D4"/>
    <w:rsid w:val="00D14406"/>
    <w:rsid w:val="00D414B1"/>
    <w:rsid w:val="00D50E54"/>
    <w:rsid w:val="00D5277C"/>
    <w:rsid w:val="00D5328A"/>
    <w:rsid w:val="00D85050"/>
    <w:rsid w:val="00D867FF"/>
    <w:rsid w:val="00D86A5B"/>
    <w:rsid w:val="00D908AC"/>
    <w:rsid w:val="00DA0AFC"/>
    <w:rsid w:val="00DC5173"/>
    <w:rsid w:val="00DF12AE"/>
    <w:rsid w:val="00E00B35"/>
    <w:rsid w:val="00E00D73"/>
    <w:rsid w:val="00E04F0C"/>
    <w:rsid w:val="00E07DD3"/>
    <w:rsid w:val="00E2528B"/>
    <w:rsid w:val="00E3778F"/>
    <w:rsid w:val="00E762BC"/>
    <w:rsid w:val="00E77FCF"/>
    <w:rsid w:val="00EB50D4"/>
    <w:rsid w:val="00ED1E67"/>
    <w:rsid w:val="00EE09BD"/>
    <w:rsid w:val="00F0453E"/>
    <w:rsid w:val="00F24BF3"/>
    <w:rsid w:val="00F44897"/>
    <w:rsid w:val="00F6450E"/>
    <w:rsid w:val="00F65985"/>
    <w:rsid w:val="00F727EE"/>
    <w:rsid w:val="00FB3A3B"/>
    <w:rsid w:val="00FC2E0D"/>
    <w:rsid w:val="00FC476F"/>
    <w:rsid w:val="00FD14C7"/>
    <w:rsid w:val="00F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C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E42C2"/>
    <w:pPr>
      <w:keepNext/>
      <w:jc w:val="center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C2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AE42C2"/>
    <w:pPr>
      <w:jc w:val="center"/>
    </w:pPr>
    <w:rPr>
      <w:b/>
      <w:sz w:val="24"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rsid w:val="00AE42C2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3">
    <w:name w:val="Body Text 3"/>
    <w:basedOn w:val="Normal"/>
    <w:link w:val="BodyText3Char"/>
    <w:rsid w:val="00AE42C2"/>
    <w:rPr>
      <w:sz w:val="24"/>
      <w:u w:val="single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AE42C2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AE42C2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AE42C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2">
    <w:name w:val="Body Text 2"/>
    <w:basedOn w:val="Normal"/>
    <w:link w:val="BodyText2Char"/>
    <w:rsid w:val="00AE42C2"/>
    <w:rPr>
      <w:snapToGrid w:val="0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E42C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rsid w:val="00AE42C2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AE42C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AE42C2"/>
  </w:style>
  <w:style w:type="character" w:styleId="CommentReference">
    <w:name w:val="annotation reference"/>
    <w:basedOn w:val="DefaultParagraphFont"/>
    <w:rsid w:val="00AE42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2C2"/>
  </w:style>
  <w:style w:type="character" w:customStyle="1" w:styleId="CommentTextChar">
    <w:name w:val="Comment Text Char"/>
    <w:basedOn w:val="DefaultParagraphFont"/>
    <w:link w:val="CommentText"/>
    <w:rsid w:val="00AE42C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AE42C2"/>
    <w:pPr>
      <w:ind w:left="720"/>
    </w:pPr>
  </w:style>
  <w:style w:type="paragraph" w:styleId="Footer">
    <w:name w:val="footer"/>
    <w:basedOn w:val="Normal"/>
    <w:link w:val="FooterChar"/>
    <w:uiPriority w:val="99"/>
    <w:rsid w:val="00AE4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2C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C2"/>
    <w:rPr>
      <w:rFonts w:ascii="Tahoma" w:eastAsia="Times New Roman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F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4F0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4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235E-4C58-4D1A-A993-D1968E49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4977</Characters>
  <Application>Microsoft Office Word</Application>
  <DocSecurity>0</DocSecurity>
  <Lines>184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Mlittle</dc:creator>
  <cp:lastModifiedBy>hilhma</cp:lastModifiedBy>
  <cp:revision>2</cp:revision>
  <cp:lastPrinted>2011-11-14T22:23:00Z</cp:lastPrinted>
  <dcterms:created xsi:type="dcterms:W3CDTF">2011-11-22T05:46:00Z</dcterms:created>
  <dcterms:modified xsi:type="dcterms:W3CDTF">2011-11-22T05:46:00Z</dcterms:modified>
</cp:coreProperties>
</file>