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C3" w:rsidRDefault="00607FC3" w:rsidP="00826B4E">
      <w:pPr>
        <w:pStyle w:val="Heading2"/>
        <w:rPr>
          <w:rFonts w:ascii="Times New Roman" w:hAnsi="Times New Roman"/>
          <w:b/>
          <w:i w:val="0"/>
          <w:kern w:val="0"/>
          <w:sz w:val="24"/>
          <w:lang w:eastAsia="en-A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97.5pt" fillcolor="window">
            <v:imagedata r:id="rId7" o:title=""/>
          </v:shape>
        </w:pict>
      </w:r>
    </w:p>
    <w:p w:rsidR="00607FC3" w:rsidRPr="00A472AB" w:rsidRDefault="00607FC3" w:rsidP="00A472AB">
      <w:pPr>
        <w:pStyle w:val="Heading2"/>
        <w:rPr>
          <w:rFonts w:ascii="Arial" w:hAnsi="Arial"/>
          <w:b/>
          <w:i w:val="0"/>
          <w:sz w:val="40"/>
          <w:szCs w:val="40"/>
        </w:rPr>
      </w:pPr>
      <w:r w:rsidRPr="00A472AB">
        <w:rPr>
          <w:rFonts w:ascii="Arial" w:hAnsi="Arial"/>
          <w:b/>
          <w:i w:val="0"/>
          <w:sz w:val="40"/>
          <w:szCs w:val="40"/>
        </w:rPr>
        <w:t xml:space="preserve">GST-free Supply (Health Goods) Determination 2011  </w:t>
      </w:r>
    </w:p>
    <w:p w:rsidR="00607FC3" w:rsidRDefault="00607FC3">
      <w:pPr>
        <w:spacing w:before="480" w:line="300" w:lineRule="atLeast"/>
        <w:jc w:val="both"/>
      </w:pPr>
      <w:r>
        <w:t xml:space="preserve">I, </w:t>
      </w:r>
      <w:r>
        <w:rPr>
          <w:caps/>
        </w:rPr>
        <w:t xml:space="preserve">Nicola Roxon, </w:t>
      </w:r>
      <w:r>
        <w:t xml:space="preserve">Minister for Health and Ageing, make this Determination under paragraph 177-10(4)(b) of the </w:t>
      </w:r>
      <w:bookmarkStart w:id="0" w:name="Act"/>
      <w:r>
        <w:rPr>
          <w:i/>
        </w:rPr>
        <w:t>A New Tax System (Goods and Services Tax) Act 1999</w:t>
      </w:r>
      <w:bookmarkEnd w:id="0"/>
      <w:r>
        <w:t>.</w:t>
      </w:r>
    </w:p>
    <w:p w:rsidR="00607FC3" w:rsidRDefault="00607FC3">
      <w:pPr>
        <w:tabs>
          <w:tab w:val="center" w:pos="3119"/>
        </w:tabs>
        <w:spacing w:before="300" w:line="300" w:lineRule="atLeast"/>
      </w:pPr>
      <w:r>
        <w:t>Dated             13</w:t>
      </w:r>
      <w:r w:rsidRPr="000E1A54">
        <w:rPr>
          <w:vertAlign w:val="superscript"/>
        </w:rPr>
        <w:t>th</w:t>
      </w:r>
      <w:r>
        <w:t xml:space="preserve"> December</w:t>
      </w:r>
      <w:r>
        <w:tab/>
      </w:r>
      <w:r>
        <w:tab/>
      </w:r>
      <w:r>
        <w:tab/>
        <w:t xml:space="preserve">2011                         </w:t>
      </w:r>
    </w:p>
    <w:p w:rsidR="00607FC3" w:rsidRDefault="00607FC3">
      <w:pPr>
        <w:tabs>
          <w:tab w:val="center" w:pos="3119"/>
        </w:tabs>
        <w:spacing w:before="300" w:line="300" w:lineRule="atLeast"/>
      </w:pPr>
    </w:p>
    <w:p w:rsidR="00607FC3" w:rsidRDefault="00607FC3">
      <w:pPr>
        <w:tabs>
          <w:tab w:val="center" w:pos="3119"/>
        </w:tabs>
        <w:spacing w:before="300" w:line="300" w:lineRule="atLeast"/>
      </w:pPr>
    </w:p>
    <w:p w:rsidR="00607FC3" w:rsidRDefault="00607FC3">
      <w:pPr>
        <w:tabs>
          <w:tab w:val="center" w:pos="3119"/>
        </w:tabs>
        <w:spacing w:before="300" w:line="300" w:lineRule="atLeast"/>
      </w:pPr>
    </w:p>
    <w:p w:rsidR="00607FC3" w:rsidRDefault="00607FC3">
      <w:pPr>
        <w:tabs>
          <w:tab w:val="center" w:pos="3119"/>
        </w:tabs>
        <w:spacing w:before="300" w:line="300" w:lineRule="atLeast"/>
      </w:pPr>
    </w:p>
    <w:p w:rsidR="00607FC3" w:rsidRPr="00A472AB" w:rsidRDefault="00607FC3">
      <w:pPr>
        <w:tabs>
          <w:tab w:val="center" w:pos="3119"/>
        </w:tabs>
        <w:spacing w:before="300" w:line="300" w:lineRule="atLeast"/>
        <w:rPr>
          <w:b/>
        </w:rPr>
      </w:pPr>
      <w:r w:rsidRPr="00A472AB">
        <w:rPr>
          <w:b/>
        </w:rPr>
        <w:t>Nicola Roxon</w:t>
      </w:r>
    </w:p>
    <w:p w:rsidR="00607FC3" w:rsidRDefault="00607FC3">
      <w:pPr>
        <w:pBdr>
          <w:bottom w:val="single" w:sz="6" w:space="1" w:color="auto"/>
        </w:pBdr>
        <w:tabs>
          <w:tab w:val="center" w:pos="3119"/>
        </w:tabs>
        <w:spacing w:line="300" w:lineRule="atLeast"/>
      </w:pPr>
      <w:r>
        <w:t>Minister for Health and Ageing</w:t>
      </w:r>
    </w:p>
    <w:p w:rsidR="00607FC3" w:rsidRDefault="00607FC3">
      <w:pPr>
        <w:pBdr>
          <w:bottom w:val="single" w:sz="6" w:space="1" w:color="auto"/>
        </w:pBdr>
        <w:tabs>
          <w:tab w:val="center" w:pos="3119"/>
        </w:tabs>
        <w:spacing w:line="300" w:lineRule="atLeast"/>
      </w:pPr>
    </w:p>
    <w:p w:rsidR="00607FC3" w:rsidRDefault="00607FC3">
      <w:pPr>
        <w:tabs>
          <w:tab w:val="center" w:pos="3119"/>
        </w:tabs>
        <w:spacing w:line="300" w:lineRule="atLeast"/>
      </w:pPr>
    </w:p>
    <w:p w:rsidR="00607FC3" w:rsidRPr="00197A85" w:rsidRDefault="00607FC3" w:rsidP="00197A85">
      <w:bookmarkStart w:id="1" w:name="_Toc488223293"/>
    </w:p>
    <w:p w:rsidR="00607FC3" w:rsidRPr="00197A85" w:rsidRDefault="00607FC3" w:rsidP="00197A85"/>
    <w:p w:rsidR="00607FC3" w:rsidRPr="00197A85" w:rsidRDefault="00607FC3" w:rsidP="00197A85"/>
    <w:p w:rsidR="00607FC3" w:rsidRPr="00197A85" w:rsidRDefault="00607FC3" w:rsidP="00197A85"/>
    <w:p w:rsidR="00607FC3" w:rsidRPr="00197A85" w:rsidRDefault="00607FC3" w:rsidP="00197A85"/>
    <w:p w:rsidR="00607FC3" w:rsidRPr="00197A85" w:rsidRDefault="00607FC3" w:rsidP="00197A85"/>
    <w:p w:rsidR="00607FC3" w:rsidRPr="00197A85" w:rsidRDefault="00607FC3" w:rsidP="00197A85"/>
    <w:p w:rsidR="00607FC3" w:rsidRPr="00197A85" w:rsidRDefault="00607FC3" w:rsidP="00197A85"/>
    <w:p w:rsidR="00607FC3" w:rsidRPr="00C53E0C" w:rsidRDefault="00607FC3" w:rsidP="00C53E0C">
      <w:pPr>
        <w:rPr>
          <w:lang w:eastAsia="en-US"/>
        </w:rPr>
        <w:sectPr w:rsidR="00607FC3" w:rsidRPr="00C53E0C">
          <w:headerReference w:type="default" r:id="rId8"/>
          <w:footerReference w:type="default" r:id="rId9"/>
          <w:type w:val="continuous"/>
          <w:pgSz w:w="11906" w:h="16838" w:code="9"/>
          <w:pgMar w:top="1440" w:right="1797" w:bottom="1440" w:left="1797" w:header="720" w:footer="720" w:gutter="0"/>
          <w:cols w:space="720"/>
        </w:sectPr>
      </w:pPr>
    </w:p>
    <w:p w:rsidR="00607FC3" w:rsidRDefault="00607FC3">
      <w:pPr>
        <w:pStyle w:val="HR"/>
        <w:pageBreakBefore/>
      </w:pPr>
      <w:r>
        <w:rPr>
          <w:rStyle w:val="CharSectno"/>
        </w:rPr>
        <w:t>1</w:t>
      </w:r>
      <w:r>
        <w:tab/>
        <w:t>Name of Determination</w:t>
      </w:r>
      <w:bookmarkEnd w:id="1"/>
    </w:p>
    <w:p w:rsidR="00607FC3" w:rsidRPr="00826B4E" w:rsidRDefault="00607FC3" w:rsidP="00826B4E">
      <w:pPr>
        <w:pStyle w:val="R1"/>
        <w:rPr>
          <w:iCs/>
        </w:rPr>
      </w:pPr>
      <w:r>
        <w:tab/>
      </w:r>
      <w:r>
        <w:tab/>
        <w:t xml:space="preserve">This determination is the </w:t>
      </w:r>
      <w:r w:rsidRPr="00826B4E">
        <w:rPr>
          <w:i/>
        </w:rPr>
        <w:t>GST-free Supply (</w:t>
      </w:r>
      <w:r>
        <w:rPr>
          <w:i/>
        </w:rPr>
        <w:t>H</w:t>
      </w:r>
      <w:r w:rsidRPr="00826B4E">
        <w:rPr>
          <w:i/>
        </w:rPr>
        <w:t>ealth Goods) Determination 2011</w:t>
      </w:r>
      <w:r>
        <w:rPr>
          <w:i/>
        </w:rPr>
        <w:t>.</w:t>
      </w:r>
    </w:p>
    <w:p w:rsidR="00607FC3" w:rsidRDefault="00607FC3">
      <w:pPr>
        <w:pStyle w:val="HR"/>
      </w:pPr>
      <w:bookmarkStart w:id="2" w:name="_Toc488223294"/>
      <w:r>
        <w:rPr>
          <w:rStyle w:val="CharSectno"/>
        </w:rPr>
        <w:t>2</w:t>
      </w:r>
      <w:r>
        <w:tab/>
        <w:t>Commencement</w:t>
      </w:r>
      <w:bookmarkEnd w:id="2"/>
    </w:p>
    <w:p w:rsidR="00607FC3" w:rsidRDefault="00607FC3">
      <w:pPr>
        <w:pStyle w:val="R1"/>
      </w:pPr>
      <w:r>
        <w:tab/>
      </w:r>
      <w:r>
        <w:tab/>
        <w:t xml:space="preserve">This Determination commences on 31 December 2011.  </w:t>
      </w:r>
    </w:p>
    <w:p w:rsidR="00607FC3" w:rsidRDefault="00607FC3">
      <w:pPr>
        <w:pStyle w:val="HR"/>
        <w:keepNext w:val="0"/>
      </w:pPr>
      <w:bookmarkStart w:id="3" w:name="_Toc488222977"/>
      <w:r>
        <w:rPr>
          <w:rStyle w:val="CharSectno"/>
        </w:rPr>
        <w:t>3</w:t>
      </w:r>
      <w:r>
        <w:tab/>
        <w:t>Definition</w:t>
      </w:r>
      <w:bookmarkEnd w:id="3"/>
    </w:p>
    <w:p w:rsidR="00607FC3" w:rsidRDefault="00607FC3">
      <w:pPr>
        <w:pStyle w:val="R1"/>
      </w:pPr>
      <w:r>
        <w:tab/>
      </w:r>
      <w:r>
        <w:tab/>
        <w:t>In this Determination:</w:t>
      </w:r>
    </w:p>
    <w:p w:rsidR="00607FC3" w:rsidRDefault="00607FC3">
      <w:pPr>
        <w:pStyle w:val="definition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A New Tax System (Goods and Services Tax) Act 1999</w:t>
      </w:r>
      <w:r>
        <w:t xml:space="preserve">. </w:t>
      </w:r>
    </w:p>
    <w:p w:rsidR="00607FC3" w:rsidRDefault="00607FC3">
      <w:pPr>
        <w:pStyle w:val="Note"/>
      </w:pPr>
      <w:r>
        <w:rPr>
          <w:i/>
        </w:rPr>
        <w:t>Note:</w:t>
      </w:r>
      <w:r>
        <w:t>   The following expressions that are used in this Determination are defined in the Act:</w:t>
      </w:r>
    </w:p>
    <w:p w:rsidR="00607FC3" w:rsidRDefault="00607FC3">
      <w:pPr>
        <w:pStyle w:val="Note"/>
        <w:numPr>
          <w:ilvl w:val="0"/>
          <w:numId w:val="1"/>
        </w:numPr>
        <w:tabs>
          <w:tab w:val="clear" w:pos="360"/>
          <w:tab w:val="num" w:pos="1800"/>
        </w:tabs>
        <w:spacing w:before="60"/>
        <w:ind w:left="1800"/>
      </w:pPr>
      <w:r>
        <w:t>GST-free</w:t>
      </w:r>
    </w:p>
    <w:p w:rsidR="00607FC3" w:rsidRDefault="00607FC3">
      <w:pPr>
        <w:pStyle w:val="Note"/>
        <w:numPr>
          <w:ilvl w:val="0"/>
          <w:numId w:val="1"/>
        </w:numPr>
        <w:tabs>
          <w:tab w:val="clear" w:pos="360"/>
          <w:tab w:val="num" w:pos="1800"/>
        </w:tabs>
        <w:spacing w:before="60"/>
        <w:ind w:left="1800"/>
      </w:pPr>
      <w:r>
        <w:t>supply.</w:t>
      </w:r>
    </w:p>
    <w:p w:rsidR="00607FC3" w:rsidRDefault="00607FC3">
      <w:pPr>
        <w:pStyle w:val="Note"/>
        <w:spacing w:before="60"/>
        <w:ind w:left="0"/>
        <w:rPr>
          <w:sz w:val="24"/>
        </w:rPr>
      </w:pPr>
    </w:p>
    <w:p w:rsidR="00607FC3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  <w:r>
        <w:rPr>
          <w:sz w:val="24"/>
        </w:rPr>
        <w:tab/>
      </w:r>
      <w:r>
        <w:rPr>
          <w:b/>
          <w:i/>
          <w:sz w:val="24"/>
        </w:rPr>
        <w:t>Australian Register of Therapeutic Goods</w:t>
      </w:r>
      <w:r>
        <w:rPr>
          <w:sz w:val="24"/>
        </w:rPr>
        <w:t xml:space="preserve"> means the register established under section 9A of the </w:t>
      </w:r>
      <w:r>
        <w:rPr>
          <w:i/>
          <w:sz w:val="24"/>
        </w:rPr>
        <w:t>Therapeutic Goods Act 1989</w:t>
      </w:r>
      <w:r>
        <w:rPr>
          <w:sz w:val="24"/>
        </w:rPr>
        <w:t>.</w:t>
      </w:r>
    </w:p>
    <w:p w:rsidR="00607FC3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</w:p>
    <w:p w:rsidR="00607FC3" w:rsidRPr="003029E7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  <w:r>
        <w:rPr>
          <w:sz w:val="24"/>
        </w:rPr>
        <w:tab/>
      </w:r>
      <w:r w:rsidRPr="009A61B4">
        <w:rPr>
          <w:b/>
          <w:i/>
          <w:sz w:val="24"/>
        </w:rPr>
        <w:t>C</w:t>
      </w:r>
      <w:r w:rsidRPr="003029E7">
        <w:rPr>
          <w:b/>
          <w:i/>
          <w:sz w:val="24"/>
        </w:rPr>
        <w:t>urrent Poisons Standard</w:t>
      </w:r>
      <w:r>
        <w:rPr>
          <w:sz w:val="24"/>
        </w:rPr>
        <w:t xml:space="preserve"> has the same meaning as in section 52A of the </w:t>
      </w:r>
      <w:r w:rsidRPr="003029E7">
        <w:rPr>
          <w:i/>
          <w:sz w:val="24"/>
        </w:rPr>
        <w:t>Therapeutic Goods Act 1989</w:t>
      </w:r>
      <w:r>
        <w:rPr>
          <w:sz w:val="24"/>
        </w:rPr>
        <w:t>.</w:t>
      </w:r>
    </w:p>
    <w:p w:rsidR="00607FC3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</w:p>
    <w:p w:rsidR="00607FC3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  <w:r>
        <w:rPr>
          <w:sz w:val="24"/>
        </w:rPr>
        <w:tab/>
      </w:r>
      <w:r w:rsidRPr="009A61B4">
        <w:rPr>
          <w:b/>
          <w:i/>
          <w:sz w:val="24"/>
        </w:rPr>
        <w:t>O</w:t>
      </w:r>
      <w:r>
        <w:rPr>
          <w:b/>
          <w:i/>
          <w:sz w:val="24"/>
        </w:rPr>
        <w:t xml:space="preserve">romucosal use </w:t>
      </w:r>
      <w:r w:rsidRPr="009F50C6">
        <w:rPr>
          <w:sz w:val="24"/>
        </w:rPr>
        <w:t>has</w:t>
      </w:r>
      <w:r>
        <w:rPr>
          <w:sz w:val="24"/>
        </w:rPr>
        <w:t xml:space="preserve"> the same meaning as in the current Poisons Standard.</w:t>
      </w:r>
    </w:p>
    <w:p w:rsidR="00607FC3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</w:p>
    <w:p w:rsidR="00607FC3" w:rsidRDefault="00607FC3">
      <w:pPr>
        <w:pStyle w:val="Note"/>
        <w:tabs>
          <w:tab w:val="clear" w:pos="1560"/>
          <w:tab w:val="left" w:pos="993"/>
        </w:tabs>
        <w:spacing w:before="60"/>
        <w:ind w:left="993" w:hanging="993"/>
        <w:rPr>
          <w:sz w:val="24"/>
        </w:rPr>
      </w:pPr>
      <w:r>
        <w:rPr>
          <w:b/>
          <w:i/>
          <w:sz w:val="24"/>
        </w:rPr>
        <w:tab/>
        <w:t xml:space="preserve">Transdermal use </w:t>
      </w:r>
      <w:r>
        <w:rPr>
          <w:sz w:val="24"/>
        </w:rPr>
        <w:t xml:space="preserve">has the same meaning as in the current Poisons Standard. </w:t>
      </w:r>
    </w:p>
    <w:p w:rsidR="00607FC3" w:rsidRDefault="00607FC3">
      <w:pPr>
        <w:pStyle w:val="HR"/>
        <w:keepNext w:val="0"/>
      </w:pPr>
      <w:bookmarkStart w:id="4" w:name="_Toc488222978"/>
      <w:r>
        <w:rPr>
          <w:rStyle w:val="CharSectno"/>
        </w:rPr>
        <w:t>4</w:t>
      </w:r>
      <w:r>
        <w:tab/>
        <w:t>GST-free supplies</w:t>
      </w:r>
      <w:bookmarkEnd w:id="4"/>
    </w:p>
    <w:p w:rsidR="00607FC3" w:rsidRDefault="00607FC3">
      <w:pPr>
        <w:pStyle w:val="R1"/>
      </w:pPr>
      <w:r>
        <w:tab/>
      </w:r>
      <w:r>
        <w:tab/>
        <w:t xml:space="preserve">For the purposes of subsection 38-47(1) of the Act, the supply of goods of the kind described in an item in Schedule 1 is GST-free if, under the </w:t>
      </w:r>
      <w:r>
        <w:rPr>
          <w:i/>
        </w:rPr>
        <w:t>Therapeutic Goods Act 1989</w:t>
      </w:r>
      <w:r>
        <w:t>, the goods are required to be included in the Australian Register of Therapeutic Goods, or are goods in a class of goods required to be included in the Australian Register of Therapeutic Goods.</w:t>
      </w:r>
    </w:p>
    <w:p w:rsidR="00607FC3" w:rsidRDefault="00607FC3">
      <w:pPr>
        <w:pStyle w:val="HR"/>
        <w:keepNext w:val="0"/>
        <w:rPr>
          <w:i/>
        </w:rPr>
      </w:pPr>
      <w:bookmarkStart w:id="5" w:name="_Toc488222979"/>
      <w:r>
        <w:rPr>
          <w:rStyle w:val="CharSectno"/>
        </w:rPr>
        <w:t>5</w:t>
      </w:r>
      <w:r>
        <w:tab/>
        <w:t xml:space="preserve">Revocation of </w:t>
      </w:r>
      <w:r>
        <w:rPr>
          <w:i/>
        </w:rPr>
        <w:t>GST-free Supply (Health Goods) Determination 200</w:t>
      </w:r>
      <w:bookmarkEnd w:id="5"/>
      <w:r>
        <w:rPr>
          <w:i/>
        </w:rPr>
        <w:t>5</w:t>
      </w:r>
    </w:p>
    <w:p w:rsidR="00607FC3" w:rsidRDefault="00607FC3">
      <w:pPr>
        <w:pStyle w:val="R1"/>
      </w:pPr>
      <w:r>
        <w:tab/>
      </w:r>
      <w:r>
        <w:tab/>
        <w:t xml:space="preserve">The </w:t>
      </w:r>
      <w:r>
        <w:rPr>
          <w:i/>
        </w:rPr>
        <w:t>GST-free Supply (Health Goods) Determination 2005</w:t>
      </w:r>
      <w:r>
        <w:t xml:space="preserve"> is revoked from 31 December 2011.</w:t>
      </w:r>
    </w:p>
    <w:p w:rsidR="00607FC3" w:rsidRDefault="00607FC3">
      <w:pPr>
        <w:pStyle w:val="TextWOutChapSectionBreak"/>
        <w:sectPr w:rsidR="00607FC3" w:rsidSect="006B31D9">
          <w:footerReference w:type="default" r:id="rId10"/>
          <w:pgSz w:w="11906" w:h="16838" w:code="9"/>
          <w:pgMar w:top="1440" w:right="1797" w:bottom="1440" w:left="1797" w:header="720" w:footer="720" w:gutter="0"/>
          <w:cols w:space="720"/>
        </w:sectPr>
      </w:pPr>
    </w:p>
    <w:p w:rsidR="00607FC3" w:rsidRDefault="00607FC3">
      <w:pPr>
        <w:pStyle w:val="Scheduletitle"/>
      </w:pPr>
      <w:bookmarkStart w:id="6" w:name="_Toc488222980"/>
      <w:r>
        <w:rPr>
          <w:rStyle w:val="CharAmSchNo"/>
        </w:rPr>
        <w:t>Schedule 1</w:t>
      </w:r>
      <w:r>
        <w:tab/>
      </w:r>
      <w:r>
        <w:rPr>
          <w:rStyle w:val="CharAmSchText"/>
        </w:rPr>
        <w:t>Health goods the supply of which may be GST-free</w:t>
      </w:r>
      <w:bookmarkEnd w:id="6"/>
    </w:p>
    <w:p w:rsidR="00607FC3" w:rsidRDefault="00607FC3">
      <w:pPr>
        <w:pStyle w:val="Header"/>
      </w:pPr>
    </w:p>
    <w:p w:rsidR="00607FC3" w:rsidRDefault="00607F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513"/>
      </w:tblGrid>
      <w:tr w:rsidR="00607FC3"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607FC3" w:rsidRDefault="00607FC3">
            <w:pPr>
              <w:pStyle w:val="TableColHead"/>
              <w:spacing w:after="60"/>
              <w:rPr>
                <w:sz w:val="22"/>
              </w:rPr>
            </w:pPr>
            <w:r>
              <w:rPr>
                <w:sz w:val="22"/>
              </w:rPr>
              <w:t>Item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607FC3" w:rsidRDefault="00607FC3">
            <w:pPr>
              <w:pStyle w:val="TableColHead"/>
              <w:spacing w:after="60"/>
              <w:rPr>
                <w:sz w:val="22"/>
              </w:rPr>
            </w:pPr>
            <w:r>
              <w:rPr>
                <w:sz w:val="22"/>
              </w:rPr>
              <w:t>Health goods</w:t>
            </w:r>
          </w:p>
        </w:tc>
      </w:tr>
      <w:tr w:rsidR="00607FC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Condoms</w:t>
            </w:r>
          </w:p>
        </w:tc>
      </w:tr>
      <w:tr w:rsidR="00607FC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Barrier dams, femidoms and harness devices</w:t>
            </w:r>
          </w:p>
        </w:tc>
      </w:tr>
      <w:tr w:rsidR="00607FC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  <w:spacing w:before="60"/>
            </w:pPr>
            <w:r>
              <w:t>Personal and surgical lubricants that:</w:t>
            </w:r>
          </w:p>
          <w:p w:rsidR="00607FC3" w:rsidRDefault="00607FC3">
            <w:pPr>
              <w:pStyle w:val="TableText"/>
              <w:spacing w:before="60"/>
            </w:pPr>
            <w:r>
              <w:t>(a)</w:t>
            </w:r>
            <w:r>
              <w:tab/>
              <w:t>are water-soluble; and</w:t>
            </w:r>
          </w:p>
          <w:p w:rsidR="00607FC3" w:rsidRDefault="00607FC3">
            <w:pPr>
              <w:pStyle w:val="TableText"/>
              <w:spacing w:before="60"/>
            </w:pPr>
            <w:r>
              <w:t>(b)</w:t>
            </w:r>
            <w:r>
              <w:tab/>
              <w:t>are suitable for use with condoms</w:t>
            </w:r>
          </w:p>
        </w:tc>
      </w:tr>
      <w:tr w:rsidR="00607FC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  <w:spacing w:before="60"/>
            </w:pPr>
            <w:r>
              <w:t>Preparations for use by humans:</w:t>
            </w:r>
          </w:p>
          <w:p w:rsidR="00607FC3" w:rsidRDefault="00607FC3">
            <w:pPr>
              <w:pStyle w:val="TableText"/>
              <w:numPr>
                <w:ilvl w:val="0"/>
                <w:numId w:val="9"/>
              </w:numPr>
              <w:spacing w:before="60"/>
            </w:pPr>
            <w:r>
              <w:t>that contain folic acid as a single active ingredient; and</w:t>
            </w:r>
          </w:p>
          <w:p w:rsidR="00607FC3" w:rsidRDefault="00607FC3">
            <w:pPr>
              <w:pStyle w:val="TableText"/>
              <w:numPr>
                <w:ilvl w:val="0"/>
                <w:numId w:val="9"/>
              </w:numPr>
              <w:spacing w:before="60"/>
            </w:pPr>
            <w:r>
              <w:t>have a recommended daily dose of 400 to 500 micrograms</w:t>
            </w:r>
          </w:p>
        </w:tc>
      </w:tr>
      <w:tr w:rsidR="00607FC3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5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Sunscreen preparations for dermal application that:</w:t>
            </w:r>
          </w:p>
          <w:p w:rsidR="00607FC3" w:rsidRDefault="00607FC3">
            <w:pPr>
              <w:pStyle w:val="TableText"/>
              <w:spacing w:before="60"/>
            </w:pPr>
            <w:r>
              <w:t>(a)</w:t>
            </w:r>
            <w:r>
              <w:tab/>
              <w:t>are marketed principally for use as sunscreen; and</w:t>
            </w:r>
          </w:p>
          <w:p w:rsidR="00607FC3" w:rsidRDefault="00607FC3">
            <w:pPr>
              <w:pStyle w:val="TableText"/>
              <w:spacing w:before="60" w:after="60"/>
            </w:pPr>
            <w:r>
              <w:t>(b)</w:t>
            </w:r>
            <w:r>
              <w:tab/>
              <w:t>have a sun protection factor rating of 15 or more</w:t>
            </w:r>
          </w:p>
        </w:tc>
      </w:tr>
      <w:tr w:rsidR="00607FC3"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607FC3" w:rsidRDefault="00607FC3">
            <w:pPr>
              <w:pStyle w:val="TableText"/>
            </w:pPr>
            <w:r>
              <w:t>6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607FC3" w:rsidRPr="008E78CF" w:rsidRDefault="00607FC3">
            <w:pPr>
              <w:rPr>
                <w:szCs w:val="22"/>
              </w:rPr>
            </w:pPr>
            <w:r w:rsidRPr="00A84BDC">
              <w:rPr>
                <w:sz w:val="22"/>
                <w:szCs w:val="22"/>
              </w:rPr>
              <w:t>Nicotine for use as an aid in withdrawal from tobacco smoking where</w:t>
            </w:r>
            <w:r>
              <w:rPr>
                <w:sz w:val="22"/>
                <w:szCs w:val="22"/>
              </w:rPr>
              <w:t xml:space="preserve"> the nicotine is administered in preparations for transdermal or oromucosal use</w:t>
            </w:r>
          </w:p>
        </w:tc>
      </w:tr>
    </w:tbl>
    <w:p w:rsidR="00607FC3" w:rsidRDefault="00607FC3"/>
    <w:p w:rsidR="00607FC3" w:rsidRDefault="00607FC3"/>
    <w:p w:rsidR="00607FC3" w:rsidRDefault="00607FC3">
      <w:pPr>
        <w:pStyle w:val="SigningPageBreak"/>
        <w:spacing w:line="240" w:lineRule="auto"/>
      </w:pPr>
    </w:p>
    <w:p w:rsidR="00607FC3" w:rsidRDefault="00607FC3">
      <w:pPr>
        <w:rPr>
          <w:sz w:val="20"/>
        </w:rPr>
      </w:pPr>
    </w:p>
    <w:sectPr w:rsidR="00607FC3" w:rsidSect="00457972">
      <w:headerReference w:type="even" r:id="rId11"/>
      <w:headerReference w:type="default" r:id="rId12"/>
      <w:footerReference w:type="default" r:id="rId13"/>
      <w:type w:val="continuous"/>
      <w:pgSz w:w="11906" w:h="16838" w:code="9"/>
      <w:pgMar w:top="-1985" w:right="2410" w:bottom="-3969" w:left="2410" w:header="567" w:footer="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FC3" w:rsidRDefault="00607FC3">
      <w:r>
        <w:separator/>
      </w:r>
    </w:p>
  </w:endnote>
  <w:endnote w:type="continuationSeparator" w:id="0">
    <w:p w:rsidR="00607FC3" w:rsidRDefault="0060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 Garde">
    <w:altName w:val="Century Gothic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C3" w:rsidRDefault="00607FC3" w:rsidP="006B31D9">
    <w:pPr>
      <w:pStyle w:val="Footer"/>
      <w:jc w:val="center"/>
      <w:rPr>
        <w:sz w:val="20"/>
      </w:rPr>
    </w:pPr>
  </w:p>
  <w:p w:rsidR="00607FC3" w:rsidRDefault="00607F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C3" w:rsidRDefault="00607FC3" w:rsidP="006B31D9">
    <w:pPr>
      <w:pStyle w:val="Footer"/>
      <w:jc w:val="center"/>
      <w:rPr>
        <w:i/>
        <w:sz w:val="20"/>
      </w:rPr>
    </w:pPr>
    <w:r>
      <w:rPr>
        <w:i/>
        <w:sz w:val="20"/>
      </w:rPr>
      <w:t xml:space="preserve">1    --------------------------------------------------------------------------------    </w:t>
    </w:r>
  </w:p>
  <w:p w:rsidR="00607FC3" w:rsidRDefault="00607FC3" w:rsidP="006B31D9">
    <w:pPr>
      <w:pStyle w:val="Footer"/>
      <w:jc w:val="center"/>
      <w:rPr>
        <w:sz w:val="20"/>
      </w:rPr>
    </w:pPr>
    <w:r>
      <w:rPr>
        <w:i/>
        <w:sz w:val="20"/>
      </w:rPr>
      <w:t>GST-free Supply (Health Goods) Determination</w:t>
    </w:r>
  </w:p>
  <w:p w:rsidR="00607FC3" w:rsidRDefault="00607F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FC3" w:rsidRDefault="00607FC3">
    <w:pPr>
      <w:pStyle w:val="Footer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    </w:t>
    </w:r>
    <w:r>
      <w:rPr>
        <w:rStyle w:val="PageNumber"/>
        <w:sz w:val="20"/>
      </w:rPr>
      <w:t>2</w:t>
    </w:r>
  </w:p>
  <w:p w:rsidR="00607FC3" w:rsidRDefault="00607FC3">
    <w:pPr>
      <w:pStyle w:val="Footer"/>
      <w:jc w:val="center"/>
      <w:rPr>
        <w:sz w:val="20"/>
      </w:rPr>
    </w:pPr>
    <w:r>
      <w:rPr>
        <w:i/>
        <w:sz w:val="20"/>
      </w:rPr>
      <w:t>GST-free Supply (Health Goods) Determination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FC3" w:rsidRDefault="00607FC3">
      <w:r>
        <w:separator/>
      </w:r>
    </w:p>
  </w:footnote>
  <w:footnote w:type="continuationSeparator" w:id="0">
    <w:p w:rsidR="00607FC3" w:rsidRDefault="0060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6804"/>
      <w:gridCol w:w="1531"/>
    </w:tblGrid>
    <w:tr w:rsidR="00607FC3">
      <w:trPr>
        <w:jc w:val="center"/>
      </w:trPr>
      <w:tc>
        <w:tcPr>
          <w:tcW w:w="6804" w:type="dxa"/>
        </w:tcPr>
        <w:p w:rsidR="00607FC3" w:rsidRDefault="00607FC3">
          <w:pPr>
            <w:pStyle w:val="HeaderLiteOdd"/>
          </w:pPr>
        </w:p>
      </w:tc>
      <w:tc>
        <w:tcPr>
          <w:tcW w:w="1531" w:type="dxa"/>
        </w:tcPr>
        <w:p w:rsidR="00607FC3" w:rsidRDefault="00607FC3">
          <w:pPr>
            <w:pStyle w:val="HeaderLiteOdd"/>
          </w:pPr>
        </w:p>
      </w:tc>
    </w:tr>
    <w:tr w:rsidR="00607FC3">
      <w:trPr>
        <w:jc w:val="center"/>
      </w:trPr>
      <w:tc>
        <w:tcPr>
          <w:tcW w:w="6804" w:type="dxa"/>
        </w:tcPr>
        <w:p w:rsidR="00607FC3" w:rsidRDefault="00607FC3">
          <w:pPr>
            <w:pStyle w:val="HeaderLiteOdd"/>
          </w:pPr>
        </w:p>
      </w:tc>
      <w:tc>
        <w:tcPr>
          <w:tcW w:w="1531" w:type="dxa"/>
        </w:tcPr>
        <w:p w:rsidR="00607FC3" w:rsidRDefault="00607FC3">
          <w:pPr>
            <w:pStyle w:val="HeaderLiteOdd"/>
          </w:pPr>
        </w:p>
      </w:tc>
    </w:tr>
    <w:tr w:rsidR="00607FC3">
      <w:trPr>
        <w:cantSplit/>
        <w:jc w:val="center"/>
      </w:trPr>
      <w:tc>
        <w:tcPr>
          <w:tcW w:w="8335" w:type="dxa"/>
          <w:gridSpan w:val="2"/>
          <w:tcBorders>
            <w:bottom w:val="single" w:sz="4" w:space="0" w:color="auto"/>
          </w:tcBorders>
        </w:tcPr>
        <w:p w:rsidR="00607FC3" w:rsidRDefault="00607FC3">
          <w:pPr>
            <w:pStyle w:val="HeaderLiteOdd"/>
            <w:spacing w:before="120" w:after="60"/>
          </w:pPr>
        </w:p>
      </w:tc>
    </w:tr>
  </w:tbl>
  <w:p w:rsidR="00607FC3" w:rsidRDefault="00607F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80" w:type="dxa"/>
        <w:right w:w="80" w:type="dxa"/>
      </w:tblCellMar>
      <w:tblLook w:val="0000"/>
    </w:tblPr>
    <w:tblGrid>
      <w:gridCol w:w="611"/>
      <w:gridCol w:w="5609"/>
      <w:gridCol w:w="851"/>
    </w:tblGrid>
    <w:tr w:rsidR="00607FC3">
      <w:trPr>
        <w:cantSplit/>
      </w:trPr>
      <w:tc>
        <w:tcPr>
          <w:tcW w:w="851" w:type="dxa"/>
        </w:tcPr>
        <w:p w:rsidR="00607FC3" w:rsidRDefault="00607FC3">
          <w:pPr>
            <w:widowControl w:val="0"/>
          </w:pPr>
          <w:r>
            <w:pgNum/>
          </w:r>
        </w:p>
      </w:tc>
      <w:tc>
        <w:tcPr>
          <w:tcW w:w="5609" w:type="dxa"/>
        </w:tcPr>
        <w:p w:rsidR="00607FC3" w:rsidRDefault="00607FC3">
          <w:pPr>
            <w:widowControl w:val="0"/>
            <w:jc w:val="center"/>
            <w:rPr>
              <w:i/>
            </w:rPr>
          </w:pPr>
          <w:r>
            <w:rPr>
              <w:i/>
            </w:rPr>
            <w:fldChar w:fldCharType="begin"/>
          </w:r>
          <w:r>
            <w:rPr>
              <w:i/>
            </w:rPr>
            <w:instrText xml:space="preserve"> REF citation \* charFORMAT </w:instrText>
          </w:r>
          <w:r>
            <w:rPr>
              <w:i/>
            </w:rPr>
            <w:fldChar w:fldCharType="separate"/>
          </w:r>
          <w:r>
            <w:rPr>
              <w:b/>
              <w:bCs/>
              <w:i/>
              <w:lang w:val="en-US"/>
            </w:rPr>
            <w:t>Error! Reference source not found.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   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REF year \* charFORMAT </w:instrText>
          </w:r>
          <w:r>
            <w:rPr>
              <w:i/>
            </w:rPr>
            <w:fldChar w:fldCharType="separate"/>
          </w:r>
          <w:r>
            <w:rPr>
              <w:b/>
              <w:bCs/>
              <w:i/>
              <w:lang w:val="en-US"/>
            </w:rPr>
            <w:t>Error! Reference source not found.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 No. </w:t>
          </w:r>
        </w:p>
      </w:tc>
      <w:tc>
        <w:tcPr>
          <w:tcW w:w="851" w:type="dxa"/>
        </w:tcPr>
        <w:p w:rsidR="00607FC3" w:rsidRDefault="00607FC3">
          <w:pPr>
            <w:widowControl w:val="0"/>
            <w:jc w:val="right"/>
          </w:pPr>
        </w:p>
      </w:tc>
    </w:tr>
  </w:tbl>
  <w:p w:rsidR="00607FC3" w:rsidRDefault="00607FC3">
    <w:pPr>
      <w:widowControl w:val="0"/>
      <w:tabs>
        <w:tab w:val="center" w:pos="3629"/>
        <w:tab w:val="right" w:pos="725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9" w:type="dxa"/>
        <w:right w:w="79" w:type="dxa"/>
      </w:tblCellMar>
      <w:tblLook w:val="0000"/>
    </w:tblPr>
    <w:tblGrid>
      <w:gridCol w:w="772"/>
      <w:gridCol w:w="7308"/>
      <w:gridCol w:w="851"/>
    </w:tblGrid>
    <w:tr w:rsidR="00607FC3">
      <w:trPr>
        <w:cantSplit/>
      </w:trPr>
      <w:tc>
        <w:tcPr>
          <w:tcW w:w="851" w:type="dxa"/>
        </w:tcPr>
        <w:p w:rsidR="00607FC3" w:rsidRDefault="00607FC3">
          <w:pPr>
            <w:pStyle w:val="SigningPageBreak"/>
            <w:widowControl w:val="0"/>
            <w:spacing w:line="240" w:lineRule="auto"/>
          </w:pPr>
        </w:p>
      </w:tc>
      <w:tc>
        <w:tcPr>
          <w:tcW w:w="7308" w:type="dxa"/>
        </w:tcPr>
        <w:p w:rsidR="00607FC3" w:rsidRDefault="00607FC3">
          <w:pPr>
            <w:widowControl w:val="0"/>
            <w:jc w:val="center"/>
            <w:rPr>
              <w:i/>
            </w:rPr>
          </w:pPr>
        </w:p>
      </w:tc>
      <w:tc>
        <w:tcPr>
          <w:tcW w:w="851" w:type="dxa"/>
        </w:tcPr>
        <w:p w:rsidR="00607FC3" w:rsidRDefault="00607FC3">
          <w:pPr>
            <w:widowControl w:val="0"/>
            <w:jc w:val="right"/>
          </w:pPr>
        </w:p>
      </w:tc>
    </w:tr>
  </w:tbl>
  <w:p w:rsidR="00607FC3" w:rsidRDefault="00607FC3" w:rsidP="006F7712">
    <w:pPr>
      <w:widowControl w:val="0"/>
      <w:tabs>
        <w:tab w:val="center" w:pos="3629"/>
        <w:tab w:val="right" w:pos="725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287"/>
    <w:multiLevelType w:val="singleLevel"/>
    <w:tmpl w:val="1058529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14AA6D54"/>
    <w:multiLevelType w:val="singleLevel"/>
    <w:tmpl w:val="E196F30A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2">
    <w:nsid w:val="1CD41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FA4F4E"/>
    <w:multiLevelType w:val="singleLevel"/>
    <w:tmpl w:val="56464550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D042D29"/>
    <w:multiLevelType w:val="singleLevel"/>
    <w:tmpl w:val="54ACC64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7821077"/>
    <w:multiLevelType w:val="singleLevel"/>
    <w:tmpl w:val="B876066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4A915134"/>
    <w:multiLevelType w:val="singleLevel"/>
    <w:tmpl w:val="1ABAB15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7">
    <w:nsid w:val="5F3826FA"/>
    <w:multiLevelType w:val="singleLevel"/>
    <w:tmpl w:val="FD00A850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8">
    <w:nsid w:val="68597B83"/>
    <w:multiLevelType w:val="singleLevel"/>
    <w:tmpl w:val="53345422"/>
    <w:lvl w:ilvl="0">
      <w:start w:val="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5A7"/>
    <w:rsid w:val="0000148F"/>
    <w:rsid w:val="00005E37"/>
    <w:rsid w:val="00020AA4"/>
    <w:rsid w:val="000417BD"/>
    <w:rsid w:val="00045D17"/>
    <w:rsid w:val="00054431"/>
    <w:rsid w:val="00061C37"/>
    <w:rsid w:val="000A77AC"/>
    <w:rsid w:val="000C576E"/>
    <w:rsid w:val="000D6C37"/>
    <w:rsid w:val="000E1A54"/>
    <w:rsid w:val="00102371"/>
    <w:rsid w:val="00145AB3"/>
    <w:rsid w:val="00154E39"/>
    <w:rsid w:val="00195A4F"/>
    <w:rsid w:val="00197A85"/>
    <w:rsid w:val="001B0DFF"/>
    <w:rsid w:val="001B7C34"/>
    <w:rsid w:val="001C1939"/>
    <w:rsid w:val="001D0523"/>
    <w:rsid w:val="001D5206"/>
    <w:rsid w:val="00232D53"/>
    <w:rsid w:val="00245167"/>
    <w:rsid w:val="00246884"/>
    <w:rsid w:val="00281DCF"/>
    <w:rsid w:val="002857F4"/>
    <w:rsid w:val="002A7434"/>
    <w:rsid w:val="002D1118"/>
    <w:rsid w:val="002F2836"/>
    <w:rsid w:val="003029E7"/>
    <w:rsid w:val="003129DD"/>
    <w:rsid w:val="00366FF4"/>
    <w:rsid w:val="003E75A7"/>
    <w:rsid w:val="00431969"/>
    <w:rsid w:val="00457972"/>
    <w:rsid w:val="0047769D"/>
    <w:rsid w:val="00496C0E"/>
    <w:rsid w:val="004B6208"/>
    <w:rsid w:val="004C27F3"/>
    <w:rsid w:val="004F3D4B"/>
    <w:rsid w:val="004F493A"/>
    <w:rsid w:val="005106B9"/>
    <w:rsid w:val="00516051"/>
    <w:rsid w:val="00544B74"/>
    <w:rsid w:val="005608F8"/>
    <w:rsid w:val="005609AC"/>
    <w:rsid w:val="005948D4"/>
    <w:rsid w:val="005960D1"/>
    <w:rsid w:val="005A2B6F"/>
    <w:rsid w:val="005A4FA0"/>
    <w:rsid w:val="005B3346"/>
    <w:rsid w:val="00607FC3"/>
    <w:rsid w:val="00611551"/>
    <w:rsid w:val="00646D88"/>
    <w:rsid w:val="00656003"/>
    <w:rsid w:val="00657243"/>
    <w:rsid w:val="0066042D"/>
    <w:rsid w:val="006B31D9"/>
    <w:rsid w:val="006C4A13"/>
    <w:rsid w:val="006F7712"/>
    <w:rsid w:val="00727510"/>
    <w:rsid w:val="00732B7F"/>
    <w:rsid w:val="00735025"/>
    <w:rsid w:val="007A0644"/>
    <w:rsid w:val="007A43F7"/>
    <w:rsid w:val="007C1248"/>
    <w:rsid w:val="007D6FE8"/>
    <w:rsid w:val="008056F3"/>
    <w:rsid w:val="008102DE"/>
    <w:rsid w:val="00826B4E"/>
    <w:rsid w:val="00827917"/>
    <w:rsid w:val="00835BCA"/>
    <w:rsid w:val="008B7410"/>
    <w:rsid w:val="008E78CF"/>
    <w:rsid w:val="00917EA1"/>
    <w:rsid w:val="00921BA7"/>
    <w:rsid w:val="00932786"/>
    <w:rsid w:val="00950FF7"/>
    <w:rsid w:val="009A203F"/>
    <w:rsid w:val="009A61B4"/>
    <w:rsid w:val="009C6043"/>
    <w:rsid w:val="009D0828"/>
    <w:rsid w:val="009F50C6"/>
    <w:rsid w:val="00A04238"/>
    <w:rsid w:val="00A272FA"/>
    <w:rsid w:val="00A472AB"/>
    <w:rsid w:val="00A835FD"/>
    <w:rsid w:val="00A84BDC"/>
    <w:rsid w:val="00AB3387"/>
    <w:rsid w:val="00B179B0"/>
    <w:rsid w:val="00B2334C"/>
    <w:rsid w:val="00B61073"/>
    <w:rsid w:val="00B76711"/>
    <w:rsid w:val="00B775AE"/>
    <w:rsid w:val="00BB36B3"/>
    <w:rsid w:val="00BB7E01"/>
    <w:rsid w:val="00C008FA"/>
    <w:rsid w:val="00C0230F"/>
    <w:rsid w:val="00C135E5"/>
    <w:rsid w:val="00C40D6B"/>
    <w:rsid w:val="00C428DC"/>
    <w:rsid w:val="00C4550A"/>
    <w:rsid w:val="00C53E0C"/>
    <w:rsid w:val="00C7353F"/>
    <w:rsid w:val="00C96708"/>
    <w:rsid w:val="00CB1F69"/>
    <w:rsid w:val="00CB421B"/>
    <w:rsid w:val="00CF29B5"/>
    <w:rsid w:val="00CF4463"/>
    <w:rsid w:val="00D96814"/>
    <w:rsid w:val="00DB087D"/>
    <w:rsid w:val="00DC20ED"/>
    <w:rsid w:val="00DC4985"/>
    <w:rsid w:val="00DE3292"/>
    <w:rsid w:val="00DF587A"/>
    <w:rsid w:val="00E00533"/>
    <w:rsid w:val="00E04EC5"/>
    <w:rsid w:val="00E05AEA"/>
    <w:rsid w:val="00E14DF6"/>
    <w:rsid w:val="00E17A95"/>
    <w:rsid w:val="00F14DC9"/>
    <w:rsid w:val="00F31A4C"/>
    <w:rsid w:val="00F87380"/>
    <w:rsid w:val="00FA7109"/>
    <w:rsid w:val="00FD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DC"/>
    <w:rPr>
      <w:sz w:val="24"/>
      <w:szCs w:val="20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4BD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aliases w:val="p,h2"/>
    <w:basedOn w:val="Heading1"/>
    <w:next w:val="Normal"/>
    <w:link w:val="Heading2Char"/>
    <w:uiPriority w:val="99"/>
    <w:qFormat/>
    <w:rsid w:val="00A84BDC"/>
    <w:pPr>
      <w:outlineLvl w:val="1"/>
    </w:pPr>
    <w:rPr>
      <w:rFonts w:ascii="Avant Garde" w:hAnsi="Avant Garde"/>
      <w:b w:val="0"/>
      <w:i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4BDC"/>
    <w:pPr>
      <w:keepNext/>
      <w:ind w:left="2127"/>
      <w:outlineLvl w:val="2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06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p Char,h2 Char"/>
    <w:basedOn w:val="DefaultParagraphFont"/>
    <w:link w:val="Heading2"/>
    <w:uiPriority w:val="99"/>
    <w:semiHidden/>
    <w:locked/>
    <w:rsid w:val="005106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106B9"/>
    <w:rPr>
      <w:rFonts w:ascii="Cambria" w:hAnsi="Cambria" w:cs="Times New Roman"/>
      <w:b/>
      <w:bCs/>
      <w:sz w:val="26"/>
      <w:szCs w:val="26"/>
    </w:rPr>
  </w:style>
  <w:style w:type="paragraph" w:customStyle="1" w:styleId="P1">
    <w:name w:val="P1"/>
    <w:aliases w:val="(a)"/>
    <w:basedOn w:val="R1"/>
    <w:uiPriority w:val="99"/>
    <w:rsid w:val="00A84BDC"/>
    <w:pPr>
      <w:tabs>
        <w:tab w:val="clear" w:pos="794"/>
        <w:tab w:val="clear" w:pos="964"/>
        <w:tab w:val="right" w:pos="1191"/>
        <w:tab w:val="left" w:pos="1644"/>
      </w:tabs>
      <w:spacing w:before="60"/>
      <w:ind w:left="1418" w:hanging="1418"/>
    </w:pPr>
  </w:style>
  <w:style w:type="paragraph" w:customStyle="1" w:styleId="R1">
    <w:name w:val="R1"/>
    <w:aliases w:val="1. or 1.(1)"/>
    <w:basedOn w:val="Normal"/>
    <w:next w:val="Normal"/>
    <w:uiPriority w:val="99"/>
    <w:rsid w:val="00A84BDC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  <w:rPr>
      <w:lang w:eastAsia="en-US"/>
    </w:rPr>
  </w:style>
  <w:style w:type="character" w:customStyle="1" w:styleId="CharSectno">
    <w:name w:val="CharSectno"/>
    <w:basedOn w:val="DefaultParagraphFont"/>
    <w:uiPriority w:val="99"/>
    <w:rsid w:val="00A84BDC"/>
    <w:rPr>
      <w:rFonts w:ascii="Arial" w:hAnsi="Arial" w:cs="Times New Roman"/>
    </w:rPr>
  </w:style>
  <w:style w:type="paragraph" w:customStyle="1" w:styleId="definition">
    <w:name w:val="definition"/>
    <w:basedOn w:val="Normal"/>
    <w:uiPriority w:val="99"/>
    <w:rsid w:val="00A84BDC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HR">
    <w:name w:val="HR"/>
    <w:aliases w:val="Regulation Heading"/>
    <w:basedOn w:val="Normal"/>
    <w:next w:val="R1"/>
    <w:uiPriority w:val="99"/>
    <w:rsid w:val="00A84BDC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Note">
    <w:name w:val="Note"/>
    <w:basedOn w:val="Normal"/>
    <w:uiPriority w:val="99"/>
    <w:rsid w:val="00A84BDC"/>
    <w:pPr>
      <w:tabs>
        <w:tab w:val="left" w:pos="1560"/>
      </w:tabs>
      <w:spacing w:before="120" w:line="220" w:lineRule="exact"/>
      <w:ind w:left="964"/>
      <w:jc w:val="both"/>
    </w:pPr>
    <w:rPr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A84BDC"/>
    <w:pPr>
      <w:tabs>
        <w:tab w:val="center" w:pos="3600"/>
        <w:tab w:val="right" w:pos="7200"/>
      </w:tabs>
      <w:jc w:val="both"/>
    </w:pPr>
    <w:rPr>
      <w:rFonts w:ascii="Arial" w:hAnsi="Arial"/>
      <w:sz w:val="1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06B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84BDC"/>
    <w:pPr>
      <w:tabs>
        <w:tab w:val="center" w:pos="3969"/>
        <w:tab w:val="right" w:pos="8504"/>
      </w:tabs>
      <w:jc w:val="both"/>
    </w:pPr>
    <w:rPr>
      <w:sz w:val="2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06B9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A84BDC"/>
    <w:rPr>
      <w:rFonts w:cs="Times New Roman"/>
    </w:rPr>
  </w:style>
  <w:style w:type="paragraph" w:customStyle="1" w:styleId="SigningPageBreak">
    <w:name w:val="SigningPageBreak"/>
    <w:basedOn w:val="Normal"/>
    <w:uiPriority w:val="99"/>
    <w:rsid w:val="00A84BDC"/>
    <w:pPr>
      <w:spacing w:line="1800" w:lineRule="atLeast"/>
    </w:pPr>
    <w:rPr>
      <w:lang w:eastAsia="en-US"/>
    </w:rPr>
  </w:style>
  <w:style w:type="paragraph" w:customStyle="1" w:styleId="TextWOutChapSectionBreak">
    <w:name w:val="TextW/OutChapSectionBreak"/>
    <w:basedOn w:val="Normal"/>
    <w:uiPriority w:val="99"/>
    <w:rsid w:val="00A84BDC"/>
    <w:pPr>
      <w:jc w:val="center"/>
    </w:pPr>
    <w:rPr>
      <w:lang w:eastAsia="en-US"/>
    </w:rPr>
  </w:style>
  <w:style w:type="paragraph" w:customStyle="1" w:styleId="FooterDraft">
    <w:name w:val="FooterDraft"/>
    <w:basedOn w:val="Normal"/>
    <w:uiPriority w:val="99"/>
    <w:rsid w:val="00A84BDC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uiPriority w:val="99"/>
    <w:rsid w:val="00A84BDC"/>
    <w:rPr>
      <w:rFonts w:ascii="Arial" w:hAnsi="Arial"/>
      <w:sz w:val="12"/>
      <w:lang w:eastAsia="en-US"/>
    </w:rPr>
  </w:style>
  <w:style w:type="paragraph" w:customStyle="1" w:styleId="HeaderLiteOdd">
    <w:name w:val="HeaderLiteOdd"/>
    <w:basedOn w:val="Normal"/>
    <w:uiPriority w:val="99"/>
    <w:rsid w:val="00A84BDC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styleId="BodyText">
    <w:name w:val="Body Text"/>
    <w:basedOn w:val="Normal"/>
    <w:link w:val="BodyTextChar"/>
    <w:uiPriority w:val="99"/>
    <w:rsid w:val="00A84BDC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106B9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84BDC"/>
    <w:pPr>
      <w:tabs>
        <w:tab w:val="left" w:pos="1418"/>
      </w:tabs>
      <w:ind w:left="1418" w:hanging="1418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106B9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A84BDC"/>
    <w:pPr>
      <w:ind w:left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106B9"/>
    <w:rPr>
      <w:rFonts w:cs="Times New Roman"/>
      <w:sz w:val="20"/>
      <w:szCs w:val="20"/>
    </w:rPr>
  </w:style>
  <w:style w:type="character" w:customStyle="1" w:styleId="CharAmSchNo">
    <w:name w:val="CharAmSchNo"/>
    <w:basedOn w:val="DefaultParagraphFont"/>
    <w:uiPriority w:val="99"/>
    <w:rsid w:val="00A84BDC"/>
    <w:rPr>
      <w:rFonts w:ascii="Arial" w:hAnsi="Arial" w:cs="Times New Roman"/>
    </w:rPr>
  </w:style>
  <w:style w:type="character" w:customStyle="1" w:styleId="CharAmSchText">
    <w:name w:val="CharAmSchText"/>
    <w:basedOn w:val="DefaultParagraphFont"/>
    <w:uiPriority w:val="99"/>
    <w:rsid w:val="00A84BDC"/>
    <w:rPr>
      <w:rFonts w:ascii="Arial" w:hAnsi="Arial" w:cs="Times New Roman"/>
    </w:rPr>
  </w:style>
  <w:style w:type="paragraph" w:customStyle="1" w:styleId="SchedSectionBreak">
    <w:name w:val="SchedSectionBreak"/>
    <w:basedOn w:val="Normal"/>
    <w:uiPriority w:val="99"/>
    <w:rsid w:val="00A84BDC"/>
    <w:pPr>
      <w:tabs>
        <w:tab w:val="right" w:leader="underscore" w:pos="7200"/>
      </w:tabs>
      <w:spacing w:before="240"/>
    </w:pPr>
  </w:style>
  <w:style w:type="paragraph" w:customStyle="1" w:styleId="Scheduletitle">
    <w:name w:val="Schedule title"/>
    <w:basedOn w:val="Normal"/>
    <w:next w:val="Normal"/>
    <w:uiPriority w:val="99"/>
    <w:rsid w:val="00A84BDC"/>
    <w:pPr>
      <w:keepNext/>
      <w:keepLines/>
      <w:pageBreakBefore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TableColHead">
    <w:name w:val="TableColHead"/>
    <w:basedOn w:val="Normal"/>
    <w:uiPriority w:val="99"/>
    <w:rsid w:val="00A84BDC"/>
    <w:pPr>
      <w:spacing w:before="180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uiPriority w:val="99"/>
    <w:rsid w:val="00A84BDC"/>
    <w:pPr>
      <w:spacing w:before="120"/>
    </w:pPr>
    <w:rPr>
      <w:sz w:val="22"/>
    </w:rPr>
  </w:style>
  <w:style w:type="paragraph" w:customStyle="1" w:styleId="HeaderLiteEven">
    <w:name w:val="HeaderLiteEven"/>
    <w:basedOn w:val="Header"/>
    <w:uiPriority w:val="99"/>
    <w:rsid w:val="00A84BDC"/>
    <w:pPr>
      <w:tabs>
        <w:tab w:val="clear" w:pos="8504"/>
        <w:tab w:val="right" w:pos="8505"/>
      </w:tabs>
      <w:spacing w:before="60"/>
      <w:jc w:val="left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DB0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06B9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F587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F58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106B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58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106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3</Pages>
  <Words>352</Words>
  <Characters>2008</Characters>
  <Application>Microsoft Office Outlook</Application>
  <DocSecurity>0</DocSecurity>
  <Lines>0</Lines>
  <Paragraphs>0</Paragraphs>
  <ScaleCrop>false</ScaleCrop>
  <Company>ATO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GST-free Supply (Drugs and Medicinal Preparations) Determination 2000 (No</dc:title>
  <dc:subject/>
  <dc:creator>Garry Gregory</dc:creator>
  <cp:keywords/>
  <dc:description/>
  <cp:lastModifiedBy>boylek</cp:lastModifiedBy>
  <cp:revision>9</cp:revision>
  <cp:lastPrinted>2011-12-09T02:09:00Z</cp:lastPrinted>
  <dcterms:created xsi:type="dcterms:W3CDTF">2011-12-01T22:03:00Z</dcterms:created>
  <dcterms:modified xsi:type="dcterms:W3CDTF">2011-12-14T01:32:00Z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1762648959</vt:i4>
  </property>
  <property fmtid="{D5CDD505-2E9C-101B-9397-08002B2CF9AE}" pid="3" name="_EmailSubject">
    <vt:lpwstr>DRAFT GST (Health Goods) Determination for oromucosal and Transdermal NRT    [SEC=IN-CONFIDENCE]</vt:lpwstr>
  </property>
  <property fmtid="{D5CDD505-2E9C-101B-9397-08002B2CF9AE}" pid="4" name="_AuthorEmail">
    <vt:lpwstr>Duncan.White@TREASURY.GOV.AU</vt:lpwstr>
  </property>
  <property fmtid="{D5CDD505-2E9C-101B-9397-08002B2CF9AE}" pid="5" name="_AuthorEmailDisplayName">
    <vt:lpwstr>White, Duncan</vt:lpwstr>
  </property>
  <property fmtid="{D5CDD505-2E9C-101B-9397-08002B2CF9AE}" pid="6" name="DMSDOCTYPE">
    <vt:lpwstr>NTSave</vt:lpwstr>
  </property>
  <property fmtid="{D5CDD505-2E9C-101B-9397-08002B2CF9AE}" pid="7" name="_NewReviewCycle">
    <vt:lpwstr/>
  </property>
  <property fmtid="{D5CDD505-2E9C-101B-9397-08002B2CF9AE}" pid="8" name="_PreviousAdHocReviewCycleID">
    <vt:i4>-1701053793</vt:i4>
  </property>
  <property fmtid="{D5CDD505-2E9C-101B-9397-08002B2CF9AE}" pid="9" name="_ReviewingToolsShownOnce">
    <vt:lpwstr/>
  </property>
</Properties>
</file>