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D5" w:rsidRPr="00824A97" w:rsidRDefault="002C0CD5" w:rsidP="002C0CD5">
      <w:pPr>
        <w:pStyle w:val="Title"/>
        <w:rPr>
          <w:u w:val="none"/>
        </w:rPr>
      </w:pPr>
      <w:r w:rsidRPr="00824A97">
        <w:rPr>
          <w:u w:val="none"/>
        </w:rPr>
        <w:t xml:space="preserve">Explanatory Statement </w:t>
      </w:r>
    </w:p>
    <w:p w:rsidR="002C0CD5" w:rsidRPr="00824A97" w:rsidRDefault="002C0CD5" w:rsidP="002C0CD5">
      <w:pPr>
        <w:rPr>
          <w:sz w:val="24"/>
        </w:rPr>
      </w:pPr>
    </w:p>
    <w:p w:rsidR="002C0CD5" w:rsidRPr="00824A97" w:rsidRDefault="002C0CD5" w:rsidP="002C0CD5">
      <w:pPr>
        <w:pStyle w:val="Heading1"/>
      </w:pPr>
      <w:r w:rsidRPr="00824A97">
        <w:t>Broadcasting Services Act 1992</w:t>
      </w:r>
    </w:p>
    <w:p w:rsidR="002C0CD5" w:rsidRPr="00824A97" w:rsidRDefault="002C0CD5" w:rsidP="002C0CD5"/>
    <w:p w:rsidR="002C0CD5" w:rsidRPr="00824A97" w:rsidRDefault="002C0CD5" w:rsidP="002C0CD5">
      <w:pPr>
        <w:jc w:val="center"/>
        <w:rPr>
          <w:b/>
          <w:sz w:val="28"/>
          <w:szCs w:val="28"/>
        </w:rPr>
      </w:pPr>
      <w:r w:rsidRPr="00824A97">
        <w:rPr>
          <w:b/>
          <w:sz w:val="28"/>
          <w:szCs w:val="28"/>
        </w:rPr>
        <w:t xml:space="preserve">Broadcasting Services (Events) Notice (No. 1) </w:t>
      </w:r>
      <w:r>
        <w:rPr>
          <w:b/>
          <w:sz w:val="28"/>
          <w:szCs w:val="28"/>
        </w:rPr>
        <w:t>2010</w:t>
      </w:r>
    </w:p>
    <w:p w:rsidR="002C0CD5" w:rsidRPr="00824A97" w:rsidRDefault="002C0CD5" w:rsidP="002C0CD5">
      <w:pPr>
        <w:jc w:val="center"/>
        <w:rPr>
          <w:b/>
          <w:sz w:val="28"/>
          <w:szCs w:val="28"/>
        </w:rPr>
      </w:pPr>
      <w:r w:rsidRPr="00824A97">
        <w:rPr>
          <w:b/>
          <w:sz w:val="28"/>
          <w:szCs w:val="28"/>
        </w:rPr>
        <w:t xml:space="preserve">(Amendment No. </w:t>
      </w:r>
      <w:r>
        <w:rPr>
          <w:b/>
          <w:sz w:val="28"/>
          <w:szCs w:val="28"/>
        </w:rPr>
        <w:t>1 of 201</w:t>
      </w:r>
      <w:r w:rsidR="00C53D90">
        <w:rPr>
          <w:b/>
          <w:sz w:val="28"/>
          <w:szCs w:val="28"/>
        </w:rPr>
        <w:t>2</w:t>
      </w:r>
      <w:r w:rsidRPr="00824A97">
        <w:rPr>
          <w:b/>
          <w:sz w:val="28"/>
          <w:szCs w:val="28"/>
        </w:rPr>
        <w:t>)</w:t>
      </w:r>
    </w:p>
    <w:p w:rsidR="002C0CD5" w:rsidRPr="00824A97" w:rsidRDefault="002C0CD5" w:rsidP="002C0CD5">
      <w:pPr>
        <w:pStyle w:val="BodyText3"/>
      </w:pPr>
    </w:p>
    <w:p w:rsidR="002C0CD5" w:rsidRPr="00824A97" w:rsidRDefault="002C0CD5" w:rsidP="002C0CD5">
      <w:pPr>
        <w:pStyle w:val="BodyText3"/>
      </w:pPr>
    </w:p>
    <w:p w:rsidR="002C0CD5" w:rsidRPr="00824A97" w:rsidRDefault="002C0CD5" w:rsidP="002C0CD5">
      <w:pPr>
        <w:pStyle w:val="BodyText"/>
      </w:pPr>
      <w:r w:rsidRPr="00824A97">
        <w:t xml:space="preserve">Issued by the Authority of the Minister for Broadband, Communications </w:t>
      </w:r>
    </w:p>
    <w:p w:rsidR="002C0CD5" w:rsidRPr="00824A97" w:rsidRDefault="002C0CD5" w:rsidP="002C0CD5">
      <w:pPr>
        <w:pStyle w:val="BodyText"/>
      </w:pPr>
      <w:proofErr w:type="gramStart"/>
      <w:r w:rsidRPr="00824A97">
        <w:t>and</w:t>
      </w:r>
      <w:proofErr w:type="gramEnd"/>
      <w:r w:rsidRPr="00824A97">
        <w:t xml:space="preserve"> the Digital Economy</w:t>
      </w:r>
    </w:p>
    <w:p w:rsidR="002C0CD5" w:rsidRPr="00824A97" w:rsidRDefault="002C0CD5" w:rsidP="002C0CD5">
      <w:pPr>
        <w:rPr>
          <w:sz w:val="24"/>
        </w:rPr>
      </w:pPr>
    </w:p>
    <w:p w:rsidR="002C0CD5" w:rsidRPr="0023682E" w:rsidRDefault="002C0CD5" w:rsidP="002C0CD5">
      <w:pPr>
        <w:rPr>
          <w:sz w:val="24"/>
          <w:u w:val="single"/>
        </w:rPr>
      </w:pPr>
      <w:r w:rsidRPr="0023682E">
        <w:rPr>
          <w:sz w:val="24"/>
          <w:u w:val="single"/>
        </w:rPr>
        <w:t>Purpose</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 xml:space="preserve">The </w:t>
      </w:r>
      <w:r w:rsidRPr="0023682E">
        <w:rPr>
          <w:i/>
          <w:sz w:val="24"/>
          <w:szCs w:val="24"/>
        </w:rPr>
        <w:t>Broadcasting Services (Events) Noti</w:t>
      </w:r>
      <w:r>
        <w:rPr>
          <w:i/>
          <w:sz w:val="24"/>
          <w:szCs w:val="24"/>
        </w:rPr>
        <w:t>ce (No. 1) 2010 (Amendment No. 1</w:t>
      </w:r>
      <w:r w:rsidRPr="0023682E">
        <w:rPr>
          <w:i/>
          <w:sz w:val="24"/>
          <w:szCs w:val="24"/>
        </w:rPr>
        <w:t xml:space="preserve"> of 201</w:t>
      </w:r>
      <w:r w:rsidR="009F630F">
        <w:rPr>
          <w:i/>
          <w:sz w:val="24"/>
          <w:szCs w:val="24"/>
        </w:rPr>
        <w:t>2</w:t>
      </w:r>
      <w:r w:rsidRPr="0023682E">
        <w:rPr>
          <w:i/>
          <w:sz w:val="24"/>
          <w:szCs w:val="24"/>
        </w:rPr>
        <w:t>)</w:t>
      </w:r>
      <w:r w:rsidRPr="0023682E">
        <w:rPr>
          <w:sz w:val="24"/>
          <w:szCs w:val="24"/>
        </w:rPr>
        <w:t xml:space="preserve"> (the Notice) is made by the Minister for Broadband, Communications and the Digital Economy (the Minister) under subsection 115(2) of the </w:t>
      </w:r>
      <w:r w:rsidRPr="0023682E">
        <w:rPr>
          <w:i/>
          <w:sz w:val="24"/>
          <w:szCs w:val="24"/>
        </w:rPr>
        <w:t>Broadcasting Services Act 1992</w:t>
      </w:r>
      <w:r w:rsidRPr="0023682E">
        <w:rPr>
          <w:sz w:val="24"/>
          <w:szCs w:val="24"/>
        </w:rPr>
        <w:t xml:space="preserve"> (the BSA). </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 xml:space="preserve">The purpose of this Notice is to amend the </w:t>
      </w:r>
      <w:r w:rsidRPr="0023682E">
        <w:rPr>
          <w:i/>
          <w:sz w:val="24"/>
          <w:szCs w:val="24"/>
        </w:rPr>
        <w:t xml:space="preserve">Broadcasting Services (Events) Notice (No. 1) </w:t>
      </w:r>
      <w:r>
        <w:rPr>
          <w:i/>
          <w:sz w:val="24"/>
          <w:szCs w:val="24"/>
        </w:rPr>
        <w:t>2010</w:t>
      </w:r>
      <w:r w:rsidRPr="0023682E">
        <w:rPr>
          <w:sz w:val="24"/>
          <w:szCs w:val="24"/>
        </w:rPr>
        <w:t xml:space="preserve"> (the Principal Notice) to remove certain events from the Principal Notice to permit the events to be premiered on a free-to-air television digital multi-channel. </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 xml:space="preserve">This Notice is a legislative instrument for the purposes of subsection 6(d) of the </w:t>
      </w:r>
      <w:r w:rsidRPr="0023682E">
        <w:rPr>
          <w:i/>
          <w:sz w:val="24"/>
          <w:szCs w:val="24"/>
        </w:rPr>
        <w:t>Legislative Instruments Act 2003</w:t>
      </w:r>
      <w:r w:rsidRPr="0023682E">
        <w:rPr>
          <w:sz w:val="24"/>
          <w:szCs w:val="24"/>
        </w:rPr>
        <w:t>.</w:t>
      </w:r>
    </w:p>
    <w:p w:rsidR="002C0CD5" w:rsidRPr="0023682E" w:rsidRDefault="002C0CD5" w:rsidP="002C0CD5">
      <w:pPr>
        <w:rPr>
          <w:sz w:val="24"/>
          <w:szCs w:val="24"/>
        </w:rPr>
      </w:pPr>
    </w:p>
    <w:p w:rsidR="002C0CD5" w:rsidRPr="0023682E" w:rsidRDefault="002C0CD5" w:rsidP="002C0CD5">
      <w:pPr>
        <w:rPr>
          <w:sz w:val="24"/>
          <w:u w:val="single"/>
        </w:rPr>
      </w:pPr>
      <w:r w:rsidRPr="0023682E">
        <w:rPr>
          <w:sz w:val="24"/>
          <w:u w:val="single"/>
        </w:rPr>
        <w:t>Background</w:t>
      </w:r>
    </w:p>
    <w:p w:rsidR="002C0CD5" w:rsidRPr="0023682E" w:rsidRDefault="002C0CD5" w:rsidP="002C0CD5">
      <w:pPr>
        <w:rPr>
          <w:sz w:val="24"/>
        </w:rPr>
      </w:pPr>
    </w:p>
    <w:p w:rsidR="002C0CD5" w:rsidRPr="0023682E" w:rsidRDefault="002C0CD5" w:rsidP="002C0CD5">
      <w:pPr>
        <w:rPr>
          <w:i/>
          <w:sz w:val="24"/>
        </w:rPr>
      </w:pPr>
      <w:r w:rsidRPr="0023682E">
        <w:rPr>
          <w:i/>
          <w:sz w:val="24"/>
        </w:rPr>
        <w:t xml:space="preserve">Legislative background </w:t>
      </w:r>
    </w:p>
    <w:p w:rsidR="002C0CD5" w:rsidRPr="0023682E" w:rsidRDefault="002C0CD5" w:rsidP="002C0CD5">
      <w:pPr>
        <w:rPr>
          <w:sz w:val="24"/>
        </w:rPr>
      </w:pPr>
    </w:p>
    <w:p w:rsidR="002C0CD5" w:rsidRPr="0023682E" w:rsidRDefault="002C0CD5" w:rsidP="002C0CD5">
      <w:pPr>
        <w:pStyle w:val="Heading1"/>
        <w:jc w:val="left"/>
        <w:rPr>
          <w:i w:val="0"/>
          <w:szCs w:val="24"/>
        </w:rPr>
      </w:pPr>
      <w:r w:rsidRPr="0023682E">
        <w:rPr>
          <w:i w:val="0"/>
          <w:szCs w:val="24"/>
        </w:rPr>
        <w:t xml:space="preserve">Subsection </w:t>
      </w:r>
      <w:r w:rsidRPr="0023682E">
        <w:rPr>
          <w:i w:val="0"/>
        </w:rPr>
        <w:t>115(1)</w:t>
      </w:r>
      <w:r w:rsidRPr="0023682E">
        <w:rPr>
          <w:i w:val="0"/>
          <w:szCs w:val="24"/>
        </w:rPr>
        <w:t xml:space="preserve"> of the BSA provides that the Minister may, by notice in the Gazette, specify events that in the Minister’s opinion should be televised free to the public. Such a notice is commonly known as the anti-siphoning list. </w:t>
      </w:r>
    </w:p>
    <w:p w:rsidR="002C0CD5" w:rsidRPr="0023682E" w:rsidRDefault="002C0CD5" w:rsidP="002C0CD5">
      <w:pPr>
        <w:pStyle w:val="Heading1"/>
        <w:keepNext w:val="0"/>
        <w:jc w:val="left"/>
        <w:rPr>
          <w:i w:val="0"/>
          <w:szCs w:val="24"/>
        </w:rPr>
      </w:pPr>
    </w:p>
    <w:p w:rsidR="002C0CD5" w:rsidRPr="0023682E" w:rsidRDefault="002C0CD5" w:rsidP="002C0CD5">
      <w:pPr>
        <w:pStyle w:val="Heading1"/>
        <w:jc w:val="left"/>
        <w:rPr>
          <w:i w:val="0"/>
          <w:szCs w:val="24"/>
        </w:rPr>
      </w:pPr>
      <w:r w:rsidRPr="0023682E">
        <w:rPr>
          <w:i w:val="0"/>
          <w:szCs w:val="24"/>
        </w:rPr>
        <w:t xml:space="preserve">The inclusion of an event in a subsection 115(1) notice triggers a licence condition for subscription television broadcasters </w:t>
      </w:r>
      <w:r>
        <w:rPr>
          <w:i w:val="0"/>
          <w:szCs w:val="24"/>
        </w:rPr>
        <w:t>that</w:t>
      </w:r>
      <w:r w:rsidRPr="0023682E">
        <w:rPr>
          <w:i w:val="0"/>
          <w:szCs w:val="24"/>
        </w:rPr>
        <w:t xml:space="preserve"> prohibits the subscription television broadcasters from acquiring rights to televise the event ahead of </w:t>
      </w:r>
      <w:r>
        <w:rPr>
          <w:i w:val="0"/>
          <w:szCs w:val="24"/>
        </w:rPr>
        <w:t xml:space="preserve">commercial television </w:t>
      </w:r>
      <w:r w:rsidRPr="0023682E">
        <w:rPr>
          <w:i w:val="0"/>
          <w:szCs w:val="24"/>
        </w:rPr>
        <w:t xml:space="preserve">broadcasters and </w:t>
      </w:r>
      <w:r>
        <w:rPr>
          <w:i w:val="0"/>
          <w:szCs w:val="24"/>
        </w:rPr>
        <w:t>national</w:t>
      </w:r>
      <w:r w:rsidRPr="0023682E">
        <w:rPr>
          <w:i w:val="0"/>
          <w:szCs w:val="24"/>
        </w:rPr>
        <w:t xml:space="preserve"> broadcasters (see section 99 of the BSA and paragraph 10(1)(e) of Schedule 2 to the BSA). </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t>The BSA also imposes restrictions on both commercial television broadcasters and national broadcasters with regard to televising events listed on a subsection 115(1) notice. Such restrictions ensure that ant</w:t>
      </w:r>
      <w:r w:rsidR="00951AE3">
        <w:rPr>
          <w:sz w:val="24"/>
          <w:szCs w:val="24"/>
        </w:rPr>
        <w:t>i</w:t>
      </w:r>
      <w:r w:rsidRPr="0023682E">
        <w:rPr>
          <w:sz w:val="24"/>
          <w:szCs w:val="24"/>
        </w:rPr>
        <w:t xml:space="preserve">-siphoning events (or parts of those events) are not shown on the broadcasters’ standard definition or high definition television digital multi-channels without first being shown, or being shown simultaneously, on the broadcasters’ main channels during the simulcast period (see Part 4A of Schedule 4 to the BSA). </w:t>
      </w:r>
      <w:r w:rsidR="00EE4315" w:rsidRPr="00EE4315">
        <w:rPr>
          <w:sz w:val="24"/>
          <w:szCs w:val="24"/>
        </w:rPr>
        <w:t>Similar restrictions apply after the end of the simulcast period to ensure that events on the anti-siphoning list are shown first, or shown simultaneously, on commercial television and national broadcasters’ primary digital multi-channels.</w:t>
      </w:r>
    </w:p>
    <w:p w:rsidR="002C0CD5" w:rsidRPr="0023682E" w:rsidRDefault="002C0CD5" w:rsidP="002C0CD5">
      <w:pPr>
        <w:rPr>
          <w:sz w:val="24"/>
          <w:szCs w:val="24"/>
        </w:rPr>
      </w:pPr>
    </w:p>
    <w:p w:rsidR="002C0CD5" w:rsidRPr="0023682E" w:rsidRDefault="002C0CD5" w:rsidP="002C0CD5">
      <w:pPr>
        <w:rPr>
          <w:sz w:val="24"/>
          <w:szCs w:val="24"/>
        </w:rPr>
      </w:pPr>
      <w:r w:rsidRPr="0023682E">
        <w:rPr>
          <w:sz w:val="24"/>
          <w:szCs w:val="24"/>
        </w:rPr>
        <w:lastRenderedPageBreak/>
        <w:t xml:space="preserve">Subsection 115(2) of the BSA allows the Minister to amend a notice made under subsection 115(1) </w:t>
      </w:r>
      <w:r>
        <w:rPr>
          <w:sz w:val="24"/>
          <w:szCs w:val="24"/>
        </w:rPr>
        <w:t xml:space="preserve">of the BSA </w:t>
      </w:r>
      <w:r w:rsidRPr="0023682E">
        <w:rPr>
          <w:sz w:val="24"/>
          <w:szCs w:val="24"/>
        </w:rPr>
        <w:t>to remove an event from the notice.</w:t>
      </w:r>
    </w:p>
    <w:p w:rsidR="002C0CD5" w:rsidRPr="0023682E" w:rsidRDefault="002C0CD5" w:rsidP="002C0CD5">
      <w:pPr>
        <w:rPr>
          <w:sz w:val="24"/>
          <w:szCs w:val="24"/>
        </w:rPr>
      </w:pPr>
      <w:r w:rsidRPr="0023682E">
        <w:rPr>
          <w:sz w:val="24"/>
          <w:szCs w:val="24"/>
        </w:rPr>
        <w:t xml:space="preserve"> </w:t>
      </w:r>
    </w:p>
    <w:p w:rsidR="002C0CD5" w:rsidRDefault="002C0CD5" w:rsidP="002C0CD5">
      <w:pPr>
        <w:rPr>
          <w:sz w:val="24"/>
          <w:szCs w:val="24"/>
        </w:rPr>
      </w:pPr>
      <w:r w:rsidRPr="0023682E">
        <w:rPr>
          <w:sz w:val="24"/>
          <w:szCs w:val="24"/>
        </w:rPr>
        <w:t>The purpose of this Notice is to amend the Principal Notice to remove</w:t>
      </w:r>
      <w:r>
        <w:rPr>
          <w:sz w:val="24"/>
          <w:szCs w:val="24"/>
        </w:rPr>
        <w:t xml:space="preserve"> certain matches of the 201</w:t>
      </w:r>
      <w:r w:rsidR="00806F4C">
        <w:rPr>
          <w:sz w:val="24"/>
          <w:szCs w:val="24"/>
        </w:rPr>
        <w:t>2</w:t>
      </w:r>
      <w:r>
        <w:rPr>
          <w:sz w:val="24"/>
          <w:szCs w:val="24"/>
        </w:rPr>
        <w:t xml:space="preserve"> Australian Open tennis tournament</w:t>
      </w:r>
      <w:r w:rsidRPr="0023682E">
        <w:rPr>
          <w:sz w:val="24"/>
          <w:szCs w:val="24"/>
        </w:rPr>
        <w:t xml:space="preserve"> from the current anti-siphoning list</w:t>
      </w:r>
      <w:r>
        <w:rPr>
          <w:sz w:val="24"/>
          <w:szCs w:val="24"/>
        </w:rPr>
        <w:t xml:space="preserve">. The events to be removed are those specified in Item 9.1 of the Schedule to the Principal Notice, as amended by this Notice. </w:t>
      </w:r>
    </w:p>
    <w:p w:rsidR="002C0CD5" w:rsidRPr="0023682E" w:rsidRDefault="002C0CD5" w:rsidP="002C0CD5">
      <w:pPr>
        <w:rPr>
          <w:sz w:val="24"/>
          <w:szCs w:val="24"/>
        </w:rPr>
      </w:pPr>
    </w:p>
    <w:p w:rsidR="002C0CD5" w:rsidRPr="0023682E" w:rsidRDefault="002C0CD5" w:rsidP="002C0CD5">
      <w:pPr>
        <w:rPr>
          <w:i/>
          <w:sz w:val="24"/>
          <w:szCs w:val="24"/>
        </w:rPr>
      </w:pPr>
      <w:r w:rsidRPr="0023682E">
        <w:rPr>
          <w:i/>
          <w:sz w:val="24"/>
          <w:szCs w:val="24"/>
        </w:rPr>
        <w:t>201</w:t>
      </w:r>
      <w:r w:rsidR="00806F4C">
        <w:rPr>
          <w:i/>
          <w:sz w:val="24"/>
          <w:szCs w:val="24"/>
        </w:rPr>
        <w:t>2</w:t>
      </w:r>
      <w:r w:rsidRPr="0023682E">
        <w:rPr>
          <w:i/>
          <w:sz w:val="24"/>
          <w:szCs w:val="24"/>
        </w:rPr>
        <w:t xml:space="preserve"> </w:t>
      </w:r>
      <w:r>
        <w:rPr>
          <w:i/>
          <w:sz w:val="24"/>
          <w:szCs w:val="24"/>
        </w:rPr>
        <w:t>Australian Open</w:t>
      </w:r>
      <w:r w:rsidRPr="0023682E">
        <w:rPr>
          <w:i/>
          <w:sz w:val="24"/>
          <w:szCs w:val="24"/>
        </w:rPr>
        <w:t xml:space="preserve"> </w:t>
      </w:r>
    </w:p>
    <w:p w:rsidR="002C0CD5" w:rsidRPr="0023682E" w:rsidRDefault="002C0CD5" w:rsidP="002C0CD5">
      <w:pPr>
        <w:rPr>
          <w:sz w:val="24"/>
          <w:szCs w:val="24"/>
        </w:rPr>
      </w:pPr>
    </w:p>
    <w:p w:rsidR="002C0CD5" w:rsidRDefault="002C0CD5" w:rsidP="002C0CD5">
      <w:pPr>
        <w:rPr>
          <w:sz w:val="24"/>
          <w:szCs w:val="24"/>
        </w:rPr>
      </w:pPr>
      <w:r w:rsidRPr="00E650C3">
        <w:rPr>
          <w:sz w:val="24"/>
          <w:szCs w:val="24"/>
        </w:rPr>
        <w:t xml:space="preserve">The </w:t>
      </w:r>
      <w:r>
        <w:rPr>
          <w:sz w:val="24"/>
          <w:szCs w:val="24"/>
        </w:rPr>
        <w:t>201</w:t>
      </w:r>
      <w:r w:rsidR="00806F4C">
        <w:rPr>
          <w:sz w:val="24"/>
          <w:szCs w:val="24"/>
        </w:rPr>
        <w:t>2</w:t>
      </w:r>
      <w:r>
        <w:rPr>
          <w:sz w:val="24"/>
          <w:szCs w:val="24"/>
        </w:rPr>
        <w:t xml:space="preserve"> Australian Open</w:t>
      </w:r>
      <w:r w:rsidRPr="00E650C3">
        <w:rPr>
          <w:sz w:val="24"/>
          <w:szCs w:val="24"/>
        </w:rPr>
        <w:t xml:space="preserve"> </w:t>
      </w:r>
      <w:r>
        <w:rPr>
          <w:sz w:val="24"/>
          <w:szCs w:val="24"/>
        </w:rPr>
        <w:t>is a Grand Slam tennis tournament that will be held between 1</w:t>
      </w:r>
      <w:r w:rsidR="00806F4C">
        <w:rPr>
          <w:sz w:val="24"/>
          <w:szCs w:val="24"/>
        </w:rPr>
        <w:t>6</w:t>
      </w:r>
      <w:r>
        <w:rPr>
          <w:sz w:val="24"/>
          <w:szCs w:val="24"/>
        </w:rPr>
        <w:t xml:space="preserve"> January and </w:t>
      </w:r>
      <w:r w:rsidR="00806F4C">
        <w:rPr>
          <w:sz w:val="24"/>
          <w:szCs w:val="24"/>
        </w:rPr>
        <w:t>29</w:t>
      </w:r>
      <w:r>
        <w:rPr>
          <w:sz w:val="24"/>
          <w:szCs w:val="24"/>
        </w:rPr>
        <w:t xml:space="preserve"> January 201</w:t>
      </w:r>
      <w:r w:rsidR="00806F4C">
        <w:rPr>
          <w:sz w:val="24"/>
          <w:szCs w:val="24"/>
        </w:rPr>
        <w:t>2</w:t>
      </w:r>
      <w:r>
        <w:rPr>
          <w:sz w:val="24"/>
          <w:szCs w:val="24"/>
        </w:rPr>
        <w:t xml:space="preserve"> in Melbourne. It will consist of men’s and women’s singles competitions; men’s, women’s and mixed doubles competitions; and various juniors’</w:t>
      </w:r>
      <w:r w:rsidR="00517B36">
        <w:rPr>
          <w:sz w:val="24"/>
          <w:szCs w:val="24"/>
        </w:rPr>
        <w:t xml:space="preserve"> </w:t>
      </w:r>
      <w:r w:rsidR="00BF4247">
        <w:rPr>
          <w:sz w:val="24"/>
          <w:szCs w:val="24"/>
        </w:rPr>
        <w:t>and</w:t>
      </w:r>
      <w:r>
        <w:rPr>
          <w:sz w:val="24"/>
          <w:szCs w:val="24"/>
        </w:rPr>
        <w:t xml:space="preserve"> wheelchair events.</w:t>
      </w:r>
    </w:p>
    <w:p w:rsidR="002C0CD5" w:rsidRPr="00997437" w:rsidRDefault="002C0CD5" w:rsidP="002C0CD5">
      <w:pPr>
        <w:rPr>
          <w:sz w:val="24"/>
          <w:szCs w:val="24"/>
        </w:rPr>
      </w:pPr>
    </w:p>
    <w:p w:rsidR="002C0CD5" w:rsidRPr="00997437" w:rsidRDefault="002C0CD5" w:rsidP="002C0CD5">
      <w:pPr>
        <w:rPr>
          <w:sz w:val="24"/>
          <w:szCs w:val="24"/>
          <w:lang w:val="en-GB"/>
        </w:rPr>
      </w:pPr>
      <w:r w:rsidRPr="00E650C3">
        <w:rPr>
          <w:sz w:val="24"/>
          <w:szCs w:val="24"/>
          <w:lang w:val="en-GB"/>
        </w:rPr>
        <w:t xml:space="preserve">This Notice will remove from the Principal Notice certain events held as part of the </w:t>
      </w:r>
      <w:r>
        <w:rPr>
          <w:sz w:val="24"/>
          <w:szCs w:val="24"/>
          <w:lang w:val="en-GB"/>
        </w:rPr>
        <w:t>201</w:t>
      </w:r>
      <w:r w:rsidR="00806F4C">
        <w:rPr>
          <w:sz w:val="24"/>
          <w:szCs w:val="24"/>
          <w:lang w:val="en-GB"/>
        </w:rPr>
        <w:t>2</w:t>
      </w:r>
      <w:r w:rsidRPr="00E650C3">
        <w:rPr>
          <w:sz w:val="24"/>
          <w:szCs w:val="24"/>
          <w:lang w:val="en-GB"/>
        </w:rPr>
        <w:t xml:space="preserve"> </w:t>
      </w:r>
      <w:r>
        <w:rPr>
          <w:sz w:val="24"/>
          <w:szCs w:val="24"/>
          <w:lang w:val="en-GB"/>
        </w:rPr>
        <w:t>Australian Open</w:t>
      </w:r>
      <w:r w:rsidRPr="00E650C3">
        <w:rPr>
          <w:sz w:val="24"/>
          <w:szCs w:val="24"/>
          <w:lang w:val="en-GB"/>
        </w:rPr>
        <w:t>, specifically</w:t>
      </w:r>
      <w:r w:rsidR="003A39A2" w:rsidRPr="003A39A2">
        <w:rPr>
          <w:sz w:val="24"/>
          <w:szCs w:val="24"/>
        </w:rPr>
        <w:t xml:space="preserve"> </w:t>
      </w:r>
      <w:r w:rsidR="003A39A2">
        <w:rPr>
          <w:sz w:val="24"/>
          <w:szCs w:val="24"/>
        </w:rPr>
        <w:t xml:space="preserve">all matches of the 2012 Australian Open </w:t>
      </w:r>
      <w:r w:rsidR="003A39A2" w:rsidRPr="003A39A2">
        <w:rPr>
          <w:sz w:val="24"/>
          <w:szCs w:val="24"/>
        </w:rPr>
        <w:t>except for the m</w:t>
      </w:r>
      <w:r w:rsidR="003A39A2">
        <w:rPr>
          <w:sz w:val="24"/>
          <w:szCs w:val="24"/>
        </w:rPr>
        <w:t xml:space="preserve">en’s and women’s singles </w:t>
      </w:r>
      <w:proofErr w:type="gramStart"/>
      <w:r w:rsidR="003A39A2">
        <w:rPr>
          <w:sz w:val="24"/>
          <w:szCs w:val="24"/>
        </w:rPr>
        <w:t>finals</w:t>
      </w:r>
      <w:r w:rsidR="003A39A2" w:rsidRPr="003A39A2">
        <w:rPr>
          <w:sz w:val="24"/>
          <w:szCs w:val="24"/>
        </w:rPr>
        <w:t xml:space="preserve"> </w:t>
      </w:r>
      <w:r w:rsidRPr="00E650C3">
        <w:rPr>
          <w:sz w:val="24"/>
          <w:szCs w:val="24"/>
          <w:lang w:val="en-GB"/>
        </w:rPr>
        <w:t>.</w:t>
      </w:r>
      <w:proofErr w:type="gramEnd"/>
    </w:p>
    <w:p w:rsidR="002C0CD5" w:rsidRPr="00997437" w:rsidRDefault="002C0CD5" w:rsidP="002C0CD5">
      <w:pPr>
        <w:rPr>
          <w:sz w:val="24"/>
          <w:szCs w:val="24"/>
          <w:lang w:val="en-GB"/>
        </w:rPr>
      </w:pPr>
    </w:p>
    <w:p w:rsidR="00FA7522" w:rsidRDefault="002C0CD5" w:rsidP="00FA7522">
      <w:bookmarkStart w:id="0" w:name="OLE_LINK2"/>
      <w:bookmarkStart w:id="1" w:name="OLE_LINK3"/>
      <w:r w:rsidRPr="00E650C3">
        <w:rPr>
          <w:sz w:val="24"/>
          <w:szCs w:val="24"/>
          <w:lang w:val="en-GB"/>
        </w:rPr>
        <w:t>This will allow the free-to-air broadcaster that holds the broadcast rights to the 201</w:t>
      </w:r>
      <w:r w:rsidR="00806F4C">
        <w:rPr>
          <w:sz w:val="24"/>
          <w:szCs w:val="24"/>
          <w:lang w:val="en-GB"/>
        </w:rPr>
        <w:t>2</w:t>
      </w:r>
      <w:r>
        <w:rPr>
          <w:sz w:val="24"/>
          <w:szCs w:val="24"/>
          <w:lang w:val="en-GB"/>
        </w:rPr>
        <w:t> Australian Open</w:t>
      </w:r>
      <w:r w:rsidRPr="00E650C3">
        <w:rPr>
          <w:sz w:val="24"/>
          <w:szCs w:val="24"/>
          <w:lang w:val="en-GB"/>
        </w:rPr>
        <w:t xml:space="preserve"> (</w:t>
      </w:r>
      <w:r>
        <w:rPr>
          <w:sz w:val="24"/>
          <w:szCs w:val="24"/>
          <w:lang w:val="en-GB"/>
        </w:rPr>
        <w:t>the Seven Network</w:t>
      </w:r>
      <w:r w:rsidRPr="00E650C3">
        <w:rPr>
          <w:sz w:val="24"/>
          <w:szCs w:val="24"/>
          <w:lang w:val="en-GB"/>
        </w:rPr>
        <w:t>) to premiere events on a digital multichannel in each relevant television licence area whil</w:t>
      </w:r>
      <w:r>
        <w:rPr>
          <w:sz w:val="24"/>
          <w:szCs w:val="24"/>
          <w:lang w:val="en-GB"/>
        </w:rPr>
        <w:t>e</w:t>
      </w:r>
      <w:r w:rsidRPr="00E650C3">
        <w:rPr>
          <w:sz w:val="24"/>
          <w:szCs w:val="24"/>
          <w:lang w:val="en-GB"/>
        </w:rPr>
        <w:t xml:space="preserve"> regularly</w:t>
      </w:r>
      <w:r>
        <w:rPr>
          <w:sz w:val="24"/>
          <w:szCs w:val="24"/>
          <w:lang w:val="en-GB"/>
        </w:rPr>
        <w:t>-</w:t>
      </w:r>
      <w:r w:rsidRPr="00E650C3">
        <w:rPr>
          <w:sz w:val="24"/>
          <w:szCs w:val="24"/>
          <w:lang w:val="en-GB"/>
        </w:rPr>
        <w:t xml:space="preserve">scheduled programming is broadcast on </w:t>
      </w:r>
      <w:r>
        <w:rPr>
          <w:sz w:val="24"/>
          <w:szCs w:val="24"/>
          <w:lang w:val="en-GB"/>
        </w:rPr>
        <w:t>its</w:t>
      </w:r>
      <w:r w:rsidRPr="00E650C3">
        <w:rPr>
          <w:sz w:val="24"/>
          <w:szCs w:val="24"/>
          <w:lang w:val="en-GB"/>
        </w:rPr>
        <w:t xml:space="preserve"> main channel. </w:t>
      </w:r>
    </w:p>
    <w:p w:rsidR="002C0CD5" w:rsidRDefault="002C0CD5" w:rsidP="002C0CD5">
      <w:pPr>
        <w:rPr>
          <w:sz w:val="24"/>
          <w:szCs w:val="24"/>
          <w:lang w:val="en-GB"/>
        </w:rPr>
      </w:pPr>
    </w:p>
    <w:bookmarkEnd w:id="0"/>
    <w:bookmarkEnd w:id="1"/>
    <w:p w:rsidR="002C0CD5" w:rsidRDefault="002C0CD5" w:rsidP="002C0CD5">
      <w:pPr>
        <w:rPr>
          <w:sz w:val="24"/>
          <w:szCs w:val="24"/>
        </w:rPr>
      </w:pPr>
      <w:r w:rsidRPr="00E650C3">
        <w:rPr>
          <w:sz w:val="24"/>
          <w:szCs w:val="24"/>
        </w:rPr>
        <w:t>Removing these events from the anti-siphoning list will provide for greater flexibility in the free-to-air television coverage and increase live coverage of the 201</w:t>
      </w:r>
      <w:r w:rsidR="00806F4C">
        <w:rPr>
          <w:sz w:val="24"/>
          <w:szCs w:val="24"/>
        </w:rPr>
        <w:t>2</w:t>
      </w:r>
      <w:r>
        <w:rPr>
          <w:sz w:val="24"/>
          <w:szCs w:val="24"/>
        </w:rPr>
        <w:t> Australian Open</w:t>
      </w:r>
      <w:r w:rsidRPr="00E650C3">
        <w:rPr>
          <w:sz w:val="24"/>
          <w:szCs w:val="24"/>
        </w:rPr>
        <w:t>. This will enhance the viewing experience for Australian audiences.</w:t>
      </w:r>
      <w:r w:rsidRPr="0023682E">
        <w:rPr>
          <w:sz w:val="24"/>
          <w:szCs w:val="24"/>
        </w:rPr>
        <w:t xml:space="preserve"> </w:t>
      </w:r>
    </w:p>
    <w:p w:rsidR="002C0CD5" w:rsidRPr="0023682E" w:rsidRDefault="002C0CD5" w:rsidP="002C0CD5">
      <w:pPr>
        <w:ind w:right="91"/>
        <w:rPr>
          <w:sz w:val="24"/>
          <w:szCs w:val="24"/>
          <w:u w:val="single"/>
        </w:rPr>
      </w:pPr>
      <w:r w:rsidRPr="0023682E">
        <w:rPr>
          <w:sz w:val="24"/>
          <w:szCs w:val="24"/>
          <w:u w:val="single"/>
        </w:rPr>
        <w:t>Notes on Clauses</w:t>
      </w:r>
    </w:p>
    <w:p w:rsidR="002C0CD5" w:rsidRPr="0023682E" w:rsidRDefault="002C0CD5" w:rsidP="002C0CD5">
      <w:pPr>
        <w:ind w:right="91"/>
        <w:rPr>
          <w:sz w:val="24"/>
          <w:szCs w:val="24"/>
        </w:rPr>
      </w:pPr>
    </w:p>
    <w:p w:rsidR="002C0CD5" w:rsidRPr="0023682E" w:rsidRDefault="002C0CD5" w:rsidP="002C0CD5">
      <w:pPr>
        <w:ind w:right="91"/>
        <w:rPr>
          <w:sz w:val="24"/>
          <w:szCs w:val="24"/>
        </w:rPr>
      </w:pPr>
      <w:r w:rsidRPr="0023682E">
        <w:rPr>
          <w:sz w:val="24"/>
          <w:szCs w:val="24"/>
          <w:u w:val="single"/>
        </w:rPr>
        <w:t>Clause 1</w:t>
      </w:r>
      <w:r w:rsidRPr="0023682E">
        <w:rPr>
          <w:sz w:val="24"/>
          <w:szCs w:val="24"/>
        </w:rPr>
        <w:t xml:space="preserve"> provides that the name of the Notice is the </w:t>
      </w:r>
      <w:r w:rsidRPr="0023682E">
        <w:rPr>
          <w:iCs/>
          <w:sz w:val="24"/>
          <w:szCs w:val="24"/>
        </w:rPr>
        <w:t xml:space="preserve">Broadcasting Services (Events) Notice (No. 1) </w:t>
      </w:r>
      <w:r>
        <w:rPr>
          <w:iCs/>
          <w:sz w:val="24"/>
          <w:szCs w:val="24"/>
        </w:rPr>
        <w:t>2010</w:t>
      </w:r>
      <w:r w:rsidRPr="0023682E">
        <w:rPr>
          <w:iCs/>
          <w:sz w:val="24"/>
          <w:szCs w:val="24"/>
        </w:rPr>
        <w:t xml:space="preserve"> (Amendment No. </w:t>
      </w:r>
      <w:r>
        <w:rPr>
          <w:iCs/>
          <w:sz w:val="24"/>
          <w:szCs w:val="24"/>
        </w:rPr>
        <w:t>1</w:t>
      </w:r>
      <w:r w:rsidRPr="0023682E">
        <w:rPr>
          <w:iCs/>
          <w:sz w:val="24"/>
          <w:szCs w:val="24"/>
        </w:rPr>
        <w:t xml:space="preserve"> of 201</w:t>
      </w:r>
      <w:r w:rsidR="00C53D90">
        <w:rPr>
          <w:iCs/>
          <w:sz w:val="24"/>
          <w:szCs w:val="24"/>
        </w:rPr>
        <w:t>2</w:t>
      </w:r>
      <w:r w:rsidRPr="0023682E">
        <w:rPr>
          <w:iCs/>
          <w:sz w:val="24"/>
          <w:szCs w:val="24"/>
        </w:rPr>
        <w:t>).</w:t>
      </w:r>
    </w:p>
    <w:p w:rsidR="002C0CD5" w:rsidRPr="0023682E" w:rsidRDefault="002C0CD5" w:rsidP="002C0CD5">
      <w:pPr>
        <w:ind w:right="91"/>
        <w:rPr>
          <w:sz w:val="24"/>
          <w:szCs w:val="24"/>
        </w:rPr>
      </w:pPr>
    </w:p>
    <w:p w:rsidR="002C0CD5" w:rsidRPr="0023682E" w:rsidRDefault="002C0CD5" w:rsidP="002C0CD5">
      <w:pPr>
        <w:rPr>
          <w:sz w:val="24"/>
          <w:szCs w:val="24"/>
        </w:rPr>
      </w:pPr>
      <w:r w:rsidRPr="0023682E">
        <w:rPr>
          <w:sz w:val="24"/>
          <w:szCs w:val="24"/>
          <w:u w:val="single"/>
        </w:rPr>
        <w:t>Clause 2</w:t>
      </w:r>
      <w:r w:rsidRPr="0023682E">
        <w:rPr>
          <w:sz w:val="24"/>
          <w:szCs w:val="24"/>
        </w:rPr>
        <w:t xml:space="preserve"> provides that the Notice will commence on the day</w:t>
      </w:r>
      <w:r w:rsidR="00196ED5">
        <w:rPr>
          <w:sz w:val="24"/>
          <w:szCs w:val="24"/>
        </w:rPr>
        <w:t xml:space="preserve"> after</w:t>
      </w:r>
      <w:r w:rsidRPr="0023682E">
        <w:rPr>
          <w:sz w:val="24"/>
          <w:szCs w:val="24"/>
        </w:rPr>
        <w:t xml:space="preserve"> it is registered on the Federal Register of Legislative Instruments.</w:t>
      </w:r>
    </w:p>
    <w:p w:rsidR="002C0CD5" w:rsidRPr="0023682E" w:rsidRDefault="002C0CD5" w:rsidP="002C0CD5">
      <w:pPr>
        <w:ind w:right="91"/>
        <w:rPr>
          <w:sz w:val="24"/>
          <w:szCs w:val="24"/>
        </w:rPr>
      </w:pPr>
    </w:p>
    <w:p w:rsidR="002C0CD5" w:rsidRPr="0023682E" w:rsidRDefault="002C0CD5" w:rsidP="002C0CD5">
      <w:pPr>
        <w:ind w:right="91"/>
        <w:rPr>
          <w:sz w:val="24"/>
          <w:szCs w:val="24"/>
        </w:rPr>
      </w:pPr>
      <w:r w:rsidRPr="0023682E">
        <w:rPr>
          <w:sz w:val="24"/>
          <w:szCs w:val="24"/>
          <w:u w:val="single"/>
        </w:rPr>
        <w:t>Clause 3</w:t>
      </w:r>
      <w:r w:rsidRPr="0023682E">
        <w:rPr>
          <w:sz w:val="24"/>
          <w:szCs w:val="24"/>
        </w:rPr>
        <w:t xml:space="preserve"> is a definitions clause.</w:t>
      </w:r>
    </w:p>
    <w:p w:rsidR="002C0CD5" w:rsidRPr="0023682E" w:rsidRDefault="002C0CD5" w:rsidP="002C0CD5">
      <w:pPr>
        <w:ind w:right="91"/>
        <w:rPr>
          <w:sz w:val="24"/>
          <w:szCs w:val="24"/>
        </w:rPr>
      </w:pPr>
    </w:p>
    <w:p w:rsidR="002C0CD5" w:rsidRDefault="002C0CD5" w:rsidP="002C0CD5">
      <w:pPr>
        <w:ind w:right="91"/>
        <w:rPr>
          <w:sz w:val="24"/>
          <w:szCs w:val="24"/>
        </w:rPr>
      </w:pPr>
      <w:r w:rsidRPr="0023682E">
        <w:rPr>
          <w:sz w:val="24"/>
          <w:szCs w:val="24"/>
          <w:u w:val="single"/>
        </w:rPr>
        <w:t>Clause 4</w:t>
      </w:r>
      <w:r w:rsidRPr="0023682E">
        <w:rPr>
          <w:sz w:val="24"/>
          <w:szCs w:val="24"/>
        </w:rPr>
        <w:t xml:space="preserve"> is the main operative clause.  It provides that the Principal Notice is amended by </w:t>
      </w:r>
      <w:r>
        <w:rPr>
          <w:sz w:val="24"/>
          <w:szCs w:val="24"/>
        </w:rPr>
        <w:t>substituting the existing Item 9.1 of the Schedule to the Principal Notice with a new Item 9.1.</w:t>
      </w:r>
    </w:p>
    <w:p w:rsidR="002C0CD5" w:rsidRDefault="002C0CD5" w:rsidP="002C0CD5">
      <w:pPr>
        <w:rPr>
          <w:sz w:val="24"/>
          <w:szCs w:val="24"/>
        </w:rPr>
      </w:pPr>
    </w:p>
    <w:p w:rsidR="002C0CD5" w:rsidRPr="001249D6" w:rsidRDefault="002C0CD5" w:rsidP="002C0CD5">
      <w:pPr>
        <w:ind w:right="91"/>
        <w:rPr>
          <w:color w:val="FF0000"/>
          <w:sz w:val="24"/>
          <w:szCs w:val="24"/>
        </w:rPr>
      </w:pPr>
      <w:r w:rsidRPr="00E650C3">
        <w:rPr>
          <w:sz w:val="24"/>
          <w:szCs w:val="24"/>
        </w:rPr>
        <w:t>This amendment has the effect of removing certain events from the Principal Notice</w:t>
      </w:r>
      <w:r>
        <w:rPr>
          <w:sz w:val="24"/>
          <w:szCs w:val="24"/>
        </w:rPr>
        <w:t>;</w:t>
      </w:r>
      <w:r w:rsidRPr="00E650C3">
        <w:rPr>
          <w:sz w:val="24"/>
          <w:szCs w:val="24"/>
        </w:rPr>
        <w:t xml:space="preserve"> specifically, the effect of new Item </w:t>
      </w:r>
      <w:r>
        <w:rPr>
          <w:sz w:val="24"/>
          <w:szCs w:val="24"/>
        </w:rPr>
        <w:t>9</w:t>
      </w:r>
      <w:r w:rsidRPr="00E650C3">
        <w:rPr>
          <w:sz w:val="24"/>
          <w:szCs w:val="24"/>
        </w:rPr>
        <w:t xml:space="preserve">.1 of </w:t>
      </w:r>
      <w:r w:rsidR="00BD4974">
        <w:rPr>
          <w:sz w:val="24"/>
          <w:szCs w:val="24"/>
        </w:rPr>
        <w:t xml:space="preserve">the </w:t>
      </w:r>
      <w:r w:rsidRPr="00E650C3">
        <w:rPr>
          <w:sz w:val="24"/>
          <w:szCs w:val="24"/>
        </w:rPr>
        <w:t xml:space="preserve">Schedule is that each </w:t>
      </w:r>
      <w:r>
        <w:rPr>
          <w:sz w:val="24"/>
          <w:szCs w:val="24"/>
        </w:rPr>
        <w:t>match</w:t>
      </w:r>
      <w:r w:rsidRPr="00E650C3">
        <w:rPr>
          <w:sz w:val="24"/>
          <w:szCs w:val="24"/>
        </w:rPr>
        <w:t xml:space="preserve"> </w:t>
      </w:r>
      <w:r>
        <w:rPr>
          <w:sz w:val="24"/>
          <w:szCs w:val="24"/>
        </w:rPr>
        <w:t>of the Australian Open</w:t>
      </w:r>
      <w:r w:rsidRPr="00E650C3">
        <w:rPr>
          <w:sz w:val="24"/>
          <w:szCs w:val="24"/>
        </w:rPr>
        <w:t xml:space="preserve"> will remain listed on the Principal Notice (for the purposes of the obligations in Part 4A of Schedule 4 to the BSA), except for</w:t>
      </w:r>
      <w:r w:rsidRPr="001249D6">
        <w:rPr>
          <w:color w:val="FF0000"/>
          <w:sz w:val="24"/>
          <w:szCs w:val="24"/>
        </w:rPr>
        <w:t xml:space="preserve"> </w:t>
      </w:r>
      <w:r w:rsidR="007747B8" w:rsidRPr="007747B8">
        <w:rPr>
          <w:sz w:val="24"/>
          <w:szCs w:val="24"/>
        </w:rPr>
        <w:t xml:space="preserve">all matches held as part of </w:t>
      </w:r>
      <w:r w:rsidR="00C55C56">
        <w:rPr>
          <w:sz w:val="24"/>
          <w:szCs w:val="24"/>
        </w:rPr>
        <w:t>the</w:t>
      </w:r>
      <w:r>
        <w:rPr>
          <w:sz w:val="24"/>
          <w:szCs w:val="24"/>
        </w:rPr>
        <w:t>201</w:t>
      </w:r>
      <w:r w:rsidR="00806F4C">
        <w:rPr>
          <w:sz w:val="24"/>
          <w:szCs w:val="24"/>
        </w:rPr>
        <w:t>2</w:t>
      </w:r>
      <w:r w:rsidRPr="001249D6">
        <w:rPr>
          <w:sz w:val="24"/>
          <w:szCs w:val="24"/>
        </w:rPr>
        <w:t xml:space="preserve"> </w:t>
      </w:r>
      <w:r w:rsidR="00501EB5">
        <w:rPr>
          <w:sz w:val="24"/>
          <w:szCs w:val="24"/>
        </w:rPr>
        <w:t>Australian Open</w:t>
      </w:r>
      <w:r w:rsidR="003A39A2">
        <w:rPr>
          <w:sz w:val="24"/>
          <w:szCs w:val="24"/>
        </w:rPr>
        <w:t xml:space="preserve"> </w:t>
      </w:r>
      <w:r w:rsidR="003A39A2" w:rsidRPr="003A39A2">
        <w:rPr>
          <w:sz w:val="24"/>
          <w:szCs w:val="24"/>
        </w:rPr>
        <w:t>except for the me</w:t>
      </w:r>
      <w:r w:rsidR="003A39A2">
        <w:rPr>
          <w:sz w:val="24"/>
          <w:szCs w:val="24"/>
        </w:rPr>
        <w:t>n’s and women’s singles finals</w:t>
      </w:r>
      <w:r w:rsidRPr="001249D6">
        <w:rPr>
          <w:sz w:val="24"/>
          <w:szCs w:val="24"/>
        </w:rPr>
        <w:t>.</w:t>
      </w:r>
    </w:p>
    <w:p w:rsidR="002C0CD5" w:rsidRPr="0023682E" w:rsidRDefault="00501EB5" w:rsidP="00501EB5">
      <w:pPr>
        <w:tabs>
          <w:tab w:val="left" w:pos="930"/>
        </w:tabs>
        <w:rPr>
          <w:sz w:val="24"/>
          <w:szCs w:val="24"/>
        </w:rPr>
      </w:pPr>
      <w:r>
        <w:rPr>
          <w:sz w:val="24"/>
          <w:szCs w:val="24"/>
        </w:rPr>
        <w:tab/>
      </w:r>
    </w:p>
    <w:p w:rsidR="00C55C56" w:rsidRDefault="00C55C56" w:rsidP="002C0CD5">
      <w:pPr>
        <w:rPr>
          <w:sz w:val="24"/>
          <w:szCs w:val="24"/>
          <w:u w:val="single"/>
        </w:rPr>
      </w:pPr>
    </w:p>
    <w:p w:rsidR="00C55C56" w:rsidRDefault="00C55C56" w:rsidP="002C0CD5">
      <w:pPr>
        <w:rPr>
          <w:sz w:val="24"/>
          <w:szCs w:val="24"/>
          <w:u w:val="single"/>
        </w:rPr>
      </w:pPr>
    </w:p>
    <w:p w:rsidR="002C0CD5" w:rsidRPr="0023682E" w:rsidRDefault="002C0CD5" w:rsidP="002C0CD5">
      <w:pPr>
        <w:rPr>
          <w:sz w:val="24"/>
          <w:szCs w:val="24"/>
          <w:u w:val="single"/>
        </w:rPr>
      </w:pPr>
      <w:r w:rsidRPr="0023682E">
        <w:rPr>
          <w:sz w:val="24"/>
          <w:szCs w:val="24"/>
          <w:u w:val="single"/>
        </w:rPr>
        <w:lastRenderedPageBreak/>
        <w:t>Consultation</w:t>
      </w:r>
    </w:p>
    <w:p w:rsidR="002C0CD5" w:rsidRPr="0023682E" w:rsidRDefault="002C0CD5" w:rsidP="002C0CD5">
      <w:pPr>
        <w:rPr>
          <w:sz w:val="24"/>
          <w:szCs w:val="24"/>
        </w:rPr>
      </w:pPr>
    </w:p>
    <w:p w:rsidR="002C0CD5" w:rsidRPr="0023682E" w:rsidRDefault="00806F4C" w:rsidP="002C0CD5">
      <w:pPr>
        <w:rPr>
          <w:sz w:val="24"/>
          <w:szCs w:val="24"/>
        </w:rPr>
      </w:pPr>
      <w:r w:rsidRPr="00806F4C">
        <w:rPr>
          <w:sz w:val="24"/>
          <w:szCs w:val="24"/>
        </w:rPr>
        <w:t>Consultation was undertaken with the Seven Network</w:t>
      </w:r>
      <w:r w:rsidR="002C0CD5" w:rsidRPr="00806F4C">
        <w:rPr>
          <w:sz w:val="24"/>
          <w:szCs w:val="24"/>
        </w:rPr>
        <w:t xml:space="preserve"> in relation to this Notice</w:t>
      </w:r>
      <w:r w:rsidRPr="00806F4C">
        <w:rPr>
          <w:sz w:val="24"/>
          <w:szCs w:val="24"/>
        </w:rPr>
        <w:t xml:space="preserve"> following their request to the Minister to have the 2012 Australian Open tennis tournament removed from the anti-siphoning list.</w:t>
      </w:r>
      <w:r>
        <w:rPr>
          <w:sz w:val="24"/>
          <w:szCs w:val="24"/>
        </w:rPr>
        <w:t xml:space="preserve"> </w:t>
      </w:r>
      <w:r w:rsidR="002C0CD5" w:rsidRPr="0023682E">
        <w:rPr>
          <w:sz w:val="24"/>
          <w:szCs w:val="24"/>
        </w:rPr>
        <w:t xml:space="preserve"> </w:t>
      </w:r>
    </w:p>
    <w:p w:rsidR="002C0CD5" w:rsidRPr="0023682E" w:rsidRDefault="002C0CD5" w:rsidP="002C0CD5">
      <w:pPr>
        <w:rPr>
          <w:sz w:val="24"/>
          <w:szCs w:val="24"/>
        </w:rPr>
      </w:pPr>
    </w:p>
    <w:p w:rsidR="002C0CD5" w:rsidRPr="0023682E" w:rsidRDefault="002C0CD5" w:rsidP="002C0CD5">
      <w:pPr>
        <w:rPr>
          <w:sz w:val="24"/>
          <w:szCs w:val="24"/>
        </w:rPr>
      </w:pPr>
    </w:p>
    <w:p w:rsidR="001C6DC2" w:rsidRPr="00CA2B84" w:rsidRDefault="001C6DC2" w:rsidP="001C6DC2">
      <w:pPr>
        <w:spacing w:before="120" w:after="120"/>
        <w:jc w:val="center"/>
        <w:rPr>
          <w:b/>
          <w:sz w:val="28"/>
          <w:szCs w:val="28"/>
        </w:rPr>
      </w:pPr>
      <w:r w:rsidRPr="00CA2B84">
        <w:rPr>
          <w:b/>
          <w:sz w:val="28"/>
          <w:szCs w:val="28"/>
        </w:rPr>
        <w:t>Statement of Compatibility with Human Rights</w:t>
      </w:r>
    </w:p>
    <w:p w:rsidR="001C6DC2" w:rsidRPr="00CA2B84" w:rsidRDefault="001C6DC2" w:rsidP="001C6DC2">
      <w:pPr>
        <w:spacing w:before="120" w:after="120"/>
        <w:jc w:val="center"/>
        <w:rPr>
          <w:sz w:val="24"/>
          <w:szCs w:val="24"/>
        </w:rPr>
      </w:pPr>
      <w:r w:rsidRPr="00CA2B84">
        <w:rPr>
          <w:i/>
          <w:sz w:val="24"/>
          <w:szCs w:val="24"/>
        </w:rPr>
        <w:t>Prepared in accordance with Part 3 of the Human Rights (Parliamentary Scrutiny) Act 2011</w:t>
      </w:r>
    </w:p>
    <w:p w:rsidR="001C6DC2" w:rsidRPr="00421A52" w:rsidRDefault="001C6DC2" w:rsidP="001C6DC2">
      <w:pPr>
        <w:jc w:val="center"/>
        <w:rPr>
          <w:b/>
          <w:sz w:val="28"/>
          <w:szCs w:val="28"/>
        </w:rPr>
      </w:pPr>
      <w:r w:rsidRPr="00421A52">
        <w:rPr>
          <w:b/>
          <w:sz w:val="28"/>
          <w:szCs w:val="28"/>
        </w:rPr>
        <w:t>Broadcasting Services (Events) Notice (No. 1) 2010 (Amendment No. 1 of 2012)</w:t>
      </w:r>
    </w:p>
    <w:p w:rsidR="001C6DC2" w:rsidRPr="00CA2B84" w:rsidRDefault="001C6DC2" w:rsidP="001C6DC2">
      <w:pPr>
        <w:spacing w:before="120" w:after="120"/>
        <w:jc w:val="center"/>
        <w:rPr>
          <w:sz w:val="24"/>
          <w:szCs w:val="24"/>
        </w:rPr>
      </w:pPr>
      <w:r w:rsidRPr="00CA2B84">
        <w:rPr>
          <w:sz w:val="24"/>
          <w:szCs w:val="24"/>
        </w:rPr>
        <w:t xml:space="preserve">This </w:t>
      </w:r>
      <w:r>
        <w:rPr>
          <w:sz w:val="24"/>
          <w:szCs w:val="24"/>
        </w:rPr>
        <w:t>Legislative Instrument</w:t>
      </w:r>
      <w:r w:rsidRPr="00CA2B84">
        <w:rPr>
          <w:sz w:val="24"/>
          <w:szCs w:val="24"/>
        </w:rPr>
        <w:t xml:space="preserve"> is compatible with the human rights and freedoms recognised or declared in the international instruments listed in section 3 of the </w:t>
      </w:r>
      <w:r w:rsidRPr="00CA2B84">
        <w:rPr>
          <w:i/>
          <w:sz w:val="24"/>
          <w:szCs w:val="24"/>
        </w:rPr>
        <w:t>Human Rights (Parliamentary Scrutiny) Act 2011</w:t>
      </w:r>
      <w:r w:rsidRPr="00CA2B84">
        <w:rPr>
          <w:sz w:val="24"/>
          <w:szCs w:val="24"/>
        </w:rPr>
        <w:t>.</w:t>
      </w:r>
    </w:p>
    <w:p w:rsidR="001C6DC2" w:rsidRPr="00CA2B84" w:rsidRDefault="001C6DC2" w:rsidP="001C6DC2">
      <w:pPr>
        <w:spacing w:before="120" w:after="120"/>
        <w:jc w:val="center"/>
        <w:rPr>
          <w:sz w:val="24"/>
          <w:szCs w:val="24"/>
        </w:rPr>
      </w:pPr>
    </w:p>
    <w:p w:rsidR="001C6DC2" w:rsidRPr="00CA2B84" w:rsidRDefault="001C6DC2" w:rsidP="001C6DC2">
      <w:pPr>
        <w:spacing w:before="120" w:after="120"/>
        <w:jc w:val="both"/>
        <w:rPr>
          <w:b/>
          <w:sz w:val="24"/>
          <w:szCs w:val="24"/>
        </w:rPr>
      </w:pPr>
      <w:r w:rsidRPr="00CA2B84">
        <w:rPr>
          <w:b/>
          <w:sz w:val="24"/>
          <w:szCs w:val="24"/>
        </w:rPr>
        <w:t xml:space="preserve">Overview of the </w:t>
      </w:r>
      <w:r>
        <w:rPr>
          <w:b/>
          <w:sz w:val="24"/>
          <w:szCs w:val="24"/>
        </w:rPr>
        <w:t>Legislative Instrument</w:t>
      </w:r>
    </w:p>
    <w:p w:rsidR="001C6DC2" w:rsidRDefault="001C6DC2" w:rsidP="001C6DC2">
      <w:pPr>
        <w:rPr>
          <w:sz w:val="24"/>
          <w:szCs w:val="24"/>
        </w:rPr>
      </w:pPr>
      <w:r w:rsidRPr="00CA2B84">
        <w:rPr>
          <w:sz w:val="24"/>
          <w:szCs w:val="24"/>
        </w:rPr>
        <w:t xml:space="preserve">The </w:t>
      </w:r>
      <w:r>
        <w:rPr>
          <w:sz w:val="24"/>
          <w:szCs w:val="24"/>
        </w:rPr>
        <w:t>Legislative Instrument</w:t>
      </w:r>
      <w:r w:rsidRPr="00CA2B84">
        <w:rPr>
          <w:sz w:val="24"/>
          <w:szCs w:val="24"/>
        </w:rPr>
        <w:t xml:space="preserve"> </w:t>
      </w:r>
      <w:r>
        <w:rPr>
          <w:sz w:val="24"/>
          <w:szCs w:val="24"/>
        </w:rPr>
        <w:t xml:space="preserve">amends </w:t>
      </w:r>
      <w:r w:rsidRPr="00923CB1">
        <w:rPr>
          <w:sz w:val="24"/>
          <w:szCs w:val="24"/>
        </w:rPr>
        <w:t xml:space="preserve">the </w:t>
      </w:r>
      <w:r w:rsidR="007747B8" w:rsidRPr="007747B8">
        <w:rPr>
          <w:sz w:val="24"/>
          <w:szCs w:val="24"/>
        </w:rPr>
        <w:t xml:space="preserve">Broadcasting Services (Events) Notice (No. 1) 2010 </w:t>
      </w:r>
      <w:r>
        <w:rPr>
          <w:sz w:val="24"/>
          <w:szCs w:val="24"/>
        </w:rPr>
        <w:t>(</w:t>
      </w:r>
      <w:r w:rsidR="007747B8" w:rsidRPr="007747B8">
        <w:rPr>
          <w:sz w:val="24"/>
          <w:szCs w:val="24"/>
        </w:rPr>
        <w:t>commonly known as the anti-siphoning list</w:t>
      </w:r>
      <w:r>
        <w:rPr>
          <w:sz w:val="24"/>
          <w:szCs w:val="24"/>
        </w:rPr>
        <w:t xml:space="preserve">) </w:t>
      </w:r>
      <w:r w:rsidRPr="00923CB1">
        <w:rPr>
          <w:sz w:val="24"/>
          <w:szCs w:val="24"/>
        </w:rPr>
        <w:t xml:space="preserve">to remove certain </w:t>
      </w:r>
      <w:r>
        <w:rPr>
          <w:sz w:val="24"/>
          <w:szCs w:val="24"/>
        </w:rPr>
        <w:t>matches</w:t>
      </w:r>
      <w:r w:rsidRPr="00923CB1">
        <w:rPr>
          <w:sz w:val="24"/>
          <w:szCs w:val="24"/>
        </w:rPr>
        <w:t xml:space="preserve"> from the </w:t>
      </w:r>
      <w:r>
        <w:rPr>
          <w:sz w:val="24"/>
          <w:szCs w:val="24"/>
        </w:rPr>
        <w:t xml:space="preserve">2012 Australian Open tournament </w:t>
      </w:r>
      <w:r w:rsidR="003A39A2">
        <w:rPr>
          <w:sz w:val="24"/>
          <w:szCs w:val="24"/>
        </w:rPr>
        <w:t xml:space="preserve">which has </w:t>
      </w:r>
      <w:r>
        <w:rPr>
          <w:sz w:val="24"/>
          <w:szCs w:val="24"/>
        </w:rPr>
        <w:t xml:space="preserve">the effect of </w:t>
      </w:r>
      <w:r w:rsidRPr="00923CB1">
        <w:rPr>
          <w:sz w:val="24"/>
          <w:szCs w:val="24"/>
        </w:rPr>
        <w:t>permit</w:t>
      </w:r>
      <w:r w:rsidR="003A39A2">
        <w:rPr>
          <w:sz w:val="24"/>
          <w:szCs w:val="24"/>
        </w:rPr>
        <w:t>ting</w:t>
      </w:r>
      <w:r w:rsidRPr="00923CB1">
        <w:rPr>
          <w:sz w:val="24"/>
          <w:szCs w:val="24"/>
        </w:rPr>
        <w:t xml:space="preserve"> the events to be premiered on a free-to-air television digital multi-channel.</w:t>
      </w:r>
    </w:p>
    <w:p w:rsidR="003A39A2" w:rsidRDefault="003A39A2" w:rsidP="001C6DC2">
      <w:pPr>
        <w:rPr>
          <w:sz w:val="24"/>
          <w:szCs w:val="24"/>
        </w:rPr>
      </w:pPr>
    </w:p>
    <w:p w:rsidR="003A39A2" w:rsidRPr="00923CB1" w:rsidRDefault="003A39A2" w:rsidP="001C6DC2">
      <w:pPr>
        <w:rPr>
          <w:sz w:val="24"/>
          <w:szCs w:val="24"/>
        </w:rPr>
      </w:pPr>
      <w:r>
        <w:rPr>
          <w:sz w:val="24"/>
          <w:szCs w:val="24"/>
        </w:rPr>
        <w:t>This Legislative Instrument is consistent with Australia’s reservation that regulation of television broadcasting in the public interest with the object of providing the best possible broadcasting services to the Australian people</w:t>
      </w:r>
      <w:r w:rsidR="00A22D9D">
        <w:rPr>
          <w:sz w:val="24"/>
          <w:szCs w:val="24"/>
        </w:rPr>
        <w:t xml:space="preserve"> is compatible with</w:t>
      </w:r>
      <w:r>
        <w:rPr>
          <w:sz w:val="24"/>
          <w:szCs w:val="24"/>
        </w:rPr>
        <w:t xml:space="preserve"> Article 19 of the International Covenant on </w:t>
      </w:r>
      <w:r w:rsidR="00A22D9D">
        <w:rPr>
          <w:sz w:val="24"/>
          <w:szCs w:val="24"/>
        </w:rPr>
        <w:t xml:space="preserve">Civil and Political Rights </w:t>
      </w:r>
      <w:r w:rsidR="004A19EE">
        <w:rPr>
          <w:sz w:val="24"/>
          <w:szCs w:val="24"/>
        </w:rPr>
        <w:t xml:space="preserve">(one of </w:t>
      </w:r>
      <w:r w:rsidR="004A19EE" w:rsidRPr="00CA2B84">
        <w:rPr>
          <w:sz w:val="24"/>
          <w:szCs w:val="24"/>
        </w:rPr>
        <w:t xml:space="preserve">the international instruments listed in section 3 of the </w:t>
      </w:r>
      <w:r w:rsidR="004A19EE" w:rsidRPr="00CA2B84">
        <w:rPr>
          <w:i/>
          <w:sz w:val="24"/>
          <w:szCs w:val="24"/>
        </w:rPr>
        <w:t>Human Rights (Parliamentary Scrutiny) Act 2011</w:t>
      </w:r>
      <w:r w:rsidR="007747B8" w:rsidRPr="007747B8">
        <w:rPr>
          <w:sz w:val="24"/>
          <w:szCs w:val="24"/>
        </w:rPr>
        <w:t>)</w:t>
      </w:r>
      <w:r w:rsidR="004A19EE">
        <w:rPr>
          <w:i/>
          <w:sz w:val="24"/>
          <w:szCs w:val="24"/>
        </w:rPr>
        <w:t xml:space="preserve"> </w:t>
      </w:r>
      <w:r w:rsidR="00A22D9D">
        <w:rPr>
          <w:sz w:val="24"/>
          <w:szCs w:val="24"/>
        </w:rPr>
        <w:t>of which Australia is a signatory.</w:t>
      </w:r>
    </w:p>
    <w:p w:rsidR="001C6DC2" w:rsidRDefault="001C6DC2" w:rsidP="001C6DC2">
      <w:pPr>
        <w:rPr>
          <w:sz w:val="24"/>
          <w:szCs w:val="24"/>
        </w:rPr>
      </w:pPr>
    </w:p>
    <w:p w:rsidR="001C6DC2" w:rsidRDefault="001C6DC2" w:rsidP="001C6DC2">
      <w:pPr>
        <w:rPr>
          <w:sz w:val="24"/>
          <w:szCs w:val="24"/>
        </w:rPr>
      </w:pPr>
      <w:r w:rsidRPr="00923CB1">
        <w:rPr>
          <w:sz w:val="24"/>
          <w:szCs w:val="24"/>
        </w:rPr>
        <w:t xml:space="preserve">Removing these events from the anti-siphoning list will provide for greater flexibility in the free-to-air television coverage and increase live coverage of the 2012 Australian Open. This will enhance the viewing experience for Australian audiences. </w:t>
      </w:r>
    </w:p>
    <w:p w:rsidR="003A39A2" w:rsidRDefault="003A39A2" w:rsidP="001C6DC2">
      <w:pPr>
        <w:rPr>
          <w:sz w:val="24"/>
          <w:szCs w:val="24"/>
        </w:rPr>
      </w:pPr>
    </w:p>
    <w:p w:rsidR="001C6DC2" w:rsidRPr="00CA2B84" w:rsidRDefault="001C6DC2" w:rsidP="001C6DC2">
      <w:pPr>
        <w:spacing w:before="120" w:after="120"/>
        <w:rPr>
          <w:b/>
          <w:sz w:val="24"/>
          <w:szCs w:val="24"/>
        </w:rPr>
      </w:pPr>
      <w:r w:rsidRPr="00CA2B84">
        <w:rPr>
          <w:b/>
          <w:sz w:val="24"/>
          <w:szCs w:val="24"/>
        </w:rPr>
        <w:t>Human rights implications</w:t>
      </w:r>
    </w:p>
    <w:p w:rsidR="001C6DC2" w:rsidRPr="00CA2B84" w:rsidRDefault="001C6DC2" w:rsidP="001C6DC2">
      <w:pPr>
        <w:spacing w:before="120" w:after="120"/>
        <w:rPr>
          <w:sz w:val="24"/>
          <w:szCs w:val="24"/>
        </w:rPr>
      </w:pPr>
      <w:r w:rsidRPr="00CA2B84">
        <w:rPr>
          <w:sz w:val="24"/>
          <w:szCs w:val="24"/>
        </w:rPr>
        <w:t xml:space="preserve">This </w:t>
      </w:r>
      <w:r>
        <w:rPr>
          <w:sz w:val="24"/>
          <w:szCs w:val="24"/>
        </w:rPr>
        <w:t>Legislative Instrument</w:t>
      </w:r>
      <w:r w:rsidRPr="00CA2B84">
        <w:rPr>
          <w:sz w:val="24"/>
          <w:szCs w:val="24"/>
        </w:rPr>
        <w:t xml:space="preserve"> does not engage any of the applicable rights or freedoms.</w:t>
      </w:r>
    </w:p>
    <w:p w:rsidR="001C6DC2" w:rsidRPr="00CA2B84" w:rsidRDefault="001C6DC2" w:rsidP="001C6DC2">
      <w:pPr>
        <w:spacing w:before="120" w:after="120"/>
        <w:rPr>
          <w:b/>
          <w:sz w:val="24"/>
          <w:szCs w:val="24"/>
        </w:rPr>
      </w:pPr>
      <w:r w:rsidRPr="00CA2B84">
        <w:rPr>
          <w:b/>
          <w:sz w:val="24"/>
          <w:szCs w:val="24"/>
        </w:rPr>
        <w:t>Conclusion</w:t>
      </w:r>
    </w:p>
    <w:p w:rsidR="001C6DC2" w:rsidRPr="00CA2B84" w:rsidRDefault="001C6DC2" w:rsidP="001C6DC2">
      <w:pPr>
        <w:spacing w:before="120" w:after="120"/>
        <w:rPr>
          <w:sz w:val="24"/>
          <w:szCs w:val="24"/>
        </w:rPr>
      </w:pPr>
      <w:r w:rsidRPr="00CA2B84">
        <w:rPr>
          <w:sz w:val="24"/>
          <w:szCs w:val="24"/>
        </w:rPr>
        <w:t xml:space="preserve">This </w:t>
      </w:r>
      <w:r>
        <w:rPr>
          <w:sz w:val="24"/>
          <w:szCs w:val="24"/>
        </w:rPr>
        <w:t>Legislative Instrument</w:t>
      </w:r>
      <w:r w:rsidRPr="00CA2B84">
        <w:rPr>
          <w:sz w:val="24"/>
          <w:szCs w:val="24"/>
        </w:rPr>
        <w:t xml:space="preserve"> is compatible with human rights as it does not raise any human rights issues.</w:t>
      </w:r>
    </w:p>
    <w:p w:rsidR="001C6DC2" w:rsidRPr="00CA2B84" w:rsidRDefault="001C6DC2" w:rsidP="001C6DC2">
      <w:pPr>
        <w:spacing w:before="120" w:after="120"/>
        <w:jc w:val="center"/>
        <w:rPr>
          <w:b/>
          <w:bCs/>
          <w:color w:val="0070C0"/>
          <w:sz w:val="24"/>
          <w:szCs w:val="24"/>
        </w:rPr>
      </w:pPr>
    </w:p>
    <w:p w:rsidR="001C6DC2" w:rsidRDefault="001C6DC2" w:rsidP="001C6DC2">
      <w:pPr>
        <w:tabs>
          <w:tab w:val="left" w:pos="1134"/>
        </w:tabs>
        <w:ind w:left="708" w:hanging="708"/>
        <w:jc w:val="center"/>
        <w:rPr>
          <w:b/>
          <w:bCs/>
          <w:sz w:val="24"/>
          <w:szCs w:val="24"/>
        </w:rPr>
      </w:pPr>
      <w:r w:rsidRPr="00923CB1">
        <w:rPr>
          <w:b/>
          <w:bCs/>
          <w:sz w:val="24"/>
          <w:szCs w:val="24"/>
        </w:rPr>
        <w:t>S</w:t>
      </w:r>
      <w:r>
        <w:rPr>
          <w:b/>
          <w:bCs/>
          <w:sz w:val="24"/>
          <w:szCs w:val="24"/>
        </w:rPr>
        <w:t xml:space="preserve">tephen Michael Conroy </w:t>
      </w:r>
    </w:p>
    <w:p w:rsidR="001C6DC2" w:rsidRPr="00923CB1" w:rsidRDefault="001C6DC2" w:rsidP="001C6DC2">
      <w:pPr>
        <w:tabs>
          <w:tab w:val="left" w:pos="1134"/>
        </w:tabs>
        <w:ind w:left="708" w:hanging="708"/>
        <w:jc w:val="center"/>
        <w:rPr>
          <w:b/>
          <w:bCs/>
          <w:sz w:val="24"/>
          <w:szCs w:val="24"/>
        </w:rPr>
      </w:pPr>
      <w:r w:rsidRPr="00923CB1">
        <w:rPr>
          <w:b/>
          <w:bCs/>
          <w:sz w:val="24"/>
          <w:szCs w:val="24"/>
        </w:rPr>
        <w:t>Minister for Broadband, Communications and the Digital Economy</w:t>
      </w:r>
    </w:p>
    <w:p w:rsidR="002C0CD5" w:rsidRDefault="002C0CD5"/>
    <w:sectPr w:rsidR="002C0CD5" w:rsidSect="002C0CD5">
      <w:headerReference w:type="default" r:id="rId6"/>
      <w:footerReference w:type="first" r:id="rId7"/>
      <w:pgSz w:w="11906" w:h="16838"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9A2" w:rsidRDefault="003A39A2" w:rsidP="009A5536">
      <w:r>
        <w:separator/>
      </w:r>
    </w:p>
  </w:endnote>
  <w:endnote w:type="continuationSeparator" w:id="0">
    <w:p w:rsidR="003A39A2" w:rsidRDefault="003A39A2" w:rsidP="009A5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A2" w:rsidRDefault="003A39A2">
    <w:pPr>
      <w:pStyle w:val="Footer"/>
      <w:jc w:val="center"/>
    </w:pPr>
  </w:p>
  <w:p w:rsidR="003A39A2" w:rsidRDefault="003A39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9A2" w:rsidRDefault="003A39A2" w:rsidP="009A5536">
      <w:r>
        <w:separator/>
      </w:r>
    </w:p>
  </w:footnote>
  <w:footnote w:type="continuationSeparator" w:id="0">
    <w:p w:rsidR="003A39A2" w:rsidRDefault="003A39A2" w:rsidP="009A5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A2" w:rsidRDefault="003A39A2">
    <w:pPr>
      <w:pStyle w:val="Header"/>
    </w:pPr>
    <w:r>
      <w:tab/>
    </w:r>
    <w:r w:rsidR="002F2414">
      <w:rPr>
        <w:rStyle w:val="PageNumber"/>
      </w:rPr>
      <w:fldChar w:fldCharType="begin"/>
    </w:r>
    <w:r>
      <w:rPr>
        <w:rStyle w:val="PageNumber"/>
      </w:rPr>
      <w:instrText xml:space="preserve"> PAGE </w:instrText>
    </w:r>
    <w:r w:rsidR="002F2414">
      <w:rPr>
        <w:rStyle w:val="PageNumber"/>
      </w:rPr>
      <w:fldChar w:fldCharType="separate"/>
    </w:r>
    <w:r w:rsidR="00196ED5">
      <w:rPr>
        <w:rStyle w:val="PageNumber"/>
        <w:noProof/>
      </w:rPr>
      <w:t>2</w:t>
    </w:r>
    <w:r w:rsidR="002F2414">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C0CD5"/>
    <w:rsid w:val="00014D0F"/>
    <w:rsid w:val="00052478"/>
    <w:rsid w:val="00090569"/>
    <w:rsid w:val="0009720F"/>
    <w:rsid w:val="000A704C"/>
    <w:rsid w:val="001013DD"/>
    <w:rsid w:val="0012015C"/>
    <w:rsid w:val="00136D23"/>
    <w:rsid w:val="00196ED5"/>
    <w:rsid w:val="001C6DC2"/>
    <w:rsid w:val="00203EBE"/>
    <w:rsid w:val="002817A8"/>
    <w:rsid w:val="00297734"/>
    <w:rsid w:val="002C0CD5"/>
    <w:rsid w:val="002F2414"/>
    <w:rsid w:val="002F4E99"/>
    <w:rsid w:val="00300D7D"/>
    <w:rsid w:val="00336B91"/>
    <w:rsid w:val="0034299C"/>
    <w:rsid w:val="003A1A35"/>
    <w:rsid w:val="003A39A2"/>
    <w:rsid w:val="00442A12"/>
    <w:rsid w:val="0047601F"/>
    <w:rsid w:val="00497F62"/>
    <w:rsid w:val="004A19EE"/>
    <w:rsid w:val="004B75EA"/>
    <w:rsid w:val="00501EB5"/>
    <w:rsid w:val="00517442"/>
    <w:rsid w:val="00517B36"/>
    <w:rsid w:val="0056237D"/>
    <w:rsid w:val="005627A9"/>
    <w:rsid w:val="005A03F1"/>
    <w:rsid w:val="005A39C8"/>
    <w:rsid w:val="005D6D6F"/>
    <w:rsid w:val="005E26DD"/>
    <w:rsid w:val="006B0888"/>
    <w:rsid w:val="006E201C"/>
    <w:rsid w:val="007747B8"/>
    <w:rsid w:val="00786989"/>
    <w:rsid w:val="007E0BA1"/>
    <w:rsid w:val="00806F4C"/>
    <w:rsid w:val="00807748"/>
    <w:rsid w:val="00870B67"/>
    <w:rsid w:val="00893980"/>
    <w:rsid w:val="00907575"/>
    <w:rsid w:val="00951AE3"/>
    <w:rsid w:val="00952E77"/>
    <w:rsid w:val="009A5536"/>
    <w:rsid w:val="009F630F"/>
    <w:rsid w:val="00A22D9D"/>
    <w:rsid w:val="00B1639B"/>
    <w:rsid w:val="00B33CFF"/>
    <w:rsid w:val="00B61477"/>
    <w:rsid w:val="00BD4974"/>
    <w:rsid w:val="00BF4247"/>
    <w:rsid w:val="00BF788E"/>
    <w:rsid w:val="00C47D42"/>
    <w:rsid w:val="00C53D90"/>
    <w:rsid w:val="00C55C56"/>
    <w:rsid w:val="00CC27D8"/>
    <w:rsid w:val="00CE05BE"/>
    <w:rsid w:val="00CE21C9"/>
    <w:rsid w:val="00CF585A"/>
    <w:rsid w:val="00D143D2"/>
    <w:rsid w:val="00D326BF"/>
    <w:rsid w:val="00D75085"/>
    <w:rsid w:val="00DA72D3"/>
    <w:rsid w:val="00DC0F57"/>
    <w:rsid w:val="00E2167F"/>
    <w:rsid w:val="00E47933"/>
    <w:rsid w:val="00E85A7F"/>
    <w:rsid w:val="00EA58B4"/>
    <w:rsid w:val="00EA7478"/>
    <w:rsid w:val="00EB258C"/>
    <w:rsid w:val="00EE4315"/>
    <w:rsid w:val="00F2257C"/>
    <w:rsid w:val="00F600C5"/>
    <w:rsid w:val="00F670AB"/>
    <w:rsid w:val="00FA7522"/>
    <w:rsid w:val="00FC1B28"/>
    <w:rsid w:val="00FD62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b/>
      <w:bCs/>
    </w:rPr>
  </w:style>
</w:styles>
</file>

<file path=word/webSettings.xml><?xml version="1.0" encoding="utf-8"?>
<w:webSettings xmlns:r="http://schemas.openxmlformats.org/officeDocument/2006/relationships" xmlns:w="http://schemas.openxmlformats.org/wordprocessingml/2006/main">
  <w:divs>
    <w:div w:id="9810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5738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bmetschke</cp:lastModifiedBy>
  <cp:revision>2</cp:revision>
  <cp:lastPrinted>2011-12-23T00:06:00Z</cp:lastPrinted>
  <dcterms:created xsi:type="dcterms:W3CDTF">2012-01-12T01:09:00Z</dcterms:created>
  <dcterms:modified xsi:type="dcterms:W3CDTF">2012-01-12T01:09:00Z</dcterms:modified>
</cp:coreProperties>
</file>