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5E" w:rsidRPr="00B5532A" w:rsidRDefault="000C025E">
      <w:pPr>
        <w:pStyle w:val="Title"/>
        <w:rPr>
          <w:sz w:val="24"/>
          <w:szCs w:val="24"/>
        </w:rPr>
      </w:pPr>
      <w:r w:rsidRPr="00B5532A">
        <w:rPr>
          <w:sz w:val="24"/>
          <w:szCs w:val="24"/>
        </w:rPr>
        <w:t xml:space="preserve">ASIC CLASS ORDER [CO </w:t>
      </w:r>
      <w:r w:rsidR="008111D2" w:rsidRPr="00B5532A">
        <w:rPr>
          <w:sz w:val="24"/>
          <w:szCs w:val="24"/>
        </w:rPr>
        <w:t>12</w:t>
      </w:r>
      <w:r w:rsidRPr="00B5532A">
        <w:rPr>
          <w:sz w:val="24"/>
          <w:szCs w:val="24"/>
        </w:rPr>
        <w:t>/</w:t>
      </w:r>
      <w:r w:rsidR="008111D2" w:rsidRPr="00B5532A">
        <w:rPr>
          <w:sz w:val="24"/>
          <w:szCs w:val="24"/>
        </w:rPr>
        <w:t>1482</w:t>
      </w:r>
      <w:r w:rsidRPr="00B5532A">
        <w:rPr>
          <w:sz w:val="24"/>
          <w:szCs w:val="24"/>
        </w:rPr>
        <w:t>]</w:t>
      </w:r>
    </w:p>
    <w:p w:rsidR="000C025E" w:rsidRPr="00B5532A" w:rsidRDefault="000C025E">
      <w:pPr>
        <w:pStyle w:val="Title"/>
        <w:rPr>
          <w:sz w:val="24"/>
          <w:szCs w:val="24"/>
        </w:rPr>
      </w:pPr>
    </w:p>
    <w:p w:rsidR="000C025E" w:rsidRPr="00B5532A" w:rsidRDefault="000C025E">
      <w:pPr>
        <w:pStyle w:val="Title"/>
        <w:rPr>
          <w:sz w:val="24"/>
          <w:szCs w:val="24"/>
        </w:rPr>
      </w:pPr>
      <w:r w:rsidRPr="00B5532A">
        <w:rPr>
          <w:sz w:val="24"/>
          <w:szCs w:val="24"/>
        </w:rPr>
        <w:t>EXPLANATORY STATEMENT</w:t>
      </w:r>
    </w:p>
    <w:p w:rsidR="000C025E" w:rsidRPr="00B5532A" w:rsidRDefault="000C025E">
      <w:pPr>
        <w:ind w:right="-311"/>
        <w:jc w:val="center"/>
      </w:pPr>
    </w:p>
    <w:p w:rsidR="000C025E" w:rsidRPr="00B5532A" w:rsidRDefault="000C025E">
      <w:pPr>
        <w:pStyle w:val="BodyTextcentred"/>
        <w:rPr>
          <w:szCs w:val="24"/>
        </w:rPr>
      </w:pPr>
      <w:r w:rsidRPr="00B5532A">
        <w:rPr>
          <w:szCs w:val="24"/>
        </w:rPr>
        <w:t>Prepared by the Australian Securities and Investments Commission</w:t>
      </w:r>
    </w:p>
    <w:p w:rsidR="000C025E" w:rsidRPr="00B5532A" w:rsidRDefault="000C025E">
      <w:pPr>
        <w:pStyle w:val="BodyTextcentreditals"/>
        <w:rPr>
          <w:szCs w:val="24"/>
        </w:rPr>
      </w:pPr>
      <w:r w:rsidRPr="00B5532A">
        <w:rPr>
          <w:szCs w:val="24"/>
        </w:rPr>
        <w:t>Corporations Act 2001</w:t>
      </w:r>
    </w:p>
    <w:p w:rsidR="000C025E" w:rsidRPr="00B5532A" w:rsidRDefault="000C025E" w:rsidP="007C735F">
      <w:pPr>
        <w:pStyle w:val="BodyText"/>
        <w:tabs>
          <w:tab w:val="clear" w:pos="567"/>
          <w:tab w:val="clear" w:pos="680"/>
        </w:tabs>
        <w:rPr>
          <w:szCs w:val="24"/>
        </w:rPr>
      </w:pPr>
      <w:r w:rsidRPr="00B5532A">
        <w:rPr>
          <w:szCs w:val="24"/>
        </w:rPr>
        <w:t>The Australian Securities and Investments Commission (</w:t>
      </w:r>
      <w:r w:rsidRPr="00B5532A">
        <w:rPr>
          <w:b/>
          <w:i/>
          <w:szCs w:val="24"/>
        </w:rPr>
        <w:t>ASIC</w:t>
      </w:r>
      <w:r w:rsidRPr="00B5532A">
        <w:rPr>
          <w:szCs w:val="24"/>
        </w:rPr>
        <w:t>) makes ASIC Class Order [CO </w:t>
      </w:r>
      <w:r w:rsidR="008111D2" w:rsidRPr="00B5532A">
        <w:rPr>
          <w:szCs w:val="24"/>
        </w:rPr>
        <w:t>12</w:t>
      </w:r>
      <w:r w:rsidRPr="00B5532A">
        <w:rPr>
          <w:szCs w:val="24"/>
        </w:rPr>
        <w:t>/</w:t>
      </w:r>
      <w:r w:rsidR="008111D2" w:rsidRPr="00B5532A">
        <w:rPr>
          <w:szCs w:val="24"/>
        </w:rPr>
        <w:t>1482</w:t>
      </w:r>
      <w:r w:rsidRPr="00B5532A">
        <w:rPr>
          <w:szCs w:val="24"/>
        </w:rPr>
        <w:t xml:space="preserve">] under paragraph 283GA(1)(b) of the </w:t>
      </w:r>
      <w:r w:rsidRPr="00B5532A">
        <w:rPr>
          <w:i/>
          <w:iCs/>
          <w:szCs w:val="24"/>
        </w:rPr>
        <w:t>Corporations Act 2001</w:t>
      </w:r>
      <w:r w:rsidRPr="00B5532A">
        <w:rPr>
          <w:szCs w:val="24"/>
        </w:rPr>
        <w:t xml:space="preserve"> (the</w:t>
      </w:r>
      <w:r w:rsidR="007C735F" w:rsidRPr="00B5532A">
        <w:rPr>
          <w:szCs w:val="24"/>
        </w:rPr>
        <w:t> </w:t>
      </w:r>
      <w:r w:rsidRPr="00B5532A">
        <w:rPr>
          <w:b/>
          <w:i/>
          <w:szCs w:val="24"/>
        </w:rPr>
        <w:t>Act</w:t>
      </w:r>
      <w:r w:rsidRPr="00B5532A">
        <w:rPr>
          <w:szCs w:val="24"/>
        </w:rPr>
        <w:t xml:space="preserve">). </w:t>
      </w:r>
    </w:p>
    <w:p w:rsidR="000C025E" w:rsidRPr="00B5532A" w:rsidRDefault="000C025E">
      <w:pPr>
        <w:pStyle w:val="BodyText"/>
        <w:rPr>
          <w:szCs w:val="24"/>
        </w:rPr>
      </w:pPr>
      <w:r w:rsidRPr="00B5532A">
        <w:rPr>
          <w:szCs w:val="24"/>
        </w:rPr>
        <w:t xml:space="preserve">Section 283GA provides that ASIC may declare that Chapter 2L of the Act applies to a person as if specified provisions were omitted, modified or varied </w:t>
      </w:r>
      <w:r w:rsidR="008E0394" w:rsidRPr="00B5532A">
        <w:rPr>
          <w:szCs w:val="24"/>
        </w:rPr>
        <w:t>as specified in the declaration</w:t>
      </w:r>
      <w:r w:rsidRPr="00B5532A">
        <w:rPr>
          <w:szCs w:val="24"/>
        </w:rPr>
        <w:t>.</w:t>
      </w:r>
    </w:p>
    <w:p w:rsidR="000C025E" w:rsidRPr="00B5532A" w:rsidRDefault="000C025E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Cs/>
          <w:kern w:val="32"/>
          <w:sz w:val="24"/>
          <w:szCs w:val="24"/>
        </w:rPr>
      </w:pPr>
      <w:bookmarkStart w:id="0" w:name="_Toc158699036"/>
      <w:r w:rsidRPr="00B5532A">
        <w:rPr>
          <w:rFonts w:ascii="Times New Roman" w:hAnsi="Times New Roman"/>
          <w:bCs/>
          <w:kern w:val="32"/>
          <w:sz w:val="24"/>
          <w:szCs w:val="24"/>
        </w:rPr>
        <w:t>1.</w:t>
      </w:r>
      <w:r w:rsidRPr="00B5532A">
        <w:rPr>
          <w:rFonts w:ascii="Times New Roman" w:hAnsi="Times New Roman"/>
          <w:bCs/>
          <w:kern w:val="32"/>
          <w:sz w:val="24"/>
          <w:szCs w:val="24"/>
        </w:rPr>
        <w:tab/>
        <w:t>Background</w:t>
      </w:r>
      <w:bookmarkEnd w:id="0"/>
    </w:p>
    <w:p w:rsidR="007C735F" w:rsidRPr="00B5532A" w:rsidRDefault="008407E1">
      <w:pPr>
        <w:pStyle w:val="BodyText"/>
        <w:rPr>
          <w:szCs w:val="24"/>
        </w:rPr>
      </w:pPr>
      <w:r w:rsidRPr="00B5532A">
        <w:rPr>
          <w:szCs w:val="24"/>
        </w:rPr>
        <w:t xml:space="preserve">A </w:t>
      </w:r>
      <w:r w:rsidR="007C735F" w:rsidRPr="00B5532A">
        <w:rPr>
          <w:szCs w:val="24"/>
        </w:rPr>
        <w:t>“</w:t>
      </w:r>
      <w:r w:rsidRPr="00B5532A">
        <w:rPr>
          <w:szCs w:val="24"/>
        </w:rPr>
        <w:t>debenture</w:t>
      </w:r>
      <w:r w:rsidR="007C735F" w:rsidRPr="00B5532A">
        <w:rPr>
          <w:szCs w:val="24"/>
        </w:rPr>
        <w:t>”</w:t>
      </w:r>
      <w:r w:rsidRPr="00B5532A">
        <w:rPr>
          <w:szCs w:val="24"/>
        </w:rPr>
        <w:t xml:space="preserve"> </w:t>
      </w:r>
      <w:r w:rsidR="00A769CC" w:rsidRPr="00B5532A">
        <w:rPr>
          <w:szCs w:val="24"/>
        </w:rPr>
        <w:t>i</w:t>
      </w:r>
      <w:r w:rsidRPr="00B5532A">
        <w:rPr>
          <w:szCs w:val="24"/>
        </w:rPr>
        <w:t>n its simplest form is an undertaking to repay money</w:t>
      </w:r>
      <w:r w:rsidR="00A769CC" w:rsidRPr="00B5532A">
        <w:rPr>
          <w:szCs w:val="24"/>
        </w:rPr>
        <w:t>.</w:t>
      </w:r>
    </w:p>
    <w:p w:rsidR="008407E1" w:rsidRPr="00B5532A" w:rsidRDefault="007C735F">
      <w:pPr>
        <w:pStyle w:val="BodyText"/>
        <w:rPr>
          <w:szCs w:val="24"/>
        </w:rPr>
      </w:pPr>
      <w:proofErr w:type="gramStart"/>
      <w:r w:rsidRPr="00B5532A">
        <w:rPr>
          <w:szCs w:val="24"/>
        </w:rPr>
        <w:t>S</w:t>
      </w:r>
      <w:r w:rsidR="008407E1" w:rsidRPr="00B5532A">
        <w:rPr>
          <w:szCs w:val="24"/>
        </w:rPr>
        <w:t>ection 283B</w:t>
      </w:r>
      <w:r w:rsidR="00E20CE3" w:rsidRPr="00B5532A">
        <w:rPr>
          <w:szCs w:val="24"/>
        </w:rPr>
        <w:t>H</w:t>
      </w:r>
      <w:r w:rsidR="008407E1" w:rsidRPr="00B5532A">
        <w:rPr>
          <w:szCs w:val="24"/>
        </w:rPr>
        <w:t xml:space="preserve"> of the Act</w:t>
      </w:r>
      <w:r w:rsidR="00E20CE3" w:rsidRPr="00B5532A">
        <w:rPr>
          <w:szCs w:val="24"/>
        </w:rPr>
        <w:t xml:space="preserve"> sets out rules on </w:t>
      </w:r>
      <w:r w:rsidR="00E34B08" w:rsidRPr="00B5532A">
        <w:rPr>
          <w:szCs w:val="24"/>
        </w:rPr>
        <w:t>how debentures may be described</w:t>
      </w:r>
      <w:r w:rsidR="00E20CE3" w:rsidRPr="00B5532A">
        <w:rPr>
          <w:szCs w:val="24"/>
        </w:rPr>
        <w:t xml:space="preserve"> in a document relating to an offer (eg. a prospectus</w:t>
      </w:r>
      <w:r w:rsidR="00A739EA" w:rsidRPr="00B5532A">
        <w:rPr>
          <w:szCs w:val="24"/>
        </w:rPr>
        <w:t xml:space="preserve"> </w:t>
      </w:r>
      <w:r w:rsidR="00E20CE3" w:rsidRPr="00B5532A">
        <w:rPr>
          <w:szCs w:val="24"/>
        </w:rPr>
        <w:t>or an advertisement).</w:t>
      </w:r>
      <w:proofErr w:type="gramEnd"/>
      <w:r w:rsidR="00E20CE3" w:rsidRPr="00B5532A">
        <w:rPr>
          <w:szCs w:val="24"/>
        </w:rPr>
        <w:t xml:space="preserve"> Section 283BH includes three permitted categories</w:t>
      </w:r>
      <w:r w:rsidR="00E34B08" w:rsidRPr="00B5532A">
        <w:rPr>
          <w:szCs w:val="24"/>
        </w:rPr>
        <w:t>, being</w:t>
      </w:r>
      <w:r w:rsidR="00E20CE3" w:rsidRPr="00B5532A">
        <w:rPr>
          <w:szCs w:val="24"/>
        </w:rPr>
        <w:t xml:space="preserve"> a mortgage debenture, debenture and an unsecured note</w:t>
      </w:r>
      <w:r w:rsidR="00E34B08" w:rsidRPr="00B5532A">
        <w:rPr>
          <w:szCs w:val="24"/>
        </w:rPr>
        <w:t xml:space="preserve"> (or unsecured deposit note)</w:t>
      </w:r>
      <w:r w:rsidR="00E20CE3" w:rsidRPr="00B5532A">
        <w:rPr>
          <w:szCs w:val="24"/>
        </w:rPr>
        <w:t xml:space="preserve">. The </w:t>
      </w:r>
      <w:r w:rsidR="00E34B08" w:rsidRPr="00B5532A">
        <w:rPr>
          <w:szCs w:val="24"/>
        </w:rPr>
        <w:t xml:space="preserve">applicable </w:t>
      </w:r>
      <w:r w:rsidR="00E20CE3" w:rsidRPr="00B5532A">
        <w:rPr>
          <w:szCs w:val="24"/>
        </w:rPr>
        <w:t xml:space="preserve">category depends on the nature of </w:t>
      </w:r>
      <w:r w:rsidR="00E34B08" w:rsidRPr="00B5532A">
        <w:rPr>
          <w:szCs w:val="24"/>
        </w:rPr>
        <w:t>any</w:t>
      </w:r>
      <w:r w:rsidR="00E20CE3" w:rsidRPr="00B5532A">
        <w:rPr>
          <w:szCs w:val="24"/>
        </w:rPr>
        <w:t xml:space="preserve"> security, the type of property offered as collateral under </w:t>
      </w:r>
      <w:r w:rsidR="00E34B08" w:rsidRPr="00B5532A">
        <w:rPr>
          <w:szCs w:val="24"/>
        </w:rPr>
        <w:t>the</w:t>
      </w:r>
      <w:r w:rsidR="00E20CE3" w:rsidRPr="00B5532A">
        <w:rPr>
          <w:szCs w:val="24"/>
        </w:rPr>
        <w:t xml:space="preserve"> security and whether </w:t>
      </w:r>
      <w:r w:rsidR="00E34B08" w:rsidRPr="00B5532A">
        <w:rPr>
          <w:szCs w:val="24"/>
        </w:rPr>
        <w:t>the property that constitutes the security</w:t>
      </w:r>
      <w:r w:rsidR="00E20CE3" w:rsidRPr="00B5532A">
        <w:rPr>
          <w:szCs w:val="24"/>
        </w:rPr>
        <w:t xml:space="preserve"> is sufficient to </w:t>
      </w:r>
      <w:r w:rsidR="00E34B08" w:rsidRPr="00B5532A">
        <w:rPr>
          <w:szCs w:val="24"/>
        </w:rPr>
        <w:t>meet the obligations under the debenture</w:t>
      </w:r>
      <w:r w:rsidR="00E20CE3" w:rsidRPr="00B5532A">
        <w:rPr>
          <w:szCs w:val="24"/>
        </w:rPr>
        <w:t xml:space="preserve">. </w:t>
      </w:r>
      <w:r w:rsidR="00E34B08" w:rsidRPr="00B5532A">
        <w:rPr>
          <w:szCs w:val="24"/>
        </w:rPr>
        <w:t xml:space="preserve">Relevantly, only security over </w:t>
      </w:r>
      <w:r w:rsidRPr="00B5532A">
        <w:rPr>
          <w:szCs w:val="24"/>
        </w:rPr>
        <w:t>“</w:t>
      </w:r>
      <w:r w:rsidR="00E34B08" w:rsidRPr="00B5532A">
        <w:rPr>
          <w:szCs w:val="24"/>
        </w:rPr>
        <w:t>tangible property</w:t>
      </w:r>
      <w:r w:rsidRPr="00B5532A">
        <w:rPr>
          <w:szCs w:val="24"/>
        </w:rPr>
        <w:t>”</w:t>
      </w:r>
      <w:r w:rsidR="00E34B08" w:rsidRPr="00B5532A">
        <w:rPr>
          <w:szCs w:val="24"/>
        </w:rPr>
        <w:t xml:space="preserve"> is taken into account for this purpose.</w:t>
      </w:r>
    </w:p>
    <w:p w:rsidR="00E43A62" w:rsidRPr="00B5532A" w:rsidRDefault="00473B67" w:rsidP="00473B67">
      <w:pPr>
        <w:pStyle w:val="BodyText"/>
        <w:rPr>
          <w:szCs w:val="24"/>
        </w:rPr>
      </w:pPr>
      <w:r w:rsidRPr="00B5532A">
        <w:rPr>
          <w:szCs w:val="24"/>
        </w:rPr>
        <w:t xml:space="preserve"> </w:t>
      </w:r>
      <w:r w:rsidR="007C735F" w:rsidRPr="00B5532A">
        <w:rPr>
          <w:szCs w:val="24"/>
        </w:rPr>
        <w:t>“</w:t>
      </w:r>
      <w:r w:rsidR="00DB1AF4" w:rsidRPr="00B5532A">
        <w:rPr>
          <w:szCs w:val="24"/>
        </w:rPr>
        <w:t>T</w:t>
      </w:r>
      <w:r w:rsidRPr="00B5532A">
        <w:rPr>
          <w:szCs w:val="24"/>
        </w:rPr>
        <w:t>angible property</w:t>
      </w:r>
      <w:r w:rsidR="007C735F" w:rsidRPr="00B5532A">
        <w:rPr>
          <w:szCs w:val="24"/>
        </w:rPr>
        <w:t>”</w:t>
      </w:r>
      <w:r w:rsidR="00E34B08" w:rsidRPr="00B5532A">
        <w:rPr>
          <w:szCs w:val="24"/>
        </w:rPr>
        <w:t xml:space="preserve"> </w:t>
      </w:r>
      <w:r w:rsidRPr="00B5532A">
        <w:rPr>
          <w:szCs w:val="24"/>
        </w:rPr>
        <w:t xml:space="preserve">is property that has an actual physical existence (for example, goods and land). Tangible property is distinguished from intangible or incorporeal property such as </w:t>
      </w:r>
      <w:r w:rsidR="00E34B08" w:rsidRPr="00B5532A">
        <w:rPr>
          <w:szCs w:val="24"/>
        </w:rPr>
        <w:t xml:space="preserve">a </w:t>
      </w:r>
      <w:r w:rsidRPr="00B5532A">
        <w:rPr>
          <w:szCs w:val="24"/>
        </w:rPr>
        <w:t xml:space="preserve">chose in action (e.g. a receivable). </w:t>
      </w:r>
      <w:r w:rsidR="00E34B08" w:rsidRPr="00B5532A">
        <w:rPr>
          <w:szCs w:val="24"/>
        </w:rPr>
        <w:t>A</w:t>
      </w:r>
      <w:r w:rsidRPr="00B5532A">
        <w:rPr>
          <w:szCs w:val="24"/>
        </w:rPr>
        <w:t xml:space="preserve"> charge in favour of a trustee over a loan receivable by an issuer does not constitute a charge over the </w:t>
      </w:r>
      <w:r w:rsidR="007C735F" w:rsidRPr="00B5532A">
        <w:rPr>
          <w:szCs w:val="24"/>
        </w:rPr>
        <w:t>“</w:t>
      </w:r>
      <w:r w:rsidRPr="00B5532A">
        <w:rPr>
          <w:szCs w:val="24"/>
        </w:rPr>
        <w:t>tangible property</w:t>
      </w:r>
      <w:r w:rsidR="007C735F" w:rsidRPr="00B5532A">
        <w:rPr>
          <w:szCs w:val="24"/>
        </w:rPr>
        <w:t>”</w:t>
      </w:r>
      <w:r w:rsidRPr="00B5532A">
        <w:rPr>
          <w:szCs w:val="24"/>
        </w:rPr>
        <w:t xml:space="preserve"> of the issuer. The law therefore requires th</w:t>
      </w:r>
      <w:r w:rsidR="00DB1AF4" w:rsidRPr="00B5532A">
        <w:rPr>
          <w:szCs w:val="24"/>
        </w:rPr>
        <w:t>at</w:t>
      </w:r>
      <w:r w:rsidRPr="00B5532A">
        <w:rPr>
          <w:szCs w:val="24"/>
        </w:rPr>
        <w:t xml:space="preserve"> </w:t>
      </w:r>
      <w:r w:rsidR="00DB1AF4" w:rsidRPr="00B5532A">
        <w:rPr>
          <w:szCs w:val="24"/>
        </w:rPr>
        <w:t xml:space="preserve">debentures that are only secured by receivables and other intangible property </w:t>
      </w:r>
      <w:r w:rsidRPr="00B5532A">
        <w:rPr>
          <w:szCs w:val="24"/>
        </w:rPr>
        <w:t>to be called an unsecured note or unsecured deposit note.</w:t>
      </w:r>
    </w:p>
    <w:p w:rsidR="00473B67" w:rsidRPr="00B5532A" w:rsidRDefault="00E43A62" w:rsidP="00473B67">
      <w:pPr>
        <w:pStyle w:val="BodyText"/>
        <w:rPr>
          <w:szCs w:val="24"/>
        </w:rPr>
      </w:pPr>
      <w:r w:rsidRPr="00B5532A">
        <w:rPr>
          <w:szCs w:val="24"/>
        </w:rPr>
        <w:t xml:space="preserve">A large number of issuers in this market offer security in favour of the trustee over intangible property (eg. loans receivable) and the law requires </w:t>
      </w:r>
      <w:r w:rsidR="00EA6F8D" w:rsidRPr="00B5532A">
        <w:rPr>
          <w:szCs w:val="24"/>
        </w:rPr>
        <w:t xml:space="preserve">that </w:t>
      </w:r>
      <w:r w:rsidRPr="00B5532A">
        <w:rPr>
          <w:szCs w:val="24"/>
        </w:rPr>
        <w:t xml:space="preserve">their product </w:t>
      </w:r>
      <w:r w:rsidR="00EA6F8D" w:rsidRPr="00B5532A">
        <w:rPr>
          <w:szCs w:val="24"/>
        </w:rPr>
        <w:t xml:space="preserve">be described </w:t>
      </w:r>
      <w:r w:rsidRPr="00B5532A">
        <w:rPr>
          <w:szCs w:val="24"/>
        </w:rPr>
        <w:t>as an 'unsecured note' or 'unsecured deposit note'</w:t>
      </w:r>
      <w:r w:rsidR="00EA6F8D" w:rsidRPr="00B5532A">
        <w:rPr>
          <w:szCs w:val="24"/>
        </w:rPr>
        <w:t>.</w:t>
      </w:r>
      <w:r w:rsidR="001C28F1" w:rsidRPr="00B5532A">
        <w:rPr>
          <w:szCs w:val="24"/>
        </w:rPr>
        <w:t xml:space="preserve"> ASIC has had a no-action position in the market since 2005 so that the reference to 'unsecured' could be avoided</w:t>
      </w:r>
      <w:r w:rsidR="00585AEA" w:rsidRPr="00B5532A">
        <w:rPr>
          <w:szCs w:val="24"/>
        </w:rPr>
        <w:t xml:space="preserve"> where the 'tangible property' requirement was not met</w:t>
      </w:r>
      <w:r w:rsidR="001C28F1" w:rsidRPr="00B5532A">
        <w:rPr>
          <w:szCs w:val="24"/>
        </w:rPr>
        <w:t xml:space="preserve">. ASIC </w:t>
      </w:r>
      <w:r w:rsidR="00585AEA" w:rsidRPr="00B5532A">
        <w:rPr>
          <w:szCs w:val="24"/>
        </w:rPr>
        <w:t>was</w:t>
      </w:r>
      <w:r w:rsidR="001C28F1" w:rsidRPr="00B5532A">
        <w:rPr>
          <w:szCs w:val="24"/>
        </w:rPr>
        <w:t xml:space="preserve"> asked to consult on the operation of the law in section 283BH</w:t>
      </w:r>
      <w:r w:rsidR="00585AEA" w:rsidRPr="00B5532A">
        <w:rPr>
          <w:szCs w:val="24"/>
        </w:rPr>
        <w:t xml:space="preserve"> of the Act</w:t>
      </w:r>
      <w:r w:rsidR="001C28F1" w:rsidRPr="00B5532A">
        <w:rPr>
          <w:szCs w:val="24"/>
        </w:rPr>
        <w:t xml:space="preserve"> out of concern from issuers and their representative groups that the </w:t>
      </w:r>
      <w:r w:rsidR="001B2D63" w:rsidRPr="00B5532A">
        <w:rPr>
          <w:szCs w:val="24"/>
        </w:rPr>
        <w:t xml:space="preserve">law was unfair and </w:t>
      </w:r>
      <w:r w:rsidR="00585AEA" w:rsidRPr="00B5532A">
        <w:rPr>
          <w:szCs w:val="24"/>
        </w:rPr>
        <w:t xml:space="preserve">led to a </w:t>
      </w:r>
      <w:r w:rsidR="001C28F1" w:rsidRPr="00B5532A">
        <w:rPr>
          <w:szCs w:val="24"/>
        </w:rPr>
        <w:t>misleading description of certain products.</w:t>
      </w:r>
      <w:r w:rsidR="001B2D63" w:rsidRPr="00B5532A">
        <w:rPr>
          <w:szCs w:val="24"/>
        </w:rPr>
        <w:t xml:space="preserve"> We consulted on </w:t>
      </w:r>
      <w:r w:rsidR="00585AEA" w:rsidRPr="00B5532A">
        <w:rPr>
          <w:szCs w:val="24"/>
        </w:rPr>
        <w:t xml:space="preserve">introducing a </w:t>
      </w:r>
      <w:r w:rsidR="00FC5ED7" w:rsidRPr="00B5532A">
        <w:rPr>
          <w:szCs w:val="24"/>
        </w:rPr>
        <w:t xml:space="preserve">new category </w:t>
      </w:r>
      <w:r w:rsidR="00585AEA" w:rsidRPr="00B5532A">
        <w:rPr>
          <w:szCs w:val="24"/>
        </w:rPr>
        <w:t xml:space="preserve">to </w:t>
      </w:r>
      <w:r w:rsidR="00FC5ED7" w:rsidRPr="00B5532A">
        <w:rPr>
          <w:szCs w:val="24"/>
        </w:rPr>
        <w:t>sit between ‘unsecured note’ and ‘debenture’ in the hierarchy of how these products can be described</w:t>
      </w:r>
      <w:r w:rsidR="00585AEA" w:rsidRPr="00B5532A">
        <w:rPr>
          <w:szCs w:val="24"/>
        </w:rPr>
        <w:t xml:space="preserve"> under the Act.</w:t>
      </w:r>
      <w:r w:rsidR="00473B67" w:rsidRPr="00B5532A">
        <w:rPr>
          <w:szCs w:val="24"/>
        </w:rPr>
        <w:t xml:space="preserve"> </w:t>
      </w:r>
    </w:p>
    <w:p w:rsidR="000C025E" w:rsidRPr="00B5532A" w:rsidRDefault="000C025E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Cs/>
          <w:kern w:val="32"/>
          <w:sz w:val="24"/>
          <w:szCs w:val="24"/>
        </w:rPr>
      </w:pPr>
      <w:bookmarkStart w:id="1" w:name="_Toc158699037"/>
      <w:r w:rsidRPr="00B5532A">
        <w:rPr>
          <w:rFonts w:ascii="Times New Roman" w:hAnsi="Times New Roman"/>
          <w:bCs/>
          <w:kern w:val="32"/>
          <w:sz w:val="24"/>
          <w:szCs w:val="24"/>
        </w:rPr>
        <w:lastRenderedPageBreak/>
        <w:t>2.</w:t>
      </w:r>
      <w:r w:rsidRPr="00B5532A">
        <w:rPr>
          <w:rFonts w:ascii="Times New Roman" w:hAnsi="Times New Roman"/>
          <w:bCs/>
          <w:kern w:val="32"/>
          <w:sz w:val="24"/>
          <w:szCs w:val="24"/>
        </w:rPr>
        <w:tab/>
        <w:t>Purpose of the class order</w:t>
      </w:r>
      <w:bookmarkEnd w:id="1"/>
      <w:r w:rsidRPr="00B5532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7C735F" w:rsidRPr="00B5532A" w:rsidRDefault="007C735F" w:rsidP="007C735F">
      <w:pPr>
        <w:pStyle w:val="BodyText"/>
        <w:rPr>
          <w:iCs/>
          <w:szCs w:val="24"/>
        </w:rPr>
      </w:pPr>
      <w:r w:rsidRPr="00B5532A">
        <w:rPr>
          <w:iCs/>
          <w:szCs w:val="24"/>
        </w:rPr>
        <w:t xml:space="preserve">The purpose of this class order is to introduce a new “secured notes” category for the purposes of section 283BH of the Act where security has been provided over intangible property, subject to various conditions. </w:t>
      </w:r>
    </w:p>
    <w:p w:rsidR="00F272E9" w:rsidRPr="00B5532A" w:rsidRDefault="003D56C6">
      <w:pPr>
        <w:pStyle w:val="BodyText"/>
        <w:rPr>
          <w:iCs/>
          <w:szCs w:val="24"/>
        </w:rPr>
      </w:pPr>
      <w:r w:rsidRPr="00B5532A">
        <w:rPr>
          <w:iCs/>
          <w:szCs w:val="24"/>
        </w:rPr>
        <w:t xml:space="preserve">The </w:t>
      </w:r>
      <w:r w:rsidR="007C735F" w:rsidRPr="00B5532A">
        <w:rPr>
          <w:iCs/>
          <w:szCs w:val="24"/>
        </w:rPr>
        <w:t>c</w:t>
      </w:r>
      <w:r w:rsidRPr="00B5532A">
        <w:rPr>
          <w:iCs/>
          <w:szCs w:val="24"/>
        </w:rPr>
        <w:t xml:space="preserve">lass </w:t>
      </w:r>
      <w:r w:rsidR="007C735F" w:rsidRPr="00B5532A">
        <w:rPr>
          <w:iCs/>
          <w:szCs w:val="24"/>
        </w:rPr>
        <w:t>o</w:t>
      </w:r>
      <w:r w:rsidRPr="00B5532A">
        <w:rPr>
          <w:iCs/>
          <w:szCs w:val="24"/>
        </w:rPr>
        <w:t>rder provide</w:t>
      </w:r>
      <w:r w:rsidR="00DB1AF4" w:rsidRPr="00B5532A">
        <w:rPr>
          <w:iCs/>
          <w:szCs w:val="24"/>
        </w:rPr>
        <w:t>s</w:t>
      </w:r>
      <w:r w:rsidRPr="00B5532A">
        <w:rPr>
          <w:iCs/>
          <w:szCs w:val="24"/>
        </w:rPr>
        <w:t xml:space="preserve"> issuers who offer </w:t>
      </w:r>
      <w:r w:rsidR="00EE759C" w:rsidRPr="00B5532A">
        <w:rPr>
          <w:iCs/>
          <w:szCs w:val="24"/>
        </w:rPr>
        <w:t>debentures</w:t>
      </w:r>
      <w:r w:rsidRPr="00B5532A">
        <w:rPr>
          <w:iCs/>
          <w:szCs w:val="24"/>
        </w:rPr>
        <w:t xml:space="preserve"> </w:t>
      </w:r>
      <w:r w:rsidR="00BA2EEF" w:rsidRPr="00B5532A">
        <w:rPr>
          <w:iCs/>
          <w:szCs w:val="24"/>
        </w:rPr>
        <w:t xml:space="preserve">with sufficient first ranking security </w:t>
      </w:r>
      <w:r w:rsidRPr="00B5532A">
        <w:rPr>
          <w:iCs/>
          <w:szCs w:val="24"/>
        </w:rPr>
        <w:t>that do not satisfy the higher</w:t>
      </w:r>
      <w:r w:rsidR="003D77F8" w:rsidRPr="00B5532A">
        <w:rPr>
          <w:iCs/>
          <w:szCs w:val="24"/>
        </w:rPr>
        <w:t xml:space="preserve"> </w:t>
      </w:r>
      <w:r w:rsidR="007C735F" w:rsidRPr="00B5532A">
        <w:rPr>
          <w:iCs/>
          <w:szCs w:val="24"/>
        </w:rPr>
        <w:t>“</w:t>
      </w:r>
      <w:r w:rsidR="003D77F8" w:rsidRPr="00B5532A">
        <w:rPr>
          <w:iCs/>
          <w:szCs w:val="24"/>
        </w:rPr>
        <w:t>debenture</w:t>
      </w:r>
      <w:r w:rsidR="007C735F" w:rsidRPr="00B5532A">
        <w:rPr>
          <w:iCs/>
          <w:szCs w:val="24"/>
        </w:rPr>
        <w:t>”</w:t>
      </w:r>
      <w:r w:rsidR="003D77F8" w:rsidRPr="00B5532A">
        <w:rPr>
          <w:iCs/>
          <w:szCs w:val="24"/>
        </w:rPr>
        <w:t xml:space="preserve"> or </w:t>
      </w:r>
      <w:r w:rsidR="007C735F" w:rsidRPr="00B5532A">
        <w:rPr>
          <w:iCs/>
          <w:szCs w:val="24"/>
        </w:rPr>
        <w:t>“</w:t>
      </w:r>
      <w:r w:rsidR="003D77F8" w:rsidRPr="00B5532A">
        <w:rPr>
          <w:iCs/>
          <w:szCs w:val="24"/>
        </w:rPr>
        <w:t>mortgage debenture</w:t>
      </w:r>
      <w:r w:rsidR="007C735F" w:rsidRPr="00B5532A">
        <w:rPr>
          <w:iCs/>
          <w:szCs w:val="24"/>
        </w:rPr>
        <w:t>”</w:t>
      </w:r>
      <w:r w:rsidRPr="00B5532A">
        <w:rPr>
          <w:iCs/>
          <w:szCs w:val="24"/>
        </w:rPr>
        <w:t xml:space="preserve"> </w:t>
      </w:r>
      <w:r w:rsidR="00DB1AF4" w:rsidRPr="00B5532A">
        <w:rPr>
          <w:iCs/>
          <w:szCs w:val="24"/>
        </w:rPr>
        <w:t xml:space="preserve">naming </w:t>
      </w:r>
      <w:r w:rsidRPr="00B5532A">
        <w:rPr>
          <w:iCs/>
          <w:szCs w:val="24"/>
        </w:rPr>
        <w:t>tests</w:t>
      </w:r>
      <w:r w:rsidR="00182FF1" w:rsidRPr="00B5532A">
        <w:rPr>
          <w:iCs/>
          <w:szCs w:val="24"/>
        </w:rPr>
        <w:t xml:space="preserve"> with an alternative to </w:t>
      </w:r>
      <w:r w:rsidR="007C735F" w:rsidRPr="00B5532A">
        <w:rPr>
          <w:iCs/>
          <w:szCs w:val="24"/>
        </w:rPr>
        <w:t>“</w:t>
      </w:r>
      <w:r w:rsidR="00182FF1" w:rsidRPr="00B5532A">
        <w:rPr>
          <w:iCs/>
          <w:szCs w:val="24"/>
        </w:rPr>
        <w:t>unsecured notes</w:t>
      </w:r>
      <w:r w:rsidR="007C735F" w:rsidRPr="00B5532A">
        <w:rPr>
          <w:iCs/>
          <w:szCs w:val="24"/>
        </w:rPr>
        <w:t>”</w:t>
      </w:r>
      <w:r w:rsidR="00182FF1" w:rsidRPr="00B5532A">
        <w:rPr>
          <w:iCs/>
          <w:szCs w:val="24"/>
        </w:rPr>
        <w:t xml:space="preserve"> </w:t>
      </w:r>
      <w:r w:rsidR="000B6C85" w:rsidRPr="00B5532A">
        <w:rPr>
          <w:iCs/>
          <w:szCs w:val="24"/>
        </w:rPr>
        <w:t xml:space="preserve">for the purposes of section 283BH </w:t>
      </w:r>
      <w:r w:rsidR="00182FF1" w:rsidRPr="00B5532A">
        <w:rPr>
          <w:iCs/>
          <w:szCs w:val="24"/>
        </w:rPr>
        <w:t xml:space="preserve">provided they meet the terms of the </w:t>
      </w:r>
      <w:r w:rsidR="007C735F" w:rsidRPr="00B5532A">
        <w:rPr>
          <w:iCs/>
          <w:szCs w:val="24"/>
        </w:rPr>
        <w:t>c</w:t>
      </w:r>
      <w:r w:rsidR="00182FF1" w:rsidRPr="00B5532A">
        <w:rPr>
          <w:iCs/>
          <w:szCs w:val="24"/>
        </w:rPr>
        <w:t xml:space="preserve">lass </w:t>
      </w:r>
      <w:r w:rsidR="007C735F" w:rsidRPr="00B5532A">
        <w:rPr>
          <w:iCs/>
          <w:szCs w:val="24"/>
        </w:rPr>
        <w:t>o</w:t>
      </w:r>
      <w:r w:rsidR="00182FF1" w:rsidRPr="00B5532A">
        <w:rPr>
          <w:iCs/>
          <w:szCs w:val="24"/>
        </w:rPr>
        <w:t>rder</w:t>
      </w:r>
      <w:r w:rsidR="000B6C85" w:rsidRPr="00B5532A">
        <w:rPr>
          <w:iCs/>
          <w:szCs w:val="24"/>
        </w:rPr>
        <w:t xml:space="preserve">. Where the terms of the Class Order are met, a </w:t>
      </w:r>
      <w:r w:rsidR="00B66F2D" w:rsidRPr="00B5532A">
        <w:rPr>
          <w:iCs/>
          <w:szCs w:val="24"/>
        </w:rPr>
        <w:t>debenture</w:t>
      </w:r>
      <w:r w:rsidR="000B6C85" w:rsidRPr="00B5532A">
        <w:rPr>
          <w:iCs/>
          <w:szCs w:val="24"/>
        </w:rPr>
        <w:t xml:space="preserve"> will be able to be called a </w:t>
      </w:r>
      <w:r w:rsidR="007C735F" w:rsidRPr="00B5532A">
        <w:rPr>
          <w:iCs/>
          <w:szCs w:val="24"/>
        </w:rPr>
        <w:t>“</w:t>
      </w:r>
      <w:r w:rsidR="000B6C85" w:rsidRPr="00B5532A">
        <w:rPr>
          <w:iCs/>
          <w:szCs w:val="24"/>
        </w:rPr>
        <w:t>secured note</w:t>
      </w:r>
      <w:r w:rsidR="007C735F" w:rsidRPr="00B5532A">
        <w:rPr>
          <w:iCs/>
          <w:szCs w:val="24"/>
        </w:rPr>
        <w:t>”</w:t>
      </w:r>
      <w:r w:rsidR="00DB1AF4" w:rsidRPr="00B5532A">
        <w:rPr>
          <w:iCs/>
          <w:szCs w:val="24"/>
        </w:rPr>
        <w:t>.</w:t>
      </w:r>
    </w:p>
    <w:p w:rsidR="000C025E" w:rsidRPr="00B5532A" w:rsidRDefault="00B118F1" w:rsidP="00A739EA">
      <w:pPr>
        <w:pStyle w:val="BodyText"/>
        <w:rPr>
          <w:szCs w:val="24"/>
        </w:rPr>
      </w:pPr>
      <w:r w:rsidRPr="00B5532A">
        <w:rPr>
          <w:iCs/>
          <w:szCs w:val="24"/>
        </w:rPr>
        <w:t xml:space="preserve">The key objective of the </w:t>
      </w:r>
      <w:r w:rsidR="00B66F2D" w:rsidRPr="00B5532A">
        <w:rPr>
          <w:iCs/>
          <w:szCs w:val="24"/>
        </w:rPr>
        <w:t>c</w:t>
      </w:r>
      <w:r w:rsidRPr="00B5532A">
        <w:rPr>
          <w:iCs/>
          <w:szCs w:val="24"/>
        </w:rPr>
        <w:t xml:space="preserve">lass </w:t>
      </w:r>
      <w:r w:rsidR="00B66F2D" w:rsidRPr="00B5532A">
        <w:rPr>
          <w:iCs/>
          <w:szCs w:val="24"/>
        </w:rPr>
        <w:t>o</w:t>
      </w:r>
      <w:r w:rsidRPr="00B5532A">
        <w:rPr>
          <w:iCs/>
          <w:szCs w:val="24"/>
        </w:rPr>
        <w:t xml:space="preserve">rder </w:t>
      </w:r>
      <w:r w:rsidR="00B665C6" w:rsidRPr="00B5532A">
        <w:rPr>
          <w:iCs/>
          <w:szCs w:val="24"/>
        </w:rPr>
        <w:t>is</w:t>
      </w:r>
      <w:r w:rsidRPr="00B5532A">
        <w:rPr>
          <w:iCs/>
          <w:szCs w:val="24"/>
        </w:rPr>
        <w:t xml:space="preserve"> to strike an appropriate balance between </w:t>
      </w:r>
      <w:r w:rsidR="00797848" w:rsidRPr="00B5532A">
        <w:rPr>
          <w:iCs/>
          <w:szCs w:val="24"/>
        </w:rPr>
        <w:t>assisting issuers avoid a label that their product is unsecured where there is sufficient security in place and ensuring that investors are aware of the risk of loss and readily understand the underlying security.</w:t>
      </w:r>
    </w:p>
    <w:p w:rsidR="000C025E" w:rsidRPr="00B5532A" w:rsidRDefault="000C025E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Cs/>
          <w:kern w:val="32"/>
          <w:sz w:val="24"/>
          <w:szCs w:val="24"/>
        </w:rPr>
      </w:pPr>
      <w:bookmarkStart w:id="2" w:name="_Toc158699040"/>
      <w:r w:rsidRPr="00B5532A">
        <w:rPr>
          <w:rFonts w:ascii="Times New Roman" w:hAnsi="Times New Roman"/>
          <w:bCs/>
          <w:kern w:val="32"/>
          <w:sz w:val="24"/>
          <w:szCs w:val="24"/>
        </w:rPr>
        <w:t>3.</w:t>
      </w:r>
      <w:r w:rsidRPr="00B5532A">
        <w:rPr>
          <w:rFonts w:ascii="Times New Roman" w:hAnsi="Times New Roman"/>
          <w:bCs/>
          <w:kern w:val="32"/>
          <w:sz w:val="24"/>
          <w:szCs w:val="24"/>
        </w:rPr>
        <w:tab/>
        <w:t>Operation of the class order</w:t>
      </w:r>
      <w:bookmarkEnd w:id="2"/>
      <w:r w:rsidRPr="00B5532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A739EA" w:rsidRPr="00B5532A" w:rsidRDefault="00A739EA" w:rsidP="002E4074">
      <w:pPr>
        <w:pStyle w:val="BodyText"/>
        <w:spacing w:before="0" w:line="0" w:lineRule="atLeast"/>
        <w:rPr>
          <w:iCs/>
          <w:color w:val="0000FF"/>
          <w:szCs w:val="24"/>
        </w:rPr>
      </w:pPr>
    </w:p>
    <w:p w:rsidR="001F4FE6" w:rsidRPr="00B5532A" w:rsidRDefault="00B66F2D" w:rsidP="002E4074">
      <w:pPr>
        <w:pStyle w:val="BodyText"/>
        <w:spacing w:before="0" w:line="0" w:lineRule="atLeast"/>
        <w:rPr>
          <w:iCs/>
          <w:szCs w:val="24"/>
        </w:rPr>
      </w:pPr>
      <w:r w:rsidRPr="00B5532A">
        <w:rPr>
          <w:iCs/>
          <w:szCs w:val="24"/>
        </w:rPr>
        <w:t>The class order</w:t>
      </w:r>
      <w:r w:rsidR="00623054" w:rsidRPr="00B5532A">
        <w:rPr>
          <w:iCs/>
          <w:szCs w:val="24"/>
        </w:rPr>
        <w:t xml:space="preserve"> declares that Chapter 2L of the Act applies to all persons as if section 283BH were modified or varied to introduce a new way of referring to a </w:t>
      </w:r>
      <w:r w:rsidRPr="00B5532A">
        <w:rPr>
          <w:iCs/>
          <w:szCs w:val="24"/>
        </w:rPr>
        <w:t>debenture</w:t>
      </w:r>
      <w:r w:rsidR="00623054" w:rsidRPr="00B5532A">
        <w:rPr>
          <w:iCs/>
          <w:szCs w:val="24"/>
        </w:rPr>
        <w:t xml:space="preserve"> in section 283BH, namely the </w:t>
      </w:r>
      <w:r w:rsidR="007C735F" w:rsidRPr="00B5532A">
        <w:rPr>
          <w:iCs/>
          <w:szCs w:val="24"/>
        </w:rPr>
        <w:t>“</w:t>
      </w:r>
      <w:r w:rsidR="00623054" w:rsidRPr="00B5532A">
        <w:rPr>
          <w:iCs/>
          <w:szCs w:val="24"/>
        </w:rPr>
        <w:t>secured note</w:t>
      </w:r>
      <w:r w:rsidR="007C735F" w:rsidRPr="00B5532A">
        <w:rPr>
          <w:iCs/>
          <w:szCs w:val="24"/>
        </w:rPr>
        <w:t>”</w:t>
      </w:r>
      <w:r w:rsidR="00623054" w:rsidRPr="00B5532A">
        <w:rPr>
          <w:iCs/>
          <w:szCs w:val="24"/>
        </w:rPr>
        <w:t xml:space="preserve"> description. </w:t>
      </w:r>
      <w:r w:rsidR="00667242" w:rsidRPr="00B5532A">
        <w:rPr>
          <w:iCs/>
          <w:szCs w:val="24"/>
        </w:rPr>
        <w:t xml:space="preserve">This is done by inserting a new category of </w:t>
      </w:r>
      <w:r w:rsidR="007C735F" w:rsidRPr="00B5532A">
        <w:rPr>
          <w:iCs/>
          <w:szCs w:val="24"/>
        </w:rPr>
        <w:t>“</w:t>
      </w:r>
      <w:r w:rsidR="00667242" w:rsidRPr="00B5532A">
        <w:rPr>
          <w:iCs/>
          <w:szCs w:val="24"/>
        </w:rPr>
        <w:t>secured notes</w:t>
      </w:r>
      <w:r w:rsidR="007C735F" w:rsidRPr="00B5532A">
        <w:rPr>
          <w:iCs/>
          <w:szCs w:val="24"/>
        </w:rPr>
        <w:t>”</w:t>
      </w:r>
      <w:r w:rsidR="00667242" w:rsidRPr="00B5532A">
        <w:rPr>
          <w:iCs/>
          <w:szCs w:val="24"/>
        </w:rPr>
        <w:t xml:space="preserve"> into the table in subsection </w:t>
      </w:r>
      <w:proofErr w:type="gramStart"/>
      <w:r w:rsidR="00667242" w:rsidRPr="00B5532A">
        <w:rPr>
          <w:iCs/>
          <w:szCs w:val="24"/>
        </w:rPr>
        <w:t>283BH(</w:t>
      </w:r>
      <w:proofErr w:type="gramEnd"/>
      <w:r w:rsidR="00667242" w:rsidRPr="00B5532A">
        <w:rPr>
          <w:iCs/>
          <w:szCs w:val="24"/>
        </w:rPr>
        <w:t>1).</w:t>
      </w:r>
    </w:p>
    <w:p w:rsidR="001F4FE6" w:rsidRPr="00B5532A" w:rsidRDefault="001F4FE6" w:rsidP="002E4074">
      <w:pPr>
        <w:pStyle w:val="BodyText"/>
        <w:spacing w:before="0" w:line="0" w:lineRule="atLeast"/>
        <w:rPr>
          <w:iCs/>
          <w:szCs w:val="24"/>
        </w:rPr>
      </w:pPr>
    </w:p>
    <w:p w:rsidR="00A739EA" w:rsidRPr="00B5532A" w:rsidRDefault="00667242" w:rsidP="00A739EA">
      <w:pPr>
        <w:pStyle w:val="BodyText"/>
        <w:spacing w:before="0" w:line="0" w:lineRule="atLeast"/>
        <w:rPr>
          <w:iCs/>
          <w:szCs w:val="24"/>
        </w:rPr>
      </w:pPr>
      <w:r w:rsidRPr="00B5532A">
        <w:rPr>
          <w:iCs/>
          <w:szCs w:val="24"/>
        </w:rPr>
        <w:t xml:space="preserve">The </w:t>
      </w:r>
      <w:r w:rsidR="009A5378" w:rsidRPr="00B5532A">
        <w:rPr>
          <w:iCs/>
          <w:szCs w:val="24"/>
        </w:rPr>
        <w:t>c</w:t>
      </w:r>
      <w:r w:rsidRPr="00B5532A">
        <w:rPr>
          <w:iCs/>
          <w:szCs w:val="24"/>
        </w:rPr>
        <w:t xml:space="preserve">lass </w:t>
      </w:r>
      <w:r w:rsidR="009A5378" w:rsidRPr="00B5532A">
        <w:rPr>
          <w:iCs/>
          <w:szCs w:val="24"/>
        </w:rPr>
        <w:t>o</w:t>
      </w:r>
      <w:r w:rsidRPr="00B5532A">
        <w:rPr>
          <w:iCs/>
          <w:szCs w:val="24"/>
        </w:rPr>
        <w:t>rder introduces a new</w:t>
      </w:r>
      <w:r w:rsidR="001F4FE6" w:rsidRPr="00B5532A">
        <w:rPr>
          <w:iCs/>
          <w:szCs w:val="24"/>
        </w:rPr>
        <w:t xml:space="preserve"> </w:t>
      </w:r>
      <w:r w:rsidR="002E4074" w:rsidRPr="00B5532A">
        <w:rPr>
          <w:iCs/>
          <w:szCs w:val="24"/>
        </w:rPr>
        <w:t xml:space="preserve">subsection </w:t>
      </w:r>
      <w:proofErr w:type="gramStart"/>
      <w:r w:rsidR="001F4FE6" w:rsidRPr="00B5532A">
        <w:rPr>
          <w:iCs/>
          <w:szCs w:val="24"/>
        </w:rPr>
        <w:t>283BH</w:t>
      </w:r>
      <w:r w:rsidR="002E4074" w:rsidRPr="00B5532A">
        <w:rPr>
          <w:iCs/>
          <w:szCs w:val="24"/>
        </w:rPr>
        <w:t>(</w:t>
      </w:r>
      <w:proofErr w:type="gramEnd"/>
      <w:r w:rsidR="002E4074" w:rsidRPr="00B5532A">
        <w:rPr>
          <w:iCs/>
          <w:szCs w:val="24"/>
        </w:rPr>
        <w:t>4)</w:t>
      </w:r>
      <w:r w:rsidR="001F4FE6" w:rsidRPr="00B5532A">
        <w:rPr>
          <w:iCs/>
          <w:szCs w:val="24"/>
        </w:rPr>
        <w:t xml:space="preserve"> into the Act that set outs the circumstances </w:t>
      </w:r>
      <w:r w:rsidRPr="00B5532A">
        <w:rPr>
          <w:iCs/>
          <w:szCs w:val="24"/>
        </w:rPr>
        <w:t>in which</w:t>
      </w:r>
      <w:r w:rsidR="001F4FE6" w:rsidRPr="00B5532A">
        <w:rPr>
          <w:iCs/>
          <w:szCs w:val="24"/>
        </w:rPr>
        <w:t xml:space="preserve"> the </w:t>
      </w:r>
      <w:r w:rsidR="007C735F" w:rsidRPr="00B5532A">
        <w:rPr>
          <w:iCs/>
          <w:szCs w:val="24"/>
        </w:rPr>
        <w:t>“</w:t>
      </w:r>
      <w:r w:rsidR="001F4FE6" w:rsidRPr="00B5532A">
        <w:rPr>
          <w:iCs/>
          <w:szCs w:val="24"/>
        </w:rPr>
        <w:t>secured notes</w:t>
      </w:r>
      <w:r w:rsidR="007C735F" w:rsidRPr="00B5532A">
        <w:rPr>
          <w:iCs/>
          <w:szCs w:val="24"/>
        </w:rPr>
        <w:t>”</w:t>
      </w:r>
      <w:r w:rsidR="001F4FE6" w:rsidRPr="00B5532A">
        <w:rPr>
          <w:iCs/>
          <w:szCs w:val="24"/>
        </w:rPr>
        <w:t xml:space="preserve"> description can be used</w:t>
      </w:r>
      <w:r w:rsidRPr="00B5532A">
        <w:rPr>
          <w:iCs/>
          <w:szCs w:val="24"/>
        </w:rPr>
        <w:t>. The key requirements are</w:t>
      </w:r>
      <w:r w:rsidR="00A739EA" w:rsidRPr="00B5532A">
        <w:rPr>
          <w:iCs/>
          <w:szCs w:val="24"/>
        </w:rPr>
        <w:t xml:space="preserve"> that:</w:t>
      </w:r>
    </w:p>
    <w:p w:rsidR="00A739EA" w:rsidRPr="00B5532A" w:rsidRDefault="00A739EA" w:rsidP="00A739EA">
      <w:pPr>
        <w:pStyle w:val="BodyText"/>
        <w:numPr>
          <w:ilvl w:val="0"/>
          <w:numId w:val="16"/>
        </w:numPr>
        <w:spacing w:line="0" w:lineRule="atLeast"/>
        <w:rPr>
          <w:iCs/>
          <w:szCs w:val="24"/>
        </w:rPr>
      </w:pPr>
      <w:r w:rsidRPr="00B5532A">
        <w:rPr>
          <w:iCs/>
          <w:szCs w:val="24"/>
        </w:rPr>
        <w:t>the issuer has provided a first ranking security interest in favour of the trustee;</w:t>
      </w:r>
      <w:r w:rsidR="00356E10">
        <w:rPr>
          <w:iCs/>
          <w:szCs w:val="24"/>
        </w:rPr>
        <w:t xml:space="preserve"> and</w:t>
      </w:r>
    </w:p>
    <w:p w:rsidR="00A739EA" w:rsidRPr="00B5532A" w:rsidRDefault="00A739EA" w:rsidP="00A739EA">
      <w:pPr>
        <w:pStyle w:val="BodyText"/>
        <w:numPr>
          <w:ilvl w:val="0"/>
          <w:numId w:val="16"/>
        </w:numPr>
        <w:tabs>
          <w:tab w:val="clear" w:pos="680"/>
        </w:tabs>
        <w:spacing w:line="0" w:lineRule="atLeast"/>
        <w:ind w:left="567" w:hanging="283"/>
        <w:rPr>
          <w:iCs/>
          <w:szCs w:val="24"/>
        </w:rPr>
      </w:pPr>
      <w:proofErr w:type="gramStart"/>
      <w:r w:rsidRPr="00B5532A">
        <w:rPr>
          <w:iCs/>
          <w:szCs w:val="24"/>
        </w:rPr>
        <w:t>the</w:t>
      </w:r>
      <w:proofErr w:type="gramEnd"/>
      <w:r w:rsidRPr="00B5532A">
        <w:rPr>
          <w:iCs/>
          <w:szCs w:val="24"/>
        </w:rPr>
        <w:t xml:space="preserve"> security under the security interest is sufficient and is reasonably likely to be sufficient to meet the liability for the repayment of </w:t>
      </w:r>
      <w:r w:rsidR="009A5378" w:rsidRPr="00B5532A">
        <w:rPr>
          <w:iCs/>
          <w:szCs w:val="24"/>
        </w:rPr>
        <w:t>investor’s</w:t>
      </w:r>
      <w:r w:rsidRPr="00B5532A">
        <w:rPr>
          <w:iCs/>
          <w:szCs w:val="24"/>
        </w:rPr>
        <w:t xml:space="preserve"> money</w:t>
      </w:r>
      <w:r w:rsidR="00356E10">
        <w:rPr>
          <w:iCs/>
          <w:szCs w:val="24"/>
        </w:rPr>
        <w:t>.</w:t>
      </w:r>
    </w:p>
    <w:p w:rsidR="00A739EA" w:rsidRPr="00B5532A" w:rsidRDefault="00A739EA" w:rsidP="00A739EA">
      <w:pPr>
        <w:pStyle w:val="BodyText"/>
        <w:spacing w:line="0" w:lineRule="atLeast"/>
        <w:rPr>
          <w:iCs/>
          <w:szCs w:val="24"/>
        </w:rPr>
      </w:pPr>
      <w:r w:rsidRPr="00B5532A">
        <w:rPr>
          <w:iCs/>
          <w:szCs w:val="24"/>
        </w:rPr>
        <w:t xml:space="preserve">There are also </w:t>
      </w:r>
      <w:r w:rsidR="00356E10" w:rsidRPr="00B5532A">
        <w:rPr>
          <w:iCs/>
          <w:szCs w:val="24"/>
        </w:rPr>
        <w:t>requir</w:t>
      </w:r>
      <w:r w:rsidR="00356E10">
        <w:rPr>
          <w:iCs/>
          <w:szCs w:val="24"/>
        </w:rPr>
        <w:t>ements for</w:t>
      </w:r>
      <w:r w:rsidR="00356E10" w:rsidRPr="00B5532A">
        <w:rPr>
          <w:iCs/>
          <w:szCs w:val="24"/>
        </w:rPr>
        <w:t xml:space="preserve"> </w:t>
      </w:r>
      <w:r w:rsidRPr="00B5532A">
        <w:rPr>
          <w:iCs/>
          <w:szCs w:val="24"/>
        </w:rPr>
        <w:t xml:space="preserve">an issuer to </w:t>
      </w:r>
      <w:r w:rsidR="00356E10">
        <w:rPr>
          <w:iCs/>
          <w:szCs w:val="24"/>
        </w:rPr>
        <w:t>ensure that advertisements for</w:t>
      </w:r>
      <w:r w:rsidR="00356E10" w:rsidRPr="00356E10">
        <w:rPr>
          <w:iCs/>
          <w:szCs w:val="24"/>
        </w:rPr>
        <w:t xml:space="preserve"> the product makes</w:t>
      </w:r>
      <w:r w:rsidR="0071228C">
        <w:rPr>
          <w:iCs/>
          <w:szCs w:val="24"/>
        </w:rPr>
        <w:t xml:space="preserve"> </w:t>
      </w:r>
      <w:r w:rsidR="00356E10" w:rsidRPr="00356E10">
        <w:rPr>
          <w:iCs/>
          <w:szCs w:val="24"/>
        </w:rPr>
        <w:t>it clear that the secured note is not a bank deposit and there is a risk that investors could lose some or all of their money</w:t>
      </w:r>
      <w:r w:rsidR="00356E10">
        <w:rPr>
          <w:iCs/>
          <w:szCs w:val="24"/>
        </w:rPr>
        <w:t>; and to</w:t>
      </w:r>
      <w:r w:rsidR="00356E10" w:rsidRPr="00356E10">
        <w:rPr>
          <w:iCs/>
          <w:szCs w:val="24"/>
        </w:rPr>
        <w:t xml:space="preserve"> </w:t>
      </w:r>
      <w:r w:rsidRPr="00B5532A">
        <w:rPr>
          <w:iCs/>
          <w:szCs w:val="24"/>
        </w:rPr>
        <w:t xml:space="preserve">make ongoing disclosure about the nature of the security interest and the secured property and related party exposures. An issuer using the term </w:t>
      </w:r>
      <w:r w:rsidR="007C735F" w:rsidRPr="00B5532A">
        <w:rPr>
          <w:iCs/>
          <w:szCs w:val="24"/>
        </w:rPr>
        <w:t>“</w:t>
      </w:r>
      <w:r w:rsidRPr="00B5532A">
        <w:rPr>
          <w:iCs/>
          <w:szCs w:val="24"/>
        </w:rPr>
        <w:t>secured note</w:t>
      </w:r>
      <w:r w:rsidR="007C735F" w:rsidRPr="00B5532A">
        <w:rPr>
          <w:iCs/>
          <w:szCs w:val="24"/>
        </w:rPr>
        <w:t>”</w:t>
      </w:r>
      <w:r w:rsidRPr="00B5532A">
        <w:rPr>
          <w:iCs/>
          <w:szCs w:val="24"/>
        </w:rPr>
        <w:t xml:space="preserve"> is also required to make available on their website its most recent quarterly reports, its current disclosure document and the last 12 months of continuous disclosure notices. </w:t>
      </w:r>
    </w:p>
    <w:p w:rsidR="00A739EA" w:rsidRPr="00B5532A" w:rsidRDefault="00A739EA" w:rsidP="001F4FE6">
      <w:pPr>
        <w:pStyle w:val="BodyText"/>
        <w:spacing w:before="0" w:line="0" w:lineRule="atLeast"/>
        <w:rPr>
          <w:iCs/>
          <w:color w:val="0000FF"/>
          <w:szCs w:val="24"/>
        </w:rPr>
      </w:pPr>
    </w:p>
    <w:p w:rsidR="009A5378" w:rsidRPr="00B5532A" w:rsidRDefault="003D1531" w:rsidP="009A5378">
      <w:pPr>
        <w:pStyle w:val="BodyText"/>
        <w:spacing w:before="0" w:line="0" w:lineRule="atLeast"/>
        <w:rPr>
          <w:b/>
          <w:bCs/>
          <w:iCs/>
          <w:szCs w:val="24"/>
        </w:rPr>
      </w:pPr>
      <w:r w:rsidRPr="00B5532A">
        <w:rPr>
          <w:b/>
          <w:bCs/>
          <w:iCs/>
          <w:szCs w:val="24"/>
        </w:rPr>
        <w:t>4</w:t>
      </w:r>
      <w:r w:rsidR="009A5378" w:rsidRPr="00B5532A">
        <w:rPr>
          <w:b/>
          <w:bCs/>
          <w:iCs/>
          <w:szCs w:val="24"/>
        </w:rPr>
        <w:t>.</w:t>
      </w:r>
      <w:r w:rsidR="009A5378" w:rsidRPr="00B5532A">
        <w:rPr>
          <w:b/>
          <w:bCs/>
          <w:iCs/>
          <w:szCs w:val="24"/>
        </w:rPr>
        <w:tab/>
        <w:t>Statement of Compatibility with Human Rights</w:t>
      </w:r>
    </w:p>
    <w:p w:rsidR="00A739EA" w:rsidRPr="00B5532A" w:rsidRDefault="00A739EA" w:rsidP="001F4FE6">
      <w:pPr>
        <w:pStyle w:val="BodyText"/>
        <w:spacing w:before="0" w:line="0" w:lineRule="atLeast"/>
        <w:rPr>
          <w:iCs/>
          <w:szCs w:val="24"/>
        </w:rPr>
      </w:pPr>
    </w:p>
    <w:p w:rsidR="00EA6FE2" w:rsidRPr="00B5532A" w:rsidRDefault="009A5378" w:rsidP="009A5378">
      <w:pPr>
        <w:pStyle w:val="BodyText"/>
        <w:spacing w:before="0" w:line="0" w:lineRule="atLeast"/>
        <w:rPr>
          <w:iCs/>
          <w:szCs w:val="24"/>
        </w:rPr>
      </w:pPr>
      <w:r w:rsidRPr="00B5532A">
        <w:rPr>
          <w:iCs/>
          <w:szCs w:val="24"/>
        </w:rPr>
        <w:t>This sta</w:t>
      </w:r>
      <w:r w:rsidR="00EA6FE2" w:rsidRPr="00B5532A">
        <w:rPr>
          <w:iCs/>
          <w:szCs w:val="24"/>
        </w:rPr>
        <w:t>te</w:t>
      </w:r>
      <w:r w:rsidRPr="00B5532A">
        <w:rPr>
          <w:iCs/>
          <w:szCs w:val="24"/>
        </w:rPr>
        <w:t xml:space="preserve">ment </w:t>
      </w:r>
      <w:r w:rsidR="00EA6FE2" w:rsidRPr="00B5532A">
        <w:rPr>
          <w:iCs/>
          <w:szCs w:val="24"/>
        </w:rPr>
        <w:t>is p</w:t>
      </w:r>
      <w:r w:rsidRPr="00B5532A">
        <w:rPr>
          <w:iCs/>
          <w:szCs w:val="24"/>
        </w:rPr>
        <w:t xml:space="preserve">repared in accordance with Part 3 of the </w:t>
      </w:r>
      <w:r w:rsidRPr="00B5532A">
        <w:rPr>
          <w:i/>
          <w:iCs/>
          <w:szCs w:val="24"/>
        </w:rPr>
        <w:t>Human Rights (Parliamentary Scrutiny) Act 2011</w:t>
      </w:r>
      <w:r w:rsidR="00EA6FE2" w:rsidRPr="00B5532A">
        <w:rPr>
          <w:iCs/>
          <w:szCs w:val="24"/>
        </w:rPr>
        <w:t xml:space="preserve">. </w:t>
      </w:r>
    </w:p>
    <w:p w:rsidR="00EA6FE2" w:rsidRPr="00B5532A" w:rsidRDefault="00EA6FE2" w:rsidP="009A5378">
      <w:pPr>
        <w:pStyle w:val="BodyText"/>
        <w:spacing w:before="0" w:line="0" w:lineRule="atLeast"/>
        <w:rPr>
          <w:iCs/>
          <w:szCs w:val="24"/>
        </w:rPr>
      </w:pPr>
    </w:p>
    <w:p w:rsidR="00B5532A" w:rsidRPr="00B5532A" w:rsidRDefault="00EA6FE2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 w:val="0"/>
          <w:iCs/>
          <w:sz w:val="24"/>
          <w:szCs w:val="24"/>
        </w:rPr>
      </w:pPr>
      <w:r w:rsidRPr="00B5532A">
        <w:rPr>
          <w:rFonts w:ascii="Times New Roman" w:hAnsi="Times New Roman"/>
          <w:b w:val="0"/>
          <w:iCs/>
          <w:sz w:val="24"/>
          <w:szCs w:val="24"/>
        </w:rPr>
        <w:lastRenderedPageBreak/>
        <w:t>This class order is compatible with the human rights and freedoms recognised or declared in the international instruments listed in section 3 of that Act because it does not engage any of the applicable rights or freedoms.</w:t>
      </w:r>
      <w:bookmarkStart w:id="3" w:name="_Toc158699042"/>
      <w:r w:rsidR="00356E10">
        <w:rPr>
          <w:rFonts w:ascii="Times New Roman" w:hAnsi="Times New Roman"/>
          <w:b w:val="0"/>
          <w:iCs/>
          <w:sz w:val="24"/>
          <w:szCs w:val="24"/>
        </w:rPr>
        <w:t xml:space="preserve">  The effect of the class order is to modify the operation of statutory obligations which </w:t>
      </w:r>
      <w:r w:rsidR="008A27F8">
        <w:rPr>
          <w:rFonts w:ascii="Times New Roman" w:hAnsi="Times New Roman"/>
          <w:b w:val="0"/>
          <w:iCs/>
          <w:sz w:val="24"/>
          <w:szCs w:val="24"/>
        </w:rPr>
        <w:t>apply to bodies (for example, companies) but not to individuals.</w:t>
      </w:r>
    </w:p>
    <w:p w:rsidR="000C025E" w:rsidRPr="00B5532A" w:rsidRDefault="003D1531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ascii="Times New Roman" w:hAnsi="Times New Roman"/>
          <w:bCs/>
          <w:kern w:val="32"/>
          <w:sz w:val="24"/>
          <w:szCs w:val="24"/>
        </w:rPr>
      </w:pPr>
      <w:r w:rsidRPr="00B5532A">
        <w:rPr>
          <w:rFonts w:ascii="Times New Roman" w:hAnsi="Times New Roman"/>
          <w:bCs/>
          <w:kern w:val="32"/>
          <w:sz w:val="24"/>
          <w:szCs w:val="24"/>
        </w:rPr>
        <w:t>5</w:t>
      </w:r>
      <w:r w:rsidR="000C025E" w:rsidRPr="00B5532A">
        <w:rPr>
          <w:rFonts w:ascii="Times New Roman" w:hAnsi="Times New Roman"/>
          <w:bCs/>
          <w:kern w:val="32"/>
          <w:sz w:val="24"/>
          <w:szCs w:val="24"/>
        </w:rPr>
        <w:t>.</w:t>
      </w:r>
      <w:r w:rsidR="000C025E" w:rsidRPr="00B5532A">
        <w:rPr>
          <w:rFonts w:ascii="Times New Roman" w:hAnsi="Times New Roman"/>
          <w:bCs/>
          <w:kern w:val="32"/>
          <w:sz w:val="24"/>
          <w:szCs w:val="24"/>
        </w:rPr>
        <w:tab/>
        <w:t>Consultation</w:t>
      </w:r>
      <w:bookmarkEnd w:id="3"/>
    </w:p>
    <w:p w:rsidR="00A739EA" w:rsidRPr="00B5532A" w:rsidRDefault="00A739EA" w:rsidP="00A739EA">
      <w:pPr>
        <w:pStyle w:val="CommentText"/>
        <w:rPr>
          <w:sz w:val="24"/>
          <w:szCs w:val="24"/>
        </w:rPr>
      </w:pPr>
    </w:p>
    <w:p w:rsidR="00D85FD0" w:rsidRPr="00B5532A" w:rsidRDefault="005C5EA1" w:rsidP="00AE1D31">
      <w:pPr>
        <w:pStyle w:val="CommentText"/>
        <w:rPr>
          <w:sz w:val="24"/>
          <w:szCs w:val="24"/>
        </w:rPr>
      </w:pPr>
      <w:r w:rsidRPr="00B5532A">
        <w:rPr>
          <w:sz w:val="24"/>
          <w:szCs w:val="24"/>
        </w:rPr>
        <w:t>Before making this class order, ASIC engaged in public consultation.</w:t>
      </w:r>
    </w:p>
    <w:p w:rsidR="00D85FD0" w:rsidRPr="00B5532A" w:rsidRDefault="00D85FD0" w:rsidP="00AE1D31">
      <w:pPr>
        <w:pStyle w:val="CommentText"/>
        <w:rPr>
          <w:sz w:val="24"/>
          <w:szCs w:val="24"/>
        </w:rPr>
      </w:pPr>
    </w:p>
    <w:p w:rsidR="00AE1D31" w:rsidRPr="00B5532A" w:rsidRDefault="005C5EA1" w:rsidP="00AE1D31">
      <w:pPr>
        <w:pStyle w:val="CommentText"/>
        <w:rPr>
          <w:sz w:val="24"/>
          <w:szCs w:val="24"/>
        </w:rPr>
      </w:pPr>
      <w:r w:rsidRPr="00B5532A">
        <w:rPr>
          <w:sz w:val="24"/>
          <w:szCs w:val="24"/>
        </w:rPr>
        <w:t>In</w:t>
      </w:r>
      <w:r w:rsidR="00B1622C" w:rsidRPr="00B5532A">
        <w:rPr>
          <w:sz w:val="24"/>
          <w:szCs w:val="24"/>
        </w:rPr>
        <w:t xml:space="preserve"> March 2011, </w:t>
      </w:r>
      <w:r w:rsidRPr="00B5532A">
        <w:rPr>
          <w:sz w:val="24"/>
          <w:szCs w:val="24"/>
        </w:rPr>
        <w:t>ASIC</w:t>
      </w:r>
      <w:r w:rsidR="00B1622C" w:rsidRPr="00B5532A">
        <w:rPr>
          <w:sz w:val="24"/>
          <w:szCs w:val="24"/>
        </w:rPr>
        <w:t xml:space="preserve"> released Consultation Paper 151: </w:t>
      </w:r>
      <w:r w:rsidR="00B1622C" w:rsidRPr="00B5532A">
        <w:rPr>
          <w:i/>
          <w:sz w:val="24"/>
          <w:szCs w:val="24"/>
        </w:rPr>
        <w:t>Debt securities:</w:t>
      </w:r>
      <w:r w:rsidR="00B1622C" w:rsidRPr="00B5532A">
        <w:rPr>
          <w:sz w:val="24"/>
          <w:szCs w:val="24"/>
        </w:rPr>
        <w:t xml:space="preserve"> </w:t>
      </w:r>
      <w:r w:rsidR="00B1622C" w:rsidRPr="00B5532A">
        <w:rPr>
          <w:i/>
          <w:sz w:val="24"/>
          <w:szCs w:val="24"/>
        </w:rPr>
        <w:t>Modifying the naming provisions and advertising requirements</w:t>
      </w:r>
      <w:r w:rsidR="00AE1D31" w:rsidRPr="00B5532A">
        <w:rPr>
          <w:sz w:val="24"/>
          <w:szCs w:val="24"/>
        </w:rPr>
        <w:t xml:space="preserve">. </w:t>
      </w:r>
    </w:p>
    <w:p w:rsidR="00AE1D31" w:rsidRPr="00B5532A" w:rsidRDefault="00AE1D31" w:rsidP="00AE1D31">
      <w:pPr>
        <w:pStyle w:val="CommentText"/>
        <w:rPr>
          <w:sz w:val="24"/>
          <w:szCs w:val="24"/>
        </w:rPr>
      </w:pPr>
      <w:r w:rsidRPr="00B5532A">
        <w:rPr>
          <w:sz w:val="24"/>
          <w:szCs w:val="24"/>
        </w:rPr>
        <w:t xml:space="preserve"> </w:t>
      </w:r>
    </w:p>
    <w:p w:rsidR="000C025E" w:rsidRPr="00B5532A" w:rsidRDefault="005C5EA1" w:rsidP="00A739EA">
      <w:pPr>
        <w:pStyle w:val="CommentText"/>
        <w:rPr>
          <w:sz w:val="24"/>
          <w:szCs w:val="24"/>
        </w:rPr>
      </w:pPr>
      <w:r w:rsidRPr="00B5532A">
        <w:rPr>
          <w:sz w:val="24"/>
          <w:szCs w:val="24"/>
        </w:rPr>
        <w:t>In</w:t>
      </w:r>
      <w:r w:rsidR="00AE1D31" w:rsidRPr="00B5532A">
        <w:rPr>
          <w:sz w:val="24"/>
          <w:szCs w:val="24"/>
        </w:rPr>
        <w:t xml:space="preserve"> August 2011, ASIC conducted further</w:t>
      </w:r>
      <w:r w:rsidR="00667242" w:rsidRPr="00B5532A">
        <w:rPr>
          <w:sz w:val="24"/>
          <w:szCs w:val="24"/>
        </w:rPr>
        <w:t xml:space="preserve"> </w:t>
      </w:r>
      <w:r w:rsidR="00AE1D31" w:rsidRPr="00B5532A">
        <w:rPr>
          <w:sz w:val="24"/>
          <w:szCs w:val="24"/>
        </w:rPr>
        <w:t xml:space="preserve">consultation with respondents </w:t>
      </w:r>
      <w:r w:rsidR="00D85FD0" w:rsidRPr="00B5532A">
        <w:rPr>
          <w:sz w:val="24"/>
          <w:szCs w:val="24"/>
        </w:rPr>
        <w:t xml:space="preserve">to the Consultation Paper </w:t>
      </w:r>
      <w:r w:rsidR="00AE1D31" w:rsidRPr="00B5532A">
        <w:rPr>
          <w:sz w:val="24"/>
          <w:szCs w:val="24"/>
        </w:rPr>
        <w:t xml:space="preserve">and other interested parties. </w:t>
      </w:r>
    </w:p>
    <w:sectPr w:rsidR="000C025E" w:rsidRPr="00B5532A" w:rsidSect="008111D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C3" w:rsidRDefault="000F05C3" w:rsidP="008111D2">
      <w:r>
        <w:separator/>
      </w:r>
    </w:p>
  </w:endnote>
  <w:endnote w:type="continuationSeparator" w:id="0">
    <w:p w:rsidR="000F05C3" w:rsidRDefault="000F05C3" w:rsidP="0081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A1" w:rsidRDefault="005C5EA1">
    <w:pPr>
      <w:pStyle w:val="Footer"/>
    </w:pPr>
    <w:r>
      <w:t>January 2012</w:t>
    </w:r>
  </w:p>
  <w:p w:rsidR="005C5EA1" w:rsidRDefault="005C5E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C3" w:rsidRDefault="000F05C3" w:rsidP="008111D2">
      <w:r>
        <w:separator/>
      </w:r>
    </w:p>
  </w:footnote>
  <w:footnote w:type="continuationSeparator" w:id="0">
    <w:p w:rsidR="000F05C3" w:rsidRDefault="000F05C3" w:rsidP="00811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A1" w:rsidRPr="008111D2" w:rsidRDefault="005C5EA1" w:rsidP="008111D2">
    <w:pPr>
      <w:pStyle w:val="Header"/>
    </w:pPr>
    <w:r w:rsidRPr="008111D2">
      <w:t>ASIC Class Order 12/1482</w:t>
    </w:r>
  </w:p>
  <w:p w:rsidR="005C5EA1" w:rsidRDefault="005C5EA1">
    <w:pPr>
      <w:pStyle w:val="Header"/>
    </w:pPr>
  </w:p>
  <w:p w:rsidR="005C5EA1" w:rsidRDefault="005C5E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E24"/>
    <w:multiLevelType w:val="hybridMultilevel"/>
    <w:tmpl w:val="C7744CD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214B"/>
    <w:multiLevelType w:val="hybridMultilevel"/>
    <w:tmpl w:val="E736810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3113E"/>
    <w:multiLevelType w:val="hybridMultilevel"/>
    <w:tmpl w:val="3DF8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248A"/>
    <w:multiLevelType w:val="hybridMultilevel"/>
    <w:tmpl w:val="ED64A2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4225"/>
    <w:multiLevelType w:val="hybridMultilevel"/>
    <w:tmpl w:val="874A9406"/>
    <w:lvl w:ilvl="0" w:tplc="928692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3AA5"/>
    <w:multiLevelType w:val="hybridMultilevel"/>
    <w:tmpl w:val="2F60C64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5966"/>
    <w:multiLevelType w:val="hybridMultilevel"/>
    <w:tmpl w:val="EADA4F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5DCA"/>
    <w:multiLevelType w:val="hybridMultilevel"/>
    <w:tmpl w:val="BE64B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254A"/>
    <w:multiLevelType w:val="hybridMultilevel"/>
    <w:tmpl w:val="06649012"/>
    <w:lvl w:ilvl="0" w:tplc="E5B27A16">
      <w:start w:val="1"/>
      <w:numFmt w:val="upperLetter"/>
      <w:lvlText w:val="(%1)"/>
      <w:lvlJc w:val="left"/>
      <w:pPr>
        <w:ind w:left="264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44C73C5C"/>
    <w:multiLevelType w:val="hybridMultilevel"/>
    <w:tmpl w:val="8B48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65369"/>
    <w:multiLevelType w:val="hybridMultilevel"/>
    <w:tmpl w:val="486CCD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30051"/>
    <w:multiLevelType w:val="hybridMultilevel"/>
    <w:tmpl w:val="84A6371E"/>
    <w:lvl w:ilvl="0" w:tplc="C32E6B3E">
      <w:start w:val="5"/>
      <w:numFmt w:val="lowerLetter"/>
      <w:lvlText w:val="(%1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6C0600CB"/>
    <w:multiLevelType w:val="hybridMultilevel"/>
    <w:tmpl w:val="50BA7CB6"/>
    <w:lvl w:ilvl="0" w:tplc="95E85B2E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7857696"/>
    <w:multiLevelType w:val="hybridMultilevel"/>
    <w:tmpl w:val="AF9C755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A3AE272">
      <w:start w:val="1"/>
      <w:numFmt w:val="upperLetter"/>
      <w:lvlText w:val="(%2)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grammar="clean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025E"/>
    <w:rsid w:val="00057033"/>
    <w:rsid w:val="0009107C"/>
    <w:rsid w:val="000B6C85"/>
    <w:rsid w:val="000C025E"/>
    <w:rsid w:val="000F05C3"/>
    <w:rsid w:val="00152BA1"/>
    <w:rsid w:val="00182FF1"/>
    <w:rsid w:val="001B2D63"/>
    <w:rsid w:val="001C28F1"/>
    <w:rsid w:val="001F4FE6"/>
    <w:rsid w:val="002877ED"/>
    <w:rsid w:val="002D2CD5"/>
    <w:rsid w:val="002E4074"/>
    <w:rsid w:val="0030340C"/>
    <w:rsid w:val="00356E10"/>
    <w:rsid w:val="003A35EF"/>
    <w:rsid w:val="003D1531"/>
    <w:rsid w:val="003D56C6"/>
    <w:rsid w:val="003D77F8"/>
    <w:rsid w:val="00415D8F"/>
    <w:rsid w:val="00473B67"/>
    <w:rsid w:val="004F29E5"/>
    <w:rsid w:val="00524572"/>
    <w:rsid w:val="00585AEA"/>
    <w:rsid w:val="005A3091"/>
    <w:rsid w:val="005C5EA1"/>
    <w:rsid w:val="005E6683"/>
    <w:rsid w:val="00623054"/>
    <w:rsid w:val="00632C30"/>
    <w:rsid w:val="0066435A"/>
    <w:rsid w:val="00667242"/>
    <w:rsid w:val="00697C32"/>
    <w:rsid w:val="006F6343"/>
    <w:rsid w:val="0071228C"/>
    <w:rsid w:val="00751BE6"/>
    <w:rsid w:val="00763820"/>
    <w:rsid w:val="007864B2"/>
    <w:rsid w:val="00797848"/>
    <w:rsid w:val="007A45A4"/>
    <w:rsid w:val="007C735F"/>
    <w:rsid w:val="007F2D59"/>
    <w:rsid w:val="008111D2"/>
    <w:rsid w:val="00824011"/>
    <w:rsid w:val="008407E1"/>
    <w:rsid w:val="008A27F8"/>
    <w:rsid w:val="008A2F42"/>
    <w:rsid w:val="008D7C9F"/>
    <w:rsid w:val="008E0394"/>
    <w:rsid w:val="00926649"/>
    <w:rsid w:val="009A5378"/>
    <w:rsid w:val="009B30A1"/>
    <w:rsid w:val="009B7E90"/>
    <w:rsid w:val="009F4BFC"/>
    <w:rsid w:val="00A43F99"/>
    <w:rsid w:val="00A739EA"/>
    <w:rsid w:val="00A769CC"/>
    <w:rsid w:val="00AE1D31"/>
    <w:rsid w:val="00AF0783"/>
    <w:rsid w:val="00B118F1"/>
    <w:rsid w:val="00B1622C"/>
    <w:rsid w:val="00B305A9"/>
    <w:rsid w:val="00B5532A"/>
    <w:rsid w:val="00B665C6"/>
    <w:rsid w:val="00B66F2D"/>
    <w:rsid w:val="00BA2EEF"/>
    <w:rsid w:val="00BC06E4"/>
    <w:rsid w:val="00BD513B"/>
    <w:rsid w:val="00C3562F"/>
    <w:rsid w:val="00C40A33"/>
    <w:rsid w:val="00C632A6"/>
    <w:rsid w:val="00CB0697"/>
    <w:rsid w:val="00CC1348"/>
    <w:rsid w:val="00D85FD0"/>
    <w:rsid w:val="00DA085B"/>
    <w:rsid w:val="00DB1AF4"/>
    <w:rsid w:val="00DC15BB"/>
    <w:rsid w:val="00E20CE3"/>
    <w:rsid w:val="00E34B08"/>
    <w:rsid w:val="00E43A62"/>
    <w:rsid w:val="00E51AF8"/>
    <w:rsid w:val="00E97553"/>
    <w:rsid w:val="00EA6F8D"/>
    <w:rsid w:val="00EA6FE2"/>
    <w:rsid w:val="00EE68E7"/>
    <w:rsid w:val="00EE759C"/>
    <w:rsid w:val="00F272E9"/>
    <w:rsid w:val="00F424BB"/>
    <w:rsid w:val="00FA682E"/>
    <w:rsid w:val="00FC5ED7"/>
    <w:rsid w:val="00FD0CA2"/>
    <w:rsid w:val="00F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E9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5D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7C3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subject/>
  <dc:creator>Helen.Yu</dc:creator>
  <cp:keywords/>
  <dc:description/>
  <cp:lastModifiedBy>Merrill Murray</cp:lastModifiedBy>
  <cp:revision>2</cp:revision>
  <cp:lastPrinted>2012-01-27T04:33:00Z</cp:lastPrinted>
  <dcterms:created xsi:type="dcterms:W3CDTF">2012-02-07T23:23:00Z</dcterms:created>
  <dcterms:modified xsi:type="dcterms:W3CDTF">2012-02-07T23:23:00Z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B394594</vt:lpwstr>
  </property>
  <property fmtid="{D5CDD505-2E9C-101B-9397-08002B2CF9AE}" pid="3" name="Objective-Title">
    <vt:lpwstr>Final Explanatory Statement CO12-1482 957am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2012-02-07T22:58:21Z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</vt:lpwstr>
  </property>
  <property fmtid="{D5CDD505-2E9C-101B-9397-08002B2CF9AE}" pid="9" name="Objective-ModificationStamp">
    <vt:filetime>2012-02-07T22:59:54Z</vt:filetime>
  </property>
  <property fmtid="{D5CDD505-2E9C-101B-9397-08002B2CF9AE}" pid="10" name="Objective-Owner">
    <vt:lpwstr>James Nott</vt:lpwstr>
  </property>
  <property fmtid="{D5CDD505-2E9C-101B-9397-08002B2CF9AE}" pid="11" name="Objective-Path">
    <vt:lpwstr>ASIC BCS:REGULATION &amp; COMPLIANCE:Business Activity Projects:Corporations Projects:Unlisted, Unrated Debentures (UUD):CP 151:</vt:lpwstr>
  </property>
  <property fmtid="{D5CDD505-2E9C-101B-9397-08002B2CF9AE}" pid="12" name="Objective-Parent">
    <vt:lpwstr>CP 151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 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> </vt:lpwstr>
  </property>
  <property fmtid="{D5CDD505-2E9C-101B-9397-08002B2CF9AE}" pid="20" name="Objective-Category [system]">
    <vt:lpwstr> </vt:lpwstr>
  </property>
</Properties>
</file>