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477" w:rsidRPr="004B3CCB" w:rsidRDefault="00120846" w:rsidP="00CC6477">
      <w:r w:rsidRPr="004B3CC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ommonwealth Coat of Arms of Australia" style="width:108pt;height:79.5pt" o:ole="" fillcolor="window">
            <v:imagedata r:id="rId8" o:title=""/>
          </v:shape>
          <o:OLEObject Type="Embed" ProgID="Word.Picture.8" ShapeID="_x0000_i1028" DrawAspect="Content" ObjectID="_1774970625" r:id="rId9"/>
        </w:object>
      </w:r>
    </w:p>
    <w:p w:rsidR="00CC6477" w:rsidRPr="004B3CCB" w:rsidRDefault="00CC6477" w:rsidP="00CC6477">
      <w:pPr>
        <w:pStyle w:val="ShortT"/>
        <w:spacing w:before="240"/>
      </w:pPr>
      <w:r w:rsidRPr="004B3CCB">
        <w:t>Trans</w:t>
      </w:r>
      <w:r w:rsidR="00C73F82">
        <w:noBreakHyphen/>
      </w:r>
      <w:r w:rsidRPr="004B3CCB">
        <w:t xml:space="preserve">Tasman Proceedings </w:t>
      </w:r>
      <w:r w:rsidR="00C73F82">
        <w:t>Regulation 2</w:t>
      </w:r>
      <w:r w:rsidRPr="004B3CCB">
        <w:t>012</w:t>
      </w:r>
    </w:p>
    <w:p w:rsidR="00CC6477" w:rsidRPr="004B3CCB" w:rsidRDefault="00CC6477" w:rsidP="00CC6477">
      <w:pPr>
        <w:pStyle w:val="CompiledActNo"/>
        <w:spacing w:before="240"/>
      </w:pPr>
      <w:r w:rsidRPr="004B3CCB">
        <w:t>Select Legislative Instrument No. 11, 2012</w:t>
      </w:r>
    </w:p>
    <w:p w:rsidR="00CC6477" w:rsidRPr="004B3CCB" w:rsidRDefault="00CC6477" w:rsidP="00CC6477">
      <w:pPr>
        <w:pStyle w:val="MadeunderText"/>
      </w:pPr>
      <w:r w:rsidRPr="004B3CCB">
        <w:t>made under the</w:t>
      </w:r>
    </w:p>
    <w:p w:rsidR="00CC6477" w:rsidRPr="004B3CCB" w:rsidRDefault="00CC6477" w:rsidP="00CC6477">
      <w:pPr>
        <w:pStyle w:val="CompiledMadeUnder"/>
        <w:spacing w:before="240"/>
      </w:pPr>
      <w:r w:rsidRPr="004B3CCB">
        <w:t>Trans‑Tasman Proceedings Act 2010</w:t>
      </w:r>
      <w:bookmarkStart w:id="0" w:name="_GoBack"/>
      <w:bookmarkEnd w:id="0"/>
    </w:p>
    <w:p w:rsidR="00CC6477" w:rsidRPr="004B3CCB" w:rsidRDefault="00CC6477" w:rsidP="00CC6477">
      <w:pPr>
        <w:spacing w:before="1000"/>
        <w:rPr>
          <w:rFonts w:cs="Arial"/>
          <w:b/>
          <w:sz w:val="32"/>
          <w:szCs w:val="32"/>
        </w:rPr>
      </w:pPr>
      <w:r w:rsidRPr="004B3CCB">
        <w:rPr>
          <w:rFonts w:cs="Arial"/>
          <w:b/>
          <w:sz w:val="32"/>
          <w:szCs w:val="32"/>
        </w:rPr>
        <w:t xml:space="preserve">Compilation No. </w:t>
      </w:r>
      <w:r w:rsidRPr="004B3CCB">
        <w:rPr>
          <w:rFonts w:cs="Arial"/>
          <w:b/>
          <w:sz w:val="32"/>
          <w:szCs w:val="32"/>
        </w:rPr>
        <w:fldChar w:fldCharType="begin"/>
      </w:r>
      <w:r w:rsidRPr="004B3CCB">
        <w:rPr>
          <w:rFonts w:cs="Arial"/>
          <w:b/>
          <w:sz w:val="32"/>
          <w:szCs w:val="32"/>
        </w:rPr>
        <w:instrText xml:space="preserve"> DOCPROPERTY  CompilationNumber </w:instrText>
      </w:r>
      <w:r w:rsidRPr="004B3CCB">
        <w:rPr>
          <w:rFonts w:cs="Arial"/>
          <w:b/>
          <w:sz w:val="32"/>
          <w:szCs w:val="32"/>
        </w:rPr>
        <w:fldChar w:fldCharType="separate"/>
      </w:r>
      <w:r w:rsidR="0088537C">
        <w:rPr>
          <w:rFonts w:cs="Arial"/>
          <w:b/>
          <w:sz w:val="32"/>
          <w:szCs w:val="32"/>
        </w:rPr>
        <w:t>6</w:t>
      </w:r>
      <w:r w:rsidRPr="004B3CCB">
        <w:rPr>
          <w:rFonts w:cs="Arial"/>
          <w:b/>
          <w:sz w:val="32"/>
          <w:szCs w:val="32"/>
        </w:rPr>
        <w:fldChar w:fldCharType="end"/>
      </w:r>
    </w:p>
    <w:p w:rsidR="00CC6477" w:rsidRPr="004B3CCB" w:rsidRDefault="00CC6477" w:rsidP="00CC6477">
      <w:pPr>
        <w:tabs>
          <w:tab w:val="left" w:pos="2551"/>
        </w:tabs>
        <w:spacing w:before="480"/>
        <w:rPr>
          <w:rFonts w:cs="Arial"/>
          <w:sz w:val="24"/>
        </w:rPr>
      </w:pPr>
      <w:r w:rsidRPr="004B3CCB">
        <w:rPr>
          <w:rFonts w:cs="Arial"/>
          <w:b/>
          <w:sz w:val="24"/>
        </w:rPr>
        <w:t>Compilation date:</w:t>
      </w:r>
      <w:r w:rsidRPr="004B3CCB">
        <w:rPr>
          <w:rFonts w:cs="Arial"/>
          <w:b/>
          <w:sz w:val="24"/>
        </w:rPr>
        <w:tab/>
      </w:r>
      <w:r w:rsidRPr="0088537C">
        <w:rPr>
          <w:rFonts w:cs="Arial"/>
          <w:sz w:val="24"/>
        </w:rPr>
        <w:fldChar w:fldCharType="begin"/>
      </w:r>
      <w:r w:rsidRPr="0088537C">
        <w:rPr>
          <w:rFonts w:cs="Arial"/>
          <w:sz w:val="24"/>
        </w:rPr>
        <w:instrText>DOCPROPERTY StartDate \@ "d MMMM yyyy" \* MERGEFORMAT</w:instrText>
      </w:r>
      <w:r w:rsidRPr="0088537C">
        <w:rPr>
          <w:rFonts w:cs="Arial"/>
          <w:sz w:val="24"/>
        </w:rPr>
        <w:fldChar w:fldCharType="separate"/>
      </w:r>
      <w:r w:rsidR="0088537C" w:rsidRPr="0088537C">
        <w:rPr>
          <w:rFonts w:cs="Arial"/>
          <w:bCs/>
          <w:sz w:val="24"/>
        </w:rPr>
        <w:t>11 April</w:t>
      </w:r>
      <w:r w:rsidR="0088537C" w:rsidRPr="0088537C">
        <w:rPr>
          <w:rFonts w:cs="Arial"/>
          <w:sz w:val="24"/>
        </w:rPr>
        <w:t xml:space="preserve"> 2024</w:t>
      </w:r>
      <w:r w:rsidRPr="0088537C">
        <w:rPr>
          <w:rFonts w:cs="Arial"/>
          <w:sz w:val="24"/>
        </w:rPr>
        <w:fldChar w:fldCharType="end"/>
      </w:r>
    </w:p>
    <w:p w:rsidR="00CC6477" w:rsidRPr="004B3CCB" w:rsidRDefault="00CC6477" w:rsidP="00CC6477">
      <w:pPr>
        <w:tabs>
          <w:tab w:val="left" w:pos="2551"/>
        </w:tabs>
        <w:spacing w:before="240"/>
        <w:ind w:left="2551" w:hanging="2551"/>
        <w:rPr>
          <w:rFonts w:cs="Arial"/>
          <w:sz w:val="24"/>
        </w:rPr>
      </w:pPr>
      <w:r w:rsidRPr="004B3CCB">
        <w:rPr>
          <w:rFonts w:cs="Arial"/>
          <w:b/>
          <w:sz w:val="24"/>
        </w:rPr>
        <w:t>Includes amendments:</w:t>
      </w:r>
      <w:r w:rsidRPr="004B3CCB">
        <w:rPr>
          <w:rFonts w:cs="Arial"/>
          <w:b/>
          <w:sz w:val="24"/>
        </w:rPr>
        <w:tab/>
      </w:r>
      <w:r w:rsidRPr="0088537C">
        <w:rPr>
          <w:rFonts w:cs="Arial"/>
          <w:sz w:val="24"/>
        </w:rPr>
        <w:fldChar w:fldCharType="begin"/>
      </w:r>
      <w:r w:rsidRPr="0088537C">
        <w:rPr>
          <w:rFonts w:cs="Arial"/>
          <w:sz w:val="24"/>
        </w:rPr>
        <w:instrText xml:space="preserve"> DOCPROPERTY IncludesUpTo </w:instrText>
      </w:r>
      <w:r w:rsidRPr="0088537C">
        <w:rPr>
          <w:rFonts w:cs="Arial"/>
          <w:sz w:val="24"/>
        </w:rPr>
        <w:fldChar w:fldCharType="separate"/>
      </w:r>
      <w:r w:rsidR="0088537C" w:rsidRPr="0088537C">
        <w:rPr>
          <w:rFonts w:cs="Arial"/>
          <w:sz w:val="24"/>
        </w:rPr>
        <w:t>F2024L00297</w:t>
      </w:r>
      <w:r w:rsidRPr="0088537C">
        <w:rPr>
          <w:rFonts w:cs="Arial"/>
          <w:sz w:val="24"/>
        </w:rPr>
        <w:fldChar w:fldCharType="end"/>
      </w:r>
    </w:p>
    <w:p w:rsidR="00CC6477" w:rsidRPr="004B3CCB" w:rsidRDefault="00CC6477" w:rsidP="00CC6477">
      <w:pPr>
        <w:tabs>
          <w:tab w:val="left" w:pos="2551"/>
        </w:tabs>
        <w:spacing w:before="240" w:after="240"/>
        <w:rPr>
          <w:rFonts w:cs="Arial"/>
          <w:sz w:val="24"/>
          <w:szCs w:val="24"/>
        </w:rPr>
      </w:pPr>
      <w:r w:rsidRPr="004B3CCB">
        <w:rPr>
          <w:rFonts w:cs="Arial"/>
          <w:b/>
          <w:sz w:val="24"/>
        </w:rPr>
        <w:t>Registered:</w:t>
      </w:r>
      <w:r w:rsidRPr="004B3CCB">
        <w:rPr>
          <w:rFonts w:cs="Arial"/>
          <w:b/>
          <w:sz w:val="24"/>
        </w:rPr>
        <w:tab/>
      </w:r>
      <w:r w:rsidRPr="0088537C">
        <w:rPr>
          <w:rFonts w:cs="Arial"/>
          <w:sz w:val="24"/>
        </w:rPr>
        <w:fldChar w:fldCharType="begin"/>
      </w:r>
      <w:r w:rsidRPr="0088537C">
        <w:rPr>
          <w:rFonts w:cs="Arial"/>
          <w:sz w:val="24"/>
        </w:rPr>
        <w:instrText xml:space="preserve"> IF </w:instrText>
      </w:r>
      <w:r w:rsidRPr="0088537C">
        <w:rPr>
          <w:rFonts w:cs="Arial"/>
          <w:sz w:val="24"/>
        </w:rPr>
        <w:fldChar w:fldCharType="begin"/>
      </w:r>
      <w:r w:rsidRPr="0088537C">
        <w:rPr>
          <w:rFonts w:cs="Arial"/>
          <w:sz w:val="24"/>
        </w:rPr>
        <w:instrText xml:space="preserve"> DOCPROPERTY RegisteredDate </w:instrText>
      </w:r>
      <w:r w:rsidRPr="0088537C">
        <w:rPr>
          <w:rFonts w:cs="Arial"/>
          <w:sz w:val="24"/>
        </w:rPr>
        <w:fldChar w:fldCharType="separate"/>
      </w:r>
      <w:r w:rsidR="0088537C" w:rsidRPr="0088537C">
        <w:rPr>
          <w:rFonts w:cs="Arial"/>
          <w:sz w:val="24"/>
        </w:rPr>
        <w:instrText>18 April 2024</w:instrText>
      </w:r>
      <w:r w:rsidRPr="0088537C">
        <w:rPr>
          <w:rFonts w:cs="Arial"/>
          <w:sz w:val="24"/>
        </w:rPr>
        <w:fldChar w:fldCharType="end"/>
      </w:r>
      <w:r w:rsidRPr="0088537C">
        <w:rPr>
          <w:rFonts w:cs="Arial"/>
          <w:sz w:val="24"/>
        </w:rPr>
        <w:instrText xml:space="preserve"> = #1/1/1901# "Unknown" </w:instrText>
      </w:r>
      <w:r w:rsidRPr="0088537C">
        <w:rPr>
          <w:rFonts w:cs="Arial"/>
          <w:sz w:val="24"/>
        </w:rPr>
        <w:fldChar w:fldCharType="begin"/>
      </w:r>
      <w:r w:rsidRPr="0088537C">
        <w:rPr>
          <w:rFonts w:cs="Arial"/>
          <w:sz w:val="24"/>
        </w:rPr>
        <w:instrText xml:space="preserve"> DOCPROPERTY RegisteredDate \@ "d MMMM yyyy" </w:instrText>
      </w:r>
      <w:r w:rsidRPr="0088537C">
        <w:rPr>
          <w:rFonts w:cs="Arial"/>
          <w:sz w:val="24"/>
        </w:rPr>
        <w:fldChar w:fldCharType="separate"/>
      </w:r>
      <w:r w:rsidR="0088537C" w:rsidRPr="0088537C">
        <w:rPr>
          <w:rFonts w:cs="Arial"/>
          <w:sz w:val="24"/>
        </w:rPr>
        <w:instrText>18 April 2024</w:instrText>
      </w:r>
      <w:r w:rsidRPr="0088537C">
        <w:rPr>
          <w:rFonts w:cs="Arial"/>
          <w:sz w:val="24"/>
        </w:rPr>
        <w:fldChar w:fldCharType="end"/>
      </w:r>
      <w:r w:rsidRPr="0088537C">
        <w:rPr>
          <w:rFonts w:cs="Arial"/>
          <w:sz w:val="24"/>
        </w:rPr>
        <w:instrText xml:space="preserve"> \*MERGEFORMAT </w:instrText>
      </w:r>
      <w:r w:rsidRPr="0088537C">
        <w:rPr>
          <w:rFonts w:cs="Arial"/>
          <w:sz w:val="24"/>
        </w:rPr>
        <w:fldChar w:fldCharType="separate"/>
      </w:r>
      <w:r w:rsidR="0088537C" w:rsidRPr="0088537C">
        <w:rPr>
          <w:rFonts w:cs="Arial"/>
          <w:bCs/>
          <w:noProof/>
          <w:sz w:val="24"/>
        </w:rPr>
        <w:t>18 April</w:t>
      </w:r>
      <w:r w:rsidR="0088537C" w:rsidRPr="0088537C">
        <w:rPr>
          <w:rFonts w:cs="Arial"/>
          <w:noProof/>
          <w:sz w:val="24"/>
        </w:rPr>
        <w:t xml:space="preserve"> 2024</w:t>
      </w:r>
      <w:r w:rsidRPr="0088537C">
        <w:rPr>
          <w:rFonts w:cs="Arial"/>
          <w:sz w:val="24"/>
        </w:rPr>
        <w:fldChar w:fldCharType="end"/>
      </w:r>
    </w:p>
    <w:p w:rsidR="00CC6477" w:rsidRPr="004B3CCB" w:rsidRDefault="00CC6477" w:rsidP="00CC6477">
      <w:pPr>
        <w:pageBreakBefore/>
        <w:rPr>
          <w:rFonts w:cs="Arial"/>
          <w:b/>
          <w:sz w:val="32"/>
          <w:szCs w:val="32"/>
        </w:rPr>
      </w:pPr>
      <w:r w:rsidRPr="004B3CCB">
        <w:rPr>
          <w:rFonts w:cs="Arial"/>
          <w:b/>
          <w:sz w:val="32"/>
          <w:szCs w:val="32"/>
        </w:rPr>
        <w:lastRenderedPageBreak/>
        <w:t>About this compilation</w:t>
      </w:r>
    </w:p>
    <w:p w:rsidR="00CC6477" w:rsidRPr="004B3CCB" w:rsidRDefault="00CC6477" w:rsidP="00CC6477">
      <w:pPr>
        <w:spacing w:before="240"/>
        <w:rPr>
          <w:rFonts w:cs="Arial"/>
        </w:rPr>
      </w:pPr>
      <w:r w:rsidRPr="004B3CCB">
        <w:rPr>
          <w:rFonts w:cs="Arial"/>
          <w:b/>
          <w:szCs w:val="22"/>
        </w:rPr>
        <w:t>This compilation</w:t>
      </w:r>
    </w:p>
    <w:p w:rsidR="00CC6477" w:rsidRPr="004B3CCB" w:rsidRDefault="00CC6477" w:rsidP="00CC6477">
      <w:pPr>
        <w:spacing w:before="120" w:after="120"/>
        <w:rPr>
          <w:rFonts w:cs="Arial"/>
          <w:szCs w:val="22"/>
        </w:rPr>
      </w:pPr>
      <w:r w:rsidRPr="004B3CCB">
        <w:rPr>
          <w:rFonts w:cs="Arial"/>
          <w:szCs w:val="22"/>
        </w:rPr>
        <w:t xml:space="preserve">This is a compilation of the </w:t>
      </w:r>
      <w:r w:rsidRPr="004B3CCB">
        <w:rPr>
          <w:rFonts w:cs="Arial"/>
          <w:i/>
          <w:szCs w:val="22"/>
        </w:rPr>
        <w:fldChar w:fldCharType="begin"/>
      </w:r>
      <w:r w:rsidRPr="004B3CCB">
        <w:rPr>
          <w:rFonts w:cs="Arial"/>
          <w:i/>
          <w:szCs w:val="22"/>
        </w:rPr>
        <w:instrText xml:space="preserve"> STYLEREF  ShortT </w:instrText>
      </w:r>
      <w:r w:rsidRPr="004B3CCB">
        <w:rPr>
          <w:rFonts w:cs="Arial"/>
          <w:i/>
          <w:szCs w:val="22"/>
        </w:rPr>
        <w:fldChar w:fldCharType="separate"/>
      </w:r>
      <w:r w:rsidR="0088537C">
        <w:rPr>
          <w:rFonts w:cs="Arial"/>
          <w:i/>
          <w:noProof/>
          <w:szCs w:val="22"/>
        </w:rPr>
        <w:t>Trans-Tasman Proceedings Regulation 2012</w:t>
      </w:r>
      <w:r w:rsidRPr="004B3CCB">
        <w:rPr>
          <w:rFonts w:cs="Arial"/>
          <w:i/>
          <w:szCs w:val="22"/>
        </w:rPr>
        <w:fldChar w:fldCharType="end"/>
      </w:r>
      <w:r w:rsidRPr="004B3CCB">
        <w:rPr>
          <w:rFonts w:cs="Arial"/>
          <w:szCs w:val="22"/>
        </w:rPr>
        <w:t xml:space="preserve"> that shows the text of the law as amended and in force on </w:t>
      </w:r>
      <w:r w:rsidRPr="0088537C">
        <w:rPr>
          <w:rFonts w:cs="Arial"/>
          <w:szCs w:val="22"/>
        </w:rPr>
        <w:fldChar w:fldCharType="begin"/>
      </w:r>
      <w:r w:rsidRPr="0088537C">
        <w:rPr>
          <w:rFonts w:cs="Arial"/>
          <w:szCs w:val="22"/>
        </w:rPr>
        <w:instrText>DOCPROPERTY StartDate \@ "d MMMM yyyy" \* MERGEFORMAT</w:instrText>
      </w:r>
      <w:r w:rsidRPr="0088537C">
        <w:rPr>
          <w:rFonts w:cs="Arial"/>
          <w:szCs w:val="3276"/>
        </w:rPr>
        <w:fldChar w:fldCharType="separate"/>
      </w:r>
      <w:r w:rsidR="0088537C" w:rsidRPr="0088537C">
        <w:rPr>
          <w:rFonts w:cs="Arial"/>
          <w:szCs w:val="22"/>
        </w:rPr>
        <w:t>11 April 2024</w:t>
      </w:r>
      <w:r w:rsidRPr="0088537C">
        <w:rPr>
          <w:rFonts w:cs="Arial"/>
          <w:szCs w:val="22"/>
        </w:rPr>
        <w:fldChar w:fldCharType="end"/>
      </w:r>
      <w:r w:rsidRPr="004B3CCB">
        <w:rPr>
          <w:rFonts w:cs="Arial"/>
          <w:szCs w:val="22"/>
        </w:rPr>
        <w:t xml:space="preserve"> (the </w:t>
      </w:r>
      <w:r w:rsidRPr="004B3CCB">
        <w:rPr>
          <w:rFonts w:cs="Arial"/>
          <w:b/>
          <w:i/>
          <w:szCs w:val="22"/>
        </w:rPr>
        <w:t>compilation date</w:t>
      </w:r>
      <w:r w:rsidRPr="004B3CCB">
        <w:rPr>
          <w:rFonts w:cs="Arial"/>
          <w:szCs w:val="22"/>
        </w:rPr>
        <w:t>).</w:t>
      </w:r>
    </w:p>
    <w:p w:rsidR="00CC6477" w:rsidRPr="004B3CCB" w:rsidRDefault="00CC6477" w:rsidP="00CC6477">
      <w:pPr>
        <w:spacing w:after="120"/>
        <w:rPr>
          <w:rFonts w:cs="Arial"/>
          <w:szCs w:val="22"/>
        </w:rPr>
      </w:pPr>
      <w:r w:rsidRPr="004B3CCB">
        <w:rPr>
          <w:rFonts w:cs="Arial"/>
          <w:szCs w:val="22"/>
        </w:rPr>
        <w:t xml:space="preserve">The notes at the end of this compilation (the </w:t>
      </w:r>
      <w:r w:rsidRPr="004B3CCB">
        <w:rPr>
          <w:rFonts w:cs="Arial"/>
          <w:b/>
          <w:i/>
          <w:szCs w:val="22"/>
        </w:rPr>
        <w:t>endnotes</w:t>
      </w:r>
      <w:r w:rsidRPr="004B3CCB">
        <w:rPr>
          <w:rFonts w:cs="Arial"/>
          <w:szCs w:val="22"/>
        </w:rPr>
        <w:t>) include information about amending laws and the amendment history of provisions of the compiled law.</w:t>
      </w:r>
    </w:p>
    <w:p w:rsidR="00CC6477" w:rsidRPr="004B3CCB" w:rsidRDefault="00CC6477" w:rsidP="00CC6477">
      <w:pPr>
        <w:tabs>
          <w:tab w:val="left" w:pos="5640"/>
        </w:tabs>
        <w:spacing w:before="120" w:after="120"/>
        <w:rPr>
          <w:rFonts w:cs="Arial"/>
          <w:b/>
          <w:szCs w:val="22"/>
        </w:rPr>
      </w:pPr>
      <w:r w:rsidRPr="004B3CCB">
        <w:rPr>
          <w:rFonts w:cs="Arial"/>
          <w:b/>
          <w:szCs w:val="22"/>
        </w:rPr>
        <w:t>Uncommenced amendments</w:t>
      </w:r>
    </w:p>
    <w:p w:rsidR="00CC6477" w:rsidRPr="004B3CCB" w:rsidRDefault="00CC6477" w:rsidP="00CC6477">
      <w:pPr>
        <w:spacing w:after="120"/>
        <w:rPr>
          <w:rFonts w:cs="Arial"/>
          <w:szCs w:val="22"/>
        </w:rPr>
      </w:pPr>
      <w:r w:rsidRPr="004B3CC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CC6477" w:rsidRPr="004B3CCB" w:rsidRDefault="00CC6477" w:rsidP="00CC6477">
      <w:pPr>
        <w:spacing w:before="120" w:after="120"/>
        <w:rPr>
          <w:rFonts w:cs="Arial"/>
          <w:b/>
          <w:szCs w:val="22"/>
        </w:rPr>
      </w:pPr>
      <w:r w:rsidRPr="004B3CCB">
        <w:rPr>
          <w:rFonts w:cs="Arial"/>
          <w:b/>
          <w:szCs w:val="22"/>
        </w:rPr>
        <w:t>Application, saving and transitional provisions for provisions and amendments</w:t>
      </w:r>
    </w:p>
    <w:p w:rsidR="00CC6477" w:rsidRPr="004B3CCB" w:rsidRDefault="00CC6477" w:rsidP="00CC6477">
      <w:pPr>
        <w:spacing w:after="120"/>
        <w:rPr>
          <w:rFonts w:cs="Arial"/>
          <w:szCs w:val="22"/>
        </w:rPr>
      </w:pPr>
      <w:r w:rsidRPr="004B3CCB">
        <w:rPr>
          <w:rFonts w:cs="Arial"/>
          <w:szCs w:val="22"/>
        </w:rPr>
        <w:t>If the operation of a provision or amendment of the compiled law is affected by an application, saving or transitional provision that is not included in this compilation, details are included in the endnotes.</w:t>
      </w:r>
    </w:p>
    <w:p w:rsidR="00CC6477" w:rsidRPr="004B3CCB" w:rsidRDefault="00CC6477" w:rsidP="00CC6477">
      <w:pPr>
        <w:spacing w:after="120"/>
        <w:rPr>
          <w:rFonts w:cs="Arial"/>
          <w:b/>
          <w:szCs w:val="22"/>
        </w:rPr>
      </w:pPr>
      <w:r w:rsidRPr="004B3CCB">
        <w:rPr>
          <w:rFonts w:cs="Arial"/>
          <w:b/>
          <w:szCs w:val="22"/>
        </w:rPr>
        <w:t>Editorial changes</w:t>
      </w:r>
    </w:p>
    <w:p w:rsidR="00CC6477" w:rsidRPr="004B3CCB" w:rsidRDefault="00CC6477" w:rsidP="00CC6477">
      <w:pPr>
        <w:spacing w:after="120"/>
        <w:rPr>
          <w:rFonts w:cs="Arial"/>
          <w:szCs w:val="22"/>
        </w:rPr>
      </w:pPr>
      <w:r w:rsidRPr="004B3CCB">
        <w:rPr>
          <w:rFonts w:cs="Arial"/>
          <w:szCs w:val="22"/>
        </w:rPr>
        <w:t>For more information about any editorial changes made in this compilation, see the endnotes.</w:t>
      </w:r>
    </w:p>
    <w:p w:rsidR="00CC6477" w:rsidRPr="004B3CCB" w:rsidRDefault="00CC6477" w:rsidP="00CC6477">
      <w:pPr>
        <w:spacing w:before="120" w:after="120"/>
        <w:rPr>
          <w:rFonts w:cs="Arial"/>
          <w:b/>
          <w:szCs w:val="22"/>
        </w:rPr>
      </w:pPr>
      <w:r w:rsidRPr="004B3CCB">
        <w:rPr>
          <w:rFonts w:cs="Arial"/>
          <w:b/>
          <w:szCs w:val="22"/>
        </w:rPr>
        <w:t>Modifications</w:t>
      </w:r>
    </w:p>
    <w:p w:rsidR="00CC6477" w:rsidRPr="004B3CCB" w:rsidRDefault="00CC6477" w:rsidP="00CC6477">
      <w:pPr>
        <w:spacing w:after="120"/>
        <w:rPr>
          <w:rFonts w:cs="Arial"/>
          <w:szCs w:val="22"/>
        </w:rPr>
      </w:pPr>
      <w:r w:rsidRPr="004B3C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C6477" w:rsidRPr="004B3CCB" w:rsidRDefault="00CC6477" w:rsidP="00CC6477">
      <w:pPr>
        <w:spacing w:before="80" w:after="120"/>
        <w:rPr>
          <w:rFonts w:cs="Arial"/>
          <w:b/>
          <w:szCs w:val="22"/>
        </w:rPr>
      </w:pPr>
      <w:r w:rsidRPr="004B3CCB">
        <w:rPr>
          <w:rFonts w:cs="Arial"/>
          <w:b/>
          <w:szCs w:val="22"/>
        </w:rPr>
        <w:t>Self</w:t>
      </w:r>
      <w:r w:rsidR="00C73F82">
        <w:rPr>
          <w:rFonts w:cs="Arial"/>
          <w:b/>
          <w:szCs w:val="22"/>
        </w:rPr>
        <w:noBreakHyphen/>
      </w:r>
      <w:r w:rsidRPr="004B3CCB">
        <w:rPr>
          <w:rFonts w:cs="Arial"/>
          <w:b/>
          <w:szCs w:val="22"/>
        </w:rPr>
        <w:t>repealing provisions</w:t>
      </w:r>
    </w:p>
    <w:p w:rsidR="00CC6477" w:rsidRPr="004B3CCB" w:rsidRDefault="00CC6477" w:rsidP="00CC6477">
      <w:pPr>
        <w:spacing w:after="120"/>
        <w:rPr>
          <w:rFonts w:cs="Arial"/>
          <w:szCs w:val="22"/>
        </w:rPr>
      </w:pPr>
      <w:r w:rsidRPr="004B3CCB">
        <w:rPr>
          <w:rFonts w:cs="Arial"/>
          <w:szCs w:val="22"/>
        </w:rPr>
        <w:t>If a provision of the compiled law has been repealed in accordance with a provision of the law, details are included in the endnotes.</w:t>
      </w:r>
    </w:p>
    <w:p w:rsidR="00CC6477" w:rsidRPr="004B3CCB" w:rsidRDefault="00CC6477" w:rsidP="00CC6477">
      <w:pPr>
        <w:pStyle w:val="Header"/>
        <w:tabs>
          <w:tab w:val="clear" w:pos="4150"/>
          <w:tab w:val="clear" w:pos="8307"/>
        </w:tabs>
      </w:pPr>
      <w:r w:rsidRPr="00C73F82">
        <w:rPr>
          <w:rStyle w:val="CharChapNo"/>
        </w:rPr>
        <w:t xml:space="preserve"> </w:t>
      </w:r>
      <w:r w:rsidRPr="00C73F82">
        <w:rPr>
          <w:rStyle w:val="CharChapText"/>
        </w:rPr>
        <w:t xml:space="preserve"> </w:t>
      </w:r>
    </w:p>
    <w:p w:rsidR="00CC6477" w:rsidRPr="004B3CCB" w:rsidRDefault="00CC6477" w:rsidP="00CC6477">
      <w:pPr>
        <w:pStyle w:val="Header"/>
        <w:tabs>
          <w:tab w:val="clear" w:pos="4150"/>
          <w:tab w:val="clear" w:pos="8307"/>
        </w:tabs>
      </w:pPr>
      <w:r w:rsidRPr="00C73F82">
        <w:rPr>
          <w:rStyle w:val="CharPartNo"/>
        </w:rPr>
        <w:t xml:space="preserve"> </w:t>
      </w:r>
      <w:r w:rsidRPr="00C73F82">
        <w:rPr>
          <w:rStyle w:val="CharPartText"/>
        </w:rPr>
        <w:t xml:space="preserve"> </w:t>
      </w:r>
    </w:p>
    <w:p w:rsidR="00CC6477" w:rsidRPr="004B3CCB" w:rsidRDefault="00CC6477" w:rsidP="00CC6477">
      <w:pPr>
        <w:pStyle w:val="Header"/>
        <w:tabs>
          <w:tab w:val="clear" w:pos="4150"/>
          <w:tab w:val="clear" w:pos="8307"/>
        </w:tabs>
      </w:pPr>
      <w:r w:rsidRPr="00C73F82">
        <w:rPr>
          <w:rStyle w:val="CharDivNo"/>
        </w:rPr>
        <w:t xml:space="preserve"> </w:t>
      </w:r>
      <w:r w:rsidRPr="00C73F82">
        <w:rPr>
          <w:rStyle w:val="CharDivText"/>
        </w:rPr>
        <w:t xml:space="preserve"> </w:t>
      </w:r>
    </w:p>
    <w:p w:rsidR="00CC6477" w:rsidRPr="004B3CCB" w:rsidRDefault="00CC6477" w:rsidP="00CC6477">
      <w:pPr>
        <w:sectPr w:rsidR="00CC6477" w:rsidRPr="004B3CCB" w:rsidSect="00E97A1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5B1DA7" w:rsidRPr="004B3CCB" w:rsidRDefault="005B1DA7" w:rsidP="005B1DA7">
      <w:pPr>
        <w:rPr>
          <w:sz w:val="36"/>
        </w:rPr>
      </w:pPr>
      <w:r w:rsidRPr="004B3CCB">
        <w:rPr>
          <w:sz w:val="36"/>
        </w:rPr>
        <w:lastRenderedPageBreak/>
        <w:t>Contents</w:t>
      </w:r>
    </w:p>
    <w:p w:rsidR="00500D04" w:rsidRDefault="005B1DA7">
      <w:pPr>
        <w:pStyle w:val="TOC2"/>
        <w:rPr>
          <w:rFonts w:asciiTheme="minorHAnsi" w:eastAsiaTheme="minorEastAsia" w:hAnsiTheme="minorHAnsi" w:cstheme="minorBidi"/>
          <w:b w:val="0"/>
          <w:noProof/>
          <w:kern w:val="0"/>
          <w:sz w:val="22"/>
          <w:szCs w:val="22"/>
        </w:rPr>
      </w:pPr>
      <w:r w:rsidRPr="004B3CCB">
        <w:rPr>
          <w:sz w:val="20"/>
        </w:rPr>
        <w:fldChar w:fldCharType="begin"/>
      </w:r>
      <w:r w:rsidRPr="004B3CCB">
        <w:rPr>
          <w:sz w:val="20"/>
        </w:rPr>
        <w:instrText xml:space="preserve"> TOC \o "1-9" </w:instrText>
      </w:r>
      <w:r w:rsidRPr="004B3CCB">
        <w:rPr>
          <w:sz w:val="20"/>
        </w:rPr>
        <w:fldChar w:fldCharType="separate"/>
      </w:r>
      <w:r w:rsidR="00500D04">
        <w:rPr>
          <w:noProof/>
        </w:rPr>
        <w:t>Part 1—Preliminary</w:t>
      </w:r>
      <w:r w:rsidR="00500D04" w:rsidRPr="00500D04">
        <w:rPr>
          <w:b w:val="0"/>
          <w:noProof/>
          <w:sz w:val="18"/>
        </w:rPr>
        <w:tab/>
      </w:r>
      <w:r w:rsidR="00500D04" w:rsidRPr="00500D04">
        <w:rPr>
          <w:b w:val="0"/>
          <w:noProof/>
          <w:sz w:val="18"/>
        </w:rPr>
        <w:fldChar w:fldCharType="begin"/>
      </w:r>
      <w:r w:rsidR="00500D04" w:rsidRPr="00500D04">
        <w:rPr>
          <w:b w:val="0"/>
          <w:noProof/>
          <w:sz w:val="18"/>
        </w:rPr>
        <w:instrText xml:space="preserve"> PAGEREF _Toc164357180 \h </w:instrText>
      </w:r>
      <w:r w:rsidR="00500D04" w:rsidRPr="00500D04">
        <w:rPr>
          <w:b w:val="0"/>
          <w:noProof/>
          <w:sz w:val="18"/>
        </w:rPr>
      </w:r>
      <w:r w:rsidR="00500D04" w:rsidRPr="00500D04">
        <w:rPr>
          <w:b w:val="0"/>
          <w:noProof/>
          <w:sz w:val="18"/>
        </w:rPr>
        <w:fldChar w:fldCharType="separate"/>
      </w:r>
      <w:r w:rsidR="0012428D">
        <w:rPr>
          <w:b w:val="0"/>
          <w:noProof/>
          <w:sz w:val="18"/>
        </w:rPr>
        <w:t>1</w:t>
      </w:r>
      <w:r w:rsidR="00500D04"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w:t>
      </w:r>
      <w:r>
        <w:rPr>
          <w:noProof/>
        </w:rPr>
        <w:tab/>
        <w:t>Name of regulation</w:t>
      </w:r>
      <w:r w:rsidRPr="00500D04">
        <w:rPr>
          <w:noProof/>
        </w:rPr>
        <w:tab/>
      </w:r>
      <w:r w:rsidRPr="00500D04">
        <w:rPr>
          <w:noProof/>
        </w:rPr>
        <w:fldChar w:fldCharType="begin"/>
      </w:r>
      <w:r w:rsidRPr="00500D04">
        <w:rPr>
          <w:noProof/>
        </w:rPr>
        <w:instrText xml:space="preserve"> PAGEREF _Toc164357181 \h </w:instrText>
      </w:r>
      <w:r w:rsidRPr="00500D04">
        <w:rPr>
          <w:noProof/>
        </w:rPr>
      </w:r>
      <w:r w:rsidRPr="00500D04">
        <w:rPr>
          <w:noProof/>
        </w:rPr>
        <w:fldChar w:fldCharType="separate"/>
      </w:r>
      <w:r w:rsidR="0012428D">
        <w:rPr>
          <w:noProof/>
        </w:rPr>
        <w:t>1</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3</w:t>
      </w:r>
      <w:r>
        <w:rPr>
          <w:noProof/>
        </w:rPr>
        <w:tab/>
        <w:t>Definitions</w:t>
      </w:r>
      <w:r w:rsidRPr="00500D04">
        <w:rPr>
          <w:noProof/>
        </w:rPr>
        <w:tab/>
      </w:r>
      <w:r w:rsidRPr="00500D04">
        <w:rPr>
          <w:noProof/>
        </w:rPr>
        <w:fldChar w:fldCharType="begin"/>
      </w:r>
      <w:r w:rsidRPr="00500D04">
        <w:rPr>
          <w:noProof/>
        </w:rPr>
        <w:instrText xml:space="preserve"> PAGEREF _Toc164357182 \h </w:instrText>
      </w:r>
      <w:r w:rsidRPr="00500D04">
        <w:rPr>
          <w:noProof/>
        </w:rPr>
      </w:r>
      <w:r w:rsidRPr="00500D04">
        <w:rPr>
          <w:noProof/>
        </w:rPr>
        <w:fldChar w:fldCharType="separate"/>
      </w:r>
      <w:r w:rsidR="0012428D">
        <w:rPr>
          <w:noProof/>
        </w:rPr>
        <w:t>1</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4</w:t>
      </w:r>
      <w:r>
        <w:rPr>
          <w:noProof/>
        </w:rPr>
        <w:tab/>
        <w:t>Forms</w:t>
      </w:r>
      <w:r w:rsidRPr="00500D04">
        <w:rPr>
          <w:noProof/>
        </w:rPr>
        <w:tab/>
      </w:r>
      <w:r w:rsidRPr="00500D04">
        <w:rPr>
          <w:noProof/>
        </w:rPr>
        <w:fldChar w:fldCharType="begin"/>
      </w:r>
      <w:r w:rsidRPr="00500D04">
        <w:rPr>
          <w:noProof/>
        </w:rPr>
        <w:instrText xml:space="preserve"> PAGEREF _Toc164357183 \h </w:instrText>
      </w:r>
      <w:r w:rsidRPr="00500D04">
        <w:rPr>
          <w:noProof/>
        </w:rPr>
      </w:r>
      <w:r w:rsidRPr="00500D04">
        <w:rPr>
          <w:noProof/>
        </w:rPr>
        <w:fldChar w:fldCharType="separate"/>
      </w:r>
      <w:r w:rsidR="0012428D">
        <w:rPr>
          <w:noProof/>
        </w:rPr>
        <w:t>1</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2—Service in NZ of initiating document</w:t>
      </w:r>
      <w:r w:rsidRPr="00500D04">
        <w:rPr>
          <w:b w:val="0"/>
          <w:noProof/>
          <w:sz w:val="18"/>
        </w:rPr>
        <w:tab/>
      </w:r>
      <w:r w:rsidRPr="00500D04">
        <w:rPr>
          <w:b w:val="0"/>
          <w:noProof/>
          <w:sz w:val="18"/>
        </w:rPr>
        <w:fldChar w:fldCharType="begin"/>
      </w:r>
      <w:r w:rsidRPr="00500D04">
        <w:rPr>
          <w:b w:val="0"/>
          <w:noProof/>
          <w:sz w:val="18"/>
        </w:rPr>
        <w:instrText xml:space="preserve"> PAGEREF _Toc164357184 \h </w:instrText>
      </w:r>
      <w:r w:rsidRPr="00500D04">
        <w:rPr>
          <w:b w:val="0"/>
          <w:noProof/>
          <w:sz w:val="18"/>
        </w:rPr>
      </w:r>
      <w:r w:rsidRPr="00500D04">
        <w:rPr>
          <w:b w:val="0"/>
          <w:noProof/>
          <w:sz w:val="18"/>
        </w:rPr>
        <w:fldChar w:fldCharType="separate"/>
      </w:r>
      <w:r w:rsidR="0012428D">
        <w:rPr>
          <w:b w:val="0"/>
          <w:noProof/>
          <w:sz w:val="18"/>
        </w:rPr>
        <w:t>2</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5</w:t>
      </w:r>
      <w:r>
        <w:rPr>
          <w:noProof/>
        </w:rPr>
        <w:tab/>
        <w:t>Information to be given to defendant</w:t>
      </w:r>
      <w:r w:rsidRPr="00500D04">
        <w:rPr>
          <w:noProof/>
        </w:rPr>
        <w:tab/>
      </w:r>
      <w:r w:rsidRPr="00500D04">
        <w:rPr>
          <w:noProof/>
        </w:rPr>
        <w:fldChar w:fldCharType="begin"/>
      </w:r>
      <w:r w:rsidRPr="00500D04">
        <w:rPr>
          <w:noProof/>
        </w:rPr>
        <w:instrText xml:space="preserve"> PAGEREF _Toc164357185 \h </w:instrText>
      </w:r>
      <w:r w:rsidRPr="00500D04">
        <w:rPr>
          <w:noProof/>
        </w:rPr>
      </w:r>
      <w:r w:rsidRPr="00500D04">
        <w:rPr>
          <w:noProof/>
        </w:rPr>
        <w:fldChar w:fldCharType="separate"/>
      </w:r>
      <w:r w:rsidR="0012428D">
        <w:rPr>
          <w:noProof/>
        </w:rPr>
        <w:t>2</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3—Application to stay proceeding on forum grounds</w:t>
      </w:r>
      <w:r w:rsidRPr="00500D04">
        <w:rPr>
          <w:b w:val="0"/>
          <w:noProof/>
          <w:sz w:val="18"/>
        </w:rPr>
        <w:tab/>
      </w:r>
      <w:r w:rsidRPr="00500D04">
        <w:rPr>
          <w:b w:val="0"/>
          <w:noProof/>
          <w:sz w:val="18"/>
        </w:rPr>
        <w:fldChar w:fldCharType="begin"/>
      </w:r>
      <w:r w:rsidRPr="00500D04">
        <w:rPr>
          <w:b w:val="0"/>
          <w:noProof/>
          <w:sz w:val="18"/>
        </w:rPr>
        <w:instrText xml:space="preserve"> PAGEREF _Toc164357186 \h </w:instrText>
      </w:r>
      <w:r w:rsidRPr="00500D04">
        <w:rPr>
          <w:b w:val="0"/>
          <w:noProof/>
          <w:sz w:val="18"/>
        </w:rPr>
      </w:r>
      <w:r w:rsidRPr="00500D04">
        <w:rPr>
          <w:b w:val="0"/>
          <w:noProof/>
          <w:sz w:val="18"/>
        </w:rPr>
        <w:fldChar w:fldCharType="separate"/>
      </w:r>
      <w:r w:rsidR="0012428D">
        <w:rPr>
          <w:b w:val="0"/>
          <w:noProof/>
          <w:sz w:val="18"/>
        </w:rPr>
        <w:t>3</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6</w:t>
      </w:r>
      <w:r>
        <w:rPr>
          <w:noProof/>
        </w:rPr>
        <w:tab/>
        <w:t>Request for hearing of stay application</w:t>
      </w:r>
      <w:r w:rsidRPr="00500D04">
        <w:rPr>
          <w:noProof/>
        </w:rPr>
        <w:tab/>
      </w:r>
      <w:r w:rsidRPr="00500D04">
        <w:rPr>
          <w:noProof/>
        </w:rPr>
        <w:fldChar w:fldCharType="begin"/>
      </w:r>
      <w:r w:rsidRPr="00500D04">
        <w:rPr>
          <w:noProof/>
        </w:rPr>
        <w:instrText xml:space="preserve"> PAGEREF _Toc164357187 \h </w:instrText>
      </w:r>
      <w:r w:rsidRPr="00500D04">
        <w:rPr>
          <w:noProof/>
        </w:rPr>
      </w:r>
      <w:r w:rsidRPr="00500D04">
        <w:rPr>
          <w:noProof/>
        </w:rPr>
        <w:fldChar w:fldCharType="separate"/>
      </w:r>
      <w:r w:rsidR="0012428D">
        <w:rPr>
          <w:noProof/>
        </w:rPr>
        <w:t>3</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7</w:t>
      </w:r>
      <w:r>
        <w:rPr>
          <w:noProof/>
        </w:rPr>
        <w:tab/>
        <w:t>Request for remote appearance</w:t>
      </w:r>
      <w:r w:rsidRPr="00500D04">
        <w:rPr>
          <w:noProof/>
        </w:rPr>
        <w:tab/>
      </w:r>
      <w:r w:rsidRPr="00500D04">
        <w:rPr>
          <w:noProof/>
        </w:rPr>
        <w:fldChar w:fldCharType="begin"/>
      </w:r>
      <w:r w:rsidRPr="00500D04">
        <w:rPr>
          <w:noProof/>
        </w:rPr>
        <w:instrText xml:space="preserve"> PAGEREF _Toc164357188 \h </w:instrText>
      </w:r>
      <w:r w:rsidRPr="00500D04">
        <w:rPr>
          <w:noProof/>
        </w:rPr>
      </w:r>
      <w:r w:rsidRPr="00500D04">
        <w:rPr>
          <w:noProof/>
        </w:rPr>
        <w:fldChar w:fldCharType="separate"/>
      </w:r>
      <w:r w:rsidR="0012428D">
        <w:rPr>
          <w:noProof/>
        </w:rPr>
        <w:t>3</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4—Australian courts granting interim relief</w:t>
      </w:r>
      <w:r w:rsidRPr="00500D04">
        <w:rPr>
          <w:b w:val="0"/>
          <w:noProof/>
          <w:sz w:val="18"/>
        </w:rPr>
        <w:tab/>
      </w:r>
      <w:r w:rsidRPr="00500D04">
        <w:rPr>
          <w:b w:val="0"/>
          <w:noProof/>
          <w:sz w:val="18"/>
        </w:rPr>
        <w:fldChar w:fldCharType="begin"/>
      </w:r>
      <w:r w:rsidRPr="00500D04">
        <w:rPr>
          <w:b w:val="0"/>
          <w:noProof/>
          <w:sz w:val="18"/>
        </w:rPr>
        <w:instrText xml:space="preserve"> PAGEREF _Toc164357189 \h </w:instrText>
      </w:r>
      <w:r w:rsidRPr="00500D04">
        <w:rPr>
          <w:b w:val="0"/>
          <w:noProof/>
          <w:sz w:val="18"/>
        </w:rPr>
      </w:r>
      <w:r w:rsidRPr="00500D04">
        <w:rPr>
          <w:b w:val="0"/>
          <w:noProof/>
          <w:sz w:val="18"/>
        </w:rPr>
        <w:fldChar w:fldCharType="separate"/>
      </w:r>
      <w:r w:rsidR="0012428D">
        <w:rPr>
          <w:b w:val="0"/>
          <w:noProof/>
          <w:sz w:val="18"/>
        </w:rPr>
        <w:t>4</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8</w:t>
      </w:r>
      <w:r>
        <w:rPr>
          <w:noProof/>
        </w:rPr>
        <w:tab/>
        <w:t>Australian courts to which application for interim relief may be made</w:t>
      </w:r>
      <w:r w:rsidRPr="00500D04">
        <w:rPr>
          <w:noProof/>
        </w:rPr>
        <w:tab/>
      </w:r>
      <w:r w:rsidRPr="00500D04">
        <w:rPr>
          <w:noProof/>
        </w:rPr>
        <w:fldChar w:fldCharType="begin"/>
      </w:r>
      <w:r w:rsidRPr="00500D04">
        <w:rPr>
          <w:noProof/>
        </w:rPr>
        <w:instrText xml:space="preserve"> PAGEREF _Toc164357190 \h </w:instrText>
      </w:r>
      <w:r w:rsidRPr="00500D04">
        <w:rPr>
          <w:noProof/>
        </w:rPr>
      </w:r>
      <w:r w:rsidRPr="00500D04">
        <w:rPr>
          <w:noProof/>
        </w:rPr>
        <w:fldChar w:fldCharType="separate"/>
      </w:r>
      <w:r w:rsidR="0012428D">
        <w:rPr>
          <w:noProof/>
        </w:rPr>
        <w:t>4</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5—Subpoenas</w:t>
      </w:r>
      <w:r w:rsidRPr="00500D04">
        <w:rPr>
          <w:b w:val="0"/>
          <w:noProof/>
          <w:sz w:val="18"/>
        </w:rPr>
        <w:tab/>
      </w:r>
      <w:r w:rsidRPr="00500D04">
        <w:rPr>
          <w:b w:val="0"/>
          <w:noProof/>
          <w:sz w:val="18"/>
        </w:rPr>
        <w:fldChar w:fldCharType="begin"/>
      </w:r>
      <w:r w:rsidRPr="00500D04">
        <w:rPr>
          <w:b w:val="0"/>
          <w:noProof/>
          <w:sz w:val="18"/>
        </w:rPr>
        <w:instrText xml:space="preserve"> PAGEREF _Toc164357191 \h </w:instrText>
      </w:r>
      <w:r w:rsidRPr="00500D04">
        <w:rPr>
          <w:b w:val="0"/>
          <w:noProof/>
          <w:sz w:val="18"/>
        </w:rPr>
      </w:r>
      <w:r w:rsidRPr="00500D04">
        <w:rPr>
          <w:b w:val="0"/>
          <w:noProof/>
          <w:sz w:val="18"/>
        </w:rPr>
        <w:fldChar w:fldCharType="separate"/>
      </w:r>
      <w:r w:rsidR="0012428D">
        <w:rPr>
          <w:b w:val="0"/>
          <w:noProof/>
          <w:sz w:val="18"/>
        </w:rPr>
        <w:t>5</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9</w:t>
      </w:r>
      <w:r>
        <w:rPr>
          <w:noProof/>
        </w:rPr>
        <w:tab/>
        <w:t>Australian courts and tribunals to which Division 2 of Part 5 of the Act applies</w:t>
      </w:r>
      <w:r w:rsidRPr="00500D04">
        <w:rPr>
          <w:noProof/>
        </w:rPr>
        <w:tab/>
      </w:r>
      <w:r w:rsidRPr="00500D04">
        <w:rPr>
          <w:noProof/>
        </w:rPr>
        <w:fldChar w:fldCharType="begin"/>
      </w:r>
      <w:r w:rsidRPr="00500D04">
        <w:rPr>
          <w:noProof/>
        </w:rPr>
        <w:instrText xml:space="preserve"> PAGEREF _Toc164357192 \h </w:instrText>
      </w:r>
      <w:r w:rsidRPr="00500D04">
        <w:rPr>
          <w:noProof/>
        </w:rPr>
      </w:r>
      <w:r w:rsidRPr="00500D04">
        <w:rPr>
          <w:noProof/>
        </w:rPr>
        <w:fldChar w:fldCharType="separate"/>
      </w:r>
      <w:r w:rsidR="0012428D">
        <w:rPr>
          <w:noProof/>
        </w:rPr>
        <w:t>5</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10</w:t>
      </w:r>
      <w:r>
        <w:rPr>
          <w:noProof/>
        </w:rPr>
        <w:tab/>
        <w:t>Notice to accompany subpoena</w:t>
      </w:r>
      <w:r w:rsidRPr="00500D04">
        <w:rPr>
          <w:noProof/>
        </w:rPr>
        <w:tab/>
      </w:r>
      <w:r w:rsidRPr="00500D04">
        <w:rPr>
          <w:noProof/>
        </w:rPr>
        <w:fldChar w:fldCharType="begin"/>
      </w:r>
      <w:r w:rsidRPr="00500D04">
        <w:rPr>
          <w:noProof/>
        </w:rPr>
        <w:instrText xml:space="preserve"> PAGEREF _Toc164357193 \h </w:instrText>
      </w:r>
      <w:r w:rsidRPr="00500D04">
        <w:rPr>
          <w:noProof/>
        </w:rPr>
      </w:r>
      <w:r w:rsidRPr="00500D04">
        <w:rPr>
          <w:noProof/>
        </w:rPr>
        <w:fldChar w:fldCharType="separate"/>
      </w:r>
      <w:r w:rsidR="0012428D">
        <w:rPr>
          <w:noProof/>
        </w:rPr>
        <w:t>6</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11</w:t>
      </w:r>
      <w:r>
        <w:rPr>
          <w:noProof/>
        </w:rPr>
        <w:tab/>
        <w:t>Receipt of documents and things required by subpoena</w:t>
      </w:r>
      <w:r w:rsidRPr="00500D04">
        <w:rPr>
          <w:noProof/>
        </w:rPr>
        <w:tab/>
      </w:r>
      <w:r w:rsidRPr="00500D04">
        <w:rPr>
          <w:noProof/>
        </w:rPr>
        <w:fldChar w:fldCharType="begin"/>
      </w:r>
      <w:r w:rsidRPr="00500D04">
        <w:rPr>
          <w:noProof/>
        </w:rPr>
        <w:instrText xml:space="preserve"> PAGEREF _Toc164357194 \h </w:instrText>
      </w:r>
      <w:r w:rsidRPr="00500D04">
        <w:rPr>
          <w:noProof/>
        </w:rPr>
      </w:r>
      <w:r w:rsidRPr="00500D04">
        <w:rPr>
          <w:noProof/>
        </w:rPr>
        <w:fldChar w:fldCharType="separate"/>
      </w:r>
      <w:r w:rsidR="0012428D">
        <w:rPr>
          <w:noProof/>
        </w:rPr>
        <w:t>6</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6—Remote appearances</w:t>
      </w:r>
      <w:r w:rsidRPr="00500D04">
        <w:rPr>
          <w:b w:val="0"/>
          <w:noProof/>
          <w:sz w:val="18"/>
        </w:rPr>
        <w:tab/>
      </w:r>
      <w:r w:rsidRPr="00500D04">
        <w:rPr>
          <w:b w:val="0"/>
          <w:noProof/>
          <w:sz w:val="18"/>
        </w:rPr>
        <w:fldChar w:fldCharType="begin"/>
      </w:r>
      <w:r w:rsidRPr="00500D04">
        <w:rPr>
          <w:b w:val="0"/>
          <w:noProof/>
          <w:sz w:val="18"/>
        </w:rPr>
        <w:instrText xml:space="preserve"> PAGEREF _Toc164357195 \h </w:instrText>
      </w:r>
      <w:r w:rsidRPr="00500D04">
        <w:rPr>
          <w:b w:val="0"/>
          <w:noProof/>
          <w:sz w:val="18"/>
        </w:rPr>
      </w:r>
      <w:r w:rsidRPr="00500D04">
        <w:rPr>
          <w:b w:val="0"/>
          <w:noProof/>
          <w:sz w:val="18"/>
        </w:rPr>
        <w:fldChar w:fldCharType="separate"/>
      </w:r>
      <w:r w:rsidR="0012428D">
        <w:rPr>
          <w:b w:val="0"/>
          <w:noProof/>
          <w:sz w:val="18"/>
        </w:rPr>
        <w:t>7</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12</w:t>
      </w:r>
      <w:r>
        <w:rPr>
          <w:noProof/>
        </w:rPr>
        <w:tab/>
        <w:t>Remote appearances unrelated to remote evidence</w:t>
      </w:r>
      <w:r w:rsidRPr="00500D04">
        <w:rPr>
          <w:noProof/>
        </w:rPr>
        <w:tab/>
      </w:r>
      <w:r w:rsidRPr="00500D04">
        <w:rPr>
          <w:noProof/>
        </w:rPr>
        <w:fldChar w:fldCharType="begin"/>
      </w:r>
      <w:r w:rsidRPr="00500D04">
        <w:rPr>
          <w:noProof/>
        </w:rPr>
        <w:instrText xml:space="preserve"> PAGEREF _Toc164357196 \h </w:instrText>
      </w:r>
      <w:r w:rsidRPr="00500D04">
        <w:rPr>
          <w:noProof/>
        </w:rPr>
      </w:r>
      <w:r w:rsidRPr="00500D04">
        <w:rPr>
          <w:noProof/>
        </w:rPr>
        <w:fldChar w:fldCharType="separate"/>
      </w:r>
      <w:r w:rsidR="0012428D">
        <w:rPr>
          <w:noProof/>
        </w:rPr>
        <w:t>7</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13</w:t>
      </w:r>
      <w:r>
        <w:rPr>
          <w:noProof/>
        </w:rPr>
        <w:tab/>
        <w:t>Remote appearances related to remote evidence</w:t>
      </w:r>
      <w:r w:rsidRPr="00500D04">
        <w:rPr>
          <w:noProof/>
        </w:rPr>
        <w:tab/>
      </w:r>
      <w:r w:rsidRPr="00500D04">
        <w:rPr>
          <w:noProof/>
        </w:rPr>
        <w:fldChar w:fldCharType="begin"/>
      </w:r>
      <w:r w:rsidRPr="00500D04">
        <w:rPr>
          <w:noProof/>
        </w:rPr>
        <w:instrText xml:space="preserve"> PAGEREF _Toc164357197 \h </w:instrText>
      </w:r>
      <w:r w:rsidRPr="00500D04">
        <w:rPr>
          <w:noProof/>
        </w:rPr>
      </w:r>
      <w:r w:rsidRPr="00500D04">
        <w:rPr>
          <w:noProof/>
        </w:rPr>
        <w:fldChar w:fldCharType="separate"/>
      </w:r>
      <w:r w:rsidR="0012428D">
        <w:rPr>
          <w:noProof/>
        </w:rPr>
        <w:t>7</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14</w:t>
      </w:r>
      <w:r>
        <w:rPr>
          <w:noProof/>
        </w:rPr>
        <w:tab/>
        <w:t>Courts and tribunals that may provide assistance to NZ courts and tribunals</w:t>
      </w:r>
      <w:r w:rsidRPr="00500D04">
        <w:rPr>
          <w:noProof/>
        </w:rPr>
        <w:tab/>
      </w:r>
      <w:r w:rsidRPr="00500D04">
        <w:rPr>
          <w:noProof/>
        </w:rPr>
        <w:fldChar w:fldCharType="begin"/>
      </w:r>
      <w:r w:rsidRPr="00500D04">
        <w:rPr>
          <w:noProof/>
        </w:rPr>
        <w:instrText xml:space="preserve"> PAGEREF _Toc164357198 \h </w:instrText>
      </w:r>
      <w:r w:rsidRPr="00500D04">
        <w:rPr>
          <w:noProof/>
        </w:rPr>
      </w:r>
      <w:r w:rsidRPr="00500D04">
        <w:rPr>
          <w:noProof/>
        </w:rPr>
        <w:fldChar w:fldCharType="separate"/>
      </w:r>
      <w:r w:rsidR="0012428D">
        <w:rPr>
          <w:noProof/>
        </w:rPr>
        <w:t>8</w:t>
      </w:r>
      <w:r w:rsidRPr="00500D04">
        <w:rPr>
          <w:noProof/>
        </w:rPr>
        <w:fldChar w:fldCharType="end"/>
      </w:r>
    </w:p>
    <w:p w:rsidR="00500D04" w:rsidRDefault="00500D04">
      <w:pPr>
        <w:pStyle w:val="TOC2"/>
        <w:rPr>
          <w:rFonts w:asciiTheme="minorHAnsi" w:eastAsiaTheme="minorEastAsia" w:hAnsiTheme="minorHAnsi" w:cstheme="minorBidi"/>
          <w:b w:val="0"/>
          <w:noProof/>
          <w:kern w:val="0"/>
          <w:sz w:val="22"/>
          <w:szCs w:val="22"/>
        </w:rPr>
      </w:pPr>
      <w:r>
        <w:rPr>
          <w:noProof/>
        </w:rPr>
        <w:t>Part 7—Recognition and enforcement of judgments</w:t>
      </w:r>
      <w:r w:rsidRPr="00500D04">
        <w:rPr>
          <w:b w:val="0"/>
          <w:noProof/>
          <w:sz w:val="18"/>
        </w:rPr>
        <w:tab/>
      </w:r>
      <w:r w:rsidRPr="00500D04">
        <w:rPr>
          <w:b w:val="0"/>
          <w:noProof/>
          <w:sz w:val="18"/>
        </w:rPr>
        <w:fldChar w:fldCharType="begin"/>
      </w:r>
      <w:r w:rsidRPr="00500D04">
        <w:rPr>
          <w:b w:val="0"/>
          <w:noProof/>
          <w:sz w:val="18"/>
        </w:rPr>
        <w:instrText xml:space="preserve"> PAGEREF _Toc164357199 \h </w:instrText>
      </w:r>
      <w:r w:rsidRPr="00500D04">
        <w:rPr>
          <w:b w:val="0"/>
          <w:noProof/>
          <w:sz w:val="18"/>
        </w:rPr>
      </w:r>
      <w:r w:rsidRPr="00500D04">
        <w:rPr>
          <w:b w:val="0"/>
          <w:noProof/>
          <w:sz w:val="18"/>
        </w:rPr>
        <w:fldChar w:fldCharType="separate"/>
      </w:r>
      <w:r w:rsidR="0012428D">
        <w:rPr>
          <w:b w:val="0"/>
          <w:noProof/>
          <w:sz w:val="18"/>
        </w:rPr>
        <w:t>9</w:t>
      </w:r>
      <w:r w:rsidRPr="00500D04">
        <w:rPr>
          <w:b w:val="0"/>
          <w:noProof/>
          <w:sz w:val="18"/>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15</w:t>
      </w:r>
      <w:r>
        <w:rPr>
          <w:noProof/>
        </w:rPr>
        <w:tab/>
        <w:t>Regulatory regime criminal fines</w:t>
      </w:r>
      <w:r w:rsidRPr="00500D04">
        <w:rPr>
          <w:noProof/>
        </w:rPr>
        <w:tab/>
      </w:r>
      <w:r w:rsidRPr="00500D04">
        <w:rPr>
          <w:noProof/>
        </w:rPr>
        <w:fldChar w:fldCharType="begin"/>
      </w:r>
      <w:r w:rsidRPr="00500D04">
        <w:rPr>
          <w:noProof/>
        </w:rPr>
        <w:instrText xml:space="preserve"> PAGEREF _Toc164357200 \h </w:instrText>
      </w:r>
      <w:r w:rsidRPr="00500D04">
        <w:rPr>
          <w:noProof/>
        </w:rPr>
      </w:r>
      <w:r w:rsidRPr="00500D04">
        <w:rPr>
          <w:noProof/>
        </w:rPr>
        <w:fldChar w:fldCharType="separate"/>
      </w:r>
      <w:r w:rsidR="0012428D">
        <w:rPr>
          <w:noProof/>
        </w:rPr>
        <w:t>9</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16</w:t>
      </w:r>
      <w:r>
        <w:rPr>
          <w:noProof/>
        </w:rPr>
        <w:tab/>
        <w:t>Judgments that are not registrable NZ judgments</w:t>
      </w:r>
      <w:r w:rsidRPr="00500D04">
        <w:rPr>
          <w:noProof/>
        </w:rPr>
        <w:tab/>
      </w:r>
      <w:r w:rsidRPr="00500D04">
        <w:rPr>
          <w:noProof/>
        </w:rPr>
        <w:fldChar w:fldCharType="begin"/>
      </w:r>
      <w:r w:rsidRPr="00500D04">
        <w:rPr>
          <w:noProof/>
        </w:rPr>
        <w:instrText xml:space="preserve"> PAGEREF _Toc164357201 \h </w:instrText>
      </w:r>
      <w:r w:rsidRPr="00500D04">
        <w:rPr>
          <w:noProof/>
        </w:rPr>
      </w:r>
      <w:r w:rsidRPr="00500D04">
        <w:rPr>
          <w:noProof/>
        </w:rPr>
        <w:fldChar w:fldCharType="separate"/>
      </w:r>
      <w:r w:rsidR="0012428D">
        <w:rPr>
          <w:noProof/>
        </w:rPr>
        <w:t>10</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17</w:t>
      </w:r>
      <w:r>
        <w:rPr>
          <w:noProof/>
        </w:rPr>
        <w:tab/>
        <w:t>Application for registration of NZ judgment</w:t>
      </w:r>
      <w:r w:rsidRPr="00500D04">
        <w:rPr>
          <w:noProof/>
        </w:rPr>
        <w:tab/>
      </w:r>
      <w:r w:rsidRPr="00500D04">
        <w:rPr>
          <w:noProof/>
        </w:rPr>
        <w:fldChar w:fldCharType="begin"/>
      </w:r>
      <w:r w:rsidRPr="00500D04">
        <w:rPr>
          <w:noProof/>
        </w:rPr>
        <w:instrText xml:space="preserve"> PAGEREF _Toc164357202 \h </w:instrText>
      </w:r>
      <w:r w:rsidRPr="00500D04">
        <w:rPr>
          <w:noProof/>
        </w:rPr>
      </w:r>
      <w:r w:rsidRPr="00500D04">
        <w:rPr>
          <w:noProof/>
        </w:rPr>
        <w:fldChar w:fldCharType="separate"/>
      </w:r>
      <w:r w:rsidR="0012428D">
        <w:rPr>
          <w:noProof/>
        </w:rPr>
        <w:t>10</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18</w:t>
      </w:r>
      <w:r>
        <w:rPr>
          <w:noProof/>
        </w:rPr>
        <w:tab/>
        <w:t>Rate of exchange</w:t>
      </w:r>
      <w:r w:rsidRPr="00500D04">
        <w:rPr>
          <w:noProof/>
        </w:rPr>
        <w:tab/>
      </w:r>
      <w:r w:rsidRPr="00500D04">
        <w:rPr>
          <w:noProof/>
        </w:rPr>
        <w:fldChar w:fldCharType="begin"/>
      </w:r>
      <w:r w:rsidRPr="00500D04">
        <w:rPr>
          <w:noProof/>
        </w:rPr>
        <w:instrText xml:space="preserve"> PAGEREF _Toc164357203 \h </w:instrText>
      </w:r>
      <w:r w:rsidRPr="00500D04">
        <w:rPr>
          <w:noProof/>
        </w:rPr>
      </w:r>
      <w:r w:rsidRPr="00500D04">
        <w:rPr>
          <w:noProof/>
        </w:rPr>
        <w:fldChar w:fldCharType="separate"/>
      </w:r>
      <w:r w:rsidR="0012428D">
        <w:rPr>
          <w:noProof/>
        </w:rPr>
        <w:t>10</w:t>
      </w:r>
      <w:r w:rsidRPr="00500D04">
        <w:rPr>
          <w:noProof/>
        </w:rPr>
        <w:fldChar w:fldCharType="end"/>
      </w:r>
    </w:p>
    <w:p w:rsidR="00500D04" w:rsidRDefault="00500D04">
      <w:pPr>
        <w:pStyle w:val="TOC5"/>
        <w:rPr>
          <w:rFonts w:asciiTheme="minorHAnsi" w:eastAsiaTheme="minorEastAsia" w:hAnsiTheme="minorHAnsi" w:cstheme="minorBidi"/>
          <w:noProof/>
          <w:kern w:val="0"/>
          <w:sz w:val="22"/>
          <w:szCs w:val="22"/>
        </w:rPr>
      </w:pPr>
      <w:r>
        <w:rPr>
          <w:noProof/>
        </w:rPr>
        <w:t>19</w:t>
      </w:r>
      <w:r>
        <w:rPr>
          <w:noProof/>
        </w:rPr>
        <w:tab/>
        <w:t>Notice of registration of NZ judgment</w:t>
      </w:r>
      <w:r w:rsidRPr="00500D04">
        <w:rPr>
          <w:noProof/>
        </w:rPr>
        <w:tab/>
      </w:r>
      <w:r w:rsidRPr="00500D04">
        <w:rPr>
          <w:noProof/>
        </w:rPr>
        <w:fldChar w:fldCharType="begin"/>
      </w:r>
      <w:r w:rsidRPr="00500D04">
        <w:rPr>
          <w:noProof/>
        </w:rPr>
        <w:instrText xml:space="preserve"> PAGEREF _Toc164357204 \h </w:instrText>
      </w:r>
      <w:r w:rsidRPr="00500D04">
        <w:rPr>
          <w:noProof/>
        </w:rPr>
      </w:r>
      <w:r w:rsidRPr="00500D04">
        <w:rPr>
          <w:noProof/>
        </w:rPr>
        <w:fldChar w:fldCharType="separate"/>
      </w:r>
      <w:r w:rsidR="0012428D">
        <w:rPr>
          <w:noProof/>
        </w:rPr>
        <w:t>10</w:t>
      </w:r>
      <w:r w:rsidRPr="00500D04">
        <w:rPr>
          <w:noProof/>
        </w:rPr>
        <w:fldChar w:fldCharType="end"/>
      </w:r>
    </w:p>
    <w:p w:rsidR="00500D04" w:rsidRDefault="00500D04" w:rsidP="00500D04">
      <w:pPr>
        <w:pStyle w:val="TOC1"/>
        <w:keepNext w:val="0"/>
        <w:rPr>
          <w:rFonts w:asciiTheme="minorHAnsi" w:eastAsiaTheme="minorEastAsia" w:hAnsiTheme="minorHAnsi" w:cstheme="minorBidi"/>
          <w:b w:val="0"/>
          <w:noProof/>
          <w:kern w:val="0"/>
          <w:sz w:val="22"/>
          <w:szCs w:val="22"/>
        </w:rPr>
      </w:pPr>
      <w:r>
        <w:rPr>
          <w:noProof/>
        </w:rPr>
        <w:t>Schedule 1—Forms</w:t>
      </w:r>
      <w:r w:rsidRPr="00500D04">
        <w:rPr>
          <w:b w:val="0"/>
          <w:noProof/>
          <w:sz w:val="18"/>
        </w:rPr>
        <w:tab/>
      </w:r>
      <w:r w:rsidRPr="00500D04">
        <w:rPr>
          <w:b w:val="0"/>
          <w:noProof/>
          <w:sz w:val="18"/>
        </w:rPr>
        <w:fldChar w:fldCharType="begin"/>
      </w:r>
      <w:r w:rsidRPr="00500D04">
        <w:rPr>
          <w:b w:val="0"/>
          <w:noProof/>
          <w:sz w:val="18"/>
        </w:rPr>
        <w:instrText xml:space="preserve"> PAGEREF _Toc164357205 \h </w:instrText>
      </w:r>
      <w:r w:rsidRPr="00500D04">
        <w:rPr>
          <w:b w:val="0"/>
          <w:noProof/>
          <w:sz w:val="18"/>
        </w:rPr>
      </w:r>
      <w:r w:rsidRPr="00500D04">
        <w:rPr>
          <w:b w:val="0"/>
          <w:noProof/>
          <w:sz w:val="18"/>
        </w:rPr>
        <w:fldChar w:fldCharType="separate"/>
      </w:r>
      <w:r w:rsidR="0012428D">
        <w:rPr>
          <w:b w:val="0"/>
          <w:noProof/>
          <w:sz w:val="18"/>
        </w:rPr>
        <w:t>11</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1—Notice to defendant served in NZ</w:t>
      </w:r>
      <w:r w:rsidRPr="00500D04">
        <w:rPr>
          <w:b w:val="0"/>
          <w:noProof/>
          <w:sz w:val="18"/>
        </w:rPr>
        <w:tab/>
      </w:r>
      <w:r w:rsidRPr="00500D04">
        <w:rPr>
          <w:b w:val="0"/>
          <w:noProof/>
          <w:sz w:val="18"/>
        </w:rPr>
        <w:fldChar w:fldCharType="begin"/>
      </w:r>
      <w:r w:rsidRPr="00500D04">
        <w:rPr>
          <w:b w:val="0"/>
          <w:noProof/>
          <w:sz w:val="18"/>
        </w:rPr>
        <w:instrText xml:space="preserve"> PAGEREF _Toc164357206 \h </w:instrText>
      </w:r>
      <w:r w:rsidRPr="00500D04">
        <w:rPr>
          <w:b w:val="0"/>
          <w:noProof/>
          <w:sz w:val="18"/>
        </w:rPr>
      </w:r>
      <w:r w:rsidRPr="00500D04">
        <w:rPr>
          <w:b w:val="0"/>
          <w:noProof/>
          <w:sz w:val="18"/>
        </w:rPr>
        <w:fldChar w:fldCharType="separate"/>
      </w:r>
      <w:r w:rsidR="0012428D">
        <w:rPr>
          <w:b w:val="0"/>
          <w:noProof/>
          <w:sz w:val="18"/>
        </w:rPr>
        <w:t>11</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2—Request for a hearing of defendant’s application for stay of an Australian civil proceeding</w:t>
      </w:r>
      <w:r w:rsidRPr="00500D04">
        <w:rPr>
          <w:b w:val="0"/>
          <w:noProof/>
          <w:sz w:val="18"/>
        </w:rPr>
        <w:tab/>
      </w:r>
      <w:r w:rsidRPr="00500D04">
        <w:rPr>
          <w:b w:val="0"/>
          <w:noProof/>
          <w:sz w:val="18"/>
        </w:rPr>
        <w:fldChar w:fldCharType="begin"/>
      </w:r>
      <w:r w:rsidRPr="00500D04">
        <w:rPr>
          <w:b w:val="0"/>
          <w:noProof/>
          <w:sz w:val="18"/>
        </w:rPr>
        <w:instrText xml:space="preserve"> PAGEREF _Toc164357207 \h </w:instrText>
      </w:r>
      <w:r w:rsidRPr="00500D04">
        <w:rPr>
          <w:b w:val="0"/>
          <w:noProof/>
          <w:sz w:val="18"/>
        </w:rPr>
      </w:r>
      <w:r w:rsidRPr="00500D04">
        <w:rPr>
          <w:b w:val="0"/>
          <w:noProof/>
          <w:sz w:val="18"/>
        </w:rPr>
        <w:fldChar w:fldCharType="separate"/>
      </w:r>
      <w:r w:rsidR="0012428D">
        <w:rPr>
          <w:b w:val="0"/>
          <w:noProof/>
          <w:sz w:val="18"/>
        </w:rPr>
        <w:t>13</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3—Request to appear remotely in the hearing of an application for stay of Australian civil proceeding</w:t>
      </w:r>
      <w:r w:rsidRPr="00500D04">
        <w:rPr>
          <w:b w:val="0"/>
          <w:noProof/>
          <w:sz w:val="18"/>
        </w:rPr>
        <w:tab/>
      </w:r>
      <w:r w:rsidRPr="00500D04">
        <w:rPr>
          <w:b w:val="0"/>
          <w:noProof/>
          <w:sz w:val="18"/>
        </w:rPr>
        <w:fldChar w:fldCharType="begin"/>
      </w:r>
      <w:r w:rsidRPr="00500D04">
        <w:rPr>
          <w:b w:val="0"/>
          <w:noProof/>
          <w:sz w:val="18"/>
        </w:rPr>
        <w:instrText xml:space="preserve"> PAGEREF _Toc164357208 \h </w:instrText>
      </w:r>
      <w:r w:rsidRPr="00500D04">
        <w:rPr>
          <w:b w:val="0"/>
          <w:noProof/>
          <w:sz w:val="18"/>
        </w:rPr>
      </w:r>
      <w:r w:rsidRPr="00500D04">
        <w:rPr>
          <w:b w:val="0"/>
          <w:noProof/>
          <w:sz w:val="18"/>
        </w:rPr>
        <w:fldChar w:fldCharType="separate"/>
      </w:r>
      <w:r w:rsidR="0012428D">
        <w:rPr>
          <w:b w:val="0"/>
          <w:noProof/>
          <w:sz w:val="18"/>
        </w:rPr>
        <w:t>14</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4—Notice to accompany subpoena</w:t>
      </w:r>
      <w:r w:rsidRPr="00500D04">
        <w:rPr>
          <w:b w:val="0"/>
          <w:noProof/>
          <w:sz w:val="18"/>
        </w:rPr>
        <w:tab/>
      </w:r>
      <w:r w:rsidRPr="00500D04">
        <w:rPr>
          <w:b w:val="0"/>
          <w:noProof/>
          <w:sz w:val="18"/>
        </w:rPr>
        <w:fldChar w:fldCharType="begin"/>
      </w:r>
      <w:r w:rsidRPr="00500D04">
        <w:rPr>
          <w:b w:val="0"/>
          <w:noProof/>
          <w:sz w:val="18"/>
        </w:rPr>
        <w:instrText xml:space="preserve"> PAGEREF _Toc164357209 \h </w:instrText>
      </w:r>
      <w:r w:rsidRPr="00500D04">
        <w:rPr>
          <w:b w:val="0"/>
          <w:noProof/>
          <w:sz w:val="18"/>
        </w:rPr>
      </w:r>
      <w:r w:rsidRPr="00500D04">
        <w:rPr>
          <w:b w:val="0"/>
          <w:noProof/>
          <w:sz w:val="18"/>
        </w:rPr>
        <w:fldChar w:fldCharType="separate"/>
      </w:r>
      <w:r w:rsidR="0012428D">
        <w:rPr>
          <w:b w:val="0"/>
          <w:noProof/>
          <w:sz w:val="18"/>
        </w:rPr>
        <w:t>15</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5—Application to register a judgment under the Trans</w:t>
      </w:r>
      <w:r>
        <w:rPr>
          <w:noProof/>
        </w:rPr>
        <w:noBreakHyphen/>
        <w:t>Tasman Proceedings Act 2010</w:t>
      </w:r>
      <w:r w:rsidRPr="00500D04">
        <w:rPr>
          <w:b w:val="0"/>
          <w:noProof/>
          <w:sz w:val="18"/>
        </w:rPr>
        <w:tab/>
      </w:r>
      <w:r w:rsidRPr="00500D04">
        <w:rPr>
          <w:b w:val="0"/>
          <w:noProof/>
          <w:sz w:val="18"/>
        </w:rPr>
        <w:fldChar w:fldCharType="begin"/>
      </w:r>
      <w:r w:rsidRPr="00500D04">
        <w:rPr>
          <w:b w:val="0"/>
          <w:noProof/>
          <w:sz w:val="18"/>
        </w:rPr>
        <w:instrText xml:space="preserve"> PAGEREF _Toc164357210 \h </w:instrText>
      </w:r>
      <w:r w:rsidRPr="00500D04">
        <w:rPr>
          <w:b w:val="0"/>
          <w:noProof/>
          <w:sz w:val="18"/>
        </w:rPr>
      </w:r>
      <w:r w:rsidRPr="00500D04">
        <w:rPr>
          <w:b w:val="0"/>
          <w:noProof/>
          <w:sz w:val="18"/>
        </w:rPr>
        <w:fldChar w:fldCharType="separate"/>
      </w:r>
      <w:r w:rsidR="0012428D">
        <w:rPr>
          <w:b w:val="0"/>
          <w:noProof/>
          <w:sz w:val="18"/>
        </w:rPr>
        <w:t>18</w:t>
      </w:r>
      <w:r w:rsidRPr="00500D04">
        <w:rPr>
          <w:b w:val="0"/>
          <w:noProof/>
          <w:sz w:val="18"/>
        </w:rPr>
        <w:fldChar w:fldCharType="end"/>
      </w:r>
    </w:p>
    <w:p w:rsidR="00500D04" w:rsidRDefault="00500D04" w:rsidP="00500D04">
      <w:pPr>
        <w:pStyle w:val="TOC2"/>
        <w:keepNext w:val="0"/>
        <w:rPr>
          <w:rFonts w:asciiTheme="minorHAnsi" w:eastAsiaTheme="minorEastAsia" w:hAnsiTheme="minorHAnsi" w:cstheme="minorBidi"/>
          <w:b w:val="0"/>
          <w:noProof/>
          <w:kern w:val="0"/>
          <w:sz w:val="22"/>
          <w:szCs w:val="22"/>
        </w:rPr>
      </w:pPr>
      <w:r>
        <w:rPr>
          <w:noProof/>
        </w:rPr>
        <w:t>Form 6—Notice to liable person of registration of a NZ judgment under the Trans</w:t>
      </w:r>
      <w:r>
        <w:rPr>
          <w:noProof/>
        </w:rPr>
        <w:noBreakHyphen/>
        <w:t>Tasman Proceedings Act 2010</w:t>
      </w:r>
      <w:r w:rsidRPr="00500D04">
        <w:rPr>
          <w:b w:val="0"/>
          <w:noProof/>
          <w:sz w:val="18"/>
        </w:rPr>
        <w:tab/>
      </w:r>
      <w:r w:rsidRPr="00500D04">
        <w:rPr>
          <w:b w:val="0"/>
          <w:noProof/>
          <w:sz w:val="18"/>
        </w:rPr>
        <w:fldChar w:fldCharType="begin"/>
      </w:r>
      <w:r w:rsidRPr="00500D04">
        <w:rPr>
          <w:b w:val="0"/>
          <w:noProof/>
          <w:sz w:val="18"/>
        </w:rPr>
        <w:instrText xml:space="preserve"> PAGEREF _Toc164357211 \h </w:instrText>
      </w:r>
      <w:r w:rsidRPr="00500D04">
        <w:rPr>
          <w:b w:val="0"/>
          <w:noProof/>
          <w:sz w:val="18"/>
        </w:rPr>
      </w:r>
      <w:r w:rsidRPr="00500D04">
        <w:rPr>
          <w:b w:val="0"/>
          <w:noProof/>
          <w:sz w:val="18"/>
        </w:rPr>
        <w:fldChar w:fldCharType="separate"/>
      </w:r>
      <w:r w:rsidR="0012428D">
        <w:rPr>
          <w:b w:val="0"/>
          <w:noProof/>
          <w:sz w:val="18"/>
        </w:rPr>
        <w:t>20</w:t>
      </w:r>
      <w:r w:rsidRPr="00500D04">
        <w:rPr>
          <w:b w:val="0"/>
          <w:noProof/>
          <w:sz w:val="18"/>
        </w:rPr>
        <w:fldChar w:fldCharType="end"/>
      </w:r>
    </w:p>
    <w:p w:rsidR="00500D04" w:rsidRDefault="00500D04" w:rsidP="00500D04">
      <w:pPr>
        <w:pStyle w:val="TOC2"/>
        <w:rPr>
          <w:rFonts w:asciiTheme="minorHAnsi" w:eastAsiaTheme="minorEastAsia" w:hAnsiTheme="minorHAnsi" w:cstheme="minorBidi"/>
          <w:b w:val="0"/>
          <w:noProof/>
          <w:kern w:val="0"/>
          <w:sz w:val="22"/>
          <w:szCs w:val="22"/>
        </w:rPr>
      </w:pPr>
      <w:r>
        <w:rPr>
          <w:noProof/>
        </w:rPr>
        <w:t>Endnotes</w:t>
      </w:r>
      <w:r w:rsidRPr="00500D04">
        <w:rPr>
          <w:b w:val="0"/>
          <w:noProof/>
          <w:sz w:val="18"/>
        </w:rPr>
        <w:tab/>
      </w:r>
      <w:r w:rsidRPr="00500D04">
        <w:rPr>
          <w:b w:val="0"/>
          <w:noProof/>
          <w:sz w:val="18"/>
        </w:rPr>
        <w:fldChar w:fldCharType="begin"/>
      </w:r>
      <w:r w:rsidRPr="00500D04">
        <w:rPr>
          <w:b w:val="0"/>
          <w:noProof/>
          <w:sz w:val="18"/>
        </w:rPr>
        <w:instrText xml:space="preserve"> PAGEREF _Toc164357212 \h </w:instrText>
      </w:r>
      <w:r w:rsidRPr="00500D04">
        <w:rPr>
          <w:b w:val="0"/>
          <w:noProof/>
          <w:sz w:val="18"/>
        </w:rPr>
      </w:r>
      <w:r w:rsidRPr="00500D04">
        <w:rPr>
          <w:b w:val="0"/>
          <w:noProof/>
          <w:sz w:val="18"/>
        </w:rPr>
        <w:fldChar w:fldCharType="separate"/>
      </w:r>
      <w:r w:rsidR="0012428D">
        <w:rPr>
          <w:b w:val="0"/>
          <w:noProof/>
          <w:sz w:val="18"/>
        </w:rPr>
        <w:t>22</w:t>
      </w:r>
      <w:r w:rsidRPr="00500D04">
        <w:rPr>
          <w:b w:val="0"/>
          <w:noProof/>
          <w:sz w:val="18"/>
        </w:rPr>
        <w:fldChar w:fldCharType="end"/>
      </w:r>
    </w:p>
    <w:p w:rsidR="00500D04" w:rsidRDefault="00500D04" w:rsidP="00500D04">
      <w:pPr>
        <w:pStyle w:val="TOC3"/>
        <w:keepNext w:val="0"/>
        <w:rPr>
          <w:rFonts w:asciiTheme="minorHAnsi" w:eastAsiaTheme="minorEastAsia" w:hAnsiTheme="minorHAnsi" w:cstheme="minorBidi"/>
          <w:b w:val="0"/>
          <w:noProof/>
          <w:kern w:val="0"/>
          <w:szCs w:val="22"/>
        </w:rPr>
      </w:pPr>
      <w:r>
        <w:rPr>
          <w:noProof/>
        </w:rPr>
        <w:t>Endnote 1—About the endnotes</w:t>
      </w:r>
      <w:r w:rsidRPr="00500D04">
        <w:rPr>
          <w:b w:val="0"/>
          <w:noProof/>
          <w:sz w:val="18"/>
        </w:rPr>
        <w:tab/>
      </w:r>
      <w:r w:rsidRPr="00500D04">
        <w:rPr>
          <w:b w:val="0"/>
          <w:noProof/>
          <w:sz w:val="18"/>
        </w:rPr>
        <w:fldChar w:fldCharType="begin"/>
      </w:r>
      <w:r w:rsidRPr="00500D04">
        <w:rPr>
          <w:b w:val="0"/>
          <w:noProof/>
          <w:sz w:val="18"/>
        </w:rPr>
        <w:instrText xml:space="preserve"> PAGEREF _Toc164357213 \h </w:instrText>
      </w:r>
      <w:r w:rsidRPr="00500D04">
        <w:rPr>
          <w:b w:val="0"/>
          <w:noProof/>
          <w:sz w:val="18"/>
        </w:rPr>
      </w:r>
      <w:r w:rsidRPr="00500D04">
        <w:rPr>
          <w:b w:val="0"/>
          <w:noProof/>
          <w:sz w:val="18"/>
        </w:rPr>
        <w:fldChar w:fldCharType="separate"/>
      </w:r>
      <w:r w:rsidR="0012428D">
        <w:rPr>
          <w:b w:val="0"/>
          <w:noProof/>
          <w:sz w:val="18"/>
        </w:rPr>
        <w:t>22</w:t>
      </w:r>
      <w:r w:rsidRPr="00500D04">
        <w:rPr>
          <w:b w:val="0"/>
          <w:noProof/>
          <w:sz w:val="18"/>
        </w:rPr>
        <w:fldChar w:fldCharType="end"/>
      </w:r>
    </w:p>
    <w:p w:rsidR="00500D04" w:rsidRDefault="00500D04" w:rsidP="00500D04">
      <w:pPr>
        <w:pStyle w:val="TOC3"/>
        <w:keepNext w:val="0"/>
        <w:rPr>
          <w:rFonts w:asciiTheme="minorHAnsi" w:eastAsiaTheme="minorEastAsia" w:hAnsiTheme="minorHAnsi" w:cstheme="minorBidi"/>
          <w:b w:val="0"/>
          <w:noProof/>
          <w:kern w:val="0"/>
          <w:szCs w:val="22"/>
        </w:rPr>
      </w:pPr>
      <w:r>
        <w:rPr>
          <w:noProof/>
        </w:rPr>
        <w:t>Endnote 2—Abbreviation key</w:t>
      </w:r>
      <w:r w:rsidRPr="00500D04">
        <w:rPr>
          <w:b w:val="0"/>
          <w:noProof/>
          <w:sz w:val="18"/>
        </w:rPr>
        <w:tab/>
      </w:r>
      <w:r w:rsidRPr="00500D04">
        <w:rPr>
          <w:b w:val="0"/>
          <w:noProof/>
          <w:sz w:val="18"/>
        </w:rPr>
        <w:fldChar w:fldCharType="begin"/>
      </w:r>
      <w:r w:rsidRPr="00500D04">
        <w:rPr>
          <w:b w:val="0"/>
          <w:noProof/>
          <w:sz w:val="18"/>
        </w:rPr>
        <w:instrText xml:space="preserve"> PAGEREF _Toc164357214 \h </w:instrText>
      </w:r>
      <w:r w:rsidRPr="00500D04">
        <w:rPr>
          <w:b w:val="0"/>
          <w:noProof/>
          <w:sz w:val="18"/>
        </w:rPr>
      </w:r>
      <w:r w:rsidRPr="00500D04">
        <w:rPr>
          <w:b w:val="0"/>
          <w:noProof/>
          <w:sz w:val="18"/>
        </w:rPr>
        <w:fldChar w:fldCharType="separate"/>
      </w:r>
      <w:r w:rsidR="0012428D">
        <w:rPr>
          <w:b w:val="0"/>
          <w:noProof/>
          <w:sz w:val="18"/>
        </w:rPr>
        <w:t>23</w:t>
      </w:r>
      <w:r w:rsidRPr="00500D04">
        <w:rPr>
          <w:b w:val="0"/>
          <w:noProof/>
          <w:sz w:val="18"/>
        </w:rPr>
        <w:fldChar w:fldCharType="end"/>
      </w:r>
    </w:p>
    <w:p w:rsidR="00500D04" w:rsidRDefault="00500D04" w:rsidP="00500D04">
      <w:pPr>
        <w:pStyle w:val="TOC3"/>
        <w:keepNext w:val="0"/>
        <w:rPr>
          <w:rFonts w:asciiTheme="minorHAnsi" w:eastAsiaTheme="minorEastAsia" w:hAnsiTheme="minorHAnsi" w:cstheme="minorBidi"/>
          <w:b w:val="0"/>
          <w:noProof/>
          <w:kern w:val="0"/>
          <w:szCs w:val="22"/>
        </w:rPr>
      </w:pPr>
      <w:r>
        <w:rPr>
          <w:noProof/>
        </w:rPr>
        <w:t>Endnote 3—Legislation history</w:t>
      </w:r>
      <w:r w:rsidRPr="00500D04">
        <w:rPr>
          <w:b w:val="0"/>
          <w:noProof/>
          <w:sz w:val="18"/>
        </w:rPr>
        <w:tab/>
      </w:r>
      <w:r w:rsidRPr="00500D04">
        <w:rPr>
          <w:b w:val="0"/>
          <w:noProof/>
          <w:sz w:val="18"/>
        </w:rPr>
        <w:fldChar w:fldCharType="begin"/>
      </w:r>
      <w:r w:rsidRPr="00500D04">
        <w:rPr>
          <w:b w:val="0"/>
          <w:noProof/>
          <w:sz w:val="18"/>
        </w:rPr>
        <w:instrText xml:space="preserve"> PAGEREF _Toc164357215 \h </w:instrText>
      </w:r>
      <w:r w:rsidRPr="00500D04">
        <w:rPr>
          <w:b w:val="0"/>
          <w:noProof/>
          <w:sz w:val="18"/>
        </w:rPr>
      </w:r>
      <w:r w:rsidRPr="00500D04">
        <w:rPr>
          <w:b w:val="0"/>
          <w:noProof/>
          <w:sz w:val="18"/>
        </w:rPr>
        <w:fldChar w:fldCharType="separate"/>
      </w:r>
      <w:r w:rsidR="0012428D">
        <w:rPr>
          <w:b w:val="0"/>
          <w:noProof/>
          <w:sz w:val="18"/>
        </w:rPr>
        <w:t>24</w:t>
      </w:r>
      <w:r w:rsidRPr="00500D04">
        <w:rPr>
          <w:b w:val="0"/>
          <w:noProof/>
          <w:sz w:val="18"/>
        </w:rPr>
        <w:fldChar w:fldCharType="end"/>
      </w:r>
    </w:p>
    <w:p w:rsidR="00500D04" w:rsidRPr="00500D04" w:rsidRDefault="00500D04" w:rsidP="00500D04">
      <w:pPr>
        <w:pStyle w:val="TOC3"/>
        <w:keepNext w:val="0"/>
        <w:rPr>
          <w:rFonts w:eastAsiaTheme="minorEastAsia"/>
          <w:b w:val="0"/>
          <w:noProof/>
          <w:kern w:val="0"/>
          <w:sz w:val="18"/>
          <w:szCs w:val="22"/>
        </w:rPr>
      </w:pPr>
      <w:r>
        <w:rPr>
          <w:noProof/>
        </w:rPr>
        <w:t>Endnote 4—Amendment history</w:t>
      </w:r>
      <w:r w:rsidRPr="00500D04">
        <w:rPr>
          <w:b w:val="0"/>
          <w:noProof/>
          <w:sz w:val="18"/>
        </w:rPr>
        <w:tab/>
      </w:r>
      <w:r w:rsidRPr="00500D04">
        <w:rPr>
          <w:b w:val="0"/>
          <w:noProof/>
          <w:sz w:val="18"/>
        </w:rPr>
        <w:fldChar w:fldCharType="begin"/>
      </w:r>
      <w:r w:rsidRPr="00500D04">
        <w:rPr>
          <w:b w:val="0"/>
          <w:noProof/>
          <w:sz w:val="18"/>
        </w:rPr>
        <w:instrText xml:space="preserve"> PAGEREF _Toc164357216 \h </w:instrText>
      </w:r>
      <w:r w:rsidRPr="00500D04">
        <w:rPr>
          <w:b w:val="0"/>
          <w:noProof/>
          <w:sz w:val="18"/>
        </w:rPr>
      </w:r>
      <w:r w:rsidRPr="00500D04">
        <w:rPr>
          <w:b w:val="0"/>
          <w:noProof/>
          <w:sz w:val="18"/>
        </w:rPr>
        <w:fldChar w:fldCharType="separate"/>
      </w:r>
      <w:r w:rsidR="0012428D">
        <w:rPr>
          <w:b w:val="0"/>
          <w:noProof/>
          <w:sz w:val="18"/>
        </w:rPr>
        <w:t>25</w:t>
      </w:r>
      <w:r w:rsidRPr="00500D04">
        <w:rPr>
          <w:b w:val="0"/>
          <w:noProof/>
          <w:sz w:val="18"/>
        </w:rPr>
        <w:fldChar w:fldCharType="end"/>
      </w:r>
    </w:p>
    <w:p w:rsidR="005B1DA7" w:rsidRPr="004B3CCB" w:rsidRDefault="005B1DA7" w:rsidP="001964AA">
      <w:pPr>
        <w:ind w:right="1792"/>
        <w:rPr>
          <w:sz w:val="20"/>
        </w:rPr>
      </w:pPr>
      <w:r w:rsidRPr="00500D04">
        <w:rPr>
          <w:rFonts w:cs="Times New Roman"/>
          <w:sz w:val="18"/>
        </w:rPr>
        <w:fldChar w:fldCharType="end"/>
      </w:r>
    </w:p>
    <w:p w:rsidR="005B1DA7" w:rsidRPr="004B3CCB" w:rsidRDefault="005B1DA7" w:rsidP="005B1DA7">
      <w:pPr>
        <w:sectPr w:rsidR="005B1DA7" w:rsidRPr="004B3CCB" w:rsidSect="00E97A1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5B1DA7" w:rsidRPr="004B3CCB" w:rsidRDefault="005B1DA7" w:rsidP="005B1DA7">
      <w:pPr>
        <w:pStyle w:val="ActHead2"/>
      </w:pPr>
      <w:bookmarkStart w:id="1" w:name="_Toc164357180"/>
      <w:r w:rsidRPr="00C73F82">
        <w:rPr>
          <w:rStyle w:val="CharPartNo"/>
        </w:rPr>
        <w:lastRenderedPageBreak/>
        <w:t>Part</w:t>
      </w:r>
      <w:r w:rsidR="007A397E" w:rsidRPr="00C73F82">
        <w:rPr>
          <w:rStyle w:val="CharPartNo"/>
        </w:rPr>
        <w:t> </w:t>
      </w:r>
      <w:r w:rsidRPr="00C73F82">
        <w:rPr>
          <w:rStyle w:val="CharPartNo"/>
        </w:rPr>
        <w:t>1</w:t>
      </w:r>
      <w:r w:rsidRPr="004B3CCB">
        <w:t>—</w:t>
      </w:r>
      <w:r w:rsidRPr="00C73F82">
        <w:rPr>
          <w:rStyle w:val="CharPartText"/>
        </w:rPr>
        <w:t>Preliminary</w:t>
      </w:r>
      <w:bookmarkEnd w:id="1"/>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2" w:name="_Toc164357181"/>
      <w:r w:rsidRPr="00C73F82">
        <w:rPr>
          <w:rStyle w:val="CharSectno"/>
        </w:rPr>
        <w:t>1</w:t>
      </w:r>
      <w:r w:rsidRPr="004B3CCB">
        <w:t xml:space="preserve">  Name of regulation</w:t>
      </w:r>
      <w:bookmarkEnd w:id="2"/>
    </w:p>
    <w:p w:rsidR="005B1DA7" w:rsidRPr="004B3CCB" w:rsidRDefault="005B1DA7" w:rsidP="005B1DA7">
      <w:pPr>
        <w:pStyle w:val="subsection"/>
      </w:pPr>
      <w:r w:rsidRPr="004B3CCB">
        <w:tab/>
      </w:r>
      <w:r w:rsidRPr="004B3CCB">
        <w:tab/>
        <w:t xml:space="preserve">This regulation is the </w:t>
      </w:r>
      <w:r w:rsidRPr="004B3CCB">
        <w:rPr>
          <w:i/>
        </w:rPr>
        <w:t>Trans</w:t>
      </w:r>
      <w:r w:rsidR="00C73F82">
        <w:rPr>
          <w:i/>
        </w:rPr>
        <w:noBreakHyphen/>
      </w:r>
      <w:r w:rsidRPr="004B3CCB">
        <w:rPr>
          <w:i/>
        </w:rPr>
        <w:t xml:space="preserve">Tasman Proceedings </w:t>
      </w:r>
      <w:r w:rsidR="00C73F82">
        <w:rPr>
          <w:i/>
        </w:rPr>
        <w:t>Regulation 2</w:t>
      </w:r>
      <w:r w:rsidRPr="004B3CCB">
        <w:rPr>
          <w:i/>
        </w:rPr>
        <w:t>012</w:t>
      </w:r>
      <w:r w:rsidRPr="004B3CCB">
        <w:t>.</w:t>
      </w:r>
    </w:p>
    <w:p w:rsidR="005B1DA7" w:rsidRPr="004B3CCB" w:rsidRDefault="005B1DA7" w:rsidP="005B1DA7">
      <w:pPr>
        <w:pStyle w:val="ActHead5"/>
      </w:pPr>
      <w:bookmarkStart w:id="3" w:name="_Toc164357182"/>
      <w:r w:rsidRPr="00C73F82">
        <w:rPr>
          <w:rStyle w:val="CharSectno"/>
        </w:rPr>
        <w:t>3</w:t>
      </w:r>
      <w:r w:rsidRPr="004B3CCB">
        <w:t xml:space="preserve">  Definitions</w:t>
      </w:r>
      <w:bookmarkEnd w:id="3"/>
    </w:p>
    <w:p w:rsidR="00612221" w:rsidRPr="004B3CCB" w:rsidRDefault="00612221" w:rsidP="00612221">
      <w:pPr>
        <w:pStyle w:val="notetext"/>
      </w:pPr>
      <w:r w:rsidRPr="004B3CCB">
        <w:t>Note:</w:t>
      </w:r>
      <w:r w:rsidRPr="004B3CCB">
        <w:tab/>
        <w:t>A number of expressions used in this regulation are defined in the Act, including the following:</w:t>
      </w:r>
    </w:p>
    <w:p w:rsidR="00612221" w:rsidRPr="004B3CCB" w:rsidRDefault="00612221" w:rsidP="00612221">
      <w:pPr>
        <w:pStyle w:val="notepara"/>
      </w:pPr>
      <w:r w:rsidRPr="004B3CCB">
        <w:t>(a)</w:t>
      </w:r>
      <w:r w:rsidRPr="004B3CCB">
        <w:tab/>
        <w:t>liable person;</w:t>
      </w:r>
    </w:p>
    <w:p w:rsidR="00612221" w:rsidRPr="004B3CCB" w:rsidRDefault="00612221" w:rsidP="00612221">
      <w:pPr>
        <w:pStyle w:val="notepara"/>
      </w:pPr>
      <w:r w:rsidRPr="004B3CCB">
        <w:t>(b)</w:t>
      </w:r>
      <w:r w:rsidRPr="004B3CCB">
        <w:tab/>
        <w:t>plaintiff.</w:t>
      </w:r>
    </w:p>
    <w:p w:rsidR="005B1DA7" w:rsidRPr="004B3CCB" w:rsidRDefault="005B1DA7" w:rsidP="005B1DA7">
      <w:pPr>
        <w:pStyle w:val="subsection"/>
      </w:pPr>
      <w:r w:rsidRPr="004B3CCB">
        <w:tab/>
      </w:r>
      <w:r w:rsidRPr="004B3CCB">
        <w:tab/>
        <w:t>In this regulation:</w:t>
      </w:r>
    </w:p>
    <w:p w:rsidR="005B1DA7" w:rsidRPr="004B3CCB" w:rsidRDefault="005B1DA7" w:rsidP="005B1DA7">
      <w:pPr>
        <w:pStyle w:val="Definition"/>
      </w:pPr>
      <w:r w:rsidRPr="004B3CCB">
        <w:rPr>
          <w:b/>
          <w:i/>
        </w:rPr>
        <w:t xml:space="preserve">Act </w:t>
      </w:r>
      <w:r w:rsidRPr="004B3CCB">
        <w:t xml:space="preserve">means the </w:t>
      </w:r>
      <w:r w:rsidRPr="004B3CCB">
        <w:rPr>
          <w:i/>
        </w:rPr>
        <w:t>Trans</w:t>
      </w:r>
      <w:r w:rsidR="00C73F82">
        <w:rPr>
          <w:i/>
        </w:rPr>
        <w:noBreakHyphen/>
      </w:r>
      <w:r w:rsidRPr="004B3CCB">
        <w:rPr>
          <w:i/>
        </w:rPr>
        <w:t>Tasman Proceedings Act 2010</w:t>
      </w:r>
      <w:r w:rsidRPr="004B3CCB">
        <w:t>.</w:t>
      </w:r>
    </w:p>
    <w:p w:rsidR="005B1DA7" w:rsidRPr="004B3CCB" w:rsidRDefault="005B1DA7" w:rsidP="005B1DA7">
      <w:pPr>
        <w:pStyle w:val="Definition"/>
      </w:pPr>
      <w:r w:rsidRPr="004B3CCB">
        <w:rPr>
          <w:b/>
          <w:i/>
        </w:rPr>
        <w:t xml:space="preserve">Cth </w:t>
      </w:r>
      <w:r w:rsidRPr="004B3CCB">
        <w:t>is short for ‘Commonwealth of Australia’.</w:t>
      </w:r>
    </w:p>
    <w:p w:rsidR="005B1DA7" w:rsidRPr="004B3CCB" w:rsidRDefault="005B1DA7" w:rsidP="005B1DA7">
      <w:pPr>
        <w:pStyle w:val="Definition"/>
      </w:pPr>
      <w:r w:rsidRPr="004B3CCB">
        <w:rPr>
          <w:b/>
          <w:i/>
        </w:rPr>
        <w:t xml:space="preserve">NZ </w:t>
      </w:r>
      <w:r w:rsidRPr="004B3CCB">
        <w:t>is short for ‘New Zealand’.</w:t>
      </w:r>
    </w:p>
    <w:p w:rsidR="00612221" w:rsidRPr="004B3CCB" w:rsidRDefault="00612221" w:rsidP="00612221">
      <w:pPr>
        <w:pStyle w:val="Definition"/>
      </w:pPr>
      <w:r w:rsidRPr="004B3CCB">
        <w:rPr>
          <w:b/>
          <w:i/>
        </w:rPr>
        <w:t>registrable NZ judgment</w:t>
      </w:r>
      <w:r w:rsidRPr="004B3CCB">
        <w:t xml:space="preserve"> has the meaning given by section 66 of the Act.</w:t>
      </w:r>
    </w:p>
    <w:p w:rsidR="005B1DA7" w:rsidRPr="004B3CCB" w:rsidRDefault="005B1DA7" w:rsidP="005B1DA7">
      <w:pPr>
        <w:pStyle w:val="ActHead5"/>
      </w:pPr>
      <w:bookmarkStart w:id="4" w:name="_Toc164357183"/>
      <w:r w:rsidRPr="00C73F82">
        <w:rPr>
          <w:rStyle w:val="CharSectno"/>
        </w:rPr>
        <w:t>4</w:t>
      </w:r>
      <w:r w:rsidRPr="004B3CCB">
        <w:t xml:space="preserve">  Forms</w:t>
      </w:r>
      <w:bookmarkEnd w:id="4"/>
    </w:p>
    <w:p w:rsidR="005B1DA7" w:rsidRPr="004B3CCB" w:rsidRDefault="005B1DA7" w:rsidP="005B1DA7">
      <w:pPr>
        <w:pStyle w:val="subsection"/>
      </w:pPr>
      <w:r w:rsidRPr="004B3CCB">
        <w:tab/>
      </w:r>
      <w:r w:rsidRPr="004B3CCB">
        <w:tab/>
        <w:t xml:space="preserve">A reference in a provision of this regulation to a form by number is a reference to the form of that number in </w:t>
      </w:r>
      <w:r w:rsidR="00C73F82">
        <w:t>Schedule 1</w:t>
      </w:r>
      <w:r w:rsidRPr="004B3CCB">
        <w:t>.</w:t>
      </w:r>
    </w:p>
    <w:p w:rsidR="005B1DA7" w:rsidRPr="004B3CCB" w:rsidRDefault="005B1DA7" w:rsidP="005B1DA7">
      <w:pPr>
        <w:pStyle w:val="notetext"/>
      </w:pPr>
      <w:r w:rsidRPr="004B3CCB">
        <w:rPr>
          <w:iCs/>
        </w:rPr>
        <w:t>Note:</w:t>
      </w:r>
      <w:r w:rsidRPr="004B3CCB">
        <w:rPr>
          <w:iCs/>
        </w:rPr>
        <w:tab/>
      </w:r>
      <w:r w:rsidRPr="004B3CCB">
        <w:t>A form must be completed in accordance with any directions specified in the form, but the directions may be omitted from the completed document.</w:t>
      </w:r>
    </w:p>
    <w:p w:rsidR="005B1DA7" w:rsidRPr="004B3CCB" w:rsidRDefault="005B1DA7" w:rsidP="005B1DA7">
      <w:pPr>
        <w:pStyle w:val="ActHead2"/>
        <w:pageBreakBefore/>
      </w:pPr>
      <w:bookmarkStart w:id="5" w:name="_Toc164357184"/>
      <w:r w:rsidRPr="00C73F82">
        <w:rPr>
          <w:rStyle w:val="CharPartNo"/>
        </w:rPr>
        <w:lastRenderedPageBreak/>
        <w:t>Part</w:t>
      </w:r>
      <w:r w:rsidR="007A397E" w:rsidRPr="00C73F82">
        <w:rPr>
          <w:rStyle w:val="CharPartNo"/>
        </w:rPr>
        <w:t> </w:t>
      </w:r>
      <w:r w:rsidRPr="00C73F82">
        <w:rPr>
          <w:rStyle w:val="CharPartNo"/>
        </w:rPr>
        <w:t>2</w:t>
      </w:r>
      <w:r w:rsidRPr="004B3CCB">
        <w:t>—</w:t>
      </w:r>
      <w:r w:rsidRPr="00C73F82">
        <w:rPr>
          <w:rStyle w:val="CharPartText"/>
        </w:rPr>
        <w:t>Service in NZ of initiating document</w:t>
      </w:r>
      <w:bookmarkEnd w:id="5"/>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6" w:name="_Toc164357185"/>
      <w:r w:rsidRPr="00C73F82">
        <w:rPr>
          <w:rStyle w:val="CharSectno"/>
        </w:rPr>
        <w:t>5</w:t>
      </w:r>
      <w:r w:rsidRPr="004B3CCB">
        <w:t xml:space="preserve">  Information to be given to defendant</w:t>
      </w:r>
      <w:bookmarkEnd w:id="6"/>
    </w:p>
    <w:p w:rsidR="005B1DA7" w:rsidRPr="004B3CCB" w:rsidRDefault="005B1DA7" w:rsidP="005B1DA7">
      <w:pPr>
        <w:pStyle w:val="subsection"/>
      </w:pPr>
      <w:r w:rsidRPr="004B3CCB">
        <w:tab/>
      </w:r>
      <w:r w:rsidRPr="004B3CCB">
        <w:tab/>
        <w:t>For sub</w:t>
      </w:r>
      <w:r w:rsidR="00C73F82">
        <w:t>section 1</w:t>
      </w:r>
      <w:r w:rsidRPr="004B3CCB">
        <w:t>1(1) of the Act, an initiating document served in NZ under section</w:t>
      </w:r>
      <w:r w:rsidR="007A397E" w:rsidRPr="004B3CCB">
        <w:t> </w:t>
      </w:r>
      <w:r w:rsidRPr="004B3CCB">
        <w:t>9 of the Act must contain or be accompanied by a notice in accordance with Form 1.</w:t>
      </w:r>
    </w:p>
    <w:p w:rsidR="005B1DA7" w:rsidRPr="004B3CCB" w:rsidRDefault="005B1DA7" w:rsidP="005B1DA7">
      <w:pPr>
        <w:pStyle w:val="ActHead2"/>
        <w:pageBreakBefore/>
      </w:pPr>
      <w:bookmarkStart w:id="7" w:name="_Toc164357186"/>
      <w:r w:rsidRPr="00C73F82">
        <w:rPr>
          <w:rStyle w:val="CharPartNo"/>
        </w:rPr>
        <w:lastRenderedPageBreak/>
        <w:t>Part</w:t>
      </w:r>
      <w:r w:rsidR="007A397E" w:rsidRPr="00C73F82">
        <w:rPr>
          <w:rStyle w:val="CharPartNo"/>
        </w:rPr>
        <w:t> </w:t>
      </w:r>
      <w:r w:rsidRPr="00C73F82">
        <w:rPr>
          <w:rStyle w:val="CharPartNo"/>
        </w:rPr>
        <w:t>3</w:t>
      </w:r>
      <w:r w:rsidRPr="004B3CCB">
        <w:t>—</w:t>
      </w:r>
      <w:r w:rsidRPr="00C73F82">
        <w:rPr>
          <w:rStyle w:val="CharPartText"/>
        </w:rPr>
        <w:t>Application to stay proceeding on forum grounds</w:t>
      </w:r>
      <w:bookmarkEnd w:id="7"/>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8" w:name="_Toc164357187"/>
      <w:r w:rsidRPr="00C73F82">
        <w:rPr>
          <w:rStyle w:val="CharSectno"/>
        </w:rPr>
        <w:t>6</w:t>
      </w:r>
      <w:r w:rsidRPr="004B3CCB">
        <w:t xml:space="preserve">  Request for hearing of stay application</w:t>
      </w:r>
      <w:bookmarkEnd w:id="8"/>
    </w:p>
    <w:p w:rsidR="005B1DA7" w:rsidRPr="004B3CCB" w:rsidRDefault="005B1DA7" w:rsidP="005B1DA7">
      <w:pPr>
        <w:pStyle w:val="subsection"/>
      </w:pPr>
      <w:r w:rsidRPr="004B3CCB">
        <w:tab/>
      </w:r>
      <w:r w:rsidRPr="004B3CCB">
        <w:tab/>
        <w:t>A request by a person mentioned in paragraph</w:t>
      </w:r>
      <w:r w:rsidR="007A397E" w:rsidRPr="004B3CCB">
        <w:t> </w:t>
      </w:r>
      <w:r w:rsidRPr="004B3CCB">
        <w:t xml:space="preserve">18(2)(a), (b) or (c) of the Act for a hearing to determine an application made under </w:t>
      </w:r>
      <w:r w:rsidR="00C73F82">
        <w:t>section 1</w:t>
      </w:r>
      <w:r w:rsidRPr="004B3CCB">
        <w:t>7 of the Act may be made in accordance with Form 2.</w:t>
      </w:r>
    </w:p>
    <w:p w:rsidR="005B1DA7" w:rsidRPr="004B3CCB" w:rsidRDefault="005B1DA7" w:rsidP="005B1DA7">
      <w:pPr>
        <w:pStyle w:val="ActHead5"/>
      </w:pPr>
      <w:bookmarkStart w:id="9" w:name="_Toc164357188"/>
      <w:r w:rsidRPr="00C73F82">
        <w:rPr>
          <w:rStyle w:val="CharSectno"/>
        </w:rPr>
        <w:t>7</w:t>
      </w:r>
      <w:r w:rsidRPr="004B3CCB">
        <w:t xml:space="preserve">  Request for remote appearance</w:t>
      </w:r>
      <w:bookmarkEnd w:id="9"/>
    </w:p>
    <w:p w:rsidR="005B1DA7" w:rsidRPr="004B3CCB" w:rsidRDefault="005B1DA7" w:rsidP="005B1DA7">
      <w:pPr>
        <w:pStyle w:val="subsection"/>
      </w:pPr>
      <w:r w:rsidRPr="004B3CCB">
        <w:tab/>
      </w:r>
      <w:r w:rsidRPr="004B3CCB">
        <w:tab/>
        <w:t>A request by a defendant under paragraph</w:t>
      </w:r>
      <w:r w:rsidR="007A397E" w:rsidRPr="004B3CCB">
        <w:t> </w:t>
      </w:r>
      <w:r w:rsidRPr="004B3CCB">
        <w:t>18(4)(b) of the Act to appear remotely in a hearing may be made in accordance with Form 3.</w:t>
      </w:r>
    </w:p>
    <w:p w:rsidR="005B1DA7" w:rsidRPr="004B3CCB" w:rsidRDefault="005B1DA7" w:rsidP="005B1DA7">
      <w:pPr>
        <w:pStyle w:val="ActHead2"/>
        <w:pageBreakBefore/>
      </w:pPr>
      <w:bookmarkStart w:id="10" w:name="_Toc164357189"/>
      <w:r w:rsidRPr="00C73F82">
        <w:rPr>
          <w:rStyle w:val="CharPartNo"/>
        </w:rPr>
        <w:lastRenderedPageBreak/>
        <w:t>Part</w:t>
      </w:r>
      <w:r w:rsidR="007A397E" w:rsidRPr="00C73F82">
        <w:rPr>
          <w:rStyle w:val="CharPartNo"/>
        </w:rPr>
        <w:t> </w:t>
      </w:r>
      <w:r w:rsidRPr="00C73F82">
        <w:rPr>
          <w:rStyle w:val="CharPartNo"/>
        </w:rPr>
        <w:t>4</w:t>
      </w:r>
      <w:r w:rsidRPr="004B3CCB">
        <w:t>—</w:t>
      </w:r>
      <w:r w:rsidRPr="00C73F82">
        <w:rPr>
          <w:rStyle w:val="CharPartText"/>
        </w:rPr>
        <w:t>Australian courts granting interim relief</w:t>
      </w:r>
      <w:bookmarkEnd w:id="10"/>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11" w:name="_Toc164357190"/>
      <w:r w:rsidRPr="00C73F82">
        <w:rPr>
          <w:rStyle w:val="CharSectno"/>
        </w:rPr>
        <w:t>8</w:t>
      </w:r>
      <w:r w:rsidRPr="004B3CCB">
        <w:t xml:space="preserve">  Australian courts to which application for interim relief may be made</w:t>
      </w:r>
      <w:bookmarkEnd w:id="11"/>
    </w:p>
    <w:p w:rsidR="005B1DA7" w:rsidRPr="004B3CCB" w:rsidRDefault="005B1DA7" w:rsidP="005B1DA7">
      <w:pPr>
        <w:pStyle w:val="subsection"/>
      </w:pPr>
      <w:r w:rsidRPr="004B3CCB">
        <w:tab/>
      </w:r>
      <w:r w:rsidRPr="004B3CCB">
        <w:tab/>
        <w:t>For paragraph</w:t>
      </w:r>
      <w:r w:rsidR="007A397E" w:rsidRPr="004B3CCB">
        <w:t> </w:t>
      </w:r>
      <w:r w:rsidRPr="004B3CCB">
        <w:t>25(d) of the Act, the following Australian courts are prescribed:</w:t>
      </w:r>
    </w:p>
    <w:p w:rsidR="00B3404C" w:rsidRPr="004B3CCB" w:rsidRDefault="00B3404C" w:rsidP="00B3404C">
      <w:pPr>
        <w:pStyle w:val="paragraph"/>
      </w:pPr>
      <w:r w:rsidRPr="004B3CCB">
        <w:tab/>
        <w:t>(a)</w:t>
      </w:r>
      <w:r w:rsidRPr="004B3CCB">
        <w:tab/>
        <w:t>Federal Circuit and Family Court of Australia (Division 2);</w:t>
      </w:r>
    </w:p>
    <w:p w:rsidR="005B1DA7" w:rsidRPr="004B3CCB" w:rsidRDefault="005B1DA7" w:rsidP="005B1DA7">
      <w:pPr>
        <w:pStyle w:val="paragraph"/>
      </w:pPr>
      <w:r w:rsidRPr="004B3CCB">
        <w:tab/>
        <w:t>(b)</w:t>
      </w:r>
      <w:r w:rsidRPr="004B3CCB">
        <w:tab/>
        <w:t>County Court (Victoria);</w:t>
      </w:r>
    </w:p>
    <w:p w:rsidR="005B1DA7" w:rsidRPr="004B3CCB" w:rsidRDefault="005B1DA7" w:rsidP="005B1DA7">
      <w:pPr>
        <w:pStyle w:val="paragraph"/>
      </w:pPr>
      <w:r w:rsidRPr="004B3CCB">
        <w:tab/>
        <w:t>(c)</w:t>
      </w:r>
      <w:r w:rsidRPr="004B3CCB">
        <w:tab/>
        <w:t>Magistrates’ Court of Victoria;</w:t>
      </w:r>
    </w:p>
    <w:p w:rsidR="005B1DA7" w:rsidRPr="004B3CCB" w:rsidRDefault="005B1DA7" w:rsidP="005B1DA7">
      <w:pPr>
        <w:pStyle w:val="paragraph"/>
      </w:pPr>
      <w:r w:rsidRPr="004B3CCB">
        <w:tab/>
        <w:t>(d)</w:t>
      </w:r>
      <w:r w:rsidRPr="004B3CCB">
        <w:tab/>
        <w:t>District Court of Queensland;</w:t>
      </w:r>
    </w:p>
    <w:p w:rsidR="005B1DA7" w:rsidRPr="004B3CCB" w:rsidRDefault="005B1DA7" w:rsidP="005B1DA7">
      <w:pPr>
        <w:pStyle w:val="paragraph"/>
      </w:pPr>
      <w:r w:rsidRPr="004B3CCB">
        <w:tab/>
        <w:t>(e)</w:t>
      </w:r>
      <w:r w:rsidRPr="004B3CCB">
        <w:tab/>
        <w:t>Magistrates Courts (Queensland);</w:t>
      </w:r>
    </w:p>
    <w:p w:rsidR="005B1DA7" w:rsidRPr="004B3CCB" w:rsidRDefault="005B1DA7" w:rsidP="005B1DA7">
      <w:pPr>
        <w:pStyle w:val="paragraph"/>
      </w:pPr>
      <w:r w:rsidRPr="004B3CCB">
        <w:tab/>
        <w:t>(f)</w:t>
      </w:r>
      <w:r w:rsidRPr="004B3CCB">
        <w:tab/>
        <w:t>The District Court of Western Australia;</w:t>
      </w:r>
    </w:p>
    <w:p w:rsidR="005B1DA7" w:rsidRPr="004B3CCB" w:rsidRDefault="005B1DA7" w:rsidP="005B1DA7">
      <w:pPr>
        <w:pStyle w:val="paragraph"/>
      </w:pPr>
      <w:r w:rsidRPr="004B3CCB">
        <w:tab/>
        <w:t>(g)</w:t>
      </w:r>
      <w:r w:rsidRPr="004B3CCB">
        <w:tab/>
        <w:t>Magistrates Court (Western Australia);</w:t>
      </w:r>
    </w:p>
    <w:p w:rsidR="005B1DA7" w:rsidRPr="004B3CCB" w:rsidRDefault="005B1DA7" w:rsidP="005B1DA7">
      <w:pPr>
        <w:pStyle w:val="paragraph"/>
      </w:pPr>
      <w:r w:rsidRPr="004B3CCB">
        <w:tab/>
        <w:t>(h)</w:t>
      </w:r>
      <w:r w:rsidRPr="004B3CCB">
        <w:tab/>
        <w:t>Family Court of Western Australia;</w:t>
      </w:r>
    </w:p>
    <w:p w:rsidR="005B1DA7" w:rsidRPr="004B3CCB" w:rsidRDefault="005B1DA7" w:rsidP="005B1DA7">
      <w:pPr>
        <w:pStyle w:val="paragraph"/>
      </w:pPr>
      <w:r w:rsidRPr="004B3CCB">
        <w:tab/>
        <w:t>(i)</w:t>
      </w:r>
      <w:r w:rsidRPr="004B3CCB">
        <w:tab/>
        <w:t>Magistrates Court (Australian Capital Territory);</w:t>
      </w:r>
    </w:p>
    <w:p w:rsidR="005B1DA7" w:rsidRPr="004B3CCB" w:rsidRDefault="005B1DA7" w:rsidP="005B1DA7">
      <w:pPr>
        <w:pStyle w:val="paragraph"/>
      </w:pPr>
      <w:r w:rsidRPr="004B3CCB">
        <w:tab/>
        <w:t>(j)</w:t>
      </w:r>
      <w:r w:rsidRPr="004B3CCB">
        <w:tab/>
        <w:t>Local Court (Northern Territory).</w:t>
      </w:r>
    </w:p>
    <w:p w:rsidR="005B1DA7" w:rsidRPr="004B3CCB" w:rsidRDefault="005B1DA7" w:rsidP="005B1DA7">
      <w:pPr>
        <w:pStyle w:val="ActHead2"/>
        <w:pageBreakBefore/>
      </w:pPr>
      <w:bookmarkStart w:id="12" w:name="_Toc164357191"/>
      <w:r w:rsidRPr="00C73F82">
        <w:rPr>
          <w:rStyle w:val="CharPartNo"/>
        </w:rPr>
        <w:lastRenderedPageBreak/>
        <w:t>Part</w:t>
      </w:r>
      <w:r w:rsidR="007A397E" w:rsidRPr="00C73F82">
        <w:rPr>
          <w:rStyle w:val="CharPartNo"/>
        </w:rPr>
        <w:t> </w:t>
      </w:r>
      <w:r w:rsidRPr="00C73F82">
        <w:rPr>
          <w:rStyle w:val="CharPartNo"/>
        </w:rPr>
        <w:t>5</w:t>
      </w:r>
      <w:r w:rsidRPr="004B3CCB">
        <w:t>—</w:t>
      </w:r>
      <w:r w:rsidRPr="00C73F82">
        <w:rPr>
          <w:rStyle w:val="CharPartText"/>
        </w:rPr>
        <w:t>Subpoenas</w:t>
      </w:r>
      <w:bookmarkEnd w:id="12"/>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13" w:name="_Toc164357192"/>
      <w:r w:rsidRPr="00C73F82">
        <w:rPr>
          <w:rStyle w:val="CharSectno"/>
        </w:rPr>
        <w:t>9</w:t>
      </w:r>
      <w:r w:rsidRPr="004B3CCB">
        <w:t xml:space="preserve">  Australian courts and tribunals to which Division</w:t>
      </w:r>
      <w:r w:rsidR="007A397E" w:rsidRPr="004B3CCB">
        <w:t> </w:t>
      </w:r>
      <w:r w:rsidRPr="004B3CCB">
        <w:t>2 of Part</w:t>
      </w:r>
      <w:r w:rsidR="007A397E" w:rsidRPr="004B3CCB">
        <w:t> </w:t>
      </w:r>
      <w:r w:rsidRPr="004B3CCB">
        <w:t>5 of the Act applies</w:t>
      </w:r>
      <w:bookmarkEnd w:id="13"/>
    </w:p>
    <w:p w:rsidR="005B1DA7" w:rsidRPr="004B3CCB" w:rsidRDefault="005B1DA7" w:rsidP="005B1DA7">
      <w:pPr>
        <w:pStyle w:val="subsection"/>
      </w:pPr>
      <w:r w:rsidRPr="004B3CCB">
        <w:tab/>
      </w:r>
      <w:r w:rsidR="001F7C04" w:rsidRPr="004B3CCB">
        <w:t>(1)</w:t>
      </w:r>
      <w:r w:rsidRPr="004B3CCB">
        <w:tab/>
        <w:t>For paragraph</w:t>
      </w:r>
      <w:r w:rsidR="007A397E" w:rsidRPr="004B3CCB">
        <w:t> </w:t>
      </w:r>
      <w:r w:rsidRPr="004B3CCB">
        <w:t>29(1)(b) of the Act, the following State and Territory courts are prescribed:</w:t>
      </w:r>
    </w:p>
    <w:p w:rsidR="005B1DA7" w:rsidRPr="004B3CCB" w:rsidRDefault="005B1DA7" w:rsidP="005B1DA7">
      <w:pPr>
        <w:pStyle w:val="paragraph"/>
      </w:pPr>
      <w:r w:rsidRPr="004B3CCB">
        <w:tab/>
        <w:t>(a)</w:t>
      </w:r>
      <w:r w:rsidRPr="004B3CCB">
        <w:tab/>
        <w:t>Supreme Court of New South Wales;</w:t>
      </w:r>
    </w:p>
    <w:p w:rsidR="005B1DA7" w:rsidRPr="004B3CCB" w:rsidRDefault="005B1DA7" w:rsidP="005B1DA7">
      <w:pPr>
        <w:pStyle w:val="paragraph"/>
      </w:pPr>
      <w:r w:rsidRPr="004B3CCB">
        <w:tab/>
        <w:t>(b)</w:t>
      </w:r>
      <w:r w:rsidRPr="004B3CCB">
        <w:tab/>
        <w:t>District Court of New South Wales;</w:t>
      </w:r>
    </w:p>
    <w:p w:rsidR="005B1DA7" w:rsidRPr="004B3CCB" w:rsidRDefault="005B1DA7" w:rsidP="005B1DA7">
      <w:pPr>
        <w:pStyle w:val="paragraph"/>
      </w:pPr>
      <w:r w:rsidRPr="004B3CCB">
        <w:tab/>
        <w:t>(c)</w:t>
      </w:r>
      <w:r w:rsidRPr="004B3CCB">
        <w:tab/>
        <w:t>Local Court of New South Wales;</w:t>
      </w:r>
    </w:p>
    <w:p w:rsidR="005B1DA7" w:rsidRPr="004B3CCB" w:rsidRDefault="005B1DA7" w:rsidP="005B1DA7">
      <w:pPr>
        <w:pStyle w:val="paragraph"/>
      </w:pPr>
      <w:r w:rsidRPr="004B3CCB">
        <w:tab/>
        <w:t>(d)</w:t>
      </w:r>
      <w:r w:rsidRPr="004B3CCB">
        <w:tab/>
        <w:t>Children’s Court of New South Wales;</w:t>
      </w:r>
    </w:p>
    <w:p w:rsidR="005B1DA7" w:rsidRPr="004B3CCB" w:rsidRDefault="005B1DA7" w:rsidP="005B1DA7">
      <w:pPr>
        <w:pStyle w:val="paragraph"/>
      </w:pPr>
      <w:r w:rsidRPr="004B3CCB">
        <w:tab/>
        <w:t>(e)</w:t>
      </w:r>
      <w:r w:rsidRPr="004B3CCB">
        <w:tab/>
        <w:t>Dust Diseases Tribunal of New South Wales;</w:t>
      </w:r>
    </w:p>
    <w:p w:rsidR="005B1DA7" w:rsidRPr="004B3CCB" w:rsidRDefault="005B1DA7" w:rsidP="005B1DA7">
      <w:pPr>
        <w:pStyle w:val="paragraph"/>
      </w:pPr>
      <w:r w:rsidRPr="004B3CCB">
        <w:tab/>
        <w:t>(f)</w:t>
      </w:r>
      <w:r w:rsidRPr="004B3CCB">
        <w:tab/>
        <w:t>Supreme Court of the State of Victoria;</w:t>
      </w:r>
    </w:p>
    <w:p w:rsidR="005B1DA7" w:rsidRPr="004B3CCB" w:rsidRDefault="005B1DA7" w:rsidP="005B1DA7">
      <w:pPr>
        <w:pStyle w:val="paragraph"/>
      </w:pPr>
      <w:r w:rsidRPr="004B3CCB">
        <w:tab/>
        <w:t>(g)</w:t>
      </w:r>
      <w:r w:rsidRPr="004B3CCB">
        <w:tab/>
        <w:t>County Court (Victoria);</w:t>
      </w:r>
    </w:p>
    <w:p w:rsidR="005B1DA7" w:rsidRPr="004B3CCB" w:rsidRDefault="005B1DA7" w:rsidP="005B1DA7">
      <w:pPr>
        <w:pStyle w:val="paragraph"/>
      </w:pPr>
      <w:r w:rsidRPr="004B3CCB">
        <w:tab/>
        <w:t>(h)</w:t>
      </w:r>
      <w:r w:rsidRPr="004B3CCB">
        <w:tab/>
        <w:t>Magistrates’ Court of Victoria;</w:t>
      </w:r>
    </w:p>
    <w:p w:rsidR="005B1DA7" w:rsidRPr="004B3CCB" w:rsidRDefault="005B1DA7" w:rsidP="005B1DA7">
      <w:pPr>
        <w:pStyle w:val="paragraph"/>
      </w:pPr>
      <w:r w:rsidRPr="004B3CCB">
        <w:tab/>
        <w:t>(i)</w:t>
      </w:r>
      <w:r w:rsidRPr="004B3CCB">
        <w:tab/>
        <w:t>Supreme Court of Queensland;</w:t>
      </w:r>
    </w:p>
    <w:p w:rsidR="005B1DA7" w:rsidRPr="004B3CCB" w:rsidRDefault="005B1DA7" w:rsidP="005B1DA7">
      <w:pPr>
        <w:pStyle w:val="paragraph"/>
      </w:pPr>
      <w:r w:rsidRPr="004B3CCB">
        <w:tab/>
        <w:t>(j)</w:t>
      </w:r>
      <w:r w:rsidRPr="004B3CCB">
        <w:tab/>
        <w:t>District Court of Queensland;</w:t>
      </w:r>
    </w:p>
    <w:p w:rsidR="005B1DA7" w:rsidRPr="004B3CCB" w:rsidRDefault="005B1DA7" w:rsidP="005B1DA7">
      <w:pPr>
        <w:pStyle w:val="paragraph"/>
      </w:pPr>
      <w:r w:rsidRPr="004B3CCB">
        <w:tab/>
        <w:t>(k)</w:t>
      </w:r>
      <w:r w:rsidRPr="004B3CCB">
        <w:tab/>
        <w:t>Magistrates Courts (Queensland);</w:t>
      </w:r>
    </w:p>
    <w:p w:rsidR="005B1DA7" w:rsidRPr="004B3CCB" w:rsidRDefault="005B1DA7" w:rsidP="005B1DA7">
      <w:pPr>
        <w:pStyle w:val="paragraph"/>
      </w:pPr>
      <w:r w:rsidRPr="004B3CCB">
        <w:tab/>
        <w:t>(l)</w:t>
      </w:r>
      <w:r w:rsidRPr="004B3CCB">
        <w:tab/>
        <w:t>Planning and Environment Court (Queensland);</w:t>
      </w:r>
    </w:p>
    <w:p w:rsidR="005B1DA7" w:rsidRPr="004B3CCB" w:rsidRDefault="005B1DA7" w:rsidP="005B1DA7">
      <w:pPr>
        <w:pStyle w:val="paragraph"/>
      </w:pPr>
      <w:r w:rsidRPr="004B3CCB">
        <w:tab/>
        <w:t>(m)</w:t>
      </w:r>
      <w:r w:rsidRPr="004B3CCB">
        <w:tab/>
        <w:t>Land Court (Queensland);</w:t>
      </w:r>
    </w:p>
    <w:p w:rsidR="005B1DA7" w:rsidRPr="004B3CCB" w:rsidRDefault="005B1DA7" w:rsidP="005B1DA7">
      <w:pPr>
        <w:pStyle w:val="paragraph"/>
      </w:pPr>
      <w:r w:rsidRPr="004B3CCB">
        <w:tab/>
        <w:t>(n)</w:t>
      </w:r>
      <w:r w:rsidRPr="004B3CCB">
        <w:tab/>
        <w:t>Childrens Court of Queensland;</w:t>
      </w:r>
    </w:p>
    <w:p w:rsidR="005B1DA7" w:rsidRPr="004B3CCB" w:rsidRDefault="005B1DA7" w:rsidP="005B1DA7">
      <w:pPr>
        <w:pStyle w:val="paragraph"/>
      </w:pPr>
      <w:r w:rsidRPr="004B3CCB">
        <w:tab/>
        <w:t>(o)</w:t>
      </w:r>
      <w:r w:rsidRPr="004B3CCB">
        <w:tab/>
        <w:t>Industrial Court of Queensland;</w:t>
      </w:r>
    </w:p>
    <w:p w:rsidR="005B1DA7" w:rsidRPr="004B3CCB" w:rsidRDefault="005B1DA7" w:rsidP="005B1DA7">
      <w:pPr>
        <w:pStyle w:val="paragraph"/>
      </w:pPr>
      <w:r w:rsidRPr="004B3CCB">
        <w:tab/>
        <w:t>(p)</w:t>
      </w:r>
      <w:r w:rsidRPr="004B3CCB">
        <w:tab/>
        <w:t>Supreme Court of Western Australia;</w:t>
      </w:r>
    </w:p>
    <w:p w:rsidR="005B1DA7" w:rsidRPr="004B3CCB" w:rsidRDefault="005B1DA7" w:rsidP="005B1DA7">
      <w:pPr>
        <w:pStyle w:val="paragraph"/>
      </w:pPr>
      <w:r w:rsidRPr="004B3CCB">
        <w:tab/>
        <w:t>(q)</w:t>
      </w:r>
      <w:r w:rsidRPr="004B3CCB">
        <w:tab/>
        <w:t>The District Court of Western Australia;</w:t>
      </w:r>
    </w:p>
    <w:p w:rsidR="005B1DA7" w:rsidRPr="004B3CCB" w:rsidRDefault="005B1DA7" w:rsidP="005B1DA7">
      <w:pPr>
        <w:pStyle w:val="paragraph"/>
      </w:pPr>
      <w:r w:rsidRPr="004B3CCB">
        <w:tab/>
        <w:t>(r)</w:t>
      </w:r>
      <w:r w:rsidRPr="004B3CCB">
        <w:tab/>
        <w:t>Magistrates Court of Western Australia;</w:t>
      </w:r>
    </w:p>
    <w:p w:rsidR="005B1DA7" w:rsidRPr="004B3CCB" w:rsidRDefault="005B1DA7" w:rsidP="005B1DA7">
      <w:pPr>
        <w:pStyle w:val="paragraph"/>
      </w:pPr>
      <w:r w:rsidRPr="004B3CCB">
        <w:tab/>
        <w:t>(s)</w:t>
      </w:r>
      <w:r w:rsidRPr="004B3CCB">
        <w:tab/>
        <w:t>Family Court of Western Australia;</w:t>
      </w:r>
    </w:p>
    <w:p w:rsidR="005B1DA7" w:rsidRPr="004B3CCB" w:rsidRDefault="005B1DA7" w:rsidP="005B1DA7">
      <w:pPr>
        <w:pStyle w:val="paragraph"/>
      </w:pPr>
      <w:r w:rsidRPr="004B3CCB">
        <w:tab/>
        <w:t>(t)</w:t>
      </w:r>
      <w:r w:rsidRPr="004B3CCB">
        <w:tab/>
        <w:t>Supreme Court of South Australia;</w:t>
      </w:r>
    </w:p>
    <w:p w:rsidR="005B1DA7" w:rsidRPr="004B3CCB" w:rsidRDefault="005B1DA7" w:rsidP="005B1DA7">
      <w:pPr>
        <w:pStyle w:val="paragraph"/>
      </w:pPr>
      <w:r w:rsidRPr="004B3CCB">
        <w:tab/>
        <w:t>(u)</w:t>
      </w:r>
      <w:r w:rsidRPr="004B3CCB">
        <w:tab/>
        <w:t>District Court of South Australia;</w:t>
      </w:r>
    </w:p>
    <w:p w:rsidR="005B1DA7" w:rsidRPr="004B3CCB" w:rsidRDefault="005B1DA7" w:rsidP="005B1DA7">
      <w:pPr>
        <w:pStyle w:val="paragraph"/>
      </w:pPr>
      <w:r w:rsidRPr="004B3CCB">
        <w:tab/>
        <w:t>(v)</w:t>
      </w:r>
      <w:r w:rsidRPr="004B3CCB">
        <w:tab/>
        <w:t>Magistrates Court of South Australia;</w:t>
      </w:r>
    </w:p>
    <w:p w:rsidR="005B1DA7" w:rsidRPr="004B3CCB" w:rsidRDefault="005B1DA7" w:rsidP="005B1DA7">
      <w:pPr>
        <w:pStyle w:val="paragraph"/>
      </w:pPr>
      <w:r w:rsidRPr="004B3CCB">
        <w:tab/>
        <w:t>(w)</w:t>
      </w:r>
      <w:r w:rsidRPr="004B3CCB">
        <w:tab/>
        <w:t>Supreme Court of Tasmania;</w:t>
      </w:r>
    </w:p>
    <w:p w:rsidR="005B1DA7" w:rsidRPr="004B3CCB" w:rsidRDefault="005B1DA7" w:rsidP="005B1DA7">
      <w:pPr>
        <w:pStyle w:val="paragraph"/>
      </w:pPr>
      <w:r w:rsidRPr="004B3CCB">
        <w:tab/>
        <w:t>(x)</w:t>
      </w:r>
      <w:r w:rsidRPr="004B3CCB">
        <w:tab/>
        <w:t>Magistrates Court (Civil Division) (Tasmania);</w:t>
      </w:r>
    </w:p>
    <w:p w:rsidR="005B1DA7" w:rsidRPr="004B3CCB" w:rsidRDefault="005B1DA7" w:rsidP="005B1DA7">
      <w:pPr>
        <w:pStyle w:val="paragraph"/>
      </w:pPr>
      <w:r w:rsidRPr="004B3CCB">
        <w:tab/>
        <w:t>(y)</w:t>
      </w:r>
      <w:r w:rsidRPr="004B3CCB">
        <w:tab/>
        <w:t>Supreme Court of the Australian Capital Territory;</w:t>
      </w:r>
    </w:p>
    <w:p w:rsidR="005B1DA7" w:rsidRPr="004B3CCB" w:rsidRDefault="005B1DA7" w:rsidP="005B1DA7">
      <w:pPr>
        <w:pStyle w:val="paragraph"/>
      </w:pPr>
      <w:r w:rsidRPr="004B3CCB">
        <w:tab/>
        <w:t>(z)</w:t>
      </w:r>
      <w:r w:rsidRPr="004B3CCB">
        <w:tab/>
        <w:t>Magistrates Court (Australian Capital Territory);</w:t>
      </w:r>
    </w:p>
    <w:p w:rsidR="005B1DA7" w:rsidRPr="004B3CCB" w:rsidRDefault="005B1DA7" w:rsidP="005B1DA7">
      <w:pPr>
        <w:pStyle w:val="paragraph"/>
      </w:pPr>
      <w:r w:rsidRPr="004B3CCB">
        <w:tab/>
        <w:t>(za)</w:t>
      </w:r>
      <w:r w:rsidRPr="004B3CCB">
        <w:tab/>
        <w:t>Supreme Court of the Northern Territory of Australia;</w:t>
      </w:r>
    </w:p>
    <w:p w:rsidR="005B1DA7" w:rsidRPr="004B3CCB" w:rsidRDefault="005B1DA7" w:rsidP="005B1DA7">
      <w:pPr>
        <w:pStyle w:val="paragraph"/>
      </w:pPr>
      <w:r w:rsidRPr="004B3CCB">
        <w:tab/>
        <w:t>(zb)</w:t>
      </w:r>
      <w:r w:rsidRPr="004B3CCB">
        <w:tab/>
        <w:t>Local Court (Northern Territory);</w:t>
      </w:r>
    </w:p>
    <w:p w:rsidR="005B1DA7" w:rsidRPr="004B3CCB" w:rsidRDefault="005B1DA7" w:rsidP="005B1DA7">
      <w:pPr>
        <w:pStyle w:val="paragraph"/>
      </w:pPr>
      <w:r w:rsidRPr="004B3CCB">
        <w:tab/>
        <w:t>(zc)</w:t>
      </w:r>
      <w:r w:rsidRPr="004B3CCB">
        <w:tab/>
        <w:t>Court of Summary Jurisdiction (Northern Territory);</w:t>
      </w:r>
    </w:p>
    <w:p w:rsidR="005B1DA7" w:rsidRPr="004B3CCB" w:rsidRDefault="005B1DA7" w:rsidP="005B1DA7">
      <w:pPr>
        <w:pStyle w:val="paragraph"/>
      </w:pPr>
      <w:r w:rsidRPr="004B3CCB">
        <w:tab/>
        <w:t>(zd)</w:t>
      </w:r>
      <w:r w:rsidRPr="004B3CCB">
        <w:tab/>
        <w:t>Youth Justice Court (Northern Territory);</w:t>
      </w:r>
    </w:p>
    <w:p w:rsidR="005B1DA7" w:rsidRPr="004B3CCB" w:rsidRDefault="005B1DA7" w:rsidP="005B1DA7">
      <w:pPr>
        <w:pStyle w:val="paragraph"/>
      </w:pPr>
      <w:r w:rsidRPr="004B3CCB">
        <w:tab/>
        <w:t>(ze)</w:t>
      </w:r>
      <w:r w:rsidRPr="004B3CCB">
        <w:tab/>
        <w:t>Work Health Court (Northern Territory).</w:t>
      </w:r>
    </w:p>
    <w:p w:rsidR="00A22AD9" w:rsidRPr="004B3CCB" w:rsidRDefault="00A22AD9" w:rsidP="00A22AD9">
      <w:pPr>
        <w:pStyle w:val="subsection"/>
      </w:pPr>
      <w:r w:rsidRPr="004B3CCB">
        <w:tab/>
        <w:t>(2)</w:t>
      </w:r>
      <w:r w:rsidRPr="004B3CCB">
        <w:tab/>
        <w:t>For paragraph</w:t>
      </w:r>
      <w:r w:rsidR="007A397E" w:rsidRPr="004B3CCB">
        <w:t> </w:t>
      </w:r>
      <w:r w:rsidRPr="004B3CCB">
        <w:t>29(1)(c) of the Act, the following Australian tribunals are prescribed:</w:t>
      </w:r>
    </w:p>
    <w:p w:rsidR="00A22AD9" w:rsidRPr="004B3CCB" w:rsidRDefault="00A22AD9" w:rsidP="00A22AD9">
      <w:pPr>
        <w:pStyle w:val="paragraph"/>
      </w:pPr>
      <w:r w:rsidRPr="004B3CCB">
        <w:tab/>
        <w:t>(a)</w:t>
      </w:r>
      <w:r w:rsidRPr="004B3CCB">
        <w:tab/>
        <w:t>Administrative Appeals Tribunal (Commonwealth);</w:t>
      </w:r>
    </w:p>
    <w:p w:rsidR="00A22AD9" w:rsidRPr="004B3CCB" w:rsidRDefault="00A22AD9" w:rsidP="00A22AD9">
      <w:pPr>
        <w:pStyle w:val="paragraph"/>
      </w:pPr>
      <w:r w:rsidRPr="004B3CCB">
        <w:tab/>
        <w:t>(b)</w:t>
      </w:r>
      <w:r w:rsidRPr="004B3CCB">
        <w:tab/>
      </w:r>
      <w:r w:rsidRPr="004B3CCB">
        <w:rPr>
          <w:szCs w:val="22"/>
        </w:rPr>
        <w:t>Trans</w:t>
      </w:r>
      <w:r w:rsidR="00C73F82">
        <w:rPr>
          <w:szCs w:val="22"/>
        </w:rPr>
        <w:noBreakHyphen/>
      </w:r>
      <w:r w:rsidRPr="004B3CCB">
        <w:rPr>
          <w:szCs w:val="22"/>
        </w:rPr>
        <w:t>Tasman IP Attorneys Disciplinary Tribunal (Commonwealth).</w:t>
      </w:r>
    </w:p>
    <w:p w:rsidR="005B1DA7" w:rsidRPr="004B3CCB" w:rsidRDefault="005B1DA7" w:rsidP="005B1DA7">
      <w:pPr>
        <w:pStyle w:val="ActHead5"/>
      </w:pPr>
      <w:bookmarkStart w:id="14" w:name="_Toc164357193"/>
      <w:r w:rsidRPr="00C73F82">
        <w:rPr>
          <w:rStyle w:val="CharSectno"/>
        </w:rPr>
        <w:t>10</w:t>
      </w:r>
      <w:r w:rsidRPr="004B3CCB">
        <w:t xml:space="preserve">  Notice to accompany subpoena</w:t>
      </w:r>
      <w:bookmarkEnd w:id="14"/>
    </w:p>
    <w:p w:rsidR="005B1DA7" w:rsidRPr="004B3CCB" w:rsidRDefault="005B1DA7" w:rsidP="005B1DA7">
      <w:pPr>
        <w:pStyle w:val="subsection"/>
      </w:pPr>
      <w:r w:rsidRPr="004B3CCB">
        <w:tab/>
      </w:r>
      <w:r w:rsidRPr="004B3CCB">
        <w:tab/>
        <w:t>For paragraph</w:t>
      </w:r>
      <w:r w:rsidR="007A397E" w:rsidRPr="004B3CCB">
        <w:t> </w:t>
      </w:r>
      <w:r w:rsidRPr="004B3CCB">
        <w:t>32(2)(b) of the Act, Form 4 is prescribed.</w:t>
      </w:r>
    </w:p>
    <w:p w:rsidR="005B1DA7" w:rsidRPr="004B3CCB" w:rsidRDefault="005B1DA7" w:rsidP="005B1DA7">
      <w:pPr>
        <w:pStyle w:val="ActHead5"/>
      </w:pPr>
      <w:bookmarkStart w:id="15" w:name="_Toc164357194"/>
      <w:r w:rsidRPr="00C73F82">
        <w:rPr>
          <w:rStyle w:val="CharSectno"/>
        </w:rPr>
        <w:t>11</w:t>
      </w:r>
      <w:r w:rsidRPr="004B3CCB">
        <w:t xml:space="preserve">  Receipt of documents and things required by subpoena</w:t>
      </w:r>
      <w:bookmarkEnd w:id="15"/>
    </w:p>
    <w:p w:rsidR="005B1DA7" w:rsidRPr="004B3CCB" w:rsidRDefault="005B1DA7" w:rsidP="005B1DA7">
      <w:pPr>
        <w:pStyle w:val="subsection"/>
      </w:pPr>
      <w:r w:rsidRPr="004B3CCB">
        <w:tab/>
        <w:t>(1)</w:t>
      </w:r>
      <w:r w:rsidRPr="004B3CCB">
        <w:tab/>
        <w:t>For paragraph</w:t>
      </w:r>
      <w:r w:rsidR="007A397E" w:rsidRPr="004B3CCB">
        <w:t> </w:t>
      </w:r>
      <w:r w:rsidRPr="004B3CCB">
        <w:t>44(1)(b) of the Act, the following State and Territory courts are prescribed, and for subsection</w:t>
      </w:r>
      <w:r w:rsidR="007A397E" w:rsidRPr="004B3CCB">
        <w:t> </w:t>
      </w:r>
      <w:r w:rsidRPr="004B3CCB">
        <w:t>44(2) of the Act, each registry of those courts is specified:</w:t>
      </w:r>
    </w:p>
    <w:p w:rsidR="005B1DA7" w:rsidRPr="004B3CCB" w:rsidRDefault="005B1DA7" w:rsidP="005B1DA7">
      <w:pPr>
        <w:pStyle w:val="paragraph"/>
      </w:pPr>
      <w:r w:rsidRPr="004B3CCB">
        <w:tab/>
        <w:t>(a)</w:t>
      </w:r>
      <w:r w:rsidRPr="004B3CCB">
        <w:tab/>
        <w:t>Supreme Court of New South Wales;</w:t>
      </w:r>
    </w:p>
    <w:p w:rsidR="005B1DA7" w:rsidRPr="004B3CCB" w:rsidRDefault="005B1DA7" w:rsidP="005B1DA7">
      <w:pPr>
        <w:pStyle w:val="paragraph"/>
      </w:pPr>
      <w:r w:rsidRPr="004B3CCB">
        <w:tab/>
        <w:t>(b)</w:t>
      </w:r>
      <w:r w:rsidRPr="004B3CCB">
        <w:tab/>
        <w:t>Local Court of New South Wales;</w:t>
      </w:r>
    </w:p>
    <w:p w:rsidR="005B1DA7" w:rsidRPr="004B3CCB" w:rsidRDefault="005B1DA7" w:rsidP="005B1DA7">
      <w:pPr>
        <w:pStyle w:val="paragraph"/>
      </w:pPr>
      <w:r w:rsidRPr="004B3CCB">
        <w:tab/>
        <w:t>(c)</w:t>
      </w:r>
      <w:r w:rsidRPr="004B3CCB">
        <w:tab/>
        <w:t>Children’s Court of New South Wales;</w:t>
      </w:r>
    </w:p>
    <w:p w:rsidR="005B1DA7" w:rsidRPr="004B3CCB" w:rsidRDefault="005B1DA7" w:rsidP="005B1DA7">
      <w:pPr>
        <w:pStyle w:val="paragraph"/>
      </w:pPr>
      <w:r w:rsidRPr="004B3CCB">
        <w:tab/>
        <w:t>(d)</w:t>
      </w:r>
      <w:r w:rsidRPr="004B3CCB">
        <w:tab/>
        <w:t>Dust Diseases Tribunal of New South Wales;</w:t>
      </w:r>
    </w:p>
    <w:p w:rsidR="005B1DA7" w:rsidRPr="004B3CCB" w:rsidRDefault="005B1DA7" w:rsidP="005B1DA7">
      <w:pPr>
        <w:pStyle w:val="paragraph"/>
      </w:pPr>
      <w:r w:rsidRPr="004B3CCB">
        <w:tab/>
        <w:t>(e)</w:t>
      </w:r>
      <w:r w:rsidRPr="004B3CCB">
        <w:tab/>
        <w:t>Supreme Court of the State of Victoria;</w:t>
      </w:r>
    </w:p>
    <w:p w:rsidR="005B1DA7" w:rsidRPr="004B3CCB" w:rsidRDefault="005B1DA7" w:rsidP="005B1DA7">
      <w:pPr>
        <w:pStyle w:val="paragraph"/>
      </w:pPr>
      <w:r w:rsidRPr="004B3CCB">
        <w:tab/>
        <w:t>(f)</w:t>
      </w:r>
      <w:r w:rsidRPr="004B3CCB">
        <w:tab/>
        <w:t>Country Court (Victoria);</w:t>
      </w:r>
    </w:p>
    <w:p w:rsidR="005B1DA7" w:rsidRPr="004B3CCB" w:rsidRDefault="005B1DA7" w:rsidP="005B1DA7">
      <w:pPr>
        <w:pStyle w:val="paragraph"/>
      </w:pPr>
      <w:r w:rsidRPr="004B3CCB">
        <w:tab/>
        <w:t>(g)</w:t>
      </w:r>
      <w:r w:rsidRPr="004B3CCB">
        <w:tab/>
        <w:t>Supreme Court of Queensland;</w:t>
      </w:r>
    </w:p>
    <w:p w:rsidR="005B1DA7" w:rsidRPr="004B3CCB" w:rsidRDefault="005B1DA7" w:rsidP="005B1DA7">
      <w:pPr>
        <w:pStyle w:val="paragraph"/>
      </w:pPr>
      <w:r w:rsidRPr="004B3CCB">
        <w:tab/>
        <w:t>(h)</w:t>
      </w:r>
      <w:r w:rsidRPr="004B3CCB">
        <w:tab/>
        <w:t>Supreme Court of Western Australia;</w:t>
      </w:r>
    </w:p>
    <w:p w:rsidR="005B1DA7" w:rsidRPr="004B3CCB" w:rsidRDefault="005B1DA7" w:rsidP="005B1DA7">
      <w:pPr>
        <w:pStyle w:val="paragraph"/>
      </w:pPr>
      <w:r w:rsidRPr="004B3CCB">
        <w:tab/>
        <w:t>(i)</w:t>
      </w:r>
      <w:r w:rsidRPr="004B3CCB">
        <w:tab/>
        <w:t>The District Court of Western Australia;</w:t>
      </w:r>
    </w:p>
    <w:p w:rsidR="005B1DA7" w:rsidRPr="004B3CCB" w:rsidRDefault="005B1DA7" w:rsidP="005B1DA7">
      <w:pPr>
        <w:pStyle w:val="paragraph"/>
      </w:pPr>
      <w:r w:rsidRPr="004B3CCB">
        <w:tab/>
        <w:t>(j)</w:t>
      </w:r>
      <w:r w:rsidRPr="004B3CCB">
        <w:tab/>
        <w:t>Magistrates Court of Western Australia;</w:t>
      </w:r>
    </w:p>
    <w:p w:rsidR="005B1DA7" w:rsidRPr="004B3CCB" w:rsidRDefault="005B1DA7" w:rsidP="005B1DA7">
      <w:pPr>
        <w:pStyle w:val="paragraph"/>
      </w:pPr>
      <w:r w:rsidRPr="004B3CCB">
        <w:tab/>
        <w:t>(k)</w:t>
      </w:r>
      <w:r w:rsidRPr="004B3CCB">
        <w:tab/>
        <w:t>Family Court of Western Australia;</w:t>
      </w:r>
    </w:p>
    <w:p w:rsidR="005B1DA7" w:rsidRPr="004B3CCB" w:rsidRDefault="005B1DA7" w:rsidP="005B1DA7">
      <w:pPr>
        <w:pStyle w:val="paragraph"/>
      </w:pPr>
      <w:r w:rsidRPr="004B3CCB">
        <w:tab/>
        <w:t>(l)</w:t>
      </w:r>
      <w:r w:rsidRPr="004B3CCB">
        <w:tab/>
        <w:t>Supreme Court of South Australia.</w:t>
      </w:r>
    </w:p>
    <w:p w:rsidR="005B1DA7" w:rsidRPr="004B3CCB" w:rsidRDefault="005B1DA7" w:rsidP="005B1DA7">
      <w:pPr>
        <w:pStyle w:val="subsection"/>
      </w:pPr>
      <w:r w:rsidRPr="004B3CCB">
        <w:tab/>
        <w:t>(2)</w:t>
      </w:r>
      <w:r w:rsidRPr="004B3CCB">
        <w:tab/>
        <w:t>In addition, the following courts are prescribed, and the registries mentioned for those courts are specified:</w:t>
      </w:r>
    </w:p>
    <w:p w:rsidR="005B1DA7" w:rsidRPr="004B3CCB" w:rsidRDefault="005B1DA7" w:rsidP="005B1DA7">
      <w:pPr>
        <w:pStyle w:val="paragraph"/>
      </w:pPr>
      <w:r w:rsidRPr="004B3CCB">
        <w:tab/>
        <w:t>(a)</w:t>
      </w:r>
      <w:r w:rsidRPr="004B3CCB">
        <w:tab/>
        <w:t>Launceston and Burnie registries of the Supreme Court of Tasmania;</w:t>
      </w:r>
    </w:p>
    <w:p w:rsidR="005B1DA7" w:rsidRPr="004B3CCB" w:rsidRDefault="005B1DA7" w:rsidP="005B1DA7">
      <w:pPr>
        <w:pStyle w:val="paragraph"/>
      </w:pPr>
      <w:r w:rsidRPr="004B3CCB">
        <w:tab/>
        <w:t>(b)</w:t>
      </w:r>
      <w:r w:rsidRPr="004B3CCB">
        <w:tab/>
        <w:t>Darwin and Alice Springs registries of the Supreme Court of the Northern Territory of Australia;</w:t>
      </w:r>
    </w:p>
    <w:p w:rsidR="005B1DA7" w:rsidRPr="004B3CCB" w:rsidRDefault="005B1DA7" w:rsidP="005B1DA7">
      <w:pPr>
        <w:pStyle w:val="paragraph"/>
      </w:pPr>
      <w:r w:rsidRPr="004B3CCB">
        <w:tab/>
        <w:t>(c)</w:t>
      </w:r>
      <w:r w:rsidRPr="004B3CCB">
        <w:tab/>
        <w:t>Darwin, Alice Springs, Katherine, Tennant Creek and Nhulunbuy registries of the Local Court (Northern Territory);</w:t>
      </w:r>
    </w:p>
    <w:p w:rsidR="005B1DA7" w:rsidRPr="004B3CCB" w:rsidRDefault="005B1DA7" w:rsidP="005B1DA7">
      <w:pPr>
        <w:pStyle w:val="paragraph"/>
      </w:pPr>
      <w:r w:rsidRPr="004B3CCB">
        <w:tab/>
        <w:t>(d)</w:t>
      </w:r>
      <w:r w:rsidRPr="004B3CCB">
        <w:tab/>
        <w:t>Darwin, Alice Springs, Katherine, Tennant Creek and Nhulunbuy registries of the Court of Summary Jurisdiction (Northern Territory).</w:t>
      </w:r>
    </w:p>
    <w:p w:rsidR="005B1DA7" w:rsidRPr="004B3CCB" w:rsidRDefault="005B1DA7" w:rsidP="005B1DA7">
      <w:pPr>
        <w:pStyle w:val="ActHead2"/>
        <w:pageBreakBefore/>
      </w:pPr>
      <w:bookmarkStart w:id="16" w:name="_Toc164357195"/>
      <w:r w:rsidRPr="00C73F82">
        <w:rPr>
          <w:rStyle w:val="CharPartNo"/>
        </w:rPr>
        <w:t>Part</w:t>
      </w:r>
      <w:r w:rsidR="007A397E" w:rsidRPr="00C73F82">
        <w:rPr>
          <w:rStyle w:val="CharPartNo"/>
        </w:rPr>
        <w:t> </w:t>
      </w:r>
      <w:r w:rsidRPr="00C73F82">
        <w:rPr>
          <w:rStyle w:val="CharPartNo"/>
        </w:rPr>
        <w:t>6</w:t>
      </w:r>
      <w:r w:rsidRPr="004B3CCB">
        <w:t>—</w:t>
      </w:r>
      <w:r w:rsidRPr="00C73F82">
        <w:rPr>
          <w:rStyle w:val="CharPartText"/>
        </w:rPr>
        <w:t>Remote appearances</w:t>
      </w:r>
      <w:bookmarkEnd w:id="16"/>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17" w:name="_Toc164357196"/>
      <w:r w:rsidRPr="00C73F82">
        <w:rPr>
          <w:rStyle w:val="CharSectno"/>
        </w:rPr>
        <w:t>12</w:t>
      </w:r>
      <w:r w:rsidRPr="004B3CCB">
        <w:t xml:space="preserve">  Remote appearances unrelated to remote evidence</w:t>
      </w:r>
      <w:bookmarkEnd w:id="17"/>
    </w:p>
    <w:p w:rsidR="005B1DA7" w:rsidRPr="004B3CCB" w:rsidRDefault="005B1DA7" w:rsidP="005B1DA7">
      <w:pPr>
        <w:pStyle w:val="subsection"/>
      </w:pPr>
      <w:r w:rsidRPr="004B3CCB">
        <w:tab/>
      </w:r>
      <w:r w:rsidRPr="004B3CCB">
        <w:tab/>
        <w:t>For paragraph</w:t>
      </w:r>
      <w:r w:rsidR="007A397E" w:rsidRPr="004B3CCB">
        <w:t> </w:t>
      </w:r>
      <w:r w:rsidRPr="004B3CCB">
        <w:t>47(1)(b) of the Act, the following Australian tribunals are prescribed:</w:t>
      </w:r>
    </w:p>
    <w:p w:rsidR="001F7C04" w:rsidRPr="004B3CCB" w:rsidRDefault="001F7C04" w:rsidP="00674E5B">
      <w:pPr>
        <w:pStyle w:val="paragraph"/>
      </w:pPr>
      <w:r w:rsidRPr="004B3CCB">
        <w:tab/>
        <w:t>(aa)</w:t>
      </w:r>
      <w:r w:rsidRPr="004B3CCB">
        <w:tab/>
        <w:t>Administrative Appeals Tribunal (Commonwealth);</w:t>
      </w:r>
    </w:p>
    <w:p w:rsidR="00A22AD9" w:rsidRPr="004B3CCB" w:rsidRDefault="00A22AD9" w:rsidP="00A22AD9">
      <w:pPr>
        <w:pStyle w:val="paragraph"/>
      </w:pPr>
      <w:r w:rsidRPr="004B3CCB">
        <w:tab/>
        <w:t>(ab)</w:t>
      </w:r>
      <w:r w:rsidRPr="004B3CCB">
        <w:tab/>
      </w:r>
      <w:r w:rsidRPr="004B3CCB">
        <w:rPr>
          <w:szCs w:val="22"/>
        </w:rPr>
        <w:t>Trans</w:t>
      </w:r>
      <w:r w:rsidR="00C73F82">
        <w:rPr>
          <w:szCs w:val="22"/>
        </w:rPr>
        <w:noBreakHyphen/>
      </w:r>
      <w:r w:rsidRPr="004B3CCB">
        <w:rPr>
          <w:szCs w:val="22"/>
        </w:rPr>
        <w:t>Tasman IP Attorneys Disciplinary Tribunal (Commonwealth);</w:t>
      </w:r>
    </w:p>
    <w:p w:rsidR="005B1DA7" w:rsidRPr="004B3CCB" w:rsidRDefault="005B1DA7" w:rsidP="005B1DA7">
      <w:pPr>
        <w:pStyle w:val="paragraph"/>
      </w:pPr>
      <w:r w:rsidRPr="004B3CCB">
        <w:tab/>
        <w:t>(a)</w:t>
      </w:r>
      <w:r w:rsidRPr="004B3CCB">
        <w:tab/>
        <w:t>Victorian Civil and Administrative Tribunal;</w:t>
      </w:r>
    </w:p>
    <w:p w:rsidR="005B1DA7" w:rsidRPr="004B3CCB" w:rsidRDefault="005B1DA7" w:rsidP="005B1DA7">
      <w:pPr>
        <w:pStyle w:val="paragraph"/>
      </w:pPr>
      <w:r w:rsidRPr="004B3CCB">
        <w:tab/>
        <w:t>(b)</w:t>
      </w:r>
      <w:r w:rsidRPr="004B3CCB">
        <w:tab/>
        <w:t>Queensland Civil and Administrative Tribunal;</w:t>
      </w:r>
    </w:p>
    <w:p w:rsidR="005B1DA7" w:rsidRPr="004B3CCB" w:rsidRDefault="005B1DA7" w:rsidP="005B1DA7">
      <w:pPr>
        <w:pStyle w:val="paragraph"/>
      </w:pPr>
      <w:r w:rsidRPr="004B3CCB">
        <w:tab/>
        <w:t>(c)</w:t>
      </w:r>
      <w:r w:rsidRPr="004B3CCB">
        <w:tab/>
        <w:t>State Administrative Tribunal in Western Australia;</w:t>
      </w:r>
    </w:p>
    <w:p w:rsidR="005B1DA7" w:rsidRPr="004B3CCB" w:rsidRDefault="005B1DA7" w:rsidP="005B1DA7">
      <w:pPr>
        <w:pStyle w:val="paragraph"/>
      </w:pPr>
      <w:r w:rsidRPr="004B3CCB">
        <w:tab/>
        <w:t>(d)</w:t>
      </w:r>
      <w:r w:rsidRPr="004B3CCB">
        <w:tab/>
        <w:t>ACT Civil and Administrative Tribunal.</w:t>
      </w:r>
    </w:p>
    <w:p w:rsidR="005B1DA7" w:rsidRPr="004B3CCB" w:rsidRDefault="005B1DA7" w:rsidP="005B1DA7">
      <w:pPr>
        <w:pStyle w:val="ActHead5"/>
      </w:pPr>
      <w:bookmarkStart w:id="18" w:name="_Toc164357197"/>
      <w:r w:rsidRPr="00C73F82">
        <w:rPr>
          <w:rStyle w:val="CharSectno"/>
        </w:rPr>
        <w:t>13</w:t>
      </w:r>
      <w:r w:rsidRPr="004B3CCB">
        <w:t xml:space="preserve">  Remote appearances related to remote evidence</w:t>
      </w:r>
      <w:bookmarkEnd w:id="18"/>
    </w:p>
    <w:p w:rsidR="005B1DA7" w:rsidRPr="004B3CCB" w:rsidRDefault="005B1DA7" w:rsidP="005B1DA7">
      <w:pPr>
        <w:pStyle w:val="subsection"/>
      </w:pPr>
      <w:r w:rsidRPr="004B3CCB">
        <w:tab/>
      </w:r>
      <w:r w:rsidR="001F7C04" w:rsidRPr="004B3CCB">
        <w:t>(1)</w:t>
      </w:r>
      <w:r w:rsidRPr="004B3CCB">
        <w:tab/>
        <w:t>For paragraph</w:t>
      </w:r>
      <w:r w:rsidR="007A397E" w:rsidRPr="004B3CCB">
        <w:t> </w:t>
      </w:r>
      <w:r w:rsidRPr="004B3CCB">
        <w:t>49(1)(b) of the Act, the following State and Territory courts are prescribed:</w:t>
      </w:r>
    </w:p>
    <w:p w:rsidR="005B1DA7" w:rsidRPr="004B3CCB" w:rsidRDefault="005B1DA7" w:rsidP="005B1DA7">
      <w:pPr>
        <w:pStyle w:val="paragraph"/>
      </w:pPr>
      <w:r w:rsidRPr="004B3CCB">
        <w:tab/>
        <w:t>(a)</w:t>
      </w:r>
      <w:r w:rsidRPr="004B3CCB">
        <w:tab/>
        <w:t>Supreme Court of New South Wales;</w:t>
      </w:r>
    </w:p>
    <w:p w:rsidR="005B1DA7" w:rsidRPr="004B3CCB" w:rsidRDefault="005B1DA7" w:rsidP="005B1DA7">
      <w:pPr>
        <w:pStyle w:val="paragraph"/>
      </w:pPr>
      <w:r w:rsidRPr="004B3CCB">
        <w:tab/>
        <w:t>(b)</w:t>
      </w:r>
      <w:r w:rsidRPr="004B3CCB">
        <w:tab/>
        <w:t>District Court of New South Wales;</w:t>
      </w:r>
    </w:p>
    <w:p w:rsidR="005B1DA7" w:rsidRPr="004B3CCB" w:rsidRDefault="005B1DA7" w:rsidP="005B1DA7">
      <w:pPr>
        <w:pStyle w:val="paragraph"/>
      </w:pPr>
      <w:r w:rsidRPr="004B3CCB">
        <w:tab/>
        <w:t>(c)</w:t>
      </w:r>
      <w:r w:rsidRPr="004B3CCB">
        <w:tab/>
        <w:t>Local Court of New South Wales;</w:t>
      </w:r>
    </w:p>
    <w:p w:rsidR="005B1DA7" w:rsidRPr="004B3CCB" w:rsidRDefault="005B1DA7" w:rsidP="005B1DA7">
      <w:pPr>
        <w:pStyle w:val="paragraph"/>
      </w:pPr>
      <w:r w:rsidRPr="004B3CCB">
        <w:tab/>
        <w:t>(d)</w:t>
      </w:r>
      <w:r w:rsidRPr="004B3CCB">
        <w:tab/>
        <w:t>Children’s Court of New South Wales;</w:t>
      </w:r>
    </w:p>
    <w:p w:rsidR="005B1DA7" w:rsidRPr="004B3CCB" w:rsidRDefault="005B1DA7" w:rsidP="005B1DA7">
      <w:pPr>
        <w:pStyle w:val="paragraph"/>
      </w:pPr>
      <w:r w:rsidRPr="004B3CCB">
        <w:tab/>
        <w:t>(e)</w:t>
      </w:r>
      <w:r w:rsidRPr="004B3CCB">
        <w:tab/>
        <w:t>Dust Diseases Tribunal of New South Wales;</w:t>
      </w:r>
    </w:p>
    <w:p w:rsidR="005B1DA7" w:rsidRPr="004B3CCB" w:rsidRDefault="005B1DA7" w:rsidP="005B1DA7">
      <w:pPr>
        <w:pStyle w:val="paragraph"/>
      </w:pPr>
      <w:r w:rsidRPr="004B3CCB">
        <w:tab/>
        <w:t>(f)</w:t>
      </w:r>
      <w:r w:rsidRPr="004B3CCB">
        <w:tab/>
        <w:t>Supreme Court of the State of Victoria;</w:t>
      </w:r>
    </w:p>
    <w:p w:rsidR="005B1DA7" w:rsidRPr="004B3CCB" w:rsidRDefault="005B1DA7" w:rsidP="005B1DA7">
      <w:pPr>
        <w:pStyle w:val="paragraph"/>
      </w:pPr>
      <w:r w:rsidRPr="004B3CCB">
        <w:tab/>
        <w:t>(g)</w:t>
      </w:r>
      <w:r w:rsidRPr="004B3CCB">
        <w:tab/>
        <w:t>County Court (Victoria);</w:t>
      </w:r>
    </w:p>
    <w:p w:rsidR="005B1DA7" w:rsidRPr="004B3CCB" w:rsidRDefault="005B1DA7" w:rsidP="005B1DA7">
      <w:pPr>
        <w:pStyle w:val="paragraph"/>
      </w:pPr>
      <w:r w:rsidRPr="004B3CCB">
        <w:tab/>
        <w:t>(h)</w:t>
      </w:r>
      <w:r w:rsidRPr="004B3CCB">
        <w:tab/>
        <w:t>Magistrates’ Court of Victoria;</w:t>
      </w:r>
    </w:p>
    <w:p w:rsidR="005B1DA7" w:rsidRPr="004B3CCB" w:rsidRDefault="005B1DA7" w:rsidP="005B1DA7">
      <w:pPr>
        <w:pStyle w:val="paragraph"/>
      </w:pPr>
      <w:r w:rsidRPr="004B3CCB">
        <w:tab/>
        <w:t>(i)</w:t>
      </w:r>
      <w:r w:rsidRPr="004B3CCB">
        <w:tab/>
        <w:t>Supreme Court of Queensland;</w:t>
      </w:r>
    </w:p>
    <w:p w:rsidR="005B1DA7" w:rsidRPr="004B3CCB" w:rsidRDefault="005B1DA7" w:rsidP="005B1DA7">
      <w:pPr>
        <w:pStyle w:val="paragraph"/>
      </w:pPr>
      <w:r w:rsidRPr="004B3CCB">
        <w:tab/>
        <w:t>(j)</w:t>
      </w:r>
      <w:r w:rsidRPr="004B3CCB">
        <w:tab/>
        <w:t>District Court of Queensland;</w:t>
      </w:r>
    </w:p>
    <w:p w:rsidR="005B1DA7" w:rsidRPr="004B3CCB" w:rsidRDefault="005B1DA7" w:rsidP="005B1DA7">
      <w:pPr>
        <w:pStyle w:val="paragraph"/>
      </w:pPr>
      <w:r w:rsidRPr="004B3CCB">
        <w:tab/>
        <w:t>(k)</w:t>
      </w:r>
      <w:r w:rsidRPr="004B3CCB">
        <w:tab/>
        <w:t>Magistrates Courts (Queensland);</w:t>
      </w:r>
    </w:p>
    <w:p w:rsidR="005B1DA7" w:rsidRPr="004B3CCB" w:rsidRDefault="005B1DA7" w:rsidP="005B1DA7">
      <w:pPr>
        <w:pStyle w:val="paragraph"/>
      </w:pPr>
      <w:r w:rsidRPr="004B3CCB">
        <w:tab/>
        <w:t>(l)</w:t>
      </w:r>
      <w:r w:rsidRPr="004B3CCB">
        <w:tab/>
        <w:t>Planning and Environment Court (Queensland);</w:t>
      </w:r>
    </w:p>
    <w:p w:rsidR="005B1DA7" w:rsidRPr="004B3CCB" w:rsidRDefault="005B1DA7" w:rsidP="005B1DA7">
      <w:pPr>
        <w:pStyle w:val="paragraph"/>
      </w:pPr>
      <w:r w:rsidRPr="004B3CCB">
        <w:tab/>
        <w:t>(m)</w:t>
      </w:r>
      <w:r w:rsidRPr="004B3CCB">
        <w:tab/>
        <w:t>Land Court (Queensland);</w:t>
      </w:r>
    </w:p>
    <w:p w:rsidR="005B1DA7" w:rsidRPr="004B3CCB" w:rsidRDefault="005B1DA7" w:rsidP="005B1DA7">
      <w:pPr>
        <w:pStyle w:val="paragraph"/>
      </w:pPr>
      <w:r w:rsidRPr="004B3CCB">
        <w:tab/>
        <w:t>(n)</w:t>
      </w:r>
      <w:r w:rsidRPr="004B3CCB">
        <w:tab/>
        <w:t>Childrens Court of Queensland;</w:t>
      </w:r>
    </w:p>
    <w:p w:rsidR="005B1DA7" w:rsidRPr="004B3CCB" w:rsidRDefault="005B1DA7" w:rsidP="005B1DA7">
      <w:pPr>
        <w:pStyle w:val="paragraph"/>
      </w:pPr>
      <w:r w:rsidRPr="004B3CCB">
        <w:tab/>
        <w:t>(o)</w:t>
      </w:r>
      <w:r w:rsidRPr="004B3CCB">
        <w:tab/>
        <w:t>Industrial Court of Queensland;</w:t>
      </w:r>
    </w:p>
    <w:p w:rsidR="005B1DA7" w:rsidRPr="004B3CCB" w:rsidRDefault="005B1DA7" w:rsidP="005B1DA7">
      <w:pPr>
        <w:pStyle w:val="paragraph"/>
      </w:pPr>
      <w:r w:rsidRPr="004B3CCB">
        <w:tab/>
        <w:t>(p)</w:t>
      </w:r>
      <w:r w:rsidRPr="004B3CCB">
        <w:tab/>
        <w:t>Supreme Court of Western Australia;</w:t>
      </w:r>
    </w:p>
    <w:p w:rsidR="005B1DA7" w:rsidRPr="004B3CCB" w:rsidRDefault="005B1DA7" w:rsidP="005B1DA7">
      <w:pPr>
        <w:pStyle w:val="paragraph"/>
      </w:pPr>
      <w:r w:rsidRPr="004B3CCB">
        <w:tab/>
        <w:t>(q)</w:t>
      </w:r>
      <w:r w:rsidRPr="004B3CCB">
        <w:tab/>
        <w:t>The District Court of Western Australia;</w:t>
      </w:r>
    </w:p>
    <w:p w:rsidR="005B1DA7" w:rsidRPr="004B3CCB" w:rsidRDefault="005B1DA7" w:rsidP="005B1DA7">
      <w:pPr>
        <w:pStyle w:val="paragraph"/>
      </w:pPr>
      <w:r w:rsidRPr="004B3CCB">
        <w:tab/>
        <w:t>(r)</w:t>
      </w:r>
      <w:r w:rsidRPr="004B3CCB">
        <w:tab/>
        <w:t>Magistrates Court of Western Australia;</w:t>
      </w:r>
    </w:p>
    <w:p w:rsidR="005B1DA7" w:rsidRPr="004B3CCB" w:rsidRDefault="005B1DA7" w:rsidP="005B1DA7">
      <w:pPr>
        <w:pStyle w:val="paragraph"/>
      </w:pPr>
      <w:r w:rsidRPr="004B3CCB">
        <w:tab/>
        <w:t>(s)</w:t>
      </w:r>
      <w:r w:rsidRPr="004B3CCB">
        <w:tab/>
        <w:t>Family Court of Western Australia;</w:t>
      </w:r>
    </w:p>
    <w:p w:rsidR="005B1DA7" w:rsidRPr="004B3CCB" w:rsidRDefault="005B1DA7" w:rsidP="005B1DA7">
      <w:pPr>
        <w:pStyle w:val="paragraph"/>
      </w:pPr>
      <w:r w:rsidRPr="004B3CCB">
        <w:tab/>
        <w:t>(t)</w:t>
      </w:r>
      <w:r w:rsidRPr="004B3CCB">
        <w:tab/>
        <w:t>Supreme Court of South Australia;</w:t>
      </w:r>
    </w:p>
    <w:p w:rsidR="005B1DA7" w:rsidRPr="004B3CCB" w:rsidRDefault="005B1DA7" w:rsidP="005B1DA7">
      <w:pPr>
        <w:pStyle w:val="paragraph"/>
      </w:pPr>
      <w:r w:rsidRPr="004B3CCB">
        <w:tab/>
        <w:t>(u)</w:t>
      </w:r>
      <w:r w:rsidRPr="004B3CCB">
        <w:tab/>
        <w:t>District Court of South Australia;</w:t>
      </w:r>
    </w:p>
    <w:p w:rsidR="005B1DA7" w:rsidRPr="004B3CCB" w:rsidRDefault="005B1DA7" w:rsidP="005B1DA7">
      <w:pPr>
        <w:pStyle w:val="paragraph"/>
      </w:pPr>
      <w:r w:rsidRPr="004B3CCB">
        <w:tab/>
        <w:t>(v)</w:t>
      </w:r>
      <w:r w:rsidRPr="004B3CCB">
        <w:tab/>
        <w:t>Magistrates Court of South Australia;</w:t>
      </w:r>
    </w:p>
    <w:p w:rsidR="005B1DA7" w:rsidRPr="004B3CCB" w:rsidRDefault="005B1DA7" w:rsidP="005B1DA7">
      <w:pPr>
        <w:pStyle w:val="paragraph"/>
      </w:pPr>
      <w:r w:rsidRPr="004B3CCB">
        <w:tab/>
        <w:t>(w)</w:t>
      </w:r>
      <w:r w:rsidRPr="004B3CCB">
        <w:tab/>
        <w:t>Supreme Court of Tasmania;</w:t>
      </w:r>
    </w:p>
    <w:p w:rsidR="005B1DA7" w:rsidRPr="004B3CCB" w:rsidRDefault="005B1DA7" w:rsidP="005B1DA7">
      <w:pPr>
        <w:pStyle w:val="paragraph"/>
      </w:pPr>
      <w:r w:rsidRPr="004B3CCB">
        <w:tab/>
        <w:t>(x)</w:t>
      </w:r>
      <w:r w:rsidRPr="004B3CCB">
        <w:tab/>
        <w:t>Supreme Court of the Australian Capital Territory;</w:t>
      </w:r>
    </w:p>
    <w:p w:rsidR="005B1DA7" w:rsidRPr="004B3CCB" w:rsidRDefault="005B1DA7" w:rsidP="005B1DA7">
      <w:pPr>
        <w:pStyle w:val="paragraph"/>
      </w:pPr>
      <w:r w:rsidRPr="004B3CCB">
        <w:tab/>
        <w:t>(y)</w:t>
      </w:r>
      <w:r w:rsidRPr="004B3CCB">
        <w:tab/>
        <w:t>Magistrates Court (Australian Capital Territory);</w:t>
      </w:r>
    </w:p>
    <w:p w:rsidR="005B1DA7" w:rsidRPr="004B3CCB" w:rsidRDefault="005B1DA7" w:rsidP="005B1DA7">
      <w:pPr>
        <w:pStyle w:val="paragraph"/>
      </w:pPr>
      <w:r w:rsidRPr="004B3CCB">
        <w:tab/>
        <w:t>(z)</w:t>
      </w:r>
      <w:r w:rsidRPr="004B3CCB">
        <w:tab/>
        <w:t>Supreme Court of the Northern Territory of Australia;</w:t>
      </w:r>
    </w:p>
    <w:p w:rsidR="005B1DA7" w:rsidRPr="004B3CCB" w:rsidRDefault="005B1DA7" w:rsidP="005B1DA7">
      <w:pPr>
        <w:pStyle w:val="paragraph"/>
      </w:pPr>
      <w:r w:rsidRPr="004B3CCB">
        <w:tab/>
        <w:t>(za)</w:t>
      </w:r>
      <w:r w:rsidRPr="004B3CCB">
        <w:tab/>
        <w:t>Local Court (Northern Territory);</w:t>
      </w:r>
    </w:p>
    <w:p w:rsidR="005B1DA7" w:rsidRPr="004B3CCB" w:rsidRDefault="005B1DA7" w:rsidP="005B1DA7">
      <w:pPr>
        <w:pStyle w:val="paragraph"/>
      </w:pPr>
      <w:r w:rsidRPr="004B3CCB">
        <w:tab/>
        <w:t>(zb)</w:t>
      </w:r>
      <w:r w:rsidRPr="004B3CCB">
        <w:tab/>
        <w:t>Court of Summary Jurisdiction (Northern Territory);</w:t>
      </w:r>
    </w:p>
    <w:p w:rsidR="005B1DA7" w:rsidRPr="004B3CCB" w:rsidRDefault="005B1DA7" w:rsidP="005B1DA7">
      <w:pPr>
        <w:pStyle w:val="paragraph"/>
      </w:pPr>
      <w:r w:rsidRPr="004B3CCB">
        <w:tab/>
        <w:t>(zc)</w:t>
      </w:r>
      <w:r w:rsidRPr="004B3CCB">
        <w:tab/>
        <w:t>Youth Justice Court (Northern Territory);</w:t>
      </w:r>
    </w:p>
    <w:p w:rsidR="005B1DA7" w:rsidRPr="004B3CCB" w:rsidRDefault="005B1DA7" w:rsidP="005B1DA7">
      <w:pPr>
        <w:pStyle w:val="paragraph"/>
      </w:pPr>
      <w:r w:rsidRPr="004B3CCB">
        <w:tab/>
        <w:t>(zd)</w:t>
      </w:r>
      <w:r w:rsidRPr="004B3CCB">
        <w:tab/>
        <w:t>Work Health Court (Northern Territory).</w:t>
      </w:r>
    </w:p>
    <w:p w:rsidR="00A22AD9" w:rsidRPr="004B3CCB" w:rsidRDefault="00A22AD9" w:rsidP="00A22AD9">
      <w:pPr>
        <w:pStyle w:val="subsection"/>
      </w:pPr>
      <w:r w:rsidRPr="004B3CCB">
        <w:tab/>
        <w:t>(2)</w:t>
      </w:r>
      <w:r w:rsidRPr="004B3CCB">
        <w:tab/>
        <w:t>For paragraph</w:t>
      </w:r>
      <w:r w:rsidR="007A397E" w:rsidRPr="004B3CCB">
        <w:t> </w:t>
      </w:r>
      <w:r w:rsidRPr="004B3CCB">
        <w:t>49(1)(c) of the Act, the following Australian tribunals are prescribed:</w:t>
      </w:r>
    </w:p>
    <w:p w:rsidR="00A22AD9" w:rsidRPr="004B3CCB" w:rsidRDefault="00A22AD9" w:rsidP="00A22AD9">
      <w:pPr>
        <w:pStyle w:val="paragraph"/>
      </w:pPr>
      <w:r w:rsidRPr="004B3CCB">
        <w:tab/>
        <w:t>(a)</w:t>
      </w:r>
      <w:r w:rsidRPr="004B3CCB">
        <w:tab/>
        <w:t>Administrative Appeals Tribunal (Commonwealth);</w:t>
      </w:r>
    </w:p>
    <w:p w:rsidR="00A22AD9" w:rsidRPr="004B3CCB" w:rsidRDefault="00A22AD9" w:rsidP="00A22AD9">
      <w:pPr>
        <w:pStyle w:val="paragraph"/>
      </w:pPr>
      <w:r w:rsidRPr="004B3CCB">
        <w:tab/>
        <w:t>(b)</w:t>
      </w:r>
      <w:r w:rsidRPr="004B3CCB">
        <w:tab/>
      </w:r>
      <w:r w:rsidRPr="004B3CCB">
        <w:rPr>
          <w:szCs w:val="22"/>
        </w:rPr>
        <w:t>Trans</w:t>
      </w:r>
      <w:r w:rsidR="00C73F82">
        <w:rPr>
          <w:szCs w:val="22"/>
        </w:rPr>
        <w:noBreakHyphen/>
      </w:r>
      <w:r w:rsidRPr="004B3CCB">
        <w:rPr>
          <w:szCs w:val="22"/>
        </w:rPr>
        <w:t>Tasman IP Attorneys Disciplinary Tribunal (Commonwealth).</w:t>
      </w:r>
    </w:p>
    <w:p w:rsidR="005B1DA7" w:rsidRPr="004B3CCB" w:rsidRDefault="005B1DA7" w:rsidP="005B1DA7">
      <w:pPr>
        <w:pStyle w:val="ActHead5"/>
      </w:pPr>
      <w:bookmarkStart w:id="19" w:name="_Toc164357198"/>
      <w:r w:rsidRPr="00C73F82">
        <w:rPr>
          <w:rStyle w:val="CharSectno"/>
        </w:rPr>
        <w:t>14</w:t>
      </w:r>
      <w:r w:rsidRPr="004B3CCB">
        <w:t xml:space="preserve">  Courts and tribunals that may provide assistance to NZ courts and tribunals</w:t>
      </w:r>
      <w:bookmarkEnd w:id="19"/>
    </w:p>
    <w:p w:rsidR="005B1DA7" w:rsidRPr="004B3CCB" w:rsidRDefault="005B1DA7" w:rsidP="005B1DA7">
      <w:pPr>
        <w:pStyle w:val="subsection"/>
      </w:pPr>
      <w:r w:rsidRPr="004B3CCB">
        <w:tab/>
        <w:t>(1)</w:t>
      </w:r>
      <w:r w:rsidRPr="004B3CCB">
        <w:tab/>
        <w:t>For paragraph</w:t>
      </w:r>
      <w:r w:rsidR="007A397E" w:rsidRPr="004B3CCB">
        <w:t> </w:t>
      </w:r>
      <w:r w:rsidRPr="004B3CCB">
        <w:t>63(2)(c) of the Act, the following State and Territory courts are prescribed:</w:t>
      </w:r>
    </w:p>
    <w:p w:rsidR="005B1DA7" w:rsidRPr="004B3CCB" w:rsidRDefault="005B1DA7" w:rsidP="005B1DA7">
      <w:pPr>
        <w:pStyle w:val="paragraph"/>
      </w:pPr>
      <w:r w:rsidRPr="004B3CCB">
        <w:tab/>
        <w:t>(a)</w:t>
      </w:r>
      <w:r w:rsidRPr="004B3CCB">
        <w:tab/>
        <w:t>Supreme Court of New South Wales;</w:t>
      </w:r>
    </w:p>
    <w:p w:rsidR="005B1DA7" w:rsidRPr="004B3CCB" w:rsidRDefault="005B1DA7" w:rsidP="005B1DA7">
      <w:pPr>
        <w:pStyle w:val="paragraph"/>
      </w:pPr>
      <w:r w:rsidRPr="004B3CCB">
        <w:tab/>
        <w:t>(b)</w:t>
      </w:r>
      <w:r w:rsidRPr="004B3CCB">
        <w:tab/>
        <w:t>Local Court of New South Wales;</w:t>
      </w:r>
    </w:p>
    <w:p w:rsidR="005B1DA7" w:rsidRPr="004B3CCB" w:rsidRDefault="005B1DA7" w:rsidP="005B1DA7">
      <w:pPr>
        <w:pStyle w:val="paragraph"/>
      </w:pPr>
      <w:r w:rsidRPr="004B3CCB">
        <w:tab/>
        <w:t>(c)</w:t>
      </w:r>
      <w:r w:rsidRPr="004B3CCB">
        <w:tab/>
        <w:t>Children’s Court of New South Wales;</w:t>
      </w:r>
    </w:p>
    <w:p w:rsidR="005B1DA7" w:rsidRPr="004B3CCB" w:rsidRDefault="005B1DA7" w:rsidP="005B1DA7">
      <w:pPr>
        <w:pStyle w:val="paragraph"/>
      </w:pPr>
      <w:r w:rsidRPr="004B3CCB">
        <w:tab/>
        <w:t>(d)</w:t>
      </w:r>
      <w:r w:rsidRPr="004B3CCB">
        <w:tab/>
        <w:t>Dust Diseases Tribunal of New South Wales;</w:t>
      </w:r>
    </w:p>
    <w:p w:rsidR="005B1DA7" w:rsidRPr="004B3CCB" w:rsidRDefault="005B1DA7" w:rsidP="005B1DA7">
      <w:pPr>
        <w:pStyle w:val="paragraph"/>
      </w:pPr>
      <w:r w:rsidRPr="004B3CCB">
        <w:tab/>
        <w:t>(e)</w:t>
      </w:r>
      <w:r w:rsidRPr="004B3CCB">
        <w:tab/>
        <w:t>Supreme Court of the State of Victoria;</w:t>
      </w:r>
    </w:p>
    <w:p w:rsidR="005B1DA7" w:rsidRPr="004B3CCB" w:rsidRDefault="005B1DA7" w:rsidP="005B1DA7">
      <w:pPr>
        <w:pStyle w:val="paragraph"/>
      </w:pPr>
      <w:r w:rsidRPr="004B3CCB">
        <w:tab/>
        <w:t>(f)</w:t>
      </w:r>
      <w:r w:rsidRPr="004B3CCB">
        <w:tab/>
        <w:t>County Court (Victoria);</w:t>
      </w:r>
    </w:p>
    <w:p w:rsidR="005B1DA7" w:rsidRPr="004B3CCB" w:rsidRDefault="005B1DA7" w:rsidP="005B1DA7">
      <w:pPr>
        <w:pStyle w:val="paragraph"/>
      </w:pPr>
      <w:r w:rsidRPr="004B3CCB">
        <w:tab/>
        <w:t>(g)</w:t>
      </w:r>
      <w:r w:rsidRPr="004B3CCB">
        <w:tab/>
        <w:t>Magistrates’ Court of Victoria;</w:t>
      </w:r>
    </w:p>
    <w:p w:rsidR="005B1DA7" w:rsidRPr="004B3CCB" w:rsidRDefault="005B1DA7" w:rsidP="005B1DA7">
      <w:pPr>
        <w:pStyle w:val="paragraph"/>
      </w:pPr>
      <w:r w:rsidRPr="004B3CCB">
        <w:tab/>
        <w:t>(h)</w:t>
      </w:r>
      <w:r w:rsidRPr="004B3CCB">
        <w:tab/>
        <w:t>Supreme Court of Queensland;</w:t>
      </w:r>
    </w:p>
    <w:p w:rsidR="005B1DA7" w:rsidRPr="004B3CCB" w:rsidRDefault="005B1DA7" w:rsidP="005B1DA7">
      <w:pPr>
        <w:pStyle w:val="paragraph"/>
      </w:pPr>
      <w:r w:rsidRPr="004B3CCB">
        <w:tab/>
        <w:t>(i)</w:t>
      </w:r>
      <w:r w:rsidRPr="004B3CCB">
        <w:tab/>
        <w:t>Supreme Court of Western Australia;</w:t>
      </w:r>
    </w:p>
    <w:p w:rsidR="005B1DA7" w:rsidRPr="004B3CCB" w:rsidRDefault="005B1DA7" w:rsidP="005B1DA7">
      <w:pPr>
        <w:pStyle w:val="paragraph"/>
      </w:pPr>
      <w:r w:rsidRPr="004B3CCB">
        <w:tab/>
        <w:t>(j)</w:t>
      </w:r>
      <w:r w:rsidRPr="004B3CCB">
        <w:tab/>
        <w:t>The District Court of Western Australia;</w:t>
      </w:r>
    </w:p>
    <w:p w:rsidR="005B1DA7" w:rsidRPr="004B3CCB" w:rsidRDefault="005B1DA7" w:rsidP="005B1DA7">
      <w:pPr>
        <w:pStyle w:val="paragraph"/>
      </w:pPr>
      <w:r w:rsidRPr="004B3CCB">
        <w:tab/>
        <w:t>(k)</w:t>
      </w:r>
      <w:r w:rsidRPr="004B3CCB">
        <w:tab/>
        <w:t>Magistrates Court of Western Australia;</w:t>
      </w:r>
    </w:p>
    <w:p w:rsidR="005B1DA7" w:rsidRPr="004B3CCB" w:rsidRDefault="005B1DA7" w:rsidP="005B1DA7">
      <w:pPr>
        <w:pStyle w:val="paragraph"/>
      </w:pPr>
      <w:r w:rsidRPr="004B3CCB">
        <w:tab/>
        <w:t>(l)</w:t>
      </w:r>
      <w:r w:rsidRPr="004B3CCB">
        <w:tab/>
        <w:t>Family Court of Western Australia;</w:t>
      </w:r>
    </w:p>
    <w:p w:rsidR="005B1DA7" w:rsidRPr="004B3CCB" w:rsidRDefault="005B1DA7" w:rsidP="005B1DA7">
      <w:pPr>
        <w:pStyle w:val="paragraph"/>
      </w:pPr>
      <w:r w:rsidRPr="004B3CCB">
        <w:tab/>
        <w:t>(m)</w:t>
      </w:r>
      <w:r w:rsidRPr="004B3CCB">
        <w:tab/>
        <w:t>Supreme Court of South Australia;</w:t>
      </w:r>
    </w:p>
    <w:p w:rsidR="005B1DA7" w:rsidRPr="004B3CCB" w:rsidRDefault="005B1DA7" w:rsidP="005B1DA7">
      <w:pPr>
        <w:pStyle w:val="paragraph"/>
      </w:pPr>
      <w:r w:rsidRPr="004B3CCB">
        <w:tab/>
        <w:t>(n)</w:t>
      </w:r>
      <w:r w:rsidRPr="004B3CCB">
        <w:tab/>
        <w:t>Supreme Court of Tasmania;</w:t>
      </w:r>
    </w:p>
    <w:p w:rsidR="005B1DA7" w:rsidRPr="004B3CCB" w:rsidRDefault="005B1DA7" w:rsidP="005B1DA7">
      <w:pPr>
        <w:pStyle w:val="paragraph"/>
      </w:pPr>
      <w:r w:rsidRPr="004B3CCB">
        <w:tab/>
        <w:t>(o)</w:t>
      </w:r>
      <w:r w:rsidRPr="004B3CCB">
        <w:tab/>
        <w:t>Supreme Court of the Australian Capital Territory;</w:t>
      </w:r>
    </w:p>
    <w:p w:rsidR="005B1DA7" w:rsidRPr="004B3CCB" w:rsidRDefault="005B1DA7" w:rsidP="005B1DA7">
      <w:pPr>
        <w:pStyle w:val="paragraph"/>
      </w:pPr>
      <w:r w:rsidRPr="004B3CCB">
        <w:tab/>
        <w:t>(p)</w:t>
      </w:r>
      <w:r w:rsidRPr="004B3CCB">
        <w:tab/>
        <w:t>Supreme Court of the Northern Territory of Australia;</w:t>
      </w:r>
    </w:p>
    <w:p w:rsidR="005B1DA7" w:rsidRPr="004B3CCB" w:rsidRDefault="005B1DA7" w:rsidP="005B1DA7">
      <w:pPr>
        <w:pStyle w:val="paragraph"/>
      </w:pPr>
      <w:r w:rsidRPr="004B3CCB">
        <w:tab/>
        <w:t>(q)</w:t>
      </w:r>
      <w:r w:rsidRPr="004B3CCB">
        <w:tab/>
        <w:t>Local Court (Northern Territory);</w:t>
      </w:r>
    </w:p>
    <w:p w:rsidR="005B1DA7" w:rsidRPr="004B3CCB" w:rsidRDefault="005B1DA7" w:rsidP="005B1DA7">
      <w:pPr>
        <w:pStyle w:val="paragraph"/>
      </w:pPr>
      <w:r w:rsidRPr="004B3CCB">
        <w:tab/>
        <w:t>(r)</w:t>
      </w:r>
      <w:r w:rsidRPr="004B3CCB">
        <w:tab/>
        <w:t>Court of Summary Jurisdiction (Northern Territory).</w:t>
      </w:r>
    </w:p>
    <w:p w:rsidR="001F7C04" w:rsidRPr="004B3CCB" w:rsidRDefault="001F7C04" w:rsidP="001F7C04">
      <w:pPr>
        <w:pStyle w:val="subsection"/>
      </w:pPr>
      <w:r w:rsidRPr="004B3CCB">
        <w:tab/>
        <w:t>(2)</w:t>
      </w:r>
      <w:r w:rsidRPr="004B3CCB">
        <w:tab/>
        <w:t>For paragraph</w:t>
      </w:r>
      <w:r w:rsidR="007A397E" w:rsidRPr="004B3CCB">
        <w:t> </w:t>
      </w:r>
      <w:r w:rsidRPr="004B3CCB">
        <w:t>63(2)(d) of the Act, the following Australian tribunals are prescribed:</w:t>
      </w:r>
    </w:p>
    <w:p w:rsidR="001F7C04" w:rsidRPr="004B3CCB" w:rsidRDefault="001F7C04" w:rsidP="001F7C04">
      <w:pPr>
        <w:pStyle w:val="paragraph"/>
      </w:pPr>
      <w:r w:rsidRPr="004B3CCB">
        <w:tab/>
        <w:t>(a)</w:t>
      </w:r>
      <w:r w:rsidRPr="004B3CCB">
        <w:tab/>
        <w:t>Administrative Appeals Tribunal (Commonwealth);</w:t>
      </w:r>
    </w:p>
    <w:p w:rsidR="001F7C04" w:rsidRPr="004B3CCB" w:rsidRDefault="001F7C04" w:rsidP="001F7C04">
      <w:pPr>
        <w:pStyle w:val="paragraph"/>
      </w:pPr>
      <w:r w:rsidRPr="004B3CCB">
        <w:tab/>
        <w:t>(b)</w:t>
      </w:r>
      <w:r w:rsidRPr="004B3CCB">
        <w:tab/>
        <w:t>Victorian Civil and Administrative Tribunal.</w:t>
      </w:r>
    </w:p>
    <w:p w:rsidR="005B1DA7" w:rsidRPr="004B3CCB" w:rsidRDefault="00C73F82" w:rsidP="005B1DA7">
      <w:pPr>
        <w:pStyle w:val="ActHead2"/>
        <w:pageBreakBefore/>
      </w:pPr>
      <w:bookmarkStart w:id="20" w:name="_Toc164357199"/>
      <w:r w:rsidRPr="00C73F82">
        <w:rPr>
          <w:rStyle w:val="CharPartNo"/>
        </w:rPr>
        <w:t>Part 7</w:t>
      </w:r>
      <w:r w:rsidR="005B1DA7" w:rsidRPr="004B3CCB">
        <w:t>—</w:t>
      </w:r>
      <w:r w:rsidR="005B1DA7" w:rsidRPr="00C73F82">
        <w:rPr>
          <w:rStyle w:val="CharPartText"/>
        </w:rPr>
        <w:t xml:space="preserve">Recognition and enforcement of </w:t>
      </w:r>
      <w:r w:rsidR="00612221" w:rsidRPr="00C73F82">
        <w:rPr>
          <w:rStyle w:val="CharPartText"/>
        </w:rPr>
        <w:t>judgments</w:t>
      </w:r>
      <w:bookmarkEnd w:id="20"/>
    </w:p>
    <w:p w:rsidR="005B1DA7" w:rsidRPr="004B3CCB" w:rsidRDefault="005B1DA7" w:rsidP="005B1DA7">
      <w:pPr>
        <w:pStyle w:val="Header"/>
      </w:pPr>
      <w:r w:rsidRPr="00C73F82">
        <w:rPr>
          <w:rStyle w:val="CharDivNo"/>
        </w:rPr>
        <w:t xml:space="preserve"> </w:t>
      </w:r>
      <w:r w:rsidRPr="00C73F82">
        <w:rPr>
          <w:rStyle w:val="CharDivText"/>
        </w:rPr>
        <w:t xml:space="preserve"> </w:t>
      </w:r>
    </w:p>
    <w:p w:rsidR="005B1DA7" w:rsidRPr="004B3CCB" w:rsidRDefault="005B1DA7" w:rsidP="005B1DA7">
      <w:pPr>
        <w:pStyle w:val="ActHead5"/>
      </w:pPr>
      <w:bookmarkStart w:id="21" w:name="_Toc164357200"/>
      <w:r w:rsidRPr="00C73F82">
        <w:rPr>
          <w:rStyle w:val="CharSectno"/>
        </w:rPr>
        <w:t>15</w:t>
      </w:r>
      <w:r w:rsidRPr="004B3CCB">
        <w:t xml:space="preserve">  Regulatory regime criminal fines</w:t>
      </w:r>
      <w:bookmarkEnd w:id="21"/>
    </w:p>
    <w:p w:rsidR="005B1DA7" w:rsidRPr="004B3CCB" w:rsidRDefault="005B1DA7" w:rsidP="005B1DA7">
      <w:pPr>
        <w:pStyle w:val="subsection"/>
      </w:pPr>
      <w:r w:rsidRPr="004B3CCB">
        <w:tab/>
        <w:t>(1)</w:t>
      </w:r>
      <w:r w:rsidRPr="004B3CCB">
        <w:tab/>
        <w:t xml:space="preserve">For the definition of </w:t>
      </w:r>
      <w:r w:rsidRPr="004B3CCB">
        <w:rPr>
          <w:b/>
          <w:i/>
        </w:rPr>
        <w:t>regulatory regime criminal fine</w:t>
      </w:r>
      <w:r w:rsidRPr="004B3CCB">
        <w:t xml:space="preserve"> in section</w:t>
      </w:r>
      <w:r w:rsidR="007A397E" w:rsidRPr="004B3CCB">
        <w:t> </w:t>
      </w:r>
      <w:r w:rsidRPr="004B3CCB">
        <w:t>4 of the Act, a regulatory regime criminal fine is a fine for a criminal offence under:</w:t>
      </w:r>
    </w:p>
    <w:p w:rsidR="005B1DA7" w:rsidRPr="004B3CCB" w:rsidRDefault="005B1DA7" w:rsidP="005B1DA7">
      <w:pPr>
        <w:pStyle w:val="paragraph"/>
      </w:pPr>
      <w:r w:rsidRPr="004B3CCB">
        <w:tab/>
        <w:t>(a)</w:t>
      </w:r>
      <w:r w:rsidRPr="004B3CCB">
        <w:tab/>
        <w:t>a provision of the following NZ Acts:</w:t>
      </w:r>
    </w:p>
    <w:p w:rsidR="005B1DA7" w:rsidRPr="004B3CCB" w:rsidRDefault="005B1DA7" w:rsidP="005B1DA7">
      <w:pPr>
        <w:pStyle w:val="paragraphsub"/>
      </w:pPr>
      <w:r w:rsidRPr="004B3CCB">
        <w:tab/>
        <w:t>(i)</w:t>
      </w:r>
      <w:r w:rsidRPr="004B3CCB">
        <w:tab/>
      </w:r>
      <w:r w:rsidRPr="004B3CCB">
        <w:rPr>
          <w:i/>
        </w:rPr>
        <w:t xml:space="preserve">Agricultural Compounds and Veterinary Medicines Act 1997 </w:t>
      </w:r>
      <w:r w:rsidRPr="004B3CCB">
        <w:t>(NZ);</w:t>
      </w:r>
    </w:p>
    <w:p w:rsidR="00D53B9E" w:rsidRPr="004B3CCB" w:rsidRDefault="00D53B9E" w:rsidP="005B1DA7">
      <w:pPr>
        <w:pStyle w:val="paragraphsub"/>
      </w:pPr>
      <w:r w:rsidRPr="004B3CCB">
        <w:tab/>
        <w:t>(ia)</w:t>
      </w:r>
      <w:r w:rsidRPr="004B3CCB">
        <w:tab/>
      </w:r>
      <w:r w:rsidRPr="004B3CCB">
        <w:rPr>
          <w:i/>
        </w:rPr>
        <w:t>Auditor Regulation Act 2011</w:t>
      </w:r>
      <w:r w:rsidRPr="004B3CCB">
        <w:t xml:space="preserve"> (NZ);</w:t>
      </w:r>
    </w:p>
    <w:p w:rsidR="005B1DA7" w:rsidRPr="004B3CCB" w:rsidRDefault="005B1DA7" w:rsidP="005B1DA7">
      <w:pPr>
        <w:pStyle w:val="paragraphsub"/>
      </w:pPr>
      <w:r w:rsidRPr="004B3CCB">
        <w:tab/>
        <w:t>(ii)</w:t>
      </w:r>
      <w:r w:rsidRPr="004B3CCB">
        <w:tab/>
      </w:r>
      <w:r w:rsidRPr="004B3CCB">
        <w:rPr>
          <w:i/>
        </w:rPr>
        <w:t xml:space="preserve">Companies Act 1993 </w:t>
      </w:r>
      <w:r w:rsidRPr="004B3CCB">
        <w:t>(NZ);</w:t>
      </w:r>
    </w:p>
    <w:p w:rsidR="005B1DA7" w:rsidRPr="004B3CCB" w:rsidRDefault="005B1DA7" w:rsidP="005B1DA7">
      <w:pPr>
        <w:pStyle w:val="paragraphsub"/>
      </w:pPr>
      <w:r w:rsidRPr="004B3CCB">
        <w:tab/>
        <w:t>(iii)</w:t>
      </w:r>
      <w:r w:rsidRPr="004B3CCB">
        <w:tab/>
      </w:r>
      <w:r w:rsidRPr="004B3CCB">
        <w:rPr>
          <w:i/>
        </w:rPr>
        <w:t xml:space="preserve">Credit Contracts and Consumer Finance Act 2003 </w:t>
      </w:r>
      <w:r w:rsidRPr="004B3CCB">
        <w:t>(NZ);</w:t>
      </w:r>
    </w:p>
    <w:p w:rsidR="005B1DA7" w:rsidRPr="004B3CCB" w:rsidRDefault="005B1DA7" w:rsidP="005B1DA7">
      <w:pPr>
        <w:pStyle w:val="paragraphsub"/>
      </w:pPr>
      <w:r w:rsidRPr="004B3CCB">
        <w:tab/>
        <w:t>(iv)</w:t>
      </w:r>
      <w:r w:rsidRPr="004B3CCB">
        <w:tab/>
      </w:r>
      <w:r w:rsidRPr="004B3CCB">
        <w:rPr>
          <w:i/>
        </w:rPr>
        <w:t xml:space="preserve">Fair Trading Act 1986 </w:t>
      </w:r>
      <w:r w:rsidRPr="004B3CCB">
        <w:t>(NZ);</w:t>
      </w:r>
    </w:p>
    <w:p w:rsidR="00013CC2" w:rsidRPr="004B3CCB" w:rsidRDefault="00013CC2" w:rsidP="00013CC2">
      <w:pPr>
        <w:pStyle w:val="paragraphsub"/>
      </w:pPr>
      <w:r w:rsidRPr="004B3CCB">
        <w:tab/>
        <w:t>(iva)</w:t>
      </w:r>
      <w:r w:rsidRPr="004B3CCB">
        <w:tab/>
      </w:r>
      <w:r w:rsidRPr="004B3CCB">
        <w:rPr>
          <w:i/>
        </w:rPr>
        <w:t>Financial Advisers Act 2008</w:t>
      </w:r>
      <w:r w:rsidRPr="004B3CCB">
        <w:t xml:space="preserve"> (NZ);</w:t>
      </w:r>
    </w:p>
    <w:p w:rsidR="005B1DA7" w:rsidRPr="004B3CCB" w:rsidRDefault="005B1DA7" w:rsidP="005B1DA7">
      <w:pPr>
        <w:pStyle w:val="paragraphsub"/>
      </w:pPr>
      <w:r w:rsidRPr="004B3CCB">
        <w:tab/>
        <w:t>(v)</w:t>
      </w:r>
      <w:r w:rsidRPr="004B3CCB">
        <w:tab/>
      </w:r>
      <w:r w:rsidRPr="004B3CCB">
        <w:rPr>
          <w:i/>
        </w:rPr>
        <w:t xml:space="preserve">Financial Markets Authority Act 2011 </w:t>
      </w:r>
      <w:r w:rsidRPr="004B3CCB">
        <w:t>(NZ);</w:t>
      </w:r>
    </w:p>
    <w:p w:rsidR="00013CC2" w:rsidRPr="004B3CCB" w:rsidRDefault="00013CC2" w:rsidP="00013CC2">
      <w:pPr>
        <w:pStyle w:val="paragraphsub"/>
      </w:pPr>
      <w:r w:rsidRPr="004B3CCB">
        <w:tab/>
        <w:t>(va)</w:t>
      </w:r>
      <w:r w:rsidRPr="004B3CCB">
        <w:tab/>
      </w:r>
      <w:r w:rsidRPr="004B3CCB">
        <w:rPr>
          <w:i/>
        </w:rPr>
        <w:t>Financial Markets Conduct Act 2013</w:t>
      </w:r>
      <w:r w:rsidRPr="004B3CCB">
        <w:t xml:space="preserve"> (NZ);</w:t>
      </w:r>
    </w:p>
    <w:p w:rsidR="00013CC2" w:rsidRPr="004B3CCB" w:rsidRDefault="00013CC2" w:rsidP="00013CC2">
      <w:pPr>
        <w:pStyle w:val="paragraphsub"/>
      </w:pPr>
      <w:r w:rsidRPr="004B3CCB">
        <w:tab/>
        <w:t>(vb)</w:t>
      </w:r>
      <w:r w:rsidRPr="004B3CCB">
        <w:tab/>
      </w:r>
      <w:r w:rsidRPr="004B3CCB">
        <w:rPr>
          <w:i/>
        </w:rPr>
        <w:t>Financial Reporting Act 2013</w:t>
      </w:r>
      <w:r w:rsidRPr="004B3CCB">
        <w:t xml:space="preserve"> (NZ);</w:t>
      </w:r>
    </w:p>
    <w:p w:rsidR="005B1DA7" w:rsidRPr="004B3CCB" w:rsidRDefault="005B1DA7" w:rsidP="005B1DA7">
      <w:pPr>
        <w:pStyle w:val="paragraphsub"/>
      </w:pPr>
      <w:r w:rsidRPr="004B3CCB">
        <w:tab/>
        <w:t>(vi)</w:t>
      </w:r>
      <w:r w:rsidRPr="004B3CCB">
        <w:tab/>
      </w:r>
      <w:r w:rsidRPr="004B3CCB">
        <w:rPr>
          <w:i/>
        </w:rPr>
        <w:t xml:space="preserve">Financial Reporting Act 1993 </w:t>
      </w:r>
      <w:r w:rsidRPr="004B3CCB">
        <w:t>(NZ);</w:t>
      </w:r>
    </w:p>
    <w:p w:rsidR="005B1DA7" w:rsidRPr="004B3CCB" w:rsidRDefault="005B1DA7" w:rsidP="005B1DA7">
      <w:pPr>
        <w:pStyle w:val="paragraphsub"/>
      </w:pPr>
      <w:r w:rsidRPr="004B3CCB">
        <w:tab/>
        <w:t>(vii)</w:t>
      </w:r>
      <w:r w:rsidRPr="004B3CCB">
        <w:tab/>
      </w:r>
      <w:r w:rsidRPr="004B3CCB">
        <w:rPr>
          <w:i/>
        </w:rPr>
        <w:t xml:space="preserve">Financial Service Providers (Registration and Dispute Resolution) Act 2008 </w:t>
      </w:r>
      <w:r w:rsidRPr="004B3CCB">
        <w:t>(NZ);</w:t>
      </w:r>
    </w:p>
    <w:p w:rsidR="00013CC2" w:rsidRPr="004B3CCB" w:rsidRDefault="00013CC2" w:rsidP="00013CC2">
      <w:pPr>
        <w:pStyle w:val="paragraphsub"/>
      </w:pPr>
      <w:r w:rsidRPr="004B3CCB">
        <w:tab/>
        <w:t>(viia)</w:t>
      </w:r>
      <w:r w:rsidRPr="004B3CCB">
        <w:tab/>
      </w:r>
      <w:r w:rsidRPr="004B3CCB">
        <w:rPr>
          <w:i/>
        </w:rPr>
        <w:t>Food Act 2014</w:t>
      </w:r>
      <w:r w:rsidRPr="004B3CCB">
        <w:t xml:space="preserve"> (NZ);</w:t>
      </w:r>
    </w:p>
    <w:p w:rsidR="005B1DA7" w:rsidRPr="004B3CCB" w:rsidRDefault="005B1DA7" w:rsidP="005B1DA7">
      <w:pPr>
        <w:pStyle w:val="paragraphsub"/>
      </w:pPr>
      <w:r w:rsidRPr="004B3CCB">
        <w:tab/>
        <w:t>(viii)</w:t>
      </w:r>
      <w:r w:rsidRPr="004B3CCB">
        <w:tab/>
      </w:r>
      <w:r w:rsidRPr="004B3CCB">
        <w:rPr>
          <w:i/>
        </w:rPr>
        <w:t xml:space="preserve">Food Act 1981 </w:t>
      </w:r>
      <w:r w:rsidRPr="004B3CCB">
        <w:t>(NZ);</w:t>
      </w:r>
    </w:p>
    <w:p w:rsidR="005B1DA7" w:rsidRPr="004B3CCB" w:rsidRDefault="005B1DA7" w:rsidP="005B1DA7">
      <w:pPr>
        <w:pStyle w:val="paragraphsub"/>
      </w:pPr>
      <w:r w:rsidRPr="004B3CCB">
        <w:tab/>
        <w:t>(ix)</w:t>
      </w:r>
      <w:r w:rsidRPr="004B3CCB">
        <w:tab/>
      </w:r>
      <w:r w:rsidRPr="004B3CCB">
        <w:rPr>
          <w:i/>
        </w:rPr>
        <w:t xml:space="preserve">Insurance (Prudential Supervision) Act 2010 </w:t>
      </w:r>
      <w:r w:rsidRPr="004B3CCB">
        <w:t>(NZ);</w:t>
      </w:r>
    </w:p>
    <w:p w:rsidR="005B1DA7" w:rsidRPr="004B3CCB" w:rsidRDefault="005B1DA7" w:rsidP="005B1DA7">
      <w:pPr>
        <w:pStyle w:val="paragraphsub"/>
      </w:pPr>
      <w:r w:rsidRPr="004B3CCB">
        <w:tab/>
        <w:t>(x)</w:t>
      </w:r>
      <w:r w:rsidRPr="004B3CCB">
        <w:tab/>
      </w:r>
      <w:r w:rsidRPr="004B3CCB">
        <w:rPr>
          <w:i/>
        </w:rPr>
        <w:t xml:space="preserve">Securities Act 1978 </w:t>
      </w:r>
      <w:r w:rsidRPr="004B3CCB">
        <w:t>(NZ);</w:t>
      </w:r>
    </w:p>
    <w:p w:rsidR="005B1DA7" w:rsidRPr="004B3CCB" w:rsidRDefault="005B1DA7" w:rsidP="005B1DA7">
      <w:pPr>
        <w:pStyle w:val="paragraphsub"/>
      </w:pPr>
      <w:r w:rsidRPr="004B3CCB">
        <w:tab/>
        <w:t>(xi)</w:t>
      </w:r>
      <w:r w:rsidRPr="004B3CCB">
        <w:tab/>
      </w:r>
      <w:r w:rsidRPr="004B3CCB">
        <w:rPr>
          <w:i/>
        </w:rPr>
        <w:t xml:space="preserve">Securities Markets Act 1988 </w:t>
      </w:r>
      <w:r w:rsidRPr="004B3CCB">
        <w:t>(NZ);</w:t>
      </w:r>
    </w:p>
    <w:p w:rsidR="005B1DA7" w:rsidRPr="004B3CCB" w:rsidRDefault="005B1DA7" w:rsidP="005B1DA7">
      <w:pPr>
        <w:pStyle w:val="paragraphsub"/>
      </w:pPr>
      <w:r w:rsidRPr="004B3CCB">
        <w:tab/>
        <w:t>(xii)</w:t>
      </w:r>
      <w:r w:rsidRPr="004B3CCB">
        <w:tab/>
      </w:r>
      <w:r w:rsidRPr="004B3CCB">
        <w:rPr>
          <w:i/>
        </w:rPr>
        <w:t xml:space="preserve">Takeovers Act 1993 </w:t>
      </w:r>
      <w:r w:rsidRPr="004B3CCB">
        <w:t>(NZ);</w:t>
      </w:r>
    </w:p>
    <w:p w:rsidR="005B1DA7" w:rsidRPr="004B3CCB" w:rsidRDefault="005B1DA7" w:rsidP="005B1DA7">
      <w:pPr>
        <w:pStyle w:val="paragraphsub"/>
      </w:pPr>
      <w:r w:rsidRPr="004B3CCB">
        <w:tab/>
        <w:t>(xiii)</w:t>
      </w:r>
      <w:r w:rsidRPr="004B3CCB">
        <w:tab/>
      </w:r>
      <w:r w:rsidRPr="004B3CCB">
        <w:rPr>
          <w:i/>
        </w:rPr>
        <w:t xml:space="preserve">Unit Trusts Act 1960 </w:t>
      </w:r>
      <w:r w:rsidRPr="004B3CCB">
        <w:t>(NZ);</w:t>
      </w:r>
    </w:p>
    <w:p w:rsidR="005B1DA7" w:rsidRPr="004B3CCB" w:rsidRDefault="005B1DA7" w:rsidP="005B1DA7">
      <w:pPr>
        <w:pStyle w:val="paragraph"/>
      </w:pPr>
      <w:r w:rsidRPr="004B3CCB">
        <w:tab/>
        <w:t>(b)</w:t>
      </w:r>
      <w:r w:rsidRPr="004B3CCB">
        <w:tab/>
        <w:t xml:space="preserve">a provision of the </w:t>
      </w:r>
      <w:r w:rsidRPr="004B3CCB">
        <w:rPr>
          <w:i/>
        </w:rPr>
        <w:t xml:space="preserve">Commerce Act 1986 </w:t>
      </w:r>
      <w:r w:rsidRPr="004B3CCB">
        <w:t xml:space="preserve">(NZ), other than a provision in </w:t>
      </w:r>
      <w:r w:rsidR="001964AA" w:rsidRPr="004B3CCB">
        <w:t>Subpart 9</w:t>
      </w:r>
      <w:r w:rsidRPr="004B3CCB">
        <w:t xml:space="preserve"> or 10 of Part</w:t>
      </w:r>
      <w:r w:rsidR="007A397E" w:rsidRPr="004B3CCB">
        <w:t> </w:t>
      </w:r>
      <w:r w:rsidRPr="004B3CCB">
        <w:t>4;</w:t>
      </w:r>
    </w:p>
    <w:p w:rsidR="005B1DA7" w:rsidRPr="004B3CCB" w:rsidRDefault="005B1DA7" w:rsidP="005B1DA7">
      <w:pPr>
        <w:pStyle w:val="paragraph"/>
      </w:pPr>
      <w:r w:rsidRPr="004B3CCB">
        <w:tab/>
        <w:t>(c)</w:t>
      </w:r>
      <w:r w:rsidRPr="004B3CCB">
        <w:tab/>
        <w:t>subsection</w:t>
      </w:r>
      <w:r w:rsidR="007A397E" w:rsidRPr="004B3CCB">
        <w:t> </w:t>
      </w:r>
      <w:r w:rsidRPr="004B3CCB">
        <w:t xml:space="preserve">54(1) or (2) of the </w:t>
      </w:r>
      <w:r w:rsidRPr="004B3CCB">
        <w:rPr>
          <w:i/>
        </w:rPr>
        <w:t xml:space="preserve">Health and Disability Services (Safety) Act 2001 </w:t>
      </w:r>
      <w:r w:rsidRPr="004B3CCB">
        <w:t>(NZ);</w:t>
      </w:r>
    </w:p>
    <w:p w:rsidR="005B1DA7" w:rsidRPr="004B3CCB" w:rsidRDefault="005B1DA7" w:rsidP="005B1DA7">
      <w:pPr>
        <w:pStyle w:val="paragraph"/>
      </w:pPr>
      <w:r w:rsidRPr="004B3CCB">
        <w:tab/>
        <w:t>(d)</w:t>
      </w:r>
      <w:r w:rsidRPr="004B3CCB">
        <w:tab/>
        <w:t xml:space="preserve">one or more of the following provisions of the </w:t>
      </w:r>
      <w:r w:rsidRPr="004B3CCB">
        <w:rPr>
          <w:i/>
        </w:rPr>
        <w:t>Medicines Act 1981</w:t>
      </w:r>
      <w:r w:rsidRPr="004B3CCB">
        <w:t xml:space="preserve"> (NZ):</w:t>
      </w:r>
    </w:p>
    <w:p w:rsidR="005B1DA7" w:rsidRPr="004B3CCB" w:rsidRDefault="005B1DA7" w:rsidP="005B1DA7">
      <w:pPr>
        <w:pStyle w:val="paragraphsub"/>
      </w:pPr>
      <w:r w:rsidRPr="004B3CCB">
        <w:tab/>
        <w:t>(i)</w:t>
      </w:r>
      <w:r w:rsidRPr="004B3CCB">
        <w:tab/>
        <w:t>sections</w:t>
      </w:r>
      <w:r w:rsidR="007A397E" w:rsidRPr="004B3CCB">
        <w:t> </w:t>
      </w:r>
      <w:r w:rsidRPr="004B3CCB">
        <w:t>17, 20, 24, 36, 38, 41, 42, 59 and 78;</w:t>
      </w:r>
    </w:p>
    <w:p w:rsidR="005B1DA7" w:rsidRPr="004B3CCB" w:rsidRDefault="005B1DA7" w:rsidP="005B1DA7">
      <w:pPr>
        <w:pStyle w:val="paragraphsub"/>
      </w:pPr>
      <w:r w:rsidRPr="004B3CCB">
        <w:tab/>
        <w:t>(ii)</w:t>
      </w:r>
      <w:r w:rsidRPr="004B3CCB">
        <w:tab/>
        <w:t>sub</w:t>
      </w:r>
      <w:r w:rsidR="00C73F82">
        <w:t>section 1</w:t>
      </w:r>
      <w:r w:rsidRPr="004B3CCB">
        <w:t>8(5);</w:t>
      </w:r>
    </w:p>
    <w:p w:rsidR="005B1DA7" w:rsidRPr="004B3CCB" w:rsidRDefault="005B1DA7" w:rsidP="005B1DA7">
      <w:pPr>
        <w:pStyle w:val="paragraph"/>
      </w:pPr>
      <w:r w:rsidRPr="004B3CCB">
        <w:tab/>
        <w:t>(e)</w:t>
      </w:r>
      <w:r w:rsidRPr="004B3CCB">
        <w:tab/>
        <w:t>a provision in Part</w:t>
      </w:r>
      <w:r w:rsidR="007A397E" w:rsidRPr="004B3CCB">
        <w:t> </w:t>
      </w:r>
      <w:r w:rsidRPr="004B3CCB">
        <w:t xml:space="preserve">4, 5 or 5D of the </w:t>
      </w:r>
      <w:r w:rsidRPr="004B3CCB">
        <w:rPr>
          <w:i/>
        </w:rPr>
        <w:t>Reserve Bank of New Zealand Act 1989</w:t>
      </w:r>
      <w:r w:rsidRPr="004B3CCB">
        <w:t xml:space="preserve"> (NZ).</w:t>
      </w:r>
    </w:p>
    <w:p w:rsidR="005B1DA7" w:rsidRPr="004B3CCB" w:rsidRDefault="005B1DA7" w:rsidP="005B1DA7">
      <w:pPr>
        <w:pStyle w:val="subsection"/>
      </w:pPr>
      <w:r w:rsidRPr="004B3CCB">
        <w:tab/>
        <w:t>(2)</w:t>
      </w:r>
      <w:r w:rsidRPr="004B3CCB">
        <w:tab/>
        <w:t xml:space="preserve">The reference in </w:t>
      </w:r>
      <w:r w:rsidR="007A397E" w:rsidRPr="004B3CCB">
        <w:t>subsection (</w:t>
      </w:r>
      <w:r w:rsidRPr="004B3CCB">
        <w:t xml:space="preserve">1) to a provision (an </w:t>
      </w:r>
      <w:r w:rsidRPr="004B3CCB">
        <w:rPr>
          <w:b/>
          <w:i/>
        </w:rPr>
        <w:t>Act provision</w:t>
      </w:r>
      <w:r w:rsidRPr="004B3CCB">
        <w:t xml:space="preserve">) includes </w:t>
      </w:r>
      <w:r w:rsidRPr="004B3CCB">
        <w:rPr>
          <w:szCs w:val="23"/>
        </w:rPr>
        <w:t>a reference to any provision of any subordinate legislation (however described) that is made:</w:t>
      </w:r>
    </w:p>
    <w:p w:rsidR="005B1DA7" w:rsidRPr="004B3CCB" w:rsidRDefault="005B1DA7" w:rsidP="005B1DA7">
      <w:pPr>
        <w:pStyle w:val="paragraph"/>
        <w:rPr>
          <w:sz w:val="23"/>
          <w:szCs w:val="23"/>
        </w:rPr>
      </w:pPr>
      <w:r w:rsidRPr="004B3CCB">
        <w:tab/>
        <w:t>(a)</w:t>
      </w:r>
      <w:r w:rsidRPr="004B3CCB">
        <w:tab/>
        <w:t>under a NZ Act</w:t>
      </w:r>
      <w:r w:rsidRPr="004B3CCB">
        <w:rPr>
          <w:sz w:val="23"/>
          <w:szCs w:val="23"/>
        </w:rPr>
        <w:t>; and</w:t>
      </w:r>
    </w:p>
    <w:p w:rsidR="005B1DA7" w:rsidRPr="004B3CCB" w:rsidRDefault="005B1DA7" w:rsidP="005B1DA7">
      <w:pPr>
        <w:pStyle w:val="paragraph"/>
      </w:pPr>
      <w:r w:rsidRPr="004B3CCB">
        <w:tab/>
        <w:t>(b)</w:t>
      </w:r>
      <w:r w:rsidRPr="004B3CCB">
        <w:tab/>
        <w:t>in connection with, or for the purposes of, the Act provision.</w:t>
      </w:r>
    </w:p>
    <w:p w:rsidR="005B1DA7" w:rsidRPr="004B3CCB" w:rsidRDefault="005B1DA7" w:rsidP="005B1DA7">
      <w:pPr>
        <w:pStyle w:val="subsection"/>
      </w:pPr>
      <w:r w:rsidRPr="004B3CCB">
        <w:tab/>
        <w:t>(3)</w:t>
      </w:r>
      <w:r w:rsidRPr="004B3CCB">
        <w:tab/>
      </w:r>
      <w:r w:rsidR="007A397E" w:rsidRPr="004B3CCB">
        <w:t>Subsection (</w:t>
      </w:r>
      <w:r w:rsidRPr="004B3CCB">
        <w:t xml:space="preserve">1) applies even if the criminal offence under the </w:t>
      </w:r>
      <w:r w:rsidRPr="004B3CCB">
        <w:rPr>
          <w:szCs w:val="23"/>
        </w:rPr>
        <w:t>provision relates to a contravention of, or relates to a fine in or calculated under, or is extended in its application or operation by, any other provision in or made under a NZ Act.</w:t>
      </w:r>
    </w:p>
    <w:p w:rsidR="005B1DA7" w:rsidRPr="004B3CCB" w:rsidRDefault="005B1DA7" w:rsidP="005B1DA7">
      <w:pPr>
        <w:pStyle w:val="ActHead5"/>
      </w:pPr>
      <w:bookmarkStart w:id="22" w:name="_Toc164357201"/>
      <w:r w:rsidRPr="00C73F82">
        <w:rPr>
          <w:rStyle w:val="CharSectno"/>
        </w:rPr>
        <w:t>16</w:t>
      </w:r>
      <w:r w:rsidRPr="004B3CCB">
        <w:t xml:space="preserve">  </w:t>
      </w:r>
      <w:r w:rsidR="00612221" w:rsidRPr="004B3CCB">
        <w:t>Judgments</w:t>
      </w:r>
      <w:r w:rsidRPr="004B3CCB">
        <w:t xml:space="preserve"> that are not registrable NZ </w:t>
      </w:r>
      <w:r w:rsidR="00612221" w:rsidRPr="004B3CCB">
        <w:t>judgments</w:t>
      </w:r>
      <w:bookmarkEnd w:id="22"/>
    </w:p>
    <w:p w:rsidR="005B1DA7" w:rsidRPr="004B3CCB" w:rsidRDefault="005B1DA7" w:rsidP="005B1DA7">
      <w:pPr>
        <w:pStyle w:val="subsection"/>
      </w:pPr>
      <w:r w:rsidRPr="004B3CCB">
        <w:tab/>
      </w:r>
      <w:r w:rsidRPr="004B3CCB">
        <w:tab/>
        <w:t>For paragraph</w:t>
      </w:r>
      <w:r w:rsidR="007A397E" w:rsidRPr="004B3CCB">
        <w:t> </w:t>
      </w:r>
      <w:r w:rsidRPr="004B3CCB">
        <w:t xml:space="preserve">66(2)(j) of the Act, a </w:t>
      </w:r>
      <w:r w:rsidR="00612221" w:rsidRPr="004B3CCB">
        <w:t>judgment</w:t>
      </w:r>
      <w:r w:rsidRPr="004B3CCB">
        <w:t xml:space="preserve"> is not a </w:t>
      </w:r>
      <w:r w:rsidRPr="004B3CCB">
        <w:rPr>
          <w:b/>
          <w:i/>
        </w:rPr>
        <w:t xml:space="preserve">registrable NZ </w:t>
      </w:r>
      <w:r w:rsidR="00612221" w:rsidRPr="004B3CCB">
        <w:rPr>
          <w:b/>
          <w:i/>
        </w:rPr>
        <w:t>judgment</w:t>
      </w:r>
      <w:r w:rsidRPr="004B3CCB">
        <w:t xml:space="preserve"> if it relates wholly or in part to an order made by a NZ court:</w:t>
      </w:r>
    </w:p>
    <w:p w:rsidR="005B1DA7" w:rsidRPr="004B3CCB" w:rsidRDefault="005B1DA7" w:rsidP="005B1DA7">
      <w:pPr>
        <w:pStyle w:val="paragraph"/>
      </w:pPr>
      <w:r w:rsidRPr="004B3CCB">
        <w:tab/>
        <w:t>(a)</w:t>
      </w:r>
      <w:r w:rsidRPr="004B3CCB">
        <w:tab/>
        <w:t xml:space="preserve">under the </w:t>
      </w:r>
      <w:r w:rsidRPr="004B3CCB">
        <w:rPr>
          <w:i/>
        </w:rPr>
        <w:t>Insolvency (Cross</w:t>
      </w:r>
      <w:r w:rsidR="00C73F82">
        <w:rPr>
          <w:i/>
        </w:rPr>
        <w:noBreakHyphen/>
      </w:r>
      <w:r w:rsidRPr="004B3CCB">
        <w:rPr>
          <w:i/>
        </w:rPr>
        <w:t>border) Act 2006</w:t>
      </w:r>
      <w:r w:rsidRPr="004B3CCB">
        <w:t xml:space="preserve"> (NZ):</w:t>
      </w:r>
    </w:p>
    <w:p w:rsidR="005B1DA7" w:rsidRPr="004B3CCB" w:rsidRDefault="005B1DA7" w:rsidP="005B1DA7">
      <w:pPr>
        <w:pStyle w:val="paragraphsub"/>
      </w:pPr>
      <w:r w:rsidRPr="004B3CCB">
        <w:tab/>
        <w:t>(i)</w:t>
      </w:r>
      <w:r w:rsidRPr="004B3CCB">
        <w:tab/>
        <w:t>recognising an Australian or foreign (other than NZ) proceeding; or</w:t>
      </w:r>
    </w:p>
    <w:p w:rsidR="005B1DA7" w:rsidRPr="004B3CCB" w:rsidRDefault="005B1DA7" w:rsidP="005B1DA7">
      <w:pPr>
        <w:pStyle w:val="paragraphsub"/>
      </w:pPr>
      <w:r w:rsidRPr="004B3CCB">
        <w:tab/>
        <w:t>(ii)</w:t>
      </w:r>
      <w:r w:rsidRPr="004B3CCB">
        <w:tab/>
        <w:t>providing a discretionary remedy in relation to an Australian or foreign proceeding, if the order is made:</w:t>
      </w:r>
    </w:p>
    <w:p w:rsidR="005B1DA7" w:rsidRPr="004B3CCB" w:rsidRDefault="005B1DA7" w:rsidP="005B1DA7">
      <w:pPr>
        <w:pStyle w:val="paragraphsub-sub"/>
      </w:pPr>
      <w:r w:rsidRPr="004B3CCB">
        <w:tab/>
        <w:t>(A)</w:t>
      </w:r>
      <w:r w:rsidRPr="004B3CCB">
        <w:tab/>
        <w:t>on or after the filing of an application for recognition of the proceeding and before the application is decided; or</w:t>
      </w:r>
    </w:p>
    <w:p w:rsidR="005B1DA7" w:rsidRPr="004B3CCB" w:rsidRDefault="005B1DA7" w:rsidP="005B1DA7">
      <w:pPr>
        <w:pStyle w:val="paragraphsub-sub"/>
      </w:pPr>
      <w:r w:rsidRPr="004B3CCB">
        <w:tab/>
        <w:t>(B)</w:t>
      </w:r>
      <w:r w:rsidRPr="004B3CCB">
        <w:tab/>
        <w:t>on or after recognition of the proceeding; or</w:t>
      </w:r>
    </w:p>
    <w:p w:rsidR="005B1DA7" w:rsidRPr="004B3CCB" w:rsidRDefault="005B1DA7" w:rsidP="005B1DA7">
      <w:pPr>
        <w:pStyle w:val="paragraph"/>
      </w:pPr>
      <w:r w:rsidRPr="004B3CCB">
        <w:tab/>
        <w:t>(b)</w:t>
      </w:r>
      <w:r w:rsidRPr="004B3CCB">
        <w:tab/>
        <w:t xml:space="preserve">under NZ domestic insolvency laws—commencing a proceeding and appointing a representative, if the order is subject to recognition in Australia under the </w:t>
      </w:r>
      <w:r w:rsidRPr="004B3CCB">
        <w:rPr>
          <w:i/>
        </w:rPr>
        <w:t>Cross</w:t>
      </w:r>
      <w:r w:rsidR="00C73F82">
        <w:rPr>
          <w:i/>
        </w:rPr>
        <w:noBreakHyphen/>
      </w:r>
      <w:r w:rsidRPr="004B3CCB">
        <w:rPr>
          <w:i/>
        </w:rPr>
        <w:t>Border Insolvency Act 2008</w:t>
      </w:r>
      <w:r w:rsidRPr="004B3CCB">
        <w:t>.</w:t>
      </w:r>
    </w:p>
    <w:p w:rsidR="005B1DA7" w:rsidRPr="004B3CCB" w:rsidRDefault="005B1DA7" w:rsidP="005B1DA7">
      <w:pPr>
        <w:pStyle w:val="ActHead5"/>
      </w:pPr>
      <w:bookmarkStart w:id="23" w:name="_Toc164357202"/>
      <w:r w:rsidRPr="00C73F82">
        <w:rPr>
          <w:rStyle w:val="CharSectno"/>
        </w:rPr>
        <w:t>17</w:t>
      </w:r>
      <w:r w:rsidRPr="004B3CCB">
        <w:t xml:space="preserve">  Application for registration of NZ </w:t>
      </w:r>
      <w:r w:rsidR="00612221" w:rsidRPr="004B3CCB">
        <w:t>judgment</w:t>
      </w:r>
      <w:bookmarkEnd w:id="23"/>
    </w:p>
    <w:p w:rsidR="005B1DA7" w:rsidRPr="004B3CCB" w:rsidRDefault="005B1DA7" w:rsidP="005B1DA7">
      <w:pPr>
        <w:pStyle w:val="subsection"/>
      </w:pPr>
      <w:r w:rsidRPr="004B3CCB">
        <w:tab/>
        <w:t>(1)</w:t>
      </w:r>
      <w:r w:rsidRPr="004B3CCB">
        <w:tab/>
        <w:t>For paragraph</w:t>
      </w:r>
      <w:r w:rsidR="007A397E" w:rsidRPr="004B3CCB">
        <w:t> </w:t>
      </w:r>
      <w:r w:rsidRPr="004B3CCB">
        <w:t>67(5)(a) of the Act, Form 5 is prescribed.</w:t>
      </w:r>
    </w:p>
    <w:p w:rsidR="005B1DA7" w:rsidRPr="004B3CCB" w:rsidRDefault="005B1DA7" w:rsidP="005B1DA7">
      <w:pPr>
        <w:pStyle w:val="subsection"/>
      </w:pPr>
      <w:r w:rsidRPr="004B3CCB">
        <w:tab/>
        <w:t>(2)</w:t>
      </w:r>
      <w:r w:rsidRPr="004B3CCB">
        <w:tab/>
        <w:t>For paragraph</w:t>
      </w:r>
      <w:r w:rsidR="007A397E" w:rsidRPr="004B3CCB">
        <w:t> </w:t>
      </w:r>
      <w:r w:rsidRPr="004B3CCB">
        <w:t>67(5)(b) of the Act:</w:t>
      </w:r>
    </w:p>
    <w:p w:rsidR="005B1DA7" w:rsidRPr="004B3CCB" w:rsidRDefault="005B1DA7" w:rsidP="005B1DA7">
      <w:pPr>
        <w:pStyle w:val="paragraph"/>
      </w:pPr>
      <w:r w:rsidRPr="004B3CCB">
        <w:tab/>
        <w:t>(a)</w:t>
      </w:r>
      <w:r w:rsidRPr="004B3CCB">
        <w:tab/>
        <w:t>if the court is able to receive an application by fax or email—the application may be filed by fax or email; and</w:t>
      </w:r>
    </w:p>
    <w:p w:rsidR="005B1DA7" w:rsidRPr="004B3CCB" w:rsidRDefault="005B1DA7" w:rsidP="005B1DA7">
      <w:pPr>
        <w:pStyle w:val="paragraph"/>
      </w:pPr>
      <w:r w:rsidRPr="004B3CCB">
        <w:tab/>
        <w:t>(b)</w:t>
      </w:r>
      <w:r w:rsidRPr="004B3CCB">
        <w:tab/>
        <w:t xml:space="preserve">a sealed, certified or otherwise authenticated copy of the NZ </w:t>
      </w:r>
      <w:r w:rsidR="00612221" w:rsidRPr="004B3CCB">
        <w:t>judgment</w:t>
      </w:r>
      <w:r w:rsidRPr="004B3CCB">
        <w:t xml:space="preserve"> must be physically filed at the court in hard copy:</w:t>
      </w:r>
    </w:p>
    <w:p w:rsidR="005B1DA7" w:rsidRPr="004B3CCB" w:rsidRDefault="005B1DA7" w:rsidP="005B1DA7">
      <w:pPr>
        <w:pStyle w:val="paragraphsub"/>
      </w:pPr>
      <w:r w:rsidRPr="004B3CCB">
        <w:tab/>
        <w:t>(i)</w:t>
      </w:r>
      <w:r w:rsidRPr="004B3CCB">
        <w:tab/>
        <w:t>with the application; or</w:t>
      </w:r>
    </w:p>
    <w:p w:rsidR="005B1DA7" w:rsidRPr="004B3CCB" w:rsidRDefault="005B1DA7" w:rsidP="005B1DA7">
      <w:pPr>
        <w:pStyle w:val="paragraphsub"/>
      </w:pPr>
      <w:r w:rsidRPr="004B3CCB">
        <w:tab/>
        <w:t>(ii)</w:t>
      </w:r>
      <w:r w:rsidRPr="004B3CCB">
        <w:tab/>
        <w:t>if the application is filed by facsimile or email—within 15 working days after the application is filed.</w:t>
      </w:r>
    </w:p>
    <w:p w:rsidR="005B1DA7" w:rsidRPr="004B3CCB" w:rsidRDefault="005B1DA7" w:rsidP="005B1DA7">
      <w:pPr>
        <w:pStyle w:val="ActHead5"/>
      </w:pPr>
      <w:bookmarkStart w:id="24" w:name="_Toc164357203"/>
      <w:r w:rsidRPr="00C73F82">
        <w:rPr>
          <w:rStyle w:val="CharSectno"/>
        </w:rPr>
        <w:t>18</w:t>
      </w:r>
      <w:r w:rsidRPr="004B3CCB">
        <w:t xml:space="preserve">  Rate of exchange</w:t>
      </w:r>
      <w:bookmarkEnd w:id="24"/>
    </w:p>
    <w:p w:rsidR="005B1DA7" w:rsidRPr="004B3CCB" w:rsidRDefault="005B1DA7" w:rsidP="005B1DA7">
      <w:pPr>
        <w:pStyle w:val="subsection"/>
      </w:pPr>
      <w:r w:rsidRPr="004B3CCB">
        <w:tab/>
      </w:r>
      <w:r w:rsidRPr="004B3CCB">
        <w:tab/>
        <w:t>For subsection</w:t>
      </w:r>
      <w:r w:rsidR="007A397E" w:rsidRPr="004B3CCB">
        <w:t> </w:t>
      </w:r>
      <w:r w:rsidRPr="004B3CCB">
        <w:t xml:space="preserve">69(2) of the Act, the rate of exchange on the </w:t>
      </w:r>
      <w:r w:rsidRPr="004B3CCB">
        <w:rPr>
          <w:b/>
          <w:i/>
        </w:rPr>
        <w:t>conversion day</w:t>
      </w:r>
      <w:r w:rsidRPr="004B3CCB">
        <w:t>, within the meaning of paragraph</w:t>
      </w:r>
      <w:r w:rsidR="007A397E" w:rsidRPr="004B3CCB">
        <w:t> </w:t>
      </w:r>
      <w:r w:rsidRPr="004B3CCB">
        <w:t>69(1)(b) of the Act, is the rate of exchange published for that day by the Reserve Bank of Australia.</w:t>
      </w:r>
    </w:p>
    <w:p w:rsidR="005B1DA7" w:rsidRPr="004B3CCB" w:rsidRDefault="005B1DA7" w:rsidP="005B1DA7">
      <w:pPr>
        <w:pStyle w:val="notetext"/>
      </w:pPr>
      <w:r w:rsidRPr="004B3CCB">
        <w:t>Note:</w:t>
      </w:r>
      <w:r w:rsidRPr="004B3CCB">
        <w:tab/>
        <w:t xml:space="preserve">The Reserve Bank of Australia exchange rate is published at </w:t>
      </w:r>
      <w:r w:rsidRPr="004B3CCB">
        <w:rPr>
          <w:u w:color="000000"/>
        </w:rPr>
        <w:t>www.rba.gov.au</w:t>
      </w:r>
      <w:r w:rsidRPr="004B3CCB">
        <w:t>.</w:t>
      </w:r>
    </w:p>
    <w:p w:rsidR="005B1DA7" w:rsidRPr="004B3CCB" w:rsidRDefault="005B1DA7" w:rsidP="005B1DA7">
      <w:pPr>
        <w:pStyle w:val="ActHead5"/>
      </w:pPr>
      <w:bookmarkStart w:id="25" w:name="_Toc164357204"/>
      <w:r w:rsidRPr="00C73F82">
        <w:rPr>
          <w:rStyle w:val="CharSectno"/>
        </w:rPr>
        <w:t>19</w:t>
      </w:r>
      <w:r w:rsidRPr="004B3CCB">
        <w:t xml:space="preserve">  Notice of registration of NZ </w:t>
      </w:r>
      <w:r w:rsidR="00612221" w:rsidRPr="004B3CCB">
        <w:t>judgment</w:t>
      </w:r>
      <w:bookmarkEnd w:id="25"/>
    </w:p>
    <w:p w:rsidR="005B1DA7" w:rsidRPr="004B3CCB" w:rsidRDefault="005B1DA7" w:rsidP="005B1DA7">
      <w:pPr>
        <w:pStyle w:val="subsection"/>
      </w:pPr>
      <w:r w:rsidRPr="004B3CCB">
        <w:tab/>
        <w:t>(1)</w:t>
      </w:r>
      <w:r w:rsidRPr="004B3CCB">
        <w:tab/>
        <w:t>For paragraph</w:t>
      </w:r>
      <w:r w:rsidR="007A397E" w:rsidRPr="004B3CCB">
        <w:t> </w:t>
      </w:r>
      <w:r w:rsidRPr="004B3CCB">
        <w:t>73(2)(a) of the Act, Form 6 is prescribed.</w:t>
      </w:r>
    </w:p>
    <w:p w:rsidR="005B1DA7" w:rsidRPr="004B3CCB" w:rsidRDefault="005B1DA7" w:rsidP="005B1DA7">
      <w:pPr>
        <w:pStyle w:val="subsection"/>
      </w:pPr>
      <w:r w:rsidRPr="004B3CCB">
        <w:tab/>
        <w:t>(2)</w:t>
      </w:r>
      <w:r w:rsidRPr="004B3CCB">
        <w:tab/>
        <w:t>For paragraph</w:t>
      </w:r>
      <w:r w:rsidR="007A397E" w:rsidRPr="004B3CCB">
        <w:t> </w:t>
      </w:r>
      <w:r w:rsidRPr="004B3CCB">
        <w:t>73(2)(b) of the Act, the notice must be given to each liable person by:</w:t>
      </w:r>
    </w:p>
    <w:p w:rsidR="005B1DA7" w:rsidRPr="004B3CCB" w:rsidRDefault="005B1DA7" w:rsidP="005B1DA7">
      <w:pPr>
        <w:pStyle w:val="paragraph"/>
      </w:pPr>
      <w:r w:rsidRPr="004B3CCB">
        <w:tab/>
        <w:t>(a)</w:t>
      </w:r>
      <w:r w:rsidRPr="004B3CCB">
        <w:tab/>
        <w:t>delivering the notice by registered post to the liable person’s last known address; or</w:t>
      </w:r>
    </w:p>
    <w:p w:rsidR="005B1DA7" w:rsidRPr="004B3CCB" w:rsidRDefault="005B1DA7" w:rsidP="005B1DA7">
      <w:pPr>
        <w:pStyle w:val="paragraph"/>
      </w:pPr>
      <w:r w:rsidRPr="004B3CCB">
        <w:tab/>
        <w:t>(b)</w:t>
      </w:r>
      <w:r w:rsidRPr="004B3CCB">
        <w:tab/>
        <w:t>handing the notice to the liable person.</w:t>
      </w:r>
    </w:p>
    <w:p w:rsidR="005B1DA7" w:rsidRPr="004B3CCB" w:rsidRDefault="005B1DA7" w:rsidP="005B1DA7">
      <w:pPr>
        <w:sectPr w:rsidR="005B1DA7" w:rsidRPr="004B3CCB" w:rsidSect="00E97A11">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5B1DA7" w:rsidRPr="004B3CCB" w:rsidRDefault="00C73F82" w:rsidP="005B1DA7">
      <w:pPr>
        <w:pStyle w:val="ActHead1"/>
      </w:pPr>
      <w:bookmarkStart w:id="26" w:name="_Toc164357205"/>
      <w:r w:rsidRPr="00C73F82">
        <w:rPr>
          <w:rStyle w:val="CharChapNo"/>
        </w:rPr>
        <w:t>Schedule 1</w:t>
      </w:r>
      <w:r w:rsidR="005B1DA7" w:rsidRPr="004B3CCB">
        <w:t>—</w:t>
      </w:r>
      <w:r w:rsidR="005B1DA7" w:rsidRPr="00C73F82">
        <w:rPr>
          <w:rStyle w:val="CharChapText"/>
        </w:rPr>
        <w:t>Forms</w:t>
      </w:r>
      <w:bookmarkEnd w:id="26"/>
    </w:p>
    <w:p w:rsidR="005B1DA7" w:rsidRPr="004B3CCB" w:rsidRDefault="005B1DA7" w:rsidP="005B1DA7">
      <w:pPr>
        <w:pStyle w:val="notemargin"/>
      </w:pPr>
      <w:r w:rsidRPr="004B3CCB">
        <w:t>(section</w:t>
      </w:r>
      <w:r w:rsidR="007A397E" w:rsidRPr="004B3CCB">
        <w:t> </w:t>
      </w:r>
      <w:r w:rsidRPr="004B3CCB">
        <w:t>4)</w:t>
      </w:r>
    </w:p>
    <w:p w:rsidR="005B1DA7" w:rsidRPr="004B3CCB" w:rsidRDefault="005B1DA7" w:rsidP="005B1DA7">
      <w:pPr>
        <w:pStyle w:val="ActHead2"/>
        <w:rPr>
          <w:szCs w:val="26"/>
        </w:rPr>
      </w:pPr>
      <w:bookmarkStart w:id="27" w:name="_Toc164357206"/>
      <w:r w:rsidRPr="00C73F82">
        <w:rPr>
          <w:rStyle w:val="CharPartNo"/>
        </w:rPr>
        <w:t>Form 1</w:t>
      </w:r>
      <w:r w:rsidRPr="004B3CCB">
        <w:rPr>
          <w:szCs w:val="26"/>
        </w:rPr>
        <w:t>—</w:t>
      </w:r>
      <w:r w:rsidRPr="00C73F82">
        <w:rPr>
          <w:rStyle w:val="CharPartText"/>
        </w:rPr>
        <w:t>Notice to defendant served in NZ</w:t>
      </w:r>
      <w:bookmarkEnd w:id="27"/>
    </w:p>
    <w:p w:rsidR="005B1DA7" w:rsidRPr="004B3CCB" w:rsidRDefault="005B1DA7" w:rsidP="005B1DA7">
      <w:pPr>
        <w:pStyle w:val="notetext"/>
      </w:pPr>
      <w:r w:rsidRPr="004B3CCB">
        <w:t>(section</w:t>
      </w:r>
      <w:r w:rsidR="007A397E" w:rsidRPr="004B3CCB">
        <w:t> </w:t>
      </w:r>
      <w:r w:rsidRPr="004B3CCB">
        <w:t>5)</w:t>
      </w:r>
    </w:p>
    <w:p w:rsidR="005B1DA7" w:rsidRPr="004B3CCB" w:rsidRDefault="005B1DA7" w:rsidP="005B1DA7">
      <w:pPr>
        <w:spacing w:before="360"/>
        <w:rPr>
          <w:sz w:val="21"/>
          <w:szCs w:val="21"/>
        </w:rPr>
      </w:pPr>
      <w:r w:rsidRPr="004B3CCB">
        <w:rPr>
          <w:sz w:val="21"/>
          <w:szCs w:val="21"/>
        </w:rPr>
        <w:t>Please read this notice and the attached document(s) very carefully.</w:t>
      </w:r>
    </w:p>
    <w:p w:rsidR="005B1DA7" w:rsidRPr="004B3CCB" w:rsidRDefault="005B1DA7" w:rsidP="005B1DA7">
      <w:pPr>
        <w:spacing w:before="240"/>
        <w:rPr>
          <w:sz w:val="21"/>
          <w:szCs w:val="21"/>
        </w:rPr>
      </w:pPr>
      <w:r w:rsidRPr="004B3CCB">
        <w:rPr>
          <w:sz w:val="21"/>
          <w:szCs w:val="21"/>
        </w:rPr>
        <w:t>If you have any trouble understanding these documents, you should get legal advice as soon as possible.</w:t>
      </w:r>
    </w:p>
    <w:p w:rsidR="005B1DA7" w:rsidRPr="004B3CCB" w:rsidRDefault="005B1DA7" w:rsidP="005B1DA7">
      <w:pPr>
        <w:spacing w:before="240"/>
        <w:rPr>
          <w:sz w:val="21"/>
          <w:szCs w:val="21"/>
        </w:rPr>
      </w:pPr>
      <w:r w:rsidRPr="004B3CCB">
        <w:rPr>
          <w:sz w:val="21"/>
          <w:szCs w:val="21"/>
        </w:rPr>
        <w:t>The plaintiff has commenced a proceeding against you in the [</w:t>
      </w:r>
      <w:r w:rsidRPr="004B3CCB">
        <w:rPr>
          <w:i/>
          <w:sz w:val="21"/>
          <w:szCs w:val="21"/>
        </w:rPr>
        <w:t>Australian commencement court or tribunal</w:t>
      </w:r>
      <w:r w:rsidRPr="004B3CCB">
        <w:rPr>
          <w:sz w:val="21"/>
          <w:szCs w:val="21"/>
        </w:rPr>
        <w:t>]. Attached to this notice is a/are [</w:t>
      </w:r>
      <w:r w:rsidRPr="004B3CCB">
        <w:rPr>
          <w:i/>
          <w:sz w:val="21"/>
          <w:szCs w:val="21"/>
        </w:rPr>
        <w:t>name(s) of document(s)</w:t>
      </w:r>
      <w:r w:rsidRPr="004B3CCB">
        <w:rPr>
          <w:sz w:val="21"/>
          <w:szCs w:val="21"/>
        </w:rPr>
        <w:t>] (‘the attached document(s)’) filed in the [</w:t>
      </w:r>
      <w:r w:rsidRPr="004B3CCB">
        <w:rPr>
          <w:i/>
          <w:sz w:val="21"/>
          <w:szCs w:val="21"/>
        </w:rPr>
        <w:t>Australian commencement court or tribunal</w:t>
      </w:r>
      <w:r w:rsidRPr="004B3CCB">
        <w:rPr>
          <w:sz w:val="21"/>
          <w:szCs w:val="21"/>
        </w:rPr>
        <w:t>].</w:t>
      </w:r>
    </w:p>
    <w:p w:rsidR="005B1DA7" w:rsidRPr="004B3CCB" w:rsidRDefault="005B1DA7" w:rsidP="005B1DA7">
      <w:pPr>
        <w:spacing w:before="240"/>
        <w:rPr>
          <w:sz w:val="21"/>
          <w:szCs w:val="21"/>
        </w:rPr>
      </w:pPr>
      <w:r w:rsidRPr="004B3CCB">
        <w:rPr>
          <w:sz w:val="21"/>
          <w:szCs w:val="21"/>
        </w:rPr>
        <w:t xml:space="preserve">Service of the attached document(s) in NZ is authorised by the </w:t>
      </w:r>
      <w:r w:rsidRPr="004B3CCB">
        <w:rPr>
          <w:i/>
          <w:sz w:val="21"/>
          <w:szCs w:val="21"/>
        </w:rPr>
        <w:t>Trans</w:t>
      </w:r>
      <w:r w:rsidR="00C73F82">
        <w:rPr>
          <w:i/>
          <w:sz w:val="21"/>
          <w:szCs w:val="21"/>
        </w:rPr>
        <w:noBreakHyphen/>
      </w:r>
      <w:r w:rsidRPr="004B3CCB">
        <w:rPr>
          <w:i/>
          <w:sz w:val="21"/>
          <w:szCs w:val="21"/>
        </w:rPr>
        <w:t xml:space="preserve">Tasman Proceedings Act 2010 </w:t>
      </w:r>
      <w:r w:rsidRPr="004B3CCB">
        <w:rPr>
          <w:sz w:val="21"/>
          <w:szCs w:val="21"/>
        </w:rPr>
        <w:t>(Cth).</w:t>
      </w:r>
    </w:p>
    <w:p w:rsidR="005B1DA7" w:rsidRPr="004B3CCB" w:rsidRDefault="005B1DA7" w:rsidP="005B1DA7">
      <w:pPr>
        <w:spacing w:before="360"/>
        <w:rPr>
          <w:b/>
          <w:sz w:val="21"/>
          <w:szCs w:val="21"/>
        </w:rPr>
      </w:pPr>
      <w:r w:rsidRPr="004B3CCB">
        <w:rPr>
          <w:b/>
          <w:sz w:val="21"/>
          <w:szCs w:val="21"/>
        </w:rPr>
        <w:t>Consequences of the attached document(s) being served on you</w:t>
      </w:r>
    </w:p>
    <w:p w:rsidR="005B1DA7" w:rsidRPr="004B3CCB" w:rsidRDefault="005B1DA7" w:rsidP="005B1DA7">
      <w:pPr>
        <w:spacing w:before="240"/>
        <w:rPr>
          <w:sz w:val="21"/>
          <w:szCs w:val="21"/>
        </w:rPr>
      </w:pPr>
      <w:r w:rsidRPr="004B3CCB">
        <w:rPr>
          <w:sz w:val="21"/>
          <w:szCs w:val="21"/>
        </w:rPr>
        <w:t>The [</w:t>
      </w:r>
      <w:r w:rsidRPr="004B3CCB">
        <w:rPr>
          <w:i/>
          <w:sz w:val="21"/>
          <w:szCs w:val="21"/>
        </w:rPr>
        <w:t>Australian commencement court or tribunal</w:t>
      </w:r>
      <w:r w:rsidRPr="004B3CCB">
        <w:rPr>
          <w:sz w:val="21"/>
          <w:szCs w:val="21"/>
        </w:rPr>
        <w:t>] can consider, and make a decision on, any claim set out in the attached document(s).</w:t>
      </w:r>
    </w:p>
    <w:p w:rsidR="005B1DA7" w:rsidRPr="004B3CCB" w:rsidRDefault="005B1DA7" w:rsidP="005B1DA7">
      <w:pPr>
        <w:spacing w:before="240"/>
        <w:rPr>
          <w:sz w:val="21"/>
          <w:szCs w:val="21"/>
        </w:rPr>
      </w:pPr>
      <w:r w:rsidRPr="004B3CCB">
        <w:rPr>
          <w:sz w:val="21"/>
          <w:szCs w:val="21"/>
        </w:rPr>
        <w:t>The [</w:t>
      </w:r>
      <w:r w:rsidRPr="004B3CCB">
        <w:rPr>
          <w:i/>
          <w:sz w:val="21"/>
          <w:szCs w:val="21"/>
        </w:rPr>
        <w:t>Australian commencement court or tribunal</w:t>
      </w:r>
      <w:r w:rsidRPr="004B3CCB">
        <w:rPr>
          <w:sz w:val="21"/>
          <w:szCs w:val="21"/>
        </w:rPr>
        <w:t xml:space="preserve">]’s decision on this claim (its </w:t>
      </w:r>
      <w:r w:rsidR="00612221" w:rsidRPr="004B3CCB">
        <w:t>judgment</w:t>
      </w:r>
      <w:r w:rsidRPr="004B3CCB">
        <w:rPr>
          <w:sz w:val="21"/>
          <w:szCs w:val="21"/>
        </w:rPr>
        <w:t>) may be enforced in Australia or NZ.</w:t>
      </w:r>
    </w:p>
    <w:p w:rsidR="005B1DA7" w:rsidRPr="004B3CCB" w:rsidRDefault="005B1DA7" w:rsidP="005B1DA7">
      <w:pPr>
        <w:spacing w:before="360"/>
        <w:rPr>
          <w:b/>
          <w:sz w:val="21"/>
          <w:szCs w:val="21"/>
        </w:rPr>
      </w:pPr>
      <w:r w:rsidRPr="004B3CCB">
        <w:rPr>
          <w:b/>
          <w:sz w:val="21"/>
          <w:szCs w:val="21"/>
        </w:rPr>
        <w:t>Your rights to apply for the proceeding to be stayed</w:t>
      </w:r>
    </w:p>
    <w:p w:rsidR="005B1DA7" w:rsidRPr="004B3CCB" w:rsidRDefault="005B1DA7" w:rsidP="005B1DA7">
      <w:pPr>
        <w:spacing w:before="240"/>
        <w:rPr>
          <w:sz w:val="21"/>
          <w:szCs w:val="21"/>
        </w:rPr>
      </w:pPr>
      <w:r w:rsidRPr="004B3CCB">
        <w:rPr>
          <w:sz w:val="21"/>
          <w:szCs w:val="21"/>
        </w:rPr>
        <w:t>If a court in NZ is the more appropriate court to decide the claim set out in the attached document(s), you may be able to have the proceeding stayed by applying to the [</w:t>
      </w:r>
      <w:r w:rsidRPr="004B3CCB">
        <w:rPr>
          <w:i/>
          <w:sz w:val="21"/>
          <w:szCs w:val="21"/>
        </w:rPr>
        <w:t>Australian commencement court or tribunal</w:t>
      </w:r>
      <w:r w:rsidRPr="004B3CCB">
        <w:rPr>
          <w:sz w:val="21"/>
          <w:szCs w:val="21"/>
        </w:rPr>
        <w:t>]. If the proceeding is stayed, the claim cannot proceed in the [</w:t>
      </w:r>
      <w:r w:rsidRPr="004B3CCB">
        <w:rPr>
          <w:i/>
          <w:sz w:val="21"/>
          <w:szCs w:val="21"/>
        </w:rPr>
        <w:t>Australian commencement court or tribunal</w:t>
      </w:r>
      <w:r w:rsidRPr="004B3CCB">
        <w:rPr>
          <w:sz w:val="21"/>
          <w:szCs w:val="21"/>
        </w:rPr>
        <w:t>].</w:t>
      </w:r>
    </w:p>
    <w:p w:rsidR="005B1DA7" w:rsidRPr="004B3CCB" w:rsidRDefault="005B1DA7" w:rsidP="005B1DA7">
      <w:pPr>
        <w:spacing w:before="240"/>
        <w:rPr>
          <w:sz w:val="21"/>
          <w:szCs w:val="21"/>
        </w:rPr>
      </w:pPr>
      <w:r w:rsidRPr="004B3CCB">
        <w:rPr>
          <w:sz w:val="21"/>
          <w:szCs w:val="21"/>
        </w:rPr>
        <w:t>You have 30 working days from the day on which you are served with the attached document(s) to apply for the proceeding to be stayed.</w:t>
      </w:r>
    </w:p>
    <w:p w:rsidR="005B1DA7" w:rsidRPr="004B3CCB" w:rsidRDefault="005B1DA7" w:rsidP="005B1DA7">
      <w:pPr>
        <w:spacing w:before="240"/>
        <w:rPr>
          <w:sz w:val="21"/>
          <w:szCs w:val="21"/>
        </w:rPr>
      </w:pPr>
      <w:r w:rsidRPr="004B3CCB">
        <w:rPr>
          <w:sz w:val="21"/>
          <w:szCs w:val="21"/>
        </w:rPr>
        <w:t>If you think the proceeding should be stayed, it is recommended you get legal advice as soon as possible.</w:t>
      </w:r>
    </w:p>
    <w:p w:rsidR="005B1DA7" w:rsidRPr="004B3CCB" w:rsidRDefault="005B1DA7" w:rsidP="005B1DA7">
      <w:pPr>
        <w:keepNext/>
        <w:spacing w:before="360"/>
        <w:rPr>
          <w:b/>
          <w:sz w:val="21"/>
          <w:szCs w:val="21"/>
        </w:rPr>
      </w:pPr>
      <w:r w:rsidRPr="004B3CCB">
        <w:rPr>
          <w:b/>
          <w:sz w:val="21"/>
          <w:szCs w:val="21"/>
        </w:rPr>
        <w:t>Contesting this claim</w:t>
      </w:r>
    </w:p>
    <w:p w:rsidR="005B1DA7" w:rsidRPr="004B3CCB" w:rsidRDefault="005B1DA7" w:rsidP="005B1DA7">
      <w:pPr>
        <w:spacing w:before="240"/>
        <w:rPr>
          <w:sz w:val="21"/>
          <w:szCs w:val="21"/>
        </w:rPr>
      </w:pPr>
      <w:r w:rsidRPr="004B3CCB">
        <w:rPr>
          <w:sz w:val="21"/>
          <w:szCs w:val="21"/>
        </w:rPr>
        <w:t>If you want to contest this claim, you must take any action set out in the attached document(s) as being necessary to contest the claim. You have 30 working days,</w:t>
      </w:r>
      <w:r w:rsidRPr="004B3CCB">
        <w:rPr>
          <w:rStyle w:val="FootnoteReference"/>
          <w:sz w:val="21"/>
          <w:szCs w:val="21"/>
        </w:rPr>
        <w:t>1</w:t>
      </w:r>
      <w:r w:rsidRPr="004B3CCB">
        <w:rPr>
          <w:sz w:val="21"/>
          <w:szCs w:val="21"/>
        </w:rPr>
        <w:t xml:space="preserve"> after the day on which you are served with the attached document(s), to respond.</w:t>
      </w:r>
    </w:p>
    <w:p w:rsidR="005B1DA7" w:rsidRPr="004B3CCB" w:rsidRDefault="005B1DA7" w:rsidP="005B1DA7">
      <w:pPr>
        <w:spacing w:before="240"/>
        <w:rPr>
          <w:sz w:val="21"/>
          <w:szCs w:val="21"/>
        </w:rPr>
      </w:pPr>
      <w:r w:rsidRPr="004B3CCB">
        <w:rPr>
          <w:sz w:val="21"/>
          <w:szCs w:val="21"/>
        </w:rPr>
        <w:t>The [</w:t>
      </w:r>
      <w:r w:rsidRPr="004B3CCB">
        <w:rPr>
          <w:i/>
          <w:sz w:val="21"/>
          <w:szCs w:val="21"/>
        </w:rPr>
        <w:t>name of appearance or response document</w:t>
      </w:r>
      <w:r w:rsidRPr="004B3CCB">
        <w:rPr>
          <w:sz w:val="21"/>
          <w:szCs w:val="21"/>
        </w:rPr>
        <w:t>] must contain an address in Australia or NZ where documents can be left for you or sent to you.</w:t>
      </w:r>
    </w:p>
    <w:p w:rsidR="005B1DA7" w:rsidRPr="004B3CCB" w:rsidRDefault="005B1DA7" w:rsidP="005B1DA7">
      <w:pPr>
        <w:pBdr>
          <w:top w:val="single" w:sz="4" w:space="1" w:color="auto"/>
        </w:pBdr>
        <w:spacing w:before="360"/>
        <w:rPr>
          <w:rFonts w:ascii="Arial" w:hAnsi="Arial" w:cs="Arial"/>
          <w:sz w:val="20"/>
        </w:rPr>
      </w:pPr>
      <w:r w:rsidRPr="004B3CCB">
        <w:rPr>
          <w:rStyle w:val="FootnoteReference"/>
          <w:rFonts w:ascii="Arial" w:hAnsi="Arial" w:cs="Arial"/>
          <w:sz w:val="16"/>
          <w:szCs w:val="16"/>
        </w:rPr>
        <w:t>1</w:t>
      </w:r>
      <w:r w:rsidRPr="004B3CCB">
        <w:rPr>
          <w:rFonts w:ascii="Arial" w:hAnsi="Arial" w:cs="Arial"/>
          <w:sz w:val="16"/>
          <w:szCs w:val="16"/>
        </w:rPr>
        <w:t xml:space="preserve">  If the procedural rules of the Australian commencement court or tribunal would allow a longer period than 30 working days for filing an appearance or response document in the case of service within Australia, substitute that longer period.  </w:t>
      </w:r>
    </w:p>
    <w:p w:rsidR="005B1DA7" w:rsidRPr="004B3CCB" w:rsidRDefault="005B1DA7" w:rsidP="005B1DA7">
      <w:pPr>
        <w:pStyle w:val="ActHead2"/>
        <w:pageBreakBefore/>
        <w:rPr>
          <w:szCs w:val="26"/>
        </w:rPr>
      </w:pPr>
      <w:bookmarkStart w:id="28" w:name="_Toc164357207"/>
      <w:r w:rsidRPr="00C73F82">
        <w:rPr>
          <w:rStyle w:val="CharPartNo"/>
        </w:rPr>
        <w:t>Form 2</w:t>
      </w:r>
      <w:r w:rsidRPr="004B3CCB">
        <w:rPr>
          <w:szCs w:val="26"/>
        </w:rPr>
        <w:t>—</w:t>
      </w:r>
      <w:r w:rsidRPr="00C73F82">
        <w:rPr>
          <w:rStyle w:val="CharPartText"/>
        </w:rPr>
        <w:t>Request for a hearing of defendant’s application for stay of an Australian civil proceeding</w:t>
      </w:r>
      <w:bookmarkEnd w:id="28"/>
    </w:p>
    <w:p w:rsidR="005B1DA7" w:rsidRPr="004B3CCB" w:rsidRDefault="005B1DA7" w:rsidP="005B1DA7">
      <w:pPr>
        <w:pStyle w:val="notemargin"/>
        <w:tabs>
          <w:tab w:val="clear" w:pos="709"/>
        </w:tabs>
        <w:ind w:left="1120" w:firstLine="14"/>
      </w:pPr>
      <w:r w:rsidRPr="004B3CCB">
        <w:t>(section</w:t>
      </w:r>
      <w:r w:rsidR="007A397E" w:rsidRPr="004B3CCB">
        <w:t> </w:t>
      </w:r>
      <w:r w:rsidRPr="004B3CCB">
        <w:t>6)</w:t>
      </w:r>
    </w:p>
    <w:p w:rsidR="005B1DA7" w:rsidRPr="004B3CCB" w:rsidRDefault="005B1DA7" w:rsidP="005B1DA7">
      <w:pPr>
        <w:keepNext/>
        <w:spacing w:before="480"/>
        <w:rPr>
          <w:rFonts w:cs="Arial"/>
        </w:rPr>
      </w:pPr>
      <w:r w:rsidRPr="004B3CCB">
        <w:rPr>
          <w:rFonts w:cs="Arial"/>
          <w:b/>
        </w:rPr>
        <w:t>To</w:t>
      </w:r>
      <w:r w:rsidRPr="004B3CCB">
        <w:rPr>
          <w:rFonts w:cs="Arial"/>
        </w:rPr>
        <w:t xml:space="preserve"> the Registrar of the [</w:t>
      </w:r>
      <w:r w:rsidRPr="004B3CCB">
        <w:rPr>
          <w:rFonts w:cs="Arial"/>
          <w:i/>
        </w:rPr>
        <w:t>Australian commencement court or tribunal</w:t>
      </w:r>
      <w:r w:rsidRPr="004B3CCB">
        <w:rPr>
          <w:rFonts w:cs="Arial"/>
        </w:rPr>
        <w:t>] at [</w:t>
      </w:r>
      <w:r w:rsidRPr="004B3CCB">
        <w:rPr>
          <w:rFonts w:cs="Arial"/>
          <w:i/>
        </w:rPr>
        <w:t>place</w:t>
      </w:r>
      <w:r w:rsidRPr="004B3CCB">
        <w:rPr>
          <w:rFonts w:cs="Arial"/>
        </w:rPr>
        <w:t>]</w:t>
      </w:r>
    </w:p>
    <w:p w:rsidR="005B1DA7" w:rsidRPr="004B3CCB" w:rsidRDefault="005B1DA7" w:rsidP="005B1DA7">
      <w:pPr>
        <w:jc w:val="both"/>
        <w:rPr>
          <w:rFonts w:cs="Arial"/>
        </w:rPr>
      </w:pPr>
    </w:p>
    <w:p w:rsidR="005B1DA7" w:rsidRPr="004B3CCB" w:rsidRDefault="005B1DA7" w:rsidP="005B1DA7">
      <w:pPr>
        <w:jc w:val="both"/>
        <w:rPr>
          <w:rFonts w:cs="Arial"/>
        </w:rPr>
      </w:pPr>
      <w:r w:rsidRPr="004B3CCB">
        <w:rPr>
          <w:rFonts w:cs="Arial"/>
        </w:rPr>
        <w:t>and</w:t>
      </w:r>
    </w:p>
    <w:p w:rsidR="005B1DA7" w:rsidRPr="004B3CCB" w:rsidRDefault="005B1DA7" w:rsidP="005B1DA7">
      <w:pPr>
        <w:jc w:val="both"/>
        <w:rPr>
          <w:rFonts w:cs="Arial"/>
        </w:rPr>
      </w:pPr>
    </w:p>
    <w:p w:rsidR="005B1DA7" w:rsidRPr="004B3CCB" w:rsidRDefault="005B1DA7" w:rsidP="005B1DA7">
      <w:pPr>
        <w:jc w:val="both"/>
        <w:rPr>
          <w:rFonts w:cs="Arial"/>
        </w:rPr>
      </w:pPr>
      <w:r w:rsidRPr="004B3CCB">
        <w:rPr>
          <w:rFonts w:cs="Arial"/>
          <w:b/>
        </w:rPr>
        <w:t>To</w:t>
      </w:r>
      <w:r w:rsidRPr="004B3CCB">
        <w:rPr>
          <w:rFonts w:cs="Arial"/>
        </w:rPr>
        <w:t xml:space="preserve"> [</w:t>
      </w:r>
      <w:r w:rsidRPr="004B3CCB">
        <w:rPr>
          <w:rFonts w:cs="Arial"/>
          <w:i/>
        </w:rPr>
        <w:t>name of other party to the proceeding</w:t>
      </w:r>
      <w:r w:rsidRPr="004B3CCB">
        <w:rPr>
          <w:rFonts w:cs="Arial"/>
        </w:rPr>
        <w:t>]</w:t>
      </w:r>
    </w:p>
    <w:p w:rsidR="005B1DA7" w:rsidRPr="004B3CCB" w:rsidRDefault="005B1DA7" w:rsidP="005B1DA7">
      <w:pPr>
        <w:jc w:val="both"/>
        <w:rPr>
          <w:rFonts w:cs="Arial"/>
        </w:rPr>
      </w:pPr>
    </w:p>
    <w:p w:rsidR="005B1DA7" w:rsidRPr="004B3CCB" w:rsidRDefault="005B1DA7" w:rsidP="005B1DA7">
      <w:pPr>
        <w:spacing w:before="120" w:after="360"/>
        <w:jc w:val="both"/>
        <w:rPr>
          <w:rFonts w:cs="Arial"/>
        </w:rPr>
      </w:pPr>
      <w:r w:rsidRPr="004B3CCB">
        <w:rPr>
          <w:rFonts w:cs="Arial"/>
          <w:b/>
        </w:rPr>
        <w:t>This document notifies you that</w:t>
      </w:r>
      <w:r w:rsidRPr="004B3CCB">
        <w:rPr>
          <w:rFonts w:cs="Arial"/>
        </w:rPr>
        <w:t>—</w:t>
      </w:r>
    </w:p>
    <w:p w:rsidR="005B1DA7" w:rsidRPr="004B3CCB" w:rsidRDefault="005B1DA7" w:rsidP="005B1DA7">
      <w:pPr>
        <w:jc w:val="both"/>
        <w:rPr>
          <w:rFonts w:cs="Arial"/>
        </w:rPr>
      </w:pPr>
    </w:p>
    <w:p w:rsidR="005B1DA7" w:rsidRPr="004B3CCB" w:rsidRDefault="005B1DA7" w:rsidP="005B1DA7">
      <w:pPr>
        <w:spacing w:before="240"/>
        <w:rPr>
          <w:rFonts w:cs="Arial"/>
        </w:rPr>
      </w:pPr>
      <w:r w:rsidRPr="004B3CCB">
        <w:rPr>
          <w:rFonts w:cs="Arial"/>
        </w:rPr>
        <w:t>The [</w:t>
      </w:r>
      <w:r w:rsidRPr="004B3CCB">
        <w:rPr>
          <w:rFonts w:cs="Arial"/>
          <w:i/>
        </w:rPr>
        <w:t>plaintiff / defendant</w:t>
      </w:r>
      <w:r w:rsidR="00C73F82" w:rsidRPr="00C73F82">
        <w:rPr>
          <w:rFonts w:cs="Arial"/>
          <w:position w:val="6"/>
          <w:sz w:val="16"/>
        </w:rPr>
        <w:t>*</w:t>
      </w:r>
      <w:r w:rsidRPr="004B3CCB">
        <w:rPr>
          <w:rFonts w:cs="Arial"/>
        </w:rPr>
        <w:t>], [</w:t>
      </w:r>
      <w:r w:rsidRPr="004B3CCB">
        <w:rPr>
          <w:rFonts w:cs="Arial"/>
          <w:i/>
        </w:rPr>
        <w:t>name</w:t>
      </w:r>
      <w:r w:rsidRPr="004B3CCB">
        <w:rPr>
          <w:rFonts w:cs="Arial"/>
        </w:rPr>
        <w:t>], requests that the [</w:t>
      </w:r>
      <w:r w:rsidRPr="004B3CCB">
        <w:rPr>
          <w:rFonts w:cs="Arial"/>
          <w:i/>
        </w:rPr>
        <w:t>Australian commencement court or tribunal</w:t>
      </w:r>
      <w:r w:rsidRPr="004B3CCB">
        <w:rPr>
          <w:rFonts w:cs="Arial"/>
        </w:rPr>
        <w:t xml:space="preserve">] determine with a hearing the defendant’s application under </w:t>
      </w:r>
      <w:r w:rsidR="00C73F82">
        <w:rPr>
          <w:rFonts w:cs="Arial"/>
        </w:rPr>
        <w:t>section 1</w:t>
      </w:r>
      <w:r w:rsidRPr="004B3CCB">
        <w:rPr>
          <w:rFonts w:cs="Arial"/>
        </w:rPr>
        <w:t xml:space="preserve">7 of the </w:t>
      </w:r>
      <w:r w:rsidRPr="004B3CCB">
        <w:rPr>
          <w:rFonts w:cs="Arial"/>
          <w:i/>
        </w:rPr>
        <w:t>Trans</w:t>
      </w:r>
      <w:r w:rsidR="00C73F82">
        <w:rPr>
          <w:rFonts w:cs="Arial"/>
          <w:i/>
        </w:rPr>
        <w:noBreakHyphen/>
      </w:r>
      <w:r w:rsidRPr="004B3CCB">
        <w:rPr>
          <w:rFonts w:cs="Arial"/>
          <w:i/>
        </w:rPr>
        <w:t>Tasman Proceedings Act 2010</w:t>
      </w:r>
      <w:r w:rsidRPr="004B3CCB">
        <w:rPr>
          <w:rFonts w:cs="Arial"/>
        </w:rPr>
        <w:t xml:space="preserve"> (Cth) for an order staying the proceeding.</w:t>
      </w:r>
    </w:p>
    <w:p w:rsidR="005B1DA7" w:rsidRPr="004B3CCB" w:rsidRDefault="005B1DA7" w:rsidP="005B1DA7">
      <w:pPr>
        <w:spacing w:before="1320"/>
        <w:jc w:val="both"/>
        <w:rPr>
          <w:rFonts w:cs="Arial"/>
        </w:rPr>
      </w:pPr>
      <w:r w:rsidRPr="004B3CCB">
        <w:rPr>
          <w:rFonts w:cs="Arial"/>
        </w:rPr>
        <w:t>Date:</w:t>
      </w:r>
    </w:p>
    <w:p w:rsidR="005B1DA7" w:rsidRPr="004B3CCB" w:rsidRDefault="005B1DA7" w:rsidP="005B1DA7">
      <w:pPr>
        <w:spacing w:before="120"/>
        <w:jc w:val="both"/>
        <w:rPr>
          <w:rFonts w:cs="Arial"/>
        </w:rPr>
      </w:pPr>
      <w:r w:rsidRPr="004B3CCB">
        <w:rPr>
          <w:rFonts w:cs="Arial"/>
        </w:rPr>
        <w:t>Signature:</w:t>
      </w:r>
    </w:p>
    <w:p w:rsidR="005B1DA7" w:rsidRPr="004B3CCB" w:rsidRDefault="005B1DA7" w:rsidP="005B1DA7">
      <w:pPr>
        <w:spacing w:before="120"/>
        <w:rPr>
          <w:rFonts w:cs="Arial"/>
        </w:rPr>
      </w:pPr>
      <w:r w:rsidRPr="004B3CCB">
        <w:rPr>
          <w:rFonts w:cs="Arial"/>
        </w:rPr>
        <w:t>[</w:t>
      </w:r>
      <w:r w:rsidRPr="004B3CCB">
        <w:rPr>
          <w:rFonts w:cs="Arial"/>
          <w:i/>
        </w:rPr>
        <w:t xml:space="preserve">Plaintiff/Defendant/Solicitor for Plaintiff/Solicitor for Defendant/ </w:t>
      </w:r>
      <w:r w:rsidRPr="004B3CCB">
        <w:rPr>
          <w:rFonts w:cs="Arial"/>
          <w:i/>
        </w:rPr>
        <w:br/>
        <w:t>Counsel for Plaintiff/Counsel for Defendant</w:t>
      </w:r>
      <w:r w:rsidR="00C73F82" w:rsidRPr="00C73F82">
        <w:rPr>
          <w:rFonts w:cs="Arial"/>
          <w:position w:val="6"/>
          <w:sz w:val="16"/>
        </w:rPr>
        <w:t>*</w:t>
      </w:r>
      <w:r w:rsidRPr="004B3CCB">
        <w:rPr>
          <w:rFonts w:cs="Arial"/>
        </w:rPr>
        <w:t>]</w:t>
      </w:r>
    </w:p>
    <w:p w:rsidR="005B1DA7" w:rsidRPr="004B3CCB" w:rsidRDefault="00C73F82" w:rsidP="005B1DA7">
      <w:pPr>
        <w:spacing w:before="120"/>
        <w:jc w:val="both"/>
        <w:rPr>
          <w:rFonts w:cs="Arial"/>
          <w:i/>
        </w:rPr>
      </w:pPr>
      <w:r w:rsidRPr="00C73F82">
        <w:rPr>
          <w:rFonts w:cs="Arial"/>
          <w:position w:val="6"/>
          <w:sz w:val="16"/>
          <w:szCs w:val="16"/>
        </w:rPr>
        <w:t>*</w:t>
      </w:r>
      <w:r w:rsidR="005B1DA7" w:rsidRPr="004B3CCB">
        <w:rPr>
          <w:rFonts w:cs="Arial"/>
          <w:sz w:val="16"/>
          <w:szCs w:val="16"/>
        </w:rPr>
        <w:t>Select one</w:t>
      </w:r>
    </w:p>
    <w:p w:rsidR="005B1DA7" w:rsidRPr="004B3CCB" w:rsidRDefault="005B1DA7" w:rsidP="005B1DA7">
      <w:pPr>
        <w:pStyle w:val="ActHead2"/>
        <w:pageBreakBefore/>
        <w:rPr>
          <w:szCs w:val="26"/>
        </w:rPr>
      </w:pPr>
      <w:bookmarkStart w:id="29" w:name="_Toc164357208"/>
      <w:r w:rsidRPr="00C73F82">
        <w:rPr>
          <w:rStyle w:val="CharPartNo"/>
        </w:rPr>
        <w:t>Form 3</w:t>
      </w:r>
      <w:r w:rsidRPr="004B3CCB">
        <w:rPr>
          <w:szCs w:val="26"/>
        </w:rPr>
        <w:t>—</w:t>
      </w:r>
      <w:r w:rsidRPr="00C73F82">
        <w:rPr>
          <w:rStyle w:val="CharPartText"/>
        </w:rPr>
        <w:t>Request to appear remotely in the hearing of an application for stay of Australian civil proceeding</w:t>
      </w:r>
      <w:bookmarkEnd w:id="29"/>
    </w:p>
    <w:p w:rsidR="005B1DA7" w:rsidRPr="004B3CCB" w:rsidRDefault="005B1DA7" w:rsidP="005B1DA7">
      <w:pPr>
        <w:pStyle w:val="notemargin"/>
        <w:ind w:firstLine="439"/>
      </w:pPr>
      <w:r w:rsidRPr="004B3CCB">
        <w:t>(section</w:t>
      </w:r>
      <w:r w:rsidR="007A397E" w:rsidRPr="004B3CCB">
        <w:t> </w:t>
      </w:r>
      <w:r w:rsidRPr="004B3CCB">
        <w:t>7)</w:t>
      </w:r>
    </w:p>
    <w:p w:rsidR="005B1DA7" w:rsidRPr="004B3CCB" w:rsidRDefault="005B1DA7" w:rsidP="005B1DA7">
      <w:pPr>
        <w:keepNext/>
        <w:spacing w:before="240"/>
        <w:jc w:val="both"/>
        <w:rPr>
          <w:rFonts w:cs="Arial"/>
        </w:rPr>
      </w:pPr>
      <w:r w:rsidRPr="004B3CCB">
        <w:rPr>
          <w:rFonts w:cs="Arial"/>
        </w:rPr>
        <w:t>[</w:t>
      </w:r>
      <w:r w:rsidRPr="004B3CCB">
        <w:rPr>
          <w:rFonts w:cs="Arial"/>
          <w:i/>
        </w:rPr>
        <w:t>Heading</w:t>
      </w:r>
      <w:r w:rsidRPr="004B3CCB">
        <w:rPr>
          <w:rFonts w:cs="Arial"/>
        </w:rPr>
        <w:t>]</w:t>
      </w:r>
    </w:p>
    <w:p w:rsidR="005B1DA7" w:rsidRPr="004B3CCB" w:rsidRDefault="005B1DA7" w:rsidP="005B1DA7">
      <w:pPr>
        <w:keepNext/>
        <w:jc w:val="both"/>
        <w:rPr>
          <w:rFonts w:cs="Arial"/>
        </w:rPr>
      </w:pPr>
    </w:p>
    <w:p w:rsidR="005B1DA7" w:rsidRPr="004B3CCB" w:rsidRDefault="005B1DA7" w:rsidP="005B1DA7">
      <w:pPr>
        <w:jc w:val="both"/>
        <w:rPr>
          <w:rFonts w:cs="Arial"/>
        </w:rPr>
      </w:pPr>
      <w:r w:rsidRPr="004B3CCB">
        <w:rPr>
          <w:rFonts w:cs="Arial"/>
          <w:b/>
        </w:rPr>
        <w:t>To</w:t>
      </w:r>
      <w:r w:rsidRPr="004B3CCB">
        <w:rPr>
          <w:rFonts w:cs="Arial"/>
        </w:rPr>
        <w:t xml:space="preserve"> the Registrar of the [</w:t>
      </w:r>
      <w:r w:rsidRPr="004B3CCB">
        <w:rPr>
          <w:rFonts w:cs="Arial"/>
          <w:i/>
        </w:rPr>
        <w:t>Australian commencement court or tribunal</w:t>
      </w:r>
      <w:r w:rsidRPr="004B3CCB">
        <w:rPr>
          <w:rFonts w:cs="Arial"/>
        </w:rPr>
        <w:t>]</w:t>
      </w:r>
    </w:p>
    <w:p w:rsidR="005B1DA7" w:rsidRPr="004B3CCB" w:rsidRDefault="005B1DA7" w:rsidP="005B1DA7">
      <w:pPr>
        <w:spacing w:before="120"/>
        <w:ind w:left="426" w:hanging="426"/>
        <w:rPr>
          <w:rFonts w:cs="Arial"/>
        </w:rPr>
      </w:pPr>
      <w:r w:rsidRPr="004B3CCB">
        <w:rPr>
          <w:rFonts w:cs="Arial"/>
        </w:rPr>
        <w:t>1.</w:t>
      </w:r>
      <w:r w:rsidRPr="004B3CCB">
        <w:rPr>
          <w:rFonts w:cs="Arial"/>
        </w:rPr>
        <w:tab/>
        <w:t>The [</w:t>
      </w:r>
      <w:r w:rsidRPr="004B3CCB">
        <w:rPr>
          <w:rFonts w:cs="Arial"/>
          <w:i/>
        </w:rPr>
        <w:t>defendant/defendant’s counsel/defendant and defendant’s counsel</w:t>
      </w:r>
      <w:r w:rsidR="00C73F82" w:rsidRPr="00C73F82">
        <w:rPr>
          <w:rFonts w:cs="Arial"/>
          <w:i/>
          <w:position w:val="6"/>
          <w:sz w:val="16"/>
        </w:rPr>
        <w:t>*</w:t>
      </w:r>
      <w:r w:rsidRPr="004B3CCB">
        <w:rPr>
          <w:rFonts w:cs="Arial"/>
        </w:rPr>
        <w:t xml:space="preserve">] requests under </w:t>
      </w:r>
      <w:r w:rsidR="00C73F82">
        <w:rPr>
          <w:rFonts w:cs="Arial"/>
        </w:rPr>
        <w:t>section 1</w:t>
      </w:r>
      <w:r w:rsidRPr="004B3CCB">
        <w:rPr>
          <w:rFonts w:cs="Arial"/>
        </w:rPr>
        <w:t xml:space="preserve">8 of the </w:t>
      </w:r>
      <w:r w:rsidRPr="004B3CCB">
        <w:rPr>
          <w:rFonts w:cs="Arial"/>
          <w:i/>
        </w:rPr>
        <w:t>Trans</w:t>
      </w:r>
      <w:r w:rsidR="00C73F82">
        <w:rPr>
          <w:rFonts w:cs="Arial"/>
          <w:i/>
        </w:rPr>
        <w:noBreakHyphen/>
      </w:r>
      <w:r w:rsidRPr="004B3CCB">
        <w:rPr>
          <w:rFonts w:cs="Arial"/>
          <w:i/>
        </w:rPr>
        <w:t>Tasman Proceedings Act 2010</w:t>
      </w:r>
      <w:r w:rsidRPr="004B3CCB">
        <w:rPr>
          <w:rFonts w:cs="Arial"/>
        </w:rPr>
        <w:t xml:space="preserve"> (Cth) (‘the Act’) to appear remotely in the hearing of the defendant’s application for a stay of the proceeding.</w:t>
      </w:r>
    </w:p>
    <w:p w:rsidR="005B1DA7" w:rsidRPr="004B3CCB" w:rsidRDefault="005B1DA7" w:rsidP="005B1DA7">
      <w:pPr>
        <w:spacing w:before="120"/>
        <w:ind w:left="426" w:hanging="426"/>
        <w:rPr>
          <w:rFonts w:cs="Arial"/>
        </w:rPr>
      </w:pPr>
      <w:r w:rsidRPr="004B3CCB">
        <w:rPr>
          <w:rFonts w:cs="Arial"/>
        </w:rPr>
        <w:t>2.</w:t>
      </w:r>
      <w:r w:rsidRPr="004B3CCB">
        <w:rPr>
          <w:rFonts w:cs="Arial"/>
        </w:rPr>
        <w:tab/>
        <w:t>The defendant was [</w:t>
      </w:r>
      <w:r w:rsidRPr="004B3CCB">
        <w:rPr>
          <w:rFonts w:cs="Arial"/>
          <w:i/>
        </w:rPr>
        <w:t>served/purportedly served</w:t>
      </w:r>
      <w:r w:rsidR="00C73F82" w:rsidRPr="00C73F82">
        <w:rPr>
          <w:rFonts w:cs="Arial"/>
          <w:i/>
          <w:position w:val="6"/>
          <w:sz w:val="16"/>
        </w:rPr>
        <w:t>*</w:t>
      </w:r>
      <w:r w:rsidRPr="004B3CCB">
        <w:rPr>
          <w:rFonts w:cs="Arial"/>
        </w:rPr>
        <w:t>] in NZ under section</w:t>
      </w:r>
      <w:r w:rsidR="007A397E" w:rsidRPr="004B3CCB">
        <w:rPr>
          <w:rFonts w:cs="Arial"/>
        </w:rPr>
        <w:t> </w:t>
      </w:r>
      <w:r w:rsidRPr="004B3CCB">
        <w:rPr>
          <w:rFonts w:cs="Arial"/>
        </w:rPr>
        <w:t>9 of the Act with the initiating document for the proceeding.</w:t>
      </w:r>
    </w:p>
    <w:p w:rsidR="005B1DA7" w:rsidRPr="004B3CCB" w:rsidRDefault="005B1DA7" w:rsidP="005B1DA7">
      <w:pPr>
        <w:spacing w:before="120"/>
        <w:ind w:left="426" w:hanging="426"/>
        <w:rPr>
          <w:rFonts w:cs="Arial"/>
        </w:rPr>
      </w:pPr>
      <w:r w:rsidRPr="004B3CCB">
        <w:rPr>
          <w:rFonts w:cs="Arial"/>
        </w:rPr>
        <w:t>3.</w:t>
      </w:r>
      <w:r w:rsidRPr="004B3CCB">
        <w:rPr>
          <w:rFonts w:cs="Arial"/>
        </w:rPr>
        <w:tab/>
        <w:t>The [</w:t>
      </w:r>
      <w:r w:rsidRPr="004B3CCB">
        <w:rPr>
          <w:rFonts w:cs="Arial"/>
          <w:i/>
        </w:rPr>
        <w:t>Australian commencement court or tribunal</w:t>
      </w:r>
      <w:r w:rsidRPr="004B3CCB">
        <w:rPr>
          <w:rFonts w:cs="Arial"/>
        </w:rPr>
        <w:t xml:space="preserve">] is determining with a hearing the defendant’s application under </w:t>
      </w:r>
      <w:r w:rsidR="00C73F82">
        <w:rPr>
          <w:rFonts w:cs="Arial"/>
        </w:rPr>
        <w:t>section 1</w:t>
      </w:r>
      <w:r w:rsidRPr="004B3CCB">
        <w:rPr>
          <w:rFonts w:cs="Arial"/>
        </w:rPr>
        <w:t>7 of the Act for an order staying the proceeding.</w:t>
      </w:r>
    </w:p>
    <w:p w:rsidR="005B1DA7" w:rsidRPr="004B3CCB" w:rsidRDefault="005B1DA7" w:rsidP="005B1DA7">
      <w:pPr>
        <w:spacing w:before="120"/>
        <w:ind w:left="426" w:hanging="426"/>
        <w:rPr>
          <w:rFonts w:cs="Arial"/>
        </w:rPr>
      </w:pPr>
      <w:r w:rsidRPr="004B3CCB">
        <w:rPr>
          <w:rFonts w:cs="Arial"/>
        </w:rPr>
        <w:t>4.</w:t>
      </w:r>
      <w:r w:rsidRPr="004B3CCB">
        <w:rPr>
          <w:rFonts w:cs="Arial"/>
        </w:rPr>
        <w:tab/>
        <w:t>A remote appearance medium is, or can reasonably be made, available for the hearing.</w:t>
      </w:r>
    </w:p>
    <w:p w:rsidR="005B1DA7" w:rsidRPr="004B3CCB" w:rsidRDefault="005B1DA7" w:rsidP="005B1DA7">
      <w:pPr>
        <w:spacing w:before="120"/>
        <w:ind w:left="426" w:hanging="426"/>
        <w:rPr>
          <w:rFonts w:cs="Arial"/>
        </w:rPr>
      </w:pPr>
      <w:r w:rsidRPr="004B3CCB">
        <w:rPr>
          <w:rFonts w:cs="Arial"/>
        </w:rPr>
        <w:t>5.</w:t>
      </w:r>
      <w:r w:rsidRPr="004B3CCB">
        <w:rPr>
          <w:rFonts w:cs="Arial"/>
        </w:rPr>
        <w:tab/>
        <w:t>The remote appearance can be made from [</w:t>
      </w:r>
      <w:r w:rsidRPr="004B3CCB">
        <w:rPr>
          <w:rFonts w:cs="Arial"/>
          <w:i/>
        </w:rPr>
        <w:t>place in NZ</w:t>
      </w:r>
      <w:r w:rsidRPr="004B3CCB">
        <w:rPr>
          <w:rFonts w:cs="Arial"/>
        </w:rPr>
        <w:t>].</w:t>
      </w:r>
    </w:p>
    <w:p w:rsidR="005B1DA7" w:rsidRPr="004B3CCB" w:rsidRDefault="005B1DA7" w:rsidP="005B1DA7">
      <w:pPr>
        <w:spacing w:before="120"/>
        <w:ind w:left="426" w:hanging="426"/>
        <w:rPr>
          <w:rFonts w:cs="Arial"/>
        </w:rPr>
      </w:pPr>
      <w:r w:rsidRPr="004B3CCB">
        <w:rPr>
          <w:rFonts w:cs="Arial"/>
        </w:rPr>
        <w:t>6.</w:t>
      </w:r>
      <w:r w:rsidRPr="004B3CCB">
        <w:rPr>
          <w:rFonts w:cs="Arial"/>
        </w:rPr>
        <w:tab/>
        <w:t>The [</w:t>
      </w:r>
      <w:r w:rsidRPr="004B3CCB">
        <w:rPr>
          <w:rFonts w:cs="Arial"/>
          <w:i/>
        </w:rPr>
        <w:t>audio link/audiovisual link</w:t>
      </w:r>
      <w:r w:rsidR="00C73F82" w:rsidRPr="00C73F82">
        <w:rPr>
          <w:rFonts w:cs="Arial"/>
          <w:position w:val="6"/>
          <w:sz w:val="16"/>
        </w:rPr>
        <w:t>*</w:t>
      </w:r>
      <w:r w:rsidRPr="004B3CCB">
        <w:rPr>
          <w:rFonts w:cs="Arial"/>
        </w:rPr>
        <w:t>] facilities are available at [</w:t>
      </w:r>
      <w:r w:rsidRPr="004B3CCB">
        <w:rPr>
          <w:rFonts w:cs="Arial"/>
          <w:i/>
        </w:rPr>
        <w:t>courtroom or other place in NZ where remote appearance is to be made</w:t>
      </w:r>
      <w:r w:rsidRPr="004B3CCB">
        <w:rPr>
          <w:rFonts w:cs="Arial"/>
        </w:rPr>
        <w:t>].</w:t>
      </w:r>
    </w:p>
    <w:p w:rsidR="005B1DA7" w:rsidRPr="004B3CCB" w:rsidRDefault="005B1DA7" w:rsidP="005B1DA7">
      <w:pPr>
        <w:spacing w:before="120"/>
        <w:ind w:left="426" w:hanging="426"/>
        <w:rPr>
          <w:rFonts w:cs="Arial"/>
        </w:rPr>
      </w:pPr>
      <w:r w:rsidRPr="004B3CCB">
        <w:rPr>
          <w:rFonts w:cs="Arial"/>
        </w:rPr>
        <w:t>7.</w:t>
      </w:r>
      <w:r w:rsidRPr="004B3CCB">
        <w:rPr>
          <w:rFonts w:cs="Arial"/>
        </w:rPr>
        <w:tab/>
        <w:t>I estimate that the remote appearance will take [</w:t>
      </w:r>
      <w:r w:rsidRPr="004B3CCB">
        <w:rPr>
          <w:rFonts w:cs="Arial"/>
          <w:i/>
        </w:rPr>
        <w:t>amount of time for remote appearance</w:t>
      </w:r>
      <w:r w:rsidRPr="004B3CCB">
        <w:rPr>
          <w:rFonts w:cs="Arial"/>
        </w:rPr>
        <w:t>].</w:t>
      </w:r>
    </w:p>
    <w:p w:rsidR="005B1DA7" w:rsidRPr="004B3CCB" w:rsidRDefault="005B1DA7" w:rsidP="005B1DA7">
      <w:pPr>
        <w:jc w:val="both"/>
        <w:rPr>
          <w:rFonts w:cs="Arial"/>
        </w:rPr>
      </w:pPr>
    </w:p>
    <w:p w:rsidR="005B1DA7" w:rsidRPr="004B3CCB" w:rsidRDefault="005B1DA7" w:rsidP="005B1DA7">
      <w:pPr>
        <w:ind w:left="720" w:hanging="720"/>
        <w:jc w:val="both"/>
        <w:rPr>
          <w:rFonts w:cs="Arial"/>
        </w:rPr>
      </w:pPr>
      <w:r w:rsidRPr="004B3CCB">
        <w:rPr>
          <w:rFonts w:cs="Arial"/>
        </w:rPr>
        <w:t>Date:</w:t>
      </w:r>
    </w:p>
    <w:p w:rsidR="005B1DA7" w:rsidRPr="004B3CCB" w:rsidRDefault="005B1DA7" w:rsidP="005B1DA7">
      <w:pPr>
        <w:spacing w:before="120"/>
        <w:ind w:left="720" w:hanging="720"/>
        <w:jc w:val="both"/>
        <w:rPr>
          <w:rFonts w:cs="Arial"/>
        </w:rPr>
      </w:pPr>
      <w:r w:rsidRPr="004B3CCB">
        <w:rPr>
          <w:rFonts w:cs="Arial"/>
        </w:rPr>
        <w:t>Signature:</w:t>
      </w:r>
    </w:p>
    <w:p w:rsidR="005B1DA7" w:rsidRPr="004B3CCB" w:rsidRDefault="005B1DA7" w:rsidP="005B1DA7">
      <w:pPr>
        <w:spacing w:before="120"/>
        <w:ind w:left="720" w:hanging="720"/>
        <w:jc w:val="both"/>
        <w:rPr>
          <w:rFonts w:cs="Arial"/>
        </w:rPr>
      </w:pPr>
      <w:r w:rsidRPr="004B3CCB">
        <w:rPr>
          <w:rFonts w:cs="Arial"/>
        </w:rPr>
        <w:t>(Defendant/Defendant’s counsel</w:t>
      </w:r>
      <w:r w:rsidR="00C73F82" w:rsidRPr="00C73F82">
        <w:rPr>
          <w:rFonts w:cs="Arial"/>
          <w:position w:val="6"/>
          <w:sz w:val="16"/>
        </w:rPr>
        <w:t>*</w:t>
      </w:r>
      <w:r w:rsidRPr="004B3CCB">
        <w:rPr>
          <w:rFonts w:cs="Arial"/>
        </w:rPr>
        <w:t>)</w:t>
      </w:r>
    </w:p>
    <w:p w:rsidR="005B1DA7" w:rsidRPr="004B3CCB" w:rsidRDefault="00C73F82" w:rsidP="005B1DA7">
      <w:pPr>
        <w:spacing w:before="60"/>
        <w:ind w:left="720" w:hanging="720"/>
        <w:jc w:val="both"/>
        <w:rPr>
          <w:rFonts w:cs="Arial"/>
        </w:rPr>
      </w:pPr>
      <w:r w:rsidRPr="00C73F82">
        <w:rPr>
          <w:rFonts w:cs="Arial"/>
          <w:position w:val="6"/>
          <w:sz w:val="16"/>
          <w:szCs w:val="16"/>
        </w:rPr>
        <w:t>*</w:t>
      </w:r>
      <w:r w:rsidR="005B1DA7" w:rsidRPr="004B3CCB">
        <w:rPr>
          <w:rFonts w:cs="Arial"/>
          <w:sz w:val="16"/>
          <w:szCs w:val="16"/>
        </w:rPr>
        <w:t>Select one</w:t>
      </w:r>
    </w:p>
    <w:p w:rsidR="005B1DA7" w:rsidRPr="004B3CCB" w:rsidRDefault="005B1DA7" w:rsidP="005B1DA7">
      <w:pPr>
        <w:pStyle w:val="ActHead2"/>
        <w:pageBreakBefore/>
        <w:rPr>
          <w:szCs w:val="26"/>
        </w:rPr>
      </w:pPr>
      <w:bookmarkStart w:id="30" w:name="_Toc164357209"/>
      <w:r w:rsidRPr="00C73F82">
        <w:rPr>
          <w:rStyle w:val="CharPartNo"/>
        </w:rPr>
        <w:t>Form 4</w:t>
      </w:r>
      <w:r w:rsidRPr="004B3CCB">
        <w:rPr>
          <w:szCs w:val="26"/>
        </w:rPr>
        <w:t>—</w:t>
      </w:r>
      <w:r w:rsidRPr="00C73F82">
        <w:rPr>
          <w:rStyle w:val="CharPartText"/>
        </w:rPr>
        <w:t>Notice to accompany subpoena</w:t>
      </w:r>
      <w:bookmarkEnd w:id="30"/>
    </w:p>
    <w:p w:rsidR="005B1DA7" w:rsidRPr="004B3CCB" w:rsidRDefault="005B1DA7" w:rsidP="005B1DA7">
      <w:pPr>
        <w:pStyle w:val="notemargin"/>
        <w:ind w:firstLine="649"/>
      </w:pPr>
      <w:r w:rsidRPr="004B3CCB">
        <w:t>(</w:t>
      </w:r>
      <w:r w:rsidR="00C73F82">
        <w:t>section 1</w:t>
      </w:r>
      <w:r w:rsidRPr="004B3CCB">
        <w:t>0)</w:t>
      </w:r>
    </w:p>
    <w:p w:rsidR="005B1DA7" w:rsidRPr="004B3CCB" w:rsidRDefault="005B1DA7" w:rsidP="005B1DA7">
      <w:pPr>
        <w:pStyle w:val="SchedulePara"/>
        <w:spacing w:before="240"/>
        <w:jc w:val="both"/>
        <w:rPr>
          <w:b/>
          <w:bCs/>
        </w:rPr>
      </w:pPr>
      <w:r w:rsidRPr="004B3CCB">
        <w:rPr>
          <w:b/>
          <w:bCs/>
        </w:rPr>
        <w:t>NOTICE TO WITNESS</w:t>
      </w:r>
    </w:p>
    <w:p w:rsidR="005B1DA7" w:rsidRPr="004B3CCB" w:rsidRDefault="005B1DA7" w:rsidP="005B1DA7">
      <w:pPr>
        <w:spacing w:before="240"/>
        <w:jc w:val="both"/>
        <w:rPr>
          <w:rFonts w:cs="Arial"/>
          <w:b/>
        </w:rPr>
      </w:pPr>
      <w:r w:rsidRPr="004B3CCB">
        <w:rPr>
          <w:rFonts w:cs="Arial"/>
          <w:b/>
        </w:rPr>
        <w:t>THIS NOTICE IS VERY IMPORTANT</w:t>
      </w:r>
    </w:p>
    <w:p w:rsidR="005B1DA7" w:rsidRPr="004B3CCB" w:rsidRDefault="005B1DA7" w:rsidP="005B1DA7">
      <w:pPr>
        <w:spacing w:before="180"/>
        <w:jc w:val="both"/>
        <w:rPr>
          <w:rFonts w:cs="Arial"/>
        </w:rPr>
      </w:pPr>
      <w:r w:rsidRPr="004B3CCB">
        <w:rPr>
          <w:rFonts w:cs="Arial"/>
        </w:rPr>
        <w:t>Please read this notice and the attached document(s) very carefully.</w:t>
      </w:r>
    </w:p>
    <w:p w:rsidR="005B1DA7" w:rsidRPr="004B3CCB" w:rsidRDefault="005B1DA7" w:rsidP="005B1DA7">
      <w:pPr>
        <w:spacing w:before="180"/>
        <w:rPr>
          <w:rFonts w:cs="Arial"/>
        </w:rPr>
      </w:pPr>
      <w:r w:rsidRPr="004B3CCB">
        <w:rPr>
          <w:rFonts w:cs="Arial"/>
        </w:rPr>
        <w:t>If you have any trouble understanding them you should get legal advice as soon as possible.</w:t>
      </w:r>
    </w:p>
    <w:p w:rsidR="005B1DA7" w:rsidRPr="004B3CCB" w:rsidRDefault="005B1DA7" w:rsidP="005B1DA7">
      <w:pPr>
        <w:spacing w:before="180"/>
      </w:pPr>
      <w:r w:rsidRPr="004B3CCB">
        <w:rPr>
          <w:rFonts w:cs="Arial"/>
        </w:rPr>
        <w:t>Attached</w:t>
      </w:r>
      <w:r w:rsidRPr="004B3CCB">
        <w:t xml:space="preserve"> to this notice is a subpoena.  [</w:t>
      </w:r>
      <w:r w:rsidRPr="004B3CCB">
        <w:rPr>
          <w:i/>
        </w:rPr>
        <w:t>If the process served is not called a subpoena, substitute the name of the process for the word ‘subpoena’ throughout this notice.</w:t>
      </w:r>
      <w:r w:rsidRPr="004B3CCB">
        <w:t>]</w:t>
      </w:r>
    </w:p>
    <w:p w:rsidR="005B1DA7" w:rsidRPr="004B3CCB" w:rsidRDefault="005B1DA7" w:rsidP="005B1DA7">
      <w:pPr>
        <w:spacing w:before="180"/>
      </w:pPr>
      <w:r w:rsidRPr="004B3CCB">
        <w:t xml:space="preserve">The subpoena has been issued by </w:t>
      </w:r>
      <w:r w:rsidRPr="004B3CCB">
        <w:rPr>
          <w:iCs/>
        </w:rPr>
        <w:t>[</w:t>
      </w:r>
      <w:r w:rsidRPr="004B3CCB">
        <w:rPr>
          <w:i/>
          <w:iCs/>
        </w:rPr>
        <w:t>court or tribunal that issued the subpoena</w:t>
      </w:r>
      <w:r w:rsidRPr="004B3CCB">
        <w:rPr>
          <w:iCs/>
        </w:rPr>
        <w:t>]</w:t>
      </w:r>
      <w:r w:rsidRPr="004B3CCB">
        <w:t>.</w:t>
      </w:r>
    </w:p>
    <w:p w:rsidR="005B1DA7" w:rsidRPr="004B3CCB" w:rsidRDefault="005B1DA7" w:rsidP="005B1DA7">
      <w:pPr>
        <w:spacing w:before="180"/>
      </w:pPr>
      <w:r w:rsidRPr="004B3CCB">
        <w:t>The subpoena may be served in NZ under section</w:t>
      </w:r>
      <w:r w:rsidR="007A397E" w:rsidRPr="004B3CCB">
        <w:t> </w:t>
      </w:r>
      <w:r w:rsidRPr="004B3CCB">
        <w:t xml:space="preserve">30 of the </w:t>
      </w:r>
      <w:r w:rsidRPr="004B3CCB">
        <w:rPr>
          <w:i/>
        </w:rPr>
        <w:t>Trans</w:t>
      </w:r>
      <w:r w:rsidR="00C73F82">
        <w:rPr>
          <w:i/>
        </w:rPr>
        <w:noBreakHyphen/>
      </w:r>
      <w:r w:rsidRPr="004B3CCB">
        <w:rPr>
          <w:i/>
        </w:rPr>
        <w:t>Tasman Proceedings Act 2010</w:t>
      </w:r>
      <w:r w:rsidRPr="004B3CCB">
        <w:t xml:space="preserve"> (Cth).</w:t>
      </w:r>
    </w:p>
    <w:p w:rsidR="005B1DA7" w:rsidRPr="004B3CCB" w:rsidRDefault="005B1DA7" w:rsidP="005B1DA7">
      <w:pPr>
        <w:spacing w:before="180"/>
      </w:pPr>
      <w:r w:rsidRPr="004B3CCB">
        <w:t>This notice:</w:t>
      </w:r>
    </w:p>
    <w:p w:rsidR="005B1DA7" w:rsidRPr="004B3CCB" w:rsidRDefault="005B1DA7" w:rsidP="005B1DA7">
      <w:pPr>
        <w:numPr>
          <w:ilvl w:val="0"/>
          <w:numId w:val="16"/>
        </w:numPr>
        <w:shd w:val="clear" w:color="auto" w:fill="FFFFFF"/>
        <w:spacing w:before="60"/>
        <w:ind w:left="378"/>
      </w:pPr>
      <w:r w:rsidRPr="004B3CCB">
        <w:t>sets out your rights relating to the subpoena; and</w:t>
      </w:r>
    </w:p>
    <w:p w:rsidR="005B1DA7" w:rsidRPr="004B3CCB" w:rsidRDefault="005B1DA7" w:rsidP="005B1DA7">
      <w:pPr>
        <w:numPr>
          <w:ilvl w:val="0"/>
          <w:numId w:val="16"/>
        </w:numPr>
        <w:shd w:val="clear" w:color="auto" w:fill="FFFFFF"/>
        <w:spacing w:before="60"/>
        <w:ind w:left="378"/>
      </w:pPr>
      <w:r w:rsidRPr="004B3CCB">
        <w:t>sets out your obligations relating to the subpoena; and</w:t>
      </w:r>
    </w:p>
    <w:p w:rsidR="005B1DA7" w:rsidRPr="004B3CCB" w:rsidRDefault="005B1DA7" w:rsidP="005B1DA7">
      <w:pPr>
        <w:numPr>
          <w:ilvl w:val="0"/>
          <w:numId w:val="16"/>
        </w:numPr>
        <w:shd w:val="clear" w:color="auto" w:fill="FFFFFF"/>
        <w:spacing w:before="60"/>
        <w:ind w:left="378"/>
      </w:pPr>
      <w:r w:rsidRPr="004B3CCB">
        <w:t>includes information about how you may apply to have the subpoena set aside.</w:t>
      </w:r>
    </w:p>
    <w:p w:rsidR="005B1DA7" w:rsidRPr="004B3CCB" w:rsidRDefault="005B1DA7" w:rsidP="005B1DA7">
      <w:pPr>
        <w:spacing w:before="360"/>
        <w:jc w:val="both"/>
        <w:rPr>
          <w:rFonts w:cs="Arial"/>
          <w:b/>
        </w:rPr>
      </w:pPr>
      <w:r w:rsidRPr="004B3CCB">
        <w:rPr>
          <w:rFonts w:cs="Arial"/>
          <w:b/>
        </w:rPr>
        <w:t>YOUR RIGHTS</w:t>
      </w:r>
    </w:p>
    <w:p w:rsidR="005B1DA7" w:rsidRPr="004B3CCB" w:rsidRDefault="005B1DA7" w:rsidP="005B1DA7">
      <w:pPr>
        <w:pStyle w:val="SchedulePara"/>
        <w:ind w:left="420" w:hanging="420"/>
      </w:pPr>
      <w:r w:rsidRPr="004B3CCB">
        <w:t>1.</w:t>
      </w:r>
      <w:r w:rsidRPr="004B3CCB">
        <w:tab/>
        <w:t>You are entitled to receive payment of an amount equal to the reasonable expenses you incur in complying with the subpoena.</w:t>
      </w:r>
    </w:p>
    <w:p w:rsidR="005B1DA7" w:rsidRPr="004B3CCB" w:rsidRDefault="005B1DA7" w:rsidP="005B1DA7">
      <w:pPr>
        <w:pStyle w:val="SchedulePara"/>
        <w:ind w:left="420" w:hanging="420"/>
      </w:pPr>
      <w:r w:rsidRPr="004B3CCB">
        <w:t>2.</w:t>
      </w:r>
      <w:r w:rsidRPr="004B3CCB">
        <w:tab/>
        <w:t>An amount of money, or money and vouchers, that is sufficient to meet your reasonable expenses of complying with the subpoena must be given to you within a reasonable time before the date for compliance with the subpoena (see below: ‘</w:t>
      </w:r>
      <w:r w:rsidRPr="004B3CCB">
        <w:rPr>
          <w:b/>
          <w:bCs/>
        </w:rPr>
        <w:t>YOUR OBLIGATIONS</w:t>
      </w:r>
      <w:r w:rsidRPr="004B3CCB">
        <w:t>’).</w:t>
      </w:r>
    </w:p>
    <w:p w:rsidR="005B1DA7" w:rsidRPr="004B3CCB" w:rsidRDefault="005B1DA7" w:rsidP="005B1DA7">
      <w:pPr>
        <w:pStyle w:val="SchedulePara"/>
        <w:ind w:left="420" w:hanging="420"/>
      </w:pPr>
      <w:r w:rsidRPr="004B3CCB">
        <w:t>3.</w:t>
      </w:r>
      <w:r w:rsidRPr="004B3CCB">
        <w:tab/>
        <w:t xml:space="preserve">If, in complying with the subpoena, you incur expenses that are more than the amount that was given to you before you complied, you may obtain an order from the </w:t>
      </w:r>
      <w:r w:rsidRPr="004B3CCB">
        <w:rPr>
          <w:iCs/>
        </w:rPr>
        <w:t>[</w:t>
      </w:r>
      <w:r w:rsidRPr="004B3CCB">
        <w:rPr>
          <w:i/>
          <w:iCs/>
        </w:rPr>
        <w:t>court or tribunal that issued the subpoena</w:t>
      </w:r>
      <w:r w:rsidRPr="004B3CCB">
        <w:rPr>
          <w:iCs/>
        </w:rPr>
        <w:t>]</w:t>
      </w:r>
      <w:r w:rsidRPr="004B3CCB">
        <w:rPr>
          <w:i/>
          <w:iCs/>
        </w:rPr>
        <w:t xml:space="preserve"> </w:t>
      </w:r>
      <w:r w:rsidRPr="004B3CCB">
        <w:t>that you be paid the additional amount you incurred.</w:t>
      </w:r>
    </w:p>
    <w:p w:rsidR="005B1DA7" w:rsidRPr="004B3CCB" w:rsidRDefault="005B1DA7" w:rsidP="005B1DA7">
      <w:pPr>
        <w:pStyle w:val="SchedulePara"/>
        <w:ind w:left="420" w:hanging="420"/>
      </w:pPr>
      <w:r w:rsidRPr="004B3CCB">
        <w:t>4.</w:t>
      </w:r>
      <w:r w:rsidRPr="004B3CCB">
        <w:tab/>
        <w:t xml:space="preserve">You may apply to the </w:t>
      </w:r>
      <w:r w:rsidRPr="004B3CCB">
        <w:rPr>
          <w:iCs/>
        </w:rPr>
        <w:t>[</w:t>
      </w:r>
      <w:r w:rsidRPr="004B3CCB">
        <w:rPr>
          <w:i/>
          <w:iCs/>
        </w:rPr>
        <w:t>court that gave leave for the subpoena to be served</w:t>
      </w:r>
      <w:r w:rsidRPr="004B3CCB">
        <w:rPr>
          <w:iCs/>
        </w:rPr>
        <w:t>]</w:t>
      </w:r>
      <w:r w:rsidRPr="004B3CCB">
        <w:rPr>
          <w:i/>
          <w:iCs/>
        </w:rPr>
        <w:t xml:space="preserve"> </w:t>
      </w:r>
      <w:r w:rsidRPr="004B3CCB">
        <w:t>to have the subpoena wholly or partly set aside. If you wish to apply to have the subpoena set aside you should get legal advice as soon as possible.</w:t>
      </w:r>
    </w:p>
    <w:p w:rsidR="005B1DA7" w:rsidRPr="004B3CCB" w:rsidRDefault="005B1DA7" w:rsidP="005B1DA7">
      <w:pPr>
        <w:pStyle w:val="SchedulePara"/>
        <w:ind w:left="420" w:hanging="420"/>
      </w:pPr>
      <w:r w:rsidRPr="004B3CCB">
        <w:t>5.</w:t>
      </w:r>
      <w:r w:rsidRPr="004B3CCB">
        <w:tab/>
        <w:t>An application can be made and determined by that court without you having to go to Australia, or to retain Australian solicitors. All necessary arrangements can be made in NZ.</w:t>
      </w:r>
    </w:p>
    <w:p w:rsidR="005B1DA7" w:rsidRPr="004B3CCB" w:rsidRDefault="005B1DA7" w:rsidP="005B1DA7">
      <w:pPr>
        <w:pStyle w:val="notemargin"/>
      </w:pPr>
      <w:r w:rsidRPr="004B3CCB">
        <w:rPr>
          <w:iCs/>
        </w:rPr>
        <w:t>Note:</w:t>
      </w:r>
      <w:r w:rsidRPr="004B3CCB">
        <w:rPr>
          <w:iCs/>
        </w:rPr>
        <w:tab/>
      </w:r>
      <w:r w:rsidRPr="004B3CCB">
        <w:t>Details of some of the grounds on which a subpoena can be set aside, and the procedures for setting aside a subpoena, are set out at the end of this notice.</w:t>
      </w:r>
    </w:p>
    <w:p w:rsidR="005B1DA7" w:rsidRPr="004B3CCB" w:rsidRDefault="005B1DA7" w:rsidP="005B1DA7">
      <w:pPr>
        <w:spacing w:before="360"/>
        <w:jc w:val="both"/>
        <w:rPr>
          <w:rFonts w:cs="Arial"/>
          <w:b/>
        </w:rPr>
      </w:pPr>
      <w:r w:rsidRPr="004B3CCB">
        <w:rPr>
          <w:rFonts w:cs="Arial"/>
          <w:b/>
        </w:rPr>
        <w:t>YOUR OBLIGATIONS</w:t>
      </w:r>
    </w:p>
    <w:p w:rsidR="005B1DA7" w:rsidRPr="004B3CCB" w:rsidRDefault="005B1DA7" w:rsidP="005B1DA7">
      <w:pPr>
        <w:pStyle w:val="SchedulePara"/>
        <w:ind w:left="420" w:hanging="420"/>
      </w:pPr>
      <w:r w:rsidRPr="004B3CCB">
        <w:t>1.</w:t>
      </w:r>
      <w:r w:rsidRPr="004B3CCB">
        <w:tab/>
        <w:t>Unless the subpoena is set aside, you must comply with the subpoena if:</w:t>
      </w:r>
    </w:p>
    <w:p w:rsidR="005B1DA7" w:rsidRPr="004B3CCB" w:rsidRDefault="005B1DA7" w:rsidP="005B1DA7">
      <w:pPr>
        <w:pStyle w:val="paragraph"/>
        <w:tabs>
          <w:tab w:val="clear" w:pos="1531"/>
          <w:tab w:val="right" w:pos="709"/>
        </w:tabs>
        <w:ind w:left="896" w:right="-106" w:hanging="896"/>
      </w:pPr>
      <w:r w:rsidRPr="004B3CCB">
        <w:tab/>
        <w:t>(a)</w:t>
      </w:r>
      <w:r w:rsidRPr="004B3CCB">
        <w:tab/>
        <w:t>when the subpoena was served on you, or at some reasonable time before the date specified in the subpoena for compliance with it, you were offered or given either:</w:t>
      </w:r>
    </w:p>
    <w:p w:rsidR="005B1DA7" w:rsidRPr="004B3CCB" w:rsidRDefault="005B1DA7" w:rsidP="005B1DA7">
      <w:pPr>
        <w:pStyle w:val="paragraphsub"/>
        <w:tabs>
          <w:tab w:val="right" w:pos="1134"/>
        </w:tabs>
        <w:ind w:left="1418" w:hanging="1418"/>
      </w:pPr>
      <w:r w:rsidRPr="004B3CCB">
        <w:tab/>
        <w:t>(i)</w:t>
      </w:r>
      <w:r w:rsidRPr="004B3CCB">
        <w:tab/>
        <w:t>enough money to meet your reasonable expenses in complying with it, including any travel and accommodation expenses; or</w:t>
      </w:r>
    </w:p>
    <w:p w:rsidR="005B1DA7" w:rsidRPr="004B3CCB" w:rsidRDefault="005B1DA7" w:rsidP="005B1DA7">
      <w:pPr>
        <w:pStyle w:val="paragraphsub"/>
        <w:tabs>
          <w:tab w:val="right" w:pos="1134"/>
        </w:tabs>
        <w:ind w:left="1418" w:hanging="1418"/>
      </w:pPr>
      <w:r w:rsidRPr="004B3CCB">
        <w:tab/>
        <w:t>(ii)</w:t>
      </w:r>
      <w:r w:rsidRPr="004B3CCB">
        <w:tab/>
        <w:t>a combination of money and vouchers (for example, travel tickets) to meet those expenses; and</w:t>
      </w:r>
    </w:p>
    <w:p w:rsidR="005B1DA7" w:rsidRPr="004B3CCB" w:rsidRDefault="005B1DA7" w:rsidP="005B1DA7">
      <w:pPr>
        <w:pStyle w:val="paragraph"/>
        <w:tabs>
          <w:tab w:val="clear" w:pos="1531"/>
          <w:tab w:val="right" w:pos="709"/>
        </w:tabs>
        <w:ind w:left="896" w:right="-106" w:hanging="896"/>
      </w:pPr>
      <w:r w:rsidRPr="004B3CCB">
        <w:tab/>
        <w:t>(b)</w:t>
      </w:r>
      <w:r w:rsidRPr="004B3CCB">
        <w:tab/>
        <w:t>you were given, with the subpoena, a copy of an order by a judge giving leave to serve the subpoena in NZ; and</w:t>
      </w:r>
    </w:p>
    <w:p w:rsidR="005B1DA7" w:rsidRPr="004B3CCB" w:rsidRDefault="005B1DA7" w:rsidP="005B1DA7">
      <w:pPr>
        <w:pStyle w:val="paragraph"/>
        <w:tabs>
          <w:tab w:val="clear" w:pos="1531"/>
          <w:tab w:val="right" w:pos="709"/>
        </w:tabs>
        <w:ind w:left="896" w:right="-106" w:hanging="896"/>
      </w:pPr>
      <w:r w:rsidRPr="004B3CCB">
        <w:tab/>
        <w:t>(c)</w:t>
      </w:r>
      <w:r w:rsidRPr="004B3CCB">
        <w:tab/>
        <w:t>the subpoena was served on you before or on the date specified in the order as the last day on which the subpoena may be served; and</w:t>
      </w:r>
    </w:p>
    <w:p w:rsidR="005B1DA7" w:rsidRPr="004B3CCB" w:rsidRDefault="005B1DA7" w:rsidP="005B1DA7">
      <w:pPr>
        <w:pStyle w:val="paragraph"/>
        <w:tabs>
          <w:tab w:val="clear" w:pos="1531"/>
          <w:tab w:val="right" w:pos="709"/>
        </w:tabs>
        <w:ind w:left="896" w:right="-106" w:hanging="896"/>
      </w:pPr>
      <w:r w:rsidRPr="004B3CCB">
        <w:tab/>
        <w:t>(d)</w:t>
      </w:r>
      <w:r w:rsidRPr="004B3CCB">
        <w:tab/>
        <w:t>service of the subpoena complied with any other conditions specified in the order; and</w:t>
      </w:r>
    </w:p>
    <w:p w:rsidR="005B1DA7" w:rsidRPr="004B3CCB" w:rsidRDefault="005B1DA7" w:rsidP="005B1DA7">
      <w:pPr>
        <w:pStyle w:val="paragraph"/>
        <w:tabs>
          <w:tab w:val="clear" w:pos="1531"/>
          <w:tab w:val="right" w:pos="709"/>
        </w:tabs>
        <w:ind w:left="896" w:right="-106" w:hanging="896"/>
      </w:pPr>
      <w:r w:rsidRPr="004B3CCB">
        <w:tab/>
        <w:t>(e)</w:t>
      </w:r>
      <w:r w:rsidRPr="004B3CCB">
        <w:tab/>
        <w:t>when the subpoena was served on you, you were over the age of 18 years.</w:t>
      </w:r>
    </w:p>
    <w:p w:rsidR="005B1DA7" w:rsidRPr="004B3CCB" w:rsidRDefault="005B1DA7" w:rsidP="005B1DA7">
      <w:pPr>
        <w:pStyle w:val="SchedulePara"/>
        <w:ind w:left="420" w:hanging="420"/>
      </w:pPr>
      <w:r w:rsidRPr="004B3CCB">
        <w:t>2.</w:t>
      </w:r>
      <w:r w:rsidRPr="004B3CCB">
        <w:tab/>
        <w:t>If the subpoena only requires you to produce documents or things, it must specify the date on which the documents or things are required for production in the court or tribunal that issued the subpoena. You may comply with the subpoena by producing the documents or things at a registry of the High Court of New Zealand no later than 10 days before the date specified for production in the subpoena. When you produce the documents or things at the registry you will be required to produce the subpoena and to pay the cost of sending the documents or things to the court or tribunal that issued the subpoena. You will be able to pay that cost out of the money given to you to meet your reasonable expenses of complying with the subpoena.</w:t>
      </w:r>
    </w:p>
    <w:p w:rsidR="005B1DA7" w:rsidRPr="004B3CCB" w:rsidRDefault="005B1DA7" w:rsidP="005B1DA7">
      <w:pPr>
        <w:spacing w:before="360"/>
        <w:jc w:val="both"/>
        <w:rPr>
          <w:rFonts w:cs="Arial"/>
          <w:b/>
        </w:rPr>
      </w:pPr>
      <w:r w:rsidRPr="004B3CCB">
        <w:rPr>
          <w:rFonts w:cs="Arial"/>
          <w:b/>
        </w:rPr>
        <w:t>FAILURE TO COMPLY WITH THE SUBPOENA</w:t>
      </w:r>
    </w:p>
    <w:p w:rsidR="005B1DA7" w:rsidRPr="004B3CCB" w:rsidRDefault="005B1DA7" w:rsidP="005B1DA7">
      <w:pPr>
        <w:pStyle w:val="SchedulePara"/>
        <w:ind w:left="420" w:hanging="420"/>
      </w:pPr>
      <w:r w:rsidRPr="004B3CCB">
        <w:tab/>
        <w:t>If you do not comply with this subpoena you may be arrested and taken before the High Court of New Zealand. Unless the High Court is satisfied that failure to comply should be excused, a fine not exceeding NZ$10,000 may be imposed.</w:t>
      </w:r>
    </w:p>
    <w:p w:rsidR="005B1DA7" w:rsidRPr="004B3CCB" w:rsidRDefault="005B1DA7" w:rsidP="005B1DA7">
      <w:pPr>
        <w:spacing w:before="360"/>
        <w:jc w:val="both"/>
        <w:rPr>
          <w:rFonts w:cs="Arial"/>
          <w:b/>
        </w:rPr>
      </w:pPr>
      <w:r w:rsidRPr="004B3CCB">
        <w:rPr>
          <w:rFonts w:cs="Arial"/>
          <w:b/>
        </w:rPr>
        <w:t>GROUNDS FOR SETTING ASIDE A SUBPOENA</w:t>
      </w:r>
    </w:p>
    <w:p w:rsidR="005B1DA7" w:rsidRPr="004B3CCB" w:rsidRDefault="005B1DA7" w:rsidP="005B1DA7">
      <w:pPr>
        <w:pStyle w:val="SchedulePara"/>
        <w:ind w:left="420" w:hanging="420"/>
      </w:pPr>
      <w:r w:rsidRPr="004B3CCB">
        <w:t>1.</w:t>
      </w:r>
      <w:r w:rsidRPr="004B3CCB">
        <w:tab/>
        <w:t>If you apply for the subpoena to be set aside, the court must set aside the subpoena if the subpoena requires you to attend at a place in Australia and:</w:t>
      </w:r>
    </w:p>
    <w:p w:rsidR="005B1DA7" w:rsidRPr="004B3CCB" w:rsidRDefault="005B1DA7" w:rsidP="005B1DA7">
      <w:pPr>
        <w:pStyle w:val="paragraph"/>
        <w:tabs>
          <w:tab w:val="clear" w:pos="1531"/>
          <w:tab w:val="right" w:pos="709"/>
        </w:tabs>
        <w:ind w:left="896" w:right="-106" w:hanging="896"/>
      </w:pPr>
      <w:r w:rsidRPr="004B3CCB">
        <w:tab/>
        <w:t>(a)</w:t>
      </w:r>
      <w:r w:rsidRPr="004B3CCB">
        <w:tab/>
        <w:t>you do not have necessary travel documents and cannot reasonably get them within the time allowed for compliance with the subpoena; or</w:t>
      </w:r>
    </w:p>
    <w:p w:rsidR="005B1DA7" w:rsidRPr="004B3CCB" w:rsidRDefault="005B1DA7" w:rsidP="005B1DA7">
      <w:pPr>
        <w:pStyle w:val="paragraph"/>
        <w:tabs>
          <w:tab w:val="clear" w:pos="1531"/>
          <w:tab w:val="right" w:pos="709"/>
        </w:tabs>
        <w:ind w:left="896" w:hanging="896"/>
      </w:pPr>
      <w:r w:rsidRPr="004B3CCB">
        <w:tab/>
        <w:t>(b)</w:t>
      </w:r>
      <w:r w:rsidRPr="004B3CCB">
        <w:tab/>
        <w:t>compliance with the subpoena would make you liable to be detained for the purpose of serving a sentence; or</w:t>
      </w:r>
    </w:p>
    <w:p w:rsidR="005B1DA7" w:rsidRPr="004B3CCB" w:rsidRDefault="005B1DA7" w:rsidP="005B1DA7">
      <w:pPr>
        <w:pStyle w:val="paragraph"/>
        <w:tabs>
          <w:tab w:val="clear" w:pos="1531"/>
          <w:tab w:val="right" w:pos="709"/>
        </w:tabs>
        <w:ind w:left="896" w:hanging="896"/>
      </w:pPr>
      <w:r w:rsidRPr="004B3CCB">
        <w:tab/>
        <w:t>(c)</w:t>
      </w:r>
      <w:r w:rsidRPr="004B3CCB">
        <w:tab/>
        <w:t>you are being prosecuted or you are liable to prosecution for an offence in Australia; or</w:t>
      </w:r>
    </w:p>
    <w:p w:rsidR="005B1DA7" w:rsidRPr="004B3CCB" w:rsidRDefault="005B1DA7" w:rsidP="005B1DA7">
      <w:pPr>
        <w:pStyle w:val="paragraph"/>
        <w:tabs>
          <w:tab w:val="clear" w:pos="1531"/>
          <w:tab w:val="right" w:pos="709"/>
        </w:tabs>
        <w:ind w:left="896" w:hanging="896"/>
      </w:pPr>
      <w:r w:rsidRPr="004B3CCB">
        <w:tab/>
        <w:t>(d)</w:t>
      </w:r>
      <w:r w:rsidRPr="004B3CCB">
        <w:tab/>
        <w:t xml:space="preserve">you are liable to the imposition of a penalty in a civil proceeding in Australia (other than a proceeding under the </w:t>
      </w:r>
      <w:r w:rsidRPr="004B3CCB">
        <w:rPr>
          <w:i/>
          <w:iCs/>
        </w:rPr>
        <w:t xml:space="preserve">Competition and Consumer Act 2010 </w:t>
      </w:r>
      <w:r w:rsidRPr="004B3CCB">
        <w:t>(Cth)); or</w:t>
      </w:r>
    </w:p>
    <w:p w:rsidR="005B1DA7" w:rsidRPr="004B3CCB" w:rsidRDefault="005B1DA7" w:rsidP="005B1DA7">
      <w:pPr>
        <w:pStyle w:val="paragraph"/>
        <w:tabs>
          <w:tab w:val="clear" w:pos="1531"/>
          <w:tab w:val="right" w:pos="709"/>
        </w:tabs>
        <w:ind w:left="896" w:hanging="896"/>
      </w:pPr>
      <w:r w:rsidRPr="004B3CCB">
        <w:tab/>
        <w:t>(e)</w:t>
      </w:r>
      <w:r w:rsidRPr="004B3CCB">
        <w:tab/>
        <w:t>the court is satisfied that you are subject to a restriction on your movements imposed by law or an order of a court that is inconsistent with you complying with the subpoena (for example, bail conditions, release conditions, or terms of a community based sentence).</w:t>
      </w:r>
    </w:p>
    <w:p w:rsidR="005B1DA7" w:rsidRPr="004B3CCB" w:rsidRDefault="005B1DA7" w:rsidP="005B1DA7">
      <w:pPr>
        <w:pStyle w:val="SchedulePara"/>
        <w:ind w:left="420" w:hanging="420"/>
      </w:pPr>
      <w:r w:rsidRPr="004B3CCB">
        <w:t>2.</w:t>
      </w:r>
      <w:r w:rsidRPr="004B3CCB">
        <w:tab/>
        <w:t>The court may set aside the subpoena on other grounds, including:</w:t>
      </w:r>
    </w:p>
    <w:p w:rsidR="005B1DA7" w:rsidRPr="004B3CCB" w:rsidRDefault="005B1DA7" w:rsidP="005B1DA7">
      <w:pPr>
        <w:pStyle w:val="paragraph"/>
        <w:tabs>
          <w:tab w:val="clear" w:pos="1531"/>
          <w:tab w:val="right" w:pos="709"/>
        </w:tabs>
        <w:ind w:left="896" w:hanging="896"/>
      </w:pPr>
      <w:r w:rsidRPr="004B3CCB">
        <w:tab/>
        <w:t>(a)</w:t>
      </w:r>
      <w:r w:rsidRPr="004B3CCB">
        <w:tab/>
        <w:t>the evidence you would give in the proceeding can be obtained satisfactorily by other means without significantly greater expense; or</w:t>
      </w:r>
    </w:p>
    <w:p w:rsidR="005B1DA7" w:rsidRPr="004B3CCB" w:rsidRDefault="005B1DA7" w:rsidP="005B1DA7">
      <w:pPr>
        <w:pStyle w:val="paragraph"/>
        <w:tabs>
          <w:tab w:val="clear" w:pos="1531"/>
          <w:tab w:val="right" w:pos="709"/>
        </w:tabs>
        <w:ind w:left="896" w:hanging="896"/>
      </w:pPr>
      <w:r w:rsidRPr="004B3CCB">
        <w:tab/>
        <w:t>(b)</w:t>
      </w:r>
      <w:r w:rsidRPr="004B3CCB">
        <w:tab/>
        <w:t>compliance with the subpoena would cause you hardship or serious inconvenience; or</w:t>
      </w:r>
    </w:p>
    <w:p w:rsidR="005B1DA7" w:rsidRPr="004B3CCB" w:rsidRDefault="005B1DA7" w:rsidP="005B1DA7">
      <w:pPr>
        <w:pStyle w:val="paragraph"/>
        <w:tabs>
          <w:tab w:val="clear" w:pos="1531"/>
          <w:tab w:val="right" w:pos="709"/>
        </w:tabs>
        <w:ind w:left="896" w:hanging="896"/>
      </w:pPr>
      <w:r w:rsidRPr="004B3CCB">
        <w:tab/>
        <w:t>(c)</w:t>
      </w:r>
      <w:r w:rsidRPr="004B3CCB">
        <w:tab/>
        <w:t>if the subpoena requires you to produce a document or thing:</w:t>
      </w:r>
    </w:p>
    <w:p w:rsidR="005B1DA7" w:rsidRPr="004B3CCB" w:rsidRDefault="005B1DA7" w:rsidP="005B1DA7">
      <w:pPr>
        <w:pStyle w:val="paragraph"/>
        <w:tabs>
          <w:tab w:val="clear" w:pos="1531"/>
          <w:tab w:val="right" w:pos="1134"/>
        </w:tabs>
        <w:ind w:left="1418" w:hanging="1418"/>
      </w:pPr>
      <w:r w:rsidRPr="004B3CCB">
        <w:tab/>
        <w:t>(i)</w:t>
      </w:r>
      <w:r w:rsidRPr="004B3CCB">
        <w:tab/>
        <w:t>that document or thing should not be taken out of NZ; and</w:t>
      </w:r>
    </w:p>
    <w:p w:rsidR="005B1DA7" w:rsidRPr="004B3CCB" w:rsidRDefault="005B1DA7" w:rsidP="005B1DA7">
      <w:pPr>
        <w:pStyle w:val="paragraphsub"/>
        <w:tabs>
          <w:tab w:val="right" w:pos="1134"/>
        </w:tabs>
        <w:ind w:left="1418" w:hanging="1418"/>
      </w:pPr>
      <w:r w:rsidRPr="004B3CCB">
        <w:tab/>
        <w:t>(ii)</w:t>
      </w:r>
      <w:r w:rsidRPr="004B3CCB">
        <w:tab/>
        <w:t>satisfactory evidence of the contents of the document or satisfactory evidence of the thing can be given by other means.</w:t>
      </w:r>
    </w:p>
    <w:p w:rsidR="005B1DA7" w:rsidRPr="004B3CCB" w:rsidRDefault="005B1DA7" w:rsidP="005B1DA7">
      <w:pPr>
        <w:pStyle w:val="notemargin"/>
      </w:pPr>
      <w:r w:rsidRPr="004B3CCB">
        <w:rPr>
          <w:iCs/>
        </w:rPr>
        <w:t>Note:</w:t>
      </w:r>
      <w:r w:rsidRPr="004B3CCB">
        <w:rPr>
          <w:iCs/>
        </w:rPr>
        <w:tab/>
      </w:r>
      <w:r w:rsidRPr="004B3CCB">
        <w:t>The above list does not include all the matters the court will consider in an application to set aside a subpoena, but if any of the matters in the list apply to you they should be included in your application.</w:t>
      </w:r>
    </w:p>
    <w:p w:rsidR="005B1DA7" w:rsidRPr="004B3CCB" w:rsidRDefault="005B1DA7" w:rsidP="005B1DA7">
      <w:pPr>
        <w:pStyle w:val="Specials"/>
      </w:pPr>
      <w:r w:rsidRPr="004B3CCB">
        <w:t>PROCEDURE FOR APPLYING TO SET ASIDE A SUBPOENA</w:t>
      </w:r>
    </w:p>
    <w:p w:rsidR="005B1DA7" w:rsidRPr="004B3CCB" w:rsidRDefault="005B1DA7" w:rsidP="005B1DA7">
      <w:pPr>
        <w:pStyle w:val="SchedulePara"/>
        <w:ind w:left="420" w:hanging="420"/>
      </w:pPr>
      <w:r w:rsidRPr="004B3CCB">
        <w:t>1.</w:t>
      </w:r>
      <w:r w:rsidRPr="004B3CCB">
        <w:tab/>
        <w:t xml:space="preserve">Application must be made to the </w:t>
      </w:r>
      <w:r w:rsidRPr="004B3CCB">
        <w:rPr>
          <w:iCs/>
        </w:rPr>
        <w:t>[</w:t>
      </w:r>
      <w:r w:rsidRPr="004B3CCB">
        <w:rPr>
          <w:i/>
          <w:iCs/>
        </w:rPr>
        <w:t>court that gave leave for service of the subpoena in NZ</w:t>
      </w:r>
      <w:r w:rsidRPr="004B3CCB">
        <w:rPr>
          <w:iCs/>
        </w:rPr>
        <w:t>]</w:t>
      </w:r>
      <w:r w:rsidRPr="004B3CCB">
        <w:t>.</w:t>
      </w:r>
    </w:p>
    <w:p w:rsidR="005B1DA7" w:rsidRPr="004B3CCB" w:rsidRDefault="005B1DA7" w:rsidP="005B1DA7">
      <w:pPr>
        <w:pStyle w:val="SchedulePara"/>
        <w:ind w:left="420" w:hanging="420"/>
      </w:pPr>
      <w:r w:rsidRPr="004B3CCB">
        <w:t>2.</w:t>
      </w:r>
      <w:r w:rsidRPr="004B3CCB">
        <w:tab/>
        <w:t xml:space="preserve">You may fax your application to that court on </w:t>
      </w:r>
      <w:r w:rsidRPr="004B3CCB">
        <w:rPr>
          <w:iCs/>
        </w:rPr>
        <w:t>[</w:t>
      </w:r>
      <w:r w:rsidRPr="004B3CCB">
        <w:rPr>
          <w:i/>
          <w:iCs/>
        </w:rPr>
        <w:t>fax number of court</w:t>
      </w:r>
      <w:r w:rsidRPr="004B3CCB">
        <w:rPr>
          <w:iCs/>
        </w:rPr>
        <w:t>]</w:t>
      </w:r>
      <w:r w:rsidRPr="004B3CCB">
        <w:t>.</w:t>
      </w:r>
    </w:p>
    <w:p w:rsidR="005B1DA7" w:rsidRPr="004B3CCB" w:rsidRDefault="005B1DA7" w:rsidP="005B1DA7">
      <w:pPr>
        <w:pStyle w:val="SchedulePara"/>
        <w:ind w:left="420" w:hanging="420"/>
      </w:pPr>
      <w:r w:rsidRPr="004B3CCB">
        <w:t>3.</w:t>
      </w:r>
      <w:r w:rsidRPr="004B3CCB">
        <w:tab/>
        <w:t>Your application must contain an address for service in NZ or Australia. Any documents to be served on you will be delivered, faxed or posted to you at that address.</w:t>
      </w:r>
    </w:p>
    <w:p w:rsidR="005B1DA7" w:rsidRPr="004B3CCB" w:rsidRDefault="005B1DA7" w:rsidP="005B1DA7">
      <w:pPr>
        <w:pStyle w:val="SchedulePara"/>
        <w:ind w:left="420" w:hanging="420"/>
      </w:pPr>
      <w:r w:rsidRPr="004B3CCB">
        <w:t>4.</w:t>
      </w:r>
      <w:r w:rsidRPr="004B3CCB">
        <w:tab/>
        <w:t xml:space="preserve">The Registrar of the </w:t>
      </w:r>
      <w:r w:rsidRPr="004B3CCB">
        <w:rPr>
          <w:iCs/>
        </w:rPr>
        <w:t>[</w:t>
      </w:r>
      <w:r w:rsidRPr="004B3CCB">
        <w:rPr>
          <w:i/>
          <w:iCs/>
        </w:rPr>
        <w:t>court that gave leave for service of the subpoena in NZ</w:t>
      </w:r>
      <w:r w:rsidRPr="004B3CCB">
        <w:rPr>
          <w:iCs/>
        </w:rPr>
        <w:t>]</w:t>
      </w:r>
      <w:r w:rsidRPr="004B3CCB">
        <w:t xml:space="preserve"> will arrange for service of your application and any affidavit you lodge with your application.</w:t>
      </w:r>
    </w:p>
    <w:p w:rsidR="005B1DA7" w:rsidRPr="004B3CCB" w:rsidRDefault="005B1DA7" w:rsidP="005B1DA7">
      <w:pPr>
        <w:pStyle w:val="SchedulePara"/>
        <w:ind w:left="420" w:hanging="420"/>
      </w:pPr>
      <w:r w:rsidRPr="004B3CCB">
        <w:t>5.</w:t>
      </w:r>
      <w:r w:rsidRPr="004B3CCB">
        <w:tab/>
        <w:t>The court may determine your application without a hearing unless you, or the person who requested that the subpoena be issued, asks for a hearing.</w:t>
      </w:r>
    </w:p>
    <w:p w:rsidR="005B1DA7" w:rsidRPr="004B3CCB" w:rsidRDefault="005B1DA7" w:rsidP="005B1DA7">
      <w:pPr>
        <w:pStyle w:val="SchedulePara"/>
        <w:ind w:left="420" w:hanging="420"/>
      </w:pPr>
      <w:r w:rsidRPr="004B3CCB">
        <w:t>6.</w:t>
      </w:r>
      <w:r w:rsidRPr="004B3CCB">
        <w:tab/>
        <w:t xml:space="preserve">If there is a hearing, the court can direct that it be held by audio link or audiovisual link. In that case, you or your lawyer can take </w:t>
      </w:r>
      <w:r w:rsidR="001964AA" w:rsidRPr="004B3CCB">
        <w:t>part i</w:t>
      </w:r>
      <w:r w:rsidRPr="004B3CCB">
        <w:t>n the hearing by audio link or by audiovisual link from a place in NZ.</w:t>
      </w:r>
    </w:p>
    <w:p w:rsidR="005B1DA7" w:rsidRPr="004B3CCB" w:rsidRDefault="005B1DA7" w:rsidP="005B1DA7">
      <w:pPr>
        <w:pStyle w:val="SchedulePara"/>
        <w:ind w:left="420" w:hanging="420"/>
      </w:pPr>
      <w:r w:rsidRPr="004B3CCB">
        <w:t>7.</w:t>
      </w:r>
      <w:r w:rsidRPr="004B3CCB">
        <w:tab/>
        <w:t>If, in your application or within a reasonable time after lodging your application, you request that the hearing be held by audio link or audiovisual link, the court must hold the hearing by audio link or audiovisual link. However, in such a case, the court will determine which of audio link or audiovisual link will be used.</w:t>
      </w:r>
    </w:p>
    <w:p w:rsidR="005B1DA7" w:rsidRPr="004B3CCB" w:rsidRDefault="005B1DA7" w:rsidP="005B1DA7">
      <w:pPr>
        <w:pStyle w:val="ActHead2"/>
        <w:pageBreakBefore/>
        <w:rPr>
          <w:szCs w:val="26"/>
        </w:rPr>
      </w:pPr>
      <w:bookmarkStart w:id="31" w:name="_Toc164357210"/>
      <w:r w:rsidRPr="00C73F82">
        <w:rPr>
          <w:rStyle w:val="CharPartNo"/>
        </w:rPr>
        <w:t>Form 5</w:t>
      </w:r>
      <w:r w:rsidRPr="004B3CCB">
        <w:rPr>
          <w:szCs w:val="26"/>
        </w:rPr>
        <w:t>—</w:t>
      </w:r>
      <w:r w:rsidRPr="00C73F82">
        <w:rPr>
          <w:rStyle w:val="CharPartText"/>
        </w:rPr>
        <w:t xml:space="preserve">Application to register a </w:t>
      </w:r>
      <w:r w:rsidR="00612221" w:rsidRPr="00C73F82">
        <w:rPr>
          <w:rStyle w:val="CharPartText"/>
        </w:rPr>
        <w:t>judgment</w:t>
      </w:r>
      <w:r w:rsidRPr="00C73F82">
        <w:rPr>
          <w:rStyle w:val="CharPartText"/>
        </w:rPr>
        <w:t xml:space="preserve"> under the Trans</w:t>
      </w:r>
      <w:r w:rsidR="00C73F82" w:rsidRPr="00C73F82">
        <w:rPr>
          <w:rStyle w:val="CharPartText"/>
        </w:rPr>
        <w:noBreakHyphen/>
      </w:r>
      <w:r w:rsidRPr="00C73F82">
        <w:rPr>
          <w:rStyle w:val="CharPartText"/>
        </w:rPr>
        <w:t>Tasman Proceedings Act 2010</w:t>
      </w:r>
      <w:bookmarkEnd w:id="31"/>
    </w:p>
    <w:p w:rsidR="005B1DA7" w:rsidRPr="004B3CCB" w:rsidRDefault="005B1DA7" w:rsidP="005B1DA7">
      <w:pPr>
        <w:pStyle w:val="notemargin"/>
        <w:ind w:firstLine="425"/>
      </w:pPr>
      <w:r w:rsidRPr="004B3CCB">
        <w:t>(sub</w:t>
      </w:r>
      <w:r w:rsidR="00C73F82">
        <w:t>section 1</w:t>
      </w:r>
      <w:r w:rsidRPr="004B3CCB">
        <w:t>7(1))</w:t>
      </w:r>
    </w:p>
    <w:p w:rsidR="005B1DA7" w:rsidRPr="004B3CCB" w:rsidRDefault="005B1DA7" w:rsidP="005B1DA7">
      <w:pPr>
        <w:spacing w:before="240"/>
        <w:jc w:val="both"/>
        <w:rPr>
          <w:rFonts w:cs="Arial"/>
          <w:i/>
        </w:rPr>
      </w:pPr>
      <w:r w:rsidRPr="004B3CCB">
        <w:rPr>
          <w:rFonts w:cs="Arial"/>
        </w:rPr>
        <w:t>[</w:t>
      </w:r>
      <w:r w:rsidRPr="004B3CCB">
        <w:rPr>
          <w:rFonts w:cs="Arial"/>
          <w:i/>
        </w:rPr>
        <w:t>Heading</w:t>
      </w:r>
      <w:r w:rsidRPr="004B3CCB">
        <w:rPr>
          <w:rFonts w:cs="Arial"/>
        </w:rPr>
        <w:t>]</w:t>
      </w:r>
    </w:p>
    <w:p w:rsidR="005B1DA7" w:rsidRPr="004B3CCB" w:rsidRDefault="005B1DA7" w:rsidP="005B1DA7">
      <w:pPr>
        <w:spacing w:before="120"/>
        <w:jc w:val="both"/>
        <w:rPr>
          <w:rFonts w:cs="Arial"/>
        </w:rPr>
      </w:pPr>
      <w:r w:rsidRPr="004B3CCB">
        <w:rPr>
          <w:rFonts w:cs="Arial"/>
          <w:b/>
        </w:rPr>
        <w:t>To</w:t>
      </w:r>
      <w:r w:rsidRPr="004B3CCB">
        <w:rPr>
          <w:rFonts w:cs="Arial"/>
        </w:rPr>
        <w:t xml:space="preserve"> the Registrar of the [</w:t>
      </w:r>
      <w:r w:rsidRPr="004B3CCB">
        <w:rPr>
          <w:rFonts w:cs="Arial"/>
          <w:i/>
        </w:rPr>
        <w:t>Australian commencement court or tribunal</w:t>
      </w:r>
      <w:r w:rsidRPr="004B3CCB">
        <w:rPr>
          <w:rFonts w:cs="Arial"/>
        </w:rPr>
        <w:t>]</w:t>
      </w:r>
    </w:p>
    <w:p w:rsidR="005B1DA7" w:rsidRPr="004B3CCB" w:rsidRDefault="005B1DA7" w:rsidP="005B1DA7">
      <w:pPr>
        <w:spacing w:before="120"/>
        <w:rPr>
          <w:rFonts w:cs="Arial"/>
          <w:lang w:eastAsia="en-NZ"/>
        </w:rPr>
      </w:pPr>
      <w:r w:rsidRPr="004B3CCB">
        <w:rPr>
          <w:rFonts w:cs="Arial"/>
        </w:rPr>
        <w:t xml:space="preserve">The applicant applies under the </w:t>
      </w:r>
      <w:r w:rsidRPr="004B3CCB">
        <w:rPr>
          <w:rFonts w:cs="Arial"/>
          <w:i/>
        </w:rPr>
        <w:t>Trans</w:t>
      </w:r>
      <w:r w:rsidR="00C73F82">
        <w:rPr>
          <w:rFonts w:cs="Arial"/>
          <w:i/>
        </w:rPr>
        <w:noBreakHyphen/>
      </w:r>
      <w:r w:rsidRPr="004B3CCB">
        <w:rPr>
          <w:rFonts w:cs="Arial"/>
          <w:i/>
        </w:rPr>
        <w:t>Tasman Proceedings Act 2010</w:t>
      </w:r>
      <w:r w:rsidRPr="004B3CCB">
        <w:rPr>
          <w:rFonts w:cs="Arial"/>
        </w:rPr>
        <w:t xml:space="preserve"> (Cth) to have the following </w:t>
      </w:r>
      <w:r w:rsidR="00612221" w:rsidRPr="004B3CCB">
        <w:t>judgment</w:t>
      </w:r>
      <w:r w:rsidRPr="004B3CCB">
        <w:rPr>
          <w:rFonts w:cs="Arial"/>
        </w:rPr>
        <w:t xml:space="preserve"> of the </w:t>
      </w:r>
      <w:r w:rsidRPr="004B3CCB">
        <w:rPr>
          <w:rFonts w:cs="Arial"/>
          <w:color w:val="000000"/>
        </w:rPr>
        <w:t>[</w:t>
      </w:r>
      <w:r w:rsidRPr="004B3CCB">
        <w:rPr>
          <w:rFonts w:cs="Arial"/>
          <w:i/>
          <w:iCs/>
        </w:rPr>
        <w:t>NZ court or tribunal</w:t>
      </w:r>
      <w:r w:rsidRPr="004B3CCB">
        <w:rPr>
          <w:rFonts w:cs="Arial"/>
          <w:color w:val="000000"/>
        </w:rPr>
        <w:t xml:space="preserve">] </w:t>
      </w:r>
      <w:r w:rsidRPr="004B3CCB">
        <w:rPr>
          <w:rFonts w:cs="Arial"/>
        </w:rPr>
        <w:t>registered in the Court.</w:t>
      </w:r>
    </w:p>
    <w:p w:rsidR="005B1DA7" w:rsidRPr="004B3CCB" w:rsidRDefault="005B1DA7" w:rsidP="005B1DA7">
      <w:pPr>
        <w:spacing w:before="120"/>
        <w:jc w:val="both"/>
        <w:rPr>
          <w:rFonts w:cs="Arial"/>
          <w:lang w:eastAsia="en-NZ"/>
        </w:rPr>
      </w:pPr>
      <w:r w:rsidRPr="004B3CCB">
        <w:rPr>
          <w:rFonts w:cs="Arial"/>
          <w:lang w:eastAsia="en-NZ"/>
        </w:rPr>
        <w:t xml:space="preserve">A copy of the </w:t>
      </w:r>
      <w:r w:rsidR="00612221" w:rsidRPr="004B3CCB">
        <w:t>judgment</w:t>
      </w:r>
      <w:r w:rsidRPr="004B3CCB">
        <w:rPr>
          <w:rFonts w:cs="Arial"/>
          <w:lang w:eastAsia="en-NZ"/>
        </w:rPr>
        <w:t xml:space="preserve"> is attached.</w:t>
      </w:r>
    </w:p>
    <w:p w:rsidR="005B1DA7" w:rsidRPr="004B3CCB" w:rsidRDefault="005B1DA7" w:rsidP="005B1DA7">
      <w:pPr>
        <w:spacing w:before="240"/>
        <w:rPr>
          <w:rFonts w:cs="Times New Roman"/>
          <w:b/>
          <w:sz w:val="23"/>
          <w:szCs w:val="23"/>
        </w:rPr>
      </w:pPr>
      <w:r w:rsidRPr="004B3CCB">
        <w:rPr>
          <w:rFonts w:cs="Times New Roman"/>
          <w:b/>
          <w:sz w:val="23"/>
          <w:szCs w:val="23"/>
        </w:rPr>
        <w:t>Details of parties to original proceeding</w:t>
      </w:r>
    </w:p>
    <w:p w:rsidR="005B1DA7" w:rsidRPr="004B3CCB" w:rsidRDefault="005B1DA7" w:rsidP="005B1DA7">
      <w:pPr>
        <w:spacing w:before="60"/>
        <w:jc w:val="both"/>
        <w:rPr>
          <w:rFonts w:cs="Arial"/>
        </w:rPr>
      </w:pPr>
      <w:r w:rsidRPr="004B3CCB">
        <w:rPr>
          <w:rFonts w:cs="Arial"/>
        </w:rPr>
        <w:t>Plaintiff:</w:t>
      </w:r>
      <w:r w:rsidRPr="004B3CCB">
        <w:rPr>
          <w:rStyle w:val="FootnoteReference"/>
          <w:rFonts w:cs="Arial"/>
        </w:rPr>
        <w:t>1</w:t>
      </w:r>
    </w:p>
    <w:p w:rsidR="005B1DA7" w:rsidRPr="004B3CCB" w:rsidRDefault="005B1DA7" w:rsidP="005B1DA7">
      <w:pPr>
        <w:spacing w:before="60"/>
        <w:jc w:val="both"/>
        <w:rPr>
          <w:rFonts w:cs="Arial"/>
        </w:rPr>
      </w:pPr>
      <w:r w:rsidRPr="004B3CCB">
        <w:rPr>
          <w:rFonts w:cs="Arial"/>
        </w:rPr>
        <w:t>Defendant:</w:t>
      </w:r>
    </w:p>
    <w:p w:rsidR="005B1DA7" w:rsidRPr="004B3CCB" w:rsidRDefault="005B1DA7" w:rsidP="005B1DA7">
      <w:pPr>
        <w:spacing w:before="60"/>
        <w:jc w:val="both"/>
        <w:rPr>
          <w:rFonts w:cs="Arial"/>
        </w:rPr>
      </w:pPr>
      <w:r w:rsidRPr="004B3CCB">
        <w:rPr>
          <w:rFonts w:cs="Arial"/>
        </w:rPr>
        <w:t>Last known address of liable person:</w:t>
      </w:r>
    </w:p>
    <w:p w:rsidR="005B1DA7" w:rsidRPr="004B3CCB" w:rsidRDefault="005B1DA7" w:rsidP="005B1DA7">
      <w:pPr>
        <w:pStyle w:val="Specials"/>
        <w:rPr>
          <w:bCs/>
        </w:rPr>
      </w:pPr>
      <w:r w:rsidRPr="004B3CCB">
        <w:t xml:space="preserve">Details of </w:t>
      </w:r>
      <w:r w:rsidR="00612221" w:rsidRPr="004B3CCB">
        <w:t>judgment</w:t>
      </w:r>
      <w:r w:rsidRPr="004B3CCB">
        <w:rPr>
          <w:rStyle w:val="FootnoteReference"/>
          <w:b w:val="0"/>
          <w:bCs/>
          <w:sz w:val="23"/>
          <w:szCs w:val="23"/>
        </w:rPr>
        <w:t>2</w:t>
      </w:r>
    </w:p>
    <w:p w:rsidR="005B1DA7" w:rsidRPr="004B3CCB" w:rsidRDefault="005B1DA7" w:rsidP="005B1DA7">
      <w:pPr>
        <w:spacing w:before="60"/>
        <w:jc w:val="both"/>
        <w:rPr>
          <w:rFonts w:cs="Arial"/>
        </w:rPr>
      </w:pPr>
      <w:r w:rsidRPr="004B3CCB">
        <w:rPr>
          <w:rFonts w:cs="Arial"/>
        </w:rPr>
        <w:t>Court or tribunal:</w:t>
      </w:r>
    </w:p>
    <w:p w:rsidR="005B1DA7" w:rsidRPr="004B3CCB" w:rsidRDefault="005B1DA7" w:rsidP="005B1DA7">
      <w:pPr>
        <w:spacing w:before="60"/>
        <w:jc w:val="both"/>
        <w:rPr>
          <w:rFonts w:cs="Arial"/>
        </w:rPr>
      </w:pPr>
      <w:r w:rsidRPr="004B3CCB">
        <w:rPr>
          <w:rFonts w:cs="Arial"/>
        </w:rPr>
        <w:t>Judge:</w:t>
      </w:r>
    </w:p>
    <w:p w:rsidR="005B1DA7" w:rsidRPr="004B3CCB" w:rsidRDefault="005B1DA7" w:rsidP="005B1DA7">
      <w:pPr>
        <w:spacing w:before="60"/>
        <w:jc w:val="both"/>
        <w:rPr>
          <w:rFonts w:cs="Arial"/>
        </w:rPr>
      </w:pPr>
      <w:r w:rsidRPr="004B3CCB">
        <w:rPr>
          <w:rFonts w:cs="Arial"/>
        </w:rPr>
        <w:t xml:space="preserve">Date of </w:t>
      </w:r>
      <w:r w:rsidR="00612221" w:rsidRPr="004B3CCB">
        <w:t>judgment</w:t>
      </w:r>
      <w:r w:rsidRPr="004B3CCB">
        <w:rPr>
          <w:rFonts w:cs="Arial"/>
        </w:rPr>
        <w:t>:</w:t>
      </w:r>
    </w:p>
    <w:p w:rsidR="005B1DA7" w:rsidRPr="004B3CCB" w:rsidRDefault="005B1DA7" w:rsidP="005B1DA7">
      <w:pPr>
        <w:spacing w:before="60"/>
        <w:jc w:val="both"/>
      </w:pPr>
      <w:r w:rsidRPr="004B3CCB">
        <w:rPr>
          <w:rFonts w:cs="Arial"/>
        </w:rPr>
        <w:t>Where made:</w:t>
      </w:r>
    </w:p>
    <w:p w:rsidR="005B1DA7" w:rsidRPr="004B3CCB" w:rsidRDefault="005B1DA7" w:rsidP="005B1DA7">
      <w:pPr>
        <w:shd w:val="clear" w:color="auto" w:fill="FFFFFF"/>
        <w:spacing w:before="120"/>
      </w:pPr>
      <w:r w:rsidRPr="004B3CCB">
        <w:rPr>
          <w:rFonts w:cs="Arial"/>
        </w:rPr>
        <w:t xml:space="preserve">The </w:t>
      </w:r>
      <w:r w:rsidR="00612221" w:rsidRPr="004B3CCB">
        <w:t>judgment</w:t>
      </w:r>
      <w:r w:rsidRPr="004B3CCB">
        <w:rPr>
          <w:rFonts w:cs="Arial"/>
        </w:rPr>
        <w:t xml:space="preserve"> is, or is be to treated as, a registrable NZ </w:t>
      </w:r>
      <w:r w:rsidR="00612221" w:rsidRPr="004B3CCB">
        <w:t>judgment</w:t>
      </w:r>
      <w:r w:rsidRPr="004B3CCB">
        <w:rPr>
          <w:rFonts w:cs="Arial"/>
        </w:rPr>
        <w:t xml:space="preserve"> for the purposes of section</w:t>
      </w:r>
      <w:r w:rsidR="007A397E" w:rsidRPr="004B3CCB">
        <w:rPr>
          <w:rFonts w:cs="Arial"/>
        </w:rPr>
        <w:t> </w:t>
      </w:r>
      <w:r w:rsidRPr="004B3CCB">
        <w:rPr>
          <w:rFonts w:cs="Arial"/>
        </w:rPr>
        <w:t xml:space="preserve">66 of the </w:t>
      </w:r>
      <w:r w:rsidRPr="004B3CCB">
        <w:rPr>
          <w:rFonts w:cs="Arial"/>
          <w:i/>
        </w:rPr>
        <w:t>Trans</w:t>
      </w:r>
      <w:r w:rsidR="00C73F82">
        <w:rPr>
          <w:rFonts w:cs="Arial"/>
          <w:i/>
        </w:rPr>
        <w:noBreakHyphen/>
      </w:r>
      <w:r w:rsidRPr="004B3CCB">
        <w:rPr>
          <w:rFonts w:cs="Arial"/>
          <w:i/>
        </w:rPr>
        <w:t>Tasman Proceedings Act 2010</w:t>
      </w:r>
      <w:r w:rsidRPr="004B3CCB">
        <w:rPr>
          <w:rFonts w:cs="Arial"/>
        </w:rPr>
        <w:t xml:space="preserve"> (Cth) for the following reasons:</w:t>
      </w:r>
      <w:r w:rsidRPr="004B3CCB">
        <w:rPr>
          <w:rFonts w:cs="Arial"/>
          <w:i/>
        </w:rPr>
        <w:t xml:space="preserve"> </w:t>
      </w:r>
      <w:r w:rsidRPr="004B3CCB">
        <w:rPr>
          <w:rFonts w:cs="Arial"/>
        </w:rPr>
        <w:t>[</w:t>
      </w:r>
      <w:r w:rsidRPr="004B3CCB">
        <w:rPr>
          <w:rFonts w:cs="Arial"/>
          <w:i/>
        </w:rPr>
        <w:t>specify</w:t>
      </w:r>
      <w:r w:rsidRPr="004B3CCB">
        <w:rPr>
          <w:rFonts w:cs="Arial"/>
        </w:rPr>
        <w:t>]</w:t>
      </w:r>
      <w:r w:rsidRPr="004B3CCB">
        <w:t>.</w:t>
      </w:r>
    </w:p>
    <w:p w:rsidR="005B1DA7" w:rsidRPr="004B3CCB" w:rsidRDefault="005B1DA7" w:rsidP="005B1DA7">
      <w:pPr>
        <w:shd w:val="clear" w:color="auto" w:fill="FFFFFF"/>
        <w:spacing w:before="60"/>
      </w:pPr>
      <w:r w:rsidRPr="004B3CCB">
        <w:rPr>
          <w:rFonts w:cs="Arial"/>
        </w:rPr>
        <w:t xml:space="preserve">The </w:t>
      </w:r>
      <w:r w:rsidR="00612221" w:rsidRPr="004B3CCB">
        <w:t>judgment</w:t>
      </w:r>
      <w:r w:rsidRPr="004B3CCB">
        <w:rPr>
          <w:rFonts w:cs="Arial"/>
        </w:rPr>
        <w:t xml:space="preserve"> is, in terms of section</w:t>
      </w:r>
      <w:r w:rsidR="007A397E" w:rsidRPr="004B3CCB">
        <w:rPr>
          <w:rFonts w:cs="Arial"/>
        </w:rPr>
        <w:t> </w:t>
      </w:r>
      <w:r w:rsidRPr="004B3CCB">
        <w:rPr>
          <w:rFonts w:cs="Arial"/>
        </w:rPr>
        <w:t xml:space="preserve">75 of the </w:t>
      </w:r>
      <w:r w:rsidRPr="004B3CCB">
        <w:rPr>
          <w:rFonts w:cs="Arial"/>
          <w:i/>
        </w:rPr>
        <w:t>Trans</w:t>
      </w:r>
      <w:r w:rsidR="00C73F82">
        <w:rPr>
          <w:rFonts w:cs="Arial"/>
          <w:i/>
        </w:rPr>
        <w:noBreakHyphen/>
      </w:r>
      <w:r w:rsidRPr="004B3CCB">
        <w:rPr>
          <w:rFonts w:cs="Arial"/>
          <w:i/>
        </w:rPr>
        <w:t>Tasman Proceedings Act 2010</w:t>
      </w:r>
      <w:r w:rsidRPr="004B3CCB">
        <w:rPr>
          <w:i/>
        </w:rPr>
        <w:t xml:space="preserve"> </w:t>
      </w:r>
      <w:r w:rsidRPr="004B3CCB">
        <w:t>(Cth)</w:t>
      </w:r>
      <w:r w:rsidRPr="004B3CCB">
        <w:rPr>
          <w:rFonts w:cs="Arial"/>
        </w:rPr>
        <w:t>, capable of being enforced in the original court or tribunal or in another NZ court or tribunal.</w:t>
      </w:r>
    </w:p>
    <w:p w:rsidR="005B1DA7" w:rsidRPr="004B3CCB" w:rsidRDefault="005B1DA7" w:rsidP="005B1DA7">
      <w:pPr>
        <w:pBdr>
          <w:top w:val="single" w:sz="4" w:space="1" w:color="auto"/>
        </w:pBdr>
        <w:shd w:val="clear" w:color="auto" w:fill="FFFFFF"/>
        <w:spacing w:before="180"/>
        <w:rPr>
          <w:rFonts w:cs="Times New Roman"/>
          <w:sz w:val="16"/>
          <w:szCs w:val="16"/>
        </w:rPr>
      </w:pPr>
      <w:r w:rsidRPr="004B3CCB">
        <w:rPr>
          <w:rFonts w:cs="Times New Roman"/>
          <w:sz w:val="16"/>
          <w:szCs w:val="16"/>
          <w:vertAlign w:val="superscript"/>
        </w:rPr>
        <w:t>1</w:t>
      </w:r>
      <w:r w:rsidRPr="004B3CCB">
        <w:rPr>
          <w:rFonts w:cs="Times New Roman"/>
          <w:sz w:val="16"/>
          <w:szCs w:val="16"/>
        </w:rPr>
        <w:t xml:space="preserve"> If the parties to the original proceeding were called the ‘applicant’ and ‘respondent’ rather than the ‘plaintiff’ and ‘defendant’, substitute those descriptions.</w:t>
      </w:r>
    </w:p>
    <w:p w:rsidR="005B1DA7" w:rsidRPr="004B3CCB" w:rsidRDefault="005B1DA7" w:rsidP="005B1DA7">
      <w:pPr>
        <w:pBdr>
          <w:top w:val="single" w:sz="4" w:space="1" w:color="auto"/>
        </w:pBdr>
        <w:shd w:val="clear" w:color="auto" w:fill="FFFFFF"/>
        <w:spacing w:before="180"/>
        <w:rPr>
          <w:rFonts w:cs="Times New Roman"/>
          <w:sz w:val="16"/>
          <w:szCs w:val="16"/>
        </w:rPr>
      </w:pPr>
      <w:r w:rsidRPr="004B3CCB">
        <w:rPr>
          <w:rFonts w:cs="Times New Roman"/>
          <w:sz w:val="16"/>
          <w:szCs w:val="16"/>
          <w:vertAlign w:val="superscript"/>
        </w:rPr>
        <w:t>2</w:t>
      </w:r>
      <w:r w:rsidRPr="004B3CCB">
        <w:rPr>
          <w:rFonts w:cs="Times New Roman"/>
          <w:sz w:val="16"/>
          <w:szCs w:val="16"/>
        </w:rPr>
        <w:t xml:space="preserve"> If not all provisions of the </w:t>
      </w:r>
      <w:r w:rsidR="00612221" w:rsidRPr="004B3CCB">
        <w:rPr>
          <w:rFonts w:cs="Times New Roman"/>
          <w:sz w:val="16"/>
          <w:szCs w:val="16"/>
        </w:rPr>
        <w:t>judgment</w:t>
      </w:r>
      <w:r w:rsidRPr="004B3CCB">
        <w:rPr>
          <w:rFonts w:cs="Times New Roman"/>
          <w:sz w:val="16"/>
          <w:szCs w:val="16"/>
        </w:rPr>
        <w:t xml:space="preserve"> are registrable, change to ‘Details of the registrable provisions’ and only provide details of the provisions for which registration is sought.</w:t>
      </w:r>
    </w:p>
    <w:p w:rsidR="005B1DA7" w:rsidRPr="004B3CCB" w:rsidRDefault="005B1DA7" w:rsidP="00291C10">
      <w:pPr>
        <w:pageBreakBefore/>
        <w:spacing w:before="240" w:after="100" w:afterAutospacing="1"/>
        <w:jc w:val="both"/>
        <w:rPr>
          <w:rFonts w:cs="Arial"/>
          <w:b/>
          <w:i/>
        </w:rPr>
      </w:pPr>
      <w:r w:rsidRPr="004B3CCB">
        <w:rPr>
          <w:rFonts w:cs="Arial"/>
          <w:b/>
          <w:i/>
        </w:rPr>
        <w:t xml:space="preserve">If the </w:t>
      </w:r>
      <w:r w:rsidR="00612221" w:rsidRPr="004B3CCB">
        <w:rPr>
          <w:rFonts w:cs="Arial"/>
          <w:b/>
          <w:i/>
        </w:rPr>
        <w:t>judgment</w:t>
      </w:r>
      <w:r w:rsidRPr="004B3CCB">
        <w:rPr>
          <w:rFonts w:cs="Arial"/>
          <w:b/>
          <w:i/>
        </w:rPr>
        <w:t xml:space="preserve"> is a money </w:t>
      </w:r>
      <w:r w:rsidR="00612221" w:rsidRPr="004B3CCB">
        <w:rPr>
          <w:rFonts w:cs="Arial"/>
          <w:b/>
          <w:i/>
        </w:rPr>
        <w:t>judgment</w:t>
      </w:r>
    </w:p>
    <w:p w:rsidR="005B1DA7" w:rsidRPr="004B3CCB" w:rsidRDefault="005B1DA7" w:rsidP="005B1DA7">
      <w:pPr>
        <w:spacing w:before="240"/>
        <w:rPr>
          <w:rFonts w:cs="Arial"/>
          <w:lang w:eastAsia="en-NZ"/>
        </w:rPr>
      </w:pPr>
      <w:r w:rsidRPr="004B3CCB">
        <w:rPr>
          <w:rFonts w:cs="Arial"/>
        </w:rPr>
        <w:t>Amount:</w:t>
      </w:r>
      <w:r w:rsidRPr="004B3CCB">
        <w:rPr>
          <w:rFonts w:cs="Arial"/>
          <w:lang w:eastAsia="en-NZ"/>
        </w:rPr>
        <w:t xml:space="preserve"> </w:t>
      </w:r>
      <w:r w:rsidRPr="004B3CCB">
        <w:rPr>
          <w:rFonts w:cs="Arial"/>
        </w:rPr>
        <w:t>[</w:t>
      </w:r>
      <w:r w:rsidRPr="004B3CCB">
        <w:rPr>
          <w:rFonts w:cs="Arial"/>
          <w:i/>
        </w:rPr>
        <w:t xml:space="preserve">expressed in the currency in which </w:t>
      </w:r>
      <w:r w:rsidR="00612221" w:rsidRPr="004B3CCB">
        <w:rPr>
          <w:rFonts w:cs="Arial"/>
          <w:i/>
        </w:rPr>
        <w:t>judgment</w:t>
      </w:r>
      <w:r w:rsidRPr="004B3CCB">
        <w:rPr>
          <w:rFonts w:cs="Arial"/>
          <w:i/>
        </w:rPr>
        <w:t xml:space="preserve"> was given</w:t>
      </w:r>
      <w:r w:rsidRPr="004B3CCB">
        <w:rPr>
          <w:rFonts w:cs="Arial"/>
        </w:rPr>
        <w:t>].</w:t>
      </w:r>
    </w:p>
    <w:p w:rsidR="005B1DA7" w:rsidRPr="004B3CCB" w:rsidRDefault="005B1DA7" w:rsidP="005B1DA7">
      <w:pPr>
        <w:spacing w:before="240"/>
        <w:rPr>
          <w:rFonts w:cs="Arial"/>
          <w:lang w:eastAsia="en-NZ"/>
        </w:rPr>
      </w:pPr>
      <w:r w:rsidRPr="004B3CCB">
        <w:rPr>
          <w:rFonts w:cs="Arial"/>
        </w:rPr>
        <w:t>The</w:t>
      </w:r>
      <w:r w:rsidRPr="004B3CCB">
        <w:rPr>
          <w:rFonts w:cs="Arial"/>
          <w:lang w:eastAsia="en-NZ"/>
        </w:rPr>
        <w:t xml:space="preserve"> applicant [</w:t>
      </w:r>
      <w:r w:rsidRPr="004B3CCB">
        <w:rPr>
          <w:rFonts w:cs="Arial"/>
          <w:i/>
          <w:lang w:eastAsia="en-NZ"/>
        </w:rPr>
        <w:t>wants/does not want</w:t>
      </w:r>
      <w:r w:rsidR="00C73F82" w:rsidRPr="00C73F82">
        <w:rPr>
          <w:rFonts w:cs="Arial"/>
          <w:position w:val="6"/>
          <w:sz w:val="16"/>
          <w:lang w:eastAsia="en-NZ"/>
        </w:rPr>
        <w:t>*</w:t>
      </w:r>
      <w:r w:rsidRPr="004B3CCB">
        <w:rPr>
          <w:rFonts w:cs="Arial"/>
          <w:lang w:eastAsia="en-NZ"/>
        </w:rPr>
        <w:t xml:space="preserve">] the </w:t>
      </w:r>
      <w:r w:rsidR="00612221" w:rsidRPr="004B3CCB">
        <w:rPr>
          <w:rFonts w:cs="Arial"/>
          <w:lang w:eastAsia="en-NZ"/>
        </w:rPr>
        <w:t>judgment</w:t>
      </w:r>
      <w:r w:rsidRPr="004B3CCB">
        <w:rPr>
          <w:rFonts w:cs="Arial"/>
          <w:lang w:eastAsia="en-NZ"/>
        </w:rPr>
        <w:t xml:space="preserve"> registered in the foreign currency in which it was given.</w:t>
      </w:r>
    </w:p>
    <w:p w:rsidR="005B1DA7" w:rsidRPr="004B3CCB" w:rsidRDefault="005B1DA7" w:rsidP="005B1DA7">
      <w:pPr>
        <w:spacing w:before="240"/>
        <w:rPr>
          <w:rFonts w:cs="Arial"/>
        </w:rPr>
      </w:pPr>
      <w:r w:rsidRPr="004B3CCB">
        <w:rPr>
          <w:rFonts w:cs="Arial"/>
        </w:rPr>
        <w:t xml:space="preserve">The applicant wants the </w:t>
      </w:r>
      <w:r w:rsidR="00612221" w:rsidRPr="004B3CCB">
        <w:t>judgment</w:t>
      </w:r>
      <w:r w:rsidRPr="004B3CCB">
        <w:rPr>
          <w:rFonts w:cs="Arial"/>
        </w:rPr>
        <w:t xml:space="preserve"> to be registered in [</w:t>
      </w:r>
      <w:r w:rsidRPr="004B3CCB">
        <w:rPr>
          <w:rFonts w:cs="Arial"/>
          <w:i/>
        </w:rPr>
        <w:t>the</w:t>
      </w:r>
      <w:r w:rsidRPr="004B3CCB">
        <w:rPr>
          <w:rFonts w:cs="Arial"/>
        </w:rPr>
        <w:t xml:space="preserve"> </w:t>
      </w:r>
      <w:r w:rsidRPr="004B3CCB">
        <w:rPr>
          <w:rFonts w:cs="Arial"/>
          <w:i/>
        </w:rPr>
        <w:t xml:space="preserve">currency in which </w:t>
      </w:r>
      <w:r w:rsidR="00612221" w:rsidRPr="004B3CCB">
        <w:rPr>
          <w:rFonts w:cs="Arial"/>
          <w:i/>
        </w:rPr>
        <w:t>judgment</w:t>
      </w:r>
      <w:r w:rsidRPr="004B3CCB">
        <w:rPr>
          <w:rFonts w:cs="Arial"/>
          <w:i/>
        </w:rPr>
        <w:t xml:space="preserve"> is to be registered</w:t>
      </w:r>
      <w:r w:rsidRPr="004B3CCB">
        <w:rPr>
          <w:rFonts w:cs="Arial"/>
        </w:rPr>
        <w:t>].</w:t>
      </w:r>
    </w:p>
    <w:p w:rsidR="005B1DA7" w:rsidRPr="004B3CCB" w:rsidRDefault="005B1DA7" w:rsidP="005B1DA7">
      <w:pPr>
        <w:spacing w:before="240"/>
        <w:rPr>
          <w:rFonts w:cs="Arial"/>
          <w:lang w:eastAsia="en-NZ"/>
        </w:rPr>
      </w:pPr>
      <w:r w:rsidRPr="004B3CCB">
        <w:rPr>
          <w:rFonts w:cs="Arial"/>
        </w:rPr>
        <w:t>Balance remaining payable: [</w:t>
      </w:r>
      <w:r w:rsidRPr="004B3CCB">
        <w:rPr>
          <w:rFonts w:cs="Arial"/>
          <w:i/>
        </w:rPr>
        <w:t xml:space="preserve">expressed in the currency in which the </w:t>
      </w:r>
      <w:r w:rsidR="00612221" w:rsidRPr="004B3CCB">
        <w:rPr>
          <w:rFonts w:cs="Arial"/>
          <w:i/>
        </w:rPr>
        <w:t>judgment</w:t>
      </w:r>
      <w:r w:rsidRPr="004B3CCB">
        <w:rPr>
          <w:rFonts w:cs="Arial"/>
          <w:i/>
        </w:rPr>
        <w:t xml:space="preserve"> was given</w:t>
      </w:r>
      <w:r w:rsidRPr="004B3CCB">
        <w:rPr>
          <w:rFonts w:cs="Arial"/>
        </w:rPr>
        <w:t>].</w:t>
      </w:r>
    </w:p>
    <w:p w:rsidR="005B1DA7" w:rsidRPr="004B3CCB" w:rsidRDefault="005B1DA7" w:rsidP="005B1DA7">
      <w:pPr>
        <w:spacing w:before="240"/>
      </w:pPr>
      <w:r w:rsidRPr="004B3CCB">
        <w:rPr>
          <w:rFonts w:cs="Arial"/>
        </w:rPr>
        <w:t xml:space="preserve">The rate of interest carried by the </w:t>
      </w:r>
      <w:r w:rsidR="00612221" w:rsidRPr="004B3CCB">
        <w:t>judgment</w:t>
      </w:r>
      <w:r w:rsidRPr="004B3CCB">
        <w:rPr>
          <w:rFonts w:cs="Arial"/>
        </w:rPr>
        <w:t xml:space="preserve"> by [</w:t>
      </w:r>
      <w:r w:rsidRPr="004B3CCB">
        <w:rPr>
          <w:rFonts w:cs="Arial"/>
          <w:i/>
        </w:rPr>
        <w:t>NZ law under which it was given</w:t>
      </w:r>
      <w:r w:rsidRPr="004B3CCB">
        <w:rPr>
          <w:rFonts w:cs="Arial"/>
        </w:rPr>
        <w:t>]</w:t>
      </w:r>
      <w:r w:rsidRPr="004B3CCB">
        <w:rPr>
          <w:rFonts w:cs="Arial"/>
          <w:i/>
        </w:rPr>
        <w:t xml:space="preserve"> </w:t>
      </w:r>
      <w:r w:rsidRPr="004B3CCB">
        <w:rPr>
          <w:rFonts w:cs="Arial"/>
        </w:rPr>
        <w:t>is</w:t>
      </w:r>
      <w:r w:rsidRPr="004B3CCB">
        <w:rPr>
          <w:rFonts w:cs="Arial"/>
          <w:i/>
        </w:rPr>
        <w:t xml:space="preserve"> </w:t>
      </w:r>
      <w:r w:rsidRPr="004B3CCB">
        <w:rPr>
          <w:rFonts w:cs="Arial"/>
        </w:rPr>
        <w:t>[</w:t>
      </w:r>
      <w:r w:rsidRPr="004B3CCB">
        <w:rPr>
          <w:rFonts w:cs="Arial"/>
          <w:i/>
        </w:rPr>
        <w:t>rate</w:t>
      </w:r>
      <w:r w:rsidRPr="004B3CCB">
        <w:rPr>
          <w:rFonts w:cs="Arial"/>
        </w:rPr>
        <w:t>]%. The amount of interest which, by that law, has become due up to the time of this application is</w:t>
      </w:r>
      <w:r w:rsidRPr="004B3CCB">
        <w:rPr>
          <w:rFonts w:cs="Arial"/>
          <w:color w:val="000000"/>
          <w:lang w:eastAsia="en-NZ"/>
        </w:rPr>
        <w:t xml:space="preserve"> </w:t>
      </w:r>
      <w:r w:rsidRPr="004B3CCB">
        <w:rPr>
          <w:rFonts w:cs="Arial"/>
        </w:rPr>
        <w:t>[</w:t>
      </w:r>
      <w:r w:rsidRPr="004B3CCB">
        <w:rPr>
          <w:rFonts w:cs="Arial"/>
          <w:i/>
        </w:rPr>
        <w:t xml:space="preserve">expressed in the currency in which the </w:t>
      </w:r>
      <w:r w:rsidR="00612221" w:rsidRPr="004B3CCB">
        <w:rPr>
          <w:rFonts w:cs="Arial"/>
          <w:i/>
        </w:rPr>
        <w:t>judgment</w:t>
      </w:r>
      <w:r w:rsidRPr="004B3CCB">
        <w:rPr>
          <w:rFonts w:cs="Arial"/>
          <w:i/>
        </w:rPr>
        <w:t xml:space="preserve"> was given</w:t>
      </w:r>
      <w:r w:rsidRPr="004B3CCB">
        <w:rPr>
          <w:rFonts w:cs="Arial"/>
        </w:rPr>
        <w:t>]</w:t>
      </w:r>
      <w:r w:rsidRPr="004B3CCB">
        <w:rPr>
          <w:rFonts w:cs="Arial"/>
          <w:i/>
        </w:rPr>
        <w:t>.</w:t>
      </w:r>
    </w:p>
    <w:p w:rsidR="005B1DA7" w:rsidRPr="004B3CCB" w:rsidRDefault="005B1DA7" w:rsidP="005B1DA7">
      <w:pPr>
        <w:spacing w:before="240"/>
        <w:rPr>
          <w:rFonts w:cs="Arial"/>
          <w:b/>
          <w:i/>
        </w:rPr>
      </w:pPr>
      <w:r w:rsidRPr="004B3CCB">
        <w:rPr>
          <w:rFonts w:cs="Arial"/>
          <w:b/>
          <w:i/>
        </w:rPr>
        <w:t xml:space="preserve">If the </w:t>
      </w:r>
      <w:r w:rsidR="00612221" w:rsidRPr="004B3CCB">
        <w:rPr>
          <w:rFonts w:cs="Arial"/>
          <w:b/>
          <w:i/>
        </w:rPr>
        <w:t>judgment</w:t>
      </w:r>
      <w:r w:rsidRPr="004B3CCB">
        <w:rPr>
          <w:rFonts w:cs="Arial"/>
          <w:b/>
          <w:i/>
        </w:rPr>
        <w:t xml:space="preserve"> is for something other than the payment of money</w:t>
      </w:r>
    </w:p>
    <w:p w:rsidR="005B1DA7" w:rsidRPr="004B3CCB" w:rsidRDefault="005B1DA7" w:rsidP="005B1DA7">
      <w:pPr>
        <w:spacing w:before="240"/>
        <w:rPr>
          <w:rFonts w:cs="Arial"/>
        </w:rPr>
      </w:pPr>
      <w:r w:rsidRPr="004B3CCB">
        <w:rPr>
          <w:rFonts w:cs="Arial"/>
        </w:rPr>
        <w:t xml:space="preserve">Terms of </w:t>
      </w:r>
      <w:r w:rsidR="00612221" w:rsidRPr="004B3CCB">
        <w:rPr>
          <w:rFonts w:cs="Arial"/>
        </w:rPr>
        <w:t>judgment</w:t>
      </w:r>
      <w:r w:rsidRPr="004B3CCB">
        <w:rPr>
          <w:rFonts w:cs="Arial"/>
        </w:rPr>
        <w:t>:</w:t>
      </w:r>
    </w:p>
    <w:p w:rsidR="005B1DA7" w:rsidRPr="004B3CCB" w:rsidRDefault="005B1DA7" w:rsidP="005B1DA7">
      <w:pPr>
        <w:pStyle w:val="labelled"/>
        <w:shd w:val="clear" w:color="auto" w:fill="FFFFFF"/>
        <w:spacing w:before="240"/>
        <w:jc w:val="both"/>
        <w:rPr>
          <w:rFonts w:ascii="Arial" w:hAnsi="Arial" w:cs="Arial"/>
          <w:b/>
          <w:color w:val="000000"/>
          <w:sz w:val="23"/>
          <w:szCs w:val="23"/>
          <w:lang w:val="en-AU"/>
        </w:rPr>
      </w:pPr>
      <w:r w:rsidRPr="004B3CCB">
        <w:rPr>
          <w:rFonts w:ascii="Arial" w:hAnsi="Arial" w:cs="Arial"/>
          <w:b/>
          <w:color w:val="000000"/>
          <w:sz w:val="23"/>
          <w:szCs w:val="23"/>
          <w:lang w:val="en-AU"/>
        </w:rPr>
        <w:t>Costs</w:t>
      </w:r>
    </w:p>
    <w:p w:rsidR="005B1DA7" w:rsidRPr="004B3CCB" w:rsidRDefault="005B1DA7" w:rsidP="005B1DA7">
      <w:pPr>
        <w:spacing w:before="240"/>
        <w:rPr>
          <w:rFonts w:cs="Arial"/>
        </w:rPr>
      </w:pPr>
      <w:r w:rsidRPr="004B3CCB">
        <w:rPr>
          <w:rFonts w:cs="Arial"/>
        </w:rPr>
        <w:t xml:space="preserve">Costs of registration of the </w:t>
      </w:r>
      <w:r w:rsidR="00612221" w:rsidRPr="004B3CCB">
        <w:rPr>
          <w:rFonts w:cs="Arial"/>
        </w:rPr>
        <w:t>judgment</w:t>
      </w:r>
      <w:r w:rsidRPr="004B3CCB">
        <w:rPr>
          <w:rFonts w:cs="Arial"/>
        </w:rPr>
        <w:t>: [</w:t>
      </w:r>
      <w:r w:rsidRPr="004B3CCB">
        <w:rPr>
          <w:rFonts w:cs="Arial"/>
          <w:i/>
        </w:rPr>
        <w:t>specify the amount and the currency</w:t>
      </w:r>
      <w:r w:rsidRPr="004B3CCB">
        <w:rPr>
          <w:rFonts w:cs="Arial"/>
        </w:rPr>
        <w:t>].</w:t>
      </w:r>
    </w:p>
    <w:p w:rsidR="005B1DA7" w:rsidRPr="004B3CCB" w:rsidRDefault="005B1DA7" w:rsidP="005B1DA7">
      <w:pPr>
        <w:spacing w:before="240"/>
        <w:rPr>
          <w:rFonts w:cs="Arial"/>
        </w:rPr>
      </w:pPr>
      <w:r w:rsidRPr="004B3CCB">
        <w:rPr>
          <w:rFonts w:cs="Arial"/>
        </w:rPr>
        <w:t xml:space="preserve">Costs of enforcing the </w:t>
      </w:r>
      <w:r w:rsidR="00612221" w:rsidRPr="004B3CCB">
        <w:rPr>
          <w:rFonts w:cs="Arial"/>
        </w:rPr>
        <w:t>judgment</w:t>
      </w:r>
      <w:r w:rsidRPr="004B3CCB">
        <w:rPr>
          <w:rFonts w:cs="Arial"/>
        </w:rPr>
        <w:t xml:space="preserve"> in the original court or tribunal: [</w:t>
      </w:r>
      <w:r w:rsidRPr="004B3CCB">
        <w:rPr>
          <w:rFonts w:cs="Arial"/>
          <w:i/>
        </w:rPr>
        <w:t>calculated in accordance with section</w:t>
      </w:r>
      <w:r w:rsidR="007A397E" w:rsidRPr="004B3CCB">
        <w:rPr>
          <w:rFonts w:cs="Arial"/>
          <w:i/>
        </w:rPr>
        <w:t> </w:t>
      </w:r>
      <w:r w:rsidRPr="004B3CCB">
        <w:rPr>
          <w:rFonts w:cs="Arial"/>
          <w:i/>
        </w:rPr>
        <w:t>77 of the Trans</w:t>
      </w:r>
      <w:r w:rsidR="00C73F82">
        <w:rPr>
          <w:rFonts w:cs="Arial"/>
          <w:i/>
        </w:rPr>
        <w:noBreakHyphen/>
      </w:r>
      <w:r w:rsidRPr="004B3CCB">
        <w:rPr>
          <w:rFonts w:cs="Arial"/>
          <w:i/>
        </w:rPr>
        <w:t>Tasman Proceedings Act 2010</w:t>
      </w:r>
      <w:r w:rsidRPr="004B3CCB">
        <w:rPr>
          <w:i/>
        </w:rPr>
        <w:t xml:space="preserve"> </w:t>
      </w:r>
      <w:r w:rsidRPr="004B3CCB">
        <w:t>(Cth)</w:t>
      </w:r>
      <w:r w:rsidRPr="004B3CCB">
        <w:rPr>
          <w:rFonts w:cs="Arial"/>
        </w:rPr>
        <w:t>].</w:t>
      </w:r>
    </w:p>
    <w:p w:rsidR="005B1DA7" w:rsidRPr="004B3CCB" w:rsidRDefault="005B1DA7" w:rsidP="005B1DA7">
      <w:pPr>
        <w:spacing w:before="240"/>
        <w:rPr>
          <w:rFonts w:cs="Arial"/>
          <w:i/>
        </w:rPr>
      </w:pPr>
      <w:r w:rsidRPr="004B3CCB">
        <w:rPr>
          <w:rFonts w:cs="Arial"/>
        </w:rPr>
        <w:t>[</w:t>
      </w:r>
      <w:r w:rsidRPr="004B3CCB">
        <w:rPr>
          <w:rFonts w:cs="Arial"/>
          <w:i/>
        </w:rPr>
        <w:t>Attach all relevant documents showing costs incurred</w:t>
      </w:r>
      <w:r w:rsidRPr="004B3CCB">
        <w:rPr>
          <w:rFonts w:cs="Arial"/>
        </w:rPr>
        <w:t>.]</w:t>
      </w:r>
    </w:p>
    <w:p w:rsidR="005B1DA7" w:rsidRPr="004B3CCB" w:rsidRDefault="005B1DA7" w:rsidP="005B1DA7">
      <w:pPr>
        <w:spacing w:before="240"/>
        <w:rPr>
          <w:rFonts w:cs="Arial"/>
        </w:rPr>
      </w:pPr>
      <w:r w:rsidRPr="004B3CCB">
        <w:rPr>
          <w:rFonts w:cs="Arial"/>
        </w:rPr>
        <w:t>I confirm that the information provided in this form is correct.</w:t>
      </w:r>
    </w:p>
    <w:p w:rsidR="005B1DA7" w:rsidRPr="004B3CCB" w:rsidRDefault="005B1DA7" w:rsidP="005B1DA7">
      <w:pPr>
        <w:spacing w:before="240"/>
        <w:rPr>
          <w:rFonts w:cs="Arial"/>
        </w:rPr>
      </w:pPr>
      <w:r w:rsidRPr="004B3CCB">
        <w:rPr>
          <w:rFonts w:cs="Arial"/>
        </w:rPr>
        <w:t>Date:</w:t>
      </w:r>
    </w:p>
    <w:p w:rsidR="005B1DA7" w:rsidRPr="004B3CCB" w:rsidRDefault="005B1DA7" w:rsidP="00E54CF1">
      <w:pPr>
        <w:keepNext/>
        <w:spacing w:before="240"/>
        <w:rPr>
          <w:rFonts w:cs="Arial"/>
        </w:rPr>
      </w:pPr>
      <w:r w:rsidRPr="004B3CCB">
        <w:rPr>
          <w:rFonts w:cs="Arial"/>
        </w:rPr>
        <w:t>Signature:</w:t>
      </w:r>
    </w:p>
    <w:p w:rsidR="005B1DA7" w:rsidRPr="004B3CCB" w:rsidRDefault="005B1DA7" w:rsidP="00E54CF1">
      <w:pPr>
        <w:keepNext/>
        <w:spacing w:before="120"/>
        <w:rPr>
          <w:rFonts w:cs="Arial"/>
        </w:rPr>
      </w:pPr>
      <w:r w:rsidRPr="004B3CCB">
        <w:rPr>
          <w:rFonts w:cs="Arial"/>
        </w:rPr>
        <w:t>[</w:t>
      </w:r>
      <w:r w:rsidRPr="004B3CCB">
        <w:rPr>
          <w:rFonts w:cs="Arial"/>
          <w:i/>
        </w:rPr>
        <w:t>Applicant/Solicitor for Applicant/Counsel for Applicant</w:t>
      </w:r>
      <w:r w:rsidR="00C73F82" w:rsidRPr="00C73F82">
        <w:rPr>
          <w:rFonts w:cs="Arial"/>
          <w:position w:val="6"/>
          <w:sz w:val="16"/>
        </w:rPr>
        <w:t>*</w:t>
      </w:r>
      <w:r w:rsidRPr="004B3CCB">
        <w:rPr>
          <w:rFonts w:cs="Arial"/>
        </w:rPr>
        <w:t>]</w:t>
      </w:r>
    </w:p>
    <w:p w:rsidR="005B1DA7" w:rsidRPr="004B3CCB" w:rsidRDefault="00C73F82" w:rsidP="005B1DA7">
      <w:pPr>
        <w:spacing w:before="120"/>
        <w:rPr>
          <w:rFonts w:cs="Arial"/>
          <w:sz w:val="16"/>
          <w:szCs w:val="16"/>
        </w:rPr>
      </w:pPr>
      <w:r w:rsidRPr="00C73F82">
        <w:rPr>
          <w:rFonts w:cs="Arial"/>
          <w:position w:val="6"/>
          <w:sz w:val="16"/>
          <w:szCs w:val="16"/>
        </w:rPr>
        <w:t>*</w:t>
      </w:r>
      <w:r w:rsidR="005B1DA7" w:rsidRPr="004B3CCB">
        <w:rPr>
          <w:rFonts w:cs="Arial"/>
          <w:sz w:val="16"/>
          <w:szCs w:val="16"/>
        </w:rPr>
        <w:t>Select one</w:t>
      </w:r>
    </w:p>
    <w:p w:rsidR="005B1DA7" w:rsidRPr="004B3CCB" w:rsidRDefault="005B1DA7" w:rsidP="005B1DA7">
      <w:pPr>
        <w:pStyle w:val="ActHead2"/>
        <w:pageBreakBefore/>
        <w:rPr>
          <w:szCs w:val="26"/>
        </w:rPr>
      </w:pPr>
      <w:bookmarkStart w:id="32" w:name="_Toc164357211"/>
      <w:r w:rsidRPr="00C73F82">
        <w:rPr>
          <w:rStyle w:val="CharPartNo"/>
        </w:rPr>
        <w:t>Form 6</w:t>
      </w:r>
      <w:r w:rsidRPr="004B3CCB">
        <w:rPr>
          <w:szCs w:val="26"/>
        </w:rPr>
        <w:t>—</w:t>
      </w:r>
      <w:r w:rsidRPr="00C73F82">
        <w:rPr>
          <w:rStyle w:val="CharPartText"/>
        </w:rPr>
        <w:t xml:space="preserve">Notice to liable person of registration of a NZ </w:t>
      </w:r>
      <w:r w:rsidR="00612221" w:rsidRPr="00C73F82">
        <w:rPr>
          <w:rStyle w:val="CharPartText"/>
        </w:rPr>
        <w:t>judgment</w:t>
      </w:r>
      <w:r w:rsidRPr="00C73F82">
        <w:rPr>
          <w:rStyle w:val="CharPartText"/>
        </w:rPr>
        <w:t xml:space="preserve"> under the Trans</w:t>
      </w:r>
      <w:r w:rsidR="00C73F82" w:rsidRPr="00C73F82">
        <w:rPr>
          <w:rStyle w:val="CharPartText"/>
        </w:rPr>
        <w:noBreakHyphen/>
      </w:r>
      <w:r w:rsidRPr="00C73F82">
        <w:rPr>
          <w:rStyle w:val="CharPartText"/>
        </w:rPr>
        <w:t>Tasman Proceedings Act 2010</w:t>
      </w:r>
      <w:bookmarkEnd w:id="32"/>
    </w:p>
    <w:p w:rsidR="005B1DA7" w:rsidRPr="004B3CCB" w:rsidRDefault="005B1DA7" w:rsidP="005B1DA7">
      <w:pPr>
        <w:pStyle w:val="notemargin"/>
        <w:ind w:firstLine="425"/>
      </w:pPr>
      <w:r w:rsidRPr="004B3CCB">
        <w:t>(sub</w:t>
      </w:r>
      <w:r w:rsidR="00C73F82">
        <w:t>section 1</w:t>
      </w:r>
      <w:r w:rsidRPr="004B3CCB">
        <w:t>9(1))</w:t>
      </w:r>
    </w:p>
    <w:p w:rsidR="005B1DA7" w:rsidRPr="004B3CCB" w:rsidRDefault="005B1DA7" w:rsidP="005B1DA7">
      <w:pPr>
        <w:shd w:val="clear" w:color="auto" w:fill="FFFFFF"/>
        <w:spacing w:before="480"/>
        <w:rPr>
          <w:rFonts w:cs="Arial"/>
          <w:color w:val="000000"/>
          <w:szCs w:val="22"/>
          <w:lang w:eastAsia="en-NZ"/>
        </w:rPr>
      </w:pPr>
      <w:r w:rsidRPr="004B3CCB">
        <w:rPr>
          <w:rFonts w:cs="Arial"/>
          <w:color w:val="000000"/>
          <w:szCs w:val="22"/>
          <w:lang w:eastAsia="en-NZ"/>
        </w:rPr>
        <w:t>Please read this notice very carefully.</w:t>
      </w:r>
    </w:p>
    <w:p w:rsidR="005B1DA7" w:rsidRPr="004B3CCB" w:rsidRDefault="005B1DA7" w:rsidP="005B1DA7">
      <w:pPr>
        <w:shd w:val="clear" w:color="auto" w:fill="FFFFFF"/>
        <w:spacing w:before="240" w:after="240"/>
        <w:rPr>
          <w:rFonts w:cs="Arial"/>
          <w:color w:val="000000"/>
          <w:szCs w:val="22"/>
          <w:lang w:eastAsia="en-NZ"/>
        </w:rPr>
      </w:pPr>
      <w:r w:rsidRPr="004B3CCB">
        <w:rPr>
          <w:rFonts w:cs="Arial"/>
          <w:color w:val="000000"/>
          <w:szCs w:val="22"/>
          <w:lang w:eastAsia="en-NZ"/>
        </w:rPr>
        <w:t>If you have any trouble understanding the notice, you should get legal advice as soon as possible.</w:t>
      </w:r>
    </w:p>
    <w:p w:rsidR="005B1DA7" w:rsidRPr="004B3CCB" w:rsidRDefault="005B1DA7" w:rsidP="005B1DA7">
      <w:pPr>
        <w:shd w:val="clear" w:color="auto" w:fill="FFFFFF"/>
        <w:spacing w:after="120"/>
        <w:rPr>
          <w:rFonts w:cs="Arial"/>
          <w:i/>
          <w:color w:val="000000"/>
          <w:szCs w:val="22"/>
          <w:lang w:eastAsia="en-NZ"/>
        </w:rPr>
      </w:pPr>
      <w:r w:rsidRPr="004B3CCB">
        <w:rPr>
          <w:rFonts w:cs="Arial"/>
          <w:color w:val="000000"/>
          <w:szCs w:val="22"/>
          <w:lang w:eastAsia="en-NZ"/>
        </w:rPr>
        <w:t xml:space="preserve">Attached to this notice is a copy of the </w:t>
      </w:r>
      <w:r w:rsidR="00612221" w:rsidRPr="004B3CCB">
        <w:rPr>
          <w:rFonts w:cs="Arial"/>
          <w:color w:val="000000"/>
          <w:szCs w:val="22"/>
          <w:lang w:eastAsia="en-NZ"/>
        </w:rPr>
        <w:t>judgment</w:t>
      </w:r>
      <w:r w:rsidRPr="004B3CCB">
        <w:rPr>
          <w:rFonts w:cs="Arial"/>
          <w:color w:val="000000"/>
          <w:szCs w:val="22"/>
          <w:lang w:eastAsia="en-NZ"/>
        </w:rPr>
        <w:t xml:space="preserve"> given by [</w:t>
      </w:r>
      <w:r w:rsidRPr="004B3CCB">
        <w:rPr>
          <w:rFonts w:cs="Arial"/>
          <w:i/>
          <w:color w:val="000000"/>
          <w:szCs w:val="22"/>
          <w:lang w:eastAsia="en-NZ"/>
        </w:rPr>
        <w:t>NZ court or tribunal</w:t>
      </w:r>
      <w:r w:rsidRPr="004B3CCB">
        <w:rPr>
          <w:rFonts w:cs="Arial"/>
          <w:color w:val="000000"/>
          <w:szCs w:val="22"/>
          <w:lang w:eastAsia="en-NZ"/>
        </w:rPr>
        <w:t xml:space="preserve">]. This </w:t>
      </w:r>
      <w:r w:rsidR="00612221" w:rsidRPr="004B3CCB">
        <w:rPr>
          <w:rFonts w:cs="Arial"/>
          <w:color w:val="000000"/>
          <w:szCs w:val="22"/>
          <w:lang w:eastAsia="en-NZ"/>
        </w:rPr>
        <w:t>judgment</w:t>
      </w:r>
      <w:r w:rsidRPr="004B3CCB">
        <w:rPr>
          <w:rFonts w:cs="Arial"/>
          <w:color w:val="000000"/>
          <w:szCs w:val="22"/>
          <w:lang w:eastAsia="en-NZ"/>
        </w:rPr>
        <w:t xml:space="preserve"> has been registered in the [</w:t>
      </w:r>
      <w:r w:rsidRPr="004B3CCB">
        <w:rPr>
          <w:rFonts w:cs="Arial"/>
          <w:i/>
          <w:color w:val="000000"/>
          <w:szCs w:val="22"/>
          <w:lang w:eastAsia="en-NZ"/>
        </w:rPr>
        <w:t>Australian commencement court or tribunal</w:t>
      </w:r>
      <w:r w:rsidRPr="004B3CCB">
        <w:rPr>
          <w:rFonts w:cs="Arial"/>
          <w:color w:val="000000"/>
          <w:szCs w:val="22"/>
          <w:lang w:eastAsia="en-NZ"/>
        </w:rPr>
        <w:t xml:space="preserve">] under the </w:t>
      </w:r>
      <w:r w:rsidRPr="004B3CCB">
        <w:rPr>
          <w:rFonts w:cs="Arial"/>
          <w:i/>
          <w:color w:val="000000"/>
          <w:szCs w:val="22"/>
          <w:lang w:eastAsia="en-NZ"/>
        </w:rPr>
        <w:t>Trans</w:t>
      </w:r>
      <w:r w:rsidR="00C73F82">
        <w:rPr>
          <w:rFonts w:cs="Arial"/>
          <w:i/>
          <w:color w:val="000000"/>
          <w:szCs w:val="22"/>
          <w:lang w:eastAsia="en-NZ"/>
        </w:rPr>
        <w:noBreakHyphen/>
      </w:r>
      <w:r w:rsidRPr="004B3CCB">
        <w:rPr>
          <w:rFonts w:cs="Arial"/>
          <w:i/>
          <w:color w:val="000000"/>
          <w:szCs w:val="22"/>
          <w:lang w:eastAsia="en-NZ"/>
        </w:rPr>
        <w:t>Tasman Proceedings Act 2010</w:t>
      </w:r>
      <w:r w:rsidRPr="004B3CCB">
        <w:rPr>
          <w:i/>
          <w:szCs w:val="22"/>
        </w:rPr>
        <w:t xml:space="preserve"> </w:t>
      </w:r>
      <w:r w:rsidRPr="004B3CCB">
        <w:rPr>
          <w:szCs w:val="22"/>
        </w:rPr>
        <w:t>(Cth)</w:t>
      </w:r>
      <w:r w:rsidRPr="004B3CCB">
        <w:rPr>
          <w:rFonts w:cs="Arial"/>
          <w:i/>
          <w:color w:val="000000"/>
          <w:szCs w:val="22"/>
          <w:lang w:eastAsia="en-NZ"/>
        </w:rPr>
        <w:t>.</w:t>
      </w:r>
    </w:p>
    <w:p w:rsidR="005B1DA7" w:rsidRPr="004B3CCB" w:rsidRDefault="005B1DA7" w:rsidP="005B1DA7">
      <w:pPr>
        <w:keepNext/>
        <w:shd w:val="clear" w:color="auto" w:fill="FFFFFF"/>
        <w:spacing w:before="120" w:after="120"/>
        <w:rPr>
          <w:rFonts w:cs="Arial"/>
          <w:b/>
          <w:szCs w:val="22"/>
        </w:rPr>
      </w:pPr>
      <w:r w:rsidRPr="004B3CCB">
        <w:rPr>
          <w:rFonts w:cs="Arial"/>
          <w:b/>
          <w:szCs w:val="22"/>
        </w:rPr>
        <w:t xml:space="preserve">Details of </w:t>
      </w:r>
      <w:r w:rsidR="00612221" w:rsidRPr="004B3CCB">
        <w:rPr>
          <w:rFonts w:cs="Arial"/>
          <w:b/>
          <w:szCs w:val="22"/>
        </w:rPr>
        <w:t>judgment</w:t>
      </w:r>
    </w:p>
    <w:p w:rsidR="005B1DA7" w:rsidRPr="004B3CCB" w:rsidRDefault="005B1DA7" w:rsidP="005B1DA7">
      <w:pPr>
        <w:shd w:val="clear" w:color="auto" w:fill="FFFFFF"/>
        <w:rPr>
          <w:szCs w:val="22"/>
        </w:rPr>
      </w:pPr>
      <w:r w:rsidRPr="004B3CCB">
        <w:rPr>
          <w:rFonts w:cs="Arial"/>
          <w:color w:val="000000"/>
          <w:szCs w:val="22"/>
          <w:lang w:eastAsia="en-NZ"/>
        </w:rPr>
        <w:t xml:space="preserve">The particulars of the </w:t>
      </w:r>
      <w:r w:rsidR="00612221" w:rsidRPr="004B3CCB">
        <w:rPr>
          <w:rFonts w:cs="Arial"/>
          <w:color w:val="000000"/>
          <w:szCs w:val="22"/>
          <w:lang w:eastAsia="en-NZ"/>
        </w:rPr>
        <w:t>judgment</w:t>
      </w:r>
      <w:r w:rsidRPr="004B3CCB">
        <w:rPr>
          <w:rFonts w:cs="Arial"/>
          <w:color w:val="000000"/>
          <w:szCs w:val="22"/>
          <w:lang w:eastAsia="en-NZ"/>
        </w:rPr>
        <w:t xml:space="preserve"> that are entered in the records of the [</w:t>
      </w:r>
      <w:r w:rsidRPr="004B3CCB">
        <w:rPr>
          <w:rFonts w:cs="Arial"/>
          <w:i/>
          <w:color w:val="000000"/>
          <w:szCs w:val="22"/>
          <w:lang w:eastAsia="en-NZ"/>
        </w:rPr>
        <w:t xml:space="preserve">Australian court in which </w:t>
      </w:r>
      <w:r w:rsidR="00612221" w:rsidRPr="004B3CCB">
        <w:rPr>
          <w:rFonts w:cs="Arial"/>
          <w:i/>
          <w:color w:val="000000"/>
          <w:szCs w:val="22"/>
          <w:lang w:eastAsia="en-NZ"/>
        </w:rPr>
        <w:t>judgment</w:t>
      </w:r>
      <w:r w:rsidRPr="004B3CCB">
        <w:rPr>
          <w:rFonts w:cs="Arial"/>
          <w:i/>
          <w:color w:val="000000"/>
          <w:szCs w:val="22"/>
          <w:lang w:eastAsia="en-NZ"/>
        </w:rPr>
        <w:t xml:space="preserve"> is registered</w:t>
      </w:r>
      <w:r w:rsidRPr="004B3CCB">
        <w:rPr>
          <w:rFonts w:cs="Arial"/>
          <w:color w:val="000000"/>
          <w:szCs w:val="22"/>
          <w:lang w:eastAsia="en-NZ"/>
        </w:rPr>
        <w:t>] include the following:</w:t>
      </w:r>
    </w:p>
    <w:p w:rsidR="005B1DA7" w:rsidRPr="004B3CCB" w:rsidRDefault="005B1DA7" w:rsidP="005B1DA7">
      <w:pPr>
        <w:shd w:val="clear" w:color="auto" w:fill="FFFFFF"/>
        <w:spacing w:before="240"/>
        <w:rPr>
          <w:rFonts w:cs="Arial"/>
          <w:b/>
          <w:i/>
          <w:color w:val="000000"/>
          <w:szCs w:val="22"/>
          <w:lang w:eastAsia="en-NZ"/>
        </w:rPr>
      </w:pPr>
      <w:r w:rsidRPr="004B3CCB">
        <w:rPr>
          <w:rFonts w:cs="Arial"/>
          <w:b/>
          <w:i/>
          <w:color w:val="000000"/>
          <w:szCs w:val="22"/>
          <w:lang w:eastAsia="en-NZ"/>
        </w:rPr>
        <w:t xml:space="preserve">If the </w:t>
      </w:r>
      <w:r w:rsidR="00612221" w:rsidRPr="004B3CCB">
        <w:rPr>
          <w:rFonts w:cs="Arial"/>
          <w:b/>
          <w:i/>
          <w:color w:val="000000"/>
          <w:szCs w:val="22"/>
          <w:lang w:eastAsia="en-NZ"/>
        </w:rPr>
        <w:t>judgment</w:t>
      </w:r>
      <w:r w:rsidRPr="004B3CCB">
        <w:rPr>
          <w:rFonts w:cs="Arial"/>
          <w:b/>
          <w:i/>
          <w:color w:val="000000"/>
          <w:szCs w:val="22"/>
          <w:lang w:eastAsia="en-NZ"/>
        </w:rPr>
        <w:t xml:space="preserve"> is one under which a sum of money is payable</w:t>
      </w:r>
    </w:p>
    <w:p w:rsidR="005B1DA7" w:rsidRPr="004B3CCB" w:rsidRDefault="005B1DA7" w:rsidP="005B1DA7">
      <w:pPr>
        <w:shd w:val="clear" w:color="auto" w:fill="FFFFFF"/>
        <w:spacing w:before="120"/>
        <w:ind w:left="1134" w:hanging="567"/>
        <w:rPr>
          <w:rFonts w:cs="Arial"/>
          <w:color w:val="000000"/>
          <w:szCs w:val="22"/>
          <w:lang w:eastAsia="en-NZ"/>
        </w:rPr>
      </w:pPr>
      <w:r w:rsidRPr="004B3CCB">
        <w:rPr>
          <w:rFonts w:cs="Arial"/>
          <w:color w:val="000000"/>
          <w:szCs w:val="22"/>
          <w:lang w:eastAsia="en-NZ"/>
        </w:rPr>
        <w:t>(a)</w:t>
      </w:r>
      <w:r w:rsidRPr="004B3CCB">
        <w:rPr>
          <w:rFonts w:cs="Arial"/>
          <w:color w:val="000000"/>
          <w:szCs w:val="22"/>
          <w:lang w:eastAsia="en-NZ"/>
        </w:rPr>
        <w:tab/>
        <w:t xml:space="preserve">amount payable under the </w:t>
      </w:r>
      <w:r w:rsidR="00612221" w:rsidRPr="004B3CCB">
        <w:rPr>
          <w:rFonts w:cs="Arial"/>
          <w:color w:val="000000"/>
          <w:szCs w:val="22"/>
          <w:lang w:eastAsia="en-NZ"/>
        </w:rPr>
        <w:t>judgment</w:t>
      </w:r>
      <w:r w:rsidRPr="004B3CCB">
        <w:rPr>
          <w:rFonts w:cs="Arial"/>
          <w:color w:val="000000"/>
          <w:szCs w:val="22"/>
          <w:lang w:eastAsia="en-NZ"/>
        </w:rPr>
        <w:t>—$ [</w:t>
      </w:r>
      <w:r w:rsidRPr="004B3CCB">
        <w:rPr>
          <w:rFonts w:cs="Arial"/>
          <w:i/>
          <w:color w:val="000000"/>
          <w:szCs w:val="22"/>
          <w:lang w:eastAsia="en-NZ"/>
        </w:rPr>
        <w:t>specify the amount and the currency</w:t>
      </w:r>
      <w:r w:rsidRPr="004B3CCB">
        <w:rPr>
          <w:rFonts w:cs="Arial"/>
          <w:color w:val="000000"/>
          <w:szCs w:val="22"/>
          <w:lang w:eastAsia="en-NZ"/>
        </w:rPr>
        <w:t>];</w:t>
      </w:r>
    </w:p>
    <w:p w:rsidR="005B1DA7" w:rsidRPr="004B3CCB" w:rsidRDefault="005B1DA7" w:rsidP="005B1DA7">
      <w:pPr>
        <w:shd w:val="clear" w:color="auto" w:fill="FFFFFF"/>
        <w:spacing w:before="120"/>
        <w:ind w:left="1134" w:hanging="567"/>
        <w:rPr>
          <w:rFonts w:cs="Arial"/>
          <w:color w:val="000000"/>
          <w:szCs w:val="22"/>
          <w:lang w:eastAsia="en-NZ"/>
        </w:rPr>
      </w:pPr>
      <w:r w:rsidRPr="004B3CCB">
        <w:rPr>
          <w:rFonts w:cs="Arial"/>
          <w:color w:val="000000"/>
          <w:szCs w:val="22"/>
          <w:lang w:eastAsia="en-NZ"/>
        </w:rPr>
        <w:t>(b)</w:t>
      </w:r>
      <w:r w:rsidRPr="004B3CCB">
        <w:rPr>
          <w:rFonts w:cs="Arial"/>
          <w:color w:val="000000"/>
          <w:szCs w:val="22"/>
          <w:lang w:eastAsia="en-NZ"/>
        </w:rPr>
        <w:tab/>
        <w:t>interest payable under paragraph</w:t>
      </w:r>
      <w:r w:rsidR="007A397E" w:rsidRPr="004B3CCB">
        <w:rPr>
          <w:rFonts w:cs="Arial"/>
          <w:color w:val="000000"/>
          <w:szCs w:val="22"/>
          <w:lang w:eastAsia="en-NZ"/>
        </w:rPr>
        <w:t> </w:t>
      </w:r>
      <w:r w:rsidRPr="004B3CCB">
        <w:rPr>
          <w:rFonts w:cs="Arial"/>
          <w:color w:val="000000"/>
          <w:szCs w:val="22"/>
          <w:lang w:eastAsia="en-NZ"/>
        </w:rPr>
        <w:t xml:space="preserve">67(a) of the </w:t>
      </w:r>
      <w:r w:rsidRPr="004B3CCB">
        <w:rPr>
          <w:rFonts w:cs="Arial"/>
          <w:i/>
          <w:color w:val="000000"/>
          <w:szCs w:val="22"/>
          <w:lang w:eastAsia="en-NZ"/>
        </w:rPr>
        <w:t>Trans</w:t>
      </w:r>
      <w:r w:rsidR="00C73F82">
        <w:rPr>
          <w:rFonts w:cs="Arial"/>
          <w:i/>
          <w:color w:val="000000"/>
          <w:szCs w:val="22"/>
          <w:lang w:eastAsia="en-NZ"/>
        </w:rPr>
        <w:noBreakHyphen/>
      </w:r>
      <w:r w:rsidRPr="004B3CCB">
        <w:rPr>
          <w:rFonts w:cs="Arial"/>
          <w:i/>
          <w:color w:val="000000"/>
          <w:szCs w:val="22"/>
          <w:lang w:eastAsia="en-NZ"/>
        </w:rPr>
        <w:t>Tasman Proceedings Act 2010—</w:t>
      </w:r>
      <w:r w:rsidRPr="004B3CCB">
        <w:rPr>
          <w:rFonts w:cs="Arial"/>
          <w:color w:val="000000"/>
          <w:szCs w:val="22"/>
          <w:lang w:eastAsia="en-NZ"/>
        </w:rPr>
        <w:t>$ [</w:t>
      </w:r>
      <w:r w:rsidRPr="004B3CCB">
        <w:rPr>
          <w:rFonts w:cs="Arial"/>
          <w:i/>
          <w:color w:val="000000"/>
          <w:szCs w:val="22"/>
          <w:lang w:eastAsia="en-NZ"/>
        </w:rPr>
        <w:t>specify the amount and the currency</w:t>
      </w:r>
      <w:r w:rsidRPr="004B3CCB">
        <w:rPr>
          <w:rFonts w:cs="Arial"/>
          <w:color w:val="000000"/>
          <w:szCs w:val="22"/>
          <w:lang w:eastAsia="en-NZ"/>
        </w:rPr>
        <w:t>].</w:t>
      </w:r>
    </w:p>
    <w:p w:rsidR="005B1DA7" w:rsidRPr="004B3CCB" w:rsidRDefault="005B1DA7" w:rsidP="005B1DA7">
      <w:pPr>
        <w:shd w:val="clear" w:color="auto" w:fill="FFFFFF"/>
        <w:spacing w:before="120"/>
        <w:ind w:left="709" w:hanging="709"/>
        <w:rPr>
          <w:rFonts w:cs="Arial"/>
          <w:b/>
          <w:i/>
          <w:color w:val="000000"/>
          <w:szCs w:val="22"/>
          <w:lang w:eastAsia="en-NZ"/>
        </w:rPr>
      </w:pPr>
      <w:r w:rsidRPr="004B3CCB">
        <w:rPr>
          <w:rFonts w:cs="Arial"/>
          <w:b/>
          <w:i/>
          <w:color w:val="000000"/>
          <w:szCs w:val="22"/>
          <w:lang w:eastAsia="en-NZ"/>
        </w:rPr>
        <w:t xml:space="preserve">If the </w:t>
      </w:r>
      <w:r w:rsidR="00612221" w:rsidRPr="004B3CCB">
        <w:rPr>
          <w:rFonts w:cs="Arial"/>
          <w:b/>
          <w:i/>
          <w:color w:val="000000"/>
          <w:szCs w:val="22"/>
          <w:lang w:eastAsia="en-NZ"/>
        </w:rPr>
        <w:t>judgment</w:t>
      </w:r>
      <w:r w:rsidRPr="004B3CCB">
        <w:rPr>
          <w:rFonts w:cs="Arial"/>
          <w:b/>
          <w:i/>
          <w:color w:val="000000"/>
          <w:szCs w:val="22"/>
          <w:lang w:eastAsia="en-NZ"/>
        </w:rPr>
        <w:t xml:space="preserve"> is not one under which a sum of money is payable</w:t>
      </w:r>
    </w:p>
    <w:p w:rsidR="005B1DA7" w:rsidRPr="004B3CCB" w:rsidRDefault="005B1DA7" w:rsidP="005B1DA7">
      <w:pPr>
        <w:shd w:val="clear" w:color="auto" w:fill="FFFFFF"/>
        <w:spacing w:before="120"/>
        <w:rPr>
          <w:rFonts w:cs="Arial"/>
          <w:color w:val="000000"/>
          <w:szCs w:val="22"/>
          <w:lang w:eastAsia="en-NZ"/>
        </w:rPr>
      </w:pPr>
      <w:r w:rsidRPr="004B3CCB">
        <w:rPr>
          <w:rFonts w:cs="Arial"/>
          <w:color w:val="000000"/>
          <w:szCs w:val="22"/>
          <w:lang w:eastAsia="en-NZ"/>
        </w:rPr>
        <w:tab/>
        <w:t>[</w:t>
      </w:r>
      <w:r w:rsidRPr="004B3CCB">
        <w:rPr>
          <w:rFonts w:cs="Arial"/>
          <w:i/>
          <w:color w:val="000000"/>
          <w:szCs w:val="22"/>
          <w:lang w:eastAsia="en-NZ"/>
        </w:rPr>
        <w:t>specify</w:t>
      </w:r>
      <w:r w:rsidRPr="004B3CCB">
        <w:rPr>
          <w:rFonts w:cs="Arial"/>
          <w:color w:val="000000"/>
          <w:szCs w:val="22"/>
          <w:lang w:eastAsia="en-NZ"/>
        </w:rPr>
        <w:t xml:space="preserve"> </w:t>
      </w:r>
      <w:r w:rsidRPr="004B3CCB">
        <w:rPr>
          <w:rFonts w:cs="Arial"/>
          <w:i/>
          <w:color w:val="000000"/>
          <w:szCs w:val="22"/>
          <w:lang w:eastAsia="en-NZ"/>
        </w:rPr>
        <w:t xml:space="preserve">the terms of the </w:t>
      </w:r>
      <w:r w:rsidR="00612221" w:rsidRPr="004B3CCB">
        <w:rPr>
          <w:rFonts w:cs="Arial"/>
          <w:i/>
          <w:color w:val="000000"/>
          <w:szCs w:val="22"/>
          <w:lang w:eastAsia="en-NZ"/>
        </w:rPr>
        <w:t>judgment</w:t>
      </w:r>
      <w:r w:rsidRPr="004B3CCB">
        <w:rPr>
          <w:rFonts w:cs="Arial"/>
          <w:color w:val="000000"/>
          <w:szCs w:val="22"/>
          <w:lang w:eastAsia="en-NZ"/>
        </w:rPr>
        <w:t>]</w:t>
      </w:r>
    </w:p>
    <w:p w:rsidR="005B1DA7" w:rsidRPr="004B3CCB" w:rsidRDefault="005B1DA7" w:rsidP="005B1DA7">
      <w:pPr>
        <w:shd w:val="clear" w:color="auto" w:fill="FFFFFF"/>
        <w:spacing w:before="240"/>
        <w:ind w:left="709" w:hanging="709"/>
        <w:rPr>
          <w:rFonts w:cs="Arial"/>
          <w:b/>
          <w:i/>
          <w:color w:val="000000"/>
          <w:szCs w:val="22"/>
          <w:lang w:eastAsia="en-NZ"/>
        </w:rPr>
      </w:pPr>
      <w:r w:rsidRPr="004B3CCB">
        <w:rPr>
          <w:rFonts w:cs="Arial"/>
          <w:b/>
          <w:i/>
          <w:color w:val="000000"/>
          <w:szCs w:val="22"/>
          <w:lang w:eastAsia="en-NZ"/>
        </w:rPr>
        <w:t xml:space="preserve">Costs and expenses related to registration of the </w:t>
      </w:r>
      <w:r w:rsidR="00612221" w:rsidRPr="004B3CCB">
        <w:rPr>
          <w:rFonts w:cs="Arial"/>
          <w:b/>
          <w:i/>
          <w:color w:val="000000"/>
          <w:szCs w:val="22"/>
          <w:lang w:eastAsia="en-NZ"/>
        </w:rPr>
        <w:t>judgment</w:t>
      </w:r>
    </w:p>
    <w:p w:rsidR="005B1DA7" w:rsidRPr="004B3CCB" w:rsidRDefault="005B1DA7" w:rsidP="005B1DA7">
      <w:pPr>
        <w:shd w:val="clear" w:color="auto" w:fill="FFFFFF"/>
        <w:spacing w:before="120"/>
        <w:rPr>
          <w:rFonts w:cs="Arial"/>
          <w:color w:val="000000"/>
          <w:szCs w:val="22"/>
          <w:lang w:eastAsia="en-NZ"/>
        </w:rPr>
      </w:pPr>
      <w:r w:rsidRPr="004B3CCB">
        <w:rPr>
          <w:rFonts w:cs="Arial"/>
          <w:color w:val="000000"/>
          <w:szCs w:val="22"/>
          <w:lang w:eastAsia="en-NZ"/>
        </w:rPr>
        <w:tab/>
        <w:t>[</w:t>
      </w:r>
      <w:r w:rsidRPr="004B3CCB">
        <w:rPr>
          <w:rFonts w:cs="Arial"/>
          <w:i/>
          <w:color w:val="000000"/>
          <w:szCs w:val="22"/>
          <w:lang w:eastAsia="en-NZ"/>
        </w:rPr>
        <w:t>specify the amount and the currency</w:t>
      </w:r>
      <w:r w:rsidRPr="004B3CCB">
        <w:rPr>
          <w:rFonts w:cs="Arial"/>
          <w:color w:val="000000"/>
          <w:szCs w:val="22"/>
          <w:lang w:eastAsia="en-NZ"/>
        </w:rPr>
        <w:t>]</w:t>
      </w:r>
    </w:p>
    <w:p w:rsidR="005B1DA7" w:rsidRPr="004B3CCB" w:rsidRDefault="005B1DA7" w:rsidP="005B1DA7">
      <w:pPr>
        <w:shd w:val="clear" w:color="auto" w:fill="FFFFFF"/>
        <w:spacing w:before="240"/>
        <w:rPr>
          <w:rFonts w:cs="Arial"/>
          <w:b/>
          <w:i/>
          <w:color w:val="000000"/>
          <w:szCs w:val="22"/>
          <w:lang w:eastAsia="en-NZ"/>
        </w:rPr>
      </w:pPr>
      <w:r w:rsidRPr="004B3CCB">
        <w:rPr>
          <w:rFonts w:cs="Arial"/>
          <w:b/>
          <w:i/>
          <w:color w:val="000000"/>
          <w:szCs w:val="22"/>
          <w:lang w:eastAsia="en-NZ"/>
        </w:rPr>
        <w:t>Costs and expenses related to attempted enforcement in original court or tribunal</w:t>
      </w:r>
    </w:p>
    <w:p w:rsidR="005B1DA7" w:rsidRPr="004B3CCB" w:rsidRDefault="005B1DA7" w:rsidP="005B1DA7">
      <w:pPr>
        <w:shd w:val="clear" w:color="auto" w:fill="FFFFFF"/>
        <w:spacing w:before="240"/>
        <w:rPr>
          <w:rFonts w:cs="Arial"/>
          <w:color w:val="000000"/>
          <w:szCs w:val="22"/>
          <w:lang w:eastAsia="en-NZ"/>
        </w:rPr>
      </w:pPr>
      <w:r w:rsidRPr="004B3CCB">
        <w:rPr>
          <w:rFonts w:cs="Arial"/>
          <w:b/>
          <w:i/>
          <w:color w:val="000000"/>
          <w:szCs w:val="22"/>
          <w:lang w:eastAsia="en-NZ"/>
        </w:rPr>
        <w:tab/>
      </w:r>
      <w:r w:rsidRPr="004B3CCB">
        <w:rPr>
          <w:rFonts w:cs="Arial"/>
          <w:color w:val="000000"/>
          <w:szCs w:val="22"/>
          <w:lang w:eastAsia="en-NZ"/>
        </w:rPr>
        <w:t>[</w:t>
      </w:r>
      <w:r w:rsidRPr="004B3CCB">
        <w:rPr>
          <w:rFonts w:cs="Arial"/>
          <w:i/>
          <w:color w:val="000000"/>
          <w:szCs w:val="22"/>
          <w:lang w:eastAsia="en-NZ"/>
        </w:rPr>
        <w:t>specify the amount and the currency</w:t>
      </w:r>
      <w:r w:rsidRPr="004B3CCB">
        <w:rPr>
          <w:rFonts w:cs="Arial"/>
          <w:color w:val="000000"/>
          <w:szCs w:val="22"/>
          <w:lang w:eastAsia="en-NZ"/>
        </w:rPr>
        <w:t>]</w:t>
      </w:r>
    </w:p>
    <w:p w:rsidR="005B1DA7" w:rsidRPr="004B3CCB" w:rsidRDefault="005B1DA7" w:rsidP="005B1DA7">
      <w:pPr>
        <w:shd w:val="clear" w:color="auto" w:fill="FFFFFF"/>
        <w:spacing w:before="240" w:after="120"/>
        <w:rPr>
          <w:rFonts w:cs="Arial"/>
          <w:b/>
          <w:color w:val="000000"/>
          <w:szCs w:val="22"/>
          <w:lang w:eastAsia="en-NZ"/>
        </w:rPr>
      </w:pPr>
      <w:r w:rsidRPr="004B3CCB">
        <w:rPr>
          <w:rFonts w:cs="Arial"/>
          <w:b/>
          <w:color w:val="000000"/>
          <w:szCs w:val="22"/>
          <w:lang w:eastAsia="en-NZ"/>
        </w:rPr>
        <w:t>Consequences of registration and this notice being served on you</w:t>
      </w:r>
    </w:p>
    <w:p w:rsidR="005B1DA7" w:rsidRPr="004B3CCB" w:rsidRDefault="005B1DA7" w:rsidP="005B1DA7">
      <w:pPr>
        <w:shd w:val="clear" w:color="auto" w:fill="FFFFFF"/>
        <w:rPr>
          <w:rFonts w:cs="Arial"/>
          <w:color w:val="000000"/>
          <w:szCs w:val="22"/>
          <w:lang w:eastAsia="en-NZ"/>
        </w:rPr>
      </w:pPr>
      <w:r w:rsidRPr="004B3CCB">
        <w:rPr>
          <w:rFonts w:cs="Arial"/>
          <w:color w:val="000000"/>
          <w:szCs w:val="22"/>
          <w:lang w:eastAsia="en-NZ"/>
        </w:rPr>
        <w:t xml:space="preserve">The NZ </w:t>
      </w:r>
      <w:r w:rsidR="00612221" w:rsidRPr="004B3CCB">
        <w:rPr>
          <w:rFonts w:cs="Arial"/>
          <w:color w:val="000000"/>
          <w:szCs w:val="22"/>
          <w:lang w:eastAsia="en-NZ"/>
        </w:rPr>
        <w:t>judgment</w:t>
      </w:r>
      <w:r w:rsidRPr="004B3CCB">
        <w:rPr>
          <w:rFonts w:cs="Arial"/>
          <w:color w:val="000000"/>
          <w:szCs w:val="22"/>
          <w:lang w:eastAsia="en-NZ"/>
        </w:rPr>
        <w:t xml:space="preserve"> can be enforced in Australia as if it were a </w:t>
      </w:r>
      <w:r w:rsidR="00612221" w:rsidRPr="004B3CCB">
        <w:rPr>
          <w:rFonts w:cs="Arial"/>
          <w:color w:val="000000"/>
          <w:szCs w:val="22"/>
          <w:lang w:eastAsia="en-NZ"/>
        </w:rPr>
        <w:t>judgment</w:t>
      </w:r>
      <w:r w:rsidRPr="004B3CCB">
        <w:rPr>
          <w:rFonts w:cs="Arial"/>
          <w:color w:val="000000"/>
          <w:szCs w:val="22"/>
          <w:lang w:eastAsia="en-NZ"/>
        </w:rPr>
        <w:t xml:space="preserve"> given by the [</w:t>
      </w:r>
      <w:r w:rsidRPr="004B3CCB">
        <w:rPr>
          <w:rFonts w:cs="Arial"/>
          <w:i/>
          <w:color w:val="000000"/>
          <w:szCs w:val="22"/>
          <w:lang w:eastAsia="en-NZ"/>
        </w:rPr>
        <w:t xml:space="preserve">Australian court in which </w:t>
      </w:r>
      <w:r w:rsidR="00612221" w:rsidRPr="004B3CCB">
        <w:rPr>
          <w:rFonts w:cs="Arial"/>
          <w:i/>
          <w:color w:val="000000"/>
          <w:szCs w:val="22"/>
          <w:lang w:eastAsia="en-NZ"/>
        </w:rPr>
        <w:t>judgment</w:t>
      </w:r>
      <w:r w:rsidRPr="004B3CCB">
        <w:rPr>
          <w:rFonts w:cs="Arial"/>
          <w:i/>
          <w:color w:val="000000"/>
          <w:szCs w:val="22"/>
          <w:lang w:eastAsia="en-NZ"/>
        </w:rPr>
        <w:t xml:space="preserve"> is registered</w:t>
      </w:r>
      <w:r w:rsidRPr="004B3CCB">
        <w:rPr>
          <w:rFonts w:cs="Arial"/>
          <w:color w:val="000000"/>
          <w:szCs w:val="22"/>
          <w:lang w:eastAsia="en-NZ"/>
        </w:rPr>
        <w:t>].</w:t>
      </w:r>
    </w:p>
    <w:p w:rsidR="005B1DA7" w:rsidRPr="004B3CCB" w:rsidRDefault="005B1DA7" w:rsidP="005B1DA7">
      <w:pPr>
        <w:keepNext/>
        <w:shd w:val="clear" w:color="auto" w:fill="FFFFFF"/>
        <w:spacing w:before="240"/>
        <w:rPr>
          <w:rFonts w:cs="Arial"/>
          <w:b/>
          <w:bCs/>
          <w:color w:val="000000"/>
          <w:szCs w:val="22"/>
          <w:lang w:eastAsia="en-NZ"/>
        </w:rPr>
      </w:pPr>
      <w:r w:rsidRPr="004B3CCB">
        <w:rPr>
          <w:rFonts w:cs="Arial"/>
          <w:b/>
          <w:bCs/>
          <w:color w:val="000000"/>
          <w:szCs w:val="22"/>
          <w:lang w:eastAsia="en-NZ"/>
        </w:rPr>
        <w:t>Your rights</w:t>
      </w:r>
    </w:p>
    <w:p w:rsidR="005B1DA7" w:rsidRPr="004B3CCB" w:rsidRDefault="005B1DA7" w:rsidP="005B1DA7">
      <w:pPr>
        <w:keepNext/>
        <w:shd w:val="clear" w:color="auto" w:fill="FFFFFF"/>
        <w:spacing w:before="240"/>
        <w:rPr>
          <w:rFonts w:cs="Arial"/>
          <w:b/>
          <w:i/>
          <w:color w:val="000000"/>
          <w:szCs w:val="22"/>
          <w:lang w:eastAsia="en-NZ"/>
        </w:rPr>
      </w:pPr>
      <w:r w:rsidRPr="004B3CCB">
        <w:rPr>
          <w:rFonts w:cs="Arial"/>
          <w:b/>
          <w:i/>
          <w:color w:val="000000"/>
          <w:szCs w:val="22"/>
          <w:lang w:eastAsia="en-NZ"/>
        </w:rPr>
        <w:t>Setting aside registration</w:t>
      </w:r>
    </w:p>
    <w:p w:rsidR="005B1DA7" w:rsidRPr="004B3CCB" w:rsidRDefault="005B1DA7" w:rsidP="005B1DA7">
      <w:pPr>
        <w:shd w:val="clear" w:color="auto" w:fill="FFFFFF"/>
        <w:spacing w:before="180"/>
        <w:rPr>
          <w:rFonts w:cs="Arial"/>
          <w:color w:val="000000"/>
          <w:szCs w:val="22"/>
          <w:lang w:eastAsia="en-NZ"/>
        </w:rPr>
      </w:pPr>
      <w:r w:rsidRPr="004B3CCB">
        <w:rPr>
          <w:rFonts w:cs="Arial"/>
          <w:color w:val="000000"/>
          <w:szCs w:val="22"/>
          <w:lang w:eastAsia="en-NZ"/>
        </w:rPr>
        <w:t xml:space="preserve">If the </w:t>
      </w:r>
      <w:r w:rsidR="00612221" w:rsidRPr="004B3CCB">
        <w:rPr>
          <w:rFonts w:cs="Arial"/>
          <w:color w:val="000000"/>
          <w:szCs w:val="22"/>
          <w:lang w:eastAsia="en-NZ"/>
        </w:rPr>
        <w:t>judgment</w:t>
      </w:r>
      <w:r w:rsidRPr="004B3CCB">
        <w:rPr>
          <w:rFonts w:cs="Arial"/>
          <w:color w:val="000000"/>
          <w:szCs w:val="22"/>
          <w:lang w:eastAsia="en-NZ"/>
        </w:rPr>
        <w:t xml:space="preserve"> should not have been registered in Australia under the </w:t>
      </w:r>
      <w:r w:rsidRPr="004B3CCB">
        <w:rPr>
          <w:rFonts w:cs="Arial"/>
          <w:i/>
          <w:color w:val="000000"/>
          <w:szCs w:val="22"/>
          <w:lang w:eastAsia="en-NZ"/>
        </w:rPr>
        <w:t>Trans</w:t>
      </w:r>
      <w:r w:rsidR="00C73F82">
        <w:rPr>
          <w:rFonts w:cs="Arial"/>
          <w:i/>
          <w:color w:val="000000"/>
          <w:szCs w:val="22"/>
          <w:lang w:eastAsia="en-NZ"/>
        </w:rPr>
        <w:noBreakHyphen/>
      </w:r>
      <w:r w:rsidRPr="004B3CCB">
        <w:rPr>
          <w:rFonts w:cs="Arial"/>
          <w:i/>
          <w:color w:val="000000"/>
          <w:szCs w:val="22"/>
          <w:lang w:eastAsia="en-NZ"/>
        </w:rPr>
        <w:t>Tasman Proceedings Act 2010</w:t>
      </w:r>
      <w:r w:rsidRPr="004B3CCB">
        <w:rPr>
          <w:i/>
          <w:szCs w:val="22"/>
        </w:rPr>
        <w:t xml:space="preserve"> </w:t>
      </w:r>
      <w:r w:rsidRPr="004B3CCB">
        <w:rPr>
          <w:szCs w:val="22"/>
        </w:rPr>
        <w:t>(Cth)</w:t>
      </w:r>
      <w:r w:rsidRPr="004B3CCB">
        <w:rPr>
          <w:rFonts w:cs="Arial"/>
          <w:color w:val="000000"/>
          <w:szCs w:val="22"/>
          <w:lang w:eastAsia="en-NZ"/>
        </w:rPr>
        <w:t>, you may be able to have the registration set aside by applying to the [</w:t>
      </w:r>
      <w:r w:rsidRPr="004B3CCB">
        <w:rPr>
          <w:rFonts w:cs="Arial"/>
          <w:i/>
          <w:color w:val="000000"/>
          <w:szCs w:val="22"/>
          <w:lang w:eastAsia="en-NZ"/>
        </w:rPr>
        <w:t xml:space="preserve">Australian court in which </w:t>
      </w:r>
      <w:r w:rsidR="00612221" w:rsidRPr="004B3CCB">
        <w:rPr>
          <w:rFonts w:cs="Arial"/>
          <w:i/>
          <w:color w:val="000000"/>
          <w:szCs w:val="22"/>
          <w:lang w:eastAsia="en-NZ"/>
        </w:rPr>
        <w:t>judgment</w:t>
      </w:r>
      <w:r w:rsidRPr="004B3CCB">
        <w:rPr>
          <w:rFonts w:cs="Arial"/>
          <w:i/>
          <w:color w:val="000000"/>
          <w:szCs w:val="22"/>
          <w:lang w:eastAsia="en-NZ"/>
        </w:rPr>
        <w:t xml:space="preserve"> is registered</w:t>
      </w:r>
      <w:r w:rsidRPr="004B3CCB">
        <w:rPr>
          <w:rFonts w:cs="Arial"/>
          <w:color w:val="000000"/>
          <w:szCs w:val="22"/>
          <w:lang w:eastAsia="en-NZ"/>
        </w:rPr>
        <w:t xml:space="preserve">]. The Act sets out limited grounds on which registration of a </w:t>
      </w:r>
      <w:r w:rsidR="00612221" w:rsidRPr="004B3CCB">
        <w:rPr>
          <w:rFonts w:cs="Arial"/>
          <w:color w:val="000000"/>
          <w:szCs w:val="22"/>
          <w:lang w:eastAsia="en-NZ"/>
        </w:rPr>
        <w:t>judgment</w:t>
      </w:r>
      <w:r w:rsidRPr="004B3CCB">
        <w:rPr>
          <w:rFonts w:cs="Arial"/>
          <w:color w:val="000000"/>
          <w:szCs w:val="22"/>
          <w:lang w:eastAsia="en-NZ"/>
        </w:rPr>
        <w:t xml:space="preserve"> may be set aside.</w:t>
      </w:r>
    </w:p>
    <w:p w:rsidR="005B1DA7" w:rsidRPr="004B3CCB" w:rsidRDefault="005B1DA7" w:rsidP="005B1DA7">
      <w:pPr>
        <w:shd w:val="clear" w:color="auto" w:fill="FFFFFF"/>
        <w:spacing w:before="180"/>
        <w:rPr>
          <w:rFonts w:cs="Arial"/>
          <w:color w:val="000000"/>
          <w:szCs w:val="22"/>
          <w:lang w:eastAsia="en-NZ"/>
        </w:rPr>
      </w:pPr>
      <w:r w:rsidRPr="004B3CCB">
        <w:rPr>
          <w:rFonts w:cs="Arial"/>
          <w:color w:val="000000"/>
          <w:szCs w:val="22"/>
          <w:lang w:eastAsia="en-NZ"/>
        </w:rPr>
        <w:t>You must make an application for the registration to be set aside within 30 working days</w:t>
      </w:r>
      <w:r w:rsidRPr="004B3CCB">
        <w:rPr>
          <w:rFonts w:cs="Arial"/>
          <w:i/>
          <w:color w:val="000000"/>
          <w:szCs w:val="22"/>
          <w:lang w:eastAsia="en-NZ"/>
        </w:rPr>
        <w:t xml:space="preserve"> </w:t>
      </w:r>
      <w:r w:rsidRPr="004B3CCB">
        <w:rPr>
          <w:rFonts w:cs="Arial"/>
          <w:color w:val="000000"/>
          <w:szCs w:val="22"/>
          <w:lang w:eastAsia="en-NZ"/>
        </w:rPr>
        <w:t>after the day on which you were given this notice.</w:t>
      </w:r>
    </w:p>
    <w:p w:rsidR="005B1DA7" w:rsidRPr="004B3CCB" w:rsidRDefault="005B1DA7" w:rsidP="005B1DA7">
      <w:pPr>
        <w:shd w:val="clear" w:color="auto" w:fill="FFFFFF"/>
        <w:spacing w:before="180"/>
        <w:rPr>
          <w:rFonts w:cs="Arial"/>
          <w:szCs w:val="22"/>
        </w:rPr>
      </w:pPr>
      <w:r w:rsidRPr="004B3CCB">
        <w:rPr>
          <w:rFonts w:cs="Arial"/>
          <w:szCs w:val="22"/>
        </w:rPr>
        <w:t>If you think the registration should be set aside you should get legal advice as soon as possible.</w:t>
      </w:r>
    </w:p>
    <w:p w:rsidR="005B1DA7" w:rsidRPr="004B3CCB" w:rsidRDefault="005B1DA7" w:rsidP="005B1DA7">
      <w:pPr>
        <w:keepNext/>
        <w:shd w:val="clear" w:color="auto" w:fill="FFFFFF"/>
        <w:spacing w:before="240"/>
        <w:rPr>
          <w:rFonts w:cs="Arial"/>
          <w:b/>
          <w:i/>
          <w:szCs w:val="22"/>
        </w:rPr>
      </w:pPr>
      <w:r w:rsidRPr="004B3CCB">
        <w:rPr>
          <w:rFonts w:cs="Arial"/>
          <w:b/>
          <w:i/>
          <w:szCs w:val="22"/>
        </w:rPr>
        <w:t>Stay of enforcement</w:t>
      </w:r>
    </w:p>
    <w:p w:rsidR="005B1DA7" w:rsidRPr="004B3CCB" w:rsidRDefault="005B1DA7" w:rsidP="005B1DA7">
      <w:pPr>
        <w:shd w:val="clear" w:color="auto" w:fill="FFFFFF"/>
        <w:spacing w:before="180"/>
        <w:rPr>
          <w:rFonts w:cs="Arial"/>
          <w:szCs w:val="22"/>
        </w:rPr>
      </w:pPr>
      <w:r w:rsidRPr="004B3CCB">
        <w:rPr>
          <w:rFonts w:cs="Arial"/>
          <w:szCs w:val="22"/>
        </w:rPr>
        <w:t>If you intend to apply to the [</w:t>
      </w:r>
      <w:r w:rsidRPr="004B3CCB">
        <w:rPr>
          <w:rFonts w:cs="Arial"/>
          <w:i/>
          <w:szCs w:val="22"/>
        </w:rPr>
        <w:t>NZ court or tribunal</w:t>
      </w:r>
      <w:r w:rsidRPr="004B3CCB">
        <w:rPr>
          <w:rFonts w:cs="Arial"/>
          <w:szCs w:val="22"/>
        </w:rPr>
        <w:t>]</w:t>
      </w:r>
      <w:r w:rsidRPr="004B3CCB">
        <w:rPr>
          <w:rFonts w:cs="Arial"/>
          <w:i/>
          <w:szCs w:val="22"/>
        </w:rPr>
        <w:t xml:space="preserve"> </w:t>
      </w:r>
      <w:r w:rsidRPr="004B3CCB">
        <w:rPr>
          <w:rFonts w:cs="Arial"/>
          <w:szCs w:val="22"/>
        </w:rPr>
        <w:t xml:space="preserve">to set aside, vary or appeal the </w:t>
      </w:r>
      <w:r w:rsidR="00612221" w:rsidRPr="004B3CCB">
        <w:rPr>
          <w:rFonts w:cs="Arial"/>
          <w:szCs w:val="22"/>
        </w:rPr>
        <w:t>judgment</w:t>
      </w:r>
      <w:r w:rsidRPr="004B3CCB">
        <w:rPr>
          <w:rFonts w:cs="Arial"/>
          <w:szCs w:val="22"/>
        </w:rPr>
        <w:t xml:space="preserve">, you may apply for enforcement of the registered </w:t>
      </w:r>
      <w:r w:rsidR="00612221" w:rsidRPr="004B3CCB">
        <w:rPr>
          <w:rFonts w:cs="Arial"/>
          <w:szCs w:val="22"/>
        </w:rPr>
        <w:t>judgment</w:t>
      </w:r>
      <w:r w:rsidRPr="004B3CCB">
        <w:rPr>
          <w:rFonts w:cs="Arial"/>
          <w:szCs w:val="22"/>
        </w:rPr>
        <w:t xml:space="preserve"> in Australia not to be commenced or to be stayed (put on hold) for a period of time.</w:t>
      </w:r>
    </w:p>
    <w:p w:rsidR="005B1DA7" w:rsidRPr="004B3CCB" w:rsidRDefault="005B1DA7" w:rsidP="005B1DA7">
      <w:pPr>
        <w:shd w:val="clear" w:color="auto" w:fill="FFFFFF"/>
        <w:spacing w:before="180"/>
        <w:rPr>
          <w:rFonts w:cs="Arial"/>
          <w:color w:val="000000"/>
          <w:szCs w:val="22"/>
          <w:lang w:eastAsia="en-NZ"/>
        </w:rPr>
      </w:pPr>
      <w:r w:rsidRPr="004B3CCB">
        <w:rPr>
          <w:rFonts w:cs="Arial"/>
          <w:color w:val="000000"/>
          <w:szCs w:val="22"/>
          <w:lang w:eastAsia="en-NZ"/>
        </w:rPr>
        <w:t>You must make an application for enforcement not to commence or to be stayed within 30 working days after the day on which you were given this notice.</w:t>
      </w:r>
    </w:p>
    <w:p w:rsidR="005B1DA7" w:rsidRPr="004B3CCB" w:rsidRDefault="005B1DA7" w:rsidP="005B1DA7">
      <w:pPr>
        <w:shd w:val="clear" w:color="auto" w:fill="FFFFFF"/>
        <w:spacing w:before="180"/>
        <w:rPr>
          <w:rFonts w:cs="Arial"/>
          <w:szCs w:val="22"/>
        </w:rPr>
      </w:pPr>
      <w:r w:rsidRPr="004B3CCB">
        <w:rPr>
          <w:rFonts w:cs="Arial"/>
          <w:szCs w:val="22"/>
        </w:rPr>
        <w:t xml:space="preserve">If you think enforcement of the </w:t>
      </w:r>
      <w:r w:rsidR="00612221" w:rsidRPr="004B3CCB">
        <w:rPr>
          <w:rFonts w:cs="Arial"/>
          <w:szCs w:val="22"/>
        </w:rPr>
        <w:t>judgment</w:t>
      </w:r>
      <w:r w:rsidRPr="004B3CCB">
        <w:rPr>
          <w:rFonts w:cs="Arial"/>
          <w:szCs w:val="22"/>
        </w:rPr>
        <w:t xml:space="preserve"> should not commence, or should be stayed, you should get legal advice as soon as possible.</w:t>
      </w:r>
    </w:p>
    <w:p w:rsidR="005B1DA7" w:rsidRPr="004B3CCB" w:rsidRDefault="005B1DA7" w:rsidP="005B1DA7">
      <w:pPr>
        <w:keepNext/>
        <w:shd w:val="clear" w:color="auto" w:fill="FFFFFF"/>
        <w:spacing w:before="240"/>
        <w:rPr>
          <w:rFonts w:cs="Arial"/>
          <w:b/>
          <w:bCs/>
          <w:color w:val="000000"/>
          <w:szCs w:val="22"/>
          <w:lang w:eastAsia="en-NZ"/>
        </w:rPr>
      </w:pPr>
      <w:r w:rsidRPr="004B3CCB">
        <w:rPr>
          <w:rFonts w:cs="Arial"/>
          <w:b/>
          <w:bCs/>
          <w:color w:val="000000"/>
          <w:szCs w:val="22"/>
          <w:lang w:eastAsia="en-NZ"/>
        </w:rPr>
        <w:t xml:space="preserve">Failure to comply with </w:t>
      </w:r>
      <w:r w:rsidR="00612221" w:rsidRPr="004B3CCB">
        <w:rPr>
          <w:rFonts w:cs="Arial"/>
          <w:b/>
          <w:bCs/>
          <w:color w:val="000000"/>
          <w:szCs w:val="22"/>
          <w:lang w:eastAsia="en-NZ"/>
        </w:rPr>
        <w:t>judgment</w:t>
      </w:r>
    </w:p>
    <w:p w:rsidR="005B1DA7" w:rsidRPr="004B3CCB" w:rsidRDefault="005B1DA7" w:rsidP="005B1DA7">
      <w:pPr>
        <w:shd w:val="clear" w:color="auto" w:fill="FFFFFF"/>
        <w:spacing w:before="180"/>
        <w:rPr>
          <w:rFonts w:cs="Arial"/>
          <w:color w:val="000000"/>
          <w:szCs w:val="22"/>
          <w:lang w:eastAsia="en-NZ"/>
        </w:rPr>
      </w:pPr>
      <w:r w:rsidRPr="004B3CCB">
        <w:rPr>
          <w:rFonts w:cs="Arial"/>
          <w:color w:val="000000"/>
          <w:szCs w:val="22"/>
          <w:lang w:eastAsia="en-NZ"/>
        </w:rPr>
        <w:t xml:space="preserve">If you fail to comply with the </w:t>
      </w:r>
      <w:r w:rsidR="00612221" w:rsidRPr="004B3CCB">
        <w:rPr>
          <w:rFonts w:cs="Arial"/>
          <w:color w:val="000000"/>
          <w:szCs w:val="22"/>
          <w:lang w:eastAsia="en-NZ"/>
        </w:rPr>
        <w:t>judgment</w:t>
      </w:r>
      <w:r w:rsidRPr="004B3CCB">
        <w:rPr>
          <w:rFonts w:cs="Arial"/>
          <w:color w:val="000000"/>
          <w:szCs w:val="22"/>
          <w:lang w:eastAsia="en-NZ"/>
        </w:rPr>
        <w:t>:</w:t>
      </w:r>
    </w:p>
    <w:p w:rsidR="005B1DA7" w:rsidRPr="004B3CCB" w:rsidRDefault="005B1DA7" w:rsidP="005B1DA7">
      <w:pPr>
        <w:numPr>
          <w:ilvl w:val="0"/>
          <w:numId w:val="16"/>
        </w:numPr>
        <w:shd w:val="clear" w:color="auto" w:fill="FFFFFF"/>
        <w:spacing w:before="60"/>
        <w:rPr>
          <w:rFonts w:cs="Arial"/>
          <w:i/>
          <w:color w:val="000000"/>
          <w:szCs w:val="22"/>
          <w:lang w:eastAsia="en-NZ"/>
        </w:rPr>
      </w:pPr>
      <w:r w:rsidRPr="004B3CCB">
        <w:rPr>
          <w:rFonts w:cs="Arial"/>
          <w:color w:val="000000"/>
          <w:szCs w:val="22"/>
          <w:lang w:eastAsia="en-NZ"/>
        </w:rPr>
        <w:t>further interest may accrue on any amount owing</w:t>
      </w:r>
      <w:r w:rsidRPr="004B3CCB">
        <w:rPr>
          <w:rStyle w:val="FootnoteReference"/>
          <w:rFonts w:cs="Arial"/>
          <w:color w:val="000000"/>
          <w:sz w:val="22"/>
          <w:szCs w:val="22"/>
          <w:lang w:eastAsia="en-NZ"/>
        </w:rPr>
        <w:t>1</w:t>
      </w:r>
      <w:r w:rsidRPr="004B3CCB">
        <w:rPr>
          <w:rFonts w:cs="Arial"/>
          <w:color w:val="000000"/>
          <w:szCs w:val="22"/>
          <w:lang w:eastAsia="en-NZ"/>
        </w:rPr>
        <w:t>; and</w:t>
      </w:r>
    </w:p>
    <w:p w:rsidR="005B1DA7" w:rsidRPr="004B3CCB" w:rsidRDefault="005B1DA7" w:rsidP="005B1DA7">
      <w:pPr>
        <w:numPr>
          <w:ilvl w:val="0"/>
          <w:numId w:val="16"/>
        </w:numPr>
        <w:shd w:val="clear" w:color="auto" w:fill="FFFFFF"/>
        <w:spacing w:before="60" w:after="120"/>
        <w:ind w:left="760" w:hanging="357"/>
        <w:rPr>
          <w:szCs w:val="22"/>
        </w:rPr>
      </w:pPr>
      <w:r w:rsidRPr="004B3CCB">
        <w:rPr>
          <w:rFonts w:cs="Arial"/>
          <w:color w:val="000000"/>
          <w:szCs w:val="22"/>
          <w:lang w:eastAsia="en-NZ"/>
        </w:rPr>
        <w:t xml:space="preserve">you may be required to pay the costs of the entitled person enforcing the </w:t>
      </w:r>
      <w:r w:rsidR="00612221" w:rsidRPr="004B3CCB">
        <w:rPr>
          <w:rFonts w:cs="Arial"/>
          <w:color w:val="000000"/>
          <w:szCs w:val="22"/>
          <w:lang w:eastAsia="en-NZ"/>
        </w:rPr>
        <w:t>judgment</w:t>
      </w:r>
      <w:r w:rsidRPr="004B3CCB">
        <w:rPr>
          <w:rFonts w:cs="Arial"/>
          <w:color w:val="000000"/>
          <w:szCs w:val="22"/>
          <w:lang w:eastAsia="en-NZ"/>
        </w:rPr>
        <w:t>.</w:t>
      </w:r>
    </w:p>
    <w:p w:rsidR="005B1DA7" w:rsidRPr="004B3CCB" w:rsidRDefault="005B1DA7" w:rsidP="005B1DA7">
      <w:pPr>
        <w:rPr>
          <w:rFonts w:ascii="Arial" w:hAnsi="Arial" w:cs="Arial"/>
          <w:sz w:val="16"/>
          <w:szCs w:val="16"/>
        </w:rPr>
      </w:pPr>
      <w:r w:rsidRPr="004B3CCB">
        <w:rPr>
          <w:rFonts w:ascii="Arial" w:hAnsi="Arial" w:cs="Arial"/>
          <w:sz w:val="16"/>
          <w:szCs w:val="16"/>
          <w:vertAlign w:val="superscript"/>
          <w:lang w:eastAsia="en-AU"/>
        </w:rPr>
        <w:t xml:space="preserve">1 </w:t>
      </w:r>
      <w:r w:rsidRPr="004B3CCB">
        <w:rPr>
          <w:rFonts w:ascii="Arial" w:hAnsi="Arial" w:cs="Arial"/>
          <w:sz w:val="16"/>
          <w:szCs w:val="16"/>
          <w:lang w:eastAsia="en-AU"/>
        </w:rPr>
        <w:t xml:space="preserve">Delete if </w:t>
      </w:r>
      <w:r w:rsidR="00612221" w:rsidRPr="004B3CCB">
        <w:rPr>
          <w:rFonts w:ascii="Arial" w:hAnsi="Arial" w:cs="Arial"/>
          <w:sz w:val="16"/>
          <w:szCs w:val="16"/>
          <w:lang w:eastAsia="en-AU"/>
        </w:rPr>
        <w:t>judgment</w:t>
      </w:r>
      <w:r w:rsidRPr="004B3CCB">
        <w:rPr>
          <w:rFonts w:ascii="Arial" w:hAnsi="Arial" w:cs="Arial"/>
          <w:sz w:val="16"/>
          <w:szCs w:val="16"/>
          <w:lang w:eastAsia="en-AU"/>
        </w:rPr>
        <w:t xml:space="preserve"> is not a money </w:t>
      </w:r>
      <w:r w:rsidR="00612221" w:rsidRPr="004B3CCB">
        <w:rPr>
          <w:rFonts w:ascii="Arial" w:hAnsi="Arial" w:cs="Arial"/>
          <w:sz w:val="16"/>
          <w:szCs w:val="16"/>
          <w:lang w:eastAsia="en-AU"/>
        </w:rPr>
        <w:t>judgment</w:t>
      </w:r>
      <w:r w:rsidRPr="004B3CCB">
        <w:rPr>
          <w:rFonts w:ascii="Arial" w:hAnsi="Arial" w:cs="Arial"/>
          <w:sz w:val="16"/>
          <w:szCs w:val="16"/>
          <w:lang w:eastAsia="en-AU"/>
        </w:rPr>
        <w:t>.</w:t>
      </w:r>
    </w:p>
    <w:p w:rsidR="005B1DA7" w:rsidRPr="004B3CCB" w:rsidRDefault="005B1DA7" w:rsidP="005B1DA7">
      <w:pPr>
        <w:sectPr w:rsidR="005B1DA7" w:rsidRPr="004B3CCB" w:rsidSect="00E97A11">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5B1DA7" w:rsidRPr="004B3CCB" w:rsidRDefault="005B1DA7" w:rsidP="005B1DA7">
      <w:pPr>
        <w:pStyle w:val="ENotesHeading1"/>
        <w:pageBreakBefore/>
        <w:outlineLvl w:val="9"/>
      </w:pPr>
      <w:bookmarkStart w:id="33" w:name="_Toc164357212"/>
      <w:r w:rsidRPr="004B3CCB">
        <w:t>Endnotes</w:t>
      </w:r>
      <w:bookmarkEnd w:id="33"/>
    </w:p>
    <w:p w:rsidR="00CC6477" w:rsidRPr="004B3CCB" w:rsidRDefault="00CC6477" w:rsidP="00CC6477">
      <w:pPr>
        <w:pStyle w:val="ENotesHeading2"/>
        <w:spacing w:line="240" w:lineRule="auto"/>
        <w:outlineLvl w:val="9"/>
      </w:pPr>
      <w:bookmarkStart w:id="34" w:name="_Toc164357213"/>
      <w:r w:rsidRPr="004B3CCB">
        <w:t>Endnote 1—About the endnotes</w:t>
      </w:r>
      <w:bookmarkEnd w:id="34"/>
    </w:p>
    <w:p w:rsidR="00CC6477" w:rsidRPr="004B3CCB" w:rsidRDefault="00CC6477" w:rsidP="00CC6477">
      <w:pPr>
        <w:spacing w:after="120"/>
      </w:pPr>
      <w:r w:rsidRPr="004B3CCB">
        <w:t>The endnotes provide information about this compilation and the compiled law.</w:t>
      </w:r>
    </w:p>
    <w:p w:rsidR="00CC6477" w:rsidRPr="004B3CCB" w:rsidRDefault="00CC6477" w:rsidP="00CC6477">
      <w:pPr>
        <w:spacing w:after="120"/>
      </w:pPr>
      <w:r w:rsidRPr="004B3CCB">
        <w:t>The following endnotes are included in every compilation:</w:t>
      </w:r>
    </w:p>
    <w:p w:rsidR="00CC6477" w:rsidRPr="004B3CCB" w:rsidRDefault="00CC6477" w:rsidP="00CC6477">
      <w:r w:rsidRPr="004B3CCB">
        <w:t>Endnote 1—About the endnotes</w:t>
      </w:r>
    </w:p>
    <w:p w:rsidR="00CC6477" w:rsidRPr="004B3CCB" w:rsidRDefault="00CC6477" w:rsidP="00CC6477">
      <w:r w:rsidRPr="004B3CCB">
        <w:t>Endnote 2—Abbreviation key</w:t>
      </w:r>
    </w:p>
    <w:p w:rsidR="00CC6477" w:rsidRPr="004B3CCB" w:rsidRDefault="00CC6477" w:rsidP="00CC6477">
      <w:r w:rsidRPr="004B3CCB">
        <w:t>Endnote 3—Legislation history</w:t>
      </w:r>
    </w:p>
    <w:p w:rsidR="00CC6477" w:rsidRPr="004B3CCB" w:rsidRDefault="00CC6477" w:rsidP="00CC6477">
      <w:pPr>
        <w:spacing w:after="120"/>
      </w:pPr>
      <w:r w:rsidRPr="004B3CCB">
        <w:t>Endnote 4—Amendment history</w:t>
      </w:r>
    </w:p>
    <w:p w:rsidR="00CC6477" w:rsidRPr="004B3CCB" w:rsidRDefault="00CC6477" w:rsidP="00CC6477">
      <w:r w:rsidRPr="004B3CCB">
        <w:rPr>
          <w:b/>
        </w:rPr>
        <w:t>Abbreviation key—Endnote 2</w:t>
      </w:r>
    </w:p>
    <w:p w:rsidR="00CC6477" w:rsidRPr="004B3CCB" w:rsidRDefault="00CC6477" w:rsidP="00CC6477">
      <w:pPr>
        <w:spacing w:after="120"/>
      </w:pPr>
      <w:r w:rsidRPr="004B3CCB">
        <w:t>The abbreviation key sets out abbreviations that may be used in the endnotes.</w:t>
      </w:r>
    </w:p>
    <w:p w:rsidR="00CC6477" w:rsidRPr="004B3CCB" w:rsidRDefault="00CC6477" w:rsidP="00CC6477">
      <w:pPr>
        <w:rPr>
          <w:b/>
        </w:rPr>
      </w:pPr>
      <w:r w:rsidRPr="004B3CCB">
        <w:rPr>
          <w:b/>
        </w:rPr>
        <w:t>Legislation history and amendment history—Endnotes 3 and 4</w:t>
      </w:r>
    </w:p>
    <w:p w:rsidR="00CC6477" w:rsidRPr="004B3CCB" w:rsidRDefault="00CC6477" w:rsidP="00CC6477">
      <w:pPr>
        <w:spacing w:after="120"/>
      </w:pPr>
      <w:r w:rsidRPr="004B3CCB">
        <w:t>Amending laws are annotated in the legislation history and amendment history.</w:t>
      </w:r>
    </w:p>
    <w:p w:rsidR="00CC6477" w:rsidRPr="004B3CCB" w:rsidRDefault="00CC6477" w:rsidP="00CC6477">
      <w:pPr>
        <w:spacing w:after="120"/>
      </w:pPr>
      <w:r w:rsidRPr="004B3C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C6477" w:rsidRPr="004B3CCB" w:rsidRDefault="00CC6477" w:rsidP="00CC6477">
      <w:pPr>
        <w:spacing w:after="120"/>
      </w:pPr>
      <w:r w:rsidRPr="004B3CC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C6477" w:rsidRPr="004B3CCB" w:rsidRDefault="00CC6477" w:rsidP="00CC6477">
      <w:pPr>
        <w:rPr>
          <w:b/>
        </w:rPr>
      </w:pPr>
      <w:r w:rsidRPr="004B3CCB">
        <w:rPr>
          <w:b/>
        </w:rPr>
        <w:t>Editorial changes</w:t>
      </w:r>
    </w:p>
    <w:p w:rsidR="00CC6477" w:rsidRPr="004B3CCB" w:rsidRDefault="00CC6477" w:rsidP="00CC6477">
      <w:pPr>
        <w:spacing w:after="120"/>
      </w:pPr>
      <w:r w:rsidRPr="004B3CCB">
        <w:t xml:space="preserve">The </w:t>
      </w:r>
      <w:r w:rsidRPr="004B3CCB">
        <w:rPr>
          <w:i/>
        </w:rPr>
        <w:t>Legislation Act 2003</w:t>
      </w:r>
      <w:r w:rsidRPr="004B3CC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C6477" w:rsidRPr="004B3CCB" w:rsidRDefault="00CC6477" w:rsidP="00CC6477">
      <w:pPr>
        <w:spacing w:after="120"/>
      </w:pPr>
      <w:r w:rsidRPr="004B3CCB">
        <w:t>If the compilation includes editorial changes, the endnotes include a brief outline of the changes in general terms. Full details of any changes can be obtained from the Office of Parliamentary Counsel.</w:t>
      </w:r>
    </w:p>
    <w:p w:rsidR="00CC6477" w:rsidRPr="004B3CCB" w:rsidRDefault="00CC6477" w:rsidP="00CC6477">
      <w:pPr>
        <w:keepNext/>
      </w:pPr>
      <w:r w:rsidRPr="004B3CCB">
        <w:rPr>
          <w:b/>
        </w:rPr>
        <w:t>Misdescribed amendments</w:t>
      </w:r>
    </w:p>
    <w:p w:rsidR="00CC6477" w:rsidRPr="004B3CCB" w:rsidRDefault="00CC6477" w:rsidP="00CC6477">
      <w:pPr>
        <w:spacing w:after="120"/>
      </w:pPr>
      <w:r w:rsidRPr="004B3CC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C73F82">
        <w:t>section 1</w:t>
      </w:r>
      <w:r w:rsidRPr="004B3CCB">
        <w:t xml:space="preserve">5V of the </w:t>
      </w:r>
      <w:r w:rsidRPr="004B3CCB">
        <w:rPr>
          <w:i/>
        </w:rPr>
        <w:t>Legislation Act 2003</w:t>
      </w:r>
      <w:r w:rsidRPr="004B3CCB">
        <w:t>.</w:t>
      </w:r>
    </w:p>
    <w:p w:rsidR="00CC6477" w:rsidRPr="004B3CCB" w:rsidRDefault="00CC6477" w:rsidP="00CC6477">
      <w:pPr>
        <w:spacing w:before="120" w:after="240"/>
      </w:pPr>
      <w:r w:rsidRPr="004B3CCB">
        <w:t>If a misdescribed amendment cannot be given effect as intended, the amendment is not incorporated and “(md not incorp)” is added to the amendment history.</w:t>
      </w:r>
    </w:p>
    <w:p w:rsidR="006C30DE" w:rsidRPr="004B3CCB" w:rsidRDefault="006C30DE" w:rsidP="006C30DE">
      <w:pPr>
        <w:spacing w:before="120"/>
      </w:pPr>
    </w:p>
    <w:p w:rsidR="00CC6477" w:rsidRPr="004B3CCB" w:rsidRDefault="00CC6477" w:rsidP="00CC6477">
      <w:pPr>
        <w:pStyle w:val="ENotesHeading2"/>
        <w:pageBreakBefore/>
        <w:spacing w:after="240"/>
        <w:outlineLvl w:val="9"/>
      </w:pPr>
      <w:bookmarkStart w:id="35" w:name="_Toc164357214"/>
      <w:r w:rsidRPr="004B3CCB">
        <w:t>Endnote 2—Abbreviation key</w:t>
      </w:r>
      <w:bookmarkEnd w:id="35"/>
    </w:p>
    <w:tbl>
      <w:tblPr>
        <w:tblW w:w="5000" w:type="pct"/>
        <w:tblLook w:val="0000" w:firstRow="0" w:lastRow="0" w:firstColumn="0" w:lastColumn="0" w:noHBand="0" w:noVBand="0"/>
      </w:tblPr>
      <w:tblGrid>
        <w:gridCol w:w="4570"/>
        <w:gridCol w:w="3959"/>
      </w:tblGrid>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ad = added or inserted</w:t>
            </w:r>
          </w:p>
        </w:tc>
        <w:tc>
          <w:tcPr>
            <w:tcW w:w="2321" w:type="pct"/>
            <w:shd w:val="clear" w:color="auto" w:fill="auto"/>
          </w:tcPr>
          <w:p w:rsidR="00CC6477" w:rsidRPr="004B3CCB" w:rsidRDefault="00CC6477" w:rsidP="00CC6477">
            <w:pPr>
              <w:spacing w:before="60"/>
              <w:ind w:left="34"/>
              <w:rPr>
                <w:sz w:val="20"/>
              </w:rPr>
            </w:pPr>
            <w:r w:rsidRPr="004B3CCB">
              <w:rPr>
                <w:sz w:val="20"/>
              </w:rPr>
              <w:t>o = order(s)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am = amended</w:t>
            </w:r>
          </w:p>
        </w:tc>
        <w:tc>
          <w:tcPr>
            <w:tcW w:w="2321" w:type="pct"/>
            <w:shd w:val="clear" w:color="auto" w:fill="auto"/>
          </w:tcPr>
          <w:p w:rsidR="00CC6477" w:rsidRPr="004B3CCB" w:rsidRDefault="00CC6477" w:rsidP="00CC6477">
            <w:pPr>
              <w:spacing w:before="60"/>
              <w:ind w:left="34"/>
              <w:rPr>
                <w:sz w:val="20"/>
              </w:rPr>
            </w:pPr>
            <w:r w:rsidRPr="004B3CCB">
              <w:rPr>
                <w:sz w:val="20"/>
              </w:rPr>
              <w:t>Ord = Ordinance</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amdt = amendment</w:t>
            </w:r>
          </w:p>
        </w:tc>
        <w:tc>
          <w:tcPr>
            <w:tcW w:w="2321" w:type="pct"/>
            <w:shd w:val="clear" w:color="auto" w:fill="auto"/>
          </w:tcPr>
          <w:p w:rsidR="00CC6477" w:rsidRPr="004B3CCB" w:rsidRDefault="00CC6477" w:rsidP="00CC6477">
            <w:pPr>
              <w:spacing w:before="60"/>
              <w:ind w:left="34"/>
              <w:rPr>
                <w:sz w:val="20"/>
              </w:rPr>
            </w:pPr>
            <w:r w:rsidRPr="004B3CCB">
              <w:rPr>
                <w:sz w:val="20"/>
              </w:rPr>
              <w:t>orig = original</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c = clause(s)</w:t>
            </w:r>
          </w:p>
        </w:tc>
        <w:tc>
          <w:tcPr>
            <w:tcW w:w="2321" w:type="pct"/>
            <w:shd w:val="clear" w:color="auto" w:fill="auto"/>
          </w:tcPr>
          <w:p w:rsidR="00CC6477" w:rsidRPr="004B3CCB" w:rsidRDefault="00CC6477" w:rsidP="00CC6477">
            <w:pPr>
              <w:spacing w:before="60"/>
              <w:ind w:left="34"/>
              <w:rPr>
                <w:sz w:val="20"/>
              </w:rPr>
            </w:pPr>
            <w:r w:rsidRPr="004B3CCB">
              <w:rPr>
                <w:sz w:val="20"/>
              </w:rPr>
              <w:t>par = paragraph(s)/subparagraph(s)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C[x] = Compilation No. x</w:t>
            </w:r>
          </w:p>
        </w:tc>
        <w:tc>
          <w:tcPr>
            <w:tcW w:w="2321" w:type="pct"/>
            <w:shd w:val="clear" w:color="auto" w:fill="auto"/>
          </w:tcPr>
          <w:p w:rsidR="00CC6477" w:rsidRPr="004B3CCB" w:rsidRDefault="00CC6477" w:rsidP="00CC6477">
            <w:pPr>
              <w:ind w:left="34" w:firstLine="249"/>
              <w:rPr>
                <w:sz w:val="20"/>
              </w:rPr>
            </w:pPr>
            <w:r w:rsidRPr="004B3CCB">
              <w:rPr>
                <w:sz w:val="20"/>
              </w:rPr>
              <w:t>/sub</w:t>
            </w:r>
            <w:r w:rsidR="00C73F82">
              <w:rPr>
                <w:sz w:val="20"/>
              </w:rPr>
              <w:noBreakHyphen/>
            </w:r>
            <w:r w:rsidRPr="004B3CCB">
              <w:rPr>
                <w:sz w:val="20"/>
              </w:rPr>
              <w:t>subparagraph(s)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Ch = Chapter(s)</w:t>
            </w:r>
          </w:p>
        </w:tc>
        <w:tc>
          <w:tcPr>
            <w:tcW w:w="2321" w:type="pct"/>
            <w:shd w:val="clear" w:color="auto" w:fill="auto"/>
          </w:tcPr>
          <w:p w:rsidR="00CC6477" w:rsidRPr="004B3CCB" w:rsidRDefault="00CC6477" w:rsidP="00CC6477">
            <w:pPr>
              <w:spacing w:before="60"/>
              <w:ind w:left="34"/>
              <w:rPr>
                <w:sz w:val="20"/>
              </w:rPr>
            </w:pPr>
            <w:r w:rsidRPr="004B3CCB">
              <w:rPr>
                <w:sz w:val="20"/>
              </w:rPr>
              <w:t>pres = present</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def = definition(s)</w:t>
            </w:r>
          </w:p>
        </w:tc>
        <w:tc>
          <w:tcPr>
            <w:tcW w:w="2321" w:type="pct"/>
            <w:shd w:val="clear" w:color="auto" w:fill="auto"/>
          </w:tcPr>
          <w:p w:rsidR="00CC6477" w:rsidRPr="004B3CCB" w:rsidRDefault="00CC6477" w:rsidP="00CC6477">
            <w:pPr>
              <w:spacing w:before="60"/>
              <w:ind w:left="34"/>
              <w:rPr>
                <w:sz w:val="20"/>
              </w:rPr>
            </w:pPr>
            <w:r w:rsidRPr="004B3CCB">
              <w:rPr>
                <w:sz w:val="20"/>
              </w:rPr>
              <w:t>prev = previous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Dict = Dictionary</w:t>
            </w:r>
          </w:p>
        </w:tc>
        <w:tc>
          <w:tcPr>
            <w:tcW w:w="2321" w:type="pct"/>
            <w:shd w:val="clear" w:color="auto" w:fill="auto"/>
          </w:tcPr>
          <w:p w:rsidR="00CC6477" w:rsidRPr="004B3CCB" w:rsidRDefault="00CC6477" w:rsidP="00CC6477">
            <w:pPr>
              <w:spacing w:before="60"/>
              <w:ind w:left="34"/>
              <w:rPr>
                <w:sz w:val="20"/>
              </w:rPr>
            </w:pPr>
            <w:r w:rsidRPr="004B3CCB">
              <w:rPr>
                <w:sz w:val="20"/>
              </w:rPr>
              <w:t>(prev…) = previously</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disallowed = disallowed by Parliament</w:t>
            </w:r>
          </w:p>
        </w:tc>
        <w:tc>
          <w:tcPr>
            <w:tcW w:w="2321" w:type="pct"/>
            <w:shd w:val="clear" w:color="auto" w:fill="auto"/>
          </w:tcPr>
          <w:p w:rsidR="00CC6477" w:rsidRPr="004B3CCB" w:rsidRDefault="00CC6477" w:rsidP="00CC6477">
            <w:pPr>
              <w:spacing w:before="60"/>
              <w:ind w:left="34"/>
              <w:rPr>
                <w:sz w:val="20"/>
              </w:rPr>
            </w:pPr>
            <w:r w:rsidRPr="004B3CCB">
              <w:rPr>
                <w:sz w:val="20"/>
              </w:rPr>
              <w:t>Pt = Part(s)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Div = Division(s)</w:t>
            </w:r>
          </w:p>
        </w:tc>
        <w:tc>
          <w:tcPr>
            <w:tcW w:w="2321" w:type="pct"/>
            <w:shd w:val="clear" w:color="auto" w:fill="auto"/>
          </w:tcPr>
          <w:p w:rsidR="00CC6477" w:rsidRPr="004B3CCB" w:rsidRDefault="00CC6477" w:rsidP="00CC6477">
            <w:pPr>
              <w:spacing w:before="60"/>
              <w:ind w:left="34"/>
              <w:rPr>
                <w:sz w:val="20"/>
              </w:rPr>
            </w:pPr>
            <w:r w:rsidRPr="004B3CCB">
              <w:rPr>
                <w:sz w:val="20"/>
              </w:rPr>
              <w:t>r = regulation(s)/rule(s)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ed = editorial change</w:t>
            </w:r>
          </w:p>
        </w:tc>
        <w:tc>
          <w:tcPr>
            <w:tcW w:w="2321" w:type="pct"/>
            <w:shd w:val="clear" w:color="auto" w:fill="auto"/>
          </w:tcPr>
          <w:p w:rsidR="00CC6477" w:rsidRPr="004B3CCB" w:rsidRDefault="00CC6477" w:rsidP="00CC6477">
            <w:pPr>
              <w:spacing w:before="60"/>
              <w:ind w:left="34"/>
              <w:rPr>
                <w:sz w:val="20"/>
              </w:rPr>
            </w:pPr>
            <w:r w:rsidRPr="004B3CCB">
              <w:rPr>
                <w:sz w:val="20"/>
              </w:rPr>
              <w:t>reloc = relocated</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exp = expires/expired or ceases/ceased to have</w:t>
            </w:r>
          </w:p>
        </w:tc>
        <w:tc>
          <w:tcPr>
            <w:tcW w:w="2321" w:type="pct"/>
            <w:shd w:val="clear" w:color="auto" w:fill="auto"/>
          </w:tcPr>
          <w:p w:rsidR="00CC6477" w:rsidRPr="004B3CCB" w:rsidRDefault="00CC6477" w:rsidP="00CC6477">
            <w:pPr>
              <w:spacing w:before="60"/>
              <w:ind w:left="34"/>
              <w:rPr>
                <w:sz w:val="20"/>
              </w:rPr>
            </w:pPr>
            <w:r w:rsidRPr="004B3CCB">
              <w:rPr>
                <w:sz w:val="20"/>
              </w:rPr>
              <w:t>renum = renumbered</w:t>
            </w:r>
          </w:p>
        </w:tc>
      </w:tr>
      <w:tr w:rsidR="00CC6477" w:rsidRPr="004B3CCB" w:rsidTr="00CC6477">
        <w:tc>
          <w:tcPr>
            <w:tcW w:w="2679" w:type="pct"/>
            <w:shd w:val="clear" w:color="auto" w:fill="auto"/>
          </w:tcPr>
          <w:p w:rsidR="00CC6477" w:rsidRPr="004B3CCB" w:rsidRDefault="00CC6477" w:rsidP="00CC6477">
            <w:pPr>
              <w:ind w:left="34" w:firstLine="249"/>
              <w:rPr>
                <w:sz w:val="20"/>
              </w:rPr>
            </w:pPr>
            <w:r w:rsidRPr="004B3CCB">
              <w:rPr>
                <w:sz w:val="20"/>
              </w:rPr>
              <w:t>effect</w:t>
            </w:r>
          </w:p>
        </w:tc>
        <w:tc>
          <w:tcPr>
            <w:tcW w:w="2321" w:type="pct"/>
            <w:shd w:val="clear" w:color="auto" w:fill="auto"/>
          </w:tcPr>
          <w:p w:rsidR="00CC6477" w:rsidRPr="004B3CCB" w:rsidRDefault="00CC6477" w:rsidP="00CC6477">
            <w:pPr>
              <w:spacing w:before="60"/>
              <w:ind w:left="34"/>
              <w:rPr>
                <w:sz w:val="20"/>
              </w:rPr>
            </w:pPr>
            <w:r w:rsidRPr="004B3CCB">
              <w:rPr>
                <w:sz w:val="20"/>
              </w:rPr>
              <w:t>rep = repealed</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F = Federal Register of Legislation</w:t>
            </w:r>
          </w:p>
        </w:tc>
        <w:tc>
          <w:tcPr>
            <w:tcW w:w="2321" w:type="pct"/>
            <w:shd w:val="clear" w:color="auto" w:fill="auto"/>
          </w:tcPr>
          <w:p w:rsidR="00CC6477" w:rsidRPr="004B3CCB" w:rsidRDefault="00CC6477" w:rsidP="00CC6477">
            <w:pPr>
              <w:spacing w:before="60"/>
              <w:ind w:left="34"/>
              <w:rPr>
                <w:sz w:val="20"/>
              </w:rPr>
            </w:pPr>
            <w:r w:rsidRPr="004B3CCB">
              <w:rPr>
                <w:sz w:val="20"/>
              </w:rPr>
              <w:t>rs = repealed and substituted</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gaz = gazette</w:t>
            </w:r>
          </w:p>
        </w:tc>
        <w:tc>
          <w:tcPr>
            <w:tcW w:w="2321" w:type="pct"/>
            <w:shd w:val="clear" w:color="auto" w:fill="auto"/>
          </w:tcPr>
          <w:p w:rsidR="00CC6477" w:rsidRPr="004B3CCB" w:rsidRDefault="00CC6477" w:rsidP="00CC6477">
            <w:pPr>
              <w:spacing w:before="60"/>
              <w:ind w:left="34"/>
              <w:rPr>
                <w:sz w:val="20"/>
              </w:rPr>
            </w:pPr>
            <w:r w:rsidRPr="004B3CCB">
              <w:rPr>
                <w:sz w:val="20"/>
              </w:rPr>
              <w:t>s = section(s)/subsection(s)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 xml:space="preserve">LA = </w:t>
            </w:r>
            <w:r w:rsidRPr="004B3CCB">
              <w:rPr>
                <w:i/>
                <w:sz w:val="20"/>
              </w:rPr>
              <w:t>Legislation Act 2003</w:t>
            </w:r>
          </w:p>
        </w:tc>
        <w:tc>
          <w:tcPr>
            <w:tcW w:w="2321" w:type="pct"/>
            <w:shd w:val="clear" w:color="auto" w:fill="auto"/>
          </w:tcPr>
          <w:p w:rsidR="00CC6477" w:rsidRPr="004B3CCB" w:rsidRDefault="00CC6477" w:rsidP="00CC6477">
            <w:pPr>
              <w:spacing w:before="60"/>
              <w:ind w:left="34"/>
              <w:rPr>
                <w:sz w:val="20"/>
              </w:rPr>
            </w:pPr>
            <w:r w:rsidRPr="004B3CCB">
              <w:rPr>
                <w:sz w:val="20"/>
              </w:rPr>
              <w:t>Sch = Schedule(s)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 xml:space="preserve">LIA = </w:t>
            </w:r>
            <w:r w:rsidRPr="004B3CCB">
              <w:rPr>
                <w:i/>
                <w:sz w:val="20"/>
              </w:rPr>
              <w:t>Legislative Instruments Act 2003</w:t>
            </w:r>
          </w:p>
        </w:tc>
        <w:tc>
          <w:tcPr>
            <w:tcW w:w="2321" w:type="pct"/>
            <w:shd w:val="clear" w:color="auto" w:fill="auto"/>
          </w:tcPr>
          <w:p w:rsidR="00CC6477" w:rsidRPr="004B3CCB" w:rsidRDefault="00CC6477" w:rsidP="00CC6477">
            <w:pPr>
              <w:spacing w:before="60"/>
              <w:ind w:left="34"/>
              <w:rPr>
                <w:sz w:val="20"/>
              </w:rPr>
            </w:pPr>
            <w:r w:rsidRPr="004B3CCB">
              <w:rPr>
                <w:sz w:val="20"/>
              </w:rPr>
              <w:t>Sdiv = Subdivision(s)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(md) = misdescribed amendment can be given</w:t>
            </w:r>
          </w:p>
        </w:tc>
        <w:tc>
          <w:tcPr>
            <w:tcW w:w="2321" w:type="pct"/>
            <w:shd w:val="clear" w:color="auto" w:fill="auto"/>
          </w:tcPr>
          <w:p w:rsidR="00CC6477" w:rsidRPr="004B3CCB" w:rsidRDefault="00CC6477" w:rsidP="00CC6477">
            <w:pPr>
              <w:spacing w:before="60"/>
              <w:ind w:left="34"/>
              <w:rPr>
                <w:sz w:val="20"/>
              </w:rPr>
            </w:pPr>
            <w:r w:rsidRPr="004B3CCB">
              <w:rPr>
                <w:sz w:val="20"/>
              </w:rPr>
              <w:t>SLI = Select Legislative Instrument</w:t>
            </w:r>
          </w:p>
        </w:tc>
      </w:tr>
      <w:tr w:rsidR="00CC6477" w:rsidRPr="004B3CCB" w:rsidTr="00CC6477">
        <w:tc>
          <w:tcPr>
            <w:tcW w:w="2679" w:type="pct"/>
            <w:shd w:val="clear" w:color="auto" w:fill="auto"/>
          </w:tcPr>
          <w:p w:rsidR="00CC6477" w:rsidRPr="004B3CCB" w:rsidRDefault="00CC6477" w:rsidP="00CC6477">
            <w:pPr>
              <w:ind w:left="34" w:firstLine="249"/>
              <w:rPr>
                <w:sz w:val="20"/>
              </w:rPr>
            </w:pPr>
            <w:r w:rsidRPr="004B3CCB">
              <w:rPr>
                <w:sz w:val="20"/>
              </w:rPr>
              <w:t>effect</w:t>
            </w:r>
          </w:p>
        </w:tc>
        <w:tc>
          <w:tcPr>
            <w:tcW w:w="2321" w:type="pct"/>
            <w:shd w:val="clear" w:color="auto" w:fill="auto"/>
          </w:tcPr>
          <w:p w:rsidR="00CC6477" w:rsidRPr="004B3CCB" w:rsidRDefault="00CC6477" w:rsidP="00CC6477">
            <w:pPr>
              <w:spacing w:before="60"/>
              <w:ind w:left="34"/>
              <w:rPr>
                <w:sz w:val="20"/>
              </w:rPr>
            </w:pPr>
            <w:r w:rsidRPr="004B3CCB">
              <w:rPr>
                <w:sz w:val="20"/>
              </w:rPr>
              <w:t>SR = Statutory Rules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(md not incorp) = misdescribed amendment</w:t>
            </w:r>
          </w:p>
        </w:tc>
        <w:tc>
          <w:tcPr>
            <w:tcW w:w="2321" w:type="pct"/>
            <w:shd w:val="clear" w:color="auto" w:fill="auto"/>
          </w:tcPr>
          <w:p w:rsidR="00CC6477" w:rsidRPr="004B3CCB" w:rsidRDefault="00CC6477" w:rsidP="00CC6477">
            <w:pPr>
              <w:spacing w:before="60"/>
              <w:ind w:left="34"/>
              <w:rPr>
                <w:sz w:val="20"/>
              </w:rPr>
            </w:pPr>
            <w:r w:rsidRPr="004B3CCB">
              <w:rPr>
                <w:sz w:val="20"/>
              </w:rPr>
              <w:t>Sub</w:t>
            </w:r>
            <w:r w:rsidR="00C73F82">
              <w:rPr>
                <w:sz w:val="20"/>
              </w:rPr>
              <w:noBreakHyphen/>
            </w:r>
            <w:r w:rsidRPr="004B3CCB">
              <w:rPr>
                <w:sz w:val="20"/>
              </w:rPr>
              <w:t>Ch = Sub</w:t>
            </w:r>
            <w:r w:rsidR="00C73F82">
              <w:rPr>
                <w:sz w:val="20"/>
              </w:rPr>
              <w:noBreakHyphen/>
            </w:r>
            <w:r w:rsidRPr="004B3CCB">
              <w:rPr>
                <w:sz w:val="20"/>
              </w:rPr>
              <w:t>Chapter(s)</w:t>
            </w:r>
          </w:p>
        </w:tc>
      </w:tr>
      <w:tr w:rsidR="00CC6477" w:rsidRPr="004B3CCB" w:rsidTr="00CC6477">
        <w:tc>
          <w:tcPr>
            <w:tcW w:w="2679" w:type="pct"/>
            <w:shd w:val="clear" w:color="auto" w:fill="auto"/>
          </w:tcPr>
          <w:p w:rsidR="00CC6477" w:rsidRPr="004B3CCB" w:rsidRDefault="00CC6477" w:rsidP="00CC6477">
            <w:pPr>
              <w:ind w:left="34" w:firstLine="249"/>
              <w:rPr>
                <w:sz w:val="20"/>
              </w:rPr>
            </w:pPr>
            <w:r w:rsidRPr="004B3CCB">
              <w:rPr>
                <w:sz w:val="20"/>
              </w:rPr>
              <w:t>cannot be given effect</w:t>
            </w:r>
          </w:p>
        </w:tc>
        <w:tc>
          <w:tcPr>
            <w:tcW w:w="2321" w:type="pct"/>
            <w:shd w:val="clear" w:color="auto" w:fill="auto"/>
          </w:tcPr>
          <w:p w:rsidR="00CC6477" w:rsidRPr="004B3CCB" w:rsidRDefault="00CC6477" w:rsidP="00CC6477">
            <w:pPr>
              <w:spacing w:before="60"/>
              <w:ind w:left="34"/>
              <w:rPr>
                <w:sz w:val="20"/>
              </w:rPr>
            </w:pPr>
            <w:r w:rsidRPr="004B3CCB">
              <w:rPr>
                <w:sz w:val="20"/>
              </w:rPr>
              <w:t>SubPt = Subpart(s)</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mod = modified/modification</w:t>
            </w:r>
          </w:p>
        </w:tc>
        <w:tc>
          <w:tcPr>
            <w:tcW w:w="2321" w:type="pct"/>
            <w:shd w:val="clear" w:color="auto" w:fill="auto"/>
          </w:tcPr>
          <w:p w:rsidR="00CC6477" w:rsidRPr="004B3CCB" w:rsidRDefault="00CC6477" w:rsidP="00CC6477">
            <w:pPr>
              <w:spacing w:before="60"/>
              <w:ind w:left="34"/>
              <w:rPr>
                <w:sz w:val="20"/>
              </w:rPr>
            </w:pPr>
            <w:r w:rsidRPr="004B3CCB">
              <w:rPr>
                <w:sz w:val="20"/>
                <w:u w:val="single"/>
              </w:rPr>
              <w:t>underlining</w:t>
            </w:r>
            <w:r w:rsidRPr="004B3CCB">
              <w:rPr>
                <w:sz w:val="20"/>
              </w:rPr>
              <w:t xml:space="preserve"> = whole or part not</w:t>
            </w:r>
          </w:p>
        </w:tc>
      </w:tr>
      <w:tr w:rsidR="00CC6477" w:rsidRPr="004B3CCB" w:rsidTr="00CC6477">
        <w:tc>
          <w:tcPr>
            <w:tcW w:w="2679" w:type="pct"/>
            <w:shd w:val="clear" w:color="auto" w:fill="auto"/>
          </w:tcPr>
          <w:p w:rsidR="00CC6477" w:rsidRPr="004B3CCB" w:rsidRDefault="00CC6477" w:rsidP="00CC6477">
            <w:pPr>
              <w:spacing w:before="60"/>
              <w:ind w:left="34"/>
              <w:rPr>
                <w:sz w:val="20"/>
              </w:rPr>
            </w:pPr>
            <w:r w:rsidRPr="004B3CCB">
              <w:rPr>
                <w:sz w:val="20"/>
              </w:rPr>
              <w:t>No. = Number(s)</w:t>
            </w:r>
          </w:p>
        </w:tc>
        <w:tc>
          <w:tcPr>
            <w:tcW w:w="2321" w:type="pct"/>
            <w:shd w:val="clear" w:color="auto" w:fill="auto"/>
          </w:tcPr>
          <w:p w:rsidR="00CC6477" w:rsidRPr="004B3CCB" w:rsidRDefault="00CC6477" w:rsidP="00CC6477">
            <w:pPr>
              <w:ind w:left="34" w:firstLine="249"/>
              <w:rPr>
                <w:sz w:val="20"/>
              </w:rPr>
            </w:pPr>
            <w:r w:rsidRPr="004B3CCB">
              <w:rPr>
                <w:sz w:val="20"/>
              </w:rPr>
              <w:t>commenced or to be commenced</w:t>
            </w:r>
          </w:p>
        </w:tc>
      </w:tr>
    </w:tbl>
    <w:p w:rsidR="00CC6477" w:rsidRPr="004B3CCB" w:rsidRDefault="00CC6477" w:rsidP="00CC6477"/>
    <w:p w:rsidR="006C30DE" w:rsidRPr="004B3CCB" w:rsidRDefault="006C30DE" w:rsidP="006C30DE">
      <w:pPr>
        <w:pStyle w:val="Tabletext"/>
      </w:pPr>
    </w:p>
    <w:p w:rsidR="006C30DE" w:rsidRPr="004B3CCB" w:rsidRDefault="006C30DE" w:rsidP="006C30DE">
      <w:pPr>
        <w:pStyle w:val="ENotesHeading2"/>
        <w:pageBreakBefore/>
        <w:outlineLvl w:val="9"/>
      </w:pPr>
      <w:bookmarkStart w:id="36" w:name="_Toc164357215"/>
      <w:r w:rsidRPr="004B3CCB">
        <w:t>Endnote 3—Legislation history</w:t>
      </w:r>
      <w:bookmarkEnd w:id="36"/>
    </w:p>
    <w:p w:rsidR="005B1DA7" w:rsidRPr="004B3CCB" w:rsidRDefault="005B1DA7" w:rsidP="005B1DA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32"/>
        <w:gridCol w:w="2038"/>
        <w:gridCol w:w="2347"/>
        <w:gridCol w:w="2112"/>
      </w:tblGrid>
      <w:tr w:rsidR="005B1DA7" w:rsidRPr="004B3CCB" w:rsidTr="00CC6477">
        <w:trPr>
          <w:cantSplit/>
          <w:tblHeader/>
        </w:trPr>
        <w:tc>
          <w:tcPr>
            <w:tcW w:w="1191" w:type="pct"/>
            <w:tcBorders>
              <w:top w:val="single" w:sz="12" w:space="0" w:color="auto"/>
              <w:bottom w:val="single" w:sz="12" w:space="0" w:color="auto"/>
            </w:tcBorders>
            <w:shd w:val="clear" w:color="auto" w:fill="auto"/>
          </w:tcPr>
          <w:p w:rsidR="005B1DA7" w:rsidRPr="004B3CCB" w:rsidRDefault="005B1DA7" w:rsidP="008529BA">
            <w:pPr>
              <w:pStyle w:val="ENoteTableHeading"/>
            </w:pPr>
            <w:r w:rsidRPr="004B3CCB">
              <w:t>Number and year</w:t>
            </w:r>
          </w:p>
        </w:tc>
        <w:tc>
          <w:tcPr>
            <w:tcW w:w="1195" w:type="pct"/>
            <w:tcBorders>
              <w:top w:val="single" w:sz="12" w:space="0" w:color="auto"/>
              <w:bottom w:val="single" w:sz="12" w:space="0" w:color="auto"/>
            </w:tcBorders>
            <w:shd w:val="clear" w:color="auto" w:fill="auto"/>
          </w:tcPr>
          <w:p w:rsidR="005B1DA7" w:rsidRPr="004B3CCB" w:rsidRDefault="005B1DA7">
            <w:pPr>
              <w:pStyle w:val="ENoteTableHeading"/>
            </w:pPr>
            <w:r w:rsidRPr="004B3CCB">
              <w:t>FRLI registration</w:t>
            </w:r>
          </w:p>
        </w:tc>
        <w:tc>
          <w:tcPr>
            <w:tcW w:w="1376" w:type="pct"/>
            <w:tcBorders>
              <w:top w:val="single" w:sz="12" w:space="0" w:color="auto"/>
              <w:bottom w:val="single" w:sz="12" w:space="0" w:color="auto"/>
            </w:tcBorders>
            <w:shd w:val="clear" w:color="auto" w:fill="auto"/>
          </w:tcPr>
          <w:p w:rsidR="005B1DA7" w:rsidRPr="004B3CCB" w:rsidRDefault="005B1DA7">
            <w:pPr>
              <w:pStyle w:val="ENoteTableHeading"/>
            </w:pPr>
            <w:r w:rsidRPr="004B3CCB">
              <w:t>Commencement</w:t>
            </w:r>
          </w:p>
        </w:tc>
        <w:tc>
          <w:tcPr>
            <w:tcW w:w="1238" w:type="pct"/>
            <w:tcBorders>
              <w:top w:val="single" w:sz="12" w:space="0" w:color="auto"/>
              <w:bottom w:val="single" w:sz="12" w:space="0" w:color="auto"/>
            </w:tcBorders>
            <w:shd w:val="clear" w:color="auto" w:fill="auto"/>
          </w:tcPr>
          <w:p w:rsidR="005B1DA7" w:rsidRPr="004B3CCB" w:rsidRDefault="005B1DA7" w:rsidP="008529BA">
            <w:pPr>
              <w:pStyle w:val="ENoteTableHeading"/>
            </w:pPr>
            <w:r w:rsidRPr="004B3CCB">
              <w:t>Application, saving and transitional provisions</w:t>
            </w:r>
          </w:p>
        </w:tc>
      </w:tr>
      <w:tr w:rsidR="005B1DA7" w:rsidRPr="004B3CCB" w:rsidTr="00CC6477">
        <w:trPr>
          <w:cantSplit/>
        </w:trPr>
        <w:tc>
          <w:tcPr>
            <w:tcW w:w="1191" w:type="pct"/>
            <w:tcBorders>
              <w:top w:val="single" w:sz="12" w:space="0" w:color="auto"/>
              <w:bottom w:val="single" w:sz="4" w:space="0" w:color="auto"/>
            </w:tcBorders>
            <w:shd w:val="clear" w:color="auto" w:fill="auto"/>
          </w:tcPr>
          <w:p w:rsidR="005B1DA7" w:rsidRPr="004B3CCB" w:rsidRDefault="005B1DA7" w:rsidP="008529BA">
            <w:pPr>
              <w:pStyle w:val="ENoteTableText"/>
            </w:pPr>
            <w:r w:rsidRPr="004B3CCB">
              <w:t>11, 2012</w:t>
            </w:r>
          </w:p>
        </w:tc>
        <w:tc>
          <w:tcPr>
            <w:tcW w:w="1195" w:type="pct"/>
            <w:tcBorders>
              <w:top w:val="single" w:sz="12" w:space="0" w:color="auto"/>
              <w:bottom w:val="single" w:sz="4" w:space="0" w:color="auto"/>
            </w:tcBorders>
            <w:shd w:val="clear" w:color="auto" w:fill="auto"/>
          </w:tcPr>
          <w:p w:rsidR="005B1DA7" w:rsidRPr="004B3CCB" w:rsidRDefault="005B1DA7" w:rsidP="003B2B6C">
            <w:pPr>
              <w:pStyle w:val="ENoteTableText"/>
              <w:rPr>
                <w:rFonts w:ascii="Courier New" w:eastAsiaTheme="minorHAnsi" w:hAnsi="Courier New" w:cs="Courier New"/>
                <w:lang w:eastAsia="en-US"/>
              </w:rPr>
            </w:pPr>
            <w:r w:rsidRPr="004B3CCB">
              <w:rPr>
                <w:bCs/>
              </w:rPr>
              <w:t>27 Feb 2012 (</w:t>
            </w:r>
            <w:r w:rsidRPr="004B3CCB">
              <w:t>F2012L00410</w:t>
            </w:r>
            <w:r w:rsidRPr="004B3CCB">
              <w:rPr>
                <w:bCs/>
              </w:rPr>
              <w:t>)</w:t>
            </w:r>
          </w:p>
        </w:tc>
        <w:tc>
          <w:tcPr>
            <w:tcW w:w="1376" w:type="pct"/>
            <w:tcBorders>
              <w:top w:val="single" w:sz="12" w:space="0" w:color="auto"/>
              <w:bottom w:val="single" w:sz="4" w:space="0" w:color="auto"/>
            </w:tcBorders>
            <w:shd w:val="clear" w:color="auto" w:fill="auto"/>
          </w:tcPr>
          <w:p w:rsidR="005B1DA7" w:rsidRPr="004B3CCB" w:rsidRDefault="008529BA" w:rsidP="008529BA">
            <w:pPr>
              <w:pStyle w:val="ENoteTableText"/>
              <w:rPr>
                <w:rFonts w:ascii="Courier New" w:eastAsiaTheme="minorHAnsi" w:hAnsi="Courier New" w:cs="Courier New"/>
                <w:lang w:eastAsia="en-US"/>
              </w:rPr>
            </w:pPr>
            <w:r w:rsidRPr="004B3CCB">
              <w:t xml:space="preserve">11 Oct 2013 (s </w:t>
            </w:r>
            <w:r w:rsidR="005B1DA7" w:rsidRPr="004B3CCB">
              <w:t>2)</w:t>
            </w:r>
          </w:p>
        </w:tc>
        <w:tc>
          <w:tcPr>
            <w:tcW w:w="1238" w:type="pct"/>
            <w:tcBorders>
              <w:top w:val="single" w:sz="12" w:space="0" w:color="auto"/>
              <w:bottom w:val="single" w:sz="4" w:space="0" w:color="auto"/>
            </w:tcBorders>
            <w:shd w:val="clear" w:color="auto" w:fill="auto"/>
          </w:tcPr>
          <w:p w:rsidR="005B1DA7" w:rsidRPr="004B3CCB" w:rsidRDefault="005B1DA7" w:rsidP="008529BA">
            <w:pPr>
              <w:pStyle w:val="ENoteTableText"/>
            </w:pPr>
          </w:p>
        </w:tc>
      </w:tr>
      <w:tr w:rsidR="005B1DA7" w:rsidRPr="004B3CCB" w:rsidTr="00CC6477">
        <w:trPr>
          <w:cantSplit/>
        </w:trPr>
        <w:tc>
          <w:tcPr>
            <w:tcW w:w="1191" w:type="pct"/>
            <w:shd w:val="clear" w:color="auto" w:fill="auto"/>
          </w:tcPr>
          <w:p w:rsidR="005B1DA7" w:rsidRPr="004B3CCB" w:rsidRDefault="005B1DA7" w:rsidP="008529BA">
            <w:pPr>
              <w:pStyle w:val="ENoteTableText"/>
            </w:pPr>
            <w:r w:rsidRPr="004B3CCB">
              <w:t>51, 2013</w:t>
            </w:r>
          </w:p>
        </w:tc>
        <w:tc>
          <w:tcPr>
            <w:tcW w:w="1195" w:type="pct"/>
            <w:shd w:val="clear" w:color="auto" w:fill="auto"/>
          </w:tcPr>
          <w:p w:rsidR="005B1DA7" w:rsidRPr="004B3CCB" w:rsidRDefault="005B1DA7">
            <w:pPr>
              <w:pStyle w:val="ENoteTableText"/>
              <w:rPr>
                <w:rFonts w:ascii="Courier New" w:eastAsiaTheme="minorHAnsi" w:hAnsi="Courier New" w:cs="Courier New"/>
                <w:lang w:eastAsia="en-US"/>
              </w:rPr>
            </w:pPr>
            <w:r w:rsidRPr="004B3CCB">
              <w:t>11 Apr 2013 (F2013L00649</w:t>
            </w:r>
            <w:r w:rsidRPr="004B3CCB">
              <w:rPr>
                <w:bCs/>
              </w:rPr>
              <w:t>)</w:t>
            </w:r>
          </w:p>
        </w:tc>
        <w:tc>
          <w:tcPr>
            <w:tcW w:w="1376" w:type="pct"/>
            <w:shd w:val="clear" w:color="auto" w:fill="auto"/>
          </w:tcPr>
          <w:p w:rsidR="005B1DA7" w:rsidRPr="004B3CCB" w:rsidRDefault="001A5F32" w:rsidP="00574800">
            <w:pPr>
              <w:pStyle w:val="ENoteTableText"/>
              <w:rPr>
                <w:rFonts w:ascii="Courier New" w:eastAsiaTheme="minorHAnsi" w:hAnsi="Courier New" w:cs="Courier New"/>
                <w:i/>
                <w:lang w:eastAsia="en-US"/>
              </w:rPr>
            </w:pPr>
            <w:r w:rsidRPr="004B3CCB">
              <w:t xml:space="preserve">Sch </w:t>
            </w:r>
            <w:r w:rsidR="005B1DA7" w:rsidRPr="004B3CCB">
              <w:t>1 (</w:t>
            </w:r>
            <w:r w:rsidR="001964AA" w:rsidRPr="004B3CCB">
              <w:t>item 1</w:t>
            </w:r>
            <w:r w:rsidR="005B1DA7" w:rsidRPr="004B3CCB">
              <w:t xml:space="preserve">11): </w:t>
            </w:r>
            <w:r w:rsidRPr="004B3CCB">
              <w:t>12 Apr 2013 (s</w:t>
            </w:r>
            <w:r w:rsidR="00574800" w:rsidRPr="004B3CCB">
              <w:t> </w:t>
            </w:r>
            <w:r w:rsidRPr="004B3CCB">
              <w:t>2 item</w:t>
            </w:r>
            <w:r w:rsidR="007A397E" w:rsidRPr="004B3CCB">
              <w:t> </w:t>
            </w:r>
            <w:r w:rsidRPr="004B3CCB">
              <w:t>2)</w:t>
            </w:r>
          </w:p>
        </w:tc>
        <w:tc>
          <w:tcPr>
            <w:tcW w:w="1238" w:type="pct"/>
            <w:shd w:val="clear" w:color="auto" w:fill="auto"/>
          </w:tcPr>
          <w:p w:rsidR="005B1DA7" w:rsidRPr="004B3CCB" w:rsidRDefault="005B1DA7" w:rsidP="008529BA">
            <w:pPr>
              <w:pStyle w:val="ENoteTableText"/>
            </w:pPr>
            <w:r w:rsidRPr="004B3CCB">
              <w:t>—</w:t>
            </w:r>
          </w:p>
        </w:tc>
      </w:tr>
      <w:tr w:rsidR="00A935E7" w:rsidRPr="004B3CCB" w:rsidTr="00CC6477">
        <w:trPr>
          <w:cantSplit/>
        </w:trPr>
        <w:tc>
          <w:tcPr>
            <w:tcW w:w="1191" w:type="pct"/>
            <w:tcBorders>
              <w:bottom w:val="single" w:sz="12" w:space="0" w:color="auto"/>
            </w:tcBorders>
            <w:shd w:val="clear" w:color="auto" w:fill="auto"/>
          </w:tcPr>
          <w:p w:rsidR="00A935E7" w:rsidRPr="004B3CCB" w:rsidRDefault="00A935E7" w:rsidP="008529BA">
            <w:pPr>
              <w:pStyle w:val="ENoteTableText"/>
            </w:pPr>
            <w:r w:rsidRPr="004B3CCB">
              <w:t>20, 2015</w:t>
            </w:r>
          </w:p>
        </w:tc>
        <w:tc>
          <w:tcPr>
            <w:tcW w:w="1195" w:type="pct"/>
            <w:tcBorders>
              <w:bottom w:val="single" w:sz="12" w:space="0" w:color="auto"/>
            </w:tcBorders>
            <w:shd w:val="clear" w:color="auto" w:fill="auto"/>
          </w:tcPr>
          <w:p w:rsidR="00A935E7" w:rsidRPr="004B3CCB" w:rsidRDefault="00A935E7" w:rsidP="008529BA">
            <w:pPr>
              <w:pStyle w:val="ENoteTableText"/>
            </w:pPr>
            <w:r w:rsidRPr="004B3CCB">
              <w:t>17 Mar 2015 (F2015L00304)</w:t>
            </w:r>
          </w:p>
        </w:tc>
        <w:tc>
          <w:tcPr>
            <w:tcW w:w="1376" w:type="pct"/>
            <w:tcBorders>
              <w:bottom w:val="single" w:sz="12" w:space="0" w:color="auto"/>
            </w:tcBorders>
            <w:shd w:val="clear" w:color="auto" w:fill="auto"/>
          </w:tcPr>
          <w:p w:rsidR="00A935E7" w:rsidRPr="004B3CCB" w:rsidRDefault="00A935E7" w:rsidP="008529BA">
            <w:pPr>
              <w:pStyle w:val="ENoteTableText"/>
            </w:pPr>
            <w:r w:rsidRPr="004B3CCB">
              <w:t>Sch 1: 31 Mar 2015 (s 2)</w:t>
            </w:r>
          </w:p>
        </w:tc>
        <w:tc>
          <w:tcPr>
            <w:tcW w:w="1238" w:type="pct"/>
            <w:tcBorders>
              <w:bottom w:val="single" w:sz="12" w:space="0" w:color="auto"/>
            </w:tcBorders>
            <w:shd w:val="clear" w:color="auto" w:fill="auto"/>
          </w:tcPr>
          <w:p w:rsidR="00A935E7" w:rsidRPr="004B3CCB" w:rsidRDefault="00A935E7" w:rsidP="008529BA">
            <w:pPr>
              <w:pStyle w:val="ENoteTableText"/>
            </w:pPr>
            <w:r w:rsidRPr="004B3CCB">
              <w:t>—</w:t>
            </w:r>
          </w:p>
        </w:tc>
      </w:tr>
    </w:tbl>
    <w:p w:rsidR="001F3052" w:rsidRPr="004B3CCB" w:rsidRDefault="001F3052" w:rsidP="00674E5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30"/>
        <w:gridCol w:w="2040"/>
        <w:gridCol w:w="2393"/>
        <w:gridCol w:w="2066"/>
      </w:tblGrid>
      <w:tr w:rsidR="001F3052" w:rsidRPr="004B3CCB" w:rsidTr="00CC6477">
        <w:trPr>
          <w:cantSplit/>
          <w:tblHeader/>
        </w:trPr>
        <w:tc>
          <w:tcPr>
            <w:tcW w:w="1190" w:type="pct"/>
            <w:tcBorders>
              <w:top w:val="single" w:sz="12" w:space="0" w:color="auto"/>
              <w:bottom w:val="single" w:sz="12" w:space="0" w:color="auto"/>
            </w:tcBorders>
            <w:shd w:val="clear" w:color="auto" w:fill="auto"/>
          </w:tcPr>
          <w:p w:rsidR="001F3052" w:rsidRPr="004B3CCB" w:rsidRDefault="001F3052" w:rsidP="00291C10">
            <w:pPr>
              <w:pStyle w:val="ENoteTableHeading"/>
            </w:pPr>
            <w:r w:rsidRPr="004B3CCB">
              <w:t>Name</w:t>
            </w:r>
          </w:p>
        </w:tc>
        <w:tc>
          <w:tcPr>
            <w:tcW w:w="1196" w:type="pct"/>
            <w:tcBorders>
              <w:top w:val="single" w:sz="12" w:space="0" w:color="auto"/>
              <w:bottom w:val="single" w:sz="12" w:space="0" w:color="auto"/>
            </w:tcBorders>
            <w:shd w:val="clear" w:color="auto" w:fill="auto"/>
          </w:tcPr>
          <w:p w:rsidR="001F3052" w:rsidRPr="004B3CCB" w:rsidRDefault="001F3052" w:rsidP="00291C10">
            <w:pPr>
              <w:pStyle w:val="ENoteTableHeading"/>
            </w:pPr>
            <w:r w:rsidRPr="004B3CCB">
              <w:t>Registration</w:t>
            </w:r>
          </w:p>
        </w:tc>
        <w:tc>
          <w:tcPr>
            <w:tcW w:w="1403" w:type="pct"/>
            <w:tcBorders>
              <w:top w:val="single" w:sz="12" w:space="0" w:color="auto"/>
              <w:bottom w:val="single" w:sz="12" w:space="0" w:color="auto"/>
            </w:tcBorders>
            <w:shd w:val="clear" w:color="auto" w:fill="auto"/>
          </w:tcPr>
          <w:p w:rsidR="001F3052" w:rsidRPr="004B3CCB" w:rsidRDefault="001F3052" w:rsidP="00291C10">
            <w:pPr>
              <w:pStyle w:val="ENoteTableHeading"/>
            </w:pPr>
            <w:r w:rsidRPr="004B3CCB">
              <w:t>Commencement</w:t>
            </w:r>
          </w:p>
        </w:tc>
        <w:tc>
          <w:tcPr>
            <w:tcW w:w="1211" w:type="pct"/>
            <w:tcBorders>
              <w:top w:val="single" w:sz="12" w:space="0" w:color="auto"/>
              <w:bottom w:val="single" w:sz="12" w:space="0" w:color="auto"/>
            </w:tcBorders>
            <w:shd w:val="clear" w:color="auto" w:fill="auto"/>
          </w:tcPr>
          <w:p w:rsidR="001F3052" w:rsidRPr="004B3CCB" w:rsidRDefault="001F3052" w:rsidP="00291C10">
            <w:pPr>
              <w:pStyle w:val="ENoteTableHeading"/>
            </w:pPr>
            <w:r w:rsidRPr="004B3CCB">
              <w:t>Application, saving and transitional provisions</w:t>
            </w:r>
          </w:p>
        </w:tc>
      </w:tr>
      <w:tr w:rsidR="001F3052" w:rsidRPr="004B3CCB" w:rsidTr="002C1F64">
        <w:trPr>
          <w:cantSplit/>
        </w:trPr>
        <w:tc>
          <w:tcPr>
            <w:tcW w:w="1190" w:type="pct"/>
            <w:tcBorders>
              <w:top w:val="single" w:sz="12" w:space="0" w:color="auto"/>
              <w:bottom w:val="single" w:sz="4" w:space="0" w:color="auto"/>
            </w:tcBorders>
            <w:shd w:val="clear" w:color="auto" w:fill="auto"/>
          </w:tcPr>
          <w:p w:rsidR="001F3052" w:rsidRPr="004B3CCB" w:rsidRDefault="001F3052" w:rsidP="00291C10">
            <w:pPr>
              <w:pStyle w:val="ENoteTableText"/>
            </w:pPr>
            <w:r w:rsidRPr="004B3CCB">
              <w:t>Trans</w:t>
            </w:r>
            <w:r w:rsidR="00C73F82">
              <w:noBreakHyphen/>
            </w:r>
            <w:r w:rsidRPr="004B3CCB">
              <w:t>Tasman Proceedings Amendment (2016 Measures No.</w:t>
            </w:r>
            <w:r w:rsidR="007A397E" w:rsidRPr="004B3CCB">
              <w:t> </w:t>
            </w:r>
            <w:r w:rsidRPr="004B3CCB">
              <w:t xml:space="preserve">1) </w:t>
            </w:r>
            <w:r w:rsidR="00C73F82">
              <w:t>Regulation 2</w:t>
            </w:r>
            <w:r w:rsidRPr="004B3CCB">
              <w:t>016</w:t>
            </w:r>
          </w:p>
        </w:tc>
        <w:tc>
          <w:tcPr>
            <w:tcW w:w="1196" w:type="pct"/>
            <w:tcBorders>
              <w:top w:val="single" w:sz="12" w:space="0" w:color="auto"/>
              <w:bottom w:val="single" w:sz="4" w:space="0" w:color="auto"/>
            </w:tcBorders>
            <w:shd w:val="clear" w:color="auto" w:fill="auto"/>
          </w:tcPr>
          <w:p w:rsidR="001F3052" w:rsidRPr="004B3CCB" w:rsidRDefault="001F3052" w:rsidP="00291C10">
            <w:pPr>
              <w:pStyle w:val="ENoteTableText"/>
            </w:pPr>
            <w:r w:rsidRPr="004B3CCB">
              <w:t>11 Nov 2016 (F2016L01746)</w:t>
            </w:r>
          </w:p>
        </w:tc>
        <w:tc>
          <w:tcPr>
            <w:tcW w:w="1403" w:type="pct"/>
            <w:tcBorders>
              <w:top w:val="single" w:sz="12" w:space="0" w:color="auto"/>
              <w:bottom w:val="single" w:sz="4" w:space="0" w:color="auto"/>
            </w:tcBorders>
            <w:shd w:val="clear" w:color="auto" w:fill="auto"/>
          </w:tcPr>
          <w:p w:rsidR="001F3052" w:rsidRPr="004B3CCB" w:rsidRDefault="00D61214" w:rsidP="00F648CB">
            <w:pPr>
              <w:pStyle w:val="ENoteTableText"/>
            </w:pPr>
            <w:r w:rsidRPr="004B3CCB">
              <w:t>Sch 1 (items</w:t>
            </w:r>
            <w:r w:rsidR="007A397E" w:rsidRPr="004B3CCB">
              <w:t> </w:t>
            </w:r>
            <w:r w:rsidRPr="004B3CCB">
              <w:t>1–3):</w:t>
            </w:r>
            <w:r w:rsidR="00A22AD9" w:rsidRPr="004B3CCB">
              <w:t xml:space="preserve"> 24 Feb 2017</w:t>
            </w:r>
            <w:r w:rsidRPr="004B3CCB">
              <w:t xml:space="preserve"> (s</w:t>
            </w:r>
            <w:r w:rsidR="00F648CB" w:rsidRPr="004B3CCB">
              <w:t> </w:t>
            </w:r>
            <w:r w:rsidRPr="004B3CCB">
              <w:t>2(1) item</w:t>
            </w:r>
            <w:r w:rsidR="007A397E" w:rsidRPr="004B3CCB">
              <w:t> </w:t>
            </w:r>
            <w:r w:rsidRPr="004B3CCB">
              <w:t>2)</w:t>
            </w:r>
            <w:r w:rsidRPr="004B3CCB">
              <w:br/>
            </w:r>
            <w:r w:rsidR="00F648CB" w:rsidRPr="004B3CCB">
              <w:t>Remainder</w:t>
            </w:r>
            <w:r w:rsidRPr="004B3CCB">
              <w:t>: 12 Nov 2016 (s 2(1) item</w:t>
            </w:r>
            <w:r w:rsidR="00324C0A" w:rsidRPr="004B3CCB">
              <w:t>s</w:t>
            </w:r>
            <w:r w:rsidR="007A397E" w:rsidRPr="004B3CCB">
              <w:t> </w:t>
            </w:r>
            <w:r w:rsidR="00324C0A" w:rsidRPr="004B3CCB">
              <w:t xml:space="preserve">1, </w:t>
            </w:r>
            <w:r w:rsidRPr="004B3CCB">
              <w:t>3)</w:t>
            </w:r>
          </w:p>
        </w:tc>
        <w:tc>
          <w:tcPr>
            <w:tcW w:w="1211" w:type="pct"/>
            <w:tcBorders>
              <w:top w:val="single" w:sz="12" w:space="0" w:color="auto"/>
              <w:bottom w:val="single" w:sz="4" w:space="0" w:color="auto"/>
            </w:tcBorders>
            <w:shd w:val="clear" w:color="auto" w:fill="auto"/>
          </w:tcPr>
          <w:p w:rsidR="001F3052" w:rsidRPr="004B3CCB" w:rsidRDefault="00D61214" w:rsidP="00291C10">
            <w:pPr>
              <w:pStyle w:val="ENoteTableText"/>
            </w:pPr>
            <w:r w:rsidRPr="004B3CCB">
              <w:t>—</w:t>
            </w:r>
          </w:p>
        </w:tc>
      </w:tr>
      <w:tr w:rsidR="00B3404C" w:rsidRPr="004B3CCB" w:rsidTr="002C1F64">
        <w:trPr>
          <w:cantSplit/>
        </w:trPr>
        <w:tc>
          <w:tcPr>
            <w:tcW w:w="1190" w:type="pct"/>
            <w:tcBorders>
              <w:top w:val="single" w:sz="4" w:space="0" w:color="auto"/>
              <w:bottom w:val="single" w:sz="4" w:space="0" w:color="auto"/>
            </w:tcBorders>
            <w:shd w:val="clear" w:color="auto" w:fill="auto"/>
          </w:tcPr>
          <w:p w:rsidR="00B3404C" w:rsidRPr="004B3CCB" w:rsidRDefault="00DF4329" w:rsidP="00291C10">
            <w:pPr>
              <w:pStyle w:val="ENoteTableText"/>
            </w:pPr>
            <w:r w:rsidRPr="004B3CCB">
              <w:t xml:space="preserve">Federal Circuit and Family Court of Australia Legislation (Consequential Amendments and Other Measures) </w:t>
            </w:r>
            <w:r w:rsidR="00C73F82">
              <w:t>Regulations 2</w:t>
            </w:r>
            <w:r w:rsidRPr="004B3CCB">
              <w:t>021</w:t>
            </w:r>
          </w:p>
        </w:tc>
        <w:tc>
          <w:tcPr>
            <w:tcW w:w="1196" w:type="pct"/>
            <w:tcBorders>
              <w:top w:val="single" w:sz="4" w:space="0" w:color="auto"/>
              <w:bottom w:val="single" w:sz="4" w:space="0" w:color="auto"/>
            </w:tcBorders>
            <w:shd w:val="clear" w:color="auto" w:fill="auto"/>
          </w:tcPr>
          <w:p w:rsidR="00B3404C" w:rsidRPr="004B3CCB" w:rsidRDefault="00DF4329" w:rsidP="00291C10">
            <w:pPr>
              <w:pStyle w:val="ENoteTableText"/>
            </w:pPr>
            <w:r w:rsidRPr="004B3CCB">
              <w:t>30 Aug 2021 (F2021L01204)</w:t>
            </w:r>
          </w:p>
        </w:tc>
        <w:tc>
          <w:tcPr>
            <w:tcW w:w="1403" w:type="pct"/>
            <w:tcBorders>
              <w:top w:val="single" w:sz="4" w:space="0" w:color="auto"/>
              <w:bottom w:val="single" w:sz="4" w:space="0" w:color="auto"/>
            </w:tcBorders>
            <w:shd w:val="clear" w:color="auto" w:fill="auto"/>
          </w:tcPr>
          <w:p w:rsidR="00B3404C" w:rsidRPr="004B3CCB" w:rsidRDefault="00DF4329" w:rsidP="00F648CB">
            <w:pPr>
              <w:pStyle w:val="ENoteTableText"/>
            </w:pPr>
            <w:r w:rsidRPr="004B3CCB">
              <w:t>Sch 2 (</w:t>
            </w:r>
            <w:r w:rsidR="001964AA" w:rsidRPr="004B3CCB">
              <w:t>item 1</w:t>
            </w:r>
            <w:r w:rsidRPr="004B3CCB">
              <w:t xml:space="preserve">05): 1 Sept 2021 (s </w:t>
            </w:r>
            <w:r w:rsidR="005F094F" w:rsidRPr="004B3CCB">
              <w:t>2</w:t>
            </w:r>
            <w:r w:rsidRPr="004B3CCB">
              <w:t>(</w:t>
            </w:r>
            <w:r w:rsidR="005F094F" w:rsidRPr="004B3CCB">
              <w:t>1</w:t>
            </w:r>
            <w:r w:rsidRPr="004B3CCB">
              <w:t xml:space="preserve">) </w:t>
            </w:r>
            <w:r w:rsidR="001964AA" w:rsidRPr="004B3CCB">
              <w:t>item 1</w:t>
            </w:r>
            <w:r w:rsidRPr="004B3CCB">
              <w:t>)</w:t>
            </w:r>
          </w:p>
        </w:tc>
        <w:tc>
          <w:tcPr>
            <w:tcW w:w="1211" w:type="pct"/>
            <w:tcBorders>
              <w:top w:val="single" w:sz="4" w:space="0" w:color="auto"/>
              <w:bottom w:val="single" w:sz="4" w:space="0" w:color="auto"/>
            </w:tcBorders>
            <w:shd w:val="clear" w:color="auto" w:fill="auto"/>
          </w:tcPr>
          <w:p w:rsidR="00B3404C" w:rsidRPr="004B3CCB" w:rsidRDefault="00DF4329" w:rsidP="00291C10">
            <w:pPr>
              <w:pStyle w:val="ENoteTableText"/>
            </w:pPr>
            <w:r w:rsidRPr="004B3CCB">
              <w:t>—</w:t>
            </w:r>
          </w:p>
        </w:tc>
      </w:tr>
      <w:tr w:rsidR="00612221" w:rsidRPr="004B3CCB" w:rsidTr="002C1F64">
        <w:trPr>
          <w:cantSplit/>
        </w:trPr>
        <w:tc>
          <w:tcPr>
            <w:tcW w:w="1190" w:type="pct"/>
            <w:tcBorders>
              <w:top w:val="single" w:sz="4" w:space="0" w:color="auto"/>
              <w:bottom w:val="single" w:sz="12" w:space="0" w:color="auto"/>
            </w:tcBorders>
            <w:shd w:val="clear" w:color="auto" w:fill="auto"/>
          </w:tcPr>
          <w:p w:rsidR="00612221" w:rsidRPr="004B3CCB" w:rsidRDefault="00612221" w:rsidP="00291C10">
            <w:pPr>
              <w:pStyle w:val="ENoteTableText"/>
            </w:pPr>
            <w:r w:rsidRPr="004B3CCB">
              <w:t xml:space="preserve">Instruments Update (Autumn 2024) </w:t>
            </w:r>
            <w:r w:rsidR="00C73F82">
              <w:t>Regulations 2</w:t>
            </w:r>
            <w:r w:rsidRPr="004B3CCB">
              <w:t>024</w:t>
            </w:r>
          </w:p>
        </w:tc>
        <w:tc>
          <w:tcPr>
            <w:tcW w:w="1196" w:type="pct"/>
            <w:tcBorders>
              <w:top w:val="single" w:sz="4" w:space="0" w:color="auto"/>
              <w:bottom w:val="single" w:sz="12" w:space="0" w:color="auto"/>
            </w:tcBorders>
            <w:shd w:val="clear" w:color="auto" w:fill="auto"/>
          </w:tcPr>
          <w:p w:rsidR="00612221" w:rsidRPr="004B3CCB" w:rsidRDefault="00612221" w:rsidP="00291C10">
            <w:pPr>
              <w:pStyle w:val="ENoteTableText"/>
            </w:pPr>
            <w:r w:rsidRPr="004B3CCB">
              <w:t>14 Mar 2024 (F2024L00297)</w:t>
            </w:r>
          </w:p>
        </w:tc>
        <w:tc>
          <w:tcPr>
            <w:tcW w:w="1403" w:type="pct"/>
            <w:tcBorders>
              <w:top w:val="single" w:sz="4" w:space="0" w:color="auto"/>
              <w:bottom w:val="single" w:sz="12" w:space="0" w:color="auto"/>
            </w:tcBorders>
            <w:shd w:val="clear" w:color="auto" w:fill="auto"/>
          </w:tcPr>
          <w:p w:rsidR="00612221" w:rsidRPr="004B3CCB" w:rsidRDefault="00612221" w:rsidP="00F648CB">
            <w:pPr>
              <w:pStyle w:val="ENoteTableText"/>
            </w:pPr>
            <w:r w:rsidRPr="004B3CCB">
              <w:t>Sch 2 (</w:t>
            </w:r>
            <w:r w:rsidR="00C73F82">
              <w:t>items 4</w:t>
            </w:r>
            <w:r w:rsidRPr="004B3CCB">
              <w:t>2–46): 11 Apr 2024 (s 2(1) item 1)</w:t>
            </w:r>
          </w:p>
        </w:tc>
        <w:tc>
          <w:tcPr>
            <w:tcW w:w="1211" w:type="pct"/>
            <w:tcBorders>
              <w:top w:val="single" w:sz="4" w:space="0" w:color="auto"/>
              <w:bottom w:val="single" w:sz="12" w:space="0" w:color="auto"/>
            </w:tcBorders>
            <w:shd w:val="clear" w:color="auto" w:fill="auto"/>
          </w:tcPr>
          <w:p w:rsidR="00612221" w:rsidRPr="004B3CCB" w:rsidRDefault="00612221" w:rsidP="00291C10">
            <w:pPr>
              <w:pStyle w:val="ENoteTableText"/>
            </w:pPr>
            <w:r w:rsidRPr="004B3CCB">
              <w:t>—</w:t>
            </w:r>
          </w:p>
        </w:tc>
      </w:tr>
    </w:tbl>
    <w:p w:rsidR="001F3052" w:rsidRPr="004B3CCB" w:rsidRDefault="001F3052" w:rsidP="00674E5B">
      <w:pPr>
        <w:pStyle w:val="Tabletext"/>
      </w:pPr>
    </w:p>
    <w:p w:rsidR="006C30DE" w:rsidRPr="004B3CCB" w:rsidRDefault="006C30DE" w:rsidP="0033448F">
      <w:pPr>
        <w:pStyle w:val="ENotesHeading2"/>
        <w:pageBreakBefore/>
        <w:outlineLvl w:val="9"/>
      </w:pPr>
      <w:bookmarkStart w:id="37" w:name="_Toc164357216"/>
      <w:r w:rsidRPr="004B3CCB">
        <w:t>Endnote 4—Amendment history</w:t>
      </w:r>
      <w:bookmarkEnd w:id="37"/>
    </w:p>
    <w:p w:rsidR="005B1DA7" w:rsidRPr="004B3CCB" w:rsidRDefault="005B1DA7" w:rsidP="005B1DA7">
      <w:pPr>
        <w:pStyle w:val="Tabletext"/>
      </w:pPr>
    </w:p>
    <w:tbl>
      <w:tblPr>
        <w:tblW w:w="5000" w:type="pct"/>
        <w:tblLook w:val="0000" w:firstRow="0" w:lastRow="0" w:firstColumn="0" w:lastColumn="0" w:noHBand="0" w:noVBand="0"/>
      </w:tblPr>
      <w:tblGrid>
        <w:gridCol w:w="2574"/>
        <w:gridCol w:w="5955"/>
      </w:tblGrid>
      <w:tr w:rsidR="005B1DA7" w:rsidRPr="004B3CCB" w:rsidTr="00CC6477">
        <w:trPr>
          <w:cantSplit/>
          <w:tblHeader/>
        </w:trPr>
        <w:tc>
          <w:tcPr>
            <w:tcW w:w="1509" w:type="pct"/>
            <w:tcBorders>
              <w:top w:val="single" w:sz="12" w:space="0" w:color="auto"/>
              <w:bottom w:val="single" w:sz="12" w:space="0" w:color="auto"/>
            </w:tcBorders>
            <w:shd w:val="clear" w:color="auto" w:fill="auto"/>
          </w:tcPr>
          <w:p w:rsidR="005B1DA7" w:rsidRPr="004B3CCB" w:rsidRDefault="005B1DA7" w:rsidP="008529BA">
            <w:pPr>
              <w:pStyle w:val="ENoteTableHeading"/>
            </w:pPr>
            <w:r w:rsidRPr="004B3CCB">
              <w:t>Provision affected</w:t>
            </w:r>
          </w:p>
        </w:tc>
        <w:tc>
          <w:tcPr>
            <w:tcW w:w="3491" w:type="pct"/>
            <w:tcBorders>
              <w:top w:val="single" w:sz="12" w:space="0" w:color="auto"/>
              <w:bottom w:val="single" w:sz="12" w:space="0" w:color="auto"/>
            </w:tcBorders>
            <w:shd w:val="clear" w:color="auto" w:fill="auto"/>
          </w:tcPr>
          <w:p w:rsidR="005B1DA7" w:rsidRPr="004B3CCB" w:rsidRDefault="005B1DA7" w:rsidP="008529BA">
            <w:pPr>
              <w:pStyle w:val="ENoteTableHeading"/>
            </w:pPr>
            <w:r w:rsidRPr="004B3CCB">
              <w:t>How affected</w:t>
            </w:r>
          </w:p>
        </w:tc>
      </w:tr>
      <w:tr w:rsidR="00C60695" w:rsidRPr="004B3CCB" w:rsidTr="00CC6477">
        <w:trPr>
          <w:cantSplit/>
          <w:tblHeader/>
        </w:trPr>
        <w:tc>
          <w:tcPr>
            <w:tcW w:w="1509" w:type="pct"/>
            <w:tcBorders>
              <w:top w:val="single" w:sz="12" w:space="0" w:color="auto"/>
            </w:tcBorders>
            <w:shd w:val="clear" w:color="auto" w:fill="auto"/>
          </w:tcPr>
          <w:p w:rsidR="00C60695" w:rsidRPr="004B3CCB" w:rsidRDefault="00C60695" w:rsidP="00E54CF1">
            <w:pPr>
              <w:pStyle w:val="ENoteTableText"/>
              <w:tabs>
                <w:tab w:val="center" w:leader="dot" w:pos="2268"/>
              </w:tabs>
            </w:pPr>
            <w:r w:rsidRPr="004B3CCB">
              <w:rPr>
                <w:b/>
              </w:rPr>
              <w:t>Part</w:t>
            </w:r>
            <w:r w:rsidR="007A397E" w:rsidRPr="004B3CCB">
              <w:rPr>
                <w:b/>
              </w:rPr>
              <w:t> </w:t>
            </w:r>
            <w:r w:rsidRPr="004B3CCB">
              <w:rPr>
                <w:b/>
              </w:rPr>
              <w:t>1</w:t>
            </w:r>
          </w:p>
        </w:tc>
        <w:tc>
          <w:tcPr>
            <w:tcW w:w="3491" w:type="pct"/>
            <w:tcBorders>
              <w:top w:val="single" w:sz="12" w:space="0" w:color="auto"/>
            </w:tcBorders>
            <w:shd w:val="clear" w:color="auto" w:fill="auto"/>
          </w:tcPr>
          <w:p w:rsidR="00C60695" w:rsidRPr="004B3CCB" w:rsidRDefault="00C60695" w:rsidP="008529BA">
            <w:pPr>
              <w:pStyle w:val="ENoteTableHeading"/>
              <w:rPr>
                <w:b w:val="0"/>
              </w:rPr>
            </w:pPr>
          </w:p>
        </w:tc>
      </w:tr>
      <w:tr w:rsidR="00C60695" w:rsidRPr="004B3CCB" w:rsidTr="00CC6477">
        <w:trPr>
          <w:cantSplit/>
          <w:tblHeader/>
        </w:trPr>
        <w:tc>
          <w:tcPr>
            <w:tcW w:w="1509" w:type="pct"/>
            <w:shd w:val="clear" w:color="auto" w:fill="auto"/>
          </w:tcPr>
          <w:p w:rsidR="00C60695" w:rsidRPr="004B3CCB" w:rsidRDefault="00C60695" w:rsidP="00E54CF1">
            <w:pPr>
              <w:pStyle w:val="ENoteTableText"/>
              <w:tabs>
                <w:tab w:val="center" w:leader="dot" w:pos="2268"/>
              </w:tabs>
            </w:pPr>
            <w:r w:rsidRPr="004B3CCB">
              <w:t>s 2</w:t>
            </w:r>
            <w:r w:rsidRPr="004B3CCB">
              <w:tab/>
            </w:r>
          </w:p>
        </w:tc>
        <w:tc>
          <w:tcPr>
            <w:tcW w:w="3491" w:type="pct"/>
            <w:shd w:val="clear" w:color="auto" w:fill="auto"/>
          </w:tcPr>
          <w:p w:rsidR="00C60695" w:rsidRPr="004B3CCB" w:rsidRDefault="00C60695" w:rsidP="008529BA">
            <w:pPr>
              <w:pStyle w:val="ENoteTableHeading"/>
              <w:rPr>
                <w:rFonts w:ascii="Times New Roman" w:hAnsi="Times New Roman"/>
                <w:b w:val="0"/>
              </w:rPr>
            </w:pPr>
            <w:r w:rsidRPr="004B3CCB">
              <w:rPr>
                <w:rFonts w:ascii="Times New Roman" w:hAnsi="Times New Roman"/>
                <w:b w:val="0"/>
              </w:rPr>
              <w:t xml:space="preserve">rep LA </w:t>
            </w:r>
            <w:r w:rsidR="00B043DB" w:rsidRPr="004B3CCB">
              <w:rPr>
                <w:rFonts w:ascii="Times New Roman" w:hAnsi="Times New Roman"/>
                <w:b w:val="0"/>
              </w:rPr>
              <w:t xml:space="preserve">s </w:t>
            </w:r>
            <w:r w:rsidRPr="004B3CCB">
              <w:rPr>
                <w:rFonts w:ascii="Times New Roman" w:hAnsi="Times New Roman"/>
                <w:b w:val="0"/>
              </w:rPr>
              <w:t>48D</w:t>
            </w:r>
          </w:p>
        </w:tc>
      </w:tr>
      <w:tr w:rsidR="00612221" w:rsidRPr="004B3CCB" w:rsidTr="00CC6477">
        <w:trPr>
          <w:cantSplit/>
          <w:tblHeader/>
        </w:trPr>
        <w:tc>
          <w:tcPr>
            <w:tcW w:w="1509" w:type="pct"/>
            <w:shd w:val="clear" w:color="auto" w:fill="auto"/>
          </w:tcPr>
          <w:p w:rsidR="00612221" w:rsidRPr="004B3CCB" w:rsidRDefault="00612221" w:rsidP="00E54CF1">
            <w:pPr>
              <w:pStyle w:val="ENoteTableText"/>
              <w:tabs>
                <w:tab w:val="center" w:leader="dot" w:pos="2268"/>
              </w:tabs>
            </w:pPr>
            <w:r w:rsidRPr="004B3CCB">
              <w:t>s 3</w:t>
            </w:r>
            <w:r w:rsidRPr="004B3CCB">
              <w:tab/>
            </w:r>
          </w:p>
        </w:tc>
        <w:tc>
          <w:tcPr>
            <w:tcW w:w="3491" w:type="pct"/>
            <w:shd w:val="clear" w:color="auto" w:fill="auto"/>
          </w:tcPr>
          <w:p w:rsidR="00612221" w:rsidRPr="004B3CCB" w:rsidRDefault="00612221" w:rsidP="008529BA">
            <w:pPr>
              <w:pStyle w:val="ENoteTableHeading"/>
              <w:rPr>
                <w:rFonts w:ascii="Times New Roman" w:hAnsi="Times New Roman"/>
                <w:b w:val="0"/>
              </w:rPr>
            </w:pPr>
            <w:r w:rsidRPr="004B3CCB">
              <w:rPr>
                <w:rFonts w:ascii="Times New Roman" w:hAnsi="Times New Roman"/>
                <w:b w:val="0"/>
              </w:rPr>
              <w:t>am F2024L00297</w:t>
            </w:r>
          </w:p>
        </w:tc>
      </w:tr>
      <w:tr w:rsidR="005B1DA7" w:rsidRPr="004B3CCB" w:rsidTr="00CC6477">
        <w:trPr>
          <w:cantSplit/>
        </w:trPr>
        <w:tc>
          <w:tcPr>
            <w:tcW w:w="1509" w:type="pct"/>
            <w:shd w:val="clear" w:color="auto" w:fill="auto"/>
          </w:tcPr>
          <w:p w:rsidR="005B1DA7" w:rsidRPr="004B3CCB" w:rsidRDefault="005B1DA7" w:rsidP="008529BA">
            <w:pPr>
              <w:pStyle w:val="ENoteTableText"/>
              <w:tabs>
                <w:tab w:val="center" w:leader="dot" w:pos="2268"/>
              </w:tabs>
              <w:rPr>
                <w:b/>
              </w:rPr>
            </w:pPr>
            <w:r w:rsidRPr="004B3CCB">
              <w:rPr>
                <w:b/>
              </w:rPr>
              <w:t>Part</w:t>
            </w:r>
            <w:r w:rsidR="007A397E" w:rsidRPr="004B3CCB">
              <w:rPr>
                <w:b/>
              </w:rPr>
              <w:t> </w:t>
            </w:r>
            <w:r w:rsidRPr="004B3CCB">
              <w:rPr>
                <w:b/>
              </w:rPr>
              <w:t>4</w:t>
            </w:r>
          </w:p>
        </w:tc>
        <w:tc>
          <w:tcPr>
            <w:tcW w:w="3491" w:type="pct"/>
            <w:shd w:val="clear" w:color="auto" w:fill="auto"/>
          </w:tcPr>
          <w:p w:rsidR="005B1DA7" w:rsidRPr="004B3CCB" w:rsidRDefault="005B1DA7" w:rsidP="008529BA">
            <w:pPr>
              <w:pStyle w:val="ENoteTableText"/>
              <w:tabs>
                <w:tab w:val="center" w:leader="dot" w:pos="2268"/>
              </w:tabs>
              <w:rPr>
                <w:rFonts w:eastAsiaTheme="minorHAnsi" w:cstheme="minorBidi"/>
                <w:lang w:eastAsia="en-US"/>
              </w:rPr>
            </w:pPr>
          </w:p>
        </w:tc>
      </w:tr>
      <w:tr w:rsidR="005B1DA7" w:rsidRPr="004B3CCB" w:rsidTr="00CC6477">
        <w:trPr>
          <w:cantSplit/>
        </w:trPr>
        <w:tc>
          <w:tcPr>
            <w:tcW w:w="1509" w:type="pct"/>
            <w:shd w:val="clear" w:color="auto" w:fill="auto"/>
          </w:tcPr>
          <w:p w:rsidR="005B1DA7" w:rsidRPr="004B3CCB" w:rsidRDefault="005B1DA7" w:rsidP="008529BA">
            <w:pPr>
              <w:pStyle w:val="ENoteTableText"/>
              <w:tabs>
                <w:tab w:val="center" w:leader="dot" w:pos="2268"/>
              </w:tabs>
              <w:rPr>
                <w:rFonts w:eastAsiaTheme="minorHAnsi" w:cstheme="minorBidi"/>
                <w:lang w:eastAsia="en-US"/>
              </w:rPr>
            </w:pPr>
            <w:r w:rsidRPr="004B3CCB">
              <w:t>s 8</w:t>
            </w:r>
            <w:r w:rsidRPr="004B3CCB">
              <w:tab/>
            </w:r>
          </w:p>
        </w:tc>
        <w:tc>
          <w:tcPr>
            <w:tcW w:w="3491" w:type="pct"/>
            <w:shd w:val="clear" w:color="auto" w:fill="auto"/>
          </w:tcPr>
          <w:p w:rsidR="005B1DA7" w:rsidRPr="004B3CCB" w:rsidRDefault="005B1DA7" w:rsidP="008529BA">
            <w:pPr>
              <w:pStyle w:val="ENoteTableText"/>
              <w:tabs>
                <w:tab w:val="center" w:leader="dot" w:pos="2268"/>
              </w:tabs>
              <w:rPr>
                <w:rFonts w:ascii="Courier New" w:eastAsiaTheme="minorHAnsi" w:hAnsi="Courier New" w:cs="Courier New"/>
                <w:lang w:eastAsia="en-US"/>
              </w:rPr>
            </w:pPr>
            <w:r w:rsidRPr="004B3CCB">
              <w:t>am No 51, 2013</w:t>
            </w:r>
            <w:r w:rsidR="00DF4329" w:rsidRPr="004B3CCB">
              <w:t>; F2021L01204</w:t>
            </w:r>
          </w:p>
        </w:tc>
      </w:tr>
      <w:tr w:rsidR="00374EF5" w:rsidRPr="004B3CCB" w:rsidTr="00CC6477">
        <w:trPr>
          <w:cantSplit/>
        </w:trPr>
        <w:tc>
          <w:tcPr>
            <w:tcW w:w="1509" w:type="pct"/>
            <w:shd w:val="clear" w:color="auto" w:fill="auto"/>
          </w:tcPr>
          <w:p w:rsidR="00374EF5" w:rsidRPr="004B3CCB" w:rsidRDefault="00374EF5" w:rsidP="008529BA">
            <w:pPr>
              <w:pStyle w:val="ENoteTableText"/>
              <w:tabs>
                <w:tab w:val="center" w:leader="dot" w:pos="2268"/>
              </w:tabs>
            </w:pPr>
            <w:r w:rsidRPr="004B3CCB">
              <w:rPr>
                <w:b/>
              </w:rPr>
              <w:t>Part</w:t>
            </w:r>
            <w:r w:rsidR="007A397E" w:rsidRPr="004B3CCB">
              <w:rPr>
                <w:b/>
              </w:rPr>
              <w:t> </w:t>
            </w:r>
            <w:r w:rsidRPr="004B3CCB">
              <w:rPr>
                <w:b/>
              </w:rPr>
              <w:t>5</w:t>
            </w:r>
          </w:p>
        </w:tc>
        <w:tc>
          <w:tcPr>
            <w:tcW w:w="3491" w:type="pct"/>
            <w:shd w:val="clear" w:color="auto" w:fill="auto"/>
          </w:tcPr>
          <w:p w:rsidR="00374EF5" w:rsidRPr="004B3CCB" w:rsidRDefault="00374EF5" w:rsidP="008529BA">
            <w:pPr>
              <w:pStyle w:val="ENoteTableText"/>
              <w:tabs>
                <w:tab w:val="center" w:leader="dot" w:pos="2268"/>
              </w:tabs>
            </w:pPr>
          </w:p>
        </w:tc>
      </w:tr>
      <w:tr w:rsidR="001A5F32" w:rsidRPr="004B3CCB" w:rsidTr="00CC6477">
        <w:trPr>
          <w:cantSplit/>
        </w:trPr>
        <w:tc>
          <w:tcPr>
            <w:tcW w:w="1509" w:type="pct"/>
            <w:shd w:val="clear" w:color="auto" w:fill="auto"/>
          </w:tcPr>
          <w:p w:rsidR="001A5F32" w:rsidRPr="004B3CCB" w:rsidRDefault="001A5F32" w:rsidP="008529BA">
            <w:pPr>
              <w:pStyle w:val="ENoteTableText"/>
              <w:tabs>
                <w:tab w:val="center" w:leader="dot" w:pos="2268"/>
              </w:tabs>
            </w:pPr>
            <w:r w:rsidRPr="004B3CCB">
              <w:t>s 9</w:t>
            </w:r>
            <w:r w:rsidRPr="004B3CCB">
              <w:tab/>
            </w:r>
          </w:p>
        </w:tc>
        <w:tc>
          <w:tcPr>
            <w:tcW w:w="3491" w:type="pct"/>
            <w:shd w:val="clear" w:color="auto" w:fill="auto"/>
          </w:tcPr>
          <w:p w:rsidR="001A5F32" w:rsidRPr="004B3CCB" w:rsidRDefault="001A5F32" w:rsidP="00291C10">
            <w:pPr>
              <w:pStyle w:val="ENoteTableText"/>
              <w:tabs>
                <w:tab w:val="center" w:leader="dot" w:pos="2268"/>
              </w:tabs>
            </w:pPr>
            <w:r w:rsidRPr="004B3CCB">
              <w:t>am No 20, 2015</w:t>
            </w:r>
            <w:r w:rsidR="00374EF5" w:rsidRPr="004B3CCB">
              <w:t>; F2016L01746</w:t>
            </w:r>
          </w:p>
        </w:tc>
      </w:tr>
      <w:tr w:rsidR="00374EF5" w:rsidRPr="004B3CCB" w:rsidTr="00CC6477">
        <w:trPr>
          <w:cantSplit/>
        </w:trPr>
        <w:tc>
          <w:tcPr>
            <w:tcW w:w="1509" w:type="pct"/>
            <w:shd w:val="clear" w:color="auto" w:fill="auto"/>
          </w:tcPr>
          <w:p w:rsidR="00374EF5" w:rsidRPr="004B3CCB" w:rsidRDefault="00374EF5" w:rsidP="008529BA">
            <w:pPr>
              <w:pStyle w:val="ENoteTableText"/>
              <w:tabs>
                <w:tab w:val="center" w:leader="dot" w:pos="2268"/>
              </w:tabs>
              <w:rPr>
                <w:b/>
              </w:rPr>
            </w:pPr>
            <w:r w:rsidRPr="004B3CCB">
              <w:rPr>
                <w:b/>
              </w:rPr>
              <w:t>Part</w:t>
            </w:r>
            <w:r w:rsidR="007A397E" w:rsidRPr="004B3CCB">
              <w:rPr>
                <w:b/>
              </w:rPr>
              <w:t> </w:t>
            </w:r>
            <w:r w:rsidRPr="004B3CCB">
              <w:rPr>
                <w:b/>
              </w:rPr>
              <w:t>6</w:t>
            </w:r>
          </w:p>
        </w:tc>
        <w:tc>
          <w:tcPr>
            <w:tcW w:w="3491" w:type="pct"/>
            <w:shd w:val="clear" w:color="auto" w:fill="auto"/>
          </w:tcPr>
          <w:p w:rsidR="00374EF5" w:rsidRPr="004B3CCB" w:rsidRDefault="00374EF5" w:rsidP="008529BA">
            <w:pPr>
              <w:pStyle w:val="ENoteTableText"/>
              <w:tabs>
                <w:tab w:val="center" w:leader="dot" w:pos="2268"/>
              </w:tabs>
            </w:pPr>
          </w:p>
        </w:tc>
      </w:tr>
      <w:tr w:rsidR="00674E5B" w:rsidRPr="004B3CCB" w:rsidTr="00CC6477">
        <w:trPr>
          <w:cantSplit/>
        </w:trPr>
        <w:tc>
          <w:tcPr>
            <w:tcW w:w="1509" w:type="pct"/>
            <w:shd w:val="clear" w:color="auto" w:fill="auto"/>
          </w:tcPr>
          <w:p w:rsidR="00674E5B" w:rsidRPr="004B3CCB" w:rsidRDefault="00674E5B" w:rsidP="008529BA">
            <w:pPr>
              <w:pStyle w:val="ENoteTableText"/>
              <w:tabs>
                <w:tab w:val="center" w:leader="dot" w:pos="2268"/>
              </w:tabs>
            </w:pPr>
            <w:r w:rsidRPr="004B3CCB">
              <w:t>s 12</w:t>
            </w:r>
            <w:r w:rsidRPr="004B3CCB">
              <w:tab/>
            </w:r>
          </w:p>
        </w:tc>
        <w:tc>
          <w:tcPr>
            <w:tcW w:w="3491" w:type="pct"/>
            <w:shd w:val="clear" w:color="auto" w:fill="auto"/>
          </w:tcPr>
          <w:p w:rsidR="00674E5B" w:rsidRPr="004B3CCB" w:rsidRDefault="00674E5B" w:rsidP="00291C10">
            <w:pPr>
              <w:pStyle w:val="ENoteTableText"/>
              <w:tabs>
                <w:tab w:val="center" w:leader="dot" w:pos="2268"/>
              </w:tabs>
            </w:pPr>
            <w:r w:rsidRPr="004B3CCB">
              <w:t>am No 20, 2015</w:t>
            </w:r>
            <w:r w:rsidR="00374EF5" w:rsidRPr="004B3CCB">
              <w:t>; F2016L01746</w:t>
            </w:r>
          </w:p>
        </w:tc>
      </w:tr>
      <w:tr w:rsidR="001A5F32" w:rsidRPr="004B3CCB" w:rsidTr="00CC6477">
        <w:trPr>
          <w:cantSplit/>
        </w:trPr>
        <w:tc>
          <w:tcPr>
            <w:tcW w:w="1509" w:type="pct"/>
            <w:shd w:val="clear" w:color="auto" w:fill="auto"/>
          </w:tcPr>
          <w:p w:rsidR="001A5F32" w:rsidRPr="004B3CCB" w:rsidRDefault="001A5F32" w:rsidP="008529BA">
            <w:pPr>
              <w:pStyle w:val="ENoteTableText"/>
              <w:tabs>
                <w:tab w:val="center" w:leader="dot" w:pos="2268"/>
              </w:tabs>
            </w:pPr>
            <w:r w:rsidRPr="004B3CCB">
              <w:t>s 13</w:t>
            </w:r>
            <w:r w:rsidRPr="004B3CCB">
              <w:tab/>
            </w:r>
          </w:p>
        </w:tc>
        <w:tc>
          <w:tcPr>
            <w:tcW w:w="3491" w:type="pct"/>
            <w:shd w:val="clear" w:color="auto" w:fill="auto"/>
          </w:tcPr>
          <w:p w:rsidR="001A5F32" w:rsidRPr="004B3CCB" w:rsidRDefault="001A5F32" w:rsidP="00291C10">
            <w:pPr>
              <w:pStyle w:val="ENoteTableText"/>
              <w:tabs>
                <w:tab w:val="center" w:leader="dot" w:pos="2268"/>
              </w:tabs>
            </w:pPr>
            <w:r w:rsidRPr="004B3CCB">
              <w:t>am No 20, 2015</w:t>
            </w:r>
            <w:r w:rsidR="00374EF5" w:rsidRPr="004B3CCB">
              <w:t>; F2016L01746</w:t>
            </w:r>
          </w:p>
        </w:tc>
      </w:tr>
      <w:tr w:rsidR="001A5F32" w:rsidRPr="004B3CCB" w:rsidTr="00CC6477">
        <w:trPr>
          <w:cantSplit/>
        </w:trPr>
        <w:tc>
          <w:tcPr>
            <w:tcW w:w="1509" w:type="pct"/>
            <w:shd w:val="clear" w:color="auto" w:fill="auto"/>
          </w:tcPr>
          <w:p w:rsidR="001A5F32" w:rsidRPr="004B3CCB" w:rsidRDefault="001A5F32" w:rsidP="008529BA">
            <w:pPr>
              <w:pStyle w:val="ENoteTableText"/>
              <w:tabs>
                <w:tab w:val="center" w:leader="dot" w:pos="2268"/>
              </w:tabs>
            </w:pPr>
            <w:r w:rsidRPr="004B3CCB">
              <w:t>s 14</w:t>
            </w:r>
            <w:r w:rsidRPr="004B3CCB">
              <w:tab/>
            </w:r>
          </w:p>
        </w:tc>
        <w:tc>
          <w:tcPr>
            <w:tcW w:w="3491" w:type="pct"/>
            <w:shd w:val="clear" w:color="auto" w:fill="auto"/>
          </w:tcPr>
          <w:p w:rsidR="001A5F32" w:rsidRPr="004B3CCB" w:rsidRDefault="001A5F32" w:rsidP="008529BA">
            <w:pPr>
              <w:pStyle w:val="ENoteTableText"/>
              <w:tabs>
                <w:tab w:val="center" w:leader="dot" w:pos="2268"/>
              </w:tabs>
            </w:pPr>
            <w:r w:rsidRPr="004B3CCB">
              <w:t>am No 20, 2015</w:t>
            </w:r>
          </w:p>
        </w:tc>
      </w:tr>
      <w:tr w:rsidR="00374EF5" w:rsidRPr="004B3CCB" w:rsidTr="00CC6477">
        <w:trPr>
          <w:cantSplit/>
        </w:trPr>
        <w:tc>
          <w:tcPr>
            <w:tcW w:w="1509" w:type="pct"/>
            <w:shd w:val="clear" w:color="auto" w:fill="auto"/>
          </w:tcPr>
          <w:p w:rsidR="00374EF5" w:rsidRPr="004B3CCB" w:rsidRDefault="00C73F82" w:rsidP="008529BA">
            <w:pPr>
              <w:pStyle w:val="ENoteTableText"/>
              <w:tabs>
                <w:tab w:val="center" w:leader="dot" w:pos="2268"/>
              </w:tabs>
              <w:rPr>
                <w:b/>
              </w:rPr>
            </w:pPr>
            <w:r>
              <w:rPr>
                <w:b/>
              </w:rPr>
              <w:t>Part 7</w:t>
            </w:r>
          </w:p>
        </w:tc>
        <w:tc>
          <w:tcPr>
            <w:tcW w:w="3491" w:type="pct"/>
            <w:shd w:val="clear" w:color="auto" w:fill="auto"/>
          </w:tcPr>
          <w:p w:rsidR="00374EF5" w:rsidRPr="004B3CCB" w:rsidRDefault="00374EF5" w:rsidP="008529BA">
            <w:pPr>
              <w:pStyle w:val="ENoteTableText"/>
              <w:tabs>
                <w:tab w:val="center" w:leader="dot" w:pos="2268"/>
              </w:tabs>
            </w:pPr>
          </w:p>
        </w:tc>
      </w:tr>
      <w:tr w:rsidR="00612221" w:rsidRPr="004B3CCB" w:rsidTr="00CC6477">
        <w:trPr>
          <w:cantSplit/>
        </w:trPr>
        <w:tc>
          <w:tcPr>
            <w:tcW w:w="1509" w:type="pct"/>
            <w:shd w:val="clear" w:color="auto" w:fill="auto"/>
          </w:tcPr>
          <w:p w:rsidR="00612221" w:rsidRPr="004B3CCB" w:rsidRDefault="00C73F82" w:rsidP="008529BA">
            <w:pPr>
              <w:pStyle w:val="ENoteTableText"/>
              <w:tabs>
                <w:tab w:val="center" w:leader="dot" w:pos="2268"/>
              </w:tabs>
            </w:pPr>
            <w:r>
              <w:t>Part 7</w:t>
            </w:r>
            <w:r w:rsidR="00612221" w:rsidRPr="004B3CCB">
              <w:t xml:space="preserve"> heading</w:t>
            </w:r>
            <w:r w:rsidR="00612221" w:rsidRPr="004B3CCB">
              <w:tab/>
            </w:r>
          </w:p>
        </w:tc>
        <w:tc>
          <w:tcPr>
            <w:tcW w:w="3491" w:type="pct"/>
            <w:shd w:val="clear" w:color="auto" w:fill="auto"/>
          </w:tcPr>
          <w:p w:rsidR="00612221" w:rsidRPr="004B3CCB" w:rsidRDefault="00612221" w:rsidP="008529BA">
            <w:pPr>
              <w:pStyle w:val="ENoteTableText"/>
              <w:tabs>
                <w:tab w:val="center" w:leader="dot" w:pos="2268"/>
              </w:tabs>
            </w:pPr>
            <w:r w:rsidRPr="004B3CCB">
              <w:t>am F2024L00297</w:t>
            </w:r>
          </w:p>
        </w:tc>
      </w:tr>
      <w:tr w:rsidR="00374EF5" w:rsidRPr="004B3CCB" w:rsidTr="004E3663">
        <w:trPr>
          <w:cantSplit/>
        </w:trPr>
        <w:tc>
          <w:tcPr>
            <w:tcW w:w="1509" w:type="pct"/>
            <w:shd w:val="clear" w:color="auto" w:fill="auto"/>
          </w:tcPr>
          <w:p w:rsidR="00374EF5" w:rsidRPr="004B3CCB" w:rsidRDefault="00374EF5" w:rsidP="008529BA">
            <w:pPr>
              <w:pStyle w:val="ENoteTableText"/>
              <w:tabs>
                <w:tab w:val="center" w:leader="dot" w:pos="2268"/>
              </w:tabs>
            </w:pPr>
            <w:r w:rsidRPr="004B3CCB">
              <w:t>s 15</w:t>
            </w:r>
            <w:r w:rsidRPr="004B3CCB">
              <w:tab/>
            </w:r>
          </w:p>
        </w:tc>
        <w:tc>
          <w:tcPr>
            <w:tcW w:w="3491" w:type="pct"/>
            <w:shd w:val="clear" w:color="auto" w:fill="auto"/>
          </w:tcPr>
          <w:p w:rsidR="00374EF5" w:rsidRPr="004B3CCB" w:rsidRDefault="00374EF5" w:rsidP="008529BA">
            <w:pPr>
              <w:pStyle w:val="ENoteTableText"/>
              <w:tabs>
                <w:tab w:val="center" w:leader="dot" w:pos="2268"/>
              </w:tabs>
            </w:pPr>
            <w:r w:rsidRPr="004B3CCB">
              <w:t>am F2016L01746</w:t>
            </w:r>
          </w:p>
        </w:tc>
      </w:tr>
      <w:tr w:rsidR="00612221" w:rsidRPr="004B3CCB" w:rsidTr="004E3663">
        <w:trPr>
          <w:cantSplit/>
        </w:trPr>
        <w:tc>
          <w:tcPr>
            <w:tcW w:w="1509" w:type="pct"/>
            <w:shd w:val="clear" w:color="auto" w:fill="auto"/>
          </w:tcPr>
          <w:p w:rsidR="00612221" w:rsidRPr="004B3CCB" w:rsidRDefault="00612221" w:rsidP="008529BA">
            <w:pPr>
              <w:pStyle w:val="ENoteTableText"/>
              <w:tabs>
                <w:tab w:val="center" w:leader="dot" w:pos="2268"/>
              </w:tabs>
            </w:pPr>
            <w:r w:rsidRPr="004B3CCB">
              <w:t>s 16</w:t>
            </w:r>
            <w:r w:rsidRPr="004B3CCB">
              <w:tab/>
            </w:r>
          </w:p>
        </w:tc>
        <w:tc>
          <w:tcPr>
            <w:tcW w:w="3491" w:type="pct"/>
            <w:shd w:val="clear" w:color="auto" w:fill="auto"/>
          </w:tcPr>
          <w:p w:rsidR="00612221" w:rsidRPr="004B3CCB" w:rsidRDefault="00612221" w:rsidP="008529BA">
            <w:pPr>
              <w:pStyle w:val="ENoteTableText"/>
              <w:tabs>
                <w:tab w:val="center" w:leader="dot" w:pos="2268"/>
              </w:tabs>
            </w:pPr>
            <w:r w:rsidRPr="004B3CCB">
              <w:t>am F2024L00297</w:t>
            </w:r>
          </w:p>
        </w:tc>
      </w:tr>
      <w:tr w:rsidR="00612221" w:rsidRPr="004B3CCB" w:rsidTr="004E3663">
        <w:trPr>
          <w:cantSplit/>
        </w:trPr>
        <w:tc>
          <w:tcPr>
            <w:tcW w:w="1509" w:type="pct"/>
            <w:shd w:val="clear" w:color="auto" w:fill="auto"/>
          </w:tcPr>
          <w:p w:rsidR="00612221" w:rsidRPr="004B3CCB" w:rsidRDefault="00612221" w:rsidP="008529BA">
            <w:pPr>
              <w:pStyle w:val="ENoteTableText"/>
              <w:tabs>
                <w:tab w:val="center" w:leader="dot" w:pos="2268"/>
              </w:tabs>
            </w:pPr>
            <w:r w:rsidRPr="004B3CCB">
              <w:t>s 17</w:t>
            </w:r>
            <w:r w:rsidRPr="004B3CCB">
              <w:tab/>
            </w:r>
          </w:p>
        </w:tc>
        <w:tc>
          <w:tcPr>
            <w:tcW w:w="3491" w:type="pct"/>
            <w:shd w:val="clear" w:color="auto" w:fill="auto"/>
          </w:tcPr>
          <w:p w:rsidR="00612221" w:rsidRPr="004B3CCB" w:rsidRDefault="00612221" w:rsidP="008529BA">
            <w:pPr>
              <w:pStyle w:val="ENoteTableText"/>
              <w:tabs>
                <w:tab w:val="center" w:leader="dot" w:pos="2268"/>
              </w:tabs>
            </w:pPr>
            <w:r w:rsidRPr="004B3CCB">
              <w:t>am F2024L00297</w:t>
            </w:r>
          </w:p>
        </w:tc>
      </w:tr>
      <w:tr w:rsidR="00612221" w:rsidRPr="004B3CCB" w:rsidTr="004E3663">
        <w:trPr>
          <w:cantSplit/>
        </w:trPr>
        <w:tc>
          <w:tcPr>
            <w:tcW w:w="1509" w:type="pct"/>
            <w:shd w:val="clear" w:color="auto" w:fill="auto"/>
          </w:tcPr>
          <w:p w:rsidR="00612221" w:rsidRPr="004B3CCB" w:rsidRDefault="00612221" w:rsidP="008529BA">
            <w:pPr>
              <w:pStyle w:val="ENoteTableText"/>
              <w:tabs>
                <w:tab w:val="center" w:leader="dot" w:pos="2268"/>
              </w:tabs>
            </w:pPr>
            <w:r w:rsidRPr="004B3CCB">
              <w:t>s 19</w:t>
            </w:r>
            <w:r w:rsidRPr="004B3CCB">
              <w:tab/>
            </w:r>
          </w:p>
        </w:tc>
        <w:tc>
          <w:tcPr>
            <w:tcW w:w="3491" w:type="pct"/>
            <w:shd w:val="clear" w:color="auto" w:fill="auto"/>
          </w:tcPr>
          <w:p w:rsidR="00612221" w:rsidRPr="004B3CCB" w:rsidRDefault="00612221" w:rsidP="008529BA">
            <w:pPr>
              <w:pStyle w:val="ENoteTableText"/>
              <w:tabs>
                <w:tab w:val="center" w:leader="dot" w:pos="2268"/>
              </w:tabs>
            </w:pPr>
            <w:r w:rsidRPr="004B3CCB">
              <w:t>am F2024L00297</w:t>
            </w:r>
          </w:p>
        </w:tc>
      </w:tr>
      <w:tr w:rsidR="00612221" w:rsidRPr="004B3CCB" w:rsidTr="004E3663">
        <w:trPr>
          <w:cantSplit/>
        </w:trPr>
        <w:tc>
          <w:tcPr>
            <w:tcW w:w="1509" w:type="pct"/>
            <w:shd w:val="clear" w:color="auto" w:fill="auto"/>
          </w:tcPr>
          <w:p w:rsidR="00612221" w:rsidRPr="004B3CCB" w:rsidRDefault="00C73F82" w:rsidP="008529BA">
            <w:pPr>
              <w:pStyle w:val="ENoteTableText"/>
              <w:tabs>
                <w:tab w:val="center" w:leader="dot" w:pos="2268"/>
              </w:tabs>
              <w:rPr>
                <w:b/>
              </w:rPr>
            </w:pPr>
            <w:r>
              <w:rPr>
                <w:b/>
              </w:rPr>
              <w:t>Schedule 1</w:t>
            </w:r>
          </w:p>
        </w:tc>
        <w:tc>
          <w:tcPr>
            <w:tcW w:w="3491" w:type="pct"/>
            <w:shd w:val="clear" w:color="auto" w:fill="auto"/>
          </w:tcPr>
          <w:p w:rsidR="00612221" w:rsidRPr="004B3CCB" w:rsidRDefault="00612221" w:rsidP="008529BA">
            <w:pPr>
              <w:pStyle w:val="ENoteTableText"/>
              <w:tabs>
                <w:tab w:val="center" w:leader="dot" w:pos="2268"/>
              </w:tabs>
            </w:pPr>
          </w:p>
        </w:tc>
      </w:tr>
      <w:tr w:rsidR="00612221" w:rsidRPr="004B3CCB" w:rsidTr="00CC6477">
        <w:trPr>
          <w:cantSplit/>
        </w:trPr>
        <w:tc>
          <w:tcPr>
            <w:tcW w:w="1509" w:type="pct"/>
            <w:tcBorders>
              <w:bottom w:val="single" w:sz="12" w:space="0" w:color="auto"/>
            </w:tcBorders>
            <w:shd w:val="clear" w:color="auto" w:fill="auto"/>
          </w:tcPr>
          <w:p w:rsidR="00612221" w:rsidRPr="004B3CCB" w:rsidRDefault="00C73F82" w:rsidP="008529BA">
            <w:pPr>
              <w:pStyle w:val="ENoteTableText"/>
              <w:tabs>
                <w:tab w:val="center" w:leader="dot" w:pos="2268"/>
              </w:tabs>
            </w:pPr>
            <w:r>
              <w:t>Schedule 1</w:t>
            </w:r>
            <w:r w:rsidR="00612221" w:rsidRPr="004B3CCB">
              <w:tab/>
            </w:r>
          </w:p>
        </w:tc>
        <w:tc>
          <w:tcPr>
            <w:tcW w:w="3491" w:type="pct"/>
            <w:tcBorders>
              <w:bottom w:val="single" w:sz="12" w:space="0" w:color="auto"/>
            </w:tcBorders>
            <w:shd w:val="clear" w:color="auto" w:fill="auto"/>
          </w:tcPr>
          <w:p w:rsidR="00612221" w:rsidRPr="004B3CCB" w:rsidRDefault="00612221" w:rsidP="008529BA">
            <w:pPr>
              <w:pStyle w:val="ENoteTableText"/>
              <w:tabs>
                <w:tab w:val="center" w:leader="dot" w:pos="2268"/>
              </w:tabs>
            </w:pPr>
            <w:r w:rsidRPr="004B3CCB">
              <w:t>am F2024L00297</w:t>
            </w:r>
          </w:p>
        </w:tc>
      </w:tr>
    </w:tbl>
    <w:p w:rsidR="00A811CF" w:rsidRPr="004B3CCB" w:rsidRDefault="00A811CF" w:rsidP="008C1637">
      <w:pPr>
        <w:sectPr w:rsidR="00A811CF" w:rsidRPr="004B3CCB" w:rsidSect="00E97A11">
          <w:headerReference w:type="even" r:id="rId33"/>
          <w:headerReference w:type="default" r:id="rId34"/>
          <w:footerReference w:type="even" r:id="rId35"/>
          <w:footerReference w:type="default" r:id="rId36"/>
          <w:footerReference w:type="first" r:id="rId37"/>
          <w:pgSz w:w="11907" w:h="16839"/>
          <w:pgMar w:top="2325" w:right="1797" w:bottom="1440" w:left="1797" w:header="720" w:footer="709" w:gutter="0"/>
          <w:cols w:space="708"/>
          <w:docGrid w:linePitch="360"/>
        </w:sectPr>
      </w:pPr>
    </w:p>
    <w:p w:rsidR="00D00C4E" w:rsidRPr="004B3CCB" w:rsidRDefault="00D00C4E" w:rsidP="00A811CF"/>
    <w:sectPr w:rsidR="00D00C4E" w:rsidRPr="004B3CCB" w:rsidSect="00E97A11">
      <w:headerReference w:type="even" r:id="rId38"/>
      <w:headerReference w:type="default" r:id="rId39"/>
      <w:footerReference w:type="even" r:id="rId40"/>
      <w:footerReference w:type="default" r:id="rId41"/>
      <w:foot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04" w:rsidRDefault="00500D04">
      <w:r>
        <w:separator/>
      </w:r>
    </w:p>
  </w:endnote>
  <w:endnote w:type="continuationSeparator" w:id="0">
    <w:p w:rsidR="00500D04" w:rsidRDefault="0050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i/>
              <w:sz w:val="16"/>
              <w:szCs w:val="16"/>
            </w:rPr>
          </w:pP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r>
    <w:tr w:rsidR="00500D04" w:rsidRPr="00130F37" w:rsidTr="00CC6477">
      <w:tc>
        <w:tcPr>
          <w:tcW w:w="1499" w:type="pct"/>
          <w:gridSpan w:val="2"/>
        </w:tcPr>
        <w:p w:rsidR="00500D04" w:rsidRPr="00130F37" w:rsidRDefault="00500D04" w:rsidP="008C16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37C">
            <w:rPr>
              <w:sz w:val="16"/>
              <w:szCs w:val="16"/>
            </w:rPr>
            <w:t>6</w:t>
          </w:r>
          <w:r w:rsidRPr="00130F37">
            <w:rPr>
              <w:sz w:val="16"/>
              <w:szCs w:val="16"/>
            </w:rPr>
            <w:fldChar w:fldCharType="end"/>
          </w:r>
        </w:p>
      </w:tc>
      <w:tc>
        <w:tcPr>
          <w:tcW w:w="1999" w:type="pct"/>
        </w:tcPr>
        <w:p w:rsidR="00500D04" w:rsidRPr="00130F37" w:rsidRDefault="00500D04" w:rsidP="008C16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37C">
            <w:rPr>
              <w:sz w:val="16"/>
              <w:szCs w:val="16"/>
            </w:rPr>
            <w:t>11/04/2024</w:t>
          </w:r>
          <w:r w:rsidRPr="00130F37">
            <w:rPr>
              <w:sz w:val="16"/>
              <w:szCs w:val="16"/>
            </w:rPr>
            <w:fldChar w:fldCharType="end"/>
          </w:r>
        </w:p>
      </w:tc>
      <w:tc>
        <w:tcPr>
          <w:tcW w:w="1502" w:type="pct"/>
          <w:gridSpan w:val="2"/>
        </w:tcPr>
        <w:p w:rsidR="00500D04" w:rsidRPr="00130F37" w:rsidRDefault="00500D04" w:rsidP="008C16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37C">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37C">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37C">
            <w:rPr>
              <w:noProof/>
              <w:sz w:val="16"/>
              <w:szCs w:val="16"/>
            </w:rPr>
            <w:t>18/04/2024</w:t>
          </w:r>
          <w:r w:rsidRPr="00130F37">
            <w:rPr>
              <w:sz w:val="16"/>
              <w:szCs w:val="16"/>
            </w:rPr>
            <w:fldChar w:fldCharType="end"/>
          </w:r>
        </w:p>
      </w:tc>
    </w:tr>
  </w:tbl>
  <w:p w:rsidR="00500D04" w:rsidRPr="00A811CF" w:rsidRDefault="00500D04" w:rsidP="00A811CF">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pPr>
      <w:pBdr>
        <w:top w:val="single" w:sz="6" w:space="1" w:color="auto"/>
      </w:pBdr>
      <w:rPr>
        <w:sz w:val="18"/>
      </w:rPr>
    </w:pPr>
  </w:p>
  <w:p w:rsidR="00500D04" w:rsidRDefault="00500D04">
    <w:pPr>
      <w:jc w:val="right"/>
      <w:rPr>
        <w:i/>
        <w:sz w:val="18"/>
      </w:rPr>
    </w:pPr>
    <w:r>
      <w:rPr>
        <w:i/>
        <w:sz w:val="18"/>
      </w:rPr>
      <w:fldChar w:fldCharType="begin"/>
    </w:r>
    <w:r>
      <w:rPr>
        <w:i/>
        <w:sz w:val="18"/>
      </w:rPr>
      <w:instrText xml:space="preserve"> STYLEREF ShortT </w:instrText>
    </w:r>
    <w:r>
      <w:rPr>
        <w:i/>
        <w:sz w:val="18"/>
      </w:rPr>
      <w:fldChar w:fldCharType="separate"/>
    </w:r>
    <w:r w:rsidR="0088537C">
      <w:rPr>
        <w:i/>
        <w:noProof/>
        <w:sz w:val="18"/>
      </w:rPr>
      <w:t>Trans-Tasman Proceedings Regulation 2012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p>
      </w:tc>
    </w:tr>
    <w:tr w:rsidR="00500D04" w:rsidRPr="0055472E" w:rsidTr="00CC6477">
      <w:tc>
        <w:tcPr>
          <w:tcW w:w="1499" w:type="pct"/>
          <w:gridSpan w:val="2"/>
        </w:tcPr>
        <w:p w:rsidR="00500D04" w:rsidRPr="0055472E" w:rsidRDefault="00500D04" w:rsidP="008C163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37C">
            <w:rPr>
              <w:sz w:val="16"/>
              <w:szCs w:val="16"/>
            </w:rPr>
            <w:t>6</w:t>
          </w:r>
          <w:r w:rsidRPr="0055472E">
            <w:rPr>
              <w:sz w:val="16"/>
              <w:szCs w:val="16"/>
            </w:rPr>
            <w:fldChar w:fldCharType="end"/>
          </w:r>
        </w:p>
      </w:tc>
      <w:tc>
        <w:tcPr>
          <w:tcW w:w="1999" w:type="pct"/>
        </w:tcPr>
        <w:p w:rsidR="00500D04" w:rsidRPr="0055472E" w:rsidRDefault="00500D04" w:rsidP="008C163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37C">
            <w:rPr>
              <w:sz w:val="16"/>
              <w:szCs w:val="16"/>
            </w:rPr>
            <w:t>11/04/2024</w:t>
          </w:r>
          <w:r w:rsidRPr="0055472E">
            <w:rPr>
              <w:sz w:val="16"/>
              <w:szCs w:val="16"/>
            </w:rPr>
            <w:fldChar w:fldCharType="end"/>
          </w:r>
        </w:p>
      </w:tc>
      <w:tc>
        <w:tcPr>
          <w:tcW w:w="1502" w:type="pct"/>
          <w:gridSpan w:val="2"/>
        </w:tcPr>
        <w:p w:rsidR="00500D04" w:rsidRPr="0055472E" w:rsidRDefault="00500D04" w:rsidP="008C163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37C">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37C">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37C">
            <w:rPr>
              <w:noProof/>
              <w:sz w:val="16"/>
              <w:szCs w:val="16"/>
            </w:rPr>
            <w:t>18/04/2024</w:t>
          </w:r>
          <w:r w:rsidRPr="0055472E">
            <w:rPr>
              <w:sz w:val="16"/>
              <w:szCs w:val="16"/>
            </w:rPr>
            <w:fldChar w:fldCharType="end"/>
          </w:r>
        </w:p>
      </w:tc>
    </w:tr>
  </w:tbl>
  <w:p w:rsidR="00500D04" w:rsidRPr="00A811CF" w:rsidRDefault="00500D04" w:rsidP="00A811C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i/>
              <w:sz w:val="16"/>
              <w:szCs w:val="16"/>
            </w:rPr>
          </w:pP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500D04" w:rsidRPr="00130F37" w:rsidTr="00CC6477">
      <w:tc>
        <w:tcPr>
          <w:tcW w:w="1499" w:type="pct"/>
          <w:gridSpan w:val="2"/>
        </w:tcPr>
        <w:p w:rsidR="00500D04" w:rsidRPr="00130F37" w:rsidRDefault="00500D04" w:rsidP="008C16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37C">
            <w:rPr>
              <w:sz w:val="16"/>
              <w:szCs w:val="16"/>
            </w:rPr>
            <w:t>6</w:t>
          </w:r>
          <w:r w:rsidRPr="00130F37">
            <w:rPr>
              <w:sz w:val="16"/>
              <w:szCs w:val="16"/>
            </w:rPr>
            <w:fldChar w:fldCharType="end"/>
          </w:r>
        </w:p>
      </w:tc>
      <w:tc>
        <w:tcPr>
          <w:tcW w:w="1999" w:type="pct"/>
        </w:tcPr>
        <w:p w:rsidR="00500D04" w:rsidRPr="00130F37" w:rsidRDefault="00500D04" w:rsidP="008C16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37C">
            <w:rPr>
              <w:sz w:val="16"/>
              <w:szCs w:val="16"/>
            </w:rPr>
            <w:t>11/04/2024</w:t>
          </w:r>
          <w:r w:rsidRPr="00130F37">
            <w:rPr>
              <w:sz w:val="16"/>
              <w:szCs w:val="16"/>
            </w:rPr>
            <w:fldChar w:fldCharType="end"/>
          </w:r>
        </w:p>
      </w:tc>
      <w:tc>
        <w:tcPr>
          <w:tcW w:w="1502" w:type="pct"/>
          <w:gridSpan w:val="2"/>
        </w:tcPr>
        <w:p w:rsidR="00500D04" w:rsidRPr="00130F37" w:rsidRDefault="00500D04" w:rsidP="008C16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37C">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37C">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37C">
            <w:rPr>
              <w:noProof/>
              <w:sz w:val="16"/>
              <w:szCs w:val="16"/>
            </w:rPr>
            <w:t>18/04/2024</w:t>
          </w:r>
          <w:r w:rsidRPr="00130F37">
            <w:rPr>
              <w:sz w:val="16"/>
              <w:szCs w:val="16"/>
            </w:rPr>
            <w:fldChar w:fldCharType="end"/>
          </w:r>
        </w:p>
      </w:tc>
    </w:tr>
  </w:tbl>
  <w:p w:rsidR="00500D04" w:rsidRPr="00A811CF" w:rsidRDefault="00500D04" w:rsidP="00A811C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A1328" w:rsidRDefault="00500D04" w:rsidP="008C1637">
    <w:pPr>
      <w:pBdr>
        <w:top w:val="single" w:sz="6" w:space="1" w:color="auto"/>
      </w:pBdr>
      <w:spacing w:before="120"/>
      <w:rPr>
        <w:sz w:val="18"/>
      </w:rPr>
    </w:pPr>
  </w:p>
  <w:p w:rsidR="00500D04" w:rsidRPr="007A1328" w:rsidRDefault="00500D04" w:rsidP="008C163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37C">
      <w:rPr>
        <w:i/>
        <w:noProof/>
        <w:sz w:val="18"/>
      </w:rPr>
      <w:t>Trans-Tasman Proceedings Regulation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w:t>
    </w:r>
    <w:r w:rsidRPr="007A1328">
      <w:rPr>
        <w:i/>
        <w:sz w:val="18"/>
      </w:rPr>
      <w:fldChar w:fldCharType="end"/>
    </w:r>
  </w:p>
  <w:p w:rsidR="00500D04" w:rsidRPr="007A1328" w:rsidRDefault="00500D04" w:rsidP="008C1637">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537C">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p>
      </w:tc>
    </w:tr>
    <w:tr w:rsidR="00500D04" w:rsidRPr="0055472E" w:rsidTr="00CC6477">
      <w:tc>
        <w:tcPr>
          <w:tcW w:w="1499" w:type="pct"/>
          <w:gridSpan w:val="2"/>
        </w:tcPr>
        <w:p w:rsidR="00500D04" w:rsidRPr="0055472E" w:rsidRDefault="00500D04" w:rsidP="008C163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37C">
            <w:rPr>
              <w:sz w:val="16"/>
              <w:szCs w:val="16"/>
            </w:rPr>
            <w:t>6</w:t>
          </w:r>
          <w:r w:rsidRPr="0055472E">
            <w:rPr>
              <w:sz w:val="16"/>
              <w:szCs w:val="16"/>
            </w:rPr>
            <w:fldChar w:fldCharType="end"/>
          </w:r>
        </w:p>
      </w:tc>
      <w:tc>
        <w:tcPr>
          <w:tcW w:w="1999" w:type="pct"/>
        </w:tcPr>
        <w:p w:rsidR="00500D04" w:rsidRPr="0055472E" w:rsidRDefault="00500D04" w:rsidP="008C163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37C">
            <w:rPr>
              <w:sz w:val="16"/>
              <w:szCs w:val="16"/>
            </w:rPr>
            <w:t>11/04/2024</w:t>
          </w:r>
          <w:r w:rsidRPr="0055472E">
            <w:rPr>
              <w:sz w:val="16"/>
              <w:szCs w:val="16"/>
            </w:rPr>
            <w:fldChar w:fldCharType="end"/>
          </w:r>
        </w:p>
      </w:tc>
      <w:tc>
        <w:tcPr>
          <w:tcW w:w="1502" w:type="pct"/>
          <w:gridSpan w:val="2"/>
        </w:tcPr>
        <w:p w:rsidR="00500D04" w:rsidRPr="0055472E" w:rsidRDefault="00500D04" w:rsidP="008C163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37C">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37C">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37C">
            <w:rPr>
              <w:noProof/>
              <w:sz w:val="16"/>
              <w:szCs w:val="16"/>
            </w:rPr>
            <w:t>18/04/2024</w:t>
          </w:r>
          <w:r w:rsidRPr="0055472E">
            <w:rPr>
              <w:sz w:val="16"/>
              <w:szCs w:val="16"/>
            </w:rPr>
            <w:fldChar w:fldCharType="end"/>
          </w:r>
        </w:p>
      </w:tc>
    </w:tr>
  </w:tbl>
  <w:p w:rsidR="00500D04" w:rsidRPr="00A811CF" w:rsidRDefault="00500D04" w:rsidP="00A811C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i/>
              <w:sz w:val="16"/>
              <w:szCs w:val="16"/>
            </w:rPr>
          </w:pP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537C">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500D04" w:rsidRPr="00130F37" w:rsidTr="00CC6477">
      <w:tc>
        <w:tcPr>
          <w:tcW w:w="1499" w:type="pct"/>
          <w:gridSpan w:val="2"/>
        </w:tcPr>
        <w:p w:rsidR="00500D04" w:rsidRPr="00130F37" w:rsidRDefault="00500D04" w:rsidP="008C16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37C">
            <w:rPr>
              <w:sz w:val="16"/>
              <w:szCs w:val="16"/>
            </w:rPr>
            <w:t>6</w:t>
          </w:r>
          <w:r w:rsidRPr="00130F37">
            <w:rPr>
              <w:sz w:val="16"/>
              <w:szCs w:val="16"/>
            </w:rPr>
            <w:fldChar w:fldCharType="end"/>
          </w:r>
        </w:p>
      </w:tc>
      <w:tc>
        <w:tcPr>
          <w:tcW w:w="1999" w:type="pct"/>
        </w:tcPr>
        <w:p w:rsidR="00500D04" w:rsidRPr="00130F37" w:rsidRDefault="00500D04" w:rsidP="008C16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37C">
            <w:rPr>
              <w:sz w:val="16"/>
              <w:szCs w:val="16"/>
            </w:rPr>
            <w:t>11/04/2024</w:t>
          </w:r>
          <w:r w:rsidRPr="00130F37">
            <w:rPr>
              <w:sz w:val="16"/>
              <w:szCs w:val="16"/>
            </w:rPr>
            <w:fldChar w:fldCharType="end"/>
          </w:r>
        </w:p>
      </w:tc>
      <w:tc>
        <w:tcPr>
          <w:tcW w:w="1502" w:type="pct"/>
          <w:gridSpan w:val="2"/>
        </w:tcPr>
        <w:p w:rsidR="00500D04" w:rsidRPr="00130F37" w:rsidRDefault="00500D04" w:rsidP="008C16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37C">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37C">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37C">
            <w:rPr>
              <w:noProof/>
              <w:sz w:val="16"/>
              <w:szCs w:val="16"/>
            </w:rPr>
            <w:t>18/04/2024</w:t>
          </w:r>
          <w:r w:rsidRPr="00130F37">
            <w:rPr>
              <w:sz w:val="16"/>
              <w:szCs w:val="16"/>
            </w:rPr>
            <w:fldChar w:fldCharType="end"/>
          </w:r>
        </w:p>
      </w:tc>
    </w:tr>
  </w:tbl>
  <w:p w:rsidR="00500D04" w:rsidRPr="00A811CF" w:rsidRDefault="00500D04" w:rsidP="00A811C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ED4762" w:rsidRDefault="00500D04">
    <w:pPr>
      <w:pStyle w:val="Footer"/>
      <w:rPr>
        <w:sz w:val="18"/>
      </w:rPr>
    </w:pPr>
    <w:r w:rsidRPr="00ED4762">
      <w:rPr>
        <w:noProof/>
        <w:sz w:val="18"/>
      </w:rPr>
      <mc:AlternateContent>
        <mc:Choice Requires="wps">
          <w:drawing>
            <wp:anchor distT="0" distB="0" distL="114300" distR="114300" simplePos="0" relativeHeight="251648000" behindDoc="0" locked="0" layoutInCell="1" allowOverlap="1" wp14:anchorId="35A6A815" wp14:editId="558AFBEE">
              <wp:simplePos x="0" y="0"/>
              <wp:positionH relativeFrom="column">
                <wp:posOffset>0</wp:posOffset>
              </wp:positionH>
              <wp:positionV relativeFrom="page">
                <wp:posOffset>9966325</wp:posOffset>
              </wp:positionV>
              <wp:extent cx="4438650" cy="525780"/>
              <wp:effectExtent l="0" t="3175" r="0" b="4445"/>
              <wp:wrapNone/>
              <wp:docPr id="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04" w:rsidRPr="004675CE" w:rsidRDefault="00500D04">
                          <w:r w:rsidRPr="004675CE">
                            <w:t>DRAFT ONLY</w:t>
                          </w:r>
                        </w:p>
                        <w:p w:rsidR="00500D04" w:rsidRPr="004675CE" w:rsidRDefault="00500D04">
                          <w:r>
                            <w:rPr>
                              <w:noProof/>
                            </w:rPr>
                            <w:t>1115783A-120120Z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6A815" id="_x0000_t202" coordsize="21600,21600" o:spt="202" path="m,l,21600r21600,l21600,xe">
              <v:stroke joinstyle="miter"/>
              <v:path gradientshapeok="t" o:connecttype="rect"/>
            </v:shapetype>
            <v:shape id="Text Box 332" o:spid="_x0000_s1026" type="#_x0000_t202" style="position:absolute;margin-left:0;margin-top:784.75pt;width:349.5pt;height:4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bCrwIAAKs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" filled="f" stroked="f">
              <v:textbox inset="0,0,0,0">
                <w:txbxContent>
                  <w:p w:rsidR="00500D04" w:rsidRPr="004675CE" w:rsidRDefault="00500D04">
                    <w:r w:rsidRPr="004675CE">
                      <w:t>DRAFT ONLY</w:t>
                    </w:r>
                  </w:p>
                  <w:p w:rsidR="00500D04" w:rsidRPr="004675CE" w:rsidRDefault="00500D04">
                    <w:r>
                      <w:rPr>
                        <w:noProof/>
                      </w:rPr>
                      <w:t>1115783A-120120Z</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rsidP="00CC647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ED79B6" w:rsidRDefault="00500D04" w:rsidP="00CC64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p>
      </w:tc>
    </w:tr>
    <w:tr w:rsidR="00500D04" w:rsidRPr="0055472E" w:rsidTr="00CC6477">
      <w:tc>
        <w:tcPr>
          <w:tcW w:w="1499" w:type="pct"/>
          <w:gridSpan w:val="2"/>
        </w:tcPr>
        <w:p w:rsidR="00500D04" w:rsidRPr="0055472E" w:rsidRDefault="00500D04" w:rsidP="008C163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37C">
            <w:rPr>
              <w:sz w:val="16"/>
              <w:szCs w:val="16"/>
            </w:rPr>
            <w:t>6</w:t>
          </w:r>
          <w:r w:rsidRPr="0055472E">
            <w:rPr>
              <w:sz w:val="16"/>
              <w:szCs w:val="16"/>
            </w:rPr>
            <w:fldChar w:fldCharType="end"/>
          </w:r>
        </w:p>
      </w:tc>
      <w:tc>
        <w:tcPr>
          <w:tcW w:w="1999" w:type="pct"/>
        </w:tcPr>
        <w:p w:rsidR="00500D04" w:rsidRPr="0055472E" w:rsidRDefault="00500D04" w:rsidP="008C163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37C">
            <w:rPr>
              <w:sz w:val="16"/>
              <w:szCs w:val="16"/>
            </w:rPr>
            <w:t>11/04/2024</w:t>
          </w:r>
          <w:r w:rsidRPr="0055472E">
            <w:rPr>
              <w:sz w:val="16"/>
              <w:szCs w:val="16"/>
            </w:rPr>
            <w:fldChar w:fldCharType="end"/>
          </w:r>
        </w:p>
      </w:tc>
      <w:tc>
        <w:tcPr>
          <w:tcW w:w="1502" w:type="pct"/>
          <w:gridSpan w:val="2"/>
        </w:tcPr>
        <w:p w:rsidR="00500D04" w:rsidRPr="0055472E" w:rsidRDefault="00500D04" w:rsidP="008C163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37C">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37C">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37C">
            <w:rPr>
              <w:noProof/>
              <w:sz w:val="16"/>
              <w:szCs w:val="16"/>
            </w:rPr>
            <w:t>18/04/2024</w:t>
          </w:r>
          <w:r w:rsidRPr="0055472E">
            <w:rPr>
              <w:sz w:val="16"/>
              <w:szCs w:val="16"/>
            </w:rPr>
            <w:fldChar w:fldCharType="end"/>
          </w:r>
        </w:p>
      </w:tc>
    </w:tr>
  </w:tbl>
  <w:p w:rsidR="00500D04" w:rsidRPr="00A811CF" w:rsidRDefault="00500D04" w:rsidP="00A811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i/>
              <w:sz w:val="16"/>
              <w:szCs w:val="16"/>
            </w:rPr>
          </w:pP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00D04" w:rsidRPr="00130F37" w:rsidTr="00CC6477">
      <w:tc>
        <w:tcPr>
          <w:tcW w:w="1499" w:type="pct"/>
          <w:gridSpan w:val="2"/>
        </w:tcPr>
        <w:p w:rsidR="00500D04" w:rsidRPr="00130F37" w:rsidRDefault="00500D04" w:rsidP="008C16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37C">
            <w:rPr>
              <w:sz w:val="16"/>
              <w:szCs w:val="16"/>
            </w:rPr>
            <w:t>6</w:t>
          </w:r>
          <w:r w:rsidRPr="00130F37">
            <w:rPr>
              <w:sz w:val="16"/>
              <w:szCs w:val="16"/>
            </w:rPr>
            <w:fldChar w:fldCharType="end"/>
          </w:r>
        </w:p>
      </w:tc>
      <w:tc>
        <w:tcPr>
          <w:tcW w:w="1999" w:type="pct"/>
        </w:tcPr>
        <w:p w:rsidR="00500D04" w:rsidRPr="00130F37" w:rsidRDefault="00500D04" w:rsidP="008C16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37C">
            <w:rPr>
              <w:sz w:val="16"/>
              <w:szCs w:val="16"/>
            </w:rPr>
            <w:t>11/04/2024</w:t>
          </w:r>
          <w:r w:rsidRPr="00130F37">
            <w:rPr>
              <w:sz w:val="16"/>
              <w:szCs w:val="16"/>
            </w:rPr>
            <w:fldChar w:fldCharType="end"/>
          </w:r>
        </w:p>
      </w:tc>
      <w:tc>
        <w:tcPr>
          <w:tcW w:w="1502" w:type="pct"/>
          <w:gridSpan w:val="2"/>
        </w:tcPr>
        <w:p w:rsidR="00500D04" w:rsidRPr="00130F37" w:rsidRDefault="00500D04" w:rsidP="008C16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37C">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37C">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37C">
            <w:rPr>
              <w:noProof/>
              <w:sz w:val="16"/>
              <w:szCs w:val="16"/>
            </w:rPr>
            <w:t>18/04/2024</w:t>
          </w:r>
          <w:r w:rsidRPr="00130F37">
            <w:rPr>
              <w:sz w:val="16"/>
              <w:szCs w:val="16"/>
            </w:rPr>
            <w:fldChar w:fldCharType="end"/>
          </w:r>
        </w:p>
      </w:tc>
    </w:tr>
  </w:tbl>
  <w:p w:rsidR="00500D04" w:rsidRPr="00A811CF" w:rsidRDefault="00500D04" w:rsidP="00A811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p>
      </w:tc>
    </w:tr>
    <w:tr w:rsidR="00500D04" w:rsidRPr="0055472E" w:rsidTr="00CC6477">
      <w:tc>
        <w:tcPr>
          <w:tcW w:w="1499" w:type="pct"/>
          <w:gridSpan w:val="2"/>
        </w:tcPr>
        <w:p w:rsidR="00500D04" w:rsidRPr="0055472E" w:rsidRDefault="00500D04" w:rsidP="008C163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37C">
            <w:rPr>
              <w:sz w:val="16"/>
              <w:szCs w:val="16"/>
            </w:rPr>
            <w:t>6</w:t>
          </w:r>
          <w:r w:rsidRPr="0055472E">
            <w:rPr>
              <w:sz w:val="16"/>
              <w:szCs w:val="16"/>
            </w:rPr>
            <w:fldChar w:fldCharType="end"/>
          </w:r>
        </w:p>
      </w:tc>
      <w:tc>
        <w:tcPr>
          <w:tcW w:w="1999" w:type="pct"/>
        </w:tcPr>
        <w:p w:rsidR="00500D04" w:rsidRPr="0055472E" w:rsidRDefault="00500D04" w:rsidP="008C163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37C">
            <w:rPr>
              <w:sz w:val="16"/>
              <w:szCs w:val="16"/>
            </w:rPr>
            <w:t>11/04/2024</w:t>
          </w:r>
          <w:r w:rsidRPr="0055472E">
            <w:rPr>
              <w:sz w:val="16"/>
              <w:szCs w:val="16"/>
            </w:rPr>
            <w:fldChar w:fldCharType="end"/>
          </w:r>
        </w:p>
      </w:tc>
      <w:tc>
        <w:tcPr>
          <w:tcW w:w="1502" w:type="pct"/>
          <w:gridSpan w:val="2"/>
        </w:tcPr>
        <w:p w:rsidR="00500D04" w:rsidRPr="0055472E" w:rsidRDefault="00500D04" w:rsidP="008C163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37C">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37C">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37C">
            <w:rPr>
              <w:noProof/>
              <w:sz w:val="16"/>
              <w:szCs w:val="16"/>
            </w:rPr>
            <w:t>18/04/2024</w:t>
          </w:r>
          <w:r w:rsidRPr="0055472E">
            <w:rPr>
              <w:sz w:val="16"/>
              <w:szCs w:val="16"/>
            </w:rPr>
            <w:fldChar w:fldCharType="end"/>
          </w:r>
        </w:p>
      </w:tc>
    </w:tr>
  </w:tbl>
  <w:p w:rsidR="00500D04" w:rsidRPr="00A811CF" w:rsidRDefault="00500D04" w:rsidP="00A811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i/>
              <w:sz w:val="16"/>
              <w:szCs w:val="16"/>
            </w:rPr>
          </w:pP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w:t>
          </w:r>
          <w:r w:rsidRPr="007B3B51">
            <w:rPr>
              <w:i/>
              <w:sz w:val="16"/>
              <w:szCs w:val="16"/>
            </w:rPr>
            <w:fldChar w:fldCharType="end"/>
          </w:r>
        </w:p>
      </w:tc>
    </w:tr>
    <w:tr w:rsidR="00500D04" w:rsidRPr="00130F37" w:rsidTr="00CC6477">
      <w:tc>
        <w:tcPr>
          <w:tcW w:w="1499" w:type="pct"/>
          <w:gridSpan w:val="2"/>
        </w:tcPr>
        <w:p w:rsidR="00500D04" w:rsidRPr="00130F37" w:rsidRDefault="00500D04" w:rsidP="008C163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537C">
            <w:rPr>
              <w:sz w:val="16"/>
              <w:szCs w:val="16"/>
            </w:rPr>
            <w:t>6</w:t>
          </w:r>
          <w:r w:rsidRPr="00130F37">
            <w:rPr>
              <w:sz w:val="16"/>
              <w:szCs w:val="16"/>
            </w:rPr>
            <w:fldChar w:fldCharType="end"/>
          </w:r>
        </w:p>
      </w:tc>
      <w:tc>
        <w:tcPr>
          <w:tcW w:w="1999" w:type="pct"/>
        </w:tcPr>
        <w:p w:rsidR="00500D04" w:rsidRPr="00130F37" w:rsidRDefault="00500D04" w:rsidP="008C163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8537C">
            <w:rPr>
              <w:sz w:val="16"/>
              <w:szCs w:val="16"/>
            </w:rPr>
            <w:t>11/04/2024</w:t>
          </w:r>
          <w:r w:rsidRPr="00130F37">
            <w:rPr>
              <w:sz w:val="16"/>
              <w:szCs w:val="16"/>
            </w:rPr>
            <w:fldChar w:fldCharType="end"/>
          </w:r>
        </w:p>
      </w:tc>
      <w:tc>
        <w:tcPr>
          <w:tcW w:w="1502" w:type="pct"/>
          <w:gridSpan w:val="2"/>
        </w:tcPr>
        <w:p w:rsidR="00500D04" w:rsidRPr="00130F37" w:rsidRDefault="00500D04" w:rsidP="008C163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537C">
            <w:rPr>
              <w:sz w:val="16"/>
              <w:szCs w:val="16"/>
            </w:rPr>
            <w:instrText>18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8537C">
            <w:rPr>
              <w:sz w:val="16"/>
              <w:szCs w:val="16"/>
            </w:rPr>
            <w:instrText>18/04/2024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537C">
            <w:rPr>
              <w:noProof/>
              <w:sz w:val="16"/>
              <w:szCs w:val="16"/>
            </w:rPr>
            <w:t>18/04/2024</w:t>
          </w:r>
          <w:r w:rsidRPr="00130F37">
            <w:rPr>
              <w:sz w:val="16"/>
              <w:szCs w:val="16"/>
            </w:rPr>
            <w:fldChar w:fldCharType="end"/>
          </w:r>
        </w:p>
      </w:tc>
    </w:tr>
  </w:tbl>
  <w:p w:rsidR="00500D04" w:rsidRPr="00A811CF" w:rsidRDefault="00500D04" w:rsidP="00A811C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2B0EA5" w:rsidRDefault="00500D04" w:rsidP="0010155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500D04" w:rsidTr="00CC6477">
      <w:tc>
        <w:tcPr>
          <w:tcW w:w="947" w:type="pct"/>
        </w:tcPr>
        <w:p w:rsidR="00500D04" w:rsidRDefault="00500D04" w:rsidP="0010155D">
          <w:pPr>
            <w:spacing w:line="0" w:lineRule="atLeast"/>
            <w:rPr>
              <w:sz w:val="18"/>
            </w:rPr>
          </w:pPr>
        </w:p>
      </w:tc>
      <w:tc>
        <w:tcPr>
          <w:tcW w:w="3688" w:type="pct"/>
        </w:tcPr>
        <w:p w:rsidR="00500D04" w:rsidRDefault="00500D04" w:rsidP="001015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8537C">
            <w:rPr>
              <w:i/>
              <w:sz w:val="18"/>
            </w:rPr>
            <w:t>Trans-Tasman Proceedings Regulation 2012</w:t>
          </w:r>
          <w:r w:rsidRPr="007A1328">
            <w:rPr>
              <w:i/>
              <w:sz w:val="18"/>
            </w:rPr>
            <w:fldChar w:fldCharType="end"/>
          </w:r>
        </w:p>
      </w:tc>
      <w:tc>
        <w:tcPr>
          <w:tcW w:w="365" w:type="pct"/>
        </w:tcPr>
        <w:p w:rsidR="00500D04" w:rsidRDefault="00500D04" w:rsidP="001015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25</w:t>
          </w:r>
          <w:r w:rsidRPr="00ED79B6">
            <w:rPr>
              <w:i/>
              <w:sz w:val="18"/>
            </w:rPr>
            <w:fldChar w:fldCharType="end"/>
          </w:r>
        </w:p>
      </w:tc>
    </w:tr>
  </w:tbl>
  <w:p w:rsidR="00500D04" w:rsidRPr="00ED79B6" w:rsidRDefault="00500D04" w:rsidP="0010155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B3B51" w:rsidRDefault="00500D04" w:rsidP="008C163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00D04" w:rsidRPr="007B3B51" w:rsidTr="00CC6477">
      <w:tc>
        <w:tcPr>
          <w:tcW w:w="854" w:type="pct"/>
        </w:tcPr>
        <w:p w:rsidR="00500D04" w:rsidRPr="007B3B51" w:rsidRDefault="00500D04" w:rsidP="008C163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688" w:type="pct"/>
          <w:gridSpan w:val="3"/>
        </w:tcPr>
        <w:p w:rsidR="00500D04" w:rsidRPr="007B3B51" w:rsidRDefault="00500D04" w:rsidP="008C163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7A11">
            <w:rPr>
              <w:i/>
              <w:noProof/>
              <w:sz w:val="16"/>
              <w:szCs w:val="16"/>
            </w:rPr>
            <w:t>Trans-Tasman Proceedings Regulation 2012</w:t>
          </w:r>
          <w:r w:rsidRPr="007B3B51">
            <w:rPr>
              <w:i/>
              <w:sz w:val="16"/>
              <w:szCs w:val="16"/>
            </w:rPr>
            <w:fldChar w:fldCharType="end"/>
          </w:r>
        </w:p>
      </w:tc>
      <w:tc>
        <w:tcPr>
          <w:tcW w:w="458" w:type="pct"/>
        </w:tcPr>
        <w:p w:rsidR="00500D04" w:rsidRPr="007B3B51" w:rsidRDefault="00500D04" w:rsidP="008C1637">
          <w:pPr>
            <w:jc w:val="right"/>
            <w:rPr>
              <w:sz w:val="16"/>
              <w:szCs w:val="16"/>
            </w:rPr>
          </w:pPr>
        </w:p>
      </w:tc>
    </w:tr>
    <w:tr w:rsidR="00500D04" w:rsidRPr="0055472E" w:rsidTr="00CC6477">
      <w:tc>
        <w:tcPr>
          <w:tcW w:w="1499" w:type="pct"/>
          <w:gridSpan w:val="2"/>
        </w:tcPr>
        <w:p w:rsidR="00500D04" w:rsidRPr="0055472E" w:rsidRDefault="00500D04" w:rsidP="008C163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537C">
            <w:rPr>
              <w:sz w:val="16"/>
              <w:szCs w:val="16"/>
            </w:rPr>
            <w:t>6</w:t>
          </w:r>
          <w:r w:rsidRPr="0055472E">
            <w:rPr>
              <w:sz w:val="16"/>
              <w:szCs w:val="16"/>
            </w:rPr>
            <w:fldChar w:fldCharType="end"/>
          </w:r>
        </w:p>
      </w:tc>
      <w:tc>
        <w:tcPr>
          <w:tcW w:w="1999" w:type="pct"/>
        </w:tcPr>
        <w:p w:rsidR="00500D04" w:rsidRPr="0055472E" w:rsidRDefault="00500D04" w:rsidP="008C163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8537C">
            <w:rPr>
              <w:sz w:val="16"/>
              <w:szCs w:val="16"/>
            </w:rPr>
            <w:t>11/04/2024</w:t>
          </w:r>
          <w:r w:rsidRPr="0055472E">
            <w:rPr>
              <w:sz w:val="16"/>
              <w:szCs w:val="16"/>
            </w:rPr>
            <w:fldChar w:fldCharType="end"/>
          </w:r>
        </w:p>
      </w:tc>
      <w:tc>
        <w:tcPr>
          <w:tcW w:w="1502" w:type="pct"/>
          <w:gridSpan w:val="2"/>
        </w:tcPr>
        <w:p w:rsidR="00500D04" w:rsidRPr="0055472E" w:rsidRDefault="00500D04" w:rsidP="008C163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537C">
            <w:rPr>
              <w:sz w:val="16"/>
              <w:szCs w:val="16"/>
            </w:rPr>
            <w:instrText>18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8537C">
            <w:rPr>
              <w:sz w:val="16"/>
              <w:szCs w:val="16"/>
            </w:rPr>
            <w:instrText>18/04/2024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537C">
            <w:rPr>
              <w:noProof/>
              <w:sz w:val="16"/>
              <w:szCs w:val="16"/>
            </w:rPr>
            <w:t>18/04/2024</w:t>
          </w:r>
          <w:r w:rsidRPr="0055472E">
            <w:rPr>
              <w:sz w:val="16"/>
              <w:szCs w:val="16"/>
            </w:rPr>
            <w:fldChar w:fldCharType="end"/>
          </w:r>
        </w:p>
      </w:tc>
    </w:tr>
  </w:tbl>
  <w:p w:rsidR="00500D04" w:rsidRPr="00A811CF" w:rsidRDefault="00500D04" w:rsidP="00A811CF">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04" w:rsidRDefault="00500D04">
      <w:r>
        <w:separator/>
      </w:r>
    </w:p>
  </w:footnote>
  <w:footnote w:type="continuationSeparator" w:id="0">
    <w:p w:rsidR="00500D04" w:rsidRDefault="0050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rsidP="00CC6477">
    <w:pPr>
      <w:pStyle w:val="Header"/>
      <w:pBdr>
        <w:bottom w:val="single" w:sz="6" w:space="1" w:color="auto"/>
      </w:pBdr>
    </w:pPr>
  </w:p>
  <w:p w:rsidR="00500D04" w:rsidRDefault="00500D04" w:rsidP="00CC6477">
    <w:pPr>
      <w:pStyle w:val="Header"/>
      <w:pBdr>
        <w:bottom w:val="single" w:sz="6" w:space="1" w:color="auto"/>
      </w:pBdr>
    </w:pPr>
  </w:p>
  <w:p w:rsidR="00500D04" w:rsidRPr="001E77D2" w:rsidRDefault="00500D04" w:rsidP="00CC647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500D04" w:rsidRDefault="00500D0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E97A11">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97A11">
      <w:rPr>
        <w:noProof/>
        <w:sz w:val="20"/>
      </w:rPr>
      <w:t>Recognition and enforcement of judgments</w:t>
    </w:r>
    <w:r>
      <w:rPr>
        <w:sz w:val="20"/>
      </w:rPr>
      <w:fldChar w:fldCharType="end"/>
    </w:r>
  </w:p>
  <w:p w:rsidR="00500D04" w:rsidRDefault="00500D04">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8A2C51" w:rsidRDefault="00500D0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500D04" w:rsidRPr="008A2C51" w:rsidRDefault="00500D0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E97A11">
      <w:rPr>
        <w:noProof/>
        <w:sz w:val="20"/>
      </w:rPr>
      <w:t>Recognition and enforcement of judgments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E97A11">
      <w:rPr>
        <w:b/>
        <w:noProof/>
        <w:sz w:val="20"/>
      </w:rPr>
      <w:t>Part 7</w:t>
    </w:r>
    <w:r w:rsidRPr="008A2C51">
      <w:rPr>
        <w:b/>
        <w:sz w:val="20"/>
      </w:rPr>
      <w:fldChar w:fldCharType="end"/>
    </w:r>
  </w:p>
  <w:p w:rsidR="00500D04" w:rsidRPr="008A2C51" w:rsidRDefault="00500D04">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E528B" w:rsidRDefault="00500D04" w:rsidP="008C1637">
    <w:pPr>
      <w:rPr>
        <w:sz w:val="26"/>
        <w:szCs w:val="26"/>
      </w:rPr>
    </w:pPr>
  </w:p>
  <w:p w:rsidR="00500D04" w:rsidRPr="00750516" w:rsidRDefault="00500D04" w:rsidP="008C1637">
    <w:pPr>
      <w:rPr>
        <w:b/>
        <w:sz w:val="20"/>
      </w:rPr>
    </w:pPr>
    <w:r w:rsidRPr="00750516">
      <w:rPr>
        <w:b/>
        <w:sz w:val="20"/>
      </w:rPr>
      <w:t>Endnotes</w:t>
    </w:r>
  </w:p>
  <w:p w:rsidR="00500D04" w:rsidRPr="007A1328" w:rsidRDefault="00500D04" w:rsidP="008C1637">
    <w:pPr>
      <w:rPr>
        <w:sz w:val="20"/>
      </w:rPr>
    </w:pPr>
  </w:p>
  <w:p w:rsidR="00500D04" w:rsidRPr="007A1328" w:rsidRDefault="00500D04" w:rsidP="008C1637">
    <w:pPr>
      <w:rPr>
        <w:b/>
        <w:sz w:val="24"/>
      </w:rPr>
    </w:pPr>
  </w:p>
  <w:p w:rsidR="00500D04" w:rsidRPr="007E528B" w:rsidRDefault="00500D04" w:rsidP="008C163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97A11">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E528B" w:rsidRDefault="00500D04" w:rsidP="008C1637">
    <w:pPr>
      <w:jc w:val="right"/>
      <w:rPr>
        <w:sz w:val="26"/>
        <w:szCs w:val="26"/>
      </w:rPr>
    </w:pPr>
  </w:p>
  <w:p w:rsidR="00500D04" w:rsidRPr="00750516" w:rsidRDefault="00500D04" w:rsidP="008C1637">
    <w:pPr>
      <w:jc w:val="right"/>
      <w:rPr>
        <w:b/>
        <w:sz w:val="20"/>
      </w:rPr>
    </w:pPr>
    <w:r w:rsidRPr="00750516">
      <w:rPr>
        <w:b/>
        <w:sz w:val="20"/>
      </w:rPr>
      <w:t>Endnotes</w:t>
    </w:r>
  </w:p>
  <w:p w:rsidR="00500D04" w:rsidRPr="007A1328" w:rsidRDefault="00500D04" w:rsidP="008C1637">
    <w:pPr>
      <w:jc w:val="right"/>
      <w:rPr>
        <w:sz w:val="20"/>
      </w:rPr>
    </w:pPr>
  </w:p>
  <w:p w:rsidR="00500D04" w:rsidRPr="007A1328" w:rsidRDefault="00500D04" w:rsidP="008C1637">
    <w:pPr>
      <w:jc w:val="right"/>
      <w:rPr>
        <w:b/>
        <w:sz w:val="24"/>
      </w:rPr>
    </w:pPr>
  </w:p>
  <w:p w:rsidR="00500D04" w:rsidRPr="007E528B" w:rsidRDefault="00500D04" w:rsidP="008C163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97A11">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BE5CD2" w:rsidRDefault="00500D04" w:rsidP="0010155D">
    <w:pPr>
      <w:rPr>
        <w:sz w:val="26"/>
        <w:szCs w:val="26"/>
      </w:rPr>
    </w:pPr>
  </w:p>
  <w:p w:rsidR="00500D04" w:rsidRPr="0020230A" w:rsidRDefault="00500D04" w:rsidP="0010155D">
    <w:pPr>
      <w:rPr>
        <w:b/>
        <w:sz w:val="20"/>
      </w:rPr>
    </w:pPr>
    <w:r w:rsidRPr="0020230A">
      <w:rPr>
        <w:b/>
        <w:sz w:val="20"/>
      </w:rPr>
      <w:t>Endnotes</w:t>
    </w:r>
  </w:p>
  <w:p w:rsidR="00500D04" w:rsidRPr="007A1328" w:rsidRDefault="00500D04" w:rsidP="0010155D">
    <w:pPr>
      <w:rPr>
        <w:sz w:val="20"/>
      </w:rPr>
    </w:pPr>
  </w:p>
  <w:p w:rsidR="00500D04" w:rsidRPr="007A1328" w:rsidRDefault="00500D04" w:rsidP="0010155D">
    <w:pPr>
      <w:rPr>
        <w:b/>
        <w:sz w:val="24"/>
      </w:rPr>
    </w:pPr>
  </w:p>
  <w:p w:rsidR="00500D04" w:rsidRPr="00BE5CD2" w:rsidRDefault="00500D04" w:rsidP="0010155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8537C">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BE5CD2" w:rsidRDefault="00500D04" w:rsidP="0010155D">
    <w:pPr>
      <w:jc w:val="right"/>
      <w:rPr>
        <w:sz w:val="26"/>
        <w:szCs w:val="26"/>
      </w:rPr>
    </w:pPr>
  </w:p>
  <w:p w:rsidR="00500D04" w:rsidRPr="0020230A" w:rsidRDefault="00500D04" w:rsidP="0010155D">
    <w:pPr>
      <w:jc w:val="right"/>
      <w:rPr>
        <w:b/>
        <w:sz w:val="20"/>
      </w:rPr>
    </w:pPr>
    <w:r w:rsidRPr="0020230A">
      <w:rPr>
        <w:b/>
        <w:sz w:val="20"/>
      </w:rPr>
      <w:t>Endnotes</w:t>
    </w:r>
  </w:p>
  <w:p w:rsidR="00500D04" w:rsidRPr="007A1328" w:rsidRDefault="00500D04" w:rsidP="0010155D">
    <w:pPr>
      <w:jc w:val="right"/>
      <w:rPr>
        <w:sz w:val="20"/>
      </w:rPr>
    </w:pPr>
  </w:p>
  <w:p w:rsidR="00500D04" w:rsidRPr="007A1328" w:rsidRDefault="00500D04" w:rsidP="0010155D">
    <w:pPr>
      <w:jc w:val="right"/>
      <w:rPr>
        <w:b/>
        <w:sz w:val="24"/>
      </w:rPr>
    </w:pPr>
  </w:p>
  <w:p w:rsidR="00500D04" w:rsidRPr="00BE5CD2" w:rsidRDefault="00500D04" w:rsidP="0010155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8537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rsidP="00CC6477">
    <w:pPr>
      <w:pStyle w:val="Header"/>
      <w:pBdr>
        <w:bottom w:val="single" w:sz="4" w:space="1" w:color="auto"/>
      </w:pBdr>
    </w:pPr>
  </w:p>
  <w:p w:rsidR="00500D04" w:rsidRDefault="00500D04" w:rsidP="00CC6477">
    <w:pPr>
      <w:pStyle w:val="Header"/>
      <w:pBdr>
        <w:bottom w:val="single" w:sz="4" w:space="1" w:color="auto"/>
      </w:pBdr>
    </w:pPr>
  </w:p>
  <w:p w:rsidR="00500D04" w:rsidRPr="001E77D2" w:rsidRDefault="00500D04" w:rsidP="00CC64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5F1388" w:rsidRDefault="00500D04" w:rsidP="00CC647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ED79B6" w:rsidRDefault="00500D04" w:rsidP="00A811CF">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ED79B6" w:rsidRDefault="00500D04" w:rsidP="00A811CF">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ED79B6" w:rsidRDefault="00500D04" w:rsidP="0010155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Default="00500D04" w:rsidP="0010155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00D04" w:rsidRDefault="00500D04" w:rsidP="0010155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00D04" w:rsidRPr="007A1328" w:rsidRDefault="00500D04" w:rsidP="0010155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00D04" w:rsidRPr="007A1328" w:rsidRDefault="00500D04" w:rsidP="0010155D">
    <w:pPr>
      <w:rPr>
        <w:b/>
        <w:sz w:val="24"/>
      </w:rPr>
    </w:pPr>
  </w:p>
  <w:p w:rsidR="00500D04" w:rsidRPr="007A1328" w:rsidRDefault="00500D04" w:rsidP="0010155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8537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7A1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A1328" w:rsidRDefault="00500D04" w:rsidP="0010155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00D04" w:rsidRPr="007A1328" w:rsidRDefault="00500D04" w:rsidP="0010155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00D04" w:rsidRPr="007A1328" w:rsidRDefault="00500D04" w:rsidP="0010155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00D04" w:rsidRPr="007A1328" w:rsidRDefault="00500D04" w:rsidP="0010155D">
    <w:pPr>
      <w:jc w:val="right"/>
      <w:rPr>
        <w:b/>
        <w:sz w:val="24"/>
      </w:rPr>
    </w:pPr>
  </w:p>
  <w:p w:rsidR="00500D04" w:rsidRPr="007A1328" w:rsidRDefault="00500D04" w:rsidP="0010155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8537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7A1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04" w:rsidRPr="007A1328" w:rsidRDefault="00500D04" w:rsidP="00101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160917"/>
    <w:multiLevelType w:val="hybridMultilevel"/>
    <w:tmpl w:val="E1CCD234"/>
    <w:lvl w:ilvl="0" w:tplc="1409000F">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E87690"/>
    <w:multiLevelType w:val="singleLevel"/>
    <w:tmpl w:val="5F748274"/>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71D61C0"/>
    <w:multiLevelType w:val="hybridMultilevel"/>
    <w:tmpl w:val="E1CCD234"/>
    <w:lvl w:ilvl="0" w:tplc="1409000F">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C24448"/>
    <w:multiLevelType w:val="hybridMultilevel"/>
    <w:tmpl w:val="7C44C9D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1"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0490B"/>
    <w:multiLevelType w:val="hybridMultilevel"/>
    <w:tmpl w:val="D09230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BFA2BB8"/>
    <w:multiLevelType w:val="singleLevel"/>
    <w:tmpl w:val="0C090001"/>
    <w:lvl w:ilvl="0">
      <w:start w:val="1"/>
      <w:numFmt w:val="bullet"/>
      <w:lvlText w:val=""/>
      <w:lvlJc w:val="left"/>
      <w:pPr>
        <w:ind w:left="720" w:hanging="360"/>
      </w:pPr>
      <w:rPr>
        <w:rFonts w:ascii="Symbol" w:hAnsi="Symbol" w:hint="default"/>
      </w:rPr>
    </w:lvl>
  </w:abstractNum>
  <w:num w:numId="1">
    <w:abstractNumId w:val="10"/>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9"/>
  </w:num>
  <w:num w:numId="16">
    <w:abstractNumId w:val="20"/>
  </w:num>
  <w:num w:numId="17">
    <w:abstractNumId w:val="23"/>
  </w:num>
  <w:num w:numId="18">
    <w:abstractNumId w:val="24"/>
  </w:num>
  <w:num w:numId="19">
    <w:abstractNumId w:val="16"/>
  </w:num>
  <w:num w:numId="20">
    <w:abstractNumId w:val="17"/>
  </w:num>
  <w:num w:numId="21">
    <w:abstractNumId w:val="11"/>
  </w:num>
  <w:num w:numId="22">
    <w:abstractNumId w:val="22"/>
  </w:num>
  <w:num w:numId="23">
    <w:abstractNumId w:val="1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006"/>
    <w:rsid w:val="00000CBE"/>
    <w:rsid w:val="00002328"/>
    <w:rsid w:val="00003586"/>
    <w:rsid w:val="000047FD"/>
    <w:rsid w:val="000056EE"/>
    <w:rsid w:val="00005A4A"/>
    <w:rsid w:val="00010203"/>
    <w:rsid w:val="00012A4E"/>
    <w:rsid w:val="00013A38"/>
    <w:rsid w:val="00013CC2"/>
    <w:rsid w:val="000172B9"/>
    <w:rsid w:val="0001739E"/>
    <w:rsid w:val="00020180"/>
    <w:rsid w:val="00020B12"/>
    <w:rsid w:val="00023FD2"/>
    <w:rsid w:val="00033551"/>
    <w:rsid w:val="0003434D"/>
    <w:rsid w:val="0003498B"/>
    <w:rsid w:val="00034A97"/>
    <w:rsid w:val="00036AD5"/>
    <w:rsid w:val="00036AD6"/>
    <w:rsid w:val="0004081D"/>
    <w:rsid w:val="00041402"/>
    <w:rsid w:val="00043489"/>
    <w:rsid w:val="000445DC"/>
    <w:rsid w:val="00045978"/>
    <w:rsid w:val="000472C2"/>
    <w:rsid w:val="000477D0"/>
    <w:rsid w:val="000510B9"/>
    <w:rsid w:val="000517FA"/>
    <w:rsid w:val="00051C9B"/>
    <w:rsid w:val="000551A3"/>
    <w:rsid w:val="00055E25"/>
    <w:rsid w:val="0006152F"/>
    <w:rsid w:val="000634B8"/>
    <w:rsid w:val="00063539"/>
    <w:rsid w:val="0006355F"/>
    <w:rsid w:val="00065A0E"/>
    <w:rsid w:val="0006722F"/>
    <w:rsid w:val="000714A1"/>
    <w:rsid w:val="00071791"/>
    <w:rsid w:val="000721B0"/>
    <w:rsid w:val="000722FB"/>
    <w:rsid w:val="00073310"/>
    <w:rsid w:val="00073CB4"/>
    <w:rsid w:val="00074BA3"/>
    <w:rsid w:val="000753EE"/>
    <w:rsid w:val="00075B3D"/>
    <w:rsid w:val="00076B35"/>
    <w:rsid w:val="000810DE"/>
    <w:rsid w:val="0008370C"/>
    <w:rsid w:val="00083DC0"/>
    <w:rsid w:val="00085877"/>
    <w:rsid w:val="00086090"/>
    <w:rsid w:val="00086E1D"/>
    <w:rsid w:val="000877B8"/>
    <w:rsid w:val="00091447"/>
    <w:rsid w:val="00092802"/>
    <w:rsid w:val="000931B6"/>
    <w:rsid w:val="00095CC4"/>
    <w:rsid w:val="000965B1"/>
    <w:rsid w:val="00097146"/>
    <w:rsid w:val="000974B4"/>
    <w:rsid w:val="000A0A91"/>
    <w:rsid w:val="000A3C52"/>
    <w:rsid w:val="000A4E98"/>
    <w:rsid w:val="000A789B"/>
    <w:rsid w:val="000B0A20"/>
    <w:rsid w:val="000B2596"/>
    <w:rsid w:val="000B26C3"/>
    <w:rsid w:val="000B52F3"/>
    <w:rsid w:val="000B5947"/>
    <w:rsid w:val="000B67FA"/>
    <w:rsid w:val="000B68A5"/>
    <w:rsid w:val="000C2AB1"/>
    <w:rsid w:val="000C30BA"/>
    <w:rsid w:val="000C3155"/>
    <w:rsid w:val="000C56FE"/>
    <w:rsid w:val="000C78B5"/>
    <w:rsid w:val="000D112D"/>
    <w:rsid w:val="000D153F"/>
    <w:rsid w:val="000D2829"/>
    <w:rsid w:val="000D363E"/>
    <w:rsid w:val="000D6B2E"/>
    <w:rsid w:val="000D6BF1"/>
    <w:rsid w:val="000D6EB9"/>
    <w:rsid w:val="000D7167"/>
    <w:rsid w:val="000D736B"/>
    <w:rsid w:val="000E0180"/>
    <w:rsid w:val="000E081D"/>
    <w:rsid w:val="000E470D"/>
    <w:rsid w:val="000F140F"/>
    <w:rsid w:val="000F3758"/>
    <w:rsid w:val="000F42C7"/>
    <w:rsid w:val="000F54B6"/>
    <w:rsid w:val="000F6B3B"/>
    <w:rsid w:val="00100F45"/>
    <w:rsid w:val="0010155D"/>
    <w:rsid w:val="00102347"/>
    <w:rsid w:val="00102375"/>
    <w:rsid w:val="00110F98"/>
    <w:rsid w:val="0011161E"/>
    <w:rsid w:val="0011172E"/>
    <w:rsid w:val="00111E48"/>
    <w:rsid w:val="0011314E"/>
    <w:rsid w:val="001139EA"/>
    <w:rsid w:val="00113A30"/>
    <w:rsid w:val="00114286"/>
    <w:rsid w:val="00117290"/>
    <w:rsid w:val="0012058C"/>
    <w:rsid w:val="00120846"/>
    <w:rsid w:val="00121B18"/>
    <w:rsid w:val="00122CA1"/>
    <w:rsid w:val="001239BD"/>
    <w:rsid w:val="0012428D"/>
    <w:rsid w:val="0012560F"/>
    <w:rsid w:val="00126D00"/>
    <w:rsid w:val="00131469"/>
    <w:rsid w:val="001317C8"/>
    <w:rsid w:val="00132994"/>
    <w:rsid w:val="00133419"/>
    <w:rsid w:val="00134204"/>
    <w:rsid w:val="0013522B"/>
    <w:rsid w:val="001363F5"/>
    <w:rsid w:val="00137EF4"/>
    <w:rsid w:val="001416F3"/>
    <w:rsid w:val="00143D14"/>
    <w:rsid w:val="00143D26"/>
    <w:rsid w:val="00144BA8"/>
    <w:rsid w:val="00144D6C"/>
    <w:rsid w:val="00145C33"/>
    <w:rsid w:val="0014660D"/>
    <w:rsid w:val="001509A9"/>
    <w:rsid w:val="001510F9"/>
    <w:rsid w:val="00152824"/>
    <w:rsid w:val="00153593"/>
    <w:rsid w:val="00153F4B"/>
    <w:rsid w:val="001544DD"/>
    <w:rsid w:val="00154642"/>
    <w:rsid w:val="00156A5A"/>
    <w:rsid w:val="001572CB"/>
    <w:rsid w:val="00157E82"/>
    <w:rsid w:val="001601CA"/>
    <w:rsid w:val="001613C8"/>
    <w:rsid w:val="00163F8C"/>
    <w:rsid w:val="0016552E"/>
    <w:rsid w:val="001661B3"/>
    <w:rsid w:val="00166BC1"/>
    <w:rsid w:val="00171A0A"/>
    <w:rsid w:val="00173EC1"/>
    <w:rsid w:val="0017420C"/>
    <w:rsid w:val="00175C0B"/>
    <w:rsid w:val="00176457"/>
    <w:rsid w:val="00176465"/>
    <w:rsid w:val="0017669E"/>
    <w:rsid w:val="00176BCE"/>
    <w:rsid w:val="00180CD3"/>
    <w:rsid w:val="00180FD7"/>
    <w:rsid w:val="001840EA"/>
    <w:rsid w:val="00190D22"/>
    <w:rsid w:val="00190E92"/>
    <w:rsid w:val="00191B57"/>
    <w:rsid w:val="0019329C"/>
    <w:rsid w:val="00193724"/>
    <w:rsid w:val="0019519C"/>
    <w:rsid w:val="001964AA"/>
    <w:rsid w:val="00196E48"/>
    <w:rsid w:val="001A062E"/>
    <w:rsid w:val="001A25BD"/>
    <w:rsid w:val="001A2921"/>
    <w:rsid w:val="001A2B82"/>
    <w:rsid w:val="001A344E"/>
    <w:rsid w:val="001A5215"/>
    <w:rsid w:val="001A5860"/>
    <w:rsid w:val="001A5F32"/>
    <w:rsid w:val="001A745A"/>
    <w:rsid w:val="001B0981"/>
    <w:rsid w:val="001B243A"/>
    <w:rsid w:val="001B4168"/>
    <w:rsid w:val="001B4D65"/>
    <w:rsid w:val="001B6131"/>
    <w:rsid w:val="001B680B"/>
    <w:rsid w:val="001B750D"/>
    <w:rsid w:val="001C2D2D"/>
    <w:rsid w:val="001C48B6"/>
    <w:rsid w:val="001C52FA"/>
    <w:rsid w:val="001C6C78"/>
    <w:rsid w:val="001C6E23"/>
    <w:rsid w:val="001D1730"/>
    <w:rsid w:val="001D49E7"/>
    <w:rsid w:val="001D7DD2"/>
    <w:rsid w:val="001E1FF9"/>
    <w:rsid w:val="001E551F"/>
    <w:rsid w:val="001E6100"/>
    <w:rsid w:val="001F0F35"/>
    <w:rsid w:val="001F1819"/>
    <w:rsid w:val="001F204C"/>
    <w:rsid w:val="001F206B"/>
    <w:rsid w:val="001F24CF"/>
    <w:rsid w:val="001F2FFA"/>
    <w:rsid w:val="001F3052"/>
    <w:rsid w:val="001F3D0A"/>
    <w:rsid w:val="001F5C4A"/>
    <w:rsid w:val="001F7C04"/>
    <w:rsid w:val="002019E4"/>
    <w:rsid w:val="0020253A"/>
    <w:rsid w:val="00202CC6"/>
    <w:rsid w:val="0020488A"/>
    <w:rsid w:val="00205535"/>
    <w:rsid w:val="0020650F"/>
    <w:rsid w:val="00207BD5"/>
    <w:rsid w:val="00210335"/>
    <w:rsid w:val="00210C86"/>
    <w:rsid w:val="002125DA"/>
    <w:rsid w:val="00213427"/>
    <w:rsid w:val="002144F4"/>
    <w:rsid w:val="00220EDA"/>
    <w:rsid w:val="00222DA1"/>
    <w:rsid w:val="00223135"/>
    <w:rsid w:val="00223A7F"/>
    <w:rsid w:val="002250FB"/>
    <w:rsid w:val="00225860"/>
    <w:rsid w:val="002271DC"/>
    <w:rsid w:val="00227F40"/>
    <w:rsid w:val="00230352"/>
    <w:rsid w:val="00230DC7"/>
    <w:rsid w:val="00233104"/>
    <w:rsid w:val="002344A0"/>
    <w:rsid w:val="0023634D"/>
    <w:rsid w:val="00236609"/>
    <w:rsid w:val="002377D7"/>
    <w:rsid w:val="002407C9"/>
    <w:rsid w:val="00240CD1"/>
    <w:rsid w:val="00244247"/>
    <w:rsid w:val="0024578E"/>
    <w:rsid w:val="00246828"/>
    <w:rsid w:val="00253EE7"/>
    <w:rsid w:val="00254B2F"/>
    <w:rsid w:val="00254C12"/>
    <w:rsid w:val="00255101"/>
    <w:rsid w:val="0025553E"/>
    <w:rsid w:val="0025593C"/>
    <w:rsid w:val="00260641"/>
    <w:rsid w:val="00262382"/>
    <w:rsid w:val="00262431"/>
    <w:rsid w:val="00265E15"/>
    <w:rsid w:val="00265ED0"/>
    <w:rsid w:val="002673BD"/>
    <w:rsid w:val="00270826"/>
    <w:rsid w:val="0027106F"/>
    <w:rsid w:val="00272950"/>
    <w:rsid w:val="00273882"/>
    <w:rsid w:val="002752F0"/>
    <w:rsid w:val="002757D6"/>
    <w:rsid w:val="0027590C"/>
    <w:rsid w:val="0028193E"/>
    <w:rsid w:val="00281DE3"/>
    <w:rsid w:val="0028235D"/>
    <w:rsid w:val="002833AC"/>
    <w:rsid w:val="00286417"/>
    <w:rsid w:val="002870C2"/>
    <w:rsid w:val="00287202"/>
    <w:rsid w:val="002876C8"/>
    <w:rsid w:val="00291C10"/>
    <w:rsid w:val="002929C4"/>
    <w:rsid w:val="00293140"/>
    <w:rsid w:val="002932E0"/>
    <w:rsid w:val="002937F9"/>
    <w:rsid w:val="00293C63"/>
    <w:rsid w:val="00294CFF"/>
    <w:rsid w:val="002957A9"/>
    <w:rsid w:val="00296297"/>
    <w:rsid w:val="00296435"/>
    <w:rsid w:val="0029646C"/>
    <w:rsid w:val="00296DC3"/>
    <w:rsid w:val="00296E69"/>
    <w:rsid w:val="002A57A4"/>
    <w:rsid w:val="002B2A9A"/>
    <w:rsid w:val="002B3ACD"/>
    <w:rsid w:val="002C0290"/>
    <w:rsid w:val="002C0E89"/>
    <w:rsid w:val="002C1F64"/>
    <w:rsid w:val="002C2251"/>
    <w:rsid w:val="002C42F1"/>
    <w:rsid w:val="002C67E2"/>
    <w:rsid w:val="002C69DB"/>
    <w:rsid w:val="002C77BC"/>
    <w:rsid w:val="002C79E4"/>
    <w:rsid w:val="002C7F8D"/>
    <w:rsid w:val="002D1636"/>
    <w:rsid w:val="002D218D"/>
    <w:rsid w:val="002D3418"/>
    <w:rsid w:val="002D35D3"/>
    <w:rsid w:val="002D658C"/>
    <w:rsid w:val="002E08F5"/>
    <w:rsid w:val="002E4402"/>
    <w:rsid w:val="002E69A6"/>
    <w:rsid w:val="002E7DAF"/>
    <w:rsid w:val="002F05DB"/>
    <w:rsid w:val="002F11AE"/>
    <w:rsid w:val="002F149C"/>
    <w:rsid w:val="002F3E79"/>
    <w:rsid w:val="002F3FD4"/>
    <w:rsid w:val="002F7F66"/>
    <w:rsid w:val="00301EC2"/>
    <w:rsid w:val="00302D1D"/>
    <w:rsid w:val="00303B51"/>
    <w:rsid w:val="00304F86"/>
    <w:rsid w:val="0030530F"/>
    <w:rsid w:val="0030558C"/>
    <w:rsid w:val="0030627F"/>
    <w:rsid w:val="00307011"/>
    <w:rsid w:val="00312BF2"/>
    <w:rsid w:val="00313BD1"/>
    <w:rsid w:val="0031625C"/>
    <w:rsid w:val="003216FD"/>
    <w:rsid w:val="00322940"/>
    <w:rsid w:val="003229AA"/>
    <w:rsid w:val="00323901"/>
    <w:rsid w:val="00323FF1"/>
    <w:rsid w:val="003242D2"/>
    <w:rsid w:val="00324C0A"/>
    <w:rsid w:val="00325C10"/>
    <w:rsid w:val="003269CD"/>
    <w:rsid w:val="00327AAB"/>
    <w:rsid w:val="0033106A"/>
    <w:rsid w:val="003313BE"/>
    <w:rsid w:val="00332345"/>
    <w:rsid w:val="003328BD"/>
    <w:rsid w:val="003332AF"/>
    <w:rsid w:val="003333F5"/>
    <w:rsid w:val="0033448F"/>
    <w:rsid w:val="00336768"/>
    <w:rsid w:val="00336E26"/>
    <w:rsid w:val="003412DC"/>
    <w:rsid w:val="00342FC9"/>
    <w:rsid w:val="003433AB"/>
    <w:rsid w:val="00343A1B"/>
    <w:rsid w:val="00343EA6"/>
    <w:rsid w:val="0034729F"/>
    <w:rsid w:val="00347380"/>
    <w:rsid w:val="00347ABE"/>
    <w:rsid w:val="00351600"/>
    <w:rsid w:val="003526D3"/>
    <w:rsid w:val="00352A37"/>
    <w:rsid w:val="00355B76"/>
    <w:rsid w:val="003567D5"/>
    <w:rsid w:val="003570F6"/>
    <w:rsid w:val="00357DA4"/>
    <w:rsid w:val="00362231"/>
    <w:rsid w:val="00363C3E"/>
    <w:rsid w:val="0036497C"/>
    <w:rsid w:val="00364DB8"/>
    <w:rsid w:val="00365485"/>
    <w:rsid w:val="00365707"/>
    <w:rsid w:val="00365ADF"/>
    <w:rsid w:val="00366209"/>
    <w:rsid w:val="00367A9D"/>
    <w:rsid w:val="003722D5"/>
    <w:rsid w:val="00374DBE"/>
    <w:rsid w:val="00374EF5"/>
    <w:rsid w:val="00376AB5"/>
    <w:rsid w:val="00376FD4"/>
    <w:rsid w:val="00377C91"/>
    <w:rsid w:val="0038715C"/>
    <w:rsid w:val="003873EE"/>
    <w:rsid w:val="00390597"/>
    <w:rsid w:val="00390E65"/>
    <w:rsid w:val="00393705"/>
    <w:rsid w:val="00393A96"/>
    <w:rsid w:val="00395FAC"/>
    <w:rsid w:val="00396732"/>
    <w:rsid w:val="003A0C0D"/>
    <w:rsid w:val="003A271A"/>
    <w:rsid w:val="003A3291"/>
    <w:rsid w:val="003A358A"/>
    <w:rsid w:val="003A3951"/>
    <w:rsid w:val="003A4C15"/>
    <w:rsid w:val="003A500E"/>
    <w:rsid w:val="003A5CED"/>
    <w:rsid w:val="003B2A9F"/>
    <w:rsid w:val="003B2B6C"/>
    <w:rsid w:val="003B55ED"/>
    <w:rsid w:val="003B74E9"/>
    <w:rsid w:val="003C1016"/>
    <w:rsid w:val="003C41F2"/>
    <w:rsid w:val="003C47C6"/>
    <w:rsid w:val="003C6D45"/>
    <w:rsid w:val="003C700C"/>
    <w:rsid w:val="003C7D06"/>
    <w:rsid w:val="003D0A16"/>
    <w:rsid w:val="003D1F25"/>
    <w:rsid w:val="003D20DD"/>
    <w:rsid w:val="003D2DE3"/>
    <w:rsid w:val="003D36E9"/>
    <w:rsid w:val="003D5696"/>
    <w:rsid w:val="003D5B35"/>
    <w:rsid w:val="003D7270"/>
    <w:rsid w:val="003E5353"/>
    <w:rsid w:val="003E5662"/>
    <w:rsid w:val="003E64C5"/>
    <w:rsid w:val="003F18D4"/>
    <w:rsid w:val="003F1A97"/>
    <w:rsid w:val="003F1AF9"/>
    <w:rsid w:val="00402A8F"/>
    <w:rsid w:val="00402E52"/>
    <w:rsid w:val="00403373"/>
    <w:rsid w:val="00403AE4"/>
    <w:rsid w:val="0040581C"/>
    <w:rsid w:val="00406A94"/>
    <w:rsid w:val="004070A9"/>
    <w:rsid w:val="00407CD0"/>
    <w:rsid w:val="00411455"/>
    <w:rsid w:val="004120B2"/>
    <w:rsid w:val="004128C3"/>
    <w:rsid w:val="00412C0B"/>
    <w:rsid w:val="00416A06"/>
    <w:rsid w:val="004207D7"/>
    <w:rsid w:val="00420E93"/>
    <w:rsid w:val="00420F69"/>
    <w:rsid w:val="004218BD"/>
    <w:rsid w:val="00423A95"/>
    <w:rsid w:val="00424431"/>
    <w:rsid w:val="0042496B"/>
    <w:rsid w:val="00426ACD"/>
    <w:rsid w:val="00426D9B"/>
    <w:rsid w:val="00427249"/>
    <w:rsid w:val="0042770B"/>
    <w:rsid w:val="00431CFE"/>
    <w:rsid w:val="00440DE0"/>
    <w:rsid w:val="00441257"/>
    <w:rsid w:val="00442444"/>
    <w:rsid w:val="004454CF"/>
    <w:rsid w:val="0044728E"/>
    <w:rsid w:val="00447FF1"/>
    <w:rsid w:val="0045063A"/>
    <w:rsid w:val="00454D0B"/>
    <w:rsid w:val="00456454"/>
    <w:rsid w:val="0045646D"/>
    <w:rsid w:val="0045790D"/>
    <w:rsid w:val="004602AC"/>
    <w:rsid w:val="00462D9D"/>
    <w:rsid w:val="004633D2"/>
    <w:rsid w:val="00466E0F"/>
    <w:rsid w:val="00471344"/>
    <w:rsid w:val="00471DD6"/>
    <w:rsid w:val="0047221D"/>
    <w:rsid w:val="004742DF"/>
    <w:rsid w:val="00476FDD"/>
    <w:rsid w:val="00477B83"/>
    <w:rsid w:val="00480BB9"/>
    <w:rsid w:val="004825F7"/>
    <w:rsid w:val="00482B0A"/>
    <w:rsid w:val="00483650"/>
    <w:rsid w:val="00485006"/>
    <w:rsid w:val="00487A4B"/>
    <w:rsid w:val="004904BF"/>
    <w:rsid w:val="00492AF6"/>
    <w:rsid w:val="00494886"/>
    <w:rsid w:val="00495A6C"/>
    <w:rsid w:val="00495EBA"/>
    <w:rsid w:val="00495FD3"/>
    <w:rsid w:val="00497DA1"/>
    <w:rsid w:val="004A2ADA"/>
    <w:rsid w:val="004A3D7C"/>
    <w:rsid w:val="004A5109"/>
    <w:rsid w:val="004B088C"/>
    <w:rsid w:val="004B0996"/>
    <w:rsid w:val="004B1E60"/>
    <w:rsid w:val="004B3683"/>
    <w:rsid w:val="004B3CCB"/>
    <w:rsid w:val="004B657E"/>
    <w:rsid w:val="004B717C"/>
    <w:rsid w:val="004C0036"/>
    <w:rsid w:val="004C0190"/>
    <w:rsid w:val="004C3A75"/>
    <w:rsid w:val="004C6AE7"/>
    <w:rsid w:val="004C6D83"/>
    <w:rsid w:val="004D23FC"/>
    <w:rsid w:val="004D25B2"/>
    <w:rsid w:val="004D2CCB"/>
    <w:rsid w:val="004D3808"/>
    <w:rsid w:val="004D41E6"/>
    <w:rsid w:val="004D460F"/>
    <w:rsid w:val="004D4934"/>
    <w:rsid w:val="004D570C"/>
    <w:rsid w:val="004D6095"/>
    <w:rsid w:val="004D7F04"/>
    <w:rsid w:val="004D7F9B"/>
    <w:rsid w:val="004E01BE"/>
    <w:rsid w:val="004E1500"/>
    <w:rsid w:val="004E3375"/>
    <w:rsid w:val="004E3516"/>
    <w:rsid w:val="004E3663"/>
    <w:rsid w:val="004E424E"/>
    <w:rsid w:val="004E6672"/>
    <w:rsid w:val="004E7081"/>
    <w:rsid w:val="004E70BA"/>
    <w:rsid w:val="004F0A32"/>
    <w:rsid w:val="004F1C4A"/>
    <w:rsid w:val="004F2ECC"/>
    <w:rsid w:val="004F586F"/>
    <w:rsid w:val="004F6F63"/>
    <w:rsid w:val="00500D04"/>
    <w:rsid w:val="00500D93"/>
    <w:rsid w:val="00503BA9"/>
    <w:rsid w:val="00506228"/>
    <w:rsid w:val="005069EE"/>
    <w:rsid w:val="00507C08"/>
    <w:rsid w:val="00512C3B"/>
    <w:rsid w:val="00514EFB"/>
    <w:rsid w:val="00515392"/>
    <w:rsid w:val="0051543A"/>
    <w:rsid w:val="00516599"/>
    <w:rsid w:val="00517E9B"/>
    <w:rsid w:val="00521408"/>
    <w:rsid w:val="0052196C"/>
    <w:rsid w:val="00524B38"/>
    <w:rsid w:val="00524BE1"/>
    <w:rsid w:val="00524C2B"/>
    <w:rsid w:val="00526C4E"/>
    <w:rsid w:val="0052732A"/>
    <w:rsid w:val="0052761D"/>
    <w:rsid w:val="005315EB"/>
    <w:rsid w:val="0053332B"/>
    <w:rsid w:val="00535614"/>
    <w:rsid w:val="00535BFA"/>
    <w:rsid w:val="00536372"/>
    <w:rsid w:val="00542667"/>
    <w:rsid w:val="005427A5"/>
    <w:rsid w:val="005430FE"/>
    <w:rsid w:val="00543FF2"/>
    <w:rsid w:val="00546839"/>
    <w:rsid w:val="0055350C"/>
    <w:rsid w:val="00553BBD"/>
    <w:rsid w:val="00553CCE"/>
    <w:rsid w:val="005547EB"/>
    <w:rsid w:val="005548F9"/>
    <w:rsid w:val="00555098"/>
    <w:rsid w:val="00560348"/>
    <w:rsid w:val="00560D28"/>
    <w:rsid w:val="00561460"/>
    <w:rsid w:val="00562108"/>
    <w:rsid w:val="00564001"/>
    <w:rsid w:val="0056559C"/>
    <w:rsid w:val="005665B2"/>
    <w:rsid w:val="005700C2"/>
    <w:rsid w:val="00571FA0"/>
    <w:rsid w:val="00571FCD"/>
    <w:rsid w:val="005732A7"/>
    <w:rsid w:val="0057387B"/>
    <w:rsid w:val="00574800"/>
    <w:rsid w:val="00574A09"/>
    <w:rsid w:val="00574CAE"/>
    <w:rsid w:val="005760F7"/>
    <w:rsid w:val="00577475"/>
    <w:rsid w:val="005800BB"/>
    <w:rsid w:val="00580E49"/>
    <w:rsid w:val="005818B9"/>
    <w:rsid w:val="00584A71"/>
    <w:rsid w:val="005867F2"/>
    <w:rsid w:val="00590B66"/>
    <w:rsid w:val="005914FF"/>
    <w:rsid w:val="00594F6A"/>
    <w:rsid w:val="00595F11"/>
    <w:rsid w:val="00596B78"/>
    <w:rsid w:val="005973DA"/>
    <w:rsid w:val="005A04A5"/>
    <w:rsid w:val="005A0F53"/>
    <w:rsid w:val="005A11ED"/>
    <w:rsid w:val="005A19A5"/>
    <w:rsid w:val="005A2A56"/>
    <w:rsid w:val="005A388A"/>
    <w:rsid w:val="005A4625"/>
    <w:rsid w:val="005A5E49"/>
    <w:rsid w:val="005A73AE"/>
    <w:rsid w:val="005B19A9"/>
    <w:rsid w:val="005B1DA7"/>
    <w:rsid w:val="005B1E0A"/>
    <w:rsid w:val="005B2816"/>
    <w:rsid w:val="005B7FC9"/>
    <w:rsid w:val="005C20BB"/>
    <w:rsid w:val="005C3553"/>
    <w:rsid w:val="005C5586"/>
    <w:rsid w:val="005C70B1"/>
    <w:rsid w:val="005C713B"/>
    <w:rsid w:val="005C73E4"/>
    <w:rsid w:val="005C7760"/>
    <w:rsid w:val="005C7BB8"/>
    <w:rsid w:val="005D0135"/>
    <w:rsid w:val="005D0725"/>
    <w:rsid w:val="005D40F1"/>
    <w:rsid w:val="005D491C"/>
    <w:rsid w:val="005D5651"/>
    <w:rsid w:val="005D68FA"/>
    <w:rsid w:val="005D6F22"/>
    <w:rsid w:val="005E0FDF"/>
    <w:rsid w:val="005E3C9E"/>
    <w:rsid w:val="005E42DE"/>
    <w:rsid w:val="005E5309"/>
    <w:rsid w:val="005E5BF6"/>
    <w:rsid w:val="005E6D7C"/>
    <w:rsid w:val="005F094F"/>
    <w:rsid w:val="005F0AF6"/>
    <w:rsid w:val="005F1447"/>
    <w:rsid w:val="005F17D7"/>
    <w:rsid w:val="005F1CF1"/>
    <w:rsid w:val="005F2104"/>
    <w:rsid w:val="005F26A5"/>
    <w:rsid w:val="005F2A2D"/>
    <w:rsid w:val="005F5365"/>
    <w:rsid w:val="005F667E"/>
    <w:rsid w:val="005F670B"/>
    <w:rsid w:val="005F704D"/>
    <w:rsid w:val="00603395"/>
    <w:rsid w:val="00603F96"/>
    <w:rsid w:val="0060499E"/>
    <w:rsid w:val="00605891"/>
    <w:rsid w:val="006071F3"/>
    <w:rsid w:val="00610CB1"/>
    <w:rsid w:val="006121C4"/>
    <w:rsid w:val="00612221"/>
    <w:rsid w:val="00612675"/>
    <w:rsid w:val="00612688"/>
    <w:rsid w:val="006133D2"/>
    <w:rsid w:val="0062109B"/>
    <w:rsid w:val="006228F8"/>
    <w:rsid w:val="006256C6"/>
    <w:rsid w:val="00625D01"/>
    <w:rsid w:val="00625EBE"/>
    <w:rsid w:val="00626972"/>
    <w:rsid w:val="00626C32"/>
    <w:rsid w:val="00630C62"/>
    <w:rsid w:val="00631AF0"/>
    <w:rsid w:val="006334F8"/>
    <w:rsid w:val="00641CB9"/>
    <w:rsid w:val="00642014"/>
    <w:rsid w:val="0064304E"/>
    <w:rsid w:val="00645165"/>
    <w:rsid w:val="00645A49"/>
    <w:rsid w:val="006466E6"/>
    <w:rsid w:val="00647421"/>
    <w:rsid w:val="00647890"/>
    <w:rsid w:val="006503AC"/>
    <w:rsid w:val="0065051F"/>
    <w:rsid w:val="00651A97"/>
    <w:rsid w:val="00652F6D"/>
    <w:rsid w:val="0065441F"/>
    <w:rsid w:val="006548E6"/>
    <w:rsid w:val="00657009"/>
    <w:rsid w:val="00657047"/>
    <w:rsid w:val="0065794A"/>
    <w:rsid w:val="006603FB"/>
    <w:rsid w:val="00661795"/>
    <w:rsid w:val="0066294F"/>
    <w:rsid w:val="00662A67"/>
    <w:rsid w:val="00666109"/>
    <w:rsid w:val="00671CD1"/>
    <w:rsid w:val="00672003"/>
    <w:rsid w:val="00672435"/>
    <w:rsid w:val="00672979"/>
    <w:rsid w:val="00673EC9"/>
    <w:rsid w:val="00674B74"/>
    <w:rsid w:val="00674E5B"/>
    <w:rsid w:val="00675602"/>
    <w:rsid w:val="00675DB2"/>
    <w:rsid w:val="00675F8F"/>
    <w:rsid w:val="00680DF0"/>
    <w:rsid w:val="006810BB"/>
    <w:rsid w:val="00682378"/>
    <w:rsid w:val="00685822"/>
    <w:rsid w:val="00686152"/>
    <w:rsid w:val="00686485"/>
    <w:rsid w:val="00686B9C"/>
    <w:rsid w:val="00691217"/>
    <w:rsid w:val="00691AD5"/>
    <w:rsid w:val="006962A8"/>
    <w:rsid w:val="0069644D"/>
    <w:rsid w:val="006A1BED"/>
    <w:rsid w:val="006A4638"/>
    <w:rsid w:val="006A4BA5"/>
    <w:rsid w:val="006A5156"/>
    <w:rsid w:val="006A7CE5"/>
    <w:rsid w:val="006B141F"/>
    <w:rsid w:val="006B28EE"/>
    <w:rsid w:val="006B3F9E"/>
    <w:rsid w:val="006B4772"/>
    <w:rsid w:val="006B6FE0"/>
    <w:rsid w:val="006C04FC"/>
    <w:rsid w:val="006C0FA0"/>
    <w:rsid w:val="006C1AA8"/>
    <w:rsid w:val="006C2217"/>
    <w:rsid w:val="006C30DE"/>
    <w:rsid w:val="006C31CA"/>
    <w:rsid w:val="006C359B"/>
    <w:rsid w:val="006C4BED"/>
    <w:rsid w:val="006C53D2"/>
    <w:rsid w:val="006C6203"/>
    <w:rsid w:val="006C6A22"/>
    <w:rsid w:val="006C795D"/>
    <w:rsid w:val="006D0603"/>
    <w:rsid w:val="006D18DE"/>
    <w:rsid w:val="006E23CD"/>
    <w:rsid w:val="006E6AF8"/>
    <w:rsid w:val="006F0E7E"/>
    <w:rsid w:val="006F2504"/>
    <w:rsid w:val="006F4850"/>
    <w:rsid w:val="007014F3"/>
    <w:rsid w:val="0070264A"/>
    <w:rsid w:val="0070349B"/>
    <w:rsid w:val="007037DD"/>
    <w:rsid w:val="007049A4"/>
    <w:rsid w:val="00711719"/>
    <w:rsid w:val="0071315E"/>
    <w:rsid w:val="00714984"/>
    <w:rsid w:val="00715B04"/>
    <w:rsid w:val="00717563"/>
    <w:rsid w:val="00720DC2"/>
    <w:rsid w:val="00721294"/>
    <w:rsid w:val="00725A68"/>
    <w:rsid w:val="00727265"/>
    <w:rsid w:val="00730AB3"/>
    <w:rsid w:val="00732425"/>
    <w:rsid w:val="00733D1E"/>
    <w:rsid w:val="00733ED9"/>
    <w:rsid w:val="00734F2C"/>
    <w:rsid w:val="0073521A"/>
    <w:rsid w:val="007352EF"/>
    <w:rsid w:val="00735B24"/>
    <w:rsid w:val="007363CC"/>
    <w:rsid w:val="0073761F"/>
    <w:rsid w:val="00741199"/>
    <w:rsid w:val="00741706"/>
    <w:rsid w:val="00741988"/>
    <w:rsid w:val="00742BE4"/>
    <w:rsid w:val="0074488A"/>
    <w:rsid w:val="0074530F"/>
    <w:rsid w:val="00745D38"/>
    <w:rsid w:val="00747A8B"/>
    <w:rsid w:val="007507CB"/>
    <w:rsid w:val="00750F54"/>
    <w:rsid w:val="00753CAC"/>
    <w:rsid w:val="00757035"/>
    <w:rsid w:val="007576E3"/>
    <w:rsid w:val="00757D9D"/>
    <w:rsid w:val="007600AC"/>
    <w:rsid w:val="00761E10"/>
    <w:rsid w:val="007640FB"/>
    <w:rsid w:val="007650DE"/>
    <w:rsid w:val="00765B04"/>
    <w:rsid w:val="00767850"/>
    <w:rsid w:val="00772F15"/>
    <w:rsid w:val="007755B6"/>
    <w:rsid w:val="00776570"/>
    <w:rsid w:val="0077765E"/>
    <w:rsid w:val="007803FF"/>
    <w:rsid w:val="00780F24"/>
    <w:rsid w:val="0078324E"/>
    <w:rsid w:val="00785DFE"/>
    <w:rsid w:val="00786152"/>
    <w:rsid w:val="00787D5F"/>
    <w:rsid w:val="00787E97"/>
    <w:rsid w:val="007916FB"/>
    <w:rsid w:val="00792C57"/>
    <w:rsid w:val="00792D08"/>
    <w:rsid w:val="007952D3"/>
    <w:rsid w:val="0079643C"/>
    <w:rsid w:val="0079710F"/>
    <w:rsid w:val="00797C09"/>
    <w:rsid w:val="007A0273"/>
    <w:rsid w:val="007A0D15"/>
    <w:rsid w:val="007A1349"/>
    <w:rsid w:val="007A18FD"/>
    <w:rsid w:val="007A205D"/>
    <w:rsid w:val="007A22C1"/>
    <w:rsid w:val="007A3567"/>
    <w:rsid w:val="007A397E"/>
    <w:rsid w:val="007A3FE5"/>
    <w:rsid w:val="007A7801"/>
    <w:rsid w:val="007B0E83"/>
    <w:rsid w:val="007B1C50"/>
    <w:rsid w:val="007B5175"/>
    <w:rsid w:val="007B5948"/>
    <w:rsid w:val="007C012A"/>
    <w:rsid w:val="007C0378"/>
    <w:rsid w:val="007C18C3"/>
    <w:rsid w:val="007C2283"/>
    <w:rsid w:val="007C23A0"/>
    <w:rsid w:val="007C27A1"/>
    <w:rsid w:val="007C33FE"/>
    <w:rsid w:val="007C378E"/>
    <w:rsid w:val="007C49D9"/>
    <w:rsid w:val="007C5B1E"/>
    <w:rsid w:val="007C6F06"/>
    <w:rsid w:val="007C7BB4"/>
    <w:rsid w:val="007C7ED2"/>
    <w:rsid w:val="007D1217"/>
    <w:rsid w:val="007D1730"/>
    <w:rsid w:val="007D2042"/>
    <w:rsid w:val="007D4230"/>
    <w:rsid w:val="007D4B39"/>
    <w:rsid w:val="007D4D7B"/>
    <w:rsid w:val="007D5B49"/>
    <w:rsid w:val="007D7B10"/>
    <w:rsid w:val="007D7D99"/>
    <w:rsid w:val="007E0289"/>
    <w:rsid w:val="007E21C3"/>
    <w:rsid w:val="007E58D7"/>
    <w:rsid w:val="007E5AC6"/>
    <w:rsid w:val="007E5F2D"/>
    <w:rsid w:val="007E70C0"/>
    <w:rsid w:val="007E7510"/>
    <w:rsid w:val="007F1D39"/>
    <w:rsid w:val="007F2318"/>
    <w:rsid w:val="007F6065"/>
    <w:rsid w:val="007F6B43"/>
    <w:rsid w:val="007F7443"/>
    <w:rsid w:val="007F74AD"/>
    <w:rsid w:val="00800EE9"/>
    <w:rsid w:val="0080182E"/>
    <w:rsid w:val="00802693"/>
    <w:rsid w:val="00805B1D"/>
    <w:rsid w:val="00806080"/>
    <w:rsid w:val="00812E73"/>
    <w:rsid w:val="0081631A"/>
    <w:rsid w:val="00816E34"/>
    <w:rsid w:val="008200F1"/>
    <w:rsid w:val="00820E6A"/>
    <w:rsid w:val="0082297E"/>
    <w:rsid w:val="0082467C"/>
    <w:rsid w:val="00826D3D"/>
    <w:rsid w:val="00826E9F"/>
    <w:rsid w:val="00827B42"/>
    <w:rsid w:val="0083232E"/>
    <w:rsid w:val="00833881"/>
    <w:rsid w:val="00834026"/>
    <w:rsid w:val="00836F81"/>
    <w:rsid w:val="00837950"/>
    <w:rsid w:val="008405E8"/>
    <w:rsid w:val="008421EA"/>
    <w:rsid w:val="00842A1E"/>
    <w:rsid w:val="008529BA"/>
    <w:rsid w:val="008529D0"/>
    <w:rsid w:val="00855B7C"/>
    <w:rsid w:val="00857195"/>
    <w:rsid w:val="008600D4"/>
    <w:rsid w:val="008621D6"/>
    <w:rsid w:val="0086378A"/>
    <w:rsid w:val="00865468"/>
    <w:rsid w:val="0086672A"/>
    <w:rsid w:val="0086676A"/>
    <w:rsid w:val="00866947"/>
    <w:rsid w:val="00866E99"/>
    <w:rsid w:val="00871BD1"/>
    <w:rsid w:val="00872D79"/>
    <w:rsid w:val="00872DAC"/>
    <w:rsid w:val="00874832"/>
    <w:rsid w:val="00877422"/>
    <w:rsid w:val="00877DF8"/>
    <w:rsid w:val="008800E2"/>
    <w:rsid w:val="00880302"/>
    <w:rsid w:val="00881248"/>
    <w:rsid w:val="00882621"/>
    <w:rsid w:val="00884A91"/>
    <w:rsid w:val="00884AF0"/>
    <w:rsid w:val="0088537C"/>
    <w:rsid w:val="00885A66"/>
    <w:rsid w:val="00890489"/>
    <w:rsid w:val="00890A16"/>
    <w:rsid w:val="00890D74"/>
    <w:rsid w:val="008911A6"/>
    <w:rsid w:val="008944E8"/>
    <w:rsid w:val="0089543C"/>
    <w:rsid w:val="00895927"/>
    <w:rsid w:val="00896EEF"/>
    <w:rsid w:val="00897615"/>
    <w:rsid w:val="00897B81"/>
    <w:rsid w:val="008A0D3A"/>
    <w:rsid w:val="008A0EF2"/>
    <w:rsid w:val="008A1B60"/>
    <w:rsid w:val="008A3D32"/>
    <w:rsid w:val="008A5870"/>
    <w:rsid w:val="008A58F2"/>
    <w:rsid w:val="008A5DD5"/>
    <w:rsid w:val="008A663F"/>
    <w:rsid w:val="008A7345"/>
    <w:rsid w:val="008B02F9"/>
    <w:rsid w:val="008B09DB"/>
    <w:rsid w:val="008B17DC"/>
    <w:rsid w:val="008B4B9B"/>
    <w:rsid w:val="008B5390"/>
    <w:rsid w:val="008B7DD7"/>
    <w:rsid w:val="008B7E7E"/>
    <w:rsid w:val="008C117F"/>
    <w:rsid w:val="008C15A7"/>
    <w:rsid w:val="008C1637"/>
    <w:rsid w:val="008C1D70"/>
    <w:rsid w:val="008C2770"/>
    <w:rsid w:val="008C2B87"/>
    <w:rsid w:val="008C38FE"/>
    <w:rsid w:val="008C40CD"/>
    <w:rsid w:val="008C4162"/>
    <w:rsid w:val="008C628F"/>
    <w:rsid w:val="008C6FFC"/>
    <w:rsid w:val="008D027A"/>
    <w:rsid w:val="008D2C3B"/>
    <w:rsid w:val="008D2F4A"/>
    <w:rsid w:val="008D3224"/>
    <w:rsid w:val="008D32B2"/>
    <w:rsid w:val="008D3896"/>
    <w:rsid w:val="008D3FB6"/>
    <w:rsid w:val="008D4C5D"/>
    <w:rsid w:val="008D64ED"/>
    <w:rsid w:val="008D6F4C"/>
    <w:rsid w:val="008E02E5"/>
    <w:rsid w:val="008E0BCD"/>
    <w:rsid w:val="008E1131"/>
    <w:rsid w:val="008E2372"/>
    <w:rsid w:val="008E45F9"/>
    <w:rsid w:val="008E5DE5"/>
    <w:rsid w:val="008E613F"/>
    <w:rsid w:val="008E74ED"/>
    <w:rsid w:val="008E7D39"/>
    <w:rsid w:val="008F5498"/>
    <w:rsid w:val="008F5790"/>
    <w:rsid w:val="008F5EC2"/>
    <w:rsid w:val="00901DA5"/>
    <w:rsid w:val="00902FB5"/>
    <w:rsid w:val="0090335E"/>
    <w:rsid w:val="009042F5"/>
    <w:rsid w:val="00904421"/>
    <w:rsid w:val="00905A06"/>
    <w:rsid w:val="00905BF1"/>
    <w:rsid w:val="00906AC9"/>
    <w:rsid w:val="00906D49"/>
    <w:rsid w:val="009070F5"/>
    <w:rsid w:val="00910100"/>
    <w:rsid w:val="00910101"/>
    <w:rsid w:val="009123E3"/>
    <w:rsid w:val="009125B8"/>
    <w:rsid w:val="00913ECD"/>
    <w:rsid w:val="009149F1"/>
    <w:rsid w:val="00914CC9"/>
    <w:rsid w:val="0091566F"/>
    <w:rsid w:val="00915994"/>
    <w:rsid w:val="00922335"/>
    <w:rsid w:val="00923493"/>
    <w:rsid w:val="00923E1F"/>
    <w:rsid w:val="00924C24"/>
    <w:rsid w:val="0093033C"/>
    <w:rsid w:val="0093035C"/>
    <w:rsid w:val="00930C1D"/>
    <w:rsid w:val="009356C5"/>
    <w:rsid w:val="009360BD"/>
    <w:rsid w:val="00940BA5"/>
    <w:rsid w:val="00941A7F"/>
    <w:rsid w:val="00942C0F"/>
    <w:rsid w:val="009437DF"/>
    <w:rsid w:val="00944238"/>
    <w:rsid w:val="00944599"/>
    <w:rsid w:val="00944D7A"/>
    <w:rsid w:val="00946AE0"/>
    <w:rsid w:val="009475E3"/>
    <w:rsid w:val="00950B11"/>
    <w:rsid w:val="0095322A"/>
    <w:rsid w:val="009553F5"/>
    <w:rsid w:val="00960E91"/>
    <w:rsid w:val="00962B76"/>
    <w:rsid w:val="009652C4"/>
    <w:rsid w:val="00966987"/>
    <w:rsid w:val="009669B2"/>
    <w:rsid w:val="00966D2A"/>
    <w:rsid w:val="009676B9"/>
    <w:rsid w:val="00967B60"/>
    <w:rsid w:val="009700A3"/>
    <w:rsid w:val="00970DE9"/>
    <w:rsid w:val="00971675"/>
    <w:rsid w:val="009746D4"/>
    <w:rsid w:val="00980B86"/>
    <w:rsid w:val="00982FFF"/>
    <w:rsid w:val="00983F35"/>
    <w:rsid w:val="00985B59"/>
    <w:rsid w:val="009861AA"/>
    <w:rsid w:val="00986A2A"/>
    <w:rsid w:val="009877F0"/>
    <w:rsid w:val="00987DF2"/>
    <w:rsid w:val="009901D6"/>
    <w:rsid w:val="00992087"/>
    <w:rsid w:val="00992710"/>
    <w:rsid w:val="0099305E"/>
    <w:rsid w:val="0099396D"/>
    <w:rsid w:val="009955A7"/>
    <w:rsid w:val="00996838"/>
    <w:rsid w:val="00996B0A"/>
    <w:rsid w:val="009A4BDC"/>
    <w:rsid w:val="009A595E"/>
    <w:rsid w:val="009B10B3"/>
    <w:rsid w:val="009B12D4"/>
    <w:rsid w:val="009B242B"/>
    <w:rsid w:val="009B252C"/>
    <w:rsid w:val="009B26CA"/>
    <w:rsid w:val="009C12D8"/>
    <w:rsid w:val="009C4227"/>
    <w:rsid w:val="009C5C8D"/>
    <w:rsid w:val="009D4730"/>
    <w:rsid w:val="009D4E9E"/>
    <w:rsid w:val="009E2539"/>
    <w:rsid w:val="009E3171"/>
    <w:rsid w:val="009E39CE"/>
    <w:rsid w:val="009E404E"/>
    <w:rsid w:val="009E42BE"/>
    <w:rsid w:val="009E5220"/>
    <w:rsid w:val="009E5C88"/>
    <w:rsid w:val="009E65BD"/>
    <w:rsid w:val="009E6F97"/>
    <w:rsid w:val="009E7E4D"/>
    <w:rsid w:val="009F3211"/>
    <w:rsid w:val="009F3F34"/>
    <w:rsid w:val="009F46E7"/>
    <w:rsid w:val="009F4803"/>
    <w:rsid w:val="009F5430"/>
    <w:rsid w:val="009F6BB3"/>
    <w:rsid w:val="00A00373"/>
    <w:rsid w:val="00A01333"/>
    <w:rsid w:val="00A01A7F"/>
    <w:rsid w:val="00A01FB2"/>
    <w:rsid w:val="00A02378"/>
    <w:rsid w:val="00A0761D"/>
    <w:rsid w:val="00A07733"/>
    <w:rsid w:val="00A10D48"/>
    <w:rsid w:val="00A12816"/>
    <w:rsid w:val="00A1281A"/>
    <w:rsid w:val="00A12B40"/>
    <w:rsid w:val="00A12FF4"/>
    <w:rsid w:val="00A131A7"/>
    <w:rsid w:val="00A15421"/>
    <w:rsid w:val="00A162E6"/>
    <w:rsid w:val="00A17D1D"/>
    <w:rsid w:val="00A20966"/>
    <w:rsid w:val="00A2158C"/>
    <w:rsid w:val="00A22AD9"/>
    <w:rsid w:val="00A240E5"/>
    <w:rsid w:val="00A26EC4"/>
    <w:rsid w:val="00A2764A"/>
    <w:rsid w:val="00A30A15"/>
    <w:rsid w:val="00A310F5"/>
    <w:rsid w:val="00A31BE9"/>
    <w:rsid w:val="00A33432"/>
    <w:rsid w:val="00A33BCC"/>
    <w:rsid w:val="00A3491E"/>
    <w:rsid w:val="00A358C3"/>
    <w:rsid w:val="00A36D4D"/>
    <w:rsid w:val="00A37E7E"/>
    <w:rsid w:val="00A40509"/>
    <w:rsid w:val="00A40923"/>
    <w:rsid w:val="00A41806"/>
    <w:rsid w:val="00A42134"/>
    <w:rsid w:val="00A423BA"/>
    <w:rsid w:val="00A428C2"/>
    <w:rsid w:val="00A429E8"/>
    <w:rsid w:val="00A43AF6"/>
    <w:rsid w:val="00A45C77"/>
    <w:rsid w:val="00A4716C"/>
    <w:rsid w:val="00A47610"/>
    <w:rsid w:val="00A54427"/>
    <w:rsid w:val="00A573A9"/>
    <w:rsid w:val="00A5794C"/>
    <w:rsid w:val="00A60B79"/>
    <w:rsid w:val="00A60B94"/>
    <w:rsid w:val="00A611D5"/>
    <w:rsid w:val="00A64421"/>
    <w:rsid w:val="00A64906"/>
    <w:rsid w:val="00A64D50"/>
    <w:rsid w:val="00A650BA"/>
    <w:rsid w:val="00A65E59"/>
    <w:rsid w:val="00A66E8D"/>
    <w:rsid w:val="00A672A0"/>
    <w:rsid w:val="00A67535"/>
    <w:rsid w:val="00A67927"/>
    <w:rsid w:val="00A70BB3"/>
    <w:rsid w:val="00A710D4"/>
    <w:rsid w:val="00A715A3"/>
    <w:rsid w:val="00A7238F"/>
    <w:rsid w:val="00A725A4"/>
    <w:rsid w:val="00A73D3E"/>
    <w:rsid w:val="00A73E3E"/>
    <w:rsid w:val="00A76CA1"/>
    <w:rsid w:val="00A811CF"/>
    <w:rsid w:val="00A84BBC"/>
    <w:rsid w:val="00A90260"/>
    <w:rsid w:val="00A91F48"/>
    <w:rsid w:val="00A93100"/>
    <w:rsid w:val="00A935E7"/>
    <w:rsid w:val="00A939BC"/>
    <w:rsid w:val="00A9414D"/>
    <w:rsid w:val="00A9492D"/>
    <w:rsid w:val="00A955D9"/>
    <w:rsid w:val="00A96427"/>
    <w:rsid w:val="00A97AE9"/>
    <w:rsid w:val="00A97C13"/>
    <w:rsid w:val="00AA022A"/>
    <w:rsid w:val="00AA04DF"/>
    <w:rsid w:val="00AA2A48"/>
    <w:rsid w:val="00AA43E4"/>
    <w:rsid w:val="00AA6018"/>
    <w:rsid w:val="00AA64FB"/>
    <w:rsid w:val="00AB0406"/>
    <w:rsid w:val="00AB226A"/>
    <w:rsid w:val="00AB3442"/>
    <w:rsid w:val="00AB3647"/>
    <w:rsid w:val="00AB370F"/>
    <w:rsid w:val="00AB3AB7"/>
    <w:rsid w:val="00AB3C5A"/>
    <w:rsid w:val="00AB492E"/>
    <w:rsid w:val="00AB539C"/>
    <w:rsid w:val="00AB7BB9"/>
    <w:rsid w:val="00AB7CA5"/>
    <w:rsid w:val="00AC0714"/>
    <w:rsid w:val="00AC22AA"/>
    <w:rsid w:val="00AC2749"/>
    <w:rsid w:val="00AC4206"/>
    <w:rsid w:val="00AC5561"/>
    <w:rsid w:val="00AC7C49"/>
    <w:rsid w:val="00AC7CC2"/>
    <w:rsid w:val="00AD068D"/>
    <w:rsid w:val="00AD2FDA"/>
    <w:rsid w:val="00AD3862"/>
    <w:rsid w:val="00AD478E"/>
    <w:rsid w:val="00AD4C82"/>
    <w:rsid w:val="00AD56FF"/>
    <w:rsid w:val="00AD585B"/>
    <w:rsid w:val="00AD6369"/>
    <w:rsid w:val="00AD7490"/>
    <w:rsid w:val="00AE3BDB"/>
    <w:rsid w:val="00AE47C2"/>
    <w:rsid w:val="00AE5649"/>
    <w:rsid w:val="00AE5D0E"/>
    <w:rsid w:val="00AE6E55"/>
    <w:rsid w:val="00AF034B"/>
    <w:rsid w:val="00AF2C21"/>
    <w:rsid w:val="00AF319F"/>
    <w:rsid w:val="00AF424B"/>
    <w:rsid w:val="00AF4846"/>
    <w:rsid w:val="00AF77CA"/>
    <w:rsid w:val="00B022E4"/>
    <w:rsid w:val="00B02301"/>
    <w:rsid w:val="00B0277A"/>
    <w:rsid w:val="00B02802"/>
    <w:rsid w:val="00B0347E"/>
    <w:rsid w:val="00B043DB"/>
    <w:rsid w:val="00B06892"/>
    <w:rsid w:val="00B07D2B"/>
    <w:rsid w:val="00B10ED4"/>
    <w:rsid w:val="00B11FF4"/>
    <w:rsid w:val="00B1270A"/>
    <w:rsid w:val="00B12ACE"/>
    <w:rsid w:val="00B15265"/>
    <w:rsid w:val="00B20DCA"/>
    <w:rsid w:val="00B23D22"/>
    <w:rsid w:val="00B25502"/>
    <w:rsid w:val="00B267A3"/>
    <w:rsid w:val="00B2730F"/>
    <w:rsid w:val="00B30277"/>
    <w:rsid w:val="00B304CD"/>
    <w:rsid w:val="00B312AC"/>
    <w:rsid w:val="00B32109"/>
    <w:rsid w:val="00B3404C"/>
    <w:rsid w:val="00B341F1"/>
    <w:rsid w:val="00B35329"/>
    <w:rsid w:val="00B366B7"/>
    <w:rsid w:val="00B4067E"/>
    <w:rsid w:val="00B41A08"/>
    <w:rsid w:val="00B425A5"/>
    <w:rsid w:val="00B43350"/>
    <w:rsid w:val="00B4372D"/>
    <w:rsid w:val="00B440EB"/>
    <w:rsid w:val="00B44A30"/>
    <w:rsid w:val="00B4767E"/>
    <w:rsid w:val="00B47B56"/>
    <w:rsid w:val="00B50B2D"/>
    <w:rsid w:val="00B50C12"/>
    <w:rsid w:val="00B50F7D"/>
    <w:rsid w:val="00B50FBD"/>
    <w:rsid w:val="00B525AE"/>
    <w:rsid w:val="00B564FE"/>
    <w:rsid w:val="00B56B8D"/>
    <w:rsid w:val="00B602AB"/>
    <w:rsid w:val="00B61209"/>
    <w:rsid w:val="00B628D0"/>
    <w:rsid w:val="00B629CE"/>
    <w:rsid w:val="00B64636"/>
    <w:rsid w:val="00B64D46"/>
    <w:rsid w:val="00B65B18"/>
    <w:rsid w:val="00B65D30"/>
    <w:rsid w:val="00B6604D"/>
    <w:rsid w:val="00B664EF"/>
    <w:rsid w:val="00B6683A"/>
    <w:rsid w:val="00B74EBD"/>
    <w:rsid w:val="00B750D0"/>
    <w:rsid w:val="00B75420"/>
    <w:rsid w:val="00B75D7B"/>
    <w:rsid w:val="00B76F60"/>
    <w:rsid w:val="00B779A9"/>
    <w:rsid w:val="00B80383"/>
    <w:rsid w:val="00B81E8F"/>
    <w:rsid w:val="00B82EAA"/>
    <w:rsid w:val="00B82FC1"/>
    <w:rsid w:val="00B83763"/>
    <w:rsid w:val="00B83997"/>
    <w:rsid w:val="00B83F64"/>
    <w:rsid w:val="00B84D59"/>
    <w:rsid w:val="00B907FD"/>
    <w:rsid w:val="00B9184A"/>
    <w:rsid w:val="00B91BFB"/>
    <w:rsid w:val="00B922ED"/>
    <w:rsid w:val="00B947B5"/>
    <w:rsid w:val="00B94967"/>
    <w:rsid w:val="00BA0D03"/>
    <w:rsid w:val="00BA1D0A"/>
    <w:rsid w:val="00BA3AA3"/>
    <w:rsid w:val="00BA454E"/>
    <w:rsid w:val="00BA4CD6"/>
    <w:rsid w:val="00BA4E2C"/>
    <w:rsid w:val="00BA511A"/>
    <w:rsid w:val="00BA56DA"/>
    <w:rsid w:val="00BA5A9A"/>
    <w:rsid w:val="00BA61EE"/>
    <w:rsid w:val="00BA761C"/>
    <w:rsid w:val="00BB0A03"/>
    <w:rsid w:val="00BB4AFF"/>
    <w:rsid w:val="00BB626D"/>
    <w:rsid w:val="00BC3D9E"/>
    <w:rsid w:val="00BC62E7"/>
    <w:rsid w:val="00BC63F3"/>
    <w:rsid w:val="00BD0739"/>
    <w:rsid w:val="00BD0877"/>
    <w:rsid w:val="00BD12AB"/>
    <w:rsid w:val="00BD1A10"/>
    <w:rsid w:val="00BD1FB6"/>
    <w:rsid w:val="00BD3878"/>
    <w:rsid w:val="00BD3A19"/>
    <w:rsid w:val="00BD3F1E"/>
    <w:rsid w:val="00BD411C"/>
    <w:rsid w:val="00BD45C5"/>
    <w:rsid w:val="00BD4BF4"/>
    <w:rsid w:val="00BD65E6"/>
    <w:rsid w:val="00BD7127"/>
    <w:rsid w:val="00BE0ABA"/>
    <w:rsid w:val="00BE48B9"/>
    <w:rsid w:val="00BE63CA"/>
    <w:rsid w:val="00BE7BFD"/>
    <w:rsid w:val="00BF039D"/>
    <w:rsid w:val="00BF12B8"/>
    <w:rsid w:val="00BF3B58"/>
    <w:rsid w:val="00BF45FB"/>
    <w:rsid w:val="00BF4D3A"/>
    <w:rsid w:val="00BF65E6"/>
    <w:rsid w:val="00BF6D49"/>
    <w:rsid w:val="00BF6E58"/>
    <w:rsid w:val="00C00E04"/>
    <w:rsid w:val="00C01793"/>
    <w:rsid w:val="00C01E41"/>
    <w:rsid w:val="00C02C66"/>
    <w:rsid w:val="00C02DBF"/>
    <w:rsid w:val="00C03332"/>
    <w:rsid w:val="00C0430D"/>
    <w:rsid w:val="00C048DB"/>
    <w:rsid w:val="00C06014"/>
    <w:rsid w:val="00C06A62"/>
    <w:rsid w:val="00C071C9"/>
    <w:rsid w:val="00C07770"/>
    <w:rsid w:val="00C103D6"/>
    <w:rsid w:val="00C13597"/>
    <w:rsid w:val="00C13C8E"/>
    <w:rsid w:val="00C143E8"/>
    <w:rsid w:val="00C17668"/>
    <w:rsid w:val="00C22FDC"/>
    <w:rsid w:val="00C2441C"/>
    <w:rsid w:val="00C24D82"/>
    <w:rsid w:val="00C26338"/>
    <w:rsid w:val="00C2651E"/>
    <w:rsid w:val="00C32182"/>
    <w:rsid w:val="00C321EA"/>
    <w:rsid w:val="00C3357B"/>
    <w:rsid w:val="00C33891"/>
    <w:rsid w:val="00C33E69"/>
    <w:rsid w:val="00C34B2A"/>
    <w:rsid w:val="00C36FB6"/>
    <w:rsid w:val="00C40783"/>
    <w:rsid w:val="00C40809"/>
    <w:rsid w:val="00C41036"/>
    <w:rsid w:val="00C41FE1"/>
    <w:rsid w:val="00C43B76"/>
    <w:rsid w:val="00C43CF2"/>
    <w:rsid w:val="00C44D0A"/>
    <w:rsid w:val="00C47091"/>
    <w:rsid w:val="00C472C8"/>
    <w:rsid w:val="00C50FB8"/>
    <w:rsid w:val="00C5123D"/>
    <w:rsid w:val="00C534C8"/>
    <w:rsid w:val="00C54244"/>
    <w:rsid w:val="00C5685E"/>
    <w:rsid w:val="00C56C15"/>
    <w:rsid w:val="00C60082"/>
    <w:rsid w:val="00C60695"/>
    <w:rsid w:val="00C62455"/>
    <w:rsid w:val="00C626A6"/>
    <w:rsid w:val="00C631B1"/>
    <w:rsid w:val="00C63770"/>
    <w:rsid w:val="00C63BD4"/>
    <w:rsid w:val="00C65016"/>
    <w:rsid w:val="00C6611B"/>
    <w:rsid w:val="00C673A9"/>
    <w:rsid w:val="00C701C4"/>
    <w:rsid w:val="00C70AEF"/>
    <w:rsid w:val="00C70FAF"/>
    <w:rsid w:val="00C73929"/>
    <w:rsid w:val="00C73F82"/>
    <w:rsid w:val="00C7436C"/>
    <w:rsid w:val="00C747F2"/>
    <w:rsid w:val="00C757B2"/>
    <w:rsid w:val="00C75A09"/>
    <w:rsid w:val="00C82B39"/>
    <w:rsid w:val="00C82D38"/>
    <w:rsid w:val="00C839E5"/>
    <w:rsid w:val="00C83FC3"/>
    <w:rsid w:val="00C8415D"/>
    <w:rsid w:val="00C84977"/>
    <w:rsid w:val="00C85260"/>
    <w:rsid w:val="00C861D2"/>
    <w:rsid w:val="00C90527"/>
    <w:rsid w:val="00C92281"/>
    <w:rsid w:val="00C92CDA"/>
    <w:rsid w:val="00C92E78"/>
    <w:rsid w:val="00C93189"/>
    <w:rsid w:val="00C93BD7"/>
    <w:rsid w:val="00C9472B"/>
    <w:rsid w:val="00C95A4E"/>
    <w:rsid w:val="00C96597"/>
    <w:rsid w:val="00C969F3"/>
    <w:rsid w:val="00C97211"/>
    <w:rsid w:val="00CA12A7"/>
    <w:rsid w:val="00CA1EB2"/>
    <w:rsid w:val="00CA2653"/>
    <w:rsid w:val="00CA3D3A"/>
    <w:rsid w:val="00CA52DC"/>
    <w:rsid w:val="00CA5865"/>
    <w:rsid w:val="00CA6498"/>
    <w:rsid w:val="00CB2099"/>
    <w:rsid w:val="00CB2C9C"/>
    <w:rsid w:val="00CB3D6C"/>
    <w:rsid w:val="00CB418B"/>
    <w:rsid w:val="00CB61B6"/>
    <w:rsid w:val="00CC0028"/>
    <w:rsid w:val="00CC00B8"/>
    <w:rsid w:val="00CC1069"/>
    <w:rsid w:val="00CC2489"/>
    <w:rsid w:val="00CC4EF4"/>
    <w:rsid w:val="00CC5842"/>
    <w:rsid w:val="00CC5A7E"/>
    <w:rsid w:val="00CC5A80"/>
    <w:rsid w:val="00CC60E7"/>
    <w:rsid w:val="00CC6477"/>
    <w:rsid w:val="00CC7753"/>
    <w:rsid w:val="00CD0C0E"/>
    <w:rsid w:val="00CD11C3"/>
    <w:rsid w:val="00CD2143"/>
    <w:rsid w:val="00CD22C1"/>
    <w:rsid w:val="00CD518C"/>
    <w:rsid w:val="00CD5C01"/>
    <w:rsid w:val="00CD6397"/>
    <w:rsid w:val="00CD662D"/>
    <w:rsid w:val="00CD722B"/>
    <w:rsid w:val="00CE1012"/>
    <w:rsid w:val="00CE225D"/>
    <w:rsid w:val="00CE233A"/>
    <w:rsid w:val="00CF15D1"/>
    <w:rsid w:val="00CF3F0E"/>
    <w:rsid w:val="00CF411C"/>
    <w:rsid w:val="00CF60F8"/>
    <w:rsid w:val="00CF6D4A"/>
    <w:rsid w:val="00CF7DA9"/>
    <w:rsid w:val="00D00C4E"/>
    <w:rsid w:val="00D0135F"/>
    <w:rsid w:val="00D035FA"/>
    <w:rsid w:val="00D10555"/>
    <w:rsid w:val="00D1206A"/>
    <w:rsid w:val="00D13487"/>
    <w:rsid w:val="00D153FB"/>
    <w:rsid w:val="00D16859"/>
    <w:rsid w:val="00D17C39"/>
    <w:rsid w:val="00D222D8"/>
    <w:rsid w:val="00D27EAA"/>
    <w:rsid w:val="00D30298"/>
    <w:rsid w:val="00D30428"/>
    <w:rsid w:val="00D304D1"/>
    <w:rsid w:val="00D30F84"/>
    <w:rsid w:val="00D31B52"/>
    <w:rsid w:val="00D32141"/>
    <w:rsid w:val="00D33DA9"/>
    <w:rsid w:val="00D34D9F"/>
    <w:rsid w:val="00D36966"/>
    <w:rsid w:val="00D36CE1"/>
    <w:rsid w:val="00D37DE1"/>
    <w:rsid w:val="00D40E4E"/>
    <w:rsid w:val="00D415D4"/>
    <w:rsid w:val="00D4327E"/>
    <w:rsid w:val="00D43C47"/>
    <w:rsid w:val="00D4502B"/>
    <w:rsid w:val="00D4652C"/>
    <w:rsid w:val="00D50A88"/>
    <w:rsid w:val="00D50AA7"/>
    <w:rsid w:val="00D50D04"/>
    <w:rsid w:val="00D51A6A"/>
    <w:rsid w:val="00D5251D"/>
    <w:rsid w:val="00D52833"/>
    <w:rsid w:val="00D53B9E"/>
    <w:rsid w:val="00D5518F"/>
    <w:rsid w:val="00D577F7"/>
    <w:rsid w:val="00D61214"/>
    <w:rsid w:val="00D61C41"/>
    <w:rsid w:val="00D62311"/>
    <w:rsid w:val="00D62BB9"/>
    <w:rsid w:val="00D677E8"/>
    <w:rsid w:val="00D72203"/>
    <w:rsid w:val="00D72818"/>
    <w:rsid w:val="00D72D29"/>
    <w:rsid w:val="00D73A12"/>
    <w:rsid w:val="00D73D41"/>
    <w:rsid w:val="00D7408A"/>
    <w:rsid w:val="00D77C9B"/>
    <w:rsid w:val="00D81D67"/>
    <w:rsid w:val="00D82F69"/>
    <w:rsid w:val="00D868F3"/>
    <w:rsid w:val="00D873E7"/>
    <w:rsid w:val="00D9224F"/>
    <w:rsid w:val="00D93293"/>
    <w:rsid w:val="00D9415C"/>
    <w:rsid w:val="00D942C4"/>
    <w:rsid w:val="00D9574F"/>
    <w:rsid w:val="00D96034"/>
    <w:rsid w:val="00D96098"/>
    <w:rsid w:val="00D96FAA"/>
    <w:rsid w:val="00D97C6A"/>
    <w:rsid w:val="00D97F3C"/>
    <w:rsid w:val="00DA1107"/>
    <w:rsid w:val="00DA39B1"/>
    <w:rsid w:val="00DB006D"/>
    <w:rsid w:val="00DB2833"/>
    <w:rsid w:val="00DB6021"/>
    <w:rsid w:val="00DB6479"/>
    <w:rsid w:val="00DB6AD2"/>
    <w:rsid w:val="00DB6EFB"/>
    <w:rsid w:val="00DB78AA"/>
    <w:rsid w:val="00DB7978"/>
    <w:rsid w:val="00DC13C7"/>
    <w:rsid w:val="00DC686D"/>
    <w:rsid w:val="00DD3412"/>
    <w:rsid w:val="00DD3616"/>
    <w:rsid w:val="00DE0A50"/>
    <w:rsid w:val="00DE0B13"/>
    <w:rsid w:val="00DE0C4C"/>
    <w:rsid w:val="00DE2A58"/>
    <w:rsid w:val="00DE6B25"/>
    <w:rsid w:val="00DE767F"/>
    <w:rsid w:val="00DF00CA"/>
    <w:rsid w:val="00DF3311"/>
    <w:rsid w:val="00DF4329"/>
    <w:rsid w:val="00DF5E74"/>
    <w:rsid w:val="00DF7A67"/>
    <w:rsid w:val="00E0170F"/>
    <w:rsid w:val="00E01972"/>
    <w:rsid w:val="00E046CD"/>
    <w:rsid w:val="00E061BF"/>
    <w:rsid w:val="00E06384"/>
    <w:rsid w:val="00E115EE"/>
    <w:rsid w:val="00E147C5"/>
    <w:rsid w:val="00E14C28"/>
    <w:rsid w:val="00E159B9"/>
    <w:rsid w:val="00E212D0"/>
    <w:rsid w:val="00E2130E"/>
    <w:rsid w:val="00E2167C"/>
    <w:rsid w:val="00E21C9C"/>
    <w:rsid w:val="00E22161"/>
    <w:rsid w:val="00E23064"/>
    <w:rsid w:val="00E2378E"/>
    <w:rsid w:val="00E26CDE"/>
    <w:rsid w:val="00E3021A"/>
    <w:rsid w:val="00E30BFD"/>
    <w:rsid w:val="00E326F4"/>
    <w:rsid w:val="00E34B83"/>
    <w:rsid w:val="00E36DF4"/>
    <w:rsid w:val="00E371BB"/>
    <w:rsid w:val="00E41E0F"/>
    <w:rsid w:val="00E42DB0"/>
    <w:rsid w:val="00E46245"/>
    <w:rsid w:val="00E476B6"/>
    <w:rsid w:val="00E51B0C"/>
    <w:rsid w:val="00E51D10"/>
    <w:rsid w:val="00E51FF8"/>
    <w:rsid w:val="00E52130"/>
    <w:rsid w:val="00E521B8"/>
    <w:rsid w:val="00E529BC"/>
    <w:rsid w:val="00E52B62"/>
    <w:rsid w:val="00E537B4"/>
    <w:rsid w:val="00E54CF1"/>
    <w:rsid w:val="00E57BE5"/>
    <w:rsid w:val="00E605D5"/>
    <w:rsid w:val="00E61DD6"/>
    <w:rsid w:val="00E62BED"/>
    <w:rsid w:val="00E6407E"/>
    <w:rsid w:val="00E64624"/>
    <w:rsid w:val="00E646FC"/>
    <w:rsid w:val="00E66936"/>
    <w:rsid w:val="00E704DA"/>
    <w:rsid w:val="00E71C5E"/>
    <w:rsid w:val="00E7349A"/>
    <w:rsid w:val="00E73A1B"/>
    <w:rsid w:val="00E76310"/>
    <w:rsid w:val="00E7672E"/>
    <w:rsid w:val="00E76EC7"/>
    <w:rsid w:val="00E83A3C"/>
    <w:rsid w:val="00E83CB5"/>
    <w:rsid w:val="00E876A1"/>
    <w:rsid w:val="00E91A76"/>
    <w:rsid w:val="00E924EE"/>
    <w:rsid w:val="00E936EE"/>
    <w:rsid w:val="00E94FEE"/>
    <w:rsid w:val="00E95A6B"/>
    <w:rsid w:val="00E97A11"/>
    <w:rsid w:val="00EA0056"/>
    <w:rsid w:val="00EA0CC7"/>
    <w:rsid w:val="00EA14B9"/>
    <w:rsid w:val="00EA1521"/>
    <w:rsid w:val="00EA7605"/>
    <w:rsid w:val="00EB00FD"/>
    <w:rsid w:val="00EB0254"/>
    <w:rsid w:val="00EB1744"/>
    <w:rsid w:val="00EB2450"/>
    <w:rsid w:val="00EB2F29"/>
    <w:rsid w:val="00EB31CA"/>
    <w:rsid w:val="00EB7BDE"/>
    <w:rsid w:val="00EC0C5E"/>
    <w:rsid w:val="00EC116C"/>
    <w:rsid w:val="00EC1470"/>
    <w:rsid w:val="00EC18DC"/>
    <w:rsid w:val="00EC1B42"/>
    <w:rsid w:val="00EC3665"/>
    <w:rsid w:val="00EC5555"/>
    <w:rsid w:val="00EC6938"/>
    <w:rsid w:val="00ED0A9D"/>
    <w:rsid w:val="00ED148F"/>
    <w:rsid w:val="00ED153A"/>
    <w:rsid w:val="00ED310D"/>
    <w:rsid w:val="00ED3249"/>
    <w:rsid w:val="00ED3B47"/>
    <w:rsid w:val="00ED4762"/>
    <w:rsid w:val="00ED7DA0"/>
    <w:rsid w:val="00EE54A3"/>
    <w:rsid w:val="00EE6D41"/>
    <w:rsid w:val="00EE7017"/>
    <w:rsid w:val="00EE7651"/>
    <w:rsid w:val="00EF2A15"/>
    <w:rsid w:val="00EF2F9D"/>
    <w:rsid w:val="00EF391C"/>
    <w:rsid w:val="00EF3A66"/>
    <w:rsid w:val="00EF4880"/>
    <w:rsid w:val="00EF4F03"/>
    <w:rsid w:val="00EF54E6"/>
    <w:rsid w:val="00F0056B"/>
    <w:rsid w:val="00F00C4C"/>
    <w:rsid w:val="00F02FB6"/>
    <w:rsid w:val="00F03B9C"/>
    <w:rsid w:val="00F03BA0"/>
    <w:rsid w:val="00F04553"/>
    <w:rsid w:val="00F057F6"/>
    <w:rsid w:val="00F05B06"/>
    <w:rsid w:val="00F07689"/>
    <w:rsid w:val="00F07E08"/>
    <w:rsid w:val="00F10548"/>
    <w:rsid w:val="00F1156F"/>
    <w:rsid w:val="00F126D4"/>
    <w:rsid w:val="00F1343A"/>
    <w:rsid w:val="00F13B15"/>
    <w:rsid w:val="00F1449F"/>
    <w:rsid w:val="00F17FA9"/>
    <w:rsid w:val="00F20158"/>
    <w:rsid w:val="00F21027"/>
    <w:rsid w:val="00F21846"/>
    <w:rsid w:val="00F2280B"/>
    <w:rsid w:val="00F269AA"/>
    <w:rsid w:val="00F3058D"/>
    <w:rsid w:val="00F31008"/>
    <w:rsid w:val="00F312EE"/>
    <w:rsid w:val="00F31B8A"/>
    <w:rsid w:val="00F33606"/>
    <w:rsid w:val="00F35903"/>
    <w:rsid w:val="00F3623A"/>
    <w:rsid w:val="00F3797F"/>
    <w:rsid w:val="00F41EA3"/>
    <w:rsid w:val="00F42492"/>
    <w:rsid w:val="00F426C2"/>
    <w:rsid w:val="00F4515B"/>
    <w:rsid w:val="00F4594E"/>
    <w:rsid w:val="00F4771F"/>
    <w:rsid w:val="00F504C6"/>
    <w:rsid w:val="00F51721"/>
    <w:rsid w:val="00F5332E"/>
    <w:rsid w:val="00F54757"/>
    <w:rsid w:val="00F54807"/>
    <w:rsid w:val="00F54B0B"/>
    <w:rsid w:val="00F54EC9"/>
    <w:rsid w:val="00F55371"/>
    <w:rsid w:val="00F56DE3"/>
    <w:rsid w:val="00F57858"/>
    <w:rsid w:val="00F60524"/>
    <w:rsid w:val="00F60AAA"/>
    <w:rsid w:val="00F61562"/>
    <w:rsid w:val="00F648CB"/>
    <w:rsid w:val="00F676F8"/>
    <w:rsid w:val="00F7009E"/>
    <w:rsid w:val="00F700D8"/>
    <w:rsid w:val="00F72662"/>
    <w:rsid w:val="00F74A21"/>
    <w:rsid w:val="00F7544B"/>
    <w:rsid w:val="00F75BC0"/>
    <w:rsid w:val="00F8004D"/>
    <w:rsid w:val="00F80AF7"/>
    <w:rsid w:val="00F81BE7"/>
    <w:rsid w:val="00F83840"/>
    <w:rsid w:val="00F8464C"/>
    <w:rsid w:val="00F85736"/>
    <w:rsid w:val="00F85D57"/>
    <w:rsid w:val="00F8632C"/>
    <w:rsid w:val="00F8671E"/>
    <w:rsid w:val="00F87B42"/>
    <w:rsid w:val="00F91FB0"/>
    <w:rsid w:val="00F93291"/>
    <w:rsid w:val="00F94F72"/>
    <w:rsid w:val="00F96701"/>
    <w:rsid w:val="00F96FD2"/>
    <w:rsid w:val="00FA2260"/>
    <w:rsid w:val="00FA33E4"/>
    <w:rsid w:val="00FA373A"/>
    <w:rsid w:val="00FA5C05"/>
    <w:rsid w:val="00FA61AA"/>
    <w:rsid w:val="00FA6DE7"/>
    <w:rsid w:val="00FB13E9"/>
    <w:rsid w:val="00FB1772"/>
    <w:rsid w:val="00FB2A3E"/>
    <w:rsid w:val="00FB3680"/>
    <w:rsid w:val="00FB515C"/>
    <w:rsid w:val="00FC1CF1"/>
    <w:rsid w:val="00FC3A5C"/>
    <w:rsid w:val="00FC3D97"/>
    <w:rsid w:val="00FC7A37"/>
    <w:rsid w:val="00FD08F8"/>
    <w:rsid w:val="00FD0E8A"/>
    <w:rsid w:val="00FD189C"/>
    <w:rsid w:val="00FD1B13"/>
    <w:rsid w:val="00FD212A"/>
    <w:rsid w:val="00FD41B2"/>
    <w:rsid w:val="00FD4915"/>
    <w:rsid w:val="00FD4B3A"/>
    <w:rsid w:val="00FD4C92"/>
    <w:rsid w:val="00FE2197"/>
    <w:rsid w:val="00FE6284"/>
    <w:rsid w:val="00FE6C15"/>
    <w:rsid w:val="00FF162C"/>
    <w:rsid w:val="00FF20D1"/>
    <w:rsid w:val="00FF2376"/>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00D0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00D04"/>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0D04"/>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0D04"/>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0D04"/>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0D04"/>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00D04"/>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00D04"/>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00D04"/>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00D04"/>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00D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D04"/>
  </w:style>
  <w:style w:type="character" w:customStyle="1" w:styleId="CharSubPartTextCASA">
    <w:name w:val="CharSubPartText(CASA)"/>
    <w:basedOn w:val="OPCCharBase"/>
    <w:uiPriority w:val="1"/>
    <w:rsid w:val="00500D04"/>
  </w:style>
  <w:style w:type="character" w:customStyle="1" w:styleId="CharSubPartNoCASA">
    <w:name w:val="CharSubPartNo(CASA)"/>
    <w:basedOn w:val="OPCCharBase"/>
    <w:uiPriority w:val="1"/>
    <w:rsid w:val="00500D04"/>
  </w:style>
  <w:style w:type="paragraph" w:styleId="Footer">
    <w:name w:val="footer"/>
    <w:link w:val="FooterChar"/>
    <w:rsid w:val="00500D04"/>
    <w:pPr>
      <w:tabs>
        <w:tab w:val="center" w:pos="4153"/>
        <w:tab w:val="right" w:pos="8306"/>
      </w:tabs>
    </w:pPr>
    <w:rPr>
      <w:sz w:val="22"/>
      <w:szCs w:val="24"/>
    </w:rPr>
  </w:style>
  <w:style w:type="paragraph" w:customStyle="1" w:styleId="ENoteTTIndentHeadingSub">
    <w:name w:val="ENoteTTIndentHeadingSub"/>
    <w:aliases w:val="enTTHis"/>
    <w:basedOn w:val="OPCParaBase"/>
    <w:rsid w:val="00500D04"/>
    <w:pPr>
      <w:keepNext/>
      <w:spacing w:before="60" w:line="240" w:lineRule="atLeast"/>
      <w:ind w:left="340"/>
    </w:pPr>
    <w:rPr>
      <w:b/>
      <w:sz w:val="16"/>
    </w:rPr>
  </w:style>
  <w:style w:type="paragraph" w:customStyle="1" w:styleId="ENoteTTiSub">
    <w:name w:val="ENoteTTiSub"/>
    <w:aliases w:val="enttis"/>
    <w:basedOn w:val="OPCParaBase"/>
    <w:rsid w:val="00500D04"/>
    <w:pPr>
      <w:keepNext/>
      <w:spacing w:before="60" w:line="240" w:lineRule="atLeast"/>
      <w:ind w:left="340"/>
    </w:pPr>
    <w:rPr>
      <w:sz w:val="16"/>
    </w:rPr>
  </w:style>
  <w:style w:type="paragraph" w:customStyle="1" w:styleId="SubDivisionMigration">
    <w:name w:val="SubDivisionMigration"/>
    <w:aliases w:val="sdm"/>
    <w:basedOn w:val="OPCParaBase"/>
    <w:rsid w:val="00500D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0D04"/>
    <w:pPr>
      <w:keepNext/>
      <w:keepLines/>
      <w:spacing w:before="240" w:line="240" w:lineRule="auto"/>
      <w:ind w:left="1134" w:hanging="1134"/>
    </w:pPr>
    <w:rPr>
      <w:b/>
      <w:sz w:val="28"/>
    </w:rPr>
  </w:style>
  <w:style w:type="numbering" w:styleId="111111">
    <w:name w:val="Outline List 2"/>
    <w:basedOn w:val="NoList"/>
    <w:rsid w:val="00500D04"/>
    <w:pPr>
      <w:numPr>
        <w:numId w:val="24"/>
      </w:numPr>
    </w:pPr>
  </w:style>
  <w:style w:type="numbering" w:styleId="1ai">
    <w:name w:val="Outline List 1"/>
    <w:basedOn w:val="NoList"/>
    <w:rsid w:val="00500D04"/>
    <w:pPr>
      <w:numPr>
        <w:numId w:val="2"/>
      </w:numPr>
    </w:pPr>
  </w:style>
  <w:style w:type="numbering" w:styleId="ArticleSection">
    <w:name w:val="Outline List 3"/>
    <w:basedOn w:val="NoList"/>
    <w:rsid w:val="00500D04"/>
    <w:pPr>
      <w:numPr>
        <w:numId w:val="25"/>
      </w:numPr>
    </w:pPr>
  </w:style>
  <w:style w:type="paragraph" w:styleId="BlockText">
    <w:name w:val="Block Text"/>
    <w:basedOn w:val="Normal"/>
    <w:rsid w:val="00500D04"/>
    <w:pPr>
      <w:spacing w:after="120"/>
      <w:ind w:left="1440" w:right="1440"/>
    </w:pPr>
  </w:style>
  <w:style w:type="paragraph" w:styleId="BodyText">
    <w:name w:val="Body Text"/>
    <w:basedOn w:val="Normal"/>
    <w:link w:val="BodyTextChar"/>
    <w:rsid w:val="00500D04"/>
    <w:pPr>
      <w:spacing w:after="120"/>
    </w:pPr>
  </w:style>
  <w:style w:type="paragraph" w:styleId="BodyText2">
    <w:name w:val="Body Text 2"/>
    <w:basedOn w:val="Normal"/>
    <w:link w:val="BodyText2Char"/>
    <w:rsid w:val="00500D04"/>
    <w:pPr>
      <w:spacing w:after="120" w:line="480" w:lineRule="auto"/>
    </w:pPr>
  </w:style>
  <w:style w:type="paragraph" w:styleId="BodyText3">
    <w:name w:val="Body Text 3"/>
    <w:basedOn w:val="Normal"/>
    <w:link w:val="BodyText3Char"/>
    <w:rsid w:val="00500D04"/>
    <w:pPr>
      <w:spacing w:after="120"/>
    </w:pPr>
    <w:rPr>
      <w:sz w:val="16"/>
      <w:szCs w:val="16"/>
    </w:rPr>
  </w:style>
  <w:style w:type="paragraph" w:styleId="BodyTextFirstIndent">
    <w:name w:val="Body Text First Indent"/>
    <w:basedOn w:val="BodyText"/>
    <w:link w:val="BodyTextFirstIndentChar"/>
    <w:rsid w:val="00500D04"/>
    <w:pPr>
      <w:ind w:firstLine="210"/>
    </w:pPr>
  </w:style>
  <w:style w:type="paragraph" w:styleId="BodyTextIndent">
    <w:name w:val="Body Text Indent"/>
    <w:basedOn w:val="Normal"/>
    <w:link w:val="BodyTextIndentChar"/>
    <w:rsid w:val="00500D04"/>
    <w:pPr>
      <w:spacing w:after="120"/>
      <w:ind w:left="283"/>
    </w:pPr>
  </w:style>
  <w:style w:type="paragraph" w:styleId="BodyTextFirstIndent2">
    <w:name w:val="Body Text First Indent 2"/>
    <w:basedOn w:val="BodyTextIndent"/>
    <w:link w:val="BodyTextFirstIndent2Char"/>
    <w:rsid w:val="00500D04"/>
    <w:pPr>
      <w:ind w:firstLine="210"/>
    </w:pPr>
  </w:style>
  <w:style w:type="paragraph" w:styleId="BodyTextIndent2">
    <w:name w:val="Body Text Indent 2"/>
    <w:basedOn w:val="Normal"/>
    <w:link w:val="BodyTextIndent2Char"/>
    <w:rsid w:val="00500D04"/>
    <w:pPr>
      <w:spacing w:after="120" w:line="480" w:lineRule="auto"/>
      <w:ind w:left="283"/>
    </w:pPr>
  </w:style>
  <w:style w:type="paragraph" w:styleId="BodyTextIndent3">
    <w:name w:val="Body Text Indent 3"/>
    <w:basedOn w:val="Normal"/>
    <w:link w:val="BodyTextIndent3Char"/>
    <w:rsid w:val="00500D04"/>
    <w:pPr>
      <w:spacing w:after="120"/>
      <w:ind w:left="283"/>
    </w:pPr>
    <w:rPr>
      <w:sz w:val="16"/>
      <w:szCs w:val="16"/>
    </w:rPr>
  </w:style>
  <w:style w:type="paragraph" w:styleId="Closing">
    <w:name w:val="Closing"/>
    <w:basedOn w:val="Normal"/>
    <w:link w:val="ClosingChar"/>
    <w:rsid w:val="00500D04"/>
    <w:pPr>
      <w:ind w:left="4252"/>
    </w:pPr>
  </w:style>
  <w:style w:type="paragraph" w:styleId="Date">
    <w:name w:val="Date"/>
    <w:basedOn w:val="Normal"/>
    <w:next w:val="Normal"/>
    <w:link w:val="DateChar"/>
    <w:rsid w:val="00500D04"/>
  </w:style>
  <w:style w:type="paragraph" w:styleId="E-mailSignature">
    <w:name w:val="E-mail Signature"/>
    <w:basedOn w:val="Normal"/>
    <w:link w:val="E-mailSignatureChar"/>
    <w:rsid w:val="00500D04"/>
  </w:style>
  <w:style w:type="character" w:styleId="Emphasis">
    <w:name w:val="Emphasis"/>
    <w:basedOn w:val="DefaultParagraphFont"/>
    <w:qFormat/>
    <w:rsid w:val="00500D04"/>
    <w:rPr>
      <w:i/>
      <w:iCs/>
    </w:rPr>
  </w:style>
  <w:style w:type="paragraph" w:styleId="EnvelopeAddress">
    <w:name w:val="envelope address"/>
    <w:basedOn w:val="Normal"/>
    <w:rsid w:val="00500D0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0D04"/>
    <w:rPr>
      <w:rFonts w:ascii="Arial" w:hAnsi="Arial" w:cs="Arial"/>
      <w:sz w:val="20"/>
    </w:rPr>
  </w:style>
  <w:style w:type="character" w:styleId="FollowedHyperlink">
    <w:name w:val="FollowedHyperlink"/>
    <w:basedOn w:val="DefaultParagraphFont"/>
    <w:rsid w:val="00500D04"/>
    <w:rPr>
      <w:color w:val="800080"/>
      <w:u w:val="single"/>
    </w:rPr>
  </w:style>
  <w:style w:type="paragraph" w:styleId="Header">
    <w:name w:val="header"/>
    <w:basedOn w:val="OPCParaBase"/>
    <w:link w:val="HeaderChar"/>
    <w:unhideWhenUsed/>
    <w:rsid w:val="00500D04"/>
    <w:pPr>
      <w:keepNext/>
      <w:keepLines/>
      <w:tabs>
        <w:tab w:val="center" w:pos="4150"/>
        <w:tab w:val="right" w:pos="8307"/>
      </w:tabs>
      <w:spacing w:line="160" w:lineRule="exact"/>
    </w:pPr>
    <w:rPr>
      <w:sz w:val="16"/>
    </w:rPr>
  </w:style>
  <w:style w:type="character" w:styleId="HTMLAcronym">
    <w:name w:val="HTML Acronym"/>
    <w:basedOn w:val="DefaultParagraphFont"/>
    <w:rsid w:val="00500D04"/>
  </w:style>
  <w:style w:type="paragraph" w:styleId="HTMLAddress">
    <w:name w:val="HTML Address"/>
    <w:basedOn w:val="Normal"/>
    <w:link w:val="HTMLAddressChar"/>
    <w:rsid w:val="00500D04"/>
    <w:rPr>
      <w:i/>
      <w:iCs/>
    </w:rPr>
  </w:style>
  <w:style w:type="character" w:styleId="HTMLCite">
    <w:name w:val="HTML Cite"/>
    <w:basedOn w:val="DefaultParagraphFont"/>
    <w:rsid w:val="00500D04"/>
    <w:rPr>
      <w:i/>
      <w:iCs/>
    </w:rPr>
  </w:style>
  <w:style w:type="character" w:styleId="HTMLCode">
    <w:name w:val="HTML Code"/>
    <w:basedOn w:val="DefaultParagraphFont"/>
    <w:rsid w:val="00500D04"/>
    <w:rPr>
      <w:rFonts w:ascii="Courier New" w:hAnsi="Courier New" w:cs="Courier New"/>
      <w:sz w:val="20"/>
      <w:szCs w:val="20"/>
    </w:rPr>
  </w:style>
  <w:style w:type="character" w:styleId="HTMLDefinition">
    <w:name w:val="HTML Definition"/>
    <w:basedOn w:val="DefaultParagraphFont"/>
    <w:rsid w:val="00500D04"/>
    <w:rPr>
      <w:i/>
      <w:iCs/>
    </w:rPr>
  </w:style>
  <w:style w:type="character" w:styleId="HTMLKeyboard">
    <w:name w:val="HTML Keyboard"/>
    <w:basedOn w:val="DefaultParagraphFont"/>
    <w:rsid w:val="00500D04"/>
    <w:rPr>
      <w:rFonts w:ascii="Courier New" w:hAnsi="Courier New" w:cs="Courier New"/>
      <w:sz w:val="20"/>
      <w:szCs w:val="20"/>
    </w:rPr>
  </w:style>
  <w:style w:type="paragraph" w:styleId="HTMLPreformatted">
    <w:name w:val="HTML Preformatted"/>
    <w:basedOn w:val="Normal"/>
    <w:link w:val="HTMLPreformattedChar"/>
    <w:rsid w:val="00500D04"/>
    <w:rPr>
      <w:rFonts w:ascii="Courier New" w:hAnsi="Courier New" w:cs="Courier New"/>
      <w:sz w:val="20"/>
    </w:rPr>
  </w:style>
  <w:style w:type="character" w:styleId="HTMLSample">
    <w:name w:val="HTML Sample"/>
    <w:basedOn w:val="DefaultParagraphFont"/>
    <w:rsid w:val="00500D04"/>
    <w:rPr>
      <w:rFonts w:ascii="Courier New" w:hAnsi="Courier New" w:cs="Courier New"/>
    </w:rPr>
  </w:style>
  <w:style w:type="character" w:styleId="HTMLTypewriter">
    <w:name w:val="HTML Typewriter"/>
    <w:basedOn w:val="DefaultParagraphFont"/>
    <w:rsid w:val="00500D04"/>
    <w:rPr>
      <w:rFonts w:ascii="Courier New" w:hAnsi="Courier New" w:cs="Courier New"/>
      <w:sz w:val="20"/>
      <w:szCs w:val="20"/>
    </w:rPr>
  </w:style>
  <w:style w:type="character" w:styleId="HTMLVariable">
    <w:name w:val="HTML Variable"/>
    <w:basedOn w:val="DefaultParagraphFont"/>
    <w:rsid w:val="00500D04"/>
    <w:rPr>
      <w:i/>
      <w:iCs/>
    </w:rPr>
  </w:style>
  <w:style w:type="character" w:styleId="Hyperlink">
    <w:name w:val="Hyperlink"/>
    <w:basedOn w:val="DefaultParagraphFont"/>
    <w:rsid w:val="00500D04"/>
    <w:rPr>
      <w:color w:val="0000FF"/>
      <w:u w:val="single"/>
    </w:rPr>
  </w:style>
  <w:style w:type="character" w:styleId="LineNumber">
    <w:name w:val="line number"/>
    <w:basedOn w:val="OPCCharBase"/>
    <w:uiPriority w:val="99"/>
    <w:unhideWhenUsed/>
    <w:rsid w:val="00500D04"/>
    <w:rPr>
      <w:sz w:val="16"/>
    </w:rPr>
  </w:style>
  <w:style w:type="paragraph" w:styleId="List">
    <w:name w:val="List"/>
    <w:basedOn w:val="Normal"/>
    <w:rsid w:val="00500D04"/>
    <w:pPr>
      <w:ind w:left="283" w:hanging="283"/>
    </w:pPr>
  </w:style>
  <w:style w:type="paragraph" w:styleId="List2">
    <w:name w:val="List 2"/>
    <w:basedOn w:val="Normal"/>
    <w:rsid w:val="00500D04"/>
    <w:pPr>
      <w:ind w:left="566" w:hanging="283"/>
    </w:pPr>
  </w:style>
  <w:style w:type="paragraph" w:styleId="List3">
    <w:name w:val="List 3"/>
    <w:basedOn w:val="Normal"/>
    <w:rsid w:val="00500D04"/>
    <w:pPr>
      <w:ind w:left="849" w:hanging="283"/>
    </w:pPr>
  </w:style>
  <w:style w:type="paragraph" w:styleId="List4">
    <w:name w:val="List 4"/>
    <w:basedOn w:val="Normal"/>
    <w:rsid w:val="00500D04"/>
    <w:pPr>
      <w:ind w:left="1132" w:hanging="283"/>
    </w:pPr>
  </w:style>
  <w:style w:type="paragraph" w:styleId="List5">
    <w:name w:val="List 5"/>
    <w:basedOn w:val="Normal"/>
    <w:rsid w:val="00500D04"/>
    <w:pPr>
      <w:ind w:left="1415" w:hanging="283"/>
    </w:pPr>
  </w:style>
  <w:style w:type="paragraph" w:styleId="ListBullet">
    <w:name w:val="List Bullet"/>
    <w:basedOn w:val="Normal"/>
    <w:autoRedefine/>
    <w:rsid w:val="00500D04"/>
    <w:pPr>
      <w:tabs>
        <w:tab w:val="num" w:pos="360"/>
      </w:tabs>
      <w:ind w:left="360" w:hanging="360"/>
    </w:pPr>
  </w:style>
  <w:style w:type="paragraph" w:styleId="ListBullet2">
    <w:name w:val="List Bullet 2"/>
    <w:basedOn w:val="Normal"/>
    <w:autoRedefine/>
    <w:rsid w:val="00500D04"/>
    <w:pPr>
      <w:tabs>
        <w:tab w:val="num" w:pos="360"/>
      </w:tabs>
    </w:pPr>
  </w:style>
  <w:style w:type="paragraph" w:styleId="ListBullet3">
    <w:name w:val="List Bullet 3"/>
    <w:basedOn w:val="Normal"/>
    <w:autoRedefine/>
    <w:rsid w:val="00500D04"/>
    <w:pPr>
      <w:tabs>
        <w:tab w:val="num" w:pos="926"/>
      </w:tabs>
      <w:ind w:left="926" w:hanging="360"/>
    </w:pPr>
  </w:style>
  <w:style w:type="paragraph" w:styleId="ListBullet4">
    <w:name w:val="List Bullet 4"/>
    <w:basedOn w:val="Normal"/>
    <w:autoRedefine/>
    <w:rsid w:val="00500D04"/>
    <w:pPr>
      <w:tabs>
        <w:tab w:val="num" w:pos="1209"/>
      </w:tabs>
      <w:ind w:left="1209" w:hanging="360"/>
    </w:pPr>
  </w:style>
  <w:style w:type="paragraph" w:styleId="ListBullet5">
    <w:name w:val="List Bullet 5"/>
    <w:basedOn w:val="Normal"/>
    <w:autoRedefine/>
    <w:rsid w:val="00500D04"/>
    <w:pPr>
      <w:tabs>
        <w:tab w:val="num" w:pos="1492"/>
      </w:tabs>
      <w:ind w:left="1492" w:hanging="360"/>
    </w:pPr>
  </w:style>
  <w:style w:type="paragraph" w:styleId="ListContinue">
    <w:name w:val="List Continue"/>
    <w:basedOn w:val="Normal"/>
    <w:rsid w:val="00500D04"/>
    <w:pPr>
      <w:spacing w:after="120"/>
      <w:ind w:left="283"/>
    </w:pPr>
  </w:style>
  <w:style w:type="paragraph" w:styleId="ListContinue2">
    <w:name w:val="List Continue 2"/>
    <w:basedOn w:val="Normal"/>
    <w:rsid w:val="00500D04"/>
    <w:pPr>
      <w:spacing w:after="120"/>
      <w:ind w:left="566"/>
    </w:pPr>
  </w:style>
  <w:style w:type="paragraph" w:styleId="ListContinue3">
    <w:name w:val="List Continue 3"/>
    <w:basedOn w:val="Normal"/>
    <w:rsid w:val="00500D04"/>
    <w:pPr>
      <w:spacing w:after="120"/>
      <w:ind w:left="849"/>
    </w:pPr>
  </w:style>
  <w:style w:type="paragraph" w:styleId="ListContinue4">
    <w:name w:val="List Continue 4"/>
    <w:basedOn w:val="Normal"/>
    <w:rsid w:val="00500D04"/>
    <w:pPr>
      <w:spacing w:after="120"/>
      <w:ind w:left="1132"/>
    </w:pPr>
  </w:style>
  <w:style w:type="paragraph" w:styleId="ListContinue5">
    <w:name w:val="List Continue 5"/>
    <w:basedOn w:val="Normal"/>
    <w:rsid w:val="00500D04"/>
    <w:pPr>
      <w:spacing w:after="120"/>
      <w:ind w:left="1415"/>
    </w:pPr>
  </w:style>
  <w:style w:type="paragraph" w:styleId="ListNumber">
    <w:name w:val="List Number"/>
    <w:basedOn w:val="Normal"/>
    <w:rsid w:val="00500D04"/>
    <w:pPr>
      <w:tabs>
        <w:tab w:val="num" w:pos="360"/>
      </w:tabs>
      <w:ind w:left="360" w:hanging="360"/>
    </w:pPr>
  </w:style>
  <w:style w:type="paragraph" w:styleId="ListNumber2">
    <w:name w:val="List Number 2"/>
    <w:basedOn w:val="Normal"/>
    <w:rsid w:val="00500D04"/>
    <w:pPr>
      <w:tabs>
        <w:tab w:val="num" w:pos="643"/>
      </w:tabs>
      <w:ind w:left="643" w:hanging="360"/>
    </w:pPr>
  </w:style>
  <w:style w:type="paragraph" w:styleId="ListNumber3">
    <w:name w:val="List Number 3"/>
    <w:basedOn w:val="Normal"/>
    <w:rsid w:val="00500D04"/>
    <w:pPr>
      <w:tabs>
        <w:tab w:val="num" w:pos="926"/>
      </w:tabs>
      <w:ind w:left="926" w:hanging="360"/>
    </w:pPr>
  </w:style>
  <w:style w:type="paragraph" w:styleId="ListNumber4">
    <w:name w:val="List Number 4"/>
    <w:basedOn w:val="Normal"/>
    <w:rsid w:val="00500D04"/>
    <w:pPr>
      <w:tabs>
        <w:tab w:val="num" w:pos="1209"/>
      </w:tabs>
      <w:ind w:left="1209" w:hanging="360"/>
    </w:pPr>
  </w:style>
  <w:style w:type="paragraph" w:styleId="ListNumber5">
    <w:name w:val="List Number 5"/>
    <w:basedOn w:val="Normal"/>
    <w:rsid w:val="00500D04"/>
    <w:pPr>
      <w:tabs>
        <w:tab w:val="num" w:pos="1492"/>
      </w:tabs>
      <w:ind w:left="1492" w:hanging="360"/>
    </w:pPr>
  </w:style>
  <w:style w:type="paragraph" w:styleId="MessageHeader">
    <w:name w:val="Message Header"/>
    <w:basedOn w:val="Normal"/>
    <w:link w:val="MessageHeaderChar"/>
    <w:rsid w:val="00500D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00D04"/>
  </w:style>
  <w:style w:type="paragraph" w:styleId="NormalIndent">
    <w:name w:val="Normal Indent"/>
    <w:basedOn w:val="Normal"/>
    <w:rsid w:val="00500D04"/>
    <w:pPr>
      <w:ind w:left="720"/>
    </w:pPr>
  </w:style>
  <w:style w:type="character" w:styleId="PageNumber">
    <w:name w:val="page number"/>
    <w:basedOn w:val="DefaultParagraphFont"/>
    <w:rsid w:val="00500D04"/>
  </w:style>
  <w:style w:type="paragraph" w:styleId="PlainText">
    <w:name w:val="Plain Text"/>
    <w:basedOn w:val="Normal"/>
    <w:link w:val="PlainTextChar"/>
    <w:rsid w:val="00500D04"/>
    <w:rPr>
      <w:rFonts w:ascii="Courier New" w:hAnsi="Courier New" w:cs="Courier New"/>
      <w:sz w:val="20"/>
    </w:rPr>
  </w:style>
  <w:style w:type="paragraph" w:styleId="Salutation">
    <w:name w:val="Salutation"/>
    <w:basedOn w:val="Normal"/>
    <w:next w:val="Normal"/>
    <w:link w:val="SalutationChar"/>
    <w:rsid w:val="00500D04"/>
  </w:style>
  <w:style w:type="paragraph" w:styleId="Signature">
    <w:name w:val="Signature"/>
    <w:basedOn w:val="Normal"/>
    <w:link w:val="SignatureChar"/>
    <w:rsid w:val="00500D04"/>
    <w:pPr>
      <w:ind w:left="4252"/>
    </w:pPr>
  </w:style>
  <w:style w:type="character" w:styleId="Strong">
    <w:name w:val="Strong"/>
    <w:basedOn w:val="DefaultParagraphFont"/>
    <w:qFormat/>
    <w:rsid w:val="00500D04"/>
    <w:rPr>
      <w:b/>
      <w:bCs/>
    </w:rPr>
  </w:style>
  <w:style w:type="paragraph" w:styleId="Subtitle">
    <w:name w:val="Subtitle"/>
    <w:basedOn w:val="Normal"/>
    <w:link w:val="SubtitleChar"/>
    <w:qFormat/>
    <w:rsid w:val="00500D04"/>
    <w:pPr>
      <w:spacing w:after="60"/>
      <w:jc w:val="center"/>
      <w:outlineLvl w:val="1"/>
    </w:pPr>
    <w:rPr>
      <w:rFonts w:ascii="Arial" w:hAnsi="Arial" w:cs="Arial"/>
    </w:rPr>
  </w:style>
  <w:style w:type="table" w:styleId="Table3Deffects1">
    <w:name w:val="Table 3D effects 1"/>
    <w:basedOn w:val="TableNormal"/>
    <w:rsid w:val="00500D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0D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0D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0D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0D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0D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0D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0D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0D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0D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0D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0D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0D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0D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0D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0D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0D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0D0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00D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0D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0D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0D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0D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0D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0D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0D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0D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0D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0D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0D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0D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0D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0D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0D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0D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0D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0D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0D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0D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0D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0D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0D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0D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00D04"/>
    <w:pPr>
      <w:spacing w:before="240" w:after="60"/>
    </w:pPr>
    <w:rPr>
      <w:rFonts w:ascii="Arial" w:hAnsi="Arial" w:cs="Arial"/>
      <w:b/>
      <w:bCs/>
      <w:sz w:val="40"/>
      <w:szCs w:val="40"/>
    </w:rPr>
  </w:style>
  <w:style w:type="character" w:customStyle="1" w:styleId="CharAmSchNo">
    <w:name w:val="CharAmSchNo"/>
    <w:basedOn w:val="OPCCharBase"/>
    <w:qFormat/>
    <w:rsid w:val="00500D04"/>
  </w:style>
  <w:style w:type="character" w:customStyle="1" w:styleId="CharAmSchText">
    <w:name w:val="CharAmSchText"/>
    <w:basedOn w:val="OPCCharBase"/>
    <w:qFormat/>
    <w:rsid w:val="00500D04"/>
  </w:style>
  <w:style w:type="character" w:customStyle="1" w:styleId="CharChapNo">
    <w:name w:val="CharChapNo"/>
    <w:basedOn w:val="OPCCharBase"/>
    <w:uiPriority w:val="1"/>
    <w:qFormat/>
    <w:rsid w:val="00500D04"/>
  </w:style>
  <w:style w:type="character" w:customStyle="1" w:styleId="CharChapText">
    <w:name w:val="CharChapText"/>
    <w:basedOn w:val="OPCCharBase"/>
    <w:uiPriority w:val="1"/>
    <w:qFormat/>
    <w:rsid w:val="00500D04"/>
  </w:style>
  <w:style w:type="character" w:customStyle="1" w:styleId="CharDivNo">
    <w:name w:val="CharDivNo"/>
    <w:basedOn w:val="OPCCharBase"/>
    <w:uiPriority w:val="1"/>
    <w:qFormat/>
    <w:rsid w:val="00500D04"/>
  </w:style>
  <w:style w:type="character" w:customStyle="1" w:styleId="CharDivText">
    <w:name w:val="CharDivText"/>
    <w:basedOn w:val="OPCCharBase"/>
    <w:uiPriority w:val="1"/>
    <w:qFormat/>
    <w:rsid w:val="00500D04"/>
  </w:style>
  <w:style w:type="character" w:customStyle="1" w:styleId="CharPartNo">
    <w:name w:val="CharPartNo"/>
    <w:basedOn w:val="OPCCharBase"/>
    <w:uiPriority w:val="1"/>
    <w:qFormat/>
    <w:rsid w:val="00500D04"/>
  </w:style>
  <w:style w:type="character" w:customStyle="1" w:styleId="CharPartText">
    <w:name w:val="CharPartText"/>
    <w:basedOn w:val="OPCCharBase"/>
    <w:uiPriority w:val="1"/>
    <w:qFormat/>
    <w:rsid w:val="00500D04"/>
  </w:style>
  <w:style w:type="character" w:customStyle="1" w:styleId="OPCCharBase">
    <w:name w:val="OPCCharBase"/>
    <w:uiPriority w:val="1"/>
    <w:qFormat/>
    <w:rsid w:val="00500D04"/>
  </w:style>
  <w:style w:type="paragraph" w:customStyle="1" w:styleId="OPCParaBase">
    <w:name w:val="OPCParaBase"/>
    <w:link w:val="OPCParaBaseChar"/>
    <w:qFormat/>
    <w:rsid w:val="00500D04"/>
    <w:pPr>
      <w:spacing w:line="260" w:lineRule="atLeast"/>
    </w:pPr>
    <w:rPr>
      <w:sz w:val="22"/>
    </w:rPr>
  </w:style>
  <w:style w:type="character" w:customStyle="1" w:styleId="CharSectno">
    <w:name w:val="CharSectno"/>
    <w:basedOn w:val="OPCCharBase"/>
    <w:qFormat/>
    <w:rsid w:val="00500D04"/>
  </w:style>
  <w:style w:type="character" w:styleId="EndnoteReference">
    <w:name w:val="endnote reference"/>
    <w:basedOn w:val="DefaultParagraphFont"/>
    <w:rsid w:val="00500D04"/>
    <w:rPr>
      <w:vertAlign w:val="superscript"/>
    </w:rPr>
  </w:style>
  <w:style w:type="paragraph" w:styleId="EndnoteText">
    <w:name w:val="endnote text"/>
    <w:basedOn w:val="Normal"/>
    <w:link w:val="EndnoteTextChar"/>
    <w:rsid w:val="00500D04"/>
    <w:rPr>
      <w:sz w:val="20"/>
    </w:rPr>
  </w:style>
  <w:style w:type="character" w:styleId="FootnoteReference">
    <w:name w:val="footnote reference"/>
    <w:basedOn w:val="DefaultParagraphFont"/>
    <w:rsid w:val="00500D04"/>
    <w:rPr>
      <w:rFonts w:ascii="Times New Roman" w:hAnsi="Times New Roman"/>
      <w:sz w:val="20"/>
      <w:vertAlign w:val="superscript"/>
    </w:rPr>
  </w:style>
  <w:style w:type="paragraph" w:styleId="FootnoteText">
    <w:name w:val="footnote text"/>
    <w:basedOn w:val="Normal"/>
    <w:link w:val="FootnoteTextChar"/>
    <w:rsid w:val="00500D04"/>
    <w:rPr>
      <w:sz w:val="20"/>
    </w:rPr>
  </w:style>
  <w:style w:type="paragraph" w:customStyle="1" w:styleId="Formula">
    <w:name w:val="Formula"/>
    <w:basedOn w:val="OPCParaBase"/>
    <w:rsid w:val="00500D04"/>
    <w:pPr>
      <w:spacing w:line="240" w:lineRule="auto"/>
      <w:ind w:left="1134"/>
    </w:pPr>
    <w:rPr>
      <w:sz w:val="20"/>
    </w:rPr>
  </w:style>
  <w:style w:type="paragraph" w:customStyle="1" w:styleId="ShortT">
    <w:name w:val="ShortT"/>
    <w:basedOn w:val="OPCParaBase"/>
    <w:next w:val="Normal"/>
    <w:qFormat/>
    <w:rsid w:val="00500D04"/>
    <w:pPr>
      <w:spacing w:line="240" w:lineRule="auto"/>
    </w:pPr>
    <w:rPr>
      <w:b/>
      <w:sz w:val="40"/>
    </w:rPr>
  </w:style>
  <w:style w:type="paragraph" w:customStyle="1" w:styleId="Penalty">
    <w:name w:val="Penalty"/>
    <w:basedOn w:val="OPCParaBase"/>
    <w:rsid w:val="00500D04"/>
    <w:pPr>
      <w:tabs>
        <w:tab w:val="left" w:pos="2977"/>
      </w:tabs>
      <w:spacing w:before="180" w:line="240" w:lineRule="auto"/>
      <w:ind w:left="1985" w:hanging="851"/>
    </w:pPr>
  </w:style>
  <w:style w:type="paragraph" w:styleId="TOC1">
    <w:name w:val="toc 1"/>
    <w:basedOn w:val="Normal"/>
    <w:next w:val="Normal"/>
    <w:uiPriority w:val="39"/>
    <w:unhideWhenUsed/>
    <w:rsid w:val="00500D0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00D0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00D0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00D0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00D0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00D0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00D0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00D0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00D0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500D04"/>
    <w:pPr>
      <w:spacing w:line="240" w:lineRule="auto"/>
    </w:pPr>
    <w:rPr>
      <w:sz w:val="20"/>
    </w:rPr>
  </w:style>
  <w:style w:type="paragraph" w:customStyle="1" w:styleId="ActHead1">
    <w:name w:val="ActHead 1"/>
    <w:aliases w:val="c"/>
    <w:basedOn w:val="OPCParaBase"/>
    <w:next w:val="Normal"/>
    <w:qFormat/>
    <w:rsid w:val="00500D04"/>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00D04"/>
    <w:pPr>
      <w:spacing w:line="240" w:lineRule="auto"/>
    </w:pPr>
    <w:rPr>
      <w:rFonts w:ascii="Tahoma" w:hAnsi="Tahoma" w:cs="Tahoma"/>
      <w:sz w:val="16"/>
      <w:szCs w:val="16"/>
    </w:rPr>
  </w:style>
  <w:style w:type="paragraph" w:styleId="Caption">
    <w:name w:val="caption"/>
    <w:basedOn w:val="Normal"/>
    <w:next w:val="Normal"/>
    <w:qFormat/>
    <w:rsid w:val="00500D04"/>
    <w:pPr>
      <w:spacing w:before="120" w:after="120"/>
    </w:pPr>
    <w:rPr>
      <w:b/>
      <w:bCs/>
      <w:sz w:val="20"/>
    </w:rPr>
  </w:style>
  <w:style w:type="character" w:styleId="CommentReference">
    <w:name w:val="annotation reference"/>
    <w:basedOn w:val="DefaultParagraphFont"/>
    <w:rsid w:val="00500D04"/>
    <w:rPr>
      <w:sz w:val="16"/>
      <w:szCs w:val="16"/>
    </w:rPr>
  </w:style>
  <w:style w:type="paragraph" w:styleId="CommentText">
    <w:name w:val="annotation text"/>
    <w:basedOn w:val="Normal"/>
    <w:link w:val="CommentTextChar"/>
    <w:rsid w:val="00500D04"/>
    <w:rPr>
      <w:sz w:val="20"/>
    </w:rPr>
  </w:style>
  <w:style w:type="paragraph" w:styleId="CommentSubject">
    <w:name w:val="annotation subject"/>
    <w:basedOn w:val="CommentText"/>
    <w:next w:val="CommentText"/>
    <w:link w:val="CommentSubjectChar"/>
    <w:rsid w:val="00500D04"/>
    <w:rPr>
      <w:b/>
      <w:bCs/>
    </w:rPr>
  </w:style>
  <w:style w:type="paragraph" w:styleId="DocumentMap">
    <w:name w:val="Document Map"/>
    <w:basedOn w:val="Normal"/>
    <w:link w:val="DocumentMapChar"/>
    <w:rsid w:val="00500D04"/>
    <w:pPr>
      <w:shd w:val="clear" w:color="auto" w:fill="000080"/>
    </w:pPr>
    <w:rPr>
      <w:rFonts w:ascii="Tahoma" w:hAnsi="Tahoma" w:cs="Tahoma"/>
    </w:rPr>
  </w:style>
  <w:style w:type="paragraph" w:styleId="Index1">
    <w:name w:val="index 1"/>
    <w:basedOn w:val="Normal"/>
    <w:next w:val="Normal"/>
    <w:autoRedefine/>
    <w:rsid w:val="00500D04"/>
    <w:pPr>
      <w:ind w:left="240" w:hanging="240"/>
    </w:pPr>
  </w:style>
  <w:style w:type="paragraph" w:styleId="Index2">
    <w:name w:val="index 2"/>
    <w:basedOn w:val="Normal"/>
    <w:next w:val="Normal"/>
    <w:autoRedefine/>
    <w:rsid w:val="00500D04"/>
    <w:pPr>
      <w:ind w:left="480" w:hanging="240"/>
    </w:pPr>
  </w:style>
  <w:style w:type="paragraph" w:styleId="Index3">
    <w:name w:val="index 3"/>
    <w:basedOn w:val="Normal"/>
    <w:next w:val="Normal"/>
    <w:autoRedefine/>
    <w:rsid w:val="00500D04"/>
    <w:pPr>
      <w:ind w:left="720" w:hanging="240"/>
    </w:pPr>
  </w:style>
  <w:style w:type="paragraph" w:styleId="Index4">
    <w:name w:val="index 4"/>
    <w:basedOn w:val="Normal"/>
    <w:next w:val="Normal"/>
    <w:autoRedefine/>
    <w:rsid w:val="00500D04"/>
    <w:pPr>
      <w:ind w:left="960" w:hanging="240"/>
    </w:pPr>
  </w:style>
  <w:style w:type="paragraph" w:styleId="Index5">
    <w:name w:val="index 5"/>
    <w:basedOn w:val="Normal"/>
    <w:next w:val="Normal"/>
    <w:autoRedefine/>
    <w:rsid w:val="00500D04"/>
    <w:pPr>
      <w:ind w:left="1200" w:hanging="240"/>
    </w:pPr>
  </w:style>
  <w:style w:type="paragraph" w:styleId="Index6">
    <w:name w:val="index 6"/>
    <w:basedOn w:val="Normal"/>
    <w:next w:val="Normal"/>
    <w:autoRedefine/>
    <w:rsid w:val="00500D04"/>
    <w:pPr>
      <w:ind w:left="1440" w:hanging="240"/>
    </w:pPr>
  </w:style>
  <w:style w:type="paragraph" w:styleId="Index7">
    <w:name w:val="index 7"/>
    <w:basedOn w:val="Normal"/>
    <w:next w:val="Normal"/>
    <w:autoRedefine/>
    <w:rsid w:val="00500D04"/>
    <w:pPr>
      <w:ind w:left="1680" w:hanging="240"/>
    </w:pPr>
  </w:style>
  <w:style w:type="paragraph" w:styleId="Index8">
    <w:name w:val="index 8"/>
    <w:basedOn w:val="Normal"/>
    <w:next w:val="Normal"/>
    <w:autoRedefine/>
    <w:rsid w:val="00500D04"/>
    <w:pPr>
      <w:ind w:left="1920" w:hanging="240"/>
    </w:pPr>
  </w:style>
  <w:style w:type="paragraph" w:styleId="Index9">
    <w:name w:val="index 9"/>
    <w:basedOn w:val="Normal"/>
    <w:next w:val="Normal"/>
    <w:autoRedefine/>
    <w:rsid w:val="00500D04"/>
    <w:pPr>
      <w:ind w:left="2160" w:hanging="240"/>
    </w:pPr>
  </w:style>
  <w:style w:type="paragraph" w:styleId="IndexHeading">
    <w:name w:val="index heading"/>
    <w:basedOn w:val="Normal"/>
    <w:next w:val="Index1"/>
    <w:rsid w:val="00500D04"/>
    <w:rPr>
      <w:rFonts w:ascii="Arial" w:hAnsi="Arial" w:cs="Arial"/>
      <w:b/>
      <w:bCs/>
    </w:rPr>
  </w:style>
  <w:style w:type="paragraph" w:styleId="MacroText">
    <w:name w:val="macro"/>
    <w:link w:val="MacroTextChar"/>
    <w:rsid w:val="00500D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00D04"/>
    <w:pPr>
      <w:ind w:left="240" w:hanging="240"/>
    </w:pPr>
  </w:style>
  <w:style w:type="paragraph" w:styleId="TableofFigures">
    <w:name w:val="table of figures"/>
    <w:basedOn w:val="Normal"/>
    <w:next w:val="Normal"/>
    <w:rsid w:val="00500D04"/>
    <w:pPr>
      <w:ind w:left="480" w:hanging="480"/>
    </w:pPr>
  </w:style>
  <w:style w:type="paragraph" w:styleId="TOAHeading">
    <w:name w:val="toa heading"/>
    <w:basedOn w:val="Normal"/>
    <w:next w:val="Normal"/>
    <w:rsid w:val="00500D04"/>
    <w:pPr>
      <w:spacing w:before="120"/>
    </w:pPr>
    <w:rPr>
      <w:rFonts w:ascii="Arial" w:hAnsi="Arial" w:cs="Arial"/>
      <w:b/>
      <w:bCs/>
    </w:rPr>
  </w:style>
  <w:style w:type="character" w:customStyle="1" w:styleId="FootnoteTextChar">
    <w:name w:val="Footnote Text Char"/>
    <w:basedOn w:val="DefaultParagraphFont"/>
    <w:link w:val="FootnoteText"/>
    <w:rsid w:val="00500D04"/>
    <w:rPr>
      <w:rFonts w:eastAsiaTheme="minorHAnsi" w:cstheme="minorBidi"/>
      <w:lang w:eastAsia="en-US"/>
    </w:rPr>
  </w:style>
  <w:style w:type="paragraph" w:customStyle="1" w:styleId="labelled">
    <w:name w:val="labelled"/>
    <w:basedOn w:val="Normal"/>
    <w:rsid w:val="00AF2C21"/>
    <w:rPr>
      <w:lang w:val="en-NZ" w:eastAsia="en-NZ"/>
    </w:rPr>
  </w:style>
  <w:style w:type="paragraph" w:styleId="ListParagraph">
    <w:name w:val="List Paragraph"/>
    <w:basedOn w:val="Normal"/>
    <w:uiPriority w:val="34"/>
    <w:qFormat/>
    <w:rsid w:val="00500D04"/>
    <w:pPr>
      <w:ind w:left="720"/>
      <w:contextualSpacing/>
    </w:pPr>
  </w:style>
  <w:style w:type="character" w:customStyle="1" w:styleId="HeaderChar">
    <w:name w:val="Header Char"/>
    <w:basedOn w:val="DefaultParagraphFont"/>
    <w:link w:val="Header"/>
    <w:rsid w:val="00500D04"/>
    <w:rPr>
      <w:sz w:val="16"/>
    </w:rPr>
  </w:style>
  <w:style w:type="paragraph" w:customStyle="1" w:styleId="SchedulePara">
    <w:name w:val="Schedule Para"/>
    <w:basedOn w:val="Normal"/>
    <w:uiPriority w:val="99"/>
    <w:rsid w:val="00536372"/>
    <w:pPr>
      <w:autoSpaceDE w:val="0"/>
      <w:autoSpaceDN w:val="0"/>
      <w:spacing w:before="180" w:line="260" w:lineRule="exact"/>
      <w:ind w:left="964" w:hanging="964"/>
    </w:pPr>
  </w:style>
  <w:style w:type="paragraph" w:customStyle="1" w:styleId="ActHead2">
    <w:name w:val="ActHead 2"/>
    <w:aliases w:val="p"/>
    <w:basedOn w:val="OPCParaBase"/>
    <w:next w:val="ActHead3"/>
    <w:qFormat/>
    <w:rsid w:val="00500D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0D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0D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0D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0D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0D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0D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0D0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0D04"/>
  </w:style>
  <w:style w:type="paragraph" w:customStyle="1" w:styleId="Blocks">
    <w:name w:val="Blocks"/>
    <w:aliases w:val="bb"/>
    <w:basedOn w:val="OPCParaBase"/>
    <w:qFormat/>
    <w:rsid w:val="00500D04"/>
    <w:pPr>
      <w:spacing w:line="240" w:lineRule="auto"/>
    </w:pPr>
    <w:rPr>
      <w:sz w:val="24"/>
    </w:rPr>
  </w:style>
  <w:style w:type="paragraph" w:customStyle="1" w:styleId="BoxText">
    <w:name w:val="BoxText"/>
    <w:aliases w:val="bt"/>
    <w:basedOn w:val="OPCParaBase"/>
    <w:qFormat/>
    <w:rsid w:val="00500D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0D04"/>
    <w:rPr>
      <w:b/>
    </w:rPr>
  </w:style>
  <w:style w:type="paragraph" w:customStyle="1" w:styleId="BoxHeadItalic">
    <w:name w:val="BoxHeadItalic"/>
    <w:aliases w:val="bhi"/>
    <w:basedOn w:val="BoxText"/>
    <w:next w:val="BoxStep"/>
    <w:qFormat/>
    <w:rsid w:val="00500D04"/>
    <w:rPr>
      <w:i/>
    </w:rPr>
  </w:style>
  <w:style w:type="paragraph" w:customStyle="1" w:styleId="BoxList">
    <w:name w:val="BoxList"/>
    <w:aliases w:val="bl"/>
    <w:basedOn w:val="BoxText"/>
    <w:qFormat/>
    <w:rsid w:val="00500D04"/>
    <w:pPr>
      <w:ind w:left="1559" w:hanging="425"/>
    </w:pPr>
  </w:style>
  <w:style w:type="paragraph" w:customStyle="1" w:styleId="BoxNote">
    <w:name w:val="BoxNote"/>
    <w:aliases w:val="bn"/>
    <w:basedOn w:val="BoxText"/>
    <w:qFormat/>
    <w:rsid w:val="00500D04"/>
    <w:pPr>
      <w:tabs>
        <w:tab w:val="left" w:pos="1985"/>
      </w:tabs>
      <w:spacing w:before="122" w:line="198" w:lineRule="exact"/>
      <w:ind w:left="2948" w:hanging="1814"/>
    </w:pPr>
    <w:rPr>
      <w:sz w:val="18"/>
    </w:rPr>
  </w:style>
  <w:style w:type="paragraph" w:customStyle="1" w:styleId="BoxPara">
    <w:name w:val="BoxPara"/>
    <w:aliases w:val="bp"/>
    <w:basedOn w:val="BoxText"/>
    <w:qFormat/>
    <w:rsid w:val="00500D04"/>
    <w:pPr>
      <w:tabs>
        <w:tab w:val="right" w:pos="2268"/>
      </w:tabs>
      <w:ind w:left="2552" w:hanging="1418"/>
    </w:pPr>
  </w:style>
  <w:style w:type="paragraph" w:customStyle="1" w:styleId="BoxStep">
    <w:name w:val="BoxStep"/>
    <w:aliases w:val="bs"/>
    <w:basedOn w:val="BoxText"/>
    <w:qFormat/>
    <w:rsid w:val="00500D04"/>
    <w:pPr>
      <w:ind w:left="1985" w:hanging="851"/>
    </w:pPr>
  </w:style>
  <w:style w:type="character" w:customStyle="1" w:styleId="CharAmPartNo">
    <w:name w:val="CharAmPartNo"/>
    <w:basedOn w:val="OPCCharBase"/>
    <w:qFormat/>
    <w:rsid w:val="00500D04"/>
  </w:style>
  <w:style w:type="character" w:customStyle="1" w:styleId="CharAmPartText">
    <w:name w:val="CharAmPartText"/>
    <w:basedOn w:val="OPCCharBase"/>
    <w:qFormat/>
    <w:rsid w:val="00500D04"/>
  </w:style>
  <w:style w:type="character" w:customStyle="1" w:styleId="CharBoldItalic">
    <w:name w:val="CharBoldItalic"/>
    <w:basedOn w:val="OPCCharBase"/>
    <w:uiPriority w:val="1"/>
    <w:qFormat/>
    <w:rsid w:val="00500D04"/>
    <w:rPr>
      <w:b/>
      <w:i/>
    </w:rPr>
  </w:style>
  <w:style w:type="character" w:customStyle="1" w:styleId="CharItalic">
    <w:name w:val="CharItalic"/>
    <w:basedOn w:val="OPCCharBase"/>
    <w:uiPriority w:val="1"/>
    <w:qFormat/>
    <w:rsid w:val="00500D04"/>
    <w:rPr>
      <w:i/>
    </w:rPr>
  </w:style>
  <w:style w:type="character" w:customStyle="1" w:styleId="CharSubdNo">
    <w:name w:val="CharSubdNo"/>
    <w:basedOn w:val="OPCCharBase"/>
    <w:uiPriority w:val="1"/>
    <w:qFormat/>
    <w:rsid w:val="00500D04"/>
  </w:style>
  <w:style w:type="character" w:customStyle="1" w:styleId="CharSubdText">
    <w:name w:val="CharSubdText"/>
    <w:basedOn w:val="OPCCharBase"/>
    <w:uiPriority w:val="1"/>
    <w:qFormat/>
    <w:rsid w:val="00500D04"/>
  </w:style>
  <w:style w:type="paragraph" w:customStyle="1" w:styleId="CTA--">
    <w:name w:val="CTA --"/>
    <w:basedOn w:val="OPCParaBase"/>
    <w:next w:val="Normal"/>
    <w:rsid w:val="00500D04"/>
    <w:pPr>
      <w:spacing w:before="60" w:line="240" w:lineRule="atLeast"/>
      <w:ind w:left="142" w:hanging="142"/>
    </w:pPr>
    <w:rPr>
      <w:sz w:val="20"/>
    </w:rPr>
  </w:style>
  <w:style w:type="paragraph" w:customStyle="1" w:styleId="CTA-">
    <w:name w:val="CTA -"/>
    <w:basedOn w:val="OPCParaBase"/>
    <w:rsid w:val="00500D04"/>
    <w:pPr>
      <w:spacing w:before="60" w:line="240" w:lineRule="atLeast"/>
      <w:ind w:left="85" w:hanging="85"/>
    </w:pPr>
    <w:rPr>
      <w:sz w:val="20"/>
    </w:rPr>
  </w:style>
  <w:style w:type="paragraph" w:customStyle="1" w:styleId="CTA---">
    <w:name w:val="CTA ---"/>
    <w:basedOn w:val="OPCParaBase"/>
    <w:next w:val="Normal"/>
    <w:rsid w:val="00500D04"/>
    <w:pPr>
      <w:spacing w:before="60" w:line="240" w:lineRule="atLeast"/>
      <w:ind w:left="198" w:hanging="198"/>
    </w:pPr>
    <w:rPr>
      <w:sz w:val="20"/>
    </w:rPr>
  </w:style>
  <w:style w:type="paragraph" w:customStyle="1" w:styleId="CTA----">
    <w:name w:val="CTA ----"/>
    <w:basedOn w:val="OPCParaBase"/>
    <w:next w:val="Normal"/>
    <w:rsid w:val="00500D04"/>
    <w:pPr>
      <w:spacing w:before="60" w:line="240" w:lineRule="atLeast"/>
      <w:ind w:left="255" w:hanging="255"/>
    </w:pPr>
    <w:rPr>
      <w:sz w:val="20"/>
    </w:rPr>
  </w:style>
  <w:style w:type="paragraph" w:customStyle="1" w:styleId="CTA1a">
    <w:name w:val="CTA 1(a)"/>
    <w:basedOn w:val="OPCParaBase"/>
    <w:rsid w:val="00500D04"/>
    <w:pPr>
      <w:tabs>
        <w:tab w:val="right" w:pos="414"/>
      </w:tabs>
      <w:spacing w:before="40" w:line="240" w:lineRule="atLeast"/>
      <w:ind w:left="675" w:hanging="675"/>
    </w:pPr>
    <w:rPr>
      <w:sz w:val="20"/>
    </w:rPr>
  </w:style>
  <w:style w:type="paragraph" w:customStyle="1" w:styleId="CTA1ai">
    <w:name w:val="CTA 1(a)(i)"/>
    <w:basedOn w:val="OPCParaBase"/>
    <w:rsid w:val="00500D04"/>
    <w:pPr>
      <w:tabs>
        <w:tab w:val="right" w:pos="1004"/>
      </w:tabs>
      <w:spacing w:before="40" w:line="240" w:lineRule="atLeast"/>
      <w:ind w:left="1253" w:hanging="1253"/>
    </w:pPr>
    <w:rPr>
      <w:sz w:val="20"/>
    </w:rPr>
  </w:style>
  <w:style w:type="paragraph" w:customStyle="1" w:styleId="CTA2a">
    <w:name w:val="CTA 2(a)"/>
    <w:basedOn w:val="OPCParaBase"/>
    <w:rsid w:val="00500D04"/>
    <w:pPr>
      <w:tabs>
        <w:tab w:val="right" w:pos="482"/>
      </w:tabs>
      <w:spacing w:before="40" w:line="240" w:lineRule="atLeast"/>
      <w:ind w:left="748" w:hanging="748"/>
    </w:pPr>
    <w:rPr>
      <w:sz w:val="20"/>
    </w:rPr>
  </w:style>
  <w:style w:type="paragraph" w:customStyle="1" w:styleId="CTA2ai">
    <w:name w:val="CTA 2(a)(i)"/>
    <w:basedOn w:val="OPCParaBase"/>
    <w:rsid w:val="00500D04"/>
    <w:pPr>
      <w:tabs>
        <w:tab w:val="right" w:pos="1089"/>
      </w:tabs>
      <w:spacing w:before="40" w:line="240" w:lineRule="atLeast"/>
      <w:ind w:left="1327" w:hanging="1327"/>
    </w:pPr>
    <w:rPr>
      <w:sz w:val="20"/>
    </w:rPr>
  </w:style>
  <w:style w:type="paragraph" w:customStyle="1" w:styleId="CTA3a">
    <w:name w:val="CTA 3(a)"/>
    <w:basedOn w:val="OPCParaBase"/>
    <w:rsid w:val="00500D04"/>
    <w:pPr>
      <w:tabs>
        <w:tab w:val="right" w:pos="556"/>
      </w:tabs>
      <w:spacing w:before="40" w:line="240" w:lineRule="atLeast"/>
      <w:ind w:left="805" w:hanging="805"/>
    </w:pPr>
    <w:rPr>
      <w:sz w:val="20"/>
    </w:rPr>
  </w:style>
  <w:style w:type="paragraph" w:customStyle="1" w:styleId="CTA3ai">
    <w:name w:val="CTA 3(a)(i)"/>
    <w:basedOn w:val="OPCParaBase"/>
    <w:rsid w:val="00500D04"/>
    <w:pPr>
      <w:tabs>
        <w:tab w:val="right" w:pos="1140"/>
      </w:tabs>
      <w:spacing w:before="40" w:line="240" w:lineRule="atLeast"/>
      <w:ind w:left="1361" w:hanging="1361"/>
    </w:pPr>
    <w:rPr>
      <w:sz w:val="20"/>
    </w:rPr>
  </w:style>
  <w:style w:type="paragraph" w:customStyle="1" w:styleId="CTA4a">
    <w:name w:val="CTA 4(a)"/>
    <w:basedOn w:val="OPCParaBase"/>
    <w:rsid w:val="00500D04"/>
    <w:pPr>
      <w:tabs>
        <w:tab w:val="right" w:pos="624"/>
      </w:tabs>
      <w:spacing w:before="40" w:line="240" w:lineRule="atLeast"/>
      <w:ind w:left="873" w:hanging="873"/>
    </w:pPr>
    <w:rPr>
      <w:sz w:val="20"/>
    </w:rPr>
  </w:style>
  <w:style w:type="paragraph" w:customStyle="1" w:styleId="CTA4ai">
    <w:name w:val="CTA 4(a)(i)"/>
    <w:basedOn w:val="OPCParaBase"/>
    <w:rsid w:val="00500D04"/>
    <w:pPr>
      <w:tabs>
        <w:tab w:val="right" w:pos="1213"/>
      </w:tabs>
      <w:spacing w:before="40" w:line="240" w:lineRule="atLeast"/>
      <w:ind w:left="1452" w:hanging="1452"/>
    </w:pPr>
    <w:rPr>
      <w:sz w:val="20"/>
    </w:rPr>
  </w:style>
  <w:style w:type="paragraph" w:customStyle="1" w:styleId="CTACAPS">
    <w:name w:val="CTA CAPS"/>
    <w:basedOn w:val="OPCParaBase"/>
    <w:rsid w:val="00500D04"/>
    <w:pPr>
      <w:spacing w:before="60" w:line="240" w:lineRule="atLeast"/>
    </w:pPr>
    <w:rPr>
      <w:sz w:val="20"/>
    </w:rPr>
  </w:style>
  <w:style w:type="paragraph" w:customStyle="1" w:styleId="CTAright">
    <w:name w:val="CTA right"/>
    <w:basedOn w:val="OPCParaBase"/>
    <w:rsid w:val="00500D04"/>
    <w:pPr>
      <w:spacing w:before="60" w:line="240" w:lineRule="auto"/>
      <w:jc w:val="right"/>
    </w:pPr>
    <w:rPr>
      <w:sz w:val="20"/>
    </w:rPr>
  </w:style>
  <w:style w:type="paragraph" w:customStyle="1" w:styleId="subsection">
    <w:name w:val="subsection"/>
    <w:aliases w:val="ss"/>
    <w:basedOn w:val="OPCParaBase"/>
    <w:link w:val="subsectionChar"/>
    <w:rsid w:val="00500D04"/>
    <w:pPr>
      <w:tabs>
        <w:tab w:val="right" w:pos="1021"/>
      </w:tabs>
      <w:spacing w:before="180" w:line="240" w:lineRule="auto"/>
      <w:ind w:left="1134" w:hanging="1134"/>
    </w:pPr>
  </w:style>
  <w:style w:type="paragraph" w:customStyle="1" w:styleId="Definition">
    <w:name w:val="Definition"/>
    <w:aliases w:val="dd"/>
    <w:basedOn w:val="OPCParaBase"/>
    <w:rsid w:val="00500D04"/>
    <w:pPr>
      <w:spacing w:before="180" w:line="240" w:lineRule="auto"/>
      <w:ind w:left="1134"/>
    </w:pPr>
  </w:style>
  <w:style w:type="paragraph" w:customStyle="1" w:styleId="EndNotespara">
    <w:name w:val="EndNotes(para)"/>
    <w:aliases w:val="eta"/>
    <w:basedOn w:val="OPCParaBase"/>
    <w:next w:val="EndNotessubpara"/>
    <w:rsid w:val="00500D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0D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0D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0D04"/>
    <w:pPr>
      <w:tabs>
        <w:tab w:val="right" w:pos="1412"/>
      </w:tabs>
      <w:spacing w:before="60" w:line="240" w:lineRule="auto"/>
      <w:ind w:left="1525" w:hanging="1525"/>
    </w:pPr>
    <w:rPr>
      <w:sz w:val="20"/>
    </w:rPr>
  </w:style>
  <w:style w:type="paragraph" w:customStyle="1" w:styleId="House">
    <w:name w:val="House"/>
    <w:basedOn w:val="OPCParaBase"/>
    <w:rsid w:val="00500D04"/>
    <w:pPr>
      <w:spacing w:line="240" w:lineRule="auto"/>
    </w:pPr>
    <w:rPr>
      <w:sz w:val="28"/>
    </w:rPr>
  </w:style>
  <w:style w:type="paragraph" w:customStyle="1" w:styleId="Item">
    <w:name w:val="Item"/>
    <w:aliases w:val="i"/>
    <w:basedOn w:val="OPCParaBase"/>
    <w:next w:val="ItemHead"/>
    <w:rsid w:val="00500D04"/>
    <w:pPr>
      <w:keepLines/>
      <w:spacing w:before="80" w:line="240" w:lineRule="auto"/>
      <w:ind w:left="709"/>
    </w:pPr>
  </w:style>
  <w:style w:type="paragraph" w:customStyle="1" w:styleId="ItemHead">
    <w:name w:val="ItemHead"/>
    <w:aliases w:val="ih"/>
    <w:basedOn w:val="OPCParaBase"/>
    <w:next w:val="Item"/>
    <w:rsid w:val="00500D0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0D04"/>
    <w:pPr>
      <w:spacing w:line="240" w:lineRule="auto"/>
    </w:pPr>
    <w:rPr>
      <w:b/>
      <w:sz w:val="32"/>
    </w:rPr>
  </w:style>
  <w:style w:type="paragraph" w:customStyle="1" w:styleId="notedraft">
    <w:name w:val="note(draft)"/>
    <w:aliases w:val="nd"/>
    <w:basedOn w:val="OPCParaBase"/>
    <w:rsid w:val="00500D04"/>
    <w:pPr>
      <w:spacing w:before="240" w:line="240" w:lineRule="auto"/>
      <w:ind w:left="284" w:hanging="284"/>
    </w:pPr>
    <w:rPr>
      <w:i/>
      <w:sz w:val="24"/>
    </w:rPr>
  </w:style>
  <w:style w:type="paragraph" w:customStyle="1" w:styleId="notemargin">
    <w:name w:val="note(margin)"/>
    <w:aliases w:val="nm"/>
    <w:basedOn w:val="OPCParaBase"/>
    <w:rsid w:val="00500D04"/>
    <w:pPr>
      <w:tabs>
        <w:tab w:val="left" w:pos="709"/>
      </w:tabs>
      <w:spacing w:before="122" w:line="198" w:lineRule="exact"/>
      <w:ind w:left="709" w:hanging="709"/>
    </w:pPr>
    <w:rPr>
      <w:sz w:val="18"/>
    </w:rPr>
  </w:style>
  <w:style w:type="paragraph" w:customStyle="1" w:styleId="noteToPara">
    <w:name w:val="noteToPara"/>
    <w:aliases w:val="ntp"/>
    <w:basedOn w:val="OPCParaBase"/>
    <w:rsid w:val="00500D04"/>
    <w:pPr>
      <w:spacing w:before="122" w:line="198" w:lineRule="exact"/>
      <w:ind w:left="2353" w:hanging="709"/>
    </w:pPr>
    <w:rPr>
      <w:sz w:val="18"/>
    </w:rPr>
  </w:style>
  <w:style w:type="paragraph" w:customStyle="1" w:styleId="noteParlAmend">
    <w:name w:val="note(ParlAmend)"/>
    <w:aliases w:val="npp"/>
    <w:basedOn w:val="OPCParaBase"/>
    <w:next w:val="ParlAmend"/>
    <w:rsid w:val="00500D04"/>
    <w:pPr>
      <w:spacing w:line="240" w:lineRule="auto"/>
      <w:jc w:val="right"/>
    </w:pPr>
    <w:rPr>
      <w:rFonts w:ascii="Arial" w:hAnsi="Arial"/>
      <w:b/>
      <w:i/>
    </w:rPr>
  </w:style>
  <w:style w:type="paragraph" w:customStyle="1" w:styleId="notetext">
    <w:name w:val="note(text)"/>
    <w:aliases w:val="n"/>
    <w:basedOn w:val="OPCParaBase"/>
    <w:link w:val="notetextChar"/>
    <w:rsid w:val="00500D04"/>
    <w:pPr>
      <w:spacing w:before="122" w:line="240" w:lineRule="auto"/>
      <w:ind w:left="1985" w:hanging="851"/>
    </w:pPr>
    <w:rPr>
      <w:sz w:val="18"/>
    </w:rPr>
  </w:style>
  <w:style w:type="paragraph" w:customStyle="1" w:styleId="Page1">
    <w:name w:val="Page1"/>
    <w:basedOn w:val="OPCParaBase"/>
    <w:rsid w:val="00500D04"/>
    <w:pPr>
      <w:spacing w:before="5600" w:line="240" w:lineRule="auto"/>
    </w:pPr>
    <w:rPr>
      <w:b/>
      <w:sz w:val="32"/>
    </w:rPr>
  </w:style>
  <w:style w:type="paragraph" w:customStyle="1" w:styleId="paragraphsub">
    <w:name w:val="paragraph(sub)"/>
    <w:aliases w:val="aa"/>
    <w:basedOn w:val="OPCParaBase"/>
    <w:rsid w:val="00500D04"/>
    <w:pPr>
      <w:tabs>
        <w:tab w:val="right" w:pos="1985"/>
      </w:tabs>
      <w:spacing w:before="40" w:line="240" w:lineRule="auto"/>
      <w:ind w:left="2098" w:hanging="2098"/>
    </w:pPr>
  </w:style>
  <w:style w:type="paragraph" w:customStyle="1" w:styleId="paragraphsub-sub">
    <w:name w:val="paragraph(sub-sub)"/>
    <w:aliases w:val="aaa"/>
    <w:basedOn w:val="OPCParaBase"/>
    <w:rsid w:val="00500D04"/>
    <w:pPr>
      <w:tabs>
        <w:tab w:val="right" w:pos="2722"/>
      </w:tabs>
      <w:spacing w:before="40" w:line="240" w:lineRule="auto"/>
      <w:ind w:left="2835" w:hanging="2835"/>
    </w:pPr>
  </w:style>
  <w:style w:type="paragraph" w:customStyle="1" w:styleId="paragraph">
    <w:name w:val="paragraph"/>
    <w:aliases w:val="a"/>
    <w:basedOn w:val="OPCParaBase"/>
    <w:link w:val="paragraphChar"/>
    <w:rsid w:val="00500D04"/>
    <w:pPr>
      <w:tabs>
        <w:tab w:val="right" w:pos="1531"/>
      </w:tabs>
      <w:spacing w:before="40" w:line="240" w:lineRule="auto"/>
      <w:ind w:left="1644" w:hanging="1644"/>
    </w:pPr>
  </w:style>
  <w:style w:type="paragraph" w:customStyle="1" w:styleId="ParlAmend">
    <w:name w:val="ParlAmend"/>
    <w:aliases w:val="pp"/>
    <w:basedOn w:val="OPCParaBase"/>
    <w:rsid w:val="00500D04"/>
    <w:pPr>
      <w:spacing w:before="240" w:line="240" w:lineRule="atLeast"/>
      <w:ind w:hanging="567"/>
    </w:pPr>
    <w:rPr>
      <w:sz w:val="24"/>
    </w:rPr>
  </w:style>
  <w:style w:type="paragraph" w:customStyle="1" w:styleId="Portfolio">
    <w:name w:val="Portfolio"/>
    <w:basedOn w:val="OPCParaBase"/>
    <w:rsid w:val="00500D04"/>
    <w:pPr>
      <w:spacing w:line="240" w:lineRule="auto"/>
    </w:pPr>
    <w:rPr>
      <w:i/>
      <w:sz w:val="20"/>
    </w:rPr>
  </w:style>
  <w:style w:type="paragraph" w:customStyle="1" w:styleId="Preamble">
    <w:name w:val="Preamble"/>
    <w:basedOn w:val="OPCParaBase"/>
    <w:next w:val="Normal"/>
    <w:rsid w:val="00500D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0D04"/>
    <w:pPr>
      <w:spacing w:line="240" w:lineRule="auto"/>
    </w:pPr>
    <w:rPr>
      <w:i/>
      <w:sz w:val="20"/>
    </w:rPr>
  </w:style>
  <w:style w:type="paragraph" w:customStyle="1" w:styleId="Session">
    <w:name w:val="Session"/>
    <w:basedOn w:val="OPCParaBase"/>
    <w:rsid w:val="00500D04"/>
    <w:pPr>
      <w:spacing w:line="240" w:lineRule="auto"/>
    </w:pPr>
    <w:rPr>
      <w:sz w:val="28"/>
    </w:rPr>
  </w:style>
  <w:style w:type="paragraph" w:customStyle="1" w:styleId="Sponsor">
    <w:name w:val="Sponsor"/>
    <w:basedOn w:val="OPCParaBase"/>
    <w:rsid w:val="00500D04"/>
    <w:pPr>
      <w:spacing w:line="240" w:lineRule="auto"/>
    </w:pPr>
    <w:rPr>
      <w:i/>
    </w:rPr>
  </w:style>
  <w:style w:type="paragraph" w:customStyle="1" w:styleId="Subitem">
    <w:name w:val="Subitem"/>
    <w:aliases w:val="iss"/>
    <w:basedOn w:val="OPCParaBase"/>
    <w:rsid w:val="00500D04"/>
    <w:pPr>
      <w:spacing w:before="180" w:line="240" w:lineRule="auto"/>
      <w:ind w:left="709" w:hanging="709"/>
    </w:pPr>
  </w:style>
  <w:style w:type="paragraph" w:customStyle="1" w:styleId="SubitemHead">
    <w:name w:val="SubitemHead"/>
    <w:aliases w:val="issh"/>
    <w:basedOn w:val="OPCParaBase"/>
    <w:rsid w:val="00500D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0D04"/>
    <w:pPr>
      <w:spacing w:before="40" w:line="240" w:lineRule="auto"/>
      <w:ind w:left="1134"/>
    </w:pPr>
  </w:style>
  <w:style w:type="paragraph" w:customStyle="1" w:styleId="SubsectionHead">
    <w:name w:val="SubsectionHead"/>
    <w:aliases w:val="ssh"/>
    <w:basedOn w:val="OPCParaBase"/>
    <w:next w:val="subsection"/>
    <w:rsid w:val="00500D04"/>
    <w:pPr>
      <w:keepNext/>
      <w:keepLines/>
      <w:spacing w:before="240" w:line="240" w:lineRule="auto"/>
      <w:ind w:left="1134"/>
    </w:pPr>
    <w:rPr>
      <w:i/>
    </w:rPr>
  </w:style>
  <w:style w:type="paragraph" w:customStyle="1" w:styleId="Tablea">
    <w:name w:val="Table(a)"/>
    <w:aliases w:val="ta"/>
    <w:basedOn w:val="OPCParaBase"/>
    <w:rsid w:val="00500D04"/>
    <w:pPr>
      <w:spacing w:before="60" w:line="240" w:lineRule="auto"/>
      <w:ind w:left="284" w:hanging="284"/>
    </w:pPr>
    <w:rPr>
      <w:sz w:val="20"/>
    </w:rPr>
  </w:style>
  <w:style w:type="paragraph" w:customStyle="1" w:styleId="TableAA">
    <w:name w:val="Table(AA)"/>
    <w:aliases w:val="taaa"/>
    <w:basedOn w:val="OPCParaBase"/>
    <w:rsid w:val="00500D0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0D0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0D04"/>
    <w:pPr>
      <w:spacing w:before="60" w:line="240" w:lineRule="atLeast"/>
    </w:pPr>
    <w:rPr>
      <w:sz w:val="20"/>
    </w:rPr>
  </w:style>
  <w:style w:type="paragraph" w:customStyle="1" w:styleId="TLPBoxTextnote">
    <w:name w:val="TLPBoxText(note"/>
    <w:aliases w:val="right)"/>
    <w:basedOn w:val="OPCParaBase"/>
    <w:rsid w:val="00500D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0D04"/>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0D04"/>
    <w:pPr>
      <w:spacing w:before="122" w:line="198" w:lineRule="exact"/>
      <w:ind w:left="1985" w:hanging="851"/>
      <w:jc w:val="right"/>
    </w:pPr>
    <w:rPr>
      <w:sz w:val="18"/>
    </w:rPr>
  </w:style>
  <w:style w:type="paragraph" w:customStyle="1" w:styleId="TLPTableBullet">
    <w:name w:val="TLPTableBullet"/>
    <w:aliases w:val="ttb"/>
    <w:basedOn w:val="OPCParaBase"/>
    <w:rsid w:val="00500D04"/>
    <w:pPr>
      <w:spacing w:line="240" w:lineRule="exact"/>
      <w:ind w:left="284" w:hanging="284"/>
    </w:pPr>
    <w:rPr>
      <w:sz w:val="20"/>
    </w:rPr>
  </w:style>
  <w:style w:type="paragraph" w:customStyle="1" w:styleId="TofSectsGroupHeading">
    <w:name w:val="TofSects(GroupHeading)"/>
    <w:basedOn w:val="OPCParaBase"/>
    <w:next w:val="TofSectsSection"/>
    <w:rsid w:val="00500D04"/>
    <w:pPr>
      <w:keepLines/>
      <w:spacing w:before="240" w:after="120" w:line="240" w:lineRule="auto"/>
      <w:ind w:left="794"/>
    </w:pPr>
    <w:rPr>
      <w:b/>
      <w:kern w:val="28"/>
      <w:sz w:val="20"/>
    </w:rPr>
  </w:style>
  <w:style w:type="paragraph" w:customStyle="1" w:styleId="TofSectsHeading">
    <w:name w:val="TofSects(Heading)"/>
    <w:basedOn w:val="OPCParaBase"/>
    <w:rsid w:val="00500D04"/>
    <w:pPr>
      <w:spacing w:before="240" w:after="120" w:line="240" w:lineRule="auto"/>
    </w:pPr>
    <w:rPr>
      <w:b/>
      <w:sz w:val="24"/>
    </w:rPr>
  </w:style>
  <w:style w:type="paragraph" w:customStyle="1" w:styleId="TofSectsSection">
    <w:name w:val="TofSects(Section)"/>
    <w:basedOn w:val="OPCParaBase"/>
    <w:rsid w:val="00500D04"/>
    <w:pPr>
      <w:keepLines/>
      <w:spacing w:before="40" w:line="240" w:lineRule="auto"/>
      <w:ind w:left="1588" w:hanging="794"/>
    </w:pPr>
    <w:rPr>
      <w:kern w:val="28"/>
      <w:sz w:val="18"/>
    </w:rPr>
  </w:style>
  <w:style w:type="paragraph" w:customStyle="1" w:styleId="TofSectsSubdiv">
    <w:name w:val="TofSects(Subdiv)"/>
    <w:basedOn w:val="OPCParaBase"/>
    <w:rsid w:val="00500D04"/>
    <w:pPr>
      <w:keepLines/>
      <w:spacing w:before="80" w:line="240" w:lineRule="auto"/>
      <w:ind w:left="1588" w:hanging="794"/>
    </w:pPr>
    <w:rPr>
      <w:kern w:val="28"/>
    </w:rPr>
  </w:style>
  <w:style w:type="paragraph" w:customStyle="1" w:styleId="WRStyle">
    <w:name w:val="WR Style"/>
    <w:aliases w:val="WR"/>
    <w:basedOn w:val="OPCParaBase"/>
    <w:rsid w:val="00500D04"/>
    <w:pPr>
      <w:spacing w:before="240" w:line="240" w:lineRule="auto"/>
      <w:ind w:left="284" w:hanging="284"/>
    </w:pPr>
    <w:rPr>
      <w:b/>
      <w:i/>
      <w:kern w:val="28"/>
      <w:sz w:val="24"/>
    </w:rPr>
  </w:style>
  <w:style w:type="paragraph" w:customStyle="1" w:styleId="notepara">
    <w:name w:val="note(para)"/>
    <w:aliases w:val="na"/>
    <w:basedOn w:val="OPCParaBase"/>
    <w:rsid w:val="00500D04"/>
    <w:pPr>
      <w:spacing w:before="40" w:line="198" w:lineRule="exact"/>
      <w:ind w:left="2354" w:hanging="369"/>
    </w:pPr>
    <w:rPr>
      <w:sz w:val="18"/>
    </w:rPr>
  </w:style>
  <w:style w:type="character" w:customStyle="1" w:styleId="FooterChar">
    <w:name w:val="Footer Char"/>
    <w:basedOn w:val="DefaultParagraphFont"/>
    <w:link w:val="Footer"/>
    <w:rsid w:val="00500D04"/>
    <w:rPr>
      <w:sz w:val="22"/>
      <w:szCs w:val="24"/>
    </w:rPr>
  </w:style>
  <w:style w:type="table" w:customStyle="1" w:styleId="CFlag">
    <w:name w:val="CFlag"/>
    <w:basedOn w:val="TableNormal"/>
    <w:uiPriority w:val="99"/>
    <w:rsid w:val="00500D04"/>
    <w:tblPr/>
  </w:style>
  <w:style w:type="character" w:customStyle="1" w:styleId="BalloonTextChar">
    <w:name w:val="Balloon Text Char"/>
    <w:basedOn w:val="DefaultParagraphFont"/>
    <w:link w:val="BalloonText"/>
    <w:uiPriority w:val="99"/>
    <w:rsid w:val="00500D04"/>
    <w:rPr>
      <w:rFonts w:ascii="Tahoma" w:eastAsiaTheme="minorHAnsi" w:hAnsi="Tahoma" w:cs="Tahoma"/>
      <w:sz w:val="16"/>
      <w:szCs w:val="16"/>
      <w:lang w:eastAsia="en-US"/>
    </w:rPr>
  </w:style>
  <w:style w:type="paragraph" w:customStyle="1" w:styleId="InstNo">
    <w:name w:val="InstNo"/>
    <w:basedOn w:val="OPCParaBase"/>
    <w:next w:val="Normal"/>
    <w:rsid w:val="00500D04"/>
    <w:rPr>
      <w:b/>
      <w:sz w:val="28"/>
      <w:szCs w:val="32"/>
    </w:rPr>
  </w:style>
  <w:style w:type="paragraph" w:customStyle="1" w:styleId="TerritoryT">
    <w:name w:val="TerritoryT"/>
    <w:basedOn w:val="OPCParaBase"/>
    <w:next w:val="Normal"/>
    <w:rsid w:val="00500D04"/>
    <w:rPr>
      <w:b/>
      <w:sz w:val="32"/>
    </w:rPr>
  </w:style>
  <w:style w:type="paragraph" w:customStyle="1" w:styleId="LegislationMadeUnder">
    <w:name w:val="LegislationMadeUnder"/>
    <w:basedOn w:val="OPCParaBase"/>
    <w:next w:val="Normal"/>
    <w:rsid w:val="00500D04"/>
    <w:rPr>
      <w:i/>
      <w:sz w:val="32"/>
      <w:szCs w:val="32"/>
    </w:rPr>
  </w:style>
  <w:style w:type="paragraph" w:customStyle="1" w:styleId="SignCoverPageEnd">
    <w:name w:val="SignCoverPageEnd"/>
    <w:basedOn w:val="OPCParaBase"/>
    <w:next w:val="Normal"/>
    <w:rsid w:val="00500D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0D04"/>
    <w:pPr>
      <w:pBdr>
        <w:top w:val="single" w:sz="4" w:space="1" w:color="auto"/>
      </w:pBdr>
      <w:spacing w:before="360"/>
      <w:ind w:right="397"/>
      <w:jc w:val="both"/>
    </w:pPr>
  </w:style>
  <w:style w:type="paragraph" w:customStyle="1" w:styleId="NotesHeading2">
    <w:name w:val="NotesHeading 2"/>
    <w:basedOn w:val="OPCParaBase"/>
    <w:next w:val="Normal"/>
    <w:rsid w:val="00500D04"/>
    <w:rPr>
      <w:b/>
      <w:sz w:val="28"/>
      <w:szCs w:val="28"/>
    </w:rPr>
  </w:style>
  <w:style w:type="paragraph" w:customStyle="1" w:styleId="NotesHeading1">
    <w:name w:val="NotesHeading 1"/>
    <w:basedOn w:val="OPCParaBase"/>
    <w:next w:val="Normal"/>
    <w:rsid w:val="00500D04"/>
    <w:rPr>
      <w:b/>
      <w:sz w:val="28"/>
      <w:szCs w:val="28"/>
    </w:rPr>
  </w:style>
  <w:style w:type="paragraph" w:customStyle="1" w:styleId="CompiledActNo">
    <w:name w:val="CompiledActNo"/>
    <w:basedOn w:val="OPCParaBase"/>
    <w:next w:val="Normal"/>
    <w:rsid w:val="00500D04"/>
    <w:rPr>
      <w:b/>
      <w:sz w:val="24"/>
      <w:szCs w:val="24"/>
    </w:rPr>
  </w:style>
  <w:style w:type="paragraph" w:customStyle="1" w:styleId="ENotesText">
    <w:name w:val="ENotesText"/>
    <w:aliases w:val="Ent"/>
    <w:basedOn w:val="OPCParaBase"/>
    <w:next w:val="Normal"/>
    <w:rsid w:val="00500D04"/>
    <w:pPr>
      <w:spacing w:before="120"/>
    </w:pPr>
  </w:style>
  <w:style w:type="paragraph" w:customStyle="1" w:styleId="CompiledMadeUnder">
    <w:name w:val="CompiledMadeUnder"/>
    <w:basedOn w:val="OPCParaBase"/>
    <w:next w:val="Normal"/>
    <w:rsid w:val="00500D04"/>
    <w:rPr>
      <w:i/>
      <w:sz w:val="24"/>
      <w:szCs w:val="24"/>
    </w:rPr>
  </w:style>
  <w:style w:type="paragraph" w:customStyle="1" w:styleId="Paragraphsub-sub-sub">
    <w:name w:val="Paragraph(sub-sub-sub)"/>
    <w:aliases w:val="aaaa"/>
    <w:basedOn w:val="OPCParaBase"/>
    <w:rsid w:val="00500D04"/>
    <w:pPr>
      <w:tabs>
        <w:tab w:val="right" w:pos="3402"/>
      </w:tabs>
      <w:spacing w:before="40" w:line="240" w:lineRule="auto"/>
      <w:ind w:left="3402" w:hanging="3402"/>
    </w:pPr>
  </w:style>
  <w:style w:type="paragraph" w:customStyle="1" w:styleId="TableTextEndNotes">
    <w:name w:val="TableTextEndNotes"/>
    <w:aliases w:val="Tten"/>
    <w:basedOn w:val="Normal"/>
    <w:rsid w:val="00500D04"/>
    <w:pPr>
      <w:spacing w:before="60" w:line="240" w:lineRule="auto"/>
    </w:pPr>
    <w:rPr>
      <w:rFonts w:cs="Arial"/>
      <w:sz w:val="20"/>
      <w:szCs w:val="22"/>
    </w:rPr>
  </w:style>
  <w:style w:type="paragraph" w:customStyle="1" w:styleId="TableHeading">
    <w:name w:val="TableHeading"/>
    <w:aliases w:val="th"/>
    <w:basedOn w:val="OPCParaBase"/>
    <w:next w:val="Tabletext"/>
    <w:rsid w:val="00500D04"/>
    <w:pPr>
      <w:keepNext/>
      <w:spacing w:before="60" w:line="240" w:lineRule="atLeast"/>
    </w:pPr>
    <w:rPr>
      <w:b/>
      <w:sz w:val="20"/>
    </w:rPr>
  </w:style>
  <w:style w:type="paragraph" w:customStyle="1" w:styleId="NoteToSubpara">
    <w:name w:val="NoteToSubpara"/>
    <w:aliases w:val="nts"/>
    <w:basedOn w:val="OPCParaBase"/>
    <w:rsid w:val="00500D04"/>
    <w:pPr>
      <w:spacing w:before="40" w:line="198" w:lineRule="exact"/>
      <w:ind w:left="2835" w:hanging="709"/>
    </w:pPr>
    <w:rPr>
      <w:sz w:val="18"/>
    </w:rPr>
  </w:style>
  <w:style w:type="paragraph" w:customStyle="1" w:styleId="ENoteTableHeading">
    <w:name w:val="ENoteTableHeading"/>
    <w:aliases w:val="enth"/>
    <w:basedOn w:val="OPCParaBase"/>
    <w:rsid w:val="00500D04"/>
    <w:pPr>
      <w:keepNext/>
      <w:spacing w:before="60" w:line="240" w:lineRule="atLeast"/>
    </w:pPr>
    <w:rPr>
      <w:rFonts w:ascii="Arial" w:hAnsi="Arial"/>
      <w:b/>
      <w:sz w:val="16"/>
    </w:rPr>
  </w:style>
  <w:style w:type="paragraph" w:customStyle="1" w:styleId="ENoteTTi">
    <w:name w:val="ENoteTTi"/>
    <w:aliases w:val="entti"/>
    <w:basedOn w:val="OPCParaBase"/>
    <w:rsid w:val="00500D04"/>
    <w:pPr>
      <w:keepNext/>
      <w:spacing w:before="60" w:line="240" w:lineRule="atLeast"/>
      <w:ind w:left="170"/>
    </w:pPr>
    <w:rPr>
      <w:sz w:val="16"/>
    </w:rPr>
  </w:style>
  <w:style w:type="paragraph" w:customStyle="1" w:styleId="ENotesHeading1">
    <w:name w:val="ENotesHeading 1"/>
    <w:aliases w:val="Enh1"/>
    <w:basedOn w:val="OPCParaBase"/>
    <w:next w:val="Normal"/>
    <w:rsid w:val="00500D04"/>
    <w:pPr>
      <w:spacing w:before="120"/>
      <w:outlineLvl w:val="1"/>
    </w:pPr>
    <w:rPr>
      <w:b/>
      <w:sz w:val="28"/>
      <w:szCs w:val="28"/>
    </w:rPr>
  </w:style>
  <w:style w:type="paragraph" w:customStyle="1" w:styleId="ENotesHeading2">
    <w:name w:val="ENotesHeading 2"/>
    <w:aliases w:val="Enh2"/>
    <w:basedOn w:val="OPCParaBase"/>
    <w:next w:val="Normal"/>
    <w:rsid w:val="00500D04"/>
    <w:pPr>
      <w:spacing w:before="120" w:after="120"/>
      <w:outlineLvl w:val="2"/>
    </w:pPr>
    <w:rPr>
      <w:b/>
      <w:sz w:val="24"/>
      <w:szCs w:val="28"/>
    </w:rPr>
  </w:style>
  <w:style w:type="paragraph" w:customStyle="1" w:styleId="ENoteTTIndentHeading">
    <w:name w:val="ENoteTTIndentHeading"/>
    <w:aliases w:val="enTTHi"/>
    <w:basedOn w:val="OPCParaBase"/>
    <w:rsid w:val="00500D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0D04"/>
    <w:pPr>
      <w:spacing w:before="60" w:line="240" w:lineRule="atLeast"/>
    </w:pPr>
    <w:rPr>
      <w:sz w:val="16"/>
    </w:rPr>
  </w:style>
  <w:style w:type="paragraph" w:customStyle="1" w:styleId="MadeunderText">
    <w:name w:val="MadeunderText"/>
    <w:basedOn w:val="OPCParaBase"/>
    <w:next w:val="Normal"/>
    <w:rsid w:val="00500D04"/>
    <w:pPr>
      <w:spacing w:before="240"/>
    </w:pPr>
    <w:rPr>
      <w:sz w:val="24"/>
      <w:szCs w:val="24"/>
    </w:rPr>
  </w:style>
  <w:style w:type="paragraph" w:customStyle="1" w:styleId="ENotesHeading3">
    <w:name w:val="ENotesHeading 3"/>
    <w:aliases w:val="Enh3"/>
    <w:basedOn w:val="OPCParaBase"/>
    <w:next w:val="Normal"/>
    <w:rsid w:val="00500D04"/>
    <w:pPr>
      <w:keepNext/>
      <w:spacing w:before="120" w:line="240" w:lineRule="auto"/>
      <w:outlineLvl w:val="4"/>
    </w:pPr>
    <w:rPr>
      <w:b/>
      <w:szCs w:val="24"/>
    </w:rPr>
  </w:style>
  <w:style w:type="paragraph" w:customStyle="1" w:styleId="SubPartCASA">
    <w:name w:val="SubPart(CASA)"/>
    <w:aliases w:val="csp"/>
    <w:basedOn w:val="OPCParaBase"/>
    <w:next w:val="ActHead3"/>
    <w:rsid w:val="00500D04"/>
    <w:pPr>
      <w:keepNext/>
      <w:keepLines/>
      <w:spacing w:before="280"/>
      <w:ind w:left="1134" w:hanging="1134"/>
      <w:outlineLvl w:val="1"/>
    </w:pPr>
    <w:rPr>
      <w:b/>
      <w:kern w:val="28"/>
      <w:sz w:val="32"/>
    </w:rPr>
  </w:style>
  <w:style w:type="character" w:customStyle="1" w:styleId="charlegsubtitle1">
    <w:name w:val="charlegsubtitle1"/>
    <w:basedOn w:val="DefaultParagraphFont"/>
    <w:rsid w:val="00500D04"/>
    <w:rPr>
      <w:rFonts w:ascii="Arial" w:hAnsi="Arial" w:cs="Arial" w:hint="default"/>
      <w:b/>
      <w:bCs/>
      <w:sz w:val="28"/>
      <w:szCs w:val="28"/>
    </w:rPr>
  </w:style>
  <w:style w:type="paragraph" w:customStyle="1" w:styleId="Specials">
    <w:name w:val="Special s"/>
    <w:basedOn w:val="ActHead5"/>
    <w:link w:val="SpecialsChar"/>
    <w:rsid w:val="00DB006D"/>
    <w:pPr>
      <w:outlineLvl w:val="9"/>
    </w:pPr>
  </w:style>
  <w:style w:type="character" w:customStyle="1" w:styleId="OPCParaBaseChar">
    <w:name w:val="OPCParaBase Char"/>
    <w:basedOn w:val="DefaultParagraphFont"/>
    <w:link w:val="OPCParaBase"/>
    <w:rsid w:val="00DB006D"/>
    <w:rPr>
      <w:sz w:val="22"/>
    </w:rPr>
  </w:style>
  <w:style w:type="character" w:customStyle="1" w:styleId="ActHead5Char">
    <w:name w:val="ActHead 5 Char"/>
    <w:aliases w:val="s Char"/>
    <w:link w:val="ActHead5"/>
    <w:rsid w:val="00500D04"/>
    <w:rPr>
      <w:b/>
      <w:kern w:val="28"/>
      <w:sz w:val="24"/>
    </w:rPr>
  </w:style>
  <w:style w:type="character" w:customStyle="1" w:styleId="SpecialsChar">
    <w:name w:val="Special s Char"/>
    <w:basedOn w:val="ActHead5Char"/>
    <w:link w:val="Specials"/>
    <w:rsid w:val="00DB006D"/>
    <w:rPr>
      <w:b/>
      <w:kern w:val="28"/>
      <w:sz w:val="24"/>
    </w:rPr>
  </w:style>
  <w:style w:type="paragraph" w:customStyle="1" w:styleId="ActHead10">
    <w:name w:val="ActHead 10"/>
    <w:aliases w:val="sp"/>
    <w:basedOn w:val="OPCParaBase"/>
    <w:next w:val="ActHead3"/>
    <w:rsid w:val="00500D04"/>
    <w:pPr>
      <w:keepNext/>
      <w:spacing w:before="280" w:line="240" w:lineRule="auto"/>
      <w:outlineLvl w:val="1"/>
    </w:pPr>
    <w:rPr>
      <w:b/>
      <w:sz w:val="32"/>
      <w:szCs w:val="30"/>
    </w:rPr>
  </w:style>
  <w:style w:type="paragraph" w:customStyle="1" w:styleId="FreeForm">
    <w:name w:val="FreeForm"/>
    <w:rsid w:val="00500D04"/>
    <w:rPr>
      <w:rFonts w:ascii="Arial" w:eastAsiaTheme="minorHAnsi" w:hAnsi="Arial" w:cstheme="minorBidi"/>
      <w:sz w:val="22"/>
      <w:lang w:eastAsia="en-US"/>
    </w:rPr>
  </w:style>
  <w:style w:type="paragraph" w:customStyle="1" w:styleId="SOText">
    <w:name w:val="SO Text"/>
    <w:aliases w:val="sot"/>
    <w:link w:val="SOTextChar"/>
    <w:rsid w:val="00500D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0D04"/>
    <w:rPr>
      <w:rFonts w:eastAsiaTheme="minorHAnsi" w:cstheme="minorBidi"/>
      <w:sz w:val="22"/>
      <w:lang w:eastAsia="en-US"/>
    </w:rPr>
  </w:style>
  <w:style w:type="paragraph" w:customStyle="1" w:styleId="SOTextNote">
    <w:name w:val="SO TextNote"/>
    <w:aliases w:val="sont"/>
    <w:basedOn w:val="SOText"/>
    <w:qFormat/>
    <w:rsid w:val="00500D04"/>
    <w:pPr>
      <w:spacing w:before="122" w:line="198" w:lineRule="exact"/>
      <w:ind w:left="1843" w:hanging="709"/>
    </w:pPr>
    <w:rPr>
      <w:sz w:val="18"/>
    </w:rPr>
  </w:style>
  <w:style w:type="paragraph" w:customStyle="1" w:styleId="SOPara">
    <w:name w:val="SO Para"/>
    <w:aliases w:val="soa"/>
    <w:basedOn w:val="SOText"/>
    <w:link w:val="SOParaChar"/>
    <w:qFormat/>
    <w:rsid w:val="00500D04"/>
    <w:pPr>
      <w:tabs>
        <w:tab w:val="right" w:pos="1786"/>
      </w:tabs>
      <w:spacing w:before="40"/>
      <w:ind w:left="2070" w:hanging="936"/>
    </w:pPr>
  </w:style>
  <w:style w:type="character" w:customStyle="1" w:styleId="SOParaChar">
    <w:name w:val="SO Para Char"/>
    <w:aliases w:val="soa Char"/>
    <w:basedOn w:val="DefaultParagraphFont"/>
    <w:link w:val="SOPara"/>
    <w:rsid w:val="00500D04"/>
    <w:rPr>
      <w:rFonts w:eastAsiaTheme="minorHAnsi" w:cstheme="minorBidi"/>
      <w:sz w:val="22"/>
      <w:lang w:eastAsia="en-US"/>
    </w:rPr>
  </w:style>
  <w:style w:type="paragraph" w:customStyle="1" w:styleId="FileName">
    <w:name w:val="FileName"/>
    <w:basedOn w:val="Normal"/>
    <w:rsid w:val="00500D04"/>
  </w:style>
  <w:style w:type="paragraph" w:customStyle="1" w:styleId="SOHeadBold">
    <w:name w:val="SO HeadBold"/>
    <w:aliases w:val="sohb"/>
    <w:basedOn w:val="SOText"/>
    <w:next w:val="SOText"/>
    <w:link w:val="SOHeadBoldChar"/>
    <w:qFormat/>
    <w:rsid w:val="00500D04"/>
    <w:rPr>
      <w:b/>
    </w:rPr>
  </w:style>
  <w:style w:type="character" w:customStyle="1" w:styleId="SOHeadBoldChar">
    <w:name w:val="SO HeadBold Char"/>
    <w:aliases w:val="sohb Char"/>
    <w:basedOn w:val="DefaultParagraphFont"/>
    <w:link w:val="SOHeadBold"/>
    <w:rsid w:val="00500D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0D04"/>
    <w:rPr>
      <w:i/>
    </w:rPr>
  </w:style>
  <w:style w:type="character" w:customStyle="1" w:styleId="SOHeadItalicChar">
    <w:name w:val="SO HeadItalic Char"/>
    <w:aliases w:val="sohi Char"/>
    <w:basedOn w:val="DefaultParagraphFont"/>
    <w:link w:val="SOHeadItalic"/>
    <w:rsid w:val="00500D04"/>
    <w:rPr>
      <w:rFonts w:eastAsiaTheme="minorHAnsi" w:cstheme="minorBidi"/>
      <w:i/>
      <w:sz w:val="22"/>
      <w:lang w:eastAsia="en-US"/>
    </w:rPr>
  </w:style>
  <w:style w:type="paragraph" w:customStyle="1" w:styleId="SOBullet">
    <w:name w:val="SO Bullet"/>
    <w:aliases w:val="sotb"/>
    <w:basedOn w:val="SOText"/>
    <w:link w:val="SOBulletChar"/>
    <w:qFormat/>
    <w:rsid w:val="00500D04"/>
    <w:pPr>
      <w:ind w:left="1559" w:hanging="425"/>
    </w:pPr>
  </w:style>
  <w:style w:type="character" w:customStyle="1" w:styleId="SOBulletChar">
    <w:name w:val="SO Bullet Char"/>
    <w:aliases w:val="sotb Char"/>
    <w:basedOn w:val="DefaultParagraphFont"/>
    <w:link w:val="SOBullet"/>
    <w:rsid w:val="00500D04"/>
    <w:rPr>
      <w:rFonts w:eastAsiaTheme="minorHAnsi" w:cstheme="minorBidi"/>
      <w:sz w:val="22"/>
      <w:lang w:eastAsia="en-US"/>
    </w:rPr>
  </w:style>
  <w:style w:type="paragraph" w:customStyle="1" w:styleId="SOBulletNote">
    <w:name w:val="SO BulletNote"/>
    <w:aliases w:val="sonb"/>
    <w:basedOn w:val="SOTextNote"/>
    <w:link w:val="SOBulletNoteChar"/>
    <w:qFormat/>
    <w:rsid w:val="00500D04"/>
    <w:pPr>
      <w:tabs>
        <w:tab w:val="left" w:pos="1560"/>
      </w:tabs>
      <w:ind w:left="2268" w:hanging="1134"/>
    </w:pPr>
  </w:style>
  <w:style w:type="character" w:customStyle="1" w:styleId="SOBulletNoteChar">
    <w:name w:val="SO BulletNote Char"/>
    <w:aliases w:val="sonb Char"/>
    <w:basedOn w:val="DefaultParagraphFont"/>
    <w:link w:val="SOBulletNote"/>
    <w:rsid w:val="00500D04"/>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500D04"/>
    <w:rPr>
      <w:sz w:val="22"/>
    </w:rPr>
  </w:style>
  <w:style w:type="paragraph" w:styleId="Revision">
    <w:name w:val="Revision"/>
    <w:hidden/>
    <w:uiPriority w:val="99"/>
    <w:semiHidden/>
    <w:rsid w:val="00E2167C"/>
    <w:rPr>
      <w:rFonts w:eastAsiaTheme="minorHAnsi" w:cstheme="minorBidi"/>
      <w:sz w:val="22"/>
      <w:lang w:eastAsia="en-US"/>
    </w:rPr>
  </w:style>
  <w:style w:type="character" w:customStyle="1" w:styleId="paragraphChar">
    <w:name w:val="paragraph Char"/>
    <w:aliases w:val="a Char"/>
    <w:link w:val="paragraph"/>
    <w:rsid w:val="00B3404C"/>
    <w:rPr>
      <w:sz w:val="22"/>
    </w:rPr>
  </w:style>
  <w:style w:type="paragraph" w:customStyle="1" w:styleId="EnStatement">
    <w:name w:val="EnStatement"/>
    <w:basedOn w:val="Normal"/>
    <w:rsid w:val="00500D04"/>
    <w:pPr>
      <w:numPr>
        <w:numId w:val="22"/>
      </w:numPr>
    </w:pPr>
    <w:rPr>
      <w:rFonts w:eastAsia="Times New Roman" w:cs="Times New Roman"/>
      <w:lang w:eastAsia="en-AU"/>
    </w:rPr>
  </w:style>
  <w:style w:type="paragraph" w:customStyle="1" w:styleId="EnStatementHeading">
    <w:name w:val="EnStatementHeading"/>
    <w:basedOn w:val="Normal"/>
    <w:rsid w:val="00500D04"/>
    <w:rPr>
      <w:rFonts w:eastAsia="Times New Roman" w:cs="Times New Roman"/>
      <w:b/>
      <w:lang w:eastAsia="en-AU"/>
    </w:rPr>
  </w:style>
  <w:style w:type="paragraph" w:customStyle="1" w:styleId="Transitional">
    <w:name w:val="Transitional"/>
    <w:aliases w:val="tr"/>
    <w:basedOn w:val="ItemHead"/>
    <w:next w:val="Item"/>
    <w:rsid w:val="00500D04"/>
  </w:style>
  <w:style w:type="character" w:customStyle="1" w:styleId="Heading1Char">
    <w:name w:val="Heading 1 Char"/>
    <w:basedOn w:val="DefaultParagraphFont"/>
    <w:link w:val="Heading1"/>
    <w:uiPriority w:val="9"/>
    <w:rsid w:val="00500D0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00D0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00D04"/>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00D04"/>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00D04"/>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00D04"/>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00D04"/>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00D04"/>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00D04"/>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500D04"/>
  </w:style>
  <w:style w:type="character" w:customStyle="1" w:styleId="BodyTextChar">
    <w:name w:val="Body Text Char"/>
    <w:basedOn w:val="DefaultParagraphFont"/>
    <w:link w:val="BodyText"/>
    <w:rsid w:val="00500D04"/>
    <w:rPr>
      <w:rFonts w:eastAsiaTheme="minorHAnsi" w:cstheme="minorBidi"/>
      <w:sz w:val="22"/>
      <w:lang w:eastAsia="en-US"/>
    </w:rPr>
  </w:style>
  <w:style w:type="character" w:customStyle="1" w:styleId="BodyText2Char">
    <w:name w:val="Body Text 2 Char"/>
    <w:basedOn w:val="DefaultParagraphFont"/>
    <w:link w:val="BodyText2"/>
    <w:rsid w:val="00500D04"/>
    <w:rPr>
      <w:rFonts w:eastAsiaTheme="minorHAnsi" w:cstheme="minorBidi"/>
      <w:sz w:val="22"/>
      <w:lang w:eastAsia="en-US"/>
    </w:rPr>
  </w:style>
  <w:style w:type="character" w:customStyle="1" w:styleId="BodyText3Char">
    <w:name w:val="Body Text 3 Char"/>
    <w:basedOn w:val="DefaultParagraphFont"/>
    <w:link w:val="BodyText3"/>
    <w:rsid w:val="00500D04"/>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500D04"/>
    <w:rPr>
      <w:rFonts w:eastAsiaTheme="minorHAnsi" w:cstheme="minorBidi"/>
      <w:sz w:val="22"/>
      <w:lang w:eastAsia="en-US"/>
    </w:rPr>
  </w:style>
  <w:style w:type="character" w:customStyle="1" w:styleId="BodyTextIndentChar">
    <w:name w:val="Body Text Indent Char"/>
    <w:basedOn w:val="DefaultParagraphFont"/>
    <w:link w:val="BodyTextIndent"/>
    <w:rsid w:val="00500D04"/>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00D04"/>
    <w:rPr>
      <w:rFonts w:eastAsiaTheme="minorHAnsi" w:cstheme="minorBidi"/>
      <w:sz w:val="22"/>
      <w:lang w:eastAsia="en-US"/>
    </w:rPr>
  </w:style>
  <w:style w:type="character" w:customStyle="1" w:styleId="BodyTextIndent2Char">
    <w:name w:val="Body Text Indent 2 Char"/>
    <w:basedOn w:val="DefaultParagraphFont"/>
    <w:link w:val="BodyTextIndent2"/>
    <w:rsid w:val="00500D04"/>
    <w:rPr>
      <w:rFonts w:eastAsiaTheme="minorHAnsi" w:cstheme="minorBidi"/>
      <w:sz w:val="22"/>
      <w:lang w:eastAsia="en-US"/>
    </w:rPr>
  </w:style>
  <w:style w:type="character" w:customStyle="1" w:styleId="BodyTextIndent3Char">
    <w:name w:val="Body Text Indent 3 Char"/>
    <w:basedOn w:val="DefaultParagraphFont"/>
    <w:link w:val="BodyTextIndent3"/>
    <w:rsid w:val="00500D04"/>
    <w:rPr>
      <w:rFonts w:eastAsiaTheme="minorHAnsi" w:cstheme="minorBidi"/>
      <w:sz w:val="16"/>
      <w:szCs w:val="16"/>
      <w:lang w:eastAsia="en-US"/>
    </w:rPr>
  </w:style>
  <w:style w:type="character" w:styleId="BookTitle">
    <w:name w:val="Book Title"/>
    <w:basedOn w:val="DefaultParagraphFont"/>
    <w:uiPriority w:val="33"/>
    <w:qFormat/>
    <w:rsid w:val="00500D04"/>
    <w:rPr>
      <w:b/>
      <w:bCs/>
      <w:i/>
      <w:iCs/>
      <w:spacing w:val="5"/>
    </w:rPr>
  </w:style>
  <w:style w:type="character" w:customStyle="1" w:styleId="ClosingChar">
    <w:name w:val="Closing Char"/>
    <w:basedOn w:val="DefaultParagraphFont"/>
    <w:link w:val="Closing"/>
    <w:rsid w:val="00500D04"/>
    <w:rPr>
      <w:rFonts w:eastAsiaTheme="minorHAnsi" w:cstheme="minorBidi"/>
      <w:sz w:val="22"/>
      <w:lang w:eastAsia="en-US"/>
    </w:rPr>
  </w:style>
  <w:style w:type="table" w:styleId="ColorfulGrid">
    <w:name w:val="Colorful Grid"/>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00D0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00D0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0D0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500D04"/>
    <w:rPr>
      <w:rFonts w:eastAsiaTheme="minorHAnsi" w:cstheme="minorBidi"/>
      <w:lang w:eastAsia="en-US"/>
    </w:rPr>
  </w:style>
  <w:style w:type="character" w:customStyle="1" w:styleId="CommentSubjectChar">
    <w:name w:val="Comment Subject Char"/>
    <w:basedOn w:val="CommentTextChar"/>
    <w:link w:val="CommentSubject"/>
    <w:rsid w:val="00500D04"/>
    <w:rPr>
      <w:rFonts w:eastAsiaTheme="minorHAnsi" w:cstheme="minorBidi"/>
      <w:b/>
      <w:bCs/>
      <w:lang w:eastAsia="en-US"/>
    </w:rPr>
  </w:style>
  <w:style w:type="table" w:styleId="DarkList">
    <w:name w:val="Dark List"/>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00D0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500D04"/>
    <w:rPr>
      <w:rFonts w:eastAsiaTheme="minorHAnsi" w:cstheme="minorBidi"/>
      <w:sz w:val="22"/>
      <w:lang w:eastAsia="en-US"/>
    </w:rPr>
  </w:style>
  <w:style w:type="character" w:customStyle="1" w:styleId="DocumentMapChar">
    <w:name w:val="Document Map Char"/>
    <w:basedOn w:val="DefaultParagraphFont"/>
    <w:link w:val="DocumentMap"/>
    <w:rsid w:val="00500D04"/>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500D04"/>
    <w:rPr>
      <w:rFonts w:eastAsiaTheme="minorHAnsi" w:cstheme="minorBidi"/>
      <w:sz w:val="22"/>
      <w:lang w:eastAsia="en-US"/>
    </w:rPr>
  </w:style>
  <w:style w:type="character" w:customStyle="1" w:styleId="EndnoteTextChar">
    <w:name w:val="Endnote Text Char"/>
    <w:basedOn w:val="DefaultParagraphFont"/>
    <w:link w:val="EndnoteText"/>
    <w:rsid w:val="00500D04"/>
    <w:rPr>
      <w:rFonts w:eastAsiaTheme="minorHAnsi" w:cstheme="minorBidi"/>
      <w:lang w:eastAsia="en-US"/>
    </w:rPr>
  </w:style>
  <w:style w:type="table" w:styleId="GridTable1Light">
    <w:name w:val="Grid Table 1 Light"/>
    <w:basedOn w:val="TableNormal"/>
    <w:uiPriority w:val="46"/>
    <w:rsid w:val="00500D0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0D0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0D0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0D0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0D0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0D0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0D0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0D0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0D0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00D0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00D0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00D0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00D0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00D0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00D0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0D0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00D0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00D0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00D0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00D0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00D0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00D0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0D0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00D0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00D0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00D0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00D0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00D0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00D0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00D0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0D0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00D0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00D0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00D0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00D0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00D0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00D0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0D0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00D0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00D0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00D0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00D0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00D0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00D04"/>
    <w:rPr>
      <w:color w:val="2B579A"/>
      <w:shd w:val="clear" w:color="auto" w:fill="E1DFDD"/>
    </w:rPr>
  </w:style>
  <w:style w:type="character" w:customStyle="1" w:styleId="HTMLAddressChar">
    <w:name w:val="HTML Address Char"/>
    <w:basedOn w:val="DefaultParagraphFont"/>
    <w:link w:val="HTMLAddress"/>
    <w:rsid w:val="00500D04"/>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00D04"/>
    <w:rPr>
      <w:rFonts w:ascii="Courier New" w:eastAsiaTheme="minorHAnsi" w:hAnsi="Courier New" w:cs="Courier New"/>
      <w:lang w:eastAsia="en-US"/>
    </w:rPr>
  </w:style>
  <w:style w:type="character" w:styleId="IntenseEmphasis">
    <w:name w:val="Intense Emphasis"/>
    <w:basedOn w:val="DefaultParagraphFont"/>
    <w:uiPriority w:val="21"/>
    <w:qFormat/>
    <w:rsid w:val="00500D04"/>
    <w:rPr>
      <w:i/>
      <w:iCs/>
      <w:color w:val="4F81BD" w:themeColor="accent1"/>
    </w:rPr>
  </w:style>
  <w:style w:type="paragraph" w:styleId="IntenseQuote">
    <w:name w:val="Intense Quote"/>
    <w:basedOn w:val="Normal"/>
    <w:next w:val="Normal"/>
    <w:link w:val="IntenseQuoteChar"/>
    <w:uiPriority w:val="30"/>
    <w:qFormat/>
    <w:rsid w:val="00500D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0D0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00D04"/>
    <w:rPr>
      <w:b/>
      <w:bCs/>
      <w:smallCaps/>
      <w:color w:val="4F81BD" w:themeColor="accent1"/>
      <w:spacing w:val="5"/>
    </w:rPr>
  </w:style>
  <w:style w:type="table" w:styleId="LightGrid">
    <w:name w:val="Light Grid"/>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00D0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00D0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00D0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0D0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00D0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00D0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00D0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00D0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00D0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00D0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00D0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0D0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00D0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00D0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00D0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00D0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00D0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00D0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0D0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00D0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00D0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00D0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00D0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00D0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00D0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0D0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00D0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00D0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00D0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00D0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00D0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0D0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0D0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0D0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00D0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00D0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00D0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00D0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00D0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00D0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0D0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0D0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0D0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0D0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0D0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0D0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500D04"/>
    <w:rPr>
      <w:rFonts w:ascii="Courier New" w:hAnsi="Courier New" w:cs="Courier New"/>
    </w:rPr>
  </w:style>
  <w:style w:type="table" w:styleId="MediumGrid1">
    <w:name w:val="Medium Grid 1"/>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00D0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00D0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00D0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0D0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0D0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0D0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00D04"/>
    <w:rPr>
      <w:color w:val="2B579A"/>
      <w:shd w:val="clear" w:color="auto" w:fill="E1DFDD"/>
    </w:rPr>
  </w:style>
  <w:style w:type="character" w:customStyle="1" w:styleId="MessageHeaderChar">
    <w:name w:val="Message Header Char"/>
    <w:basedOn w:val="DefaultParagraphFont"/>
    <w:link w:val="MessageHeader"/>
    <w:rsid w:val="00500D04"/>
    <w:rPr>
      <w:rFonts w:ascii="Arial" w:eastAsiaTheme="minorHAnsi" w:hAnsi="Arial" w:cs="Arial"/>
      <w:sz w:val="22"/>
      <w:shd w:val="pct20" w:color="auto" w:fill="auto"/>
      <w:lang w:eastAsia="en-US"/>
    </w:rPr>
  </w:style>
  <w:style w:type="paragraph" w:styleId="NoSpacing">
    <w:name w:val="No Spacing"/>
    <w:uiPriority w:val="1"/>
    <w:qFormat/>
    <w:rsid w:val="00500D04"/>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00D04"/>
    <w:pPr>
      <w:spacing w:line="240" w:lineRule="auto"/>
    </w:pPr>
  </w:style>
  <w:style w:type="character" w:customStyle="1" w:styleId="NoteHeadingChar">
    <w:name w:val="Note Heading Char"/>
    <w:basedOn w:val="DefaultParagraphFont"/>
    <w:link w:val="NoteHeading"/>
    <w:uiPriority w:val="99"/>
    <w:semiHidden/>
    <w:rsid w:val="00500D04"/>
    <w:rPr>
      <w:rFonts w:eastAsiaTheme="minorHAnsi" w:cstheme="minorBidi"/>
      <w:sz w:val="22"/>
      <w:lang w:eastAsia="en-US"/>
    </w:rPr>
  </w:style>
  <w:style w:type="character" w:styleId="PlaceholderText">
    <w:name w:val="Placeholder Text"/>
    <w:basedOn w:val="DefaultParagraphFont"/>
    <w:uiPriority w:val="99"/>
    <w:semiHidden/>
    <w:rsid w:val="00500D04"/>
    <w:rPr>
      <w:color w:val="808080"/>
    </w:rPr>
  </w:style>
  <w:style w:type="table" w:styleId="PlainTable1">
    <w:name w:val="Plain Table 1"/>
    <w:basedOn w:val="TableNormal"/>
    <w:uiPriority w:val="41"/>
    <w:rsid w:val="00500D0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0D0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0D0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0D0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0D0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500D04"/>
    <w:rPr>
      <w:rFonts w:ascii="Courier New" w:eastAsiaTheme="minorHAnsi" w:hAnsi="Courier New" w:cs="Courier New"/>
      <w:lang w:eastAsia="en-US"/>
    </w:rPr>
  </w:style>
  <w:style w:type="paragraph" w:styleId="Quote">
    <w:name w:val="Quote"/>
    <w:basedOn w:val="Normal"/>
    <w:next w:val="Normal"/>
    <w:link w:val="QuoteChar"/>
    <w:uiPriority w:val="29"/>
    <w:qFormat/>
    <w:rsid w:val="00500D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0D0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500D04"/>
    <w:rPr>
      <w:rFonts w:eastAsiaTheme="minorHAnsi" w:cstheme="minorBidi"/>
      <w:sz w:val="22"/>
      <w:lang w:eastAsia="en-US"/>
    </w:rPr>
  </w:style>
  <w:style w:type="character" w:customStyle="1" w:styleId="SignatureChar">
    <w:name w:val="Signature Char"/>
    <w:basedOn w:val="DefaultParagraphFont"/>
    <w:link w:val="Signature"/>
    <w:rsid w:val="00500D04"/>
    <w:rPr>
      <w:rFonts w:eastAsiaTheme="minorHAnsi" w:cstheme="minorBidi"/>
      <w:sz w:val="22"/>
      <w:lang w:eastAsia="en-US"/>
    </w:rPr>
  </w:style>
  <w:style w:type="character" w:styleId="SmartHyperlink">
    <w:name w:val="Smart Hyperlink"/>
    <w:basedOn w:val="DefaultParagraphFont"/>
    <w:uiPriority w:val="99"/>
    <w:semiHidden/>
    <w:unhideWhenUsed/>
    <w:rsid w:val="00500D04"/>
    <w:rPr>
      <w:u w:val="dotted"/>
    </w:rPr>
  </w:style>
  <w:style w:type="character" w:customStyle="1" w:styleId="SubtitleChar">
    <w:name w:val="Subtitle Char"/>
    <w:basedOn w:val="DefaultParagraphFont"/>
    <w:link w:val="Subtitle"/>
    <w:rsid w:val="00500D04"/>
    <w:rPr>
      <w:rFonts w:ascii="Arial" w:eastAsiaTheme="minorHAnsi" w:hAnsi="Arial" w:cs="Arial"/>
      <w:sz w:val="22"/>
      <w:lang w:eastAsia="en-US"/>
    </w:rPr>
  </w:style>
  <w:style w:type="character" w:styleId="SubtleEmphasis">
    <w:name w:val="Subtle Emphasis"/>
    <w:basedOn w:val="DefaultParagraphFont"/>
    <w:uiPriority w:val="19"/>
    <w:qFormat/>
    <w:rsid w:val="00500D04"/>
    <w:rPr>
      <w:i/>
      <w:iCs/>
      <w:color w:val="404040" w:themeColor="text1" w:themeTint="BF"/>
    </w:rPr>
  </w:style>
  <w:style w:type="character" w:styleId="SubtleReference">
    <w:name w:val="Subtle Reference"/>
    <w:basedOn w:val="DefaultParagraphFont"/>
    <w:uiPriority w:val="31"/>
    <w:qFormat/>
    <w:rsid w:val="00500D04"/>
    <w:rPr>
      <w:smallCaps/>
      <w:color w:val="5A5A5A" w:themeColor="text1" w:themeTint="A5"/>
    </w:rPr>
  </w:style>
  <w:style w:type="table" w:styleId="TableGridLight">
    <w:name w:val="Grid Table Light"/>
    <w:basedOn w:val="TableNormal"/>
    <w:uiPriority w:val="40"/>
    <w:rsid w:val="00500D0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500D04"/>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500D0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00D04"/>
    <w:rPr>
      <w:color w:val="605E5C"/>
      <w:shd w:val="clear" w:color="auto" w:fill="E1DFDD"/>
    </w:rPr>
  </w:style>
  <w:style w:type="paragraph" w:customStyle="1" w:styleId="SOText2">
    <w:name w:val="SO Text2"/>
    <w:aliases w:val="sot2"/>
    <w:basedOn w:val="Normal"/>
    <w:next w:val="SOText"/>
    <w:link w:val="SOText2Char"/>
    <w:rsid w:val="00500D0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0D04"/>
    <w:rPr>
      <w:rFonts w:eastAsiaTheme="minorHAnsi" w:cstheme="minorBidi"/>
      <w:sz w:val="22"/>
      <w:lang w:eastAsia="en-US"/>
    </w:rPr>
  </w:style>
  <w:style w:type="paragraph" w:customStyle="1" w:styleId="ETAsubitem">
    <w:name w:val="ETA(subitem)"/>
    <w:basedOn w:val="OPCParaBase"/>
    <w:rsid w:val="00500D04"/>
    <w:pPr>
      <w:tabs>
        <w:tab w:val="right" w:pos="340"/>
      </w:tabs>
      <w:spacing w:before="60" w:line="240" w:lineRule="auto"/>
      <w:ind w:left="454" w:hanging="454"/>
    </w:pPr>
    <w:rPr>
      <w:sz w:val="20"/>
    </w:rPr>
  </w:style>
  <w:style w:type="paragraph" w:customStyle="1" w:styleId="ETApara">
    <w:name w:val="ETA(para)"/>
    <w:basedOn w:val="OPCParaBase"/>
    <w:rsid w:val="00500D04"/>
    <w:pPr>
      <w:tabs>
        <w:tab w:val="right" w:pos="754"/>
      </w:tabs>
      <w:spacing w:before="60" w:line="240" w:lineRule="auto"/>
      <w:ind w:left="828" w:hanging="828"/>
    </w:pPr>
    <w:rPr>
      <w:sz w:val="20"/>
    </w:rPr>
  </w:style>
  <w:style w:type="paragraph" w:customStyle="1" w:styleId="ETAsubpara">
    <w:name w:val="ETA(subpara)"/>
    <w:basedOn w:val="OPCParaBase"/>
    <w:rsid w:val="00500D04"/>
    <w:pPr>
      <w:tabs>
        <w:tab w:val="right" w:pos="1083"/>
      </w:tabs>
      <w:spacing w:before="60" w:line="240" w:lineRule="auto"/>
      <w:ind w:left="1191" w:hanging="1191"/>
    </w:pPr>
    <w:rPr>
      <w:sz w:val="20"/>
    </w:rPr>
  </w:style>
  <w:style w:type="paragraph" w:customStyle="1" w:styleId="ETAsub-subpara">
    <w:name w:val="ETA(sub-subpara)"/>
    <w:basedOn w:val="OPCParaBase"/>
    <w:rsid w:val="00500D04"/>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500D0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2C18-1188-4474-B7AC-928E28AD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29</Pages>
  <Words>6019</Words>
  <Characters>30751</Characters>
  <Application>Microsoft Office Word</Application>
  <DocSecurity>0</DocSecurity>
  <PresentationFormat/>
  <Lines>816</Lines>
  <Paragraphs>572</Paragraphs>
  <ScaleCrop>false</ScaleCrop>
  <HeadingPairs>
    <vt:vector size="2" baseType="variant">
      <vt:variant>
        <vt:lpstr>Title</vt:lpstr>
      </vt:variant>
      <vt:variant>
        <vt:i4>1</vt:i4>
      </vt:variant>
    </vt:vector>
  </HeadingPairs>
  <TitlesOfParts>
    <vt:vector size="1" baseType="lpstr">
      <vt:lpstr>Trans-Tasman Proceedings Regulation 2012</vt:lpstr>
    </vt:vector>
  </TitlesOfParts>
  <Manager/>
  <Company/>
  <LinksUpToDate>false</LinksUpToDate>
  <CharactersWithSpaces>36419</CharactersWithSpaces>
  <SharedDoc>false</SharedDoc>
  <HyperlinkBase/>
  <HLinks>
    <vt:vector size="66" baseType="variant">
      <vt:variant>
        <vt:i4>6160468</vt:i4>
      </vt:variant>
      <vt:variant>
        <vt:i4>114</vt:i4>
      </vt:variant>
      <vt:variant>
        <vt:i4>0</vt:i4>
      </vt:variant>
      <vt:variant>
        <vt:i4>5</vt:i4>
      </vt:variant>
      <vt:variant>
        <vt:lpwstr>http://www.comlaw.gov.au/</vt:lpwstr>
      </vt:variant>
      <vt:variant>
        <vt:lpwstr/>
      </vt:variant>
      <vt:variant>
        <vt:i4>3211328</vt:i4>
      </vt:variant>
      <vt:variant>
        <vt:i4>111</vt:i4>
      </vt:variant>
      <vt:variant>
        <vt:i4>0</vt:i4>
      </vt:variant>
      <vt:variant>
        <vt:i4>5</vt:i4>
      </vt:variant>
      <vt:variant>
        <vt:lpwstr>http://www.austlii.edu.au/au/legis/cth/consol_reg/fcr186/s1.html</vt:lpwstr>
      </vt:variant>
      <vt:variant>
        <vt:lpwstr>judgment</vt:lpwstr>
      </vt:variant>
      <vt:variant>
        <vt:i4>3211328</vt:i4>
      </vt:variant>
      <vt:variant>
        <vt:i4>108</vt:i4>
      </vt:variant>
      <vt:variant>
        <vt:i4>0</vt:i4>
      </vt:variant>
      <vt:variant>
        <vt:i4>5</vt:i4>
      </vt:variant>
      <vt:variant>
        <vt:lpwstr>http://www.austlii.edu.au/au/legis/cth/consol_reg/fcr186/s1.html</vt:lpwstr>
      </vt:variant>
      <vt:variant>
        <vt:lpwstr>judgment</vt:lpwstr>
      </vt:variant>
      <vt:variant>
        <vt:i4>3211328</vt:i4>
      </vt:variant>
      <vt:variant>
        <vt:i4>105</vt:i4>
      </vt:variant>
      <vt:variant>
        <vt:i4>0</vt:i4>
      </vt:variant>
      <vt:variant>
        <vt:i4>5</vt:i4>
      </vt:variant>
      <vt:variant>
        <vt:lpwstr>http://www.austlii.edu.au/au/legis/cth/consol_reg/fcr186/s1.html</vt:lpwstr>
      </vt:variant>
      <vt:variant>
        <vt:lpwstr>judgment</vt:lpwstr>
      </vt:variant>
      <vt:variant>
        <vt:i4>3211328</vt:i4>
      </vt:variant>
      <vt:variant>
        <vt:i4>102</vt:i4>
      </vt:variant>
      <vt:variant>
        <vt:i4>0</vt:i4>
      </vt:variant>
      <vt:variant>
        <vt:i4>5</vt:i4>
      </vt:variant>
      <vt:variant>
        <vt:lpwstr>http://www.austlii.edu.au/au/legis/cth/consol_reg/fcr186/s1.html</vt:lpwstr>
      </vt:variant>
      <vt:variant>
        <vt:lpwstr>judgment</vt:lpwstr>
      </vt:variant>
      <vt:variant>
        <vt:i4>3211328</vt:i4>
      </vt:variant>
      <vt:variant>
        <vt:i4>99</vt:i4>
      </vt:variant>
      <vt:variant>
        <vt:i4>0</vt:i4>
      </vt:variant>
      <vt:variant>
        <vt:i4>5</vt:i4>
      </vt:variant>
      <vt:variant>
        <vt:lpwstr>http://www.austlii.edu.au/au/legis/cth/consol_reg/fcr186/s1.html</vt:lpwstr>
      </vt:variant>
      <vt:variant>
        <vt:lpwstr>judgment</vt:lpwstr>
      </vt:variant>
      <vt:variant>
        <vt:i4>2097222</vt:i4>
      </vt:variant>
      <vt:variant>
        <vt:i4>96</vt:i4>
      </vt:variant>
      <vt:variant>
        <vt:i4>0</vt:i4>
      </vt:variant>
      <vt:variant>
        <vt:i4>5</vt:i4>
      </vt:variant>
      <vt:variant>
        <vt:lpwstr>http://www.austlii.edu.au/au/legis/cth/consol_reg/fcr186/s4.html</vt:lpwstr>
      </vt:variant>
      <vt:variant>
        <vt:lpwstr>judge</vt:lpwstr>
      </vt:variant>
      <vt:variant>
        <vt:i4>3211328</vt:i4>
      </vt:variant>
      <vt:variant>
        <vt:i4>93</vt:i4>
      </vt:variant>
      <vt:variant>
        <vt:i4>0</vt:i4>
      </vt:variant>
      <vt:variant>
        <vt:i4>5</vt:i4>
      </vt:variant>
      <vt:variant>
        <vt:lpwstr>http://www.austlii.edu.au/au/legis/cth/consol_reg/fcr186/s1.html</vt:lpwstr>
      </vt:variant>
      <vt:variant>
        <vt:lpwstr>judgment</vt:lpwstr>
      </vt:variant>
      <vt:variant>
        <vt:i4>3211328</vt:i4>
      </vt:variant>
      <vt:variant>
        <vt:i4>90</vt:i4>
      </vt:variant>
      <vt:variant>
        <vt:i4>0</vt:i4>
      </vt:variant>
      <vt:variant>
        <vt:i4>5</vt:i4>
      </vt:variant>
      <vt:variant>
        <vt:lpwstr>http://www.austlii.edu.au/au/legis/cth/consol_reg/fcr186/s1.html</vt:lpwstr>
      </vt:variant>
      <vt:variant>
        <vt:lpwstr>judgment</vt:lpwstr>
      </vt:variant>
      <vt:variant>
        <vt:i4>1703977</vt:i4>
      </vt:variant>
      <vt:variant>
        <vt:i4>87</vt:i4>
      </vt:variant>
      <vt:variant>
        <vt:i4>0</vt:i4>
      </vt:variant>
      <vt:variant>
        <vt:i4>5</vt:i4>
      </vt:variant>
      <vt:variant>
        <vt:lpwstr>http://www.austlii.edu.au/au/legis/cth/consol_act/fcoaa1976249/</vt:lpwstr>
      </vt:variant>
      <vt:variant>
        <vt:lpwstr/>
      </vt:variant>
      <vt:variant>
        <vt:i4>6750248</vt:i4>
      </vt:variant>
      <vt:variant>
        <vt:i4>84</vt:i4>
      </vt:variant>
      <vt:variant>
        <vt:i4>0</vt:i4>
      </vt:variant>
      <vt:variant>
        <vt:i4>5</vt:i4>
      </vt:variant>
      <vt:variant>
        <vt:lpwstr>http://www.rba.gov.au/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Trans-Tasman Proceedings Regulation 2012</dc:title>
  <dc:subject/>
  <dc:creator/>
  <cp:keywords/>
  <dc:description/>
  <cp:lastModifiedBy/>
  <cp:revision>1</cp:revision>
  <cp:lastPrinted>2012-01-19T23:39:00Z</cp:lastPrinted>
  <dcterms:created xsi:type="dcterms:W3CDTF">2024-04-18T08:36:00Z</dcterms:created>
  <dcterms:modified xsi:type="dcterms:W3CDTF">2024-04-18T08:36:00Z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587</vt:lpwstr>
  </property>
  <property fmtid="{D5CDD505-2E9C-101B-9397-08002B2CF9AE}" pid="3" name="IndexMatter">
    <vt:lpwstr>1115783A</vt:lpwstr>
  </property>
  <property fmtid="{D5CDD505-2E9C-101B-9397-08002B2CF9AE}" pid="4" name="Editor">
    <vt:bool>true</vt:bool>
  </property>
  <property fmtid="{D5CDD505-2E9C-101B-9397-08002B2CF9AE}" pid="5" name="Final">
    <vt:bool>true</vt:bool>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Converted">
    <vt:bool>true</vt:bool>
  </property>
  <property fmtid="{D5CDD505-2E9C-101B-9397-08002B2CF9AE}" pid="10" name="Classification">
    <vt:lpwstr>OFFICIAL</vt:lpwstr>
  </property>
  <property fmtid="{D5CDD505-2E9C-101B-9397-08002B2CF9AE}" pid="11" name="Header">
    <vt:lpwstr>Section</vt:lpwstr>
  </property>
  <property fmtid="{D5CDD505-2E9C-101B-9397-08002B2CF9AE}" pid="12" name="ActNo">
    <vt:lpwstr/>
  </property>
  <property fmtid="{D5CDD505-2E9C-101B-9397-08002B2CF9AE}" pid="13" name="ShortT">
    <vt:lpwstr>Trans-Tasman Proceedings Regulation 2012</vt:lpwstr>
  </property>
  <property fmtid="{D5CDD505-2E9C-101B-9397-08002B2CF9AE}" pid="14" name="Class">
    <vt:lpwstr>Regulation</vt:lpwstr>
  </property>
  <property fmtid="{D5CDD505-2E9C-101B-9397-08002B2CF9AE}" pid="15" name="Exco">
    <vt:lpwstr>Yes</vt:lpwstr>
  </property>
  <property fmtid="{D5CDD505-2E9C-101B-9397-08002B2CF9AE}" pid="16" name="Authority">
    <vt:lpwstr>Attorney-General</vt:lpwstr>
  </property>
  <property fmtid="{D5CDD505-2E9C-101B-9397-08002B2CF9AE}" pid="17" name="DateMade">
    <vt:lpwstr>2012</vt:lpwstr>
  </property>
  <property fmtid="{D5CDD505-2E9C-101B-9397-08002B2CF9AE}" pid="18" name="DoNotAsk">
    <vt:lpwstr>1</vt:lpwstr>
  </property>
  <property fmtid="{D5CDD505-2E9C-101B-9397-08002B2CF9AE}" pid="19" name="ChangedTitle">
    <vt:lpwstr>Trans_x001e_Tasman Proceedings Regulation 2012</vt:lpwstr>
  </property>
  <property fmtid="{D5CDD505-2E9C-101B-9397-08002B2CF9AE}" pid="20" name="CompilationVersion">
    <vt:i4>3</vt:i4>
  </property>
  <property fmtid="{D5CDD505-2E9C-101B-9397-08002B2CF9AE}" pid="21" name="DLM">
    <vt:lpwstr> </vt:lpwstr>
  </property>
  <property fmtid="{D5CDD505-2E9C-101B-9397-08002B2CF9AE}" pid="22" name="CompilationNumber">
    <vt:lpwstr>6</vt:lpwstr>
  </property>
  <property fmtid="{D5CDD505-2E9C-101B-9397-08002B2CF9AE}" pid="23" name="StartDate">
    <vt:lpwstr>11 April 2024</vt:lpwstr>
  </property>
  <property fmtid="{D5CDD505-2E9C-101B-9397-08002B2CF9AE}" pid="24" name="PreparedDate">
    <vt:filetime>2015-03-30T14:00:00Z</vt:filetime>
  </property>
  <property fmtid="{D5CDD505-2E9C-101B-9397-08002B2CF9AE}" pid="25" name="RegisteredDate">
    <vt:lpwstr>18 April 2024</vt:lpwstr>
  </property>
  <property fmtid="{D5CDD505-2E9C-101B-9397-08002B2CF9AE}" pid="26" name="IncludesUpTo">
    <vt:lpwstr>F2024L00297</vt:lpwstr>
  </property>
</Properties>
</file>